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B363F" w14:textId="303525E3" w:rsidR="00F17FD3" w:rsidRPr="00A51CBC" w:rsidRDefault="00F17FD3" w:rsidP="00F17FD3">
      <w:pPr>
        <w:rPr>
          <w:rFonts w:ascii="Arial" w:hAnsi="Arial" w:cs="Arial"/>
          <w:bCs/>
          <w:sz w:val="28"/>
          <w:szCs w:val="28"/>
          <w:lang w:val="en-ZA"/>
        </w:rPr>
      </w:pPr>
      <w:bookmarkStart w:id="0" w:name="_GoBack"/>
      <w:bookmarkEnd w:id="0"/>
    </w:p>
    <w:p w14:paraId="6C1CD744" w14:textId="77777777" w:rsidR="00F17FD3" w:rsidRPr="00A51CBC" w:rsidRDefault="00F17FD3" w:rsidP="00F17FD3">
      <w:pPr>
        <w:jc w:val="center"/>
        <w:rPr>
          <w:rFonts w:ascii="Arial" w:hAnsi="Arial" w:cs="Arial"/>
          <w:b/>
          <w:bCs/>
          <w:sz w:val="28"/>
          <w:szCs w:val="28"/>
        </w:rPr>
      </w:pPr>
    </w:p>
    <w:p w14:paraId="297B3760" w14:textId="77777777" w:rsidR="00F17FD3" w:rsidRPr="00A51CBC" w:rsidRDefault="00F17FD3" w:rsidP="00F17FD3">
      <w:pPr>
        <w:jc w:val="center"/>
        <w:rPr>
          <w:rFonts w:ascii="Arial" w:hAnsi="Arial" w:cs="Arial"/>
          <w:b/>
          <w:bCs/>
          <w:sz w:val="28"/>
          <w:szCs w:val="28"/>
        </w:rPr>
      </w:pPr>
    </w:p>
    <w:p w14:paraId="77083876" w14:textId="77777777" w:rsidR="00F17FD3" w:rsidRPr="0066058F" w:rsidRDefault="00F17FD3" w:rsidP="00F17FD3">
      <w:pPr>
        <w:jc w:val="center"/>
        <w:rPr>
          <w:rFonts w:ascii="Arial" w:hAnsi="Arial" w:cs="Arial"/>
          <w:b/>
          <w:bCs/>
          <w:sz w:val="28"/>
          <w:szCs w:val="28"/>
        </w:rPr>
      </w:pPr>
      <w:r w:rsidRPr="0066058F">
        <w:rPr>
          <w:rFonts w:ascii="Arial" w:hAnsi="Arial" w:cs="Arial"/>
          <w:noProof/>
          <w:lang w:val="en-ZA" w:eastAsia="en-ZA"/>
        </w:rPr>
        <w:drawing>
          <wp:anchor distT="0" distB="0" distL="114300" distR="114300" simplePos="0" relativeHeight="251659264" behindDoc="0" locked="0" layoutInCell="1" allowOverlap="1" wp14:anchorId="44B2A350" wp14:editId="3FB4212F">
            <wp:simplePos x="0" y="0"/>
            <wp:positionH relativeFrom="page">
              <wp:align>center</wp:align>
            </wp:positionH>
            <wp:positionV relativeFrom="paragraph">
              <wp:posOffset>-683895</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14:paraId="116AF7DD" w14:textId="77777777" w:rsidR="00F17FD3" w:rsidRPr="0066058F" w:rsidRDefault="00F17FD3" w:rsidP="00C84BBD">
      <w:pPr>
        <w:spacing w:line="360" w:lineRule="auto"/>
        <w:rPr>
          <w:rFonts w:ascii="Arial" w:hAnsi="Arial" w:cs="Arial"/>
          <w:b/>
          <w:bCs/>
          <w:sz w:val="28"/>
          <w:szCs w:val="28"/>
        </w:rPr>
      </w:pPr>
    </w:p>
    <w:p w14:paraId="4FB38977" w14:textId="77777777" w:rsidR="00F17FD3" w:rsidRPr="0066058F" w:rsidRDefault="00F17FD3" w:rsidP="00F17FD3">
      <w:pPr>
        <w:spacing w:line="360" w:lineRule="auto"/>
        <w:jc w:val="center"/>
        <w:rPr>
          <w:rFonts w:ascii="Arial" w:hAnsi="Arial" w:cs="Arial"/>
          <w:b/>
          <w:bCs/>
        </w:rPr>
      </w:pPr>
      <w:r w:rsidRPr="0066058F">
        <w:rPr>
          <w:rFonts w:ascii="Arial" w:hAnsi="Arial" w:cs="Arial"/>
          <w:b/>
          <w:bCs/>
        </w:rPr>
        <w:t>THE SUPREME COURT OF APPEAL OF SOUTH AFRICA</w:t>
      </w:r>
    </w:p>
    <w:p w14:paraId="591CD5CA" w14:textId="691EFC43" w:rsidR="00F17FD3" w:rsidRPr="00C84BBD" w:rsidRDefault="00F17FD3" w:rsidP="00C84BBD">
      <w:pPr>
        <w:pStyle w:val="Heading3"/>
        <w:jc w:val="center"/>
        <w:rPr>
          <w:b/>
          <w:i w:val="0"/>
          <w:szCs w:val="28"/>
        </w:rPr>
      </w:pPr>
      <w:r w:rsidRPr="0066058F">
        <w:rPr>
          <w:b/>
          <w:i w:val="0"/>
          <w:sz w:val="24"/>
        </w:rPr>
        <w:t>JUDGMENT</w:t>
      </w:r>
    </w:p>
    <w:p w14:paraId="0DC7AAAA" w14:textId="4D15A92A" w:rsidR="008159AB" w:rsidRPr="0066058F" w:rsidRDefault="00EE5E36" w:rsidP="00826353">
      <w:pPr>
        <w:spacing w:line="360" w:lineRule="auto"/>
        <w:jc w:val="right"/>
        <w:rPr>
          <w:rFonts w:ascii="Arial" w:hAnsi="Arial" w:cs="Arial"/>
          <w:b/>
        </w:rPr>
      </w:pPr>
      <w:r>
        <w:rPr>
          <w:rFonts w:ascii="Arial" w:hAnsi="Arial" w:cs="Arial"/>
          <w:b/>
        </w:rPr>
        <w:t>Reportable</w:t>
      </w:r>
    </w:p>
    <w:p w14:paraId="3FEAF9A6" w14:textId="2AAF20A1" w:rsidR="008159AB" w:rsidRPr="0066058F" w:rsidRDefault="008159AB" w:rsidP="00826353">
      <w:pPr>
        <w:spacing w:line="360" w:lineRule="auto"/>
        <w:jc w:val="right"/>
        <w:rPr>
          <w:rFonts w:ascii="Arial" w:hAnsi="Arial" w:cs="Arial"/>
        </w:rPr>
      </w:pPr>
      <w:r w:rsidRPr="0066058F">
        <w:rPr>
          <w:rFonts w:ascii="Arial" w:hAnsi="Arial" w:cs="Arial"/>
        </w:rPr>
        <w:t xml:space="preserve">Case no: </w:t>
      </w:r>
      <w:r w:rsidR="00103D5A">
        <w:rPr>
          <w:rFonts w:ascii="Arial" w:hAnsi="Arial" w:cs="Arial"/>
        </w:rPr>
        <w:t>1268</w:t>
      </w:r>
      <w:r w:rsidR="00351B4B" w:rsidRPr="0066058F">
        <w:rPr>
          <w:rFonts w:ascii="Arial" w:hAnsi="Arial" w:cs="Arial"/>
        </w:rPr>
        <w:t>/20</w:t>
      </w:r>
      <w:r w:rsidR="0075221D" w:rsidRPr="0066058F">
        <w:rPr>
          <w:rFonts w:ascii="Arial" w:hAnsi="Arial" w:cs="Arial"/>
        </w:rPr>
        <w:t>2</w:t>
      </w:r>
      <w:r w:rsidR="00C76471" w:rsidRPr="0066058F">
        <w:rPr>
          <w:rFonts w:ascii="Arial" w:hAnsi="Arial" w:cs="Arial"/>
        </w:rPr>
        <w:t>1</w:t>
      </w:r>
    </w:p>
    <w:p w14:paraId="3478307E" w14:textId="77777777" w:rsidR="008159AB" w:rsidRPr="0066058F" w:rsidRDefault="008159AB" w:rsidP="006F380E">
      <w:pPr>
        <w:spacing w:line="276" w:lineRule="auto"/>
        <w:rPr>
          <w:rFonts w:ascii="Arial" w:hAnsi="Arial" w:cs="Arial"/>
        </w:rPr>
      </w:pPr>
      <w:r w:rsidRPr="0066058F">
        <w:rPr>
          <w:rFonts w:ascii="Arial" w:hAnsi="Arial" w:cs="Arial"/>
        </w:rPr>
        <w:t>In the matter between:</w:t>
      </w:r>
    </w:p>
    <w:p w14:paraId="42CB6474" w14:textId="77777777" w:rsidR="006F380E" w:rsidRDefault="006F380E" w:rsidP="006F380E">
      <w:pPr>
        <w:widowControl w:val="0"/>
        <w:tabs>
          <w:tab w:val="right" w:pos="9360"/>
        </w:tabs>
        <w:autoSpaceDE w:val="0"/>
        <w:autoSpaceDN w:val="0"/>
        <w:adjustRightInd w:val="0"/>
        <w:spacing w:line="276" w:lineRule="auto"/>
        <w:jc w:val="right"/>
        <w:rPr>
          <w:rFonts w:ascii="Arial" w:hAnsi="Arial" w:cs="Arial"/>
          <w:b/>
          <w:bCs/>
        </w:rPr>
      </w:pPr>
    </w:p>
    <w:p w14:paraId="0D7A4146" w14:textId="6E044FD2" w:rsidR="000E4080" w:rsidRDefault="00103D5A" w:rsidP="000815BD">
      <w:pPr>
        <w:widowControl w:val="0"/>
        <w:tabs>
          <w:tab w:val="right" w:pos="9026"/>
        </w:tabs>
        <w:autoSpaceDE w:val="0"/>
        <w:autoSpaceDN w:val="0"/>
        <w:adjustRightInd w:val="0"/>
        <w:spacing w:line="276" w:lineRule="auto"/>
        <w:jc w:val="both"/>
        <w:rPr>
          <w:rFonts w:ascii="Arial" w:hAnsi="Arial" w:cs="Arial"/>
          <w:b/>
          <w:bCs/>
        </w:rPr>
      </w:pPr>
      <w:r>
        <w:rPr>
          <w:rFonts w:ascii="Arial" w:hAnsi="Arial" w:cs="Arial"/>
          <w:b/>
          <w:bCs/>
        </w:rPr>
        <w:t>SOUTH AFRICAN RESERVE BANK</w:t>
      </w:r>
      <w:r w:rsidR="00C76471" w:rsidRPr="0066058F">
        <w:rPr>
          <w:rFonts w:ascii="Arial" w:hAnsi="Arial" w:cs="Arial"/>
          <w:b/>
          <w:bCs/>
        </w:rPr>
        <w:tab/>
      </w:r>
      <w:r w:rsidR="00031F15" w:rsidRPr="0066058F">
        <w:rPr>
          <w:rFonts w:ascii="Arial" w:hAnsi="Arial" w:cs="Arial"/>
          <w:b/>
          <w:bCs/>
        </w:rPr>
        <w:t xml:space="preserve"> FIRST APPELLANT</w:t>
      </w:r>
    </w:p>
    <w:p w14:paraId="60B5FBBC" w14:textId="77777777" w:rsidR="00103D5A" w:rsidRDefault="00103D5A" w:rsidP="000815BD">
      <w:pPr>
        <w:widowControl w:val="0"/>
        <w:tabs>
          <w:tab w:val="right" w:pos="9026"/>
        </w:tabs>
        <w:autoSpaceDE w:val="0"/>
        <w:autoSpaceDN w:val="0"/>
        <w:adjustRightInd w:val="0"/>
        <w:spacing w:line="276" w:lineRule="auto"/>
        <w:jc w:val="both"/>
        <w:rPr>
          <w:rFonts w:ascii="Arial" w:hAnsi="Arial" w:cs="Arial"/>
          <w:b/>
          <w:bCs/>
        </w:rPr>
      </w:pPr>
    </w:p>
    <w:p w14:paraId="0171E9C3" w14:textId="058BA099" w:rsidR="00EA2553" w:rsidRDefault="00103D5A" w:rsidP="000815BD">
      <w:pPr>
        <w:widowControl w:val="0"/>
        <w:tabs>
          <w:tab w:val="right" w:pos="9026"/>
        </w:tabs>
        <w:autoSpaceDE w:val="0"/>
        <w:autoSpaceDN w:val="0"/>
        <w:adjustRightInd w:val="0"/>
        <w:spacing w:line="276" w:lineRule="auto"/>
        <w:jc w:val="both"/>
        <w:rPr>
          <w:rFonts w:ascii="Arial" w:hAnsi="Arial" w:cs="Arial"/>
          <w:b/>
          <w:bCs/>
        </w:rPr>
      </w:pPr>
      <w:r>
        <w:rPr>
          <w:rFonts w:ascii="Arial" w:hAnsi="Arial" w:cs="Arial"/>
          <w:b/>
          <w:bCs/>
        </w:rPr>
        <w:t xml:space="preserve">NATIONAL TREASURY </w:t>
      </w:r>
      <w:r w:rsidR="00EA2553" w:rsidRPr="0066058F">
        <w:rPr>
          <w:rFonts w:ascii="Arial" w:hAnsi="Arial" w:cs="Arial"/>
          <w:b/>
          <w:bCs/>
        </w:rPr>
        <w:tab/>
        <w:t xml:space="preserve"> </w:t>
      </w:r>
      <w:r w:rsidR="00031F15" w:rsidRPr="0066058F">
        <w:rPr>
          <w:rFonts w:ascii="Arial" w:hAnsi="Arial" w:cs="Arial"/>
          <w:b/>
          <w:bCs/>
        </w:rPr>
        <w:t>SECOND APPELLANT</w:t>
      </w:r>
    </w:p>
    <w:p w14:paraId="0AF55931" w14:textId="195E7D02" w:rsidR="000815BD" w:rsidRDefault="000815BD" w:rsidP="000815BD">
      <w:pPr>
        <w:widowControl w:val="0"/>
        <w:autoSpaceDE w:val="0"/>
        <w:autoSpaceDN w:val="0"/>
        <w:adjustRightInd w:val="0"/>
        <w:spacing w:line="276" w:lineRule="auto"/>
        <w:jc w:val="both"/>
        <w:rPr>
          <w:rFonts w:ascii="Arial" w:hAnsi="Arial" w:cs="Arial"/>
          <w:bCs/>
          <w:iCs/>
        </w:rPr>
      </w:pPr>
    </w:p>
    <w:p w14:paraId="270B410A" w14:textId="2F2456F0" w:rsidR="00351B4B" w:rsidRPr="0066058F" w:rsidRDefault="000E1829" w:rsidP="000815BD">
      <w:pPr>
        <w:widowControl w:val="0"/>
        <w:autoSpaceDE w:val="0"/>
        <w:autoSpaceDN w:val="0"/>
        <w:adjustRightInd w:val="0"/>
        <w:spacing w:line="276" w:lineRule="auto"/>
        <w:jc w:val="both"/>
        <w:rPr>
          <w:rFonts w:ascii="Arial" w:hAnsi="Arial" w:cs="Arial"/>
          <w:bCs/>
          <w:iCs/>
        </w:rPr>
      </w:pPr>
      <w:r>
        <w:rPr>
          <w:rFonts w:ascii="Arial" w:hAnsi="Arial" w:cs="Arial"/>
          <w:bCs/>
          <w:iCs/>
        </w:rPr>
        <w:t>a</w:t>
      </w:r>
      <w:r w:rsidR="00351B4B" w:rsidRPr="0066058F">
        <w:rPr>
          <w:rFonts w:ascii="Arial" w:hAnsi="Arial" w:cs="Arial"/>
          <w:bCs/>
          <w:iCs/>
        </w:rPr>
        <w:t>nd</w:t>
      </w:r>
    </w:p>
    <w:p w14:paraId="2855C348" w14:textId="77777777" w:rsidR="006F380E" w:rsidRDefault="006F380E" w:rsidP="000815BD">
      <w:pPr>
        <w:widowControl w:val="0"/>
        <w:tabs>
          <w:tab w:val="right" w:pos="9360"/>
        </w:tabs>
        <w:autoSpaceDE w:val="0"/>
        <w:autoSpaceDN w:val="0"/>
        <w:adjustRightInd w:val="0"/>
        <w:spacing w:line="276" w:lineRule="auto"/>
        <w:jc w:val="both"/>
        <w:rPr>
          <w:rFonts w:ascii="Arial" w:hAnsi="Arial" w:cs="Arial"/>
          <w:b/>
          <w:bCs/>
        </w:rPr>
      </w:pPr>
    </w:p>
    <w:p w14:paraId="2F962E67" w14:textId="5B9FFBCE" w:rsidR="0042254A" w:rsidRDefault="00103D5A" w:rsidP="001C4A2C">
      <w:pPr>
        <w:widowControl w:val="0"/>
        <w:tabs>
          <w:tab w:val="right" w:pos="9026"/>
        </w:tabs>
        <w:autoSpaceDE w:val="0"/>
        <w:autoSpaceDN w:val="0"/>
        <w:adjustRightInd w:val="0"/>
        <w:spacing w:line="276" w:lineRule="auto"/>
        <w:jc w:val="both"/>
        <w:rPr>
          <w:rFonts w:ascii="Arial" w:hAnsi="Arial" w:cs="Arial"/>
          <w:b/>
          <w:bCs/>
        </w:rPr>
      </w:pPr>
      <w:r>
        <w:rPr>
          <w:rFonts w:ascii="Arial" w:hAnsi="Arial" w:cs="Arial"/>
          <w:b/>
          <w:bCs/>
        </w:rPr>
        <w:t>JOHNINE WINSOME EL</w:t>
      </w:r>
      <w:r w:rsidR="00B24DB9">
        <w:rPr>
          <w:rFonts w:ascii="Arial" w:hAnsi="Arial" w:cs="Arial"/>
          <w:b/>
          <w:bCs/>
        </w:rPr>
        <w:t>I</w:t>
      </w:r>
      <w:r>
        <w:rPr>
          <w:rFonts w:ascii="Arial" w:hAnsi="Arial" w:cs="Arial"/>
          <w:b/>
          <w:bCs/>
        </w:rPr>
        <w:t>SIE MADDOCKS N O</w:t>
      </w:r>
      <w:r w:rsidR="00EA2553" w:rsidRPr="0066058F">
        <w:rPr>
          <w:rFonts w:ascii="Arial" w:hAnsi="Arial" w:cs="Arial"/>
          <w:b/>
          <w:bCs/>
        </w:rPr>
        <w:t xml:space="preserve">                            </w:t>
      </w:r>
      <w:r w:rsidR="00031F15" w:rsidRPr="0066058F">
        <w:rPr>
          <w:rFonts w:ascii="Arial" w:hAnsi="Arial" w:cs="Arial"/>
          <w:b/>
          <w:bCs/>
        </w:rPr>
        <w:t>FIRST RESPONDENT</w:t>
      </w:r>
    </w:p>
    <w:p w14:paraId="55D796A1" w14:textId="77777777" w:rsidR="006F380E" w:rsidRPr="0066058F" w:rsidRDefault="006F380E" w:rsidP="000815BD">
      <w:pPr>
        <w:widowControl w:val="0"/>
        <w:tabs>
          <w:tab w:val="right" w:pos="9360"/>
        </w:tabs>
        <w:autoSpaceDE w:val="0"/>
        <w:autoSpaceDN w:val="0"/>
        <w:adjustRightInd w:val="0"/>
        <w:spacing w:line="276" w:lineRule="auto"/>
        <w:jc w:val="both"/>
        <w:rPr>
          <w:rFonts w:ascii="Arial" w:hAnsi="Arial" w:cs="Arial"/>
          <w:b/>
          <w:bCs/>
        </w:rPr>
      </w:pPr>
    </w:p>
    <w:p w14:paraId="2F7EF093" w14:textId="6AA3D27F" w:rsidR="0042254A" w:rsidRPr="0066058F" w:rsidRDefault="00103D5A" w:rsidP="001C4A2C">
      <w:pPr>
        <w:widowControl w:val="0"/>
        <w:tabs>
          <w:tab w:val="right" w:pos="9015"/>
        </w:tabs>
        <w:autoSpaceDE w:val="0"/>
        <w:autoSpaceDN w:val="0"/>
        <w:adjustRightInd w:val="0"/>
        <w:spacing w:line="276" w:lineRule="auto"/>
        <w:jc w:val="both"/>
        <w:rPr>
          <w:rFonts w:ascii="Arial" w:hAnsi="Arial" w:cs="Arial"/>
          <w:bCs/>
          <w:i/>
        </w:rPr>
      </w:pPr>
      <w:r>
        <w:rPr>
          <w:rFonts w:ascii="Arial" w:hAnsi="Arial" w:cs="Arial"/>
          <w:b/>
          <w:bCs/>
        </w:rPr>
        <w:t>AMERASAN PILLAY N O</w:t>
      </w:r>
      <w:r w:rsidR="00EA2553" w:rsidRPr="0066058F">
        <w:rPr>
          <w:rFonts w:ascii="Arial" w:hAnsi="Arial" w:cs="Arial"/>
          <w:b/>
          <w:bCs/>
        </w:rPr>
        <w:t xml:space="preserve"> </w:t>
      </w:r>
      <w:r w:rsidR="0042254A" w:rsidRPr="0066058F">
        <w:rPr>
          <w:rFonts w:ascii="Arial" w:hAnsi="Arial" w:cs="Arial"/>
          <w:b/>
          <w:bCs/>
        </w:rPr>
        <w:t xml:space="preserve">          </w:t>
      </w:r>
      <w:r w:rsidR="00031F15">
        <w:rPr>
          <w:rFonts w:ascii="Arial" w:hAnsi="Arial" w:cs="Arial"/>
          <w:b/>
          <w:bCs/>
        </w:rPr>
        <w:tab/>
      </w:r>
      <w:r w:rsidR="00031F15" w:rsidRPr="0066058F">
        <w:rPr>
          <w:rFonts w:ascii="Arial" w:hAnsi="Arial" w:cs="Arial"/>
          <w:b/>
          <w:bCs/>
        </w:rPr>
        <w:t>SECOND RESPONDENT</w:t>
      </w:r>
    </w:p>
    <w:p w14:paraId="733A318A" w14:textId="77777777" w:rsidR="000E4080" w:rsidRPr="0066058F" w:rsidRDefault="000E4080" w:rsidP="00826353">
      <w:pPr>
        <w:widowControl w:val="0"/>
        <w:tabs>
          <w:tab w:val="right" w:pos="9360"/>
        </w:tabs>
        <w:autoSpaceDE w:val="0"/>
        <w:autoSpaceDN w:val="0"/>
        <w:adjustRightInd w:val="0"/>
        <w:spacing w:line="360" w:lineRule="auto"/>
        <w:rPr>
          <w:rFonts w:ascii="Arial" w:hAnsi="Arial" w:cs="Arial"/>
          <w:bCs/>
          <w:i/>
        </w:rPr>
      </w:pPr>
    </w:p>
    <w:p w14:paraId="59A662B5" w14:textId="5DF9BF3F" w:rsidR="00351B4B" w:rsidRPr="0066058F" w:rsidRDefault="008159AB" w:rsidP="000815BD">
      <w:pPr>
        <w:spacing w:line="360" w:lineRule="auto"/>
        <w:ind w:left="2160" w:hanging="2160"/>
        <w:jc w:val="both"/>
        <w:rPr>
          <w:rFonts w:ascii="Arial" w:hAnsi="Arial" w:cs="Arial"/>
        </w:rPr>
      </w:pPr>
      <w:r w:rsidRPr="0066058F">
        <w:rPr>
          <w:rFonts w:ascii="Arial" w:hAnsi="Arial" w:cs="Arial"/>
          <w:b/>
          <w:bCs/>
        </w:rPr>
        <w:t>Neutral citation:</w:t>
      </w:r>
      <w:r w:rsidRPr="0066058F">
        <w:rPr>
          <w:rFonts w:ascii="Arial" w:hAnsi="Arial" w:cs="Arial"/>
          <w:b/>
          <w:bCs/>
        </w:rPr>
        <w:tab/>
      </w:r>
      <w:r w:rsidR="00103D5A">
        <w:rPr>
          <w:rFonts w:ascii="Arial" w:hAnsi="Arial" w:cs="Arial"/>
          <w:bCs/>
          <w:i/>
        </w:rPr>
        <w:t>South African Reserve Bank and Another</w:t>
      </w:r>
      <w:r w:rsidR="00F4734C" w:rsidRPr="0066058F">
        <w:rPr>
          <w:rFonts w:ascii="Arial" w:hAnsi="Arial" w:cs="Arial"/>
          <w:bCs/>
          <w:i/>
        </w:rPr>
        <w:t xml:space="preserve"> </w:t>
      </w:r>
      <w:r w:rsidR="00351B4B" w:rsidRPr="0066058F">
        <w:rPr>
          <w:rFonts w:ascii="Arial" w:hAnsi="Arial" w:cs="Arial"/>
          <w:bCs/>
          <w:i/>
        </w:rPr>
        <w:t xml:space="preserve">v </w:t>
      </w:r>
      <w:r w:rsidR="00103D5A">
        <w:rPr>
          <w:rFonts w:ascii="Arial" w:hAnsi="Arial" w:cs="Arial"/>
          <w:bCs/>
          <w:i/>
        </w:rPr>
        <w:t>Johnine Winsome</w:t>
      </w:r>
      <w:r w:rsidR="00F660CA">
        <w:rPr>
          <w:rFonts w:ascii="Arial" w:hAnsi="Arial" w:cs="Arial"/>
          <w:bCs/>
          <w:i/>
        </w:rPr>
        <w:t xml:space="preserve"> El</w:t>
      </w:r>
      <w:r w:rsidR="00B51FD6">
        <w:rPr>
          <w:rFonts w:ascii="Arial" w:hAnsi="Arial" w:cs="Arial"/>
          <w:bCs/>
          <w:i/>
        </w:rPr>
        <w:t>i</w:t>
      </w:r>
      <w:r w:rsidR="00F660CA">
        <w:rPr>
          <w:rFonts w:ascii="Arial" w:hAnsi="Arial" w:cs="Arial"/>
          <w:bCs/>
          <w:i/>
        </w:rPr>
        <w:t>sie Maddocks N O</w:t>
      </w:r>
      <w:r w:rsidR="00F4734C" w:rsidRPr="0066058F">
        <w:rPr>
          <w:rFonts w:ascii="Arial" w:hAnsi="Arial" w:cs="Arial"/>
          <w:bCs/>
          <w:i/>
        </w:rPr>
        <w:t xml:space="preserve"> </w:t>
      </w:r>
      <w:r w:rsidR="005D3E8E" w:rsidRPr="0066058F">
        <w:rPr>
          <w:rFonts w:ascii="Arial" w:hAnsi="Arial" w:cs="Arial"/>
          <w:bCs/>
          <w:i/>
        </w:rPr>
        <w:t xml:space="preserve">and </w:t>
      </w:r>
      <w:r w:rsidR="00EA2553" w:rsidRPr="0066058F">
        <w:rPr>
          <w:rFonts w:ascii="Arial" w:hAnsi="Arial" w:cs="Arial"/>
          <w:bCs/>
          <w:i/>
        </w:rPr>
        <w:t>Ano</w:t>
      </w:r>
      <w:r w:rsidR="005D3E8E" w:rsidRPr="0066058F">
        <w:rPr>
          <w:rFonts w:ascii="Arial" w:hAnsi="Arial" w:cs="Arial"/>
          <w:bCs/>
          <w:i/>
        </w:rPr>
        <w:t>ther</w:t>
      </w:r>
      <w:r w:rsidR="0075221D" w:rsidRPr="0066058F">
        <w:rPr>
          <w:rFonts w:ascii="Arial" w:hAnsi="Arial" w:cs="Arial"/>
          <w:bCs/>
          <w:i/>
        </w:rPr>
        <w:t xml:space="preserve"> </w:t>
      </w:r>
      <w:r w:rsidR="0075221D" w:rsidRPr="0066058F">
        <w:rPr>
          <w:rFonts w:ascii="Arial" w:hAnsi="Arial" w:cs="Arial"/>
          <w:bCs/>
        </w:rPr>
        <w:t>(</w:t>
      </w:r>
      <w:r w:rsidR="00F660CA">
        <w:rPr>
          <w:rFonts w:ascii="Arial" w:hAnsi="Arial" w:cs="Arial"/>
          <w:bCs/>
        </w:rPr>
        <w:t>1268</w:t>
      </w:r>
      <w:r w:rsidR="00351B4B" w:rsidRPr="0066058F">
        <w:rPr>
          <w:rFonts w:ascii="Arial" w:hAnsi="Arial" w:cs="Arial"/>
          <w:bCs/>
        </w:rPr>
        <w:t>/20</w:t>
      </w:r>
      <w:r w:rsidR="0075221D" w:rsidRPr="0066058F">
        <w:rPr>
          <w:rFonts w:ascii="Arial" w:hAnsi="Arial" w:cs="Arial"/>
          <w:bCs/>
        </w:rPr>
        <w:t>2</w:t>
      </w:r>
      <w:r w:rsidR="00C76471" w:rsidRPr="0066058F">
        <w:rPr>
          <w:rFonts w:ascii="Arial" w:hAnsi="Arial" w:cs="Arial"/>
          <w:bCs/>
        </w:rPr>
        <w:t>1</w:t>
      </w:r>
      <w:r w:rsidR="00783DBA" w:rsidRPr="0066058F">
        <w:rPr>
          <w:rFonts w:ascii="Arial" w:hAnsi="Arial" w:cs="Arial"/>
          <w:bCs/>
        </w:rPr>
        <w:t>) [</w:t>
      </w:r>
      <w:r w:rsidR="00783DBA" w:rsidRPr="00A550DF">
        <w:rPr>
          <w:rFonts w:ascii="Arial" w:hAnsi="Arial" w:cs="Arial"/>
          <w:bCs/>
        </w:rPr>
        <w:t>202</w:t>
      </w:r>
      <w:r w:rsidR="00FF56EB" w:rsidRPr="00A550DF">
        <w:rPr>
          <w:rFonts w:ascii="Arial" w:hAnsi="Arial" w:cs="Arial"/>
          <w:bCs/>
        </w:rPr>
        <w:t>3</w:t>
      </w:r>
      <w:r w:rsidR="00783DBA" w:rsidRPr="00A550DF">
        <w:rPr>
          <w:rFonts w:ascii="Arial" w:hAnsi="Arial" w:cs="Arial"/>
          <w:bCs/>
        </w:rPr>
        <w:t>]</w:t>
      </w:r>
      <w:r w:rsidR="00783DBA" w:rsidRPr="0066058F">
        <w:rPr>
          <w:rFonts w:ascii="Arial" w:hAnsi="Arial" w:cs="Arial"/>
          <w:bCs/>
        </w:rPr>
        <w:t xml:space="preserve"> ZASCA </w:t>
      </w:r>
      <w:r w:rsidR="00AC652C">
        <w:rPr>
          <w:rFonts w:ascii="Arial" w:hAnsi="Arial" w:cs="Arial"/>
          <w:bCs/>
        </w:rPr>
        <w:t>04</w:t>
      </w:r>
      <w:r w:rsidR="001406DB" w:rsidRPr="0066058F">
        <w:rPr>
          <w:rFonts w:ascii="Arial" w:hAnsi="Arial" w:cs="Arial"/>
          <w:bCs/>
        </w:rPr>
        <w:t xml:space="preserve"> </w:t>
      </w:r>
      <w:r w:rsidR="00351B4B" w:rsidRPr="0066058F">
        <w:rPr>
          <w:rFonts w:ascii="Arial" w:hAnsi="Arial" w:cs="Arial"/>
          <w:bCs/>
        </w:rPr>
        <w:t>(</w:t>
      </w:r>
      <w:r w:rsidR="00AC652C">
        <w:rPr>
          <w:rFonts w:ascii="Arial" w:hAnsi="Arial" w:cs="Arial"/>
          <w:bCs/>
        </w:rPr>
        <w:t>23</w:t>
      </w:r>
      <w:r w:rsidR="00351B4B" w:rsidRPr="0066058F">
        <w:rPr>
          <w:rFonts w:ascii="Arial" w:hAnsi="Arial" w:cs="Arial"/>
          <w:bCs/>
        </w:rPr>
        <w:t xml:space="preserve"> </w:t>
      </w:r>
      <w:r w:rsidR="00AC652C">
        <w:rPr>
          <w:rFonts w:ascii="Arial" w:hAnsi="Arial" w:cs="Arial"/>
          <w:bCs/>
        </w:rPr>
        <w:t>January</w:t>
      </w:r>
      <w:r w:rsidR="00AC652C" w:rsidRPr="0066058F">
        <w:rPr>
          <w:rFonts w:ascii="Arial" w:hAnsi="Arial" w:cs="Arial"/>
          <w:bCs/>
        </w:rPr>
        <w:t xml:space="preserve"> </w:t>
      </w:r>
      <w:r w:rsidR="00351B4B" w:rsidRPr="0066058F">
        <w:rPr>
          <w:rFonts w:ascii="Arial" w:hAnsi="Arial" w:cs="Arial"/>
          <w:bCs/>
        </w:rPr>
        <w:t>202</w:t>
      </w:r>
      <w:r w:rsidR="003A2199">
        <w:rPr>
          <w:rFonts w:ascii="Arial" w:hAnsi="Arial" w:cs="Arial"/>
          <w:bCs/>
        </w:rPr>
        <w:t>3</w:t>
      </w:r>
      <w:r w:rsidR="00351B4B" w:rsidRPr="0066058F">
        <w:rPr>
          <w:rFonts w:ascii="Arial" w:hAnsi="Arial" w:cs="Arial"/>
          <w:bCs/>
        </w:rPr>
        <w:t>)</w:t>
      </w:r>
    </w:p>
    <w:p w14:paraId="58186261" w14:textId="77777777" w:rsidR="00826353" w:rsidRDefault="00826353" w:rsidP="000815BD">
      <w:pPr>
        <w:spacing w:line="360" w:lineRule="auto"/>
        <w:ind w:left="1440" w:hanging="1440"/>
        <w:jc w:val="both"/>
        <w:rPr>
          <w:rFonts w:ascii="Arial" w:hAnsi="Arial" w:cs="Arial"/>
          <w:b/>
          <w:bCs/>
        </w:rPr>
      </w:pPr>
    </w:p>
    <w:p w14:paraId="1F5C022E" w14:textId="20E4519F" w:rsidR="008159AB" w:rsidRPr="0066058F" w:rsidRDefault="008159AB" w:rsidP="000815BD">
      <w:pPr>
        <w:spacing w:line="360" w:lineRule="auto"/>
        <w:ind w:left="1440" w:hanging="1440"/>
        <w:jc w:val="both"/>
        <w:rPr>
          <w:rFonts w:ascii="Arial" w:hAnsi="Arial" w:cs="Arial"/>
          <w:b/>
          <w:bCs/>
          <w:i/>
          <w:iCs/>
        </w:rPr>
      </w:pPr>
      <w:r w:rsidRPr="0066058F">
        <w:rPr>
          <w:rFonts w:ascii="Arial" w:hAnsi="Arial" w:cs="Arial"/>
          <w:b/>
          <w:bCs/>
        </w:rPr>
        <w:t>Coram:</w:t>
      </w:r>
      <w:r w:rsidRPr="0066058F">
        <w:rPr>
          <w:rFonts w:ascii="Arial" w:hAnsi="Arial" w:cs="Arial"/>
        </w:rPr>
        <w:tab/>
      </w:r>
      <w:r w:rsidR="00F4734C" w:rsidRPr="0066058F">
        <w:rPr>
          <w:rFonts w:ascii="Arial" w:hAnsi="Arial" w:cs="Arial"/>
          <w:bCs/>
        </w:rPr>
        <w:t>ZONDI</w:t>
      </w:r>
      <w:r w:rsidR="00DC7B5D">
        <w:rPr>
          <w:rFonts w:ascii="Arial" w:hAnsi="Arial" w:cs="Arial"/>
          <w:bCs/>
        </w:rPr>
        <w:t>,</w:t>
      </w:r>
      <w:r w:rsidR="00F4734C" w:rsidRPr="0066058F">
        <w:rPr>
          <w:rFonts w:ascii="Arial" w:hAnsi="Arial" w:cs="Arial"/>
          <w:bCs/>
        </w:rPr>
        <w:t xml:space="preserve"> </w:t>
      </w:r>
      <w:r w:rsidR="00EA2553" w:rsidRPr="0066058F">
        <w:rPr>
          <w:rFonts w:ascii="Arial" w:hAnsi="Arial" w:cs="Arial"/>
          <w:bCs/>
        </w:rPr>
        <w:t>MO</w:t>
      </w:r>
      <w:r w:rsidR="00F660CA">
        <w:rPr>
          <w:rFonts w:ascii="Arial" w:hAnsi="Arial" w:cs="Arial"/>
          <w:bCs/>
        </w:rPr>
        <w:t xml:space="preserve">CUMIE </w:t>
      </w:r>
      <w:r w:rsidR="00BB7BE8" w:rsidRPr="0066058F">
        <w:rPr>
          <w:rFonts w:ascii="Arial" w:hAnsi="Arial" w:cs="Arial"/>
          <w:bCs/>
        </w:rPr>
        <w:t xml:space="preserve">and </w:t>
      </w:r>
      <w:r w:rsidR="00F660CA">
        <w:rPr>
          <w:rFonts w:ascii="Arial" w:hAnsi="Arial" w:cs="Arial"/>
          <w:bCs/>
        </w:rPr>
        <w:t>G</w:t>
      </w:r>
      <w:r w:rsidR="00F660CA" w:rsidRPr="008B035F">
        <w:rPr>
          <w:rFonts w:ascii="Arial" w:hAnsi="Arial" w:cs="Arial"/>
          <w:bCs/>
        </w:rPr>
        <w:t>O</w:t>
      </w:r>
      <w:r w:rsidR="006B1CF5" w:rsidRPr="007F5C66">
        <w:rPr>
          <w:rFonts w:ascii="Arial" w:hAnsi="Arial" w:cs="Arial"/>
          <w:bCs/>
        </w:rPr>
        <w:t>R</w:t>
      </w:r>
      <w:r w:rsidR="00F660CA" w:rsidRPr="008B035F">
        <w:rPr>
          <w:rFonts w:ascii="Arial" w:hAnsi="Arial" w:cs="Arial"/>
          <w:bCs/>
        </w:rPr>
        <w:t>V</w:t>
      </w:r>
      <w:r w:rsidR="00F660CA">
        <w:rPr>
          <w:rFonts w:ascii="Arial" w:hAnsi="Arial" w:cs="Arial"/>
          <w:bCs/>
        </w:rPr>
        <w:t>EN</w:t>
      </w:r>
      <w:r w:rsidR="00F660CA" w:rsidRPr="00F660CA">
        <w:t xml:space="preserve"> </w:t>
      </w:r>
      <w:r w:rsidR="00DC7B5D" w:rsidRPr="007F5C66">
        <w:rPr>
          <w:rFonts w:ascii="Arial" w:hAnsi="Arial" w:cs="Arial"/>
          <w:bCs/>
        </w:rPr>
        <w:t>and</w:t>
      </w:r>
      <w:r w:rsidR="008A4DAC" w:rsidRPr="0066058F">
        <w:rPr>
          <w:rFonts w:ascii="Arial" w:hAnsi="Arial" w:cs="Arial"/>
          <w:bCs/>
        </w:rPr>
        <w:t xml:space="preserve"> </w:t>
      </w:r>
      <w:r w:rsidR="00F660CA">
        <w:rPr>
          <w:rFonts w:ascii="Arial" w:hAnsi="Arial" w:cs="Arial"/>
          <w:bCs/>
        </w:rPr>
        <w:t>NHLANGULELA</w:t>
      </w:r>
      <w:r w:rsidR="008A4DAC" w:rsidRPr="0066058F">
        <w:rPr>
          <w:rFonts w:ascii="Arial" w:hAnsi="Arial" w:cs="Arial"/>
          <w:bCs/>
        </w:rPr>
        <w:t xml:space="preserve"> </w:t>
      </w:r>
      <w:r w:rsidR="00C17BB0">
        <w:rPr>
          <w:rFonts w:ascii="Arial" w:hAnsi="Arial" w:cs="Arial"/>
          <w:bCs/>
        </w:rPr>
        <w:t>AJ</w:t>
      </w:r>
      <w:r w:rsidR="00C17BB0" w:rsidRPr="00C17BB0">
        <w:rPr>
          <w:rFonts w:ascii="Arial" w:hAnsi="Arial" w:cs="Arial"/>
          <w:bCs/>
        </w:rPr>
        <w:t xml:space="preserve">JA </w:t>
      </w:r>
      <w:r w:rsidR="008A4DAC" w:rsidRPr="0066058F">
        <w:rPr>
          <w:rFonts w:ascii="Arial" w:hAnsi="Arial" w:cs="Arial"/>
          <w:bCs/>
        </w:rPr>
        <w:t xml:space="preserve">and </w:t>
      </w:r>
      <w:r w:rsidR="00F660CA">
        <w:rPr>
          <w:rFonts w:ascii="Arial" w:hAnsi="Arial" w:cs="Arial"/>
          <w:bCs/>
        </w:rPr>
        <w:t>BASSON</w:t>
      </w:r>
      <w:r w:rsidR="00F4734C" w:rsidRPr="0066058F">
        <w:rPr>
          <w:rFonts w:ascii="Arial" w:hAnsi="Arial" w:cs="Arial"/>
          <w:bCs/>
        </w:rPr>
        <w:t xml:space="preserve"> </w:t>
      </w:r>
      <w:r w:rsidR="00783DBA" w:rsidRPr="0066058F">
        <w:rPr>
          <w:rFonts w:ascii="Arial" w:hAnsi="Arial" w:cs="Arial"/>
          <w:bCs/>
        </w:rPr>
        <w:t>AJJA</w:t>
      </w:r>
    </w:p>
    <w:p w14:paraId="2761E55A" w14:textId="77777777" w:rsidR="008A2E05" w:rsidRDefault="008A2E05" w:rsidP="000815BD">
      <w:pPr>
        <w:spacing w:line="360" w:lineRule="auto"/>
        <w:jc w:val="both"/>
        <w:rPr>
          <w:rFonts w:ascii="Arial" w:hAnsi="Arial" w:cs="Arial"/>
          <w:b/>
          <w:bCs/>
        </w:rPr>
      </w:pPr>
    </w:p>
    <w:p w14:paraId="6531C4D5" w14:textId="1C173B22" w:rsidR="008159AB" w:rsidRDefault="008159AB" w:rsidP="000815BD">
      <w:pPr>
        <w:spacing w:line="360" w:lineRule="auto"/>
        <w:jc w:val="both"/>
        <w:rPr>
          <w:rFonts w:ascii="Arial" w:hAnsi="Arial" w:cs="Arial"/>
        </w:rPr>
      </w:pPr>
      <w:r w:rsidRPr="0066058F">
        <w:rPr>
          <w:rFonts w:ascii="Arial" w:hAnsi="Arial" w:cs="Arial"/>
          <w:b/>
          <w:bCs/>
        </w:rPr>
        <w:t>Heard</w:t>
      </w:r>
      <w:r w:rsidR="008A4DAC" w:rsidRPr="001C4A2C">
        <w:rPr>
          <w:rFonts w:ascii="Arial" w:hAnsi="Arial" w:cs="Arial"/>
          <w:b/>
        </w:rPr>
        <w:t>:</w:t>
      </w:r>
      <w:r w:rsidR="00F660CA">
        <w:rPr>
          <w:rFonts w:ascii="Arial" w:hAnsi="Arial" w:cs="Arial"/>
        </w:rPr>
        <w:tab/>
        <w:t>16</w:t>
      </w:r>
      <w:r w:rsidR="005D3E8E" w:rsidRPr="0066058F">
        <w:rPr>
          <w:rFonts w:ascii="Arial" w:hAnsi="Arial" w:cs="Arial"/>
        </w:rPr>
        <w:t xml:space="preserve"> November</w:t>
      </w:r>
      <w:r w:rsidR="0075221D" w:rsidRPr="0066058F">
        <w:rPr>
          <w:rFonts w:ascii="Arial" w:hAnsi="Arial" w:cs="Arial"/>
        </w:rPr>
        <w:t xml:space="preserve"> 202</w:t>
      </w:r>
      <w:r w:rsidR="00C76471" w:rsidRPr="0066058F">
        <w:rPr>
          <w:rFonts w:ascii="Arial" w:hAnsi="Arial" w:cs="Arial"/>
        </w:rPr>
        <w:t>2</w:t>
      </w:r>
    </w:p>
    <w:p w14:paraId="691819CB" w14:textId="77777777" w:rsidR="00C84BBD" w:rsidRDefault="00C84BBD" w:rsidP="000815BD">
      <w:pPr>
        <w:spacing w:line="360" w:lineRule="auto"/>
        <w:jc w:val="both"/>
        <w:rPr>
          <w:rFonts w:ascii="Arial" w:hAnsi="Arial" w:cs="Arial"/>
        </w:rPr>
      </w:pPr>
    </w:p>
    <w:p w14:paraId="0E046385" w14:textId="76532E3D" w:rsidR="008159AB" w:rsidRPr="00A550DF" w:rsidRDefault="008159AB" w:rsidP="00A550DF">
      <w:pPr>
        <w:spacing w:line="360" w:lineRule="auto"/>
        <w:ind w:left="1440" w:hanging="1440"/>
        <w:jc w:val="both"/>
        <w:rPr>
          <w:rFonts w:ascii="Arial" w:hAnsi="Arial" w:cs="Arial"/>
        </w:rPr>
      </w:pPr>
      <w:r w:rsidRPr="00A4481B">
        <w:rPr>
          <w:rFonts w:ascii="Arial" w:hAnsi="Arial" w:cs="Arial"/>
          <w:b/>
          <w:bCs/>
        </w:rPr>
        <w:t>Delivered</w:t>
      </w:r>
      <w:r w:rsidRPr="001C4A2C">
        <w:rPr>
          <w:rFonts w:ascii="Arial" w:hAnsi="Arial" w:cs="Arial"/>
          <w:b/>
        </w:rPr>
        <w:t>:</w:t>
      </w:r>
      <w:r w:rsidRPr="00A4481B">
        <w:rPr>
          <w:rFonts w:ascii="Arial" w:hAnsi="Arial" w:cs="Arial"/>
        </w:rPr>
        <w:tab/>
      </w:r>
      <w:r w:rsidR="00A550DF" w:rsidRPr="00A550DF">
        <w:rPr>
          <w:rFonts w:ascii="Arial" w:hAnsi="Arial" w:cs="Arial"/>
        </w:rPr>
        <w:t>This judgment was handed down electronically by circulation to the parties’ representatives by email, publication on the Supreme Court of Appeal website and release to SAFLII. The date and time for hand-down is deemed to be 1</w:t>
      </w:r>
      <w:r w:rsidR="00F369DE">
        <w:rPr>
          <w:rFonts w:ascii="Arial" w:hAnsi="Arial" w:cs="Arial"/>
        </w:rPr>
        <w:t>5</w:t>
      </w:r>
      <w:r w:rsidR="00A550DF" w:rsidRPr="00A550DF">
        <w:rPr>
          <w:rFonts w:ascii="Arial" w:hAnsi="Arial" w:cs="Arial"/>
        </w:rPr>
        <w:t>:00</w:t>
      </w:r>
      <w:r w:rsidR="00A550DF">
        <w:rPr>
          <w:rFonts w:ascii="Arial" w:hAnsi="Arial" w:cs="Arial"/>
        </w:rPr>
        <w:t xml:space="preserve"> </w:t>
      </w:r>
      <w:r w:rsidR="00F369DE">
        <w:rPr>
          <w:rFonts w:ascii="Arial" w:hAnsi="Arial" w:cs="Arial"/>
        </w:rPr>
        <w:t>p</w:t>
      </w:r>
      <w:r w:rsidR="00A550DF" w:rsidRPr="00A550DF">
        <w:rPr>
          <w:rFonts w:ascii="Arial" w:hAnsi="Arial" w:cs="Arial"/>
        </w:rPr>
        <w:t xml:space="preserve">m on </w:t>
      </w:r>
      <w:r w:rsidR="00A550DF">
        <w:rPr>
          <w:rFonts w:ascii="Arial" w:hAnsi="Arial" w:cs="Arial"/>
        </w:rPr>
        <w:t>23</w:t>
      </w:r>
      <w:r w:rsidR="00A550DF" w:rsidRPr="00A550DF">
        <w:rPr>
          <w:rFonts w:ascii="Arial" w:hAnsi="Arial" w:cs="Arial"/>
        </w:rPr>
        <w:t xml:space="preserve"> January 2023.</w:t>
      </w:r>
    </w:p>
    <w:p w14:paraId="4D95A10D" w14:textId="77777777" w:rsidR="00826353" w:rsidRDefault="00826353" w:rsidP="000815BD">
      <w:pPr>
        <w:spacing w:line="360" w:lineRule="auto"/>
        <w:jc w:val="both"/>
        <w:rPr>
          <w:rFonts w:ascii="Arial" w:hAnsi="Arial" w:cs="Arial"/>
          <w:b/>
          <w:bCs/>
        </w:rPr>
      </w:pPr>
    </w:p>
    <w:p w14:paraId="7C2236E4" w14:textId="16894F9C" w:rsidR="00E42E5E" w:rsidRPr="00004CDD" w:rsidRDefault="008159AB" w:rsidP="00AA6AA5">
      <w:pPr>
        <w:spacing w:line="480" w:lineRule="auto"/>
        <w:jc w:val="both"/>
        <w:rPr>
          <w:rFonts w:ascii="Arial" w:hAnsi="Arial" w:cs="Arial"/>
          <w:bCs/>
        </w:rPr>
      </w:pPr>
      <w:r w:rsidRPr="00A4481B">
        <w:rPr>
          <w:rFonts w:ascii="Arial" w:hAnsi="Arial" w:cs="Arial"/>
          <w:b/>
          <w:bCs/>
        </w:rPr>
        <w:t>Summary:</w:t>
      </w:r>
      <w:r w:rsidR="00A8241B">
        <w:rPr>
          <w:rFonts w:ascii="Arial" w:hAnsi="Arial" w:cs="Arial"/>
          <w:b/>
          <w:bCs/>
        </w:rPr>
        <w:t xml:space="preserve">  </w:t>
      </w:r>
      <w:r w:rsidR="008129AA">
        <w:rPr>
          <w:rFonts w:ascii="Arial" w:hAnsi="Arial" w:cs="Arial"/>
          <w:bCs/>
        </w:rPr>
        <w:t xml:space="preserve">Exchange Control Regulations of the Currency and Exchanges Act,1933 </w:t>
      </w:r>
      <w:r w:rsidR="001C26AD">
        <w:rPr>
          <w:rFonts w:ascii="Arial" w:hAnsi="Arial" w:cs="Arial"/>
          <w:bCs/>
        </w:rPr>
        <w:t>–</w:t>
      </w:r>
      <w:r w:rsidR="008129AA">
        <w:rPr>
          <w:rFonts w:ascii="Arial" w:hAnsi="Arial" w:cs="Arial"/>
          <w:bCs/>
        </w:rPr>
        <w:t xml:space="preserve"> </w:t>
      </w:r>
      <w:r w:rsidR="00A8241B">
        <w:rPr>
          <w:rFonts w:ascii="Arial" w:hAnsi="Arial" w:cs="Arial"/>
          <w:bCs/>
        </w:rPr>
        <w:t xml:space="preserve">Legal consequences of </w:t>
      </w:r>
      <w:r w:rsidR="008C24CA" w:rsidRPr="007F5C66">
        <w:rPr>
          <w:rFonts w:ascii="Arial" w:hAnsi="Arial" w:cs="Arial"/>
          <w:bCs/>
        </w:rPr>
        <w:t>a</w:t>
      </w:r>
      <w:r w:rsidR="00A8241B">
        <w:rPr>
          <w:rFonts w:ascii="Arial" w:hAnsi="Arial" w:cs="Arial"/>
          <w:bCs/>
        </w:rPr>
        <w:t xml:space="preserve"> forfeiture order issued in terms of Regulation 22B after the </w:t>
      </w:r>
      <w:r w:rsidR="00A8241B">
        <w:rPr>
          <w:rFonts w:ascii="Arial" w:hAnsi="Arial" w:cs="Arial"/>
          <w:bCs/>
        </w:rPr>
        <w:lastRenderedPageBreak/>
        <w:t>winding-up of a company –</w:t>
      </w:r>
      <w:r w:rsidR="008129AA">
        <w:rPr>
          <w:rFonts w:ascii="Arial" w:hAnsi="Arial" w:cs="Arial"/>
          <w:bCs/>
        </w:rPr>
        <w:t xml:space="preserve"> </w:t>
      </w:r>
      <w:r w:rsidR="00A8241B">
        <w:rPr>
          <w:rFonts w:ascii="Arial" w:hAnsi="Arial" w:cs="Arial"/>
          <w:bCs/>
        </w:rPr>
        <w:t>liquidati</w:t>
      </w:r>
      <w:r w:rsidR="008129AA">
        <w:rPr>
          <w:rFonts w:ascii="Arial" w:hAnsi="Arial" w:cs="Arial"/>
          <w:bCs/>
        </w:rPr>
        <w:t xml:space="preserve">on does not nullify </w:t>
      </w:r>
      <w:r w:rsidR="0032199A" w:rsidRPr="007F5C66">
        <w:rPr>
          <w:rFonts w:ascii="Arial" w:hAnsi="Arial" w:cs="Arial"/>
          <w:bCs/>
        </w:rPr>
        <w:t>a prior</w:t>
      </w:r>
      <w:r w:rsidR="0032199A">
        <w:rPr>
          <w:rFonts w:ascii="Arial" w:hAnsi="Arial" w:cs="Arial"/>
          <w:bCs/>
        </w:rPr>
        <w:t xml:space="preserve"> </w:t>
      </w:r>
      <w:r w:rsidR="00A8241B">
        <w:rPr>
          <w:rFonts w:ascii="Arial" w:hAnsi="Arial" w:cs="Arial"/>
          <w:bCs/>
        </w:rPr>
        <w:t>blocking order in respect of company’s assets</w:t>
      </w:r>
      <w:r w:rsidR="00535DEF">
        <w:rPr>
          <w:rFonts w:ascii="Arial" w:hAnsi="Arial" w:cs="Arial"/>
          <w:bCs/>
        </w:rPr>
        <w:t xml:space="preserve"> </w:t>
      </w:r>
      <w:r w:rsidR="008129AA">
        <w:rPr>
          <w:rFonts w:ascii="Arial" w:hAnsi="Arial" w:cs="Arial"/>
          <w:bCs/>
        </w:rPr>
        <w:t>issued in terms of Regulation 22A and/or 22C</w:t>
      </w:r>
      <w:r w:rsidR="00A8241B">
        <w:rPr>
          <w:rFonts w:ascii="Arial" w:hAnsi="Arial" w:cs="Arial"/>
          <w:bCs/>
        </w:rPr>
        <w:t xml:space="preserve"> – </w:t>
      </w:r>
      <w:r w:rsidR="00016CCF">
        <w:rPr>
          <w:rFonts w:ascii="Arial" w:hAnsi="Arial" w:cs="Arial"/>
          <w:bCs/>
        </w:rPr>
        <w:t>iss</w:t>
      </w:r>
      <w:r w:rsidR="008129AA">
        <w:rPr>
          <w:rFonts w:ascii="Arial" w:hAnsi="Arial" w:cs="Arial"/>
          <w:bCs/>
        </w:rPr>
        <w:t>uance of the blocking order</w:t>
      </w:r>
      <w:r w:rsidR="00016CCF">
        <w:rPr>
          <w:rFonts w:ascii="Arial" w:hAnsi="Arial" w:cs="Arial"/>
          <w:bCs/>
        </w:rPr>
        <w:t xml:space="preserve"> </w:t>
      </w:r>
      <w:r w:rsidR="008129AA">
        <w:rPr>
          <w:rFonts w:ascii="Arial" w:hAnsi="Arial" w:cs="Arial"/>
          <w:bCs/>
        </w:rPr>
        <w:t xml:space="preserve">and forfeiture order </w:t>
      </w:r>
      <w:r w:rsidR="00016CCF">
        <w:rPr>
          <w:rFonts w:ascii="Arial" w:hAnsi="Arial" w:cs="Arial"/>
          <w:bCs/>
        </w:rPr>
        <w:t xml:space="preserve">does not render the </w:t>
      </w:r>
      <w:r w:rsidR="00A8241B">
        <w:rPr>
          <w:rFonts w:ascii="Arial" w:hAnsi="Arial" w:cs="Arial"/>
          <w:bCs/>
        </w:rPr>
        <w:t>South African Reserve Bank</w:t>
      </w:r>
      <w:r w:rsidR="00016CCF">
        <w:rPr>
          <w:rFonts w:ascii="Arial" w:hAnsi="Arial" w:cs="Arial"/>
          <w:bCs/>
        </w:rPr>
        <w:t xml:space="preserve"> </w:t>
      </w:r>
      <w:r w:rsidR="008129AA">
        <w:rPr>
          <w:rFonts w:ascii="Arial" w:hAnsi="Arial" w:cs="Arial"/>
          <w:bCs/>
        </w:rPr>
        <w:t xml:space="preserve">a </w:t>
      </w:r>
      <w:r w:rsidR="00016CCF">
        <w:rPr>
          <w:rFonts w:ascii="Arial" w:hAnsi="Arial" w:cs="Arial"/>
          <w:bCs/>
        </w:rPr>
        <w:t xml:space="preserve">creditor of the </w:t>
      </w:r>
      <w:r w:rsidR="008129AA">
        <w:rPr>
          <w:rFonts w:ascii="Arial" w:hAnsi="Arial" w:cs="Arial"/>
          <w:bCs/>
        </w:rPr>
        <w:t xml:space="preserve">insolvent </w:t>
      </w:r>
      <w:r w:rsidR="00016CCF">
        <w:rPr>
          <w:rFonts w:ascii="Arial" w:hAnsi="Arial" w:cs="Arial"/>
          <w:bCs/>
        </w:rPr>
        <w:t>company</w:t>
      </w:r>
      <w:r w:rsidR="008C24CA">
        <w:rPr>
          <w:rFonts w:ascii="Arial" w:hAnsi="Arial" w:cs="Arial"/>
          <w:bCs/>
        </w:rPr>
        <w:t xml:space="preserve"> </w:t>
      </w:r>
      <w:r w:rsidR="008C24CA" w:rsidRPr="007F5C66">
        <w:rPr>
          <w:rFonts w:ascii="Arial" w:hAnsi="Arial" w:cs="Arial"/>
          <w:bCs/>
        </w:rPr>
        <w:t>– forfeiture order competent</w:t>
      </w:r>
      <w:r w:rsidR="00016CCF" w:rsidRPr="008B035F">
        <w:rPr>
          <w:rFonts w:ascii="Arial" w:hAnsi="Arial" w:cs="Arial"/>
          <w:bCs/>
        </w:rPr>
        <w:t>.</w:t>
      </w:r>
      <w:r w:rsidR="00C328F1" w:rsidRPr="00004CDD">
        <w:rPr>
          <w:rFonts w:ascii="Arial" w:hAnsi="Arial" w:cs="Arial"/>
        </w:rPr>
        <w:t xml:space="preserve"> </w:t>
      </w:r>
    </w:p>
    <w:p w14:paraId="36FAF66C" w14:textId="6053DEF7" w:rsidR="00BB1B22" w:rsidRPr="00004CDD" w:rsidRDefault="00E42E5E" w:rsidP="00BB7BE8">
      <w:pPr>
        <w:spacing w:after="160" w:line="259" w:lineRule="auto"/>
        <w:rPr>
          <w:rFonts w:ascii="Arial" w:hAnsi="Arial" w:cs="Arial"/>
          <w:b/>
        </w:rPr>
      </w:pPr>
      <w:r w:rsidRPr="00004CDD">
        <w:rPr>
          <w:rFonts w:ascii="Arial" w:hAnsi="Arial" w:cs="Arial"/>
          <w:bCs/>
        </w:rPr>
        <w:br w:type="page"/>
      </w:r>
      <w:r w:rsidR="005023EF" w:rsidRPr="00004CDD">
        <w:rPr>
          <w:rFonts w:ascii="Arial" w:hAnsi="Arial" w:cs="Arial"/>
          <w:b/>
        </w:rPr>
        <w:lastRenderedPageBreak/>
        <w:t>___________________________________________________________________</w:t>
      </w:r>
    </w:p>
    <w:p w14:paraId="54CC67AC" w14:textId="77777777" w:rsidR="005023EF" w:rsidRPr="00004CDD" w:rsidRDefault="005023EF" w:rsidP="000E3AE8">
      <w:pPr>
        <w:spacing w:line="276" w:lineRule="auto"/>
        <w:jc w:val="both"/>
        <w:rPr>
          <w:rFonts w:ascii="Arial" w:hAnsi="Arial" w:cs="Arial"/>
          <w:b/>
        </w:rPr>
      </w:pPr>
    </w:p>
    <w:p w14:paraId="40B2148A" w14:textId="77777777" w:rsidR="005023EF" w:rsidRPr="00004CDD" w:rsidRDefault="005023EF" w:rsidP="000E3AE8">
      <w:pPr>
        <w:spacing w:line="276" w:lineRule="auto"/>
        <w:jc w:val="center"/>
        <w:rPr>
          <w:rFonts w:ascii="Arial" w:hAnsi="Arial" w:cs="Arial"/>
          <w:b/>
        </w:rPr>
      </w:pPr>
      <w:r w:rsidRPr="00004CDD">
        <w:rPr>
          <w:rFonts w:ascii="Arial" w:hAnsi="Arial" w:cs="Arial"/>
          <w:b/>
        </w:rPr>
        <w:t>ORDER</w:t>
      </w:r>
    </w:p>
    <w:p w14:paraId="7611AC5D" w14:textId="6AF01910" w:rsidR="007134FE" w:rsidRPr="007134FE" w:rsidRDefault="005023EF" w:rsidP="007E5F68">
      <w:pPr>
        <w:spacing w:line="480" w:lineRule="auto"/>
        <w:jc w:val="both"/>
        <w:rPr>
          <w:rFonts w:ascii="Arial" w:hAnsi="Arial" w:cs="Arial"/>
          <w:b/>
          <w:bCs/>
          <w:color w:val="FFFFFF" w:themeColor="background1"/>
          <w:u w:val="thick"/>
        </w:rPr>
      </w:pPr>
      <w:r w:rsidRPr="00004CDD">
        <w:rPr>
          <w:rFonts w:ascii="Arial" w:hAnsi="Arial" w:cs="Arial"/>
          <w:b/>
        </w:rPr>
        <w:t>___________________________________________________________</w:t>
      </w:r>
      <w:r w:rsidR="007134FE">
        <w:rPr>
          <w:rFonts w:ascii="Arial" w:hAnsi="Arial" w:cs="Arial"/>
          <w:b/>
        </w:rPr>
        <w:t>_</w:t>
      </w:r>
      <w:r w:rsidRPr="00004CDD">
        <w:rPr>
          <w:rFonts w:ascii="Arial" w:hAnsi="Arial" w:cs="Arial"/>
          <w:b/>
        </w:rPr>
        <w:t>___</w:t>
      </w:r>
      <w:r w:rsidR="00733080" w:rsidRPr="00510CA8">
        <w:rPr>
          <w:rFonts w:ascii="Arial" w:hAnsi="Arial" w:cs="Arial"/>
          <w:b/>
          <w:bCs/>
          <w:u w:val="thick"/>
        </w:rPr>
        <w:t>____</w:t>
      </w:r>
      <w:r w:rsidR="007134FE">
        <w:rPr>
          <w:rFonts w:ascii="Arial" w:hAnsi="Arial" w:cs="Arial"/>
          <w:u w:val="thick"/>
        </w:rPr>
        <w:t xml:space="preserve"> </w:t>
      </w:r>
    </w:p>
    <w:p w14:paraId="54785DBA" w14:textId="4AD4B305" w:rsidR="007134FE" w:rsidRDefault="007134FE" w:rsidP="007E5F68">
      <w:pPr>
        <w:spacing w:line="480" w:lineRule="auto"/>
        <w:jc w:val="both"/>
        <w:rPr>
          <w:rFonts w:ascii="Arial" w:eastAsia="Calibri" w:hAnsi="Arial" w:cs="Arial"/>
          <w:lang w:val="en-US"/>
        </w:rPr>
      </w:pPr>
      <w:r w:rsidRPr="007134FE">
        <w:rPr>
          <w:rFonts w:ascii="Arial" w:eastAsia="Calibri" w:hAnsi="Arial" w:cs="Arial"/>
          <w:b/>
          <w:lang w:val="en-US"/>
        </w:rPr>
        <w:t>On appeal from:</w:t>
      </w:r>
      <w:r>
        <w:rPr>
          <w:rFonts w:ascii="Arial" w:eastAsia="Calibri" w:hAnsi="Arial" w:cs="Arial"/>
          <w:lang w:val="en-US"/>
        </w:rPr>
        <w:t xml:space="preserve"> </w:t>
      </w:r>
      <w:bookmarkStart w:id="1" w:name="_Hlk125015750"/>
      <w:r>
        <w:rPr>
          <w:rFonts w:ascii="Arial" w:eastAsia="Calibri" w:hAnsi="Arial" w:cs="Arial"/>
          <w:lang w:val="en-US"/>
        </w:rPr>
        <w:t>KwaZulu-Natal Division of the High Court</w:t>
      </w:r>
      <w:bookmarkEnd w:id="1"/>
      <w:r>
        <w:rPr>
          <w:rFonts w:ascii="Arial" w:eastAsia="Calibri" w:hAnsi="Arial" w:cs="Arial"/>
          <w:lang w:val="en-US"/>
        </w:rPr>
        <w:t>, Durban (O</w:t>
      </w:r>
      <w:r w:rsidR="00912D3A">
        <w:rPr>
          <w:rFonts w:ascii="Arial" w:eastAsia="Calibri" w:hAnsi="Arial" w:cs="Arial"/>
          <w:lang w:val="en-US"/>
        </w:rPr>
        <w:t>l</w:t>
      </w:r>
      <w:r>
        <w:rPr>
          <w:rFonts w:ascii="Arial" w:eastAsia="Calibri" w:hAnsi="Arial" w:cs="Arial"/>
          <w:lang w:val="en-US"/>
        </w:rPr>
        <w:t>sen J, sitting as court of first instance):</w:t>
      </w:r>
    </w:p>
    <w:p w14:paraId="5B8C37C8" w14:textId="0D4B4174" w:rsidR="007134FE" w:rsidRPr="000B3918" w:rsidRDefault="000B3918" w:rsidP="000B3918">
      <w:pPr>
        <w:spacing w:line="480" w:lineRule="auto"/>
        <w:ind w:left="720" w:hanging="360"/>
        <w:jc w:val="both"/>
        <w:rPr>
          <w:rFonts w:ascii="Arial" w:eastAsia="Calibri" w:hAnsi="Arial" w:cs="Arial"/>
          <w:lang w:val="en-US"/>
        </w:rPr>
      </w:pPr>
      <w:r>
        <w:rPr>
          <w:rFonts w:ascii="Arial" w:eastAsia="Calibri" w:hAnsi="Arial" w:cs="Arial"/>
          <w:lang w:val="en-US"/>
        </w:rPr>
        <w:t>1</w:t>
      </w:r>
      <w:r>
        <w:rPr>
          <w:rFonts w:ascii="Arial" w:eastAsia="Calibri" w:hAnsi="Arial" w:cs="Arial"/>
          <w:lang w:val="en-US"/>
        </w:rPr>
        <w:tab/>
      </w:r>
      <w:r w:rsidR="00FD6419" w:rsidRPr="000B3918">
        <w:rPr>
          <w:rFonts w:ascii="Arial" w:eastAsia="Calibri" w:hAnsi="Arial" w:cs="Arial"/>
          <w:lang w:val="en-US"/>
        </w:rPr>
        <w:t>The appeal succeeds</w:t>
      </w:r>
      <w:r w:rsidR="007134FE" w:rsidRPr="000B3918">
        <w:rPr>
          <w:rFonts w:ascii="Arial" w:eastAsia="Calibri" w:hAnsi="Arial" w:cs="Arial"/>
          <w:lang w:val="en-US"/>
        </w:rPr>
        <w:t>.</w:t>
      </w:r>
    </w:p>
    <w:p w14:paraId="7E2C8DBD" w14:textId="3B5E6BF6" w:rsidR="00FD6419" w:rsidRPr="000B3918" w:rsidRDefault="000B3918" w:rsidP="000B3918">
      <w:pPr>
        <w:spacing w:line="480" w:lineRule="auto"/>
        <w:ind w:left="720" w:hanging="360"/>
        <w:jc w:val="both"/>
        <w:rPr>
          <w:rFonts w:ascii="Arial" w:eastAsia="Calibri" w:hAnsi="Arial" w:cs="Arial"/>
          <w:lang w:val="en-US"/>
        </w:rPr>
      </w:pPr>
      <w:r w:rsidRPr="007134FE">
        <w:rPr>
          <w:rFonts w:ascii="Arial" w:eastAsia="Calibri" w:hAnsi="Arial" w:cs="Arial"/>
          <w:lang w:val="en-US"/>
        </w:rPr>
        <w:t>2</w:t>
      </w:r>
      <w:r w:rsidRPr="007134FE">
        <w:rPr>
          <w:rFonts w:ascii="Arial" w:eastAsia="Calibri" w:hAnsi="Arial" w:cs="Arial"/>
          <w:lang w:val="en-US"/>
        </w:rPr>
        <w:tab/>
      </w:r>
      <w:r w:rsidR="007134FE" w:rsidRPr="000B3918">
        <w:rPr>
          <w:rFonts w:ascii="Arial" w:eastAsia="Calibri" w:hAnsi="Arial" w:cs="Arial"/>
          <w:lang w:val="en-US"/>
        </w:rPr>
        <w:t xml:space="preserve"> T</w:t>
      </w:r>
      <w:r w:rsidR="00FD6419" w:rsidRPr="000B3918">
        <w:rPr>
          <w:rFonts w:ascii="Arial" w:eastAsia="Calibri" w:hAnsi="Arial" w:cs="Arial"/>
          <w:lang w:val="en-US"/>
        </w:rPr>
        <w:t>he order made by the high court is set aside and replaced with the following order:</w:t>
      </w:r>
    </w:p>
    <w:p w14:paraId="37180EDE" w14:textId="5B4CAF45" w:rsidR="00AE7FF7" w:rsidRDefault="00FD6419" w:rsidP="00855BE3">
      <w:pPr>
        <w:spacing w:line="480" w:lineRule="auto"/>
        <w:ind w:firstLine="720"/>
        <w:jc w:val="both"/>
        <w:rPr>
          <w:rFonts w:ascii="Arial" w:hAnsi="Arial" w:cs="Arial"/>
          <w:color w:val="FFFFFF" w:themeColor="background1"/>
        </w:rPr>
      </w:pPr>
      <w:r w:rsidRPr="008840B0">
        <w:rPr>
          <w:rFonts w:ascii="Arial" w:eastAsia="Calibri" w:hAnsi="Arial" w:cs="Arial"/>
          <w:lang w:val="en-US"/>
        </w:rPr>
        <w:t>‘The application is dismissed with costs’.</w:t>
      </w:r>
    </w:p>
    <w:p w14:paraId="299E0BDC" w14:textId="77777777" w:rsidR="000E1829" w:rsidRPr="00FD6419" w:rsidRDefault="000E1829" w:rsidP="007E5F68">
      <w:pPr>
        <w:spacing w:line="480" w:lineRule="auto"/>
        <w:jc w:val="both"/>
        <w:rPr>
          <w:rFonts w:ascii="Arial" w:eastAsia="Calibri" w:hAnsi="Arial" w:cs="Arial"/>
          <w:lang w:val="en-US"/>
        </w:rPr>
      </w:pPr>
    </w:p>
    <w:p w14:paraId="110D8A57" w14:textId="77777777" w:rsidR="000E3AE8" w:rsidRPr="00004CDD" w:rsidRDefault="000E3AE8" w:rsidP="000E3AE8">
      <w:pPr>
        <w:pStyle w:val="ListBullet"/>
        <w:numPr>
          <w:ilvl w:val="0"/>
          <w:numId w:val="0"/>
        </w:numPr>
        <w:spacing w:after="0" w:line="276" w:lineRule="auto"/>
        <w:jc w:val="both"/>
        <w:rPr>
          <w:rFonts w:ascii="Arial" w:hAnsi="Arial" w:cs="Arial"/>
          <w:b/>
          <w:sz w:val="24"/>
          <w:szCs w:val="24"/>
        </w:rPr>
      </w:pPr>
      <w:r w:rsidRPr="00004CDD">
        <w:rPr>
          <w:rFonts w:ascii="Arial" w:hAnsi="Arial" w:cs="Arial"/>
          <w:b/>
          <w:sz w:val="24"/>
          <w:szCs w:val="24"/>
        </w:rPr>
        <w:t>___________________________________________________________________</w:t>
      </w:r>
    </w:p>
    <w:p w14:paraId="4F80F1DA" w14:textId="77777777" w:rsidR="000E3AE8" w:rsidRPr="00004CDD" w:rsidRDefault="000E3AE8" w:rsidP="000E3AE8">
      <w:pPr>
        <w:pStyle w:val="ListBullet"/>
        <w:numPr>
          <w:ilvl w:val="0"/>
          <w:numId w:val="0"/>
        </w:numPr>
        <w:spacing w:after="0" w:line="276" w:lineRule="auto"/>
        <w:jc w:val="center"/>
        <w:rPr>
          <w:rFonts w:ascii="Arial" w:hAnsi="Arial" w:cs="Arial"/>
          <w:b/>
          <w:sz w:val="24"/>
          <w:szCs w:val="24"/>
        </w:rPr>
      </w:pPr>
    </w:p>
    <w:p w14:paraId="20CB09E8" w14:textId="1E1EE0EC" w:rsidR="000E3AE8" w:rsidRPr="00004CDD" w:rsidRDefault="000E3AE8" w:rsidP="000E3AE8">
      <w:pPr>
        <w:pStyle w:val="ListBullet"/>
        <w:numPr>
          <w:ilvl w:val="0"/>
          <w:numId w:val="0"/>
        </w:numPr>
        <w:spacing w:after="0" w:line="276" w:lineRule="auto"/>
        <w:jc w:val="center"/>
        <w:rPr>
          <w:rFonts w:ascii="Arial" w:hAnsi="Arial" w:cs="Arial"/>
          <w:b/>
          <w:sz w:val="24"/>
          <w:szCs w:val="24"/>
        </w:rPr>
      </w:pPr>
      <w:r w:rsidRPr="00004CDD">
        <w:rPr>
          <w:rFonts w:ascii="Arial" w:hAnsi="Arial" w:cs="Arial"/>
          <w:b/>
          <w:sz w:val="24"/>
          <w:szCs w:val="24"/>
        </w:rPr>
        <w:t>JUDGMENT</w:t>
      </w:r>
    </w:p>
    <w:p w14:paraId="2847D303" w14:textId="77777777" w:rsidR="000E3AE8" w:rsidRPr="00004CDD" w:rsidRDefault="000E3AE8" w:rsidP="000E3AE8">
      <w:pPr>
        <w:pStyle w:val="ListBullet"/>
        <w:numPr>
          <w:ilvl w:val="0"/>
          <w:numId w:val="0"/>
        </w:numPr>
        <w:spacing w:after="0" w:line="360" w:lineRule="auto"/>
        <w:rPr>
          <w:rFonts w:ascii="Arial" w:hAnsi="Arial" w:cs="Arial"/>
          <w:b/>
          <w:sz w:val="24"/>
          <w:szCs w:val="24"/>
        </w:rPr>
      </w:pPr>
      <w:r w:rsidRPr="00004CDD">
        <w:rPr>
          <w:rFonts w:ascii="Arial" w:hAnsi="Arial" w:cs="Arial"/>
          <w:b/>
          <w:sz w:val="24"/>
          <w:szCs w:val="24"/>
        </w:rPr>
        <w:t>___________________________________________________________________</w:t>
      </w:r>
    </w:p>
    <w:p w14:paraId="55D1741E" w14:textId="7A7878B0" w:rsidR="000E1829" w:rsidRPr="00115F69" w:rsidRDefault="008B3391" w:rsidP="00253372">
      <w:pPr>
        <w:spacing w:before="240" w:after="240" w:line="360" w:lineRule="auto"/>
        <w:jc w:val="both"/>
        <w:rPr>
          <w:rFonts w:ascii="Arial" w:hAnsi="Arial" w:cs="Arial"/>
          <w:b/>
        </w:rPr>
      </w:pPr>
      <w:r w:rsidRPr="00115F69">
        <w:rPr>
          <w:rFonts w:ascii="Arial" w:hAnsi="Arial" w:cs="Arial"/>
          <w:b/>
        </w:rPr>
        <w:t xml:space="preserve">Zondi </w:t>
      </w:r>
      <w:r w:rsidR="000E3AE8" w:rsidRPr="00115F69">
        <w:rPr>
          <w:rFonts w:ascii="Arial" w:hAnsi="Arial" w:cs="Arial"/>
          <w:b/>
        </w:rPr>
        <w:t>J</w:t>
      </w:r>
      <w:r w:rsidR="00075D7F" w:rsidRPr="00115F69">
        <w:rPr>
          <w:rFonts w:ascii="Arial" w:hAnsi="Arial" w:cs="Arial"/>
          <w:b/>
        </w:rPr>
        <w:t>A</w:t>
      </w:r>
      <w:r w:rsidR="00FF5A22" w:rsidRPr="00115F69">
        <w:rPr>
          <w:rFonts w:ascii="Arial" w:hAnsi="Arial" w:cs="Arial"/>
          <w:b/>
        </w:rPr>
        <w:t xml:space="preserve"> (</w:t>
      </w:r>
      <w:r w:rsidR="00C17BB0">
        <w:rPr>
          <w:rFonts w:ascii="Arial" w:hAnsi="Arial" w:cs="Arial"/>
          <w:b/>
        </w:rPr>
        <w:t>M</w:t>
      </w:r>
      <w:r w:rsidR="00C17BB0" w:rsidRPr="00C17BB0">
        <w:rPr>
          <w:rFonts w:ascii="Arial" w:hAnsi="Arial" w:cs="Arial"/>
          <w:b/>
        </w:rPr>
        <w:t>ocumie</w:t>
      </w:r>
      <w:r w:rsidR="00C17BB0">
        <w:rPr>
          <w:rFonts w:ascii="Arial" w:hAnsi="Arial" w:cs="Arial"/>
          <w:b/>
        </w:rPr>
        <w:t xml:space="preserve"> and</w:t>
      </w:r>
      <w:r w:rsidR="00A13E2E">
        <w:rPr>
          <w:rFonts w:ascii="Arial" w:hAnsi="Arial" w:cs="Arial"/>
          <w:b/>
        </w:rPr>
        <w:t xml:space="preserve"> </w:t>
      </w:r>
      <w:r w:rsidR="00C17BB0">
        <w:rPr>
          <w:rFonts w:ascii="Arial" w:hAnsi="Arial" w:cs="Arial"/>
          <w:b/>
        </w:rPr>
        <w:t xml:space="preserve">Gorven </w:t>
      </w:r>
      <w:r w:rsidR="00A13E2E">
        <w:rPr>
          <w:rFonts w:ascii="Arial" w:hAnsi="Arial" w:cs="Arial"/>
          <w:b/>
        </w:rPr>
        <w:t>J</w:t>
      </w:r>
      <w:r w:rsidR="00C17BB0" w:rsidRPr="00C17BB0">
        <w:rPr>
          <w:rFonts w:ascii="Arial" w:hAnsi="Arial" w:cs="Arial"/>
          <w:b/>
        </w:rPr>
        <w:t>JA and Nhlangulela</w:t>
      </w:r>
      <w:r w:rsidR="00C17BB0">
        <w:rPr>
          <w:rFonts w:ascii="Arial" w:hAnsi="Arial" w:cs="Arial"/>
          <w:b/>
        </w:rPr>
        <w:t xml:space="preserve"> </w:t>
      </w:r>
      <w:r w:rsidR="00C17BB0" w:rsidRPr="00C17BB0">
        <w:rPr>
          <w:rFonts w:ascii="Arial" w:hAnsi="Arial" w:cs="Arial"/>
          <w:b/>
        </w:rPr>
        <w:t>and Basson AJJA</w:t>
      </w:r>
      <w:r w:rsidR="00C17BB0">
        <w:rPr>
          <w:rFonts w:ascii="Arial" w:hAnsi="Arial" w:cs="Arial"/>
          <w:b/>
        </w:rPr>
        <w:t xml:space="preserve"> concurring</w:t>
      </w:r>
      <w:r w:rsidR="003D4416" w:rsidRPr="00115F69">
        <w:rPr>
          <w:rFonts w:ascii="Arial" w:hAnsi="Arial" w:cs="Arial"/>
          <w:b/>
        </w:rPr>
        <w:t>)</w:t>
      </w:r>
      <w:r w:rsidR="000815BD" w:rsidRPr="00115F69">
        <w:rPr>
          <w:rFonts w:ascii="Arial" w:hAnsi="Arial" w:cs="Arial"/>
          <w:b/>
        </w:rPr>
        <w:t>:</w:t>
      </w:r>
    </w:p>
    <w:p w14:paraId="39260793" w14:textId="65ED8039" w:rsidR="0022233E" w:rsidRPr="000B3918" w:rsidRDefault="000B3918" w:rsidP="000B3918">
      <w:pPr>
        <w:spacing w:line="480" w:lineRule="auto"/>
        <w:jc w:val="both"/>
        <w:rPr>
          <w:rFonts w:ascii="Arial" w:eastAsia="Calibri" w:hAnsi="Arial" w:cs="Arial"/>
          <w:lang w:val="en-ZA"/>
        </w:rPr>
      </w:pPr>
      <w:r w:rsidRPr="00115F69">
        <w:rPr>
          <w:rFonts w:ascii="Arial" w:eastAsia="Calibri" w:hAnsi="Arial" w:cs="Arial"/>
          <w:lang w:val="en-ZA"/>
        </w:rPr>
        <w:t>[1]</w:t>
      </w:r>
      <w:r w:rsidRPr="00115F69">
        <w:rPr>
          <w:rFonts w:ascii="Arial" w:eastAsia="Calibri" w:hAnsi="Arial" w:cs="Arial"/>
          <w:lang w:val="en-ZA"/>
        </w:rPr>
        <w:tab/>
      </w:r>
      <w:r w:rsidR="00A217B2" w:rsidRPr="000B3918">
        <w:rPr>
          <w:rFonts w:ascii="Arial" w:eastAsia="Calibri" w:hAnsi="Arial" w:cs="Arial"/>
          <w:color w:val="000000" w:themeColor="text1"/>
          <w:lang w:val="en-ZA"/>
        </w:rPr>
        <w:t>This appeal is concerned with</w:t>
      </w:r>
      <w:r w:rsidR="007134FE" w:rsidRPr="000B3918">
        <w:rPr>
          <w:rFonts w:ascii="Arial" w:eastAsia="Calibri" w:hAnsi="Arial" w:cs="Arial"/>
          <w:color w:val="000000" w:themeColor="text1"/>
          <w:lang w:val="en-ZA"/>
        </w:rPr>
        <w:t xml:space="preserve"> the</w:t>
      </w:r>
      <w:r w:rsidR="00A217B2" w:rsidRPr="000B3918">
        <w:rPr>
          <w:rFonts w:ascii="Arial" w:eastAsia="Calibri" w:hAnsi="Arial" w:cs="Arial"/>
          <w:color w:val="000000" w:themeColor="text1"/>
          <w:lang w:val="en-ZA"/>
        </w:rPr>
        <w:t xml:space="preserve"> legal consequence</w:t>
      </w:r>
      <w:r w:rsidR="00E96069" w:rsidRPr="000B3918">
        <w:rPr>
          <w:rFonts w:ascii="Arial" w:eastAsia="Calibri" w:hAnsi="Arial" w:cs="Arial"/>
          <w:color w:val="000000" w:themeColor="text1"/>
          <w:lang w:val="en-ZA"/>
        </w:rPr>
        <w:t>s</w:t>
      </w:r>
      <w:r w:rsidR="00A217B2" w:rsidRPr="000B3918">
        <w:rPr>
          <w:rFonts w:ascii="Arial" w:eastAsia="Calibri" w:hAnsi="Arial" w:cs="Arial"/>
          <w:color w:val="000000" w:themeColor="text1"/>
          <w:lang w:val="en-ZA"/>
        </w:rPr>
        <w:t xml:space="preserve"> of three forfeiture orders issu</w:t>
      </w:r>
      <w:r w:rsidR="00E96069" w:rsidRPr="000B3918">
        <w:rPr>
          <w:rFonts w:ascii="Arial" w:eastAsia="Calibri" w:hAnsi="Arial" w:cs="Arial"/>
          <w:color w:val="000000" w:themeColor="text1"/>
          <w:lang w:val="en-ZA"/>
        </w:rPr>
        <w:t>ed by the first appellant, the S</w:t>
      </w:r>
      <w:r w:rsidR="00A217B2" w:rsidRPr="000B3918">
        <w:rPr>
          <w:rFonts w:ascii="Arial" w:eastAsia="Calibri" w:hAnsi="Arial" w:cs="Arial"/>
          <w:color w:val="000000" w:themeColor="text1"/>
          <w:lang w:val="en-ZA"/>
        </w:rPr>
        <w:t>outh African Reserve Bank (the Reserve Bank) in terms of which it declared forfeit</w:t>
      </w:r>
      <w:r w:rsidR="00DC1A72" w:rsidRPr="000B3918">
        <w:rPr>
          <w:rFonts w:ascii="Arial" w:eastAsia="Calibri" w:hAnsi="Arial" w:cs="Arial"/>
          <w:color w:val="000000" w:themeColor="text1"/>
          <w:lang w:val="en-ZA"/>
        </w:rPr>
        <w:t>ed</w:t>
      </w:r>
      <w:r w:rsidR="00A217B2" w:rsidRPr="000B3918">
        <w:rPr>
          <w:rFonts w:ascii="Arial" w:eastAsia="Calibri" w:hAnsi="Arial" w:cs="Arial"/>
          <w:color w:val="000000" w:themeColor="text1"/>
          <w:lang w:val="en-ZA"/>
        </w:rPr>
        <w:t xml:space="preserve"> to the State </w:t>
      </w:r>
      <w:r w:rsidR="00E96069" w:rsidRPr="000B3918">
        <w:rPr>
          <w:rFonts w:ascii="Arial" w:eastAsia="Calibri" w:hAnsi="Arial" w:cs="Arial"/>
          <w:color w:val="000000" w:themeColor="text1"/>
          <w:lang w:val="en-ZA"/>
        </w:rPr>
        <w:t>monies standing to the credit of</w:t>
      </w:r>
      <w:r w:rsidR="00A217B2" w:rsidRPr="000B3918">
        <w:rPr>
          <w:rFonts w:ascii="Arial" w:eastAsia="Calibri" w:hAnsi="Arial" w:cs="Arial"/>
          <w:color w:val="000000" w:themeColor="text1"/>
          <w:lang w:val="en-ZA"/>
        </w:rPr>
        <w:t xml:space="preserve"> Sun Candle Product</w:t>
      </w:r>
      <w:r w:rsidR="00AB7545" w:rsidRPr="000B3918">
        <w:rPr>
          <w:rFonts w:ascii="Arial" w:eastAsia="Calibri" w:hAnsi="Arial" w:cs="Arial"/>
          <w:color w:val="000000" w:themeColor="text1"/>
          <w:lang w:val="en-ZA"/>
        </w:rPr>
        <w:t>s</w:t>
      </w:r>
      <w:r w:rsidR="00A217B2" w:rsidRPr="000B3918">
        <w:rPr>
          <w:rFonts w:ascii="Arial" w:eastAsia="Calibri" w:hAnsi="Arial" w:cs="Arial"/>
          <w:color w:val="000000" w:themeColor="text1"/>
          <w:lang w:val="en-ZA"/>
        </w:rPr>
        <w:t xml:space="preserve"> (Pty) Limited </w:t>
      </w:r>
      <w:r w:rsidR="00AB7545" w:rsidRPr="000B3918">
        <w:rPr>
          <w:rFonts w:ascii="Arial" w:eastAsia="Calibri" w:hAnsi="Arial" w:cs="Arial"/>
          <w:color w:val="000000" w:themeColor="text1"/>
          <w:lang w:val="en-ZA"/>
        </w:rPr>
        <w:t xml:space="preserve">(Sun Candle) </w:t>
      </w:r>
      <w:r w:rsidR="00A217B2" w:rsidRPr="000B3918">
        <w:rPr>
          <w:rFonts w:ascii="Arial" w:eastAsia="Calibri" w:hAnsi="Arial" w:cs="Arial"/>
          <w:color w:val="000000" w:themeColor="text1"/>
          <w:lang w:val="en-ZA"/>
        </w:rPr>
        <w:t>and Xinming Mountain Textile (Pty) Li</w:t>
      </w:r>
      <w:r w:rsidR="00E96069" w:rsidRPr="000B3918">
        <w:rPr>
          <w:rFonts w:ascii="Arial" w:eastAsia="Calibri" w:hAnsi="Arial" w:cs="Arial"/>
          <w:color w:val="000000" w:themeColor="text1"/>
          <w:lang w:val="en-ZA"/>
        </w:rPr>
        <w:t>mited (</w:t>
      </w:r>
      <w:r w:rsidR="00AB7545" w:rsidRPr="000B3918">
        <w:rPr>
          <w:rFonts w:ascii="Arial" w:eastAsia="Calibri" w:hAnsi="Arial" w:cs="Arial"/>
          <w:color w:val="000000" w:themeColor="text1"/>
          <w:lang w:val="en-ZA"/>
        </w:rPr>
        <w:t>Xinming</w:t>
      </w:r>
      <w:r w:rsidR="00E96069" w:rsidRPr="000B3918">
        <w:rPr>
          <w:rFonts w:ascii="Arial" w:eastAsia="Calibri" w:hAnsi="Arial" w:cs="Arial"/>
          <w:color w:val="000000" w:themeColor="text1"/>
          <w:lang w:val="en-ZA"/>
        </w:rPr>
        <w:t>)</w:t>
      </w:r>
      <w:r w:rsidR="00FF56EB" w:rsidRPr="000B3918">
        <w:rPr>
          <w:rFonts w:ascii="Arial" w:eastAsia="Calibri" w:hAnsi="Arial" w:cs="Arial"/>
          <w:color w:val="000000" w:themeColor="text1"/>
          <w:lang w:val="en-ZA"/>
        </w:rPr>
        <w:t xml:space="preserve"> (the companies)</w:t>
      </w:r>
      <w:r w:rsidR="00E96069" w:rsidRPr="000B3918">
        <w:rPr>
          <w:rFonts w:ascii="Arial" w:eastAsia="Calibri" w:hAnsi="Arial" w:cs="Arial"/>
          <w:color w:val="000000" w:themeColor="text1"/>
          <w:lang w:val="en-ZA"/>
        </w:rPr>
        <w:t xml:space="preserve"> in various South African b</w:t>
      </w:r>
      <w:r w:rsidR="00A217B2" w:rsidRPr="000B3918">
        <w:rPr>
          <w:rFonts w:ascii="Arial" w:eastAsia="Calibri" w:hAnsi="Arial" w:cs="Arial"/>
          <w:color w:val="000000" w:themeColor="text1"/>
          <w:lang w:val="en-ZA"/>
        </w:rPr>
        <w:t>anks. The Reserve Bank ordered that the monies be paid into the National Revenue Fund. The forfeiture orders were made after the liquidation of these two companies and pursuant to the provisions of Regulation 2</w:t>
      </w:r>
      <w:r w:rsidR="007134FE" w:rsidRPr="000B3918">
        <w:rPr>
          <w:rFonts w:ascii="Arial" w:eastAsia="Calibri" w:hAnsi="Arial" w:cs="Arial"/>
          <w:color w:val="000000" w:themeColor="text1"/>
          <w:lang w:val="en-ZA"/>
        </w:rPr>
        <w:t>2B of the Exchange Control Regu</w:t>
      </w:r>
      <w:r w:rsidR="00A217B2" w:rsidRPr="000B3918">
        <w:rPr>
          <w:rFonts w:ascii="Arial" w:eastAsia="Calibri" w:hAnsi="Arial" w:cs="Arial"/>
          <w:color w:val="000000" w:themeColor="text1"/>
          <w:lang w:val="en-ZA"/>
        </w:rPr>
        <w:t>lations (the Regulations). These were made under s 9 of the Cu</w:t>
      </w:r>
      <w:r w:rsidR="00275EA9" w:rsidRPr="000B3918">
        <w:rPr>
          <w:rFonts w:ascii="Arial" w:eastAsia="Calibri" w:hAnsi="Arial" w:cs="Arial"/>
          <w:color w:val="000000" w:themeColor="text1"/>
          <w:lang w:val="en-ZA"/>
        </w:rPr>
        <w:t xml:space="preserve">rrency and Exchanges Act 9 of </w:t>
      </w:r>
      <w:r w:rsidR="00A217B2" w:rsidRPr="000B3918">
        <w:rPr>
          <w:rFonts w:ascii="Arial" w:eastAsia="Calibri" w:hAnsi="Arial" w:cs="Arial"/>
          <w:color w:val="000000" w:themeColor="text1"/>
          <w:lang w:val="en-ZA"/>
        </w:rPr>
        <w:t>1933 (the Act).</w:t>
      </w:r>
    </w:p>
    <w:p w14:paraId="591FC93A" w14:textId="77777777" w:rsidR="00A217B2" w:rsidRPr="00115F69" w:rsidRDefault="00A217B2" w:rsidP="00AA6AA5">
      <w:pPr>
        <w:pStyle w:val="ListParagraph"/>
        <w:spacing w:line="480" w:lineRule="auto"/>
        <w:ind w:left="0"/>
        <w:jc w:val="both"/>
        <w:rPr>
          <w:rFonts w:ascii="Arial" w:eastAsia="Calibri" w:hAnsi="Arial" w:cs="Arial"/>
          <w:lang w:val="en-ZA"/>
        </w:rPr>
      </w:pPr>
    </w:p>
    <w:p w14:paraId="66078338" w14:textId="4FCABB5E" w:rsidR="0013371E" w:rsidRPr="000B3918" w:rsidRDefault="000B3918" w:rsidP="000B3918">
      <w:pPr>
        <w:spacing w:line="480" w:lineRule="auto"/>
        <w:jc w:val="both"/>
        <w:rPr>
          <w:rFonts w:ascii="Arial" w:eastAsiaTheme="minorHAnsi" w:hAnsi="Arial" w:cs="Arial"/>
          <w:lang w:val="en-ZA"/>
        </w:rPr>
      </w:pPr>
      <w:r w:rsidRPr="00115F69">
        <w:rPr>
          <w:rFonts w:ascii="Arial" w:eastAsiaTheme="minorHAnsi" w:hAnsi="Arial" w:cs="Arial"/>
          <w:lang w:val="en-ZA"/>
        </w:rPr>
        <w:lastRenderedPageBreak/>
        <w:t>[2]</w:t>
      </w:r>
      <w:r w:rsidRPr="00115F69">
        <w:rPr>
          <w:rFonts w:ascii="Arial" w:eastAsiaTheme="minorHAnsi" w:hAnsi="Arial" w:cs="Arial"/>
          <w:lang w:val="en-ZA"/>
        </w:rPr>
        <w:tab/>
      </w:r>
      <w:r w:rsidR="00253372" w:rsidRPr="000B3918">
        <w:rPr>
          <w:rFonts w:ascii="Arial" w:eastAsia="Calibri" w:hAnsi="Arial" w:cs="Arial"/>
          <w:lang w:val="en-ZA"/>
        </w:rPr>
        <w:t>Upon their appointment</w:t>
      </w:r>
      <w:r w:rsidR="00733080" w:rsidRPr="000B3918">
        <w:rPr>
          <w:rFonts w:ascii="Arial" w:eastAsia="Calibri" w:hAnsi="Arial" w:cs="Arial"/>
          <w:lang w:val="en-ZA"/>
        </w:rPr>
        <w:t>,</w:t>
      </w:r>
      <w:r w:rsidR="00253372" w:rsidRPr="000B3918">
        <w:rPr>
          <w:rFonts w:ascii="Arial" w:eastAsia="Calibri" w:hAnsi="Arial" w:cs="Arial"/>
          <w:lang w:val="en-ZA"/>
        </w:rPr>
        <w:t xml:space="preserve"> the respondents, the liquidat</w:t>
      </w:r>
      <w:r w:rsidR="00E96069" w:rsidRPr="000B3918">
        <w:rPr>
          <w:rFonts w:ascii="Arial" w:eastAsia="Calibri" w:hAnsi="Arial" w:cs="Arial"/>
          <w:lang w:val="en-ZA"/>
        </w:rPr>
        <w:t>ors of the companies (the l</w:t>
      </w:r>
      <w:r w:rsidR="00253372" w:rsidRPr="000B3918">
        <w:rPr>
          <w:rFonts w:ascii="Arial" w:eastAsia="Calibri" w:hAnsi="Arial" w:cs="Arial"/>
          <w:lang w:val="en-ZA"/>
        </w:rPr>
        <w:t>iquidators)</w:t>
      </w:r>
      <w:r w:rsidR="00733080" w:rsidRPr="000B3918">
        <w:rPr>
          <w:rFonts w:ascii="Arial" w:eastAsia="Calibri" w:hAnsi="Arial" w:cs="Arial"/>
          <w:lang w:val="en-ZA"/>
        </w:rPr>
        <w:t>,</w:t>
      </w:r>
      <w:r w:rsidR="00253372" w:rsidRPr="000B3918">
        <w:rPr>
          <w:rFonts w:ascii="Arial" w:eastAsia="Calibri" w:hAnsi="Arial" w:cs="Arial"/>
          <w:lang w:val="en-ZA"/>
        </w:rPr>
        <w:t xml:space="preserve"> demanded that the </w:t>
      </w:r>
      <w:r w:rsidR="00E96069" w:rsidRPr="000B3918">
        <w:rPr>
          <w:rFonts w:ascii="Arial" w:eastAsia="Calibri" w:hAnsi="Arial" w:cs="Arial"/>
          <w:lang w:val="en-ZA"/>
        </w:rPr>
        <w:t>forfeited monies</w:t>
      </w:r>
      <w:r w:rsidR="00253372" w:rsidRPr="000B3918">
        <w:rPr>
          <w:rFonts w:ascii="Arial" w:eastAsia="Calibri" w:hAnsi="Arial" w:cs="Arial"/>
          <w:lang w:val="en-ZA"/>
        </w:rPr>
        <w:t xml:space="preserve"> be paid to them</w:t>
      </w:r>
      <w:r w:rsidR="00855BE3" w:rsidRPr="000B3918">
        <w:rPr>
          <w:rFonts w:ascii="Arial" w:eastAsia="Calibri" w:hAnsi="Arial" w:cs="Arial"/>
          <w:lang w:val="en-ZA"/>
        </w:rPr>
        <w:t xml:space="preserve"> to be administered</w:t>
      </w:r>
      <w:r w:rsidR="00253372" w:rsidRPr="000B3918">
        <w:rPr>
          <w:rFonts w:ascii="Arial" w:eastAsia="Calibri" w:hAnsi="Arial" w:cs="Arial"/>
          <w:lang w:val="en-ZA"/>
        </w:rPr>
        <w:t xml:space="preserve"> in terms of the insolvency laws. The Reserve Bank </w:t>
      </w:r>
      <w:r w:rsidR="00E96069" w:rsidRPr="000B3918">
        <w:rPr>
          <w:rFonts w:ascii="Arial" w:eastAsia="Calibri" w:hAnsi="Arial" w:cs="Arial"/>
          <w:lang w:val="en-ZA"/>
        </w:rPr>
        <w:t>refused to accede to the demand</w:t>
      </w:r>
      <w:r w:rsidR="00253372" w:rsidRPr="000B3918">
        <w:rPr>
          <w:rFonts w:ascii="Arial" w:eastAsia="Calibri" w:hAnsi="Arial" w:cs="Arial"/>
          <w:lang w:val="en-ZA"/>
        </w:rPr>
        <w:t xml:space="preserve"> contending that the forfeiture orders were valid</w:t>
      </w:r>
      <w:r w:rsidR="00E96069" w:rsidRPr="000B3918">
        <w:rPr>
          <w:rFonts w:ascii="Arial" w:eastAsia="Calibri" w:hAnsi="Arial" w:cs="Arial"/>
          <w:lang w:val="en-ZA"/>
        </w:rPr>
        <w:t>ly</w:t>
      </w:r>
      <w:r w:rsidR="00253372" w:rsidRPr="000B3918">
        <w:rPr>
          <w:rFonts w:ascii="Arial" w:eastAsia="Calibri" w:hAnsi="Arial" w:cs="Arial"/>
          <w:lang w:val="en-ZA"/>
        </w:rPr>
        <w:t xml:space="preserve"> made </w:t>
      </w:r>
      <w:r w:rsidR="00E96069" w:rsidRPr="000B3918">
        <w:rPr>
          <w:rFonts w:ascii="Arial" w:eastAsia="Calibri" w:hAnsi="Arial" w:cs="Arial"/>
          <w:lang w:val="en-ZA"/>
        </w:rPr>
        <w:t>pursuant to</w:t>
      </w:r>
      <w:r w:rsidR="00253372" w:rsidRPr="000B3918">
        <w:rPr>
          <w:rFonts w:ascii="Arial" w:eastAsia="Calibri" w:hAnsi="Arial" w:cs="Arial"/>
          <w:lang w:val="en-ZA"/>
        </w:rPr>
        <w:t xml:space="preserve"> </w:t>
      </w:r>
      <w:r w:rsidR="00446746" w:rsidRPr="000B3918">
        <w:rPr>
          <w:rFonts w:ascii="Arial" w:eastAsia="Calibri" w:hAnsi="Arial" w:cs="Arial"/>
          <w:lang w:val="en-ZA"/>
        </w:rPr>
        <w:t>blocking</w:t>
      </w:r>
      <w:r w:rsidR="00253372" w:rsidRPr="000B3918">
        <w:rPr>
          <w:rFonts w:ascii="Arial" w:eastAsia="Calibri" w:hAnsi="Arial" w:cs="Arial"/>
          <w:lang w:val="en-ZA"/>
        </w:rPr>
        <w:t xml:space="preserve"> orders</w:t>
      </w:r>
      <w:r w:rsidR="00E96069" w:rsidRPr="000B3918">
        <w:rPr>
          <w:rFonts w:ascii="Arial" w:eastAsia="Calibri" w:hAnsi="Arial" w:cs="Arial"/>
          <w:lang w:val="en-ZA"/>
        </w:rPr>
        <w:t xml:space="preserve"> made prior to the liquidation of the companies. As a</w:t>
      </w:r>
      <w:r w:rsidR="00253372" w:rsidRPr="000B3918">
        <w:rPr>
          <w:rFonts w:ascii="Arial" w:eastAsia="Calibri" w:hAnsi="Arial" w:cs="Arial"/>
          <w:lang w:val="en-ZA"/>
        </w:rPr>
        <w:t xml:space="preserve"> result</w:t>
      </w:r>
      <w:r w:rsidR="00733080" w:rsidRPr="000B3918">
        <w:rPr>
          <w:rFonts w:ascii="Arial" w:eastAsia="Calibri" w:hAnsi="Arial" w:cs="Arial"/>
          <w:lang w:val="en-ZA"/>
        </w:rPr>
        <w:t>,</w:t>
      </w:r>
      <w:r w:rsidR="00253372" w:rsidRPr="000B3918">
        <w:rPr>
          <w:rFonts w:ascii="Arial" w:eastAsia="Calibri" w:hAnsi="Arial" w:cs="Arial"/>
          <w:lang w:val="en-ZA"/>
        </w:rPr>
        <w:t xml:space="preserve"> the liquidators brough</w:t>
      </w:r>
      <w:r w:rsidR="00275EA9" w:rsidRPr="000B3918">
        <w:rPr>
          <w:rFonts w:ascii="Arial" w:eastAsia="Calibri" w:hAnsi="Arial" w:cs="Arial"/>
          <w:lang w:val="en-ZA"/>
        </w:rPr>
        <w:t xml:space="preserve">t an application in </w:t>
      </w:r>
      <w:r w:rsidR="00253372" w:rsidRPr="000B3918">
        <w:rPr>
          <w:rFonts w:ascii="Arial" w:eastAsia="Calibri" w:hAnsi="Arial" w:cs="Arial"/>
          <w:lang w:val="en-ZA"/>
        </w:rPr>
        <w:t xml:space="preserve">the </w:t>
      </w:r>
      <w:r w:rsidR="00275EA9" w:rsidRPr="000B3918">
        <w:rPr>
          <w:rFonts w:ascii="Arial" w:eastAsia="Calibri" w:hAnsi="Arial" w:cs="Arial"/>
          <w:lang w:val="en-ZA"/>
        </w:rPr>
        <w:t>KwaZulu-Natal Division of the High Court, Durban</w:t>
      </w:r>
      <w:r w:rsidR="00253372" w:rsidRPr="000B3918">
        <w:rPr>
          <w:rFonts w:ascii="Arial" w:eastAsia="Calibri" w:hAnsi="Arial" w:cs="Arial"/>
          <w:lang w:val="en-ZA"/>
        </w:rPr>
        <w:t xml:space="preserve"> (the high court)</w:t>
      </w:r>
      <w:r w:rsidR="00733080" w:rsidRPr="000B3918">
        <w:rPr>
          <w:rFonts w:ascii="Arial" w:eastAsia="Calibri" w:hAnsi="Arial" w:cs="Arial"/>
          <w:lang w:val="en-ZA"/>
        </w:rPr>
        <w:t>,</w:t>
      </w:r>
      <w:r w:rsidR="00253372" w:rsidRPr="000B3918">
        <w:rPr>
          <w:rFonts w:ascii="Arial" w:eastAsia="Calibri" w:hAnsi="Arial" w:cs="Arial"/>
          <w:lang w:val="en-ZA"/>
        </w:rPr>
        <w:t xml:space="preserve"> for an order declaring the forfeiture orders null and void and directing the National Revenue Fund to pay the forfeited monies int</w:t>
      </w:r>
      <w:r w:rsidR="00733080" w:rsidRPr="000B3918">
        <w:rPr>
          <w:rFonts w:ascii="Arial" w:eastAsia="Calibri" w:hAnsi="Arial" w:cs="Arial"/>
          <w:lang w:val="en-ZA"/>
        </w:rPr>
        <w:t>o</w:t>
      </w:r>
      <w:r w:rsidR="00253372" w:rsidRPr="000B3918">
        <w:rPr>
          <w:rFonts w:ascii="Arial" w:eastAsia="Calibri" w:hAnsi="Arial" w:cs="Arial"/>
          <w:lang w:val="en-ZA"/>
        </w:rPr>
        <w:t xml:space="preserve"> the liquidators’ bank account.</w:t>
      </w:r>
    </w:p>
    <w:p w14:paraId="70277B47" w14:textId="77777777" w:rsidR="00253372" w:rsidRPr="00115F69" w:rsidRDefault="00253372" w:rsidP="00AA6AA5">
      <w:pPr>
        <w:pStyle w:val="ListParagraph"/>
        <w:spacing w:line="480" w:lineRule="auto"/>
        <w:rPr>
          <w:rFonts w:ascii="Arial" w:eastAsiaTheme="minorHAnsi" w:hAnsi="Arial" w:cs="Arial"/>
          <w:lang w:val="en-ZA"/>
        </w:rPr>
      </w:pPr>
    </w:p>
    <w:p w14:paraId="3DDC3A0B" w14:textId="301B0097" w:rsidR="00253372" w:rsidRPr="000B3918" w:rsidRDefault="000B3918" w:rsidP="000B3918">
      <w:pPr>
        <w:spacing w:line="480" w:lineRule="auto"/>
        <w:jc w:val="both"/>
        <w:rPr>
          <w:rFonts w:ascii="Arial" w:eastAsiaTheme="minorHAnsi" w:hAnsi="Arial" w:cs="Arial"/>
          <w:lang w:val="en-ZA"/>
        </w:rPr>
      </w:pPr>
      <w:r w:rsidRPr="00115F69">
        <w:rPr>
          <w:rFonts w:ascii="Arial" w:eastAsiaTheme="minorHAnsi" w:hAnsi="Arial" w:cs="Arial"/>
          <w:lang w:val="en-ZA"/>
        </w:rPr>
        <w:t>[3]</w:t>
      </w:r>
      <w:r w:rsidRPr="00115F69">
        <w:rPr>
          <w:rFonts w:ascii="Arial" w:eastAsiaTheme="minorHAnsi" w:hAnsi="Arial" w:cs="Arial"/>
          <w:lang w:val="en-ZA"/>
        </w:rPr>
        <w:tab/>
      </w:r>
      <w:r w:rsidR="00253372" w:rsidRPr="000B3918">
        <w:rPr>
          <w:rFonts w:ascii="Arial" w:eastAsiaTheme="minorHAnsi" w:hAnsi="Arial" w:cs="Arial"/>
          <w:lang w:val="en-ZA"/>
        </w:rPr>
        <w:t xml:space="preserve">The high court granted the orders as sought by the liquidators. </w:t>
      </w:r>
      <w:r w:rsidR="00461A55" w:rsidRPr="000B3918">
        <w:rPr>
          <w:rFonts w:ascii="Arial" w:eastAsiaTheme="minorHAnsi" w:hAnsi="Arial" w:cs="Arial"/>
          <w:lang w:val="en-ZA"/>
        </w:rPr>
        <w:t>Aggrieved by the outcome</w:t>
      </w:r>
      <w:r w:rsidR="00E96069" w:rsidRPr="000B3918">
        <w:rPr>
          <w:rFonts w:ascii="Arial" w:eastAsiaTheme="minorHAnsi" w:hAnsi="Arial" w:cs="Arial"/>
          <w:lang w:val="en-ZA"/>
        </w:rPr>
        <w:t>, the Reserve Ba</w:t>
      </w:r>
      <w:r w:rsidR="00275EA9" w:rsidRPr="000B3918">
        <w:rPr>
          <w:rFonts w:ascii="Arial" w:eastAsiaTheme="minorHAnsi" w:hAnsi="Arial" w:cs="Arial"/>
          <w:lang w:val="en-ZA"/>
        </w:rPr>
        <w:t>nk and the second appellant, the National Treasury</w:t>
      </w:r>
      <w:r w:rsidR="008C17D4" w:rsidRPr="000B3918">
        <w:rPr>
          <w:rFonts w:ascii="Arial" w:eastAsiaTheme="minorHAnsi" w:hAnsi="Arial" w:cs="Arial"/>
          <w:lang w:val="en-ZA"/>
        </w:rPr>
        <w:t xml:space="preserve">, </w:t>
      </w:r>
      <w:r w:rsidR="00461A55" w:rsidRPr="000B3918">
        <w:rPr>
          <w:rFonts w:ascii="Arial" w:eastAsiaTheme="minorHAnsi" w:hAnsi="Arial" w:cs="Arial"/>
          <w:lang w:val="en-ZA"/>
        </w:rPr>
        <w:t>sought and obtained from the high court l</w:t>
      </w:r>
      <w:r w:rsidR="00EE3F04" w:rsidRPr="000B3918">
        <w:rPr>
          <w:rFonts w:ascii="Arial" w:eastAsiaTheme="minorHAnsi" w:hAnsi="Arial" w:cs="Arial"/>
          <w:lang w:val="en-ZA"/>
        </w:rPr>
        <w:t>eave to appeal against its judg</w:t>
      </w:r>
      <w:r w:rsidR="00461A55" w:rsidRPr="000B3918">
        <w:rPr>
          <w:rFonts w:ascii="Arial" w:eastAsiaTheme="minorHAnsi" w:hAnsi="Arial" w:cs="Arial"/>
          <w:lang w:val="en-ZA"/>
        </w:rPr>
        <w:t xml:space="preserve">ment. The appeal is before this </w:t>
      </w:r>
      <w:r w:rsidR="00275EA9" w:rsidRPr="000B3918">
        <w:rPr>
          <w:rFonts w:ascii="Arial" w:eastAsiaTheme="minorHAnsi" w:hAnsi="Arial" w:cs="Arial"/>
          <w:lang w:val="en-ZA"/>
        </w:rPr>
        <w:t>C</w:t>
      </w:r>
      <w:r w:rsidR="00461A55" w:rsidRPr="000B3918">
        <w:rPr>
          <w:rFonts w:ascii="Arial" w:eastAsiaTheme="minorHAnsi" w:hAnsi="Arial" w:cs="Arial"/>
          <w:lang w:val="en-ZA"/>
        </w:rPr>
        <w:t>ourt with leave granted by the high court.</w:t>
      </w:r>
    </w:p>
    <w:p w14:paraId="1CA9A484" w14:textId="77777777" w:rsidR="00461A55" w:rsidRPr="00115F69" w:rsidRDefault="00461A55" w:rsidP="00AA6AA5">
      <w:pPr>
        <w:pStyle w:val="ListParagraph"/>
        <w:spacing w:line="480" w:lineRule="auto"/>
        <w:rPr>
          <w:rFonts w:ascii="Arial" w:eastAsiaTheme="minorHAnsi" w:hAnsi="Arial" w:cs="Arial"/>
          <w:lang w:val="en-ZA"/>
        </w:rPr>
      </w:pPr>
    </w:p>
    <w:p w14:paraId="5BE23514" w14:textId="2BD97C18" w:rsidR="00461A55" w:rsidRPr="000B3918" w:rsidRDefault="000B3918" w:rsidP="000B3918">
      <w:pPr>
        <w:spacing w:line="480" w:lineRule="auto"/>
        <w:jc w:val="both"/>
        <w:rPr>
          <w:rFonts w:ascii="Arial" w:eastAsiaTheme="minorHAnsi" w:hAnsi="Arial" w:cs="Arial"/>
          <w:lang w:val="en-ZA"/>
        </w:rPr>
      </w:pPr>
      <w:r w:rsidRPr="00115F69">
        <w:rPr>
          <w:rFonts w:ascii="Arial" w:eastAsiaTheme="minorHAnsi" w:hAnsi="Arial" w:cs="Arial"/>
          <w:lang w:val="en-ZA"/>
        </w:rPr>
        <w:t>[4]</w:t>
      </w:r>
      <w:r w:rsidRPr="00115F69">
        <w:rPr>
          <w:rFonts w:ascii="Arial" w:eastAsiaTheme="minorHAnsi" w:hAnsi="Arial" w:cs="Arial"/>
          <w:lang w:val="en-ZA"/>
        </w:rPr>
        <w:tab/>
      </w:r>
      <w:r w:rsidR="00461A55" w:rsidRPr="000B3918">
        <w:rPr>
          <w:rFonts w:ascii="Arial" w:eastAsiaTheme="minorHAnsi" w:hAnsi="Arial" w:cs="Arial"/>
          <w:lang w:val="en-ZA"/>
        </w:rPr>
        <w:t>As I have already stated</w:t>
      </w:r>
      <w:r w:rsidR="00AB7545" w:rsidRPr="000B3918">
        <w:rPr>
          <w:rFonts w:ascii="Arial" w:eastAsiaTheme="minorHAnsi" w:hAnsi="Arial" w:cs="Arial"/>
          <w:lang w:val="en-ZA"/>
        </w:rPr>
        <w:t>,</w:t>
      </w:r>
      <w:r w:rsidR="00461A55" w:rsidRPr="000B3918">
        <w:rPr>
          <w:rFonts w:ascii="Arial" w:eastAsiaTheme="minorHAnsi" w:hAnsi="Arial" w:cs="Arial"/>
          <w:lang w:val="en-ZA"/>
        </w:rPr>
        <w:t xml:space="preserve"> the </w:t>
      </w:r>
      <w:r w:rsidR="00EE3F04" w:rsidRPr="000B3918">
        <w:rPr>
          <w:rFonts w:ascii="Arial" w:eastAsiaTheme="minorHAnsi" w:hAnsi="Arial" w:cs="Arial"/>
          <w:lang w:val="en-ZA"/>
        </w:rPr>
        <w:t xml:space="preserve">primary </w:t>
      </w:r>
      <w:r w:rsidR="00461A55" w:rsidRPr="000B3918">
        <w:rPr>
          <w:rFonts w:ascii="Arial" w:eastAsiaTheme="minorHAnsi" w:hAnsi="Arial" w:cs="Arial"/>
          <w:lang w:val="en-ZA"/>
        </w:rPr>
        <w:t xml:space="preserve">issue concerns the legal consequences of the forfeiture orders made by the Reserve Bank after the liquidation of the two companies. Before considering the issue, I deem it necessary to set out the applicable statutory framework and thereafter the facts within which the primary </w:t>
      </w:r>
      <w:r w:rsidR="00275EA9" w:rsidRPr="000B3918">
        <w:rPr>
          <w:rFonts w:ascii="Arial" w:eastAsiaTheme="minorHAnsi" w:hAnsi="Arial" w:cs="Arial"/>
          <w:lang w:val="en-ZA"/>
        </w:rPr>
        <w:t xml:space="preserve">issue </w:t>
      </w:r>
      <w:r w:rsidR="00461A55" w:rsidRPr="000B3918">
        <w:rPr>
          <w:rFonts w:ascii="Arial" w:eastAsiaTheme="minorHAnsi" w:hAnsi="Arial" w:cs="Arial"/>
          <w:lang w:val="en-ZA"/>
        </w:rPr>
        <w:t>must be considered.</w:t>
      </w:r>
    </w:p>
    <w:p w14:paraId="5D66B72A" w14:textId="77777777" w:rsidR="00461A55" w:rsidRPr="00115F69" w:rsidRDefault="00461A55" w:rsidP="00AA6AA5">
      <w:pPr>
        <w:pStyle w:val="ListParagraph"/>
        <w:spacing w:line="480" w:lineRule="auto"/>
        <w:rPr>
          <w:rFonts w:ascii="Arial" w:eastAsiaTheme="minorHAnsi" w:hAnsi="Arial" w:cs="Arial"/>
          <w:lang w:val="en-ZA"/>
        </w:rPr>
      </w:pPr>
    </w:p>
    <w:p w14:paraId="60B4277A" w14:textId="419E34FB" w:rsidR="00050DDC" w:rsidRPr="000B3918" w:rsidRDefault="000B3918" w:rsidP="000B3918">
      <w:pPr>
        <w:spacing w:line="480" w:lineRule="auto"/>
        <w:jc w:val="both"/>
        <w:rPr>
          <w:rFonts w:ascii="Arial" w:eastAsiaTheme="minorHAnsi" w:hAnsi="Arial" w:cs="Arial"/>
          <w:lang w:val="en-ZA"/>
        </w:rPr>
      </w:pPr>
      <w:r w:rsidRPr="007E6614">
        <w:rPr>
          <w:rFonts w:ascii="Arial" w:eastAsiaTheme="minorHAnsi" w:hAnsi="Arial" w:cs="Arial"/>
          <w:lang w:val="en-ZA"/>
        </w:rPr>
        <w:t>[5]</w:t>
      </w:r>
      <w:r w:rsidRPr="007E6614">
        <w:rPr>
          <w:rFonts w:ascii="Arial" w:eastAsiaTheme="minorHAnsi" w:hAnsi="Arial" w:cs="Arial"/>
          <w:lang w:val="en-ZA"/>
        </w:rPr>
        <w:tab/>
      </w:r>
      <w:r w:rsidR="00EE3F04" w:rsidRPr="000B3918">
        <w:rPr>
          <w:rFonts w:ascii="Arial" w:eastAsiaTheme="minorHAnsi" w:hAnsi="Arial" w:cs="Arial"/>
          <w:lang w:val="en-ZA"/>
        </w:rPr>
        <w:t>The regulations in terms of which the functionaries of the Reserve Bank issued the blocking and forfeiture orders were promulgated by the President in terms of</w:t>
      </w:r>
      <w:r w:rsidR="00461A55" w:rsidRPr="000B3918">
        <w:rPr>
          <w:rFonts w:ascii="Arial" w:eastAsiaTheme="minorHAnsi" w:hAnsi="Arial" w:cs="Arial"/>
          <w:lang w:val="en-ZA"/>
        </w:rPr>
        <w:t xml:space="preserve"> s 9 of the Act which</w:t>
      </w:r>
      <w:r w:rsidR="00371252" w:rsidRPr="000B3918">
        <w:rPr>
          <w:rFonts w:ascii="Arial" w:eastAsiaTheme="minorHAnsi" w:hAnsi="Arial" w:cs="Arial"/>
          <w:lang w:val="en-ZA"/>
        </w:rPr>
        <w:t>, a</w:t>
      </w:r>
      <w:r w:rsidR="00EE5E36" w:rsidRPr="000B3918">
        <w:rPr>
          <w:rFonts w:ascii="Arial" w:eastAsiaTheme="minorHAnsi" w:hAnsi="Arial" w:cs="Arial"/>
          <w:lang w:val="en-ZA"/>
        </w:rPr>
        <w:t>mong oth</w:t>
      </w:r>
      <w:r w:rsidR="00371252" w:rsidRPr="000B3918">
        <w:rPr>
          <w:rFonts w:ascii="Arial" w:eastAsiaTheme="minorHAnsi" w:hAnsi="Arial" w:cs="Arial"/>
          <w:lang w:val="en-ZA"/>
        </w:rPr>
        <w:t>er</w:t>
      </w:r>
      <w:r w:rsidR="00EE5E36" w:rsidRPr="000B3918">
        <w:rPr>
          <w:rFonts w:ascii="Arial" w:eastAsiaTheme="minorHAnsi" w:hAnsi="Arial" w:cs="Arial"/>
          <w:lang w:val="en-ZA"/>
        </w:rPr>
        <w:t xml:space="preserve"> things</w:t>
      </w:r>
      <w:r w:rsidR="00371252" w:rsidRPr="000B3918">
        <w:rPr>
          <w:rFonts w:ascii="Arial" w:eastAsiaTheme="minorHAnsi" w:hAnsi="Arial" w:cs="Arial"/>
          <w:lang w:val="en-ZA"/>
        </w:rPr>
        <w:t>,</w:t>
      </w:r>
      <w:r w:rsidR="00050DDC" w:rsidRPr="000B3918">
        <w:rPr>
          <w:rFonts w:ascii="Arial" w:eastAsiaTheme="minorHAnsi" w:hAnsi="Arial" w:cs="Arial"/>
          <w:lang w:val="en-ZA"/>
        </w:rPr>
        <w:t xml:space="preserve"> provides:</w:t>
      </w:r>
    </w:p>
    <w:p w14:paraId="5C1F8F35" w14:textId="6383B6F0" w:rsidR="00050DDC" w:rsidRDefault="00275EA9" w:rsidP="00AA6AA5">
      <w:pPr>
        <w:pStyle w:val="ListParagraph"/>
        <w:spacing w:line="480" w:lineRule="auto"/>
        <w:ind w:left="0"/>
        <w:jc w:val="both"/>
        <w:rPr>
          <w:rFonts w:ascii="Arial" w:eastAsiaTheme="minorHAnsi" w:hAnsi="Arial" w:cs="Arial"/>
          <w:sz w:val="22"/>
          <w:szCs w:val="22"/>
          <w:lang w:val="en-ZA"/>
        </w:rPr>
      </w:pPr>
      <w:r>
        <w:rPr>
          <w:rFonts w:ascii="Arial" w:eastAsiaTheme="minorHAnsi" w:hAnsi="Arial" w:cs="Arial"/>
          <w:sz w:val="22"/>
          <w:szCs w:val="22"/>
          <w:lang w:val="en-ZA"/>
        </w:rPr>
        <w:t>‘(1) The [President]</w:t>
      </w:r>
      <w:r w:rsidR="00050DDC">
        <w:rPr>
          <w:rFonts w:ascii="Arial" w:eastAsiaTheme="minorHAnsi" w:hAnsi="Arial" w:cs="Arial"/>
          <w:sz w:val="22"/>
          <w:szCs w:val="22"/>
          <w:lang w:val="en-ZA"/>
        </w:rPr>
        <w:t xml:space="preserve"> may make regulations in regard to any matter directly or indirectly relating to or affecting or having any bearing upon currency, banking or exchanges.</w:t>
      </w:r>
    </w:p>
    <w:p w14:paraId="2B3A4006" w14:textId="0ACE3D8B" w:rsidR="00050DDC" w:rsidRDefault="00050DDC" w:rsidP="00AA6AA5">
      <w:pPr>
        <w:pStyle w:val="ListParagraph"/>
        <w:spacing w:line="480" w:lineRule="auto"/>
        <w:ind w:left="0"/>
        <w:jc w:val="both"/>
        <w:rPr>
          <w:rFonts w:ascii="Arial" w:eastAsiaTheme="minorHAnsi" w:hAnsi="Arial" w:cs="Arial"/>
          <w:sz w:val="22"/>
          <w:szCs w:val="22"/>
          <w:lang w:val="en-ZA"/>
        </w:rPr>
      </w:pPr>
      <w:r>
        <w:rPr>
          <w:rFonts w:ascii="Arial" w:eastAsiaTheme="minorHAnsi" w:hAnsi="Arial" w:cs="Arial"/>
          <w:sz w:val="22"/>
          <w:szCs w:val="22"/>
          <w:lang w:val="en-ZA"/>
        </w:rPr>
        <w:t>(2)</w:t>
      </w:r>
      <w:r w:rsidRPr="00855BE3">
        <w:rPr>
          <w:rFonts w:ascii="Arial" w:eastAsiaTheme="minorHAnsi" w:hAnsi="Arial" w:cs="Arial"/>
          <w:i/>
          <w:iCs/>
          <w:sz w:val="22"/>
          <w:szCs w:val="22"/>
          <w:lang w:val="en-ZA"/>
        </w:rPr>
        <w:t>(a)</w:t>
      </w:r>
      <w:r>
        <w:rPr>
          <w:rFonts w:ascii="Arial" w:eastAsiaTheme="minorHAnsi" w:hAnsi="Arial" w:cs="Arial"/>
          <w:sz w:val="22"/>
          <w:szCs w:val="22"/>
          <w:lang w:val="en-ZA"/>
        </w:rPr>
        <w:t xml:space="preserve"> </w:t>
      </w:r>
      <w:r w:rsidR="007500DC">
        <w:rPr>
          <w:rFonts w:ascii="Arial" w:eastAsiaTheme="minorHAnsi" w:hAnsi="Arial" w:cs="Arial"/>
          <w:sz w:val="22"/>
          <w:szCs w:val="22"/>
          <w:lang w:val="en-ZA"/>
        </w:rPr>
        <w:tab/>
      </w:r>
      <w:r>
        <w:rPr>
          <w:rFonts w:ascii="Arial" w:eastAsiaTheme="minorHAnsi" w:hAnsi="Arial" w:cs="Arial"/>
          <w:sz w:val="22"/>
          <w:szCs w:val="22"/>
          <w:lang w:val="en-ZA"/>
        </w:rPr>
        <w:t>Such regulations may pr</w:t>
      </w:r>
      <w:r w:rsidR="00275EA9">
        <w:rPr>
          <w:rFonts w:ascii="Arial" w:eastAsiaTheme="minorHAnsi" w:hAnsi="Arial" w:cs="Arial"/>
          <w:sz w:val="22"/>
          <w:szCs w:val="22"/>
          <w:lang w:val="en-ZA"/>
        </w:rPr>
        <w:t>ovide that the [President]</w:t>
      </w:r>
      <w:r>
        <w:rPr>
          <w:rFonts w:ascii="Arial" w:eastAsiaTheme="minorHAnsi" w:hAnsi="Arial" w:cs="Arial"/>
          <w:sz w:val="22"/>
          <w:szCs w:val="22"/>
          <w:lang w:val="en-ZA"/>
        </w:rPr>
        <w:t xml:space="preserve"> may apply any sanctions therein set forth which he thinks fit to impose, whether civil or criminal.</w:t>
      </w:r>
    </w:p>
    <w:p w14:paraId="5464F011" w14:textId="539899B6" w:rsidR="00050DDC" w:rsidRDefault="00050DDC" w:rsidP="00AA6AA5">
      <w:pPr>
        <w:pStyle w:val="ListParagraph"/>
        <w:spacing w:line="480" w:lineRule="auto"/>
        <w:ind w:left="0"/>
        <w:jc w:val="both"/>
        <w:rPr>
          <w:rFonts w:ascii="Arial" w:eastAsiaTheme="minorHAnsi" w:hAnsi="Arial" w:cs="Arial"/>
          <w:sz w:val="22"/>
          <w:szCs w:val="22"/>
          <w:lang w:val="en-ZA"/>
        </w:rPr>
      </w:pPr>
      <w:r w:rsidRPr="00855BE3">
        <w:rPr>
          <w:rFonts w:ascii="Arial" w:eastAsiaTheme="minorHAnsi" w:hAnsi="Arial" w:cs="Arial"/>
          <w:i/>
          <w:iCs/>
          <w:sz w:val="22"/>
          <w:szCs w:val="22"/>
          <w:lang w:val="en-ZA"/>
        </w:rPr>
        <w:t>(b)</w:t>
      </w:r>
      <w:r>
        <w:rPr>
          <w:rFonts w:ascii="Arial" w:eastAsiaTheme="minorHAnsi" w:hAnsi="Arial" w:cs="Arial"/>
          <w:sz w:val="22"/>
          <w:szCs w:val="22"/>
          <w:lang w:val="en-ZA"/>
        </w:rPr>
        <w:t xml:space="preserve"> </w:t>
      </w:r>
      <w:r w:rsidR="007500DC">
        <w:rPr>
          <w:rFonts w:ascii="Arial" w:eastAsiaTheme="minorHAnsi" w:hAnsi="Arial" w:cs="Arial"/>
          <w:sz w:val="22"/>
          <w:szCs w:val="22"/>
          <w:lang w:val="en-ZA"/>
        </w:rPr>
        <w:tab/>
      </w:r>
      <w:r>
        <w:rPr>
          <w:rFonts w:ascii="Arial" w:eastAsiaTheme="minorHAnsi" w:hAnsi="Arial" w:cs="Arial"/>
          <w:sz w:val="22"/>
          <w:szCs w:val="22"/>
          <w:lang w:val="en-ZA"/>
        </w:rPr>
        <w:t xml:space="preserve">any regulation contemplated in paragraph </w:t>
      </w:r>
      <w:r w:rsidRPr="00855BE3">
        <w:rPr>
          <w:rFonts w:ascii="Arial" w:eastAsiaTheme="minorHAnsi" w:hAnsi="Arial" w:cs="Arial"/>
          <w:i/>
          <w:iCs/>
          <w:sz w:val="22"/>
          <w:szCs w:val="22"/>
          <w:lang w:val="en-ZA"/>
        </w:rPr>
        <w:t>(a)</w:t>
      </w:r>
      <w:r>
        <w:rPr>
          <w:rFonts w:ascii="Arial" w:eastAsiaTheme="minorHAnsi" w:hAnsi="Arial" w:cs="Arial"/>
          <w:sz w:val="22"/>
          <w:szCs w:val="22"/>
          <w:lang w:val="en-ZA"/>
        </w:rPr>
        <w:t xml:space="preserve"> may provide for-</w:t>
      </w:r>
    </w:p>
    <w:p w14:paraId="7851F7AD" w14:textId="7F63CD22" w:rsidR="00230B99" w:rsidRPr="000B3918" w:rsidRDefault="000B3918" w:rsidP="000B3918">
      <w:pPr>
        <w:spacing w:line="480" w:lineRule="auto"/>
        <w:ind w:left="720" w:hanging="720"/>
        <w:jc w:val="both"/>
        <w:rPr>
          <w:rFonts w:ascii="Arial" w:eastAsiaTheme="minorHAnsi" w:hAnsi="Arial" w:cs="Arial"/>
          <w:sz w:val="22"/>
          <w:szCs w:val="22"/>
          <w:lang w:val="en-ZA"/>
        </w:rPr>
      </w:pPr>
      <w:r w:rsidRPr="007E6614">
        <w:rPr>
          <w:rFonts w:ascii="Arial" w:eastAsiaTheme="minorHAnsi" w:hAnsi="Arial" w:cs="Arial"/>
          <w:sz w:val="22"/>
          <w:szCs w:val="22"/>
          <w:lang w:val="en-ZA"/>
        </w:rPr>
        <w:t>(i)</w:t>
      </w:r>
      <w:r w:rsidRPr="007E6614">
        <w:rPr>
          <w:rFonts w:ascii="Arial" w:eastAsiaTheme="minorHAnsi" w:hAnsi="Arial" w:cs="Arial"/>
          <w:sz w:val="22"/>
          <w:szCs w:val="22"/>
          <w:lang w:val="en-ZA"/>
        </w:rPr>
        <w:tab/>
      </w:r>
      <w:r w:rsidR="00230B99" w:rsidRPr="000B3918">
        <w:rPr>
          <w:rFonts w:ascii="Arial" w:eastAsiaTheme="minorHAnsi" w:hAnsi="Arial" w:cs="Arial"/>
          <w:sz w:val="22"/>
          <w:szCs w:val="22"/>
          <w:lang w:val="en-ZA"/>
        </w:rPr>
        <w:t>t</w:t>
      </w:r>
      <w:r w:rsidR="006D7AD2" w:rsidRPr="000B3918">
        <w:rPr>
          <w:rFonts w:ascii="Arial" w:eastAsiaTheme="minorHAnsi" w:hAnsi="Arial" w:cs="Arial"/>
          <w:sz w:val="22"/>
          <w:szCs w:val="22"/>
          <w:lang w:val="en-ZA"/>
        </w:rPr>
        <w:t>he blocking, attachment</w:t>
      </w:r>
      <w:r w:rsidR="00230B99" w:rsidRPr="000B3918">
        <w:rPr>
          <w:rFonts w:ascii="Arial" w:eastAsiaTheme="minorHAnsi" w:hAnsi="Arial" w:cs="Arial"/>
          <w:sz w:val="22"/>
          <w:szCs w:val="22"/>
          <w:lang w:val="en-ZA"/>
        </w:rPr>
        <w:t xml:space="preserve"> and obtaining of interdicts for a period referred to in paragraph </w:t>
      </w:r>
      <w:r w:rsidR="00230B99" w:rsidRPr="000B3918">
        <w:rPr>
          <w:rFonts w:ascii="Arial" w:eastAsiaTheme="minorHAnsi" w:hAnsi="Arial" w:cs="Arial"/>
          <w:i/>
          <w:iCs/>
          <w:sz w:val="22"/>
          <w:szCs w:val="22"/>
          <w:lang w:val="en-ZA"/>
        </w:rPr>
        <w:t>(g)</w:t>
      </w:r>
      <w:r w:rsidR="00230B99" w:rsidRPr="000B3918">
        <w:rPr>
          <w:rFonts w:ascii="Arial" w:eastAsiaTheme="minorHAnsi" w:hAnsi="Arial" w:cs="Arial"/>
          <w:sz w:val="22"/>
          <w:szCs w:val="22"/>
          <w:lang w:val="en-ZA"/>
        </w:rPr>
        <w:t xml:space="preserve"> by the Treasury and the forfeiture and disposal by the Treasury of any money or goods ref</w:t>
      </w:r>
      <w:r w:rsidR="00EE5E36" w:rsidRPr="000B3918">
        <w:rPr>
          <w:rFonts w:ascii="Arial" w:eastAsiaTheme="minorHAnsi" w:hAnsi="Arial" w:cs="Arial"/>
          <w:sz w:val="22"/>
          <w:szCs w:val="22"/>
          <w:lang w:val="en-ZA"/>
        </w:rPr>
        <w:t>er</w:t>
      </w:r>
      <w:r w:rsidR="00DC1A77" w:rsidRPr="000B3918">
        <w:rPr>
          <w:rFonts w:ascii="Arial" w:eastAsiaTheme="minorHAnsi" w:hAnsi="Arial" w:cs="Arial"/>
          <w:sz w:val="22"/>
          <w:szCs w:val="22"/>
          <w:lang w:val="en-ZA"/>
        </w:rPr>
        <w:t>red to</w:t>
      </w:r>
      <w:r w:rsidR="00230B99" w:rsidRPr="000B3918">
        <w:rPr>
          <w:rFonts w:ascii="Arial" w:eastAsiaTheme="minorHAnsi" w:hAnsi="Arial" w:cs="Arial"/>
          <w:sz w:val="22"/>
          <w:szCs w:val="22"/>
          <w:lang w:val="en-ZA"/>
        </w:rPr>
        <w:t xml:space="preserve"> or defined in the regulations or det</w:t>
      </w:r>
      <w:r w:rsidR="007813C3" w:rsidRPr="000B3918">
        <w:rPr>
          <w:rFonts w:ascii="Arial" w:eastAsiaTheme="minorHAnsi" w:hAnsi="Arial" w:cs="Arial"/>
          <w:sz w:val="22"/>
          <w:szCs w:val="22"/>
          <w:lang w:val="en-ZA"/>
        </w:rPr>
        <w:t>e</w:t>
      </w:r>
      <w:r w:rsidR="00230B99" w:rsidRPr="000B3918">
        <w:rPr>
          <w:rFonts w:ascii="Arial" w:eastAsiaTheme="minorHAnsi" w:hAnsi="Arial" w:cs="Arial"/>
          <w:sz w:val="22"/>
          <w:szCs w:val="22"/>
          <w:lang w:val="en-ZA"/>
        </w:rPr>
        <w:t>rmined in terms of the regulations or any money or goods into which such money or goods have been transformed by any person, and-</w:t>
      </w:r>
    </w:p>
    <w:p w14:paraId="04798685" w14:textId="7C352A3D" w:rsidR="00230B99" w:rsidRDefault="00230B99" w:rsidP="00AA6AA5">
      <w:pPr>
        <w:spacing w:line="480" w:lineRule="auto"/>
        <w:jc w:val="both"/>
        <w:rPr>
          <w:rFonts w:ascii="Arial" w:eastAsiaTheme="minorHAnsi" w:hAnsi="Arial" w:cs="Arial"/>
          <w:sz w:val="22"/>
          <w:szCs w:val="22"/>
          <w:lang w:val="en-ZA"/>
        </w:rPr>
      </w:pPr>
      <w:r w:rsidRPr="00855BE3">
        <w:rPr>
          <w:rFonts w:ascii="Arial" w:eastAsiaTheme="minorHAnsi" w:hAnsi="Arial" w:cs="Arial"/>
          <w:i/>
          <w:iCs/>
          <w:sz w:val="22"/>
          <w:szCs w:val="22"/>
          <w:lang w:val="en-ZA"/>
        </w:rPr>
        <w:t>(aa)</w:t>
      </w:r>
      <w:r>
        <w:rPr>
          <w:rFonts w:ascii="Arial" w:eastAsiaTheme="minorHAnsi" w:hAnsi="Arial" w:cs="Arial"/>
          <w:sz w:val="22"/>
          <w:szCs w:val="22"/>
          <w:lang w:val="en-ZA"/>
        </w:rPr>
        <w:tab/>
        <w:t xml:space="preserve">which are suspected by the Treasury on reasonable grounds to be involved in an offence or suspected offence against any regulation referred to </w:t>
      </w:r>
      <w:r w:rsidR="00111DA8">
        <w:rPr>
          <w:rFonts w:ascii="Arial" w:eastAsiaTheme="minorHAnsi" w:hAnsi="Arial" w:cs="Arial"/>
          <w:sz w:val="22"/>
          <w:szCs w:val="22"/>
          <w:lang w:val="en-ZA"/>
        </w:rPr>
        <w:t xml:space="preserve">in </w:t>
      </w:r>
      <w:r>
        <w:rPr>
          <w:rFonts w:ascii="Arial" w:eastAsiaTheme="minorHAnsi" w:hAnsi="Arial" w:cs="Arial"/>
          <w:sz w:val="22"/>
          <w:szCs w:val="22"/>
          <w:lang w:val="en-ZA"/>
        </w:rPr>
        <w:t>this section, or in respect of which such offence has been commit</w:t>
      </w:r>
      <w:r w:rsidR="00111DA8">
        <w:rPr>
          <w:rFonts w:ascii="Arial" w:eastAsiaTheme="minorHAnsi" w:hAnsi="Arial" w:cs="Arial"/>
          <w:sz w:val="22"/>
          <w:szCs w:val="22"/>
          <w:lang w:val="en-ZA"/>
        </w:rPr>
        <w:t>t</w:t>
      </w:r>
      <w:r>
        <w:rPr>
          <w:rFonts w:ascii="Arial" w:eastAsiaTheme="minorHAnsi" w:hAnsi="Arial" w:cs="Arial"/>
          <w:sz w:val="22"/>
          <w:szCs w:val="22"/>
          <w:lang w:val="en-ZA"/>
        </w:rPr>
        <w:t>ed or so suspected to have been commit</w:t>
      </w:r>
      <w:r w:rsidR="00111DA8">
        <w:rPr>
          <w:rFonts w:ascii="Arial" w:eastAsiaTheme="minorHAnsi" w:hAnsi="Arial" w:cs="Arial"/>
          <w:sz w:val="22"/>
          <w:szCs w:val="22"/>
          <w:lang w:val="en-ZA"/>
        </w:rPr>
        <w:t>t</w:t>
      </w:r>
      <w:r>
        <w:rPr>
          <w:rFonts w:ascii="Arial" w:eastAsiaTheme="minorHAnsi" w:hAnsi="Arial" w:cs="Arial"/>
          <w:sz w:val="22"/>
          <w:szCs w:val="22"/>
          <w:lang w:val="en-ZA"/>
        </w:rPr>
        <w:t>ed;</w:t>
      </w:r>
    </w:p>
    <w:p w14:paraId="6F6FB37D" w14:textId="52757F2F" w:rsidR="00734854" w:rsidRDefault="00230B99" w:rsidP="00AA6AA5">
      <w:pPr>
        <w:spacing w:line="480" w:lineRule="auto"/>
        <w:jc w:val="both"/>
        <w:rPr>
          <w:rFonts w:ascii="Arial" w:eastAsiaTheme="minorHAnsi" w:hAnsi="Arial" w:cs="Arial"/>
          <w:sz w:val="22"/>
          <w:szCs w:val="22"/>
          <w:lang w:val="en-ZA"/>
        </w:rPr>
      </w:pPr>
      <w:r w:rsidRPr="00855BE3">
        <w:rPr>
          <w:rFonts w:ascii="Arial" w:eastAsiaTheme="minorHAnsi" w:hAnsi="Arial" w:cs="Arial"/>
          <w:i/>
          <w:iCs/>
          <w:sz w:val="22"/>
          <w:szCs w:val="22"/>
          <w:lang w:val="en-ZA"/>
        </w:rPr>
        <w:t>(bb)</w:t>
      </w:r>
      <w:r>
        <w:rPr>
          <w:rFonts w:ascii="Arial" w:eastAsiaTheme="minorHAnsi" w:hAnsi="Arial" w:cs="Arial"/>
          <w:sz w:val="22"/>
          <w:szCs w:val="22"/>
          <w:lang w:val="en-ZA"/>
        </w:rPr>
        <w:tab/>
        <w:t>which are in the possession of the offender, suspected offender or any other person or have been obtained by any such person or are due to any such person and which would not have been</w:t>
      </w:r>
      <w:r w:rsidR="00734854">
        <w:rPr>
          <w:rFonts w:ascii="Arial" w:eastAsiaTheme="minorHAnsi" w:hAnsi="Arial" w:cs="Arial"/>
          <w:sz w:val="22"/>
          <w:szCs w:val="22"/>
          <w:lang w:val="en-ZA"/>
        </w:rPr>
        <w:t xml:space="preserve"> in such possession or so obtained or due if such offence or suspected offence had not been commit</w:t>
      </w:r>
      <w:r w:rsidR="00111DA8">
        <w:rPr>
          <w:rFonts w:ascii="Arial" w:eastAsiaTheme="minorHAnsi" w:hAnsi="Arial" w:cs="Arial"/>
          <w:sz w:val="22"/>
          <w:szCs w:val="22"/>
          <w:lang w:val="en-ZA"/>
        </w:rPr>
        <w:t>t</w:t>
      </w:r>
      <w:r w:rsidR="00734854">
        <w:rPr>
          <w:rFonts w:ascii="Arial" w:eastAsiaTheme="minorHAnsi" w:hAnsi="Arial" w:cs="Arial"/>
          <w:sz w:val="22"/>
          <w:szCs w:val="22"/>
          <w:lang w:val="en-ZA"/>
        </w:rPr>
        <w:t>ed; or</w:t>
      </w:r>
    </w:p>
    <w:p w14:paraId="0525DAE1" w14:textId="50855D6B" w:rsidR="007E6614" w:rsidRDefault="00734854" w:rsidP="00AA6AA5">
      <w:pPr>
        <w:spacing w:line="480" w:lineRule="auto"/>
        <w:jc w:val="both"/>
        <w:rPr>
          <w:rFonts w:ascii="Arial" w:eastAsiaTheme="minorHAnsi" w:hAnsi="Arial" w:cs="Arial"/>
          <w:sz w:val="22"/>
          <w:szCs w:val="22"/>
          <w:lang w:val="en-ZA"/>
        </w:rPr>
      </w:pPr>
      <w:r w:rsidRPr="00855BE3">
        <w:rPr>
          <w:rFonts w:ascii="Arial" w:eastAsiaTheme="minorHAnsi" w:hAnsi="Arial" w:cs="Arial"/>
          <w:i/>
          <w:iCs/>
          <w:sz w:val="22"/>
          <w:szCs w:val="22"/>
          <w:lang w:val="en-ZA"/>
        </w:rPr>
        <w:t>(cc)</w:t>
      </w:r>
      <w:r>
        <w:rPr>
          <w:rFonts w:ascii="Arial" w:eastAsiaTheme="minorHAnsi" w:hAnsi="Arial" w:cs="Arial"/>
          <w:sz w:val="22"/>
          <w:szCs w:val="22"/>
          <w:lang w:val="en-ZA"/>
        </w:rPr>
        <w:tab/>
        <w:t>by which the offender, suspected offender or any other person has been benefited or enriched as a result of suc</w:t>
      </w:r>
      <w:r w:rsidR="00111DA8">
        <w:rPr>
          <w:rFonts w:ascii="Arial" w:eastAsiaTheme="minorHAnsi" w:hAnsi="Arial" w:cs="Arial"/>
          <w:sz w:val="22"/>
          <w:szCs w:val="22"/>
          <w:lang w:val="en-ZA"/>
        </w:rPr>
        <w:t>h offence or suspected offence:</w:t>
      </w:r>
    </w:p>
    <w:p w14:paraId="68C2CEBF" w14:textId="3CAE48A6" w:rsidR="00734854" w:rsidRDefault="00734854" w:rsidP="00AA6AA5">
      <w:pPr>
        <w:spacing w:line="480" w:lineRule="auto"/>
        <w:jc w:val="both"/>
        <w:rPr>
          <w:rFonts w:ascii="Arial" w:eastAsiaTheme="minorHAnsi" w:hAnsi="Arial" w:cs="Arial"/>
          <w:sz w:val="22"/>
          <w:szCs w:val="22"/>
          <w:lang w:val="en-ZA"/>
        </w:rPr>
      </w:pPr>
      <w:r>
        <w:rPr>
          <w:rFonts w:ascii="Arial" w:eastAsiaTheme="minorHAnsi" w:hAnsi="Arial" w:cs="Arial"/>
          <w:sz w:val="22"/>
          <w:szCs w:val="22"/>
          <w:lang w:val="en-ZA"/>
        </w:rPr>
        <w:t xml:space="preserve">Provided that, in the case of any person other than the offender or suspected offender, no such money or goods shall be blocked, attached, interdicted, forfeited and disposed if such money or goods were acquired by such person </w:t>
      </w:r>
      <w:r w:rsidRPr="007E6614">
        <w:rPr>
          <w:rFonts w:ascii="Arial" w:eastAsiaTheme="minorHAnsi" w:hAnsi="Arial" w:cs="Arial"/>
          <w:i/>
          <w:iCs/>
          <w:sz w:val="22"/>
          <w:szCs w:val="22"/>
          <w:lang w:val="en-ZA"/>
        </w:rPr>
        <w:t>bona fide</w:t>
      </w:r>
      <w:r>
        <w:rPr>
          <w:rFonts w:ascii="Arial" w:eastAsiaTheme="minorHAnsi" w:hAnsi="Arial" w:cs="Arial"/>
          <w:sz w:val="22"/>
          <w:szCs w:val="22"/>
          <w:lang w:val="en-ZA"/>
        </w:rPr>
        <w:t xml:space="preserve"> for reasonable consideration a result of a transaction in the ordinary course of business and not in contravention of the regulations; and  </w:t>
      </w:r>
    </w:p>
    <w:p w14:paraId="1FE2957A" w14:textId="2C324B0B" w:rsidR="005A0426" w:rsidRPr="000B3918" w:rsidRDefault="000B3918" w:rsidP="000B3918">
      <w:pPr>
        <w:spacing w:line="480" w:lineRule="auto"/>
        <w:ind w:left="720" w:hanging="720"/>
        <w:jc w:val="both"/>
        <w:rPr>
          <w:rFonts w:ascii="Arial" w:eastAsiaTheme="minorHAnsi" w:hAnsi="Arial" w:cs="Arial"/>
          <w:sz w:val="22"/>
          <w:szCs w:val="22"/>
          <w:lang w:val="en-ZA"/>
        </w:rPr>
      </w:pPr>
      <w:r w:rsidRPr="00F47BDD">
        <w:rPr>
          <w:rFonts w:ascii="Arial" w:eastAsiaTheme="minorHAnsi" w:hAnsi="Arial" w:cs="Arial"/>
          <w:sz w:val="22"/>
          <w:szCs w:val="22"/>
          <w:lang w:val="en-ZA"/>
        </w:rPr>
        <w:t>(ii)</w:t>
      </w:r>
      <w:r w:rsidRPr="00F47BDD">
        <w:rPr>
          <w:rFonts w:ascii="Arial" w:eastAsiaTheme="minorHAnsi" w:hAnsi="Arial" w:cs="Arial"/>
          <w:sz w:val="22"/>
          <w:szCs w:val="22"/>
          <w:lang w:val="en-ZA"/>
        </w:rPr>
        <w:tab/>
      </w:r>
      <w:r w:rsidR="00734854" w:rsidRPr="000B3918">
        <w:rPr>
          <w:rFonts w:ascii="Arial" w:eastAsiaTheme="minorHAnsi" w:hAnsi="Arial" w:cs="Arial"/>
          <w:sz w:val="22"/>
          <w:szCs w:val="22"/>
          <w:lang w:val="en-ZA"/>
        </w:rPr>
        <w:t>in</w:t>
      </w:r>
      <w:r w:rsidR="00275EA9" w:rsidRPr="000B3918">
        <w:rPr>
          <w:rFonts w:ascii="Arial" w:eastAsiaTheme="minorHAnsi" w:hAnsi="Arial" w:cs="Arial"/>
          <w:sz w:val="22"/>
          <w:szCs w:val="22"/>
          <w:lang w:val="en-ZA"/>
        </w:rPr>
        <w:t xml:space="preserve"> general, any matter which the [President]</w:t>
      </w:r>
      <w:r w:rsidR="00734854" w:rsidRPr="000B3918">
        <w:rPr>
          <w:rFonts w:ascii="Arial" w:eastAsiaTheme="minorHAnsi" w:hAnsi="Arial" w:cs="Arial"/>
          <w:sz w:val="22"/>
          <w:szCs w:val="22"/>
          <w:lang w:val="en-ZA"/>
        </w:rPr>
        <w:t xml:space="preserve"> deems necessary for the fulfilment of the objectives and purposes referred to in subparagragh (i), including the blocking, attachment, interdicting, forfeiture</w:t>
      </w:r>
      <w:r w:rsidR="005A0426" w:rsidRPr="000B3918">
        <w:rPr>
          <w:rFonts w:ascii="Arial" w:eastAsiaTheme="minorHAnsi" w:hAnsi="Arial" w:cs="Arial"/>
          <w:sz w:val="22"/>
          <w:szCs w:val="22"/>
          <w:lang w:val="en-ZA"/>
        </w:rPr>
        <w:t xml:space="preserve"> and disposal referred to in </w:t>
      </w:r>
      <w:r w:rsidR="00975DE8" w:rsidRPr="000B3918">
        <w:rPr>
          <w:rFonts w:ascii="Arial" w:eastAsiaTheme="minorHAnsi" w:hAnsi="Arial" w:cs="Arial"/>
          <w:sz w:val="22"/>
          <w:szCs w:val="22"/>
          <w:lang w:val="en-ZA"/>
        </w:rPr>
        <w:t xml:space="preserve">subparagraph </w:t>
      </w:r>
      <w:r w:rsidR="005A0426" w:rsidRPr="000B3918">
        <w:rPr>
          <w:rFonts w:ascii="Arial" w:eastAsiaTheme="minorHAnsi" w:hAnsi="Arial" w:cs="Arial"/>
          <w:sz w:val="22"/>
          <w:szCs w:val="22"/>
          <w:lang w:val="en-ZA"/>
        </w:rPr>
        <w:t>(i) by the Treasury of any other money or goods belonging to the offender, suspected offender or any other person in order to recover an amount equal to the value of the money or goods, recoverable in terms of the regulations referred to in subparagraph (i), but which can for any reason not be so recovered.</w:t>
      </w:r>
    </w:p>
    <w:p w14:paraId="1522F87F" w14:textId="1CCAC854" w:rsidR="005A0426" w:rsidRDefault="005A0426" w:rsidP="00AA6AA5">
      <w:pPr>
        <w:spacing w:line="480" w:lineRule="auto"/>
        <w:jc w:val="both"/>
        <w:rPr>
          <w:rFonts w:ascii="Arial" w:eastAsiaTheme="minorHAnsi" w:hAnsi="Arial" w:cs="Arial"/>
          <w:sz w:val="22"/>
          <w:szCs w:val="22"/>
          <w:lang w:val="en-ZA"/>
        </w:rPr>
      </w:pPr>
      <w:r w:rsidRPr="00855BE3">
        <w:rPr>
          <w:rFonts w:ascii="Arial" w:eastAsiaTheme="minorHAnsi" w:hAnsi="Arial" w:cs="Arial"/>
          <w:i/>
          <w:iCs/>
          <w:sz w:val="22"/>
          <w:szCs w:val="22"/>
          <w:lang w:val="en-ZA"/>
        </w:rPr>
        <w:t>(c)</w:t>
      </w:r>
      <w:r>
        <w:rPr>
          <w:rFonts w:ascii="Arial" w:eastAsiaTheme="minorHAnsi" w:hAnsi="Arial" w:cs="Arial"/>
          <w:sz w:val="22"/>
          <w:szCs w:val="22"/>
          <w:lang w:val="en-ZA"/>
        </w:rPr>
        <w:t xml:space="preserve"> </w:t>
      </w:r>
      <w:r w:rsidR="007500DC">
        <w:rPr>
          <w:rFonts w:ascii="Arial" w:eastAsiaTheme="minorHAnsi" w:hAnsi="Arial" w:cs="Arial"/>
          <w:sz w:val="22"/>
          <w:szCs w:val="22"/>
          <w:lang w:val="en-ZA"/>
        </w:rPr>
        <w:tab/>
      </w:r>
      <w:r w:rsidR="00975DE8">
        <w:rPr>
          <w:rFonts w:ascii="Arial" w:eastAsiaTheme="minorHAnsi" w:hAnsi="Arial" w:cs="Arial"/>
          <w:sz w:val="22"/>
          <w:szCs w:val="22"/>
          <w:lang w:val="en-ZA"/>
        </w:rPr>
        <w:t>. . .</w:t>
      </w:r>
    </w:p>
    <w:p w14:paraId="195529B1" w14:textId="6CA165F2" w:rsidR="007500DC" w:rsidRDefault="005A0426" w:rsidP="00AA6AA5">
      <w:pPr>
        <w:spacing w:line="480" w:lineRule="auto"/>
        <w:jc w:val="both"/>
        <w:rPr>
          <w:rFonts w:ascii="Arial" w:eastAsiaTheme="minorHAnsi" w:hAnsi="Arial" w:cs="Arial"/>
          <w:sz w:val="22"/>
          <w:szCs w:val="22"/>
          <w:lang w:val="en-ZA"/>
        </w:rPr>
      </w:pPr>
      <w:r w:rsidRPr="00855BE3">
        <w:rPr>
          <w:rFonts w:ascii="Arial" w:eastAsiaTheme="minorHAnsi" w:hAnsi="Arial" w:cs="Arial"/>
          <w:i/>
          <w:iCs/>
          <w:sz w:val="22"/>
          <w:szCs w:val="22"/>
          <w:lang w:val="en-ZA"/>
        </w:rPr>
        <w:t>(d)</w:t>
      </w:r>
      <w:r>
        <w:rPr>
          <w:rFonts w:ascii="Arial" w:eastAsiaTheme="minorHAnsi" w:hAnsi="Arial" w:cs="Arial"/>
          <w:sz w:val="22"/>
          <w:szCs w:val="22"/>
          <w:lang w:val="en-ZA"/>
        </w:rPr>
        <w:t xml:space="preserve"> </w:t>
      </w:r>
      <w:r w:rsidR="00A52BE7">
        <w:rPr>
          <w:rFonts w:ascii="Arial" w:eastAsiaTheme="minorHAnsi" w:hAnsi="Arial" w:cs="Arial"/>
          <w:sz w:val="22"/>
          <w:szCs w:val="22"/>
          <w:lang w:val="en-ZA"/>
        </w:rPr>
        <w:tab/>
      </w:r>
      <w:r>
        <w:rPr>
          <w:rFonts w:ascii="Arial" w:eastAsiaTheme="minorHAnsi" w:hAnsi="Arial" w:cs="Arial"/>
          <w:sz w:val="22"/>
          <w:szCs w:val="22"/>
          <w:lang w:val="en-ZA"/>
        </w:rPr>
        <w:t xml:space="preserve">Any regulation contemplated in paragraph </w:t>
      </w:r>
      <w:r w:rsidRPr="00855BE3">
        <w:rPr>
          <w:rFonts w:ascii="Arial" w:eastAsiaTheme="minorHAnsi" w:hAnsi="Arial" w:cs="Arial"/>
          <w:i/>
          <w:iCs/>
          <w:sz w:val="22"/>
          <w:szCs w:val="22"/>
          <w:lang w:val="en-ZA"/>
        </w:rPr>
        <w:t>(a)</w:t>
      </w:r>
      <w:r>
        <w:rPr>
          <w:rFonts w:ascii="Arial" w:eastAsiaTheme="minorHAnsi" w:hAnsi="Arial" w:cs="Arial"/>
          <w:sz w:val="22"/>
          <w:szCs w:val="22"/>
          <w:lang w:val="en-ZA"/>
        </w:rPr>
        <w:t xml:space="preserve"> shall provide</w:t>
      </w:r>
      <w:r w:rsidR="007500DC">
        <w:rPr>
          <w:rFonts w:ascii="Arial" w:eastAsiaTheme="minorHAnsi" w:hAnsi="Arial" w:cs="Arial"/>
          <w:sz w:val="22"/>
          <w:szCs w:val="22"/>
          <w:lang w:val="en-ZA"/>
        </w:rPr>
        <w:t>–</w:t>
      </w:r>
    </w:p>
    <w:p w14:paraId="3471C602" w14:textId="44FB8545" w:rsidR="00F47BDD" w:rsidRPr="000B3918" w:rsidRDefault="000B3918" w:rsidP="000B3918">
      <w:pPr>
        <w:spacing w:line="480" w:lineRule="auto"/>
        <w:ind w:left="720" w:hanging="720"/>
        <w:jc w:val="both"/>
        <w:rPr>
          <w:rFonts w:ascii="Arial" w:eastAsiaTheme="minorHAnsi" w:hAnsi="Arial" w:cs="Arial"/>
          <w:sz w:val="22"/>
          <w:szCs w:val="22"/>
          <w:lang w:val="en-ZA"/>
        </w:rPr>
      </w:pPr>
      <w:r w:rsidRPr="00F47BDD">
        <w:rPr>
          <w:rFonts w:ascii="Arial" w:eastAsiaTheme="minorHAnsi" w:hAnsi="Arial" w:cs="Arial"/>
          <w:sz w:val="22"/>
          <w:szCs w:val="22"/>
          <w:lang w:val="en-ZA"/>
        </w:rPr>
        <w:t>(i)</w:t>
      </w:r>
      <w:r w:rsidRPr="00F47BDD">
        <w:rPr>
          <w:rFonts w:ascii="Arial" w:eastAsiaTheme="minorHAnsi" w:hAnsi="Arial" w:cs="Arial"/>
          <w:sz w:val="22"/>
          <w:szCs w:val="22"/>
          <w:lang w:val="en-ZA"/>
        </w:rPr>
        <w:tab/>
      </w:r>
      <w:r w:rsidR="005A0426" w:rsidRPr="000B3918">
        <w:rPr>
          <w:rFonts w:ascii="Arial" w:eastAsiaTheme="minorHAnsi" w:hAnsi="Arial" w:cs="Arial"/>
          <w:sz w:val="22"/>
          <w:szCs w:val="22"/>
          <w:lang w:val="en-ZA"/>
        </w:rPr>
        <w:t>that any person who feels aggrieved by any decision</w:t>
      </w:r>
      <w:r w:rsidR="00734854" w:rsidRPr="000B3918">
        <w:rPr>
          <w:rFonts w:ascii="Arial" w:eastAsiaTheme="minorHAnsi" w:hAnsi="Arial" w:cs="Arial"/>
          <w:sz w:val="22"/>
          <w:szCs w:val="22"/>
          <w:lang w:val="en-ZA"/>
        </w:rPr>
        <w:t xml:space="preserve"> </w:t>
      </w:r>
      <w:r w:rsidR="005A0426" w:rsidRPr="000B3918">
        <w:rPr>
          <w:rFonts w:ascii="Arial" w:eastAsiaTheme="minorHAnsi" w:hAnsi="Arial" w:cs="Arial"/>
          <w:sz w:val="22"/>
          <w:szCs w:val="22"/>
          <w:lang w:val="en-ZA"/>
        </w:rPr>
        <w:t>made or action taken by any person in the execise of his powers under a regulation</w:t>
      </w:r>
      <w:r w:rsidR="00F24B31" w:rsidRPr="000B3918">
        <w:rPr>
          <w:rFonts w:ascii="Arial" w:eastAsiaTheme="minorHAnsi" w:hAnsi="Arial" w:cs="Arial"/>
          <w:sz w:val="22"/>
          <w:szCs w:val="22"/>
          <w:lang w:val="en-ZA"/>
        </w:rPr>
        <w:t xml:space="preserve"> referred to in paragraph </w:t>
      </w:r>
      <w:r w:rsidR="00F24B31" w:rsidRPr="000B3918">
        <w:rPr>
          <w:rFonts w:ascii="Arial" w:eastAsiaTheme="minorHAnsi" w:hAnsi="Arial" w:cs="Arial"/>
          <w:i/>
          <w:iCs/>
          <w:sz w:val="22"/>
          <w:szCs w:val="22"/>
          <w:lang w:val="en-ZA"/>
        </w:rPr>
        <w:t>(b)</w:t>
      </w:r>
      <w:r w:rsidR="00F24B31" w:rsidRPr="000B3918">
        <w:rPr>
          <w:rFonts w:ascii="Arial" w:eastAsiaTheme="minorHAnsi" w:hAnsi="Arial" w:cs="Arial"/>
          <w:sz w:val="22"/>
          <w:szCs w:val="22"/>
          <w:lang w:val="en-ZA"/>
        </w:rPr>
        <w:t xml:space="preserve"> which has the effect of blocking, attaching, or interdicting any money or goods, may lodge an application in a competent court for the revision of such decision or action or any other relief…</w:t>
      </w:r>
    </w:p>
    <w:p w14:paraId="71FC8503" w14:textId="23AC35D1" w:rsidR="00432AE4" w:rsidRPr="000B3918" w:rsidRDefault="000B3918" w:rsidP="000B3918">
      <w:pPr>
        <w:spacing w:line="480" w:lineRule="auto"/>
        <w:ind w:left="720" w:hanging="720"/>
        <w:jc w:val="both"/>
        <w:rPr>
          <w:rFonts w:ascii="Arial" w:eastAsiaTheme="minorHAnsi" w:hAnsi="Arial" w:cs="Arial"/>
          <w:sz w:val="22"/>
          <w:szCs w:val="22"/>
          <w:lang w:val="en-ZA"/>
        </w:rPr>
      </w:pPr>
      <w:r w:rsidRPr="007E6614">
        <w:rPr>
          <w:rFonts w:ascii="Arial" w:eastAsiaTheme="minorHAnsi" w:hAnsi="Arial" w:cs="Arial"/>
          <w:sz w:val="22"/>
          <w:szCs w:val="22"/>
          <w:lang w:val="en-ZA"/>
        </w:rPr>
        <w:t>(ii)</w:t>
      </w:r>
      <w:r w:rsidRPr="007E6614">
        <w:rPr>
          <w:rFonts w:ascii="Arial" w:eastAsiaTheme="minorHAnsi" w:hAnsi="Arial" w:cs="Arial"/>
          <w:sz w:val="22"/>
          <w:szCs w:val="22"/>
          <w:lang w:val="en-ZA"/>
        </w:rPr>
        <w:tab/>
      </w:r>
      <w:r w:rsidR="00A52BE7" w:rsidRPr="000B3918">
        <w:rPr>
          <w:rFonts w:ascii="Arial" w:eastAsiaTheme="minorHAnsi" w:hAnsi="Arial" w:cs="Arial"/>
          <w:sz w:val="22"/>
          <w:szCs w:val="22"/>
          <w:lang w:val="en-ZA"/>
        </w:rPr>
        <w:t>. . .</w:t>
      </w:r>
    </w:p>
    <w:p w14:paraId="52105D87" w14:textId="7AB3D307" w:rsidR="00432AE4" w:rsidRPr="000B3918" w:rsidRDefault="000B3918" w:rsidP="000B3918">
      <w:pPr>
        <w:spacing w:line="480" w:lineRule="auto"/>
        <w:ind w:left="720" w:hanging="720"/>
        <w:jc w:val="both"/>
        <w:rPr>
          <w:rFonts w:ascii="Arial" w:eastAsiaTheme="minorHAnsi" w:hAnsi="Arial" w:cs="Arial"/>
          <w:sz w:val="22"/>
          <w:szCs w:val="22"/>
          <w:lang w:val="en-ZA"/>
        </w:rPr>
      </w:pPr>
      <w:r w:rsidRPr="007E6614">
        <w:rPr>
          <w:rFonts w:ascii="Arial" w:eastAsiaTheme="minorHAnsi" w:hAnsi="Arial" w:cs="Arial"/>
          <w:sz w:val="22"/>
          <w:szCs w:val="22"/>
          <w:lang w:val="en-ZA"/>
        </w:rPr>
        <w:t>(iii)</w:t>
      </w:r>
      <w:r w:rsidRPr="007E6614">
        <w:rPr>
          <w:rFonts w:ascii="Arial" w:eastAsiaTheme="minorHAnsi" w:hAnsi="Arial" w:cs="Arial"/>
          <w:sz w:val="22"/>
          <w:szCs w:val="22"/>
          <w:lang w:val="en-ZA"/>
        </w:rPr>
        <w:tab/>
      </w:r>
      <w:r w:rsidR="00F24B31" w:rsidRPr="000B3918">
        <w:rPr>
          <w:rFonts w:ascii="Arial" w:eastAsiaTheme="minorHAnsi" w:hAnsi="Arial" w:cs="Arial"/>
          <w:sz w:val="22"/>
          <w:szCs w:val="22"/>
          <w:lang w:val="en-ZA"/>
        </w:rPr>
        <w:t>That any other person who feels aggrieved by any decision to forfeit and dispose of such money, within a period prescribed by the r</w:t>
      </w:r>
      <w:r w:rsidR="00DC1A77" w:rsidRPr="000B3918">
        <w:rPr>
          <w:rFonts w:ascii="Arial" w:eastAsiaTheme="minorHAnsi" w:hAnsi="Arial" w:cs="Arial"/>
          <w:sz w:val="22"/>
          <w:szCs w:val="22"/>
          <w:lang w:val="en-ZA"/>
        </w:rPr>
        <w:t>egulations, which shall not be less than</w:t>
      </w:r>
      <w:r w:rsidR="00F24B31" w:rsidRPr="000B3918">
        <w:rPr>
          <w:rFonts w:ascii="Arial" w:eastAsiaTheme="minorHAnsi" w:hAnsi="Arial" w:cs="Arial"/>
          <w:sz w:val="22"/>
          <w:szCs w:val="22"/>
          <w:lang w:val="en-ZA"/>
        </w:rPr>
        <w:t xml:space="preserve"> 90 days after the date of the notice in the Gazette and referred to in subparagraph (ii), institute legal proceedings in a competent court for the setting aside of such decision, and the court shall not set aside such decision</w:t>
      </w:r>
      <w:r w:rsidR="00432AE4" w:rsidRPr="000B3918">
        <w:rPr>
          <w:rFonts w:ascii="Arial" w:eastAsiaTheme="minorHAnsi" w:hAnsi="Arial" w:cs="Arial"/>
          <w:sz w:val="22"/>
          <w:szCs w:val="22"/>
          <w:lang w:val="en-ZA"/>
        </w:rPr>
        <w:t xml:space="preserve"> unless it is satisfied-</w:t>
      </w:r>
    </w:p>
    <w:p w14:paraId="32A66FEF" w14:textId="2C059140" w:rsidR="00432AE4" w:rsidRDefault="00432AE4" w:rsidP="00AA6AA5">
      <w:pPr>
        <w:spacing w:line="480" w:lineRule="auto"/>
        <w:jc w:val="both"/>
        <w:rPr>
          <w:rFonts w:ascii="Arial" w:eastAsiaTheme="minorHAnsi" w:hAnsi="Arial" w:cs="Arial"/>
          <w:sz w:val="22"/>
          <w:szCs w:val="22"/>
          <w:lang w:val="en-ZA"/>
        </w:rPr>
      </w:pPr>
      <w:r w:rsidRPr="00855BE3">
        <w:rPr>
          <w:rFonts w:ascii="Arial" w:eastAsiaTheme="minorHAnsi" w:hAnsi="Arial" w:cs="Arial"/>
          <w:i/>
          <w:iCs/>
          <w:sz w:val="22"/>
          <w:szCs w:val="22"/>
          <w:lang w:val="en-ZA"/>
        </w:rPr>
        <w:t>(aa)</w:t>
      </w:r>
      <w:r>
        <w:rPr>
          <w:rFonts w:ascii="Arial" w:eastAsiaTheme="minorHAnsi" w:hAnsi="Arial" w:cs="Arial"/>
          <w:sz w:val="22"/>
          <w:szCs w:val="22"/>
          <w:lang w:val="en-ZA"/>
        </w:rPr>
        <w:tab/>
        <w:t>that person who made such decision did not act in accordance with the relevant provisions of the regulation; or</w:t>
      </w:r>
    </w:p>
    <w:p w14:paraId="46982334" w14:textId="6CA20117" w:rsidR="00432AE4" w:rsidRDefault="00432AE4" w:rsidP="00AA6AA5">
      <w:pPr>
        <w:spacing w:line="480" w:lineRule="auto"/>
        <w:jc w:val="both"/>
        <w:rPr>
          <w:rFonts w:ascii="Arial" w:eastAsiaTheme="minorHAnsi" w:hAnsi="Arial" w:cs="Arial"/>
          <w:sz w:val="22"/>
          <w:szCs w:val="22"/>
          <w:lang w:val="en-ZA"/>
        </w:rPr>
      </w:pPr>
      <w:r w:rsidRPr="00855BE3">
        <w:rPr>
          <w:rFonts w:ascii="Arial" w:eastAsiaTheme="minorHAnsi" w:hAnsi="Arial" w:cs="Arial"/>
          <w:i/>
          <w:iCs/>
          <w:sz w:val="22"/>
          <w:szCs w:val="22"/>
          <w:lang w:val="en-ZA"/>
        </w:rPr>
        <w:t>(bb)</w:t>
      </w:r>
      <w:r>
        <w:rPr>
          <w:rFonts w:ascii="Arial" w:eastAsiaTheme="minorHAnsi" w:hAnsi="Arial" w:cs="Arial"/>
          <w:sz w:val="22"/>
          <w:szCs w:val="22"/>
          <w:lang w:val="en-ZA"/>
        </w:rPr>
        <w:tab/>
        <w:t>that such person did not have grounds to make such decision; or</w:t>
      </w:r>
    </w:p>
    <w:p w14:paraId="60532F32" w14:textId="560B5D76" w:rsidR="00432AE4" w:rsidRDefault="00432AE4" w:rsidP="00AA6AA5">
      <w:pPr>
        <w:spacing w:line="480" w:lineRule="auto"/>
        <w:jc w:val="both"/>
        <w:rPr>
          <w:rFonts w:ascii="Arial" w:eastAsiaTheme="minorHAnsi" w:hAnsi="Arial" w:cs="Arial"/>
          <w:sz w:val="22"/>
          <w:szCs w:val="22"/>
          <w:lang w:val="en-ZA"/>
        </w:rPr>
      </w:pPr>
      <w:r w:rsidRPr="00855BE3">
        <w:rPr>
          <w:rFonts w:ascii="Arial" w:eastAsiaTheme="minorHAnsi" w:hAnsi="Arial" w:cs="Arial"/>
          <w:i/>
          <w:iCs/>
          <w:sz w:val="22"/>
          <w:szCs w:val="22"/>
          <w:lang w:val="en-ZA"/>
        </w:rPr>
        <w:t>(cc)</w:t>
      </w:r>
      <w:r w:rsidRPr="00855BE3">
        <w:rPr>
          <w:rFonts w:ascii="Arial" w:eastAsiaTheme="minorHAnsi" w:hAnsi="Arial" w:cs="Arial"/>
          <w:i/>
          <w:iCs/>
          <w:sz w:val="22"/>
          <w:szCs w:val="22"/>
          <w:lang w:val="en-ZA"/>
        </w:rPr>
        <w:tab/>
      </w:r>
      <w:r>
        <w:rPr>
          <w:rFonts w:ascii="Arial" w:eastAsiaTheme="minorHAnsi" w:hAnsi="Arial" w:cs="Arial"/>
          <w:sz w:val="22"/>
          <w:szCs w:val="22"/>
          <w:lang w:val="en-ZA"/>
        </w:rPr>
        <w:t>that the grounds for the making of such decision no longer exist.</w:t>
      </w:r>
    </w:p>
    <w:p w14:paraId="0D372354" w14:textId="70AF125D" w:rsidR="00432AE4" w:rsidRDefault="00432AE4" w:rsidP="00AA6AA5">
      <w:pPr>
        <w:spacing w:line="480" w:lineRule="auto"/>
        <w:jc w:val="both"/>
        <w:rPr>
          <w:rFonts w:ascii="Arial" w:eastAsiaTheme="minorHAnsi" w:hAnsi="Arial" w:cs="Arial"/>
          <w:sz w:val="22"/>
          <w:szCs w:val="22"/>
          <w:lang w:val="en-ZA"/>
        </w:rPr>
      </w:pPr>
      <w:r w:rsidRPr="00855BE3">
        <w:rPr>
          <w:rFonts w:ascii="Arial" w:eastAsiaTheme="minorHAnsi" w:hAnsi="Arial" w:cs="Arial"/>
          <w:i/>
          <w:iCs/>
          <w:sz w:val="22"/>
          <w:szCs w:val="22"/>
          <w:lang w:val="en-ZA"/>
        </w:rPr>
        <w:t>(e)</w:t>
      </w:r>
      <w:r>
        <w:rPr>
          <w:rFonts w:ascii="Arial" w:eastAsiaTheme="minorHAnsi" w:hAnsi="Arial" w:cs="Arial"/>
          <w:sz w:val="22"/>
          <w:szCs w:val="22"/>
          <w:lang w:val="en-ZA"/>
        </w:rPr>
        <w:t xml:space="preserve"> </w:t>
      </w:r>
      <w:r w:rsidR="007500DC">
        <w:rPr>
          <w:rFonts w:ascii="Arial" w:eastAsiaTheme="minorHAnsi" w:hAnsi="Arial" w:cs="Arial"/>
          <w:sz w:val="22"/>
          <w:szCs w:val="22"/>
          <w:lang w:val="en-ZA"/>
        </w:rPr>
        <w:tab/>
      </w:r>
      <w:r w:rsidR="00A52BE7">
        <w:rPr>
          <w:rFonts w:ascii="Arial" w:eastAsiaTheme="minorHAnsi" w:hAnsi="Arial" w:cs="Arial"/>
          <w:sz w:val="22"/>
          <w:szCs w:val="22"/>
          <w:lang w:val="en-ZA"/>
        </w:rPr>
        <w:t>. . .</w:t>
      </w:r>
    </w:p>
    <w:p w14:paraId="0DE2D6E6" w14:textId="64873A0C" w:rsidR="00432AE4" w:rsidRDefault="00432AE4" w:rsidP="00AA6AA5">
      <w:pPr>
        <w:spacing w:line="480" w:lineRule="auto"/>
        <w:jc w:val="both"/>
        <w:rPr>
          <w:rFonts w:ascii="Arial" w:eastAsiaTheme="minorHAnsi" w:hAnsi="Arial" w:cs="Arial"/>
          <w:sz w:val="22"/>
          <w:szCs w:val="22"/>
          <w:lang w:val="en-ZA"/>
        </w:rPr>
      </w:pPr>
      <w:r w:rsidRPr="00855BE3">
        <w:rPr>
          <w:rFonts w:ascii="Arial" w:eastAsiaTheme="minorHAnsi" w:hAnsi="Arial" w:cs="Arial"/>
          <w:i/>
          <w:iCs/>
          <w:sz w:val="22"/>
          <w:szCs w:val="22"/>
          <w:lang w:val="en-ZA"/>
        </w:rPr>
        <w:t>(f)</w:t>
      </w:r>
      <w:r>
        <w:rPr>
          <w:rFonts w:ascii="Arial" w:eastAsiaTheme="minorHAnsi" w:hAnsi="Arial" w:cs="Arial"/>
          <w:sz w:val="22"/>
          <w:szCs w:val="22"/>
          <w:lang w:val="en-ZA"/>
        </w:rPr>
        <w:t xml:space="preserve"> </w:t>
      </w:r>
      <w:r w:rsidR="007500DC">
        <w:rPr>
          <w:rFonts w:ascii="Arial" w:eastAsiaTheme="minorHAnsi" w:hAnsi="Arial" w:cs="Arial"/>
          <w:sz w:val="22"/>
          <w:szCs w:val="22"/>
          <w:lang w:val="en-ZA"/>
        </w:rPr>
        <w:tab/>
      </w:r>
      <w:r w:rsidR="00A52BE7">
        <w:rPr>
          <w:rFonts w:ascii="Arial" w:eastAsiaTheme="minorHAnsi" w:hAnsi="Arial" w:cs="Arial"/>
          <w:sz w:val="22"/>
          <w:szCs w:val="22"/>
          <w:lang w:val="en-ZA"/>
        </w:rPr>
        <w:t>. . .</w:t>
      </w:r>
    </w:p>
    <w:p w14:paraId="5125BB55" w14:textId="321FD2B9" w:rsidR="00432AE4" w:rsidRDefault="00432AE4" w:rsidP="00AA6AA5">
      <w:pPr>
        <w:spacing w:line="480" w:lineRule="auto"/>
        <w:jc w:val="both"/>
        <w:rPr>
          <w:rFonts w:ascii="Arial" w:eastAsiaTheme="minorHAnsi" w:hAnsi="Arial" w:cs="Arial"/>
          <w:sz w:val="22"/>
          <w:szCs w:val="22"/>
          <w:lang w:val="en-ZA"/>
        </w:rPr>
      </w:pPr>
      <w:r w:rsidRPr="00855BE3">
        <w:rPr>
          <w:rFonts w:ascii="Arial" w:eastAsiaTheme="minorHAnsi" w:hAnsi="Arial" w:cs="Arial"/>
          <w:i/>
          <w:iCs/>
          <w:sz w:val="22"/>
          <w:szCs w:val="22"/>
          <w:lang w:val="en-ZA"/>
        </w:rPr>
        <w:t>(g)</w:t>
      </w:r>
      <w:r>
        <w:rPr>
          <w:rFonts w:ascii="Arial" w:eastAsiaTheme="minorHAnsi" w:hAnsi="Arial" w:cs="Arial"/>
          <w:sz w:val="22"/>
          <w:szCs w:val="22"/>
          <w:lang w:val="en-ZA"/>
        </w:rPr>
        <w:t xml:space="preserve"> </w:t>
      </w:r>
      <w:r w:rsidR="007500DC">
        <w:rPr>
          <w:rFonts w:ascii="Arial" w:eastAsiaTheme="minorHAnsi" w:hAnsi="Arial" w:cs="Arial"/>
          <w:sz w:val="22"/>
          <w:szCs w:val="22"/>
          <w:lang w:val="en-ZA"/>
        </w:rPr>
        <w:tab/>
      </w:r>
      <w:r>
        <w:rPr>
          <w:rFonts w:ascii="Arial" w:eastAsiaTheme="minorHAnsi" w:hAnsi="Arial" w:cs="Arial"/>
          <w:sz w:val="22"/>
          <w:szCs w:val="22"/>
          <w:lang w:val="en-ZA"/>
        </w:rPr>
        <w:t xml:space="preserve">The period referred to in paragraph </w:t>
      </w:r>
      <w:r w:rsidRPr="00855BE3">
        <w:rPr>
          <w:rFonts w:ascii="Arial" w:eastAsiaTheme="minorHAnsi" w:hAnsi="Arial" w:cs="Arial"/>
          <w:i/>
          <w:iCs/>
          <w:sz w:val="22"/>
          <w:szCs w:val="22"/>
          <w:lang w:val="en-ZA"/>
        </w:rPr>
        <w:t>(b)</w:t>
      </w:r>
      <w:r>
        <w:rPr>
          <w:rFonts w:ascii="Arial" w:eastAsiaTheme="minorHAnsi" w:hAnsi="Arial" w:cs="Arial"/>
          <w:sz w:val="22"/>
          <w:szCs w:val="22"/>
          <w:lang w:val="en-ZA"/>
        </w:rPr>
        <w:t>(i) shall be a period not exceeding 36 months or such longer period</w:t>
      </w:r>
      <w:r w:rsidR="007500DC">
        <w:rPr>
          <w:rFonts w:ascii="Arial" w:eastAsiaTheme="minorHAnsi" w:hAnsi="Arial" w:cs="Arial"/>
          <w:sz w:val="22"/>
          <w:szCs w:val="22"/>
          <w:lang w:val="en-ZA"/>
        </w:rPr>
        <w:t>–</w:t>
      </w:r>
      <w:r>
        <w:rPr>
          <w:rFonts w:ascii="Arial" w:eastAsiaTheme="minorHAnsi" w:hAnsi="Arial" w:cs="Arial"/>
          <w:sz w:val="22"/>
          <w:szCs w:val="22"/>
          <w:lang w:val="en-ZA"/>
        </w:rPr>
        <w:t xml:space="preserve"> </w:t>
      </w:r>
    </w:p>
    <w:p w14:paraId="7C44E5AC" w14:textId="64FFEF86" w:rsidR="00115F69" w:rsidRPr="000B3918" w:rsidRDefault="000B3918" w:rsidP="000B3918">
      <w:pPr>
        <w:spacing w:line="480" w:lineRule="auto"/>
        <w:ind w:left="720" w:hanging="720"/>
        <w:jc w:val="both"/>
        <w:rPr>
          <w:rFonts w:ascii="Arial" w:eastAsiaTheme="minorHAnsi" w:hAnsi="Arial" w:cs="Arial"/>
          <w:sz w:val="22"/>
          <w:szCs w:val="22"/>
          <w:lang w:val="en-ZA"/>
        </w:rPr>
      </w:pPr>
      <w:r w:rsidRPr="007E6614">
        <w:rPr>
          <w:rFonts w:ascii="Arial" w:eastAsiaTheme="minorHAnsi" w:hAnsi="Arial" w:cs="Arial"/>
          <w:sz w:val="22"/>
          <w:szCs w:val="22"/>
          <w:lang w:val="en-ZA"/>
        </w:rPr>
        <w:t>(i)</w:t>
      </w:r>
      <w:r w:rsidRPr="007E6614">
        <w:rPr>
          <w:rFonts w:ascii="Arial" w:eastAsiaTheme="minorHAnsi" w:hAnsi="Arial" w:cs="Arial"/>
          <w:sz w:val="22"/>
          <w:szCs w:val="22"/>
          <w:lang w:val="en-ZA"/>
        </w:rPr>
        <w:tab/>
      </w:r>
      <w:r w:rsidR="00432AE4" w:rsidRPr="000B3918">
        <w:rPr>
          <w:rFonts w:ascii="Arial" w:eastAsiaTheme="minorHAnsi" w:hAnsi="Arial" w:cs="Arial"/>
          <w:sz w:val="22"/>
          <w:szCs w:val="22"/>
          <w:lang w:val="en-ZA"/>
        </w:rPr>
        <w:t>as ends 12 months after the final judgement (including on appeal, if any) in every prosecution for any contravention of the regulations or any other law in relation to the money or goods concerned or in which such money</w:t>
      </w:r>
      <w:r w:rsidR="00115F69" w:rsidRPr="000B3918">
        <w:rPr>
          <w:rFonts w:ascii="Arial" w:eastAsiaTheme="minorHAnsi" w:hAnsi="Arial" w:cs="Arial"/>
          <w:sz w:val="22"/>
          <w:szCs w:val="22"/>
          <w:lang w:val="en-ZA"/>
        </w:rPr>
        <w:t xml:space="preserve"> or goods are relevant to any aspect of such prosection; or</w:t>
      </w:r>
    </w:p>
    <w:p w14:paraId="5FF9CA49" w14:textId="668376EF" w:rsidR="00F0716C" w:rsidRPr="000B3918" w:rsidRDefault="000B3918" w:rsidP="000B3918">
      <w:pPr>
        <w:spacing w:line="480" w:lineRule="auto"/>
        <w:ind w:left="720" w:hanging="720"/>
        <w:jc w:val="both"/>
        <w:rPr>
          <w:rFonts w:ascii="Arial" w:eastAsiaTheme="minorHAnsi" w:hAnsi="Arial" w:cs="Arial"/>
          <w:sz w:val="22"/>
          <w:szCs w:val="22"/>
          <w:lang w:val="en-ZA"/>
        </w:rPr>
      </w:pPr>
      <w:r>
        <w:rPr>
          <w:rFonts w:ascii="Arial" w:eastAsiaTheme="minorHAnsi" w:hAnsi="Arial" w:cs="Arial"/>
          <w:sz w:val="22"/>
          <w:szCs w:val="22"/>
          <w:lang w:val="en-ZA"/>
        </w:rPr>
        <w:t>(ii)</w:t>
      </w:r>
      <w:r>
        <w:rPr>
          <w:rFonts w:ascii="Arial" w:eastAsiaTheme="minorHAnsi" w:hAnsi="Arial" w:cs="Arial"/>
          <w:sz w:val="22"/>
          <w:szCs w:val="22"/>
          <w:lang w:val="en-ZA"/>
        </w:rPr>
        <w:tab/>
      </w:r>
      <w:r w:rsidR="00115F69" w:rsidRPr="000B3918">
        <w:rPr>
          <w:rFonts w:ascii="Arial" w:eastAsiaTheme="minorHAnsi" w:hAnsi="Arial" w:cs="Arial"/>
          <w:sz w:val="22"/>
          <w:szCs w:val="22"/>
          <w:lang w:val="en-ZA"/>
        </w:rPr>
        <w:t>as may be det</w:t>
      </w:r>
      <w:r w:rsidR="007813C3" w:rsidRPr="000B3918">
        <w:rPr>
          <w:rFonts w:ascii="Arial" w:eastAsiaTheme="minorHAnsi" w:hAnsi="Arial" w:cs="Arial"/>
          <w:sz w:val="22"/>
          <w:szCs w:val="22"/>
          <w:lang w:val="en-ZA"/>
        </w:rPr>
        <w:t>e</w:t>
      </w:r>
      <w:r w:rsidR="00115F69" w:rsidRPr="000B3918">
        <w:rPr>
          <w:rFonts w:ascii="Arial" w:eastAsiaTheme="minorHAnsi" w:hAnsi="Arial" w:cs="Arial"/>
          <w:sz w:val="22"/>
          <w:szCs w:val="22"/>
          <w:lang w:val="en-ZA"/>
        </w:rPr>
        <w:t xml:space="preserve">rmined by the competent court in relation to the money or goods concerned on good cause shown by the </w:t>
      </w:r>
      <w:r w:rsidR="00DC1A77" w:rsidRPr="000B3918">
        <w:rPr>
          <w:rFonts w:ascii="Arial" w:eastAsiaTheme="minorHAnsi" w:hAnsi="Arial" w:cs="Arial"/>
          <w:sz w:val="22"/>
          <w:szCs w:val="22"/>
          <w:lang w:val="en-ZA"/>
        </w:rPr>
        <w:t>Treasur</w:t>
      </w:r>
      <w:r w:rsidR="00115F69" w:rsidRPr="000B3918">
        <w:rPr>
          <w:rFonts w:ascii="Arial" w:eastAsiaTheme="minorHAnsi" w:hAnsi="Arial" w:cs="Arial"/>
          <w:sz w:val="22"/>
          <w:szCs w:val="22"/>
          <w:lang w:val="en-ZA"/>
        </w:rPr>
        <w:t>y.’</w:t>
      </w:r>
    </w:p>
    <w:p w14:paraId="3EB90B6E" w14:textId="77777777" w:rsidR="00275EA9" w:rsidRPr="007E6614" w:rsidRDefault="00275EA9" w:rsidP="00275EA9">
      <w:pPr>
        <w:pStyle w:val="ListParagraph"/>
        <w:spacing w:line="480" w:lineRule="auto"/>
        <w:jc w:val="both"/>
        <w:rPr>
          <w:rFonts w:ascii="Arial" w:eastAsiaTheme="minorHAnsi" w:hAnsi="Arial" w:cs="Arial"/>
          <w:sz w:val="22"/>
          <w:szCs w:val="22"/>
          <w:lang w:val="en-ZA"/>
        </w:rPr>
      </w:pPr>
    </w:p>
    <w:p w14:paraId="59BD08BA" w14:textId="7B0507E8" w:rsidR="00004CDD" w:rsidRPr="000B3918" w:rsidRDefault="000B3918" w:rsidP="000B3918">
      <w:pPr>
        <w:spacing w:after="160" w:line="480" w:lineRule="auto"/>
        <w:jc w:val="both"/>
        <w:rPr>
          <w:rFonts w:ascii="Arial" w:eastAsia="Calibri" w:hAnsi="Arial" w:cs="Arial"/>
          <w:lang w:val="en-ZA"/>
        </w:rPr>
      </w:pPr>
      <w:bookmarkStart w:id="2" w:name="_Hlk125019678"/>
      <w:r w:rsidRPr="00B840DF">
        <w:rPr>
          <w:rFonts w:ascii="Arial" w:eastAsia="Calibri" w:hAnsi="Arial" w:cs="Arial"/>
          <w:lang w:val="en-ZA"/>
        </w:rPr>
        <w:t>[6]</w:t>
      </w:r>
      <w:r w:rsidRPr="00B840DF">
        <w:rPr>
          <w:rFonts w:ascii="Arial" w:eastAsia="Calibri" w:hAnsi="Arial" w:cs="Arial"/>
          <w:lang w:val="en-ZA"/>
        </w:rPr>
        <w:tab/>
      </w:r>
      <w:r w:rsidR="00115F69" w:rsidRPr="000B3918">
        <w:rPr>
          <w:rFonts w:ascii="Arial" w:eastAsia="Calibri" w:hAnsi="Arial" w:cs="Arial"/>
          <w:lang w:val="en-ZA"/>
        </w:rPr>
        <w:t xml:space="preserve">The two respondents are the joint liquidators of </w:t>
      </w:r>
      <w:r w:rsidR="00275EA9" w:rsidRPr="000B3918">
        <w:rPr>
          <w:rFonts w:ascii="Arial" w:eastAsia="Calibri" w:hAnsi="Arial" w:cs="Arial"/>
          <w:lang w:val="en-ZA"/>
        </w:rPr>
        <w:t xml:space="preserve">the </w:t>
      </w:r>
      <w:r w:rsidR="00115F69" w:rsidRPr="000B3918">
        <w:rPr>
          <w:rFonts w:ascii="Arial" w:eastAsia="Calibri" w:hAnsi="Arial" w:cs="Arial"/>
          <w:lang w:val="en-ZA"/>
        </w:rPr>
        <w:t xml:space="preserve">companies. The applications for winding-up </w:t>
      </w:r>
      <w:r w:rsidR="00A96152" w:rsidRPr="000B3918">
        <w:rPr>
          <w:rFonts w:ascii="Arial" w:eastAsia="Calibri" w:hAnsi="Arial" w:cs="Arial"/>
          <w:lang w:val="en-ZA"/>
        </w:rPr>
        <w:t>were</w:t>
      </w:r>
      <w:r w:rsidR="00115F69" w:rsidRPr="000B3918">
        <w:rPr>
          <w:rFonts w:ascii="Arial" w:eastAsia="Calibri" w:hAnsi="Arial" w:cs="Arial"/>
          <w:lang w:val="en-ZA"/>
        </w:rPr>
        <w:t xml:space="preserve"> lodged on 13 February 2017. </w:t>
      </w:r>
      <w:r w:rsidR="00D072B6" w:rsidRPr="000B3918">
        <w:rPr>
          <w:rFonts w:ascii="Arial" w:eastAsia="Calibri" w:hAnsi="Arial" w:cs="Arial"/>
          <w:lang w:val="en-ZA"/>
        </w:rPr>
        <w:t>The</w:t>
      </w:r>
      <w:r w:rsidR="00115F69" w:rsidRPr="000B3918">
        <w:rPr>
          <w:rFonts w:ascii="Arial" w:eastAsia="Calibri" w:hAnsi="Arial" w:cs="Arial"/>
          <w:lang w:val="en-ZA"/>
        </w:rPr>
        <w:t xml:space="preserve"> companies were </w:t>
      </w:r>
      <w:r w:rsidR="00D072B6" w:rsidRPr="000B3918">
        <w:rPr>
          <w:rFonts w:ascii="Arial" w:eastAsia="Calibri" w:hAnsi="Arial" w:cs="Arial"/>
          <w:lang w:val="en-ZA"/>
        </w:rPr>
        <w:t>provisionally wound up</w:t>
      </w:r>
      <w:r w:rsidR="00115F69" w:rsidRPr="000B3918">
        <w:rPr>
          <w:rFonts w:ascii="Arial" w:eastAsia="Calibri" w:hAnsi="Arial" w:cs="Arial"/>
          <w:lang w:val="en-ZA"/>
        </w:rPr>
        <w:t xml:space="preserve"> by the high court on 17 February 2017 and finally on 10 March 2017. The </w:t>
      </w:r>
      <w:r w:rsidR="00B840DF" w:rsidRPr="000B3918">
        <w:rPr>
          <w:rFonts w:ascii="Arial" w:eastAsia="Calibri" w:hAnsi="Arial" w:cs="Arial"/>
          <w:i/>
          <w:lang w:val="en-ZA"/>
        </w:rPr>
        <w:t xml:space="preserve">concursus creditorum </w:t>
      </w:r>
      <w:r w:rsidR="00B840DF" w:rsidRPr="000B3918">
        <w:rPr>
          <w:rFonts w:ascii="Arial" w:eastAsia="Calibri" w:hAnsi="Arial" w:cs="Arial"/>
          <w:lang w:val="en-ZA"/>
        </w:rPr>
        <w:t>in respect of each company is taken to have been established on 13 February 2017 when the appli</w:t>
      </w:r>
      <w:r w:rsidR="00C822C2" w:rsidRPr="000B3918">
        <w:rPr>
          <w:rFonts w:ascii="Arial" w:eastAsia="Calibri" w:hAnsi="Arial" w:cs="Arial"/>
          <w:lang w:val="en-ZA"/>
        </w:rPr>
        <w:t>c</w:t>
      </w:r>
      <w:r w:rsidR="00B840DF" w:rsidRPr="000B3918">
        <w:rPr>
          <w:rFonts w:ascii="Arial" w:eastAsia="Calibri" w:hAnsi="Arial" w:cs="Arial"/>
          <w:lang w:val="en-ZA"/>
        </w:rPr>
        <w:t>ations were lodged with the high court. In each of these cases the orders were made under s 348 of the Companies Act</w:t>
      </w:r>
      <w:r w:rsidR="00A52BE7" w:rsidRPr="000B3918">
        <w:rPr>
          <w:rFonts w:ascii="Arial" w:eastAsia="Calibri" w:hAnsi="Arial" w:cs="Arial"/>
          <w:lang w:val="en-ZA"/>
        </w:rPr>
        <w:t xml:space="preserve"> 61 of</w:t>
      </w:r>
      <w:r w:rsidR="00B840DF" w:rsidRPr="000B3918">
        <w:rPr>
          <w:rFonts w:ascii="Arial" w:eastAsia="Calibri" w:hAnsi="Arial" w:cs="Arial"/>
          <w:lang w:val="en-ZA"/>
        </w:rPr>
        <w:t xml:space="preserve"> 1973</w:t>
      </w:r>
      <w:r w:rsidR="00DE240E" w:rsidRPr="000B3918">
        <w:rPr>
          <w:rFonts w:ascii="Arial" w:eastAsia="Calibri" w:hAnsi="Arial" w:cs="Arial"/>
          <w:lang w:val="en-ZA"/>
        </w:rPr>
        <w:t xml:space="preserve"> (Companies Act)</w:t>
      </w:r>
      <w:r w:rsidR="00B840DF" w:rsidRPr="000B3918">
        <w:rPr>
          <w:rFonts w:ascii="Arial" w:eastAsia="Calibri" w:hAnsi="Arial" w:cs="Arial"/>
          <w:lang w:val="en-ZA"/>
        </w:rPr>
        <w:t xml:space="preserve"> on the application of a creditor, Pathema CC.</w:t>
      </w:r>
    </w:p>
    <w:bookmarkEnd w:id="2"/>
    <w:p w14:paraId="3020AC65" w14:textId="77777777" w:rsidR="00130D21" w:rsidRPr="00004CDD" w:rsidRDefault="00130D21" w:rsidP="00AA6AA5">
      <w:pPr>
        <w:pStyle w:val="ListParagraph"/>
        <w:spacing w:line="480" w:lineRule="auto"/>
        <w:ind w:left="0"/>
        <w:jc w:val="both"/>
        <w:rPr>
          <w:rFonts w:ascii="Arial" w:eastAsia="Calibri" w:hAnsi="Arial" w:cs="Arial"/>
          <w:lang w:val="en-ZA"/>
        </w:rPr>
      </w:pPr>
    </w:p>
    <w:p w14:paraId="6771FF6F" w14:textId="4390658A" w:rsidR="00B840DF" w:rsidRPr="000B3918" w:rsidRDefault="000B3918" w:rsidP="000B3918">
      <w:pPr>
        <w:spacing w:line="480" w:lineRule="auto"/>
        <w:jc w:val="both"/>
        <w:rPr>
          <w:rFonts w:ascii="Arial" w:eastAsia="Calibri" w:hAnsi="Arial" w:cs="Arial"/>
          <w:lang w:val="en-ZA"/>
        </w:rPr>
      </w:pPr>
      <w:bookmarkStart w:id="3" w:name="_Hlk125019861"/>
      <w:r>
        <w:rPr>
          <w:rFonts w:ascii="Arial" w:eastAsia="Calibri" w:hAnsi="Arial" w:cs="Arial"/>
          <w:lang w:val="en-ZA"/>
        </w:rPr>
        <w:t>[7]</w:t>
      </w:r>
      <w:r>
        <w:rPr>
          <w:rFonts w:ascii="Arial" w:eastAsia="Calibri" w:hAnsi="Arial" w:cs="Arial"/>
          <w:lang w:val="en-ZA"/>
        </w:rPr>
        <w:tab/>
      </w:r>
      <w:r w:rsidR="00B840DF" w:rsidRPr="000B3918">
        <w:rPr>
          <w:rFonts w:ascii="Arial" w:eastAsia="Calibri" w:hAnsi="Arial" w:cs="Arial"/>
          <w:lang w:val="en-ZA"/>
        </w:rPr>
        <w:t xml:space="preserve">On 10 September 2015 and before the liquidation of </w:t>
      </w:r>
      <w:r w:rsidR="003524A0" w:rsidRPr="000B3918">
        <w:rPr>
          <w:rFonts w:ascii="Arial" w:eastAsia="Calibri" w:hAnsi="Arial" w:cs="Arial"/>
          <w:lang w:val="en-ZA"/>
        </w:rPr>
        <w:t>the companies</w:t>
      </w:r>
      <w:r w:rsidR="00B840DF" w:rsidRPr="000B3918">
        <w:rPr>
          <w:rFonts w:ascii="Arial" w:eastAsia="Calibri" w:hAnsi="Arial" w:cs="Arial"/>
          <w:lang w:val="en-ZA"/>
        </w:rPr>
        <w:t>, Mr Malherbe, an official in the Financial Intelligence Department of the Reserve Bank, acting in terms of Regulation 22A and</w:t>
      </w:r>
      <w:r w:rsidR="00855BE3" w:rsidRPr="000B3918">
        <w:rPr>
          <w:rFonts w:ascii="Arial" w:eastAsia="Calibri" w:hAnsi="Arial" w:cs="Arial"/>
          <w:lang w:val="en-ZA"/>
        </w:rPr>
        <w:t>/or</w:t>
      </w:r>
      <w:r w:rsidR="00B840DF" w:rsidRPr="000B3918">
        <w:rPr>
          <w:rFonts w:ascii="Arial" w:eastAsia="Calibri" w:hAnsi="Arial" w:cs="Arial"/>
          <w:lang w:val="en-ZA"/>
        </w:rPr>
        <w:t xml:space="preserve"> Regulation 22C of the Regulations</w:t>
      </w:r>
      <w:r w:rsidR="004B71A3" w:rsidRPr="000B3918">
        <w:rPr>
          <w:rFonts w:ascii="Arial" w:eastAsia="Calibri" w:hAnsi="Arial" w:cs="Arial"/>
          <w:lang w:val="en-ZA"/>
        </w:rPr>
        <w:t>,</w:t>
      </w:r>
      <w:r w:rsidR="00B840DF" w:rsidRPr="000B3918">
        <w:rPr>
          <w:rFonts w:ascii="Arial" w:eastAsia="Calibri" w:hAnsi="Arial" w:cs="Arial"/>
          <w:lang w:val="en-ZA"/>
        </w:rPr>
        <w:t xml:space="preserve"> issued </w:t>
      </w:r>
      <w:r w:rsidR="001C26AD" w:rsidRPr="000B3918">
        <w:rPr>
          <w:rFonts w:ascii="Arial" w:eastAsia="Calibri" w:hAnsi="Arial" w:cs="Arial"/>
          <w:lang w:val="en-ZA"/>
        </w:rPr>
        <w:t>‘</w:t>
      </w:r>
      <w:r w:rsidR="00B840DF" w:rsidRPr="000B3918">
        <w:rPr>
          <w:rFonts w:ascii="Arial" w:eastAsia="Calibri" w:hAnsi="Arial" w:cs="Arial"/>
          <w:lang w:val="en-ZA"/>
        </w:rPr>
        <w:t>blocking orders</w:t>
      </w:r>
      <w:r w:rsidR="001C26AD" w:rsidRPr="000B3918">
        <w:rPr>
          <w:rFonts w:ascii="Arial" w:eastAsia="Calibri" w:hAnsi="Arial" w:cs="Arial"/>
          <w:lang w:val="en-ZA"/>
        </w:rPr>
        <w:t>’</w:t>
      </w:r>
      <w:r w:rsidR="00B840DF" w:rsidRPr="000B3918">
        <w:rPr>
          <w:rFonts w:ascii="Arial" w:eastAsia="Calibri" w:hAnsi="Arial" w:cs="Arial"/>
          <w:lang w:val="en-ZA"/>
        </w:rPr>
        <w:t xml:space="preserve"> in respect of the amounts standing to the credit of each of the companies in various South </w:t>
      </w:r>
      <w:r w:rsidR="00EC5CC5" w:rsidRPr="000B3918">
        <w:rPr>
          <w:rFonts w:ascii="Arial" w:eastAsia="Calibri" w:hAnsi="Arial" w:cs="Arial"/>
          <w:lang w:val="en-ZA"/>
        </w:rPr>
        <w:t>African b</w:t>
      </w:r>
      <w:r w:rsidR="00B840DF" w:rsidRPr="000B3918">
        <w:rPr>
          <w:rFonts w:ascii="Arial" w:eastAsia="Calibri" w:hAnsi="Arial" w:cs="Arial"/>
          <w:lang w:val="en-ZA"/>
        </w:rPr>
        <w:t>anks.</w:t>
      </w:r>
      <w:r w:rsidR="00EC5CC5" w:rsidRPr="000B3918">
        <w:rPr>
          <w:rFonts w:ascii="Arial" w:eastAsia="Calibri" w:hAnsi="Arial" w:cs="Arial"/>
          <w:lang w:val="en-ZA"/>
        </w:rPr>
        <w:t xml:space="preserve"> The accounts were blocked on the </w:t>
      </w:r>
      <w:r w:rsidR="00174DB2" w:rsidRPr="000B3918">
        <w:rPr>
          <w:rFonts w:ascii="Arial" w:eastAsia="Calibri" w:hAnsi="Arial" w:cs="Arial"/>
          <w:lang w:val="en-ZA"/>
        </w:rPr>
        <w:t xml:space="preserve">reasonable </w:t>
      </w:r>
      <w:r w:rsidR="00EC5CC5" w:rsidRPr="000B3918">
        <w:rPr>
          <w:rFonts w:ascii="Arial" w:eastAsia="Calibri" w:hAnsi="Arial" w:cs="Arial"/>
          <w:lang w:val="en-ZA"/>
        </w:rPr>
        <w:t>suspicion that the companies had</w:t>
      </w:r>
      <w:r w:rsidR="00192C2B" w:rsidRPr="000B3918">
        <w:rPr>
          <w:rFonts w:ascii="Arial" w:eastAsia="Calibri" w:hAnsi="Arial" w:cs="Arial"/>
          <w:lang w:val="en-ZA"/>
        </w:rPr>
        <w:t>,</w:t>
      </w:r>
      <w:r w:rsidR="00EC5CC5" w:rsidRPr="000B3918">
        <w:rPr>
          <w:rFonts w:ascii="Arial" w:eastAsia="Calibri" w:hAnsi="Arial" w:cs="Arial"/>
          <w:lang w:val="en-ZA"/>
        </w:rPr>
        <w:t xml:space="preserve"> in contravention of the </w:t>
      </w:r>
      <w:r w:rsidR="00804AA4" w:rsidRPr="000B3918">
        <w:rPr>
          <w:rFonts w:ascii="Arial" w:eastAsia="Calibri" w:hAnsi="Arial" w:cs="Arial"/>
          <w:lang w:val="en-ZA"/>
        </w:rPr>
        <w:t>R</w:t>
      </w:r>
      <w:r w:rsidR="00EC5CC5" w:rsidRPr="000B3918">
        <w:rPr>
          <w:rFonts w:ascii="Arial" w:eastAsia="Calibri" w:hAnsi="Arial" w:cs="Arial"/>
          <w:lang w:val="en-ZA"/>
        </w:rPr>
        <w:t>egulations</w:t>
      </w:r>
      <w:r w:rsidR="00192C2B" w:rsidRPr="000B3918">
        <w:rPr>
          <w:rFonts w:ascii="Arial" w:eastAsia="Calibri" w:hAnsi="Arial" w:cs="Arial"/>
          <w:lang w:val="en-ZA"/>
        </w:rPr>
        <w:t>,</w:t>
      </w:r>
      <w:r w:rsidR="00EC5CC5" w:rsidRPr="000B3918">
        <w:rPr>
          <w:rFonts w:ascii="Arial" w:eastAsia="Calibri" w:hAnsi="Arial" w:cs="Arial"/>
          <w:lang w:val="en-ZA"/>
        </w:rPr>
        <w:t xml:space="preserve"> exported from the Republic large sums of monies without permission of the second appellant, the National Treasury</w:t>
      </w:r>
      <w:r w:rsidR="00192C2B" w:rsidRPr="000B3918">
        <w:rPr>
          <w:rFonts w:ascii="Arial" w:eastAsia="Calibri" w:hAnsi="Arial" w:cs="Arial"/>
          <w:lang w:val="en-ZA"/>
        </w:rPr>
        <w:t>,</w:t>
      </w:r>
      <w:r w:rsidR="00EC5CC5" w:rsidRPr="000B3918">
        <w:rPr>
          <w:rFonts w:ascii="Arial" w:eastAsia="Calibri" w:hAnsi="Arial" w:cs="Arial"/>
          <w:lang w:val="en-ZA"/>
        </w:rPr>
        <w:t xml:space="preserve"> and made advance payments for imported goods without submitting proof of importation of goods into the Republic to the authorized dealer. The effect of such orders is that ‘no person may withdraw or cause the withdrawal of funds together with the interest thereon and/or accrual thereto in accounts he</w:t>
      </w:r>
      <w:r w:rsidR="00804AA4" w:rsidRPr="000B3918">
        <w:rPr>
          <w:rFonts w:ascii="Arial" w:eastAsia="Calibri" w:hAnsi="Arial" w:cs="Arial"/>
          <w:lang w:val="en-ZA"/>
        </w:rPr>
        <w:t>l</w:t>
      </w:r>
      <w:r w:rsidR="006D2EA0" w:rsidRPr="000B3918">
        <w:rPr>
          <w:rFonts w:ascii="Arial" w:eastAsia="Calibri" w:hAnsi="Arial" w:cs="Arial"/>
          <w:lang w:val="en-ZA"/>
        </w:rPr>
        <w:t>d at the banks.’</w:t>
      </w:r>
    </w:p>
    <w:bookmarkEnd w:id="3"/>
    <w:p w14:paraId="1B613D70" w14:textId="77777777" w:rsidR="00B840DF" w:rsidRPr="00B840DF" w:rsidRDefault="00B840DF" w:rsidP="00AA6AA5">
      <w:pPr>
        <w:pStyle w:val="ListParagraph"/>
        <w:spacing w:line="480" w:lineRule="auto"/>
        <w:rPr>
          <w:rFonts w:ascii="Arial" w:eastAsia="Calibri" w:hAnsi="Arial" w:cs="Arial"/>
          <w:lang w:val="en-ZA"/>
        </w:rPr>
      </w:pPr>
    </w:p>
    <w:p w14:paraId="26DC2F5E" w14:textId="2FB0671E" w:rsidR="009352AF" w:rsidRPr="000B3918" w:rsidRDefault="000B3918" w:rsidP="000B3918">
      <w:pPr>
        <w:spacing w:line="480" w:lineRule="auto"/>
        <w:jc w:val="both"/>
        <w:rPr>
          <w:rFonts w:ascii="Arial" w:eastAsia="Calibri" w:hAnsi="Arial" w:cs="Arial"/>
          <w:lang w:val="en-ZA"/>
        </w:rPr>
      </w:pPr>
      <w:r>
        <w:rPr>
          <w:rFonts w:ascii="Arial" w:eastAsia="Calibri" w:hAnsi="Arial" w:cs="Arial"/>
          <w:lang w:val="en-ZA"/>
        </w:rPr>
        <w:t>[8]</w:t>
      </w:r>
      <w:r>
        <w:rPr>
          <w:rFonts w:ascii="Arial" w:eastAsia="Calibri" w:hAnsi="Arial" w:cs="Arial"/>
          <w:lang w:val="en-ZA"/>
        </w:rPr>
        <w:tab/>
      </w:r>
      <w:r w:rsidR="00174DB2" w:rsidRPr="000B3918">
        <w:rPr>
          <w:rFonts w:ascii="Arial" w:eastAsia="Calibri" w:hAnsi="Arial" w:cs="Arial"/>
          <w:lang w:val="en-ZA"/>
        </w:rPr>
        <w:t xml:space="preserve">As required by the Act, during May 2016 and December 2016 the Reserve Bank sent letters </w:t>
      </w:r>
      <w:r w:rsidR="00EC5CC5" w:rsidRPr="000B3918">
        <w:rPr>
          <w:rFonts w:ascii="Arial" w:eastAsia="Calibri" w:hAnsi="Arial" w:cs="Arial"/>
          <w:lang w:val="en-ZA"/>
        </w:rPr>
        <w:t xml:space="preserve">to </w:t>
      </w:r>
      <w:r w:rsidR="00D011FD" w:rsidRPr="000B3918">
        <w:rPr>
          <w:rFonts w:ascii="Arial" w:eastAsia="Calibri" w:hAnsi="Arial" w:cs="Arial"/>
          <w:lang w:val="en-ZA"/>
        </w:rPr>
        <w:t>the companies</w:t>
      </w:r>
      <w:r w:rsidR="00EC5CC5" w:rsidRPr="000B3918">
        <w:rPr>
          <w:rFonts w:ascii="Arial" w:eastAsia="Calibri" w:hAnsi="Arial" w:cs="Arial"/>
          <w:lang w:val="en-ZA"/>
        </w:rPr>
        <w:t xml:space="preserve"> and to the atto</w:t>
      </w:r>
      <w:r w:rsidR="004B4040" w:rsidRPr="000B3918">
        <w:rPr>
          <w:rFonts w:ascii="Arial" w:eastAsia="Calibri" w:hAnsi="Arial" w:cs="Arial"/>
          <w:lang w:val="en-ZA"/>
        </w:rPr>
        <w:t>rney representing them, advising</w:t>
      </w:r>
      <w:r w:rsidR="00EC5CC5" w:rsidRPr="000B3918">
        <w:rPr>
          <w:rFonts w:ascii="Arial" w:eastAsia="Calibri" w:hAnsi="Arial" w:cs="Arial"/>
          <w:lang w:val="en-ZA"/>
        </w:rPr>
        <w:t xml:space="preserve"> them </w:t>
      </w:r>
      <w:r w:rsidR="004B4040" w:rsidRPr="000B3918">
        <w:rPr>
          <w:rFonts w:ascii="Arial" w:eastAsia="Calibri" w:hAnsi="Arial" w:cs="Arial"/>
          <w:lang w:val="en-ZA"/>
        </w:rPr>
        <w:t xml:space="preserve">of the issue of the blocking orders and </w:t>
      </w:r>
      <w:r w:rsidR="00174DB2" w:rsidRPr="000B3918">
        <w:rPr>
          <w:rFonts w:ascii="Arial" w:eastAsia="Calibri" w:hAnsi="Arial" w:cs="Arial"/>
          <w:lang w:val="en-ZA"/>
        </w:rPr>
        <w:t xml:space="preserve">informing them </w:t>
      </w:r>
      <w:r w:rsidR="004B4040" w:rsidRPr="000B3918">
        <w:rPr>
          <w:rFonts w:ascii="Arial" w:eastAsia="Calibri" w:hAnsi="Arial" w:cs="Arial"/>
          <w:lang w:val="en-ZA"/>
        </w:rPr>
        <w:t xml:space="preserve">that the funds in </w:t>
      </w:r>
      <w:r w:rsidR="00174DB2" w:rsidRPr="000B3918">
        <w:rPr>
          <w:rFonts w:ascii="Arial" w:eastAsia="Calibri" w:hAnsi="Arial" w:cs="Arial"/>
          <w:lang w:val="en-ZA"/>
        </w:rPr>
        <w:t>the blocked banking accounts could be forfeited to the State. The Reserve Bank invited</w:t>
      </w:r>
      <w:r w:rsidR="004B4040" w:rsidRPr="000B3918">
        <w:rPr>
          <w:rFonts w:ascii="Arial" w:eastAsia="Calibri" w:hAnsi="Arial" w:cs="Arial"/>
          <w:lang w:val="en-ZA"/>
        </w:rPr>
        <w:t xml:space="preserve"> them to make representations as to why a</w:t>
      </w:r>
      <w:r w:rsidR="002C1444" w:rsidRPr="000B3918">
        <w:rPr>
          <w:rFonts w:ascii="Arial" w:eastAsia="Calibri" w:hAnsi="Arial" w:cs="Arial"/>
          <w:lang w:val="en-ZA"/>
        </w:rPr>
        <w:t>ll</w:t>
      </w:r>
      <w:r w:rsidR="004B4040" w:rsidRPr="000B3918">
        <w:rPr>
          <w:rFonts w:ascii="Arial" w:eastAsia="Calibri" w:hAnsi="Arial" w:cs="Arial"/>
          <w:lang w:val="en-ZA"/>
        </w:rPr>
        <w:t xml:space="preserve"> or any of the monies should not be forfeited.</w:t>
      </w:r>
      <w:r w:rsidR="002C1444" w:rsidRPr="000B3918">
        <w:rPr>
          <w:rFonts w:ascii="Arial" w:eastAsia="Calibri" w:hAnsi="Arial" w:cs="Arial"/>
          <w:lang w:val="en-ZA"/>
        </w:rPr>
        <w:t xml:space="preserve"> </w:t>
      </w:r>
      <w:r w:rsidR="004B4040" w:rsidRPr="000B3918">
        <w:rPr>
          <w:rFonts w:ascii="Arial" w:eastAsia="Calibri" w:hAnsi="Arial" w:cs="Arial"/>
          <w:lang w:val="en-ZA"/>
        </w:rPr>
        <w:t xml:space="preserve">Responses were sent to </w:t>
      </w:r>
      <w:r w:rsidR="00C75A1B" w:rsidRPr="000B3918">
        <w:rPr>
          <w:rFonts w:ascii="Arial" w:eastAsia="Calibri" w:hAnsi="Arial" w:cs="Arial"/>
          <w:lang w:val="en-ZA"/>
        </w:rPr>
        <w:t>the Reserve Bank</w:t>
      </w:r>
      <w:r w:rsidR="004B4040" w:rsidRPr="000B3918">
        <w:rPr>
          <w:rFonts w:ascii="Arial" w:eastAsia="Calibri" w:hAnsi="Arial" w:cs="Arial"/>
          <w:lang w:val="en-ZA"/>
        </w:rPr>
        <w:t>, but they failed to provide valid reasons as to why the amounts standing to the credit of the blocked banking accounts should not be declared for</w:t>
      </w:r>
      <w:r w:rsidR="00C822C2" w:rsidRPr="000B3918">
        <w:rPr>
          <w:rFonts w:ascii="Arial" w:eastAsia="Calibri" w:hAnsi="Arial" w:cs="Arial"/>
          <w:lang w:val="en-ZA"/>
        </w:rPr>
        <w:t>f</w:t>
      </w:r>
      <w:r w:rsidR="004B4040" w:rsidRPr="000B3918">
        <w:rPr>
          <w:rFonts w:ascii="Arial" w:eastAsia="Calibri" w:hAnsi="Arial" w:cs="Arial"/>
          <w:lang w:val="en-ZA"/>
        </w:rPr>
        <w:t>eit</w:t>
      </w:r>
      <w:r w:rsidR="00AB7545" w:rsidRPr="000B3918">
        <w:rPr>
          <w:rFonts w:ascii="Arial" w:eastAsia="Calibri" w:hAnsi="Arial" w:cs="Arial"/>
          <w:lang w:val="en-ZA"/>
        </w:rPr>
        <w:t>ed</w:t>
      </w:r>
      <w:r w:rsidR="004B4040" w:rsidRPr="000B3918">
        <w:rPr>
          <w:rFonts w:ascii="Arial" w:eastAsia="Calibri" w:hAnsi="Arial" w:cs="Arial"/>
          <w:lang w:val="en-ZA"/>
        </w:rPr>
        <w:t xml:space="preserve"> to the State. The liquidators confirmed that they were unable to gainsay or dispute that no satisfactory explaination</w:t>
      </w:r>
      <w:r w:rsidR="002B642B" w:rsidRPr="000B3918">
        <w:rPr>
          <w:rFonts w:ascii="Arial" w:eastAsia="Calibri" w:hAnsi="Arial" w:cs="Arial"/>
          <w:lang w:val="en-ZA"/>
        </w:rPr>
        <w:t xml:space="preserve"> was given by the directors of the companies or their attorney, but contended that forfeiture could not validly</w:t>
      </w:r>
      <w:r w:rsidR="00AB2A6A" w:rsidRPr="000B3918">
        <w:rPr>
          <w:rFonts w:ascii="Arial" w:eastAsia="Calibri" w:hAnsi="Arial" w:cs="Arial"/>
          <w:lang w:val="en-ZA"/>
        </w:rPr>
        <w:t xml:space="preserve"> take place</w:t>
      </w:r>
      <w:r w:rsidR="002B642B" w:rsidRPr="000B3918">
        <w:rPr>
          <w:rFonts w:ascii="Arial" w:eastAsia="Calibri" w:hAnsi="Arial" w:cs="Arial"/>
          <w:lang w:val="en-ZA"/>
        </w:rPr>
        <w:t xml:space="preserve"> after the winding</w:t>
      </w:r>
      <w:r w:rsidR="00174DB2" w:rsidRPr="000B3918">
        <w:rPr>
          <w:rFonts w:ascii="Arial" w:eastAsia="Calibri" w:hAnsi="Arial" w:cs="Arial"/>
          <w:lang w:val="en-ZA"/>
        </w:rPr>
        <w:t>-</w:t>
      </w:r>
      <w:r w:rsidR="002B642B" w:rsidRPr="000B3918">
        <w:rPr>
          <w:rFonts w:ascii="Arial" w:eastAsia="Calibri" w:hAnsi="Arial" w:cs="Arial"/>
          <w:lang w:val="en-ZA"/>
        </w:rPr>
        <w:t>up of the companies.</w:t>
      </w:r>
    </w:p>
    <w:p w14:paraId="7DA38BEA" w14:textId="77777777" w:rsidR="004F7E53" w:rsidRPr="00B840DF" w:rsidRDefault="004F7E53" w:rsidP="004F7E53">
      <w:pPr>
        <w:pStyle w:val="ListParagraph"/>
        <w:spacing w:line="480" w:lineRule="auto"/>
        <w:ind w:left="0"/>
        <w:jc w:val="both"/>
        <w:rPr>
          <w:rFonts w:ascii="Arial" w:eastAsia="Calibri" w:hAnsi="Arial" w:cs="Arial"/>
          <w:lang w:val="en-ZA"/>
        </w:rPr>
      </w:pPr>
    </w:p>
    <w:p w14:paraId="7D776C7A" w14:textId="082D9797" w:rsidR="00531114" w:rsidRDefault="00453A5F" w:rsidP="00531114">
      <w:pPr>
        <w:spacing w:line="480" w:lineRule="auto"/>
        <w:jc w:val="both"/>
        <w:rPr>
          <w:rFonts w:ascii="Arial" w:eastAsia="Calibri" w:hAnsi="Arial" w:cs="Arial"/>
          <w:lang w:val="en-ZA"/>
        </w:rPr>
      </w:pPr>
      <w:r>
        <w:rPr>
          <w:rFonts w:ascii="Arial" w:eastAsia="Calibri" w:hAnsi="Arial" w:cs="Arial"/>
          <w:lang w:val="en-ZA"/>
        </w:rPr>
        <w:t>[</w:t>
      </w:r>
      <w:r w:rsidR="004F7E53">
        <w:rPr>
          <w:rFonts w:ascii="Arial" w:eastAsia="Calibri" w:hAnsi="Arial" w:cs="Arial"/>
          <w:lang w:val="en-ZA"/>
        </w:rPr>
        <w:t>9</w:t>
      </w:r>
      <w:r>
        <w:rPr>
          <w:rFonts w:ascii="Arial" w:eastAsia="Calibri" w:hAnsi="Arial" w:cs="Arial"/>
          <w:lang w:val="en-ZA"/>
        </w:rPr>
        <w:t xml:space="preserve">]  </w:t>
      </w:r>
      <w:r w:rsidR="00531114" w:rsidRPr="00531114">
        <w:rPr>
          <w:rFonts w:ascii="Arial" w:eastAsia="Calibri" w:hAnsi="Arial" w:cs="Arial"/>
          <w:lang w:val="en-ZA"/>
        </w:rPr>
        <w:t>The cause for issuing blocking orders was that the Reserve Bank had reasonable grounds to suspect that the companies committed</w:t>
      </w:r>
      <w:r w:rsidR="000E0709">
        <w:rPr>
          <w:rFonts w:ascii="Arial" w:eastAsia="Calibri" w:hAnsi="Arial" w:cs="Arial"/>
          <w:lang w:val="en-ZA"/>
        </w:rPr>
        <w:t>,</w:t>
      </w:r>
      <w:r w:rsidR="00531114" w:rsidRPr="00531114">
        <w:rPr>
          <w:rFonts w:ascii="Arial" w:eastAsia="Calibri" w:hAnsi="Arial" w:cs="Arial"/>
          <w:lang w:val="en-ZA"/>
        </w:rPr>
        <w:t xml:space="preserve"> or were</w:t>
      </w:r>
      <w:r w:rsidR="00192C2B">
        <w:rPr>
          <w:rFonts w:ascii="Arial" w:eastAsia="Calibri" w:hAnsi="Arial" w:cs="Arial"/>
          <w:lang w:val="en-ZA"/>
        </w:rPr>
        <w:t xml:space="preserve"> each </w:t>
      </w:r>
      <w:r w:rsidR="00531114" w:rsidRPr="00531114">
        <w:rPr>
          <w:rFonts w:ascii="Arial" w:eastAsia="Calibri" w:hAnsi="Arial" w:cs="Arial"/>
          <w:lang w:val="en-ZA"/>
        </w:rPr>
        <w:t>part</w:t>
      </w:r>
      <w:r w:rsidR="00192C2B">
        <w:rPr>
          <w:rFonts w:ascii="Arial" w:eastAsia="Calibri" w:hAnsi="Arial" w:cs="Arial"/>
          <w:lang w:val="en-ZA"/>
        </w:rPr>
        <w:t>y</w:t>
      </w:r>
      <w:r w:rsidR="00531114" w:rsidRPr="00531114">
        <w:rPr>
          <w:rFonts w:ascii="Arial" w:eastAsia="Calibri" w:hAnsi="Arial" w:cs="Arial"/>
          <w:lang w:val="en-ZA"/>
        </w:rPr>
        <w:t xml:space="preserve"> to</w:t>
      </w:r>
      <w:r w:rsidR="000E0709">
        <w:rPr>
          <w:rFonts w:ascii="Arial" w:eastAsia="Calibri" w:hAnsi="Arial" w:cs="Arial"/>
          <w:lang w:val="en-ZA"/>
        </w:rPr>
        <w:t>,</w:t>
      </w:r>
      <w:r w:rsidR="00531114" w:rsidRPr="00531114">
        <w:rPr>
          <w:rFonts w:ascii="Arial" w:eastAsia="Calibri" w:hAnsi="Arial" w:cs="Arial"/>
          <w:lang w:val="en-ZA"/>
        </w:rPr>
        <w:t xml:space="preserve"> certain acts or omissions which constituted contraventions of the Exchange Control Regulations. The Regulations the two companies were reasonably suspected to have contravened, are Regulations 10(1)</w:t>
      </w:r>
      <w:r w:rsidR="00531114" w:rsidRPr="00B46505">
        <w:rPr>
          <w:rFonts w:ascii="Arial" w:eastAsia="Calibri" w:hAnsi="Arial" w:cs="Arial"/>
          <w:i/>
          <w:iCs/>
          <w:lang w:val="en-ZA"/>
        </w:rPr>
        <w:t>(c)</w:t>
      </w:r>
      <w:r w:rsidR="00531114" w:rsidRPr="00531114">
        <w:rPr>
          <w:rFonts w:ascii="Arial" w:eastAsia="Calibri" w:hAnsi="Arial" w:cs="Arial"/>
          <w:lang w:val="en-ZA"/>
        </w:rPr>
        <w:t xml:space="preserve">, 12(1) and 22. </w:t>
      </w:r>
    </w:p>
    <w:p w14:paraId="23140465" w14:textId="77777777" w:rsidR="004F7E53" w:rsidRPr="00531114" w:rsidRDefault="004F7E53" w:rsidP="00531114">
      <w:pPr>
        <w:spacing w:line="480" w:lineRule="auto"/>
        <w:jc w:val="both"/>
        <w:rPr>
          <w:rFonts w:ascii="Arial" w:eastAsia="Calibri" w:hAnsi="Arial" w:cs="Arial"/>
          <w:lang w:val="en-ZA"/>
        </w:rPr>
      </w:pPr>
    </w:p>
    <w:p w14:paraId="698975D6" w14:textId="236F0DF1" w:rsidR="00531114" w:rsidRPr="00531114" w:rsidRDefault="00453A5F" w:rsidP="00531114">
      <w:pPr>
        <w:spacing w:line="480" w:lineRule="auto"/>
        <w:jc w:val="both"/>
        <w:rPr>
          <w:rFonts w:ascii="Arial" w:eastAsia="Calibri" w:hAnsi="Arial" w:cs="Arial"/>
          <w:lang w:val="en-ZA"/>
        </w:rPr>
      </w:pPr>
      <w:r>
        <w:rPr>
          <w:rFonts w:ascii="Arial" w:eastAsia="Calibri" w:hAnsi="Arial" w:cs="Arial"/>
          <w:lang w:val="en-ZA"/>
        </w:rPr>
        <w:t>[</w:t>
      </w:r>
      <w:r w:rsidR="004F7E53">
        <w:rPr>
          <w:rFonts w:ascii="Arial" w:eastAsia="Calibri" w:hAnsi="Arial" w:cs="Arial"/>
          <w:lang w:val="en-ZA"/>
        </w:rPr>
        <w:t>10</w:t>
      </w:r>
      <w:r>
        <w:rPr>
          <w:rFonts w:ascii="Arial" w:eastAsia="Calibri" w:hAnsi="Arial" w:cs="Arial"/>
          <w:lang w:val="en-ZA"/>
        </w:rPr>
        <w:t xml:space="preserve">]   </w:t>
      </w:r>
      <w:r w:rsidR="00531114" w:rsidRPr="00531114">
        <w:rPr>
          <w:rFonts w:ascii="Arial" w:eastAsia="Calibri" w:hAnsi="Arial" w:cs="Arial"/>
          <w:lang w:val="en-ZA"/>
        </w:rPr>
        <w:t>Regulation 10 deals with restrictions on export of capital. Regulation 10(1)</w:t>
      </w:r>
      <w:r w:rsidR="00531114" w:rsidRPr="00B46505">
        <w:rPr>
          <w:rFonts w:ascii="Arial" w:eastAsia="Calibri" w:hAnsi="Arial" w:cs="Arial"/>
          <w:i/>
          <w:iCs/>
          <w:lang w:val="en-ZA"/>
        </w:rPr>
        <w:t>(c)</w:t>
      </w:r>
      <w:r w:rsidR="00531114" w:rsidRPr="00531114">
        <w:rPr>
          <w:rFonts w:ascii="Arial" w:eastAsia="Calibri" w:hAnsi="Arial" w:cs="Arial"/>
          <w:lang w:val="en-ZA"/>
        </w:rPr>
        <w:t xml:space="preserve"> provides:</w:t>
      </w:r>
    </w:p>
    <w:p w14:paraId="597A73C6" w14:textId="77777777" w:rsidR="00531114" w:rsidRPr="009F0AD3" w:rsidRDefault="00531114" w:rsidP="00531114">
      <w:pPr>
        <w:spacing w:line="480" w:lineRule="auto"/>
        <w:jc w:val="both"/>
        <w:rPr>
          <w:rFonts w:ascii="Arial" w:eastAsia="Calibri" w:hAnsi="Arial" w:cs="Arial"/>
          <w:sz w:val="22"/>
          <w:szCs w:val="22"/>
          <w:lang w:val="en-ZA"/>
        </w:rPr>
      </w:pPr>
      <w:r w:rsidRPr="009F0AD3">
        <w:rPr>
          <w:rFonts w:ascii="Arial" w:eastAsia="Calibri" w:hAnsi="Arial" w:cs="Arial"/>
          <w:sz w:val="22"/>
          <w:szCs w:val="22"/>
          <w:lang w:val="en-ZA"/>
        </w:rPr>
        <w:t>‘No person shall, except with permission granted by the Treasury and in accordance with such conditions as the Treasury may impose:</w:t>
      </w:r>
    </w:p>
    <w:p w14:paraId="49B85563" w14:textId="77777777" w:rsidR="00531114" w:rsidRPr="009F0AD3" w:rsidRDefault="00531114" w:rsidP="00531114">
      <w:pPr>
        <w:spacing w:line="480" w:lineRule="auto"/>
        <w:jc w:val="both"/>
        <w:rPr>
          <w:rFonts w:ascii="Arial" w:eastAsia="Calibri" w:hAnsi="Arial" w:cs="Arial"/>
          <w:sz w:val="22"/>
          <w:szCs w:val="22"/>
          <w:lang w:val="en-ZA"/>
        </w:rPr>
      </w:pPr>
      <w:r w:rsidRPr="009F0AD3">
        <w:rPr>
          <w:rFonts w:ascii="Arial" w:eastAsia="Calibri" w:hAnsi="Arial" w:cs="Arial"/>
          <w:sz w:val="22"/>
          <w:szCs w:val="22"/>
          <w:lang w:val="en-ZA"/>
        </w:rPr>
        <w:t>. . .</w:t>
      </w:r>
    </w:p>
    <w:p w14:paraId="3FB0845E" w14:textId="487556EA" w:rsidR="00531114" w:rsidRDefault="00531114" w:rsidP="00531114">
      <w:pPr>
        <w:spacing w:line="480" w:lineRule="auto"/>
        <w:jc w:val="both"/>
        <w:rPr>
          <w:rFonts w:ascii="Arial" w:eastAsia="Calibri" w:hAnsi="Arial" w:cs="Arial"/>
          <w:sz w:val="22"/>
          <w:szCs w:val="22"/>
          <w:lang w:val="en-ZA"/>
        </w:rPr>
      </w:pPr>
      <w:r w:rsidRPr="009F0AD3">
        <w:rPr>
          <w:rFonts w:ascii="Arial" w:eastAsia="Calibri" w:hAnsi="Arial" w:cs="Arial"/>
          <w:sz w:val="22"/>
          <w:szCs w:val="22"/>
          <w:lang w:val="en-ZA"/>
        </w:rPr>
        <w:t>E</w:t>
      </w:r>
      <w:r w:rsidR="003C3A92">
        <w:rPr>
          <w:rFonts w:ascii="Arial" w:eastAsia="Calibri" w:hAnsi="Arial" w:cs="Arial"/>
          <w:sz w:val="22"/>
          <w:szCs w:val="22"/>
          <w:lang w:val="en-ZA"/>
        </w:rPr>
        <w:t>nter</w:t>
      </w:r>
      <w:r w:rsidRPr="009F0AD3">
        <w:rPr>
          <w:rFonts w:ascii="Arial" w:eastAsia="Calibri" w:hAnsi="Arial" w:cs="Arial"/>
          <w:sz w:val="22"/>
          <w:szCs w:val="22"/>
          <w:lang w:val="en-ZA"/>
        </w:rPr>
        <w:t xml:space="preserve"> into any transaction whereby capital or any right to capital is directly or indirectly exported from the Republic.’</w:t>
      </w:r>
    </w:p>
    <w:p w14:paraId="289493AF" w14:textId="77777777" w:rsidR="004F7E53" w:rsidRPr="009F0AD3" w:rsidRDefault="004F7E53" w:rsidP="00531114">
      <w:pPr>
        <w:spacing w:line="480" w:lineRule="auto"/>
        <w:jc w:val="both"/>
        <w:rPr>
          <w:rFonts w:ascii="Arial" w:eastAsia="Calibri" w:hAnsi="Arial" w:cs="Arial"/>
          <w:sz w:val="22"/>
          <w:szCs w:val="22"/>
          <w:lang w:val="en-ZA"/>
        </w:rPr>
      </w:pPr>
    </w:p>
    <w:p w14:paraId="71D2D5F9" w14:textId="112475CB" w:rsidR="00531114" w:rsidRPr="00531114" w:rsidRDefault="00453A5F" w:rsidP="00531114">
      <w:pPr>
        <w:spacing w:line="480" w:lineRule="auto"/>
        <w:jc w:val="both"/>
        <w:rPr>
          <w:rFonts w:ascii="Arial" w:eastAsia="Calibri" w:hAnsi="Arial" w:cs="Arial"/>
          <w:lang w:val="en-ZA"/>
        </w:rPr>
      </w:pPr>
      <w:r>
        <w:rPr>
          <w:rFonts w:ascii="Arial" w:eastAsia="Calibri" w:hAnsi="Arial" w:cs="Arial"/>
          <w:lang w:val="en-ZA"/>
        </w:rPr>
        <w:t>[</w:t>
      </w:r>
      <w:r w:rsidR="004F7E53">
        <w:rPr>
          <w:rFonts w:ascii="Arial" w:eastAsia="Calibri" w:hAnsi="Arial" w:cs="Arial"/>
          <w:lang w:val="en-ZA"/>
        </w:rPr>
        <w:t>11</w:t>
      </w:r>
      <w:r>
        <w:rPr>
          <w:rFonts w:ascii="Arial" w:eastAsia="Calibri" w:hAnsi="Arial" w:cs="Arial"/>
          <w:lang w:val="en-ZA"/>
        </w:rPr>
        <w:t xml:space="preserve">]   </w:t>
      </w:r>
      <w:r w:rsidR="00531114" w:rsidRPr="00531114">
        <w:rPr>
          <w:rFonts w:ascii="Arial" w:eastAsia="Calibri" w:hAnsi="Arial" w:cs="Arial"/>
          <w:lang w:val="en-ZA"/>
        </w:rPr>
        <w:t>Regulation 12 deals with goods purchased outside the Republic. Regulation 12(1) provides:</w:t>
      </w:r>
    </w:p>
    <w:p w14:paraId="1B86145A" w14:textId="5059F2BE" w:rsidR="003C3A92" w:rsidRDefault="00531114" w:rsidP="00531114">
      <w:pPr>
        <w:spacing w:line="480" w:lineRule="auto"/>
        <w:jc w:val="both"/>
        <w:rPr>
          <w:rFonts w:ascii="Arial" w:eastAsia="Calibri" w:hAnsi="Arial" w:cs="Arial"/>
          <w:sz w:val="22"/>
          <w:szCs w:val="22"/>
          <w:lang w:val="en-ZA"/>
        </w:rPr>
      </w:pPr>
      <w:r w:rsidRPr="006D2EA0">
        <w:rPr>
          <w:rFonts w:ascii="Arial" w:eastAsia="Calibri" w:hAnsi="Arial" w:cs="Arial"/>
          <w:sz w:val="22"/>
          <w:szCs w:val="22"/>
          <w:lang w:val="en-ZA"/>
        </w:rPr>
        <w:t xml:space="preserve">‘Whenever a person in the Republic has purchased goods from any country outside the Republic and has paid for or made a payment on account of such goods, but the said goods have not been consigned to the </w:t>
      </w:r>
      <w:r w:rsidR="00AB7545" w:rsidRPr="00193422">
        <w:rPr>
          <w:rFonts w:ascii="Arial" w:eastAsia="Calibri" w:hAnsi="Arial" w:cs="Arial"/>
          <w:sz w:val="22"/>
          <w:szCs w:val="22"/>
          <w:lang w:val="en-ZA"/>
        </w:rPr>
        <w:t>R</w:t>
      </w:r>
      <w:r w:rsidRPr="006D2EA0">
        <w:rPr>
          <w:rFonts w:ascii="Arial" w:eastAsia="Calibri" w:hAnsi="Arial" w:cs="Arial"/>
          <w:sz w:val="22"/>
          <w:szCs w:val="22"/>
          <w:lang w:val="en-ZA"/>
        </w:rPr>
        <w:t xml:space="preserve">epublic within four months from the date on which such payment was made, such person shall within </w:t>
      </w:r>
      <w:r w:rsidR="00AB7545" w:rsidRPr="00193422">
        <w:rPr>
          <w:rFonts w:ascii="Arial" w:eastAsia="Calibri" w:hAnsi="Arial" w:cs="Arial"/>
          <w:sz w:val="22"/>
          <w:szCs w:val="22"/>
          <w:lang w:val="en-ZA"/>
        </w:rPr>
        <w:t>fourteen</w:t>
      </w:r>
      <w:r w:rsidRPr="006D2EA0">
        <w:rPr>
          <w:rFonts w:ascii="Arial" w:eastAsia="Calibri" w:hAnsi="Arial" w:cs="Arial"/>
          <w:sz w:val="22"/>
          <w:szCs w:val="22"/>
          <w:lang w:val="en-ZA"/>
        </w:rPr>
        <w:t xml:space="preserve"> days from the date of expiry of the said of four months report in writing to the Treasury or to an authorized dealer that the goods have not been consigned to the Republic and the Treasury may thereupon order such person to assign to the Treasury or to a person authorized by the Treas</w:t>
      </w:r>
      <w:r w:rsidR="006D2EA0" w:rsidRPr="006D2EA0">
        <w:rPr>
          <w:rFonts w:ascii="Arial" w:eastAsia="Calibri" w:hAnsi="Arial" w:cs="Arial"/>
          <w:sz w:val="22"/>
          <w:szCs w:val="22"/>
          <w:lang w:val="en-ZA"/>
        </w:rPr>
        <w:t>ury his right to the said goods</w:t>
      </w:r>
      <w:r w:rsidR="003C3A92">
        <w:rPr>
          <w:rFonts w:ascii="Arial" w:eastAsia="Calibri" w:hAnsi="Arial" w:cs="Arial"/>
          <w:sz w:val="22"/>
          <w:szCs w:val="22"/>
          <w:lang w:val="en-ZA"/>
        </w:rPr>
        <w:t>.’</w:t>
      </w:r>
    </w:p>
    <w:p w14:paraId="1E029089" w14:textId="3900A6D5" w:rsidR="00453A5F" w:rsidRPr="003C3A92" w:rsidRDefault="00531114" w:rsidP="00531114">
      <w:pPr>
        <w:spacing w:line="480" w:lineRule="auto"/>
        <w:jc w:val="both"/>
        <w:rPr>
          <w:rFonts w:ascii="Arial" w:eastAsia="Calibri" w:hAnsi="Arial" w:cs="Arial"/>
          <w:lang w:val="en-ZA"/>
        </w:rPr>
      </w:pPr>
      <w:r w:rsidRPr="00B46505">
        <w:rPr>
          <w:rFonts w:ascii="Arial" w:eastAsia="Calibri" w:hAnsi="Arial" w:cs="Arial"/>
          <w:lang w:val="en-ZA"/>
        </w:rPr>
        <w:t xml:space="preserve">Regulation 22 provides that a contravention of the Regulations is an offence punishable with </w:t>
      </w:r>
      <w:r w:rsidR="003C3A92">
        <w:rPr>
          <w:rFonts w:ascii="Arial" w:eastAsia="Calibri" w:hAnsi="Arial" w:cs="Arial"/>
          <w:lang w:val="en-ZA"/>
        </w:rPr>
        <w:t xml:space="preserve">either </w:t>
      </w:r>
      <w:r w:rsidRPr="00B46505">
        <w:rPr>
          <w:rFonts w:ascii="Arial" w:eastAsia="Calibri" w:hAnsi="Arial" w:cs="Arial"/>
          <w:lang w:val="en-ZA"/>
        </w:rPr>
        <w:t>a fine</w:t>
      </w:r>
      <w:r w:rsidR="006D2EA0" w:rsidRPr="00B46505">
        <w:rPr>
          <w:rFonts w:ascii="Arial" w:eastAsia="Calibri" w:hAnsi="Arial" w:cs="Arial"/>
          <w:lang w:val="en-ZA"/>
        </w:rPr>
        <w:t xml:space="preserve"> or a term of imprisonment</w:t>
      </w:r>
      <w:r w:rsidR="003C3A92">
        <w:rPr>
          <w:rFonts w:ascii="Arial" w:eastAsia="Calibri" w:hAnsi="Arial" w:cs="Arial"/>
          <w:lang w:val="en-ZA"/>
        </w:rPr>
        <w:t>, or both</w:t>
      </w:r>
      <w:r w:rsidR="006D2EA0" w:rsidRPr="00B46505">
        <w:rPr>
          <w:rFonts w:ascii="Arial" w:eastAsia="Calibri" w:hAnsi="Arial" w:cs="Arial"/>
          <w:lang w:val="en-ZA"/>
        </w:rPr>
        <w:t>.</w:t>
      </w:r>
      <w:r w:rsidR="00177643">
        <w:rPr>
          <w:rFonts w:ascii="Arial" w:eastAsia="Calibri" w:hAnsi="Arial" w:cs="Arial"/>
          <w:lang w:val="en-ZA"/>
        </w:rPr>
        <w:t>’</w:t>
      </w:r>
      <w:r w:rsidR="006D2EA0" w:rsidRPr="003C3A92">
        <w:rPr>
          <w:rFonts w:ascii="Arial" w:eastAsia="Calibri" w:hAnsi="Arial" w:cs="Arial"/>
          <w:lang w:val="en-ZA"/>
        </w:rPr>
        <w:t xml:space="preserve"> </w:t>
      </w:r>
    </w:p>
    <w:p w14:paraId="08E95115" w14:textId="77777777" w:rsidR="004F7E53" w:rsidRDefault="004F7E53" w:rsidP="00531114">
      <w:pPr>
        <w:spacing w:line="480" w:lineRule="auto"/>
        <w:jc w:val="both"/>
        <w:rPr>
          <w:rFonts w:ascii="Arial" w:eastAsia="Calibri" w:hAnsi="Arial" w:cs="Arial"/>
          <w:lang w:val="en-ZA"/>
        </w:rPr>
      </w:pPr>
    </w:p>
    <w:p w14:paraId="120FE35E" w14:textId="721FAD9C" w:rsidR="009352AF" w:rsidRDefault="00453A5F" w:rsidP="00531114">
      <w:pPr>
        <w:spacing w:line="480" w:lineRule="auto"/>
        <w:jc w:val="both"/>
        <w:rPr>
          <w:rFonts w:ascii="Arial" w:eastAsia="Calibri" w:hAnsi="Arial" w:cs="Arial"/>
          <w:lang w:val="en-ZA"/>
        </w:rPr>
      </w:pPr>
      <w:r>
        <w:rPr>
          <w:rFonts w:ascii="Arial" w:eastAsia="Calibri" w:hAnsi="Arial" w:cs="Arial"/>
          <w:lang w:val="en-ZA"/>
        </w:rPr>
        <w:t>[</w:t>
      </w:r>
      <w:r w:rsidR="004F7E53">
        <w:rPr>
          <w:rFonts w:ascii="Arial" w:eastAsia="Calibri" w:hAnsi="Arial" w:cs="Arial"/>
          <w:lang w:val="en-ZA"/>
        </w:rPr>
        <w:t>12</w:t>
      </w:r>
      <w:r>
        <w:rPr>
          <w:rFonts w:ascii="Arial" w:eastAsia="Calibri" w:hAnsi="Arial" w:cs="Arial"/>
          <w:lang w:val="en-ZA"/>
        </w:rPr>
        <w:t xml:space="preserve">]   </w:t>
      </w:r>
      <w:r w:rsidR="00531114" w:rsidRPr="00531114">
        <w:rPr>
          <w:rFonts w:ascii="Arial" w:eastAsia="Calibri" w:hAnsi="Arial" w:cs="Arial"/>
          <w:lang w:val="en-ZA"/>
        </w:rPr>
        <w:t>The Treasury may, under prescribed conditions, attach money and goods involved in any such contravention (Reg 22A). The money or goods attached may be forfeited to the State (Reg 22B) and the Treasury may recover certain ‘shortfalls’ upon the realisation of the money or goods forfeited (Reg 22C)</w:t>
      </w:r>
      <w:r w:rsidR="00493924">
        <w:rPr>
          <w:rFonts w:ascii="Arial" w:eastAsia="Calibri" w:hAnsi="Arial" w:cs="Arial"/>
          <w:lang w:val="en-ZA"/>
        </w:rPr>
        <w:t>.</w:t>
      </w:r>
      <w:r w:rsidR="00493924">
        <w:rPr>
          <w:rStyle w:val="FootnoteReference"/>
          <w:rFonts w:ascii="Arial" w:eastAsia="Calibri" w:hAnsi="Arial" w:cs="Arial"/>
          <w:lang w:val="en-ZA"/>
        </w:rPr>
        <w:footnoteReference w:id="1"/>
      </w:r>
    </w:p>
    <w:p w14:paraId="086FBE87" w14:textId="77777777" w:rsidR="00493924" w:rsidRPr="00004CDD" w:rsidRDefault="00493924" w:rsidP="00531114">
      <w:pPr>
        <w:spacing w:line="480" w:lineRule="auto"/>
        <w:jc w:val="both"/>
        <w:rPr>
          <w:rFonts w:ascii="Arial" w:eastAsia="Calibri" w:hAnsi="Arial" w:cs="Arial"/>
          <w:lang w:val="en-ZA"/>
        </w:rPr>
      </w:pPr>
    </w:p>
    <w:p w14:paraId="52AD8061" w14:textId="630FDF7E" w:rsidR="008A22FF" w:rsidRDefault="004F7E53" w:rsidP="008A22FF">
      <w:pPr>
        <w:spacing w:after="240" w:line="480" w:lineRule="auto"/>
        <w:jc w:val="both"/>
        <w:rPr>
          <w:rFonts w:ascii="Arial" w:eastAsia="Calibri" w:hAnsi="Arial" w:cs="Arial"/>
          <w:lang w:val="en-ZA"/>
        </w:rPr>
      </w:pPr>
      <w:r>
        <w:rPr>
          <w:rFonts w:ascii="Arial" w:eastAsia="Calibri" w:hAnsi="Arial" w:cs="Arial"/>
          <w:lang w:val="en-ZA"/>
        </w:rPr>
        <w:t>[13]</w:t>
      </w:r>
      <w:r>
        <w:rPr>
          <w:rFonts w:ascii="Arial" w:eastAsia="Calibri" w:hAnsi="Arial" w:cs="Arial"/>
          <w:lang w:val="en-ZA"/>
        </w:rPr>
        <w:tab/>
      </w:r>
      <w:r w:rsidR="002B642B" w:rsidRPr="004F7E53">
        <w:rPr>
          <w:rFonts w:ascii="Arial" w:eastAsia="Calibri" w:hAnsi="Arial" w:cs="Arial"/>
          <w:lang w:val="en-ZA"/>
        </w:rPr>
        <w:t xml:space="preserve">Subsequent to </w:t>
      </w:r>
      <w:r w:rsidR="00447277" w:rsidRPr="004F7E53">
        <w:rPr>
          <w:rFonts w:ascii="Arial" w:eastAsia="Calibri" w:hAnsi="Arial" w:cs="Arial"/>
          <w:lang w:val="en-ZA"/>
        </w:rPr>
        <w:t>the issue of the blocking</w:t>
      </w:r>
      <w:r w:rsidR="002B642B" w:rsidRPr="004F7E53">
        <w:rPr>
          <w:rFonts w:ascii="Arial" w:eastAsia="Calibri" w:hAnsi="Arial" w:cs="Arial"/>
          <w:lang w:val="en-ZA"/>
        </w:rPr>
        <w:t xml:space="preserve"> orders and after the liquidation of the companies, Mr </w:t>
      </w:r>
      <w:r w:rsidR="00447277" w:rsidRPr="004F7E53">
        <w:rPr>
          <w:rFonts w:ascii="Arial" w:eastAsia="Calibri" w:hAnsi="Arial" w:cs="Arial"/>
          <w:lang w:val="en-ZA"/>
        </w:rPr>
        <w:t xml:space="preserve">K </w:t>
      </w:r>
      <w:r w:rsidR="002B642B" w:rsidRPr="004F7E53">
        <w:rPr>
          <w:rFonts w:ascii="Arial" w:eastAsia="Calibri" w:hAnsi="Arial" w:cs="Arial"/>
          <w:lang w:val="en-ZA"/>
        </w:rPr>
        <w:t xml:space="preserve">Naidoo, the </w:t>
      </w:r>
      <w:r w:rsidR="006D3930" w:rsidRPr="004F7E53">
        <w:rPr>
          <w:rFonts w:ascii="Arial" w:eastAsia="Calibri" w:hAnsi="Arial" w:cs="Arial"/>
          <w:lang w:val="en-ZA"/>
        </w:rPr>
        <w:t>Depu</w:t>
      </w:r>
      <w:r w:rsidR="00174DB2" w:rsidRPr="004F7E53">
        <w:rPr>
          <w:rFonts w:ascii="Arial" w:eastAsia="Calibri" w:hAnsi="Arial" w:cs="Arial"/>
          <w:lang w:val="en-ZA"/>
        </w:rPr>
        <w:t>ty Governor of the Reserve Bank, exe</w:t>
      </w:r>
      <w:r w:rsidR="003721F0" w:rsidRPr="007F5C66">
        <w:rPr>
          <w:rFonts w:ascii="Arial" w:eastAsia="Calibri" w:hAnsi="Arial" w:cs="Arial"/>
          <w:lang w:val="en-ZA"/>
        </w:rPr>
        <w:t>r</w:t>
      </w:r>
      <w:r w:rsidR="00174DB2" w:rsidRPr="004F7E53">
        <w:rPr>
          <w:rFonts w:ascii="Arial" w:eastAsia="Calibri" w:hAnsi="Arial" w:cs="Arial"/>
          <w:lang w:val="en-ZA"/>
        </w:rPr>
        <w:t>ci</w:t>
      </w:r>
      <w:r w:rsidR="006D3930" w:rsidRPr="004F7E53">
        <w:rPr>
          <w:rFonts w:ascii="Arial" w:eastAsia="Calibri" w:hAnsi="Arial" w:cs="Arial"/>
          <w:lang w:val="en-ZA"/>
        </w:rPr>
        <w:t>sing the power delegated to him by the Minister of Finance, issued three forfeiture orders in terms of Regulation 22B in respect of the monies standing to the credit of the banking accounts of each of the companies as identified in each of the forfeiture orders. The</w:t>
      </w:r>
      <w:r w:rsidR="00C35086" w:rsidRPr="004F7E53">
        <w:rPr>
          <w:rFonts w:ascii="Arial" w:eastAsia="Calibri" w:hAnsi="Arial" w:cs="Arial"/>
          <w:lang w:val="en-ZA"/>
        </w:rPr>
        <w:t xml:space="preserve"> first forfeiture order was issued</w:t>
      </w:r>
      <w:r w:rsidR="006D3930" w:rsidRPr="004F7E53">
        <w:rPr>
          <w:rFonts w:ascii="Arial" w:eastAsia="Calibri" w:hAnsi="Arial" w:cs="Arial"/>
          <w:lang w:val="en-ZA"/>
        </w:rPr>
        <w:t xml:space="preserve"> on 19 June 2017 in respect of funds standing to the credit of </w:t>
      </w:r>
      <w:r w:rsidR="00B46505">
        <w:rPr>
          <w:rFonts w:ascii="Arial" w:eastAsia="Calibri" w:hAnsi="Arial" w:cs="Arial"/>
          <w:lang w:val="en-ZA"/>
        </w:rPr>
        <w:t>Xinming in the</w:t>
      </w:r>
      <w:r w:rsidR="00270C2D" w:rsidRPr="004F7E53">
        <w:rPr>
          <w:rFonts w:ascii="Arial" w:eastAsia="Calibri" w:hAnsi="Arial" w:cs="Arial"/>
          <w:lang w:val="en-ZA"/>
        </w:rPr>
        <w:t xml:space="preserve"> banking accounts</w:t>
      </w:r>
      <w:r w:rsidR="00B46505">
        <w:rPr>
          <w:rFonts w:ascii="Arial" w:eastAsia="Calibri" w:hAnsi="Arial" w:cs="Arial"/>
          <w:lang w:val="en-ZA"/>
        </w:rPr>
        <w:t xml:space="preserve"> held with the banks</w:t>
      </w:r>
      <w:r w:rsidR="004409F5">
        <w:rPr>
          <w:rFonts w:ascii="Arial" w:eastAsia="Calibri" w:hAnsi="Arial" w:cs="Arial"/>
          <w:lang w:val="en-ZA"/>
        </w:rPr>
        <w:t>,</w:t>
      </w:r>
      <w:r w:rsidR="00B46505">
        <w:rPr>
          <w:rFonts w:ascii="Arial" w:eastAsia="Calibri" w:hAnsi="Arial" w:cs="Arial"/>
          <w:lang w:val="en-ZA"/>
        </w:rPr>
        <w:t xml:space="preserve"> the particulars of which were set out in</w:t>
      </w:r>
      <w:r w:rsidR="004409F5">
        <w:rPr>
          <w:rFonts w:ascii="Arial" w:eastAsia="Calibri" w:hAnsi="Arial" w:cs="Arial"/>
          <w:lang w:val="en-ZA"/>
        </w:rPr>
        <w:t xml:space="preserve"> the order.</w:t>
      </w:r>
      <w:r w:rsidR="006D3930" w:rsidRPr="004F7E53">
        <w:rPr>
          <w:rFonts w:ascii="Arial" w:eastAsia="Calibri" w:hAnsi="Arial" w:cs="Arial"/>
          <w:lang w:val="en-ZA"/>
        </w:rPr>
        <w:t xml:space="preserve"> It was published in the Government Gazette on 14 July 2017, on which date the monies specified in the forfeiture order became forfe</w:t>
      </w:r>
      <w:r w:rsidR="006D3930" w:rsidRPr="00193422">
        <w:rPr>
          <w:rFonts w:ascii="Arial" w:eastAsia="Calibri" w:hAnsi="Arial" w:cs="Arial"/>
          <w:lang w:val="en-ZA"/>
        </w:rPr>
        <w:t>it</w:t>
      </w:r>
      <w:r w:rsidR="00AB7545" w:rsidRPr="00193422">
        <w:rPr>
          <w:rFonts w:ascii="Arial" w:eastAsia="Calibri" w:hAnsi="Arial" w:cs="Arial"/>
          <w:lang w:val="en-ZA"/>
        </w:rPr>
        <w:t>ed</w:t>
      </w:r>
      <w:r w:rsidR="006D3930" w:rsidRPr="004F7E53">
        <w:rPr>
          <w:rFonts w:ascii="Arial" w:eastAsia="Calibri" w:hAnsi="Arial" w:cs="Arial"/>
          <w:lang w:val="en-ZA"/>
        </w:rPr>
        <w:t xml:space="preserve"> to the Sate and were deposited into the National Revenue Fund.</w:t>
      </w:r>
    </w:p>
    <w:p w14:paraId="195EB3AE" w14:textId="4EC0A57A" w:rsidR="008A22FF" w:rsidRDefault="008A22FF" w:rsidP="00510CA8">
      <w:pPr>
        <w:spacing w:after="240" w:line="480" w:lineRule="auto"/>
        <w:jc w:val="both"/>
        <w:rPr>
          <w:rFonts w:ascii="Arial" w:eastAsia="Calibri" w:hAnsi="Arial" w:cs="Arial"/>
          <w:lang w:val="en-ZA"/>
        </w:rPr>
      </w:pPr>
      <w:r>
        <w:rPr>
          <w:rFonts w:ascii="Arial" w:eastAsia="Calibri" w:hAnsi="Arial" w:cs="Arial"/>
          <w:lang w:val="en-ZA"/>
        </w:rPr>
        <w:t>[14]</w:t>
      </w:r>
      <w:r>
        <w:rPr>
          <w:rFonts w:ascii="Arial" w:eastAsia="Calibri" w:hAnsi="Arial" w:cs="Arial"/>
          <w:lang w:val="en-ZA"/>
        </w:rPr>
        <w:tab/>
      </w:r>
      <w:r w:rsidR="006D3930" w:rsidRPr="004F7E53">
        <w:rPr>
          <w:rFonts w:ascii="Arial" w:eastAsia="Calibri" w:hAnsi="Arial" w:cs="Arial"/>
          <w:lang w:val="en-ZA"/>
        </w:rPr>
        <w:t>A second forfeiture order was issued on 16 August 2018 in respect of the amount of R</w:t>
      </w:r>
      <w:r w:rsidR="00270C2D" w:rsidRPr="004F7E53">
        <w:rPr>
          <w:rFonts w:ascii="Arial" w:eastAsia="Calibri" w:hAnsi="Arial" w:cs="Arial"/>
          <w:lang w:val="en-ZA"/>
        </w:rPr>
        <w:t>329</w:t>
      </w:r>
      <w:r w:rsidR="000B52C3">
        <w:rPr>
          <w:rFonts w:ascii="Arial" w:eastAsia="Calibri" w:hAnsi="Arial" w:cs="Arial"/>
          <w:lang w:val="en-ZA"/>
        </w:rPr>
        <w:t> </w:t>
      </w:r>
      <w:r w:rsidR="00270C2D" w:rsidRPr="004F7E53">
        <w:rPr>
          <w:rFonts w:ascii="Arial" w:eastAsia="Calibri" w:hAnsi="Arial" w:cs="Arial"/>
          <w:lang w:val="en-ZA"/>
        </w:rPr>
        <w:t>794</w:t>
      </w:r>
      <w:r w:rsidR="000B52C3">
        <w:rPr>
          <w:rFonts w:ascii="Arial" w:eastAsia="Calibri" w:hAnsi="Arial" w:cs="Arial"/>
          <w:lang w:val="en-ZA"/>
        </w:rPr>
        <w:t>,</w:t>
      </w:r>
      <w:r w:rsidR="00270C2D" w:rsidRPr="004F7E53">
        <w:rPr>
          <w:rFonts w:ascii="Arial" w:eastAsia="Calibri" w:hAnsi="Arial" w:cs="Arial"/>
          <w:lang w:val="en-ZA"/>
        </w:rPr>
        <w:t xml:space="preserve"> together with any interest standing to the c</w:t>
      </w:r>
      <w:r w:rsidR="00C35086" w:rsidRPr="004F7E53">
        <w:rPr>
          <w:rFonts w:ascii="Arial" w:eastAsia="Calibri" w:hAnsi="Arial" w:cs="Arial"/>
          <w:lang w:val="en-ZA"/>
        </w:rPr>
        <w:t>r</w:t>
      </w:r>
      <w:r w:rsidR="00270C2D" w:rsidRPr="004F7E53">
        <w:rPr>
          <w:rFonts w:ascii="Arial" w:eastAsia="Calibri" w:hAnsi="Arial" w:cs="Arial"/>
          <w:lang w:val="en-ZA"/>
        </w:rPr>
        <w:t>edit of Xinming in account number 7444 5892 918 held with First Rand Bank Limited. This forfeiture order was published in the Government Gazette on 31 August 2018, on which date the money specified therein was forfeited to the State and was deposited in</w:t>
      </w:r>
      <w:r w:rsidR="000B52C3">
        <w:rPr>
          <w:rFonts w:ascii="Arial" w:eastAsia="Calibri" w:hAnsi="Arial" w:cs="Arial"/>
          <w:lang w:val="en-ZA"/>
        </w:rPr>
        <w:t>to</w:t>
      </w:r>
      <w:r w:rsidR="00270C2D" w:rsidRPr="004F7E53">
        <w:rPr>
          <w:rFonts w:ascii="Arial" w:eastAsia="Calibri" w:hAnsi="Arial" w:cs="Arial"/>
          <w:lang w:val="en-ZA"/>
        </w:rPr>
        <w:t xml:space="preserve"> the National Revenue Fund.</w:t>
      </w:r>
      <w:r w:rsidR="00447277" w:rsidRPr="004F7E53">
        <w:rPr>
          <w:rFonts w:ascii="Arial" w:eastAsia="Calibri" w:hAnsi="Arial" w:cs="Arial"/>
          <w:lang w:val="en-ZA"/>
        </w:rPr>
        <w:t xml:space="preserve"> The third forfeiture order issued in respect of the monies standing to the credit of Sun Candle in the banks specified in the order</w:t>
      </w:r>
      <w:r w:rsidR="004409F5">
        <w:rPr>
          <w:rFonts w:ascii="Arial" w:eastAsia="Calibri" w:hAnsi="Arial" w:cs="Arial"/>
          <w:lang w:val="en-ZA"/>
        </w:rPr>
        <w:t>,</w:t>
      </w:r>
      <w:r w:rsidR="00447277" w:rsidRPr="004F7E53">
        <w:rPr>
          <w:rFonts w:ascii="Arial" w:eastAsia="Calibri" w:hAnsi="Arial" w:cs="Arial"/>
          <w:lang w:val="en-ZA"/>
        </w:rPr>
        <w:t xml:space="preserve"> was published in the Government Gazette on 31 August 2018.</w:t>
      </w:r>
    </w:p>
    <w:p w14:paraId="25BC7EB9" w14:textId="39FEF7B8" w:rsidR="00270C2D" w:rsidRDefault="004F7E53" w:rsidP="008A22FF">
      <w:pPr>
        <w:spacing w:line="480" w:lineRule="auto"/>
        <w:jc w:val="both"/>
        <w:rPr>
          <w:rFonts w:ascii="Arial" w:eastAsia="Calibri" w:hAnsi="Arial" w:cs="Arial"/>
          <w:lang w:val="en-ZA"/>
        </w:rPr>
      </w:pPr>
      <w:r>
        <w:rPr>
          <w:rFonts w:ascii="Arial" w:eastAsia="Calibri" w:hAnsi="Arial" w:cs="Arial"/>
          <w:lang w:val="en-ZA"/>
        </w:rPr>
        <w:t>[15]</w:t>
      </w:r>
      <w:r>
        <w:rPr>
          <w:rFonts w:ascii="Arial" w:eastAsia="Calibri" w:hAnsi="Arial" w:cs="Arial"/>
          <w:lang w:val="en-ZA"/>
        </w:rPr>
        <w:tab/>
      </w:r>
      <w:r w:rsidR="00270C2D" w:rsidRPr="004F7E53">
        <w:rPr>
          <w:rFonts w:ascii="Arial" w:eastAsia="Calibri" w:hAnsi="Arial" w:cs="Arial"/>
          <w:lang w:val="en-ZA"/>
        </w:rPr>
        <w:t>Upon their appointment</w:t>
      </w:r>
      <w:r w:rsidR="000B52C3">
        <w:rPr>
          <w:rFonts w:ascii="Arial" w:eastAsia="Calibri" w:hAnsi="Arial" w:cs="Arial"/>
          <w:lang w:val="en-ZA"/>
        </w:rPr>
        <w:t>,</w:t>
      </w:r>
      <w:r w:rsidR="00270C2D" w:rsidRPr="004F7E53">
        <w:rPr>
          <w:rFonts w:ascii="Arial" w:eastAsia="Calibri" w:hAnsi="Arial" w:cs="Arial"/>
          <w:lang w:val="en-ZA"/>
        </w:rPr>
        <w:t xml:space="preserve"> the liquidators</w:t>
      </w:r>
      <w:r w:rsidR="00A3645C" w:rsidRPr="004F7E53">
        <w:rPr>
          <w:rFonts w:ascii="Arial" w:eastAsia="Calibri" w:hAnsi="Arial" w:cs="Arial"/>
          <w:lang w:val="en-ZA"/>
        </w:rPr>
        <w:t xml:space="preserve"> </w:t>
      </w:r>
      <w:r w:rsidR="00270C2D" w:rsidRPr="004F7E53">
        <w:rPr>
          <w:rFonts w:ascii="Arial" w:eastAsia="Calibri" w:hAnsi="Arial" w:cs="Arial"/>
          <w:lang w:val="en-ZA"/>
        </w:rPr>
        <w:t xml:space="preserve">of </w:t>
      </w:r>
      <w:r w:rsidR="00AB7545" w:rsidRPr="00193422">
        <w:rPr>
          <w:rFonts w:ascii="Arial" w:eastAsia="Calibri" w:hAnsi="Arial" w:cs="Arial"/>
          <w:lang w:val="en-ZA"/>
        </w:rPr>
        <w:t>the</w:t>
      </w:r>
      <w:r w:rsidR="00AB7545">
        <w:rPr>
          <w:rFonts w:ascii="Arial" w:eastAsia="Calibri" w:hAnsi="Arial" w:cs="Arial"/>
          <w:lang w:val="en-ZA"/>
        </w:rPr>
        <w:t xml:space="preserve"> </w:t>
      </w:r>
      <w:r w:rsidR="00270C2D" w:rsidRPr="004F7E53">
        <w:rPr>
          <w:rFonts w:ascii="Arial" w:eastAsia="Calibri" w:hAnsi="Arial" w:cs="Arial"/>
          <w:lang w:val="en-ZA"/>
        </w:rPr>
        <w:t>companies demanded that the monies that were dec</w:t>
      </w:r>
      <w:r w:rsidR="00804AA4" w:rsidRPr="004F7E53">
        <w:rPr>
          <w:rFonts w:ascii="Arial" w:eastAsia="Calibri" w:hAnsi="Arial" w:cs="Arial"/>
          <w:lang w:val="en-ZA"/>
        </w:rPr>
        <w:t>l</w:t>
      </w:r>
      <w:r w:rsidR="00270C2D" w:rsidRPr="004F7E53">
        <w:rPr>
          <w:rFonts w:ascii="Arial" w:eastAsia="Calibri" w:hAnsi="Arial" w:cs="Arial"/>
          <w:lang w:val="en-ZA"/>
        </w:rPr>
        <w:t>ared forfe</w:t>
      </w:r>
      <w:r w:rsidR="00270C2D" w:rsidRPr="00193422">
        <w:rPr>
          <w:rFonts w:ascii="Arial" w:eastAsia="Calibri" w:hAnsi="Arial" w:cs="Arial"/>
          <w:lang w:val="en-ZA"/>
        </w:rPr>
        <w:t>it</w:t>
      </w:r>
      <w:r w:rsidR="00AB7545" w:rsidRPr="00193422">
        <w:rPr>
          <w:rFonts w:ascii="Arial" w:eastAsia="Calibri" w:hAnsi="Arial" w:cs="Arial"/>
          <w:lang w:val="en-ZA"/>
        </w:rPr>
        <w:t>ed</w:t>
      </w:r>
      <w:r w:rsidR="00270C2D" w:rsidRPr="004F7E53">
        <w:rPr>
          <w:rFonts w:ascii="Arial" w:eastAsia="Calibri" w:hAnsi="Arial" w:cs="Arial"/>
          <w:lang w:val="en-ZA"/>
        </w:rPr>
        <w:t xml:space="preserve"> to the State be paid to them. They asserted that by virtue of the winding-up and the establishment of the </w:t>
      </w:r>
      <w:r w:rsidR="00270C2D" w:rsidRPr="004F7E53">
        <w:rPr>
          <w:rFonts w:ascii="Arial" w:eastAsia="Calibri" w:hAnsi="Arial" w:cs="Arial"/>
          <w:i/>
          <w:lang w:val="en-ZA"/>
        </w:rPr>
        <w:t xml:space="preserve">concurus creditorum </w:t>
      </w:r>
      <w:r w:rsidR="00270C2D" w:rsidRPr="004F7E53">
        <w:rPr>
          <w:rFonts w:ascii="Arial" w:eastAsia="Calibri" w:hAnsi="Arial" w:cs="Arial"/>
          <w:lang w:val="en-ZA"/>
        </w:rPr>
        <w:t xml:space="preserve">on 13 February 2017, the monies held in the bank accounts to the credit of </w:t>
      </w:r>
      <w:r w:rsidR="00447277" w:rsidRPr="004F7E53">
        <w:rPr>
          <w:rFonts w:ascii="Arial" w:eastAsia="Calibri" w:hAnsi="Arial" w:cs="Arial"/>
          <w:lang w:val="en-ZA"/>
        </w:rPr>
        <w:t>the companies</w:t>
      </w:r>
      <w:r w:rsidR="00270C2D" w:rsidRPr="004F7E53">
        <w:rPr>
          <w:rFonts w:ascii="Arial" w:eastAsia="Calibri" w:hAnsi="Arial" w:cs="Arial"/>
          <w:lang w:val="en-ZA"/>
        </w:rPr>
        <w:t xml:space="preserve"> </w:t>
      </w:r>
      <w:r w:rsidR="00270C2D" w:rsidRPr="008B035F">
        <w:rPr>
          <w:rFonts w:ascii="Arial" w:eastAsia="Calibri" w:hAnsi="Arial" w:cs="Arial"/>
          <w:lang w:val="en-ZA"/>
        </w:rPr>
        <w:t>f</w:t>
      </w:r>
      <w:r w:rsidR="00FC04ED" w:rsidRPr="007F5C66">
        <w:rPr>
          <w:rFonts w:ascii="Arial" w:eastAsia="Calibri" w:hAnsi="Arial" w:cs="Arial"/>
          <w:lang w:val="en-ZA"/>
        </w:rPr>
        <w:t>e</w:t>
      </w:r>
      <w:r w:rsidR="00270C2D" w:rsidRPr="008B035F">
        <w:rPr>
          <w:rFonts w:ascii="Arial" w:eastAsia="Calibri" w:hAnsi="Arial" w:cs="Arial"/>
          <w:lang w:val="en-ZA"/>
        </w:rPr>
        <w:t>ll</w:t>
      </w:r>
      <w:r w:rsidR="00270C2D" w:rsidRPr="004F7E53">
        <w:rPr>
          <w:rFonts w:ascii="Arial" w:eastAsia="Calibri" w:hAnsi="Arial" w:cs="Arial"/>
          <w:lang w:val="en-ZA"/>
        </w:rPr>
        <w:t xml:space="preserve"> into the insolvent estat</w:t>
      </w:r>
      <w:r w:rsidR="00E577BA" w:rsidRPr="004F7E53">
        <w:rPr>
          <w:rFonts w:ascii="Arial" w:eastAsia="Calibri" w:hAnsi="Arial" w:cs="Arial"/>
          <w:lang w:val="en-ZA"/>
        </w:rPr>
        <w:t>es and are subject to the provi</w:t>
      </w:r>
      <w:r w:rsidR="00270C2D" w:rsidRPr="004F7E53">
        <w:rPr>
          <w:rFonts w:ascii="Arial" w:eastAsia="Calibri" w:hAnsi="Arial" w:cs="Arial"/>
          <w:lang w:val="en-ZA"/>
        </w:rPr>
        <w:t xml:space="preserve">sions of s 391 and s 342 of the Companies Act. </w:t>
      </w:r>
      <w:r w:rsidR="001E37C1" w:rsidRPr="004F7E53">
        <w:rPr>
          <w:rFonts w:ascii="Arial" w:eastAsia="Calibri" w:hAnsi="Arial" w:cs="Arial"/>
          <w:lang w:val="en-ZA"/>
        </w:rPr>
        <w:t xml:space="preserve">The Reserve Bank refused to accede to the </w:t>
      </w:r>
      <w:r w:rsidR="00E577BA" w:rsidRPr="004F7E53">
        <w:rPr>
          <w:rFonts w:ascii="Arial" w:eastAsia="Calibri" w:hAnsi="Arial" w:cs="Arial"/>
          <w:lang w:val="en-ZA"/>
        </w:rPr>
        <w:t>demand</w:t>
      </w:r>
      <w:r w:rsidR="000B52C3">
        <w:rPr>
          <w:rFonts w:ascii="Arial" w:eastAsia="Calibri" w:hAnsi="Arial" w:cs="Arial"/>
          <w:lang w:val="en-ZA"/>
        </w:rPr>
        <w:t>,</w:t>
      </w:r>
      <w:r w:rsidR="001E37C1" w:rsidRPr="004F7E53">
        <w:rPr>
          <w:rFonts w:ascii="Arial" w:eastAsia="Calibri" w:hAnsi="Arial" w:cs="Arial"/>
          <w:lang w:val="en-ZA"/>
        </w:rPr>
        <w:t xml:space="preserve"> conte</w:t>
      </w:r>
      <w:r w:rsidR="000B52C3">
        <w:rPr>
          <w:rFonts w:ascii="Arial" w:eastAsia="Calibri" w:hAnsi="Arial" w:cs="Arial"/>
          <w:lang w:val="en-ZA"/>
        </w:rPr>
        <w:t>n</w:t>
      </w:r>
      <w:r w:rsidR="001E37C1" w:rsidRPr="004F7E53">
        <w:rPr>
          <w:rFonts w:ascii="Arial" w:eastAsia="Calibri" w:hAnsi="Arial" w:cs="Arial"/>
          <w:lang w:val="en-ZA"/>
        </w:rPr>
        <w:t>ding t</w:t>
      </w:r>
      <w:r w:rsidR="00CA1C96" w:rsidRPr="004F7E53">
        <w:rPr>
          <w:rFonts w:ascii="Arial" w:eastAsia="Calibri" w:hAnsi="Arial" w:cs="Arial"/>
          <w:lang w:val="en-ZA"/>
        </w:rPr>
        <w:t xml:space="preserve">hat </w:t>
      </w:r>
      <w:r w:rsidR="00CA1C96" w:rsidRPr="00193422">
        <w:rPr>
          <w:rFonts w:ascii="Arial" w:eastAsia="Calibri" w:hAnsi="Arial" w:cs="Arial"/>
          <w:lang w:val="en-ZA"/>
        </w:rPr>
        <w:t xml:space="preserve">the </w:t>
      </w:r>
      <w:r w:rsidR="00AB7545" w:rsidRPr="00193422">
        <w:rPr>
          <w:rFonts w:ascii="Arial" w:eastAsia="Calibri" w:hAnsi="Arial" w:cs="Arial"/>
          <w:lang w:val="en-ZA"/>
        </w:rPr>
        <w:t>forfeiture orders were validly made as</w:t>
      </w:r>
      <w:r w:rsidR="00AB7545">
        <w:rPr>
          <w:rFonts w:ascii="Arial" w:eastAsia="Calibri" w:hAnsi="Arial" w:cs="Arial"/>
          <w:lang w:val="en-ZA"/>
        </w:rPr>
        <w:t xml:space="preserve"> </w:t>
      </w:r>
      <w:r w:rsidR="007527E8">
        <w:rPr>
          <w:rFonts w:ascii="Arial" w:eastAsia="Calibri" w:hAnsi="Arial" w:cs="Arial"/>
          <w:lang w:val="en-ZA"/>
        </w:rPr>
        <w:t xml:space="preserve">the </w:t>
      </w:r>
      <w:r w:rsidR="00CA1C96" w:rsidRPr="004F7E53">
        <w:rPr>
          <w:rFonts w:ascii="Arial" w:eastAsia="Calibri" w:hAnsi="Arial" w:cs="Arial"/>
          <w:lang w:val="en-ZA"/>
        </w:rPr>
        <w:t>accounts were subject to</w:t>
      </w:r>
      <w:r w:rsidR="001E37C1" w:rsidRPr="004F7E53">
        <w:rPr>
          <w:rFonts w:ascii="Arial" w:eastAsia="Calibri" w:hAnsi="Arial" w:cs="Arial"/>
          <w:lang w:val="en-ZA"/>
        </w:rPr>
        <w:t xml:space="preserve"> valid blocking orders issued in terms of</w:t>
      </w:r>
      <w:r w:rsidR="000B52C3">
        <w:rPr>
          <w:rFonts w:ascii="Arial" w:eastAsia="Calibri" w:hAnsi="Arial" w:cs="Arial"/>
          <w:lang w:val="en-ZA"/>
        </w:rPr>
        <w:t xml:space="preserve"> either</w:t>
      </w:r>
      <w:r w:rsidR="001E37C1" w:rsidRPr="004F7E53">
        <w:rPr>
          <w:rFonts w:ascii="Arial" w:eastAsia="Calibri" w:hAnsi="Arial" w:cs="Arial"/>
          <w:lang w:val="en-ZA"/>
        </w:rPr>
        <w:t xml:space="preserve"> Regulation 22A </w:t>
      </w:r>
      <w:r w:rsidR="00E577BA" w:rsidRPr="004F7E53">
        <w:rPr>
          <w:rFonts w:ascii="Arial" w:eastAsia="Calibri" w:hAnsi="Arial" w:cs="Arial"/>
          <w:lang w:val="en-ZA"/>
        </w:rPr>
        <w:t>or</w:t>
      </w:r>
      <w:r w:rsidR="001E37C1" w:rsidRPr="004F7E53">
        <w:rPr>
          <w:rFonts w:ascii="Arial" w:eastAsia="Calibri" w:hAnsi="Arial" w:cs="Arial"/>
          <w:lang w:val="en-ZA"/>
        </w:rPr>
        <w:t xml:space="preserve"> 22C.</w:t>
      </w:r>
    </w:p>
    <w:p w14:paraId="76CF6CB9" w14:textId="77777777" w:rsidR="008A22FF" w:rsidRPr="00270C2D" w:rsidRDefault="008A22FF" w:rsidP="008A22FF">
      <w:pPr>
        <w:spacing w:line="480" w:lineRule="auto"/>
        <w:jc w:val="both"/>
        <w:rPr>
          <w:rFonts w:ascii="Arial" w:eastAsia="Calibri" w:hAnsi="Arial" w:cs="Arial"/>
          <w:lang w:val="en-ZA"/>
        </w:rPr>
      </w:pPr>
    </w:p>
    <w:p w14:paraId="43C9BD35" w14:textId="2C5DEE92" w:rsidR="001E37C1" w:rsidRPr="004F7E53" w:rsidRDefault="004F7E53" w:rsidP="004F7E53">
      <w:pPr>
        <w:spacing w:line="480" w:lineRule="auto"/>
        <w:jc w:val="both"/>
        <w:rPr>
          <w:rFonts w:ascii="Arial" w:eastAsia="Calibri" w:hAnsi="Arial" w:cs="Arial"/>
          <w:lang w:val="en-US"/>
        </w:rPr>
      </w:pPr>
      <w:r>
        <w:rPr>
          <w:rFonts w:ascii="Arial" w:eastAsia="Calibri" w:hAnsi="Arial" w:cs="Arial"/>
          <w:lang w:val="en-ZA"/>
        </w:rPr>
        <w:t>[16]</w:t>
      </w:r>
      <w:r>
        <w:rPr>
          <w:rFonts w:ascii="Arial" w:eastAsia="Calibri" w:hAnsi="Arial" w:cs="Arial"/>
          <w:lang w:val="en-ZA"/>
        </w:rPr>
        <w:tab/>
      </w:r>
      <w:r w:rsidR="001E37C1" w:rsidRPr="004F7E53">
        <w:rPr>
          <w:rFonts w:ascii="Arial" w:eastAsia="Calibri" w:hAnsi="Arial" w:cs="Arial"/>
          <w:lang w:val="en-ZA"/>
        </w:rPr>
        <w:t xml:space="preserve">As a result of the Reserve Bank’s refusal to accede to their demand, the liquidators, on 4 October 2019 approached the high court seeking the following relief: </w:t>
      </w:r>
    </w:p>
    <w:p w14:paraId="7FED0AF1" w14:textId="442EEBED" w:rsidR="001E37C1" w:rsidRPr="00CA1C96" w:rsidRDefault="00894684" w:rsidP="007E5F68">
      <w:pPr>
        <w:spacing w:line="480" w:lineRule="auto"/>
        <w:rPr>
          <w:rFonts w:ascii="Arial" w:eastAsia="Calibri" w:hAnsi="Arial" w:cs="Arial"/>
          <w:sz w:val="22"/>
          <w:szCs w:val="22"/>
          <w:lang w:val="en-US"/>
        </w:rPr>
      </w:pPr>
      <w:r w:rsidRPr="00CA1C96">
        <w:rPr>
          <w:rFonts w:ascii="Arial" w:eastAsia="Calibri" w:hAnsi="Arial" w:cs="Arial"/>
          <w:sz w:val="22"/>
          <w:szCs w:val="22"/>
          <w:lang w:val="en-US"/>
        </w:rPr>
        <w:t>‘1. That the following forfeiture orders are declared null and void and are hereby set aside namely:</w:t>
      </w:r>
    </w:p>
    <w:p w14:paraId="28B7A6E5" w14:textId="097C3982" w:rsidR="00894684" w:rsidRPr="000B3918" w:rsidRDefault="000B3918" w:rsidP="000B3918">
      <w:pPr>
        <w:spacing w:line="480" w:lineRule="auto"/>
        <w:ind w:left="360" w:hanging="360"/>
        <w:jc w:val="both"/>
        <w:rPr>
          <w:rFonts w:ascii="Arial" w:eastAsia="Calibri" w:hAnsi="Arial" w:cs="Arial"/>
          <w:sz w:val="22"/>
          <w:szCs w:val="22"/>
          <w:lang w:val="en-US"/>
        </w:rPr>
      </w:pPr>
      <w:r w:rsidRPr="00CA1C96">
        <w:rPr>
          <w:rFonts w:ascii="Arial" w:eastAsia="Calibri" w:hAnsi="Arial" w:cs="Arial"/>
          <w:sz w:val="22"/>
          <w:szCs w:val="22"/>
          <w:lang w:val="en-US"/>
        </w:rPr>
        <w:t>(a)</w:t>
      </w:r>
      <w:r w:rsidRPr="00CA1C96">
        <w:rPr>
          <w:rFonts w:ascii="Arial" w:eastAsia="Calibri" w:hAnsi="Arial" w:cs="Arial"/>
          <w:sz w:val="22"/>
          <w:szCs w:val="22"/>
          <w:lang w:val="en-US"/>
        </w:rPr>
        <w:tab/>
      </w:r>
      <w:r w:rsidR="00894684" w:rsidRPr="000B3918">
        <w:rPr>
          <w:rFonts w:ascii="Arial" w:eastAsia="Calibri" w:hAnsi="Arial" w:cs="Arial"/>
          <w:sz w:val="22"/>
          <w:szCs w:val="22"/>
          <w:lang w:val="en-US"/>
        </w:rPr>
        <w:t>notice 515 of 2018 which is annexure “JM6” annexed to the founding affidavit;</w:t>
      </w:r>
    </w:p>
    <w:p w14:paraId="4C4BECE7" w14:textId="2032A474" w:rsidR="00894684" w:rsidRPr="000B3918" w:rsidRDefault="000B3918" w:rsidP="000B3918">
      <w:pPr>
        <w:spacing w:line="480" w:lineRule="auto"/>
        <w:ind w:left="360" w:hanging="360"/>
        <w:jc w:val="both"/>
        <w:rPr>
          <w:rFonts w:ascii="Arial" w:eastAsia="Calibri" w:hAnsi="Arial" w:cs="Arial"/>
          <w:sz w:val="22"/>
          <w:szCs w:val="22"/>
          <w:lang w:val="en-US"/>
        </w:rPr>
      </w:pPr>
      <w:r w:rsidRPr="00CA1C96">
        <w:rPr>
          <w:rFonts w:ascii="Arial" w:eastAsia="Calibri" w:hAnsi="Arial" w:cs="Arial"/>
          <w:sz w:val="22"/>
          <w:szCs w:val="22"/>
          <w:lang w:val="en-US"/>
        </w:rPr>
        <w:t>(b)</w:t>
      </w:r>
      <w:r w:rsidRPr="00CA1C96">
        <w:rPr>
          <w:rFonts w:ascii="Arial" w:eastAsia="Calibri" w:hAnsi="Arial" w:cs="Arial"/>
          <w:sz w:val="22"/>
          <w:szCs w:val="22"/>
          <w:lang w:val="en-US"/>
        </w:rPr>
        <w:tab/>
      </w:r>
      <w:r w:rsidR="00894684" w:rsidRPr="000B3918">
        <w:rPr>
          <w:rFonts w:ascii="Arial" w:eastAsia="Calibri" w:hAnsi="Arial" w:cs="Arial"/>
          <w:sz w:val="22"/>
          <w:szCs w:val="22"/>
          <w:lang w:val="en-US"/>
        </w:rPr>
        <w:t>notice 527 of 2017 which is annexure “JM9” annexed to the founding affidavit;</w:t>
      </w:r>
    </w:p>
    <w:p w14:paraId="234F21B3" w14:textId="46C3C750" w:rsidR="00894684" w:rsidRPr="000B3918" w:rsidRDefault="000B3918" w:rsidP="000B3918">
      <w:pPr>
        <w:spacing w:line="480" w:lineRule="auto"/>
        <w:ind w:left="360" w:hanging="360"/>
        <w:jc w:val="both"/>
        <w:rPr>
          <w:rFonts w:ascii="Arial" w:eastAsia="Calibri" w:hAnsi="Arial" w:cs="Arial"/>
          <w:sz w:val="22"/>
          <w:szCs w:val="22"/>
          <w:lang w:val="en-US"/>
        </w:rPr>
      </w:pPr>
      <w:r w:rsidRPr="00CA1C96">
        <w:rPr>
          <w:rFonts w:ascii="Arial" w:eastAsia="Calibri" w:hAnsi="Arial" w:cs="Arial"/>
          <w:sz w:val="22"/>
          <w:szCs w:val="22"/>
          <w:lang w:val="en-US"/>
        </w:rPr>
        <w:t>(c)</w:t>
      </w:r>
      <w:r w:rsidRPr="00CA1C96">
        <w:rPr>
          <w:rFonts w:ascii="Arial" w:eastAsia="Calibri" w:hAnsi="Arial" w:cs="Arial"/>
          <w:sz w:val="22"/>
          <w:szCs w:val="22"/>
          <w:lang w:val="en-US"/>
        </w:rPr>
        <w:tab/>
      </w:r>
      <w:r w:rsidR="00894684" w:rsidRPr="000B3918">
        <w:rPr>
          <w:rFonts w:ascii="Arial" w:eastAsia="Calibri" w:hAnsi="Arial" w:cs="Arial"/>
          <w:sz w:val="22"/>
          <w:szCs w:val="22"/>
          <w:lang w:val="en-US"/>
        </w:rPr>
        <w:t>notice 514 of 2018 which is annexure “JM11” annexed to the founding affidavit.</w:t>
      </w:r>
    </w:p>
    <w:p w14:paraId="726610FE" w14:textId="0E6C43A7" w:rsidR="00894684" w:rsidRPr="00CA1C96" w:rsidRDefault="00CA1C96" w:rsidP="00AA6AA5">
      <w:pPr>
        <w:spacing w:line="480" w:lineRule="auto"/>
        <w:jc w:val="both"/>
        <w:rPr>
          <w:rFonts w:ascii="Arial" w:eastAsia="Calibri" w:hAnsi="Arial" w:cs="Arial"/>
          <w:sz w:val="22"/>
          <w:szCs w:val="22"/>
          <w:lang w:val="en-US"/>
        </w:rPr>
      </w:pPr>
      <w:r w:rsidRPr="00CA1C96">
        <w:rPr>
          <w:rFonts w:ascii="Arial" w:eastAsia="Calibri" w:hAnsi="Arial" w:cs="Arial"/>
          <w:sz w:val="22"/>
          <w:szCs w:val="22"/>
          <w:lang w:val="en-US"/>
        </w:rPr>
        <w:t>2. That the First Respondent, alternatively, the Second Respondent is directed to pay the amounts set forth in the aforementioned forfeiture orders together with interest thereon in the Applicant</w:t>
      </w:r>
      <w:r w:rsidRPr="00193422">
        <w:rPr>
          <w:rFonts w:ascii="Arial" w:eastAsia="Calibri" w:hAnsi="Arial" w:cs="Arial"/>
          <w:sz w:val="22"/>
          <w:szCs w:val="22"/>
          <w:lang w:val="en-US"/>
        </w:rPr>
        <w:t>s</w:t>
      </w:r>
      <w:r w:rsidR="00AB7545" w:rsidRPr="00193422">
        <w:rPr>
          <w:rFonts w:ascii="Arial" w:eastAsia="Calibri" w:hAnsi="Arial" w:cs="Arial"/>
          <w:sz w:val="22"/>
          <w:szCs w:val="22"/>
          <w:lang w:val="en-US"/>
        </w:rPr>
        <w:t>’</w:t>
      </w:r>
      <w:r w:rsidRPr="00CA1C96">
        <w:rPr>
          <w:rFonts w:ascii="Arial" w:eastAsia="Calibri" w:hAnsi="Arial" w:cs="Arial"/>
          <w:sz w:val="22"/>
          <w:szCs w:val="22"/>
          <w:lang w:val="en-US"/>
        </w:rPr>
        <w:t xml:space="preserve"> banking account, particulars of which follows-</w:t>
      </w:r>
    </w:p>
    <w:p w14:paraId="444EEB47" w14:textId="29D1F15C" w:rsidR="00CA1C96" w:rsidRPr="00CA1C96" w:rsidRDefault="00CA1C96" w:rsidP="00AA6AA5">
      <w:pPr>
        <w:spacing w:line="480" w:lineRule="auto"/>
        <w:jc w:val="both"/>
        <w:rPr>
          <w:rFonts w:ascii="Arial" w:eastAsia="Calibri" w:hAnsi="Arial" w:cs="Arial"/>
          <w:sz w:val="22"/>
          <w:szCs w:val="22"/>
          <w:lang w:val="en-US"/>
        </w:rPr>
      </w:pPr>
      <w:r w:rsidRPr="00CA1C96">
        <w:rPr>
          <w:rFonts w:ascii="Arial" w:eastAsia="Calibri" w:hAnsi="Arial" w:cs="Arial"/>
          <w:sz w:val="22"/>
          <w:szCs w:val="22"/>
          <w:lang w:val="en-US"/>
        </w:rPr>
        <w:t xml:space="preserve">Name of account- First </w:t>
      </w:r>
      <w:r w:rsidR="00804AA4">
        <w:rPr>
          <w:rFonts w:ascii="Arial" w:eastAsia="Calibri" w:hAnsi="Arial" w:cs="Arial"/>
          <w:sz w:val="22"/>
          <w:szCs w:val="22"/>
          <w:lang w:val="en-US"/>
        </w:rPr>
        <w:t>F</w:t>
      </w:r>
      <w:r w:rsidRPr="00CA1C96">
        <w:rPr>
          <w:rFonts w:ascii="Arial" w:eastAsia="Calibri" w:hAnsi="Arial" w:cs="Arial"/>
          <w:sz w:val="22"/>
          <w:szCs w:val="22"/>
          <w:lang w:val="en-US"/>
        </w:rPr>
        <w:t xml:space="preserve">inancial Business </w:t>
      </w:r>
      <w:r w:rsidR="00804AA4">
        <w:rPr>
          <w:rFonts w:ascii="Arial" w:eastAsia="Calibri" w:hAnsi="Arial" w:cs="Arial"/>
          <w:sz w:val="22"/>
          <w:szCs w:val="22"/>
          <w:lang w:val="en-US"/>
        </w:rPr>
        <w:t>R</w:t>
      </w:r>
      <w:r w:rsidRPr="00CA1C96">
        <w:rPr>
          <w:rFonts w:ascii="Arial" w:eastAsia="Calibri" w:hAnsi="Arial" w:cs="Arial"/>
          <w:sz w:val="22"/>
          <w:szCs w:val="22"/>
          <w:lang w:val="en-US"/>
        </w:rPr>
        <w:t>escue and Insolvency Practioners</w:t>
      </w:r>
    </w:p>
    <w:p w14:paraId="64250298" w14:textId="773FAE6E" w:rsidR="00CA1C96" w:rsidRPr="00CA1C96" w:rsidRDefault="00CA1C96" w:rsidP="00AA6AA5">
      <w:pPr>
        <w:spacing w:line="480" w:lineRule="auto"/>
        <w:jc w:val="both"/>
        <w:rPr>
          <w:rFonts w:ascii="Arial" w:eastAsia="Calibri" w:hAnsi="Arial" w:cs="Arial"/>
          <w:sz w:val="22"/>
          <w:szCs w:val="22"/>
          <w:lang w:val="en-US"/>
        </w:rPr>
      </w:pPr>
      <w:r w:rsidRPr="00CA1C96">
        <w:rPr>
          <w:rFonts w:ascii="Arial" w:eastAsia="Calibri" w:hAnsi="Arial" w:cs="Arial"/>
          <w:sz w:val="22"/>
          <w:szCs w:val="22"/>
          <w:lang w:val="en-US"/>
        </w:rPr>
        <w:t>Bank- Nedbank</w:t>
      </w:r>
    </w:p>
    <w:p w14:paraId="6113ADBE" w14:textId="129292F0" w:rsidR="00CA1C96" w:rsidRPr="00CA1C96" w:rsidRDefault="00CA1C96" w:rsidP="00AA6AA5">
      <w:pPr>
        <w:spacing w:line="480" w:lineRule="auto"/>
        <w:jc w:val="both"/>
        <w:rPr>
          <w:rFonts w:ascii="Arial" w:eastAsia="Calibri" w:hAnsi="Arial" w:cs="Arial"/>
          <w:sz w:val="22"/>
          <w:szCs w:val="22"/>
          <w:lang w:val="en-US"/>
        </w:rPr>
      </w:pPr>
      <w:r w:rsidRPr="00CA1C96">
        <w:rPr>
          <w:rFonts w:ascii="Arial" w:eastAsia="Calibri" w:hAnsi="Arial" w:cs="Arial"/>
          <w:sz w:val="22"/>
          <w:szCs w:val="22"/>
          <w:lang w:val="en-US"/>
        </w:rPr>
        <w:t>Branch code- 164826</w:t>
      </w:r>
    </w:p>
    <w:p w14:paraId="1C1BCA05" w14:textId="25B013FA" w:rsidR="00CA1C96" w:rsidRDefault="00CA1C96" w:rsidP="00AA6AA5">
      <w:pPr>
        <w:spacing w:line="480" w:lineRule="auto"/>
        <w:jc w:val="both"/>
        <w:rPr>
          <w:rFonts w:ascii="Arial" w:eastAsia="Calibri" w:hAnsi="Arial" w:cs="Arial"/>
          <w:sz w:val="22"/>
          <w:szCs w:val="22"/>
          <w:lang w:val="en-US"/>
        </w:rPr>
      </w:pPr>
      <w:r w:rsidRPr="00CA1C96">
        <w:rPr>
          <w:rFonts w:ascii="Arial" w:eastAsia="Calibri" w:hAnsi="Arial" w:cs="Arial"/>
          <w:sz w:val="22"/>
          <w:szCs w:val="22"/>
          <w:lang w:val="en-US"/>
        </w:rPr>
        <w:t>Account number-1062293010</w:t>
      </w:r>
    </w:p>
    <w:p w14:paraId="2C515DAD" w14:textId="4AF7C955" w:rsidR="00004CDD" w:rsidRDefault="00CA1C96" w:rsidP="00AA6AA5">
      <w:pPr>
        <w:spacing w:line="480" w:lineRule="auto"/>
        <w:jc w:val="both"/>
        <w:rPr>
          <w:rFonts w:ascii="Arial" w:eastAsia="Calibri" w:hAnsi="Arial" w:cs="Arial"/>
          <w:sz w:val="22"/>
          <w:szCs w:val="22"/>
          <w:lang w:val="en-US"/>
        </w:rPr>
      </w:pPr>
      <w:r>
        <w:rPr>
          <w:rFonts w:ascii="Arial" w:eastAsia="Calibri" w:hAnsi="Arial" w:cs="Arial"/>
          <w:sz w:val="22"/>
          <w:szCs w:val="22"/>
          <w:lang w:val="en-US"/>
        </w:rPr>
        <w:t xml:space="preserve">3. That the </w:t>
      </w:r>
      <w:r w:rsidR="00AB7545" w:rsidRPr="00193422">
        <w:rPr>
          <w:rFonts w:ascii="Arial" w:eastAsia="Calibri" w:hAnsi="Arial" w:cs="Arial"/>
          <w:sz w:val="22"/>
          <w:szCs w:val="22"/>
          <w:lang w:val="en-US"/>
        </w:rPr>
        <w:t>R</w:t>
      </w:r>
      <w:r>
        <w:rPr>
          <w:rFonts w:ascii="Arial" w:eastAsia="Calibri" w:hAnsi="Arial" w:cs="Arial"/>
          <w:sz w:val="22"/>
          <w:szCs w:val="22"/>
          <w:lang w:val="en-US"/>
        </w:rPr>
        <w:t xml:space="preserve">espondents are directed to file any claim or claims they may have against Sun Candle </w:t>
      </w:r>
      <w:r w:rsidR="00AB7545" w:rsidRPr="00193422">
        <w:rPr>
          <w:rFonts w:ascii="Arial" w:eastAsia="Calibri" w:hAnsi="Arial" w:cs="Arial"/>
          <w:sz w:val="22"/>
          <w:szCs w:val="22"/>
          <w:lang w:val="en-US"/>
        </w:rPr>
        <w:t>Products</w:t>
      </w:r>
      <w:r w:rsidR="00AB7545">
        <w:rPr>
          <w:rFonts w:ascii="Arial" w:eastAsia="Calibri" w:hAnsi="Arial" w:cs="Arial"/>
          <w:sz w:val="22"/>
          <w:szCs w:val="22"/>
          <w:lang w:val="en-US"/>
        </w:rPr>
        <w:t xml:space="preserve"> </w:t>
      </w:r>
      <w:r>
        <w:rPr>
          <w:rFonts w:ascii="Arial" w:eastAsia="Calibri" w:hAnsi="Arial" w:cs="Arial"/>
          <w:sz w:val="22"/>
          <w:szCs w:val="22"/>
          <w:lang w:val="en-US"/>
        </w:rPr>
        <w:t xml:space="preserve">(Pty) Ltd and Xinming </w:t>
      </w:r>
      <w:r w:rsidR="00AB7545" w:rsidRPr="00193422">
        <w:rPr>
          <w:rFonts w:ascii="Arial" w:eastAsia="Calibri" w:hAnsi="Arial" w:cs="Arial"/>
          <w:sz w:val="22"/>
          <w:szCs w:val="22"/>
          <w:lang w:val="en-US"/>
        </w:rPr>
        <w:t>Mountain Textile</w:t>
      </w:r>
      <w:r w:rsidR="00AB7545">
        <w:rPr>
          <w:rFonts w:ascii="Arial" w:eastAsia="Calibri" w:hAnsi="Arial" w:cs="Arial"/>
          <w:sz w:val="22"/>
          <w:szCs w:val="22"/>
          <w:lang w:val="en-US"/>
        </w:rPr>
        <w:t xml:space="preserve"> </w:t>
      </w:r>
      <w:r>
        <w:rPr>
          <w:rFonts w:ascii="Arial" w:eastAsia="Calibri" w:hAnsi="Arial" w:cs="Arial"/>
          <w:sz w:val="22"/>
          <w:szCs w:val="22"/>
          <w:lang w:val="en-US"/>
        </w:rPr>
        <w:t>(Pty) Ltd with the Applic</w:t>
      </w:r>
      <w:r w:rsidR="00325876">
        <w:rPr>
          <w:rFonts w:ascii="Arial" w:eastAsia="Calibri" w:hAnsi="Arial" w:cs="Arial"/>
          <w:sz w:val="22"/>
          <w:szCs w:val="22"/>
          <w:lang w:val="en-US"/>
        </w:rPr>
        <w:t>a</w:t>
      </w:r>
      <w:r>
        <w:rPr>
          <w:rFonts w:ascii="Arial" w:eastAsia="Calibri" w:hAnsi="Arial" w:cs="Arial"/>
          <w:sz w:val="22"/>
          <w:szCs w:val="22"/>
          <w:lang w:val="en-US"/>
        </w:rPr>
        <w:t xml:space="preserve">nts within 20 days of the date of the granting of this order whereupon the Applicants shall convene a special creditors’ meeting for the purpose of the </w:t>
      </w:r>
      <w:r w:rsidR="00325876">
        <w:rPr>
          <w:rFonts w:ascii="Arial" w:eastAsia="Calibri" w:hAnsi="Arial" w:cs="Arial"/>
          <w:sz w:val="22"/>
          <w:szCs w:val="22"/>
          <w:lang w:val="en-US"/>
        </w:rPr>
        <w:t>r</w:t>
      </w:r>
      <w:r>
        <w:rPr>
          <w:rFonts w:ascii="Arial" w:eastAsia="Calibri" w:hAnsi="Arial" w:cs="Arial"/>
          <w:sz w:val="22"/>
          <w:szCs w:val="22"/>
          <w:lang w:val="en-US"/>
        </w:rPr>
        <w:t>espondents proving such claims as they may have.’</w:t>
      </w:r>
    </w:p>
    <w:p w14:paraId="65A96FC7" w14:textId="77777777" w:rsidR="006F721D" w:rsidRPr="006F721D" w:rsidRDefault="006F721D" w:rsidP="00AA6AA5">
      <w:pPr>
        <w:spacing w:line="480" w:lineRule="auto"/>
        <w:jc w:val="both"/>
        <w:rPr>
          <w:rFonts w:ascii="Arial" w:eastAsia="Calibri" w:hAnsi="Arial" w:cs="Arial"/>
          <w:sz w:val="22"/>
          <w:szCs w:val="22"/>
          <w:lang w:val="en-US"/>
        </w:rPr>
      </w:pPr>
    </w:p>
    <w:p w14:paraId="67343E47" w14:textId="513C82EC" w:rsidR="006F721D" w:rsidRPr="004F7E53" w:rsidRDefault="004F7E53" w:rsidP="004F7E53">
      <w:pPr>
        <w:spacing w:line="480" w:lineRule="auto"/>
        <w:jc w:val="both"/>
        <w:rPr>
          <w:rFonts w:ascii="Arial" w:eastAsia="Calibri" w:hAnsi="Arial" w:cs="Arial"/>
          <w:sz w:val="22"/>
          <w:szCs w:val="22"/>
          <w:lang w:val="en-US"/>
        </w:rPr>
      </w:pPr>
      <w:r>
        <w:rPr>
          <w:rFonts w:ascii="Arial" w:eastAsia="Calibri" w:hAnsi="Arial" w:cs="Arial"/>
          <w:lang w:val="en-US"/>
        </w:rPr>
        <w:t>[17]</w:t>
      </w:r>
      <w:r>
        <w:rPr>
          <w:rFonts w:ascii="Arial" w:eastAsia="Calibri" w:hAnsi="Arial" w:cs="Arial"/>
          <w:lang w:val="en-US"/>
        </w:rPr>
        <w:tab/>
      </w:r>
      <w:r w:rsidR="006F721D" w:rsidRPr="004F7E53">
        <w:rPr>
          <w:rFonts w:ascii="Arial" w:eastAsia="Calibri" w:hAnsi="Arial" w:cs="Arial"/>
          <w:lang w:val="en-US"/>
        </w:rPr>
        <w:t>The basis upon which the liquidators sought the order</w:t>
      </w:r>
      <w:r w:rsidR="00A3645C" w:rsidRPr="004F7E53">
        <w:rPr>
          <w:rFonts w:ascii="Arial" w:eastAsia="Calibri" w:hAnsi="Arial" w:cs="Arial"/>
          <w:lang w:val="en-US"/>
        </w:rPr>
        <w:t xml:space="preserve"> </w:t>
      </w:r>
      <w:r w:rsidR="006F721D" w:rsidRPr="004F7E53">
        <w:rPr>
          <w:rFonts w:ascii="Arial" w:eastAsia="Calibri" w:hAnsi="Arial" w:cs="Arial"/>
          <w:lang w:val="en-US"/>
        </w:rPr>
        <w:t>is summari</w:t>
      </w:r>
      <w:r w:rsidR="00DE240E">
        <w:rPr>
          <w:rFonts w:ascii="Arial" w:eastAsia="Calibri" w:hAnsi="Arial" w:cs="Arial"/>
          <w:lang w:val="en-US"/>
        </w:rPr>
        <w:t>s</w:t>
      </w:r>
      <w:r w:rsidR="006F721D" w:rsidRPr="004F7E53">
        <w:rPr>
          <w:rFonts w:ascii="Arial" w:eastAsia="Calibri" w:hAnsi="Arial" w:cs="Arial"/>
          <w:lang w:val="en-US"/>
        </w:rPr>
        <w:t>ed as follows in the</w:t>
      </w:r>
      <w:r w:rsidR="00E577BA" w:rsidRPr="004F7E53">
        <w:rPr>
          <w:rFonts w:ascii="Arial" w:eastAsia="Calibri" w:hAnsi="Arial" w:cs="Arial"/>
          <w:lang w:val="en-US"/>
        </w:rPr>
        <w:t>ir founding</w:t>
      </w:r>
      <w:r w:rsidR="006F721D" w:rsidRPr="004F7E53">
        <w:rPr>
          <w:rFonts w:ascii="Arial" w:eastAsia="Calibri" w:hAnsi="Arial" w:cs="Arial"/>
          <w:lang w:val="en-US"/>
        </w:rPr>
        <w:t xml:space="preserve"> affidavit:</w:t>
      </w:r>
    </w:p>
    <w:p w14:paraId="4C705F3A" w14:textId="12184AFA" w:rsidR="006F721D" w:rsidRDefault="006F721D" w:rsidP="00AA6AA5">
      <w:pPr>
        <w:pStyle w:val="ListParagraph"/>
        <w:spacing w:line="480" w:lineRule="auto"/>
        <w:ind w:left="0"/>
        <w:jc w:val="both"/>
        <w:rPr>
          <w:rFonts w:ascii="Arial" w:eastAsia="Calibri" w:hAnsi="Arial" w:cs="Arial"/>
          <w:sz w:val="22"/>
          <w:szCs w:val="22"/>
          <w:lang w:val="en-US"/>
        </w:rPr>
      </w:pPr>
      <w:r w:rsidRPr="006F721D">
        <w:rPr>
          <w:rFonts w:ascii="Arial" w:eastAsia="Calibri" w:hAnsi="Arial" w:cs="Arial"/>
          <w:sz w:val="22"/>
          <w:szCs w:val="22"/>
          <w:lang w:val="en-US"/>
        </w:rPr>
        <w:t>‘ I submit:</w:t>
      </w:r>
    </w:p>
    <w:p w14:paraId="57B1265F" w14:textId="76CF7D0B" w:rsidR="006F721D" w:rsidRPr="000B3918" w:rsidRDefault="000B3918" w:rsidP="000B3918">
      <w:pPr>
        <w:spacing w:line="480" w:lineRule="auto"/>
        <w:ind w:left="360" w:hanging="360"/>
        <w:jc w:val="both"/>
        <w:rPr>
          <w:rFonts w:ascii="Arial" w:eastAsia="Calibri" w:hAnsi="Arial" w:cs="Arial"/>
          <w:i/>
          <w:sz w:val="22"/>
          <w:szCs w:val="22"/>
          <w:lang w:val="en-US"/>
        </w:rPr>
      </w:pPr>
      <w:r w:rsidRPr="006F721D">
        <w:rPr>
          <w:rFonts w:ascii="Arial" w:eastAsia="Calibri" w:hAnsi="Arial" w:cs="Arial"/>
          <w:sz w:val="22"/>
          <w:szCs w:val="22"/>
          <w:lang w:val="en-US"/>
        </w:rPr>
        <w:t>(a)</w:t>
      </w:r>
      <w:r w:rsidRPr="006F721D">
        <w:rPr>
          <w:rFonts w:ascii="Arial" w:eastAsia="Calibri" w:hAnsi="Arial" w:cs="Arial"/>
          <w:sz w:val="22"/>
          <w:szCs w:val="22"/>
          <w:lang w:val="en-US"/>
        </w:rPr>
        <w:tab/>
      </w:r>
      <w:r w:rsidR="006F721D" w:rsidRPr="000B3918">
        <w:rPr>
          <w:rFonts w:ascii="Arial" w:eastAsia="Calibri" w:hAnsi="Arial" w:cs="Arial"/>
          <w:sz w:val="22"/>
          <w:szCs w:val="22"/>
          <w:lang w:val="en-US"/>
        </w:rPr>
        <w:t>that by virtue of the winding</w:t>
      </w:r>
      <w:r w:rsidR="00325876" w:rsidRPr="000B3918">
        <w:rPr>
          <w:rFonts w:ascii="Arial" w:eastAsia="Calibri" w:hAnsi="Arial" w:cs="Arial"/>
          <w:sz w:val="22"/>
          <w:szCs w:val="22"/>
          <w:lang w:val="en-US"/>
        </w:rPr>
        <w:t>-</w:t>
      </w:r>
      <w:r w:rsidR="006F721D" w:rsidRPr="000B3918">
        <w:rPr>
          <w:rFonts w:ascii="Arial" w:eastAsia="Calibri" w:hAnsi="Arial" w:cs="Arial"/>
          <w:sz w:val="22"/>
          <w:szCs w:val="22"/>
          <w:lang w:val="en-US"/>
        </w:rPr>
        <w:t xml:space="preserve">up and the establishment of the </w:t>
      </w:r>
      <w:r w:rsidR="006F721D" w:rsidRPr="000B3918">
        <w:rPr>
          <w:rFonts w:ascii="Arial" w:eastAsia="Calibri" w:hAnsi="Arial" w:cs="Arial"/>
          <w:i/>
          <w:sz w:val="22"/>
          <w:szCs w:val="22"/>
          <w:lang w:val="en-US"/>
        </w:rPr>
        <w:t>concursus creditorum</w:t>
      </w:r>
      <w:r w:rsidR="006F721D" w:rsidRPr="000B3918">
        <w:rPr>
          <w:rFonts w:ascii="Arial" w:eastAsia="Calibri" w:hAnsi="Arial" w:cs="Arial"/>
          <w:sz w:val="22"/>
          <w:szCs w:val="22"/>
          <w:lang w:val="en-US"/>
        </w:rPr>
        <w:t xml:space="preserve"> on 13 February 2017 the monies held in the bank accounts to the credit of Sun Candle and Xinming fall into the insolvent estates and are subject to the provisions of section 91</w:t>
      </w:r>
      <w:r w:rsidR="00DE240E" w:rsidRPr="000B3918">
        <w:rPr>
          <w:rFonts w:ascii="Arial" w:eastAsia="Calibri" w:hAnsi="Arial" w:cs="Arial"/>
          <w:sz w:val="22"/>
          <w:szCs w:val="22"/>
          <w:lang w:val="en-US"/>
        </w:rPr>
        <w:t>,</w:t>
      </w:r>
      <w:r w:rsidR="006F721D" w:rsidRPr="000B3918">
        <w:rPr>
          <w:rFonts w:ascii="Arial" w:eastAsia="Calibri" w:hAnsi="Arial" w:cs="Arial"/>
          <w:sz w:val="22"/>
          <w:szCs w:val="22"/>
          <w:lang w:val="en-US"/>
        </w:rPr>
        <w:t xml:space="preserve"> 391 and section 342 of the (old) </w:t>
      </w:r>
      <w:r w:rsidR="00325876" w:rsidRPr="000B3918">
        <w:rPr>
          <w:rFonts w:ascii="Arial" w:eastAsia="Calibri" w:hAnsi="Arial" w:cs="Arial"/>
          <w:sz w:val="22"/>
          <w:szCs w:val="22"/>
          <w:lang w:val="en-US"/>
        </w:rPr>
        <w:t>C</w:t>
      </w:r>
      <w:r w:rsidR="006F721D" w:rsidRPr="000B3918">
        <w:rPr>
          <w:rFonts w:ascii="Arial" w:eastAsia="Calibri" w:hAnsi="Arial" w:cs="Arial"/>
          <w:sz w:val="22"/>
          <w:szCs w:val="22"/>
          <w:lang w:val="en-US"/>
        </w:rPr>
        <w:t>ompanies Act.</w:t>
      </w:r>
    </w:p>
    <w:p w14:paraId="773232E0" w14:textId="13A7287E" w:rsidR="006F721D" w:rsidRPr="000B3918" w:rsidRDefault="000B3918" w:rsidP="000B3918">
      <w:pPr>
        <w:spacing w:line="480" w:lineRule="auto"/>
        <w:ind w:left="360" w:hanging="360"/>
        <w:jc w:val="both"/>
        <w:rPr>
          <w:rFonts w:ascii="Arial" w:eastAsia="Calibri" w:hAnsi="Arial" w:cs="Arial"/>
          <w:i/>
          <w:sz w:val="22"/>
          <w:szCs w:val="22"/>
          <w:lang w:val="en-US"/>
        </w:rPr>
      </w:pPr>
      <w:r w:rsidRPr="006F721D">
        <w:rPr>
          <w:rFonts w:ascii="Arial" w:eastAsia="Calibri" w:hAnsi="Arial" w:cs="Arial"/>
          <w:sz w:val="22"/>
          <w:szCs w:val="22"/>
          <w:lang w:val="en-US"/>
        </w:rPr>
        <w:t>(b)</w:t>
      </w:r>
      <w:r w:rsidRPr="006F721D">
        <w:rPr>
          <w:rFonts w:ascii="Arial" w:eastAsia="Calibri" w:hAnsi="Arial" w:cs="Arial"/>
          <w:sz w:val="22"/>
          <w:szCs w:val="22"/>
          <w:lang w:val="en-US"/>
        </w:rPr>
        <w:tab/>
      </w:r>
      <w:r w:rsidR="006F721D" w:rsidRPr="000B3918">
        <w:rPr>
          <w:rFonts w:ascii="Arial" w:eastAsia="Calibri" w:hAnsi="Arial" w:cs="Arial"/>
          <w:sz w:val="22"/>
          <w:szCs w:val="22"/>
          <w:lang w:val="en-US"/>
        </w:rPr>
        <w:t>that the Applicants in their capacity as liquidators are under statutory duty to take possession of these assets;</w:t>
      </w:r>
    </w:p>
    <w:p w14:paraId="7AF16C48" w14:textId="34AC89F3" w:rsidR="006F721D" w:rsidRPr="000B3918" w:rsidRDefault="000B3918" w:rsidP="000B3918">
      <w:pPr>
        <w:spacing w:line="480" w:lineRule="auto"/>
        <w:ind w:left="360" w:hanging="360"/>
        <w:jc w:val="both"/>
        <w:rPr>
          <w:rFonts w:ascii="Arial" w:eastAsia="Calibri" w:hAnsi="Arial" w:cs="Arial"/>
          <w:i/>
          <w:sz w:val="22"/>
          <w:szCs w:val="22"/>
          <w:lang w:val="en-US"/>
        </w:rPr>
      </w:pPr>
      <w:r w:rsidRPr="009B20EF">
        <w:rPr>
          <w:rFonts w:ascii="Arial" w:eastAsia="Calibri" w:hAnsi="Arial" w:cs="Arial"/>
          <w:sz w:val="22"/>
          <w:szCs w:val="22"/>
          <w:lang w:val="en-US"/>
        </w:rPr>
        <w:t>(c)</w:t>
      </w:r>
      <w:r w:rsidRPr="009B20EF">
        <w:rPr>
          <w:rFonts w:ascii="Arial" w:eastAsia="Calibri" w:hAnsi="Arial" w:cs="Arial"/>
          <w:sz w:val="22"/>
          <w:szCs w:val="22"/>
          <w:lang w:val="en-US"/>
        </w:rPr>
        <w:tab/>
      </w:r>
      <w:r w:rsidR="009B20EF" w:rsidRPr="000B3918">
        <w:rPr>
          <w:rFonts w:ascii="Arial" w:eastAsia="Calibri" w:hAnsi="Arial" w:cs="Arial"/>
          <w:sz w:val="22"/>
          <w:szCs w:val="22"/>
          <w:lang w:val="en-US"/>
        </w:rPr>
        <w:t xml:space="preserve">that the </w:t>
      </w:r>
      <w:r w:rsidR="00325876" w:rsidRPr="000B3918">
        <w:rPr>
          <w:rFonts w:ascii="Arial" w:eastAsia="Calibri" w:hAnsi="Arial" w:cs="Arial"/>
          <w:sz w:val="22"/>
          <w:szCs w:val="22"/>
          <w:lang w:val="en-US"/>
        </w:rPr>
        <w:t>f</w:t>
      </w:r>
      <w:r w:rsidR="009B20EF" w:rsidRPr="000B3918">
        <w:rPr>
          <w:rFonts w:ascii="Arial" w:eastAsia="Calibri" w:hAnsi="Arial" w:cs="Arial"/>
          <w:sz w:val="22"/>
          <w:szCs w:val="22"/>
          <w:lang w:val="en-US"/>
        </w:rPr>
        <w:t xml:space="preserve">irst </w:t>
      </w:r>
      <w:r w:rsidR="00325876" w:rsidRPr="000B3918">
        <w:rPr>
          <w:rFonts w:ascii="Arial" w:eastAsia="Calibri" w:hAnsi="Arial" w:cs="Arial"/>
          <w:sz w:val="22"/>
          <w:szCs w:val="22"/>
          <w:lang w:val="en-US"/>
        </w:rPr>
        <w:t>r</w:t>
      </w:r>
      <w:r w:rsidR="009B20EF" w:rsidRPr="000B3918">
        <w:rPr>
          <w:rFonts w:ascii="Arial" w:eastAsia="Calibri" w:hAnsi="Arial" w:cs="Arial"/>
          <w:sz w:val="22"/>
          <w:szCs w:val="22"/>
          <w:lang w:val="en-US"/>
        </w:rPr>
        <w:t>espondent does not have any superior right to these funds in preference to the rights of proved creditors and, in particular, the South African Revenue Service, which has proved claims as set forth in annexures “JM18”;</w:t>
      </w:r>
    </w:p>
    <w:p w14:paraId="7D2643F9" w14:textId="5DCADEDA" w:rsidR="006F721D" w:rsidRPr="000B3918" w:rsidRDefault="000B3918" w:rsidP="000B3918">
      <w:pPr>
        <w:spacing w:line="480" w:lineRule="auto"/>
        <w:ind w:left="360" w:hanging="360"/>
        <w:jc w:val="both"/>
        <w:rPr>
          <w:rFonts w:ascii="Arial" w:eastAsia="Calibri" w:hAnsi="Arial" w:cs="Arial"/>
          <w:i/>
          <w:sz w:val="22"/>
          <w:szCs w:val="22"/>
          <w:lang w:val="en-US"/>
        </w:rPr>
      </w:pPr>
      <w:r w:rsidRPr="004F7E53">
        <w:rPr>
          <w:rFonts w:ascii="Arial" w:eastAsia="Calibri" w:hAnsi="Arial" w:cs="Arial"/>
          <w:sz w:val="22"/>
          <w:szCs w:val="22"/>
          <w:lang w:val="en-US"/>
        </w:rPr>
        <w:t>(d)</w:t>
      </w:r>
      <w:r w:rsidRPr="004F7E53">
        <w:rPr>
          <w:rFonts w:ascii="Arial" w:eastAsia="Calibri" w:hAnsi="Arial" w:cs="Arial"/>
          <w:sz w:val="22"/>
          <w:szCs w:val="22"/>
          <w:lang w:val="en-US"/>
        </w:rPr>
        <w:tab/>
      </w:r>
      <w:r w:rsidR="009B20EF" w:rsidRPr="000B3918">
        <w:rPr>
          <w:rFonts w:ascii="Arial" w:eastAsia="Calibri" w:hAnsi="Arial" w:cs="Arial"/>
          <w:sz w:val="22"/>
          <w:szCs w:val="22"/>
          <w:lang w:val="en-US"/>
        </w:rPr>
        <w:t xml:space="preserve">that the </w:t>
      </w:r>
      <w:r w:rsidR="00325876" w:rsidRPr="000B3918">
        <w:rPr>
          <w:rFonts w:ascii="Arial" w:eastAsia="Calibri" w:hAnsi="Arial" w:cs="Arial"/>
          <w:sz w:val="22"/>
          <w:szCs w:val="22"/>
          <w:lang w:val="en-US"/>
        </w:rPr>
        <w:t>f</w:t>
      </w:r>
      <w:r w:rsidR="009B20EF" w:rsidRPr="000B3918">
        <w:rPr>
          <w:rFonts w:ascii="Arial" w:eastAsia="Calibri" w:hAnsi="Arial" w:cs="Arial"/>
          <w:sz w:val="22"/>
          <w:szCs w:val="22"/>
          <w:lang w:val="en-US"/>
        </w:rPr>
        <w:t xml:space="preserve">irst </w:t>
      </w:r>
      <w:r w:rsidR="00325876" w:rsidRPr="000B3918">
        <w:rPr>
          <w:rFonts w:ascii="Arial" w:eastAsia="Calibri" w:hAnsi="Arial" w:cs="Arial"/>
          <w:sz w:val="22"/>
          <w:szCs w:val="22"/>
          <w:lang w:val="en-US"/>
        </w:rPr>
        <w:t>r</w:t>
      </w:r>
      <w:r w:rsidR="009B20EF" w:rsidRPr="000B3918">
        <w:rPr>
          <w:rFonts w:ascii="Arial" w:eastAsia="Calibri" w:hAnsi="Arial" w:cs="Arial"/>
          <w:sz w:val="22"/>
          <w:szCs w:val="22"/>
          <w:lang w:val="en-US"/>
        </w:rPr>
        <w:t>espondent mistakenly believes that it is not bound</w:t>
      </w:r>
      <w:r w:rsidR="003B4DB5" w:rsidRPr="000B3918">
        <w:rPr>
          <w:rFonts w:ascii="Arial" w:eastAsia="Calibri" w:hAnsi="Arial" w:cs="Arial"/>
          <w:sz w:val="22"/>
          <w:szCs w:val="22"/>
          <w:lang w:val="en-US"/>
        </w:rPr>
        <w:t xml:space="preserve"> by the aforementioned proviosions of the Companies Act and that it can act in disregard of the statutory duties of the </w:t>
      </w:r>
      <w:r w:rsidR="00325876" w:rsidRPr="000B3918">
        <w:rPr>
          <w:rFonts w:ascii="Arial" w:eastAsia="Calibri" w:hAnsi="Arial" w:cs="Arial"/>
          <w:sz w:val="22"/>
          <w:szCs w:val="22"/>
          <w:lang w:val="en-US"/>
        </w:rPr>
        <w:t>a</w:t>
      </w:r>
      <w:r w:rsidR="003B4DB5" w:rsidRPr="000B3918">
        <w:rPr>
          <w:rFonts w:ascii="Arial" w:eastAsia="Calibri" w:hAnsi="Arial" w:cs="Arial"/>
          <w:sz w:val="22"/>
          <w:szCs w:val="22"/>
          <w:lang w:val="en-US"/>
        </w:rPr>
        <w:t>pplicants…’</w:t>
      </w:r>
    </w:p>
    <w:p w14:paraId="2F386092" w14:textId="77777777" w:rsidR="004F7E53" w:rsidRPr="00E577BA" w:rsidRDefault="004F7E53" w:rsidP="004F7E53">
      <w:pPr>
        <w:pStyle w:val="ListParagraph"/>
        <w:spacing w:line="480" w:lineRule="auto"/>
        <w:ind w:left="360"/>
        <w:jc w:val="both"/>
        <w:rPr>
          <w:rFonts w:ascii="Arial" w:eastAsia="Calibri" w:hAnsi="Arial" w:cs="Arial"/>
          <w:i/>
          <w:sz w:val="22"/>
          <w:szCs w:val="22"/>
          <w:lang w:val="en-US"/>
        </w:rPr>
      </w:pPr>
    </w:p>
    <w:p w14:paraId="69FE43BC" w14:textId="3C3D41DC" w:rsidR="00CE38BB" w:rsidRPr="004F7E53" w:rsidRDefault="004F7E53" w:rsidP="004F7E53">
      <w:pPr>
        <w:spacing w:line="480" w:lineRule="auto"/>
        <w:jc w:val="both"/>
        <w:rPr>
          <w:rFonts w:ascii="Arial" w:eastAsia="Calibri" w:hAnsi="Arial" w:cs="Arial"/>
          <w:sz w:val="22"/>
          <w:szCs w:val="22"/>
          <w:lang w:val="en-US"/>
        </w:rPr>
      </w:pPr>
      <w:r>
        <w:rPr>
          <w:rFonts w:ascii="Arial" w:eastAsia="Calibri" w:hAnsi="Arial" w:cs="Arial"/>
          <w:lang w:val="en-US"/>
        </w:rPr>
        <w:t>[18]</w:t>
      </w:r>
      <w:r>
        <w:rPr>
          <w:rFonts w:ascii="Arial" w:eastAsia="Calibri" w:hAnsi="Arial" w:cs="Arial"/>
          <w:lang w:val="en-US"/>
        </w:rPr>
        <w:tab/>
      </w:r>
      <w:r w:rsidR="00E577BA" w:rsidRPr="004F7E53">
        <w:rPr>
          <w:rFonts w:ascii="Arial" w:eastAsia="Calibri" w:hAnsi="Arial" w:cs="Arial"/>
          <w:lang w:val="en-US"/>
        </w:rPr>
        <w:t xml:space="preserve">At the hearing before the high court, the liquidators in the alternative sought an order declaring that the monies referred to in the forfeiture orders vest in them. </w:t>
      </w:r>
      <w:r w:rsidR="003B4DB5" w:rsidRPr="004F7E53">
        <w:rPr>
          <w:rFonts w:ascii="Arial" w:eastAsia="Calibri" w:hAnsi="Arial" w:cs="Arial"/>
          <w:lang w:val="en-US"/>
        </w:rPr>
        <w:t>The</w:t>
      </w:r>
      <w:r w:rsidR="00E577BA" w:rsidRPr="004F7E53">
        <w:rPr>
          <w:rFonts w:ascii="Arial" w:eastAsia="Calibri" w:hAnsi="Arial" w:cs="Arial"/>
          <w:lang w:val="en-US"/>
        </w:rPr>
        <w:t>y  contended</w:t>
      </w:r>
      <w:r w:rsidR="003B4DB5" w:rsidRPr="004F7E53">
        <w:rPr>
          <w:rFonts w:ascii="Arial" w:eastAsia="Calibri" w:hAnsi="Arial" w:cs="Arial"/>
          <w:lang w:val="en-US"/>
        </w:rPr>
        <w:t xml:space="preserve"> that the liquidation of the two companies had the legal effect of vesting  monies standing to the credit of the banking accounts in them and that</w:t>
      </w:r>
      <w:r w:rsidR="00DE240E">
        <w:rPr>
          <w:rFonts w:ascii="Arial" w:eastAsia="Calibri" w:hAnsi="Arial" w:cs="Arial"/>
          <w:lang w:val="en-US"/>
        </w:rPr>
        <w:t>,</w:t>
      </w:r>
      <w:r w:rsidR="003B4DB5" w:rsidRPr="004F7E53">
        <w:rPr>
          <w:rFonts w:ascii="Arial" w:eastAsia="Calibri" w:hAnsi="Arial" w:cs="Arial"/>
          <w:lang w:val="en-US"/>
        </w:rPr>
        <w:t xml:space="preserve"> therefore</w:t>
      </w:r>
      <w:r w:rsidR="00DE240E">
        <w:rPr>
          <w:rFonts w:ascii="Arial" w:eastAsia="Calibri" w:hAnsi="Arial" w:cs="Arial"/>
          <w:lang w:val="en-US"/>
        </w:rPr>
        <w:t>,</w:t>
      </w:r>
      <w:r w:rsidR="003B4DB5" w:rsidRPr="004F7E53">
        <w:rPr>
          <w:rFonts w:ascii="Arial" w:eastAsia="Calibri" w:hAnsi="Arial" w:cs="Arial"/>
          <w:lang w:val="en-US"/>
        </w:rPr>
        <w:t xml:space="preserve"> the issue of forfeiture orders in terms of Regulation 22B ceased to be legally competent.</w:t>
      </w:r>
      <w:r w:rsidR="002C1444" w:rsidRPr="004F7E53">
        <w:rPr>
          <w:rFonts w:ascii="Arial" w:eastAsia="Calibri" w:hAnsi="Arial" w:cs="Arial"/>
          <w:lang w:val="en-US"/>
        </w:rPr>
        <w:t xml:space="preserve"> </w:t>
      </w:r>
      <w:r w:rsidR="003B4DB5" w:rsidRPr="004F7E53">
        <w:rPr>
          <w:rFonts w:ascii="Arial" w:eastAsia="Calibri" w:hAnsi="Arial" w:cs="Arial"/>
          <w:lang w:val="en-US"/>
        </w:rPr>
        <w:t>The liquidators asserted fu</w:t>
      </w:r>
      <w:r w:rsidR="00CE38BB" w:rsidRPr="004F7E53">
        <w:rPr>
          <w:rFonts w:ascii="Arial" w:eastAsia="Calibri" w:hAnsi="Arial" w:cs="Arial"/>
          <w:lang w:val="en-US"/>
        </w:rPr>
        <w:t xml:space="preserve">rther that the publication of the forfeiture </w:t>
      </w:r>
      <w:r w:rsidR="002060FE" w:rsidRPr="007F5C66">
        <w:rPr>
          <w:rFonts w:ascii="Arial" w:eastAsia="Calibri" w:hAnsi="Arial" w:cs="Arial"/>
          <w:lang w:val="en-US"/>
        </w:rPr>
        <w:t>order</w:t>
      </w:r>
      <w:r w:rsidR="002060FE">
        <w:rPr>
          <w:rFonts w:ascii="Arial" w:eastAsia="Calibri" w:hAnsi="Arial" w:cs="Arial"/>
          <w:lang w:val="en-US"/>
        </w:rPr>
        <w:t xml:space="preserve"> </w:t>
      </w:r>
      <w:r w:rsidR="00CE38BB" w:rsidRPr="004F7E53">
        <w:rPr>
          <w:rFonts w:ascii="Arial" w:eastAsia="Calibri" w:hAnsi="Arial" w:cs="Arial"/>
          <w:lang w:val="en-US"/>
        </w:rPr>
        <w:t>after 13 February 2017 was a nullity because they had already been empo</w:t>
      </w:r>
      <w:r w:rsidR="00325876" w:rsidRPr="004F7E53">
        <w:rPr>
          <w:rFonts w:ascii="Arial" w:eastAsia="Calibri" w:hAnsi="Arial" w:cs="Arial"/>
          <w:lang w:val="en-US"/>
        </w:rPr>
        <w:t>we</w:t>
      </w:r>
      <w:r w:rsidR="00CE38BB" w:rsidRPr="004F7E53">
        <w:rPr>
          <w:rFonts w:ascii="Arial" w:eastAsia="Calibri" w:hAnsi="Arial" w:cs="Arial"/>
          <w:lang w:val="en-US"/>
        </w:rPr>
        <w:t xml:space="preserve">red to take control of the assets of </w:t>
      </w:r>
      <w:r w:rsidR="00BB7D29" w:rsidRPr="004F7E53">
        <w:rPr>
          <w:rFonts w:ascii="Arial" w:eastAsia="Calibri" w:hAnsi="Arial" w:cs="Arial"/>
          <w:lang w:val="en-US"/>
        </w:rPr>
        <w:t>the two companies</w:t>
      </w:r>
      <w:r w:rsidR="00CE38BB" w:rsidRPr="004F7E53">
        <w:rPr>
          <w:rFonts w:ascii="Arial" w:eastAsia="Calibri" w:hAnsi="Arial" w:cs="Arial"/>
          <w:lang w:val="en-US"/>
        </w:rPr>
        <w:t xml:space="preserve">. They </w:t>
      </w:r>
      <w:r w:rsidR="00BB7D29" w:rsidRPr="004F7E53">
        <w:rPr>
          <w:rFonts w:ascii="Arial" w:eastAsia="Calibri" w:hAnsi="Arial" w:cs="Arial"/>
          <w:lang w:val="en-US"/>
        </w:rPr>
        <w:t xml:space="preserve">further </w:t>
      </w:r>
      <w:r w:rsidR="00CE38BB" w:rsidRPr="004F7E53">
        <w:rPr>
          <w:rFonts w:ascii="Arial" w:eastAsia="Calibri" w:hAnsi="Arial" w:cs="Arial"/>
          <w:lang w:val="en-US"/>
        </w:rPr>
        <w:t xml:space="preserve">contended that after the commencement of </w:t>
      </w:r>
      <w:r w:rsidR="00CE38BB" w:rsidRPr="004F7E53">
        <w:rPr>
          <w:rFonts w:ascii="Arial" w:eastAsia="Calibri" w:hAnsi="Arial" w:cs="Arial"/>
          <w:i/>
          <w:lang w:val="en-US"/>
        </w:rPr>
        <w:t>concurs</w:t>
      </w:r>
      <w:r w:rsidR="007E6614" w:rsidRPr="004F7E53">
        <w:rPr>
          <w:rFonts w:ascii="Arial" w:eastAsia="Calibri" w:hAnsi="Arial" w:cs="Arial"/>
          <w:i/>
          <w:lang w:val="en-US"/>
        </w:rPr>
        <w:t>u</w:t>
      </w:r>
      <w:r w:rsidR="00CE38BB" w:rsidRPr="004F7E53">
        <w:rPr>
          <w:rFonts w:ascii="Arial" w:eastAsia="Calibri" w:hAnsi="Arial" w:cs="Arial"/>
          <w:i/>
          <w:lang w:val="en-US"/>
        </w:rPr>
        <w:t>s</w:t>
      </w:r>
      <w:r w:rsidR="007E6614" w:rsidRPr="004F7E53">
        <w:rPr>
          <w:rFonts w:ascii="Arial" w:eastAsia="Calibri" w:hAnsi="Arial" w:cs="Arial"/>
          <w:i/>
          <w:lang w:val="en-US"/>
        </w:rPr>
        <w:t xml:space="preserve"> creditorum</w:t>
      </w:r>
      <w:r w:rsidR="00CE38BB" w:rsidRPr="004F7E53">
        <w:rPr>
          <w:rFonts w:ascii="Arial" w:eastAsia="Calibri" w:hAnsi="Arial" w:cs="Arial"/>
          <w:i/>
          <w:lang w:val="en-US"/>
        </w:rPr>
        <w:t xml:space="preserve">, </w:t>
      </w:r>
      <w:r w:rsidR="00CE38BB" w:rsidRPr="004F7E53">
        <w:rPr>
          <w:rFonts w:ascii="Arial" w:eastAsia="Calibri" w:hAnsi="Arial" w:cs="Arial"/>
          <w:lang w:val="en-US"/>
        </w:rPr>
        <w:t>and cert</w:t>
      </w:r>
      <w:r w:rsidR="00325876" w:rsidRPr="004F7E53">
        <w:rPr>
          <w:rFonts w:ascii="Arial" w:eastAsia="Calibri" w:hAnsi="Arial" w:cs="Arial"/>
          <w:lang w:val="en-US"/>
        </w:rPr>
        <w:t>ai</w:t>
      </w:r>
      <w:r w:rsidR="00CE38BB" w:rsidRPr="004F7E53">
        <w:rPr>
          <w:rFonts w:ascii="Arial" w:eastAsia="Calibri" w:hAnsi="Arial" w:cs="Arial"/>
          <w:lang w:val="en-US"/>
        </w:rPr>
        <w:t>nly after the granting of the final order for liquidation, the Reserve Bank could not take steps to execute for</w:t>
      </w:r>
      <w:r w:rsidR="00BB7D29" w:rsidRPr="004F7E53">
        <w:rPr>
          <w:rFonts w:ascii="Arial" w:eastAsia="Calibri" w:hAnsi="Arial" w:cs="Arial"/>
          <w:lang w:val="en-US"/>
        </w:rPr>
        <w:t>feiture orders in terms of the R</w:t>
      </w:r>
      <w:r w:rsidR="00CE38BB" w:rsidRPr="004F7E53">
        <w:rPr>
          <w:rFonts w:ascii="Arial" w:eastAsia="Calibri" w:hAnsi="Arial" w:cs="Arial"/>
          <w:lang w:val="en-US"/>
        </w:rPr>
        <w:t>eg</w:t>
      </w:r>
      <w:r w:rsidR="00350FDF" w:rsidRPr="007F5C66">
        <w:rPr>
          <w:rFonts w:ascii="Arial" w:eastAsia="Calibri" w:hAnsi="Arial" w:cs="Arial"/>
          <w:lang w:val="en-US"/>
        </w:rPr>
        <w:t>u</w:t>
      </w:r>
      <w:r w:rsidR="00CE38BB" w:rsidRPr="008B035F">
        <w:rPr>
          <w:rFonts w:ascii="Arial" w:eastAsia="Calibri" w:hAnsi="Arial" w:cs="Arial"/>
          <w:lang w:val="en-US"/>
        </w:rPr>
        <w:t>la</w:t>
      </w:r>
      <w:r w:rsidR="00CE38BB" w:rsidRPr="004F7E53">
        <w:rPr>
          <w:rFonts w:ascii="Arial" w:eastAsia="Calibri" w:hAnsi="Arial" w:cs="Arial"/>
          <w:lang w:val="en-US"/>
        </w:rPr>
        <w:t>tions because by doing so it would interfere with the</w:t>
      </w:r>
      <w:r w:rsidR="00BB7D29" w:rsidRPr="004F7E53">
        <w:rPr>
          <w:rFonts w:ascii="Arial" w:eastAsia="Calibri" w:hAnsi="Arial" w:cs="Arial"/>
          <w:lang w:val="en-US"/>
        </w:rPr>
        <w:t>ir</w:t>
      </w:r>
      <w:r w:rsidR="00CE38BB" w:rsidRPr="004F7E53">
        <w:rPr>
          <w:rFonts w:ascii="Arial" w:eastAsia="Calibri" w:hAnsi="Arial" w:cs="Arial"/>
          <w:lang w:val="en-US"/>
        </w:rPr>
        <w:t xml:space="preserve"> ability to carry out their statut</w:t>
      </w:r>
      <w:r w:rsidR="00CE38BB" w:rsidRPr="008B035F">
        <w:rPr>
          <w:rFonts w:ascii="Arial" w:eastAsia="Calibri" w:hAnsi="Arial" w:cs="Arial"/>
          <w:lang w:val="en-US"/>
        </w:rPr>
        <w:t>or</w:t>
      </w:r>
      <w:r w:rsidR="00350FDF" w:rsidRPr="007F5C66">
        <w:rPr>
          <w:rFonts w:ascii="Arial" w:eastAsia="Calibri" w:hAnsi="Arial" w:cs="Arial"/>
          <w:lang w:val="en-US"/>
        </w:rPr>
        <w:t>il</w:t>
      </w:r>
      <w:r w:rsidR="00CE38BB" w:rsidRPr="008B035F">
        <w:rPr>
          <w:rFonts w:ascii="Arial" w:eastAsia="Calibri" w:hAnsi="Arial" w:cs="Arial"/>
          <w:lang w:val="en-US"/>
        </w:rPr>
        <w:t>y</w:t>
      </w:r>
      <w:r w:rsidR="00CE38BB" w:rsidRPr="004F7E53">
        <w:rPr>
          <w:rFonts w:ascii="Arial" w:eastAsia="Calibri" w:hAnsi="Arial" w:cs="Arial"/>
          <w:lang w:val="en-US"/>
        </w:rPr>
        <w:t xml:space="preserve"> entrenched functions in terms of the provisions of the Companies Act and the Insolvency Act</w:t>
      </w:r>
      <w:r w:rsidR="00DE240E">
        <w:rPr>
          <w:rFonts w:ascii="Arial" w:eastAsia="Calibri" w:hAnsi="Arial" w:cs="Arial"/>
          <w:lang w:val="en-US"/>
        </w:rPr>
        <w:t xml:space="preserve"> 24 of 1936</w:t>
      </w:r>
      <w:r w:rsidR="00CE38BB" w:rsidRPr="004F7E53">
        <w:rPr>
          <w:rFonts w:ascii="Arial" w:eastAsia="Calibri" w:hAnsi="Arial" w:cs="Arial"/>
          <w:lang w:val="en-US"/>
        </w:rPr>
        <w:t xml:space="preserve">. </w:t>
      </w:r>
    </w:p>
    <w:p w14:paraId="1E3C0B09" w14:textId="43A344D3" w:rsidR="003B4DB5" w:rsidRPr="00004CDD" w:rsidRDefault="003B4DB5" w:rsidP="00AA6AA5">
      <w:pPr>
        <w:pStyle w:val="ListParagraph"/>
        <w:spacing w:line="480" w:lineRule="auto"/>
        <w:ind w:left="0"/>
        <w:jc w:val="both"/>
        <w:rPr>
          <w:rFonts w:ascii="Arial" w:eastAsia="Calibri" w:hAnsi="Arial" w:cs="Arial"/>
          <w:sz w:val="22"/>
          <w:szCs w:val="22"/>
          <w:lang w:val="en-US"/>
        </w:rPr>
      </w:pPr>
    </w:p>
    <w:p w14:paraId="3FD603C3" w14:textId="142BF16E" w:rsidR="007E5F68" w:rsidRPr="004F7E53" w:rsidRDefault="004F7E53" w:rsidP="004F7E53">
      <w:pPr>
        <w:spacing w:line="480" w:lineRule="auto"/>
        <w:jc w:val="both"/>
        <w:rPr>
          <w:rFonts w:ascii="Arial" w:eastAsia="Calibri" w:hAnsi="Arial" w:cs="Arial"/>
          <w:lang w:val="en-US"/>
        </w:rPr>
      </w:pPr>
      <w:r>
        <w:rPr>
          <w:rFonts w:ascii="Arial" w:eastAsia="Calibri" w:hAnsi="Arial" w:cs="Arial"/>
          <w:lang w:val="en-US"/>
        </w:rPr>
        <w:t>[19]</w:t>
      </w:r>
      <w:r>
        <w:rPr>
          <w:rFonts w:ascii="Arial" w:eastAsia="Calibri" w:hAnsi="Arial" w:cs="Arial"/>
          <w:lang w:val="en-US"/>
        </w:rPr>
        <w:tab/>
      </w:r>
      <w:r w:rsidR="00CE38BB" w:rsidRPr="004F7E53">
        <w:rPr>
          <w:rFonts w:ascii="Arial" w:eastAsia="Calibri" w:hAnsi="Arial" w:cs="Arial"/>
          <w:lang w:val="en-US"/>
        </w:rPr>
        <w:t>The Reserve Bank contended</w:t>
      </w:r>
      <w:r w:rsidR="00BB7D29" w:rsidRPr="004F7E53">
        <w:rPr>
          <w:rFonts w:ascii="Arial" w:eastAsia="Calibri" w:hAnsi="Arial" w:cs="Arial"/>
          <w:lang w:val="en-US"/>
        </w:rPr>
        <w:t xml:space="preserve"> that</w:t>
      </w:r>
      <w:r w:rsidR="00DE240E">
        <w:rPr>
          <w:rFonts w:ascii="Arial" w:eastAsia="Calibri" w:hAnsi="Arial" w:cs="Arial"/>
          <w:lang w:val="en-US"/>
        </w:rPr>
        <w:t>,</w:t>
      </w:r>
      <w:r w:rsidR="00BB7D29" w:rsidRPr="004F7E53">
        <w:rPr>
          <w:rFonts w:ascii="Arial" w:eastAsia="Calibri" w:hAnsi="Arial" w:cs="Arial"/>
          <w:lang w:val="en-US"/>
        </w:rPr>
        <w:t xml:space="preserve"> </w:t>
      </w:r>
      <w:r w:rsidR="007717B4">
        <w:rPr>
          <w:rFonts w:ascii="Arial" w:eastAsia="Calibri" w:hAnsi="Arial" w:cs="Arial"/>
          <w:lang w:val="en-US"/>
        </w:rPr>
        <w:t>notwithstanding</w:t>
      </w:r>
      <w:r w:rsidR="00BB7D29" w:rsidRPr="004F7E53">
        <w:rPr>
          <w:rFonts w:ascii="Arial" w:eastAsia="Calibri" w:hAnsi="Arial" w:cs="Arial"/>
          <w:lang w:val="en-US"/>
        </w:rPr>
        <w:t xml:space="preserve">  the commen</w:t>
      </w:r>
      <w:r w:rsidR="00CE38BB" w:rsidRPr="004F7E53">
        <w:rPr>
          <w:rFonts w:ascii="Arial" w:eastAsia="Calibri" w:hAnsi="Arial" w:cs="Arial"/>
          <w:lang w:val="en-US"/>
        </w:rPr>
        <w:t>cement of the winding</w:t>
      </w:r>
      <w:r w:rsidR="00325876" w:rsidRPr="004F7E53">
        <w:rPr>
          <w:rFonts w:ascii="Arial" w:eastAsia="Calibri" w:hAnsi="Arial" w:cs="Arial"/>
          <w:lang w:val="en-US"/>
        </w:rPr>
        <w:t>-</w:t>
      </w:r>
      <w:r w:rsidR="00CE38BB" w:rsidRPr="004F7E53">
        <w:rPr>
          <w:rFonts w:ascii="Arial" w:eastAsia="Calibri" w:hAnsi="Arial" w:cs="Arial"/>
          <w:lang w:val="en-US"/>
        </w:rPr>
        <w:t xml:space="preserve">up of the two companies, the blocking orders remained in force, and </w:t>
      </w:r>
      <w:r w:rsidR="007717B4">
        <w:rPr>
          <w:rFonts w:ascii="Arial" w:eastAsia="Calibri" w:hAnsi="Arial" w:cs="Arial"/>
          <w:lang w:val="en-US"/>
        </w:rPr>
        <w:t xml:space="preserve">that </w:t>
      </w:r>
      <w:r w:rsidR="00CE38BB" w:rsidRPr="004F7E53">
        <w:rPr>
          <w:rFonts w:ascii="Arial" w:eastAsia="Calibri" w:hAnsi="Arial" w:cs="Arial"/>
          <w:lang w:val="en-US"/>
        </w:rPr>
        <w:t>the liquidators could not</w:t>
      </w:r>
      <w:r w:rsidR="00DE240E">
        <w:rPr>
          <w:rFonts w:ascii="Arial" w:eastAsia="Calibri" w:hAnsi="Arial" w:cs="Arial"/>
          <w:lang w:val="en-US"/>
        </w:rPr>
        <w:t>,</w:t>
      </w:r>
      <w:r w:rsidR="0041117F" w:rsidRPr="004F7E53">
        <w:rPr>
          <w:rFonts w:ascii="Arial" w:eastAsia="Calibri" w:hAnsi="Arial" w:cs="Arial"/>
          <w:lang w:val="en-US"/>
        </w:rPr>
        <w:t xml:space="preserve"> by reason of the liquidation</w:t>
      </w:r>
      <w:r w:rsidR="00DE240E">
        <w:rPr>
          <w:rFonts w:ascii="Arial" w:eastAsia="Calibri" w:hAnsi="Arial" w:cs="Arial"/>
          <w:lang w:val="en-US"/>
        </w:rPr>
        <w:t>,</w:t>
      </w:r>
      <w:r w:rsidR="0041117F" w:rsidRPr="004F7E53">
        <w:rPr>
          <w:rFonts w:ascii="Arial" w:eastAsia="Calibri" w:hAnsi="Arial" w:cs="Arial"/>
          <w:lang w:val="en-US"/>
        </w:rPr>
        <w:t xml:space="preserve"> acquire any greater rights to claim payment of the funds standing to the credit of the banking accounts, than the companies themselves had immediately prior to the commencement of the winding-up. The fact that upon liquidation, proceeded the argument, the liquidators were obliged to take possession of the assets of the companies, did not in law have the consequence, as contended by the liquidators, that a forfeiture of those rights was no longer competent or permissible. </w:t>
      </w:r>
    </w:p>
    <w:p w14:paraId="1DF79B4B" w14:textId="77777777" w:rsidR="007E5F68" w:rsidRPr="007E5F68" w:rsidRDefault="007E5F68" w:rsidP="007E5F68">
      <w:pPr>
        <w:pStyle w:val="ListParagraph"/>
        <w:spacing w:line="480" w:lineRule="auto"/>
        <w:ind w:left="0"/>
        <w:jc w:val="both"/>
        <w:rPr>
          <w:rFonts w:ascii="Arial" w:eastAsia="Calibri" w:hAnsi="Arial" w:cs="Arial"/>
          <w:lang w:val="en-US"/>
        </w:rPr>
      </w:pPr>
    </w:p>
    <w:p w14:paraId="471492A3" w14:textId="184F8D2B" w:rsidR="00522F4C" w:rsidRPr="004F7E53" w:rsidRDefault="004F7E53" w:rsidP="004F7E53">
      <w:pPr>
        <w:spacing w:line="480" w:lineRule="auto"/>
        <w:jc w:val="both"/>
        <w:rPr>
          <w:rFonts w:ascii="Arial" w:eastAsia="Calibri" w:hAnsi="Arial" w:cs="Arial"/>
          <w:lang w:val="en-US"/>
        </w:rPr>
      </w:pPr>
      <w:r>
        <w:rPr>
          <w:rFonts w:ascii="Arial" w:eastAsia="Calibri" w:hAnsi="Arial" w:cs="Arial"/>
          <w:lang w:val="en-US"/>
        </w:rPr>
        <w:t>[20]</w:t>
      </w:r>
      <w:r>
        <w:rPr>
          <w:rFonts w:ascii="Arial" w:eastAsia="Calibri" w:hAnsi="Arial" w:cs="Arial"/>
          <w:lang w:val="en-US"/>
        </w:rPr>
        <w:tab/>
      </w:r>
      <w:r w:rsidR="0041117F" w:rsidRPr="004F7E53">
        <w:rPr>
          <w:rFonts w:ascii="Arial" w:eastAsia="Calibri" w:hAnsi="Arial" w:cs="Arial"/>
          <w:lang w:val="en-US"/>
        </w:rPr>
        <w:t xml:space="preserve">In addition to resisting the liquidators’ application on the merits, the National Treasury also raised two preliminary objections. It argued, first, that the high court lacked jurisdiction to hear the matter. It contended that </w:t>
      </w:r>
      <w:r w:rsidR="007717B4">
        <w:rPr>
          <w:rFonts w:ascii="Arial" w:eastAsia="Calibri" w:hAnsi="Arial" w:cs="Arial"/>
          <w:lang w:val="en-US"/>
        </w:rPr>
        <w:t>its</w:t>
      </w:r>
      <w:r w:rsidR="0041117F" w:rsidRPr="004F7E53">
        <w:rPr>
          <w:rFonts w:ascii="Arial" w:eastAsia="Calibri" w:hAnsi="Arial" w:cs="Arial"/>
          <w:lang w:val="en-US"/>
        </w:rPr>
        <w:t xml:space="preserve"> principal place of business is in Pretoria, Gauteng and that therefore it should have been sued in the Gauteng Division of the High Court</w:t>
      </w:r>
      <w:r w:rsidR="00CD20EA">
        <w:rPr>
          <w:rFonts w:ascii="Arial" w:eastAsia="Calibri" w:hAnsi="Arial" w:cs="Arial"/>
          <w:lang w:val="en-US"/>
        </w:rPr>
        <w:t>,</w:t>
      </w:r>
      <w:r w:rsidR="0041117F" w:rsidRPr="004F7E53">
        <w:rPr>
          <w:rFonts w:ascii="Arial" w:eastAsia="Calibri" w:hAnsi="Arial" w:cs="Arial"/>
          <w:lang w:val="en-US"/>
        </w:rPr>
        <w:t xml:space="preserve"> Pretoria and not in</w:t>
      </w:r>
      <w:r w:rsidR="004A0A57">
        <w:rPr>
          <w:rFonts w:ascii="Arial" w:eastAsia="Calibri" w:hAnsi="Arial" w:cs="Arial"/>
          <w:lang w:val="en-US"/>
        </w:rPr>
        <w:t xml:space="preserve"> </w:t>
      </w:r>
      <w:r w:rsidR="004A0A57" w:rsidRPr="007F5C66">
        <w:rPr>
          <w:rFonts w:ascii="Arial" w:eastAsia="Calibri" w:hAnsi="Arial" w:cs="Arial"/>
          <w:lang w:val="en-US"/>
        </w:rPr>
        <w:t>the KwaZulu-Natal Division of the High Court</w:t>
      </w:r>
      <w:r w:rsidR="00CD20EA" w:rsidRPr="007F5C66">
        <w:rPr>
          <w:rFonts w:ascii="Arial" w:eastAsia="Calibri" w:hAnsi="Arial" w:cs="Arial"/>
          <w:lang w:val="en-US"/>
        </w:rPr>
        <w:t>,</w:t>
      </w:r>
      <w:r w:rsidR="0041117F" w:rsidRPr="004F7E53">
        <w:rPr>
          <w:rFonts w:ascii="Arial" w:eastAsia="Calibri" w:hAnsi="Arial" w:cs="Arial"/>
          <w:lang w:val="en-US"/>
        </w:rPr>
        <w:t xml:space="preserve"> Durban</w:t>
      </w:r>
      <w:r w:rsidR="00167BC1">
        <w:rPr>
          <w:rFonts w:ascii="Arial" w:eastAsia="Calibri" w:hAnsi="Arial" w:cs="Arial"/>
          <w:lang w:val="en-US"/>
        </w:rPr>
        <w:t xml:space="preserve"> (jurisdiction point)</w:t>
      </w:r>
      <w:r w:rsidR="0041117F" w:rsidRPr="004F7E53">
        <w:rPr>
          <w:rFonts w:ascii="Arial" w:eastAsia="Calibri" w:hAnsi="Arial" w:cs="Arial"/>
          <w:lang w:val="en-US"/>
        </w:rPr>
        <w:t>. Secondly,</w:t>
      </w:r>
      <w:r w:rsidR="00BB7D29" w:rsidRPr="004F7E53">
        <w:rPr>
          <w:rFonts w:ascii="Arial" w:eastAsia="Calibri" w:hAnsi="Arial" w:cs="Arial"/>
          <w:lang w:val="en-US"/>
        </w:rPr>
        <w:t xml:space="preserve"> the National Treasury contended</w:t>
      </w:r>
      <w:r w:rsidR="0041117F" w:rsidRPr="004F7E53">
        <w:rPr>
          <w:rFonts w:ascii="Arial" w:eastAsia="Calibri" w:hAnsi="Arial" w:cs="Arial"/>
          <w:lang w:val="en-US"/>
        </w:rPr>
        <w:t xml:space="preserve"> that the application was defective in that there is no prayer in the </w:t>
      </w:r>
      <w:r w:rsidR="00771874" w:rsidRPr="004F7E53">
        <w:rPr>
          <w:rFonts w:ascii="Arial" w:eastAsia="Calibri" w:hAnsi="Arial" w:cs="Arial"/>
          <w:lang w:val="en-US"/>
        </w:rPr>
        <w:t xml:space="preserve">notice of motion for </w:t>
      </w:r>
      <w:r w:rsidR="00257685">
        <w:rPr>
          <w:rFonts w:ascii="Arial" w:eastAsia="Calibri" w:hAnsi="Arial" w:cs="Arial"/>
          <w:lang w:val="en-US"/>
        </w:rPr>
        <w:t xml:space="preserve">the review and setting aside of </w:t>
      </w:r>
      <w:r w:rsidR="00771874" w:rsidRPr="004F7E53">
        <w:rPr>
          <w:rFonts w:ascii="Arial" w:eastAsia="Calibri" w:hAnsi="Arial" w:cs="Arial"/>
          <w:lang w:val="en-US"/>
        </w:rPr>
        <w:t xml:space="preserve">the Reserve Bank’s decision to </w:t>
      </w:r>
      <w:r w:rsidR="00257685">
        <w:rPr>
          <w:rFonts w:ascii="Arial" w:eastAsia="Calibri" w:hAnsi="Arial" w:cs="Arial"/>
          <w:lang w:val="en-US"/>
        </w:rPr>
        <w:t>issue</w:t>
      </w:r>
      <w:r w:rsidR="00771874" w:rsidRPr="004F7E53">
        <w:rPr>
          <w:rFonts w:ascii="Arial" w:eastAsia="Calibri" w:hAnsi="Arial" w:cs="Arial"/>
          <w:lang w:val="en-US"/>
        </w:rPr>
        <w:t xml:space="preserve"> the forfeiture </w:t>
      </w:r>
      <w:r w:rsidR="00257685">
        <w:rPr>
          <w:rFonts w:ascii="Arial" w:eastAsia="Calibri" w:hAnsi="Arial" w:cs="Arial"/>
          <w:lang w:val="en-US"/>
        </w:rPr>
        <w:t>orders.</w:t>
      </w:r>
      <w:r w:rsidR="00771874" w:rsidRPr="004F7E53">
        <w:rPr>
          <w:rFonts w:ascii="Arial" w:eastAsia="Calibri" w:hAnsi="Arial" w:cs="Arial"/>
          <w:lang w:val="en-US"/>
        </w:rPr>
        <w:t xml:space="preserve"> </w:t>
      </w:r>
      <w:r w:rsidR="00257685">
        <w:rPr>
          <w:rFonts w:ascii="Arial" w:eastAsia="Calibri" w:hAnsi="Arial" w:cs="Arial"/>
          <w:lang w:val="en-US"/>
        </w:rPr>
        <w:t xml:space="preserve">It accordingly argued that in the absence of a review either under </w:t>
      </w:r>
      <w:r w:rsidR="00167BC1">
        <w:rPr>
          <w:rFonts w:ascii="Arial" w:eastAsia="Calibri" w:hAnsi="Arial" w:cs="Arial"/>
          <w:lang w:val="en-US"/>
        </w:rPr>
        <w:t>the Promotion of Administrative Justice Act 3 of 2000 (</w:t>
      </w:r>
      <w:r w:rsidR="00257685">
        <w:rPr>
          <w:rFonts w:ascii="Arial" w:eastAsia="Calibri" w:hAnsi="Arial" w:cs="Arial"/>
          <w:lang w:val="en-US"/>
        </w:rPr>
        <w:t>PAJA</w:t>
      </w:r>
      <w:r w:rsidR="00167BC1">
        <w:rPr>
          <w:rFonts w:ascii="Arial" w:eastAsia="Calibri" w:hAnsi="Arial" w:cs="Arial"/>
          <w:lang w:val="en-US"/>
        </w:rPr>
        <w:t>)</w:t>
      </w:r>
      <w:r w:rsidR="00257685">
        <w:rPr>
          <w:rFonts w:ascii="Arial" w:eastAsia="Calibri" w:hAnsi="Arial" w:cs="Arial"/>
          <w:lang w:val="en-US"/>
        </w:rPr>
        <w:t xml:space="preserve"> or in terms of the principle of legality the just and equitable remedy of substitution could not be made. </w:t>
      </w:r>
      <w:r w:rsidR="00771874" w:rsidRPr="004F7E53">
        <w:rPr>
          <w:rFonts w:ascii="Arial" w:eastAsia="Calibri" w:hAnsi="Arial" w:cs="Arial"/>
          <w:lang w:val="en-US"/>
        </w:rPr>
        <w:t xml:space="preserve">This </w:t>
      </w:r>
      <w:r w:rsidR="004E513A" w:rsidRPr="004F7E53">
        <w:rPr>
          <w:rFonts w:ascii="Arial" w:eastAsia="Calibri" w:hAnsi="Arial" w:cs="Arial"/>
          <w:lang w:val="en-US"/>
        </w:rPr>
        <w:t xml:space="preserve">submission </w:t>
      </w:r>
      <w:r w:rsidR="00771874" w:rsidRPr="004F7E53">
        <w:rPr>
          <w:rFonts w:ascii="Arial" w:eastAsia="Calibri" w:hAnsi="Arial" w:cs="Arial"/>
          <w:lang w:val="en-US"/>
        </w:rPr>
        <w:t xml:space="preserve">was based on the contention that </w:t>
      </w:r>
      <w:r w:rsidR="007717B4">
        <w:rPr>
          <w:rFonts w:ascii="Arial" w:eastAsia="Calibri" w:hAnsi="Arial" w:cs="Arial"/>
          <w:lang w:val="en-US"/>
        </w:rPr>
        <w:t>the Reserve Bank’s decision to issue</w:t>
      </w:r>
      <w:r w:rsidR="00257685">
        <w:rPr>
          <w:rFonts w:ascii="Arial" w:eastAsia="Calibri" w:hAnsi="Arial" w:cs="Arial"/>
          <w:lang w:val="en-US"/>
        </w:rPr>
        <w:t xml:space="preserve"> </w:t>
      </w:r>
      <w:r w:rsidR="00771874" w:rsidRPr="004F7E53">
        <w:rPr>
          <w:rFonts w:ascii="Arial" w:eastAsia="Calibri" w:hAnsi="Arial" w:cs="Arial"/>
          <w:lang w:val="en-US"/>
        </w:rPr>
        <w:t xml:space="preserve"> forfeiture orders constitute</w:t>
      </w:r>
      <w:r w:rsidR="00257685">
        <w:rPr>
          <w:rFonts w:ascii="Arial" w:eastAsia="Calibri" w:hAnsi="Arial" w:cs="Arial"/>
          <w:lang w:val="en-US"/>
        </w:rPr>
        <w:t xml:space="preserve">s </w:t>
      </w:r>
      <w:r w:rsidR="00771874" w:rsidRPr="004F7E53">
        <w:rPr>
          <w:rFonts w:ascii="Arial" w:eastAsia="Calibri" w:hAnsi="Arial" w:cs="Arial"/>
          <w:lang w:val="en-US"/>
        </w:rPr>
        <w:t>‘administ</w:t>
      </w:r>
      <w:r w:rsidR="004E513A" w:rsidRPr="004F7E53">
        <w:rPr>
          <w:rFonts w:ascii="Arial" w:eastAsia="Calibri" w:hAnsi="Arial" w:cs="Arial"/>
          <w:lang w:val="en-US"/>
        </w:rPr>
        <w:t>r</w:t>
      </w:r>
      <w:r w:rsidR="00771874" w:rsidRPr="004F7E53">
        <w:rPr>
          <w:rFonts w:ascii="Arial" w:eastAsia="Calibri" w:hAnsi="Arial" w:cs="Arial"/>
          <w:lang w:val="en-US"/>
        </w:rPr>
        <w:t>ative action’ which is reviewable under PAJA</w:t>
      </w:r>
      <w:r w:rsidR="000E6CEB" w:rsidRPr="004F7E53">
        <w:rPr>
          <w:rFonts w:ascii="Arial" w:eastAsia="Calibri" w:hAnsi="Arial" w:cs="Arial"/>
          <w:lang w:val="en-US"/>
        </w:rPr>
        <w:t>.</w:t>
      </w:r>
    </w:p>
    <w:p w14:paraId="4DD6EFCA" w14:textId="206F92F3" w:rsidR="0041117F" w:rsidRPr="0041117F" w:rsidRDefault="0041117F" w:rsidP="00AA6AA5">
      <w:pPr>
        <w:spacing w:line="480" w:lineRule="auto"/>
        <w:jc w:val="both"/>
        <w:rPr>
          <w:rFonts w:ascii="Arial" w:eastAsia="Calibri" w:hAnsi="Arial" w:cs="Arial"/>
          <w:lang w:val="en-US"/>
        </w:rPr>
      </w:pPr>
    </w:p>
    <w:p w14:paraId="55859A17" w14:textId="31802101" w:rsidR="00771874" w:rsidRPr="004F7E53" w:rsidRDefault="004F7E53" w:rsidP="004F7E53">
      <w:pPr>
        <w:spacing w:line="480" w:lineRule="auto"/>
        <w:jc w:val="both"/>
        <w:rPr>
          <w:rFonts w:ascii="Arial" w:eastAsia="Calibri" w:hAnsi="Arial" w:cs="Arial"/>
          <w:lang w:val="en-US"/>
        </w:rPr>
      </w:pPr>
      <w:r>
        <w:rPr>
          <w:rFonts w:ascii="Arial" w:eastAsia="Calibri" w:hAnsi="Arial" w:cs="Arial"/>
          <w:lang w:val="en-US"/>
        </w:rPr>
        <w:t>[21]</w:t>
      </w:r>
      <w:r>
        <w:rPr>
          <w:rFonts w:ascii="Arial" w:eastAsia="Calibri" w:hAnsi="Arial" w:cs="Arial"/>
          <w:lang w:val="en-US"/>
        </w:rPr>
        <w:tab/>
      </w:r>
      <w:r w:rsidR="00771874" w:rsidRPr="004F7E53">
        <w:rPr>
          <w:rFonts w:ascii="Arial" w:eastAsia="Calibri" w:hAnsi="Arial" w:cs="Arial"/>
          <w:lang w:val="en-US"/>
        </w:rPr>
        <w:t>In my view</w:t>
      </w:r>
      <w:r w:rsidR="00DE240E">
        <w:rPr>
          <w:rFonts w:ascii="Arial" w:eastAsia="Calibri" w:hAnsi="Arial" w:cs="Arial"/>
          <w:lang w:val="en-US"/>
        </w:rPr>
        <w:t>,</w:t>
      </w:r>
      <w:r w:rsidR="00A645E2" w:rsidRPr="004F7E53">
        <w:rPr>
          <w:rFonts w:ascii="Arial" w:eastAsia="Calibri" w:hAnsi="Arial" w:cs="Arial"/>
          <w:lang w:val="en-US"/>
        </w:rPr>
        <w:t xml:space="preserve"> </w:t>
      </w:r>
      <w:r w:rsidR="00771874" w:rsidRPr="004F7E53">
        <w:rPr>
          <w:rFonts w:ascii="Arial" w:eastAsia="Calibri" w:hAnsi="Arial" w:cs="Arial"/>
          <w:lang w:val="en-US"/>
        </w:rPr>
        <w:t>th</w:t>
      </w:r>
      <w:r w:rsidR="005A3383" w:rsidRPr="004F7E53">
        <w:rPr>
          <w:rFonts w:ascii="Arial" w:eastAsia="Calibri" w:hAnsi="Arial" w:cs="Arial"/>
          <w:lang w:val="en-US"/>
        </w:rPr>
        <w:t>e National Treasury’s</w:t>
      </w:r>
      <w:r w:rsidR="00771874" w:rsidRPr="004F7E53">
        <w:rPr>
          <w:rFonts w:ascii="Arial" w:eastAsia="Calibri" w:hAnsi="Arial" w:cs="Arial"/>
          <w:lang w:val="en-US"/>
        </w:rPr>
        <w:t xml:space="preserve"> jurisdiction point should fail for the simple reason that it is clear from the prayers in the notice of motion that the effect of the liquidators’ application was to have declared null and void the forfeiture decisions issued by the Reserve Bank after the liquidation of the two companies on the basis </w:t>
      </w:r>
      <w:r w:rsidR="00DE240E">
        <w:rPr>
          <w:rFonts w:ascii="Arial" w:eastAsia="Calibri" w:hAnsi="Arial" w:cs="Arial"/>
          <w:lang w:val="en-US"/>
        </w:rPr>
        <w:t xml:space="preserve">that </w:t>
      </w:r>
      <w:r w:rsidR="00771874" w:rsidRPr="004F7E53">
        <w:rPr>
          <w:rFonts w:ascii="Arial" w:eastAsia="Calibri" w:hAnsi="Arial" w:cs="Arial"/>
          <w:lang w:val="en-US"/>
        </w:rPr>
        <w:t>it was no</w:t>
      </w:r>
      <w:r w:rsidR="00DE240E">
        <w:rPr>
          <w:rFonts w:ascii="Arial" w:eastAsia="Calibri" w:hAnsi="Arial" w:cs="Arial"/>
          <w:lang w:val="en-US"/>
        </w:rPr>
        <w:t xml:space="preserve"> </w:t>
      </w:r>
      <w:r w:rsidR="00771874" w:rsidRPr="004F7E53">
        <w:rPr>
          <w:rFonts w:ascii="Arial" w:eastAsia="Calibri" w:hAnsi="Arial" w:cs="Arial"/>
          <w:lang w:val="en-US"/>
        </w:rPr>
        <w:t>longer legally competent for it to</w:t>
      </w:r>
      <w:r w:rsidR="005A3383" w:rsidRPr="004F7E53">
        <w:rPr>
          <w:rFonts w:ascii="Arial" w:eastAsia="Calibri" w:hAnsi="Arial" w:cs="Arial"/>
          <w:lang w:val="en-US"/>
        </w:rPr>
        <w:t xml:space="preserve"> make them</w:t>
      </w:r>
      <w:r w:rsidR="00DE240E">
        <w:rPr>
          <w:rFonts w:ascii="Arial" w:eastAsia="Calibri" w:hAnsi="Arial" w:cs="Arial"/>
          <w:lang w:val="en-US"/>
        </w:rPr>
        <w:t>,</w:t>
      </w:r>
      <w:r w:rsidR="005A3383" w:rsidRPr="004F7E53">
        <w:rPr>
          <w:rFonts w:ascii="Arial" w:eastAsia="Calibri" w:hAnsi="Arial" w:cs="Arial"/>
          <w:lang w:val="en-US"/>
        </w:rPr>
        <w:t xml:space="preserve"> following the winding-up of the two companies.</w:t>
      </w:r>
      <w:r w:rsidR="00771874" w:rsidRPr="004F7E53">
        <w:rPr>
          <w:rFonts w:ascii="Arial" w:eastAsia="Calibri" w:hAnsi="Arial" w:cs="Arial"/>
          <w:lang w:val="en-US"/>
        </w:rPr>
        <w:t xml:space="preserve"> Properly construed</w:t>
      </w:r>
      <w:r w:rsidR="005A3383" w:rsidRPr="004F7E53">
        <w:rPr>
          <w:rFonts w:ascii="Arial" w:eastAsia="Calibri" w:hAnsi="Arial" w:cs="Arial"/>
          <w:lang w:val="en-US"/>
        </w:rPr>
        <w:t>,</w:t>
      </w:r>
      <w:r w:rsidR="00771874" w:rsidRPr="004F7E53">
        <w:rPr>
          <w:rFonts w:ascii="Arial" w:eastAsia="Calibri" w:hAnsi="Arial" w:cs="Arial"/>
          <w:lang w:val="en-US"/>
        </w:rPr>
        <w:t xml:space="preserve"> the effect of the application</w:t>
      </w:r>
      <w:r w:rsidR="00167BC1">
        <w:rPr>
          <w:rFonts w:ascii="Arial" w:eastAsia="Calibri" w:hAnsi="Arial" w:cs="Arial"/>
          <w:lang w:val="en-US"/>
        </w:rPr>
        <w:t>, although not labeled as such,</w:t>
      </w:r>
      <w:r w:rsidR="0021096D" w:rsidRPr="004F7E53">
        <w:rPr>
          <w:rFonts w:ascii="Arial" w:eastAsia="Calibri" w:hAnsi="Arial" w:cs="Arial"/>
          <w:lang w:val="en-US"/>
        </w:rPr>
        <w:t xml:space="preserve"> was a review based on</w:t>
      </w:r>
      <w:r w:rsidR="00167BC1">
        <w:rPr>
          <w:rFonts w:ascii="Arial" w:eastAsia="Calibri" w:hAnsi="Arial" w:cs="Arial"/>
          <w:lang w:val="en-US"/>
        </w:rPr>
        <w:t xml:space="preserve"> either</w:t>
      </w:r>
      <w:r w:rsidR="0021096D" w:rsidRPr="004F7E53">
        <w:rPr>
          <w:rFonts w:ascii="Arial" w:eastAsia="Calibri" w:hAnsi="Arial" w:cs="Arial"/>
          <w:lang w:val="en-US"/>
        </w:rPr>
        <w:t xml:space="preserve"> PAJA  or the principle</w:t>
      </w:r>
      <w:r w:rsidR="00167BC1">
        <w:rPr>
          <w:rFonts w:ascii="Arial" w:eastAsia="Calibri" w:hAnsi="Arial" w:cs="Arial"/>
          <w:lang w:val="en-US"/>
        </w:rPr>
        <w:t xml:space="preserve"> </w:t>
      </w:r>
      <w:r w:rsidR="00DE240E">
        <w:rPr>
          <w:rFonts w:ascii="Arial" w:eastAsia="Calibri" w:hAnsi="Arial" w:cs="Arial"/>
          <w:lang w:val="en-US"/>
        </w:rPr>
        <w:t>of</w:t>
      </w:r>
      <w:r w:rsidR="00167BC1">
        <w:rPr>
          <w:rFonts w:ascii="Arial" w:eastAsia="Calibri" w:hAnsi="Arial" w:cs="Arial"/>
          <w:lang w:val="en-US"/>
        </w:rPr>
        <w:t xml:space="preserve"> </w:t>
      </w:r>
      <w:r w:rsidR="0021096D" w:rsidRPr="004F7E53">
        <w:rPr>
          <w:rFonts w:ascii="Arial" w:eastAsia="Calibri" w:hAnsi="Arial" w:cs="Arial"/>
          <w:lang w:val="en-US"/>
        </w:rPr>
        <w:t xml:space="preserve"> legality</w:t>
      </w:r>
      <w:r w:rsidR="00DE240E">
        <w:rPr>
          <w:rFonts w:ascii="Arial" w:eastAsia="Calibri" w:hAnsi="Arial" w:cs="Arial"/>
          <w:lang w:val="en-US"/>
        </w:rPr>
        <w:t>,</w:t>
      </w:r>
      <w:r w:rsidR="0021096D" w:rsidRPr="004F7E53">
        <w:rPr>
          <w:rFonts w:ascii="Arial" w:eastAsia="Calibri" w:hAnsi="Arial" w:cs="Arial"/>
          <w:lang w:val="en-US"/>
        </w:rPr>
        <w:t xml:space="preserve"> and that being the case</w:t>
      </w:r>
      <w:r w:rsidR="00167BC1">
        <w:rPr>
          <w:rFonts w:ascii="Arial" w:eastAsia="Calibri" w:hAnsi="Arial" w:cs="Arial"/>
          <w:lang w:val="en-US"/>
        </w:rPr>
        <w:t>,</w:t>
      </w:r>
      <w:r w:rsidR="0021096D" w:rsidRPr="004F7E53">
        <w:rPr>
          <w:rFonts w:ascii="Arial" w:eastAsia="Calibri" w:hAnsi="Arial" w:cs="Arial"/>
          <w:lang w:val="en-US"/>
        </w:rPr>
        <w:t xml:space="preserve"> in terms of s 1 of PAJA</w:t>
      </w:r>
      <w:r w:rsidR="00DE240E">
        <w:rPr>
          <w:rFonts w:ascii="Arial" w:eastAsia="Calibri" w:hAnsi="Arial" w:cs="Arial"/>
          <w:lang w:val="en-US"/>
        </w:rPr>
        <w:t xml:space="preserve">, </w:t>
      </w:r>
      <w:r w:rsidR="0021096D" w:rsidRPr="004F7E53">
        <w:rPr>
          <w:rFonts w:ascii="Arial" w:eastAsia="Calibri" w:hAnsi="Arial" w:cs="Arial"/>
          <w:lang w:val="en-US"/>
        </w:rPr>
        <w:t xml:space="preserve">the liquidators could </w:t>
      </w:r>
      <w:r w:rsidR="004E513A" w:rsidRPr="004F7E53">
        <w:rPr>
          <w:rFonts w:ascii="Arial" w:eastAsia="Calibri" w:hAnsi="Arial" w:cs="Arial"/>
          <w:lang w:val="en-US"/>
        </w:rPr>
        <w:t xml:space="preserve">bring </w:t>
      </w:r>
      <w:r w:rsidR="0021096D" w:rsidRPr="004F7E53">
        <w:rPr>
          <w:rFonts w:ascii="Arial" w:eastAsia="Calibri" w:hAnsi="Arial" w:cs="Arial"/>
          <w:lang w:val="en-US"/>
        </w:rPr>
        <w:t>the application before a court within whose jurisdiction the administrative action occurred or the party</w:t>
      </w:r>
      <w:r w:rsidR="005A3383" w:rsidRPr="004F7E53">
        <w:rPr>
          <w:rFonts w:ascii="Arial" w:eastAsia="Calibri" w:hAnsi="Arial" w:cs="Arial"/>
          <w:lang w:val="en-US"/>
        </w:rPr>
        <w:t>,</w:t>
      </w:r>
      <w:r w:rsidR="0021096D" w:rsidRPr="004F7E53">
        <w:rPr>
          <w:rFonts w:ascii="Arial" w:eastAsia="Calibri" w:hAnsi="Arial" w:cs="Arial"/>
          <w:lang w:val="en-US"/>
        </w:rPr>
        <w:t xml:space="preserve"> whose rights </w:t>
      </w:r>
      <w:r w:rsidR="00167BC1">
        <w:rPr>
          <w:rFonts w:ascii="Arial" w:eastAsia="Calibri" w:hAnsi="Arial" w:cs="Arial"/>
          <w:lang w:val="en-US"/>
        </w:rPr>
        <w:t>were</w:t>
      </w:r>
      <w:r w:rsidR="0021096D" w:rsidRPr="004F7E53">
        <w:rPr>
          <w:rFonts w:ascii="Arial" w:eastAsia="Calibri" w:hAnsi="Arial" w:cs="Arial"/>
          <w:lang w:val="en-US"/>
        </w:rPr>
        <w:t xml:space="preserve"> affected</w:t>
      </w:r>
      <w:r w:rsidR="005A3383" w:rsidRPr="004F7E53">
        <w:rPr>
          <w:rFonts w:ascii="Arial" w:eastAsia="Calibri" w:hAnsi="Arial" w:cs="Arial"/>
          <w:lang w:val="en-US"/>
        </w:rPr>
        <w:t>,</w:t>
      </w:r>
      <w:r w:rsidR="0021096D" w:rsidRPr="004F7E53">
        <w:rPr>
          <w:rFonts w:ascii="Arial" w:eastAsia="Calibri" w:hAnsi="Arial" w:cs="Arial"/>
          <w:lang w:val="en-US"/>
        </w:rPr>
        <w:t xml:space="preserve"> is domiciled or ordinarily resident. The bank accounts in respect of which the forfeiture orders were issued, were held with the bank</w:t>
      </w:r>
      <w:r w:rsidR="005A3383" w:rsidRPr="004F7E53">
        <w:rPr>
          <w:rFonts w:ascii="Arial" w:eastAsia="Calibri" w:hAnsi="Arial" w:cs="Arial"/>
          <w:lang w:val="en-US"/>
        </w:rPr>
        <w:t>s located in Durban and accordingly t</w:t>
      </w:r>
      <w:r w:rsidR="0021096D" w:rsidRPr="004F7E53">
        <w:rPr>
          <w:rFonts w:ascii="Arial" w:eastAsia="Calibri" w:hAnsi="Arial" w:cs="Arial"/>
          <w:lang w:val="en-US"/>
        </w:rPr>
        <w:t>he high court had the requisite jurisdiction to entertain the application</w:t>
      </w:r>
      <w:r w:rsidR="005A3383" w:rsidRPr="004F7E53">
        <w:rPr>
          <w:rFonts w:ascii="Arial" w:eastAsia="Calibri" w:hAnsi="Arial" w:cs="Arial"/>
          <w:lang w:val="en-US"/>
        </w:rPr>
        <w:t>. T</w:t>
      </w:r>
      <w:r w:rsidR="0021096D" w:rsidRPr="004F7E53">
        <w:rPr>
          <w:rFonts w:ascii="Arial" w:eastAsia="Calibri" w:hAnsi="Arial" w:cs="Arial"/>
          <w:lang w:val="en-US"/>
        </w:rPr>
        <w:t>he lack of jurisdiction point was correctly rejected by the high court.</w:t>
      </w:r>
    </w:p>
    <w:p w14:paraId="1997EC0D" w14:textId="77777777" w:rsidR="00550410" w:rsidRPr="00004CDD" w:rsidRDefault="00550410" w:rsidP="00AA6AA5">
      <w:pPr>
        <w:pStyle w:val="ListParagraph"/>
        <w:spacing w:line="480" w:lineRule="auto"/>
        <w:rPr>
          <w:rFonts w:ascii="Arial" w:eastAsia="Calibri" w:hAnsi="Arial" w:cs="Arial"/>
          <w:lang w:val="en-US"/>
        </w:rPr>
      </w:pPr>
    </w:p>
    <w:p w14:paraId="10ED23D8" w14:textId="713395AD" w:rsidR="00263A48" w:rsidRPr="00263A48" w:rsidRDefault="004F7E53" w:rsidP="00B8381F">
      <w:pPr>
        <w:spacing w:line="480" w:lineRule="auto"/>
        <w:jc w:val="both"/>
        <w:rPr>
          <w:rFonts w:ascii="Arial" w:eastAsia="Calibri" w:hAnsi="Arial" w:cs="Arial"/>
          <w:lang w:val="en-US"/>
        </w:rPr>
      </w:pPr>
      <w:r>
        <w:rPr>
          <w:rFonts w:ascii="Arial" w:eastAsia="Calibri" w:hAnsi="Arial" w:cs="Arial"/>
          <w:lang w:val="en-US"/>
        </w:rPr>
        <w:t>[22]</w:t>
      </w:r>
      <w:r>
        <w:rPr>
          <w:rFonts w:ascii="Arial" w:eastAsia="Calibri" w:hAnsi="Arial" w:cs="Arial"/>
          <w:lang w:val="en-US"/>
        </w:rPr>
        <w:tab/>
      </w:r>
      <w:r w:rsidR="00263A48" w:rsidRPr="004F7E53">
        <w:rPr>
          <w:rFonts w:ascii="Arial" w:eastAsia="Calibri" w:hAnsi="Arial" w:cs="Arial"/>
          <w:lang w:val="en-US"/>
        </w:rPr>
        <w:t>As I see it, the thrust of the liquidators’ case in the high court was that after the commencement of the winding-up, it was no</w:t>
      </w:r>
      <w:r w:rsidR="007B0678" w:rsidRPr="004F7E53">
        <w:rPr>
          <w:rFonts w:ascii="Arial" w:eastAsia="Calibri" w:hAnsi="Arial" w:cs="Arial"/>
          <w:lang w:val="en-US"/>
        </w:rPr>
        <w:t xml:space="preserve"> </w:t>
      </w:r>
      <w:r w:rsidR="00263A48" w:rsidRPr="004F7E53">
        <w:rPr>
          <w:rFonts w:ascii="Arial" w:eastAsia="Calibri" w:hAnsi="Arial" w:cs="Arial"/>
          <w:lang w:val="en-US"/>
        </w:rPr>
        <w:t xml:space="preserve">longer legally permissible for the Reserve Bank to exercise a power under Regulation 22B to </w:t>
      </w:r>
      <w:r w:rsidR="00C046AB">
        <w:rPr>
          <w:rFonts w:ascii="Arial" w:eastAsia="Calibri" w:hAnsi="Arial" w:cs="Arial"/>
          <w:lang w:val="en-US"/>
        </w:rPr>
        <w:t xml:space="preserve">order the </w:t>
      </w:r>
      <w:r w:rsidR="00263A48" w:rsidRPr="004F7E53">
        <w:rPr>
          <w:rFonts w:ascii="Arial" w:eastAsia="Calibri" w:hAnsi="Arial" w:cs="Arial"/>
          <w:lang w:val="en-US"/>
        </w:rPr>
        <w:t>forfeit</w:t>
      </w:r>
      <w:r w:rsidR="00C046AB">
        <w:rPr>
          <w:rFonts w:ascii="Arial" w:eastAsia="Calibri" w:hAnsi="Arial" w:cs="Arial"/>
          <w:lang w:val="en-US"/>
        </w:rPr>
        <w:t>ure of the</w:t>
      </w:r>
      <w:r w:rsidR="00263A48" w:rsidRPr="004F7E53">
        <w:rPr>
          <w:rFonts w:ascii="Arial" w:eastAsia="Calibri" w:hAnsi="Arial" w:cs="Arial"/>
          <w:lang w:val="en-US"/>
        </w:rPr>
        <w:t xml:space="preserve"> assets of the companies in liquidation and that the purpo</w:t>
      </w:r>
      <w:r w:rsidR="004E513A" w:rsidRPr="004F7E53">
        <w:rPr>
          <w:rFonts w:ascii="Arial" w:eastAsia="Calibri" w:hAnsi="Arial" w:cs="Arial"/>
          <w:lang w:val="en-US"/>
        </w:rPr>
        <w:t>r</w:t>
      </w:r>
      <w:r w:rsidR="00263A48" w:rsidRPr="004F7E53">
        <w:rPr>
          <w:rFonts w:ascii="Arial" w:eastAsia="Calibri" w:hAnsi="Arial" w:cs="Arial"/>
          <w:lang w:val="en-US"/>
        </w:rPr>
        <w:t xml:space="preserve">ted forfeiture orders were </w:t>
      </w:r>
      <w:r w:rsidR="00263A48" w:rsidRPr="004F7E53">
        <w:rPr>
          <w:rFonts w:ascii="Arial" w:eastAsia="Calibri" w:hAnsi="Arial" w:cs="Arial"/>
          <w:i/>
          <w:lang w:val="en-US"/>
        </w:rPr>
        <w:t>ultra vires</w:t>
      </w:r>
      <w:r w:rsidR="00263A48" w:rsidRPr="004F7E53">
        <w:rPr>
          <w:rFonts w:ascii="Arial" w:eastAsia="Calibri" w:hAnsi="Arial" w:cs="Arial"/>
          <w:lang w:val="en-US"/>
        </w:rPr>
        <w:t>. The</w:t>
      </w:r>
      <w:r w:rsidR="00B8381F">
        <w:rPr>
          <w:rFonts w:ascii="Arial" w:eastAsia="Calibri" w:hAnsi="Arial" w:cs="Arial"/>
          <w:lang w:val="en-US"/>
        </w:rPr>
        <w:t xml:space="preserve"> factual basis for this contention was that</w:t>
      </w:r>
      <w:r w:rsidR="00263A48" w:rsidRPr="004F7E53">
        <w:rPr>
          <w:rFonts w:ascii="Arial" w:eastAsia="Calibri" w:hAnsi="Arial" w:cs="Arial"/>
          <w:lang w:val="en-US"/>
        </w:rPr>
        <w:t xml:space="preserve"> the Reserve Bank, after issuing  the blocking orders</w:t>
      </w:r>
      <w:r w:rsidR="00B8381F">
        <w:rPr>
          <w:rFonts w:ascii="Arial" w:eastAsia="Calibri" w:hAnsi="Arial" w:cs="Arial"/>
          <w:lang w:val="en-US"/>
        </w:rPr>
        <w:t xml:space="preserve"> in respect of the monies standing to the credit of the companies</w:t>
      </w:r>
      <w:r w:rsidR="007B0678" w:rsidRPr="004F7E53">
        <w:rPr>
          <w:rFonts w:ascii="Arial" w:eastAsia="Calibri" w:hAnsi="Arial" w:cs="Arial"/>
          <w:lang w:val="en-US"/>
        </w:rPr>
        <w:t>,</w:t>
      </w:r>
      <w:r w:rsidR="00D502AD" w:rsidRPr="004F7E53">
        <w:rPr>
          <w:rFonts w:ascii="Arial" w:eastAsia="Calibri" w:hAnsi="Arial" w:cs="Arial"/>
          <w:lang w:val="en-US"/>
        </w:rPr>
        <w:t xml:space="preserve"> became the</w:t>
      </w:r>
      <w:r w:rsidR="00B8381F">
        <w:rPr>
          <w:rFonts w:ascii="Arial" w:eastAsia="Calibri" w:hAnsi="Arial" w:cs="Arial"/>
          <w:lang w:val="en-US"/>
        </w:rPr>
        <w:t>ir</w:t>
      </w:r>
      <w:r w:rsidR="00D502AD" w:rsidRPr="004F7E53">
        <w:rPr>
          <w:rFonts w:ascii="Arial" w:eastAsia="Calibri" w:hAnsi="Arial" w:cs="Arial"/>
          <w:lang w:val="en-US"/>
        </w:rPr>
        <w:t xml:space="preserve"> creditor</w:t>
      </w:r>
      <w:r w:rsidR="00B8381F">
        <w:rPr>
          <w:rFonts w:ascii="Arial" w:eastAsia="Calibri" w:hAnsi="Arial" w:cs="Arial"/>
          <w:lang w:val="en-US"/>
        </w:rPr>
        <w:t>.</w:t>
      </w:r>
      <w:r w:rsidR="00D502AD" w:rsidRPr="004F7E53">
        <w:rPr>
          <w:rFonts w:ascii="Arial" w:eastAsia="Calibri" w:hAnsi="Arial" w:cs="Arial"/>
          <w:lang w:val="en-US"/>
        </w:rPr>
        <w:t xml:space="preserve"> </w:t>
      </w:r>
      <w:r w:rsidR="00C046AB">
        <w:rPr>
          <w:rFonts w:ascii="Arial" w:eastAsia="Calibri" w:hAnsi="Arial" w:cs="Arial"/>
          <w:lang w:val="en-US"/>
        </w:rPr>
        <w:t>It</w:t>
      </w:r>
      <w:r w:rsidR="00D502AD" w:rsidRPr="004F7E53">
        <w:rPr>
          <w:rFonts w:ascii="Arial" w:eastAsia="Calibri" w:hAnsi="Arial" w:cs="Arial"/>
          <w:lang w:val="en-US"/>
        </w:rPr>
        <w:t xml:space="preserve"> </w:t>
      </w:r>
      <w:r w:rsidR="002E6ECB" w:rsidRPr="007F5C66">
        <w:rPr>
          <w:rFonts w:ascii="Arial" w:eastAsia="Calibri" w:hAnsi="Arial" w:cs="Arial"/>
          <w:lang w:val="en-US"/>
        </w:rPr>
        <w:t>was required to participate in</w:t>
      </w:r>
      <w:r w:rsidR="002E6ECB">
        <w:rPr>
          <w:rFonts w:ascii="Arial" w:eastAsia="Calibri" w:hAnsi="Arial" w:cs="Arial"/>
          <w:lang w:val="en-US"/>
        </w:rPr>
        <w:t xml:space="preserve"> </w:t>
      </w:r>
      <w:r w:rsidR="00D502AD" w:rsidRPr="004F7E53">
        <w:rPr>
          <w:rFonts w:ascii="Arial" w:eastAsia="Calibri" w:hAnsi="Arial" w:cs="Arial"/>
          <w:lang w:val="en-US"/>
        </w:rPr>
        <w:t xml:space="preserve">the </w:t>
      </w:r>
      <w:r w:rsidR="00D502AD" w:rsidRPr="004F7E53">
        <w:rPr>
          <w:rFonts w:ascii="Arial" w:eastAsia="Calibri" w:hAnsi="Arial" w:cs="Arial"/>
          <w:i/>
          <w:lang w:val="en-US"/>
        </w:rPr>
        <w:t xml:space="preserve">concurus creditorum, </w:t>
      </w:r>
      <w:r w:rsidR="00D502AD" w:rsidRPr="004F7E53">
        <w:rPr>
          <w:rFonts w:ascii="Arial" w:eastAsia="Calibri" w:hAnsi="Arial" w:cs="Arial"/>
          <w:lang w:val="en-US"/>
        </w:rPr>
        <w:t>and could therefore not validly deal with the assets of the companies in liquidation by the issue of forfeiture orders</w:t>
      </w:r>
      <w:r w:rsidR="00DE240E">
        <w:rPr>
          <w:rFonts w:ascii="Arial" w:eastAsia="Calibri" w:hAnsi="Arial" w:cs="Arial"/>
          <w:lang w:val="en-US"/>
        </w:rPr>
        <w:t>,</w:t>
      </w:r>
      <w:r w:rsidR="00D502AD" w:rsidRPr="004F7E53">
        <w:rPr>
          <w:rFonts w:ascii="Arial" w:eastAsia="Calibri" w:hAnsi="Arial" w:cs="Arial"/>
          <w:lang w:val="en-US"/>
        </w:rPr>
        <w:t xml:space="preserve"> which prejudiced other creditors.</w:t>
      </w:r>
    </w:p>
    <w:p w14:paraId="71809BB6" w14:textId="77777777" w:rsidR="008E0232" w:rsidRPr="00004CDD" w:rsidRDefault="008E0232" w:rsidP="00AA6AA5">
      <w:pPr>
        <w:spacing w:line="480" w:lineRule="auto"/>
        <w:jc w:val="both"/>
        <w:rPr>
          <w:rFonts w:ascii="Arial" w:eastAsia="Calibri" w:hAnsi="Arial" w:cs="Arial"/>
          <w:lang w:val="en-US"/>
        </w:rPr>
      </w:pPr>
    </w:p>
    <w:p w14:paraId="51647336" w14:textId="06997483" w:rsidR="00D502AD" w:rsidRPr="00D92EED" w:rsidRDefault="004F7E53" w:rsidP="004F7E53">
      <w:pPr>
        <w:pStyle w:val="ListParagraph"/>
        <w:spacing w:line="480" w:lineRule="auto"/>
        <w:ind w:left="0"/>
        <w:jc w:val="both"/>
        <w:rPr>
          <w:rFonts w:ascii="Arial" w:eastAsia="Calibri" w:hAnsi="Arial" w:cs="Arial"/>
          <w:lang w:val="en-US"/>
        </w:rPr>
      </w:pPr>
      <w:r>
        <w:rPr>
          <w:rFonts w:ascii="Arial" w:eastAsia="Calibri" w:hAnsi="Arial" w:cs="Arial"/>
          <w:lang w:val="en-US"/>
        </w:rPr>
        <w:t>[23]</w:t>
      </w:r>
      <w:r>
        <w:rPr>
          <w:rFonts w:ascii="Arial" w:eastAsia="Calibri" w:hAnsi="Arial" w:cs="Arial"/>
          <w:lang w:val="en-US"/>
        </w:rPr>
        <w:tab/>
      </w:r>
      <w:r w:rsidR="006736AF" w:rsidRPr="00D92EED">
        <w:rPr>
          <w:rFonts w:ascii="Arial" w:eastAsia="Calibri" w:hAnsi="Arial" w:cs="Arial"/>
          <w:lang w:val="en-US"/>
        </w:rPr>
        <w:t xml:space="preserve">The </w:t>
      </w:r>
      <w:r w:rsidR="007B0678" w:rsidRPr="00D92EED">
        <w:rPr>
          <w:rFonts w:ascii="Arial" w:eastAsia="Calibri" w:hAnsi="Arial" w:cs="Arial"/>
          <w:lang w:val="en-US"/>
        </w:rPr>
        <w:t>liquidators’ contentions found favour with the high court. It granted orders declaring the three forfeiture orders null and void and directing the National Treasury to pay the amounts referred to in the forfeiture orders together with interest, to the liqu</w:t>
      </w:r>
      <w:r w:rsidR="00DE240E">
        <w:rPr>
          <w:rFonts w:ascii="Arial" w:eastAsia="Calibri" w:hAnsi="Arial" w:cs="Arial"/>
          <w:lang w:val="en-US"/>
        </w:rPr>
        <w:t>i</w:t>
      </w:r>
      <w:r w:rsidR="007B0678" w:rsidRPr="00D92EED">
        <w:rPr>
          <w:rFonts w:ascii="Arial" w:eastAsia="Calibri" w:hAnsi="Arial" w:cs="Arial"/>
          <w:lang w:val="en-US"/>
        </w:rPr>
        <w:t>dators.</w:t>
      </w:r>
      <w:r w:rsidR="00866E45" w:rsidRPr="00D92EED">
        <w:rPr>
          <w:rFonts w:ascii="Arial" w:eastAsia="Calibri" w:hAnsi="Arial" w:cs="Arial"/>
          <w:lang w:val="en-US"/>
        </w:rPr>
        <w:t xml:space="preserve"> It ordered the Reserve Bank and the National Treasury, jointly and severally</w:t>
      </w:r>
      <w:r w:rsidR="00DE240E">
        <w:rPr>
          <w:rFonts w:ascii="Arial" w:eastAsia="Calibri" w:hAnsi="Arial" w:cs="Arial"/>
          <w:lang w:val="en-US"/>
        </w:rPr>
        <w:t>,</w:t>
      </w:r>
      <w:r w:rsidR="00866E45" w:rsidRPr="00D92EED">
        <w:rPr>
          <w:rFonts w:ascii="Arial" w:eastAsia="Calibri" w:hAnsi="Arial" w:cs="Arial"/>
          <w:lang w:val="en-US"/>
        </w:rPr>
        <w:t xml:space="preserve"> to pay the liquidators’ costs</w:t>
      </w:r>
      <w:r w:rsidR="00DE240E">
        <w:rPr>
          <w:rFonts w:ascii="Arial" w:eastAsia="Calibri" w:hAnsi="Arial" w:cs="Arial"/>
          <w:lang w:val="en-US"/>
        </w:rPr>
        <w:t>,</w:t>
      </w:r>
      <w:r w:rsidR="00866E45" w:rsidRPr="00D92EED">
        <w:rPr>
          <w:rFonts w:ascii="Arial" w:eastAsia="Calibri" w:hAnsi="Arial" w:cs="Arial"/>
          <w:lang w:val="en-US"/>
        </w:rPr>
        <w:t xml:space="preserve"> including costs of two counsel. </w:t>
      </w:r>
      <w:r w:rsidR="006C2E32" w:rsidRPr="00D92EED">
        <w:rPr>
          <w:rFonts w:ascii="Arial" w:eastAsia="Calibri" w:hAnsi="Arial" w:cs="Arial"/>
          <w:lang w:val="en-US"/>
        </w:rPr>
        <w:t xml:space="preserve"> </w:t>
      </w:r>
    </w:p>
    <w:p w14:paraId="6FEF4B4A" w14:textId="271E0D36" w:rsidR="001F3924" w:rsidRPr="006C2E32" w:rsidRDefault="008840B0" w:rsidP="00AA6AA5">
      <w:pPr>
        <w:pStyle w:val="ListParagraph"/>
        <w:spacing w:line="480" w:lineRule="auto"/>
        <w:ind w:left="0"/>
        <w:jc w:val="both"/>
        <w:rPr>
          <w:rFonts w:ascii="Arial" w:eastAsia="Calibri" w:hAnsi="Arial" w:cs="Arial"/>
          <w:highlight w:val="yellow"/>
          <w:lang w:val="en-US"/>
        </w:rPr>
      </w:pPr>
      <w:r w:rsidRPr="008840B0">
        <w:rPr>
          <w:rFonts w:ascii="Arial" w:eastAsia="Calibri" w:hAnsi="Arial" w:cs="Arial"/>
          <w:lang w:val="en-US"/>
        </w:rPr>
        <w:t xml:space="preserve"> </w:t>
      </w:r>
    </w:p>
    <w:p w14:paraId="49A92200" w14:textId="53E7ADF6" w:rsidR="00D92EED" w:rsidRDefault="008840B0" w:rsidP="007E6614">
      <w:pPr>
        <w:pStyle w:val="ListParagraph"/>
        <w:spacing w:line="480" w:lineRule="auto"/>
        <w:ind w:left="0"/>
        <w:jc w:val="both"/>
        <w:rPr>
          <w:rFonts w:ascii="Arial" w:eastAsia="Calibri" w:hAnsi="Arial" w:cs="Arial"/>
          <w:lang w:val="en-US"/>
        </w:rPr>
      </w:pPr>
      <w:r w:rsidRPr="004F7E53">
        <w:rPr>
          <w:rFonts w:ascii="Arial" w:eastAsia="Calibri" w:hAnsi="Arial" w:cs="Arial"/>
          <w:lang w:val="en-US"/>
        </w:rPr>
        <w:t>[</w:t>
      </w:r>
      <w:r w:rsidR="00D92EED" w:rsidRPr="004F7E53">
        <w:rPr>
          <w:rFonts w:ascii="Arial" w:eastAsia="Calibri" w:hAnsi="Arial" w:cs="Arial"/>
          <w:lang w:val="en-US"/>
        </w:rPr>
        <w:t>2</w:t>
      </w:r>
      <w:r w:rsidR="004F7E53" w:rsidRPr="004F7E53">
        <w:rPr>
          <w:rFonts w:ascii="Arial" w:eastAsia="Calibri" w:hAnsi="Arial" w:cs="Arial"/>
          <w:lang w:val="en-US"/>
        </w:rPr>
        <w:t>4</w:t>
      </w:r>
      <w:r w:rsidRPr="004F7E53">
        <w:rPr>
          <w:rFonts w:ascii="Arial" w:eastAsia="Calibri" w:hAnsi="Arial" w:cs="Arial"/>
          <w:lang w:val="en-US"/>
        </w:rPr>
        <w:t>]</w:t>
      </w:r>
      <w:r w:rsidRPr="008840B0">
        <w:rPr>
          <w:rFonts w:ascii="Arial" w:eastAsia="Calibri" w:hAnsi="Arial" w:cs="Arial"/>
          <w:lang w:val="en-US"/>
        </w:rPr>
        <w:t xml:space="preserve">     Central to the </w:t>
      </w:r>
      <w:r w:rsidR="00AA6AA5">
        <w:rPr>
          <w:rFonts w:ascii="Arial" w:eastAsia="Calibri" w:hAnsi="Arial" w:cs="Arial"/>
          <w:lang w:val="en-US"/>
        </w:rPr>
        <w:t>h</w:t>
      </w:r>
      <w:r w:rsidRPr="008840B0">
        <w:rPr>
          <w:rFonts w:ascii="Arial" w:eastAsia="Calibri" w:hAnsi="Arial" w:cs="Arial"/>
          <w:lang w:val="en-US"/>
        </w:rPr>
        <w:t xml:space="preserve">igh </w:t>
      </w:r>
      <w:r w:rsidR="00AA6AA5">
        <w:rPr>
          <w:rFonts w:ascii="Arial" w:eastAsia="Calibri" w:hAnsi="Arial" w:cs="Arial"/>
          <w:lang w:val="en-US"/>
        </w:rPr>
        <w:t>c</w:t>
      </w:r>
      <w:r w:rsidR="00D92EED">
        <w:rPr>
          <w:rFonts w:ascii="Arial" w:eastAsia="Calibri" w:hAnsi="Arial" w:cs="Arial"/>
          <w:lang w:val="en-US"/>
        </w:rPr>
        <w:t>ourt</w:t>
      </w:r>
      <w:r w:rsidR="00DE240E">
        <w:rPr>
          <w:rFonts w:ascii="Arial" w:eastAsia="Calibri" w:hAnsi="Arial" w:cs="Arial"/>
          <w:lang w:val="en-US"/>
        </w:rPr>
        <w:t>’s</w:t>
      </w:r>
      <w:r w:rsidR="00D92EED">
        <w:rPr>
          <w:rFonts w:ascii="Arial" w:eastAsia="Calibri" w:hAnsi="Arial" w:cs="Arial"/>
          <w:lang w:val="en-US"/>
        </w:rPr>
        <w:t xml:space="preserve"> conclusion</w:t>
      </w:r>
      <w:r w:rsidRPr="008840B0">
        <w:rPr>
          <w:rFonts w:ascii="Arial" w:eastAsia="Calibri" w:hAnsi="Arial" w:cs="Arial"/>
          <w:lang w:val="en-US"/>
        </w:rPr>
        <w:t xml:space="preserve"> were the following findings:</w:t>
      </w:r>
    </w:p>
    <w:p w14:paraId="7F16064A" w14:textId="619CA0FE" w:rsidR="008840B0" w:rsidRPr="007E6614" w:rsidRDefault="008840B0" w:rsidP="007E6614">
      <w:pPr>
        <w:pStyle w:val="ListParagraph"/>
        <w:spacing w:line="480" w:lineRule="auto"/>
        <w:ind w:left="0"/>
        <w:jc w:val="both"/>
        <w:rPr>
          <w:rFonts w:ascii="Arial" w:eastAsia="Calibri" w:hAnsi="Arial" w:cs="Arial"/>
          <w:lang w:val="en-US"/>
        </w:rPr>
      </w:pPr>
      <w:r w:rsidRPr="008840B0">
        <w:rPr>
          <w:rFonts w:ascii="Arial" w:eastAsia="Calibri" w:hAnsi="Arial" w:cs="Arial"/>
          <w:lang w:val="en-US"/>
        </w:rPr>
        <w:t>(a)</w:t>
      </w:r>
      <w:r w:rsidRPr="008840B0">
        <w:rPr>
          <w:rFonts w:ascii="Arial" w:eastAsia="Calibri" w:hAnsi="Arial" w:cs="Arial"/>
          <w:lang w:val="en-US"/>
        </w:rPr>
        <w:tab/>
        <w:t>The effect of the forfeiture orders was that the Reserve Bank became a creditor of each of the companies, its claim being to the contractual right each company had against each of the affected banks.</w:t>
      </w:r>
    </w:p>
    <w:p w14:paraId="0B046DF7" w14:textId="23988881" w:rsidR="008840B0" w:rsidRPr="008840B0" w:rsidRDefault="008840B0" w:rsidP="00AA6AA5">
      <w:pPr>
        <w:pStyle w:val="ListParagraph"/>
        <w:spacing w:line="480" w:lineRule="auto"/>
        <w:ind w:left="0"/>
        <w:jc w:val="both"/>
        <w:rPr>
          <w:rFonts w:ascii="Arial" w:eastAsia="Calibri" w:hAnsi="Arial" w:cs="Arial"/>
          <w:lang w:val="en-US"/>
        </w:rPr>
      </w:pPr>
      <w:r w:rsidRPr="00973FEE">
        <w:rPr>
          <w:rFonts w:ascii="Arial" w:eastAsia="Calibri" w:hAnsi="Arial" w:cs="Arial"/>
          <w:lang w:val="en-US"/>
        </w:rPr>
        <w:t>(b)</w:t>
      </w:r>
      <w:r w:rsidRPr="00973FEE">
        <w:rPr>
          <w:rFonts w:ascii="Arial" w:eastAsia="Calibri" w:hAnsi="Arial" w:cs="Arial"/>
          <w:lang w:val="en-US"/>
        </w:rPr>
        <w:tab/>
      </w:r>
      <w:r w:rsidRPr="0084086E">
        <w:rPr>
          <w:rFonts w:ascii="Arial" w:eastAsia="Calibri" w:hAnsi="Arial" w:cs="Arial"/>
          <w:lang w:val="en-US"/>
        </w:rPr>
        <w:t>The Reserve Bank was already a creditor at the time of the commencement of the winding-up as blocking orders were already in place. ‘Whether the claims against the banks for the money in question would be lost to the companies depended on a condition, namely a decision by the Reserve Bank that the claim should be forfeited. The Reserve Bank qualified as a creditor with a conditional claim on the date of the winding-up’.</w:t>
      </w:r>
    </w:p>
    <w:p w14:paraId="43FB645D" w14:textId="77777777" w:rsidR="008840B0" w:rsidRPr="008840B0" w:rsidRDefault="008840B0" w:rsidP="00AA6AA5">
      <w:pPr>
        <w:pStyle w:val="ListParagraph"/>
        <w:spacing w:line="480" w:lineRule="auto"/>
        <w:ind w:left="0"/>
        <w:jc w:val="both"/>
        <w:rPr>
          <w:rFonts w:ascii="Arial" w:eastAsia="Calibri" w:hAnsi="Arial" w:cs="Arial"/>
          <w:lang w:val="en-US"/>
        </w:rPr>
      </w:pPr>
      <w:r w:rsidRPr="008840B0">
        <w:rPr>
          <w:rFonts w:ascii="Arial" w:eastAsia="Calibri" w:hAnsi="Arial" w:cs="Arial"/>
          <w:lang w:val="en-US"/>
        </w:rPr>
        <w:t>(c)</w:t>
      </w:r>
      <w:r w:rsidRPr="008840B0">
        <w:rPr>
          <w:rFonts w:ascii="Arial" w:eastAsia="Calibri" w:hAnsi="Arial" w:cs="Arial"/>
          <w:lang w:val="en-US"/>
        </w:rPr>
        <w:tab/>
        <w:t>If insolvency law applies, the liquidators were entitled to take possession of and assert the companies’ rights to claim the amounts standing to the credit of the various bank accounts in which the companies had made deposits, and to deal with the proceeds in discharge of their duties under s 391 of the Companies Act.</w:t>
      </w:r>
    </w:p>
    <w:p w14:paraId="1E461024" w14:textId="610C90D9" w:rsidR="008840B0" w:rsidRPr="008840B0" w:rsidRDefault="008840B0" w:rsidP="00AA6AA5">
      <w:pPr>
        <w:pStyle w:val="ListParagraph"/>
        <w:spacing w:line="480" w:lineRule="auto"/>
        <w:ind w:left="0"/>
        <w:jc w:val="both"/>
        <w:rPr>
          <w:rFonts w:ascii="Arial" w:eastAsia="Calibri" w:hAnsi="Arial" w:cs="Arial"/>
          <w:lang w:val="en-US"/>
        </w:rPr>
      </w:pPr>
      <w:r w:rsidRPr="008840B0">
        <w:rPr>
          <w:rFonts w:ascii="Arial" w:eastAsia="Calibri" w:hAnsi="Arial" w:cs="Arial"/>
          <w:lang w:val="en-US"/>
        </w:rPr>
        <w:t>(d)</w:t>
      </w:r>
      <w:r w:rsidRPr="008840B0">
        <w:rPr>
          <w:rFonts w:ascii="Arial" w:eastAsia="Calibri" w:hAnsi="Arial" w:cs="Arial"/>
          <w:lang w:val="en-US"/>
        </w:rPr>
        <w:tab/>
        <w:t xml:space="preserve">The </w:t>
      </w:r>
      <w:r w:rsidRPr="00193422">
        <w:rPr>
          <w:rFonts w:ascii="Arial" w:eastAsia="Calibri" w:hAnsi="Arial" w:cs="Arial"/>
          <w:lang w:val="en-US"/>
        </w:rPr>
        <w:t>intervention</w:t>
      </w:r>
      <w:r w:rsidRPr="008840B0">
        <w:rPr>
          <w:rFonts w:ascii="Arial" w:eastAsia="Calibri" w:hAnsi="Arial" w:cs="Arial"/>
          <w:lang w:val="en-US"/>
        </w:rPr>
        <w:t xml:space="preserve"> of the winding-up of the companies rendered unlawful the issue of forfeiture orders which made </w:t>
      </w:r>
      <w:r w:rsidR="00DE12EF">
        <w:rPr>
          <w:rFonts w:ascii="Arial" w:eastAsia="Calibri" w:hAnsi="Arial" w:cs="Arial"/>
          <w:lang w:val="en-US"/>
        </w:rPr>
        <w:t>it</w:t>
      </w:r>
      <w:r w:rsidRPr="008840B0">
        <w:rPr>
          <w:rFonts w:ascii="Arial" w:eastAsia="Calibri" w:hAnsi="Arial" w:cs="Arial"/>
          <w:lang w:val="en-US"/>
        </w:rPr>
        <w:t xml:space="preserve"> mandatory for the banks to ignore the companies’ claims, and pay the amounts in question into the National Revenue Fund. </w:t>
      </w:r>
    </w:p>
    <w:p w14:paraId="00E5EC14" w14:textId="77777777" w:rsidR="008840B0" w:rsidRPr="008840B0" w:rsidRDefault="008840B0" w:rsidP="00AA6AA5">
      <w:pPr>
        <w:pStyle w:val="ListParagraph"/>
        <w:spacing w:line="480" w:lineRule="auto"/>
        <w:ind w:left="0"/>
        <w:jc w:val="both"/>
        <w:rPr>
          <w:rFonts w:ascii="Arial" w:eastAsia="Calibri" w:hAnsi="Arial" w:cs="Arial"/>
          <w:lang w:val="en-US"/>
        </w:rPr>
      </w:pPr>
    </w:p>
    <w:p w14:paraId="0F9E7B2F" w14:textId="0B6F3B32" w:rsidR="008840B0" w:rsidRDefault="008840B0" w:rsidP="00AA6AA5">
      <w:pPr>
        <w:pStyle w:val="ListParagraph"/>
        <w:spacing w:line="480" w:lineRule="auto"/>
        <w:ind w:left="0"/>
        <w:jc w:val="both"/>
        <w:rPr>
          <w:rFonts w:ascii="Arial" w:eastAsia="Calibri" w:hAnsi="Arial" w:cs="Arial"/>
          <w:lang w:val="en-US"/>
        </w:rPr>
      </w:pPr>
      <w:r w:rsidRPr="008840B0">
        <w:rPr>
          <w:rFonts w:ascii="Arial" w:eastAsia="Calibri" w:hAnsi="Arial" w:cs="Arial"/>
          <w:lang w:val="en-US"/>
        </w:rPr>
        <w:t>[</w:t>
      </w:r>
      <w:r w:rsidR="00312F44">
        <w:rPr>
          <w:rFonts w:ascii="Arial" w:eastAsia="Calibri" w:hAnsi="Arial" w:cs="Arial"/>
          <w:lang w:val="en-US"/>
        </w:rPr>
        <w:t>2</w:t>
      </w:r>
      <w:r w:rsidR="00973FEE">
        <w:rPr>
          <w:rFonts w:ascii="Arial" w:eastAsia="Calibri" w:hAnsi="Arial" w:cs="Arial"/>
          <w:lang w:val="en-US"/>
        </w:rPr>
        <w:t>5</w:t>
      </w:r>
      <w:r w:rsidR="00F40F1B">
        <w:rPr>
          <w:rFonts w:ascii="Arial" w:eastAsia="Calibri" w:hAnsi="Arial" w:cs="Arial"/>
          <w:lang w:val="en-US"/>
        </w:rPr>
        <w:t>]    It was</w:t>
      </w:r>
      <w:r w:rsidRPr="008840B0">
        <w:rPr>
          <w:rFonts w:ascii="Arial" w:eastAsia="Calibri" w:hAnsi="Arial" w:cs="Arial"/>
          <w:lang w:val="en-US"/>
        </w:rPr>
        <w:t xml:space="preserve"> contended by the Reserve Bank and the National Treasury that the high court err</w:t>
      </w:r>
      <w:r w:rsidR="00D92EED">
        <w:rPr>
          <w:rFonts w:ascii="Arial" w:eastAsia="Calibri" w:hAnsi="Arial" w:cs="Arial"/>
          <w:lang w:val="en-US"/>
        </w:rPr>
        <w:t>ed in finding that</w:t>
      </w:r>
      <w:r w:rsidRPr="008840B0">
        <w:rPr>
          <w:rFonts w:ascii="Arial" w:eastAsia="Calibri" w:hAnsi="Arial" w:cs="Arial"/>
          <w:lang w:val="en-US"/>
        </w:rPr>
        <w:t xml:space="preserve"> the forfeiture o</w:t>
      </w:r>
      <w:r w:rsidR="00D92EED">
        <w:rPr>
          <w:rFonts w:ascii="Arial" w:eastAsia="Calibri" w:hAnsi="Arial" w:cs="Arial"/>
          <w:lang w:val="en-US"/>
        </w:rPr>
        <w:t>rders</w:t>
      </w:r>
      <w:r w:rsidRPr="008840B0">
        <w:rPr>
          <w:rFonts w:ascii="Arial" w:eastAsia="Calibri" w:hAnsi="Arial" w:cs="Arial"/>
          <w:lang w:val="en-US"/>
        </w:rPr>
        <w:t xml:space="preserve"> render</w:t>
      </w:r>
      <w:r w:rsidR="00D92EED">
        <w:rPr>
          <w:rFonts w:ascii="Arial" w:eastAsia="Calibri" w:hAnsi="Arial" w:cs="Arial"/>
          <w:lang w:val="en-US"/>
        </w:rPr>
        <w:t>ed</w:t>
      </w:r>
      <w:r w:rsidRPr="008840B0">
        <w:rPr>
          <w:rFonts w:ascii="Arial" w:eastAsia="Calibri" w:hAnsi="Arial" w:cs="Arial"/>
          <w:lang w:val="en-US"/>
        </w:rPr>
        <w:t xml:space="preserve"> the Reserve Bank a creditor of the respective companies with a conditional claim on the date of the winding</w:t>
      </w:r>
      <w:r w:rsidR="00D92EED">
        <w:rPr>
          <w:rFonts w:ascii="Arial" w:eastAsia="Calibri" w:hAnsi="Arial" w:cs="Arial"/>
          <w:lang w:val="en-US"/>
        </w:rPr>
        <w:t>-up of the two companies. They</w:t>
      </w:r>
      <w:r w:rsidRPr="008840B0">
        <w:rPr>
          <w:rFonts w:ascii="Arial" w:eastAsia="Calibri" w:hAnsi="Arial" w:cs="Arial"/>
          <w:lang w:val="en-US"/>
        </w:rPr>
        <w:t xml:space="preserve"> argued that the funds targeted by the forfeiture orders belong</w:t>
      </w:r>
      <w:r w:rsidR="00D92EED">
        <w:rPr>
          <w:rFonts w:ascii="Arial" w:eastAsia="Calibri" w:hAnsi="Arial" w:cs="Arial"/>
          <w:lang w:val="en-US"/>
        </w:rPr>
        <w:t>ed</w:t>
      </w:r>
      <w:r w:rsidRPr="008840B0">
        <w:rPr>
          <w:rFonts w:ascii="Arial" w:eastAsia="Calibri" w:hAnsi="Arial" w:cs="Arial"/>
          <w:lang w:val="en-US"/>
        </w:rPr>
        <w:t xml:space="preserve"> neither to the insolvent companies, nor the liquidators. In relation to these funds, proceeded </w:t>
      </w:r>
      <w:r w:rsidR="00D92EED">
        <w:rPr>
          <w:rFonts w:ascii="Arial" w:eastAsia="Calibri" w:hAnsi="Arial" w:cs="Arial"/>
          <w:lang w:val="en-US"/>
        </w:rPr>
        <w:t>the argument, the Reserve Bank wa</w:t>
      </w:r>
      <w:r w:rsidRPr="008840B0">
        <w:rPr>
          <w:rFonts w:ascii="Arial" w:eastAsia="Calibri" w:hAnsi="Arial" w:cs="Arial"/>
          <w:lang w:val="en-US"/>
        </w:rPr>
        <w:t xml:space="preserve">s not a mere creditor and the </w:t>
      </w:r>
      <w:r w:rsidR="00296DF0">
        <w:rPr>
          <w:rFonts w:ascii="Arial" w:eastAsia="Calibri" w:hAnsi="Arial" w:cs="Arial"/>
          <w:lang w:val="en-US"/>
        </w:rPr>
        <w:t>forfeiture orders it sought to enforce, were</w:t>
      </w:r>
      <w:r w:rsidRPr="008840B0">
        <w:rPr>
          <w:rFonts w:ascii="Arial" w:eastAsia="Calibri" w:hAnsi="Arial" w:cs="Arial"/>
          <w:lang w:val="en-US"/>
        </w:rPr>
        <w:t xml:space="preserve"> in no way nullified by the liquidation of the insolvent companies. The Reserve Bank, so it</w:t>
      </w:r>
      <w:r w:rsidR="00296DF0">
        <w:rPr>
          <w:rFonts w:ascii="Arial" w:eastAsia="Calibri" w:hAnsi="Arial" w:cs="Arial"/>
          <w:lang w:val="en-US"/>
        </w:rPr>
        <w:t xml:space="preserve"> was argued, was</w:t>
      </w:r>
      <w:r w:rsidRPr="008840B0">
        <w:rPr>
          <w:rFonts w:ascii="Arial" w:eastAsia="Calibri" w:hAnsi="Arial" w:cs="Arial"/>
          <w:lang w:val="en-US"/>
        </w:rPr>
        <w:t xml:space="preserve"> entitled to enforce the orders and seize the impugned funds. </w:t>
      </w:r>
    </w:p>
    <w:p w14:paraId="51B8E454" w14:textId="77777777" w:rsidR="008840B0" w:rsidRPr="008840B0" w:rsidRDefault="008840B0" w:rsidP="00AA6AA5">
      <w:pPr>
        <w:pStyle w:val="ListParagraph"/>
        <w:spacing w:line="480" w:lineRule="auto"/>
        <w:ind w:left="0"/>
        <w:jc w:val="both"/>
        <w:rPr>
          <w:rFonts w:ascii="Arial" w:eastAsia="Calibri" w:hAnsi="Arial" w:cs="Arial"/>
          <w:lang w:val="en-US"/>
        </w:rPr>
      </w:pPr>
    </w:p>
    <w:p w14:paraId="30600301" w14:textId="38F444CF" w:rsidR="00312F44" w:rsidRPr="008840B0" w:rsidRDefault="008840B0" w:rsidP="00AA6AA5">
      <w:pPr>
        <w:pStyle w:val="ListParagraph"/>
        <w:spacing w:line="480" w:lineRule="auto"/>
        <w:ind w:left="0"/>
        <w:jc w:val="both"/>
        <w:rPr>
          <w:rFonts w:ascii="Arial" w:eastAsia="Calibri" w:hAnsi="Arial" w:cs="Arial"/>
          <w:lang w:val="en-US"/>
        </w:rPr>
      </w:pPr>
      <w:r w:rsidRPr="008840B0">
        <w:rPr>
          <w:rFonts w:ascii="Arial" w:eastAsia="Calibri" w:hAnsi="Arial" w:cs="Arial"/>
          <w:lang w:val="en-US"/>
        </w:rPr>
        <w:t>[</w:t>
      </w:r>
      <w:r w:rsidR="00312F44">
        <w:rPr>
          <w:rFonts w:ascii="Arial" w:eastAsia="Calibri" w:hAnsi="Arial" w:cs="Arial"/>
          <w:lang w:val="en-US"/>
        </w:rPr>
        <w:t>2</w:t>
      </w:r>
      <w:r w:rsidR="00973FEE">
        <w:rPr>
          <w:rFonts w:ascii="Arial" w:eastAsia="Calibri" w:hAnsi="Arial" w:cs="Arial"/>
          <w:lang w:val="en-US"/>
        </w:rPr>
        <w:t>6</w:t>
      </w:r>
      <w:r w:rsidRPr="008840B0">
        <w:rPr>
          <w:rFonts w:ascii="Arial" w:eastAsia="Calibri" w:hAnsi="Arial" w:cs="Arial"/>
          <w:lang w:val="en-US"/>
        </w:rPr>
        <w:t>]   Arguing in support of the</w:t>
      </w:r>
      <w:r w:rsidR="00C046AB">
        <w:rPr>
          <w:rFonts w:ascii="Arial" w:eastAsia="Calibri" w:hAnsi="Arial" w:cs="Arial"/>
          <w:lang w:val="en-US"/>
        </w:rPr>
        <w:t xml:space="preserve"> high court’s</w:t>
      </w:r>
      <w:r w:rsidRPr="008840B0">
        <w:rPr>
          <w:rFonts w:ascii="Arial" w:eastAsia="Calibri" w:hAnsi="Arial" w:cs="Arial"/>
          <w:lang w:val="en-US"/>
        </w:rPr>
        <w:t xml:space="preserve"> judgment, counsel for the liquidators submitted that the reasoning and the findings of the high court c</w:t>
      </w:r>
      <w:r w:rsidR="00C046AB">
        <w:rPr>
          <w:rFonts w:ascii="Arial" w:eastAsia="Calibri" w:hAnsi="Arial" w:cs="Arial"/>
          <w:lang w:val="en-US"/>
        </w:rPr>
        <w:t xml:space="preserve">ould </w:t>
      </w:r>
      <w:r w:rsidRPr="008840B0">
        <w:rPr>
          <w:rFonts w:ascii="Arial" w:eastAsia="Calibri" w:hAnsi="Arial" w:cs="Arial"/>
          <w:lang w:val="en-US"/>
        </w:rPr>
        <w:t>not be</w:t>
      </w:r>
      <w:r w:rsidR="00296DF0">
        <w:rPr>
          <w:rFonts w:ascii="Arial" w:eastAsia="Calibri" w:hAnsi="Arial" w:cs="Arial"/>
          <w:lang w:val="en-US"/>
        </w:rPr>
        <w:t xml:space="preserve"> faulted. He argued that there wa</w:t>
      </w:r>
      <w:r w:rsidRPr="008840B0">
        <w:rPr>
          <w:rFonts w:ascii="Arial" w:eastAsia="Calibri" w:hAnsi="Arial" w:cs="Arial"/>
          <w:lang w:val="en-US"/>
        </w:rPr>
        <w:t xml:space="preserve">s no warrant or justification for the proposition that the regulations trump insolvency law, which he submitted was well established and that being the case, proceeded his argument, the high court was correct when it held that there did not appear to be a dispute about the rights of the Reserve Bank to participate in the insolvent estates. Counsel’s submission is based on authority of </w:t>
      </w:r>
      <w:r w:rsidRPr="001F3924">
        <w:rPr>
          <w:rFonts w:ascii="Arial" w:eastAsia="Calibri" w:hAnsi="Arial" w:cs="Arial"/>
          <w:i/>
          <w:iCs/>
          <w:lang w:val="en-US"/>
        </w:rPr>
        <w:t>Walker v Syfret</w:t>
      </w:r>
      <w:r w:rsidRPr="008840B0">
        <w:rPr>
          <w:rFonts w:ascii="Arial" w:eastAsia="Calibri" w:hAnsi="Arial" w:cs="Arial"/>
          <w:lang w:val="en-US"/>
        </w:rPr>
        <w:t xml:space="preserve"> </w:t>
      </w:r>
      <w:r w:rsidRPr="00296DF0">
        <w:rPr>
          <w:rFonts w:ascii="Arial" w:eastAsia="Calibri" w:hAnsi="Arial" w:cs="Arial"/>
          <w:iCs/>
          <w:lang w:val="en-US"/>
        </w:rPr>
        <w:t>1911 AD 141</w:t>
      </w:r>
      <w:r w:rsidRPr="008840B0">
        <w:rPr>
          <w:rFonts w:ascii="Arial" w:eastAsia="Calibri" w:hAnsi="Arial" w:cs="Arial"/>
          <w:lang w:val="en-US"/>
        </w:rPr>
        <w:t xml:space="preserve"> in which it was held at 160:</w:t>
      </w:r>
    </w:p>
    <w:p w14:paraId="68667B67" w14:textId="4F055AA2" w:rsidR="008840B0" w:rsidRPr="0084086E" w:rsidRDefault="008840B0" w:rsidP="00AA6AA5">
      <w:pPr>
        <w:pStyle w:val="ListParagraph"/>
        <w:spacing w:line="480" w:lineRule="auto"/>
        <w:ind w:left="0"/>
        <w:jc w:val="both"/>
        <w:rPr>
          <w:rFonts w:ascii="Arial" w:eastAsia="Calibri" w:hAnsi="Arial" w:cs="Arial"/>
          <w:sz w:val="22"/>
          <w:szCs w:val="22"/>
          <w:lang w:val="en-US"/>
        </w:rPr>
      </w:pPr>
      <w:r w:rsidRPr="0084086E">
        <w:rPr>
          <w:rFonts w:ascii="Arial" w:eastAsia="Calibri" w:hAnsi="Arial" w:cs="Arial"/>
          <w:sz w:val="22"/>
          <w:szCs w:val="22"/>
          <w:lang w:val="en-US"/>
        </w:rPr>
        <w:t xml:space="preserve">‘The effect of a winding-up order is to establish a </w:t>
      </w:r>
      <w:r w:rsidRPr="0084086E">
        <w:rPr>
          <w:rFonts w:ascii="Arial" w:eastAsia="Calibri" w:hAnsi="Arial" w:cs="Arial"/>
          <w:i/>
          <w:iCs/>
          <w:sz w:val="22"/>
          <w:szCs w:val="22"/>
          <w:lang w:val="en-US"/>
        </w:rPr>
        <w:t>concursus creditorum</w:t>
      </w:r>
      <w:r w:rsidRPr="0084086E">
        <w:rPr>
          <w:rFonts w:ascii="Arial" w:eastAsia="Calibri" w:hAnsi="Arial" w:cs="Arial"/>
          <w:sz w:val="22"/>
          <w:szCs w:val="22"/>
          <w:lang w:val="en-US"/>
        </w:rPr>
        <w:t xml:space="preserve">, and nothing can thereafter be allowed to be done by any of the creditors to alter the rights of the other creditors.’ </w:t>
      </w:r>
    </w:p>
    <w:p w14:paraId="5F5972BD" w14:textId="77777777" w:rsidR="008A22FF" w:rsidRPr="008840B0" w:rsidRDefault="008A22FF" w:rsidP="00AA6AA5">
      <w:pPr>
        <w:spacing w:line="480" w:lineRule="auto"/>
        <w:jc w:val="both"/>
        <w:rPr>
          <w:rFonts w:ascii="Arial" w:eastAsia="Calibri" w:hAnsi="Arial" w:cs="Arial"/>
          <w:lang w:val="en-US"/>
        </w:rPr>
      </w:pPr>
    </w:p>
    <w:p w14:paraId="27AD4F69" w14:textId="0A9DBD44" w:rsidR="008840B0" w:rsidRPr="00327C67" w:rsidRDefault="008840B0" w:rsidP="00AA6AA5">
      <w:pPr>
        <w:spacing w:line="480" w:lineRule="auto"/>
        <w:jc w:val="both"/>
        <w:rPr>
          <w:rFonts w:ascii="Arial" w:eastAsia="Calibri" w:hAnsi="Arial" w:cs="Arial"/>
          <w:i/>
          <w:iCs/>
          <w:lang w:val="en-US"/>
        </w:rPr>
      </w:pPr>
      <w:r w:rsidRPr="008840B0">
        <w:rPr>
          <w:rFonts w:ascii="Arial" w:eastAsia="Calibri" w:hAnsi="Arial" w:cs="Arial"/>
          <w:lang w:val="en-US"/>
        </w:rPr>
        <w:t>[</w:t>
      </w:r>
      <w:r w:rsidR="00973FEE">
        <w:rPr>
          <w:rFonts w:ascii="Arial" w:eastAsia="Calibri" w:hAnsi="Arial" w:cs="Arial"/>
          <w:lang w:val="en-US"/>
        </w:rPr>
        <w:t>2</w:t>
      </w:r>
      <w:r w:rsidR="00604EF7">
        <w:rPr>
          <w:rFonts w:ascii="Arial" w:eastAsia="Calibri" w:hAnsi="Arial" w:cs="Arial"/>
          <w:lang w:val="en-US"/>
        </w:rPr>
        <w:t>7</w:t>
      </w:r>
      <w:r w:rsidR="00CC1EC1">
        <w:rPr>
          <w:rFonts w:ascii="Arial" w:eastAsia="Calibri" w:hAnsi="Arial" w:cs="Arial"/>
          <w:lang w:val="en-US"/>
        </w:rPr>
        <w:t>]  The</w:t>
      </w:r>
      <w:r w:rsidRPr="008840B0">
        <w:rPr>
          <w:rFonts w:ascii="Arial" w:eastAsia="Calibri" w:hAnsi="Arial" w:cs="Arial"/>
          <w:lang w:val="en-US"/>
        </w:rPr>
        <w:t xml:space="preserve"> </w:t>
      </w:r>
      <w:r w:rsidR="00974C2E">
        <w:rPr>
          <w:rFonts w:ascii="Arial" w:eastAsia="Calibri" w:hAnsi="Arial" w:cs="Arial"/>
          <w:lang w:val="en-US"/>
        </w:rPr>
        <w:t xml:space="preserve">Constitutional Court in </w:t>
      </w:r>
      <w:r w:rsidRPr="00327C67">
        <w:rPr>
          <w:rFonts w:ascii="Arial" w:eastAsia="Calibri" w:hAnsi="Arial" w:cs="Arial"/>
          <w:i/>
          <w:iCs/>
          <w:lang w:val="en-US"/>
        </w:rPr>
        <w:t>Chisuse and Others v Director</w:t>
      </w:r>
      <w:r w:rsidR="00327C67">
        <w:rPr>
          <w:rFonts w:ascii="Arial" w:eastAsia="Calibri" w:hAnsi="Arial" w:cs="Arial"/>
          <w:i/>
          <w:iCs/>
          <w:lang w:val="en-US"/>
        </w:rPr>
        <w:t>-General</w:t>
      </w:r>
      <w:r w:rsidR="00C26060" w:rsidRPr="005C2425">
        <w:rPr>
          <w:rStyle w:val="FootnoteReference"/>
          <w:rFonts w:ascii="Arial" w:eastAsia="Calibri" w:hAnsi="Arial" w:cs="Arial"/>
          <w:lang w:val="en-US"/>
        </w:rPr>
        <w:footnoteReference w:id="2"/>
      </w:r>
      <w:r w:rsidR="004876D9" w:rsidRPr="004876D9">
        <w:t xml:space="preserve"> </w:t>
      </w:r>
      <w:r w:rsidR="004876D9" w:rsidRPr="004876D9">
        <w:rPr>
          <w:rFonts w:ascii="Arial" w:eastAsia="Calibri" w:hAnsi="Arial" w:cs="Arial"/>
          <w:lang w:val="en-US"/>
        </w:rPr>
        <w:t>at para 47</w:t>
      </w:r>
      <w:r w:rsidR="004876D9">
        <w:rPr>
          <w:rFonts w:ascii="Arial" w:eastAsia="Calibri" w:hAnsi="Arial" w:cs="Arial"/>
          <w:i/>
          <w:iCs/>
          <w:lang w:val="en-US"/>
        </w:rPr>
        <w:t>,</w:t>
      </w:r>
      <w:r w:rsidRPr="004876D9">
        <w:rPr>
          <w:rFonts w:ascii="Arial" w:eastAsia="Calibri" w:hAnsi="Arial" w:cs="Arial"/>
          <w:lang w:val="en-US"/>
        </w:rPr>
        <w:t xml:space="preserve"> </w:t>
      </w:r>
      <w:r w:rsidR="00F0580A" w:rsidRPr="007F5C66">
        <w:rPr>
          <w:rFonts w:ascii="Arial" w:eastAsia="Calibri" w:hAnsi="Arial" w:cs="Arial"/>
          <w:lang w:val="en-US"/>
        </w:rPr>
        <w:t>reiterated</w:t>
      </w:r>
      <w:r w:rsidRPr="008840B0">
        <w:rPr>
          <w:rFonts w:ascii="Arial" w:eastAsia="Calibri" w:hAnsi="Arial" w:cs="Arial"/>
          <w:lang w:val="en-US"/>
        </w:rPr>
        <w:t xml:space="preserve"> that in </w:t>
      </w:r>
      <w:r w:rsidR="00C26060">
        <w:rPr>
          <w:rFonts w:ascii="Arial" w:eastAsia="Calibri" w:hAnsi="Arial" w:cs="Arial"/>
          <w:lang w:val="en-US"/>
        </w:rPr>
        <w:t>‘</w:t>
      </w:r>
      <w:r w:rsidRPr="008840B0">
        <w:rPr>
          <w:rFonts w:ascii="Arial" w:eastAsia="Calibri" w:hAnsi="Arial" w:cs="Arial"/>
          <w:lang w:val="en-US"/>
        </w:rPr>
        <w:t>interpreting statutory provisions, recourse is first had to the plain, ordinary, grammatical meaning of the words in question</w:t>
      </w:r>
      <w:r w:rsidRPr="008B035F">
        <w:rPr>
          <w:rFonts w:ascii="Arial" w:eastAsia="Calibri" w:hAnsi="Arial" w:cs="Arial"/>
          <w:lang w:val="en-US"/>
        </w:rPr>
        <w:t>.</w:t>
      </w:r>
      <w:r w:rsidR="00C26060" w:rsidRPr="007F5C66">
        <w:rPr>
          <w:rFonts w:ascii="Arial" w:eastAsia="Calibri" w:hAnsi="Arial" w:cs="Arial"/>
          <w:lang w:val="en-US"/>
        </w:rPr>
        <w:t>’</w:t>
      </w:r>
      <w:r w:rsidRPr="007F5C66">
        <w:rPr>
          <w:rFonts w:ascii="Arial" w:eastAsia="Calibri" w:hAnsi="Arial" w:cs="Arial"/>
          <w:lang w:val="en-US"/>
        </w:rPr>
        <w:t xml:space="preserve"> </w:t>
      </w:r>
      <w:r w:rsidR="00CE76A9" w:rsidRPr="007F5C66">
        <w:rPr>
          <w:rFonts w:ascii="Arial" w:eastAsia="Calibri" w:hAnsi="Arial" w:cs="Arial"/>
          <w:lang w:val="en-US"/>
        </w:rPr>
        <w:t xml:space="preserve">In addition </w:t>
      </w:r>
      <w:r w:rsidR="004F251B" w:rsidRPr="007F5C66">
        <w:rPr>
          <w:rFonts w:ascii="Arial" w:eastAsia="Calibri" w:hAnsi="Arial" w:cs="Arial"/>
          <w:lang w:val="en-US"/>
        </w:rPr>
        <w:t xml:space="preserve">principles of </w:t>
      </w:r>
      <w:r w:rsidR="00CE76A9" w:rsidRPr="007F5C66">
        <w:rPr>
          <w:rFonts w:ascii="Arial" w:eastAsia="Calibri" w:hAnsi="Arial" w:cs="Arial"/>
          <w:lang w:val="en-US"/>
        </w:rPr>
        <w:t>interpretation requir</w:t>
      </w:r>
      <w:r w:rsidR="00604EF7" w:rsidRPr="007F5C66">
        <w:rPr>
          <w:rFonts w:ascii="Arial" w:eastAsia="Calibri" w:hAnsi="Arial" w:cs="Arial"/>
          <w:lang w:val="en-US"/>
        </w:rPr>
        <w:t>e</w:t>
      </w:r>
      <w:r w:rsidR="00EB24D7" w:rsidRPr="008B035F">
        <w:rPr>
          <w:rFonts w:ascii="Arial" w:eastAsia="Calibri" w:hAnsi="Arial" w:cs="Arial"/>
          <w:lang w:val="en-US"/>
        </w:rPr>
        <w:t xml:space="preserve"> </w:t>
      </w:r>
      <w:r w:rsidR="004F251B" w:rsidRPr="007F5C66">
        <w:rPr>
          <w:rFonts w:ascii="Arial" w:eastAsia="Calibri" w:hAnsi="Arial" w:cs="Arial"/>
          <w:lang w:val="en-US"/>
        </w:rPr>
        <w:t>that</w:t>
      </w:r>
      <w:r w:rsidR="004F251B">
        <w:rPr>
          <w:rFonts w:ascii="Arial" w:eastAsia="Calibri" w:hAnsi="Arial" w:cs="Arial"/>
          <w:lang w:val="en-US"/>
        </w:rPr>
        <w:t xml:space="preserve"> </w:t>
      </w:r>
      <w:r w:rsidRPr="008840B0">
        <w:rPr>
          <w:rFonts w:ascii="Arial" w:eastAsia="Calibri" w:hAnsi="Arial" w:cs="Arial"/>
          <w:lang w:val="en-US"/>
        </w:rPr>
        <w:t>(a) the statutory provisions should always be interpreted purposively; (b) the relevant statutory provision must be properly contextualised; and (c) all statements must be construed consistently with the Constitution.</w:t>
      </w:r>
    </w:p>
    <w:p w14:paraId="3ECC3FB1" w14:textId="77777777" w:rsidR="008840B0" w:rsidRPr="008840B0" w:rsidRDefault="008840B0" w:rsidP="00AA6AA5">
      <w:pPr>
        <w:spacing w:line="480" w:lineRule="auto"/>
        <w:jc w:val="both"/>
        <w:rPr>
          <w:rFonts w:ascii="Arial" w:eastAsia="Calibri" w:hAnsi="Arial" w:cs="Arial"/>
          <w:lang w:val="en-US"/>
        </w:rPr>
      </w:pPr>
    </w:p>
    <w:p w14:paraId="6C049C4A" w14:textId="4C66D3E8" w:rsidR="008840B0" w:rsidRPr="008840B0" w:rsidRDefault="008840B0" w:rsidP="00AA6AA5">
      <w:pPr>
        <w:spacing w:line="480" w:lineRule="auto"/>
        <w:jc w:val="both"/>
        <w:rPr>
          <w:rFonts w:ascii="Arial" w:eastAsia="Calibri" w:hAnsi="Arial" w:cs="Arial"/>
          <w:lang w:val="en-US"/>
        </w:rPr>
      </w:pPr>
      <w:r w:rsidRPr="008840B0">
        <w:rPr>
          <w:rFonts w:ascii="Arial" w:eastAsia="Calibri" w:hAnsi="Arial" w:cs="Arial"/>
          <w:lang w:val="en-US"/>
        </w:rPr>
        <w:t>[</w:t>
      </w:r>
      <w:r w:rsidR="00604EF7">
        <w:rPr>
          <w:rFonts w:ascii="Arial" w:eastAsia="Calibri" w:hAnsi="Arial" w:cs="Arial"/>
          <w:lang w:val="en-US"/>
        </w:rPr>
        <w:t>28</w:t>
      </w:r>
      <w:r w:rsidRPr="008840B0">
        <w:rPr>
          <w:rFonts w:ascii="Arial" w:eastAsia="Calibri" w:hAnsi="Arial" w:cs="Arial"/>
          <w:lang w:val="en-US"/>
        </w:rPr>
        <w:t xml:space="preserve">]   This </w:t>
      </w:r>
      <w:r w:rsidR="00FD4702">
        <w:rPr>
          <w:rFonts w:ascii="Arial" w:eastAsia="Calibri" w:hAnsi="Arial" w:cs="Arial"/>
          <w:lang w:val="en-US"/>
        </w:rPr>
        <w:t>C</w:t>
      </w:r>
      <w:r w:rsidRPr="008840B0">
        <w:rPr>
          <w:rFonts w:ascii="Arial" w:eastAsia="Calibri" w:hAnsi="Arial" w:cs="Arial"/>
          <w:lang w:val="en-US"/>
        </w:rPr>
        <w:t xml:space="preserve">ourt in </w:t>
      </w:r>
      <w:r w:rsidRPr="00D45394">
        <w:rPr>
          <w:rFonts w:ascii="Arial" w:eastAsia="Calibri" w:hAnsi="Arial" w:cs="Arial"/>
          <w:i/>
          <w:iCs/>
          <w:lang w:val="en-US"/>
        </w:rPr>
        <w:t>South African Reserve Bank v Leathern N O and Others</w:t>
      </w:r>
      <w:r w:rsidR="00C26060" w:rsidRPr="005C2425">
        <w:rPr>
          <w:rStyle w:val="FootnoteReference"/>
          <w:rFonts w:ascii="Arial" w:eastAsia="Calibri" w:hAnsi="Arial" w:cs="Arial"/>
          <w:lang w:val="en-US"/>
        </w:rPr>
        <w:footnoteReference w:id="3"/>
      </w:r>
      <w:r w:rsidR="00CC1EC1">
        <w:rPr>
          <w:rFonts w:ascii="Arial" w:eastAsia="Calibri" w:hAnsi="Arial" w:cs="Arial"/>
          <w:lang w:val="en-US"/>
        </w:rPr>
        <w:t xml:space="preserve"> </w:t>
      </w:r>
      <w:r w:rsidRPr="008840B0">
        <w:rPr>
          <w:rFonts w:ascii="Arial" w:eastAsia="Calibri" w:hAnsi="Arial" w:cs="Arial"/>
          <w:lang w:val="en-US"/>
        </w:rPr>
        <w:t>(</w:t>
      </w:r>
      <w:r w:rsidRPr="00CC1EC1">
        <w:rPr>
          <w:rFonts w:ascii="Arial" w:eastAsia="Calibri" w:hAnsi="Arial" w:cs="Arial"/>
          <w:i/>
          <w:lang w:val="en-US"/>
        </w:rPr>
        <w:t>Leathern)</w:t>
      </w:r>
      <w:r w:rsidRPr="008840B0">
        <w:rPr>
          <w:rFonts w:ascii="Arial" w:eastAsia="Calibri" w:hAnsi="Arial" w:cs="Arial"/>
          <w:lang w:val="en-US"/>
        </w:rPr>
        <w:t xml:space="preserve"> held that the purpose of the regulations is three-fold. First, it is to prevent loss of foreign currency resources through the transfer abroad of financial capital assets held in South Africa. Secondly, to ensure effective control of the movement of financial and real assets into and out of South Africa; and thirdly, to avoid interference with the efficient operations of the commercial, industrial and financial system of the country. The </w:t>
      </w:r>
      <w:r w:rsidR="00D45394">
        <w:rPr>
          <w:rFonts w:ascii="Arial" w:eastAsia="Calibri" w:hAnsi="Arial" w:cs="Arial"/>
          <w:lang w:val="en-US"/>
        </w:rPr>
        <w:t>c</w:t>
      </w:r>
      <w:r w:rsidRPr="008840B0">
        <w:rPr>
          <w:rFonts w:ascii="Arial" w:eastAsia="Calibri" w:hAnsi="Arial" w:cs="Arial"/>
          <w:lang w:val="en-US"/>
        </w:rPr>
        <w:t xml:space="preserve">ourt added that as part of the context within </w:t>
      </w:r>
      <w:r w:rsidR="00CC1EC1">
        <w:rPr>
          <w:rFonts w:ascii="Arial" w:eastAsia="Calibri" w:hAnsi="Arial" w:cs="Arial"/>
          <w:lang w:val="en-US"/>
        </w:rPr>
        <w:t>which the</w:t>
      </w:r>
      <w:r w:rsidRPr="008840B0">
        <w:rPr>
          <w:rFonts w:ascii="Arial" w:eastAsia="Calibri" w:hAnsi="Arial" w:cs="Arial"/>
          <w:lang w:val="en-US"/>
        </w:rPr>
        <w:t xml:space="preserve"> purpose of the regulations must be considered is the mischief </w:t>
      </w:r>
      <w:r w:rsidR="002100FF" w:rsidRPr="007F5C66">
        <w:rPr>
          <w:rFonts w:ascii="Arial" w:eastAsia="Calibri" w:hAnsi="Arial" w:cs="Arial"/>
          <w:lang w:val="en-US"/>
        </w:rPr>
        <w:t>at</w:t>
      </w:r>
      <w:r w:rsidR="002100FF">
        <w:rPr>
          <w:rFonts w:ascii="Arial" w:eastAsia="Calibri" w:hAnsi="Arial" w:cs="Arial"/>
          <w:lang w:val="en-US"/>
        </w:rPr>
        <w:t xml:space="preserve"> </w:t>
      </w:r>
      <w:r w:rsidRPr="008840B0">
        <w:rPr>
          <w:rFonts w:ascii="Arial" w:eastAsia="Calibri" w:hAnsi="Arial" w:cs="Arial"/>
          <w:lang w:val="en-US"/>
        </w:rPr>
        <w:t>which the regulations are aimed namely, ‘the prevention of illicit flow and influx of foreign capital from the country…’</w:t>
      </w:r>
      <w:r w:rsidR="00C26060">
        <w:rPr>
          <w:rFonts w:ascii="Arial" w:eastAsia="Calibri" w:hAnsi="Arial" w:cs="Arial"/>
          <w:lang w:val="en-US"/>
        </w:rPr>
        <w:t>.</w:t>
      </w:r>
      <w:r w:rsidR="00C26060">
        <w:rPr>
          <w:rStyle w:val="FootnoteReference"/>
          <w:rFonts w:ascii="Arial" w:eastAsia="Calibri" w:hAnsi="Arial" w:cs="Arial"/>
          <w:lang w:val="en-US"/>
        </w:rPr>
        <w:footnoteReference w:id="4"/>
      </w:r>
      <w:r w:rsidRPr="008840B0">
        <w:rPr>
          <w:rFonts w:ascii="Arial" w:eastAsia="Calibri" w:hAnsi="Arial" w:cs="Arial"/>
          <w:lang w:val="en-US"/>
        </w:rPr>
        <w:t xml:space="preserve"> </w:t>
      </w:r>
    </w:p>
    <w:p w14:paraId="07ECAF62" w14:textId="77777777" w:rsidR="008840B0" w:rsidRPr="008840B0" w:rsidRDefault="008840B0" w:rsidP="00AA6AA5">
      <w:pPr>
        <w:spacing w:line="480" w:lineRule="auto"/>
        <w:jc w:val="both"/>
        <w:rPr>
          <w:rFonts w:ascii="Arial" w:eastAsia="Calibri" w:hAnsi="Arial" w:cs="Arial"/>
          <w:lang w:val="en-US"/>
        </w:rPr>
      </w:pPr>
    </w:p>
    <w:p w14:paraId="1E10F6AE" w14:textId="09733926" w:rsidR="008840B0" w:rsidRPr="008840B0" w:rsidRDefault="008840B0" w:rsidP="00AA6AA5">
      <w:pPr>
        <w:spacing w:line="480" w:lineRule="auto"/>
        <w:jc w:val="both"/>
        <w:rPr>
          <w:rFonts w:ascii="Arial" w:eastAsia="Calibri" w:hAnsi="Arial" w:cs="Arial"/>
          <w:lang w:val="en-US"/>
        </w:rPr>
      </w:pPr>
      <w:r w:rsidRPr="008840B0">
        <w:rPr>
          <w:rFonts w:ascii="Arial" w:eastAsia="Calibri" w:hAnsi="Arial" w:cs="Arial"/>
          <w:lang w:val="en-US"/>
        </w:rPr>
        <w:t>[</w:t>
      </w:r>
      <w:r w:rsidR="00604EF7">
        <w:rPr>
          <w:rFonts w:ascii="Arial" w:eastAsia="Calibri" w:hAnsi="Arial" w:cs="Arial"/>
          <w:lang w:val="en-US"/>
        </w:rPr>
        <w:t>29</w:t>
      </w:r>
      <w:r w:rsidRPr="008840B0">
        <w:rPr>
          <w:rFonts w:ascii="Arial" w:eastAsia="Calibri" w:hAnsi="Arial" w:cs="Arial"/>
          <w:lang w:val="en-US"/>
        </w:rPr>
        <w:t>]  Th</w:t>
      </w:r>
      <w:r w:rsidR="009B1669">
        <w:rPr>
          <w:rFonts w:ascii="Arial" w:eastAsia="Calibri" w:hAnsi="Arial" w:cs="Arial"/>
          <w:lang w:val="en-US"/>
        </w:rPr>
        <w:t>is</w:t>
      </w:r>
      <w:r w:rsidRPr="008840B0">
        <w:rPr>
          <w:rFonts w:ascii="Arial" w:eastAsia="Calibri" w:hAnsi="Arial" w:cs="Arial"/>
          <w:lang w:val="en-US"/>
        </w:rPr>
        <w:t xml:space="preserve"> Court made the following findings which are relevant to this appeal:</w:t>
      </w:r>
    </w:p>
    <w:p w14:paraId="09284434" w14:textId="48A8E717" w:rsidR="00EB75D0" w:rsidRPr="00EB75D0" w:rsidRDefault="008840B0" w:rsidP="00EB75D0">
      <w:pPr>
        <w:spacing w:line="480" w:lineRule="auto"/>
        <w:jc w:val="both"/>
        <w:rPr>
          <w:rFonts w:ascii="Arial" w:eastAsia="Calibri" w:hAnsi="Arial" w:cs="Arial"/>
          <w:sz w:val="22"/>
          <w:szCs w:val="22"/>
          <w:lang w:val="en-ZA"/>
        </w:rPr>
      </w:pPr>
      <w:r w:rsidRPr="00A87F1D">
        <w:rPr>
          <w:rFonts w:ascii="Arial" w:eastAsia="Calibri" w:hAnsi="Arial" w:cs="Arial"/>
          <w:sz w:val="22"/>
          <w:szCs w:val="22"/>
          <w:lang w:val="en-US"/>
        </w:rPr>
        <w:t>‘</w:t>
      </w:r>
      <w:r w:rsidR="0026650C">
        <w:rPr>
          <w:rFonts w:ascii="Arial" w:eastAsia="Calibri" w:hAnsi="Arial" w:cs="Arial"/>
          <w:sz w:val="22"/>
          <w:szCs w:val="22"/>
          <w:lang w:val="en-US"/>
        </w:rPr>
        <w:t>[T]</w:t>
      </w:r>
      <w:r w:rsidR="00EB75D0" w:rsidRPr="00EB75D0">
        <w:rPr>
          <w:rFonts w:ascii="Arial" w:eastAsia="Calibri" w:hAnsi="Arial" w:cs="Arial"/>
          <w:sz w:val="22"/>
          <w:szCs w:val="22"/>
          <w:lang w:val="en-US"/>
        </w:rPr>
        <w:t>he purpose of a blocking or attachment order in terms of the regulations is to secure assets which may be liable to forfeiture in terms of the regulations. This adds to the general context of the regulations in that a blocking order is provisional only and the final position can only be determined if the Reserve Bank seeks a forfeiture order. Context includes, amongst others, the mischief which the regulations are aimed at, that is, the prevention of illicit flow and influx of foreign capital from the country risk of damage to the economy of the country as a result.</w:t>
      </w:r>
    </w:p>
    <w:p w14:paraId="68CD3968" w14:textId="77777777" w:rsidR="00EB75D0" w:rsidRPr="00EB75D0" w:rsidRDefault="00EB75D0" w:rsidP="00EB75D0">
      <w:pPr>
        <w:spacing w:line="480" w:lineRule="auto"/>
        <w:jc w:val="both"/>
        <w:rPr>
          <w:rFonts w:ascii="Arial" w:eastAsia="Calibri" w:hAnsi="Arial" w:cs="Arial"/>
          <w:sz w:val="22"/>
          <w:szCs w:val="22"/>
          <w:lang w:val="en-ZA"/>
        </w:rPr>
      </w:pPr>
      <w:r w:rsidRPr="00EB75D0">
        <w:rPr>
          <w:rFonts w:ascii="Arial" w:eastAsia="Calibri" w:hAnsi="Arial" w:cs="Arial"/>
          <w:sz w:val="22"/>
          <w:szCs w:val="22"/>
          <w:lang w:val="en-US"/>
        </w:rPr>
        <w:t>[37]       A blocking or attachment is therefore a prerequisite for a valid forfeiture of the funds to the State.  If a blocking order is terminated by the grant of a subsequent sequestration order, the forfeiture of the assets used in the contravention of the regulations might never be realised. The effect would be that assets which legitimately ought to be forfeited to the State in terms of the regulations, would vest in the insolvent estate and be subject to distribution by the trustees. The remedy of forfeiture, a sanction of public law imposed to protect the currency and the economy, would be lost by operation of the law of insolvency.</w:t>
      </w:r>
      <w:r w:rsidRPr="00EB75D0">
        <w:rPr>
          <w:rFonts w:ascii="Arial" w:eastAsia="Calibri" w:hAnsi="Arial" w:cs="Arial"/>
          <w:sz w:val="22"/>
          <w:szCs w:val="22"/>
          <w:lang w:val="en-ZA"/>
        </w:rPr>
        <w:t> </w:t>
      </w:r>
      <w:r w:rsidRPr="00EB75D0">
        <w:rPr>
          <w:rFonts w:ascii="Arial" w:eastAsia="Calibri" w:hAnsi="Arial" w:cs="Arial"/>
          <w:sz w:val="22"/>
          <w:szCs w:val="22"/>
          <w:lang w:val="en-US"/>
        </w:rPr>
        <w:t>That is an absurdity so glaring that the legislature could not have contemplated it.</w:t>
      </w:r>
    </w:p>
    <w:p w14:paraId="242045AA" w14:textId="05AD0DB6" w:rsidR="00EB75D0" w:rsidRPr="00EB75D0" w:rsidRDefault="00EB75D0" w:rsidP="00EB75D0">
      <w:pPr>
        <w:spacing w:line="480" w:lineRule="auto"/>
        <w:jc w:val="both"/>
        <w:rPr>
          <w:rFonts w:ascii="Arial" w:eastAsia="Calibri" w:hAnsi="Arial" w:cs="Arial"/>
          <w:sz w:val="22"/>
          <w:szCs w:val="22"/>
          <w:lang w:val="en-ZA"/>
        </w:rPr>
      </w:pPr>
      <w:r w:rsidRPr="00EB75D0">
        <w:rPr>
          <w:rFonts w:ascii="Arial" w:eastAsia="Calibri" w:hAnsi="Arial" w:cs="Arial"/>
          <w:sz w:val="22"/>
          <w:szCs w:val="22"/>
          <w:lang w:val="en-US"/>
        </w:rPr>
        <w:t>[38]       </w:t>
      </w:r>
      <w:r w:rsidRPr="00EB75D0">
        <w:rPr>
          <w:rFonts w:ascii="Arial" w:eastAsia="Calibri" w:hAnsi="Arial" w:cs="Arial"/>
          <w:sz w:val="22"/>
          <w:szCs w:val="22"/>
          <w:lang w:val="en-ZA"/>
        </w:rPr>
        <w:t> </w:t>
      </w:r>
      <w:r w:rsidRPr="00EB75D0">
        <w:rPr>
          <w:rFonts w:ascii="Arial" w:eastAsia="Calibri" w:hAnsi="Arial" w:cs="Arial"/>
          <w:sz w:val="22"/>
          <w:szCs w:val="22"/>
          <w:lang w:val="en-US"/>
        </w:rPr>
        <w:t xml:space="preserve">Just as a solvent person must suffer the lawful attachment of funds in his or her bank account, with the possible imposition of forfeiture in due course, the trustees of the insolvent estate of that person can be in no better position. Seen in this context, the reach of the regulations is such that a sequestration order must yield to a blocking order. This interpretation is consistent with s 224 of Constitution, in terms of which the primary object of the Reserve Bank is to protect the value of the currency </w:t>
      </w:r>
      <w:r w:rsidR="009A683B">
        <w:rPr>
          <w:rFonts w:ascii="Arial" w:eastAsia="Calibri" w:hAnsi="Arial" w:cs="Arial"/>
          <w:sz w:val="22"/>
          <w:szCs w:val="22"/>
          <w:lang w:val="en-US"/>
        </w:rPr>
        <w:t>“</w:t>
      </w:r>
      <w:r w:rsidRPr="00EB75D0">
        <w:rPr>
          <w:rFonts w:ascii="Arial" w:eastAsia="Calibri" w:hAnsi="Arial" w:cs="Arial"/>
          <w:sz w:val="22"/>
          <w:szCs w:val="22"/>
          <w:lang w:val="en-US"/>
        </w:rPr>
        <w:t>in the interest of balanced and sustainable economic growth in the Republic.</w:t>
      </w:r>
      <w:r w:rsidR="009A683B">
        <w:rPr>
          <w:rFonts w:ascii="Arial" w:eastAsia="Calibri" w:hAnsi="Arial" w:cs="Arial"/>
          <w:sz w:val="22"/>
          <w:szCs w:val="22"/>
          <w:lang w:val="en-US"/>
        </w:rPr>
        <w:t>”</w:t>
      </w:r>
      <w:r w:rsidRPr="00EB75D0">
        <w:rPr>
          <w:rFonts w:ascii="Arial" w:eastAsia="Calibri" w:hAnsi="Arial" w:cs="Arial"/>
          <w:sz w:val="22"/>
          <w:szCs w:val="22"/>
          <w:lang w:val="en-US"/>
        </w:rPr>
        <w:t xml:space="preserve"> The regulations constitute mechanisms, among others, to assist the Reserve Bank to execute its Constitutional mandate.</w:t>
      </w:r>
      <w:r w:rsidR="0026650C">
        <w:rPr>
          <w:rFonts w:ascii="Arial" w:eastAsia="Calibri" w:hAnsi="Arial" w:cs="Arial"/>
          <w:sz w:val="22"/>
          <w:szCs w:val="22"/>
          <w:lang w:val="en-US"/>
        </w:rPr>
        <w:t>’</w:t>
      </w:r>
      <w:r w:rsidR="009A683B" w:rsidRPr="00327C67">
        <w:rPr>
          <w:rStyle w:val="FootnoteReference"/>
          <w:rFonts w:ascii="Arial" w:eastAsia="Calibri" w:hAnsi="Arial" w:cs="Arial"/>
          <w:lang w:val="en-US"/>
        </w:rPr>
        <w:footnoteReference w:id="5"/>
      </w:r>
    </w:p>
    <w:p w14:paraId="09A02B9E" w14:textId="0E5C745E" w:rsidR="008840B0" w:rsidRDefault="008840B0" w:rsidP="00AA6AA5">
      <w:pPr>
        <w:spacing w:line="480" w:lineRule="auto"/>
        <w:jc w:val="both"/>
        <w:rPr>
          <w:rFonts w:ascii="Arial" w:eastAsia="Calibri" w:hAnsi="Arial" w:cs="Arial"/>
          <w:lang w:val="en-US"/>
        </w:rPr>
      </w:pPr>
      <w:r w:rsidRPr="008840B0">
        <w:rPr>
          <w:rFonts w:ascii="Arial" w:eastAsia="Calibri" w:hAnsi="Arial" w:cs="Arial"/>
          <w:lang w:val="en-US"/>
        </w:rPr>
        <w:t>Counsel for the Reserve Bank and the National Treasury relied on these findings and submitted that they were applicable in this case.</w:t>
      </w:r>
      <w:r w:rsidR="00E91D10">
        <w:rPr>
          <w:rFonts w:ascii="Arial" w:eastAsia="Calibri" w:hAnsi="Arial" w:cs="Arial"/>
          <w:lang w:val="en-US"/>
        </w:rPr>
        <w:t xml:space="preserve"> I agree with their submission.</w:t>
      </w:r>
    </w:p>
    <w:p w14:paraId="0BE8FF50" w14:textId="77777777" w:rsidR="00EB24D7" w:rsidRPr="008840B0" w:rsidRDefault="00EB24D7" w:rsidP="00AA6AA5">
      <w:pPr>
        <w:spacing w:line="480" w:lineRule="auto"/>
        <w:jc w:val="both"/>
        <w:rPr>
          <w:rFonts w:ascii="Arial" w:eastAsia="Calibri" w:hAnsi="Arial" w:cs="Arial"/>
          <w:lang w:val="en-US"/>
        </w:rPr>
      </w:pPr>
    </w:p>
    <w:p w14:paraId="36CC5504" w14:textId="0D3C60A7" w:rsidR="00CE76A9" w:rsidRPr="00CE76A9" w:rsidRDefault="00CE76A9" w:rsidP="00CE76A9">
      <w:pPr>
        <w:spacing w:line="480" w:lineRule="auto"/>
        <w:jc w:val="both"/>
        <w:rPr>
          <w:rFonts w:ascii="Arial" w:eastAsia="Calibri" w:hAnsi="Arial" w:cs="Arial"/>
          <w:lang w:val="en-US"/>
        </w:rPr>
      </w:pPr>
      <w:r w:rsidRPr="00CE76A9">
        <w:rPr>
          <w:rFonts w:ascii="Arial" w:eastAsia="Calibri" w:hAnsi="Arial" w:cs="Arial"/>
          <w:lang w:val="en-US"/>
        </w:rPr>
        <w:t>[</w:t>
      </w:r>
      <w:r w:rsidR="00604EF7">
        <w:rPr>
          <w:rFonts w:ascii="Arial" w:eastAsia="Calibri" w:hAnsi="Arial" w:cs="Arial"/>
          <w:lang w:val="en-US"/>
        </w:rPr>
        <w:t>30</w:t>
      </w:r>
      <w:r w:rsidRPr="00CE76A9">
        <w:rPr>
          <w:rFonts w:ascii="Arial" w:eastAsia="Calibri" w:hAnsi="Arial" w:cs="Arial"/>
          <w:lang w:val="en-US"/>
        </w:rPr>
        <w:t>]   The high court erred in declaring the forfeiture orders null and void and ordering the National Revenue Fund to pay to the liquidators the monies reflected in the forfeiture orders on the basis of the reasoning that the intervention of the winding-up of the companies rendered them unlawful to the extent that they made it mandatory for the banks to ignore the companies’ claims .</w:t>
      </w:r>
    </w:p>
    <w:p w14:paraId="57E64980" w14:textId="77777777" w:rsidR="00CE76A9" w:rsidRPr="00CE76A9" w:rsidRDefault="00CE76A9" w:rsidP="00CE76A9">
      <w:pPr>
        <w:spacing w:line="480" w:lineRule="auto"/>
        <w:jc w:val="both"/>
        <w:rPr>
          <w:rFonts w:ascii="Arial" w:eastAsia="Calibri" w:hAnsi="Arial" w:cs="Arial"/>
          <w:lang w:val="en-US"/>
        </w:rPr>
      </w:pPr>
    </w:p>
    <w:p w14:paraId="60B5FBFA" w14:textId="58A8B39B" w:rsidR="008840B0" w:rsidRDefault="00CE76A9" w:rsidP="00CE76A9">
      <w:pPr>
        <w:spacing w:line="480" w:lineRule="auto"/>
        <w:jc w:val="both"/>
        <w:rPr>
          <w:rFonts w:ascii="Arial" w:eastAsia="Calibri" w:hAnsi="Arial" w:cs="Arial"/>
          <w:lang w:val="en-US"/>
        </w:rPr>
      </w:pPr>
      <w:r w:rsidRPr="00CE76A9">
        <w:rPr>
          <w:rFonts w:ascii="Arial" w:eastAsia="Calibri" w:hAnsi="Arial" w:cs="Arial"/>
          <w:lang w:val="en-US"/>
        </w:rPr>
        <w:t>[</w:t>
      </w:r>
      <w:r w:rsidR="00604EF7">
        <w:rPr>
          <w:rFonts w:ascii="Arial" w:eastAsia="Calibri" w:hAnsi="Arial" w:cs="Arial"/>
          <w:lang w:val="en-US"/>
        </w:rPr>
        <w:t>31</w:t>
      </w:r>
      <w:r w:rsidRPr="00CE76A9">
        <w:rPr>
          <w:rFonts w:ascii="Arial" w:eastAsia="Calibri" w:hAnsi="Arial" w:cs="Arial"/>
          <w:lang w:val="en-US"/>
        </w:rPr>
        <w:t>]    The conclusion of the high court that the intervention of the winding-up of the two companies rendered unlawful the issue of the forfeiture orders undermines the purpose which the Regulations seek to achieve. The enabling legislation – the Act – empowers the President to make regulations providing for the blocking and forfeiture orders to be made in respect of any money or goods which are suspected by the Treasury on reasonable grounds to be involved in the commission of an offence. The fact that the forfeiture orders issued in terms of Regulation 22B provided for the targeted funds to be forfeited to the State and for such monies to be paid into the National Revenue Fund, rather than to the liquidators, did not render such orders unlawful. It must be remembered  that the companies in issue were already subject to the blocking orders long before their liquidation. The operation of the blocking orders did not result in the creation of a debtor-creditor relationship between the companies and the Reserve Bank. The Act and the Regulations must be interpreted purposively.</w:t>
      </w:r>
    </w:p>
    <w:p w14:paraId="12A9BA7B" w14:textId="77777777" w:rsidR="00EB24D7" w:rsidRPr="008840B0" w:rsidRDefault="00EB24D7" w:rsidP="00CE76A9">
      <w:pPr>
        <w:spacing w:line="480" w:lineRule="auto"/>
        <w:jc w:val="both"/>
        <w:rPr>
          <w:rFonts w:ascii="Arial" w:eastAsia="Calibri" w:hAnsi="Arial" w:cs="Arial"/>
          <w:lang w:val="en-US"/>
        </w:rPr>
      </w:pPr>
    </w:p>
    <w:p w14:paraId="40E3644C" w14:textId="5501B2AD" w:rsidR="00621D68" w:rsidRDefault="008840B0" w:rsidP="00AA6AA5">
      <w:pPr>
        <w:spacing w:line="480" w:lineRule="auto"/>
        <w:jc w:val="both"/>
        <w:rPr>
          <w:rFonts w:ascii="Arial" w:eastAsia="Calibri" w:hAnsi="Arial" w:cs="Arial"/>
          <w:lang w:val="en-US"/>
        </w:rPr>
      </w:pPr>
      <w:r w:rsidRPr="008840B0">
        <w:rPr>
          <w:rFonts w:ascii="Arial" w:eastAsia="Calibri" w:hAnsi="Arial" w:cs="Arial"/>
          <w:lang w:val="en-US"/>
        </w:rPr>
        <w:t>[</w:t>
      </w:r>
      <w:r w:rsidR="00312F44">
        <w:rPr>
          <w:rFonts w:ascii="Arial" w:eastAsia="Calibri" w:hAnsi="Arial" w:cs="Arial"/>
          <w:lang w:val="en-US"/>
        </w:rPr>
        <w:t>3</w:t>
      </w:r>
      <w:r w:rsidR="00973FEE">
        <w:rPr>
          <w:rFonts w:ascii="Arial" w:eastAsia="Calibri" w:hAnsi="Arial" w:cs="Arial"/>
          <w:lang w:val="en-US"/>
        </w:rPr>
        <w:t>2</w:t>
      </w:r>
      <w:r w:rsidRPr="008840B0">
        <w:rPr>
          <w:rFonts w:ascii="Arial" w:eastAsia="Calibri" w:hAnsi="Arial" w:cs="Arial"/>
          <w:lang w:val="en-US"/>
        </w:rPr>
        <w:t>]  Havin</w:t>
      </w:r>
      <w:r w:rsidR="00E91D10">
        <w:rPr>
          <w:rFonts w:ascii="Arial" w:eastAsia="Calibri" w:hAnsi="Arial" w:cs="Arial"/>
          <w:lang w:val="en-US"/>
        </w:rPr>
        <w:t xml:space="preserve">g regard to the </w:t>
      </w:r>
      <w:r w:rsidR="005C2425">
        <w:rPr>
          <w:rFonts w:ascii="Arial" w:eastAsia="Calibri" w:hAnsi="Arial" w:cs="Arial"/>
          <w:lang w:val="en-US"/>
        </w:rPr>
        <w:t xml:space="preserve">context and </w:t>
      </w:r>
      <w:r w:rsidR="00E91D10">
        <w:rPr>
          <w:rFonts w:ascii="Arial" w:eastAsia="Calibri" w:hAnsi="Arial" w:cs="Arial"/>
          <w:lang w:val="en-US"/>
        </w:rPr>
        <w:t>purpose of the R</w:t>
      </w:r>
      <w:r w:rsidRPr="008840B0">
        <w:rPr>
          <w:rFonts w:ascii="Arial" w:eastAsia="Calibri" w:hAnsi="Arial" w:cs="Arial"/>
          <w:lang w:val="en-US"/>
        </w:rPr>
        <w:t>egulations, it seems to me that as the blocking orders were still extant at the time of the winding-up of the  companies</w:t>
      </w:r>
      <w:r w:rsidR="004D3695">
        <w:rPr>
          <w:rFonts w:ascii="Arial" w:eastAsia="Calibri" w:hAnsi="Arial" w:cs="Arial"/>
          <w:lang w:val="en-US"/>
        </w:rPr>
        <w:t>,</w:t>
      </w:r>
      <w:r w:rsidRPr="008840B0">
        <w:rPr>
          <w:rFonts w:ascii="Arial" w:eastAsia="Calibri" w:hAnsi="Arial" w:cs="Arial"/>
          <w:lang w:val="en-US"/>
        </w:rPr>
        <w:t xml:space="preserve"> it was competent for the Reserve Bank to issue the relevant forfeiture orders</w:t>
      </w:r>
      <w:r w:rsidR="009B0236">
        <w:rPr>
          <w:rFonts w:ascii="Arial" w:eastAsia="Calibri" w:hAnsi="Arial" w:cs="Arial"/>
          <w:lang w:val="en-US"/>
        </w:rPr>
        <w:t>.</w:t>
      </w:r>
      <w:r w:rsidRPr="008840B0">
        <w:rPr>
          <w:rFonts w:ascii="Arial" w:eastAsia="Calibri" w:hAnsi="Arial" w:cs="Arial"/>
          <w:lang w:val="en-US"/>
        </w:rPr>
        <w:t xml:space="preserve"> </w:t>
      </w:r>
      <w:r w:rsidR="00F73C22" w:rsidRPr="007F5C66">
        <w:rPr>
          <w:rFonts w:ascii="Arial" w:eastAsia="Calibri" w:hAnsi="Arial" w:cs="Arial"/>
          <w:lang w:val="en-US"/>
        </w:rPr>
        <w:t xml:space="preserve">As has been mentioned, </w:t>
      </w:r>
      <w:r w:rsidR="00F82235" w:rsidRPr="007F5C66">
        <w:rPr>
          <w:rFonts w:ascii="Arial" w:eastAsia="Calibri" w:hAnsi="Arial" w:cs="Arial"/>
          <w:lang w:val="en-US"/>
        </w:rPr>
        <w:t xml:space="preserve">in </w:t>
      </w:r>
      <w:r w:rsidR="00F82235" w:rsidRPr="007F5C66">
        <w:rPr>
          <w:rFonts w:ascii="Arial" w:eastAsia="Calibri" w:hAnsi="Arial" w:cs="Arial"/>
          <w:i/>
          <w:iCs/>
          <w:lang w:val="en-US"/>
        </w:rPr>
        <w:t>Leathern</w:t>
      </w:r>
      <w:r w:rsidR="00F82235" w:rsidRPr="007F5C66">
        <w:rPr>
          <w:rFonts w:ascii="Arial" w:eastAsia="Calibri" w:hAnsi="Arial" w:cs="Arial"/>
          <w:lang w:val="en-US"/>
        </w:rPr>
        <w:t xml:space="preserve"> </w:t>
      </w:r>
      <w:r w:rsidR="00F73C22" w:rsidRPr="007F5C66">
        <w:rPr>
          <w:rFonts w:ascii="Arial" w:eastAsia="Calibri" w:hAnsi="Arial" w:cs="Arial"/>
          <w:lang w:val="en-US"/>
        </w:rPr>
        <w:t xml:space="preserve">this Court decided that blocking orders are not affected by the subsequent insolvency of the </w:t>
      </w:r>
      <w:r w:rsidR="004B0664" w:rsidRPr="007F5C66">
        <w:rPr>
          <w:rFonts w:ascii="Arial" w:eastAsia="Calibri" w:hAnsi="Arial" w:cs="Arial"/>
          <w:lang w:val="en-US"/>
        </w:rPr>
        <w:t xml:space="preserve">person in question. Such a finding would be rendered nugatory if forfeiture orders could not </w:t>
      </w:r>
      <w:r w:rsidR="00F82235" w:rsidRPr="007F5C66">
        <w:rPr>
          <w:rFonts w:ascii="Arial" w:eastAsia="Calibri" w:hAnsi="Arial" w:cs="Arial"/>
          <w:lang w:val="en-US"/>
        </w:rPr>
        <w:t>follow.</w:t>
      </w:r>
      <w:r w:rsidR="00F82235">
        <w:rPr>
          <w:rFonts w:ascii="Arial" w:eastAsia="Calibri" w:hAnsi="Arial" w:cs="Arial"/>
          <w:lang w:val="en-US"/>
        </w:rPr>
        <w:t xml:space="preserve"> </w:t>
      </w:r>
      <w:r w:rsidRPr="008840B0">
        <w:rPr>
          <w:rFonts w:ascii="Arial" w:eastAsia="Calibri" w:hAnsi="Arial" w:cs="Arial"/>
          <w:lang w:val="en-US"/>
        </w:rPr>
        <w:t>The effect of the blocking orders was that whilst they existed</w:t>
      </w:r>
      <w:r w:rsidR="004D3695">
        <w:rPr>
          <w:rFonts w:ascii="Arial" w:eastAsia="Calibri" w:hAnsi="Arial" w:cs="Arial"/>
          <w:lang w:val="en-US"/>
        </w:rPr>
        <w:t>,</w:t>
      </w:r>
      <w:r w:rsidRPr="008840B0">
        <w:rPr>
          <w:rFonts w:ascii="Arial" w:eastAsia="Calibri" w:hAnsi="Arial" w:cs="Arial"/>
          <w:lang w:val="en-US"/>
        </w:rPr>
        <w:t xml:space="preserve"> the companies</w:t>
      </w:r>
      <w:r w:rsidR="00510CA8">
        <w:rPr>
          <w:rFonts w:ascii="Arial" w:eastAsia="Calibri" w:hAnsi="Arial" w:cs="Arial"/>
          <w:lang w:val="en-US"/>
        </w:rPr>
        <w:t xml:space="preserve">, pending investigation </w:t>
      </w:r>
      <w:r w:rsidR="004F7A8F">
        <w:rPr>
          <w:rFonts w:ascii="Arial" w:eastAsia="Calibri" w:hAnsi="Arial" w:cs="Arial"/>
          <w:lang w:val="en-US"/>
        </w:rPr>
        <w:t>as to</w:t>
      </w:r>
      <w:r w:rsidR="00510CA8">
        <w:rPr>
          <w:rFonts w:ascii="Arial" w:eastAsia="Calibri" w:hAnsi="Arial" w:cs="Arial"/>
          <w:lang w:val="en-US"/>
        </w:rPr>
        <w:t xml:space="preserve"> whether the funds should be declared </w:t>
      </w:r>
      <w:r w:rsidR="00510CA8" w:rsidRPr="00193422">
        <w:rPr>
          <w:rFonts w:ascii="Arial" w:eastAsia="Calibri" w:hAnsi="Arial" w:cs="Arial"/>
          <w:lang w:val="en-US"/>
        </w:rPr>
        <w:t>forfeit</w:t>
      </w:r>
      <w:r w:rsidR="00DC1A72" w:rsidRPr="00193422">
        <w:rPr>
          <w:rFonts w:ascii="Arial" w:eastAsia="Calibri" w:hAnsi="Arial" w:cs="Arial"/>
          <w:lang w:val="en-US"/>
        </w:rPr>
        <w:t>ed</w:t>
      </w:r>
      <w:r w:rsidR="00510CA8">
        <w:rPr>
          <w:rFonts w:ascii="Arial" w:eastAsia="Calibri" w:hAnsi="Arial" w:cs="Arial"/>
          <w:lang w:val="en-US"/>
        </w:rPr>
        <w:t xml:space="preserve"> to the State,</w:t>
      </w:r>
      <w:r w:rsidRPr="008840B0">
        <w:rPr>
          <w:rFonts w:ascii="Arial" w:eastAsia="Calibri" w:hAnsi="Arial" w:cs="Arial"/>
          <w:lang w:val="en-US"/>
        </w:rPr>
        <w:t xml:space="preserve"> were prevented from drawing funds from the bank accounts to which the blocking orders related. The subsequent liquidation of the companies </w:t>
      </w:r>
      <w:r w:rsidR="004F7A8F">
        <w:rPr>
          <w:rFonts w:ascii="Arial" w:eastAsia="Calibri" w:hAnsi="Arial" w:cs="Arial"/>
          <w:lang w:val="en-US"/>
        </w:rPr>
        <w:t>could</w:t>
      </w:r>
      <w:r w:rsidRPr="008840B0">
        <w:rPr>
          <w:rFonts w:ascii="Arial" w:eastAsia="Calibri" w:hAnsi="Arial" w:cs="Arial"/>
          <w:lang w:val="en-US"/>
        </w:rPr>
        <w:t xml:space="preserve"> not</w:t>
      </w:r>
      <w:r w:rsidR="004F7A8F">
        <w:rPr>
          <w:rFonts w:ascii="Arial" w:eastAsia="Calibri" w:hAnsi="Arial" w:cs="Arial"/>
          <w:lang w:val="en-US"/>
        </w:rPr>
        <w:t xml:space="preserve"> </w:t>
      </w:r>
      <w:r w:rsidRPr="008840B0">
        <w:rPr>
          <w:rFonts w:ascii="Arial" w:eastAsia="Calibri" w:hAnsi="Arial" w:cs="Arial"/>
          <w:lang w:val="en-US"/>
        </w:rPr>
        <w:t xml:space="preserve"> affect the validity and the existence of the blocking orders</w:t>
      </w:r>
      <w:r w:rsidR="004D3695">
        <w:rPr>
          <w:rFonts w:ascii="Arial" w:eastAsia="Calibri" w:hAnsi="Arial" w:cs="Arial"/>
          <w:lang w:val="en-US"/>
        </w:rPr>
        <w:t>,</w:t>
      </w:r>
      <w:r w:rsidRPr="008840B0">
        <w:rPr>
          <w:rFonts w:ascii="Arial" w:eastAsia="Calibri" w:hAnsi="Arial" w:cs="Arial"/>
          <w:lang w:val="en-US"/>
        </w:rPr>
        <w:t xml:space="preserve"> which means that </w:t>
      </w:r>
      <w:r w:rsidR="004F7A8F">
        <w:rPr>
          <w:rFonts w:ascii="Arial" w:eastAsia="Calibri" w:hAnsi="Arial" w:cs="Arial"/>
          <w:lang w:val="en-US"/>
        </w:rPr>
        <w:t xml:space="preserve">whilst they existed the Reserve Bank could make an order declaring the funds subject to the blocking orders </w:t>
      </w:r>
      <w:r w:rsidR="004F7A8F" w:rsidRPr="00193422">
        <w:rPr>
          <w:rFonts w:ascii="Arial" w:eastAsia="Calibri" w:hAnsi="Arial" w:cs="Arial"/>
          <w:lang w:val="en-US"/>
        </w:rPr>
        <w:t>forfeit</w:t>
      </w:r>
      <w:r w:rsidR="00DC1A72" w:rsidRPr="00193422">
        <w:rPr>
          <w:rFonts w:ascii="Arial" w:eastAsia="Calibri" w:hAnsi="Arial" w:cs="Arial"/>
          <w:lang w:val="en-US"/>
        </w:rPr>
        <w:t>ed</w:t>
      </w:r>
      <w:r w:rsidR="004F7A8F">
        <w:rPr>
          <w:rFonts w:ascii="Arial" w:eastAsia="Calibri" w:hAnsi="Arial" w:cs="Arial"/>
          <w:lang w:val="en-US"/>
        </w:rPr>
        <w:t xml:space="preserve"> to the State</w:t>
      </w:r>
      <w:r w:rsidR="00DA00FE">
        <w:rPr>
          <w:rFonts w:ascii="Arial" w:eastAsia="Calibri" w:hAnsi="Arial" w:cs="Arial"/>
          <w:lang w:val="en-US"/>
        </w:rPr>
        <w:t>. That much is apparent from the provisions of s 9(2)</w:t>
      </w:r>
      <w:r w:rsidR="00DA00FE" w:rsidRPr="00621D68">
        <w:rPr>
          <w:rFonts w:ascii="Arial" w:eastAsia="Calibri" w:hAnsi="Arial" w:cs="Arial"/>
          <w:i/>
          <w:iCs/>
          <w:lang w:val="en-US"/>
        </w:rPr>
        <w:t>(b)</w:t>
      </w:r>
      <w:r w:rsidR="00DA00FE">
        <w:rPr>
          <w:rFonts w:ascii="Arial" w:eastAsia="Calibri" w:hAnsi="Arial" w:cs="Arial"/>
          <w:lang w:val="en-US"/>
        </w:rPr>
        <w:t>(ii) of the Act</w:t>
      </w:r>
      <w:r w:rsidR="00DA0F6C">
        <w:rPr>
          <w:rFonts w:ascii="Arial" w:eastAsia="Calibri" w:hAnsi="Arial" w:cs="Arial"/>
          <w:lang w:val="en-US"/>
        </w:rPr>
        <w:t xml:space="preserve"> which authorises the President to make any regulations which may provide for any matter he or she deems necessary for the fulfilment of the objectives and purposes referred to in subparagraph (i) including forfeiture and disposal by the Treasury of any money or goods belonging to the offender, suspected offender or any other person. </w:t>
      </w:r>
    </w:p>
    <w:p w14:paraId="5D131997" w14:textId="77777777" w:rsidR="00621D68" w:rsidRDefault="00621D68" w:rsidP="00AA6AA5">
      <w:pPr>
        <w:spacing w:line="480" w:lineRule="auto"/>
        <w:jc w:val="both"/>
        <w:rPr>
          <w:rFonts w:ascii="Arial" w:eastAsia="Calibri" w:hAnsi="Arial" w:cs="Arial"/>
          <w:lang w:val="en-US"/>
        </w:rPr>
      </w:pPr>
    </w:p>
    <w:p w14:paraId="40908CC6" w14:textId="0263247D" w:rsidR="008840B0" w:rsidRDefault="00621D68" w:rsidP="00AA6AA5">
      <w:pPr>
        <w:spacing w:line="480" w:lineRule="auto"/>
        <w:jc w:val="both"/>
        <w:rPr>
          <w:rFonts w:ascii="Arial" w:eastAsia="Calibri" w:hAnsi="Arial" w:cs="Arial"/>
          <w:lang w:val="en-US"/>
        </w:rPr>
      </w:pPr>
      <w:r>
        <w:rPr>
          <w:rFonts w:ascii="Arial" w:eastAsia="Calibri" w:hAnsi="Arial" w:cs="Arial"/>
          <w:lang w:val="en-US"/>
        </w:rPr>
        <w:t xml:space="preserve">[33]  </w:t>
      </w:r>
      <w:r w:rsidR="00DA0F6C">
        <w:rPr>
          <w:rFonts w:ascii="Arial" w:eastAsia="Calibri" w:hAnsi="Arial" w:cs="Arial"/>
          <w:lang w:val="en-US"/>
        </w:rPr>
        <w:t>To apply the Regulations in the manner contended for by the liquidators’ counsel in the factual context of this matter would be incongruent with and inimical to the Act and the entire regulatory framework relating to currency</w:t>
      </w:r>
      <w:r w:rsidR="006964B6">
        <w:rPr>
          <w:rFonts w:ascii="Arial" w:eastAsia="Calibri" w:hAnsi="Arial" w:cs="Arial"/>
          <w:lang w:val="en-US"/>
        </w:rPr>
        <w:t>, banking or exchanges.</w:t>
      </w:r>
      <w:r w:rsidR="008840B0" w:rsidRPr="008840B0">
        <w:rPr>
          <w:rFonts w:ascii="Arial" w:eastAsia="Calibri" w:hAnsi="Arial" w:cs="Arial"/>
          <w:lang w:val="en-US"/>
        </w:rPr>
        <w:t xml:space="preserve"> It would defeat the entire purpose of a blocking order if a forfeiture order</w:t>
      </w:r>
      <w:r w:rsidR="004D3695">
        <w:rPr>
          <w:rFonts w:ascii="Arial" w:eastAsia="Calibri" w:hAnsi="Arial" w:cs="Arial"/>
          <w:lang w:val="en-US"/>
        </w:rPr>
        <w:t>,</w:t>
      </w:r>
      <w:r w:rsidR="008840B0" w:rsidRPr="008840B0">
        <w:rPr>
          <w:rFonts w:ascii="Arial" w:eastAsia="Calibri" w:hAnsi="Arial" w:cs="Arial"/>
          <w:lang w:val="en-US"/>
        </w:rPr>
        <w:t xml:space="preserve"> made pursuant to the blocking order</w:t>
      </w:r>
      <w:r w:rsidR="004D3695">
        <w:rPr>
          <w:rFonts w:ascii="Arial" w:eastAsia="Calibri" w:hAnsi="Arial" w:cs="Arial"/>
          <w:lang w:val="en-US"/>
        </w:rPr>
        <w:t>,</w:t>
      </w:r>
      <w:r w:rsidR="008840B0" w:rsidRPr="008840B0">
        <w:rPr>
          <w:rFonts w:ascii="Arial" w:eastAsia="Calibri" w:hAnsi="Arial" w:cs="Arial"/>
          <w:lang w:val="en-US"/>
        </w:rPr>
        <w:t xml:space="preserve"> </w:t>
      </w:r>
      <w:r w:rsidR="004D3695">
        <w:rPr>
          <w:rFonts w:ascii="Arial" w:eastAsia="Calibri" w:hAnsi="Arial" w:cs="Arial"/>
          <w:lang w:val="en-US"/>
        </w:rPr>
        <w:t>fell</w:t>
      </w:r>
      <w:r w:rsidR="008840B0" w:rsidRPr="008840B0">
        <w:rPr>
          <w:rFonts w:ascii="Arial" w:eastAsia="Calibri" w:hAnsi="Arial" w:cs="Arial"/>
          <w:lang w:val="en-US"/>
        </w:rPr>
        <w:t xml:space="preserve"> away</w:t>
      </w:r>
      <w:r w:rsidR="004D3695">
        <w:rPr>
          <w:rFonts w:ascii="Arial" w:eastAsia="Calibri" w:hAnsi="Arial" w:cs="Arial"/>
          <w:lang w:val="en-US"/>
        </w:rPr>
        <w:t xml:space="preserve"> </w:t>
      </w:r>
      <w:r w:rsidR="004D3695" w:rsidRPr="008840B0">
        <w:rPr>
          <w:rFonts w:ascii="Arial" w:eastAsia="Calibri" w:hAnsi="Arial" w:cs="Arial"/>
          <w:lang w:val="en-US"/>
        </w:rPr>
        <w:t>upon the winding-up of the companies</w:t>
      </w:r>
      <w:r w:rsidR="008840B0" w:rsidRPr="008840B0">
        <w:rPr>
          <w:rFonts w:ascii="Arial" w:eastAsia="Calibri" w:hAnsi="Arial" w:cs="Arial"/>
          <w:lang w:val="en-US"/>
        </w:rPr>
        <w:t xml:space="preserve">. If a </w:t>
      </w:r>
      <w:r w:rsidR="001942C8" w:rsidRPr="007F5C66">
        <w:rPr>
          <w:rFonts w:ascii="Arial" w:eastAsia="Calibri" w:hAnsi="Arial" w:cs="Arial"/>
          <w:lang w:val="en-US"/>
        </w:rPr>
        <w:t>forfeiture</w:t>
      </w:r>
      <w:r w:rsidR="008840B0" w:rsidRPr="008840B0">
        <w:rPr>
          <w:rFonts w:ascii="Arial" w:eastAsia="Calibri" w:hAnsi="Arial" w:cs="Arial"/>
          <w:lang w:val="en-US"/>
        </w:rPr>
        <w:t xml:space="preserve"> order is terminated by the grant of a subsequent winding-up order, the forfeiture of the assets used in the contravention of the regulations might never be </w:t>
      </w:r>
      <w:r w:rsidR="004D3695">
        <w:rPr>
          <w:rFonts w:ascii="Arial" w:eastAsia="Calibri" w:hAnsi="Arial" w:cs="Arial"/>
          <w:lang w:val="en-US"/>
        </w:rPr>
        <w:t>realized,</w:t>
      </w:r>
      <w:r w:rsidR="008840B0" w:rsidRPr="008840B0">
        <w:rPr>
          <w:rFonts w:ascii="Arial" w:eastAsia="Calibri" w:hAnsi="Arial" w:cs="Arial"/>
          <w:lang w:val="en-US"/>
        </w:rPr>
        <w:t xml:space="preserve"> and the effect would be that the assets which legitimately ought to be forfeited to the State in terms of the regulations, would vest in the insolvent estate and be subject to distribution by the liquidators. Companies such as the two companies</w:t>
      </w:r>
      <w:r w:rsidR="00DC1A72">
        <w:rPr>
          <w:rFonts w:ascii="Arial" w:eastAsia="Calibri" w:hAnsi="Arial" w:cs="Arial"/>
          <w:lang w:val="en-US"/>
        </w:rPr>
        <w:t xml:space="preserve"> in issue</w:t>
      </w:r>
      <w:r w:rsidR="004D3695">
        <w:rPr>
          <w:rFonts w:ascii="Arial" w:eastAsia="Calibri" w:hAnsi="Arial" w:cs="Arial"/>
          <w:lang w:val="en-US"/>
        </w:rPr>
        <w:t>,</w:t>
      </w:r>
      <w:r w:rsidR="008840B0" w:rsidRPr="008840B0">
        <w:rPr>
          <w:rFonts w:ascii="Arial" w:eastAsia="Calibri" w:hAnsi="Arial" w:cs="Arial"/>
          <w:lang w:val="en-US"/>
        </w:rPr>
        <w:t xml:space="preserve"> in order to defeat the purpose the forfeiture orders</w:t>
      </w:r>
      <w:r w:rsidR="00766B64">
        <w:rPr>
          <w:rFonts w:ascii="Arial" w:eastAsia="Calibri" w:hAnsi="Arial" w:cs="Arial"/>
          <w:lang w:val="en-US"/>
        </w:rPr>
        <w:t>,</w:t>
      </w:r>
      <w:r w:rsidR="008840B0" w:rsidRPr="008840B0">
        <w:rPr>
          <w:rFonts w:ascii="Arial" w:eastAsia="Calibri" w:hAnsi="Arial" w:cs="Arial"/>
          <w:lang w:val="en-US"/>
        </w:rPr>
        <w:t xml:space="preserve"> could simply commence winding-up proceedings to prevent the forfeiture of funds held in an account that had been made subject to a blocking order. The winding-up of the two companies cannot retrospectively terminate the legal effect of the blocking orders.</w:t>
      </w:r>
    </w:p>
    <w:p w14:paraId="0F05624D" w14:textId="77777777" w:rsidR="00312F44" w:rsidRPr="008840B0" w:rsidRDefault="00312F44" w:rsidP="00AA6AA5">
      <w:pPr>
        <w:spacing w:line="480" w:lineRule="auto"/>
        <w:jc w:val="both"/>
        <w:rPr>
          <w:rFonts w:ascii="Arial" w:eastAsia="Calibri" w:hAnsi="Arial" w:cs="Arial"/>
          <w:lang w:val="en-US"/>
        </w:rPr>
      </w:pPr>
    </w:p>
    <w:p w14:paraId="03F935FE" w14:textId="14E01E0A" w:rsidR="00D00222" w:rsidRPr="00F501DA" w:rsidRDefault="008840B0" w:rsidP="009F59D7">
      <w:pPr>
        <w:spacing w:line="480" w:lineRule="auto"/>
        <w:jc w:val="both"/>
        <w:rPr>
          <w:rFonts w:ascii="Arial" w:eastAsia="Calibri" w:hAnsi="Arial" w:cs="Arial"/>
          <w:lang w:val="en-US"/>
        </w:rPr>
      </w:pPr>
      <w:r w:rsidRPr="008840B0">
        <w:rPr>
          <w:rFonts w:ascii="Arial" w:eastAsia="Calibri" w:hAnsi="Arial" w:cs="Arial"/>
          <w:lang w:val="en-US"/>
        </w:rPr>
        <w:t>[</w:t>
      </w:r>
      <w:r w:rsidR="00312F44">
        <w:rPr>
          <w:rFonts w:ascii="Arial" w:eastAsia="Calibri" w:hAnsi="Arial" w:cs="Arial"/>
          <w:lang w:val="en-US"/>
        </w:rPr>
        <w:t>3</w:t>
      </w:r>
      <w:r w:rsidR="00621D68">
        <w:rPr>
          <w:rFonts w:ascii="Arial" w:eastAsia="Calibri" w:hAnsi="Arial" w:cs="Arial"/>
          <w:lang w:val="en-US"/>
        </w:rPr>
        <w:t>4</w:t>
      </w:r>
      <w:r w:rsidRPr="008840B0">
        <w:rPr>
          <w:rFonts w:ascii="Arial" w:eastAsia="Calibri" w:hAnsi="Arial" w:cs="Arial"/>
          <w:lang w:val="en-US"/>
        </w:rPr>
        <w:t xml:space="preserve">]   The </w:t>
      </w:r>
      <w:r w:rsidR="009B0236">
        <w:rPr>
          <w:rFonts w:ascii="Arial" w:eastAsia="Calibri" w:hAnsi="Arial" w:cs="Arial"/>
          <w:lang w:val="en-US"/>
        </w:rPr>
        <w:t>liquidators</w:t>
      </w:r>
      <w:r w:rsidRPr="008840B0">
        <w:rPr>
          <w:rFonts w:ascii="Arial" w:eastAsia="Calibri" w:hAnsi="Arial" w:cs="Arial"/>
          <w:lang w:val="en-US"/>
        </w:rPr>
        <w:t xml:space="preserve">’ reliance on </w:t>
      </w:r>
      <w:r w:rsidRPr="00E91D10">
        <w:rPr>
          <w:rFonts w:ascii="Arial" w:eastAsia="Calibri" w:hAnsi="Arial" w:cs="Arial"/>
          <w:i/>
          <w:lang w:val="en-US"/>
        </w:rPr>
        <w:t>Commissioner</w:t>
      </w:r>
      <w:r w:rsidRPr="008840B0">
        <w:rPr>
          <w:rFonts w:ascii="Arial" w:eastAsia="Calibri" w:hAnsi="Arial" w:cs="Arial"/>
          <w:lang w:val="en-US"/>
        </w:rPr>
        <w:t xml:space="preserve">, </w:t>
      </w:r>
      <w:r w:rsidRPr="00DA7AC7">
        <w:rPr>
          <w:rFonts w:ascii="Arial" w:eastAsia="Calibri" w:hAnsi="Arial" w:cs="Arial"/>
          <w:i/>
          <w:iCs/>
          <w:lang w:val="en-US"/>
        </w:rPr>
        <w:t>South African Revenue Service v Van der Merwe and Others</w:t>
      </w:r>
      <w:r w:rsidR="00766B64">
        <w:rPr>
          <w:rFonts w:ascii="Arial" w:eastAsia="Calibri" w:hAnsi="Arial" w:cs="Arial"/>
          <w:i/>
          <w:iCs/>
          <w:lang w:val="en-US"/>
        </w:rPr>
        <w:t xml:space="preserve"> </w:t>
      </w:r>
      <w:r w:rsidR="00766B64">
        <w:rPr>
          <w:rFonts w:ascii="Arial" w:eastAsia="Calibri" w:hAnsi="Arial" w:cs="Arial"/>
          <w:lang w:val="en-US"/>
        </w:rPr>
        <w:t>(</w:t>
      </w:r>
      <w:r w:rsidR="00766B64" w:rsidRPr="00510CA8">
        <w:rPr>
          <w:rFonts w:ascii="Arial" w:eastAsia="Calibri" w:hAnsi="Arial" w:cs="Arial"/>
          <w:i/>
          <w:iCs/>
          <w:lang w:val="en-US"/>
        </w:rPr>
        <w:t>Van der Merwe</w:t>
      </w:r>
      <w:r w:rsidR="00766B64">
        <w:rPr>
          <w:rFonts w:ascii="Arial" w:eastAsia="Calibri" w:hAnsi="Arial" w:cs="Arial"/>
          <w:lang w:val="en-US"/>
        </w:rPr>
        <w:t>)</w:t>
      </w:r>
      <w:r w:rsidR="00766B64" w:rsidRPr="00510CA8">
        <w:rPr>
          <w:rStyle w:val="FootnoteReference"/>
          <w:rFonts w:ascii="Arial" w:eastAsia="Calibri" w:hAnsi="Arial" w:cs="Arial"/>
          <w:lang w:val="en-US"/>
        </w:rPr>
        <w:footnoteReference w:id="6"/>
      </w:r>
      <w:r w:rsidRPr="008840B0">
        <w:rPr>
          <w:rFonts w:ascii="Arial" w:eastAsia="Calibri" w:hAnsi="Arial" w:cs="Arial"/>
          <w:lang w:val="en-US"/>
        </w:rPr>
        <w:t xml:space="preserve"> is misplaced. The facts of this case are distinguishable from those in </w:t>
      </w:r>
      <w:r w:rsidRPr="00DA7AC7">
        <w:rPr>
          <w:rFonts w:ascii="Arial" w:eastAsia="Calibri" w:hAnsi="Arial" w:cs="Arial"/>
          <w:i/>
          <w:iCs/>
          <w:lang w:val="en-US"/>
        </w:rPr>
        <w:t>Van der Merwe</w:t>
      </w:r>
      <w:r w:rsidRPr="008840B0">
        <w:rPr>
          <w:rFonts w:ascii="Arial" w:eastAsia="Calibri" w:hAnsi="Arial" w:cs="Arial"/>
          <w:lang w:val="en-US"/>
        </w:rPr>
        <w:t>.</w:t>
      </w:r>
      <w:r w:rsidR="00D00222" w:rsidRPr="00DA7AC7">
        <w:rPr>
          <w:rFonts w:ascii="Arial" w:eastAsia="Calibri" w:hAnsi="Arial" w:cs="Arial"/>
          <w:sz w:val="22"/>
          <w:szCs w:val="22"/>
          <w:lang w:val="en-US"/>
        </w:rPr>
        <w:t xml:space="preserve"> </w:t>
      </w:r>
      <w:r w:rsidR="00D00222" w:rsidRPr="00F501DA">
        <w:rPr>
          <w:rFonts w:ascii="Arial" w:eastAsia="Calibri" w:hAnsi="Arial" w:cs="Arial"/>
          <w:lang w:val="en-US"/>
        </w:rPr>
        <w:t xml:space="preserve">The question in </w:t>
      </w:r>
      <w:r w:rsidR="00D00222" w:rsidRPr="00F501DA">
        <w:rPr>
          <w:rFonts w:ascii="Arial" w:eastAsia="Calibri" w:hAnsi="Arial" w:cs="Arial"/>
          <w:i/>
          <w:iCs/>
          <w:lang w:val="en-US"/>
        </w:rPr>
        <w:t xml:space="preserve">Van der Merwe </w:t>
      </w:r>
      <w:r w:rsidR="00D00222" w:rsidRPr="00F501DA">
        <w:rPr>
          <w:rFonts w:ascii="Arial" w:eastAsia="Calibri" w:hAnsi="Arial" w:cs="Arial"/>
          <w:lang w:val="en-US"/>
        </w:rPr>
        <w:t xml:space="preserve">was whether the Customs and Excise Act </w:t>
      </w:r>
      <w:r w:rsidR="00766B64">
        <w:rPr>
          <w:rFonts w:ascii="Arial" w:eastAsia="Calibri" w:hAnsi="Arial" w:cs="Arial"/>
          <w:lang w:val="en-US"/>
        </w:rPr>
        <w:t xml:space="preserve">91 of 1964 </w:t>
      </w:r>
      <w:r w:rsidR="00D00222" w:rsidRPr="00F501DA">
        <w:rPr>
          <w:rFonts w:ascii="Arial" w:eastAsia="Calibri" w:hAnsi="Arial" w:cs="Arial"/>
          <w:lang w:val="en-US"/>
        </w:rPr>
        <w:t xml:space="preserve">and the Value Added Tax Act </w:t>
      </w:r>
      <w:r w:rsidR="00766B64">
        <w:rPr>
          <w:rFonts w:ascii="Arial" w:eastAsia="Calibri" w:hAnsi="Arial" w:cs="Arial"/>
          <w:lang w:val="en-US"/>
        </w:rPr>
        <w:t xml:space="preserve">89 of 1991 </w:t>
      </w:r>
      <w:r w:rsidR="00D00222" w:rsidRPr="00F501DA">
        <w:rPr>
          <w:rFonts w:ascii="Arial" w:eastAsia="Calibri" w:hAnsi="Arial" w:cs="Arial"/>
          <w:lang w:val="en-US"/>
        </w:rPr>
        <w:t>precluded the Commissioner of the South Afri</w:t>
      </w:r>
      <w:r w:rsidR="00E91D10" w:rsidRPr="00F501DA">
        <w:rPr>
          <w:rFonts w:ascii="Arial" w:eastAsia="Calibri" w:hAnsi="Arial" w:cs="Arial"/>
          <w:lang w:val="en-US"/>
        </w:rPr>
        <w:t>can Revenue Service</w:t>
      </w:r>
      <w:r w:rsidR="00C97060">
        <w:rPr>
          <w:rFonts w:ascii="Arial" w:eastAsia="Calibri" w:hAnsi="Arial" w:cs="Arial"/>
          <w:lang w:val="en-US"/>
        </w:rPr>
        <w:t xml:space="preserve"> (SARS)</w:t>
      </w:r>
      <w:r w:rsidR="00D00222" w:rsidRPr="00F501DA">
        <w:rPr>
          <w:rFonts w:ascii="Arial" w:eastAsia="Calibri" w:hAnsi="Arial" w:cs="Arial"/>
          <w:lang w:val="en-US"/>
        </w:rPr>
        <w:t xml:space="preserve"> from releasing imported equipment to liquidators without the liquidator</w:t>
      </w:r>
      <w:r w:rsidR="00E91D10" w:rsidRPr="00F501DA">
        <w:rPr>
          <w:rFonts w:ascii="Arial" w:eastAsia="Calibri" w:hAnsi="Arial" w:cs="Arial"/>
          <w:lang w:val="en-US"/>
        </w:rPr>
        <w:t>s first having to pay duty and Value Added T</w:t>
      </w:r>
      <w:r w:rsidR="00D00222" w:rsidRPr="00F501DA">
        <w:rPr>
          <w:rFonts w:ascii="Arial" w:eastAsia="Calibri" w:hAnsi="Arial" w:cs="Arial"/>
          <w:lang w:val="en-US"/>
        </w:rPr>
        <w:t>ax on the equipment.</w:t>
      </w:r>
      <w:r w:rsidR="00E91D10" w:rsidRPr="00F501DA">
        <w:rPr>
          <w:rFonts w:ascii="Arial" w:eastAsia="Calibri" w:hAnsi="Arial" w:cs="Arial"/>
          <w:lang w:val="en-US"/>
        </w:rPr>
        <w:t xml:space="preserve"> U</w:t>
      </w:r>
      <w:r w:rsidR="00D00222" w:rsidRPr="00F501DA">
        <w:rPr>
          <w:rFonts w:ascii="Arial" w:eastAsia="Calibri" w:hAnsi="Arial" w:cs="Arial"/>
          <w:lang w:val="en-US"/>
        </w:rPr>
        <w:t>nlike the purpose of  fo</w:t>
      </w:r>
      <w:r w:rsidR="00E91D10" w:rsidRPr="00F501DA">
        <w:rPr>
          <w:rFonts w:ascii="Arial" w:eastAsia="Calibri" w:hAnsi="Arial" w:cs="Arial"/>
          <w:lang w:val="en-US"/>
        </w:rPr>
        <w:t>rfeiture orders,</w:t>
      </w:r>
      <w:r w:rsidR="00D00222" w:rsidRPr="00F501DA">
        <w:rPr>
          <w:rFonts w:ascii="Arial" w:eastAsia="Calibri" w:hAnsi="Arial" w:cs="Arial"/>
          <w:lang w:val="en-US"/>
        </w:rPr>
        <w:t xml:space="preserve"> the purpose of the Customs and Excise Act is to ensure the duties  are collected on goods which are imported into South Africa. Unlike the Reserve Bank, t</w:t>
      </w:r>
      <w:r w:rsidR="00E91D10" w:rsidRPr="00F501DA">
        <w:rPr>
          <w:rFonts w:ascii="Arial" w:eastAsia="Calibri" w:hAnsi="Arial" w:cs="Arial"/>
          <w:lang w:val="en-US"/>
        </w:rPr>
        <w:t>he powers exercised by the Commissioner</w:t>
      </w:r>
      <w:r w:rsidR="00D00222" w:rsidRPr="00F501DA">
        <w:rPr>
          <w:rFonts w:ascii="Arial" w:eastAsia="Calibri" w:hAnsi="Arial" w:cs="Arial"/>
          <w:lang w:val="en-US"/>
        </w:rPr>
        <w:t xml:space="preserve"> when claiming duties due to SARS in respect of property under the Customs</w:t>
      </w:r>
      <w:r w:rsidR="00DA7AC7" w:rsidRPr="00F501DA">
        <w:rPr>
          <w:rFonts w:ascii="Arial" w:eastAsia="Calibri" w:hAnsi="Arial" w:cs="Arial"/>
          <w:lang w:val="en-US"/>
        </w:rPr>
        <w:t xml:space="preserve"> </w:t>
      </w:r>
      <w:r w:rsidR="00D00222" w:rsidRPr="00F501DA">
        <w:rPr>
          <w:rFonts w:ascii="Arial" w:eastAsia="Calibri" w:hAnsi="Arial" w:cs="Arial"/>
          <w:lang w:val="en-US"/>
        </w:rPr>
        <w:t xml:space="preserve">and Excise Act are indeed powers exercised as a </w:t>
      </w:r>
      <w:r w:rsidR="00766B64">
        <w:rPr>
          <w:rFonts w:ascii="Arial" w:eastAsia="Calibri" w:hAnsi="Arial" w:cs="Arial"/>
          <w:lang w:val="en-US"/>
        </w:rPr>
        <w:t>‘</w:t>
      </w:r>
      <w:r w:rsidR="00D00222" w:rsidRPr="00F501DA">
        <w:rPr>
          <w:rFonts w:ascii="Arial" w:eastAsia="Calibri" w:hAnsi="Arial" w:cs="Arial"/>
          <w:lang w:val="en-US"/>
        </w:rPr>
        <w:t>credito</w:t>
      </w:r>
      <w:r w:rsidR="00D00222" w:rsidRPr="00510CA8">
        <w:rPr>
          <w:rFonts w:ascii="Arial" w:eastAsia="Calibri" w:hAnsi="Arial" w:cs="Arial"/>
          <w:lang w:val="en-US"/>
        </w:rPr>
        <w:t>r</w:t>
      </w:r>
      <w:r w:rsidR="00766B64">
        <w:rPr>
          <w:rFonts w:ascii="Arial" w:eastAsia="Calibri" w:hAnsi="Arial" w:cs="Arial"/>
          <w:lang w:val="en-US"/>
        </w:rPr>
        <w:t>’</w:t>
      </w:r>
      <w:r w:rsidR="009F59D7" w:rsidRPr="00F501DA">
        <w:rPr>
          <w:rFonts w:ascii="Arial" w:eastAsia="Calibri" w:hAnsi="Arial" w:cs="Arial"/>
          <w:lang w:val="en-US"/>
        </w:rPr>
        <w:t xml:space="preserve"> and the insolvent company is a debtor in relation of unpaid customs and duties</w:t>
      </w:r>
      <w:r w:rsidR="00567071" w:rsidRPr="00F501DA">
        <w:rPr>
          <w:rFonts w:ascii="Arial" w:eastAsia="Calibri" w:hAnsi="Arial" w:cs="Arial"/>
          <w:lang w:val="en-US"/>
        </w:rPr>
        <w:t xml:space="preserve">. SARS may be considered </w:t>
      </w:r>
      <w:r w:rsidR="001C26AD">
        <w:rPr>
          <w:rFonts w:ascii="Arial" w:eastAsia="Calibri" w:hAnsi="Arial" w:cs="Arial"/>
          <w:lang w:val="en-US"/>
        </w:rPr>
        <w:t xml:space="preserve">a </w:t>
      </w:r>
      <w:r w:rsidR="00766B64">
        <w:rPr>
          <w:rFonts w:ascii="Arial" w:eastAsia="Calibri" w:hAnsi="Arial" w:cs="Arial"/>
          <w:lang w:val="en-US"/>
        </w:rPr>
        <w:t>‘</w:t>
      </w:r>
      <w:r w:rsidR="00567071" w:rsidRPr="00F501DA">
        <w:rPr>
          <w:rFonts w:ascii="Arial" w:eastAsia="Calibri" w:hAnsi="Arial" w:cs="Arial"/>
          <w:i/>
          <w:iCs/>
          <w:lang w:val="en-US"/>
        </w:rPr>
        <w:t>lienholde</w:t>
      </w:r>
      <w:r w:rsidR="00510CA8">
        <w:rPr>
          <w:rFonts w:ascii="Arial" w:eastAsia="Calibri" w:hAnsi="Arial" w:cs="Arial"/>
          <w:i/>
          <w:iCs/>
          <w:lang w:val="en-US"/>
        </w:rPr>
        <w:t>r</w:t>
      </w:r>
      <w:r w:rsidR="00C97060">
        <w:rPr>
          <w:rFonts w:ascii="Arial" w:eastAsia="Calibri" w:hAnsi="Arial" w:cs="Arial"/>
          <w:i/>
          <w:iCs/>
          <w:lang w:val="en-US"/>
        </w:rPr>
        <w:t>’</w:t>
      </w:r>
      <w:r w:rsidR="00510CA8">
        <w:rPr>
          <w:rFonts w:ascii="Arial" w:eastAsia="Calibri" w:hAnsi="Arial" w:cs="Arial"/>
          <w:i/>
          <w:iCs/>
          <w:lang w:val="en-US"/>
        </w:rPr>
        <w:t xml:space="preserve"> </w:t>
      </w:r>
      <w:r w:rsidR="00567071" w:rsidRPr="00F501DA">
        <w:rPr>
          <w:rFonts w:ascii="Arial" w:eastAsia="Calibri" w:hAnsi="Arial" w:cs="Arial"/>
          <w:lang w:val="en-US"/>
        </w:rPr>
        <w:t xml:space="preserve">in respect of the property which is held in terms of the Act where duties are unpaid. </w:t>
      </w:r>
    </w:p>
    <w:p w14:paraId="7CE26253" w14:textId="77777777" w:rsidR="00D00222" w:rsidRPr="00D00222" w:rsidRDefault="00D00222" w:rsidP="00AA6AA5">
      <w:pPr>
        <w:spacing w:line="480" w:lineRule="auto"/>
        <w:jc w:val="both"/>
        <w:rPr>
          <w:rFonts w:ascii="Arial" w:eastAsia="Calibri" w:hAnsi="Arial" w:cs="Arial"/>
          <w:lang w:val="en-US"/>
        </w:rPr>
      </w:pPr>
    </w:p>
    <w:p w14:paraId="233CC03F" w14:textId="6712EBC7" w:rsidR="008840B0" w:rsidRDefault="008840B0" w:rsidP="00AA6AA5">
      <w:pPr>
        <w:spacing w:line="480" w:lineRule="auto"/>
        <w:jc w:val="both"/>
        <w:rPr>
          <w:rFonts w:ascii="Arial" w:eastAsia="Calibri" w:hAnsi="Arial" w:cs="Arial"/>
          <w:lang w:val="en-US"/>
        </w:rPr>
      </w:pPr>
      <w:r w:rsidRPr="008840B0">
        <w:rPr>
          <w:rFonts w:ascii="Arial" w:eastAsia="Calibri" w:hAnsi="Arial" w:cs="Arial"/>
          <w:lang w:val="en-US"/>
        </w:rPr>
        <w:t>[</w:t>
      </w:r>
      <w:r w:rsidR="00312F44">
        <w:rPr>
          <w:rFonts w:ascii="Arial" w:eastAsia="Calibri" w:hAnsi="Arial" w:cs="Arial"/>
          <w:lang w:val="en-US"/>
        </w:rPr>
        <w:t>3</w:t>
      </w:r>
      <w:r w:rsidR="00621D68">
        <w:rPr>
          <w:rFonts w:ascii="Arial" w:eastAsia="Calibri" w:hAnsi="Arial" w:cs="Arial"/>
          <w:lang w:val="en-US"/>
        </w:rPr>
        <w:t>5</w:t>
      </w:r>
      <w:r w:rsidRPr="008840B0">
        <w:rPr>
          <w:rFonts w:ascii="Arial" w:eastAsia="Calibri" w:hAnsi="Arial" w:cs="Arial"/>
          <w:lang w:val="en-US"/>
        </w:rPr>
        <w:t xml:space="preserve">]    To sum up, </w:t>
      </w:r>
      <w:bookmarkStart w:id="4" w:name="_Hlk125020581"/>
      <w:r w:rsidRPr="008840B0">
        <w:rPr>
          <w:rFonts w:ascii="Arial" w:eastAsia="Calibri" w:hAnsi="Arial" w:cs="Arial"/>
          <w:lang w:val="en-US"/>
        </w:rPr>
        <w:t xml:space="preserve">the liquidation of the two companies did not nullify the blocking order which was in existence at the time. </w:t>
      </w:r>
      <w:r w:rsidRPr="007F5C66">
        <w:rPr>
          <w:rFonts w:ascii="Arial" w:eastAsia="Calibri" w:hAnsi="Arial" w:cs="Arial"/>
          <w:lang w:val="en-US"/>
        </w:rPr>
        <w:t>As a blocking order</w:t>
      </w:r>
      <w:r w:rsidR="00073946">
        <w:rPr>
          <w:rFonts w:ascii="Arial" w:eastAsia="Calibri" w:hAnsi="Arial" w:cs="Arial"/>
          <w:lang w:val="en-US"/>
        </w:rPr>
        <w:t xml:space="preserve"> </w:t>
      </w:r>
      <w:r w:rsidR="00CE76A9">
        <w:rPr>
          <w:rFonts w:ascii="Arial" w:eastAsia="Calibri" w:hAnsi="Arial" w:cs="Arial"/>
          <w:lang w:val="en-US"/>
        </w:rPr>
        <w:t>was not nullified</w:t>
      </w:r>
      <w:r w:rsidR="001C26AD">
        <w:rPr>
          <w:rFonts w:ascii="Arial" w:eastAsia="Calibri" w:hAnsi="Arial" w:cs="Arial"/>
          <w:lang w:val="en-US"/>
        </w:rPr>
        <w:t>,</w:t>
      </w:r>
      <w:r w:rsidRPr="008840B0">
        <w:rPr>
          <w:rFonts w:ascii="Arial" w:eastAsia="Calibri" w:hAnsi="Arial" w:cs="Arial"/>
          <w:lang w:val="en-US"/>
        </w:rPr>
        <w:t xml:space="preserve"> it was competent for the Reserve Bank after the liquidation of the companies to issue the forfeiture orders which made it mandatory for the banks which held the accounts in which monies were kept, to pay such monies into the National Revenue Fund. The forfeiture orders issued after the liquidation of the companies were not affected by the liquidation and the monies which were declared </w:t>
      </w:r>
      <w:r w:rsidRPr="00193422">
        <w:rPr>
          <w:rFonts w:ascii="Arial" w:eastAsia="Calibri" w:hAnsi="Arial" w:cs="Arial"/>
          <w:lang w:val="en-US"/>
        </w:rPr>
        <w:t>forfeit</w:t>
      </w:r>
      <w:r w:rsidR="009E4F10" w:rsidRPr="00193422">
        <w:rPr>
          <w:rFonts w:ascii="Arial" w:eastAsia="Calibri" w:hAnsi="Arial" w:cs="Arial"/>
          <w:lang w:val="en-US"/>
        </w:rPr>
        <w:t>ed</w:t>
      </w:r>
      <w:r w:rsidRPr="008840B0">
        <w:rPr>
          <w:rFonts w:ascii="Arial" w:eastAsia="Calibri" w:hAnsi="Arial" w:cs="Arial"/>
          <w:lang w:val="en-US"/>
        </w:rPr>
        <w:t xml:space="preserve"> to the State did not fall into the estates of the insolvent companies.</w:t>
      </w:r>
      <w:bookmarkEnd w:id="4"/>
      <w:r w:rsidR="00EF468B">
        <w:rPr>
          <w:rFonts w:ascii="Arial" w:eastAsia="Calibri" w:hAnsi="Arial" w:cs="Arial"/>
          <w:lang w:val="en-US"/>
        </w:rPr>
        <w:t xml:space="preserve"> </w:t>
      </w:r>
      <w:r w:rsidR="00EF468B" w:rsidRPr="00193422">
        <w:rPr>
          <w:rFonts w:ascii="Arial" w:eastAsia="Calibri" w:hAnsi="Arial" w:cs="Arial"/>
          <w:lang w:val="en-US"/>
        </w:rPr>
        <w:t>The liquidators were therefore not entitled to demand that the funds be paid out to them for distribution.</w:t>
      </w:r>
    </w:p>
    <w:p w14:paraId="712DC7D5" w14:textId="77777777" w:rsidR="007E5F68" w:rsidRPr="008840B0" w:rsidRDefault="007E5F68" w:rsidP="00AA6AA5">
      <w:pPr>
        <w:spacing w:line="480" w:lineRule="auto"/>
        <w:jc w:val="both"/>
        <w:rPr>
          <w:rFonts w:ascii="Arial" w:eastAsia="Calibri" w:hAnsi="Arial" w:cs="Arial"/>
          <w:lang w:val="en-US"/>
        </w:rPr>
      </w:pPr>
    </w:p>
    <w:p w14:paraId="18317734" w14:textId="763303CD" w:rsidR="009165EA" w:rsidRPr="008840B0" w:rsidRDefault="008840B0" w:rsidP="00AA6AA5">
      <w:pPr>
        <w:spacing w:line="480" w:lineRule="auto"/>
        <w:jc w:val="both"/>
        <w:rPr>
          <w:rFonts w:ascii="Arial" w:eastAsia="Calibri" w:hAnsi="Arial" w:cs="Arial"/>
          <w:lang w:val="en-US"/>
        </w:rPr>
      </w:pPr>
      <w:r w:rsidRPr="008840B0">
        <w:rPr>
          <w:rFonts w:ascii="Arial" w:eastAsia="Calibri" w:hAnsi="Arial" w:cs="Arial"/>
          <w:lang w:val="en-US"/>
        </w:rPr>
        <w:t>[</w:t>
      </w:r>
      <w:r w:rsidR="00312F44">
        <w:rPr>
          <w:rFonts w:ascii="Arial" w:eastAsia="Calibri" w:hAnsi="Arial" w:cs="Arial"/>
          <w:lang w:val="en-US"/>
        </w:rPr>
        <w:t>3</w:t>
      </w:r>
      <w:r w:rsidR="00621D68">
        <w:rPr>
          <w:rFonts w:ascii="Arial" w:eastAsia="Calibri" w:hAnsi="Arial" w:cs="Arial"/>
          <w:lang w:val="en-US"/>
        </w:rPr>
        <w:t>6</w:t>
      </w:r>
      <w:r w:rsidRPr="008840B0">
        <w:rPr>
          <w:rFonts w:ascii="Arial" w:eastAsia="Calibri" w:hAnsi="Arial" w:cs="Arial"/>
          <w:lang w:val="en-US"/>
        </w:rPr>
        <w:t>]    In the result I make the following order:</w:t>
      </w:r>
    </w:p>
    <w:p w14:paraId="6D12F6DC" w14:textId="60B0E7A6" w:rsidR="009F59D7" w:rsidRPr="000B3918" w:rsidRDefault="000B3918" w:rsidP="000B3918">
      <w:pPr>
        <w:spacing w:line="480" w:lineRule="auto"/>
        <w:ind w:left="720" w:hanging="360"/>
        <w:jc w:val="both"/>
        <w:rPr>
          <w:rFonts w:ascii="Arial" w:eastAsia="Calibri" w:hAnsi="Arial" w:cs="Arial"/>
          <w:lang w:val="en-US"/>
        </w:rPr>
      </w:pPr>
      <w:bookmarkStart w:id="5" w:name="_Hlk122108515"/>
      <w:r>
        <w:rPr>
          <w:rFonts w:ascii="Arial" w:eastAsia="Calibri" w:hAnsi="Arial" w:cs="Arial"/>
          <w:lang w:val="en-US"/>
        </w:rPr>
        <w:t>1</w:t>
      </w:r>
      <w:r>
        <w:rPr>
          <w:rFonts w:ascii="Arial" w:eastAsia="Calibri" w:hAnsi="Arial" w:cs="Arial"/>
          <w:lang w:val="en-US"/>
        </w:rPr>
        <w:tab/>
      </w:r>
      <w:r w:rsidR="008840B0" w:rsidRPr="000B3918">
        <w:rPr>
          <w:rFonts w:ascii="Arial" w:eastAsia="Calibri" w:hAnsi="Arial" w:cs="Arial"/>
          <w:lang w:val="en-US"/>
        </w:rPr>
        <w:t>The appeal succeeds</w:t>
      </w:r>
      <w:r w:rsidR="009F59D7" w:rsidRPr="000B3918">
        <w:rPr>
          <w:rFonts w:ascii="Arial" w:eastAsia="Calibri" w:hAnsi="Arial" w:cs="Arial"/>
          <w:lang w:val="en-US"/>
        </w:rPr>
        <w:t>.</w:t>
      </w:r>
    </w:p>
    <w:p w14:paraId="13032B0B" w14:textId="5247D0B9" w:rsidR="009165EA" w:rsidRPr="000B3918" w:rsidRDefault="000B3918" w:rsidP="000B3918">
      <w:pPr>
        <w:spacing w:line="480" w:lineRule="auto"/>
        <w:ind w:left="720" w:hanging="360"/>
        <w:jc w:val="both"/>
        <w:rPr>
          <w:rFonts w:ascii="Arial" w:eastAsia="Calibri" w:hAnsi="Arial" w:cs="Arial"/>
          <w:lang w:val="en-US"/>
        </w:rPr>
      </w:pPr>
      <w:r w:rsidRPr="009F59D7">
        <w:rPr>
          <w:rFonts w:ascii="Arial" w:eastAsia="Calibri" w:hAnsi="Arial" w:cs="Arial"/>
          <w:lang w:val="en-US"/>
        </w:rPr>
        <w:t>2</w:t>
      </w:r>
      <w:r w:rsidRPr="009F59D7">
        <w:rPr>
          <w:rFonts w:ascii="Arial" w:eastAsia="Calibri" w:hAnsi="Arial" w:cs="Arial"/>
          <w:lang w:val="en-US"/>
        </w:rPr>
        <w:tab/>
      </w:r>
      <w:r w:rsidR="009F59D7" w:rsidRPr="000B3918">
        <w:rPr>
          <w:rFonts w:ascii="Arial" w:eastAsia="Calibri" w:hAnsi="Arial" w:cs="Arial"/>
          <w:lang w:val="en-US"/>
        </w:rPr>
        <w:t xml:space="preserve"> T</w:t>
      </w:r>
      <w:r w:rsidR="008840B0" w:rsidRPr="000B3918">
        <w:rPr>
          <w:rFonts w:ascii="Arial" w:eastAsia="Calibri" w:hAnsi="Arial" w:cs="Arial"/>
          <w:lang w:val="en-US"/>
        </w:rPr>
        <w:t>he order made by the high court is set aside and replaced with the following order:</w:t>
      </w:r>
    </w:p>
    <w:p w14:paraId="24516610" w14:textId="04583310" w:rsidR="00312F44" w:rsidRDefault="008840B0" w:rsidP="000905DF">
      <w:pPr>
        <w:spacing w:line="480" w:lineRule="auto"/>
        <w:jc w:val="both"/>
        <w:rPr>
          <w:rFonts w:ascii="Arial" w:eastAsia="Calibri" w:hAnsi="Arial" w:cs="Arial"/>
          <w:lang w:val="en-US"/>
        </w:rPr>
      </w:pPr>
      <w:r w:rsidRPr="008840B0">
        <w:rPr>
          <w:rFonts w:ascii="Arial" w:eastAsia="Calibri" w:hAnsi="Arial" w:cs="Arial"/>
          <w:lang w:val="en-US"/>
        </w:rPr>
        <w:t>‘The application is dismissed with costs’.</w:t>
      </w:r>
    </w:p>
    <w:bookmarkEnd w:id="5"/>
    <w:p w14:paraId="1CB714AE" w14:textId="4D50F848" w:rsidR="00312F44" w:rsidRDefault="00312F44" w:rsidP="009165EA">
      <w:pPr>
        <w:spacing w:line="360" w:lineRule="auto"/>
        <w:rPr>
          <w:rFonts w:ascii="Arial" w:hAnsi="Arial" w:cs="Arial"/>
          <w:bCs/>
        </w:rPr>
      </w:pPr>
    </w:p>
    <w:p w14:paraId="3976DD25" w14:textId="18CC0F19" w:rsidR="008E3C8C" w:rsidRPr="00004CDD" w:rsidRDefault="00F43000" w:rsidP="00D50B1F">
      <w:pPr>
        <w:spacing w:line="360" w:lineRule="auto"/>
        <w:jc w:val="right"/>
        <w:rPr>
          <w:rFonts w:ascii="Arial" w:hAnsi="Arial" w:cs="Arial"/>
          <w:bCs/>
        </w:rPr>
      </w:pPr>
      <w:r w:rsidRPr="00004CDD">
        <w:rPr>
          <w:rFonts w:ascii="Arial" w:hAnsi="Arial" w:cs="Arial"/>
          <w:bCs/>
        </w:rPr>
        <w:t>____</w:t>
      </w:r>
      <w:r w:rsidR="008E3C8C" w:rsidRPr="00004CDD">
        <w:rPr>
          <w:rFonts w:ascii="Arial" w:hAnsi="Arial" w:cs="Arial"/>
          <w:bCs/>
        </w:rPr>
        <w:t>_____</w:t>
      </w:r>
      <w:r w:rsidRPr="00004CDD">
        <w:rPr>
          <w:rFonts w:ascii="Arial" w:hAnsi="Arial" w:cs="Arial"/>
          <w:bCs/>
        </w:rPr>
        <w:t>________</w:t>
      </w:r>
    </w:p>
    <w:p w14:paraId="0AC9F279" w14:textId="58BBD8BE" w:rsidR="008E3C8C" w:rsidRPr="00004CDD" w:rsidRDefault="00340A7C" w:rsidP="008E3C8C">
      <w:pPr>
        <w:spacing w:line="360" w:lineRule="auto"/>
        <w:jc w:val="right"/>
        <w:rPr>
          <w:rFonts w:ascii="Arial" w:hAnsi="Arial" w:cs="Arial"/>
          <w:bCs/>
        </w:rPr>
      </w:pPr>
      <w:r w:rsidRPr="00004CDD">
        <w:rPr>
          <w:rFonts w:ascii="Arial" w:hAnsi="Arial" w:cs="Arial"/>
          <w:bCs/>
        </w:rPr>
        <w:t>D H ZONDI</w:t>
      </w:r>
    </w:p>
    <w:p w14:paraId="7DF16237" w14:textId="3CD404E6" w:rsidR="009A1544" w:rsidRPr="00004CDD" w:rsidRDefault="008D7B35" w:rsidP="0069216F">
      <w:pPr>
        <w:spacing w:line="360" w:lineRule="auto"/>
        <w:jc w:val="right"/>
        <w:rPr>
          <w:rFonts w:ascii="Arial" w:hAnsi="Arial" w:cs="Arial"/>
          <w:bCs/>
        </w:rPr>
      </w:pPr>
      <w:r w:rsidRPr="00004CDD">
        <w:rPr>
          <w:rFonts w:ascii="Arial" w:hAnsi="Arial" w:cs="Arial"/>
          <w:bCs/>
        </w:rPr>
        <w:t>JUDGE OF APPEAL</w:t>
      </w:r>
      <w:r w:rsidR="009A1544" w:rsidRPr="00004CDD">
        <w:rPr>
          <w:rFonts w:ascii="Arial" w:hAnsi="Arial" w:cs="Arial"/>
        </w:rPr>
        <w:br w:type="page"/>
      </w:r>
    </w:p>
    <w:p w14:paraId="52AA18EB" w14:textId="0FF15D72" w:rsidR="00F43000" w:rsidRPr="00004CDD" w:rsidRDefault="008D7B35" w:rsidP="000E6CEB">
      <w:pPr>
        <w:spacing w:after="160" w:line="259" w:lineRule="auto"/>
        <w:jc w:val="both"/>
        <w:rPr>
          <w:rFonts w:ascii="Arial" w:hAnsi="Arial" w:cs="Arial"/>
        </w:rPr>
      </w:pPr>
      <w:r w:rsidRPr="00004CDD">
        <w:rPr>
          <w:rFonts w:ascii="Arial" w:hAnsi="Arial" w:cs="Arial"/>
        </w:rPr>
        <w:t>APPEARANCES</w:t>
      </w:r>
    </w:p>
    <w:p w14:paraId="628AD592" w14:textId="77777777" w:rsidR="00F43000" w:rsidRPr="00004CDD" w:rsidRDefault="00F43000" w:rsidP="000E6CEB">
      <w:pPr>
        <w:spacing w:line="360" w:lineRule="auto"/>
        <w:jc w:val="both"/>
        <w:rPr>
          <w:rFonts w:ascii="Arial" w:hAnsi="Arial" w:cs="Arial"/>
        </w:rPr>
      </w:pPr>
    </w:p>
    <w:p w14:paraId="3FA85663" w14:textId="6BC5C1D2" w:rsidR="000E6CEB" w:rsidRDefault="00F43000" w:rsidP="000E6CEB">
      <w:pPr>
        <w:spacing w:line="360" w:lineRule="auto"/>
        <w:jc w:val="both"/>
        <w:rPr>
          <w:rFonts w:ascii="Arial" w:hAnsi="Arial" w:cs="Arial"/>
        </w:rPr>
      </w:pPr>
      <w:r w:rsidRPr="00004CDD">
        <w:rPr>
          <w:rFonts w:ascii="Arial" w:hAnsi="Arial" w:cs="Arial"/>
        </w:rPr>
        <w:t>For</w:t>
      </w:r>
      <w:r w:rsidR="005D2BA2">
        <w:rPr>
          <w:rFonts w:ascii="Arial" w:hAnsi="Arial" w:cs="Arial"/>
        </w:rPr>
        <w:t xml:space="preserve"> </w:t>
      </w:r>
      <w:r w:rsidR="000E6CEB">
        <w:rPr>
          <w:rFonts w:ascii="Arial" w:hAnsi="Arial" w:cs="Arial"/>
        </w:rPr>
        <w:t>first</w:t>
      </w:r>
      <w:r w:rsidRPr="00004CDD">
        <w:rPr>
          <w:rFonts w:ascii="Arial" w:hAnsi="Arial" w:cs="Arial"/>
        </w:rPr>
        <w:t xml:space="preserve"> appellant:</w:t>
      </w:r>
      <w:r w:rsidRPr="00004CDD">
        <w:rPr>
          <w:rFonts w:ascii="Arial" w:hAnsi="Arial" w:cs="Arial"/>
        </w:rPr>
        <w:tab/>
      </w:r>
      <w:r w:rsidR="00E52B57">
        <w:rPr>
          <w:rFonts w:ascii="Arial" w:hAnsi="Arial" w:cs="Arial"/>
        </w:rPr>
        <w:tab/>
      </w:r>
      <w:r w:rsidR="00E52B57">
        <w:rPr>
          <w:rFonts w:ascii="Arial" w:hAnsi="Arial" w:cs="Arial"/>
        </w:rPr>
        <w:tab/>
      </w:r>
      <w:r w:rsidR="00E52B57">
        <w:rPr>
          <w:rFonts w:ascii="Arial" w:hAnsi="Arial" w:cs="Arial"/>
        </w:rPr>
        <w:tab/>
      </w:r>
      <w:r w:rsidR="00E52B57">
        <w:rPr>
          <w:rFonts w:ascii="Arial" w:hAnsi="Arial" w:cs="Arial"/>
        </w:rPr>
        <w:tab/>
      </w:r>
      <w:r w:rsidR="000E6CEB">
        <w:rPr>
          <w:rFonts w:ascii="Arial" w:hAnsi="Arial" w:cs="Arial"/>
        </w:rPr>
        <w:t>N.G.D Maritz</w:t>
      </w:r>
      <w:r w:rsidR="009F59D7">
        <w:rPr>
          <w:rFonts w:ascii="Arial" w:hAnsi="Arial" w:cs="Arial"/>
        </w:rPr>
        <w:t xml:space="preserve"> SC</w:t>
      </w:r>
    </w:p>
    <w:p w14:paraId="2FC70B1D" w14:textId="1460CEB3" w:rsidR="00F43000" w:rsidRPr="000E6CEB" w:rsidRDefault="00F43000" w:rsidP="009F0AD3">
      <w:pPr>
        <w:spacing w:line="360" w:lineRule="auto"/>
        <w:ind w:left="3600" w:hanging="3600"/>
        <w:jc w:val="both"/>
        <w:rPr>
          <w:rFonts w:ascii="Arial" w:hAnsi="Arial" w:cs="Arial"/>
        </w:rPr>
      </w:pPr>
      <w:r w:rsidRPr="00004CDD">
        <w:rPr>
          <w:rFonts w:ascii="Arial" w:hAnsi="Arial" w:cs="Arial"/>
          <w:bCs/>
        </w:rPr>
        <w:t>Instructed by:</w:t>
      </w:r>
      <w:r w:rsidR="009F0AD3" w:rsidRPr="009F0AD3">
        <w:t xml:space="preserve"> </w:t>
      </w:r>
      <w:r w:rsidR="00E52B57">
        <w:tab/>
      </w:r>
      <w:r w:rsidR="00E52B57">
        <w:tab/>
      </w:r>
      <w:r w:rsidR="00E52B57">
        <w:tab/>
      </w:r>
      <w:r w:rsidR="009F0AD3" w:rsidRPr="009F0AD3">
        <w:rPr>
          <w:rFonts w:ascii="Arial" w:hAnsi="Arial" w:cs="Arial"/>
          <w:bCs/>
        </w:rPr>
        <w:t>Gildenhuys Malatji Inc</w:t>
      </w:r>
      <w:r w:rsidR="00121298">
        <w:rPr>
          <w:rFonts w:ascii="Arial" w:hAnsi="Arial" w:cs="Arial"/>
          <w:bCs/>
        </w:rPr>
        <w:t>, Pretoria</w:t>
      </w:r>
      <w:r w:rsidR="005D2BA2">
        <w:rPr>
          <w:rFonts w:ascii="Arial" w:hAnsi="Arial" w:cs="Arial"/>
          <w:bCs/>
        </w:rPr>
        <w:tab/>
      </w:r>
      <w:r w:rsidR="005D2BA2">
        <w:rPr>
          <w:rFonts w:ascii="Arial" w:hAnsi="Arial" w:cs="Arial"/>
          <w:bCs/>
        </w:rPr>
        <w:tab/>
      </w:r>
      <w:r w:rsidR="005D2BA2">
        <w:rPr>
          <w:rFonts w:ascii="Arial" w:hAnsi="Arial" w:cs="Arial"/>
          <w:bCs/>
        </w:rPr>
        <w:tab/>
      </w:r>
      <w:r w:rsidR="00E52B57" w:rsidRPr="00E52B57">
        <w:rPr>
          <w:rFonts w:ascii="Arial" w:hAnsi="Arial" w:cs="Arial"/>
          <w:bCs/>
        </w:rPr>
        <w:t>Honey Attorneys, Bloemfontein</w:t>
      </w:r>
      <w:r w:rsidR="005D2BA2">
        <w:rPr>
          <w:rFonts w:ascii="Arial" w:hAnsi="Arial" w:cs="Arial"/>
          <w:bCs/>
        </w:rPr>
        <w:tab/>
      </w:r>
      <w:r w:rsidRPr="00004CDD">
        <w:rPr>
          <w:rFonts w:ascii="Arial" w:hAnsi="Arial" w:cs="Arial"/>
          <w:bCs/>
        </w:rPr>
        <w:tab/>
      </w:r>
      <w:r w:rsidRPr="00004CDD">
        <w:rPr>
          <w:rFonts w:ascii="Arial" w:hAnsi="Arial" w:cs="Arial"/>
          <w:bCs/>
        </w:rPr>
        <w:tab/>
      </w:r>
      <w:r w:rsidR="00A61409" w:rsidRPr="00004CDD">
        <w:rPr>
          <w:rFonts w:ascii="Arial" w:hAnsi="Arial" w:cs="Arial"/>
          <w:bCs/>
        </w:rPr>
        <w:tab/>
      </w:r>
      <w:r w:rsidR="008444C7">
        <w:rPr>
          <w:rFonts w:ascii="Arial" w:hAnsi="Arial" w:cs="Arial"/>
          <w:bCs/>
        </w:rPr>
        <w:tab/>
      </w:r>
      <w:r w:rsidR="008444C7">
        <w:rPr>
          <w:rFonts w:ascii="Arial" w:hAnsi="Arial" w:cs="Arial"/>
          <w:bCs/>
        </w:rPr>
        <w:tab/>
      </w:r>
      <w:r w:rsidR="008444C7">
        <w:rPr>
          <w:rFonts w:ascii="Arial" w:hAnsi="Arial" w:cs="Arial"/>
          <w:bCs/>
        </w:rPr>
        <w:tab/>
      </w:r>
      <w:r w:rsidR="008444C7">
        <w:rPr>
          <w:rFonts w:ascii="Arial" w:hAnsi="Arial" w:cs="Arial"/>
          <w:bCs/>
        </w:rPr>
        <w:tab/>
      </w:r>
      <w:r w:rsidR="008444C7">
        <w:rPr>
          <w:rFonts w:ascii="Arial" w:hAnsi="Arial" w:cs="Arial"/>
          <w:bCs/>
        </w:rPr>
        <w:tab/>
      </w:r>
    </w:p>
    <w:p w14:paraId="020234AD" w14:textId="77777777" w:rsidR="00F43000" w:rsidRPr="00004CDD" w:rsidRDefault="00F43000" w:rsidP="000E6CEB">
      <w:pPr>
        <w:spacing w:line="360" w:lineRule="auto"/>
        <w:jc w:val="both"/>
        <w:rPr>
          <w:rFonts w:ascii="Arial" w:hAnsi="Arial" w:cs="Arial"/>
          <w:bCs/>
        </w:rPr>
      </w:pPr>
      <w:r w:rsidRPr="00004CDD">
        <w:rPr>
          <w:rFonts w:ascii="Arial" w:hAnsi="Arial" w:cs="Arial"/>
          <w:bCs/>
        </w:rPr>
        <w:t xml:space="preserve"> </w:t>
      </w:r>
    </w:p>
    <w:p w14:paraId="78BBE37D" w14:textId="1E79B161" w:rsidR="00121298" w:rsidRPr="00004CDD" w:rsidRDefault="00F43000" w:rsidP="000E6CEB">
      <w:pPr>
        <w:spacing w:line="360" w:lineRule="auto"/>
        <w:jc w:val="both"/>
        <w:rPr>
          <w:rFonts w:ascii="Arial" w:hAnsi="Arial" w:cs="Arial"/>
        </w:rPr>
      </w:pPr>
      <w:r w:rsidRPr="00004CDD">
        <w:rPr>
          <w:rFonts w:ascii="Arial" w:hAnsi="Arial" w:cs="Arial"/>
        </w:rPr>
        <w:t>For</w:t>
      </w:r>
      <w:r w:rsidR="000D28CE" w:rsidRPr="00004CDD">
        <w:rPr>
          <w:rFonts w:ascii="Arial" w:hAnsi="Arial" w:cs="Arial"/>
        </w:rPr>
        <w:t xml:space="preserve"> </w:t>
      </w:r>
      <w:r w:rsidR="000E6CEB">
        <w:rPr>
          <w:rFonts w:ascii="Arial" w:hAnsi="Arial" w:cs="Arial"/>
        </w:rPr>
        <w:t>second</w:t>
      </w:r>
      <w:r w:rsidR="00783DBA" w:rsidRPr="00004CDD">
        <w:rPr>
          <w:rFonts w:ascii="Arial" w:hAnsi="Arial" w:cs="Arial"/>
        </w:rPr>
        <w:t xml:space="preserve"> </w:t>
      </w:r>
      <w:r w:rsidR="000E6CEB">
        <w:rPr>
          <w:rFonts w:ascii="Arial" w:hAnsi="Arial" w:cs="Arial"/>
        </w:rPr>
        <w:t>appellant</w:t>
      </w:r>
      <w:r w:rsidRPr="00004CDD">
        <w:rPr>
          <w:rFonts w:ascii="Arial" w:hAnsi="Arial" w:cs="Arial"/>
        </w:rPr>
        <w:t>:</w:t>
      </w:r>
      <w:r w:rsidR="00D7114E" w:rsidRPr="00004CDD">
        <w:rPr>
          <w:rFonts w:ascii="Arial" w:hAnsi="Arial" w:cs="Arial"/>
        </w:rPr>
        <w:tab/>
      </w:r>
      <w:r w:rsidR="00A61409" w:rsidRPr="00004CDD">
        <w:rPr>
          <w:rFonts w:ascii="Arial" w:hAnsi="Arial" w:cs="Arial"/>
        </w:rPr>
        <w:tab/>
      </w:r>
      <w:r w:rsidR="00E52B57">
        <w:rPr>
          <w:rFonts w:ascii="Arial" w:hAnsi="Arial" w:cs="Arial"/>
        </w:rPr>
        <w:tab/>
      </w:r>
      <w:r w:rsidR="00E52B57">
        <w:rPr>
          <w:rFonts w:ascii="Arial" w:hAnsi="Arial" w:cs="Arial"/>
        </w:rPr>
        <w:tab/>
      </w:r>
      <w:r w:rsidR="000E6CEB">
        <w:rPr>
          <w:rFonts w:ascii="Arial" w:hAnsi="Arial" w:cs="Arial"/>
        </w:rPr>
        <w:t>M S</w:t>
      </w:r>
      <w:r w:rsidR="000E6CEB" w:rsidRPr="000E6CEB">
        <w:rPr>
          <w:rFonts w:ascii="Arial" w:hAnsi="Arial" w:cs="Arial"/>
        </w:rPr>
        <w:t>tubbs</w:t>
      </w:r>
    </w:p>
    <w:p w14:paraId="4336D360" w14:textId="39EFBAAE" w:rsidR="00121298" w:rsidRDefault="00F43000" w:rsidP="000E6CEB">
      <w:pPr>
        <w:spacing w:line="360" w:lineRule="auto"/>
        <w:jc w:val="both"/>
        <w:rPr>
          <w:rFonts w:ascii="Arial" w:hAnsi="Arial" w:cs="Arial"/>
          <w:bCs/>
        </w:rPr>
      </w:pPr>
      <w:r w:rsidRPr="00004CDD">
        <w:rPr>
          <w:rFonts w:ascii="Arial" w:hAnsi="Arial" w:cs="Arial"/>
          <w:bCs/>
        </w:rPr>
        <w:t>Instructed by:</w:t>
      </w:r>
      <w:r w:rsidRPr="00004CDD">
        <w:rPr>
          <w:rFonts w:ascii="Arial" w:hAnsi="Arial" w:cs="Arial"/>
          <w:bCs/>
        </w:rPr>
        <w:tab/>
      </w:r>
      <w:r w:rsidRPr="00004CDD">
        <w:rPr>
          <w:rFonts w:ascii="Arial" w:hAnsi="Arial" w:cs="Arial"/>
          <w:bCs/>
        </w:rPr>
        <w:tab/>
      </w:r>
      <w:r w:rsidR="000E6CEB">
        <w:rPr>
          <w:rFonts w:ascii="Arial" w:hAnsi="Arial" w:cs="Arial"/>
          <w:bCs/>
        </w:rPr>
        <w:t xml:space="preserve"> </w:t>
      </w:r>
      <w:r w:rsidR="00E52B57">
        <w:rPr>
          <w:rFonts w:ascii="Arial" w:hAnsi="Arial" w:cs="Arial"/>
          <w:bCs/>
        </w:rPr>
        <w:tab/>
      </w:r>
      <w:r w:rsidR="00E52B57">
        <w:rPr>
          <w:rFonts w:ascii="Arial" w:hAnsi="Arial" w:cs="Arial"/>
          <w:bCs/>
        </w:rPr>
        <w:tab/>
      </w:r>
      <w:r w:rsidR="00E52B57">
        <w:rPr>
          <w:rFonts w:ascii="Arial" w:hAnsi="Arial" w:cs="Arial"/>
          <w:bCs/>
        </w:rPr>
        <w:tab/>
      </w:r>
      <w:r w:rsidR="00121298">
        <w:rPr>
          <w:rFonts w:ascii="Arial" w:hAnsi="Arial" w:cs="Arial"/>
          <w:bCs/>
        </w:rPr>
        <w:t>State Attorney, Pretoria</w:t>
      </w:r>
    </w:p>
    <w:p w14:paraId="32BB6471" w14:textId="5DB350FD" w:rsidR="00C26559" w:rsidRPr="00004CDD" w:rsidRDefault="009F0AD3" w:rsidP="00121298">
      <w:pPr>
        <w:spacing w:line="360" w:lineRule="auto"/>
        <w:ind w:left="4320" w:firstLine="720"/>
        <w:jc w:val="both"/>
        <w:rPr>
          <w:rFonts w:ascii="Arial" w:hAnsi="Arial" w:cs="Arial"/>
          <w:bCs/>
        </w:rPr>
      </w:pPr>
      <w:r>
        <w:rPr>
          <w:rFonts w:ascii="Arial" w:hAnsi="Arial" w:cs="Arial"/>
          <w:bCs/>
        </w:rPr>
        <w:t>State Attorney</w:t>
      </w:r>
      <w:r w:rsidR="00E52B57">
        <w:rPr>
          <w:rFonts w:ascii="Arial" w:hAnsi="Arial" w:cs="Arial"/>
          <w:bCs/>
        </w:rPr>
        <w:t>, Bloemfontein</w:t>
      </w:r>
    </w:p>
    <w:p w14:paraId="5A091266" w14:textId="7D01E9B7" w:rsidR="00F43000" w:rsidRPr="00004CDD" w:rsidRDefault="00F43000" w:rsidP="000E6CEB">
      <w:pPr>
        <w:spacing w:line="360" w:lineRule="auto"/>
        <w:jc w:val="both"/>
        <w:rPr>
          <w:rFonts w:ascii="Arial" w:hAnsi="Arial" w:cs="Arial"/>
          <w:bCs/>
        </w:rPr>
      </w:pPr>
    </w:p>
    <w:p w14:paraId="4D59A98C" w14:textId="77777777" w:rsidR="000D28CE" w:rsidRPr="00004CDD" w:rsidRDefault="000D28CE" w:rsidP="000E6CEB">
      <w:pPr>
        <w:spacing w:line="360" w:lineRule="auto"/>
        <w:jc w:val="both"/>
        <w:rPr>
          <w:rFonts w:ascii="Arial" w:hAnsi="Arial" w:cs="Arial"/>
          <w:bCs/>
        </w:rPr>
      </w:pPr>
    </w:p>
    <w:p w14:paraId="7A005C06" w14:textId="4881AFF0" w:rsidR="000E6CEB" w:rsidRPr="00004CDD" w:rsidRDefault="00912D3A" w:rsidP="000E6CEB">
      <w:pPr>
        <w:spacing w:line="360" w:lineRule="auto"/>
        <w:jc w:val="both"/>
        <w:rPr>
          <w:rFonts w:ascii="Arial" w:hAnsi="Arial" w:cs="Arial"/>
        </w:rPr>
      </w:pPr>
      <w:r>
        <w:rPr>
          <w:rFonts w:ascii="Arial" w:hAnsi="Arial" w:cs="Arial"/>
        </w:rPr>
        <w:t>For</w:t>
      </w:r>
      <w:r w:rsidR="000D28CE" w:rsidRPr="00004CDD">
        <w:rPr>
          <w:rFonts w:ascii="Arial" w:hAnsi="Arial" w:cs="Arial"/>
        </w:rPr>
        <w:t xml:space="preserve"> respondent:</w:t>
      </w:r>
      <w:r w:rsidR="000D28CE" w:rsidRPr="00004CDD">
        <w:rPr>
          <w:rFonts w:ascii="Arial" w:hAnsi="Arial" w:cs="Arial"/>
        </w:rPr>
        <w:tab/>
      </w:r>
      <w:r w:rsidR="00E52B57">
        <w:rPr>
          <w:rFonts w:ascii="Arial" w:hAnsi="Arial" w:cs="Arial"/>
        </w:rPr>
        <w:tab/>
      </w:r>
      <w:r w:rsidR="00E52B57">
        <w:rPr>
          <w:rFonts w:ascii="Arial" w:hAnsi="Arial" w:cs="Arial"/>
        </w:rPr>
        <w:tab/>
      </w:r>
      <w:r w:rsidR="00E52B57">
        <w:rPr>
          <w:rFonts w:ascii="Arial" w:hAnsi="Arial" w:cs="Arial"/>
        </w:rPr>
        <w:tab/>
      </w:r>
      <w:r w:rsidR="00E52B57">
        <w:rPr>
          <w:rFonts w:ascii="Arial" w:hAnsi="Arial" w:cs="Arial"/>
        </w:rPr>
        <w:tab/>
      </w:r>
      <w:r w:rsidR="000E6CEB">
        <w:rPr>
          <w:rFonts w:ascii="Arial" w:hAnsi="Arial" w:cs="Arial"/>
        </w:rPr>
        <w:t>O.A Moosa</w:t>
      </w:r>
      <w:r w:rsidR="009F59D7">
        <w:rPr>
          <w:rFonts w:ascii="Arial" w:hAnsi="Arial" w:cs="Arial"/>
        </w:rPr>
        <w:t xml:space="preserve"> SC</w:t>
      </w:r>
      <w:r w:rsidR="00E52B57">
        <w:rPr>
          <w:rFonts w:ascii="Arial" w:hAnsi="Arial" w:cs="Arial"/>
        </w:rPr>
        <w:t xml:space="preserve"> and </w:t>
      </w:r>
      <w:r w:rsidR="00E52B57" w:rsidRPr="00E52B57">
        <w:rPr>
          <w:rFonts w:ascii="Arial" w:hAnsi="Arial" w:cs="Arial"/>
        </w:rPr>
        <w:t>D. Dheoduth</w:t>
      </w:r>
    </w:p>
    <w:p w14:paraId="0DF066A1" w14:textId="44121D21" w:rsidR="000D28CE" w:rsidRDefault="000D28CE" w:rsidP="008444C7">
      <w:pPr>
        <w:spacing w:line="360" w:lineRule="auto"/>
        <w:ind w:left="3600" w:hanging="3600"/>
        <w:jc w:val="both"/>
        <w:rPr>
          <w:rFonts w:ascii="Arial" w:hAnsi="Arial" w:cs="Arial"/>
          <w:bCs/>
        </w:rPr>
      </w:pPr>
      <w:r w:rsidRPr="00004CDD">
        <w:rPr>
          <w:rFonts w:ascii="Arial" w:hAnsi="Arial" w:cs="Arial"/>
          <w:bCs/>
        </w:rPr>
        <w:t>Instructed by:</w:t>
      </w:r>
      <w:r w:rsidRPr="00004CDD">
        <w:rPr>
          <w:rFonts w:ascii="Arial" w:hAnsi="Arial" w:cs="Arial"/>
          <w:bCs/>
        </w:rPr>
        <w:tab/>
      </w:r>
      <w:r w:rsidRPr="00004CDD">
        <w:rPr>
          <w:rFonts w:ascii="Arial" w:hAnsi="Arial" w:cs="Arial"/>
          <w:bCs/>
        </w:rPr>
        <w:tab/>
      </w:r>
      <w:r w:rsidR="00E52B57">
        <w:rPr>
          <w:rFonts w:ascii="Arial" w:hAnsi="Arial" w:cs="Arial"/>
          <w:bCs/>
        </w:rPr>
        <w:tab/>
      </w:r>
      <w:r w:rsidR="008444C7">
        <w:rPr>
          <w:rFonts w:ascii="Arial" w:hAnsi="Arial" w:cs="Arial"/>
          <w:bCs/>
        </w:rPr>
        <w:t>Maist</w:t>
      </w:r>
      <w:r w:rsidR="00E52B57">
        <w:rPr>
          <w:rFonts w:ascii="Arial" w:hAnsi="Arial" w:cs="Arial"/>
          <w:bCs/>
        </w:rPr>
        <w:t>r</w:t>
      </w:r>
      <w:r w:rsidR="008444C7">
        <w:rPr>
          <w:rFonts w:ascii="Arial" w:hAnsi="Arial" w:cs="Arial"/>
          <w:bCs/>
        </w:rPr>
        <w:t xml:space="preserve">y &amp; </w:t>
      </w:r>
      <w:r w:rsidR="009F0AD3">
        <w:rPr>
          <w:rFonts w:ascii="Arial" w:hAnsi="Arial" w:cs="Arial"/>
          <w:bCs/>
        </w:rPr>
        <w:t>Mo</w:t>
      </w:r>
      <w:r w:rsidR="008444C7">
        <w:rPr>
          <w:rFonts w:ascii="Arial" w:hAnsi="Arial" w:cs="Arial"/>
          <w:bCs/>
        </w:rPr>
        <w:t>tsime Attorneys</w:t>
      </w:r>
      <w:r w:rsidR="00121298">
        <w:rPr>
          <w:rFonts w:ascii="Arial" w:hAnsi="Arial" w:cs="Arial"/>
          <w:bCs/>
        </w:rPr>
        <w:t>, Durban</w:t>
      </w:r>
    </w:p>
    <w:p w14:paraId="01CB460E" w14:textId="14B21F8E" w:rsidR="00E52B57" w:rsidRPr="00004CDD" w:rsidRDefault="00E52B57" w:rsidP="008444C7">
      <w:pPr>
        <w:spacing w:line="360" w:lineRule="auto"/>
        <w:ind w:left="3600" w:hanging="3600"/>
        <w:jc w:val="both"/>
        <w:rPr>
          <w:rFonts w:ascii="Arial" w:hAnsi="Arial" w:cs="Arial"/>
          <w:bCs/>
        </w:rPr>
      </w:pPr>
      <w:r>
        <w:rPr>
          <w:rFonts w:ascii="Arial" w:hAnsi="Arial" w:cs="Arial"/>
          <w:bCs/>
        </w:rPr>
        <w:tab/>
      </w:r>
      <w:r>
        <w:rPr>
          <w:rFonts w:ascii="Arial" w:hAnsi="Arial" w:cs="Arial"/>
          <w:bCs/>
        </w:rPr>
        <w:tab/>
      </w:r>
      <w:r>
        <w:rPr>
          <w:rFonts w:ascii="Arial" w:hAnsi="Arial" w:cs="Arial"/>
          <w:bCs/>
        </w:rPr>
        <w:tab/>
        <w:t>Webbers Attorneys, Bloemfontein</w:t>
      </w:r>
    </w:p>
    <w:p w14:paraId="7506E881" w14:textId="608065B4" w:rsidR="000D28CE" w:rsidRPr="00340A7C" w:rsidRDefault="000D28CE" w:rsidP="00C26559">
      <w:pPr>
        <w:spacing w:line="360" w:lineRule="auto"/>
        <w:rPr>
          <w:rFonts w:ascii="Arial" w:hAnsi="Arial" w:cs="Arial"/>
        </w:rPr>
      </w:pPr>
      <w:r w:rsidRPr="00004CDD">
        <w:rPr>
          <w:rFonts w:ascii="Arial" w:hAnsi="Arial" w:cs="Arial"/>
          <w:bCs/>
        </w:rPr>
        <w:tab/>
      </w:r>
      <w:r w:rsidRPr="00004CDD">
        <w:rPr>
          <w:rFonts w:ascii="Arial" w:hAnsi="Arial" w:cs="Arial"/>
          <w:bCs/>
        </w:rPr>
        <w:tab/>
      </w:r>
      <w:r w:rsidRPr="00004CDD">
        <w:rPr>
          <w:rFonts w:ascii="Arial" w:hAnsi="Arial" w:cs="Arial"/>
          <w:bCs/>
        </w:rPr>
        <w:tab/>
      </w:r>
      <w:r w:rsidRPr="00004CDD">
        <w:rPr>
          <w:rFonts w:ascii="Arial" w:hAnsi="Arial" w:cs="Arial"/>
          <w:bCs/>
        </w:rPr>
        <w:tab/>
      </w:r>
      <w:r w:rsidR="00A61409" w:rsidRPr="00004CDD">
        <w:rPr>
          <w:rFonts w:ascii="Arial" w:hAnsi="Arial" w:cs="Arial"/>
          <w:bCs/>
        </w:rPr>
        <w:tab/>
      </w:r>
      <w:r w:rsidR="00912D3A">
        <w:rPr>
          <w:rFonts w:ascii="Arial" w:hAnsi="Arial" w:cs="Arial"/>
          <w:bCs/>
        </w:rPr>
        <w:tab/>
      </w:r>
      <w:r w:rsidR="00912D3A">
        <w:rPr>
          <w:rFonts w:ascii="Arial" w:hAnsi="Arial" w:cs="Arial"/>
          <w:bCs/>
        </w:rPr>
        <w:tab/>
      </w:r>
    </w:p>
    <w:p w14:paraId="2512A3E3" w14:textId="77777777" w:rsidR="000D28CE" w:rsidRPr="00340A7C" w:rsidRDefault="000D28CE" w:rsidP="000D28CE">
      <w:pPr>
        <w:rPr>
          <w:rFonts w:ascii="Arial" w:hAnsi="Arial" w:cs="Arial"/>
          <w:bCs/>
        </w:rPr>
      </w:pPr>
    </w:p>
    <w:p w14:paraId="03CA4278" w14:textId="77777777" w:rsidR="000D28CE" w:rsidRPr="00340A7C" w:rsidRDefault="000D28CE" w:rsidP="00F43000">
      <w:pPr>
        <w:spacing w:line="360" w:lineRule="auto"/>
        <w:rPr>
          <w:rFonts w:ascii="Arial" w:hAnsi="Arial" w:cs="Arial"/>
          <w:bCs/>
        </w:rPr>
      </w:pPr>
    </w:p>
    <w:p w14:paraId="2913BA9B" w14:textId="77777777" w:rsidR="00F43000" w:rsidRPr="00340A7C" w:rsidRDefault="00F43000" w:rsidP="00F43000">
      <w:pPr>
        <w:rPr>
          <w:rFonts w:ascii="Arial" w:hAnsi="Arial" w:cs="Arial"/>
        </w:rPr>
      </w:pPr>
    </w:p>
    <w:p w14:paraId="74EAA732" w14:textId="77777777" w:rsidR="00F43000" w:rsidRPr="00340A7C" w:rsidRDefault="00F43000" w:rsidP="00F43000">
      <w:pPr>
        <w:rPr>
          <w:rFonts w:ascii="Arial" w:hAnsi="Arial" w:cs="Arial"/>
          <w:bCs/>
        </w:rPr>
      </w:pPr>
    </w:p>
    <w:p w14:paraId="5938CFC7" w14:textId="77777777" w:rsidR="00F43000" w:rsidRPr="00340A7C" w:rsidRDefault="00F43000" w:rsidP="00040B65">
      <w:pPr>
        <w:spacing w:line="360" w:lineRule="auto"/>
        <w:jc w:val="both"/>
        <w:rPr>
          <w:rFonts w:ascii="Arial" w:hAnsi="Arial" w:cs="Arial"/>
          <w:color w:val="FF0000"/>
        </w:rPr>
      </w:pPr>
    </w:p>
    <w:p w14:paraId="387D93E2" w14:textId="2DFD2D35" w:rsidR="005E0CD4" w:rsidRPr="00D849C8" w:rsidRDefault="00181F71" w:rsidP="005D58D2">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5E0CD4">
        <w:rPr>
          <w:rFonts w:ascii="Arial" w:hAnsi="Arial" w:cs="Arial"/>
        </w:rPr>
        <w:t xml:space="preserve">     </w:t>
      </w:r>
    </w:p>
    <w:sectPr w:rsidR="005E0CD4" w:rsidRPr="00D849C8" w:rsidSect="007E5F68">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EC61C" w14:textId="77777777" w:rsidR="00ED448E" w:rsidRDefault="00ED448E" w:rsidP="005023EF">
      <w:r>
        <w:separator/>
      </w:r>
    </w:p>
  </w:endnote>
  <w:endnote w:type="continuationSeparator" w:id="0">
    <w:p w14:paraId="3047DAA5" w14:textId="77777777" w:rsidR="00ED448E" w:rsidRDefault="00ED448E" w:rsidP="0050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2952D" w14:textId="77777777" w:rsidR="00ED448E" w:rsidRDefault="00ED448E" w:rsidP="005023EF">
      <w:r>
        <w:separator/>
      </w:r>
    </w:p>
  </w:footnote>
  <w:footnote w:type="continuationSeparator" w:id="0">
    <w:p w14:paraId="60CC7017" w14:textId="77777777" w:rsidR="00ED448E" w:rsidRDefault="00ED448E" w:rsidP="005023EF">
      <w:r>
        <w:continuationSeparator/>
      </w:r>
    </w:p>
  </w:footnote>
  <w:footnote w:id="1">
    <w:p w14:paraId="409C0F6E" w14:textId="23AF6A88" w:rsidR="00493924" w:rsidRPr="00510CA8" w:rsidRDefault="00493924">
      <w:pPr>
        <w:pStyle w:val="FootnoteText"/>
        <w:rPr>
          <w:rFonts w:ascii="Arial" w:hAnsi="Arial" w:cs="Arial"/>
          <w:lang w:val="en-ZA"/>
        </w:rPr>
      </w:pPr>
      <w:r w:rsidRPr="00510CA8">
        <w:rPr>
          <w:rStyle w:val="FootnoteReference"/>
          <w:rFonts w:ascii="Arial" w:hAnsi="Arial" w:cs="Arial"/>
        </w:rPr>
        <w:footnoteRef/>
      </w:r>
      <w:r w:rsidRPr="00510CA8">
        <w:rPr>
          <w:rFonts w:ascii="Arial" w:hAnsi="Arial" w:cs="Arial"/>
        </w:rPr>
        <w:t xml:space="preserve"> </w:t>
      </w:r>
      <w:r w:rsidRPr="00510CA8">
        <w:rPr>
          <w:rFonts w:ascii="Arial" w:hAnsi="Arial" w:cs="Arial"/>
          <w:i/>
          <w:iCs/>
          <w:lang w:val="en-ZA"/>
        </w:rPr>
        <w:t>South African Reserve Bank v Torwood Properties (Pty) Ltd</w:t>
      </w:r>
      <w:r w:rsidRPr="00510CA8">
        <w:rPr>
          <w:rFonts w:ascii="Arial" w:hAnsi="Arial" w:cs="Arial"/>
          <w:lang w:val="en-ZA"/>
        </w:rPr>
        <w:t xml:space="preserve"> [1996] ZASCA 104; [1996] 4 All SA 494 (A) at 497.</w:t>
      </w:r>
    </w:p>
  </w:footnote>
  <w:footnote w:id="2">
    <w:p w14:paraId="0E0281AA" w14:textId="2BF3D2F6" w:rsidR="00C26060" w:rsidRPr="00510CA8" w:rsidRDefault="00C26060">
      <w:pPr>
        <w:pStyle w:val="FootnoteText"/>
        <w:rPr>
          <w:lang w:val="en-ZA"/>
        </w:rPr>
      </w:pPr>
      <w:r>
        <w:rPr>
          <w:rStyle w:val="FootnoteReference"/>
        </w:rPr>
        <w:footnoteRef/>
      </w:r>
      <w:r>
        <w:t xml:space="preserve"> </w:t>
      </w:r>
      <w:r w:rsidRPr="00493924">
        <w:rPr>
          <w:rFonts w:ascii="Arial" w:hAnsi="Arial" w:cs="Arial"/>
          <w:i/>
          <w:iCs/>
          <w:lang w:val="en-US"/>
        </w:rPr>
        <w:t>Chisuse and Others v Director-General, Department of Home Affairs and Another</w:t>
      </w:r>
      <w:r w:rsidRPr="00493924">
        <w:rPr>
          <w:rFonts w:ascii="Arial" w:hAnsi="Arial" w:cs="Arial"/>
          <w:lang w:val="en-US"/>
        </w:rPr>
        <w:t xml:space="preserve"> [2020] ZACC 20;  2020 (10) BCLR 1173 (CC).</w:t>
      </w:r>
    </w:p>
  </w:footnote>
  <w:footnote w:id="3">
    <w:p w14:paraId="71D8D972" w14:textId="0FCBE9FF" w:rsidR="00C26060" w:rsidRPr="00510CA8" w:rsidRDefault="00C26060">
      <w:pPr>
        <w:pStyle w:val="FootnoteText"/>
        <w:rPr>
          <w:rFonts w:ascii="Arial" w:hAnsi="Arial" w:cs="Arial"/>
          <w:lang w:val="en-ZA"/>
        </w:rPr>
      </w:pPr>
      <w:r w:rsidRPr="00C26060">
        <w:rPr>
          <w:rStyle w:val="FootnoteReference"/>
        </w:rPr>
        <w:footnoteRef/>
      </w:r>
      <w:r w:rsidRPr="00510CA8">
        <w:rPr>
          <w:i/>
          <w:iCs/>
        </w:rPr>
        <w:t xml:space="preserve"> </w:t>
      </w:r>
      <w:r w:rsidRPr="00510CA8">
        <w:rPr>
          <w:rFonts w:ascii="Arial" w:hAnsi="Arial" w:cs="Arial"/>
          <w:i/>
          <w:iCs/>
          <w:lang w:val="en-ZA"/>
        </w:rPr>
        <w:t>South African Reserve Bank v Leathern N O and Others</w:t>
      </w:r>
      <w:r w:rsidRPr="00510CA8">
        <w:rPr>
          <w:rFonts w:ascii="Arial" w:hAnsi="Arial" w:cs="Arial"/>
          <w:lang w:val="en-ZA"/>
        </w:rPr>
        <w:t xml:space="preserve"> [2021] ZASCA 102</w:t>
      </w:r>
      <w:r w:rsidRPr="00C26060">
        <w:rPr>
          <w:rFonts w:ascii="Arial" w:hAnsi="Arial" w:cs="Arial"/>
          <w:lang w:val="en-ZA"/>
        </w:rPr>
        <w:t>; 2021 (5) SA 543 (SCA)</w:t>
      </w:r>
      <w:r w:rsidRPr="00510CA8">
        <w:rPr>
          <w:rFonts w:ascii="Arial" w:hAnsi="Arial" w:cs="Arial"/>
          <w:lang w:val="en-ZA"/>
        </w:rPr>
        <w:t>.</w:t>
      </w:r>
    </w:p>
  </w:footnote>
  <w:footnote w:id="4">
    <w:p w14:paraId="0B17F7D3" w14:textId="76C69A42" w:rsidR="00C26060" w:rsidRPr="00510CA8" w:rsidRDefault="00C26060">
      <w:pPr>
        <w:pStyle w:val="FootnoteText"/>
        <w:rPr>
          <w:lang w:val="en-ZA"/>
        </w:rPr>
      </w:pPr>
      <w:r w:rsidRPr="00510CA8">
        <w:rPr>
          <w:rStyle w:val="FootnoteReference"/>
          <w:rFonts w:ascii="Arial" w:hAnsi="Arial" w:cs="Arial"/>
        </w:rPr>
        <w:footnoteRef/>
      </w:r>
      <w:r w:rsidRPr="00510CA8">
        <w:rPr>
          <w:rFonts w:ascii="Arial" w:hAnsi="Arial" w:cs="Arial"/>
        </w:rPr>
        <w:t xml:space="preserve"> Ibid para 36.</w:t>
      </w:r>
    </w:p>
  </w:footnote>
  <w:footnote w:id="5">
    <w:p w14:paraId="0BB00ED0" w14:textId="77777777" w:rsidR="009A683B" w:rsidRPr="00493924" w:rsidRDefault="009A683B" w:rsidP="009A683B">
      <w:pPr>
        <w:pStyle w:val="FootnoteText"/>
        <w:rPr>
          <w:rFonts w:ascii="Arial" w:hAnsi="Arial" w:cs="Arial"/>
          <w:lang w:val="en-ZA"/>
        </w:rPr>
      </w:pPr>
      <w:r w:rsidRPr="00493924">
        <w:rPr>
          <w:rStyle w:val="FootnoteReference"/>
          <w:rFonts w:ascii="Arial" w:hAnsi="Arial" w:cs="Arial"/>
        </w:rPr>
        <w:footnoteRef/>
      </w:r>
      <w:r w:rsidRPr="00493924">
        <w:rPr>
          <w:rFonts w:ascii="Arial" w:hAnsi="Arial" w:cs="Arial"/>
        </w:rPr>
        <w:t xml:space="preserve"> </w:t>
      </w:r>
      <w:r w:rsidRPr="00510CA8">
        <w:rPr>
          <w:rFonts w:ascii="Arial" w:hAnsi="Arial" w:cs="Arial"/>
          <w:iCs/>
        </w:rPr>
        <w:t>Ibid</w:t>
      </w:r>
      <w:r w:rsidRPr="00493924">
        <w:rPr>
          <w:rFonts w:ascii="Arial" w:hAnsi="Arial" w:cs="Arial"/>
        </w:rPr>
        <w:t xml:space="preserve"> paras 36-38</w:t>
      </w:r>
    </w:p>
  </w:footnote>
  <w:footnote w:id="6">
    <w:p w14:paraId="244CEBF6" w14:textId="3F701215" w:rsidR="00766B64" w:rsidRPr="00510CA8" w:rsidRDefault="00766B64">
      <w:pPr>
        <w:pStyle w:val="FootnoteText"/>
        <w:rPr>
          <w:lang w:val="en-ZA"/>
        </w:rPr>
      </w:pPr>
      <w:r>
        <w:rPr>
          <w:rStyle w:val="FootnoteReference"/>
        </w:rPr>
        <w:footnoteRef/>
      </w:r>
      <w:r>
        <w:t xml:space="preserve"> </w:t>
      </w:r>
      <w:r w:rsidRPr="00E91D10">
        <w:rPr>
          <w:rFonts w:ascii="Arial" w:eastAsia="Calibri" w:hAnsi="Arial" w:cs="Arial"/>
          <w:i/>
          <w:lang w:val="en-US"/>
        </w:rPr>
        <w:t>Commissioner</w:t>
      </w:r>
      <w:r w:rsidRPr="008840B0">
        <w:rPr>
          <w:rFonts w:ascii="Arial" w:eastAsia="Calibri" w:hAnsi="Arial" w:cs="Arial"/>
          <w:lang w:val="en-US"/>
        </w:rPr>
        <w:t xml:space="preserve">, </w:t>
      </w:r>
      <w:r w:rsidRPr="00DA7AC7">
        <w:rPr>
          <w:rFonts w:ascii="Arial" w:eastAsia="Calibri" w:hAnsi="Arial" w:cs="Arial"/>
          <w:i/>
          <w:iCs/>
          <w:lang w:val="en-US"/>
        </w:rPr>
        <w:t>South African Revenue Service v Van der Merwe</w:t>
      </w:r>
      <w:r>
        <w:rPr>
          <w:rFonts w:ascii="Arial" w:eastAsia="Calibri" w:hAnsi="Arial" w:cs="Arial"/>
          <w:i/>
          <w:iCs/>
          <w:lang w:val="en-US"/>
        </w:rPr>
        <w:t xml:space="preserve"> N O</w:t>
      </w:r>
      <w:r w:rsidRPr="00DA7AC7">
        <w:rPr>
          <w:rFonts w:ascii="Arial" w:eastAsia="Calibri" w:hAnsi="Arial" w:cs="Arial"/>
          <w:i/>
          <w:iCs/>
          <w:lang w:val="en-US"/>
        </w:rPr>
        <w:t xml:space="preserve"> and Other</w:t>
      </w:r>
      <w:r>
        <w:rPr>
          <w:rFonts w:ascii="Arial" w:eastAsia="Calibri" w:hAnsi="Arial" w:cs="Arial"/>
          <w:i/>
          <w:iCs/>
          <w:lang w:val="en-US"/>
        </w:rPr>
        <w:t xml:space="preserve">s </w:t>
      </w:r>
      <w:r>
        <w:rPr>
          <w:rFonts w:ascii="Arial" w:eastAsia="Calibri" w:hAnsi="Arial" w:cs="Arial"/>
          <w:lang w:val="en-US"/>
        </w:rPr>
        <w:t>[2017] ZASCA 138; 2017 (3) SA 34 (SCA).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rPr>
      <w:id w:val="-1461025563"/>
      <w:docPartObj>
        <w:docPartGallery w:val="Page Numbers (Top of Page)"/>
        <w:docPartUnique/>
      </w:docPartObj>
    </w:sdtPr>
    <w:sdtEndPr>
      <w:rPr>
        <w:b w:val="0"/>
        <w:bCs w:val="0"/>
        <w:noProof/>
      </w:rPr>
    </w:sdtEndPr>
    <w:sdtContent>
      <w:p w14:paraId="0F089CDA" w14:textId="12FAACBB" w:rsidR="007E5F68" w:rsidRPr="007E5F68" w:rsidRDefault="007E5F68">
        <w:pPr>
          <w:pStyle w:val="Header"/>
          <w:jc w:val="right"/>
        </w:pPr>
        <w:r w:rsidRPr="007E5F68">
          <w:fldChar w:fldCharType="begin"/>
        </w:r>
        <w:r w:rsidRPr="007E5F68">
          <w:instrText xml:space="preserve"> PAGE   \* MERGEFORMAT </w:instrText>
        </w:r>
        <w:r w:rsidRPr="007E5F68">
          <w:fldChar w:fldCharType="separate"/>
        </w:r>
        <w:r w:rsidR="000B3918">
          <w:rPr>
            <w:noProof/>
          </w:rPr>
          <w:t>3</w:t>
        </w:r>
        <w:r w:rsidRPr="007E5F68">
          <w:rPr>
            <w:noProof/>
          </w:rPr>
          <w:fldChar w:fldCharType="end"/>
        </w:r>
      </w:p>
    </w:sdtContent>
  </w:sdt>
  <w:p w14:paraId="75535076" w14:textId="77777777" w:rsidR="005A0426" w:rsidRDefault="005A042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A88C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3B406C"/>
    <w:multiLevelType w:val="hybridMultilevel"/>
    <w:tmpl w:val="AD96FE50"/>
    <w:lvl w:ilvl="0" w:tplc="D23832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D468B"/>
    <w:multiLevelType w:val="hybridMultilevel"/>
    <w:tmpl w:val="0186C600"/>
    <w:lvl w:ilvl="0" w:tplc="1C08AC9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4C87B59"/>
    <w:multiLevelType w:val="hybridMultilevel"/>
    <w:tmpl w:val="5F8C04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4D613E8"/>
    <w:multiLevelType w:val="hybridMultilevel"/>
    <w:tmpl w:val="B798C3A6"/>
    <w:lvl w:ilvl="0" w:tplc="E51E4CD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82D132C"/>
    <w:multiLevelType w:val="hybridMultilevel"/>
    <w:tmpl w:val="B798C3A6"/>
    <w:lvl w:ilvl="0" w:tplc="E51E4CD2">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2A5778CB"/>
    <w:multiLevelType w:val="hybridMultilevel"/>
    <w:tmpl w:val="A8B6D3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C07535F"/>
    <w:multiLevelType w:val="hybridMultilevel"/>
    <w:tmpl w:val="88C8E1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9232E20"/>
    <w:multiLevelType w:val="hybridMultilevel"/>
    <w:tmpl w:val="9DE843DE"/>
    <w:lvl w:ilvl="0" w:tplc="B3044AB0">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3A1F65AD"/>
    <w:multiLevelType w:val="hybridMultilevel"/>
    <w:tmpl w:val="A0C892B8"/>
    <w:lvl w:ilvl="0" w:tplc="3FB212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7902BD3"/>
    <w:multiLevelType w:val="hybridMultilevel"/>
    <w:tmpl w:val="091A6740"/>
    <w:lvl w:ilvl="0" w:tplc="1C090001">
      <w:start w:val="1"/>
      <w:numFmt w:val="bullet"/>
      <w:lvlText w:val=""/>
      <w:lvlJc w:val="left"/>
      <w:pPr>
        <w:ind w:left="784" w:hanging="360"/>
      </w:pPr>
      <w:rPr>
        <w:rFonts w:ascii="Symbol" w:hAnsi="Symbol" w:hint="default"/>
      </w:rPr>
    </w:lvl>
    <w:lvl w:ilvl="1" w:tplc="1C090003" w:tentative="1">
      <w:start w:val="1"/>
      <w:numFmt w:val="bullet"/>
      <w:lvlText w:val="o"/>
      <w:lvlJc w:val="left"/>
      <w:pPr>
        <w:ind w:left="1504" w:hanging="360"/>
      </w:pPr>
      <w:rPr>
        <w:rFonts w:ascii="Courier New" w:hAnsi="Courier New" w:cs="Courier New" w:hint="default"/>
      </w:rPr>
    </w:lvl>
    <w:lvl w:ilvl="2" w:tplc="1C090005" w:tentative="1">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abstractNum w:abstractNumId="12" w15:restartNumberingAfterBreak="0">
    <w:nsid w:val="52124275"/>
    <w:multiLevelType w:val="hybridMultilevel"/>
    <w:tmpl w:val="95F417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9654BA6"/>
    <w:multiLevelType w:val="hybridMultilevel"/>
    <w:tmpl w:val="A3CA1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99A442A"/>
    <w:multiLevelType w:val="hybridMultilevel"/>
    <w:tmpl w:val="ED7E9486"/>
    <w:lvl w:ilvl="0" w:tplc="0812D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231662"/>
    <w:multiLevelType w:val="hybridMultilevel"/>
    <w:tmpl w:val="CE7C0F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DB95EA9"/>
    <w:multiLevelType w:val="hybridMultilevel"/>
    <w:tmpl w:val="59569460"/>
    <w:lvl w:ilvl="0" w:tplc="E5FEC544">
      <w:start w:val="1"/>
      <w:numFmt w:val="lowerLetter"/>
      <w:lvlText w:val="(%1)"/>
      <w:lvlJc w:val="left"/>
      <w:pPr>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0F2F16"/>
    <w:multiLevelType w:val="hybridMultilevel"/>
    <w:tmpl w:val="18363398"/>
    <w:lvl w:ilvl="0" w:tplc="1C322F76">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6534457F"/>
    <w:multiLevelType w:val="hybridMultilevel"/>
    <w:tmpl w:val="66B24258"/>
    <w:lvl w:ilvl="0" w:tplc="5BF66844">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6FCD5981"/>
    <w:multiLevelType w:val="hybridMultilevel"/>
    <w:tmpl w:val="4EEE5604"/>
    <w:lvl w:ilvl="0" w:tplc="AAA62D90">
      <w:start w:val="1"/>
      <w:numFmt w:val="lowerLetter"/>
      <w:lvlText w:val="(%1)"/>
      <w:lvlJc w:val="left"/>
      <w:pPr>
        <w:ind w:left="360" w:hanging="360"/>
      </w:pPr>
      <w:rPr>
        <w:rFonts w:hint="default"/>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2"/>
  </w:num>
  <w:num w:numId="3">
    <w:abstractNumId w:val="8"/>
  </w:num>
  <w:num w:numId="4">
    <w:abstractNumId w:val="15"/>
  </w:num>
  <w:num w:numId="5">
    <w:abstractNumId w:val="13"/>
  </w:num>
  <w:num w:numId="6">
    <w:abstractNumId w:val="7"/>
  </w:num>
  <w:num w:numId="7">
    <w:abstractNumId w:val="11"/>
  </w:num>
  <w:num w:numId="8">
    <w:abstractNumId w:val="12"/>
  </w:num>
  <w:num w:numId="9">
    <w:abstractNumId w:val="4"/>
  </w:num>
  <w:num w:numId="10">
    <w:abstractNumId w:val="5"/>
  </w:num>
  <w:num w:numId="11">
    <w:abstractNumId w:val="6"/>
  </w:num>
  <w:num w:numId="12">
    <w:abstractNumId w:val="17"/>
  </w:num>
  <w:num w:numId="13">
    <w:abstractNumId w:val="18"/>
  </w:num>
  <w:num w:numId="14">
    <w:abstractNumId w:val="9"/>
  </w:num>
  <w:num w:numId="15">
    <w:abstractNumId w:val="3"/>
  </w:num>
  <w:num w:numId="16">
    <w:abstractNumId w:val="19"/>
  </w:num>
  <w:num w:numId="17">
    <w:abstractNumId w:val="16"/>
  </w:num>
  <w:num w:numId="18">
    <w:abstractNumId w:val="14"/>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W2NDO1NDcxMDI1MbZQ0lEKTi0uzszPAykwqQUAj2+7wCwAAAA="/>
    <w:docVar w:name="dgnword-docGUID" w:val="{2C611E75-69D1-4C7F-B32C-D1C186116616}"/>
    <w:docVar w:name="dgnword-eventsink" w:val="2662845338480"/>
  </w:docVars>
  <w:rsids>
    <w:rsidRoot w:val="00F17FD3"/>
    <w:rsid w:val="000008E3"/>
    <w:rsid w:val="00001B9A"/>
    <w:rsid w:val="000028CE"/>
    <w:rsid w:val="0000430A"/>
    <w:rsid w:val="00004CDD"/>
    <w:rsid w:val="000078C0"/>
    <w:rsid w:val="0001201C"/>
    <w:rsid w:val="000128B0"/>
    <w:rsid w:val="00014159"/>
    <w:rsid w:val="00015759"/>
    <w:rsid w:val="00015CDF"/>
    <w:rsid w:val="00015E7E"/>
    <w:rsid w:val="00016CCF"/>
    <w:rsid w:val="0001732F"/>
    <w:rsid w:val="00017AA6"/>
    <w:rsid w:val="00017E19"/>
    <w:rsid w:val="000202EF"/>
    <w:rsid w:val="00023842"/>
    <w:rsid w:val="00023AA2"/>
    <w:rsid w:val="000267AE"/>
    <w:rsid w:val="000307C8"/>
    <w:rsid w:val="00031F15"/>
    <w:rsid w:val="00032865"/>
    <w:rsid w:val="00032909"/>
    <w:rsid w:val="00033B85"/>
    <w:rsid w:val="00033B9F"/>
    <w:rsid w:val="00034635"/>
    <w:rsid w:val="00034CE6"/>
    <w:rsid w:val="000404DB"/>
    <w:rsid w:val="00040611"/>
    <w:rsid w:val="00040B65"/>
    <w:rsid w:val="000414AC"/>
    <w:rsid w:val="00041CBA"/>
    <w:rsid w:val="00044F23"/>
    <w:rsid w:val="0004540D"/>
    <w:rsid w:val="00046101"/>
    <w:rsid w:val="00047339"/>
    <w:rsid w:val="00050DDC"/>
    <w:rsid w:val="00052C1C"/>
    <w:rsid w:val="00053740"/>
    <w:rsid w:val="00053FF2"/>
    <w:rsid w:val="0005538E"/>
    <w:rsid w:val="00055AD5"/>
    <w:rsid w:val="00055C99"/>
    <w:rsid w:val="000600FC"/>
    <w:rsid w:val="00060A27"/>
    <w:rsid w:val="000636EE"/>
    <w:rsid w:val="000637FA"/>
    <w:rsid w:val="000639C5"/>
    <w:rsid w:val="000644DA"/>
    <w:rsid w:val="000648D0"/>
    <w:rsid w:val="0006511B"/>
    <w:rsid w:val="00067EC8"/>
    <w:rsid w:val="00071A21"/>
    <w:rsid w:val="00073946"/>
    <w:rsid w:val="00075D7F"/>
    <w:rsid w:val="00080877"/>
    <w:rsid w:val="000815BD"/>
    <w:rsid w:val="000838D3"/>
    <w:rsid w:val="0008450F"/>
    <w:rsid w:val="00084A04"/>
    <w:rsid w:val="00084C55"/>
    <w:rsid w:val="00085254"/>
    <w:rsid w:val="000853B3"/>
    <w:rsid w:val="0009007F"/>
    <w:rsid w:val="000905DF"/>
    <w:rsid w:val="00090E16"/>
    <w:rsid w:val="00092984"/>
    <w:rsid w:val="000933C2"/>
    <w:rsid w:val="00093927"/>
    <w:rsid w:val="00093BB8"/>
    <w:rsid w:val="0009629E"/>
    <w:rsid w:val="00096D7C"/>
    <w:rsid w:val="000A3662"/>
    <w:rsid w:val="000A6617"/>
    <w:rsid w:val="000B034A"/>
    <w:rsid w:val="000B0842"/>
    <w:rsid w:val="000B2624"/>
    <w:rsid w:val="000B2C3C"/>
    <w:rsid w:val="000B3918"/>
    <w:rsid w:val="000B498F"/>
    <w:rsid w:val="000B52C3"/>
    <w:rsid w:val="000B6953"/>
    <w:rsid w:val="000B73BA"/>
    <w:rsid w:val="000B7635"/>
    <w:rsid w:val="000B7C09"/>
    <w:rsid w:val="000C19D4"/>
    <w:rsid w:val="000C1E28"/>
    <w:rsid w:val="000C25EC"/>
    <w:rsid w:val="000D1CBA"/>
    <w:rsid w:val="000D28CE"/>
    <w:rsid w:val="000D3D83"/>
    <w:rsid w:val="000D723F"/>
    <w:rsid w:val="000D7B16"/>
    <w:rsid w:val="000D7DC5"/>
    <w:rsid w:val="000E0709"/>
    <w:rsid w:val="000E07D8"/>
    <w:rsid w:val="000E1829"/>
    <w:rsid w:val="000E2370"/>
    <w:rsid w:val="000E3AE8"/>
    <w:rsid w:val="000E4080"/>
    <w:rsid w:val="000E461C"/>
    <w:rsid w:val="000E4AC6"/>
    <w:rsid w:val="000E5110"/>
    <w:rsid w:val="000E616C"/>
    <w:rsid w:val="000E6CEB"/>
    <w:rsid w:val="000E6F29"/>
    <w:rsid w:val="000F0462"/>
    <w:rsid w:val="000F141A"/>
    <w:rsid w:val="000F26CC"/>
    <w:rsid w:val="000F3079"/>
    <w:rsid w:val="000F3229"/>
    <w:rsid w:val="000F38D5"/>
    <w:rsid w:val="000F45D2"/>
    <w:rsid w:val="0010259F"/>
    <w:rsid w:val="00103D5A"/>
    <w:rsid w:val="001051AB"/>
    <w:rsid w:val="00111DA8"/>
    <w:rsid w:val="00112757"/>
    <w:rsid w:val="00112788"/>
    <w:rsid w:val="00113BE9"/>
    <w:rsid w:val="00114D5C"/>
    <w:rsid w:val="00115F69"/>
    <w:rsid w:val="00116255"/>
    <w:rsid w:val="00116D28"/>
    <w:rsid w:val="001173DD"/>
    <w:rsid w:val="00117B0F"/>
    <w:rsid w:val="00121298"/>
    <w:rsid w:val="001218FD"/>
    <w:rsid w:val="00121C6B"/>
    <w:rsid w:val="00122485"/>
    <w:rsid w:val="00123077"/>
    <w:rsid w:val="0012308D"/>
    <w:rsid w:val="00123C58"/>
    <w:rsid w:val="00125610"/>
    <w:rsid w:val="00125745"/>
    <w:rsid w:val="001301F3"/>
    <w:rsid w:val="00130D21"/>
    <w:rsid w:val="0013126A"/>
    <w:rsid w:val="00132E62"/>
    <w:rsid w:val="00133113"/>
    <w:rsid w:val="0013371E"/>
    <w:rsid w:val="00134156"/>
    <w:rsid w:val="001363A1"/>
    <w:rsid w:val="001401AF"/>
    <w:rsid w:val="00140596"/>
    <w:rsid w:val="001406DB"/>
    <w:rsid w:val="00140BF4"/>
    <w:rsid w:val="00141EE1"/>
    <w:rsid w:val="00144A7F"/>
    <w:rsid w:val="00144C2D"/>
    <w:rsid w:val="00146039"/>
    <w:rsid w:val="00150BE9"/>
    <w:rsid w:val="0015111A"/>
    <w:rsid w:val="00151B7C"/>
    <w:rsid w:val="001552E6"/>
    <w:rsid w:val="001562BD"/>
    <w:rsid w:val="00156619"/>
    <w:rsid w:val="00156B90"/>
    <w:rsid w:val="0016054A"/>
    <w:rsid w:val="00160B6B"/>
    <w:rsid w:val="00163532"/>
    <w:rsid w:val="001636B4"/>
    <w:rsid w:val="001639CB"/>
    <w:rsid w:val="00164FDE"/>
    <w:rsid w:val="00167BC1"/>
    <w:rsid w:val="0017036E"/>
    <w:rsid w:val="0017101D"/>
    <w:rsid w:val="00171CE6"/>
    <w:rsid w:val="00174DB2"/>
    <w:rsid w:val="00175409"/>
    <w:rsid w:val="001763CC"/>
    <w:rsid w:val="00177643"/>
    <w:rsid w:val="001806A3"/>
    <w:rsid w:val="00181225"/>
    <w:rsid w:val="00181535"/>
    <w:rsid w:val="00181F71"/>
    <w:rsid w:val="00183C38"/>
    <w:rsid w:val="00185DB7"/>
    <w:rsid w:val="001871AD"/>
    <w:rsid w:val="00190CD3"/>
    <w:rsid w:val="001927F6"/>
    <w:rsid w:val="00192C2B"/>
    <w:rsid w:val="00193422"/>
    <w:rsid w:val="001942C8"/>
    <w:rsid w:val="00194DE9"/>
    <w:rsid w:val="00195560"/>
    <w:rsid w:val="00196989"/>
    <w:rsid w:val="00197F94"/>
    <w:rsid w:val="001A0009"/>
    <w:rsid w:val="001A03E2"/>
    <w:rsid w:val="001A2033"/>
    <w:rsid w:val="001A3E96"/>
    <w:rsid w:val="001A4230"/>
    <w:rsid w:val="001A594F"/>
    <w:rsid w:val="001A60A3"/>
    <w:rsid w:val="001A75B7"/>
    <w:rsid w:val="001A7A18"/>
    <w:rsid w:val="001B0A5A"/>
    <w:rsid w:val="001B218D"/>
    <w:rsid w:val="001B2EEA"/>
    <w:rsid w:val="001B5E69"/>
    <w:rsid w:val="001B67F6"/>
    <w:rsid w:val="001B6F9C"/>
    <w:rsid w:val="001C0439"/>
    <w:rsid w:val="001C25A9"/>
    <w:rsid w:val="001C26AD"/>
    <w:rsid w:val="001C4A2C"/>
    <w:rsid w:val="001C60B5"/>
    <w:rsid w:val="001C6558"/>
    <w:rsid w:val="001C6FBF"/>
    <w:rsid w:val="001D0541"/>
    <w:rsid w:val="001D1924"/>
    <w:rsid w:val="001D26E5"/>
    <w:rsid w:val="001D28B7"/>
    <w:rsid w:val="001D2C29"/>
    <w:rsid w:val="001D3386"/>
    <w:rsid w:val="001D5022"/>
    <w:rsid w:val="001D55E8"/>
    <w:rsid w:val="001D765D"/>
    <w:rsid w:val="001D7AD1"/>
    <w:rsid w:val="001D7B33"/>
    <w:rsid w:val="001E04AD"/>
    <w:rsid w:val="001E0605"/>
    <w:rsid w:val="001E19C1"/>
    <w:rsid w:val="001E1B79"/>
    <w:rsid w:val="001E37C1"/>
    <w:rsid w:val="001E393C"/>
    <w:rsid w:val="001E58F7"/>
    <w:rsid w:val="001E6AEF"/>
    <w:rsid w:val="001F0246"/>
    <w:rsid w:val="001F0ACB"/>
    <w:rsid w:val="001F0F9C"/>
    <w:rsid w:val="001F3841"/>
    <w:rsid w:val="001F3924"/>
    <w:rsid w:val="001F7872"/>
    <w:rsid w:val="0020062E"/>
    <w:rsid w:val="00202C9C"/>
    <w:rsid w:val="00203035"/>
    <w:rsid w:val="002060FE"/>
    <w:rsid w:val="002069E5"/>
    <w:rsid w:val="002073CD"/>
    <w:rsid w:val="002100FF"/>
    <w:rsid w:val="0021096D"/>
    <w:rsid w:val="00210C6A"/>
    <w:rsid w:val="002131F4"/>
    <w:rsid w:val="00217499"/>
    <w:rsid w:val="00222136"/>
    <w:rsid w:val="0022233E"/>
    <w:rsid w:val="00223AEC"/>
    <w:rsid w:val="00224A0E"/>
    <w:rsid w:val="00226052"/>
    <w:rsid w:val="002265E5"/>
    <w:rsid w:val="002266AC"/>
    <w:rsid w:val="002308D7"/>
    <w:rsid w:val="00230B99"/>
    <w:rsid w:val="0023112C"/>
    <w:rsid w:val="00232C2E"/>
    <w:rsid w:val="00232E2C"/>
    <w:rsid w:val="00234CCF"/>
    <w:rsid w:val="002407F9"/>
    <w:rsid w:val="00241362"/>
    <w:rsid w:val="00241BEF"/>
    <w:rsid w:val="0024265E"/>
    <w:rsid w:val="00242C99"/>
    <w:rsid w:val="002445CE"/>
    <w:rsid w:val="002464C9"/>
    <w:rsid w:val="00253372"/>
    <w:rsid w:val="00257685"/>
    <w:rsid w:val="0026028E"/>
    <w:rsid w:val="002603CE"/>
    <w:rsid w:val="00261FDC"/>
    <w:rsid w:val="00263A48"/>
    <w:rsid w:val="002642C6"/>
    <w:rsid w:val="0026443F"/>
    <w:rsid w:val="00264DAE"/>
    <w:rsid w:val="0026650C"/>
    <w:rsid w:val="00270C2D"/>
    <w:rsid w:val="00271AEF"/>
    <w:rsid w:val="00273BB7"/>
    <w:rsid w:val="0027443D"/>
    <w:rsid w:val="00274669"/>
    <w:rsid w:val="00274A22"/>
    <w:rsid w:val="00275D95"/>
    <w:rsid w:val="00275EA9"/>
    <w:rsid w:val="0027604D"/>
    <w:rsid w:val="002766BB"/>
    <w:rsid w:val="00276D86"/>
    <w:rsid w:val="002774D4"/>
    <w:rsid w:val="0028047F"/>
    <w:rsid w:val="00280F54"/>
    <w:rsid w:val="00283FA2"/>
    <w:rsid w:val="002849E5"/>
    <w:rsid w:val="0028531F"/>
    <w:rsid w:val="00285F3E"/>
    <w:rsid w:val="002876C3"/>
    <w:rsid w:val="00287B86"/>
    <w:rsid w:val="00290A50"/>
    <w:rsid w:val="002916AA"/>
    <w:rsid w:val="00293141"/>
    <w:rsid w:val="0029377C"/>
    <w:rsid w:val="00296DF0"/>
    <w:rsid w:val="00297BBB"/>
    <w:rsid w:val="002A199D"/>
    <w:rsid w:val="002A26E5"/>
    <w:rsid w:val="002A46C7"/>
    <w:rsid w:val="002A4B87"/>
    <w:rsid w:val="002A5D5D"/>
    <w:rsid w:val="002A7094"/>
    <w:rsid w:val="002B48FE"/>
    <w:rsid w:val="002B642B"/>
    <w:rsid w:val="002B7CC2"/>
    <w:rsid w:val="002C1444"/>
    <w:rsid w:val="002C20FB"/>
    <w:rsid w:val="002C723E"/>
    <w:rsid w:val="002C7C98"/>
    <w:rsid w:val="002D0A2E"/>
    <w:rsid w:val="002D59E9"/>
    <w:rsid w:val="002D5F62"/>
    <w:rsid w:val="002D7A30"/>
    <w:rsid w:val="002E4936"/>
    <w:rsid w:val="002E6C89"/>
    <w:rsid w:val="002E6ECB"/>
    <w:rsid w:val="002F1EF2"/>
    <w:rsid w:val="002F240C"/>
    <w:rsid w:val="002F729A"/>
    <w:rsid w:val="00301B5E"/>
    <w:rsid w:val="00303F39"/>
    <w:rsid w:val="00305E51"/>
    <w:rsid w:val="00306347"/>
    <w:rsid w:val="003073CB"/>
    <w:rsid w:val="00307BF6"/>
    <w:rsid w:val="003106A5"/>
    <w:rsid w:val="00312F44"/>
    <w:rsid w:val="00313166"/>
    <w:rsid w:val="003135E0"/>
    <w:rsid w:val="00315026"/>
    <w:rsid w:val="003151A7"/>
    <w:rsid w:val="00316423"/>
    <w:rsid w:val="00317763"/>
    <w:rsid w:val="00317F69"/>
    <w:rsid w:val="00321661"/>
    <w:rsid w:val="0032199A"/>
    <w:rsid w:val="003225D4"/>
    <w:rsid w:val="00325876"/>
    <w:rsid w:val="00327C67"/>
    <w:rsid w:val="00331078"/>
    <w:rsid w:val="00331F16"/>
    <w:rsid w:val="00334079"/>
    <w:rsid w:val="00336B1C"/>
    <w:rsid w:val="003374E4"/>
    <w:rsid w:val="0033794E"/>
    <w:rsid w:val="00340233"/>
    <w:rsid w:val="00340A7C"/>
    <w:rsid w:val="00343A8F"/>
    <w:rsid w:val="00344681"/>
    <w:rsid w:val="003508EB"/>
    <w:rsid w:val="00350FDF"/>
    <w:rsid w:val="003514B9"/>
    <w:rsid w:val="00351B4B"/>
    <w:rsid w:val="003524A0"/>
    <w:rsid w:val="00353528"/>
    <w:rsid w:val="00353C2A"/>
    <w:rsid w:val="00354421"/>
    <w:rsid w:val="00355ABF"/>
    <w:rsid w:val="0035679F"/>
    <w:rsid w:val="0036002E"/>
    <w:rsid w:val="0036026A"/>
    <w:rsid w:val="00361C13"/>
    <w:rsid w:val="00361E70"/>
    <w:rsid w:val="0036244E"/>
    <w:rsid w:val="00364FD1"/>
    <w:rsid w:val="003653B5"/>
    <w:rsid w:val="003657B2"/>
    <w:rsid w:val="003679B1"/>
    <w:rsid w:val="00367EFF"/>
    <w:rsid w:val="00370203"/>
    <w:rsid w:val="00371252"/>
    <w:rsid w:val="003721F0"/>
    <w:rsid w:val="00373DB7"/>
    <w:rsid w:val="00374415"/>
    <w:rsid w:val="00375FDD"/>
    <w:rsid w:val="00380398"/>
    <w:rsid w:val="003807D7"/>
    <w:rsid w:val="003828B8"/>
    <w:rsid w:val="00383787"/>
    <w:rsid w:val="00383D59"/>
    <w:rsid w:val="003858DE"/>
    <w:rsid w:val="003869DE"/>
    <w:rsid w:val="00386A69"/>
    <w:rsid w:val="00387FD4"/>
    <w:rsid w:val="003911BD"/>
    <w:rsid w:val="00392119"/>
    <w:rsid w:val="00392AF1"/>
    <w:rsid w:val="00393D5E"/>
    <w:rsid w:val="00394422"/>
    <w:rsid w:val="00395256"/>
    <w:rsid w:val="00395FF5"/>
    <w:rsid w:val="00396B45"/>
    <w:rsid w:val="00397D3B"/>
    <w:rsid w:val="003A171B"/>
    <w:rsid w:val="003A1D65"/>
    <w:rsid w:val="003A2199"/>
    <w:rsid w:val="003A28B9"/>
    <w:rsid w:val="003A2F50"/>
    <w:rsid w:val="003A3460"/>
    <w:rsid w:val="003A68B6"/>
    <w:rsid w:val="003B03DF"/>
    <w:rsid w:val="003B0B2D"/>
    <w:rsid w:val="003B113A"/>
    <w:rsid w:val="003B4DB5"/>
    <w:rsid w:val="003C02B4"/>
    <w:rsid w:val="003C1E0F"/>
    <w:rsid w:val="003C3A92"/>
    <w:rsid w:val="003C4E37"/>
    <w:rsid w:val="003C52C3"/>
    <w:rsid w:val="003C6D17"/>
    <w:rsid w:val="003D0730"/>
    <w:rsid w:val="003D18FF"/>
    <w:rsid w:val="003D269F"/>
    <w:rsid w:val="003D4416"/>
    <w:rsid w:val="003D4F37"/>
    <w:rsid w:val="003D5109"/>
    <w:rsid w:val="003E0565"/>
    <w:rsid w:val="003E0944"/>
    <w:rsid w:val="003E0B55"/>
    <w:rsid w:val="003E0C8F"/>
    <w:rsid w:val="003E2469"/>
    <w:rsid w:val="003E51C8"/>
    <w:rsid w:val="003E589E"/>
    <w:rsid w:val="003E6C1B"/>
    <w:rsid w:val="003F03DC"/>
    <w:rsid w:val="003F3634"/>
    <w:rsid w:val="003F4A3C"/>
    <w:rsid w:val="003F4CC3"/>
    <w:rsid w:val="003F53A1"/>
    <w:rsid w:val="003F774A"/>
    <w:rsid w:val="00400314"/>
    <w:rsid w:val="00400F97"/>
    <w:rsid w:val="0040268C"/>
    <w:rsid w:val="00402AAB"/>
    <w:rsid w:val="00403516"/>
    <w:rsid w:val="0040554A"/>
    <w:rsid w:val="004066B2"/>
    <w:rsid w:val="00406814"/>
    <w:rsid w:val="00406AA7"/>
    <w:rsid w:val="00406F0A"/>
    <w:rsid w:val="00406F30"/>
    <w:rsid w:val="00407823"/>
    <w:rsid w:val="0041117F"/>
    <w:rsid w:val="0041188E"/>
    <w:rsid w:val="00412A5B"/>
    <w:rsid w:val="004133FA"/>
    <w:rsid w:val="00413648"/>
    <w:rsid w:val="0041597F"/>
    <w:rsid w:val="00415C6C"/>
    <w:rsid w:val="004179D4"/>
    <w:rsid w:val="00420D99"/>
    <w:rsid w:val="004212A7"/>
    <w:rsid w:val="0042254A"/>
    <w:rsid w:val="00423768"/>
    <w:rsid w:val="004250B1"/>
    <w:rsid w:val="004309EC"/>
    <w:rsid w:val="00432AE4"/>
    <w:rsid w:val="00432BD1"/>
    <w:rsid w:val="00433D37"/>
    <w:rsid w:val="00437CCA"/>
    <w:rsid w:val="00440125"/>
    <w:rsid w:val="004409F5"/>
    <w:rsid w:val="00441A07"/>
    <w:rsid w:val="00446746"/>
    <w:rsid w:val="00446B7D"/>
    <w:rsid w:val="00446CF3"/>
    <w:rsid w:val="004470FA"/>
    <w:rsid w:val="00447277"/>
    <w:rsid w:val="0045166F"/>
    <w:rsid w:val="004529EC"/>
    <w:rsid w:val="00453A5F"/>
    <w:rsid w:val="004540BB"/>
    <w:rsid w:val="00454241"/>
    <w:rsid w:val="00456961"/>
    <w:rsid w:val="00457F22"/>
    <w:rsid w:val="00461A55"/>
    <w:rsid w:val="00462293"/>
    <w:rsid w:val="004623EA"/>
    <w:rsid w:val="0046467F"/>
    <w:rsid w:val="00464C52"/>
    <w:rsid w:val="00464C8C"/>
    <w:rsid w:val="00466F6B"/>
    <w:rsid w:val="0046737A"/>
    <w:rsid w:val="00470017"/>
    <w:rsid w:val="004713B0"/>
    <w:rsid w:val="004727B0"/>
    <w:rsid w:val="0047314A"/>
    <w:rsid w:val="00474C0E"/>
    <w:rsid w:val="0047616D"/>
    <w:rsid w:val="00476178"/>
    <w:rsid w:val="00476310"/>
    <w:rsid w:val="0047746A"/>
    <w:rsid w:val="00477A67"/>
    <w:rsid w:val="0048194F"/>
    <w:rsid w:val="00481CF0"/>
    <w:rsid w:val="00482F35"/>
    <w:rsid w:val="004834FD"/>
    <w:rsid w:val="00484D5F"/>
    <w:rsid w:val="00485993"/>
    <w:rsid w:val="00485C08"/>
    <w:rsid w:val="004868B5"/>
    <w:rsid w:val="00486B46"/>
    <w:rsid w:val="00486E9F"/>
    <w:rsid w:val="00487348"/>
    <w:rsid w:val="00487613"/>
    <w:rsid w:val="004876D9"/>
    <w:rsid w:val="00487BDD"/>
    <w:rsid w:val="00487C75"/>
    <w:rsid w:val="00491A79"/>
    <w:rsid w:val="00493924"/>
    <w:rsid w:val="004A0A57"/>
    <w:rsid w:val="004A145D"/>
    <w:rsid w:val="004A240D"/>
    <w:rsid w:val="004A2551"/>
    <w:rsid w:val="004A3B59"/>
    <w:rsid w:val="004A46E2"/>
    <w:rsid w:val="004A4AC9"/>
    <w:rsid w:val="004A4B33"/>
    <w:rsid w:val="004A4BD0"/>
    <w:rsid w:val="004A5201"/>
    <w:rsid w:val="004A7705"/>
    <w:rsid w:val="004B0664"/>
    <w:rsid w:val="004B0C34"/>
    <w:rsid w:val="004B10AD"/>
    <w:rsid w:val="004B219D"/>
    <w:rsid w:val="004B35D6"/>
    <w:rsid w:val="004B37A7"/>
    <w:rsid w:val="004B4040"/>
    <w:rsid w:val="004B4F54"/>
    <w:rsid w:val="004B5077"/>
    <w:rsid w:val="004B71A3"/>
    <w:rsid w:val="004C0015"/>
    <w:rsid w:val="004C0917"/>
    <w:rsid w:val="004C1EA9"/>
    <w:rsid w:val="004C39E3"/>
    <w:rsid w:val="004C4294"/>
    <w:rsid w:val="004C76D6"/>
    <w:rsid w:val="004D036D"/>
    <w:rsid w:val="004D086B"/>
    <w:rsid w:val="004D0C14"/>
    <w:rsid w:val="004D0C86"/>
    <w:rsid w:val="004D247C"/>
    <w:rsid w:val="004D3695"/>
    <w:rsid w:val="004D4B5F"/>
    <w:rsid w:val="004D5605"/>
    <w:rsid w:val="004D575F"/>
    <w:rsid w:val="004D6471"/>
    <w:rsid w:val="004D6C51"/>
    <w:rsid w:val="004D6D54"/>
    <w:rsid w:val="004E175B"/>
    <w:rsid w:val="004E268C"/>
    <w:rsid w:val="004E3353"/>
    <w:rsid w:val="004E513A"/>
    <w:rsid w:val="004E5D9C"/>
    <w:rsid w:val="004E5ED6"/>
    <w:rsid w:val="004E60E6"/>
    <w:rsid w:val="004F251B"/>
    <w:rsid w:val="004F306E"/>
    <w:rsid w:val="004F4507"/>
    <w:rsid w:val="004F47EB"/>
    <w:rsid w:val="004F6686"/>
    <w:rsid w:val="004F721C"/>
    <w:rsid w:val="004F76A5"/>
    <w:rsid w:val="004F7928"/>
    <w:rsid w:val="004F7A8F"/>
    <w:rsid w:val="004F7E53"/>
    <w:rsid w:val="005023EF"/>
    <w:rsid w:val="00502C4D"/>
    <w:rsid w:val="00503581"/>
    <w:rsid w:val="00503C2C"/>
    <w:rsid w:val="005042AB"/>
    <w:rsid w:val="0050562A"/>
    <w:rsid w:val="005072E9"/>
    <w:rsid w:val="00507536"/>
    <w:rsid w:val="00510CA8"/>
    <w:rsid w:val="00512500"/>
    <w:rsid w:val="00512D47"/>
    <w:rsid w:val="0051652C"/>
    <w:rsid w:val="005176EB"/>
    <w:rsid w:val="00517DB0"/>
    <w:rsid w:val="00520768"/>
    <w:rsid w:val="005209E5"/>
    <w:rsid w:val="00521B76"/>
    <w:rsid w:val="00522F4C"/>
    <w:rsid w:val="00523C9C"/>
    <w:rsid w:val="00523F7B"/>
    <w:rsid w:val="00524776"/>
    <w:rsid w:val="00524BBD"/>
    <w:rsid w:val="00524D19"/>
    <w:rsid w:val="005255CD"/>
    <w:rsid w:val="00525995"/>
    <w:rsid w:val="00526F1F"/>
    <w:rsid w:val="0052751C"/>
    <w:rsid w:val="00527D95"/>
    <w:rsid w:val="00530F26"/>
    <w:rsid w:val="00531114"/>
    <w:rsid w:val="0053208F"/>
    <w:rsid w:val="00532247"/>
    <w:rsid w:val="00534618"/>
    <w:rsid w:val="0053571A"/>
    <w:rsid w:val="00535DEF"/>
    <w:rsid w:val="00535E53"/>
    <w:rsid w:val="00536053"/>
    <w:rsid w:val="00540126"/>
    <w:rsid w:val="005422DE"/>
    <w:rsid w:val="0054367E"/>
    <w:rsid w:val="00545BF4"/>
    <w:rsid w:val="00550410"/>
    <w:rsid w:val="005515EB"/>
    <w:rsid w:val="0055470B"/>
    <w:rsid w:val="00555174"/>
    <w:rsid w:val="00555870"/>
    <w:rsid w:val="005558B3"/>
    <w:rsid w:val="00560594"/>
    <w:rsid w:val="005626A7"/>
    <w:rsid w:val="00564DE9"/>
    <w:rsid w:val="00567071"/>
    <w:rsid w:val="00570AAF"/>
    <w:rsid w:val="00570B5F"/>
    <w:rsid w:val="00570F21"/>
    <w:rsid w:val="0057141E"/>
    <w:rsid w:val="0057322F"/>
    <w:rsid w:val="00576234"/>
    <w:rsid w:val="005775F8"/>
    <w:rsid w:val="00581250"/>
    <w:rsid w:val="00581C10"/>
    <w:rsid w:val="00585B4E"/>
    <w:rsid w:val="0059168D"/>
    <w:rsid w:val="005919E4"/>
    <w:rsid w:val="005932B1"/>
    <w:rsid w:val="005A0426"/>
    <w:rsid w:val="005A0757"/>
    <w:rsid w:val="005A0F21"/>
    <w:rsid w:val="005A3383"/>
    <w:rsid w:val="005A57AC"/>
    <w:rsid w:val="005A5974"/>
    <w:rsid w:val="005A5FE8"/>
    <w:rsid w:val="005A7BC6"/>
    <w:rsid w:val="005A7C0F"/>
    <w:rsid w:val="005B1F94"/>
    <w:rsid w:val="005B3397"/>
    <w:rsid w:val="005B3853"/>
    <w:rsid w:val="005B6E78"/>
    <w:rsid w:val="005C1EFC"/>
    <w:rsid w:val="005C2425"/>
    <w:rsid w:val="005C3D5E"/>
    <w:rsid w:val="005C49A1"/>
    <w:rsid w:val="005C5300"/>
    <w:rsid w:val="005C6407"/>
    <w:rsid w:val="005D2BA2"/>
    <w:rsid w:val="005D3E8E"/>
    <w:rsid w:val="005D58D2"/>
    <w:rsid w:val="005D6437"/>
    <w:rsid w:val="005E056B"/>
    <w:rsid w:val="005E05BB"/>
    <w:rsid w:val="005E0CD4"/>
    <w:rsid w:val="005E1B9C"/>
    <w:rsid w:val="005E2A12"/>
    <w:rsid w:val="005E45DF"/>
    <w:rsid w:val="005E53A1"/>
    <w:rsid w:val="005E6127"/>
    <w:rsid w:val="005E6C50"/>
    <w:rsid w:val="005F0269"/>
    <w:rsid w:val="005F066A"/>
    <w:rsid w:val="005F179B"/>
    <w:rsid w:val="005F2A25"/>
    <w:rsid w:val="005F2A4D"/>
    <w:rsid w:val="005F39BE"/>
    <w:rsid w:val="005F5523"/>
    <w:rsid w:val="005F5E02"/>
    <w:rsid w:val="005F7AC8"/>
    <w:rsid w:val="0060013A"/>
    <w:rsid w:val="00600850"/>
    <w:rsid w:val="00602DBB"/>
    <w:rsid w:val="00604606"/>
    <w:rsid w:val="00604EF7"/>
    <w:rsid w:val="00605EA1"/>
    <w:rsid w:val="006060FD"/>
    <w:rsid w:val="0060758D"/>
    <w:rsid w:val="00607869"/>
    <w:rsid w:val="00610A7F"/>
    <w:rsid w:val="00612469"/>
    <w:rsid w:val="00613AF2"/>
    <w:rsid w:val="00614833"/>
    <w:rsid w:val="00614A18"/>
    <w:rsid w:val="00615E44"/>
    <w:rsid w:val="00621D68"/>
    <w:rsid w:val="006234EA"/>
    <w:rsid w:val="006238DE"/>
    <w:rsid w:val="00626380"/>
    <w:rsid w:val="00627868"/>
    <w:rsid w:val="00632823"/>
    <w:rsid w:val="006336C8"/>
    <w:rsid w:val="00634D7A"/>
    <w:rsid w:val="00635310"/>
    <w:rsid w:val="00636616"/>
    <w:rsid w:val="00637B09"/>
    <w:rsid w:val="00637CFD"/>
    <w:rsid w:val="00640344"/>
    <w:rsid w:val="00640976"/>
    <w:rsid w:val="00640A8C"/>
    <w:rsid w:val="00645EFE"/>
    <w:rsid w:val="006465DA"/>
    <w:rsid w:val="00647B54"/>
    <w:rsid w:val="00647C15"/>
    <w:rsid w:val="00650157"/>
    <w:rsid w:val="00653CB4"/>
    <w:rsid w:val="0065467D"/>
    <w:rsid w:val="00655D53"/>
    <w:rsid w:val="00655D91"/>
    <w:rsid w:val="00656412"/>
    <w:rsid w:val="00657B82"/>
    <w:rsid w:val="0066058F"/>
    <w:rsid w:val="006615B4"/>
    <w:rsid w:val="00662F82"/>
    <w:rsid w:val="00672186"/>
    <w:rsid w:val="00673071"/>
    <w:rsid w:val="006736AF"/>
    <w:rsid w:val="00674D02"/>
    <w:rsid w:val="00675B4C"/>
    <w:rsid w:val="00676B13"/>
    <w:rsid w:val="006835B2"/>
    <w:rsid w:val="00686227"/>
    <w:rsid w:val="00691C34"/>
    <w:rsid w:val="0069216F"/>
    <w:rsid w:val="00696433"/>
    <w:rsid w:val="006964B6"/>
    <w:rsid w:val="006A0506"/>
    <w:rsid w:val="006A3CEC"/>
    <w:rsid w:val="006A40D6"/>
    <w:rsid w:val="006A551B"/>
    <w:rsid w:val="006A6BB1"/>
    <w:rsid w:val="006A747C"/>
    <w:rsid w:val="006B0AF6"/>
    <w:rsid w:val="006B12E6"/>
    <w:rsid w:val="006B1CF5"/>
    <w:rsid w:val="006B344E"/>
    <w:rsid w:val="006B58EE"/>
    <w:rsid w:val="006B5FD8"/>
    <w:rsid w:val="006B6475"/>
    <w:rsid w:val="006C00C0"/>
    <w:rsid w:val="006C083D"/>
    <w:rsid w:val="006C13A8"/>
    <w:rsid w:val="006C15E1"/>
    <w:rsid w:val="006C1C8C"/>
    <w:rsid w:val="006C21D7"/>
    <w:rsid w:val="006C2E32"/>
    <w:rsid w:val="006C4C77"/>
    <w:rsid w:val="006C7B91"/>
    <w:rsid w:val="006D050E"/>
    <w:rsid w:val="006D2439"/>
    <w:rsid w:val="006D25CD"/>
    <w:rsid w:val="006D273E"/>
    <w:rsid w:val="006D2784"/>
    <w:rsid w:val="006D2EA0"/>
    <w:rsid w:val="006D3930"/>
    <w:rsid w:val="006D4F92"/>
    <w:rsid w:val="006D69BC"/>
    <w:rsid w:val="006D70DD"/>
    <w:rsid w:val="006D7AD2"/>
    <w:rsid w:val="006E05D3"/>
    <w:rsid w:val="006E087F"/>
    <w:rsid w:val="006E2841"/>
    <w:rsid w:val="006E63F2"/>
    <w:rsid w:val="006E7141"/>
    <w:rsid w:val="006F13CF"/>
    <w:rsid w:val="006F1AA0"/>
    <w:rsid w:val="006F1F6E"/>
    <w:rsid w:val="006F23BC"/>
    <w:rsid w:val="006F26FB"/>
    <w:rsid w:val="006F30E4"/>
    <w:rsid w:val="006F380E"/>
    <w:rsid w:val="006F38DA"/>
    <w:rsid w:val="006F5D41"/>
    <w:rsid w:val="006F721D"/>
    <w:rsid w:val="006F79C9"/>
    <w:rsid w:val="007007A5"/>
    <w:rsid w:val="00702604"/>
    <w:rsid w:val="0070380F"/>
    <w:rsid w:val="00703988"/>
    <w:rsid w:val="007055F6"/>
    <w:rsid w:val="00710284"/>
    <w:rsid w:val="00711A64"/>
    <w:rsid w:val="007123B0"/>
    <w:rsid w:val="007134FE"/>
    <w:rsid w:val="007153DE"/>
    <w:rsid w:val="00715B32"/>
    <w:rsid w:val="00716433"/>
    <w:rsid w:val="007179F7"/>
    <w:rsid w:val="0072083C"/>
    <w:rsid w:val="007211DA"/>
    <w:rsid w:val="007216A9"/>
    <w:rsid w:val="00722131"/>
    <w:rsid w:val="00722C5C"/>
    <w:rsid w:val="00723CCF"/>
    <w:rsid w:val="00725B44"/>
    <w:rsid w:val="0072685F"/>
    <w:rsid w:val="007322EE"/>
    <w:rsid w:val="007327F5"/>
    <w:rsid w:val="00732F87"/>
    <w:rsid w:val="00733080"/>
    <w:rsid w:val="007341E7"/>
    <w:rsid w:val="007347F1"/>
    <w:rsid w:val="00734854"/>
    <w:rsid w:val="00734EE4"/>
    <w:rsid w:val="007354A2"/>
    <w:rsid w:val="00736C51"/>
    <w:rsid w:val="00737984"/>
    <w:rsid w:val="00741586"/>
    <w:rsid w:val="007430DA"/>
    <w:rsid w:val="007442B5"/>
    <w:rsid w:val="00746C70"/>
    <w:rsid w:val="00746F87"/>
    <w:rsid w:val="007472CF"/>
    <w:rsid w:val="00747551"/>
    <w:rsid w:val="007500DC"/>
    <w:rsid w:val="007504E7"/>
    <w:rsid w:val="00750A2E"/>
    <w:rsid w:val="0075113D"/>
    <w:rsid w:val="0075221D"/>
    <w:rsid w:val="00752469"/>
    <w:rsid w:val="007527E8"/>
    <w:rsid w:val="00753C11"/>
    <w:rsid w:val="00754DF0"/>
    <w:rsid w:val="00755C2B"/>
    <w:rsid w:val="007575E8"/>
    <w:rsid w:val="00761C59"/>
    <w:rsid w:val="0076269E"/>
    <w:rsid w:val="00762A3C"/>
    <w:rsid w:val="00762F1F"/>
    <w:rsid w:val="00764C4B"/>
    <w:rsid w:val="00766B64"/>
    <w:rsid w:val="00767078"/>
    <w:rsid w:val="00767943"/>
    <w:rsid w:val="007717B4"/>
    <w:rsid w:val="00771874"/>
    <w:rsid w:val="00771EC2"/>
    <w:rsid w:val="00772E3A"/>
    <w:rsid w:val="00772E6C"/>
    <w:rsid w:val="00774ADC"/>
    <w:rsid w:val="00776664"/>
    <w:rsid w:val="007772C6"/>
    <w:rsid w:val="0077749F"/>
    <w:rsid w:val="0077784F"/>
    <w:rsid w:val="0077799E"/>
    <w:rsid w:val="00780492"/>
    <w:rsid w:val="007806B4"/>
    <w:rsid w:val="00781177"/>
    <w:rsid w:val="007813C3"/>
    <w:rsid w:val="007838B8"/>
    <w:rsid w:val="00783DBA"/>
    <w:rsid w:val="00787799"/>
    <w:rsid w:val="00791318"/>
    <w:rsid w:val="00792212"/>
    <w:rsid w:val="007924F1"/>
    <w:rsid w:val="00792B50"/>
    <w:rsid w:val="00794403"/>
    <w:rsid w:val="007954BB"/>
    <w:rsid w:val="00795E7A"/>
    <w:rsid w:val="007976B8"/>
    <w:rsid w:val="007A02C9"/>
    <w:rsid w:val="007A2CB2"/>
    <w:rsid w:val="007A5EEB"/>
    <w:rsid w:val="007A7475"/>
    <w:rsid w:val="007B0678"/>
    <w:rsid w:val="007B3A35"/>
    <w:rsid w:val="007B4B46"/>
    <w:rsid w:val="007B5CF4"/>
    <w:rsid w:val="007B5F6A"/>
    <w:rsid w:val="007B65D6"/>
    <w:rsid w:val="007B6739"/>
    <w:rsid w:val="007B7108"/>
    <w:rsid w:val="007C082B"/>
    <w:rsid w:val="007C0F4D"/>
    <w:rsid w:val="007C2B09"/>
    <w:rsid w:val="007C40C7"/>
    <w:rsid w:val="007C45AE"/>
    <w:rsid w:val="007C54BC"/>
    <w:rsid w:val="007C753E"/>
    <w:rsid w:val="007D1DA1"/>
    <w:rsid w:val="007D23AD"/>
    <w:rsid w:val="007D3730"/>
    <w:rsid w:val="007D3AE2"/>
    <w:rsid w:val="007D6C22"/>
    <w:rsid w:val="007D70EC"/>
    <w:rsid w:val="007E012F"/>
    <w:rsid w:val="007E1387"/>
    <w:rsid w:val="007E24A6"/>
    <w:rsid w:val="007E3E21"/>
    <w:rsid w:val="007E5F68"/>
    <w:rsid w:val="007E6614"/>
    <w:rsid w:val="007E67A2"/>
    <w:rsid w:val="007E6E84"/>
    <w:rsid w:val="007E7750"/>
    <w:rsid w:val="007E7E86"/>
    <w:rsid w:val="007E7F83"/>
    <w:rsid w:val="007F26AD"/>
    <w:rsid w:val="007F2F3F"/>
    <w:rsid w:val="007F3E84"/>
    <w:rsid w:val="007F5C66"/>
    <w:rsid w:val="007F775F"/>
    <w:rsid w:val="007F7899"/>
    <w:rsid w:val="008021CD"/>
    <w:rsid w:val="00802548"/>
    <w:rsid w:val="0080458E"/>
    <w:rsid w:val="00804AA4"/>
    <w:rsid w:val="008067B1"/>
    <w:rsid w:val="0080683B"/>
    <w:rsid w:val="008105BE"/>
    <w:rsid w:val="008119D5"/>
    <w:rsid w:val="008129AA"/>
    <w:rsid w:val="008137FE"/>
    <w:rsid w:val="00813A9F"/>
    <w:rsid w:val="008159AB"/>
    <w:rsid w:val="008163BA"/>
    <w:rsid w:val="00816A00"/>
    <w:rsid w:val="00816B60"/>
    <w:rsid w:val="00817358"/>
    <w:rsid w:val="00821843"/>
    <w:rsid w:val="0082320E"/>
    <w:rsid w:val="008251A8"/>
    <w:rsid w:val="00826353"/>
    <w:rsid w:val="00826D1B"/>
    <w:rsid w:val="008270F8"/>
    <w:rsid w:val="008273A1"/>
    <w:rsid w:val="0083175E"/>
    <w:rsid w:val="00834BDA"/>
    <w:rsid w:val="0084086E"/>
    <w:rsid w:val="008408EE"/>
    <w:rsid w:val="00841015"/>
    <w:rsid w:val="00842E18"/>
    <w:rsid w:val="008444C7"/>
    <w:rsid w:val="00844695"/>
    <w:rsid w:val="00846328"/>
    <w:rsid w:val="008502DA"/>
    <w:rsid w:val="00850E28"/>
    <w:rsid w:val="00851A19"/>
    <w:rsid w:val="00855BE3"/>
    <w:rsid w:val="00857053"/>
    <w:rsid w:val="00857242"/>
    <w:rsid w:val="00861AE3"/>
    <w:rsid w:val="008624BE"/>
    <w:rsid w:val="00862EA1"/>
    <w:rsid w:val="008642CA"/>
    <w:rsid w:val="00865B64"/>
    <w:rsid w:val="008661D9"/>
    <w:rsid w:val="00866E45"/>
    <w:rsid w:val="00867DA8"/>
    <w:rsid w:val="008718BD"/>
    <w:rsid w:val="00874D32"/>
    <w:rsid w:val="0087682E"/>
    <w:rsid w:val="00877912"/>
    <w:rsid w:val="00880344"/>
    <w:rsid w:val="0088086D"/>
    <w:rsid w:val="008823DE"/>
    <w:rsid w:val="008833CD"/>
    <w:rsid w:val="00883504"/>
    <w:rsid w:val="008840B0"/>
    <w:rsid w:val="008842C8"/>
    <w:rsid w:val="008846CE"/>
    <w:rsid w:val="00886DE4"/>
    <w:rsid w:val="0088704F"/>
    <w:rsid w:val="008878F4"/>
    <w:rsid w:val="00891481"/>
    <w:rsid w:val="00894684"/>
    <w:rsid w:val="00894FC8"/>
    <w:rsid w:val="00895315"/>
    <w:rsid w:val="00896351"/>
    <w:rsid w:val="008963FC"/>
    <w:rsid w:val="008967CD"/>
    <w:rsid w:val="008976CD"/>
    <w:rsid w:val="008A1C05"/>
    <w:rsid w:val="008A1D9E"/>
    <w:rsid w:val="008A22FF"/>
    <w:rsid w:val="008A2832"/>
    <w:rsid w:val="008A2AC2"/>
    <w:rsid w:val="008A2E05"/>
    <w:rsid w:val="008A2EA8"/>
    <w:rsid w:val="008A4DAC"/>
    <w:rsid w:val="008A521C"/>
    <w:rsid w:val="008A5269"/>
    <w:rsid w:val="008A590B"/>
    <w:rsid w:val="008A6247"/>
    <w:rsid w:val="008B035F"/>
    <w:rsid w:val="008B27B9"/>
    <w:rsid w:val="008B3391"/>
    <w:rsid w:val="008B4696"/>
    <w:rsid w:val="008B5D5F"/>
    <w:rsid w:val="008B7130"/>
    <w:rsid w:val="008C005E"/>
    <w:rsid w:val="008C17D4"/>
    <w:rsid w:val="008C2048"/>
    <w:rsid w:val="008C24CA"/>
    <w:rsid w:val="008C39BB"/>
    <w:rsid w:val="008C3D8D"/>
    <w:rsid w:val="008C4A04"/>
    <w:rsid w:val="008C6149"/>
    <w:rsid w:val="008C62ED"/>
    <w:rsid w:val="008C693A"/>
    <w:rsid w:val="008C6FF6"/>
    <w:rsid w:val="008C7DB4"/>
    <w:rsid w:val="008D2647"/>
    <w:rsid w:val="008D3643"/>
    <w:rsid w:val="008D4002"/>
    <w:rsid w:val="008D5067"/>
    <w:rsid w:val="008D5275"/>
    <w:rsid w:val="008D5AE1"/>
    <w:rsid w:val="008D705F"/>
    <w:rsid w:val="008D7B35"/>
    <w:rsid w:val="008E0232"/>
    <w:rsid w:val="008E0948"/>
    <w:rsid w:val="008E1C88"/>
    <w:rsid w:val="008E2FF2"/>
    <w:rsid w:val="008E31BC"/>
    <w:rsid w:val="008E3C8C"/>
    <w:rsid w:val="008E4F8D"/>
    <w:rsid w:val="008E53C7"/>
    <w:rsid w:val="008E572E"/>
    <w:rsid w:val="008F02BA"/>
    <w:rsid w:val="008F063C"/>
    <w:rsid w:val="008F0A81"/>
    <w:rsid w:val="008F0FE2"/>
    <w:rsid w:val="008F4FCF"/>
    <w:rsid w:val="008F58F1"/>
    <w:rsid w:val="008F657B"/>
    <w:rsid w:val="0090013C"/>
    <w:rsid w:val="009011B9"/>
    <w:rsid w:val="0090239A"/>
    <w:rsid w:val="00902C91"/>
    <w:rsid w:val="009040F9"/>
    <w:rsid w:val="00904960"/>
    <w:rsid w:val="009052E4"/>
    <w:rsid w:val="00905A2B"/>
    <w:rsid w:val="009061DE"/>
    <w:rsid w:val="00911943"/>
    <w:rsid w:val="00911B28"/>
    <w:rsid w:val="00912768"/>
    <w:rsid w:val="0091297B"/>
    <w:rsid w:val="00912D3A"/>
    <w:rsid w:val="00913132"/>
    <w:rsid w:val="00913E90"/>
    <w:rsid w:val="009157D7"/>
    <w:rsid w:val="009165EA"/>
    <w:rsid w:val="00917FE0"/>
    <w:rsid w:val="0092226B"/>
    <w:rsid w:val="00922C15"/>
    <w:rsid w:val="009233D7"/>
    <w:rsid w:val="00923A83"/>
    <w:rsid w:val="009269B2"/>
    <w:rsid w:val="0093101D"/>
    <w:rsid w:val="00931ECC"/>
    <w:rsid w:val="00932682"/>
    <w:rsid w:val="00932C1C"/>
    <w:rsid w:val="0093337C"/>
    <w:rsid w:val="0093457A"/>
    <w:rsid w:val="009352AF"/>
    <w:rsid w:val="00935D3B"/>
    <w:rsid w:val="00935EF9"/>
    <w:rsid w:val="00940E00"/>
    <w:rsid w:val="00942954"/>
    <w:rsid w:val="00943188"/>
    <w:rsid w:val="009435D4"/>
    <w:rsid w:val="00943EC4"/>
    <w:rsid w:val="00943F28"/>
    <w:rsid w:val="00944370"/>
    <w:rsid w:val="00944422"/>
    <w:rsid w:val="0094459C"/>
    <w:rsid w:val="009451E4"/>
    <w:rsid w:val="00945420"/>
    <w:rsid w:val="009531F2"/>
    <w:rsid w:val="009539FF"/>
    <w:rsid w:val="009551EF"/>
    <w:rsid w:val="00960086"/>
    <w:rsid w:val="00960CAC"/>
    <w:rsid w:val="009634D2"/>
    <w:rsid w:val="00964E34"/>
    <w:rsid w:val="00964EA7"/>
    <w:rsid w:val="009652DE"/>
    <w:rsid w:val="00966715"/>
    <w:rsid w:val="00972D4D"/>
    <w:rsid w:val="009732D0"/>
    <w:rsid w:val="00973AB5"/>
    <w:rsid w:val="00973FEE"/>
    <w:rsid w:val="00974C2E"/>
    <w:rsid w:val="0097535E"/>
    <w:rsid w:val="00975DE8"/>
    <w:rsid w:val="00975E40"/>
    <w:rsid w:val="00977858"/>
    <w:rsid w:val="00980346"/>
    <w:rsid w:val="009835B3"/>
    <w:rsid w:val="00984243"/>
    <w:rsid w:val="00984E0C"/>
    <w:rsid w:val="00985903"/>
    <w:rsid w:val="0098697C"/>
    <w:rsid w:val="00987293"/>
    <w:rsid w:val="00987763"/>
    <w:rsid w:val="00987E57"/>
    <w:rsid w:val="00991564"/>
    <w:rsid w:val="0099325E"/>
    <w:rsid w:val="009933FB"/>
    <w:rsid w:val="0099517D"/>
    <w:rsid w:val="00996534"/>
    <w:rsid w:val="00997460"/>
    <w:rsid w:val="009A0EFF"/>
    <w:rsid w:val="009A1544"/>
    <w:rsid w:val="009A1B4A"/>
    <w:rsid w:val="009A50E7"/>
    <w:rsid w:val="009A5133"/>
    <w:rsid w:val="009A5CDF"/>
    <w:rsid w:val="009A654B"/>
    <w:rsid w:val="009A683B"/>
    <w:rsid w:val="009B0236"/>
    <w:rsid w:val="009B1669"/>
    <w:rsid w:val="009B20EF"/>
    <w:rsid w:val="009B25E8"/>
    <w:rsid w:val="009B2813"/>
    <w:rsid w:val="009B393B"/>
    <w:rsid w:val="009B4F01"/>
    <w:rsid w:val="009B503A"/>
    <w:rsid w:val="009C08FD"/>
    <w:rsid w:val="009C1642"/>
    <w:rsid w:val="009C253D"/>
    <w:rsid w:val="009C28D4"/>
    <w:rsid w:val="009C348C"/>
    <w:rsid w:val="009C36D7"/>
    <w:rsid w:val="009C6B86"/>
    <w:rsid w:val="009C78F0"/>
    <w:rsid w:val="009D0377"/>
    <w:rsid w:val="009D2208"/>
    <w:rsid w:val="009D231A"/>
    <w:rsid w:val="009D61C9"/>
    <w:rsid w:val="009D6F89"/>
    <w:rsid w:val="009E2111"/>
    <w:rsid w:val="009E2B39"/>
    <w:rsid w:val="009E3AD4"/>
    <w:rsid w:val="009E4F10"/>
    <w:rsid w:val="009E6588"/>
    <w:rsid w:val="009E6DC2"/>
    <w:rsid w:val="009E706E"/>
    <w:rsid w:val="009F0AD3"/>
    <w:rsid w:val="009F29E1"/>
    <w:rsid w:val="009F59D7"/>
    <w:rsid w:val="009F601F"/>
    <w:rsid w:val="009F61B5"/>
    <w:rsid w:val="009F79A7"/>
    <w:rsid w:val="00A01326"/>
    <w:rsid w:val="00A030E0"/>
    <w:rsid w:val="00A031D5"/>
    <w:rsid w:val="00A0389C"/>
    <w:rsid w:val="00A104B1"/>
    <w:rsid w:val="00A1090C"/>
    <w:rsid w:val="00A1103D"/>
    <w:rsid w:val="00A1254D"/>
    <w:rsid w:val="00A12CCA"/>
    <w:rsid w:val="00A135F4"/>
    <w:rsid w:val="00A13CB9"/>
    <w:rsid w:val="00A13E2E"/>
    <w:rsid w:val="00A1481D"/>
    <w:rsid w:val="00A16A10"/>
    <w:rsid w:val="00A17194"/>
    <w:rsid w:val="00A17B2B"/>
    <w:rsid w:val="00A217B2"/>
    <w:rsid w:val="00A21958"/>
    <w:rsid w:val="00A21BAF"/>
    <w:rsid w:val="00A248F9"/>
    <w:rsid w:val="00A26046"/>
    <w:rsid w:val="00A27377"/>
    <w:rsid w:val="00A3143D"/>
    <w:rsid w:val="00A3347E"/>
    <w:rsid w:val="00A3348A"/>
    <w:rsid w:val="00A3365A"/>
    <w:rsid w:val="00A33BFC"/>
    <w:rsid w:val="00A35A77"/>
    <w:rsid w:val="00A35D6D"/>
    <w:rsid w:val="00A35E1B"/>
    <w:rsid w:val="00A3645C"/>
    <w:rsid w:val="00A36E66"/>
    <w:rsid w:val="00A400CA"/>
    <w:rsid w:val="00A405DF"/>
    <w:rsid w:val="00A4481B"/>
    <w:rsid w:val="00A456B0"/>
    <w:rsid w:val="00A51D65"/>
    <w:rsid w:val="00A52BE7"/>
    <w:rsid w:val="00A536A4"/>
    <w:rsid w:val="00A550DF"/>
    <w:rsid w:val="00A55AD7"/>
    <w:rsid w:val="00A55BC7"/>
    <w:rsid w:val="00A562BE"/>
    <w:rsid w:val="00A61179"/>
    <w:rsid w:val="00A61409"/>
    <w:rsid w:val="00A61B32"/>
    <w:rsid w:val="00A61D3E"/>
    <w:rsid w:val="00A61E29"/>
    <w:rsid w:val="00A61FE1"/>
    <w:rsid w:val="00A63833"/>
    <w:rsid w:val="00A645E2"/>
    <w:rsid w:val="00A64EAD"/>
    <w:rsid w:val="00A70298"/>
    <w:rsid w:val="00A744AF"/>
    <w:rsid w:val="00A75478"/>
    <w:rsid w:val="00A75801"/>
    <w:rsid w:val="00A77166"/>
    <w:rsid w:val="00A8241B"/>
    <w:rsid w:val="00A82F63"/>
    <w:rsid w:val="00A844ED"/>
    <w:rsid w:val="00A85157"/>
    <w:rsid w:val="00A858BB"/>
    <w:rsid w:val="00A8647B"/>
    <w:rsid w:val="00A86900"/>
    <w:rsid w:val="00A87F1D"/>
    <w:rsid w:val="00A9137B"/>
    <w:rsid w:val="00A9192A"/>
    <w:rsid w:val="00A91E70"/>
    <w:rsid w:val="00A920EF"/>
    <w:rsid w:val="00A94898"/>
    <w:rsid w:val="00A94C0C"/>
    <w:rsid w:val="00A96152"/>
    <w:rsid w:val="00AA2909"/>
    <w:rsid w:val="00AA6AA5"/>
    <w:rsid w:val="00AB0FA6"/>
    <w:rsid w:val="00AB128B"/>
    <w:rsid w:val="00AB2A6A"/>
    <w:rsid w:val="00AB39D7"/>
    <w:rsid w:val="00AB4BE9"/>
    <w:rsid w:val="00AB58CA"/>
    <w:rsid w:val="00AB7047"/>
    <w:rsid w:val="00AB734D"/>
    <w:rsid w:val="00AB7483"/>
    <w:rsid w:val="00AB7545"/>
    <w:rsid w:val="00AC2059"/>
    <w:rsid w:val="00AC2AD1"/>
    <w:rsid w:val="00AC652C"/>
    <w:rsid w:val="00AC68F0"/>
    <w:rsid w:val="00AC6E54"/>
    <w:rsid w:val="00AC73C6"/>
    <w:rsid w:val="00AC7439"/>
    <w:rsid w:val="00AD300D"/>
    <w:rsid w:val="00AD3837"/>
    <w:rsid w:val="00AD4403"/>
    <w:rsid w:val="00AD4B24"/>
    <w:rsid w:val="00AD5E40"/>
    <w:rsid w:val="00AD69E7"/>
    <w:rsid w:val="00AE2083"/>
    <w:rsid w:val="00AE3E98"/>
    <w:rsid w:val="00AE6682"/>
    <w:rsid w:val="00AE7FF7"/>
    <w:rsid w:val="00AF1E1C"/>
    <w:rsid w:val="00AF2CE1"/>
    <w:rsid w:val="00AF2ECF"/>
    <w:rsid w:val="00AF39AC"/>
    <w:rsid w:val="00AF41C8"/>
    <w:rsid w:val="00AF7CED"/>
    <w:rsid w:val="00B004E6"/>
    <w:rsid w:val="00B0218B"/>
    <w:rsid w:val="00B02222"/>
    <w:rsid w:val="00B0534A"/>
    <w:rsid w:val="00B0598C"/>
    <w:rsid w:val="00B05A20"/>
    <w:rsid w:val="00B060AE"/>
    <w:rsid w:val="00B074A0"/>
    <w:rsid w:val="00B07873"/>
    <w:rsid w:val="00B07D4D"/>
    <w:rsid w:val="00B07FAC"/>
    <w:rsid w:val="00B105E6"/>
    <w:rsid w:val="00B10D6B"/>
    <w:rsid w:val="00B13685"/>
    <w:rsid w:val="00B1458C"/>
    <w:rsid w:val="00B157E9"/>
    <w:rsid w:val="00B15ECD"/>
    <w:rsid w:val="00B16DC3"/>
    <w:rsid w:val="00B177C5"/>
    <w:rsid w:val="00B20589"/>
    <w:rsid w:val="00B221A4"/>
    <w:rsid w:val="00B2360E"/>
    <w:rsid w:val="00B2469B"/>
    <w:rsid w:val="00B24DB9"/>
    <w:rsid w:val="00B253A3"/>
    <w:rsid w:val="00B2618E"/>
    <w:rsid w:val="00B2763F"/>
    <w:rsid w:val="00B31810"/>
    <w:rsid w:val="00B32915"/>
    <w:rsid w:val="00B3346C"/>
    <w:rsid w:val="00B34BED"/>
    <w:rsid w:val="00B35557"/>
    <w:rsid w:val="00B4079C"/>
    <w:rsid w:val="00B4231A"/>
    <w:rsid w:val="00B42954"/>
    <w:rsid w:val="00B4518D"/>
    <w:rsid w:val="00B45A3D"/>
    <w:rsid w:val="00B45E6C"/>
    <w:rsid w:val="00B462DE"/>
    <w:rsid w:val="00B46505"/>
    <w:rsid w:val="00B518E1"/>
    <w:rsid w:val="00B51FD6"/>
    <w:rsid w:val="00B52E74"/>
    <w:rsid w:val="00B553CD"/>
    <w:rsid w:val="00B61F4B"/>
    <w:rsid w:val="00B63C33"/>
    <w:rsid w:val="00B655A1"/>
    <w:rsid w:val="00B65A77"/>
    <w:rsid w:val="00B664C8"/>
    <w:rsid w:val="00B66C85"/>
    <w:rsid w:val="00B67910"/>
    <w:rsid w:val="00B70373"/>
    <w:rsid w:val="00B73745"/>
    <w:rsid w:val="00B74BFE"/>
    <w:rsid w:val="00B75910"/>
    <w:rsid w:val="00B75EBB"/>
    <w:rsid w:val="00B76B89"/>
    <w:rsid w:val="00B805FB"/>
    <w:rsid w:val="00B814B9"/>
    <w:rsid w:val="00B81C5C"/>
    <w:rsid w:val="00B8381F"/>
    <w:rsid w:val="00B840DF"/>
    <w:rsid w:val="00B8665E"/>
    <w:rsid w:val="00B87C00"/>
    <w:rsid w:val="00B91A73"/>
    <w:rsid w:val="00B95180"/>
    <w:rsid w:val="00B96308"/>
    <w:rsid w:val="00BA3CB2"/>
    <w:rsid w:val="00BA3FE5"/>
    <w:rsid w:val="00BA4740"/>
    <w:rsid w:val="00BA5358"/>
    <w:rsid w:val="00BA537D"/>
    <w:rsid w:val="00BB0A27"/>
    <w:rsid w:val="00BB0B0B"/>
    <w:rsid w:val="00BB0E9B"/>
    <w:rsid w:val="00BB1B22"/>
    <w:rsid w:val="00BB3337"/>
    <w:rsid w:val="00BB4370"/>
    <w:rsid w:val="00BB6EB2"/>
    <w:rsid w:val="00BB6EC2"/>
    <w:rsid w:val="00BB755C"/>
    <w:rsid w:val="00BB7BE8"/>
    <w:rsid w:val="00BB7D29"/>
    <w:rsid w:val="00BC0338"/>
    <w:rsid w:val="00BC07AA"/>
    <w:rsid w:val="00BC283D"/>
    <w:rsid w:val="00BC2B37"/>
    <w:rsid w:val="00BC4851"/>
    <w:rsid w:val="00BC4926"/>
    <w:rsid w:val="00BC6A16"/>
    <w:rsid w:val="00BC6EFE"/>
    <w:rsid w:val="00BC778D"/>
    <w:rsid w:val="00BC7F02"/>
    <w:rsid w:val="00BD2D93"/>
    <w:rsid w:val="00BD3FD5"/>
    <w:rsid w:val="00BD531D"/>
    <w:rsid w:val="00BD5AD0"/>
    <w:rsid w:val="00BD6128"/>
    <w:rsid w:val="00BD650D"/>
    <w:rsid w:val="00BD7C74"/>
    <w:rsid w:val="00BE0A30"/>
    <w:rsid w:val="00BE1452"/>
    <w:rsid w:val="00BE157D"/>
    <w:rsid w:val="00BE1C7E"/>
    <w:rsid w:val="00BE22A6"/>
    <w:rsid w:val="00BF017A"/>
    <w:rsid w:val="00BF0ED2"/>
    <w:rsid w:val="00BF12C0"/>
    <w:rsid w:val="00BF2D38"/>
    <w:rsid w:val="00BF31E4"/>
    <w:rsid w:val="00BF5952"/>
    <w:rsid w:val="00BF7AF6"/>
    <w:rsid w:val="00BF7EAB"/>
    <w:rsid w:val="00C02463"/>
    <w:rsid w:val="00C03AFA"/>
    <w:rsid w:val="00C03EC7"/>
    <w:rsid w:val="00C03F4F"/>
    <w:rsid w:val="00C043B0"/>
    <w:rsid w:val="00C046AB"/>
    <w:rsid w:val="00C06900"/>
    <w:rsid w:val="00C12DAC"/>
    <w:rsid w:val="00C1779F"/>
    <w:rsid w:val="00C17BB0"/>
    <w:rsid w:val="00C21E54"/>
    <w:rsid w:val="00C26060"/>
    <w:rsid w:val="00C26559"/>
    <w:rsid w:val="00C30567"/>
    <w:rsid w:val="00C31092"/>
    <w:rsid w:val="00C310C9"/>
    <w:rsid w:val="00C328F1"/>
    <w:rsid w:val="00C33026"/>
    <w:rsid w:val="00C35086"/>
    <w:rsid w:val="00C366A1"/>
    <w:rsid w:val="00C36747"/>
    <w:rsid w:val="00C41404"/>
    <w:rsid w:val="00C43AD0"/>
    <w:rsid w:val="00C45AAC"/>
    <w:rsid w:val="00C4659D"/>
    <w:rsid w:val="00C500E4"/>
    <w:rsid w:val="00C52961"/>
    <w:rsid w:val="00C53CF0"/>
    <w:rsid w:val="00C55E6B"/>
    <w:rsid w:val="00C574DF"/>
    <w:rsid w:val="00C61353"/>
    <w:rsid w:val="00C643BE"/>
    <w:rsid w:val="00C64880"/>
    <w:rsid w:val="00C66506"/>
    <w:rsid w:val="00C707AF"/>
    <w:rsid w:val="00C714A7"/>
    <w:rsid w:val="00C71F48"/>
    <w:rsid w:val="00C73F54"/>
    <w:rsid w:val="00C75A1B"/>
    <w:rsid w:val="00C76471"/>
    <w:rsid w:val="00C822C2"/>
    <w:rsid w:val="00C834DD"/>
    <w:rsid w:val="00C84600"/>
    <w:rsid w:val="00C84608"/>
    <w:rsid w:val="00C84BBD"/>
    <w:rsid w:val="00C84CDE"/>
    <w:rsid w:val="00C87838"/>
    <w:rsid w:val="00C90295"/>
    <w:rsid w:val="00C905E8"/>
    <w:rsid w:val="00C936A2"/>
    <w:rsid w:val="00C95335"/>
    <w:rsid w:val="00C97060"/>
    <w:rsid w:val="00CA1841"/>
    <w:rsid w:val="00CA1C96"/>
    <w:rsid w:val="00CA38F0"/>
    <w:rsid w:val="00CA6F3B"/>
    <w:rsid w:val="00CA790C"/>
    <w:rsid w:val="00CB3AAF"/>
    <w:rsid w:val="00CB3CB9"/>
    <w:rsid w:val="00CB507F"/>
    <w:rsid w:val="00CB7FAD"/>
    <w:rsid w:val="00CC0022"/>
    <w:rsid w:val="00CC15CB"/>
    <w:rsid w:val="00CC1EC1"/>
    <w:rsid w:val="00CC297F"/>
    <w:rsid w:val="00CC2BCE"/>
    <w:rsid w:val="00CC2C6C"/>
    <w:rsid w:val="00CC3C11"/>
    <w:rsid w:val="00CC5016"/>
    <w:rsid w:val="00CC6B43"/>
    <w:rsid w:val="00CD20EA"/>
    <w:rsid w:val="00CD2867"/>
    <w:rsid w:val="00CD3C7C"/>
    <w:rsid w:val="00CD40E1"/>
    <w:rsid w:val="00CD4335"/>
    <w:rsid w:val="00CD7EB3"/>
    <w:rsid w:val="00CE13FA"/>
    <w:rsid w:val="00CE205D"/>
    <w:rsid w:val="00CE33E4"/>
    <w:rsid w:val="00CE38BB"/>
    <w:rsid w:val="00CE3FF3"/>
    <w:rsid w:val="00CE4AE9"/>
    <w:rsid w:val="00CE5515"/>
    <w:rsid w:val="00CE6D00"/>
    <w:rsid w:val="00CE76A9"/>
    <w:rsid w:val="00CF1D90"/>
    <w:rsid w:val="00CF2D15"/>
    <w:rsid w:val="00CF303D"/>
    <w:rsid w:val="00CF5501"/>
    <w:rsid w:val="00D00222"/>
    <w:rsid w:val="00D0072D"/>
    <w:rsid w:val="00D011F9"/>
    <w:rsid w:val="00D011FD"/>
    <w:rsid w:val="00D024AB"/>
    <w:rsid w:val="00D045F8"/>
    <w:rsid w:val="00D072B6"/>
    <w:rsid w:val="00D1011D"/>
    <w:rsid w:val="00D10A35"/>
    <w:rsid w:val="00D10DDA"/>
    <w:rsid w:val="00D13B0B"/>
    <w:rsid w:val="00D13D46"/>
    <w:rsid w:val="00D15CD7"/>
    <w:rsid w:val="00D15D4C"/>
    <w:rsid w:val="00D1674D"/>
    <w:rsid w:val="00D171BA"/>
    <w:rsid w:val="00D17D9D"/>
    <w:rsid w:val="00D17F7C"/>
    <w:rsid w:val="00D2044C"/>
    <w:rsid w:val="00D20492"/>
    <w:rsid w:val="00D20605"/>
    <w:rsid w:val="00D210B2"/>
    <w:rsid w:val="00D21422"/>
    <w:rsid w:val="00D21A97"/>
    <w:rsid w:val="00D21FDB"/>
    <w:rsid w:val="00D2229D"/>
    <w:rsid w:val="00D23056"/>
    <w:rsid w:val="00D23585"/>
    <w:rsid w:val="00D24910"/>
    <w:rsid w:val="00D31088"/>
    <w:rsid w:val="00D32154"/>
    <w:rsid w:val="00D32FED"/>
    <w:rsid w:val="00D342A7"/>
    <w:rsid w:val="00D374B6"/>
    <w:rsid w:val="00D41753"/>
    <w:rsid w:val="00D417C1"/>
    <w:rsid w:val="00D41F5D"/>
    <w:rsid w:val="00D42C39"/>
    <w:rsid w:val="00D447A2"/>
    <w:rsid w:val="00D44AB7"/>
    <w:rsid w:val="00D44CE6"/>
    <w:rsid w:val="00D45394"/>
    <w:rsid w:val="00D45C54"/>
    <w:rsid w:val="00D4634D"/>
    <w:rsid w:val="00D502AD"/>
    <w:rsid w:val="00D507D6"/>
    <w:rsid w:val="00D50900"/>
    <w:rsid w:val="00D50B1F"/>
    <w:rsid w:val="00D53FD2"/>
    <w:rsid w:val="00D54CD3"/>
    <w:rsid w:val="00D54FBE"/>
    <w:rsid w:val="00D553DD"/>
    <w:rsid w:val="00D560F3"/>
    <w:rsid w:val="00D60B00"/>
    <w:rsid w:val="00D62F1C"/>
    <w:rsid w:val="00D63CBC"/>
    <w:rsid w:val="00D64AAB"/>
    <w:rsid w:val="00D64BD6"/>
    <w:rsid w:val="00D65091"/>
    <w:rsid w:val="00D65C0D"/>
    <w:rsid w:val="00D6744D"/>
    <w:rsid w:val="00D70330"/>
    <w:rsid w:val="00D70AB4"/>
    <w:rsid w:val="00D70CC3"/>
    <w:rsid w:val="00D7114E"/>
    <w:rsid w:val="00D71C4D"/>
    <w:rsid w:val="00D724E7"/>
    <w:rsid w:val="00D73E50"/>
    <w:rsid w:val="00D7481B"/>
    <w:rsid w:val="00D74C83"/>
    <w:rsid w:val="00D76522"/>
    <w:rsid w:val="00D76909"/>
    <w:rsid w:val="00D80F04"/>
    <w:rsid w:val="00D818B7"/>
    <w:rsid w:val="00D8222C"/>
    <w:rsid w:val="00D82398"/>
    <w:rsid w:val="00D824D4"/>
    <w:rsid w:val="00D82DC6"/>
    <w:rsid w:val="00D8350A"/>
    <w:rsid w:val="00D83C1C"/>
    <w:rsid w:val="00D83F9E"/>
    <w:rsid w:val="00D849C8"/>
    <w:rsid w:val="00D84E9E"/>
    <w:rsid w:val="00D851E2"/>
    <w:rsid w:val="00D8748E"/>
    <w:rsid w:val="00D874EB"/>
    <w:rsid w:val="00D87C45"/>
    <w:rsid w:val="00D915D3"/>
    <w:rsid w:val="00D91FD0"/>
    <w:rsid w:val="00D92EED"/>
    <w:rsid w:val="00D9348F"/>
    <w:rsid w:val="00D938B6"/>
    <w:rsid w:val="00D94E83"/>
    <w:rsid w:val="00D95458"/>
    <w:rsid w:val="00D95548"/>
    <w:rsid w:val="00D9750D"/>
    <w:rsid w:val="00DA00FE"/>
    <w:rsid w:val="00DA0F6C"/>
    <w:rsid w:val="00DA1AB8"/>
    <w:rsid w:val="00DA2AFE"/>
    <w:rsid w:val="00DA2F53"/>
    <w:rsid w:val="00DA3317"/>
    <w:rsid w:val="00DA40C8"/>
    <w:rsid w:val="00DA560C"/>
    <w:rsid w:val="00DA5AD3"/>
    <w:rsid w:val="00DA6413"/>
    <w:rsid w:val="00DA6A28"/>
    <w:rsid w:val="00DA7AC7"/>
    <w:rsid w:val="00DB3F2A"/>
    <w:rsid w:val="00DB664E"/>
    <w:rsid w:val="00DB6A28"/>
    <w:rsid w:val="00DB72F6"/>
    <w:rsid w:val="00DB76E2"/>
    <w:rsid w:val="00DC1A72"/>
    <w:rsid w:val="00DC1A77"/>
    <w:rsid w:val="00DC3042"/>
    <w:rsid w:val="00DC3AEF"/>
    <w:rsid w:val="00DC4A46"/>
    <w:rsid w:val="00DC5B8F"/>
    <w:rsid w:val="00DC71F3"/>
    <w:rsid w:val="00DC7B5D"/>
    <w:rsid w:val="00DC7C93"/>
    <w:rsid w:val="00DD1205"/>
    <w:rsid w:val="00DD3EC9"/>
    <w:rsid w:val="00DD42A2"/>
    <w:rsid w:val="00DD61A4"/>
    <w:rsid w:val="00DD646C"/>
    <w:rsid w:val="00DD7D9E"/>
    <w:rsid w:val="00DD7DA4"/>
    <w:rsid w:val="00DE12EF"/>
    <w:rsid w:val="00DE1A13"/>
    <w:rsid w:val="00DE23B1"/>
    <w:rsid w:val="00DE240E"/>
    <w:rsid w:val="00DE3C8C"/>
    <w:rsid w:val="00DE5D6F"/>
    <w:rsid w:val="00DE7634"/>
    <w:rsid w:val="00DF02FF"/>
    <w:rsid w:val="00DF21AE"/>
    <w:rsid w:val="00DF2805"/>
    <w:rsid w:val="00DF3306"/>
    <w:rsid w:val="00DF50E8"/>
    <w:rsid w:val="00DF5551"/>
    <w:rsid w:val="00DF738D"/>
    <w:rsid w:val="00E018E4"/>
    <w:rsid w:val="00E033B1"/>
    <w:rsid w:val="00E049A6"/>
    <w:rsid w:val="00E05551"/>
    <w:rsid w:val="00E0572D"/>
    <w:rsid w:val="00E0591A"/>
    <w:rsid w:val="00E101B1"/>
    <w:rsid w:val="00E10C37"/>
    <w:rsid w:val="00E10ECD"/>
    <w:rsid w:val="00E13942"/>
    <w:rsid w:val="00E2121C"/>
    <w:rsid w:val="00E216DF"/>
    <w:rsid w:val="00E21E84"/>
    <w:rsid w:val="00E21F0C"/>
    <w:rsid w:val="00E24006"/>
    <w:rsid w:val="00E24111"/>
    <w:rsid w:val="00E26ED0"/>
    <w:rsid w:val="00E27759"/>
    <w:rsid w:val="00E33FF9"/>
    <w:rsid w:val="00E349DC"/>
    <w:rsid w:val="00E42681"/>
    <w:rsid w:val="00E42E5E"/>
    <w:rsid w:val="00E430AB"/>
    <w:rsid w:val="00E43993"/>
    <w:rsid w:val="00E45BB0"/>
    <w:rsid w:val="00E504B9"/>
    <w:rsid w:val="00E50C30"/>
    <w:rsid w:val="00E521A6"/>
    <w:rsid w:val="00E52B57"/>
    <w:rsid w:val="00E54028"/>
    <w:rsid w:val="00E54BAB"/>
    <w:rsid w:val="00E55676"/>
    <w:rsid w:val="00E55AF8"/>
    <w:rsid w:val="00E577BA"/>
    <w:rsid w:val="00E57867"/>
    <w:rsid w:val="00E57C5E"/>
    <w:rsid w:val="00E60980"/>
    <w:rsid w:val="00E611D0"/>
    <w:rsid w:val="00E61575"/>
    <w:rsid w:val="00E61DF5"/>
    <w:rsid w:val="00E64059"/>
    <w:rsid w:val="00E6645F"/>
    <w:rsid w:val="00E66570"/>
    <w:rsid w:val="00E72239"/>
    <w:rsid w:val="00E726F7"/>
    <w:rsid w:val="00E7371C"/>
    <w:rsid w:val="00E75AD8"/>
    <w:rsid w:val="00E801F4"/>
    <w:rsid w:val="00E81338"/>
    <w:rsid w:val="00E82413"/>
    <w:rsid w:val="00E82BFB"/>
    <w:rsid w:val="00E85640"/>
    <w:rsid w:val="00E856C2"/>
    <w:rsid w:val="00E86918"/>
    <w:rsid w:val="00E86FD2"/>
    <w:rsid w:val="00E87405"/>
    <w:rsid w:val="00E879D7"/>
    <w:rsid w:val="00E91D10"/>
    <w:rsid w:val="00E93F46"/>
    <w:rsid w:val="00E941A7"/>
    <w:rsid w:val="00E94223"/>
    <w:rsid w:val="00E950CF"/>
    <w:rsid w:val="00E96069"/>
    <w:rsid w:val="00E97140"/>
    <w:rsid w:val="00E97368"/>
    <w:rsid w:val="00EA0958"/>
    <w:rsid w:val="00EA111B"/>
    <w:rsid w:val="00EA14BA"/>
    <w:rsid w:val="00EA180C"/>
    <w:rsid w:val="00EA2553"/>
    <w:rsid w:val="00EA3379"/>
    <w:rsid w:val="00EA34D9"/>
    <w:rsid w:val="00EA5D5F"/>
    <w:rsid w:val="00EA73B5"/>
    <w:rsid w:val="00EB24D7"/>
    <w:rsid w:val="00EB361C"/>
    <w:rsid w:val="00EB41F4"/>
    <w:rsid w:val="00EB626F"/>
    <w:rsid w:val="00EB6400"/>
    <w:rsid w:val="00EB694B"/>
    <w:rsid w:val="00EB75D0"/>
    <w:rsid w:val="00EB7C22"/>
    <w:rsid w:val="00EB7CFA"/>
    <w:rsid w:val="00EB7D4D"/>
    <w:rsid w:val="00EB7F64"/>
    <w:rsid w:val="00EC0C33"/>
    <w:rsid w:val="00EC1DF8"/>
    <w:rsid w:val="00EC3BB3"/>
    <w:rsid w:val="00EC3D69"/>
    <w:rsid w:val="00EC4068"/>
    <w:rsid w:val="00EC45FC"/>
    <w:rsid w:val="00EC5CC5"/>
    <w:rsid w:val="00EC6177"/>
    <w:rsid w:val="00EC799D"/>
    <w:rsid w:val="00ED0606"/>
    <w:rsid w:val="00ED0CF7"/>
    <w:rsid w:val="00ED12C1"/>
    <w:rsid w:val="00ED15E3"/>
    <w:rsid w:val="00ED1D0C"/>
    <w:rsid w:val="00ED36E9"/>
    <w:rsid w:val="00ED448E"/>
    <w:rsid w:val="00ED4B5B"/>
    <w:rsid w:val="00ED4E84"/>
    <w:rsid w:val="00ED54AD"/>
    <w:rsid w:val="00EE193D"/>
    <w:rsid w:val="00EE29FD"/>
    <w:rsid w:val="00EE3F04"/>
    <w:rsid w:val="00EE5904"/>
    <w:rsid w:val="00EE5E36"/>
    <w:rsid w:val="00EE6C10"/>
    <w:rsid w:val="00EE6CB6"/>
    <w:rsid w:val="00EE6DD0"/>
    <w:rsid w:val="00EF0B1B"/>
    <w:rsid w:val="00EF0E04"/>
    <w:rsid w:val="00EF3790"/>
    <w:rsid w:val="00EF3801"/>
    <w:rsid w:val="00EF468B"/>
    <w:rsid w:val="00EF4F45"/>
    <w:rsid w:val="00EF4F9B"/>
    <w:rsid w:val="00EF634B"/>
    <w:rsid w:val="00EF70F4"/>
    <w:rsid w:val="00EF73D5"/>
    <w:rsid w:val="00F0093A"/>
    <w:rsid w:val="00F00DBF"/>
    <w:rsid w:val="00F03B6B"/>
    <w:rsid w:val="00F054FA"/>
    <w:rsid w:val="00F0580A"/>
    <w:rsid w:val="00F05C8A"/>
    <w:rsid w:val="00F0716C"/>
    <w:rsid w:val="00F07E64"/>
    <w:rsid w:val="00F10AAD"/>
    <w:rsid w:val="00F11937"/>
    <w:rsid w:val="00F12B44"/>
    <w:rsid w:val="00F1311B"/>
    <w:rsid w:val="00F13665"/>
    <w:rsid w:val="00F13979"/>
    <w:rsid w:val="00F152DF"/>
    <w:rsid w:val="00F15D14"/>
    <w:rsid w:val="00F16032"/>
    <w:rsid w:val="00F16B24"/>
    <w:rsid w:val="00F16EA4"/>
    <w:rsid w:val="00F17FD3"/>
    <w:rsid w:val="00F207D2"/>
    <w:rsid w:val="00F21D1C"/>
    <w:rsid w:val="00F24B31"/>
    <w:rsid w:val="00F254B6"/>
    <w:rsid w:val="00F267DB"/>
    <w:rsid w:val="00F2694E"/>
    <w:rsid w:val="00F26A59"/>
    <w:rsid w:val="00F27003"/>
    <w:rsid w:val="00F3030B"/>
    <w:rsid w:val="00F31642"/>
    <w:rsid w:val="00F32768"/>
    <w:rsid w:val="00F328FF"/>
    <w:rsid w:val="00F33D4E"/>
    <w:rsid w:val="00F347A6"/>
    <w:rsid w:val="00F354E4"/>
    <w:rsid w:val="00F3555A"/>
    <w:rsid w:val="00F369DE"/>
    <w:rsid w:val="00F37EB1"/>
    <w:rsid w:val="00F403BA"/>
    <w:rsid w:val="00F40F1B"/>
    <w:rsid w:val="00F42D86"/>
    <w:rsid w:val="00F43000"/>
    <w:rsid w:val="00F43041"/>
    <w:rsid w:val="00F46078"/>
    <w:rsid w:val="00F46BED"/>
    <w:rsid w:val="00F4704E"/>
    <w:rsid w:val="00F4734C"/>
    <w:rsid w:val="00F47BDD"/>
    <w:rsid w:val="00F501DA"/>
    <w:rsid w:val="00F5177A"/>
    <w:rsid w:val="00F519C9"/>
    <w:rsid w:val="00F53AE8"/>
    <w:rsid w:val="00F53F9B"/>
    <w:rsid w:val="00F54765"/>
    <w:rsid w:val="00F55DC8"/>
    <w:rsid w:val="00F55EB5"/>
    <w:rsid w:val="00F60ED1"/>
    <w:rsid w:val="00F61024"/>
    <w:rsid w:val="00F6142C"/>
    <w:rsid w:val="00F61569"/>
    <w:rsid w:val="00F615A4"/>
    <w:rsid w:val="00F623A0"/>
    <w:rsid w:val="00F64D3B"/>
    <w:rsid w:val="00F64F55"/>
    <w:rsid w:val="00F653C3"/>
    <w:rsid w:val="00F660CA"/>
    <w:rsid w:val="00F660E2"/>
    <w:rsid w:val="00F66CE9"/>
    <w:rsid w:val="00F67616"/>
    <w:rsid w:val="00F71491"/>
    <w:rsid w:val="00F726FC"/>
    <w:rsid w:val="00F73855"/>
    <w:rsid w:val="00F73C22"/>
    <w:rsid w:val="00F756B2"/>
    <w:rsid w:val="00F75C37"/>
    <w:rsid w:val="00F761B5"/>
    <w:rsid w:val="00F77590"/>
    <w:rsid w:val="00F82235"/>
    <w:rsid w:val="00F824AC"/>
    <w:rsid w:val="00F82EB8"/>
    <w:rsid w:val="00F84F1C"/>
    <w:rsid w:val="00F8541A"/>
    <w:rsid w:val="00F86360"/>
    <w:rsid w:val="00F91891"/>
    <w:rsid w:val="00F91ACE"/>
    <w:rsid w:val="00F92432"/>
    <w:rsid w:val="00F9625D"/>
    <w:rsid w:val="00FA1332"/>
    <w:rsid w:val="00FA6561"/>
    <w:rsid w:val="00FA6EEF"/>
    <w:rsid w:val="00FA72EA"/>
    <w:rsid w:val="00FB2A65"/>
    <w:rsid w:val="00FB4048"/>
    <w:rsid w:val="00FB651B"/>
    <w:rsid w:val="00FC04ED"/>
    <w:rsid w:val="00FC082E"/>
    <w:rsid w:val="00FC28B8"/>
    <w:rsid w:val="00FC2BF2"/>
    <w:rsid w:val="00FC766A"/>
    <w:rsid w:val="00FD0FEE"/>
    <w:rsid w:val="00FD1501"/>
    <w:rsid w:val="00FD1893"/>
    <w:rsid w:val="00FD26D0"/>
    <w:rsid w:val="00FD37DF"/>
    <w:rsid w:val="00FD4702"/>
    <w:rsid w:val="00FD4959"/>
    <w:rsid w:val="00FD5B50"/>
    <w:rsid w:val="00FD6297"/>
    <w:rsid w:val="00FD6419"/>
    <w:rsid w:val="00FD77CF"/>
    <w:rsid w:val="00FE16FE"/>
    <w:rsid w:val="00FE54E4"/>
    <w:rsid w:val="00FE7AD7"/>
    <w:rsid w:val="00FF0373"/>
    <w:rsid w:val="00FF53B5"/>
    <w:rsid w:val="00FF56EB"/>
    <w:rsid w:val="00FF5A22"/>
    <w:rsid w:val="00FF6C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1049F"/>
  <w15:chartTrackingRefBased/>
  <w15:docId w15:val="{54406C50-18D0-4A26-86ED-2F34FE85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419"/>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F17FD3"/>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7FD3"/>
    <w:rPr>
      <w:rFonts w:ascii="Arial" w:eastAsia="Times New Roman" w:hAnsi="Arial" w:cs="Arial"/>
      <w:i/>
      <w:iCs/>
      <w:sz w:val="28"/>
      <w:szCs w:val="24"/>
      <w:lang w:val="en-GB"/>
    </w:rPr>
  </w:style>
  <w:style w:type="paragraph" w:styleId="Header">
    <w:name w:val="header"/>
    <w:basedOn w:val="Normal"/>
    <w:link w:val="HeaderChar"/>
    <w:uiPriority w:val="99"/>
    <w:unhideWhenUsed/>
    <w:rsid w:val="005023EF"/>
    <w:pPr>
      <w:tabs>
        <w:tab w:val="center" w:pos="4513"/>
        <w:tab w:val="right" w:pos="9026"/>
      </w:tabs>
    </w:pPr>
  </w:style>
  <w:style w:type="character" w:customStyle="1" w:styleId="HeaderChar">
    <w:name w:val="Header Char"/>
    <w:basedOn w:val="DefaultParagraphFont"/>
    <w:link w:val="Header"/>
    <w:uiPriority w:val="99"/>
    <w:rsid w:val="005023E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023EF"/>
    <w:pPr>
      <w:tabs>
        <w:tab w:val="center" w:pos="4513"/>
        <w:tab w:val="right" w:pos="9026"/>
      </w:tabs>
    </w:pPr>
  </w:style>
  <w:style w:type="character" w:customStyle="1" w:styleId="FooterChar">
    <w:name w:val="Footer Char"/>
    <w:basedOn w:val="DefaultParagraphFont"/>
    <w:link w:val="Footer"/>
    <w:uiPriority w:val="99"/>
    <w:rsid w:val="005023EF"/>
    <w:rPr>
      <w:rFonts w:ascii="Times New Roman" w:eastAsia="Times New Roman" w:hAnsi="Times New Roman" w:cs="Times New Roman"/>
      <w:sz w:val="24"/>
      <w:szCs w:val="24"/>
      <w:lang w:val="en-GB"/>
    </w:rPr>
  </w:style>
  <w:style w:type="paragraph" w:styleId="ListBullet">
    <w:name w:val="List Bullet"/>
    <w:basedOn w:val="Normal"/>
    <w:uiPriority w:val="99"/>
    <w:unhideWhenUsed/>
    <w:rsid w:val="005023EF"/>
    <w:pPr>
      <w:numPr>
        <w:numId w:val="1"/>
      </w:numPr>
      <w:spacing w:after="160" w:line="259" w:lineRule="auto"/>
      <w:contextualSpacing/>
    </w:pPr>
    <w:rPr>
      <w:rFonts w:asciiTheme="minorHAnsi" w:eastAsiaTheme="minorHAnsi" w:hAnsiTheme="minorHAnsi" w:cstheme="minorBidi"/>
      <w:sz w:val="22"/>
      <w:szCs w:val="22"/>
      <w:lang w:val="en-ZA"/>
    </w:rPr>
  </w:style>
  <w:style w:type="paragraph" w:styleId="FootnoteText">
    <w:name w:val="footnote text"/>
    <w:basedOn w:val="Normal"/>
    <w:link w:val="FootnoteTextChar"/>
    <w:uiPriority w:val="99"/>
    <w:rsid w:val="000E3AE8"/>
    <w:rPr>
      <w:sz w:val="20"/>
      <w:szCs w:val="20"/>
    </w:rPr>
  </w:style>
  <w:style w:type="character" w:customStyle="1" w:styleId="FootnoteTextChar">
    <w:name w:val="Footnote Text Char"/>
    <w:basedOn w:val="DefaultParagraphFont"/>
    <w:link w:val="FootnoteText"/>
    <w:uiPriority w:val="99"/>
    <w:rsid w:val="000E3AE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E3AE8"/>
    <w:rPr>
      <w:vertAlign w:val="superscript"/>
    </w:rPr>
  </w:style>
  <w:style w:type="paragraph" w:styleId="BalloonText">
    <w:name w:val="Balloon Text"/>
    <w:basedOn w:val="Normal"/>
    <w:link w:val="BalloonTextChar"/>
    <w:uiPriority w:val="99"/>
    <w:semiHidden/>
    <w:unhideWhenUsed/>
    <w:rsid w:val="00C84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DE"/>
    <w:rPr>
      <w:rFonts w:ascii="Segoe UI" w:eastAsia="Times New Roman" w:hAnsi="Segoe UI" w:cs="Segoe UI"/>
      <w:sz w:val="18"/>
      <w:szCs w:val="18"/>
      <w:lang w:val="en-GB"/>
    </w:rPr>
  </w:style>
  <w:style w:type="paragraph" w:styleId="ListParagraph">
    <w:name w:val="List Paragraph"/>
    <w:basedOn w:val="Normal"/>
    <w:uiPriority w:val="34"/>
    <w:qFormat/>
    <w:rsid w:val="00D54FBE"/>
    <w:pPr>
      <w:ind w:left="720"/>
      <w:contextualSpacing/>
    </w:pPr>
  </w:style>
  <w:style w:type="paragraph" w:customStyle="1" w:styleId="lg-a-1">
    <w:name w:val="lg-a-1"/>
    <w:basedOn w:val="Normal"/>
    <w:rsid w:val="00F91ACE"/>
    <w:pPr>
      <w:spacing w:before="100" w:beforeAutospacing="1" w:after="100" w:afterAutospacing="1"/>
    </w:pPr>
    <w:rPr>
      <w:lang w:val="en-ZA" w:eastAsia="en-GB"/>
    </w:rPr>
  </w:style>
  <w:style w:type="character" w:styleId="Hyperlink">
    <w:name w:val="Hyperlink"/>
    <w:basedOn w:val="DefaultParagraphFont"/>
    <w:uiPriority w:val="99"/>
    <w:semiHidden/>
    <w:unhideWhenUsed/>
    <w:rsid w:val="00F91ACE"/>
    <w:rPr>
      <w:color w:val="0000FF"/>
      <w:u w:val="single"/>
    </w:rPr>
  </w:style>
  <w:style w:type="paragraph" w:customStyle="1" w:styleId="lg-i-a-1">
    <w:name w:val="lg-i-a-1"/>
    <w:basedOn w:val="Normal"/>
    <w:rsid w:val="00F91ACE"/>
    <w:pPr>
      <w:spacing w:before="100" w:beforeAutospacing="1" w:after="100" w:afterAutospacing="1"/>
    </w:pPr>
    <w:rPr>
      <w:lang w:val="en-ZA" w:eastAsia="en-GB"/>
    </w:rPr>
  </w:style>
  <w:style w:type="character" w:styleId="CommentReference">
    <w:name w:val="annotation reference"/>
    <w:basedOn w:val="DefaultParagraphFont"/>
    <w:uiPriority w:val="99"/>
    <w:semiHidden/>
    <w:unhideWhenUsed/>
    <w:rsid w:val="00846328"/>
    <w:rPr>
      <w:sz w:val="16"/>
      <w:szCs w:val="16"/>
    </w:rPr>
  </w:style>
  <w:style w:type="paragraph" w:styleId="CommentText">
    <w:name w:val="annotation text"/>
    <w:basedOn w:val="Normal"/>
    <w:link w:val="CommentTextChar"/>
    <w:uiPriority w:val="99"/>
    <w:unhideWhenUsed/>
    <w:rsid w:val="00846328"/>
    <w:rPr>
      <w:sz w:val="20"/>
      <w:szCs w:val="20"/>
    </w:rPr>
  </w:style>
  <w:style w:type="character" w:customStyle="1" w:styleId="CommentTextChar">
    <w:name w:val="Comment Text Char"/>
    <w:basedOn w:val="DefaultParagraphFont"/>
    <w:link w:val="CommentText"/>
    <w:uiPriority w:val="99"/>
    <w:rsid w:val="0084632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46328"/>
    <w:rPr>
      <w:b/>
      <w:bCs/>
    </w:rPr>
  </w:style>
  <w:style w:type="character" w:customStyle="1" w:styleId="CommentSubjectChar">
    <w:name w:val="Comment Subject Char"/>
    <w:basedOn w:val="CommentTextChar"/>
    <w:link w:val="CommentSubject"/>
    <w:uiPriority w:val="99"/>
    <w:semiHidden/>
    <w:rsid w:val="00846328"/>
    <w:rPr>
      <w:rFonts w:ascii="Times New Roman" w:eastAsia="Times New Roman" w:hAnsi="Times New Roman" w:cs="Times New Roman"/>
      <w:b/>
      <w:bCs/>
      <w:sz w:val="20"/>
      <w:szCs w:val="20"/>
      <w:lang w:val="en-GB"/>
    </w:rPr>
  </w:style>
  <w:style w:type="paragraph" w:styleId="Revision">
    <w:name w:val="Revision"/>
    <w:hidden/>
    <w:uiPriority w:val="99"/>
    <w:semiHidden/>
    <w:rsid w:val="006D25CD"/>
    <w:pPr>
      <w:spacing w:after="0" w:line="240" w:lineRule="auto"/>
    </w:pPr>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EB7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74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AF06C-CD9B-4757-9363-6BF0F3171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5244</Words>
  <Characters>29891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Botha</dc:creator>
  <cp:keywords/>
  <dc:description/>
  <cp:lastModifiedBy>Mary Bruce</cp:lastModifiedBy>
  <cp:revision>3</cp:revision>
  <cp:lastPrinted>2023-01-23T13:21:00Z</cp:lastPrinted>
  <dcterms:created xsi:type="dcterms:W3CDTF">2023-01-23T13:31:00Z</dcterms:created>
  <dcterms:modified xsi:type="dcterms:W3CDTF">2023-01-23T13:46:00Z</dcterms:modified>
</cp:coreProperties>
</file>