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6341" w14:textId="77777777" w:rsidR="00D139A3" w:rsidRPr="00970D60" w:rsidRDefault="00D139A3" w:rsidP="00D139A3">
      <w:pPr>
        <w:autoSpaceDE w:val="0"/>
        <w:autoSpaceDN w:val="0"/>
        <w:adjustRightInd w:val="0"/>
        <w:spacing w:after="0" w:line="360" w:lineRule="auto"/>
        <w:rPr>
          <w:rFonts w:eastAsia="Times New Roman" w:cs="Times New Roman"/>
          <w:sz w:val="28"/>
          <w:szCs w:val="28"/>
          <w:lang w:val="en-US"/>
        </w:rPr>
      </w:pPr>
      <w:bookmarkStart w:id="0" w:name="_GoBack"/>
      <w:bookmarkEnd w:id="0"/>
      <w:r w:rsidRPr="00970D60">
        <w:rPr>
          <w:noProof/>
          <w:lang w:eastAsia="en-ZA"/>
        </w:rPr>
        <w:drawing>
          <wp:anchor distT="0" distB="0" distL="114300" distR="114300" simplePos="0" relativeHeight="251659264" behindDoc="0" locked="0" layoutInCell="1" allowOverlap="1" wp14:anchorId="5C6618DF" wp14:editId="53D51A12">
            <wp:simplePos x="0" y="0"/>
            <wp:positionH relativeFrom="column">
              <wp:posOffset>2590800</wp:posOffset>
            </wp:positionH>
            <wp:positionV relativeFrom="paragraph">
              <wp:posOffset>-342900</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D54A0BC" w14:textId="77777777" w:rsidR="00D139A3" w:rsidRPr="00970D60" w:rsidRDefault="00D139A3" w:rsidP="00362FBC">
      <w:pPr>
        <w:spacing w:after="0" w:line="360" w:lineRule="auto"/>
        <w:jc w:val="both"/>
        <w:rPr>
          <w:rFonts w:eastAsia="Times New Roman" w:cs="Times New Roman"/>
          <w:sz w:val="28"/>
          <w:szCs w:val="28"/>
          <w:lang w:val="en-US"/>
        </w:rPr>
      </w:pPr>
    </w:p>
    <w:p w14:paraId="72A72A41" w14:textId="77777777" w:rsidR="00D139A3" w:rsidRPr="00970D60" w:rsidRDefault="00D139A3" w:rsidP="00362FBC">
      <w:pPr>
        <w:spacing w:after="0" w:line="360" w:lineRule="auto"/>
        <w:jc w:val="both"/>
        <w:rPr>
          <w:rFonts w:eastAsia="Times New Roman" w:cs="Times New Roman"/>
          <w:sz w:val="28"/>
          <w:szCs w:val="28"/>
          <w:lang w:val="en-US"/>
        </w:rPr>
      </w:pPr>
    </w:p>
    <w:p w14:paraId="1677156B" w14:textId="77777777" w:rsidR="00D139A3" w:rsidRPr="00970D60" w:rsidRDefault="00D139A3" w:rsidP="00362FBC">
      <w:pPr>
        <w:autoSpaceDE w:val="0"/>
        <w:autoSpaceDN w:val="0"/>
        <w:adjustRightInd w:val="0"/>
        <w:spacing w:after="0" w:line="360" w:lineRule="auto"/>
        <w:jc w:val="center"/>
        <w:rPr>
          <w:rFonts w:eastAsia="Times New Roman" w:cs="Times New Roman"/>
          <w:b/>
          <w:bCs/>
          <w:sz w:val="28"/>
          <w:szCs w:val="28"/>
          <w:lang w:val="en-US"/>
        </w:rPr>
      </w:pPr>
      <w:r w:rsidRPr="00970D60">
        <w:rPr>
          <w:rFonts w:eastAsia="Times New Roman" w:cs="Times New Roman"/>
          <w:b/>
          <w:bCs/>
          <w:sz w:val="28"/>
          <w:szCs w:val="28"/>
          <w:lang w:val="en-US"/>
        </w:rPr>
        <w:t xml:space="preserve">     THE SUPREME COURT OF APPEAL OF SOUTH AFRICA</w:t>
      </w:r>
    </w:p>
    <w:p w14:paraId="717D6D4E" w14:textId="77777777" w:rsidR="00D139A3" w:rsidRPr="00970D60" w:rsidRDefault="00D139A3" w:rsidP="00362FBC">
      <w:pPr>
        <w:spacing w:after="0" w:line="360" w:lineRule="auto"/>
        <w:jc w:val="center"/>
        <w:rPr>
          <w:rFonts w:eastAsia="Times New Roman" w:cs="Times New Roman"/>
          <w:b/>
          <w:bCs/>
          <w:sz w:val="28"/>
          <w:szCs w:val="28"/>
          <w:lang w:val="en-GB" w:eastAsia="en-GB"/>
        </w:rPr>
      </w:pPr>
      <w:r w:rsidRPr="00970D60">
        <w:rPr>
          <w:rFonts w:eastAsia="Times New Roman" w:cs="Times New Roman"/>
          <w:b/>
          <w:bCs/>
          <w:sz w:val="28"/>
          <w:szCs w:val="28"/>
          <w:lang w:val="en-GB" w:eastAsia="en-GB"/>
        </w:rPr>
        <w:t>JUDGMENT</w:t>
      </w:r>
    </w:p>
    <w:p w14:paraId="73D73574" w14:textId="3BC43087" w:rsidR="00D139A3" w:rsidRPr="00970D60" w:rsidRDefault="00D139A3" w:rsidP="008A3CF4">
      <w:pPr>
        <w:spacing w:after="0" w:line="360" w:lineRule="auto"/>
        <w:jc w:val="right"/>
        <w:rPr>
          <w:rFonts w:eastAsia="Times New Roman" w:cs="Times New Roman"/>
          <w:b/>
          <w:bCs/>
          <w:sz w:val="28"/>
          <w:szCs w:val="28"/>
        </w:rPr>
      </w:pPr>
      <w:r w:rsidRPr="00970D60">
        <w:rPr>
          <w:rFonts w:eastAsia="Times New Roman" w:cs="Times New Roman"/>
          <w:b/>
          <w:sz w:val="28"/>
          <w:szCs w:val="28"/>
          <w:lang w:eastAsia="en-GB"/>
        </w:rPr>
        <w:t xml:space="preserve"> </w:t>
      </w:r>
      <w:r w:rsidR="00545DAE">
        <w:rPr>
          <w:rFonts w:eastAsia="Times New Roman" w:cs="Times New Roman"/>
          <w:b/>
          <w:sz w:val="28"/>
          <w:szCs w:val="28"/>
          <w:lang w:eastAsia="en-GB"/>
        </w:rPr>
        <w:t xml:space="preserve">Reportable </w:t>
      </w:r>
    </w:p>
    <w:p w14:paraId="222AA78B" w14:textId="40FAC8DB" w:rsidR="00D139A3" w:rsidRPr="00970D60" w:rsidRDefault="00366509" w:rsidP="00362FBC">
      <w:pPr>
        <w:spacing w:after="0" w:line="360" w:lineRule="auto"/>
        <w:jc w:val="right"/>
        <w:rPr>
          <w:rFonts w:eastAsia="Times New Roman" w:cs="Times New Roman"/>
          <w:sz w:val="28"/>
          <w:szCs w:val="28"/>
          <w:lang w:eastAsia="en-GB"/>
        </w:rPr>
      </w:pPr>
      <w:r w:rsidRPr="00970D60">
        <w:rPr>
          <w:rFonts w:eastAsia="Times New Roman" w:cs="Times New Roman"/>
          <w:sz w:val="28"/>
          <w:szCs w:val="28"/>
          <w:lang w:val="en-GB" w:eastAsia="en-GB"/>
        </w:rPr>
        <w:t xml:space="preserve">Case No: </w:t>
      </w:r>
      <w:r w:rsidR="00A106B7">
        <w:rPr>
          <w:rFonts w:eastAsia="Times New Roman" w:cs="Times New Roman"/>
          <w:sz w:val="28"/>
          <w:szCs w:val="28"/>
          <w:lang w:val="en-GB" w:eastAsia="en-GB"/>
        </w:rPr>
        <w:t>017</w:t>
      </w:r>
      <w:r w:rsidR="00545DAE">
        <w:rPr>
          <w:rFonts w:eastAsia="Times New Roman" w:cs="Times New Roman"/>
          <w:sz w:val="28"/>
          <w:szCs w:val="28"/>
          <w:lang w:val="en-GB" w:eastAsia="en-GB"/>
        </w:rPr>
        <w:t>/2022</w:t>
      </w:r>
    </w:p>
    <w:p w14:paraId="59F8CEB7" w14:textId="77777777" w:rsidR="00D139A3" w:rsidRPr="00970D60" w:rsidRDefault="00D139A3" w:rsidP="00362FBC">
      <w:pPr>
        <w:spacing w:after="0" w:line="360" w:lineRule="auto"/>
        <w:jc w:val="both"/>
        <w:rPr>
          <w:rFonts w:eastAsia="Times New Roman" w:cs="Times New Roman"/>
          <w:sz w:val="28"/>
          <w:szCs w:val="28"/>
          <w:lang w:val="en-GB" w:eastAsia="en-GB"/>
        </w:rPr>
      </w:pPr>
      <w:r w:rsidRPr="00970D60">
        <w:rPr>
          <w:rFonts w:eastAsia="Times New Roman" w:cs="Times New Roman"/>
          <w:sz w:val="28"/>
          <w:szCs w:val="28"/>
          <w:lang w:val="en-GB" w:eastAsia="en-GB"/>
        </w:rPr>
        <w:t>In the matter between:</w:t>
      </w:r>
    </w:p>
    <w:p w14:paraId="7A577E68" w14:textId="2818A8B8" w:rsidR="00D139A3" w:rsidRDefault="00795479" w:rsidP="00B04DAE">
      <w:pPr>
        <w:tabs>
          <w:tab w:val="right" w:pos="9480"/>
        </w:tabs>
        <w:spacing w:before="240" w:line="240" w:lineRule="auto"/>
        <w:jc w:val="both"/>
        <w:rPr>
          <w:rFonts w:eastAsia="Times New Roman" w:cs="Times New Roman"/>
          <w:b/>
          <w:sz w:val="28"/>
          <w:szCs w:val="28"/>
          <w:lang w:val="en-GB" w:eastAsia="en-GB"/>
        </w:rPr>
      </w:pPr>
      <w:r>
        <w:rPr>
          <w:rFonts w:eastAsia="Times New Roman" w:cs="Times New Roman"/>
          <w:b/>
          <w:sz w:val="28"/>
          <w:szCs w:val="28"/>
          <w:lang w:eastAsia="en-GB"/>
        </w:rPr>
        <w:t>N</w:t>
      </w:r>
      <w:r w:rsidR="00B04DAE">
        <w:rPr>
          <w:rFonts w:eastAsia="Times New Roman" w:cs="Times New Roman"/>
          <w:b/>
          <w:sz w:val="28"/>
          <w:szCs w:val="28"/>
          <w:lang w:eastAsia="en-GB"/>
        </w:rPr>
        <w:t>SS obo AS</w:t>
      </w:r>
      <w:r w:rsidR="00B04DAE">
        <w:rPr>
          <w:rFonts w:eastAsia="Times New Roman" w:cs="Times New Roman"/>
          <w:b/>
          <w:sz w:val="28"/>
          <w:szCs w:val="28"/>
          <w:lang w:eastAsia="en-GB"/>
        </w:rPr>
        <w:tab/>
        <w:t xml:space="preserve">APPELLANT </w:t>
      </w:r>
    </w:p>
    <w:p w14:paraId="7A5D2F57" w14:textId="77777777" w:rsidR="00D139A3" w:rsidRPr="00970D60" w:rsidRDefault="004B7CE4" w:rsidP="001D5144">
      <w:pPr>
        <w:tabs>
          <w:tab w:val="right" w:pos="9480"/>
        </w:tabs>
        <w:spacing w:before="240" w:line="360" w:lineRule="auto"/>
        <w:jc w:val="both"/>
        <w:rPr>
          <w:rFonts w:eastAsia="Times New Roman" w:cs="Times New Roman"/>
          <w:bCs/>
          <w:sz w:val="28"/>
          <w:szCs w:val="28"/>
          <w:lang w:val="en-GB" w:eastAsia="en-GB"/>
        </w:rPr>
      </w:pPr>
      <w:r w:rsidRPr="00970D60">
        <w:rPr>
          <w:rFonts w:eastAsia="Times New Roman" w:cs="Times New Roman"/>
          <w:bCs/>
          <w:sz w:val="28"/>
          <w:szCs w:val="28"/>
          <w:lang w:val="en-GB" w:eastAsia="en-GB"/>
        </w:rPr>
        <w:t>a</w:t>
      </w:r>
      <w:r w:rsidR="00D139A3" w:rsidRPr="00970D60">
        <w:rPr>
          <w:rFonts w:eastAsia="Times New Roman" w:cs="Times New Roman"/>
          <w:bCs/>
          <w:sz w:val="28"/>
          <w:szCs w:val="28"/>
          <w:lang w:val="en-GB" w:eastAsia="en-GB"/>
        </w:rPr>
        <w:t>nd</w:t>
      </w:r>
    </w:p>
    <w:p w14:paraId="56B27BDD" w14:textId="4D083AC9" w:rsidR="00795479" w:rsidRDefault="00795479" w:rsidP="00314FD4">
      <w:pPr>
        <w:tabs>
          <w:tab w:val="left" w:pos="720"/>
          <w:tab w:val="right" w:pos="9498"/>
        </w:tabs>
        <w:spacing w:after="0" w:line="360" w:lineRule="auto"/>
        <w:jc w:val="both"/>
        <w:rPr>
          <w:rFonts w:eastAsia="Times New Roman" w:cs="Times New Roman"/>
          <w:b/>
          <w:sz w:val="28"/>
          <w:szCs w:val="28"/>
          <w:lang w:val="en-GB" w:eastAsia="en-GB"/>
        </w:rPr>
      </w:pPr>
      <w:r>
        <w:rPr>
          <w:rFonts w:eastAsia="Times New Roman" w:cs="Times New Roman"/>
          <w:b/>
          <w:sz w:val="28"/>
          <w:szCs w:val="28"/>
          <w:lang w:val="en-GB" w:eastAsia="en-GB"/>
        </w:rPr>
        <w:t>MEC FOR HEALTH, EASTERN</w:t>
      </w:r>
      <w:r w:rsidR="001D5144">
        <w:rPr>
          <w:rFonts w:eastAsia="Times New Roman" w:cs="Times New Roman"/>
          <w:b/>
          <w:sz w:val="28"/>
          <w:szCs w:val="28"/>
          <w:lang w:val="en-GB" w:eastAsia="en-GB"/>
        </w:rPr>
        <w:t xml:space="preserve"> CAPE PROVINCE           RESPONDENT</w:t>
      </w:r>
    </w:p>
    <w:p w14:paraId="7B27CDFC" w14:textId="77777777" w:rsidR="00336A58" w:rsidRDefault="00336A58" w:rsidP="008A3CF4">
      <w:pPr>
        <w:spacing w:after="0" w:line="240" w:lineRule="auto"/>
        <w:ind w:left="2160" w:hanging="2160"/>
        <w:jc w:val="both"/>
        <w:rPr>
          <w:rFonts w:eastAsia="Times New Roman" w:cs="Times New Roman"/>
          <w:b/>
          <w:bCs/>
          <w:sz w:val="28"/>
          <w:szCs w:val="28"/>
          <w:lang w:val="en-GB" w:eastAsia="en-GB"/>
        </w:rPr>
      </w:pPr>
    </w:p>
    <w:p w14:paraId="411646A4" w14:textId="727842E0"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Neutral citation:</w:t>
      </w:r>
      <w:r w:rsidRPr="00970D60">
        <w:rPr>
          <w:rFonts w:eastAsia="Times New Roman" w:cs="Times New Roman"/>
          <w:b/>
          <w:bCs/>
          <w:sz w:val="28"/>
          <w:szCs w:val="28"/>
          <w:lang w:val="en-GB" w:eastAsia="en-GB"/>
        </w:rPr>
        <w:tab/>
      </w:r>
      <w:r w:rsidR="00795479">
        <w:rPr>
          <w:rFonts w:eastAsia="Times New Roman" w:cs="Times New Roman"/>
          <w:i/>
          <w:iCs/>
          <w:sz w:val="28"/>
          <w:szCs w:val="28"/>
          <w:lang w:eastAsia="en-GB"/>
        </w:rPr>
        <w:t>N</w:t>
      </w:r>
      <w:r w:rsidR="00B04DAE">
        <w:rPr>
          <w:rFonts w:eastAsia="Times New Roman" w:cs="Times New Roman"/>
          <w:i/>
          <w:iCs/>
          <w:sz w:val="28"/>
          <w:szCs w:val="28"/>
          <w:lang w:eastAsia="en-GB"/>
        </w:rPr>
        <w:t>SS obo AS</w:t>
      </w:r>
      <w:r w:rsidR="00795479">
        <w:rPr>
          <w:rFonts w:eastAsia="Times New Roman" w:cs="Times New Roman"/>
          <w:i/>
          <w:iCs/>
          <w:sz w:val="28"/>
          <w:szCs w:val="28"/>
          <w:lang w:eastAsia="en-GB"/>
        </w:rPr>
        <w:t xml:space="preserve"> v MEC for Health, </w:t>
      </w:r>
      <w:r w:rsidR="002A3B30">
        <w:rPr>
          <w:rFonts w:eastAsia="Times New Roman" w:cs="Times New Roman"/>
          <w:i/>
          <w:iCs/>
          <w:sz w:val="28"/>
          <w:szCs w:val="28"/>
          <w:lang w:eastAsia="en-GB"/>
        </w:rPr>
        <w:t>Eastern</w:t>
      </w:r>
      <w:r w:rsidR="00795479">
        <w:rPr>
          <w:rFonts w:eastAsia="Times New Roman" w:cs="Times New Roman"/>
          <w:i/>
          <w:iCs/>
          <w:sz w:val="28"/>
          <w:szCs w:val="28"/>
          <w:lang w:eastAsia="en-GB"/>
        </w:rPr>
        <w:t xml:space="preserve"> Cape Province</w:t>
      </w:r>
      <w:r w:rsidR="00712E70">
        <w:rPr>
          <w:rFonts w:eastAsia="Times New Roman" w:cs="Times New Roman"/>
          <w:bCs/>
          <w:i/>
          <w:sz w:val="28"/>
          <w:szCs w:val="28"/>
          <w:lang w:val="en-GB" w:eastAsia="en-GB"/>
        </w:rPr>
        <w:t xml:space="preserve"> </w:t>
      </w:r>
      <w:r w:rsidR="00836A9E" w:rsidRPr="00970D60">
        <w:rPr>
          <w:rFonts w:eastAsia="Times New Roman" w:cs="Times New Roman"/>
          <w:bCs/>
          <w:sz w:val="28"/>
          <w:szCs w:val="28"/>
          <w:lang w:val="en-GB" w:eastAsia="en-GB"/>
        </w:rPr>
        <w:t>(</w:t>
      </w:r>
      <w:r w:rsidR="007255E4">
        <w:rPr>
          <w:rFonts w:eastAsia="Times New Roman" w:cs="Times New Roman"/>
          <w:bCs/>
          <w:sz w:val="28"/>
          <w:szCs w:val="28"/>
          <w:lang w:val="en-GB" w:eastAsia="en-GB"/>
        </w:rPr>
        <w:t>C</w:t>
      </w:r>
      <w:r w:rsidR="00836A9E" w:rsidRPr="00970D60">
        <w:rPr>
          <w:rFonts w:eastAsia="Times New Roman" w:cs="Times New Roman"/>
          <w:bCs/>
          <w:sz w:val="28"/>
          <w:szCs w:val="28"/>
          <w:lang w:val="en-GB" w:eastAsia="en-GB"/>
        </w:rPr>
        <w:t>ase</w:t>
      </w:r>
      <w:r w:rsidR="007F1C89">
        <w:rPr>
          <w:rFonts w:eastAsia="Times New Roman" w:cs="Times New Roman"/>
          <w:bCs/>
          <w:sz w:val="28"/>
          <w:szCs w:val="28"/>
          <w:lang w:val="en-GB" w:eastAsia="en-GB"/>
        </w:rPr>
        <w:t> </w:t>
      </w:r>
      <w:r w:rsidR="00836A9E" w:rsidRPr="00970D60">
        <w:rPr>
          <w:rFonts w:eastAsia="Times New Roman" w:cs="Times New Roman"/>
          <w:bCs/>
          <w:sz w:val="28"/>
          <w:szCs w:val="28"/>
          <w:lang w:val="en-GB" w:eastAsia="en-GB"/>
        </w:rPr>
        <w:t xml:space="preserve">no </w:t>
      </w:r>
      <w:r w:rsidR="00795479">
        <w:rPr>
          <w:rFonts w:eastAsia="Times New Roman" w:cs="Times New Roman"/>
          <w:bCs/>
          <w:sz w:val="28"/>
          <w:szCs w:val="28"/>
          <w:lang w:val="en-GB" w:eastAsia="en-GB"/>
        </w:rPr>
        <w:t>017</w:t>
      </w:r>
      <w:r w:rsidR="00712E70">
        <w:rPr>
          <w:rFonts w:eastAsia="Times New Roman" w:cs="Times New Roman"/>
          <w:bCs/>
          <w:sz w:val="28"/>
          <w:szCs w:val="28"/>
          <w:lang w:val="en-GB" w:eastAsia="en-GB"/>
        </w:rPr>
        <w:t>/2</w:t>
      </w:r>
      <w:r w:rsidR="007340B3">
        <w:rPr>
          <w:rFonts w:eastAsia="Times New Roman" w:cs="Times New Roman"/>
          <w:bCs/>
          <w:sz w:val="28"/>
          <w:szCs w:val="28"/>
          <w:lang w:val="en-GB" w:eastAsia="en-GB"/>
        </w:rPr>
        <w:t>2</w:t>
      </w:r>
      <w:r w:rsidRPr="00970D60">
        <w:rPr>
          <w:rFonts w:eastAsia="Times New Roman" w:cs="Times New Roman"/>
          <w:bCs/>
          <w:sz w:val="28"/>
          <w:szCs w:val="28"/>
          <w:lang w:val="en-GB" w:eastAsia="en-GB"/>
        </w:rPr>
        <w:t>)</w:t>
      </w:r>
      <w:r w:rsidRPr="00970D60">
        <w:rPr>
          <w:rFonts w:eastAsia="Times New Roman" w:cs="Times New Roman"/>
          <w:bCs/>
          <w:i/>
          <w:sz w:val="28"/>
          <w:szCs w:val="28"/>
          <w:lang w:val="en-GB" w:eastAsia="en-GB"/>
        </w:rPr>
        <w:t xml:space="preserve"> </w:t>
      </w:r>
      <w:r w:rsidRPr="00970D60">
        <w:rPr>
          <w:rFonts w:eastAsia="Times New Roman" w:cs="Times New Roman"/>
          <w:bCs/>
          <w:sz w:val="28"/>
          <w:szCs w:val="28"/>
          <w:lang w:val="en-GB" w:eastAsia="en-GB"/>
        </w:rPr>
        <w:t>[202</w:t>
      </w:r>
      <w:r w:rsidR="00432849">
        <w:rPr>
          <w:rFonts w:eastAsia="Times New Roman" w:cs="Times New Roman"/>
          <w:bCs/>
          <w:sz w:val="28"/>
          <w:szCs w:val="28"/>
          <w:lang w:val="en-GB" w:eastAsia="en-GB"/>
        </w:rPr>
        <w:t>3</w:t>
      </w:r>
      <w:r w:rsidRPr="00970D60">
        <w:rPr>
          <w:rFonts w:eastAsia="Times New Roman" w:cs="Times New Roman"/>
          <w:bCs/>
          <w:sz w:val="28"/>
          <w:szCs w:val="28"/>
          <w:lang w:val="en-GB" w:eastAsia="en-GB"/>
        </w:rPr>
        <w:t>] ZASCA</w:t>
      </w:r>
      <w:r w:rsidRPr="00970D60">
        <w:rPr>
          <w:rFonts w:eastAsia="Times New Roman" w:cs="Times New Roman"/>
          <w:bCs/>
          <w:i/>
          <w:sz w:val="28"/>
          <w:szCs w:val="28"/>
          <w:lang w:val="en-GB" w:eastAsia="en-GB"/>
        </w:rPr>
        <w:t xml:space="preserve"> </w:t>
      </w:r>
      <w:r w:rsidR="008851F1">
        <w:rPr>
          <w:rFonts w:eastAsia="Times New Roman" w:cs="Times New Roman"/>
          <w:bCs/>
          <w:sz w:val="28"/>
          <w:szCs w:val="28"/>
          <w:lang w:eastAsia="en-GB"/>
        </w:rPr>
        <w:t>41</w:t>
      </w:r>
      <w:r w:rsidRPr="00970D60">
        <w:rPr>
          <w:rFonts w:eastAsia="Times New Roman" w:cs="Times New Roman"/>
          <w:bCs/>
          <w:sz w:val="28"/>
          <w:szCs w:val="28"/>
          <w:lang w:val="en-GB" w:eastAsia="en-GB"/>
        </w:rPr>
        <w:t xml:space="preserve"> (</w:t>
      </w:r>
      <w:r w:rsidR="009005C6">
        <w:rPr>
          <w:rFonts w:eastAsia="Times New Roman" w:cs="Times New Roman"/>
          <w:bCs/>
          <w:sz w:val="28"/>
          <w:szCs w:val="28"/>
          <w:lang w:eastAsia="en-GB"/>
        </w:rPr>
        <w:t>31 March</w:t>
      </w:r>
      <w:r w:rsidR="00432849">
        <w:rPr>
          <w:rFonts w:eastAsia="Times New Roman" w:cs="Times New Roman"/>
          <w:bCs/>
          <w:sz w:val="28"/>
          <w:szCs w:val="28"/>
          <w:lang w:eastAsia="en-GB"/>
        </w:rPr>
        <w:t xml:space="preserve"> 2023</w:t>
      </w:r>
      <w:r w:rsidRPr="00970D60">
        <w:rPr>
          <w:rFonts w:eastAsia="Times New Roman" w:cs="Times New Roman"/>
          <w:bCs/>
          <w:sz w:val="28"/>
          <w:szCs w:val="28"/>
          <w:lang w:val="en-GB" w:eastAsia="en-GB"/>
        </w:rPr>
        <w:t>)</w:t>
      </w:r>
      <w:r w:rsidRPr="00970D60">
        <w:rPr>
          <w:rFonts w:eastAsia="Times New Roman" w:cs="Times New Roman"/>
          <w:b/>
          <w:bCs/>
          <w:sz w:val="28"/>
          <w:szCs w:val="28"/>
          <w:u w:val="single"/>
          <w:lang w:val="en-GB" w:eastAsia="en-GB"/>
        </w:rPr>
        <w:t xml:space="preserve"> </w:t>
      </w:r>
    </w:p>
    <w:p w14:paraId="0EA0D26E" w14:textId="1CB04345" w:rsidR="00D139A3" w:rsidRPr="00970D60" w:rsidRDefault="00D139A3" w:rsidP="00362FBC">
      <w:pPr>
        <w:spacing w:after="0" w:line="360" w:lineRule="auto"/>
        <w:ind w:left="2160" w:hanging="2160"/>
        <w:jc w:val="both"/>
        <w:rPr>
          <w:rFonts w:eastAsia="Times New Roman" w:cs="Times New Roman"/>
          <w:b/>
          <w:bCs/>
          <w:sz w:val="28"/>
          <w:szCs w:val="28"/>
          <w:u w:val="single"/>
          <w:lang w:val="en-GB" w:eastAsia="en-GB"/>
        </w:rPr>
      </w:pPr>
      <w:r w:rsidRPr="00970D60">
        <w:rPr>
          <w:rFonts w:eastAsia="Times New Roman" w:cs="Times New Roman"/>
          <w:b/>
          <w:bCs/>
          <w:sz w:val="28"/>
          <w:szCs w:val="28"/>
          <w:lang w:val="en-GB" w:eastAsia="en-GB"/>
        </w:rPr>
        <w:t>Coram:</w:t>
      </w:r>
      <w:r w:rsidRPr="00970D60">
        <w:rPr>
          <w:rFonts w:eastAsia="Times New Roman" w:cs="Times New Roman"/>
          <w:b/>
          <w:bCs/>
          <w:sz w:val="28"/>
          <w:szCs w:val="28"/>
          <w:lang w:val="en-GB" w:eastAsia="en-GB"/>
        </w:rPr>
        <w:tab/>
      </w:r>
      <w:r w:rsidR="002A3B30">
        <w:rPr>
          <w:rFonts w:eastAsia="Times New Roman" w:cs="Times New Roman"/>
          <w:bCs/>
          <w:sz w:val="28"/>
          <w:szCs w:val="28"/>
          <w:lang w:val="en-GB" w:eastAsia="en-GB"/>
        </w:rPr>
        <w:t>VAN DER MERWE</w:t>
      </w:r>
      <w:r w:rsidR="00362FBC">
        <w:rPr>
          <w:rFonts w:eastAsia="Times New Roman" w:cs="Times New Roman"/>
          <w:bCs/>
          <w:sz w:val="28"/>
          <w:szCs w:val="28"/>
          <w:lang w:val="en-GB" w:eastAsia="en-GB"/>
        </w:rPr>
        <w:t xml:space="preserve">, </w:t>
      </w:r>
      <w:r w:rsidR="005D09F0" w:rsidRPr="00970D60">
        <w:rPr>
          <w:rFonts w:eastAsia="Times New Roman" w:cs="Times New Roman"/>
          <w:bCs/>
          <w:sz w:val="28"/>
          <w:szCs w:val="28"/>
          <w:lang w:val="en-GB" w:eastAsia="en-GB"/>
        </w:rPr>
        <w:t>SCHIPPERS</w:t>
      </w:r>
      <w:r w:rsidR="00657678">
        <w:rPr>
          <w:rFonts w:eastAsia="Times New Roman" w:cs="Times New Roman"/>
          <w:bCs/>
          <w:sz w:val="28"/>
          <w:szCs w:val="28"/>
          <w:lang w:val="en-GB" w:eastAsia="en-GB"/>
        </w:rPr>
        <w:t xml:space="preserve"> </w:t>
      </w:r>
      <w:r w:rsidR="002A3B30">
        <w:rPr>
          <w:rFonts w:eastAsia="Times New Roman" w:cs="Times New Roman"/>
          <w:bCs/>
          <w:sz w:val="28"/>
          <w:szCs w:val="28"/>
          <w:lang w:val="en-GB" w:eastAsia="en-GB"/>
        </w:rPr>
        <w:t>and</w:t>
      </w:r>
      <w:r w:rsidR="00657678">
        <w:rPr>
          <w:rFonts w:eastAsia="Times New Roman" w:cs="Times New Roman"/>
          <w:bCs/>
          <w:sz w:val="28"/>
          <w:szCs w:val="28"/>
          <w:lang w:val="en-GB" w:eastAsia="en-GB"/>
        </w:rPr>
        <w:t xml:space="preserve"> </w:t>
      </w:r>
      <w:r w:rsidR="002A3B30">
        <w:rPr>
          <w:rFonts w:eastAsia="Times New Roman" w:cs="Times New Roman"/>
          <w:bCs/>
          <w:sz w:val="28"/>
          <w:szCs w:val="28"/>
          <w:lang w:val="en-GB" w:eastAsia="en-GB"/>
        </w:rPr>
        <w:t>GORVEN</w:t>
      </w:r>
      <w:r w:rsidR="00362FBC">
        <w:rPr>
          <w:rFonts w:eastAsia="Times New Roman" w:cs="Times New Roman"/>
          <w:bCs/>
          <w:sz w:val="28"/>
          <w:szCs w:val="28"/>
          <w:lang w:val="en-GB" w:eastAsia="en-GB"/>
        </w:rPr>
        <w:t xml:space="preserve"> JJA</w:t>
      </w:r>
      <w:r w:rsidR="009C3B8A">
        <w:rPr>
          <w:rFonts w:eastAsia="Times New Roman" w:cs="Times New Roman"/>
          <w:bCs/>
          <w:sz w:val="28"/>
          <w:szCs w:val="28"/>
          <w:lang w:val="en-GB" w:eastAsia="en-GB"/>
        </w:rPr>
        <w:t>,</w:t>
      </w:r>
      <w:r w:rsidR="00362FBC">
        <w:rPr>
          <w:rFonts w:eastAsia="Times New Roman" w:cs="Times New Roman"/>
          <w:bCs/>
          <w:sz w:val="28"/>
          <w:szCs w:val="28"/>
          <w:lang w:val="en-GB" w:eastAsia="en-GB"/>
        </w:rPr>
        <w:t xml:space="preserve"> and</w:t>
      </w:r>
      <w:r w:rsidR="008C560B">
        <w:rPr>
          <w:rFonts w:eastAsia="Times New Roman" w:cs="Times New Roman"/>
          <w:bCs/>
          <w:sz w:val="28"/>
          <w:szCs w:val="28"/>
          <w:lang w:val="en-GB" w:eastAsia="en-GB"/>
        </w:rPr>
        <w:t xml:space="preserve"> </w:t>
      </w:r>
      <w:r w:rsidR="002A3B30">
        <w:rPr>
          <w:rFonts w:eastAsia="Times New Roman" w:cs="Times New Roman"/>
          <w:bCs/>
          <w:sz w:val="28"/>
          <w:szCs w:val="28"/>
          <w:lang w:val="en-GB" w:eastAsia="en-GB"/>
        </w:rPr>
        <w:t>OLSEN and MALI</w:t>
      </w:r>
      <w:r w:rsidR="00CC23E2">
        <w:rPr>
          <w:rFonts w:eastAsia="Times New Roman" w:cs="Times New Roman"/>
          <w:bCs/>
          <w:sz w:val="28"/>
          <w:szCs w:val="28"/>
          <w:lang w:val="en-GB" w:eastAsia="en-GB"/>
        </w:rPr>
        <w:t xml:space="preserve"> AJ</w:t>
      </w:r>
      <w:r w:rsidR="002A3B30">
        <w:rPr>
          <w:rFonts w:eastAsia="Times New Roman" w:cs="Times New Roman"/>
          <w:bCs/>
          <w:sz w:val="28"/>
          <w:szCs w:val="28"/>
          <w:lang w:val="en-GB" w:eastAsia="en-GB"/>
        </w:rPr>
        <w:t>J</w:t>
      </w:r>
      <w:r w:rsidR="00CC23E2">
        <w:rPr>
          <w:rFonts w:eastAsia="Times New Roman" w:cs="Times New Roman"/>
          <w:bCs/>
          <w:sz w:val="28"/>
          <w:szCs w:val="28"/>
          <w:lang w:val="en-GB" w:eastAsia="en-GB"/>
        </w:rPr>
        <w:t>A</w:t>
      </w:r>
      <w:r w:rsidR="00030D5D">
        <w:rPr>
          <w:rFonts w:eastAsia="Times New Roman" w:cs="Times New Roman"/>
          <w:bCs/>
          <w:sz w:val="28"/>
          <w:szCs w:val="28"/>
          <w:lang w:val="en-GB" w:eastAsia="en-GB"/>
        </w:rPr>
        <w:t xml:space="preserve"> </w:t>
      </w:r>
    </w:p>
    <w:p w14:paraId="4AB57910" w14:textId="2B9794E3" w:rsidR="00D139A3" w:rsidRPr="008C560B" w:rsidRDefault="009C279C" w:rsidP="00362FBC">
      <w:pPr>
        <w:spacing w:after="0" w:line="360" w:lineRule="auto"/>
        <w:jc w:val="both"/>
        <w:rPr>
          <w:rFonts w:eastAsia="Times New Roman" w:cs="Times New Roman"/>
          <w:bCs/>
          <w:sz w:val="28"/>
          <w:szCs w:val="28"/>
          <w:lang w:val="en-GB" w:eastAsia="en-GB"/>
        </w:rPr>
      </w:pPr>
      <w:r>
        <w:rPr>
          <w:rFonts w:eastAsia="Times New Roman" w:cs="Times New Roman"/>
          <w:b/>
          <w:bCs/>
          <w:sz w:val="28"/>
          <w:szCs w:val="28"/>
          <w:lang w:val="en-GB" w:eastAsia="en-GB"/>
        </w:rPr>
        <w:t>Heard:</w:t>
      </w:r>
      <w:r>
        <w:rPr>
          <w:rFonts w:eastAsia="Times New Roman" w:cs="Times New Roman"/>
          <w:b/>
          <w:bCs/>
          <w:sz w:val="28"/>
          <w:szCs w:val="28"/>
          <w:lang w:val="en-GB" w:eastAsia="en-GB"/>
        </w:rPr>
        <w:tab/>
      </w:r>
      <w:r>
        <w:rPr>
          <w:rFonts w:eastAsia="Times New Roman" w:cs="Times New Roman"/>
          <w:b/>
          <w:bCs/>
          <w:sz w:val="28"/>
          <w:szCs w:val="28"/>
          <w:lang w:val="en-GB" w:eastAsia="en-GB"/>
        </w:rPr>
        <w:tab/>
      </w:r>
      <w:r w:rsidR="002A3B30">
        <w:rPr>
          <w:rFonts w:eastAsia="Times New Roman" w:cs="Times New Roman"/>
          <w:bCs/>
          <w:sz w:val="28"/>
          <w:szCs w:val="28"/>
          <w:lang w:val="en-GB" w:eastAsia="en-GB"/>
        </w:rPr>
        <w:t>15</w:t>
      </w:r>
      <w:r w:rsidR="00432849">
        <w:rPr>
          <w:rFonts w:eastAsia="Times New Roman" w:cs="Times New Roman"/>
          <w:bCs/>
          <w:sz w:val="28"/>
          <w:szCs w:val="28"/>
          <w:lang w:val="en-GB" w:eastAsia="en-GB"/>
        </w:rPr>
        <w:t xml:space="preserve"> March 2023</w:t>
      </w:r>
    </w:p>
    <w:p w14:paraId="2EF23002" w14:textId="0D945AB7" w:rsidR="00D139A3" w:rsidRPr="00970D60" w:rsidRDefault="00D139A3" w:rsidP="00DD2C8C">
      <w:pPr>
        <w:spacing w:after="0" w:line="360" w:lineRule="auto"/>
        <w:jc w:val="both"/>
        <w:outlineLvl w:val="0"/>
        <w:rPr>
          <w:rFonts w:eastAsia="Times New Roman" w:cs="Times New Roman"/>
          <w:sz w:val="28"/>
          <w:szCs w:val="28"/>
          <w:lang w:val="en-US" w:eastAsia="en-ZA"/>
        </w:rPr>
      </w:pPr>
      <w:r w:rsidRPr="00970D60">
        <w:rPr>
          <w:rFonts w:eastAsia="Times New Roman" w:cs="Times New Roman"/>
          <w:b/>
          <w:bCs/>
          <w:sz w:val="28"/>
          <w:szCs w:val="28"/>
          <w:lang w:val="en-GB" w:eastAsia="en-GB"/>
        </w:rPr>
        <w:t>Delivered:</w:t>
      </w:r>
      <w:r w:rsidR="00DD2C8C">
        <w:rPr>
          <w:rFonts w:eastAsia="Times New Roman" w:cs="Times New Roman"/>
          <w:b/>
          <w:bCs/>
          <w:sz w:val="28"/>
          <w:szCs w:val="28"/>
          <w:lang w:val="en-GB" w:eastAsia="en-GB"/>
        </w:rPr>
        <w:tab/>
      </w:r>
      <w:r w:rsidR="00DD2C8C">
        <w:rPr>
          <w:rFonts w:eastAsia="Times New Roman" w:cs="Times New Roman"/>
          <w:b/>
          <w:bCs/>
          <w:sz w:val="28"/>
          <w:szCs w:val="28"/>
          <w:lang w:val="en-GB" w:eastAsia="en-GB"/>
        </w:rPr>
        <w:tab/>
      </w:r>
      <w:r w:rsidR="009005C6">
        <w:rPr>
          <w:rFonts w:eastAsia="Times New Roman" w:cs="Times New Roman"/>
          <w:bCs/>
          <w:sz w:val="28"/>
          <w:szCs w:val="28"/>
          <w:lang w:val="en-GB" w:eastAsia="en-GB"/>
        </w:rPr>
        <w:t>31 March</w:t>
      </w:r>
      <w:r w:rsidR="00DD2C8C" w:rsidRPr="00DD2C8C">
        <w:rPr>
          <w:rFonts w:eastAsia="Times New Roman" w:cs="Times New Roman"/>
          <w:bCs/>
          <w:sz w:val="28"/>
          <w:szCs w:val="28"/>
          <w:lang w:val="en-GB" w:eastAsia="en-GB"/>
        </w:rPr>
        <w:t xml:space="preserve"> 202</w:t>
      </w:r>
      <w:r w:rsidR="00A453E1">
        <w:rPr>
          <w:rFonts w:eastAsia="Times New Roman" w:cs="Times New Roman"/>
          <w:bCs/>
          <w:sz w:val="28"/>
          <w:szCs w:val="28"/>
          <w:lang w:val="en-GB" w:eastAsia="en-GB"/>
        </w:rPr>
        <w:t>3</w:t>
      </w:r>
    </w:p>
    <w:p w14:paraId="1C28845C" w14:textId="2FD6A424" w:rsidR="00C521D4" w:rsidRDefault="00D139A3" w:rsidP="00362FBC">
      <w:pPr>
        <w:spacing w:before="120" w:after="0" w:line="360" w:lineRule="auto"/>
        <w:jc w:val="both"/>
        <w:rPr>
          <w:rFonts w:eastAsia="Times New Roman" w:cs="Times New Roman"/>
          <w:sz w:val="28"/>
          <w:szCs w:val="28"/>
          <w:lang w:eastAsia="en-GB"/>
        </w:rPr>
      </w:pPr>
      <w:r w:rsidRPr="00970D60">
        <w:rPr>
          <w:rFonts w:eastAsia="Times New Roman" w:cs="Times New Roman"/>
          <w:b/>
          <w:sz w:val="28"/>
          <w:szCs w:val="28"/>
          <w:lang w:eastAsia="en-GB"/>
        </w:rPr>
        <w:t xml:space="preserve">Summary: </w:t>
      </w:r>
      <w:r w:rsidR="00F803DD">
        <w:rPr>
          <w:rFonts w:eastAsia="Times New Roman" w:cs="Times New Roman"/>
          <w:b/>
          <w:sz w:val="28"/>
          <w:szCs w:val="28"/>
          <w:lang w:eastAsia="en-GB"/>
        </w:rPr>
        <w:tab/>
      </w:r>
      <w:r w:rsidR="00F803DD">
        <w:rPr>
          <w:rFonts w:eastAsia="Times New Roman" w:cs="Times New Roman"/>
          <w:sz w:val="28"/>
          <w:szCs w:val="28"/>
          <w:lang w:eastAsia="en-GB"/>
        </w:rPr>
        <w:tab/>
        <w:t xml:space="preserve">Evidence – </w:t>
      </w:r>
      <w:r w:rsidR="000179A9">
        <w:rPr>
          <w:rFonts w:eastAsia="Times New Roman" w:cs="Times New Roman"/>
          <w:sz w:val="28"/>
          <w:szCs w:val="28"/>
          <w:lang w:eastAsia="en-GB"/>
        </w:rPr>
        <w:t>statement</w:t>
      </w:r>
      <w:r w:rsidR="00AE694A">
        <w:rPr>
          <w:rFonts w:eastAsia="Times New Roman" w:cs="Times New Roman"/>
          <w:sz w:val="28"/>
          <w:szCs w:val="28"/>
          <w:lang w:eastAsia="en-GB"/>
        </w:rPr>
        <w:t xml:space="preserve"> </w:t>
      </w:r>
      <w:r w:rsidR="00870633">
        <w:rPr>
          <w:rFonts w:eastAsia="Times New Roman" w:cs="Times New Roman"/>
          <w:sz w:val="28"/>
          <w:szCs w:val="28"/>
          <w:lang w:eastAsia="en-GB"/>
        </w:rPr>
        <w:t xml:space="preserve">by </w:t>
      </w:r>
      <w:r w:rsidR="00AE694A">
        <w:rPr>
          <w:rFonts w:eastAsia="Times New Roman" w:cs="Times New Roman"/>
          <w:sz w:val="28"/>
          <w:szCs w:val="28"/>
          <w:lang w:eastAsia="en-GB"/>
        </w:rPr>
        <w:t xml:space="preserve">party that </w:t>
      </w:r>
      <w:r w:rsidR="00870633">
        <w:rPr>
          <w:rFonts w:eastAsia="Times New Roman" w:cs="Times New Roman"/>
          <w:sz w:val="28"/>
          <w:szCs w:val="28"/>
          <w:lang w:eastAsia="en-GB"/>
        </w:rPr>
        <w:t xml:space="preserve">opponent’s </w:t>
      </w:r>
      <w:r w:rsidR="00AE694A">
        <w:rPr>
          <w:rFonts w:eastAsia="Times New Roman" w:cs="Times New Roman"/>
          <w:sz w:val="28"/>
          <w:szCs w:val="28"/>
          <w:lang w:eastAsia="en-GB"/>
        </w:rPr>
        <w:t>expert opinion can be handed in as evidence</w:t>
      </w:r>
      <w:r w:rsidR="00F803DD">
        <w:rPr>
          <w:rFonts w:eastAsia="Times New Roman" w:cs="Times New Roman"/>
          <w:sz w:val="28"/>
          <w:szCs w:val="28"/>
          <w:lang w:eastAsia="en-GB"/>
        </w:rPr>
        <w:t xml:space="preserve"> – </w:t>
      </w:r>
      <w:r w:rsidR="009708DA">
        <w:rPr>
          <w:rFonts w:eastAsia="Times New Roman" w:cs="Times New Roman"/>
          <w:sz w:val="28"/>
          <w:szCs w:val="28"/>
          <w:lang w:eastAsia="en-GB"/>
        </w:rPr>
        <w:t xml:space="preserve">not a ‘fact admitted’ </w:t>
      </w:r>
      <w:r w:rsidR="00181378">
        <w:rPr>
          <w:rFonts w:eastAsia="Times New Roman" w:cs="Times New Roman"/>
          <w:sz w:val="28"/>
          <w:szCs w:val="28"/>
          <w:lang w:eastAsia="en-GB"/>
        </w:rPr>
        <w:t xml:space="preserve">on the record of proceedings </w:t>
      </w:r>
      <w:r w:rsidR="009708DA">
        <w:rPr>
          <w:rFonts w:eastAsia="Times New Roman" w:cs="Times New Roman"/>
          <w:sz w:val="28"/>
          <w:szCs w:val="28"/>
          <w:lang w:eastAsia="en-GB"/>
        </w:rPr>
        <w:t xml:space="preserve">within the meaning of s 15 of the Civil Proceedings Evidence Act 25 of 1965 – </w:t>
      </w:r>
      <w:r w:rsidR="00AE694A">
        <w:rPr>
          <w:rFonts w:eastAsia="Times New Roman" w:cs="Times New Roman"/>
          <w:sz w:val="28"/>
          <w:szCs w:val="28"/>
          <w:lang w:eastAsia="en-GB"/>
        </w:rPr>
        <w:t xml:space="preserve">decision on expert evidence for the court – party cannot bind court to </w:t>
      </w:r>
      <w:r w:rsidR="00870633">
        <w:rPr>
          <w:rFonts w:eastAsia="Times New Roman" w:cs="Times New Roman"/>
          <w:sz w:val="28"/>
          <w:szCs w:val="28"/>
          <w:lang w:eastAsia="en-GB"/>
        </w:rPr>
        <w:t xml:space="preserve">opinion of opponent’s expert – </w:t>
      </w:r>
      <w:r w:rsidR="00870633">
        <w:rPr>
          <w:rFonts w:cs="Times New Roman"/>
          <w:sz w:val="28"/>
          <w:szCs w:val="28"/>
        </w:rPr>
        <w:t xml:space="preserve">court entitled </w:t>
      </w:r>
      <w:r w:rsidR="00870633" w:rsidRPr="00D263DD">
        <w:rPr>
          <w:rFonts w:cs="Times New Roman"/>
          <w:sz w:val="28"/>
          <w:szCs w:val="28"/>
        </w:rPr>
        <w:t>to make findings contrary to opinions of expe</w:t>
      </w:r>
      <w:r w:rsidR="00870633">
        <w:rPr>
          <w:rFonts w:cs="Times New Roman"/>
          <w:sz w:val="28"/>
          <w:szCs w:val="28"/>
        </w:rPr>
        <w:t>rts.</w:t>
      </w:r>
      <w:r w:rsidR="00F803DD">
        <w:rPr>
          <w:rFonts w:eastAsia="Times New Roman" w:cs="Times New Roman"/>
          <w:sz w:val="28"/>
          <w:szCs w:val="28"/>
          <w:lang w:eastAsia="en-GB"/>
        </w:rPr>
        <w:t xml:space="preserve"> </w:t>
      </w:r>
    </w:p>
    <w:p w14:paraId="2D9B72C0" w14:textId="38F26835" w:rsidR="00AE7FE6" w:rsidRDefault="00AE7FE6" w:rsidP="00362FBC">
      <w:pPr>
        <w:spacing w:before="120" w:after="0" w:line="360" w:lineRule="auto"/>
        <w:jc w:val="both"/>
        <w:rPr>
          <w:rFonts w:eastAsia="Times New Roman" w:cs="Times New Roman"/>
          <w:sz w:val="28"/>
          <w:szCs w:val="28"/>
          <w:lang w:eastAsia="en-GB"/>
        </w:rPr>
      </w:pPr>
    </w:p>
    <w:p w14:paraId="4694933E" w14:textId="77777777" w:rsidR="00AE7FE6" w:rsidRPr="00F803DD" w:rsidRDefault="00AE7FE6" w:rsidP="00362FBC">
      <w:pPr>
        <w:spacing w:before="120" w:after="0" w:line="360" w:lineRule="auto"/>
        <w:jc w:val="both"/>
        <w:rPr>
          <w:rFonts w:eastAsia="Times New Roman" w:cs="Times New Roman"/>
          <w:sz w:val="28"/>
          <w:szCs w:val="28"/>
          <w:lang w:eastAsia="en-GB"/>
        </w:rPr>
      </w:pPr>
    </w:p>
    <w:p w14:paraId="40EF26C8" w14:textId="0B8E5363" w:rsidR="00A453E1" w:rsidRDefault="00A453E1" w:rsidP="00362FBC">
      <w:pPr>
        <w:spacing w:before="120" w:after="0" w:line="360" w:lineRule="auto"/>
        <w:jc w:val="both"/>
        <w:rPr>
          <w:rFonts w:eastAsia="Times New Roman" w:cs="Times New Roman"/>
          <w:b/>
          <w:sz w:val="28"/>
          <w:szCs w:val="28"/>
          <w:lang w:eastAsia="en-GB"/>
        </w:rPr>
      </w:pPr>
    </w:p>
    <w:p w14:paraId="59FF2369" w14:textId="71ABD13A" w:rsidR="00712E70" w:rsidRDefault="00B761BD" w:rsidP="00D36346">
      <w:pPr>
        <w:shd w:val="clear" w:color="auto" w:fill="FFFFFF"/>
        <w:tabs>
          <w:tab w:val="left" w:pos="900"/>
        </w:tabs>
        <w:spacing w:before="120" w:after="0" w:line="360" w:lineRule="auto"/>
        <w:jc w:val="center"/>
        <w:rPr>
          <w:rFonts w:eastAsia="Times New Roman" w:cs="Times New Roman"/>
          <w:b/>
          <w:bCs/>
          <w:sz w:val="28"/>
          <w:szCs w:val="28"/>
          <w:lang w:val="en-US"/>
        </w:rPr>
      </w:pPr>
      <w:r>
        <w:rPr>
          <w:rFonts w:eastAsia="Times New Roman" w:cs="Times New Roman"/>
          <w:b/>
          <w:bCs/>
          <w:sz w:val="28"/>
          <w:szCs w:val="28"/>
          <w:lang w:val="en-US"/>
        </w:rPr>
        <w:lastRenderedPageBreak/>
        <w:t>_</w:t>
      </w:r>
      <w:r w:rsidR="00712E70">
        <w:rPr>
          <w:rFonts w:eastAsia="Times New Roman" w:cs="Times New Roman"/>
          <w:b/>
          <w:bCs/>
          <w:sz w:val="28"/>
          <w:szCs w:val="28"/>
          <w:lang w:val="en-US"/>
        </w:rPr>
        <w:t>___________________________________________</w:t>
      </w:r>
      <w:r w:rsidR="00323365">
        <w:rPr>
          <w:rFonts w:eastAsia="Times New Roman" w:cs="Times New Roman"/>
          <w:b/>
          <w:bCs/>
          <w:sz w:val="28"/>
          <w:szCs w:val="28"/>
          <w:lang w:val="en-US"/>
        </w:rPr>
        <w:t>____________________</w:t>
      </w:r>
    </w:p>
    <w:p w14:paraId="2BFE52FB" w14:textId="77777777" w:rsidR="00D36346" w:rsidRDefault="00D36346" w:rsidP="00637BC4">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ORDER</w:t>
      </w:r>
    </w:p>
    <w:p w14:paraId="56C226DF" w14:textId="77777777" w:rsidR="00323365" w:rsidRPr="00970D60" w:rsidRDefault="00323365" w:rsidP="00637BC4">
      <w:pPr>
        <w:shd w:val="clear" w:color="auto" w:fill="FFFFFF"/>
        <w:tabs>
          <w:tab w:val="left" w:pos="900"/>
        </w:tabs>
        <w:spacing w:after="0" w:line="276"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715A21FC" w14:textId="77777777" w:rsidR="00D36346" w:rsidRPr="00970D60" w:rsidRDefault="00D36346" w:rsidP="00D936AB">
      <w:pPr>
        <w:shd w:val="clear" w:color="auto" w:fill="FFFFFF"/>
        <w:tabs>
          <w:tab w:val="left" w:pos="900"/>
        </w:tabs>
        <w:spacing w:after="0" w:line="360" w:lineRule="auto"/>
        <w:jc w:val="both"/>
        <w:rPr>
          <w:rFonts w:eastAsia="Times New Roman" w:cs="Times New Roman"/>
          <w:b/>
          <w:bCs/>
          <w:sz w:val="28"/>
          <w:szCs w:val="28"/>
          <w:lang w:val="en-US"/>
        </w:rPr>
      </w:pPr>
    </w:p>
    <w:p w14:paraId="29D6ACBF" w14:textId="571B13BA" w:rsidR="00D36346" w:rsidRDefault="00D36346" w:rsidP="00D36346">
      <w:pPr>
        <w:shd w:val="clear" w:color="auto" w:fill="FFFFFF"/>
        <w:tabs>
          <w:tab w:val="left" w:pos="900"/>
        </w:tabs>
        <w:spacing w:after="120" w:line="360" w:lineRule="auto"/>
        <w:jc w:val="both"/>
        <w:rPr>
          <w:rFonts w:eastAsia="Times New Roman" w:cs="Times New Roman"/>
          <w:bCs/>
          <w:sz w:val="28"/>
          <w:szCs w:val="28"/>
          <w:lang w:val="en-US"/>
        </w:rPr>
      </w:pPr>
      <w:r w:rsidRPr="00970D60">
        <w:rPr>
          <w:rFonts w:eastAsia="Times New Roman" w:cs="Times New Roman"/>
          <w:b/>
          <w:bCs/>
          <w:sz w:val="28"/>
          <w:szCs w:val="28"/>
          <w:lang w:val="en-US"/>
        </w:rPr>
        <w:t>On appeal from:</w:t>
      </w:r>
      <w:r w:rsidRPr="00970D60">
        <w:rPr>
          <w:rFonts w:eastAsia="Times New Roman" w:cs="Times New Roman"/>
          <w:bCs/>
          <w:sz w:val="28"/>
          <w:szCs w:val="28"/>
          <w:lang w:val="en-US"/>
        </w:rPr>
        <w:t xml:space="preserve"> </w:t>
      </w:r>
      <w:r w:rsidR="00B473DF">
        <w:rPr>
          <w:rFonts w:eastAsia="Times New Roman" w:cs="Times New Roman"/>
          <w:bCs/>
          <w:sz w:val="28"/>
          <w:szCs w:val="28"/>
          <w:lang w:val="en-US"/>
        </w:rPr>
        <w:t>Eastern Cape</w:t>
      </w:r>
      <w:r w:rsidRPr="00970D60">
        <w:rPr>
          <w:rFonts w:eastAsia="Times New Roman" w:cs="Times New Roman"/>
          <w:bCs/>
          <w:sz w:val="28"/>
          <w:szCs w:val="28"/>
          <w:lang w:val="en-US"/>
        </w:rPr>
        <w:t xml:space="preserve"> Division of the High Court, </w:t>
      </w:r>
      <w:proofErr w:type="spellStart"/>
      <w:r w:rsidR="00B473DF">
        <w:rPr>
          <w:rFonts w:eastAsia="Times New Roman" w:cs="Times New Roman"/>
          <w:bCs/>
          <w:sz w:val="28"/>
          <w:szCs w:val="28"/>
          <w:lang w:val="en-US"/>
        </w:rPr>
        <w:t>Mthatha</w:t>
      </w:r>
      <w:proofErr w:type="spellEnd"/>
      <w:r w:rsidR="00B473DF">
        <w:rPr>
          <w:rFonts w:eastAsia="Times New Roman" w:cs="Times New Roman"/>
          <w:bCs/>
          <w:sz w:val="28"/>
          <w:szCs w:val="28"/>
          <w:lang w:val="en-US"/>
        </w:rPr>
        <w:t xml:space="preserve"> </w:t>
      </w:r>
      <w:r w:rsidR="001552EC">
        <w:rPr>
          <w:rFonts w:eastAsia="Times New Roman" w:cs="Times New Roman"/>
          <w:bCs/>
          <w:sz w:val="28"/>
          <w:szCs w:val="28"/>
          <w:lang w:val="en-US"/>
        </w:rPr>
        <w:t>(</w:t>
      </w:r>
      <w:proofErr w:type="spellStart"/>
      <w:r w:rsidR="00B473DF">
        <w:rPr>
          <w:rFonts w:eastAsia="Times New Roman" w:cs="Times New Roman"/>
          <w:bCs/>
          <w:sz w:val="28"/>
          <w:szCs w:val="28"/>
          <w:lang w:val="en-US"/>
        </w:rPr>
        <w:t>Nhlangulela</w:t>
      </w:r>
      <w:proofErr w:type="spellEnd"/>
      <w:r w:rsidR="00A11D12">
        <w:rPr>
          <w:rFonts w:eastAsia="Times New Roman" w:cs="Times New Roman"/>
          <w:bCs/>
          <w:sz w:val="28"/>
          <w:szCs w:val="28"/>
          <w:lang w:val="en-US"/>
        </w:rPr>
        <w:t> </w:t>
      </w:r>
      <w:r w:rsidR="00B473DF">
        <w:rPr>
          <w:rFonts w:eastAsia="Times New Roman" w:cs="Times New Roman"/>
          <w:bCs/>
          <w:sz w:val="28"/>
          <w:szCs w:val="28"/>
          <w:lang w:val="en-US"/>
        </w:rPr>
        <w:t xml:space="preserve">DJP </w:t>
      </w:r>
      <w:r w:rsidRPr="00970D60">
        <w:rPr>
          <w:rFonts w:eastAsia="Times New Roman" w:cs="Times New Roman"/>
          <w:bCs/>
          <w:sz w:val="28"/>
          <w:szCs w:val="28"/>
          <w:lang w:val="en-US"/>
        </w:rPr>
        <w:t>sitting as court of first instance):</w:t>
      </w:r>
    </w:p>
    <w:p w14:paraId="5542AD57" w14:textId="5E42B66C" w:rsidR="00D35509" w:rsidRDefault="006D5325" w:rsidP="006D5325">
      <w:pPr>
        <w:shd w:val="clear" w:color="auto" w:fill="FFFFFF"/>
        <w:tabs>
          <w:tab w:val="left" w:pos="567"/>
        </w:tabs>
        <w:spacing w:after="120" w:line="360" w:lineRule="auto"/>
        <w:jc w:val="both"/>
        <w:rPr>
          <w:rFonts w:eastAsia="Times New Roman" w:cs="Times New Roman"/>
          <w:bCs/>
          <w:sz w:val="28"/>
          <w:szCs w:val="28"/>
          <w:lang w:val="en-US"/>
        </w:rPr>
      </w:pPr>
      <w:r>
        <w:rPr>
          <w:rFonts w:eastAsia="Times New Roman" w:cs="Times New Roman"/>
          <w:bCs/>
          <w:sz w:val="28"/>
          <w:szCs w:val="28"/>
          <w:lang w:val="en-US"/>
        </w:rPr>
        <w:t>1</w:t>
      </w:r>
      <w:r>
        <w:rPr>
          <w:rFonts w:eastAsia="Times New Roman" w:cs="Times New Roman"/>
          <w:bCs/>
          <w:sz w:val="28"/>
          <w:szCs w:val="28"/>
          <w:lang w:val="en-US"/>
        </w:rPr>
        <w:tab/>
        <w:t>The appeal is upheld with costs, including the costs of two counsel.</w:t>
      </w:r>
    </w:p>
    <w:p w14:paraId="142A6450" w14:textId="54398F34" w:rsidR="006D5325" w:rsidRDefault="006D5325" w:rsidP="006D5325">
      <w:pPr>
        <w:shd w:val="clear" w:color="auto" w:fill="FFFFFF"/>
        <w:tabs>
          <w:tab w:val="left" w:pos="567"/>
        </w:tabs>
        <w:spacing w:after="120" w:line="360" w:lineRule="auto"/>
        <w:jc w:val="both"/>
        <w:rPr>
          <w:rFonts w:eastAsia="Times New Roman" w:cs="Times New Roman"/>
          <w:bCs/>
          <w:sz w:val="28"/>
          <w:szCs w:val="28"/>
          <w:lang w:val="en-US"/>
        </w:rPr>
      </w:pPr>
      <w:r>
        <w:rPr>
          <w:rFonts w:eastAsia="Times New Roman" w:cs="Times New Roman"/>
          <w:bCs/>
          <w:sz w:val="28"/>
          <w:szCs w:val="28"/>
          <w:lang w:val="en-US"/>
        </w:rPr>
        <w:t>2</w:t>
      </w:r>
      <w:r>
        <w:rPr>
          <w:rFonts w:eastAsia="Times New Roman" w:cs="Times New Roman"/>
          <w:bCs/>
          <w:sz w:val="28"/>
          <w:szCs w:val="28"/>
          <w:lang w:val="en-US"/>
        </w:rPr>
        <w:tab/>
        <w:t>T</w:t>
      </w:r>
      <w:r w:rsidR="00296ECF">
        <w:rPr>
          <w:rFonts w:eastAsia="Times New Roman" w:cs="Times New Roman"/>
          <w:bCs/>
          <w:sz w:val="28"/>
          <w:szCs w:val="28"/>
          <w:lang w:val="en-US"/>
        </w:rPr>
        <w:t xml:space="preserve">he order of the high court </w:t>
      </w:r>
      <w:r>
        <w:rPr>
          <w:rFonts w:eastAsia="Times New Roman" w:cs="Times New Roman"/>
          <w:bCs/>
          <w:sz w:val="28"/>
          <w:szCs w:val="28"/>
          <w:lang w:val="en-US"/>
        </w:rPr>
        <w:t>is set aside and replaced by the following order:</w:t>
      </w:r>
    </w:p>
    <w:p w14:paraId="5611131C" w14:textId="3A7C66AF" w:rsidR="006D5325" w:rsidRDefault="006D5325" w:rsidP="00296ECF">
      <w:pPr>
        <w:shd w:val="clear" w:color="auto" w:fill="FFFFFF"/>
        <w:tabs>
          <w:tab w:val="left" w:pos="567"/>
        </w:tabs>
        <w:spacing w:after="120" w:line="360" w:lineRule="auto"/>
        <w:ind w:left="567" w:hanging="567"/>
        <w:jc w:val="both"/>
        <w:rPr>
          <w:rFonts w:eastAsia="Times New Roman" w:cs="Times New Roman"/>
          <w:bCs/>
          <w:sz w:val="28"/>
          <w:szCs w:val="28"/>
          <w:lang w:val="en-US"/>
        </w:rPr>
      </w:pPr>
      <w:r>
        <w:rPr>
          <w:rFonts w:eastAsia="Times New Roman" w:cs="Times New Roman"/>
          <w:bCs/>
          <w:sz w:val="28"/>
          <w:szCs w:val="28"/>
          <w:lang w:val="en-US"/>
        </w:rPr>
        <w:tab/>
        <w:t>‘The application for an order that the p</w:t>
      </w:r>
      <w:r w:rsidR="002048DE">
        <w:rPr>
          <w:rFonts w:eastAsia="Times New Roman" w:cs="Times New Roman"/>
          <w:bCs/>
          <w:sz w:val="28"/>
          <w:szCs w:val="28"/>
          <w:lang w:val="en-US"/>
        </w:rPr>
        <w:t>laintiff is not entitled to adduce</w:t>
      </w:r>
      <w:r>
        <w:rPr>
          <w:rFonts w:eastAsia="Times New Roman" w:cs="Times New Roman"/>
          <w:bCs/>
          <w:sz w:val="28"/>
          <w:szCs w:val="28"/>
          <w:lang w:val="en-US"/>
        </w:rPr>
        <w:t xml:space="preserve"> evidence in order to disprove the </w:t>
      </w:r>
      <w:r w:rsidR="00AC13B9">
        <w:rPr>
          <w:rFonts w:eastAsia="Times New Roman" w:cs="Times New Roman"/>
          <w:bCs/>
          <w:sz w:val="28"/>
          <w:szCs w:val="28"/>
          <w:lang w:val="en-US"/>
        </w:rPr>
        <w:t>contents</w:t>
      </w:r>
      <w:r>
        <w:rPr>
          <w:rFonts w:eastAsia="Times New Roman" w:cs="Times New Roman"/>
          <w:bCs/>
          <w:sz w:val="28"/>
          <w:szCs w:val="28"/>
          <w:lang w:val="en-US"/>
        </w:rPr>
        <w:t xml:space="preserve"> </w:t>
      </w:r>
      <w:r w:rsidR="00AC13B9">
        <w:rPr>
          <w:rFonts w:eastAsia="Times New Roman" w:cs="Times New Roman"/>
          <w:bCs/>
          <w:sz w:val="28"/>
          <w:szCs w:val="28"/>
          <w:lang w:val="en-US"/>
        </w:rPr>
        <w:t xml:space="preserve">of </w:t>
      </w:r>
      <w:r>
        <w:rPr>
          <w:rFonts w:eastAsia="Times New Roman" w:cs="Times New Roman"/>
          <w:bCs/>
          <w:sz w:val="28"/>
          <w:szCs w:val="28"/>
          <w:lang w:val="en-US"/>
        </w:rPr>
        <w:t xml:space="preserve">Prof </w:t>
      </w:r>
      <w:proofErr w:type="spellStart"/>
      <w:r>
        <w:rPr>
          <w:rFonts w:eastAsia="Times New Roman" w:cs="Times New Roman"/>
          <w:bCs/>
          <w:sz w:val="28"/>
          <w:szCs w:val="28"/>
          <w:lang w:val="en-US"/>
        </w:rPr>
        <w:t>Lotz’s</w:t>
      </w:r>
      <w:proofErr w:type="spellEnd"/>
      <w:r>
        <w:rPr>
          <w:rFonts w:eastAsia="Times New Roman" w:cs="Times New Roman"/>
          <w:bCs/>
          <w:sz w:val="28"/>
          <w:szCs w:val="28"/>
          <w:lang w:val="en-US"/>
        </w:rPr>
        <w:t xml:space="preserve"> report dated 30</w:t>
      </w:r>
      <w:r w:rsidR="00E37897">
        <w:rPr>
          <w:rFonts w:eastAsia="Times New Roman" w:cs="Times New Roman"/>
          <w:bCs/>
          <w:sz w:val="28"/>
          <w:szCs w:val="28"/>
          <w:lang w:val="en-US"/>
        </w:rPr>
        <w:t> </w:t>
      </w:r>
      <w:r>
        <w:rPr>
          <w:rFonts w:eastAsia="Times New Roman" w:cs="Times New Roman"/>
          <w:bCs/>
          <w:sz w:val="28"/>
          <w:szCs w:val="28"/>
          <w:lang w:val="en-US"/>
        </w:rPr>
        <w:t>July 2015</w:t>
      </w:r>
      <w:r w:rsidR="00F63925">
        <w:rPr>
          <w:rFonts w:eastAsia="Times New Roman" w:cs="Times New Roman"/>
          <w:bCs/>
          <w:sz w:val="28"/>
          <w:szCs w:val="28"/>
          <w:lang w:val="en-US"/>
        </w:rPr>
        <w:t>,</w:t>
      </w:r>
      <w:r>
        <w:rPr>
          <w:rFonts w:eastAsia="Times New Roman" w:cs="Times New Roman"/>
          <w:bCs/>
          <w:sz w:val="28"/>
          <w:szCs w:val="28"/>
          <w:lang w:val="en-US"/>
        </w:rPr>
        <w:t xml:space="preserve"> and </w:t>
      </w:r>
      <w:proofErr w:type="spellStart"/>
      <w:r>
        <w:rPr>
          <w:rFonts w:eastAsia="Times New Roman" w:cs="Times New Roman"/>
          <w:bCs/>
          <w:sz w:val="28"/>
          <w:szCs w:val="28"/>
          <w:lang w:val="en-US"/>
        </w:rPr>
        <w:t>Dr</w:t>
      </w:r>
      <w:proofErr w:type="spellEnd"/>
      <w:r>
        <w:rPr>
          <w:rFonts w:eastAsia="Times New Roman" w:cs="Times New Roman"/>
          <w:bCs/>
          <w:sz w:val="28"/>
          <w:szCs w:val="28"/>
          <w:lang w:val="en-US"/>
        </w:rPr>
        <w:t xml:space="preserve"> </w:t>
      </w:r>
      <w:proofErr w:type="spellStart"/>
      <w:r>
        <w:rPr>
          <w:rFonts w:eastAsia="Times New Roman" w:cs="Times New Roman"/>
          <w:bCs/>
          <w:sz w:val="28"/>
          <w:szCs w:val="28"/>
          <w:lang w:val="en-US"/>
        </w:rPr>
        <w:t>Alheit’s</w:t>
      </w:r>
      <w:proofErr w:type="spellEnd"/>
      <w:r>
        <w:rPr>
          <w:rFonts w:eastAsia="Times New Roman" w:cs="Times New Roman"/>
          <w:bCs/>
          <w:sz w:val="28"/>
          <w:szCs w:val="28"/>
          <w:lang w:val="en-US"/>
        </w:rPr>
        <w:t xml:space="preserve"> report dated </w:t>
      </w:r>
      <w:r w:rsidR="00296ECF">
        <w:rPr>
          <w:rFonts w:eastAsia="Times New Roman" w:cs="Times New Roman"/>
          <w:bCs/>
          <w:sz w:val="28"/>
          <w:szCs w:val="28"/>
          <w:lang w:val="en-US"/>
        </w:rPr>
        <w:t>27 July 2018, is dismissed with costs, including the costs of two counsel.’</w:t>
      </w:r>
      <w:r w:rsidR="002048DE">
        <w:rPr>
          <w:rFonts w:eastAsia="Times New Roman" w:cs="Times New Roman"/>
          <w:bCs/>
          <w:sz w:val="28"/>
          <w:szCs w:val="28"/>
          <w:lang w:val="en-US"/>
        </w:rPr>
        <w:t xml:space="preserve"> </w:t>
      </w:r>
    </w:p>
    <w:p w14:paraId="561C5715" w14:textId="77777777" w:rsidR="00FE6371" w:rsidRDefault="00FE6371" w:rsidP="00296ECF">
      <w:pPr>
        <w:shd w:val="clear" w:color="auto" w:fill="FFFFFF"/>
        <w:tabs>
          <w:tab w:val="left" w:pos="567"/>
        </w:tabs>
        <w:spacing w:after="120" w:line="360" w:lineRule="auto"/>
        <w:ind w:left="567" w:hanging="567"/>
        <w:jc w:val="both"/>
        <w:rPr>
          <w:rFonts w:eastAsia="Times New Roman" w:cs="Times New Roman"/>
          <w:bCs/>
          <w:sz w:val="28"/>
          <w:szCs w:val="28"/>
          <w:lang w:val="en-US"/>
        </w:rPr>
      </w:pPr>
    </w:p>
    <w:p w14:paraId="0E919EBD" w14:textId="45660B9A" w:rsidR="00507AB0" w:rsidRPr="00970D60" w:rsidRDefault="00323365" w:rsidP="002744EA">
      <w:pPr>
        <w:spacing w:line="360" w:lineRule="auto"/>
        <w:rPr>
          <w:rFonts w:eastAsia="Times New Roman" w:cs="Times New Roman"/>
          <w:sz w:val="28"/>
          <w:szCs w:val="28"/>
          <w:lang w:eastAsia="en-GB"/>
        </w:rPr>
      </w:pPr>
      <w:r>
        <w:rPr>
          <w:rFonts w:eastAsia="Times New Roman" w:cs="Times New Roman"/>
          <w:sz w:val="28"/>
          <w:szCs w:val="28"/>
          <w:lang w:eastAsia="en-GB"/>
        </w:rPr>
        <w:t>________________________________________________________________</w:t>
      </w:r>
    </w:p>
    <w:p w14:paraId="038371C2" w14:textId="77777777" w:rsidR="00507AB0" w:rsidRDefault="00507AB0" w:rsidP="00323365">
      <w:pPr>
        <w:shd w:val="clear" w:color="auto" w:fill="FFFFFF"/>
        <w:tabs>
          <w:tab w:val="left" w:pos="900"/>
        </w:tabs>
        <w:spacing w:before="120" w:after="0" w:line="276" w:lineRule="auto"/>
        <w:jc w:val="center"/>
        <w:rPr>
          <w:rFonts w:eastAsia="Times New Roman" w:cs="Times New Roman"/>
          <w:b/>
          <w:bCs/>
          <w:sz w:val="28"/>
          <w:szCs w:val="28"/>
          <w:lang w:val="en-US"/>
        </w:rPr>
      </w:pPr>
      <w:r w:rsidRPr="00970D60">
        <w:rPr>
          <w:rFonts w:eastAsia="Times New Roman" w:cs="Times New Roman"/>
          <w:b/>
          <w:bCs/>
          <w:sz w:val="28"/>
          <w:szCs w:val="28"/>
          <w:lang w:val="en-US"/>
        </w:rPr>
        <w:t>JUDGMENT</w:t>
      </w:r>
    </w:p>
    <w:p w14:paraId="64AFE2AF" w14:textId="77777777" w:rsidR="00323365" w:rsidRPr="00970D60" w:rsidRDefault="00323365" w:rsidP="008102B3">
      <w:pPr>
        <w:shd w:val="clear" w:color="auto" w:fill="FFFFFF"/>
        <w:tabs>
          <w:tab w:val="left" w:pos="900"/>
        </w:tabs>
        <w:spacing w:line="360" w:lineRule="auto"/>
        <w:jc w:val="center"/>
        <w:rPr>
          <w:rFonts w:eastAsia="Times New Roman" w:cs="Times New Roman"/>
          <w:b/>
          <w:bCs/>
          <w:sz w:val="28"/>
          <w:szCs w:val="28"/>
          <w:lang w:val="en-US"/>
        </w:rPr>
      </w:pPr>
      <w:r>
        <w:rPr>
          <w:rFonts w:eastAsia="Times New Roman" w:cs="Times New Roman"/>
          <w:b/>
          <w:bCs/>
          <w:sz w:val="28"/>
          <w:szCs w:val="28"/>
          <w:lang w:val="en-US"/>
        </w:rPr>
        <w:t>________________________________________________________________</w:t>
      </w:r>
    </w:p>
    <w:p w14:paraId="4A985127" w14:textId="36742721" w:rsidR="000D2B94" w:rsidRDefault="00686B67" w:rsidP="000D2B94">
      <w:pPr>
        <w:spacing w:after="0" w:line="360" w:lineRule="auto"/>
        <w:jc w:val="both"/>
        <w:rPr>
          <w:rFonts w:cs="Times New Roman"/>
          <w:sz w:val="28"/>
          <w:szCs w:val="28"/>
        </w:rPr>
      </w:pPr>
      <w:r w:rsidRPr="00970D60">
        <w:rPr>
          <w:rFonts w:eastAsia="Times New Roman" w:cs="Times New Roman"/>
          <w:b/>
          <w:sz w:val="28"/>
          <w:szCs w:val="28"/>
          <w:lang w:val="en-GB"/>
        </w:rPr>
        <w:t xml:space="preserve">Schippers JA </w:t>
      </w:r>
      <w:r w:rsidR="008E126A" w:rsidRPr="00970D60">
        <w:rPr>
          <w:rFonts w:eastAsia="Times New Roman" w:cs="Times New Roman"/>
          <w:b/>
          <w:sz w:val="28"/>
          <w:szCs w:val="28"/>
          <w:lang w:val="en-GB"/>
        </w:rPr>
        <w:t>(</w:t>
      </w:r>
      <w:r w:rsidR="008851F1">
        <w:rPr>
          <w:rFonts w:eastAsia="Times New Roman" w:cs="Times New Roman"/>
          <w:b/>
          <w:sz w:val="28"/>
          <w:szCs w:val="28"/>
          <w:lang w:val="en-GB"/>
        </w:rPr>
        <w:t xml:space="preserve">Van der Merwe and Gorven JJA and Olsen and Mali AJJA </w:t>
      </w:r>
      <w:r w:rsidR="00703C4E">
        <w:rPr>
          <w:rFonts w:eastAsia="Times New Roman" w:cs="Times New Roman"/>
          <w:b/>
          <w:sz w:val="28"/>
          <w:szCs w:val="28"/>
          <w:lang w:val="en-GB"/>
        </w:rPr>
        <w:t>concurring</w:t>
      </w:r>
      <w:r w:rsidR="00801266" w:rsidRPr="00970D60">
        <w:rPr>
          <w:rFonts w:eastAsia="Times New Roman" w:cs="Times New Roman"/>
          <w:b/>
          <w:sz w:val="28"/>
          <w:szCs w:val="28"/>
          <w:lang w:val="en-GB"/>
        </w:rPr>
        <w:t>)</w:t>
      </w:r>
    </w:p>
    <w:p w14:paraId="506E2F7E" w14:textId="77777777" w:rsidR="00C76ECD" w:rsidRDefault="00C76ECD" w:rsidP="000D2B94">
      <w:pPr>
        <w:spacing w:after="0" w:line="360" w:lineRule="auto"/>
        <w:jc w:val="both"/>
        <w:rPr>
          <w:rFonts w:cs="Times New Roman"/>
          <w:sz w:val="28"/>
          <w:szCs w:val="28"/>
        </w:rPr>
      </w:pPr>
    </w:p>
    <w:p w14:paraId="7298F784" w14:textId="4B52E772" w:rsidR="00537811" w:rsidRPr="002E721C" w:rsidRDefault="002E721C" w:rsidP="002E721C">
      <w:pPr>
        <w:spacing w:before="240" w:after="0" w:line="360" w:lineRule="auto"/>
        <w:jc w:val="both"/>
        <w:rPr>
          <w:rFonts w:cs="Times New Roman"/>
          <w:sz w:val="28"/>
          <w:szCs w:val="28"/>
        </w:rPr>
      </w:pPr>
      <w:r>
        <w:rPr>
          <w:rFonts w:cs="Times New Roman"/>
          <w:sz w:val="28"/>
          <w:szCs w:val="28"/>
        </w:rPr>
        <w:t>[1]</w:t>
      </w:r>
      <w:r>
        <w:rPr>
          <w:rFonts w:cs="Times New Roman"/>
          <w:sz w:val="28"/>
          <w:szCs w:val="28"/>
        </w:rPr>
        <w:tab/>
      </w:r>
      <w:r w:rsidR="00D566FA" w:rsidRPr="002E721C">
        <w:rPr>
          <w:rFonts w:cs="Times New Roman"/>
          <w:sz w:val="28"/>
          <w:szCs w:val="28"/>
        </w:rPr>
        <w:t>The appellant (plaintiff), the mother and natural guardian of her minor son (the child), sued the respondent (defendant) in the Eastern Cape Division of the High Court</w:t>
      </w:r>
      <w:r w:rsidR="001507FA" w:rsidRPr="002E721C">
        <w:rPr>
          <w:rFonts w:cs="Times New Roman"/>
          <w:sz w:val="28"/>
          <w:szCs w:val="28"/>
        </w:rPr>
        <w:t xml:space="preserve">, </w:t>
      </w:r>
      <w:proofErr w:type="spellStart"/>
      <w:r w:rsidR="001507FA" w:rsidRPr="002E721C">
        <w:rPr>
          <w:rFonts w:cs="Times New Roman"/>
          <w:sz w:val="28"/>
          <w:szCs w:val="28"/>
        </w:rPr>
        <w:t>Mthatha</w:t>
      </w:r>
      <w:proofErr w:type="spellEnd"/>
      <w:r w:rsidR="00D566FA" w:rsidRPr="002E721C">
        <w:rPr>
          <w:rFonts w:cs="Times New Roman"/>
          <w:sz w:val="28"/>
          <w:szCs w:val="28"/>
        </w:rPr>
        <w:t xml:space="preserve"> (the high court) for compensation on behalf </w:t>
      </w:r>
      <w:r w:rsidR="00CE40B9" w:rsidRPr="002E721C">
        <w:rPr>
          <w:rFonts w:cs="Times New Roman"/>
          <w:sz w:val="28"/>
          <w:szCs w:val="28"/>
        </w:rPr>
        <w:t xml:space="preserve">of the child who </w:t>
      </w:r>
      <w:r w:rsidR="006D42E9" w:rsidRPr="002E721C">
        <w:rPr>
          <w:rFonts w:cs="Times New Roman"/>
          <w:sz w:val="28"/>
          <w:szCs w:val="28"/>
        </w:rPr>
        <w:t>in 2006</w:t>
      </w:r>
      <w:r w:rsidR="00825712" w:rsidRPr="002E721C">
        <w:rPr>
          <w:rFonts w:cs="Times New Roman"/>
          <w:sz w:val="28"/>
          <w:szCs w:val="28"/>
        </w:rPr>
        <w:t>,</w:t>
      </w:r>
      <w:r w:rsidR="006D42E9" w:rsidRPr="002E721C">
        <w:rPr>
          <w:rFonts w:cs="Times New Roman"/>
          <w:sz w:val="28"/>
          <w:szCs w:val="28"/>
        </w:rPr>
        <w:t xml:space="preserve"> </w:t>
      </w:r>
      <w:r w:rsidR="006D1036" w:rsidRPr="002E721C">
        <w:rPr>
          <w:rFonts w:cs="Times New Roman"/>
          <w:sz w:val="28"/>
          <w:szCs w:val="28"/>
        </w:rPr>
        <w:t>sustained</w:t>
      </w:r>
      <w:r w:rsidR="001E4090" w:rsidRPr="002E721C">
        <w:rPr>
          <w:rFonts w:cs="Times New Roman"/>
          <w:sz w:val="28"/>
          <w:szCs w:val="28"/>
        </w:rPr>
        <w:t xml:space="preserve"> </w:t>
      </w:r>
      <w:r w:rsidR="00CE40B9" w:rsidRPr="002E721C">
        <w:rPr>
          <w:rFonts w:cs="Times New Roman"/>
          <w:sz w:val="28"/>
          <w:szCs w:val="28"/>
        </w:rPr>
        <w:t>peri</w:t>
      </w:r>
      <w:r w:rsidR="00C7371C" w:rsidRPr="002E721C">
        <w:rPr>
          <w:rFonts w:cs="Times New Roman"/>
          <w:sz w:val="28"/>
          <w:szCs w:val="28"/>
        </w:rPr>
        <w:t>natal asphyxia during labour</w:t>
      </w:r>
      <w:r w:rsidR="00D566FA" w:rsidRPr="002E721C">
        <w:rPr>
          <w:rFonts w:cs="Times New Roman"/>
          <w:sz w:val="28"/>
          <w:szCs w:val="28"/>
        </w:rPr>
        <w:t xml:space="preserve">, which rendered him a cerebral palsy </w:t>
      </w:r>
      <w:r w:rsidR="00F04563" w:rsidRPr="002E721C">
        <w:rPr>
          <w:rFonts w:cs="Times New Roman"/>
          <w:sz w:val="28"/>
          <w:szCs w:val="28"/>
        </w:rPr>
        <w:t>quadriplegic</w:t>
      </w:r>
      <w:r w:rsidR="00D566FA" w:rsidRPr="002E721C">
        <w:rPr>
          <w:rFonts w:cs="Times New Roman"/>
          <w:sz w:val="28"/>
          <w:szCs w:val="28"/>
        </w:rPr>
        <w:t>.</w:t>
      </w:r>
      <w:r w:rsidR="00DE1333" w:rsidRPr="00184CF6">
        <w:rPr>
          <w:rStyle w:val="FootnoteReference"/>
          <w:rFonts w:cs="Times New Roman"/>
          <w:sz w:val="28"/>
          <w:szCs w:val="28"/>
        </w:rPr>
        <w:footnoteReference w:id="1"/>
      </w:r>
      <w:r w:rsidR="00D566FA" w:rsidRPr="002E721C">
        <w:rPr>
          <w:rFonts w:cs="Times New Roman"/>
          <w:sz w:val="28"/>
          <w:szCs w:val="28"/>
        </w:rPr>
        <w:t xml:space="preserve"> </w:t>
      </w:r>
      <w:r w:rsidR="00537811" w:rsidRPr="002E721C">
        <w:rPr>
          <w:rFonts w:cs="Times New Roman"/>
          <w:sz w:val="28"/>
          <w:szCs w:val="28"/>
        </w:rPr>
        <w:t xml:space="preserve">In the particulars of claim the plaintiff alleges that the defendant’s employees at St Patrick’s Hospital, </w:t>
      </w:r>
      <w:proofErr w:type="spellStart"/>
      <w:r w:rsidR="001E4090" w:rsidRPr="002E721C">
        <w:rPr>
          <w:rFonts w:cs="Times New Roman"/>
          <w:sz w:val="28"/>
          <w:szCs w:val="28"/>
        </w:rPr>
        <w:t>Mthatha</w:t>
      </w:r>
      <w:proofErr w:type="spellEnd"/>
      <w:r w:rsidR="00537811" w:rsidRPr="002E721C">
        <w:rPr>
          <w:rFonts w:cs="Times New Roman"/>
          <w:sz w:val="28"/>
          <w:szCs w:val="28"/>
        </w:rPr>
        <w:t xml:space="preserve">, breached an agreement to provide her with obstetric, maternal and neonatal care with </w:t>
      </w:r>
      <w:r w:rsidR="00537811" w:rsidRPr="002E721C">
        <w:rPr>
          <w:rFonts w:cs="Times New Roman"/>
          <w:sz w:val="28"/>
          <w:szCs w:val="28"/>
        </w:rPr>
        <w:lastRenderedPageBreak/>
        <w:t>reasonable skill and diligence; alternatively, that they we</w:t>
      </w:r>
      <w:r w:rsidR="00CE01D9" w:rsidRPr="002E721C">
        <w:rPr>
          <w:rFonts w:cs="Times New Roman"/>
          <w:sz w:val="28"/>
          <w:szCs w:val="28"/>
        </w:rPr>
        <w:t>re negligent in failing to provide her with such care</w:t>
      </w:r>
      <w:r w:rsidR="00537811" w:rsidRPr="002E721C">
        <w:rPr>
          <w:rFonts w:cs="Times New Roman"/>
          <w:sz w:val="28"/>
          <w:szCs w:val="28"/>
        </w:rPr>
        <w:t>, resulting in irreversible and thus permanent injury to the child.</w:t>
      </w:r>
      <w:r w:rsidR="00537811">
        <w:rPr>
          <w:rStyle w:val="FootnoteReference"/>
          <w:rFonts w:cs="Times New Roman"/>
          <w:sz w:val="28"/>
          <w:szCs w:val="28"/>
        </w:rPr>
        <w:footnoteReference w:id="2"/>
      </w:r>
      <w:r w:rsidR="00537811" w:rsidRPr="002E721C">
        <w:rPr>
          <w:rFonts w:cs="Times New Roman"/>
          <w:sz w:val="28"/>
          <w:szCs w:val="28"/>
        </w:rPr>
        <w:t xml:space="preserve"> </w:t>
      </w:r>
    </w:p>
    <w:p w14:paraId="7EB6AA2E" w14:textId="77777777" w:rsidR="00537811" w:rsidRDefault="00537811" w:rsidP="00537811">
      <w:pPr>
        <w:pStyle w:val="ListParagraph"/>
        <w:spacing w:before="240" w:after="0" w:line="360" w:lineRule="auto"/>
        <w:ind w:left="0"/>
        <w:jc w:val="both"/>
        <w:rPr>
          <w:rFonts w:cs="Times New Roman"/>
          <w:sz w:val="28"/>
          <w:szCs w:val="28"/>
        </w:rPr>
      </w:pPr>
    </w:p>
    <w:p w14:paraId="15658535" w14:textId="1AD2909D" w:rsidR="00ED2A6E" w:rsidRPr="002E721C" w:rsidRDefault="002E721C" w:rsidP="002E721C">
      <w:pPr>
        <w:spacing w:before="240" w:after="0" w:line="360" w:lineRule="auto"/>
        <w:jc w:val="both"/>
        <w:rPr>
          <w:rFonts w:cs="Times New Roman"/>
          <w:sz w:val="28"/>
          <w:szCs w:val="28"/>
        </w:rPr>
      </w:pPr>
      <w:r w:rsidRPr="00184CF6">
        <w:rPr>
          <w:rFonts w:cs="Times New Roman"/>
          <w:sz w:val="28"/>
          <w:szCs w:val="28"/>
        </w:rPr>
        <w:t>[2]</w:t>
      </w:r>
      <w:r w:rsidRPr="00184CF6">
        <w:rPr>
          <w:rFonts w:cs="Times New Roman"/>
          <w:sz w:val="28"/>
          <w:szCs w:val="28"/>
        </w:rPr>
        <w:tab/>
      </w:r>
      <w:r w:rsidR="00537811" w:rsidRPr="002E721C">
        <w:rPr>
          <w:rFonts w:cs="Times New Roman"/>
          <w:sz w:val="28"/>
          <w:szCs w:val="28"/>
        </w:rPr>
        <w:t>The</w:t>
      </w:r>
      <w:r w:rsidR="00D566FA" w:rsidRPr="002E721C">
        <w:rPr>
          <w:rFonts w:cs="Times New Roman"/>
          <w:sz w:val="28"/>
          <w:szCs w:val="28"/>
        </w:rPr>
        <w:t xml:space="preserve"> trial </w:t>
      </w:r>
      <w:r w:rsidR="00537811" w:rsidRPr="002E721C">
        <w:rPr>
          <w:rFonts w:cs="Times New Roman"/>
          <w:sz w:val="28"/>
          <w:szCs w:val="28"/>
        </w:rPr>
        <w:t xml:space="preserve">of the plaintiff’s action </w:t>
      </w:r>
      <w:r w:rsidR="00D566FA" w:rsidRPr="002E721C">
        <w:rPr>
          <w:rFonts w:cs="Times New Roman"/>
          <w:sz w:val="28"/>
          <w:szCs w:val="28"/>
        </w:rPr>
        <w:t>is pending</w:t>
      </w:r>
      <w:r w:rsidR="00537811" w:rsidRPr="002E721C">
        <w:rPr>
          <w:rFonts w:cs="Times New Roman"/>
          <w:sz w:val="28"/>
          <w:szCs w:val="28"/>
        </w:rPr>
        <w:t xml:space="preserve"> in the high court</w:t>
      </w:r>
      <w:r w:rsidR="00D566FA" w:rsidRPr="002E721C">
        <w:rPr>
          <w:rFonts w:cs="Times New Roman"/>
          <w:sz w:val="28"/>
          <w:szCs w:val="28"/>
        </w:rPr>
        <w:t xml:space="preserve">. </w:t>
      </w:r>
      <w:r w:rsidR="00537811" w:rsidRPr="002E721C">
        <w:rPr>
          <w:rFonts w:cs="Times New Roman"/>
          <w:sz w:val="28"/>
          <w:szCs w:val="28"/>
        </w:rPr>
        <w:t>It could not proceed when</w:t>
      </w:r>
      <w:r w:rsidR="00F04563" w:rsidRPr="002E721C">
        <w:rPr>
          <w:rFonts w:cs="Times New Roman"/>
          <w:sz w:val="28"/>
          <w:szCs w:val="28"/>
        </w:rPr>
        <w:t>,</w:t>
      </w:r>
      <w:r w:rsidR="00537811" w:rsidRPr="002E721C">
        <w:rPr>
          <w:rFonts w:cs="Times New Roman"/>
          <w:sz w:val="28"/>
          <w:szCs w:val="28"/>
        </w:rPr>
        <w:t xml:space="preserve"> </w:t>
      </w:r>
      <w:r w:rsidR="00ED2A6E" w:rsidRPr="002E721C">
        <w:rPr>
          <w:rFonts w:cs="Times New Roman"/>
          <w:sz w:val="28"/>
          <w:szCs w:val="28"/>
        </w:rPr>
        <w:t xml:space="preserve">during the presentation of her case, the </w:t>
      </w:r>
      <w:r w:rsidR="00062AA6" w:rsidRPr="002E721C">
        <w:rPr>
          <w:rFonts w:cs="Times New Roman"/>
          <w:sz w:val="28"/>
          <w:szCs w:val="28"/>
        </w:rPr>
        <w:t xml:space="preserve">high </w:t>
      </w:r>
      <w:r w:rsidR="00537811" w:rsidRPr="002E721C">
        <w:rPr>
          <w:rFonts w:cs="Times New Roman"/>
          <w:sz w:val="28"/>
          <w:szCs w:val="28"/>
        </w:rPr>
        <w:t xml:space="preserve">court made an order </w:t>
      </w:r>
      <w:r w:rsidR="00D566FA" w:rsidRPr="002E721C">
        <w:rPr>
          <w:rFonts w:cs="Times New Roman"/>
          <w:sz w:val="28"/>
          <w:szCs w:val="28"/>
        </w:rPr>
        <w:t xml:space="preserve">which </w:t>
      </w:r>
      <w:r w:rsidR="00D0139C" w:rsidRPr="002E721C">
        <w:rPr>
          <w:rFonts w:cs="Times New Roman"/>
          <w:sz w:val="28"/>
          <w:szCs w:val="28"/>
        </w:rPr>
        <w:t>prevents</w:t>
      </w:r>
      <w:r w:rsidR="00F534B3" w:rsidRPr="002E721C">
        <w:rPr>
          <w:rFonts w:cs="Times New Roman"/>
          <w:sz w:val="28"/>
          <w:szCs w:val="28"/>
        </w:rPr>
        <w:t xml:space="preserve"> </w:t>
      </w:r>
      <w:r w:rsidR="00ED2A6E" w:rsidRPr="002E721C">
        <w:rPr>
          <w:rFonts w:cs="Times New Roman"/>
          <w:sz w:val="28"/>
          <w:szCs w:val="28"/>
        </w:rPr>
        <w:t xml:space="preserve">the plaintiff </w:t>
      </w:r>
      <w:r w:rsidR="001617B5" w:rsidRPr="002E721C">
        <w:rPr>
          <w:rFonts w:cs="Times New Roman"/>
          <w:sz w:val="28"/>
          <w:szCs w:val="28"/>
        </w:rPr>
        <w:t xml:space="preserve">from adducing crucial </w:t>
      </w:r>
      <w:r w:rsidR="00D0139C" w:rsidRPr="002E721C">
        <w:rPr>
          <w:rFonts w:cs="Times New Roman"/>
          <w:sz w:val="28"/>
          <w:szCs w:val="28"/>
        </w:rPr>
        <w:t xml:space="preserve">expert </w:t>
      </w:r>
      <w:r w:rsidR="001617B5" w:rsidRPr="002E721C">
        <w:rPr>
          <w:rFonts w:cs="Times New Roman"/>
          <w:sz w:val="28"/>
          <w:szCs w:val="28"/>
        </w:rPr>
        <w:t xml:space="preserve">evidence </w:t>
      </w:r>
      <w:r w:rsidR="00D0139C" w:rsidRPr="002E721C">
        <w:rPr>
          <w:rFonts w:cs="Times New Roman"/>
          <w:sz w:val="28"/>
          <w:szCs w:val="28"/>
        </w:rPr>
        <w:t xml:space="preserve">in support of her claim, </w:t>
      </w:r>
      <w:r w:rsidR="00301642" w:rsidRPr="002E721C">
        <w:rPr>
          <w:rFonts w:cs="Times New Roman"/>
          <w:sz w:val="28"/>
          <w:szCs w:val="28"/>
        </w:rPr>
        <w:t>on the basis that that</w:t>
      </w:r>
      <w:r w:rsidR="00D0139C" w:rsidRPr="002E721C">
        <w:rPr>
          <w:rFonts w:cs="Times New Roman"/>
          <w:sz w:val="28"/>
          <w:szCs w:val="28"/>
        </w:rPr>
        <w:t xml:space="preserve"> evidence </w:t>
      </w:r>
      <w:r w:rsidR="008C42C6" w:rsidRPr="002E721C">
        <w:rPr>
          <w:rFonts w:cs="Times New Roman"/>
          <w:sz w:val="28"/>
          <w:szCs w:val="28"/>
        </w:rPr>
        <w:t>wa</w:t>
      </w:r>
      <w:r w:rsidR="00D0139C" w:rsidRPr="002E721C">
        <w:rPr>
          <w:rFonts w:cs="Times New Roman"/>
          <w:sz w:val="28"/>
          <w:szCs w:val="28"/>
        </w:rPr>
        <w:t>s precluded by the provisions of the Civil Proceedings Evidence Act 25 of 1965 (the Act)</w:t>
      </w:r>
      <w:r w:rsidR="001617B5" w:rsidRPr="002E721C">
        <w:rPr>
          <w:rFonts w:cs="Times New Roman"/>
          <w:sz w:val="28"/>
          <w:szCs w:val="28"/>
        </w:rPr>
        <w:t>.</w:t>
      </w:r>
      <w:r w:rsidR="008B3F66" w:rsidRPr="002E721C">
        <w:rPr>
          <w:rFonts w:cs="Times New Roman"/>
          <w:sz w:val="28"/>
          <w:szCs w:val="28"/>
        </w:rPr>
        <w:t xml:space="preserve"> The appeal is with its leave. </w:t>
      </w:r>
      <w:r w:rsidR="001617B5" w:rsidRPr="002E721C">
        <w:rPr>
          <w:rFonts w:cs="Times New Roman"/>
          <w:sz w:val="28"/>
          <w:szCs w:val="28"/>
        </w:rPr>
        <w:t xml:space="preserve"> </w:t>
      </w:r>
    </w:p>
    <w:p w14:paraId="7487A212" w14:textId="77777777" w:rsidR="00ED2A6E" w:rsidRPr="00184CF6" w:rsidRDefault="00ED2A6E" w:rsidP="00ED2A6E">
      <w:pPr>
        <w:pStyle w:val="ListParagraph"/>
        <w:spacing w:before="240" w:after="0" w:line="360" w:lineRule="auto"/>
        <w:ind w:left="0"/>
        <w:jc w:val="both"/>
        <w:rPr>
          <w:rFonts w:cs="Times New Roman"/>
          <w:sz w:val="28"/>
          <w:szCs w:val="28"/>
        </w:rPr>
      </w:pPr>
    </w:p>
    <w:p w14:paraId="333BC706" w14:textId="457DFC9A" w:rsidR="004016B5" w:rsidRPr="002E721C" w:rsidRDefault="002E721C" w:rsidP="002E721C">
      <w:pPr>
        <w:spacing w:after="0" w:line="360" w:lineRule="auto"/>
        <w:jc w:val="both"/>
        <w:rPr>
          <w:rFonts w:cs="Times New Roman"/>
          <w:sz w:val="28"/>
          <w:szCs w:val="28"/>
        </w:rPr>
      </w:pPr>
      <w:r w:rsidRPr="00184CF6">
        <w:rPr>
          <w:rFonts w:cs="Times New Roman"/>
          <w:sz w:val="28"/>
          <w:szCs w:val="28"/>
        </w:rPr>
        <w:t>[3]</w:t>
      </w:r>
      <w:r w:rsidRPr="00184CF6">
        <w:rPr>
          <w:rFonts w:cs="Times New Roman"/>
          <w:sz w:val="28"/>
          <w:szCs w:val="28"/>
        </w:rPr>
        <w:tab/>
      </w:r>
      <w:r w:rsidR="0014259C" w:rsidRPr="002E721C">
        <w:rPr>
          <w:rFonts w:cs="Times New Roman"/>
          <w:sz w:val="28"/>
          <w:szCs w:val="28"/>
        </w:rPr>
        <w:t xml:space="preserve">The </w:t>
      </w:r>
      <w:r w:rsidR="00470D1E" w:rsidRPr="002E721C">
        <w:rPr>
          <w:rFonts w:cs="Times New Roman"/>
          <w:sz w:val="28"/>
          <w:szCs w:val="28"/>
        </w:rPr>
        <w:t xml:space="preserve">basic </w:t>
      </w:r>
      <w:r w:rsidR="00E33556" w:rsidRPr="002E721C">
        <w:rPr>
          <w:rFonts w:cs="Times New Roman"/>
          <w:sz w:val="28"/>
          <w:szCs w:val="28"/>
        </w:rPr>
        <w:t xml:space="preserve">facts </w:t>
      </w:r>
      <w:r w:rsidR="00470D1E" w:rsidRPr="002E721C">
        <w:rPr>
          <w:rFonts w:cs="Times New Roman"/>
          <w:sz w:val="28"/>
          <w:szCs w:val="28"/>
        </w:rPr>
        <w:t xml:space="preserve">are </w:t>
      </w:r>
      <w:r w:rsidR="00760AB5" w:rsidRPr="002E721C">
        <w:rPr>
          <w:rFonts w:cs="Times New Roman"/>
          <w:sz w:val="28"/>
          <w:szCs w:val="28"/>
        </w:rPr>
        <w:t>uncontroversial and can be shortly stated</w:t>
      </w:r>
      <w:r w:rsidR="00470D1E" w:rsidRPr="002E721C">
        <w:rPr>
          <w:rFonts w:cs="Times New Roman"/>
          <w:sz w:val="28"/>
          <w:szCs w:val="28"/>
        </w:rPr>
        <w:t xml:space="preserve">. </w:t>
      </w:r>
      <w:r w:rsidR="008C42C6" w:rsidRPr="002E721C">
        <w:rPr>
          <w:rFonts w:cs="Times New Roman"/>
          <w:sz w:val="28"/>
          <w:szCs w:val="28"/>
        </w:rPr>
        <w:t>In terms of the Uniform Rules of Court, t</w:t>
      </w:r>
      <w:r w:rsidR="00703EDC" w:rsidRPr="002E721C">
        <w:rPr>
          <w:rFonts w:cs="Times New Roman"/>
          <w:sz w:val="28"/>
          <w:szCs w:val="28"/>
        </w:rPr>
        <w:t>he plaintiff gave not</w:t>
      </w:r>
      <w:r w:rsidR="002A77CA" w:rsidRPr="002E721C">
        <w:rPr>
          <w:rFonts w:cs="Times New Roman"/>
          <w:sz w:val="28"/>
          <w:szCs w:val="28"/>
        </w:rPr>
        <w:t xml:space="preserve">ice of her intention to present </w:t>
      </w:r>
      <w:r w:rsidR="00703EDC" w:rsidRPr="002E721C">
        <w:rPr>
          <w:rFonts w:cs="Times New Roman"/>
          <w:sz w:val="28"/>
          <w:szCs w:val="28"/>
        </w:rPr>
        <w:t>expert evidence by two specialist paediatric radiologists, Prof</w:t>
      </w:r>
      <w:r w:rsidR="00FA0114" w:rsidRPr="002E721C">
        <w:rPr>
          <w:rFonts w:cs="Times New Roman"/>
          <w:sz w:val="28"/>
          <w:szCs w:val="28"/>
        </w:rPr>
        <w:t> </w:t>
      </w:r>
      <w:r w:rsidR="00703EDC" w:rsidRPr="002E721C">
        <w:rPr>
          <w:rFonts w:cs="Times New Roman"/>
          <w:sz w:val="28"/>
          <w:szCs w:val="28"/>
        </w:rPr>
        <w:t>J</w:t>
      </w:r>
      <w:r w:rsidR="00FA0114" w:rsidRPr="002E721C">
        <w:rPr>
          <w:rFonts w:cs="Times New Roman"/>
          <w:sz w:val="28"/>
          <w:szCs w:val="28"/>
        </w:rPr>
        <w:t xml:space="preserve"> </w:t>
      </w:r>
      <w:r w:rsidR="00703EDC" w:rsidRPr="002E721C">
        <w:rPr>
          <w:rFonts w:cs="Times New Roman"/>
          <w:sz w:val="28"/>
          <w:szCs w:val="28"/>
        </w:rPr>
        <w:t xml:space="preserve">W </w:t>
      </w:r>
      <w:proofErr w:type="spellStart"/>
      <w:r w:rsidR="00703EDC" w:rsidRPr="002E721C">
        <w:rPr>
          <w:rFonts w:cs="Times New Roman"/>
          <w:sz w:val="28"/>
          <w:szCs w:val="28"/>
        </w:rPr>
        <w:t>Lotz</w:t>
      </w:r>
      <w:proofErr w:type="spellEnd"/>
      <w:r w:rsidR="00703EDC" w:rsidRPr="002E721C">
        <w:rPr>
          <w:rFonts w:cs="Times New Roman"/>
          <w:sz w:val="28"/>
          <w:szCs w:val="28"/>
        </w:rPr>
        <w:t xml:space="preserve"> and Dr B </w:t>
      </w:r>
      <w:proofErr w:type="spellStart"/>
      <w:r w:rsidR="00703EDC" w:rsidRPr="002E721C">
        <w:rPr>
          <w:rFonts w:cs="Times New Roman"/>
          <w:sz w:val="28"/>
          <w:szCs w:val="28"/>
        </w:rPr>
        <w:t>Alheit</w:t>
      </w:r>
      <w:proofErr w:type="spellEnd"/>
      <w:r w:rsidR="002A77CA" w:rsidRPr="002E721C">
        <w:rPr>
          <w:rFonts w:cs="Times New Roman"/>
          <w:sz w:val="28"/>
          <w:szCs w:val="28"/>
        </w:rPr>
        <w:t>, and delivered summaries of their opinions and reasons</w:t>
      </w:r>
      <w:r w:rsidR="00703EDC" w:rsidRPr="002E721C">
        <w:rPr>
          <w:rFonts w:cs="Times New Roman"/>
          <w:sz w:val="28"/>
          <w:szCs w:val="28"/>
        </w:rPr>
        <w:t>.</w:t>
      </w:r>
      <w:r w:rsidR="002A77CA" w:rsidRPr="002E721C">
        <w:rPr>
          <w:rFonts w:cs="Times New Roman"/>
          <w:sz w:val="28"/>
          <w:szCs w:val="28"/>
        </w:rPr>
        <w:t xml:space="preserve"> I</w:t>
      </w:r>
      <w:r w:rsidR="00FD12E3" w:rsidRPr="002E721C">
        <w:rPr>
          <w:rFonts w:cs="Times New Roman"/>
          <w:sz w:val="28"/>
          <w:szCs w:val="28"/>
        </w:rPr>
        <w:t xml:space="preserve">n a </w:t>
      </w:r>
      <w:r w:rsidR="00E4183C" w:rsidRPr="002E721C">
        <w:rPr>
          <w:rFonts w:cs="Times New Roman"/>
          <w:sz w:val="28"/>
          <w:szCs w:val="28"/>
        </w:rPr>
        <w:t xml:space="preserve">report </w:t>
      </w:r>
      <w:r w:rsidR="00703EDC" w:rsidRPr="002E721C">
        <w:rPr>
          <w:rFonts w:cs="Times New Roman"/>
          <w:sz w:val="28"/>
          <w:szCs w:val="28"/>
        </w:rPr>
        <w:t>dated</w:t>
      </w:r>
      <w:r w:rsidR="004016B5" w:rsidRPr="002E721C">
        <w:rPr>
          <w:rFonts w:cs="Times New Roman"/>
          <w:sz w:val="28"/>
          <w:szCs w:val="28"/>
        </w:rPr>
        <w:t xml:space="preserve"> 30 July 2015</w:t>
      </w:r>
      <w:r w:rsidR="00E4183C" w:rsidRPr="002E721C">
        <w:rPr>
          <w:rFonts w:cs="Times New Roman"/>
          <w:sz w:val="28"/>
          <w:szCs w:val="28"/>
        </w:rPr>
        <w:t xml:space="preserve">, </w:t>
      </w:r>
      <w:r w:rsidR="00D464C1" w:rsidRPr="002E721C">
        <w:rPr>
          <w:rFonts w:cs="Times New Roman"/>
          <w:sz w:val="28"/>
          <w:szCs w:val="28"/>
        </w:rPr>
        <w:t xml:space="preserve">and </w:t>
      </w:r>
      <w:r w:rsidR="00E4183C" w:rsidRPr="002E721C">
        <w:rPr>
          <w:rFonts w:cs="Times New Roman"/>
          <w:sz w:val="28"/>
          <w:szCs w:val="28"/>
        </w:rPr>
        <w:t>based on a magnet</w:t>
      </w:r>
      <w:r w:rsidR="00ED2A6E" w:rsidRPr="002E721C">
        <w:rPr>
          <w:rFonts w:cs="Times New Roman"/>
          <w:sz w:val="28"/>
          <w:szCs w:val="28"/>
        </w:rPr>
        <w:t xml:space="preserve">ic resonance imaging (MRI) scan, </w:t>
      </w:r>
      <w:r w:rsidR="002A77CA" w:rsidRPr="002E721C">
        <w:rPr>
          <w:rFonts w:cs="Times New Roman"/>
          <w:sz w:val="28"/>
          <w:szCs w:val="28"/>
        </w:rPr>
        <w:t xml:space="preserve">Prof </w:t>
      </w:r>
      <w:proofErr w:type="spellStart"/>
      <w:r w:rsidR="002A77CA" w:rsidRPr="002E721C">
        <w:rPr>
          <w:rFonts w:cs="Times New Roman"/>
          <w:sz w:val="28"/>
          <w:szCs w:val="28"/>
        </w:rPr>
        <w:t>Lotz</w:t>
      </w:r>
      <w:proofErr w:type="spellEnd"/>
      <w:r w:rsidR="00ED2A6E" w:rsidRPr="002E721C">
        <w:rPr>
          <w:rFonts w:cs="Times New Roman"/>
          <w:sz w:val="28"/>
          <w:szCs w:val="28"/>
        </w:rPr>
        <w:t xml:space="preserve"> </w:t>
      </w:r>
      <w:r w:rsidR="009E3444" w:rsidRPr="002E721C">
        <w:rPr>
          <w:rFonts w:cs="Times New Roman"/>
          <w:sz w:val="28"/>
          <w:szCs w:val="28"/>
        </w:rPr>
        <w:t>opined</w:t>
      </w:r>
      <w:r w:rsidR="00E4183C" w:rsidRPr="002E721C">
        <w:rPr>
          <w:rFonts w:cs="Times New Roman"/>
          <w:sz w:val="28"/>
          <w:szCs w:val="28"/>
        </w:rPr>
        <w:t xml:space="preserve"> that the ‘MRI features are diagnostic of an </w:t>
      </w:r>
      <w:r w:rsidR="00E4183C" w:rsidRPr="002E721C">
        <w:rPr>
          <w:rFonts w:cs="Times New Roman"/>
          <w:b/>
          <w:sz w:val="28"/>
          <w:szCs w:val="28"/>
        </w:rPr>
        <w:t>acute profound hypoxic injury</w:t>
      </w:r>
      <w:r w:rsidR="00787D8E" w:rsidRPr="002E721C">
        <w:rPr>
          <w:rFonts w:cs="Times New Roman"/>
          <w:sz w:val="28"/>
          <w:szCs w:val="28"/>
        </w:rPr>
        <w:t xml:space="preserve"> </w:t>
      </w:r>
      <w:r w:rsidR="00E4183C" w:rsidRPr="002E721C">
        <w:rPr>
          <w:rFonts w:cs="Times New Roman"/>
          <w:sz w:val="28"/>
          <w:szCs w:val="28"/>
        </w:rPr>
        <w:t>in a term brain in a chronic stage of evolution’.</w:t>
      </w:r>
      <w:r w:rsidR="00E4183C" w:rsidRPr="00184CF6">
        <w:rPr>
          <w:rStyle w:val="FootnoteReference"/>
          <w:rFonts w:cs="Times New Roman"/>
          <w:sz w:val="28"/>
          <w:szCs w:val="28"/>
        </w:rPr>
        <w:footnoteReference w:id="3"/>
      </w:r>
      <w:r w:rsidR="00E4183C" w:rsidRPr="002E721C">
        <w:rPr>
          <w:rFonts w:cs="Times New Roman"/>
          <w:sz w:val="28"/>
          <w:szCs w:val="28"/>
        </w:rPr>
        <w:t xml:space="preserve"> </w:t>
      </w:r>
      <w:r w:rsidR="007A4812" w:rsidRPr="002E721C">
        <w:rPr>
          <w:rFonts w:cs="Times New Roman"/>
          <w:sz w:val="28"/>
          <w:szCs w:val="28"/>
        </w:rPr>
        <w:t>This injury results from a combine</w:t>
      </w:r>
      <w:r w:rsidR="00FC13DE" w:rsidRPr="002E721C">
        <w:rPr>
          <w:rFonts w:cs="Times New Roman"/>
          <w:sz w:val="28"/>
          <w:szCs w:val="28"/>
        </w:rPr>
        <w:t xml:space="preserve">d insult of hypoxia (lack of </w:t>
      </w:r>
      <w:r w:rsidR="007A4812" w:rsidRPr="002E721C">
        <w:rPr>
          <w:rFonts w:cs="Times New Roman"/>
          <w:sz w:val="28"/>
          <w:szCs w:val="28"/>
        </w:rPr>
        <w:t>ox</w:t>
      </w:r>
      <w:r w:rsidR="00BE710A" w:rsidRPr="002E721C">
        <w:rPr>
          <w:rFonts w:cs="Times New Roman"/>
          <w:sz w:val="28"/>
          <w:szCs w:val="28"/>
        </w:rPr>
        <w:t xml:space="preserve">ygen) and ischaemia (not enough </w:t>
      </w:r>
      <w:r w:rsidR="007A4812" w:rsidRPr="002E721C">
        <w:rPr>
          <w:rFonts w:cs="Times New Roman"/>
          <w:sz w:val="28"/>
          <w:szCs w:val="28"/>
        </w:rPr>
        <w:t>blood pressure due to circulatory collapse) to the brain.</w:t>
      </w:r>
    </w:p>
    <w:p w14:paraId="5191AFDC" w14:textId="77777777" w:rsidR="004016B5" w:rsidRPr="00184CF6" w:rsidRDefault="004016B5" w:rsidP="004016B5">
      <w:pPr>
        <w:pStyle w:val="ListParagraph"/>
        <w:spacing w:after="0" w:line="360" w:lineRule="auto"/>
        <w:ind w:left="0"/>
        <w:jc w:val="both"/>
        <w:rPr>
          <w:rFonts w:cs="Times New Roman"/>
          <w:sz w:val="28"/>
          <w:szCs w:val="28"/>
        </w:rPr>
      </w:pPr>
    </w:p>
    <w:p w14:paraId="6EDB00B0" w14:textId="1757FC55" w:rsidR="008B3F66" w:rsidRPr="002E721C" w:rsidRDefault="002E721C" w:rsidP="002E721C">
      <w:pPr>
        <w:spacing w:after="0" w:line="360" w:lineRule="auto"/>
        <w:jc w:val="both"/>
        <w:rPr>
          <w:rFonts w:cs="Times New Roman"/>
          <w:sz w:val="28"/>
          <w:szCs w:val="28"/>
        </w:rPr>
      </w:pPr>
      <w:r>
        <w:rPr>
          <w:rFonts w:cs="Times New Roman"/>
          <w:sz w:val="28"/>
          <w:szCs w:val="28"/>
        </w:rPr>
        <w:t>[4]</w:t>
      </w:r>
      <w:r>
        <w:rPr>
          <w:rFonts w:cs="Times New Roman"/>
          <w:sz w:val="28"/>
          <w:szCs w:val="28"/>
        </w:rPr>
        <w:tab/>
      </w:r>
      <w:r w:rsidR="008B3F66" w:rsidRPr="002E721C">
        <w:rPr>
          <w:rFonts w:cs="Times New Roman"/>
          <w:sz w:val="28"/>
          <w:szCs w:val="28"/>
        </w:rPr>
        <w:t xml:space="preserve">Dr </w:t>
      </w:r>
      <w:proofErr w:type="spellStart"/>
      <w:r w:rsidR="008B3F66" w:rsidRPr="002E721C">
        <w:rPr>
          <w:rFonts w:cs="Times New Roman"/>
          <w:sz w:val="28"/>
          <w:szCs w:val="28"/>
        </w:rPr>
        <w:t>Alheit</w:t>
      </w:r>
      <w:proofErr w:type="spellEnd"/>
      <w:r w:rsidR="008B3F66" w:rsidRPr="002E721C">
        <w:rPr>
          <w:rFonts w:cs="Times New Roman"/>
          <w:sz w:val="28"/>
          <w:szCs w:val="28"/>
        </w:rPr>
        <w:t xml:space="preserve"> expressed a similar </w:t>
      </w:r>
      <w:r w:rsidR="004016B5" w:rsidRPr="002E721C">
        <w:rPr>
          <w:rFonts w:cs="Times New Roman"/>
          <w:sz w:val="28"/>
          <w:szCs w:val="28"/>
        </w:rPr>
        <w:t xml:space="preserve">opinion </w:t>
      </w:r>
      <w:r w:rsidR="00173B38" w:rsidRPr="002E721C">
        <w:rPr>
          <w:rFonts w:cs="Times New Roman"/>
          <w:sz w:val="28"/>
          <w:szCs w:val="28"/>
        </w:rPr>
        <w:t xml:space="preserve">in respect of this MRI scan </w:t>
      </w:r>
      <w:r w:rsidR="004016B5" w:rsidRPr="002E721C">
        <w:rPr>
          <w:rFonts w:cs="Times New Roman"/>
          <w:sz w:val="28"/>
          <w:szCs w:val="28"/>
        </w:rPr>
        <w:t>in his report dated 27 July 2019:</w:t>
      </w:r>
    </w:p>
    <w:p w14:paraId="15DAD81C" w14:textId="2748D0CB" w:rsidR="00F14317" w:rsidRDefault="004016B5" w:rsidP="008B3F66">
      <w:pPr>
        <w:pStyle w:val="ListParagraph"/>
        <w:spacing w:after="0" w:line="360" w:lineRule="auto"/>
        <w:ind w:left="0"/>
        <w:jc w:val="both"/>
        <w:rPr>
          <w:rFonts w:cs="Times New Roman"/>
          <w:sz w:val="24"/>
          <w:szCs w:val="24"/>
        </w:rPr>
      </w:pPr>
      <w:r w:rsidRPr="00444B39">
        <w:rPr>
          <w:rFonts w:cs="Times New Roman"/>
          <w:sz w:val="24"/>
          <w:szCs w:val="24"/>
        </w:rPr>
        <w:t xml:space="preserve">‘The MRI features, in the appropriate clinical context, are considered as diagnostic of an </w:t>
      </w:r>
      <w:r w:rsidRPr="00444B39">
        <w:rPr>
          <w:rFonts w:cs="Times New Roman"/>
          <w:b/>
          <w:sz w:val="24"/>
          <w:szCs w:val="24"/>
        </w:rPr>
        <w:t>acute profound (central) hypoxic ischaemic injury</w:t>
      </w:r>
      <w:r w:rsidRPr="00444B39">
        <w:rPr>
          <w:rFonts w:cs="Times New Roman"/>
          <w:sz w:val="24"/>
          <w:szCs w:val="24"/>
        </w:rPr>
        <w:t xml:space="preserve"> </w:t>
      </w:r>
      <w:r w:rsidR="00C7371C" w:rsidRPr="00444B39">
        <w:rPr>
          <w:rFonts w:cs="Times New Roman"/>
          <w:sz w:val="24"/>
          <w:szCs w:val="24"/>
        </w:rPr>
        <w:t xml:space="preserve">of the </w:t>
      </w:r>
      <w:r w:rsidRPr="00444B39">
        <w:rPr>
          <w:rFonts w:cs="Times New Roman"/>
          <w:sz w:val="24"/>
          <w:szCs w:val="24"/>
        </w:rPr>
        <w:t>brain, as seen from 35-36 weeks</w:t>
      </w:r>
      <w:r w:rsidR="00C7371C" w:rsidRPr="00444B39">
        <w:rPr>
          <w:rFonts w:cs="Times New Roman"/>
          <w:sz w:val="24"/>
          <w:szCs w:val="24"/>
        </w:rPr>
        <w:t>’</w:t>
      </w:r>
      <w:r w:rsidRPr="00444B39">
        <w:rPr>
          <w:rFonts w:cs="Times New Roman"/>
          <w:sz w:val="24"/>
          <w:szCs w:val="24"/>
        </w:rPr>
        <w:t xml:space="preserve"> </w:t>
      </w:r>
      <w:r w:rsidRPr="00444B39">
        <w:rPr>
          <w:rFonts w:cs="Times New Roman"/>
          <w:sz w:val="24"/>
          <w:szCs w:val="24"/>
        </w:rPr>
        <w:lastRenderedPageBreak/>
        <w:t xml:space="preserve">gestation onwards, now visualised in the chronic stage of </w:t>
      </w:r>
      <w:r w:rsidR="00C7371C" w:rsidRPr="00444B39">
        <w:rPr>
          <w:rFonts w:cs="Times New Roman"/>
          <w:sz w:val="24"/>
          <w:szCs w:val="24"/>
        </w:rPr>
        <w:t>evoluti</w:t>
      </w:r>
      <w:r w:rsidRPr="00444B39">
        <w:rPr>
          <w:rFonts w:cs="Times New Roman"/>
          <w:sz w:val="24"/>
          <w:szCs w:val="24"/>
        </w:rPr>
        <w:t xml:space="preserve">on </w:t>
      </w:r>
      <w:r w:rsidR="00C7371C" w:rsidRPr="00444B39">
        <w:rPr>
          <w:rFonts w:cs="Times New Roman"/>
          <w:sz w:val="24"/>
          <w:szCs w:val="24"/>
        </w:rPr>
        <w:t xml:space="preserve">on </w:t>
      </w:r>
      <w:r w:rsidRPr="00444B39">
        <w:rPr>
          <w:rFonts w:cs="Times New Roman"/>
          <w:sz w:val="24"/>
          <w:szCs w:val="24"/>
        </w:rPr>
        <w:t xml:space="preserve">the MR scan done at the age of </w:t>
      </w:r>
      <w:r w:rsidR="00C7371C" w:rsidRPr="00444B39">
        <w:rPr>
          <w:rFonts w:cs="Times New Roman"/>
          <w:sz w:val="24"/>
          <w:szCs w:val="24"/>
        </w:rPr>
        <w:t>9 years and 4</w:t>
      </w:r>
      <w:r w:rsidRPr="00444B39">
        <w:rPr>
          <w:rFonts w:cs="Times New Roman"/>
          <w:sz w:val="24"/>
          <w:szCs w:val="24"/>
        </w:rPr>
        <w:t xml:space="preserve"> months</w:t>
      </w:r>
      <w:r w:rsidR="00C7371C" w:rsidRPr="00444B39">
        <w:rPr>
          <w:rFonts w:cs="Times New Roman"/>
          <w:sz w:val="24"/>
          <w:szCs w:val="24"/>
        </w:rPr>
        <w:t>.</w:t>
      </w:r>
      <w:r w:rsidR="00444B39" w:rsidRPr="00444B39">
        <w:rPr>
          <w:rFonts w:cs="Times New Roman"/>
          <w:sz w:val="24"/>
          <w:szCs w:val="24"/>
        </w:rPr>
        <w:t>’</w:t>
      </w:r>
      <w:r w:rsidR="00760AB5">
        <w:rPr>
          <w:rStyle w:val="FootnoteReference"/>
          <w:rFonts w:cs="Times New Roman"/>
          <w:sz w:val="24"/>
          <w:szCs w:val="24"/>
        </w:rPr>
        <w:footnoteReference w:id="4"/>
      </w:r>
    </w:p>
    <w:p w14:paraId="30B198AA" w14:textId="5FC7FA51" w:rsidR="00E4183C" w:rsidRDefault="004016B5" w:rsidP="008B3F66">
      <w:pPr>
        <w:pStyle w:val="ListParagraph"/>
        <w:spacing w:after="0" w:line="360" w:lineRule="auto"/>
        <w:ind w:left="0"/>
        <w:jc w:val="both"/>
        <w:rPr>
          <w:rFonts w:cs="Times New Roman"/>
          <w:sz w:val="28"/>
          <w:szCs w:val="28"/>
        </w:rPr>
      </w:pPr>
      <w:r>
        <w:rPr>
          <w:rFonts w:cs="Times New Roman"/>
          <w:sz w:val="28"/>
          <w:szCs w:val="28"/>
        </w:rPr>
        <w:t xml:space="preserve"> </w:t>
      </w:r>
    </w:p>
    <w:p w14:paraId="396196FD" w14:textId="75DCCB45" w:rsidR="00C228E8" w:rsidRPr="002E721C" w:rsidRDefault="002E721C" w:rsidP="002E721C">
      <w:pPr>
        <w:spacing w:after="0" w:line="360" w:lineRule="auto"/>
        <w:jc w:val="both"/>
        <w:rPr>
          <w:rFonts w:cs="Times New Roman"/>
          <w:sz w:val="28"/>
          <w:szCs w:val="28"/>
        </w:rPr>
      </w:pPr>
      <w:r w:rsidRPr="00184CF6">
        <w:rPr>
          <w:rFonts w:cs="Times New Roman"/>
          <w:sz w:val="28"/>
          <w:szCs w:val="28"/>
        </w:rPr>
        <w:t>[5]</w:t>
      </w:r>
      <w:r w:rsidRPr="00184CF6">
        <w:rPr>
          <w:rFonts w:cs="Times New Roman"/>
          <w:sz w:val="28"/>
          <w:szCs w:val="28"/>
        </w:rPr>
        <w:tab/>
      </w:r>
      <w:r w:rsidR="00F14317" w:rsidRPr="002E721C">
        <w:rPr>
          <w:rFonts w:cs="Times New Roman"/>
          <w:sz w:val="28"/>
          <w:szCs w:val="28"/>
        </w:rPr>
        <w:t>The defendant sought to turn t</w:t>
      </w:r>
      <w:r w:rsidR="004809F1" w:rsidRPr="002E721C">
        <w:rPr>
          <w:rFonts w:cs="Times New Roman"/>
          <w:sz w:val="28"/>
          <w:szCs w:val="28"/>
        </w:rPr>
        <w:t xml:space="preserve">hese opinions to her advantage, by informing </w:t>
      </w:r>
      <w:r w:rsidR="006C314E" w:rsidRPr="002E721C">
        <w:rPr>
          <w:rFonts w:cs="Times New Roman"/>
          <w:sz w:val="28"/>
          <w:szCs w:val="28"/>
        </w:rPr>
        <w:t xml:space="preserve">the plaintiff’s attorney </w:t>
      </w:r>
      <w:r w:rsidR="00AE47E2" w:rsidRPr="002E721C">
        <w:rPr>
          <w:rFonts w:cs="Times New Roman"/>
          <w:sz w:val="28"/>
          <w:szCs w:val="28"/>
        </w:rPr>
        <w:t>in correspondence</w:t>
      </w:r>
      <w:r w:rsidR="00406E0F" w:rsidRPr="002E721C">
        <w:rPr>
          <w:rFonts w:cs="Times New Roman"/>
          <w:sz w:val="28"/>
          <w:szCs w:val="28"/>
        </w:rPr>
        <w:t xml:space="preserve"> dated </w:t>
      </w:r>
      <w:r w:rsidR="00A45673" w:rsidRPr="002E721C">
        <w:rPr>
          <w:rFonts w:cs="Times New Roman"/>
          <w:sz w:val="28"/>
          <w:szCs w:val="28"/>
        </w:rPr>
        <w:t xml:space="preserve">5 April 2018 and 21 </w:t>
      </w:r>
      <w:r w:rsidR="00406E0F" w:rsidRPr="002E721C">
        <w:rPr>
          <w:rFonts w:cs="Times New Roman"/>
          <w:sz w:val="28"/>
          <w:szCs w:val="28"/>
        </w:rPr>
        <w:t>August 2019</w:t>
      </w:r>
      <w:r w:rsidR="00AE47E2" w:rsidRPr="002E721C">
        <w:rPr>
          <w:rFonts w:cs="Times New Roman"/>
          <w:sz w:val="28"/>
          <w:szCs w:val="28"/>
        </w:rPr>
        <w:t>,</w:t>
      </w:r>
      <w:r w:rsidR="00A45673" w:rsidRPr="002E721C">
        <w:rPr>
          <w:rFonts w:cs="Times New Roman"/>
          <w:sz w:val="28"/>
          <w:szCs w:val="28"/>
        </w:rPr>
        <w:t xml:space="preserve"> </w:t>
      </w:r>
      <w:r w:rsidR="006C314E" w:rsidRPr="002E721C">
        <w:rPr>
          <w:rFonts w:cs="Times New Roman"/>
          <w:sz w:val="28"/>
          <w:szCs w:val="28"/>
        </w:rPr>
        <w:t xml:space="preserve">that </w:t>
      </w:r>
      <w:r w:rsidR="005233B0" w:rsidRPr="002E721C">
        <w:rPr>
          <w:rFonts w:cs="Times New Roman"/>
          <w:sz w:val="28"/>
          <w:szCs w:val="28"/>
        </w:rPr>
        <w:t>both the expert summaries of</w:t>
      </w:r>
      <w:r w:rsidR="00736E5C" w:rsidRPr="002E721C">
        <w:rPr>
          <w:rFonts w:cs="Times New Roman"/>
          <w:sz w:val="28"/>
          <w:szCs w:val="28"/>
        </w:rPr>
        <w:t xml:space="preserve"> </w:t>
      </w:r>
      <w:r w:rsidR="006C314E" w:rsidRPr="002E721C">
        <w:rPr>
          <w:rFonts w:cs="Times New Roman"/>
          <w:sz w:val="28"/>
          <w:szCs w:val="28"/>
        </w:rPr>
        <w:t xml:space="preserve">Prof </w:t>
      </w:r>
      <w:proofErr w:type="spellStart"/>
      <w:r w:rsidR="006C314E" w:rsidRPr="002E721C">
        <w:rPr>
          <w:rFonts w:cs="Times New Roman"/>
          <w:sz w:val="28"/>
          <w:szCs w:val="28"/>
        </w:rPr>
        <w:t>L</w:t>
      </w:r>
      <w:r w:rsidR="00736E5C" w:rsidRPr="002E721C">
        <w:rPr>
          <w:rFonts w:cs="Times New Roman"/>
          <w:sz w:val="28"/>
          <w:szCs w:val="28"/>
        </w:rPr>
        <w:t>otz</w:t>
      </w:r>
      <w:proofErr w:type="spellEnd"/>
      <w:r w:rsidR="00736E5C" w:rsidRPr="002E721C">
        <w:rPr>
          <w:rFonts w:cs="Times New Roman"/>
          <w:sz w:val="28"/>
          <w:szCs w:val="28"/>
        </w:rPr>
        <w:t xml:space="preserve"> and Dr </w:t>
      </w:r>
      <w:proofErr w:type="spellStart"/>
      <w:r w:rsidR="00736E5C" w:rsidRPr="002E721C">
        <w:rPr>
          <w:rFonts w:cs="Times New Roman"/>
          <w:sz w:val="28"/>
          <w:szCs w:val="28"/>
        </w:rPr>
        <w:t>A</w:t>
      </w:r>
      <w:r w:rsidR="00FC13DE" w:rsidRPr="002E721C">
        <w:rPr>
          <w:rFonts w:cs="Times New Roman"/>
          <w:sz w:val="28"/>
          <w:szCs w:val="28"/>
        </w:rPr>
        <w:t>lheit</w:t>
      </w:r>
      <w:proofErr w:type="spellEnd"/>
      <w:r w:rsidR="00FC13DE" w:rsidRPr="002E721C">
        <w:rPr>
          <w:rFonts w:cs="Times New Roman"/>
          <w:sz w:val="28"/>
          <w:szCs w:val="28"/>
        </w:rPr>
        <w:t xml:space="preserve"> wer</w:t>
      </w:r>
      <w:r w:rsidR="00736E5C" w:rsidRPr="002E721C">
        <w:rPr>
          <w:rFonts w:cs="Times New Roman"/>
          <w:sz w:val="28"/>
          <w:szCs w:val="28"/>
        </w:rPr>
        <w:t xml:space="preserve">e </w:t>
      </w:r>
      <w:r w:rsidR="00C228E8" w:rsidRPr="002E721C">
        <w:rPr>
          <w:rFonts w:cs="Times New Roman"/>
          <w:sz w:val="28"/>
          <w:szCs w:val="28"/>
        </w:rPr>
        <w:t>‘</w:t>
      </w:r>
      <w:r w:rsidR="00FC13DE" w:rsidRPr="002E721C">
        <w:rPr>
          <w:rFonts w:cs="Times New Roman"/>
          <w:sz w:val="28"/>
          <w:szCs w:val="28"/>
        </w:rPr>
        <w:t>admitted</w:t>
      </w:r>
      <w:r w:rsidR="00C228E8" w:rsidRPr="002E721C">
        <w:rPr>
          <w:rFonts w:cs="Times New Roman"/>
          <w:sz w:val="28"/>
          <w:szCs w:val="28"/>
        </w:rPr>
        <w:t>’</w:t>
      </w:r>
      <w:r w:rsidR="000D7DB2" w:rsidRPr="002E721C">
        <w:rPr>
          <w:rFonts w:cs="Times New Roman"/>
          <w:sz w:val="28"/>
          <w:szCs w:val="28"/>
        </w:rPr>
        <w:t>; and</w:t>
      </w:r>
      <w:r w:rsidR="00F85A94" w:rsidRPr="002E721C">
        <w:rPr>
          <w:rFonts w:cs="Times New Roman"/>
          <w:sz w:val="28"/>
          <w:szCs w:val="28"/>
        </w:rPr>
        <w:t xml:space="preserve"> </w:t>
      </w:r>
      <w:r w:rsidR="001B5B4E" w:rsidRPr="002E721C">
        <w:rPr>
          <w:rFonts w:cs="Times New Roman"/>
          <w:sz w:val="28"/>
          <w:szCs w:val="28"/>
        </w:rPr>
        <w:t xml:space="preserve">that they </w:t>
      </w:r>
      <w:r w:rsidR="00D06BB3" w:rsidRPr="002E721C">
        <w:rPr>
          <w:rFonts w:cs="Times New Roman"/>
          <w:sz w:val="28"/>
          <w:szCs w:val="28"/>
        </w:rPr>
        <w:t>could</w:t>
      </w:r>
      <w:r w:rsidR="006C314E" w:rsidRPr="002E721C">
        <w:rPr>
          <w:rFonts w:cs="Times New Roman"/>
          <w:sz w:val="28"/>
          <w:szCs w:val="28"/>
        </w:rPr>
        <w:t xml:space="preserve"> </w:t>
      </w:r>
      <w:r w:rsidR="0023309B" w:rsidRPr="002E721C">
        <w:rPr>
          <w:rFonts w:cs="Times New Roman"/>
          <w:sz w:val="28"/>
          <w:szCs w:val="28"/>
        </w:rPr>
        <w:t>‘</w:t>
      </w:r>
      <w:r w:rsidR="006C314E" w:rsidRPr="002E721C">
        <w:rPr>
          <w:rFonts w:cs="Times New Roman"/>
          <w:sz w:val="28"/>
          <w:szCs w:val="28"/>
        </w:rPr>
        <w:t>be ha</w:t>
      </w:r>
      <w:r w:rsidR="00D06BB3" w:rsidRPr="002E721C">
        <w:rPr>
          <w:rFonts w:cs="Times New Roman"/>
          <w:sz w:val="28"/>
          <w:szCs w:val="28"/>
        </w:rPr>
        <w:t>nded in as evidence in the case</w:t>
      </w:r>
      <w:r w:rsidR="00F85A94" w:rsidRPr="002E721C">
        <w:rPr>
          <w:rFonts w:cs="Times New Roman"/>
          <w:sz w:val="28"/>
          <w:szCs w:val="28"/>
        </w:rPr>
        <w:t>’</w:t>
      </w:r>
      <w:r w:rsidR="00994A45" w:rsidRPr="002E721C">
        <w:rPr>
          <w:rFonts w:cs="Times New Roman"/>
          <w:sz w:val="28"/>
          <w:szCs w:val="28"/>
        </w:rPr>
        <w:t xml:space="preserve">. </w:t>
      </w:r>
      <w:r w:rsidR="002822D3" w:rsidRPr="002E721C">
        <w:rPr>
          <w:rFonts w:cs="Times New Roman"/>
          <w:sz w:val="28"/>
          <w:szCs w:val="28"/>
        </w:rPr>
        <w:t xml:space="preserve">In this </w:t>
      </w:r>
      <w:r w:rsidR="00A45673" w:rsidRPr="002E721C">
        <w:rPr>
          <w:rFonts w:cs="Times New Roman"/>
          <w:sz w:val="28"/>
          <w:szCs w:val="28"/>
        </w:rPr>
        <w:t>correspondence</w:t>
      </w:r>
      <w:r w:rsidR="002822D3" w:rsidRPr="002E721C">
        <w:rPr>
          <w:rFonts w:cs="Times New Roman"/>
          <w:sz w:val="28"/>
          <w:szCs w:val="28"/>
        </w:rPr>
        <w:t xml:space="preserve"> t</w:t>
      </w:r>
      <w:r w:rsidR="00994A45" w:rsidRPr="002E721C">
        <w:rPr>
          <w:rFonts w:cs="Times New Roman"/>
          <w:sz w:val="28"/>
          <w:szCs w:val="28"/>
        </w:rPr>
        <w:t xml:space="preserve">he </w:t>
      </w:r>
      <w:r w:rsidR="00F85A94" w:rsidRPr="002E721C">
        <w:rPr>
          <w:rFonts w:cs="Times New Roman"/>
          <w:sz w:val="28"/>
          <w:szCs w:val="28"/>
        </w:rPr>
        <w:t xml:space="preserve">defendant </w:t>
      </w:r>
      <w:r w:rsidR="001B5B4E" w:rsidRPr="002E721C">
        <w:rPr>
          <w:rFonts w:cs="Times New Roman"/>
          <w:sz w:val="28"/>
          <w:szCs w:val="28"/>
        </w:rPr>
        <w:t>s</w:t>
      </w:r>
      <w:r w:rsidR="00FD12E3" w:rsidRPr="002E721C">
        <w:rPr>
          <w:rFonts w:cs="Times New Roman"/>
          <w:sz w:val="28"/>
          <w:szCs w:val="28"/>
        </w:rPr>
        <w:t xml:space="preserve">pecifically recorded </w:t>
      </w:r>
      <w:r w:rsidR="00E87F9F" w:rsidRPr="002E721C">
        <w:rPr>
          <w:rFonts w:cs="Times New Roman"/>
          <w:sz w:val="28"/>
          <w:szCs w:val="28"/>
        </w:rPr>
        <w:t xml:space="preserve">her ‘admission’ </w:t>
      </w:r>
      <w:r w:rsidR="00C228E8" w:rsidRPr="002E721C">
        <w:rPr>
          <w:rFonts w:cs="Times New Roman"/>
          <w:sz w:val="28"/>
          <w:szCs w:val="28"/>
        </w:rPr>
        <w:t>that</w:t>
      </w:r>
      <w:r w:rsidR="00D178C2" w:rsidRPr="002E721C">
        <w:rPr>
          <w:rFonts w:cs="Times New Roman"/>
          <w:sz w:val="28"/>
          <w:szCs w:val="28"/>
        </w:rPr>
        <w:t xml:space="preserve"> the</w:t>
      </w:r>
      <w:r w:rsidR="00FD12E3" w:rsidRPr="002E721C">
        <w:rPr>
          <w:rFonts w:cs="Times New Roman"/>
          <w:sz w:val="28"/>
          <w:szCs w:val="28"/>
        </w:rPr>
        <w:t xml:space="preserve"> </w:t>
      </w:r>
      <w:r w:rsidR="00C228E8" w:rsidRPr="002E721C">
        <w:rPr>
          <w:rFonts w:cs="Times New Roman"/>
          <w:sz w:val="28"/>
          <w:szCs w:val="28"/>
        </w:rPr>
        <w:t xml:space="preserve">child had sustained an acute </w:t>
      </w:r>
      <w:r w:rsidR="00E95B39" w:rsidRPr="002E721C">
        <w:rPr>
          <w:rFonts w:cs="Times New Roman"/>
          <w:sz w:val="28"/>
          <w:szCs w:val="28"/>
        </w:rPr>
        <w:t>hypoxic ischaemic injury (HII)</w:t>
      </w:r>
      <w:r w:rsidR="00C228E8" w:rsidRPr="002E721C">
        <w:rPr>
          <w:rFonts w:cs="Times New Roman"/>
          <w:sz w:val="28"/>
          <w:szCs w:val="28"/>
        </w:rPr>
        <w:t xml:space="preserve">, </w:t>
      </w:r>
      <w:proofErr w:type="spellStart"/>
      <w:r w:rsidR="00C228E8" w:rsidRPr="002E721C">
        <w:rPr>
          <w:rFonts w:cs="Times New Roman"/>
          <w:sz w:val="28"/>
          <w:szCs w:val="28"/>
        </w:rPr>
        <w:t>ie</w:t>
      </w:r>
      <w:proofErr w:type="spellEnd"/>
      <w:r w:rsidR="00C228E8" w:rsidRPr="002E721C">
        <w:rPr>
          <w:rFonts w:cs="Times New Roman"/>
          <w:sz w:val="28"/>
          <w:szCs w:val="28"/>
        </w:rPr>
        <w:t xml:space="preserve"> the injury </w:t>
      </w:r>
      <w:r w:rsidR="00FD12E3" w:rsidRPr="002E721C">
        <w:rPr>
          <w:rFonts w:cs="Times New Roman"/>
          <w:sz w:val="28"/>
          <w:szCs w:val="28"/>
        </w:rPr>
        <w:t>was sudden, unexpected or without warning</w:t>
      </w:r>
      <w:r w:rsidR="00F85A94" w:rsidRPr="002E721C">
        <w:rPr>
          <w:rFonts w:cs="Times New Roman"/>
          <w:sz w:val="28"/>
          <w:szCs w:val="28"/>
        </w:rPr>
        <w:t>. In what follows, I refer to all of this as ‘the</w:t>
      </w:r>
      <w:r w:rsidR="001B5B4E" w:rsidRPr="002E721C">
        <w:rPr>
          <w:rFonts w:cs="Times New Roman"/>
          <w:sz w:val="28"/>
          <w:szCs w:val="28"/>
        </w:rPr>
        <w:t xml:space="preserve"> </w:t>
      </w:r>
      <w:r w:rsidR="00A67D73" w:rsidRPr="002E721C">
        <w:rPr>
          <w:rFonts w:cs="Times New Roman"/>
          <w:sz w:val="28"/>
          <w:szCs w:val="28"/>
        </w:rPr>
        <w:t>purported</w:t>
      </w:r>
      <w:r w:rsidR="001B5B4E" w:rsidRPr="002E721C">
        <w:rPr>
          <w:rFonts w:cs="Times New Roman"/>
          <w:sz w:val="28"/>
          <w:szCs w:val="28"/>
        </w:rPr>
        <w:t xml:space="preserve"> admission</w:t>
      </w:r>
      <w:r w:rsidR="00F85A94" w:rsidRPr="002E721C">
        <w:rPr>
          <w:rFonts w:cs="Times New Roman"/>
          <w:sz w:val="28"/>
          <w:szCs w:val="28"/>
        </w:rPr>
        <w:t>’</w:t>
      </w:r>
      <w:r w:rsidR="009C00A6" w:rsidRPr="002E721C">
        <w:rPr>
          <w:rFonts w:cs="Times New Roman"/>
          <w:sz w:val="28"/>
          <w:szCs w:val="28"/>
        </w:rPr>
        <w:t>.</w:t>
      </w:r>
      <w:r w:rsidR="00C228E8" w:rsidRPr="002E721C">
        <w:rPr>
          <w:rFonts w:cs="Times New Roman"/>
          <w:sz w:val="28"/>
          <w:szCs w:val="28"/>
        </w:rPr>
        <w:t xml:space="preserve"> </w:t>
      </w:r>
    </w:p>
    <w:p w14:paraId="6B982469" w14:textId="77777777" w:rsidR="00C228E8" w:rsidRPr="00184CF6" w:rsidRDefault="00C228E8" w:rsidP="00C228E8">
      <w:pPr>
        <w:pStyle w:val="ListParagraph"/>
        <w:spacing w:after="0" w:line="360" w:lineRule="auto"/>
        <w:ind w:left="0"/>
        <w:jc w:val="both"/>
        <w:rPr>
          <w:rFonts w:cs="Times New Roman"/>
          <w:sz w:val="28"/>
          <w:szCs w:val="28"/>
        </w:rPr>
      </w:pPr>
    </w:p>
    <w:p w14:paraId="626F3D65" w14:textId="2D5106DC" w:rsidR="00E4183C" w:rsidRPr="002E721C" w:rsidRDefault="002E721C" w:rsidP="002E721C">
      <w:pPr>
        <w:spacing w:after="0" w:line="360" w:lineRule="auto"/>
        <w:jc w:val="both"/>
        <w:rPr>
          <w:rFonts w:cs="Times New Roman"/>
          <w:sz w:val="28"/>
          <w:szCs w:val="28"/>
        </w:rPr>
      </w:pPr>
      <w:r w:rsidRPr="00184CF6">
        <w:rPr>
          <w:rFonts w:cs="Times New Roman"/>
          <w:sz w:val="28"/>
          <w:szCs w:val="28"/>
        </w:rPr>
        <w:t>[6]</w:t>
      </w:r>
      <w:r w:rsidRPr="00184CF6">
        <w:rPr>
          <w:rFonts w:cs="Times New Roman"/>
          <w:sz w:val="28"/>
          <w:szCs w:val="28"/>
        </w:rPr>
        <w:tab/>
      </w:r>
      <w:r w:rsidR="00FD12E3" w:rsidRPr="002E721C">
        <w:rPr>
          <w:rFonts w:cs="Times New Roman"/>
          <w:sz w:val="28"/>
          <w:szCs w:val="28"/>
        </w:rPr>
        <w:t xml:space="preserve">An </w:t>
      </w:r>
      <w:r w:rsidR="00E95B39" w:rsidRPr="002E721C">
        <w:rPr>
          <w:rFonts w:cs="Times New Roman"/>
          <w:sz w:val="28"/>
          <w:szCs w:val="28"/>
        </w:rPr>
        <w:t xml:space="preserve">acute profound </w:t>
      </w:r>
      <w:r w:rsidR="00FD12E3" w:rsidRPr="002E721C">
        <w:rPr>
          <w:rFonts w:cs="Times New Roman"/>
          <w:sz w:val="28"/>
          <w:szCs w:val="28"/>
        </w:rPr>
        <w:t>HII must be distinguished from a</w:t>
      </w:r>
      <w:r w:rsidR="00E95B39" w:rsidRPr="002E721C">
        <w:rPr>
          <w:rFonts w:cs="Times New Roman"/>
          <w:sz w:val="28"/>
          <w:szCs w:val="28"/>
        </w:rPr>
        <w:t xml:space="preserve"> </w:t>
      </w:r>
      <w:r w:rsidR="00866A08" w:rsidRPr="002E721C">
        <w:rPr>
          <w:rFonts w:cs="Times New Roman"/>
          <w:sz w:val="28"/>
          <w:szCs w:val="28"/>
        </w:rPr>
        <w:t xml:space="preserve">partial </w:t>
      </w:r>
      <w:r w:rsidR="00E95B39" w:rsidRPr="002E721C">
        <w:rPr>
          <w:rFonts w:cs="Times New Roman"/>
          <w:sz w:val="28"/>
          <w:szCs w:val="28"/>
        </w:rPr>
        <w:t>prolonged HII</w:t>
      </w:r>
      <w:r w:rsidR="008E647A" w:rsidRPr="002E721C">
        <w:rPr>
          <w:rFonts w:cs="Times New Roman"/>
          <w:sz w:val="28"/>
          <w:szCs w:val="28"/>
        </w:rPr>
        <w:t>.</w:t>
      </w:r>
      <w:r w:rsidR="00B67351" w:rsidRPr="002E721C">
        <w:rPr>
          <w:rFonts w:cs="Times New Roman"/>
          <w:sz w:val="28"/>
          <w:szCs w:val="28"/>
        </w:rPr>
        <w:t xml:space="preserve"> According to the reports by both experts, an acute profound HII</w:t>
      </w:r>
      <w:r w:rsidR="0055679C" w:rsidRPr="002E721C">
        <w:rPr>
          <w:rFonts w:cs="Times New Roman"/>
          <w:sz w:val="28"/>
          <w:szCs w:val="28"/>
        </w:rPr>
        <w:t xml:space="preserve"> </w:t>
      </w:r>
      <w:r w:rsidR="005031C8" w:rsidRPr="002E721C">
        <w:rPr>
          <w:rFonts w:cs="Times New Roman"/>
          <w:sz w:val="28"/>
          <w:szCs w:val="28"/>
        </w:rPr>
        <w:t xml:space="preserve">is </w:t>
      </w:r>
      <w:r w:rsidR="0055679C" w:rsidRPr="002E721C">
        <w:rPr>
          <w:rFonts w:cs="Times New Roman"/>
          <w:sz w:val="28"/>
          <w:szCs w:val="28"/>
        </w:rPr>
        <w:t xml:space="preserve">essentially </w:t>
      </w:r>
      <w:r w:rsidR="005031C8" w:rsidRPr="002E721C">
        <w:rPr>
          <w:rFonts w:cs="Times New Roman"/>
          <w:sz w:val="28"/>
          <w:szCs w:val="28"/>
        </w:rPr>
        <w:t xml:space="preserve">a severe </w:t>
      </w:r>
      <w:proofErr w:type="spellStart"/>
      <w:r w:rsidR="005031C8" w:rsidRPr="002E721C">
        <w:rPr>
          <w:rFonts w:cs="Times New Roman"/>
          <w:sz w:val="28"/>
          <w:szCs w:val="28"/>
        </w:rPr>
        <w:t>asphyxial</w:t>
      </w:r>
      <w:proofErr w:type="spellEnd"/>
      <w:r w:rsidR="005031C8" w:rsidRPr="002E721C">
        <w:rPr>
          <w:rFonts w:cs="Times New Roman"/>
          <w:sz w:val="28"/>
          <w:szCs w:val="28"/>
        </w:rPr>
        <w:t xml:space="preserve"> event (deficient supply of oxygen) that occurs </w:t>
      </w:r>
      <w:r w:rsidR="00B67351" w:rsidRPr="002E721C">
        <w:rPr>
          <w:rFonts w:cs="Times New Roman"/>
          <w:sz w:val="28"/>
          <w:szCs w:val="28"/>
        </w:rPr>
        <w:t xml:space="preserve">suddenly and progresses rapidly in term neonates, resulting in a primarily central pattern of injury involving the deep grey matter of the brain. </w:t>
      </w:r>
      <w:r w:rsidR="00331412" w:rsidRPr="002E721C">
        <w:rPr>
          <w:rFonts w:cs="Times New Roman"/>
          <w:sz w:val="28"/>
          <w:szCs w:val="28"/>
        </w:rPr>
        <w:t xml:space="preserve">The cause of an acute profound HII is </w:t>
      </w:r>
      <w:r w:rsidR="007D46A6" w:rsidRPr="002E721C">
        <w:rPr>
          <w:rFonts w:cs="Times New Roman"/>
          <w:sz w:val="28"/>
          <w:szCs w:val="28"/>
        </w:rPr>
        <w:t xml:space="preserve">generally </w:t>
      </w:r>
      <w:r w:rsidR="00331412" w:rsidRPr="002E721C">
        <w:rPr>
          <w:rFonts w:cs="Times New Roman"/>
          <w:sz w:val="28"/>
          <w:szCs w:val="28"/>
        </w:rPr>
        <w:t xml:space="preserve">referred to as ‘a sentinel event’. </w:t>
      </w:r>
      <w:r w:rsidR="001765CE" w:rsidRPr="002E721C">
        <w:rPr>
          <w:rFonts w:cs="Times New Roman"/>
          <w:sz w:val="28"/>
          <w:szCs w:val="28"/>
        </w:rPr>
        <w:t>Partial p</w:t>
      </w:r>
      <w:r w:rsidR="00C861B2" w:rsidRPr="002E721C">
        <w:rPr>
          <w:rFonts w:cs="Times New Roman"/>
          <w:sz w:val="28"/>
          <w:szCs w:val="28"/>
        </w:rPr>
        <w:t xml:space="preserve">rolonged partial HII </w:t>
      </w:r>
      <w:r w:rsidR="002C6179" w:rsidRPr="002E721C">
        <w:rPr>
          <w:rFonts w:cs="Times New Roman"/>
          <w:sz w:val="28"/>
          <w:szCs w:val="28"/>
        </w:rPr>
        <w:t>develops over a period of time, allowing compensatory redistribution of blood flow to occur, which results in a different pattern of injury to the white matter or peripheral structures of the brain.</w:t>
      </w:r>
      <w:r w:rsidR="008E647A" w:rsidRPr="002E721C">
        <w:rPr>
          <w:rFonts w:cs="Times New Roman"/>
          <w:sz w:val="28"/>
          <w:szCs w:val="28"/>
        </w:rPr>
        <w:t xml:space="preserve"> The importance of the distinction is that</w:t>
      </w:r>
      <w:r w:rsidR="00B701DB" w:rsidRPr="002E721C">
        <w:rPr>
          <w:rFonts w:cs="Times New Roman"/>
          <w:sz w:val="28"/>
          <w:szCs w:val="28"/>
        </w:rPr>
        <w:t xml:space="preserve"> </w:t>
      </w:r>
      <w:r w:rsidR="008D2C3C" w:rsidRPr="002E721C">
        <w:rPr>
          <w:rFonts w:cs="Times New Roman"/>
          <w:sz w:val="28"/>
          <w:szCs w:val="28"/>
        </w:rPr>
        <w:t>e</w:t>
      </w:r>
      <w:r w:rsidR="00401AB3" w:rsidRPr="002E721C">
        <w:rPr>
          <w:rFonts w:cs="Times New Roman"/>
          <w:sz w:val="28"/>
          <w:szCs w:val="28"/>
        </w:rPr>
        <w:t>xperts</w:t>
      </w:r>
      <w:r w:rsidR="009F0CEF" w:rsidRPr="002E721C">
        <w:rPr>
          <w:rFonts w:cs="Times New Roman"/>
          <w:sz w:val="28"/>
          <w:szCs w:val="28"/>
        </w:rPr>
        <w:t xml:space="preserve"> </w:t>
      </w:r>
      <w:r w:rsidR="008D2C3C" w:rsidRPr="002E721C">
        <w:rPr>
          <w:rFonts w:cs="Times New Roman"/>
          <w:sz w:val="28"/>
          <w:szCs w:val="28"/>
        </w:rPr>
        <w:t>in many</w:t>
      </w:r>
      <w:r w:rsidR="00B701DB" w:rsidRPr="002E721C">
        <w:rPr>
          <w:rFonts w:cs="Times New Roman"/>
          <w:sz w:val="28"/>
          <w:szCs w:val="28"/>
        </w:rPr>
        <w:t xml:space="preserve"> cases </w:t>
      </w:r>
      <w:r w:rsidR="009F0CEF" w:rsidRPr="002E721C">
        <w:rPr>
          <w:rFonts w:cs="Times New Roman"/>
          <w:sz w:val="28"/>
          <w:szCs w:val="28"/>
        </w:rPr>
        <w:t>ha</w:t>
      </w:r>
      <w:r w:rsidR="00401AB3" w:rsidRPr="002E721C">
        <w:rPr>
          <w:rFonts w:cs="Times New Roman"/>
          <w:sz w:val="28"/>
          <w:szCs w:val="28"/>
        </w:rPr>
        <w:t>ve</w:t>
      </w:r>
      <w:r w:rsidR="00B96031" w:rsidRPr="002E721C">
        <w:rPr>
          <w:rFonts w:cs="Times New Roman"/>
          <w:sz w:val="28"/>
          <w:szCs w:val="28"/>
        </w:rPr>
        <w:t xml:space="preserve"> opined</w:t>
      </w:r>
      <w:r w:rsidR="00B701DB" w:rsidRPr="002E721C">
        <w:rPr>
          <w:rFonts w:cs="Times New Roman"/>
          <w:sz w:val="28"/>
          <w:szCs w:val="28"/>
        </w:rPr>
        <w:t xml:space="preserve"> that </w:t>
      </w:r>
      <w:r w:rsidR="00C54344" w:rsidRPr="002E721C">
        <w:rPr>
          <w:rFonts w:cs="Times New Roman"/>
          <w:sz w:val="28"/>
          <w:szCs w:val="28"/>
        </w:rPr>
        <w:t>the onset</w:t>
      </w:r>
      <w:r w:rsidR="00206866" w:rsidRPr="002E721C">
        <w:rPr>
          <w:rFonts w:cs="Times New Roman"/>
          <w:sz w:val="28"/>
          <w:szCs w:val="28"/>
        </w:rPr>
        <w:t xml:space="preserve"> of </w:t>
      </w:r>
      <w:r w:rsidR="00216B32" w:rsidRPr="002E721C">
        <w:rPr>
          <w:rFonts w:cs="Times New Roman"/>
          <w:sz w:val="28"/>
          <w:szCs w:val="28"/>
        </w:rPr>
        <w:t xml:space="preserve">an </w:t>
      </w:r>
      <w:r w:rsidR="00B701DB" w:rsidRPr="002E721C">
        <w:rPr>
          <w:rFonts w:cs="Times New Roman"/>
          <w:sz w:val="28"/>
          <w:szCs w:val="28"/>
        </w:rPr>
        <w:t xml:space="preserve">acute profound HII is </w:t>
      </w:r>
      <w:r w:rsidR="00296B92" w:rsidRPr="002E721C">
        <w:rPr>
          <w:rFonts w:cs="Times New Roman"/>
          <w:sz w:val="28"/>
          <w:szCs w:val="28"/>
        </w:rPr>
        <w:t>often undetectable</w:t>
      </w:r>
      <w:r w:rsidR="00B701DB" w:rsidRPr="002E721C">
        <w:rPr>
          <w:rFonts w:cs="Times New Roman"/>
          <w:sz w:val="28"/>
          <w:szCs w:val="28"/>
        </w:rPr>
        <w:t xml:space="preserve">, as a result of which claimants have been </w:t>
      </w:r>
      <w:r w:rsidR="003C7991" w:rsidRPr="002E721C">
        <w:rPr>
          <w:rFonts w:cs="Times New Roman"/>
          <w:sz w:val="28"/>
          <w:szCs w:val="28"/>
        </w:rPr>
        <w:t>non-suited for failing to prove</w:t>
      </w:r>
      <w:r w:rsidR="00B701DB" w:rsidRPr="002E721C">
        <w:rPr>
          <w:rFonts w:cs="Times New Roman"/>
          <w:sz w:val="28"/>
          <w:szCs w:val="28"/>
        </w:rPr>
        <w:t xml:space="preserve"> causation.</w:t>
      </w:r>
      <w:r w:rsidR="003C7991" w:rsidRPr="00184CF6">
        <w:rPr>
          <w:rStyle w:val="FootnoteReference"/>
          <w:rFonts w:cs="Times New Roman"/>
          <w:sz w:val="28"/>
          <w:szCs w:val="28"/>
        </w:rPr>
        <w:footnoteReference w:id="5"/>
      </w:r>
      <w:r w:rsidR="00E95B39" w:rsidRPr="002E721C">
        <w:rPr>
          <w:rFonts w:cs="Times New Roman"/>
          <w:sz w:val="28"/>
          <w:szCs w:val="28"/>
        </w:rPr>
        <w:t xml:space="preserve"> </w:t>
      </w:r>
      <w:r w:rsidR="00FD12E3" w:rsidRPr="002E721C">
        <w:rPr>
          <w:rFonts w:cs="Times New Roman"/>
          <w:sz w:val="28"/>
          <w:szCs w:val="28"/>
        </w:rPr>
        <w:t xml:space="preserve">   </w:t>
      </w:r>
    </w:p>
    <w:p w14:paraId="0F687BE5" w14:textId="77777777" w:rsidR="00E4183C" w:rsidRDefault="00E4183C" w:rsidP="003C7991">
      <w:pPr>
        <w:pStyle w:val="ListParagraph"/>
        <w:spacing w:after="0" w:line="360" w:lineRule="auto"/>
        <w:ind w:left="0"/>
        <w:jc w:val="both"/>
        <w:rPr>
          <w:rFonts w:cs="Times New Roman"/>
          <w:sz w:val="28"/>
          <w:szCs w:val="28"/>
        </w:rPr>
      </w:pPr>
    </w:p>
    <w:p w14:paraId="04F27561" w14:textId="086F2040" w:rsidR="0092007B" w:rsidRPr="002E721C" w:rsidRDefault="002E721C" w:rsidP="002E721C">
      <w:pPr>
        <w:spacing w:after="0" w:line="360" w:lineRule="auto"/>
        <w:jc w:val="both"/>
        <w:rPr>
          <w:rFonts w:cs="Times New Roman"/>
          <w:sz w:val="28"/>
          <w:szCs w:val="28"/>
        </w:rPr>
      </w:pPr>
      <w:r>
        <w:rPr>
          <w:rFonts w:cs="Times New Roman"/>
          <w:sz w:val="28"/>
          <w:szCs w:val="28"/>
        </w:rPr>
        <w:lastRenderedPageBreak/>
        <w:t>[7]</w:t>
      </w:r>
      <w:r>
        <w:rPr>
          <w:rFonts w:cs="Times New Roman"/>
          <w:sz w:val="28"/>
          <w:szCs w:val="28"/>
        </w:rPr>
        <w:tab/>
      </w:r>
      <w:r w:rsidR="00BE710A" w:rsidRPr="002E721C">
        <w:rPr>
          <w:rFonts w:cs="Times New Roman"/>
          <w:sz w:val="28"/>
          <w:szCs w:val="28"/>
        </w:rPr>
        <w:t>The plaintiff delivered a supplementary report by</w:t>
      </w:r>
      <w:r w:rsidR="0017015F" w:rsidRPr="002E721C">
        <w:rPr>
          <w:rFonts w:cs="Times New Roman"/>
          <w:sz w:val="28"/>
          <w:szCs w:val="28"/>
        </w:rPr>
        <w:t xml:space="preserve"> Dr </w:t>
      </w:r>
      <w:proofErr w:type="spellStart"/>
      <w:r w:rsidR="0017015F" w:rsidRPr="002E721C">
        <w:rPr>
          <w:rFonts w:cs="Times New Roman"/>
          <w:sz w:val="28"/>
          <w:szCs w:val="28"/>
        </w:rPr>
        <w:t>Alheit</w:t>
      </w:r>
      <w:proofErr w:type="spellEnd"/>
      <w:r w:rsidR="0017015F" w:rsidRPr="002E721C">
        <w:rPr>
          <w:rFonts w:cs="Times New Roman"/>
          <w:sz w:val="28"/>
          <w:szCs w:val="28"/>
        </w:rPr>
        <w:t xml:space="preserve"> dated 21</w:t>
      </w:r>
      <w:r w:rsidR="00FB7A18" w:rsidRPr="002E721C">
        <w:rPr>
          <w:rFonts w:cs="Times New Roman"/>
          <w:sz w:val="28"/>
          <w:szCs w:val="28"/>
        </w:rPr>
        <w:t> </w:t>
      </w:r>
      <w:r w:rsidR="0017015F" w:rsidRPr="002E721C">
        <w:rPr>
          <w:rFonts w:cs="Times New Roman"/>
          <w:sz w:val="28"/>
          <w:szCs w:val="28"/>
        </w:rPr>
        <w:t>August 2019</w:t>
      </w:r>
      <w:r w:rsidR="002048DE" w:rsidRPr="002E721C">
        <w:rPr>
          <w:rFonts w:cs="Times New Roman"/>
          <w:sz w:val="28"/>
          <w:szCs w:val="28"/>
        </w:rPr>
        <w:t xml:space="preserve"> (the supplementary report)</w:t>
      </w:r>
      <w:r w:rsidR="0017015F" w:rsidRPr="002E721C">
        <w:rPr>
          <w:rFonts w:cs="Times New Roman"/>
          <w:sz w:val="28"/>
          <w:szCs w:val="28"/>
        </w:rPr>
        <w:t>, in which he state</w:t>
      </w:r>
      <w:r w:rsidR="00682ABF" w:rsidRPr="002E721C">
        <w:rPr>
          <w:rFonts w:cs="Times New Roman"/>
          <w:sz w:val="28"/>
          <w:szCs w:val="28"/>
        </w:rPr>
        <w:t>d</w:t>
      </w:r>
      <w:r w:rsidR="0017015F" w:rsidRPr="002E721C">
        <w:rPr>
          <w:rFonts w:cs="Times New Roman"/>
          <w:sz w:val="28"/>
          <w:szCs w:val="28"/>
        </w:rPr>
        <w:t xml:space="preserve"> that he had expressed the opinion in his report of 27 July 2019 ‘without knowledge of the clinical background</w:t>
      </w:r>
      <w:r w:rsidR="00D168F9" w:rsidRPr="002E721C">
        <w:rPr>
          <w:rFonts w:cs="Times New Roman"/>
          <w:sz w:val="28"/>
          <w:szCs w:val="28"/>
        </w:rPr>
        <w:t>’</w:t>
      </w:r>
      <w:r w:rsidR="0017015F" w:rsidRPr="002E721C">
        <w:rPr>
          <w:rFonts w:cs="Times New Roman"/>
          <w:sz w:val="28"/>
          <w:szCs w:val="28"/>
        </w:rPr>
        <w:t xml:space="preserve">, and that he subsequently became aware that the child did not suffer an </w:t>
      </w:r>
      <w:r w:rsidR="00683B4D" w:rsidRPr="002E721C">
        <w:rPr>
          <w:rFonts w:cs="Times New Roman"/>
          <w:sz w:val="28"/>
          <w:szCs w:val="28"/>
        </w:rPr>
        <w:t>intrapartum sentinel event.</w:t>
      </w:r>
      <w:r w:rsidR="00D464C1" w:rsidRPr="002E721C">
        <w:rPr>
          <w:rFonts w:cs="Times New Roman"/>
          <w:sz w:val="28"/>
          <w:szCs w:val="28"/>
        </w:rPr>
        <w:t xml:space="preserve"> The significance of this</w:t>
      </w:r>
      <w:r w:rsidR="0092007B" w:rsidRPr="002E721C">
        <w:rPr>
          <w:rFonts w:cs="Times New Roman"/>
          <w:sz w:val="28"/>
          <w:szCs w:val="28"/>
        </w:rPr>
        <w:t xml:space="preserve"> is stated in the report as follows:</w:t>
      </w:r>
    </w:p>
    <w:p w14:paraId="40F7FDD8" w14:textId="7DFBB1D5" w:rsidR="0017015F" w:rsidRPr="00EC14D5" w:rsidRDefault="000C65E1" w:rsidP="0092007B">
      <w:pPr>
        <w:pStyle w:val="ListParagraph"/>
        <w:spacing w:after="0" w:line="360" w:lineRule="auto"/>
        <w:ind w:left="0"/>
        <w:jc w:val="both"/>
        <w:rPr>
          <w:rFonts w:cs="Times New Roman"/>
          <w:sz w:val="24"/>
          <w:szCs w:val="24"/>
        </w:rPr>
      </w:pPr>
      <w:r w:rsidRPr="00EC14D5">
        <w:rPr>
          <w:rFonts w:cs="Times New Roman"/>
          <w:sz w:val="24"/>
          <w:szCs w:val="24"/>
        </w:rPr>
        <w:t>‘</w:t>
      </w:r>
      <w:r w:rsidR="0092007B" w:rsidRPr="00EC14D5">
        <w:rPr>
          <w:rFonts w:cs="Times New Roman"/>
          <w:sz w:val="24"/>
          <w:szCs w:val="24"/>
        </w:rPr>
        <w:t>5.</w:t>
      </w:r>
      <w:r w:rsidR="0092007B" w:rsidRPr="00EC14D5">
        <w:rPr>
          <w:rFonts w:cs="Times New Roman"/>
          <w:sz w:val="24"/>
          <w:szCs w:val="24"/>
        </w:rPr>
        <w:tab/>
      </w:r>
      <w:r w:rsidR="00580989" w:rsidRPr="00EC14D5">
        <w:rPr>
          <w:rFonts w:cs="Times New Roman"/>
          <w:sz w:val="24"/>
          <w:szCs w:val="24"/>
        </w:rPr>
        <w:t xml:space="preserve">This type of injury was originally claimed to be the result of a sentinel event. While the final circulatory collapse may occur suddenly, earlier experimental research has shown that repeated transient episodes of asphyxia </w:t>
      </w:r>
      <w:r w:rsidR="00EC14D5" w:rsidRPr="00EC14D5">
        <w:rPr>
          <w:rFonts w:cs="Times New Roman"/>
          <w:sz w:val="24"/>
          <w:szCs w:val="24"/>
        </w:rPr>
        <w:t>over a 2-</w:t>
      </w:r>
      <w:r w:rsidR="00580989" w:rsidRPr="00EC14D5">
        <w:rPr>
          <w:rFonts w:cs="Times New Roman"/>
          <w:sz w:val="24"/>
          <w:szCs w:val="24"/>
        </w:rPr>
        <w:t xml:space="preserve">hour period, compromise the ability of the heart to tolerate additional insults, which then result in specific hypoxic ischaemic injury of the central grey </w:t>
      </w:r>
      <w:r w:rsidR="00EC14D5" w:rsidRPr="00EC14D5">
        <w:rPr>
          <w:rFonts w:cs="Times New Roman"/>
          <w:sz w:val="24"/>
          <w:szCs w:val="24"/>
        </w:rPr>
        <w:t>nuclei</w:t>
      </w:r>
      <w:r w:rsidR="00580989" w:rsidRPr="00EC14D5">
        <w:rPr>
          <w:rFonts w:cs="Times New Roman"/>
          <w:sz w:val="24"/>
          <w:szCs w:val="24"/>
        </w:rPr>
        <w:t xml:space="preserve">. The events that </w:t>
      </w:r>
      <w:proofErr w:type="spellStart"/>
      <w:r w:rsidR="00580989" w:rsidRPr="00EC14D5">
        <w:rPr>
          <w:rFonts w:cs="Times New Roman"/>
          <w:sz w:val="24"/>
          <w:szCs w:val="24"/>
        </w:rPr>
        <w:t>lead</w:t>
      </w:r>
      <w:proofErr w:type="spellEnd"/>
      <w:r w:rsidR="00580989" w:rsidRPr="00EC14D5">
        <w:rPr>
          <w:rFonts w:cs="Times New Roman"/>
          <w:sz w:val="24"/>
          <w:szCs w:val="24"/>
        </w:rPr>
        <w:t xml:space="preserve"> up to the circulatory collapse can more accurately be divided into </w:t>
      </w:r>
      <w:r w:rsidR="00EC14D5">
        <w:rPr>
          <w:rFonts w:cs="Times New Roman"/>
          <w:sz w:val="24"/>
          <w:szCs w:val="24"/>
        </w:rPr>
        <w:t>“</w:t>
      </w:r>
      <w:r w:rsidR="00580989" w:rsidRPr="00EC14D5">
        <w:rPr>
          <w:rFonts w:cs="Times New Roman"/>
          <w:sz w:val="24"/>
          <w:szCs w:val="24"/>
        </w:rPr>
        <w:t>external</w:t>
      </w:r>
      <w:r w:rsidR="00EC14D5">
        <w:rPr>
          <w:rFonts w:cs="Times New Roman"/>
          <w:sz w:val="24"/>
          <w:szCs w:val="24"/>
        </w:rPr>
        <w:t>”</w:t>
      </w:r>
      <w:r w:rsidR="00580989" w:rsidRPr="00EC14D5">
        <w:rPr>
          <w:rFonts w:cs="Times New Roman"/>
          <w:sz w:val="24"/>
          <w:szCs w:val="24"/>
        </w:rPr>
        <w:t xml:space="preserve"> sentinel (obstetric emergency) and </w:t>
      </w:r>
      <w:r w:rsidR="00EC14D5">
        <w:rPr>
          <w:rFonts w:cs="Times New Roman"/>
          <w:sz w:val="24"/>
          <w:szCs w:val="24"/>
        </w:rPr>
        <w:t>“</w:t>
      </w:r>
      <w:r w:rsidR="00580989" w:rsidRPr="00EC14D5">
        <w:rPr>
          <w:rFonts w:cs="Times New Roman"/>
          <w:sz w:val="24"/>
          <w:szCs w:val="24"/>
        </w:rPr>
        <w:t>internal</w:t>
      </w:r>
      <w:r w:rsidR="00EC14D5">
        <w:rPr>
          <w:rFonts w:cs="Times New Roman"/>
          <w:sz w:val="24"/>
          <w:szCs w:val="24"/>
        </w:rPr>
        <w:t>”</w:t>
      </w:r>
      <w:r w:rsidR="00580989" w:rsidRPr="00EC14D5">
        <w:rPr>
          <w:rFonts w:cs="Times New Roman"/>
          <w:sz w:val="24"/>
          <w:szCs w:val="24"/>
        </w:rPr>
        <w:t xml:space="preserve"> sentinel events. </w:t>
      </w:r>
    </w:p>
    <w:p w14:paraId="764F4579" w14:textId="7AE46E26" w:rsidR="006B6C50" w:rsidRDefault="0017015F" w:rsidP="00E25C77">
      <w:pPr>
        <w:pStyle w:val="ListParagraph"/>
        <w:tabs>
          <w:tab w:val="left" w:pos="567"/>
        </w:tabs>
        <w:spacing w:after="0" w:line="360" w:lineRule="auto"/>
        <w:ind w:left="0"/>
        <w:jc w:val="both"/>
        <w:rPr>
          <w:rFonts w:cs="Times New Roman"/>
          <w:sz w:val="24"/>
          <w:szCs w:val="24"/>
        </w:rPr>
      </w:pPr>
      <w:r w:rsidRPr="00E46BBD">
        <w:rPr>
          <w:rFonts w:cs="Times New Roman"/>
          <w:sz w:val="24"/>
          <w:szCs w:val="24"/>
        </w:rPr>
        <w:t>6.</w:t>
      </w:r>
      <w:r w:rsidRPr="00E46BBD">
        <w:rPr>
          <w:rFonts w:cs="Times New Roman"/>
          <w:sz w:val="24"/>
          <w:szCs w:val="24"/>
        </w:rPr>
        <w:tab/>
        <w:t xml:space="preserve">The </w:t>
      </w:r>
      <w:r w:rsidR="00E46BBD">
        <w:rPr>
          <w:rFonts w:cs="Times New Roman"/>
          <w:sz w:val="24"/>
          <w:szCs w:val="24"/>
        </w:rPr>
        <w:t>“</w:t>
      </w:r>
      <w:r w:rsidRPr="00E46BBD">
        <w:rPr>
          <w:rFonts w:cs="Times New Roman"/>
          <w:sz w:val="24"/>
          <w:szCs w:val="24"/>
        </w:rPr>
        <w:t>external</w:t>
      </w:r>
      <w:r w:rsidR="00E46BBD">
        <w:rPr>
          <w:rFonts w:cs="Times New Roman"/>
          <w:sz w:val="24"/>
          <w:szCs w:val="24"/>
        </w:rPr>
        <w:t>”</w:t>
      </w:r>
      <w:r w:rsidRPr="00E46BBD">
        <w:rPr>
          <w:rFonts w:cs="Times New Roman"/>
          <w:sz w:val="24"/>
          <w:szCs w:val="24"/>
        </w:rPr>
        <w:t xml:space="preserve"> sentinel events are identified and </w:t>
      </w:r>
      <w:r w:rsidR="00E46BBD">
        <w:rPr>
          <w:rFonts w:cs="Times New Roman"/>
          <w:sz w:val="24"/>
          <w:szCs w:val="24"/>
        </w:rPr>
        <w:t xml:space="preserve">well </w:t>
      </w:r>
      <w:r w:rsidRPr="00E46BBD">
        <w:rPr>
          <w:rFonts w:cs="Times New Roman"/>
          <w:sz w:val="24"/>
          <w:szCs w:val="24"/>
        </w:rPr>
        <w:t xml:space="preserve">described in the literature </w:t>
      </w:r>
      <w:r w:rsidR="00E46BBD">
        <w:rPr>
          <w:rFonts w:cs="Times New Roman"/>
          <w:sz w:val="24"/>
          <w:szCs w:val="24"/>
        </w:rPr>
        <w:t>(</w:t>
      </w:r>
      <w:proofErr w:type="spellStart"/>
      <w:r w:rsidR="00E46BBD">
        <w:rPr>
          <w:rFonts w:cs="Times New Roman"/>
          <w:sz w:val="24"/>
          <w:szCs w:val="24"/>
        </w:rPr>
        <w:t>abruptio</w:t>
      </w:r>
      <w:proofErr w:type="spellEnd"/>
      <w:r w:rsidR="00E46BBD">
        <w:rPr>
          <w:rFonts w:cs="Times New Roman"/>
          <w:sz w:val="24"/>
          <w:szCs w:val="24"/>
        </w:rPr>
        <w:t xml:space="preserve"> placenta, uterine rupture, cord rupture, cord prolapse, shoulder dystocia and maternal cardiac arrest). </w:t>
      </w:r>
      <w:r w:rsidR="006B6C50">
        <w:rPr>
          <w:rFonts w:cs="Times New Roman"/>
          <w:sz w:val="24"/>
          <w:szCs w:val="24"/>
        </w:rPr>
        <w:t xml:space="preserve">These events are by and large unpredictable and lead to a sudden severe lack of blood supply to the </w:t>
      </w:r>
      <w:r w:rsidR="006E62DC">
        <w:rPr>
          <w:rFonts w:cs="Times New Roman"/>
          <w:sz w:val="24"/>
          <w:szCs w:val="24"/>
        </w:rPr>
        <w:t>f</w:t>
      </w:r>
      <w:r w:rsidR="00FF7E17">
        <w:rPr>
          <w:rFonts w:cs="Times New Roman"/>
          <w:sz w:val="24"/>
          <w:szCs w:val="24"/>
        </w:rPr>
        <w:t>o</w:t>
      </w:r>
      <w:r w:rsidR="006E62DC">
        <w:rPr>
          <w:rFonts w:cs="Times New Roman"/>
          <w:sz w:val="24"/>
          <w:szCs w:val="24"/>
        </w:rPr>
        <w:t>etus</w:t>
      </w:r>
      <w:r w:rsidR="006B6C50">
        <w:rPr>
          <w:rFonts w:cs="Times New Roman"/>
          <w:sz w:val="24"/>
          <w:szCs w:val="24"/>
        </w:rPr>
        <w:t xml:space="preserve"> which could lead to APHII.</w:t>
      </w:r>
    </w:p>
    <w:p w14:paraId="3D4282F1" w14:textId="34E32F7A" w:rsidR="0017015F" w:rsidRDefault="006B6C50" w:rsidP="00E25C77">
      <w:pPr>
        <w:pStyle w:val="ListParagraph"/>
        <w:tabs>
          <w:tab w:val="left" w:pos="567"/>
        </w:tabs>
        <w:spacing w:after="0" w:line="360" w:lineRule="auto"/>
        <w:ind w:left="0"/>
        <w:jc w:val="both"/>
        <w:rPr>
          <w:rFonts w:cs="Times New Roman"/>
          <w:sz w:val="28"/>
          <w:szCs w:val="28"/>
        </w:rPr>
      </w:pPr>
      <w:r>
        <w:rPr>
          <w:rFonts w:cs="Times New Roman"/>
          <w:sz w:val="24"/>
          <w:szCs w:val="24"/>
        </w:rPr>
        <w:t>7.</w:t>
      </w:r>
      <w:r>
        <w:rPr>
          <w:rFonts w:cs="Times New Roman"/>
          <w:sz w:val="24"/>
          <w:szCs w:val="24"/>
        </w:rPr>
        <w:tab/>
        <w:t xml:space="preserve">However, the large majority of cases with hypoxic ischaemic encephalopathy do not suffer external sentinel events during labour. In one published study of children, who developed HII in the absence of a sentinel obstetric emergency event, gradual emergence of a non-reassuring foetal condition, which emerged 81 to 221 minutes prior to delivery, was described. (Murray et al </w:t>
      </w:r>
      <w:r w:rsidRPr="00184CF6">
        <w:rPr>
          <w:rFonts w:cs="Times New Roman"/>
          <w:sz w:val="24"/>
          <w:szCs w:val="24"/>
        </w:rPr>
        <w:t xml:space="preserve">Am J </w:t>
      </w:r>
      <w:r w:rsidR="00206866" w:rsidRPr="00184CF6">
        <w:rPr>
          <w:rFonts w:cs="Times New Roman"/>
          <w:sz w:val="24"/>
          <w:szCs w:val="24"/>
        </w:rPr>
        <w:t>Perinatal</w:t>
      </w:r>
      <w:r w:rsidRPr="00184CF6">
        <w:rPr>
          <w:rFonts w:cs="Times New Roman"/>
          <w:sz w:val="24"/>
          <w:szCs w:val="24"/>
        </w:rPr>
        <w:t xml:space="preserve"> 2009). The eventual</w:t>
      </w:r>
      <w:r>
        <w:rPr>
          <w:rFonts w:cs="Times New Roman"/>
          <w:sz w:val="24"/>
          <w:szCs w:val="24"/>
        </w:rPr>
        <w:t xml:space="preserve"> circulatory </w:t>
      </w:r>
      <w:r w:rsidR="00FA5DDD">
        <w:rPr>
          <w:rFonts w:cs="Times New Roman"/>
          <w:sz w:val="24"/>
          <w:szCs w:val="24"/>
        </w:rPr>
        <w:t>collapse</w:t>
      </w:r>
      <w:r>
        <w:rPr>
          <w:rFonts w:cs="Times New Roman"/>
          <w:sz w:val="24"/>
          <w:szCs w:val="24"/>
        </w:rPr>
        <w:t>, necessary for HII to develop in these children, can be regarded as an internal sentinel event.’</w:t>
      </w:r>
      <w:r w:rsidR="0017015F">
        <w:rPr>
          <w:rFonts w:cs="Times New Roman"/>
          <w:sz w:val="28"/>
          <w:szCs w:val="28"/>
        </w:rPr>
        <w:tab/>
      </w:r>
    </w:p>
    <w:p w14:paraId="510E1CC9" w14:textId="77777777" w:rsidR="0017015F" w:rsidRDefault="0017015F" w:rsidP="0017015F">
      <w:pPr>
        <w:pStyle w:val="ListParagraph"/>
        <w:spacing w:after="0" w:line="360" w:lineRule="auto"/>
        <w:ind w:left="0"/>
        <w:jc w:val="both"/>
        <w:rPr>
          <w:rFonts w:cs="Times New Roman"/>
          <w:sz w:val="28"/>
          <w:szCs w:val="28"/>
        </w:rPr>
      </w:pPr>
    </w:p>
    <w:p w14:paraId="7A08EA39" w14:textId="688BB693" w:rsidR="002048DE" w:rsidRPr="002E721C" w:rsidRDefault="002E721C" w:rsidP="002E721C">
      <w:pPr>
        <w:spacing w:after="0" w:line="360" w:lineRule="auto"/>
        <w:jc w:val="both"/>
        <w:rPr>
          <w:rFonts w:cs="Times New Roman"/>
          <w:sz w:val="28"/>
          <w:szCs w:val="28"/>
        </w:rPr>
      </w:pPr>
      <w:r>
        <w:rPr>
          <w:rFonts w:cs="Times New Roman"/>
          <w:sz w:val="28"/>
          <w:szCs w:val="28"/>
        </w:rPr>
        <w:t>[8]</w:t>
      </w:r>
      <w:r>
        <w:rPr>
          <w:rFonts w:cs="Times New Roman"/>
          <w:sz w:val="28"/>
          <w:szCs w:val="28"/>
        </w:rPr>
        <w:tab/>
      </w:r>
      <w:r w:rsidR="00D44689" w:rsidRPr="002E721C">
        <w:rPr>
          <w:rFonts w:cs="Times New Roman"/>
          <w:sz w:val="28"/>
          <w:szCs w:val="28"/>
        </w:rPr>
        <w:t xml:space="preserve">It appears that the supplementary report elicited the following response </w:t>
      </w:r>
      <w:r w:rsidR="005A1756" w:rsidRPr="002E721C">
        <w:rPr>
          <w:rFonts w:cs="Times New Roman"/>
          <w:sz w:val="28"/>
          <w:szCs w:val="28"/>
        </w:rPr>
        <w:t xml:space="preserve">by </w:t>
      </w:r>
      <w:r w:rsidR="00247598" w:rsidRPr="002E721C">
        <w:rPr>
          <w:rFonts w:cs="Times New Roman"/>
          <w:sz w:val="28"/>
          <w:szCs w:val="28"/>
        </w:rPr>
        <w:t xml:space="preserve">the State Attorney </w:t>
      </w:r>
      <w:r w:rsidR="001D6008" w:rsidRPr="002E721C">
        <w:rPr>
          <w:rFonts w:cs="Times New Roman"/>
          <w:sz w:val="28"/>
          <w:szCs w:val="28"/>
        </w:rPr>
        <w:t xml:space="preserve">in a letter </w:t>
      </w:r>
      <w:r w:rsidR="005A1756" w:rsidRPr="002E721C">
        <w:rPr>
          <w:rFonts w:cs="Times New Roman"/>
          <w:sz w:val="28"/>
          <w:szCs w:val="28"/>
        </w:rPr>
        <w:t xml:space="preserve">to </w:t>
      </w:r>
      <w:r w:rsidR="00247598" w:rsidRPr="002E721C">
        <w:rPr>
          <w:rFonts w:cs="Times New Roman"/>
          <w:sz w:val="28"/>
          <w:szCs w:val="28"/>
        </w:rPr>
        <w:t>the plaintiff’s attorney</w:t>
      </w:r>
      <w:r w:rsidR="00F85A94" w:rsidRPr="002E721C">
        <w:rPr>
          <w:rFonts w:cs="Times New Roman"/>
          <w:sz w:val="28"/>
          <w:szCs w:val="28"/>
        </w:rPr>
        <w:t>, dated 21 August 2019</w:t>
      </w:r>
      <w:r w:rsidR="005A1756" w:rsidRPr="002E721C">
        <w:rPr>
          <w:rFonts w:cs="Times New Roman"/>
          <w:sz w:val="28"/>
          <w:szCs w:val="28"/>
        </w:rPr>
        <w:t>:</w:t>
      </w:r>
    </w:p>
    <w:p w14:paraId="3BF126CD" w14:textId="69B720B7" w:rsidR="00850AFE" w:rsidRPr="007B7986" w:rsidRDefault="007B7986" w:rsidP="005D1687">
      <w:pPr>
        <w:pStyle w:val="ListParagraph"/>
        <w:tabs>
          <w:tab w:val="left" w:pos="426"/>
        </w:tabs>
        <w:spacing w:after="0" w:line="360" w:lineRule="auto"/>
        <w:ind w:left="0"/>
        <w:jc w:val="both"/>
        <w:rPr>
          <w:rFonts w:cs="Times New Roman"/>
          <w:sz w:val="24"/>
          <w:szCs w:val="24"/>
        </w:rPr>
      </w:pPr>
      <w:r>
        <w:rPr>
          <w:rFonts w:cs="Times New Roman"/>
          <w:sz w:val="24"/>
          <w:szCs w:val="24"/>
        </w:rPr>
        <w:t>‘5.</w:t>
      </w:r>
      <w:r>
        <w:rPr>
          <w:rFonts w:cs="Times New Roman"/>
          <w:sz w:val="24"/>
          <w:szCs w:val="24"/>
        </w:rPr>
        <w:tab/>
      </w:r>
      <w:r w:rsidR="00850AFE" w:rsidRPr="007B7986">
        <w:rPr>
          <w:rFonts w:cs="Times New Roman"/>
          <w:sz w:val="24"/>
          <w:szCs w:val="24"/>
        </w:rPr>
        <w:t>Defendant has</w:t>
      </w:r>
      <w:r>
        <w:rPr>
          <w:rFonts w:cs="Times New Roman"/>
          <w:sz w:val="24"/>
          <w:szCs w:val="24"/>
        </w:rPr>
        <w:t xml:space="preserve"> </w:t>
      </w:r>
      <w:r w:rsidR="00B708A0">
        <w:rPr>
          <w:rFonts w:cs="Times New Roman"/>
          <w:sz w:val="24"/>
          <w:szCs w:val="24"/>
        </w:rPr>
        <w:t>. . .</w:t>
      </w:r>
      <w:r>
        <w:rPr>
          <w:rFonts w:cs="Times New Roman"/>
          <w:sz w:val="24"/>
          <w:szCs w:val="24"/>
        </w:rPr>
        <w:t xml:space="preserve"> placed </w:t>
      </w:r>
      <w:r w:rsidR="00850AFE" w:rsidRPr="007B7986">
        <w:rPr>
          <w:rFonts w:cs="Times New Roman"/>
          <w:sz w:val="24"/>
          <w:szCs w:val="24"/>
        </w:rPr>
        <w:t xml:space="preserve">on record that the nature of injury being sudden, unexpected and without warning, is admitted. </w:t>
      </w:r>
    </w:p>
    <w:p w14:paraId="72093702" w14:textId="42C3EDC1" w:rsidR="00850AFE" w:rsidRDefault="00850AFE" w:rsidP="00850AFE">
      <w:pPr>
        <w:pStyle w:val="ListParagraph"/>
        <w:spacing w:after="0" w:line="360" w:lineRule="auto"/>
        <w:ind w:left="0"/>
        <w:jc w:val="both"/>
        <w:rPr>
          <w:rFonts w:cs="Times New Roman"/>
          <w:sz w:val="28"/>
          <w:szCs w:val="28"/>
        </w:rPr>
      </w:pPr>
      <w:r w:rsidRPr="007B7986">
        <w:rPr>
          <w:rFonts w:cs="Times New Roman"/>
          <w:sz w:val="24"/>
          <w:szCs w:val="24"/>
        </w:rPr>
        <w:t xml:space="preserve">6.  We hereby give notice that any attempt by plaintiff to disprove the above nature and description of </w:t>
      </w:r>
      <w:r w:rsidR="007B7986">
        <w:rPr>
          <w:rFonts w:cs="Times New Roman"/>
          <w:sz w:val="24"/>
          <w:szCs w:val="24"/>
        </w:rPr>
        <w:t xml:space="preserve">the </w:t>
      </w:r>
      <w:r w:rsidRPr="007B7986">
        <w:rPr>
          <w:rFonts w:cs="Times New Roman"/>
          <w:sz w:val="24"/>
          <w:szCs w:val="24"/>
        </w:rPr>
        <w:t>injury</w:t>
      </w:r>
      <w:r w:rsidR="007B7986">
        <w:rPr>
          <w:rFonts w:cs="Times New Roman"/>
          <w:sz w:val="24"/>
          <w:szCs w:val="24"/>
        </w:rPr>
        <w:t>,</w:t>
      </w:r>
      <w:r w:rsidRPr="007B7986">
        <w:rPr>
          <w:rFonts w:cs="Times New Roman"/>
          <w:sz w:val="24"/>
          <w:szCs w:val="24"/>
        </w:rPr>
        <w:t xml:space="preserve"> mentioned whether through evidence or otherwise, will be objected to by defendant in terms of the provisions of section 15(1) of the </w:t>
      </w:r>
      <w:r w:rsidR="0055679C" w:rsidRPr="007B7986">
        <w:rPr>
          <w:rFonts w:cs="Times New Roman"/>
          <w:sz w:val="24"/>
          <w:szCs w:val="24"/>
        </w:rPr>
        <w:t>Civil</w:t>
      </w:r>
      <w:r w:rsidRPr="007B7986">
        <w:rPr>
          <w:rFonts w:cs="Times New Roman"/>
          <w:sz w:val="24"/>
          <w:szCs w:val="24"/>
        </w:rPr>
        <w:t xml:space="preserve"> </w:t>
      </w:r>
      <w:r w:rsidR="007B7986">
        <w:rPr>
          <w:rFonts w:cs="Times New Roman"/>
          <w:sz w:val="24"/>
          <w:szCs w:val="24"/>
        </w:rPr>
        <w:t>P</w:t>
      </w:r>
      <w:r w:rsidRPr="007B7986">
        <w:rPr>
          <w:rFonts w:cs="Times New Roman"/>
          <w:sz w:val="24"/>
          <w:szCs w:val="24"/>
        </w:rPr>
        <w:t xml:space="preserve">roceedings </w:t>
      </w:r>
      <w:r w:rsidR="007B7986">
        <w:rPr>
          <w:rFonts w:cs="Times New Roman"/>
          <w:sz w:val="24"/>
          <w:szCs w:val="24"/>
        </w:rPr>
        <w:t>E</w:t>
      </w:r>
      <w:r w:rsidRPr="007B7986">
        <w:rPr>
          <w:rFonts w:cs="Times New Roman"/>
          <w:sz w:val="24"/>
          <w:szCs w:val="24"/>
        </w:rPr>
        <w:t xml:space="preserve">vidence </w:t>
      </w:r>
      <w:r w:rsidR="007B7986">
        <w:rPr>
          <w:rFonts w:cs="Times New Roman"/>
          <w:sz w:val="24"/>
          <w:szCs w:val="24"/>
        </w:rPr>
        <w:t>A</w:t>
      </w:r>
      <w:r w:rsidRPr="007B7986">
        <w:rPr>
          <w:rFonts w:cs="Times New Roman"/>
          <w:sz w:val="24"/>
          <w:szCs w:val="24"/>
        </w:rPr>
        <w:t>ct 25 of 1965.’</w:t>
      </w:r>
      <w:r>
        <w:rPr>
          <w:rFonts w:cs="Times New Roman"/>
          <w:sz w:val="28"/>
          <w:szCs w:val="28"/>
        </w:rPr>
        <w:t xml:space="preserve"> </w:t>
      </w:r>
    </w:p>
    <w:p w14:paraId="32E71EE7" w14:textId="77777777" w:rsidR="00850AFE" w:rsidRDefault="00850AFE" w:rsidP="00850AFE">
      <w:pPr>
        <w:pStyle w:val="ListParagraph"/>
        <w:spacing w:after="0" w:line="360" w:lineRule="auto"/>
        <w:ind w:left="0"/>
        <w:jc w:val="both"/>
        <w:rPr>
          <w:rFonts w:cs="Times New Roman"/>
          <w:sz w:val="28"/>
          <w:szCs w:val="28"/>
        </w:rPr>
      </w:pPr>
    </w:p>
    <w:p w14:paraId="291F8BA8" w14:textId="50E31D3C" w:rsidR="00216300" w:rsidRPr="002E721C" w:rsidRDefault="002E721C" w:rsidP="002E721C">
      <w:pPr>
        <w:spacing w:after="0" w:line="360" w:lineRule="auto"/>
        <w:jc w:val="both"/>
        <w:rPr>
          <w:rFonts w:cs="Times New Roman"/>
          <w:sz w:val="24"/>
          <w:szCs w:val="24"/>
        </w:rPr>
      </w:pPr>
      <w:r w:rsidRPr="00BE33BB">
        <w:rPr>
          <w:rFonts w:cs="Times New Roman"/>
          <w:sz w:val="28"/>
          <w:szCs w:val="28"/>
        </w:rPr>
        <w:lastRenderedPageBreak/>
        <w:t>[9]</w:t>
      </w:r>
      <w:r w:rsidRPr="00BE33BB">
        <w:rPr>
          <w:rFonts w:cs="Times New Roman"/>
          <w:sz w:val="28"/>
          <w:szCs w:val="28"/>
        </w:rPr>
        <w:tab/>
      </w:r>
      <w:r w:rsidR="0017015F" w:rsidRPr="002E721C">
        <w:rPr>
          <w:rFonts w:cs="Times New Roman"/>
          <w:sz w:val="28"/>
          <w:szCs w:val="28"/>
        </w:rPr>
        <w:t xml:space="preserve">Dr </w:t>
      </w:r>
      <w:proofErr w:type="spellStart"/>
      <w:r w:rsidR="0017015F" w:rsidRPr="002E721C">
        <w:rPr>
          <w:rFonts w:cs="Times New Roman"/>
          <w:sz w:val="28"/>
          <w:szCs w:val="28"/>
        </w:rPr>
        <w:t>A</w:t>
      </w:r>
      <w:r w:rsidR="00850AFE" w:rsidRPr="002E721C">
        <w:rPr>
          <w:rFonts w:cs="Times New Roman"/>
          <w:sz w:val="28"/>
          <w:szCs w:val="28"/>
        </w:rPr>
        <w:t>lheit</w:t>
      </w:r>
      <w:proofErr w:type="spellEnd"/>
      <w:r w:rsidR="00850AFE" w:rsidRPr="002E721C">
        <w:rPr>
          <w:rFonts w:cs="Times New Roman"/>
          <w:sz w:val="28"/>
          <w:szCs w:val="28"/>
        </w:rPr>
        <w:t xml:space="preserve"> confirmed the supplementary report </w:t>
      </w:r>
      <w:r w:rsidR="0017015F" w:rsidRPr="002E721C">
        <w:rPr>
          <w:rFonts w:cs="Times New Roman"/>
          <w:sz w:val="28"/>
          <w:szCs w:val="28"/>
        </w:rPr>
        <w:t xml:space="preserve">in </w:t>
      </w:r>
      <w:r w:rsidR="00BE710A" w:rsidRPr="002E721C">
        <w:rPr>
          <w:rFonts w:cs="Times New Roman"/>
          <w:sz w:val="28"/>
          <w:szCs w:val="28"/>
        </w:rPr>
        <w:t>evidence</w:t>
      </w:r>
      <w:r w:rsidR="0017015F" w:rsidRPr="002E721C">
        <w:rPr>
          <w:rFonts w:cs="Times New Roman"/>
          <w:sz w:val="28"/>
          <w:szCs w:val="28"/>
        </w:rPr>
        <w:t xml:space="preserve">. </w:t>
      </w:r>
      <w:r w:rsidR="00024855" w:rsidRPr="002E721C">
        <w:rPr>
          <w:rFonts w:cs="Times New Roman"/>
          <w:sz w:val="28"/>
          <w:szCs w:val="28"/>
        </w:rPr>
        <w:t>In short, h</w:t>
      </w:r>
      <w:r w:rsidR="0017015F" w:rsidRPr="002E721C">
        <w:rPr>
          <w:rFonts w:cs="Times New Roman"/>
          <w:sz w:val="28"/>
          <w:szCs w:val="28"/>
        </w:rPr>
        <w:t xml:space="preserve">e </w:t>
      </w:r>
      <w:r w:rsidR="00A96B63" w:rsidRPr="002E721C">
        <w:rPr>
          <w:rFonts w:cs="Times New Roman"/>
          <w:sz w:val="28"/>
          <w:szCs w:val="28"/>
        </w:rPr>
        <w:t xml:space="preserve">explained </w:t>
      </w:r>
      <w:r w:rsidR="00CE0C71" w:rsidRPr="002E721C">
        <w:rPr>
          <w:rFonts w:cs="Times New Roman"/>
          <w:sz w:val="28"/>
          <w:szCs w:val="28"/>
        </w:rPr>
        <w:t>that the</w:t>
      </w:r>
      <w:r w:rsidR="00A96B63" w:rsidRPr="002E721C">
        <w:rPr>
          <w:rFonts w:cs="Times New Roman"/>
          <w:sz w:val="28"/>
          <w:szCs w:val="28"/>
        </w:rPr>
        <w:t xml:space="preserve"> i</w:t>
      </w:r>
      <w:r w:rsidR="00850AFE" w:rsidRPr="002E721C">
        <w:rPr>
          <w:rFonts w:cs="Times New Roman"/>
          <w:sz w:val="28"/>
          <w:szCs w:val="28"/>
        </w:rPr>
        <w:t>njury pattern described in his r</w:t>
      </w:r>
      <w:r w:rsidR="00A96B63" w:rsidRPr="002E721C">
        <w:rPr>
          <w:rFonts w:cs="Times New Roman"/>
          <w:sz w:val="28"/>
          <w:szCs w:val="28"/>
        </w:rPr>
        <w:t>eport of 27 J</w:t>
      </w:r>
      <w:r w:rsidR="00557BE4" w:rsidRPr="002E721C">
        <w:rPr>
          <w:rFonts w:cs="Times New Roman"/>
          <w:sz w:val="28"/>
          <w:szCs w:val="28"/>
        </w:rPr>
        <w:t>uly 2019</w:t>
      </w:r>
      <w:r w:rsidR="0017015F" w:rsidRPr="002E721C">
        <w:rPr>
          <w:rFonts w:cs="Times New Roman"/>
          <w:sz w:val="28"/>
          <w:szCs w:val="28"/>
        </w:rPr>
        <w:t xml:space="preserve"> could result without a</w:t>
      </w:r>
      <w:r w:rsidR="00932813" w:rsidRPr="002E721C">
        <w:rPr>
          <w:rFonts w:cs="Times New Roman"/>
          <w:sz w:val="28"/>
          <w:szCs w:val="28"/>
        </w:rPr>
        <w:t>n obstetric</w:t>
      </w:r>
      <w:r w:rsidR="0017015F" w:rsidRPr="002E721C">
        <w:rPr>
          <w:rFonts w:cs="Times New Roman"/>
          <w:sz w:val="28"/>
          <w:szCs w:val="28"/>
        </w:rPr>
        <w:t xml:space="preserve"> sentinel </w:t>
      </w:r>
      <w:r w:rsidR="00A96B63" w:rsidRPr="002E721C">
        <w:rPr>
          <w:rFonts w:cs="Times New Roman"/>
          <w:sz w:val="28"/>
          <w:szCs w:val="28"/>
        </w:rPr>
        <w:t>event</w:t>
      </w:r>
      <w:r w:rsidR="00855202" w:rsidRPr="002E721C">
        <w:rPr>
          <w:rFonts w:cs="Times New Roman"/>
          <w:sz w:val="28"/>
          <w:szCs w:val="28"/>
        </w:rPr>
        <w:t>;</w:t>
      </w:r>
      <w:r w:rsidR="00A12D9F" w:rsidRPr="002E721C">
        <w:rPr>
          <w:rFonts w:cs="Times New Roman"/>
          <w:sz w:val="28"/>
          <w:szCs w:val="28"/>
        </w:rPr>
        <w:t xml:space="preserve"> that although the injury is described as an acute profound HII, </w:t>
      </w:r>
      <w:r w:rsidR="0082785A" w:rsidRPr="002E721C">
        <w:rPr>
          <w:rFonts w:cs="Times New Roman"/>
          <w:sz w:val="28"/>
          <w:szCs w:val="28"/>
        </w:rPr>
        <w:t xml:space="preserve">that does not necessarily mean that there was an abrupt interruption of the blood supply, </w:t>
      </w:r>
      <w:r w:rsidR="00543428" w:rsidRPr="002E721C">
        <w:rPr>
          <w:rFonts w:cs="Times New Roman"/>
          <w:sz w:val="28"/>
          <w:szCs w:val="28"/>
        </w:rPr>
        <w:t xml:space="preserve">but one </w:t>
      </w:r>
      <w:r w:rsidR="0082785A" w:rsidRPr="002E721C">
        <w:rPr>
          <w:rFonts w:cs="Times New Roman"/>
          <w:sz w:val="28"/>
          <w:szCs w:val="28"/>
        </w:rPr>
        <w:t>which could develop over a period of time</w:t>
      </w:r>
      <w:r w:rsidR="00216300" w:rsidRPr="002E721C">
        <w:rPr>
          <w:rFonts w:cs="Times New Roman"/>
          <w:sz w:val="28"/>
          <w:szCs w:val="28"/>
        </w:rPr>
        <w:t xml:space="preserve">; </w:t>
      </w:r>
      <w:r w:rsidR="00855202" w:rsidRPr="002E721C">
        <w:rPr>
          <w:rFonts w:cs="Times New Roman"/>
          <w:sz w:val="28"/>
          <w:szCs w:val="28"/>
        </w:rPr>
        <w:t xml:space="preserve">and that this view </w:t>
      </w:r>
      <w:r w:rsidR="00216300" w:rsidRPr="002E721C">
        <w:rPr>
          <w:rFonts w:cs="Times New Roman"/>
          <w:sz w:val="28"/>
          <w:szCs w:val="28"/>
        </w:rPr>
        <w:t>i</w:t>
      </w:r>
      <w:r w:rsidR="00855202" w:rsidRPr="002E721C">
        <w:rPr>
          <w:rFonts w:cs="Times New Roman"/>
          <w:sz w:val="28"/>
          <w:szCs w:val="28"/>
        </w:rPr>
        <w:t>s supported in the literature</w:t>
      </w:r>
      <w:r w:rsidR="002048DE" w:rsidRPr="002E721C">
        <w:rPr>
          <w:rFonts w:cs="Times New Roman"/>
          <w:sz w:val="28"/>
          <w:szCs w:val="28"/>
        </w:rPr>
        <w:t xml:space="preserve">. </w:t>
      </w:r>
    </w:p>
    <w:p w14:paraId="130B79FC" w14:textId="77777777" w:rsidR="00206866" w:rsidRPr="00216300" w:rsidRDefault="00206866" w:rsidP="00BE33BB">
      <w:pPr>
        <w:pStyle w:val="ListParagraph"/>
        <w:spacing w:after="0" w:line="360" w:lineRule="auto"/>
        <w:ind w:left="0"/>
        <w:jc w:val="both"/>
        <w:rPr>
          <w:rFonts w:cs="Times New Roman"/>
          <w:sz w:val="24"/>
          <w:szCs w:val="24"/>
        </w:rPr>
      </w:pPr>
    </w:p>
    <w:p w14:paraId="138FA278" w14:textId="0201818B" w:rsidR="00FB17BB" w:rsidRPr="002E721C" w:rsidRDefault="002E721C" w:rsidP="002E721C">
      <w:pPr>
        <w:spacing w:after="0" w:line="360" w:lineRule="auto"/>
        <w:jc w:val="both"/>
        <w:rPr>
          <w:rFonts w:cs="Times New Roman"/>
          <w:sz w:val="28"/>
          <w:szCs w:val="28"/>
        </w:rPr>
      </w:pPr>
      <w:r>
        <w:rPr>
          <w:rFonts w:cs="Times New Roman"/>
          <w:sz w:val="28"/>
          <w:szCs w:val="28"/>
        </w:rPr>
        <w:t>[10]</w:t>
      </w:r>
      <w:r>
        <w:rPr>
          <w:rFonts w:cs="Times New Roman"/>
          <w:sz w:val="28"/>
          <w:szCs w:val="28"/>
        </w:rPr>
        <w:tab/>
      </w:r>
      <w:r w:rsidR="00B16FA3" w:rsidRPr="002E721C">
        <w:rPr>
          <w:rFonts w:cs="Times New Roman"/>
          <w:sz w:val="28"/>
          <w:szCs w:val="28"/>
        </w:rPr>
        <w:t>The plaintiff then called Dr A Redfern, a paediatrician</w:t>
      </w:r>
      <w:r w:rsidR="000211D2" w:rsidRPr="002E721C">
        <w:rPr>
          <w:rFonts w:cs="Times New Roman"/>
          <w:sz w:val="28"/>
          <w:szCs w:val="28"/>
        </w:rPr>
        <w:t>,</w:t>
      </w:r>
      <w:r w:rsidR="007A65E5" w:rsidRPr="002E721C">
        <w:rPr>
          <w:rFonts w:cs="Times New Roman"/>
          <w:sz w:val="28"/>
          <w:szCs w:val="28"/>
        </w:rPr>
        <w:t xml:space="preserve"> as an expert, after which the case was postponed. </w:t>
      </w:r>
      <w:r w:rsidR="00877F06" w:rsidRPr="002E721C">
        <w:rPr>
          <w:rFonts w:cs="Times New Roman"/>
          <w:sz w:val="28"/>
          <w:szCs w:val="28"/>
        </w:rPr>
        <w:t xml:space="preserve">Subsequently Dr </w:t>
      </w:r>
      <w:proofErr w:type="spellStart"/>
      <w:r w:rsidR="00877F06" w:rsidRPr="002E721C">
        <w:rPr>
          <w:rFonts w:cs="Times New Roman"/>
          <w:sz w:val="28"/>
          <w:szCs w:val="28"/>
        </w:rPr>
        <w:t>Alheit</w:t>
      </w:r>
      <w:proofErr w:type="spellEnd"/>
      <w:r w:rsidR="00877F06" w:rsidRPr="002E721C">
        <w:rPr>
          <w:rFonts w:cs="Times New Roman"/>
          <w:sz w:val="28"/>
          <w:szCs w:val="28"/>
        </w:rPr>
        <w:t xml:space="preserve"> filed a third report dated 8 March 2021, in which he expressed the </w:t>
      </w:r>
      <w:r w:rsidR="009F41E0" w:rsidRPr="002E721C">
        <w:rPr>
          <w:rFonts w:cs="Times New Roman"/>
          <w:sz w:val="28"/>
          <w:szCs w:val="28"/>
        </w:rPr>
        <w:t xml:space="preserve">following opinion. The MRI features are diagnostic of a basal ganglia and thalamus </w:t>
      </w:r>
      <w:r w:rsidR="00114830" w:rsidRPr="002E721C">
        <w:rPr>
          <w:rFonts w:cs="Times New Roman"/>
          <w:sz w:val="28"/>
          <w:szCs w:val="28"/>
        </w:rPr>
        <w:t xml:space="preserve">(BGT) </w:t>
      </w:r>
      <w:r w:rsidR="009F41E0" w:rsidRPr="002E721C">
        <w:rPr>
          <w:rFonts w:cs="Times New Roman"/>
          <w:sz w:val="28"/>
          <w:szCs w:val="28"/>
        </w:rPr>
        <w:t xml:space="preserve">central </w:t>
      </w:r>
      <w:r w:rsidR="009B706E" w:rsidRPr="002E721C">
        <w:rPr>
          <w:rFonts w:cs="Times New Roman"/>
          <w:sz w:val="28"/>
          <w:szCs w:val="28"/>
        </w:rPr>
        <w:t>HII</w:t>
      </w:r>
      <w:r w:rsidR="009F41E0" w:rsidRPr="002E721C">
        <w:rPr>
          <w:rFonts w:cs="Times New Roman"/>
          <w:sz w:val="28"/>
          <w:szCs w:val="28"/>
        </w:rPr>
        <w:t xml:space="preserve"> of the brain. If there is a history of an intrapartum sentinel event, then this injury pattern could be due to an acute profound hypoxic ischaemic event. In the absence of a recorded obstetric emergency sentinel event, it is not possible to determine the timing, during labour, of the injury from the MR</w:t>
      </w:r>
      <w:r w:rsidR="00FB17BB" w:rsidRPr="002E721C">
        <w:rPr>
          <w:rFonts w:cs="Times New Roman"/>
          <w:sz w:val="28"/>
          <w:szCs w:val="28"/>
        </w:rPr>
        <w:t>I</w:t>
      </w:r>
      <w:r w:rsidR="009F41E0" w:rsidRPr="002E721C">
        <w:rPr>
          <w:rFonts w:cs="Times New Roman"/>
          <w:sz w:val="28"/>
          <w:szCs w:val="28"/>
        </w:rPr>
        <w:t xml:space="preserve"> features alone. The timing and mechanism of injury should be addressed by obstetricians and neuro- paediatricians</w:t>
      </w:r>
      <w:r w:rsidR="00FF78C7" w:rsidRPr="002E721C">
        <w:rPr>
          <w:rFonts w:cs="Times New Roman"/>
          <w:sz w:val="28"/>
          <w:szCs w:val="28"/>
        </w:rPr>
        <w:t>.</w:t>
      </w:r>
      <w:r w:rsidR="00316699" w:rsidRPr="002E721C">
        <w:rPr>
          <w:rFonts w:cs="Times New Roman"/>
          <w:sz w:val="28"/>
          <w:szCs w:val="28"/>
        </w:rPr>
        <w:t xml:space="preserve"> </w:t>
      </w:r>
    </w:p>
    <w:p w14:paraId="313011E6" w14:textId="77777777" w:rsidR="00FB17BB" w:rsidRDefault="00FB17BB" w:rsidP="00FB17BB">
      <w:pPr>
        <w:pStyle w:val="ListParagraph"/>
        <w:spacing w:after="0" w:line="360" w:lineRule="auto"/>
        <w:ind w:left="0"/>
        <w:jc w:val="both"/>
        <w:rPr>
          <w:rFonts w:cs="Times New Roman"/>
          <w:sz w:val="28"/>
          <w:szCs w:val="28"/>
        </w:rPr>
      </w:pPr>
    </w:p>
    <w:p w14:paraId="26F489A9" w14:textId="42DC573C" w:rsidR="00FB17BB" w:rsidRPr="002E721C" w:rsidRDefault="002E721C" w:rsidP="002E721C">
      <w:pPr>
        <w:spacing w:after="0" w:line="360" w:lineRule="auto"/>
        <w:jc w:val="both"/>
        <w:rPr>
          <w:rFonts w:cs="Times New Roman"/>
          <w:sz w:val="28"/>
          <w:szCs w:val="28"/>
        </w:rPr>
      </w:pPr>
      <w:r>
        <w:rPr>
          <w:rFonts w:cs="Times New Roman"/>
          <w:sz w:val="28"/>
          <w:szCs w:val="28"/>
        </w:rPr>
        <w:t>[11]</w:t>
      </w:r>
      <w:r>
        <w:rPr>
          <w:rFonts w:cs="Times New Roman"/>
          <w:sz w:val="28"/>
          <w:szCs w:val="28"/>
        </w:rPr>
        <w:tab/>
      </w:r>
      <w:r w:rsidR="007A65E5" w:rsidRPr="002E721C">
        <w:rPr>
          <w:rFonts w:cs="Times New Roman"/>
          <w:sz w:val="28"/>
          <w:szCs w:val="28"/>
        </w:rPr>
        <w:t>When the trial resumed</w:t>
      </w:r>
      <w:r w:rsidR="00892232" w:rsidRPr="002E721C">
        <w:rPr>
          <w:rFonts w:cs="Times New Roman"/>
          <w:sz w:val="28"/>
          <w:szCs w:val="28"/>
        </w:rPr>
        <w:t xml:space="preserve"> on 15 November 2021, the </w:t>
      </w:r>
      <w:r w:rsidR="00FA4B58" w:rsidRPr="002E721C">
        <w:rPr>
          <w:rFonts w:cs="Times New Roman"/>
          <w:sz w:val="28"/>
          <w:szCs w:val="28"/>
        </w:rPr>
        <w:t>defendant</w:t>
      </w:r>
      <w:r w:rsidR="00892232" w:rsidRPr="002E721C">
        <w:rPr>
          <w:rFonts w:cs="Times New Roman"/>
          <w:sz w:val="28"/>
          <w:szCs w:val="28"/>
        </w:rPr>
        <w:t xml:space="preserve"> appl</w:t>
      </w:r>
      <w:r w:rsidR="00FA4B58" w:rsidRPr="002E721C">
        <w:rPr>
          <w:rFonts w:cs="Times New Roman"/>
          <w:sz w:val="28"/>
          <w:szCs w:val="28"/>
        </w:rPr>
        <w:t>ied f</w:t>
      </w:r>
      <w:r w:rsidR="00892232" w:rsidRPr="002E721C">
        <w:rPr>
          <w:rFonts w:cs="Times New Roman"/>
          <w:sz w:val="28"/>
          <w:szCs w:val="28"/>
        </w:rPr>
        <w:t xml:space="preserve">or an order that the plaintiff </w:t>
      </w:r>
      <w:r w:rsidR="00B315C2" w:rsidRPr="002E721C">
        <w:rPr>
          <w:rFonts w:cs="Times New Roman"/>
          <w:sz w:val="28"/>
          <w:szCs w:val="28"/>
        </w:rPr>
        <w:t xml:space="preserve">was </w:t>
      </w:r>
      <w:r w:rsidR="007E1FCC" w:rsidRPr="002E721C">
        <w:rPr>
          <w:rFonts w:cs="Times New Roman"/>
          <w:sz w:val="28"/>
          <w:szCs w:val="28"/>
        </w:rPr>
        <w:t>not entitled to</w:t>
      </w:r>
      <w:r w:rsidR="00FA4B58" w:rsidRPr="002E721C">
        <w:rPr>
          <w:rFonts w:cs="Times New Roman"/>
          <w:sz w:val="28"/>
          <w:szCs w:val="28"/>
        </w:rPr>
        <w:t xml:space="preserve"> present</w:t>
      </w:r>
      <w:r w:rsidR="006E5823" w:rsidRPr="002E721C">
        <w:rPr>
          <w:rFonts w:cs="Times New Roman"/>
          <w:sz w:val="28"/>
          <w:szCs w:val="28"/>
        </w:rPr>
        <w:t xml:space="preserve"> </w:t>
      </w:r>
      <w:r w:rsidR="007E1FCC" w:rsidRPr="002E721C">
        <w:rPr>
          <w:rFonts w:cs="Times New Roman"/>
          <w:sz w:val="28"/>
          <w:szCs w:val="28"/>
        </w:rPr>
        <w:t>evidence to disprove th</w:t>
      </w:r>
      <w:r w:rsidR="005A1756" w:rsidRPr="002E721C">
        <w:rPr>
          <w:rFonts w:cs="Times New Roman"/>
          <w:sz w:val="28"/>
          <w:szCs w:val="28"/>
        </w:rPr>
        <w:t>e ‘facts’ set out in the reports</w:t>
      </w:r>
      <w:r w:rsidR="007E1FCC" w:rsidRPr="002E721C">
        <w:rPr>
          <w:rFonts w:cs="Times New Roman"/>
          <w:sz w:val="28"/>
          <w:szCs w:val="28"/>
        </w:rPr>
        <w:t xml:space="preserve"> by Prof </w:t>
      </w:r>
      <w:proofErr w:type="spellStart"/>
      <w:r w:rsidR="007E1FCC" w:rsidRPr="002E721C">
        <w:rPr>
          <w:rFonts w:cs="Times New Roman"/>
          <w:sz w:val="28"/>
          <w:szCs w:val="28"/>
        </w:rPr>
        <w:t>Lotz</w:t>
      </w:r>
      <w:proofErr w:type="spellEnd"/>
      <w:r w:rsidR="007E1FCC" w:rsidRPr="002E721C">
        <w:rPr>
          <w:rFonts w:cs="Times New Roman"/>
          <w:sz w:val="28"/>
          <w:szCs w:val="28"/>
        </w:rPr>
        <w:t xml:space="preserve"> and </w:t>
      </w:r>
      <w:r w:rsidR="00A26A76" w:rsidRPr="002E721C">
        <w:rPr>
          <w:rFonts w:cs="Times New Roman"/>
          <w:sz w:val="28"/>
          <w:szCs w:val="28"/>
        </w:rPr>
        <w:t xml:space="preserve">Dr </w:t>
      </w:r>
      <w:proofErr w:type="spellStart"/>
      <w:r w:rsidR="00A26A76" w:rsidRPr="002E721C">
        <w:rPr>
          <w:rFonts w:cs="Times New Roman"/>
          <w:sz w:val="28"/>
          <w:szCs w:val="28"/>
        </w:rPr>
        <w:t>Alheit</w:t>
      </w:r>
      <w:proofErr w:type="spellEnd"/>
      <w:r w:rsidR="005A1756" w:rsidRPr="002E721C">
        <w:rPr>
          <w:rFonts w:cs="Times New Roman"/>
          <w:sz w:val="28"/>
          <w:szCs w:val="28"/>
        </w:rPr>
        <w:t>, dated 30 July 2015 and 27 July 2019, respectively.</w:t>
      </w:r>
      <w:r w:rsidR="001D6008" w:rsidRPr="002E721C">
        <w:rPr>
          <w:rFonts w:cs="Times New Roman"/>
          <w:sz w:val="28"/>
          <w:szCs w:val="28"/>
        </w:rPr>
        <w:t xml:space="preserve"> The basis of the application was that </w:t>
      </w:r>
      <w:r w:rsidR="00FB17BB" w:rsidRPr="002E721C">
        <w:rPr>
          <w:rFonts w:cs="Times New Roman"/>
          <w:sz w:val="28"/>
          <w:szCs w:val="28"/>
        </w:rPr>
        <w:t>the defendant had admitted these reports in terms of s 15 of the Act. It provides:</w:t>
      </w:r>
    </w:p>
    <w:p w14:paraId="18ED25FE" w14:textId="45C2AEDF" w:rsidR="00FF78C7" w:rsidRPr="00FF78C7" w:rsidRDefault="00FB17BB" w:rsidP="00FB17BB">
      <w:pPr>
        <w:pStyle w:val="ListParagraph"/>
        <w:spacing w:after="0" w:line="360" w:lineRule="auto"/>
        <w:ind w:left="0"/>
        <w:jc w:val="both"/>
        <w:rPr>
          <w:rFonts w:cs="Times New Roman"/>
          <w:sz w:val="24"/>
          <w:szCs w:val="24"/>
        </w:rPr>
      </w:pPr>
      <w:r w:rsidRPr="00FF78C7">
        <w:rPr>
          <w:rFonts w:cs="Times New Roman"/>
          <w:sz w:val="24"/>
          <w:szCs w:val="24"/>
        </w:rPr>
        <w:t>‘</w:t>
      </w:r>
      <w:r w:rsidRPr="00FF78C7">
        <w:rPr>
          <w:rFonts w:cs="Times New Roman"/>
          <w:b/>
          <w:sz w:val="24"/>
          <w:szCs w:val="24"/>
        </w:rPr>
        <w:t>Admission</w:t>
      </w:r>
      <w:r w:rsidR="00FF78C7" w:rsidRPr="00FF78C7">
        <w:rPr>
          <w:rFonts w:cs="Times New Roman"/>
          <w:b/>
          <w:sz w:val="24"/>
          <w:szCs w:val="24"/>
        </w:rPr>
        <w:t>s on record</w:t>
      </w:r>
      <w:r w:rsidRPr="00FF78C7">
        <w:rPr>
          <w:rFonts w:cs="Times New Roman"/>
          <w:sz w:val="24"/>
          <w:szCs w:val="24"/>
        </w:rPr>
        <w:t xml:space="preserve"> </w:t>
      </w:r>
    </w:p>
    <w:p w14:paraId="6EB4DCE2" w14:textId="0769FDCD" w:rsidR="006C757F" w:rsidRPr="00892232" w:rsidRDefault="00FB17BB" w:rsidP="00FB17BB">
      <w:pPr>
        <w:pStyle w:val="ListParagraph"/>
        <w:spacing w:after="0" w:line="360" w:lineRule="auto"/>
        <w:ind w:left="0"/>
        <w:jc w:val="both"/>
        <w:rPr>
          <w:rFonts w:cs="Times New Roman"/>
          <w:sz w:val="28"/>
          <w:szCs w:val="28"/>
        </w:rPr>
      </w:pPr>
      <w:r w:rsidRPr="00FF78C7">
        <w:rPr>
          <w:rFonts w:cs="Times New Roman"/>
          <w:sz w:val="24"/>
          <w:szCs w:val="24"/>
        </w:rPr>
        <w:t>It shall not be necessary for any party in any civil proceedings to prove nor shall it be competent for any such party to disprove any fact admitted on the record of such proceedings.’</w:t>
      </w:r>
    </w:p>
    <w:p w14:paraId="2AA31B2C" w14:textId="72638366" w:rsidR="00866036" w:rsidRPr="006C757F" w:rsidRDefault="00866036" w:rsidP="006C757F">
      <w:pPr>
        <w:spacing w:after="0" w:line="360" w:lineRule="auto"/>
        <w:jc w:val="both"/>
        <w:rPr>
          <w:rFonts w:cs="Times New Roman"/>
          <w:sz w:val="28"/>
          <w:szCs w:val="28"/>
        </w:rPr>
      </w:pPr>
      <w:r w:rsidRPr="006C757F">
        <w:rPr>
          <w:rFonts w:cs="Times New Roman"/>
          <w:sz w:val="28"/>
          <w:szCs w:val="28"/>
        </w:rPr>
        <w:t xml:space="preserve"> </w:t>
      </w:r>
    </w:p>
    <w:p w14:paraId="1ACC3B1C" w14:textId="226475A6" w:rsidR="00332044" w:rsidRPr="002E721C" w:rsidRDefault="002E721C" w:rsidP="002E721C">
      <w:pPr>
        <w:spacing w:after="0" w:line="360" w:lineRule="auto"/>
        <w:jc w:val="both"/>
        <w:rPr>
          <w:rFonts w:cs="Times New Roman"/>
          <w:sz w:val="28"/>
          <w:szCs w:val="28"/>
        </w:rPr>
      </w:pPr>
      <w:r>
        <w:rPr>
          <w:rFonts w:cs="Times New Roman"/>
          <w:sz w:val="28"/>
          <w:szCs w:val="28"/>
        </w:rPr>
        <w:t>[12]</w:t>
      </w:r>
      <w:r>
        <w:rPr>
          <w:rFonts w:cs="Times New Roman"/>
          <w:sz w:val="28"/>
          <w:szCs w:val="28"/>
        </w:rPr>
        <w:tab/>
      </w:r>
      <w:r w:rsidR="000D30FF" w:rsidRPr="002E721C">
        <w:rPr>
          <w:rFonts w:cs="Times New Roman"/>
          <w:sz w:val="28"/>
          <w:szCs w:val="28"/>
        </w:rPr>
        <w:t xml:space="preserve">The high court </w:t>
      </w:r>
      <w:r w:rsidR="00F60496" w:rsidRPr="002E721C">
        <w:rPr>
          <w:rFonts w:cs="Times New Roman"/>
          <w:sz w:val="28"/>
          <w:szCs w:val="28"/>
        </w:rPr>
        <w:t>(</w:t>
      </w:r>
      <w:proofErr w:type="spellStart"/>
      <w:r w:rsidR="00F60496" w:rsidRPr="002E721C">
        <w:rPr>
          <w:rFonts w:cs="Times New Roman"/>
          <w:sz w:val="28"/>
          <w:szCs w:val="28"/>
        </w:rPr>
        <w:t>Nhlangulela</w:t>
      </w:r>
      <w:proofErr w:type="spellEnd"/>
      <w:r w:rsidR="00F60496" w:rsidRPr="002E721C">
        <w:rPr>
          <w:rFonts w:cs="Times New Roman"/>
          <w:sz w:val="28"/>
          <w:szCs w:val="28"/>
        </w:rPr>
        <w:t xml:space="preserve"> DJP) </w:t>
      </w:r>
      <w:r w:rsidR="006B29D8" w:rsidRPr="002E721C">
        <w:rPr>
          <w:rFonts w:cs="Times New Roman"/>
          <w:sz w:val="28"/>
          <w:szCs w:val="28"/>
        </w:rPr>
        <w:t>granted the application</w:t>
      </w:r>
      <w:r w:rsidR="00B958E8" w:rsidRPr="002E721C">
        <w:rPr>
          <w:rFonts w:cs="Times New Roman"/>
          <w:sz w:val="28"/>
          <w:szCs w:val="28"/>
        </w:rPr>
        <w:t xml:space="preserve"> and made the order </w:t>
      </w:r>
      <w:r w:rsidR="005D2534" w:rsidRPr="002E721C">
        <w:rPr>
          <w:rFonts w:cs="Times New Roman"/>
          <w:sz w:val="28"/>
          <w:szCs w:val="28"/>
        </w:rPr>
        <w:t xml:space="preserve">sought by </w:t>
      </w:r>
      <w:r w:rsidR="00B958E8" w:rsidRPr="002E721C">
        <w:rPr>
          <w:rFonts w:cs="Times New Roman"/>
          <w:sz w:val="28"/>
          <w:szCs w:val="28"/>
        </w:rPr>
        <w:t>the defendant</w:t>
      </w:r>
      <w:r w:rsidR="006B29D8" w:rsidRPr="002E721C">
        <w:rPr>
          <w:rFonts w:cs="Times New Roman"/>
          <w:sz w:val="28"/>
          <w:szCs w:val="28"/>
        </w:rPr>
        <w:t>. Given that this order was made in the course of proceedings</w:t>
      </w:r>
      <w:r w:rsidR="00002249" w:rsidRPr="002E721C">
        <w:rPr>
          <w:rFonts w:cs="Times New Roman"/>
          <w:sz w:val="28"/>
          <w:szCs w:val="28"/>
        </w:rPr>
        <w:t xml:space="preserve"> and at first blush seems</w:t>
      </w:r>
      <w:r w:rsidR="007B34C0" w:rsidRPr="002E721C">
        <w:rPr>
          <w:rFonts w:cs="Times New Roman"/>
          <w:sz w:val="28"/>
          <w:szCs w:val="28"/>
        </w:rPr>
        <w:t xml:space="preserve"> interlocutory, the </w:t>
      </w:r>
      <w:r w:rsidR="005233B0" w:rsidRPr="002E721C">
        <w:rPr>
          <w:rFonts w:cs="Times New Roman"/>
          <w:sz w:val="28"/>
          <w:szCs w:val="28"/>
        </w:rPr>
        <w:t xml:space="preserve">first </w:t>
      </w:r>
      <w:r w:rsidR="006B29D8" w:rsidRPr="002E721C">
        <w:rPr>
          <w:rFonts w:cs="Times New Roman"/>
          <w:sz w:val="28"/>
          <w:szCs w:val="28"/>
        </w:rPr>
        <w:t xml:space="preserve">question is whether it </w:t>
      </w:r>
      <w:r w:rsidR="006B29D8" w:rsidRPr="002E721C">
        <w:rPr>
          <w:rFonts w:cs="Times New Roman"/>
          <w:sz w:val="28"/>
          <w:szCs w:val="28"/>
        </w:rPr>
        <w:lastRenderedPageBreak/>
        <w:t xml:space="preserve">is appealable. </w:t>
      </w:r>
      <w:r w:rsidR="00F80DF4" w:rsidRPr="002E721C">
        <w:rPr>
          <w:rFonts w:cs="Times New Roman"/>
          <w:sz w:val="28"/>
          <w:szCs w:val="28"/>
        </w:rPr>
        <w:t xml:space="preserve">The general rule is that a judgment or order is appealable if it is a decision which has three attributes: it must be final and not susceptible to alteration by the court of first instance; it must be definitive of the rights of the parties; and it must have the effect of disposing of a substantial part of the relief claimed </w:t>
      </w:r>
      <w:r w:rsidR="00D464C1" w:rsidRPr="002E721C">
        <w:rPr>
          <w:rFonts w:cs="Times New Roman"/>
          <w:sz w:val="28"/>
          <w:szCs w:val="28"/>
        </w:rPr>
        <w:t xml:space="preserve">in </w:t>
      </w:r>
      <w:r w:rsidR="00F80DF4" w:rsidRPr="002E721C">
        <w:rPr>
          <w:rFonts w:cs="Times New Roman"/>
          <w:sz w:val="28"/>
          <w:szCs w:val="28"/>
        </w:rPr>
        <w:t>the main proceedings.</w:t>
      </w:r>
      <w:r w:rsidR="00F80DF4">
        <w:rPr>
          <w:rStyle w:val="FootnoteReference"/>
          <w:rFonts w:cs="Times New Roman"/>
          <w:sz w:val="28"/>
          <w:szCs w:val="28"/>
        </w:rPr>
        <w:footnoteReference w:id="6"/>
      </w:r>
      <w:r w:rsidR="00F80DF4" w:rsidRPr="002E721C">
        <w:rPr>
          <w:rFonts w:cs="Times New Roman"/>
          <w:sz w:val="28"/>
          <w:szCs w:val="28"/>
        </w:rPr>
        <w:t xml:space="preserve"> However,</w:t>
      </w:r>
      <w:r w:rsidR="007B34C0" w:rsidRPr="002E721C">
        <w:rPr>
          <w:rFonts w:cs="Times New Roman"/>
          <w:sz w:val="28"/>
          <w:szCs w:val="28"/>
        </w:rPr>
        <w:t xml:space="preserve"> this Court has held that the rule is not cast in stone and the three attributes are not exhaustive.</w:t>
      </w:r>
      <w:r w:rsidR="007B34C0">
        <w:rPr>
          <w:rStyle w:val="FootnoteReference"/>
          <w:rFonts w:cs="Times New Roman"/>
          <w:sz w:val="28"/>
          <w:szCs w:val="28"/>
        </w:rPr>
        <w:footnoteReference w:id="7"/>
      </w:r>
      <w:r w:rsidR="007B34C0" w:rsidRPr="002E721C">
        <w:rPr>
          <w:rFonts w:cs="Times New Roman"/>
          <w:sz w:val="28"/>
          <w:szCs w:val="28"/>
        </w:rPr>
        <w:t xml:space="preserve"> </w:t>
      </w:r>
      <w:r w:rsidR="00241760" w:rsidRPr="002E721C">
        <w:rPr>
          <w:rFonts w:cs="Times New Roman"/>
          <w:sz w:val="28"/>
          <w:szCs w:val="28"/>
        </w:rPr>
        <w:t xml:space="preserve">More recently, the </w:t>
      </w:r>
      <w:r w:rsidR="00B77D9A" w:rsidRPr="002E721C">
        <w:rPr>
          <w:rFonts w:cs="Times New Roman"/>
          <w:sz w:val="28"/>
          <w:szCs w:val="28"/>
        </w:rPr>
        <w:t>classification of an order is not determinative of whether it is appealable;</w:t>
      </w:r>
      <w:r w:rsidR="00A07948">
        <w:rPr>
          <w:rStyle w:val="FootnoteReference"/>
          <w:rFonts w:cs="Times New Roman"/>
          <w:sz w:val="28"/>
          <w:szCs w:val="28"/>
        </w:rPr>
        <w:footnoteReference w:id="8"/>
      </w:r>
      <w:r w:rsidR="00B77D9A" w:rsidRPr="002E721C">
        <w:rPr>
          <w:rFonts w:cs="Times New Roman"/>
          <w:sz w:val="28"/>
          <w:szCs w:val="28"/>
        </w:rPr>
        <w:t xml:space="preserve"> rather, the question </w:t>
      </w:r>
      <w:r w:rsidR="002A6A26" w:rsidRPr="002E721C">
        <w:rPr>
          <w:rFonts w:cs="Times New Roman"/>
          <w:sz w:val="28"/>
          <w:szCs w:val="28"/>
        </w:rPr>
        <w:t xml:space="preserve">is </w:t>
      </w:r>
      <w:r w:rsidR="00B77D9A" w:rsidRPr="002E721C">
        <w:rPr>
          <w:rFonts w:cs="Times New Roman"/>
          <w:sz w:val="28"/>
          <w:szCs w:val="28"/>
        </w:rPr>
        <w:t>whether it is in the interests of justice that</w:t>
      </w:r>
      <w:r w:rsidR="002A6A26" w:rsidRPr="002E721C">
        <w:rPr>
          <w:rFonts w:cs="Times New Roman"/>
          <w:sz w:val="28"/>
          <w:szCs w:val="28"/>
        </w:rPr>
        <w:t xml:space="preserve"> an order be corrected.</w:t>
      </w:r>
      <w:r w:rsidR="00A07948">
        <w:rPr>
          <w:rStyle w:val="FootnoteReference"/>
          <w:rFonts w:cs="Times New Roman"/>
          <w:sz w:val="28"/>
          <w:szCs w:val="28"/>
        </w:rPr>
        <w:footnoteReference w:id="9"/>
      </w:r>
      <w:r w:rsidR="00241760" w:rsidRPr="002E721C">
        <w:rPr>
          <w:rFonts w:cs="Times New Roman"/>
          <w:sz w:val="28"/>
          <w:szCs w:val="28"/>
        </w:rPr>
        <w:t xml:space="preserve"> </w:t>
      </w:r>
    </w:p>
    <w:p w14:paraId="18CCB8D2" w14:textId="77777777" w:rsidR="00332044" w:rsidRDefault="00332044" w:rsidP="00332044">
      <w:pPr>
        <w:pStyle w:val="ListParagraph"/>
        <w:spacing w:after="0" w:line="360" w:lineRule="auto"/>
        <w:ind w:left="0"/>
        <w:jc w:val="both"/>
        <w:rPr>
          <w:rFonts w:cs="Times New Roman"/>
          <w:sz w:val="28"/>
          <w:szCs w:val="28"/>
        </w:rPr>
      </w:pPr>
    </w:p>
    <w:p w14:paraId="79740B2B" w14:textId="08FE2A4E" w:rsidR="00332044" w:rsidRPr="002E721C" w:rsidRDefault="002E721C" w:rsidP="002E721C">
      <w:pPr>
        <w:spacing w:after="0" w:line="360" w:lineRule="auto"/>
        <w:jc w:val="both"/>
        <w:rPr>
          <w:rFonts w:cs="Times New Roman"/>
          <w:sz w:val="28"/>
          <w:szCs w:val="28"/>
        </w:rPr>
      </w:pPr>
      <w:r>
        <w:rPr>
          <w:rFonts w:cs="Times New Roman"/>
          <w:sz w:val="28"/>
          <w:szCs w:val="28"/>
        </w:rPr>
        <w:t>[13]</w:t>
      </w:r>
      <w:r>
        <w:rPr>
          <w:rFonts w:cs="Times New Roman"/>
          <w:sz w:val="28"/>
          <w:szCs w:val="28"/>
        </w:rPr>
        <w:tab/>
      </w:r>
      <w:r w:rsidR="002A6A26" w:rsidRPr="002E721C">
        <w:rPr>
          <w:rFonts w:cs="Times New Roman"/>
          <w:sz w:val="28"/>
          <w:szCs w:val="28"/>
        </w:rPr>
        <w:t xml:space="preserve">Thus, in </w:t>
      </w:r>
      <w:r w:rsidR="00332044" w:rsidRPr="002E721C">
        <w:rPr>
          <w:rFonts w:cs="Times New Roman"/>
          <w:i/>
          <w:sz w:val="28"/>
          <w:szCs w:val="28"/>
        </w:rPr>
        <w:t>NDPP v King</w:t>
      </w:r>
      <w:r w:rsidR="002A6A26" w:rsidRPr="002E721C">
        <w:rPr>
          <w:rFonts w:cs="Times New Roman"/>
          <w:sz w:val="28"/>
          <w:szCs w:val="28"/>
        </w:rPr>
        <w:t>,</w:t>
      </w:r>
      <w:r w:rsidR="002A6A26">
        <w:rPr>
          <w:rStyle w:val="FootnoteReference"/>
          <w:rFonts w:cs="Times New Roman"/>
          <w:sz w:val="28"/>
          <w:szCs w:val="28"/>
        </w:rPr>
        <w:footnoteReference w:id="10"/>
      </w:r>
      <w:r w:rsidR="002A6A26" w:rsidRPr="002E721C">
        <w:rPr>
          <w:rFonts w:cs="Times New Roman"/>
          <w:sz w:val="28"/>
          <w:szCs w:val="28"/>
        </w:rPr>
        <w:t xml:space="preserve"> Nugent JA</w:t>
      </w:r>
      <w:r w:rsidR="00332044" w:rsidRPr="002E721C">
        <w:rPr>
          <w:rFonts w:cs="Times New Roman"/>
          <w:sz w:val="28"/>
          <w:szCs w:val="28"/>
        </w:rPr>
        <w:t xml:space="preserve"> </w:t>
      </w:r>
      <w:r w:rsidR="002A6A26" w:rsidRPr="002E721C">
        <w:rPr>
          <w:rFonts w:cs="Times New Roman"/>
          <w:sz w:val="28"/>
          <w:szCs w:val="28"/>
        </w:rPr>
        <w:t>said</w:t>
      </w:r>
      <w:r w:rsidR="00332044" w:rsidRPr="002E721C">
        <w:rPr>
          <w:rFonts w:cs="Times New Roman"/>
          <w:sz w:val="28"/>
          <w:szCs w:val="28"/>
        </w:rPr>
        <w:t>:</w:t>
      </w:r>
    </w:p>
    <w:p w14:paraId="4DB7D78B" w14:textId="3FEDFB28" w:rsidR="00332044" w:rsidRPr="002A6A26" w:rsidRDefault="00332044" w:rsidP="00332044">
      <w:pPr>
        <w:pStyle w:val="ListParagraph"/>
        <w:spacing w:after="0" w:line="360" w:lineRule="auto"/>
        <w:ind w:left="0"/>
        <w:jc w:val="both"/>
        <w:rPr>
          <w:rFonts w:cs="Times New Roman"/>
          <w:sz w:val="24"/>
          <w:szCs w:val="24"/>
        </w:rPr>
      </w:pPr>
      <w:r w:rsidRPr="002A6A26">
        <w:rPr>
          <w:rFonts w:cs="Times New Roman"/>
          <w:sz w:val="24"/>
          <w:szCs w:val="24"/>
        </w:rPr>
        <w:t>‘[W]hen the question arises whether an order is appealable,</w:t>
      </w:r>
      <w:r w:rsidR="002A6A26" w:rsidRPr="002A6A26">
        <w:rPr>
          <w:rFonts w:cs="Times New Roman"/>
          <w:sz w:val="24"/>
          <w:szCs w:val="24"/>
        </w:rPr>
        <w:t xml:space="preserve"> what</w:t>
      </w:r>
      <w:r w:rsidRPr="002A6A26">
        <w:rPr>
          <w:rFonts w:cs="Times New Roman"/>
          <w:sz w:val="24"/>
          <w:szCs w:val="24"/>
        </w:rPr>
        <w:t xml:space="preserve"> is most often being asked is not whether the order is capable of being corrected, but rather</w:t>
      </w:r>
      <w:r w:rsidR="00CF4109">
        <w:rPr>
          <w:rFonts w:cs="Times New Roman"/>
          <w:sz w:val="24"/>
          <w:szCs w:val="24"/>
        </w:rPr>
        <w:t xml:space="preserve"> whether it </w:t>
      </w:r>
      <w:r w:rsidRPr="002A6A26">
        <w:rPr>
          <w:rFonts w:cs="Times New Roman"/>
          <w:sz w:val="24"/>
          <w:szCs w:val="24"/>
        </w:rPr>
        <w:t xml:space="preserve">should be corrected in isolation and before the proceedings </w:t>
      </w:r>
      <w:r w:rsidR="002A6A26" w:rsidRPr="002A6A26">
        <w:rPr>
          <w:rFonts w:cs="Times New Roman"/>
          <w:sz w:val="24"/>
          <w:szCs w:val="24"/>
        </w:rPr>
        <w:t xml:space="preserve">have </w:t>
      </w:r>
      <w:r w:rsidRPr="002A6A26">
        <w:rPr>
          <w:rFonts w:cs="Times New Roman"/>
          <w:sz w:val="24"/>
          <w:szCs w:val="24"/>
        </w:rPr>
        <w:t>run the</w:t>
      </w:r>
      <w:r w:rsidR="002A6A26" w:rsidRPr="002A6A26">
        <w:rPr>
          <w:rFonts w:cs="Times New Roman"/>
          <w:sz w:val="24"/>
          <w:szCs w:val="24"/>
        </w:rPr>
        <w:t xml:space="preserve">ir </w:t>
      </w:r>
      <w:r w:rsidRPr="002A6A26">
        <w:rPr>
          <w:rFonts w:cs="Times New Roman"/>
          <w:sz w:val="24"/>
          <w:szCs w:val="24"/>
        </w:rPr>
        <w:t>full course. . . . [T]wo competing principles come into play when the question is asked.</w:t>
      </w:r>
      <w:r w:rsidR="002A6A26" w:rsidRPr="002A6A26">
        <w:rPr>
          <w:rFonts w:cs="Times New Roman"/>
          <w:sz w:val="24"/>
          <w:szCs w:val="24"/>
        </w:rPr>
        <w:t xml:space="preserve"> On the one hand </w:t>
      </w:r>
      <w:r w:rsidRPr="002A6A26">
        <w:rPr>
          <w:rFonts w:cs="Times New Roman"/>
          <w:sz w:val="24"/>
          <w:szCs w:val="24"/>
        </w:rPr>
        <w:t xml:space="preserve">justice would seem to require that every decision of </w:t>
      </w:r>
      <w:r w:rsidR="002A6A26" w:rsidRPr="002A6A26">
        <w:rPr>
          <w:rFonts w:cs="Times New Roman"/>
          <w:sz w:val="24"/>
          <w:szCs w:val="24"/>
        </w:rPr>
        <w:t xml:space="preserve">a lower </w:t>
      </w:r>
      <w:r w:rsidRPr="002A6A26">
        <w:rPr>
          <w:rFonts w:cs="Times New Roman"/>
          <w:sz w:val="24"/>
          <w:szCs w:val="24"/>
        </w:rPr>
        <w:t>court should be capable not only of being corrected,</w:t>
      </w:r>
      <w:r w:rsidR="002A6A26" w:rsidRPr="002A6A26">
        <w:rPr>
          <w:rFonts w:cs="Times New Roman"/>
          <w:sz w:val="24"/>
          <w:szCs w:val="24"/>
        </w:rPr>
        <w:t xml:space="preserve"> but also of being corrected forth</w:t>
      </w:r>
      <w:r w:rsidRPr="002A6A26">
        <w:rPr>
          <w:rFonts w:cs="Times New Roman"/>
          <w:sz w:val="24"/>
          <w:szCs w:val="24"/>
        </w:rPr>
        <w:t>with</w:t>
      </w:r>
      <w:r w:rsidR="002A6A26" w:rsidRPr="002A6A26">
        <w:rPr>
          <w:rFonts w:cs="Times New Roman"/>
          <w:sz w:val="24"/>
          <w:szCs w:val="24"/>
        </w:rPr>
        <w:t xml:space="preserve"> </w:t>
      </w:r>
      <w:r w:rsidRPr="002A6A26">
        <w:rPr>
          <w:rFonts w:cs="Times New Roman"/>
          <w:sz w:val="24"/>
          <w:szCs w:val="24"/>
        </w:rPr>
        <w:t>before it has any consequences, while on the other hand</w:t>
      </w:r>
      <w:r w:rsidR="00241760" w:rsidRPr="002A6A26">
        <w:rPr>
          <w:rFonts w:cs="Times New Roman"/>
          <w:sz w:val="24"/>
          <w:szCs w:val="24"/>
        </w:rPr>
        <w:t xml:space="preserve"> the delay and inconvenience that might result if every decision is subject to appeal as and when it is made</w:t>
      </w:r>
      <w:r w:rsidR="002A6A26" w:rsidRPr="002A6A26">
        <w:rPr>
          <w:rFonts w:cs="Times New Roman"/>
          <w:sz w:val="24"/>
          <w:szCs w:val="24"/>
        </w:rPr>
        <w:t xml:space="preserve"> might</w:t>
      </w:r>
      <w:r w:rsidR="00241760" w:rsidRPr="002A6A26">
        <w:rPr>
          <w:rFonts w:cs="Times New Roman"/>
          <w:sz w:val="24"/>
          <w:szCs w:val="24"/>
        </w:rPr>
        <w:t xml:space="preserve"> itself defeat the attainment of justice.’</w:t>
      </w:r>
      <w:r w:rsidR="00382E77">
        <w:rPr>
          <w:rStyle w:val="FootnoteReference"/>
          <w:rFonts w:cs="Times New Roman"/>
          <w:sz w:val="24"/>
          <w:szCs w:val="24"/>
        </w:rPr>
        <w:footnoteReference w:id="11"/>
      </w:r>
    </w:p>
    <w:p w14:paraId="2682A622" w14:textId="77777777" w:rsidR="00241760" w:rsidRDefault="00241760" w:rsidP="00332044">
      <w:pPr>
        <w:pStyle w:val="ListParagraph"/>
        <w:spacing w:after="0" w:line="360" w:lineRule="auto"/>
        <w:ind w:left="0"/>
        <w:jc w:val="both"/>
        <w:rPr>
          <w:rFonts w:cs="Times New Roman"/>
          <w:sz w:val="28"/>
          <w:szCs w:val="28"/>
        </w:rPr>
      </w:pPr>
    </w:p>
    <w:p w14:paraId="6B2813E7" w14:textId="63110846" w:rsidR="009C73BA" w:rsidRPr="002E721C" w:rsidRDefault="002E721C" w:rsidP="002E721C">
      <w:pPr>
        <w:spacing w:after="0" w:line="360" w:lineRule="auto"/>
        <w:jc w:val="both"/>
        <w:rPr>
          <w:rFonts w:cs="Times New Roman"/>
          <w:sz w:val="28"/>
          <w:szCs w:val="28"/>
        </w:rPr>
      </w:pPr>
      <w:r>
        <w:rPr>
          <w:rFonts w:cs="Times New Roman"/>
          <w:sz w:val="28"/>
          <w:szCs w:val="28"/>
        </w:rPr>
        <w:t>[14]</w:t>
      </w:r>
      <w:r>
        <w:rPr>
          <w:rFonts w:cs="Times New Roman"/>
          <w:sz w:val="28"/>
          <w:szCs w:val="28"/>
        </w:rPr>
        <w:tab/>
      </w:r>
      <w:r w:rsidR="00CF4109" w:rsidRPr="002E721C">
        <w:rPr>
          <w:rFonts w:cs="Times New Roman"/>
          <w:sz w:val="28"/>
          <w:szCs w:val="28"/>
        </w:rPr>
        <w:t xml:space="preserve">Applied to the </w:t>
      </w:r>
      <w:r w:rsidR="00085ECC" w:rsidRPr="002E721C">
        <w:rPr>
          <w:rFonts w:cs="Times New Roman"/>
          <w:sz w:val="28"/>
          <w:szCs w:val="28"/>
        </w:rPr>
        <w:t xml:space="preserve">present </w:t>
      </w:r>
      <w:r w:rsidR="008D7987" w:rsidRPr="002E721C">
        <w:rPr>
          <w:rFonts w:cs="Times New Roman"/>
          <w:sz w:val="28"/>
          <w:szCs w:val="28"/>
        </w:rPr>
        <w:t xml:space="preserve">case, it </w:t>
      </w:r>
      <w:r w:rsidR="008229B7" w:rsidRPr="002E721C">
        <w:rPr>
          <w:rFonts w:cs="Times New Roman"/>
          <w:sz w:val="28"/>
          <w:szCs w:val="28"/>
        </w:rPr>
        <w:t xml:space="preserve">is </w:t>
      </w:r>
      <w:r w:rsidR="008D7987" w:rsidRPr="002E721C">
        <w:rPr>
          <w:rFonts w:cs="Times New Roman"/>
          <w:sz w:val="28"/>
          <w:szCs w:val="28"/>
        </w:rPr>
        <w:t xml:space="preserve">beyond </w:t>
      </w:r>
      <w:r w:rsidR="00CF4109" w:rsidRPr="002E721C">
        <w:rPr>
          <w:rFonts w:cs="Times New Roman"/>
          <w:sz w:val="28"/>
          <w:szCs w:val="28"/>
        </w:rPr>
        <w:t xml:space="preserve">question that the </w:t>
      </w:r>
      <w:r w:rsidR="008D7987" w:rsidRPr="002E721C">
        <w:rPr>
          <w:rFonts w:cs="Times New Roman"/>
          <w:sz w:val="28"/>
          <w:szCs w:val="28"/>
        </w:rPr>
        <w:t xml:space="preserve">interests of justice require that the high court’s </w:t>
      </w:r>
      <w:r w:rsidR="00CF4109" w:rsidRPr="002E721C">
        <w:rPr>
          <w:rFonts w:cs="Times New Roman"/>
          <w:sz w:val="28"/>
          <w:szCs w:val="28"/>
        </w:rPr>
        <w:t xml:space="preserve">order </w:t>
      </w:r>
      <w:r w:rsidR="008D7987" w:rsidRPr="002E721C">
        <w:rPr>
          <w:rFonts w:cs="Times New Roman"/>
          <w:sz w:val="28"/>
          <w:szCs w:val="28"/>
        </w:rPr>
        <w:t>be corrected forthwith. I</w:t>
      </w:r>
      <w:r w:rsidR="00A0015C" w:rsidRPr="002E721C">
        <w:rPr>
          <w:rFonts w:cs="Times New Roman"/>
          <w:sz w:val="28"/>
          <w:szCs w:val="28"/>
        </w:rPr>
        <w:t>t was wrongly made</w:t>
      </w:r>
      <w:r w:rsidR="008D7987" w:rsidRPr="002E721C">
        <w:rPr>
          <w:rFonts w:cs="Times New Roman"/>
          <w:sz w:val="28"/>
          <w:szCs w:val="28"/>
        </w:rPr>
        <w:t xml:space="preserve"> for the reasons set out below. </w:t>
      </w:r>
      <w:r w:rsidR="00561A89" w:rsidRPr="002E721C">
        <w:rPr>
          <w:rFonts w:cs="Times New Roman"/>
          <w:sz w:val="28"/>
          <w:szCs w:val="28"/>
        </w:rPr>
        <w:t xml:space="preserve">The defendant is seeking </w:t>
      </w:r>
      <w:r w:rsidR="009B706E" w:rsidRPr="002E721C">
        <w:rPr>
          <w:rFonts w:cs="Times New Roman"/>
          <w:sz w:val="28"/>
          <w:szCs w:val="28"/>
        </w:rPr>
        <w:t xml:space="preserve">to eliminate all evidence which </w:t>
      </w:r>
      <w:r w:rsidR="00561A89" w:rsidRPr="002E721C">
        <w:rPr>
          <w:rFonts w:cs="Times New Roman"/>
          <w:sz w:val="28"/>
          <w:szCs w:val="28"/>
        </w:rPr>
        <w:t xml:space="preserve">suggests that the HII which the child sustained, was not sudden or without </w:t>
      </w:r>
      <w:r w:rsidR="00561A89" w:rsidRPr="002E721C">
        <w:rPr>
          <w:rFonts w:cs="Times New Roman"/>
          <w:sz w:val="28"/>
          <w:szCs w:val="28"/>
        </w:rPr>
        <w:lastRenderedPageBreak/>
        <w:t xml:space="preserve">warning. </w:t>
      </w:r>
      <w:r w:rsidR="003368AF" w:rsidRPr="002E721C">
        <w:rPr>
          <w:rFonts w:cs="Times New Roman"/>
          <w:sz w:val="28"/>
          <w:szCs w:val="28"/>
        </w:rPr>
        <w:t xml:space="preserve">Fundamentally, the order irreparably prejudices the child, who is permanently disabled and whose best interests are paramount, by preventing the plaintiff from placing evidence </w:t>
      </w:r>
      <w:r w:rsidR="00043193" w:rsidRPr="002E721C">
        <w:rPr>
          <w:rFonts w:cs="Times New Roman"/>
          <w:sz w:val="28"/>
          <w:szCs w:val="28"/>
        </w:rPr>
        <w:t xml:space="preserve">which might be held to be decisive </w:t>
      </w:r>
      <w:r w:rsidR="003368AF" w:rsidRPr="002E721C">
        <w:rPr>
          <w:rFonts w:cs="Times New Roman"/>
          <w:sz w:val="28"/>
          <w:szCs w:val="28"/>
        </w:rPr>
        <w:t>before the trial court in support of her claim.</w:t>
      </w:r>
      <w:r w:rsidR="003368AF">
        <w:rPr>
          <w:rStyle w:val="FootnoteReference"/>
          <w:rFonts w:cs="Times New Roman"/>
          <w:sz w:val="28"/>
          <w:szCs w:val="28"/>
        </w:rPr>
        <w:footnoteReference w:id="12"/>
      </w:r>
      <w:r w:rsidR="003368AF" w:rsidRPr="002E721C">
        <w:rPr>
          <w:rFonts w:cs="Times New Roman"/>
          <w:sz w:val="28"/>
          <w:szCs w:val="28"/>
        </w:rPr>
        <w:t xml:space="preserve"> </w:t>
      </w:r>
      <w:r w:rsidR="006110E4" w:rsidRPr="002E721C">
        <w:rPr>
          <w:rFonts w:cs="Times New Roman"/>
          <w:sz w:val="28"/>
          <w:szCs w:val="28"/>
        </w:rPr>
        <w:t>Solely for this reason, the order is appealable.</w:t>
      </w:r>
    </w:p>
    <w:p w14:paraId="6D17A641" w14:textId="23256BB3" w:rsidR="00561A89" w:rsidRPr="002E721C" w:rsidRDefault="002E721C" w:rsidP="002E721C">
      <w:pPr>
        <w:spacing w:after="0" w:line="360" w:lineRule="auto"/>
        <w:jc w:val="both"/>
        <w:rPr>
          <w:rFonts w:cs="Times New Roman"/>
          <w:sz w:val="28"/>
          <w:szCs w:val="28"/>
        </w:rPr>
      </w:pPr>
      <w:r w:rsidRPr="009C73BA">
        <w:rPr>
          <w:rFonts w:cs="Times New Roman"/>
          <w:sz w:val="28"/>
          <w:szCs w:val="28"/>
        </w:rPr>
        <w:t>[15]</w:t>
      </w:r>
      <w:r w:rsidRPr="009C73BA">
        <w:rPr>
          <w:rFonts w:cs="Times New Roman"/>
          <w:sz w:val="28"/>
          <w:szCs w:val="28"/>
        </w:rPr>
        <w:tab/>
      </w:r>
      <w:r w:rsidR="003368AF" w:rsidRPr="002E721C">
        <w:rPr>
          <w:rFonts w:cs="Times New Roman"/>
          <w:sz w:val="28"/>
          <w:szCs w:val="28"/>
        </w:rPr>
        <w:t xml:space="preserve">The order renders Dr </w:t>
      </w:r>
      <w:proofErr w:type="spellStart"/>
      <w:r w:rsidR="003368AF" w:rsidRPr="002E721C">
        <w:rPr>
          <w:rFonts w:cs="Times New Roman"/>
          <w:sz w:val="28"/>
          <w:szCs w:val="28"/>
        </w:rPr>
        <w:t>Alheit’s</w:t>
      </w:r>
      <w:proofErr w:type="spellEnd"/>
      <w:r w:rsidR="009C73BA" w:rsidRPr="002E721C">
        <w:rPr>
          <w:rFonts w:cs="Times New Roman"/>
          <w:sz w:val="28"/>
          <w:szCs w:val="28"/>
        </w:rPr>
        <w:t xml:space="preserve"> evidence on </w:t>
      </w:r>
      <w:r w:rsidR="00FD4766" w:rsidRPr="002E721C">
        <w:rPr>
          <w:rFonts w:cs="Times New Roman"/>
          <w:sz w:val="28"/>
          <w:szCs w:val="28"/>
        </w:rPr>
        <w:t>the supplementary report inadmissible</w:t>
      </w:r>
      <w:r w:rsidR="00E01820" w:rsidRPr="002E721C">
        <w:rPr>
          <w:rFonts w:cs="Times New Roman"/>
          <w:sz w:val="28"/>
          <w:szCs w:val="28"/>
        </w:rPr>
        <w:t xml:space="preserve"> (that an acute profound HII could ensue without an obstetric sentinel event)</w:t>
      </w:r>
      <w:r w:rsidR="00FF50E3" w:rsidRPr="002E721C">
        <w:rPr>
          <w:rFonts w:cs="Times New Roman"/>
          <w:sz w:val="28"/>
          <w:szCs w:val="28"/>
        </w:rPr>
        <w:t xml:space="preserve">. It </w:t>
      </w:r>
      <w:r w:rsidR="00FD4766" w:rsidRPr="002E721C">
        <w:rPr>
          <w:rFonts w:cs="Times New Roman"/>
          <w:sz w:val="28"/>
          <w:szCs w:val="28"/>
        </w:rPr>
        <w:t xml:space="preserve">further precludes the plaintiff from adducing any expert medical evidence in support of Dr </w:t>
      </w:r>
      <w:proofErr w:type="spellStart"/>
      <w:r w:rsidR="00FD4766" w:rsidRPr="002E721C">
        <w:rPr>
          <w:rFonts w:cs="Times New Roman"/>
          <w:sz w:val="28"/>
          <w:szCs w:val="28"/>
        </w:rPr>
        <w:t>Alheit’s</w:t>
      </w:r>
      <w:proofErr w:type="spellEnd"/>
      <w:r w:rsidR="00FD4766" w:rsidRPr="002E721C">
        <w:rPr>
          <w:rFonts w:cs="Times New Roman"/>
          <w:sz w:val="28"/>
          <w:szCs w:val="28"/>
        </w:rPr>
        <w:t xml:space="preserve"> </w:t>
      </w:r>
      <w:r w:rsidR="00943E6B" w:rsidRPr="002E721C">
        <w:rPr>
          <w:rFonts w:cs="Times New Roman"/>
          <w:sz w:val="28"/>
          <w:szCs w:val="28"/>
        </w:rPr>
        <w:t>opinion</w:t>
      </w:r>
      <w:r w:rsidR="00FD4766" w:rsidRPr="002E721C">
        <w:rPr>
          <w:rFonts w:cs="Times New Roman"/>
          <w:sz w:val="28"/>
          <w:szCs w:val="28"/>
        </w:rPr>
        <w:t>.</w:t>
      </w:r>
      <w:r w:rsidR="00114830" w:rsidRPr="002E721C">
        <w:rPr>
          <w:rFonts w:cs="Times New Roman"/>
          <w:sz w:val="28"/>
          <w:szCs w:val="28"/>
        </w:rPr>
        <w:t xml:space="preserve"> I</w:t>
      </w:r>
      <w:r w:rsidR="009B706E" w:rsidRPr="002E721C">
        <w:rPr>
          <w:rFonts w:cs="Times New Roman"/>
          <w:sz w:val="28"/>
          <w:szCs w:val="28"/>
        </w:rPr>
        <w:t xml:space="preserve">n the latter </w:t>
      </w:r>
      <w:r w:rsidR="00114830" w:rsidRPr="002E721C">
        <w:rPr>
          <w:rFonts w:cs="Times New Roman"/>
          <w:sz w:val="28"/>
          <w:szCs w:val="28"/>
        </w:rPr>
        <w:t xml:space="preserve">regard, the plaintiff intends to present evidence by Dr </w:t>
      </w:r>
      <w:proofErr w:type="spellStart"/>
      <w:r w:rsidR="00114830" w:rsidRPr="002E721C">
        <w:rPr>
          <w:rFonts w:cs="Times New Roman"/>
          <w:sz w:val="28"/>
          <w:szCs w:val="28"/>
        </w:rPr>
        <w:t>Yatish</w:t>
      </w:r>
      <w:proofErr w:type="spellEnd"/>
      <w:r w:rsidR="00114830" w:rsidRPr="002E721C">
        <w:rPr>
          <w:rFonts w:cs="Times New Roman"/>
          <w:sz w:val="28"/>
          <w:szCs w:val="28"/>
        </w:rPr>
        <w:t xml:space="preserve"> Kara, a </w:t>
      </w:r>
      <w:r w:rsidR="009B706E" w:rsidRPr="002E721C">
        <w:rPr>
          <w:rFonts w:cs="Times New Roman"/>
          <w:sz w:val="28"/>
          <w:szCs w:val="28"/>
        </w:rPr>
        <w:t>neuro-</w:t>
      </w:r>
      <w:r w:rsidR="00114830" w:rsidRPr="002E721C">
        <w:rPr>
          <w:rFonts w:cs="Times New Roman"/>
          <w:sz w:val="28"/>
          <w:szCs w:val="28"/>
        </w:rPr>
        <w:t>paediatrician</w:t>
      </w:r>
      <w:r w:rsidR="000F032A" w:rsidRPr="002E721C">
        <w:rPr>
          <w:rFonts w:cs="Times New Roman"/>
          <w:sz w:val="28"/>
          <w:szCs w:val="28"/>
        </w:rPr>
        <w:t>, and Dr</w:t>
      </w:r>
      <w:r w:rsidR="00EC2D90" w:rsidRPr="002E721C">
        <w:rPr>
          <w:rFonts w:cs="Times New Roman"/>
          <w:sz w:val="28"/>
          <w:szCs w:val="28"/>
        </w:rPr>
        <w:t> </w:t>
      </w:r>
      <w:r w:rsidR="000F032A" w:rsidRPr="002E721C">
        <w:rPr>
          <w:rFonts w:cs="Times New Roman"/>
          <w:sz w:val="28"/>
          <w:szCs w:val="28"/>
        </w:rPr>
        <w:t xml:space="preserve">Ashraf </w:t>
      </w:r>
      <w:proofErr w:type="spellStart"/>
      <w:r w:rsidR="000F032A" w:rsidRPr="002E721C">
        <w:rPr>
          <w:rFonts w:cs="Times New Roman"/>
          <w:sz w:val="28"/>
          <w:szCs w:val="28"/>
        </w:rPr>
        <w:t>Ebrahim</w:t>
      </w:r>
      <w:proofErr w:type="spellEnd"/>
      <w:r w:rsidR="000F032A" w:rsidRPr="002E721C">
        <w:rPr>
          <w:rFonts w:cs="Times New Roman"/>
          <w:sz w:val="28"/>
          <w:szCs w:val="28"/>
        </w:rPr>
        <w:t xml:space="preserve">, a specialist obstetrician and gynaecologist. In Dr Kara’s opinion, the view </w:t>
      </w:r>
      <w:r w:rsidR="009B706E" w:rsidRPr="002E721C">
        <w:rPr>
          <w:rFonts w:cs="Times New Roman"/>
          <w:sz w:val="28"/>
          <w:szCs w:val="28"/>
        </w:rPr>
        <w:t>that the HII in this case probably occurred in the last 30 minutes of labour (based on the</w:t>
      </w:r>
      <w:r w:rsidR="000F032A" w:rsidRPr="002E721C">
        <w:rPr>
          <w:rFonts w:cs="Times New Roman"/>
          <w:sz w:val="28"/>
          <w:szCs w:val="28"/>
        </w:rPr>
        <w:t xml:space="preserve"> </w:t>
      </w:r>
      <w:r w:rsidR="009B706E" w:rsidRPr="002E721C">
        <w:rPr>
          <w:rFonts w:cs="Times New Roman"/>
          <w:sz w:val="28"/>
          <w:szCs w:val="28"/>
        </w:rPr>
        <w:t xml:space="preserve">MRI scan </w:t>
      </w:r>
      <w:r w:rsidR="00E01820" w:rsidRPr="002E721C">
        <w:rPr>
          <w:rFonts w:cs="Times New Roman"/>
          <w:sz w:val="28"/>
          <w:szCs w:val="28"/>
        </w:rPr>
        <w:t xml:space="preserve">finding of </w:t>
      </w:r>
      <w:r w:rsidR="000F032A" w:rsidRPr="002E721C">
        <w:rPr>
          <w:rFonts w:cs="Times New Roman"/>
          <w:sz w:val="28"/>
          <w:szCs w:val="28"/>
        </w:rPr>
        <w:t>BG</w:t>
      </w:r>
      <w:r w:rsidR="009B706E" w:rsidRPr="002E721C">
        <w:rPr>
          <w:rFonts w:cs="Times New Roman"/>
          <w:sz w:val="28"/>
          <w:szCs w:val="28"/>
        </w:rPr>
        <w:t>T injury)</w:t>
      </w:r>
      <w:r w:rsidR="000F032A" w:rsidRPr="002E721C">
        <w:rPr>
          <w:rFonts w:cs="Times New Roman"/>
          <w:sz w:val="28"/>
          <w:szCs w:val="28"/>
        </w:rPr>
        <w:t>, is n</w:t>
      </w:r>
      <w:r w:rsidR="00D7247E" w:rsidRPr="002E721C">
        <w:rPr>
          <w:rFonts w:cs="Times New Roman"/>
          <w:sz w:val="28"/>
          <w:szCs w:val="28"/>
        </w:rPr>
        <w:t xml:space="preserve">ot supported in the literature, which states that the pattern of injury can occur over hours (a prolonged period); and that one </w:t>
      </w:r>
      <w:r w:rsidR="00316699" w:rsidRPr="002E721C">
        <w:rPr>
          <w:rFonts w:cs="Times New Roman"/>
          <w:sz w:val="28"/>
          <w:szCs w:val="28"/>
        </w:rPr>
        <w:t>cannot time an injury based solely</w:t>
      </w:r>
      <w:r w:rsidR="00D7247E" w:rsidRPr="002E721C">
        <w:rPr>
          <w:rFonts w:cs="Times New Roman"/>
          <w:sz w:val="28"/>
          <w:szCs w:val="28"/>
        </w:rPr>
        <w:t xml:space="preserve"> on MRI scan findings</w:t>
      </w:r>
      <w:r w:rsidR="000F032A" w:rsidRPr="002E721C">
        <w:rPr>
          <w:rFonts w:cs="Times New Roman"/>
          <w:sz w:val="28"/>
          <w:szCs w:val="28"/>
        </w:rPr>
        <w:t xml:space="preserve">. </w:t>
      </w:r>
      <w:r w:rsidR="008A4215" w:rsidRPr="002E721C">
        <w:rPr>
          <w:rFonts w:cs="Times New Roman"/>
          <w:sz w:val="28"/>
          <w:szCs w:val="28"/>
        </w:rPr>
        <w:t xml:space="preserve">Similarly, </w:t>
      </w:r>
      <w:r w:rsidR="000F032A" w:rsidRPr="002E721C">
        <w:rPr>
          <w:rFonts w:cs="Times New Roman"/>
          <w:sz w:val="28"/>
          <w:szCs w:val="28"/>
        </w:rPr>
        <w:t xml:space="preserve">Dr </w:t>
      </w:r>
      <w:proofErr w:type="spellStart"/>
      <w:r w:rsidR="000F032A" w:rsidRPr="002E721C">
        <w:rPr>
          <w:rFonts w:cs="Times New Roman"/>
          <w:sz w:val="28"/>
          <w:szCs w:val="28"/>
        </w:rPr>
        <w:t>Ebrahim</w:t>
      </w:r>
      <w:proofErr w:type="spellEnd"/>
      <w:r w:rsidR="00414295" w:rsidRPr="002E721C">
        <w:rPr>
          <w:rFonts w:cs="Times New Roman"/>
          <w:sz w:val="28"/>
          <w:szCs w:val="28"/>
        </w:rPr>
        <w:t xml:space="preserve"> is of</w:t>
      </w:r>
      <w:r w:rsidR="000F032A" w:rsidRPr="002E721C">
        <w:rPr>
          <w:rFonts w:cs="Times New Roman"/>
          <w:sz w:val="28"/>
          <w:szCs w:val="28"/>
        </w:rPr>
        <w:t xml:space="preserve"> the </w:t>
      </w:r>
      <w:r w:rsidR="008A4215" w:rsidRPr="002E721C">
        <w:rPr>
          <w:rFonts w:cs="Times New Roman"/>
          <w:sz w:val="28"/>
          <w:szCs w:val="28"/>
        </w:rPr>
        <w:t>view that since there is no evidence of a</w:t>
      </w:r>
      <w:r w:rsidR="00EF7378" w:rsidRPr="002E721C">
        <w:rPr>
          <w:rFonts w:cs="Times New Roman"/>
          <w:sz w:val="28"/>
          <w:szCs w:val="28"/>
        </w:rPr>
        <w:t xml:space="preserve"> perinatal sentinel event, the time of the injury cannot be determined</w:t>
      </w:r>
      <w:r w:rsidR="009A4EA1" w:rsidRPr="002E721C">
        <w:rPr>
          <w:rFonts w:cs="Times New Roman"/>
          <w:sz w:val="28"/>
          <w:szCs w:val="28"/>
        </w:rPr>
        <w:t xml:space="preserve"> with certainty</w:t>
      </w:r>
      <w:r w:rsidR="008A4215" w:rsidRPr="002E721C">
        <w:rPr>
          <w:rFonts w:cs="Times New Roman"/>
          <w:sz w:val="28"/>
          <w:szCs w:val="28"/>
        </w:rPr>
        <w:t>, save to say that it probably occurred during labour</w:t>
      </w:r>
      <w:r w:rsidR="00E01820" w:rsidRPr="002E721C">
        <w:rPr>
          <w:rFonts w:cs="Times New Roman"/>
          <w:sz w:val="28"/>
          <w:szCs w:val="28"/>
        </w:rPr>
        <w:t>; and that BGT injury is the most prevalent injury pattern in a neonatal</w:t>
      </w:r>
      <w:r w:rsidR="008A4215" w:rsidRPr="002E721C">
        <w:rPr>
          <w:rFonts w:cs="Times New Roman"/>
          <w:sz w:val="28"/>
          <w:szCs w:val="28"/>
        </w:rPr>
        <w:t xml:space="preserve"> </w:t>
      </w:r>
      <w:r w:rsidR="00E01820" w:rsidRPr="002E721C">
        <w:rPr>
          <w:rFonts w:cs="Times New Roman"/>
          <w:sz w:val="28"/>
          <w:szCs w:val="28"/>
        </w:rPr>
        <w:t>HII without a perinatal sentinel event.</w:t>
      </w:r>
    </w:p>
    <w:p w14:paraId="0D618A45" w14:textId="77777777" w:rsidR="00561A89" w:rsidRDefault="00561A89" w:rsidP="00561A89">
      <w:pPr>
        <w:pStyle w:val="ListParagraph"/>
        <w:spacing w:after="0" w:line="360" w:lineRule="auto"/>
        <w:ind w:left="0"/>
        <w:jc w:val="both"/>
        <w:rPr>
          <w:rFonts w:cs="Times New Roman"/>
          <w:sz w:val="28"/>
          <w:szCs w:val="28"/>
        </w:rPr>
      </w:pPr>
    </w:p>
    <w:p w14:paraId="206347CD" w14:textId="66FDB544" w:rsidR="00D263DD" w:rsidRPr="002E721C" w:rsidRDefault="002E721C" w:rsidP="002E721C">
      <w:pPr>
        <w:spacing w:after="0" w:line="360" w:lineRule="auto"/>
        <w:jc w:val="both"/>
        <w:rPr>
          <w:rFonts w:cs="Times New Roman"/>
          <w:sz w:val="28"/>
          <w:szCs w:val="28"/>
        </w:rPr>
      </w:pPr>
      <w:r w:rsidRPr="00FD2940">
        <w:rPr>
          <w:rFonts w:cs="Times New Roman"/>
          <w:sz w:val="28"/>
          <w:szCs w:val="28"/>
        </w:rPr>
        <w:t>[16]</w:t>
      </w:r>
      <w:r w:rsidRPr="00FD2940">
        <w:rPr>
          <w:rFonts w:cs="Times New Roman"/>
          <w:sz w:val="28"/>
          <w:szCs w:val="28"/>
        </w:rPr>
        <w:tab/>
      </w:r>
      <w:r w:rsidR="006110E4" w:rsidRPr="002E721C">
        <w:rPr>
          <w:rFonts w:cs="Times New Roman"/>
          <w:sz w:val="28"/>
          <w:szCs w:val="28"/>
        </w:rPr>
        <w:t xml:space="preserve">A further reason which renders the order appealable is that </w:t>
      </w:r>
      <w:r w:rsidR="00D263DD" w:rsidRPr="002E721C">
        <w:rPr>
          <w:rFonts w:cs="Times New Roman"/>
          <w:sz w:val="28"/>
          <w:szCs w:val="28"/>
        </w:rPr>
        <w:t xml:space="preserve">the </w:t>
      </w:r>
      <w:r w:rsidR="008D7987" w:rsidRPr="002E721C">
        <w:rPr>
          <w:rFonts w:cs="Times New Roman"/>
          <w:sz w:val="28"/>
          <w:szCs w:val="28"/>
        </w:rPr>
        <w:t>adm</w:t>
      </w:r>
      <w:r w:rsidR="007731DA" w:rsidRPr="002E721C">
        <w:rPr>
          <w:rFonts w:cs="Times New Roman"/>
          <w:sz w:val="28"/>
          <w:szCs w:val="28"/>
        </w:rPr>
        <w:t xml:space="preserve">inistration of justice has </w:t>
      </w:r>
      <w:r w:rsidR="008D7987" w:rsidRPr="002E721C">
        <w:rPr>
          <w:rFonts w:cs="Times New Roman"/>
          <w:sz w:val="28"/>
          <w:szCs w:val="28"/>
        </w:rPr>
        <w:t>been impeded</w:t>
      </w:r>
      <w:r w:rsidR="001A7637" w:rsidRPr="002E721C">
        <w:rPr>
          <w:rFonts w:cs="Times New Roman"/>
          <w:sz w:val="28"/>
          <w:szCs w:val="28"/>
        </w:rPr>
        <w:t>,</w:t>
      </w:r>
      <w:r w:rsidR="008D7987" w:rsidRPr="002E721C">
        <w:rPr>
          <w:rFonts w:cs="Times New Roman"/>
          <w:sz w:val="28"/>
          <w:szCs w:val="28"/>
        </w:rPr>
        <w:t xml:space="preserve"> in that </w:t>
      </w:r>
      <w:r w:rsidR="004D116A" w:rsidRPr="002E721C">
        <w:rPr>
          <w:rFonts w:cs="Times New Roman"/>
          <w:sz w:val="28"/>
          <w:szCs w:val="28"/>
        </w:rPr>
        <w:t xml:space="preserve">the high court has foreclosed </w:t>
      </w:r>
      <w:r w:rsidR="007D60EB" w:rsidRPr="002E721C">
        <w:rPr>
          <w:rFonts w:cs="Times New Roman"/>
          <w:sz w:val="28"/>
          <w:szCs w:val="28"/>
        </w:rPr>
        <w:t xml:space="preserve">its own assessment of Dr </w:t>
      </w:r>
      <w:proofErr w:type="spellStart"/>
      <w:r w:rsidR="007D60EB" w:rsidRPr="002E721C">
        <w:rPr>
          <w:rFonts w:cs="Times New Roman"/>
          <w:sz w:val="28"/>
          <w:szCs w:val="28"/>
        </w:rPr>
        <w:t>Alheit’s</w:t>
      </w:r>
      <w:proofErr w:type="spellEnd"/>
      <w:r w:rsidR="007D60EB" w:rsidRPr="002E721C">
        <w:rPr>
          <w:rFonts w:cs="Times New Roman"/>
          <w:sz w:val="28"/>
          <w:szCs w:val="28"/>
        </w:rPr>
        <w:t xml:space="preserve"> evidence</w:t>
      </w:r>
      <w:r w:rsidR="006110E4" w:rsidRPr="002E721C">
        <w:rPr>
          <w:rFonts w:cs="Times New Roman"/>
          <w:sz w:val="28"/>
          <w:szCs w:val="28"/>
        </w:rPr>
        <w:t xml:space="preserve"> (and that of Dr Kara and Dr </w:t>
      </w:r>
      <w:proofErr w:type="spellStart"/>
      <w:r w:rsidR="006110E4" w:rsidRPr="002E721C">
        <w:rPr>
          <w:rFonts w:cs="Times New Roman"/>
          <w:sz w:val="28"/>
          <w:szCs w:val="28"/>
        </w:rPr>
        <w:t>E</w:t>
      </w:r>
      <w:r w:rsidR="00D263DD" w:rsidRPr="002E721C">
        <w:rPr>
          <w:rFonts w:cs="Times New Roman"/>
          <w:sz w:val="28"/>
          <w:szCs w:val="28"/>
        </w:rPr>
        <w:t>brahim</w:t>
      </w:r>
      <w:proofErr w:type="spellEnd"/>
      <w:r w:rsidR="00B65F3B" w:rsidRPr="002E721C">
        <w:rPr>
          <w:rFonts w:cs="Times New Roman"/>
          <w:sz w:val="28"/>
          <w:szCs w:val="28"/>
        </w:rPr>
        <w:t>)</w:t>
      </w:r>
      <w:r w:rsidR="000C25D8" w:rsidRPr="002E721C">
        <w:rPr>
          <w:rFonts w:cs="Times New Roman"/>
          <w:sz w:val="28"/>
          <w:szCs w:val="28"/>
        </w:rPr>
        <w:t xml:space="preserve">. </w:t>
      </w:r>
      <w:r w:rsidR="006110E4" w:rsidRPr="002E721C">
        <w:rPr>
          <w:rFonts w:cs="Times New Roman"/>
          <w:sz w:val="28"/>
          <w:szCs w:val="28"/>
        </w:rPr>
        <w:t xml:space="preserve">The court </w:t>
      </w:r>
      <w:r w:rsidR="006A0136" w:rsidRPr="002E721C">
        <w:rPr>
          <w:rFonts w:cs="Times New Roman"/>
          <w:sz w:val="28"/>
          <w:szCs w:val="28"/>
        </w:rPr>
        <w:t xml:space="preserve">is </w:t>
      </w:r>
      <w:r w:rsidR="00BA611B" w:rsidRPr="002E721C">
        <w:rPr>
          <w:rFonts w:cs="Times New Roman"/>
          <w:sz w:val="28"/>
          <w:szCs w:val="28"/>
        </w:rPr>
        <w:t xml:space="preserve">duty-bound </w:t>
      </w:r>
      <w:r w:rsidR="00074B24" w:rsidRPr="002E721C">
        <w:rPr>
          <w:rFonts w:cs="Times New Roman"/>
          <w:sz w:val="28"/>
          <w:szCs w:val="28"/>
        </w:rPr>
        <w:t xml:space="preserve">to assess expert evidence, </w:t>
      </w:r>
      <w:r w:rsidR="006A0136" w:rsidRPr="002E721C">
        <w:rPr>
          <w:rFonts w:cs="Times New Roman"/>
          <w:sz w:val="28"/>
          <w:szCs w:val="28"/>
        </w:rPr>
        <w:t xml:space="preserve">together </w:t>
      </w:r>
      <w:r w:rsidR="007A2527" w:rsidRPr="002E721C">
        <w:rPr>
          <w:rFonts w:cs="Times New Roman"/>
          <w:sz w:val="28"/>
          <w:szCs w:val="28"/>
        </w:rPr>
        <w:t xml:space="preserve">with all </w:t>
      </w:r>
      <w:r w:rsidR="00D263DD" w:rsidRPr="002E721C">
        <w:rPr>
          <w:rFonts w:cs="Times New Roman"/>
          <w:sz w:val="28"/>
          <w:szCs w:val="28"/>
        </w:rPr>
        <w:t xml:space="preserve">the </w:t>
      </w:r>
      <w:r w:rsidR="007A2527" w:rsidRPr="002E721C">
        <w:rPr>
          <w:rFonts w:cs="Times New Roman"/>
          <w:sz w:val="28"/>
          <w:szCs w:val="28"/>
        </w:rPr>
        <w:t>other evidence</w:t>
      </w:r>
      <w:r w:rsidR="00D263DD" w:rsidRPr="002E721C">
        <w:rPr>
          <w:rFonts w:cs="Times New Roman"/>
          <w:sz w:val="28"/>
          <w:szCs w:val="28"/>
        </w:rPr>
        <w:t xml:space="preserve"> </w:t>
      </w:r>
      <w:r w:rsidR="00074B24" w:rsidRPr="002E721C">
        <w:rPr>
          <w:rFonts w:cs="Times New Roman"/>
          <w:sz w:val="28"/>
          <w:szCs w:val="28"/>
        </w:rPr>
        <w:t>adduced by the parties to the litigation.</w:t>
      </w:r>
      <w:r w:rsidR="00074B24">
        <w:rPr>
          <w:rStyle w:val="FootnoteReference"/>
          <w:rFonts w:cs="Times New Roman"/>
          <w:sz w:val="28"/>
          <w:szCs w:val="28"/>
        </w:rPr>
        <w:footnoteReference w:id="13"/>
      </w:r>
      <w:r w:rsidR="006A0136" w:rsidRPr="002E721C">
        <w:rPr>
          <w:rFonts w:cs="Times New Roman"/>
          <w:sz w:val="28"/>
          <w:szCs w:val="28"/>
        </w:rPr>
        <w:t xml:space="preserve"> </w:t>
      </w:r>
      <w:r w:rsidR="006544A8" w:rsidRPr="002E721C">
        <w:rPr>
          <w:rFonts w:cs="Times New Roman"/>
          <w:sz w:val="28"/>
          <w:szCs w:val="28"/>
        </w:rPr>
        <w:t>I</w:t>
      </w:r>
      <w:r w:rsidR="000270DF" w:rsidRPr="002E721C">
        <w:rPr>
          <w:rFonts w:cs="Times New Roman"/>
          <w:sz w:val="28"/>
          <w:szCs w:val="28"/>
        </w:rPr>
        <w:t xml:space="preserve">t </w:t>
      </w:r>
      <w:r w:rsidR="006544A8" w:rsidRPr="002E721C">
        <w:rPr>
          <w:rFonts w:cs="Times New Roman"/>
          <w:sz w:val="28"/>
          <w:szCs w:val="28"/>
        </w:rPr>
        <w:t>must be satisfied that the expert’s opinion is based on facts and underpinned by proper reasoning.</w:t>
      </w:r>
      <w:r w:rsidR="006544A8">
        <w:rPr>
          <w:rStyle w:val="FootnoteReference"/>
          <w:rFonts w:cs="Times New Roman"/>
          <w:sz w:val="28"/>
          <w:szCs w:val="28"/>
        </w:rPr>
        <w:footnoteReference w:id="14"/>
      </w:r>
      <w:r w:rsidR="00760AB5" w:rsidRPr="002E721C">
        <w:rPr>
          <w:rFonts w:cs="Times New Roman"/>
          <w:sz w:val="28"/>
          <w:szCs w:val="28"/>
        </w:rPr>
        <w:t xml:space="preserve"> B</w:t>
      </w:r>
      <w:r w:rsidR="00666921" w:rsidRPr="002E721C">
        <w:rPr>
          <w:rFonts w:cs="Times New Roman"/>
          <w:sz w:val="28"/>
          <w:szCs w:val="28"/>
        </w:rPr>
        <w:t>ut here</w:t>
      </w:r>
      <w:r w:rsidR="00760AB5" w:rsidRPr="002E721C">
        <w:rPr>
          <w:rFonts w:cs="Times New Roman"/>
          <w:sz w:val="28"/>
          <w:szCs w:val="28"/>
        </w:rPr>
        <w:t>, the</w:t>
      </w:r>
      <w:r w:rsidR="008229B7" w:rsidRPr="002E721C">
        <w:rPr>
          <w:rFonts w:cs="Times New Roman"/>
          <w:sz w:val="28"/>
          <w:szCs w:val="28"/>
        </w:rPr>
        <w:t xml:space="preserve"> high court has already excluded from its assessment of the </w:t>
      </w:r>
      <w:r w:rsidR="0031400D" w:rsidRPr="002E721C">
        <w:rPr>
          <w:rFonts w:cs="Times New Roman"/>
          <w:sz w:val="28"/>
          <w:szCs w:val="28"/>
        </w:rPr>
        <w:t xml:space="preserve">expert </w:t>
      </w:r>
      <w:r w:rsidR="0031400D" w:rsidRPr="002E721C">
        <w:rPr>
          <w:rFonts w:cs="Times New Roman"/>
          <w:sz w:val="28"/>
          <w:szCs w:val="28"/>
        </w:rPr>
        <w:lastRenderedPageBreak/>
        <w:t>evidence, the possibility that in the absence of a sentinel obstetric event, the pattern of injury sustained by the child could have occurred over a prolonged period, and was not sudden.</w:t>
      </w:r>
      <w:r w:rsidR="00FD2940" w:rsidRPr="002E721C">
        <w:rPr>
          <w:rFonts w:cs="Times New Roman"/>
          <w:sz w:val="24"/>
          <w:szCs w:val="24"/>
        </w:rPr>
        <w:t xml:space="preserve"> </w:t>
      </w:r>
      <w:r w:rsidR="00760AB5" w:rsidRPr="002E721C">
        <w:rPr>
          <w:rFonts w:cs="Times New Roman"/>
          <w:sz w:val="28"/>
          <w:szCs w:val="28"/>
        </w:rPr>
        <w:t xml:space="preserve">I revert </w:t>
      </w:r>
      <w:r w:rsidR="0031400D" w:rsidRPr="002E721C">
        <w:rPr>
          <w:rFonts w:cs="Times New Roman"/>
          <w:sz w:val="28"/>
          <w:szCs w:val="28"/>
        </w:rPr>
        <w:t xml:space="preserve">below to the duty of a court when assessing expert evidence. </w:t>
      </w:r>
    </w:p>
    <w:p w14:paraId="694A0081" w14:textId="6E516CB6" w:rsidR="00870633" w:rsidRPr="002E721C" w:rsidRDefault="002E721C" w:rsidP="002E721C">
      <w:pPr>
        <w:spacing w:after="0" w:line="360" w:lineRule="auto"/>
        <w:jc w:val="both"/>
        <w:rPr>
          <w:rFonts w:cs="Times New Roman"/>
          <w:sz w:val="28"/>
          <w:szCs w:val="28"/>
        </w:rPr>
      </w:pPr>
      <w:r w:rsidRPr="000B03B9">
        <w:rPr>
          <w:rFonts w:cs="Times New Roman"/>
          <w:sz w:val="28"/>
          <w:szCs w:val="28"/>
        </w:rPr>
        <w:t>[17]</w:t>
      </w:r>
      <w:r w:rsidRPr="000B03B9">
        <w:rPr>
          <w:rFonts w:cs="Times New Roman"/>
          <w:sz w:val="28"/>
          <w:szCs w:val="28"/>
        </w:rPr>
        <w:tab/>
      </w:r>
      <w:r w:rsidR="00074B24" w:rsidRPr="002E721C">
        <w:rPr>
          <w:rFonts w:cs="Times New Roman"/>
          <w:sz w:val="28"/>
          <w:szCs w:val="28"/>
        </w:rPr>
        <w:t>That brings me to s 15 of the Act. It fi</w:t>
      </w:r>
      <w:r w:rsidR="000270DF" w:rsidRPr="002E721C">
        <w:rPr>
          <w:rFonts w:cs="Times New Roman"/>
          <w:sz w:val="28"/>
          <w:szCs w:val="28"/>
        </w:rPr>
        <w:t>nds no applic</w:t>
      </w:r>
      <w:r w:rsidR="00AE3296" w:rsidRPr="002E721C">
        <w:rPr>
          <w:rFonts w:cs="Times New Roman"/>
          <w:sz w:val="28"/>
          <w:szCs w:val="28"/>
        </w:rPr>
        <w:t xml:space="preserve">ation in this case, </w:t>
      </w:r>
      <w:r w:rsidR="000270DF" w:rsidRPr="002E721C">
        <w:rPr>
          <w:rFonts w:cs="Times New Roman"/>
          <w:sz w:val="28"/>
          <w:szCs w:val="28"/>
        </w:rPr>
        <w:t>for t</w:t>
      </w:r>
      <w:r w:rsidR="00FD7D1D" w:rsidRPr="002E721C">
        <w:rPr>
          <w:rFonts w:cs="Times New Roman"/>
          <w:sz w:val="28"/>
          <w:szCs w:val="28"/>
        </w:rPr>
        <w:t xml:space="preserve">he simple </w:t>
      </w:r>
      <w:r w:rsidR="008876D5" w:rsidRPr="002E721C">
        <w:rPr>
          <w:rFonts w:cs="Times New Roman"/>
          <w:sz w:val="28"/>
          <w:szCs w:val="28"/>
        </w:rPr>
        <w:t xml:space="preserve">reason that </w:t>
      </w:r>
      <w:r w:rsidR="00760AB5" w:rsidRPr="002E721C">
        <w:rPr>
          <w:rFonts w:cs="Times New Roman"/>
          <w:sz w:val="28"/>
          <w:szCs w:val="28"/>
        </w:rPr>
        <w:t xml:space="preserve">the </w:t>
      </w:r>
      <w:r w:rsidR="00F50041" w:rsidRPr="002E721C">
        <w:rPr>
          <w:rFonts w:cs="Times New Roman"/>
          <w:sz w:val="28"/>
          <w:szCs w:val="28"/>
        </w:rPr>
        <w:t>purported</w:t>
      </w:r>
      <w:r w:rsidR="001B5B4E" w:rsidRPr="002E721C">
        <w:rPr>
          <w:rFonts w:cs="Times New Roman"/>
          <w:sz w:val="28"/>
          <w:szCs w:val="28"/>
        </w:rPr>
        <w:t xml:space="preserve"> admission </w:t>
      </w:r>
      <w:r w:rsidR="00E458E0" w:rsidRPr="002E721C">
        <w:rPr>
          <w:rFonts w:cs="Times New Roman"/>
          <w:sz w:val="28"/>
          <w:szCs w:val="28"/>
        </w:rPr>
        <w:t xml:space="preserve">is </w:t>
      </w:r>
      <w:r w:rsidR="001B5B4E" w:rsidRPr="002E721C">
        <w:rPr>
          <w:rFonts w:cs="Times New Roman"/>
          <w:sz w:val="28"/>
          <w:szCs w:val="28"/>
        </w:rPr>
        <w:t xml:space="preserve">neither an admission, nor </w:t>
      </w:r>
      <w:r w:rsidR="00E458E0" w:rsidRPr="002E721C">
        <w:rPr>
          <w:rFonts w:cs="Times New Roman"/>
          <w:sz w:val="28"/>
          <w:szCs w:val="28"/>
        </w:rPr>
        <w:t>a formal admission within the meaning of s 15.</w:t>
      </w:r>
      <w:r w:rsidR="00D516E2" w:rsidRPr="002E721C">
        <w:rPr>
          <w:rFonts w:cs="Times New Roman"/>
          <w:sz w:val="28"/>
          <w:szCs w:val="28"/>
        </w:rPr>
        <w:t xml:space="preserve"> </w:t>
      </w:r>
      <w:r w:rsidR="00015D3B" w:rsidRPr="002E721C">
        <w:rPr>
          <w:rFonts w:cs="Times New Roman"/>
          <w:sz w:val="28"/>
          <w:szCs w:val="28"/>
        </w:rPr>
        <w:t xml:space="preserve">On first principles, </w:t>
      </w:r>
      <w:r w:rsidR="006F663F" w:rsidRPr="002E721C">
        <w:rPr>
          <w:rFonts w:cs="Times New Roman"/>
          <w:sz w:val="28"/>
          <w:szCs w:val="28"/>
        </w:rPr>
        <w:t xml:space="preserve">an admission is a statement </w:t>
      </w:r>
      <w:r w:rsidR="0061314E" w:rsidRPr="002E721C">
        <w:rPr>
          <w:rFonts w:cs="Times New Roman"/>
          <w:sz w:val="28"/>
          <w:szCs w:val="28"/>
        </w:rPr>
        <w:t>adverse to the party making it.</w:t>
      </w:r>
      <w:r w:rsidR="0061314E" w:rsidRPr="000B03B9">
        <w:rPr>
          <w:rStyle w:val="FootnoteReference"/>
          <w:rFonts w:cs="Times New Roman"/>
          <w:sz w:val="28"/>
          <w:szCs w:val="28"/>
        </w:rPr>
        <w:footnoteReference w:id="15"/>
      </w:r>
      <w:r w:rsidR="006F663F" w:rsidRPr="002E721C">
        <w:rPr>
          <w:rFonts w:cs="Times New Roman"/>
          <w:sz w:val="28"/>
          <w:szCs w:val="28"/>
        </w:rPr>
        <w:t xml:space="preserve"> </w:t>
      </w:r>
      <w:r w:rsidR="00F95733" w:rsidRPr="002E721C">
        <w:rPr>
          <w:rFonts w:cs="Times New Roman"/>
          <w:sz w:val="28"/>
          <w:szCs w:val="28"/>
        </w:rPr>
        <w:t xml:space="preserve">The </w:t>
      </w:r>
      <w:r w:rsidR="00C14C71" w:rsidRPr="002E721C">
        <w:rPr>
          <w:rFonts w:cs="Times New Roman"/>
          <w:sz w:val="28"/>
          <w:szCs w:val="28"/>
        </w:rPr>
        <w:t xml:space="preserve">purported </w:t>
      </w:r>
      <w:r w:rsidR="001B5B4E" w:rsidRPr="002E721C">
        <w:rPr>
          <w:rFonts w:cs="Times New Roman"/>
          <w:sz w:val="28"/>
          <w:szCs w:val="28"/>
        </w:rPr>
        <w:t xml:space="preserve">admission is </w:t>
      </w:r>
      <w:r w:rsidR="00F95733" w:rsidRPr="002E721C">
        <w:rPr>
          <w:rFonts w:cs="Times New Roman"/>
          <w:sz w:val="28"/>
          <w:szCs w:val="28"/>
        </w:rPr>
        <w:t>no</w:t>
      </w:r>
      <w:r w:rsidR="00A143E0" w:rsidRPr="002E721C">
        <w:rPr>
          <w:rFonts w:cs="Times New Roman"/>
          <w:sz w:val="28"/>
          <w:szCs w:val="28"/>
        </w:rPr>
        <w:t>t an</w:t>
      </w:r>
      <w:r w:rsidR="00F95733" w:rsidRPr="002E721C">
        <w:rPr>
          <w:rFonts w:cs="Times New Roman"/>
          <w:sz w:val="28"/>
          <w:szCs w:val="28"/>
        </w:rPr>
        <w:t xml:space="preserve"> admission</w:t>
      </w:r>
      <w:r w:rsidR="00BE48E3" w:rsidRPr="002E721C">
        <w:rPr>
          <w:rFonts w:cs="Times New Roman"/>
          <w:sz w:val="28"/>
          <w:szCs w:val="28"/>
        </w:rPr>
        <w:t xml:space="preserve"> </w:t>
      </w:r>
      <w:r w:rsidR="0076270F" w:rsidRPr="002E721C">
        <w:rPr>
          <w:rFonts w:cs="Times New Roman"/>
          <w:i/>
          <w:sz w:val="28"/>
          <w:szCs w:val="28"/>
        </w:rPr>
        <w:t>by the plaintiff</w:t>
      </w:r>
      <w:r w:rsidR="0076270F" w:rsidRPr="002E721C">
        <w:rPr>
          <w:rFonts w:cs="Times New Roman"/>
          <w:sz w:val="28"/>
          <w:szCs w:val="28"/>
        </w:rPr>
        <w:t xml:space="preserve">, </w:t>
      </w:r>
      <w:r w:rsidR="00BE48E3" w:rsidRPr="002E721C">
        <w:rPr>
          <w:rFonts w:cs="Times New Roman"/>
          <w:sz w:val="28"/>
          <w:szCs w:val="28"/>
        </w:rPr>
        <w:t xml:space="preserve">of a fact which </w:t>
      </w:r>
      <w:r w:rsidR="0076270F" w:rsidRPr="002E721C">
        <w:rPr>
          <w:rFonts w:cs="Times New Roman"/>
          <w:sz w:val="28"/>
          <w:szCs w:val="28"/>
        </w:rPr>
        <w:t xml:space="preserve">she </w:t>
      </w:r>
      <w:r w:rsidR="00A143E0" w:rsidRPr="002E721C">
        <w:rPr>
          <w:rFonts w:cs="Times New Roman"/>
          <w:sz w:val="28"/>
          <w:szCs w:val="28"/>
        </w:rPr>
        <w:t xml:space="preserve">does not </w:t>
      </w:r>
      <w:r w:rsidR="00BE48E3" w:rsidRPr="002E721C">
        <w:rPr>
          <w:rFonts w:cs="Times New Roman"/>
          <w:sz w:val="28"/>
          <w:szCs w:val="28"/>
        </w:rPr>
        <w:t>dispute</w:t>
      </w:r>
      <w:r w:rsidR="00F95733" w:rsidRPr="002E721C">
        <w:rPr>
          <w:rFonts w:cs="Times New Roman"/>
          <w:sz w:val="28"/>
          <w:szCs w:val="28"/>
        </w:rPr>
        <w:t xml:space="preserve">. </w:t>
      </w:r>
      <w:r w:rsidR="00617017" w:rsidRPr="002E721C">
        <w:rPr>
          <w:rFonts w:cs="Times New Roman"/>
          <w:sz w:val="28"/>
          <w:szCs w:val="28"/>
        </w:rPr>
        <w:t xml:space="preserve">Neither is it an admission by the defendant – it is not an acknowledgement of a fact detrimental to her cause. </w:t>
      </w:r>
    </w:p>
    <w:p w14:paraId="02602051" w14:textId="77777777" w:rsidR="007F09FD" w:rsidRPr="000B03B9" w:rsidRDefault="007F09FD" w:rsidP="007F09FD">
      <w:pPr>
        <w:pStyle w:val="ListParagraph"/>
        <w:spacing w:after="0" w:line="360" w:lineRule="auto"/>
        <w:ind w:left="0"/>
        <w:jc w:val="both"/>
        <w:rPr>
          <w:rFonts w:cs="Times New Roman"/>
          <w:sz w:val="28"/>
          <w:szCs w:val="28"/>
        </w:rPr>
      </w:pPr>
    </w:p>
    <w:p w14:paraId="70865BCA" w14:textId="2AB53763" w:rsidR="00D60B14" w:rsidRPr="002E721C" w:rsidRDefault="002E721C" w:rsidP="002E721C">
      <w:pPr>
        <w:spacing w:after="0" w:line="360" w:lineRule="auto"/>
        <w:jc w:val="both"/>
        <w:rPr>
          <w:rFonts w:cs="Times New Roman"/>
          <w:sz w:val="28"/>
          <w:szCs w:val="28"/>
        </w:rPr>
      </w:pPr>
      <w:r w:rsidRPr="000B03B9">
        <w:rPr>
          <w:rFonts w:cs="Times New Roman"/>
          <w:sz w:val="28"/>
          <w:szCs w:val="28"/>
        </w:rPr>
        <w:t>[18]</w:t>
      </w:r>
      <w:r w:rsidRPr="000B03B9">
        <w:rPr>
          <w:rFonts w:cs="Times New Roman"/>
          <w:sz w:val="28"/>
          <w:szCs w:val="28"/>
        </w:rPr>
        <w:tab/>
      </w:r>
      <w:r w:rsidR="00FA22CC" w:rsidRPr="002E721C">
        <w:rPr>
          <w:rFonts w:cs="Times New Roman"/>
          <w:sz w:val="28"/>
          <w:szCs w:val="28"/>
        </w:rPr>
        <w:t>T</w:t>
      </w:r>
      <w:r w:rsidR="0076270F" w:rsidRPr="002E721C">
        <w:rPr>
          <w:rFonts w:cs="Times New Roman"/>
          <w:sz w:val="28"/>
          <w:szCs w:val="28"/>
        </w:rPr>
        <w:t xml:space="preserve">he </w:t>
      </w:r>
      <w:r w:rsidR="007F09FD" w:rsidRPr="002E721C">
        <w:rPr>
          <w:rFonts w:cs="Times New Roman"/>
          <w:sz w:val="28"/>
          <w:szCs w:val="28"/>
        </w:rPr>
        <w:t>purported</w:t>
      </w:r>
      <w:r w:rsidR="00D60B14" w:rsidRPr="002E721C">
        <w:rPr>
          <w:rFonts w:cs="Times New Roman"/>
          <w:sz w:val="28"/>
          <w:szCs w:val="28"/>
        </w:rPr>
        <w:t xml:space="preserve"> admission </w:t>
      </w:r>
      <w:r w:rsidR="00FA22CC" w:rsidRPr="002E721C">
        <w:rPr>
          <w:rFonts w:cs="Times New Roman"/>
          <w:sz w:val="28"/>
          <w:szCs w:val="28"/>
        </w:rPr>
        <w:t xml:space="preserve">is not </w:t>
      </w:r>
      <w:r w:rsidR="00D60B14" w:rsidRPr="002E721C">
        <w:rPr>
          <w:rFonts w:cs="Times New Roman"/>
          <w:sz w:val="28"/>
          <w:szCs w:val="28"/>
        </w:rPr>
        <w:t xml:space="preserve">a formal admission. </w:t>
      </w:r>
      <w:r w:rsidR="00CB0EA1" w:rsidRPr="002E721C">
        <w:rPr>
          <w:rFonts w:cs="Times New Roman"/>
          <w:sz w:val="28"/>
          <w:szCs w:val="28"/>
        </w:rPr>
        <w:t>Section 15 deals only with a ‘</w:t>
      </w:r>
      <w:r w:rsidR="00D60B14" w:rsidRPr="002E721C">
        <w:rPr>
          <w:rFonts w:cs="Times New Roman"/>
          <w:sz w:val="28"/>
          <w:szCs w:val="28"/>
        </w:rPr>
        <w:t xml:space="preserve">fact admitted on the record </w:t>
      </w:r>
      <w:r w:rsidR="00CB0EA1" w:rsidRPr="002E721C">
        <w:rPr>
          <w:rFonts w:cs="Times New Roman"/>
          <w:sz w:val="28"/>
          <w:szCs w:val="28"/>
        </w:rPr>
        <w:t xml:space="preserve">of . . . proceedings’ </w:t>
      </w:r>
      <w:r w:rsidR="00D60B14" w:rsidRPr="002E721C">
        <w:rPr>
          <w:rFonts w:cs="Times New Roman"/>
          <w:sz w:val="28"/>
          <w:szCs w:val="28"/>
        </w:rPr>
        <w:t>(a wider concept than pleadings)</w:t>
      </w:r>
      <w:r w:rsidR="00CB0EA1" w:rsidRPr="002E721C">
        <w:rPr>
          <w:rFonts w:cs="Times New Roman"/>
          <w:sz w:val="28"/>
          <w:szCs w:val="28"/>
        </w:rPr>
        <w:t>.</w:t>
      </w:r>
      <w:r w:rsidR="00D60B14" w:rsidRPr="002E721C">
        <w:rPr>
          <w:rFonts w:cs="Times New Roman"/>
          <w:sz w:val="28"/>
          <w:szCs w:val="28"/>
        </w:rPr>
        <w:t xml:space="preserve"> </w:t>
      </w:r>
      <w:r w:rsidR="00CB0EA1" w:rsidRPr="002E721C">
        <w:rPr>
          <w:rFonts w:cs="Times New Roman"/>
          <w:sz w:val="28"/>
          <w:szCs w:val="28"/>
        </w:rPr>
        <w:t xml:space="preserve">Such an admission is generally </w:t>
      </w:r>
      <w:r w:rsidR="002972EF" w:rsidRPr="002E721C">
        <w:rPr>
          <w:rFonts w:cs="Times New Roman"/>
          <w:sz w:val="28"/>
          <w:szCs w:val="28"/>
        </w:rPr>
        <w:t>made</w:t>
      </w:r>
      <w:r w:rsidR="00D60B14" w:rsidRPr="002E721C">
        <w:rPr>
          <w:rFonts w:cs="Times New Roman"/>
          <w:sz w:val="28"/>
          <w:szCs w:val="28"/>
        </w:rPr>
        <w:t xml:space="preserve"> in pleadings</w:t>
      </w:r>
      <w:r w:rsidR="002972EF" w:rsidRPr="002E721C">
        <w:rPr>
          <w:rFonts w:cs="Times New Roman"/>
          <w:sz w:val="28"/>
          <w:szCs w:val="28"/>
        </w:rPr>
        <w:t>. Thus</w:t>
      </w:r>
      <w:r w:rsidR="001971C9" w:rsidRPr="002E721C">
        <w:rPr>
          <w:rFonts w:cs="Times New Roman"/>
          <w:sz w:val="28"/>
          <w:szCs w:val="28"/>
        </w:rPr>
        <w:t>,</w:t>
      </w:r>
      <w:r w:rsidR="00D60B14" w:rsidRPr="002E721C">
        <w:rPr>
          <w:rFonts w:cs="Times New Roman"/>
          <w:sz w:val="28"/>
          <w:szCs w:val="28"/>
        </w:rPr>
        <w:t xml:space="preserve"> </w:t>
      </w:r>
      <w:r w:rsidR="002972EF" w:rsidRPr="002E721C">
        <w:rPr>
          <w:rFonts w:cs="Times New Roman"/>
          <w:sz w:val="28"/>
          <w:szCs w:val="28"/>
        </w:rPr>
        <w:t>r</w:t>
      </w:r>
      <w:r w:rsidR="00D60B14" w:rsidRPr="002E721C">
        <w:rPr>
          <w:rFonts w:cs="Times New Roman"/>
          <w:sz w:val="28"/>
          <w:szCs w:val="28"/>
        </w:rPr>
        <w:t xml:space="preserve">ule 22(2) </w:t>
      </w:r>
      <w:r w:rsidR="000E0F78" w:rsidRPr="002E721C">
        <w:rPr>
          <w:rFonts w:cs="Times New Roman"/>
          <w:sz w:val="28"/>
          <w:szCs w:val="28"/>
        </w:rPr>
        <w:t xml:space="preserve">of the Uniform Rules </w:t>
      </w:r>
      <w:r w:rsidR="00D60B14" w:rsidRPr="002E721C">
        <w:rPr>
          <w:rFonts w:cs="Times New Roman"/>
          <w:sz w:val="28"/>
          <w:szCs w:val="28"/>
        </w:rPr>
        <w:t>requires a defendant in her plea to admit or deny, or confess and avoid, all the material facts alleged in the combined summons. The latter rule must be read together with rule 22(3), which states that every allegation of fact in the combined summons that ‘is not stated in the plea to be denied or to be admitted, shall be deemed to be admitted’.</w:t>
      </w:r>
      <w:r w:rsidR="00D60B14" w:rsidRPr="000B03B9">
        <w:rPr>
          <w:rStyle w:val="FootnoteReference"/>
          <w:rFonts w:cs="Times New Roman"/>
          <w:sz w:val="28"/>
          <w:szCs w:val="28"/>
        </w:rPr>
        <w:footnoteReference w:id="16"/>
      </w:r>
      <w:r w:rsidR="007E075C" w:rsidRPr="002E721C">
        <w:rPr>
          <w:rFonts w:cs="Times New Roman"/>
          <w:sz w:val="28"/>
          <w:szCs w:val="28"/>
        </w:rPr>
        <w:t xml:space="preserve"> </w:t>
      </w:r>
      <w:r w:rsidR="002972EF" w:rsidRPr="002E721C">
        <w:rPr>
          <w:rFonts w:cs="Times New Roman"/>
          <w:sz w:val="28"/>
          <w:szCs w:val="28"/>
        </w:rPr>
        <w:t>A formal admission may also be made orally or in court by the litigant or her representative.</w:t>
      </w:r>
      <w:r w:rsidR="002972EF" w:rsidRPr="000B03B9">
        <w:rPr>
          <w:rStyle w:val="FootnoteReference"/>
          <w:rFonts w:cs="Times New Roman"/>
          <w:sz w:val="28"/>
          <w:szCs w:val="28"/>
        </w:rPr>
        <w:footnoteReference w:id="17"/>
      </w:r>
      <w:r w:rsidR="002972EF" w:rsidRPr="002E721C">
        <w:rPr>
          <w:rFonts w:cs="Times New Roman"/>
          <w:sz w:val="28"/>
          <w:szCs w:val="28"/>
        </w:rPr>
        <w:t xml:space="preserve"> </w:t>
      </w:r>
      <w:r w:rsidR="001971C9" w:rsidRPr="002E721C">
        <w:rPr>
          <w:rFonts w:cs="Times New Roman"/>
          <w:sz w:val="28"/>
          <w:szCs w:val="28"/>
        </w:rPr>
        <w:t>The purported admission (made in correspondence) was not admitted on the record of proceedings before us and is accordingly not a formal admission as contemplated in s 15 of the Act.</w:t>
      </w:r>
    </w:p>
    <w:p w14:paraId="6FE210BD" w14:textId="77777777" w:rsidR="002972EF" w:rsidRDefault="002972EF" w:rsidP="002972EF">
      <w:pPr>
        <w:pStyle w:val="ListParagraph"/>
        <w:spacing w:after="0" w:line="360" w:lineRule="auto"/>
        <w:ind w:left="0"/>
        <w:jc w:val="both"/>
        <w:rPr>
          <w:rFonts w:cs="Times New Roman"/>
          <w:sz w:val="28"/>
          <w:szCs w:val="28"/>
        </w:rPr>
      </w:pPr>
    </w:p>
    <w:p w14:paraId="52F8A5E4" w14:textId="770F5357" w:rsidR="004B3FD2" w:rsidRPr="002E721C" w:rsidRDefault="002E721C" w:rsidP="002E721C">
      <w:pPr>
        <w:spacing w:after="0" w:line="360" w:lineRule="auto"/>
        <w:jc w:val="both"/>
        <w:rPr>
          <w:rFonts w:cs="Times New Roman"/>
          <w:sz w:val="28"/>
          <w:szCs w:val="28"/>
        </w:rPr>
      </w:pPr>
      <w:r w:rsidRPr="006A446C">
        <w:rPr>
          <w:rFonts w:cs="Times New Roman"/>
          <w:sz w:val="28"/>
          <w:szCs w:val="28"/>
        </w:rPr>
        <w:lastRenderedPageBreak/>
        <w:t>[19]</w:t>
      </w:r>
      <w:r w:rsidRPr="006A446C">
        <w:rPr>
          <w:rFonts w:cs="Times New Roman"/>
          <w:sz w:val="28"/>
          <w:szCs w:val="28"/>
        </w:rPr>
        <w:tab/>
      </w:r>
      <w:r w:rsidR="00D60B14" w:rsidRPr="002E721C">
        <w:rPr>
          <w:rFonts w:cs="Times New Roman"/>
          <w:sz w:val="28"/>
          <w:szCs w:val="28"/>
        </w:rPr>
        <w:t xml:space="preserve">A </w:t>
      </w:r>
      <w:r w:rsidR="00FE0F94" w:rsidRPr="002E721C">
        <w:rPr>
          <w:rFonts w:cs="Times New Roman"/>
          <w:sz w:val="28"/>
          <w:szCs w:val="28"/>
        </w:rPr>
        <w:t xml:space="preserve">party must intend to make a </w:t>
      </w:r>
      <w:r w:rsidR="00D60B14" w:rsidRPr="002E721C">
        <w:rPr>
          <w:rFonts w:cs="Times New Roman"/>
          <w:sz w:val="28"/>
          <w:szCs w:val="28"/>
        </w:rPr>
        <w:t>formal admission</w:t>
      </w:r>
      <w:r w:rsidR="00FE0F94" w:rsidRPr="002E721C">
        <w:rPr>
          <w:rFonts w:cs="Times New Roman"/>
          <w:sz w:val="28"/>
          <w:szCs w:val="28"/>
        </w:rPr>
        <w:t xml:space="preserve">. </w:t>
      </w:r>
      <w:r w:rsidR="00D60B14" w:rsidRPr="002E721C">
        <w:rPr>
          <w:rFonts w:cs="Times New Roman"/>
          <w:sz w:val="28"/>
          <w:szCs w:val="28"/>
        </w:rPr>
        <w:t xml:space="preserve">The requisite intention is determined subjectively. The admission is </w:t>
      </w:r>
      <w:r w:rsidR="006A446C" w:rsidRPr="002E721C">
        <w:rPr>
          <w:rFonts w:cs="Times New Roman"/>
          <w:sz w:val="28"/>
          <w:szCs w:val="28"/>
        </w:rPr>
        <w:t>binding on its maker and normally cannot be withdrawn or contradicted unless certain legal requirements have been met.</w:t>
      </w:r>
      <w:r w:rsidR="00FE0F94" w:rsidRPr="002E721C">
        <w:rPr>
          <w:rStyle w:val="FootnoteReference"/>
          <w:rFonts w:cs="Times New Roman"/>
          <w:sz w:val="28"/>
          <w:szCs w:val="28"/>
        </w:rPr>
        <w:t xml:space="preserve"> </w:t>
      </w:r>
      <w:r w:rsidR="00FE0F94">
        <w:rPr>
          <w:rStyle w:val="FootnoteReference"/>
          <w:rFonts w:cs="Times New Roman"/>
          <w:sz w:val="28"/>
          <w:szCs w:val="28"/>
        </w:rPr>
        <w:footnoteReference w:id="18"/>
      </w:r>
      <w:r w:rsidR="006A446C" w:rsidRPr="002E721C">
        <w:rPr>
          <w:rFonts w:cs="Times New Roman"/>
          <w:sz w:val="28"/>
          <w:szCs w:val="28"/>
        </w:rPr>
        <w:t xml:space="preserve"> A formal admission </w:t>
      </w:r>
      <w:r w:rsidR="007E075C" w:rsidRPr="002E721C">
        <w:rPr>
          <w:rFonts w:cs="Times New Roman"/>
          <w:sz w:val="28"/>
          <w:szCs w:val="28"/>
        </w:rPr>
        <w:t>is regarded as conclusive proof of an admitted fact</w:t>
      </w:r>
      <w:r w:rsidR="00720C19" w:rsidRPr="002E721C">
        <w:rPr>
          <w:rFonts w:cs="Times New Roman"/>
          <w:sz w:val="28"/>
          <w:szCs w:val="28"/>
        </w:rPr>
        <w:t>, ‘rendering it unnecessary for the other party to adduce evidence to prove the admitted fact, and incompetent for the party making it to adduce evidence to contradict it</w:t>
      </w:r>
      <w:r w:rsidR="004B3FD2" w:rsidRPr="002E721C">
        <w:rPr>
          <w:rFonts w:cs="Times New Roman"/>
          <w:sz w:val="28"/>
          <w:szCs w:val="28"/>
        </w:rPr>
        <w:t>’</w:t>
      </w:r>
      <w:r w:rsidR="007E075C" w:rsidRPr="002E721C">
        <w:rPr>
          <w:rFonts w:cs="Times New Roman"/>
          <w:sz w:val="28"/>
          <w:szCs w:val="28"/>
        </w:rPr>
        <w:t>.</w:t>
      </w:r>
      <w:r w:rsidR="004B3FD2">
        <w:rPr>
          <w:rStyle w:val="FootnoteReference"/>
          <w:rFonts w:cs="Times New Roman"/>
          <w:sz w:val="28"/>
          <w:szCs w:val="28"/>
        </w:rPr>
        <w:footnoteReference w:id="19"/>
      </w:r>
      <w:r w:rsidR="004B3FD2" w:rsidRPr="002E721C">
        <w:rPr>
          <w:rFonts w:cs="Times New Roman"/>
          <w:sz w:val="28"/>
          <w:szCs w:val="28"/>
        </w:rPr>
        <w:t xml:space="preserve"> </w:t>
      </w:r>
      <w:r w:rsidR="007E075C" w:rsidRPr="002E721C">
        <w:rPr>
          <w:rFonts w:cs="Times New Roman"/>
          <w:sz w:val="28"/>
          <w:szCs w:val="28"/>
        </w:rPr>
        <w:t xml:space="preserve"> </w:t>
      </w:r>
      <w:r w:rsidR="00B65F3B" w:rsidRPr="002E721C">
        <w:rPr>
          <w:rFonts w:cs="Times New Roman"/>
          <w:sz w:val="28"/>
          <w:szCs w:val="28"/>
        </w:rPr>
        <w:t xml:space="preserve">It is this effect of a formal admission that is </w:t>
      </w:r>
      <w:r w:rsidR="00565B53" w:rsidRPr="002E721C">
        <w:rPr>
          <w:rFonts w:cs="Times New Roman"/>
          <w:sz w:val="28"/>
          <w:szCs w:val="28"/>
        </w:rPr>
        <w:t>regulated by s 15</w:t>
      </w:r>
      <w:r w:rsidR="00FE0F94" w:rsidRPr="002E721C">
        <w:rPr>
          <w:rFonts w:cs="Times New Roman"/>
          <w:sz w:val="28"/>
          <w:szCs w:val="28"/>
        </w:rPr>
        <w:t xml:space="preserve"> of the Act</w:t>
      </w:r>
      <w:r w:rsidR="00565B53" w:rsidRPr="002E721C">
        <w:rPr>
          <w:rFonts w:cs="Times New Roman"/>
          <w:sz w:val="28"/>
          <w:szCs w:val="28"/>
        </w:rPr>
        <w:t>.</w:t>
      </w:r>
      <w:r w:rsidR="009C49EE">
        <w:rPr>
          <w:rStyle w:val="FootnoteReference"/>
          <w:rFonts w:cs="Times New Roman"/>
          <w:sz w:val="28"/>
          <w:szCs w:val="28"/>
        </w:rPr>
        <w:footnoteReference w:id="20"/>
      </w:r>
      <w:r w:rsidR="00565B53" w:rsidRPr="002E721C">
        <w:rPr>
          <w:rFonts w:cs="Times New Roman"/>
          <w:sz w:val="28"/>
          <w:szCs w:val="28"/>
        </w:rPr>
        <w:t xml:space="preserve"> </w:t>
      </w:r>
    </w:p>
    <w:p w14:paraId="16D0C6D4" w14:textId="77777777" w:rsidR="004B3FD2" w:rsidRDefault="004B3FD2" w:rsidP="004B3FD2">
      <w:pPr>
        <w:pStyle w:val="ListParagraph"/>
        <w:spacing w:after="0" w:line="360" w:lineRule="auto"/>
        <w:ind w:left="0"/>
        <w:jc w:val="both"/>
        <w:rPr>
          <w:rFonts w:cs="Times New Roman"/>
          <w:sz w:val="28"/>
          <w:szCs w:val="28"/>
        </w:rPr>
      </w:pPr>
    </w:p>
    <w:p w14:paraId="38E360BB" w14:textId="07A3ED40" w:rsidR="005359CC" w:rsidRPr="002E721C" w:rsidRDefault="002E721C" w:rsidP="002E721C">
      <w:pPr>
        <w:spacing w:after="0" w:line="360" w:lineRule="auto"/>
        <w:jc w:val="both"/>
        <w:rPr>
          <w:rFonts w:cs="Times New Roman"/>
          <w:sz w:val="28"/>
          <w:szCs w:val="28"/>
        </w:rPr>
      </w:pPr>
      <w:r w:rsidRPr="006B3874">
        <w:rPr>
          <w:rFonts w:cs="Times New Roman"/>
          <w:sz w:val="28"/>
          <w:szCs w:val="28"/>
        </w:rPr>
        <w:t>[20]</w:t>
      </w:r>
      <w:r w:rsidRPr="006B3874">
        <w:rPr>
          <w:rFonts w:cs="Times New Roman"/>
          <w:sz w:val="28"/>
          <w:szCs w:val="28"/>
        </w:rPr>
        <w:tab/>
      </w:r>
      <w:r w:rsidR="005C6C57" w:rsidRPr="002E721C">
        <w:rPr>
          <w:rFonts w:cs="Times New Roman"/>
          <w:sz w:val="28"/>
          <w:szCs w:val="28"/>
        </w:rPr>
        <w:t>Since a formal admission has important and serious evidential implications for its maker, the latter must intend the admission to be an admission of fact which she does not wish to dispute.</w:t>
      </w:r>
      <w:r w:rsidR="006B3874">
        <w:rPr>
          <w:rStyle w:val="FootnoteReference"/>
          <w:rFonts w:cs="Times New Roman"/>
          <w:sz w:val="28"/>
          <w:szCs w:val="28"/>
        </w:rPr>
        <w:footnoteReference w:id="21"/>
      </w:r>
      <w:r w:rsidR="005C6C57" w:rsidRPr="002E721C">
        <w:rPr>
          <w:rFonts w:cs="Times New Roman"/>
          <w:sz w:val="28"/>
          <w:szCs w:val="28"/>
        </w:rPr>
        <w:t xml:space="preserve"> Thus, </w:t>
      </w:r>
      <w:r w:rsidR="006B3874" w:rsidRPr="002E721C">
        <w:rPr>
          <w:rFonts w:cs="Times New Roman"/>
          <w:sz w:val="28"/>
          <w:szCs w:val="28"/>
        </w:rPr>
        <w:t xml:space="preserve">this Court has </w:t>
      </w:r>
      <w:r w:rsidR="005C6C57" w:rsidRPr="002E721C">
        <w:rPr>
          <w:rFonts w:cs="Times New Roman"/>
          <w:sz w:val="28"/>
          <w:szCs w:val="28"/>
        </w:rPr>
        <w:t>held that ‘it must clearly and unequivocally appear from the pleadings that the alleged admission has been made expressly, or by necessary implication</w:t>
      </w:r>
      <w:r w:rsidR="006B3874" w:rsidRPr="002E721C">
        <w:rPr>
          <w:rFonts w:cs="Times New Roman"/>
          <w:sz w:val="28"/>
          <w:szCs w:val="28"/>
        </w:rPr>
        <w:t>, or according to rule 22(3) by omitting to deny or</w:t>
      </w:r>
      <w:r w:rsidR="00644F9A" w:rsidRPr="002E721C">
        <w:rPr>
          <w:rFonts w:cs="Times New Roman"/>
          <w:sz w:val="28"/>
          <w:szCs w:val="28"/>
        </w:rPr>
        <w:t xml:space="preserve"> deal with the relevant allegat</w:t>
      </w:r>
      <w:r w:rsidR="006B3874" w:rsidRPr="002E721C">
        <w:rPr>
          <w:rFonts w:cs="Times New Roman"/>
          <w:sz w:val="28"/>
          <w:szCs w:val="28"/>
        </w:rPr>
        <w:t>ion of fact in the plaintiff’s claim</w:t>
      </w:r>
      <w:r w:rsidR="005C6C57" w:rsidRPr="002E721C">
        <w:rPr>
          <w:rFonts w:cs="Times New Roman"/>
          <w:sz w:val="28"/>
          <w:szCs w:val="28"/>
        </w:rPr>
        <w:t>’.</w:t>
      </w:r>
      <w:r w:rsidR="005C6C57">
        <w:rPr>
          <w:rStyle w:val="FootnoteReference"/>
          <w:rFonts w:cs="Times New Roman"/>
          <w:sz w:val="28"/>
          <w:szCs w:val="28"/>
        </w:rPr>
        <w:footnoteReference w:id="22"/>
      </w:r>
    </w:p>
    <w:p w14:paraId="5D4732C2" w14:textId="77777777" w:rsidR="005359CC" w:rsidRDefault="005359CC" w:rsidP="0091591B">
      <w:pPr>
        <w:pStyle w:val="ListParagraph"/>
        <w:spacing w:after="0" w:line="360" w:lineRule="auto"/>
        <w:ind w:left="0"/>
        <w:jc w:val="both"/>
        <w:rPr>
          <w:rFonts w:cs="Times New Roman"/>
          <w:sz w:val="28"/>
          <w:szCs w:val="28"/>
        </w:rPr>
      </w:pPr>
    </w:p>
    <w:p w14:paraId="1E44358E" w14:textId="2722B2A5" w:rsidR="00327918" w:rsidRPr="002E721C" w:rsidRDefault="002E721C" w:rsidP="002E721C">
      <w:pPr>
        <w:spacing w:after="0" w:line="360" w:lineRule="auto"/>
        <w:jc w:val="both"/>
        <w:rPr>
          <w:rFonts w:cs="Times New Roman"/>
          <w:sz w:val="28"/>
          <w:szCs w:val="28"/>
        </w:rPr>
      </w:pPr>
      <w:r>
        <w:rPr>
          <w:rFonts w:cs="Times New Roman"/>
          <w:sz w:val="28"/>
          <w:szCs w:val="28"/>
        </w:rPr>
        <w:t>[21]</w:t>
      </w:r>
      <w:r>
        <w:rPr>
          <w:rFonts w:cs="Times New Roman"/>
          <w:sz w:val="28"/>
          <w:szCs w:val="28"/>
        </w:rPr>
        <w:tab/>
      </w:r>
      <w:r w:rsidR="003045D6" w:rsidRPr="002E721C">
        <w:rPr>
          <w:rFonts w:cs="Times New Roman"/>
          <w:sz w:val="28"/>
          <w:szCs w:val="28"/>
        </w:rPr>
        <w:t xml:space="preserve">In the present case and </w:t>
      </w:r>
      <w:r w:rsidR="00012FF6" w:rsidRPr="002E721C">
        <w:rPr>
          <w:rFonts w:cs="Times New Roman"/>
          <w:sz w:val="28"/>
          <w:szCs w:val="28"/>
        </w:rPr>
        <w:t xml:space="preserve">as already stated, there is </w:t>
      </w:r>
      <w:r w:rsidR="003045D6" w:rsidRPr="002E721C">
        <w:rPr>
          <w:rFonts w:cs="Times New Roman"/>
          <w:sz w:val="28"/>
          <w:szCs w:val="28"/>
        </w:rPr>
        <w:t xml:space="preserve">simply </w:t>
      </w:r>
      <w:r w:rsidR="00012FF6" w:rsidRPr="002E721C">
        <w:rPr>
          <w:rFonts w:cs="Times New Roman"/>
          <w:sz w:val="28"/>
          <w:szCs w:val="28"/>
        </w:rPr>
        <w:t xml:space="preserve">no formal admission by the plaintiff on the record that </w:t>
      </w:r>
      <w:r w:rsidR="00DB4CC6" w:rsidRPr="002E721C">
        <w:rPr>
          <w:rFonts w:cs="Times New Roman"/>
          <w:sz w:val="28"/>
          <w:szCs w:val="28"/>
        </w:rPr>
        <w:t xml:space="preserve">the child suffered an acute profound HII, which can be regarded as conclusive proof of that fact. </w:t>
      </w:r>
      <w:r w:rsidR="003045D6" w:rsidRPr="002E721C">
        <w:rPr>
          <w:rFonts w:cs="Times New Roman"/>
          <w:sz w:val="28"/>
          <w:szCs w:val="28"/>
        </w:rPr>
        <w:t>The reports by Prof</w:t>
      </w:r>
      <w:r w:rsidR="00EF6364" w:rsidRPr="002E721C">
        <w:rPr>
          <w:rFonts w:cs="Times New Roman"/>
          <w:sz w:val="28"/>
          <w:szCs w:val="28"/>
        </w:rPr>
        <w:t> </w:t>
      </w:r>
      <w:proofErr w:type="spellStart"/>
      <w:r w:rsidR="003045D6" w:rsidRPr="002E721C">
        <w:rPr>
          <w:rFonts w:cs="Times New Roman"/>
          <w:sz w:val="28"/>
          <w:szCs w:val="28"/>
        </w:rPr>
        <w:t>Lotz</w:t>
      </w:r>
      <w:proofErr w:type="spellEnd"/>
      <w:r w:rsidR="003045D6" w:rsidRPr="002E721C">
        <w:rPr>
          <w:rFonts w:cs="Times New Roman"/>
          <w:sz w:val="28"/>
          <w:szCs w:val="28"/>
        </w:rPr>
        <w:t xml:space="preserve"> and Dr </w:t>
      </w:r>
      <w:proofErr w:type="spellStart"/>
      <w:r w:rsidR="003045D6" w:rsidRPr="002E721C">
        <w:rPr>
          <w:rFonts w:cs="Times New Roman"/>
          <w:sz w:val="28"/>
          <w:szCs w:val="28"/>
        </w:rPr>
        <w:t>Alheit</w:t>
      </w:r>
      <w:proofErr w:type="spellEnd"/>
      <w:r w:rsidR="003045D6" w:rsidRPr="002E721C">
        <w:rPr>
          <w:rFonts w:cs="Times New Roman"/>
          <w:sz w:val="28"/>
          <w:szCs w:val="28"/>
        </w:rPr>
        <w:t xml:space="preserve"> are nothing more than opinions base</w:t>
      </w:r>
      <w:r w:rsidR="00327918" w:rsidRPr="002E721C">
        <w:rPr>
          <w:rFonts w:cs="Times New Roman"/>
          <w:sz w:val="28"/>
          <w:szCs w:val="28"/>
        </w:rPr>
        <w:t xml:space="preserve">d on their interpretation of an </w:t>
      </w:r>
      <w:r w:rsidR="003045D6" w:rsidRPr="002E721C">
        <w:rPr>
          <w:rFonts w:cs="Times New Roman"/>
          <w:sz w:val="28"/>
          <w:szCs w:val="28"/>
        </w:rPr>
        <w:t xml:space="preserve">MRI scan </w:t>
      </w:r>
      <w:r w:rsidR="00327918" w:rsidRPr="002E721C">
        <w:rPr>
          <w:rFonts w:cs="Times New Roman"/>
          <w:sz w:val="28"/>
          <w:szCs w:val="28"/>
        </w:rPr>
        <w:t xml:space="preserve">of the brain, </w:t>
      </w:r>
      <w:r w:rsidR="003045D6" w:rsidRPr="002E721C">
        <w:rPr>
          <w:rFonts w:cs="Times New Roman"/>
          <w:sz w:val="28"/>
          <w:szCs w:val="28"/>
        </w:rPr>
        <w:t>performed on 15 J</w:t>
      </w:r>
      <w:r w:rsidR="00327918" w:rsidRPr="002E721C">
        <w:rPr>
          <w:rFonts w:cs="Times New Roman"/>
          <w:sz w:val="28"/>
          <w:szCs w:val="28"/>
        </w:rPr>
        <w:t>uly 2015. Section</w:t>
      </w:r>
      <w:r w:rsidR="00D1300C" w:rsidRPr="002E721C">
        <w:rPr>
          <w:rFonts w:cs="Times New Roman"/>
          <w:sz w:val="28"/>
          <w:szCs w:val="28"/>
        </w:rPr>
        <w:t> </w:t>
      </w:r>
      <w:r w:rsidR="00327918" w:rsidRPr="002E721C">
        <w:rPr>
          <w:rFonts w:cs="Times New Roman"/>
          <w:sz w:val="28"/>
          <w:szCs w:val="28"/>
        </w:rPr>
        <w:t>15 of the Act is not engaged at all.</w:t>
      </w:r>
    </w:p>
    <w:p w14:paraId="207FF7F7" w14:textId="77777777" w:rsidR="00E02F87" w:rsidRDefault="00E02F87" w:rsidP="00E02F87">
      <w:pPr>
        <w:pStyle w:val="ListParagraph"/>
        <w:spacing w:after="0" w:line="360" w:lineRule="auto"/>
        <w:ind w:left="0"/>
        <w:jc w:val="both"/>
        <w:rPr>
          <w:rFonts w:cs="Times New Roman"/>
          <w:sz w:val="28"/>
          <w:szCs w:val="28"/>
        </w:rPr>
      </w:pPr>
    </w:p>
    <w:p w14:paraId="598D1465" w14:textId="2C1CA7E0" w:rsidR="002B4591" w:rsidRPr="002E721C" w:rsidRDefault="002E721C" w:rsidP="002E721C">
      <w:pPr>
        <w:spacing w:after="0" w:line="360" w:lineRule="auto"/>
        <w:jc w:val="both"/>
        <w:rPr>
          <w:rFonts w:cs="Times New Roman"/>
          <w:sz w:val="28"/>
          <w:szCs w:val="28"/>
        </w:rPr>
      </w:pPr>
      <w:r w:rsidRPr="00E118EB">
        <w:rPr>
          <w:rFonts w:cs="Times New Roman"/>
          <w:sz w:val="28"/>
          <w:szCs w:val="28"/>
        </w:rPr>
        <w:lastRenderedPageBreak/>
        <w:t>[22]</w:t>
      </w:r>
      <w:r w:rsidRPr="00E118EB">
        <w:rPr>
          <w:rFonts w:cs="Times New Roman"/>
          <w:sz w:val="28"/>
          <w:szCs w:val="28"/>
        </w:rPr>
        <w:tab/>
      </w:r>
      <w:r w:rsidR="00CB481F" w:rsidRPr="002E721C">
        <w:rPr>
          <w:rFonts w:cs="Times New Roman"/>
          <w:sz w:val="28"/>
          <w:szCs w:val="28"/>
        </w:rPr>
        <w:t xml:space="preserve">The defendant however sought refuge in </w:t>
      </w:r>
      <w:r w:rsidR="00CF24A8" w:rsidRPr="002E721C">
        <w:rPr>
          <w:rFonts w:cs="Times New Roman"/>
          <w:i/>
          <w:sz w:val="28"/>
          <w:szCs w:val="28"/>
        </w:rPr>
        <w:t>MEC for H</w:t>
      </w:r>
      <w:r w:rsidR="00260990" w:rsidRPr="002E721C">
        <w:rPr>
          <w:rFonts w:cs="Times New Roman"/>
          <w:i/>
          <w:sz w:val="28"/>
          <w:szCs w:val="28"/>
        </w:rPr>
        <w:t>ealth, Eastern Cape v DL obo AL</w:t>
      </w:r>
      <w:r w:rsidR="00260990" w:rsidRPr="002E721C">
        <w:rPr>
          <w:rFonts w:cs="Times New Roman"/>
          <w:sz w:val="28"/>
          <w:szCs w:val="28"/>
        </w:rPr>
        <w:t>,</w:t>
      </w:r>
      <w:r w:rsidR="00260990">
        <w:rPr>
          <w:rStyle w:val="FootnoteReference"/>
          <w:rFonts w:cs="Times New Roman"/>
          <w:sz w:val="28"/>
          <w:szCs w:val="28"/>
        </w:rPr>
        <w:footnoteReference w:id="23"/>
      </w:r>
      <w:r w:rsidR="00260990" w:rsidRPr="002E721C">
        <w:rPr>
          <w:rFonts w:cs="Times New Roman"/>
          <w:sz w:val="28"/>
          <w:szCs w:val="28"/>
        </w:rPr>
        <w:t xml:space="preserve"> </w:t>
      </w:r>
      <w:r w:rsidR="00CF24A8" w:rsidRPr="002E721C">
        <w:rPr>
          <w:rFonts w:cs="Times New Roman"/>
          <w:sz w:val="28"/>
          <w:szCs w:val="28"/>
        </w:rPr>
        <w:t xml:space="preserve">in which this Court </w:t>
      </w:r>
      <w:r w:rsidR="00D804AF" w:rsidRPr="002E721C">
        <w:rPr>
          <w:rFonts w:cs="Times New Roman"/>
          <w:sz w:val="28"/>
          <w:szCs w:val="28"/>
        </w:rPr>
        <w:t>referred to an argument by the appellant in that case, that the court below had misdirected itself</w:t>
      </w:r>
      <w:r w:rsidR="000C25D8" w:rsidRPr="002E721C">
        <w:rPr>
          <w:rFonts w:cs="Times New Roman"/>
          <w:sz w:val="28"/>
          <w:szCs w:val="28"/>
        </w:rPr>
        <w:t xml:space="preserve">. It was submitted that the court disregarded </w:t>
      </w:r>
      <w:r w:rsidR="00D804AF" w:rsidRPr="002E721C">
        <w:rPr>
          <w:rFonts w:cs="Times New Roman"/>
          <w:sz w:val="28"/>
          <w:szCs w:val="28"/>
        </w:rPr>
        <w:t xml:space="preserve">two </w:t>
      </w:r>
      <w:r w:rsidR="0072790D" w:rsidRPr="002E721C">
        <w:rPr>
          <w:rFonts w:cs="Times New Roman"/>
          <w:sz w:val="28"/>
          <w:szCs w:val="28"/>
        </w:rPr>
        <w:t xml:space="preserve">of the appellant’s </w:t>
      </w:r>
      <w:r w:rsidR="00D804AF" w:rsidRPr="002E721C">
        <w:rPr>
          <w:rFonts w:cs="Times New Roman"/>
          <w:sz w:val="28"/>
          <w:szCs w:val="28"/>
        </w:rPr>
        <w:t>expert reports</w:t>
      </w:r>
      <w:r w:rsidR="000C25D8" w:rsidRPr="002E721C">
        <w:rPr>
          <w:rFonts w:cs="Times New Roman"/>
          <w:sz w:val="28"/>
          <w:szCs w:val="28"/>
        </w:rPr>
        <w:t xml:space="preserve">, </w:t>
      </w:r>
      <w:r w:rsidR="00AA3117" w:rsidRPr="002E721C">
        <w:rPr>
          <w:rFonts w:cs="Times New Roman"/>
          <w:sz w:val="28"/>
          <w:szCs w:val="28"/>
        </w:rPr>
        <w:t xml:space="preserve">which by agreement had been admitted into evidence, </w:t>
      </w:r>
      <w:r w:rsidR="000C25D8" w:rsidRPr="002E721C">
        <w:rPr>
          <w:rFonts w:cs="Times New Roman"/>
          <w:sz w:val="28"/>
          <w:szCs w:val="28"/>
        </w:rPr>
        <w:t>and preferred</w:t>
      </w:r>
      <w:r w:rsidR="002B4591" w:rsidRPr="002E721C">
        <w:rPr>
          <w:rFonts w:cs="Times New Roman"/>
          <w:sz w:val="28"/>
          <w:szCs w:val="28"/>
        </w:rPr>
        <w:t xml:space="preserve"> the evidence of the respondent’s expert, despite the latter’s evidence being contrary to the former’s </w:t>
      </w:r>
      <w:r w:rsidR="00710D89" w:rsidRPr="002E721C">
        <w:rPr>
          <w:rFonts w:cs="Times New Roman"/>
          <w:sz w:val="28"/>
          <w:szCs w:val="28"/>
        </w:rPr>
        <w:t>reports</w:t>
      </w:r>
      <w:r w:rsidR="00D804AF" w:rsidRPr="002E721C">
        <w:rPr>
          <w:rFonts w:cs="Times New Roman"/>
          <w:sz w:val="28"/>
          <w:szCs w:val="28"/>
        </w:rPr>
        <w:t xml:space="preserve">. </w:t>
      </w:r>
      <w:r w:rsidR="006D6BF1" w:rsidRPr="002E721C">
        <w:rPr>
          <w:rFonts w:cs="Times New Roman"/>
          <w:sz w:val="28"/>
          <w:szCs w:val="28"/>
        </w:rPr>
        <w:t>For that submission the a</w:t>
      </w:r>
      <w:r w:rsidR="00D804AF" w:rsidRPr="002E721C">
        <w:rPr>
          <w:rFonts w:cs="Times New Roman"/>
          <w:sz w:val="28"/>
          <w:szCs w:val="28"/>
        </w:rPr>
        <w:t>ppellant relied on s 15 of the Act</w:t>
      </w:r>
      <w:r w:rsidR="00363D39" w:rsidRPr="002E721C">
        <w:rPr>
          <w:rFonts w:cs="Times New Roman"/>
          <w:sz w:val="28"/>
          <w:szCs w:val="28"/>
        </w:rPr>
        <w:t xml:space="preserve">. </w:t>
      </w:r>
      <w:r w:rsidR="00D804AF" w:rsidRPr="002E721C">
        <w:rPr>
          <w:rFonts w:cs="Times New Roman"/>
          <w:sz w:val="28"/>
          <w:szCs w:val="28"/>
        </w:rPr>
        <w:t xml:space="preserve">Molemela JA remarked that she was </w:t>
      </w:r>
      <w:r w:rsidR="006A0F69" w:rsidRPr="002E721C">
        <w:rPr>
          <w:rFonts w:cs="Times New Roman"/>
          <w:sz w:val="28"/>
          <w:szCs w:val="28"/>
        </w:rPr>
        <w:t xml:space="preserve">not aware of any authority </w:t>
      </w:r>
      <w:r w:rsidR="00363D39" w:rsidRPr="002E721C">
        <w:rPr>
          <w:rFonts w:cs="Times New Roman"/>
          <w:sz w:val="28"/>
          <w:szCs w:val="28"/>
        </w:rPr>
        <w:t>that had</w:t>
      </w:r>
      <w:r w:rsidR="006A0F69" w:rsidRPr="002E721C">
        <w:rPr>
          <w:rFonts w:cs="Times New Roman"/>
          <w:sz w:val="28"/>
          <w:szCs w:val="28"/>
        </w:rPr>
        <w:t xml:space="preserve"> deviated from the trite principle enunciated </w:t>
      </w:r>
      <w:r w:rsidR="00363D39" w:rsidRPr="002E721C">
        <w:rPr>
          <w:rFonts w:cs="Times New Roman"/>
          <w:sz w:val="28"/>
          <w:szCs w:val="28"/>
        </w:rPr>
        <w:t>in that</w:t>
      </w:r>
      <w:r w:rsidR="006A0F69" w:rsidRPr="002E721C">
        <w:rPr>
          <w:rFonts w:cs="Times New Roman"/>
          <w:sz w:val="28"/>
          <w:szCs w:val="28"/>
        </w:rPr>
        <w:t xml:space="preserve"> provision</w:t>
      </w:r>
      <w:r w:rsidR="00363D39" w:rsidRPr="002E721C">
        <w:rPr>
          <w:rFonts w:cs="Times New Roman"/>
          <w:sz w:val="28"/>
          <w:szCs w:val="28"/>
        </w:rPr>
        <w:t>.</w:t>
      </w:r>
      <w:r w:rsidR="00EF7378" w:rsidRPr="002E721C">
        <w:rPr>
          <w:rFonts w:cs="Times New Roman"/>
          <w:sz w:val="28"/>
          <w:szCs w:val="28"/>
        </w:rPr>
        <w:t xml:space="preserve"> </w:t>
      </w:r>
      <w:r w:rsidR="007D14E8" w:rsidRPr="002E721C">
        <w:rPr>
          <w:rFonts w:cs="Times New Roman"/>
          <w:sz w:val="28"/>
          <w:szCs w:val="28"/>
        </w:rPr>
        <w:t xml:space="preserve">To the extent that this remark could be understood as meaning that s 15 applies to expert opinions, it should not be followed. </w:t>
      </w:r>
    </w:p>
    <w:p w14:paraId="2B6B74E3" w14:textId="77777777" w:rsidR="007D14E8" w:rsidRPr="00E118EB" w:rsidRDefault="007D14E8" w:rsidP="007D14E8">
      <w:pPr>
        <w:pStyle w:val="ListParagraph"/>
        <w:spacing w:after="0" w:line="360" w:lineRule="auto"/>
        <w:ind w:left="0"/>
        <w:jc w:val="both"/>
        <w:rPr>
          <w:rFonts w:cs="Times New Roman"/>
          <w:sz w:val="28"/>
          <w:szCs w:val="28"/>
        </w:rPr>
      </w:pPr>
    </w:p>
    <w:p w14:paraId="44E97BB0" w14:textId="4F2F1D66" w:rsidR="00644F9A" w:rsidRPr="002E721C" w:rsidRDefault="002E721C" w:rsidP="002E721C">
      <w:pPr>
        <w:spacing w:after="0" w:line="360" w:lineRule="auto"/>
        <w:jc w:val="both"/>
        <w:rPr>
          <w:rFonts w:cs="Times New Roman"/>
          <w:sz w:val="28"/>
          <w:szCs w:val="28"/>
        </w:rPr>
      </w:pPr>
      <w:r w:rsidRPr="00E118EB">
        <w:rPr>
          <w:rFonts w:cs="Times New Roman"/>
          <w:sz w:val="28"/>
          <w:szCs w:val="28"/>
        </w:rPr>
        <w:t>[23]</w:t>
      </w:r>
      <w:r w:rsidRPr="00E118EB">
        <w:rPr>
          <w:rFonts w:cs="Times New Roman"/>
          <w:sz w:val="28"/>
          <w:szCs w:val="28"/>
        </w:rPr>
        <w:tab/>
      </w:r>
      <w:r w:rsidR="00644F9A" w:rsidRPr="002E721C">
        <w:rPr>
          <w:rFonts w:cs="Times New Roman"/>
          <w:sz w:val="28"/>
          <w:szCs w:val="28"/>
        </w:rPr>
        <w:t xml:space="preserve">The </w:t>
      </w:r>
      <w:r w:rsidR="00720E28" w:rsidRPr="002E721C">
        <w:rPr>
          <w:rFonts w:cs="Times New Roman"/>
          <w:sz w:val="28"/>
          <w:szCs w:val="28"/>
        </w:rPr>
        <w:t>purported</w:t>
      </w:r>
      <w:r w:rsidR="00644F9A" w:rsidRPr="002E721C">
        <w:rPr>
          <w:rFonts w:cs="Times New Roman"/>
          <w:sz w:val="28"/>
          <w:szCs w:val="28"/>
        </w:rPr>
        <w:t xml:space="preserve"> admission must be seen for what it is: an opportunistic attempt by the defendant to utilise to her own advantage the opinions by the plaintiff’s expert witnesses – untested by cross-examination – under the guise of a ‘fact’</w:t>
      </w:r>
      <w:r w:rsidR="00EE2822" w:rsidRPr="002E721C">
        <w:rPr>
          <w:rFonts w:cs="Times New Roman"/>
          <w:sz w:val="28"/>
          <w:szCs w:val="28"/>
        </w:rPr>
        <w:t xml:space="preserve"> admitted by the defendant </w:t>
      </w:r>
      <w:r w:rsidR="00644F9A" w:rsidRPr="002E721C">
        <w:rPr>
          <w:rFonts w:cs="Times New Roman"/>
          <w:sz w:val="28"/>
          <w:szCs w:val="28"/>
        </w:rPr>
        <w:t>in terms of s 15 of the Act. Little wonder then, that the defendant was constrained to submit that the word ‘fact’ must be interpreted as meaning ‘information used as evidence or as part of a report’,</w:t>
      </w:r>
      <w:r w:rsidR="00644F9A" w:rsidRPr="00E118EB">
        <w:rPr>
          <w:rStyle w:val="FootnoteReference"/>
          <w:rFonts w:cs="Times New Roman"/>
          <w:sz w:val="28"/>
          <w:szCs w:val="28"/>
        </w:rPr>
        <w:footnoteReference w:id="24"/>
      </w:r>
      <w:r w:rsidR="00644F9A" w:rsidRPr="002E721C">
        <w:rPr>
          <w:rFonts w:cs="Times New Roman"/>
          <w:sz w:val="28"/>
          <w:szCs w:val="28"/>
        </w:rPr>
        <w:t xml:space="preserve"> wrenched from its context in s 15.</w:t>
      </w:r>
    </w:p>
    <w:p w14:paraId="4342F646" w14:textId="77777777" w:rsidR="00644F9A" w:rsidRPr="00E118EB" w:rsidRDefault="00644F9A" w:rsidP="00644F9A">
      <w:pPr>
        <w:spacing w:after="0" w:line="360" w:lineRule="auto"/>
        <w:jc w:val="both"/>
        <w:rPr>
          <w:rFonts w:cs="Times New Roman"/>
          <w:sz w:val="28"/>
          <w:szCs w:val="28"/>
        </w:rPr>
      </w:pPr>
    </w:p>
    <w:p w14:paraId="52A14C9E" w14:textId="04573AF0" w:rsidR="00822649" w:rsidRPr="002E721C" w:rsidRDefault="002E721C" w:rsidP="002E721C">
      <w:pPr>
        <w:spacing w:after="0" w:line="360" w:lineRule="auto"/>
        <w:jc w:val="both"/>
        <w:rPr>
          <w:rFonts w:cs="Times New Roman"/>
          <w:sz w:val="28"/>
          <w:szCs w:val="28"/>
        </w:rPr>
      </w:pPr>
      <w:r w:rsidRPr="00822649">
        <w:rPr>
          <w:rFonts w:cs="Times New Roman"/>
          <w:sz w:val="28"/>
          <w:szCs w:val="28"/>
        </w:rPr>
        <w:t>[24]</w:t>
      </w:r>
      <w:r w:rsidRPr="00822649">
        <w:rPr>
          <w:rFonts w:cs="Times New Roman"/>
          <w:sz w:val="28"/>
          <w:szCs w:val="28"/>
        </w:rPr>
        <w:tab/>
      </w:r>
      <w:r w:rsidR="00EE2822" w:rsidRPr="002E721C">
        <w:rPr>
          <w:rFonts w:cs="Times New Roman"/>
          <w:sz w:val="28"/>
          <w:szCs w:val="28"/>
        </w:rPr>
        <w:t xml:space="preserve">What is more, </w:t>
      </w:r>
      <w:r w:rsidR="008876D5" w:rsidRPr="002E721C">
        <w:rPr>
          <w:rFonts w:cs="Times New Roman"/>
          <w:sz w:val="28"/>
          <w:szCs w:val="28"/>
        </w:rPr>
        <w:t>a party cannot bind the court to the opinion of her opponent’s</w:t>
      </w:r>
      <w:r w:rsidR="00D2407B" w:rsidRPr="002E721C">
        <w:rPr>
          <w:rFonts w:cs="Times New Roman"/>
          <w:sz w:val="28"/>
          <w:szCs w:val="28"/>
        </w:rPr>
        <w:t xml:space="preserve"> expert witness, by merely conceding that that</w:t>
      </w:r>
      <w:r w:rsidR="008876D5" w:rsidRPr="002E721C">
        <w:rPr>
          <w:rFonts w:cs="Times New Roman"/>
          <w:sz w:val="28"/>
          <w:szCs w:val="28"/>
        </w:rPr>
        <w:t xml:space="preserve"> opinion is correct. </w:t>
      </w:r>
      <w:r w:rsidR="00EE2822" w:rsidRPr="002E721C">
        <w:rPr>
          <w:rFonts w:cs="Times New Roman"/>
          <w:sz w:val="28"/>
          <w:szCs w:val="28"/>
        </w:rPr>
        <w:t xml:space="preserve">Indeed, this illustrates why an expert’s opinion </w:t>
      </w:r>
      <w:r w:rsidR="009E42D5" w:rsidRPr="002E721C">
        <w:rPr>
          <w:rFonts w:cs="Times New Roman"/>
          <w:sz w:val="28"/>
          <w:szCs w:val="28"/>
        </w:rPr>
        <w:t>is not</w:t>
      </w:r>
      <w:r w:rsidR="00EE2822" w:rsidRPr="002E721C">
        <w:rPr>
          <w:rFonts w:cs="Times New Roman"/>
          <w:sz w:val="28"/>
          <w:szCs w:val="28"/>
        </w:rPr>
        <w:t xml:space="preserve"> a fact</w:t>
      </w:r>
      <w:r w:rsidR="00B04DAE" w:rsidRPr="002E721C">
        <w:rPr>
          <w:rFonts w:cs="Times New Roman"/>
          <w:sz w:val="28"/>
          <w:szCs w:val="28"/>
        </w:rPr>
        <w:t>,</w:t>
      </w:r>
      <w:r w:rsidR="00EE2822" w:rsidRPr="002E721C">
        <w:rPr>
          <w:rFonts w:cs="Times New Roman"/>
          <w:sz w:val="28"/>
          <w:szCs w:val="28"/>
        </w:rPr>
        <w:t xml:space="preserve"> within the meaning of s 15 of the Act. </w:t>
      </w:r>
      <w:r w:rsidR="00EF7378" w:rsidRPr="002E721C">
        <w:rPr>
          <w:rFonts w:cs="Times New Roman"/>
          <w:sz w:val="28"/>
          <w:szCs w:val="28"/>
        </w:rPr>
        <w:t xml:space="preserve">Put simply, the decision </w:t>
      </w:r>
      <w:r w:rsidR="00226686" w:rsidRPr="002E721C">
        <w:rPr>
          <w:rFonts w:cs="Times New Roman"/>
          <w:sz w:val="28"/>
          <w:szCs w:val="28"/>
        </w:rPr>
        <w:t>o</w:t>
      </w:r>
      <w:r w:rsidR="00EF7378" w:rsidRPr="002E721C">
        <w:rPr>
          <w:rFonts w:cs="Times New Roman"/>
          <w:sz w:val="28"/>
          <w:szCs w:val="28"/>
        </w:rPr>
        <w:t xml:space="preserve">n the </w:t>
      </w:r>
      <w:r w:rsidR="00226686" w:rsidRPr="002E721C">
        <w:rPr>
          <w:rFonts w:cs="Times New Roman"/>
          <w:sz w:val="28"/>
          <w:szCs w:val="28"/>
        </w:rPr>
        <w:t>opinion</w:t>
      </w:r>
      <w:r w:rsidR="00EF7378" w:rsidRPr="002E721C">
        <w:rPr>
          <w:rFonts w:cs="Times New Roman"/>
          <w:sz w:val="28"/>
          <w:szCs w:val="28"/>
        </w:rPr>
        <w:t xml:space="preserve"> is for the court, not the witness. For this reason, it is open to the judge to make findings contrary to the opinions of experts, even where the</w:t>
      </w:r>
      <w:r w:rsidR="00B04DAE" w:rsidRPr="002E721C">
        <w:rPr>
          <w:rFonts w:cs="Times New Roman"/>
          <w:sz w:val="28"/>
          <w:szCs w:val="28"/>
        </w:rPr>
        <w:t>ir</w:t>
      </w:r>
      <w:r w:rsidR="00EF7378" w:rsidRPr="002E721C">
        <w:rPr>
          <w:rFonts w:cs="Times New Roman"/>
          <w:sz w:val="28"/>
          <w:szCs w:val="28"/>
        </w:rPr>
        <w:t xml:space="preserve"> reports are agreed.</w:t>
      </w:r>
      <w:r w:rsidR="00EF7378">
        <w:rPr>
          <w:rStyle w:val="FootnoteReference"/>
          <w:rFonts w:cs="Times New Roman"/>
          <w:sz w:val="28"/>
          <w:szCs w:val="28"/>
        </w:rPr>
        <w:footnoteReference w:id="25"/>
      </w:r>
      <w:r w:rsidR="00EF7378" w:rsidRPr="002E721C">
        <w:rPr>
          <w:rFonts w:cs="Times New Roman"/>
          <w:sz w:val="28"/>
          <w:szCs w:val="28"/>
        </w:rPr>
        <w:t xml:space="preserve"> </w:t>
      </w:r>
      <w:r w:rsidR="00EE2822" w:rsidRPr="002E721C">
        <w:rPr>
          <w:rFonts w:cs="Times New Roman"/>
          <w:sz w:val="28"/>
          <w:szCs w:val="28"/>
        </w:rPr>
        <w:t xml:space="preserve">In </w:t>
      </w:r>
      <w:r w:rsidR="00EE2822" w:rsidRPr="002E721C">
        <w:rPr>
          <w:rFonts w:cs="Times New Roman"/>
          <w:i/>
          <w:sz w:val="28"/>
          <w:szCs w:val="28"/>
        </w:rPr>
        <w:t>S v M</w:t>
      </w:r>
      <w:r w:rsidR="00822649" w:rsidRPr="002E721C">
        <w:rPr>
          <w:rFonts w:cs="Times New Roman"/>
          <w:sz w:val="28"/>
          <w:szCs w:val="28"/>
        </w:rPr>
        <w:t>,</w:t>
      </w:r>
      <w:r w:rsidR="00822649">
        <w:rPr>
          <w:rStyle w:val="FootnoteReference"/>
          <w:rFonts w:cs="Times New Roman"/>
          <w:sz w:val="24"/>
          <w:szCs w:val="24"/>
        </w:rPr>
        <w:footnoteReference w:id="26"/>
      </w:r>
      <w:r w:rsidR="00B04DAE" w:rsidRPr="002E721C">
        <w:rPr>
          <w:rFonts w:cs="Times New Roman"/>
          <w:sz w:val="28"/>
          <w:szCs w:val="28"/>
        </w:rPr>
        <w:t xml:space="preserve"> </w:t>
      </w:r>
      <w:proofErr w:type="spellStart"/>
      <w:r w:rsidR="00EF7378" w:rsidRPr="002E721C">
        <w:rPr>
          <w:rFonts w:cs="Times New Roman"/>
          <w:sz w:val="28"/>
          <w:szCs w:val="28"/>
        </w:rPr>
        <w:t>Kriegler</w:t>
      </w:r>
      <w:proofErr w:type="spellEnd"/>
      <w:r w:rsidR="00EF7378" w:rsidRPr="002E721C">
        <w:rPr>
          <w:rFonts w:cs="Times New Roman"/>
          <w:sz w:val="28"/>
          <w:szCs w:val="28"/>
        </w:rPr>
        <w:t xml:space="preserve"> J </w:t>
      </w:r>
      <w:r w:rsidR="00822649" w:rsidRPr="002E721C">
        <w:rPr>
          <w:rFonts w:cs="Times New Roman"/>
          <w:sz w:val="28"/>
          <w:szCs w:val="28"/>
        </w:rPr>
        <w:t>aptly</w:t>
      </w:r>
      <w:r w:rsidR="00EF7378" w:rsidRPr="002E721C">
        <w:rPr>
          <w:rFonts w:cs="Times New Roman"/>
          <w:sz w:val="28"/>
          <w:szCs w:val="28"/>
        </w:rPr>
        <w:t xml:space="preserve"> describ</w:t>
      </w:r>
      <w:r w:rsidR="004765B9" w:rsidRPr="002E721C">
        <w:rPr>
          <w:rFonts w:cs="Times New Roman"/>
          <w:sz w:val="28"/>
          <w:szCs w:val="28"/>
        </w:rPr>
        <w:t>ed the position thus:</w:t>
      </w:r>
      <w:r w:rsidR="00A95047" w:rsidRPr="002E721C">
        <w:rPr>
          <w:rStyle w:val="FootnoteReference"/>
          <w:rFonts w:cs="Times New Roman"/>
          <w:sz w:val="24"/>
          <w:szCs w:val="24"/>
        </w:rPr>
        <w:t xml:space="preserve"> </w:t>
      </w:r>
    </w:p>
    <w:p w14:paraId="5A80A0F0" w14:textId="4B190688" w:rsidR="004765B9" w:rsidRPr="00822649" w:rsidRDefault="004765B9" w:rsidP="00822649">
      <w:pPr>
        <w:pStyle w:val="ListParagraph"/>
        <w:spacing w:after="0" w:line="360" w:lineRule="auto"/>
        <w:ind w:left="0"/>
        <w:jc w:val="both"/>
        <w:rPr>
          <w:rFonts w:cs="Times New Roman"/>
          <w:sz w:val="28"/>
          <w:szCs w:val="28"/>
        </w:rPr>
      </w:pPr>
      <w:r w:rsidRPr="00822649">
        <w:rPr>
          <w:rFonts w:cs="Times New Roman"/>
          <w:sz w:val="24"/>
          <w:szCs w:val="24"/>
        </w:rPr>
        <w:lastRenderedPageBreak/>
        <w:t xml:space="preserve">‘A court’s approach to expert evidence has been dealt with on many occasions. The court is not bound by expert evidence. It is the presiding officer’s function ultimately to make up his own mind. </w:t>
      </w:r>
      <w:r w:rsidRPr="00822649">
        <w:rPr>
          <w:rFonts w:cs="Times New Roman"/>
          <w:i/>
          <w:sz w:val="24"/>
          <w:szCs w:val="24"/>
        </w:rPr>
        <w:t>He</w:t>
      </w:r>
      <w:r w:rsidRPr="00822649">
        <w:rPr>
          <w:rFonts w:cs="Times New Roman"/>
          <w:sz w:val="24"/>
          <w:szCs w:val="24"/>
        </w:rPr>
        <w:t xml:space="preserve"> has to evaluate the expertise of the witness. </w:t>
      </w:r>
      <w:r w:rsidRPr="00822649">
        <w:rPr>
          <w:rFonts w:cs="Times New Roman"/>
          <w:i/>
          <w:sz w:val="24"/>
          <w:szCs w:val="24"/>
        </w:rPr>
        <w:t>He</w:t>
      </w:r>
      <w:r w:rsidRPr="00822649">
        <w:rPr>
          <w:rFonts w:cs="Times New Roman"/>
          <w:sz w:val="24"/>
          <w:szCs w:val="24"/>
        </w:rPr>
        <w:t xml:space="preserve"> has to weigh the cogency of the witness’s evidence in the contextual matrix of the case with which he is seized. </w:t>
      </w:r>
      <w:r w:rsidRPr="00822649">
        <w:rPr>
          <w:rFonts w:cs="Times New Roman"/>
          <w:i/>
          <w:sz w:val="24"/>
          <w:szCs w:val="24"/>
        </w:rPr>
        <w:t>He</w:t>
      </w:r>
      <w:r w:rsidRPr="00822649">
        <w:rPr>
          <w:rFonts w:cs="Times New Roman"/>
          <w:sz w:val="24"/>
          <w:szCs w:val="24"/>
        </w:rPr>
        <w:t xml:space="preserve"> has to gauge the quality of the expert qua witness. However, the wise judicial officer does not lightly reject expert evidence on matters falling within the purview of the expert witness’s field.</w:t>
      </w:r>
      <w:r w:rsidR="00B04DAE" w:rsidRPr="00822649">
        <w:rPr>
          <w:rFonts w:cs="Times New Roman"/>
          <w:sz w:val="24"/>
          <w:szCs w:val="24"/>
        </w:rPr>
        <w:t>’</w:t>
      </w:r>
      <w:r w:rsidR="00AA1FA2">
        <w:rPr>
          <w:rStyle w:val="FootnoteReference"/>
          <w:rFonts w:cs="Times New Roman"/>
          <w:sz w:val="24"/>
          <w:szCs w:val="24"/>
        </w:rPr>
        <w:footnoteReference w:id="27"/>
      </w:r>
    </w:p>
    <w:p w14:paraId="728B7036" w14:textId="0C55B450" w:rsidR="00870633" w:rsidRDefault="00870633" w:rsidP="00D2407B">
      <w:pPr>
        <w:pStyle w:val="ListParagraph"/>
        <w:spacing w:after="0" w:line="360" w:lineRule="auto"/>
        <w:ind w:left="0"/>
        <w:jc w:val="both"/>
        <w:rPr>
          <w:rFonts w:cs="Times New Roman"/>
          <w:sz w:val="28"/>
          <w:szCs w:val="28"/>
        </w:rPr>
      </w:pPr>
    </w:p>
    <w:p w14:paraId="698FE7EB" w14:textId="7F862A92" w:rsidR="00666921" w:rsidRPr="002E721C" w:rsidRDefault="002E721C" w:rsidP="002E721C">
      <w:pPr>
        <w:spacing w:after="0" w:line="360" w:lineRule="auto"/>
        <w:jc w:val="both"/>
        <w:rPr>
          <w:rFonts w:cs="Times New Roman"/>
          <w:sz w:val="28"/>
          <w:szCs w:val="28"/>
        </w:rPr>
      </w:pPr>
      <w:r>
        <w:rPr>
          <w:rFonts w:cs="Times New Roman"/>
          <w:sz w:val="28"/>
          <w:szCs w:val="28"/>
        </w:rPr>
        <w:t>[25]</w:t>
      </w:r>
      <w:r>
        <w:rPr>
          <w:rFonts w:cs="Times New Roman"/>
          <w:sz w:val="28"/>
          <w:szCs w:val="28"/>
        </w:rPr>
        <w:tab/>
      </w:r>
      <w:r w:rsidR="00D2407B" w:rsidRPr="002E721C">
        <w:rPr>
          <w:rFonts w:cs="Times New Roman"/>
          <w:sz w:val="28"/>
          <w:szCs w:val="28"/>
        </w:rPr>
        <w:t xml:space="preserve">It is a settled principle that </w:t>
      </w:r>
      <w:r w:rsidR="00FD7D1D" w:rsidRPr="002E721C">
        <w:rPr>
          <w:rFonts w:cs="Times New Roman"/>
          <w:sz w:val="28"/>
          <w:szCs w:val="28"/>
        </w:rPr>
        <w:t xml:space="preserve">in order to evaluate expert evidence, the court must be apprised of </w:t>
      </w:r>
      <w:r w:rsidR="00A85F0A" w:rsidRPr="002E721C">
        <w:rPr>
          <w:rFonts w:cs="Times New Roman"/>
          <w:sz w:val="28"/>
          <w:szCs w:val="28"/>
        </w:rPr>
        <w:t xml:space="preserve">and analyse </w:t>
      </w:r>
      <w:r w:rsidR="00FD7D1D" w:rsidRPr="002E721C">
        <w:rPr>
          <w:rFonts w:cs="Times New Roman"/>
          <w:sz w:val="28"/>
          <w:szCs w:val="28"/>
        </w:rPr>
        <w:t>the process of reasoning which led to the expert’s conclusion, inclu</w:t>
      </w:r>
      <w:r w:rsidR="00A95047" w:rsidRPr="002E721C">
        <w:rPr>
          <w:rFonts w:cs="Times New Roman"/>
          <w:sz w:val="28"/>
          <w:szCs w:val="28"/>
        </w:rPr>
        <w:t>ding the premises from which that reasoning proceeds.</w:t>
      </w:r>
      <w:r w:rsidR="00FD7D1D" w:rsidRPr="00DA1765">
        <w:rPr>
          <w:rStyle w:val="FootnoteReference"/>
          <w:rFonts w:cs="Times New Roman"/>
          <w:sz w:val="28"/>
          <w:szCs w:val="28"/>
        </w:rPr>
        <w:footnoteReference w:id="28"/>
      </w:r>
      <w:r w:rsidR="00FD7D1D" w:rsidRPr="002E721C">
        <w:rPr>
          <w:rFonts w:cs="Times New Roman"/>
          <w:sz w:val="28"/>
          <w:szCs w:val="28"/>
        </w:rPr>
        <w:t xml:space="preserve"> </w:t>
      </w:r>
      <w:r w:rsidR="00A95047" w:rsidRPr="002E721C">
        <w:rPr>
          <w:rFonts w:cs="Times New Roman"/>
          <w:sz w:val="28"/>
          <w:szCs w:val="28"/>
        </w:rPr>
        <w:t xml:space="preserve">The court </w:t>
      </w:r>
      <w:r w:rsidR="00FD7D1D" w:rsidRPr="002E721C">
        <w:rPr>
          <w:rFonts w:cs="Times New Roman"/>
          <w:sz w:val="28"/>
          <w:szCs w:val="28"/>
        </w:rPr>
        <w:t xml:space="preserve">must be satisfied that the opinion is based on facts and </w:t>
      </w:r>
      <w:r w:rsidR="00A95047" w:rsidRPr="002E721C">
        <w:rPr>
          <w:rFonts w:cs="Times New Roman"/>
          <w:sz w:val="28"/>
          <w:szCs w:val="28"/>
        </w:rPr>
        <w:t>that the expert has reached a defensible conclusion on the matter.</w:t>
      </w:r>
      <w:r w:rsidR="00FD7D1D" w:rsidRPr="00DA1765">
        <w:rPr>
          <w:rStyle w:val="FootnoteReference"/>
          <w:rFonts w:cs="Times New Roman"/>
          <w:sz w:val="28"/>
          <w:szCs w:val="28"/>
        </w:rPr>
        <w:footnoteReference w:id="29"/>
      </w:r>
      <w:r w:rsidR="00FD7D1D" w:rsidRPr="002E721C">
        <w:rPr>
          <w:rFonts w:cs="Times New Roman"/>
          <w:sz w:val="28"/>
          <w:szCs w:val="28"/>
        </w:rPr>
        <w:t xml:space="preserve"> The </w:t>
      </w:r>
      <w:r w:rsidR="00362EBE" w:rsidRPr="002E721C">
        <w:rPr>
          <w:rFonts w:cs="Times New Roman"/>
          <w:sz w:val="28"/>
          <w:szCs w:val="28"/>
        </w:rPr>
        <w:t>purported</w:t>
      </w:r>
      <w:r w:rsidR="00A95047" w:rsidRPr="002E721C">
        <w:rPr>
          <w:rFonts w:cs="Times New Roman"/>
          <w:sz w:val="28"/>
          <w:szCs w:val="28"/>
        </w:rPr>
        <w:t xml:space="preserve"> </w:t>
      </w:r>
      <w:r w:rsidR="00FD7D1D" w:rsidRPr="002E721C">
        <w:rPr>
          <w:rFonts w:cs="Times New Roman"/>
          <w:sz w:val="28"/>
          <w:szCs w:val="28"/>
        </w:rPr>
        <w:t>admission by the defendant cannot</w:t>
      </w:r>
      <w:r w:rsidR="00A95047" w:rsidRPr="002E721C">
        <w:rPr>
          <w:rFonts w:cs="Times New Roman"/>
          <w:sz w:val="28"/>
          <w:szCs w:val="28"/>
        </w:rPr>
        <w:t>,</w:t>
      </w:r>
      <w:r w:rsidR="00FD7D1D" w:rsidRPr="002E721C">
        <w:rPr>
          <w:rFonts w:cs="Times New Roman"/>
          <w:sz w:val="28"/>
          <w:szCs w:val="28"/>
        </w:rPr>
        <w:t xml:space="preserve"> and does not, absolve the court from this duty. Even if experts agree on a matter within their joint expertise, that is merely part of the total body of evidence. The court must still assess the joint opinion and decide whether to accept it.</w:t>
      </w:r>
      <w:r w:rsidR="00FD7D1D">
        <w:rPr>
          <w:rStyle w:val="FootnoteReference"/>
          <w:rFonts w:cs="Times New Roman"/>
          <w:sz w:val="28"/>
          <w:szCs w:val="28"/>
        </w:rPr>
        <w:footnoteReference w:id="30"/>
      </w:r>
    </w:p>
    <w:p w14:paraId="6C9DD4B2" w14:textId="77777777" w:rsidR="00666921" w:rsidRDefault="00666921" w:rsidP="00666921">
      <w:pPr>
        <w:pStyle w:val="ListParagraph"/>
        <w:spacing w:after="0" w:line="360" w:lineRule="auto"/>
        <w:ind w:left="0"/>
        <w:jc w:val="both"/>
        <w:rPr>
          <w:rFonts w:cs="Times New Roman"/>
          <w:sz w:val="28"/>
          <w:szCs w:val="28"/>
        </w:rPr>
      </w:pPr>
    </w:p>
    <w:p w14:paraId="37C16A11" w14:textId="0176EE4A" w:rsidR="00EE789D" w:rsidRPr="002E721C" w:rsidRDefault="002E721C" w:rsidP="002E721C">
      <w:pPr>
        <w:spacing w:after="0" w:line="360" w:lineRule="auto"/>
        <w:jc w:val="both"/>
        <w:rPr>
          <w:rFonts w:cs="Times New Roman"/>
          <w:sz w:val="28"/>
          <w:szCs w:val="28"/>
        </w:rPr>
      </w:pPr>
      <w:r>
        <w:rPr>
          <w:rFonts w:cs="Times New Roman"/>
          <w:sz w:val="28"/>
          <w:szCs w:val="28"/>
        </w:rPr>
        <w:t>[26]</w:t>
      </w:r>
      <w:r>
        <w:rPr>
          <w:rFonts w:cs="Times New Roman"/>
          <w:sz w:val="28"/>
          <w:szCs w:val="28"/>
        </w:rPr>
        <w:tab/>
      </w:r>
      <w:r w:rsidR="00DF6F48" w:rsidRPr="002E721C">
        <w:rPr>
          <w:rFonts w:cs="Times New Roman"/>
          <w:sz w:val="28"/>
          <w:szCs w:val="28"/>
        </w:rPr>
        <w:t xml:space="preserve">Otherwise viewed, it would mean that when a party admits the correctness of </w:t>
      </w:r>
      <w:r w:rsidR="002A4383" w:rsidRPr="002E721C">
        <w:rPr>
          <w:rFonts w:cs="Times New Roman"/>
          <w:sz w:val="28"/>
          <w:szCs w:val="28"/>
        </w:rPr>
        <w:t xml:space="preserve">an expert’s opinion </w:t>
      </w:r>
      <w:r w:rsidR="00DF6F48" w:rsidRPr="002E721C">
        <w:rPr>
          <w:rFonts w:cs="Times New Roman"/>
          <w:sz w:val="28"/>
          <w:szCs w:val="28"/>
        </w:rPr>
        <w:t xml:space="preserve">and the reasons for it, as </w:t>
      </w:r>
      <w:r w:rsidR="00AE7FE6" w:rsidRPr="002E721C">
        <w:rPr>
          <w:rFonts w:cs="Times New Roman"/>
          <w:sz w:val="28"/>
          <w:szCs w:val="28"/>
        </w:rPr>
        <w:t xml:space="preserve">the defendant purported to do in </w:t>
      </w:r>
      <w:r w:rsidR="00DF6F48" w:rsidRPr="002E721C">
        <w:rPr>
          <w:rFonts w:cs="Times New Roman"/>
          <w:sz w:val="28"/>
          <w:szCs w:val="28"/>
        </w:rPr>
        <w:t>this ca</w:t>
      </w:r>
      <w:r w:rsidR="004D4FD8" w:rsidRPr="002E721C">
        <w:rPr>
          <w:rFonts w:cs="Times New Roman"/>
          <w:sz w:val="28"/>
          <w:szCs w:val="28"/>
        </w:rPr>
        <w:t xml:space="preserve">se, </w:t>
      </w:r>
      <w:r w:rsidR="002A4383" w:rsidRPr="002E721C">
        <w:rPr>
          <w:rFonts w:cs="Times New Roman"/>
          <w:sz w:val="28"/>
          <w:szCs w:val="28"/>
        </w:rPr>
        <w:t xml:space="preserve">both </w:t>
      </w:r>
      <w:r w:rsidR="004D4FD8" w:rsidRPr="002E721C">
        <w:rPr>
          <w:rFonts w:cs="Times New Roman"/>
          <w:sz w:val="28"/>
          <w:szCs w:val="28"/>
        </w:rPr>
        <w:t xml:space="preserve">the opposing party </w:t>
      </w:r>
      <w:r w:rsidR="002A4383" w:rsidRPr="002E721C">
        <w:rPr>
          <w:rFonts w:cs="Times New Roman"/>
          <w:sz w:val="28"/>
          <w:szCs w:val="28"/>
        </w:rPr>
        <w:t xml:space="preserve">and </w:t>
      </w:r>
      <w:r w:rsidR="00DF6F48" w:rsidRPr="002E721C">
        <w:rPr>
          <w:rFonts w:cs="Times New Roman"/>
          <w:sz w:val="28"/>
          <w:szCs w:val="28"/>
        </w:rPr>
        <w:t>the court</w:t>
      </w:r>
      <w:r w:rsidR="004D4FD8" w:rsidRPr="002E721C">
        <w:rPr>
          <w:rFonts w:cs="Times New Roman"/>
          <w:sz w:val="28"/>
          <w:szCs w:val="28"/>
        </w:rPr>
        <w:t xml:space="preserve"> </w:t>
      </w:r>
      <w:r w:rsidR="002A4383" w:rsidRPr="002E721C">
        <w:rPr>
          <w:rFonts w:cs="Times New Roman"/>
          <w:sz w:val="28"/>
          <w:szCs w:val="28"/>
        </w:rPr>
        <w:t xml:space="preserve">are </w:t>
      </w:r>
      <w:r w:rsidR="00967879" w:rsidRPr="002E721C">
        <w:rPr>
          <w:rFonts w:cs="Times New Roman"/>
          <w:sz w:val="28"/>
          <w:szCs w:val="28"/>
        </w:rPr>
        <w:t xml:space="preserve">bound by that </w:t>
      </w:r>
      <w:r w:rsidR="004D4FD8" w:rsidRPr="002E721C">
        <w:rPr>
          <w:rFonts w:cs="Times New Roman"/>
          <w:sz w:val="28"/>
          <w:szCs w:val="28"/>
        </w:rPr>
        <w:t xml:space="preserve">admission. </w:t>
      </w:r>
      <w:r w:rsidR="00D91F85" w:rsidRPr="002E721C">
        <w:rPr>
          <w:rFonts w:cs="Times New Roman"/>
          <w:sz w:val="28"/>
          <w:szCs w:val="28"/>
        </w:rPr>
        <w:t>Despite being t</w:t>
      </w:r>
      <w:r w:rsidR="004D4FD8" w:rsidRPr="002E721C">
        <w:rPr>
          <w:rFonts w:cs="Times New Roman"/>
          <w:sz w:val="28"/>
          <w:szCs w:val="28"/>
        </w:rPr>
        <w:t xml:space="preserve">he arbiter of the dispute, </w:t>
      </w:r>
      <w:r w:rsidR="00D91F85" w:rsidRPr="002E721C">
        <w:rPr>
          <w:rFonts w:cs="Times New Roman"/>
          <w:sz w:val="28"/>
          <w:szCs w:val="28"/>
        </w:rPr>
        <w:t xml:space="preserve">the court </w:t>
      </w:r>
      <w:r w:rsidR="004D4FD8" w:rsidRPr="002E721C">
        <w:rPr>
          <w:rFonts w:cs="Times New Roman"/>
          <w:sz w:val="28"/>
          <w:szCs w:val="28"/>
        </w:rPr>
        <w:t xml:space="preserve">may then not reject the expert’s opinion, even if it is </w:t>
      </w:r>
      <w:r w:rsidR="00EF7A32" w:rsidRPr="002E721C">
        <w:rPr>
          <w:rFonts w:cs="Times New Roman"/>
          <w:sz w:val="28"/>
          <w:szCs w:val="28"/>
        </w:rPr>
        <w:t xml:space="preserve">wholly </w:t>
      </w:r>
      <w:r w:rsidR="004D4FD8" w:rsidRPr="002E721C">
        <w:rPr>
          <w:rFonts w:cs="Times New Roman"/>
          <w:sz w:val="28"/>
          <w:szCs w:val="28"/>
        </w:rPr>
        <w:t>indefensible. S</w:t>
      </w:r>
      <w:r w:rsidR="00677CF4" w:rsidRPr="002E721C">
        <w:rPr>
          <w:rFonts w:cs="Times New Roman"/>
          <w:sz w:val="28"/>
          <w:szCs w:val="28"/>
        </w:rPr>
        <w:t xml:space="preserve">uch an approach is </w:t>
      </w:r>
      <w:r w:rsidR="00BA611B" w:rsidRPr="002E721C">
        <w:rPr>
          <w:rFonts w:cs="Times New Roman"/>
          <w:sz w:val="28"/>
          <w:szCs w:val="28"/>
        </w:rPr>
        <w:t>untenable</w:t>
      </w:r>
      <w:r w:rsidR="00EE789D" w:rsidRPr="002E721C">
        <w:rPr>
          <w:rFonts w:cs="Times New Roman"/>
          <w:sz w:val="28"/>
          <w:szCs w:val="28"/>
        </w:rPr>
        <w:t>, and at odds with the rule that experts have a principal and overriding duty to the court</w:t>
      </w:r>
      <w:r w:rsidR="008C7B0E" w:rsidRPr="002E721C">
        <w:rPr>
          <w:rFonts w:cs="Times New Roman"/>
          <w:sz w:val="28"/>
          <w:szCs w:val="28"/>
        </w:rPr>
        <w:t xml:space="preserve">, </w:t>
      </w:r>
      <w:r w:rsidR="00EE789D" w:rsidRPr="002E721C">
        <w:rPr>
          <w:rFonts w:cs="Times New Roman"/>
          <w:sz w:val="28"/>
          <w:szCs w:val="28"/>
        </w:rPr>
        <w:lastRenderedPageBreak/>
        <w:t>not to the party by whom they are retained</w:t>
      </w:r>
      <w:r w:rsidR="008C7B0E" w:rsidRPr="002E721C">
        <w:rPr>
          <w:rFonts w:cs="Times New Roman"/>
          <w:sz w:val="28"/>
          <w:szCs w:val="28"/>
        </w:rPr>
        <w:t xml:space="preserve">, </w:t>
      </w:r>
      <w:r w:rsidR="00691CC3" w:rsidRPr="002E721C">
        <w:rPr>
          <w:rFonts w:cs="Times New Roman"/>
          <w:sz w:val="28"/>
          <w:szCs w:val="28"/>
        </w:rPr>
        <w:t>to</w:t>
      </w:r>
      <w:r w:rsidR="008C7B0E" w:rsidRPr="002E721C">
        <w:rPr>
          <w:rFonts w:cs="Times New Roman"/>
          <w:sz w:val="28"/>
          <w:szCs w:val="28"/>
        </w:rPr>
        <w:t xml:space="preserve"> contribute to the just determination of disputes</w:t>
      </w:r>
      <w:r w:rsidR="00EE789D" w:rsidRPr="002E721C">
        <w:rPr>
          <w:rFonts w:cs="Times New Roman"/>
          <w:sz w:val="28"/>
          <w:szCs w:val="28"/>
        </w:rPr>
        <w:t>.</w:t>
      </w:r>
      <w:r w:rsidR="00EE789D">
        <w:rPr>
          <w:rStyle w:val="FootnoteReference"/>
          <w:rFonts w:cs="Times New Roman"/>
          <w:sz w:val="28"/>
          <w:szCs w:val="28"/>
        </w:rPr>
        <w:footnoteReference w:id="31"/>
      </w:r>
    </w:p>
    <w:p w14:paraId="2A76B306" w14:textId="77777777" w:rsidR="00B04DAE" w:rsidRDefault="00B04DAE" w:rsidP="00B04DAE">
      <w:pPr>
        <w:pStyle w:val="ListParagraph"/>
        <w:spacing w:after="0" w:line="360" w:lineRule="auto"/>
        <w:ind w:left="0"/>
        <w:jc w:val="both"/>
        <w:rPr>
          <w:rFonts w:cs="Times New Roman"/>
          <w:sz w:val="28"/>
          <w:szCs w:val="28"/>
        </w:rPr>
      </w:pPr>
    </w:p>
    <w:p w14:paraId="56848E1E" w14:textId="42E8864F" w:rsidR="00B04DAE" w:rsidRPr="002E721C" w:rsidRDefault="002E721C" w:rsidP="002E721C">
      <w:pPr>
        <w:spacing w:after="0" w:line="360" w:lineRule="auto"/>
        <w:jc w:val="both"/>
        <w:rPr>
          <w:rFonts w:cs="Times New Roman"/>
          <w:sz w:val="28"/>
          <w:szCs w:val="28"/>
        </w:rPr>
      </w:pPr>
      <w:r>
        <w:rPr>
          <w:rFonts w:cs="Times New Roman"/>
          <w:sz w:val="28"/>
          <w:szCs w:val="28"/>
        </w:rPr>
        <w:t>[27]</w:t>
      </w:r>
      <w:r>
        <w:rPr>
          <w:rFonts w:cs="Times New Roman"/>
          <w:sz w:val="28"/>
          <w:szCs w:val="28"/>
        </w:rPr>
        <w:tab/>
      </w:r>
      <w:r w:rsidR="00B04DAE" w:rsidRPr="002E721C">
        <w:rPr>
          <w:rFonts w:cs="Times New Roman"/>
          <w:sz w:val="28"/>
          <w:szCs w:val="28"/>
        </w:rPr>
        <w:t>In the result, the following order is issued:</w:t>
      </w:r>
    </w:p>
    <w:p w14:paraId="3FCC7BB1" w14:textId="33EF0E96" w:rsidR="00AE7FE6" w:rsidRPr="00AE7FE6" w:rsidRDefault="00AE7FE6" w:rsidP="00AE7FE6">
      <w:pPr>
        <w:shd w:val="clear" w:color="auto" w:fill="FFFFFF"/>
        <w:tabs>
          <w:tab w:val="left" w:pos="567"/>
        </w:tabs>
        <w:spacing w:after="120" w:line="360" w:lineRule="auto"/>
        <w:jc w:val="both"/>
        <w:rPr>
          <w:rFonts w:eastAsia="Times New Roman" w:cs="Times New Roman"/>
          <w:bCs/>
          <w:sz w:val="28"/>
          <w:szCs w:val="28"/>
          <w:lang w:val="en-US"/>
        </w:rPr>
      </w:pPr>
      <w:r w:rsidRPr="00AE7FE6">
        <w:rPr>
          <w:rFonts w:eastAsia="Times New Roman" w:cs="Times New Roman"/>
          <w:bCs/>
          <w:sz w:val="28"/>
          <w:szCs w:val="28"/>
          <w:lang w:val="en-US"/>
        </w:rPr>
        <w:t>1</w:t>
      </w:r>
      <w:r w:rsidRPr="00AE7FE6">
        <w:rPr>
          <w:rFonts w:eastAsia="Times New Roman" w:cs="Times New Roman"/>
          <w:bCs/>
          <w:sz w:val="28"/>
          <w:szCs w:val="28"/>
          <w:lang w:val="en-US"/>
        </w:rPr>
        <w:tab/>
        <w:t>The appeal is upheld with costs, including the costs of two counsel.</w:t>
      </w:r>
    </w:p>
    <w:p w14:paraId="22B21164" w14:textId="62AB16CD" w:rsidR="00AE7FE6" w:rsidRDefault="00AE7FE6" w:rsidP="00AE7FE6">
      <w:pPr>
        <w:shd w:val="clear" w:color="auto" w:fill="FFFFFF"/>
        <w:tabs>
          <w:tab w:val="left" w:pos="567"/>
        </w:tabs>
        <w:spacing w:after="120" w:line="360" w:lineRule="auto"/>
        <w:jc w:val="both"/>
        <w:rPr>
          <w:rFonts w:eastAsia="Times New Roman" w:cs="Times New Roman"/>
          <w:bCs/>
          <w:sz w:val="28"/>
          <w:szCs w:val="28"/>
          <w:lang w:val="en-US"/>
        </w:rPr>
      </w:pPr>
      <w:r w:rsidRPr="00AE7FE6">
        <w:rPr>
          <w:rFonts w:eastAsia="Times New Roman" w:cs="Times New Roman"/>
          <w:bCs/>
          <w:sz w:val="28"/>
          <w:szCs w:val="28"/>
          <w:lang w:val="en-US"/>
        </w:rPr>
        <w:t>2</w:t>
      </w:r>
      <w:r w:rsidRPr="00AE7FE6">
        <w:rPr>
          <w:rFonts w:eastAsia="Times New Roman" w:cs="Times New Roman"/>
          <w:bCs/>
          <w:sz w:val="28"/>
          <w:szCs w:val="28"/>
          <w:lang w:val="en-US"/>
        </w:rPr>
        <w:tab/>
        <w:t>The order of the high court is set aside and replaced by the following order:</w:t>
      </w:r>
    </w:p>
    <w:p w14:paraId="7EFAB58A" w14:textId="0408BDF2" w:rsidR="00DA1765" w:rsidRDefault="00DA1765" w:rsidP="00DA1765">
      <w:pPr>
        <w:shd w:val="clear" w:color="auto" w:fill="FFFFFF"/>
        <w:tabs>
          <w:tab w:val="left" w:pos="567"/>
        </w:tabs>
        <w:spacing w:after="120" w:line="360" w:lineRule="auto"/>
        <w:ind w:left="567" w:hanging="567"/>
        <w:jc w:val="both"/>
        <w:rPr>
          <w:rFonts w:eastAsia="Times New Roman" w:cs="Times New Roman"/>
          <w:bCs/>
          <w:sz w:val="28"/>
          <w:szCs w:val="28"/>
          <w:lang w:val="en-US"/>
        </w:rPr>
      </w:pPr>
      <w:r>
        <w:rPr>
          <w:rFonts w:eastAsia="Times New Roman" w:cs="Times New Roman"/>
          <w:bCs/>
          <w:sz w:val="28"/>
          <w:szCs w:val="28"/>
          <w:lang w:val="en-US"/>
        </w:rPr>
        <w:tab/>
        <w:t xml:space="preserve">‘The application for an order that the plaintiff is not entitled to adduce evidence in order to disprove the contents of Prof </w:t>
      </w:r>
      <w:proofErr w:type="spellStart"/>
      <w:r>
        <w:rPr>
          <w:rFonts w:eastAsia="Times New Roman" w:cs="Times New Roman"/>
          <w:bCs/>
          <w:sz w:val="28"/>
          <w:szCs w:val="28"/>
          <w:lang w:val="en-US"/>
        </w:rPr>
        <w:t>Lotz’s</w:t>
      </w:r>
      <w:proofErr w:type="spellEnd"/>
      <w:r>
        <w:rPr>
          <w:rFonts w:eastAsia="Times New Roman" w:cs="Times New Roman"/>
          <w:bCs/>
          <w:sz w:val="28"/>
          <w:szCs w:val="28"/>
          <w:lang w:val="en-US"/>
        </w:rPr>
        <w:t xml:space="preserve"> report dated 30 July 2015</w:t>
      </w:r>
      <w:r w:rsidR="00A76289">
        <w:rPr>
          <w:rFonts w:eastAsia="Times New Roman" w:cs="Times New Roman"/>
          <w:bCs/>
          <w:sz w:val="28"/>
          <w:szCs w:val="28"/>
          <w:lang w:val="en-US"/>
        </w:rPr>
        <w:t>,</w:t>
      </w:r>
      <w:r>
        <w:rPr>
          <w:rFonts w:eastAsia="Times New Roman" w:cs="Times New Roman"/>
          <w:bCs/>
          <w:sz w:val="28"/>
          <w:szCs w:val="28"/>
          <w:lang w:val="en-US"/>
        </w:rPr>
        <w:t xml:space="preserve"> and </w:t>
      </w:r>
      <w:proofErr w:type="spellStart"/>
      <w:r>
        <w:rPr>
          <w:rFonts w:eastAsia="Times New Roman" w:cs="Times New Roman"/>
          <w:bCs/>
          <w:sz w:val="28"/>
          <w:szCs w:val="28"/>
          <w:lang w:val="en-US"/>
        </w:rPr>
        <w:t>Dr</w:t>
      </w:r>
      <w:proofErr w:type="spellEnd"/>
      <w:r>
        <w:rPr>
          <w:rFonts w:eastAsia="Times New Roman" w:cs="Times New Roman"/>
          <w:bCs/>
          <w:sz w:val="28"/>
          <w:szCs w:val="28"/>
          <w:lang w:val="en-US"/>
        </w:rPr>
        <w:t xml:space="preserve"> </w:t>
      </w:r>
      <w:proofErr w:type="spellStart"/>
      <w:r>
        <w:rPr>
          <w:rFonts w:eastAsia="Times New Roman" w:cs="Times New Roman"/>
          <w:bCs/>
          <w:sz w:val="28"/>
          <w:szCs w:val="28"/>
          <w:lang w:val="en-US"/>
        </w:rPr>
        <w:t>Alheit’s</w:t>
      </w:r>
      <w:proofErr w:type="spellEnd"/>
      <w:r>
        <w:rPr>
          <w:rFonts w:eastAsia="Times New Roman" w:cs="Times New Roman"/>
          <w:bCs/>
          <w:sz w:val="28"/>
          <w:szCs w:val="28"/>
          <w:lang w:val="en-US"/>
        </w:rPr>
        <w:t xml:space="preserve"> report dated 27 July 2018, is dismissed with costs, including the costs of two counsel.’ </w:t>
      </w:r>
    </w:p>
    <w:p w14:paraId="58969661" w14:textId="77777777" w:rsidR="00DA1765" w:rsidRPr="00AE7FE6" w:rsidRDefault="00DA1765" w:rsidP="00AE7FE6">
      <w:pPr>
        <w:shd w:val="clear" w:color="auto" w:fill="FFFFFF"/>
        <w:tabs>
          <w:tab w:val="left" w:pos="567"/>
        </w:tabs>
        <w:spacing w:after="120" w:line="360" w:lineRule="auto"/>
        <w:jc w:val="both"/>
        <w:rPr>
          <w:rFonts w:eastAsia="Times New Roman" w:cs="Times New Roman"/>
          <w:bCs/>
          <w:sz w:val="28"/>
          <w:szCs w:val="28"/>
          <w:lang w:val="en-US"/>
        </w:rPr>
      </w:pPr>
    </w:p>
    <w:p w14:paraId="6BC55D5A" w14:textId="77777777" w:rsidR="002A4BF3" w:rsidRDefault="002A4BF3" w:rsidP="00C733F1">
      <w:pPr>
        <w:spacing w:after="0" w:line="360" w:lineRule="auto"/>
        <w:jc w:val="right"/>
        <w:rPr>
          <w:rFonts w:ascii="Arial" w:eastAsia="Times New Roman" w:hAnsi="Arial" w:cs="Arial"/>
          <w:sz w:val="24"/>
          <w:szCs w:val="24"/>
          <w:lang w:val="en-US" w:eastAsia="en-ZA"/>
        </w:rPr>
      </w:pPr>
    </w:p>
    <w:p w14:paraId="53DF4AC6" w14:textId="77777777" w:rsidR="002A4BF3" w:rsidRDefault="002A4BF3" w:rsidP="00C733F1">
      <w:pPr>
        <w:spacing w:after="0" w:line="360" w:lineRule="auto"/>
        <w:jc w:val="right"/>
        <w:rPr>
          <w:rFonts w:ascii="Arial" w:eastAsia="Times New Roman" w:hAnsi="Arial" w:cs="Arial"/>
          <w:sz w:val="24"/>
          <w:szCs w:val="24"/>
          <w:lang w:val="en-US" w:eastAsia="en-ZA"/>
        </w:rPr>
      </w:pPr>
    </w:p>
    <w:p w14:paraId="434C7DC4" w14:textId="77777777" w:rsidR="002A4BF3" w:rsidRDefault="002A4BF3" w:rsidP="00C733F1">
      <w:pPr>
        <w:spacing w:after="0" w:line="360" w:lineRule="auto"/>
        <w:jc w:val="right"/>
        <w:rPr>
          <w:rFonts w:ascii="Arial" w:eastAsia="Times New Roman" w:hAnsi="Arial" w:cs="Arial"/>
          <w:sz w:val="24"/>
          <w:szCs w:val="24"/>
          <w:lang w:val="en-US" w:eastAsia="en-ZA"/>
        </w:rPr>
      </w:pPr>
    </w:p>
    <w:p w14:paraId="386B2F0C" w14:textId="77777777" w:rsidR="002A4BF3" w:rsidRDefault="002A4BF3" w:rsidP="00C733F1">
      <w:pPr>
        <w:spacing w:after="0" w:line="360" w:lineRule="auto"/>
        <w:jc w:val="right"/>
        <w:rPr>
          <w:rFonts w:ascii="Arial" w:eastAsia="Times New Roman" w:hAnsi="Arial" w:cs="Arial"/>
          <w:sz w:val="24"/>
          <w:szCs w:val="24"/>
          <w:lang w:val="en-US" w:eastAsia="en-ZA"/>
        </w:rPr>
      </w:pPr>
    </w:p>
    <w:p w14:paraId="33D38514" w14:textId="0253AAD2" w:rsidR="00296845" w:rsidRPr="00970D60" w:rsidRDefault="002A4BF3" w:rsidP="00C733F1">
      <w:pPr>
        <w:spacing w:after="0" w:line="360" w:lineRule="auto"/>
        <w:jc w:val="right"/>
        <w:rPr>
          <w:rFonts w:ascii="Arial" w:eastAsia="Times New Roman" w:hAnsi="Arial" w:cs="Arial"/>
          <w:sz w:val="24"/>
          <w:szCs w:val="24"/>
          <w:lang w:val="en-US" w:eastAsia="en-ZA"/>
        </w:rPr>
      </w:pPr>
      <w:r>
        <w:rPr>
          <w:rFonts w:ascii="Arial" w:eastAsia="Times New Roman" w:hAnsi="Arial" w:cs="Arial"/>
          <w:sz w:val="24"/>
          <w:szCs w:val="24"/>
          <w:lang w:val="en-US" w:eastAsia="en-ZA"/>
        </w:rPr>
        <w:t>_______</w:t>
      </w:r>
      <w:r w:rsidR="00C733F1" w:rsidRPr="00970D60">
        <w:rPr>
          <w:rFonts w:ascii="Arial" w:eastAsia="Times New Roman" w:hAnsi="Arial" w:cs="Arial"/>
          <w:sz w:val="24"/>
          <w:szCs w:val="24"/>
          <w:lang w:val="en-US" w:eastAsia="en-ZA"/>
        </w:rPr>
        <w:t>___________</w:t>
      </w:r>
    </w:p>
    <w:p w14:paraId="54A525E8" w14:textId="77777777" w:rsidR="00296845" w:rsidRPr="00970D60" w:rsidRDefault="00296845" w:rsidP="00C733F1">
      <w:pPr>
        <w:spacing w:after="0" w:line="360" w:lineRule="auto"/>
        <w:jc w:val="right"/>
        <w:rPr>
          <w:rFonts w:eastAsia="Times New Roman" w:cs="Times New Roman"/>
          <w:bCs/>
          <w:sz w:val="28"/>
          <w:szCs w:val="28"/>
          <w:lang w:val="en-US" w:eastAsia="en-ZA"/>
        </w:rPr>
      </w:pPr>
      <w:r w:rsidRPr="00970D60">
        <w:rPr>
          <w:rFonts w:eastAsia="Times New Roman" w:cs="Times New Roman"/>
          <w:bCs/>
          <w:sz w:val="28"/>
          <w:szCs w:val="28"/>
          <w:lang w:val="en-US" w:eastAsia="en-ZA"/>
        </w:rPr>
        <w:t>A SCHIPPERS</w:t>
      </w:r>
    </w:p>
    <w:p w14:paraId="5EAC26B9" w14:textId="77777777" w:rsidR="00296845" w:rsidRPr="00970D60" w:rsidRDefault="00296845" w:rsidP="00C733F1">
      <w:pPr>
        <w:spacing w:after="0" w:line="360" w:lineRule="auto"/>
        <w:jc w:val="right"/>
        <w:rPr>
          <w:rFonts w:eastAsia="Times New Roman" w:cs="Times New Roman"/>
          <w:sz w:val="28"/>
          <w:szCs w:val="28"/>
          <w:lang w:val="en-US" w:eastAsia="en-ZA"/>
        </w:rPr>
      </w:pPr>
      <w:r w:rsidRPr="00970D60">
        <w:rPr>
          <w:rFonts w:eastAsia="Times New Roman" w:cs="Times New Roman"/>
          <w:sz w:val="28"/>
          <w:szCs w:val="28"/>
          <w:lang w:val="en-US" w:eastAsia="en-ZA"/>
        </w:rPr>
        <w:t>JUDGE OF APPEAL</w:t>
      </w:r>
    </w:p>
    <w:p w14:paraId="7657B099" w14:textId="77777777" w:rsidR="00AE7FE6" w:rsidRDefault="00AE7FE6" w:rsidP="00C90B17">
      <w:pPr>
        <w:spacing w:after="0" w:line="360" w:lineRule="auto"/>
        <w:jc w:val="both"/>
        <w:rPr>
          <w:rFonts w:eastAsia="Times New Roman" w:cs="Times New Roman"/>
          <w:sz w:val="28"/>
          <w:szCs w:val="28"/>
          <w:lang w:val="en-GB" w:eastAsia="en-GB"/>
        </w:rPr>
      </w:pPr>
    </w:p>
    <w:p w14:paraId="1463B370" w14:textId="77777777" w:rsidR="00AE7FE6" w:rsidRDefault="00AE7FE6" w:rsidP="00C90B17">
      <w:pPr>
        <w:spacing w:after="0" w:line="360" w:lineRule="auto"/>
        <w:jc w:val="both"/>
        <w:rPr>
          <w:rFonts w:eastAsia="Times New Roman" w:cs="Times New Roman"/>
          <w:sz w:val="28"/>
          <w:szCs w:val="28"/>
          <w:lang w:val="en-GB" w:eastAsia="en-GB"/>
        </w:rPr>
      </w:pPr>
    </w:p>
    <w:p w14:paraId="3EE5F89F" w14:textId="77777777" w:rsidR="00AE7FE6" w:rsidRDefault="00AE7FE6" w:rsidP="00C90B17">
      <w:pPr>
        <w:spacing w:after="0" w:line="360" w:lineRule="auto"/>
        <w:jc w:val="both"/>
        <w:rPr>
          <w:rFonts w:eastAsia="Times New Roman" w:cs="Times New Roman"/>
          <w:sz w:val="28"/>
          <w:szCs w:val="28"/>
          <w:lang w:val="en-GB" w:eastAsia="en-GB"/>
        </w:rPr>
      </w:pPr>
    </w:p>
    <w:p w14:paraId="38BDAD94" w14:textId="77777777" w:rsidR="00AE7FE6" w:rsidRDefault="00AE7FE6" w:rsidP="00C90B17">
      <w:pPr>
        <w:spacing w:after="0" w:line="360" w:lineRule="auto"/>
        <w:jc w:val="both"/>
        <w:rPr>
          <w:rFonts w:eastAsia="Times New Roman" w:cs="Times New Roman"/>
          <w:sz w:val="28"/>
          <w:szCs w:val="28"/>
          <w:lang w:val="en-GB" w:eastAsia="en-GB"/>
        </w:rPr>
      </w:pPr>
    </w:p>
    <w:p w14:paraId="2D5741DD" w14:textId="77777777" w:rsidR="00AE7FE6" w:rsidRDefault="00AE7FE6" w:rsidP="00C90B17">
      <w:pPr>
        <w:spacing w:after="0" w:line="360" w:lineRule="auto"/>
        <w:jc w:val="both"/>
        <w:rPr>
          <w:rFonts w:eastAsia="Times New Roman" w:cs="Times New Roman"/>
          <w:sz w:val="28"/>
          <w:szCs w:val="28"/>
          <w:lang w:val="en-GB" w:eastAsia="en-GB"/>
        </w:rPr>
      </w:pPr>
    </w:p>
    <w:p w14:paraId="3AC06FED" w14:textId="77777777" w:rsidR="00AE7FE6" w:rsidRDefault="00AE7FE6" w:rsidP="00C90B17">
      <w:pPr>
        <w:spacing w:after="0" w:line="360" w:lineRule="auto"/>
        <w:jc w:val="both"/>
        <w:rPr>
          <w:rFonts w:eastAsia="Times New Roman" w:cs="Times New Roman"/>
          <w:sz w:val="28"/>
          <w:szCs w:val="28"/>
          <w:lang w:val="en-GB" w:eastAsia="en-GB"/>
        </w:rPr>
      </w:pPr>
    </w:p>
    <w:p w14:paraId="466B68FA" w14:textId="77777777" w:rsidR="00AE7FE6" w:rsidRDefault="00AE7FE6" w:rsidP="00C90B17">
      <w:pPr>
        <w:spacing w:after="0" w:line="360" w:lineRule="auto"/>
        <w:jc w:val="both"/>
        <w:rPr>
          <w:rFonts w:eastAsia="Times New Roman" w:cs="Times New Roman"/>
          <w:sz w:val="28"/>
          <w:szCs w:val="28"/>
          <w:lang w:val="en-GB" w:eastAsia="en-GB"/>
        </w:rPr>
      </w:pPr>
    </w:p>
    <w:p w14:paraId="6247DA11" w14:textId="77777777" w:rsidR="00AE7FE6" w:rsidRDefault="00AE7FE6" w:rsidP="00C90B17">
      <w:pPr>
        <w:spacing w:after="0" w:line="360" w:lineRule="auto"/>
        <w:jc w:val="both"/>
        <w:rPr>
          <w:rFonts w:eastAsia="Times New Roman" w:cs="Times New Roman"/>
          <w:sz w:val="28"/>
          <w:szCs w:val="28"/>
          <w:lang w:val="en-GB" w:eastAsia="en-GB"/>
        </w:rPr>
      </w:pPr>
    </w:p>
    <w:p w14:paraId="6DCD2596" w14:textId="77777777" w:rsidR="00AE7FE6" w:rsidRDefault="00AE7FE6" w:rsidP="00C90B17">
      <w:pPr>
        <w:spacing w:after="0" w:line="360" w:lineRule="auto"/>
        <w:jc w:val="both"/>
        <w:rPr>
          <w:rFonts w:eastAsia="Times New Roman" w:cs="Times New Roman"/>
          <w:sz w:val="28"/>
          <w:szCs w:val="28"/>
          <w:lang w:val="en-GB" w:eastAsia="en-GB"/>
        </w:rPr>
      </w:pPr>
    </w:p>
    <w:p w14:paraId="4DF05BB4" w14:textId="77777777" w:rsidR="00AE7FE6" w:rsidRDefault="00AE7FE6" w:rsidP="00C90B17">
      <w:pPr>
        <w:spacing w:after="0" w:line="360" w:lineRule="auto"/>
        <w:jc w:val="both"/>
        <w:rPr>
          <w:rFonts w:eastAsia="Times New Roman" w:cs="Times New Roman"/>
          <w:sz w:val="28"/>
          <w:szCs w:val="28"/>
          <w:lang w:val="en-GB" w:eastAsia="en-GB"/>
        </w:rPr>
      </w:pPr>
    </w:p>
    <w:p w14:paraId="1424C024" w14:textId="77777777" w:rsidR="00AE7FE6" w:rsidRDefault="00AE7FE6" w:rsidP="00C90B17">
      <w:pPr>
        <w:spacing w:after="0" w:line="360" w:lineRule="auto"/>
        <w:jc w:val="both"/>
        <w:rPr>
          <w:rFonts w:eastAsia="Times New Roman" w:cs="Times New Roman"/>
          <w:sz w:val="28"/>
          <w:szCs w:val="28"/>
          <w:lang w:val="en-GB" w:eastAsia="en-GB"/>
        </w:rPr>
      </w:pPr>
    </w:p>
    <w:p w14:paraId="51868D6D" w14:textId="77777777" w:rsidR="00AE7FE6" w:rsidRDefault="00AE7FE6" w:rsidP="00C90B17">
      <w:pPr>
        <w:spacing w:after="0" w:line="360" w:lineRule="auto"/>
        <w:jc w:val="both"/>
        <w:rPr>
          <w:rFonts w:eastAsia="Times New Roman" w:cs="Times New Roman"/>
          <w:sz w:val="28"/>
          <w:szCs w:val="28"/>
          <w:lang w:val="en-GB" w:eastAsia="en-GB"/>
        </w:rPr>
      </w:pPr>
    </w:p>
    <w:p w14:paraId="6FDC3ACC" w14:textId="77777777" w:rsidR="00AE7FE6" w:rsidRDefault="00AE7FE6" w:rsidP="00C90B17">
      <w:pPr>
        <w:spacing w:after="0" w:line="360" w:lineRule="auto"/>
        <w:jc w:val="both"/>
        <w:rPr>
          <w:rFonts w:eastAsia="Times New Roman" w:cs="Times New Roman"/>
          <w:sz w:val="28"/>
          <w:szCs w:val="28"/>
          <w:lang w:val="en-GB" w:eastAsia="en-GB"/>
        </w:rPr>
      </w:pPr>
    </w:p>
    <w:p w14:paraId="7CD471E9" w14:textId="77777777" w:rsidR="00AE7FE6" w:rsidRDefault="00AE7FE6" w:rsidP="00C90B17">
      <w:pPr>
        <w:spacing w:after="0" w:line="360" w:lineRule="auto"/>
        <w:jc w:val="both"/>
        <w:rPr>
          <w:rFonts w:eastAsia="Times New Roman" w:cs="Times New Roman"/>
          <w:sz w:val="28"/>
          <w:szCs w:val="28"/>
          <w:lang w:val="en-GB" w:eastAsia="en-GB"/>
        </w:rPr>
      </w:pPr>
    </w:p>
    <w:p w14:paraId="52DDA826" w14:textId="77777777" w:rsidR="00AE7FE6" w:rsidRDefault="00AE7FE6" w:rsidP="00C90B17">
      <w:pPr>
        <w:spacing w:after="0" w:line="360" w:lineRule="auto"/>
        <w:jc w:val="both"/>
        <w:rPr>
          <w:rFonts w:eastAsia="Times New Roman" w:cs="Times New Roman"/>
          <w:sz w:val="28"/>
          <w:szCs w:val="28"/>
          <w:lang w:val="en-GB" w:eastAsia="en-GB"/>
        </w:rPr>
      </w:pPr>
    </w:p>
    <w:p w14:paraId="41A98C3C" w14:textId="77777777" w:rsidR="00AE7FE6" w:rsidRDefault="00AE7FE6" w:rsidP="00C90B17">
      <w:pPr>
        <w:spacing w:after="0" w:line="360" w:lineRule="auto"/>
        <w:jc w:val="both"/>
        <w:rPr>
          <w:rFonts w:eastAsia="Times New Roman" w:cs="Times New Roman"/>
          <w:sz w:val="28"/>
          <w:szCs w:val="28"/>
          <w:lang w:val="en-GB" w:eastAsia="en-GB"/>
        </w:rPr>
      </w:pPr>
    </w:p>
    <w:p w14:paraId="354DD01D" w14:textId="77777777" w:rsidR="00AE7FE6" w:rsidRDefault="00AE7FE6" w:rsidP="00C90B17">
      <w:pPr>
        <w:spacing w:after="0" w:line="360" w:lineRule="auto"/>
        <w:jc w:val="both"/>
        <w:rPr>
          <w:rFonts w:eastAsia="Times New Roman" w:cs="Times New Roman"/>
          <w:sz w:val="28"/>
          <w:szCs w:val="28"/>
          <w:lang w:val="en-GB" w:eastAsia="en-GB"/>
        </w:rPr>
      </w:pPr>
    </w:p>
    <w:p w14:paraId="637D4675" w14:textId="7D3A98E4" w:rsidR="00CA0DB8" w:rsidRPr="00970D60" w:rsidRDefault="008D6BB5" w:rsidP="00C90B17">
      <w:pPr>
        <w:spacing w:after="0" w:line="360" w:lineRule="auto"/>
        <w:jc w:val="both"/>
        <w:rPr>
          <w:rFonts w:eastAsia="Times New Roman" w:cs="Times New Roman"/>
          <w:sz w:val="28"/>
          <w:szCs w:val="28"/>
          <w:lang w:val="en-GB" w:eastAsia="en-ZA"/>
        </w:rPr>
      </w:pPr>
      <w:r>
        <w:rPr>
          <w:rFonts w:eastAsia="Times New Roman" w:cs="Times New Roman"/>
          <w:sz w:val="28"/>
          <w:szCs w:val="28"/>
          <w:lang w:val="en-GB" w:eastAsia="en-GB"/>
        </w:rPr>
        <w:t>A</w:t>
      </w:r>
      <w:r w:rsidR="00CA0DB8" w:rsidRPr="00970D60">
        <w:rPr>
          <w:rFonts w:eastAsia="Times New Roman" w:cs="Times New Roman"/>
          <w:sz w:val="28"/>
          <w:szCs w:val="28"/>
          <w:lang w:val="en-GB" w:eastAsia="en-GB"/>
        </w:rPr>
        <w:t>ppearances:</w:t>
      </w:r>
    </w:p>
    <w:p w14:paraId="5804D12A" w14:textId="77777777" w:rsidR="00CA0DB8" w:rsidRPr="00970D60" w:rsidRDefault="00CA0DB8" w:rsidP="00C90B17">
      <w:pPr>
        <w:spacing w:after="0" w:line="360" w:lineRule="auto"/>
        <w:jc w:val="both"/>
        <w:rPr>
          <w:rFonts w:eastAsia="Times New Roman" w:cs="Times New Roman"/>
          <w:sz w:val="28"/>
          <w:szCs w:val="28"/>
          <w:lang w:val="en-GB" w:eastAsia="en-GB"/>
        </w:rPr>
      </w:pPr>
    </w:p>
    <w:p w14:paraId="4BD93038" w14:textId="04EF520D"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4F6FA5">
        <w:rPr>
          <w:rFonts w:eastAsia="Times New Roman" w:cs="Times New Roman"/>
          <w:sz w:val="28"/>
          <w:szCs w:val="28"/>
          <w:lang w:val="en-GB" w:eastAsia="en-GB"/>
        </w:rPr>
        <w:t xml:space="preserve"> </w:t>
      </w:r>
      <w:r w:rsidR="003432BA" w:rsidRPr="00970D60">
        <w:rPr>
          <w:rFonts w:eastAsia="Times New Roman" w:cs="Times New Roman"/>
          <w:sz w:val="28"/>
          <w:szCs w:val="28"/>
          <w:lang w:val="en-GB" w:eastAsia="en-GB"/>
        </w:rPr>
        <w:t>appellant</w:t>
      </w:r>
      <w:r w:rsidRPr="00970D60">
        <w:rPr>
          <w:rFonts w:eastAsia="Times New Roman" w:cs="Times New Roman"/>
          <w:sz w:val="28"/>
          <w:szCs w:val="28"/>
          <w:lang w:val="en-GB" w:eastAsia="en-GB"/>
        </w:rPr>
        <w:t>:</w:t>
      </w:r>
      <w:r w:rsidR="000F06A2">
        <w:rPr>
          <w:rFonts w:eastAsia="Times New Roman" w:cs="Times New Roman"/>
          <w:sz w:val="28"/>
          <w:szCs w:val="28"/>
          <w:lang w:val="en-GB" w:eastAsia="en-GB"/>
        </w:rPr>
        <w:tab/>
      </w:r>
      <w:r w:rsidR="00A11D12">
        <w:rPr>
          <w:rFonts w:eastAsia="Times New Roman" w:cs="Times New Roman"/>
          <w:sz w:val="28"/>
          <w:szCs w:val="28"/>
          <w:lang w:val="en-GB" w:eastAsia="en-GB"/>
        </w:rPr>
        <w:tab/>
      </w:r>
      <w:r w:rsidR="00AE7FE6">
        <w:rPr>
          <w:rFonts w:cs="Times New Roman"/>
          <w:sz w:val="28"/>
          <w:szCs w:val="28"/>
        </w:rPr>
        <w:t>P</w:t>
      </w:r>
      <w:r w:rsidR="00F8257B">
        <w:rPr>
          <w:rFonts w:cs="Times New Roman"/>
          <w:sz w:val="28"/>
          <w:szCs w:val="28"/>
        </w:rPr>
        <w:t xml:space="preserve"> </w:t>
      </w:r>
      <w:r w:rsidR="00AE7FE6">
        <w:rPr>
          <w:rFonts w:cs="Times New Roman"/>
          <w:sz w:val="28"/>
          <w:szCs w:val="28"/>
        </w:rPr>
        <w:t>A</w:t>
      </w:r>
      <w:r w:rsidR="00F8257B">
        <w:rPr>
          <w:rFonts w:cs="Times New Roman"/>
          <w:sz w:val="28"/>
          <w:szCs w:val="28"/>
        </w:rPr>
        <w:t xml:space="preserve"> </w:t>
      </w:r>
      <w:r w:rsidR="00AE7FE6">
        <w:rPr>
          <w:rFonts w:cs="Times New Roman"/>
          <w:sz w:val="28"/>
          <w:szCs w:val="28"/>
        </w:rPr>
        <w:t>C Rowan SC and S</w:t>
      </w:r>
      <w:r w:rsidR="00F8257B">
        <w:rPr>
          <w:rFonts w:cs="Times New Roman"/>
          <w:sz w:val="28"/>
          <w:szCs w:val="28"/>
        </w:rPr>
        <w:t xml:space="preserve"> </w:t>
      </w:r>
      <w:r w:rsidR="00AE7FE6">
        <w:rPr>
          <w:rFonts w:cs="Times New Roman"/>
          <w:sz w:val="28"/>
          <w:szCs w:val="28"/>
        </w:rPr>
        <w:t xml:space="preserve">J </w:t>
      </w:r>
      <w:proofErr w:type="spellStart"/>
      <w:r w:rsidR="00AE7FE6">
        <w:rPr>
          <w:rFonts w:cs="Times New Roman"/>
          <w:sz w:val="28"/>
          <w:szCs w:val="28"/>
        </w:rPr>
        <w:t>Sephton</w:t>
      </w:r>
      <w:proofErr w:type="spellEnd"/>
    </w:p>
    <w:p w14:paraId="661BA6C3" w14:textId="091B6ADA" w:rsidR="00CA0DB8" w:rsidRPr="00970D60" w:rsidRDefault="00CA0DB8" w:rsidP="004F6FA5">
      <w:pPr>
        <w:spacing w:after="0" w:line="360" w:lineRule="auto"/>
        <w:ind w:left="2880" w:hanging="2880"/>
        <w:jc w:val="both"/>
        <w:rPr>
          <w:rFonts w:eastAsia="Times New Roman" w:cs="Times New Roman"/>
          <w:sz w:val="28"/>
          <w:szCs w:val="28"/>
          <w:lang w:eastAsia="en-GB"/>
        </w:rPr>
      </w:pPr>
      <w:r w:rsidRPr="00970D60">
        <w:rPr>
          <w:rFonts w:eastAsia="Times New Roman" w:cs="Times New Roman"/>
          <w:sz w:val="28"/>
          <w:szCs w:val="28"/>
          <w:lang w:eastAsia="en-GB"/>
        </w:rPr>
        <w:t>I</w:t>
      </w:r>
      <w:r w:rsidR="00CA1420" w:rsidRPr="00970D60">
        <w:rPr>
          <w:rFonts w:eastAsia="Times New Roman" w:cs="Times New Roman"/>
          <w:sz w:val="28"/>
          <w:szCs w:val="28"/>
          <w:lang w:eastAsia="en-GB"/>
        </w:rPr>
        <w:t>nstructed by:</w:t>
      </w:r>
      <w:r w:rsidR="00C733F1" w:rsidRPr="00970D60">
        <w:rPr>
          <w:rFonts w:eastAsia="Times New Roman" w:cs="Times New Roman"/>
          <w:sz w:val="28"/>
          <w:szCs w:val="28"/>
          <w:lang w:eastAsia="en-GB"/>
        </w:rPr>
        <w:tab/>
      </w:r>
      <w:r w:rsidR="00E4244C">
        <w:rPr>
          <w:rFonts w:eastAsia="Times New Roman" w:cs="Times New Roman"/>
          <w:sz w:val="28"/>
          <w:szCs w:val="28"/>
          <w:lang w:eastAsia="en-GB"/>
        </w:rPr>
        <w:t xml:space="preserve">Z Y M </w:t>
      </w:r>
      <w:proofErr w:type="spellStart"/>
      <w:r w:rsidR="00E4244C">
        <w:rPr>
          <w:rFonts w:eastAsia="Times New Roman" w:cs="Times New Roman"/>
          <w:sz w:val="28"/>
          <w:szCs w:val="28"/>
          <w:lang w:eastAsia="en-GB"/>
        </w:rPr>
        <w:t>Ndzabela</w:t>
      </w:r>
      <w:proofErr w:type="spellEnd"/>
      <w:r w:rsidR="00E4244C">
        <w:rPr>
          <w:rFonts w:eastAsia="Times New Roman" w:cs="Times New Roman"/>
          <w:sz w:val="28"/>
          <w:szCs w:val="28"/>
          <w:lang w:eastAsia="en-GB"/>
        </w:rPr>
        <w:t xml:space="preserve"> </w:t>
      </w:r>
      <w:r w:rsidR="007466D4">
        <w:rPr>
          <w:rFonts w:eastAsia="Times New Roman" w:cs="Times New Roman"/>
          <w:sz w:val="28"/>
          <w:szCs w:val="28"/>
          <w:lang w:eastAsia="en-GB"/>
        </w:rPr>
        <w:t xml:space="preserve">Incorporated, </w:t>
      </w:r>
      <w:r w:rsidR="00E4244C">
        <w:rPr>
          <w:rFonts w:eastAsia="Times New Roman" w:cs="Times New Roman"/>
          <w:sz w:val="28"/>
          <w:szCs w:val="28"/>
          <w:lang w:eastAsia="en-GB"/>
        </w:rPr>
        <w:t>Butterworth</w:t>
      </w:r>
    </w:p>
    <w:p w14:paraId="4DD97F8C" w14:textId="609EBDC4"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7A3DA8">
        <w:rPr>
          <w:rFonts w:eastAsia="Times New Roman" w:cs="Times New Roman"/>
          <w:sz w:val="28"/>
          <w:szCs w:val="28"/>
          <w:lang w:eastAsia="en-GB"/>
        </w:rPr>
        <w:tab/>
      </w:r>
      <w:proofErr w:type="spellStart"/>
      <w:r w:rsidR="00E4244C">
        <w:rPr>
          <w:rFonts w:eastAsia="Times New Roman" w:cs="Times New Roman"/>
          <w:sz w:val="28"/>
          <w:szCs w:val="28"/>
          <w:lang w:eastAsia="en-GB"/>
        </w:rPr>
        <w:t>Matsepes</w:t>
      </w:r>
      <w:proofErr w:type="spellEnd"/>
      <w:r w:rsidR="00E4244C">
        <w:rPr>
          <w:rFonts w:eastAsia="Times New Roman" w:cs="Times New Roman"/>
          <w:sz w:val="28"/>
          <w:szCs w:val="28"/>
          <w:lang w:eastAsia="en-GB"/>
        </w:rPr>
        <w:t xml:space="preserve"> Incorporated</w:t>
      </w:r>
      <w:r w:rsidR="00CA0DB8" w:rsidRPr="00970D60">
        <w:rPr>
          <w:rFonts w:eastAsia="Times New Roman" w:cs="Times New Roman"/>
          <w:sz w:val="28"/>
          <w:szCs w:val="28"/>
          <w:lang w:eastAsia="en-GB"/>
        </w:rPr>
        <w:t>, Bloemfontein</w:t>
      </w:r>
    </w:p>
    <w:p w14:paraId="2BFF0F9A" w14:textId="77777777"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 xml:space="preserve">                                     </w:t>
      </w:r>
    </w:p>
    <w:p w14:paraId="73065671" w14:textId="5DC4C62D" w:rsidR="00A11D12" w:rsidRPr="00A11D12" w:rsidRDefault="00CA0DB8" w:rsidP="00A11D12">
      <w:pPr>
        <w:spacing w:after="0" w:line="360" w:lineRule="auto"/>
        <w:contextualSpacing/>
        <w:jc w:val="both"/>
        <w:rPr>
          <w:rFonts w:cs="Times New Roman"/>
          <w:sz w:val="24"/>
          <w:szCs w:val="24"/>
        </w:rPr>
      </w:pPr>
      <w:r w:rsidRPr="00970D60">
        <w:rPr>
          <w:rFonts w:eastAsia="Times New Roman" w:cs="Times New Roman"/>
          <w:sz w:val="28"/>
          <w:szCs w:val="28"/>
          <w:lang w:val="en-GB" w:eastAsia="en-GB"/>
        </w:rPr>
        <w:t>For</w:t>
      </w:r>
      <w:r w:rsidR="00E46F15">
        <w:rPr>
          <w:rFonts w:eastAsia="Times New Roman" w:cs="Times New Roman"/>
          <w:sz w:val="28"/>
          <w:szCs w:val="28"/>
          <w:lang w:val="en-GB" w:eastAsia="en-GB"/>
        </w:rPr>
        <w:t xml:space="preserve"> </w:t>
      </w:r>
      <w:r w:rsidR="00296845" w:rsidRPr="00970D60">
        <w:rPr>
          <w:rFonts w:eastAsia="Times New Roman" w:cs="Times New Roman"/>
          <w:sz w:val="28"/>
          <w:szCs w:val="28"/>
          <w:lang w:val="en-GB" w:eastAsia="en-GB"/>
        </w:rPr>
        <w:t>r</w:t>
      </w:r>
      <w:r w:rsidRPr="00970D60">
        <w:rPr>
          <w:rFonts w:eastAsia="Times New Roman" w:cs="Times New Roman"/>
          <w:sz w:val="28"/>
          <w:szCs w:val="28"/>
          <w:lang w:val="en-GB" w:eastAsia="en-GB"/>
        </w:rPr>
        <w:t>espondent:</w:t>
      </w:r>
      <w:r w:rsidR="00E46F15">
        <w:rPr>
          <w:rFonts w:eastAsia="Times New Roman" w:cs="Times New Roman"/>
          <w:sz w:val="28"/>
          <w:szCs w:val="28"/>
          <w:lang w:val="en-GB" w:eastAsia="en-GB"/>
        </w:rPr>
        <w:tab/>
      </w:r>
      <w:r w:rsidR="0070681F">
        <w:rPr>
          <w:rFonts w:eastAsia="Times New Roman" w:cs="Times New Roman"/>
          <w:sz w:val="28"/>
          <w:szCs w:val="28"/>
          <w:lang w:val="en-GB" w:eastAsia="en-GB"/>
        </w:rPr>
        <w:t xml:space="preserve"> </w:t>
      </w:r>
      <w:r w:rsidR="0070681F">
        <w:rPr>
          <w:rFonts w:eastAsia="Times New Roman" w:cs="Times New Roman"/>
          <w:sz w:val="28"/>
          <w:szCs w:val="28"/>
          <w:lang w:val="en-GB" w:eastAsia="en-GB"/>
        </w:rPr>
        <w:tab/>
      </w:r>
      <w:r w:rsidR="00AE7FE6">
        <w:rPr>
          <w:rFonts w:cs="Times New Roman"/>
          <w:sz w:val="28"/>
          <w:szCs w:val="28"/>
        </w:rPr>
        <w:t>P</w:t>
      </w:r>
      <w:r w:rsidR="00F8257B">
        <w:rPr>
          <w:rFonts w:cs="Times New Roman"/>
          <w:sz w:val="28"/>
          <w:szCs w:val="28"/>
        </w:rPr>
        <w:t xml:space="preserve"> </w:t>
      </w:r>
      <w:r w:rsidR="00AE7FE6">
        <w:rPr>
          <w:rFonts w:cs="Times New Roman"/>
          <w:sz w:val="28"/>
          <w:szCs w:val="28"/>
        </w:rPr>
        <w:t xml:space="preserve">J De </w:t>
      </w:r>
      <w:proofErr w:type="spellStart"/>
      <w:r w:rsidR="00AE7FE6">
        <w:rPr>
          <w:rFonts w:cs="Times New Roman"/>
          <w:sz w:val="28"/>
          <w:szCs w:val="28"/>
        </w:rPr>
        <w:t>Bruyn</w:t>
      </w:r>
      <w:proofErr w:type="spellEnd"/>
      <w:r w:rsidR="00AE7FE6">
        <w:rPr>
          <w:rFonts w:cs="Times New Roman"/>
          <w:sz w:val="28"/>
          <w:szCs w:val="28"/>
        </w:rPr>
        <w:t xml:space="preserve"> SC and S </w:t>
      </w:r>
      <w:proofErr w:type="spellStart"/>
      <w:r w:rsidR="00AE7FE6">
        <w:rPr>
          <w:rFonts w:cs="Times New Roman"/>
          <w:sz w:val="28"/>
          <w:szCs w:val="28"/>
        </w:rPr>
        <w:t>Gagela</w:t>
      </w:r>
      <w:proofErr w:type="spellEnd"/>
    </w:p>
    <w:p w14:paraId="552F228A" w14:textId="3F5C669A" w:rsidR="00CA0DB8" w:rsidRPr="00970D60" w:rsidRDefault="00CA0DB8"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val="en-GB" w:eastAsia="en-GB"/>
        </w:rPr>
        <w:t>Instructed by:</w:t>
      </w:r>
      <w:r w:rsidRPr="00970D60">
        <w:rPr>
          <w:rFonts w:eastAsia="Times New Roman" w:cs="Times New Roman"/>
          <w:sz w:val="28"/>
          <w:szCs w:val="28"/>
          <w:lang w:val="en-GB" w:eastAsia="en-GB"/>
        </w:rPr>
        <w:tab/>
      </w:r>
      <w:r w:rsidR="00E46F15">
        <w:rPr>
          <w:rFonts w:eastAsia="Times New Roman" w:cs="Times New Roman"/>
          <w:sz w:val="28"/>
          <w:szCs w:val="28"/>
          <w:lang w:val="en-GB" w:eastAsia="en-GB"/>
        </w:rPr>
        <w:tab/>
      </w:r>
      <w:r w:rsidR="00E4244C">
        <w:rPr>
          <w:rFonts w:eastAsia="Times New Roman" w:cs="Times New Roman"/>
          <w:sz w:val="28"/>
          <w:szCs w:val="28"/>
          <w:lang w:eastAsia="en-GB"/>
        </w:rPr>
        <w:t xml:space="preserve">The State Attorney, </w:t>
      </w:r>
      <w:proofErr w:type="spellStart"/>
      <w:r w:rsidR="00E4244C">
        <w:rPr>
          <w:rFonts w:eastAsia="Times New Roman" w:cs="Times New Roman"/>
          <w:sz w:val="28"/>
          <w:szCs w:val="28"/>
          <w:lang w:eastAsia="en-GB"/>
        </w:rPr>
        <w:t>Mthatha</w:t>
      </w:r>
      <w:proofErr w:type="spellEnd"/>
    </w:p>
    <w:p w14:paraId="0C4CDAC8" w14:textId="086FC554" w:rsidR="00CA0DB8" w:rsidRDefault="00C733F1" w:rsidP="00C90B17">
      <w:pPr>
        <w:spacing w:after="0" w:line="360" w:lineRule="auto"/>
        <w:jc w:val="both"/>
        <w:rPr>
          <w:rFonts w:eastAsia="Times New Roman" w:cs="Times New Roman"/>
          <w:sz w:val="28"/>
          <w:szCs w:val="28"/>
          <w:lang w:eastAsia="en-GB"/>
        </w:rPr>
      </w:pPr>
      <w:r w:rsidRPr="00970D60">
        <w:rPr>
          <w:rFonts w:eastAsia="Times New Roman" w:cs="Times New Roman"/>
          <w:sz w:val="28"/>
          <w:szCs w:val="28"/>
          <w:lang w:eastAsia="en-GB"/>
        </w:rPr>
        <w:tab/>
      </w:r>
      <w:r w:rsidRPr="00970D60">
        <w:rPr>
          <w:rFonts w:eastAsia="Times New Roman" w:cs="Times New Roman"/>
          <w:sz w:val="28"/>
          <w:szCs w:val="28"/>
          <w:lang w:eastAsia="en-GB"/>
        </w:rPr>
        <w:tab/>
      </w:r>
      <w:r w:rsidRPr="00970D60">
        <w:rPr>
          <w:rFonts w:eastAsia="Times New Roman" w:cs="Times New Roman"/>
          <w:sz w:val="28"/>
          <w:szCs w:val="28"/>
          <w:lang w:eastAsia="en-GB"/>
        </w:rPr>
        <w:tab/>
      </w:r>
      <w:r w:rsidR="00E46F15">
        <w:rPr>
          <w:rFonts w:eastAsia="Times New Roman" w:cs="Times New Roman"/>
          <w:sz w:val="28"/>
          <w:szCs w:val="28"/>
          <w:lang w:eastAsia="en-GB"/>
        </w:rPr>
        <w:t xml:space="preserve"> </w:t>
      </w:r>
      <w:r w:rsidR="00E46F15">
        <w:rPr>
          <w:rFonts w:eastAsia="Times New Roman" w:cs="Times New Roman"/>
          <w:sz w:val="28"/>
          <w:szCs w:val="28"/>
          <w:lang w:eastAsia="en-GB"/>
        </w:rPr>
        <w:tab/>
      </w:r>
      <w:r w:rsidR="00E4244C">
        <w:rPr>
          <w:rFonts w:eastAsia="Times New Roman" w:cs="Times New Roman"/>
          <w:sz w:val="28"/>
          <w:szCs w:val="28"/>
          <w:lang w:eastAsia="en-GB"/>
        </w:rPr>
        <w:t>The State Attorney</w:t>
      </w:r>
      <w:r w:rsidR="001959BD">
        <w:rPr>
          <w:rFonts w:eastAsia="Times New Roman" w:cs="Times New Roman"/>
          <w:sz w:val="28"/>
          <w:szCs w:val="28"/>
          <w:lang w:eastAsia="en-GB"/>
        </w:rPr>
        <w:t>,</w:t>
      </w:r>
      <w:r w:rsidR="00CA0DB8" w:rsidRPr="00970D60">
        <w:rPr>
          <w:rFonts w:eastAsia="Times New Roman" w:cs="Times New Roman"/>
          <w:sz w:val="28"/>
          <w:szCs w:val="28"/>
          <w:lang w:eastAsia="en-GB"/>
        </w:rPr>
        <w:t xml:space="preserve"> Bloemfo</w:t>
      </w:r>
      <w:r w:rsidR="001959BD">
        <w:rPr>
          <w:rFonts w:eastAsia="Times New Roman" w:cs="Times New Roman"/>
          <w:sz w:val="28"/>
          <w:szCs w:val="28"/>
          <w:lang w:eastAsia="en-GB"/>
        </w:rPr>
        <w:t>n</w:t>
      </w:r>
      <w:r w:rsidR="00CA0DB8" w:rsidRPr="00970D60">
        <w:rPr>
          <w:rFonts w:eastAsia="Times New Roman" w:cs="Times New Roman"/>
          <w:sz w:val="28"/>
          <w:szCs w:val="28"/>
          <w:lang w:eastAsia="en-GB"/>
        </w:rPr>
        <w:t>tein</w:t>
      </w:r>
    </w:p>
    <w:p w14:paraId="7B71EB8A" w14:textId="77777777" w:rsidR="00003FE0" w:rsidRDefault="00003FE0" w:rsidP="00C90B17">
      <w:pPr>
        <w:spacing w:after="0" w:line="360" w:lineRule="auto"/>
        <w:jc w:val="both"/>
        <w:rPr>
          <w:rFonts w:eastAsia="Times New Roman" w:cs="Times New Roman"/>
          <w:sz w:val="28"/>
          <w:szCs w:val="28"/>
          <w:lang w:eastAsia="en-GB"/>
        </w:rPr>
      </w:pPr>
    </w:p>
    <w:sectPr w:rsidR="00003FE0" w:rsidSect="00B761BD">
      <w:headerReference w:type="default" r:id="rId9"/>
      <w:footerReference w:type="default" r:id="rId10"/>
      <w:pgSz w:w="11906" w:h="16838"/>
      <w:pgMar w:top="1276" w:right="1440" w:bottom="1418"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7E39" w16cex:dateUtc="2023-03-27T18:42:00Z"/>
  <w16cex:commentExtensible w16cex:durableId="27CC7E97" w16cex:dateUtc="2023-03-27T18:44:00Z"/>
  <w16cex:commentExtensible w16cex:durableId="27CC80F7" w16cex:dateUtc="2023-03-27T18:54:00Z"/>
  <w16cex:commentExtensible w16cex:durableId="27CC825C" w16cex:dateUtc="2023-03-27T19:00:00Z"/>
  <w16cex:commentExtensible w16cex:durableId="27CC8373" w16cex:dateUtc="2023-03-27T1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034604" w16cid:durableId="27CC7E39"/>
  <w16cid:commentId w16cid:paraId="5DD90A74" w16cid:durableId="27CC7E97"/>
  <w16cid:commentId w16cid:paraId="47D087B3" w16cid:durableId="27CC80F7"/>
  <w16cid:commentId w16cid:paraId="639286A8" w16cid:durableId="27CC825C"/>
  <w16cid:commentId w16cid:paraId="39DE8142" w16cid:durableId="27CC837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222A" w14:textId="77777777" w:rsidR="00857514" w:rsidRDefault="00857514" w:rsidP="005F2683">
      <w:pPr>
        <w:spacing w:after="0" w:line="240" w:lineRule="auto"/>
      </w:pPr>
      <w:r>
        <w:separator/>
      </w:r>
    </w:p>
  </w:endnote>
  <w:endnote w:type="continuationSeparator" w:id="0">
    <w:p w14:paraId="4065A757" w14:textId="77777777" w:rsidR="00857514" w:rsidRDefault="00857514" w:rsidP="005F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9FF4" w14:textId="77777777" w:rsidR="005359CC" w:rsidRDefault="005359CC" w:rsidP="005F2683">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72D6" w14:textId="77777777" w:rsidR="00857514" w:rsidRDefault="00857514" w:rsidP="005F2683">
      <w:pPr>
        <w:spacing w:after="0" w:line="240" w:lineRule="auto"/>
      </w:pPr>
      <w:r>
        <w:separator/>
      </w:r>
    </w:p>
  </w:footnote>
  <w:footnote w:type="continuationSeparator" w:id="0">
    <w:p w14:paraId="5BD37AE7" w14:textId="77777777" w:rsidR="00857514" w:rsidRDefault="00857514" w:rsidP="005F2683">
      <w:pPr>
        <w:spacing w:after="0" w:line="240" w:lineRule="auto"/>
      </w:pPr>
      <w:r>
        <w:continuationSeparator/>
      </w:r>
    </w:p>
  </w:footnote>
  <w:footnote w:id="1">
    <w:p w14:paraId="0B0C2943" w14:textId="2810F645" w:rsidR="005359CC" w:rsidRPr="00184CF6" w:rsidRDefault="005359CC">
      <w:pPr>
        <w:pStyle w:val="FootnoteText"/>
      </w:pPr>
      <w:r w:rsidRPr="00184CF6">
        <w:rPr>
          <w:rStyle w:val="FootnoteReference"/>
        </w:rPr>
        <w:footnoteRef/>
      </w:r>
      <w:r w:rsidRPr="00184CF6">
        <w:t xml:space="preserve"> The plaintiff also claimed compensation for injuries suffered in</w:t>
      </w:r>
      <w:r w:rsidR="003326AB" w:rsidRPr="00184CF6">
        <w:t xml:space="preserve"> her</w:t>
      </w:r>
      <w:r w:rsidRPr="00184CF6">
        <w:t xml:space="preserve"> personal capacity.</w:t>
      </w:r>
    </w:p>
  </w:footnote>
  <w:footnote w:id="2">
    <w:p w14:paraId="5ACCC269" w14:textId="77777777" w:rsidR="005359CC" w:rsidRPr="00184CF6" w:rsidRDefault="005359CC" w:rsidP="00537811">
      <w:pPr>
        <w:pStyle w:val="FootnoteText"/>
      </w:pPr>
      <w:r w:rsidRPr="00184CF6">
        <w:rPr>
          <w:rStyle w:val="FootnoteReference"/>
        </w:rPr>
        <w:footnoteRef/>
      </w:r>
      <w:r w:rsidRPr="00184CF6">
        <w:t xml:space="preserve"> Section 28(2) of the Constitution provides:</w:t>
      </w:r>
    </w:p>
    <w:p w14:paraId="7C4B0C9C" w14:textId="77777777" w:rsidR="005359CC" w:rsidRPr="00184CF6" w:rsidRDefault="005359CC" w:rsidP="00537811">
      <w:pPr>
        <w:pStyle w:val="FootnoteText"/>
      </w:pPr>
      <w:r w:rsidRPr="00184CF6">
        <w:t>‘A child's best interests are of paramount importance in every matter concerning the child.’</w:t>
      </w:r>
    </w:p>
  </w:footnote>
  <w:footnote w:id="3">
    <w:p w14:paraId="0701DE8E" w14:textId="401117AC" w:rsidR="005359CC" w:rsidRPr="00184CF6" w:rsidRDefault="005359CC">
      <w:pPr>
        <w:pStyle w:val="FootnoteText"/>
      </w:pPr>
      <w:r w:rsidRPr="00184CF6">
        <w:rPr>
          <w:rStyle w:val="FootnoteReference"/>
        </w:rPr>
        <w:footnoteRef/>
      </w:r>
      <w:r w:rsidRPr="00184CF6">
        <w:t xml:space="preserve"> Emphasis in the original.</w:t>
      </w:r>
    </w:p>
  </w:footnote>
  <w:footnote w:id="4">
    <w:p w14:paraId="7CC5CA50" w14:textId="6DEC3630" w:rsidR="005359CC" w:rsidRPr="00184CF6" w:rsidRDefault="005359CC">
      <w:pPr>
        <w:pStyle w:val="FootnoteText"/>
      </w:pPr>
      <w:r w:rsidRPr="00184CF6">
        <w:rPr>
          <w:rStyle w:val="FootnoteReference"/>
        </w:rPr>
        <w:footnoteRef/>
      </w:r>
      <w:r w:rsidRPr="00184CF6">
        <w:t xml:space="preserve"> Emphasis in the original.</w:t>
      </w:r>
    </w:p>
  </w:footnote>
  <w:footnote w:id="5">
    <w:p w14:paraId="2915226F" w14:textId="57D136B9" w:rsidR="005359CC" w:rsidRPr="00184CF6" w:rsidRDefault="005359CC" w:rsidP="00BA04C2">
      <w:pPr>
        <w:pStyle w:val="FootnoteText"/>
        <w:jc w:val="both"/>
      </w:pPr>
      <w:r w:rsidRPr="00184CF6">
        <w:rPr>
          <w:rStyle w:val="FootnoteReference"/>
        </w:rPr>
        <w:footnoteRef/>
      </w:r>
      <w:r w:rsidRPr="00184CF6">
        <w:t xml:space="preserve"> </w:t>
      </w:r>
      <w:r w:rsidRPr="00184CF6">
        <w:rPr>
          <w:i/>
        </w:rPr>
        <w:t>M obo M v Member of the Executive Council for Health, Eastern Cape</w:t>
      </w:r>
      <w:r w:rsidRPr="00184CF6">
        <w:t xml:space="preserve"> [2017] ZAECMHC 6; </w:t>
      </w:r>
      <w:proofErr w:type="spellStart"/>
      <w:r w:rsidRPr="00184CF6">
        <w:rPr>
          <w:i/>
        </w:rPr>
        <w:t>Magqeya</w:t>
      </w:r>
      <w:proofErr w:type="spellEnd"/>
      <w:r w:rsidRPr="00184CF6">
        <w:rPr>
          <w:i/>
        </w:rPr>
        <w:t xml:space="preserve"> v MEC for Health, Eastern Cape</w:t>
      </w:r>
      <w:r w:rsidRPr="00184CF6">
        <w:t xml:space="preserve"> [2018] ZASCA 141; </w:t>
      </w:r>
      <w:r w:rsidRPr="00184CF6">
        <w:rPr>
          <w:i/>
        </w:rPr>
        <w:t xml:space="preserve">AN v MEC for Health, Eastern Cape </w:t>
      </w:r>
      <w:r w:rsidRPr="00184CF6">
        <w:t xml:space="preserve">[2019] ZASCA 102; </w:t>
      </w:r>
      <w:r w:rsidRPr="00184CF6">
        <w:rPr>
          <w:i/>
        </w:rPr>
        <w:t xml:space="preserve">The Member of the Executive Council for Health, Eastern Cape v </w:t>
      </w:r>
      <w:proofErr w:type="spellStart"/>
      <w:r w:rsidRPr="00184CF6">
        <w:rPr>
          <w:i/>
        </w:rPr>
        <w:t>Zimbini</w:t>
      </w:r>
      <w:proofErr w:type="spellEnd"/>
      <w:r w:rsidRPr="00184CF6">
        <w:rPr>
          <w:i/>
        </w:rPr>
        <w:t xml:space="preserve"> </w:t>
      </w:r>
      <w:proofErr w:type="spellStart"/>
      <w:r w:rsidRPr="00184CF6">
        <w:rPr>
          <w:i/>
        </w:rPr>
        <w:t>Mpetsheni</w:t>
      </w:r>
      <w:proofErr w:type="spellEnd"/>
      <w:r w:rsidRPr="00184CF6">
        <w:rPr>
          <w:i/>
        </w:rPr>
        <w:t xml:space="preserve"> oho </w:t>
      </w:r>
      <w:proofErr w:type="spellStart"/>
      <w:r w:rsidRPr="00184CF6">
        <w:rPr>
          <w:i/>
        </w:rPr>
        <w:t>Luyanda</w:t>
      </w:r>
      <w:proofErr w:type="spellEnd"/>
      <w:r w:rsidRPr="00184CF6">
        <w:rPr>
          <w:i/>
        </w:rPr>
        <w:t xml:space="preserve"> </w:t>
      </w:r>
      <w:proofErr w:type="spellStart"/>
      <w:r w:rsidRPr="00184CF6">
        <w:rPr>
          <w:i/>
        </w:rPr>
        <w:t>Mpetsheni</w:t>
      </w:r>
      <w:proofErr w:type="spellEnd"/>
      <w:r w:rsidRPr="00184CF6">
        <w:t xml:space="preserve"> [2020] ZASCA 169; </w:t>
      </w:r>
      <w:r w:rsidRPr="00184CF6">
        <w:rPr>
          <w:i/>
        </w:rPr>
        <w:t>The Member of the Executive Council for Health, Eastern Cape v DL obo AL</w:t>
      </w:r>
      <w:r w:rsidRPr="00184CF6">
        <w:t xml:space="preserve"> [2021] ZASCA 68.</w:t>
      </w:r>
    </w:p>
    <w:p w14:paraId="00F5313A" w14:textId="6F111DC0" w:rsidR="005359CC" w:rsidRPr="00184CF6" w:rsidRDefault="005359CC">
      <w:pPr>
        <w:pStyle w:val="FootnoteText"/>
      </w:pPr>
    </w:p>
  </w:footnote>
  <w:footnote w:id="6">
    <w:p w14:paraId="2625CCC3" w14:textId="2A5DF19E" w:rsidR="005359CC" w:rsidRPr="00184CF6" w:rsidRDefault="005359CC" w:rsidP="00CF35BC">
      <w:pPr>
        <w:pStyle w:val="FootnoteText"/>
        <w:jc w:val="both"/>
      </w:pPr>
      <w:r w:rsidRPr="00184CF6">
        <w:rPr>
          <w:rStyle w:val="FootnoteReference"/>
        </w:rPr>
        <w:footnoteRef/>
      </w:r>
      <w:r w:rsidRPr="00184CF6">
        <w:t xml:space="preserve"> </w:t>
      </w:r>
      <w:proofErr w:type="spellStart"/>
      <w:r w:rsidRPr="00184CF6">
        <w:rPr>
          <w:i/>
        </w:rPr>
        <w:t>Zweni</w:t>
      </w:r>
      <w:proofErr w:type="spellEnd"/>
      <w:r w:rsidRPr="00184CF6">
        <w:rPr>
          <w:i/>
        </w:rPr>
        <w:t xml:space="preserve"> v Minister of Law and </w:t>
      </w:r>
      <w:r w:rsidR="002959F3" w:rsidRPr="00184CF6">
        <w:rPr>
          <w:i/>
        </w:rPr>
        <w:t>O</w:t>
      </w:r>
      <w:r w:rsidRPr="00184CF6">
        <w:rPr>
          <w:i/>
        </w:rPr>
        <w:t xml:space="preserve">rder </w:t>
      </w:r>
      <w:r w:rsidR="002959F3" w:rsidRPr="00184CF6">
        <w:t>1993 (</w:t>
      </w:r>
      <w:r w:rsidRPr="00184CF6">
        <w:t>1</w:t>
      </w:r>
      <w:r w:rsidR="002959F3" w:rsidRPr="00184CF6">
        <w:t>)</w:t>
      </w:r>
      <w:r w:rsidRPr="00184CF6">
        <w:t xml:space="preserve"> SA 523 (A) at 532I-J. Although this case was decided under the now repealed Supreme Court Act 59 of 1959, the position is no different under the Superior Courts Act 10 of 2013. See </w:t>
      </w:r>
      <w:r w:rsidRPr="00184CF6">
        <w:rPr>
          <w:i/>
        </w:rPr>
        <w:t xml:space="preserve">DRDGOLD Limited and Another v </w:t>
      </w:r>
      <w:proofErr w:type="spellStart"/>
      <w:r w:rsidRPr="00184CF6">
        <w:rPr>
          <w:i/>
        </w:rPr>
        <w:t>Nkala</w:t>
      </w:r>
      <w:proofErr w:type="spellEnd"/>
      <w:r w:rsidRPr="00184CF6">
        <w:rPr>
          <w:i/>
        </w:rPr>
        <w:t xml:space="preserve"> and Others</w:t>
      </w:r>
      <w:r w:rsidRPr="00184CF6">
        <w:t xml:space="preserve"> [2023] ZASCA 9 and the authorities collected in para 27. </w:t>
      </w:r>
    </w:p>
  </w:footnote>
  <w:footnote w:id="7">
    <w:p w14:paraId="4691631D" w14:textId="73E4504E" w:rsidR="005359CC" w:rsidRPr="00184CF6" w:rsidRDefault="005359CC" w:rsidP="00CF35BC">
      <w:pPr>
        <w:pStyle w:val="FootnoteText"/>
        <w:jc w:val="both"/>
      </w:pPr>
      <w:r w:rsidRPr="00184CF6">
        <w:rPr>
          <w:rStyle w:val="FootnoteReference"/>
        </w:rPr>
        <w:footnoteRef/>
      </w:r>
      <w:r w:rsidRPr="00184CF6">
        <w:t xml:space="preserve"> </w:t>
      </w:r>
      <w:proofErr w:type="spellStart"/>
      <w:r w:rsidRPr="00184CF6">
        <w:rPr>
          <w:i/>
        </w:rPr>
        <w:t>Moch</w:t>
      </w:r>
      <w:proofErr w:type="spellEnd"/>
      <w:r w:rsidRPr="00184CF6">
        <w:rPr>
          <w:i/>
        </w:rPr>
        <w:t xml:space="preserve"> v </w:t>
      </w:r>
      <w:proofErr w:type="spellStart"/>
      <w:r w:rsidRPr="00184CF6">
        <w:rPr>
          <w:i/>
        </w:rPr>
        <w:t>Nedtravel</w:t>
      </w:r>
      <w:proofErr w:type="spellEnd"/>
      <w:r w:rsidRPr="00184CF6">
        <w:rPr>
          <w:i/>
        </w:rPr>
        <w:t xml:space="preserve"> (Pty) Ltd t/a American Express </w:t>
      </w:r>
      <w:r w:rsidR="00497735" w:rsidRPr="00184CF6">
        <w:rPr>
          <w:i/>
        </w:rPr>
        <w:t>T</w:t>
      </w:r>
      <w:r w:rsidRPr="00184CF6">
        <w:rPr>
          <w:i/>
        </w:rPr>
        <w:t xml:space="preserve">ravel </w:t>
      </w:r>
      <w:r w:rsidR="00497735" w:rsidRPr="00184CF6">
        <w:rPr>
          <w:i/>
        </w:rPr>
        <w:t>S</w:t>
      </w:r>
      <w:r w:rsidRPr="00184CF6">
        <w:rPr>
          <w:i/>
        </w:rPr>
        <w:t>ervice</w:t>
      </w:r>
      <w:r w:rsidRPr="00184CF6">
        <w:t xml:space="preserve"> 1986 (3) SA 1 (</w:t>
      </w:r>
      <w:r w:rsidR="005C6C57" w:rsidRPr="00184CF6">
        <w:t>A</w:t>
      </w:r>
      <w:r w:rsidRPr="00184CF6">
        <w:t xml:space="preserve">) at 10F; </w:t>
      </w:r>
      <w:r w:rsidRPr="00184CF6">
        <w:rPr>
          <w:i/>
        </w:rPr>
        <w:t xml:space="preserve">Phillips v SA Reserve Bank </w:t>
      </w:r>
      <w:r w:rsidRPr="00184CF6">
        <w:t>2013 (6) SA 450 (SCA) para … 457D-E.</w:t>
      </w:r>
    </w:p>
  </w:footnote>
  <w:footnote w:id="8">
    <w:p w14:paraId="6A62D51A" w14:textId="04DB7455" w:rsidR="005359CC" w:rsidRPr="00184CF6" w:rsidRDefault="005359CC" w:rsidP="00CF35BC">
      <w:pPr>
        <w:pStyle w:val="FootnoteText"/>
        <w:jc w:val="both"/>
      </w:pPr>
      <w:r w:rsidRPr="00184CF6">
        <w:rPr>
          <w:rStyle w:val="FootnoteReference"/>
        </w:rPr>
        <w:footnoteRef/>
      </w:r>
      <w:r w:rsidRPr="00184CF6">
        <w:t xml:space="preserve"> </w:t>
      </w:r>
      <w:r w:rsidRPr="00184CF6">
        <w:rPr>
          <w:i/>
        </w:rPr>
        <w:t xml:space="preserve">Health </w:t>
      </w:r>
      <w:r w:rsidR="00191F1F" w:rsidRPr="00184CF6">
        <w:rPr>
          <w:i/>
        </w:rPr>
        <w:t>P</w:t>
      </w:r>
      <w:r w:rsidRPr="00184CF6">
        <w:rPr>
          <w:i/>
        </w:rPr>
        <w:t xml:space="preserve">rofessions Council of South Africa and </w:t>
      </w:r>
      <w:r w:rsidR="002959F3" w:rsidRPr="00184CF6">
        <w:rPr>
          <w:i/>
        </w:rPr>
        <w:t>A</w:t>
      </w:r>
      <w:r w:rsidRPr="00184CF6">
        <w:rPr>
          <w:i/>
        </w:rPr>
        <w:t xml:space="preserve">nother v </w:t>
      </w:r>
      <w:r w:rsidR="002959F3" w:rsidRPr="00184CF6">
        <w:rPr>
          <w:i/>
        </w:rPr>
        <w:t>E</w:t>
      </w:r>
      <w:r w:rsidRPr="00184CF6">
        <w:rPr>
          <w:i/>
        </w:rPr>
        <w:t xml:space="preserve">mergency </w:t>
      </w:r>
      <w:r w:rsidR="002959F3" w:rsidRPr="00184CF6">
        <w:rPr>
          <w:i/>
        </w:rPr>
        <w:t>M</w:t>
      </w:r>
      <w:r w:rsidRPr="00184CF6">
        <w:rPr>
          <w:i/>
        </w:rPr>
        <w:t xml:space="preserve">edical </w:t>
      </w:r>
      <w:r w:rsidR="002959F3" w:rsidRPr="00184CF6">
        <w:rPr>
          <w:i/>
        </w:rPr>
        <w:t>S</w:t>
      </w:r>
      <w:r w:rsidRPr="00184CF6">
        <w:rPr>
          <w:i/>
        </w:rPr>
        <w:t xml:space="preserve">upplies and </w:t>
      </w:r>
      <w:r w:rsidR="002959F3" w:rsidRPr="00184CF6">
        <w:rPr>
          <w:i/>
        </w:rPr>
        <w:t>T</w:t>
      </w:r>
      <w:r w:rsidRPr="00184CF6">
        <w:rPr>
          <w:i/>
        </w:rPr>
        <w:t xml:space="preserve">raining CC t/a EMS </w:t>
      </w:r>
      <w:r w:rsidR="00191F1F" w:rsidRPr="00184CF6">
        <w:rPr>
          <w:iCs/>
        </w:rPr>
        <w:t xml:space="preserve">[2010] ZASCA 65; </w:t>
      </w:r>
      <w:r w:rsidRPr="00184CF6">
        <w:t xml:space="preserve">2010 (6) SA </w:t>
      </w:r>
      <w:r w:rsidR="00191F1F" w:rsidRPr="00184CF6">
        <w:t>4</w:t>
      </w:r>
      <w:r w:rsidRPr="00184CF6">
        <w:t>69 (SCA) para 19.</w:t>
      </w:r>
    </w:p>
  </w:footnote>
  <w:footnote w:id="9">
    <w:p w14:paraId="1492EE02" w14:textId="0C385064" w:rsidR="005359CC" w:rsidRPr="00184CF6" w:rsidRDefault="005359CC" w:rsidP="00CF35BC">
      <w:pPr>
        <w:pStyle w:val="FootnoteText"/>
        <w:jc w:val="both"/>
      </w:pPr>
      <w:r w:rsidRPr="00184CF6">
        <w:rPr>
          <w:rStyle w:val="FootnoteReference"/>
        </w:rPr>
        <w:footnoteRef/>
      </w:r>
      <w:r w:rsidRPr="00184CF6">
        <w:t xml:space="preserve"> </w:t>
      </w:r>
      <w:r w:rsidRPr="00184CF6">
        <w:rPr>
          <w:i/>
        </w:rPr>
        <w:t xml:space="preserve">Government of the Republic of South Africa and </w:t>
      </w:r>
      <w:r w:rsidR="002959F3" w:rsidRPr="00184CF6">
        <w:rPr>
          <w:i/>
        </w:rPr>
        <w:t>O</w:t>
      </w:r>
      <w:r w:rsidRPr="00184CF6">
        <w:rPr>
          <w:i/>
        </w:rPr>
        <w:t>thers v Von Abo</w:t>
      </w:r>
      <w:r w:rsidRPr="00184CF6">
        <w:t xml:space="preserve"> </w:t>
      </w:r>
      <w:r w:rsidR="00191F1F" w:rsidRPr="00184CF6">
        <w:t xml:space="preserve">[2011] ZASCA 65; </w:t>
      </w:r>
      <w:r w:rsidRPr="00184CF6">
        <w:t>2011 (5) SA 262 (SCA) para 17.</w:t>
      </w:r>
    </w:p>
  </w:footnote>
  <w:footnote w:id="10">
    <w:p w14:paraId="5DDE6CBB" w14:textId="64A88AD1" w:rsidR="005359CC" w:rsidRPr="00184CF6" w:rsidRDefault="005359CC" w:rsidP="00CF35BC">
      <w:pPr>
        <w:pStyle w:val="FootnoteText"/>
        <w:jc w:val="both"/>
      </w:pPr>
      <w:r w:rsidRPr="00184CF6">
        <w:rPr>
          <w:rStyle w:val="FootnoteReference"/>
        </w:rPr>
        <w:footnoteRef/>
      </w:r>
      <w:r w:rsidR="00382E77" w:rsidRPr="00184CF6">
        <w:rPr>
          <w:i/>
        </w:rPr>
        <w:t xml:space="preserve"> </w:t>
      </w:r>
      <w:r w:rsidRPr="00184CF6">
        <w:rPr>
          <w:i/>
        </w:rPr>
        <w:t xml:space="preserve">National </w:t>
      </w:r>
      <w:r w:rsidR="002959F3" w:rsidRPr="00184CF6">
        <w:rPr>
          <w:i/>
        </w:rPr>
        <w:t>D</w:t>
      </w:r>
      <w:r w:rsidRPr="00184CF6">
        <w:rPr>
          <w:i/>
        </w:rPr>
        <w:t xml:space="preserve">irector of </w:t>
      </w:r>
      <w:r w:rsidR="002959F3" w:rsidRPr="00184CF6">
        <w:rPr>
          <w:i/>
        </w:rPr>
        <w:t>P</w:t>
      </w:r>
      <w:r w:rsidRPr="00184CF6">
        <w:rPr>
          <w:i/>
        </w:rPr>
        <w:t xml:space="preserve">ublic </w:t>
      </w:r>
      <w:r w:rsidR="002959F3" w:rsidRPr="00184CF6">
        <w:rPr>
          <w:i/>
        </w:rPr>
        <w:t>P</w:t>
      </w:r>
      <w:r w:rsidRPr="00184CF6">
        <w:rPr>
          <w:i/>
        </w:rPr>
        <w:t>rosecutions v King</w:t>
      </w:r>
      <w:r w:rsidRPr="00184CF6">
        <w:t xml:space="preserve"> </w:t>
      </w:r>
      <w:r w:rsidR="00382E77" w:rsidRPr="00184CF6">
        <w:t xml:space="preserve">[2010] ZASCA 8; </w:t>
      </w:r>
      <w:r w:rsidRPr="00184CF6">
        <w:t>2010 (2) SACR 146 (SCA); 2010 (7) BCL</w:t>
      </w:r>
      <w:r w:rsidR="00382E77" w:rsidRPr="00184CF6">
        <w:t>R</w:t>
      </w:r>
      <w:r w:rsidRPr="00184CF6">
        <w:t xml:space="preserve"> 656. </w:t>
      </w:r>
    </w:p>
  </w:footnote>
  <w:footnote w:id="11">
    <w:p w14:paraId="27C90A4B" w14:textId="16A0DDED" w:rsidR="00382E77" w:rsidRPr="00184CF6" w:rsidRDefault="00382E77">
      <w:pPr>
        <w:pStyle w:val="FootnoteText"/>
      </w:pPr>
      <w:r w:rsidRPr="00184CF6">
        <w:rPr>
          <w:rStyle w:val="FootnoteReference"/>
        </w:rPr>
        <w:footnoteRef/>
      </w:r>
      <w:r w:rsidRPr="00184CF6">
        <w:t xml:space="preserve"> Ibid para 50.</w:t>
      </w:r>
    </w:p>
  </w:footnote>
  <w:footnote w:id="12">
    <w:p w14:paraId="33D44E8C" w14:textId="438700FB" w:rsidR="00CF35BC" w:rsidRPr="00184CF6" w:rsidRDefault="005359CC" w:rsidP="00382E77">
      <w:pPr>
        <w:pStyle w:val="FootnoteText"/>
      </w:pPr>
      <w:r w:rsidRPr="00184CF6">
        <w:rPr>
          <w:rStyle w:val="FootnoteReference"/>
        </w:rPr>
        <w:footnoteRef/>
      </w:r>
      <w:r w:rsidRPr="00184CF6">
        <w:t xml:space="preserve"> </w:t>
      </w:r>
      <w:r w:rsidR="00382E77" w:rsidRPr="00184CF6">
        <w:t xml:space="preserve">See </w:t>
      </w:r>
      <w:proofErr w:type="spellStart"/>
      <w:r w:rsidR="00382E77" w:rsidRPr="00184CF6">
        <w:t>f</w:t>
      </w:r>
      <w:r w:rsidR="0055638D" w:rsidRPr="00184CF6">
        <w:t>n</w:t>
      </w:r>
      <w:proofErr w:type="spellEnd"/>
      <w:r w:rsidR="00382E77" w:rsidRPr="00184CF6">
        <w:t xml:space="preserve"> 2.</w:t>
      </w:r>
    </w:p>
  </w:footnote>
  <w:footnote w:id="13">
    <w:p w14:paraId="4816005D" w14:textId="5B8CB544" w:rsidR="005359CC" w:rsidRPr="00184CF6" w:rsidRDefault="005359CC" w:rsidP="007E5F13">
      <w:pPr>
        <w:pStyle w:val="FootnoteText"/>
        <w:jc w:val="both"/>
      </w:pPr>
      <w:r w:rsidRPr="00184CF6">
        <w:rPr>
          <w:rStyle w:val="FootnoteReference"/>
        </w:rPr>
        <w:footnoteRef/>
      </w:r>
      <w:r w:rsidRPr="00184CF6">
        <w:t xml:space="preserve"> </w:t>
      </w:r>
      <w:r w:rsidRPr="00184CF6">
        <w:rPr>
          <w:i/>
        </w:rPr>
        <w:t>HAL obo MML v MEC for Health, Free State</w:t>
      </w:r>
      <w:r w:rsidRPr="00184CF6">
        <w:t xml:space="preserve"> </w:t>
      </w:r>
      <w:r w:rsidR="00675F63" w:rsidRPr="00184CF6">
        <w:t xml:space="preserve">[2021] </w:t>
      </w:r>
      <w:r w:rsidRPr="00184CF6">
        <w:t>ZASCA 149</w:t>
      </w:r>
      <w:r w:rsidR="00AE1E92" w:rsidRPr="00184CF6">
        <w:t xml:space="preserve"> (</w:t>
      </w:r>
      <w:r w:rsidR="00AE1E92" w:rsidRPr="00184CF6">
        <w:rPr>
          <w:i/>
          <w:iCs/>
        </w:rPr>
        <w:t>HAL</w:t>
      </w:r>
      <w:r w:rsidR="00AE1E92" w:rsidRPr="00184CF6">
        <w:t>)</w:t>
      </w:r>
      <w:r w:rsidRPr="00184CF6">
        <w:t xml:space="preserve"> para 22</w:t>
      </w:r>
      <w:r w:rsidR="00675F63" w:rsidRPr="00184CF6">
        <w:t>6</w:t>
      </w:r>
      <w:r w:rsidRPr="00184CF6">
        <w:t xml:space="preserve">, citing with approval </w:t>
      </w:r>
      <w:r w:rsidRPr="00184CF6">
        <w:rPr>
          <w:i/>
        </w:rPr>
        <w:t>Huntley v Simmons</w:t>
      </w:r>
      <w:r w:rsidRPr="00184CF6">
        <w:t xml:space="preserve"> [2010] EWCA </w:t>
      </w:r>
      <w:proofErr w:type="spellStart"/>
      <w:r w:rsidRPr="00184CF6">
        <w:t>Civ</w:t>
      </w:r>
      <w:proofErr w:type="spellEnd"/>
      <w:r w:rsidRPr="00184CF6">
        <w:t xml:space="preserve"> 54 para 9.</w:t>
      </w:r>
    </w:p>
  </w:footnote>
  <w:footnote w:id="14">
    <w:p w14:paraId="37A4F196" w14:textId="52D6D8FF" w:rsidR="005359CC" w:rsidRPr="00184CF6" w:rsidRDefault="005359CC" w:rsidP="006544A8">
      <w:pPr>
        <w:pStyle w:val="FootnoteText"/>
      </w:pPr>
      <w:r w:rsidRPr="00184CF6">
        <w:rPr>
          <w:rStyle w:val="FootnoteReference"/>
        </w:rPr>
        <w:footnoteRef/>
      </w:r>
      <w:r w:rsidRPr="00184CF6">
        <w:t xml:space="preserve"> </w:t>
      </w:r>
      <w:r w:rsidR="00675F63" w:rsidRPr="00184CF6">
        <w:rPr>
          <w:iCs/>
        </w:rPr>
        <w:t>Ibid.</w:t>
      </w:r>
    </w:p>
  </w:footnote>
  <w:footnote w:id="15">
    <w:p w14:paraId="55754C12" w14:textId="1FBE2E86" w:rsidR="005359CC" w:rsidRPr="00184CF6" w:rsidRDefault="005359CC" w:rsidP="00BD2F41">
      <w:pPr>
        <w:pStyle w:val="FootnoteText"/>
        <w:jc w:val="both"/>
      </w:pPr>
      <w:r w:rsidRPr="00184CF6">
        <w:rPr>
          <w:rStyle w:val="FootnoteReference"/>
        </w:rPr>
        <w:footnoteRef/>
      </w:r>
      <w:r w:rsidR="00BD2F41" w:rsidRPr="00184CF6">
        <w:t xml:space="preserve"> 18</w:t>
      </w:r>
      <w:r w:rsidRPr="00184CF6">
        <w:t xml:space="preserve"> </w:t>
      </w:r>
      <w:r w:rsidRPr="00184CF6">
        <w:rPr>
          <w:i/>
        </w:rPr>
        <w:t>LAWSA</w:t>
      </w:r>
      <w:r w:rsidRPr="00184CF6">
        <w:t xml:space="preserve"> 3 </w:t>
      </w:r>
      <w:proofErr w:type="spellStart"/>
      <w:r w:rsidRPr="00184CF6">
        <w:t>ed</w:t>
      </w:r>
      <w:proofErr w:type="spellEnd"/>
      <w:r w:rsidRPr="00184CF6">
        <w:t xml:space="preserve"> para 157; C</w:t>
      </w:r>
      <w:r w:rsidR="00675F63" w:rsidRPr="00184CF6">
        <w:t xml:space="preserve"> </w:t>
      </w:r>
      <w:r w:rsidRPr="00184CF6">
        <w:t>W</w:t>
      </w:r>
      <w:r w:rsidR="00675F63" w:rsidRPr="00184CF6">
        <w:t xml:space="preserve"> </w:t>
      </w:r>
      <w:r w:rsidRPr="00184CF6">
        <w:t xml:space="preserve">H Schmidt and H </w:t>
      </w:r>
      <w:proofErr w:type="spellStart"/>
      <w:r w:rsidRPr="00184CF6">
        <w:t>Rademeyer</w:t>
      </w:r>
      <w:proofErr w:type="spellEnd"/>
      <w:r w:rsidRPr="00184CF6">
        <w:t xml:space="preserve"> </w:t>
      </w:r>
      <w:proofErr w:type="spellStart"/>
      <w:r w:rsidRPr="00184CF6">
        <w:rPr>
          <w:i/>
        </w:rPr>
        <w:t>Bewysreg</w:t>
      </w:r>
      <w:proofErr w:type="spellEnd"/>
      <w:r w:rsidRPr="00184CF6">
        <w:rPr>
          <w:i/>
        </w:rPr>
        <w:t xml:space="preserve"> </w:t>
      </w:r>
      <w:r w:rsidRPr="00184CF6">
        <w:t>4</w:t>
      </w:r>
      <w:r w:rsidR="00675F63" w:rsidRPr="00184CF6">
        <w:t xml:space="preserve"> </w:t>
      </w:r>
      <w:proofErr w:type="spellStart"/>
      <w:r w:rsidR="00675F63" w:rsidRPr="00184CF6">
        <w:t>ed</w:t>
      </w:r>
      <w:proofErr w:type="spellEnd"/>
      <w:r w:rsidR="00367A39" w:rsidRPr="00184CF6">
        <w:t xml:space="preserve"> </w:t>
      </w:r>
      <w:r w:rsidR="00675F63" w:rsidRPr="00184CF6">
        <w:t>(</w:t>
      </w:r>
      <w:r w:rsidR="00367A39" w:rsidRPr="00184CF6">
        <w:t>2000</w:t>
      </w:r>
      <w:r w:rsidR="00675F63" w:rsidRPr="00184CF6">
        <w:t>) at</w:t>
      </w:r>
      <w:r w:rsidRPr="00184CF6">
        <w:t xml:space="preserve"> 204</w:t>
      </w:r>
      <w:r w:rsidR="00BD4782" w:rsidRPr="00184CF6">
        <w:t xml:space="preserve"> (</w:t>
      </w:r>
      <w:proofErr w:type="spellStart"/>
      <w:r w:rsidR="00BD4782" w:rsidRPr="00184CF6">
        <w:rPr>
          <w:i/>
          <w:iCs/>
        </w:rPr>
        <w:t>Bewysreg</w:t>
      </w:r>
      <w:proofErr w:type="spellEnd"/>
      <w:r w:rsidR="00BD4782" w:rsidRPr="00184CF6">
        <w:t>)</w:t>
      </w:r>
      <w:r w:rsidRPr="00184CF6">
        <w:t xml:space="preserve">; </w:t>
      </w:r>
      <w:r w:rsidRPr="00184CF6">
        <w:rPr>
          <w:i/>
          <w:iCs/>
        </w:rPr>
        <w:t>Law of Evidence</w:t>
      </w:r>
      <w:r w:rsidRPr="00184CF6">
        <w:t xml:space="preserve"> Lexis </w:t>
      </w:r>
      <w:proofErr w:type="spellStart"/>
      <w:r w:rsidRPr="00184CF6">
        <w:t>Nexis</w:t>
      </w:r>
      <w:proofErr w:type="spellEnd"/>
      <w:r w:rsidRPr="00184CF6">
        <w:t xml:space="preserve"> 3 </w:t>
      </w:r>
      <w:proofErr w:type="spellStart"/>
      <w:r w:rsidRPr="00184CF6">
        <w:t>ed</w:t>
      </w:r>
      <w:proofErr w:type="spellEnd"/>
      <w:r w:rsidR="004B3FD2" w:rsidRPr="00184CF6">
        <w:t xml:space="preserve"> 1-7.</w:t>
      </w:r>
    </w:p>
  </w:footnote>
  <w:footnote w:id="16">
    <w:p w14:paraId="5848359B" w14:textId="731B9B3C" w:rsidR="00D60B14" w:rsidRPr="00184CF6" w:rsidRDefault="00D60B14" w:rsidP="00BD2F41">
      <w:pPr>
        <w:pStyle w:val="FootnoteText"/>
        <w:jc w:val="both"/>
      </w:pPr>
      <w:r w:rsidRPr="00184CF6">
        <w:rPr>
          <w:rStyle w:val="FootnoteReference"/>
        </w:rPr>
        <w:footnoteRef/>
      </w:r>
      <w:r w:rsidRPr="00184CF6">
        <w:t xml:space="preserve"> </w:t>
      </w:r>
      <w:r w:rsidR="00BD2C82" w:rsidRPr="00184CF6">
        <w:rPr>
          <w:i/>
          <w:iCs/>
        </w:rPr>
        <w:t>Principles of Evidence</w:t>
      </w:r>
      <w:r w:rsidR="00537CFD" w:rsidRPr="00184CF6">
        <w:t xml:space="preserve"> at</w:t>
      </w:r>
      <w:r w:rsidRPr="00184CF6">
        <w:t xml:space="preserve"> 507 para 26.4</w:t>
      </w:r>
      <w:r w:rsidR="00537CFD" w:rsidRPr="00184CF6">
        <w:t>.</w:t>
      </w:r>
    </w:p>
  </w:footnote>
  <w:footnote w:id="17">
    <w:p w14:paraId="433830DB" w14:textId="77777777" w:rsidR="002972EF" w:rsidRPr="00184CF6" w:rsidRDefault="002972EF" w:rsidP="002972EF">
      <w:pPr>
        <w:pStyle w:val="FootnoteText"/>
        <w:jc w:val="both"/>
      </w:pPr>
      <w:r w:rsidRPr="00184CF6">
        <w:rPr>
          <w:rStyle w:val="FootnoteReference"/>
        </w:rPr>
        <w:footnoteRef/>
      </w:r>
      <w:r w:rsidRPr="00184CF6">
        <w:t xml:space="preserve"> Hoffman and </w:t>
      </w:r>
      <w:proofErr w:type="spellStart"/>
      <w:r w:rsidRPr="00184CF6">
        <w:t>Zeffert</w:t>
      </w:r>
      <w:proofErr w:type="spellEnd"/>
      <w:r w:rsidRPr="00184CF6">
        <w:t xml:space="preserve"> </w:t>
      </w:r>
      <w:r w:rsidRPr="00184CF6">
        <w:rPr>
          <w:i/>
          <w:iCs/>
        </w:rPr>
        <w:t>The South African Law of Evidence</w:t>
      </w:r>
      <w:r w:rsidRPr="00184CF6">
        <w:t xml:space="preserve"> 3 </w:t>
      </w:r>
      <w:proofErr w:type="spellStart"/>
      <w:r w:rsidRPr="00184CF6">
        <w:t>ed</w:t>
      </w:r>
      <w:proofErr w:type="spellEnd"/>
      <w:r w:rsidRPr="00184CF6">
        <w:t xml:space="preserve"> at 1066 (</w:t>
      </w:r>
      <w:r w:rsidRPr="00184CF6">
        <w:rPr>
          <w:i/>
          <w:iCs/>
        </w:rPr>
        <w:t>The South African Law of Evidence</w:t>
      </w:r>
      <w:r w:rsidRPr="00184CF6">
        <w:t xml:space="preserve">); P J </w:t>
      </w:r>
      <w:proofErr w:type="spellStart"/>
      <w:r w:rsidRPr="00184CF6">
        <w:t>Schwikkard</w:t>
      </w:r>
      <w:proofErr w:type="spellEnd"/>
      <w:r w:rsidRPr="00184CF6">
        <w:t xml:space="preserve"> and S E Van der Merwe </w:t>
      </w:r>
      <w:r w:rsidRPr="00184CF6">
        <w:rPr>
          <w:i/>
          <w:iCs/>
        </w:rPr>
        <w:t xml:space="preserve">Principles of Evidence </w:t>
      </w:r>
      <w:r w:rsidRPr="00184CF6">
        <w:t xml:space="preserve">4 </w:t>
      </w:r>
      <w:proofErr w:type="spellStart"/>
      <w:r w:rsidRPr="00184CF6">
        <w:t>ed</w:t>
      </w:r>
      <w:proofErr w:type="spellEnd"/>
      <w:r w:rsidRPr="00184CF6">
        <w:t xml:space="preserve"> (2015) at 507 para 26.4.  </w:t>
      </w:r>
    </w:p>
  </w:footnote>
  <w:footnote w:id="18">
    <w:p w14:paraId="7FCF45FB" w14:textId="51BC1E48" w:rsidR="00FE0F94" w:rsidRPr="00184CF6" w:rsidRDefault="00FE0F94" w:rsidP="00BD2F41">
      <w:pPr>
        <w:pStyle w:val="FootnoteText"/>
        <w:jc w:val="both"/>
      </w:pPr>
      <w:r w:rsidRPr="00184CF6">
        <w:rPr>
          <w:rStyle w:val="FootnoteReference"/>
        </w:rPr>
        <w:footnoteRef/>
      </w:r>
      <w:r w:rsidRPr="00184CF6">
        <w:t xml:space="preserve"> </w:t>
      </w:r>
      <w:r w:rsidR="00BD4782" w:rsidRPr="00184CF6">
        <w:t>Ibid</w:t>
      </w:r>
      <w:r w:rsidR="00BD2C82" w:rsidRPr="00184CF6" w:rsidDel="00BD2C82">
        <w:t xml:space="preserve"> </w:t>
      </w:r>
      <w:r w:rsidRPr="00184CF6">
        <w:t>at 506 para 26</w:t>
      </w:r>
      <w:r w:rsidR="00BD2C82" w:rsidRPr="00184CF6">
        <w:t>.</w:t>
      </w:r>
      <w:r w:rsidRPr="00184CF6">
        <w:t>2</w:t>
      </w:r>
      <w:r w:rsidR="00BD2C82" w:rsidRPr="00184CF6">
        <w:t>.</w:t>
      </w:r>
      <w:r w:rsidRPr="00184CF6">
        <w:t>1.</w:t>
      </w:r>
    </w:p>
  </w:footnote>
  <w:footnote w:id="19">
    <w:p w14:paraId="77C88D70" w14:textId="0AD59B22" w:rsidR="004B3FD2" w:rsidRPr="00184CF6" w:rsidRDefault="004B3FD2" w:rsidP="00BD2F41">
      <w:pPr>
        <w:pStyle w:val="FootnoteText"/>
        <w:jc w:val="both"/>
        <w:rPr>
          <w:lang w:val="en-GB"/>
        </w:rPr>
      </w:pPr>
      <w:r w:rsidRPr="00184CF6">
        <w:rPr>
          <w:rStyle w:val="FootnoteReference"/>
        </w:rPr>
        <w:footnoteRef/>
      </w:r>
      <w:r w:rsidRPr="00184CF6">
        <w:t xml:space="preserve"> </w:t>
      </w:r>
      <w:r w:rsidRPr="00184CF6">
        <w:rPr>
          <w:i/>
          <w:lang w:val="en-GB"/>
        </w:rPr>
        <w:t>Gordon v Tarnow</w:t>
      </w:r>
      <w:r w:rsidR="00E527E5" w:rsidRPr="00184CF6">
        <w:rPr>
          <w:lang w:val="en-GB"/>
        </w:rPr>
        <w:t xml:space="preserve"> 1947 (3) SA 525 (A) at 531; </w:t>
      </w:r>
      <w:r w:rsidR="00BD4782" w:rsidRPr="00184CF6">
        <w:t>Ibid</w:t>
      </w:r>
      <w:r w:rsidR="00BD2C82" w:rsidRPr="00184CF6" w:rsidDel="00BD2C82">
        <w:rPr>
          <w:lang w:val="en-GB"/>
        </w:rPr>
        <w:t xml:space="preserve"> </w:t>
      </w:r>
      <w:r w:rsidR="00E527E5" w:rsidRPr="00184CF6">
        <w:rPr>
          <w:lang w:val="en-GB"/>
        </w:rPr>
        <w:t>at 506 para 26</w:t>
      </w:r>
      <w:r w:rsidR="00BD2C82" w:rsidRPr="00184CF6">
        <w:rPr>
          <w:lang w:val="en-GB"/>
        </w:rPr>
        <w:t>.</w:t>
      </w:r>
      <w:r w:rsidR="00E527E5" w:rsidRPr="00184CF6">
        <w:rPr>
          <w:lang w:val="en-GB"/>
        </w:rPr>
        <w:t>2</w:t>
      </w:r>
      <w:r w:rsidR="00BD2C82" w:rsidRPr="00184CF6">
        <w:rPr>
          <w:lang w:val="en-GB"/>
        </w:rPr>
        <w:t>.</w:t>
      </w:r>
      <w:r w:rsidR="00E527E5" w:rsidRPr="00184CF6">
        <w:rPr>
          <w:lang w:val="en-GB"/>
        </w:rPr>
        <w:t>1</w:t>
      </w:r>
      <w:r w:rsidR="00BD2C82" w:rsidRPr="00184CF6">
        <w:rPr>
          <w:lang w:val="en-GB"/>
        </w:rPr>
        <w:t>.</w:t>
      </w:r>
      <w:r w:rsidR="00E527E5" w:rsidRPr="00184CF6">
        <w:rPr>
          <w:lang w:val="en-GB"/>
        </w:rPr>
        <w:t xml:space="preserve"> </w:t>
      </w:r>
    </w:p>
  </w:footnote>
  <w:footnote w:id="20">
    <w:p w14:paraId="73B5E096" w14:textId="5EB551B0" w:rsidR="009C49EE" w:rsidRPr="00184CF6" w:rsidRDefault="009C49EE" w:rsidP="00BD2F41">
      <w:pPr>
        <w:pStyle w:val="FootnoteText"/>
        <w:jc w:val="both"/>
      </w:pPr>
      <w:r w:rsidRPr="00184CF6">
        <w:rPr>
          <w:rStyle w:val="FootnoteReference"/>
        </w:rPr>
        <w:footnoteRef/>
      </w:r>
      <w:r w:rsidRPr="00184CF6">
        <w:t xml:space="preserve"> </w:t>
      </w:r>
      <w:r w:rsidR="00BD2C82" w:rsidRPr="00184CF6">
        <w:rPr>
          <w:i/>
          <w:iCs/>
        </w:rPr>
        <w:t>Principles of Evidence</w:t>
      </w:r>
      <w:r w:rsidR="00BD2C82" w:rsidRPr="00184CF6" w:rsidDel="00BD2C82">
        <w:t xml:space="preserve"> </w:t>
      </w:r>
      <w:r w:rsidR="00BD2C82" w:rsidRPr="00184CF6">
        <w:t>at</w:t>
      </w:r>
      <w:r w:rsidRPr="00184CF6">
        <w:t xml:space="preserve"> 507 para 26.4</w:t>
      </w:r>
      <w:r w:rsidR="00FA22CC" w:rsidRPr="00184CF6">
        <w:t xml:space="preserve">; </w:t>
      </w:r>
      <w:r w:rsidR="00BD2C82" w:rsidRPr="00184CF6">
        <w:rPr>
          <w:i/>
          <w:iCs/>
        </w:rPr>
        <w:t>The South African Law of Evidence</w:t>
      </w:r>
      <w:r w:rsidR="00644F9A" w:rsidRPr="00184CF6">
        <w:t xml:space="preserve"> </w:t>
      </w:r>
      <w:r w:rsidR="00BD2C82" w:rsidRPr="00184CF6">
        <w:t>at</w:t>
      </w:r>
      <w:r w:rsidR="00BD4782" w:rsidRPr="00184CF6">
        <w:t xml:space="preserve"> </w:t>
      </w:r>
      <w:r w:rsidR="00644F9A" w:rsidRPr="00184CF6">
        <w:t xml:space="preserve">1066; </w:t>
      </w:r>
      <w:proofErr w:type="spellStart"/>
      <w:r w:rsidR="00BD4782" w:rsidRPr="00184CF6">
        <w:rPr>
          <w:i/>
          <w:iCs/>
        </w:rPr>
        <w:t>Bewysreg</w:t>
      </w:r>
      <w:proofErr w:type="spellEnd"/>
      <w:r w:rsidR="00BD4782" w:rsidRPr="00184CF6">
        <w:rPr>
          <w:i/>
          <w:iCs/>
        </w:rPr>
        <w:t xml:space="preserve"> </w:t>
      </w:r>
      <w:r w:rsidR="00BD4782" w:rsidRPr="00184CF6">
        <w:t xml:space="preserve">at 505. </w:t>
      </w:r>
    </w:p>
  </w:footnote>
  <w:footnote w:id="21">
    <w:p w14:paraId="4A6C9A76" w14:textId="1128609E" w:rsidR="006B3874" w:rsidRPr="00184CF6" w:rsidRDefault="006B3874" w:rsidP="00BD2F41">
      <w:pPr>
        <w:pStyle w:val="FootnoteText"/>
        <w:jc w:val="both"/>
      </w:pPr>
      <w:r w:rsidRPr="00184CF6">
        <w:rPr>
          <w:rStyle w:val="FootnoteReference"/>
        </w:rPr>
        <w:footnoteRef/>
      </w:r>
      <w:r w:rsidRPr="00184CF6">
        <w:t xml:space="preserve"> Ibid. </w:t>
      </w:r>
    </w:p>
  </w:footnote>
  <w:footnote w:id="22">
    <w:p w14:paraId="791D2FA2" w14:textId="774C6A5E" w:rsidR="005C6C57" w:rsidRPr="00184CF6" w:rsidRDefault="005C6C57" w:rsidP="00BD2F41">
      <w:pPr>
        <w:pStyle w:val="FootnoteText"/>
        <w:jc w:val="both"/>
      </w:pPr>
      <w:r w:rsidRPr="00184CF6">
        <w:rPr>
          <w:rStyle w:val="FootnoteReference"/>
        </w:rPr>
        <w:footnoteRef/>
      </w:r>
      <w:r w:rsidRPr="00184CF6">
        <w:t xml:space="preserve"> </w:t>
      </w:r>
      <w:r w:rsidRPr="00184CF6">
        <w:rPr>
          <w:i/>
        </w:rPr>
        <w:t xml:space="preserve">AA Mutual </w:t>
      </w:r>
      <w:r w:rsidR="006B3874" w:rsidRPr="00184CF6">
        <w:rPr>
          <w:i/>
        </w:rPr>
        <w:t>I</w:t>
      </w:r>
      <w:r w:rsidRPr="00184CF6">
        <w:rPr>
          <w:i/>
        </w:rPr>
        <w:t xml:space="preserve">nsurance Association v </w:t>
      </w:r>
      <w:proofErr w:type="spellStart"/>
      <w:r w:rsidRPr="00184CF6">
        <w:rPr>
          <w:i/>
        </w:rPr>
        <w:t>Biddulph</w:t>
      </w:r>
      <w:proofErr w:type="spellEnd"/>
      <w:r w:rsidRPr="00184CF6">
        <w:rPr>
          <w:i/>
        </w:rPr>
        <w:t xml:space="preserve"> </w:t>
      </w:r>
      <w:r w:rsidR="006B3874" w:rsidRPr="00184CF6">
        <w:rPr>
          <w:i/>
        </w:rPr>
        <w:t>and A</w:t>
      </w:r>
      <w:r w:rsidRPr="00184CF6">
        <w:rPr>
          <w:i/>
        </w:rPr>
        <w:t>nother</w:t>
      </w:r>
      <w:r w:rsidRPr="00184CF6">
        <w:t xml:space="preserve"> 1976 (1)</w:t>
      </w:r>
      <w:r w:rsidR="00BD2F41" w:rsidRPr="00184CF6">
        <w:t xml:space="preserve"> SA 725 (A) at 735.</w:t>
      </w:r>
    </w:p>
  </w:footnote>
  <w:footnote w:id="23">
    <w:p w14:paraId="4C8A40C3" w14:textId="018FF902" w:rsidR="00260990" w:rsidRPr="00184CF6" w:rsidRDefault="00260990" w:rsidP="00BD2F41">
      <w:pPr>
        <w:pStyle w:val="FootnoteText"/>
        <w:jc w:val="both"/>
        <w:rPr>
          <w:lang w:val="en-GB"/>
        </w:rPr>
      </w:pPr>
      <w:r w:rsidRPr="00184CF6">
        <w:rPr>
          <w:rStyle w:val="FootnoteReference"/>
        </w:rPr>
        <w:footnoteRef/>
      </w:r>
      <w:r w:rsidRPr="00184CF6">
        <w:t xml:space="preserve"> </w:t>
      </w:r>
      <w:r w:rsidRPr="00184CF6">
        <w:rPr>
          <w:i/>
          <w:lang w:val="en-GB"/>
        </w:rPr>
        <w:t xml:space="preserve">The </w:t>
      </w:r>
      <w:r w:rsidR="00605AAD" w:rsidRPr="00184CF6">
        <w:rPr>
          <w:i/>
          <w:lang w:val="en-GB"/>
        </w:rPr>
        <w:t>MEC</w:t>
      </w:r>
      <w:r w:rsidRPr="00184CF6">
        <w:rPr>
          <w:i/>
          <w:lang w:val="en-GB"/>
        </w:rPr>
        <w:t xml:space="preserve"> for Health, Eastern Cape v DL obo AL</w:t>
      </w:r>
      <w:r w:rsidRPr="00184CF6">
        <w:rPr>
          <w:lang w:val="en-GB"/>
        </w:rPr>
        <w:t xml:space="preserve"> </w:t>
      </w:r>
      <w:proofErr w:type="spellStart"/>
      <w:r w:rsidRPr="00184CF6">
        <w:rPr>
          <w:lang w:val="en-GB"/>
        </w:rPr>
        <w:t>fn</w:t>
      </w:r>
      <w:proofErr w:type="spellEnd"/>
      <w:r w:rsidRPr="00184CF6">
        <w:rPr>
          <w:lang w:val="en-GB"/>
        </w:rPr>
        <w:t xml:space="preserve"> </w:t>
      </w:r>
      <w:r w:rsidR="00497735" w:rsidRPr="00184CF6">
        <w:rPr>
          <w:lang w:val="en-GB"/>
        </w:rPr>
        <w:t>5</w:t>
      </w:r>
      <w:r w:rsidRPr="00184CF6">
        <w:rPr>
          <w:lang w:val="en-GB"/>
        </w:rPr>
        <w:t xml:space="preserve"> </w:t>
      </w:r>
      <w:r w:rsidR="00CF24A8" w:rsidRPr="00184CF6">
        <w:rPr>
          <w:lang w:val="en-GB"/>
        </w:rPr>
        <w:t>para 22.</w:t>
      </w:r>
      <w:r w:rsidRPr="00184CF6">
        <w:rPr>
          <w:lang w:val="en-GB"/>
        </w:rPr>
        <w:t xml:space="preserve"> </w:t>
      </w:r>
    </w:p>
  </w:footnote>
  <w:footnote w:id="24">
    <w:p w14:paraId="66349858" w14:textId="6D0BC20C" w:rsidR="00644F9A" w:rsidRPr="00184CF6" w:rsidRDefault="00644F9A" w:rsidP="00644F9A">
      <w:pPr>
        <w:pStyle w:val="FootnoteText"/>
        <w:rPr>
          <w:lang w:val="en-GB"/>
        </w:rPr>
      </w:pPr>
      <w:r w:rsidRPr="00184CF6">
        <w:rPr>
          <w:rStyle w:val="FootnoteReference"/>
        </w:rPr>
        <w:footnoteRef/>
      </w:r>
      <w:r w:rsidRPr="00184CF6">
        <w:t xml:space="preserve"> </w:t>
      </w:r>
      <w:r w:rsidRPr="00184CF6">
        <w:rPr>
          <w:lang w:val="en-GB"/>
        </w:rPr>
        <w:t xml:space="preserve">The definition of ‘fact’ relied on was that in the </w:t>
      </w:r>
      <w:r w:rsidRPr="00184CF6">
        <w:rPr>
          <w:i/>
          <w:lang w:val="en-GB"/>
        </w:rPr>
        <w:t>Oxford SA Dictionary</w:t>
      </w:r>
      <w:r w:rsidRPr="00184CF6">
        <w:rPr>
          <w:lang w:val="en-GB"/>
        </w:rPr>
        <w:t xml:space="preserve"> 2016 at 977.</w:t>
      </w:r>
    </w:p>
  </w:footnote>
  <w:footnote w:id="25">
    <w:p w14:paraId="7A1D3B89" w14:textId="77777777" w:rsidR="00EF7378" w:rsidRPr="00184CF6" w:rsidRDefault="00EF7378" w:rsidP="00EF7378">
      <w:pPr>
        <w:pStyle w:val="FootnoteText"/>
      </w:pPr>
      <w:r w:rsidRPr="00184CF6">
        <w:rPr>
          <w:rStyle w:val="FootnoteReference"/>
        </w:rPr>
        <w:footnoteRef/>
      </w:r>
      <w:r w:rsidRPr="00184CF6">
        <w:t xml:space="preserve"> T Hodgkinson </w:t>
      </w:r>
      <w:r w:rsidRPr="00184CF6">
        <w:rPr>
          <w:i/>
        </w:rPr>
        <w:t>Expert Evidence: Law and Practice</w:t>
      </w:r>
      <w:r w:rsidRPr="00184CF6">
        <w:t xml:space="preserve"> (1990) at 352.</w:t>
      </w:r>
    </w:p>
  </w:footnote>
  <w:footnote w:id="26">
    <w:p w14:paraId="15E311EB" w14:textId="772042E3" w:rsidR="00822649" w:rsidRPr="00184CF6" w:rsidRDefault="00822649" w:rsidP="00822649">
      <w:pPr>
        <w:pStyle w:val="FootnoteText"/>
      </w:pPr>
      <w:r w:rsidRPr="00184CF6">
        <w:rPr>
          <w:rStyle w:val="FootnoteReference"/>
        </w:rPr>
        <w:footnoteRef/>
      </w:r>
      <w:r w:rsidRPr="00184CF6">
        <w:t xml:space="preserve"> </w:t>
      </w:r>
      <w:r w:rsidRPr="00184CF6">
        <w:rPr>
          <w:i/>
        </w:rPr>
        <w:t>S v M</w:t>
      </w:r>
      <w:r w:rsidRPr="00184CF6">
        <w:t xml:space="preserve"> 1991 (2) SACR 91 (T).</w:t>
      </w:r>
    </w:p>
  </w:footnote>
  <w:footnote w:id="27">
    <w:p w14:paraId="1A1C7576" w14:textId="1C49BAE4" w:rsidR="00AA1FA2" w:rsidRPr="00184CF6" w:rsidRDefault="00AA1FA2">
      <w:pPr>
        <w:pStyle w:val="FootnoteText"/>
      </w:pPr>
      <w:r w:rsidRPr="00184CF6">
        <w:rPr>
          <w:rStyle w:val="FootnoteReference"/>
        </w:rPr>
        <w:footnoteRef/>
      </w:r>
      <w:r w:rsidRPr="00184CF6">
        <w:t xml:space="preserve"> Ibid at 99</w:t>
      </w:r>
      <w:r w:rsidR="00691CC3" w:rsidRPr="00184CF6">
        <w:t>J</w:t>
      </w:r>
      <w:r w:rsidRPr="00184CF6">
        <w:t>-100</w:t>
      </w:r>
      <w:r w:rsidR="00691CC3" w:rsidRPr="00184CF6">
        <w:t>A</w:t>
      </w:r>
      <w:r w:rsidRPr="00184CF6">
        <w:t>, emphasis in the original.</w:t>
      </w:r>
    </w:p>
  </w:footnote>
  <w:footnote w:id="28">
    <w:p w14:paraId="5EAC9A98" w14:textId="0C3FBF1D" w:rsidR="00FD7D1D" w:rsidRPr="00184CF6" w:rsidRDefault="00FD7D1D" w:rsidP="00FD7D1D">
      <w:pPr>
        <w:pStyle w:val="FootnoteText"/>
      </w:pPr>
      <w:r w:rsidRPr="00184CF6">
        <w:rPr>
          <w:rStyle w:val="FootnoteReference"/>
        </w:rPr>
        <w:footnoteRef/>
      </w:r>
      <w:r w:rsidRPr="00184CF6">
        <w:t xml:space="preserve"> </w:t>
      </w:r>
      <w:r w:rsidRPr="00184CF6">
        <w:rPr>
          <w:i/>
        </w:rPr>
        <w:t>Coopers (South Africa</w:t>
      </w:r>
      <w:r w:rsidR="00AE1E92" w:rsidRPr="00184CF6">
        <w:rPr>
          <w:i/>
        </w:rPr>
        <w:t>)</w:t>
      </w:r>
      <w:r w:rsidRPr="00184CF6">
        <w:rPr>
          <w:i/>
        </w:rPr>
        <w:t xml:space="preserve"> </w:t>
      </w:r>
      <w:r w:rsidR="003D3A03" w:rsidRPr="00184CF6">
        <w:rPr>
          <w:i/>
        </w:rPr>
        <w:t xml:space="preserve">(Pty) Ltd v Deutsche </w:t>
      </w:r>
      <w:proofErr w:type="spellStart"/>
      <w:r w:rsidR="003D3A03" w:rsidRPr="00184CF6">
        <w:rPr>
          <w:i/>
        </w:rPr>
        <w:t>Gesellschaft</w:t>
      </w:r>
      <w:proofErr w:type="spellEnd"/>
      <w:r w:rsidR="003D3A03" w:rsidRPr="00184CF6">
        <w:rPr>
          <w:i/>
        </w:rPr>
        <w:t xml:space="preserve"> </w:t>
      </w:r>
      <w:proofErr w:type="spellStart"/>
      <w:r w:rsidR="003D3A03" w:rsidRPr="00184CF6">
        <w:rPr>
          <w:i/>
        </w:rPr>
        <w:t>F</w:t>
      </w:r>
      <w:r w:rsidR="003D3A03" w:rsidRPr="00184CF6">
        <w:rPr>
          <w:rFonts w:cs="Times New Roman"/>
          <w:i/>
        </w:rPr>
        <w:t>ü</w:t>
      </w:r>
      <w:r w:rsidR="003D3A03" w:rsidRPr="00184CF6">
        <w:rPr>
          <w:i/>
        </w:rPr>
        <w:t>r</w:t>
      </w:r>
      <w:proofErr w:type="spellEnd"/>
      <w:r w:rsidR="003D3A03" w:rsidRPr="00184CF6">
        <w:rPr>
          <w:i/>
        </w:rPr>
        <w:t xml:space="preserve"> </w:t>
      </w:r>
      <w:proofErr w:type="spellStart"/>
      <w:r w:rsidR="003D3A03" w:rsidRPr="00184CF6">
        <w:rPr>
          <w:i/>
        </w:rPr>
        <w:t>Sch</w:t>
      </w:r>
      <w:r w:rsidR="003D3A03" w:rsidRPr="00184CF6">
        <w:rPr>
          <w:rFonts w:cs="Times New Roman"/>
          <w:i/>
        </w:rPr>
        <w:t>ä</w:t>
      </w:r>
      <w:r w:rsidR="003D3A03" w:rsidRPr="00184CF6">
        <w:rPr>
          <w:i/>
        </w:rPr>
        <w:t>dlingsbek</w:t>
      </w:r>
      <w:r w:rsidR="003D3A03" w:rsidRPr="00184CF6">
        <w:rPr>
          <w:rFonts w:cs="Times New Roman"/>
          <w:i/>
        </w:rPr>
        <w:t>ä</w:t>
      </w:r>
      <w:r w:rsidR="003D3A03" w:rsidRPr="00184CF6">
        <w:rPr>
          <w:i/>
        </w:rPr>
        <w:t>mpfung</w:t>
      </w:r>
      <w:proofErr w:type="spellEnd"/>
      <w:r w:rsidR="003D3A03" w:rsidRPr="00184CF6">
        <w:rPr>
          <w:i/>
        </w:rPr>
        <w:t xml:space="preserve"> MBH </w:t>
      </w:r>
      <w:r w:rsidR="003D3A03" w:rsidRPr="00184CF6">
        <w:t>1976 (3) SA 352 (A)</w:t>
      </w:r>
      <w:r w:rsidRPr="00184CF6">
        <w:t xml:space="preserve"> at 371F-G</w:t>
      </w:r>
      <w:r w:rsidR="00D41D32" w:rsidRPr="00184CF6">
        <w:t>.</w:t>
      </w:r>
    </w:p>
  </w:footnote>
  <w:footnote w:id="29">
    <w:p w14:paraId="1EB3983B" w14:textId="14EA38D8" w:rsidR="00FD7D1D" w:rsidRPr="00184CF6" w:rsidRDefault="00FD7D1D" w:rsidP="00FD7D1D">
      <w:pPr>
        <w:pStyle w:val="FootnoteText"/>
      </w:pPr>
      <w:r w:rsidRPr="00184CF6">
        <w:rPr>
          <w:rStyle w:val="FootnoteReference"/>
        </w:rPr>
        <w:footnoteRef/>
      </w:r>
      <w:r w:rsidRPr="00184CF6">
        <w:t xml:space="preserve"> </w:t>
      </w:r>
      <w:r w:rsidR="00AE1E92" w:rsidRPr="00184CF6">
        <w:rPr>
          <w:iCs/>
        </w:rPr>
        <w:t xml:space="preserve">HAL </w:t>
      </w:r>
      <w:proofErr w:type="spellStart"/>
      <w:r w:rsidR="00AE1E92" w:rsidRPr="00184CF6">
        <w:rPr>
          <w:iCs/>
        </w:rPr>
        <w:t>f</w:t>
      </w:r>
      <w:r w:rsidR="003D3A03" w:rsidRPr="00184CF6">
        <w:rPr>
          <w:iCs/>
        </w:rPr>
        <w:t>n</w:t>
      </w:r>
      <w:proofErr w:type="spellEnd"/>
      <w:r w:rsidR="003D3A03" w:rsidRPr="00184CF6">
        <w:rPr>
          <w:iCs/>
        </w:rPr>
        <w:t xml:space="preserve"> </w:t>
      </w:r>
      <w:r w:rsidR="00AE1E92" w:rsidRPr="00184CF6">
        <w:rPr>
          <w:iCs/>
        </w:rPr>
        <w:t>13</w:t>
      </w:r>
      <w:r w:rsidRPr="00184CF6">
        <w:t xml:space="preserve"> para 220.</w:t>
      </w:r>
    </w:p>
  </w:footnote>
  <w:footnote w:id="30">
    <w:p w14:paraId="6AE3CF32" w14:textId="6D283547" w:rsidR="00FD7D1D" w:rsidRPr="00184CF6" w:rsidRDefault="00FD7D1D" w:rsidP="00EE789D">
      <w:pPr>
        <w:pStyle w:val="FootnoteText"/>
        <w:jc w:val="both"/>
      </w:pPr>
      <w:r w:rsidRPr="00184CF6">
        <w:rPr>
          <w:rStyle w:val="FootnoteReference"/>
        </w:rPr>
        <w:footnoteRef/>
      </w:r>
      <w:r w:rsidRPr="00184CF6">
        <w:t xml:space="preserve"> </w:t>
      </w:r>
      <w:r w:rsidR="003D3A03" w:rsidRPr="00184CF6">
        <w:rPr>
          <w:iCs/>
        </w:rPr>
        <w:t>Ibid</w:t>
      </w:r>
      <w:r w:rsidRPr="00184CF6">
        <w:t xml:space="preserve"> para 229.</w:t>
      </w:r>
      <w:r w:rsidR="00EE789D" w:rsidRPr="00184CF6">
        <w:t xml:space="preserve"> </w:t>
      </w:r>
      <w:r w:rsidR="00EE789D" w:rsidRPr="00184CF6">
        <w:rPr>
          <w:rFonts w:cs="Times New Roman"/>
        </w:rPr>
        <w:t xml:space="preserve">This however is subject to the qualification that where experts agree on factual issues and the applicable approach to technical analysis, the litigants are bound by such agreement, unless it has been withdrawn and no prejudice results, or any prejudice caused can be cured by a postponement or an appropriate costs order. See </w:t>
      </w:r>
      <w:r w:rsidR="00EE789D" w:rsidRPr="00184CF6">
        <w:rPr>
          <w:i/>
          <w:iCs/>
        </w:rPr>
        <w:t xml:space="preserve">Bee </w:t>
      </w:r>
      <w:r w:rsidR="00AE1E92" w:rsidRPr="00184CF6">
        <w:rPr>
          <w:i/>
          <w:iCs/>
        </w:rPr>
        <w:t>v Road Accident Fund</w:t>
      </w:r>
      <w:r w:rsidR="00AE1E92" w:rsidRPr="00184CF6">
        <w:t xml:space="preserve"> [2018] ZASCA 52; 2018 (4) SA 366 (SCA) </w:t>
      </w:r>
      <w:r w:rsidR="00EE789D" w:rsidRPr="00184CF6">
        <w:t xml:space="preserve">para </w:t>
      </w:r>
      <w:r w:rsidR="00AE1E92" w:rsidRPr="00184CF6">
        <w:t xml:space="preserve">73; </w:t>
      </w:r>
      <w:r w:rsidR="00EE789D" w:rsidRPr="00184CF6">
        <w:rPr>
          <w:i/>
        </w:rPr>
        <w:t>HAL</w:t>
      </w:r>
      <w:r w:rsidR="00EE789D" w:rsidRPr="00184CF6">
        <w:t xml:space="preserve"> </w:t>
      </w:r>
      <w:proofErr w:type="spellStart"/>
      <w:r w:rsidR="00EE789D" w:rsidRPr="00184CF6">
        <w:t>fn</w:t>
      </w:r>
      <w:proofErr w:type="spellEnd"/>
      <w:r w:rsidR="00EE789D" w:rsidRPr="00184CF6">
        <w:t xml:space="preserve"> </w:t>
      </w:r>
      <w:r w:rsidR="00AE1E92" w:rsidRPr="00184CF6">
        <w:t>13</w:t>
      </w:r>
      <w:r w:rsidR="003D3A03" w:rsidRPr="00184CF6">
        <w:t xml:space="preserve"> </w:t>
      </w:r>
      <w:r w:rsidR="00EE789D" w:rsidRPr="00184CF6">
        <w:t>para 229.</w:t>
      </w:r>
    </w:p>
  </w:footnote>
  <w:footnote w:id="31">
    <w:p w14:paraId="35530657" w14:textId="1132BAA6" w:rsidR="00EE789D" w:rsidRDefault="00EE789D">
      <w:pPr>
        <w:pStyle w:val="FootnoteText"/>
      </w:pPr>
      <w:r w:rsidRPr="00184CF6">
        <w:rPr>
          <w:rStyle w:val="FootnoteReference"/>
        </w:rPr>
        <w:footnoteRef/>
      </w:r>
      <w:r w:rsidRPr="00184CF6">
        <w:t xml:space="preserve"> </w:t>
      </w:r>
      <w:r w:rsidR="000B4F5B" w:rsidRPr="00184CF6">
        <w:rPr>
          <w:i/>
        </w:rPr>
        <w:t xml:space="preserve">National Justice </w:t>
      </w:r>
      <w:proofErr w:type="spellStart"/>
      <w:r w:rsidR="000B4F5B" w:rsidRPr="00184CF6">
        <w:rPr>
          <w:i/>
        </w:rPr>
        <w:t>Compania</w:t>
      </w:r>
      <w:proofErr w:type="spellEnd"/>
      <w:r w:rsidR="000B4F5B" w:rsidRPr="00184CF6">
        <w:rPr>
          <w:i/>
        </w:rPr>
        <w:t xml:space="preserve"> </w:t>
      </w:r>
      <w:proofErr w:type="spellStart"/>
      <w:r w:rsidR="000B4F5B" w:rsidRPr="00184CF6">
        <w:rPr>
          <w:i/>
        </w:rPr>
        <w:t>Naviera</w:t>
      </w:r>
      <w:proofErr w:type="spellEnd"/>
      <w:r w:rsidR="000B4F5B" w:rsidRPr="00184CF6">
        <w:rPr>
          <w:i/>
        </w:rPr>
        <w:t xml:space="preserve"> SA v Prudential Assurance Co Ltd: </w:t>
      </w:r>
      <w:r w:rsidR="00BB45A9" w:rsidRPr="00184CF6">
        <w:rPr>
          <w:i/>
        </w:rPr>
        <w:t>‘</w:t>
      </w:r>
      <w:r w:rsidR="00791D87" w:rsidRPr="00184CF6">
        <w:rPr>
          <w:i/>
        </w:rPr>
        <w:t xml:space="preserve">The </w:t>
      </w:r>
      <w:proofErr w:type="spellStart"/>
      <w:r w:rsidR="00791D87" w:rsidRPr="00184CF6">
        <w:rPr>
          <w:i/>
        </w:rPr>
        <w:t>Ikarian</w:t>
      </w:r>
      <w:proofErr w:type="spellEnd"/>
      <w:r w:rsidR="00791D87" w:rsidRPr="00184CF6">
        <w:rPr>
          <w:i/>
        </w:rPr>
        <w:t xml:space="preserve"> </w:t>
      </w:r>
      <w:proofErr w:type="spellStart"/>
      <w:r w:rsidR="00791D87" w:rsidRPr="00184CF6">
        <w:rPr>
          <w:i/>
        </w:rPr>
        <w:t>Reefe</w:t>
      </w:r>
      <w:proofErr w:type="spellEnd"/>
      <w:r w:rsidR="00BB45A9" w:rsidRPr="00184CF6">
        <w:rPr>
          <w:i/>
        </w:rPr>
        <w:t>’</w:t>
      </w:r>
      <w:r w:rsidR="00791D87" w:rsidRPr="00184CF6">
        <w:rPr>
          <w:i/>
        </w:rPr>
        <w:t xml:space="preserve"> </w:t>
      </w:r>
      <w:r w:rsidR="00D9761D" w:rsidRPr="00184CF6">
        <w:t>[1993]</w:t>
      </w:r>
      <w:r w:rsidR="000B4F5B" w:rsidRPr="00184CF6">
        <w:t xml:space="preserve"> 2 Lloyd’s Rep 68 </w:t>
      </w:r>
      <w:r w:rsidR="00D9761D" w:rsidRPr="00184CF6">
        <w:t>at 81-82.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801401"/>
      <w:docPartObj>
        <w:docPartGallery w:val="Page Numbers (Top of Page)"/>
        <w:docPartUnique/>
      </w:docPartObj>
    </w:sdtPr>
    <w:sdtEndPr>
      <w:rPr>
        <w:noProof/>
      </w:rPr>
    </w:sdtEndPr>
    <w:sdtContent>
      <w:p w14:paraId="3EFC7C46" w14:textId="0E4807DE" w:rsidR="005359CC" w:rsidRDefault="005359CC">
        <w:pPr>
          <w:pStyle w:val="Header"/>
          <w:jc w:val="right"/>
        </w:pPr>
        <w:r>
          <w:fldChar w:fldCharType="begin"/>
        </w:r>
        <w:r>
          <w:instrText xml:space="preserve"> PAGE   \* MERGEFORMAT </w:instrText>
        </w:r>
        <w:r>
          <w:fldChar w:fldCharType="separate"/>
        </w:r>
        <w:r w:rsidR="002E721C">
          <w:rPr>
            <w:noProof/>
          </w:rPr>
          <w:t>14</w:t>
        </w:r>
        <w:r>
          <w:rPr>
            <w:noProof/>
          </w:rPr>
          <w:fldChar w:fldCharType="end"/>
        </w:r>
      </w:p>
    </w:sdtContent>
  </w:sdt>
  <w:p w14:paraId="77385A6D" w14:textId="77777777" w:rsidR="005359CC" w:rsidRDefault="005359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49"/>
    <w:multiLevelType w:val="hybridMultilevel"/>
    <w:tmpl w:val="1F5A345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E9B7973"/>
    <w:multiLevelType w:val="hybridMultilevel"/>
    <w:tmpl w:val="FC086D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43926"/>
    <w:multiLevelType w:val="hybridMultilevel"/>
    <w:tmpl w:val="3DA6605A"/>
    <w:lvl w:ilvl="0" w:tplc="BC50E052">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116793"/>
    <w:multiLevelType w:val="hybridMultilevel"/>
    <w:tmpl w:val="5B427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9660263"/>
    <w:multiLevelType w:val="hybridMultilevel"/>
    <w:tmpl w:val="836AFC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255E49DC"/>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1E976DE"/>
    <w:multiLevelType w:val="hybridMultilevel"/>
    <w:tmpl w:val="D93A0206"/>
    <w:lvl w:ilvl="0" w:tplc="21DA29D8">
      <w:start w:val="1"/>
      <w:numFmt w:val="decimal"/>
      <w:lvlText w:val="[%1]"/>
      <w:lvlJc w:val="left"/>
      <w:pPr>
        <w:ind w:left="720" w:hanging="360"/>
      </w:pPr>
      <w:rPr>
        <w:rFonts w:ascii="Times New Roman" w:hAnsi="Times New Roman" w:cs="Times New Roman" w:hint="default"/>
        <w:b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9B005B"/>
    <w:multiLevelType w:val="hybridMultilevel"/>
    <w:tmpl w:val="79AE954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39C1EC4"/>
    <w:multiLevelType w:val="hybridMultilevel"/>
    <w:tmpl w:val="E438F3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3E45EB0"/>
    <w:multiLevelType w:val="hybridMultilevel"/>
    <w:tmpl w:val="5A2016DC"/>
    <w:lvl w:ilvl="0" w:tplc="7D44F69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D64786F"/>
    <w:multiLevelType w:val="multilevel"/>
    <w:tmpl w:val="24C276FE"/>
    <w:lvl w:ilvl="0">
      <w:start w:val="1"/>
      <w:numFmt w:val="decimal"/>
      <w:lvlText w:val="%1."/>
      <w:lvlJc w:val="left"/>
      <w:pPr>
        <w:ind w:left="927" w:hanging="360"/>
      </w:pPr>
      <w:rPr>
        <w:rFonts w:ascii="Times New Roman" w:hAnsi="Times New Roman" w:cs="Times New Roman" w:hint="default"/>
        <w:b w:val="0"/>
        <w:sz w:val="28"/>
        <w:szCs w:val="28"/>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1" w15:restartNumberingAfterBreak="0">
    <w:nsid w:val="3FE158C4"/>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91025AD"/>
    <w:multiLevelType w:val="hybridMultilevel"/>
    <w:tmpl w:val="44E20F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EC4047F"/>
    <w:multiLevelType w:val="hybridMultilevel"/>
    <w:tmpl w:val="3EF0DA48"/>
    <w:lvl w:ilvl="0" w:tplc="94201008">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5723152A"/>
    <w:multiLevelType w:val="multilevel"/>
    <w:tmpl w:val="3B7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C229FF"/>
    <w:multiLevelType w:val="hybridMultilevel"/>
    <w:tmpl w:val="44E20FD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2E6593"/>
    <w:multiLevelType w:val="hybridMultilevel"/>
    <w:tmpl w:val="0ECCEE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C848CF"/>
    <w:multiLevelType w:val="hybridMultilevel"/>
    <w:tmpl w:val="46602D6C"/>
    <w:lvl w:ilvl="0" w:tplc="21DA29D8">
      <w:start w:val="1"/>
      <w:numFmt w:val="decimal"/>
      <w:lvlText w:val="[%1]"/>
      <w:lvlJc w:val="left"/>
      <w:pPr>
        <w:ind w:left="360" w:hanging="360"/>
      </w:pPr>
      <w:rPr>
        <w:rFonts w:ascii="Times New Roman" w:hAnsi="Times New Roman" w:cs="Times New Roman" w:hint="default"/>
        <w:b w:val="0"/>
        <w:sz w:val="28"/>
        <w:szCs w:val="28"/>
      </w:rPr>
    </w:lvl>
    <w:lvl w:ilvl="1" w:tplc="142070B0">
      <w:start w:val="1"/>
      <w:numFmt w:val="lowerLetter"/>
      <w:lvlText w:val="%2."/>
      <w:lvlJc w:val="left"/>
      <w:pPr>
        <w:ind w:left="1440" w:hanging="360"/>
      </w:pPr>
      <w:rPr>
        <w:sz w:val="24"/>
        <w:szCs w:val="24"/>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4"/>
  </w:num>
  <w:num w:numId="6">
    <w:abstractNumId w:val="5"/>
  </w:num>
  <w:num w:numId="7">
    <w:abstractNumId w:val="11"/>
  </w:num>
  <w:num w:numId="8">
    <w:abstractNumId w:val="15"/>
  </w:num>
  <w:num w:numId="9">
    <w:abstractNumId w:val="12"/>
  </w:num>
  <w:num w:numId="10">
    <w:abstractNumId w:val="13"/>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1"/>
  </w:num>
  <w:num w:numId="18">
    <w:abstractNumId w:val="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BD3FB2-90B6-4690-9CA5-2FE54B6C623D}"/>
    <w:docVar w:name="dgnword-eventsink" w:val="2805492267680"/>
  </w:docVars>
  <w:rsids>
    <w:rsidRoot w:val="00ED59D4"/>
    <w:rsid w:val="00000900"/>
    <w:rsid w:val="00001961"/>
    <w:rsid w:val="00002249"/>
    <w:rsid w:val="00003B45"/>
    <w:rsid w:val="00003FE0"/>
    <w:rsid w:val="00004870"/>
    <w:rsid w:val="00004BC1"/>
    <w:rsid w:val="00006AB1"/>
    <w:rsid w:val="0001031D"/>
    <w:rsid w:val="00010ABE"/>
    <w:rsid w:val="00010F78"/>
    <w:rsid w:val="00011965"/>
    <w:rsid w:val="0001232E"/>
    <w:rsid w:val="00012FF6"/>
    <w:rsid w:val="0001371E"/>
    <w:rsid w:val="00013FFB"/>
    <w:rsid w:val="00015275"/>
    <w:rsid w:val="00015D3B"/>
    <w:rsid w:val="00016C27"/>
    <w:rsid w:val="000179A9"/>
    <w:rsid w:val="00020018"/>
    <w:rsid w:val="000211D2"/>
    <w:rsid w:val="00021C7B"/>
    <w:rsid w:val="00021E0F"/>
    <w:rsid w:val="00022EC2"/>
    <w:rsid w:val="00022F70"/>
    <w:rsid w:val="00024440"/>
    <w:rsid w:val="00024855"/>
    <w:rsid w:val="00024B87"/>
    <w:rsid w:val="00025DE8"/>
    <w:rsid w:val="00025E85"/>
    <w:rsid w:val="0002629E"/>
    <w:rsid w:val="000270DF"/>
    <w:rsid w:val="0003041F"/>
    <w:rsid w:val="000307BF"/>
    <w:rsid w:val="00030D5D"/>
    <w:rsid w:val="00031345"/>
    <w:rsid w:val="00033771"/>
    <w:rsid w:val="00033C48"/>
    <w:rsid w:val="00034B22"/>
    <w:rsid w:val="000355AD"/>
    <w:rsid w:val="000363C4"/>
    <w:rsid w:val="00040BA5"/>
    <w:rsid w:val="000425B9"/>
    <w:rsid w:val="00043193"/>
    <w:rsid w:val="00044265"/>
    <w:rsid w:val="000442E1"/>
    <w:rsid w:val="000464F4"/>
    <w:rsid w:val="0005043B"/>
    <w:rsid w:val="00050607"/>
    <w:rsid w:val="00052946"/>
    <w:rsid w:val="000553FC"/>
    <w:rsid w:val="00055A4C"/>
    <w:rsid w:val="00056A1E"/>
    <w:rsid w:val="00056B88"/>
    <w:rsid w:val="000579F8"/>
    <w:rsid w:val="00062AA6"/>
    <w:rsid w:val="00062F75"/>
    <w:rsid w:val="000638DF"/>
    <w:rsid w:val="0006636F"/>
    <w:rsid w:val="0006665F"/>
    <w:rsid w:val="00066B28"/>
    <w:rsid w:val="00072B46"/>
    <w:rsid w:val="00072FB2"/>
    <w:rsid w:val="00073AF8"/>
    <w:rsid w:val="00074910"/>
    <w:rsid w:val="00074B24"/>
    <w:rsid w:val="00075B42"/>
    <w:rsid w:val="00080926"/>
    <w:rsid w:val="00083F39"/>
    <w:rsid w:val="000846AA"/>
    <w:rsid w:val="00085ECC"/>
    <w:rsid w:val="00086487"/>
    <w:rsid w:val="000924F9"/>
    <w:rsid w:val="000952F3"/>
    <w:rsid w:val="00096988"/>
    <w:rsid w:val="000976A2"/>
    <w:rsid w:val="000A0323"/>
    <w:rsid w:val="000A1E2B"/>
    <w:rsid w:val="000A301C"/>
    <w:rsid w:val="000A52A2"/>
    <w:rsid w:val="000A5572"/>
    <w:rsid w:val="000A65A8"/>
    <w:rsid w:val="000A7E48"/>
    <w:rsid w:val="000B03B9"/>
    <w:rsid w:val="000B4F5B"/>
    <w:rsid w:val="000B500E"/>
    <w:rsid w:val="000B569C"/>
    <w:rsid w:val="000B56B3"/>
    <w:rsid w:val="000B586F"/>
    <w:rsid w:val="000B5876"/>
    <w:rsid w:val="000B71B3"/>
    <w:rsid w:val="000B7774"/>
    <w:rsid w:val="000C01CF"/>
    <w:rsid w:val="000C07F6"/>
    <w:rsid w:val="000C0928"/>
    <w:rsid w:val="000C1AB4"/>
    <w:rsid w:val="000C2357"/>
    <w:rsid w:val="000C25D8"/>
    <w:rsid w:val="000C38BC"/>
    <w:rsid w:val="000C5120"/>
    <w:rsid w:val="000C60BE"/>
    <w:rsid w:val="000C642A"/>
    <w:rsid w:val="000C65E1"/>
    <w:rsid w:val="000C68B7"/>
    <w:rsid w:val="000D1F33"/>
    <w:rsid w:val="000D223C"/>
    <w:rsid w:val="000D2B94"/>
    <w:rsid w:val="000D30FF"/>
    <w:rsid w:val="000D3E4C"/>
    <w:rsid w:val="000D4003"/>
    <w:rsid w:val="000D49B2"/>
    <w:rsid w:val="000D5B09"/>
    <w:rsid w:val="000D672F"/>
    <w:rsid w:val="000D6C21"/>
    <w:rsid w:val="000D6E17"/>
    <w:rsid w:val="000D7DB2"/>
    <w:rsid w:val="000E0528"/>
    <w:rsid w:val="000E0D9D"/>
    <w:rsid w:val="000E0F78"/>
    <w:rsid w:val="000E14A6"/>
    <w:rsid w:val="000E264C"/>
    <w:rsid w:val="000E33D3"/>
    <w:rsid w:val="000E384A"/>
    <w:rsid w:val="000E3966"/>
    <w:rsid w:val="000E4EB6"/>
    <w:rsid w:val="000E79C9"/>
    <w:rsid w:val="000F032A"/>
    <w:rsid w:val="000F06A2"/>
    <w:rsid w:val="000F1161"/>
    <w:rsid w:val="000F3874"/>
    <w:rsid w:val="000F3E3E"/>
    <w:rsid w:val="000F4292"/>
    <w:rsid w:val="000F4B45"/>
    <w:rsid w:val="000F5E33"/>
    <w:rsid w:val="000F61EC"/>
    <w:rsid w:val="000F76C9"/>
    <w:rsid w:val="001015C0"/>
    <w:rsid w:val="00101EBF"/>
    <w:rsid w:val="00106D05"/>
    <w:rsid w:val="00107333"/>
    <w:rsid w:val="00107521"/>
    <w:rsid w:val="001124F8"/>
    <w:rsid w:val="001126EA"/>
    <w:rsid w:val="00112D44"/>
    <w:rsid w:val="00114830"/>
    <w:rsid w:val="00115A21"/>
    <w:rsid w:val="00115F1A"/>
    <w:rsid w:val="001171FD"/>
    <w:rsid w:val="00122338"/>
    <w:rsid w:val="0012324B"/>
    <w:rsid w:val="001236A8"/>
    <w:rsid w:val="00126798"/>
    <w:rsid w:val="0013257F"/>
    <w:rsid w:val="001405D0"/>
    <w:rsid w:val="00140C04"/>
    <w:rsid w:val="00141763"/>
    <w:rsid w:val="001421E4"/>
    <w:rsid w:val="0014245E"/>
    <w:rsid w:val="0014259C"/>
    <w:rsid w:val="001434C5"/>
    <w:rsid w:val="00143D55"/>
    <w:rsid w:val="00144CCE"/>
    <w:rsid w:val="00146AB7"/>
    <w:rsid w:val="00147422"/>
    <w:rsid w:val="00147ADA"/>
    <w:rsid w:val="00150553"/>
    <w:rsid w:val="001507FA"/>
    <w:rsid w:val="00152340"/>
    <w:rsid w:val="001552EC"/>
    <w:rsid w:val="0015542D"/>
    <w:rsid w:val="00155AD9"/>
    <w:rsid w:val="00156568"/>
    <w:rsid w:val="001610FC"/>
    <w:rsid w:val="001617B5"/>
    <w:rsid w:val="001624F5"/>
    <w:rsid w:val="001629A1"/>
    <w:rsid w:val="00162DB6"/>
    <w:rsid w:val="00163EDF"/>
    <w:rsid w:val="00164856"/>
    <w:rsid w:val="001653C0"/>
    <w:rsid w:val="00165874"/>
    <w:rsid w:val="001669FA"/>
    <w:rsid w:val="0017015F"/>
    <w:rsid w:val="00170D7B"/>
    <w:rsid w:val="00171874"/>
    <w:rsid w:val="001718E2"/>
    <w:rsid w:val="00171CF4"/>
    <w:rsid w:val="00172994"/>
    <w:rsid w:val="00173B38"/>
    <w:rsid w:val="00173D92"/>
    <w:rsid w:val="00174A24"/>
    <w:rsid w:val="001751EE"/>
    <w:rsid w:val="0017557F"/>
    <w:rsid w:val="001758AB"/>
    <w:rsid w:val="001765CE"/>
    <w:rsid w:val="00180C16"/>
    <w:rsid w:val="00181378"/>
    <w:rsid w:val="00182DEB"/>
    <w:rsid w:val="00182E4A"/>
    <w:rsid w:val="00182EF3"/>
    <w:rsid w:val="0018443B"/>
    <w:rsid w:val="00184A1A"/>
    <w:rsid w:val="00184C91"/>
    <w:rsid w:val="00184CF6"/>
    <w:rsid w:val="001850CE"/>
    <w:rsid w:val="00185182"/>
    <w:rsid w:val="00185823"/>
    <w:rsid w:val="001879F1"/>
    <w:rsid w:val="00187CB8"/>
    <w:rsid w:val="001902BE"/>
    <w:rsid w:val="00191EC4"/>
    <w:rsid w:val="00191F1F"/>
    <w:rsid w:val="00192683"/>
    <w:rsid w:val="001959BD"/>
    <w:rsid w:val="00195A18"/>
    <w:rsid w:val="0019615D"/>
    <w:rsid w:val="00196CBE"/>
    <w:rsid w:val="001971C9"/>
    <w:rsid w:val="00197407"/>
    <w:rsid w:val="001A088F"/>
    <w:rsid w:val="001A0EEF"/>
    <w:rsid w:val="001A4222"/>
    <w:rsid w:val="001A431E"/>
    <w:rsid w:val="001A4388"/>
    <w:rsid w:val="001A5C98"/>
    <w:rsid w:val="001A674D"/>
    <w:rsid w:val="001A6962"/>
    <w:rsid w:val="001A726D"/>
    <w:rsid w:val="001A75F0"/>
    <w:rsid w:val="001A7637"/>
    <w:rsid w:val="001B09F0"/>
    <w:rsid w:val="001B1B86"/>
    <w:rsid w:val="001B29C4"/>
    <w:rsid w:val="001B3C27"/>
    <w:rsid w:val="001B4153"/>
    <w:rsid w:val="001B4364"/>
    <w:rsid w:val="001B5871"/>
    <w:rsid w:val="001B5B4E"/>
    <w:rsid w:val="001C1B83"/>
    <w:rsid w:val="001C1D4A"/>
    <w:rsid w:val="001C2274"/>
    <w:rsid w:val="001C2F3C"/>
    <w:rsid w:val="001C3510"/>
    <w:rsid w:val="001C391A"/>
    <w:rsid w:val="001C4327"/>
    <w:rsid w:val="001C70B1"/>
    <w:rsid w:val="001D1801"/>
    <w:rsid w:val="001D42FB"/>
    <w:rsid w:val="001D5144"/>
    <w:rsid w:val="001D5853"/>
    <w:rsid w:val="001D6008"/>
    <w:rsid w:val="001D7BA7"/>
    <w:rsid w:val="001D7DC4"/>
    <w:rsid w:val="001E2D94"/>
    <w:rsid w:val="001E4090"/>
    <w:rsid w:val="001E55DB"/>
    <w:rsid w:val="001E6D21"/>
    <w:rsid w:val="001F0F41"/>
    <w:rsid w:val="001F1014"/>
    <w:rsid w:val="001F18D2"/>
    <w:rsid w:val="001F4B27"/>
    <w:rsid w:val="001F66E5"/>
    <w:rsid w:val="001F69DC"/>
    <w:rsid w:val="00200870"/>
    <w:rsid w:val="00200F95"/>
    <w:rsid w:val="0020127B"/>
    <w:rsid w:val="002015B5"/>
    <w:rsid w:val="0020235D"/>
    <w:rsid w:val="00202FD8"/>
    <w:rsid w:val="0020334F"/>
    <w:rsid w:val="002048DE"/>
    <w:rsid w:val="00205D1E"/>
    <w:rsid w:val="002062F3"/>
    <w:rsid w:val="00206866"/>
    <w:rsid w:val="00207056"/>
    <w:rsid w:val="00207ECE"/>
    <w:rsid w:val="0021005C"/>
    <w:rsid w:val="002104FE"/>
    <w:rsid w:val="00213468"/>
    <w:rsid w:val="00215B2D"/>
    <w:rsid w:val="00215B4E"/>
    <w:rsid w:val="0021603D"/>
    <w:rsid w:val="00216300"/>
    <w:rsid w:val="00216B32"/>
    <w:rsid w:val="002171FD"/>
    <w:rsid w:val="0021778F"/>
    <w:rsid w:val="0022028C"/>
    <w:rsid w:val="0022555C"/>
    <w:rsid w:val="00225880"/>
    <w:rsid w:val="00226686"/>
    <w:rsid w:val="0022677B"/>
    <w:rsid w:val="0022739D"/>
    <w:rsid w:val="00227BDE"/>
    <w:rsid w:val="00230FA5"/>
    <w:rsid w:val="002318AD"/>
    <w:rsid w:val="0023309B"/>
    <w:rsid w:val="00234AB7"/>
    <w:rsid w:val="002408CA"/>
    <w:rsid w:val="00240ECD"/>
    <w:rsid w:val="0024134A"/>
    <w:rsid w:val="00241760"/>
    <w:rsid w:val="00242ED0"/>
    <w:rsid w:val="00244B80"/>
    <w:rsid w:val="00245310"/>
    <w:rsid w:val="00246197"/>
    <w:rsid w:val="00247598"/>
    <w:rsid w:val="00247FCE"/>
    <w:rsid w:val="00250EFC"/>
    <w:rsid w:val="002515C1"/>
    <w:rsid w:val="00252299"/>
    <w:rsid w:val="002552D9"/>
    <w:rsid w:val="0025585A"/>
    <w:rsid w:val="00255C6D"/>
    <w:rsid w:val="00260990"/>
    <w:rsid w:val="00261C7D"/>
    <w:rsid w:val="002620B5"/>
    <w:rsid w:val="00263BF9"/>
    <w:rsid w:val="00267F8E"/>
    <w:rsid w:val="002744EA"/>
    <w:rsid w:val="002759E2"/>
    <w:rsid w:val="0027657B"/>
    <w:rsid w:val="0027731C"/>
    <w:rsid w:val="00281012"/>
    <w:rsid w:val="002822D3"/>
    <w:rsid w:val="00282B97"/>
    <w:rsid w:val="00282CB1"/>
    <w:rsid w:val="00283BCC"/>
    <w:rsid w:val="002847FF"/>
    <w:rsid w:val="00284BDF"/>
    <w:rsid w:val="002856A4"/>
    <w:rsid w:val="0028663B"/>
    <w:rsid w:val="00290E05"/>
    <w:rsid w:val="0029276C"/>
    <w:rsid w:val="0029394E"/>
    <w:rsid w:val="0029467D"/>
    <w:rsid w:val="002959F3"/>
    <w:rsid w:val="00296845"/>
    <w:rsid w:val="00296B92"/>
    <w:rsid w:val="00296C5D"/>
    <w:rsid w:val="00296ECF"/>
    <w:rsid w:val="002972EF"/>
    <w:rsid w:val="002A00DC"/>
    <w:rsid w:val="002A0A99"/>
    <w:rsid w:val="002A0CB5"/>
    <w:rsid w:val="002A1884"/>
    <w:rsid w:val="002A3B30"/>
    <w:rsid w:val="002A4383"/>
    <w:rsid w:val="002A4BF3"/>
    <w:rsid w:val="002A61EE"/>
    <w:rsid w:val="002A6A26"/>
    <w:rsid w:val="002A77CA"/>
    <w:rsid w:val="002A7D8B"/>
    <w:rsid w:val="002B0280"/>
    <w:rsid w:val="002B0BED"/>
    <w:rsid w:val="002B0DB2"/>
    <w:rsid w:val="002B0FB0"/>
    <w:rsid w:val="002B4591"/>
    <w:rsid w:val="002B4ACC"/>
    <w:rsid w:val="002B699B"/>
    <w:rsid w:val="002B7765"/>
    <w:rsid w:val="002C024E"/>
    <w:rsid w:val="002C3B7C"/>
    <w:rsid w:val="002C3F26"/>
    <w:rsid w:val="002C40E3"/>
    <w:rsid w:val="002C4A1A"/>
    <w:rsid w:val="002C6179"/>
    <w:rsid w:val="002C6239"/>
    <w:rsid w:val="002C6494"/>
    <w:rsid w:val="002C7123"/>
    <w:rsid w:val="002C783B"/>
    <w:rsid w:val="002D19E6"/>
    <w:rsid w:val="002D3021"/>
    <w:rsid w:val="002D5CBA"/>
    <w:rsid w:val="002D6814"/>
    <w:rsid w:val="002D75B9"/>
    <w:rsid w:val="002E0176"/>
    <w:rsid w:val="002E1952"/>
    <w:rsid w:val="002E277F"/>
    <w:rsid w:val="002E473F"/>
    <w:rsid w:val="002E5504"/>
    <w:rsid w:val="002E5A16"/>
    <w:rsid w:val="002E5B7E"/>
    <w:rsid w:val="002E5F47"/>
    <w:rsid w:val="002E6DB8"/>
    <w:rsid w:val="002E721C"/>
    <w:rsid w:val="002F0B5D"/>
    <w:rsid w:val="002F0E6B"/>
    <w:rsid w:val="002F1478"/>
    <w:rsid w:val="002F1D01"/>
    <w:rsid w:val="002F1DDF"/>
    <w:rsid w:val="002F25A6"/>
    <w:rsid w:val="002F2C16"/>
    <w:rsid w:val="002F31B7"/>
    <w:rsid w:val="002F5483"/>
    <w:rsid w:val="002F767A"/>
    <w:rsid w:val="00300D81"/>
    <w:rsid w:val="003012E9"/>
    <w:rsid w:val="00301642"/>
    <w:rsid w:val="003023D0"/>
    <w:rsid w:val="00302B14"/>
    <w:rsid w:val="003039F9"/>
    <w:rsid w:val="00304165"/>
    <w:rsid w:val="003045D6"/>
    <w:rsid w:val="0030517F"/>
    <w:rsid w:val="003061AA"/>
    <w:rsid w:val="003101E7"/>
    <w:rsid w:val="00311D48"/>
    <w:rsid w:val="00312043"/>
    <w:rsid w:val="0031377E"/>
    <w:rsid w:val="00313E0F"/>
    <w:rsid w:val="0031400D"/>
    <w:rsid w:val="00314FD4"/>
    <w:rsid w:val="00316699"/>
    <w:rsid w:val="0031768E"/>
    <w:rsid w:val="003177E6"/>
    <w:rsid w:val="0031790E"/>
    <w:rsid w:val="00320349"/>
    <w:rsid w:val="00320A58"/>
    <w:rsid w:val="00321248"/>
    <w:rsid w:val="003230BC"/>
    <w:rsid w:val="00323365"/>
    <w:rsid w:val="00325253"/>
    <w:rsid w:val="0032635E"/>
    <w:rsid w:val="00327020"/>
    <w:rsid w:val="00327918"/>
    <w:rsid w:val="00327AD4"/>
    <w:rsid w:val="003307B7"/>
    <w:rsid w:val="00331200"/>
    <w:rsid w:val="00331412"/>
    <w:rsid w:val="00332044"/>
    <w:rsid w:val="003326AB"/>
    <w:rsid w:val="00332FB3"/>
    <w:rsid w:val="003332C6"/>
    <w:rsid w:val="00333702"/>
    <w:rsid w:val="003339A4"/>
    <w:rsid w:val="003349C7"/>
    <w:rsid w:val="003368AF"/>
    <w:rsid w:val="00336A58"/>
    <w:rsid w:val="0033719D"/>
    <w:rsid w:val="00340137"/>
    <w:rsid w:val="003432BA"/>
    <w:rsid w:val="00343CE7"/>
    <w:rsid w:val="00344FEF"/>
    <w:rsid w:val="003451A5"/>
    <w:rsid w:val="003454B0"/>
    <w:rsid w:val="00347504"/>
    <w:rsid w:val="00350549"/>
    <w:rsid w:val="0035259C"/>
    <w:rsid w:val="00352C0E"/>
    <w:rsid w:val="0035382F"/>
    <w:rsid w:val="00353F17"/>
    <w:rsid w:val="003552C3"/>
    <w:rsid w:val="003552E1"/>
    <w:rsid w:val="003553E1"/>
    <w:rsid w:val="00355EEE"/>
    <w:rsid w:val="00355F50"/>
    <w:rsid w:val="00356974"/>
    <w:rsid w:val="00357148"/>
    <w:rsid w:val="003606CB"/>
    <w:rsid w:val="00360D19"/>
    <w:rsid w:val="0036111A"/>
    <w:rsid w:val="0036296A"/>
    <w:rsid w:val="00362AFB"/>
    <w:rsid w:val="00362EBE"/>
    <w:rsid w:val="00362FBC"/>
    <w:rsid w:val="00363031"/>
    <w:rsid w:val="00363314"/>
    <w:rsid w:val="00363D39"/>
    <w:rsid w:val="00364FE7"/>
    <w:rsid w:val="00366509"/>
    <w:rsid w:val="0036708E"/>
    <w:rsid w:val="00367A39"/>
    <w:rsid w:val="00371276"/>
    <w:rsid w:val="00371AB9"/>
    <w:rsid w:val="0037315B"/>
    <w:rsid w:val="00373BA9"/>
    <w:rsid w:val="00374CF2"/>
    <w:rsid w:val="00375041"/>
    <w:rsid w:val="003754A4"/>
    <w:rsid w:val="00376620"/>
    <w:rsid w:val="00376FA2"/>
    <w:rsid w:val="00377E13"/>
    <w:rsid w:val="003803FA"/>
    <w:rsid w:val="003806A1"/>
    <w:rsid w:val="00382E77"/>
    <w:rsid w:val="00383AFA"/>
    <w:rsid w:val="0038533D"/>
    <w:rsid w:val="00385A75"/>
    <w:rsid w:val="00387647"/>
    <w:rsid w:val="00390338"/>
    <w:rsid w:val="00391816"/>
    <w:rsid w:val="00394DA5"/>
    <w:rsid w:val="00395EA3"/>
    <w:rsid w:val="00396932"/>
    <w:rsid w:val="003970FC"/>
    <w:rsid w:val="003A4DEF"/>
    <w:rsid w:val="003A5D8B"/>
    <w:rsid w:val="003A6D9E"/>
    <w:rsid w:val="003A6EC7"/>
    <w:rsid w:val="003B2402"/>
    <w:rsid w:val="003B2419"/>
    <w:rsid w:val="003B3CAA"/>
    <w:rsid w:val="003B3DA3"/>
    <w:rsid w:val="003B5EE7"/>
    <w:rsid w:val="003B5F65"/>
    <w:rsid w:val="003B73E9"/>
    <w:rsid w:val="003C07C6"/>
    <w:rsid w:val="003C254F"/>
    <w:rsid w:val="003C2A4A"/>
    <w:rsid w:val="003C2FA8"/>
    <w:rsid w:val="003C4E9B"/>
    <w:rsid w:val="003C5625"/>
    <w:rsid w:val="003C7991"/>
    <w:rsid w:val="003C7BA6"/>
    <w:rsid w:val="003D0312"/>
    <w:rsid w:val="003D07EB"/>
    <w:rsid w:val="003D3A03"/>
    <w:rsid w:val="003D46F6"/>
    <w:rsid w:val="003D4CD9"/>
    <w:rsid w:val="003D5DF2"/>
    <w:rsid w:val="003D6E48"/>
    <w:rsid w:val="003E2878"/>
    <w:rsid w:val="003E2D01"/>
    <w:rsid w:val="003E411B"/>
    <w:rsid w:val="003E5187"/>
    <w:rsid w:val="003E59DE"/>
    <w:rsid w:val="003E72A7"/>
    <w:rsid w:val="003E75C1"/>
    <w:rsid w:val="003E7719"/>
    <w:rsid w:val="003E7E20"/>
    <w:rsid w:val="003E7F90"/>
    <w:rsid w:val="003F0019"/>
    <w:rsid w:val="003F287F"/>
    <w:rsid w:val="003F3E18"/>
    <w:rsid w:val="003F59E1"/>
    <w:rsid w:val="003F6787"/>
    <w:rsid w:val="003F67D3"/>
    <w:rsid w:val="004007DE"/>
    <w:rsid w:val="004009D1"/>
    <w:rsid w:val="004016B5"/>
    <w:rsid w:val="00401AB3"/>
    <w:rsid w:val="00402174"/>
    <w:rsid w:val="004040FC"/>
    <w:rsid w:val="00405CF8"/>
    <w:rsid w:val="00406BE2"/>
    <w:rsid w:val="00406CDE"/>
    <w:rsid w:val="00406E0F"/>
    <w:rsid w:val="00407EC8"/>
    <w:rsid w:val="00407F6B"/>
    <w:rsid w:val="004119A8"/>
    <w:rsid w:val="0041325F"/>
    <w:rsid w:val="00414295"/>
    <w:rsid w:val="0041448A"/>
    <w:rsid w:val="0041516C"/>
    <w:rsid w:val="004174B2"/>
    <w:rsid w:val="004178B2"/>
    <w:rsid w:val="004203FF"/>
    <w:rsid w:val="00420E28"/>
    <w:rsid w:val="004250B6"/>
    <w:rsid w:val="004269AF"/>
    <w:rsid w:val="0042737E"/>
    <w:rsid w:val="00427982"/>
    <w:rsid w:val="00431528"/>
    <w:rsid w:val="00432849"/>
    <w:rsid w:val="004334CA"/>
    <w:rsid w:val="004334F1"/>
    <w:rsid w:val="0043523B"/>
    <w:rsid w:val="004356E9"/>
    <w:rsid w:val="00436E75"/>
    <w:rsid w:val="004374B0"/>
    <w:rsid w:val="00442E01"/>
    <w:rsid w:val="00444B39"/>
    <w:rsid w:val="00445A3E"/>
    <w:rsid w:val="00446D63"/>
    <w:rsid w:val="00454FD7"/>
    <w:rsid w:val="004567C2"/>
    <w:rsid w:val="00456F4A"/>
    <w:rsid w:val="00460093"/>
    <w:rsid w:val="0046260A"/>
    <w:rsid w:val="00465B5B"/>
    <w:rsid w:val="00466B38"/>
    <w:rsid w:val="00470D1E"/>
    <w:rsid w:val="00471651"/>
    <w:rsid w:val="0047375E"/>
    <w:rsid w:val="00474B08"/>
    <w:rsid w:val="00475739"/>
    <w:rsid w:val="004765B9"/>
    <w:rsid w:val="00477CF4"/>
    <w:rsid w:val="004809F1"/>
    <w:rsid w:val="00480AD9"/>
    <w:rsid w:val="00480F92"/>
    <w:rsid w:val="004811EA"/>
    <w:rsid w:val="0048167A"/>
    <w:rsid w:val="00487AEC"/>
    <w:rsid w:val="00487CD0"/>
    <w:rsid w:val="00490B94"/>
    <w:rsid w:val="004938EA"/>
    <w:rsid w:val="004944C4"/>
    <w:rsid w:val="00495F2F"/>
    <w:rsid w:val="00496033"/>
    <w:rsid w:val="00497735"/>
    <w:rsid w:val="004A0611"/>
    <w:rsid w:val="004A08E4"/>
    <w:rsid w:val="004A13F4"/>
    <w:rsid w:val="004A2B33"/>
    <w:rsid w:val="004A2C75"/>
    <w:rsid w:val="004A3C6D"/>
    <w:rsid w:val="004A57A1"/>
    <w:rsid w:val="004A6624"/>
    <w:rsid w:val="004A7CB8"/>
    <w:rsid w:val="004B08D4"/>
    <w:rsid w:val="004B26FB"/>
    <w:rsid w:val="004B3106"/>
    <w:rsid w:val="004B3FD2"/>
    <w:rsid w:val="004B5168"/>
    <w:rsid w:val="004B5928"/>
    <w:rsid w:val="004B5CDF"/>
    <w:rsid w:val="004B72F8"/>
    <w:rsid w:val="004B782F"/>
    <w:rsid w:val="004B7CE4"/>
    <w:rsid w:val="004C1917"/>
    <w:rsid w:val="004C4659"/>
    <w:rsid w:val="004C6A9B"/>
    <w:rsid w:val="004D0297"/>
    <w:rsid w:val="004D116A"/>
    <w:rsid w:val="004D1483"/>
    <w:rsid w:val="004D1D1C"/>
    <w:rsid w:val="004D293D"/>
    <w:rsid w:val="004D2C3F"/>
    <w:rsid w:val="004D2F15"/>
    <w:rsid w:val="004D304A"/>
    <w:rsid w:val="004D3A33"/>
    <w:rsid w:val="004D4FD8"/>
    <w:rsid w:val="004E13F2"/>
    <w:rsid w:val="004E1BDE"/>
    <w:rsid w:val="004E1D5A"/>
    <w:rsid w:val="004E2A4B"/>
    <w:rsid w:val="004E38CB"/>
    <w:rsid w:val="004E6A81"/>
    <w:rsid w:val="004E6BB9"/>
    <w:rsid w:val="004F0B22"/>
    <w:rsid w:val="004F1400"/>
    <w:rsid w:val="004F19CF"/>
    <w:rsid w:val="004F1BEC"/>
    <w:rsid w:val="004F206B"/>
    <w:rsid w:val="004F28AB"/>
    <w:rsid w:val="004F3030"/>
    <w:rsid w:val="004F4172"/>
    <w:rsid w:val="004F4276"/>
    <w:rsid w:val="004F56C1"/>
    <w:rsid w:val="004F6235"/>
    <w:rsid w:val="004F6FA5"/>
    <w:rsid w:val="0050078E"/>
    <w:rsid w:val="00501A74"/>
    <w:rsid w:val="005031C8"/>
    <w:rsid w:val="005032B2"/>
    <w:rsid w:val="00505361"/>
    <w:rsid w:val="0050542B"/>
    <w:rsid w:val="00505989"/>
    <w:rsid w:val="00505B2E"/>
    <w:rsid w:val="005072C7"/>
    <w:rsid w:val="00507AB0"/>
    <w:rsid w:val="00510865"/>
    <w:rsid w:val="0051105A"/>
    <w:rsid w:val="0051293E"/>
    <w:rsid w:val="00512CEC"/>
    <w:rsid w:val="0051530D"/>
    <w:rsid w:val="00516234"/>
    <w:rsid w:val="005203E0"/>
    <w:rsid w:val="00520B14"/>
    <w:rsid w:val="005220EA"/>
    <w:rsid w:val="005224B2"/>
    <w:rsid w:val="00522720"/>
    <w:rsid w:val="005231F7"/>
    <w:rsid w:val="005233B0"/>
    <w:rsid w:val="005267EB"/>
    <w:rsid w:val="0052719C"/>
    <w:rsid w:val="005303F9"/>
    <w:rsid w:val="00532451"/>
    <w:rsid w:val="005326C5"/>
    <w:rsid w:val="00533347"/>
    <w:rsid w:val="005341D7"/>
    <w:rsid w:val="00534D1F"/>
    <w:rsid w:val="00535367"/>
    <w:rsid w:val="005359CC"/>
    <w:rsid w:val="005370D7"/>
    <w:rsid w:val="00537811"/>
    <w:rsid w:val="00537A95"/>
    <w:rsid w:val="00537CFD"/>
    <w:rsid w:val="00541330"/>
    <w:rsid w:val="00541698"/>
    <w:rsid w:val="005416D3"/>
    <w:rsid w:val="00543428"/>
    <w:rsid w:val="00543823"/>
    <w:rsid w:val="00543F8C"/>
    <w:rsid w:val="0054415A"/>
    <w:rsid w:val="00545DAE"/>
    <w:rsid w:val="00550353"/>
    <w:rsid w:val="00555F9F"/>
    <w:rsid w:val="005561B4"/>
    <w:rsid w:val="005562E5"/>
    <w:rsid w:val="0055638D"/>
    <w:rsid w:val="0055679C"/>
    <w:rsid w:val="00557B49"/>
    <w:rsid w:val="00557BE4"/>
    <w:rsid w:val="00560FD3"/>
    <w:rsid w:val="005614C6"/>
    <w:rsid w:val="00561A89"/>
    <w:rsid w:val="0056400C"/>
    <w:rsid w:val="00564191"/>
    <w:rsid w:val="005645B5"/>
    <w:rsid w:val="005659A0"/>
    <w:rsid w:val="00565B53"/>
    <w:rsid w:val="00566127"/>
    <w:rsid w:val="00570690"/>
    <w:rsid w:val="0057082C"/>
    <w:rsid w:val="005708B4"/>
    <w:rsid w:val="00571CD1"/>
    <w:rsid w:val="00573351"/>
    <w:rsid w:val="00576F36"/>
    <w:rsid w:val="0057765D"/>
    <w:rsid w:val="00580989"/>
    <w:rsid w:val="00580EB2"/>
    <w:rsid w:val="0058196B"/>
    <w:rsid w:val="00583B4D"/>
    <w:rsid w:val="00583E4C"/>
    <w:rsid w:val="005848D9"/>
    <w:rsid w:val="00585485"/>
    <w:rsid w:val="0058663A"/>
    <w:rsid w:val="00587122"/>
    <w:rsid w:val="005878E7"/>
    <w:rsid w:val="00591535"/>
    <w:rsid w:val="005916EB"/>
    <w:rsid w:val="00592914"/>
    <w:rsid w:val="00595612"/>
    <w:rsid w:val="00596AFA"/>
    <w:rsid w:val="00597F0A"/>
    <w:rsid w:val="005A0543"/>
    <w:rsid w:val="005A0626"/>
    <w:rsid w:val="005A1756"/>
    <w:rsid w:val="005A1A56"/>
    <w:rsid w:val="005A2FA5"/>
    <w:rsid w:val="005A458B"/>
    <w:rsid w:val="005A6947"/>
    <w:rsid w:val="005B2485"/>
    <w:rsid w:val="005B42F2"/>
    <w:rsid w:val="005B6D38"/>
    <w:rsid w:val="005B7C1D"/>
    <w:rsid w:val="005C1336"/>
    <w:rsid w:val="005C1C4C"/>
    <w:rsid w:val="005C2904"/>
    <w:rsid w:val="005C300E"/>
    <w:rsid w:val="005C4412"/>
    <w:rsid w:val="005C4DC0"/>
    <w:rsid w:val="005C502D"/>
    <w:rsid w:val="005C6C57"/>
    <w:rsid w:val="005D09F0"/>
    <w:rsid w:val="005D1687"/>
    <w:rsid w:val="005D2534"/>
    <w:rsid w:val="005D2F32"/>
    <w:rsid w:val="005D3987"/>
    <w:rsid w:val="005D5BD5"/>
    <w:rsid w:val="005D65AA"/>
    <w:rsid w:val="005D75AC"/>
    <w:rsid w:val="005D7CC6"/>
    <w:rsid w:val="005E149A"/>
    <w:rsid w:val="005E1919"/>
    <w:rsid w:val="005E3585"/>
    <w:rsid w:val="005E467D"/>
    <w:rsid w:val="005E4AD4"/>
    <w:rsid w:val="005E4C7B"/>
    <w:rsid w:val="005E5537"/>
    <w:rsid w:val="005E583D"/>
    <w:rsid w:val="005F2683"/>
    <w:rsid w:val="005F273A"/>
    <w:rsid w:val="005F3694"/>
    <w:rsid w:val="005F44BD"/>
    <w:rsid w:val="005F57A7"/>
    <w:rsid w:val="005F5B42"/>
    <w:rsid w:val="005F6BB9"/>
    <w:rsid w:val="005F712D"/>
    <w:rsid w:val="005F7CFE"/>
    <w:rsid w:val="0060010D"/>
    <w:rsid w:val="0060228C"/>
    <w:rsid w:val="006025AD"/>
    <w:rsid w:val="00602605"/>
    <w:rsid w:val="00603886"/>
    <w:rsid w:val="0060400B"/>
    <w:rsid w:val="00605AAD"/>
    <w:rsid w:val="00606115"/>
    <w:rsid w:val="00610B77"/>
    <w:rsid w:val="006110E4"/>
    <w:rsid w:val="0061221C"/>
    <w:rsid w:val="006123AE"/>
    <w:rsid w:val="00612B00"/>
    <w:rsid w:val="00612D7B"/>
    <w:rsid w:val="0061314E"/>
    <w:rsid w:val="00614FE6"/>
    <w:rsid w:val="0061502E"/>
    <w:rsid w:val="00617017"/>
    <w:rsid w:val="00620BFD"/>
    <w:rsid w:val="00620C6E"/>
    <w:rsid w:val="00620D29"/>
    <w:rsid w:val="006217BD"/>
    <w:rsid w:val="00621A18"/>
    <w:rsid w:val="0062203B"/>
    <w:rsid w:val="00624DF8"/>
    <w:rsid w:val="00625CBD"/>
    <w:rsid w:val="0062719F"/>
    <w:rsid w:val="00627605"/>
    <w:rsid w:val="00630E43"/>
    <w:rsid w:val="006327BE"/>
    <w:rsid w:val="006339D0"/>
    <w:rsid w:val="00634FBF"/>
    <w:rsid w:val="00636B77"/>
    <w:rsid w:val="00636F03"/>
    <w:rsid w:val="00637BC4"/>
    <w:rsid w:val="006410C4"/>
    <w:rsid w:val="006412D0"/>
    <w:rsid w:val="00641E9D"/>
    <w:rsid w:val="00642387"/>
    <w:rsid w:val="00642B5F"/>
    <w:rsid w:val="00644937"/>
    <w:rsid w:val="00644F9A"/>
    <w:rsid w:val="00646793"/>
    <w:rsid w:val="00647707"/>
    <w:rsid w:val="00650564"/>
    <w:rsid w:val="00650E4A"/>
    <w:rsid w:val="00652382"/>
    <w:rsid w:val="00652AA2"/>
    <w:rsid w:val="006536F7"/>
    <w:rsid w:val="006544A8"/>
    <w:rsid w:val="00654F75"/>
    <w:rsid w:val="0065543C"/>
    <w:rsid w:val="006570E4"/>
    <w:rsid w:val="00657678"/>
    <w:rsid w:val="00657C56"/>
    <w:rsid w:val="0066033C"/>
    <w:rsid w:val="006610AB"/>
    <w:rsid w:val="006612C9"/>
    <w:rsid w:val="00662501"/>
    <w:rsid w:val="006627AA"/>
    <w:rsid w:val="00663147"/>
    <w:rsid w:val="006636FD"/>
    <w:rsid w:val="00663733"/>
    <w:rsid w:val="006647EF"/>
    <w:rsid w:val="00665540"/>
    <w:rsid w:val="00665AA9"/>
    <w:rsid w:val="0066606C"/>
    <w:rsid w:val="00666682"/>
    <w:rsid w:val="006668DB"/>
    <w:rsid w:val="00666921"/>
    <w:rsid w:val="00667FBC"/>
    <w:rsid w:val="00670A3D"/>
    <w:rsid w:val="00671022"/>
    <w:rsid w:val="00672F85"/>
    <w:rsid w:val="00673350"/>
    <w:rsid w:val="00673E59"/>
    <w:rsid w:val="00675BE0"/>
    <w:rsid w:val="00675D5A"/>
    <w:rsid w:val="00675F63"/>
    <w:rsid w:val="00677CF4"/>
    <w:rsid w:val="00681214"/>
    <w:rsid w:val="0068129A"/>
    <w:rsid w:val="00682ABF"/>
    <w:rsid w:val="00682C14"/>
    <w:rsid w:val="00683A03"/>
    <w:rsid w:val="00683B4D"/>
    <w:rsid w:val="00684519"/>
    <w:rsid w:val="00685FE5"/>
    <w:rsid w:val="00686B67"/>
    <w:rsid w:val="0069001E"/>
    <w:rsid w:val="00690FEB"/>
    <w:rsid w:val="00691CC3"/>
    <w:rsid w:val="00692B14"/>
    <w:rsid w:val="00693E09"/>
    <w:rsid w:val="0069441D"/>
    <w:rsid w:val="00694843"/>
    <w:rsid w:val="00695D38"/>
    <w:rsid w:val="00696811"/>
    <w:rsid w:val="006969A5"/>
    <w:rsid w:val="006A0136"/>
    <w:rsid w:val="006A0798"/>
    <w:rsid w:val="006A0F69"/>
    <w:rsid w:val="006A1E50"/>
    <w:rsid w:val="006A3120"/>
    <w:rsid w:val="006A3C45"/>
    <w:rsid w:val="006A446C"/>
    <w:rsid w:val="006A46D1"/>
    <w:rsid w:val="006A4894"/>
    <w:rsid w:val="006A4CF1"/>
    <w:rsid w:val="006A5CD9"/>
    <w:rsid w:val="006A655E"/>
    <w:rsid w:val="006B0714"/>
    <w:rsid w:val="006B116E"/>
    <w:rsid w:val="006B11E0"/>
    <w:rsid w:val="006B2488"/>
    <w:rsid w:val="006B29D8"/>
    <w:rsid w:val="006B3874"/>
    <w:rsid w:val="006B4A07"/>
    <w:rsid w:val="006B56CE"/>
    <w:rsid w:val="006B5981"/>
    <w:rsid w:val="006B6631"/>
    <w:rsid w:val="006B6C50"/>
    <w:rsid w:val="006C077D"/>
    <w:rsid w:val="006C12D6"/>
    <w:rsid w:val="006C18DD"/>
    <w:rsid w:val="006C2C66"/>
    <w:rsid w:val="006C314E"/>
    <w:rsid w:val="006C494C"/>
    <w:rsid w:val="006C4B4D"/>
    <w:rsid w:val="006C4BC0"/>
    <w:rsid w:val="006C4D4C"/>
    <w:rsid w:val="006C56A7"/>
    <w:rsid w:val="006C6386"/>
    <w:rsid w:val="006C757F"/>
    <w:rsid w:val="006D091A"/>
    <w:rsid w:val="006D1036"/>
    <w:rsid w:val="006D109D"/>
    <w:rsid w:val="006D148B"/>
    <w:rsid w:val="006D3A0E"/>
    <w:rsid w:val="006D3AA2"/>
    <w:rsid w:val="006D41F0"/>
    <w:rsid w:val="006D421A"/>
    <w:rsid w:val="006D42E9"/>
    <w:rsid w:val="006D51D2"/>
    <w:rsid w:val="006D5325"/>
    <w:rsid w:val="006D5B07"/>
    <w:rsid w:val="006D5B9D"/>
    <w:rsid w:val="006D6BF1"/>
    <w:rsid w:val="006E049B"/>
    <w:rsid w:val="006E145C"/>
    <w:rsid w:val="006E212C"/>
    <w:rsid w:val="006E2938"/>
    <w:rsid w:val="006E3B8C"/>
    <w:rsid w:val="006E3F59"/>
    <w:rsid w:val="006E3FF0"/>
    <w:rsid w:val="006E4B34"/>
    <w:rsid w:val="006E5823"/>
    <w:rsid w:val="006E6152"/>
    <w:rsid w:val="006E62DC"/>
    <w:rsid w:val="006F17D9"/>
    <w:rsid w:val="006F3684"/>
    <w:rsid w:val="006F38C2"/>
    <w:rsid w:val="006F547D"/>
    <w:rsid w:val="006F663F"/>
    <w:rsid w:val="006F71F2"/>
    <w:rsid w:val="007010C7"/>
    <w:rsid w:val="00703C4E"/>
    <w:rsid w:val="00703EDC"/>
    <w:rsid w:val="0070407A"/>
    <w:rsid w:val="00705097"/>
    <w:rsid w:val="0070681F"/>
    <w:rsid w:val="007104D5"/>
    <w:rsid w:val="0071086B"/>
    <w:rsid w:val="00710D89"/>
    <w:rsid w:val="00712240"/>
    <w:rsid w:val="00712E70"/>
    <w:rsid w:val="00713A3F"/>
    <w:rsid w:val="00715CC8"/>
    <w:rsid w:val="00716C4F"/>
    <w:rsid w:val="00717805"/>
    <w:rsid w:val="00717BE8"/>
    <w:rsid w:val="00720C19"/>
    <w:rsid w:val="00720E28"/>
    <w:rsid w:val="00721232"/>
    <w:rsid w:val="007216F0"/>
    <w:rsid w:val="00721BA2"/>
    <w:rsid w:val="007233E5"/>
    <w:rsid w:val="00724153"/>
    <w:rsid w:val="00724638"/>
    <w:rsid w:val="00724DB6"/>
    <w:rsid w:val="007255E4"/>
    <w:rsid w:val="00727003"/>
    <w:rsid w:val="0072790D"/>
    <w:rsid w:val="0073054F"/>
    <w:rsid w:val="007314F4"/>
    <w:rsid w:val="00731562"/>
    <w:rsid w:val="007319C1"/>
    <w:rsid w:val="00731CB6"/>
    <w:rsid w:val="00732F17"/>
    <w:rsid w:val="00733694"/>
    <w:rsid w:val="0073371C"/>
    <w:rsid w:val="0073406F"/>
    <w:rsid w:val="007340B3"/>
    <w:rsid w:val="00734597"/>
    <w:rsid w:val="007350A3"/>
    <w:rsid w:val="00736DB8"/>
    <w:rsid w:val="00736E5C"/>
    <w:rsid w:val="00741D2F"/>
    <w:rsid w:val="00743EF6"/>
    <w:rsid w:val="007466D4"/>
    <w:rsid w:val="0074687B"/>
    <w:rsid w:val="00747E52"/>
    <w:rsid w:val="00747E5E"/>
    <w:rsid w:val="007505E2"/>
    <w:rsid w:val="0075148E"/>
    <w:rsid w:val="007520E5"/>
    <w:rsid w:val="00752368"/>
    <w:rsid w:val="00753114"/>
    <w:rsid w:val="00753893"/>
    <w:rsid w:val="007567DC"/>
    <w:rsid w:val="00757BF9"/>
    <w:rsid w:val="0076040F"/>
    <w:rsid w:val="00760A35"/>
    <w:rsid w:val="00760AB5"/>
    <w:rsid w:val="00760C86"/>
    <w:rsid w:val="007610E2"/>
    <w:rsid w:val="0076210A"/>
    <w:rsid w:val="007625EA"/>
    <w:rsid w:val="0076270F"/>
    <w:rsid w:val="00763599"/>
    <w:rsid w:val="00764599"/>
    <w:rsid w:val="00764B13"/>
    <w:rsid w:val="00765949"/>
    <w:rsid w:val="00765BC8"/>
    <w:rsid w:val="00765D5E"/>
    <w:rsid w:val="00770337"/>
    <w:rsid w:val="007731DA"/>
    <w:rsid w:val="007732D3"/>
    <w:rsid w:val="0077337B"/>
    <w:rsid w:val="00774E8F"/>
    <w:rsid w:val="007750DC"/>
    <w:rsid w:val="0077748C"/>
    <w:rsid w:val="00777D83"/>
    <w:rsid w:val="00781754"/>
    <w:rsid w:val="00782554"/>
    <w:rsid w:val="007842C6"/>
    <w:rsid w:val="007850E6"/>
    <w:rsid w:val="00785CD0"/>
    <w:rsid w:val="0078631A"/>
    <w:rsid w:val="0078795E"/>
    <w:rsid w:val="00787AF6"/>
    <w:rsid w:val="00787D8E"/>
    <w:rsid w:val="00790F0A"/>
    <w:rsid w:val="00791D87"/>
    <w:rsid w:val="007926C1"/>
    <w:rsid w:val="007934E7"/>
    <w:rsid w:val="00795479"/>
    <w:rsid w:val="00795D1C"/>
    <w:rsid w:val="00796028"/>
    <w:rsid w:val="00796D62"/>
    <w:rsid w:val="007A07FE"/>
    <w:rsid w:val="007A1330"/>
    <w:rsid w:val="007A1C74"/>
    <w:rsid w:val="007A2068"/>
    <w:rsid w:val="007A2527"/>
    <w:rsid w:val="007A2F04"/>
    <w:rsid w:val="007A36CF"/>
    <w:rsid w:val="007A3DA8"/>
    <w:rsid w:val="007A3E7D"/>
    <w:rsid w:val="007A4812"/>
    <w:rsid w:val="007A65E5"/>
    <w:rsid w:val="007B01B8"/>
    <w:rsid w:val="007B0600"/>
    <w:rsid w:val="007B3423"/>
    <w:rsid w:val="007B34C0"/>
    <w:rsid w:val="007B404E"/>
    <w:rsid w:val="007B40CB"/>
    <w:rsid w:val="007B5ADF"/>
    <w:rsid w:val="007B7986"/>
    <w:rsid w:val="007C1B77"/>
    <w:rsid w:val="007C29A5"/>
    <w:rsid w:val="007C5F51"/>
    <w:rsid w:val="007C6C1F"/>
    <w:rsid w:val="007C795E"/>
    <w:rsid w:val="007D14E8"/>
    <w:rsid w:val="007D17FB"/>
    <w:rsid w:val="007D1AFD"/>
    <w:rsid w:val="007D2358"/>
    <w:rsid w:val="007D3286"/>
    <w:rsid w:val="007D351F"/>
    <w:rsid w:val="007D4146"/>
    <w:rsid w:val="007D46A6"/>
    <w:rsid w:val="007D60EB"/>
    <w:rsid w:val="007D6A2B"/>
    <w:rsid w:val="007D74C5"/>
    <w:rsid w:val="007D7559"/>
    <w:rsid w:val="007D7F71"/>
    <w:rsid w:val="007E075C"/>
    <w:rsid w:val="007E0D61"/>
    <w:rsid w:val="007E1FCC"/>
    <w:rsid w:val="007E2489"/>
    <w:rsid w:val="007E5F13"/>
    <w:rsid w:val="007E76C0"/>
    <w:rsid w:val="007E7936"/>
    <w:rsid w:val="007F09FD"/>
    <w:rsid w:val="007F1C89"/>
    <w:rsid w:val="007F34CC"/>
    <w:rsid w:val="007F5643"/>
    <w:rsid w:val="007F6028"/>
    <w:rsid w:val="007F6B17"/>
    <w:rsid w:val="007F6C18"/>
    <w:rsid w:val="00801266"/>
    <w:rsid w:val="00801903"/>
    <w:rsid w:val="00801B08"/>
    <w:rsid w:val="00801FBE"/>
    <w:rsid w:val="00802562"/>
    <w:rsid w:val="00803AF4"/>
    <w:rsid w:val="008041EA"/>
    <w:rsid w:val="00804E26"/>
    <w:rsid w:val="00805FE0"/>
    <w:rsid w:val="008102B3"/>
    <w:rsid w:val="00810CC7"/>
    <w:rsid w:val="0081120B"/>
    <w:rsid w:val="00813255"/>
    <w:rsid w:val="0081576A"/>
    <w:rsid w:val="00817612"/>
    <w:rsid w:val="00817F39"/>
    <w:rsid w:val="0082087B"/>
    <w:rsid w:val="00820E24"/>
    <w:rsid w:val="00820E3B"/>
    <w:rsid w:val="0082128B"/>
    <w:rsid w:val="00822649"/>
    <w:rsid w:val="008229B7"/>
    <w:rsid w:val="0082390F"/>
    <w:rsid w:val="008251F9"/>
    <w:rsid w:val="00825712"/>
    <w:rsid w:val="008273F1"/>
    <w:rsid w:val="0082785A"/>
    <w:rsid w:val="00830ABE"/>
    <w:rsid w:val="00830E52"/>
    <w:rsid w:val="008313DC"/>
    <w:rsid w:val="008324C1"/>
    <w:rsid w:val="0083258F"/>
    <w:rsid w:val="008339F8"/>
    <w:rsid w:val="00834F71"/>
    <w:rsid w:val="00836A9E"/>
    <w:rsid w:val="00836CCA"/>
    <w:rsid w:val="00837C1C"/>
    <w:rsid w:val="00840309"/>
    <w:rsid w:val="00840724"/>
    <w:rsid w:val="0084149A"/>
    <w:rsid w:val="0084446A"/>
    <w:rsid w:val="00844E96"/>
    <w:rsid w:val="00847A65"/>
    <w:rsid w:val="00847B45"/>
    <w:rsid w:val="00850AFE"/>
    <w:rsid w:val="00850D7A"/>
    <w:rsid w:val="00851AAF"/>
    <w:rsid w:val="00854734"/>
    <w:rsid w:val="00855202"/>
    <w:rsid w:val="00857514"/>
    <w:rsid w:val="008577BA"/>
    <w:rsid w:val="008578BC"/>
    <w:rsid w:val="0086030C"/>
    <w:rsid w:val="00860B06"/>
    <w:rsid w:val="00860C0C"/>
    <w:rsid w:val="00860F9F"/>
    <w:rsid w:val="00861DFE"/>
    <w:rsid w:val="00862124"/>
    <w:rsid w:val="00866036"/>
    <w:rsid w:val="00866A08"/>
    <w:rsid w:val="00866AC0"/>
    <w:rsid w:val="0086730C"/>
    <w:rsid w:val="00870633"/>
    <w:rsid w:val="00870E3D"/>
    <w:rsid w:val="00870FD7"/>
    <w:rsid w:val="00871184"/>
    <w:rsid w:val="008727B8"/>
    <w:rsid w:val="008742BF"/>
    <w:rsid w:val="0087616E"/>
    <w:rsid w:val="008765D4"/>
    <w:rsid w:val="00877C56"/>
    <w:rsid w:val="00877F06"/>
    <w:rsid w:val="0088073E"/>
    <w:rsid w:val="00882B48"/>
    <w:rsid w:val="00884EBF"/>
    <w:rsid w:val="008851F1"/>
    <w:rsid w:val="00886467"/>
    <w:rsid w:val="008876D5"/>
    <w:rsid w:val="008877CC"/>
    <w:rsid w:val="00890F32"/>
    <w:rsid w:val="00891B59"/>
    <w:rsid w:val="00892232"/>
    <w:rsid w:val="00893CDD"/>
    <w:rsid w:val="00894400"/>
    <w:rsid w:val="00894B8B"/>
    <w:rsid w:val="008974D5"/>
    <w:rsid w:val="00897C3F"/>
    <w:rsid w:val="008A092C"/>
    <w:rsid w:val="008A2402"/>
    <w:rsid w:val="008A26EA"/>
    <w:rsid w:val="008A2728"/>
    <w:rsid w:val="008A3B99"/>
    <w:rsid w:val="008A3CF4"/>
    <w:rsid w:val="008A4215"/>
    <w:rsid w:val="008A50A7"/>
    <w:rsid w:val="008A522A"/>
    <w:rsid w:val="008A524C"/>
    <w:rsid w:val="008A557F"/>
    <w:rsid w:val="008A64D0"/>
    <w:rsid w:val="008A66DD"/>
    <w:rsid w:val="008A677A"/>
    <w:rsid w:val="008A6A20"/>
    <w:rsid w:val="008A7186"/>
    <w:rsid w:val="008B034F"/>
    <w:rsid w:val="008B056D"/>
    <w:rsid w:val="008B09EC"/>
    <w:rsid w:val="008B0A8E"/>
    <w:rsid w:val="008B1C85"/>
    <w:rsid w:val="008B1FC0"/>
    <w:rsid w:val="008B271E"/>
    <w:rsid w:val="008B3F66"/>
    <w:rsid w:val="008B5132"/>
    <w:rsid w:val="008B74DE"/>
    <w:rsid w:val="008C00F7"/>
    <w:rsid w:val="008C1864"/>
    <w:rsid w:val="008C1C29"/>
    <w:rsid w:val="008C2A7C"/>
    <w:rsid w:val="008C42C6"/>
    <w:rsid w:val="008C44F5"/>
    <w:rsid w:val="008C560B"/>
    <w:rsid w:val="008C60E8"/>
    <w:rsid w:val="008C7B0E"/>
    <w:rsid w:val="008D00C5"/>
    <w:rsid w:val="008D0120"/>
    <w:rsid w:val="008D080C"/>
    <w:rsid w:val="008D0911"/>
    <w:rsid w:val="008D2064"/>
    <w:rsid w:val="008D2BCF"/>
    <w:rsid w:val="008D2C3C"/>
    <w:rsid w:val="008D3185"/>
    <w:rsid w:val="008D357B"/>
    <w:rsid w:val="008D4C86"/>
    <w:rsid w:val="008D4E57"/>
    <w:rsid w:val="008D5922"/>
    <w:rsid w:val="008D63E7"/>
    <w:rsid w:val="008D6877"/>
    <w:rsid w:val="008D6B37"/>
    <w:rsid w:val="008D6BB5"/>
    <w:rsid w:val="008D7987"/>
    <w:rsid w:val="008E126A"/>
    <w:rsid w:val="008E1772"/>
    <w:rsid w:val="008E23B7"/>
    <w:rsid w:val="008E3DA4"/>
    <w:rsid w:val="008E576A"/>
    <w:rsid w:val="008E607F"/>
    <w:rsid w:val="008E647A"/>
    <w:rsid w:val="008E7F1C"/>
    <w:rsid w:val="008F0AA6"/>
    <w:rsid w:val="008F22FE"/>
    <w:rsid w:val="008F2B5D"/>
    <w:rsid w:val="008F2C6C"/>
    <w:rsid w:val="008F4798"/>
    <w:rsid w:val="00900480"/>
    <w:rsid w:val="009005C6"/>
    <w:rsid w:val="009013D7"/>
    <w:rsid w:val="009016B1"/>
    <w:rsid w:val="009025BF"/>
    <w:rsid w:val="00902809"/>
    <w:rsid w:val="00902B1B"/>
    <w:rsid w:val="00904166"/>
    <w:rsid w:val="00904A1F"/>
    <w:rsid w:val="00906B28"/>
    <w:rsid w:val="0091016C"/>
    <w:rsid w:val="00910D79"/>
    <w:rsid w:val="00911507"/>
    <w:rsid w:val="009121AC"/>
    <w:rsid w:val="009141F3"/>
    <w:rsid w:val="00914200"/>
    <w:rsid w:val="00914EDA"/>
    <w:rsid w:val="0091544E"/>
    <w:rsid w:val="0091591B"/>
    <w:rsid w:val="0092007B"/>
    <w:rsid w:val="00920E49"/>
    <w:rsid w:val="00921EC0"/>
    <w:rsid w:val="009245F3"/>
    <w:rsid w:val="00924B63"/>
    <w:rsid w:val="00925DE5"/>
    <w:rsid w:val="009266FC"/>
    <w:rsid w:val="0092670A"/>
    <w:rsid w:val="0092711A"/>
    <w:rsid w:val="00930F49"/>
    <w:rsid w:val="00931B04"/>
    <w:rsid w:val="00932813"/>
    <w:rsid w:val="00932FD2"/>
    <w:rsid w:val="0093421D"/>
    <w:rsid w:val="009362EC"/>
    <w:rsid w:val="00937A8E"/>
    <w:rsid w:val="009406ED"/>
    <w:rsid w:val="00942BA2"/>
    <w:rsid w:val="00943E6B"/>
    <w:rsid w:val="00943EE1"/>
    <w:rsid w:val="00947700"/>
    <w:rsid w:val="00951A3A"/>
    <w:rsid w:val="00952277"/>
    <w:rsid w:val="009528DC"/>
    <w:rsid w:val="0095463D"/>
    <w:rsid w:val="00954F0E"/>
    <w:rsid w:val="0095599C"/>
    <w:rsid w:val="00956372"/>
    <w:rsid w:val="00956EC2"/>
    <w:rsid w:val="00957A0C"/>
    <w:rsid w:val="00960962"/>
    <w:rsid w:val="00960A76"/>
    <w:rsid w:val="00961D99"/>
    <w:rsid w:val="0096262E"/>
    <w:rsid w:val="0096276D"/>
    <w:rsid w:val="00963ABC"/>
    <w:rsid w:val="00964310"/>
    <w:rsid w:val="0096526C"/>
    <w:rsid w:val="00965E3D"/>
    <w:rsid w:val="0096705F"/>
    <w:rsid w:val="0096728E"/>
    <w:rsid w:val="00967320"/>
    <w:rsid w:val="00967879"/>
    <w:rsid w:val="009708DA"/>
    <w:rsid w:val="00970CFE"/>
    <w:rsid w:val="00970D26"/>
    <w:rsid w:val="00970D60"/>
    <w:rsid w:val="009715A3"/>
    <w:rsid w:val="00971ADD"/>
    <w:rsid w:val="00971C9A"/>
    <w:rsid w:val="0097227D"/>
    <w:rsid w:val="00973B63"/>
    <w:rsid w:val="009741B4"/>
    <w:rsid w:val="00976010"/>
    <w:rsid w:val="009777FB"/>
    <w:rsid w:val="00977B55"/>
    <w:rsid w:val="00977BAA"/>
    <w:rsid w:val="00977E4A"/>
    <w:rsid w:val="00980F87"/>
    <w:rsid w:val="00981E4B"/>
    <w:rsid w:val="009824A7"/>
    <w:rsid w:val="00982968"/>
    <w:rsid w:val="00982A8A"/>
    <w:rsid w:val="00984CE2"/>
    <w:rsid w:val="009850F7"/>
    <w:rsid w:val="009853C8"/>
    <w:rsid w:val="00985A9F"/>
    <w:rsid w:val="0099042A"/>
    <w:rsid w:val="00991166"/>
    <w:rsid w:val="009915A6"/>
    <w:rsid w:val="0099389A"/>
    <w:rsid w:val="00993B29"/>
    <w:rsid w:val="00994A45"/>
    <w:rsid w:val="009956DE"/>
    <w:rsid w:val="00997DB4"/>
    <w:rsid w:val="009A139D"/>
    <w:rsid w:val="009A152A"/>
    <w:rsid w:val="009A4EA1"/>
    <w:rsid w:val="009A5C9A"/>
    <w:rsid w:val="009A5FDB"/>
    <w:rsid w:val="009A75FD"/>
    <w:rsid w:val="009A7A74"/>
    <w:rsid w:val="009A7C42"/>
    <w:rsid w:val="009B0AEA"/>
    <w:rsid w:val="009B3465"/>
    <w:rsid w:val="009B4A5D"/>
    <w:rsid w:val="009B4C3E"/>
    <w:rsid w:val="009B503E"/>
    <w:rsid w:val="009B706E"/>
    <w:rsid w:val="009B7516"/>
    <w:rsid w:val="009C00A6"/>
    <w:rsid w:val="009C0C4C"/>
    <w:rsid w:val="009C279C"/>
    <w:rsid w:val="009C321F"/>
    <w:rsid w:val="009C376C"/>
    <w:rsid w:val="009C3B8A"/>
    <w:rsid w:val="009C3CEB"/>
    <w:rsid w:val="009C3DDF"/>
    <w:rsid w:val="009C45A6"/>
    <w:rsid w:val="009C49EE"/>
    <w:rsid w:val="009C596E"/>
    <w:rsid w:val="009C5BD8"/>
    <w:rsid w:val="009C7024"/>
    <w:rsid w:val="009C73BA"/>
    <w:rsid w:val="009C760E"/>
    <w:rsid w:val="009D05CB"/>
    <w:rsid w:val="009D24B3"/>
    <w:rsid w:val="009D3A36"/>
    <w:rsid w:val="009D4FC9"/>
    <w:rsid w:val="009D6346"/>
    <w:rsid w:val="009E013A"/>
    <w:rsid w:val="009E192B"/>
    <w:rsid w:val="009E3444"/>
    <w:rsid w:val="009E3817"/>
    <w:rsid w:val="009E39BA"/>
    <w:rsid w:val="009E42D5"/>
    <w:rsid w:val="009E4D18"/>
    <w:rsid w:val="009E4DBA"/>
    <w:rsid w:val="009E684B"/>
    <w:rsid w:val="009E6FDF"/>
    <w:rsid w:val="009F0CEF"/>
    <w:rsid w:val="009F31B9"/>
    <w:rsid w:val="009F38FB"/>
    <w:rsid w:val="009F41E0"/>
    <w:rsid w:val="009F48E4"/>
    <w:rsid w:val="009F5314"/>
    <w:rsid w:val="009F65C9"/>
    <w:rsid w:val="009F6694"/>
    <w:rsid w:val="009F7031"/>
    <w:rsid w:val="00A0015C"/>
    <w:rsid w:val="00A02286"/>
    <w:rsid w:val="00A03D51"/>
    <w:rsid w:val="00A04E97"/>
    <w:rsid w:val="00A0529A"/>
    <w:rsid w:val="00A0631B"/>
    <w:rsid w:val="00A06E11"/>
    <w:rsid w:val="00A07353"/>
    <w:rsid w:val="00A07948"/>
    <w:rsid w:val="00A07D9E"/>
    <w:rsid w:val="00A106B7"/>
    <w:rsid w:val="00A11D12"/>
    <w:rsid w:val="00A120B8"/>
    <w:rsid w:val="00A12D0A"/>
    <w:rsid w:val="00A12D9F"/>
    <w:rsid w:val="00A132F1"/>
    <w:rsid w:val="00A13A12"/>
    <w:rsid w:val="00A143E0"/>
    <w:rsid w:val="00A14E7C"/>
    <w:rsid w:val="00A20108"/>
    <w:rsid w:val="00A22A70"/>
    <w:rsid w:val="00A22E57"/>
    <w:rsid w:val="00A242AB"/>
    <w:rsid w:val="00A2466F"/>
    <w:rsid w:val="00A26015"/>
    <w:rsid w:val="00A26A76"/>
    <w:rsid w:val="00A30141"/>
    <w:rsid w:val="00A30FD1"/>
    <w:rsid w:val="00A31626"/>
    <w:rsid w:val="00A31C26"/>
    <w:rsid w:val="00A33711"/>
    <w:rsid w:val="00A341DE"/>
    <w:rsid w:val="00A34994"/>
    <w:rsid w:val="00A35252"/>
    <w:rsid w:val="00A36AA1"/>
    <w:rsid w:val="00A40C94"/>
    <w:rsid w:val="00A453E1"/>
    <w:rsid w:val="00A45673"/>
    <w:rsid w:val="00A457CA"/>
    <w:rsid w:val="00A471E2"/>
    <w:rsid w:val="00A4770B"/>
    <w:rsid w:val="00A50215"/>
    <w:rsid w:val="00A50EE1"/>
    <w:rsid w:val="00A60D3C"/>
    <w:rsid w:val="00A6111A"/>
    <w:rsid w:val="00A61329"/>
    <w:rsid w:val="00A63099"/>
    <w:rsid w:val="00A6667A"/>
    <w:rsid w:val="00A66CE2"/>
    <w:rsid w:val="00A67257"/>
    <w:rsid w:val="00A67D73"/>
    <w:rsid w:val="00A67E8C"/>
    <w:rsid w:val="00A704E2"/>
    <w:rsid w:val="00A70909"/>
    <w:rsid w:val="00A70914"/>
    <w:rsid w:val="00A70917"/>
    <w:rsid w:val="00A711B3"/>
    <w:rsid w:val="00A712CB"/>
    <w:rsid w:val="00A71E63"/>
    <w:rsid w:val="00A725F3"/>
    <w:rsid w:val="00A76289"/>
    <w:rsid w:val="00A766A0"/>
    <w:rsid w:val="00A811A5"/>
    <w:rsid w:val="00A81FB1"/>
    <w:rsid w:val="00A84F7B"/>
    <w:rsid w:val="00A85F0A"/>
    <w:rsid w:val="00A85FD0"/>
    <w:rsid w:val="00A861BD"/>
    <w:rsid w:val="00A91AC5"/>
    <w:rsid w:val="00A921D8"/>
    <w:rsid w:val="00A92EA7"/>
    <w:rsid w:val="00A95047"/>
    <w:rsid w:val="00A96382"/>
    <w:rsid w:val="00A9689C"/>
    <w:rsid w:val="00A969DD"/>
    <w:rsid w:val="00A96B63"/>
    <w:rsid w:val="00AA0C01"/>
    <w:rsid w:val="00AA1980"/>
    <w:rsid w:val="00AA1FA2"/>
    <w:rsid w:val="00AA3117"/>
    <w:rsid w:val="00AA4942"/>
    <w:rsid w:val="00AA5B28"/>
    <w:rsid w:val="00AA67D0"/>
    <w:rsid w:val="00AA7126"/>
    <w:rsid w:val="00AA7C73"/>
    <w:rsid w:val="00AA7CD8"/>
    <w:rsid w:val="00AB0AE8"/>
    <w:rsid w:val="00AB1451"/>
    <w:rsid w:val="00AB2159"/>
    <w:rsid w:val="00AB21E8"/>
    <w:rsid w:val="00AB2DF4"/>
    <w:rsid w:val="00AB33DC"/>
    <w:rsid w:val="00AB3400"/>
    <w:rsid w:val="00AB39FB"/>
    <w:rsid w:val="00AB44DD"/>
    <w:rsid w:val="00AB6F30"/>
    <w:rsid w:val="00AB72C0"/>
    <w:rsid w:val="00AC13B9"/>
    <w:rsid w:val="00AC16AC"/>
    <w:rsid w:val="00AC40F2"/>
    <w:rsid w:val="00AC4233"/>
    <w:rsid w:val="00AC4F68"/>
    <w:rsid w:val="00AC5584"/>
    <w:rsid w:val="00AC55CC"/>
    <w:rsid w:val="00AC74F6"/>
    <w:rsid w:val="00AC7B38"/>
    <w:rsid w:val="00AC7D8F"/>
    <w:rsid w:val="00AC7E61"/>
    <w:rsid w:val="00AD0661"/>
    <w:rsid w:val="00AD17EC"/>
    <w:rsid w:val="00AD1F8E"/>
    <w:rsid w:val="00AD29D2"/>
    <w:rsid w:val="00AD585B"/>
    <w:rsid w:val="00AD727E"/>
    <w:rsid w:val="00AE1E92"/>
    <w:rsid w:val="00AE220F"/>
    <w:rsid w:val="00AE3296"/>
    <w:rsid w:val="00AE365A"/>
    <w:rsid w:val="00AE3A02"/>
    <w:rsid w:val="00AE47E2"/>
    <w:rsid w:val="00AE61E9"/>
    <w:rsid w:val="00AE694A"/>
    <w:rsid w:val="00AE6D55"/>
    <w:rsid w:val="00AE7FE6"/>
    <w:rsid w:val="00AF1346"/>
    <w:rsid w:val="00AF1E78"/>
    <w:rsid w:val="00AF1FB9"/>
    <w:rsid w:val="00AF2649"/>
    <w:rsid w:val="00AF288E"/>
    <w:rsid w:val="00AF3A00"/>
    <w:rsid w:val="00AF663D"/>
    <w:rsid w:val="00AF7F8A"/>
    <w:rsid w:val="00B003B8"/>
    <w:rsid w:val="00B018EC"/>
    <w:rsid w:val="00B0307B"/>
    <w:rsid w:val="00B037AC"/>
    <w:rsid w:val="00B047AC"/>
    <w:rsid w:val="00B04862"/>
    <w:rsid w:val="00B04DAE"/>
    <w:rsid w:val="00B0500C"/>
    <w:rsid w:val="00B0642C"/>
    <w:rsid w:val="00B1055B"/>
    <w:rsid w:val="00B10D81"/>
    <w:rsid w:val="00B10E4D"/>
    <w:rsid w:val="00B10E77"/>
    <w:rsid w:val="00B12B54"/>
    <w:rsid w:val="00B14507"/>
    <w:rsid w:val="00B16AD4"/>
    <w:rsid w:val="00B16FA3"/>
    <w:rsid w:val="00B1767B"/>
    <w:rsid w:val="00B2007F"/>
    <w:rsid w:val="00B20958"/>
    <w:rsid w:val="00B2107C"/>
    <w:rsid w:val="00B216F0"/>
    <w:rsid w:val="00B2289D"/>
    <w:rsid w:val="00B230D3"/>
    <w:rsid w:val="00B234C6"/>
    <w:rsid w:val="00B24B7A"/>
    <w:rsid w:val="00B25D46"/>
    <w:rsid w:val="00B306B3"/>
    <w:rsid w:val="00B315C2"/>
    <w:rsid w:val="00B32EB7"/>
    <w:rsid w:val="00B347B3"/>
    <w:rsid w:val="00B3745C"/>
    <w:rsid w:val="00B37A5E"/>
    <w:rsid w:val="00B40381"/>
    <w:rsid w:val="00B40E5F"/>
    <w:rsid w:val="00B45E1F"/>
    <w:rsid w:val="00B466E6"/>
    <w:rsid w:val="00B473DF"/>
    <w:rsid w:val="00B47B23"/>
    <w:rsid w:val="00B51B22"/>
    <w:rsid w:val="00B549E0"/>
    <w:rsid w:val="00B552C7"/>
    <w:rsid w:val="00B55567"/>
    <w:rsid w:val="00B55F85"/>
    <w:rsid w:val="00B570C3"/>
    <w:rsid w:val="00B5732A"/>
    <w:rsid w:val="00B60AA3"/>
    <w:rsid w:val="00B61444"/>
    <w:rsid w:val="00B64153"/>
    <w:rsid w:val="00B6451E"/>
    <w:rsid w:val="00B65331"/>
    <w:rsid w:val="00B65D52"/>
    <w:rsid w:val="00B65F3B"/>
    <w:rsid w:val="00B67086"/>
    <w:rsid w:val="00B67351"/>
    <w:rsid w:val="00B67446"/>
    <w:rsid w:val="00B701DB"/>
    <w:rsid w:val="00B708A0"/>
    <w:rsid w:val="00B70D8B"/>
    <w:rsid w:val="00B72E65"/>
    <w:rsid w:val="00B72F0B"/>
    <w:rsid w:val="00B73A4E"/>
    <w:rsid w:val="00B7478A"/>
    <w:rsid w:val="00B74F9A"/>
    <w:rsid w:val="00B75875"/>
    <w:rsid w:val="00B761BD"/>
    <w:rsid w:val="00B77D99"/>
    <w:rsid w:val="00B77D9A"/>
    <w:rsid w:val="00B801CD"/>
    <w:rsid w:val="00B811F2"/>
    <w:rsid w:val="00B8442A"/>
    <w:rsid w:val="00B85BB3"/>
    <w:rsid w:val="00B86907"/>
    <w:rsid w:val="00B9255C"/>
    <w:rsid w:val="00B92A12"/>
    <w:rsid w:val="00B92D88"/>
    <w:rsid w:val="00B958E8"/>
    <w:rsid w:val="00B95E24"/>
    <w:rsid w:val="00B96031"/>
    <w:rsid w:val="00B96A84"/>
    <w:rsid w:val="00BA04C2"/>
    <w:rsid w:val="00BA156B"/>
    <w:rsid w:val="00BA1596"/>
    <w:rsid w:val="00BA2EB3"/>
    <w:rsid w:val="00BA611B"/>
    <w:rsid w:val="00BA7603"/>
    <w:rsid w:val="00BB1B0B"/>
    <w:rsid w:val="00BB26B4"/>
    <w:rsid w:val="00BB2A9F"/>
    <w:rsid w:val="00BB312C"/>
    <w:rsid w:val="00BB342B"/>
    <w:rsid w:val="00BB3FF2"/>
    <w:rsid w:val="00BB4073"/>
    <w:rsid w:val="00BB45A9"/>
    <w:rsid w:val="00BB4F5C"/>
    <w:rsid w:val="00BC1651"/>
    <w:rsid w:val="00BC25FA"/>
    <w:rsid w:val="00BC3782"/>
    <w:rsid w:val="00BC3A7E"/>
    <w:rsid w:val="00BC504C"/>
    <w:rsid w:val="00BC5803"/>
    <w:rsid w:val="00BC7962"/>
    <w:rsid w:val="00BC7AFA"/>
    <w:rsid w:val="00BD07AC"/>
    <w:rsid w:val="00BD0969"/>
    <w:rsid w:val="00BD1196"/>
    <w:rsid w:val="00BD215C"/>
    <w:rsid w:val="00BD27D9"/>
    <w:rsid w:val="00BD2883"/>
    <w:rsid w:val="00BD2C82"/>
    <w:rsid w:val="00BD2F41"/>
    <w:rsid w:val="00BD3A3F"/>
    <w:rsid w:val="00BD4782"/>
    <w:rsid w:val="00BD5036"/>
    <w:rsid w:val="00BD5F11"/>
    <w:rsid w:val="00BE02F7"/>
    <w:rsid w:val="00BE09AC"/>
    <w:rsid w:val="00BE0C48"/>
    <w:rsid w:val="00BE2951"/>
    <w:rsid w:val="00BE2C16"/>
    <w:rsid w:val="00BE2DFF"/>
    <w:rsid w:val="00BE33BB"/>
    <w:rsid w:val="00BE375D"/>
    <w:rsid w:val="00BE48E3"/>
    <w:rsid w:val="00BE4950"/>
    <w:rsid w:val="00BE5B15"/>
    <w:rsid w:val="00BE710A"/>
    <w:rsid w:val="00BE7160"/>
    <w:rsid w:val="00BF1106"/>
    <w:rsid w:val="00BF1B33"/>
    <w:rsid w:val="00BF3F3B"/>
    <w:rsid w:val="00BF46D3"/>
    <w:rsid w:val="00BF5408"/>
    <w:rsid w:val="00BF6DC9"/>
    <w:rsid w:val="00BF6E34"/>
    <w:rsid w:val="00C003C6"/>
    <w:rsid w:val="00C01499"/>
    <w:rsid w:val="00C01B4A"/>
    <w:rsid w:val="00C02F00"/>
    <w:rsid w:val="00C03C5F"/>
    <w:rsid w:val="00C07BE8"/>
    <w:rsid w:val="00C124B5"/>
    <w:rsid w:val="00C14C71"/>
    <w:rsid w:val="00C14E0D"/>
    <w:rsid w:val="00C156E9"/>
    <w:rsid w:val="00C15A62"/>
    <w:rsid w:val="00C15E84"/>
    <w:rsid w:val="00C16B9F"/>
    <w:rsid w:val="00C16E26"/>
    <w:rsid w:val="00C17017"/>
    <w:rsid w:val="00C171EB"/>
    <w:rsid w:val="00C223F8"/>
    <w:rsid w:val="00C226EA"/>
    <w:rsid w:val="00C228E8"/>
    <w:rsid w:val="00C24B6A"/>
    <w:rsid w:val="00C24E0A"/>
    <w:rsid w:val="00C25493"/>
    <w:rsid w:val="00C2721B"/>
    <w:rsid w:val="00C27397"/>
    <w:rsid w:val="00C30E39"/>
    <w:rsid w:val="00C30FC8"/>
    <w:rsid w:val="00C32A18"/>
    <w:rsid w:val="00C3303B"/>
    <w:rsid w:val="00C340A6"/>
    <w:rsid w:val="00C34516"/>
    <w:rsid w:val="00C34B54"/>
    <w:rsid w:val="00C34DE4"/>
    <w:rsid w:val="00C41447"/>
    <w:rsid w:val="00C4207B"/>
    <w:rsid w:val="00C428DA"/>
    <w:rsid w:val="00C441B5"/>
    <w:rsid w:val="00C46C39"/>
    <w:rsid w:val="00C46D14"/>
    <w:rsid w:val="00C50A99"/>
    <w:rsid w:val="00C50EC4"/>
    <w:rsid w:val="00C520D8"/>
    <w:rsid w:val="00C521D4"/>
    <w:rsid w:val="00C53BC2"/>
    <w:rsid w:val="00C54344"/>
    <w:rsid w:val="00C54FE5"/>
    <w:rsid w:val="00C57922"/>
    <w:rsid w:val="00C60C0E"/>
    <w:rsid w:val="00C61FD9"/>
    <w:rsid w:val="00C67AC4"/>
    <w:rsid w:val="00C67F4B"/>
    <w:rsid w:val="00C704E3"/>
    <w:rsid w:val="00C733F1"/>
    <w:rsid w:val="00C7371C"/>
    <w:rsid w:val="00C738DF"/>
    <w:rsid w:val="00C76ECD"/>
    <w:rsid w:val="00C772FB"/>
    <w:rsid w:val="00C8037E"/>
    <w:rsid w:val="00C80B9A"/>
    <w:rsid w:val="00C80C38"/>
    <w:rsid w:val="00C85AD4"/>
    <w:rsid w:val="00C861B2"/>
    <w:rsid w:val="00C900B9"/>
    <w:rsid w:val="00C90B17"/>
    <w:rsid w:val="00C927F2"/>
    <w:rsid w:val="00C92B37"/>
    <w:rsid w:val="00C92E7C"/>
    <w:rsid w:val="00C93821"/>
    <w:rsid w:val="00C95EA6"/>
    <w:rsid w:val="00C9678F"/>
    <w:rsid w:val="00CA02EF"/>
    <w:rsid w:val="00CA0424"/>
    <w:rsid w:val="00CA0DB8"/>
    <w:rsid w:val="00CA124D"/>
    <w:rsid w:val="00CA1420"/>
    <w:rsid w:val="00CA30E2"/>
    <w:rsid w:val="00CA3461"/>
    <w:rsid w:val="00CA352D"/>
    <w:rsid w:val="00CA3768"/>
    <w:rsid w:val="00CA3CE9"/>
    <w:rsid w:val="00CA42E8"/>
    <w:rsid w:val="00CA4BDD"/>
    <w:rsid w:val="00CA6E72"/>
    <w:rsid w:val="00CB02E2"/>
    <w:rsid w:val="00CB0EA1"/>
    <w:rsid w:val="00CB1266"/>
    <w:rsid w:val="00CB3393"/>
    <w:rsid w:val="00CB481F"/>
    <w:rsid w:val="00CB6002"/>
    <w:rsid w:val="00CB6C5B"/>
    <w:rsid w:val="00CB6CA7"/>
    <w:rsid w:val="00CB742D"/>
    <w:rsid w:val="00CB7604"/>
    <w:rsid w:val="00CC0254"/>
    <w:rsid w:val="00CC02F4"/>
    <w:rsid w:val="00CC1351"/>
    <w:rsid w:val="00CC1FC6"/>
    <w:rsid w:val="00CC23E2"/>
    <w:rsid w:val="00CC3694"/>
    <w:rsid w:val="00CC3C96"/>
    <w:rsid w:val="00CC64D8"/>
    <w:rsid w:val="00CC6A92"/>
    <w:rsid w:val="00CC7112"/>
    <w:rsid w:val="00CC7519"/>
    <w:rsid w:val="00CC767B"/>
    <w:rsid w:val="00CC79E0"/>
    <w:rsid w:val="00CC7B44"/>
    <w:rsid w:val="00CC7C77"/>
    <w:rsid w:val="00CC7D68"/>
    <w:rsid w:val="00CD0C9A"/>
    <w:rsid w:val="00CD25DA"/>
    <w:rsid w:val="00CD7957"/>
    <w:rsid w:val="00CE01D9"/>
    <w:rsid w:val="00CE0C71"/>
    <w:rsid w:val="00CE2FF3"/>
    <w:rsid w:val="00CE3276"/>
    <w:rsid w:val="00CE40B9"/>
    <w:rsid w:val="00CE52F1"/>
    <w:rsid w:val="00CE7287"/>
    <w:rsid w:val="00CF12B3"/>
    <w:rsid w:val="00CF24A8"/>
    <w:rsid w:val="00CF2C83"/>
    <w:rsid w:val="00CF35BC"/>
    <w:rsid w:val="00CF3E6B"/>
    <w:rsid w:val="00CF4109"/>
    <w:rsid w:val="00CF5B4C"/>
    <w:rsid w:val="00CF6356"/>
    <w:rsid w:val="00D0139C"/>
    <w:rsid w:val="00D01B3A"/>
    <w:rsid w:val="00D01EB8"/>
    <w:rsid w:val="00D04329"/>
    <w:rsid w:val="00D04CD9"/>
    <w:rsid w:val="00D0615A"/>
    <w:rsid w:val="00D06BB3"/>
    <w:rsid w:val="00D10371"/>
    <w:rsid w:val="00D10AED"/>
    <w:rsid w:val="00D1300C"/>
    <w:rsid w:val="00D139A3"/>
    <w:rsid w:val="00D1414E"/>
    <w:rsid w:val="00D14D45"/>
    <w:rsid w:val="00D151ED"/>
    <w:rsid w:val="00D163B3"/>
    <w:rsid w:val="00D168F9"/>
    <w:rsid w:val="00D171D6"/>
    <w:rsid w:val="00D178C2"/>
    <w:rsid w:val="00D20AB3"/>
    <w:rsid w:val="00D23042"/>
    <w:rsid w:val="00D2407B"/>
    <w:rsid w:val="00D24097"/>
    <w:rsid w:val="00D245CD"/>
    <w:rsid w:val="00D24A90"/>
    <w:rsid w:val="00D257AB"/>
    <w:rsid w:val="00D25C6F"/>
    <w:rsid w:val="00D261B3"/>
    <w:rsid w:val="00D263DD"/>
    <w:rsid w:val="00D26596"/>
    <w:rsid w:val="00D26E92"/>
    <w:rsid w:val="00D27E6C"/>
    <w:rsid w:val="00D31866"/>
    <w:rsid w:val="00D31B8A"/>
    <w:rsid w:val="00D35234"/>
    <w:rsid w:val="00D3546B"/>
    <w:rsid w:val="00D35509"/>
    <w:rsid w:val="00D36346"/>
    <w:rsid w:val="00D4161D"/>
    <w:rsid w:val="00D41B1C"/>
    <w:rsid w:val="00D41D32"/>
    <w:rsid w:val="00D44689"/>
    <w:rsid w:val="00D45F65"/>
    <w:rsid w:val="00D4629C"/>
    <w:rsid w:val="00D464C1"/>
    <w:rsid w:val="00D504E1"/>
    <w:rsid w:val="00D51169"/>
    <w:rsid w:val="00D516E2"/>
    <w:rsid w:val="00D5319E"/>
    <w:rsid w:val="00D56092"/>
    <w:rsid w:val="00D566FA"/>
    <w:rsid w:val="00D57686"/>
    <w:rsid w:val="00D57AAF"/>
    <w:rsid w:val="00D57D89"/>
    <w:rsid w:val="00D600C0"/>
    <w:rsid w:val="00D60B14"/>
    <w:rsid w:val="00D644AF"/>
    <w:rsid w:val="00D64785"/>
    <w:rsid w:val="00D64F7C"/>
    <w:rsid w:val="00D65290"/>
    <w:rsid w:val="00D65373"/>
    <w:rsid w:val="00D65C3B"/>
    <w:rsid w:val="00D66F8E"/>
    <w:rsid w:val="00D67533"/>
    <w:rsid w:val="00D71E65"/>
    <w:rsid w:val="00D7247E"/>
    <w:rsid w:val="00D73AAB"/>
    <w:rsid w:val="00D7415E"/>
    <w:rsid w:val="00D74542"/>
    <w:rsid w:val="00D804AF"/>
    <w:rsid w:val="00D808A3"/>
    <w:rsid w:val="00D808F3"/>
    <w:rsid w:val="00D81A67"/>
    <w:rsid w:val="00D81D11"/>
    <w:rsid w:val="00D8238C"/>
    <w:rsid w:val="00D83166"/>
    <w:rsid w:val="00D84887"/>
    <w:rsid w:val="00D864C5"/>
    <w:rsid w:val="00D9059E"/>
    <w:rsid w:val="00D90AB1"/>
    <w:rsid w:val="00D91701"/>
    <w:rsid w:val="00D91F85"/>
    <w:rsid w:val="00D9299A"/>
    <w:rsid w:val="00D936AB"/>
    <w:rsid w:val="00D9562B"/>
    <w:rsid w:val="00D96750"/>
    <w:rsid w:val="00D9730F"/>
    <w:rsid w:val="00D9761D"/>
    <w:rsid w:val="00D977EA"/>
    <w:rsid w:val="00D9781C"/>
    <w:rsid w:val="00DA1765"/>
    <w:rsid w:val="00DA3074"/>
    <w:rsid w:val="00DA370B"/>
    <w:rsid w:val="00DA3996"/>
    <w:rsid w:val="00DA3F6A"/>
    <w:rsid w:val="00DA43F7"/>
    <w:rsid w:val="00DA69B2"/>
    <w:rsid w:val="00DA7EBD"/>
    <w:rsid w:val="00DB005D"/>
    <w:rsid w:val="00DB33F2"/>
    <w:rsid w:val="00DB3F94"/>
    <w:rsid w:val="00DB44B3"/>
    <w:rsid w:val="00DB4CC6"/>
    <w:rsid w:val="00DB7AE3"/>
    <w:rsid w:val="00DC1ED8"/>
    <w:rsid w:val="00DC3CB3"/>
    <w:rsid w:val="00DC52E1"/>
    <w:rsid w:val="00DC5817"/>
    <w:rsid w:val="00DC5E65"/>
    <w:rsid w:val="00DC6FE7"/>
    <w:rsid w:val="00DC7BEC"/>
    <w:rsid w:val="00DD0FAB"/>
    <w:rsid w:val="00DD23A6"/>
    <w:rsid w:val="00DD2C8C"/>
    <w:rsid w:val="00DD2C90"/>
    <w:rsid w:val="00DD323B"/>
    <w:rsid w:val="00DD5525"/>
    <w:rsid w:val="00DD5767"/>
    <w:rsid w:val="00DD5C29"/>
    <w:rsid w:val="00DD7706"/>
    <w:rsid w:val="00DD7A02"/>
    <w:rsid w:val="00DD7C2A"/>
    <w:rsid w:val="00DE0DA9"/>
    <w:rsid w:val="00DE1333"/>
    <w:rsid w:val="00DE16E0"/>
    <w:rsid w:val="00DE183E"/>
    <w:rsid w:val="00DE2229"/>
    <w:rsid w:val="00DE3733"/>
    <w:rsid w:val="00DE39E0"/>
    <w:rsid w:val="00DE3A7A"/>
    <w:rsid w:val="00DE6C94"/>
    <w:rsid w:val="00DE76AB"/>
    <w:rsid w:val="00DE7BAD"/>
    <w:rsid w:val="00DF0605"/>
    <w:rsid w:val="00DF21D3"/>
    <w:rsid w:val="00DF45A6"/>
    <w:rsid w:val="00DF5942"/>
    <w:rsid w:val="00DF6F48"/>
    <w:rsid w:val="00E0039E"/>
    <w:rsid w:val="00E00952"/>
    <w:rsid w:val="00E01820"/>
    <w:rsid w:val="00E01B35"/>
    <w:rsid w:val="00E02CB2"/>
    <w:rsid w:val="00E02F87"/>
    <w:rsid w:val="00E03803"/>
    <w:rsid w:val="00E04FD8"/>
    <w:rsid w:val="00E05630"/>
    <w:rsid w:val="00E06716"/>
    <w:rsid w:val="00E07564"/>
    <w:rsid w:val="00E077D3"/>
    <w:rsid w:val="00E118EB"/>
    <w:rsid w:val="00E135DE"/>
    <w:rsid w:val="00E13D8A"/>
    <w:rsid w:val="00E14381"/>
    <w:rsid w:val="00E15C6F"/>
    <w:rsid w:val="00E17BC0"/>
    <w:rsid w:val="00E20B95"/>
    <w:rsid w:val="00E223F1"/>
    <w:rsid w:val="00E243EE"/>
    <w:rsid w:val="00E2441A"/>
    <w:rsid w:val="00E24858"/>
    <w:rsid w:val="00E24D93"/>
    <w:rsid w:val="00E24FA6"/>
    <w:rsid w:val="00E25C77"/>
    <w:rsid w:val="00E264A9"/>
    <w:rsid w:val="00E305BD"/>
    <w:rsid w:val="00E31520"/>
    <w:rsid w:val="00E32B62"/>
    <w:rsid w:val="00E33556"/>
    <w:rsid w:val="00E337ED"/>
    <w:rsid w:val="00E359E8"/>
    <w:rsid w:val="00E3619D"/>
    <w:rsid w:val="00E362A6"/>
    <w:rsid w:val="00E363DA"/>
    <w:rsid w:val="00E36BF6"/>
    <w:rsid w:val="00E36C67"/>
    <w:rsid w:val="00E37897"/>
    <w:rsid w:val="00E37D45"/>
    <w:rsid w:val="00E40139"/>
    <w:rsid w:val="00E41037"/>
    <w:rsid w:val="00E4183C"/>
    <w:rsid w:val="00E4244C"/>
    <w:rsid w:val="00E4346D"/>
    <w:rsid w:val="00E44571"/>
    <w:rsid w:val="00E4578C"/>
    <w:rsid w:val="00E458E0"/>
    <w:rsid w:val="00E46BBD"/>
    <w:rsid w:val="00E46BC5"/>
    <w:rsid w:val="00E46F15"/>
    <w:rsid w:val="00E50CB9"/>
    <w:rsid w:val="00E527E5"/>
    <w:rsid w:val="00E52E9F"/>
    <w:rsid w:val="00E54B2D"/>
    <w:rsid w:val="00E55BFB"/>
    <w:rsid w:val="00E55E68"/>
    <w:rsid w:val="00E57B9C"/>
    <w:rsid w:val="00E62F2E"/>
    <w:rsid w:val="00E6465F"/>
    <w:rsid w:val="00E650D2"/>
    <w:rsid w:val="00E654A9"/>
    <w:rsid w:val="00E65AF8"/>
    <w:rsid w:val="00E66AEA"/>
    <w:rsid w:val="00E66B00"/>
    <w:rsid w:val="00E67789"/>
    <w:rsid w:val="00E678C5"/>
    <w:rsid w:val="00E67B5C"/>
    <w:rsid w:val="00E67C5F"/>
    <w:rsid w:val="00E70B0B"/>
    <w:rsid w:val="00E70DD0"/>
    <w:rsid w:val="00E71590"/>
    <w:rsid w:val="00E72837"/>
    <w:rsid w:val="00E7734F"/>
    <w:rsid w:val="00E859CE"/>
    <w:rsid w:val="00E86363"/>
    <w:rsid w:val="00E86B78"/>
    <w:rsid w:val="00E87F9F"/>
    <w:rsid w:val="00E90717"/>
    <w:rsid w:val="00E90803"/>
    <w:rsid w:val="00E90C8F"/>
    <w:rsid w:val="00E90ED7"/>
    <w:rsid w:val="00E90F9C"/>
    <w:rsid w:val="00E93EAC"/>
    <w:rsid w:val="00E95B39"/>
    <w:rsid w:val="00E963EC"/>
    <w:rsid w:val="00EA0054"/>
    <w:rsid w:val="00EA0672"/>
    <w:rsid w:val="00EA07DB"/>
    <w:rsid w:val="00EA0E09"/>
    <w:rsid w:val="00EA32D7"/>
    <w:rsid w:val="00EA457E"/>
    <w:rsid w:val="00EA4778"/>
    <w:rsid w:val="00EA479E"/>
    <w:rsid w:val="00EA53F1"/>
    <w:rsid w:val="00EB1C53"/>
    <w:rsid w:val="00EB5734"/>
    <w:rsid w:val="00EB5C21"/>
    <w:rsid w:val="00EB71A6"/>
    <w:rsid w:val="00EB7AD9"/>
    <w:rsid w:val="00EC0339"/>
    <w:rsid w:val="00EC14D5"/>
    <w:rsid w:val="00EC2450"/>
    <w:rsid w:val="00EC2D90"/>
    <w:rsid w:val="00EC30A3"/>
    <w:rsid w:val="00EC3B6B"/>
    <w:rsid w:val="00EC413D"/>
    <w:rsid w:val="00EC42A0"/>
    <w:rsid w:val="00EC53AC"/>
    <w:rsid w:val="00ED0045"/>
    <w:rsid w:val="00ED0781"/>
    <w:rsid w:val="00ED14EA"/>
    <w:rsid w:val="00ED192F"/>
    <w:rsid w:val="00ED250A"/>
    <w:rsid w:val="00ED2A6E"/>
    <w:rsid w:val="00ED3414"/>
    <w:rsid w:val="00ED3B93"/>
    <w:rsid w:val="00ED4A61"/>
    <w:rsid w:val="00ED59D4"/>
    <w:rsid w:val="00ED664F"/>
    <w:rsid w:val="00ED716A"/>
    <w:rsid w:val="00EE0009"/>
    <w:rsid w:val="00EE10C1"/>
    <w:rsid w:val="00EE2822"/>
    <w:rsid w:val="00EE789D"/>
    <w:rsid w:val="00EF0263"/>
    <w:rsid w:val="00EF0AB5"/>
    <w:rsid w:val="00EF11EA"/>
    <w:rsid w:val="00EF14D1"/>
    <w:rsid w:val="00EF15DB"/>
    <w:rsid w:val="00EF178A"/>
    <w:rsid w:val="00EF2300"/>
    <w:rsid w:val="00EF236E"/>
    <w:rsid w:val="00EF2538"/>
    <w:rsid w:val="00EF2E9E"/>
    <w:rsid w:val="00EF3208"/>
    <w:rsid w:val="00EF4347"/>
    <w:rsid w:val="00EF6364"/>
    <w:rsid w:val="00EF695A"/>
    <w:rsid w:val="00EF7378"/>
    <w:rsid w:val="00EF7A32"/>
    <w:rsid w:val="00F0180A"/>
    <w:rsid w:val="00F01850"/>
    <w:rsid w:val="00F0188F"/>
    <w:rsid w:val="00F02DD4"/>
    <w:rsid w:val="00F0339B"/>
    <w:rsid w:val="00F03AFB"/>
    <w:rsid w:val="00F04563"/>
    <w:rsid w:val="00F04E8C"/>
    <w:rsid w:val="00F05099"/>
    <w:rsid w:val="00F05718"/>
    <w:rsid w:val="00F102EA"/>
    <w:rsid w:val="00F10735"/>
    <w:rsid w:val="00F10EFE"/>
    <w:rsid w:val="00F126C3"/>
    <w:rsid w:val="00F12F4E"/>
    <w:rsid w:val="00F13120"/>
    <w:rsid w:val="00F13BDB"/>
    <w:rsid w:val="00F14317"/>
    <w:rsid w:val="00F149EE"/>
    <w:rsid w:val="00F157D1"/>
    <w:rsid w:val="00F16DE4"/>
    <w:rsid w:val="00F2028E"/>
    <w:rsid w:val="00F21B80"/>
    <w:rsid w:val="00F25069"/>
    <w:rsid w:val="00F25201"/>
    <w:rsid w:val="00F25370"/>
    <w:rsid w:val="00F2540C"/>
    <w:rsid w:val="00F25F24"/>
    <w:rsid w:val="00F2695E"/>
    <w:rsid w:val="00F308F4"/>
    <w:rsid w:val="00F3128B"/>
    <w:rsid w:val="00F31327"/>
    <w:rsid w:val="00F34E18"/>
    <w:rsid w:val="00F34EC2"/>
    <w:rsid w:val="00F37627"/>
    <w:rsid w:val="00F376C0"/>
    <w:rsid w:val="00F40F48"/>
    <w:rsid w:val="00F420EB"/>
    <w:rsid w:val="00F42240"/>
    <w:rsid w:val="00F4297F"/>
    <w:rsid w:val="00F4715A"/>
    <w:rsid w:val="00F50041"/>
    <w:rsid w:val="00F51161"/>
    <w:rsid w:val="00F52D9B"/>
    <w:rsid w:val="00F534B3"/>
    <w:rsid w:val="00F53674"/>
    <w:rsid w:val="00F53864"/>
    <w:rsid w:val="00F53B62"/>
    <w:rsid w:val="00F53F95"/>
    <w:rsid w:val="00F557E0"/>
    <w:rsid w:val="00F55D34"/>
    <w:rsid w:val="00F56545"/>
    <w:rsid w:val="00F60496"/>
    <w:rsid w:val="00F60558"/>
    <w:rsid w:val="00F61800"/>
    <w:rsid w:val="00F61837"/>
    <w:rsid w:val="00F627B8"/>
    <w:rsid w:val="00F62822"/>
    <w:rsid w:val="00F63225"/>
    <w:rsid w:val="00F63925"/>
    <w:rsid w:val="00F72BD3"/>
    <w:rsid w:val="00F737C3"/>
    <w:rsid w:val="00F73A5F"/>
    <w:rsid w:val="00F73B2F"/>
    <w:rsid w:val="00F74588"/>
    <w:rsid w:val="00F76C3F"/>
    <w:rsid w:val="00F779F0"/>
    <w:rsid w:val="00F77EB8"/>
    <w:rsid w:val="00F803DD"/>
    <w:rsid w:val="00F809E2"/>
    <w:rsid w:val="00F80DF4"/>
    <w:rsid w:val="00F81C98"/>
    <w:rsid w:val="00F81E5E"/>
    <w:rsid w:val="00F822CF"/>
    <w:rsid w:val="00F8257B"/>
    <w:rsid w:val="00F83580"/>
    <w:rsid w:val="00F843D4"/>
    <w:rsid w:val="00F847D6"/>
    <w:rsid w:val="00F85A94"/>
    <w:rsid w:val="00F85EAE"/>
    <w:rsid w:val="00F865CE"/>
    <w:rsid w:val="00F867E0"/>
    <w:rsid w:val="00F877F9"/>
    <w:rsid w:val="00F90061"/>
    <w:rsid w:val="00F901C8"/>
    <w:rsid w:val="00F91D7E"/>
    <w:rsid w:val="00F94C38"/>
    <w:rsid w:val="00F95733"/>
    <w:rsid w:val="00F967D8"/>
    <w:rsid w:val="00F96962"/>
    <w:rsid w:val="00F9791A"/>
    <w:rsid w:val="00FA0114"/>
    <w:rsid w:val="00FA0D25"/>
    <w:rsid w:val="00FA1C7A"/>
    <w:rsid w:val="00FA1E8E"/>
    <w:rsid w:val="00FA22CC"/>
    <w:rsid w:val="00FA40A6"/>
    <w:rsid w:val="00FA4659"/>
    <w:rsid w:val="00FA4B58"/>
    <w:rsid w:val="00FA5AF1"/>
    <w:rsid w:val="00FA5DDD"/>
    <w:rsid w:val="00FA6203"/>
    <w:rsid w:val="00FA71EC"/>
    <w:rsid w:val="00FA7B58"/>
    <w:rsid w:val="00FA7ECE"/>
    <w:rsid w:val="00FB17BB"/>
    <w:rsid w:val="00FB648B"/>
    <w:rsid w:val="00FB6D5A"/>
    <w:rsid w:val="00FB6D7E"/>
    <w:rsid w:val="00FB7A18"/>
    <w:rsid w:val="00FC0E24"/>
    <w:rsid w:val="00FC1016"/>
    <w:rsid w:val="00FC13DE"/>
    <w:rsid w:val="00FC2AEA"/>
    <w:rsid w:val="00FC3BF6"/>
    <w:rsid w:val="00FC41FD"/>
    <w:rsid w:val="00FC56CC"/>
    <w:rsid w:val="00FC6ABA"/>
    <w:rsid w:val="00FC6AC3"/>
    <w:rsid w:val="00FC6B48"/>
    <w:rsid w:val="00FC7025"/>
    <w:rsid w:val="00FC7562"/>
    <w:rsid w:val="00FC7669"/>
    <w:rsid w:val="00FD01B6"/>
    <w:rsid w:val="00FD0B3E"/>
    <w:rsid w:val="00FD0F17"/>
    <w:rsid w:val="00FD12E3"/>
    <w:rsid w:val="00FD1C13"/>
    <w:rsid w:val="00FD2913"/>
    <w:rsid w:val="00FD2940"/>
    <w:rsid w:val="00FD427E"/>
    <w:rsid w:val="00FD4766"/>
    <w:rsid w:val="00FD700D"/>
    <w:rsid w:val="00FD75C4"/>
    <w:rsid w:val="00FD7C0C"/>
    <w:rsid w:val="00FD7D1D"/>
    <w:rsid w:val="00FE0F94"/>
    <w:rsid w:val="00FE461F"/>
    <w:rsid w:val="00FE48D3"/>
    <w:rsid w:val="00FE5944"/>
    <w:rsid w:val="00FE6371"/>
    <w:rsid w:val="00FE7742"/>
    <w:rsid w:val="00FE7A65"/>
    <w:rsid w:val="00FF08E6"/>
    <w:rsid w:val="00FF41C8"/>
    <w:rsid w:val="00FF50E3"/>
    <w:rsid w:val="00FF5B07"/>
    <w:rsid w:val="00FF5E59"/>
    <w:rsid w:val="00FF78AB"/>
    <w:rsid w:val="00FF78C7"/>
    <w:rsid w:val="00FF7E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3708"/>
  <w15:chartTrackingRefBased/>
  <w15:docId w15:val="{58CC8922-3FB6-454E-957C-C01CEEB7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0108"/>
    <w:pPr>
      <w:spacing w:before="100" w:beforeAutospacing="1" w:after="100" w:afterAutospacing="1" w:line="240" w:lineRule="auto"/>
      <w:outlineLvl w:val="0"/>
    </w:pPr>
    <w:rPr>
      <w:rFonts w:eastAsia="Times New Roman" w:cs="Times New Roman"/>
      <w:b/>
      <w:bCs/>
      <w:kern w:val="36"/>
      <w:sz w:val="48"/>
      <w:szCs w:val="48"/>
      <w:lang w:eastAsia="en-ZA"/>
    </w:rPr>
  </w:style>
  <w:style w:type="paragraph" w:styleId="Heading2">
    <w:name w:val="heading 2"/>
    <w:basedOn w:val="Normal"/>
    <w:link w:val="Heading2Char"/>
    <w:uiPriority w:val="9"/>
    <w:qFormat/>
    <w:rsid w:val="00A20108"/>
    <w:pPr>
      <w:spacing w:before="100" w:beforeAutospacing="1" w:after="100" w:afterAutospacing="1" w:line="240" w:lineRule="auto"/>
      <w:outlineLvl w:val="1"/>
    </w:pPr>
    <w:rPr>
      <w:rFonts w:eastAsia="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583E4C"/>
    <w:pPr>
      <w:spacing w:before="100" w:beforeAutospacing="1" w:after="100" w:afterAutospacing="1" w:line="240" w:lineRule="auto"/>
    </w:pPr>
    <w:rPr>
      <w:rFonts w:eastAsia="Times New Roman" w:cs="Times New Roman"/>
      <w:sz w:val="24"/>
      <w:szCs w:val="24"/>
      <w:lang w:eastAsia="en-ZA"/>
    </w:rPr>
  </w:style>
  <w:style w:type="character" w:styleId="Hyperlink">
    <w:name w:val="Hyperlink"/>
    <w:basedOn w:val="DefaultParagraphFont"/>
    <w:uiPriority w:val="99"/>
    <w:unhideWhenUsed/>
    <w:rsid w:val="00583E4C"/>
    <w:rPr>
      <w:color w:val="0000FF"/>
      <w:u w:val="single"/>
    </w:rPr>
  </w:style>
  <w:style w:type="character" w:customStyle="1" w:styleId="Heading1Char">
    <w:name w:val="Heading 1 Char"/>
    <w:basedOn w:val="DefaultParagraphFont"/>
    <w:link w:val="Heading1"/>
    <w:uiPriority w:val="9"/>
    <w:rsid w:val="00A20108"/>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A20108"/>
    <w:rPr>
      <w:rFonts w:ascii="Times New Roman" w:eastAsia="Times New Roman" w:hAnsi="Times New Roman" w:cs="Times New Roman"/>
      <w:b/>
      <w:bCs/>
      <w:sz w:val="36"/>
      <w:szCs w:val="36"/>
      <w:lang w:eastAsia="en-ZA"/>
    </w:rPr>
  </w:style>
  <w:style w:type="paragraph" w:styleId="ListParagraph">
    <w:name w:val="List Paragraph"/>
    <w:basedOn w:val="Normal"/>
    <w:uiPriority w:val="34"/>
    <w:qFormat/>
    <w:rsid w:val="008A677A"/>
    <w:pPr>
      <w:spacing w:line="256" w:lineRule="auto"/>
      <w:ind w:left="720"/>
      <w:contextualSpacing/>
    </w:pPr>
  </w:style>
  <w:style w:type="character" w:styleId="CommentReference">
    <w:name w:val="annotation reference"/>
    <w:basedOn w:val="DefaultParagraphFont"/>
    <w:uiPriority w:val="99"/>
    <w:semiHidden/>
    <w:unhideWhenUsed/>
    <w:rsid w:val="008A677A"/>
    <w:rPr>
      <w:sz w:val="16"/>
      <w:szCs w:val="16"/>
    </w:rPr>
  </w:style>
  <w:style w:type="paragraph" w:styleId="CommentText">
    <w:name w:val="annotation text"/>
    <w:basedOn w:val="Normal"/>
    <w:link w:val="CommentTextChar"/>
    <w:uiPriority w:val="99"/>
    <w:unhideWhenUsed/>
    <w:rsid w:val="008A677A"/>
    <w:pPr>
      <w:spacing w:line="240" w:lineRule="auto"/>
    </w:pPr>
    <w:rPr>
      <w:sz w:val="20"/>
      <w:szCs w:val="20"/>
    </w:rPr>
  </w:style>
  <w:style w:type="character" w:customStyle="1" w:styleId="CommentTextChar">
    <w:name w:val="Comment Text Char"/>
    <w:basedOn w:val="DefaultParagraphFont"/>
    <w:link w:val="CommentText"/>
    <w:uiPriority w:val="99"/>
    <w:rsid w:val="008A677A"/>
    <w:rPr>
      <w:sz w:val="20"/>
      <w:szCs w:val="20"/>
    </w:rPr>
  </w:style>
  <w:style w:type="paragraph" w:styleId="BalloonText">
    <w:name w:val="Balloon Text"/>
    <w:basedOn w:val="Normal"/>
    <w:link w:val="BalloonTextChar"/>
    <w:uiPriority w:val="99"/>
    <w:semiHidden/>
    <w:unhideWhenUsed/>
    <w:rsid w:val="001B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53"/>
    <w:rPr>
      <w:rFonts w:ascii="Segoe UI" w:hAnsi="Segoe UI" w:cs="Segoe UI"/>
      <w:sz w:val="18"/>
      <w:szCs w:val="18"/>
    </w:rPr>
  </w:style>
  <w:style w:type="paragraph" w:styleId="NormalWeb">
    <w:name w:val="Normal (Web)"/>
    <w:basedOn w:val="Normal"/>
    <w:uiPriority w:val="99"/>
    <w:unhideWhenUsed/>
    <w:rsid w:val="00A35252"/>
    <w:pPr>
      <w:spacing w:before="100" w:beforeAutospacing="1" w:after="100" w:afterAutospacing="1" w:line="240" w:lineRule="auto"/>
    </w:pPr>
    <w:rPr>
      <w:rFonts w:eastAsia="Times New Roman" w:cs="Times New Roman"/>
      <w:sz w:val="24"/>
      <w:szCs w:val="24"/>
      <w:lang w:eastAsia="en-ZA"/>
    </w:rPr>
  </w:style>
  <w:style w:type="paragraph" w:styleId="Header">
    <w:name w:val="header"/>
    <w:basedOn w:val="Normal"/>
    <w:link w:val="HeaderChar"/>
    <w:uiPriority w:val="99"/>
    <w:unhideWhenUsed/>
    <w:rsid w:val="005F2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83"/>
  </w:style>
  <w:style w:type="paragraph" w:styleId="Footer">
    <w:name w:val="footer"/>
    <w:basedOn w:val="Normal"/>
    <w:link w:val="FooterChar"/>
    <w:uiPriority w:val="99"/>
    <w:unhideWhenUsed/>
    <w:rsid w:val="005F2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83"/>
  </w:style>
  <w:style w:type="character" w:customStyle="1" w:styleId="g1">
    <w:name w:val="g1"/>
    <w:basedOn w:val="DefaultParagraphFont"/>
    <w:rsid w:val="00E31520"/>
  </w:style>
  <w:style w:type="character" w:customStyle="1" w:styleId="fnotenum">
    <w:name w:val="fnotenum"/>
    <w:basedOn w:val="DefaultParagraphFont"/>
    <w:rsid w:val="00F843D4"/>
  </w:style>
  <w:style w:type="paragraph" w:styleId="FootnoteText">
    <w:name w:val="footnote text"/>
    <w:basedOn w:val="Normal"/>
    <w:link w:val="FootnoteTextChar"/>
    <w:uiPriority w:val="99"/>
    <w:unhideWhenUsed/>
    <w:rsid w:val="008D080C"/>
    <w:pPr>
      <w:spacing w:after="0" w:line="240" w:lineRule="auto"/>
    </w:pPr>
    <w:rPr>
      <w:sz w:val="20"/>
      <w:szCs w:val="20"/>
    </w:rPr>
  </w:style>
  <w:style w:type="character" w:customStyle="1" w:styleId="FootnoteTextChar">
    <w:name w:val="Footnote Text Char"/>
    <w:basedOn w:val="DefaultParagraphFont"/>
    <w:link w:val="FootnoteText"/>
    <w:uiPriority w:val="99"/>
    <w:rsid w:val="008D080C"/>
    <w:rPr>
      <w:sz w:val="20"/>
      <w:szCs w:val="20"/>
    </w:rPr>
  </w:style>
  <w:style w:type="character" w:styleId="FootnoteReference">
    <w:name w:val="footnote reference"/>
    <w:basedOn w:val="DefaultParagraphFont"/>
    <w:uiPriority w:val="99"/>
    <w:semiHidden/>
    <w:unhideWhenUsed/>
    <w:rsid w:val="008D080C"/>
    <w:rPr>
      <w:vertAlign w:val="superscript"/>
    </w:rPr>
  </w:style>
  <w:style w:type="paragraph" w:styleId="CommentSubject">
    <w:name w:val="annotation subject"/>
    <w:basedOn w:val="CommentText"/>
    <w:next w:val="CommentText"/>
    <w:link w:val="CommentSubjectChar"/>
    <w:uiPriority w:val="99"/>
    <w:semiHidden/>
    <w:unhideWhenUsed/>
    <w:rsid w:val="002F0B5D"/>
    <w:rPr>
      <w:b/>
      <w:bCs/>
    </w:rPr>
  </w:style>
  <w:style w:type="character" w:customStyle="1" w:styleId="CommentSubjectChar">
    <w:name w:val="Comment Subject Char"/>
    <w:basedOn w:val="CommentTextChar"/>
    <w:link w:val="CommentSubject"/>
    <w:uiPriority w:val="99"/>
    <w:semiHidden/>
    <w:rsid w:val="002F0B5D"/>
    <w:rPr>
      <w:b/>
      <w:bCs/>
      <w:sz w:val="20"/>
      <w:szCs w:val="20"/>
    </w:rPr>
  </w:style>
  <w:style w:type="paragraph" w:styleId="Revision">
    <w:name w:val="Revision"/>
    <w:hidden/>
    <w:uiPriority w:val="99"/>
    <w:semiHidden/>
    <w:rsid w:val="003D0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1948">
      <w:bodyDiv w:val="1"/>
      <w:marLeft w:val="0"/>
      <w:marRight w:val="0"/>
      <w:marTop w:val="0"/>
      <w:marBottom w:val="0"/>
      <w:divBdr>
        <w:top w:val="none" w:sz="0" w:space="0" w:color="auto"/>
        <w:left w:val="none" w:sz="0" w:space="0" w:color="auto"/>
        <w:bottom w:val="none" w:sz="0" w:space="0" w:color="auto"/>
        <w:right w:val="none" w:sz="0" w:space="0" w:color="auto"/>
      </w:divBdr>
    </w:div>
    <w:div w:id="645476649">
      <w:bodyDiv w:val="1"/>
      <w:marLeft w:val="0"/>
      <w:marRight w:val="0"/>
      <w:marTop w:val="0"/>
      <w:marBottom w:val="0"/>
      <w:divBdr>
        <w:top w:val="none" w:sz="0" w:space="0" w:color="auto"/>
        <w:left w:val="none" w:sz="0" w:space="0" w:color="auto"/>
        <w:bottom w:val="none" w:sz="0" w:space="0" w:color="auto"/>
        <w:right w:val="none" w:sz="0" w:space="0" w:color="auto"/>
      </w:divBdr>
    </w:div>
    <w:div w:id="942298306">
      <w:bodyDiv w:val="1"/>
      <w:marLeft w:val="0"/>
      <w:marRight w:val="0"/>
      <w:marTop w:val="0"/>
      <w:marBottom w:val="0"/>
      <w:divBdr>
        <w:top w:val="none" w:sz="0" w:space="0" w:color="auto"/>
        <w:left w:val="none" w:sz="0" w:space="0" w:color="auto"/>
        <w:bottom w:val="none" w:sz="0" w:space="0" w:color="auto"/>
        <w:right w:val="none" w:sz="0" w:space="0" w:color="auto"/>
      </w:divBdr>
    </w:div>
    <w:div w:id="947158749">
      <w:bodyDiv w:val="1"/>
      <w:marLeft w:val="0"/>
      <w:marRight w:val="0"/>
      <w:marTop w:val="0"/>
      <w:marBottom w:val="0"/>
      <w:divBdr>
        <w:top w:val="none" w:sz="0" w:space="0" w:color="auto"/>
        <w:left w:val="none" w:sz="0" w:space="0" w:color="auto"/>
        <w:bottom w:val="none" w:sz="0" w:space="0" w:color="auto"/>
        <w:right w:val="none" w:sz="0" w:space="0" w:color="auto"/>
      </w:divBdr>
    </w:div>
    <w:div w:id="992372062">
      <w:bodyDiv w:val="1"/>
      <w:marLeft w:val="0"/>
      <w:marRight w:val="0"/>
      <w:marTop w:val="0"/>
      <w:marBottom w:val="0"/>
      <w:divBdr>
        <w:top w:val="none" w:sz="0" w:space="0" w:color="auto"/>
        <w:left w:val="none" w:sz="0" w:space="0" w:color="auto"/>
        <w:bottom w:val="none" w:sz="0" w:space="0" w:color="auto"/>
        <w:right w:val="none" w:sz="0" w:space="0" w:color="auto"/>
      </w:divBdr>
    </w:div>
    <w:div w:id="1092386473">
      <w:bodyDiv w:val="1"/>
      <w:marLeft w:val="0"/>
      <w:marRight w:val="0"/>
      <w:marTop w:val="0"/>
      <w:marBottom w:val="0"/>
      <w:divBdr>
        <w:top w:val="none" w:sz="0" w:space="0" w:color="auto"/>
        <w:left w:val="none" w:sz="0" w:space="0" w:color="auto"/>
        <w:bottom w:val="none" w:sz="0" w:space="0" w:color="auto"/>
        <w:right w:val="none" w:sz="0" w:space="0" w:color="auto"/>
      </w:divBdr>
      <w:divsChild>
        <w:div w:id="392462316">
          <w:marLeft w:val="567"/>
          <w:marRight w:val="0"/>
          <w:marTop w:val="60"/>
          <w:marBottom w:val="0"/>
          <w:divBdr>
            <w:top w:val="none" w:sz="0" w:space="0" w:color="auto"/>
            <w:left w:val="none" w:sz="0" w:space="0" w:color="auto"/>
            <w:bottom w:val="none" w:sz="0" w:space="0" w:color="auto"/>
            <w:right w:val="none" w:sz="0" w:space="0" w:color="auto"/>
          </w:divBdr>
        </w:div>
        <w:div w:id="1613051238">
          <w:marLeft w:val="0"/>
          <w:marRight w:val="0"/>
          <w:marTop w:val="120"/>
          <w:marBottom w:val="0"/>
          <w:divBdr>
            <w:top w:val="none" w:sz="0" w:space="0" w:color="auto"/>
            <w:left w:val="none" w:sz="0" w:space="0" w:color="auto"/>
            <w:bottom w:val="none" w:sz="0" w:space="0" w:color="auto"/>
            <w:right w:val="none" w:sz="0" w:space="0" w:color="auto"/>
          </w:divBdr>
        </w:div>
      </w:divsChild>
    </w:div>
    <w:div w:id="1278367475">
      <w:bodyDiv w:val="1"/>
      <w:marLeft w:val="0"/>
      <w:marRight w:val="0"/>
      <w:marTop w:val="0"/>
      <w:marBottom w:val="0"/>
      <w:divBdr>
        <w:top w:val="none" w:sz="0" w:space="0" w:color="auto"/>
        <w:left w:val="none" w:sz="0" w:space="0" w:color="auto"/>
        <w:bottom w:val="none" w:sz="0" w:space="0" w:color="auto"/>
        <w:right w:val="none" w:sz="0" w:space="0" w:color="auto"/>
      </w:divBdr>
      <w:divsChild>
        <w:div w:id="113985789">
          <w:marLeft w:val="0"/>
          <w:marRight w:val="0"/>
          <w:marTop w:val="180"/>
          <w:marBottom w:val="60"/>
          <w:divBdr>
            <w:top w:val="single" w:sz="8" w:space="1" w:color="808080"/>
            <w:left w:val="none" w:sz="0" w:space="0" w:color="auto"/>
            <w:bottom w:val="none" w:sz="0" w:space="0" w:color="auto"/>
            <w:right w:val="none" w:sz="0" w:space="0" w:color="auto"/>
          </w:divBdr>
        </w:div>
        <w:div w:id="469633637">
          <w:marLeft w:val="0"/>
          <w:marRight w:val="0"/>
          <w:marTop w:val="180"/>
          <w:marBottom w:val="60"/>
          <w:divBdr>
            <w:top w:val="single" w:sz="8" w:space="1" w:color="808080"/>
            <w:left w:val="none" w:sz="0" w:space="0" w:color="auto"/>
            <w:bottom w:val="none" w:sz="0" w:space="0" w:color="auto"/>
            <w:right w:val="none" w:sz="0" w:space="0" w:color="auto"/>
          </w:divBdr>
        </w:div>
        <w:div w:id="599148755">
          <w:marLeft w:val="0"/>
          <w:marRight w:val="0"/>
          <w:marTop w:val="120"/>
          <w:marBottom w:val="0"/>
          <w:divBdr>
            <w:top w:val="none" w:sz="0" w:space="0" w:color="auto"/>
            <w:left w:val="none" w:sz="0" w:space="0" w:color="auto"/>
            <w:bottom w:val="none" w:sz="0" w:space="0" w:color="auto"/>
            <w:right w:val="none" w:sz="0" w:space="0" w:color="auto"/>
          </w:divBdr>
        </w:div>
        <w:div w:id="862672673">
          <w:marLeft w:val="0"/>
          <w:marRight w:val="0"/>
          <w:marTop w:val="120"/>
          <w:marBottom w:val="0"/>
          <w:divBdr>
            <w:top w:val="none" w:sz="0" w:space="0" w:color="auto"/>
            <w:left w:val="none" w:sz="0" w:space="0" w:color="auto"/>
            <w:bottom w:val="none" w:sz="0" w:space="0" w:color="auto"/>
            <w:right w:val="none" w:sz="0" w:space="0" w:color="auto"/>
          </w:divBdr>
        </w:div>
        <w:div w:id="1108500149">
          <w:marLeft w:val="0"/>
          <w:marRight w:val="0"/>
          <w:marTop w:val="180"/>
          <w:marBottom w:val="60"/>
          <w:divBdr>
            <w:top w:val="single" w:sz="8" w:space="1" w:color="808080"/>
            <w:left w:val="none" w:sz="0" w:space="0" w:color="auto"/>
            <w:bottom w:val="none" w:sz="0" w:space="0" w:color="auto"/>
            <w:right w:val="none" w:sz="0" w:space="0" w:color="auto"/>
          </w:divBdr>
        </w:div>
        <w:div w:id="1161430537">
          <w:marLeft w:val="0"/>
          <w:marRight w:val="0"/>
          <w:marTop w:val="120"/>
          <w:marBottom w:val="0"/>
          <w:divBdr>
            <w:top w:val="none" w:sz="0" w:space="0" w:color="auto"/>
            <w:left w:val="none" w:sz="0" w:space="0" w:color="auto"/>
            <w:bottom w:val="none" w:sz="0" w:space="0" w:color="auto"/>
            <w:right w:val="none" w:sz="0" w:space="0" w:color="auto"/>
          </w:divBdr>
        </w:div>
        <w:div w:id="1232891886">
          <w:marLeft w:val="0"/>
          <w:marRight w:val="0"/>
          <w:marTop w:val="180"/>
          <w:marBottom w:val="60"/>
          <w:divBdr>
            <w:top w:val="single" w:sz="8" w:space="1" w:color="808080"/>
            <w:left w:val="none" w:sz="0" w:space="0" w:color="auto"/>
            <w:bottom w:val="none" w:sz="0" w:space="0" w:color="auto"/>
            <w:right w:val="none" w:sz="0" w:space="0" w:color="auto"/>
          </w:divBdr>
        </w:div>
        <w:div w:id="1559122655">
          <w:marLeft w:val="0"/>
          <w:marRight w:val="0"/>
          <w:marTop w:val="120"/>
          <w:marBottom w:val="0"/>
          <w:divBdr>
            <w:top w:val="none" w:sz="0" w:space="0" w:color="auto"/>
            <w:left w:val="none" w:sz="0" w:space="0" w:color="auto"/>
            <w:bottom w:val="none" w:sz="0" w:space="0" w:color="auto"/>
            <w:right w:val="none" w:sz="0" w:space="0" w:color="auto"/>
          </w:divBdr>
        </w:div>
        <w:div w:id="1891112388">
          <w:marLeft w:val="0"/>
          <w:marRight w:val="0"/>
          <w:marTop w:val="120"/>
          <w:marBottom w:val="0"/>
          <w:divBdr>
            <w:top w:val="none" w:sz="0" w:space="0" w:color="auto"/>
            <w:left w:val="none" w:sz="0" w:space="0" w:color="auto"/>
            <w:bottom w:val="none" w:sz="0" w:space="0" w:color="auto"/>
            <w:right w:val="none" w:sz="0" w:space="0" w:color="auto"/>
          </w:divBdr>
        </w:div>
        <w:div w:id="1957985270">
          <w:marLeft w:val="0"/>
          <w:marRight w:val="0"/>
          <w:marTop w:val="120"/>
          <w:marBottom w:val="0"/>
          <w:divBdr>
            <w:top w:val="none" w:sz="0" w:space="0" w:color="auto"/>
            <w:left w:val="none" w:sz="0" w:space="0" w:color="auto"/>
            <w:bottom w:val="none" w:sz="0" w:space="0" w:color="auto"/>
            <w:right w:val="none" w:sz="0" w:space="0" w:color="auto"/>
          </w:divBdr>
        </w:div>
      </w:divsChild>
    </w:div>
    <w:div w:id="1692415321">
      <w:bodyDiv w:val="1"/>
      <w:marLeft w:val="0"/>
      <w:marRight w:val="0"/>
      <w:marTop w:val="0"/>
      <w:marBottom w:val="0"/>
      <w:divBdr>
        <w:top w:val="none" w:sz="0" w:space="0" w:color="auto"/>
        <w:left w:val="none" w:sz="0" w:space="0" w:color="auto"/>
        <w:bottom w:val="none" w:sz="0" w:space="0" w:color="auto"/>
        <w:right w:val="none" w:sz="0" w:space="0" w:color="auto"/>
      </w:divBdr>
    </w:div>
    <w:div w:id="1715158780">
      <w:bodyDiv w:val="1"/>
      <w:marLeft w:val="0"/>
      <w:marRight w:val="0"/>
      <w:marTop w:val="0"/>
      <w:marBottom w:val="0"/>
      <w:divBdr>
        <w:top w:val="none" w:sz="0" w:space="0" w:color="auto"/>
        <w:left w:val="none" w:sz="0" w:space="0" w:color="auto"/>
        <w:bottom w:val="none" w:sz="0" w:space="0" w:color="auto"/>
        <w:right w:val="none" w:sz="0" w:space="0" w:color="auto"/>
      </w:divBdr>
      <w:divsChild>
        <w:div w:id="1206019806">
          <w:marLeft w:val="567"/>
          <w:marRight w:val="0"/>
          <w:marTop w:val="40"/>
          <w:marBottom w:val="0"/>
          <w:divBdr>
            <w:top w:val="none" w:sz="0" w:space="0" w:color="auto"/>
            <w:left w:val="none" w:sz="0" w:space="0" w:color="auto"/>
            <w:bottom w:val="none" w:sz="0" w:space="0" w:color="auto"/>
            <w:right w:val="none" w:sz="0" w:space="0" w:color="auto"/>
          </w:divBdr>
        </w:div>
        <w:div w:id="1897735076">
          <w:marLeft w:val="567"/>
          <w:marRight w:val="0"/>
          <w:marTop w:val="40"/>
          <w:marBottom w:val="0"/>
          <w:divBdr>
            <w:top w:val="none" w:sz="0" w:space="0" w:color="auto"/>
            <w:left w:val="none" w:sz="0" w:space="0" w:color="auto"/>
            <w:bottom w:val="none" w:sz="0" w:space="0" w:color="auto"/>
            <w:right w:val="none" w:sz="0" w:space="0" w:color="auto"/>
          </w:divBdr>
        </w:div>
      </w:divsChild>
    </w:div>
    <w:div w:id="1716737585">
      <w:bodyDiv w:val="1"/>
      <w:marLeft w:val="0"/>
      <w:marRight w:val="0"/>
      <w:marTop w:val="0"/>
      <w:marBottom w:val="0"/>
      <w:divBdr>
        <w:top w:val="none" w:sz="0" w:space="0" w:color="auto"/>
        <w:left w:val="none" w:sz="0" w:space="0" w:color="auto"/>
        <w:bottom w:val="none" w:sz="0" w:space="0" w:color="auto"/>
        <w:right w:val="none" w:sz="0" w:space="0" w:color="auto"/>
      </w:divBdr>
    </w:div>
    <w:div w:id="1769808435">
      <w:bodyDiv w:val="1"/>
      <w:marLeft w:val="0"/>
      <w:marRight w:val="0"/>
      <w:marTop w:val="0"/>
      <w:marBottom w:val="0"/>
      <w:divBdr>
        <w:top w:val="none" w:sz="0" w:space="0" w:color="auto"/>
        <w:left w:val="none" w:sz="0" w:space="0" w:color="auto"/>
        <w:bottom w:val="none" w:sz="0" w:space="0" w:color="auto"/>
        <w:right w:val="none" w:sz="0" w:space="0" w:color="auto"/>
      </w:divBdr>
    </w:div>
    <w:div w:id="1846633599">
      <w:bodyDiv w:val="1"/>
      <w:marLeft w:val="0"/>
      <w:marRight w:val="0"/>
      <w:marTop w:val="0"/>
      <w:marBottom w:val="0"/>
      <w:divBdr>
        <w:top w:val="none" w:sz="0" w:space="0" w:color="auto"/>
        <w:left w:val="none" w:sz="0" w:space="0" w:color="auto"/>
        <w:bottom w:val="none" w:sz="0" w:space="0" w:color="auto"/>
        <w:right w:val="none" w:sz="0" w:space="0" w:color="auto"/>
      </w:divBdr>
    </w:div>
    <w:div w:id="1946304125">
      <w:bodyDiv w:val="1"/>
      <w:marLeft w:val="0"/>
      <w:marRight w:val="0"/>
      <w:marTop w:val="0"/>
      <w:marBottom w:val="0"/>
      <w:divBdr>
        <w:top w:val="none" w:sz="0" w:space="0" w:color="auto"/>
        <w:left w:val="none" w:sz="0" w:space="0" w:color="auto"/>
        <w:bottom w:val="none" w:sz="0" w:space="0" w:color="auto"/>
        <w:right w:val="none" w:sz="0" w:space="0" w:color="auto"/>
      </w:divBdr>
    </w:div>
    <w:div w:id="2117870053">
      <w:bodyDiv w:val="1"/>
      <w:marLeft w:val="0"/>
      <w:marRight w:val="0"/>
      <w:marTop w:val="0"/>
      <w:marBottom w:val="0"/>
      <w:divBdr>
        <w:top w:val="none" w:sz="0" w:space="0" w:color="auto"/>
        <w:left w:val="none" w:sz="0" w:space="0" w:color="auto"/>
        <w:bottom w:val="none" w:sz="0" w:space="0" w:color="auto"/>
        <w:right w:val="none" w:sz="0" w:space="0" w:color="auto"/>
      </w:divBdr>
      <w:divsChild>
        <w:div w:id="97989449">
          <w:marLeft w:val="0"/>
          <w:marRight w:val="0"/>
          <w:marTop w:val="0"/>
          <w:marBottom w:val="0"/>
          <w:divBdr>
            <w:top w:val="none" w:sz="0" w:space="0" w:color="auto"/>
            <w:left w:val="none" w:sz="0" w:space="0" w:color="auto"/>
            <w:bottom w:val="none" w:sz="0" w:space="0" w:color="auto"/>
            <w:right w:val="none" w:sz="0" w:space="0" w:color="auto"/>
          </w:divBdr>
          <w:divsChild>
            <w:div w:id="63530481">
              <w:marLeft w:val="0"/>
              <w:marRight w:val="0"/>
              <w:marTop w:val="0"/>
              <w:marBottom w:val="0"/>
              <w:divBdr>
                <w:top w:val="none" w:sz="0" w:space="0" w:color="auto"/>
                <w:left w:val="none" w:sz="0" w:space="0" w:color="auto"/>
                <w:bottom w:val="none" w:sz="0" w:space="0" w:color="auto"/>
                <w:right w:val="none" w:sz="0" w:space="0" w:color="auto"/>
              </w:divBdr>
              <w:divsChild>
                <w:div w:id="580256121">
                  <w:marLeft w:val="0"/>
                  <w:marRight w:val="0"/>
                  <w:marTop w:val="0"/>
                  <w:marBottom w:val="0"/>
                  <w:divBdr>
                    <w:top w:val="none" w:sz="0" w:space="0" w:color="auto"/>
                    <w:left w:val="none" w:sz="0" w:space="0" w:color="auto"/>
                    <w:bottom w:val="none" w:sz="0" w:space="0" w:color="auto"/>
                    <w:right w:val="none" w:sz="0" w:space="0" w:color="auto"/>
                  </w:divBdr>
                  <w:divsChild>
                    <w:div w:id="149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571">
          <w:marLeft w:val="0"/>
          <w:marRight w:val="0"/>
          <w:marTop w:val="0"/>
          <w:marBottom w:val="225"/>
          <w:divBdr>
            <w:top w:val="single" w:sz="24" w:space="0" w:color="auto"/>
            <w:left w:val="single" w:sz="24" w:space="0" w:color="auto"/>
            <w:bottom w:val="single" w:sz="36" w:space="0" w:color="003300"/>
            <w:right w:val="single" w:sz="24" w:space="0" w:color="auto"/>
          </w:divBdr>
          <w:divsChild>
            <w:div w:id="8451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B5E97-7F8B-47FC-92F4-132AE328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Judge-Sulet Potterill</dc:creator>
  <cp:keywords/>
  <dc:description/>
  <cp:lastModifiedBy>Mary Bruce</cp:lastModifiedBy>
  <cp:revision>28</cp:revision>
  <cp:lastPrinted>2023-03-30T14:29:00Z</cp:lastPrinted>
  <dcterms:created xsi:type="dcterms:W3CDTF">2023-03-30T10:01:00Z</dcterms:created>
  <dcterms:modified xsi:type="dcterms:W3CDTF">2023-03-31T15:40:00Z</dcterms:modified>
</cp:coreProperties>
</file>