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016B9" w14:textId="397EB6B6" w:rsidR="002073C1" w:rsidRPr="009025AF" w:rsidRDefault="002073C1" w:rsidP="00B05C8E">
      <w:pPr>
        <w:rPr>
          <w:rFonts w:ascii="Arial" w:hAnsi="Arial" w:cs="Arial"/>
          <w:b/>
          <w:bCs/>
          <w:sz w:val="24"/>
          <w:szCs w:val="24"/>
          <w:lang w:val="en-US"/>
        </w:rPr>
      </w:pPr>
      <w:r w:rsidRPr="009025AF">
        <w:rPr>
          <w:noProof/>
          <w:lang w:val="en-US"/>
        </w:rPr>
        <w:drawing>
          <wp:anchor distT="0" distB="0" distL="114300" distR="114300" simplePos="0" relativeHeight="251659264" behindDoc="0" locked="0" layoutInCell="1" allowOverlap="1" wp14:anchorId="4AFBF960" wp14:editId="50399C27">
            <wp:simplePos x="0" y="0"/>
            <wp:positionH relativeFrom="margin">
              <wp:align>center</wp:align>
            </wp:positionH>
            <wp:positionV relativeFrom="paragraph">
              <wp:posOffset>76200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604A0DB" w14:textId="77777777" w:rsidR="002073C1" w:rsidRPr="009025AF" w:rsidRDefault="002073C1" w:rsidP="00B05C8E">
      <w:pPr>
        <w:rPr>
          <w:rFonts w:ascii="Arial" w:hAnsi="Arial" w:cs="Arial"/>
          <w:b/>
          <w:bCs/>
          <w:sz w:val="24"/>
          <w:szCs w:val="24"/>
          <w:lang w:val="en-US"/>
        </w:rPr>
      </w:pPr>
    </w:p>
    <w:p w14:paraId="4D28699F" w14:textId="77777777" w:rsidR="002073C1" w:rsidRPr="009025AF" w:rsidRDefault="002073C1" w:rsidP="00B05C8E">
      <w:pPr>
        <w:jc w:val="center"/>
        <w:rPr>
          <w:rFonts w:ascii="Arial" w:hAnsi="Arial" w:cs="Arial"/>
          <w:b/>
          <w:bCs/>
          <w:sz w:val="24"/>
          <w:szCs w:val="24"/>
          <w:lang w:val="en-GB"/>
        </w:rPr>
      </w:pPr>
    </w:p>
    <w:p w14:paraId="3B5CF056" w14:textId="77777777" w:rsidR="00A17461" w:rsidRPr="009025AF" w:rsidRDefault="00A17461" w:rsidP="00B05C8E">
      <w:pPr>
        <w:jc w:val="center"/>
        <w:rPr>
          <w:rFonts w:ascii="Arial" w:hAnsi="Arial" w:cs="Arial"/>
          <w:b/>
          <w:bCs/>
          <w:sz w:val="24"/>
          <w:szCs w:val="24"/>
          <w:lang w:val="en-GB"/>
        </w:rPr>
      </w:pPr>
    </w:p>
    <w:p w14:paraId="0A9BCFE6" w14:textId="77777777" w:rsidR="002073C1" w:rsidRPr="009025AF" w:rsidRDefault="002073C1" w:rsidP="00B05C8E">
      <w:pPr>
        <w:jc w:val="center"/>
        <w:rPr>
          <w:rFonts w:ascii="Arial" w:hAnsi="Arial" w:cs="Arial"/>
          <w:b/>
          <w:bCs/>
          <w:sz w:val="24"/>
          <w:szCs w:val="24"/>
          <w:lang w:val="en-GB"/>
        </w:rPr>
      </w:pPr>
      <w:r w:rsidRPr="009025AF">
        <w:rPr>
          <w:rFonts w:ascii="Arial" w:hAnsi="Arial" w:cs="Arial"/>
          <w:b/>
          <w:bCs/>
          <w:sz w:val="24"/>
          <w:szCs w:val="24"/>
          <w:lang w:val="en-GB"/>
        </w:rPr>
        <w:t>THE SUPREME COURT OF APPEAL OF SOUTH AFRICA</w:t>
      </w:r>
    </w:p>
    <w:p w14:paraId="168351F8" w14:textId="77777777" w:rsidR="002073C1" w:rsidRPr="009025AF" w:rsidRDefault="002073C1" w:rsidP="00B05C8E">
      <w:pPr>
        <w:keepNext/>
        <w:jc w:val="center"/>
        <w:outlineLvl w:val="2"/>
        <w:rPr>
          <w:b/>
          <w:iCs/>
          <w:sz w:val="24"/>
          <w:szCs w:val="24"/>
          <w:lang w:val="en-GB"/>
        </w:rPr>
      </w:pPr>
      <w:r w:rsidRPr="009025AF">
        <w:rPr>
          <w:rFonts w:ascii="Arial" w:hAnsi="Arial" w:cs="Arial"/>
          <w:b/>
          <w:iCs/>
          <w:sz w:val="24"/>
          <w:szCs w:val="24"/>
          <w:lang w:val="en-GB"/>
        </w:rPr>
        <w:t>JUDGMENT</w:t>
      </w:r>
    </w:p>
    <w:p w14:paraId="46EC5F66" w14:textId="77777777" w:rsidR="002073C1" w:rsidRPr="009025AF" w:rsidRDefault="002073C1" w:rsidP="00B05C8E">
      <w:pPr>
        <w:rPr>
          <w:rFonts w:ascii="Arial" w:hAnsi="Arial" w:cs="Arial"/>
          <w:b/>
          <w:bCs/>
          <w:sz w:val="24"/>
          <w:szCs w:val="24"/>
          <w:lang w:val="en-US"/>
        </w:rPr>
      </w:pPr>
    </w:p>
    <w:p w14:paraId="7514B0C1" w14:textId="7DEEC54F" w:rsidR="002073C1" w:rsidRPr="009025AF" w:rsidRDefault="00DC5FE6" w:rsidP="00B05C8E">
      <w:pPr>
        <w:jc w:val="right"/>
        <w:rPr>
          <w:rFonts w:ascii="Arial" w:hAnsi="Arial" w:cs="Arial"/>
          <w:b/>
          <w:bCs/>
          <w:sz w:val="24"/>
          <w:szCs w:val="24"/>
          <w:lang w:val="en-US"/>
        </w:rPr>
      </w:pPr>
      <w:r w:rsidRPr="009025AF">
        <w:rPr>
          <w:rFonts w:ascii="Arial" w:hAnsi="Arial" w:cs="Arial"/>
          <w:b/>
          <w:bCs/>
          <w:sz w:val="24"/>
          <w:szCs w:val="24"/>
          <w:lang w:val="en-US"/>
        </w:rPr>
        <w:t xml:space="preserve"> </w:t>
      </w:r>
      <w:r w:rsidR="005D5D75" w:rsidRPr="009025AF">
        <w:rPr>
          <w:rFonts w:ascii="Arial" w:hAnsi="Arial" w:cs="Arial"/>
          <w:b/>
          <w:bCs/>
          <w:sz w:val="24"/>
          <w:szCs w:val="24"/>
          <w:lang w:val="en-US"/>
        </w:rPr>
        <w:t>Reportable</w:t>
      </w:r>
      <w:r w:rsidR="002073C1" w:rsidRPr="009025AF">
        <w:rPr>
          <w:rFonts w:ascii="Arial" w:hAnsi="Arial" w:cs="Arial"/>
          <w:b/>
          <w:bCs/>
          <w:sz w:val="24"/>
          <w:szCs w:val="24"/>
          <w:lang w:val="en-US"/>
        </w:rPr>
        <w:t xml:space="preserve"> </w:t>
      </w:r>
    </w:p>
    <w:p w14:paraId="35CDE11D" w14:textId="55951A30" w:rsidR="002073C1" w:rsidRPr="009025AF" w:rsidRDefault="002073C1" w:rsidP="00B05C8E">
      <w:pPr>
        <w:jc w:val="right"/>
        <w:rPr>
          <w:rFonts w:ascii="Arial" w:hAnsi="Arial" w:cs="Arial"/>
          <w:bCs/>
          <w:sz w:val="24"/>
          <w:szCs w:val="24"/>
          <w:lang w:val="en-US"/>
        </w:rPr>
      </w:pPr>
      <w:r w:rsidRPr="009025AF">
        <w:rPr>
          <w:rFonts w:ascii="Arial" w:hAnsi="Arial" w:cs="Arial"/>
          <w:bCs/>
          <w:sz w:val="24"/>
          <w:szCs w:val="24"/>
          <w:lang w:val="en-US"/>
        </w:rPr>
        <w:t>Case no</w:t>
      </w:r>
      <w:r w:rsidR="006D42D1" w:rsidRPr="009025AF">
        <w:rPr>
          <w:rFonts w:ascii="Arial" w:hAnsi="Arial" w:cs="Arial"/>
          <w:bCs/>
          <w:sz w:val="24"/>
          <w:szCs w:val="24"/>
          <w:lang w:val="en-US"/>
        </w:rPr>
        <w:t>:</w:t>
      </w:r>
      <w:r w:rsidRPr="009025AF">
        <w:rPr>
          <w:rFonts w:ascii="Arial" w:hAnsi="Arial" w:cs="Arial"/>
          <w:bCs/>
          <w:sz w:val="24"/>
          <w:szCs w:val="24"/>
          <w:lang w:val="en-US"/>
        </w:rPr>
        <w:t xml:space="preserve"> </w:t>
      </w:r>
      <w:r w:rsidR="009E648B" w:rsidRPr="009025AF">
        <w:rPr>
          <w:rFonts w:ascii="Arial" w:hAnsi="Arial" w:cs="Arial"/>
          <w:bCs/>
          <w:sz w:val="24"/>
          <w:szCs w:val="24"/>
          <w:lang w:val="en-US"/>
        </w:rPr>
        <w:t>1009/2020</w:t>
      </w:r>
    </w:p>
    <w:p w14:paraId="4D34399C" w14:textId="77777777" w:rsidR="00735CFE" w:rsidRPr="009025AF" w:rsidRDefault="00735CFE" w:rsidP="00B05C8E">
      <w:pPr>
        <w:spacing w:line="240" w:lineRule="auto"/>
        <w:rPr>
          <w:rFonts w:ascii="Arial" w:hAnsi="Arial" w:cs="Arial"/>
          <w:bCs/>
          <w:sz w:val="24"/>
          <w:szCs w:val="24"/>
          <w:lang w:val="en-US"/>
        </w:rPr>
      </w:pPr>
    </w:p>
    <w:p w14:paraId="2E1D44B5" w14:textId="24367FFE" w:rsidR="00BD73E7" w:rsidRPr="009025AF" w:rsidRDefault="00BD73E7" w:rsidP="00B05C8E">
      <w:pPr>
        <w:spacing w:line="240" w:lineRule="auto"/>
        <w:rPr>
          <w:rFonts w:ascii="Arial" w:hAnsi="Arial" w:cs="Arial"/>
          <w:bCs/>
          <w:sz w:val="24"/>
          <w:szCs w:val="24"/>
          <w:lang w:val="en-US"/>
        </w:rPr>
      </w:pPr>
      <w:r w:rsidRPr="009025AF">
        <w:rPr>
          <w:rFonts w:ascii="Arial" w:hAnsi="Arial" w:cs="Arial"/>
          <w:bCs/>
          <w:sz w:val="24"/>
          <w:szCs w:val="24"/>
          <w:lang w:val="en-US"/>
        </w:rPr>
        <w:t>In the matter between:</w:t>
      </w:r>
    </w:p>
    <w:p w14:paraId="59D8F74F" w14:textId="14D0FA50" w:rsidR="00BD73E7" w:rsidRPr="009025AF" w:rsidRDefault="00BD73E7" w:rsidP="00B05C8E">
      <w:pPr>
        <w:spacing w:line="240" w:lineRule="auto"/>
        <w:rPr>
          <w:rFonts w:ascii="Arial" w:hAnsi="Arial" w:cs="Arial"/>
          <w:b/>
          <w:bCs/>
          <w:sz w:val="24"/>
          <w:szCs w:val="24"/>
          <w:lang w:val="en-US"/>
        </w:rPr>
      </w:pPr>
    </w:p>
    <w:p w14:paraId="301F9DBD" w14:textId="6AAE84A0" w:rsidR="00BD73E7" w:rsidRPr="009025AF" w:rsidRDefault="00C31D3B" w:rsidP="00D605CB">
      <w:pPr>
        <w:spacing w:line="240" w:lineRule="auto"/>
        <w:ind w:right="-154"/>
        <w:rPr>
          <w:rFonts w:ascii="Arial" w:hAnsi="Arial" w:cs="Arial"/>
          <w:b/>
          <w:bCs/>
          <w:sz w:val="24"/>
          <w:szCs w:val="24"/>
          <w:lang w:val="en-US"/>
        </w:rPr>
      </w:pPr>
      <w:r w:rsidRPr="009025AF">
        <w:rPr>
          <w:rFonts w:ascii="Arial" w:hAnsi="Arial" w:cs="Arial"/>
          <w:b/>
          <w:bCs/>
          <w:sz w:val="24"/>
          <w:szCs w:val="24"/>
          <w:lang w:val="en-US"/>
        </w:rPr>
        <w:t>GIFTWRAP TRADING (PTY) LTD</w:t>
      </w:r>
      <w:r w:rsidR="00BF6110" w:rsidRPr="009025AF">
        <w:rPr>
          <w:rFonts w:ascii="Arial" w:hAnsi="Arial" w:cs="Arial"/>
          <w:b/>
          <w:bCs/>
          <w:sz w:val="24"/>
          <w:szCs w:val="24"/>
          <w:lang w:val="en-US"/>
        </w:rPr>
        <w:tab/>
      </w:r>
      <w:r w:rsidR="00652842" w:rsidRPr="009025AF">
        <w:rPr>
          <w:rFonts w:ascii="Arial" w:hAnsi="Arial" w:cs="Arial"/>
          <w:b/>
          <w:bCs/>
          <w:sz w:val="24"/>
          <w:szCs w:val="24"/>
          <w:lang w:val="en-US"/>
        </w:rPr>
        <w:t xml:space="preserve">     </w:t>
      </w:r>
      <w:r w:rsidR="00D605CB" w:rsidRPr="009025AF">
        <w:rPr>
          <w:rFonts w:ascii="Arial" w:hAnsi="Arial" w:cs="Arial"/>
          <w:b/>
          <w:bCs/>
          <w:sz w:val="24"/>
          <w:szCs w:val="24"/>
          <w:lang w:val="en-US"/>
        </w:rPr>
        <w:tab/>
      </w:r>
      <w:r w:rsidR="00D605CB" w:rsidRPr="009025AF">
        <w:rPr>
          <w:rFonts w:ascii="Arial" w:hAnsi="Arial" w:cs="Arial"/>
          <w:b/>
          <w:bCs/>
          <w:sz w:val="24"/>
          <w:szCs w:val="24"/>
          <w:lang w:val="en-US"/>
        </w:rPr>
        <w:tab/>
      </w:r>
      <w:r w:rsidR="00D605CB" w:rsidRPr="009025AF">
        <w:rPr>
          <w:rFonts w:ascii="Arial" w:hAnsi="Arial" w:cs="Arial"/>
          <w:b/>
          <w:bCs/>
          <w:sz w:val="24"/>
          <w:szCs w:val="24"/>
          <w:lang w:val="en-US"/>
        </w:rPr>
        <w:tab/>
        <w:t xml:space="preserve">     </w:t>
      </w:r>
      <w:r w:rsidR="00D605CB" w:rsidRPr="009025AF">
        <w:rPr>
          <w:rFonts w:ascii="Arial" w:hAnsi="Arial" w:cs="Arial"/>
          <w:b/>
          <w:bCs/>
          <w:sz w:val="24"/>
          <w:szCs w:val="24"/>
          <w:lang w:val="en-US"/>
        </w:rPr>
        <w:tab/>
        <w:t xml:space="preserve">     </w:t>
      </w:r>
      <w:r w:rsidR="00652842" w:rsidRPr="009025AF">
        <w:rPr>
          <w:rFonts w:ascii="Arial" w:hAnsi="Arial" w:cs="Arial"/>
          <w:b/>
          <w:bCs/>
          <w:sz w:val="24"/>
          <w:szCs w:val="24"/>
          <w:lang w:val="en-US"/>
        </w:rPr>
        <w:t>APPELLANT</w:t>
      </w:r>
    </w:p>
    <w:p w14:paraId="4E267D75" w14:textId="77777777" w:rsidR="00B874DD" w:rsidRPr="009025AF" w:rsidRDefault="00B874DD" w:rsidP="00B874DD">
      <w:pPr>
        <w:spacing w:line="240" w:lineRule="auto"/>
        <w:ind w:right="-154"/>
        <w:rPr>
          <w:rFonts w:ascii="Arial" w:hAnsi="Arial" w:cs="Arial"/>
          <w:b/>
          <w:bCs/>
          <w:sz w:val="24"/>
          <w:szCs w:val="24"/>
          <w:lang w:val="en-US"/>
        </w:rPr>
      </w:pPr>
    </w:p>
    <w:p w14:paraId="0A20A8DA" w14:textId="3A37193D" w:rsidR="00BD73E7" w:rsidRPr="009025AF" w:rsidRDefault="00BD73E7" w:rsidP="00B05C8E">
      <w:pPr>
        <w:spacing w:line="240" w:lineRule="auto"/>
        <w:rPr>
          <w:rFonts w:ascii="Arial" w:hAnsi="Arial" w:cs="Arial"/>
          <w:bCs/>
          <w:sz w:val="24"/>
          <w:szCs w:val="24"/>
          <w:lang w:val="en-US"/>
        </w:rPr>
      </w:pPr>
      <w:r w:rsidRPr="009025AF">
        <w:rPr>
          <w:rFonts w:ascii="Arial" w:hAnsi="Arial" w:cs="Arial"/>
          <w:bCs/>
          <w:sz w:val="24"/>
          <w:szCs w:val="24"/>
          <w:lang w:val="en-US"/>
        </w:rPr>
        <w:t>and</w:t>
      </w:r>
    </w:p>
    <w:p w14:paraId="2C082C12" w14:textId="6ED00223" w:rsidR="00BD73E7" w:rsidRPr="009025AF" w:rsidRDefault="00BD73E7" w:rsidP="00B05C8E">
      <w:pPr>
        <w:spacing w:line="240" w:lineRule="auto"/>
        <w:rPr>
          <w:rFonts w:ascii="Arial" w:hAnsi="Arial" w:cs="Arial"/>
          <w:b/>
          <w:bCs/>
          <w:sz w:val="24"/>
          <w:szCs w:val="24"/>
          <w:lang w:val="en-US"/>
        </w:rPr>
      </w:pPr>
    </w:p>
    <w:p w14:paraId="02BD3B4D" w14:textId="032C1AAF" w:rsidR="00BD73E7" w:rsidRPr="009025AF" w:rsidRDefault="00A44CF0" w:rsidP="00A44CF0">
      <w:pPr>
        <w:rPr>
          <w:rFonts w:ascii="Arial" w:hAnsi="Arial" w:cs="Arial"/>
          <w:b/>
          <w:bCs/>
          <w:sz w:val="24"/>
          <w:szCs w:val="24"/>
          <w:lang w:val="en-US"/>
        </w:rPr>
      </w:pPr>
      <w:r w:rsidRPr="009025AF">
        <w:rPr>
          <w:rFonts w:ascii="Arial" w:hAnsi="Arial" w:cs="Arial"/>
          <w:b/>
          <w:bCs/>
          <w:sz w:val="24"/>
          <w:szCs w:val="24"/>
          <w:lang w:val="en-US"/>
        </w:rPr>
        <w:t>VODACOM (PTY) LTD</w:t>
      </w:r>
      <w:r w:rsidR="00C31D3B" w:rsidRPr="009025AF">
        <w:rPr>
          <w:rFonts w:ascii="Arial" w:hAnsi="Arial" w:cs="Arial"/>
          <w:b/>
          <w:bCs/>
          <w:sz w:val="24"/>
          <w:szCs w:val="24"/>
          <w:lang w:val="en-US"/>
        </w:rPr>
        <w:tab/>
      </w:r>
      <w:r w:rsidR="00C31D3B" w:rsidRPr="009025AF">
        <w:rPr>
          <w:rFonts w:ascii="Arial" w:hAnsi="Arial" w:cs="Arial"/>
          <w:b/>
          <w:bCs/>
          <w:sz w:val="24"/>
          <w:szCs w:val="24"/>
          <w:lang w:val="en-US"/>
        </w:rPr>
        <w:tab/>
      </w:r>
      <w:r w:rsidR="00C31D3B" w:rsidRPr="009025AF">
        <w:rPr>
          <w:rFonts w:ascii="Arial" w:hAnsi="Arial" w:cs="Arial"/>
          <w:b/>
          <w:bCs/>
          <w:sz w:val="24"/>
          <w:szCs w:val="24"/>
          <w:lang w:val="en-US"/>
        </w:rPr>
        <w:tab/>
      </w:r>
      <w:r w:rsidR="00B874DD" w:rsidRPr="009025AF">
        <w:rPr>
          <w:rFonts w:ascii="Arial" w:hAnsi="Arial" w:cs="Arial"/>
          <w:b/>
          <w:bCs/>
          <w:sz w:val="24"/>
          <w:szCs w:val="24"/>
          <w:lang w:val="en-US"/>
        </w:rPr>
        <w:tab/>
      </w:r>
      <w:r w:rsidR="00B874DD" w:rsidRPr="009025AF">
        <w:rPr>
          <w:rFonts w:ascii="Arial" w:hAnsi="Arial" w:cs="Arial"/>
          <w:b/>
          <w:bCs/>
          <w:sz w:val="24"/>
          <w:szCs w:val="24"/>
          <w:lang w:val="en-US"/>
        </w:rPr>
        <w:tab/>
      </w:r>
      <w:r w:rsidR="00B874DD" w:rsidRPr="009025AF">
        <w:rPr>
          <w:rFonts w:ascii="Arial" w:hAnsi="Arial" w:cs="Arial"/>
          <w:b/>
          <w:bCs/>
          <w:sz w:val="24"/>
          <w:szCs w:val="24"/>
          <w:lang w:val="en-US"/>
        </w:rPr>
        <w:tab/>
        <w:t xml:space="preserve"> </w:t>
      </w:r>
      <w:r w:rsidRPr="009025AF">
        <w:rPr>
          <w:rFonts w:ascii="Arial" w:hAnsi="Arial" w:cs="Arial"/>
          <w:b/>
          <w:bCs/>
          <w:sz w:val="24"/>
          <w:szCs w:val="24"/>
          <w:lang w:val="en-US"/>
        </w:rPr>
        <w:t xml:space="preserve">FIRST </w:t>
      </w:r>
      <w:r w:rsidR="00C31D3B" w:rsidRPr="009025AF">
        <w:rPr>
          <w:rFonts w:ascii="Arial" w:hAnsi="Arial" w:cs="Arial"/>
          <w:b/>
          <w:bCs/>
          <w:sz w:val="24"/>
          <w:szCs w:val="24"/>
          <w:lang w:val="en-US"/>
        </w:rPr>
        <w:t>RESPONDENT</w:t>
      </w:r>
    </w:p>
    <w:p w14:paraId="4E08565C" w14:textId="77777777" w:rsidR="00A44CF0" w:rsidRPr="009025AF" w:rsidRDefault="00A44CF0" w:rsidP="00A44CF0">
      <w:pPr>
        <w:rPr>
          <w:rFonts w:ascii="Arial" w:hAnsi="Arial" w:cs="Arial"/>
          <w:b/>
          <w:bCs/>
          <w:sz w:val="24"/>
          <w:szCs w:val="24"/>
          <w:lang w:val="en-US"/>
        </w:rPr>
      </w:pPr>
    </w:p>
    <w:p w14:paraId="30E5D666" w14:textId="24EF0EFC" w:rsidR="00A44CF0" w:rsidRPr="009025AF" w:rsidRDefault="00A44CF0" w:rsidP="00A44CF0">
      <w:pPr>
        <w:tabs>
          <w:tab w:val="left" w:pos="6096"/>
        </w:tabs>
        <w:rPr>
          <w:rFonts w:ascii="Arial" w:hAnsi="Arial" w:cs="Arial"/>
          <w:b/>
          <w:bCs/>
          <w:sz w:val="24"/>
          <w:szCs w:val="24"/>
          <w:lang w:val="en-US"/>
        </w:rPr>
      </w:pPr>
      <w:r w:rsidRPr="009025AF">
        <w:rPr>
          <w:rFonts w:ascii="Arial" w:hAnsi="Arial" w:cs="Arial"/>
          <w:b/>
          <w:bCs/>
          <w:sz w:val="24"/>
          <w:szCs w:val="24"/>
          <w:lang w:val="en-US"/>
        </w:rPr>
        <w:t>MOBILE TELEPHONE NETWORKS (PTY) LTD</w:t>
      </w:r>
      <w:r w:rsidRPr="009025AF">
        <w:rPr>
          <w:rFonts w:ascii="Arial" w:hAnsi="Arial" w:cs="Arial"/>
          <w:b/>
          <w:bCs/>
          <w:sz w:val="24"/>
          <w:szCs w:val="24"/>
          <w:lang w:val="en-US"/>
        </w:rPr>
        <w:tab/>
        <w:t xml:space="preserve">  SECOND RESPONDENT</w:t>
      </w:r>
    </w:p>
    <w:p w14:paraId="021E9E43" w14:textId="77777777" w:rsidR="00A44CF0" w:rsidRPr="009025AF" w:rsidRDefault="00A44CF0" w:rsidP="00A44CF0">
      <w:pPr>
        <w:tabs>
          <w:tab w:val="left" w:pos="6096"/>
        </w:tabs>
        <w:jc w:val="right"/>
        <w:rPr>
          <w:rFonts w:ascii="Arial" w:hAnsi="Arial" w:cs="Arial"/>
          <w:b/>
          <w:bCs/>
          <w:sz w:val="24"/>
          <w:szCs w:val="24"/>
          <w:lang w:val="en-US"/>
        </w:rPr>
      </w:pPr>
    </w:p>
    <w:p w14:paraId="6BAA131B" w14:textId="37273C8A" w:rsidR="00A44CF0" w:rsidRPr="009025AF" w:rsidRDefault="00A44CF0" w:rsidP="00A44CF0">
      <w:pPr>
        <w:tabs>
          <w:tab w:val="left" w:pos="6096"/>
        </w:tabs>
        <w:jc w:val="left"/>
        <w:rPr>
          <w:rFonts w:ascii="Arial" w:hAnsi="Arial" w:cs="Arial"/>
          <w:b/>
          <w:bCs/>
          <w:sz w:val="24"/>
          <w:szCs w:val="24"/>
          <w:lang w:val="en-US"/>
        </w:rPr>
      </w:pPr>
      <w:r w:rsidRPr="009025AF">
        <w:rPr>
          <w:rFonts w:ascii="Arial" w:hAnsi="Arial" w:cs="Arial"/>
          <w:b/>
          <w:bCs/>
          <w:sz w:val="24"/>
          <w:szCs w:val="24"/>
          <w:lang w:val="en-US"/>
        </w:rPr>
        <w:t xml:space="preserve">TELKOM SA LTD </w:t>
      </w:r>
      <w:r w:rsidRPr="009025AF">
        <w:rPr>
          <w:rFonts w:ascii="Arial" w:hAnsi="Arial" w:cs="Arial"/>
          <w:b/>
          <w:bCs/>
          <w:sz w:val="24"/>
          <w:szCs w:val="24"/>
          <w:lang w:val="en-US"/>
        </w:rPr>
        <w:tab/>
      </w:r>
      <w:r w:rsidRPr="009025AF">
        <w:rPr>
          <w:rFonts w:ascii="Arial" w:hAnsi="Arial" w:cs="Arial"/>
          <w:b/>
          <w:bCs/>
          <w:sz w:val="24"/>
          <w:szCs w:val="24"/>
          <w:lang w:val="en-US"/>
        </w:rPr>
        <w:tab/>
        <w:t>THIRD RESPONDENT</w:t>
      </w:r>
    </w:p>
    <w:p w14:paraId="774A406A" w14:textId="77777777" w:rsidR="00A44CF0" w:rsidRPr="009025AF" w:rsidRDefault="00A44CF0" w:rsidP="00A44CF0">
      <w:pPr>
        <w:tabs>
          <w:tab w:val="left" w:pos="6096"/>
        </w:tabs>
        <w:jc w:val="left"/>
        <w:rPr>
          <w:rFonts w:ascii="Arial" w:hAnsi="Arial" w:cs="Arial"/>
          <w:b/>
          <w:bCs/>
          <w:sz w:val="24"/>
          <w:szCs w:val="24"/>
          <w:lang w:val="en-US"/>
        </w:rPr>
      </w:pPr>
    </w:p>
    <w:p w14:paraId="76960AE1" w14:textId="3179F10B" w:rsidR="00A44CF0" w:rsidRPr="009025AF" w:rsidRDefault="00A44CF0" w:rsidP="00A44CF0">
      <w:pPr>
        <w:tabs>
          <w:tab w:val="left" w:pos="6096"/>
        </w:tabs>
        <w:jc w:val="left"/>
        <w:rPr>
          <w:rFonts w:ascii="Arial" w:hAnsi="Arial" w:cs="Arial"/>
          <w:b/>
          <w:bCs/>
          <w:sz w:val="24"/>
          <w:szCs w:val="24"/>
          <w:lang w:val="en-US"/>
        </w:rPr>
      </w:pPr>
      <w:r w:rsidRPr="009025AF">
        <w:rPr>
          <w:rFonts w:ascii="Arial" w:hAnsi="Arial" w:cs="Arial"/>
          <w:b/>
          <w:bCs/>
          <w:sz w:val="24"/>
          <w:szCs w:val="24"/>
          <w:lang w:val="en-US"/>
        </w:rPr>
        <w:t>CELL C (PTY) LTD</w:t>
      </w:r>
      <w:r w:rsidRPr="009025AF">
        <w:rPr>
          <w:rFonts w:ascii="Arial" w:hAnsi="Arial" w:cs="Arial"/>
          <w:b/>
          <w:bCs/>
          <w:sz w:val="24"/>
          <w:szCs w:val="24"/>
          <w:lang w:val="en-US"/>
        </w:rPr>
        <w:tab/>
        <w:t xml:space="preserve">  FOURTH RESPONDENT</w:t>
      </w:r>
    </w:p>
    <w:p w14:paraId="28BB1432" w14:textId="77777777" w:rsidR="00B874DD" w:rsidRPr="009025AF" w:rsidRDefault="00B874DD" w:rsidP="00B874DD">
      <w:pPr>
        <w:jc w:val="left"/>
        <w:rPr>
          <w:rFonts w:ascii="Arial" w:hAnsi="Arial" w:cs="Arial"/>
          <w:b/>
          <w:bCs/>
          <w:sz w:val="24"/>
          <w:szCs w:val="24"/>
          <w:lang w:val="en-US"/>
        </w:rPr>
      </w:pPr>
    </w:p>
    <w:p w14:paraId="616F1E2B" w14:textId="12EA5DFC" w:rsidR="002073C1" w:rsidRPr="009025AF" w:rsidRDefault="002073C1" w:rsidP="00C22715">
      <w:pPr>
        <w:ind w:left="2160" w:hanging="2160"/>
        <w:rPr>
          <w:rFonts w:ascii="Arial" w:hAnsi="Arial" w:cs="Arial"/>
          <w:sz w:val="24"/>
          <w:szCs w:val="24"/>
          <w:lang w:val="en-US"/>
        </w:rPr>
      </w:pPr>
      <w:r w:rsidRPr="009025AF">
        <w:rPr>
          <w:rFonts w:ascii="Arial" w:hAnsi="Arial" w:cs="Arial"/>
          <w:b/>
          <w:bCs/>
          <w:sz w:val="24"/>
          <w:szCs w:val="24"/>
          <w:lang w:val="en-US"/>
        </w:rPr>
        <w:t>Neutral citation:</w:t>
      </w:r>
      <w:r w:rsidRPr="009025AF">
        <w:rPr>
          <w:rFonts w:ascii="Arial" w:hAnsi="Arial" w:cs="Arial"/>
          <w:b/>
          <w:bCs/>
          <w:sz w:val="24"/>
          <w:szCs w:val="24"/>
          <w:lang w:val="en-US"/>
        </w:rPr>
        <w:tab/>
      </w:r>
      <w:r w:rsidR="00D605CB" w:rsidRPr="009025AF">
        <w:rPr>
          <w:rFonts w:ascii="Arial" w:hAnsi="Arial" w:cs="Arial"/>
          <w:bCs/>
          <w:i/>
          <w:sz w:val="24"/>
          <w:szCs w:val="24"/>
          <w:lang w:val="en-US"/>
        </w:rPr>
        <w:t>Giftwrap Trading (Pty) Ltd</w:t>
      </w:r>
      <w:r w:rsidR="00B874DD" w:rsidRPr="009025AF">
        <w:rPr>
          <w:rFonts w:ascii="Arial" w:hAnsi="Arial" w:cs="Arial"/>
          <w:bCs/>
          <w:i/>
          <w:sz w:val="24"/>
          <w:szCs w:val="24"/>
          <w:lang w:val="en-US"/>
        </w:rPr>
        <w:t xml:space="preserve"> v </w:t>
      </w:r>
      <w:r w:rsidR="00D605CB" w:rsidRPr="009025AF">
        <w:rPr>
          <w:rFonts w:ascii="Arial" w:hAnsi="Arial" w:cs="Arial"/>
          <w:bCs/>
          <w:i/>
          <w:sz w:val="24"/>
          <w:szCs w:val="24"/>
          <w:lang w:val="en-US"/>
        </w:rPr>
        <w:t>Vodacom (Pty) Ltd</w:t>
      </w:r>
      <w:r w:rsidR="00B874DD" w:rsidRPr="009025AF">
        <w:rPr>
          <w:rFonts w:ascii="Arial" w:hAnsi="Arial" w:cs="Arial"/>
          <w:bCs/>
          <w:i/>
          <w:sz w:val="24"/>
          <w:szCs w:val="24"/>
          <w:lang w:val="en-US"/>
        </w:rPr>
        <w:t xml:space="preserve"> and Others</w:t>
      </w:r>
      <w:r w:rsidRPr="009025AF">
        <w:rPr>
          <w:rFonts w:ascii="Arial" w:hAnsi="Arial" w:cs="Arial"/>
          <w:i/>
          <w:iCs/>
          <w:sz w:val="24"/>
          <w:szCs w:val="24"/>
          <w:lang w:val="en-US"/>
        </w:rPr>
        <w:t xml:space="preserve"> </w:t>
      </w:r>
      <w:r w:rsidRPr="009025AF">
        <w:rPr>
          <w:rFonts w:ascii="Arial" w:hAnsi="Arial" w:cs="Arial"/>
          <w:sz w:val="24"/>
          <w:szCs w:val="24"/>
          <w:lang w:val="en-US"/>
        </w:rPr>
        <w:t>(</w:t>
      </w:r>
      <w:r w:rsidR="00D605CB" w:rsidRPr="009025AF">
        <w:rPr>
          <w:rFonts w:ascii="Arial" w:hAnsi="Arial" w:cs="Arial"/>
          <w:sz w:val="24"/>
          <w:szCs w:val="24"/>
          <w:lang w:val="en-US"/>
        </w:rPr>
        <w:t>1009</w:t>
      </w:r>
      <w:r w:rsidR="00D05983" w:rsidRPr="009025AF">
        <w:rPr>
          <w:rFonts w:ascii="Arial" w:hAnsi="Arial" w:cs="Arial"/>
          <w:sz w:val="24"/>
          <w:szCs w:val="24"/>
          <w:lang w:val="en-US"/>
        </w:rPr>
        <w:t>/</w:t>
      </w:r>
      <w:r w:rsidR="00D605CB" w:rsidRPr="009025AF">
        <w:rPr>
          <w:rFonts w:ascii="Arial" w:hAnsi="Arial" w:cs="Arial"/>
          <w:sz w:val="24"/>
          <w:szCs w:val="24"/>
          <w:lang w:val="en-US"/>
        </w:rPr>
        <w:t>2020</w:t>
      </w:r>
      <w:r w:rsidRPr="009025AF">
        <w:rPr>
          <w:rFonts w:ascii="Arial" w:hAnsi="Arial" w:cs="Arial"/>
          <w:sz w:val="24"/>
          <w:szCs w:val="24"/>
          <w:lang w:val="en-US"/>
        </w:rPr>
        <w:t>)</w:t>
      </w:r>
      <w:r w:rsidR="00B874DD" w:rsidRPr="009025AF">
        <w:rPr>
          <w:rFonts w:ascii="Arial" w:hAnsi="Arial" w:cs="Arial"/>
          <w:sz w:val="24"/>
          <w:szCs w:val="24"/>
          <w:lang w:val="en-US"/>
        </w:rPr>
        <w:t xml:space="preserve"> [2023</w:t>
      </w:r>
      <w:r w:rsidR="006323AC" w:rsidRPr="009025AF">
        <w:rPr>
          <w:rFonts w:ascii="Arial" w:hAnsi="Arial" w:cs="Arial"/>
          <w:sz w:val="24"/>
          <w:szCs w:val="24"/>
          <w:lang w:val="en-US"/>
        </w:rPr>
        <w:t xml:space="preserve">] ZASCA </w:t>
      </w:r>
      <w:r w:rsidR="00A73741">
        <w:rPr>
          <w:rFonts w:ascii="Arial" w:hAnsi="Arial" w:cs="Arial"/>
          <w:sz w:val="24"/>
          <w:szCs w:val="24"/>
          <w:lang w:val="en-US"/>
        </w:rPr>
        <w:t>47</w:t>
      </w:r>
      <w:r w:rsidRPr="009025AF">
        <w:rPr>
          <w:rFonts w:ascii="Arial" w:hAnsi="Arial" w:cs="Arial"/>
          <w:sz w:val="24"/>
          <w:szCs w:val="24"/>
          <w:lang w:val="en-US"/>
        </w:rPr>
        <w:t xml:space="preserve"> (</w:t>
      </w:r>
      <w:r w:rsidR="00F77C1D">
        <w:rPr>
          <w:rFonts w:ascii="Arial" w:hAnsi="Arial" w:cs="Arial"/>
          <w:sz w:val="24"/>
          <w:szCs w:val="24"/>
          <w:lang w:val="en-US"/>
        </w:rPr>
        <w:t>4 April</w:t>
      </w:r>
      <w:r w:rsidR="00B874DD" w:rsidRPr="009025AF">
        <w:rPr>
          <w:rFonts w:ascii="Arial" w:hAnsi="Arial" w:cs="Arial"/>
          <w:sz w:val="24"/>
          <w:szCs w:val="24"/>
          <w:lang w:val="en-US"/>
        </w:rPr>
        <w:t xml:space="preserve"> 2023</w:t>
      </w:r>
      <w:r w:rsidRPr="009025AF">
        <w:rPr>
          <w:rFonts w:ascii="Arial" w:hAnsi="Arial" w:cs="Arial"/>
          <w:sz w:val="24"/>
          <w:szCs w:val="24"/>
          <w:lang w:val="en-US"/>
        </w:rPr>
        <w:t>)</w:t>
      </w:r>
    </w:p>
    <w:p w14:paraId="3D84210D" w14:textId="29EA6E45" w:rsidR="002073C1" w:rsidRPr="009025AF" w:rsidRDefault="002073C1" w:rsidP="00735CFE">
      <w:pPr>
        <w:ind w:left="1440" w:hanging="1440"/>
        <w:rPr>
          <w:rFonts w:ascii="Arial" w:hAnsi="Arial" w:cs="Arial"/>
          <w:sz w:val="24"/>
          <w:szCs w:val="24"/>
          <w:lang w:val="en-US"/>
        </w:rPr>
      </w:pPr>
      <w:r w:rsidRPr="009025AF">
        <w:rPr>
          <w:rFonts w:ascii="Arial" w:hAnsi="Arial" w:cs="Arial"/>
          <w:b/>
          <w:bCs/>
          <w:sz w:val="24"/>
          <w:szCs w:val="24"/>
          <w:lang w:val="en-US"/>
        </w:rPr>
        <w:t>Coram:</w:t>
      </w:r>
      <w:r w:rsidRPr="009025AF">
        <w:rPr>
          <w:rFonts w:ascii="Arial" w:hAnsi="Arial" w:cs="Arial"/>
          <w:sz w:val="24"/>
          <w:szCs w:val="24"/>
          <w:lang w:val="en-US"/>
        </w:rPr>
        <w:tab/>
      </w:r>
      <w:r w:rsidR="00836AB5" w:rsidRPr="009025AF">
        <w:rPr>
          <w:rFonts w:ascii="Arial" w:hAnsi="Arial" w:cs="Arial"/>
          <w:sz w:val="24"/>
          <w:szCs w:val="24"/>
          <w:lang w:val="en-US"/>
        </w:rPr>
        <w:t xml:space="preserve">VAN DER MERWE, </w:t>
      </w:r>
      <w:r w:rsidR="00D605CB" w:rsidRPr="009025AF">
        <w:rPr>
          <w:rFonts w:ascii="Arial" w:hAnsi="Arial" w:cs="Arial"/>
          <w:sz w:val="24"/>
          <w:szCs w:val="24"/>
          <w:lang w:val="en-US"/>
        </w:rPr>
        <w:t>GORVEN</w:t>
      </w:r>
      <w:r w:rsidR="00836AB5" w:rsidRPr="009025AF">
        <w:rPr>
          <w:rFonts w:ascii="Arial" w:hAnsi="Arial" w:cs="Arial"/>
          <w:sz w:val="24"/>
          <w:szCs w:val="24"/>
          <w:lang w:val="en-US"/>
        </w:rPr>
        <w:t xml:space="preserve"> </w:t>
      </w:r>
      <w:r w:rsidR="00087951" w:rsidRPr="009025AF">
        <w:rPr>
          <w:rFonts w:ascii="Arial" w:hAnsi="Arial" w:cs="Arial"/>
          <w:sz w:val="24"/>
          <w:szCs w:val="24"/>
          <w:lang w:val="en-US"/>
        </w:rPr>
        <w:t>and</w:t>
      </w:r>
      <w:r w:rsidR="00836AB5" w:rsidRPr="009025AF">
        <w:rPr>
          <w:rFonts w:ascii="Arial" w:hAnsi="Arial" w:cs="Arial"/>
          <w:sz w:val="24"/>
          <w:szCs w:val="24"/>
          <w:lang w:val="en-US"/>
        </w:rPr>
        <w:t xml:space="preserve"> </w:t>
      </w:r>
      <w:r w:rsidR="00D605CB" w:rsidRPr="009025AF">
        <w:rPr>
          <w:rFonts w:ascii="Arial" w:hAnsi="Arial" w:cs="Arial"/>
          <w:sz w:val="24"/>
          <w:szCs w:val="24"/>
          <w:lang w:val="en-US"/>
        </w:rPr>
        <w:t>MABINDLA-BOQWANA</w:t>
      </w:r>
      <w:r w:rsidR="00836AB5" w:rsidRPr="009025AF">
        <w:rPr>
          <w:rFonts w:ascii="Arial" w:hAnsi="Arial" w:cs="Arial"/>
          <w:sz w:val="24"/>
          <w:szCs w:val="24"/>
          <w:lang w:val="en-US"/>
        </w:rPr>
        <w:t xml:space="preserve"> JJA </w:t>
      </w:r>
      <w:r w:rsidR="00087951" w:rsidRPr="009025AF">
        <w:rPr>
          <w:rFonts w:ascii="Arial" w:hAnsi="Arial" w:cs="Arial"/>
          <w:sz w:val="24"/>
          <w:szCs w:val="24"/>
          <w:lang w:val="en-US"/>
        </w:rPr>
        <w:t xml:space="preserve">and </w:t>
      </w:r>
      <w:r w:rsidR="00D605CB" w:rsidRPr="009025AF">
        <w:rPr>
          <w:rFonts w:ascii="Arial" w:hAnsi="Arial" w:cs="Arial"/>
          <w:sz w:val="24"/>
          <w:szCs w:val="24"/>
          <w:lang w:val="en-US"/>
        </w:rPr>
        <w:t>OLSEN and SIWENDU</w:t>
      </w:r>
      <w:r w:rsidR="00836AB5" w:rsidRPr="009025AF">
        <w:rPr>
          <w:rFonts w:ascii="Arial" w:hAnsi="Arial" w:cs="Arial"/>
          <w:sz w:val="24"/>
          <w:szCs w:val="24"/>
          <w:lang w:val="en-US"/>
        </w:rPr>
        <w:t xml:space="preserve"> A</w:t>
      </w:r>
      <w:r w:rsidR="00D605CB" w:rsidRPr="009025AF">
        <w:rPr>
          <w:rFonts w:ascii="Arial" w:hAnsi="Arial" w:cs="Arial"/>
          <w:sz w:val="24"/>
          <w:szCs w:val="24"/>
          <w:lang w:val="en-US"/>
        </w:rPr>
        <w:t>J</w:t>
      </w:r>
      <w:r w:rsidR="00836AB5" w:rsidRPr="009025AF">
        <w:rPr>
          <w:rFonts w:ascii="Arial" w:hAnsi="Arial" w:cs="Arial"/>
          <w:sz w:val="24"/>
          <w:szCs w:val="24"/>
          <w:lang w:val="en-US"/>
        </w:rPr>
        <w:t>JA</w:t>
      </w:r>
    </w:p>
    <w:p w14:paraId="1A1EE867" w14:textId="2766E230" w:rsidR="002073C1" w:rsidRPr="009025AF" w:rsidRDefault="002073C1" w:rsidP="00C22715">
      <w:pPr>
        <w:rPr>
          <w:rFonts w:ascii="Arial" w:hAnsi="Arial" w:cs="Arial"/>
          <w:sz w:val="24"/>
          <w:szCs w:val="24"/>
          <w:lang w:val="en-US"/>
        </w:rPr>
      </w:pPr>
      <w:r w:rsidRPr="009025AF">
        <w:rPr>
          <w:rFonts w:ascii="Arial" w:hAnsi="Arial" w:cs="Arial"/>
          <w:b/>
          <w:bCs/>
          <w:sz w:val="24"/>
          <w:szCs w:val="24"/>
          <w:lang w:val="en-US"/>
        </w:rPr>
        <w:t>Heard:</w:t>
      </w:r>
      <w:r w:rsidRPr="009025AF">
        <w:rPr>
          <w:rFonts w:ascii="Arial" w:hAnsi="Arial" w:cs="Arial"/>
          <w:b/>
          <w:bCs/>
          <w:sz w:val="24"/>
          <w:szCs w:val="24"/>
          <w:lang w:val="en-US"/>
        </w:rPr>
        <w:tab/>
      </w:r>
      <w:r w:rsidR="00C321CE" w:rsidRPr="009025AF">
        <w:rPr>
          <w:rFonts w:ascii="Arial" w:hAnsi="Arial" w:cs="Arial"/>
          <w:sz w:val="24"/>
          <w:szCs w:val="24"/>
          <w:lang w:val="en-US"/>
        </w:rPr>
        <w:t>16 February 2023</w:t>
      </w:r>
    </w:p>
    <w:p w14:paraId="0C13EF79" w14:textId="621845A3" w:rsidR="002073C1" w:rsidRPr="009025AF" w:rsidRDefault="002073C1" w:rsidP="00C22715">
      <w:pPr>
        <w:rPr>
          <w:rFonts w:ascii="Arial" w:hAnsi="Arial" w:cs="Arial"/>
          <w:b/>
          <w:bCs/>
          <w:sz w:val="24"/>
          <w:szCs w:val="24"/>
          <w:lang w:val="en-US"/>
        </w:rPr>
      </w:pPr>
      <w:r w:rsidRPr="009025AF">
        <w:rPr>
          <w:rFonts w:ascii="Arial" w:hAnsi="Arial" w:cs="Arial"/>
          <w:b/>
          <w:bCs/>
          <w:sz w:val="24"/>
          <w:szCs w:val="24"/>
          <w:lang w:val="en-US"/>
        </w:rPr>
        <w:t>Delivered:</w:t>
      </w:r>
      <w:r w:rsidRPr="009025AF">
        <w:rPr>
          <w:rFonts w:ascii="Arial" w:hAnsi="Arial" w:cs="Arial"/>
          <w:b/>
          <w:bCs/>
          <w:sz w:val="24"/>
          <w:szCs w:val="24"/>
          <w:lang w:val="en-US"/>
        </w:rPr>
        <w:tab/>
      </w:r>
      <w:r w:rsidR="0033465F">
        <w:rPr>
          <w:rFonts w:ascii="Arial" w:hAnsi="Arial" w:cs="Arial"/>
          <w:bCs/>
          <w:sz w:val="24"/>
          <w:szCs w:val="24"/>
          <w:lang w:val="en-US"/>
        </w:rPr>
        <w:t>4 April</w:t>
      </w:r>
      <w:r w:rsidR="00F21C10" w:rsidRPr="009025AF">
        <w:rPr>
          <w:rFonts w:ascii="Arial" w:hAnsi="Arial" w:cs="Arial"/>
          <w:sz w:val="24"/>
          <w:szCs w:val="24"/>
          <w:lang w:val="en-US"/>
        </w:rPr>
        <w:t xml:space="preserve"> </w:t>
      </w:r>
      <w:r w:rsidR="00B874DD" w:rsidRPr="009025AF">
        <w:rPr>
          <w:rFonts w:ascii="Arial" w:hAnsi="Arial" w:cs="Arial"/>
          <w:bCs/>
          <w:sz w:val="24"/>
          <w:szCs w:val="24"/>
          <w:lang w:val="en-US"/>
        </w:rPr>
        <w:t>2023</w:t>
      </w:r>
    </w:p>
    <w:p w14:paraId="5B4DE4DD" w14:textId="2FADF020" w:rsidR="00EB3142" w:rsidRDefault="002073C1" w:rsidP="001E65A6">
      <w:pPr>
        <w:rPr>
          <w:rFonts w:ascii="Arial" w:hAnsi="Arial" w:cs="Arial"/>
          <w:sz w:val="24"/>
          <w:szCs w:val="24"/>
          <w:lang w:val="en-US"/>
        </w:rPr>
      </w:pPr>
      <w:r w:rsidRPr="009025AF">
        <w:rPr>
          <w:rFonts w:ascii="Arial" w:hAnsi="Arial" w:cs="Arial"/>
          <w:b/>
          <w:bCs/>
          <w:sz w:val="24"/>
          <w:szCs w:val="24"/>
          <w:lang w:val="en-US"/>
        </w:rPr>
        <w:t>Summary:</w:t>
      </w:r>
      <w:r w:rsidRPr="009025AF">
        <w:rPr>
          <w:rFonts w:ascii="Arial" w:hAnsi="Arial" w:cs="Arial"/>
          <w:sz w:val="24"/>
          <w:szCs w:val="24"/>
          <w:lang w:val="en-US"/>
        </w:rPr>
        <w:tab/>
      </w:r>
      <w:r w:rsidR="00A738B9">
        <w:rPr>
          <w:rFonts w:ascii="Arial" w:hAnsi="Arial" w:cs="Arial"/>
          <w:sz w:val="24"/>
          <w:szCs w:val="24"/>
          <w:lang w:val="en-US"/>
        </w:rPr>
        <w:t>Regulation</w:t>
      </w:r>
      <w:r w:rsidR="007E3F26">
        <w:rPr>
          <w:rFonts w:ascii="Arial" w:hAnsi="Arial" w:cs="Arial"/>
          <w:sz w:val="24"/>
          <w:szCs w:val="24"/>
          <w:lang w:val="en-US"/>
        </w:rPr>
        <w:t xml:space="preserve"> of Interception</w:t>
      </w:r>
      <w:r w:rsidR="00A738B9">
        <w:rPr>
          <w:rFonts w:ascii="Arial" w:hAnsi="Arial" w:cs="Arial"/>
          <w:sz w:val="24"/>
          <w:szCs w:val="24"/>
          <w:lang w:val="en-US"/>
        </w:rPr>
        <w:t xml:space="preserve"> of Communication</w:t>
      </w:r>
      <w:r w:rsidR="007E3F26">
        <w:rPr>
          <w:rFonts w:ascii="Arial" w:hAnsi="Arial" w:cs="Arial"/>
          <w:sz w:val="24"/>
          <w:szCs w:val="24"/>
          <w:lang w:val="en-US"/>
        </w:rPr>
        <w:t>s</w:t>
      </w:r>
      <w:r w:rsidR="00A738B9">
        <w:rPr>
          <w:rFonts w:ascii="Arial" w:hAnsi="Arial" w:cs="Arial"/>
          <w:sz w:val="24"/>
          <w:szCs w:val="24"/>
          <w:lang w:val="en-US"/>
        </w:rPr>
        <w:t xml:space="preserve"> and Provision of Communication-Related Information Act 70 of 2002 (RICA) – disclosure of customer information obtained and stored by Internet and cellular phone service providers</w:t>
      </w:r>
      <w:r w:rsidR="009244E8">
        <w:rPr>
          <w:rFonts w:ascii="Arial" w:hAnsi="Arial" w:cs="Arial"/>
          <w:sz w:val="24"/>
          <w:szCs w:val="24"/>
          <w:lang w:val="en-US"/>
        </w:rPr>
        <w:t xml:space="preserve"> under </w:t>
      </w:r>
      <w:r w:rsidR="005A779A">
        <w:rPr>
          <w:rFonts w:ascii="Arial" w:hAnsi="Arial" w:cs="Arial"/>
          <w:sz w:val="24"/>
          <w:szCs w:val="24"/>
          <w:lang w:val="en-US"/>
        </w:rPr>
        <w:t>s</w:t>
      </w:r>
      <w:r w:rsidR="009244E8">
        <w:rPr>
          <w:rFonts w:ascii="Arial" w:hAnsi="Arial" w:cs="Arial"/>
          <w:sz w:val="24"/>
          <w:szCs w:val="24"/>
          <w:lang w:val="en-US"/>
        </w:rPr>
        <w:t>s 39 and 40 of RICA – s</w:t>
      </w:r>
      <w:r w:rsidR="002D327C">
        <w:rPr>
          <w:rFonts w:ascii="Arial" w:hAnsi="Arial" w:cs="Arial"/>
          <w:sz w:val="24"/>
          <w:szCs w:val="24"/>
          <w:lang w:val="en-US"/>
        </w:rPr>
        <w:t> </w:t>
      </w:r>
      <w:r w:rsidR="009244E8">
        <w:rPr>
          <w:rFonts w:ascii="Arial" w:hAnsi="Arial" w:cs="Arial"/>
          <w:sz w:val="24"/>
          <w:szCs w:val="24"/>
          <w:lang w:val="en-US"/>
        </w:rPr>
        <w:t>42(1)</w:t>
      </w:r>
      <w:r w:rsidR="009244E8">
        <w:rPr>
          <w:rFonts w:ascii="Arial" w:hAnsi="Arial" w:cs="Arial"/>
          <w:i/>
          <w:sz w:val="24"/>
          <w:szCs w:val="24"/>
          <w:lang w:val="en-US"/>
        </w:rPr>
        <w:t>(c)</w:t>
      </w:r>
      <w:r w:rsidR="009244E8">
        <w:rPr>
          <w:rFonts w:ascii="Arial" w:hAnsi="Arial" w:cs="Arial"/>
          <w:sz w:val="24"/>
          <w:szCs w:val="24"/>
          <w:lang w:val="en-US"/>
        </w:rPr>
        <w:t xml:space="preserve"> of RICA permits disclosure if required as evidence in a court of law – not for purposes of identifying wrongdoers.  </w:t>
      </w:r>
    </w:p>
    <w:p w14:paraId="025A0196" w14:textId="77777777" w:rsidR="0015472B" w:rsidRPr="009025AF" w:rsidRDefault="0015472B" w:rsidP="001E65A6">
      <w:pPr>
        <w:rPr>
          <w:rFonts w:ascii="Arial" w:hAnsi="Arial" w:cs="Arial"/>
          <w:sz w:val="24"/>
          <w:szCs w:val="24"/>
          <w:lang w:val="en-US"/>
        </w:rPr>
      </w:pPr>
    </w:p>
    <w:p w14:paraId="0654F5B5" w14:textId="77777777" w:rsidR="00422953" w:rsidRPr="009025AF" w:rsidRDefault="00422953" w:rsidP="001E65A6">
      <w:pPr>
        <w:rPr>
          <w:rFonts w:ascii="Arial" w:hAnsi="Arial" w:cs="Arial"/>
          <w:sz w:val="24"/>
          <w:szCs w:val="24"/>
          <w:lang w:val="en-US"/>
        </w:rPr>
      </w:pPr>
    </w:p>
    <w:p w14:paraId="4EB4565B" w14:textId="77777777" w:rsidR="00431A4F" w:rsidRPr="009025AF" w:rsidRDefault="00431A4F" w:rsidP="00B05C8E">
      <w:pPr>
        <w:pBdr>
          <w:bottom w:val="single" w:sz="12" w:space="1" w:color="auto"/>
        </w:pBdr>
        <w:rPr>
          <w:rFonts w:ascii="Arial" w:hAnsi="Arial" w:cs="Arial"/>
          <w:sz w:val="24"/>
          <w:szCs w:val="24"/>
          <w:lang w:val="en-US"/>
        </w:rPr>
      </w:pPr>
    </w:p>
    <w:p w14:paraId="08BBA34E" w14:textId="77777777" w:rsidR="002073C1" w:rsidRPr="009025AF" w:rsidRDefault="002073C1" w:rsidP="00B05C8E">
      <w:pPr>
        <w:rPr>
          <w:rFonts w:ascii="Arial" w:hAnsi="Arial" w:cs="Arial"/>
          <w:b/>
          <w:bCs/>
          <w:sz w:val="24"/>
          <w:szCs w:val="24"/>
          <w:lang w:val="en-US"/>
        </w:rPr>
      </w:pPr>
    </w:p>
    <w:p w14:paraId="2174A860" w14:textId="77777777" w:rsidR="002073C1" w:rsidRPr="009025AF" w:rsidRDefault="002073C1" w:rsidP="00B05C8E">
      <w:pPr>
        <w:jc w:val="center"/>
        <w:rPr>
          <w:rFonts w:ascii="Arial" w:hAnsi="Arial" w:cs="Arial"/>
          <w:b/>
          <w:bCs/>
          <w:sz w:val="24"/>
          <w:szCs w:val="24"/>
          <w:lang w:val="en-US"/>
        </w:rPr>
      </w:pPr>
      <w:r w:rsidRPr="009025AF">
        <w:rPr>
          <w:rFonts w:ascii="Arial" w:hAnsi="Arial" w:cs="Arial"/>
          <w:b/>
          <w:bCs/>
          <w:sz w:val="24"/>
          <w:szCs w:val="24"/>
          <w:lang w:val="en-US"/>
        </w:rPr>
        <w:t>ORDER</w:t>
      </w:r>
    </w:p>
    <w:p w14:paraId="136C37D4" w14:textId="77777777" w:rsidR="002073C1" w:rsidRPr="009025AF" w:rsidRDefault="002073C1" w:rsidP="00B05C8E">
      <w:pPr>
        <w:pBdr>
          <w:bottom w:val="single" w:sz="12" w:space="1" w:color="auto"/>
        </w:pBdr>
        <w:rPr>
          <w:rFonts w:ascii="Arial" w:hAnsi="Arial" w:cs="Arial"/>
          <w:b/>
          <w:bCs/>
          <w:sz w:val="24"/>
          <w:szCs w:val="24"/>
          <w:lang w:val="en-US"/>
        </w:rPr>
      </w:pPr>
    </w:p>
    <w:p w14:paraId="045CD2EE" w14:textId="23CB8C14" w:rsidR="00614F9D" w:rsidRPr="009025AF" w:rsidRDefault="002073C1" w:rsidP="00B05C8E">
      <w:pPr>
        <w:rPr>
          <w:rFonts w:ascii="Arial" w:hAnsi="Arial" w:cs="Arial"/>
          <w:sz w:val="24"/>
          <w:szCs w:val="24"/>
          <w:lang w:val="en-US"/>
        </w:rPr>
      </w:pPr>
      <w:r w:rsidRPr="009025AF">
        <w:rPr>
          <w:rFonts w:ascii="Arial" w:hAnsi="Arial" w:cs="Arial"/>
          <w:b/>
          <w:bCs/>
          <w:sz w:val="24"/>
          <w:szCs w:val="24"/>
          <w:lang w:val="en-US"/>
        </w:rPr>
        <w:t>On appeal from:</w:t>
      </w:r>
      <w:r w:rsidRPr="009025AF">
        <w:rPr>
          <w:rFonts w:ascii="Arial" w:hAnsi="Arial" w:cs="Arial"/>
          <w:sz w:val="24"/>
          <w:szCs w:val="24"/>
          <w:lang w:val="en-US"/>
        </w:rPr>
        <w:t xml:space="preserve"> </w:t>
      </w:r>
      <w:r w:rsidR="00A46EF2" w:rsidRPr="009025AF">
        <w:rPr>
          <w:rFonts w:ascii="Arial" w:hAnsi="Arial" w:cs="Arial"/>
          <w:sz w:val="24"/>
          <w:szCs w:val="24"/>
          <w:lang w:val="en-US"/>
        </w:rPr>
        <w:t xml:space="preserve">Gauteng Division </w:t>
      </w:r>
      <w:r w:rsidRPr="009025AF">
        <w:rPr>
          <w:rFonts w:ascii="Arial" w:hAnsi="Arial" w:cs="Arial"/>
          <w:sz w:val="24"/>
          <w:szCs w:val="24"/>
          <w:lang w:val="en-US"/>
        </w:rPr>
        <w:t>of the High C</w:t>
      </w:r>
      <w:r w:rsidR="00A17461" w:rsidRPr="009025AF">
        <w:rPr>
          <w:rFonts w:ascii="Arial" w:hAnsi="Arial" w:cs="Arial"/>
          <w:sz w:val="24"/>
          <w:szCs w:val="24"/>
          <w:lang w:val="en-US"/>
        </w:rPr>
        <w:t xml:space="preserve">ourt, </w:t>
      </w:r>
      <w:r w:rsidR="009025AF" w:rsidRPr="009025AF">
        <w:rPr>
          <w:rFonts w:ascii="Arial" w:hAnsi="Arial" w:cs="Arial"/>
          <w:sz w:val="24"/>
          <w:szCs w:val="24"/>
          <w:lang w:val="en-US"/>
        </w:rPr>
        <w:t>Pretoria</w:t>
      </w:r>
      <w:r w:rsidR="00A17461" w:rsidRPr="009025AF">
        <w:rPr>
          <w:rFonts w:ascii="Arial" w:hAnsi="Arial" w:cs="Arial"/>
          <w:sz w:val="24"/>
          <w:szCs w:val="24"/>
          <w:lang w:val="en-US"/>
        </w:rPr>
        <w:t xml:space="preserve"> (</w:t>
      </w:r>
      <w:r w:rsidR="009025AF" w:rsidRPr="009025AF">
        <w:rPr>
          <w:rFonts w:ascii="Arial" w:hAnsi="Arial" w:cs="Arial"/>
          <w:sz w:val="24"/>
          <w:szCs w:val="24"/>
          <w:lang w:val="en-US"/>
        </w:rPr>
        <w:t>Mokose</w:t>
      </w:r>
      <w:r w:rsidR="00933F5C" w:rsidRPr="009025AF">
        <w:rPr>
          <w:rFonts w:ascii="Arial" w:hAnsi="Arial" w:cs="Arial"/>
          <w:sz w:val="24"/>
          <w:szCs w:val="24"/>
          <w:lang w:val="en-US"/>
        </w:rPr>
        <w:t xml:space="preserve"> </w:t>
      </w:r>
      <w:r w:rsidR="009025AF" w:rsidRPr="009025AF">
        <w:rPr>
          <w:rFonts w:ascii="Arial" w:hAnsi="Arial" w:cs="Arial"/>
          <w:sz w:val="24"/>
          <w:szCs w:val="24"/>
          <w:lang w:val="en-US"/>
        </w:rPr>
        <w:t>J</w:t>
      </w:r>
      <w:r w:rsidR="00793984" w:rsidRPr="009025AF">
        <w:rPr>
          <w:rFonts w:ascii="Arial" w:hAnsi="Arial" w:cs="Arial"/>
          <w:sz w:val="24"/>
          <w:szCs w:val="24"/>
          <w:lang w:val="en-US"/>
        </w:rPr>
        <w:t>,</w:t>
      </w:r>
      <w:r w:rsidR="00A17461" w:rsidRPr="009025AF">
        <w:rPr>
          <w:rFonts w:ascii="Arial" w:hAnsi="Arial" w:cs="Arial"/>
          <w:sz w:val="24"/>
          <w:szCs w:val="24"/>
          <w:lang w:val="en-US"/>
        </w:rPr>
        <w:t xml:space="preserve"> </w:t>
      </w:r>
      <w:r w:rsidRPr="009025AF">
        <w:rPr>
          <w:rFonts w:ascii="Arial" w:hAnsi="Arial" w:cs="Arial"/>
          <w:sz w:val="24"/>
          <w:szCs w:val="24"/>
          <w:lang w:val="en-US"/>
        </w:rPr>
        <w:t xml:space="preserve">sitting as court of </w:t>
      </w:r>
      <w:r w:rsidR="00D523FC" w:rsidRPr="009025AF">
        <w:rPr>
          <w:rFonts w:ascii="Arial" w:hAnsi="Arial" w:cs="Arial"/>
          <w:sz w:val="24"/>
          <w:szCs w:val="24"/>
          <w:lang w:val="en-US"/>
        </w:rPr>
        <w:t>first instance</w:t>
      </w:r>
      <w:r w:rsidR="00E96FF5" w:rsidRPr="009025AF">
        <w:rPr>
          <w:rFonts w:ascii="Arial" w:hAnsi="Arial" w:cs="Arial"/>
          <w:sz w:val="24"/>
          <w:szCs w:val="24"/>
          <w:lang w:val="en-US"/>
        </w:rPr>
        <w:t>)</w:t>
      </w:r>
      <w:r w:rsidR="006D42D1" w:rsidRPr="009025AF">
        <w:rPr>
          <w:rFonts w:ascii="Arial" w:hAnsi="Arial" w:cs="Arial"/>
          <w:sz w:val="24"/>
          <w:szCs w:val="24"/>
          <w:lang w:val="en-US"/>
        </w:rPr>
        <w:t>:</w:t>
      </w:r>
    </w:p>
    <w:p w14:paraId="7BF29DF7" w14:textId="77777777" w:rsidR="00933FB1" w:rsidRDefault="00933FB1" w:rsidP="00933FB1">
      <w:pPr>
        <w:rPr>
          <w:rFonts w:ascii="Arial" w:hAnsi="Arial" w:cs="Arial"/>
          <w:sz w:val="24"/>
          <w:szCs w:val="24"/>
        </w:rPr>
      </w:pPr>
      <w:r>
        <w:rPr>
          <w:rFonts w:ascii="Arial" w:hAnsi="Arial" w:cs="Arial"/>
          <w:sz w:val="24"/>
          <w:szCs w:val="24"/>
        </w:rPr>
        <w:t>1</w:t>
      </w:r>
      <w:r>
        <w:rPr>
          <w:rFonts w:ascii="Arial" w:hAnsi="Arial" w:cs="Arial"/>
          <w:sz w:val="24"/>
          <w:szCs w:val="24"/>
        </w:rPr>
        <w:tab/>
        <w:t xml:space="preserve">The appeal is dismissed. </w:t>
      </w:r>
    </w:p>
    <w:p w14:paraId="25A2FF26" w14:textId="77777777" w:rsidR="00933FB1" w:rsidRPr="009025AF" w:rsidRDefault="00933FB1" w:rsidP="00ED5628">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The registrar of this court is directed to bring this judgment to the attention of the Cabinet members responsible for the administration of justice and state security. </w:t>
      </w:r>
    </w:p>
    <w:p w14:paraId="52C9A871" w14:textId="77777777" w:rsidR="009025AF" w:rsidRPr="009025AF" w:rsidRDefault="009025AF" w:rsidP="00B05C8E">
      <w:pPr>
        <w:pBdr>
          <w:bottom w:val="single" w:sz="12" w:space="1" w:color="auto"/>
        </w:pBdr>
        <w:rPr>
          <w:rFonts w:ascii="Arial" w:hAnsi="Arial" w:cs="Arial"/>
          <w:b/>
          <w:bCs/>
          <w:sz w:val="24"/>
          <w:szCs w:val="24"/>
          <w:lang w:val="en-US"/>
        </w:rPr>
      </w:pPr>
    </w:p>
    <w:p w14:paraId="3A504304" w14:textId="3427C965" w:rsidR="00BD73E7" w:rsidRPr="009025AF" w:rsidRDefault="00BD73E7" w:rsidP="00B05C8E">
      <w:pPr>
        <w:rPr>
          <w:rFonts w:ascii="Arial" w:hAnsi="Arial" w:cs="Arial"/>
          <w:b/>
          <w:bCs/>
          <w:sz w:val="24"/>
          <w:szCs w:val="24"/>
          <w:lang w:val="en-US"/>
        </w:rPr>
      </w:pPr>
    </w:p>
    <w:p w14:paraId="7565F278" w14:textId="3AC295DB" w:rsidR="00BD73E7" w:rsidRPr="009025AF" w:rsidRDefault="00BD73E7" w:rsidP="00B05C8E">
      <w:pPr>
        <w:jc w:val="center"/>
        <w:rPr>
          <w:rFonts w:ascii="Arial" w:hAnsi="Arial" w:cs="Arial"/>
          <w:b/>
          <w:bCs/>
          <w:sz w:val="24"/>
          <w:szCs w:val="24"/>
          <w:lang w:val="en-US"/>
        </w:rPr>
      </w:pPr>
      <w:r w:rsidRPr="009025AF">
        <w:rPr>
          <w:rFonts w:ascii="Arial" w:hAnsi="Arial" w:cs="Arial"/>
          <w:b/>
          <w:bCs/>
          <w:sz w:val="24"/>
          <w:szCs w:val="24"/>
          <w:lang w:val="en-US"/>
        </w:rPr>
        <w:t>JUDGMENT</w:t>
      </w:r>
    </w:p>
    <w:p w14:paraId="55FBB5EB" w14:textId="347EDD86" w:rsidR="00BD73E7" w:rsidRPr="009025AF" w:rsidRDefault="00BD73E7" w:rsidP="00B05C8E">
      <w:pPr>
        <w:pBdr>
          <w:bottom w:val="single" w:sz="12" w:space="1" w:color="auto"/>
        </w:pBdr>
        <w:rPr>
          <w:rFonts w:ascii="Arial" w:hAnsi="Arial" w:cs="Arial"/>
          <w:b/>
          <w:bCs/>
          <w:sz w:val="24"/>
          <w:szCs w:val="24"/>
          <w:lang w:val="en-US"/>
        </w:rPr>
      </w:pPr>
    </w:p>
    <w:p w14:paraId="1F06ECBC" w14:textId="47B5D140" w:rsidR="00BD73E7" w:rsidRPr="009025AF" w:rsidRDefault="00785DB2" w:rsidP="00494104">
      <w:pPr>
        <w:spacing w:before="240"/>
        <w:rPr>
          <w:rFonts w:ascii="Arial" w:hAnsi="Arial" w:cs="Arial"/>
          <w:sz w:val="24"/>
          <w:szCs w:val="24"/>
          <w:lang w:val="en-US"/>
        </w:rPr>
      </w:pPr>
      <w:r w:rsidRPr="009025AF">
        <w:rPr>
          <w:rFonts w:ascii="Arial" w:hAnsi="Arial" w:cs="Arial"/>
          <w:b/>
          <w:bCs/>
          <w:sz w:val="24"/>
          <w:szCs w:val="24"/>
          <w:lang w:val="en-US"/>
        </w:rPr>
        <w:t>Van der Merwe</w:t>
      </w:r>
      <w:r w:rsidR="00BD73E7" w:rsidRPr="009025AF">
        <w:rPr>
          <w:rFonts w:ascii="Arial" w:hAnsi="Arial" w:cs="Arial"/>
          <w:b/>
          <w:bCs/>
          <w:sz w:val="24"/>
          <w:szCs w:val="24"/>
          <w:lang w:val="en-US"/>
        </w:rPr>
        <w:t xml:space="preserve"> JA (</w:t>
      </w:r>
      <w:r w:rsidR="005A779A">
        <w:rPr>
          <w:rFonts w:ascii="Arial" w:hAnsi="Arial" w:cs="Arial"/>
          <w:b/>
          <w:bCs/>
          <w:sz w:val="24"/>
          <w:szCs w:val="24"/>
          <w:lang w:val="en-US"/>
        </w:rPr>
        <w:t xml:space="preserve">Gorven and Mabindla-Boqwana JJA and Olsen and Siwendu AJJA </w:t>
      </w:r>
      <w:r w:rsidR="00BD73E7" w:rsidRPr="009025AF">
        <w:rPr>
          <w:rFonts w:ascii="Arial" w:hAnsi="Arial" w:cs="Arial"/>
          <w:b/>
          <w:bCs/>
          <w:sz w:val="24"/>
          <w:szCs w:val="24"/>
          <w:lang w:val="en-US"/>
        </w:rPr>
        <w:t>concurring)</w:t>
      </w:r>
      <w:r w:rsidR="006D42D1" w:rsidRPr="009025AF">
        <w:rPr>
          <w:rFonts w:ascii="Arial" w:hAnsi="Arial" w:cs="Arial"/>
          <w:b/>
          <w:bCs/>
          <w:sz w:val="24"/>
          <w:szCs w:val="24"/>
          <w:lang w:val="en-US"/>
        </w:rPr>
        <w:t>:</w:t>
      </w:r>
    </w:p>
    <w:p w14:paraId="5F66D5D6" w14:textId="16081052" w:rsidR="00EB3142" w:rsidRDefault="00BD73E7" w:rsidP="00B05C8E">
      <w:pPr>
        <w:rPr>
          <w:rFonts w:ascii="Arial" w:hAnsi="Arial" w:cs="Arial"/>
          <w:sz w:val="24"/>
          <w:szCs w:val="24"/>
          <w:lang w:val="en-US"/>
        </w:rPr>
      </w:pPr>
      <w:r w:rsidRPr="009025AF">
        <w:rPr>
          <w:rFonts w:ascii="Arial" w:hAnsi="Arial" w:cs="Arial"/>
          <w:sz w:val="24"/>
          <w:szCs w:val="24"/>
          <w:lang w:val="en-US"/>
        </w:rPr>
        <w:t>[1]</w:t>
      </w:r>
      <w:r w:rsidRPr="009025AF">
        <w:rPr>
          <w:rFonts w:ascii="Arial" w:hAnsi="Arial" w:cs="Arial"/>
          <w:sz w:val="24"/>
          <w:szCs w:val="24"/>
          <w:lang w:val="en-US"/>
        </w:rPr>
        <w:tab/>
      </w:r>
      <w:r w:rsidR="00C84381" w:rsidRPr="009025AF">
        <w:rPr>
          <w:rFonts w:ascii="Arial" w:hAnsi="Arial" w:cs="Arial"/>
          <w:sz w:val="24"/>
          <w:szCs w:val="24"/>
          <w:lang w:val="en-US"/>
        </w:rPr>
        <w:t xml:space="preserve"> </w:t>
      </w:r>
      <w:r w:rsidR="000D5D85">
        <w:rPr>
          <w:rFonts w:ascii="Arial" w:hAnsi="Arial" w:cs="Arial"/>
          <w:sz w:val="24"/>
          <w:szCs w:val="24"/>
          <w:lang w:val="en-US"/>
        </w:rPr>
        <w:t>The first respondent in this appeal, Vodacom (Pty) Ltd (Vodacom), does business as a cellular phone and Internet service provider (service provider). So, too, do the other three respondents. As I shall show, service providers are required by law to obtain and keep specified information in respect of their customers (customer information). The appeal concerns rights of access to the customer information of the respondents and arose in the manner set out below.</w:t>
      </w:r>
    </w:p>
    <w:p w14:paraId="4E66D91A" w14:textId="77777777" w:rsidR="000D5D85" w:rsidRDefault="000D5D85" w:rsidP="00B05C8E">
      <w:pPr>
        <w:rPr>
          <w:rFonts w:ascii="Arial" w:hAnsi="Arial" w:cs="Arial"/>
          <w:sz w:val="24"/>
          <w:szCs w:val="24"/>
          <w:lang w:val="en-US"/>
        </w:rPr>
      </w:pPr>
    </w:p>
    <w:p w14:paraId="5AA3A6F1" w14:textId="409D2B84" w:rsidR="000D5D85" w:rsidRPr="000D5D85" w:rsidRDefault="000D5D85" w:rsidP="00B05C8E">
      <w:pPr>
        <w:rPr>
          <w:rFonts w:ascii="Arial" w:hAnsi="Arial" w:cs="Arial"/>
          <w:b/>
          <w:sz w:val="24"/>
          <w:szCs w:val="24"/>
          <w:lang w:val="en-US"/>
        </w:rPr>
      </w:pPr>
      <w:r w:rsidRPr="000D5D85">
        <w:rPr>
          <w:rFonts w:ascii="Arial" w:hAnsi="Arial" w:cs="Arial"/>
          <w:b/>
          <w:sz w:val="24"/>
          <w:szCs w:val="24"/>
          <w:lang w:val="en-US"/>
        </w:rPr>
        <w:t>Background</w:t>
      </w:r>
    </w:p>
    <w:p w14:paraId="03634F13" w14:textId="38B4C444" w:rsidR="005E64F9" w:rsidRPr="009025AF" w:rsidRDefault="005E64F9" w:rsidP="00B05C8E">
      <w:pPr>
        <w:rPr>
          <w:rFonts w:ascii="Arial" w:hAnsi="Arial" w:cs="Arial"/>
          <w:sz w:val="24"/>
          <w:szCs w:val="24"/>
          <w:lang w:val="en-US"/>
        </w:rPr>
      </w:pPr>
      <w:r w:rsidRPr="009025AF">
        <w:rPr>
          <w:rFonts w:ascii="Arial" w:hAnsi="Arial" w:cs="Arial"/>
          <w:sz w:val="24"/>
          <w:szCs w:val="24"/>
          <w:lang w:val="en-US"/>
        </w:rPr>
        <w:t>[</w:t>
      </w:r>
      <w:bookmarkStart w:id="0" w:name="_GoBack"/>
      <w:bookmarkEnd w:id="0"/>
      <w:r w:rsidRPr="009025AF">
        <w:rPr>
          <w:rFonts w:ascii="Arial" w:hAnsi="Arial" w:cs="Arial"/>
          <w:sz w:val="24"/>
          <w:szCs w:val="24"/>
          <w:lang w:val="en-US"/>
        </w:rPr>
        <w:t>2]</w:t>
      </w:r>
      <w:r w:rsidRPr="009025AF">
        <w:rPr>
          <w:rFonts w:ascii="Arial" w:hAnsi="Arial" w:cs="Arial"/>
          <w:sz w:val="24"/>
          <w:szCs w:val="24"/>
          <w:lang w:val="en-US"/>
        </w:rPr>
        <w:tab/>
      </w:r>
      <w:r w:rsidR="00000EBE">
        <w:rPr>
          <w:rFonts w:ascii="Arial" w:hAnsi="Arial" w:cs="Arial"/>
          <w:sz w:val="24"/>
          <w:szCs w:val="24"/>
          <w:lang w:val="en-US"/>
        </w:rPr>
        <w:t xml:space="preserve">The business of the appellant, Giftwrap Trading (Pty) Ltd (Giftwrap), is online sales of products such as corporate gifts and clothing. This means that it markets and sells its products on the international computer network known as the Internet. Giftwrap advertises its products on online platforms provided by the international technological company Google LLC. </w:t>
      </w:r>
      <w:r w:rsidR="008E7538">
        <w:rPr>
          <w:rFonts w:ascii="Arial" w:hAnsi="Arial" w:cs="Arial"/>
          <w:sz w:val="24"/>
          <w:szCs w:val="24"/>
          <w:lang w:val="en-US"/>
        </w:rPr>
        <w:t>Giftwrap</w:t>
      </w:r>
      <w:r w:rsidR="00000EBE">
        <w:rPr>
          <w:rFonts w:ascii="Arial" w:hAnsi="Arial" w:cs="Arial"/>
          <w:sz w:val="24"/>
          <w:szCs w:val="24"/>
          <w:lang w:val="en-US"/>
        </w:rPr>
        <w:t xml:space="preserve">, of course, has to pay for the advertisements posted. These advertising fees are calculated with reference </w:t>
      </w:r>
      <w:r w:rsidR="00085E88">
        <w:rPr>
          <w:rFonts w:ascii="Arial" w:hAnsi="Arial" w:cs="Arial"/>
          <w:sz w:val="24"/>
          <w:szCs w:val="24"/>
          <w:lang w:val="en-US"/>
        </w:rPr>
        <w:t>to the number of visits</w:t>
      </w:r>
      <w:r w:rsidR="00000EBE">
        <w:rPr>
          <w:rFonts w:ascii="Arial" w:hAnsi="Arial" w:cs="Arial"/>
          <w:sz w:val="24"/>
          <w:szCs w:val="24"/>
          <w:lang w:val="en-US"/>
        </w:rPr>
        <w:t xml:space="preserve"> </w:t>
      </w:r>
      <w:r w:rsidR="00085E88">
        <w:rPr>
          <w:rFonts w:ascii="Arial" w:hAnsi="Arial" w:cs="Arial"/>
          <w:sz w:val="24"/>
          <w:szCs w:val="24"/>
          <w:lang w:val="en-US"/>
        </w:rPr>
        <w:t>to</w:t>
      </w:r>
      <w:r w:rsidR="00000EBE">
        <w:rPr>
          <w:rFonts w:ascii="Arial" w:hAnsi="Arial" w:cs="Arial"/>
          <w:sz w:val="24"/>
          <w:szCs w:val="24"/>
          <w:lang w:val="en-US"/>
        </w:rPr>
        <w:t xml:space="preserve"> a particular advertisement.</w:t>
      </w:r>
      <w:r w:rsidR="00B47D80" w:rsidRPr="009025AF">
        <w:rPr>
          <w:rFonts w:ascii="Arial" w:hAnsi="Arial" w:cs="Arial"/>
          <w:sz w:val="24"/>
          <w:szCs w:val="24"/>
          <w:lang w:val="en-US"/>
        </w:rPr>
        <w:t xml:space="preserve"> </w:t>
      </w:r>
    </w:p>
    <w:p w14:paraId="7C970A06" w14:textId="77777777" w:rsidR="005E64F9" w:rsidRPr="009025AF" w:rsidRDefault="005E64F9" w:rsidP="00B05C8E">
      <w:pPr>
        <w:rPr>
          <w:rFonts w:ascii="Arial" w:hAnsi="Arial" w:cs="Arial"/>
          <w:sz w:val="24"/>
          <w:szCs w:val="24"/>
          <w:lang w:val="en-US"/>
        </w:rPr>
      </w:pPr>
    </w:p>
    <w:p w14:paraId="49688695" w14:textId="56CD2815" w:rsidR="005E64F9" w:rsidRPr="009025AF" w:rsidRDefault="005E64F9" w:rsidP="00B05C8E">
      <w:pPr>
        <w:rPr>
          <w:rFonts w:ascii="Arial" w:hAnsi="Arial" w:cs="Arial"/>
          <w:sz w:val="24"/>
          <w:szCs w:val="24"/>
          <w:lang w:val="en-US"/>
        </w:rPr>
      </w:pPr>
      <w:r w:rsidRPr="009025AF">
        <w:rPr>
          <w:rFonts w:ascii="Arial" w:hAnsi="Arial" w:cs="Arial"/>
          <w:sz w:val="24"/>
          <w:szCs w:val="24"/>
          <w:lang w:val="en-US"/>
        </w:rPr>
        <w:t>[3]</w:t>
      </w:r>
      <w:r w:rsidRPr="009025AF">
        <w:rPr>
          <w:rFonts w:ascii="Arial" w:hAnsi="Arial" w:cs="Arial"/>
          <w:sz w:val="24"/>
          <w:szCs w:val="24"/>
          <w:lang w:val="en-US"/>
        </w:rPr>
        <w:tab/>
      </w:r>
      <w:r w:rsidR="00000EBE">
        <w:rPr>
          <w:rFonts w:ascii="Arial" w:hAnsi="Arial" w:cs="Arial"/>
          <w:sz w:val="24"/>
          <w:szCs w:val="24"/>
          <w:lang w:val="en-US"/>
        </w:rPr>
        <w:t>For some years, however, Giftwrap has been the victim of what is referred to as ‘click fraud’. Click fraud takes place</w:t>
      </w:r>
      <w:r w:rsidR="00B64ED3">
        <w:rPr>
          <w:rFonts w:ascii="Arial" w:hAnsi="Arial" w:cs="Arial"/>
          <w:sz w:val="24"/>
          <w:szCs w:val="24"/>
          <w:lang w:val="en-US"/>
        </w:rPr>
        <w:t xml:space="preserve"> when an advertisement on the Internet is </w:t>
      </w:r>
      <w:r w:rsidR="00B64ED3">
        <w:rPr>
          <w:rFonts w:ascii="Arial" w:hAnsi="Arial" w:cs="Arial"/>
          <w:sz w:val="24"/>
          <w:szCs w:val="24"/>
          <w:lang w:val="en-US"/>
        </w:rPr>
        <w:lastRenderedPageBreak/>
        <w:t xml:space="preserve">repeatedly visited (clicked upon) with the intention of increasing the costs of the advertisement and/or draining the sales revenue of the advertiser. Revenue is lost because the repeated </w:t>
      </w:r>
      <w:r w:rsidR="008E7538">
        <w:rPr>
          <w:rFonts w:ascii="Arial" w:hAnsi="Arial" w:cs="Arial"/>
          <w:sz w:val="24"/>
          <w:szCs w:val="24"/>
          <w:lang w:val="en-US"/>
        </w:rPr>
        <w:t>click fraud</w:t>
      </w:r>
      <w:r w:rsidR="00B64ED3">
        <w:rPr>
          <w:rFonts w:ascii="Arial" w:hAnsi="Arial" w:cs="Arial"/>
          <w:sz w:val="24"/>
          <w:szCs w:val="24"/>
          <w:lang w:val="en-US"/>
        </w:rPr>
        <w:t xml:space="preserve"> visits limit genuine access to the advertisement. </w:t>
      </w:r>
    </w:p>
    <w:p w14:paraId="31A56368" w14:textId="77777777" w:rsidR="00073227" w:rsidRPr="009025AF" w:rsidRDefault="00073227" w:rsidP="00B05C8E">
      <w:pPr>
        <w:rPr>
          <w:rFonts w:ascii="Arial" w:hAnsi="Arial" w:cs="Arial"/>
          <w:sz w:val="24"/>
          <w:szCs w:val="24"/>
          <w:lang w:val="en-US"/>
        </w:rPr>
      </w:pPr>
    </w:p>
    <w:p w14:paraId="0DE37284" w14:textId="31A6F441" w:rsidR="00544D74" w:rsidRPr="003F3A88" w:rsidRDefault="00544D74" w:rsidP="00B05C8E">
      <w:pPr>
        <w:rPr>
          <w:rFonts w:ascii="Arial" w:hAnsi="Arial" w:cs="Arial"/>
          <w:sz w:val="24"/>
          <w:szCs w:val="24"/>
          <w:lang w:val="en-US"/>
        </w:rPr>
      </w:pPr>
      <w:r w:rsidRPr="009025AF">
        <w:rPr>
          <w:rFonts w:ascii="Arial" w:hAnsi="Arial" w:cs="Arial"/>
          <w:sz w:val="24"/>
          <w:szCs w:val="24"/>
          <w:lang w:val="en-US"/>
        </w:rPr>
        <w:t>[4]</w:t>
      </w:r>
      <w:r w:rsidRPr="009025AF">
        <w:rPr>
          <w:rFonts w:ascii="Arial" w:hAnsi="Arial" w:cs="Arial"/>
          <w:sz w:val="24"/>
          <w:szCs w:val="24"/>
          <w:lang w:val="en-US"/>
        </w:rPr>
        <w:tab/>
      </w:r>
      <w:r w:rsidR="00842A00" w:rsidRPr="009025AF">
        <w:rPr>
          <w:rFonts w:ascii="Arial" w:hAnsi="Arial" w:cs="Arial"/>
          <w:sz w:val="24"/>
          <w:szCs w:val="24"/>
          <w:lang w:val="en-US"/>
        </w:rPr>
        <w:t xml:space="preserve"> </w:t>
      </w:r>
      <w:r w:rsidR="00DE4B78">
        <w:rPr>
          <w:rFonts w:ascii="Arial" w:hAnsi="Arial" w:cs="Arial"/>
          <w:sz w:val="24"/>
          <w:szCs w:val="24"/>
          <w:lang w:val="en-US"/>
        </w:rPr>
        <w:t xml:space="preserve">Giftwrap employed various experts and strategies in attempts to put an end to the click fraud that it experienced. </w:t>
      </w:r>
      <w:r w:rsidR="00B96B8A">
        <w:rPr>
          <w:rFonts w:ascii="Arial" w:hAnsi="Arial" w:cs="Arial"/>
          <w:sz w:val="24"/>
          <w:szCs w:val="24"/>
          <w:lang w:val="en-US"/>
        </w:rPr>
        <w:t xml:space="preserve">These efforts were unsuccessful until a breakthrough was made during March 2019. </w:t>
      </w:r>
      <w:r w:rsidR="0023427A">
        <w:rPr>
          <w:rFonts w:ascii="Arial" w:hAnsi="Arial" w:cs="Arial"/>
          <w:sz w:val="24"/>
          <w:szCs w:val="24"/>
          <w:lang w:val="en-US"/>
        </w:rPr>
        <w:t xml:space="preserve">With the assistance of an expert, Giftwrap managed to obtain a large number of local Internet protocol (IP) addresses of devices from which, so Giftwrap believed, the click fraud on it had emanated. The information at its disposal also identified the service provider that each of these IP addresses used to gain access to the Internet. Giftwrap was therefore able to compile a list of IP addresses suspected of having perpetrated click fraud, for each service provider. The lists of IP addresses that pertained to the respondents (the listed IP addresses) formed the basis of the litigation that followed. </w:t>
      </w:r>
    </w:p>
    <w:p w14:paraId="2CB55DC2" w14:textId="77777777" w:rsidR="00E309EE" w:rsidRPr="009025AF" w:rsidRDefault="00E309EE" w:rsidP="00B05C8E">
      <w:pPr>
        <w:rPr>
          <w:rFonts w:ascii="Arial" w:hAnsi="Arial" w:cs="Arial"/>
          <w:sz w:val="24"/>
          <w:szCs w:val="24"/>
          <w:lang w:val="en-US"/>
        </w:rPr>
      </w:pPr>
    </w:p>
    <w:p w14:paraId="3BC36050" w14:textId="550A7E29" w:rsidR="00E309EE" w:rsidRPr="009025AF" w:rsidRDefault="00E309EE" w:rsidP="00B05C8E">
      <w:pPr>
        <w:rPr>
          <w:rFonts w:ascii="Arial" w:hAnsi="Arial" w:cs="Arial"/>
          <w:sz w:val="24"/>
          <w:szCs w:val="24"/>
          <w:lang w:val="en-US"/>
        </w:rPr>
      </w:pPr>
      <w:r w:rsidRPr="009025AF">
        <w:rPr>
          <w:rFonts w:ascii="Arial" w:hAnsi="Arial" w:cs="Arial"/>
          <w:sz w:val="24"/>
          <w:szCs w:val="24"/>
          <w:lang w:val="en-US"/>
        </w:rPr>
        <w:t>[5]</w:t>
      </w:r>
      <w:r w:rsidRPr="009025AF">
        <w:rPr>
          <w:rFonts w:ascii="Arial" w:hAnsi="Arial" w:cs="Arial"/>
          <w:sz w:val="24"/>
          <w:szCs w:val="24"/>
          <w:lang w:val="en-US"/>
        </w:rPr>
        <w:tab/>
      </w:r>
      <w:r w:rsidR="00E323CB" w:rsidRPr="009025AF">
        <w:rPr>
          <w:rFonts w:ascii="Arial" w:hAnsi="Arial" w:cs="Arial"/>
          <w:sz w:val="24"/>
          <w:szCs w:val="24"/>
          <w:lang w:val="en-US"/>
        </w:rPr>
        <w:t xml:space="preserve"> </w:t>
      </w:r>
      <w:r w:rsidR="0097795C">
        <w:rPr>
          <w:rFonts w:ascii="Arial" w:hAnsi="Arial" w:cs="Arial"/>
          <w:sz w:val="24"/>
          <w:szCs w:val="24"/>
          <w:lang w:val="en-US"/>
        </w:rPr>
        <w:t xml:space="preserve">During June 2019, Giftwrap launched an application in the Gauteng Division of the High Court, Pretoria against the respondents. In essence, Giftwrap sought the disclosure of the customer information in respect of each of the listed IP addresses. The purpose of the relief was to identify wrongdoers in order to take legal action against them. Giftwrap initially founded the application on </w:t>
      </w:r>
      <w:r w:rsidR="00D1505F">
        <w:rPr>
          <w:rFonts w:ascii="Arial" w:hAnsi="Arial" w:cs="Arial"/>
          <w:sz w:val="24"/>
          <w:szCs w:val="24"/>
          <w:lang w:val="en-US"/>
        </w:rPr>
        <w:t>the</w:t>
      </w:r>
      <w:r w:rsidR="0097795C">
        <w:rPr>
          <w:rFonts w:ascii="Arial" w:hAnsi="Arial" w:cs="Arial"/>
          <w:sz w:val="24"/>
          <w:szCs w:val="24"/>
          <w:lang w:val="en-US"/>
        </w:rPr>
        <w:t xml:space="preserve"> decision in </w:t>
      </w:r>
      <w:r w:rsidR="0097795C" w:rsidRPr="009F7F56">
        <w:rPr>
          <w:rFonts w:ascii="Arial" w:hAnsi="Arial" w:cs="Arial"/>
          <w:i/>
          <w:sz w:val="24"/>
          <w:szCs w:val="24"/>
          <w:lang w:val="en-US"/>
        </w:rPr>
        <w:t>Nampak Glass (Pty) Ltd v Vodacom (Pty) Ltd &amp; Others</w:t>
      </w:r>
      <w:r w:rsidR="007E3F26">
        <w:rPr>
          <w:rFonts w:ascii="Arial" w:hAnsi="Arial" w:cs="Arial"/>
          <w:sz w:val="24"/>
          <w:szCs w:val="24"/>
          <w:lang w:val="en-US"/>
        </w:rPr>
        <w:t xml:space="preserve"> [2018] ZAGPJHC 481; </w:t>
      </w:r>
      <w:r w:rsidR="0097795C">
        <w:rPr>
          <w:rFonts w:ascii="Arial" w:hAnsi="Arial" w:cs="Arial"/>
          <w:sz w:val="24"/>
          <w:szCs w:val="24"/>
          <w:lang w:val="en-US"/>
        </w:rPr>
        <w:t>2019 (1) SA 257 (GJ) (</w:t>
      </w:r>
      <w:r w:rsidR="0097795C" w:rsidRPr="009F7F56">
        <w:rPr>
          <w:rFonts w:ascii="Arial" w:hAnsi="Arial" w:cs="Arial"/>
          <w:i/>
          <w:sz w:val="24"/>
          <w:szCs w:val="24"/>
          <w:lang w:val="en-US"/>
        </w:rPr>
        <w:t>Nampak</w:t>
      </w:r>
      <w:r w:rsidR="0097795C">
        <w:rPr>
          <w:rFonts w:ascii="Arial" w:hAnsi="Arial" w:cs="Arial"/>
          <w:sz w:val="24"/>
          <w:szCs w:val="24"/>
          <w:lang w:val="en-US"/>
        </w:rPr>
        <w:t>). In a supplementary founding affidavit, however, it placed reliance on s 42(1)</w:t>
      </w:r>
      <w:r w:rsidR="0097795C">
        <w:rPr>
          <w:rFonts w:ascii="Arial" w:hAnsi="Arial" w:cs="Arial"/>
          <w:i/>
          <w:sz w:val="24"/>
          <w:szCs w:val="24"/>
          <w:lang w:val="en-US"/>
        </w:rPr>
        <w:t>(c)</w:t>
      </w:r>
      <w:r w:rsidR="0097795C">
        <w:rPr>
          <w:rFonts w:ascii="Arial" w:hAnsi="Arial" w:cs="Arial"/>
          <w:sz w:val="24"/>
          <w:szCs w:val="24"/>
          <w:lang w:val="en-US"/>
        </w:rPr>
        <w:t xml:space="preserve"> of the Regulation </w:t>
      </w:r>
      <w:r w:rsidR="007E3F26">
        <w:rPr>
          <w:rFonts w:ascii="Arial" w:hAnsi="Arial" w:cs="Arial"/>
          <w:sz w:val="24"/>
          <w:szCs w:val="24"/>
          <w:lang w:val="en-US"/>
        </w:rPr>
        <w:t xml:space="preserve">of Interception </w:t>
      </w:r>
      <w:r w:rsidR="0097795C">
        <w:rPr>
          <w:rFonts w:ascii="Arial" w:hAnsi="Arial" w:cs="Arial"/>
          <w:sz w:val="24"/>
          <w:szCs w:val="24"/>
          <w:lang w:val="en-US"/>
        </w:rPr>
        <w:t>of Communication</w:t>
      </w:r>
      <w:r w:rsidR="007E3F26">
        <w:rPr>
          <w:rFonts w:ascii="Arial" w:hAnsi="Arial" w:cs="Arial"/>
          <w:sz w:val="24"/>
          <w:szCs w:val="24"/>
          <w:lang w:val="en-US"/>
        </w:rPr>
        <w:t>s</w:t>
      </w:r>
      <w:r w:rsidR="0097795C">
        <w:rPr>
          <w:rFonts w:ascii="Arial" w:hAnsi="Arial" w:cs="Arial"/>
          <w:sz w:val="24"/>
          <w:szCs w:val="24"/>
          <w:lang w:val="en-US"/>
        </w:rPr>
        <w:t xml:space="preserve"> and Provision of Communication-</w:t>
      </w:r>
      <w:r w:rsidR="00ED5628">
        <w:rPr>
          <w:rFonts w:ascii="Arial" w:hAnsi="Arial" w:cs="Arial"/>
          <w:sz w:val="24"/>
          <w:szCs w:val="24"/>
          <w:lang w:val="en-US"/>
        </w:rPr>
        <w:t>R</w:t>
      </w:r>
      <w:r w:rsidR="0097795C">
        <w:rPr>
          <w:rFonts w:ascii="Arial" w:hAnsi="Arial" w:cs="Arial"/>
          <w:sz w:val="24"/>
          <w:szCs w:val="24"/>
          <w:lang w:val="en-US"/>
        </w:rPr>
        <w:t>elated Information Act 70 of 2002 (RICA). I shall reproduce this subsection shortly. For purposes of the narrative it suffices to say that it would permit access to customer information which is required as evidence in a court of law.</w:t>
      </w:r>
    </w:p>
    <w:p w14:paraId="6DCF471F" w14:textId="77777777" w:rsidR="00E309EE" w:rsidRPr="009025AF" w:rsidRDefault="00E309EE" w:rsidP="00B05C8E">
      <w:pPr>
        <w:rPr>
          <w:rFonts w:ascii="Arial" w:hAnsi="Arial" w:cs="Arial"/>
          <w:sz w:val="24"/>
          <w:szCs w:val="24"/>
          <w:lang w:val="en-US"/>
        </w:rPr>
      </w:pPr>
    </w:p>
    <w:p w14:paraId="1436C256" w14:textId="0E96CAF5" w:rsidR="00DA05E7" w:rsidRPr="009025AF" w:rsidRDefault="00E309EE" w:rsidP="00614F9D">
      <w:pPr>
        <w:rPr>
          <w:rFonts w:ascii="Arial" w:hAnsi="Arial" w:cs="Arial"/>
          <w:sz w:val="24"/>
          <w:szCs w:val="24"/>
          <w:lang w:val="en-US"/>
        </w:rPr>
      </w:pPr>
      <w:r w:rsidRPr="009025AF">
        <w:rPr>
          <w:rFonts w:ascii="Arial" w:hAnsi="Arial" w:cs="Arial"/>
          <w:sz w:val="24"/>
          <w:szCs w:val="24"/>
          <w:lang w:val="en-US"/>
        </w:rPr>
        <w:t>[6]</w:t>
      </w:r>
      <w:r w:rsidRPr="009025AF">
        <w:rPr>
          <w:rFonts w:ascii="Arial" w:hAnsi="Arial" w:cs="Arial"/>
          <w:sz w:val="24"/>
          <w:szCs w:val="24"/>
          <w:lang w:val="en-US"/>
        </w:rPr>
        <w:tab/>
      </w:r>
      <w:r w:rsidR="00100F63" w:rsidRPr="009025AF">
        <w:rPr>
          <w:rFonts w:ascii="Arial" w:hAnsi="Arial" w:cs="Arial"/>
          <w:sz w:val="24"/>
          <w:szCs w:val="24"/>
          <w:lang w:val="en-US"/>
        </w:rPr>
        <w:t xml:space="preserve"> </w:t>
      </w:r>
      <w:r w:rsidR="00FC45D1">
        <w:rPr>
          <w:rFonts w:ascii="Arial" w:hAnsi="Arial" w:cs="Arial"/>
          <w:sz w:val="24"/>
          <w:szCs w:val="24"/>
          <w:lang w:val="en-US"/>
        </w:rPr>
        <w:t xml:space="preserve">The second to fourth respondents abided the outcome of the application, but Vodacom delivered an answering affidavit. It clarified its stance from the outset. This was that Vodacom did not dispute Giftwrap’s factual averments nor that the information in question could be useful for the purpose for which it was required. It said that were the decision solely up to it, Vodacom would have provided the information to Giftwrap. In its view, however, the provisions of RICA precluded the disclosure that Giftwrap sought, hence the opposition to the application. </w:t>
      </w:r>
    </w:p>
    <w:p w14:paraId="2E5ED6B1" w14:textId="77777777" w:rsidR="00E7164F" w:rsidRPr="009025AF" w:rsidRDefault="00E7164F" w:rsidP="00B05C8E">
      <w:pPr>
        <w:rPr>
          <w:rFonts w:ascii="Arial" w:hAnsi="Arial" w:cs="Arial"/>
          <w:sz w:val="24"/>
          <w:szCs w:val="24"/>
          <w:lang w:val="en-US"/>
        </w:rPr>
      </w:pPr>
    </w:p>
    <w:p w14:paraId="700C9B86" w14:textId="6596A5F2" w:rsidR="009025AF" w:rsidRDefault="00E7164F" w:rsidP="009025AF">
      <w:pPr>
        <w:rPr>
          <w:rFonts w:ascii="Arial" w:hAnsi="Arial" w:cs="Arial"/>
          <w:sz w:val="24"/>
          <w:szCs w:val="24"/>
          <w:lang w:val="en-US"/>
        </w:rPr>
      </w:pPr>
      <w:r w:rsidRPr="009025AF">
        <w:rPr>
          <w:rFonts w:ascii="Arial" w:hAnsi="Arial" w:cs="Arial"/>
          <w:sz w:val="24"/>
          <w:szCs w:val="24"/>
          <w:lang w:val="en-US"/>
        </w:rPr>
        <w:lastRenderedPageBreak/>
        <w:t>[7]</w:t>
      </w:r>
      <w:r w:rsidRPr="009025AF">
        <w:rPr>
          <w:rFonts w:ascii="Arial" w:hAnsi="Arial" w:cs="Arial"/>
          <w:sz w:val="24"/>
          <w:szCs w:val="24"/>
          <w:lang w:val="en-US"/>
        </w:rPr>
        <w:tab/>
      </w:r>
      <w:r w:rsidR="00FE2FE7">
        <w:rPr>
          <w:rFonts w:ascii="Arial" w:hAnsi="Arial" w:cs="Arial"/>
          <w:sz w:val="24"/>
          <w:szCs w:val="24"/>
          <w:lang w:val="en-US"/>
        </w:rPr>
        <w:t>The court a quo (Mokose J) agreed with Vodacom. It essentially reasoned that s 42(1)</w:t>
      </w:r>
      <w:r w:rsidR="00FE2FE7">
        <w:rPr>
          <w:rFonts w:ascii="Arial" w:hAnsi="Arial" w:cs="Arial"/>
          <w:i/>
          <w:sz w:val="24"/>
          <w:szCs w:val="24"/>
          <w:lang w:val="en-US"/>
        </w:rPr>
        <w:t>(c)</w:t>
      </w:r>
      <w:r w:rsidR="00FE2FE7">
        <w:rPr>
          <w:rFonts w:ascii="Arial" w:hAnsi="Arial" w:cs="Arial"/>
          <w:sz w:val="24"/>
          <w:szCs w:val="24"/>
          <w:lang w:val="en-US"/>
        </w:rPr>
        <w:t xml:space="preserve"> of RICA does not permit disclosure of customer information for the purpose of identifying wrongdoers. It accordingly dismissed the application with costs. Giftwrap’s appeal against that order is with the leave of this court. In this court Vodacom continued to adopt the aforesaid stance. </w:t>
      </w:r>
    </w:p>
    <w:p w14:paraId="221FCDB4" w14:textId="77777777" w:rsidR="00FE2FE7" w:rsidRDefault="00FE2FE7" w:rsidP="009025AF">
      <w:pPr>
        <w:rPr>
          <w:rFonts w:ascii="Arial" w:hAnsi="Arial" w:cs="Arial"/>
          <w:sz w:val="24"/>
          <w:szCs w:val="24"/>
          <w:lang w:val="en-US"/>
        </w:rPr>
      </w:pPr>
    </w:p>
    <w:p w14:paraId="0A88EA3B" w14:textId="52E68BE5" w:rsidR="00377DA5" w:rsidRPr="00FE2FE7" w:rsidRDefault="00FE2FE7" w:rsidP="00B05C8E">
      <w:pPr>
        <w:rPr>
          <w:rFonts w:ascii="Arial" w:hAnsi="Arial" w:cs="Arial"/>
          <w:b/>
          <w:lang w:val="en-US"/>
        </w:rPr>
      </w:pPr>
      <w:r w:rsidRPr="00FE2FE7">
        <w:rPr>
          <w:rFonts w:ascii="Arial" w:hAnsi="Arial" w:cs="Arial"/>
          <w:b/>
          <w:sz w:val="24"/>
          <w:szCs w:val="24"/>
          <w:lang w:val="en-US"/>
        </w:rPr>
        <w:t>Relevant RICA</w:t>
      </w:r>
      <w:r w:rsidR="001704D4">
        <w:rPr>
          <w:rFonts w:ascii="Arial" w:hAnsi="Arial" w:cs="Arial"/>
          <w:b/>
          <w:sz w:val="24"/>
          <w:szCs w:val="24"/>
          <w:lang w:val="en-US"/>
        </w:rPr>
        <w:t xml:space="preserve"> provisions</w:t>
      </w:r>
    </w:p>
    <w:p w14:paraId="4838592B" w14:textId="06B55F23" w:rsidR="00CC3DF6" w:rsidRPr="009025AF" w:rsidRDefault="00C843D9" w:rsidP="00614F9D">
      <w:pPr>
        <w:rPr>
          <w:rFonts w:ascii="Arial" w:hAnsi="Arial" w:cs="Arial"/>
          <w:lang w:val="en-US"/>
        </w:rPr>
      </w:pPr>
      <w:r>
        <w:rPr>
          <w:rFonts w:ascii="Arial" w:hAnsi="Arial" w:cs="Arial"/>
          <w:sz w:val="24"/>
          <w:szCs w:val="24"/>
          <w:lang w:val="en-US"/>
        </w:rPr>
        <w:t>[8</w:t>
      </w:r>
      <w:r w:rsidR="0018044B" w:rsidRPr="009025AF">
        <w:rPr>
          <w:rFonts w:ascii="Arial" w:hAnsi="Arial" w:cs="Arial"/>
          <w:sz w:val="24"/>
          <w:szCs w:val="24"/>
          <w:lang w:val="en-US"/>
        </w:rPr>
        <w:t>]</w:t>
      </w:r>
      <w:r w:rsidR="0018044B" w:rsidRPr="009025AF">
        <w:rPr>
          <w:rFonts w:ascii="Arial" w:hAnsi="Arial" w:cs="Arial"/>
          <w:sz w:val="24"/>
          <w:szCs w:val="24"/>
          <w:lang w:val="en-US"/>
        </w:rPr>
        <w:tab/>
      </w:r>
      <w:r w:rsidR="00821A50" w:rsidRPr="009025AF">
        <w:rPr>
          <w:rFonts w:ascii="Arial" w:hAnsi="Arial" w:cs="Arial"/>
          <w:sz w:val="24"/>
          <w:szCs w:val="24"/>
          <w:lang w:val="en-US"/>
        </w:rPr>
        <w:t xml:space="preserve"> </w:t>
      </w:r>
      <w:r w:rsidR="0061728F">
        <w:rPr>
          <w:rFonts w:ascii="Arial" w:hAnsi="Arial" w:cs="Arial"/>
          <w:sz w:val="24"/>
          <w:szCs w:val="24"/>
          <w:lang w:val="en-US"/>
        </w:rPr>
        <w:t xml:space="preserve">Sections 39 and 40 of RICA are concerned with customer information. Before I turn to their provisions, however, it is necessary to deal with an oddity in RICA. When it was enacted, RICA contained definitions of ‘telecommunication system’, ‘telecommunication service’ and ‘telecommunication service provider’. These expressions were widely employed in RICA, especially in Chapter 5 (ss 30-31), Chapter 6 (ss 32-38) and Chapter 7 (ss 39-41). </w:t>
      </w:r>
    </w:p>
    <w:p w14:paraId="34C94F1C" w14:textId="77777777" w:rsidR="00AC6AA6" w:rsidRPr="009025AF" w:rsidRDefault="00AC6AA6" w:rsidP="00B05C8E">
      <w:pPr>
        <w:rPr>
          <w:rFonts w:ascii="Arial" w:hAnsi="Arial" w:cs="Arial"/>
          <w:lang w:val="en-US"/>
        </w:rPr>
      </w:pPr>
    </w:p>
    <w:p w14:paraId="29ECB4BF" w14:textId="54333407" w:rsidR="00AC6AA6" w:rsidRPr="009025AF" w:rsidRDefault="00C843D9" w:rsidP="00614F9D">
      <w:pPr>
        <w:rPr>
          <w:rFonts w:ascii="Arial" w:hAnsi="Arial" w:cs="Arial"/>
          <w:sz w:val="24"/>
          <w:szCs w:val="24"/>
          <w:lang w:val="en-US"/>
        </w:rPr>
      </w:pPr>
      <w:r>
        <w:rPr>
          <w:rFonts w:ascii="Arial" w:hAnsi="Arial" w:cs="Arial"/>
          <w:sz w:val="24"/>
          <w:szCs w:val="24"/>
          <w:lang w:val="en-US"/>
        </w:rPr>
        <w:t>[9</w:t>
      </w:r>
      <w:r w:rsidR="00AC6AA6" w:rsidRPr="009025AF">
        <w:rPr>
          <w:rFonts w:ascii="Arial" w:hAnsi="Arial" w:cs="Arial"/>
          <w:sz w:val="24"/>
          <w:szCs w:val="24"/>
          <w:lang w:val="en-US"/>
        </w:rPr>
        <w:t>]</w:t>
      </w:r>
      <w:r w:rsidR="00AC6AA6" w:rsidRPr="009025AF">
        <w:rPr>
          <w:rFonts w:ascii="Arial" w:hAnsi="Arial" w:cs="Arial"/>
          <w:sz w:val="24"/>
          <w:szCs w:val="24"/>
          <w:lang w:val="en-US"/>
        </w:rPr>
        <w:tab/>
      </w:r>
      <w:r w:rsidR="00C33CE1" w:rsidRPr="009025AF">
        <w:rPr>
          <w:rFonts w:ascii="Arial" w:hAnsi="Arial" w:cs="Arial"/>
          <w:sz w:val="24"/>
          <w:szCs w:val="24"/>
          <w:lang w:val="en-US"/>
        </w:rPr>
        <w:t xml:space="preserve"> </w:t>
      </w:r>
      <w:r w:rsidR="0061728F">
        <w:rPr>
          <w:rFonts w:ascii="Arial" w:hAnsi="Arial" w:cs="Arial"/>
          <w:sz w:val="24"/>
          <w:szCs w:val="24"/>
          <w:lang w:val="en-US"/>
        </w:rPr>
        <w:t>Section 97 of the Electronic Communications Act 36 of 2005 amended RICA by replacing the ‘telecommunication’ definitions with definitions of ‘electronic communication system’, ‘electronic communications service’ and ‘electronic communication service provider’. Curiously, however, corresponding amendments were not effected in the body of RICA, not even in ss 30 and 32, which were amended in other respects. When s 40 of RICA was subsequently substituted by Act 48 of 2008</w:t>
      </w:r>
      <w:r w:rsidR="00756950">
        <w:rPr>
          <w:rFonts w:ascii="Arial" w:hAnsi="Arial" w:cs="Arial"/>
          <w:sz w:val="24"/>
          <w:szCs w:val="24"/>
          <w:lang w:val="en-US"/>
        </w:rPr>
        <w:t>,</w:t>
      </w:r>
      <w:r w:rsidR="0061728F">
        <w:rPr>
          <w:rStyle w:val="FootnoteReference"/>
          <w:rFonts w:ascii="Arial" w:hAnsi="Arial" w:cs="Arial"/>
          <w:sz w:val="24"/>
          <w:szCs w:val="24"/>
          <w:lang w:val="en-US"/>
        </w:rPr>
        <w:footnoteReference w:id="1"/>
      </w:r>
      <w:r w:rsidR="003A1D78">
        <w:rPr>
          <w:rFonts w:ascii="Arial" w:hAnsi="Arial" w:cs="Arial"/>
          <w:sz w:val="24"/>
          <w:szCs w:val="24"/>
          <w:lang w:val="en-US"/>
        </w:rPr>
        <w:t xml:space="preserve"> however, the ‘electronic communication</w:t>
      </w:r>
      <w:r w:rsidR="00756950">
        <w:rPr>
          <w:rFonts w:ascii="Arial" w:hAnsi="Arial" w:cs="Arial"/>
          <w:sz w:val="24"/>
          <w:szCs w:val="24"/>
          <w:lang w:val="en-US"/>
        </w:rPr>
        <w:t xml:space="preserve">’ expressions were employed. </w:t>
      </w:r>
    </w:p>
    <w:p w14:paraId="28BA5E46" w14:textId="77777777" w:rsidR="002F1D71" w:rsidRPr="009025AF" w:rsidRDefault="002F1D71" w:rsidP="00B05C8E">
      <w:pPr>
        <w:rPr>
          <w:rFonts w:ascii="Arial" w:hAnsi="Arial" w:cs="Arial"/>
          <w:sz w:val="24"/>
          <w:szCs w:val="24"/>
          <w:lang w:val="en-US"/>
        </w:rPr>
      </w:pPr>
    </w:p>
    <w:p w14:paraId="79BEFDF2" w14:textId="78E559E3" w:rsidR="00330D40" w:rsidRPr="009025AF" w:rsidRDefault="00C843D9" w:rsidP="009025AF">
      <w:pPr>
        <w:rPr>
          <w:rFonts w:ascii="Arial" w:hAnsi="Arial" w:cs="Arial"/>
          <w:sz w:val="24"/>
          <w:szCs w:val="24"/>
          <w:lang w:val="en-US"/>
        </w:rPr>
      </w:pPr>
      <w:r>
        <w:rPr>
          <w:rFonts w:ascii="Arial" w:hAnsi="Arial" w:cs="Arial"/>
          <w:sz w:val="24"/>
          <w:szCs w:val="24"/>
          <w:lang w:val="en-US"/>
        </w:rPr>
        <w:t>[10</w:t>
      </w:r>
      <w:r w:rsidR="002F1D71" w:rsidRPr="009025AF">
        <w:rPr>
          <w:rFonts w:ascii="Arial" w:hAnsi="Arial" w:cs="Arial"/>
          <w:sz w:val="24"/>
          <w:szCs w:val="24"/>
          <w:lang w:val="en-US"/>
        </w:rPr>
        <w:t>]</w:t>
      </w:r>
      <w:r w:rsidR="00926202" w:rsidRPr="009025AF">
        <w:rPr>
          <w:rFonts w:ascii="Arial" w:hAnsi="Arial" w:cs="Arial"/>
          <w:sz w:val="24"/>
          <w:szCs w:val="24"/>
          <w:lang w:val="en-US"/>
        </w:rPr>
        <w:tab/>
      </w:r>
      <w:r w:rsidR="009C2F2A">
        <w:rPr>
          <w:rFonts w:ascii="Arial" w:hAnsi="Arial" w:cs="Arial"/>
          <w:sz w:val="24"/>
          <w:szCs w:val="24"/>
          <w:lang w:val="en-US"/>
        </w:rPr>
        <w:t xml:space="preserve">The result is that many provisions of RICA still employ the ‘telecommunication’ expressions, even though they </w:t>
      </w:r>
      <w:r w:rsidR="00D1505F">
        <w:rPr>
          <w:rFonts w:ascii="Arial" w:hAnsi="Arial" w:cs="Arial"/>
          <w:sz w:val="24"/>
          <w:szCs w:val="24"/>
          <w:lang w:val="en-US"/>
        </w:rPr>
        <w:t>were</w:t>
      </w:r>
      <w:r w:rsidR="009C2F2A">
        <w:rPr>
          <w:rFonts w:ascii="Arial" w:hAnsi="Arial" w:cs="Arial"/>
          <w:sz w:val="24"/>
          <w:szCs w:val="24"/>
          <w:lang w:val="en-US"/>
        </w:rPr>
        <w:t xml:space="preserve"> replaced by the ‘electronic communication’ definitions. In particular, s 39 refers to information to be kept and obtained by certain telecommunication service providers. Section 40, as I have said, concerns information to be obtained and kept by an electronic communication service provider (which provides a mobile cellular electronic communications service). </w:t>
      </w:r>
    </w:p>
    <w:p w14:paraId="5145C7C1" w14:textId="77777777" w:rsidR="00926202" w:rsidRPr="009025AF" w:rsidRDefault="00926202" w:rsidP="00B05C8E">
      <w:pPr>
        <w:rPr>
          <w:rFonts w:ascii="Arial" w:hAnsi="Arial" w:cs="Arial"/>
          <w:sz w:val="24"/>
          <w:szCs w:val="24"/>
          <w:lang w:val="en-US"/>
        </w:rPr>
      </w:pPr>
    </w:p>
    <w:p w14:paraId="7D0D0975" w14:textId="46060A1E" w:rsidR="00926202" w:rsidRPr="009025AF" w:rsidRDefault="00C843D9" w:rsidP="00B05C8E">
      <w:pPr>
        <w:rPr>
          <w:rFonts w:ascii="Arial" w:hAnsi="Arial" w:cs="Arial"/>
          <w:sz w:val="24"/>
          <w:szCs w:val="24"/>
          <w:lang w:val="en-US"/>
        </w:rPr>
      </w:pPr>
      <w:r>
        <w:rPr>
          <w:rFonts w:ascii="Arial" w:hAnsi="Arial" w:cs="Arial"/>
          <w:sz w:val="24"/>
          <w:szCs w:val="24"/>
          <w:lang w:val="en-US"/>
        </w:rPr>
        <w:t>[11</w:t>
      </w:r>
      <w:r w:rsidR="00926202" w:rsidRPr="009025AF">
        <w:rPr>
          <w:rFonts w:ascii="Arial" w:hAnsi="Arial" w:cs="Arial"/>
          <w:sz w:val="24"/>
          <w:szCs w:val="24"/>
          <w:lang w:val="en-US"/>
        </w:rPr>
        <w:t>]</w:t>
      </w:r>
      <w:r w:rsidR="00926202" w:rsidRPr="009025AF">
        <w:rPr>
          <w:rFonts w:ascii="Arial" w:hAnsi="Arial" w:cs="Arial"/>
          <w:sz w:val="24"/>
          <w:szCs w:val="24"/>
          <w:lang w:val="en-US"/>
        </w:rPr>
        <w:tab/>
      </w:r>
      <w:r w:rsidR="00CC7198" w:rsidRPr="009025AF">
        <w:rPr>
          <w:rFonts w:ascii="Arial" w:hAnsi="Arial" w:cs="Arial"/>
          <w:sz w:val="24"/>
          <w:szCs w:val="24"/>
          <w:lang w:val="en-US"/>
        </w:rPr>
        <w:t xml:space="preserve"> </w:t>
      </w:r>
      <w:r w:rsidR="00270F54">
        <w:rPr>
          <w:rFonts w:ascii="Arial" w:hAnsi="Arial" w:cs="Arial"/>
          <w:sz w:val="24"/>
          <w:szCs w:val="24"/>
          <w:lang w:val="en-US"/>
        </w:rPr>
        <w:t>The Telecommunications Act 103 of 1996 was repealed and replaced by the Electronic Communications Act and s 97 thereof introduced amendments to reflect that fact. There are no intrinsic differences between the ‘telecommunication’ and ‘electronic</w:t>
      </w:r>
      <w:r w:rsidR="003F6AA5">
        <w:rPr>
          <w:rFonts w:ascii="Arial" w:hAnsi="Arial" w:cs="Arial"/>
          <w:sz w:val="24"/>
          <w:szCs w:val="24"/>
          <w:lang w:val="en-US"/>
        </w:rPr>
        <w:t xml:space="preserve"> communication’ definitions. The de</w:t>
      </w:r>
      <w:r w:rsidR="0023432C">
        <w:rPr>
          <w:rFonts w:ascii="Arial" w:hAnsi="Arial" w:cs="Arial"/>
          <w:sz w:val="24"/>
          <w:szCs w:val="24"/>
          <w:lang w:val="en-US"/>
        </w:rPr>
        <w:t>finition</w:t>
      </w:r>
      <w:r w:rsidR="003F6AA5">
        <w:rPr>
          <w:rFonts w:ascii="Arial" w:hAnsi="Arial" w:cs="Arial"/>
          <w:sz w:val="24"/>
          <w:szCs w:val="24"/>
          <w:lang w:val="en-US"/>
        </w:rPr>
        <w:t xml:space="preserve"> of ‘telecommunication service </w:t>
      </w:r>
      <w:r w:rsidR="003F6AA5">
        <w:rPr>
          <w:rFonts w:ascii="Arial" w:hAnsi="Arial" w:cs="Arial"/>
          <w:sz w:val="24"/>
          <w:szCs w:val="24"/>
          <w:lang w:val="en-US"/>
        </w:rPr>
        <w:lastRenderedPageBreak/>
        <w:t xml:space="preserve">provider’ included an Internet service provider and so does the definition of ‘electronic communication service provider’. </w:t>
      </w:r>
      <w:r w:rsidR="00270F54">
        <w:rPr>
          <w:rFonts w:ascii="Arial" w:hAnsi="Arial" w:cs="Arial"/>
          <w:sz w:val="24"/>
          <w:szCs w:val="24"/>
          <w:lang w:val="en-US"/>
        </w:rPr>
        <w:t xml:space="preserve"> </w:t>
      </w:r>
    </w:p>
    <w:p w14:paraId="2FD31496" w14:textId="77777777" w:rsidR="00CC7198" w:rsidRPr="009025AF" w:rsidRDefault="00CC7198" w:rsidP="00B05C8E">
      <w:pPr>
        <w:rPr>
          <w:rFonts w:ascii="Arial" w:hAnsi="Arial" w:cs="Arial"/>
          <w:sz w:val="24"/>
          <w:szCs w:val="24"/>
          <w:lang w:val="en-US"/>
        </w:rPr>
      </w:pPr>
    </w:p>
    <w:p w14:paraId="21761281" w14:textId="01B7702F" w:rsidR="005D244C" w:rsidRPr="009025AF" w:rsidRDefault="00C843D9" w:rsidP="00614F9D">
      <w:pPr>
        <w:rPr>
          <w:rFonts w:ascii="Arial" w:hAnsi="Arial" w:cs="Arial"/>
          <w:lang w:val="en-US"/>
        </w:rPr>
      </w:pPr>
      <w:r>
        <w:rPr>
          <w:rFonts w:ascii="Arial" w:hAnsi="Arial" w:cs="Arial"/>
          <w:sz w:val="24"/>
          <w:szCs w:val="24"/>
          <w:lang w:val="en-US"/>
        </w:rPr>
        <w:t>[12</w:t>
      </w:r>
      <w:r w:rsidR="00606CFE" w:rsidRPr="009025AF">
        <w:rPr>
          <w:rFonts w:ascii="Arial" w:hAnsi="Arial" w:cs="Arial"/>
          <w:sz w:val="24"/>
          <w:szCs w:val="24"/>
          <w:lang w:val="en-US"/>
        </w:rPr>
        <w:t>]</w:t>
      </w:r>
      <w:r w:rsidR="00606CFE" w:rsidRPr="009025AF">
        <w:rPr>
          <w:rFonts w:ascii="Arial" w:hAnsi="Arial" w:cs="Arial"/>
          <w:sz w:val="24"/>
          <w:szCs w:val="24"/>
          <w:lang w:val="en-US"/>
        </w:rPr>
        <w:tab/>
      </w:r>
      <w:r w:rsidR="001B018A" w:rsidRPr="009025AF">
        <w:rPr>
          <w:rFonts w:ascii="Arial" w:hAnsi="Arial" w:cs="Arial"/>
          <w:sz w:val="24"/>
          <w:szCs w:val="24"/>
          <w:lang w:val="en-US"/>
        </w:rPr>
        <w:t xml:space="preserve"> </w:t>
      </w:r>
      <w:r w:rsidR="00431021">
        <w:rPr>
          <w:rFonts w:ascii="Arial" w:hAnsi="Arial" w:cs="Arial"/>
          <w:sz w:val="24"/>
          <w:szCs w:val="24"/>
          <w:lang w:val="en-US"/>
        </w:rPr>
        <w:t xml:space="preserve">In the result it must be concluded that the legislature intended to replace all the ‘telecommunication’ expressions with the ‘electronic communication’ expressions, but as a result of an unfortunate oversight failed to effect that. In these peculiar circumstances, I think that the proper thing to do is to read the ‘telecommunication’ expressions in RICA as ‘electronic communication’ </w:t>
      </w:r>
      <w:r w:rsidR="00E62400">
        <w:rPr>
          <w:rFonts w:ascii="Arial" w:hAnsi="Arial" w:cs="Arial"/>
          <w:sz w:val="24"/>
          <w:szCs w:val="24"/>
          <w:lang w:val="en-US"/>
        </w:rPr>
        <w:t xml:space="preserve">expressions as defined. That would, as a matter of statutory interpretation akin to filling in a </w:t>
      </w:r>
      <w:r w:rsidR="00E62400" w:rsidRPr="00E62400">
        <w:rPr>
          <w:rFonts w:ascii="Arial" w:hAnsi="Arial" w:cs="Arial"/>
          <w:i/>
          <w:sz w:val="24"/>
          <w:szCs w:val="24"/>
          <w:lang w:val="en-US"/>
        </w:rPr>
        <w:t>casus omissus</w:t>
      </w:r>
      <w:r w:rsidR="00E62400">
        <w:rPr>
          <w:rFonts w:ascii="Arial" w:hAnsi="Arial" w:cs="Arial"/>
          <w:sz w:val="24"/>
          <w:szCs w:val="24"/>
          <w:lang w:val="en-US"/>
        </w:rPr>
        <w:t>, give effect to the intention to the legislature. The legis</w:t>
      </w:r>
      <w:r w:rsidR="00F02DEB">
        <w:rPr>
          <w:rFonts w:ascii="Arial" w:hAnsi="Arial" w:cs="Arial"/>
          <w:sz w:val="24"/>
          <w:szCs w:val="24"/>
          <w:lang w:val="en-US"/>
        </w:rPr>
        <w:t>lature</w:t>
      </w:r>
      <w:r w:rsidR="00E62400">
        <w:rPr>
          <w:rFonts w:ascii="Arial" w:hAnsi="Arial" w:cs="Arial"/>
          <w:sz w:val="24"/>
          <w:szCs w:val="24"/>
          <w:lang w:val="en-US"/>
        </w:rPr>
        <w:t xml:space="preserve"> should, however, correct this with expedition and for that purpose I shall direct that this judgment be brought to the attention of the Cabinet members responsible for the administration of justice and for state security.</w:t>
      </w:r>
      <w:r w:rsidR="00E62400">
        <w:rPr>
          <w:rStyle w:val="FootnoteReference"/>
          <w:rFonts w:ascii="Arial" w:hAnsi="Arial" w:cs="Arial"/>
          <w:sz w:val="24"/>
          <w:szCs w:val="24"/>
          <w:lang w:val="en-US"/>
        </w:rPr>
        <w:footnoteReference w:id="2"/>
      </w:r>
    </w:p>
    <w:p w14:paraId="3D3A86DF" w14:textId="77777777" w:rsidR="00C763A3" w:rsidRPr="009025AF" w:rsidRDefault="00C763A3" w:rsidP="00B05C8E">
      <w:pPr>
        <w:rPr>
          <w:rFonts w:ascii="Arial" w:hAnsi="Arial" w:cs="Arial"/>
          <w:lang w:val="en-US"/>
        </w:rPr>
      </w:pPr>
    </w:p>
    <w:p w14:paraId="6D78A9EE" w14:textId="5F692155" w:rsidR="00A32E01" w:rsidRPr="009025AF" w:rsidRDefault="00C843D9" w:rsidP="009025AF">
      <w:pPr>
        <w:rPr>
          <w:rFonts w:ascii="Arial" w:hAnsi="Arial" w:cs="Arial"/>
          <w:sz w:val="24"/>
          <w:szCs w:val="24"/>
          <w:lang w:val="en-US"/>
        </w:rPr>
      </w:pPr>
      <w:r>
        <w:rPr>
          <w:rFonts w:ascii="Arial" w:hAnsi="Arial" w:cs="Arial"/>
          <w:sz w:val="24"/>
          <w:szCs w:val="24"/>
          <w:lang w:val="en-US"/>
        </w:rPr>
        <w:t>[13</w:t>
      </w:r>
      <w:r w:rsidR="00C763A3" w:rsidRPr="009025AF">
        <w:rPr>
          <w:rFonts w:ascii="Arial" w:hAnsi="Arial" w:cs="Arial"/>
          <w:sz w:val="24"/>
          <w:szCs w:val="24"/>
          <w:lang w:val="en-US"/>
        </w:rPr>
        <w:t>]</w:t>
      </w:r>
      <w:r w:rsidR="00C763A3" w:rsidRPr="009025AF">
        <w:rPr>
          <w:rFonts w:ascii="Arial" w:hAnsi="Arial" w:cs="Arial"/>
          <w:sz w:val="24"/>
          <w:szCs w:val="24"/>
          <w:lang w:val="en-US"/>
        </w:rPr>
        <w:tab/>
      </w:r>
      <w:r w:rsidR="00A32E01" w:rsidRPr="009025AF">
        <w:rPr>
          <w:rFonts w:ascii="Arial" w:hAnsi="Arial" w:cs="Arial"/>
          <w:sz w:val="24"/>
          <w:szCs w:val="24"/>
          <w:lang w:val="en-US"/>
        </w:rPr>
        <w:t xml:space="preserve"> </w:t>
      </w:r>
      <w:r w:rsidR="000D2DE3">
        <w:rPr>
          <w:rFonts w:ascii="Arial" w:hAnsi="Arial" w:cs="Arial"/>
          <w:sz w:val="24"/>
          <w:szCs w:val="24"/>
          <w:lang w:val="en-US"/>
        </w:rPr>
        <w:t>Various provisions of RICA enable an ‘applicant’ to obtain disclosure of information, including customer information (under s</w:t>
      </w:r>
      <w:r w:rsidR="00700D6D">
        <w:rPr>
          <w:rFonts w:ascii="Arial" w:hAnsi="Arial" w:cs="Arial"/>
          <w:sz w:val="24"/>
          <w:szCs w:val="24"/>
          <w:lang w:val="en-US"/>
        </w:rPr>
        <w:t>s</w:t>
      </w:r>
      <w:r w:rsidR="000D2DE3">
        <w:rPr>
          <w:rFonts w:ascii="Arial" w:hAnsi="Arial" w:cs="Arial"/>
          <w:sz w:val="24"/>
          <w:szCs w:val="24"/>
          <w:lang w:val="en-US"/>
        </w:rPr>
        <w:t xml:space="preserve"> 39(3) and 40(7)). </w:t>
      </w:r>
      <w:r w:rsidR="00841702">
        <w:rPr>
          <w:rFonts w:ascii="Arial" w:hAnsi="Arial" w:cs="Arial"/>
          <w:sz w:val="24"/>
          <w:szCs w:val="24"/>
          <w:lang w:val="en-US"/>
        </w:rPr>
        <w:t>An ‘applicant’ is defined in RICA. It is not necessary to reproduce this rather extensive definition. It suffices to say that only specified government officials (such as office</w:t>
      </w:r>
      <w:r w:rsidR="007C5E13">
        <w:rPr>
          <w:rFonts w:ascii="Arial" w:hAnsi="Arial" w:cs="Arial"/>
          <w:sz w:val="24"/>
          <w:szCs w:val="24"/>
          <w:lang w:val="en-US"/>
        </w:rPr>
        <w:t>r</w:t>
      </w:r>
      <w:r w:rsidR="00841702">
        <w:rPr>
          <w:rFonts w:ascii="Arial" w:hAnsi="Arial" w:cs="Arial"/>
          <w:sz w:val="24"/>
          <w:szCs w:val="24"/>
          <w:lang w:val="en-US"/>
        </w:rPr>
        <w:t xml:space="preserve">s in the South African Police Service) are included in the definition and that Giftwrap is not an ‘applicant’ under RICA. </w:t>
      </w:r>
    </w:p>
    <w:p w14:paraId="432D68A5" w14:textId="77777777" w:rsidR="00656FB9" w:rsidRPr="009025AF" w:rsidRDefault="00656FB9" w:rsidP="00B05C8E">
      <w:pPr>
        <w:rPr>
          <w:rFonts w:ascii="Arial" w:hAnsi="Arial" w:cs="Arial"/>
          <w:sz w:val="24"/>
          <w:szCs w:val="24"/>
          <w:lang w:val="en-US"/>
        </w:rPr>
      </w:pPr>
    </w:p>
    <w:p w14:paraId="0B138CBC" w14:textId="26290B74" w:rsidR="007C47B0" w:rsidRPr="008E1848" w:rsidRDefault="00C843D9" w:rsidP="00614F9D">
      <w:pPr>
        <w:rPr>
          <w:rFonts w:ascii="Arial" w:hAnsi="Arial" w:cs="Arial"/>
          <w:lang w:val="en-US"/>
        </w:rPr>
      </w:pPr>
      <w:r>
        <w:rPr>
          <w:rFonts w:ascii="Arial" w:hAnsi="Arial" w:cs="Arial"/>
          <w:sz w:val="24"/>
          <w:szCs w:val="24"/>
          <w:lang w:val="en-US"/>
        </w:rPr>
        <w:t>[14</w:t>
      </w:r>
      <w:r w:rsidR="00656FB9" w:rsidRPr="009025AF">
        <w:rPr>
          <w:rFonts w:ascii="Arial" w:hAnsi="Arial" w:cs="Arial"/>
          <w:sz w:val="24"/>
          <w:szCs w:val="24"/>
          <w:lang w:val="en-US"/>
        </w:rPr>
        <w:t>]</w:t>
      </w:r>
      <w:r w:rsidR="00656FB9" w:rsidRPr="009025AF">
        <w:rPr>
          <w:rFonts w:ascii="Arial" w:hAnsi="Arial" w:cs="Arial"/>
          <w:sz w:val="24"/>
          <w:szCs w:val="24"/>
          <w:lang w:val="en-US"/>
        </w:rPr>
        <w:tab/>
      </w:r>
      <w:r w:rsidR="00CB0DD5" w:rsidRPr="009025AF">
        <w:rPr>
          <w:rFonts w:ascii="Arial" w:hAnsi="Arial" w:cs="Arial"/>
          <w:sz w:val="24"/>
          <w:szCs w:val="24"/>
          <w:lang w:val="en-US"/>
        </w:rPr>
        <w:t xml:space="preserve"> </w:t>
      </w:r>
      <w:r w:rsidR="000877C6">
        <w:rPr>
          <w:rFonts w:ascii="Arial" w:hAnsi="Arial" w:cs="Arial"/>
          <w:sz w:val="24"/>
          <w:szCs w:val="24"/>
          <w:lang w:val="en-US"/>
        </w:rPr>
        <w:t>As I have demonstrated, ss 39 and 40 of RICA apply to service providers. Section 39(1)</w:t>
      </w:r>
      <w:r w:rsidR="000877C6">
        <w:rPr>
          <w:rStyle w:val="FootnoteReference"/>
          <w:rFonts w:ascii="Arial" w:hAnsi="Arial" w:cs="Arial"/>
          <w:sz w:val="24"/>
          <w:szCs w:val="24"/>
          <w:lang w:val="en-US"/>
        </w:rPr>
        <w:footnoteReference w:id="3"/>
      </w:r>
      <w:r w:rsidR="008E1848">
        <w:rPr>
          <w:rFonts w:ascii="Arial" w:hAnsi="Arial" w:cs="Arial"/>
          <w:sz w:val="24"/>
          <w:szCs w:val="24"/>
          <w:lang w:val="en-US"/>
        </w:rPr>
        <w:t xml:space="preserve"> specifies the customer information that a service provider other than a </w:t>
      </w:r>
      <w:r w:rsidR="008E1848">
        <w:rPr>
          <w:rFonts w:ascii="Arial" w:hAnsi="Arial" w:cs="Arial"/>
          <w:sz w:val="24"/>
          <w:szCs w:val="24"/>
          <w:lang w:val="en-US"/>
        </w:rPr>
        <w:lastRenderedPageBreak/>
        <w:t>cellular phone service provider, must obtain and verify before it enters into a contract with any person for the provision of an electronic communications service to that person. Section 39(1)</w:t>
      </w:r>
      <w:r w:rsidR="008E1848">
        <w:rPr>
          <w:rFonts w:ascii="Arial" w:hAnsi="Arial" w:cs="Arial"/>
          <w:i/>
          <w:sz w:val="24"/>
          <w:szCs w:val="24"/>
          <w:lang w:val="en-US"/>
        </w:rPr>
        <w:t>(a)</w:t>
      </w:r>
      <w:r w:rsidR="008E1848">
        <w:rPr>
          <w:rFonts w:ascii="Arial" w:hAnsi="Arial" w:cs="Arial"/>
          <w:sz w:val="24"/>
          <w:szCs w:val="24"/>
          <w:lang w:val="en-US"/>
        </w:rPr>
        <w:t xml:space="preserve"> lists the customer information to be obtained and verified in respect of a natural person and s 39(1)</w:t>
      </w:r>
      <w:r w:rsidR="008E1848">
        <w:rPr>
          <w:rFonts w:ascii="Arial" w:hAnsi="Arial" w:cs="Arial"/>
          <w:i/>
          <w:sz w:val="24"/>
          <w:szCs w:val="24"/>
          <w:lang w:val="en-US"/>
        </w:rPr>
        <w:t>(b)</w:t>
      </w:r>
      <w:r w:rsidR="008E1848">
        <w:rPr>
          <w:rFonts w:ascii="Arial" w:hAnsi="Arial" w:cs="Arial"/>
          <w:sz w:val="24"/>
          <w:szCs w:val="24"/>
          <w:lang w:val="en-US"/>
        </w:rPr>
        <w:t xml:space="preserve"> with those of a juristic person. The keeping of records of this information is prescribed in s 39(2).</w:t>
      </w:r>
      <w:r w:rsidR="008E1848">
        <w:rPr>
          <w:rStyle w:val="FootnoteReference"/>
          <w:rFonts w:ascii="Arial" w:hAnsi="Arial" w:cs="Arial"/>
          <w:sz w:val="24"/>
          <w:szCs w:val="24"/>
          <w:lang w:val="en-US"/>
        </w:rPr>
        <w:footnoteReference w:id="4"/>
      </w:r>
    </w:p>
    <w:p w14:paraId="2F706F40" w14:textId="77777777" w:rsidR="007C47B0" w:rsidRPr="009025AF" w:rsidRDefault="007C47B0" w:rsidP="00B05C8E">
      <w:pPr>
        <w:rPr>
          <w:rFonts w:ascii="Arial" w:hAnsi="Arial" w:cs="Arial"/>
          <w:lang w:val="en-US"/>
        </w:rPr>
      </w:pPr>
    </w:p>
    <w:p w14:paraId="006D7EE6" w14:textId="0B6FA48E" w:rsidR="00CA1EEE" w:rsidRPr="00014A24" w:rsidRDefault="00C843D9" w:rsidP="009025AF">
      <w:pPr>
        <w:rPr>
          <w:rFonts w:ascii="Arial" w:hAnsi="Arial" w:cs="Arial"/>
          <w:sz w:val="24"/>
          <w:szCs w:val="24"/>
          <w:lang w:val="en-US"/>
        </w:rPr>
      </w:pPr>
      <w:r>
        <w:rPr>
          <w:rFonts w:ascii="Arial" w:hAnsi="Arial" w:cs="Arial"/>
          <w:sz w:val="24"/>
          <w:szCs w:val="24"/>
          <w:lang w:val="en-US"/>
        </w:rPr>
        <w:t>[15</w:t>
      </w:r>
      <w:r w:rsidR="007C47B0" w:rsidRPr="009025AF">
        <w:rPr>
          <w:rFonts w:ascii="Arial" w:hAnsi="Arial" w:cs="Arial"/>
          <w:sz w:val="24"/>
          <w:szCs w:val="24"/>
          <w:lang w:val="en-US"/>
        </w:rPr>
        <w:t>]</w:t>
      </w:r>
      <w:r w:rsidR="007C47B0" w:rsidRPr="009025AF">
        <w:rPr>
          <w:rFonts w:ascii="Arial" w:hAnsi="Arial" w:cs="Arial"/>
          <w:sz w:val="24"/>
          <w:szCs w:val="24"/>
          <w:lang w:val="en-US"/>
        </w:rPr>
        <w:tab/>
      </w:r>
      <w:r w:rsidR="00060D6A" w:rsidRPr="009025AF">
        <w:rPr>
          <w:rFonts w:ascii="Arial" w:hAnsi="Arial" w:cs="Arial"/>
          <w:sz w:val="24"/>
          <w:szCs w:val="24"/>
          <w:lang w:val="en-US"/>
        </w:rPr>
        <w:t xml:space="preserve"> </w:t>
      </w:r>
      <w:r w:rsidR="00014A24">
        <w:rPr>
          <w:rFonts w:ascii="Arial" w:hAnsi="Arial" w:cs="Arial"/>
          <w:sz w:val="24"/>
          <w:szCs w:val="24"/>
          <w:lang w:val="en-US"/>
        </w:rPr>
        <w:t>In terms of s 40(1)</w:t>
      </w:r>
      <w:r w:rsidR="00014A24">
        <w:rPr>
          <w:rFonts w:ascii="Arial" w:hAnsi="Arial" w:cs="Arial"/>
          <w:i/>
          <w:sz w:val="24"/>
          <w:szCs w:val="24"/>
          <w:lang w:val="en-US"/>
        </w:rPr>
        <w:t>(a)</w:t>
      </w:r>
      <w:r w:rsidR="00014A24">
        <w:rPr>
          <w:rFonts w:ascii="Arial" w:hAnsi="Arial" w:cs="Arial"/>
          <w:sz w:val="24"/>
          <w:szCs w:val="24"/>
          <w:lang w:val="en-US"/>
        </w:rPr>
        <w:t xml:space="preserve"> a service provider who provides a cellular phone service shall</w:t>
      </w:r>
      <w:r w:rsidR="00F76ECF">
        <w:rPr>
          <w:rFonts w:ascii="Arial" w:hAnsi="Arial" w:cs="Arial"/>
          <w:sz w:val="24"/>
          <w:szCs w:val="24"/>
          <w:lang w:val="en-US"/>
        </w:rPr>
        <w:t xml:space="preserve"> not activate a Subscriber Identity Module (SIM-card) on its electronic communications system unless s 40(2)</w:t>
      </w:r>
      <w:r w:rsidR="00F76ECF">
        <w:rPr>
          <w:rStyle w:val="FootnoteReference"/>
          <w:rFonts w:ascii="Arial" w:hAnsi="Arial" w:cs="Arial"/>
          <w:sz w:val="24"/>
          <w:szCs w:val="24"/>
          <w:lang w:val="en-US"/>
        </w:rPr>
        <w:footnoteReference w:id="5"/>
      </w:r>
      <w:r w:rsidR="00A272B6">
        <w:rPr>
          <w:rFonts w:ascii="Arial" w:hAnsi="Arial" w:cs="Arial"/>
          <w:sz w:val="24"/>
          <w:szCs w:val="24"/>
          <w:lang w:val="en-US"/>
        </w:rPr>
        <w:t xml:space="preserve"> has been complied with. That section </w:t>
      </w:r>
      <w:r w:rsidR="00A272B6">
        <w:rPr>
          <w:rFonts w:ascii="Arial" w:hAnsi="Arial" w:cs="Arial"/>
          <w:sz w:val="24"/>
          <w:szCs w:val="24"/>
          <w:lang w:val="en-US"/>
        </w:rPr>
        <w:lastRenderedPageBreak/>
        <w:t>specifies the information that such a service provider must record, verify and store in respect of South African citizens, non-</w:t>
      </w:r>
      <w:r w:rsidR="00BE2A19">
        <w:rPr>
          <w:rFonts w:ascii="Arial" w:hAnsi="Arial" w:cs="Arial"/>
          <w:sz w:val="24"/>
          <w:szCs w:val="24"/>
          <w:lang w:val="en-US"/>
        </w:rPr>
        <w:t>South African citizens and juristic persons. When a customer sells or otherwise provides a SIM-card to a person other than a family member, the customer and the person who is to receive the SIM-card are obliged, in terms of s 40(5)</w:t>
      </w:r>
      <w:r w:rsidR="006C3D44">
        <w:rPr>
          <w:rFonts w:ascii="Arial" w:hAnsi="Arial" w:cs="Arial"/>
          <w:sz w:val="24"/>
          <w:szCs w:val="24"/>
          <w:lang w:val="en-US"/>
        </w:rPr>
        <w:t>,</w:t>
      </w:r>
      <w:r w:rsidR="00BE2A19">
        <w:rPr>
          <w:rFonts w:ascii="Arial" w:hAnsi="Arial" w:cs="Arial"/>
          <w:sz w:val="24"/>
          <w:szCs w:val="24"/>
          <w:lang w:val="en-US"/>
        </w:rPr>
        <w:t xml:space="preserve"> to provide similar information to the service provider. In terms of s 40(6) that information must also be recorded, verified and stored as contemplated in s 40(2). </w:t>
      </w:r>
    </w:p>
    <w:p w14:paraId="7DB0CE9F" w14:textId="77777777" w:rsidR="004D70CF" w:rsidRPr="009025AF" w:rsidRDefault="004D70CF" w:rsidP="00B05C8E">
      <w:pPr>
        <w:rPr>
          <w:rFonts w:ascii="Arial" w:hAnsi="Arial" w:cs="Arial"/>
          <w:sz w:val="24"/>
          <w:szCs w:val="24"/>
          <w:lang w:val="en-US"/>
        </w:rPr>
      </w:pPr>
    </w:p>
    <w:p w14:paraId="6FE00E0D" w14:textId="2692A414" w:rsidR="004276CB" w:rsidRDefault="00C843D9" w:rsidP="009025AF">
      <w:pPr>
        <w:rPr>
          <w:rFonts w:ascii="Arial" w:hAnsi="Arial" w:cs="Arial"/>
          <w:sz w:val="24"/>
          <w:szCs w:val="24"/>
          <w:lang w:val="en-US"/>
        </w:rPr>
      </w:pPr>
      <w:r>
        <w:rPr>
          <w:rFonts w:ascii="Arial" w:hAnsi="Arial" w:cs="Arial"/>
          <w:sz w:val="24"/>
          <w:szCs w:val="24"/>
          <w:lang w:val="en-US"/>
        </w:rPr>
        <w:t>[16</w:t>
      </w:r>
      <w:r w:rsidR="004D70CF" w:rsidRPr="009025AF">
        <w:rPr>
          <w:rFonts w:ascii="Arial" w:hAnsi="Arial" w:cs="Arial"/>
          <w:sz w:val="24"/>
          <w:szCs w:val="24"/>
          <w:lang w:val="en-US"/>
        </w:rPr>
        <w:t>]</w:t>
      </w:r>
      <w:r w:rsidR="004D70CF" w:rsidRPr="009025AF">
        <w:rPr>
          <w:rFonts w:ascii="Arial" w:hAnsi="Arial" w:cs="Arial"/>
          <w:sz w:val="24"/>
          <w:szCs w:val="24"/>
          <w:lang w:val="en-US"/>
        </w:rPr>
        <w:tab/>
      </w:r>
      <w:r w:rsidR="00891B6E">
        <w:rPr>
          <w:rFonts w:ascii="Arial" w:hAnsi="Arial" w:cs="Arial"/>
          <w:sz w:val="24"/>
          <w:szCs w:val="24"/>
          <w:lang w:val="en-US"/>
        </w:rPr>
        <w:t>Section 40(3)</w:t>
      </w:r>
      <w:r w:rsidR="00891B6E">
        <w:rPr>
          <w:rStyle w:val="FootnoteReference"/>
          <w:rFonts w:ascii="Arial" w:hAnsi="Arial" w:cs="Arial"/>
          <w:sz w:val="24"/>
          <w:szCs w:val="24"/>
          <w:lang w:val="en-US"/>
        </w:rPr>
        <w:footnoteReference w:id="6"/>
      </w:r>
      <w:r w:rsidR="00891B6E">
        <w:rPr>
          <w:rFonts w:ascii="Arial" w:hAnsi="Arial" w:cs="Arial"/>
          <w:sz w:val="24"/>
          <w:szCs w:val="24"/>
          <w:lang w:val="en-US"/>
        </w:rPr>
        <w:t xml:space="preserve"> prescribes </w:t>
      </w:r>
      <w:r w:rsidR="006C3D44">
        <w:rPr>
          <w:rFonts w:ascii="Arial" w:hAnsi="Arial" w:cs="Arial"/>
          <w:sz w:val="24"/>
          <w:szCs w:val="24"/>
          <w:lang w:val="en-US"/>
        </w:rPr>
        <w:t>the</w:t>
      </w:r>
      <w:r w:rsidR="00891B6E">
        <w:rPr>
          <w:rFonts w:ascii="Arial" w:hAnsi="Arial" w:cs="Arial"/>
          <w:sz w:val="24"/>
          <w:szCs w:val="24"/>
          <w:lang w:val="en-US"/>
        </w:rPr>
        <w:t xml:space="preserve"> process of verification of information for purposes of s 40(2). In terms of s 40(4) a service provider must ensure that the process contemplated in s 40(2), the information recorded and stored in terms of that subsection and the facility in or on which the information is recorded and stored ‘are secure and only accessible to persons specifically designated</w:t>
      </w:r>
      <w:r w:rsidR="00321CD6">
        <w:rPr>
          <w:rFonts w:ascii="Arial" w:hAnsi="Arial" w:cs="Arial"/>
          <w:sz w:val="24"/>
          <w:szCs w:val="24"/>
          <w:lang w:val="en-US"/>
        </w:rPr>
        <w:t xml:space="preserve"> </w:t>
      </w:r>
      <w:r w:rsidR="00891B6E">
        <w:rPr>
          <w:rFonts w:ascii="Arial" w:hAnsi="Arial" w:cs="Arial"/>
          <w:sz w:val="24"/>
          <w:szCs w:val="24"/>
          <w:lang w:val="en-US"/>
        </w:rPr>
        <w:t xml:space="preserve">. . .’.  </w:t>
      </w:r>
      <w:r w:rsidR="00321CD6">
        <w:rPr>
          <w:rFonts w:ascii="Arial" w:hAnsi="Arial" w:cs="Arial"/>
          <w:sz w:val="24"/>
          <w:szCs w:val="24"/>
          <w:lang w:val="en-US"/>
        </w:rPr>
        <w:t xml:space="preserve">Section 40(10) essentially provides that customer information must be stored for a period of five years after </w:t>
      </w:r>
      <w:r w:rsidR="006C3D44">
        <w:rPr>
          <w:rFonts w:ascii="Arial" w:hAnsi="Arial" w:cs="Arial"/>
          <w:sz w:val="24"/>
          <w:szCs w:val="24"/>
          <w:lang w:val="en-US"/>
        </w:rPr>
        <w:t xml:space="preserve">the </w:t>
      </w:r>
      <w:r w:rsidR="00321CD6">
        <w:rPr>
          <w:rFonts w:ascii="Arial" w:hAnsi="Arial" w:cs="Arial"/>
          <w:sz w:val="24"/>
          <w:szCs w:val="24"/>
          <w:lang w:val="en-US"/>
        </w:rPr>
        <w:t xml:space="preserve">termination of the contract between the customer and the service provider. </w:t>
      </w:r>
    </w:p>
    <w:p w14:paraId="37FB55B2" w14:textId="77777777" w:rsidR="0015472B" w:rsidRDefault="0015472B" w:rsidP="00B05C8E">
      <w:pPr>
        <w:rPr>
          <w:rFonts w:ascii="Arial" w:hAnsi="Arial" w:cs="Arial"/>
          <w:b/>
          <w:sz w:val="24"/>
          <w:szCs w:val="24"/>
          <w:lang w:val="en-US"/>
        </w:rPr>
      </w:pPr>
    </w:p>
    <w:p w14:paraId="0C05764B" w14:textId="380CC55A" w:rsidR="009C11E0" w:rsidRPr="00321CD6" w:rsidRDefault="00321CD6" w:rsidP="00B05C8E">
      <w:pPr>
        <w:rPr>
          <w:rFonts w:ascii="Arial" w:hAnsi="Arial" w:cs="Arial"/>
          <w:b/>
          <w:sz w:val="24"/>
          <w:szCs w:val="24"/>
          <w:lang w:val="en-US"/>
        </w:rPr>
      </w:pPr>
      <w:r w:rsidRPr="00321CD6">
        <w:rPr>
          <w:rFonts w:ascii="Arial" w:hAnsi="Arial" w:cs="Arial"/>
          <w:b/>
          <w:sz w:val="24"/>
          <w:szCs w:val="24"/>
          <w:lang w:val="en-US"/>
        </w:rPr>
        <w:t>Analysis</w:t>
      </w:r>
    </w:p>
    <w:p w14:paraId="66BB04FA" w14:textId="25F76F1F" w:rsidR="00D02631" w:rsidRPr="009025AF" w:rsidRDefault="00C843D9" w:rsidP="009025AF">
      <w:pPr>
        <w:rPr>
          <w:rFonts w:ascii="Arial" w:hAnsi="Arial" w:cs="Arial"/>
          <w:lang w:val="en-US"/>
        </w:rPr>
      </w:pPr>
      <w:r>
        <w:rPr>
          <w:rFonts w:ascii="Arial" w:hAnsi="Arial" w:cs="Arial"/>
          <w:sz w:val="24"/>
          <w:szCs w:val="24"/>
          <w:lang w:val="en-US"/>
        </w:rPr>
        <w:t>[17</w:t>
      </w:r>
      <w:r w:rsidR="009C11E0" w:rsidRPr="009025AF">
        <w:rPr>
          <w:rFonts w:ascii="Arial" w:hAnsi="Arial" w:cs="Arial"/>
          <w:sz w:val="24"/>
          <w:szCs w:val="24"/>
          <w:lang w:val="en-US"/>
        </w:rPr>
        <w:t>]</w:t>
      </w:r>
      <w:r w:rsidR="009C11E0" w:rsidRPr="009025AF">
        <w:rPr>
          <w:rFonts w:ascii="Arial" w:hAnsi="Arial" w:cs="Arial"/>
          <w:sz w:val="24"/>
          <w:szCs w:val="24"/>
          <w:lang w:val="en-US"/>
        </w:rPr>
        <w:tab/>
      </w:r>
      <w:r w:rsidR="002B76E6">
        <w:rPr>
          <w:rFonts w:ascii="Arial" w:hAnsi="Arial" w:cs="Arial"/>
          <w:sz w:val="24"/>
          <w:szCs w:val="24"/>
          <w:lang w:val="en-US"/>
        </w:rPr>
        <w:t xml:space="preserve">In determining whether Giftwrap is entitled to disclosure of the customer information in respect of the listed IP addresses, it is firstly necessary to have regard to </w:t>
      </w:r>
      <w:r w:rsidR="002B76E6" w:rsidRPr="002B76E6">
        <w:rPr>
          <w:rFonts w:ascii="Arial" w:hAnsi="Arial" w:cs="Arial"/>
          <w:i/>
          <w:sz w:val="24"/>
          <w:szCs w:val="24"/>
          <w:lang w:val="en-US"/>
        </w:rPr>
        <w:t>Nampak</w:t>
      </w:r>
      <w:r w:rsidR="002B76E6">
        <w:rPr>
          <w:rFonts w:ascii="Arial" w:hAnsi="Arial" w:cs="Arial"/>
          <w:sz w:val="24"/>
          <w:szCs w:val="24"/>
          <w:lang w:val="en-US"/>
        </w:rPr>
        <w:t>.</w:t>
      </w:r>
      <w:r w:rsidR="002B76E6">
        <w:rPr>
          <w:rStyle w:val="FootnoteReference"/>
          <w:rFonts w:ascii="Arial" w:hAnsi="Arial" w:cs="Arial"/>
          <w:sz w:val="24"/>
          <w:szCs w:val="24"/>
          <w:lang w:val="en-US"/>
        </w:rPr>
        <w:footnoteReference w:id="7"/>
      </w:r>
      <w:r w:rsidR="007378C7">
        <w:rPr>
          <w:rFonts w:ascii="Arial" w:hAnsi="Arial" w:cs="Arial"/>
          <w:sz w:val="24"/>
          <w:szCs w:val="24"/>
          <w:lang w:val="en-US"/>
        </w:rPr>
        <w:t xml:space="preserve"> There the applicant had been the victim of a robbery. In an urgent application, it sought information from Vodacom and a number of other cellular phone service providers on the basis that the information would assist in an investigation to </w:t>
      </w:r>
      <w:r w:rsidR="007378C7">
        <w:rPr>
          <w:rFonts w:ascii="Arial" w:hAnsi="Arial" w:cs="Arial"/>
          <w:sz w:val="24"/>
          <w:szCs w:val="24"/>
          <w:lang w:val="en-US"/>
        </w:rPr>
        <w:lastRenderedPageBreak/>
        <w:t xml:space="preserve">identify the wrongdoers. The information sought firstly related to the identification of all the cellular phones that had been used in the vicinity of the applicant’s premises during a specified period (approximately an hour). Secondly, the applicant essentially sought customer information and detailed call logs in respect of all the cellular phones so identified. Vodacom and the service providers did not oppose the urgent application. </w:t>
      </w:r>
    </w:p>
    <w:p w14:paraId="796F9131" w14:textId="77777777" w:rsidR="00802BF7" w:rsidRPr="009025AF" w:rsidRDefault="00802BF7" w:rsidP="00B05C8E">
      <w:pPr>
        <w:rPr>
          <w:rFonts w:ascii="Arial" w:hAnsi="Arial" w:cs="Arial"/>
          <w:sz w:val="24"/>
          <w:szCs w:val="24"/>
          <w:lang w:val="en-US"/>
        </w:rPr>
      </w:pPr>
    </w:p>
    <w:p w14:paraId="68D20458" w14:textId="331AA453" w:rsidR="00DC67AD" w:rsidRPr="009025AF" w:rsidRDefault="00C843D9" w:rsidP="009025AF">
      <w:pPr>
        <w:rPr>
          <w:rFonts w:ascii="Arial" w:hAnsi="Arial" w:cs="Arial"/>
        </w:rPr>
      </w:pPr>
      <w:r>
        <w:rPr>
          <w:rFonts w:ascii="Arial" w:hAnsi="Arial" w:cs="Arial"/>
          <w:sz w:val="24"/>
          <w:szCs w:val="24"/>
          <w:lang w:val="en-US"/>
        </w:rPr>
        <w:t>[18</w:t>
      </w:r>
      <w:r w:rsidR="00802BF7" w:rsidRPr="009025AF">
        <w:rPr>
          <w:rFonts w:ascii="Arial" w:hAnsi="Arial" w:cs="Arial"/>
          <w:sz w:val="24"/>
          <w:szCs w:val="24"/>
          <w:lang w:val="en-US"/>
        </w:rPr>
        <w:t>]</w:t>
      </w:r>
      <w:r w:rsidR="00802BF7" w:rsidRPr="009025AF">
        <w:rPr>
          <w:rFonts w:ascii="Arial" w:hAnsi="Arial" w:cs="Arial"/>
          <w:sz w:val="24"/>
          <w:szCs w:val="24"/>
          <w:lang w:val="en-US"/>
        </w:rPr>
        <w:tab/>
      </w:r>
      <w:r w:rsidR="003D71F7">
        <w:rPr>
          <w:rFonts w:ascii="Arial" w:hAnsi="Arial" w:cs="Arial"/>
          <w:sz w:val="24"/>
          <w:szCs w:val="24"/>
          <w:lang w:val="en-US"/>
        </w:rPr>
        <w:t xml:space="preserve">The court nevertheless determined to develop the common law as expounded in </w:t>
      </w:r>
      <w:r w:rsidR="003D71F7" w:rsidRPr="003D71F7">
        <w:rPr>
          <w:rFonts w:ascii="Arial" w:hAnsi="Arial" w:cs="Arial"/>
          <w:i/>
          <w:sz w:val="24"/>
          <w:szCs w:val="24"/>
          <w:lang w:val="en-US"/>
        </w:rPr>
        <w:t>House of Jewels &amp; Gems &amp; Others v Gilbert &amp; Others</w:t>
      </w:r>
      <w:r w:rsidR="003D71F7">
        <w:rPr>
          <w:rFonts w:ascii="Arial" w:hAnsi="Arial" w:cs="Arial"/>
          <w:sz w:val="24"/>
          <w:szCs w:val="24"/>
          <w:lang w:val="en-US"/>
        </w:rPr>
        <w:t xml:space="preserve"> 1983 (4) SA 824 (W). </w:t>
      </w:r>
      <w:r w:rsidR="001457FB">
        <w:rPr>
          <w:rFonts w:ascii="Arial" w:hAnsi="Arial" w:cs="Arial"/>
          <w:sz w:val="24"/>
          <w:szCs w:val="24"/>
          <w:lang w:val="en-US"/>
        </w:rPr>
        <w:t>It did so on the basis of: the applicant’s constitutional right to access to courts; the ‘regrettable omission’ of the Uniform Rules of Court to provide</w:t>
      </w:r>
      <w:r w:rsidR="00DA6223">
        <w:rPr>
          <w:rFonts w:ascii="Arial" w:hAnsi="Arial" w:cs="Arial"/>
          <w:sz w:val="24"/>
          <w:szCs w:val="24"/>
          <w:lang w:val="en-US"/>
        </w:rPr>
        <w:t xml:space="preserve"> a remedy in advance of litigation having been instituted; and the inherent power of the High Court to regulate its own process. After adopting English law in this regard, the court granted the far-reaching relief sought.  </w:t>
      </w:r>
      <w:r w:rsidR="001457FB">
        <w:rPr>
          <w:rFonts w:ascii="Arial" w:hAnsi="Arial" w:cs="Arial"/>
          <w:sz w:val="24"/>
          <w:szCs w:val="24"/>
          <w:lang w:val="en-US"/>
        </w:rPr>
        <w:t xml:space="preserve"> </w:t>
      </w:r>
    </w:p>
    <w:p w14:paraId="1EFBA3DA" w14:textId="77777777" w:rsidR="008C3428" w:rsidRPr="009025AF" w:rsidRDefault="008C3428" w:rsidP="00B05C8E">
      <w:pPr>
        <w:ind w:left="709" w:hanging="709"/>
        <w:rPr>
          <w:rFonts w:ascii="Arial" w:hAnsi="Arial" w:cs="Arial"/>
        </w:rPr>
      </w:pPr>
    </w:p>
    <w:p w14:paraId="018C5590" w14:textId="7F152D0A" w:rsidR="003F1308" w:rsidRPr="009025AF" w:rsidRDefault="00C843D9" w:rsidP="009025AF">
      <w:pPr>
        <w:rPr>
          <w:rFonts w:ascii="Arial" w:hAnsi="Arial" w:cs="Arial"/>
          <w:sz w:val="24"/>
          <w:szCs w:val="24"/>
        </w:rPr>
      </w:pPr>
      <w:r>
        <w:rPr>
          <w:rFonts w:ascii="Arial" w:hAnsi="Arial" w:cs="Arial"/>
          <w:sz w:val="24"/>
          <w:szCs w:val="24"/>
        </w:rPr>
        <w:t>[19</w:t>
      </w:r>
      <w:r w:rsidR="008C3428" w:rsidRPr="009025AF">
        <w:rPr>
          <w:rFonts w:ascii="Arial" w:hAnsi="Arial" w:cs="Arial"/>
          <w:sz w:val="24"/>
          <w:szCs w:val="24"/>
        </w:rPr>
        <w:t>]</w:t>
      </w:r>
      <w:r w:rsidR="008C3428" w:rsidRPr="009025AF">
        <w:rPr>
          <w:rFonts w:ascii="Arial" w:hAnsi="Arial" w:cs="Arial"/>
          <w:sz w:val="24"/>
          <w:szCs w:val="24"/>
        </w:rPr>
        <w:tab/>
      </w:r>
      <w:r w:rsidR="003F1308" w:rsidRPr="009025AF">
        <w:rPr>
          <w:rFonts w:ascii="Arial" w:hAnsi="Arial" w:cs="Arial"/>
          <w:sz w:val="24"/>
          <w:szCs w:val="24"/>
        </w:rPr>
        <w:t xml:space="preserve"> </w:t>
      </w:r>
      <w:r w:rsidR="007C1EAC">
        <w:rPr>
          <w:rFonts w:ascii="Arial" w:hAnsi="Arial" w:cs="Arial"/>
          <w:sz w:val="24"/>
          <w:szCs w:val="24"/>
        </w:rPr>
        <w:t xml:space="preserve">The court was not, however, </w:t>
      </w:r>
      <w:r w:rsidR="00664C48">
        <w:rPr>
          <w:rFonts w:ascii="Arial" w:hAnsi="Arial" w:cs="Arial"/>
          <w:sz w:val="24"/>
          <w:szCs w:val="24"/>
        </w:rPr>
        <w:t xml:space="preserve">referred to the provisions of RICA. A development of the common law in this regard could not legitimately have been undertaken without consideration of the provisions of RICA. For the reasons furnished below, RICA precluded the disclosure of customer information. To this extent </w:t>
      </w:r>
      <w:r w:rsidR="00664C48" w:rsidRPr="00664C48">
        <w:rPr>
          <w:rFonts w:ascii="Arial" w:hAnsi="Arial" w:cs="Arial"/>
          <w:i/>
          <w:sz w:val="24"/>
          <w:szCs w:val="24"/>
        </w:rPr>
        <w:t>Nampak</w:t>
      </w:r>
      <w:r w:rsidR="00664C48">
        <w:rPr>
          <w:rFonts w:ascii="Arial" w:hAnsi="Arial" w:cs="Arial"/>
          <w:sz w:val="24"/>
          <w:szCs w:val="24"/>
        </w:rPr>
        <w:t xml:space="preserve"> was wrongly decided. </w:t>
      </w:r>
      <w:r w:rsidR="009E0C45">
        <w:rPr>
          <w:rFonts w:ascii="Arial" w:hAnsi="Arial" w:cs="Arial"/>
          <w:sz w:val="24"/>
          <w:szCs w:val="24"/>
        </w:rPr>
        <w:t xml:space="preserve">It also appears to me that at least the bulk of the call logs in </w:t>
      </w:r>
      <w:r w:rsidR="009E0C45" w:rsidRPr="009E0C45">
        <w:rPr>
          <w:rFonts w:ascii="Arial" w:hAnsi="Arial" w:cs="Arial"/>
          <w:i/>
          <w:sz w:val="24"/>
          <w:szCs w:val="24"/>
        </w:rPr>
        <w:t>Nampak</w:t>
      </w:r>
      <w:r w:rsidR="009E0C45">
        <w:rPr>
          <w:rFonts w:ascii="Arial" w:hAnsi="Arial" w:cs="Arial"/>
          <w:sz w:val="24"/>
          <w:szCs w:val="24"/>
        </w:rPr>
        <w:t xml:space="preserve"> constituted archived communication-related information, the disclosure of which is strictly regulated by RICA.</w:t>
      </w:r>
      <w:r w:rsidR="009E0C45">
        <w:rPr>
          <w:rStyle w:val="FootnoteReference"/>
          <w:rFonts w:ascii="Arial" w:hAnsi="Arial" w:cs="Arial"/>
          <w:sz w:val="24"/>
          <w:szCs w:val="24"/>
        </w:rPr>
        <w:footnoteReference w:id="8"/>
      </w:r>
      <w:r w:rsidR="008B3D31">
        <w:rPr>
          <w:rFonts w:ascii="Arial" w:hAnsi="Arial" w:cs="Arial"/>
          <w:sz w:val="24"/>
          <w:szCs w:val="24"/>
        </w:rPr>
        <w:t xml:space="preserve"> </w:t>
      </w:r>
      <w:r w:rsidR="006C3D44">
        <w:rPr>
          <w:rFonts w:ascii="Arial" w:hAnsi="Arial" w:cs="Arial"/>
          <w:sz w:val="24"/>
          <w:szCs w:val="24"/>
        </w:rPr>
        <w:t>However, it</w:t>
      </w:r>
      <w:r w:rsidR="008B3D31">
        <w:rPr>
          <w:rFonts w:ascii="Arial" w:hAnsi="Arial" w:cs="Arial"/>
          <w:sz w:val="24"/>
          <w:szCs w:val="24"/>
        </w:rPr>
        <w:t xml:space="preserve"> is not necessary for purposes of this case to make a final determination in respect of the call logs. </w:t>
      </w:r>
    </w:p>
    <w:p w14:paraId="4CABB493" w14:textId="77777777" w:rsidR="008C3428" w:rsidRPr="009025AF" w:rsidRDefault="008C3428" w:rsidP="005D0745">
      <w:pPr>
        <w:ind w:left="709" w:hanging="709"/>
        <w:rPr>
          <w:rFonts w:ascii="Arial" w:hAnsi="Arial" w:cs="Arial"/>
          <w:sz w:val="24"/>
          <w:szCs w:val="24"/>
        </w:rPr>
      </w:pPr>
    </w:p>
    <w:p w14:paraId="6A6DC3C7" w14:textId="77777777" w:rsidR="006C3D44" w:rsidRDefault="00C843D9" w:rsidP="009025AF">
      <w:pPr>
        <w:rPr>
          <w:rFonts w:ascii="Arial" w:hAnsi="Arial" w:cs="Arial"/>
          <w:sz w:val="24"/>
          <w:szCs w:val="24"/>
        </w:rPr>
      </w:pPr>
      <w:r>
        <w:rPr>
          <w:rFonts w:ascii="Arial" w:hAnsi="Arial" w:cs="Arial"/>
          <w:sz w:val="24"/>
          <w:szCs w:val="24"/>
        </w:rPr>
        <w:t>[20</w:t>
      </w:r>
      <w:r w:rsidR="008C3428" w:rsidRPr="009025AF">
        <w:rPr>
          <w:rFonts w:ascii="Arial" w:hAnsi="Arial" w:cs="Arial"/>
          <w:sz w:val="24"/>
          <w:szCs w:val="24"/>
        </w:rPr>
        <w:t>]</w:t>
      </w:r>
      <w:r w:rsidR="008C3428" w:rsidRPr="009025AF">
        <w:rPr>
          <w:rFonts w:ascii="Arial" w:hAnsi="Arial" w:cs="Arial"/>
          <w:sz w:val="24"/>
          <w:szCs w:val="24"/>
        </w:rPr>
        <w:tab/>
      </w:r>
      <w:r w:rsidR="008B3D31">
        <w:rPr>
          <w:rFonts w:ascii="Arial" w:hAnsi="Arial" w:cs="Arial"/>
          <w:sz w:val="24"/>
          <w:szCs w:val="24"/>
        </w:rPr>
        <w:t>Returning to RICA</w:t>
      </w:r>
      <w:r w:rsidR="00E3712C">
        <w:rPr>
          <w:rFonts w:ascii="Arial" w:hAnsi="Arial" w:cs="Arial"/>
          <w:sz w:val="24"/>
          <w:szCs w:val="24"/>
        </w:rPr>
        <w:t xml:space="preserve">, the starting point is s 42(2). It </w:t>
      </w:r>
      <w:r w:rsidR="00E3712C" w:rsidRPr="00E3712C">
        <w:rPr>
          <w:rFonts w:ascii="Arial" w:hAnsi="Arial" w:cs="Arial"/>
          <w:i/>
          <w:sz w:val="24"/>
          <w:szCs w:val="24"/>
        </w:rPr>
        <w:t>inter alia</w:t>
      </w:r>
      <w:r w:rsidR="00E3712C">
        <w:rPr>
          <w:rFonts w:ascii="Arial" w:hAnsi="Arial" w:cs="Arial"/>
          <w:sz w:val="24"/>
          <w:szCs w:val="24"/>
        </w:rPr>
        <w:t xml:space="preserve"> provides that </w:t>
      </w:r>
      <w:r w:rsidR="0062095F">
        <w:rPr>
          <w:rFonts w:ascii="Arial" w:hAnsi="Arial" w:cs="Arial"/>
          <w:sz w:val="24"/>
          <w:szCs w:val="24"/>
        </w:rPr>
        <w:t xml:space="preserve">no service provider may disclose any information obtained in the exercise of its powers or the performance of its duties in terms of RICA, except for the purposes mentioned in s 42(1). This clearly applies to customer information obtained under s 39 and s 40. </w:t>
      </w:r>
    </w:p>
    <w:p w14:paraId="698F4F5C" w14:textId="77777777" w:rsidR="006C3D44" w:rsidRDefault="006C3D44" w:rsidP="009025AF">
      <w:pPr>
        <w:rPr>
          <w:rFonts w:ascii="Arial" w:hAnsi="Arial" w:cs="Arial"/>
          <w:sz w:val="24"/>
          <w:szCs w:val="24"/>
        </w:rPr>
      </w:pPr>
    </w:p>
    <w:p w14:paraId="1B4F9E28" w14:textId="0C0CA921" w:rsidR="006F79A3" w:rsidRDefault="006C3D44" w:rsidP="009025AF">
      <w:pPr>
        <w:rPr>
          <w:rFonts w:ascii="Arial" w:hAnsi="Arial" w:cs="Arial"/>
          <w:sz w:val="24"/>
          <w:szCs w:val="24"/>
        </w:rPr>
      </w:pPr>
      <w:r>
        <w:rPr>
          <w:rFonts w:ascii="Arial" w:hAnsi="Arial" w:cs="Arial"/>
          <w:sz w:val="24"/>
          <w:szCs w:val="24"/>
        </w:rPr>
        <w:t>[21]</w:t>
      </w:r>
      <w:r>
        <w:rPr>
          <w:rFonts w:ascii="Arial" w:hAnsi="Arial" w:cs="Arial"/>
          <w:sz w:val="24"/>
          <w:szCs w:val="24"/>
        </w:rPr>
        <w:tab/>
      </w:r>
      <w:r w:rsidR="00CD6139">
        <w:rPr>
          <w:rFonts w:ascii="Arial" w:hAnsi="Arial" w:cs="Arial"/>
          <w:sz w:val="24"/>
          <w:szCs w:val="24"/>
        </w:rPr>
        <w:t xml:space="preserve">Section 42(1) reads: </w:t>
      </w:r>
    </w:p>
    <w:p w14:paraId="52E594D3" w14:textId="2FFA66B6" w:rsidR="00CD6139" w:rsidRPr="00300FA0" w:rsidRDefault="004A00F6" w:rsidP="004A00F6">
      <w:pPr>
        <w:rPr>
          <w:rFonts w:ascii="Arial" w:eastAsia="Times New Roman" w:hAnsi="Arial" w:cs="Arial"/>
          <w:color w:val="000000"/>
          <w:lang w:eastAsia="en-ZA"/>
        </w:rPr>
      </w:pPr>
      <w:r>
        <w:rPr>
          <w:rFonts w:ascii="Arial" w:eastAsia="Times New Roman" w:hAnsi="Arial" w:cs="Arial"/>
          <w:color w:val="000000"/>
          <w:lang w:eastAsia="en-ZA"/>
        </w:rPr>
        <w:t>‘</w:t>
      </w:r>
      <w:r w:rsidR="00CD6139" w:rsidRPr="00300FA0">
        <w:rPr>
          <w:rFonts w:ascii="Arial" w:eastAsia="Times New Roman" w:hAnsi="Arial" w:cs="Arial"/>
          <w:color w:val="000000"/>
          <w:lang w:eastAsia="en-ZA"/>
        </w:rPr>
        <w:t>(1) No person may disclose any information which he or she obtained in the exercising of his or her powers or the performance of his or her duties in terms of this Act, except-</w:t>
      </w:r>
    </w:p>
    <w:p w14:paraId="4C8B451C" w14:textId="780EBCC9" w:rsidR="00CD6139" w:rsidRPr="00300FA0" w:rsidRDefault="00CD6139" w:rsidP="004A00F6">
      <w:pPr>
        <w:ind w:hanging="794"/>
        <w:rPr>
          <w:rFonts w:ascii="Arial" w:eastAsia="Times New Roman" w:hAnsi="Arial" w:cs="Arial"/>
          <w:color w:val="000000"/>
          <w:lang w:eastAsia="en-ZA"/>
        </w:rPr>
      </w:pPr>
      <w:r w:rsidRPr="00300FA0">
        <w:rPr>
          <w:rFonts w:ascii="Arial" w:eastAsia="Times New Roman" w:hAnsi="Arial" w:cs="Arial"/>
          <w:color w:val="000000"/>
          <w:lang w:eastAsia="en-ZA"/>
        </w:rPr>
        <w:t>   </w:t>
      </w:r>
      <w:bookmarkStart w:id="1" w:name="0-0-0-61407"/>
      <w:bookmarkEnd w:id="1"/>
      <w:r w:rsidR="00ED3A70">
        <w:rPr>
          <w:rFonts w:ascii="Arial" w:eastAsia="Times New Roman" w:hAnsi="Arial" w:cs="Arial"/>
          <w:color w:val="000000"/>
          <w:lang w:eastAsia="en-ZA"/>
        </w:rPr>
        <w:tab/>
      </w:r>
      <w:r w:rsidRPr="00300FA0">
        <w:rPr>
          <w:rFonts w:ascii="Arial" w:eastAsia="Times New Roman" w:hAnsi="Arial" w:cs="Arial"/>
          <w:i/>
          <w:iCs/>
          <w:color w:val="000000"/>
          <w:lang w:eastAsia="en-ZA"/>
        </w:rPr>
        <w:t>(a)</w:t>
      </w:r>
      <w:r w:rsidRPr="00300FA0">
        <w:rPr>
          <w:rFonts w:ascii="Arial" w:eastAsia="Times New Roman" w:hAnsi="Arial" w:cs="Arial"/>
          <w:color w:val="000000"/>
          <w:lang w:eastAsia="en-ZA"/>
        </w:rPr>
        <w:t>   to any other person who of necessity requires it for the performance of his or her functions in terms of this Act;</w:t>
      </w:r>
    </w:p>
    <w:p w14:paraId="15E71093" w14:textId="686D62C1" w:rsidR="00CD6139" w:rsidRPr="00300FA0" w:rsidRDefault="00CD6139" w:rsidP="004A00F6">
      <w:pPr>
        <w:ind w:hanging="794"/>
        <w:rPr>
          <w:rFonts w:ascii="Arial" w:eastAsia="Times New Roman" w:hAnsi="Arial" w:cs="Arial"/>
          <w:color w:val="000000"/>
          <w:lang w:eastAsia="en-ZA"/>
        </w:rPr>
      </w:pPr>
      <w:r w:rsidRPr="00300FA0">
        <w:rPr>
          <w:rFonts w:ascii="Arial" w:eastAsia="Times New Roman" w:hAnsi="Arial" w:cs="Arial"/>
          <w:color w:val="000000"/>
          <w:lang w:eastAsia="en-ZA"/>
        </w:rPr>
        <w:lastRenderedPageBreak/>
        <w:t>   </w:t>
      </w:r>
      <w:bookmarkStart w:id="2" w:name="0-0-0-61409"/>
      <w:bookmarkEnd w:id="2"/>
      <w:r w:rsidR="00ED3A70">
        <w:rPr>
          <w:rFonts w:ascii="Arial" w:eastAsia="Times New Roman" w:hAnsi="Arial" w:cs="Arial"/>
          <w:color w:val="000000"/>
          <w:lang w:eastAsia="en-ZA"/>
        </w:rPr>
        <w:tab/>
      </w:r>
      <w:r w:rsidRPr="00300FA0">
        <w:rPr>
          <w:rFonts w:ascii="Arial" w:eastAsia="Times New Roman" w:hAnsi="Arial" w:cs="Arial"/>
          <w:i/>
          <w:iCs/>
          <w:color w:val="000000"/>
          <w:lang w:eastAsia="en-ZA"/>
        </w:rPr>
        <w:t>(b)</w:t>
      </w:r>
      <w:r w:rsidRPr="00300FA0">
        <w:rPr>
          <w:rFonts w:ascii="Arial" w:eastAsia="Times New Roman" w:hAnsi="Arial" w:cs="Arial"/>
          <w:color w:val="000000"/>
          <w:lang w:eastAsia="en-ZA"/>
        </w:rPr>
        <w:t>   if he or she is a person who of necessity supplies it in the performance of his or her functions in terms of this Act;</w:t>
      </w:r>
    </w:p>
    <w:p w14:paraId="5C73A33A" w14:textId="47726A24" w:rsidR="00CD6139" w:rsidRPr="00300FA0" w:rsidRDefault="00CD6139" w:rsidP="004A00F6">
      <w:pPr>
        <w:ind w:hanging="794"/>
        <w:rPr>
          <w:rFonts w:ascii="Arial" w:eastAsia="Times New Roman" w:hAnsi="Arial" w:cs="Arial"/>
          <w:color w:val="000000"/>
          <w:lang w:eastAsia="en-ZA"/>
        </w:rPr>
      </w:pPr>
      <w:r w:rsidRPr="00300FA0">
        <w:rPr>
          <w:rFonts w:ascii="Arial" w:eastAsia="Times New Roman" w:hAnsi="Arial" w:cs="Arial"/>
          <w:color w:val="000000"/>
          <w:lang w:eastAsia="en-ZA"/>
        </w:rPr>
        <w:t>   </w:t>
      </w:r>
      <w:bookmarkStart w:id="3" w:name="0-0-0-61411"/>
      <w:bookmarkEnd w:id="3"/>
      <w:r w:rsidR="00ED3A70">
        <w:rPr>
          <w:rFonts w:ascii="Arial" w:eastAsia="Times New Roman" w:hAnsi="Arial" w:cs="Arial"/>
          <w:color w:val="000000"/>
          <w:lang w:eastAsia="en-ZA"/>
        </w:rPr>
        <w:tab/>
      </w:r>
      <w:r w:rsidRPr="00300FA0">
        <w:rPr>
          <w:rFonts w:ascii="Arial" w:eastAsia="Times New Roman" w:hAnsi="Arial" w:cs="Arial"/>
          <w:i/>
          <w:iCs/>
          <w:color w:val="000000"/>
          <w:lang w:eastAsia="en-ZA"/>
        </w:rPr>
        <w:t>(c)</w:t>
      </w:r>
      <w:r w:rsidRPr="00300FA0">
        <w:rPr>
          <w:rFonts w:ascii="Arial" w:eastAsia="Times New Roman" w:hAnsi="Arial" w:cs="Arial"/>
          <w:color w:val="000000"/>
          <w:lang w:eastAsia="en-ZA"/>
        </w:rPr>
        <w:t>   information which is required in terms of any law or as evidence in any court of law; or</w:t>
      </w:r>
    </w:p>
    <w:p w14:paraId="5B49E161" w14:textId="0B5ED3BA" w:rsidR="00CD6139" w:rsidRPr="00300FA0" w:rsidRDefault="00CD6139" w:rsidP="004A00F6">
      <w:pPr>
        <w:ind w:hanging="794"/>
        <w:rPr>
          <w:rFonts w:ascii="Arial" w:eastAsia="Times New Roman" w:hAnsi="Arial" w:cs="Arial"/>
          <w:color w:val="000000"/>
          <w:lang w:eastAsia="en-ZA"/>
        </w:rPr>
      </w:pPr>
      <w:r w:rsidRPr="00300FA0">
        <w:rPr>
          <w:rFonts w:ascii="Arial" w:eastAsia="Times New Roman" w:hAnsi="Arial" w:cs="Arial"/>
          <w:color w:val="000000"/>
          <w:lang w:eastAsia="en-ZA"/>
        </w:rPr>
        <w:t>   </w:t>
      </w:r>
      <w:bookmarkStart w:id="4" w:name="0-0-0-61413"/>
      <w:bookmarkEnd w:id="4"/>
      <w:r w:rsidR="00ED3A70">
        <w:rPr>
          <w:rFonts w:ascii="Arial" w:eastAsia="Times New Roman" w:hAnsi="Arial" w:cs="Arial"/>
          <w:color w:val="000000"/>
          <w:lang w:eastAsia="en-ZA"/>
        </w:rPr>
        <w:tab/>
      </w:r>
      <w:r w:rsidRPr="00300FA0">
        <w:rPr>
          <w:rFonts w:ascii="Arial" w:eastAsia="Times New Roman" w:hAnsi="Arial" w:cs="Arial"/>
          <w:i/>
          <w:iCs/>
          <w:color w:val="000000"/>
          <w:lang w:eastAsia="en-ZA"/>
        </w:rPr>
        <w:t>(d)</w:t>
      </w:r>
      <w:r w:rsidRPr="00300FA0">
        <w:rPr>
          <w:rFonts w:ascii="Arial" w:eastAsia="Times New Roman" w:hAnsi="Arial" w:cs="Arial"/>
          <w:color w:val="000000"/>
          <w:lang w:eastAsia="en-ZA"/>
        </w:rPr>
        <w:t>   to any competent authority which requires it for the institution, or an investigation with a view to the institution, of any criminal proceedings or civil proceedings as contemplated in Chapter 5 or 6 of the Prevention of Organised Crime Act.</w:t>
      </w:r>
      <w:r w:rsidR="004A00F6">
        <w:rPr>
          <w:rFonts w:ascii="Arial" w:eastAsia="Times New Roman" w:hAnsi="Arial" w:cs="Arial"/>
          <w:color w:val="000000"/>
          <w:lang w:eastAsia="en-ZA"/>
        </w:rPr>
        <w:t>’</w:t>
      </w:r>
    </w:p>
    <w:p w14:paraId="00838969" w14:textId="77777777" w:rsidR="00B378FF" w:rsidRPr="009025AF" w:rsidRDefault="00B378FF" w:rsidP="00B05C8E">
      <w:pPr>
        <w:rPr>
          <w:rFonts w:ascii="Arial" w:hAnsi="Arial" w:cs="Arial"/>
          <w:sz w:val="24"/>
          <w:szCs w:val="24"/>
        </w:rPr>
      </w:pPr>
    </w:p>
    <w:p w14:paraId="200C21EC" w14:textId="76EEAF8D" w:rsidR="009F7510" w:rsidRPr="00DC5F59" w:rsidRDefault="006C3D44" w:rsidP="009025AF">
      <w:pPr>
        <w:rPr>
          <w:rFonts w:ascii="Arial" w:hAnsi="Arial" w:cs="Arial"/>
          <w:sz w:val="24"/>
          <w:szCs w:val="24"/>
        </w:rPr>
      </w:pPr>
      <w:r>
        <w:rPr>
          <w:rFonts w:ascii="Arial" w:hAnsi="Arial" w:cs="Arial"/>
          <w:sz w:val="24"/>
          <w:szCs w:val="24"/>
        </w:rPr>
        <w:t>[22</w:t>
      </w:r>
      <w:r w:rsidR="002B2672" w:rsidRPr="009025AF">
        <w:rPr>
          <w:rFonts w:ascii="Arial" w:hAnsi="Arial" w:cs="Arial"/>
          <w:sz w:val="24"/>
          <w:szCs w:val="24"/>
        </w:rPr>
        <w:t>]</w:t>
      </w:r>
      <w:r w:rsidR="002B2672" w:rsidRPr="009025AF">
        <w:rPr>
          <w:rFonts w:ascii="Arial" w:hAnsi="Arial" w:cs="Arial"/>
          <w:sz w:val="24"/>
          <w:szCs w:val="24"/>
        </w:rPr>
        <w:tab/>
      </w:r>
      <w:r w:rsidR="001A39DC" w:rsidRPr="009025AF">
        <w:rPr>
          <w:rFonts w:ascii="Arial" w:hAnsi="Arial" w:cs="Arial"/>
        </w:rPr>
        <w:t xml:space="preserve"> </w:t>
      </w:r>
      <w:r w:rsidR="004A00F6">
        <w:rPr>
          <w:rFonts w:ascii="Arial" w:hAnsi="Arial" w:cs="Arial"/>
          <w:sz w:val="24"/>
          <w:szCs w:val="24"/>
        </w:rPr>
        <w:t xml:space="preserve">It is necessary to point out that in terms of s 13 of the Prevention of Organised Crime Act 121 of 1998 (POCA), proceedings under Chapter 5 (Proceeds of Unlawful Activities) are civil proceedings and not criminal proceedings. </w:t>
      </w:r>
      <w:r w:rsidR="00DC5F59">
        <w:rPr>
          <w:rFonts w:ascii="Arial" w:hAnsi="Arial" w:cs="Arial"/>
          <w:sz w:val="24"/>
          <w:szCs w:val="24"/>
        </w:rPr>
        <w:t>In terms of s 37 of POCA the same applies to proceedings under Chapter 6 (Civil Recovery of Property). It follows that s 42(1)</w:t>
      </w:r>
      <w:r w:rsidR="00DC5F59">
        <w:rPr>
          <w:rFonts w:ascii="Arial" w:hAnsi="Arial" w:cs="Arial"/>
          <w:i/>
          <w:sz w:val="24"/>
          <w:szCs w:val="24"/>
        </w:rPr>
        <w:t>(d)</w:t>
      </w:r>
      <w:r w:rsidR="00DC5F59">
        <w:rPr>
          <w:rFonts w:ascii="Arial" w:hAnsi="Arial" w:cs="Arial"/>
          <w:sz w:val="24"/>
          <w:szCs w:val="24"/>
        </w:rPr>
        <w:t xml:space="preserve"> of RICA applies to the institution of criminal proceedings, as well as to proceedings under Chapters 5 and 6 of POCA. </w:t>
      </w:r>
    </w:p>
    <w:p w14:paraId="78322078" w14:textId="77777777" w:rsidR="002B2672" w:rsidRPr="009025AF" w:rsidRDefault="002B2672" w:rsidP="00B05C8E">
      <w:pPr>
        <w:ind w:left="709" w:hanging="709"/>
        <w:rPr>
          <w:rFonts w:ascii="Arial" w:hAnsi="Arial" w:cs="Arial"/>
          <w:sz w:val="24"/>
          <w:szCs w:val="24"/>
        </w:rPr>
      </w:pPr>
    </w:p>
    <w:p w14:paraId="12880239" w14:textId="30A1CFBE" w:rsidR="00FC624B" w:rsidRPr="008D53C3" w:rsidRDefault="006C3D44" w:rsidP="009025AF">
      <w:pPr>
        <w:rPr>
          <w:rFonts w:ascii="Arial" w:hAnsi="Arial" w:cs="Arial"/>
          <w:sz w:val="24"/>
          <w:szCs w:val="24"/>
        </w:rPr>
      </w:pPr>
      <w:r>
        <w:rPr>
          <w:rFonts w:ascii="Arial" w:hAnsi="Arial" w:cs="Arial"/>
          <w:sz w:val="24"/>
          <w:szCs w:val="24"/>
        </w:rPr>
        <w:t>[23</w:t>
      </w:r>
      <w:r w:rsidR="002B2672" w:rsidRPr="009025AF">
        <w:rPr>
          <w:rFonts w:ascii="Arial" w:hAnsi="Arial" w:cs="Arial"/>
          <w:sz w:val="24"/>
          <w:szCs w:val="24"/>
        </w:rPr>
        <w:t>]</w:t>
      </w:r>
      <w:r w:rsidR="00F308C8" w:rsidRPr="009025AF">
        <w:rPr>
          <w:rFonts w:ascii="Arial" w:hAnsi="Arial" w:cs="Arial"/>
          <w:sz w:val="24"/>
          <w:szCs w:val="24"/>
        </w:rPr>
        <w:tab/>
      </w:r>
      <w:r w:rsidR="00C5364C" w:rsidRPr="009025AF">
        <w:rPr>
          <w:rFonts w:ascii="Arial" w:hAnsi="Arial" w:cs="Arial"/>
          <w:sz w:val="24"/>
          <w:szCs w:val="24"/>
        </w:rPr>
        <w:t xml:space="preserve"> </w:t>
      </w:r>
      <w:r w:rsidR="008D53C3">
        <w:rPr>
          <w:rFonts w:ascii="Arial" w:hAnsi="Arial" w:cs="Arial"/>
          <w:sz w:val="24"/>
          <w:szCs w:val="24"/>
        </w:rPr>
        <w:t>As I have said, Giftwrap requires the customer information to identify the perpetrators of click fraud in order to take legal action against them. It goes without saying that disclosure of the customer information in respect of the listed IP addresses would not necessarily lead to legal action against a person so identified. It follows that in reality Giftwrap requires the customer information as part of an investigation with a view to taking appropriate legal action. The question is whether s 42(1)</w:t>
      </w:r>
      <w:r w:rsidR="008D53C3">
        <w:rPr>
          <w:rFonts w:ascii="Arial" w:hAnsi="Arial" w:cs="Arial"/>
          <w:i/>
          <w:sz w:val="24"/>
          <w:szCs w:val="24"/>
        </w:rPr>
        <w:t>(c)</w:t>
      </w:r>
      <w:r w:rsidR="008D53C3">
        <w:rPr>
          <w:rFonts w:ascii="Arial" w:hAnsi="Arial" w:cs="Arial"/>
          <w:sz w:val="24"/>
          <w:szCs w:val="24"/>
        </w:rPr>
        <w:t xml:space="preserve"> permits this. The answer must, of course, be found in an interpretation of s 42(1)</w:t>
      </w:r>
      <w:r w:rsidR="008D53C3">
        <w:rPr>
          <w:rFonts w:ascii="Arial" w:hAnsi="Arial" w:cs="Arial"/>
          <w:i/>
          <w:sz w:val="24"/>
          <w:szCs w:val="24"/>
        </w:rPr>
        <w:t>(c)</w:t>
      </w:r>
      <w:r w:rsidR="008D53C3">
        <w:rPr>
          <w:rFonts w:ascii="Arial" w:hAnsi="Arial" w:cs="Arial"/>
          <w:sz w:val="24"/>
          <w:szCs w:val="24"/>
        </w:rPr>
        <w:t xml:space="preserve"> of RICA by a holistic consideration of its text, context and apparent purpose. </w:t>
      </w:r>
    </w:p>
    <w:p w14:paraId="19C78737" w14:textId="77777777" w:rsidR="00C5364C" w:rsidRPr="009025AF" w:rsidRDefault="00C5364C" w:rsidP="00B05C8E">
      <w:pPr>
        <w:ind w:left="709" w:hanging="709"/>
        <w:rPr>
          <w:rFonts w:ascii="Arial" w:hAnsi="Arial" w:cs="Arial"/>
          <w:sz w:val="24"/>
          <w:szCs w:val="24"/>
        </w:rPr>
      </w:pPr>
    </w:p>
    <w:p w14:paraId="0021E532" w14:textId="16302C59" w:rsidR="00442B86" w:rsidRPr="008B5036" w:rsidRDefault="006C3D44" w:rsidP="00B05C8E">
      <w:pPr>
        <w:rPr>
          <w:rFonts w:ascii="Arial" w:hAnsi="Arial" w:cs="Arial"/>
          <w:sz w:val="24"/>
          <w:szCs w:val="24"/>
        </w:rPr>
      </w:pPr>
      <w:r>
        <w:rPr>
          <w:rFonts w:ascii="Arial" w:hAnsi="Arial" w:cs="Arial"/>
          <w:sz w:val="24"/>
          <w:szCs w:val="24"/>
        </w:rPr>
        <w:t>[24</w:t>
      </w:r>
      <w:r w:rsidR="00C5364C" w:rsidRPr="009025AF">
        <w:rPr>
          <w:rFonts w:ascii="Arial" w:hAnsi="Arial" w:cs="Arial"/>
          <w:sz w:val="24"/>
          <w:szCs w:val="24"/>
        </w:rPr>
        <w:t>]</w:t>
      </w:r>
      <w:r w:rsidR="00C5364C" w:rsidRPr="009025AF">
        <w:rPr>
          <w:rFonts w:ascii="Arial" w:hAnsi="Arial" w:cs="Arial"/>
          <w:sz w:val="24"/>
          <w:szCs w:val="24"/>
        </w:rPr>
        <w:tab/>
      </w:r>
      <w:r w:rsidR="00B05543" w:rsidRPr="009025AF">
        <w:rPr>
          <w:rFonts w:ascii="Arial" w:hAnsi="Arial" w:cs="Arial"/>
          <w:sz w:val="24"/>
          <w:szCs w:val="24"/>
        </w:rPr>
        <w:t xml:space="preserve"> </w:t>
      </w:r>
      <w:r w:rsidR="008B5036">
        <w:rPr>
          <w:rFonts w:ascii="Arial" w:hAnsi="Arial" w:cs="Arial"/>
          <w:sz w:val="24"/>
          <w:szCs w:val="24"/>
        </w:rPr>
        <w:t>According to its text (‘information which is required . . . as evidence in any court of law’), s 42(1)</w:t>
      </w:r>
      <w:r w:rsidR="008B5036">
        <w:rPr>
          <w:rFonts w:ascii="Arial" w:hAnsi="Arial" w:cs="Arial"/>
          <w:i/>
          <w:sz w:val="24"/>
          <w:szCs w:val="24"/>
        </w:rPr>
        <w:t>(c)</w:t>
      </w:r>
      <w:r w:rsidR="008B5036">
        <w:rPr>
          <w:rFonts w:ascii="Arial" w:hAnsi="Arial" w:cs="Arial"/>
          <w:sz w:val="24"/>
          <w:szCs w:val="24"/>
        </w:rPr>
        <w:t xml:space="preserve"> conveys that the information must at the time of its disclosure be required as evidence in a court of law. It therefore envisages disclosure of information which is required as evidence in proceedings that are pending in a court of law. On this basis, information that is required to investigate whether legal proceedings could be instituted, falls outside the ambit of s 42(1)</w:t>
      </w:r>
      <w:r w:rsidR="008B5036">
        <w:rPr>
          <w:rFonts w:ascii="Arial" w:hAnsi="Arial" w:cs="Arial"/>
          <w:i/>
          <w:sz w:val="24"/>
          <w:szCs w:val="24"/>
        </w:rPr>
        <w:t>(c)</w:t>
      </w:r>
      <w:r w:rsidR="008B5036">
        <w:rPr>
          <w:rFonts w:ascii="Arial" w:hAnsi="Arial" w:cs="Arial"/>
          <w:sz w:val="24"/>
          <w:szCs w:val="24"/>
        </w:rPr>
        <w:t>. This is supported by the context provided by s 42(1)</w:t>
      </w:r>
      <w:r w:rsidR="008B5036">
        <w:rPr>
          <w:rFonts w:ascii="Arial" w:hAnsi="Arial" w:cs="Arial"/>
          <w:i/>
          <w:sz w:val="24"/>
          <w:szCs w:val="24"/>
        </w:rPr>
        <w:t>(d)</w:t>
      </w:r>
      <w:r w:rsidR="008B5036">
        <w:rPr>
          <w:rFonts w:ascii="Arial" w:hAnsi="Arial" w:cs="Arial"/>
          <w:sz w:val="24"/>
          <w:szCs w:val="24"/>
        </w:rPr>
        <w:t>. It expressly provides that information may be disclosed for purposes of ‘an investigation with a view to the institution’ of (criminal or POCA-related) proceedings. The absence of a similar provision in s 42(1)</w:t>
      </w:r>
      <w:r w:rsidR="008B5036">
        <w:rPr>
          <w:rFonts w:ascii="Arial" w:hAnsi="Arial" w:cs="Arial"/>
          <w:i/>
          <w:sz w:val="24"/>
          <w:szCs w:val="24"/>
        </w:rPr>
        <w:t>(c)</w:t>
      </w:r>
      <w:r w:rsidR="008B5036">
        <w:rPr>
          <w:rFonts w:ascii="Arial" w:hAnsi="Arial" w:cs="Arial"/>
          <w:sz w:val="24"/>
          <w:szCs w:val="24"/>
        </w:rPr>
        <w:t xml:space="preserve"> indicates that disclosure for the purpose of an investigation or identification of wrongdoers is excluded from s 42(1)</w:t>
      </w:r>
      <w:r w:rsidR="008B5036">
        <w:rPr>
          <w:rFonts w:ascii="Arial" w:hAnsi="Arial" w:cs="Arial"/>
          <w:i/>
          <w:sz w:val="24"/>
          <w:szCs w:val="24"/>
        </w:rPr>
        <w:t>(c)</w:t>
      </w:r>
      <w:r w:rsidR="008B5036">
        <w:rPr>
          <w:rFonts w:ascii="Arial" w:hAnsi="Arial" w:cs="Arial"/>
          <w:sz w:val="24"/>
          <w:szCs w:val="24"/>
        </w:rPr>
        <w:t>.</w:t>
      </w:r>
    </w:p>
    <w:p w14:paraId="5417011C" w14:textId="77777777" w:rsidR="001C0D31" w:rsidRPr="009025AF" w:rsidRDefault="001C0D31" w:rsidP="00B05C8E">
      <w:pPr>
        <w:ind w:left="709" w:hanging="709"/>
        <w:rPr>
          <w:rFonts w:ascii="Arial" w:hAnsi="Arial" w:cs="Arial"/>
          <w:sz w:val="24"/>
          <w:szCs w:val="24"/>
        </w:rPr>
      </w:pPr>
    </w:p>
    <w:p w14:paraId="42E3506F" w14:textId="202BF48C" w:rsidR="00F609FC" w:rsidRPr="0084796F" w:rsidRDefault="006C3D44" w:rsidP="009025AF">
      <w:pPr>
        <w:rPr>
          <w:rFonts w:ascii="Arial" w:hAnsi="Arial" w:cs="Arial"/>
          <w:sz w:val="24"/>
          <w:szCs w:val="24"/>
        </w:rPr>
      </w:pPr>
      <w:r>
        <w:rPr>
          <w:rFonts w:ascii="Arial" w:hAnsi="Arial" w:cs="Arial"/>
          <w:sz w:val="24"/>
          <w:szCs w:val="24"/>
        </w:rPr>
        <w:lastRenderedPageBreak/>
        <w:t>[25</w:t>
      </w:r>
      <w:r w:rsidR="00442B86" w:rsidRPr="009025AF">
        <w:rPr>
          <w:rFonts w:ascii="Arial" w:hAnsi="Arial" w:cs="Arial"/>
          <w:sz w:val="24"/>
          <w:szCs w:val="24"/>
        </w:rPr>
        <w:t>]</w:t>
      </w:r>
      <w:r w:rsidR="00442B86" w:rsidRPr="009025AF">
        <w:rPr>
          <w:rFonts w:ascii="Arial" w:hAnsi="Arial" w:cs="Arial"/>
          <w:sz w:val="24"/>
          <w:szCs w:val="24"/>
        </w:rPr>
        <w:tab/>
      </w:r>
      <w:r w:rsidR="00B83CEE" w:rsidRPr="009025AF">
        <w:rPr>
          <w:rFonts w:ascii="Arial" w:hAnsi="Arial" w:cs="Arial"/>
          <w:sz w:val="24"/>
          <w:szCs w:val="24"/>
        </w:rPr>
        <w:t xml:space="preserve"> </w:t>
      </w:r>
      <w:r w:rsidR="0084796F">
        <w:rPr>
          <w:rFonts w:ascii="Arial" w:hAnsi="Arial" w:cs="Arial"/>
          <w:sz w:val="24"/>
          <w:szCs w:val="24"/>
        </w:rPr>
        <w:t>In the main, RICA prohibits the interception of the contents of communications and the disclosure of related and other specified information, subject to prescribed exceptions. The purpose of s 42(1) is to prohibit the disclosure of private information, save in limited cases where it is justified in the public interest. Thus, the limited ambit of s 42(1)</w:t>
      </w:r>
      <w:r w:rsidR="0084796F">
        <w:rPr>
          <w:rFonts w:ascii="Arial" w:hAnsi="Arial" w:cs="Arial"/>
          <w:i/>
          <w:sz w:val="24"/>
          <w:szCs w:val="24"/>
        </w:rPr>
        <w:t>(c)</w:t>
      </w:r>
      <w:r w:rsidR="0084796F">
        <w:rPr>
          <w:rFonts w:ascii="Arial" w:hAnsi="Arial" w:cs="Arial"/>
          <w:sz w:val="24"/>
          <w:szCs w:val="24"/>
        </w:rPr>
        <w:t xml:space="preserve"> that its text and context indicate, accords with the purpose of s 42(1).</w:t>
      </w:r>
    </w:p>
    <w:p w14:paraId="155E39BF" w14:textId="77777777" w:rsidR="00B378FF" w:rsidRPr="009025AF" w:rsidRDefault="00B378FF" w:rsidP="00B05C8E">
      <w:pPr>
        <w:rPr>
          <w:rFonts w:ascii="Arial" w:hAnsi="Arial" w:cs="Arial"/>
          <w:sz w:val="24"/>
          <w:szCs w:val="24"/>
        </w:rPr>
      </w:pPr>
    </w:p>
    <w:p w14:paraId="4488FED0" w14:textId="57C21255" w:rsidR="001E274B" w:rsidRPr="009025AF" w:rsidRDefault="006C3D44" w:rsidP="00B05C8E">
      <w:pPr>
        <w:rPr>
          <w:rFonts w:ascii="Arial" w:hAnsi="Arial" w:cs="Arial"/>
          <w:sz w:val="24"/>
          <w:szCs w:val="24"/>
        </w:rPr>
      </w:pPr>
      <w:r>
        <w:rPr>
          <w:rFonts w:ascii="Arial" w:hAnsi="Arial" w:cs="Arial"/>
          <w:sz w:val="24"/>
          <w:szCs w:val="24"/>
        </w:rPr>
        <w:t>[26</w:t>
      </w:r>
      <w:r w:rsidR="001E274B" w:rsidRPr="009025AF">
        <w:rPr>
          <w:rFonts w:ascii="Arial" w:hAnsi="Arial" w:cs="Arial"/>
          <w:sz w:val="24"/>
          <w:szCs w:val="24"/>
        </w:rPr>
        <w:t>]</w:t>
      </w:r>
      <w:r w:rsidR="001E274B" w:rsidRPr="009025AF">
        <w:rPr>
          <w:rFonts w:ascii="Arial" w:hAnsi="Arial" w:cs="Arial"/>
          <w:sz w:val="24"/>
          <w:szCs w:val="24"/>
        </w:rPr>
        <w:tab/>
      </w:r>
      <w:r w:rsidR="00A45127" w:rsidRPr="009025AF">
        <w:rPr>
          <w:rFonts w:ascii="Arial" w:hAnsi="Arial" w:cs="Arial"/>
          <w:sz w:val="24"/>
          <w:szCs w:val="24"/>
        </w:rPr>
        <w:t xml:space="preserve"> </w:t>
      </w:r>
      <w:r w:rsidR="00F305B3">
        <w:rPr>
          <w:rFonts w:ascii="Arial" w:hAnsi="Arial" w:cs="Arial"/>
          <w:sz w:val="24"/>
          <w:szCs w:val="24"/>
        </w:rPr>
        <w:t xml:space="preserve">This interpretation would not render a person in the position of Giftwrap remediless. As counsel for Vodacom rightly pointed out, RICA does not preclude the preservation of customer information pending the institution of legal proceedings in which it would be required as evidence. </w:t>
      </w:r>
      <w:r w:rsidR="00080157">
        <w:rPr>
          <w:rFonts w:ascii="Arial" w:hAnsi="Arial" w:cs="Arial"/>
          <w:sz w:val="24"/>
          <w:szCs w:val="24"/>
        </w:rPr>
        <w:t xml:space="preserve">A criminal </w:t>
      </w:r>
      <w:r w:rsidR="00085E88">
        <w:rPr>
          <w:rFonts w:ascii="Arial" w:hAnsi="Arial" w:cs="Arial"/>
          <w:sz w:val="24"/>
          <w:szCs w:val="24"/>
        </w:rPr>
        <w:t>complaint</w:t>
      </w:r>
      <w:r w:rsidR="00080157">
        <w:rPr>
          <w:rFonts w:ascii="Arial" w:hAnsi="Arial" w:cs="Arial"/>
          <w:sz w:val="24"/>
          <w:szCs w:val="24"/>
        </w:rPr>
        <w:t xml:space="preserve"> could also be laid, after which s 205 of the Criminal Procedure Act 51 of 1977 or s 42(1)</w:t>
      </w:r>
      <w:r w:rsidR="00080157">
        <w:rPr>
          <w:rFonts w:ascii="Arial" w:hAnsi="Arial" w:cs="Arial"/>
          <w:i/>
          <w:sz w:val="24"/>
          <w:szCs w:val="24"/>
        </w:rPr>
        <w:t>(d)</w:t>
      </w:r>
      <w:r w:rsidR="00080157">
        <w:rPr>
          <w:rFonts w:ascii="Arial" w:hAnsi="Arial" w:cs="Arial"/>
          <w:sz w:val="24"/>
          <w:szCs w:val="24"/>
        </w:rPr>
        <w:t xml:space="preserve"> of RICA could be employed to obtain customer information. </w:t>
      </w:r>
      <w:r w:rsidR="00F305B3">
        <w:rPr>
          <w:rFonts w:ascii="Arial" w:hAnsi="Arial" w:cs="Arial"/>
          <w:sz w:val="24"/>
          <w:szCs w:val="24"/>
        </w:rPr>
        <w:t xml:space="preserve">  </w:t>
      </w:r>
    </w:p>
    <w:p w14:paraId="5FF49876" w14:textId="77777777" w:rsidR="001E274B" w:rsidRPr="009025AF" w:rsidRDefault="001E274B" w:rsidP="00B05C8E">
      <w:pPr>
        <w:rPr>
          <w:rFonts w:ascii="Arial" w:hAnsi="Arial" w:cs="Arial"/>
          <w:sz w:val="24"/>
          <w:szCs w:val="24"/>
        </w:rPr>
      </w:pPr>
    </w:p>
    <w:p w14:paraId="39EA354B" w14:textId="40ABBCCF" w:rsidR="00996E7E" w:rsidRPr="00411449" w:rsidRDefault="006C3D44" w:rsidP="009025AF">
      <w:pPr>
        <w:rPr>
          <w:rFonts w:ascii="Arial" w:hAnsi="Arial" w:cs="Arial"/>
        </w:rPr>
      </w:pPr>
      <w:r>
        <w:rPr>
          <w:rFonts w:ascii="Arial" w:hAnsi="Arial" w:cs="Arial"/>
          <w:sz w:val="24"/>
          <w:szCs w:val="24"/>
        </w:rPr>
        <w:t>[27</w:t>
      </w:r>
      <w:r w:rsidR="001E274B" w:rsidRPr="009025AF">
        <w:rPr>
          <w:rFonts w:ascii="Arial" w:hAnsi="Arial" w:cs="Arial"/>
          <w:sz w:val="24"/>
          <w:szCs w:val="24"/>
        </w:rPr>
        <w:t>]</w:t>
      </w:r>
      <w:r w:rsidR="001E274B" w:rsidRPr="009025AF">
        <w:rPr>
          <w:rFonts w:ascii="Arial" w:hAnsi="Arial" w:cs="Arial"/>
          <w:sz w:val="24"/>
          <w:szCs w:val="24"/>
        </w:rPr>
        <w:tab/>
      </w:r>
      <w:r w:rsidR="00411449">
        <w:rPr>
          <w:rFonts w:ascii="Arial" w:hAnsi="Arial" w:cs="Arial"/>
          <w:sz w:val="24"/>
          <w:szCs w:val="24"/>
        </w:rPr>
        <w:t>For these reasons I conclude that s 42(1)</w:t>
      </w:r>
      <w:r w:rsidR="00411449">
        <w:rPr>
          <w:rFonts w:ascii="Arial" w:hAnsi="Arial" w:cs="Arial"/>
          <w:i/>
          <w:sz w:val="24"/>
          <w:szCs w:val="24"/>
        </w:rPr>
        <w:t>(c)</w:t>
      </w:r>
      <w:r w:rsidR="00411449">
        <w:rPr>
          <w:rFonts w:ascii="Arial" w:hAnsi="Arial" w:cs="Arial"/>
          <w:sz w:val="24"/>
          <w:szCs w:val="24"/>
        </w:rPr>
        <w:t xml:space="preserve"> of RICA does not permit the disclosure of customer information of a service provider for purposes of investigation or identifying wrongdoers. It follows that the appeal must fail. Vodacom did not ask to be awarded costs of the appeal. </w:t>
      </w:r>
    </w:p>
    <w:p w14:paraId="76109C4A" w14:textId="77777777" w:rsidR="003E3D0E" w:rsidRPr="009025AF" w:rsidRDefault="003E3D0E" w:rsidP="00B05C8E">
      <w:pPr>
        <w:rPr>
          <w:rFonts w:ascii="Arial" w:hAnsi="Arial" w:cs="Arial"/>
          <w:sz w:val="24"/>
          <w:szCs w:val="24"/>
        </w:rPr>
      </w:pPr>
    </w:p>
    <w:p w14:paraId="7648B898" w14:textId="540555EC" w:rsidR="003E3D0E" w:rsidRDefault="006C3D44" w:rsidP="00B05C8E">
      <w:pPr>
        <w:rPr>
          <w:rFonts w:ascii="Arial" w:hAnsi="Arial" w:cs="Arial"/>
          <w:sz w:val="24"/>
          <w:szCs w:val="24"/>
        </w:rPr>
      </w:pPr>
      <w:r>
        <w:rPr>
          <w:rFonts w:ascii="Arial" w:hAnsi="Arial" w:cs="Arial"/>
          <w:sz w:val="24"/>
          <w:szCs w:val="24"/>
        </w:rPr>
        <w:t>[28</w:t>
      </w:r>
      <w:r w:rsidR="003E3D0E" w:rsidRPr="009025AF">
        <w:rPr>
          <w:rFonts w:ascii="Arial" w:hAnsi="Arial" w:cs="Arial"/>
          <w:sz w:val="24"/>
          <w:szCs w:val="24"/>
        </w:rPr>
        <w:t>]</w:t>
      </w:r>
      <w:r w:rsidR="003E3D0E" w:rsidRPr="009025AF">
        <w:rPr>
          <w:rFonts w:ascii="Arial" w:hAnsi="Arial" w:cs="Arial"/>
          <w:sz w:val="24"/>
          <w:szCs w:val="24"/>
        </w:rPr>
        <w:tab/>
      </w:r>
      <w:r w:rsidR="00D1411E" w:rsidRPr="009025AF">
        <w:rPr>
          <w:rFonts w:ascii="Arial" w:hAnsi="Arial" w:cs="Arial"/>
          <w:sz w:val="24"/>
          <w:szCs w:val="24"/>
        </w:rPr>
        <w:t xml:space="preserve"> </w:t>
      </w:r>
      <w:r w:rsidR="000704C7">
        <w:rPr>
          <w:rFonts w:ascii="Arial" w:hAnsi="Arial" w:cs="Arial"/>
          <w:sz w:val="24"/>
          <w:szCs w:val="24"/>
        </w:rPr>
        <w:t xml:space="preserve">The following order is issued: </w:t>
      </w:r>
    </w:p>
    <w:p w14:paraId="1D1CA880" w14:textId="77777777" w:rsidR="000704C7" w:rsidRDefault="000704C7" w:rsidP="00B05C8E">
      <w:pPr>
        <w:rPr>
          <w:rFonts w:ascii="Arial" w:hAnsi="Arial" w:cs="Arial"/>
          <w:sz w:val="24"/>
          <w:szCs w:val="24"/>
        </w:rPr>
      </w:pPr>
    </w:p>
    <w:p w14:paraId="6F79088B" w14:textId="49F2EF6A" w:rsidR="000704C7" w:rsidRDefault="000704C7" w:rsidP="00B05C8E">
      <w:pPr>
        <w:rPr>
          <w:rFonts w:ascii="Arial" w:hAnsi="Arial" w:cs="Arial"/>
          <w:sz w:val="24"/>
          <w:szCs w:val="24"/>
        </w:rPr>
      </w:pPr>
      <w:r>
        <w:rPr>
          <w:rFonts w:ascii="Arial" w:hAnsi="Arial" w:cs="Arial"/>
          <w:sz w:val="24"/>
          <w:szCs w:val="24"/>
        </w:rPr>
        <w:t>1</w:t>
      </w:r>
      <w:r>
        <w:rPr>
          <w:rFonts w:ascii="Arial" w:hAnsi="Arial" w:cs="Arial"/>
          <w:sz w:val="24"/>
          <w:szCs w:val="24"/>
        </w:rPr>
        <w:tab/>
        <w:t xml:space="preserve">The appeal is dismissed. </w:t>
      </w:r>
    </w:p>
    <w:p w14:paraId="479F6BAF" w14:textId="201EDFCB" w:rsidR="000704C7" w:rsidRPr="009025AF" w:rsidRDefault="000704C7" w:rsidP="00BD5065">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The registrar of this court is directed to bring this judgment to the attention of the Cabinet members responsible for the administration of justice and state security. </w:t>
      </w:r>
    </w:p>
    <w:p w14:paraId="1D77D8D9" w14:textId="77777777" w:rsidR="00AD7CE5" w:rsidRPr="009025AF" w:rsidRDefault="00AD7CE5" w:rsidP="00B05C8E">
      <w:pPr>
        <w:rPr>
          <w:rFonts w:ascii="Arial" w:hAnsi="Arial" w:cs="Arial"/>
          <w:sz w:val="24"/>
          <w:szCs w:val="24"/>
          <w:lang w:val="en-US"/>
        </w:rPr>
      </w:pPr>
    </w:p>
    <w:p w14:paraId="366C2AF3" w14:textId="77777777" w:rsidR="003F72FA" w:rsidRPr="009025AF" w:rsidRDefault="003F72FA" w:rsidP="00B05C8E">
      <w:pPr>
        <w:jc w:val="right"/>
        <w:rPr>
          <w:rFonts w:ascii="Arial" w:hAnsi="Arial" w:cs="Arial"/>
          <w:b/>
          <w:bCs/>
          <w:sz w:val="24"/>
          <w:szCs w:val="24"/>
          <w:lang w:val="en-US"/>
        </w:rPr>
      </w:pPr>
    </w:p>
    <w:p w14:paraId="376E450A" w14:textId="2A00F33E" w:rsidR="003F72FA" w:rsidRPr="009025AF" w:rsidRDefault="003F72FA" w:rsidP="00B05C8E">
      <w:pPr>
        <w:jc w:val="right"/>
        <w:rPr>
          <w:rFonts w:ascii="Arial" w:hAnsi="Arial" w:cs="Arial"/>
          <w:b/>
          <w:bCs/>
          <w:sz w:val="24"/>
          <w:szCs w:val="24"/>
          <w:lang w:val="en-US"/>
        </w:rPr>
      </w:pPr>
    </w:p>
    <w:p w14:paraId="2A216621" w14:textId="12BF7467" w:rsidR="008423D2" w:rsidRPr="009025AF" w:rsidRDefault="00412A78" w:rsidP="00B05C8E">
      <w:pPr>
        <w:jc w:val="right"/>
        <w:rPr>
          <w:rFonts w:ascii="Arial" w:hAnsi="Arial" w:cs="Arial"/>
          <w:bCs/>
          <w:sz w:val="24"/>
          <w:szCs w:val="24"/>
          <w:lang w:val="en-US"/>
        </w:rPr>
      </w:pPr>
      <w:r w:rsidRPr="009025AF">
        <w:rPr>
          <w:rFonts w:ascii="Arial" w:hAnsi="Arial" w:cs="Arial"/>
          <w:bCs/>
          <w:sz w:val="24"/>
          <w:szCs w:val="24"/>
          <w:lang w:val="en-US"/>
        </w:rPr>
        <w:t>________________________</w:t>
      </w:r>
    </w:p>
    <w:p w14:paraId="5E57C8F8" w14:textId="2FEFCC0B" w:rsidR="008423D2" w:rsidRPr="009025AF" w:rsidRDefault="00412A78" w:rsidP="00B05C8E">
      <w:pPr>
        <w:jc w:val="right"/>
        <w:rPr>
          <w:rFonts w:ascii="Arial" w:hAnsi="Arial" w:cs="Arial"/>
          <w:bCs/>
          <w:sz w:val="24"/>
          <w:szCs w:val="24"/>
          <w:lang w:val="en-US"/>
        </w:rPr>
      </w:pPr>
      <w:r w:rsidRPr="009025AF">
        <w:rPr>
          <w:rFonts w:ascii="Arial" w:hAnsi="Arial" w:cs="Arial"/>
          <w:bCs/>
          <w:sz w:val="24"/>
          <w:szCs w:val="24"/>
          <w:lang w:val="en-US"/>
        </w:rPr>
        <w:t>C H G VAN DER MERWE</w:t>
      </w:r>
    </w:p>
    <w:p w14:paraId="68C5A8C9" w14:textId="314FBB91" w:rsidR="008423D2" w:rsidRPr="009025AF" w:rsidRDefault="00412A78" w:rsidP="00B05C8E">
      <w:pPr>
        <w:jc w:val="right"/>
        <w:rPr>
          <w:rFonts w:ascii="Arial" w:hAnsi="Arial" w:cs="Arial"/>
          <w:sz w:val="24"/>
          <w:szCs w:val="24"/>
          <w:lang w:val="en-US"/>
        </w:rPr>
      </w:pPr>
      <w:r w:rsidRPr="009025AF">
        <w:rPr>
          <w:rFonts w:ascii="Arial" w:hAnsi="Arial" w:cs="Arial"/>
          <w:bCs/>
          <w:sz w:val="24"/>
          <w:szCs w:val="24"/>
          <w:lang w:val="en-US"/>
        </w:rPr>
        <w:t>JUDGE OF APPEAL</w:t>
      </w:r>
    </w:p>
    <w:p w14:paraId="01E906EF" w14:textId="77777777" w:rsidR="008423D2" w:rsidRPr="009025AF" w:rsidRDefault="008423D2" w:rsidP="00B05C8E">
      <w:pPr>
        <w:rPr>
          <w:rFonts w:ascii="Arial" w:hAnsi="Arial" w:cs="Arial"/>
          <w:sz w:val="24"/>
          <w:szCs w:val="24"/>
          <w:lang w:val="en-US"/>
        </w:rPr>
      </w:pPr>
    </w:p>
    <w:p w14:paraId="708D4710" w14:textId="77777777" w:rsidR="0015472B" w:rsidRDefault="0015472B" w:rsidP="00B05C8E">
      <w:pPr>
        <w:rPr>
          <w:rFonts w:ascii="Arial" w:hAnsi="Arial" w:cs="Arial"/>
          <w:sz w:val="24"/>
          <w:szCs w:val="24"/>
          <w:lang w:val="en-US"/>
        </w:rPr>
      </w:pPr>
    </w:p>
    <w:p w14:paraId="76EC373B" w14:textId="77777777" w:rsidR="0015472B" w:rsidRDefault="0015472B" w:rsidP="00B05C8E">
      <w:pPr>
        <w:rPr>
          <w:rFonts w:ascii="Arial" w:hAnsi="Arial" w:cs="Arial"/>
          <w:sz w:val="24"/>
          <w:szCs w:val="24"/>
          <w:lang w:val="en-US"/>
        </w:rPr>
      </w:pPr>
    </w:p>
    <w:p w14:paraId="5F0FCD8A" w14:textId="77777777" w:rsidR="0015472B" w:rsidRDefault="0015472B" w:rsidP="00B05C8E">
      <w:pPr>
        <w:rPr>
          <w:rFonts w:ascii="Arial" w:hAnsi="Arial" w:cs="Arial"/>
          <w:sz w:val="24"/>
          <w:szCs w:val="24"/>
          <w:lang w:val="en-US"/>
        </w:rPr>
      </w:pPr>
    </w:p>
    <w:p w14:paraId="7C4D11C1" w14:textId="77777777" w:rsidR="0015472B" w:rsidRDefault="0015472B" w:rsidP="00B05C8E">
      <w:pPr>
        <w:rPr>
          <w:rFonts w:ascii="Arial" w:hAnsi="Arial" w:cs="Arial"/>
          <w:sz w:val="24"/>
          <w:szCs w:val="24"/>
          <w:lang w:val="en-US"/>
        </w:rPr>
      </w:pPr>
    </w:p>
    <w:p w14:paraId="2B480FBB" w14:textId="2B8C26A5" w:rsidR="008423D2" w:rsidRPr="009025AF" w:rsidRDefault="008423D2" w:rsidP="00B05C8E">
      <w:pPr>
        <w:rPr>
          <w:rFonts w:ascii="Arial" w:hAnsi="Arial" w:cs="Arial"/>
          <w:sz w:val="24"/>
          <w:szCs w:val="24"/>
          <w:lang w:val="en-US"/>
        </w:rPr>
      </w:pPr>
      <w:r w:rsidRPr="009025AF">
        <w:rPr>
          <w:rFonts w:ascii="Arial" w:hAnsi="Arial" w:cs="Arial"/>
          <w:sz w:val="24"/>
          <w:szCs w:val="24"/>
          <w:lang w:val="en-US"/>
        </w:rPr>
        <w:lastRenderedPageBreak/>
        <w:t>A</w:t>
      </w:r>
      <w:r w:rsidR="00412A78" w:rsidRPr="009025AF">
        <w:rPr>
          <w:rFonts w:ascii="Arial" w:hAnsi="Arial" w:cs="Arial"/>
          <w:sz w:val="24"/>
          <w:szCs w:val="24"/>
          <w:lang w:val="en-US"/>
        </w:rPr>
        <w:t>ppearances</w:t>
      </w:r>
    </w:p>
    <w:p w14:paraId="06903BBC" w14:textId="77777777" w:rsidR="008423D2" w:rsidRPr="009025AF" w:rsidRDefault="008423D2" w:rsidP="00B05C8E">
      <w:pPr>
        <w:rPr>
          <w:rFonts w:ascii="Arial" w:hAnsi="Arial" w:cs="Arial"/>
          <w:sz w:val="24"/>
          <w:szCs w:val="24"/>
          <w:lang w:val="en-US"/>
        </w:rPr>
      </w:pPr>
    </w:p>
    <w:p w14:paraId="66505F5E" w14:textId="53D4F8C8" w:rsidR="008423D2" w:rsidRPr="009025AF" w:rsidRDefault="008423D2" w:rsidP="00256F50">
      <w:pPr>
        <w:ind w:left="5040" w:hanging="5040"/>
        <w:rPr>
          <w:rFonts w:ascii="Arial" w:hAnsi="Arial" w:cs="Arial"/>
          <w:sz w:val="24"/>
          <w:szCs w:val="24"/>
          <w:lang w:val="en-US"/>
        </w:rPr>
      </w:pPr>
      <w:r w:rsidRPr="009025AF">
        <w:rPr>
          <w:rFonts w:ascii="Arial" w:hAnsi="Arial" w:cs="Arial"/>
          <w:sz w:val="24"/>
          <w:szCs w:val="24"/>
          <w:lang w:val="en-US"/>
        </w:rPr>
        <w:t xml:space="preserve">For </w:t>
      </w:r>
      <w:r w:rsidR="00074E74" w:rsidRPr="009025AF">
        <w:rPr>
          <w:rFonts w:ascii="Arial" w:hAnsi="Arial" w:cs="Arial"/>
          <w:sz w:val="24"/>
          <w:szCs w:val="24"/>
          <w:lang w:val="en-US"/>
        </w:rPr>
        <w:t>appellant</w:t>
      </w:r>
      <w:r w:rsidR="009025AF">
        <w:rPr>
          <w:rFonts w:ascii="Arial" w:hAnsi="Arial" w:cs="Arial"/>
          <w:sz w:val="24"/>
          <w:szCs w:val="24"/>
          <w:lang w:val="en-US"/>
        </w:rPr>
        <w:t>:</w:t>
      </w:r>
      <w:r w:rsidR="009025AF">
        <w:rPr>
          <w:rFonts w:ascii="Arial" w:hAnsi="Arial" w:cs="Arial"/>
          <w:sz w:val="24"/>
          <w:szCs w:val="24"/>
          <w:lang w:val="en-US"/>
        </w:rPr>
        <w:tab/>
        <w:t>F</w:t>
      </w:r>
      <w:r w:rsidR="00C8086E">
        <w:rPr>
          <w:rFonts w:ascii="Arial" w:hAnsi="Arial" w:cs="Arial"/>
          <w:sz w:val="24"/>
          <w:szCs w:val="24"/>
          <w:lang w:val="en-US"/>
        </w:rPr>
        <w:t xml:space="preserve"> </w:t>
      </w:r>
      <w:r w:rsidR="009025AF">
        <w:rPr>
          <w:rFonts w:ascii="Arial" w:hAnsi="Arial" w:cs="Arial"/>
          <w:sz w:val="24"/>
          <w:szCs w:val="24"/>
          <w:lang w:val="en-US"/>
        </w:rPr>
        <w:t>W Botes</w:t>
      </w:r>
      <w:r w:rsidR="00256F50" w:rsidRPr="009025AF">
        <w:rPr>
          <w:rFonts w:ascii="Arial" w:hAnsi="Arial" w:cs="Arial"/>
          <w:sz w:val="24"/>
          <w:szCs w:val="24"/>
          <w:lang w:val="en-US"/>
        </w:rPr>
        <w:t xml:space="preserve"> SC</w:t>
      </w:r>
      <w:r w:rsidR="00191673" w:rsidRPr="009025AF">
        <w:rPr>
          <w:rFonts w:ascii="Arial" w:hAnsi="Arial" w:cs="Arial"/>
          <w:sz w:val="24"/>
          <w:szCs w:val="24"/>
          <w:lang w:val="en-US"/>
        </w:rPr>
        <w:t xml:space="preserve"> with</w:t>
      </w:r>
      <w:r w:rsidR="00256F50" w:rsidRPr="009025AF">
        <w:rPr>
          <w:rFonts w:ascii="Arial" w:hAnsi="Arial" w:cs="Arial"/>
          <w:sz w:val="24"/>
          <w:szCs w:val="24"/>
          <w:lang w:val="en-US"/>
        </w:rPr>
        <w:t xml:space="preserve"> </w:t>
      </w:r>
      <w:r w:rsidR="009025AF">
        <w:rPr>
          <w:rFonts w:ascii="Arial" w:hAnsi="Arial" w:cs="Arial"/>
          <w:sz w:val="24"/>
          <w:szCs w:val="24"/>
          <w:lang w:val="en-US"/>
        </w:rPr>
        <w:t>A</w:t>
      </w:r>
      <w:r w:rsidR="00C8086E">
        <w:rPr>
          <w:rFonts w:ascii="Arial" w:hAnsi="Arial" w:cs="Arial"/>
          <w:sz w:val="24"/>
          <w:szCs w:val="24"/>
          <w:lang w:val="en-US"/>
        </w:rPr>
        <w:t xml:space="preserve"> </w:t>
      </w:r>
      <w:r w:rsidR="009025AF">
        <w:rPr>
          <w:rFonts w:ascii="Arial" w:hAnsi="Arial" w:cs="Arial"/>
          <w:sz w:val="24"/>
          <w:szCs w:val="24"/>
          <w:lang w:val="en-US"/>
        </w:rPr>
        <w:t>S</w:t>
      </w:r>
      <w:r w:rsidR="00C8086E">
        <w:rPr>
          <w:rFonts w:ascii="Arial" w:hAnsi="Arial" w:cs="Arial"/>
          <w:sz w:val="24"/>
          <w:szCs w:val="24"/>
          <w:lang w:val="en-US"/>
        </w:rPr>
        <w:t xml:space="preserve"> </w:t>
      </w:r>
      <w:r w:rsidR="009025AF">
        <w:rPr>
          <w:rFonts w:ascii="Arial" w:hAnsi="Arial" w:cs="Arial"/>
          <w:sz w:val="24"/>
          <w:szCs w:val="24"/>
          <w:lang w:val="en-US"/>
        </w:rPr>
        <w:t>L van Wyk</w:t>
      </w:r>
    </w:p>
    <w:p w14:paraId="346786F5" w14:textId="4D7150F7" w:rsidR="008423D2" w:rsidRPr="009025AF" w:rsidRDefault="008423D2" w:rsidP="00B05C8E">
      <w:pPr>
        <w:ind w:left="5040" w:hanging="5040"/>
        <w:rPr>
          <w:rFonts w:ascii="Arial" w:hAnsi="Arial" w:cs="Arial"/>
          <w:sz w:val="24"/>
          <w:szCs w:val="24"/>
          <w:lang w:val="en-US"/>
        </w:rPr>
      </w:pPr>
      <w:r w:rsidRPr="009025AF">
        <w:rPr>
          <w:rFonts w:ascii="Arial" w:hAnsi="Arial" w:cs="Arial"/>
          <w:sz w:val="24"/>
          <w:szCs w:val="24"/>
          <w:lang w:val="en-US"/>
        </w:rPr>
        <w:t>Instructed by:</w:t>
      </w:r>
      <w:r w:rsidRPr="009025AF">
        <w:rPr>
          <w:rFonts w:ascii="Arial" w:hAnsi="Arial" w:cs="Arial"/>
          <w:sz w:val="24"/>
          <w:szCs w:val="24"/>
          <w:lang w:val="en-US"/>
        </w:rPr>
        <w:tab/>
      </w:r>
      <w:r w:rsidR="008B49E5">
        <w:rPr>
          <w:rFonts w:ascii="Arial" w:hAnsi="Arial" w:cs="Arial"/>
          <w:sz w:val="24"/>
          <w:szCs w:val="24"/>
          <w:lang w:val="en-US"/>
        </w:rPr>
        <w:t>Hefferman Attorneys</w:t>
      </w:r>
      <w:r w:rsidRPr="009025AF">
        <w:rPr>
          <w:rFonts w:ascii="Arial" w:hAnsi="Arial" w:cs="Arial"/>
          <w:sz w:val="24"/>
          <w:szCs w:val="24"/>
          <w:lang w:val="en-US"/>
        </w:rPr>
        <w:t>,</w:t>
      </w:r>
      <w:r w:rsidR="00CC2E0B" w:rsidRPr="009025AF">
        <w:rPr>
          <w:rFonts w:ascii="Arial" w:hAnsi="Arial" w:cs="Arial"/>
          <w:sz w:val="24"/>
          <w:szCs w:val="24"/>
          <w:lang w:val="en-US"/>
        </w:rPr>
        <w:t xml:space="preserve"> </w:t>
      </w:r>
      <w:r w:rsidR="008B49E5">
        <w:rPr>
          <w:rFonts w:ascii="Arial" w:hAnsi="Arial" w:cs="Arial"/>
          <w:sz w:val="24"/>
          <w:szCs w:val="24"/>
          <w:lang w:val="en-US"/>
        </w:rPr>
        <w:t>Pretoria</w:t>
      </w:r>
      <w:r w:rsidRPr="009025AF">
        <w:rPr>
          <w:rFonts w:ascii="Arial" w:hAnsi="Arial" w:cs="Arial"/>
          <w:sz w:val="24"/>
          <w:szCs w:val="24"/>
          <w:lang w:val="en-US"/>
        </w:rPr>
        <w:t xml:space="preserve"> </w:t>
      </w:r>
    </w:p>
    <w:p w14:paraId="02B13315" w14:textId="680B7F7B" w:rsidR="008423D2" w:rsidRPr="009025AF" w:rsidRDefault="008423D2" w:rsidP="00B05C8E">
      <w:pPr>
        <w:ind w:left="5040" w:hanging="5040"/>
        <w:rPr>
          <w:rFonts w:ascii="Arial" w:hAnsi="Arial" w:cs="Arial"/>
          <w:sz w:val="24"/>
          <w:szCs w:val="24"/>
          <w:lang w:val="en-US"/>
        </w:rPr>
      </w:pPr>
      <w:r w:rsidRPr="009025AF">
        <w:rPr>
          <w:rFonts w:ascii="Arial" w:hAnsi="Arial" w:cs="Arial"/>
          <w:sz w:val="24"/>
          <w:szCs w:val="24"/>
          <w:lang w:val="en-US"/>
        </w:rPr>
        <w:tab/>
      </w:r>
      <w:r w:rsidR="002F4912">
        <w:rPr>
          <w:rFonts w:ascii="Arial" w:hAnsi="Arial" w:cs="Arial"/>
          <w:sz w:val="24"/>
          <w:szCs w:val="24"/>
          <w:lang w:val="en-US"/>
        </w:rPr>
        <w:t xml:space="preserve">Webbers </w:t>
      </w:r>
      <w:r w:rsidR="00CC2E0B" w:rsidRPr="009025AF">
        <w:rPr>
          <w:rFonts w:ascii="Arial" w:hAnsi="Arial" w:cs="Arial"/>
          <w:sz w:val="24"/>
          <w:szCs w:val="24"/>
          <w:lang w:val="en-US"/>
        </w:rPr>
        <w:t>Attorneys</w:t>
      </w:r>
      <w:r w:rsidR="00074E74" w:rsidRPr="009025AF">
        <w:rPr>
          <w:rFonts w:ascii="Arial" w:hAnsi="Arial" w:cs="Arial"/>
          <w:sz w:val="24"/>
          <w:szCs w:val="24"/>
          <w:lang w:val="en-US"/>
        </w:rPr>
        <w:t>,</w:t>
      </w:r>
      <w:r w:rsidR="00CC2E0B" w:rsidRPr="009025AF">
        <w:rPr>
          <w:rFonts w:ascii="Arial" w:hAnsi="Arial" w:cs="Arial"/>
          <w:sz w:val="24"/>
          <w:szCs w:val="24"/>
          <w:lang w:val="en-US"/>
        </w:rPr>
        <w:t xml:space="preserve"> Bloemfontein</w:t>
      </w:r>
      <w:r w:rsidRPr="009025AF">
        <w:rPr>
          <w:rFonts w:ascii="Arial" w:hAnsi="Arial" w:cs="Arial"/>
          <w:sz w:val="24"/>
          <w:szCs w:val="24"/>
          <w:lang w:val="en-US"/>
        </w:rPr>
        <w:t xml:space="preserve"> </w:t>
      </w:r>
    </w:p>
    <w:p w14:paraId="3A67D3A6" w14:textId="77777777" w:rsidR="00074E74" w:rsidRPr="009025AF" w:rsidRDefault="00074E74" w:rsidP="00B05C8E">
      <w:pPr>
        <w:ind w:left="5040" w:hanging="5040"/>
        <w:rPr>
          <w:rFonts w:ascii="Arial" w:hAnsi="Arial" w:cs="Arial"/>
          <w:sz w:val="24"/>
          <w:szCs w:val="24"/>
          <w:lang w:val="en-US"/>
        </w:rPr>
      </w:pPr>
    </w:p>
    <w:p w14:paraId="6FFE7B5E" w14:textId="20C01D52" w:rsidR="003C6B32" w:rsidRPr="009025AF" w:rsidRDefault="00074E74" w:rsidP="00B05C8E">
      <w:pPr>
        <w:ind w:left="5040" w:hanging="5040"/>
        <w:rPr>
          <w:rFonts w:ascii="Arial" w:hAnsi="Arial" w:cs="Arial"/>
          <w:sz w:val="24"/>
          <w:szCs w:val="24"/>
          <w:lang w:val="en-US"/>
        </w:rPr>
      </w:pPr>
      <w:r w:rsidRPr="009025AF">
        <w:rPr>
          <w:rFonts w:ascii="Arial" w:hAnsi="Arial" w:cs="Arial"/>
          <w:sz w:val="24"/>
          <w:szCs w:val="24"/>
          <w:lang w:val="en-US"/>
        </w:rPr>
        <w:t>For</w:t>
      </w:r>
      <w:r w:rsidR="005D4627">
        <w:rPr>
          <w:rFonts w:ascii="Arial" w:hAnsi="Arial" w:cs="Arial"/>
          <w:sz w:val="24"/>
          <w:szCs w:val="24"/>
          <w:lang w:val="en-US"/>
        </w:rPr>
        <w:t xml:space="preserve"> </w:t>
      </w:r>
      <w:r w:rsidR="0030426C">
        <w:rPr>
          <w:rFonts w:ascii="Arial" w:hAnsi="Arial" w:cs="Arial"/>
          <w:sz w:val="24"/>
          <w:szCs w:val="24"/>
          <w:lang w:val="en-US"/>
        </w:rPr>
        <w:t>1</w:t>
      </w:r>
      <w:r w:rsidR="0030426C" w:rsidRPr="0030426C">
        <w:rPr>
          <w:rFonts w:ascii="Arial" w:hAnsi="Arial" w:cs="Arial"/>
          <w:sz w:val="24"/>
          <w:szCs w:val="24"/>
          <w:vertAlign w:val="superscript"/>
          <w:lang w:val="en-US"/>
        </w:rPr>
        <w:t>st</w:t>
      </w:r>
      <w:r w:rsidR="0030426C">
        <w:rPr>
          <w:rFonts w:ascii="Arial" w:hAnsi="Arial" w:cs="Arial"/>
          <w:sz w:val="24"/>
          <w:szCs w:val="24"/>
          <w:lang w:val="en-US"/>
        </w:rPr>
        <w:t xml:space="preserve"> respondent</w:t>
      </w:r>
      <w:r w:rsidRPr="009025AF">
        <w:rPr>
          <w:rFonts w:ascii="Arial" w:hAnsi="Arial" w:cs="Arial"/>
          <w:sz w:val="24"/>
          <w:szCs w:val="24"/>
          <w:lang w:val="en-US"/>
        </w:rPr>
        <w:t>:</w:t>
      </w:r>
      <w:r w:rsidRPr="009025AF">
        <w:rPr>
          <w:rFonts w:ascii="Arial" w:hAnsi="Arial" w:cs="Arial"/>
          <w:sz w:val="24"/>
          <w:szCs w:val="24"/>
          <w:lang w:val="en-US"/>
        </w:rPr>
        <w:tab/>
      </w:r>
      <w:r w:rsidR="00C8086E">
        <w:rPr>
          <w:rFonts w:ascii="Arial" w:hAnsi="Arial" w:cs="Arial"/>
          <w:sz w:val="24"/>
          <w:szCs w:val="24"/>
          <w:lang w:val="en-US"/>
        </w:rPr>
        <w:t>S Budlender</w:t>
      </w:r>
      <w:r w:rsidR="00256F50" w:rsidRPr="009025AF">
        <w:rPr>
          <w:rFonts w:ascii="Arial" w:hAnsi="Arial" w:cs="Arial"/>
          <w:sz w:val="24"/>
          <w:szCs w:val="24"/>
          <w:lang w:val="en-US"/>
        </w:rPr>
        <w:t xml:space="preserve"> </w:t>
      </w:r>
      <w:r w:rsidR="00EB3142" w:rsidRPr="009025AF">
        <w:rPr>
          <w:rFonts w:ascii="Arial" w:hAnsi="Arial" w:cs="Arial"/>
          <w:sz w:val="24"/>
          <w:szCs w:val="24"/>
          <w:lang w:val="en-US"/>
        </w:rPr>
        <w:t xml:space="preserve">SC </w:t>
      </w:r>
      <w:r w:rsidR="006D42D1" w:rsidRPr="009025AF">
        <w:rPr>
          <w:rFonts w:ascii="Arial" w:hAnsi="Arial" w:cs="Arial"/>
          <w:sz w:val="24"/>
          <w:szCs w:val="24"/>
          <w:lang w:val="en-US"/>
        </w:rPr>
        <w:t>with</w:t>
      </w:r>
      <w:r w:rsidR="00256F50" w:rsidRPr="009025AF">
        <w:rPr>
          <w:rFonts w:ascii="Arial" w:hAnsi="Arial" w:cs="Arial"/>
          <w:sz w:val="24"/>
          <w:szCs w:val="24"/>
          <w:lang w:val="en-US"/>
        </w:rPr>
        <w:t xml:space="preserve"> </w:t>
      </w:r>
      <w:r w:rsidR="00C8086E">
        <w:rPr>
          <w:rFonts w:ascii="Arial" w:hAnsi="Arial" w:cs="Arial"/>
          <w:sz w:val="24"/>
          <w:szCs w:val="24"/>
          <w:lang w:val="en-US"/>
        </w:rPr>
        <w:t>H P Pretorius and K A R</w:t>
      </w:r>
      <w:r w:rsidR="005D4627">
        <w:rPr>
          <w:rFonts w:ascii="Arial" w:hAnsi="Arial" w:cs="Arial"/>
          <w:sz w:val="24"/>
          <w:szCs w:val="24"/>
          <w:lang w:val="en-US"/>
        </w:rPr>
        <w:t xml:space="preserve"> Thobakgale</w:t>
      </w:r>
    </w:p>
    <w:p w14:paraId="388D8934" w14:textId="77777777" w:rsidR="005D4627" w:rsidRDefault="005D4627" w:rsidP="00B05C8E">
      <w:pPr>
        <w:ind w:left="5040" w:hanging="5040"/>
        <w:rPr>
          <w:rFonts w:ascii="Arial" w:hAnsi="Arial" w:cs="Arial"/>
          <w:sz w:val="24"/>
          <w:szCs w:val="24"/>
          <w:lang w:val="en-US"/>
        </w:rPr>
      </w:pPr>
    </w:p>
    <w:p w14:paraId="709D11D9" w14:textId="30646B8B" w:rsidR="00074E74" w:rsidRPr="009025AF" w:rsidRDefault="00074E74" w:rsidP="00B05C8E">
      <w:pPr>
        <w:ind w:left="5040" w:hanging="5040"/>
        <w:rPr>
          <w:rFonts w:ascii="Arial" w:hAnsi="Arial" w:cs="Arial"/>
          <w:sz w:val="24"/>
          <w:szCs w:val="24"/>
          <w:lang w:val="en-US"/>
        </w:rPr>
      </w:pPr>
      <w:r w:rsidRPr="009025AF">
        <w:rPr>
          <w:rFonts w:ascii="Arial" w:hAnsi="Arial" w:cs="Arial"/>
          <w:sz w:val="24"/>
          <w:szCs w:val="24"/>
          <w:lang w:val="en-US"/>
        </w:rPr>
        <w:t>Instructed by:</w:t>
      </w:r>
      <w:r w:rsidRPr="009025AF">
        <w:rPr>
          <w:rFonts w:ascii="Arial" w:hAnsi="Arial" w:cs="Arial"/>
          <w:sz w:val="24"/>
          <w:szCs w:val="24"/>
          <w:lang w:val="en-US"/>
        </w:rPr>
        <w:tab/>
      </w:r>
      <w:r w:rsidR="002F4912">
        <w:rPr>
          <w:rFonts w:ascii="Arial" w:hAnsi="Arial" w:cs="Arial"/>
          <w:sz w:val="24"/>
          <w:szCs w:val="24"/>
          <w:lang w:val="en-US"/>
        </w:rPr>
        <w:t>Adams &amp; Adams Attorneys</w:t>
      </w:r>
      <w:r w:rsidRPr="009025AF">
        <w:rPr>
          <w:rFonts w:ascii="Arial" w:hAnsi="Arial" w:cs="Arial"/>
          <w:sz w:val="24"/>
          <w:szCs w:val="24"/>
          <w:lang w:val="en-US"/>
        </w:rPr>
        <w:t xml:space="preserve">, </w:t>
      </w:r>
      <w:r w:rsidR="002F4912">
        <w:rPr>
          <w:rFonts w:ascii="Arial" w:hAnsi="Arial" w:cs="Arial"/>
          <w:sz w:val="24"/>
          <w:szCs w:val="24"/>
          <w:lang w:val="en-US"/>
        </w:rPr>
        <w:t>Pretoria</w:t>
      </w:r>
    </w:p>
    <w:p w14:paraId="54C294BD" w14:textId="6B6B26EC" w:rsidR="00074E74" w:rsidRPr="009025AF" w:rsidRDefault="00074E74" w:rsidP="00B05C8E">
      <w:pPr>
        <w:ind w:left="5040" w:hanging="5040"/>
        <w:rPr>
          <w:rFonts w:ascii="Arial" w:hAnsi="Arial" w:cs="Arial"/>
          <w:sz w:val="24"/>
          <w:szCs w:val="24"/>
          <w:lang w:val="en-US"/>
        </w:rPr>
      </w:pPr>
      <w:r w:rsidRPr="009025AF">
        <w:rPr>
          <w:rFonts w:ascii="Arial" w:hAnsi="Arial" w:cs="Arial"/>
          <w:sz w:val="24"/>
          <w:szCs w:val="24"/>
          <w:lang w:val="en-US"/>
        </w:rPr>
        <w:tab/>
      </w:r>
      <w:r w:rsidR="002F4912">
        <w:rPr>
          <w:rFonts w:ascii="Arial" w:hAnsi="Arial" w:cs="Arial"/>
          <w:sz w:val="24"/>
          <w:szCs w:val="24"/>
          <w:lang w:val="en-US"/>
        </w:rPr>
        <w:t>Phatshoane Henney Attorneys</w:t>
      </w:r>
      <w:r w:rsidRPr="009025AF">
        <w:rPr>
          <w:rFonts w:ascii="Arial" w:hAnsi="Arial" w:cs="Arial"/>
          <w:sz w:val="24"/>
          <w:szCs w:val="24"/>
          <w:lang w:val="en-US"/>
        </w:rPr>
        <w:t>, Bloemfontein</w:t>
      </w:r>
    </w:p>
    <w:p w14:paraId="3D505D5F" w14:textId="77777777" w:rsidR="00DD4344" w:rsidRPr="009025AF" w:rsidRDefault="00DD4344" w:rsidP="001A0CAA">
      <w:pPr>
        <w:rPr>
          <w:rFonts w:ascii="Arial" w:hAnsi="Arial" w:cs="Arial"/>
          <w:sz w:val="24"/>
          <w:szCs w:val="24"/>
          <w:lang w:val="en-US"/>
        </w:rPr>
      </w:pPr>
    </w:p>
    <w:p w14:paraId="485D6BA3" w14:textId="3F154356" w:rsidR="008423D2" w:rsidRDefault="008423D2" w:rsidP="001A0CAA">
      <w:pPr>
        <w:rPr>
          <w:rFonts w:ascii="Arial" w:hAnsi="Arial" w:cs="Arial"/>
          <w:sz w:val="24"/>
          <w:szCs w:val="24"/>
          <w:lang w:val="en-US"/>
        </w:rPr>
      </w:pPr>
    </w:p>
    <w:sectPr w:rsidR="008423D2" w:rsidSect="0015472B">
      <w:headerReference w:type="default" r:id="rId9"/>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7B2C6" w14:textId="77777777" w:rsidR="00D26BB2" w:rsidRDefault="00D26BB2" w:rsidP="007C4A7C">
      <w:pPr>
        <w:spacing w:line="240" w:lineRule="auto"/>
      </w:pPr>
      <w:r>
        <w:separator/>
      </w:r>
    </w:p>
  </w:endnote>
  <w:endnote w:type="continuationSeparator" w:id="0">
    <w:p w14:paraId="76761E7C" w14:textId="77777777" w:rsidR="00D26BB2" w:rsidRDefault="00D26BB2" w:rsidP="007C4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A3F68" w14:textId="77777777" w:rsidR="00D26BB2" w:rsidRDefault="00D26BB2" w:rsidP="007C4A7C">
      <w:pPr>
        <w:spacing w:line="240" w:lineRule="auto"/>
      </w:pPr>
      <w:r>
        <w:separator/>
      </w:r>
    </w:p>
  </w:footnote>
  <w:footnote w:type="continuationSeparator" w:id="0">
    <w:p w14:paraId="3BD459B5" w14:textId="77777777" w:rsidR="00D26BB2" w:rsidRDefault="00D26BB2" w:rsidP="007C4A7C">
      <w:pPr>
        <w:spacing w:line="240" w:lineRule="auto"/>
      </w:pPr>
      <w:r>
        <w:continuationSeparator/>
      </w:r>
    </w:p>
  </w:footnote>
  <w:footnote w:id="1">
    <w:p w14:paraId="3155FBFD" w14:textId="3B6EFD59" w:rsidR="0062095F" w:rsidRPr="0061728F" w:rsidRDefault="0062095F">
      <w:pPr>
        <w:pStyle w:val="FootnoteText"/>
        <w:rPr>
          <w:rFonts w:ascii="Arial" w:hAnsi="Arial" w:cs="Arial"/>
        </w:rPr>
      </w:pPr>
      <w:r w:rsidRPr="0061728F">
        <w:rPr>
          <w:rStyle w:val="FootnoteReference"/>
          <w:rFonts w:ascii="Arial" w:hAnsi="Arial" w:cs="Arial"/>
        </w:rPr>
        <w:footnoteRef/>
      </w:r>
      <w:r w:rsidRPr="0061728F">
        <w:rPr>
          <w:rFonts w:ascii="Arial" w:hAnsi="Arial" w:cs="Arial"/>
        </w:rPr>
        <w:t xml:space="preserve"> The Regulation of Interception of Communications and Provision of Communication-Related Information Amendment Act 48 of 2008. </w:t>
      </w:r>
    </w:p>
  </w:footnote>
  <w:footnote w:id="2">
    <w:p w14:paraId="272F7F1E" w14:textId="0BEFB644" w:rsidR="0062095F" w:rsidRPr="00E62400" w:rsidRDefault="0062095F">
      <w:pPr>
        <w:pStyle w:val="FootnoteText"/>
        <w:rPr>
          <w:rFonts w:ascii="Arial" w:hAnsi="Arial" w:cs="Arial"/>
        </w:rPr>
      </w:pPr>
      <w:r w:rsidRPr="00E62400">
        <w:rPr>
          <w:rStyle w:val="FootnoteReference"/>
          <w:rFonts w:ascii="Arial" w:hAnsi="Arial" w:cs="Arial"/>
        </w:rPr>
        <w:footnoteRef/>
      </w:r>
      <w:r w:rsidRPr="00E62400">
        <w:rPr>
          <w:rFonts w:ascii="Arial" w:hAnsi="Arial" w:cs="Arial"/>
        </w:rPr>
        <w:t xml:space="preserve"> </w:t>
      </w:r>
      <w:r w:rsidR="007C5E13">
        <w:rPr>
          <w:rFonts w:ascii="Arial" w:hAnsi="Arial" w:cs="Arial"/>
        </w:rPr>
        <w:t>‘</w:t>
      </w:r>
      <w:r w:rsidRPr="00E62400">
        <w:rPr>
          <w:rFonts w:ascii="Arial" w:hAnsi="Arial" w:cs="Arial"/>
        </w:rPr>
        <w:t>Minister</w:t>
      </w:r>
      <w:r w:rsidR="007C5E13">
        <w:rPr>
          <w:rFonts w:ascii="Arial" w:hAnsi="Arial" w:cs="Arial"/>
        </w:rPr>
        <w:t>’</w:t>
      </w:r>
      <w:r w:rsidRPr="00E62400">
        <w:rPr>
          <w:rFonts w:ascii="Arial" w:hAnsi="Arial" w:cs="Arial"/>
        </w:rPr>
        <w:t xml:space="preserve"> is defined in RICA as the Cabinet member responsible for the administration of justice, except in Chapter 6 where it means the </w:t>
      </w:r>
      <w:r>
        <w:rPr>
          <w:rFonts w:ascii="Arial" w:hAnsi="Arial" w:cs="Arial"/>
        </w:rPr>
        <w:t>C</w:t>
      </w:r>
      <w:r w:rsidRPr="00E62400">
        <w:rPr>
          <w:rFonts w:ascii="Arial" w:hAnsi="Arial" w:cs="Arial"/>
        </w:rPr>
        <w:t xml:space="preserve">abinet member responsible for state security. </w:t>
      </w:r>
    </w:p>
  </w:footnote>
  <w:footnote w:id="3">
    <w:p w14:paraId="04FD7348" w14:textId="5F30B3B6" w:rsidR="007C5E13" w:rsidRPr="00BD5065" w:rsidRDefault="0062095F" w:rsidP="000877C6">
      <w:pPr>
        <w:pStyle w:val="FootnoteText"/>
        <w:rPr>
          <w:rFonts w:ascii="Arial" w:hAnsi="Arial" w:cs="Arial"/>
          <w:color w:val="FF0000"/>
        </w:rPr>
      </w:pPr>
      <w:r w:rsidRPr="000877C6">
        <w:rPr>
          <w:rStyle w:val="FootnoteReference"/>
          <w:rFonts w:ascii="Arial" w:hAnsi="Arial" w:cs="Arial"/>
        </w:rPr>
        <w:footnoteRef/>
      </w:r>
      <w:r w:rsidRPr="000877C6">
        <w:rPr>
          <w:rFonts w:ascii="Arial" w:hAnsi="Arial" w:cs="Arial"/>
        </w:rPr>
        <w:t xml:space="preserve"> </w:t>
      </w:r>
      <w:r w:rsidR="007C5E13">
        <w:rPr>
          <w:rFonts w:ascii="Arial" w:hAnsi="Arial" w:cs="Arial"/>
        </w:rPr>
        <w:t xml:space="preserve">Section 39(1) reads: </w:t>
      </w:r>
    </w:p>
    <w:p w14:paraId="5F41E1AE" w14:textId="0A3C3341" w:rsidR="0062095F" w:rsidRPr="000877C6" w:rsidRDefault="0086577F" w:rsidP="000877C6">
      <w:pPr>
        <w:pStyle w:val="FootnoteText"/>
        <w:rPr>
          <w:rFonts w:ascii="Arial" w:hAnsi="Arial" w:cs="Arial"/>
        </w:rPr>
      </w:pPr>
      <w:r>
        <w:rPr>
          <w:rFonts w:ascii="Arial" w:hAnsi="Arial" w:cs="Arial"/>
        </w:rPr>
        <w:t>‘</w:t>
      </w:r>
      <w:r w:rsidR="0062095F" w:rsidRPr="000877C6">
        <w:rPr>
          <w:rFonts w:ascii="Arial" w:hAnsi="Arial" w:cs="Arial"/>
        </w:rPr>
        <w:t>(1) Before a telecommunication service provider, other than a telecommunication service provider who provides a mobile cellular telecommunication service, enters into a contract with any person for the provision of a telecommunication service to that person, he or she-</w:t>
      </w:r>
    </w:p>
    <w:p w14:paraId="7D7BC180" w14:textId="7F8F312F" w:rsidR="0062095F" w:rsidRPr="000877C6" w:rsidRDefault="0062095F" w:rsidP="00B40671">
      <w:pPr>
        <w:pStyle w:val="FootnoteText"/>
        <w:ind w:left="-284"/>
        <w:rPr>
          <w:rFonts w:ascii="Arial" w:hAnsi="Arial" w:cs="Arial"/>
        </w:rPr>
      </w:pPr>
      <w:r w:rsidRPr="000877C6">
        <w:rPr>
          <w:rFonts w:ascii="Arial" w:hAnsi="Arial" w:cs="Arial"/>
        </w:rPr>
        <w:t xml:space="preserve">   </w:t>
      </w:r>
      <w:r w:rsidR="00334547">
        <w:rPr>
          <w:rFonts w:ascii="Arial" w:hAnsi="Arial" w:cs="Arial"/>
        </w:rPr>
        <w:tab/>
      </w:r>
      <w:r w:rsidRPr="00BD5065">
        <w:rPr>
          <w:rFonts w:ascii="Arial" w:hAnsi="Arial" w:cs="Arial"/>
          <w:i/>
        </w:rPr>
        <w:t>(a)</w:t>
      </w:r>
      <w:r w:rsidRPr="000877C6">
        <w:rPr>
          <w:rFonts w:ascii="Arial" w:hAnsi="Arial" w:cs="Arial"/>
        </w:rPr>
        <w:t xml:space="preserve">   must, if that person is a natural person-</w:t>
      </w:r>
    </w:p>
    <w:p w14:paraId="0FBB3DEB" w14:textId="59B5A0DD" w:rsidR="0062095F" w:rsidRPr="000877C6" w:rsidRDefault="0062095F" w:rsidP="00B40671">
      <w:pPr>
        <w:pStyle w:val="FootnoteText"/>
        <w:ind w:left="-426"/>
        <w:rPr>
          <w:rFonts w:ascii="Arial" w:hAnsi="Arial" w:cs="Arial"/>
        </w:rPr>
      </w:pPr>
      <w:r w:rsidRPr="000877C6">
        <w:rPr>
          <w:rFonts w:ascii="Arial" w:hAnsi="Arial" w:cs="Arial"/>
        </w:rPr>
        <w:t xml:space="preserve">     </w:t>
      </w:r>
      <w:r w:rsidR="00334547">
        <w:rPr>
          <w:rFonts w:ascii="Arial" w:hAnsi="Arial" w:cs="Arial"/>
        </w:rPr>
        <w:tab/>
      </w:r>
      <w:r w:rsidR="00334547">
        <w:rPr>
          <w:rFonts w:ascii="Arial" w:hAnsi="Arial" w:cs="Arial"/>
        </w:rPr>
        <w:tab/>
      </w:r>
      <w:r w:rsidRPr="000877C6">
        <w:rPr>
          <w:rFonts w:ascii="Arial" w:hAnsi="Arial" w:cs="Arial"/>
        </w:rPr>
        <w:t>(i)   obtain from him or her-</w:t>
      </w:r>
    </w:p>
    <w:p w14:paraId="1D4321F0" w14:textId="5806C6EF" w:rsidR="0062095F" w:rsidRPr="000877C6" w:rsidRDefault="0062095F" w:rsidP="00B40671">
      <w:pPr>
        <w:pStyle w:val="FootnoteText"/>
        <w:ind w:left="709"/>
        <w:rPr>
          <w:rFonts w:ascii="Arial" w:hAnsi="Arial" w:cs="Arial"/>
        </w:rPr>
      </w:pPr>
      <w:r w:rsidRPr="00BD5065">
        <w:rPr>
          <w:rFonts w:ascii="Arial" w:hAnsi="Arial" w:cs="Arial"/>
          <w:i/>
        </w:rPr>
        <w:t>(aa)</w:t>
      </w:r>
      <w:r w:rsidRPr="000877C6">
        <w:rPr>
          <w:rFonts w:ascii="Arial" w:hAnsi="Arial" w:cs="Arial"/>
        </w:rPr>
        <w:t xml:space="preserve">   his or her full names, identity number, residential and business or postal address, whichever is applicable; and</w:t>
      </w:r>
    </w:p>
    <w:p w14:paraId="3379A531" w14:textId="167D54C1" w:rsidR="0062095F" w:rsidRPr="000877C6" w:rsidRDefault="0062095F" w:rsidP="00B40671">
      <w:pPr>
        <w:pStyle w:val="FootnoteText"/>
        <w:ind w:left="709"/>
        <w:rPr>
          <w:rFonts w:ascii="Arial" w:hAnsi="Arial" w:cs="Arial"/>
        </w:rPr>
      </w:pPr>
      <w:r w:rsidRPr="00BD5065">
        <w:rPr>
          <w:rFonts w:ascii="Arial" w:hAnsi="Arial" w:cs="Arial"/>
          <w:i/>
        </w:rPr>
        <w:t>(bb)</w:t>
      </w:r>
      <w:r w:rsidRPr="000877C6">
        <w:rPr>
          <w:rFonts w:ascii="Arial" w:hAnsi="Arial" w:cs="Arial"/>
        </w:rPr>
        <w:t xml:space="preserve">   a certified photocopy of his or her identification document on which his or her photo, full names and identity number, whichever is applicable, appear;</w:t>
      </w:r>
    </w:p>
    <w:p w14:paraId="5CC31AB2" w14:textId="0147550B" w:rsidR="0062095F" w:rsidRPr="000877C6" w:rsidRDefault="0062095F" w:rsidP="00B40671">
      <w:pPr>
        <w:pStyle w:val="FootnoteText"/>
        <w:ind w:left="-426"/>
        <w:rPr>
          <w:rFonts w:ascii="Arial" w:hAnsi="Arial" w:cs="Arial"/>
        </w:rPr>
      </w:pPr>
      <w:r w:rsidRPr="000877C6">
        <w:rPr>
          <w:rFonts w:ascii="Arial" w:hAnsi="Arial" w:cs="Arial"/>
        </w:rPr>
        <w:t xml:space="preserve">    </w:t>
      </w:r>
      <w:r w:rsidR="00334547">
        <w:rPr>
          <w:rFonts w:ascii="Arial" w:hAnsi="Arial" w:cs="Arial"/>
        </w:rPr>
        <w:tab/>
      </w:r>
      <w:r w:rsidR="00334547">
        <w:rPr>
          <w:rFonts w:ascii="Arial" w:hAnsi="Arial" w:cs="Arial"/>
        </w:rPr>
        <w:tab/>
      </w:r>
      <w:r w:rsidRPr="000877C6">
        <w:rPr>
          <w:rFonts w:ascii="Arial" w:hAnsi="Arial" w:cs="Arial"/>
        </w:rPr>
        <w:t>(ii)   retain the photocopy obtained in terms of subparagraph (i) (bb); and</w:t>
      </w:r>
    </w:p>
    <w:p w14:paraId="43E40CF5" w14:textId="68945D96" w:rsidR="0062095F" w:rsidRPr="000877C6" w:rsidRDefault="0062095F" w:rsidP="00334547">
      <w:pPr>
        <w:pStyle w:val="FootnoteText"/>
        <w:ind w:left="1440"/>
        <w:rPr>
          <w:rFonts w:ascii="Arial" w:hAnsi="Arial" w:cs="Arial"/>
        </w:rPr>
      </w:pPr>
      <w:r w:rsidRPr="000877C6">
        <w:rPr>
          <w:rFonts w:ascii="Arial" w:hAnsi="Arial" w:cs="Arial"/>
        </w:rPr>
        <w:t>(iii)   verify the photo, full names and identity number, whichever is applicable, of that person with reference to his or her identification document; or</w:t>
      </w:r>
    </w:p>
    <w:p w14:paraId="1ED1FB3B" w14:textId="6AC5798F" w:rsidR="0062095F" w:rsidRPr="00BD5065" w:rsidRDefault="0062095F" w:rsidP="00605D99">
      <w:pPr>
        <w:pStyle w:val="FootnoteText"/>
        <w:ind w:left="-284"/>
        <w:rPr>
          <w:rFonts w:ascii="Arial" w:hAnsi="Arial" w:cs="Arial"/>
          <w:i/>
        </w:rPr>
      </w:pPr>
      <w:r w:rsidRPr="000877C6">
        <w:rPr>
          <w:rFonts w:ascii="Arial" w:hAnsi="Arial" w:cs="Arial"/>
        </w:rPr>
        <w:t xml:space="preserve">   </w:t>
      </w:r>
      <w:r w:rsidR="00334547">
        <w:rPr>
          <w:rFonts w:ascii="Arial" w:hAnsi="Arial" w:cs="Arial"/>
        </w:rPr>
        <w:tab/>
      </w:r>
      <w:r w:rsidRPr="00BD5065">
        <w:rPr>
          <w:rFonts w:ascii="Arial" w:hAnsi="Arial" w:cs="Arial"/>
          <w:i/>
        </w:rPr>
        <w:t xml:space="preserve">(b)   </w:t>
      </w:r>
      <w:r w:rsidRPr="0049175B">
        <w:rPr>
          <w:rFonts w:ascii="Arial" w:hAnsi="Arial" w:cs="Arial"/>
        </w:rPr>
        <w:t>must, if that person is a juristic person-</w:t>
      </w:r>
    </w:p>
    <w:p w14:paraId="789FD34F" w14:textId="07B5FB04" w:rsidR="0062095F" w:rsidRPr="000877C6" w:rsidRDefault="0062095F" w:rsidP="000877C6">
      <w:pPr>
        <w:pStyle w:val="FootnoteText"/>
        <w:rPr>
          <w:rFonts w:ascii="Arial" w:hAnsi="Arial" w:cs="Arial"/>
        </w:rPr>
      </w:pPr>
      <w:r w:rsidRPr="000877C6">
        <w:rPr>
          <w:rFonts w:ascii="Arial" w:hAnsi="Arial" w:cs="Arial"/>
        </w:rPr>
        <w:t xml:space="preserve">     </w:t>
      </w:r>
      <w:r w:rsidR="00C927A2">
        <w:rPr>
          <w:rFonts w:ascii="Arial" w:hAnsi="Arial" w:cs="Arial"/>
        </w:rPr>
        <w:tab/>
      </w:r>
      <w:r w:rsidR="00C927A2">
        <w:rPr>
          <w:rFonts w:ascii="Arial" w:hAnsi="Arial" w:cs="Arial"/>
        </w:rPr>
        <w:tab/>
      </w:r>
      <w:r w:rsidRPr="000877C6">
        <w:rPr>
          <w:rFonts w:ascii="Arial" w:hAnsi="Arial" w:cs="Arial"/>
        </w:rPr>
        <w:t>(i)   obtain from the person representing that juristic person-</w:t>
      </w:r>
    </w:p>
    <w:p w14:paraId="267A657A" w14:textId="62A66963" w:rsidR="0062095F" w:rsidRPr="000877C6" w:rsidRDefault="0062095F" w:rsidP="00605D99">
      <w:pPr>
        <w:pStyle w:val="FootnoteText"/>
        <w:ind w:left="1418"/>
        <w:rPr>
          <w:rFonts w:ascii="Arial" w:hAnsi="Arial" w:cs="Arial"/>
        </w:rPr>
      </w:pPr>
      <w:r w:rsidRPr="00BD5065">
        <w:rPr>
          <w:rFonts w:ascii="Arial" w:hAnsi="Arial" w:cs="Arial"/>
          <w:i/>
        </w:rPr>
        <w:t>(aa)</w:t>
      </w:r>
      <w:r w:rsidRPr="000877C6">
        <w:rPr>
          <w:rFonts w:ascii="Arial" w:hAnsi="Arial" w:cs="Arial"/>
        </w:rPr>
        <w:t xml:space="preserve">   his or her full names, identity number, residential and postal address, whichever is applicable;</w:t>
      </w:r>
    </w:p>
    <w:p w14:paraId="4093C2D3" w14:textId="1918319A" w:rsidR="0062095F" w:rsidRPr="000877C6" w:rsidRDefault="0062095F" w:rsidP="00605D99">
      <w:pPr>
        <w:pStyle w:val="FootnoteText"/>
        <w:ind w:left="1418"/>
        <w:rPr>
          <w:rFonts w:ascii="Arial" w:hAnsi="Arial" w:cs="Arial"/>
        </w:rPr>
      </w:pPr>
      <w:r w:rsidRPr="000877C6">
        <w:rPr>
          <w:rFonts w:ascii="Arial" w:hAnsi="Arial" w:cs="Arial"/>
        </w:rPr>
        <w:t>(bb)   the business name and address and, if registered as such in terms of any law, the registration number of that juristic person;</w:t>
      </w:r>
    </w:p>
    <w:p w14:paraId="7FA5F9C1" w14:textId="5811E560" w:rsidR="0062095F" w:rsidRPr="000877C6" w:rsidRDefault="0062095F" w:rsidP="00605D99">
      <w:pPr>
        <w:pStyle w:val="FootnoteText"/>
        <w:ind w:left="1418"/>
        <w:rPr>
          <w:rFonts w:ascii="Arial" w:hAnsi="Arial" w:cs="Arial"/>
        </w:rPr>
      </w:pPr>
      <w:r w:rsidRPr="000877C6">
        <w:rPr>
          <w:rFonts w:ascii="Arial" w:hAnsi="Arial" w:cs="Arial"/>
        </w:rPr>
        <w:t>(cc)   a certified photocopy of his or her identification document on which his or her photo, full names and identity number, whichever is applicable, appear; and</w:t>
      </w:r>
    </w:p>
    <w:p w14:paraId="1D6B70E7" w14:textId="4BE933CE" w:rsidR="0062095F" w:rsidRPr="000877C6" w:rsidRDefault="0062095F" w:rsidP="00605D99">
      <w:pPr>
        <w:pStyle w:val="FootnoteText"/>
        <w:ind w:left="1418"/>
        <w:rPr>
          <w:rFonts w:ascii="Arial" w:hAnsi="Arial" w:cs="Arial"/>
        </w:rPr>
      </w:pPr>
      <w:r w:rsidRPr="00BD5065">
        <w:rPr>
          <w:rFonts w:ascii="Arial" w:hAnsi="Arial" w:cs="Arial"/>
          <w:i/>
        </w:rPr>
        <w:t>(dd)</w:t>
      </w:r>
      <w:r w:rsidRPr="000877C6">
        <w:rPr>
          <w:rFonts w:ascii="Arial" w:hAnsi="Arial" w:cs="Arial"/>
        </w:rPr>
        <w:t xml:space="preserve">   a certified photocopy of the business letterhead of, or other similar document relating to, that juristic person;</w:t>
      </w:r>
    </w:p>
    <w:p w14:paraId="3DD71746" w14:textId="4B5A6786" w:rsidR="0062095F" w:rsidRPr="000877C6" w:rsidRDefault="0062095F" w:rsidP="000877C6">
      <w:pPr>
        <w:pStyle w:val="FootnoteText"/>
        <w:rPr>
          <w:rFonts w:ascii="Arial" w:hAnsi="Arial" w:cs="Arial"/>
        </w:rPr>
      </w:pPr>
      <w:r w:rsidRPr="000877C6">
        <w:rPr>
          <w:rFonts w:ascii="Arial" w:hAnsi="Arial" w:cs="Arial"/>
        </w:rPr>
        <w:t xml:space="preserve">    </w:t>
      </w:r>
      <w:r w:rsidR="00C927A2">
        <w:rPr>
          <w:rFonts w:ascii="Arial" w:hAnsi="Arial" w:cs="Arial"/>
        </w:rPr>
        <w:tab/>
      </w:r>
      <w:r w:rsidR="00C927A2">
        <w:rPr>
          <w:rFonts w:ascii="Arial" w:hAnsi="Arial" w:cs="Arial"/>
        </w:rPr>
        <w:tab/>
      </w:r>
      <w:r w:rsidRPr="000877C6">
        <w:rPr>
          <w:rFonts w:ascii="Arial" w:hAnsi="Arial" w:cs="Arial"/>
        </w:rPr>
        <w:t>(ii)   retain the photocopies obtained in terms of subparagraph (i) (cc) and (dd); and</w:t>
      </w:r>
    </w:p>
    <w:p w14:paraId="7FA4AB99" w14:textId="1CB89ABD" w:rsidR="0062095F" w:rsidRPr="000877C6" w:rsidRDefault="0062095F" w:rsidP="000877C6">
      <w:pPr>
        <w:pStyle w:val="FootnoteText"/>
        <w:rPr>
          <w:rFonts w:ascii="Arial" w:hAnsi="Arial" w:cs="Arial"/>
        </w:rPr>
      </w:pPr>
      <w:r w:rsidRPr="000877C6">
        <w:rPr>
          <w:rFonts w:ascii="Arial" w:hAnsi="Arial" w:cs="Arial"/>
        </w:rPr>
        <w:t xml:space="preserve">   </w:t>
      </w:r>
      <w:r w:rsidR="00C927A2">
        <w:rPr>
          <w:rFonts w:ascii="Arial" w:hAnsi="Arial" w:cs="Arial"/>
        </w:rPr>
        <w:tab/>
      </w:r>
      <w:r w:rsidR="00C927A2">
        <w:rPr>
          <w:rFonts w:ascii="Arial" w:hAnsi="Arial" w:cs="Arial"/>
        </w:rPr>
        <w:tab/>
      </w:r>
      <w:r w:rsidRPr="000877C6">
        <w:rPr>
          <w:rFonts w:ascii="Arial" w:hAnsi="Arial" w:cs="Arial"/>
        </w:rPr>
        <w:t>(iii)   verify the-</w:t>
      </w:r>
    </w:p>
    <w:p w14:paraId="6B57FE3F" w14:textId="49066F03" w:rsidR="0062095F" w:rsidRPr="000877C6" w:rsidRDefault="0062095F" w:rsidP="00605D99">
      <w:pPr>
        <w:pStyle w:val="FootnoteText"/>
        <w:ind w:left="1418"/>
        <w:rPr>
          <w:rFonts w:ascii="Arial" w:hAnsi="Arial" w:cs="Arial"/>
        </w:rPr>
      </w:pPr>
      <w:r w:rsidRPr="00BD5065">
        <w:rPr>
          <w:rFonts w:ascii="Arial" w:hAnsi="Arial" w:cs="Arial"/>
          <w:i/>
        </w:rPr>
        <w:t>(aa)</w:t>
      </w:r>
      <w:r w:rsidRPr="000877C6">
        <w:rPr>
          <w:rFonts w:ascii="Arial" w:hAnsi="Arial" w:cs="Arial"/>
        </w:rPr>
        <w:t xml:space="preserve">   photo, full names and identity number, whichever is applicable, of that person with reference to his or her identification document; and</w:t>
      </w:r>
    </w:p>
    <w:p w14:paraId="29C1A5DB" w14:textId="596C0A70" w:rsidR="0062095F" w:rsidRPr="000877C6" w:rsidRDefault="0062095F" w:rsidP="00605D99">
      <w:pPr>
        <w:pStyle w:val="FootnoteText"/>
        <w:ind w:left="1418"/>
        <w:rPr>
          <w:rFonts w:ascii="Arial" w:hAnsi="Arial" w:cs="Arial"/>
        </w:rPr>
      </w:pPr>
      <w:r w:rsidRPr="00BD5065">
        <w:rPr>
          <w:rFonts w:ascii="Arial" w:hAnsi="Arial" w:cs="Arial"/>
          <w:i/>
        </w:rPr>
        <w:t>(bb)</w:t>
      </w:r>
      <w:r w:rsidRPr="000877C6">
        <w:rPr>
          <w:rFonts w:ascii="Arial" w:hAnsi="Arial" w:cs="Arial"/>
        </w:rPr>
        <w:t xml:space="preserve">   name and registration number of that juristic person with reference to its business letterhead or other similar document; and</w:t>
      </w:r>
    </w:p>
    <w:p w14:paraId="10632A48" w14:textId="713D9A5D" w:rsidR="0062095F" w:rsidRPr="000877C6" w:rsidRDefault="0062095F" w:rsidP="00605D99">
      <w:pPr>
        <w:pStyle w:val="FootnoteText"/>
        <w:rPr>
          <w:rFonts w:ascii="Arial" w:hAnsi="Arial" w:cs="Arial"/>
        </w:rPr>
      </w:pPr>
      <w:r w:rsidRPr="00BD5065">
        <w:rPr>
          <w:rFonts w:ascii="Arial" w:hAnsi="Arial" w:cs="Arial"/>
          <w:i/>
        </w:rPr>
        <w:t>(c)</w:t>
      </w:r>
      <w:r w:rsidRPr="000877C6">
        <w:rPr>
          <w:rFonts w:ascii="Arial" w:hAnsi="Arial" w:cs="Arial"/>
        </w:rPr>
        <w:t xml:space="preserve">   may obtain from such person any other information which the telecommunication service provider deems necessary for purposes of this Act.</w:t>
      </w:r>
      <w:r w:rsidR="0086577F">
        <w:rPr>
          <w:rFonts w:ascii="Arial" w:hAnsi="Arial" w:cs="Arial"/>
        </w:rPr>
        <w:t>’</w:t>
      </w:r>
    </w:p>
  </w:footnote>
  <w:footnote w:id="4">
    <w:p w14:paraId="1AEBCC07" w14:textId="77777777" w:rsidR="00D01879" w:rsidRDefault="0062095F" w:rsidP="008E1848">
      <w:pPr>
        <w:pStyle w:val="FootnoteText"/>
        <w:rPr>
          <w:rFonts w:ascii="Arial" w:hAnsi="Arial" w:cs="Arial"/>
        </w:rPr>
      </w:pPr>
      <w:r w:rsidRPr="008E1848">
        <w:rPr>
          <w:rStyle w:val="FootnoteReference"/>
          <w:rFonts w:ascii="Arial" w:hAnsi="Arial" w:cs="Arial"/>
        </w:rPr>
        <w:footnoteRef/>
      </w:r>
      <w:r w:rsidRPr="008E1848">
        <w:rPr>
          <w:rFonts w:ascii="Arial" w:hAnsi="Arial" w:cs="Arial"/>
        </w:rPr>
        <w:t xml:space="preserve"> </w:t>
      </w:r>
      <w:r w:rsidR="00D01879">
        <w:rPr>
          <w:rFonts w:ascii="Arial" w:hAnsi="Arial" w:cs="Arial"/>
        </w:rPr>
        <w:t xml:space="preserve">Section 39(2) provides: </w:t>
      </w:r>
    </w:p>
    <w:p w14:paraId="24A8767F" w14:textId="62FEFAE4" w:rsidR="0062095F" w:rsidRPr="008E1848" w:rsidRDefault="0086577F" w:rsidP="008E1848">
      <w:pPr>
        <w:pStyle w:val="FootnoteText"/>
        <w:rPr>
          <w:rFonts w:ascii="Arial" w:hAnsi="Arial" w:cs="Arial"/>
        </w:rPr>
      </w:pPr>
      <w:r>
        <w:rPr>
          <w:rFonts w:ascii="Arial" w:hAnsi="Arial" w:cs="Arial"/>
        </w:rPr>
        <w:t>‘</w:t>
      </w:r>
      <w:r w:rsidR="0062095F" w:rsidRPr="008E1848">
        <w:rPr>
          <w:rFonts w:ascii="Arial" w:hAnsi="Arial" w:cs="Arial"/>
        </w:rPr>
        <w:t>(2) A telecommunication service provider referred to in subsection (1) must ensure that proper records are kept of-</w:t>
      </w:r>
    </w:p>
    <w:p w14:paraId="6DD6B0B0" w14:textId="73B9FDCE" w:rsidR="0062095F" w:rsidRPr="008E1848" w:rsidRDefault="0062095F" w:rsidP="00047FE3">
      <w:pPr>
        <w:pStyle w:val="FootnoteText"/>
        <w:rPr>
          <w:rFonts w:ascii="Arial" w:hAnsi="Arial" w:cs="Arial"/>
        </w:rPr>
      </w:pPr>
      <w:r w:rsidRPr="00BD5065">
        <w:rPr>
          <w:rFonts w:ascii="Arial" w:hAnsi="Arial" w:cs="Arial"/>
          <w:i/>
        </w:rPr>
        <w:t>(a</w:t>
      </w:r>
      <w:r w:rsidRPr="008E1848">
        <w:rPr>
          <w:rFonts w:ascii="Arial" w:hAnsi="Arial" w:cs="Arial"/>
        </w:rPr>
        <w:t>)   the information, including the photocopies, referred to in subsection (1) and, where applicable, any change in such information which is brought to his or her attention;</w:t>
      </w:r>
    </w:p>
    <w:p w14:paraId="604545DF" w14:textId="414AC0C6" w:rsidR="0062095F" w:rsidRPr="008E1848" w:rsidRDefault="0062095F" w:rsidP="00047FE3">
      <w:pPr>
        <w:pStyle w:val="FootnoteText"/>
        <w:ind w:left="-284"/>
        <w:rPr>
          <w:rFonts w:ascii="Arial" w:hAnsi="Arial" w:cs="Arial"/>
        </w:rPr>
      </w:pPr>
      <w:r w:rsidRPr="008E1848">
        <w:rPr>
          <w:rFonts w:ascii="Arial" w:hAnsi="Arial" w:cs="Arial"/>
        </w:rPr>
        <w:t xml:space="preserve">   </w:t>
      </w:r>
      <w:r w:rsidR="00826D61">
        <w:rPr>
          <w:rFonts w:ascii="Arial" w:hAnsi="Arial" w:cs="Arial"/>
        </w:rPr>
        <w:tab/>
      </w:r>
      <w:r w:rsidRPr="00BD5065">
        <w:rPr>
          <w:rFonts w:ascii="Arial" w:hAnsi="Arial" w:cs="Arial"/>
          <w:i/>
        </w:rPr>
        <w:t>(b)</w:t>
      </w:r>
      <w:r w:rsidRPr="008E1848">
        <w:rPr>
          <w:rFonts w:ascii="Arial" w:hAnsi="Arial" w:cs="Arial"/>
        </w:rPr>
        <w:t xml:space="preserve">   the telephone number or any other number allocated to the person concerned; and</w:t>
      </w:r>
    </w:p>
    <w:p w14:paraId="23F1238D" w14:textId="32E39349" w:rsidR="0062095F" w:rsidRPr="008E1848" w:rsidRDefault="0062095F" w:rsidP="00047FE3">
      <w:pPr>
        <w:pStyle w:val="FootnoteText"/>
        <w:rPr>
          <w:rFonts w:ascii="Arial" w:hAnsi="Arial" w:cs="Arial"/>
        </w:rPr>
      </w:pPr>
      <w:r w:rsidRPr="00BD5065">
        <w:rPr>
          <w:rFonts w:ascii="Arial" w:hAnsi="Arial" w:cs="Arial"/>
          <w:i/>
        </w:rPr>
        <w:t>(c)</w:t>
      </w:r>
      <w:r w:rsidRPr="008E1848">
        <w:rPr>
          <w:rFonts w:ascii="Arial" w:hAnsi="Arial" w:cs="Arial"/>
        </w:rPr>
        <w:t xml:space="preserve">  any other information in respect of the person concerned which the telecommunication service provider concerned may require in order to enable him or her to identify that person.</w:t>
      </w:r>
      <w:r w:rsidR="0086577F">
        <w:rPr>
          <w:rFonts w:ascii="Arial" w:hAnsi="Arial" w:cs="Arial"/>
        </w:rPr>
        <w:t>’</w:t>
      </w:r>
    </w:p>
  </w:footnote>
  <w:footnote w:id="5">
    <w:p w14:paraId="39934CF6" w14:textId="77777777" w:rsidR="00D01879" w:rsidRDefault="0062095F" w:rsidP="00F76ECF">
      <w:pPr>
        <w:pStyle w:val="FootnoteText"/>
        <w:rPr>
          <w:rFonts w:ascii="Arial" w:hAnsi="Arial" w:cs="Arial"/>
        </w:rPr>
      </w:pPr>
      <w:r w:rsidRPr="00F76ECF">
        <w:rPr>
          <w:rStyle w:val="FootnoteReference"/>
          <w:rFonts w:ascii="Arial" w:hAnsi="Arial" w:cs="Arial"/>
        </w:rPr>
        <w:footnoteRef/>
      </w:r>
      <w:r w:rsidRPr="00F76ECF">
        <w:rPr>
          <w:rFonts w:ascii="Arial" w:hAnsi="Arial" w:cs="Arial"/>
        </w:rPr>
        <w:t xml:space="preserve"> </w:t>
      </w:r>
      <w:r w:rsidR="00D01879">
        <w:rPr>
          <w:rFonts w:ascii="Arial" w:hAnsi="Arial" w:cs="Arial"/>
        </w:rPr>
        <w:t xml:space="preserve">Section 40(2) reads: </w:t>
      </w:r>
    </w:p>
    <w:p w14:paraId="5732A8D6" w14:textId="62FC4CB8" w:rsidR="0062095F" w:rsidRPr="00F76ECF" w:rsidRDefault="0086577F" w:rsidP="00F76ECF">
      <w:pPr>
        <w:pStyle w:val="FootnoteText"/>
        <w:rPr>
          <w:rFonts w:ascii="Arial" w:hAnsi="Arial" w:cs="Arial"/>
        </w:rPr>
      </w:pPr>
      <w:r>
        <w:rPr>
          <w:rFonts w:ascii="Arial" w:hAnsi="Arial" w:cs="Arial"/>
        </w:rPr>
        <w:t>‘</w:t>
      </w:r>
      <w:r w:rsidR="0062095F" w:rsidRPr="00F76ECF">
        <w:rPr>
          <w:rFonts w:ascii="Arial" w:hAnsi="Arial" w:cs="Arial"/>
        </w:rPr>
        <w:t>(2) From the date of commencement of this section an electronic communication service provider must, subject to subsection (4), at own cost implement a process to record and store, and must record and store-</w:t>
      </w:r>
    </w:p>
    <w:p w14:paraId="4D84032A" w14:textId="24205F38" w:rsidR="0062095F" w:rsidRPr="00F76ECF" w:rsidRDefault="0062095F" w:rsidP="00BF26F3">
      <w:pPr>
        <w:pStyle w:val="FootnoteText"/>
        <w:rPr>
          <w:rFonts w:ascii="Arial" w:hAnsi="Arial" w:cs="Arial"/>
        </w:rPr>
      </w:pPr>
      <w:r w:rsidRPr="00BD5065">
        <w:rPr>
          <w:rFonts w:ascii="Arial" w:hAnsi="Arial" w:cs="Arial"/>
          <w:i/>
        </w:rPr>
        <w:t>(a)</w:t>
      </w:r>
      <w:r w:rsidRPr="00F76ECF">
        <w:rPr>
          <w:rFonts w:ascii="Arial" w:hAnsi="Arial" w:cs="Arial"/>
        </w:rPr>
        <w:t xml:space="preserve">   the Mobile Subscriber Integrated Service Digital Network number (MSISDN-number) of the SIM-card that is to be activated by an electronic communication service provider at the request of a person contemplated in paragraphs (b) and (c);</w:t>
      </w:r>
    </w:p>
    <w:p w14:paraId="5C7A51E6" w14:textId="08F1B8B8" w:rsidR="0062095F" w:rsidRPr="00F76ECF" w:rsidRDefault="0062095F" w:rsidP="00BF26F3">
      <w:pPr>
        <w:pStyle w:val="FootnoteText"/>
        <w:ind w:left="-709"/>
        <w:rPr>
          <w:rFonts w:ascii="Arial" w:hAnsi="Arial" w:cs="Arial"/>
        </w:rPr>
      </w:pPr>
      <w:r w:rsidRPr="00F76ECF">
        <w:rPr>
          <w:rFonts w:ascii="Arial" w:hAnsi="Arial" w:cs="Arial"/>
        </w:rPr>
        <w:t xml:space="preserve">   </w:t>
      </w:r>
      <w:r w:rsidR="00826D61">
        <w:rPr>
          <w:rFonts w:ascii="Arial" w:hAnsi="Arial" w:cs="Arial"/>
        </w:rPr>
        <w:tab/>
      </w:r>
      <w:r w:rsidRPr="00BD5065">
        <w:rPr>
          <w:rFonts w:ascii="Arial" w:hAnsi="Arial" w:cs="Arial"/>
          <w:i/>
        </w:rPr>
        <w:t>(b)</w:t>
      </w:r>
      <w:r w:rsidRPr="00F76ECF">
        <w:rPr>
          <w:rFonts w:ascii="Arial" w:hAnsi="Arial" w:cs="Arial"/>
        </w:rPr>
        <w:t xml:space="preserve">   in the case of a person who-</w:t>
      </w:r>
    </w:p>
    <w:p w14:paraId="5BA4D71E" w14:textId="5AE0529B" w:rsidR="0062095F" w:rsidRPr="00F76ECF" w:rsidRDefault="0062095F" w:rsidP="00BF26F3">
      <w:pPr>
        <w:pStyle w:val="FootnoteText"/>
        <w:ind w:left="993"/>
        <w:rPr>
          <w:rFonts w:ascii="Arial" w:hAnsi="Arial" w:cs="Arial"/>
        </w:rPr>
      </w:pPr>
      <w:r w:rsidRPr="00F76ECF">
        <w:rPr>
          <w:rFonts w:ascii="Arial" w:hAnsi="Arial" w:cs="Arial"/>
        </w:rPr>
        <w:t>(i)   is a South African citizen or is lawfully and permanently resident in the Republic, the full names and surname, identity number and at least one address of such person who requests that a SIM-card referred to in subsection (1) be activated on the electronic communication system of an electronic communication service provider; or</w:t>
      </w:r>
    </w:p>
    <w:p w14:paraId="5DDD8FAF" w14:textId="75A74474" w:rsidR="0062095F" w:rsidRPr="00F76ECF" w:rsidRDefault="0062095F" w:rsidP="00BF26F3">
      <w:pPr>
        <w:pStyle w:val="FootnoteText"/>
        <w:ind w:left="993"/>
        <w:rPr>
          <w:rFonts w:ascii="Arial" w:hAnsi="Arial" w:cs="Arial"/>
        </w:rPr>
      </w:pPr>
      <w:r w:rsidRPr="00F76ECF">
        <w:rPr>
          <w:rFonts w:ascii="Arial" w:hAnsi="Arial" w:cs="Arial"/>
        </w:rPr>
        <w:t>(ii)   is not a South African citizen or who is not permanently resident in the Republic, and who requests that a SIM-card referred to in subsection (1) be activated on the electronic communication system of an electronic communication service provider, the full names and surname, identity number and at least one address of such person and the country where the passport was issued; or</w:t>
      </w:r>
    </w:p>
    <w:p w14:paraId="17DE1B19" w14:textId="2CFA12E6" w:rsidR="0062095F" w:rsidRPr="00F76ECF" w:rsidRDefault="0062095F" w:rsidP="001504CE">
      <w:pPr>
        <w:pStyle w:val="FootnoteText"/>
        <w:ind w:left="-284"/>
        <w:rPr>
          <w:rFonts w:ascii="Arial" w:hAnsi="Arial" w:cs="Arial"/>
        </w:rPr>
      </w:pPr>
      <w:r w:rsidRPr="00F76ECF">
        <w:rPr>
          <w:rFonts w:ascii="Arial" w:hAnsi="Arial" w:cs="Arial"/>
        </w:rPr>
        <w:t xml:space="preserve">   </w:t>
      </w:r>
      <w:r w:rsidR="00826D61">
        <w:rPr>
          <w:rFonts w:ascii="Arial" w:hAnsi="Arial" w:cs="Arial"/>
        </w:rPr>
        <w:tab/>
      </w:r>
      <w:r w:rsidRPr="00BD5065">
        <w:rPr>
          <w:rFonts w:ascii="Arial" w:hAnsi="Arial" w:cs="Arial"/>
          <w:i/>
        </w:rPr>
        <w:t>(c)</w:t>
      </w:r>
      <w:r w:rsidRPr="00F76ECF">
        <w:rPr>
          <w:rFonts w:ascii="Arial" w:hAnsi="Arial" w:cs="Arial"/>
        </w:rPr>
        <w:t xml:space="preserve">   in the case of a juristic person-</w:t>
      </w:r>
    </w:p>
    <w:p w14:paraId="3EC23E7C" w14:textId="5F961735" w:rsidR="0062095F" w:rsidRPr="00F76ECF" w:rsidRDefault="0062095F" w:rsidP="001504CE">
      <w:pPr>
        <w:pStyle w:val="FootnoteText"/>
        <w:ind w:left="993"/>
        <w:rPr>
          <w:rFonts w:ascii="Arial" w:hAnsi="Arial" w:cs="Arial"/>
        </w:rPr>
      </w:pPr>
      <w:r w:rsidRPr="00F76ECF">
        <w:rPr>
          <w:rFonts w:ascii="Arial" w:hAnsi="Arial" w:cs="Arial"/>
        </w:rPr>
        <w:t>(i)  the full names, surname, identity number and an address of the authorised representative of the juristic person; and</w:t>
      </w:r>
    </w:p>
    <w:p w14:paraId="5C8D03E5" w14:textId="0ED7DE45" w:rsidR="0062095F" w:rsidRPr="00F76ECF" w:rsidRDefault="0062095F" w:rsidP="001504CE">
      <w:pPr>
        <w:pStyle w:val="FootnoteText"/>
        <w:ind w:left="993"/>
        <w:rPr>
          <w:rFonts w:ascii="Arial" w:hAnsi="Arial" w:cs="Arial"/>
        </w:rPr>
      </w:pPr>
      <w:r w:rsidRPr="00F76ECF">
        <w:rPr>
          <w:rFonts w:ascii="Arial" w:hAnsi="Arial" w:cs="Arial"/>
        </w:rPr>
        <w:t>(ii) the name and address of the juristic person and, where applicable, the registration number of the juristic person.</w:t>
      </w:r>
      <w:r w:rsidR="0086577F">
        <w:rPr>
          <w:rFonts w:ascii="Arial" w:hAnsi="Arial" w:cs="Arial"/>
        </w:rPr>
        <w:t>’</w:t>
      </w:r>
    </w:p>
  </w:footnote>
  <w:footnote w:id="6">
    <w:p w14:paraId="429BDB79" w14:textId="77777777" w:rsidR="006C3D44" w:rsidRDefault="0062095F" w:rsidP="00891B6E">
      <w:pPr>
        <w:pStyle w:val="FootnoteText"/>
        <w:rPr>
          <w:rFonts w:ascii="Arial" w:hAnsi="Arial" w:cs="Arial"/>
        </w:rPr>
      </w:pPr>
      <w:r w:rsidRPr="00891B6E">
        <w:rPr>
          <w:rStyle w:val="FootnoteReference"/>
          <w:rFonts w:ascii="Arial" w:hAnsi="Arial" w:cs="Arial"/>
        </w:rPr>
        <w:footnoteRef/>
      </w:r>
      <w:r w:rsidRPr="00891B6E">
        <w:rPr>
          <w:rFonts w:ascii="Arial" w:hAnsi="Arial" w:cs="Arial"/>
        </w:rPr>
        <w:t xml:space="preserve"> </w:t>
      </w:r>
      <w:r w:rsidR="006C3D44">
        <w:rPr>
          <w:rFonts w:ascii="Arial" w:hAnsi="Arial" w:cs="Arial"/>
        </w:rPr>
        <w:t xml:space="preserve">Section 40(3) provides: </w:t>
      </w:r>
    </w:p>
    <w:p w14:paraId="4B6345D1" w14:textId="703F85D9" w:rsidR="0062095F" w:rsidRPr="00891B6E" w:rsidRDefault="0086577F" w:rsidP="00891B6E">
      <w:pPr>
        <w:pStyle w:val="FootnoteText"/>
        <w:rPr>
          <w:rFonts w:ascii="Arial" w:hAnsi="Arial" w:cs="Arial"/>
        </w:rPr>
      </w:pPr>
      <w:r>
        <w:rPr>
          <w:rFonts w:ascii="Arial" w:hAnsi="Arial" w:cs="Arial"/>
        </w:rPr>
        <w:t>‘</w:t>
      </w:r>
      <w:r w:rsidR="0062095F" w:rsidRPr="00891B6E">
        <w:rPr>
          <w:rFonts w:ascii="Arial" w:hAnsi="Arial" w:cs="Arial"/>
        </w:rPr>
        <w:t xml:space="preserve">(3) </w:t>
      </w:r>
      <w:r w:rsidR="00FB520A">
        <w:rPr>
          <w:rFonts w:ascii="Arial" w:hAnsi="Arial" w:cs="Arial"/>
        </w:rPr>
        <w:tab/>
      </w:r>
      <w:r w:rsidR="0062095F" w:rsidRPr="00BD5065">
        <w:rPr>
          <w:rFonts w:ascii="Arial" w:hAnsi="Arial" w:cs="Arial"/>
          <w:i/>
        </w:rPr>
        <w:t>(a)</w:t>
      </w:r>
      <w:r w:rsidR="0062095F" w:rsidRPr="00891B6E">
        <w:rPr>
          <w:rFonts w:ascii="Arial" w:hAnsi="Arial" w:cs="Arial"/>
        </w:rPr>
        <w:t xml:space="preserve"> For the purposes of subsection (2), an electronic communication service provider must, in the manner provided for in paragraph (b), verify-</w:t>
      </w:r>
    </w:p>
    <w:p w14:paraId="3A7A331A" w14:textId="148A627B" w:rsidR="0062095F" w:rsidRPr="00891B6E" w:rsidRDefault="0062095F" w:rsidP="00FB520A">
      <w:pPr>
        <w:pStyle w:val="FootnoteText"/>
        <w:ind w:left="720"/>
        <w:rPr>
          <w:rFonts w:ascii="Arial" w:hAnsi="Arial" w:cs="Arial"/>
        </w:rPr>
      </w:pPr>
      <w:r w:rsidRPr="00891B6E">
        <w:rPr>
          <w:rFonts w:ascii="Arial" w:hAnsi="Arial" w:cs="Arial"/>
        </w:rPr>
        <w:t xml:space="preserve">(i)   the full names, surname, identity number and identity of the person contemplated in subsection (2) </w:t>
      </w:r>
      <w:r w:rsidRPr="00BD5065">
        <w:rPr>
          <w:rFonts w:ascii="Arial" w:hAnsi="Arial" w:cs="Arial"/>
          <w:i/>
        </w:rPr>
        <w:t xml:space="preserve">(b) </w:t>
      </w:r>
      <w:r w:rsidRPr="00891B6E">
        <w:rPr>
          <w:rFonts w:ascii="Arial" w:hAnsi="Arial" w:cs="Arial"/>
        </w:rPr>
        <w:t xml:space="preserve">and </w:t>
      </w:r>
      <w:r w:rsidRPr="00BD5065">
        <w:rPr>
          <w:rFonts w:ascii="Arial" w:hAnsi="Arial" w:cs="Arial"/>
          <w:i/>
        </w:rPr>
        <w:t>(c)</w:t>
      </w:r>
      <w:r w:rsidRPr="00891B6E">
        <w:rPr>
          <w:rFonts w:ascii="Arial" w:hAnsi="Arial" w:cs="Arial"/>
        </w:rPr>
        <w:t xml:space="preserve"> and, where applicable, the country where the passport was issued;</w:t>
      </w:r>
    </w:p>
    <w:p w14:paraId="7D072D8E" w14:textId="1BF0D663" w:rsidR="0062095F" w:rsidRPr="00891B6E" w:rsidRDefault="0062095F" w:rsidP="00891B6E">
      <w:pPr>
        <w:pStyle w:val="FootnoteText"/>
        <w:rPr>
          <w:rFonts w:ascii="Arial" w:hAnsi="Arial" w:cs="Arial"/>
        </w:rPr>
      </w:pPr>
      <w:r w:rsidRPr="00891B6E">
        <w:rPr>
          <w:rFonts w:ascii="Arial" w:hAnsi="Arial" w:cs="Arial"/>
        </w:rPr>
        <w:t xml:space="preserve">    </w:t>
      </w:r>
      <w:r w:rsidR="00FB520A">
        <w:rPr>
          <w:rFonts w:ascii="Arial" w:hAnsi="Arial" w:cs="Arial"/>
        </w:rPr>
        <w:tab/>
      </w:r>
      <w:r w:rsidRPr="00891B6E">
        <w:rPr>
          <w:rFonts w:ascii="Arial" w:hAnsi="Arial" w:cs="Arial"/>
        </w:rPr>
        <w:t>(ii)   the name and, where applicable, the registration number of the juristic person;</w:t>
      </w:r>
    </w:p>
    <w:p w14:paraId="176B9ADF" w14:textId="0A76BBA3" w:rsidR="0062095F" w:rsidRPr="00891B6E" w:rsidRDefault="0062095F" w:rsidP="00891B6E">
      <w:pPr>
        <w:pStyle w:val="FootnoteText"/>
        <w:rPr>
          <w:rFonts w:ascii="Arial" w:hAnsi="Arial" w:cs="Arial"/>
        </w:rPr>
      </w:pPr>
      <w:r w:rsidRPr="00891B6E">
        <w:rPr>
          <w:rFonts w:ascii="Arial" w:hAnsi="Arial" w:cs="Arial"/>
        </w:rPr>
        <w:t xml:space="preserve">   </w:t>
      </w:r>
      <w:r w:rsidR="00FB520A">
        <w:rPr>
          <w:rFonts w:ascii="Arial" w:hAnsi="Arial" w:cs="Arial"/>
        </w:rPr>
        <w:tab/>
      </w:r>
      <w:r w:rsidRPr="00891B6E">
        <w:rPr>
          <w:rFonts w:ascii="Arial" w:hAnsi="Arial" w:cs="Arial"/>
        </w:rPr>
        <w:t>(iii)   in the case of a person contemplated in subsection (2)</w:t>
      </w:r>
      <w:r w:rsidRPr="00BD5065">
        <w:rPr>
          <w:rFonts w:ascii="Arial" w:hAnsi="Arial" w:cs="Arial"/>
          <w:i/>
        </w:rPr>
        <w:t xml:space="preserve">(b) </w:t>
      </w:r>
      <w:r w:rsidRPr="00891B6E">
        <w:rPr>
          <w:rFonts w:ascii="Arial" w:hAnsi="Arial" w:cs="Arial"/>
        </w:rPr>
        <w:t xml:space="preserve">(i) and </w:t>
      </w:r>
      <w:r w:rsidRPr="00BD5065">
        <w:rPr>
          <w:rFonts w:ascii="Arial" w:hAnsi="Arial" w:cs="Arial"/>
          <w:i/>
        </w:rPr>
        <w:t>(c)</w:t>
      </w:r>
      <w:r w:rsidRPr="00891B6E">
        <w:rPr>
          <w:rFonts w:ascii="Arial" w:hAnsi="Arial" w:cs="Arial"/>
        </w:rPr>
        <w:t>, the address; and</w:t>
      </w:r>
    </w:p>
    <w:p w14:paraId="16212146" w14:textId="749E53CB" w:rsidR="0062095F" w:rsidRPr="00891B6E" w:rsidRDefault="0062095F" w:rsidP="00891B6E">
      <w:pPr>
        <w:pStyle w:val="FootnoteText"/>
        <w:rPr>
          <w:rFonts w:ascii="Arial" w:hAnsi="Arial" w:cs="Arial"/>
        </w:rPr>
      </w:pPr>
      <w:r w:rsidRPr="00891B6E">
        <w:rPr>
          <w:rFonts w:ascii="Arial" w:hAnsi="Arial" w:cs="Arial"/>
        </w:rPr>
        <w:t xml:space="preserve">   </w:t>
      </w:r>
      <w:r w:rsidR="00FB520A">
        <w:rPr>
          <w:rFonts w:ascii="Arial" w:hAnsi="Arial" w:cs="Arial"/>
        </w:rPr>
        <w:tab/>
      </w:r>
      <w:r w:rsidRPr="00891B6E">
        <w:rPr>
          <w:rFonts w:ascii="Arial" w:hAnsi="Arial" w:cs="Arial"/>
        </w:rPr>
        <w:t>(iv)   the authority of the representative of a juristic person.</w:t>
      </w:r>
    </w:p>
    <w:p w14:paraId="1006401E" w14:textId="77777777" w:rsidR="0062095F" w:rsidRPr="00891B6E" w:rsidRDefault="0062095F" w:rsidP="00FB520A">
      <w:pPr>
        <w:pStyle w:val="FootnoteText"/>
        <w:ind w:firstLine="720"/>
        <w:rPr>
          <w:rFonts w:ascii="Arial" w:hAnsi="Arial" w:cs="Arial"/>
        </w:rPr>
      </w:pPr>
      <w:r w:rsidRPr="00891B6E">
        <w:rPr>
          <w:rFonts w:ascii="Arial" w:hAnsi="Arial" w:cs="Arial"/>
        </w:rPr>
        <w:t>(b) An electronic communication service provider must verify-</w:t>
      </w:r>
    </w:p>
    <w:p w14:paraId="5AD66F87" w14:textId="08090308" w:rsidR="0062095F" w:rsidRPr="00891B6E" w:rsidRDefault="0062095F" w:rsidP="00891B6E">
      <w:pPr>
        <w:pStyle w:val="FootnoteText"/>
        <w:rPr>
          <w:rFonts w:ascii="Arial" w:hAnsi="Arial" w:cs="Arial"/>
        </w:rPr>
      </w:pPr>
      <w:r w:rsidRPr="00891B6E">
        <w:rPr>
          <w:rFonts w:ascii="Arial" w:hAnsi="Arial" w:cs="Arial"/>
        </w:rPr>
        <w:t xml:space="preserve">     </w:t>
      </w:r>
      <w:r w:rsidR="00FB520A">
        <w:rPr>
          <w:rFonts w:ascii="Arial" w:hAnsi="Arial" w:cs="Arial"/>
        </w:rPr>
        <w:tab/>
      </w:r>
      <w:r w:rsidRPr="00891B6E">
        <w:rPr>
          <w:rFonts w:ascii="Arial" w:hAnsi="Arial" w:cs="Arial"/>
        </w:rPr>
        <w:t xml:space="preserve">(i)   the information contemplated in paragraph </w:t>
      </w:r>
      <w:r w:rsidRPr="00BD5065">
        <w:rPr>
          <w:rFonts w:ascii="Arial" w:hAnsi="Arial" w:cs="Arial"/>
          <w:i/>
        </w:rPr>
        <w:t>(a)</w:t>
      </w:r>
      <w:r w:rsidRPr="00891B6E">
        <w:rPr>
          <w:rFonts w:ascii="Arial" w:hAnsi="Arial" w:cs="Arial"/>
        </w:rPr>
        <w:t>(i) by means of an identification document;</w:t>
      </w:r>
    </w:p>
    <w:p w14:paraId="6F816375" w14:textId="5CC600D4" w:rsidR="0062095F" w:rsidRPr="00891B6E" w:rsidRDefault="0062095F" w:rsidP="00FB520A">
      <w:pPr>
        <w:pStyle w:val="FootnoteText"/>
        <w:ind w:left="709"/>
        <w:rPr>
          <w:rFonts w:ascii="Arial" w:hAnsi="Arial" w:cs="Arial"/>
        </w:rPr>
      </w:pPr>
      <w:r w:rsidRPr="00891B6E">
        <w:rPr>
          <w:rFonts w:ascii="Arial" w:hAnsi="Arial" w:cs="Arial"/>
        </w:rPr>
        <w:t xml:space="preserve"> (ii)   the information contemplated in paragraph </w:t>
      </w:r>
      <w:r w:rsidRPr="00BD5065">
        <w:rPr>
          <w:rFonts w:ascii="Arial" w:hAnsi="Arial" w:cs="Arial"/>
          <w:i/>
        </w:rPr>
        <w:t>(a)</w:t>
      </w:r>
      <w:r w:rsidRPr="00891B6E">
        <w:rPr>
          <w:rFonts w:ascii="Arial" w:hAnsi="Arial" w:cs="Arial"/>
        </w:rPr>
        <w:t>(ii) by means of documentation, including a registration document, founding statement, document issued by the South African Revenue Service or any other similar document;</w:t>
      </w:r>
    </w:p>
    <w:p w14:paraId="51D18267" w14:textId="4F20F043" w:rsidR="0062095F" w:rsidRPr="00891B6E" w:rsidRDefault="0062095F" w:rsidP="00FB520A">
      <w:pPr>
        <w:pStyle w:val="FootnoteText"/>
        <w:ind w:left="709" w:firstLine="11"/>
        <w:rPr>
          <w:rFonts w:ascii="Arial" w:hAnsi="Arial" w:cs="Arial"/>
        </w:rPr>
      </w:pPr>
      <w:r w:rsidRPr="00891B6E">
        <w:rPr>
          <w:rFonts w:ascii="Arial" w:hAnsi="Arial" w:cs="Arial"/>
        </w:rPr>
        <w:t xml:space="preserve">(iii)   the address contemplated in paragraph </w:t>
      </w:r>
      <w:r w:rsidRPr="00BD5065">
        <w:rPr>
          <w:rFonts w:ascii="Arial" w:hAnsi="Arial" w:cs="Arial"/>
          <w:i/>
        </w:rPr>
        <w:t>(a)</w:t>
      </w:r>
      <w:r w:rsidRPr="00891B6E">
        <w:rPr>
          <w:rFonts w:ascii="Arial" w:hAnsi="Arial" w:cs="Arial"/>
        </w:rPr>
        <w:t xml:space="preserve"> (iii) by means of documentation, including a bank statement, a municipal rates and taxes invoice, telephone or cellular phone account of not older than three months, or any other utility bill or an account of a retailer of not older than three months, or an existing lease, rental or credit sale agreement, insurance policy, a current television licence or a new motor vehicle licence document; and</w:t>
      </w:r>
    </w:p>
    <w:p w14:paraId="7AC8B8B1" w14:textId="6800EFAF" w:rsidR="0062095F" w:rsidRPr="00891B6E" w:rsidRDefault="0062095F" w:rsidP="00FB520A">
      <w:pPr>
        <w:pStyle w:val="FootnoteText"/>
        <w:ind w:left="709" w:firstLine="11"/>
        <w:rPr>
          <w:rFonts w:ascii="Arial" w:hAnsi="Arial" w:cs="Arial"/>
        </w:rPr>
      </w:pPr>
      <w:r w:rsidRPr="00891B6E">
        <w:rPr>
          <w:rFonts w:ascii="Arial" w:hAnsi="Arial" w:cs="Arial"/>
        </w:rPr>
        <w:t>(iv)   the authority of the representative of the juristic person by means of a letter of authority or an affidavit.</w:t>
      </w:r>
      <w:r w:rsidR="0086577F">
        <w:rPr>
          <w:rFonts w:ascii="Arial" w:hAnsi="Arial" w:cs="Arial"/>
        </w:rPr>
        <w:t>’</w:t>
      </w:r>
    </w:p>
  </w:footnote>
  <w:footnote w:id="7">
    <w:p w14:paraId="1D6E7A5A" w14:textId="7BDD9D16" w:rsidR="0062095F" w:rsidRPr="002B76E6" w:rsidRDefault="0062095F">
      <w:pPr>
        <w:pStyle w:val="FootnoteText"/>
        <w:rPr>
          <w:rFonts w:ascii="Arial" w:hAnsi="Arial" w:cs="Arial"/>
        </w:rPr>
      </w:pPr>
      <w:r w:rsidRPr="002B76E6">
        <w:rPr>
          <w:rStyle w:val="FootnoteReference"/>
          <w:rFonts w:ascii="Arial" w:hAnsi="Arial" w:cs="Arial"/>
        </w:rPr>
        <w:footnoteRef/>
      </w:r>
      <w:r w:rsidRPr="002B76E6">
        <w:rPr>
          <w:rFonts w:ascii="Arial" w:hAnsi="Arial" w:cs="Arial"/>
        </w:rPr>
        <w:t xml:space="preserve"> Para </w:t>
      </w:r>
      <w:r>
        <w:rPr>
          <w:rFonts w:ascii="Arial" w:hAnsi="Arial" w:cs="Arial"/>
        </w:rPr>
        <w:t>5</w:t>
      </w:r>
      <w:r w:rsidRPr="002B76E6">
        <w:rPr>
          <w:rFonts w:ascii="Arial" w:hAnsi="Arial" w:cs="Arial"/>
        </w:rPr>
        <w:t xml:space="preserve"> above. </w:t>
      </w:r>
    </w:p>
  </w:footnote>
  <w:footnote w:id="8">
    <w:p w14:paraId="703860D5" w14:textId="61196376" w:rsidR="0062095F" w:rsidRPr="009E0C45" w:rsidRDefault="0062095F">
      <w:pPr>
        <w:pStyle w:val="FootnoteText"/>
        <w:rPr>
          <w:rFonts w:ascii="Arial" w:hAnsi="Arial" w:cs="Arial"/>
        </w:rPr>
      </w:pPr>
      <w:r w:rsidRPr="009E0C45">
        <w:rPr>
          <w:rStyle w:val="FootnoteReference"/>
          <w:rFonts w:ascii="Arial" w:hAnsi="Arial" w:cs="Arial"/>
        </w:rPr>
        <w:footnoteRef/>
      </w:r>
      <w:r w:rsidRPr="009E0C45">
        <w:rPr>
          <w:rFonts w:ascii="Arial" w:hAnsi="Arial" w:cs="Arial"/>
        </w:rPr>
        <w:t xml:space="preserve"> Part 2 of Chapter 2 of RICA.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949336"/>
      <w:docPartObj>
        <w:docPartGallery w:val="Page Numbers (Top of Page)"/>
        <w:docPartUnique/>
      </w:docPartObj>
    </w:sdtPr>
    <w:sdtEndPr>
      <w:rPr>
        <w:noProof/>
      </w:rPr>
    </w:sdtEndPr>
    <w:sdtContent>
      <w:p w14:paraId="36FA31C2" w14:textId="41FEED5D" w:rsidR="0062095F" w:rsidRDefault="0062095F">
        <w:pPr>
          <w:pStyle w:val="Header"/>
          <w:jc w:val="right"/>
        </w:pPr>
        <w:r>
          <w:fldChar w:fldCharType="begin"/>
        </w:r>
        <w:r>
          <w:instrText xml:space="preserve"> PAGE   \* MERGEFORMAT </w:instrText>
        </w:r>
        <w:r>
          <w:fldChar w:fldCharType="separate"/>
        </w:r>
        <w:r w:rsidR="000D09A7">
          <w:rPr>
            <w:noProof/>
          </w:rPr>
          <w:t>3</w:t>
        </w:r>
        <w:r>
          <w:rPr>
            <w:noProof/>
          </w:rPr>
          <w:fldChar w:fldCharType="end"/>
        </w:r>
      </w:p>
    </w:sdtContent>
  </w:sdt>
  <w:p w14:paraId="72084E89" w14:textId="77777777" w:rsidR="0062095F" w:rsidRDefault="00620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0201"/>
    <w:multiLevelType w:val="hybridMultilevel"/>
    <w:tmpl w:val="651C412E"/>
    <w:lvl w:ilvl="0" w:tplc="6C3A7EE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F393178"/>
    <w:multiLevelType w:val="hybridMultilevel"/>
    <w:tmpl w:val="D294F572"/>
    <w:lvl w:ilvl="0" w:tplc="859C2188">
      <w:start w:val="1"/>
      <w:numFmt w:val="lowerRoman"/>
      <w:lvlText w:val="(%1)"/>
      <w:lvlJc w:val="left"/>
      <w:pPr>
        <w:ind w:left="2520" w:hanging="720"/>
      </w:pPr>
      <w:rPr>
        <w:rFonts w:hint="default"/>
        <w:i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nsid w:val="48DB42D2"/>
    <w:multiLevelType w:val="multilevel"/>
    <w:tmpl w:val="D8A823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BEC6025"/>
    <w:multiLevelType w:val="multilevel"/>
    <w:tmpl w:val="91B8B0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CA63F13"/>
    <w:multiLevelType w:val="hybridMultilevel"/>
    <w:tmpl w:val="6AAEFA80"/>
    <w:lvl w:ilvl="0" w:tplc="9CFA9D92">
      <w:start w:val="2"/>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7"/>
    <w:rsid w:val="00000EBE"/>
    <w:rsid w:val="0001373C"/>
    <w:rsid w:val="00013B9A"/>
    <w:rsid w:val="00014A24"/>
    <w:rsid w:val="000162D3"/>
    <w:rsid w:val="00016BBD"/>
    <w:rsid w:val="0001710F"/>
    <w:rsid w:val="00020D0C"/>
    <w:rsid w:val="000214A1"/>
    <w:rsid w:val="00022F96"/>
    <w:rsid w:val="0004135F"/>
    <w:rsid w:val="00042563"/>
    <w:rsid w:val="00042F36"/>
    <w:rsid w:val="00044D61"/>
    <w:rsid w:val="00046671"/>
    <w:rsid w:val="00047FE3"/>
    <w:rsid w:val="00050A1F"/>
    <w:rsid w:val="00055942"/>
    <w:rsid w:val="00055F50"/>
    <w:rsid w:val="00060D6A"/>
    <w:rsid w:val="000704C7"/>
    <w:rsid w:val="00073227"/>
    <w:rsid w:val="00074E74"/>
    <w:rsid w:val="00075874"/>
    <w:rsid w:val="00080157"/>
    <w:rsid w:val="0008018D"/>
    <w:rsid w:val="00081D01"/>
    <w:rsid w:val="00085E88"/>
    <w:rsid w:val="00086BF9"/>
    <w:rsid w:val="000877C6"/>
    <w:rsid w:val="00087951"/>
    <w:rsid w:val="000910AA"/>
    <w:rsid w:val="00092236"/>
    <w:rsid w:val="00095838"/>
    <w:rsid w:val="00097456"/>
    <w:rsid w:val="000A4D06"/>
    <w:rsid w:val="000A66DB"/>
    <w:rsid w:val="000A6869"/>
    <w:rsid w:val="000A7F1A"/>
    <w:rsid w:val="000B7581"/>
    <w:rsid w:val="000C0C9E"/>
    <w:rsid w:val="000C5219"/>
    <w:rsid w:val="000D09A7"/>
    <w:rsid w:val="000D2ACF"/>
    <w:rsid w:val="000D2DE3"/>
    <w:rsid w:val="000D5D85"/>
    <w:rsid w:val="000D6CCD"/>
    <w:rsid w:val="000E0A21"/>
    <w:rsid w:val="000F3913"/>
    <w:rsid w:val="000F5F24"/>
    <w:rsid w:val="000F62CE"/>
    <w:rsid w:val="000F76EF"/>
    <w:rsid w:val="00100F63"/>
    <w:rsid w:val="00101AA9"/>
    <w:rsid w:val="00101FE2"/>
    <w:rsid w:val="00104D6F"/>
    <w:rsid w:val="0010736C"/>
    <w:rsid w:val="00107E3D"/>
    <w:rsid w:val="00113479"/>
    <w:rsid w:val="001169C1"/>
    <w:rsid w:val="00122DB9"/>
    <w:rsid w:val="00125DB7"/>
    <w:rsid w:val="00133ADF"/>
    <w:rsid w:val="0013530D"/>
    <w:rsid w:val="001372A2"/>
    <w:rsid w:val="001401DE"/>
    <w:rsid w:val="001403CA"/>
    <w:rsid w:val="00140868"/>
    <w:rsid w:val="001457FB"/>
    <w:rsid w:val="0014612A"/>
    <w:rsid w:val="001504CE"/>
    <w:rsid w:val="00153767"/>
    <w:rsid w:val="00153AEB"/>
    <w:rsid w:val="0015472B"/>
    <w:rsid w:val="00156D7A"/>
    <w:rsid w:val="00157959"/>
    <w:rsid w:val="00160C32"/>
    <w:rsid w:val="00161E17"/>
    <w:rsid w:val="00161EC3"/>
    <w:rsid w:val="00166FD3"/>
    <w:rsid w:val="00167D97"/>
    <w:rsid w:val="001704D4"/>
    <w:rsid w:val="00170E2A"/>
    <w:rsid w:val="00175CD6"/>
    <w:rsid w:val="00177693"/>
    <w:rsid w:val="0018044B"/>
    <w:rsid w:val="001824D7"/>
    <w:rsid w:val="00183A66"/>
    <w:rsid w:val="00183D73"/>
    <w:rsid w:val="001849B3"/>
    <w:rsid w:val="00191673"/>
    <w:rsid w:val="00194114"/>
    <w:rsid w:val="001A0CAA"/>
    <w:rsid w:val="001A176C"/>
    <w:rsid w:val="001A39DC"/>
    <w:rsid w:val="001A6650"/>
    <w:rsid w:val="001A793F"/>
    <w:rsid w:val="001B018A"/>
    <w:rsid w:val="001C0D31"/>
    <w:rsid w:val="001C3191"/>
    <w:rsid w:val="001C4328"/>
    <w:rsid w:val="001C72CF"/>
    <w:rsid w:val="001D0F22"/>
    <w:rsid w:val="001D3E42"/>
    <w:rsid w:val="001D4C1B"/>
    <w:rsid w:val="001D55D5"/>
    <w:rsid w:val="001E22AA"/>
    <w:rsid w:val="001E274B"/>
    <w:rsid w:val="001E387D"/>
    <w:rsid w:val="001E59D4"/>
    <w:rsid w:val="001E60C9"/>
    <w:rsid w:val="001E65A6"/>
    <w:rsid w:val="001E6D41"/>
    <w:rsid w:val="001E788F"/>
    <w:rsid w:val="001F0B10"/>
    <w:rsid w:val="00201CA8"/>
    <w:rsid w:val="0020299D"/>
    <w:rsid w:val="00203286"/>
    <w:rsid w:val="002038A1"/>
    <w:rsid w:val="00206B7C"/>
    <w:rsid w:val="00206EB6"/>
    <w:rsid w:val="002073C1"/>
    <w:rsid w:val="002101C5"/>
    <w:rsid w:val="00210D3F"/>
    <w:rsid w:val="00213EC2"/>
    <w:rsid w:val="00214DC8"/>
    <w:rsid w:val="00216451"/>
    <w:rsid w:val="002175E6"/>
    <w:rsid w:val="00222DBE"/>
    <w:rsid w:val="002263EA"/>
    <w:rsid w:val="00226859"/>
    <w:rsid w:val="002316CD"/>
    <w:rsid w:val="0023427A"/>
    <w:rsid w:val="0023432C"/>
    <w:rsid w:val="00243D71"/>
    <w:rsid w:val="002443ED"/>
    <w:rsid w:val="0025083A"/>
    <w:rsid w:val="00252BA2"/>
    <w:rsid w:val="002550DB"/>
    <w:rsid w:val="002552D0"/>
    <w:rsid w:val="00255382"/>
    <w:rsid w:val="00256F50"/>
    <w:rsid w:val="002604AD"/>
    <w:rsid w:val="0026544A"/>
    <w:rsid w:val="0026737C"/>
    <w:rsid w:val="00270F54"/>
    <w:rsid w:val="0027171C"/>
    <w:rsid w:val="00271726"/>
    <w:rsid w:val="0028108E"/>
    <w:rsid w:val="002818B0"/>
    <w:rsid w:val="002962CC"/>
    <w:rsid w:val="002A1C91"/>
    <w:rsid w:val="002A458D"/>
    <w:rsid w:val="002B20B7"/>
    <w:rsid w:val="002B20CA"/>
    <w:rsid w:val="002B2672"/>
    <w:rsid w:val="002B76E6"/>
    <w:rsid w:val="002C0E38"/>
    <w:rsid w:val="002C4B7D"/>
    <w:rsid w:val="002C52CF"/>
    <w:rsid w:val="002C7E13"/>
    <w:rsid w:val="002D327C"/>
    <w:rsid w:val="002D4ED7"/>
    <w:rsid w:val="002E15A6"/>
    <w:rsid w:val="002E41D5"/>
    <w:rsid w:val="002E6B94"/>
    <w:rsid w:val="002F0852"/>
    <w:rsid w:val="002F1D71"/>
    <w:rsid w:val="002F2F41"/>
    <w:rsid w:val="002F3686"/>
    <w:rsid w:val="002F424B"/>
    <w:rsid w:val="002F4912"/>
    <w:rsid w:val="0030426C"/>
    <w:rsid w:val="00315C1A"/>
    <w:rsid w:val="00321CD6"/>
    <w:rsid w:val="003244D0"/>
    <w:rsid w:val="00326314"/>
    <w:rsid w:val="00327428"/>
    <w:rsid w:val="00330D40"/>
    <w:rsid w:val="003336C5"/>
    <w:rsid w:val="00334547"/>
    <w:rsid w:val="0033465F"/>
    <w:rsid w:val="00342515"/>
    <w:rsid w:val="003446AE"/>
    <w:rsid w:val="00344C19"/>
    <w:rsid w:val="003510C0"/>
    <w:rsid w:val="003515FB"/>
    <w:rsid w:val="00351EB3"/>
    <w:rsid w:val="00361676"/>
    <w:rsid w:val="00361FB8"/>
    <w:rsid w:val="003721A6"/>
    <w:rsid w:val="00377DA5"/>
    <w:rsid w:val="0038418E"/>
    <w:rsid w:val="00391BCB"/>
    <w:rsid w:val="00394014"/>
    <w:rsid w:val="003965B9"/>
    <w:rsid w:val="003A1D78"/>
    <w:rsid w:val="003B6798"/>
    <w:rsid w:val="003C1D50"/>
    <w:rsid w:val="003C6B32"/>
    <w:rsid w:val="003D322D"/>
    <w:rsid w:val="003D71F7"/>
    <w:rsid w:val="003E3D0E"/>
    <w:rsid w:val="003E6EAA"/>
    <w:rsid w:val="003F00C5"/>
    <w:rsid w:val="003F1308"/>
    <w:rsid w:val="003F3A88"/>
    <w:rsid w:val="003F6AA5"/>
    <w:rsid w:val="003F72FA"/>
    <w:rsid w:val="00407FF7"/>
    <w:rsid w:val="00411449"/>
    <w:rsid w:val="004124A8"/>
    <w:rsid w:val="00412A78"/>
    <w:rsid w:val="004166F2"/>
    <w:rsid w:val="00421B26"/>
    <w:rsid w:val="00422953"/>
    <w:rsid w:val="004276CB"/>
    <w:rsid w:val="00431021"/>
    <w:rsid w:val="00431A4F"/>
    <w:rsid w:val="00435CFD"/>
    <w:rsid w:val="004371C3"/>
    <w:rsid w:val="00437434"/>
    <w:rsid w:val="004413F1"/>
    <w:rsid w:val="00442085"/>
    <w:rsid w:val="00442177"/>
    <w:rsid w:val="00442B86"/>
    <w:rsid w:val="00461EAD"/>
    <w:rsid w:val="00466565"/>
    <w:rsid w:val="0047051C"/>
    <w:rsid w:val="00471742"/>
    <w:rsid w:val="00473755"/>
    <w:rsid w:val="00474698"/>
    <w:rsid w:val="004772E9"/>
    <w:rsid w:val="004778A2"/>
    <w:rsid w:val="004840FE"/>
    <w:rsid w:val="0049175B"/>
    <w:rsid w:val="00494104"/>
    <w:rsid w:val="004A00F6"/>
    <w:rsid w:val="004A05B1"/>
    <w:rsid w:val="004A59AD"/>
    <w:rsid w:val="004A6B6F"/>
    <w:rsid w:val="004B1EBF"/>
    <w:rsid w:val="004B4F92"/>
    <w:rsid w:val="004B6074"/>
    <w:rsid w:val="004B6F1E"/>
    <w:rsid w:val="004C4A13"/>
    <w:rsid w:val="004D0C5E"/>
    <w:rsid w:val="004D3309"/>
    <w:rsid w:val="004D70CF"/>
    <w:rsid w:val="004E1CBF"/>
    <w:rsid w:val="004F3427"/>
    <w:rsid w:val="00501044"/>
    <w:rsid w:val="00504028"/>
    <w:rsid w:val="005061EB"/>
    <w:rsid w:val="00511C73"/>
    <w:rsid w:val="0051217D"/>
    <w:rsid w:val="00512EC5"/>
    <w:rsid w:val="00514CD2"/>
    <w:rsid w:val="00517C9D"/>
    <w:rsid w:val="005222E3"/>
    <w:rsid w:val="00526AE4"/>
    <w:rsid w:val="00527F0C"/>
    <w:rsid w:val="005304C3"/>
    <w:rsid w:val="005306FF"/>
    <w:rsid w:val="00532734"/>
    <w:rsid w:val="005333D0"/>
    <w:rsid w:val="0053477F"/>
    <w:rsid w:val="00544D74"/>
    <w:rsid w:val="00547406"/>
    <w:rsid w:val="005507BA"/>
    <w:rsid w:val="00550E03"/>
    <w:rsid w:val="00552BF9"/>
    <w:rsid w:val="00556F4B"/>
    <w:rsid w:val="00560E71"/>
    <w:rsid w:val="00563181"/>
    <w:rsid w:val="00565E90"/>
    <w:rsid w:val="00566F9F"/>
    <w:rsid w:val="005679E1"/>
    <w:rsid w:val="00571EDE"/>
    <w:rsid w:val="00582269"/>
    <w:rsid w:val="0058421F"/>
    <w:rsid w:val="00590A59"/>
    <w:rsid w:val="005A4366"/>
    <w:rsid w:val="005A779A"/>
    <w:rsid w:val="005B5731"/>
    <w:rsid w:val="005C2F46"/>
    <w:rsid w:val="005C40AF"/>
    <w:rsid w:val="005C4D26"/>
    <w:rsid w:val="005C5EAA"/>
    <w:rsid w:val="005D0745"/>
    <w:rsid w:val="005D2419"/>
    <w:rsid w:val="005D244C"/>
    <w:rsid w:val="005D2B60"/>
    <w:rsid w:val="005D4627"/>
    <w:rsid w:val="005D5D75"/>
    <w:rsid w:val="005D76D3"/>
    <w:rsid w:val="005E16A4"/>
    <w:rsid w:val="005E1825"/>
    <w:rsid w:val="005E64F9"/>
    <w:rsid w:val="005E7A9D"/>
    <w:rsid w:val="005F1A1C"/>
    <w:rsid w:val="00601E48"/>
    <w:rsid w:val="00605D99"/>
    <w:rsid w:val="00605E74"/>
    <w:rsid w:val="00606CFE"/>
    <w:rsid w:val="006074A2"/>
    <w:rsid w:val="00613287"/>
    <w:rsid w:val="006148F4"/>
    <w:rsid w:val="00614F9D"/>
    <w:rsid w:val="00615537"/>
    <w:rsid w:val="0061728F"/>
    <w:rsid w:val="0062095F"/>
    <w:rsid w:val="00621169"/>
    <w:rsid w:val="00623BCB"/>
    <w:rsid w:val="0063157A"/>
    <w:rsid w:val="006323AC"/>
    <w:rsid w:val="006324B4"/>
    <w:rsid w:val="006355FB"/>
    <w:rsid w:val="00636A3B"/>
    <w:rsid w:val="00637DFB"/>
    <w:rsid w:val="00637F4E"/>
    <w:rsid w:val="00645250"/>
    <w:rsid w:val="006501B4"/>
    <w:rsid w:val="006513A2"/>
    <w:rsid w:val="00652842"/>
    <w:rsid w:val="00656FB9"/>
    <w:rsid w:val="00664A9C"/>
    <w:rsid w:val="00664C48"/>
    <w:rsid w:val="0067128B"/>
    <w:rsid w:val="00671AD4"/>
    <w:rsid w:val="00674220"/>
    <w:rsid w:val="0068772E"/>
    <w:rsid w:val="006952FA"/>
    <w:rsid w:val="0069783C"/>
    <w:rsid w:val="006A2BDE"/>
    <w:rsid w:val="006A2FBE"/>
    <w:rsid w:val="006A7137"/>
    <w:rsid w:val="006B000F"/>
    <w:rsid w:val="006B341A"/>
    <w:rsid w:val="006B64E1"/>
    <w:rsid w:val="006B7B6D"/>
    <w:rsid w:val="006C18C1"/>
    <w:rsid w:val="006C3D44"/>
    <w:rsid w:val="006C4D10"/>
    <w:rsid w:val="006C5BFB"/>
    <w:rsid w:val="006C6499"/>
    <w:rsid w:val="006C7FEC"/>
    <w:rsid w:val="006D1A65"/>
    <w:rsid w:val="006D42D1"/>
    <w:rsid w:val="006D4EB9"/>
    <w:rsid w:val="006D60EB"/>
    <w:rsid w:val="006D7808"/>
    <w:rsid w:val="006D7BDE"/>
    <w:rsid w:val="006D7D08"/>
    <w:rsid w:val="006E3633"/>
    <w:rsid w:val="006E7AE6"/>
    <w:rsid w:val="006F0BFC"/>
    <w:rsid w:val="006F0F41"/>
    <w:rsid w:val="006F3C39"/>
    <w:rsid w:val="006F68FA"/>
    <w:rsid w:val="006F79A3"/>
    <w:rsid w:val="006F7C59"/>
    <w:rsid w:val="00700D6D"/>
    <w:rsid w:val="00704186"/>
    <w:rsid w:val="00705B58"/>
    <w:rsid w:val="007142E1"/>
    <w:rsid w:val="00723EB0"/>
    <w:rsid w:val="007245DB"/>
    <w:rsid w:val="00731E2D"/>
    <w:rsid w:val="00735CFE"/>
    <w:rsid w:val="00735D4D"/>
    <w:rsid w:val="00736D02"/>
    <w:rsid w:val="007378C7"/>
    <w:rsid w:val="00746BDA"/>
    <w:rsid w:val="00750FED"/>
    <w:rsid w:val="0075364F"/>
    <w:rsid w:val="00753800"/>
    <w:rsid w:val="00756950"/>
    <w:rsid w:val="00756F1B"/>
    <w:rsid w:val="00762BA6"/>
    <w:rsid w:val="00763BB2"/>
    <w:rsid w:val="00766432"/>
    <w:rsid w:val="0077217B"/>
    <w:rsid w:val="00774DE6"/>
    <w:rsid w:val="00775BDC"/>
    <w:rsid w:val="00780743"/>
    <w:rsid w:val="00782759"/>
    <w:rsid w:val="00785DB2"/>
    <w:rsid w:val="007924D9"/>
    <w:rsid w:val="00793313"/>
    <w:rsid w:val="00793984"/>
    <w:rsid w:val="007A4077"/>
    <w:rsid w:val="007A5EF8"/>
    <w:rsid w:val="007A699E"/>
    <w:rsid w:val="007B3CB6"/>
    <w:rsid w:val="007B781C"/>
    <w:rsid w:val="007C1EAC"/>
    <w:rsid w:val="007C47B0"/>
    <w:rsid w:val="007C4A7C"/>
    <w:rsid w:val="007C5E13"/>
    <w:rsid w:val="007C69CC"/>
    <w:rsid w:val="007D3DA0"/>
    <w:rsid w:val="007D56BA"/>
    <w:rsid w:val="007D5938"/>
    <w:rsid w:val="007E2700"/>
    <w:rsid w:val="007E3D5F"/>
    <w:rsid w:val="007E3F26"/>
    <w:rsid w:val="007E5A0E"/>
    <w:rsid w:val="007E6A7E"/>
    <w:rsid w:val="007F0BFC"/>
    <w:rsid w:val="007F0F47"/>
    <w:rsid w:val="007F1AE3"/>
    <w:rsid w:val="007F2290"/>
    <w:rsid w:val="007F2D79"/>
    <w:rsid w:val="007F4964"/>
    <w:rsid w:val="007F4D7D"/>
    <w:rsid w:val="007F5BE0"/>
    <w:rsid w:val="007F5C1E"/>
    <w:rsid w:val="007F7D74"/>
    <w:rsid w:val="00802BF7"/>
    <w:rsid w:val="00803BD7"/>
    <w:rsid w:val="00821A50"/>
    <w:rsid w:val="00826D61"/>
    <w:rsid w:val="00834C5F"/>
    <w:rsid w:val="00836AB5"/>
    <w:rsid w:val="00840B26"/>
    <w:rsid w:val="00841702"/>
    <w:rsid w:val="00841C54"/>
    <w:rsid w:val="008423D2"/>
    <w:rsid w:val="00842A00"/>
    <w:rsid w:val="0084796F"/>
    <w:rsid w:val="008535F0"/>
    <w:rsid w:val="00855284"/>
    <w:rsid w:val="008656DE"/>
    <w:rsid w:val="0086577F"/>
    <w:rsid w:val="0087287E"/>
    <w:rsid w:val="00873B15"/>
    <w:rsid w:val="00875EA3"/>
    <w:rsid w:val="00876379"/>
    <w:rsid w:val="00881AEF"/>
    <w:rsid w:val="00884ED3"/>
    <w:rsid w:val="008852A8"/>
    <w:rsid w:val="00891B6E"/>
    <w:rsid w:val="008956AB"/>
    <w:rsid w:val="008961BE"/>
    <w:rsid w:val="00897C8C"/>
    <w:rsid w:val="008A5AC1"/>
    <w:rsid w:val="008A6A71"/>
    <w:rsid w:val="008B3D31"/>
    <w:rsid w:val="008B49E5"/>
    <w:rsid w:val="008B4E75"/>
    <w:rsid w:val="008B5036"/>
    <w:rsid w:val="008B7218"/>
    <w:rsid w:val="008C3428"/>
    <w:rsid w:val="008C50F9"/>
    <w:rsid w:val="008C5796"/>
    <w:rsid w:val="008D173F"/>
    <w:rsid w:val="008D2A9B"/>
    <w:rsid w:val="008D53C3"/>
    <w:rsid w:val="008D67EE"/>
    <w:rsid w:val="008D6E29"/>
    <w:rsid w:val="008D71E0"/>
    <w:rsid w:val="008E0874"/>
    <w:rsid w:val="008E1848"/>
    <w:rsid w:val="008E5CC0"/>
    <w:rsid w:val="008E7538"/>
    <w:rsid w:val="008E7C0B"/>
    <w:rsid w:val="008F2528"/>
    <w:rsid w:val="008F6E7E"/>
    <w:rsid w:val="009012F2"/>
    <w:rsid w:val="009025AF"/>
    <w:rsid w:val="00905FC4"/>
    <w:rsid w:val="009071F7"/>
    <w:rsid w:val="00907EC7"/>
    <w:rsid w:val="00910D61"/>
    <w:rsid w:val="00923BB3"/>
    <w:rsid w:val="009244E8"/>
    <w:rsid w:val="00926202"/>
    <w:rsid w:val="00931296"/>
    <w:rsid w:val="00933F5C"/>
    <w:rsid w:val="00933FB1"/>
    <w:rsid w:val="00935795"/>
    <w:rsid w:val="00945DA0"/>
    <w:rsid w:val="009549EF"/>
    <w:rsid w:val="009553C0"/>
    <w:rsid w:val="0095566F"/>
    <w:rsid w:val="009562EA"/>
    <w:rsid w:val="00960326"/>
    <w:rsid w:val="00962017"/>
    <w:rsid w:val="00965EE2"/>
    <w:rsid w:val="00971011"/>
    <w:rsid w:val="0097523A"/>
    <w:rsid w:val="0097795C"/>
    <w:rsid w:val="00980E5C"/>
    <w:rsid w:val="00983DA8"/>
    <w:rsid w:val="009842D8"/>
    <w:rsid w:val="00996D1F"/>
    <w:rsid w:val="00996E7E"/>
    <w:rsid w:val="009A0319"/>
    <w:rsid w:val="009B04F3"/>
    <w:rsid w:val="009B3B10"/>
    <w:rsid w:val="009B3F6A"/>
    <w:rsid w:val="009B4AF8"/>
    <w:rsid w:val="009B4CFA"/>
    <w:rsid w:val="009B5FDC"/>
    <w:rsid w:val="009C11E0"/>
    <w:rsid w:val="009C2713"/>
    <w:rsid w:val="009C2F2A"/>
    <w:rsid w:val="009C7A29"/>
    <w:rsid w:val="009D2A04"/>
    <w:rsid w:val="009D4485"/>
    <w:rsid w:val="009D6D51"/>
    <w:rsid w:val="009E0C45"/>
    <w:rsid w:val="009E648B"/>
    <w:rsid w:val="009F340D"/>
    <w:rsid w:val="009F40CA"/>
    <w:rsid w:val="009F6672"/>
    <w:rsid w:val="009F7510"/>
    <w:rsid w:val="009F7F56"/>
    <w:rsid w:val="00A025D1"/>
    <w:rsid w:val="00A0345E"/>
    <w:rsid w:val="00A04E6C"/>
    <w:rsid w:val="00A127E5"/>
    <w:rsid w:val="00A148E4"/>
    <w:rsid w:val="00A16AC1"/>
    <w:rsid w:val="00A16ADA"/>
    <w:rsid w:val="00A17461"/>
    <w:rsid w:val="00A22C8D"/>
    <w:rsid w:val="00A23219"/>
    <w:rsid w:val="00A24F39"/>
    <w:rsid w:val="00A272B6"/>
    <w:rsid w:val="00A32E01"/>
    <w:rsid w:val="00A33326"/>
    <w:rsid w:val="00A35E7D"/>
    <w:rsid w:val="00A35EFA"/>
    <w:rsid w:val="00A44CF0"/>
    <w:rsid w:val="00A45127"/>
    <w:rsid w:val="00A45409"/>
    <w:rsid w:val="00A46EF2"/>
    <w:rsid w:val="00A46F30"/>
    <w:rsid w:val="00A61255"/>
    <w:rsid w:val="00A61840"/>
    <w:rsid w:val="00A626CD"/>
    <w:rsid w:val="00A641C9"/>
    <w:rsid w:val="00A644A3"/>
    <w:rsid w:val="00A67741"/>
    <w:rsid w:val="00A71058"/>
    <w:rsid w:val="00A72CD9"/>
    <w:rsid w:val="00A73741"/>
    <w:rsid w:val="00A738B9"/>
    <w:rsid w:val="00A77ADF"/>
    <w:rsid w:val="00A867BA"/>
    <w:rsid w:val="00A87861"/>
    <w:rsid w:val="00A91A88"/>
    <w:rsid w:val="00A93151"/>
    <w:rsid w:val="00A96832"/>
    <w:rsid w:val="00AA2C75"/>
    <w:rsid w:val="00AA3379"/>
    <w:rsid w:val="00AA3D00"/>
    <w:rsid w:val="00AB73DC"/>
    <w:rsid w:val="00AC2E24"/>
    <w:rsid w:val="00AC362D"/>
    <w:rsid w:val="00AC4027"/>
    <w:rsid w:val="00AC61AC"/>
    <w:rsid w:val="00AC6AA6"/>
    <w:rsid w:val="00AD6C40"/>
    <w:rsid w:val="00AD7CBC"/>
    <w:rsid w:val="00AD7CE5"/>
    <w:rsid w:val="00AE0303"/>
    <w:rsid w:val="00AE059D"/>
    <w:rsid w:val="00AF5632"/>
    <w:rsid w:val="00AF78FD"/>
    <w:rsid w:val="00B0107E"/>
    <w:rsid w:val="00B05543"/>
    <w:rsid w:val="00B05C8E"/>
    <w:rsid w:val="00B06466"/>
    <w:rsid w:val="00B1591E"/>
    <w:rsid w:val="00B2551D"/>
    <w:rsid w:val="00B27B16"/>
    <w:rsid w:val="00B30E83"/>
    <w:rsid w:val="00B3173A"/>
    <w:rsid w:val="00B378FF"/>
    <w:rsid w:val="00B40671"/>
    <w:rsid w:val="00B419AA"/>
    <w:rsid w:val="00B42E74"/>
    <w:rsid w:val="00B47D80"/>
    <w:rsid w:val="00B504C9"/>
    <w:rsid w:val="00B53135"/>
    <w:rsid w:val="00B61B67"/>
    <w:rsid w:val="00B61EF8"/>
    <w:rsid w:val="00B62989"/>
    <w:rsid w:val="00B63807"/>
    <w:rsid w:val="00B64ED3"/>
    <w:rsid w:val="00B707CA"/>
    <w:rsid w:val="00B72211"/>
    <w:rsid w:val="00B72373"/>
    <w:rsid w:val="00B76706"/>
    <w:rsid w:val="00B7722C"/>
    <w:rsid w:val="00B81743"/>
    <w:rsid w:val="00B8277C"/>
    <w:rsid w:val="00B83CEE"/>
    <w:rsid w:val="00B84981"/>
    <w:rsid w:val="00B85F5C"/>
    <w:rsid w:val="00B874DD"/>
    <w:rsid w:val="00B91DA9"/>
    <w:rsid w:val="00B942EA"/>
    <w:rsid w:val="00B96B8A"/>
    <w:rsid w:val="00BA2680"/>
    <w:rsid w:val="00BA2749"/>
    <w:rsid w:val="00BB1883"/>
    <w:rsid w:val="00BB7AE7"/>
    <w:rsid w:val="00BC047B"/>
    <w:rsid w:val="00BC277D"/>
    <w:rsid w:val="00BC50CC"/>
    <w:rsid w:val="00BC5510"/>
    <w:rsid w:val="00BD5065"/>
    <w:rsid w:val="00BD5FF4"/>
    <w:rsid w:val="00BD73E7"/>
    <w:rsid w:val="00BE26D8"/>
    <w:rsid w:val="00BE2A19"/>
    <w:rsid w:val="00BE7041"/>
    <w:rsid w:val="00BF1FA9"/>
    <w:rsid w:val="00BF26F3"/>
    <w:rsid w:val="00BF3D61"/>
    <w:rsid w:val="00BF5062"/>
    <w:rsid w:val="00BF5157"/>
    <w:rsid w:val="00BF6110"/>
    <w:rsid w:val="00C01794"/>
    <w:rsid w:val="00C048EE"/>
    <w:rsid w:val="00C05E32"/>
    <w:rsid w:val="00C06702"/>
    <w:rsid w:val="00C11CED"/>
    <w:rsid w:val="00C12EC2"/>
    <w:rsid w:val="00C17572"/>
    <w:rsid w:val="00C179AF"/>
    <w:rsid w:val="00C20478"/>
    <w:rsid w:val="00C22715"/>
    <w:rsid w:val="00C2374F"/>
    <w:rsid w:val="00C26575"/>
    <w:rsid w:val="00C27006"/>
    <w:rsid w:val="00C317C8"/>
    <w:rsid w:val="00C31D3B"/>
    <w:rsid w:val="00C321CE"/>
    <w:rsid w:val="00C33519"/>
    <w:rsid w:val="00C33CE1"/>
    <w:rsid w:val="00C368E9"/>
    <w:rsid w:val="00C402F6"/>
    <w:rsid w:val="00C4154A"/>
    <w:rsid w:val="00C4204E"/>
    <w:rsid w:val="00C42192"/>
    <w:rsid w:val="00C44BFD"/>
    <w:rsid w:val="00C52982"/>
    <w:rsid w:val="00C5364C"/>
    <w:rsid w:val="00C5500C"/>
    <w:rsid w:val="00C56797"/>
    <w:rsid w:val="00C62795"/>
    <w:rsid w:val="00C65330"/>
    <w:rsid w:val="00C66982"/>
    <w:rsid w:val="00C66DE9"/>
    <w:rsid w:val="00C70BBD"/>
    <w:rsid w:val="00C73218"/>
    <w:rsid w:val="00C746C7"/>
    <w:rsid w:val="00C763A3"/>
    <w:rsid w:val="00C779A2"/>
    <w:rsid w:val="00C8086E"/>
    <w:rsid w:val="00C84381"/>
    <w:rsid w:val="00C843D9"/>
    <w:rsid w:val="00C863EA"/>
    <w:rsid w:val="00C9156A"/>
    <w:rsid w:val="00C92165"/>
    <w:rsid w:val="00C927A2"/>
    <w:rsid w:val="00C946E9"/>
    <w:rsid w:val="00C9652C"/>
    <w:rsid w:val="00CA1EEE"/>
    <w:rsid w:val="00CA2E30"/>
    <w:rsid w:val="00CA5E21"/>
    <w:rsid w:val="00CA6202"/>
    <w:rsid w:val="00CA7F05"/>
    <w:rsid w:val="00CB06F7"/>
    <w:rsid w:val="00CB0DD5"/>
    <w:rsid w:val="00CC2703"/>
    <w:rsid w:val="00CC2E0B"/>
    <w:rsid w:val="00CC3DF6"/>
    <w:rsid w:val="00CC3E29"/>
    <w:rsid w:val="00CC7198"/>
    <w:rsid w:val="00CD23F1"/>
    <w:rsid w:val="00CD2DD4"/>
    <w:rsid w:val="00CD50F8"/>
    <w:rsid w:val="00CD6139"/>
    <w:rsid w:val="00CE1299"/>
    <w:rsid w:val="00CE59A8"/>
    <w:rsid w:val="00CE6E34"/>
    <w:rsid w:val="00CF4626"/>
    <w:rsid w:val="00CF58A4"/>
    <w:rsid w:val="00CF74C4"/>
    <w:rsid w:val="00D01879"/>
    <w:rsid w:val="00D02631"/>
    <w:rsid w:val="00D026D3"/>
    <w:rsid w:val="00D03EB1"/>
    <w:rsid w:val="00D044A1"/>
    <w:rsid w:val="00D05983"/>
    <w:rsid w:val="00D107F4"/>
    <w:rsid w:val="00D12391"/>
    <w:rsid w:val="00D1411E"/>
    <w:rsid w:val="00D1505F"/>
    <w:rsid w:val="00D15BBB"/>
    <w:rsid w:val="00D168CC"/>
    <w:rsid w:val="00D21B8E"/>
    <w:rsid w:val="00D25266"/>
    <w:rsid w:val="00D26847"/>
    <w:rsid w:val="00D26BB2"/>
    <w:rsid w:val="00D31A4B"/>
    <w:rsid w:val="00D341FB"/>
    <w:rsid w:val="00D379C3"/>
    <w:rsid w:val="00D523FC"/>
    <w:rsid w:val="00D53E80"/>
    <w:rsid w:val="00D56031"/>
    <w:rsid w:val="00D56D98"/>
    <w:rsid w:val="00D605CB"/>
    <w:rsid w:val="00D60D4C"/>
    <w:rsid w:val="00D60E8E"/>
    <w:rsid w:val="00D6724C"/>
    <w:rsid w:val="00D7015F"/>
    <w:rsid w:val="00D715CC"/>
    <w:rsid w:val="00D71955"/>
    <w:rsid w:val="00D73493"/>
    <w:rsid w:val="00D75B17"/>
    <w:rsid w:val="00D80E77"/>
    <w:rsid w:val="00D80EC9"/>
    <w:rsid w:val="00D81280"/>
    <w:rsid w:val="00D839ED"/>
    <w:rsid w:val="00D86128"/>
    <w:rsid w:val="00D8646A"/>
    <w:rsid w:val="00D90AAB"/>
    <w:rsid w:val="00D91516"/>
    <w:rsid w:val="00D91FF4"/>
    <w:rsid w:val="00D97973"/>
    <w:rsid w:val="00DA05E7"/>
    <w:rsid w:val="00DA6223"/>
    <w:rsid w:val="00DA7A42"/>
    <w:rsid w:val="00DB03ED"/>
    <w:rsid w:val="00DB251B"/>
    <w:rsid w:val="00DB34CC"/>
    <w:rsid w:val="00DB37B8"/>
    <w:rsid w:val="00DB724A"/>
    <w:rsid w:val="00DC0205"/>
    <w:rsid w:val="00DC238A"/>
    <w:rsid w:val="00DC30F4"/>
    <w:rsid w:val="00DC418A"/>
    <w:rsid w:val="00DC4DBD"/>
    <w:rsid w:val="00DC5F59"/>
    <w:rsid w:val="00DC5FE6"/>
    <w:rsid w:val="00DC67AD"/>
    <w:rsid w:val="00DC7BD7"/>
    <w:rsid w:val="00DD4344"/>
    <w:rsid w:val="00DD7BC7"/>
    <w:rsid w:val="00DE4B78"/>
    <w:rsid w:val="00DF44F7"/>
    <w:rsid w:val="00DF465D"/>
    <w:rsid w:val="00DF5D0D"/>
    <w:rsid w:val="00E031EF"/>
    <w:rsid w:val="00E07170"/>
    <w:rsid w:val="00E177E5"/>
    <w:rsid w:val="00E204A4"/>
    <w:rsid w:val="00E24F71"/>
    <w:rsid w:val="00E25AF7"/>
    <w:rsid w:val="00E26452"/>
    <w:rsid w:val="00E267D0"/>
    <w:rsid w:val="00E309EE"/>
    <w:rsid w:val="00E31ED2"/>
    <w:rsid w:val="00E323CB"/>
    <w:rsid w:val="00E32FA3"/>
    <w:rsid w:val="00E3712C"/>
    <w:rsid w:val="00E42985"/>
    <w:rsid w:val="00E433B4"/>
    <w:rsid w:val="00E45685"/>
    <w:rsid w:val="00E5344F"/>
    <w:rsid w:val="00E61B48"/>
    <w:rsid w:val="00E62400"/>
    <w:rsid w:val="00E63422"/>
    <w:rsid w:val="00E66CF5"/>
    <w:rsid w:val="00E67087"/>
    <w:rsid w:val="00E7164F"/>
    <w:rsid w:val="00E74C11"/>
    <w:rsid w:val="00E91F81"/>
    <w:rsid w:val="00E94EE0"/>
    <w:rsid w:val="00E9679B"/>
    <w:rsid w:val="00E96FF5"/>
    <w:rsid w:val="00EA2724"/>
    <w:rsid w:val="00EA665D"/>
    <w:rsid w:val="00EB12F4"/>
    <w:rsid w:val="00EB3142"/>
    <w:rsid w:val="00EB3F6E"/>
    <w:rsid w:val="00EB5DEA"/>
    <w:rsid w:val="00EB6E78"/>
    <w:rsid w:val="00EC105F"/>
    <w:rsid w:val="00EC3914"/>
    <w:rsid w:val="00EC5F10"/>
    <w:rsid w:val="00ED2692"/>
    <w:rsid w:val="00ED3A70"/>
    <w:rsid w:val="00ED5628"/>
    <w:rsid w:val="00ED750C"/>
    <w:rsid w:val="00EE5C1F"/>
    <w:rsid w:val="00EF0ED5"/>
    <w:rsid w:val="00EF265A"/>
    <w:rsid w:val="00EF3A95"/>
    <w:rsid w:val="00EF6181"/>
    <w:rsid w:val="00EF77EA"/>
    <w:rsid w:val="00F02DEB"/>
    <w:rsid w:val="00F034A3"/>
    <w:rsid w:val="00F13E32"/>
    <w:rsid w:val="00F1444D"/>
    <w:rsid w:val="00F21C10"/>
    <w:rsid w:val="00F21F22"/>
    <w:rsid w:val="00F237D5"/>
    <w:rsid w:val="00F259F8"/>
    <w:rsid w:val="00F26C26"/>
    <w:rsid w:val="00F271C0"/>
    <w:rsid w:val="00F27C6B"/>
    <w:rsid w:val="00F27E7C"/>
    <w:rsid w:val="00F305B3"/>
    <w:rsid w:val="00F308C8"/>
    <w:rsid w:val="00F320D6"/>
    <w:rsid w:val="00F41E8D"/>
    <w:rsid w:val="00F55541"/>
    <w:rsid w:val="00F575F7"/>
    <w:rsid w:val="00F609FC"/>
    <w:rsid w:val="00F636E9"/>
    <w:rsid w:val="00F65B11"/>
    <w:rsid w:val="00F66444"/>
    <w:rsid w:val="00F713FC"/>
    <w:rsid w:val="00F71F27"/>
    <w:rsid w:val="00F76ECF"/>
    <w:rsid w:val="00F77C1D"/>
    <w:rsid w:val="00F826A7"/>
    <w:rsid w:val="00F8284A"/>
    <w:rsid w:val="00F9619F"/>
    <w:rsid w:val="00F972EF"/>
    <w:rsid w:val="00FA3E66"/>
    <w:rsid w:val="00FA4142"/>
    <w:rsid w:val="00FB2E5D"/>
    <w:rsid w:val="00FB520A"/>
    <w:rsid w:val="00FB554C"/>
    <w:rsid w:val="00FC1C2D"/>
    <w:rsid w:val="00FC327F"/>
    <w:rsid w:val="00FC371E"/>
    <w:rsid w:val="00FC3FDB"/>
    <w:rsid w:val="00FC45D1"/>
    <w:rsid w:val="00FC5B6B"/>
    <w:rsid w:val="00FC624B"/>
    <w:rsid w:val="00FC62D9"/>
    <w:rsid w:val="00FD2EF2"/>
    <w:rsid w:val="00FD4027"/>
    <w:rsid w:val="00FE2FE7"/>
    <w:rsid w:val="00FE3441"/>
    <w:rsid w:val="00FE7F54"/>
    <w:rsid w:val="00FF613D"/>
    <w:rsid w:val="00FF6D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3AE2"/>
  <w15:chartTrackingRefBased/>
  <w15:docId w15:val="{7A3F719B-53BC-4339-BE41-7EEC28F4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7C"/>
    <w:pPr>
      <w:tabs>
        <w:tab w:val="center" w:pos="4513"/>
        <w:tab w:val="right" w:pos="9026"/>
      </w:tabs>
      <w:spacing w:line="240" w:lineRule="auto"/>
    </w:pPr>
  </w:style>
  <w:style w:type="character" w:customStyle="1" w:styleId="HeaderChar">
    <w:name w:val="Header Char"/>
    <w:basedOn w:val="DefaultParagraphFont"/>
    <w:link w:val="Header"/>
    <w:uiPriority w:val="99"/>
    <w:rsid w:val="007C4A7C"/>
  </w:style>
  <w:style w:type="paragraph" w:styleId="Footer">
    <w:name w:val="footer"/>
    <w:basedOn w:val="Normal"/>
    <w:link w:val="FooterChar"/>
    <w:uiPriority w:val="99"/>
    <w:unhideWhenUsed/>
    <w:rsid w:val="007C4A7C"/>
    <w:pPr>
      <w:tabs>
        <w:tab w:val="center" w:pos="4513"/>
        <w:tab w:val="right" w:pos="9026"/>
      </w:tabs>
      <w:spacing w:line="240" w:lineRule="auto"/>
    </w:pPr>
  </w:style>
  <w:style w:type="character" w:customStyle="1" w:styleId="FooterChar">
    <w:name w:val="Footer Char"/>
    <w:basedOn w:val="DefaultParagraphFont"/>
    <w:link w:val="Footer"/>
    <w:uiPriority w:val="99"/>
    <w:rsid w:val="007C4A7C"/>
  </w:style>
  <w:style w:type="paragraph" w:styleId="FootnoteText">
    <w:name w:val="footnote text"/>
    <w:basedOn w:val="Normal"/>
    <w:link w:val="FootnoteTextChar"/>
    <w:uiPriority w:val="99"/>
    <w:semiHidden/>
    <w:unhideWhenUsed/>
    <w:rsid w:val="00664A9C"/>
    <w:pPr>
      <w:spacing w:line="240" w:lineRule="auto"/>
    </w:pPr>
    <w:rPr>
      <w:sz w:val="20"/>
      <w:szCs w:val="20"/>
    </w:rPr>
  </w:style>
  <w:style w:type="character" w:customStyle="1" w:styleId="FootnoteTextChar">
    <w:name w:val="Footnote Text Char"/>
    <w:basedOn w:val="DefaultParagraphFont"/>
    <w:link w:val="FootnoteText"/>
    <w:uiPriority w:val="99"/>
    <w:semiHidden/>
    <w:rsid w:val="00664A9C"/>
    <w:rPr>
      <w:sz w:val="20"/>
      <w:szCs w:val="20"/>
    </w:rPr>
  </w:style>
  <w:style w:type="character" w:styleId="FootnoteReference">
    <w:name w:val="footnote reference"/>
    <w:basedOn w:val="DefaultParagraphFont"/>
    <w:uiPriority w:val="99"/>
    <w:semiHidden/>
    <w:unhideWhenUsed/>
    <w:rsid w:val="00664A9C"/>
    <w:rPr>
      <w:vertAlign w:val="superscript"/>
    </w:rPr>
  </w:style>
  <w:style w:type="paragraph" w:styleId="BalloonText">
    <w:name w:val="Balloon Text"/>
    <w:basedOn w:val="Normal"/>
    <w:link w:val="BalloonTextChar"/>
    <w:uiPriority w:val="99"/>
    <w:semiHidden/>
    <w:unhideWhenUsed/>
    <w:rsid w:val="009620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17"/>
    <w:rPr>
      <w:rFonts w:ascii="Segoe UI" w:hAnsi="Segoe UI" w:cs="Segoe UI"/>
      <w:sz w:val="18"/>
      <w:szCs w:val="18"/>
    </w:rPr>
  </w:style>
  <w:style w:type="character" w:styleId="Hyperlink">
    <w:name w:val="Hyperlink"/>
    <w:basedOn w:val="DefaultParagraphFont"/>
    <w:uiPriority w:val="99"/>
    <w:semiHidden/>
    <w:unhideWhenUsed/>
    <w:rsid w:val="00A626CD"/>
    <w:rPr>
      <w:color w:val="0000FF"/>
      <w:u w:val="single"/>
    </w:rPr>
  </w:style>
  <w:style w:type="paragraph" w:styleId="ListParagraph">
    <w:name w:val="List Paragraph"/>
    <w:basedOn w:val="Normal"/>
    <w:uiPriority w:val="34"/>
    <w:qFormat/>
    <w:rsid w:val="00933F5C"/>
    <w:pPr>
      <w:ind w:left="720"/>
      <w:contextualSpacing/>
    </w:pPr>
  </w:style>
  <w:style w:type="character" w:styleId="CommentReference">
    <w:name w:val="annotation reference"/>
    <w:basedOn w:val="DefaultParagraphFont"/>
    <w:uiPriority w:val="99"/>
    <w:semiHidden/>
    <w:unhideWhenUsed/>
    <w:rsid w:val="0047051C"/>
    <w:rPr>
      <w:sz w:val="16"/>
      <w:szCs w:val="16"/>
    </w:rPr>
  </w:style>
  <w:style w:type="paragraph" w:styleId="CommentText">
    <w:name w:val="annotation text"/>
    <w:basedOn w:val="Normal"/>
    <w:link w:val="CommentTextChar"/>
    <w:uiPriority w:val="99"/>
    <w:unhideWhenUsed/>
    <w:rsid w:val="0047051C"/>
    <w:pPr>
      <w:spacing w:line="240" w:lineRule="auto"/>
    </w:pPr>
    <w:rPr>
      <w:sz w:val="20"/>
      <w:szCs w:val="20"/>
    </w:rPr>
  </w:style>
  <w:style w:type="character" w:customStyle="1" w:styleId="CommentTextChar">
    <w:name w:val="Comment Text Char"/>
    <w:basedOn w:val="DefaultParagraphFont"/>
    <w:link w:val="CommentText"/>
    <w:uiPriority w:val="99"/>
    <w:rsid w:val="0047051C"/>
    <w:rPr>
      <w:sz w:val="20"/>
      <w:szCs w:val="20"/>
    </w:rPr>
  </w:style>
  <w:style w:type="paragraph" w:styleId="CommentSubject">
    <w:name w:val="annotation subject"/>
    <w:basedOn w:val="CommentText"/>
    <w:next w:val="CommentText"/>
    <w:link w:val="CommentSubjectChar"/>
    <w:uiPriority w:val="99"/>
    <w:semiHidden/>
    <w:unhideWhenUsed/>
    <w:rsid w:val="0047051C"/>
    <w:rPr>
      <w:b/>
      <w:bCs/>
    </w:rPr>
  </w:style>
  <w:style w:type="character" w:customStyle="1" w:styleId="CommentSubjectChar">
    <w:name w:val="Comment Subject Char"/>
    <w:basedOn w:val="CommentTextChar"/>
    <w:link w:val="CommentSubject"/>
    <w:uiPriority w:val="99"/>
    <w:semiHidden/>
    <w:rsid w:val="004705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25684-F0BD-4745-BC4D-BBED5951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Mokone</cp:lastModifiedBy>
  <cp:revision>2</cp:revision>
  <cp:lastPrinted>2023-04-03T08:26:00Z</cp:lastPrinted>
  <dcterms:created xsi:type="dcterms:W3CDTF">2023-04-04T15:07:00Z</dcterms:created>
  <dcterms:modified xsi:type="dcterms:W3CDTF">2023-04-04T15:07:00Z</dcterms:modified>
</cp:coreProperties>
</file>