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3B9C4" w14:textId="77777777" w:rsidR="00093FE8" w:rsidRPr="00795D1B" w:rsidRDefault="00E20B43" w:rsidP="00501A3C">
      <w:pPr>
        <w:spacing w:after="0" w:line="360" w:lineRule="auto"/>
        <w:rPr>
          <w:rFonts w:ascii="Times New Roman" w:hAnsi="Times New Roman" w:cs="Times New Roman"/>
          <w:b/>
          <w:bCs/>
          <w:sz w:val="24"/>
          <w:szCs w:val="24"/>
        </w:rPr>
      </w:pPr>
      <w:r w:rsidRPr="00795D1B">
        <w:rPr>
          <w:noProof/>
          <w:sz w:val="24"/>
          <w:szCs w:val="24"/>
          <w:lang w:val="en-US"/>
        </w:rPr>
        <w:drawing>
          <wp:anchor distT="0" distB="0" distL="114300" distR="114300" simplePos="0" relativeHeight="251659264" behindDoc="0" locked="0" layoutInCell="1" allowOverlap="1" wp14:anchorId="28F419E5" wp14:editId="37922FB2">
            <wp:simplePos x="0" y="0"/>
            <wp:positionH relativeFrom="page">
              <wp:posOffset>3380105</wp:posOffset>
            </wp:positionH>
            <wp:positionV relativeFrom="paragraph">
              <wp:posOffset>442</wp:posOffset>
            </wp:positionV>
            <wp:extent cx="799200" cy="9144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08FA8280" w14:textId="77777777" w:rsidR="00501A3C" w:rsidRPr="00795D1B" w:rsidRDefault="00501A3C" w:rsidP="00501A3C">
      <w:pPr>
        <w:spacing w:after="0" w:line="360" w:lineRule="auto"/>
        <w:rPr>
          <w:rFonts w:ascii="Times New Roman" w:hAnsi="Times New Roman" w:cs="Times New Roman"/>
          <w:b/>
          <w:bCs/>
          <w:sz w:val="24"/>
          <w:szCs w:val="24"/>
        </w:rPr>
      </w:pPr>
    </w:p>
    <w:p w14:paraId="0D6D2A5E" w14:textId="77777777" w:rsidR="00795D1B" w:rsidRPr="00795D1B" w:rsidRDefault="00795D1B" w:rsidP="00501A3C">
      <w:pPr>
        <w:spacing w:after="0" w:line="360" w:lineRule="auto"/>
        <w:rPr>
          <w:rFonts w:ascii="Times New Roman" w:hAnsi="Times New Roman" w:cs="Times New Roman"/>
          <w:b/>
          <w:bCs/>
          <w:sz w:val="24"/>
          <w:szCs w:val="24"/>
        </w:rPr>
      </w:pPr>
    </w:p>
    <w:p w14:paraId="2FFEFEAA" w14:textId="77777777" w:rsidR="00012E84" w:rsidRPr="000D5127" w:rsidRDefault="00012E84" w:rsidP="000D5127">
      <w:pPr>
        <w:spacing w:after="0" w:line="360" w:lineRule="auto"/>
        <w:rPr>
          <w:rFonts w:ascii="Arial" w:hAnsi="Arial" w:cs="Arial"/>
          <w:bCs/>
          <w:sz w:val="24"/>
          <w:szCs w:val="24"/>
        </w:rPr>
      </w:pPr>
    </w:p>
    <w:p w14:paraId="647C812B" w14:textId="77777777" w:rsidR="00012E84" w:rsidRPr="000D5127" w:rsidRDefault="00012E84" w:rsidP="00FB65A2">
      <w:pPr>
        <w:spacing w:after="0" w:line="360" w:lineRule="auto"/>
        <w:jc w:val="center"/>
        <w:rPr>
          <w:rFonts w:ascii="Arial" w:hAnsi="Arial" w:cs="Arial"/>
          <w:bCs/>
          <w:sz w:val="24"/>
          <w:szCs w:val="24"/>
        </w:rPr>
      </w:pPr>
    </w:p>
    <w:p w14:paraId="17743E6B" w14:textId="77777777" w:rsidR="00E20B43" w:rsidRPr="00795D1B" w:rsidRDefault="00E20B43" w:rsidP="00FB65A2">
      <w:pPr>
        <w:spacing w:after="0" w:line="360" w:lineRule="auto"/>
        <w:jc w:val="center"/>
        <w:rPr>
          <w:rFonts w:ascii="Arial" w:hAnsi="Arial" w:cs="Arial"/>
          <w:b/>
          <w:bCs/>
          <w:sz w:val="24"/>
          <w:szCs w:val="24"/>
        </w:rPr>
      </w:pPr>
      <w:r w:rsidRPr="000D5127">
        <w:rPr>
          <w:rFonts w:ascii="Arial" w:hAnsi="Arial" w:cs="Arial"/>
          <w:b/>
          <w:bCs/>
          <w:sz w:val="24"/>
          <w:szCs w:val="24"/>
        </w:rPr>
        <w:t>THE SUPREME COURT OF</w:t>
      </w:r>
      <w:r w:rsidRPr="000D5127">
        <w:rPr>
          <w:rFonts w:ascii="Arial" w:hAnsi="Arial" w:cs="Arial"/>
          <w:bCs/>
          <w:sz w:val="24"/>
          <w:szCs w:val="24"/>
        </w:rPr>
        <w:t xml:space="preserve"> </w:t>
      </w:r>
      <w:r w:rsidRPr="00795D1B">
        <w:rPr>
          <w:rFonts w:ascii="Arial" w:hAnsi="Arial" w:cs="Arial"/>
          <w:b/>
          <w:bCs/>
          <w:sz w:val="24"/>
          <w:szCs w:val="24"/>
        </w:rPr>
        <w:t>APPEAL OF SOUTH AFRICA</w:t>
      </w:r>
    </w:p>
    <w:p w14:paraId="618B42A5" w14:textId="77777777" w:rsidR="007C22BA" w:rsidRDefault="00E20B43" w:rsidP="00012E84">
      <w:pPr>
        <w:pStyle w:val="Heading3"/>
        <w:spacing w:line="360" w:lineRule="auto"/>
        <w:rPr>
          <w:rFonts w:ascii="Arial" w:hAnsi="Arial" w:cs="Arial"/>
          <w:sz w:val="24"/>
          <w:szCs w:val="24"/>
          <w:lang w:val="en-GB"/>
        </w:rPr>
      </w:pPr>
      <w:r w:rsidRPr="00501A3C">
        <w:rPr>
          <w:rFonts w:ascii="Arial" w:hAnsi="Arial" w:cs="Arial"/>
          <w:sz w:val="24"/>
          <w:szCs w:val="24"/>
          <w:lang w:val="en-GB"/>
        </w:rPr>
        <w:t>JUDGMENT</w:t>
      </w:r>
    </w:p>
    <w:p w14:paraId="32A80151" w14:textId="7C6B2C20" w:rsidR="00012E84" w:rsidRPr="00012E84" w:rsidRDefault="00012E84" w:rsidP="00012E84">
      <w:pPr>
        <w:spacing w:after="0" w:line="240" w:lineRule="auto"/>
        <w:rPr>
          <w:rFonts w:ascii="Arial" w:hAnsi="Arial" w:cs="Arial"/>
          <w:sz w:val="24"/>
          <w:szCs w:val="24"/>
          <w:lang w:val="en-GB"/>
        </w:rPr>
      </w:pPr>
    </w:p>
    <w:p w14:paraId="72475026" w14:textId="0A47D0CB" w:rsidR="00E20B43" w:rsidRPr="00501A3C" w:rsidRDefault="00E20B43" w:rsidP="00184EF9">
      <w:pPr>
        <w:spacing w:after="0" w:line="360" w:lineRule="auto"/>
        <w:jc w:val="center"/>
        <w:rPr>
          <w:rFonts w:ascii="Arial" w:hAnsi="Arial" w:cs="Arial"/>
          <w:b/>
          <w:sz w:val="24"/>
          <w:szCs w:val="24"/>
        </w:rPr>
      </w:pP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00754B54" w:rsidRPr="00501A3C">
        <w:rPr>
          <w:rFonts w:ascii="Arial" w:hAnsi="Arial" w:cs="Arial"/>
          <w:b/>
          <w:sz w:val="24"/>
          <w:szCs w:val="24"/>
        </w:rPr>
        <w:t xml:space="preserve">        </w:t>
      </w:r>
      <w:r w:rsidR="00501A3C">
        <w:rPr>
          <w:rFonts w:ascii="Arial" w:hAnsi="Arial" w:cs="Arial"/>
          <w:b/>
          <w:sz w:val="24"/>
          <w:szCs w:val="24"/>
        </w:rPr>
        <w:t xml:space="preserve">    </w:t>
      </w:r>
      <w:r w:rsidR="00391839">
        <w:rPr>
          <w:rFonts w:ascii="Arial" w:hAnsi="Arial" w:cs="Arial"/>
          <w:b/>
          <w:sz w:val="24"/>
          <w:szCs w:val="24"/>
        </w:rPr>
        <w:t xml:space="preserve">                            </w:t>
      </w:r>
      <w:r w:rsidRPr="00391839">
        <w:rPr>
          <w:rFonts w:ascii="Arial" w:hAnsi="Arial" w:cs="Arial"/>
          <w:b/>
          <w:sz w:val="24"/>
          <w:szCs w:val="24"/>
        </w:rPr>
        <w:t>Reportable</w:t>
      </w:r>
    </w:p>
    <w:p w14:paraId="34DAA5D6" w14:textId="5AD3C4FB" w:rsidR="00E20B43" w:rsidRPr="00501A3C" w:rsidRDefault="00E20B43" w:rsidP="00DA5B14">
      <w:pPr>
        <w:spacing w:after="0" w:line="240" w:lineRule="auto"/>
        <w:ind w:left="5040" w:firstLine="720"/>
        <w:jc w:val="right"/>
        <w:rPr>
          <w:rFonts w:ascii="Arial" w:hAnsi="Arial" w:cs="Arial"/>
          <w:sz w:val="24"/>
          <w:szCs w:val="24"/>
        </w:rPr>
      </w:pPr>
      <w:r w:rsidRPr="00501A3C">
        <w:rPr>
          <w:rFonts w:ascii="Arial" w:hAnsi="Arial" w:cs="Arial"/>
          <w:b/>
          <w:sz w:val="24"/>
          <w:szCs w:val="24"/>
        </w:rPr>
        <w:t xml:space="preserve">         </w:t>
      </w:r>
      <w:r w:rsidR="00DA5B14">
        <w:rPr>
          <w:rFonts w:ascii="Arial" w:hAnsi="Arial" w:cs="Arial"/>
          <w:sz w:val="24"/>
          <w:szCs w:val="24"/>
        </w:rPr>
        <w:tab/>
      </w:r>
      <w:r w:rsidR="00DA5B14" w:rsidRPr="00501A3C">
        <w:rPr>
          <w:rFonts w:ascii="Arial" w:hAnsi="Arial" w:cs="Arial"/>
          <w:sz w:val="24"/>
          <w:szCs w:val="24"/>
        </w:rPr>
        <w:t>Case No:</w:t>
      </w:r>
      <w:r w:rsidR="00DA5B14">
        <w:rPr>
          <w:rFonts w:ascii="Arial" w:hAnsi="Arial" w:cs="Arial"/>
          <w:sz w:val="24"/>
          <w:szCs w:val="24"/>
        </w:rPr>
        <w:t>126</w:t>
      </w:r>
      <w:r w:rsidR="00DA5B14" w:rsidRPr="00501A3C">
        <w:rPr>
          <w:rFonts w:ascii="Arial" w:hAnsi="Arial" w:cs="Arial"/>
          <w:sz w:val="24"/>
          <w:szCs w:val="24"/>
        </w:rPr>
        <w:t>/202</w:t>
      </w:r>
      <w:r w:rsidR="00DA5B14">
        <w:rPr>
          <w:rFonts w:ascii="Arial" w:hAnsi="Arial" w:cs="Arial"/>
          <w:sz w:val="24"/>
          <w:szCs w:val="24"/>
        </w:rPr>
        <w:t>1</w:t>
      </w:r>
    </w:p>
    <w:p w14:paraId="5BDB334A" w14:textId="2936BDA5" w:rsidR="00501A3C" w:rsidRPr="00501A3C" w:rsidRDefault="00501A3C" w:rsidP="00F960BA">
      <w:pPr>
        <w:spacing w:after="0" w:line="240" w:lineRule="auto"/>
        <w:jc w:val="both"/>
        <w:rPr>
          <w:rFonts w:ascii="Arial" w:hAnsi="Arial" w:cs="Arial"/>
          <w:sz w:val="24"/>
          <w:szCs w:val="24"/>
        </w:rPr>
      </w:pPr>
    </w:p>
    <w:p w14:paraId="77C7A345" w14:textId="2A76A8E2" w:rsidR="00F960BA" w:rsidRPr="00501A3C" w:rsidRDefault="00E20B43" w:rsidP="00F960BA">
      <w:pPr>
        <w:spacing w:after="0" w:line="240" w:lineRule="auto"/>
        <w:jc w:val="both"/>
        <w:rPr>
          <w:rFonts w:ascii="Arial" w:hAnsi="Arial" w:cs="Arial"/>
          <w:sz w:val="24"/>
          <w:szCs w:val="24"/>
        </w:rPr>
      </w:pPr>
      <w:r w:rsidRPr="00501A3C">
        <w:rPr>
          <w:rFonts w:ascii="Arial" w:hAnsi="Arial" w:cs="Arial"/>
          <w:sz w:val="24"/>
          <w:szCs w:val="24"/>
        </w:rPr>
        <w:t>In the matter between</w:t>
      </w:r>
      <w:r w:rsidR="005460A9" w:rsidRPr="00501A3C">
        <w:rPr>
          <w:rFonts w:ascii="Arial" w:hAnsi="Arial" w:cs="Arial"/>
          <w:sz w:val="24"/>
          <w:szCs w:val="24"/>
        </w:rPr>
        <w:t>:</w:t>
      </w:r>
    </w:p>
    <w:p w14:paraId="40CF91A3" w14:textId="77777777" w:rsidR="00F960BA" w:rsidRPr="00501A3C" w:rsidRDefault="00F960BA" w:rsidP="00F960BA">
      <w:pPr>
        <w:spacing w:after="0" w:line="240" w:lineRule="auto"/>
        <w:jc w:val="both"/>
        <w:rPr>
          <w:rFonts w:ascii="Arial" w:hAnsi="Arial" w:cs="Arial"/>
          <w:sz w:val="24"/>
          <w:szCs w:val="24"/>
        </w:rPr>
      </w:pPr>
    </w:p>
    <w:p w14:paraId="7612EB0F" w14:textId="60BB3306" w:rsidR="005F2C03" w:rsidRPr="00501A3C" w:rsidRDefault="00795D1B" w:rsidP="00F960BA">
      <w:pPr>
        <w:spacing w:after="0" w:line="240" w:lineRule="auto"/>
        <w:rPr>
          <w:rFonts w:ascii="Arial" w:hAnsi="Arial" w:cs="Arial"/>
          <w:b/>
          <w:sz w:val="24"/>
          <w:szCs w:val="24"/>
        </w:rPr>
      </w:pPr>
      <w:r>
        <w:rPr>
          <w:rFonts w:ascii="Arial" w:hAnsi="Arial" w:cs="Arial"/>
          <w:b/>
          <w:sz w:val="24"/>
          <w:szCs w:val="24"/>
        </w:rPr>
        <w:t>LIBERTY GROUP LIMITED</w:t>
      </w:r>
      <w:r w:rsidR="00CE1F9D" w:rsidRPr="00501A3C">
        <w:rPr>
          <w:rFonts w:ascii="Arial" w:hAnsi="Arial" w:cs="Arial"/>
          <w:b/>
          <w:sz w:val="24"/>
          <w:szCs w:val="24"/>
        </w:rPr>
        <w:t xml:space="preserve">                                                       </w:t>
      </w:r>
      <w:r>
        <w:rPr>
          <w:rFonts w:ascii="Arial" w:hAnsi="Arial" w:cs="Arial"/>
          <w:b/>
          <w:sz w:val="24"/>
          <w:szCs w:val="24"/>
        </w:rPr>
        <w:t xml:space="preserve">             </w:t>
      </w:r>
      <w:r w:rsidR="00C05665" w:rsidRPr="00501A3C">
        <w:rPr>
          <w:rFonts w:ascii="Arial" w:hAnsi="Arial" w:cs="Arial"/>
          <w:b/>
          <w:sz w:val="24"/>
          <w:szCs w:val="24"/>
        </w:rPr>
        <w:t>APP</w:t>
      </w:r>
      <w:r w:rsidR="0073379B">
        <w:rPr>
          <w:rFonts w:ascii="Arial" w:hAnsi="Arial" w:cs="Arial"/>
          <w:b/>
          <w:sz w:val="24"/>
          <w:szCs w:val="24"/>
        </w:rPr>
        <w:t>ELLANT</w:t>
      </w:r>
    </w:p>
    <w:p w14:paraId="3454DF23" w14:textId="3DFDDA8F" w:rsidR="0083377B" w:rsidRPr="00795D1B" w:rsidRDefault="0083377B" w:rsidP="00F960BA">
      <w:pPr>
        <w:spacing w:after="0" w:line="240" w:lineRule="auto"/>
        <w:rPr>
          <w:rFonts w:ascii="Arial" w:hAnsi="Arial" w:cs="Arial"/>
          <w:sz w:val="24"/>
          <w:szCs w:val="24"/>
        </w:rPr>
      </w:pPr>
    </w:p>
    <w:p w14:paraId="37011749" w14:textId="77777777" w:rsidR="005F2C03" w:rsidRPr="00501A3C" w:rsidRDefault="00F960BA" w:rsidP="00E64DEA">
      <w:pPr>
        <w:spacing w:after="0" w:line="240" w:lineRule="auto"/>
        <w:rPr>
          <w:rFonts w:ascii="Arial" w:hAnsi="Arial" w:cs="Arial"/>
          <w:sz w:val="24"/>
          <w:szCs w:val="24"/>
        </w:rPr>
      </w:pPr>
      <w:r w:rsidRPr="00501A3C">
        <w:rPr>
          <w:rFonts w:ascii="Arial" w:hAnsi="Arial" w:cs="Arial"/>
          <w:sz w:val="24"/>
          <w:szCs w:val="24"/>
        </w:rPr>
        <w:t>and</w:t>
      </w:r>
    </w:p>
    <w:p w14:paraId="1E4F719A" w14:textId="1584E20C" w:rsidR="0083377B" w:rsidRPr="00501A3C" w:rsidRDefault="0083377B" w:rsidP="00E64DEA">
      <w:pPr>
        <w:spacing w:after="0" w:line="240" w:lineRule="auto"/>
        <w:rPr>
          <w:rFonts w:ascii="Arial" w:hAnsi="Arial" w:cs="Arial"/>
          <w:sz w:val="24"/>
          <w:szCs w:val="24"/>
        </w:rPr>
      </w:pPr>
    </w:p>
    <w:p w14:paraId="68C5D9D0" w14:textId="77777777" w:rsidR="007172AE" w:rsidRPr="00501A3C" w:rsidRDefault="00795D1B" w:rsidP="00E64DEA">
      <w:pPr>
        <w:spacing w:after="0" w:line="240" w:lineRule="auto"/>
        <w:rPr>
          <w:rFonts w:ascii="Arial" w:hAnsi="Arial" w:cs="Arial"/>
          <w:b/>
          <w:sz w:val="24"/>
          <w:szCs w:val="24"/>
        </w:rPr>
      </w:pPr>
      <w:r>
        <w:rPr>
          <w:rFonts w:ascii="Arial" w:hAnsi="Arial" w:cs="Arial"/>
          <w:b/>
          <w:sz w:val="24"/>
          <w:szCs w:val="24"/>
        </w:rPr>
        <w:t xml:space="preserve">MOHAMMED SHAAZ MOOSA    </w:t>
      </w:r>
      <w:r w:rsidR="00CE1F9D" w:rsidRPr="00501A3C">
        <w:rPr>
          <w:rFonts w:ascii="Arial" w:hAnsi="Arial" w:cs="Arial"/>
          <w:b/>
          <w:sz w:val="24"/>
          <w:szCs w:val="24"/>
        </w:rPr>
        <w:t xml:space="preserve">                                </w:t>
      </w:r>
      <w:r w:rsidR="003614A8" w:rsidRPr="00501A3C">
        <w:rPr>
          <w:rFonts w:ascii="Arial" w:hAnsi="Arial" w:cs="Arial"/>
          <w:b/>
          <w:sz w:val="24"/>
          <w:szCs w:val="24"/>
        </w:rPr>
        <w:t xml:space="preserve">            </w:t>
      </w:r>
      <w:r w:rsidR="00D245E6" w:rsidRPr="00501A3C">
        <w:rPr>
          <w:rFonts w:ascii="Arial" w:hAnsi="Arial" w:cs="Arial"/>
          <w:b/>
          <w:sz w:val="24"/>
          <w:szCs w:val="24"/>
        </w:rPr>
        <w:t xml:space="preserve">            RESPONDENT</w:t>
      </w:r>
    </w:p>
    <w:p w14:paraId="02795050" w14:textId="42BF1ABF" w:rsidR="00E64DEA" w:rsidRPr="00501A3C" w:rsidRDefault="00E64DEA" w:rsidP="00EF0AF4">
      <w:pPr>
        <w:spacing w:after="0" w:line="240" w:lineRule="auto"/>
        <w:jc w:val="both"/>
        <w:rPr>
          <w:rFonts w:ascii="Arial" w:hAnsi="Arial" w:cs="Arial"/>
          <w:sz w:val="24"/>
          <w:szCs w:val="24"/>
        </w:rPr>
      </w:pPr>
    </w:p>
    <w:p w14:paraId="1A70A8DE" w14:textId="77777777" w:rsidR="00263163" w:rsidRDefault="00263163" w:rsidP="002B116D">
      <w:pPr>
        <w:spacing w:after="0" w:line="360" w:lineRule="auto"/>
        <w:ind w:left="2160" w:hanging="2160"/>
        <w:jc w:val="both"/>
        <w:rPr>
          <w:rFonts w:ascii="Arial" w:hAnsi="Arial" w:cs="Arial"/>
          <w:b/>
          <w:sz w:val="24"/>
          <w:szCs w:val="24"/>
        </w:rPr>
      </w:pPr>
    </w:p>
    <w:p w14:paraId="030AC171" w14:textId="7B222184" w:rsidR="002B116D" w:rsidRDefault="005F2C03" w:rsidP="002B116D">
      <w:pPr>
        <w:spacing w:after="0" w:line="360" w:lineRule="auto"/>
        <w:ind w:left="2160" w:hanging="2160"/>
        <w:jc w:val="both"/>
        <w:rPr>
          <w:rFonts w:ascii="Arial" w:hAnsi="Arial" w:cs="Arial"/>
          <w:sz w:val="24"/>
          <w:szCs w:val="24"/>
        </w:rPr>
      </w:pPr>
      <w:r w:rsidRPr="00501A3C">
        <w:rPr>
          <w:rFonts w:ascii="Arial" w:hAnsi="Arial" w:cs="Arial"/>
          <w:b/>
          <w:sz w:val="24"/>
          <w:szCs w:val="24"/>
        </w:rPr>
        <w:t>Neutral Citation:</w:t>
      </w:r>
      <w:r w:rsidRPr="00501A3C">
        <w:rPr>
          <w:rFonts w:ascii="Arial" w:hAnsi="Arial" w:cs="Arial"/>
          <w:b/>
          <w:sz w:val="24"/>
          <w:szCs w:val="24"/>
        </w:rPr>
        <w:tab/>
      </w:r>
      <w:bookmarkStart w:id="0" w:name="_Hlk114215492"/>
      <w:bookmarkStart w:id="1" w:name="_GoBack"/>
      <w:r w:rsidR="00BD2805" w:rsidRPr="00BD2805">
        <w:rPr>
          <w:rFonts w:ascii="Arial" w:hAnsi="Arial" w:cs="Arial"/>
          <w:i/>
          <w:sz w:val="24"/>
          <w:szCs w:val="24"/>
        </w:rPr>
        <w:t>Liberty</w:t>
      </w:r>
      <w:r w:rsidR="00836D3F">
        <w:rPr>
          <w:rFonts w:ascii="Arial" w:hAnsi="Arial" w:cs="Arial"/>
          <w:i/>
          <w:sz w:val="24"/>
          <w:szCs w:val="24"/>
        </w:rPr>
        <w:t xml:space="preserve"> Group Limited</w:t>
      </w:r>
      <w:r w:rsidR="00BD2805" w:rsidRPr="00BD2805">
        <w:rPr>
          <w:rFonts w:ascii="Arial" w:hAnsi="Arial" w:cs="Arial"/>
          <w:i/>
          <w:sz w:val="24"/>
          <w:szCs w:val="24"/>
        </w:rPr>
        <w:t xml:space="preserve"> v Moosa</w:t>
      </w:r>
      <w:r w:rsidR="007F7FA4" w:rsidRPr="00501A3C">
        <w:rPr>
          <w:rFonts w:ascii="Arial" w:hAnsi="Arial" w:cs="Arial"/>
          <w:b/>
          <w:sz w:val="24"/>
          <w:szCs w:val="24"/>
        </w:rPr>
        <w:t xml:space="preserve"> </w:t>
      </w:r>
      <w:bookmarkEnd w:id="1"/>
      <w:r w:rsidR="007F7FA4" w:rsidRPr="00501A3C">
        <w:rPr>
          <w:rFonts w:ascii="Arial" w:hAnsi="Arial" w:cs="Arial"/>
          <w:sz w:val="24"/>
          <w:szCs w:val="24"/>
        </w:rPr>
        <w:t>(</w:t>
      </w:r>
      <w:r w:rsidR="00BD2805">
        <w:rPr>
          <w:rFonts w:ascii="Arial" w:hAnsi="Arial" w:cs="Arial"/>
          <w:sz w:val="24"/>
          <w:szCs w:val="24"/>
        </w:rPr>
        <w:t>126</w:t>
      </w:r>
      <w:r w:rsidR="007F7FA4" w:rsidRPr="00501A3C">
        <w:rPr>
          <w:rFonts w:ascii="Arial" w:hAnsi="Arial" w:cs="Arial"/>
          <w:sz w:val="24"/>
          <w:szCs w:val="24"/>
        </w:rPr>
        <w:t>/2022</w:t>
      </w:r>
      <w:r w:rsidR="00322F6D" w:rsidRPr="00501A3C">
        <w:rPr>
          <w:rFonts w:ascii="Arial" w:hAnsi="Arial" w:cs="Arial"/>
          <w:sz w:val="24"/>
          <w:szCs w:val="24"/>
        </w:rPr>
        <w:t>)</w:t>
      </w:r>
      <w:r w:rsidR="00CD7715" w:rsidRPr="00501A3C">
        <w:rPr>
          <w:rFonts w:ascii="Arial" w:hAnsi="Arial" w:cs="Arial"/>
          <w:sz w:val="24"/>
          <w:szCs w:val="24"/>
        </w:rPr>
        <w:t xml:space="preserve"> </w:t>
      </w:r>
      <w:r w:rsidR="007F7FA4" w:rsidRPr="00501A3C">
        <w:rPr>
          <w:rFonts w:ascii="Arial" w:hAnsi="Arial" w:cs="Arial"/>
          <w:sz w:val="24"/>
          <w:szCs w:val="24"/>
        </w:rPr>
        <w:t>[2023</w:t>
      </w:r>
      <w:r w:rsidRPr="00501A3C">
        <w:rPr>
          <w:rFonts w:ascii="Arial" w:hAnsi="Arial" w:cs="Arial"/>
          <w:sz w:val="24"/>
          <w:szCs w:val="24"/>
        </w:rPr>
        <w:t>]</w:t>
      </w:r>
      <w:r w:rsidR="00D245E6" w:rsidRPr="00501A3C">
        <w:rPr>
          <w:rFonts w:ascii="Arial" w:hAnsi="Arial" w:cs="Arial"/>
          <w:sz w:val="24"/>
          <w:szCs w:val="24"/>
        </w:rPr>
        <w:t xml:space="preserve"> </w:t>
      </w:r>
      <w:r w:rsidRPr="00A34529">
        <w:rPr>
          <w:rFonts w:ascii="Arial" w:hAnsi="Arial" w:cs="Arial"/>
          <w:sz w:val="24"/>
          <w:szCs w:val="24"/>
        </w:rPr>
        <w:t>ZASCA</w:t>
      </w:r>
      <w:bookmarkEnd w:id="0"/>
      <w:r w:rsidR="00CD7715" w:rsidRPr="00A34529">
        <w:rPr>
          <w:rFonts w:ascii="Arial" w:hAnsi="Arial" w:cs="Arial"/>
          <w:sz w:val="24"/>
          <w:szCs w:val="24"/>
        </w:rPr>
        <w:t xml:space="preserve"> </w:t>
      </w:r>
      <w:r w:rsidR="00A34529" w:rsidRPr="00A34529">
        <w:rPr>
          <w:rFonts w:ascii="Arial" w:hAnsi="Arial" w:cs="Arial"/>
          <w:sz w:val="24"/>
          <w:szCs w:val="24"/>
        </w:rPr>
        <w:t>52</w:t>
      </w:r>
      <w:r w:rsidR="00CD7715" w:rsidRPr="00A34529">
        <w:rPr>
          <w:rFonts w:ascii="Arial" w:hAnsi="Arial" w:cs="Arial"/>
          <w:sz w:val="24"/>
          <w:szCs w:val="24"/>
        </w:rPr>
        <w:t xml:space="preserve"> </w:t>
      </w:r>
      <w:r w:rsidRPr="00A34529">
        <w:rPr>
          <w:rFonts w:ascii="Arial" w:hAnsi="Arial" w:cs="Arial"/>
          <w:sz w:val="24"/>
          <w:szCs w:val="24"/>
        </w:rPr>
        <w:t>(</w:t>
      </w:r>
      <w:r w:rsidR="00023DFB" w:rsidRPr="00023DFB">
        <w:rPr>
          <w:rFonts w:ascii="Arial" w:hAnsi="Arial" w:cs="Arial"/>
          <w:sz w:val="24"/>
          <w:szCs w:val="24"/>
        </w:rPr>
        <w:t>14</w:t>
      </w:r>
      <w:r w:rsidR="00D245E6" w:rsidRPr="00023DFB">
        <w:rPr>
          <w:rFonts w:ascii="Arial" w:hAnsi="Arial" w:cs="Arial"/>
          <w:sz w:val="24"/>
          <w:szCs w:val="24"/>
        </w:rPr>
        <w:t xml:space="preserve"> </w:t>
      </w:r>
      <w:r w:rsidR="00C11AC7" w:rsidRPr="00023DFB">
        <w:rPr>
          <w:rFonts w:ascii="Arial" w:hAnsi="Arial" w:cs="Arial"/>
          <w:sz w:val="24"/>
          <w:szCs w:val="24"/>
        </w:rPr>
        <w:t>Ap</w:t>
      </w:r>
      <w:r w:rsidR="001C3709" w:rsidRPr="00023DFB">
        <w:rPr>
          <w:rFonts w:ascii="Arial" w:hAnsi="Arial" w:cs="Arial"/>
          <w:sz w:val="24"/>
          <w:szCs w:val="24"/>
        </w:rPr>
        <w:t>ril</w:t>
      </w:r>
      <w:r w:rsidR="007F7FA4" w:rsidRPr="00023DFB">
        <w:rPr>
          <w:rFonts w:ascii="Arial" w:hAnsi="Arial" w:cs="Arial"/>
          <w:sz w:val="24"/>
          <w:szCs w:val="24"/>
        </w:rPr>
        <w:t xml:space="preserve"> </w:t>
      </w:r>
      <w:r w:rsidR="00982D7E" w:rsidRPr="00023DFB">
        <w:rPr>
          <w:rFonts w:ascii="Arial" w:hAnsi="Arial" w:cs="Arial"/>
          <w:sz w:val="24"/>
          <w:szCs w:val="24"/>
        </w:rPr>
        <w:t>2023)</w:t>
      </w:r>
    </w:p>
    <w:p w14:paraId="4EABBE41" w14:textId="77777777" w:rsidR="008F4FD3" w:rsidRDefault="008F4FD3" w:rsidP="002B116D">
      <w:pPr>
        <w:spacing w:after="0" w:line="360" w:lineRule="auto"/>
        <w:ind w:left="2160" w:hanging="2160"/>
        <w:jc w:val="both"/>
        <w:rPr>
          <w:rFonts w:ascii="Arial" w:hAnsi="Arial" w:cs="Arial"/>
          <w:sz w:val="24"/>
          <w:szCs w:val="24"/>
        </w:rPr>
      </w:pPr>
    </w:p>
    <w:p w14:paraId="2DAEA8EA" w14:textId="5C7933E1" w:rsidR="008D1F31" w:rsidRDefault="005F2C03" w:rsidP="008D1F31">
      <w:pPr>
        <w:spacing w:after="0" w:line="360" w:lineRule="auto"/>
        <w:ind w:left="1440" w:hanging="1440"/>
        <w:jc w:val="both"/>
        <w:rPr>
          <w:rFonts w:ascii="Arial" w:hAnsi="Arial" w:cs="Arial"/>
          <w:sz w:val="24"/>
          <w:szCs w:val="24"/>
        </w:rPr>
      </w:pPr>
      <w:r w:rsidRPr="00501A3C">
        <w:rPr>
          <w:rFonts w:ascii="Arial" w:hAnsi="Arial" w:cs="Arial"/>
          <w:b/>
          <w:sz w:val="24"/>
          <w:szCs w:val="24"/>
        </w:rPr>
        <w:t>Coram:</w:t>
      </w:r>
      <w:r w:rsidRPr="00501A3C">
        <w:rPr>
          <w:rFonts w:ascii="Arial" w:hAnsi="Arial" w:cs="Arial"/>
          <w:b/>
          <w:sz w:val="24"/>
          <w:szCs w:val="24"/>
        </w:rPr>
        <w:tab/>
      </w:r>
      <w:r w:rsidR="00A777C7">
        <w:rPr>
          <w:rFonts w:ascii="Arial" w:hAnsi="Arial" w:cs="Arial"/>
          <w:sz w:val="24"/>
          <w:szCs w:val="24"/>
        </w:rPr>
        <w:t>PONNAN ADP and MBATHA</w:t>
      </w:r>
      <w:r w:rsidR="009606DD">
        <w:rPr>
          <w:rFonts w:ascii="Arial" w:hAnsi="Arial" w:cs="Arial"/>
          <w:sz w:val="24"/>
          <w:szCs w:val="24"/>
        </w:rPr>
        <w:t xml:space="preserve">, </w:t>
      </w:r>
      <w:r w:rsidR="00A777C7">
        <w:rPr>
          <w:rFonts w:ascii="Arial" w:hAnsi="Arial" w:cs="Arial"/>
          <w:sz w:val="24"/>
          <w:szCs w:val="24"/>
        </w:rPr>
        <w:t>MOTHLE</w:t>
      </w:r>
      <w:r w:rsidR="009606DD">
        <w:rPr>
          <w:rFonts w:ascii="Arial" w:hAnsi="Arial" w:cs="Arial"/>
          <w:sz w:val="24"/>
          <w:szCs w:val="24"/>
        </w:rPr>
        <w:t xml:space="preserve">, </w:t>
      </w:r>
      <w:r w:rsidR="00A777C7">
        <w:rPr>
          <w:rFonts w:ascii="Arial" w:hAnsi="Arial" w:cs="Arial"/>
          <w:sz w:val="24"/>
          <w:szCs w:val="24"/>
        </w:rPr>
        <w:t>MEYER and MOLEFE JJA</w:t>
      </w:r>
    </w:p>
    <w:p w14:paraId="14D9D43F" w14:textId="77777777" w:rsidR="00263163" w:rsidRDefault="00263163" w:rsidP="008D1F31">
      <w:pPr>
        <w:spacing w:after="0" w:line="360" w:lineRule="auto"/>
        <w:jc w:val="both"/>
        <w:rPr>
          <w:rFonts w:ascii="Arial" w:hAnsi="Arial" w:cs="Arial"/>
          <w:b/>
          <w:sz w:val="24"/>
          <w:szCs w:val="24"/>
        </w:rPr>
      </w:pPr>
    </w:p>
    <w:p w14:paraId="3CE929A1" w14:textId="6F0B055E" w:rsidR="005F2C03" w:rsidRPr="00501A3C" w:rsidRDefault="005F2C03" w:rsidP="008D1F31">
      <w:pPr>
        <w:spacing w:after="0" w:line="360" w:lineRule="auto"/>
        <w:jc w:val="both"/>
        <w:rPr>
          <w:rFonts w:ascii="Arial" w:hAnsi="Arial" w:cs="Arial"/>
          <w:bCs/>
          <w:sz w:val="24"/>
          <w:szCs w:val="24"/>
        </w:rPr>
      </w:pPr>
      <w:r w:rsidRPr="00501A3C">
        <w:rPr>
          <w:rFonts w:ascii="Arial" w:hAnsi="Arial" w:cs="Arial"/>
          <w:b/>
          <w:sz w:val="24"/>
          <w:szCs w:val="24"/>
        </w:rPr>
        <w:t>Heard:</w:t>
      </w:r>
      <w:r w:rsidRPr="00501A3C">
        <w:rPr>
          <w:rFonts w:ascii="Arial" w:hAnsi="Arial" w:cs="Arial"/>
          <w:bCs/>
          <w:sz w:val="24"/>
          <w:szCs w:val="24"/>
        </w:rPr>
        <w:tab/>
      </w:r>
      <w:r w:rsidR="002B116D">
        <w:rPr>
          <w:rFonts w:ascii="Arial" w:hAnsi="Arial" w:cs="Arial"/>
          <w:bCs/>
          <w:sz w:val="24"/>
          <w:szCs w:val="24"/>
        </w:rPr>
        <w:t xml:space="preserve">17 March </w:t>
      </w:r>
      <w:r w:rsidR="002F34EE" w:rsidRPr="00501A3C">
        <w:rPr>
          <w:rFonts w:ascii="Arial" w:hAnsi="Arial" w:cs="Arial"/>
          <w:bCs/>
          <w:sz w:val="24"/>
          <w:szCs w:val="24"/>
        </w:rPr>
        <w:t>2023</w:t>
      </w:r>
    </w:p>
    <w:p w14:paraId="5699F102" w14:textId="77777777" w:rsidR="00C11AC7" w:rsidRDefault="00C11AC7" w:rsidP="00EF0AF4">
      <w:pPr>
        <w:spacing w:after="0" w:line="240" w:lineRule="auto"/>
        <w:ind w:left="2160" w:hanging="2160"/>
        <w:jc w:val="both"/>
        <w:rPr>
          <w:rFonts w:ascii="Arial" w:hAnsi="Arial" w:cs="Arial"/>
          <w:b/>
          <w:sz w:val="24"/>
          <w:szCs w:val="24"/>
        </w:rPr>
      </w:pPr>
    </w:p>
    <w:p w14:paraId="3BD65985" w14:textId="7C62B977" w:rsidR="00012E84" w:rsidRDefault="005F2C03" w:rsidP="00EF0AF4">
      <w:pPr>
        <w:spacing w:after="0" w:line="240" w:lineRule="auto"/>
        <w:ind w:left="2160" w:hanging="2160"/>
        <w:jc w:val="both"/>
        <w:rPr>
          <w:rFonts w:ascii="Arial" w:hAnsi="Arial" w:cs="Arial"/>
          <w:sz w:val="24"/>
          <w:szCs w:val="24"/>
        </w:rPr>
      </w:pPr>
      <w:r w:rsidRPr="00501A3C">
        <w:rPr>
          <w:rFonts w:ascii="Arial" w:hAnsi="Arial" w:cs="Arial"/>
          <w:b/>
          <w:sz w:val="24"/>
          <w:szCs w:val="24"/>
        </w:rPr>
        <w:t>Delivered:</w:t>
      </w:r>
      <w:r w:rsidR="002B116D">
        <w:rPr>
          <w:rFonts w:ascii="Arial" w:hAnsi="Arial" w:cs="Arial"/>
          <w:b/>
          <w:sz w:val="24"/>
          <w:szCs w:val="24"/>
        </w:rPr>
        <w:t xml:space="preserve">   </w:t>
      </w:r>
      <w:r w:rsidR="00023DFB">
        <w:rPr>
          <w:rFonts w:ascii="Arial" w:hAnsi="Arial" w:cs="Arial"/>
          <w:b/>
          <w:sz w:val="24"/>
          <w:szCs w:val="24"/>
        </w:rPr>
        <w:t xml:space="preserve"> </w:t>
      </w:r>
      <w:r w:rsidR="00023DFB" w:rsidRPr="00023DFB">
        <w:rPr>
          <w:rFonts w:ascii="Arial" w:hAnsi="Arial" w:cs="Arial"/>
          <w:sz w:val="24"/>
          <w:szCs w:val="24"/>
        </w:rPr>
        <w:t>14</w:t>
      </w:r>
      <w:r w:rsidR="00970B2A" w:rsidRPr="00023DFB">
        <w:rPr>
          <w:rFonts w:ascii="Arial" w:hAnsi="Arial" w:cs="Arial"/>
          <w:bCs/>
          <w:sz w:val="24"/>
          <w:szCs w:val="24"/>
        </w:rPr>
        <w:t xml:space="preserve"> April</w:t>
      </w:r>
      <w:r w:rsidR="002F34EE" w:rsidRPr="00023DFB">
        <w:rPr>
          <w:rFonts w:ascii="Arial" w:hAnsi="Arial" w:cs="Arial"/>
          <w:sz w:val="24"/>
          <w:szCs w:val="24"/>
        </w:rPr>
        <w:t xml:space="preserve"> </w:t>
      </w:r>
      <w:r w:rsidR="00982D7E" w:rsidRPr="00023DFB">
        <w:rPr>
          <w:rFonts w:ascii="Arial" w:hAnsi="Arial" w:cs="Arial"/>
          <w:sz w:val="24"/>
          <w:szCs w:val="24"/>
        </w:rPr>
        <w:t>2023</w:t>
      </w:r>
    </w:p>
    <w:p w14:paraId="57195631" w14:textId="77777777" w:rsidR="00C11AC7" w:rsidRDefault="00C11AC7" w:rsidP="009E6756">
      <w:pPr>
        <w:spacing w:after="0" w:line="240" w:lineRule="auto"/>
        <w:jc w:val="both"/>
        <w:rPr>
          <w:rFonts w:ascii="Arial" w:hAnsi="Arial" w:cs="Arial"/>
          <w:b/>
          <w:sz w:val="24"/>
          <w:szCs w:val="24"/>
        </w:rPr>
      </w:pPr>
    </w:p>
    <w:p w14:paraId="342920F9" w14:textId="77777777" w:rsidR="00C11AC7" w:rsidRDefault="00C11AC7" w:rsidP="009E6756">
      <w:pPr>
        <w:spacing w:after="0" w:line="240" w:lineRule="auto"/>
        <w:jc w:val="both"/>
        <w:rPr>
          <w:rFonts w:ascii="Arial" w:hAnsi="Arial" w:cs="Arial"/>
          <w:b/>
          <w:sz w:val="24"/>
          <w:szCs w:val="24"/>
        </w:rPr>
      </w:pPr>
    </w:p>
    <w:p w14:paraId="7B7B332B" w14:textId="020C7D22" w:rsidR="009E6756" w:rsidRPr="00FE0D90" w:rsidRDefault="005F2C03" w:rsidP="009E6756">
      <w:pPr>
        <w:spacing w:after="0" w:line="240" w:lineRule="auto"/>
        <w:jc w:val="both"/>
        <w:rPr>
          <w:rFonts w:ascii="Arial" w:eastAsia="Times New Roman" w:hAnsi="Arial" w:cs="Arial"/>
          <w:sz w:val="24"/>
          <w:szCs w:val="24"/>
          <w:lang w:eastAsia="en-ZA"/>
        </w:rPr>
      </w:pPr>
      <w:r w:rsidRPr="00501A3C">
        <w:rPr>
          <w:rFonts w:ascii="Arial" w:hAnsi="Arial" w:cs="Arial"/>
          <w:b/>
          <w:sz w:val="24"/>
          <w:szCs w:val="24"/>
        </w:rPr>
        <w:t>Summary:</w:t>
      </w:r>
      <w:r w:rsidR="008B4E11" w:rsidRPr="00501A3C">
        <w:rPr>
          <w:rFonts w:ascii="Arial" w:hAnsi="Arial" w:cs="Arial"/>
          <w:b/>
          <w:sz w:val="24"/>
          <w:szCs w:val="24"/>
        </w:rPr>
        <w:t xml:space="preserve"> </w:t>
      </w:r>
      <w:r w:rsidR="00CD7715" w:rsidRPr="00501A3C">
        <w:rPr>
          <w:rFonts w:ascii="Arial" w:hAnsi="Arial" w:cs="Arial"/>
          <w:b/>
          <w:sz w:val="24"/>
          <w:szCs w:val="24"/>
        </w:rPr>
        <w:tab/>
      </w:r>
      <w:r w:rsidR="009E6756">
        <w:rPr>
          <w:rFonts w:ascii="Arial" w:hAnsi="Arial" w:cs="Arial"/>
          <w:bCs/>
          <w:sz w:val="24"/>
          <w:szCs w:val="24"/>
        </w:rPr>
        <w:t>Appealabi</w:t>
      </w:r>
      <w:r w:rsidR="00EF0AF4">
        <w:rPr>
          <w:rFonts w:ascii="Arial" w:hAnsi="Arial" w:cs="Arial"/>
          <w:bCs/>
          <w:sz w:val="24"/>
          <w:szCs w:val="24"/>
        </w:rPr>
        <w:t>lity – Insolvency Act 24 of 193</w:t>
      </w:r>
      <w:r w:rsidR="00EF0AF4" w:rsidRPr="00C010BC">
        <w:rPr>
          <w:rFonts w:ascii="Arial" w:hAnsi="Arial" w:cs="Arial"/>
          <w:bCs/>
          <w:sz w:val="24"/>
          <w:szCs w:val="24"/>
        </w:rPr>
        <w:t>6</w:t>
      </w:r>
      <w:r w:rsidR="009E6756">
        <w:rPr>
          <w:rFonts w:ascii="Arial" w:hAnsi="Arial" w:cs="Arial"/>
          <w:bCs/>
          <w:sz w:val="24"/>
          <w:szCs w:val="24"/>
        </w:rPr>
        <w:t xml:space="preserve"> – </w:t>
      </w:r>
      <w:r w:rsidR="009E6756">
        <w:rPr>
          <w:rFonts w:ascii="Arial" w:eastAsia="Times New Roman" w:hAnsi="Arial" w:cs="Arial"/>
          <w:sz w:val="24"/>
          <w:szCs w:val="24"/>
          <w:lang w:eastAsia="en-ZA"/>
        </w:rPr>
        <w:t xml:space="preserve">whether an order dismissing an application for provisional sequestration is an order </w:t>
      </w:r>
      <w:r w:rsidR="00FE0D90" w:rsidRPr="00EA73C2">
        <w:rPr>
          <w:rFonts w:ascii="Arial" w:eastAsia="Times New Roman" w:hAnsi="Arial" w:cs="Arial"/>
          <w:sz w:val="24"/>
          <w:szCs w:val="24"/>
          <w:lang w:eastAsia="en-ZA"/>
        </w:rPr>
        <w:t>of court</w:t>
      </w:r>
      <w:r w:rsidR="00FE0D90">
        <w:rPr>
          <w:rFonts w:ascii="Arial" w:eastAsia="Times New Roman" w:hAnsi="Arial" w:cs="Arial"/>
          <w:sz w:val="24"/>
          <w:szCs w:val="24"/>
          <w:lang w:eastAsia="en-ZA"/>
        </w:rPr>
        <w:t xml:space="preserve"> </w:t>
      </w:r>
      <w:r w:rsidR="009E6756">
        <w:rPr>
          <w:rFonts w:ascii="Arial" w:eastAsia="Times New Roman" w:hAnsi="Arial" w:cs="Arial"/>
          <w:sz w:val="24"/>
          <w:szCs w:val="24"/>
          <w:lang w:eastAsia="en-ZA"/>
        </w:rPr>
        <w:t xml:space="preserve">in terms of s 150 and thus not </w:t>
      </w:r>
      <w:r w:rsidR="009E6756" w:rsidRPr="00EA73C2">
        <w:rPr>
          <w:rFonts w:ascii="Arial" w:eastAsia="Times New Roman" w:hAnsi="Arial" w:cs="Arial"/>
          <w:sz w:val="24"/>
          <w:szCs w:val="24"/>
          <w:lang w:eastAsia="en-ZA"/>
        </w:rPr>
        <w:t>appealable.</w:t>
      </w:r>
    </w:p>
    <w:p w14:paraId="20B6194E" w14:textId="1D9041C4" w:rsidR="009E6756" w:rsidRDefault="009E6756" w:rsidP="009E6756">
      <w:pPr>
        <w:spacing w:after="0" w:line="240" w:lineRule="auto"/>
        <w:jc w:val="both"/>
        <w:rPr>
          <w:rFonts w:ascii="Arial" w:hAnsi="Arial" w:cs="Arial"/>
          <w:sz w:val="24"/>
          <w:szCs w:val="24"/>
        </w:rPr>
      </w:pPr>
    </w:p>
    <w:p w14:paraId="4237CF60" w14:textId="7E89E2EC" w:rsidR="009E6756" w:rsidRDefault="009E6756" w:rsidP="009E6756">
      <w:pPr>
        <w:spacing w:after="0" w:line="240" w:lineRule="auto"/>
        <w:jc w:val="both"/>
        <w:rPr>
          <w:rFonts w:ascii="Arial" w:hAnsi="Arial" w:cs="Arial"/>
          <w:sz w:val="24"/>
          <w:szCs w:val="24"/>
        </w:rPr>
      </w:pPr>
    </w:p>
    <w:p w14:paraId="0AD36C2D" w14:textId="370322B9" w:rsidR="009E6756" w:rsidRDefault="009E6756" w:rsidP="009E6756">
      <w:pPr>
        <w:spacing w:after="0" w:line="240" w:lineRule="auto"/>
        <w:jc w:val="both"/>
        <w:rPr>
          <w:rFonts w:ascii="Arial" w:hAnsi="Arial" w:cs="Arial"/>
          <w:sz w:val="24"/>
          <w:szCs w:val="24"/>
        </w:rPr>
      </w:pPr>
    </w:p>
    <w:p w14:paraId="13502AB8" w14:textId="77777777" w:rsidR="00C010BC" w:rsidRDefault="00C010BC" w:rsidP="00C010BC">
      <w:pPr>
        <w:rPr>
          <w:rFonts w:ascii="Arial" w:hAnsi="Arial" w:cs="Arial"/>
          <w:sz w:val="24"/>
          <w:szCs w:val="24"/>
        </w:rPr>
      </w:pPr>
    </w:p>
    <w:p w14:paraId="22454123" w14:textId="77777777" w:rsidR="00C010BC" w:rsidRDefault="00C010BC" w:rsidP="00C010BC">
      <w:pPr>
        <w:rPr>
          <w:rFonts w:ascii="Arial" w:hAnsi="Arial" w:cs="Arial"/>
          <w:sz w:val="24"/>
          <w:szCs w:val="24"/>
        </w:rPr>
      </w:pPr>
    </w:p>
    <w:p w14:paraId="233298DB" w14:textId="77777777" w:rsidR="00C010BC" w:rsidRDefault="00C010BC" w:rsidP="00C010BC">
      <w:pPr>
        <w:rPr>
          <w:rFonts w:ascii="Arial" w:hAnsi="Arial" w:cs="Arial"/>
          <w:sz w:val="24"/>
          <w:szCs w:val="24"/>
        </w:rPr>
      </w:pPr>
    </w:p>
    <w:p w14:paraId="212A153D" w14:textId="77777777" w:rsidR="00C010BC" w:rsidRDefault="00C010BC" w:rsidP="00C010BC">
      <w:pPr>
        <w:rPr>
          <w:rFonts w:ascii="Arial" w:hAnsi="Arial" w:cs="Arial"/>
          <w:sz w:val="24"/>
          <w:szCs w:val="24"/>
        </w:rPr>
      </w:pPr>
    </w:p>
    <w:p w14:paraId="3926814E" w14:textId="671EBC48" w:rsidR="00351A6A" w:rsidRPr="001B701E" w:rsidRDefault="001B701E" w:rsidP="00C010BC">
      <w:pPr>
        <w:rPr>
          <w:rFonts w:ascii="Arial" w:hAnsi="Arial" w:cs="Arial"/>
          <w:sz w:val="24"/>
          <w:szCs w:val="24"/>
        </w:rPr>
      </w:pPr>
      <w:r w:rsidRPr="001B701E">
        <w:rPr>
          <w:rFonts w:ascii="Arial" w:hAnsi="Arial" w:cs="Arial"/>
          <w:sz w:val="24"/>
          <w:szCs w:val="24"/>
        </w:rPr>
        <w:lastRenderedPageBreak/>
        <w:t>___</w:t>
      </w:r>
      <w:r w:rsidR="00351A6A" w:rsidRPr="001B701E">
        <w:rPr>
          <w:rFonts w:ascii="Arial" w:hAnsi="Arial" w:cs="Arial"/>
          <w:sz w:val="24"/>
          <w:szCs w:val="24"/>
        </w:rPr>
        <w:t>________________________________________________________________</w:t>
      </w:r>
    </w:p>
    <w:p w14:paraId="153B538C" w14:textId="77777777" w:rsidR="00351A6A" w:rsidRPr="00501A3C" w:rsidRDefault="00351A6A" w:rsidP="001B701E">
      <w:pPr>
        <w:spacing w:before="240" w:after="0" w:line="240" w:lineRule="auto"/>
        <w:jc w:val="center"/>
        <w:rPr>
          <w:rFonts w:ascii="Arial" w:hAnsi="Arial" w:cs="Arial"/>
          <w:b/>
          <w:sz w:val="24"/>
          <w:szCs w:val="24"/>
        </w:rPr>
      </w:pPr>
      <w:r w:rsidRPr="00501A3C">
        <w:rPr>
          <w:rFonts w:ascii="Arial" w:hAnsi="Arial" w:cs="Arial"/>
          <w:b/>
          <w:sz w:val="24"/>
          <w:szCs w:val="24"/>
        </w:rPr>
        <w:t>ORDER</w:t>
      </w:r>
    </w:p>
    <w:p w14:paraId="2000DCE8" w14:textId="77777777" w:rsidR="00351A6A" w:rsidRPr="001B701E" w:rsidRDefault="00351A6A" w:rsidP="001B701E">
      <w:pPr>
        <w:spacing w:after="0" w:line="240" w:lineRule="auto"/>
        <w:jc w:val="both"/>
        <w:rPr>
          <w:rFonts w:ascii="Arial" w:hAnsi="Arial" w:cs="Arial"/>
          <w:sz w:val="24"/>
          <w:szCs w:val="24"/>
        </w:rPr>
      </w:pPr>
      <w:r w:rsidRPr="001B701E">
        <w:rPr>
          <w:rFonts w:ascii="Arial" w:hAnsi="Arial" w:cs="Arial"/>
          <w:sz w:val="24"/>
          <w:szCs w:val="24"/>
        </w:rPr>
        <w:t>_</w:t>
      </w:r>
      <w:r w:rsidR="001B701E" w:rsidRPr="001B701E">
        <w:rPr>
          <w:rFonts w:ascii="Arial" w:hAnsi="Arial" w:cs="Arial"/>
          <w:sz w:val="24"/>
          <w:szCs w:val="24"/>
        </w:rPr>
        <w:t>___</w:t>
      </w:r>
      <w:r w:rsidRPr="001B701E">
        <w:rPr>
          <w:rFonts w:ascii="Arial" w:hAnsi="Arial" w:cs="Arial"/>
          <w:sz w:val="24"/>
          <w:szCs w:val="24"/>
        </w:rPr>
        <w:t>_______________________________________________________________</w:t>
      </w:r>
    </w:p>
    <w:p w14:paraId="5C2768DA" w14:textId="77777777" w:rsidR="00CE2E78" w:rsidRDefault="00CE2E78" w:rsidP="00CE2E78">
      <w:pPr>
        <w:tabs>
          <w:tab w:val="right" w:pos="9026"/>
        </w:tabs>
        <w:spacing w:after="0" w:line="240" w:lineRule="auto"/>
        <w:jc w:val="both"/>
        <w:rPr>
          <w:rFonts w:ascii="Arial" w:hAnsi="Arial" w:cs="Arial"/>
          <w:b/>
          <w:bCs/>
          <w:sz w:val="24"/>
          <w:szCs w:val="24"/>
        </w:rPr>
      </w:pPr>
    </w:p>
    <w:p w14:paraId="7410CBBA" w14:textId="77777777" w:rsidR="00EF0AF4" w:rsidRPr="00DB567B" w:rsidRDefault="00EF0AF4" w:rsidP="00EF0AF4">
      <w:pPr>
        <w:tabs>
          <w:tab w:val="right" w:pos="9026"/>
        </w:tabs>
        <w:spacing w:after="0" w:line="360" w:lineRule="auto"/>
        <w:jc w:val="both"/>
        <w:rPr>
          <w:rFonts w:ascii="Arial" w:hAnsi="Arial" w:cs="Arial"/>
          <w:bCs/>
          <w:sz w:val="24"/>
          <w:szCs w:val="24"/>
        </w:rPr>
      </w:pPr>
      <w:r w:rsidRPr="00DB567B">
        <w:rPr>
          <w:rFonts w:ascii="Arial" w:hAnsi="Arial" w:cs="Arial"/>
          <w:b/>
          <w:bCs/>
          <w:sz w:val="24"/>
          <w:szCs w:val="24"/>
        </w:rPr>
        <w:t>On appeal from:</w:t>
      </w:r>
      <w:r w:rsidRPr="00DB567B">
        <w:rPr>
          <w:rFonts w:ascii="Arial" w:hAnsi="Arial" w:cs="Arial"/>
          <w:bCs/>
          <w:sz w:val="24"/>
          <w:szCs w:val="24"/>
        </w:rPr>
        <w:t xml:space="preserve"> KwaZulu-Natal Division of the High Court, Pietermaritzburg (Gani AJ</w:t>
      </w:r>
      <w:r>
        <w:rPr>
          <w:rFonts w:ascii="Arial" w:hAnsi="Arial" w:cs="Arial"/>
          <w:bCs/>
          <w:sz w:val="24"/>
          <w:szCs w:val="24"/>
        </w:rPr>
        <w:t>,</w:t>
      </w:r>
      <w:r w:rsidRPr="00DB567B">
        <w:rPr>
          <w:rFonts w:ascii="Arial" w:hAnsi="Arial" w:cs="Arial"/>
          <w:bCs/>
          <w:sz w:val="24"/>
          <w:szCs w:val="24"/>
        </w:rPr>
        <w:t xml:space="preserve"> sitting as a court of first instance):</w:t>
      </w:r>
    </w:p>
    <w:p w14:paraId="5F0C2D63" w14:textId="77777777" w:rsidR="00EF0AF4" w:rsidRPr="00C010BC" w:rsidRDefault="00EF0AF4" w:rsidP="00EF0AF4">
      <w:pPr>
        <w:pStyle w:val="ListParagraph"/>
        <w:numPr>
          <w:ilvl w:val="0"/>
          <w:numId w:val="11"/>
        </w:numPr>
        <w:tabs>
          <w:tab w:val="left" w:pos="720"/>
        </w:tabs>
        <w:spacing w:after="0" w:line="360" w:lineRule="auto"/>
        <w:ind w:hanging="930"/>
        <w:jc w:val="both"/>
        <w:rPr>
          <w:rFonts w:ascii="Arial" w:eastAsia="Times New Roman" w:hAnsi="Arial" w:cs="Arial"/>
          <w:sz w:val="24"/>
          <w:szCs w:val="24"/>
          <w:lang w:eastAsia="en-ZA"/>
        </w:rPr>
      </w:pPr>
      <w:r w:rsidRPr="00C010BC">
        <w:rPr>
          <w:rFonts w:ascii="Arial" w:eastAsia="Times New Roman" w:hAnsi="Arial" w:cs="Arial"/>
          <w:sz w:val="24"/>
          <w:szCs w:val="24"/>
          <w:lang w:eastAsia="en-ZA"/>
        </w:rPr>
        <w:t>Leave to appeal is granted.</w:t>
      </w:r>
    </w:p>
    <w:p w14:paraId="71361E15" w14:textId="77777777" w:rsidR="00EF0AF4" w:rsidRPr="00C010BC" w:rsidRDefault="00EF0AF4" w:rsidP="00EF0AF4">
      <w:pPr>
        <w:pStyle w:val="ListParagraph"/>
        <w:numPr>
          <w:ilvl w:val="0"/>
          <w:numId w:val="11"/>
        </w:numPr>
        <w:spacing w:after="0" w:line="360" w:lineRule="auto"/>
        <w:ind w:left="720" w:hanging="720"/>
        <w:jc w:val="both"/>
        <w:rPr>
          <w:rFonts w:ascii="Arial" w:eastAsia="Times New Roman" w:hAnsi="Arial" w:cs="Arial"/>
          <w:sz w:val="24"/>
          <w:szCs w:val="24"/>
          <w:lang w:eastAsia="en-ZA"/>
        </w:rPr>
      </w:pPr>
      <w:r w:rsidRPr="00C010BC">
        <w:rPr>
          <w:rFonts w:ascii="Arial" w:eastAsia="Times New Roman" w:hAnsi="Arial" w:cs="Arial"/>
          <w:sz w:val="24"/>
          <w:szCs w:val="24"/>
          <w:lang w:eastAsia="en-ZA"/>
        </w:rPr>
        <w:t>The appeal is upheld with costs, such costs to include the costs of the application for leave to appeal in both this Court and the high court.</w:t>
      </w:r>
    </w:p>
    <w:p w14:paraId="442CF3C8" w14:textId="54956C62" w:rsidR="00EF0AF4" w:rsidRPr="00C010BC" w:rsidRDefault="00EF0AF4" w:rsidP="00EF0AF4">
      <w:pPr>
        <w:pStyle w:val="ListParagraph"/>
        <w:numPr>
          <w:ilvl w:val="0"/>
          <w:numId w:val="11"/>
        </w:numPr>
        <w:spacing w:after="0" w:line="360" w:lineRule="auto"/>
        <w:ind w:left="720" w:hanging="720"/>
        <w:jc w:val="both"/>
        <w:rPr>
          <w:rFonts w:ascii="Arial" w:eastAsia="Times New Roman" w:hAnsi="Arial" w:cs="Arial"/>
          <w:sz w:val="24"/>
          <w:szCs w:val="24"/>
          <w:lang w:eastAsia="en-ZA"/>
        </w:rPr>
      </w:pPr>
      <w:r w:rsidRPr="00C010BC">
        <w:rPr>
          <w:rFonts w:ascii="Arial" w:eastAsia="Times New Roman" w:hAnsi="Arial" w:cs="Arial"/>
          <w:sz w:val="24"/>
          <w:szCs w:val="24"/>
          <w:lang w:eastAsia="en-ZA"/>
        </w:rPr>
        <w:t>In each instance</w:t>
      </w:r>
      <w:r w:rsidR="0073379B" w:rsidRPr="00C010BC">
        <w:rPr>
          <w:rFonts w:ascii="Arial" w:eastAsia="Times New Roman" w:hAnsi="Arial" w:cs="Arial"/>
          <w:sz w:val="24"/>
          <w:szCs w:val="24"/>
          <w:lang w:eastAsia="en-ZA"/>
        </w:rPr>
        <w:t>,</w:t>
      </w:r>
      <w:r w:rsidRPr="00C010BC">
        <w:rPr>
          <w:rFonts w:ascii="Arial" w:eastAsia="Times New Roman" w:hAnsi="Arial" w:cs="Arial"/>
          <w:sz w:val="24"/>
          <w:szCs w:val="24"/>
          <w:lang w:eastAsia="en-ZA"/>
        </w:rPr>
        <w:t xml:space="preserve"> the costs shall include those of two counsel, where so employed.</w:t>
      </w:r>
    </w:p>
    <w:p w14:paraId="0B9105B8" w14:textId="3A7A50B0" w:rsidR="00EF0AF4" w:rsidRPr="00C010BC" w:rsidRDefault="00EF0AF4" w:rsidP="00EF0AF4">
      <w:pPr>
        <w:pStyle w:val="ListParagraph"/>
        <w:numPr>
          <w:ilvl w:val="0"/>
          <w:numId w:val="11"/>
        </w:numPr>
        <w:spacing w:after="0" w:line="360" w:lineRule="auto"/>
        <w:ind w:left="720" w:hanging="720"/>
        <w:jc w:val="both"/>
        <w:rPr>
          <w:rFonts w:ascii="Arial" w:eastAsia="Times New Roman" w:hAnsi="Arial" w:cs="Arial"/>
          <w:sz w:val="24"/>
          <w:szCs w:val="24"/>
          <w:lang w:eastAsia="en-ZA"/>
        </w:rPr>
      </w:pPr>
      <w:r w:rsidRPr="00C010BC">
        <w:rPr>
          <w:rFonts w:ascii="Arial" w:eastAsia="Times New Roman" w:hAnsi="Arial" w:cs="Arial"/>
          <w:sz w:val="24"/>
          <w:szCs w:val="24"/>
          <w:lang w:eastAsia="en-ZA"/>
        </w:rPr>
        <w:t>The order of the high cou</w:t>
      </w:r>
      <w:r w:rsidR="0073379B" w:rsidRPr="00C010BC">
        <w:rPr>
          <w:rFonts w:ascii="Arial" w:eastAsia="Times New Roman" w:hAnsi="Arial" w:cs="Arial"/>
          <w:sz w:val="24"/>
          <w:szCs w:val="24"/>
          <w:lang w:eastAsia="en-ZA"/>
        </w:rPr>
        <w:t>rt is set aside and in its stead</w:t>
      </w:r>
      <w:r w:rsidRPr="00C010BC">
        <w:rPr>
          <w:rFonts w:ascii="Arial" w:eastAsia="Times New Roman" w:hAnsi="Arial" w:cs="Arial"/>
          <w:sz w:val="24"/>
          <w:szCs w:val="24"/>
          <w:lang w:eastAsia="en-ZA"/>
        </w:rPr>
        <w:t xml:space="preserve"> is substituted the following:</w:t>
      </w:r>
    </w:p>
    <w:p w14:paraId="559510F3" w14:textId="77777777" w:rsidR="00EF0AF4" w:rsidRPr="00C010BC" w:rsidRDefault="00EF0AF4" w:rsidP="00EF0AF4">
      <w:pPr>
        <w:spacing w:after="0" w:line="360" w:lineRule="auto"/>
        <w:ind w:left="1440" w:hanging="447"/>
        <w:jc w:val="both"/>
        <w:rPr>
          <w:rFonts w:ascii="Arial" w:eastAsia="Times New Roman" w:hAnsi="Arial" w:cs="Arial"/>
          <w:sz w:val="24"/>
          <w:szCs w:val="24"/>
          <w:lang w:eastAsia="en-ZA"/>
        </w:rPr>
      </w:pPr>
      <w:r w:rsidRPr="00C010BC">
        <w:rPr>
          <w:rFonts w:ascii="Arial" w:eastAsia="Times New Roman" w:hAnsi="Arial" w:cs="Arial"/>
          <w:sz w:val="24"/>
          <w:szCs w:val="24"/>
          <w:lang w:eastAsia="en-ZA"/>
        </w:rPr>
        <w:t>‘(a) The estate of the respondent is placed under provisional sequestration in the hands of the Master of the high court;</w:t>
      </w:r>
    </w:p>
    <w:p w14:paraId="52B82174" w14:textId="6647C680" w:rsidR="00EF0AF4" w:rsidRPr="00DB567B" w:rsidRDefault="00EF0AF4" w:rsidP="00EF0AF4">
      <w:pPr>
        <w:spacing w:after="0" w:line="360" w:lineRule="auto"/>
        <w:ind w:left="1440" w:hanging="348"/>
        <w:jc w:val="both"/>
        <w:rPr>
          <w:rFonts w:ascii="Arial" w:eastAsia="Times New Roman" w:hAnsi="Arial" w:cs="Arial"/>
          <w:sz w:val="24"/>
          <w:szCs w:val="24"/>
          <w:lang w:eastAsia="en-ZA"/>
        </w:rPr>
      </w:pPr>
      <w:r w:rsidRPr="00C010BC">
        <w:rPr>
          <w:rFonts w:ascii="Arial" w:eastAsia="Times New Roman" w:hAnsi="Arial" w:cs="Arial"/>
          <w:sz w:val="24"/>
          <w:szCs w:val="24"/>
          <w:lang w:eastAsia="en-ZA"/>
        </w:rPr>
        <w:t xml:space="preserve">(b) The respondent is called upon to advance reasons, if any, on Tuesday </w:t>
      </w:r>
      <w:r w:rsidR="0073379B" w:rsidRPr="00C010BC">
        <w:rPr>
          <w:rFonts w:ascii="Arial" w:eastAsia="Times New Roman" w:hAnsi="Arial" w:cs="Arial"/>
          <w:sz w:val="24"/>
          <w:szCs w:val="24"/>
          <w:lang w:eastAsia="en-ZA"/>
        </w:rPr>
        <w:t>30 May</w:t>
      </w:r>
      <w:r w:rsidRPr="00C010BC">
        <w:rPr>
          <w:rFonts w:ascii="Arial" w:eastAsia="Times New Roman" w:hAnsi="Arial" w:cs="Arial"/>
          <w:sz w:val="24"/>
          <w:szCs w:val="24"/>
          <w:lang w:eastAsia="en-ZA"/>
        </w:rPr>
        <w:t xml:space="preserve"> 2023 at 10h00, why the court should not order the final sequestration of his estate.’</w:t>
      </w:r>
    </w:p>
    <w:p w14:paraId="5461F722" w14:textId="77777777" w:rsidR="00351A6A" w:rsidRPr="00197249" w:rsidRDefault="00351A6A" w:rsidP="00197249">
      <w:pPr>
        <w:spacing w:after="0" w:line="240" w:lineRule="auto"/>
        <w:jc w:val="both"/>
        <w:rPr>
          <w:rFonts w:ascii="Arial" w:hAnsi="Arial" w:cs="Arial"/>
          <w:sz w:val="24"/>
          <w:szCs w:val="24"/>
        </w:rPr>
      </w:pPr>
      <w:r w:rsidRPr="00197249">
        <w:rPr>
          <w:rFonts w:ascii="Arial" w:hAnsi="Arial" w:cs="Arial"/>
          <w:sz w:val="24"/>
          <w:szCs w:val="24"/>
        </w:rPr>
        <w:t>_</w:t>
      </w:r>
      <w:r w:rsidR="00197249" w:rsidRPr="00197249">
        <w:rPr>
          <w:rFonts w:ascii="Arial" w:hAnsi="Arial" w:cs="Arial"/>
          <w:sz w:val="24"/>
          <w:szCs w:val="24"/>
        </w:rPr>
        <w:t>___</w:t>
      </w:r>
      <w:r w:rsidRPr="00197249">
        <w:rPr>
          <w:rFonts w:ascii="Arial" w:hAnsi="Arial" w:cs="Arial"/>
          <w:sz w:val="24"/>
          <w:szCs w:val="24"/>
        </w:rPr>
        <w:t>_______________________________________________________________</w:t>
      </w:r>
    </w:p>
    <w:p w14:paraId="4D52C0E6" w14:textId="77777777" w:rsidR="00B6016A" w:rsidRDefault="00B6016A" w:rsidP="00197249">
      <w:pPr>
        <w:spacing w:after="0" w:line="240" w:lineRule="auto"/>
        <w:jc w:val="center"/>
        <w:rPr>
          <w:rFonts w:ascii="Arial" w:hAnsi="Arial" w:cs="Arial"/>
          <w:b/>
          <w:sz w:val="24"/>
          <w:szCs w:val="24"/>
        </w:rPr>
      </w:pPr>
    </w:p>
    <w:p w14:paraId="7ABF0BEC" w14:textId="77777777" w:rsidR="00351A6A" w:rsidRPr="00501A3C" w:rsidRDefault="00351A6A" w:rsidP="00197249">
      <w:pPr>
        <w:spacing w:after="0" w:line="240" w:lineRule="auto"/>
        <w:jc w:val="center"/>
        <w:rPr>
          <w:rFonts w:ascii="Arial" w:hAnsi="Arial" w:cs="Arial"/>
          <w:b/>
          <w:sz w:val="24"/>
          <w:szCs w:val="24"/>
        </w:rPr>
      </w:pPr>
      <w:r w:rsidRPr="00501A3C">
        <w:rPr>
          <w:rFonts w:ascii="Arial" w:hAnsi="Arial" w:cs="Arial"/>
          <w:b/>
          <w:sz w:val="24"/>
          <w:szCs w:val="24"/>
        </w:rPr>
        <w:t>JUDGMENT</w:t>
      </w:r>
    </w:p>
    <w:p w14:paraId="0E394ACF" w14:textId="77777777" w:rsidR="00351A6A" w:rsidRPr="00197249" w:rsidRDefault="00197249" w:rsidP="00197249">
      <w:pPr>
        <w:spacing w:after="0" w:line="240" w:lineRule="auto"/>
        <w:jc w:val="both"/>
        <w:rPr>
          <w:rFonts w:ascii="Arial" w:hAnsi="Arial" w:cs="Arial"/>
          <w:sz w:val="24"/>
          <w:szCs w:val="24"/>
        </w:rPr>
      </w:pPr>
      <w:r>
        <w:rPr>
          <w:rFonts w:ascii="Arial" w:hAnsi="Arial" w:cs="Arial"/>
          <w:sz w:val="24"/>
          <w:szCs w:val="24"/>
        </w:rPr>
        <w:t>_</w:t>
      </w:r>
      <w:r w:rsidRPr="00197249">
        <w:rPr>
          <w:rFonts w:ascii="Arial" w:hAnsi="Arial" w:cs="Arial"/>
          <w:sz w:val="24"/>
          <w:szCs w:val="24"/>
        </w:rPr>
        <w:t>__</w:t>
      </w:r>
      <w:r w:rsidR="00351A6A" w:rsidRPr="00197249">
        <w:rPr>
          <w:rFonts w:ascii="Arial" w:hAnsi="Arial" w:cs="Arial"/>
          <w:sz w:val="24"/>
          <w:szCs w:val="24"/>
        </w:rPr>
        <w:t>________________________________________________________________</w:t>
      </w:r>
    </w:p>
    <w:p w14:paraId="2F3C1F69" w14:textId="1AED4F50" w:rsidR="00357166" w:rsidRDefault="00357166" w:rsidP="00F83DB5">
      <w:pPr>
        <w:tabs>
          <w:tab w:val="left" w:pos="720"/>
          <w:tab w:val="left" w:pos="1440"/>
          <w:tab w:val="left" w:pos="2160"/>
          <w:tab w:val="right" w:pos="9026"/>
        </w:tabs>
        <w:spacing w:after="0" w:line="240" w:lineRule="auto"/>
        <w:jc w:val="both"/>
        <w:rPr>
          <w:rFonts w:ascii="Arial" w:hAnsi="Arial" w:cs="Arial"/>
          <w:b/>
          <w:sz w:val="24"/>
          <w:szCs w:val="24"/>
        </w:rPr>
      </w:pPr>
    </w:p>
    <w:p w14:paraId="2B5A7A3E" w14:textId="1CFD4D5F" w:rsidR="00C02461" w:rsidRDefault="00C02461" w:rsidP="00F83DB5">
      <w:pPr>
        <w:tabs>
          <w:tab w:val="left" w:pos="720"/>
          <w:tab w:val="left" w:pos="1440"/>
          <w:tab w:val="left" w:pos="2160"/>
          <w:tab w:val="right" w:pos="9026"/>
        </w:tabs>
        <w:spacing w:after="0" w:line="240" w:lineRule="auto"/>
        <w:jc w:val="both"/>
        <w:rPr>
          <w:rFonts w:ascii="Arial" w:hAnsi="Arial" w:cs="Arial"/>
          <w:b/>
          <w:sz w:val="24"/>
          <w:szCs w:val="24"/>
        </w:rPr>
      </w:pPr>
      <w:r>
        <w:rPr>
          <w:rFonts w:ascii="Arial" w:hAnsi="Arial" w:cs="Arial"/>
          <w:b/>
          <w:sz w:val="24"/>
          <w:szCs w:val="24"/>
        </w:rPr>
        <w:t xml:space="preserve">Ponnan ADP and </w:t>
      </w:r>
      <w:r w:rsidR="00B6016A">
        <w:rPr>
          <w:rFonts w:ascii="Arial" w:hAnsi="Arial" w:cs="Arial"/>
          <w:b/>
          <w:sz w:val="24"/>
          <w:szCs w:val="24"/>
        </w:rPr>
        <w:t xml:space="preserve">Meyer </w:t>
      </w:r>
      <w:r w:rsidR="005F2C03" w:rsidRPr="00501A3C">
        <w:rPr>
          <w:rFonts w:ascii="Arial" w:hAnsi="Arial" w:cs="Arial"/>
          <w:b/>
          <w:sz w:val="24"/>
          <w:szCs w:val="24"/>
        </w:rPr>
        <w:t>JA (</w:t>
      </w:r>
      <w:r w:rsidR="00C55368" w:rsidRPr="00C56D3D">
        <w:rPr>
          <w:rFonts w:ascii="Arial" w:hAnsi="Arial" w:cs="Arial"/>
          <w:b/>
          <w:sz w:val="24"/>
          <w:szCs w:val="24"/>
        </w:rPr>
        <w:t xml:space="preserve">Mbatha, </w:t>
      </w:r>
      <w:r w:rsidR="005803F4" w:rsidRPr="00C56D3D">
        <w:rPr>
          <w:rFonts w:ascii="Arial" w:hAnsi="Arial" w:cs="Arial"/>
          <w:b/>
          <w:sz w:val="24"/>
          <w:szCs w:val="24"/>
        </w:rPr>
        <w:t>Mothle and Molefe JJA</w:t>
      </w:r>
      <w:r w:rsidR="005803F4">
        <w:rPr>
          <w:rFonts w:ascii="Arial" w:hAnsi="Arial" w:cs="Arial"/>
          <w:b/>
          <w:sz w:val="24"/>
          <w:szCs w:val="24"/>
        </w:rPr>
        <w:t xml:space="preserve"> </w:t>
      </w:r>
      <w:r w:rsidR="008B41EE" w:rsidRPr="00501A3C">
        <w:rPr>
          <w:rFonts w:ascii="Arial" w:hAnsi="Arial" w:cs="Arial"/>
          <w:b/>
          <w:sz w:val="24"/>
          <w:szCs w:val="24"/>
        </w:rPr>
        <w:t>concurring</w:t>
      </w:r>
      <w:r w:rsidR="001B6E6C" w:rsidRPr="00501A3C">
        <w:rPr>
          <w:rFonts w:ascii="Arial" w:hAnsi="Arial" w:cs="Arial"/>
          <w:b/>
          <w:sz w:val="24"/>
          <w:szCs w:val="24"/>
        </w:rPr>
        <w:t>)</w:t>
      </w:r>
      <w:r w:rsidR="004C5D9B" w:rsidRPr="00501A3C">
        <w:rPr>
          <w:rFonts w:ascii="Arial" w:hAnsi="Arial" w:cs="Arial"/>
          <w:b/>
          <w:sz w:val="24"/>
          <w:szCs w:val="24"/>
        </w:rPr>
        <w:t>:</w:t>
      </w:r>
    </w:p>
    <w:p w14:paraId="4860600B" w14:textId="0A63C1AC" w:rsidR="00357166" w:rsidRDefault="00357166" w:rsidP="009E6756">
      <w:pPr>
        <w:spacing w:after="0" w:line="360" w:lineRule="auto"/>
        <w:jc w:val="both"/>
        <w:rPr>
          <w:rFonts w:ascii="Arial" w:hAnsi="Arial" w:cs="Arial"/>
          <w:sz w:val="24"/>
          <w:szCs w:val="24"/>
          <w:lang w:val="en-US"/>
        </w:rPr>
      </w:pPr>
    </w:p>
    <w:p w14:paraId="5E13FD40" w14:textId="5714C0AC" w:rsidR="009E6756" w:rsidRDefault="00E16344" w:rsidP="009E6756">
      <w:pPr>
        <w:spacing w:after="0" w:line="360" w:lineRule="auto"/>
        <w:jc w:val="both"/>
        <w:rPr>
          <w:rFonts w:ascii="Arial" w:hAnsi="Arial" w:cs="Arial"/>
          <w:sz w:val="24"/>
          <w:szCs w:val="24"/>
          <w:lang w:val="en-US"/>
        </w:rPr>
      </w:pPr>
      <w:r w:rsidRPr="00E16344">
        <w:rPr>
          <w:rFonts w:ascii="Arial" w:hAnsi="Arial" w:cs="Arial"/>
          <w:sz w:val="24"/>
          <w:szCs w:val="24"/>
          <w:lang w:val="en-US"/>
        </w:rPr>
        <w:t>[1]</w:t>
      </w:r>
      <w:r w:rsidRPr="00E16344">
        <w:rPr>
          <w:rFonts w:ascii="Arial" w:hAnsi="Arial" w:cs="Arial"/>
          <w:sz w:val="24"/>
          <w:szCs w:val="24"/>
          <w:lang w:val="en-US"/>
        </w:rPr>
        <w:tab/>
      </w:r>
      <w:r w:rsidR="009E6756">
        <w:rPr>
          <w:rFonts w:ascii="Arial" w:hAnsi="Arial" w:cs="Arial"/>
          <w:sz w:val="24"/>
          <w:szCs w:val="24"/>
          <w:lang w:val="en-US"/>
        </w:rPr>
        <w:t xml:space="preserve">This is an application for leave to appeal and, if granted, the determination of the appeal itself. The two judges who considered the application referred it to oral </w:t>
      </w:r>
      <w:r w:rsidR="009E6756" w:rsidRPr="00E16344">
        <w:rPr>
          <w:rFonts w:ascii="Arial" w:hAnsi="Arial" w:cs="Arial"/>
          <w:sz w:val="24"/>
          <w:szCs w:val="24"/>
          <w:lang w:val="en-US"/>
        </w:rPr>
        <w:t>argument in terms of s 17(2)</w:t>
      </w:r>
      <w:r w:rsidR="009E6756" w:rsidRPr="00E16344">
        <w:rPr>
          <w:rFonts w:ascii="Arial" w:hAnsi="Arial" w:cs="Arial"/>
          <w:i/>
          <w:iCs/>
          <w:sz w:val="24"/>
          <w:szCs w:val="24"/>
          <w:lang w:val="en-US"/>
        </w:rPr>
        <w:t xml:space="preserve">(d) </w:t>
      </w:r>
      <w:r w:rsidR="009E6756" w:rsidRPr="00E16344">
        <w:rPr>
          <w:rFonts w:ascii="Arial" w:hAnsi="Arial" w:cs="Arial"/>
          <w:sz w:val="24"/>
          <w:szCs w:val="24"/>
          <w:lang w:val="en-US"/>
        </w:rPr>
        <w:t>of the Superior Courts Act 10 of 2013</w:t>
      </w:r>
      <w:r w:rsidR="009E6756">
        <w:rPr>
          <w:rFonts w:ascii="Arial" w:hAnsi="Arial" w:cs="Arial"/>
          <w:sz w:val="24"/>
          <w:szCs w:val="24"/>
          <w:lang w:val="en-US"/>
        </w:rPr>
        <w:t xml:space="preserve">. As it was put in </w:t>
      </w:r>
      <w:bookmarkStart w:id="2" w:name="_Hlk131432806"/>
      <w:r w:rsidR="009E6756">
        <w:rPr>
          <w:rFonts w:ascii="Arial" w:hAnsi="Arial" w:cs="Arial"/>
          <w:i/>
          <w:sz w:val="24"/>
          <w:szCs w:val="24"/>
          <w:lang w:val="en-US"/>
        </w:rPr>
        <w:t xml:space="preserve">Body </w:t>
      </w:r>
      <w:r w:rsidR="00357166">
        <w:rPr>
          <w:rFonts w:ascii="Arial" w:hAnsi="Arial" w:cs="Arial"/>
          <w:i/>
          <w:sz w:val="24"/>
          <w:szCs w:val="24"/>
          <w:lang w:val="en-US"/>
        </w:rPr>
        <w:t>C</w:t>
      </w:r>
      <w:r w:rsidR="009E6756">
        <w:rPr>
          <w:rFonts w:ascii="Arial" w:hAnsi="Arial" w:cs="Arial"/>
          <w:i/>
          <w:sz w:val="24"/>
          <w:szCs w:val="24"/>
          <w:lang w:val="en-US"/>
        </w:rPr>
        <w:t xml:space="preserve">orporate of Marine </w:t>
      </w:r>
      <w:r w:rsidR="00357166">
        <w:rPr>
          <w:rFonts w:ascii="Arial" w:hAnsi="Arial" w:cs="Arial"/>
          <w:i/>
          <w:sz w:val="24"/>
          <w:szCs w:val="24"/>
          <w:lang w:val="en-US"/>
        </w:rPr>
        <w:t>S</w:t>
      </w:r>
      <w:r w:rsidR="009E6756">
        <w:rPr>
          <w:rFonts w:ascii="Arial" w:hAnsi="Arial" w:cs="Arial"/>
          <w:i/>
          <w:sz w:val="24"/>
          <w:szCs w:val="24"/>
          <w:lang w:val="en-US"/>
        </w:rPr>
        <w:t xml:space="preserve">ands v Extra Dimensions </w:t>
      </w:r>
      <w:r w:rsidR="009E6756" w:rsidRPr="00EA73C2">
        <w:rPr>
          <w:rFonts w:ascii="Arial" w:hAnsi="Arial" w:cs="Arial"/>
          <w:i/>
          <w:sz w:val="24"/>
          <w:szCs w:val="24"/>
          <w:lang w:val="en-US"/>
        </w:rPr>
        <w:t>121</w:t>
      </w:r>
      <w:bookmarkEnd w:id="2"/>
      <w:r w:rsidR="00EF0AF4" w:rsidRPr="00D90FFB">
        <w:rPr>
          <w:rFonts w:ascii="Arial" w:hAnsi="Arial" w:cs="Arial"/>
          <w:i/>
          <w:sz w:val="24"/>
          <w:szCs w:val="24"/>
          <w:lang w:val="en-US"/>
        </w:rPr>
        <w:t>(Marine Sands)</w:t>
      </w:r>
      <w:r w:rsidR="00EF0AF4">
        <w:rPr>
          <w:rFonts w:ascii="Arial" w:hAnsi="Arial" w:cs="Arial"/>
          <w:sz w:val="24"/>
          <w:szCs w:val="24"/>
          <w:lang w:val="en-US"/>
        </w:rPr>
        <w:t>:</w:t>
      </w:r>
    </w:p>
    <w:p w14:paraId="03240AF2" w14:textId="3ACD58EC" w:rsidR="009E6756" w:rsidRDefault="00EF0AF4" w:rsidP="009E6756">
      <w:pPr>
        <w:spacing w:after="0" w:line="360" w:lineRule="auto"/>
        <w:jc w:val="both"/>
        <w:rPr>
          <w:rFonts w:ascii="Arial" w:hAnsi="Arial" w:cs="Arial"/>
          <w:lang w:val="en-US"/>
        </w:rPr>
      </w:pPr>
      <w:r w:rsidRPr="00D90FFB">
        <w:rPr>
          <w:rFonts w:ascii="Arial" w:hAnsi="Arial" w:cs="Arial"/>
        </w:rPr>
        <w:t>‘. . .</w:t>
      </w:r>
      <w:r>
        <w:rPr>
          <w:rFonts w:ascii="Arial" w:hAnsi="Arial" w:cs="Arial"/>
        </w:rPr>
        <w:t xml:space="preserve"> </w:t>
      </w:r>
      <w:r w:rsidRPr="009A4B6F">
        <w:rPr>
          <w:rFonts w:ascii="Arial" w:hAnsi="Arial" w:cs="Arial"/>
        </w:rPr>
        <w:t xml:space="preserve">Different </w:t>
      </w:r>
      <w:r w:rsidR="009E6756" w:rsidRPr="009A4B6F">
        <w:rPr>
          <w:rFonts w:ascii="Arial" w:hAnsi="Arial" w:cs="Arial"/>
        </w:rPr>
        <w:t>considerations come into play when considering an application for leave to appeal as compared to adjudicating the appeal itself. As to the former, it is for the applicant to convince the court that it has a reasonable prospect of success on appeal. Success in an application for leave to appeal does not necessarily lead to success in the appeal. Because the success of the application for leave to appeal depends, </w:t>
      </w:r>
      <w:r w:rsidR="009E6756" w:rsidRPr="009A4B6F">
        <w:rPr>
          <w:rFonts w:ascii="Arial" w:hAnsi="Arial" w:cs="Arial"/>
          <w:i/>
          <w:iCs/>
        </w:rPr>
        <w:t>inter alia</w:t>
      </w:r>
      <w:r w:rsidR="009E6756" w:rsidRPr="009A4B6F">
        <w:rPr>
          <w:rFonts w:ascii="Arial" w:hAnsi="Arial" w:cs="Arial"/>
        </w:rPr>
        <w:t xml:space="preserve">, on the prospects of eventual success of the appeal itself, the argument on the application would, to a large extent, have to address the merits of the appeal. Here, inasmuch as the appeal raises a point of statutory interpretation, the application had to succeed. On that score, the high court has </w:t>
      </w:r>
      <w:r w:rsidR="009E6756" w:rsidRPr="009A4B6F">
        <w:rPr>
          <w:rFonts w:ascii="Arial" w:hAnsi="Arial" w:cs="Arial"/>
        </w:rPr>
        <w:lastRenderedPageBreak/>
        <w:t xml:space="preserve">spoken and, absent an appeal, those judgments will continue to apply. Future litigants are entitled to the benefit of this court’s view on the question. In the circumstances we considered it appropriate, at the hearing of the application, to grant leave to the applicant, who will henceforth be referred to as </w:t>
      </w:r>
      <w:r w:rsidR="00D47F0B">
        <w:rPr>
          <w:rFonts w:ascii="Arial" w:hAnsi="Arial" w:cs="Arial"/>
        </w:rPr>
        <w:t>“</w:t>
      </w:r>
      <w:r w:rsidR="00D47F0B" w:rsidRPr="009A4B6F">
        <w:rPr>
          <w:rFonts w:ascii="Arial" w:hAnsi="Arial" w:cs="Arial"/>
        </w:rPr>
        <w:t>the appellant</w:t>
      </w:r>
      <w:r w:rsidR="00D47F0B">
        <w:rPr>
          <w:rFonts w:ascii="Arial" w:hAnsi="Arial" w:cs="Arial"/>
        </w:rPr>
        <w:t>”</w:t>
      </w:r>
      <w:r w:rsidR="009E6756" w:rsidRPr="009A4B6F">
        <w:rPr>
          <w:rFonts w:ascii="Arial" w:hAnsi="Arial" w:cs="Arial"/>
        </w:rPr>
        <w:t>, to proceed with the appeal. That opens the door to a full consideration of the merits of the appeal itself.</w:t>
      </w:r>
      <w:r w:rsidR="009E6756" w:rsidRPr="00EA73C2">
        <w:rPr>
          <w:rFonts w:ascii="Arial" w:hAnsi="Arial" w:cs="Arial"/>
        </w:rPr>
        <w:t>’</w:t>
      </w:r>
      <w:r w:rsidR="009E6756" w:rsidRPr="00EA73C2">
        <w:rPr>
          <w:rFonts w:ascii="Arial" w:hAnsi="Arial" w:cs="Arial"/>
          <w:lang w:val="en-US"/>
        </w:rPr>
        <w:t xml:space="preserve"> </w:t>
      </w:r>
      <w:r w:rsidR="00FE0D90" w:rsidRPr="00EA73C2">
        <w:rPr>
          <w:rStyle w:val="FootnoteReference"/>
          <w:rFonts w:ascii="Arial" w:hAnsi="Arial" w:cs="Arial"/>
          <w:lang w:val="en-US"/>
        </w:rPr>
        <w:footnoteReference w:id="1"/>
      </w:r>
    </w:p>
    <w:p w14:paraId="48268F8C" w14:textId="5363C644" w:rsidR="009E6756" w:rsidRDefault="009E6756" w:rsidP="009E6756">
      <w:pPr>
        <w:spacing w:after="0" w:line="360" w:lineRule="auto"/>
        <w:jc w:val="both"/>
        <w:rPr>
          <w:rFonts w:ascii="Arial" w:hAnsi="Arial" w:cs="Arial"/>
          <w:sz w:val="24"/>
          <w:szCs w:val="24"/>
          <w:lang w:val="en-US"/>
        </w:rPr>
      </w:pPr>
    </w:p>
    <w:p w14:paraId="1449D6C2" w14:textId="3AB901F4" w:rsidR="00263B35" w:rsidRDefault="00357166" w:rsidP="00263B35">
      <w:pPr>
        <w:spacing w:after="0" w:line="360" w:lineRule="auto"/>
        <w:jc w:val="both"/>
        <w:rPr>
          <w:rFonts w:ascii="Arial" w:eastAsia="Times New Roman" w:hAnsi="Arial" w:cs="Arial"/>
          <w:sz w:val="24"/>
          <w:szCs w:val="24"/>
          <w:lang w:eastAsia="en-ZA"/>
        </w:rPr>
      </w:pPr>
      <w:r>
        <w:rPr>
          <w:rFonts w:ascii="Arial" w:hAnsi="Arial" w:cs="Arial"/>
          <w:sz w:val="24"/>
          <w:szCs w:val="24"/>
          <w:lang w:val="en-US"/>
        </w:rPr>
        <w:t>[2]</w:t>
      </w:r>
      <w:r>
        <w:rPr>
          <w:rFonts w:ascii="Arial" w:hAnsi="Arial" w:cs="Arial"/>
          <w:sz w:val="24"/>
          <w:szCs w:val="24"/>
          <w:lang w:val="en-US"/>
        </w:rPr>
        <w:tab/>
      </w:r>
      <w:r w:rsidR="009E6756">
        <w:rPr>
          <w:rFonts w:ascii="Arial" w:hAnsi="Arial" w:cs="Arial"/>
          <w:sz w:val="24"/>
          <w:szCs w:val="24"/>
          <w:lang w:val="en-US"/>
        </w:rPr>
        <w:t xml:space="preserve">As this </w:t>
      </w:r>
      <w:r w:rsidR="00263B35">
        <w:rPr>
          <w:rFonts w:ascii="Arial" w:hAnsi="Arial" w:cs="Arial"/>
          <w:sz w:val="24"/>
          <w:szCs w:val="24"/>
          <w:lang w:val="en-US"/>
        </w:rPr>
        <w:t xml:space="preserve">matter </w:t>
      </w:r>
      <w:r w:rsidR="009E6756">
        <w:rPr>
          <w:rFonts w:ascii="Arial" w:hAnsi="Arial" w:cs="Arial"/>
          <w:sz w:val="24"/>
          <w:szCs w:val="24"/>
          <w:lang w:val="en-US"/>
        </w:rPr>
        <w:t xml:space="preserve">also raises a point of statutory </w:t>
      </w:r>
      <w:r>
        <w:rPr>
          <w:rFonts w:ascii="Arial" w:hAnsi="Arial" w:cs="Arial"/>
          <w:sz w:val="24"/>
          <w:szCs w:val="24"/>
          <w:lang w:val="en-US"/>
        </w:rPr>
        <w:t>interpretation</w:t>
      </w:r>
      <w:r w:rsidR="00263B35">
        <w:rPr>
          <w:rFonts w:ascii="Arial" w:hAnsi="Arial" w:cs="Arial"/>
          <w:sz w:val="24"/>
          <w:szCs w:val="24"/>
          <w:lang w:val="en-US"/>
        </w:rPr>
        <w:t>,</w:t>
      </w:r>
      <w:r w:rsidR="009E6756">
        <w:rPr>
          <w:rFonts w:ascii="Arial" w:hAnsi="Arial" w:cs="Arial"/>
          <w:sz w:val="24"/>
          <w:szCs w:val="24"/>
          <w:lang w:val="en-US"/>
        </w:rPr>
        <w:t xml:space="preserve"> </w:t>
      </w:r>
      <w:r w:rsidR="00263B35">
        <w:rPr>
          <w:rFonts w:ascii="Arial" w:hAnsi="Arial" w:cs="Arial"/>
          <w:sz w:val="24"/>
          <w:szCs w:val="24"/>
          <w:lang w:val="en-US"/>
        </w:rPr>
        <w:t>the approach</w:t>
      </w:r>
      <w:r w:rsidR="0081078F">
        <w:rPr>
          <w:rFonts w:ascii="Arial" w:hAnsi="Arial" w:cs="Arial"/>
          <w:sz w:val="24"/>
          <w:szCs w:val="24"/>
          <w:lang w:val="en-US"/>
        </w:rPr>
        <w:t xml:space="preserve"> </w:t>
      </w:r>
      <w:r w:rsidR="0081078F" w:rsidRPr="00023DFB">
        <w:rPr>
          <w:rFonts w:ascii="Arial" w:hAnsi="Arial" w:cs="Arial"/>
          <w:sz w:val="24"/>
          <w:szCs w:val="24"/>
          <w:lang w:val="en-US"/>
        </w:rPr>
        <w:t>followed</w:t>
      </w:r>
      <w:r w:rsidR="00263B35" w:rsidRPr="00023DFB">
        <w:rPr>
          <w:rFonts w:ascii="Arial" w:hAnsi="Arial" w:cs="Arial"/>
          <w:sz w:val="24"/>
          <w:szCs w:val="24"/>
          <w:lang w:val="en-US"/>
        </w:rPr>
        <w:t xml:space="preserve"> in</w:t>
      </w:r>
      <w:r w:rsidR="00263B35">
        <w:rPr>
          <w:rFonts w:ascii="Arial" w:hAnsi="Arial" w:cs="Arial"/>
          <w:sz w:val="24"/>
          <w:szCs w:val="24"/>
          <w:lang w:val="en-US"/>
        </w:rPr>
        <w:t xml:space="preserve"> </w:t>
      </w:r>
      <w:r w:rsidR="00263B35">
        <w:rPr>
          <w:rFonts w:ascii="Arial" w:hAnsi="Arial" w:cs="Arial"/>
          <w:i/>
          <w:iCs/>
          <w:sz w:val="24"/>
          <w:szCs w:val="24"/>
          <w:lang w:val="en-US"/>
        </w:rPr>
        <w:t>Marine Sands</w:t>
      </w:r>
      <w:r w:rsidR="00263B35">
        <w:rPr>
          <w:rFonts w:ascii="Arial" w:hAnsi="Arial" w:cs="Arial"/>
          <w:sz w:val="24"/>
          <w:szCs w:val="24"/>
          <w:lang w:val="en-US"/>
        </w:rPr>
        <w:t xml:space="preserve"> commends itself in this instance as well. The question that we are required to resolve is </w:t>
      </w:r>
      <w:r w:rsidR="00263B35" w:rsidRPr="007535FC">
        <w:rPr>
          <w:rFonts w:ascii="Arial" w:hAnsi="Arial" w:cs="Arial"/>
          <w:sz w:val="24"/>
          <w:szCs w:val="24"/>
          <w:lang w:val="en-US"/>
        </w:rPr>
        <w:t xml:space="preserve">whether </w:t>
      </w:r>
      <w:r w:rsidR="00FE0D90" w:rsidRPr="007535FC">
        <w:rPr>
          <w:rFonts w:ascii="Arial" w:hAnsi="Arial" w:cs="Arial"/>
          <w:sz w:val="24"/>
          <w:szCs w:val="24"/>
          <w:lang w:val="en-US"/>
        </w:rPr>
        <w:t>an appeal against</w:t>
      </w:r>
      <w:r w:rsidR="00FE0D90">
        <w:rPr>
          <w:rFonts w:ascii="Arial" w:hAnsi="Arial" w:cs="Arial"/>
          <w:sz w:val="24"/>
          <w:szCs w:val="24"/>
          <w:lang w:val="en-US"/>
        </w:rPr>
        <w:t xml:space="preserve"> </w:t>
      </w:r>
      <w:r w:rsidR="00263B35">
        <w:rPr>
          <w:rFonts w:ascii="Arial" w:hAnsi="Arial" w:cs="Arial"/>
          <w:sz w:val="24"/>
          <w:szCs w:val="24"/>
          <w:lang w:val="en-US"/>
        </w:rPr>
        <w:t xml:space="preserve">the refusal of a provisional order of sequestration is precluded by s 150(5) of the </w:t>
      </w:r>
      <w:r w:rsidR="00263B35">
        <w:rPr>
          <w:rFonts w:ascii="Arial" w:eastAsia="Times New Roman" w:hAnsi="Arial" w:cs="Arial"/>
          <w:sz w:val="24"/>
          <w:szCs w:val="24"/>
          <w:lang w:eastAsia="en-ZA"/>
        </w:rPr>
        <w:t>Insolvency Act 24 of 1936</w:t>
      </w:r>
      <w:r w:rsidR="00B642FB">
        <w:rPr>
          <w:rFonts w:ascii="Arial" w:eastAsia="Times New Roman" w:hAnsi="Arial" w:cs="Arial"/>
          <w:sz w:val="24"/>
          <w:szCs w:val="24"/>
          <w:lang w:eastAsia="en-ZA"/>
        </w:rPr>
        <w:t xml:space="preserve"> (the Act)</w:t>
      </w:r>
      <w:r w:rsidR="00263B35">
        <w:rPr>
          <w:rFonts w:ascii="Arial" w:eastAsia="Times New Roman" w:hAnsi="Arial" w:cs="Arial"/>
          <w:sz w:val="24"/>
          <w:szCs w:val="24"/>
          <w:lang w:eastAsia="en-ZA"/>
        </w:rPr>
        <w:t xml:space="preserve">. Section 150(5) reads: </w:t>
      </w:r>
    </w:p>
    <w:p w14:paraId="4B478EA2" w14:textId="4D7DAFF4" w:rsidR="00263B35" w:rsidRDefault="00224FD1" w:rsidP="00263B35">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Pr="00DB5F13">
        <w:rPr>
          <w:rFonts w:ascii="Arial" w:eastAsia="Times New Roman" w:hAnsi="Arial" w:cs="Arial"/>
          <w:sz w:val="24"/>
          <w:szCs w:val="24"/>
          <w:lang w:eastAsia="en-ZA"/>
        </w:rPr>
        <w:t>T</w:t>
      </w:r>
      <w:r w:rsidR="00263B35" w:rsidRPr="00926926">
        <w:rPr>
          <w:rFonts w:ascii="Arial" w:eastAsia="Times New Roman" w:hAnsi="Arial" w:cs="Arial"/>
          <w:sz w:val="24"/>
          <w:szCs w:val="24"/>
          <w:lang w:eastAsia="en-ZA"/>
        </w:rPr>
        <w:t>here shall be no appeal against any Order made by the court in terms of this Act, except as provided in this section</w:t>
      </w:r>
      <w:r w:rsidR="00263B35">
        <w:rPr>
          <w:rFonts w:ascii="Arial" w:eastAsia="Times New Roman" w:hAnsi="Arial" w:cs="Arial"/>
          <w:sz w:val="24"/>
          <w:szCs w:val="24"/>
          <w:lang w:eastAsia="en-ZA"/>
        </w:rPr>
        <w:t>’</w:t>
      </w:r>
      <w:r w:rsidR="00263B35" w:rsidRPr="00926926">
        <w:rPr>
          <w:rFonts w:ascii="Arial" w:eastAsia="Times New Roman" w:hAnsi="Arial" w:cs="Arial"/>
          <w:sz w:val="24"/>
          <w:szCs w:val="24"/>
          <w:lang w:eastAsia="en-ZA"/>
        </w:rPr>
        <w:t>.</w:t>
      </w:r>
      <w:r w:rsidR="00263B35">
        <w:rPr>
          <w:rFonts w:ascii="Arial" w:eastAsia="Times New Roman" w:hAnsi="Arial" w:cs="Arial"/>
          <w:sz w:val="24"/>
          <w:szCs w:val="24"/>
          <w:lang w:eastAsia="en-ZA"/>
        </w:rPr>
        <w:t xml:space="preserve"> </w:t>
      </w:r>
    </w:p>
    <w:p w14:paraId="4443036E" w14:textId="3767759C" w:rsidR="00263B35" w:rsidRDefault="00B642FB" w:rsidP="00263B35">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Section 150(5)</w:t>
      </w:r>
      <w:r w:rsidR="00263B35">
        <w:rPr>
          <w:rFonts w:ascii="Arial" w:eastAsia="Times New Roman" w:hAnsi="Arial" w:cs="Arial"/>
          <w:sz w:val="24"/>
          <w:szCs w:val="24"/>
          <w:lang w:eastAsia="en-ZA"/>
        </w:rPr>
        <w:t xml:space="preserve"> must be read with s </w:t>
      </w:r>
      <w:r w:rsidR="00263B35" w:rsidRPr="00526C63">
        <w:rPr>
          <w:rFonts w:ascii="Arial" w:eastAsia="Times New Roman" w:hAnsi="Arial" w:cs="Arial"/>
          <w:sz w:val="24"/>
          <w:szCs w:val="24"/>
          <w:lang w:eastAsia="en-ZA"/>
        </w:rPr>
        <w:t>150(1), which provides:</w:t>
      </w:r>
    </w:p>
    <w:p w14:paraId="1717A902" w14:textId="51E90972" w:rsidR="006C5087" w:rsidRPr="006C5087" w:rsidRDefault="00224FD1" w:rsidP="00263B35">
      <w:pPr>
        <w:spacing w:after="0" w:line="360" w:lineRule="auto"/>
        <w:jc w:val="both"/>
        <w:rPr>
          <w:rFonts w:ascii="Arial" w:eastAsia="Times New Roman" w:hAnsi="Arial" w:cs="Arial"/>
          <w:lang w:eastAsia="en-ZA"/>
        </w:rPr>
      </w:pPr>
      <w:r>
        <w:rPr>
          <w:rFonts w:ascii="Arial" w:eastAsia="Times New Roman" w:hAnsi="Arial" w:cs="Arial"/>
          <w:lang w:eastAsia="en-ZA"/>
        </w:rPr>
        <w:t>‘</w:t>
      </w:r>
      <w:r w:rsidR="006C5087">
        <w:rPr>
          <w:rFonts w:ascii="Arial" w:eastAsia="Times New Roman" w:hAnsi="Arial" w:cs="Arial"/>
          <w:lang w:eastAsia="en-ZA"/>
        </w:rPr>
        <w:t>Any person aggrieved by a final order of sequestration or by an order setting aside an order of provisional sequestration may, subject to the provisions of section 20 (4) and (5) of the Supreme Court Act, 1959 (Act 59 of 1959), appeal against such order.’</w:t>
      </w:r>
    </w:p>
    <w:p w14:paraId="400CDF50" w14:textId="77777777" w:rsidR="00263B35" w:rsidRDefault="00263B35" w:rsidP="00E16344">
      <w:pPr>
        <w:spacing w:after="0" w:line="360" w:lineRule="auto"/>
        <w:jc w:val="both"/>
        <w:rPr>
          <w:rFonts w:ascii="Arial" w:hAnsi="Arial" w:cs="Arial"/>
          <w:sz w:val="24"/>
          <w:szCs w:val="24"/>
          <w:lang w:val="en-US"/>
        </w:rPr>
      </w:pPr>
    </w:p>
    <w:p w14:paraId="5EA8E779" w14:textId="61A7F177" w:rsidR="00B9030E" w:rsidRPr="007535FC" w:rsidRDefault="00D16FA4" w:rsidP="00872157">
      <w:pPr>
        <w:spacing w:after="0" w:line="360" w:lineRule="auto"/>
        <w:jc w:val="both"/>
        <w:rPr>
          <w:rFonts w:ascii="Arial" w:hAnsi="Arial" w:cs="Arial"/>
          <w:sz w:val="24"/>
          <w:szCs w:val="24"/>
          <w:lang w:val="en-US"/>
        </w:rPr>
      </w:pPr>
      <w:r>
        <w:rPr>
          <w:rFonts w:ascii="Arial" w:hAnsi="Arial" w:cs="Arial"/>
          <w:sz w:val="24"/>
          <w:szCs w:val="24"/>
          <w:lang w:val="en-US"/>
        </w:rPr>
        <w:t>[</w:t>
      </w:r>
      <w:r w:rsidR="00B642FB">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9E6756" w:rsidRPr="00E16344">
        <w:rPr>
          <w:rFonts w:ascii="Arial" w:hAnsi="Arial" w:cs="Arial"/>
          <w:sz w:val="24"/>
          <w:szCs w:val="24"/>
          <w:lang w:val="en-US"/>
        </w:rPr>
        <w:t xml:space="preserve">The appeal </w:t>
      </w:r>
      <w:r w:rsidR="009E6756">
        <w:rPr>
          <w:rFonts w:ascii="Arial" w:hAnsi="Arial" w:cs="Arial"/>
          <w:sz w:val="24"/>
          <w:szCs w:val="24"/>
          <w:lang w:val="en-US"/>
        </w:rPr>
        <w:t xml:space="preserve">lies </w:t>
      </w:r>
      <w:r w:rsidR="009E6756" w:rsidRPr="00E16344">
        <w:rPr>
          <w:rFonts w:ascii="Arial" w:hAnsi="Arial" w:cs="Arial"/>
          <w:sz w:val="24"/>
          <w:szCs w:val="24"/>
          <w:lang w:val="en-US"/>
        </w:rPr>
        <w:t>again</w:t>
      </w:r>
      <w:r w:rsidR="00B642FB">
        <w:rPr>
          <w:rFonts w:ascii="Arial" w:hAnsi="Arial" w:cs="Arial"/>
          <w:sz w:val="24"/>
          <w:szCs w:val="24"/>
          <w:lang w:val="en-US"/>
        </w:rPr>
        <w:t>st</w:t>
      </w:r>
      <w:r w:rsidR="009E6756">
        <w:rPr>
          <w:rFonts w:ascii="Arial" w:hAnsi="Arial" w:cs="Arial"/>
          <w:sz w:val="24"/>
          <w:szCs w:val="24"/>
          <w:lang w:val="en-US"/>
        </w:rPr>
        <w:t xml:space="preserve"> </w:t>
      </w:r>
      <w:r w:rsidR="00B642FB">
        <w:rPr>
          <w:rFonts w:ascii="Arial" w:hAnsi="Arial" w:cs="Arial"/>
          <w:sz w:val="24"/>
          <w:szCs w:val="24"/>
          <w:lang w:val="en-US"/>
        </w:rPr>
        <w:t xml:space="preserve">the </w:t>
      </w:r>
      <w:r w:rsidR="009E6756">
        <w:rPr>
          <w:rFonts w:ascii="Arial" w:hAnsi="Arial" w:cs="Arial"/>
          <w:sz w:val="24"/>
          <w:szCs w:val="24"/>
          <w:lang w:val="en-US"/>
        </w:rPr>
        <w:t xml:space="preserve">order </w:t>
      </w:r>
      <w:r w:rsidR="009E6756" w:rsidRPr="00E16344">
        <w:rPr>
          <w:rFonts w:ascii="Arial" w:hAnsi="Arial" w:cs="Arial"/>
          <w:sz w:val="24"/>
          <w:szCs w:val="24"/>
          <w:lang w:val="en-US"/>
        </w:rPr>
        <w:t xml:space="preserve">of </w:t>
      </w:r>
      <w:r w:rsidR="00B642FB">
        <w:rPr>
          <w:rFonts w:ascii="Arial" w:hAnsi="Arial" w:cs="Arial"/>
          <w:sz w:val="24"/>
          <w:szCs w:val="24"/>
          <w:lang w:val="en-US"/>
        </w:rPr>
        <w:t xml:space="preserve">Ganie AJ in </w:t>
      </w:r>
      <w:r w:rsidR="009E6756" w:rsidRPr="00E16344">
        <w:rPr>
          <w:rFonts w:ascii="Arial" w:hAnsi="Arial" w:cs="Arial"/>
          <w:sz w:val="24"/>
          <w:szCs w:val="24"/>
          <w:lang w:val="en-US"/>
        </w:rPr>
        <w:t>the KwaZulu-Natal Division</w:t>
      </w:r>
      <w:r w:rsidR="00224FD1">
        <w:rPr>
          <w:rFonts w:ascii="Arial" w:hAnsi="Arial" w:cs="Arial"/>
          <w:sz w:val="24"/>
          <w:szCs w:val="24"/>
          <w:lang w:val="en-US"/>
        </w:rPr>
        <w:t xml:space="preserve"> </w:t>
      </w:r>
      <w:r w:rsidR="00224FD1" w:rsidRPr="00DB5F13">
        <w:rPr>
          <w:rFonts w:ascii="Arial" w:hAnsi="Arial" w:cs="Arial"/>
          <w:sz w:val="24"/>
          <w:szCs w:val="24"/>
          <w:lang w:val="en-US"/>
        </w:rPr>
        <w:t>of</w:t>
      </w:r>
      <w:r w:rsidR="00224FD1" w:rsidRPr="00224FD1">
        <w:rPr>
          <w:rFonts w:ascii="Arial" w:hAnsi="Arial" w:cs="Arial"/>
          <w:sz w:val="24"/>
          <w:szCs w:val="24"/>
          <w:highlight w:val="green"/>
          <w:lang w:val="en-US"/>
        </w:rPr>
        <w:t xml:space="preserve"> </w:t>
      </w:r>
      <w:r w:rsidR="00224FD1" w:rsidRPr="00DB5F13">
        <w:rPr>
          <w:rFonts w:ascii="Arial" w:hAnsi="Arial" w:cs="Arial"/>
          <w:sz w:val="24"/>
          <w:szCs w:val="24"/>
          <w:lang w:val="en-US"/>
        </w:rPr>
        <w:t>the High Court</w:t>
      </w:r>
      <w:r w:rsidR="009E6756" w:rsidRPr="00E16344">
        <w:rPr>
          <w:rFonts w:ascii="Arial" w:hAnsi="Arial" w:cs="Arial"/>
          <w:sz w:val="24"/>
          <w:szCs w:val="24"/>
          <w:lang w:val="en-US"/>
        </w:rPr>
        <w:t>, Pietermaritzburg (</w:t>
      </w:r>
      <w:r w:rsidR="009E6756">
        <w:rPr>
          <w:rFonts w:ascii="Arial" w:hAnsi="Arial" w:cs="Arial"/>
          <w:sz w:val="24"/>
          <w:szCs w:val="24"/>
          <w:lang w:val="en-US"/>
        </w:rPr>
        <w:t>the high court</w:t>
      </w:r>
      <w:r w:rsidR="009E6756" w:rsidRPr="00E16344">
        <w:rPr>
          <w:rFonts w:ascii="Arial" w:hAnsi="Arial" w:cs="Arial"/>
          <w:sz w:val="24"/>
          <w:szCs w:val="24"/>
          <w:lang w:val="en-US"/>
        </w:rPr>
        <w:t xml:space="preserve">) </w:t>
      </w:r>
      <w:r w:rsidR="009E6756">
        <w:rPr>
          <w:rFonts w:ascii="Arial" w:hAnsi="Arial" w:cs="Arial"/>
          <w:sz w:val="24"/>
          <w:szCs w:val="24"/>
          <w:lang w:val="en-US"/>
        </w:rPr>
        <w:t>dismiss</w:t>
      </w:r>
      <w:r w:rsidR="00B642FB">
        <w:rPr>
          <w:rFonts w:ascii="Arial" w:hAnsi="Arial" w:cs="Arial"/>
          <w:sz w:val="24"/>
          <w:szCs w:val="24"/>
          <w:lang w:val="en-US"/>
        </w:rPr>
        <w:t>ing</w:t>
      </w:r>
      <w:r w:rsidR="009E6756">
        <w:rPr>
          <w:rFonts w:ascii="Arial" w:hAnsi="Arial" w:cs="Arial"/>
          <w:sz w:val="24"/>
          <w:szCs w:val="24"/>
          <w:lang w:val="en-US"/>
        </w:rPr>
        <w:t xml:space="preserve"> with costs </w:t>
      </w:r>
      <w:r w:rsidR="009E6756" w:rsidRPr="00E16344">
        <w:rPr>
          <w:rFonts w:ascii="Arial" w:hAnsi="Arial" w:cs="Arial"/>
          <w:sz w:val="24"/>
          <w:szCs w:val="24"/>
          <w:lang w:val="en-US"/>
        </w:rPr>
        <w:t xml:space="preserve">the application by the </w:t>
      </w:r>
      <w:r w:rsidR="00C02461">
        <w:rPr>
          <w:rFonts w:ascii="Arial" w:hAnsi="Arial" w:cs="Arial"/>
          <w:sz w:val="24"/>
          <w:szCs w:val="24"/>
          <w:lang w:val="en-US"/>
        </w:rPr>
        <w:t>appellant</w:t>
      </w:r>
      <w:r w:rsidR="009E6756" w:rsidRPr="00E16344">
        <w:rPr>
          <w:rFonts w:ascii="Arial" w:hAnsi="Arial" w:cs="Arial"/>
          <w:sz w:val="24"/>
          <w:szCs w:val="24"/>
          <w:lang w:val="en-US"/>
        </w:rPr>
        <w:t xml:space="preserve">, Liberty Group Limited (Liberty), </w:t>
      </w:r>
      <w:r w:rsidR="00B642FB">
        <w:rPr>
          <w:rFonts w:ascii="Arial" w:hAnsi="Arial" w:cs="Arial"/>
          <w:sz w:val="24"/>
          <w:szCs w:val="24"/>
          <w:lang w:val="en-US"/>
        </w:rPr>
        <w:t>for the</w:t>
      </w:r>
      <w:r w:rsidR="009E6756" w:rsidRPr="00E16344">
        <w:rPr>
          <w:rFonts w:ascii="Arial" w:hAnsi="Arial" w:cs="Arial"/>
          <w:sz w:val="24"/>
          <w:szCs w:val="24"/>
          <w:lang w:val="en-US"/>
        </w:rPr>
        <w:t xml:space="preserve"> provisional sequestration of the estate of the respondent, Mr Mohammed Shaaz Moosa (Mr Moosa)</w:t>
      </w:r>
      <w:r w:rsidR="00B642FB">
        <w:rPr>
          <w:rFonts w:ascii="Arial" w:hAnsi="Arial" w:cs="Arial"/>
          <w:sz w:val="24"/>
          <w:szCs w:val="24"/>
          <w:lang w:val="en-US"/>
        </w:rPr>
        <w:t>.</w:t>
      </w:r>
      <w:r w:rsidR="009E6756" w:rsidRPr="00E16344">
        <w:rPr>
          <w:rFonts w:ascii="Arial" w:hAnsi="Arial" w:cs="Arial"/>
          <w:sz w:val="24"/>
          <w:szCs w:val="24"/>
          <w:lang w:val="en-US"/>
        </w:rPr>
        <w:t xml:space="preserve"> </w:t>
      </w:r>
      <w:r w:rsidR="00B642FB">
        <w:rPr>
          <w:rFonts w:ascii="Arial" w:hAnsi="Arial" w:cs="Arial"/>
          <w:sz w:val="24"/>
          <w:szCs w:val="24"/>
          <w:lang w:val="en-US"/>
        </w:rPr>
        <w:t>T</w:t>
      </w:r>
      <w:r w:rsidR="00C02461" w:rsidRPr="00E16344">
        <w:rPr>
          <w:rFonts w:ascii="Arial" w:hAnsi="Arial" w:cs="Arial"/>
          <w:sz w:val="24"/>
          <w:szCs w:val="24"/>
          <w:lang w:val="en-US"/>
        </w:rPr>
        <w:t xml:space="preserve">he high </w:t>
      </w:r>
      <w:r w:rsidR="00C02461">
        <w:rPr>
          <w:rFonts w:ascii="Arial" w:hAnsi="Arial" w:cs="Arial"/>
          <w:sz w:val="24"/>
          <w:szCs w:val="24"/>
          <w:lang w:val="en-US"/>
        </w:rPr>
        <w:t>c</w:t>
      </w:r>
      <w:r w:rsidR="00C02461" w:rsidRPr="00E16344">
        <w:rPr>
          <w:rFonts w:ascii="Arial" w:hAnsi="Arial" w:cs="Arial"/>
          <w:sz w:val="24"/>
          <w:szCs w:val="24"/>
          <w:lang w:val="en-US"/>
        </w:rPr>
        <w:t>ourt</w:t>
      </w:r>
      <w:r w:rsidR="00B642FB">
        <w:rPr>
          <w:rFonts w:ascii="Arial" w:hAnsi="Arial" w:cs="Arial"/>
          <w:sz w:val="24"/>
          <w:szCs w:val="24"/>
          <w:lang w:val="en-US"/>
        </w:rPr>
        <w:t xml:space="preserve"> thereafter </w:t>
      </w:r>
      <w:r w:rsidR="00C02461" w:rsidRPr="00E16344">
        <w:rPr>
          <w:rFonts w:ascii="Arial" w:hAnsi="Arial" w:cs="Arial"/>
          <w:sz w:val="24"/>
          <w:szCs w:val="24"/>
          <w:lang w:val="en-US"/>
        </w:rPr>
        <w:t xml:space="preserve">dismissed </w:t>
      </w:r>
      <w:r w:rsidR="00B642FB">
        <w:rPr>
          <w:rFonts w:ascii="Arial" w:hAnsi="Arial" w:cs="Arial"/>
          <w:sz w:val="24"/>
          <w:szCs w:val="24"/>
          <w:lang w:val="en-US"/>
        </w:rPr>
        <w:t xml:space="preserve">an application by Liberty for leave to appeal </w:t>
      </w:r>
      <w:r w:rsidR="00C02461" w:rsidRPr="00E16344">
        <w:rPr>
          <w:rFonts w:ascii="Arial" w:hAnsi="Arial" w:cs="Arial"/>
          <w:sz w:val="24"/>
          <w:szCs w:val="24"/>
          <w:lang w:val="en-US"/>
        </w:rPr>
        <w:t xml:space="preserve">on the basis that </w:t>
      </w:r>
      <w:r w:rsidR="00B642FB">
        <w:rPr>
          <w:rFonts w:ascii="Arial" w:hAnsi="Arial" w:cs="Arial"/>
          <w:sz w:val="24"/>
          <w:szCs w:val="24"/>
          <w:lang w:val="en-US"/>
        </w:rPr>
        <w:t>its</w:t>
      </w:r>
      <w:r w:rsidR="00C02461" w:rsidRPr="00E16344">
        <w:rPr>
          <w:rFonts w:ascii="Arial" w:hAnsi="Arial" w:cs="Arial"/>
          <w:sz w:val="24"/>
          <w:szCs w:val="24"/>
          <w:lang w:val="en-US"/>
        </w:rPr>
        <w:t xml:space="preserve"> </w:t>
      </w:r>
      <w:r w:rsidR="00C02461" w:rsidRPr="007535FC">
        <w:rPr>
          <w:rFonts w:ascii="Arial" w:hAnsi="Arial" w:cs="Arial"/>
          <w:sz w:val="24"/>
          <w:szCs w:val="24"/>
          <w:lang w:val="en-US"/>
        </w:rPr>
        <w:t>order is,</w:t>
      </w:r>
      <w:r w:rsidR="00C02461" w:rsidRPr="00E16344">
        <w:rPr>
          <w:rFonts w:ascii="Arial" w:hAnsi="Arial" w:cs="Arial"/>
          <w:sz w:val="24"/>
          <w:szCs w:val="24"/>
          <w:lang w:val="en-US"/>
        </w:rPr>
        <w:t xml:space="preserve"> in terms of s 150</w:t>
      </w:r>
      <w:r w:rsidR="00C02461">
        <w:rPr>
          <w:rFonts w:ascii="Arial" w:hAnsi="Arial" w:cs="Arial"/>
          <w:sz w:val="24"/>
          <w:szCs w:val="24"/>
          <w:lang w:val="en-US"/>
        </w:rPr>
        <w:t>(5)</w:t>
      </w:r>
      <w:r w:rsidR="00C02461" w:rsidRPr="00E16344">
        <w:rPr>
          <w:rFonts w:ascii="Arial" w:hAnsi="Arial" w:cs="Arial"/>
          <w:sz w:val="24"/>
          <w:szCs w:val="24"/>
          <w:lang w:val="en-US"/>
        </w:rPr>
        <w:t xml:space="preserve"> of the Act</w:t>
      </w:r>
      <w:r w:rsidR="00C02461">
        <w:rPr>
          <w:rFonts w:ascii="Arial" w:hAnsi="Arial" w:cs="Arial"/>
          <w:sz w:val="24"/>
          <w:szCs w:val="24"/>
          <w:lang w:val="en-US"/>
        </w:rPr>
        <w:t xml:space="preserve">, </w:t>
      </w:r>
      <w:r w:rsidR="00C02461" w:rsidRPr="00E16344">
        <w:rPr>
          <w:rFonts w:ascii="Arial" w:hAnsi="Arial" w:cs="Arial"/>
          <w:sz w:val="24"/>
          <w:szCs w:val="24"/>
          <w:lang w:val="en-US"/>
        </w:rPr>
        <w:t>not appealable</w:t>
      </w:r>
      <w:r w:rsidR="00C02461" w:rsidRPr="007535FC">
        <w:rPr>
          <w:rFonts w:ascii="Arial" w:hAnsi="Arial" w:cs="Arial"/>
          <w:sz w:val="24"/>
          <w:szCs w:val="24"/>
          <w:lang w:val="en-US"/>
        </w:rPr>
        <w:t>.</w:t>
      </w:r>
      <w:r w:rsidR="00B9030E" w:rsidRPr="007535FC">
        <w:rPr>
          <w:rFonts w:ascii="Arial" w:hAnsi="Arial" w:cs="Arial"/>
          <w:sz w:val="24"/>
          <w:szCs w:val="24"/>
          <w:lang w:val="en-US"/>
        </w:rPr>
        <w:t xml:space="preserve"> </w:t>
      </w:r>
      <w:r w:rsidR="00C02461" w:rsidRPr="007535FC">
        <w:rPr>
          <w:rFonts w:ascii="Arial" w:hAnsi="Arial" w:cs="Arial"/>
          <w:sz w:val="24"/>
          <w:szCs w:val="24"/>
          <w:lang w:val="en-US"/>
        </w:rPr>
        <w:t>In</w:t>
      </w:r>
      <w:r w:rsidR="00C02461">
        <w:rPr>
          <w:rFonts w:ascii="Arial" w:hAnsi="Arial" w:cs="Arial"/>
          <w:sz w:val="24"/>
          <w:szCs w:val="24"/>
          <w:lang w:val="en-US"/>
        </w:rPr>
        <w:t xml:space="preserve"> </w:t>
      </w:r>
      <w:r w:rsidR="00BD109D">
        <w:rPr>
          <w:rFonts w:ascii="Arial" w:hAnsi="Arial" w:cs="Arial"/>
          <w:sz w:val="24"/>
          <w:szCs w:val="24"/>
          <w:lang w:val="en-US"/>
        </w:rPr>
        <w:t>that,</w:t>
      </w:r>
      <w:r w:rsidR="00C02461">
        <w:rPr>
          <w:rFonts w:ascii="Arial" w:hAnsi="Arial" w:cs="Arial"/>
          <w:sz w:val="24"/>
          <w:szCs w:val="24"/>
          <w:lang w:val="en-US"/>
        </w:rPr>
        <w:t xml:space="preserve"> reliance was placed</w:t>
      </w:r>
      <w:r w:rsidR="00BD109D">
        <w:rPr>
          <w:rFonts w:ascii="Arial" w:hAnsi="Arial" w:cs="Arial"/>
          <w:sz w:val="24"/>
          <w:szCs w:val="24"/>
          <w:lang w:val="en-US"/>
        </w:rPr>
        <w:t xml:space="preserve"> by the high court</w:t>
      </w:r>
      <w:r w:rsidR="00C02461">
        <w:rPr>
          <w:rFonts w:ascii="Arial" w:hAnsi="Arial" w:cs="Arial"/>
          <w:sz w:val="24"/>
          <w:szCs w:val="24"/>
          <w:lang w:val="en-US"/>
        </w:rPr>
        <w:t xml:space="preserve">, inter alia, on the decision of Van Reenen J of the Cape Provincial Division in </w:t>
      </w:r>
      <w:r w:rsidR="00C02461" w:rsidRPr="009A4B6F">
        <w:rPr>
          <w:rFonts w:ascii="Arial" w:hAnsi="Arial" w:cs="Arial"/>
          <w:i/>
          <w:sz w:val="24"/>
          <w:szCs w:val="24"/>
          <w:lang w:val="en-US"/>
        </w:rPr>
        <w:t>Gottschalk</w:t>
      </w:r>
      <w:r w:rsidR="00672E2D" w:rsidRPr="00B642FB">
        <w:rPr>
          <w:rStyle w:val="FootnoteReference"/>
          <w:rFonts w:ascii="Arial" w:hAnsi="Arial" w:cs="Arial"/>
          <w:iCs/>
          <w:sz w:val="24"/>
          <w:szCs w:val="24"/>
          <w:lang w:val="en-US"/>
        </w:rPr>
        <w:footnoteReference w:id="2"/>
      </w:r>
      <w:r w:rsidR="00C02461">
        <w:rPr>
          <w:rFonts w:ascii="Arial" w:hAnsi="Arial" w:cs="Arial"/>
          <w:sz w:val="24"/>
          <w:szCs w:val="24"/>
          <w:lang w:val="en-US"/>
        </w:rPr>
        <w:t xml:space="preserve"> and the Full Court of the Natal Provincial Division in </w:t>
      </w:r>
      <w:r w:rsidR="00C02461">
        <w:rPr>
          <w:rFonts w:ascii="Arial" w:hAnsi="Arial" w:cs="Arial"/>
          <w:i/>
          <w:sz w:val="24"/>
          <w:szCs w:val="24"/>
          <w:lang w:val="en-US"/>
        </w:rPr>
        <w:t>Lawclaims</w:t>
      </w:r>
      <w:r w:rsidR="00B642FB">
        <w:rPr>
          <w:rFonts w:ascii="Arial" w:hAnsi="Arial" w:cs="Arial"/>
          <w:i/>
          <w:sz w:val="24"/>
          <w:szCs w:val="24"/>
          <w:lang w:val="en-US"/>
        </w:rPr>
        <w:t>.</w:t>
      </w:r>
      <w:r w:rsidR="00672E2D" w:rsidRPr="00B642FB">
        <w:rPr>
          <w:rStyle w:val="FootnoteReference"/>
          <w:rFonts w:ascii="Arial" w:hAnsi="Arial" w:cs="Arial"/>
          <w:iCs/>
          <w:sz w:val="24"/>
          <w:szCs w:val="24"/>
          <w:lang w:val="en-US"/>
        </w:rPr>
        <w:footnoteReference w:id="3"/>
      </w:r>
      <w:r w:rsidR="00C02461">
        <w:rPr>
          <w:rFonts w:ascii="Arial" w:hAnsi="Arial" w:cs="Arial"/>
          <w:sz w:val="24"/>
          <w:szCs w:val="24"/>
          <w:lang w:val="en-US"/>
        </w:rPr>
        <w:t xml:space="preserve"> </w:t>
      </w:r>
      <w:r w:rsidR="00BD109D">
        <w:rPr>
          <w:rFonts w:ascii="Arial" w:hAnsi="Arial" w:cs="Arial"/>
          <w:sz w:val="24"/>
          <w:szCs w:val="24"/>
          <w:lang w:val="en-US"/>
        </w:rPr>
        <w:t>T</w:t>
      </w:r>
      <w:r w:rsidR="00C02461">
        <w:rPr>
          <w:rFonts w:ascii="Arial" w:hAnsi="Arial" w:cs="Arial"/>
          <w:sz w:val="24"/>
          <w:szCs w:val="24"/>
          <w:lang w:val="en-US"/>
        </w:rPr>
        <w:t xml:space="preserve">hose </w:t>
      </w:r>
      <w:r w:rsidR="00BD109D">
        <w:rPr>
          <w:rFonts w:ascii="Arial" w:hAnsi="Arial" w:cs="Arial"/>
          <w:sz w:val="24"/>
          <w:szCs w:val="24"/>
          <w:lang w:val="en-US"/>
        </w:rPr>
        <w:t>decisions</w:t>
      </w:r>
      <w:r w:rsidR="005658A1">
        <w:rPr>
          <w:rFonts w:ascii="Arial" w:hAnsi="Arial" w:cs="Arial"/>
          <w:sz w:val="24"/>
          <w:szCs w:val="24"/>
          <w:lang w:val="en-US"/>
        </w:rPr>
        <w:t xml:space="preserve">, </w:t>
      </w:r>
      <w:r w:rsidR="00BD109D">
        <w:rPr>
          <w:rFonts w:ascii="Arial" w:hAnsi="Arial" w:cs="Arial"/>
          <w:sz w:val="24"/>
          <w:szCs w:val="24"/>
          <w:lang w:val="en-US"/>
        </w:rPr>
        <w:t xml:space="preserve">in turn, </w:t>
      </w:r>
      <w:r w:rsidR="0009573C">
        <w:rPr>
          <w:rFonts w:ascii="Arial" w:hAnsi="Arial" w:cs="Arial"/>
          <w:sz w:val="24"/>
          <w:szCs w:val="24"/>
          <w:lang w:val="en-US"/>
        </w:rPr>
        <w:t>found support</w:t>
      </w:r>
      <w:r w:rsidR="00BD109D">
        <w:rPr>
          <w:rFonts w:ascii="Arial" w:hAnsi="Arial" w:cs="Arial"/>
          <w:sz w:val="24"/>
          <w:szCs w:val="24"/>
          <w:lang w:val="en-US"/>
        </w:rPr>
        <w:t xml:space="preserve"> for that proposition </w:t>
      </w:r>
      <w:r w:rsidR="0009573C">
        <w:rPr>
          <w:rFonts w:ascii="Arial" w:hAnsi="Arial" w:cs="Arial"/>
          <w:sz w:val="24"/>
          <w:szCs w:val="24"/>
          <w:lang w:val="en-US"/>
        </w:rPr>
        <w:t>in</w:t>
      </w:r>
      <w:r w:rsidR="00BD109D">
        <w:rPr>
          <w:rFonts w:ascii="Arial" w:hAnsi="Arial" w:cs="Arial"/>
          <w:sz w:val="24"/>
          <w:szCs w:val="24"/>
          <w:lang w:val="en-US"/>
        </w:rPr>
        <w:t xml:space="preserve"> </w:t>
      </w:r>
      <w:r w:rsidR="0009573C">
        <w:rPr>
          <w:rFonts w:ascii="Arial" w:hAnsi="Arial" w:cs="Arial"/>
          <w:i/>
          <w:iCs/>
          <w:sz w:val="24"/>
          <w:szCs w:val="24"/>
          <w:lang w:val="en-US"/>
        </w:rPr>
        <w:t>Bhamjee</w:t>
      </w:r>
      <w:r w:rsidR="0009573C" w:rsidRPr="005658A1">
        <w:rPr>
          <w:rFonts w:ascii="Arial" w:hAnsi="Arial" w:cs="Arial"/>
          <w:sz w:val="24"/>
          <w:szCs w:val="24"/>
          <w:lang w:val="en-US"/>
        </w:rPr>
        <w:t>,</w:t>
      </w:r>
      <w:r w:rsidR="0009573C" w:rsidRPr="005658A1">
        <w:rPr>
          <w:rStyle w:val="FootnoteReference"/>
          <w:rFonts w:ascii="Arial" w:hAnsi="Arial" w:cs="Arial"/>
          <w:sz w:val="24"/>
          <w:szCs w:val="24"/>
          <w:lang w:val="en-US"/>
        </w:rPr>
        <w:footnoteReference w:id="4"/>
      </w:r>
      <w:r w:rsidR="0009573C">
        <w:rPr>
          <w:rFonts w:ascii="Arial" w:hAnsi="Arial" w:cs="Arial"/>
          <w:i/>
          <w:iCs/>
          <w:sz w:val="24"/>
          <w:szCs w:val="24"/>
          <w:lang w:val="en-US"/>
        </w:rPr>
        <w:t xml:space="preserve"> </w:t>
      </w:r>
      <w:r w:rsidR="00BD109D">
        <w:rPr>
          <w:rFonts w:ascii="Arial" w:hAnsi="Arial" w:cs="Arial"/>
          <w:sz w:val="24"/>
          <w:szCs w:val="24"/>
          <w:lang w:val="en-US"/>
        </w:rPr>
        <w:t>a Full</w:t>
      </w:r>
      <w:r w:rsidR="00B9030E">
        <w:rPr>
          <w:rFonts w:ascii="Arial" w:hAnsi="Arial" w:cs="Arial"/>
          <w:sz w:val="24"/>
          <w:szCs w:val="24"/>
          <w:lang w:val="en-US"/>
        </w:rPr>
        <w:t xml:space="preserve"> </w:t>
      </w:r>
      <w:r w:rsidR="00B9030E" w:rsidRPr="007535FC">
        <w:rPr>
          <w:rFonts w:ascii="Arial" w:hAnsi="Arial" w:cs="Arial"/>
          <w:sz w:val="24"/>
          <w:szCs w:val="24"/>
          <w:lang w:val="en-US"/>
        </w:rPr>
        <w:t>Court</w:t>
      </w:r>
      <w:r w:rsidR="00BD109D">
        <w:rPr>
          <w:rFonts w:ascii="Arial" w:hAnsi="Arial" w:cs="Arial"/>
          <w:sz w:val="24"/>
          <w:szCs w:val="24"/>
          <w:lang w:val="en-US"/>
        </w:rPr>
        <w:t xml:space="preserve"> decision of the Transvaal Provincial Division, </w:t>
      </w:r>
      <w:r w:rsidR="005658A1">
        <w:rPr>
          <w:rFonts w:ascii="Arial" w:hAnsi="Arial" w:cs="Arial"/>
          <w:sz w:val="24"/>
          <w:szCs w:val="24"/>
          <w:lang w:val="en-US"/>
        </w:rPr>
        <w:t>as well as the views of various textbook</w:t>
      </w:r>
      <w:r w:rsidR="00C02461">
        <w:rPr>
          <w:rFonts w:ascii="Arial" w:hAnsi="Arial" w:cs="Arial"/>
          <w:sz w:val="24"/>
          <w:szCs w:val="24"/>
          <w:lang w:val="en-US"/>
        </w:rPr>
        <w:t xml:space="preserve"> </w:t>
      </w:r>
      <w:r w:rsidR="005658A1">
        <w:rPr>
          <w:rFonts w:ascii="Arial" w:hAnsi="Arial" w:cs="Arial"/>
          <w:sz w:val="24"/>
          <w:szCs w:val="24"/>
          <w:lang w:val="en-US"/>
        </w:rPr>
        <w:t>writers</w:t>
      </w:r>
      <w:r w:rsidR="00A12B03">
        <w:rPr>
          <w:rFonts w:ascii="Arial" w:hAnsi="Arial" w:cs="Arial"/>
          <w:sz w:val="24"/>
          <w:szCs w:val="24"/>
          <w:lang w:val="en-US"/>
        </w:rPr>
        <w:t>.</w:t>
      </w:r>
      <w:r w:rsidR="005658A1" w:rsidRPr="005658A1">
        <w:rPr>
          <w:rStyle w:val="FootnoteReference"/>
          <w:rFonts w:ascii="Arial" w:hAnsi="Arial" w:cs="Arial"/>
          <w:sz w:val="24"/>
          <w:szCs w:val="24"/>
          <w:lang w:val="en-US"/>
        </w:rPr>
        <w:footnoteReference w:id="5"/>
      </w:r>
      <w:r w:rsidR="005658A1">
        <w:rPr>
          <w:rFonts w:ascii="Arial" w:hAnsi="Arial" w:cs="Arial"/>
          <w:i/>
          <w:iCs/>
          <w:sz w:val="24"/>
          <w:szCs w:val="24"/>
          <w:lang w:val="en-US"/>
        </w:rPr>
        <w:t xml:space="preserve"> </w:t>
      </w:r>
    </w:p>
    <w:p w14:paraId="7AF57144" w14:textId="655EBD96" w:rsidR="00872157" w:rsidRPr="00872157" w:rsidRDefault="00B9030E" w:rsidP="00872157">
      <w:pPr>
        <w:spacing w:after="0" w:line="360" w:lineRule="auto"/>
        <w:jc w:val="both"/>
        <w:rPr>
          <w:rFonts w:ascii="Arial" w:hAnsi="Arial" w:cs="Arial"/>
          <w:color w:val="000000"/>
          <w:sz w:val="24"/>
          <w:szCs w:val="24"/>
        </w:rPr>
      </w:pPr>
      <w:r>
        <w:rPr>
          <w:rFonts w:ascii="Arial" w:hAnsi="Arial" w:cs="Arial"/>
          <w:color w:val="000000"/>
          <w:sz w:val="24"/>
          <w:szCs w:val="24"/>
        </w:rPr>
        <w:lastRenderedPageBreak/>
        <w:t>[4]</w:t>
      </w:r>
      <w:r>
        <w:rPr>
          <w:rFonts w:ascii="Arial" w:hAnsi="Arial" w:cs="Arial"/>
          <w:color w:val="000000"/>
          <w:sz w:val="24"/>
          <w:szCs w:val="24"/>
        </w:rPr>
        <w:tab/>
      </w:r>
      <w:r w:rsidR="00C02461" w:rsidRPr="00872157">
        <w:rPr>
          <w:rFonts w:ascii="Arial" w:hAnsi="Arial" w:cs="Arial"/>
          <w:color w:val="000000"/>
          <w:sz w:val="24"/>
          <w:szCs w:val="24"/>
        </w:rPr>
        <w:t>The question in this appeal, therefore, is whethe</w:t>
      </w:r>
      <w:r w:rsidR="00E06194">
        <w:rPr>
          <w:rFonts w:ascii="Arial" w:hAnsi="Arial" w:cs="Arial"/>
          <w:color w:val="000000"/>
          <w:sz w:val="24"/>
          <w:szCs w:val="24"/>
        </w:rPr>
        <w:t>r the decision, which forms the subject of this appeal, is an ‘order made . . . in terms of</w:t>
      </w:r>
      <w:r w:rsidR="0073379B">
        <w:rPr>
          <w:rFonts w:ascii="Arial" w:hAnsi="Arial" w:cs="Arial"/>
          <w:color w:val="000000"/>
          <w:sz w:val="24"/>
          <w:szCs w:val="24"/>
        </w:rPr>
        <w:t xml:space="preserve"> [the Act]</w:t>
      </w:r>
      <w:r w:rsidR="00E06194">
        <w:rPr>
          <w:rFonts w:ascii="Arial" w:hAnsi="Arial" w:cs="Arial"/>
          <w:color w:val="000000"/>
          <w:sz w:val="24"/>
          <w:szCs w:val="24"/>
        </w:rPr>
        <w:t xml:space="preserve"> . . .’ If it is, no appeal lies. If not, the converse would be the case.</w:t>
      </w:r>
    </w:p>
    <w:p w14:paraId="73BBE98F" w14:textId="77777777" w:rsidR="00872157" w:rsidRPr="00872157" w:rsidRDefault="00872157" w:rsidP="00872157">
      <w:pPr>
        <w:spacing w:after="0" w:line="360" w:lineRule="auto"/>
        <w:jc w:val="both"/>
        <w:rPr>
          <w:rFonts w:ascii="Arial" w:hAnsi="Arial" w:cs="Arial"/>
          <w:color w:val="000000"/>
          <w:sz w:val="24"/>
          <w:szCs w:val="24"/>
        </w:rPr>
      </w:pPr>
    </w:p>
    <w:p w14:paraId="4CB5089C" w14:textId="3F051365" w:rsidR="00270B11" w:rsidRDefault="00872157" w:rsidP="00872157">
      <w:pPr>
        <w:spacing w:after="0" w:line="360" w:lineRule="auto"/>
        <w:jc w:val="both"/>
        <w:rPr>
          <w:rFonts w:ascii="Arial" w:hAnsi="Arial" w:cs="Arial"/>
          <w:color w:val="000000"/>
          <w:sz w:val="24"/>
          <w:szCs w:val="24"/>
        </w:rPr>
      </w:pPr>
      <w:r w:rsidRPr="00872157">
        <w:rPr>
          <w:rFonts w:ascii="Arial" w:hAnsi="Arial" w:cs="Arial"/>
          <w:color w:val="000000"/>
          <w:sz w:val="24"/>
          <w:szCs w:val="24"/>
        </w:rPr>
        <w:t>[</w:t>
      </w:r>
      <w:r w:rsidRPr="00E95BE1">
        <w:rPr>
          <w:rFonts w:ascii="Arial" w:hAnsi="Arial" w:cs="Arial"/>
          <w:color w:val="000000"/>
          <w:sz w:val="24"/>
          <w:szCs w:val="24"/>
        </w:rPr>
        <w:t>5]</w:t>
      </w:r>
      <w:r w:rsidRPr="00E95BE1">
        <w:rPr>
          <w:rFonts w:ascii="Arial" w:hAnsi="Arial" w:cs="Arial"/>
          <w:color w:val="000000"/>
          <w:sz w:val="24"/>
          <w:szCs w:val="24"/>
        </w:rPr>
        <w:tab/>
      </w:r>
      <w:r w:rsidR="00E95BE1" w:rsidRPr="00E95BE1">
        <w:rPr>
          <w:rFonts w:ascii="Arial" w:hAnsi="Arial" w:cs="Arial"/>
          <w:color w:val="000000"/>
          <w:sz w:val="24"/>
          <w:szCs w:val="24"/>
        </w:rPr>
        <w:t xml:space="preserve">In </w:t>
      </w:r>
      <w:r w:rsidR="00E95BE1" w:rsidRPr="00E95BE1">
        <w:rPr>
          <w:rFonts w:ascii="Arial" w:hAnsi="Arial" w:cs="Arial"/>
          <w:i/>
          <w:iCs/>
          <w:color w:val="000000"/>
          <w:sz w:val="24"/>
          <w:szCs w:val="24"/>
        </w:rPr>
        <w:t>Ex parte Crous</w:t>
      </w:r>
      <w:r w:rsidR="00E95BE1">
        <w:rPr>
          <w:rFonts w:ascii="Arial" w:hAnsi="Arial" w:cs="Arial"/>
          <w:color w:val="000000"/>
          <w:sz w:val="24"/>
          <w:szCs w:val="24"/>
        </w:rPr>
        <w:t xml:space="preserve"> </w:t>
      </w:r>
      <w:r w:rsidR="00270B11">
        <w:rPr>
          <w:rFonts w:ascii="Arial" w:hAnsi="Arial" w:cs="Arial"/>
          <w:color w:val="000000"/>
          <w:sz w:val="24"/>
          <w:szCs w:val="24"/>
        </w:rPr>
        <w:t>1939 AD 334 at 335, Centlivres CJ stated:</w:t>
      </w:r>
    </w:p>
    <w:p w14:paraId="0409E0CB" w14:textId="7F238F73" w:rsidR="006C5087" w:rsidRPr="006C5087" w:rsidRDefault="006C5087" w:rsidP="00872157">
      <w:pPr>
        <w:spacing w:after="0" w:line="360" w:lineRule="auto"/>
        <w:jc w:val="both"/>
        <w:rPr>
          <w:rFonts w:ascii="Arial" w:hAnsi="Arial" w:cs="Arial"/>
          <w:color w:val="000000"/>
        </w:rPr>
      </w:pPr>
      <w:r>
        <w:rPr>
          <w:rFonts w:ascii="Arial" w:hAnsi="Arial" w:cs="Arial"/>
          <w:color w:val="000000"/>
        </w:rPr>
        <w:t xml:space="preserve">‘It will be sufficient for the purposes of this case to say that an appeal will lie, unless any law specially </w:t>
      </w:r>
      <w:r w:rsidR="004E32EF">
        <w:rPr>
          <w:rFonts w:ascii="Arial" w:hAnsi="Arial" w:cs="Arial"/>
          <w:color w:val="000000"/>
        </w:rPr>
        <w:t>(uitdruklik) limits the right of appeal. For any such possible limitation we must look at Act 24 of 1936. Subsection (1) of s 150 of that Act grants a right of appeal against a final order of sequestration or an order setting aside an order of provisional sequestration. No mention is made of appeals against an order refusing an application for a provisional order of sequestration or voluntary surrender. The mere fact that s 150 is silent as to appeals from a refusal to accept voluntary surrender or a refusal to grant a provisional order of sequestration does not expressly negative the right of appeal in such cases</w:t>
      </w:r>
      <w:r w:rsidR="004E32EF" w:rsidRPr="007135CB">
        <w:rPr>
          <w:rFonts w:ascii="Arial" w:hAnsi="Arial" w:cs="Arial"/>
          <w:color w:val="000000"/>
        </w:rPr>
        <w:t>.’</w:t>
      </w:r>
      <w:r w:rsidR="004E32EF">
        <w:rPr>
          <w:rFonts w:ascii="Arial" w:hAnsi="Arial" w:cs="Arial"/>
          <w:color w:val="000000"/>
        </w:rPr>
        <w:t xml:space="preserve"> </w:t>
      </w:r>
    </w:p>
    <w:p w14:paraId="2B6F8B20" w14:textId="77777777" w:rsidR="00270B11" w:rsidRDefault="00270B11" w:rsidP="00872157">
      <w:pPr>
        <w:spacing w:after="0" w:line="360" w:lineRule="auto"/>
        <w:jc w:val="both"/>
        <w:rPr>
          <w:rFonts w:ascii="Arial" w:hAnsi="Arial" w:cs="Arial"/>
          <w:color w:val="000000"/>
          <w:sz w:val="24"/>
          <w:szCs w:val="24"/>
        </w:rPr>
      </w:pPr>
    </w:p>
    <w:p w14:paraId="610A51AF" w14:textId="7EA6F23E" w:rsidR="001B7BB7" w:rsidRDefault="00052EBE" w:rsidP="00872157">
      <w:pPr>
        <w:spacing w:after="0" w:line="360" w:lineRule="auto"/>
        <w:jc w:val="both"/>
        <w:rPr>
          <w:rFonts w:ascii="Arial" w:hAnsi="Arial" w:cs="Arial"/>
          <w:sz w:val="24"/>
          <w:szCs w:val="24"/>
          <w:lang w:val="en-US"/>
        </w:rPr>
      </w:pPr>
      <w:r>
        <w:rPr>
          <w:rFonts w:ascii="Arial" w:hAnsi="Arial" w:cs="Arial"/>
          <w:color w:val="000000"/>
          <w:sz w:val="24"/>
          <w:szCs w:val="24"/>
        </w:rPr>
        <w:t>[6]</w:t>
      </w:r>
      <w:r>
        <w:rPr>
          <w:rFonts w:ascii="Arial" w:hAnsi="Arial" w:cs="Arial"/>
          <w:color w:val="000000"/>
          <w:sz w:val="24"/>
          <w:szCs w:val="24"/>
        </w:rPr>
        <w:tab/>
        <w:t>Section</w:t>
      </w:r>
      <w:r w:rsidR="00270B11">
        <w:rPr>
          <w:rFonts w:ascii="Arial" w:hAnsi="Arial" w:cs="Arial"/>
          <w:color w:val="000000"/>
          <w:sz w:val="24"/>
          <w:szCs w:val="24"/>
        </w:rPr>
        <w:t xml:space="preserve"> 150(5)</w:t>
      </w:r>
      <w:r>
        <w:rPr>
          <w:rFonts w:ascii="Arial" w:hAnsi="Arial" w:cs="Arial"/>
          <w:color w:val="000000"/>
          <w:sz w:val="24"/>
          <w:szCs w:val="24"/>
        </w:rPr>
        <w:t xml:space="preserve"> </w:t>
      </w:r>
      <w:r w:rsidR="00224FD1" w:rsidRPr="007135CB">
        <w:rPr>
          <w:rFonts w:ascii="Arial" w:hAnsi="Arial" w:cs="Arial"/>
          <w:color w:val="000000"/>
          <w:sz w:val="24"/>
          <w:szCs w:val="24"/>
        </w:rPr>
        <w:t>of the Act</w:t>
      </w:r>
      <w:r w:rsidR="00224FD1">
        <w:rPr>
          <w:rFonts w:ascii="Arial" w:hAnsi="Arial" w:cs="Arial"/>
          <w:color w:val="000000"/>
          <w:sz w:val="24"/>
          <w:szCs w:val="24"/>
        </w:rPr>
        <w:t xml:space="preserve"> </w:t>
      </w:r>
      <w:r>
        <w:rPr>
          <w:rFonts w:ascii="Arial" w:hAnsi="Arial" w:cs="Arial"/>
          <w:color w:val="000000"/>
          <w:sz w:val="24"/>
          <w:szCs w:val="24"/>
        </w:rPr>
        <w:t>came to be inserted</w:t>
      </w:r>
      <w:r w:rsidR="00270B11">
        <w:rPr>
          <w:rFonts w:ascii="Arial" w:hAnsi="Arial" w:cs="Arial"/>
          <w:color w:val="000000"/>
          <w:sz w:val="24"/>
          <w:szCs w:val="24"/>
        </w:rPr>
        <w:t xml:space="preserve"> with effect from 6 April 1943, by way of </w:t>
      </w:r>
      <w:r w:rsidR="00263C04">
        <w:rPr>
          <w:rFonts w:ascii="Arial" w:hAnsi="Arial" w:cs="Arial"/>
          <w:color w:val="000000"/>
          <w:sz w:val="24"/>
          <w:szCs w:val="24"/>
        </w:rPr>
        <w:t>s 35</w:t>
      </w:r>
      <w:r w:rsidR="00270B11">
        <w:rPr>
          <w:rFonts w:ascii="Arial" w:hAnsi="Arial" w:cs="Arial"/>
          <w:color w:val="000000"/>
          <w:sz w:val="24"/>
          <w:szCs w:val="24"/>
        </w:rPr>
        <w:t xml:space="preserve"> of the Insolvency Law Amendment Act 16 of 1943</w:t>
      </w:r>
      <w:r>
        <w:rPr>
          <w:rFonts w:ascii="Arial" w:hAnsi="Arial" w:cs="Arial"/>
          <w:color w:val="000000"/>
          <w:sz w:val="24"/>
          <w:szCs w:val="24"/>
        </w:rPr>
        <w:t>.</w:t>
      </w:r>
      <w:r w:rsidR="00270B11">
        <w:rPr>
          <w:rFonts w:ascii="Arial" w:hAnsi="Arial" w:cs="Arial"/>
          <w:color w:val="000000"/>
          <w:sz w:val="24"/>
          <w:szCs w:val="24"/>
        </w:rPr>
        <w:t xml:space="preserve"> </w:t>
      </w:r>
      <w:r w:rsidR="0050657C" w:rsidRPr="00E95BE1">
        <w:rPr>
          <w:rFonts w:ascii="Arial" w:hAnsi="Arial" w:cs="Arial"/>
          <w:i/>
          <w:iCs/>
          <w:sz w:val="24"/>
          <w:szCs w:val="24"/>
          <w:lang w:val="en-US"/>
        </w:rPr>
        <w:t>Bhamjee</w:t>
      </w:r>
      <w:r w:rsidR="00461287">
        <w:rPr>
          <w:rFonts w:ascii="Arial" w:hAnsi="Arial" w:cs="Arial"/>
          <w:sz w:val="24"/>
          <w:szCs w:val="24"/>
          <w:lang w:val="en-US"/>
        </w:rPr>
        <w:t xml:space="preserve"> </w:t>
      </w:r>
      <w:r>
        <w:rPr>
          <w:rFonts w:ascii="Arial" w:hAnsi="Arial" w:cs="Arial"/>
          <w:sz w:val="24"/>
          <w:szCs w:val="24"/>
          <w:lang w:val="en-US"/>
        </w:rPr>
        <w:t xml:space="preserve">is the first reported decision to </w:t>
      </w:r>
      <w:r w:rsidR="00461287">
        <w:rPr>
          <w:rFonts w:ascii="Arial" w:hAnsi="Arial" w:cs="Arial"/>
          <w:sz w:val="24"/>
          <w:szCs w:val="24"/>
          <w:lang w:val="en-US"/>
        </w:rPr>
        <w:t>ha</w:t>
      </w:r>
      <w:r>
        <w:rPr>
          <w:rFonts w:ascii="Arial" w:hAnsi="Arial" w:cs="Arial"/>
          <w:sz w:val="24"/>
          <w:szCs w:val="24"/>
          <w:lang w:val="en-US"/>
        </w:rPr>
        <w:t>ve had</w:t>
      </w:r>
      <w:r w:rsidR="00461287">
        <w:rPr>
          <w:rFonts w:ascii="Arial" w:hAnsi="Arial" w:cs="Arial"/>
          <w:sz w:val="24"/>
          <w:szCs w:val="24"/>
          <w:lang w:val="en-US"/>
        </w:rPr>
        <w:t xml:space="preserve"> occasion to </w:t>
      </w:r>
      <w:r w:rsidR="00C86483">
        <w:rPr>
          <w:rFonts w:ascii="Arial" w:hAnsi="Arial" w:cs="Arial"/>
          <w:sz w:val="24"/>
          <w:szCs w:val="24"/>
          <w:lang w:val="en-US"/>
        </w:rPr>
        <w:t xml:space="preserve">consider </w:t>
      </w:r>
      <w:r w:rsidR="005C0284">
        <w:rPr>
          <w:rFonts w:ascii="Arial" w:hAnsi="Arial" w:cs="Arial"/>
          <w:sz w:val="24"/>
          <w:szCs w:val="24"/>
          <w:lang w:val="en-US"/>
        </w:rPr>
        <w:t xml:space="preserve">the effect of </w:t>
      </w:r>
      <w:r w:rsidR="00C86483">
        <w:rPr>
          <w:rFonts w:ascii="Arial" w:hAnsi="Arial" w:cs="Arial"/>
          <w:sz w:val="24"/>
          <w:szCs w:val="24"/>
          <w:lang w:val="en-US"/>
        </w:rPr>
        <w:t>the amendment</w:t>
      </w:r>
      <w:r w:rsidR="00461287">
        <w:rPr>
          <w:rFonts w:ascii="Arial" w:hAnsi="Arial" w:cs="Arial"/>
          <w:sz w:val="24"/>
          <w:szCs w:val="24"/>
          <w:lang w:val="en-US"/>
        </w:rPr>
        <w:t>.</w:t>
      </w:r>
      <w:r w:rsidR="00BD344E" w:rsidRPr="00E95BE1">
        <w:rPr>
          <w:rFonts w:ascii="Arial" w:hAnsi="Arial" w:cs="Arial"/>
          <w:sz w:val="24"/>
          <w:szCs w:val="24"/>
          <w:lang w:val="en-US"/>
        </w:rPr>
        <w:t xml:space="preserve"> </w:t>
      </w:r>
      <w:r w:rsidR="00461287">
        <w:rPr>
          <w:rFonts w:ascii="Arial" w:hAnsi="Arial" w:cs="Arial"/>
          <w:sz w:val="24"/>
          <w:szCs w:val="24"/>
          <w:lang w:val="en-US"/>
        </w:rPr>
        <w:t xml:space="preserve">In an all too brief judgment, </w:t>
      </w:r>
      <w:r w:rsidR="0071741E">
        <w:rPr>
          <w:rFonts w:ascii="Arial" w:hAnsi="Arial" w:cs="Arial"/>
          <w:sz w:val="24"/>
          <w:szCs w:val="24"/>
          <w:lang w:val="en-US"/>
        </w:rPr>
        <w:t xml:space="preserve">it reached the conclusion, without more, that an appeal was effectively barred by ss 150(1) and (5). In that regard </w:t>
      </w:r>
      <w:r w:rsidR="00461287">
        <w:rPr>
          <w:rFonts w:ascii="Arial" w:hAnsi="Arial" w:cs="Arial"/>
          <w:sz w:val="24"/>
          <w:szCs w:val="24"/>
          <w:lang w:val="en-US"/>
        </w:rPr>
        <w:t>it</w:t>
      </w:r>
      <w:r w:rsidR="005C0284">
        <w:rPr>
          <w:rFonts w:ascii="Arial" w:hAnsi="Arial" w:cs="Arial"/>
          <w:sz w:val="24"/>
          <w:szCs w:val="24"/>
          <w:lang w:val="en-US"/>
        </w:rPr>
        <w:t xml:space="preserve"> </w:t>
      </w:r>
      <w:r w:rsidR="0071741E">
        <w:rPr>
          <w:rFonts w:ascii="Arial" w:hAnsi="Arial" w:cs="Arial"/>
          <w:sz w:val="24"/>
          <w:szCs w:val="24"/>
          <w:lang w:val="en-US"/>
        </w:rPr>
        <w:t>held</w:t>
      </w:r>
      <w:r w:rsidR="00BD344E" w:rsidRPr="00E95BE1">
        <w:rPr>
          <w:rFonts w:ascii="Arial" w:hAnsi="Arial" w:cs="Arial"/>
          <w:sz w:val="24"/>
          <w:szCs w:val="24"/>
          <w:lang w:val="en-US"/>
        </w:rPr>
        <w:t>:</w:t>
      </w:r>
      <w:r w:rsidR="001B7BB7" w:rsidRPr="00E95BE1">
        <w:rPr>
          <w:rFonts w:ascii="Arial" w:hAnsi="Arial" w:cs="Arial"/>
          <w:sz w:val="24"/>
          <w:szCs w:val="24"/>
          <w:lang w:val="en-US"/>
        </w:rPr>
        <w:t xml:space="preserve"> </w:t>
      </w:r>
    </w:p>
    <w:p w14:paraId="53BB3C40" w14:textId="1175F4AA" w:rsidR="00263C04" w:rsidRDefault="00263C04" w:rsidP="00872157">
      <w:pPr>
        <w:spacing w:after="0" w:line="360" w:lineRule="auto"/>
        <w:jc w:val="both"/>
        <w:rPr>
          <w:rFonts w:ascii="Arial" w:hAnsi="Arial" w:cs="Arial"/>
          <w:lang w:val="en-US"/>
        </w:rPr>
      </w:pPr>
      <w:r>
        <w:rPr>
          <w:rFonts w:ascii="Arial" w:hAnsi="Arial" w:cs="Arial"/>
          <w:lang w:val="en-US"/>
        </w:rPr>
        <w:t>‘. . . On the 25</w:t>
      </w:r>
      <w:r w:rsidRPr="00263C04">
        <w:rPr>
          <w:rFonts w:ascii="Arial" w:hAnsi="Arial" w:cs="Arial"/>
          <w:vertAlign w:val="superscript"/>
          <w:lang w:val="en-US"/>
        </w:rPr>
        <w:t>th</w:t>
      </w:r>
      <w:r>
        <w:rPr>
          <w:rFonts w:ascii="Arial" w:hAnsi="Arial" w:cs="Arial"/>
          <w:lang w:val="en-US"/>
        </w:rPr>
        <w:t xml:space="preserve"> November last year an application by the appellant for the provisional sequestration of the respondent’s estate was refused by CLAASSEN, J. Against that order the appellant now appeals. Since the notice of appeal was lodged notice was given by the respondent that a preliminary point would be taken at the hearing of the appeal that no appeal lies against</w:t>
      </w:r>
      <w:r w:rsidR="00526C63">
        <w:rPr>
          <w:rFonts w:ascii="Arial" w:hAnsi="Arial" w:cs="Arial"/>
          <w:lang w:val="en-US"/>
        </w:rPr>
        <w:t xml:space="preserve"> the order granted by CLAASSEN, </w:t>
      </w:r>
      <w:r w:rsidR="00224FD1">
        <w:rPr>
          <w:rFonts w:ascii="Arial" w:hAnsi="Arial" w:cs="Arial"/>
          <w:lang w:val="en-US"/>
        </w:rPr>
        <w:t>J</w:t>
      </w:r>
      <w:r w:rsidR="00224FD1" w:rsidRPr="007135CB">
        <w:rPr>
          <w:rFonts w:ascii="Arial" w:hAnsi="Arial" w:cs="Arial"/>
          <w:lang w:val="en-US"/>
        </w:rPr>
        <w:t>. . .</w:t>
      </w:r>
      <w:r w:rsidR="00224FD1">
        <w:rPr>
          <w:rFonts w:ascii="Arial" w:hAnsi="Arial" w:cs="Arial"/>
          <w:lang w:val="en-US"/>
        </w:rPr>
        <w:t xml:space="preserve"> </w:t>
      </w:r>
      <w:r w:rsidR="00526C63">
        <w:rPr>
          <w:rFonts w:ascii="Arial" w:hAnsi="Arial" w:cs="Arial"/>
          <w:lang w:val="en-US"/>
        </w:rPr>
        <w:t xml:space="preserve">because of the terms of sec. 150 of the Insolvency Act, and with particular reference to the amendment of that section which was introduced by Act 16 of 1943 which added a new sub-sec. (5). </w:t>
      </w:r>
    </w:p>
    <w:p w14:paraId="4F07956A" w14:textId="13A99D90" w:rsidR="00526C63" w:rsidRPr="00263C04" w:rsidRDefault="00526C63" w:rsidP="00872157">
      <w:pPr>
        <w:spacing w:after="0" w:line="360" w:lineRule="auto"/>
        <w:jc w:val="both"/>
        <w:rPr>
          <w:rFonts w:ascii="Arial" w:hAnsi="Arial" w:cs="Arial"/>
          <w:color w:val="000000"/>
        </w:rPr>
      </w:pPr>
      <w:r>
        <w:rPr>
          <w:rFonts w:ascii="Arial" w:hAnsi="Arial" w:cs="Arial"/>
          <w:lang w:val="en-US"/>
        </w:rPr>
        <w:t>This Court has no doubt that the point is well taken, and the appeal is consequently struck off the roll.’</w:t>
      </w:r>
      <w:r>
        <w:rPr>
          <w:rStyle w:val="FootnoteReference"/>
          <w:rFonts w:ascii="Arial" w:hAnsi="Arial" w:cs="Arial"/>
          <w:lang w:val="en-US"/>
        </w:rPr>
        <w:footnoteReference w:id="6"/>
      </w:r>
    </w:p>
    <w:p w14:paraId="2748929E" w14:textId="77777777" w:rsidR="005D2112" w:rsidRDefault="005D2112" w:rsidP="00684893">
      <w:pPr>
        <w:spacing w:after="0" w:line="360" w:lineRule="auto"/>
        <w:jc w:val="both"/>
        <w:rPr>
          <w:rFonts w:ascii="Arial" w:hAnsi="Arial" w:cs="Arial"/>
          <w:sz w:val="24"/>
          <w:szCs w:val="24"/>
          <w:lang w:val="en-US"/>
        </w:rPr>
      </w:pPr>
    </w:p>
    <w:p w14:paraId="1077C5AE" w14:textId="1DA4EEB7" w:rsidR="00684893" w:rsidRDefault="005D2112" w:rsidP="00684893">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461287" w:rsidRPr="00E95BE1">
        <w:rPr>
          <w:rFonts w:ascii="Arial" w:hAnsi="Arial" w:cs="Arial"/>
          <w:i/>
          <w:iCs/>
          <w:sz w:val="24"/>
          <w:szCs w:val="24"/>
          <w:lang w:val="en-US"/>
        </w:rPr>
        <w:t>Bhamjee</w:t>
      </w:r>
      <w:r w:rsidR="00461287">
        <w:rPr>
          <w:rFonts w:ascii="Arial" w:hAnsi="Arial" w:cs="Arial"/>
          <w:sz w:val="24"/>
          <w:szCs w:val="24"/>
          <w:lang w:val="en-US"/>
        </w:rPr>
        <w:t xml:space="preserve"> was followed by</w:t>
      </w:r>
      <w:r w:rsidR="00286A8D">
        <w:rPr>
          <w:rFonts w:ascii="Arial" w:hAnsi="Arial" w:cs="Arial"/>
          <w:sz w:val="24"/>
          <w:szCs w:val="24"/>
          <w:lang w:val="en-US"/>
        </w:rPr>
        <w:t xml:space="preserve"> </w:t>
      </w:r>
      <w:r w:rsidR="00A305B3">
        <w:rPr>
          <w:rFonts w:ascii="Arial" w:hAnsi="Arial" w:cs="Arial"/>
          <w:i/>
          <w:iCs/>
          <w:sz w:val="24"/>
          <w:szCs w:val="24"/>
          <w:lang w:val="en-US"/>
        </w:rPr>
        <w:t>Lawclaims</w:t>
      </w:r>
      <w:r w:rsidR="00461287">
        <w:rPr>
          <w:rFonts w:ascii="Arial" w:hAnsi="Arial" w:cs="Arial"/>
          <w:sz w:val="24"/>
          <w:szCs w:val="24"/>
          <w:lang w:val="en-US"/>
        </w:rPr>
        <w:t>, in which</w:t>
      </w:r>
      <w:r w:rsidR="00286A8D">
        <w:rPr>
          <w:rFonts w:ascii="Arial" w:hAnsi="Arial" w:cs="Arial"/>
          <w:sz w:val="24"/>
          <w:szCs w:val="24"/>
          <w:lang w:val="en-US"/>
        </w:rPr>
        <w:t xml:space="preserve"> </w:t>
      </w:r>
      <w:r w:rsidR="008114EC">
        <w:rPr>
          <w:rFonts w:ascii="Arial" w:hAnsi="Arial" w:cs="Arial"/>
          <w:sz w:val="24"/>
          <w:szCs w:val="24"/>
          <w:lang w:val="en-US"/>
        </w:rPr>
        <w:t xml:space="preserve">the </w:t>
      </w:r>
      <w:r w:rsidR="008114EC" w:rsidRPr="007135CB">
        <w:rPr>
          <w:rFonts w:ascii="Arial" w:hAnsi="Arial" w:cs="Arial"/>
          <w:sz w:val="24"/>
          <w:szCs w:val="24"/>
          <w:lang w:val="en-US"/>
        </w:rPr>
        <w:t>f</w:t>
      </w:r>
      <w:r w:rsidR="008114EC">
        <w:rPr>
          <w:rFonts w:ascii="Arial" w:hAnsi="Arial" w:cs="Arial"/>
          <w:sz w:val="24"/>
          <w:szCs w:val="24"/>
          <w:lang w:val="en-US"/>
        </w:rPr>
        <w:t xml:space="preserve">ull </w:t>
      </w:r>
      <w:r w:rsidR="008114EC" w:rsidRPr="007135CB">
        <w:rPr>
          <w:rFonts w:ascii="Arial" w:hAnsi="Arial" w:cs="Arial"/>
          <w:sz w:val="24"/>
          <w:szCs w:val="24"/>
          <w:lang w:val="en-US"/>
        </w:rPr>
        <w:t>c</w:t>
      </w:r>
      <w:r w:rsidR="00684893">
        <w:rPr>
          <w:rFonts w:ascii="Arial" w:hAnsi="Arial" w:cs="Arial"/>
          <w:sz w:val="24"/>
          <w:szCs w:val="24"/>
          <w:lang w:val="en-US"/>
        </w:rPr>
        <w:t>ourt observed:</w:t>
      </w:r>
    </w:p>
    <w:p w14:paraId="624727FB" w14:textId="638CE9DE" w:rsidR="004E32EF" w:rsidRPr="004E32EF" w:rsidRDefault="004E32EF" w:rsidP="00684893">
      <w:pPr>
        <w:spacing w:after="0" w:line="360" w:lineRule="auto"/>
        <w:jc w:val="both"/>
        <w:rPr>
          <w:rFonts w:ascii="Arial" w:hAnsi="Arial" w:cs="Arial"/>
          <w:lang w:val="en-US"/>
        </w:rPr>
      </w:pPr>
      <w:r>
        <w:rPr>
          <w:rFonts w:ascii="Arial" w:hAnsi="Arial" w:cs="Arial"/>
          <w:lang w:val="en-US"/>
        </w:rPr>
        <w:t>‘While it is true that s 150 (5) has been interpreted as laying down that no right of appeal exists against an order refusing suc</w:t>
      </w:r>
      <w:r w:rsidR="0081078F">
        <w:rPr>
          <w:rFonts w:ascii="Arial" w:hAnsi="Arial" w:cs="Arial"/>
          <w:lang w:val="en-US"/>
        </w:rPr>
        <w:t xml:space="preserve">h an application. . </w:t>
      </w:r>
      <w:r w:rsidR="0081078F" w:rsidRPr="00023DFB">
        <w:rPr>
          <w:rFonts w:ascii="Arial" w:hAnsi="Arial" w:cs="Arial"/>
          <w:lang w:val="en-US"/>
        </w:rPr>
        <w:t>.</w:t>
      </w:r>
      <w:r w:rsidR="0002777B" w:rsidRPr="00023DFB">
        <w:rPr>
          <w:rFonts w:ascii="Arial" w:hAnsi="Arial" w:cs="Arial"/>
          <w:lang w:val="en-US"/>
        </w:rPr>
        <w:t xml:space="preserve"> t</w:t>
      </w:r>
      <w:r w:rsidR="0002777B">
        <w:rPr>
          <w:rFonts w:ascii="Arial" w:hAnsi="Arial" w:cs="Arial"/>
          <w:lang w:val="en-US"/>
        </w:rPr>
        <w:t xml:space="preserve">here seems to be a clear distinction between a decision on the merits of the case (eg whether an act of insolvency has been established or whether sequestration would be to the benefit </w:t>
      </w:r>
      <w:r w:rsidR="00B024C9">
        <w:rPr>
          <w:rFonts w:ascii="Arial" w:hAnsi="Arial" w:cs="Arial"/>
          <w:lang w:val="en-US"/>
        </w:rPr>
        <w:t xml:space="preserve">of creditors) and a decision based on the </w:t>
      </w:r>
      <w:r w:rsidR="00B024C9">
        <w:rPr>
          <w:rFonts w:ascii="Arial" w:hAnsi="Arial" w:cs="Arial"/>
          <w:lang w:val="en-US"/>
        </w:rPr>
        <w:lastRenderedPageBreak/>
        <w:t>question whether the Court has jurisdiction to hear the case at all. In the former case there can be no doubt that the decision to refuse an order of liquidation would not be appealable as the order was clear</w:t>
      </w:r>
      <w:r w:rsidR="008114EC" w:rsidRPr="00AF2A4F">
        <w:rPr>
          <w:rFonts w:ascii="Arial" w:hAnsi="Arial" w:cs="Arial"/>
          <w:lang w:val="en-US"/>
        </w:rPr>
        <w:t>ly</w:t>
      </w:r>
      <w:r w:rsidR="00B024C9">
        <w:rPr>
          <w:rFonts w:ascii="Arial" w:hAnsi="Arial" w:cs="Arial"/>
          <w:lang w:val="en-US"/>
        </w:rPr>
        <w:t xml:space="preserve"> made in terms of the Act.’</w:t>
      </w:r>
      <w:r w:rsidR="00526C63">
        <w:rPr>
          <w:rStyle w:val="FootnoteReference"/>
          <w:rFonts w:ascii="Arial" w:hAnsi="Arial" w:cs="Arial"/>
          <w:lang w:val="en-US"/>
        </w:rPr>
        <w:footnoteReference w:id="7"/>
      </w:r>
      <w:r w:rsidR="00B024C9">
        <w:rPr>
          <w:rFonts w:ascii="Arial" w:hAnsi="Arial" w:cs="Arial"/>
          <w:lang w:val="en-US"/>
        </w:rPr>
        <w:t xml:space="preserve"> </w:t>
      </w:r>
    </w:p>
    <w:p w14:paraId="5DE768C5" w14:textId="6B71B838" w:rsidR="00684893" w:rsidRPr="004A2EF2" w:rsidRDefault="00684893" w:rsidP="00684893">
      <w:pPr>
        <w:spacing w:after="0" w:line="360" w:lineRule="auto"/>
        <w:jc w:val="both"/>
        <w:rPr>
          <w:rFonts w:ascii="Arial" w:hAnsi="Arial" w:cs="Arial"/>
          <w:sz w:val="24"/>
          <w:szCs w:val="24"/>
          <w:lang w:val="en-US"/>
        </w:rPr>
      </w:pPr>
    </w:p>
    <w:p w14:paraId="17779084" w14:textId="00DC2327" w:rsidR="00BD344E" w:rsidRPr="00684893" w:rsidRDefault="00C86483" w:rsidP="00684893">
      <w:pPr>
        <w:spacing w:after="0" w:line="360" w:lineRule="auto"/>
        <w:jc w:val="both"/>
        <w:rPr>
          <w:rFonts w:ascii="Arial" w:hAnsi="Arial" w:cs="Arial"/>
          <w:i/>
          <w:iCs/>
          <w:sz w:val="24"/>
          <w:szCs w:val="24"/>
          <w:lang w:val="en-US"/>
        </w:rPr>
      </w:pPr>
      <w:r>
        <w:rPr>
          <w:rFonts w:ascii="Arial" w:hAnsi="Arial" w:cs="Arial"/>
          <w:sz w:val="24"/>
          <w:szCs w:val="24"/>
          <w:lang w:val="en-US"/>
        </w:rPr>
        <w:t>[8]</w:t>
      </w:r>
      <w:r>
        <w:rPr>
          <w:rFonts w:ascii="Arial" w:hAnsi="Arial" w:cs="Arial"/>
          <w:sz w:val="24"/>
          <w:szCs w:val="24"/>
          <w:lang w:val="en-US"/>
        </w:rPr>
        <w:tab/>
      </w:r>
      <w:r w:rsidR="00684893">
        <w:rPr>
          <w:rFonts w:ascii="Arial" w:hAnsi="Arial" w:cs="Arial"/>
          <w:sz w:val="24"/>
          <w:szCs w:val="24"/>
          <w:lang w:val="en-US"/>
        </w:rPr>
        <w:t xml:space="preserve">In </w:t>
      </w:r>
      <w:r w:rsidR="00461287">
        <w:rPr>
          <w:rFonts w:ascii="Arial" w:hAnsi="Arial" w:cs="Arial"/>
          <w:i/>
          <w:iCs/>
          <w:sz w:val="24"/>
          <w:szCs w:val="24"/>
          <w:lang w:val="en-US"/>
        </w:rPr>
        <w:t>Lawclaims</w:t>
      </w:r>
      <w:r w:rsidR="00684893">
        <w:rPr>
          <w:rFonts w:ascii="Arial" w:hAnsi="Arial" w:cs="Arial"/>
          <w:sz w:val="24"/>
          <w:szCs w:val="24"/>
          <w:lang w:val="en-US"/>
        </w:rPr>
        <w:t xml:space="preserve">, </w:t>
      </w:r>
      <w:r w:rsidR="00286A8D">
        <w:rPr>
          <w:rFonts w:ascii="Arial" w:hAnsi="Arial" w:cs="Arial"/>
          <w:sz w:val="24"/>
          <w:szCs w:val="24"/>
          <w:lang w:val="en-US"/>
        </w:rPr>
        <w:t xml:space="preserve">the appellant had applied </w:t>
      </w:r>
      <w:r w:rsidR="00286A8D" w:rsidRPr="007535FC">
        <w:rPr>
          <w:rFonts w:ascii="Arial" w:hAnsi="Arial" w:cs="Arial"/>
          <w:sz w:val="24"/>
          <w:szCs w:val="24"/>
          <w:lang w:val="en-US"/>
        </w:rPr>
        <w:t>unsuccessfully for an order placing the respondent under provisional liquidation. In the alternative</w:t>
      </w:r>
      <w:r w:rsidR="00B9030E" w:rsidRPr="007535FC">
        <w:rPr>
          <w:rFonts w:ascii="Arial" w:hAnsi="Arial" w:cs="Arial"/>
          <w:sz w:val="24"/>
          <w:szCs w:val="24"/>
          <w:lang w:val="en-US"/>
        </w:rPr>
        <w:t>,</w:t>
      </w:r>
      <w:r w:rsidR="00286A8D">
        <w:rPr>
          <w:rFonts w:ascii="Arial" w:hAnsi="Arial" w:cs="Arial"/>
          <w:sz w:val="24"/>
          <w:szCs w:val="24"/>
          <w:lang w:val="en-US"/>
        </w:rPr>
        <w:t xml:space="preserve"> it applied for its sequestration</w:t>
      </w:r>
      <w:r w:rsidR="00AF20E9">
        <w:rPr>
          <w:rFonts w:ascii="Arial" w:hAnsi="Arial" w:cs="Arial"/>
          <w:sz w:val="24"/>
          <w:szCs w:val="24"/>
          <w:lang w:val="en-US"/>
        </w:rPr>
        <w:t xml:space="preserve">, which was also refused. The court of first </w:t>
      </w:r>
      <w:r w:rsidR="00AF20E9" w:rsidRPr="007535FC">
        <w:rPr>
          <w:rFonts w:ascii="Arial" w:hAnsi="Arial" w:cs="Arial"/>
          <w:sz w:val="24"/>
          <w:szCs w:val="24"/>
          <w:lang w:val="en-US"/>
        </w:rPr>
        <w:t xml:space="preserve">instance </w:t>
      </w:r>
      <w:r w:rsidR="00C52682" w:rsidRPr="007535FC">
        <w:rPr>
          <w:rFonts w:ascii="Arial" w:hAnsi="Arial" w:cs="Arial"/>
          <w:sz w:val="24"/>
          <w:szCs w:val="24"/>
          <w:lang w:val="en-US"/>
        </w:rPr>
        <w:t xml:space="preserve">(Thirion J) </w:t>
      </w:r>
      <w:r w:rsidR="00AF20E9" w:rsidRPr="007535FC">
        <w:rPr>
          <w:rFonts w:ascii="Arial" w:hAnsi="Arial" w:cs="Arial"/>
          <w:sz w:val="24"/>
          <w:szCs w:val="24"/>
          <w:lang w:val="en-US"/>
        </w:rPr>
        <w:t>had</w:t>
      </w:r>
      <w:r w:rsidR="00AF20E9">
        <w:rPr>
          <w:rFonts w:ascii="Arial" w:hAnsi="Arial" w:cs="Arial"/>
          <w:sz w:val="24"/>
          <w:szCs w:val="24"/>
          <w:lang w:val="en-US"/>
        </w:rPr>
        <w:t xml:space="preserve"> dismissed both applications because it had come to the conclusion tha</w:t>
      </w:r>
      <w:r w:rsidR="00F15275">
        <w:rPr>
          <w:rFonts w:ascii="Arial" w:hAnsi="Arial" w:cs="Arial"/>
          <w:sz w:val="24"/>
          <w:szCs w:val="24"/>
          <w:lang w:val="en-US"/>
        </w:rPr>
        <w:t>t it</w:t>
      </w:r>
      <w:r w:rsidR="005A3B05">
        <w:rPr>
          <w:rFonts w:ascii="Arial" w:hAnsi="Arial" w:cs="Arial"/>
          <w:sz w:val="24"/>
          <w:szCs w:val="24"/>
          <w:lang w:val="en-US"/>
        </w:rPr>
        <w:t xml:space="preserve"> did not have jurisdiction to either wind-up or liquidate the respondent. </w:t>
      </w:r>
      <w:r w:rsidR="00536A61">
        <w:rPr>
          <w:rFonts w:ascii="Arial" w:hAnsi="Arial" w:cs="Arial"/>
          <w:sz w:val="24"/>
          <w:szCs w:val="24"/>
          <w:lang w:val="en-US"/>
        </w:rPr>
        <w:t xml:space="preserve">On appeal it was contended that the decision was not appealable. </w:t>
      </w:r>
      <w:r w:rsidR="00526C63">
        <w:rPr>
          <w:rFonts w:ascii="Arial" w:hAnsi="Arial" w:cs="Arial"/>
          <w:sz w:val="24"/>
          <w:szCs w:val="24"/>
          <w:lang w:val="en-US"/>
        </w:rPr>
        <w:t>It</w:t>
      </w:r>
      <w:r w:rsidR="005A3B05">
        <w:rPr>
          <w:rFonts w:ascii="Arial" w:hAnsi="Arial" w:cs="Arial"/>
          <w:sz w:val="24"/>
          <w:szCs w:val="24"/>
          <w:lang w:val="en-US"/>
        </w:rPr>
        <w:t xml:space="preserve"> is in t</w:t>
      </w:r>
      <w:r w:rsidR="00684893">
        <w:rPr>
          <w:rFonts w:ascii="Arial" w:hAnsi="Arial" w:cs="Arial"/>
          <w:sz w:val="24"/>
          <w:szCs w:val="24"/>
          <w:lang w:val="en-US"/>
        </w:rPr>
        <w:t>his</w:t>
      </w:r>
      <w:r w:rsidR="005A3B05">
        <w:rPr>
          <w:rFonts w:ascii="Arial" w:hAnsi="Arial" w:cs="Arial"/>
          <w:sz w:val="24"/>
          <w:szCs w:val="24"/>
          <w:lang w:val="en-US"/>
        </w:rPr>
        <w:t xml:space="preserve"> context, that</w:t>
      </w:r>
      <w:r w:rsidR="00684893">
        <w:rPr>
          <w:rFonts w:ascii="Arial" w:hAnsi="Arial" w:cs="Arial"/>
          <w:sz w:val="24"/>
          <w:szCs w:val="24"/>
          <w:lang w:val="en-US"/>
        </w:rPr>
        <w:t xml:space="preserve"> the dictum must be viewed.</w:t>
      </w:r>
      <w:r w:rsidR="005A3B05">
        <w:rPr>
          <w:rFonts w:ascii="Arial" w:hAnsi="Arial" w:cs="Arial"/>
          <w:sz w:val="24"/>
          <w:szCs w:val="24"/>
          <w:lang w:val="en-US"/>
        </w:rPr>
        <w:t xml:space="preserve"> </w:t>
      </w:r>
    </w:p>
    <w:p w14:paraId="42036BCA" w14:textId="77777777" w:rsidR="00C86483" w:rsidRDefault="00C86483" w:rsidP="00872157">
      <w:pPr>
        <w:spacing w:after="0" w:line="360" w:lineRule="auto"/>
        <w:jc w:val="both"/>
        <w:rPr>
          <w:rFonts w:ascii="Arial" w:hAnsi="Arial" w:cs="Arial"/>
          <w:sz w:val="24"/>
          <w:szCs w:val="24"/>
          <w:lang w:val="en-US"/>
        </w:rPr>
      </w:pPr>
    </w:p>
    <w:p w14:paraId="069F0ACD" w14:textId="61ECDF70" w:rsidR="001B7BB7" w:rsidRDefault="00C86483" w:rsidP="00872157">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070398" w:rsidRPr="007535FC">
        <w:rPr>
          <w:rFonts w:ascii="Arial" w:hAnsi="Arial" w:cs="Arial"/>
          <w:sz w:val="24"/>
          <w:szCs w:val="24"/>
          <w:lang w:val="en-US"/>
        </w:rPr>
        <w:t>Later</w:t>
      </w:r>
      <w:r w:rsidR="00C52682" w:rsidRPr="007535FC">
        <w:rPr>
          <w:rFonts w:ascii="Arial" w:hAnsi="Arial" w:cs="Arial"/>
          <w:sz w:val="24"/>
          <w:szCs w:val="24"/>
          <w:lang w:val="en-US"/>
        </w:rPr>
        <w:t>,</w:t>
      </w:r>
      <w:r w:rsidR="00070398" w:rsidRPr="007535FC">
        <w:rPr>
          <w:rFonts w:ascii="Arial" w:hAnsi="Arial" w:cs="Arial"/>
          <w:sz w:val="24"/>
          <w:szCs w:val="24"/>
          <w:lang w:val="en-US"/>
        </w:rPr>
        <w:t xml:space="preserve"> the</w:t>
      </w:r>
      <w:r w:rsidR="008114EC">
        <w:rPr>
          <w:rFonts w:ascii="Arial" w:hAnsi="Arial" w:cs="Arial"/>
          <w:sz w:val="24"/>
          <w:szCs w:val="24"/>
          <w:lang w:val="en-US"/>
        </w:rPr>
        <w:t xml:space="preserve"> </w:t>
      </w:r>
      <w:r w:rsidR="008114EC" w:rsidRPr="00AF2A4F">
        <w:rPr>
          <w:rFonts w:ascii="Arial" w:hAnsi="Arial" w:cs="Arial"/>
          <w:sz w:val="24"/>
          <w:szCs w:val="24"/>
          <w:lang w:val="en-US"/>
        </w:rPr>
        <w:t>f</w:t>
      </w:r>
      <w:r w:rsidR="008114EC">
        <w:rPr>
          <w:rFonts w:ascii="Arial" w:hAnsi="Arial" w:cs="Arial"/>
          <w:sz w:val="24"/>
          <w:szCs w:val="24"/>
          <w:lang w:val="en-US"/>
        </w:rPr>
        <w:t xml:space="preserve">ull </w:t>
      </w:r>
      <w:r w:rsidR="008114EC" w:rsidRPr="00AF2A4F">
        <w:rPr>
          <w:rFonts w:ascii="Arial" w:hAnsi="Arial" w:cs="Arial"/>
          <w:sz w:val="24"/>
          <w:szCs w:val="24"/>
          <w:lang w:val="en-US"/>
        </w:rPr>
        <w:t>c</w:t>
      </w:r>
      <w:r w:rsidR="00070398">
        <w:rPr>
          <w:rFonts w:ascii="Arial" w:hAnsi="Arial" w:cs="Arial"/>
          <w:sz w:val="24"/>
          <w:szCs w:val="24"/>
          <w:lang w:val="en-US"/>
        </w:rPr>
        <w:t>ourt added:</w:t>
      </w:r>
    </w:p>
    <w:p w14:paraId="79C86C6C" w14:textId="7FD7A233" w:rsidR="00B024C9" w:rsidRPr="00B024C9" w:rsidRDefault="00B024C9" w:rsidP="00872157">
      <w:pPr>
        <w:spacing w:after="0" w:line="360" w:lineRule="auto"/>
        <w:jc w:val="both"/>
        <w:rPr>
          <w:rFonts w:ascii="Arial" w:hAnsi="Arial" w:cs="Arial"/>
          <w:lang w:val="en-US"/>
        </w:rPr>
      </w:pPr>
      <w:r>
        <w:rPr>
          <w:rFonts w:ascii="Arial" w:hAnsi="Arial" w:cs="Arial"/>
          <w:lang w:val="en-US"/>
        </w:rPr>
        <w:t>‘However, whether Thirion J’s decision is appealable or not is, to a large extent, academic in the present case since the appellant, with the consent of the intervening creditor, has filed a fresh application for the winding-up or alternatively sequestration of Rea Shipping and at the request of the parties this Court has undertaken, if need be, to consider this fresh application because the case involves enormous sums of money and difficult questions of jurisdiction which require speedy solution.’</w:t>
      </w:r>
      <w:r w:rsidR="001712BF">
        <w:rPr>
          <w:rStyle w:val="FootnoteReference"/>
          <w:rFonts w:ascii="Arial" w:hAnsi="Arial" w:cs="Arial"/>
          <w:lang w:val="en-US"/>
        </w:rPr>
        <w:footnoteReference w:id="8"/>
      </w:r>
      <w:r>
        <w:rPr>
          <w:rFonts w:ascii="Arial" w:hAnsi="Arial" w:cs="Arial"/>
          <w:lang w:val="en-US"/>
        </w:rPr>
        <w:t xml:space="preserve"> </w:t>
      </w:r>
    </w:p>
    <w:p w14:paraId="4995086C" w14:textId="7570E994" w:rsidR="00070398" w:rsidRDefault="00070398" w:rsidP="00872157">
      <w:pPr>
        <w:spacing w:after="0" w:line="360" w:lineRule="auto"/>
        <w:jc w:val="both"/>
        <w:rPr>
          <w:rFonts w:ascii="Arial" w:hAnsi="Arial" w:cs="Arial"/>
          <w:sz w:val="24"/>
          <w:szCs w:val="24"/>
          <w:lang w:val="en-US"/>
        </w:rPr>
      </w:pPr>
    </w:p>
    <w:p w14:paraId="05ADDBB4" w14:textId="7AC499FF" w:rsidR="00684893" w:rsidRDefault="005C0284" w:rsidP="00872157">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2D3E85">
        <w:rPr>
          <w:rFonts w:ascii="Arial" w:hAnsi="Arial" w:cs="Arial"/>
          <w:i/>
          <w:iCs/>
          <w:sz w:val="24"/>
          <w:szCs w:val="24"/>
          <w:lang w:val="en-US"/>
        </w:rPr>
        <w:t xml:space="preserve">Bhamjee </w:t>
      </w:r>
      <w:r w:rsidR="002D3E85" w:rsidRPr="002D3E85">
        <w:rPr>
          <w:rFonts w:ascii="Arial" w:hAnsi="Arial" w:cs="Arial"/>
          <w:sz w:val="24"/>
          <w:szCs w:val="24"/>
          <w:lang w:val="en-US"/>
        </w:rPr>
        <w:t>and</w:t>
      </w:r>
      <w:r w:rsidR="002D3E85">
        <w:rPr>
          <w:rFonts w:ascii="Arial" w:hAnsi="Arial" w:cs="Arial"/>
          <w:i/>
          <w:iCs/>
          <w:sz w:val="24"/>
          <w:szCs w:val="24"/>
          <w:lang w:val="en-US"/>
        </w:rPr>
        <w:t xml:space="preserve"> </w:t>
      </w:r>
      <w:r w:rsidR="00CE5614">
        <w:rPr>
          <w:rFonts w:ascii="Arial" w:hAnsi="Arial" w:cs="Arial"/>
          <w:i/>
          <w:iCs/>
          <w:sz w:val="24"/>
          <w:szCs w:val="24"/>
          <w:lang w:val="en-US"/>
        </w:rPr>
        <w:t>Lawclaims</w:t>
      </w:r>
      <w:r w:rsidR="00461287">
        <w:rPr>
          <w:rFonts w:ascii="Arial" w:hAnsi="Arial" w:cs="Arial"/>
          <w:i/>
          <w:iCs/>
          <w:sz w:val="24"/>
          <w:szCs w:val="24"/>
          <w:lang w:val="en-US"/>
        </w:rPr>
        <w:t xml:space="preserve"> </w:t>
      </w:r>
      <w:r w:rsidR="002D3E85">
        <w:rPr>
          <w:rFonts w:ascii="Arial" w:hAnsi="Arial" w:cs="Arial"/>
          <w:sz w:val="24"/>
          <w:szCs w:val="24"/>
          <w:lang w:val="en-US"/>
        </w:rPr>
        <w:t>culminated in</w:t>
      </w:r>
      <w:r w:rsidR="00461287">
        <w:rPr>
          <w:rFonts w:ascii="Arial" w:hAnsi="Arial" w:cs="Arial"/>
          <w:i/>
          <w:iCs/>
          <w:sz w:val="24"/>
          <w:szCs w:val="24"/>
          <w:lang w:val="en-US"/>
        </w:rPr>
        <w:t xml:space="preserve"> </w:t>
      </w:r>
      <w:r w:rsidR="00070398">
        <w:rPr>
          <w:rFonts w:ascii="Arial" w:hAnsi="Arial" w:cs="Arial"/>
          <w:i/>
          <w:iCs/>
          <w:sz w:val="24"/>
          <w:szCs w:val="24"/>
          <w:lang w:val="en-US"/>
        </w:rPr>
        <w:t>Gottschalk</w:t>
      </w:r>
      <w:r w:rsidR="002D3E85">
        <w:rPr>
          <w:rFonts w:ascii="Arial" w:hAnsi="Arial" w:cs="Arial"/>
          <w:sz w:val="24"/>
          <w:szCs w:val="24"/>
          <w:lang w:val="en-US"/>
        </w:rPr>
        <w:t>,</w:t>
      </w:r>
      <w:r w:rsidR="00461287">
        <w:rPr>
          <w:rFonts w:ascii="Arial" w:hAnsi="Arial" w:cs="Arial"/>
          <w:sz w:val="24"/>
          <w:szCs w:val="24"/>
          <w:lang w:val="en-US"/>
        </w:rPr>
        <w:t xml:space="preserve"> </w:t>
      </w:r>
      <w:r w:rsidR="002D3E85">
        <w:rPr>
          <w:rFonts w:ascii="Arial" w:hAnsi="Arial" w:cs="Arial"/>
          <w:sz w:val="24"/>
          <w:szCs w:val="24"/>
          <w:lang w:val="en-US"/>
        </w:rPr>
        <w:t xml:space="preserve">where </w:t>
      </w:r>
      <w:r w:rsidR="00120600">
        <w:rPr>
          <w:rFonts w:ascii="Arial" w:hAnsi="Arial" w:cs="Arial"/>
          <w:sz w:val="24"/>
          <w:szCs w:val="24"/>
          <w:lang w:val="en-US"/>
        </w:rPr>
        <w:t xml:space="preserve">Van Reenen J </w:t>
      </w:r>
      <w:r w:rsidR="00684893">
        <w:rPr>
          <w:rFonts w:ascii="Arial" w:hAnsi="Arial" w:cs="Arial"/>
          <w:sz w:val="24"/>
          <w:szCs w:val="24"/>
          <w:lang w:val="en-US"/>
        </w:rPr>
        <w:t>recorded:</w:t>
      </w:r>
    </w:p>
    <w:p w14:paraId="1E82CBB6" w14:textId="0D3ACEB6" w:rsidR="0034300F" w:rsidRPr="007535FC" w:rsidRDefault="001712BF" w:rsidP="00872157">
      <w:pPr>
        <w:spacing w:after="0" w:line="360" w:lineRule="auto"/>
        <w:jc w:val="both"/>
        <w:rPr>
          <w:rFonts w:ascii="Arial" w:hAnsi="Arial" w:cs="Arial"/>
          <w:lang w:val="en-US"/>
        </w:rPr>
      </w:pPr>
      <w:r w:rsidRPr="001712BF">
        <w:rPr>
          <w:rFonts w:ascii="Arial" w:hAnsi="Arial" w:cs="Arial"/>
          <w:lang w:val="en-US"/>
        </w:rPr>
        <w:t>‘</w:t>
      </w:r>
      <w:r w:rsidR="00B024C9" w:rsidRPr="001712BF">
        <w:rPr>
          <w:rFonts w:ascii="Arial" w:hAnsi="Arial" w:cs="Arial"/>
          <w:lang w:val="en-US"/>
        </w:rPr>
        <w:t xml:space="preserve">When the matter was called Advocate D Williams, </w:t>
      </w:r>
      <w:r w:rsidR="0034300F" w:rsidRPr="001712BF">
        <w:rPr>
          <w:rFonts w:ascii="Arial" w:hAnsi="Arial" w:cs="Arial"/>
          <w:lang w:val="en-US"/>
        </w:rPr>
        <w:t xml:space="preserve">who appeared for the respondent, </w:t>
      </w:r>
      <w:r w:rsidR="0034300F" w:rsidRPr="001712BF">
        <w:rPr>
          <w:rFonts w:ascii="Arial" w:hAnsi="Arial" w:cs="Arial"/>
          <w:i/>
          <w:lang w:val="en-US"/>
        </w:rPr>
        <w:t>in limine</w:t>
      </w:r>
      <w:r w:rsidR="0034300F" w:rsidRPr="001712BF">
        <w:rPr>
          <w:rFonts w:ascii="Arial" w:hAnsi="Arial" w:cs="Arial"/>
          <w:lang w:val="en-US"/>
        </w:rPr>
        <w:t xml:space="preserve">, and relying on the provisions of ss (1) read with ss (5) of s 150 of the Insolvency Act 24 of 1936 (hereinafter referred to as “the Act”), contended that the dismissal of an application for a provisional order of sequestration is not appealable. As authority for that proposition he relied on a Full bench decision of the Transvaal Provincial Division, namely </w:t>
      </w:r>
      <w:r w:rsidR="0034300F" w:rsidRPr="001712BF">
        <w:rPr>
          <w:rFonts w:ascii="Arial" w:hAnsi="Arial" w:cs="Arial"/>
          <w:i/>
          <w:lang w:val="en-US"/>
        </w:rPr>
        <w:t>Bhamjee Ltd v Van Harte</w:t>
      </w:r>
      <w:r w:rsidR="0034300F" w:rsidRPr="001712BF">
        <w:rPr>
          <w:rFonts w:ascii="Arial" w:hAnsi="Arial" w:cs="Arial"/>
          <w:lang w:val="en-US"/>
        </w:rPr>
        <w:t xml:space="preserve"> 1959 (4) SA 174, as well as the views of textbook writers on the law of insolvency, namely Mars </w:t>
      </w:r>
      <w:r w:rsidR="0034300F" w:rsidRPr="001712BF">
        <w:rPr>
          <w:rFonts w:ascii="Arial" w:hAnsi="Arial" w:cs="Arial"/>
          <w:i/>
          <w:lang w:val="en-US"/>
        </w:rPr>
        <w:t>The Law of Insolvency in South Africa</w:t>
      </w:r>
      <w:r w:rsidR="0034300F" w:rsidRPr="001712BF">
        <w:rPr>
          <w:rFonts w:ascii="Arial" w:hAnsi="Arial" w:cs="Arial"/>
          <w:lang w:val="en-US"/>
        </w:rPr>
        <w:t xml:space="preserve"> 8</w:t>
      </w:r>
      <w:r w:rsidR="0034300F" w:rsidRPr="001712BF">
        <w:rPr>
          <w:rFonts w:ascii="Arial" w:hAnsi="Arial" w:cs="Arial"/>
          <w:vertAlign w:val="superscript"/>
          <w:lang w:val="en-US"/>
        </w:rPr>
        <w:t>th</w:t>
      </w:r>
      <w:r w:rsidR="0034300F" w:rsidRPr="001712BF">
        <w:rPr>
          <w:rFonts w:ascii="Arial" w:hAnsi="Arial" w:cs="Arial"/>
          <w:lang w:val="en-US"/>
        </w:rPr>
        <w:t xml:space="preserve"> ed by Elmarie de la Rey at 126; Catherine Smith </w:t>
      </w:r>
      <w:r w:rsidR="0034300F" w:rsidRPr="001712BF">
        <w:rPr>
          <w:rFonts w:ascii="Arial" w:hAnsi="Arial" w:cs="Arial"/>
          <w:i/>
          <w:lang w:val="en-US"/>
        </w:rPr>
        <w:t>The Law of Insolvency</w:t>
      </w:r>
      <w:r w:rsidR="0034300F" w:rsidRPr="001712BF">
        <w:rPr>
          <w:rFonts w:ascii="Arial" w:hAnsi="Arial" w:cs="Arial"/>
          <w:lang w:val="en-US"/>
        </w:rPr>
        <w:t xml:space="preserve"> 3</w:t>
      </w:r>
      <w:r w:rsidR="0034300F" w:rsidRPr="001712BF">
        <w:rPr>
          <w:rFonts w:ascii="Arial" w:hAnsi="Arial" w:cs="Arial"/>
          <w:vertAlign w:val="superscript"/>
          <w:lang w:val="en-US"/>
        </w:rPr>
        <w:t>rd</w:t>
      </w:r>
      <w:r w:rsidR="0034300F" w:rsidRPr="001712BF">
        <w:rPr>
          <w:rFonts w:ascii="Arial" w:hAnsi="Arial" w:cs="Arial"/>
          <w:lang w:val="en-US"/>
        </w:rPr>
        <w:t xml:space="preserve"> ed at 312; and Philip M Meskin </w:t>
      </w:r>
      <w:r w:rsidR="0034300F" w:rsidRPr="001712BF">
        <w:rPr>
          <w:rFonts w:ascii="Arial" w:hAnsi="Arial" w:cs="Arial"/>
          <w:i/>
          <w:lang w:val="en-US"/>
        </w:rPr>
        <w:t>Insolvency Law</w:t>
      </w:r>
      <w:r w:rsidR="0034300F" w:rsidRPr="001712BF">
        <w:rPr>
          <w:rFonts w:ascii="Arial" w:hAnsi="Arial" w:cs="Arial"/>
          <w:lang w:val="en-US"/>
        </w:rPr>
        <w:t xml:space="preserve"> at 2 – 47 para 2.2.’</w:t>
      </w:r>
      <w:r>
        <w:rPr>
          <w:rStyle w:val="FootnoteReference"/>
          <w:rFonts w:ascii="Arial" w:hAnsi="Arial" w:cs="Arial"/>
          <w:lang w:val="en-US"/>
        </w:rPr>
        <w:footnoteReference w:id="9"/>
      </w:r>
    </w:p>
    <w:p w14:paraId="199AD6C2" w14:textId="27E3D18D" w:rsidR="0097259A" w:rsidRDefault="0097259A" w:rsidP="0097259A">
      <w:pPr>
        <w:spacing w:after="0" w:line="360" w:lineRule="auto"/>
        <w:jc w:val="both"/>
        <w:rPr>
          <w:rFonts w:ascii="Arial" w:hAnsi="Arial" w:cs="Arial"/>
          <w:sz w:val="24"/>
          <w:szCs w:val="24"/>
          <w:lang w:val="en-US"/>
        </w:rPr>
      </w:pPr>
      <w:r>
        <w:rPr>
          <w:rFonts w:ascii="Arial" w:hAnsi="Arial" w:cs="Arial"/>
          <w:sz w:val="24"/>
          <w:szCs w:val="24"/>
          <w:lang w:val="en-US"/>
        </w:rPr>
        <w:lastRenderedPageBreak/>
        <w:t>[11]</w:t>
      </w:r>
      <w:r>
        <w:rPr>
          <w:rFonts w:ascii="Arial" w:hAnsi="Arial" w:cs="Arial"/>
          <w:sz w:val="24"/>
          <w:szCs w:val="24"/>
          <w:lang w:val="en-US"/>
        </w:rPr>
        <w:tab/>
      </w:r>
      <w:r w:rsidR="002D3E85">
        <w:rPr>
          <w:rFonts w:ascii="Arial" w:hAnsi="Arial" w:cs="Arial"/>
          <w:sz w:val="24"/>
          <w:szCs w:val="24"/>
          <w:lang w:val="en-US"/>
        </w:rPr>
        <w:t>A</w:t>
      </w:r>
      <w:r>
        <w:rPr>
          <w:rFonts w:ascii="Arial" w:hAnsi="Arial" w:cs="Arial"/>
          <w:sz w:val="24"/>
          <w:szCs w:val="24"/>
          <w:lang w:val="en-US"/>
        </w:rPr>
        <w:t xml:space="preserve">fter setting out ‘the historical matrix against which s 150 of the Act has to be viewed’, </w:t>
      </w:r>
      <w:r w:rsidR="002D3E85">
        <w:rPr>
          <w:rFonts w:ascii="Arial" w:hAnsi="Arial" w:cs="Arial"/>
          <w:sz w:val="24"/>
          <w:szCs w:val="24"/>
          <w:lang w:val="en-US"/>
        </w:rPr>
        <w:t xml:space="preserve">the learned judge then </w:t>
      </w:r>
      <w:r>
        <w:rPr>
          <w:rFonts w:ascii="Arial" w:hAnsi="Arial" w:cs="Arial"/>
          <w:sz w:val="24"/>
          <w:szCs w:val="24"/>
          <w:lang w:val="en-US"/>
        </w:rPr>
        <w:t xml:space="preserve">observed </w:t>
      </w:r>
      <w:r w:rsidR="001712BF">
        <w:rPr>
          <w:rFonts w:ascii="Arial" w:hAnsi="Arial" w:cs="Arial"/>
          <w:sz w:val="24"/>
          <w:szCs w:val="24"/>
          <w:lang w:val="en-US"/>
        </w:rPr>
        <w:t xml:space="preserve">at 565F </w:t>
      </w:r>
      <w:r w:rsidR="002D3E85">
        <w:rPr>
          <w:rFonts w:ascii="Arial" w:hAnsi="Arial" w:cs="Arial"/>
          <w:sz w:val="24"/>
          <w:szCs w:val="24"/>
          <w:lang w:val="en-US"/>
        </w:rPr>
        <w:t xml:space="preserve">in </w:t>
      </w:r>
      <w:r>
        <w:rPr>
          <w:rFonts w:ascii="Arial" w:hAnsi="Arial" w:cs="Arial"/>
          <w:i/>
          <w:iCs/>
          <w:sz w:val="24"/>
          <w:szCs w:val="24"/>
          <w:lang w:val="en-US"/>
        </w:rPr>
        <w:t>Gottschalk</w:t>
      </w:r>
      <w:r>
        <w:rPr>
          <w:rFonts w:ascii="Arial" w:hAnsi="Arial" w:cs="Arial"/>
          <w:sz w:val="24"/>
          <w:szCs w:val="24"/>
          <w:lang w:val="en-US"/>
        </w:rPr>
        <w:t>:</w:t>
      </w:r>
    </w:p>
    <w:p w14:paraId="35A3C701" w14:textId="5C3DD087" w:rsidR="0034300F" w:rsidRPr="0034300F" w:rsidRDefault="0034300F" w:rsidP="0097259A">
      <w:pPr>
        <w:spacing w:after="0" w:line="360" w:lineRule="auto"/>
        <w:jc w:val="both"/>
        <w:rPr>
          <w:rFonts w:ascii="Arial" w:hAnsi="Arial" w:cs="Arial"/>
          <w:lang w:val="en-US"/>
        </w:rPr>
      </w:pPr>
      <w:r>
        <w:rPr>
          <w:rFonts w:ascii="Arial" w:hAnsi="Arial" w:cs="Arial"/>
          <w:lang w:val="en-US"/>
        </w:rPr>
        <w:t xml:space="preserve">‘Section 150 does not expressly provide for a right of appeal against an order dismissing an application for a provisional order of sequestration. Accordingly, such an order would be appealable only if it is not encompassed </w:t>
      </w:r>
      <w:r w:rsidR="00F34746">
        <w:rPr>
          <w:rFonts w:ascii="Arial" w:hAnsi="Arial" w:cs="Arial"/>
          <w:lang w:val="en-US"/>
        </w:rPr>
        <w:t>by the provisions of ss 150(5) of the Act. . ..’</w:t>
      </w:r>
    </w:p>
    <w:p w14:paraId="5BCCFCF5" w14:textId="535C0CB3" w:rsidR="007762BE" w:rsidRDefault="007762BE" w:rsidP="007762BE">
      <w:pPr>
        <w:spacing w:after="0" w:line="360" w:lineRule="auto"/>
        <w:jc w:val="both"/>
        <w:rPr>
          <w:rFonts w:ascii="Arial" w:hAnsi="Arial" w:cs="Arial"/>
          <w:sz w:val="24"/>
          <w:szCs w:val="24"/>
          <w:lang w:val="en-US"/>
        </w:rPr>
      </w:pPr>
    </w:p>
    <w:p w14:paraId="62111FFD" w14:textId="22B02FE1" w:rsidR="007762BE" w:rsidRDefault="007762BE" w:rsidP="007762BE">
      <w:pPr>
        <w:spacing w:after="0" w:line="360" w:lineRule="auto"/>
        <w:jc w:val="both"/>
        <w:rPr>
          <w:rFonts w:ascii="Arial" w:hAnsi="Arial" w:cs="Arial"/>
          <w:sz w:val="24"/>
          <w:szCs w:val="24"/>
          <w:lang w:val="en-US"/>
        </w:rPr>
      </w:pPr>
      <w:r w:rsidRPr="007535FC">
        <w:rPr>
          <w:rFonts w:ascii="Arial" w:hAnsi="Arial" w:cs="Arial"/>
          <w:sz w:val="24"/>
          <w:szCs w:val="24"/>
          <w:lang w:val="en-US"/>
        </w:rPr>
        <w:t>[1</w:t>
      </w:r>
      <w:r w:rsidR="00052EBE" w:rsidRPr="007535FC">
        <w:rPr>
          <w:rFonts w:ascii="Arial" w:hAnsi="Arial" w:cs="Arial"/>
          <w:sz w:val="24"/>
          <w:szCs w:val="24"/>
          <w:lang w:val="en-US"/>
        </w:rPr>
        <w:t>2</w:t>
      </w:r>
      <w:r w:rsidRPr="007535FC">
        <w:rPr>
          <w:rFonts w:ascii="Arial" w:hAnsi="Arial" w:cs="Arial"/>
          <w:sz w:val="24"/>
          <w:szCs w:val="24"/>
          <w:lang w:val="en-US"/>
        </w:rPr>
        <w:t>]</w:t>
      </w:r>
      <w:r>
        <w:rPr>
          <w:rFonts w:ascii="Arial" w:hAnsi="Arial" w:cs="Arial"/>
          <w:sz w:val="24"/>
          <w:szCs w:val="24"/>
          <w:lang w:val="en-US"/>
        </w:rPr>
        <w:tab/>
        <w:t>Van Reenen J later added:</w:t>
      </w:r>
    </w:p>
    <w:p w14:paraId="1DF5C35A" w14:textId="25D1C6BE" w:rsidR="00F34746" w:rsidRPr="00F34746" w:rsidRDefault="00F34746" w:rsidP="007762BE">
      <w:pPr>
        <w:spacing w:after="0" w:line="360" w:lineRule="auto"/>
        <w:jc w:val="both"/>
        <w:rPr>
          <w:rFonts w:ascii="Arial" w:hAnsi="Arial" w:cs="Arial"/>
          <w:lang w:val="en-US"/>
        </w:rPr>
      </w:pPr>
      <w:r>
        <w:rPr>
          <w:rFonts w:ascii="Arial" w:hAnsi="Arial" w:cs="Arial"/>
          <w:lang w:val="en-US"/>
        </w:rPr>
        <w:t>‘As the dismissal of the application, which forms the subject-matter of this application, was a decision given upon relief claimed in an application on notice of motion, there can be little doubt that it is an order, within the meaning thereof in s 150(5) of the Act. . ..’</w:t>
      </w:r>
      <w:r w:rsidR="001712BF">
        <w:rPr>
          <w:rStyle w:val="FootnoteReference"/>
          <w:rFonts w:ascii="Arial" w:hAnsi="Arial" w:cs="Arial"/>
          <w:lang w:val="en-US"/>
        </w:rPr>
        <w:footnoteReference w:id="10"/>
      </w:r>
      <w:r>
        <w:rPr>
          <w:rFonts w:ascii="Arial" w:hAnsi="Arial" w:cs="Arial"/>
          <w:lang w:val="en-US"/>
        </w:rPr>
        <w:t xml:space="preserve"> </w:t>
      </w:r>
    </w:p>
    <w:p w14:paraId="64EF3399" w14:textId="4BB8988D" w:rsidR="007762BE" w:rsidRDefault="007762BE" w:rsidP="00E501A8">
      <w:pPr>
        <w:spacing w:after="0" w:line="360" w:lineRule="auto"/>
        <w:jc w:val="both"/>
        <w:rPr>
          <w:rFonts w:ascii="Arial" w:hAnsi="Arial" w:cs="Arial"/>
          <w:sz w:val="24"/>
          <w:szCs w:val="24"/>
          <w:lang w:val="en-US"/>
        </w:rPr>
      </w:pPr>
    </w:p>
    <w:p w14:paraId="774B4757" w14:textId="06490EB4" w:rsidR="00C60DF6" w:rsidRDefault="00E501A8" w:rsidP="00052EBE">
      <w:pPr>
        <w:spacing w:after="0" w:line="360" w:lineRule="auto"/>
        <w:jc w:val="both"/>
        <w:rPr>
          <w:rFonts w:ascii="Arial" w:hAnsi="Arial" w:cs="Arial"/>
          <w:sz w:val="24"/>
          <w:szCs w:val="24"/>
          <w:lang w:val="en-US"/>
        </w:rPr>
      </w:pPr>
      <w:r>
        <w:rPr>
          <w:rFonts w:ascii="Arial" w:hAnsi="Arial" w:cs="Arial"/>
          <w:sz w:val="24"/>
          <w:szCs w:val="24"/>
          <w:lang w:val="en-US"/>
        </w:rPr>
        <w:t>[1</w:t>
      </w:r>
      <w:r w:rsidR="00052EBE">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052EBE">
        <w:rPr>
          <w:rFonts w:ascii="Arial" w:hAnsi="Arial" w:cs="Arial"/>
          <w:sz w:val="24"/>
          <w:szCs w:val="24"/>
          <w:lang w:val="en-US"/>
        </w:rPr>
        <w:t>On this survey, the proposition</w:t>
      </w:r>
      <w:r w:rsidR="00131C5A">
        <w:rPr>
          <w:rFonts w:ascii="Arial" w:hAnsi="Arial" w:cs="Arial"/>
          <w:sz w:val="24"/>
          <w:szCs w:val="24"/>
          <w:lang w:val="en-US"/>
        </w:rPr>
        <w:t>, so it would seem,</w:t>
      </w:r>
      <w:r w:rsidR="00052EBE">
        <w:rPr>
          <w:rFonts w:ascii="Arial" w:hAnsi="Arial" w:cs="Arial"/>
          <w:sz w:val="24"/>
          <w:szCs w:val="24"/>
          <w:lang w:val="en-US"/>
        </w:rPr>
        <w:t xml:space="preserve"> can be traced back to </w:t>
      </w:r>
      <w:r w:rsidR="00052EBE">
        <w:rPr>
          <w:rFonts w:ascii="Arial" w:hAnsi="Arial" w:cs="Arial"/>
          <w:i/>
          <w:iCs/>
          <w:sz w:val="24"/>
          <w:szCs w:val="24"/>
          <w:lang w:val="en-US"/>
        </w:rPr>
        <w:t xml:space="preserve">Bhamjee. </w:t>
      </w:r>
      <w:r w:rsidR="00052EBE">
        <w:rPr>
          <w:rFonts w:ascii="Arial" w:hAnsi="Arial" w:cs="Arial"/>
          <w:sz w:val="24"/>
          <w:szCs w:val="24"/>
          <w:lang w:val="en-US"/>
        </w:rPr>
        <w:t>N</w:t>
      </w:r>
      <w:r>
        <w:rPr>
          <w:rFonts w:ascii="Arial" w:hAnsi="Arial" w:cs="Arial"/>
          <w:sz w:val="24"/>
          <w:szCs w:val="24"/>
          <w:lang w:val="en-US"/>
        </w:rPr>
        <w:t xml:space="preserve">one of the textbook writers </w:t>
      </w:r>
      <w:r w:rsidR="00052EBE">
        <w:rPr>
          <w:rFonts w:ascii="Arial" w:hAnsi="Arial" w:cs="Arial"/>
          <w:sz w:val="24"/>
          <w:szCs w:val="24"/>
          <w:lang w:val="en-US"/>
        </w:rPr>
        <w:t xml:space="preserve">thereafter </w:t>
      </w:r>
      <w:r>
        <w:rPr>
          <w:rFonts w:ascii="Arial" w:hAnsi="Arial" w:cs="Arial"/>
          <w:sz w:val="24"/>
          <w:szCs w:val="24"/>
          <w:lang w:val="en-US"/>
        </w:rPr>
        <w:t xml:space="preserve">added anything to the point. </w:t>
      </w:r>
      <w:r w:rsidR="005B6253">
        <w:rPr>
          <w:rFonts w:ascii="Arial" w:hAnsi="Arial" w:cs="Arial"/>
          <w:sz w:val="24"/>
          <w:szCs w:val="24"/>
          <w:lang w:val="en-US"/>
        </w:rPr>
        <w:t>O</w:t>
      </w:r>
      <w:r w:rsidR="00E21B86">
        <w:rPr>
          <w:rFonts w:ascii="Arial" w:hAnsi="Arial" w:cs="Arial"/>
          <w:sz w:val="24"/>
          <w:szCs w:val="24"/>
          <w:lang w:val="en-US"/>
        </w:rPr>
        <w:t xml:space="preserve">n the authority of </w:t>
      </w:r>
      <w:r w:rsidR="00E21B86">
        <w:rPr>
          <w:rFonts w:ascii="Arial" w:hAnsi="Arial" w:cs="Arial"/>
          <w:i/>
          <w:iCs/>
          <w:sz w:val="24"/>
          <w:szCs w:val="24"/>
          <w:lang w:val="en-US"/>
        </w:rPr>
        <w:t>Bhamjee</w:t>
      </w:r>
      <w:r w:rsidR="00E21B86" w:rsidRPr="00E21B86">
        <w:rPr>
          <w:rFonts w:ascii="Arial" w:hAnsi="Arial" w:cs="Arial"/>
          <w:sz w:val="24"/>
          <w:szCs w:val="24"/>
          <w:lang w:val="en-US"/>
        </w:rPr>
        <w:t xml:space="preserve">, </w:t>
      </w:r>
      <w:r w:rsidR="005B6253">
        <w:rPr>
          <w:rFonts w:ascii="Arial" w:hAnsi="Arial" w:cs="Arial"/>
          <w:sz w:val="24"/>
          <w:szCs w:val="24"/>
          <w:lang w:val="en-US"/>
        </w:rPr>
        <w:t xml:space="preserve">each </w:t>
      </w:r>
      <w:r w:rsidR="00E21B86">
        <w:rPr>
          <w:rFonts w:ascii="Arial" w:hAnsi="Arial" w:cs="Arial"/>
          <w:sz w:val="24"/>
          <w:szCs w:val="24"/>
          <w:lang w:val="en-US"/>
        </w:rPr>
        <w:t xml:space="preserve">did no more than merely assert </w:t>
      </w:r>
      <w:r>
        <w:rPr>
          <w:rFonts w:ascii="Arial" w:hAnsi="Arial" w:cs="Arial"/>
          <w:sz w:val="24"/>
          <w:szCs w:val="24"/>
          <w:lang w:val="en-US"/>
        </w:rPr>
        <w:t>that an order refusing a provisional application of sequestration is not appealable</w:t>
      </w:r>
      <w:r w:rsidR="005B6253">
        <w:rPr>
          <w:rFonts w:ascii="Arial" w:hAnsi="Arial" w:cs="Arial"/>
          <w:sz w:val="24"/>
          <w:szCs w:val="24"/>
          <w:lang w:val="en-US"/>
        </w:rPr>
        <w:t>.</w:t>
      </w:r>
      <w:r>
        <w:rPr>
          <w:rFonts w:ascii="Arial" w:hAnsi="Arial" w:cs="Arial"/>
          <w:sz w:val="24"/>
          <w:szCs w:val="24"/>
          <w:lang w:val="en-US"/>
        </w:rPr>
        <w:t xml:space="preserve"> </w:t>
      </w:r>
      <w:r w:rsidR="00131C5A">
        <w:rPr>
          <w:rFonts w:ascii="Arial" w:hAnsi="Arial" w:cs="Arial"/>
          <w:sz w:val="24"/>
          <w:szCs w:val="24"/>
          <w:lang w:val="en-US"/>
        </w:rPr>
        <w:t xml:space="preserve">In a fashion, </w:t>
      </w:r>
      <w:r w:rsidR="005B6253">
        <w:rPr>
          <w:rFonts w:ascii="Arial" w:hAnsi="Arial" w:cs="Arial"/>
          <w:sz w:val="24"/>
          <w:szCs w:val="24"/>
          <w:lang w:val="en-US"/>
        </w:rPr>
        <w:t xml:space="preserve">the unreasoned conclusion reached in </w:t>
      </w:r>
      <w:r w:rsidR="005B6253" w:rsidRPr="00E95BE1">
        <w:rPr>
          <w:rFonts w:ascii="Arial" w:hAnsi="Arial" w:cs="Arial"/>
          <w:i/>
          <w:iCs/>
          <w:sz w:val="24"/>
          <w:szCs w:val="24"/>
          <w:lang w:val="en-US"/>
        </w:rPr>
        <w:t>Bhamjee</w:t>
      </w:r>
      <w:r w:rsidR="00131C5A">
        <w:rPr>
          <w:rFonts w:ascii="Arial" w:hAnsi="Arial" w:cs="Arial"/>
          <w:sz w:val="24"/>
          <w:szCs w:val="24"/>
          <w:lang w:val="en-US"/>
        </w:rPr>
        <w:t>,</w:t>
      </w:r>
      <w:r w:rsidR="005B6253">
        <w:rPr>
          <w:rFonts w:ascii="Arial" w:hAnsi="Arial" w:cs="Arial"/>
          <w:sz w:val="24"/>
          <w:szCs w:val="24"/>
          <w:lang w:val="en-US"/>
        </w:rPr>
        <w:t xml:space="preserve"> </w:t>
      </w:r>
      <w:r w:rsidR="00131C5A">
        <w:rPr>
          <w:rFonts w:ascii="Arial" w:hAnsi="Arial" w:cs="Arial"/>
          <w:sz w:val="24"/>
          <w:szCs w:val="24"/>
          <w:lang w:val="en-US"/>
        </w:rPr>
        <w:t>which was</w:t>
      </w:r>
      <w:r w:rsidR="005B6253">
        <w:rPr>
          <w:rFonts w:ascii="Arial" w:hAnsi="Arial" w:cs="Arial"/>
          <w:sz w:val="24"/>
          <w:szCs w:val="24"/>
          <w:lang w:val="en-US"/>
        </w:rPr>
        <w:t xml:space="preserve"> uncritically a</w:t>
      </w:r>
      <w:r w:rsidR="007E1A19">
        <w:rPr>
          <w:rFonts w:ascii="Arial" w:hAnsi="Arial" w:cs="Arial"/>
          <w:sz w:val="24"/>
          <w:szCs w:val="24"/>
          <w:lang w:val="en-US"/>
        </w:rPr>
        <w:t>dopted</w:t>
      </w:r>
      <w:r w:rsidR="005B6253">
        <w:rPr>
          <w:rFonts w:ascii="Arial" w:hAnsi="Arial" w:cs="Arial"/>
          <w:sz w:val="24"/>
          <w:szCs w:val="24"/>
          <w:lang w:val="en-US"/>
        </w:rPr>
        <w:t xml:space="preserve"> </w:t>
      </w:r>
      <w:r w:rsidR="00131C5A">
        <w:rPr>
          <w:rFonts w:ascii="Arial" w:hAnsi="Arial" w:cs="Arial"/>
          <w:sz w:val="24"/>
          <w:szCs w:val="24"/>
          <w:lang w:val="en-US"/>
        </w:rPr>
        <w:t xml:space="preserve">thereafter </w:t>
      </w:r>
      <w:r w:rsidR="005B6253">
        <w:rPr>
          <w:rFonts w:ascii="Arial" w:hAnsi="Arial" w:cs="Arial"/>
          <w:sz w:val="24"/>
          <w:szCs w:val="24"/>
          <w:lang w:val="en-US"/>
        </w:rPr>
        <w:t xml:space="preserve">by the various textbook writers, </w:t>
      </w:r>
      <w:r w:rsidR="00CB496C">
        <w:rPr>
          <w:rFonts w:ascii="Arial" w:hAnsi="Arial" w:cs="Arial"/>
          <w:sz w:val="24"/>
          <w:szCs w:val="24"/>
          <w:lang w:val="en-US"/>
        </w:rPr>
        <w:t>then</w:t>
      </w:r>
      <w:r w:rsidR="00131C5A">
        <w:rPr>
          <w:rFonts w:ascii="Arial" w:hAnsi="Arial" w:cs="Arial"/>
          <w:sz w:val="24"/>
          <w:szCs w:val="24"/>
          <w:lang w:val="en-US"/>
        </w:rPr>
        <w:t xml:space="preserve"> t</w:t>
      </w:r>
      <w:r w:rsidR="00CB496C">
        <w:rPr>
          <w:rFonts w:ascii="Arial" w:hAnsi="Arial" w:cs="Arial"/>
          <w:sz w:val="24"/>
          <w:szCs w:val="24"/>
          <w:lang w:val="en-US"/>
        </w:rPr>
        <w:t>ook</w:t>
      </w:r>
      <w:r w:rsidR="00226418">
        <w:rPr>
          <w:rFonts w:ascii="Arial" w:hAnsi="Arial" w:cs="Arial"/>
          <w:sz w:val="24"/>
          <w:szCs w:val="24"/>
          <w:lang w:val="en-US"/>
        </w:rPr>
        <w:t xml:space="preserve"> </w:t>
      </w:r>
      <w:r w:rsidR="005B6253">
        <w:rPr>
          <w:rFonts w:ascii="Arial" w:hAnsi="Arial" w:cs="Arial"/>
          <w:sz w:val="24"/>
          <w:szCs w:val="24"/>
          <w:lang w:val="en-US"/>
        </w:rPr>
        <w:t>root.</w:t>
      </w:r>
      <w:r w:rsidR="00131C5A">
        <w:rPr>
          <w:rFonts w:ascii="Arial" w:hAnsi="Arial" w:cs="Arial"/>
          <w:sz w:val="24"/>
          <w:szCs w:val="24"/>
          <w:lang w:val="en-US"/>
        </w:rPr>
        <w:t xml:space="preserve"> </w:t>
      </w:r>
      <w:r w:rsidR="00CB496C">
        <w:rPr>
          <w:rFonts w:ascii="Arial" w:hAnsi="Arial" w:cs="Arial"/>
          <w:sz w:val="24"/>
          <w:szCs w:val="24"/>
          <w:lang w:val="en-US"/>
        </w:rPr>
        <w:t xml:space="preserve">This, against the background that the question had already been settled by Centlivres </w:t>
      </w:r>
      <w:r w:rsidR="0073379B">
        <w:rPr>
          <w:rFonts w:ascii="Arial" w:hAnsi="Arial" w:cs="Arial"/>
          <w:sz w:val="24"/>
          <w:szCs w:val="24"/>
          <w:lang w:val="en-US"/>
        </w:rPr>
        <w:t>CJ</w:t>
      </w:r>
      <w:r w:rsidR="00CB496C">
        <w:rPr>
          <w:rFonts w:ascii="Arial" w:hAnsi="Arial" w:cs="Arial"/>
          <w:sz w:val="24"/>
          <w:szCs w:val="24"/>
          <w:lang w:val="en-US"/>
        </w:rPr>
        <w:t xml:space="preserve"> in </w:t>
      </w:r>
      <w:r w:rsidR="00CB496C">
        <w:rPr>
          <w:rFonts w:ascii="Arial" w:hAnsi="Arial" w:cs="Arial"/>
          <w:i/>
          <w:iCs/>
          <w:sz w:val="24"/>
          <w:szCs w:val="24"/>
          <w:lang w:val="en-US"/>
        </w:rPr>
        <w:t>Ex parte Crous</w:t>
      </w:r>
      <w:r w:rsidR="00594CCC">
        <w:rPr>
          <w:rFonts w:ascii="Arial" w:hAnsi="Arial" w:cs="Arial"/>
          <w:sz w:val="24"/>
          <w:szCs w:val="24"/>
          <w:lang w:val="en-US"/>
        </w:rPr>
        <w:t>,</w:t>
      </w:r>
      <w:r w:rsidR="00594CCC">
        <w:rPr>
          <w:rFonts w:ascii="Arial" w:hAnsi="Arial" w:cs="Arial"/>
          <w:i/>
          <w:iCs/>
          <w:sz w:val="24"/>
          <w:szCs w:val="24"/>
          <w:lang w:val="en-US"/>
        </w:rPr>
        <w:t xml:space="preserve"> </w:t>
      </w:r>
      <w:r w:rsidR="00594CCC">
        <w:rPr>
          <w:rFonts w:ascii="Arial" w:hAnsi="Arial" w:cs="Arial"/>
          <w:sz w:val="24"/>
          <w:szCs w:val="24"/>
          <w:lang w:val="en-US"/>
        </w:rPr>
        <w:t xml:space="preserve">prior to the 1943 amendment. </w:t>
      </w:r>
      <w:r w:rsidR="00CE691D">
        <w:rPr>
          <w:rFonts w:ascii="Arial" w:hAnsi="Arial" w:cs="Arial"/>
          <w:i/>
          <w:iCs/>
          <w:sz w:val="24"/>
          <w:szCs w:val="24"/>
          <w:lang w:val="en-US"/>
        </w:rPr>
        <w:t xml:space="preserve">Bhamjee </w:t>
      </w:r>
      <w:r w:rsidR="00CE691D">
        <w:rPr>
          <w:rFonts w:ascii="Arial" w:hAnsi="Arial" w:cs="Arial"/>
          <w:sz w:val="24"/>
          <w:szCs w:val="24"/>
          <w:lang w:val="en-US"/>
        </w:rPr>
        <w:t xml:space="preserve">seems to </w:t>
      </w:r>
      <w:r w:rsidR="00C52682" w:rsidRPr="007535FC">
        <w:rPr>
          <w:rFonts w:ascii="Arial" w:hAnsi="Arial" w:cs="Arial"/>
          <w:sz w:val="24"/>
          <w:szCs w:val="24"/>
          <w:lang w:val="en-US"/>
        </w:rPr>
        <w:t xml:space="preserve">have </w:t>
      </w:r>
      <w:r w:rsidR="001712BF" w:rsidRPr="007535FC">
        <w:rPr>
          <w:rFonts w:ascii="Arial" w:hAnsi="Arial" w:cs="Arial"/>
          <w:sz w:val="24"/>
          <w:szCs w:val="24"/>
          <w:lang w:val="en-US"/>
        </w:rPr>
        <w:t>approach</w:t>
      </w:r>
      <w:r w:rsidR="00C52682" w:rsidRPr="007535FC">
        <w:rPr>
          <w:rFonts w:ascii="Arial" w:hAnsi="Arial" w:cs="Arial"/>
          <w:sz w:val="24"/>
          <w:szCs w:val="24"/>
          <w:lang w:val="en-US"/>
        </w:rPr>
        <w:t>ed</w:t>
      </w:r>
      <w:r w:rsidR="00594CCC" w:rsidRPr="007535FC">
        <w:rPr>
          <w:rFonts w:ascii="Arial" w:hAnsi="Arial" w:cs="Arial"/>
          <w:sz w:val="24"/>
          <w:szCs w:val="24"/>
          <w:lang w:val="en-US"/>
        </w:rPr>
        <w:t xml:space="preserve"> the enquiry on</w:t>
      </w:r>
      <w:r w:rsidR="00CE691D" w:rsidRPr="007535FC">
        <w:rPr>
          <w:rFonts w:ascii="Arial" w:hAnsi="Arial" w:cs="Arial"/>
          <w:sz w:val="24"/>
          <w:szCs w:val="24"/>
          <w:lang w:val="en-US"/>
        </w:rPr>
        <w:t xml:space="preserve"> </w:t>
      </w:r>
      <w:r w:rsidR="000B7B7D" w:rsidRPr="007535FC">
        <w:rPr>
          <w:rFonts w:ascii="Arial" w:hAnsi="Arial" w:cs="Arial"/>
          <w:sz w:val="24"/>
          <w:szCs w:val="24"/>
          <w:lang w:val="en-US"/>
        </w:rPr>
        <w:t xml:space="preserve">the </w:t>
      </w:r>
      <w:r w:rsidR="00340ADE" w:rsidRPr="007535FC">
        <w:rPr>
          <w:rFonts w:ascii="Arial" w:hAnsi="Arial" w:cs="Arial"/>
          <w:sz w:val="24"/>
          <w:szCs w:val="24"/>
          <w:lang w:val="en-US"/>
        </w:rPr>
        <w:t>footing</w:t>
      </w:r>
      <w:r w:rsidR="00594CCC" w:rsidRPr="007535FC">
        <w:rPr>
          <w:rFonts w:ascii="Arial" w:hAnsi="Arial" w:cs="Arial"/>
          <w:sz w:val="24"/>
          <w:szCs w:val="24"/>
          <w:lang w:val="en-US"/>
        </w:rPr>
        <w:t xml:space="preserve"> </w:t>
      </w:r>
      <w:r w:rsidR="00CE691D" w:rsidRPr="007535FC">
        <w:rPr>
          <w:rFonts w:ascii="Arial" w:hAnsi="Arial" w:cs="Arial"/>
          <w:sz w:val="24"/>
          <w:szCs w:val="24"/>
          <w:lang w:val="en-US"/>
        </w:rPr>
        <w:t>that</w:t>
      </w:r>
      <w:r w:rsidR="00CE691D">
        <w:rPr>
          <w:rFonts w:ascii="Arial" w:hAnsi="Arial" w:cs="Arial"/>
          <w:sz w:val="24"/>
          <w:szCs w:val="24"/>
          <w:lang w:val="en-US"/>
        </w:rPr>
        <w:t xml:space="preserve"> the </w:t>
      </w:r>
      <w:r w:rsidR="00CE691D" w:rsidRPr="007535FC">
        <w:rPr>
          <w:rFonts w:ascii="Arial" w:hAnsi="Arial" w:cs="Arial"/>
          <w:sz w:val="24"/>
          <w:szCs w:val="24"/>
          <w:lang w:val="en-US"/>
        </w:rPr>
        <w:t>amendment</w:t>
      </w:r>
      <w:r w:rsidR="00340ADE" w:rsidRPr="007535FC">
        <w:rPr>
          <w:rFonts w:ascii="Arial" w:hAnsi="Arial" w:cs="Arial"/>
          <w:sz w:val="24"/>
          <w:szCs w:val="24"/>
          <w:lang w:val="en-US"/>
        </w:rPr>
        <w:t>, which</w:t>
      </w:r>
      <w:r w:rsidR="00CE691D" w:rsidRPr="007535FC">
        <w:rPr>
          <w:rFonts w:ascii="Arial" w:hAnsi="Arial" w:cs="Arial"/>
          <w:sz w:val="24"/>
          <w:szCs w:val="24"/>
          <w:lang w:val="en-US"/>
        </w:rPr>
        <w:t xml:space="preserve"> </w:t>
      </w:r>
      <w:r w:rsidR="00CB496C" w:rsidRPr="007535FC">
        <w:rPr>
          <w:rFonts w:ascii="Arial" w:hAnsi="Arial" w:cs="Arial"/>
          <w:sz w:val="24"/>
          <w:szCs w:val="24"/>
          <w:lang w:val="en-US"/>
        </w:rPr>
        <w:t>had the effect of negativing</w:t>
      </w:r>
      <w:r w:rsidR="00594CCC" w:rsidRPr="007535FC">
        <w:rPr>
          <w:rFonts w:ascii="Arial" w:hAnsi="Arial" w:cs="Arial"/>
          <w:sz w:val="24"/>
          <w:szCs w:val="24"/>
          <w:lang w:val="en-US"/>
        </w:rPr>
        <w:t xml:space="preserve"> the right of appeal</w:t>
      </w:r>
      <w:r w:rsidR="00340ADE" w:rsidRPr="007535FC">
        <w:rPr>
          <w:rFonts w:ascii="Arial" w:hAnsi="Arial" w:cs="Arial"/>
          <w:sz w:val="24"/>
          <w:szCs w:val="24"/>
          <w:lang w:val="en-US"/>
        </w:rPr>
        <w:t>, was not capable of more than one meaning</w:t>
      </w:r>
      <w:r w:rsidR="00AA418B" w:rsidRPr="007535FC">
        <w:rPr>
          <w:rFonts w:ascii="Arial" w:hAnsi="Arial" w:cs="Arial"/>
          <w:sz w:val="24"/>
          <w:szCs w:val="24"/>
          <w:lang w:val="en-US"/>
        </w:rPr>
        <w:t>. I</w:t>
      </w:r>
      <w:r w:rsidR="00D0192C" w:rsidRPr="007535FC">
        <w:rPr>
          <w:rFonts w:ascii="Arial" w:hAnsi="Arial" w:cs="Arial"/>
          <w:sz w:val="24"/>
          <w:szCs w:val="24"/>
          <w:lang w:val="en-US"/>
        </w:rPr>
        <w:t>f</w:t>
      </w:r>
      <w:r w:rsidR="000B7B7D" w:rsidRPr="007535FC">
        <w:rPr>
          <w:rFonts w:ascii="Arial" w:hAnsi="Arial" w:cs="Arial"/>
          <w:sz w:val="24"/>
          <w:szCs w:val="24"/>
          <w:lang w:val="en-US"/>
        </w:rPr>
        <w:t xml:space="preserve">, </w:t>
      </w:r>
      <w:r w:rsidR="00D0192C" w:rsidRPr="007535FC">
        <w:rPr>
          <w:rFonts w:ascii="Arial" w:hAnsi="Arial" w:cs="Arial"/>
          <w:sz w:val="24"/>
          <w:szCs w:val="24"/>
          <w:lang w:val="en-US"/>
        </w:rPr>
        <w:t>however, the language of the provision is to be regarded as uncertain</w:t>
      </w:r>
      <w:r w:rsidR="000B7B7D" w:rsidRPr="007535FC">
        <w:rPr>
          <w:rFonts w:ascii="Arial" w:hAnsi="Arial" w:cs="Arial"/>
          <w:sz w:val="24"/>
          <w:szCs w:val="24"/>
          <w:lang w:val="en-US"/>
        </w:rPr>
        <w:t xml:space="preserve"> regard had </w:t>
      </w:r>
      <w:r w:rsidR="00053B51" w:rsidRPr="007535FC">
        <w:rPr>
          <w:rFonts w:ascii="Arial" w:hAnsi="Arial" w:cs="Arial"/>
          <w:sz w:val="24"/>
          <w:szCs w:val="24"/>
          <w:lang w:val="en-US"/>
        </w:rPr>
        <w:t xml:space="preserve">to </w:t>
      </w:r>
      <w:r w:rsidR="00D0192C" w:rsidRPr="007535FC">
        <w:rPr>
          <w:rFonts w:ascii="Arial" w:hAnsi="Arial" w:cs="Arial"/>
          <w:sz w:val="24"/>
          <w:szCs w:val="24"/>
          <w:lang w:val="en-US"/>
        </w:rPr>
        <w:t>be had</w:t>
      </w:r>
      <w:r w:rsidR="000B7B7D" w:rsidRPr="007535FC">
        <w:rPr>
          <w:rFonts w:ascii="Arial" w:hAnsi="Arial" w:cs="Arial"/>
          <w:sz w:val="24"/>
          <w:szCs w:val="24"/>
          <w:lang w:val="en-US"/>
        </w:rPr>
        <w:t xml:space="preserve"> </w:t>
      </w:r>
      <w:r w:rsidR="00D0192C" w:rsidRPr="007535FC">
        <w:rPr>
          <w:rFonts w:ascii="Arial" w:hAnsi="Arial" w:cs="Arial"/>
          <w:sz w:val="24"/>
          <w:szCs w:val="24"/>
          <w:lang w:val="en-US"/>
        </w:rPr>
        <w:t xml:space="preserve">to </w:t>
      </w:r>
      <w:r w:rsidR="00340ADE" w:rsidRPr="007535FC">
        <w:rPr>
          <w:rFonts w:ascii="Arial" w:hAnsi="Arial" w:cs="Arial"/>
          <w:sz w:val="24"/>
          <w:szCs w:val="24"/>
          <w:lang w:val="en-US"/>
        </w:rPr>
        <w:t>certain interpretive aids</w:t>
      </w:r>
      <w:r w:rsidR="000B7B7D" w:rsidRPr="007535FC">
        <w:rPr>
          <w:rFonts w:ascii="Arial" w:hAnsi="Arial" w:cs="Arial"/>
          <w:sz w:val="24"/>
          <w:szCs w:val="24"/>
          <w:lang w:val="en-US"/>
        </w:rPr>
        <w:t>, such as</w:t>
      </w:r>
      <w:r w:rsidR="00675A6F" w:rsidRPr="007535FC">
        <w:rPr>
          <w:rFonts w:ascii="Arial" w:hAnsi="Arial" w:cs="Arial"/>
          <w:sz w:val="24"/>
          <w:szCs w:val="24"/>
          <w:lang w:val="en-US"/>
        </w:rPr>
        <w:t>, amongst others,</w:t>
      </w:r>
      <w:r w:rsidR="00675A6F">
        <w:rPr>
          <w:rFonts w:ascii="Arial" w:hAnsi="Arial" w:cs="Arial"/>
          <w:sz w:val="24"/>
          <w:szCs w:val="24"/>
          <w:lang w:val="en-US"/>
        </w:rPr>
        <w:t xml:space="preserve"> that </w:t>
      </w:r>
      <w:r w:rsidR="000B7B7D">
        <w:rPr>
          <w:rFonts w:ascii="Arial" w:hAnsi="Arial" w:cs="Arial"/>
          <w:sz w:val="24"/>
          <w:szCs w:val="24"/>
          <w:lang w:val="en-US"/>
        </w:rPr>
        <w:t>in cases of doubt the most beneficial interpretation is to be preferred</w:t>
      </w:r>
      <w:r w:rsidR="000B7B7D">
        <w:rPr>
          <w:rStyle w:val="FootnoteReference"/>
          <w:rFonts w:ascii="Arial" w:hAnsi="Arial" w:cs="Arial"/>
          <w:sz w:val="24"/>
          <w:szCs w:val="24"/>
          <w:lang w:val="en-US"/>
        </w:rPr>
        <w:footnoteReference w:id="11"/>
      </w:r>
      <w:r w:rsidR="000B7B7D">
        <w:rPr>
          <w:rFonts w:ascii="Arial" w:hAnsi="Arial" w:cs="Arial"/>
          <w:sz w:val="24"/>
          <w:szCs w:val="24"/>
          <w:lang w:val="en-US"/>
        </w:rPr>
        <w:t xml:space="preserve"> or that the legislature does not intend to alter the existing law more than necessary</w:t>
      </w:r>
      <w:r w:rsidR="00053B51">
        <w:rPr>
          <w:rFonts w:ascii="Arial" w:hAnsi="Arial" w:cs="Arial"/>
          <w:sz w:val="24"/>
          <w:szCs w:val="24"/>
          <w:lang w:val="en-US"/>
        </w:rPr>
        <w:t>.</w:t>
      </w:r>
      <w:r w:rsidR="000B7B7D">
        <w:rPr>
          <w:rStyle w:val="FootnoteReference"/>
          <w:rFonts w:ascii="Arial" w:hAnsi="Arial" w:cs="Arial"/>
          <w:sz w:val="24"/>
          <w:szCs w:val="24"/>
          <w:lang w:val="en-US"/>
        </w:rPr>
        <w:footnoteReference w:id="12"/>
      </w:r>
      <w:r w:rsidR="000B7B7D">
        <w:rPr>
          <w:rFonts w:ascii="Arial" w:hAnsi="Arial" w:cs="Arial"/>
          <w:sz w:val="24"/>
          <w:szCs w:val="24"/>
          <w:lang w:val="en-US"/>
        </w:rPr>
        <w:t xml:space="preserve"> </w:t>
      </w:r>
      <w:r w:rsidR="00053B51">
        <w:rPr>
          <w:rFonts w:ascii="Arial" w:hAnsi="Arial" w:cs="Arial"/>
          <w:sz w:val="24"/>
          <w:szCs w:val="24"/>
          <w:lang w:val="en-US"/>
        </w:rPr>
        <w:t>T</w:t>
      </w:r>
      <w:r w:rsidR="000B7B7D">
        <w:rPr>
          <w:rFonts w:ascii="Arial" w:hAnsi="Arial" w:cs="Arial"/>
          <w:sz w:val="24"/>
          <w:szCs w:val="24"/>
          <w:lang w:val="en-US"/>
        </w:rPr>
        <w:t>he purpose</w:t>
      </w:r>
      <w:r w:rsidR="00053B51">
        <w:rPr>
          <w:rFonts w:ascii="Arial" w:hAnsi="Arial" w:cs="Arial"/>
          <w:sz w:val="24"/>
          <w:szCs w:val="24"/>
          <w:lang w:val="en-US"/>
        </w:rPr>
        <w:t xml:space="preserve">, particularly </w:t>
      </w:r>
      <w:r w:rsidR="00C60DF6">
        <w:rPr>
          <w:rFonts w:ascii="Arial" w:hAnsi="Arial" w:cs="Arial"/>
          <w:sz w:val="24"/>
          <w:szCs w:val="24"/>
          <w:lang w:val="en-US"/>
        </w:rPr>
        <w:t xml:space="preserve">of the latter, </w:t>
      </w:r>
      <w:r w:rsidR="002D3E85">
        <w:rPr>
          <w:rFonts w:ascii="Arial" w:hAnsi="Arial" w:cs="Arial"/>
          <w:sz w:val="24"/>
          <w:szCs w:val="24"/>
          <w:lang w:val="en-US"/>
        </w:rPr>
        <w:t>being</w:t>
      </w:r>
      <w:r w:rsidR="000B7B7D">
        <w:rPr>
          <w:rFonts w:ascii="Arial" w:hAnsi="Arial" w:cs="Arial"/>
          <w:sz w:val="24"/>
          <w:szCs w:val="24"/>
          <w:lang w:val="en-US"/>
        </w:rPr>
        <w:t xml:space="preserve"> to enhance certainty.</w:t>
      </w:r>
      <w:r w:rsidR="00675A6F">
        <w:rPr>
          <w:rStyle w:val="FootnoteReference"/>
          <w:rFonts w:ascii="Arial" w:hAnsi="Arial" w:cs="Arial"/>
          <w:sz w:val="24"/>
          <w:szCs w:val="24"/>
          <w:lang w:val="en-US"/>
        </w:rPr>
        <w:footnoteReference w:id="13"/>
      </w:r>
      <w:r w:rsidR="000B7B7D">
        <w:rPr>
          <w:rFonts w:ascii="Arial" w:hAnsi="Arial" w:cs="Arial"/>
          <w:sz w:val="24"/>
          <w:szCs w:val="24"/>
          <w:lang w:val="en-US"/>
        </w:rPr>
        <w:t xml:space="preserve"> </w:t>
      </w:r>
    </w:p>
    <w:p w14:paraId="04803D5A" w14:textId="77777777" w:rsidR="00C60DF6" w:rsidRDefault="00C60DF6" w:rsidP="00052EBE">
      <w:pPr>
        <w:spacing w:after="0" w:line="360" w:lineRule="auto"/>
        <w:jc w:val="both"/>
        <w:rPr>
          <w:rFonts w:ascii="Arial" w:hAnsi="Arial" w:cs="Arial"/>
          <w:sz w:val="24"/>
          <w:szCs w:val="24"/>
          <w:lang w:val="en-US"/>
        </w:rPr>
      </w:pPr>
    </w:p>
    <w:p w14:paraId="7D44CCFE" w14:textId="157988AC" w:rsidR="009157B0" w:rsidRPr="0097259A" w:rsidRDefault="002D3E85" w:rsidP="00052EBE">
      <w:pPr>
        <w:spacing w:after="0" w:line="360" w:lineRule="auto"/>
        <w:jc w:val="both"/>
        <w:rPr>
          <w:rFonts w:ascii="Arial" w:hAnsi="Arial" w:cs="Arial"/>
          <w:sz w:val="24"/>
          <w:szCs w:val="24"/>
          <w:lang w:val="en-US"/>
        </w:rPr>
      </w:pPr>
      <w:r>
        <w:rPr>
          <w:rFonts w:ascii="Arial" w:hAnsi="Arial" w:cs="Arial"/>
          <w:color w:val="000000"/>
          <w:sz w:val="24"/>
          <w:szCs w:val="24"/>
        </w:rPr>
        <w:t>[14]</w:t>
      </w:r>
      <w:r>
        <w:rPr>
          <w:rFonts w:ascii="Arial" w:hAnsi="Arial" w:cs="Arial"/>
          <w:color w:val="000000"/>
          <w:sz w:val="24"/>
          <w:szCs w:val="24"/>
        </w:rPr>
        <w:tab/>
      </w:r>
      <w:r w:rsidR="008B19D7">
        <w:rPr>
          <w:rFonts w:ascii="Arial" w:hAnsi="Arial" w:cs="Arial"/>
          <w:i/>
          <w:iCs/>
          <w:color w:val="000000"/>
          <w:sz w:val="24"/>
          <w:szCs w:val="24"/>
        </w:rPr>
        <w:t xml:space="preserve">Gottschalk </w:t>
      </w:r>
      <w:r w:rsidR="008B19D7">
        <w:rPr>
          <w:rFonts w:ascii="Arial" w:hAnsi="Arial" w:cs="Arial"/>
          <w:color w:val="000000"/>
          <w:sz w:val="24"/>
          <w:szCs w:val="24"/>
        </w:rPr>
        <w:t xml:space="preserve">has </w:t>
      </w:r>
      <w:r w:rsidR="00CE691D">
        <w:rPr>
          <w:rFonts w:ascii="Arial" w:hAnsi="Arial" w:cs="Arial"/>
          <w:color w:val="000000"/>
          <w:sz w:val="24"/>
          <w:szCs w:val="24"/>
        </w:rPr>
        <w:t>suggested</w:t>
      </w:r>
      <w:r w:rsidR="00052EBE">
        <w:rPr>
          <w:rFonts w:ascii="Arial" w:hAnsi="Arial" w:cs="Arial"/>
          <w:color w:val="000000"/>
          <w:sz w:val="24"/>
          <w:szCs w:val="24"/>
        </w:rPr>
        <w:t xml:space="preserve"> that ‘the insertion of s 150(5)</w:t>
      </w:r>
      <w:r w:rsidR="00053B51">
        <w:rPr>
          <w:rFonts w:ascii="Arial" w:hAnsi="Arial" w:cs="Arial"/>
          <w:color w:val="000000"/>
          <w:sz w:val="24"/>
          <w:szCs w:val="24"/>
        </w:rPr>
        <w:t xml:space="preserve"> . . .</w:t>
      </w:r>
      <w:r w:rsidR="00052EBE">
        <w:rPr>
          <w:rFonts w:ascii="Arial" w:hAnsi="Arial" w:cs="Arial"/>
          <w:color w:val="000000"/>
          <w:sz w:val="24"/>
          <w:szCs w:val="24"/>
        </w:rPr>
        <w:t xml:space="preserve"> probably was as a result of [</w:t>
      </w:r>
      <w:r w:rsidR="0073379B">
        <w:rPr>
          <w:rFonts w:ascii="Arial" w:hAnsi="Arial" w:cs="Arial"/>
          <w:color w:val="000000"/>
          <w:sz w:val="24"/>
          <w:szCs w:val="24"/>
        </w:rPr>
        <w:t xml:space="preserve">the </w:t>
      </w:r>
      <w:r w:rsidR="008114EC" w:rsidRPr="00AF2A4F">
        <w:rPr>
          <w:rFonts w:ascii="Arial" w:hAnsi="Arial" w:cs="Arial"/>
          <w:i/>
          <w:color w:val="000000"/>
          <w:sz w:val="24"/>
          <w:szCs w:val="24"/>
        </w:rPr>
        <w:t>Ex parte</w:t>
      </w:r>
      <w:r w:rsidR="008114EC">
        <w:rPr>
          <w:rFonts w:ascii="Arial" w:hAnsi="Arial" w:cs="Arial"/>
          <w:color w:val="000000"/>
          <w:sz w:val="24"/>
          <w:szCs w:val="24"/>
        </w:rPr>
        <w:t xml:space="preserve"> </w:t>
      </w:r>
      <w:r w:rsidR="008114EC" w:rsidRPr="00C60DF6">
        <w:rPr>
          <w:rFonts w:ascii="Arial" w:hAnsi="Arial" w:cs="Arial"/>
          <w:i/>
          <w:iCs/>
          <w:color w:val="000000"/>
          <w:sz w:val="24"/>
          <w:szCs w:val="24"/>
        </w:rPr>
        <w:t>Crous</w:t>
      </w:r>
      <w:r w:rsidR="00052EBE">
        <w:rPr>
          <w:rFonts w:ascii="Arial" w:hAnsi="Arial" w:cs="Arial"/>
          <w:color w:val="000000"/>
          <w:sz w:val="24"/>
          <w:szCs w:val="24"/>
        </w:rPr>
        <w:t>] decision’.</w:t>
      </w:r>
      <w:r w:rsidR="00052EBE">
        <w:rPr>
          <w:rStyle w:val="FootnoteReference"/>
          <w:rFonts w:ascii="Arial" w:hAnsi="Arial" w:cs="Arial"/>
          <w:color w:val="000000"/>
          <w:sz w:val="24"/>
          <w:szCs w:val="24"/>
        </w:rPr>
        <w:footnoteReference w:id="14"/>
      </w:r>
      <w:r w:rsidR="00052EBE">
        <w:rPr>
          <w:rFonts w:ascii="Arial" w:hAnsi="Arial" w:cs="Arial"/>
          <w:color w:val="000000"/>
          <w:sz w:val="24"/>
          <w:szCs w:val="24"/>
        </w:rPr>
        <w:t xml:space="preserve"> </w:t>
      </w:r>
      <w:r w:rsidR="00E668DB">
        <w:rPr>
          <w:rFonts w:ascii="Arial" w:hAnsi="Arial" w:cs="Arial"/>
          <w:color w:val="000000"/>
          <w:sz w:val="24"/>
          <w:szCs w:val="24"/>
        </w:rPr>
        <w:t>Even on the acceptance of th</w:t>
      </w:r>
      <w:r w:rsidR="0097259A">
        <w:rPr>
          <w:rFonts w:ascii="Arial" w:hAnsi="Arial" w:cs="Arial"/>
          <w:color w:val="000000"/>
          <w:sz w:val="24"/>
          <w:szCs w:val="24"/>
        </w:rPr>
        <w:t>at</w:t>
      </w:r>
      <w:r w:rsidR="00C60DF6">
        <w:rPr>
          <w:rFonts w:ascii="Arial" w:hAnsi="Arial" w:cs="Arial"/>
          <w:color w:val="000000"/>
          <w:sz w:val="24"/>
          <w:szCs w:val="24"/>
        </w:rPr>
        <w:t xml:space="preserve"> hypothesis, </w:t>
      </w:r>
      <w:r w:rsidR="00C60DF6">
        <w:rPr>
          <w:rFonts w:ascii="Arial" w:hAnsi="Arial" w:cs="Arial"/>
          <w:color w:val="000000"/>
          <w:sz w:val="24"/>
          <w:szCs w:val="24"/>
        </w:rPr>
        <w:lastRenderedPageBreak/>
        <w:t>it is unclear why the legislature would have chosen to negative the right</w:t>
      </w:r>
      <w:r w:rsidR="0097259A">
        <w:rPr>
          <w:rFonts w:ascii="Arial" w:hAnsi="Arial" w:cs="Arial"/>
          <w:color w:val="000000"/>
          <w:sz w:val="24"/>
          <w:szCs w:val="24"/>
        </w:rPr>
        <w:t xml:space="preserve"> </w:t>
      </w:r>
      <w:r w:rsidR="003A61AD">
        <w:rPr>
          <w:rFonts w:ascii="Arial" w:hAnsi="Arial" w:cs="Arial"/>
          <w:color w:val="000000"/>
          <w:sz w:val="24"/>
          <w:szCs w:val="24"/>
        </w:rPr>
        <w:t xml:space="preserve">of appeal </w:t>
      </w:r>
      <w:r w:rsidR="0097259A">
        <w:rPr>
          <w:rFonts w:ascii="Arial" w:hAnsi="Arial" w:cs="Arial"/>
          <w:color w:val="000000"/>
          <w:sz w:val="24"/>
          <w:szCs w:val="24"/>
        </w:rPr>
        <w:t>or</w:t>
      </w:r>
      <w:r w:rsidR="00C60DF6">
        <w:rPr>
          <w:rFonts w:ascii="Arial" w:hAnsi="Arial" w:cs="Arial"/>
          <w:color w:val="000000"/>
          <w:sz w:val="24"/>
          <w:szCs w:val="24"/>
        </w:rPr>
        <w:t xml:space="preserve"> </w:t>
      </w:r>
      <w:r w:rsidR="0097259A">
        <w:rPr>
          <w:rFonts w:ascii="Arial" w:hAnsi="Arial" w:cs="Arial"/>
          <w:color w:val="000000"/>
          <w:sz w:val="24"/>
          <w:szCs w:val="24"/>
        </w:rPr>
        <w:t xml:space="preserve">put </w:t>
      </w:r>
      <w:r w:rsidR="00C60DF6">
        <w:rPr>
          <w:rFonts w:ascii="Arial" w:hAnsi="Arial" w:cs="Arial"/>
          <w:color w:val="000000"/>
          <w:sz w:val="24"/>
          <w:szCs w:val="24"/>
        </w:rPr>
        <w:t xml:space="preserve">a red line through </w:t>
      </w:r>
      <w:r w:rsidR="0097259A">
        <w:rPr>
          <w:rFonts w:ascii="Arial" w:hAnsi="Arial" w:cs="Arial"/>
          <w:color w:val="000000"/>
          <w:sz w:val="24"/>
          <w:szCs w:val="24"/>
        </w:rPr>
        <w:t xml:space="preserve">what was said in </w:t>
      </w:r>
      <w:r w:rsidR="0081078F" w:rsidRPr="00023DFB">
        <w:rPr>
          <w:rFonts w:ascii="Arial" w:hAnsi="Arial" w:cs="Arial"/>
          <w:i/>
          <w:color w:val="000000"/>
          <w:sz w:val="24"/>
          <w:szCs w:val="24"/>
        </w:rPr>
        <w:t>Ex parte</w:t>
      </w:r>
      <w:r w:rsidR="0081078F" w:rsidRPr="00023DFB">
        <w:rPr>
          <w:rFonts w:ascii="Arial" w:hAnsi="Arial" w:cs="Arial"/>
          <w:color w:val="000000"/>
          <w:sz w:val="24"/>
          <w:szCs w:val="24"/>
        </w:rPr>
        <w:t xml:space="preserve"> </w:t>
      </w:r>
      <w:r w:rsidR="00C60DF6" w:rsidRPr="00023DFB">
        <w:rPr>
          <w:rFonts w:ascii="Arial" w:hAnsi="Arial" w:cs="Arial"/>
          <w:i/>
          <w:iCs/>
          <w:color w:val="000000"/>
          <w:sz w:val="24"/>
          <w:szCs w:val="24"/>
        </w:rPr>
        <w:t>Crous</w:t>
      </w:r>
      <w:r w:rsidR="00C60DF6">
        <w:rPr>
          <w:rFonts w:ascii="Arial" w:hAnsi="Arial" w:cs="Arial"/>
          <w:i/>
          <w:iCs/>
          <w:color w:val="000000"/>
          <w:sz w:val="24"/>
          <w:szCs w:val="24"/>
        </w:rPr>
        <w:t>.</w:t>
      </w:r>
      <w:r w:rsidR="00C60DF6">
        <w:rPr>
          <w:rFonts w:ascii="Arial" w:hAnsi="Arial" w:cs="Arial"/>
          <w:color w:val="000000"/>
          <w:sz w:val="24"/>
          <w:szCs w:val="24"/>
        </w:rPr>
        <w:t xml:space="preserve"> As importantly, why it would have </w:t>
      </w:r>
      <w:r w:rsidR="003A61AD">
        <w:rPr>
          <w:rFonts w:ascii="Arial" w:hAnsi="Arial" w:cs="Arial"/>
          <w:color w:val="000000"/>
          <w:sz w:val="24"/>
          <w:szCs w:val="24"/>
        </w:rPr>
        <w:t>elected</w:t>
      </w:r>
      <w:r w:rsidR="00C60DF6">
        <w:rPr>
          <w:rFonts w:ascii="Arial" w:hAnsi="Arial" w:cs="Arial"/>
          <w:color w:val="000000"/>
          <w:sz w:val="24"/>
          <w:szCs w:val="24"/>
        </w:rPr>
        <w:t xml:space="preserve"> to do so in </w:t>
      </w:r>
      <w:r w:rsidR="003A61AD">
        <w:rPr>
          <w:rFonts w:ascii="Arial" w:hAnsi="Arial" w:cs="Arial"/>
          <w:color w:val="000000"/>
          <w:sz w:val="24"/>
          <w:szCs w:val="24"/>
        </w:rPr>
        <w:t xml:space="preserve">the </w:t>
      </w:r>
      <w:r>
        <w:rPr>
          <w:rFonts w:ascii="Arial" w:hAnsi="Arial" w:cs="Arial"/>
          <w:color w:val="000000"/>
          <w:sz w:val="24"/>
          <w:szCs w:val="24"/>
        </w:rPr>
        <w:t>manner</w:t>
      </w:r>
      <w:r w:rsidR="003A61AD">
        <w:rPr>
          <w:rFonts w:ascii="Arial" w:hAnsi="Arial" w:cs="Arial"/>
          <w:color w:val="000000"/>
          <w:sz w:val="24"/>
          <w:szCs w:val="24"/>
        </w:rPr>
        <w:t xml:space="preserve"> chosen</w:t>
      </w:r>
      <w:r w:rsidR="00C60DF6">
        <w:rPr>
          <w:rFonts w:ascii="Arial" w:hAnsi="Arial" w:cs="Arial"/>
          <w:color w:val="000000"/>
          <w:sz w:val="24"/>
          <w:szCs w:val="24"/>
        </w:rPr>
        <w:t xml:space="preserve">. </w:t>
      </w:r>
      <w:r w:rsidR="00D27E8B">
        <w:rPr>
          <w:rFonts w:ascii="Arial" w:hAnsi="Arial" w:cs="Arial"/>
          <w:color w:val="000000"/>
          <w:sz w:val="24"/>
          <w:szCs w:val="24"/>
        </w:rPr>
        <w:t>It is so that ‘section 150 does not expressly provide for a right of appeal’.</w:t>
      </w:r>
      <w:r w:rsidR="00D27E8B">
        <w:rPr>
          <w:rStyle w:val="FootnoteReference"/>
          <w:rFonts w:ascii="Arial" w:hAnsi="Arial" w:cs="Arial"/>
          <w:color w:val="000000"/>
          <w:sz w:val="24"/>
          <w:szCs w:val="24"/>
        </w:rPr>
        <w:footnoteReference w:id="15"/>
      </w:r>
      <w:r w:rsidR="00D27E8B">
        <w:rPr>
          <w:rFonts w:ascii="Arial" w:hAnsi="Arial" w:cs="Arial"/>
          <w:color w:val="000000"/>
          <w:sz w:val="24"/>
          <w:szCs w:val="24"/>
        </w:rPr>
        <w:t xml:space="preserve"> </w:t>
      </w:r>
      <w:r w:rsidR="00D27E8B" w:rsidRPr="007535FC">
        <w:rPr>
          <w:rFonts w:ascii="Arial" w:hAnsi="Arial" w:cs="Arial"/>
          <w:color w:val="000000"/>
          <w:sz w:val="24"/>
          <w:szCs w:val="24"/>
        </w:rPr>
        <w:t>Nor</w:t>
      </w:r>
      <w:r w:rsidR="00D0192C" w:rsidRPr="007535FC">
        <w:rPr>
          <w:rFonts w:ascii="Arial" w:hAnsi="Arial" w:cs="Arial"/>
          <w:color w:val="000000"/>
          <w:sz w:val="24"/>
          <w:szCs w:val="24"/>
        </w:rPr>
        <w:t>,</w:t>
      </w:r>
      <w:r w:rsidR="00D27E8B" w:rsidRPr="007535FC">
        <w:rPr>
          <w:rFonts w:ascii="Arial" w:hAnsi="Arial" w:cs="Arial"/>
          <w:color w:val="000000"/>
          <w:sz w:val="24"/>
          <w:szCs w:val="24"/>
        </w:rPr>
        <w:t xml:space="preserve"> does</w:t>
      </w:r>
      <w:r w:rsidR="00D27E8B">
        <w:rPr>
          <w:rFonts w:ascii="Arial" w:hAnsi="Arial" w:cs="Arial"/>
          <w:color w:val="000000"/>
          <w:sz w:val="24"/>
          <w:szCs w:val="24"/>
        </w:rPr>
        <w:t xml:space="preserve"> it expressly exclude it</w:t>
      </w:r>
      <w:r w:rsidR="00D04186">
        <w:rPr>
          <w:rFonts w:ascii="Arial" w:hAnsi="Arial" w:cs="Arial"/>
          <w:color w:val="000000"/>
          <w:sz w:val="24"/>
          <w:szCs w:val="24"/>
        </w:rPr>
        <w:t>.</w:t>
      </w:r>
      <w:r w:rsidR="007F230E">
        <w:rPr>
          <w:rFonts w:ascii="Arial" w:hAnsi="Arial" w:cs="Arial"/>
          <w:color w:val="000000"/>
          <w:sz w:val="24"/>
          <w:szCs w:val="24"/>
        </w:rPr>
        <w:t xml:space="preserve"> </w:t>
      </w:r>
      <w:r w:rsidR="00D03DD4">
        <w:rPr>
          <w:rFonts w:ascii="Arial" w:hAnsi="Arial" w:cs="Arial"/>
          <w:color w:val="000000"/>
          <w:sz w:val="24"/>
          <w:szCs w:val="24"/>
        </w:rPr>
        <w:t xml:space="preserve">That notwithstanding, </w:t>
      </w:r>
      <w:r w:rsidR="00AD43CC">
        <w:rPr>
          <w:rFonts w:ascii="Arial" w:hAnsi="Arial" w:cs="Arial"/>
          <w:i/>
          <w:iCs/>
          <w:color w:val="000000"/>
          <w:sz w:val="24"/>
          <w:szCs w:val="24"/>
        </w:rPr>
        <w:t>Gottschalk</w:t>
      </w:r>
      <w:r w:rsidR="00E3014C">
        <w:rPr>
          <w:rFonts w:ascii="Arial" w:hAnsi="Arial" w:cs="Arial"/>
          <w:color w:val="000000"/>
          <w:sz w:val="24"/>
          <w:szCs w:val="24"/>
        </w:rPr>
        <w:t xml:space="preserve"> seems to </w:t>
      </w:r>
      <w:r w:rsidR="003033DB">
        <w:rPr>
          <w:rFonts w:ascii="Arial" w:hAnsi="Arial" w:cs="Arial"/>
          <w:color w:val="000000"/>
          <w:sz w:val="24"/>
          <w:szCs w:val="24"/>
        </w:rPr>
        <w:t xml:space="preserve">have </w:t>
      </w:r>
      <w:r w:rsidR="00E3014C">
        <w:rPr>
          <w:rFonts w:ascii="Arial" w:hAnsi="Arial" w:cs="Arial"/>
          <w:color w:val="000000"/>
          <w:sz w:val="24"/>
          <w:szCs w:val="24"/>
        </w:rPr>
        <w:t>infer</w:t>
      </w:r>
      <w:r w:rsidR="00D03DD4">
        <w:rPr>
          <w:rFonts w:ascii="Arial" w:hAnsi="Arial" w:cs="Arial"/>
          <w:color w:val="000000"/>
          <w:sz w:val="24"/>
          <w:szCs w:val="24"/>
        </w:rPr>
        <w:t>red</w:t>
      </w:r>
      <w:r w:rsidR="00E3014C">
        <w:rPr>
          <w:rFonts w:ascii="Arial" w:hAnsi="Arial" w:cs="Arial"/>
          <w:color w:val="000000"/>
          <w:sz w:val="24"/>
          <w:szCs w:val="24"/>
        </w:rPr>
        <w:t xml:space="preserve"> from the </w:t>
      </w:r>
      <w:r w:rsidR="00C41842">
        <w:rPr>
          <w:rFonts w:ascii="Arial" w:hAnsi="Arial" w:cs="Arial"/>
          <w:color w:val="000000"/>
          <w:sz w:val="24"/>
          <w:szCs w:val="24"/>
        </w:rPr>
        <w:t xml:space="preserve">historical matrix and the </w:t>
      </w:r>
      <w:r w:rsidR="00E3014C">
        <w:rPr>
          <w:rFonts w:ascii="Arial" w:hAnsi="Arial" w:cs="Arial"/>
          <w:color w:val="000000"/>
          <w:sz w:val="24"/>
          <w:szCs w:val="24"/>
        </w:rPr>
        <w:t>terms of the amendment</w:t>
      </w:r>
      <w:r w:rsidR="00D03DD4">
        <w:rPr>
          <w:rFonts w:ascii="Arial" w:hAnsi="Arial" w:cs="Arial"/>
          <w:color w:val="000000"/>
          <w:sz w:val="24"/>
          <w:szCs w:val="24"/>
        </w:rPr>
        <w:t xml:space="preserve"> that there was</w:t>
      </w:r>
      <w:r w:rsidR="00E3014C">
        <w:rPr>
          <w:rFonts w:ascii="Arial" w:hAnsi="Arial" w:cs="Arial"/>
          <w:color w:val="000000"/>
          <w:sz w:val="24"/>
          <w:szCs w:val="24"/>
        </w:rPr>
        <w:t xml:space="preserve"> </w:t>
      </w:r>
      <w:r w:rsidR="00C41842">
        <w:rPr>
          <w:rFonts w:ascii="Arial" w:hAnsi="Arial" w:cs="Arial"/>
          <w:color w:val="000000"/>
          <w:sz w:val="24"/>
          <w:szCs w:val="24"/>
        </w:rPr>
        <w:t>‘</w:t>
      </w:r>
      <w:r w:rsidR="00E3014C">
        <w:rPr>
          <w:rFonts w:ascii="Arial" w:hAnsi="Arial" w:cs="Arial"/>
          <w:color w:val="000000"/>
          <w:sz w:val="24"/>
          <w:szCs w:val="24"/>
        </w:rPr>
        <w:t>a clear legislative intent to limit, rather than extend, appeals’.</w:t>
      </w:r>
      <w:r w:rsidR="00C41842">
        <w:rPr>
          <w:rStyle w:val="FootnoteReference"/>
          <w:rFonts w:ascii="Arial" w:hAnsi="Arial" w:cs="Arial"/>
          <w:color w:val="000000"/>
          <w:sz w:val="24"/>
          <w:szCs w:val="24"/>
        </w:rPr>
        <w:footnoteReference w:id="16"/>
      </w:r>
      <w:r w:rsidR="007F230E">
        <w:rPr>
          <w:rFonts w:ascii="Arial" w:hAnsi="Arial" w:cs="Arial"/>
          <w:color w:val="000000"/>
          <w:sz w:val="24"/>
          <w:szCs w:val="24"/>
        </w:rPr>
        <w:t xml:space="preserve"> </w:t>
      </w:r>
      <w:r w:rsidR="00D03DD4">
        <w:rPr>
          <w:rFonts w:ascii="Arial" w:hAnsi="Arial" w:cs="Arial"/>
          <w:color w:val="000000"/>
          <w:sz w:val="24"/>
          <w:szCs w:val="24"/>
        </w:rPr>
        <w:t>Whether</w:t>
      </w:r>
      <w:r w:rsidR="003033DB">
        <w:rPr>
          <w:rFonts w:ascii="Arial" w:hAnsi="Arial" w:cs="Arial"/>
          <w:color w:val="000000"/>
          <w:sz w:val="24"/>
          <w:szCs w:val="24"/>
        </w:rPr>
        <w:t xml:space="preserve"> </w:t>
      </w:r>
      <w:r w:rsidR="00D03DD4">
        <w:rPr>
          <w:rFonts w:ascii="Arial" w:hAnsi="Arial" w:cs="Arial"/>
          <w:color w:val="000000"/>
          <w:sz w:val="24"/>
          <w:szCs w:val="24"/>
        </w:rPr>
        <w:t xml:space="preserve">such an inference was indeed </w:t>
      </w:r>
      <w:r w:rsidR="009157B0">
        <w:rPr>
          <w:rFonts w:ascii="Arial" w:hAnsi="Arial" w:cs="Arial"/>
          <w:color w:val="000000"/>
          <w:sz w:val="24"/>
          <w:szCs w:val="24"/>
        </w:rPr>
        <w:t xml:space="preserve">a necessary one </w:t>
      </w:r>
      <w:r w:rsidR="003033DB">
        <w:rPr>
          <w:rFonts w:ascii="Arial" w:hAnsi="Arial" w:cs="Arial"/>
          <w:color w:val="000000"/>
          <w:sz w:val="24"/>
          <w:szCs w:val="24"/>
        </w:rPr>
        <w:t xml:space="preserve">in the circumstances, </w:t>
      </w:r>
      <w:r w:rsidR="00D03DD4">
        <w:rPr>
          <w:rFonts w:ascii="Arial" w:hAnsi="Arial" w:cs="Arial"/>
          <w:color w:val="000000"/>
          <w:sz w:val="24"/>
          <w:szCs w:val="24"/>
        </w:rPr>
        <w:t xml:space="preserve">and </w:t>
      </w:r>
      <w:r w:rsidR="009157B0">
        <w:rPr>
          <w:rFonts w:ascii="Arial" w:hAnsi="Arial" w:cs="Arial"/>
          <w:color w:val="000000"/>
          <w:sz w:val="24"/>
          <w:szCs w:val="24"/>
        </w:rPr>
        <w:t>not merely a possible one</w:t>
      </w:r>
      <w:r w:rsidR="003033DB" w:rsidRPr="007535FC">
        <w:rPr>
          <w:rFonts w:ascii="Arial" w:hAnsi="Arial" w:cs="Arial"/>
          <w:color w:val="000000"/>
          <w:sz w:val="24"/>
          <w:szCs w:val="24"/>
        </w:rPr>
        <w:t xml:space="preserve">, </w:t>
      </w:r>
      <w:r w:rsidR="00E22470" w:rsidRPr="007535FC">
        <w:rPr>
          <w:rFonts w:ascii="Arial" w:hAnsi="Arial" w:cs="Arial"/>
          <w:color w:val="000000"/>
          <w:sz w:val="24"/>
          <w:szCs w:val="24"/>
        </w:rPr>
        <w:t>may require further examination</w:t>
      </w:r>
      <w:r w:rsidR="009157B0" w:rsidRPr="007535FC">
        <w:rPr>
          <w:rFonts w:ascii="Arial" w:hAnsi="Arial" w:cs="Arial"/>
          <w:color w:val="000000"/>
          <w:sz w:val="24"/>
          <w:szCs w:val="24"/>
        </w:rPr>
        <w:t>.</w:t>
      </w:r>
      <w:r w:rsidR="009157B0" w:rsidRPr="007535FC">
        <w:rPr>
          <w:rStyle w:val="FootnoteReference"/>
          <w:rFonts w:ascii="Arial" w:hAnsi="Arial" w:cs="Arial"/>
          <w:color w:val="000000"/>
          <w:sz w:val="24"/>
          <w:szCs w:val="24"/>
        </w:rPr>
        <w:footnoteReference w:id="17"/>
      </w:r>
    </w:p>
    <w:p w14:paraId="68AC7B79" w14:textId="77777777" w:rsidR="009157B0" w:rsidRDefault="009157B0" w:rsidP="00052EBE">
      <w:pPr>
        <w:spacing w:after="0" w:line="360" w:lineRule="auto"/>
        <w:jc w:val="both"/>
        <w:rPr>
          <w:rFonts w:ascii="Arial" w:hAnsi="Arial" w:cs="Arial"/>
          <w:color w:val="000000"/>
          <w:sz w:val="24"/>
          <w:szCs w:val="24"/>
        </w:rPr>
      </w:pPr>
    </w:p>
    <w:p w14:paraId="3B1473D7" w14:textId="7065B405" w:rsidR="00993955" w:rsidRDefault="00D27E8B" w:rsidP="008B19D7">
      <w:pPr>
        <w:spacing w:after="0" w:line="360" w:lineRule="auto"/>
        <w:jc w:val="both"/>
        <w:rPr>
          <w:rFonts w:ascii="Arial" w:hAnsi="Arial" w:cs="Arial"/>
          <w:color w:val="000000"/>
          <w:sz w:val="24"/>
          <w:szCs w:val="24"/>
        </w:rPr>
      </w:pPr>
      <w:r>
        <w:rPr>
          <w:rFonts w:ascii="Arial" w:hAnsi="Arial" w:cs="Arial"/>
          <w:iCs/>
          <w:color w:val="000000"/>
          <w:sz w:val="24"/>
          <w:szCs w:val="24"/>
        </w:rPr>
        <w:t>[15]</w:t>
      </w:r>
      <w:r>
        <w:rPr>
          <w:rFonts w:ascii="Arial" w:hAnsi="Arial" w:cs="Arial"/>
          <w:iCs/>
          <w:color w:val="000000"/>
          <w:sz w:val="24"/>
          <w:szCs w:val="24"/>
        </w:rPr>
        <w:tab/>
      </w:r>
      <w:r w:rsidR="002B60A6">
        <w:rPr>
          <w:rFonts w:ascii="Arial" w:hAnsi="Arial" w:cs="Arial"/>
          <w:iCs/>
          <w:color w:val="000000"/>
          <w:sz w:val="24"/>
          <w:szCs w:val="24"/>
        </w:rPr>
        <w:t xml:space="preserve">One can hardly quarrel with the </w:t>
      </w:r>
      <w:r w:rsidR="00815D3C">
        <w:rPr>
          <w:rFonts w:ascii="Arial" w:hAnsi="Arial" w:cs="Arial"/>
          <w:iCs/>
          <w:color w:val="000000"/>
          <w:sz w:val="24"/>
          <w:szCs w:val="24"/>
        </w:rPr>
        <w:t>observation</w:t>
      </w:r>
      <w:r w:rsidR="002B60A6">
        <w:rPr>
          <w:rFonts w:ascii="Arial" w:hAnsi="Arial" w:cs="Arial"/>
          <w:iCs/>
          <w:color w:val="000000"/>
          <w:sz w:val="24"/>
          <w:szCs w:val="24"/>
        </w:rPr>
        <w:t xml:space="preserve"> in </w:t>
      </w:r>
      <w:r w:rsidR="002B60A6">
        <w:rPr>
          <w:rFonts w:ascii="Arial" w:hAnsi="Arial" w:cs="Arial"/>
          <w:i/>
          <w:color w:val="000000"/>
          <w:sz w:val="24"/>
          <w:szCs w:val="24"/>
        </w:rPr>
        <w:t xml:space="preserve">Gottschalk </w:t>
      </w:r>
      <w:r w:rsidR="002B60A6">
        <w:rPr>
          <w:rFonts w:ascii="Arial" w:hAnsi="Arial" w:cs="Arial"/>
          <w:color w:val="000000"/>
          <w:sz w:val="24"/>
          <w:szCs w:val="24"/>
        </w:rPr>
        <w:t xml:space="preserve">that ‘the dismissal of the application . . . </w:t>
      </w:r>
      <w:r w:rsidR="00815D3C">
        <w:rPr>
          <w:rFonts w:ascii="Arial" w:hAnsi="Arial" w:cs="Arial"/>
          <w:color w:val="000000"/>
          <w:sz w:val="24"/>
          <w:szCs w:val="24"/>
        </w:rPr>
        <w:t>[i</w:t>
      </w:r>
      <w:r w:rsidR="002B60A6">
        <w:rPr>
          <w:rFonts w:ascii="Arial" w:hAnsi="Arial" w:cs="Arial"/>
          <w:color w:val="000000"/>
          <w:sz w:val="24"/>
          <w:szCs w:val="24"/>
        </w:rPr>
        <w:t>s</w:t>
      </w:r>
      <w:r w:rsidR="00815D3C">
        <w:rPr>
          <w:rFonts w:ascii="Arial" w:hAnsi="Arial" w:cs="Arial"/>
          <w:color w:val="000000"/>
          <w:sz w:val="24"/>
          <w:szCs w:val="24"/>
        </w:rPr>
        <w:t>]</w:t>
      </w:r>
      <w:r w:rsidR="002B60A6">
        <w:rPr>
          <w:rFonts w:ascii="Arial" w:hAnsi="Arial" w:cs="Arial"/>
          <w:color w:val="000000"/>
          <w:sz w:val="24"/>
          <w:szCs w:val="24"/>
        </w:rPr>
        <w:t xml:space="preserve"> a decision given upon relief claimed in an application on notice of motion’. </w:t>
      </w:r>
      <w:r w:rsidR="00815D3C">
        <w:rPr>
          <w:rFonts w:ascii="Arial" w:hAnsi="Arial" w:cs="Arial"/>
          <w:color w:val="000000"/>
          <w:sz w:val="24"/>
          <w:szCs w:val="24"/>
        </w:rPr>
        <w:t>However</w:t>
      </w:r>
      <w:r w:rsidR="002B60A6">
        <w:rPr>
          <w:rFonts w:ascii="Arial" w:hAnsi="Arial" w:cs="Arial"/>
          <w:color w:val="000000"/>
          <w:sz w:val="24"/>
          <w:szCs w:val="24"/>
        </w:rPr>
        <w:t xml:space="preserve">, </w:t>
      </w:r>
      <w:r w:rsidR="00815D3C">
        <w:rPr>
          <w:rFonts w:ascii="Arial" w:hAnsi="Arial" w:cs="Arial"/>
          <w:color w:val="000000"/>
          <w:sz w:val="24"/>
          <w:szCs w:val="24"/>
        </w:rPr>
        <w:t xml:space="preserve">it </w:t>
      </w:r>
      <w:r w:rsidR="002B60A6">
        <w:rPr>
          <w:rFonts w:ascii="Arial" w:hAnsi="Arial" w:cs="Arial"/>
          <w:color w:val="000000"/>
          <w:sz w:val="24"/>
          <w:szCs w:val="24"/>
        </w:rPr>
        <w:t xml:space="preserve">does not </w:t>
      </w:r>
      <w:r w:rsidR="00815D3C">
        <w:rPr>
          <w:rFonts w:ascii="Arial" w:hAnsi="Arial" w:cs="Arial"/>
          <w:color w:val="000000"/>
          <w:sz w:val="24"/>
          <w:szCs w:val="24"/>
        </w:rPr>
        <w:t>necessarily</w:t>
      </w:r>
      <w:r w:rsidR="002B60A6">
        <w:rPr>
          <w:rFonts w:ascii="Arial" w:hAnsi="Arial" w:cs="Arial"/>
          <w:color w:val="000000"/>
          <w:sz w:val="24"/>
          <w:szCs w:val="24"/>
        </w:rPr>
        <w:t xml:space="preserve"> </w:t>
      </w:r>
      <w:r w:rsidR="00815D3C">
        <w:rPr>
          <w:rFonts w:ascii="Arial" w:hAnsi="Arial" w:cs="Arial"/>
          <w:color w:val="000000"/>
          <w:sz w:val="24"/>
          <w:szCs w:val="24"/>
        </w:rPr>
        <w:t xml:space="preserve">follow </w:t>
      </w:r>
      <w:r w:rsidR="00822CAF">
        <w:rPr>
          <w:rFonts w:ascii="Arial" w:hAnsi="Arial" w:cs="Arial"/>
          <w:color w:val="000000"/>
          <w:sz w:val="24"/>
          <w:szCs w:val="24"/>
        </w:rPr>
        <w:t xml:space="preserve">therefrom </w:t>
      </w:r>
      <w:r w:rsidR="00815D3C">
        <w:rPr>
          <w:rFonts w:ascii="Arial" w:hAnsi="Arial" w:cs="Arial"/>
          <w:color w:val="000000"/>
          <w:sz w:val="24"/>
          <w:szCs w:val="24"/>
        </w:rPr>
        <w:t>that ‘there can be little doubt that it is an order within the meaning thereof in s 150(5)</w:t>
      </w:r>
      <w:r w:rsidR="00E06194">
        <w:rPr>
          <w:rFonts w:ascii="Arial" w:hAnsi="Arial" w:cs="Arial"/>
          <w:color w:val="000000"/>
          <w:sz w:val="24"/>
          <w:szCs w:val="24"/>
        </w:rPr>
        <w:t>’</w:t>
      </w:r>
      <w:r w:rsidR="00815D3C">
        <w:rPr>
          <w:rFonts w:ascii="Arial" w:hAnsi="Arial" w:cs="Arial"/>
          <w:color w:val="000000"/>
          <w:sz w:val="24"/>
          <w:szCs w:val="24"/>
        </w:rPr>
        <w:t>.</w:t>
      </w:r>
      <w:r w:rsidR="00993955">
        <w:rPr>
          <w:rFonts w:ascii="Arial" w:hAnsi="Arial" w:cs="Arial"/>
          <w:color w:val="000000"/>
          <w:sz w:val="24"/>
          <w:szCs w:val="24"/>
        </w:rPr>
        <w:t xml:space="preserve"> </w:t>
      </w:r>
      <w:r w:rsidR="00822CAF">
        <w:rPr>
          <w:rFonts w:ascii="Arial" w:hAnsi="Arial" w:cs="Arial"/>
          <w:color w:val="000000"/>
          <w:sz w:val="24"/>
          <w:szCs w:val="24"/>
        </w:rPr>
        <w:t>I</w:t>
      </w:r>
      <w:r w:rsidR="00EE59EB">
        <w:rPr>
          <w:rFonts w:ascii="Arial" w:hAnsi="Arial" w:cs="Arial"/>
          <w:color w:val="000000"/>
          <w:sz w:val="24"/>
          <w:szCs w:val="24"/>
        </w:rPr>
        <w:t>t is important</w:t>
      </w:r>
      <w:r w:rsidR="00A90075">
        <w:rPr>
          <w:rFonts w:ascii="Arial" w:hAnsi="Arial" w:cs="Arial"/>
          <w:color w:val="000000"/>
          <w:sz w:val="24"/>
          <w:szCs w:val="24"/>
        </w:rPr>
        <w:t xml:space="preserve"> to di</w:t>
      </w:r>
      <w:r w:rsidR="00822CAF">
        <w:rPr>
          <w:rFonts w:ascii="Arial" w:hAnsi="Arial" w:cs="Arial"/>
          <w:color w:val="000000"/>
          <w:sz w:val="24"/>
          <w:szCs w:val="24"/>
        </w:rPr>
        <w:t>stinguish</w:t>
      </w:r>
      <w:r w:rsidR="00EE59EB">
        <w:rPr>
          <w:rFonts w:ascii="Arial" w:hAnsi="Arial" w:cs="Arial"/>
          <w:color w:val="000000"/>
          <w:sz w:val="24"/>
          <w:szCs w:val="24"/>
        </w:rPr>
        <w:t xml:space="preserve"> the nature of relief sought (in other words the nature of the application) </w:t>
      </w:r>
      <w:r w:rsidR="00A90075">
        <w:rPr>
          <w:rFonts w:ascii="Arial" w:hAnsi="Arial" w:cs="Arial"/>
          <w:color w:val="000000"/>
          <w:sz w:val="24"/>
          <w:szCs w:val="24"/>
        </w:rPr>
        <w:t xml:space="preserve">from </w:t>
      </w:r>
      <w:r w:rsidR="003A61AD">
        <w:rPr>
          <w:rFonts w:ascii="Arial" w:hAnsi="Arial" w:cs="Arial"/>
          <w:color w:val="000000"/>
          <w:sz w:val="24"/>
          <w:szCs w:val="24"/>
        </w:rPr>
        <w:t>the relief</w:t>
      </w:r>
      <w:r w:rsidR="002D6B1F">
        <w:rPr>
          <w:rFonts w:ascii="Arial" w:hAnsi="Arial" w:cs="Arial"/>
          <w:color w:val="000000"/>
          <w:sz w:val="24"/>
          <w:szCs w:val="24"/>
        </w:rPr>
        <w:t xml:space="preserve"> </w:t>
      </w:r>
      <w:r w:rsidR="00A90075">
        <w:rPr>
          <w:rFonts w:ascii="Arial" w:hAnsi="Arial" w:cs="Arial"/>
          <w:color w:val="000000"/>
          <w:sz w:val="24"/>
          <w:szCs w:val="24"/>
        </w:rPr>
        <w:t>actually granted.</w:t>
      </w:r>
      <w:r w:rsidR="00EE59EB">
        <w:rPr>
          <w:rFonts w:ascii="Arial" w:hAnsi="Arial" w:cs="Arial"/>
          <w:color w:val="000000"/>
          <w:sz w:val="24"/>
          <w:szCs w:val="24"/>
        </w:rPr>
        <w:t xml:space="preserve"> </w:t>
      </w:r>
      <w:r w:rsidR="000E0E18">
        <w:rPr>
          <w:rFonts w:ascii="Arial" w:hAnsi="Arial" w:cs="Arial"/>
          <w:color w:val="000000"/>
          <w:sz w:val="24"/>
          <w:szCs w:val="24"/>
        </w:rPr>
        <w:t>An</w:t>
      </w:r>
      <w:r w:rsidR="00A90075">
        <w:rPr>
          <w:rFonts w:ascii="Arial" w:hAnsi="Arial" w:cs="Arial"/>
          <w:color w:val="000000"/>
          <w:sz w:val="24"/>
          <w:szCs w:val="24"/>
        </w:rPr>
        <w:t xml:space="preserve"> applica</w:t>
      </w:r>
      <w:r w:rsidR="00EE59EB">
        <w:rPr>
          <w:rFonts w:ascii="Arial" w:hAnsi="Arial" w:cs="Arial"/>
          <w:color w:val="000000"/>
          <w:sz w:val="24"/>
          <w:szCs w:val="24"/>
        </w:rPr>
        <w:t>nt</w:t>
      </w:r>
      <w:r w:rsidR="00A90075">
        <w:rPr>
          <w:rFonts w:ascii="Arial" w:hAnsi="Arial" w:cs="Arial"/>
          <w:color w:val="000000"/>
          <w:sz w:val="24"/>
          <w:szCs w:val="24"/>
        </w:rPr>
        <w:t xml:space="preserve"> </w:t>
      </w:r>
      <w:r w:rsidR="00EE59EB">
        <w:rPr>
          <w:rFonts w:ascii="Arial" w:hAnsi="Arial" w:cs="Arial"/>
          <w:color w:val="000000"/>
          <w:sz w:val="24"/>
          <w:szCs w:val="24"/>
        </w:rPr>
        <w:t xml:space="preserve">undoubtedly </w:t>
      </w:r>
      <w:r w:rsidR="00822CAF">
        <w:rPr>
          <w:rFonts w:ascii="Arial" w:hAnsi="Arial" w:cs="Arial"/>
          <w:color w:val="000000"/>
          <w:sz w:val="24"/>
          <w:szCs w:val="24"/>
        </w:rPr>
        <w:t>sets out</w:t>
      </w:r>
      <w:r w:rsidR="00A90075">
        <w:rPr>
          <w:rFonts w:ascii="Arial" w:hAnsi="Arial" w:cs="Arial"/>
          <w:color w:val="000000"/>
          <w:sz w:val="24"/>
          <w:szCs w:val="24"/>
        </w:rPr>
        <w:t xml:space="preserve"> </w:t>
      </w:r>
      <w:r w:rsidR="00EE59EB">
        <w:rPr>
          <w:rFonts w:ascii="Arial" w:hAnsi="Arial" w:cs="Arial"/>
          <w:color w:val="000000"/>
          <w:sz w:val="24"/>
          <w:szCs w:val="24"/>
        </w:rPr>
        <w:t xml:space="preserve">to make out </w:t>
      </w:r>
      <w:r w:rsidR="000E0E18">
        <w:rPr>
          <w:rFonts w:ascii="Arial" w:hAnsi="Arial" w:cs="Arial"/>
          <w:color w:val="000000"/>
          <w:sz w:val="24"/>
          <w:szCs w:val="24"/>
        </w:rPr>
        <w:t xml:space="preserve">a </w:t>
      </w:r>
      <w:r w:rsidR="00EE59EB">
        <w:rPr>
          <w:rFonts w:ascii="Arial" w:hAnsi="Arial" w:cs="Arial"/>
          <w:color w:val="000000"/>
          <w:sz w:val="24"/>
          <w:szCs w:val="24"/>
        </w:rPr>
        <w:t xml:space="preserve">case </w:t>
      </w:r>
      <w:r w:rsidR="00822CAF">
        <w:rPr>
          <w:rFonts w:ascii="Arial" w:hAnsi="Arial" w:cs="Arial"/>
          <w:color w:val="000000"/>
          <w:sz w:val="24"/>
          <w:szCs w:val="24"/>
        </w:rPr>
        <w:t xml:space="preserve">for relief </w:t>
      </w:r>
      <w:r w:rsidR="00A90075">
        <w:rPr>
          <w:rFonts w:ascii="Arial" w:hAnsi="Arial" w:cs="Arial"/>
          <w:color w:val="000000"/>
          <w:sz w:val="24"/>
          <w:szCs w:val="24"/>
        </w:rPr>
        <w:t>in terms of the Act</w:t>
      </w:r>
      <w:r w:rsidR="00822CAF">
        <w:rPr>
          <w:rFonts w:ascii="Arial" w:hAnsi="Arial" w:cs="Arial"/>
          <w:color w:val="000000"/>
          <w:sz w:val="24"/>
          <w:szCs w:val="24"/>
        </w:rPr>
        <w:t>. If successful, the Act would thereafter find application. If unsuccessful, it plainly would not.</w:t>
      </w:r>
      <w:r w:rsidR="00A90075">
        <w:rPr>
          <w:rFonts w:ascii="Arial" w:hAnsi="Arial" w:cs="Arial"/>
          <w:color w:val="000000"/>
          <w:sz w:val="24"/>
          <w:szCs w:val="24"/>
        </w:rPr>
        <w:t xml:space="preserve"> </w:t>
      </w:r>
      <w:r w:rsidR="00822CAF">
        <w:rPr>
          <w:rFonts w:ascii="Arial" w:hAnsi="Arial" w:cs="Arial"/>
          <w:color w:val="000000"/>
          <w:sz w:val="24"/>
          <w:szCs w:val="24"/>
        </w:rPr>
        <w:t>I</w:t>
      </w:r>
      <w:r w:rsidR="006B320E">
        <w:rPr>
          <w:rFonts w:ascii="Arial" w:hAnsi="Arial" w:cs="Arial"/>
          <w:color w:val="000000"/>
          <w:sz w:val="24"/>
          <w:szCs w:val="24"/>
        </w:rPr>
        <w:t>n</w:t>
      </w:r>
      <w:r w:rsidR="00F23217">
        <w:rPr>
          <w:rFonts w:ascii="Arial" w:hAnsi="Arial" w:cs="Arial"/>
          <w:color w:val="000000"/>
          <w:sz w:val="24"/>
          <w:szCs w:val="24"/>
        </w:rPr>
        <w:t xml:space="preserve"> dismiss</w:t>
      </w:r>
      <w:r w:rsidR="006B320E">
        <w:rPr>
          <w:rFonts w:ascii="Arial" w:hAnsi="Arial" w:cs="Arial"/>
          <w:color w:val="000000"/>
          <w:sz w:val="24"/>
          <w:szCs w:val="24"/>
        </w:rPr>
        <w:t>ing the</w:t>
      </w:r>
      <w:r w:rsidR="00F23217">
        <w:rPr>
          <w:rFonts w:ascii="Arial" w:hAnsi="Arial" w:cs="Arial"/>
          <w:color w:val="000000"/>
          <w:sz w:val="24"/>
          <w:szCs w:val="24"/>
        </w:rPr>
        <w:t xml:space="preserve"> application</w:t>
      </w:r>
      <w:r w:rsidR="000A2C86">
        <w:rPr>
          <w:rFonts w:ascii="Arial" w:hAnsi="Arial" w:cs="Arial"/>
          <w:color w:val="000000"/>
          <w:sz w:val="24"/>
          <w:szCs w:val="24"/>
        </w:rPr>
        <w:t>,</w:t>
      </w:r>
      <w:r w:rsidR="00F23217">
        <w:rPr>
          <w:rFonts w:ascii="Arial" w:hAnsi="Arial" w:cs="Arial"/>
          <w:color w:val="000000"/>
          <w:sz w:val="24"/>
          <w:szCs w:val="24"/>
        </w:rPr>
        <w:t xml:space="preserve"> </w:t>
      </w:r>
      <w:r w:rsidR="006B320E">
        <w:rPr>
          <w:rFonts w:ascii="Arial" w:hAnsi="Arial" w:cs="Arial"/>
          <w:color w:val="000000"/>
          <w:sz w:val="24"/>
          <w:szCs w:val="24"/>
        </w:rPr>
        <w:t xml:space="preserve">a court </w:t>
      </w:r>
      <w:r w:rsidR="00F23217">
        <w:rPr>
          <w:rFonts w:ascii="Arial" w:hAnsi="Arial" w:cs="Arial"/>
          <w:color w:val="000000"/>
          <w:sz w:val="24"/>
          <w:szCs w:val="24"/>
        </w:rPr>
        <w:t>surely signifies</w:t>
      </w:r>
      <w:r w:rsidR="000A2C86">
        <w:rPr>
          <w:rFonts w:ascii="Arial" w:hAnsi="Arial" w:cs="Arial"/>
          <w:color w:val="000000"/>
          <w:sz w:val="24"/>
          <w:szCs w:val="24"/>
        </w:rPr>
        <w:t>, not just that the applicant is not entitled to any relief in terms of the Act, but also</w:t>
      </w:r>
      <w:r w:rsidR="00F23217">
        <w:rPr>
          <w:rFonts w:ascii="Arial" w:hAnsi="Arial" w:cs="Arial"/>
          <w:color w:val="000000"/>
          <w:sz w:val="24"/>
          <w:szCs w:val="24"/>
        </w:rPr>
        <w:t xml:space="preserve"> that </w:t>
      </w:r>
      <w:r w:rsidR="000A2C86">
        <w:rPr>
          <w:rFonts w:ascii="Arial" w:hAnsi="Arial" w:cs="Arial"/>
          <w:color w:val="000000"/>
          <w:sz w:val="24"/>
          <w:szCs w:val="24"/>
        </w:rPr>
        <w:t xml:space="preserve">the </w:t>
      </w:r>
      <w:r w:rsidR="006B320E">
        <w:rPr>
          <w:rFonts w:ascii="Arial" w:hAnsi="Arial" w:cs="Arial"/>
          <w:color w:val="000000"/>
          <w:sz w:val="24"/>
          <w:szCs w:val="24"/>
        </w:rPr>
        <w:t xml:space="preserve">attempt to invoke </w:t>
      </w:r>
      <w:r w:rsidR="000A2C86">
        <w:rPr>
          <w:rFonts w:ascii="Arial" w:hAnsi="Arial" w:cs="Arial"/>
          <w:color w:val="000000"/>
          <w:sz w:val="24"/>
          <w:szCs w:val="24"/>
        </w:rPr>
        <w:t xml:space="preserve">the </w:t>
      </w:r>
      <w:r w:rsidR="006B320E">
        <w:rPr>
          <w:rFonts w:ascii="Arial" w:hAnsi="Arial" w:cs="Arial"/>
          <w:color w:val="000000"/>
          <w:sz w:val="24"/>
          <w:szCs w:val="24"/>
        </w:rPr>
        <w:t>Act has</w:t>
      </w:r>
      <w:r w:rsidR="00F23217">
        <w:rPr>
          <w:rFonts w:ascii="Arial" w:hAnsi="Arial" w:cs="Arial"/>
          <w:color w:val="000000"/>
          <w:sz w:val="24"/>
          <w:szCs w:val="24"/>
        </w:rPr>
        <w:t xml:space="preserve"> failed</w:t>
      </w:r>
      <w:r w:rsidR="006B320E">
        <w:rPr>
          <w:rFonts w:ascii="Arial" w:hAnsi="Arial" w:cs="Arial"/>
          <w:color w:val="000000"/>
          <w:sz w:val="24"/>
          <w:szCs w:val="24"/>
        </w:rPr>
        <w:t>.</w:t>
      </w:r>
      <w:r w:rsidR="00F23217">
        <w:rPr>
          <w:rFonts w:ascii="Arial" w:hAnsi="Arial" w:cs="Arial"/>
          <w:color w:val="000000"/>
          <w:sz w:val="24"/>
          <w:szCs w:val="24"/>
        </w:rPr>
        <w:t xml:space="preserve"> </w:t>
      </w:r>
      <w:r w:rsidR="007A3594">
        <w:rPr>
          <w:rFonts w:ascii="Arial" w:hAnsi="Arial" w:cs="Arial"/>
          <w:color w:val="000000"/>
          <w:sz w:val="24"/>
          <w:szCs w:val="24"/>
        </w:rPr>
        <w:t>Consequently,</w:t>
      </w:r>
      <w:r w:rsidR="00F23217">
        <w:rPr>
          <w:rFonts w:ascii="Arial" w:hAnsi="Arial" w:cs="Arial"/>
          <w:color w:val="000000"/>
          <w:sz w:val="24"/>
          <w:szCs w:val="24"/>
        </w:rPr>
        <w:t xml:space="preserve"> in dismissing </w:t>
      </w:r>
      <w:r w:rsidR="00F2176B">
        <w:rPr>
          <w:rFonts w:ascii="Arial" w:hAnsi="Arial" w:cs="Arial"/>
          <w:color w:val="000000"/>
          <w:sz w:val="24"/>
          <w:szCs w:val="24"/>
        </w:rPr>
        <w:t xml:space="preserve">the application a court is effectively telling an applicant that </w:t>
      </w:r>
      <w:r w:rsidR="00822CAF">
        <w:rPr>
          <w:rFonts w:ascii="Arial" w:hAnsi="Arial" w:cs="Arial"/>
          <w:color w:val="000000"/>
          <w:sz w:val="24"/>
          <w:szCs w:val="24"/>
        </w:rPr>
        <w:t>its</w:t>
      </w:r>
      <w:r w:rsidR="006B320E">
        <w:rPr>
          <w:rFonts w:ascii="Arial" w:hAnsi="Arial" w:cs="Arial"/>
          <w:color w:val="000000"/>
          <w:sz w:val="24"/>
          <w:szCs w:val="24"/>
        </w:rPr>
        <w:t xml:space="preserve"> attempt </w:t>
      </w:r>
      <w:r w:rsidR="007A3594">
        <w:rPr>
          <w:rFonts w:ascii="Arial" w:hAnsi="Arial" w:cs="Arial"/>
          <w:color w:val="000000"/>
          <w:sz w:val="24"/>
          <w:szCs w:val="24"/>
        </w:rPr>
        <w:t xml:space="preserve">to </w:t>
      </w:r>
      <w:r w:rsidR="006B320E">
        <w:rPr>
          <w:rFonts w:ascii="Arial" w:hAnsi="Arial" w:cs="Arial"/>
          <w:color w:val="000000"/>
          <w:sz w:val="24"/>
          <w:szCs w:val="24"/>
        </w:rPr>
        <w:t xml:space="preserve">bring </w:t>
      </w:r>
      <w:r w:rsidR="007A3594">
        <w:rPr>
          <w:rFonts w:ascii="Arial" w:hAnsi="Arial" w:cs="Arial"/>
          <w:color w:val="000000"/>
          <w:sz w:val="24"/>
          <w:szCs w:val="24"/>
        </w:rPr>
        <w:t>themselves</w:t>
      </w:r>
      <w:r w:rsidR="006B320E">
        <w:rPr>
          <w:rFonts w:ascii="Arial" w:hAnsi="Arial" w:cs="Arial"/>
          <w:color w:val="000000"/>
          <w:sz w:val="24"/>
          <w:szCs w:val="24"/>
        </w:rPr>
        <w:t xml:space="preserve"> within the purview of the Act </w:t>
      </w:r>
      <w:r w:rsidR="00F2176B">
        <w:rPr>
          <w:rFonts w:ascii="Arial" w:hAnsi="Arial" w:cs="Arial"/>
          <w:color w:val="000000"/>
          <w:sz w:val="24"/>
          <w:szCs w:val="24"/>
        </w:rPr>
        <w:t xml:space="preserve">has </w:t>
      </w:r>
      <w:r w:rsidR="000A2C86">
        <w:rPr>
          <w:rFonts w:ascii="Arial" w:hAnsi="Arial" w:cs="Arial"/>
          <w:color w:val="000000"/>
          <w:sz w:val="24"/>
          <w:szCs w:val="24"/>
        </w:rPr>
        <w:t xml:space="preserve">not </w:t>
      </w:r>
      <w:r w:rsidR="00822CAF">
        <w:rPr>
          <w:rFonts w:ascii="Arial" w:hAnsi="Arial" w:cs="Arial"/>
          <w:color w:val="000000"/>
          <w:sz w:val="24"/>
          <w:szCs w:val="24"/>
        </w:rPr>
        <w:t>been successful</w:t>
      </w:r>
      <w:r w:rsidR="00F2176B">
        <w:rPr>
          <w:rFonts w:ascii="Arial" w:hAnsi="Arial" w:cs="Arial"/>
          <w:color w:val="000000"/>
          <w:sz w:val="24"/>
          <w:szCs w:val="24"/>
        </w:rPr>
        <w:t xml:space="preserve">. </w:t>
      </w:r>
      <w:r w:rsidR="00E94073">
        <w:rPr>
          <w:rFonts w:ascii="Arial" w:hAnsi="Arial" w:cs="Arial"/>
          <w:color w:val="000000"/>
          <w:sz w:val="24"/>
          <w:szCs w:val="24"/>
        </w:rPr>
        <w:t xml:space="preserve">And, what is more, </w:t>
      </w:r>
      <w:r w:rsidR="007A3594">
        <w:rPr>
          <w:rFonts w:ascii="Arial" w:hAnsi="Arial" w:cs="Arial"/>
          <w:color w:val="000000"/>
          <w:sz w:val="24"/>
          <w:szCs w:val="24"/>
        </w:rPr>
        <w:t>on account of the applicant’s failure to make out a proper case in terms of the Act, its</w:t>
      </w:r>
      <w:r w:rsidR="00E94073">
        <w:rPr>
          <w:rFonts w:ascii="Arial" w:hAnsi="Arial" w:cs="Arial"/>
          <w:color w:val="000000"/>
          <w:sz w:val="24"/>
          <w:szCs w:val="24"/>
        </w:rPr>
        <w:t xml:space="preserve"> provisions </w:t>
      </w:r>
      <w:r w:rsidR="007A3594">
        <w:rPr>
          <w:rFonts w:ascii="Arial" w:hAnsi="Arial" w:cs="Arial"/>
          <w:color w:val="000000"/>
          <w:sz w:val="24"/>
          <w:szCs w:val="24"/>
        </w:rPr>
        <w:t xml:space="preserve">will </w:t>
      </w:r>
      <w:r w:rsidR="00E94073">
        <w:rPr>
          <w:rFonts w:ascii="Arial" w:hAnsi="Arial" w:cs="Arial"/>
          <w:color w:val="000000"/>
          <w:sz w:val="24"/>
          <w:szCs w:val="24"/>
        </w:rPr>
        <w:t>no longe</w:t>
      </w:r>
      <w:r w:rsidR="007A3594">
        <w:rPr>
          <w:rFonts w:ascii="Arial" w:hAnsi="Arial" w:cs="Arial"/>
          <w:color w:val="000000"/>
          <w:sz w:val="24"/>
          <w:szCs w:val="24"/>
        </w:rPr>
        <w:t>r</w:t>
      </w:r>
      <w:r w:rsidR="00E94073">
        <w:rPr>
          <w:rFonts w:ascii="Arial" w:hAnsi="Arial" w:cs="Arial"/>
          <w:color w:val="000000"/>
          <w:sz w:val="24"/>
          <w:szCs w:val="24"/>
        </w:rPr>
        <w:t xml:space="preserve"> </w:t>
      </w:r>
      <w:r w:rsidR="00822CAF">
        <w:rPr>
          <w:rFonts w:ascii="Arial" w:hAnsi="Arial" w:cs="Arial"/>
          <w:color w:val="000000"/>
          <w:sz w:val="24"/>
          <w:szCs w:val="24"/>
        </w:rPr>
        <w:t xml:space="preserve">apply to or </w:t>
      </w:r>
      <w:r w:rsidR="00E94073">
        <w:rPr>
          <w:rFonts w:ascii="Arial" w:hAnsi="Arial" w:cs="Arial"/>
          <w:color w:val="000000"/>
          <w:sz w:val="24"/>
          <w:szCs w:val="24"/>
        </w:rPr>
        <w:t xml:space="preserve">regulate the conduct of </w:t>
      </w:r>
      <w:r w:rsidR="00822CAF">
        <w:rPr>
          <w:rFonts w:ascii="Arial" w:hAnsi="Arial" w:cs="Arial"/>
          <w:color w:val="000000"/>
          <w:sz w:val="24"/>
          <w:szCs w:val="24"/>
        </w:rPr>
        <w:t>any further</w:t>
      </w:r>
      <w:r w:rsidR="00E94073">
        <w:rPr>
          <w:rFonts w:ascii="Arial" w:hAnsi="Arial" w:cs="Arial"/>
          <w:color w:val="000000"/>
          <w:sz w:val="24"/>
          <w:szCs w:val="24"/>
        </w:rPr>
        <w:t xml:space="preserve"> proceedings</w:t>
      </w:r>
      <w:r w:rsidR="00822CAF">
        <w:rPr>
          <w:rFonts w:ascii="Arial" w:hAnsi="Arial" w:cs="Arial"/>
          <w:color w:val="000000"/>
          <w:sz w:val="24"/>
          <w:szCs w:val="24"/>
        </w:rPr>
        <w:t>, including any appeal</w:t>
      </w:r>
      <w:r w:rsidR="00E94073">
        <w:rPr>
          <w:rFonts w:ascii="Arial" w:hAnsi="Arial" w:cs="Arial"/>
          <w:color w:val="000000"/>
          <w:sz w:val="24"/>
          <w:szCs w:val="24"/>
        </w:rPr>
        <w:t>.</w:t>
      </w:r>
    </w:p>
    <w:p w14:paraId="71FD8540" w14:textId="77777777" w:rsidR="00993955" w:rsidRDefault="00993955" w:rsidP="008B19D7">
      <w:pPr>
        <w:spacing w:after="0" w:line="360" w:lineRule="auto"/>
        <w:jc w:val="both"/>
        <w:rPr>
          <w:rFonts w:ascii="Arial" w:hAnsi="Arial" w:cs="Arial"/>
          <w:color w:val="000000"/>
          <w:sz w:val="24"/>
          <w:szCs w:val="24"/>
        </w:rPr>
      </w:pPr>
    </w:p>
    <w:p w14:paraId="7778C031" w14:textId="289407DF" w:rsidR="009B523B" w:rsidRDefault="000A2C86" w:rsidP="0071717D">
      <w:pPr>
        <w:spacing w:after="0" w:line="36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r>
      <w:r w:rsidR="00D27E8B" w:rsidRPr="00993955">
        <w:rPr>
          <w:rFonts w:ascii="Arial" w:hAnsi="Arial" w:cs="Arial"/>
          <w:color w:val="000000"/>
          <w:sz w:val="24"/>
          <w:szCs w:val="24"/>
        </w:rPr>
        <w:t xml:space="preserve">There </w:t>
      </w:r>
      <w:r w:rsidR="009B523B">
        <w:rPr>
          <w:rFonts w:ascii="Arial" w:hAnsi="Arial" w:cs="Arial"/>
          <w:color w:val="000000"/>
          <w:sz w:val="24"/>
          <w:szCs w:val="24"/>
        </w:rPr>
        <w:t>appear to be</w:t>
      </w:r>
      <w:r w:rsidR="00D27E8B" w:rsidRPr="00993955">
        <w:rPr>
          <w:rFonts w:ascii="Arial" w:hAnsi="Arial" w:cs="Arial"/>
          <w:color w:val="000000"/>
          <w:sz w:val="24"/>
          <w:szCs w:val="24"/>
        </w:rPr>
        <w:t xml:space="preserve"> several </w:t>
      </w:r>
      <w:r w:rsidR="009B523B">
        <w:rPr>
          <w:rFonts w:ascii="Arial" w:hAnsi="Arial" w:cs="Arial"/>
          <w:color w:val="000000"/>
          <w:sz w:val="24"/>
          <w:szCs w:val="24"/>
        </w:rPr>
        <w:t>additional</w:t>
      </w:r>
      <w:r>
        <w:rPr>
          <w:rFonts w:ascii="Arial" w:hAnsi="Arial" w:cs="Arial"/>
          <w:color w:val="000000"/>
          <w:sz w:val="24"/>
          <w:szCs w:val="24"/>
        </w:rPr>
        <w:t xml:space="preserve"> </w:t>
      </w:r>
      <w:r w:rsidR="009B523B">
        <w:rPr>
          <w:rFonts w:ascii="Arial" w:hAnsi="Arial" w:cs="Arial"/>
          <w:color w:val="000000"/>
          <w:sz w:val="24"/>
          <w:szCs w:val="24"/>
        </w:rPr>
        <w:t xml:space="preserve">considerations </w:t>
      </w:r>
      <w:r>
        <w:rPr>
          <w:rFonts w:ascii="Arial" w:hAnsi="Arial" w:cs="Arial"/>
          <w:color w:val="000000"/>
          <w:sz w:val="24"/>
          <w:szCs w:val="24"/>
        </w:rPr>
        <w:t xml:space="preserve">that </w:t>
      </w:r>
      <w:r w:rsidR="009B523B">
        <w:rPr>
          <w:rFonts w:ascii="Arial" w:hAnsi="Arial" w:cs="Arial"/>
          <w:color w:val="000000"/>
          <w:sz w:val="24"/>
          <w:szCs w:val="24"/>
        </w:rPr>
        <w:t xml:space="preserve">detract from the tenability of the conclusion reached in </w:t>
      </w:r>
      <w:r w:rsidR="009B523B">
        <w:rPr>
          <w:rFonts w:ascii="Arial" w:hAnsi="Arial" w:cs="Arial"/>
          <w:i/>
          <w:iCs/>
          <w:color w:val="000000"/>
          <w:sz w:val="24"/>
          <w:szCs w:val="24"/>
        </w:rPr>
        <w:t>Bhamjee</w:t>
      </w:r>
      <w:r w:rsidR="009B523B">
        <w:rPr>
          <w:rFonts w:ascii="Arial" w:hAnsi="Arial" w:cs="Arial"/>
          <w:color w:val="000000"/>
          <w:sz w:val="24"/>
          <w:szCs w:val="24"/>
        </w:rPr>
        <w:t xml:space="preserve"> and the cases that followed it</w:t>
      </w:r>
      <w:r w:rsidR="00D27E8B" w:rsidRPr="00993955">
        <w:rPr>
          <w:rFonts w:ascii="Arial" w:hAnsi="Arial" w:cs="Arial"/>
          <w:color w:val="000000"/>
          <w:sz w:val="24"/>
          <w:szCs w:val="24"/>
        </w:rPr>
        <w:t>. First</w:t>
      </w:r>
      <w:r w:rsidR="00DE249E">
        <w:rPr>
          <w:rFonts w:ascii="Arial" w:hAnsi="Arial" w:cs="Arial"/>
          <w:color w:val="000000"/>
          <w:sz w:val="24"/>
          <w:szCs w:val="24"/>
        </w:rPr>
        <w:t xml:space="preserve">, </w:t>
      </w:r>
      <w:r w:rsidR="00D16E3F">
        <w:rPr>
          <w:rFonts w:ascii="Arial" w:hAnsi="Arial" w:cs="Arial"/>
          <w:color w:val="000000"/>
          <w:sz w:val="24"/>
          <w:szCs w:val="24"/>
        </w:rPr>
        <w:t>the conclusion</w:t>
      </w:r>
      <w:r w:rsidR="00C02461" w:rsidRPr="00993955">
        <w:rPr>
          <w:rFonts w:ascii="Arial" w:hAnsi="Arial" w:cs="Arial"/>
          <w:color w:val="000000"/>
          <w:sz w:val="24"/>
          <w:szCs w:val="24"/>
        </w:rPr>
        <w:t xml:space="preserve"> </w:t>
      </w:r>
      <w:r w:rsidR="009B523B">
        <w:rPr>
          <w:rFonts w:ascii="Arial" w:hAnsi="Arial" w:cs="Arial"/>
          <w:color w:val="000000"/>
          <w:sz w:val="24"/>
          <w:szCs w:val="24"/>
        </w:rPr>
        <w:t>reached in those matters is</w:t>
      </w:r>
      <w:r w:rsidR="00C02461" w:rsidRPr="00993955">
        <w:rPr>
          <w:rFonts w:ascii="Arial" w:hAnsi="Arial" w:cs="Arial"/>
          <w:color w:val="000000"/>
          <w:sz w:val="24"/>
          <w:szCs w:val="24"/>
        </w:rPr>
        <w:t xml:space="preserve"> inconsistent with the principle that the dismissal of an application, whether for final or interim relief, is in general appealable. </w:t>
      </w:r>
      <w:r w:rsidR="00D16E3F">
        <w:rPr>
          <w:rFonts w:ascii="Arial" w:hAnsi="Arial" w:cs="Arial"/>
          <w:color w:val="000000"/>
          <w:sz w:val="24"/>
          <w:szCs w:val="24"/>
        </w:rPr>
        <w:t>In that regard,</w:t>
      </w:r>
      <w:r w:rsidR="007A3594">
        <w:rPr>
          <w:rFonts w:ascii="Arial" w:hAnsi="Arial" w:cs="Arial"/>
          <w:color w:val="000000"/>
          <w:sz w:val="24"/>
          <w:szCs w:val="24"/>
        </w:rPr>
        <w:t xml:space="preserve"> </w:t>
      </w:r>
      <w:r w:rsidR="00777F87">
        <w:rPr>
          <w:rFonts w:ascii="Arial" w:hAnsi="Arial" w:cs="Arial"/>
          <w:color w:val="000000"/>
          <w:sz w:val="24"/>
          <w:szCs w:val="24"/>
        </w:rPr>
        <w:t xml:space="preserve">the order </w:t>
      </w:r>
      <w:r w:rsidR="007A3594">
        <w:rPr>
          <w:rFonts w:ascii="Arial" w:hAnsi="Arial" w:cs="Arial"/>
          <w:color w:val="000000"/>
          <w:sz w:val="24"/>
          <w:szCs w:val="24"/>
        </w:rPr>
        <w:t xml:space="preserve">here </w:t>
      </w:r>
      <w:r w:rsidR="00777F87" w:rsidRPr="00777F87">
        <w:rPr>
          <w:rFonts w:ascii="Arial" w:hAnsi="Arial" w:cs="Arial"/>
          <w:color w:val="000000"/>
          <w:sz w:val="24"/>
          <w:szCs w:val="24"/>
        </w:rPr>
        <w:t xml:space="preserve">has </w:t>
      </w:r>
      <w:r w:rsidR="00777F87">
        <w:rPr>
          <w:rFonts w:ascii="Arial" w:hAnsi="Arial" w:cs="Arial"/>
          <w:color w:val="000000"/>
          <w:sz w:val="24"/>
          <w:szCs w:val="24"/>
        </w:rPr>
        <w:t xml:space="preserve">all </w:t>
      </w:r>
      <w:r w:rsidR="00777F87" w:rsidRPr="00777F87">
        <w:rPr>
          <w:rFonts w:ascii="Arial" w:hAnsi="Arial" w:cs="Arial"/>
          <w:color w:val="000000"/>
          <w:sz w:val="24"/>
          <w:szCs w:val="24"/>
        </w:rPr>
        <w:t xml:space="preserve">three </w:t>
      </w:r>
      <w:r w:rsidR="00777F87">
        <w:rPr>
          <w:rFonts w:ascii="Arial" w:hAnsi="Arial" w:cs="Arial"/>
          <w:color w:val="000000"/>
          <w:sz w:val="24"/>
          <w:szCs w:val="24"/>
        </w:rPr>
        <w:t xml:space="preserve">of the </w:t>
      </w:r>
      <w:r w:rsidR="00777F87" w:rsidRPr="00777F87">
        <w:rPr>
          <w:rFonts w:ascii="Arial" w:hAnsi="Arial" w:cs="Arial"/>
          <w:color w:val="000000"/>
          <w:sz w:val="24"/>
          <w:szCs w:val="24"/>
        </w:rPr>
        <w:t>attributes</w:t>
      </w:r>
      <w:r w:rsidR="00777F87">
        <w:rPr>
          <w:rFonts w:ascii="Arial" w:hAnsi="Arial" w:cs="Arial"/>
          <w:color w:val="000000"/>
          <w:sz w:val="24"/>
          <w:szCs w:val="24"/>
        </w:rPr>
        <w:t xml:space="preserve"> alluded to </w:t>
      </w:r>
      <w:r w:rsidR="007C2FD6" w:rsidRPr="00222CDE">
        <w:rPr>
          <w:rFonts w:ascii="Arial" w:hAnsi="Arial" w:cs="Arial"/>
          <w:color w:val="000000"/>
          <w:sz w:val="24"/>
          <w:szCs w:val="24"/>
        </w:rPr>
        <w:t>in</w:t>
      </w:r>
      <w:r w:rsidR="007C2FD6">
        <w:rPr>
          <w:rFonts w:ascii="Arial" w:hAnsi="Arial" w:cs="Arial"/>
          <w:color w:val="000000"/>
          <w:sz w:val="24"/>
          <w:szCs w:val="24"/>
        </w:rPr>
        <w:t xml:space="preserve"> </w:t>
      </w:r>
      <w:r w:rsidR="00777F87">
        <w:rPr>
          <w:rFonts w:ascii="Arial" w:hAnsi="Arial" w:cs="Arial"/>
          <w:i/>
          <w:iCs/>
          <w:color w:val="000000"/>
          <w:sz w:val="24"/>
          <w:szCs w:val="24"/>
        </w:rPr>
        <w:t>Zweni</w:t>
      </w:r>
      <w:r w:rsidR="00777F87">
        <w:rPr>
          <w:rFonts w:ascii="Arial" w:hAnsi="Arial" w:cs="Arial"/>
          <w:color w:val="000000"/>
          <w:sz w:val="24"/>
          <w:szCs w:val="24"/>
        </w:rPr>
        <w:t>.</w:t>
      </w:r>
      <w:r w:rsidR="00777F87">
        <w:rPr>
          <w:rStyle w:val="FootnoteReference"/>
          <w:rFonts w:ascii="Arial" w:hAnsi="Arial" w:cs="Arial"/>
          <w:color w:val="000000"/>
          <w:sz w:val="24"/>
          <w:szCs w:val="24"/>
        </w:rPr>
        <w:footnoteReference w:id="18"/>
      </w:r>
      <w:r w:rsidR="00777F87">
        <w:rPr>
          <w:rFonts w:ascii="Arial" w:hAnsi="Arial" w:cs="Arial"/>
          <w:color w:val="000000"/>
          <w:sz w:val="24"/>
          <w:szCs w:val="24"/>
        </w:rPr>
        <w:t xml:space="preserve"> </w:t>
      </w:r>
      <w:r w:rsidR="007A3594">
        <w:rPr>
          <w:rFonts w:ascii="Arial" w:hAnsi="Arial" w:cs="Arial"/>
          <w:color w:val="000000"/>
          <w:sz w:val="24"/>
          <w:szCs w:val="24"/>
        </w:rPr>
        <w:t>E</w:t>
      </w:r>
      <w:r w:rsidR="00D52E06">
        <w:rPr>
          <w:rFonts w:ascii="Arial" w:hAnsi="Arial" w:cs="Arial"/>
          <w:color w:val="000000"/>
          <w:sz w:val="24"/>
          <w:szCs w:val="24"/>
        </w:rPr>
        <w:t>ven</w:t>
      </w:r>
      <w:r w:rsidR="0073379B">
        <w:rPr>
          <w:rFonts w:ascii="Arial" w:hAnsi="Arial" w:cs="Arial"/>
          <w:color w:val="000000"/>
          <w:sz w:val="24"/>
          <w:szCs w:val="24"/>
        </w:rPr>
        <w:t xml:space="preserve">, </w:t>
      </w:r>
      <w:r w:rsidR="0073379B">
        <w:rPr>
          <w:rFonts w:ascii="Arial" w:hAnsi="Arial" w:cs="Arial"/>
          <w:color w:val="000000"/>
          <w:sz w:val="24"/>
          <w:szCs w:val="24"/>
        </w:rPr>
        <w:lastRenderedPageBreak/>
        <w:t>if</w:t>
      </w:r>
      <w:r w:rsidR="00D52E06">
        <w:rPr>
          <w:rFonts w:ascii="Arial" w:hAnsi="Arial" w:cs="Arial"/>
          <w:color w:val="000000"/>
          <w:sz w:val="24"/>
          <w:szCs w:val="24"/>
        </w:rPr>
        <w:t xml:space="preserve"> i</w:t>
      </w:r>
      <w:r w:rsidR="007A3594">
        <w:rPr>
          <w:rFonts w:ascii="Arial" w:hAnsi="Arial" w:cs="Arial"/>
          <w:color w:val="000000"/>
          <w:sz w:val="24"/>
          <w:szCs w:val="24"/>
        </w:rPr>
        <w:t>t did</w:t>
      </w:r>
      <w:r w:rsidR="00D52E06" w:rsidRPr="00D52E06">
        <w:rPr>
          <w:rFonts w:ascii="Arial" w:hAnsi="Arial" w:cs="Arial"/>
          <w:color w:val="000000"/>
          <w:sz w:val="24"/>
          <w:szCs w:val="24"/>
        </w:rPr>
        <w:t xml:space="preserve"> not, </w:t>
      </w:r>
      <w:r w:rsidR="007A3594">
        <w:rPr>
          <w:rFonts w:ascii="Arial" w:hAnsi="Arial" w:cs="Arial"/>
          <w:color w:val="000000"/>
          <w:sz w:val="24"/>
          <w:szCs w:val="24"/>
        </w:rPr>
        <w:t xml:space="preserve">it has come to be accepted that </w:t>
      </w:r>
      <w:r w:rsidR="00D52E06">
        <w:rPr>
          <w:rFonts w:ascii="Arial" w:hAnsi="Arial" w:cs="Arial"/>
          <w:color w:val="000000"/>
          <w:sz w:val="24"/>
          <w:szCs w:val="24"/>
        </w:rPr>
        <w:t>it ‘</w:t>
      </w:r>
      <w:r w:rsidR="00D52E06" w:rsidRPr="00D52E06">
        <w:rPr>
          <w:rFonts w:ascii="Arial" w:hAnsi="Arial" w:cs="Arial"/>
          <w:color w:val="000000"/>
          <w:sz w:val="24"/>
          <w:szCs w:val="24"/>
        </w:rPr>
        <w:t>would nevertheless qualify as an appealable decision if it had a final and definitive effect on the proceedings or if the interests of justice required it to be regarded as an appealable decision</w:t>
      </w:r>
      <w:r w:rsidR="00D52E06">
        <w:rPr>
          <w:rFonts w:ascii="Arial" w:hAnsi="Arial" w:cs="Arial"/>
          <w:color w:val="000000"/>
          <w:sz w:val="24"/>
          <w:szCs w:val="24"/>
        </w:rPr>
        <w:t>’</w:t>
      </w:r>
      <w:r w:rsidR="00D52E06" w:rsidRPr="00D52E06">
        <w:rPr>
          <w:rFonts w:ascii="Arial" w:hAnsi="Arial" w:cs="Arial"/>
          <w:color w:val="000000"/>
          <w:sz w:val="24"/>
          <w:szCs w:val="24"/>
        </w:rPr>
        <w:t>.</w:t>
      </w:r>
      <w:r w:rsidR="00D52E06">
        <w:rPr>
          <w:rStyle w:val="FootnoteReference"/>
          <w:rFonts w:ascii="Arial" w:hAnsi="Arial" w:cs="Arial"/>
          <w:color w:val="000000"/>
          <w:sz w:val="24"/>
          <w:szCs w:val="24"/>
        </w:rPr>
        <w:footnoteReference w:id="19"/>
      </w:r>
      <w:r w:rsidR="00D52E06">
        <w:rPr>
          <w:rFonts w:ascii="Arial" w:hAnsi="Arial" w:cs="Arial"/>
          <w:color w:val="000000"/>
          <w:sz w:val="24"/>
          <w:szCs w:val="24"/>
        </w:rPr>
        <w:t xml:space="preserve"> </w:t>
      </w:r>
      <w:r w:rsidR="00E94073">
        <w:rPr>
          <w:rFonts w:ascii="Arial" w:hAnsi="Arial" w:cs="Arial"/>
          <w:color w:val="000000"/>
          <w:sz w:val="24"/>
          <w:szCs w:val="24"/>
        </w:rPr>
        <w:t xml:space="preserve">No reason appears to suggest itself as to why the </w:t>
      </w:r>
      <w:r w:rsidR="00D04186">
        <w:rPr>
          <w:rFonts w:ascii="Arial" w:hAnsi="Arial" w:cs="Arial"/>
          <w:color w:val="000000"/>
          <w:sz w:val="24"/>
          <w:szCs w:val="24"/>
        </w:rPr>
        <w:t xml:space="preserve">legislature </w:t>
      </w:r>
      <w:r w:rsidR="0048347D">
        <w:rPr>
          <w:rFonts w:ascii="Arial" w:hAnsi="Arial" w:cs="Arial"/>
          <w:color w:val="000000"/>
          <w:sz w:val="24"/>
          <w:szCs w:val="24"/>
        </w:rPr>
        <w:t>would have singled this order out as the</w:t>
      </w:r>
      <w:r w:rsidR="00E94073">
        <w:rPr>
          <w:rFonts w:ascii="Arial" w:hAnsi="Arial" w:cs="Arial"/>
          <w:color w:val="000000"/>
          <w:sz w:val="24"/>
          <w:szCs w:val="24"/>
        </w:rPr>
        <w:t xml:space="preserve"> exception to th</w:t>
      </w:r>
      <w:r w:rsidR="007A3594">
        <w:rPr>
          <w:rFonts w:ascii="Arial" w:hAnsi="Arial" w:cs="Arial"/>
          <w:color w:val="000000"/>
          <w:sz w:val="24"/>
          <w:szCs w:val="24"/>
        </w:rPr>
        <w:t xml:space="preserve">is </w:t>
      </w:r>
      <w:r w:rsidR="009B523B">
        <w:rPr>
          <w:rFonts w:ascii="Arial" w:hAnsi="Arial" w:cs="Arial"/>
          <w:color w:val="000000"/>
          <w:sz w:val="24"/>
          <w:szCs w:val="24"/>
        </w:rPr>
        <w:t xml:space="preserve">general </w:t>
      </w:r>
      <w:r w:rsidR="00E94073">
        <w:rPr>
          <w:rFonts w:ascii="Arial" w:hAnsi="Arial" w:cs="Arial"/>
          <w:color w:val="000000"/>
          <w:sz w:val="24"/>
          <w:szCs w:val="24"/>
        </w:rPr>
        <w:t xml:space="preserve">rule. </w:t>
      </w:r>
    </w:p>
    <w:p w14:paraId="27804D99" w14:textId="77777777" w:rsidR="009B523B" w:rsidRDefault="009B523B" w:rsidP="0071717D">
      <w:pPr>
        <w:spacing w:after="0" w:line="360" w:lineRule="auto"/>
        <w:jc w:val="both"/>
        <w:rPr>
          <w:rFonts w:ascii="Arial" w:hAnsi="Arial" w:cs="Arial"/>
          <w:color w:val="000000"/>
          <w:sz w:val="24"/>
          <w:szCs w:val="24"/>
        </w:rPr>
      </w:pPr>
    </w:p>
    <w:p w14:paraId="5DE30FC4" w14:textId="22151B92" w:rsidR="0071717D" w:rsidRDefault="009B523B" w:rsidP="0071717D">
      <w:pPr>
        <w:spacing w:after="0" w:line="360" w:lineRule="auto"/>
        <w:jc w:val="both"/>
        <w:rPr>
          <w:rFonts w:ascii="Arial" w:hAnsi="Arial" w:cs="Arial"/>
          <w:sz w:val="24"/>
          <w:szCs w:val="24"/>
          <w:lang w:val="en-US"/>
        </w:rPr>
      </w:pPr>
      <w:r>
        <w:rPr>
          <w:rFonts w:ascii="Arial" w:hAnsi="Arial" w:cs="Arial"/>
          <w:color w:val="000000"/>
          <w:sz w:val="24"/>
          <w:szCs w:val="24"/>
        </w:rPr>
        <w:t>[17]</w:t>
      </w:r>
      <w:r>
        <w:rPr>
          <w:rFonts w:ascii="Arial" w:hAnsi="Arial" w:cs="Arial"/>
          <w:color w:val="000000"/>
          <w:sz w:val="24"/>
          <w:szCs w:val="24"/>
        </w:rPr>
        <w:tab/>
        <w:t>Second</w:t>
      </w:r>
      <w:r w:rsidR="0071717D" w:rsidRPr="00993955">
        <w:rPr>
          <w:rFonts w:ascii="Arial" w:hAnsi="Arial" w:cs="Arial"/>
          <w:color w:val="000000"/>
          <w:sz w:val="24"/>
          <w:szCs w:val="24"/>
        </w:rPr>
        <w:t>, t</w:t>
      </w:r>
      <w:r w:rsidR="0071717D" w:rsidRPr="00993955">
        <w:rPr>
          <w:rFonts w:ascii="Arial" w:hAnsi="Arial" w:cs="Arial"/>
          <w:sz w:val="24"/>
          <w:szCs w:val="24"/>
          <w:lang w:val="en-US"/>
        </w:rPr>
        <w:t>he dismissal of an application for a provisional order of liquidation is appealable.</w:t>
      </w:r>
      <w:r w:rsidR="0071717D" w:rsidRPr="00993955">
        <w:rPr>
          <w:rFonts w:ascii="Arial" w:hAnsi="Arial" w:cs="Arial"/>
          <w:sz w:val="24"/>
          <w:szCs w:val="24"/>
          <w:vertAlign w:val="superscript"/>
          <w:lang w:val="en-US"/>
        </w:rPr>
        <w:footnoteReference w:id="20"/>
      </w:r>
      <w:r w:rsidR="0071717D" w:rsidRPr="00993955">
        <w:rPr>
          <w:rFonts w:ascii="Arial" w:hAnsi="Arial" w:cs="Arial"/>
          <w:sz w:val="24"/>
          <w:szCs w:val="24"/>
          <w:lang w:val="en-US"/>
        </w:rPr>
        <w:t xml:space="preserve"> </w:t>
      </w:r>
      <w:r w:rsidR="00DA122F">
        <w:rPr>
          <w:rFonts w:ascii="Arial" w:hAnsi="Arial" w:cs="Arial"/>
          <w:sz w:val="24"/>
          <w:szCs w:val="24"/>
          <w:lang w:val="en-US"/>
        </w:rPr>
        <w:t>In b</w:t>
      </w:r>
      <w:r w:rsidR="0071717D">
        <w:rPr>
          <w:rFonts w:ascii="Arial" w:hAnsi="Arial" w:cs="Arial"/>
          <w:sz w:val="24"/>
          <w:szCs w:val="24"/>
          <w:lang w:val="en-US"/>
        </w:rPr>
        <w:t xml:space="preserve">oth </w:t>
      </w:r>
      <w:r w:rsidR="0071717D" w:rsidRPr="00993955">
        <w:rPr>
          <w:rFonts w:ascii="Arial" w:hAnsi="Arial" w:cs="Arial"/>
          <w:sz w:val="24"/>
          <w:szCs w:val="24"/>
          <w:lang w:val="en-US"/>
        </w:rPr>
        <w:t>sequestration and liquidation proceedings</w:t>
      </w:r>
      <w:r w:rsidR="00DA122F">
        <w:rPr>
          <w:rFonts w:ascii="Arial" w:hAnsi="Arial" w:cs="Arial"/>
          <w:sz w:val="24"/>
          <w:szCs w:val="24"/>
          <w:lang w:val="en-US"/>
        </w:rPr>
        <w:t>,</w:t>
      </w:r>
      <w:r w:rsidR="0071717D" w:rsidRPr="00993955">
        <w:rPr>
          <w:rFonts w:ascii="Arial" w:hAnsi="Arial" w:cs="Arial"/>
          <w:sz w:val="24"/>
          <w:szCs w:val="24"/>
        </w:rPr>
        <w:t xml:space="preserve"> </w:t>
      </w:r>
      <w:r w:rsidR="00DA122F">
        <w:rPr>
          <w:rFonts w:ascii="Arial" w:hAnsi="Arial" w:cs="Arial"/>
          <w:sz w:val="24"/>
          <w:szCs w:val="24"/>
        </w:rPr>
        <w:t>t</w:t>
      </w:r>
      <w:r w:rsidR="00DA122F" w:rsidRPr="00DA122F">
        <w:rPr>
          <w:rFonts w:ascii="Arial" w:hAnsi="Arial" w:cs="Arial"/>
          <w:sz w:val="24"/>
          <w:szCs w:val="24"/>
        </w:rPr>
        <w:t xml:space="preserve">he legal machinery which comes into operation is designed to ensure that whatever assets the debtor has are liquidated and distributed among all </w:t>
      </w:r>
      <w:r w:rsidR="00DA122F">
        <w:rPr>
          <w:rFonts w:ascii="Arial" w:hAnsi="Arial" w:cs="Arial"/>
          <w:sz w:val="24"/>
          <w:szCs w:val="24"/>
        </w:rPr>
        <w:t>the</w:t>
      </w:r>
      <w:r w:rsidR="00DA122F" w:rsidRPr="00DA122F">
        <w:rPr>
          <w:rFonts w:ascii="Arial" w:hAnsi="Arial" w:cs="Arial"/>
          <w:sz w:val="24"/>
          <w:szCs w:val="24"/>
        </w:rPr>
        <w:t xml:space="preserve"> creditors in accordance with a fair order of preference.</w:t>
      </w:r>
      <w:r w:rsidR="00DA122F">
        <w:rPr>
          <w:rFonts w:ascii="Arial" w:hAnsi="Arial" w:cs="Arial"/>
          <w:sz w:val="24"/>
          <w:szCs w:val="24"/>
        </w:rPr>
        <w:t xml:space="preserve"> </w:t>
      </w:r>
      <w:r w:rsidR="00DF56B5">
        <w:rPr>
          <w:rFonts w:ascii="Arial" w:hAnsi="Arial" w:cs="Arial"/>
          <w:sz w:val="24"/>
          <w:szCs w:val="24"/>
        </w:rPr>
        <w:t>Once a provisional order is granted</w:t>
      </w:r>
      <w:r w:rsidR="0073379B">
        <w:rPr>
          <w:rFonts w:ascii="Arial" w:hAnsi="Arial" w:cs="Arial"/>
          <w:sz w:val="24"/>
          <w:szCs w:val="24"/>
        </w:rPr>
        <w:t>,</w:t>
      </w:r>
      <w:r w:rsidR="00DF56B5">
        <w:rPr>
          <w:rFonts w:ascii="Arial" w:hAnsi="Arial" w:cs="Arial"/>
          <w:sz w:val="24"/>
          <w:szCs w:val="24"/>
        </w:rPr>
        <w:t xml:space="preserve"> in either </w:t>
      </w:r>
      <w:r w:rsidR="0073379B">
        <w:rPr>
          <w:rFonts w:ascii="Arial" w:hAnsi="Arial" w:cs="Arial"/>
          <w:sz w:val="24"/>
          <w:szCs w:val="24"/>
        </w:rPr>
        <w:t>instance</w:t>
      </w:r>
      <w:r w:rsidR="00222CDE" w:rsidRPr="00023DFB">
        <w:rPr>
          <w:rFonts w:ascii="Arial" w:hAnsi="Arial" w:cs="Arial"/>
          <w:sz w:val="24"/>
          <w:szCs w:val="24"/>
        </w:rPr>
        <w:t>,</w:t>
      </w:r>
      <w:r w:rsidR="0073379B">
        <w:rPr>
          <w:rFonts w:ascii="Arial" w:hAnsi="Arial" w:cs="Arial"/>
          <w:sz w:val="24"/>
          <w:szCs w:val="24"/>
        </w:rPr>
        <w:t xml:space="preserve"> </w:t>
      </w:r>
      <w:r w:rsidR="0071717D" w:rsidRPr="00993955">
        <w:rPr>
          <w:rFonts w:ascii="Arial" w:hAnsi="Arial" w:cs="Arial"/>
          <w:sz w:val="24"/>
          <w:szCs w:val="24"/>
        </w:rPr>
        <w:t xml:space="preserve">a </w:t>
      </w:r>
      <w:r w:rsidR="0071717D" w:rsidRPr="00993955">
        <w:rPr>
          <w:rFonts w:ascii="Arial" w:hAnsi="Arial" w:cs="Arial"/>
          <w:i/>
          <w:iCs/>
          <w:sz w:val="24"/>
          <w:szCs w:val="24"/>
        </w:rPr>
        <w:t>concursus creditorum</w:t>
      </w:r>
      <w:r w:rsidR="00DF56B5">
        <w:rPr>
          <w:rFonts w:ascii="Arial" w:hAnsi="Arial" w:cs="Arial"/>
          <w:i/>
          <w:iCs/>
          <w:sz w:val="24"/>
          <w:szCs w:val="24"/>
        </w:rPr>
        <w:t xml:space="preserve"> </w:t>
      </w:r>
      <w:r w:rsidR="00DF56B5">
        <w:rPr>
          <w:rFonts w:ascii="Arial" w:hAnsi="Arial" w:cs="Arial"/>
          <w:sz w:val="24"/>
          <w:szCs w:val="24"/>
        </w:rPr>
        <w:t>is established</w:t>
      </w:r>
      <w:r w:rsidR="0071717D" w:rsidRPr="00993955">
        <w:rPr>
          <w:rFonts w:ascii="Arial" w:hAnsi="Arial" w:cs="Arial"/>
          <w:sz w:val="24"/>
          <w:szCs w:val="24"/>
        </w:rPr>
        <w:t>.</w:t>
      </w:r>
      <w:r w:rsidR="0071717D" w:rsidRPr="00993955">
        <w:rPr>
          <w:rFonts w:ascii="Arial" w:hAnsi="Arial" w:cs="Arial"/>
          <w:sz w:val="24"/>
          <w:szCs w:val="24"/>
          <w:lang w:val="en-US"/>
        </w:rPr>
        <w:t xml:space="preserve"> </w:t>
      </w:r>
      <w:r w:rsidR="00DA122F">
        <w:rPr>
          <w:rFonts w:ascii="Arial" w:hAnsi="Arial" w:cs="Arial"/>
          <w:sz w:val="24"/>
          <w:szCs w:val="24"/>
          <w:lang w:val="en-US"/>
        </w:rPr>
        <w:t xml:space="preserve">As it was put </w:t>
      </w:r>
      <w:r w:rsidR="00DF56B5">
        <w:rPr>
          <w:rFonts w:ascii="Arial" w:hAnsi="Arial" w:cs="Arial"/>
          <w:sz w:val="24"/>
          <w:szCs w:val="24"/>
          <w:lang w:val="en-US"/>
        </w:rPr>
        <w:t xml:space="preserve">in </w:t>
      </w:r>
      <w:bookmarkStart w:id="5" w:name="_Hlk131405523"/>
      <w:r w:rsidR="00DF56B5" w:rsidRPr="00DF56B5">
        <w:rPr>
          <w:rFonts w:ascii="Arial" w:hAnsi="Arial" w:cs="Arial"/>
          <w:i/>
          <w:iCs/>
          <w:sz w:val="24"/>
          <w:szCs w:val="24"/>
        </w:rPr>
        <w:t>Walker v Syfret NO</w:t>
      </w:r>
      <w:bookmarkEnd w:id="5"/>
      <w:r w:rsidR="00DF56B5">
        <w:rPr>
          <w:rFonts w:ascii="Arial" w:hAnsi="Arial" w:cs="Arial"/>
          <w:sz w:val="24"/>
          <w:szCs w:val="24"/>
        </w:rPr>
        <w:t>: ‘[t]</w:t>
      </w:r>
      <w:r w:rsidR="00DA122F" w:rsidRPr="00DA122F">
        <w:rPr>
          <w:rFonts w:ascii="Arial" w:hAnsi="Arial" w:cs="Arial"/>
          <w:sz w:val="24"/>
          <w:szCs w:val="24"/>
        </w:rPr>
        <w:t>he sequestration order crystallises the insolvent’s position; the hand of the law is laid upon the estate, and at once the rights of the general body of creditors have to be taken into consideration.</w:t>
      </w:r>
      <w:r w:rsidR="00DF56B5">
        <w:rPr>
          <w:rFonts w:ascii="Arial" w:hAnsi="Arial" w:cs="Arial"/>
          <w:sz w:val="24"/>
          <w:szCs w:val="24"/>
        </w:rPr>
        <w:t>’</w:t>
      </w:r>
      <w:r w:rsidR="00DF56B5">
        <w:rPr>
          <w:rStyle w:val="FootnoteReference"/>
          <w:rFonts w:ascii="Arial" w:hAnsi="Arial" w:cs="Arial"/>
          <w:sz w:val="24"/>
          <w:szCs w:val="24"/>
        </w:rPr>
        <w:footnoteReference w:id="21"/>
      </w:r>
      <w:r w:rsidR="00AD43CC">
        <w:rPr>
          <w:rFonts w:ascii="Arial" w:hAnsi="Arial" w:cs="Arial"/>
          <w:sz w:val="24"/>
          <w:szCs w:val="24"/>
        </w:rPr>
        <w:t xml:space="preserve"> </w:t>
      </w:r>
      <w:r w:rsidR="0071717D">
        <w:rPr>
          <w:rFonts w:ascii="Arial" w:hAnsi="Arial" w:cs="Arial"/>
          <w:sz w:val="24"/>
          <w:szCs w:val="24"/>
          <w:lang w:val="en-US"/>
        </w:rPr>
        <w:t>I</w:t>
      </w:r>
      <w:r w:rsidR="0071717D" w:rsidRPr="00993955">
        <w:rPr>
          <w:rFonts w:ascii="Arial" w:hAnsi="Arial" w:cs="Arial"/>
          <w:sz w:val="24"/>
          <w:szCs w:val="24"/>
          <w:lang w:val="en-US"/>
        </w:rPr>
        <w:t xml:space="preserve">t is </w:t>
      </w:r>
      <w:r w:rsidR="0071717D">
        <w:rPr>
          <w:rFonts w:ascii="Arial" w:hAnsi="Arial" w:cs="Arial"/>
          <w:sz w:val="24"/>
          <w:szCs w:val="24"/>
          <w:lang w:val="en-US"/>
        </w:rPr>
        <w:t>th</w:t>
      </w:r>
      <w:r w:rsidR="00DF56B5">
        <w:rPr>
          <w:rFonts w:ascii="Arial" w:hAnsi="Arial" w:cs="Arial"/>
          <w:sz w:val="24"/>
          <w:szCs w:val="24"/>
          <w:lang w:val="en-US"/>
        </w:rPr>
        <w:t>erefore</w:t>
      </w:r>
      <w:r w:rsidR="0071717D">
        <w:rPr>
          <w:rFonts w:ascii="Arial" w:hAnsi="Arial" w:cs="Arial"/>
          <w:sz w:val="24"/>
          <w:szCs w:val="24"/>
          <w:lang w:val="en-US"/>
        </w:rPr>
        <w:t xml:space="preserve"> </w:t>
      </w:r>
      <w:r w:rsidR="0071717D" w:rsidRPr="00993955">
        <w:rPr>
          <w:rFonts w:ascii="Arial" w:hAnsi="Arial" w:cs="Arial"/>
          <w:sz w:val="24"/>
          <w:szCs w:val="24"/>
          <w:lang w:val="en-US"/>
        </w:rPr>
        <w:t xml:space="preserve">difficult </w:t>
      </w:r>
      <w:r w:rsidR="0071717D">
        <w:rPr>
          <w:rFonts w:ascii="Arial" w:hAnsi="Arial" w:cs="Arial"/>
          <w:sz w:val="24"/>
          <w:szCs w:val="24"/>
          <w:lang w:val="en-US"/>
        </w:rPr>
        <w:t xml:space="preserve">to appreciate </w:t>
      </w:r>
      <w:r w:rsidR="0071717D" w:rsidRPr="00993955">
        <w:rPr>
          <w:rFonts w:ascii="Arial" w:hAnsi="Arial" w:cs="Arial"/>
          <w:sz w:val="24"/>
          <w:szCs w:val="24"/>
          <w:lang w:val="en-US"/>
        </w:rPr>
        <w:t xml:space="preserve">why </w:t>
      </w:r>
      <w:r w:rsidR="00DF56B5" w:rsidRPr="00993955">
        <w:rPr>
          <w:rFonts w:ascii="Arial" w:hAnsi="Arial" w:cs="Arial"/>
          <w:color w:val="000000"/>
          <w:sz w:val="24"/>
          <w:szCs w:val="24"/>
        </w:rPr>
        <w:t>t</w:t>
      </w:r>
      <w:r w:rsidR="00DF56B5" w:rsidRPr="00993955">
        <w:rPr>
          <w:rFonts w:ascii="Arial" w:hAnsi="Arial" w:cs="Arial"/>
          <w:sz w:val="24"/>
          <w:szCs w:val="24"/>
          <w:lang w:val="en-US"/>
        </w:rPr>
        <w:t xml:space="preserve">he dismissal of an application for a provisional order of liquidation </w:t>
      </w:r>
      <w:r w:rsidR="00DF56B5">
        <w:rPr>
          <w:rFonts w:ascii="Arial" w:hAnsi="Arial" w:cs="Arial"/>
          <w:sz w:val="24"/>
          <w:szCs w:val="24"/>
          <w:lang w:val="en-US"/>
        </w:rPr>
        <w:t>would be</w:t>
      </w:r>
      <w:r w:rsidR="00DF56B5" w:rsidRPr="00993955">
        <w:rPr>
          <w:rFonts w:ascii="Arial" w:hAnsi="Arial" w:cs="Arial"/>
          <w:sz w:val="24"/>
          <w:szCs w:val="24"/>
          <w:lang w:val="en-US"/>
        </w:rPr>
        <w:t xml:space="preserve"> appealable</w:t>
      </w:r>
      <w:r w:rsidR="0071717D">
        <w:rPr>
          <w:rFonts w:ascii="Arial" w:hAnsi="Arial" w:cs="Arial"/>
          <w:sz w:val="24"/>
          <w:szCs w:val="24"/>
          <w:lang w:val="en-US"/>
        </w:rPr>
        <w:t>, but</w:t>
      </w:r>
      <w:r w:rsidR="0071717D" w:rsidRPr="00993955">
        <w:rPr>
          <w:rFonts w:ascii="Arial" w:hAnsi="Arial" w:cs="Arial"/>
          <w:sz w:val="24"/>
          <w:szCs w:val="24"/>
          <w:lang w:val="en-US"/>
        </w:rPr>
        <w:t xml:space="preserve"> not </w:t>
      </w:r>
      <w:r w:rsidR="00DF56B5">
        <w:rPr>
          <w:rFonts w:ascii="Arial" w:hAnsi="Arial" w:cs="Arial"/>
          <w:sz w:val="24"/>
          <w:szCs w:val="24"/>
          <w:lang w:val="en-US"/>
        </w:rPr>
        <w:t xml:space="preserve">its counterpart, </w:t>
      </w:r>
      <w:r w:rsidR="0071717D" w:rsidRPr="00993955">
        <w:rPr>
          <w:rFonts w:ascii="Arial" w:hAnsi="Arial" w:cs="Arial"/>
          <w:sz w:val="24"/>
          <w:szCs w:val="24"/>
          <w:lang w:val="en-US"/>
        </w:rPr>
        <w:t>the o</w:t>
      </w:r>
      <w:r w:rsidR="00DF56B5">
        <w:rPr>
          <w:rFonts w:ascii="Arial" w:hAnsi="Arial" w:cs="Arial"/>
          <w:sz w:val="24"/>
          <w:szCs w:val="24"/>
          <w:lang w:val="en-US"/>
        </w:rPr>
        <w:t>rder, the subject of this appeal</w:t>
      </w:r>
      <w:r w:rsidR="0071717D" w:rsidRPr="00993955">
        <w:rPr>
          <w:rFonts w:ascii="Arial" w:hAnsi="Arial" w:cs="Arial"/>
          <w:sz w:val="24"/>
          <w:szCs w:val="24"/>
          <w:lang w:val="en-US"/>
        </w:rPr>
        <w:t>.</w:t>
      </w:r>
      <w:r w:rsidR="0071717D" w:rsidRPr="00993955">
        <w:rPr>
          <w:rFonts w:ascii="Arial" w:hAnsi="Arial" w:cs="Arial"/>
          <w:sz w:val="24"/>
          <w:szCs w:val="24"/>
          <w:vertAlign w:val="superscript"/>
          <w:lang w:val="en-US"/>
        </w:rPr>
        <w:footnoteReference w:id="22"/>
      </w:r>
      <w:r w:rsidR="0071717D" w:rsidRPr="00993955">
        <w:rPr>
          <w:rFonts w:ascii="Arial" w:hAnsi="Arial" w:cs="Arial"/>
          <w:sz w:val="24"/>
          <w:szCs w:val="24"/>
          <w:lang w:val="en-US"/>
        </w:rPr>
        <w:t xml:space="preserve"> </w:t>
      </w:r>
    </w:p>
    <w:p w14:paraId="140259CC" w14:textId="3CA5102B" w:rsidR="00777F87" w:rsidRDefault="00777F87" w:rsidP="008B19D7">
      <w:pPr>
        <w:spacing w:after="0" w:line="360" w:lineRule="auto"/>
        <w:jc w:val="both"/>
        <w:rPr>
          <w:rFonts w:ascii="Arial" w:hAnsi="Arial" w:cs="Arial"/>
          <w:color w:val="000000"/>
          <w:sz w:val="24"/>
          <w:szCs w:val="24"/>
        </w:rPr>
      </w:pPr>
    </w:p>
    <w:p w14:paraId="6F05706F" w14:textId="3600940A" w:rsidR="004F5DEE" w:rsidRDefault="009B523B" w:rsidP="008B19D7">
      <w:pPr>
        <w:spacing w:after="0" w:line="360" w:lineRule="auto"/>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t>Third</w:t>
      </w:r>
      <w:r w:rsidR="00C02461" w:rsidRPr="00993955">
        <w:rPr>
          <w:rFonts w:ascii="Arial" w:hAnsi="Arial" w:cs="Arial"/>
          <w:color w:val="000000"/>
          <w:sz w:val="24"/>
          <w:szCs w:val="24"/>
        </w:rPr>
        <w:t xml:space="preserve">, </w:t>
      </w:r>
      <w:r w:rsidR="00AA607F" w:rsidRPr="00993955">
        <w:rPr>
          <w:rFonts w:ascii="Arial" w:hAnsi="Arial" w:cs="Arial"/>
          <w:color w:val="000000"/>
          <w:sz w:val="24"/>
          <w:szCs w:val="24"/>
        </w:rPr>
        <w:t xml:space="preserve">s 150(1) </w:t>
      </w:r>
      <w:r w:rsidR="00AA607F">
        <w:rPr>
          <w:rFonts w:ascii="Arial" w:hAnsi="Arial" w:cs="Arial"/>
          <w:color w:val="000000"/>
          <w:sz w:val="24"/>
          <w:szCs w:val="24"/>
        </w:rPr>
        <w:t xml:space="preserve">provides </w:t>
      </w:r>
      <w:r w:rsidR="00AA607F" w:rsidRPr="00993955">
        <w:rPr>
          <w:rFonts w:ascii="Arial" w:hAnsi="Arial" w:cs="Arial"/>
          <w:color w:val="000000"/>
          <w:sz w:val="24"/>
          <w:szCs w:val="24"/>
        </w:rPr>
        <w:t xml:space="preserve">that ‘an order setting aside an order of provisional sequestration’ is appealable. </w:t>
      </w:r>
      <w:r w:rsidR="00AA607F">
        <w:rPr>
          <w:rFonts w:ascii="Arial" w:hAnsi="Arial" w:cs="Arial"/>
          <w:color w:val="000000"/>
          <w:sz w:val="24"/>
          <w:szCs w:val="24"/>
        </w:rPr>
        <w:t>I</w:t>
      </w:r>
      <w:r w:rsidR="00C02461" w:rsidRPr="00993955">
        <w:rPr>
          <w:rFonts w:ascii="Arial" w:hAnsi="Arial" w:cs="Arial"/>
          <w:color w:val="000000"/>
          <w:sz w:val="24"/>
          <w:szCs w:val="24"/>
        </w:rPr>
        <w:t xml:space="preserve">t is difficult to reconcile </w:t>
      </w:r>
      <w:r w:rsidR="00AA607F">
        <w:rPr>
          <w:rFonts w:ascii="Arial" w:hAnsi="Arial" w:cs="Arial"/>
          <w:color w:val="000000"/>
          <w:sz w:val="24"/>
          <w:szCs w:val="24"/>
        </w:rPr>
        <w:t xml:space="preserve">the express recognition of a right of appeal in that instance with </w:t>
      </w:r>
      <w:r w:rsidR="00C02461" w:rsidRPr="00993955">
        <w:rPr>
          <w:rFonts w:ascii="Arial" w:hAnsi="Arial" w:cs="Arial"/>
          <w:color w:val="000000"/>
          <w:sz w:val="24"/>
          <w:szCs w:val="24"/>
        </w:rPr>
        <w:t xml:space="preserve">the </w:t>
      </w:r>
      <w:r>
        <w:rPr>
          <w:rFonts w:ascii="Arial" w:hAnsi="Arial" w:cs="Arial"/>
          <w:color w:val="000000"/>
          <w:sz w:val="24"/>
          <w:szCs w:val="24"/>
        </w:rPr>
        <w:t>denial of an appeal</w:t>
      </w:r>
      <w:r w:rsidR="00C02461" w:rsidRPr="00993955">
        <w:rPr>
          <w:rFonts w:ascii="Arial" w:hAnsi="Arial" w:cs="Arial"/>
          <w:color w:val="000000"/>
          <w:sz w:val="24"/>
          <w:szCs w:val="24"/>
        </w:rPr>
        <w:t xml:space="preserve"> </w:t>
      </w:r>
      <w:r w:rsidR="00AA607F">
        <w:rPr>
          <w:rFonts w:ascii="Arial" w:hAnsi="Arial" w:cs="Arial"/>
          <w:color w:val="000000"/>
          <w:sz w:val="24"/>
          <w:szCs w:val="24"/>
        </w:rPr>
        <w:t>in this. Both stand on the same footing. Consequently, there can be no rational basis for the distinction between the two.</w:t>
      </w:r>
      <w:r w:rsidR="00C02461" w:rsidRPr="00993955">
        <w:rPr>
          <w:rFonts w:ascii="Arial" w:hAnsi="Arial" w:cs="Arial"/>
          <w:color w:val="000000"/>
          <w:sz w:val="24"/>
          <w:szCs w:val="24"/>
        </w:rPr>
        <w:t xml:space="preserve"> </w:t>
      </w:r>
      <w:r w:rsidR="00AA607F">
        <w:rPr>
          <w:rFonts w:ascii="Arial" w:hAnsi="Arial" w:cs="Arial"/>
          <w:color w:val="000000"/>
          <w:sz w:val="24"/>
          <w:szCs w:val="24"/>
        </w:rPr>
        <w:t xml:space="preserve">As a matter of principle, </w:t>
      </w:r>
      <w:r w:rsidR="00AA607F">
        <w:rPr>
          <w:rFonts w:ascii="Arial" w:hAnsi="Arial" w:cs="Arial"/>
          <w:color w:val="242121"/>
          <w:sz w:val="24"/>
          <w:szCs w:val="24"/>
          <w:shd w:val="clear" w:color="auto" w:fill="FFFFFF"/>
          <w:lang w:val="en-GB"/>
        </w:rPr>
        <w:t>a</w:t>
      </w:r>
      <w:r w:rsidR="00C02461" w:rsidRPr="00993955">
        <w:rPr>
          <w:rFonts w:ascii="Arial" w:hAnsi="Arial" w:cs="Arial"/>
          <w:color w:val="242121"/>
          <w:sz w:val="24"/>
          <w:szCs w:val="24"/>
          <w:shd w:val="clear" w:color="auto" w:fill="FFFFFF"/>
          <w:lang w:val="en-GB"/>
        </w:rPr>
        <w:t>n interim order</w:t>
      </w:r>
      <w:r w:rsidR="003D2487">
        <w:rPr>
          <w:rFonts w:ascii="Arial" w:hAnsi="Arial" w:cs="Arial"/>
          <w:color w:val="242121"/>
          <w:sz w:val="24"/>
          <w:szCs w:val="24"/>
          <w:shd w:val="clear" w:color="auto" w:fill="FFFFFF"/>
          <w:lang w:val="en-GB"/>
        </w:rPr>
        <w:t xml:space="preserve">, particularly one that is made </w:t>
      </w:r>
      <w:r w:rsidR="00C02461" w:rsidRPr="00993955">
        <w:rPr>
          <w:rFonts w:ascii="Arial" w:hAnsi="Arial" w:cs="Arial"/>
          <w:i/>
          <w:iCs/>
          <w:color w:val="242121"/>
          <w:sz w:val="24"/>
          <w:szCs w:val="24"/>
          <w:shd w:val="clear" w:color="auto" w:fill="FFFFFF"/>
          <w:lang w:val="en-GB"/>
        </w:rPr>
        <w:t>ex parte</w:t>
      </w:r>
      <w:r w:rsidR="00C02461" w:rsidRPr="00993955">
        <w:rPr>
          <w:rFonts w:ascii="Arial" w:hAnsi="Arial" w:cs="Arial"/>
          <w:iCs/>
          <w:color w:val="242121"/>
          <w:sz w:val="24"/>
          <w:szCs w:val="24"/>
          <w:shd w:val="clear" w:color="auto" w:fill="FFFFFF"/>
          <w:lang w:val="en-GB"/>
        </w:rPr>
        <w:t>,</w:t>
      </w:r>
      <w:r w:rsidR="003D2487">
        <w:rPr>
          <w:rFonts w:ascii="Arial" w:hAnsi="Arial" w:cs="Arial"/>
          <w:iCs/>
          <w:color w:val="242121"/>
          <w:sz w:val="24"/>
          <w:szCs w:val="24"/>
          <w:shd w:val="clear" w:color="auto" w:fill="FFFFFF"/>
          <w:lang w:val="en-GB"/>
        </w:rPr>
        <w:t xml:space="preserve"> </w:t>
      </w:r>
      <w:r w:rsidR="00C02461" w:rsidRPr="00993955">
        <w:rPr>
          <w:rFonts w:ascii="Arial" w:hAnsi="Arial" w:cs="Arial"/>
          <w:color w:val="242121"/>
          <w:sz w:val="24"/>
          <w:szCs w:val="24"/>
          <w:shd w:val="clear" w:color="auto" w:fill="FFFFFF"/>
          <w:lang w:val="en-GB"/>
        </w:rPr>
        <w:t xml:space="preserve">is by its nature provisional – it is ‘conditional </w:t>
      </w:r>
      <w:r w:rsidR="008114EC">
        <w:rPr>
          <w:rFonts w:ascii="Arial" w:hAnsi="Arial" w:cs="Arial"/>
          <w:color w:val="242121"/>
          <w:sz w:val="24"/>
          <w:szCs w:val="24"/>
          <w:shd w:val="clear" w:color="auto" w:fill="FFFFFF"/>
          <w:lang w:val="en-GB"/>
        </w:rPr>
        <w:t xml:space="preserve">upon confirmation by the same </w:t>
      </w:r>
      <w:r w:rsidR="008114EC" w:rsidRPr="00222CDE">
        <w:rPr>
          <w:rFonts w:ascii="Arial" w:hAnsi="Arial" w:cs="Arial"/>
          <w:color w:val="242121"/>
          <w:sz w:val="24"/>
          <w:szCs w:val="24"/>
          <w:shd w:val="clear" w:color="auto" w:fill="FFFFFF"/>
          <w:lang w:val="en-GB"/>
        </w:rPr>
        <w:t>c</w:t>
      </w:r>
      <w:r w:rsidR="00C02461" w:rsidRPr="00993955">
        <w:rPr>
          <w:rFonts w:ascii="Arial" w:hAnsi="Arial" w:cs="Arial"/>
          <w:color w:val="242121"/>
          <w:sz w:val="24"/>
          <w:szCs w:val="24"/>
          <w:shd w:val="clear" w:color="auto" w:fill="FFFFFF"/>
          <w:lang w:val="en-GB"/>
        </w:rPr>
        <w:t>ourt (albeit not the same Judge) in the same proceedings after having heard the other side’,</w:t>
      </w:r>
      <w:r w:rsidR="00C02461" w:rsidRPr="00993955">
        <w:rPr>
          <w:rFonts w:ascii="Arial" w:hAnsi="Arial" w:cs="Arial"/>
          <w:color w:val="242121"/>
          <w:sz w:val="24"/>
          <w:szCs w:val="24"/>
          <w:shd w:val="clear" w:color="auto" w:fill="FFFFFF"/>
          <w:vertAlign w:val="superscript"/>
          <w:lang w:val="en-GB"/>
        </w:rPr>
        <w:footnoteReference w:id="23"/>
      </w:r>
      <w:r w:rsidR="00C02461" w:rsidRPr="00993955">
        <w:rPr>
          <w:rFonts w:ascii="Arial" w:hAnsi="Arial" w:cs="Arial"/>
          <w:color w:val="242121"/>
          <w:sz w:val="24"/>
          <w:szCs w:val="24"/>
          <w:shd w:val="clear" w:color="auto" w:fill="FFFFFF"/>
          <w:lang w:val="en-GB"/>
        </w:rPr>
        <w:t xml:space="preserve"> which is why a litigant who secures such an order is not better positioned when </w:t>
      </w:r>
      <w:r w:rsidR="00C02461" w:rsidRPr="00993955">
        <w:rPr>
          <w:rFonts w:ascii="Arial" w:hAnsi="Arial" w:cs="Arial"/>
          <w:color w:val="242121"/>
          <w:sz w:val="24"/>
          <w:szCs w:val="24"/>
          <w:shd w:val="clear" w:color="auto" w:fill="FFFFFF"/>
          <w:lang w:val="en-GB"/>
        </w:rPr>
        <w:lastRenderedPageBreak/>
        <w:t>the order is reconsidered on the return day</w:t>
      </w:r>
      <w:r w:rsidR="00C02461" w:rsidRPr="00993955">
        <w:rPr>
          <w:rFonts w:ascii="Arial" w:hAnsi="Arial" w:cs="Arial"/>
          <w:color w:val="000000"/>
          <w:sz w:val="24"/>
          <w:szCs w:val="24"/>
        </w:rPr>
        <w:t>.</w:t>
      </w:r>
      <w:r w:rsidR="002E018D" w:rsidRPr="00993955">
        <w:rPr>
          <w:rStyle w:val="FootnoteReference"/>
          <w:rFonts w:ascii="Arial" w:hAnsi="Arial" w:cs="Arial"/>
          <w:color w:val="000000"/>
          <w:sz w:val="24"/>
          <w:szCs w:val="24"/>
        </w:rPr>
        <w:footnoteReference w:id="24"/>
      </w:r>
      <w:r w:rsidR="00C02461" w:rsidRPr="00993955">
        <w:rPr>
          <w:rFonts w:ascii="Arial" w:hAnsi="Arial" w:cs="Arial"/>
          <w:color w:val="000000"/>
          <w:sz w:val="24"/>
          <w:szCs w:val="24"/>
        </w:rPr>
        <w:t xml:space="preserve"> Why then would an applicant, whose provisional order has been set aside</w:t>
      </w:r>
      <w:r w:rsidR="00EB6E1E">
        <w:rPr>
          <w:rFonts w:ascii="Arial" w:hAnsi="Arial" w:cs="Arial"/>
          <w:color w:val="000000"/>
          <w:sz w:val="24"/>
          <w:szCs w:val="24"/>
        </w:rPr>
        <w:t>,</w:t>
      </w:r>
      <w:r w:rsidR="00C02461" w:rsidRPr="00993955">
        <w:rPr>
          <w:rFonts w:ascii="Arial" w:hAnsi="Arial" w:cs="Arial"/>
          <w:color w:val="000000"/>
          <w:sz w:val="24"/>
          <w:szCs w:val="24"/>
        </w:rPr>
        <w:t xml:space="preserve"> </w:t>
      </w:r>
      <w:r w:rsidR="00EB6E1E">
        <w:rPr>
          <w:rFonts w:ascii="Arial" w:hAnsi="Arial" w:cs="Arial"/>
          <w:color w:val="000000"/>
          <w:sz w:val="24"/>
          <w:szCs w:val="24"/>
        </w:rPr>
        <w:t>enjoy a</w:t>
      </w:r>
      <w:r w:rsidR="00AA607F">
        <w:rPr>
          <w:rFonts w:ascii="Arial" w:hAnsi="Arial" w:cs="Arial"/>
          <w:color w:val="000000"/>
          <w:sz w:val="24"/>
          <w:szCs w:val="24"/>
        </w:rPr>
        <w:t xml:space="preserve"> </w:t>
      </w:r>
      <w:r w:rsidR="00EB6E1E">
        <w:rPr>
          <w:rFonts w:ascii="Arial" w:hAnsi="Arial" w:cs="Arial"/>
          <w:color w:val="000000"/>
          <w:sz w:val="24"/>
          <w:szCs w:val="24"/>
        </w:rPr>
        <w:t>right of appeal, but</w:t>
      </w:r>
      <w:r w:rsidR="00C02461" w:rsidRPr="00993955">
        <w:rPr>
          <w:rFonts w:ascii="Arial" w:hAnsi="Arial" w:cs="Arial"/>
          <w:color w:val="000000"/>
          <w:sz w:val="24"/>
          <w:szCs w:val="24"/>
        </w:rPr>
        <w:t xml:space="preserve"> </w:t>
      </w:r>
      <w:r w:rsidR="00EB6E1E">
        <w:rPr>
          <w:rFonts w:ascii="Arial" w:hAnsi="Arial" w:cs="Arial"/>
          <w:color w:val="000000"/>
          <w:sz w:val="24"/>
          <w:szCs w:val="24"/>
        </w:rPr>
        <w:t>not</w:t>
      </w:r>
      <w:r w:rsidR="00C02461" w:rsidRPr="00993955">
        <w:rPr>
          <w:rFonts w:ascii="Arial" w:hAnsi="Arial" w:cs="Arial"/>
          <w:color w:val="000000"/>
          <w:sz w:val="24"/>
          <w:szCs w:val="24"/>
        </w:rPr>
        <w:t xml:space="preserve"> one whose application for a provisional order</w:t>
      </w:r>
      <w:r w:rsidR="00EB6E1E">
        <w:rPr>
          <w:rFonts w:ascii="Arial" w:hAnsi="Arial" w:cs="Arial"/>
          <w:color w:val="000000"/>
          <w:sz w:val="24"/>
          <w:szCs w:val="24"/>
        </w:rPr>
        <w:t xml:space="preserve"> has</w:t>
      </w:r>
      <w:r w:rsidR="00C02461" w:rsidRPr="00993955">
        <w:rPr>
          <w:rFonts w:ascii="Arial" w:hAnsi="Arial" w:cs="Arial"/>
          <w:color w:val="000000"/>
          <w:sz w:val="24"/>
          <w:szCs w:val="24"/>
        </w:rPr>
        <w:t xml:space="preserve"> been dismissed? The answer may well lie in the fact that whilst a provisional sequestration order is one made by the court in terms of the Act, an order dismissing an application for a provisional order</w:t>
      </w:r>
      <w:r w:rsidR="003248D4">
        <w:rPr>
          <w:rFonts w:ascii="Arial" w:hAnsi="Arial" w:cs="Arial"/>
          <w:color w:val="000000"/>
          <w:sz w:val="24"/>
          <w:szCs w:val="24"/>
        </w:rPr>
        <w:t>, as we have endeavoured to show,</w:t>
      </w:r>
      <w:r w:rsidR="00C02461" w:rsidRPr="00993955">
        <w:rPr>
          <w:rFonts w:ascii="Arial" w:hAnsi="Arial" w:cs="Arial"/>
          <w:color w:val="000000"/>
          <w:sz w:val="24"/>
          <w:szCs w:val="24"/>
        </w:rPr>
        <w:t xml:space="preserve"> is not such an order. </w:t>
      </w:r>
      <w:r w:rsidR="00EB6E1E">
        <w:rPr>
          <w:rFonts w:ascii="Arial" w:hAnsi="Arial" w:cs="Arial"/>
          <w:color w:val="000000"/>
          <w:sz w:val="24"/>
          <w:szCs w:val="24"/>
        </w:rPr>
        <w:t xml:space="preserve">No warrant </w:t>
      </w:r>
      <w:r w:rsidR="00AA607F">
        <w:rPr>
          <w:rFonts w:ascii="Arial" w:hAnsi="Arial" w:cs="Arial"/>
          <w:color w:val="000000"/>
          <w:sz w:val="24"/>
          <w:szCs w:val="24"/>
        </w:rPr>
        <w:t xml:space="preserve">seems to </w:t>
      </w:r>
      <w:r w:rsidR="00EB6E1E">
        <w:rPr>
          <w:rFonts w:ascii="Arial" w:hAnsi="Arial" w:cs="Arial"/>
          <w:color w:val="000000"/>
          <w:sz w:val="24"/>
          <w:szCs w:val="24"/>
        </w:rPr>
        <w:t>otherwise exist for the</w:t>
      </w:r>
      <w:r w:rsidR="0048347D">
        <w:rPr>
          <w:rFonts w:ascii="Arial" w:hAnsi="Arial" w:cs="Arial"/>
          <w:color w:val="000000"/>
          <w:sz w:val="24"/>
          <w:szCs w:val="24"/>
        </w:rPr>
        <w:t xml:space="preserve"> differential </w:t>
      </w:r>
      <w:r w:rsidR="00AA607F">
        <w:rPr>
          <w:rFonts w:ascii="Arial" w:hAnsi="Arial" w:cs="Arial"/>
          <w:color w:val="000000"/>
          <w:sz w:val="24"/>
          <w:szCs w:val="24"/>
        </w:rPr>
        <w:t>treatment</w:t>
      </w:r>
      <w:r w:rsidR="00EB6E1E">
        <w:rPr>
          <w:rFonts w:ascii="Arial" w:hAnsi="Arial" w:cs="Arial"/>
          <w:color w:val="000000"/>
          <w:sz w:val="24"/>
          <w:szCs w:val="24"/>
        </w:rPr>
        <w:t>.</w:t>
      </w:r>
      <w:r w:rsidR="00AA607F">
        <w:rPr>
          <w:rFonts w:ascii="Arial" w:hAnsi="Arial" w:cs="Arial"/>
          <w:color w:val="000000"/>
          <w:sz w:val="24"/>
          <w:szCs w:val="24"/>
        </w:rPr>
        <w:t xml:space="preserve"> </w:t>
      </w:r>
    </w:p>
    <w:p w14:paraId="19AF392D" w14:textId="77777777" w:rsidR="004F5DEE" w:rsidRDefault="004F5DEE" w:rsidP="008B19D7">
      <w:pPr>
        <w:spacing w:after="0" w:line="360" w:lineRule="auto"/>
        <w:jc w:val="both"/>
        <w:rPr>
          <w:rFonts w:ascii="Arial" w:hAnsi="Arial" w:cs="Arial"/>
          <w:color w:val="000000"/>
          <w:sz w:val="24"/>
          <w:szCs w:val="24"/>
        </w:rPr>
      </w:pPr>
    </w:p>
    <w:p w14:paraId="79FB682F" w14:textId="374BD544" w:rsidR="00821A64" w:rsidRDefault="004F5DEE" w:rsidP="008B19D7">
      <w:pPr>
        <w:spacing w:after="0"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AA607F">
        <w:rPr>
          <w:rFonts w:ascii="Arial" w:hAnsi="Arial" w:cs="Arial"/>
          <w:color w:val="000000"/>
          <w:sz w:val="24"/>
          <w:szCs w:val="24"/>
        </w:rPr>
        <w:t xml:space="preserve">In other words, </w:t>
      </w:r>
      <w:r w:rsidR="00046094">
        <w:rPr>
          <w:rFonts w:ascii="Arial" w:hAnsi="Arial" w:cs="Arial"/>
          <w:color w:val="000000"/>
          <w:sz w:val="24"/>
          <w:szCs w:val="24"/>
        </w:rPr>
        <w:t>in recognition of the fact that</w:t>
      </w:r>
      <w:r w:rsidR="00AA607F">
        <w:rPr>
          <w:rFonts w:ascii="Arial" w:hAnsi="Arial" w:cs="Arial"/>
          <w:color w:val="000000"/>
          <w:sz w:val="24"/>
          <w:szCs w:val="24"/>
        </w:rPr>
        <w:t xml:space="preserve"> the grant of a provisional sequestration order</w:t>
      </w:r>
      <w:r w:rsidR="009C3559">
        <w:rPr>
          <w:rFonts w:ascii="Arial" w:hAnsi="Arial" w:cs="Arial"/>
          <w:color w:val="000000"/>
          <w:sz w:val="24"/>
          <w:szCs w:val="24"/>
        </w:rPr>
        <w:t xml:space="preserve"> (</w:t>
      </w:r>
      <w:r w:rsidR="00AA607F">
        <w:rPr>
          <w:rFonts w:ascii="Arial" w:hAnsi="Arial" w:cs="Arial"/>
          <w:color w:val="000000"/>
          <w:sz w:val="24"/>
          <w:szCs w:val="24"/>
        </w:rPr>
        <w:t>unlike the dismissal of a</w:t>
      </w:r>
      <w:r>
        <w:rPr>
          <w:rFonts w:ascii="Arial" w:hAnsi="Arial" w:cs="Arial"/>
          <w:color w:val="000000"/>
          <w:sz w:val="24"/>
          <w:szCs w:val="24"/>
        </w:rPr>
        <w:t>n application for a</w:t>
      </w:r>
      <w:r w:rsidR="00AA607F">
        <w:rPr>
          <w:rFonts w:ascii="Arial" w:hAnsi="Arial" w:cs="Arial"/>
          <w:color w:val="000000"/>
          <w:sz w:val="24"/>
          <w:szCs w:val="24"/>
        </w:rPr>
        <w:t xml:space="preserve"> provisional </w:t>
      </w:r>
      <w:r w:rsidR="00FA7DA7">
        <w:rPr>
          <w:rFonts w:ascii="Arial" w:hAnsi="Arial" w:cs="Arial"/>
          <w:color w:val="000000"/>
          <w:sz w:val="24"/>
          <w:szCs w:val="24"/>
        </w:rPr>
        <w:t>sequestration order</w:t>
      </w:r>
      <w:r w:rsidR="009C3559">
        <w:rPr>
          <w:rFonts w:ascii="Arial" w:hAnsi="Arial" w:cs="Arial"/>
          <w:color w:val="000000"/>
          <w:sz w:val="24"/>
          <w:szCs w:val="24"/>
        </w:rPr>
        <w:t>)</w:t>
      </w:r>
      <w:r w:rsidR="00AA607F">
        <w:rPr>
          <w:rFonts w:ascii="Arial" w:hAnsi="Arial" w:cs="Arial"/>
          <w:color w:val="000000"/>
          <w:sz w:val="24"/>
          <w:szCs w:val="24"/>
        </w:rPr>
        <w:t xml:space="preserve"> is one</w:t>
      </w:r>
      <w:r w:rsidR="00FA7DA7">
        <w:rPr>
          <w:rFonts w:ascii="Arial" w:hAnsi="Arial" w:cs="Arial"/>
          <w:color w:val="000000"/>
          <w:sz w:val="24"/>
          <w:szCs w:val="24"/>
        </w:rPr>
        <w:t xml:space="preserve"> that ‘is made by the Court in terms of [the] Act’ </w:t>
      </w:r>
      <w:r w:rsidR="009C3559">
        <w:rPr>
          <w:rFonts w:ascii="Arial" w:hAnsi="Arial" w:cs="Arial"/>
          <w:color w:val="000000"/>
          <w:sz w:val="24"/>
          <w:szCs w:val="24"/>
        </w:rPr>
        <w:t xml:space="preserve">within the meaning thereof </w:t>
      </w:r>
      <w:r w:rsidR="00FA7DA7">
        <w:rPr>
          <w:rFonts w:ascii="Arial" w:hAnsi="Arial" w:cs="Arial"/>
          <w:color w:val="000000"/>
          <w:sz w:val="24"/>
          <w:szCs w:val="24"/>
        </w:rPr>
        <w:t xml:space="preserve">in s 150(5), </w:t>
      </w:r>
      <w:r w:rsidR="009C3559">
        <w:rPr>
          <w:rFonts w:ascii="Arial" w:hAnsi="Arial" w:cs="Arial"/>
          <w:color w:val="000000"/>
          <w:sz w:val="24"/>
          <w:szCs w:val="24"/>
        </w:rPr>
        <w:t xml:space="preserve">it was necessary for </w:t>
      </w:r>
      <w:r w:rsidR="00046094">
        <w:rPr>
          <w:rFonts w:ascii="Arial" w:hAnsi="Arial" w:cs="Arial"/>
          <w:color w:val="000000"/>
          <w:sz w:val="24"/>
          <w:szCs w:val="24"/>
        </w:rPr>
        <w:t xml:space="preserve">the </w:t>
      </w:r>
      <w:r w:rsidR="00FA7DA7">
        <w:rPr>
          <w:rFonts w:ascii="Arial" w:hAnsi="Arial" w:cs="Arial"/>
          <w:color w:val="000000"/>
          <w:sz w:val="24"/>
          <w:szCs w:val="24"/>
        </w:rPr>
        <w:t xml:space="preserve">legislature </w:t>
      </w:r>
      <w:r w:rsidR="003248D4">
        <w:rPr>
          <w:rFonts w:ascii="Arial" w:hAnsi="Arial" w:cs="Arial"/>
          <w:color w:val="000000"/>
          <w:sz w:val="24"/>
          <w:szCs w:val="24"/>
        </w:rPr>
        <w:t>to expressly provide for</w:t>
      </w:r>
      <w:r w:rsidR="00046094">
        <w:rPr>
          <w:rFonts w:ascii="Arial" w:hAnsi="Arial" w:cs="Arial"/>
          <w:color w:val="000000"/>
          <w:sz w:val="24"/>
          <w:szCs w:val="24"/>
        </w:rPr>
        <w:t xml:space="preserve"> </w:t>
      </w:r>
      <w:r w:rsidR="003248D4">
        <w:rPr>
          <w:rFonts w:ascii="Arial" w:hAnsi="Arial" w:cs="Arial"/>
          <w:color w:val="000000"/>
          <w:sz w:val="24"/>
          <w:szCs w:val="24"/>
        </w:rPr>
        <w:t xml:space="preserve">a </w:t>
      </w:r>
      <w:r w:rsidR="00FA7DA7">
        <w:rPr>
          <w:rFonts w:ascii="Arial" w:hAnsi="Arial" w:cs="Arial"/>
          <w:color w:val="000000"/>
          <w:sz w:val="24"/>
          <w:szCs w:val="24"/>
        </w:rPr>
        <w:t>right of appeal</w:t>
      </w:r>
      <w:r w:rsidR="00046094">
        <w:rPr>
          <w:rFonts w:ascii="Arial" w:hAnsi="Arial" w:cs="Arial"/>
          <w:color w:val="000000"/>
          <w:sz w:val="24"/>
          <w:szCs w:val="24"/>
        </w:rPr>
        <w:t xml:space="preserve"> </w:t>
      </w:r>
      <w:r w:rsidR="003248D4">
        <w:rPr>
          <w:rFonts w:ascii="Arial" w:hAnsi="Arial" w:cs="Arial"/>
          <w:color w:val="000000"/>
          <w:sz w:val="24"/>
          <w:szCs w:val="24"/>
        </w:rPr>
        <w:t xml:space="preserve">in respect of </w:t>
      </w:r>
      <w:r w:rsidR="009C3559" w:rsidRPr="007535FC">
        <w:rPr>
          <w:rFonts w:ascii="Arial" w:hAnsi="Arial" w:cs="Arial"/>
          <w:color w:val="000000"/>
          <w:sz w:val="24"/>
          <w:szCs w:val="24"/>
        </w:rPr>
        <w:t xml:space="preserve">such </w:t>
      </w:r>
      <w:r w:rsidR="00377C6E" w:rsidRPr="007535FC">
        <w:rPr>
          <w:rFonts w:ascii="Arial" w:hAnsi="Arial" w:cs="Arial"/>
          <w:color w:val="000000"/>
          <w:sz w:val="24"/>
          <w:szCs w:val="24"/>
        </w:rPr>
        <w:t xml:space="preserve">an </w:t>
      </w:r>
      <w:r w:rsidR="00046094" w:rsidRPr="007535FC">
        <w:rPr>
          <w:rFonts w:ascii="Arial" w:hAnsi="Arial" w:cs="Arial"/>
          <w:color w:val="000000"/>
          <w:sz w:val="24"/>
          <w:szCs w:val="24"/>
        </w:rPr>
        <w:t>order</w:t>
      </w:r>
      <w:r w:rsidR="00046094">
        <w:rPr>
          <w:rFonts w:ascii="Arial" w:hAnsi="Arial" w:cs="Arial"/>
          <w:color w:val="000000"/>
          <w:sz w:val="24"/>
          <w:szCs w:val="24"/>
        </w:rPr>
        <w:t xml:space="preserve">. </w:t>
      </w:r>
      <w:r>
        <w:rPr>
          <w:rFonts w:ascii="Arial" w:hAnsi="Arial" w:cs="Arial"/>
          <w:color w:val="000000"/>
          <w:sz w:val="24"/>
          <w:szCs w:val="24"/>
        </w:rPr>
        <w:t>If it is accepted</w:t>
      </w:r>
      <w:r w:rsidR="003248D4">
        <w:rPr>
          <w:rFonts w:ascii="Arial" w:hAnsi="Arial" w:cs="Arial"/>
          <w:color w:val="000000"/>
          <w:sz w:val="24"/>
          <w:szCs w:val="24"/>
        </w:rPr>
        <w:t xml:space="preserve"> that an order dismissing an application </w:t>
      </w:r>
      <w:r>
        <w:rPr>
          <w:rFonts w:ascii="Arial" w:hAnsi="Arial" w:cs="Arial"/>
          <w:color w:val="000000"/>
          <w:sz w:val="24"/>
          <w:szCs w:val="24"/>
        </w:rPr>
        <w:t>for a provisional order of sequestration is not one encompassed by the provisions of s 150(5)</w:t>
      </w:r>
      <w:r w:rsidR="003248D4">
        <w:rPr>
          <w:rFonts w:ascii="Arial" w:hAnsi="Arial" w:cs="Arial"/>
          <w:color w:val="000000"/>
          <w:sz w:val="24"/>
          <w:szCs w:val="24"/>
        </w:rPr>
        <w:t xml:space="preserve"> of the Act</w:t>
      </w:r>
      <w:r>
        <w:rPr>
          <w:rFonts w:ascii="Arial" w:hAnsi="Arial" w:cs="Arial"/>
          <w:color w:val="000000"/>
          <w:sz w:val="24"/>
          <w:szCs w:val="24"/>
        </w:rPr>
        <w:t xml:space="preserve"> then</w:t>
      </w:r>
      <w:r w:rsidR="0073379B">
        <w:rPr>
          <w:rFonts w:ascii="Arial" w:hAnsi="Arial" w:cs="Arial"/>
          <w:color w:val="000000"/>
          <w:sz w:val="24"/>
          <w:szCs w:val="24"/>
        </w:rPr>
        <w:t>,</w:t>
      </w:r>
      <w:r>
        <w:rPr>
          <w:rFonts w:ascii="Arial" w:hAnsi="Arial" w:cs="Arial"/>
          <w:color w:val="000000"/>
          <w:sz w:val="24"/>
          <w:szCs w:val="24"/>
        </w:rPr>
        <w:t xml:space="preserve"> it </w:t>
      </w:r>
      <w:r w:rsidR="0073379B">
        <w:rPr>
          <w:rFonts w:ascii="Arial" w:hAnsi="Arial" w:cs="Arial"/>
          <w:color w:val="000000"/>
          <w:sz w:val="24"/>
          <w:szCs w:val="24"/>
        </w:rPr>
        <w:t>must follow,</w:t>
      </w:r>
      <w:r>
        <w:rPr>
          <w:rFonts w:ascii="Arial" w:hAnsi="Arial" w:cs="Arial"/>
          <w:color w:val="000000"/>
          <w:sz w:val="24"/>
          <w:szCs w:val="24"/>
        </w:rPr>
        <w:t xml:space="preserve"> that it was not necessary for the legislature to have expressly provided for a right of appeal against that order.</w:t>
      </w:r>
      <w:r w:rsidR="003248D4">
        <w:rPr>
          <w:rFonts w:ascii="Arial" w:hAnsi="Arial" w:cs="Arial"/>
          <w:color w:val="000000"/>
          <w:sz w:val="24"/>
          <w:szCs w:val="24"/>
        </w:rPr>
        <w:t xml:space="preserve"> </w:t>
      </w:r>
    </w:p>
    <w:p w14:paraId="694D841B" w14:textId="21F1ABCB" w:rsidR="00821A64" w:rsidRDefault="00821A64" w:rsidP="008B19D7">
      <w:pPr>
        <w:spacing w:after="0" w:line="360" w:lineRule="auto"/>
        <w:jc w:val="both"/>
        <w:rPr>
          <w:rFonts w:ascii="Arial" w:hAnsi="Arial" w:cs="Arial"/>
          <w:sz w:val="24"/>
          <w:szCs w:val="24"/>
          <w:lang w:val="en-US"/>
        </w:rPr>
      </w:pPr>
    </w:p>
    <w:p w14:paraId="4DEDC675" w14:textId="11F7D5E2" w:rsidR="00D16E3F" w:rsidRDefault="004F5DEE" w:rsidP="00D16E3F">
      <w:pPr>
        <w:spacing w:after="0" w:line="360" w:lineRule="auto"/>
        <w:jc w:val="both"/>
        <w:rPr>
          <w:rFonts w:ascii="Arial" w:hAnsi="Arial" w:cs="Arial"/>
          <w:color w:val="000000"/>
          <w:sz w:val="24"/>
          <w:szCs w:val="24"/>
        </w:rPr>
      </w:pPr>
      <w:r>
        <w:rPr>
          <w:rFonts w:ascii="Arial" w:hAnsi="Arial" w:cs="Arial"/>
          <w:sz w:val="24"/>
          <w:szCs w:val="24"/>
          <w:lang w:val="en-US"/>
        </w:rPr>
        <w:t>[20]</w:t>
      </w:r>
      <w:r>
        <w:rPr>
          <w:rFonts w:ascii="Arial" w:hAnsi="Arial" w:cs="Arial"/>
          <w:sz w:val="24"/>
          <w:szCs w:val="24"/>
          <w:lang w:val="en-US"/>
        </w:rPr>
        <w:tab/>
      </w:r>
      <w:r w:rsidR="0073379B">
        <w:rPr>
          <w:rFonts w:ascii="Arial" w:hAnsi="Arial" w:cs="Arial"/>
          <w:sz w:val="24"/>
          <w:szCs w:val="24"/>
          <w:lang w:val="en-US"/>
        </w:rPr>
        <w:t xml:space="preserve">To sum up: </w:t>
      </w:r>
      <w:r w:rsidR="00377C6E" w:rsidRPr="007535FC">
        <w:rPr>
          <w:rFonts w:ascii="Arial" w:hAnsi="Arial" w:cs="Arial"/>
          <w:sz w:val="24"/>
          <w:szCs w:val="24"/>
          <w:lang w:val="en-US"/>
        </w:rPr>
        <w:t>first, the provision is capable of more than one meaning; and, second</w:t>
      </w:r>
      <w:r w:rsidR="00C62F65" w:rsidRPr="007535FC">
        <w:rPr>
          <w:rFonts w:ascii="Arial" w:hAnsi="Arial" w:cs="Arial"/>
          <w:sz w:val="24"/>
          <w:szCs w:val="24"/>
          <w:lang w:val="en-US"/>
        </w:rPr>
        <w:t>,</w:t>
      </w:r>
      <w:r w:rsidR="00377C6E" w:rsidRPr="007535FC">
        <w:rPr>
          <w:rFonts w:ascii="Arial" w:hAnsi="Arial" w:cs="Arial"/>
          <w:sz w:val="24"/>
          <w:szCs w:val="24"/>
          <w:lang w:val="en-US"/>
        </w:rPr>
        <w:t xml:space="preserve"> the denial of the right of appeal is not a necessary inference from the terms of the amendment</w:t>
      </w:r>
      <w:r w:rsidR="003D50FD" w:rsidRPr="007535FC">
        <w:rPr>
          <w:rFonts w:ascii="Arial" w:hAnsi="Arial" w:cs="Arial"/>
          <w:sz w:val="24"/>
          <w:szCs w:val="24"/>
          <w:lang w:val="en-US"/>
        </w:rPr>
        <w:t>, particularly when regard is had to the relevant interpretive aids already alluded to</w:t>
      </w:r>
      <w:r w:rsidR="00377C6E" w:rsidRPr="007535FC">
        <w:rPr>
          <w:rFonts w:ascii="Arial" w:hAnsi="Arial" w:cs="Arial"/>
          <w:sz w:val="24"/>
          <w:szCs w:val="24"/>
          <w:lang w:val="en-US"/>
        </w:rPr>
        <w:t xml:space="preserve">. </w:t>
      </w:r>
      <w:r w:rsidR="00C02461" w:rsidRPr="007535FC">
        <w:rPr>
          <w:rFonts w:ascii="Arial" w:hAnsi="Arial" w:cs="Arial"/>
          <w:sz w:val="24"/>
          <w:szCs w:val="24"/>
          <w:lang w:val="en-US"/>
        </w:rPr>
        <w:t>It would thus seem that</w:t>
      </w:r>
      <w:r w:rsidR="00C02461" w:rsidRPr="00993955">
        <w:rPr>
          <w:rFonts w:ascii="Arial" w:hAnsi="Arial" w:cs="Arial"/>
          <w:sz w:val="24"/>
          <w:szCs w:val="24"/>
          <w:lang w:val="en-US"/>
        </w:rPr>
        <w:t xml:space="preserve"> the only sensible and businesslike construction to be placed on the provision is that </w:t>
      </w:r>
      <w:r>
        <w:rPr>
          <w:rFonts w:ascii="Arial" w:hAnsi="Arial" w:cs="Arial"/>
          <w:sz w:val="24"/>
          <w:szCs w:val="24"/>
          <w:lang w:val="en-US"/>
        </w:rPr>
        <w:t>an</w:t>
      </w:r>
      <w:r w:rsidR="00821A64">
        <w:rPr>
          <w:rFonts w:ascii="Arial" w:hAnsi="Arial" w:cs="Arial"/>
          <w:sz w:val="24"/>
          <w:szCs w:val="24"/>
          <w:lang w:val="en-US"/>
        </w:rPr>
        <w:t xml:space="preserve"> order dismissing an application for a provisional sequestration order</w:t>
      </w:r>
      <w:r w:rsidR="00C02461" w:rsidRPr="00993955">
        <w:rPr>
          <w:rFonts w:ascii="Arial" w:hAnsi="Arial" w:cs="Arial"/>
          <w:sz w:val="24"/>
          <w:szCs w:val="24"/>
          <w:lang w:val="en-US"/>
        </w:rPr>
        <w:t xml:space="preserve"> is not </w:t>
      </w:r>
      <w:r>
        <w:rPr>
          <w:rFonts w:ascii="Arial" w:hAnsi="Arial" w:cs="Arial"/>
          <w:sz w:val="24"/>
          <w:szCs w:val="24"/>
          <w:lang w:val="en-US"/>
        </w:rPr>
        <w:t>‘an order made by a Court’</w:t>
      </w:r>
      <w:r w:rsidR="00C02461" w:rsidRPr="00993955">
        <w:rPr>
          <w:rFonts w:ascii="Arial" w:hAnsi="Arial" w:cs="Arial"/>
          <w:sz w:val="24"/>
          <w:szCs w:val="24"/>
          <w:lang w:val="en-US"/>
        </w:rPr>
        <w:t xml:space="preserve"> </w:t>
      </w:r>
      <w:r>
        <w:rPr>
          <w:rFonts w:ascii="Arial" w:hAnsi="Arial" w:cs="Arial"/>
          <w:sz w:val="24"/>
          <w:szCs w:val="24"/>
          <w:lang w:val="en-US"/>
        </w:rPr>
        <w:t>as contemplated by</w:t>
      </w:r>
      <w:r w:rsidR="00C02461" w:rsidRPr="00993955">
        <w:rPr>
          <w:rFonts w:ascii="Arial" w:hAnsi="Arial" w:cs="Arial"/>
          <w:sz w:val="24"/>
          <w:szCs w:val="24"/>
          <w:lang w:val="en-US"/>
        </w:rPr>
        <w:t xml:space="preserve"> s 150(5) of the Act. To hold otherwise would give rise to the various absurd anomalies alluded to. </w:t>
      </w:r>
      <w:r>
        <w:rPr>
          <w:rFonts w:ascii="Arial" w:hAnsi="Arial" w:cs="Arial"/>
          <w:sz w:val="24"/>
          <w:szCs w:val="24"/>
          <w:lang w:val="en-US"/>
        </w:rPr>
        <w:t xml:space="preserve">Moreover, </w:t>
      </w:r>
      <w:r w:rsidR="0079307F">
        <w:rPr>
          <w:rFonts w:ascii="Arial" w:hAnsi="Arial" w:cs="Arial"/>
          <w:sz w:val="24"/>
          <w:szCs w:val="24"/>
          <w:lang w:val="en-US"/>
        </w:rPr>
        <w:t>sight cannot be lost of the fact that c</w:t>
      </w:r>
      <w:r w:rsidR="00C02461" w:rsidRPr="00993955">
        <w:rPr>
          <w:rFonts w:ascii="Arial" w:hAnsi="Arial" w:cs="Arial"/>
          <w:sz w:val="24"/>
          <w:szCs w:val="24"/>
          <w:lang w:val="en-US"/>
        </w:rPr>
        <w:t xml:space="preserve">onsideration must </w:t>
      </w:r>
      <w:r w:rsidR="002D6B1F">
        <w:rPr>
          <w:rFonts w:ascii="Arial" w:hAnsi="Arial" w:cs="Arial"/>
          <w:sz w:val="24"/>
          <w:szCs w:val="24"/>
          <w:lang w:val="en-US"/>
        </w:rPr>
        <w:t xml:space="preserve">also </w:t>
      </w:r>
      <w:r w:rsidR="00C02461" w:rsidRPr="00993955">
        <w:rPr>
          <w:rFonts w:ascii="Arial" w:hAnsi="Arial" w:cs="Arial"/>
          <w:sz w:val="24"/>
          <w:szCs w:val="24"/>
          <w:lang w:val="en-US"/>
        </w:rPr>
        <w:t xml:space="preserve">be given to whether </w:t>
      </w:r>
      <w:r w:rsidR="00775F38">
        <w:rPr>
          <w:rFonts w:ascii="Arial" w:hAnsi="Arial" w:cs="Arial"/>
          <w:sz w:val="24"/>
          <w:szCs w:val="24"/>
          <w:lang w:val="en-US"/>
        </w:rPr>
        <w:t>the</w:t>
      </w:r>
      <w:r w:rsidR="00C02461" w:rsidRPr="00993955">
        <w:rPr>
          <w:rFonts w:ascii="Arial" w:hAnsi="Arial" w:cs="Arial"/>
          <w:sz w:val="24"/>
          <w:szCs w:val="24"/>
          <w:lang w:val="en-US"/>
        </w:rPr>
        <w:t xml:space="preserve"> provision can be read in a manner that is consistent with the Constitution. On th</w:t>
      </w:r>
      <w:r w:rsidR="00D27EC9">
        <w:rPr>
          <w:rFonts w:ascii="Arial" w:hAnsi="Arial" w:cs="Arial"/>
          <w:sz w:val="24"/>
          <w:szCs w:val="24"/>
          <w:lang w:val="en-US"/>
        </w:rPr>
        <w:t>e</w:t>
      </w:r>
      <w:r w:rsidR="00C02461" w:rsidRPr="00993955">
        <w:rPr>
          <w:rFonts w:ascii="Arial" w:hAnsi="Arial" w:cs="Arial"/>
          <w:sz w:val="24"/>
          <w:szCs w:val="24"/>
          <w:lang w:val="en-US"/>
        </w:rPr>
        <w:t xml:space="preserve"> construction</w:t>
      </w:r>
      <w:r w:rsidR="002D6B1F">
        <w:rPr>
          <w:rFonts w:ascii="Arial" w:hAnsi="Arial" w:cs="Arial"/>
          <w:sz w:val="24"/>
          <w:szCs w:val="24"/>
          <w:lang w:val="en-US"/>
        </w:rPr>
        <w:t xml:space="preserve"> favoured here</w:t>
      </w:r>
      <w:r w:rsidR="00C02461" w:rsidRPr="00993955">
        <w:rPr>
          <w:rFonts w:ascii="Arial" w:hAnsi="Arial" w:cs="Arial"/>
          <w:sz w:val="24"/>
          <w:szCs w:val="24"/>
          <w:lang w:val="en-US"/>
        </w:rPr>
        <w:t xml:space="preserve">, unlike </w:t>
      </w:r>
      <w:r w:rsidR="00222CDE" w:rsidRPr="00023DFB">
        <w:rPr>
          <w:rFonts w:ascii="Arial" w:hAnsi="Arial" w:cs="Arial"/>
          <w:sz w:val="24"/>
          <w:szCs w:val="24"/>
          <w:lang w:val="en-US"/>
        </w:rPr>
        <w:t>in</w:t>
      </w:r>
      <w:r w:rsidR="00222CDE">
        <w:rPr>
          <w:rFonts w:ascii="Arial" w:hAnsi="Arial" w:cs="Arial"/>
          <w:sz w:val="24"/>
          <w:szCs w:val="24"/>
          <w:lang w:val="en-US"/>
        </w:rPr>
        <w:t xml:space="preserve"> </w:t>
      </w:r>
      <w:r w:rsidR="0079307F">
        <w:rPr>
          <w:rFonts w:ascii="Arial" w:hAnsi="Arial" w:cs="Arial"/>
          <w:i/>
          <w:iCs/>
          <w:sz w:val="24"/>
          <w:szCs w:val="24"/>
          <w:lang w:val="en-US"/>
        </w:rPr>
        <w:t>Bhamjee</w:t>
      </w:r>
      <w:r w:rsidR="0079307F">
        <w:rPr>
          <w:rFonts w:ascii="Arial" w:hAnsi="Arial" w:cs="Arial"/>
          <w:sz w:val="24"/>
          <w:szCs w:val="24"/>
          <w:lang w:val="en-US"/>
        </w:rPr>
        <w:t>,</w:t>
      </w:r>
      <w:r w:rsidR="00C02461" w:rsidRPr="00993955">
        <w:rPr>
          <w:rFonts w:ascii="Arial" w:hAnsi="Arial" w:cs="Arial"/>
          <w:color w:val="000000"/>
          <w:sz w:val="24"/>
          <w:szCs w:val="24"/>
        </w:rPr>
        <w:t xml:space="preserve"> </w:t>
      </w:r>
      <w:r w:rsidR="00C02461" w:rsidRPr="00993955">
        <w:rPr>
          <w:rFonts w:ascii="Arial" w:hAnsi="Arial" w:cs="Arial"/>
          <w:i/>
          <w:sz w:val="24"/>
          <w:szCs w:val="24"/>
          <w:lang w:val="en-US"/>
        </w:rPr>
        <w:t>Lawclaims</w:t>
      </w:r>
      <w:r w:rsidR="0079307F">
        <w:rPr>
          <w:rFonts w:ascii="Arial" w:hAnsi="Arial" w:cs="Arial"/>
          <w:i/>
          <w:sz w:val="24"/>
          <w:szCs w:val="24"/>
          <w:lang w:val="en-US"/>
        </w:rPr>
        <w:t xml:space="preserve"> </w:t>
      </w:r>
      <w:r w:rsidR="0079307F">
        <w:rPr>
          <w:rFonts w:ascii="Arial" w:hAnsi="Arial" w:cs="Arial"/>
          <w:iCs/>
          <w:sz w:val="24"/>
          <w:szCs w:val="24"/>
          <w:lang w:val="en-US"/>
        </w:rPr>
        <w:t>and</w:t>
      </w:r>
      <w:r w:rsidR="00C02461" w:rsidRPr="00993955">
        <w:rPr>
          <w:rFonts w:ascii="Arial" w:hAnsi="Arial" w:cs="Arial"/>
          <w:sz w:val="24"/>
          <w:szCs w:val="24"/>
          <w:lang w:val="en-US"/>
        </w:rPr>
        <w:t xml:space="preserve"> </w:t>
      </w:r>
      <w:r w:rsidR="0079307F" w:rsidRPr="00993955">
        <w:rPr>
          <w:rFonts w:ascii="Arial" w:hAnsi="Arial" w:cs="Arial"/>
          <w:i/>
          <w:sz w:val="24"/>
          <w:szCs w:val="24"/>
          <w:lang w:val="en-US"/>
        </w:rPr>
        <w:t>Gottschalk</w:t>
      </w:r>
      <w:r w:rsidR="00D27EC9" w:rsidRPr="00D27EC9">
        <w:rPr>
          <w:rFonts w:ascii="Arial" w:hAnsi="Arial" w:cs="Arial"/>
          <w:iCs/>
          <w:sz w:val="24"/>
          <w:szCs w:val="24"/>
          <w:lang w:val="en-US"/>
        </w:rPr>
        <w:t>,</w:t>
      </w:r>
      <w:r w:rsidR="00D27EC9">
        <w:rPr>
          <w:rFonts w:ascii="Arial" w:hAnsi="Arial" w:cs="Arial"/>
          <w:i/>
          <w:sz w:val="24"/>
          <w:szCs w:val="24"/>
          <w:lang w:val="en-US"/>
        </w:rPr>
        <w:t xml:space="preserve"> </w:t>
      </w:r>
      <w:r w:rsidR="00C02461" w:rsidRPr="00993955">
        <w:rPr>
          <w:rFonts w:ascii="Arial" w:hAnsi="Arial" w:cs="Arial"/>
          <w:sz w:val="24"/>
          <w:szCs w:val="24"/>
          <w:lang w:val="en-US"/>
        </w:rPr>
        <w:t>there would be no denial or curtailment of a litigant’s right of appeal.</w:t>
      </w:r>
      <w:r w:rsidR="00821A64">
        <w:rPr>
          <w:rFonts w:ascii="Arial" w:hAnsi="Arial" w:cs="Arial"/>
          <w:color w:val="000000"/>
          <w:sz w:val="24"/>
          <w:szCs w:val="24"/>
        </w:rPr>
        <w:t xml:space="preserve"> </w:t>
      </w:r>
      <w:r w:rsidR="00D27EC9">
        <w:rPr>
          <w:rFonts w:ascii="Arial" w:hAnsi="Arial" w:cs="Arial"/>
          <w:color w:val="000000"/>
          <w:sz w:val="24"/>
          <w:szCs w:val="24"/>
        </w:rPr>
        <w:t>Whilst it is open to an applicant to file a fresh application, that does not avail the present appellant, who</w:t>
      </w:r>
      <w:r w:rsidR="00775F38">
        <w:rPr>
          <w:rFonts w:ascii="Arial" w:hAnsi="Arial" w:cs="Arial"/>
          <w:color w:val="000000"/>
          <w:sz w:val="24"/>
          <w:szCs w:val="24"/>
        </w:rPr>
        <w:t xml:space="preserve"> can </w:t>
      </w:r>
      <w:r w:rsidR="00D27EC9">
        <w:rPr>
          <w:rFonts w:ascii="Arial" w:hAnsi="Arial" w:cs="Arial"/>
          <w:color w:val="000000"/>
          <w:sz w:val="24"/>
          <w:szCs w:val="24"/>
        </w:rPr>
        <w:t xml:space="preserve">place </w:t>
      </w:r>
      <w:r w:rsidR="00775F38">
        <w:rPr>
          <w:rFonts w:ascii="Arial" w:hAnsi="Arial" w:cs="Arial"/>
          <w:color w:val="000000"/>
          <w:sz w:val="24"/>
          <w:szCs w:val="24"/>
        </w:rPr>
        <w:t xml:space="preserve">nothing new </w:t>
      </w:r>
      <w:r w:rsidR="00D27EC9">
        <w:rPr>
          <w:rFonts w:ascii="Arial" w:hAnsi="Arial" w:cs="Arial"/>
          <w:color w:val="000000"/>
          <w:sz w:val="24"/>
          <w:szCs w:val="24"/>
        </w:rPr>
        <w:t xml:space="preserve">before the court. </w:t>
      </w:r>
      <w:r w:rsidR="001A7BF5">
        <w:rPr>
          <w:rFonts w:ascii="Arial" w:hAnsi="Arial" w:cs="Arial"/>
          <w:color w:val="000000"/>
          <w:sz w:val="24"/>
          <w:szCs w:val="24"/>
        </w:rPr>
        <w:t>This means that the final word has been spoken on the application. In the circumstances, the</w:t>
      </w:r>
      <w:r w:rsidR="00D27EC9">
        <w:rPr>
          <w:rFonts w:ascii="Arial" w:hAnsi="Arial" w:cs="Arial"/>
          <w:color w:val="000000"/>
          <w:sz w:val="24"/>
          <w:szCs w:val="24"/>
        </w:rPr>
        <w:t xml:space="preserve"> </w:t>
      </w:r>
      <w:r w:rsidR="00D16E3F">
        <w:rPr>
          <w:rFonts w:ascii="Arial" w:hAnsi="Arial" w:cs="Arial"/>
          <w:color w:val="000000"/>
          <w:sz w:val="24"/>
          <w:szCs w:val="24"/>
        </w:rPr>
        <w:t xml:space="preserve">denial </w:t>
      </w:r>
      <w:r w:rsidR="001A7BF5">
        <w:rPr>
          <w:rFonts w:ascii="Arial" w:hAnsi="Arial" w:cs="Arial"/>
          <w:color w:val="000000"/>
          <w:sz w:val="24"/>
          <w:szCs w:val="24"/>
        </w:rPr>
        <w:t xml:space="preserve">of a right of </w:t>
      </w:r>
      <w:r w:rsidR="001A7BF5">
        <w:rPr>
          <w:rFonts w:ascii="Arial" w:hAnsi="Arial" w:cs="Arial"/>
          <w:color w:val="000000"/>
          <w:sz w:val="24"/>
          <w:szCs w:val="24"/>
        </w:rPr>
        <w:lastRenderedPageBreak/>
        <w:t xml:space="preserve">appeal </w:t>
      </w:r>
      <w:r w:rsidR="00D27EC9">
        <w:rPr>
          <w:rFonts w:ascii="Arial" w:hAnsi="Arial" w:cs="Arial"/>
          <w:color w:val="000000"/>
          <w:sz w:val="24"/>
          <w:szCs w:val="24"/>
        </w:rPr>
        <w:t>may well mean</w:t>
      </w:r>
      <w:r w:rsidR="00D16E3F">
        <w:rPr>
          <w:rFonts w:ascii="Arial" w:hAnsi="Arial" w:cs="Arial"/>
          <w:color w:val="000000"/>
          <w:sz w:val="24"/>
          <w:szCs w:val="24"/>
        </w:rPr>
        <w:t xml:space="preserve"> that an obviously wrong judgment </w:t>
      </w:r>
      <w:r w:rsidR="001A7BF5">
        <w:rPr>
          <w:rFonts w:ascii="Arial" w:hAnsi="Arial" w:cs="Arial"/>
          <w:color w:val="000000"/>
          <w:sz w:val="24"/>
          <w:szCs w:val="24"/>
        </w:rPr>
        <w:t xml:space="preserve">on the merits </w:t>
      </w:r>
      <w:r w:rsidR="00D16E3F">
        <w:rPr>
          <w:rFonts w:ascii="Arial" w:hAnsi="Arial" w:cs="Arial"/>
          <w:color w:val="000000"/>
          <w:sz w:val="24"/>
          <w:szCs w:val="24"/>
        </w:rPr>
        <w:t>would not be open to correction</w:t>
      </w:r>
      <w:r w:rsidR="00D27EC9">
        <w:rPr>
          <w:rFonts w:ascii="Arial" w:hAnsi="Arial" w:cs="Arial"/>
          <w:color w:val="000000"/>
          <w:sz w:val="24"/>
          <w:szCs w:val="24"/>
        </w:rPr>
        <w:t xml:space="preserve">. </w:t>
      </w:r>
      <w:r w:rsidR="001A7BF5">
        <w:rPr>
          <w:rFonts w:ascii="Arial" w:hAnsi="Arial" w:cs="Arial"/>
          <w:color w:val="000000"/>
          <w:sz w:val="24"/>
          <w:szCs w:val="24"/>
        </w:rPr>
        <w:t xml:space="preserve">That would hardly be in the interests of justice and likely not be countenanced by the Constitution, leaving as it does, </w:t>
      </w:r>
      <w:r w:rsidR="00D16E3F">
        <w:rPr>
          <w:rFonts w:ascii="Arial" w:hAnsi="Arial" w:cs="Arial"/>
          <w:color w:val="000000"/>
          <w:sz w:val="24"/>
          <w:szCs w:val="24"/>
        </w:rPr>
        <w:t>a litigant in the position of the</w:t>
      </w:r>
      <w:r w:rsidR="003D2487">
        <w:rPr>
          <w:rFonts w:ascii="Arial" w:hAnsi="Arial" w:cs="Arial"/>
          <w:color w:val="000000"/>
          <w:sz w:val="24"/>
          <w:szCs w:val="24"/>
        </w:rPr>
        <w:t xml:space="preserve"> present appellant remediless.</w:t>
      </w:r>
    </w:p>
    <w:p w14:paraId="5FBF6E0D" w14:textId="77777777" w:rsidR="00D16E3F" w:rsidRDefault="00D16E3F" w:rsidP="00C02461">
      <w:pPr>
        <w:spacing w:after="0" w:line="360" w:lineRule="auto"/>
        <w:jc w:val="both"/>
        <w:rPr>
          <w:rFonts w:ascii="Arial" w:hAnsi="Arial" w:cs="Arial"/>
          <w:color w:val="000000"/>
          <w:sz w:val="24"/>
          <w:szCs w:val="24"/>
        </w:rPr>
      </w:pPr>
    </w:p>
    <w:p w14:paraId="47AA5DD3" w14:textId="72B61F55" w:rsidR="003D2487" w:rsidRDefault="003D2487" w:rsidP="003D2487">
      <w:pPr>
        <w:pStyle w:val="NormalWeb"/>
        <w:shd w:val="clear" w:color="auto" w:fill="FFFFFF"/>
        <w:spacing w:before="0" w:beforeAutospacing="0" w:after="0" w:afterAutospacing="0" w:line="360" w:lineRule="auto"/>
        <w:jc w:val="both"/>
        <w:rPr>
          <w:rFonts w:ascii="Arial" w:hAnsi="Arial" w:cs="Arial"/>
        </w:rPr>
      </w:pPr>
      <w:r>
        <w:rPr>
          <w:rFonts w:ascii="Arial" w:hAnsi="Arial" w:cs="Arial"/>
          <w:lang w:val="en-US"/>
        </w:rPr>
        <w:t>[21]</w:t>
      </w:r>
      <w:r>
        <w:rPr>
          <w:rFonts w:ascii="Arial" w:hAnsi="Arial" w:cs="Arial"/>
          <w:lang w:val="en-US"/>
        </w:rPr>
        <w:tab/>
        <w:t xml:space="preserve">This opens the door to a consideration of the merits of the appeal. </w:t>
      </w:r>
      <w:r>
        <w:rPr>
          <w:rFonts w:ascii="Arial" w:hAnsi="Arial" w:cs="Arial"/>
        </w:rPr>
        <w:t xml:space="preserve">On 16 September 2016, Liberty obtained judgment in the amount of R 883 024.43, plus interest and costs on the attorney and client scale against Mr Moosa. The claim was based on a suretyship executed by him in favour of Liberty for the liabilities of a close corporation, Shaazura Investments CC (Shaazura), which had been placed in voluntary liquidation on 13 March 2013. When Liberty failed to obtain satisfaction of the debt, it initiated an application in the high court in terms of rule 46A of the Uniform Rules of Court to have the two immovable properties that were registered in his name declared executable. Mr Moosa opposed the application and whilst it was pending, he caused ownership of the two properties to pass to the Mubaraak Family Trust (the trust). Each transfer was ‘black-booked’ </w:t>
      </w:r>
      <w:r w:rsidR="00FF1F16">
        <w:rPr>
          <w:rFonts w:ascii="Arial" w:hAnsi="Arial" w:cs="Arial"/>
          <w:bCs/>
        </w:rPr>
        <w:t>–</w:t>
      </w:r>
      <w:r>
        <w:rPr>
          <w:rFonts w:ascii="Arial" w:hAnsi="Arial" w:cs="Arial"/>
        </w:rPr>
        <w:t xml:space="preserve"> a conveyancing term</w:t>
      </w:r>
      <w:r w:rsidR="00C62F65">
        <w:rPr>
          <w:rFonts w:ascii="Arial" w:hAnsi="Arial" w:cs="Arial"/>
        </w:rPr>
        <w:t xml:space="preserve"> - </w:t>
      </w:r>
      <w:r>
        <w:rPr>
          <w:rFonts w:ascii="Arial" w:hAnsi="Arial" w:cs="Arial"/>
        </w:rPr>
        <w:t xml:space="preserve">meaning that the deeds registry was requested to expedite the transfer and registration of ownership. Consequently, transfer and registration of ownership in each instance occurred one week after lodgement of the prescribed documents with the deeds registry. </w:t>
      </w:r>
    </w:p>
    <w:p w14:paraId="6DDE5186" w14:textId="77777777" w:rsidR="003D2487" w:rsidRDefault="003D2487" w:rsidP="003D2487">
      <w:pPr>
        <w:spacing w:after="0" w:line="360" w:lineRule="auto"/>
        <w:jc w:val="both"/>
        <w:rPr>
          <w:rFonts w:ascii="Arial" w:hAnsi="Arial" w:cs="Arial"/>
          <w:sz w:val="24"/>
          <w:szCs w:val="24"/>
        </w:rPr>
      </w:pPr>
    </w:p>
    <w:p w14:paraId="04EA74C6" w14:textId="6D85768F" w:rsidR="003D2487" w:rsidRPr="00144F06" w:rsidRDefault="003D2487" w:rsidP="003D2487">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Mr Moosa was the founder of the trust, which was created on 8 September 2011. The three original trustees were Mr Moosa, Mr Mohammed Shuabe Moosa and a representative of a trust company, Iprotect Trustees (Pty) Ltd. Mr Moosa’s mother was subsequently </w:t>
      </w:r>
      <w:r w:rsidRPr="007535FC">
        <w:rPr>
          <w:rFonts w:ascii="Arial" w:hAnsi="Arial" w:cs="Arial"/>
          <w:sz w:val="24"/>
          <w:szCs w:val="24"/>
        </w:rPr>
        <w:t>appointed a trustee</w:t>
      </w:r>
      <w:r>
        <w:rPr>
          <w:rFonts w:ascii="Arial" w:hAnsi="Arial" w:cs="Arial"/>
          <w:sz w:val="24"/>
          <w:szCs w:val="24"/>
        </w:rPr>
        <w:t xml:space="preserve"> and Mr Mohammed Shuabe Moosa ceased at some stage to be a trustee. The trust is a discretionary trust of which Mr Moosa and his family are the beneficiaries. According to Mr Moosa</w:t>
      </w:r>
      <w:r w:rsidRPr="00144F06">
        <w:rPr>
          <w:rFonts w:ascii="Arial" w:hAnsi="Arial" w:cs="Arial"/>
          <w:sz w:val="24"/>
          <w:szCs w:val="24"/>
        </w:rPr>
        <w:t xml:space="preserve">, </w:t>
      </w:r>
      <w:r>
        <w:rPr>
          <w:rFonts w:ascii="Arial" w:hAnsi="Arial" w:cs="Arial"/>
          <w:sz w:val="24"/>
          <w:szCs w:val="24"/>
        </w:rPr>
        <w:t xml:space="preserve">the trust, </w:t>
      </w:r>
      <w:r w:rsidRPr="00144F06">
        <w:rPr>
          <w:rFonts w:ascii="Arial" w:hAnsi="Arial" w:cs="Arial"/>
          <w:sz w:val="24"/>
          <w:szCs w:val="24"/>
        </w:rPr>
        <w:t xml:space="preserve">‘owns many properties, mainly commercial’, </w:t>
      </w:r>
      <w:r w:rsidRPr="007535FC">
        <w:rPr>
          <w:rFonts w:ascii="Arial" w:hAnsi="Arial" w:cs="Arial"/>
          <w:sz w:val="24"/>
          <w:szCs w:val="24"/>
        </w:rPr>
        <w:t>and ‘[i]t has</w:t>
      </w:r>
      <w:r w:rsidRPr="00144F06">
        <w:rPr>
          <w:rFonts w:ascii="Arial" w:hAnsi="Arial" w:cs="Arial"/>
          <w:sz w:val="24"/>
          <w:szCs w:val="24"/>
        </w:rPr>
        <w:t xml:space="preserve"> available to it the knowledge, skills, contractors and workers to renovate properties cost effectively’.</w:t>
      </w:r>
    </w:p>
    <w:p w14:paraId="318E8368" w14:textId="77777777" w:rsidR="003D2487" w:rsidRDefault="003D2487" w:rsidP="003D2487">
      <w:pPr>
        <w:spacing w:after="0" w:line="360" w:lineRule="auto"/>
        <w:jc w:val="both"/>
        <w:rPr>
          <w:rFonts w:ascii="Arial" w:hAnsi="Arial" w:cs="Arial"/>
        </w:rPr>
      </w:pPr>
    </w:p>
    <w:p w14:paraId="4353FE74" w14:textId="338BA39D" w:rsidR="003D2487" w:rsidRPr="008E5563" w:rsidRDefault="003D2487" w:rsidP="003D2487">
      <w:pPr>
        <w:spacing w:after="0" w:line="360" w:lineRule="auto"/>
        <w:jc w:val="both"/>
        <w:rPr>
          <w:rFonts w:ascii="Arial" w:hAnsi="Arial" w:cs="Arial"/>
          <w:i/>
          <w:iCs/>
          <w:sz w:val="24"/>
          <w:szCs w:val="24"/>
        </w:rPr>
      </w:pPr>
      <w:r>
        <w:rPr>
          <w:rFonts w:ascii="Arial" w:hAnsi="Arial" w:cs="Arial"/>
        </w:rPr>
        <w:t>[23]</w:t>
      </w:r>
      <w:r>
        <w:rPr>
          <w:rFonts w:ascii="Arial" w:hAnsi="Arial" w:cs="Arial"/>
        </w:rPr>
        <w:tab/>
      </w:r>
      <w:r>
        <w:rPr>
          <w:rFonts w:ascii="Arial" w:hAnsi="Arial" w:cs="Arial"/>
          <w:sz w:val="24"/>
          <w:szCs w:val="24"/>
        </w:rPr>
        <w:t xml:space="preserve">Mr Moosa is also a director of three property-owning companies – Sultex Holdings (Pty) Ltd (Sultex), Mstu Investments (Pty) Ltd (Mstu) and Mazzri Investments (Pty) Ltd (Mazzri). Mstu owns an immovable property in Pietermaritzburg, which it purchased from the trust for R5,5 million. Sultex purchased two immovable properties in Pinetown for R35 million. Mazzri, of which Mr Moosa is the sole director, is the owner </w:t>
      </w:r>
      <w:r w:rsidR="0073379B">
        <w:rPr>
          <w:rFonts w:ascii="Arial" w:hAnsi="Arial" w:cs="Arial"/>
          <w:sz w:val="24"/>
          <w:szCs w:val="24"/>
        </w:rPr>
        <w:lastRenderedPageBreak/>
        <w:t>of four immovable properties; t</w:t>
      </w:r>
      <w:r>
        <w:rPr>
          <w:rFonts w:ascii="Arial" w:hAnsi="Arial" w:cs="Arial"/>
          <w:sz w:val="24"/>
          <w:szCs w:val="24"/>
        </w:rPr>
        <w:t xml:space="preserve">wo of which, held under one deed of transfer, were purchased from the trust for an amount of R2,7 million and the other two were purchased for R4 million and R3 million apiece. Mr Moosa admitted that he is a director of Sultex, Mstu, and Mazzri, but stated that he is not a shareholder of any one of them. </w:t>
      </w:r>
    </w:p>
    <w:p w14:paraId="08558189" w14:textId="77777777" w:rsidR="003D2487" w:rsidRDefault="003D2487" w:rsidP="003D2487">
      <w:pPr>
        <w:spacing w:after="0" w:line="360" w:lineRule="auto"/>
        <w:jc w:val="both"/>
        <w:rPr>
          <w:rFonts w:ascii="Arial" w:hAnsi="Arial" w:cs="Arial"/>
          <w:sz w:val="24"/>
          <w:szCs w:val="24"/>
        </w:rPr>
      </w:pPr>
    </w:p>
    <w:p w14:paraId="53570CA1" w14:textId="50AD1405" w:rsidR="003D2487" w:rsidRDefault="003D2487" w:rsidP="003D2487">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It is not necessary to examine the evidence any further. Mr Moosa’s </w:t>
      </w:r>
      <w:r w:rsidRPr="00DD49B3">
        <w:rPr>
          <w:rFonts w:ascii="Arial" w:hAnsi="Arial" w:cs="Arial"/>
          <w:sz w:val="24"/>
          <w:szCs w:val="24"/>
        </w:rPr>
        <w:t xml:space="preserve">answering affidavit raises more questions than answers. </w:t>
      </w:r>
      <w:r>
        <w:rPr>
          <w:rFonts w:ascii="Arial" w:hAnsi="Arial" w:cs="Arial"/>
          <w:sz w:val="24"/>
          <w:szCs w:val="24"/>
        </w:rPr>
        <w:t>He</w:t>
      </w:r>
      <w:r w:rsidRPr="00DD49B3">
        <w:rPr>
          <w:rFonts w:ascii="Arial" w:hAnsi="Arial" w:cs="Arial"/>
          <w:sz w:val="24"/>
          <w:szCs w:val="24"/>
        </w:rPr>
        <w:t xml:space="preserve"> was</w:t>
      </w:r>
      <w:r>
        <w:rPr>
          <w:rFonts w:ascii="Arial" w:hAnsi="Arial" w:cs="Arial"/>
          <w:sz w:val="24"/>
          <w:szCs w:val="24"/>
        </w:rPr>
        <w:t xml:space="preserve"> obliged</w:t>
      </w:r>
      <w:r w:rsidRPr="00DD49B3">
        <w:rPr>
          <w:rFonts w:ascii="Arial" w:hAnsi="Arial" w:cs="Arial"/>
          <w:sz w:val="24"/>
          <w:szCs w:val="24"/>
        </w:rPr>
        <w:t xml:space="preserve"> to be candid with the court and deal pertinent</w:t>
      </w:r>
      <w:r>
        <w:rPr>
          <w:rFonts w:ascii="Arial" w:hAnsi="Arial" w:cs="Arial"/>
          <w:sz w:val="24"/>
          <w:szCs w:val="24"/>
        </w:rPr>
        <w:t xml:space="preserve">ly </w:t>
      </w:r>
      <w:r w:rsidRPr="007535FC">
        <w:rPr>
          <w:rFonts w:ascii="Arial" w:hAnsi="Arial" w:cs="Arial"/>
          <w:sz w:val="24"/>
          <w:szCs w:val="24"/>
        </w:rPr>
        <w:t xml:space="preserve">with </w:t>
      </w:r>
      <w:r w:rsidR="00C62F65" w:rsidRPr="007535FC">
        <w:rPr>
          <w:rFonts w:ascii="Arial" w:hAnsi="Arial" w:cs="Arial"/>
          <w:sz w:val="24"/>
          <w:szCs w:val="24"/>
        </w:rPr>
        <w:t xml:space="preserve">the </w:t>
      </w:r>
      <w:r w:rsidRPr="007535FC">
        <w:rPr>
          <w:rFonts w:ascii="Arial" w:hAnsi="Arial" w:cs="Arial"/>
          <w:sz w:val="24"/>
          <w:szCs w:val="24"/>
        </w:rPr>
        <w:t>facts</w:t>
      </w:r>
      <w:r>
        <w:rPr>
          <w:rFonts w:ascii="Arial" w:hAnsi="Arial" w:cs="Arial"/>
          <w:sz w:val="24"/>
          <w:szCs w:val="24"/>
        </w:rPr>
        <w:t>, particularly those</w:t>
      </w:r>
      <w:r w:rsidRPr="00DD49B3">
        <w:rPr>
          <w:rFonts w:ascii="Arial" w:hAnsi="Arial" w:cs="Arial"/>
          <w:sz w:val="24"/>
          <w:szCs w:val="24"/>
        </w:rPr>
        <w:t xml:space="preserve"> that fall within his peculiar knowledge</w:t>
      </w:r>
      <w:r>
        <w:rPr>
          <w:rFonts w:ascii="Arial" w:hAnsi="Arial" w:cs="Arial"/>
          <w:sz w:val="24"/>
          <w:szCs w:val="24"/>
        </w:rPr>
        <w:t>. It was also incumbent on him</w:t>
      </w:r>
      <w:r w:rsidRPr="00DD49B3">
        <w:rPr>
          <w:rFonts w:ascii="Arial" w:hAnsi="Arial" w:cs="Arial"/>
          <w:sz w:val="24"/>
          <w:szCs w:val="24"/>
        </w:rPr>
        <w:t xml:space="preserve"> to annex copies of </w:t>
      </w:r>
      <w:r>
        <w:rPr>
          <w:rFonts w:ascii="Arial" w:hAnsi="Arial" w:cs="Arial"/>
          <w:sz w:val="24"/>
          <w:szCs w:val="24"/>
        </w:rPr>
        <w:t>relevant</w:t>
      </w:r>
      <w:r w:rsidRPr="00DD49B3">
        <w:rPr>
          <w:rFonts w:ascii="Arial" w:hAnsi="Arial" w:cs="Arial"/>
          <w:sz w:val="24"/>
          <w:szCs w:val="24"/>
        </w:rPr>
        <w:t xml:space="preserve"> documentary</w:t>
      </w:r>
      <w:r>
        <w:rPr>
          <w:rFonts w:ascii="Arial" w:hAnsi="Arial" w:cs="Arial"/>
          <w:sz w:val="24"/>
          <w:szCs w:val="24"/>
        </w:rPr>
        <w:t xml:space="preserve"> </w:t>
      </w:r>
      <w:r w:rsidRPr="00DD49B3">
        <w:rPr>
          <w:rFonts w:ascii="Arial" w:hAnsi="Arial" w:cs="Arial"/>
          <w:sz w:val="24"/>
          <w:szCs w:val="24"/>
        </w:rPr>
        <w:t xml:space="preserve">evidence, to enable the court to ascertain whether his version </w:t>
      </w:r>
      <w:r>
        <w:rPr>
          <w:rFonts w:ascii="Arial" w:hAnsi="Arial" w:cs="Arial"/>
          <w:sz w:val="24"/>
          <w:szCs w:val="24"/>
        </w:rPr>
        <w:t xml:space="preserve">survives </w:t>
      </w:r>
      <w:r w:rsidRPr="00DD49B3">
        <w:rPr>
          <w:rFonts w:ascii="Arial" w:hAnsi="Arial" w:cs="Arial"/>
          <w:sz w:val="24"/>
          <w:szCs w:val="24"/>
        </w:rPr>
        <w:t>scrutiny</w:t>
      </w:r>
      <w:r w:rsidRPr="007535FC">
        <w:rPr>
          <w:rFonts w:ascii="Arial" w:hAnsi="Arial" w:cs="Arial"/>
          <w:sz w:val="24"/>
          <w:szCs w:val="24"/>
        </w:rPr>
        <w:t xml:space="preserve">. </w:t>
      </w:r>
      <w:r w:rsidR="00C62F65" w:rsidRPr="007535FC">
        <w:rPr>
          <w:rFonts w:ascii="Arial" w:hAnsi="Arial" w:cs="Arial"/>
          <w:sz w:val="24"/>
          <w:szCs w:val="24"/>
        </w:rPr>
        <w:t>And, to</w:t>
      </w:r>
      <w:r w:rsidRPr="007535FC">
        <w:rPr>
          <w:rFonts w:ascii="Arial" w:hAnsi="Arial" w:cs="Arial"/>
          <w:sz w:val="24"/>
          <w:szCs w:val="24"/>
        </w:rPr>
        <w:t xml:space="preserve"> put up confirmatory affidavits from persons, including his mother, to whom</w:t>
      </w:r>
      <w:r w:rsidR="00C62F65" w:rsidRPr="007535FC">
        <w:rPr>
          <w:rFonts w:ascii="Arial" w:hAnsi="Arial" w:cs="Arial"/>
          <w:sz w:val="24"/>
          <w:szCs w:val="24"/>
        </w:rPr>
        <w:t xml:space="preserve"> </w:t>
      </w:r>
      <w:r w:rsidRPr="007535FC">
        <w:rPr>
          <w:rFonts w:ascii="Arial" w:hAnsi="Arial" w:cs="Arial"/>
          <w:sz w:val="24"/>
          <w:szCs w:val="24"/>
        </w:rPr>
        <w:t xml:space="preserve">he was </w:t>
      </w:r>
      <w:r w:rsidR="00C62F65" w:rsidRPr="007535FC">
        <w:rPr>
          <w:rFonts w:ascii="Arial" w:hAnsi="Arial" w:cs="Arial"/>
          <w:sz w:val="24"/>
          <w:szCs w:val="24"/>
        </w:rPr>
        <w:t xml:space="preserve">allegedly </w:t>
      </w:r>
      <w:r w:rsidRPr="007535FC">
        <w:rPr>
          <w:rFonts w:ascii="Arial" w:hAnsi="Arial" w:cs="Arial"/>
          <w:sz w:val="24"/>
          <w:szCs w:val="24"/>
        </w:rPr>
        <w:t>indebted.</w:t>
      </w:r>
      <w:r>
        <w:rPr>
          <w:rFonts w:ascii="Arial" w:hAnsi="Arial" w:cs="Arial"/>
          <w:sz w:val="24"/>
          <w:szCs w:val="24"/>
        </w:rPr>
        <w:t xml:space="preserve"> </w:t>
      </w:r>
    </w:p>
    <w:p w14:paraId="4D8C6E9B" w14:textId="77777777" w:rsidR="003D2487" w:rsidRDefault="003D2487" w:rsidP="003D2487">
      <w:pPr>
        <w:spacing w:after="0" w:line="360" w:lineRule="auto"/>
        <w:jc w:val="both"/>
        <w:rPr>
          <w:rFonts w:ascii="Arial" w:hAnsi="Arial" w:cs="Arial"/>
          <w:sz w:val="24"/>
          <w:szCs w:val="24"/>
        </w:rPr>
      </w:pPr>
    </w:p>
    <w:p w14:paraId="1F7BFC4A" w14:textId="77777777" w:rsidR="003D2487" w:rsidRPr="004E6BD1" w:rsidRDefault="003D2487" w:rsidP="003D2487">
      <w:pPr>
        <w:spacing w:after="0" w:line="360" w:lineRule="auto"/>
        <w:jc w:val="both"/>
        <w:rPr>
          <w:rFonts w:ascii="Arial" w:hAnsi="Arial" w:cs="Arial"/>
        </w:rPr>
      </w:pPr>
      <w:r>
        <w:rPr>
          <w:rFonts w:ascii="Arial" w:hAnsi="Arial" w:cs="Arial"/>
          <w:sz w:val="24"/>
          <w:szCs w:val="24"/>
        </w:rPr>
        <w:t>[25]</w:t>
      </w:r>
      <w:r>
        <w:rPr>
          <w:rFonts w:ascii="Arial" w:hAnsi="Arial" w:cs="Arial"/>
          <w:sz w:val="24"/>
          <w:szCs w:val="24"/>
        </w:rPr>
        <w:tab/>
      </w:r>
      <w:r w:rsidRPr="004E6BD1">
        <w:rPr>
          <w:rFonts w:ascii="Arial" w:hAnsi="Arial" w:cs="Arial"/>
          <w:sz w:val="24"/>
          <w:szCs w:val="24"/>
        </w:rPr>
        <w:t xml:space="preserve">What is important for present purposes </w:t>
      </w:r>
      <w:r>
        <w:rPr>
          <w:rFonts w:ascii="Arial" w:hAnsi="Arial" w:cs="Arial"/>
          <w:sz w:val="24"/>
          <w:szCs w:val="24"/>
        </w:rPr>
        <w:t>is that he</w:t>
      </w:r>
      <w:r w:rsidRPr="004E6BD1">
        <w:rPr>
          <w:rFonts w:ascii="Arial" w:hAnsi="Arial" w:cs="Arial"/>
          <w:sz w:val="24"/>
          <w:szCs w:val="24"/>
        </w:rPr>
        <w:t xml:space="preserve"> admitted that he is indebted to Liberty in the amount of R1 676 048.86. He described himself in his answering affidavit as being both ‘factually’ and ‘hopelessly insolvent’. He added:</w:t>
      </w:r>
    </w:p>
    <w:p w14:paraId="728A5D66" w14:textId="77777777" w:rsidR="003D2487" w:rsidRDefault="003D2487" w:rsidP="003D2487">
      <w:pPr>
        <w:spacing w:after="0" w:line="360" w:lineRule="auto"/>
        <w:jc w:val="both"/>
        <w:rPr>
          <w:rFonts w:ascii="Arial" w:hAnsi="Arial" w:cs="Arial"/>
        </w:rPr>
      </w:pPr>
      <w:r>
        <w:rPr>
          <w:rFonts w:ascii="Arial" w:hAnsi="Arial" w:cs="Arial"/>
        </w:rPr>
        <w:t>‘In fact, my liabilities exceed my assets to such an extent that there would be no benefit for creditors if my estate is sequestrated as will be demonstrated below.’</w:t>
      </w:r>
    </w:p>
    <w:p w14:paraId="412E0CF0" w14:textId="372D5ADB" w:rsidR="003D2487" w:rsidRDefault="003D2487" w:rsidP="003D2487">
      <w:pPr>
        <w:spacing w:after="0" w:line="360" w:lineRule="auto"/>
        <w:jc w:val="both"/>
        <w:rPr>
          <w:rFonts w:ascii="Arial" w:hAnsi="Arial" w:cs="Arial"/>
          <w:sz w:val="24"/>
          <w:szCs w:val="24"/>
        </w:rPr>
      </w:pPr>
      <w:r>
        <w:rPr>
          <w:rFonts w:ascii="Arial" w:hAnsi="Arial" w:cs="Arial"/>
          <w:sz w:val="24"/>
          <w:szCs w:val="24"/>
        </w:rPr>
        <w:t>Mr Moosa resists the application, because, so he contends, if a provisional sequestration order were to issue, the</w:t>
      </w:r>
      <w:r w:rsidR="00FF1F16">
        <w:rPr>
          <w:rFonts w:ascii="Arial" w:hAnsi="Arial" w:cs="Arial"/>
          <w:sz w:val="24"/>
          <w:szCs w:val="24"/>
        </w:rPr>
        <w:t>re</w:t>
      </w:r>
      <w:r>
        <w:rPr>
          <w:rFonts w:ascii="Arial" w:hAnsi="Arial" w:cs="Arial"/>
          <w:sz w:val="24"/>
          <w:szCs w:val="24"/>
        </w:rPr>
        <w:t xml:space="preserve"> would be no advantage to creditors.</w:t>
      </w:r>
    </w:p>
    <w:p w14:paraId="1EB328D5" w14:textId="77777777" w:rsidR="003D2487" w:rsidRPr="002C6C29" w:rsidRDefault="003D2487" w:rsidP="003D2487">
      <w:pPr>
        <w:spacing w:after="0" w:line="360" w:lineRule="auto"/>
        <w:jc w:val="both"/>
        <w:rPr>
          <w:rFonts w:ascii="Arial" w:hAnsi="Arial" w:cs="Arial"/>
          <w:sz w:val="24"/>
          <w:szCs w:val="24"/>
        </w:rPr>
      </w:pPr>
    </w:p>
    <w:p w14:paraId="5A323E75" w14:textId="62D3C2D5" w:rsidR="003D2487" w:rsidRDefault="003D2487" w:rsidP="003D2487">
      <w:pPr>
        <w:spacing w:after="0" w:line="360" w:lineRule="auto"/>
        <w:jc w:val="both"/>
        <w:rPr>
          <w:rFonts w:ascii="Arial" w:hAnsi="Arial" w:cs="Arial"/>
          <w:sz w:val="24"/>
          <w:szCs w:val="24"/>
        </w:rPr>
      </w:pPr>
      <w:r>
        <w:rPr>
          <w:rFonts w:ascii="Arial" w:hAnsi="Arial" w:cs="Arial"/>
          <w:sz w:val="24"/>
          <w:szCs w:val="24"/>
        </w:rPr>
        <w:t>[26</w:t>
      </w:r>
      <w:r w:rsidRPr="002C6C29">
        <w:rPr>
          <w:rFonts w:ascii="Arial" w:hAnsi="Arial" w:cs="Arial"/>
          <w:sz w:val="24"/>
          <w:szCs w:val="24"/>
        </w:rPr>
        <w:t xml:space="preserve">] </w:t>
      </w:r>
      <w:r>
        <w:rPr>
          <w:rFonts w:ascii="Arial" w:hAnsi="Arial" w:cs="Arial"/>
          <w:sz w:val="24"/>
          <w:szCs w:val="24"/>
        </w:rPr>
        <w:tab/>
      </w:r>
      <w:r w:rsidRPr="00421394">
        <w:rPr>
          <w:rFonts w:ascii="Arial" w:hAnsi="Arial" w:cs="Arial"/>
          <w:sz w:val="24"/>
          <w:szCs w:val="24"/>
        </w:rPr>
        <w:t>Liberty argues that all indications are that Mr Moosa ‘is indeed the driving force and directing mind of the trust’</w:t>
      </w:r>
      <w:r>
        <w:rPr>
          <w:rFonts w:ascii="Arial" w:hAnsi="Arial" w:cs="Arial"/>
          <w:sz w:val="24"/>
          <w:szCs w:val="24"/>
        </w:rPr>
        <w:t xml:space="preserve"> and</w:t>
      </w:r>
      <w:r w:rsidRPr="00421394">
        <w:rPr>
          <w:rFonts w:ascii="Arial" w:hAnsi="Arial" w:cs="Arial"/>
          <w:sz w:val="24"/>
          <w:szCs w:val="24"/>
        </w:rPr>
        <w:t xml:space="preserve"> that what</w:t>
      </w:r>
      <w:r>
        <w:rPr>
          <w:rFonts w:ascii="Arial" w:hAnsi="Arial" w:cs="Arial"/>
          <w:sz w:val="24"/>
          <w:szCs w:val="24"/>
        </w:rPr>
        <w:t xml:space="preserve"> he</w:t>
      </w:r>
      <w:r w:rsidRPr="00421394">
        <w:rPr>
          <w:rFonts w:ascii="Arial" w:hAnsi="Arial" w:cs="Arial"/>
          <w:sz w:val="24"/>
          <w:szCs w:val="24"/>
        </w:rPr>
        <w:t xml:space="preserve"> has effectively achieved </w:t>
      </w:r>
      <w:r>
        <w:rPr>
          <w:rFonts w:ascii="Arial" w:hAnsi="Arial" w:cs="Arial"/>
          <w:sz w:val="24"/>
          <w:szCs w:val="24"/>
        </w:rPr>
        <w:t>is</w:t>
      </w:r>
      <w:r w:rsidRPr="00421394">
        <w:rPr>
          <w:rFonts w:ascii="Arial" w:hAnsi="Arial" w:cs="Arial"/>
          <w:sz w:val="24"/>
          <w:szCs w:val="24"/>
        </w:rPr>
        <w:t xml:space="preserve"> to put the properties beyond the reach of his creditors</w:t>
      </w:r>
      <w:r>
        <w:rPr>
          <w:rFonts w:ascii="Arial" w:hAnsi="Arial" w:cs="Arial"/>
          <w:sz w:val="24"/>
          <w:szCs w:val="24"/>
        </w:rPr>
        <w:t>.</w:t>
      </w:r>
      <w:r w:rsidRPr="00421394">
        <w:rPr>
          <w:rFonts w:ascii="Arial" w:hAnsi="Arial" w:cs="Arial"/>
          <w:sz w:val="24"/>
          <w:szCs w:val="24"/>
        </w:rPr>
        <w:t xml:space="preserve"> </w:t>
      </w:r>
      <w:r>
        <w:rPr>
          <w:rFonts w:ascii="Arial" w:hAnsi="Arial" w:cs="Arial"/>
          <w:sz w:val="24"/>
          <w:szCs w:val="24"/>
        </w:rPr>
        <w:t>Mr Moosa</w:t>
      </w:r>
      <w:r w:rsidRPr="002C6C29">
        <w:rPr>
          <w:rFonts w:ascii="Arial" w:hAnsi="Arial" w:cs="Arial"/>
          <w:sz w:val="24"/>
          <w:szCs w:val="24"/>
        </w:rPr>
        <w:t xml:space="preserve"> </w:t>
      </w:r>
      <w:r>
        <w:rPr>
          <w:rFonts w:ascii="Arial" w:hAnsi="Arial" w:cs="Arial"/>
          <w:sz w:val="24"/>
          <w:szCs w:val="24"/>
        </w:rPr>
        <w:t>proffered no plausible explanation as to why he surreptitiously caused the passing of ownership of the two properties. Th</w:t>
      </w:r>
      <w:r w:rsidR="00C62F65">
        <w:rPr>
          <w:rFonts w:ascii="Arial" w:hAnsi="Arial" w:cs="Arial"/>
          <w:sz w:val="24"/>
          <w:szCs w:val="24"/>
        </w:rPr>
        <w:t>at</w:t>
      </w:r>
      <w:r>
        <w:rPr>
          <w:rFonts w:ascii="Arial" w:hAnsi="Arial" w:cs="Arial"/>
          <w:sz w:val="24"/>
          <w:szCs w:val="24"/>
        </w:rPr>
        <w:t xml:space="preserve"> is something in regard to which an investigation and inquiry may yield a benefit to his creditors if it were found </w:t>
      </w:r>
      <w:r w:rsidRPr="00421394">
        <w:rPr>
          <w:rFonts w:ascii="Arial" w:hAnsi="Arial" w:cs="Arial"/>
          <w:sz w:val="24"/>
          <w:szCs w:val="24"/>
        </w:rPr>
        <w:t>that th</w:t>
      </w:r>
      <w:r w:rsidR="0073379B">
        <w:rPr>
          <w:rFonts w:ascii="Arial" w:hAnsi="Arial" w:cs="Arial"/>
          <w:sz w:val="24"/>
          <w:szCs w:val="24"/>
        </w:rPr>
        <w:t>e sale and transfer of those properties</w:t>
      </w:r>
      <w:r w:rsidRPr="00421394">
        <w:rPr>
          <w:rFonts w:ascii="Arial" w:hAnsi="Arial" w:cs="Arial"/>
          <w:sz w:val="24"/>
          <w:szCs w:val="24"/>
        </w:rPr>
        <w:t xml:space="preserve"> to the trust were improper dispositions as contemplated </w:t>
      </w:r>
      <w:r w:rsidRPr="007535FC">
        <w:rPr>
          <w:rFonts w:ascii="Arial" w:hAnsi="Arial" w:cs="Arial"/>
          <w:sz w:val="24"/>
          <w:szCs w:val="24"/>
        </w:rPr>
        <w:t>in ss 29, 30 and 31 of the Act. So too</w:t>
      </w:r>
      <w:r w:rsidR="0073379B">
        <w:rPr>
          <w:rFonts w:ascii="Arial" w:hAnsi="Arial" w:cs="Arial"/>
          <w:sz w:val="24"/>
          <w:szCs w:val="24"/>
        </w:rPr>
        <w:t>,</w:t>
      </w:r>
      <w:r w:rsidRPr="007535FC">
        <w:rPr>
          <w:rFonts w:ascii="Arial" w:hAnsi="Arial" w:cs="Arial"/>
          <w:sz w:val="24"/>
          <w:szCs w:val="24"/>
        </w:rPr>
        <w:t xml:space="preserve"> investigations into the shareholding of Sultex, Mstu and Mazzri, all of whom own</w:t>
      </w:r>
      <w:r w:rsidRPr="002C6C29">
        <w:rPr>
          <w:rFonts w:ascii="Arial" w:hAnsi="Arial" w:cs="Arial"/>
          <w:sz w:val="24"/>
          <w:szCs w:val="24"/>
        </w:rPr>
        <w:t xml:space="preserve"> immovable properties of substantial</w:t>
      </w:r>
      <w:r>
        <w:rPr>
          <w:rFonts w:ascii="Arial" w:hAnsi="Arial" w:cs="Arial"/>
          <w:sz w:val="24"/>
          <w:szCs w:val="24"/>
        </w:rPr>
        <w:t xml:space="preserve"> value.</w:t>
      </w:r>
    </w:p>
    <w:p w14:paraId="22EE0962" w14:textId="0EF2D5F6" w:rsidR="003D2487" w:rsidRDefault="003D2487" w:rsidP="003D2487">
      <w:pPr>
        <w:spacing w:after="0" w:line="360" w:lineRule="auto"/>
        <w:jc w:val="both"/>
        <w:rPr>
          <w:rFonts w:ascii="Arial" w:hAnsi="Arial" w:cs="Arial"/>
          <w:sz w:val="24"/>
          <w:szCs w:val="24"/>
        </w:rPr>
      </w:pPr>
    </w:p>
    <w:p w14:paraId="20EAC5C0" w14:textId="0C40E0EF" w:rsidR="003D2487" w:rsidRPr="00BE67B8" w:rsidRDefault="003D2487" w:rsidP="003D2487">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Pr="00C62F65">
        <w:rPr>
          <w:rFonts w:ascii="Arial" w:hAnsi="Arial" w:cs="Arial"/>
          <w:sz w:val="24"/>
          <w:szCs w:val="24"/>
        </w:rPr>
        <w:t>Advantage to creditors may lie in the prospect of finding assets falling into the insolvent estate</w:t>
      </w:r>
      <w:r w:rsidR="00C62F65" w:rsidRPr="007535FC">
        <w:rPr>
          <w:rFonts w:ascii="Arial" w:hAnsi="Arial" w:cs="Arial"/>
          <w:sz w:val="24"/>
          <w:szCs w:val="24"/>
        </w:rPr>
        <w:t>, which</w:t>
      </w:r>
      <w:r w:rsidRPr="007535FC">
        <w:rPr>
          <w:rFonts w:ascii="Arial" w:hAnsi="Arial" w:cs="Arial"/>
          <w:sz w:val="24"/>
          <w:szCs w:val="24"/>
        </w:rPr>
        <w:t xml:space="preserve"> may have been concealed or improperly disposed of. It will</w:t>
      </w:r>
      <w:r w:rsidRPr="00C62F65">
        <w:rPr>
          <w:rFonts w:ascii="Arial" w:hAnsi="Arial" w:cs="Arial"/>
          <w:sz w:val="24"/>
          <w:szCs w:val="24"/>
        </w:rPr>
        <w:t xml:space="preserve"> be sufficient if the creditor, on an overall view on the papers, can show, for example, that </w:t>
      </w:r>
      <w:r w:rsidRPr="00C62F65">
        <w:rPr>
          <w:rFonts w:ascii="Arial" w:hAnsi="Arial" w:cs="Arial"/>
          <w:sz w:val="24"/>
          <w:szCs w:val="24"/>
        </w:rPr>
        <w:lastRenderedPageBreak/>
        <w:t>there are reasonable grounds for coming to the conclusion that upon investigation and inquiry a trustee may be able to unearth assets that might then be attached, sold and the proceeds disposed of for distribution amongst creditors.</w:t>
      </w:r>
      <w:r w:rsidRPr="00C62F65">
        <w:rPr>
          <w:rStyle w:val="FootnoteReference"/>
          <w:rFonts w:ascii="Arial" w:hAnsi="Arial" w:cs="Arial"/>
          <w:sz w:val="24"/>
          <w:szCs w:val="24"/>
        </w:rPr>
        <w:footnoteReference w:id="25"/>
      </w:r>
      <w:r w:rsidRPr="00C62F65">
        <w:rPr>
          <w:rFonts w:ascii="Arial" w:hAnsi="Arial" w:cs="Arial"/>
          <w:sz w:val="24"/>
          <w:szCs w:val="24"/>
        </w:rPr>
        <w:t xml:space="preserve"> The test to be applied in such a case, as was formulated in </w:t>
      </w:r>
      <w:r w:rsidRPr="00C62F65">
        <w:rPr>
          <w:rFonts w:ascii="Arial" w:hAnsi="Arial" w:cs="Arial"/>
          <w:i/>
          <w:iCs/>
          <w:sz w:val="24"/>
          <w:szCs w:val="24"/>
        </w:rPr>
        <w:t>Meskin &amp; Co v Friedman</w:t>
      </w:r>
      <w:r w:rsidRPr="00C62F65">
        <w:rPr>
          <w:rFonts w:ascii="Arial" w:hAnsi="Arial" w:cs="Arial"/>
          <w:sz w:val="24"/>
          <w:szCs w:val="24"/>
        </w:rPr>
        <w:t>,</w:t>
      </w:r>
      <w:r w:rsidRPr="00C62F65">
        <w:rPr>
          <w:rStyle w:val="FootnoteReference"/>
          <w:rFonts w:ascii="Arial" w:hAnsi="Arial" w:cs="Arial"/>
          <w:sz w:val="24"/>
          <w:szCs w:val="24"/>
        </w:rPr>
        <w:footnoteReference w:id="26"/>
      </w:r>
      <w:r w:rsidRPr="00C62F65">
        <w:rPr>
          <w:rFonts w:ascii="Arial" w:hAnsi="Arial" w:cs="Arial"/>
          <w:sz w:val="24"/>
          <w:szCs w:val="24"/>
        </w:rPr>
        <w:t xml:space="preserve"> is that:</w:t>
      </w:r>
    </w:p>
    <w:p w14:paraId="69B125B9" w14:textId="77777777" w:rsidR="003D2487" w:rsidRDefault="003D2487" w:rsidP="003D2487">
      <w:pPr>
        <w:spacing w:after="0" w:line="360" w:lineRule="auto"/>
        <w:jc w:val="both"/>
        <w:rPr>
          <w:rFonts w:ascii="Arial" w:hAnsi="Arial" w:cs="Arial"/>
        </w:rPr>
      </w:pPr>
      <w:r>
        <w:rPr>
          <w:rFonts w:ascii="Arial" w:hAnsi="Arial" w:cs="Arial"/>
        </w:rPr>
        <w:t>‘… the facts put before the Court must satisfy it that there is a reasonable prospect – not necessarily a likelihood, but a prospect which is not too remote – that some pecuniary benefit will result to creditors. It is not necessary to prove that the insolvent has any assets.’</w:t>
      </w:r>
      <w:r>
        <w:rPr>
          <w:rStyle w:val="FootnoteReference"/>
          <w:rFonts w:ascii="Arial" w:hAnsi="Arial" w:cs="Arial"/>
        </w:rPr>
        <w:footnoteReference w:id="27"/>
      </w:r>
    </w:p>
    <w:p w14:paraId="609A3449" w14:textId="4187BBAF" w:rsidR="003D2487" w:rsidRDefault="003D2487" w:rsidP="003D2487">
      <w:pPr>
        <w:spacing w:after="0" w:line="360" w:lineRule="auto"/>
        <w:jc w:val="both"/>
        <w:rPr>
          <w:rFonts w:ascii="Arial" w:hAnsi="Arial" w:cs="Arial"/>
          <w:sz w:val="24"/>
          <w:szCs w:val="24"/>
        </w:rPr>
      </w:pPr>
    </w:p>
    <w:p w14:paraId="16D4B927" w14:textId="6594DB2E" w:rsidR="003D2487" w:rsidRDefault="003D2487" w:rsidP="003D2487">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091B18" w:rsidRPr="007535FC">
        <w:rPr>
          <w:rFonts w:ascii="Arial" w:hAnsi="Arial" w:cs="Arial"/>
          <w:sz w:val="24"/>
          <w:szCs w:val="24"/>
        </w:rPr>
        <w:t>T</w:t>
      </w:r>
      <w:r w:rsidRPr="007535FC">
        <w:rPr>
          <w:rFonts w:ascii="Arial" w:hAnsi="Arial" w:cs="Arial"/>
          <w:sz w:val="24"/>
          <w:szCs w:val="24"/>
        </w:rPr>
        <w:t xml:space="preserve">he high court </w:t>
      </w:r>
      <w:r w:rsidR="00091B18" w:rsidRPr="007535FC">
        <w:rPr>
          <w:rFonts w:ascii="Arial" w:hAnsi="Arial" w:cs="Arial"/>
          <w:sz w:val="24"/>
          <w:szCs w:val="24"/>
        </w:rPr>
        <w:t>was evidently</w:t>
      </w:r>
      <w:r w:rsidRPr="007535FC">
        <w:rPr>
          <w:rFonts w:ascii="Arial" w:hAnsi="Arial" w:cs="Arial"/>
          <w:sz w:val="24"/>
          <w:szCs w:val="24"/>
        </w:rPr>
        <w:t xml:space="preserve"> far</w:t>
      </w:r>
      <w:r>
        <w:rPr>
          <w:rFonts w:ascii="Arial" w:hAnsi="Arial" w:cs="Arial"/>
          <w:sz w:val="24"/>
          <w:szCs w:val="24"/>
        </w:rPr>
        <w:t xml:space="preserve"> too receptive to Mr Moosa’s case. A proper conspectus of the evidence ought to have led it to the conclusion that a provisional sequestration was, in the circumstances, not just app</w:t>
      </w:r>
      <w:r w:rsidR="002B6F34">
        <w:rPr>
          <w:rFonts w:ascii="Arial" w:hAnsi="Arial" w:cs="Arial"/>
          <w:sz w:val="24"/>
          <w:szCs w:val="24"/>
        </w:rPr>
        <w:t>ropriate</w:t>
      </w:r>
      <w:r w:rsidR="00091B18">
        <w:rPr>
          <w:rFonts w:ascii="Arial" w:hAnsi="Arial" w:cs="Arial"/>
          <w:sz w:val="24"/>
          <w:szCs w:val="24"/>
        </w:rPr>
        <w:t>,</w:t>
      </w:r>
      <w:r w:rsidR="002B6F34">
        <w:rPr>
          <w:rFonts w:ascii="Arial" w:hAnsi="Arial" w:cs="Arial"/>
          <w:sz w:val="24"/>
          <w:szCs w:val="24"/>
        </w:rPr>
        <w:t xml:space="preserve"> but indeed necessary. </w:t>
      </w:r>
      <w:r>
        <w:rPr>
          <w:rFonts w:ascii="Arial" w:hAnsi="Arial" w:cs="Arial"/>
          <w:sz w:val="24"/>
          <w:szCs w:val="24"/>
        </w:rPr>
        <w:t>In the result, Liberty’s application should have succeeded before the high court.</w:t>
      </w:r>
    </w:p>
    <w:p w14:paraId="79CFBE78" w14:textId="77777777" w:rsidR="003D2487" w:rsidRDefault="003D2487" w:rsidP="003D2487">
      <w:pPr>
        <w:spacing w:after="0" w:line="360" w:lineRule="auto"/>
        <w:jc w:val="both"/>
        <w:rPr>
          <w:rFonts w:ascii="Arial" w:hAnsi="Arial" w:cs="Arial"/>
          <w:sz w:val="24"/>
          <w:szCs w:val="24"/>
        </w:rPr>
      </w:pPr>
    </w:p>
    <w:p w14:paraId="31CAEF5D" w14:textId="38B27351" w:rsidR="003D2487" w:rsidRPr="00DA12A2" w:rsidRDefault="003D2487" w:rsidP="003D2487">
      <w:pPr>
        <w:spacing w:after="0" w:line="360" w:lineRule="auto"/>
        <w:jc w:val="both"/>
        <w:rPr>
          <w:rFonts w:ascii="Arial" w:eastAsia="Times New Roman" w:hAnsi="Arial" w:cs="Arial"/>
          <w:sz w:val="24"/>
          <w:szCs w:val="24"/>
          <w:lang w:eastAsia="en-ZA"/>
        </w:rPr>
      </w:pPr>
      <w:r w:rsidRPr="00E16344">
        <w:rPr>
          <w:rFonts w:ascii="Arial" w:hAnsi="Arial" w:cs="Arial"/>
        </w:rPr>
        <w:t>[</w:t>
      </w:r>
      <w:r>
        <w:rPr>
          <w:rFonts w:ascii="Arial" w:hAnsi="Arial" w:cs="Arial"/>
          <w:sz w:val="24"/>
          <w:szCs w:val="24"/>
        </w:rPr>
        <w:t>29</w:t>
      </w:r>
      <w:r w:rsidRPr="00E16344">
        <w:rPr>
          <w:rFonts w:ascii="Arial" w:hAnsi="Arial" w:cs="Arial"/>
        </w:rPr>
        <w:t>]</w:t>
      </w:r>
      <w:r w:rsidRPr="00DA12A2">
        <w:rPr>
          <w:rFonts w:ascii="Arial" w:hAnsi="Arial" w:cs="Arial"/>
          <w:sz w:val="24"/>
          <w:szCs w:val="24"/>
        </w:rPr>
        <w:tab/>
      </w:r>
      <w:r>
        <w:rPr>
          <w:rFonts w:ascii="Arial" w:hAnsi="Arial" w:cs="Arial"/>
          <w:sz w:val="24"/>
          <w:szCs w:val="24"/>
        </w:rPr>
        <w:t>It remains to add that in anticipation of it failing on the appealability point,</w:t>
      </w:r>
      <w:r w:rsidRPr="00DA12A2">
        <w:rPr>
          <w:rFonts w:ascii="Arial" w:hAnsi="Arial" w:cs="Arial"/>
          <w:sz w:val="24"/>
          <w:szCs w:val="24"/>
        </w:rPr>
        <w:t xml:space="preserve"> Liberty brought applications </w:t>
      </w:r>
      <w:r>
        <w:rPr>
          <w:rFonts w:ascii="Arial" w:hAnsi="Arial" w:cs="Arial"/>
          <w:sz w:val="24"/>
          <w:szCs w:val="24"/>
        </w:rPr>
        <w:t xml:space="preserve">before this court </w:t>
      </w:r>
      <w:r w:rsidRPr="00DA12A2">
        <w:rPr>
          <w:rFonts w:ascii="Arial" w:hAnsi="Arial" w:cs="Arial"/>
          <w:sz w:val="24"/>
          <w:szCs w:val="24"/>
        </w:rPr>
        <w:t xml:space="preserve">for the joinder of </w:t>
      </w:r>
      <w:r w:rsidR="00F42694">
        <w:rPr>
          <w:rFonts w:ascii="Arial" w:eastAsia="Times New Roman" w:hAnsi="Arial" w:cs="Arial"/>
          <w:sz w:val="24"/>
          <w:szCs w:val="24"/>
          <w:lang w:eastAsia="en-ZA"/>
        </w:rPr>
        <w:t xml:space="preserve">the Minister </w:t>
      </w:r>
      <w:r w:rsidR="00F42694" w:rsidRPr="00AF2A4F">
        <w:rPr>
          <w:rFonts w:ascii="Arial" w:eastAsia="Times New Roman" w:hAnsi="Arial" w:cs="Arial"/>
          <w:sz w:val="24"/>
          <w:szCs w:val="24"/>
          <w:lang w:eastAsia="en-ZA"/>
        </w:rPr>
        <w:t>of</w:t>
      </w:r>
      <w:r w:rsidRPr="00DA12A2">
        <w:rPr>
          <w:rFonts w:ascii="Arial" w:eastAsia="Times New Roman" w:hAnsi="Arial" w:cs="Arial"/>
          <w:sz w:val="24"/>
          <w:szCs w:val="24"/>
          <w:lang w:eastAsia="en-ZA"/>
        </w:rPr>
        <w:t xml:space="preserve"> Justice and Correctional Services</w:t>
      </w:r>
      <w:r>
        <w:rPr>
          <w:rFonts w:ascii="Arial" w:hAnsi="Arial" w:cs="Arial"/>
          <w:sz w:val="24"/>
          <w:szCs w:val="24"/>
        </w:rPr>
        <w:t xml:space="preserve">, as an incident to an application </w:t>
      </w:r>
      <w:r w:rsidRPr="00DA12A2">
        <w:rPr>
          <w:rFonts w:ascii="Arial" w:hAnsi="Arial" w:cs="Arial"/>
          <w:sz w:val="24"/>
          <w:szCs w:val="24"/>
        </w:rPr>
        <w:t xml:space="preserve">to </w:t>
      </w:r>
      <w:r>
        <w:rPr>
          <w:rFonts w:ascii="Arial" w:hAnsi="Arial" w:cs="Arial"/>
          <w:sz w:val="24"/>
          <w:szCs w:val="24"/>
        </w:rPr>
        <w:t>challenge the constitutionality of</w:t>
      </w:r>
      <w:r w:rsidRPr="00DA12A2">
        <w:rPr>
          <w:rFonts w:ascii="Arial" w:hAnsi="Arial" w:cs="Arial"/>
          <w:sz w:val="24"/>
          <w:szCs w:val="24"/>
        </w:rPr>
        <w:t xml:space="preserve"> s 150(5) of the Act on appeal</w:t>
      </w:r>
      <w:r w:rsidRPr="00DA12A2">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Those applications were opposed by Mr Moosa. As </w:t>
      </w:r>
      <w:r w:rsidR="00091B18" w:rsidRPr="007535FC">
        <w:rPr>
          <w:rFonts w:ascii="Arial" w:eastAsia="Times New Roman" w:hAnsi="Arial" w:cs="Arial"/>
          <w:sz w:val="24"/>
          <w:szCs w:val="24"/>
          <w:lang w:eastAsia="en-ZA"/>
        </w:rPr>
        <w:t>it transpired</w:t>
      </w:r>
      <w:r w:rsidRPr="007535FC">
        <w:rPr>
          <w:rFonts w:ascii="Arial" w:eastAsia="Times New Roman" w:hAnsi="Arial" w:cs="Arial"/>
          <w:sz w:val="24"/>
          <w:szCs w:val="24"/>
          <w:lang w:eastAsia="en-ZA"/>
        </w:rPr>
        <w:t xml:space="preserve">, they turned out to be unnecessary. </w:t>
      </w:r>
      <w:r w:rsidRPr="007535FC">
        <w:rPr>
          <w:rFonts w:ascii="Arial" w:hAnsi="Arial" w:cs="Arial"/>
          <w:sz w:val="24"/>
          <w:szCs w:val="24"/>
        </w:rPr>
        <w:t>Liberty did so out of an abundance of caution and,</w:t>
      </w:r>
      <w:r w:rsidRPr="007535FC">
        <w:rPr>
          <w:rFonts w:ascii="Arial" w:eastAsia="Times New Roman" w:hAnsi="Arial" w:cs="Arial"/>
          <w:sz w:val="24"/>
          <w:szCs w:val="24"/>
          <w:lang w:eastAsia="en-ZA"/>
        </w:rPr>
        <w:t xml:space="preserve"> in the light of the various authorities against them on the point</w:t>
      </w:r>
      <w:r w:rsidR="00091B18" w:rsidRPr="007535FC">
        <w:rPr>
          <w:rFonts w:ascii="Arial" w:eastAsia="Times New Roman" w:hAnsi="Arial" w:cs="Arial"/>
          <w:sz w:val="24"/>
          <w:szCs w:val="24"/>
          <w:lang w:eastAsia="en-ZA"/>
        </w:rPr>
        <w:t>,</w:t>
      </w:r>
      <w:r w:rsidRPr="007535FC">
        <w:rPr>
          <w:rFonts w:ascii="Arial" w:eastAsia="Times New Roman" w:hAnsi="Arial" w:cs="Arial"/>
          <w:sz w:val="24"/>
          <w:szCs w:val="24"/>
          <w:lang w:eastAsia="en-ZA"/>
        </w:rPr>
        <w:t xml:space="preserve"> as well as the stance adopted by Mr </w:t>
      </w:r>
      <w:r w:rsidR="002B6F34" w:rsidRPr="007535FC">
        <w:rPr>
          <w:rFonts w:ascii="Arial" w:eastAsia="Times New Roman" w:hAnsi="Arial" w:cs="Arial"/>
          <w:sz w:val="24"/>
          <w:szCs w:val="24"/>
          <w:lang w:eastAsia="en-ZA"/>
        </w:rPr>
        <w:t>Moosa</w:t>
      </w:r>
      <w:r w:rsidRPr="007535FC">
        <w:rPr>
          <w:rFonts w:ascii="Arial" w:eastAsia="Times New Roman" w:hAnsi="Arial" w:cs="Arial"/>
          <w:sz w:val="24"/>
          <w:szCs w:val="24"/>
          <w:lang w:eastAsia="en-ZA"/>
        </w:rPr>
        <w:t xml:space="preserve"> both before this court and the one below, they can hardly be faulted in that regard. </w:t>
      </w:r>
      <w:r w:rsidR="002B6F34" w:rsidRPr="007535FC">
        <w:rPr>
          <w:rFonts w:ascii="Arial" w:eastAsia="Times New Roman" w:hAnsi="Arial" w:cs="Arial"/>
          <w:sz w:val="24"/>
          <w:szCs w:val="24"/>
          <w:lang w:eastAsia="en-ZA"/>
        </w:rPr>
        <w:t>In the</w:t>
      </w:r>
      <w:r w:rsidRPr="007535FC">
        <w:rPr>
          <w:rFonts w:ascii="Arial" w:eastAsia="Times New Roman" w:hAnsi="Arial" w:cs="Arial"/>
          <w:sz w:val="24"/>
          <w:szCs w:val="24"/>
          <w:lang w:eastAsia="en-ZA"/>
        </w:rPr>
        <w:t xml:space="preserve"> circumstances it seems fitting that there should be no order as to costs in </w:t>
      </w:r>
      <w:r w:rsidR="00091B18" w:rsidRPr="007535FC">
        <w:rPr>
          <w:rFonts w:ascii="Arial" w:eastAsia="Times New Roman" w:hAnsi="Arial" w:cs="Arial"/>
          <w:sz w:val="24"/>
          <w:szCs w:val="24"/>
          <w:lang w:eastAsia="en-ZA"/>
        </w:rPr>
        <w:t>respect of those applications</w:t>
      </w:r>
      <w:r w:rsidRPr="007535FC">
        <w:rPr>
          <w:rFonts w:ascii="Arial" w:eastAsia="Times New Roman" w:hAnsi="Arial" w:cs="Arial"/>
          <w:sz w:val="24"/>
          <w:szCs w:val="24"/>
          <w:lang w:eastAsia="en-ZA"/>
        </w:rPr>
        <w:t>.</w:t>
      </w:r>
    </w:p>
    <w:p w14:paraId="514DA0AB" w14:textId="77777777" w:rsidR="003D2487" w:rsidRDefault="003D2487" w:rsidP="003D2487">
      <w:pPr>
        <w:spacing w:after="0" w:line="360" w:lineRule="auto"/>
        <w:jc w:val="both"/>
        <w:rPr>
          <w:rFonts w:ascii="Arial" w:eastAsia="Times New Roman" w:hAnsi="Arial" w:cs="Arial"/>
          <w:sz w:val="24"/>
          <w:szCs w:val="24"/>
          <w:lang w:eastAsia="en-ZA"/>
        </w:rPr>
      </w:pPr>
    </w:p>
    <w:p w14:paraId="2A19B0D1" w14:textId="3EF58FCC" w:rsidR="003D2487" w:rsidRDefault="002F300E" w:rsidP="003D2487">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[30</w:t>
      </w:r>
      <w:r w:rsidR="003D2487">
        <w:rPr>
          <w:rFonts w:ascii="Arial" w:eastAsia="Times New Roman" w:hAnsi="Arial" w:cs="Arial"/>
          <w:sz w:val="24"/>
          <w:szCs w:val="24"/>
          <w:lang w:eastAsia="en-ZA"/>
        </w:rPr>
        <w:t>]</w:t>
      </w:r>
      <w:r w:rsidR="003D2487">
        <w:rPr>
          <w:rFonts w:ascii="Arial" w:eastAsia="Times New Roman" w:hAnsi="Arial" w:cs="Arial"/>
          <w:sz w:val="24"/>
          <w:szCs w:val="24"/>
          <w:lang w:eastAsia="en-ZA"/>
        </w:rPr>
        <w:tab/>
        <w:t>In the result, the following order is made:</w:t>
      </w:r>
    </w:p>
    <w:p w14:paraId="48AB7ABE" w14:textId="6F8FC71A" w:rsidR="00EF0AF4" w:rsidRPr="00AF2A4F" w:rsidRDefault="00EF0AF4" w:rsidP="00EF0AF4">
      <w:pPr>
        <w:pStyle w:val="ListParagraph"/>
        <w:numPr>
          <w:ilvl w:val="0"/>
          <w:numId w:val="12"/>
        </w:numPr>
        <w:tabs>
          <w:tab w:val="left" w:pos="709"/>
        </w:tabs>
        <w:spacing w:after="0" w:line="360" w:lineRule="auto"/>
        <w:ind w:hanging="930"/>
        <w:jc w:val="both"/>
        <w:rPr>
          <w:rFonts w:ascii="Arial" w:eastAsia="Times New Roman" w:hAnsi="Arial" w:cs="Arial"/>
          <w:sz w:val="24"/>
          <w:szCs w:val="24"/>
          <w:lang w:eastAsia="en-ZA"/>
        </w:rPr>
      </w:pPr>
      <w:r w:rsidRPr="00AF2A4F">
        <w:rPr>
          <w:rFonts w:ascii="Arial" w:eastAsia="Times New Roman" w:hAnsi="Arial" w:cs="Arial"/>
          <w:sz w:val="24"/>
          <w:szCs w:val="24"/>
          <w:lang w:eastAsia="en-ZA"/>
        </w:rPr>
        <w:t>Leave to appeal is granted.</w:t>
      </w:r>
    </w:p>
    <w:p w14:paraId="75909F17" w14:textId="77777777" w:rsidR="00EF0AF4" w:rsidRPr="00AF2A4F" w:rsidRDefault="00EF0AF4" w:rsidP="00EF0AF4">
      <w:pPr>
        <w:pStyle w:val="ListParagraph"/>
        <w:numPr>
          <w:ilvl w:val="0"/>
          <w:numId w:val="12"/>
        </w:numPr>
        <w:tabs>
          <w:tab w:val="left" w:pos="709"/>
        </w:tabs>
        <w:spacing w:after="0" w:line="360" w:lineRule="auto"/>
        <w:ind w:left="720" w:hanging="720"/>
        <w:jc w:val="both"/>
        <w:rPr>
          <w:rFonts w:ascii="Arial" w:eastAsia="Times New Roman" w:hAnsi="Arial" w:cs="Arial"/>
          <w:sz w:val="24"/>
          <w:szCs w:val="24"/>
          <w:lang w:eastAsia="en-ZA"/>
        </w:rPr>
      </w:pPr>
      <w:r w:rsidRPr="00AF2A4F">
        <w:rPr>
          <w:rFonts w:ascii="Arial" w:eastAsia="Times New Roman" w:hAnsi="Arial" w:cs="Arial"/>
          <w:sz w:val="24"/>
          <w:szCs w:val="24"/>
          <w:lang w:eastAsia="en-ZA"/>
        </w:rPr>
        <w:t>The appeal is upheld with costs, such costs to include the costs of the application for leave to appeal in both this Court and the high court.</w:t>
      </w:r>
    </w:p>
    <w:p w14:paraId="48342DEA" w14:textId="7056FDE5" w:rsidR="00EF0AF4" w:rsidRPr="00AF2A4F" w:rsidRDefault="00EF0AF4" w:rsidP="00EF0AF4">
      <w:pPr>
        <w:pStyle w:val="ListParagraph"/>
        <w:numPr>
          <w:ilvl w:val="0"/>
          <w:numId w:val="12"/>
        </w:numPr>
        <w:spacing w:after="0" w:line="360" w:lineRule="auto"/>
        <w:ind w:left="720" w:hanging="720"/>
        <w:jc w:val="both"/>
        <w:rPr>
          <w:rFonts w:ascii="Arial" w:eastAsia="Times New Roman" w:hAnsi="Arial" w:cs="Arial"/>
          <w:sz w:val="24"/>
          <w:szCs w:val="24"/>
          <w:lang w:eastAsia="en-ZA"/>
        </w:rPr>
      </w:pPr>
      <w:r w:rsidRPr="00AF2A4F">
        <w:rPr>
          <w:rFonts w:ascii="Arial" w:eastAsia="Times New Roman" w:hAnsi="Arial" w:cs="Arial"/>
          <w:sz w:val="24"/>
          <w:szCs w:val="24"/>
          <w:lang w:eastAsia="en-ZA"/>
        </w:rPr>
        <w:lastRenderedPageBreak/>
        <w:t>In each instance</w:t>
      </w:r>
      <w:r w:rsidR="0073379B" w:rsidRPr="00AF2A4F">
        <w:rPr>
          <w:rFonts w:ascii="Arial" w:eastAsia="Times New Roman" w:hAnsi="Arial" w:cs="Arial"/>
          <w:sz w:val="24"/>
          <w:szCs w:val="24"/>
          <w:lang w:eastAsia="en-ZA"/>
        </w:rPr>
        <w:t>,</w:t>
      </w:r>
      <w:r w:rsidRPr="00AF2A4F">
        <w:rPr>
          <w:rFonts w:ascii="Arial" w:eastAsia="Times New Roman" w:hAnsi="Arial" w:cs="Arial"/>
          <w:sz w:val="24"/>
          <w:szCs w:val="24"/>
          <w:lang w:eastAsia="en-ZA"/>
        </w:rPr>
        <w:t xml:space="preserve"> the costs shall include those of two counsel, where so employed.</w:t>
      </w:r>
    </w:p>
    <w:p w14:paraId="14D24DE4" w14:textId="50B0FB53" w:rsidR="00EF0AF4" w:rsidRPr="00AF2A4F" w:rsidRDefault="00EF0AF4" w:rsidP="00EF0AF4">
      <w:pPr>
        <w:pStyle w:val="ListParagraph"/>
        <w:numPr>
          <w:ilvl w:val="0"/>
          <w:numId w:val="12"/>
        </w:numPr>
        <w:spacing w:after="0" w:line="360" w:lineRule="auto"/>
        <w:ind w:left="720" w:hanging="720"/>
        <w:jc w:val="both"/>
        <w:rPr>
          <w:rFonts w:ascii="Arial" w:eastAsia="Times New Roman" w:hAnsi="Arial" w:cs="Arial"/>
          <w:sz w:val="24"/>
          <w:szCs w:val="24"/>
          <w:lang w:eastAsia="en-ZA"/>
        </w:rPr>
      </w:pPr>
      <w:r w:rsidRPr="00AF2A4F">
        <w:rPr>
          <w:rFonts w:ascii="Arial" w:eastAsia="Times New Roman" w:hAnsi="Arial" w:cs="Arial"/>
          <w:sz w:val="24"/>
          <w:szCs w:val="24"/>
          <w:lang w:eastAsia="en-ZA"/>
        </w:rPr>
        <w:t>The order of the high cou</w:t>
      </w:r>
      <w:r w:rsidR="003233C9" w:rsidRPr="00AF2A4F">
        <w:rPr>
          <w:rFonts w:ascii="Arial" w:eastAsia="Times New Roman" w:hAnsi="Arial" w:cs="Arial"/>
          <w:sz w:val="24"/>
          <w:szCs w:val="24"/>
          <w:lang w:eastAsia="en-ZA"/>
        </w:rPr>
        <w:t>rt is set aside and in its stead</w:t>
      </w:r>
      <w:r w:rsidRPr="00AF2A4F">
        <w:rPr>
          <w:rFonts w:ascii="Arial" w:eastAsia="Times New Roman" w:hAnsi="Arial" w:cs="Arial"/>
          <w:sz w:val="24"/>
          <w:szCs w:val="24"/>
          <w:lang w:eastAsia="en-ZA"/>
        </w:rPr>
        <w:t xml:space="preserve"> is substituted the following:</w:t>
      </w:r>
    </w:p>
    <w:p w14:paraId="6302DC2C" w14:textId="77777777" w:rsidR="00EF0AF4" w:rsidRPr="00AF2A4F" w:rsidRDefault="00EF0AF4" w:rsidP="00EF0AF4">
      <w:pPr>
        <w:spacing w:after="0" w:line="360" w:lineRule="auto"/>
        <w:ind w:left="1440" w:hanging="447"/>
        <w:jc w:val="both"/>
        <w:rPr>
          <w:rFonts w:ascii="Arial" w:eastAsia="Times New Roman" w:hAnsi="Arial" w:cs="Arial"/>
          <w:sz w:val="24"/>
          <w:szCs w:val="24"/>
          <w:lang w:eastAsia="en-ZA"/>
        </w:rPr>
      </w:pPr>
      <w:r w:rsidRPr="00AF2A4F">
        <w:rPr>
          <w:rFonts w:ascii="Arial" w:eastAsia="Times New Roman" w:hAnsi="Arial" w:cs="Arial"/>
          <w:sz w:val="24"/>
          <w:szCs w:val="24"/>
          <w:lang w:eastAsia="en-ZA"/>
        </w:rPr>
        <w:t>‘(a) The estate of the respondent is placed under provisional sequestration in the hands of the Master of the high court;</w:t>
      </w:r>
    </w:p>
    <w:p w14:paraId="7FC57499" w14:textId="529D180B" w:rsidR="00EF0AF4" w:rsidRPr="00DB567B" w:rsidRDefault="00EF0AF4" w:rsidP="00EF0AF4">
      <w:pPr>
        <w:spacing w:after="0" w:line="360" w:lineRule="auto"/>
        <w:ind w:left="1440" w:hanging="348"/>
        <w:jc w:val="both"/>
        <w:rPr>
          <w:rFonts w:ascii="Arial" w:eastAsia="Times New Roman" w:hAnsi="Arial" w:cs="Arial"/>
          <w:sz w:val="24"/>
          <w:szCs w:val="24"/>
          <w:lang w:eastAsia="en-ZA"/>
        </w:rPr>
      </w:pPr>
      <w:r w:rsidRPr="00AF2A4F">
        <w:rPr>
          <w:rFonts w:ascii="Arial" w:eastAsia="Times New Roman" w:hAnsi="Arial" w:cs="Arial"/>
          <w:sz w:val="24"/>
          <w:szCs w:val="24"/>
          <w:lang w:eastAsia="en-ZA"/>
        </w:rPr>
        <w:t xml:space="preserve">(b) The respondent is called upon to advance reasons, if any, on Tuesday </w:t>
      </w:r>
      <w:r w:rsidR="003233C9" w:rsidRPr="00AF2A4F">
        <w:rPr>
          <w:rFonts w:ascii="Arial" w:eastAsia="Times New Roman" w:hAnsi="Arial" w:cs="Arial"/>
          <w:sz w:val="24"/>
          <w:szCs w:val="24"/>
          <w:lang w:eastAsia="en-ZA"/>
        </w:rPr>
        <w:t>30 May</w:t>
      </w:r>
      <w:r w:rsidRPr="00AF2A4F">
        <w:rPr>
          <w:rFonts w:ascii="Arial" w:eastAsia="Times New Roman" w:hAnsi="Arial" w:cs="Arial"/>
          <w:sz w:val="24"/>
          <w:szCs w:val="24"/>
          <w:lang w:eastAsia="en-ZA"/>
        </w:rPr>
        <w:t xml:space="preserve"> 2023 at 10h00, why the court should not order the final sequestration of his estate.’</w:t>
      </w:r>
    </w:p>
    <w:p w14:paraId="338F52B2" w14:textId="4EFC85F2" w:rsidR="00BA498A" w:rsidRDefault="00BA498A" w:rsidP="00EF0AF4">
      <w:pPr>
        <w:tabs>
          <w:tab w:val="right" w:pos="9026"/>
        </w:tabs>
        <w:spacing w:after="0" w:line="360" w:lineRule="auto"/>
        <w:ind w:left="284"/>
        <w:jc w:val="both"/>
        <w:rPr>
          <w:rFonts w:ascii="Arial" w:eastAsia="Times New Roman" w:hAnsi="Arial" w:cs="Arial"/>
          <w:sz w:val="24"/>
          <w:szCs w:val="24"/>
          <w:lang w:eastAsia="en-ZA"/>
        </w:rPr>
      </w:pPr>
    </w:p>
    <w:p w14:paraId="53BED25C" w14:textId="18DE55D4" w:rsidR="00BA498A" w:rsidRDefault="00BA498A" w:rsidP="007E62F7">
      <w:pPr>
        <w:spacing w:after="0" w:line="360" w:lineRule="auto"/>
        <w:ind w:left="567" w:hanging="567"/>
        <w:jc w:val="both"/>
        <w:rPr>
          <w:rFonts w:ascii="Arial" w:eastAsia="Times New Roman" w:hAnsi="Arial" w:cs="Arial"/>
          <w:sz w:val="24"/>
          <w:szCs w:val="24"/>
          <w:lang w:eastAsia="en-ZA"/>
        </w:rPr>
      </w:pPr>
    </w:p>
    <w:p w14:paraId="248F5E37" w14:textId="77777777" w:rsidR="002B6F34" w:rsidRDefault="002B6F34" w:rsidP="007E62F7">
      <w:pPr>
        <w:spacing w:after="0" w:line="360" w:lineRule="auto"/>
        <w:ind w:left="567" w:hanging="567"/>
        <w:jc w:val="both"/>
        <w:rPr>
          <w:rFonts w:ascii="Arial" w:eastAsia="Times New Roman" w:hAnsi="Arial" w:cs="Arial"/>
          <w:sz w:val="24"/>
          <w:szCs w:val="24"/>
          <w:lang w:eastAsia="en-ZA"/>
        </w:rPr>
      </w:pPr>
    </w:p>
    <w:p w14:paraId="5F9F65AF" w14:textId="77777777" w:rsidR="00BA498A" w:rsidRPr="000959EA" w:rsidRDefault="001D47C4" w:rsidP="00BA498A">
      <w:pPr>
        <w:spacing w:after="0" w:line="240" w:lineRule="auto"/>
        <w:jc w:val="right"/>
        <w:rPr>
          <w:rFonts w:ascii="Arial" w:hAnsi="Arial" w:cs="Arial"/>
          <w:bCs/>
          <w:sz w:val="24"/>
          <w:szCs w:val="24"/>
          <w:u w:val="single"/>
          <w:shd w:val="clear" w:color="auto" w:fill="FFFFFF"/>
        </w:rPr>
      </w:pPr>
      <w:r w:rsidRPr="000959EA">
        <w:rPr>
          <w:rFonts w:ascii="Arial" w:eastAsia="Times New Roman" w:hAnsi="Arial" w:cs="Arial"/>
          <w:bCs/>
          <w:sz w:val="24"/>
          <w:szCs w:val="24"/>
          <w:lang w:eastAsia="en-ZA"/>
        </w:rPr>
        <w:t xml:space="preserve">                                                                                                       </w:t>
      </w:r>
      <w:r w:rsidR="00E16344" w:rsidRPr="000959EA">
        <w:rPr>
          <w:rFonts w:ascii="Arial" w:eastAsia="Times New Roman" w:hAnsi="Arial" w:cs="Arial"/>
          <w:bCs/>
          <w:sz w:val="24"/>
          <w:szCs w:val="24"/>
          <w:lang w:eastAsia="en-ZA"/>
        </w:rPr>
        <w:tab/>
      </w:r>
      <w:r w:rsidR="00BA498A" w:rsidRPr="000959EA">
        <w:rPr>
          <w:rFonts w:ascii="Arial" w:eastAsia="Times New Roman" w:hAnsi="Arial" w:cs="Arial"/>
          <w:bCs/>
          <w:sz w:val="24"/>
          <w:szCs w:val="24"/>
          <w:lang w:eastAsia="en-ZA"/>
        </w:rPr>
        <w:t>________________</w:t>
      </w:r>
    </w:p>
    <w:p w14:paraId="010CD367" w14:textId="6C5834C2" w:rsidR="00BA498A" w:rsidRPr="000959EA" w:rsidRDefault="00BA498A" w:rsidP="00BA498A">
      <w:pPr>
        <w:spacing w:after="0" w:line="240" w:lineRule="auto"/>
        <w:jc w:val="right"/>
        <w:rPr>
          <w:rFonts w:ascii="Arial" w:hAnsi="Arial" w:cs="Arial"/>
          <w:bCs/>
          <w:sz w:val="24"/>
          <w:szCs w:val="24"/>
        </w:rPr>
      </w:pP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t xml:space="preserve">                     </w:t>
      </w:r>
      <w:r>
        <w:rPr>
          <w:rFonts w:ascii="Arial" w:hAnsi="Arial" w:cs="Arial"/>
          <w:bCs/>
          <w:sz w:val="24"/>
          <w:szCs w:val="24"/>
        </w:rPr>
        <w:t>V M Ponnan</w:t>
      </w:r>
    </w:p>
    <w:p w14:paraId="6416CE50" w14:textId="77777777" w:rsidR="00BA498A" w:rsidRDefault="00BA498A" w:rsidP="00BA498A">
      <w:pPr>
        <w:spacing w:after="0" w:line="240" w:lineRule="auto"/>
        <w:jc w:val="right"/>
        <w:rPr>
          <w:rFonts w:ascii="Arial" w:hAnsi="Arial" w:cs="Arial"/>
          <w:bCs/>
          <w:sz w:val="24"/>
          <w:szCs w:val="24"/>
        </w:rPr>
      </w:pP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t xml:space="preserve">    J</w:t>
      </w:r>
      <w:r>
        <w:rPr>
          <w:rFonts w:ascii="Arial" w:hAnsi="Arial" w:cs="Arial"/>
          <w:bCs/>
          <w:sz w:val="24"/>
          <w:szCs w:val="24"/>
        </w:rPr>
        <w:t>udge</w:t>
      </w:r>
      <w:r w:rsidRPr="000959EA">
        <w:rPr>
          <w:rFonts w:ascii="Arial" w:hAnsi="Arial" w:cs="Arial"/>
          <w:bCs/>
          <w:sz w:val="24"/>
          <w:szCs w:val="24"/>
        </w:rPr>
        <w:t xml:space="preserve"> </w:t>
      </w:r>
      <w:r>
        <w:rPr>
          <w:rFonts w:ascii="Arial" w:hAnsi="Arial" w:cs="Arial"/>
          <w:bCs/>
          <w:sz w:val="24"/>
          <w:szCs w:val="24"/>
        </w:rPr>
        <w:t>of</w:t>
      </w:r>
      <w:r w:rsidRPr="000959EA">
        <w:rPr>
          <w:rFonts w:ascii="Arial" w:hAnsi="Arial" w:cs="Arial"/>
          <w:bCs/>
          <w:sz w:val="24"/>
          <w:szCs w:val="24"/>
        </w:rPr>
        <w:t xml:space="preserve"> A</w:t>
      </w:r>
      <w:r>
        <w:rPr>
          <w:rFonts w:ascii="Arial" w:hAnsi="Arial" w:cs="Arial"/>
          <w:bCs/>
          <w:sz w:val="24"/>
          <w:szCs w:val="24"/>
        </w:rPr>
        <w:t>ppeal</w:t>
      </w:r>
    </w:p>
    <w:p w14:paraId="59F5C03C" w14:textId="77777777" w:rsidR="00BA498A" w:rsidRDefault="00BA498A" w:rsidP="00BA498A">
      <w:pPr>
        <w:spacing w:after="0" w:line="240" w:lineRule="auto"/>
        <w:rPr>
          <w:rFonts w:ascii="Arial" w:hAnsi="Arial" w:cs="Arial"/>
          <w:sz w:val="24"/>
          <w:szCs w:val="24"/>
        </w:rPr>
      </w:pPr>
    </w:p>
    <w:p w14:paraId="3EFA4762" w14:textId="1DE2292B" w:rsidR="001A268E" w:rsidRDefault="001A268E" w:rsidP="007E62F7">
      <w:pPr>
        <w:spacing w:after="0" w:line="360" w:lineRule="auto"/>
        <w:jc w:val="both"/>
        <w:rPr>
          <w:rFonts w:ascii="Arial" w:eastAsia="Times New Roman" w:hAnsi="Arial" w:cs="Arial"/>
          <w:sz w:val="24"/>
          <w:szCs w:val="24"/>
          <w:lang w:eastAsia="en-ZA"/>
        </w:rPr>
      </w:pPr>
    </w:p>
    <w:p w14:paraId="08522B5E" w14:textId="77777777" w:rsidR="00BA498A" w:rsidRPr="007E62F7" w:rsidRDefault="00BA498A" w:rsidP="007E62F7">
      <w:pPr>
        <w:spacing w:after="0" w:line="360" w:lineRule="auto"/>
        <w:jc w:val="both"/>
        <w:rPr>
          <w:rFonts w:ascii="Arial" w:eastAsia="Times New Roman" w:hAnsi="Arial" w:cs="Arial"/>
          <w:sz w:val="24"/>
          <w:szCs w:val="24"/>
          <w:lang w:eastAsia="en-ZA"/>
        </w:rPr>
      </w:pPr>
    </w:p>
    <w:p w14:paraId="3B7E2EF1" w14:textId="77777777" w:rsidR="001A268E" w:rsidRDefault="001A268E" w:rsidP="00E16344">
      <w:pPr>
        <w:spacing w:after="0" w:line="240" w:lineRule="auto"/>
        <w:jc w:val="right"/>
        <w:rPr>
          <w:rFonts w:ascii="Arial" w:eastAsia="Times New Roman" w:hAnsi="Arial" w:cs="Arial"/>
          <w:bCs/>
          <w:sz w:val="24"/>
          <w:szCs w:val="24"/>
          <w:lang w:eastAsia="en-ZA"/>
        </w:rPr>
      </w:pPr>
    </w:p>
    <w:p w14:paraId="4DE1B84E" w14:textId="22914E86" w:rsidR="00C206C1" w:rsidRPr="000959EA" w:rsidRDefault="00E16344" w:rsidP="00E16344">
      <w:pPr>
        <w:spacing w:after="0" w:line="240" w:lineRule="auto"/>
        <w:jc w:val="right"/>
        <w:rPr>
          <w:rFonts w:ascii="Arial" w:hAnsi="Arial" w:cs="Arial"/>
          <w:bCs/>
          <w:sz w:val="24"/>
          <w:szCs w:val="24"/>
          <w:u w:val="single"/>
          <w:shd w:val="clear" w:color="auto" w:fill="FFFFFF"/>
        </w:rPr>
      </w:pPr>
      <w:r w:rsidRPr="000959EA">
        <w:rPr>
          <w:rFonts w:ascii="Arial" w:eastAsia="Times New Roman" w:hAnsi="Arial" w:cs="Arial"/>
          <w:bCs/>
          <w:sz w:val="24"/>
          <w:szCs w:val="24"/>
          <w:lang w:eastAsia="en-ZA"/>
        </w:rPr>
        <w:tab/>
      </w:r>
      <w:r w:rsidR="00C206C1" w:rsidRPr="000959EA">
        <w:rPr>
          <w:rFonts w:ascii="Arial" w:eastAsia="Times New Roman" w:hAnsi="Arial" w:cs="Arial"/>
          <w:bCs/>
          <w:sz w:val="24"/>
          <w:szCs w:val="24"/>
          <w:lang w:eastAsia="en-ZA"/>
        </w:rPr>
        <w:t>________________</w:t>
      </w:r>
    </w:p>
    <w:p w14:paraId="676872A8" w14:textId="6CF13F37" w:rsidR="00046DB8" w:rsidRPr="000959EA" w:rsidRDefault="00C206C1" w:rsidP="000959EA">
      <w:pPr>
        <w:spacing w:after="0" w:line="240" w:lineRule="auto"/>
        <w:jc w:val="right"/>
        <w:rPr>
          <w:rFonts w:ascii="Arial" w:hAnsi="Arial" w:cs="Arial"/>
          <w:bCs/>
          <w:sz w:val="24"/>
          <w:szCs w:val="24"/>
        </w:rPr>
      </w:pP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00931D32" w:rsidRPr="000959EA">
        <w:rPr>
          <w:rFonts w:ascii="Arial" w:hAnsi="Arial" w:cs="Arial"/>
          <w:bCs/>
          <w:sz w:val="24"/>
          <w:szCs w:val="24"/>
        </w:rPr>
        <w:t xml:space="preserve">                     </w:t>
      </w:r>
      <w:r w:rsidR="00B6016A" w:rsidRPr="000959EA">
        <w:rPr>
          <w:rFonts w:ascii="Arial" w:hAnsi="Arial" w:cs="Arial"/>
          <w:bCs/>
          <w:sz w:val="24"/>
          <w:szCs w:val="24"/>
        </w:rPr>
        <w:t>P A M</w:t>
      </w:r>
      <w:r w:rsidR="000959EA">
        <w:rPr>
          <w:rFonts w:ascii="Arial" w:hAnsi="Arial" w:cs="Arial"/>
          <w:bCs/>
          <w:sz w:val="24"/>
          <w:szCs w:val="24"/>
        </w:rPr>
        <w:t>eyer</w:t>
      </w:r>
    </w:p>
    <w:p w14:paraId="49CF2157" w14:textId="77777777" w:rsidR="007E62F7" w:rsidRDefault="00C206C1" w:rsidP="007E62F7">
      <w:pPr>
        <w:spacing w:after="0" w:line="240" w:lineRule="auto"/>
        <w:jc w:val="right"/>
        <w:rPr>
          <w:rFonts w:ascii="Arial" w:hAnsi="Arial" w:cs="Arial"/>
          <w:bCs/>
          <w:sz w:val="24"/>
          <w:szCs w:val="24"/>
        </w:rPr>
      </w:pP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Pr="000959EA">
        <w:rPr>
          <w:rFonts w:ascii="Arial" w:hAnsi="Arial" w:cs="Arial"/>
          <w:bCs/>
          <w:sz w:val="24"/>
          <w:szCs w:val="24"/>
        </w:rPr>
        <w:tab/>
      </w:r>
      <w:r w:rsidR="00931D32" w:rsidRPr="000959EA">
        <w:rPr>
          <w:rFonts w:ascii="Arial" w:hAnsi="Arial" w:cs="Arial"/>
          <w:bCs/>
          <w:sz w:val="24"/>
          <w:szCs w:val="24"/>
        </w:rPr>
        <w:t xml:space="preserve">    </w:t>
      </w:r>
      <w:r w:rsidRPr="000959EA">
        <w:rPr>
          <w:rFonts w:ascii="Arial" w:hAnsi="Arial" w:cs="Arial"/>
          <w:bCs/>
          <w:sz w:val="24"/>
          <w:szCs w:val="24"/>
        </w:rPr>
        <w:t>J</w:t>
      </w:r>
      <w:r w:rsidR="000959EA">
        <w:rPr>
          <w:rFonts w:ascii="Arial" w:hAnsi="Arial" w:cs="Arial"/>
          <w:bCs/>
          <w:sz w:val="24"/>
          <w:szCs w:val="24"/>
        </w:rPr>
        <w:t>udge</w:t>
      </w:r>
      <w:r w:rsidRPr="000959EA">
        <w:rPr>
          <w:rFonts w:ascii="Arial" w:hAnsi="Arial" w:cs="Arial"/>
          <w:bCs/>
          <w:sz w:val="24"/>
          <w:szCs w:val="24"/>
        </w:rPr>
        <w:t xml:space="preserve"> </w:t>
      </w:r>
      <w:r w:rsidR="000959EA">
        <w:rPr>
          <w:rFonts w:ascii="Arial" w:hAnsi="Arial" w:cs="Arial"/>
          <w:bCs/>
          <w:sz w:val="24"/>
          <w:szCs w:val="24"/>
        </w:rPr>
        <w:t>of</w:t>
      </w:r>
      <w:r w:rsidRPr="000959EA">
        <w:rPr>
          <w:rFonts w:ascii="Arial" w:hAnsi="Arial" w:cs="Arial"/>
          <w:bCs/>
          <w:sz w:val="24"/>
          <w:szCs w:val="24"/>
        </w:rPr>
        <w:t xml:space="preserve"> A</w:t>
      </w:r>
      <w:r w:rsidR="000959EA">
        <w:rPr>
          <w:rFonts w:ascii="Arial" w:hAnsi="Arial" w:cs="Arial"/>
          <w:bCs/>
          <w:sz w:val="24"/>
          <w:szCs w:val="24"/>
        </w:rPr>
        <w:t>ppeal</w:t>
      </w:r>
    </w:p>
    <w:p w14:paraId="541F1346" w14:textId="77777777" w:rsidR="00DA12A2" w:rsidRDefault="00DA12A2" w:rsidP="007E62F7">
      <w:pPr>
        <w:spacing w:after="0" w:line="240" w:lineRule="auto"/>
        <w:rPr>
          <w:rFonts w:ascii="Arial" w:hAnsi="Arial" w:cs="Arial"/>
          <w:sz w:val="24"/>
          <w:szCs w:val="24"/>
        </w:rPr>
      </w:pPr>
    </w:p>
    <w:p w14:paraId="15C01988" w14:textId="77777777" w:rsidR="00DA12A2" w:rsidRDefault="00DA12A2" w:rsidP="007E62F7">
      <w:pPr>
        <w:spacing w:after="0" w:line="240" w:lineRule="auto"/>
        <w:rPr>
          <w:rFonts w:ascii="Arial" w:hAnsi="Arial" w:cs="Arial"/>
          <w:sz w:val="24"/>
          <w:szCs w:val="24"/>
        </w:rPr>
      </w:pPr>
    </w:p>
    <w:p w14:paraId="6E95BC33" w14:textId="77777777" w:rsidR="00DA12A2" w:rsidRDefault="00DA12A2" w:rsidP="007E62F7">
      <w:pPr>
        <w:spacing w:after="0" w:line="240" w:lineRule="auto"/>
        <w:rPr>
          <w:rFonts w:ascii="Arial" w:hAnsi="Arial" w:cs="Arial"/>
          <w:sz w:val="24"/>
          <w:szCs w:val="24"/>
        </w:rPr>
      </w:pPr>
    </w:p>
    <w:p w14:paraId="22F0239E" w14:textId="77777777" w:rsidR="00DA12A2" w:rsidRDefault="00DA12A2" w:rsidP="007E62F7">
      <w:pPr>
        <w:spacing w:after="0" w:line="240" w:lineRule="auto"/>
        <w:rPr>
          <w:rFonts w:ascii="Arial" w:hAnsi="Arial" w:cs="Arial"/>
          <w:sz w:val="24"/>
          <w:szCs w:val="24"/>
        </w:rPr>
      </w:pPr>
    </w:p>
    <w:p w14:paraId="352CD0D9" w14:textId="77777777" w:rsidR="00DA12A2" w:rsidRDefault="00DA12A2" w:rsidP="007E62F7">
      <w:pPr>
        <w:spacing w:after="0" w:line="240" w:lineRule="auto"/>
        <w:rPr>
          <w:rFonts w:ascii="Arial" w:hAnsi="Arial" w:cs="Arial"/>
          <w:sz w:val="24"/>
          <w:szCs w:val="24"/>
        </w:rPr>
      </w:pPr>
    </w:p>
    <w:p w14:paraId="3B8057BA" w14:textId="77777777" w:rsidR="00DA12A2" w:rsidRDefault="00DA12A2" w:rsidP="007E62F7">
      <w:pPr>
        <w:spacing w:after="0" w:line="240" w:lineRule="auto"/>
        <w:rPr>
          <w:rFonts w:ascii="Arial" w:hAnsi="Arial" w:cs="Arial"/>
          <w:sz w:val="24"/>
          <w:szCs w:val="24"/>
        </w:rPr>
      </w:pPr>
    </w:p>
    <w:p w14:paraId="650115F4" w14:textId="77777777" w:rsidR="00DA12A2" w:rsidRDefault="00DA12A2" w:rsidP="007E62F7">
      <w:pPr>
        <w:spacing w:after="0" w:line="240" w:lineRule="auto"/>
        <w:rPr>
          <w:rFonts w:ascii="Arial" w:hAnsi="Arial" w:cs="Arial"/>
          <w:sz w:val="24"/>
          <w:szCs w:val="24"/>
        </w:rPr>
      </w:pPr>
    </w:p>
    <w:p w14:paraId="199BE32A" w14:textId="77777777" w:rsidR="00DA12A2" w:rsidRDefault="00DA12A2" w:rsidP="007E62F7">
      <w:pPr>
        <w:spacing w:after="0" w:line="240" w:lineRule="auto"/>
        <w:rPr>
          <w:rFonts w:ascii="Arial" w:hAnsi="Arial" w:cs="Arial"/>
          <w:sz w:val="24"/>
          <w:szCs w:val="24"/>
        </w:rPr>
      </w:pPr>
    </w:p>
    <w:p w14:paraId="5506D934" w14:textId="77777777" w:rsidR="00DA12A2" w:rsidRDefault="00DA12A2" w:rsidP="007E62F7">
      <w:pPr>
        <w:spacing w:after="0" w:line="240" w:lineRule="auto"/>
        <w:rPr>
          <w:rFonts w:ascii="Arial" w:hAnsi="Arial" w:cs="Arial"/>
          <w:sz w:val="24"/>
          <w:szCs w:val="24"/>
        </w:rPr>
      </w:pPr>
    </w:p>
    <w:p w14:paraId="3D27E37B" w14:textId="77777777" w:rsidR="00DA12A2" w:rsidRDefault="00DA12A2" w:rsidP="007E62F7">
      <w:pPr>
        <w:spacing w:after="0" w:line="240" w:lineRule="auto"/>
        <w:rPr>
          <w:rFonts w:ascii="Arial" w:hAnsi="Arial" w:cs="Arial"/>
          <w:sz w:val="24"/>
          <w:szCs w:val="24"/>
        </w:rPr>
      </w:pPr>
    </w:p>
    <w:p w14:paraId="6D196BBC" w14:textId="77777777" w:rsidR="00DA12A2" w:rsidRDefault="00DA12A2" w:rsidP="007E62F7">
      <w:pPr>
        <w:spacing w:after="0" w:line="240" w:lineRule="auto"/>
        <w:rPr>
          <w:rFonts w:ascii="Arial" w:hAnsi="Arial" w:cs="Arial"/>
          <w:sz w:val="24"/>
          <w:szCs w:val="24"/>
        </w:rPr>
      </w:pPr>
    </w:p>
    <w:p w14:paraId="52FF13CE" w14:textId="77777777" w:rsidR="00DA12A2" w:rsidRDefault="00DA12A2" w:rsidP="007E62F7">
      <w:pPr>
        <w:spacing w:after="0" w:line="240" w:lineRule="auto"/>
        <w:rPr>
          <w:rFonts w:ascii="Arial" w:hAnsi="Arial" w:cs="Arial"/>
          <w:sz w:val="24"/>
          <w:szCs w:val="24"/>
        </w:rPr>
      </w:pPr>
    </w:p>
    <w:p w14:paraId="23B90994" w14:textId="77777777" w:rsidR="00DA12A2" w:rsidRDefault="00DA12A2" w:rsidP="007E62F7">
      <w:pPr>
        <w:spacing w:after="0" w:line="240" w:lineRule="auto"/>
        <w:rPr>
          <w:rFonts w:ascii="Arial" w:hAnsi="Arial" w:cs="Arial"/>
          <w:sz w:val="24"/>
          <w:szCs w:val="24"/>
        </w:rPr>
      </w:pPr>
    </w:p>
    <w:p w14:paraId="07703805" w14:textId="77777777" w:rsidR="00DA12A2" w:rsidRDefault="00DA12A2" w:rsidP="007E62F7">
      <w:pPr>
        <w:spacing w:after="0" w:line="240" w:lineRule="auto"/>
        <w:rPr>
          <w:rFonts w:ascii="Arial" w:hAnsi="Arial" w:cs="Arial"/>
          <w:sz w:val="24"/>
          <w:szCs w:val="24"/>
        </w:rPr>
      </w:pPr>
    </w:p>
    <w:p w14:paraId="6846F97B" w14:textId="77777777" w:rsidR="00DA12A2" w:rsidRDefault="00DA12A2" w:rsidP="007E62F7">
      <w:pPr>
        <w:spacing w:after="0" w:line="240" w:lineRule="auto"/>
        <w:rPr>
          <w:rFonts w:ascii="Arial" w:hAnsi="Arial" w:cs="Arial"/>
          <w:sz w:val="24"/>
          <w:szCs w:val="24"/>
        </w:rPr>
      </w:pPr>
    </w:p>
    <w:p w14:paraId="29A4C665" w14:textId="557D1F51" w:rsidR="00DA12A2" w:rsidRDefault="00DA12A2" w:rsidP="007E62F7">
      <w:pPr>
        <w:spacing w:after="0" w:line="240" w:lineRule="auto"/>
        <w:rPr>
          <w:rFonts w:ascii="Arial" w:hAnsi="Arial" w:cs="Arial"/>
          <w:sz w:val="24"/>
          <w:szCs w:val="24"/>
        </w:rPr>
      </w:pPr>
    </w:p>
    <w:p w14:paraId="0CED7155" w14:textId="77777777" w:rsidR="00AF2A4F" w:rsidRDefault="00AF2A4F" w:rsidP="00F42694">
      <w:pPr>
        <w:rPr>
          <w:rFonts w:ascii="Arial" w:hAnsi="Arial" w:cs="Arial"/>
          <w:sz w:val="24"/>
          <w:szCs w:val="24"/>
        </w:rPr>
      </w:pPr>
    </w:p>
    <w:p w14:paraId="7B51838C" w14:textId="77777777" w:rsidR="00AF2A4F" w:rsidRDefault="00AF2A4F" w:rsidP="00F42694">
      <w:pPr>
        <w:rPr>
          <w:rFonts w:ascii="Arial" w:hAnsi="Arial" w:cs="Arial"/>
          <w:sz w:val="24"/>
          <w:szCs w:val="24"/>
        </w:rPr>
      </w:pPr>
    </w:p>
    <w:p w14:paraId="3E5AAD41" w14:textId="77777777" w:rsidR="00AF2A4F" w:rsidRDefault="00AF2A4F" w:rsidP="00F42694">
      <w:pPr>
        <w:rPr>
          <w:rFonts w:ascii="Arial" w:hAnsi="Arial" w:cs="Arial"/>
          <w:sz w:val="24"/>
          <w:szCs w:val="24"/>
        </w:rPr>
      </w:pPr>
    </w:p>
    <w:p w14:paraId="1D5F2245" w14:textId="01308B3F" w:rsidR="00F42694" w:rsidRPr="00AF2A4F" w:rsidRDefault="00F42694" w:rsidP="00F42694">
      <w:pPr>
        <w:rPr>
          <w:rFonts w:ascii="Arial" w:hAnsi="Arial" w:cs="Arial"/>
          <w:sz w:val="24"/>
          <w:szCs w:val="24"/>
        </w:rPr>
      </w:pPr>
      <w:r w:rsidRPr="00501A3C">
        <w:rPr>
          <w:rFonts w:ascii="Arial" w:hAnsi="Arial" w:cs="Arial"/>
          <w:sz w:val="24"/>
          <w:szCs w:val="24"/>
        </w:rPr>
        <w:lastRenderedPageBreak/>
        <w:t>Appearances</w:t>
      </w:r>
    </w:p>
    <w:p w14:paraId="65B273FA" w14:textId="77777777" w:rsidR="00F42694" w:rsidRPr="00501A3C" w:rsidRDefault="00F42694" w:rsidP="00F42694">
      <w:pPr>
        <w:spacing w:after="0" w:line="360" w:lineRule="auto"/>
        <w:jc w:val="both"/>
        <w:rPr>
          <w:rFonts w:ascii="Arial" w:hAnsi="Arial" w:cs="Arial"/>
          <w:sz w:val="24"/>
          <w:szCs w:val="24"/>
        </w:rPr>
      </w:pPr>
    </w:p>
    <w:p w14:paraId="0A181F88" w14:textId="77777777" w:rsidR="00F42694" w:rsidRDefault="00F42694" w:rsidP="00F42694">
      <w:pPr>
        <w:spacing w:after="0" w:line="360" w:lineRule="auto"/>
        <w:jc w:val="both"/>
        <w:rPr>
          <w:rFonts w:ascii="Arial" w:hAnsi="Arial" w:cs="Arial"/>
          <w:sz w:val="24"/>
          <w:szCs w:val="24"/>
        </w:rPr>
      </w:pPr>
      <w:r w:rsidRPr="00501A3C">
        <w:rPr>
          <w:rFonts w:ascii="Arial" w:hAnsi="Arial" w:cs="Arial"/>
          <w:sz w:val="24"/>
          <w:szCs w:val="24"/>
        </w:rPr>
        <w:t>For the app</w:t>
      </w:r>
      <w:r>
        <w:rPr>
          <w:rFonts w:ascii="Arial" w:hAnsi="Arial" w:cs="Arial"/>
          <w:sz w:val="24"/>
          <w:szCs w:val="24"/>
        </w:rPr>
        <w:t>licant</w:t>
      </w:r>
      <w:r w:rsidRPr="00501A3C">
        <w:rPr>
          <w:rFonts w:ascii="Arial" w:hAnsi="Arial" w:cs="Arial"/>
          <w:sz w:val="24"/>
          <w:szCs w:val="24"/>
        </w:rPr>
        <w:t xml:space="preserve">: </w:t>
      </w:r>
      <w:r w:rsidRPr="00501A3C">
        <w:rPr>
          <w:rFonts w:ascii="Arial" w:hAnsi="Arial" w:cs="Arial"/>
          <w:sz w:val="24"/>
          <w:szCs w:val="24"/>
        </w:rPr>
        <w:tab/>
      </w:r>
      <w:r w:rsidRPr="00501A3C">
        <w:rPr>
          <w:rFonts w:ascii="Arial" w:hAnsi="Arial" w:cs="Arial"/>
          <w:sz w:val="24"/>
          <w:szCs w:val="24"/>
        </w:rPr>
        <w:tab/>
      </w:r>
      <w:r>
        <w:rPr>
          <w:rFonts w:ascii="Arial" w:hAnsi="Arial" w:cs="Arial"/>
          <w:sz w:val="24"/>
          <w:szCs w:val="24"/>
        </w:rPr>
        <w:t>A Gabriel SC (with G E Ender)</w:t>
      </w:r>
    </w:p>
    <w:p w14:paraId="5A7E527C" w14:textId="77777777" w:rsidR="00F42694" w:rsidRPr="00501A3C" w:rsidRDefault="00F42694" w:rsidP="00F42694">
      <w:pPr>
        <w:spacing w:after="0" w:line="360" w:lineRule="auto"/>
        <w:jc w:val="both"/>
        <w:rPr>
          <w:rFonts w:ascii="Arial" w:hAnsi="Arial" w:cs="Arial"/>
          <w:sz w:val="24"/>
          <w:szCs w:val="24"/>
        </w:rPr>
      </w:pPr>
      <w:r w:rsidRPr="00501A3C">
        <w:rPr>
          <w:rFonts w:ascii="Arial" w:hAnsi="Arial" w:cs="Arial"/>
          <w:sz w:val="24"/>
          <w:szCs w:val="24"/>
        </w:rPr>
        <w:t>Instructed by:</w:t>
      </w:r>
      <w:r w:rsidRPr="00501A3C">
        <w:rPr>
          <w:rFonts w:ascii="Arial" w:hAnsi="Arial" w:cs="Arial"/>
          <w:sz w:val="24"/>
          <w:szCs w:val="24"/>
        </w:rPr>
        <w:tab/>
      </w:r>
      <w:r w:rsidRPr="00501A3C">
        <w:rPr>
          <w:rFonts w:ascii="Arial" w:hAnsi="Arial" w:cs="Arial"/>
          <w:sz w:val="24"/>
          <w:szCs w:val="24"/>
        </w:rPr>
        <w:tab/>
      </w:r>
      <w:r>
        <w:rPr>
          <w:rFonts w:ascii="Arial" w:hAnsi="Arial" w:cs="Arial"/>
          <w:sz w:val="24"/>
          <w:szCs w:val="24"/>
        </w:rPr>
        <w:t xml:space="preserve">Gerings </w:t>
      </w:r>
      <w:r w:rsidRPr="00501A3C">
        <w:rPr>
          <w:rFonts w:ascii="Arial" w:hAnsi="Arial" w:cs="Arial"/>
          <w:sz w:val="24"/>
          <w:szCs w:val="24"/>
        </w:rPr>
        <w:t>Attorneys, Johannesburg</w:t>
      </w:r>
    </w:p>
    <w:p w14:paraId="3B2F5416" w14:textId="77777777" w:rsidR="00F42694" w:rsidRPr="00501A3C" w:rsidRDefault="00F42694" w:rsidP="00F42694">
      <w:pPr>
        <w:spacing w:after="0" w:line="360" w:lineRule="auto"/>
        <w:ind w:left="2160" w:firstLine="720"/>
        <w:jc w:val="both"/>
        <w:rPr>
          <w:rFonts w:ascii="Arial" w:hAnsi="Arial" w:cs="Arial"/>
          <w:sz w:val="24"/>
          <w:szCs w:val="24"/>
        </w:rPr>
      </w:pPr>
      <w:r>
        <w:rPr>
          <w:rFonts w:ascii="Arial" w:hAnsi="Arial" w:cs="Arial"/>
          <w:sz w:val="24"/>
          <w:szCs w:val="24"/>
        </w:rPr>
        <w:t>Hendre Conradie Inc</w:t>
      </w:r>
      <w:r w:rsidRPr="00501A3C">
        <w:rPr>
          <w:rFonts w:ascii="Arial" w:hAnsi="Arial" w:cs="Arial"/>
          <w:sz w:val="24"/>
          <w:szCs w:val="24"/>
        </w:rPr>
        <w:t>, Bloemfontein</w:t>
      </w:r>
    </w:p>
    <w:p w14:paraId="21B99F32" w14:textId="77777777" w:rsidR="00F42694" w:rsidRPr="00501A3C" w:rsidRDefault="00F42694" w:rsidP="00F42694">
      <w:pPr>
        <w:spacing w:after="0" w:line="360" w:lineRule="auto"/>
        <w:jc w:val="both"/>
        <w:rPr>
          <w:rFonts w:ascii="Arial" w:hAnsi="Arial" w:cs="Arial"/>
          <w:sz w:val="24"/>
          <w:szCs w:val="24"/>
        </w:rPr>
      </w:pPr>
    </w:p>
    <w:p w14:paraId="691CF46A" w14:textId="77777777" w:rsidR="00F42694" w:rsidRDefault="00F42694" w:rsidP="00F42694">
      <w:pPr>
        <w:spacing w:after="0" w:line="360" w:lineRule="auto"/>
        <w:jc w:val="both"/>
        <w:rPr>
          <w:rFonts w:ascii="Arial" w:hAnsi="Arial" w:cs="Arial"/>
          <w:sz w:val="24"/>
          <w:szCs w:val="24"/>
        </w:rPr>
      </w:pPr>
      <w:r w:rsidRPr="00501A3C">
        <w:rPr>
          <w:rFonts w:ascii="Arial" w:hAnsi="Arial" w:cs="Arial"/>
          <w:sz w:val="24"/>
          <w:szCs w:val="24"/>
        </w:rPr>
        <w:t>For the r</w:t>
      </w:r>
      <w:r>
        <w:rPr>
          <w:rFonts w:ascii="Arial" w:hAnsi="Arial" w:cs="Arial"/>
          <w:sz w:val="24"/>
          <w:szCs w:val="24"/>
        </w:rPr>
        <w:t>espondent:</w:t>
      </w:r>
      <w:r>
        <w:rPr>
          <w:rFonts w:ascii="Arial" w:hAnsi="Arial" w:cs="Arial"/>
          <w:sz w:val="24"/>
          <w:szCs w:val="24"/>
        </w:rPr>
        <w:tab/>
      </w:r>
      <w:r>
        <w:rPr>
          <w:rFonts w:ascii="Arial" w:hAnsi="Arial" w:cs="Arial"/>
          <w:sz w:val="24"/>
          <w:szCs w:val="24"/>
        </w:rPr>
        <w:tab/>
        <w:t>M du Plessis SC (with M E van Jaarsveld)</w:t>
      </w:r>
    </w:p>
    <w:p w14:paraId="16D969A4" w14:textId="77777777" w:rsidR="00F42694" w:rsidRPr="00501A3C" w:rsidRDefault="00F42694" w:rsidP="00F42694">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Carlos Miranda Attorneys, Pietermaritzburg</w:t>
      </w:r>
    </w:p>
    <w:p w14:paraId="2DB677F8" w14:textId="77777777" w:rsidR="00F42694" w:rsidRPr="00501A3C" w:rsidRDefault="00F42694" w:rsidP="00F4269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Pr>
          <w:rFonts w:ascii="Arial" w:hAnsi="Arial" w:cs="Arial"/>
          <w:sz w:val="24"/>
          <w:szCs w:val="24"/>
        </w:rPr>
        <w:t>Matsepes Inc, Bloemfontein</w:t>
      </w:r>
    </w:p>
    <w:p w14:paraId="4E0ECDA5" w14:textId="04ADDF60" w:rsidR="00C975E4" w:rsidRPr="00501A3C" w:rsidRDefault="00C975E4" w:rsidP="00F42694">
      <w:pPr>
        <w:spacing w:after="0" w:line="240" w:lineRule="auto"/>
        <w:rPr>
          <w:rFonts w:ascii="Arial" w:hAnsi="Arial" w:cs="Arial"/>
          <w:sz w:val="24"/>
          <w:szCs w:val="24"/>
        </w:rPr>
      </w:pPr>
    </w:p>
    <w:sectPr w:rsidR="00C975E4" w:rsidRPr="00501A3C" w:rsidSect="00931D3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18A41" w14:textId="77777777" w:rsidR="005F0C07" w:rsidRDefault="005F0C07" w:rsidP="007172AE">
      <w:pPr>
        <w:spacing w:after="0" w:line="240" w:lineRule="auto"/>
      </w:pPr>
      <w:r>
        <w:separator/>
      </w:r>
    </w:p>
  </w:endnote>
  <w:endnote w:type="continuationSeparator" w:id="0">
    <w:p w14:paraId="5997B041" w14:textId="77777777" w:rsidR="005F0C07" w:rsidRDefault="005F0C07" w:rsidP="007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BDECE" w14:textId="77777777" w:rsidR="005F0C07" w:rsidRDefault="005F0C07" w:rsidP="007172AE">
      <w:pPr>
        <w:spacing w:after="0" w:line="240" w:lineRule="auto"/>
      </w:pPr>
      <w:r>
        <w:separator/>
      </w:r>
    </w:p>
  </w:footnote>
  <w:footnote w:type="continuationSeparator" w:id="0">
    <w:p w14:paraId="6D645AA2" w14:textId="77777777" w:rsidR="005F0C07" w:rsidRDefault="005F0C07" w:rsidP="007172AE">
      <w:pPr>
        <w:spacing w:after="0" w:line="240" w:lineRule="auto"/>
      </w:pPr>
      <w:r>
        <w:continuationSeparator/>
      </w:r>
    </w:p>
  </w:footnote>
  <w:footnote w:id="1">
    <w:p w14:paraId="4DBD6E7D" w14:textId="1E283FA6" w:rsidR="00FE0D90" w:rsidRPr="00FE0D90" w:rsidRDefault="00FE0D90" w:rsidP="00023DFB">
      <w:pPr>
        <w:pStyle w:val="FootnoteText"/>
        <w:jc w:val="both"/>
        <w:rPr>
          <w:rFonts w:ascii="Arial" w:hAnsi="Arial" w:cs="Arial"/>
          <w:lang w:val="en-US"/>
        </w:rPr>
      </w:pPr>
      <w:r w:rsidRPr="00FE0D90">
        <w:rPr>
          <w:rStyle w:val="FootnoteReference"/>
          <w:rFonts w:ascii="Arial" w:hAnsi="Arial" w:cs="Arial"/>
        </w:rPr>
        <w:footnoteRef/>
      </w:r>
      <w:r w:rsidRPr="00FE0D90">
        <w:rPr>
          <w:rFonts w:ascii="Arial" w:hAnsi="Arial" w:cs="Arial"/>
        </w:rPr>
        <w:t xml:space="preserve"> </w:t>
      </w:r>
      <w:r w:rsidRPr="00FE0D90">
        <w:rPr>
          <w:rFonts w:ascii="Arial" w:hAnsi="Arial" w:cs="Arial"/>
          <w:i/>
          <w:lang w:val="en-US"/>
        </w:rPr>
        <w:t xml:space="preserve">Body Corporate of Marine Sands v Extra Dimensions 121 (Pty) Ltd </w:t>
      </w:r>
      <w:r w:rsidRPr="00FE0D90">
        <w:rPr>
          <w:rFonts w:ascii="Arial" w:hAnsi="Arial" w:cs="Arial"/>
          <w:lang w:val="en-US"/>
        </w:rPr>
        <w:t>[2019] ZASCA 161 para 1</w:t>
      </w:r>
      <w:r>
        <w:rPr>
          <w:rFonts w:ascii="Arial" w:hAnsi="Arial" w:cs="Arial"/>
          <w:lang w:val="en-US"/>
        </w:rPr>
        <w:t>.</w:t>
      </w:r>
    </w:p>
  </w:footnote>
  <w:footnote w:id="2">
    <w:p w14:paraId="231A03F6" w14:textId="34A840B1" w:rsidR="00672E2D" w:rsidRPr="00672E2D" w:rsidRDefault="00672E2D" w:rsidP="00023DFB">
      <w:pPr>
        <w:pStyle w:val="FootnoteText"/>
        <w:jc w:val="both"/>
        <w:rPr>
          <w:rFonts w:ascii="Arial" w:hAnsi="Arial" w:cs="Arial"/>
        </w:rPr>
      </w:pPr>
      <w:r w:rsidRPr="00672E2D">
        <w:rPr>
          <w:rStyle w:val="FootnoteReference"/>
          <w:rFonts w:ascii="Arial" w:hAnsi="Arial" w:cs="Arial"/>
        </w:rPr>
        <w:footnoteRef/>
      </w:r>
      <w:r w:rsidRPr="00672E2D">
        <w:rPr>
          <w:rFonts w:ascii="Arial" w:hAnsi="Arial" w:cs="Arial"/>
        </w:rPr>
        <w:t xml:space="preserve"> </w:t>
      </w:r>
      <w:r w:rsidR="00EE03DB" w:rsidRPr="003D2487">
        <w:rPr>
          <w:rFonts w:ascii="Arial" w:hAnsi="Arial" w:cs="Arial"/>
          <w:i/>
          <w:iCs/>
          <w:lang w:val="en-US"/>
        </w:rPr>
        <w:t xml:space="preserve">Gottschalk v Gough </w:t>
      </w:r>
      <w:r w:rsidR="00EE03DB" w:rsidRPr="003D2487">
        <w:rPr>
          <w:rFonts w:ascii="Arial" w:hAnsi="Arial" w:cs="Arial"/>
          <w:lang w:val="en-US"/>
        </w:rPr>
        <w:t xml:space="preserve">[1996] 4 All SA 614 (C); 1997 (4) SA 562 (C) </w:t>
      </w:r>
      <w:r w:rsidR="00224ACB">
        <w:rPr>
          <w:rFonts w:ascii="Arial" w:hAnsi="Arial" w:cs="Arial"/>
        </w:rPr>
        <w:t>(</w:t>
      </w:r>
      <w:r w:rsidR="00224ACB" w:rsidRPr="00224ACB">
        <w:rPr>
          <w:rFonts w:ascii="Arial" w:hAnsi="Arial" w:cs="Arial"/>
          <w:i/>
        </w:rPr>
        <w:t>Gottschalk</w:t>
      </w:r>
      <w:r w:rsidR="00224ACB">
        <w:rPr>
          <w:rFonts w:ascii="Arial" w:hAnsi="Arial" w:cs="Arial"/>
        </w:rPr>
        <w:t>)</w:t>
      </w:r>
      <w:r w:rsidRPr="00672E2D">
        <w:rPr>
          <w:rFonts w:ascii="Arial" w:hAnsi="Arial" w:cs="Arial"/>
        </w:rPr>
        <w:t>.</w:t>
      </w:r>
    </w:p>
  </w:footnote>
  <w:footnote w:id="3">
    <w:p w14:paraId="4132B34B" w14:textId="5CFFAA40" w:rsidR="00672E2D" w:rsidRPr="00724A0C" w:rsidRDefault="00672E2D" w:rsidP="00023DFB">
      <w:pPr>
        <w:pStyle w:val="FootnoteText"/>
        <w:jc w:val="both"/>
        <w:rPr>
          <w:rFonts w:ascii="Arial" w:hAnsi="Arial" w:cs="Arial"/>
          <w:i/>
        </w:rPr>
      </w:pPr>
      <w:r w:rsidRPr="00672E2D">
        <w:rPr>
          <w:rStyle w:val="FootnoteReference"/>
          <w:rFonts w:ascii="Arial" w:hAnsi="Arial" w:cs="Arial"/>
        </w:rPr>
        <w:footnoteRef/>
      </w:r>
      <w:r w:rsidRPr="00672E2D">
        <w:rPr>
          <w:rFonts w:ascii="Arial" w:hAnsi="Arial" w:cs="Arial"/>
        </w:rPr>
        <w:t xml:space="preserve"> </w:t>
      </w:r>
      <w:r w:rsidR="00224FD1" w:rsidRPr="00724A0C">
        <w:rPr>
          <w:rFonts w:ascii="Arial" w:hAnsi="Arial" w:cs="Arial"/>
          <w:i/>
        </w:rPr>
        <w:t xml:space="preserve">Lawclaims (Pty) Ltd v Rea Shipping Co SA: Schiffscommerz Aussenhandelsbetrieb der VVB Schiffbau Intervening </w:t>
      </w:r>
      <w:r w:rsidR="00224FD1" w:rsidRPr="00724A0C">
        <w:rPr>
          <w:rFonts w:ascii="Arial" w:hAnsi="Arial" w:cs="Arial"/>
        </w:rPr>
        <w:t>[1979] 2 ALL SA 389 (N);</w:t>
      </w:r>
      <w:r w:rsidR="00224FD1" w:rsidRPr="00724A0C">
        <w:rPr>
          <w:rFonts w:ascii="Arial" w:hAnsi="Arial" w:cs="Arial"/>
          <w:i/>
        </w:rPr>
        <w:t xml:space="preserve"> </w:t>
      </w:r>
      <w:r w:rsidR="00224FD1" w:rsidRPr="00724A0C">
        <w:rPr>
          <w:rFonts w:ascii="Arial" w:hAnsi="Arial" w:cs="Arial"/>
        </w:rPr>
        <w:t>1979 (4) SA 745 (</w:t>
      </w:r>
      <w:r w:rsidR="00224FD1" w:rsidRPr="00724A0C">
        <w:rPr>
          <w:rFonts w:ascii="Arial" w:hAnsi="Arial" w:cs="Arial"/>
          <w:i/>
        </w:rPr>
        <w:t>Lawclaims</w:t>
      </w:r>
      <w:r w:rsidR="00224FD1" w:rsidRPr="00724A0C">
        <w:rPr>
          <w:rFonts w:ascii="Arial" w:hAnsi="Arial" w:cs="Arial"/>
        </w:rPr>
        <w:t>).</w:t>
      </w:r>
    </w:p>
  </w:footnote>
  <w:footnote w:id="4">
    <w:p w14:paraId="6A1F39DA" w14:textId="4B8B0602" w:rsidR="0009573C" w:rsidRPr="00724A0C" w:rsidRDefault="0009573C" w:rsidP="00023DFB">
      <w:pPr>
        <w:pStyle w:val="FootnoteText"/>
        <w:jc w:val="both"/>
        <w:rPr>
          <w:rFonts w:ascii="Arial" w:hAnsi="Arial" w:cs="Arial"/>
          <w:lang w:val="en-US"/>
        </w:rPr>
      </w:pPr>
      <w:r w:rsidRPr="00724A0C">
        <w:rPr>
          <w:rStyle w:val="FootnoteReference"/>
          <w:rFonts w:ascii="Arial" w:hAnsi="Arial" w:cs="Arial"/>
        </w:rPr>
        <w:footnoteRef/>
      </w:r>
      <w:r w:rsidRPr="00724A0C">
        <w:rPr>
          <w:rFonts w:ascii="Arial" w:hAnsi="Arial" w:cs="Arial"/>
        </w:rPr>
        <w:t xml:space="preserve"> </w:t>
      </w:r>
      <w:bookmarkStart w:id="3" w:name="_Hlk131232292"/>
      <w:r w:rsidR="00224FD1" w:rsidRPr="00724A0C">
        <w:rPr>
          <w:rFonts w:ascii="Arial" w:hAnsi="Arial" w:cs="Arial"/>
          <w:i/>
          <w:iCs/>
          <w:lang w:val="en-US"/>
        </w:rPr>
        <w:t xml:space="preserve">Bhamjee Ltd v Van Harte </w:t>
      </w:r>
      <w:r w:rsidR="00224FD1" w:rsidRPr="00724A0C">
        <w:rPr>
          <w:rFonts w:ascii="Arial" w:hAnsi="Arial" w:cs="Arial"/>
          <w:bCs/>
          <w:iCs/>
        </w:rPr>
        <w:t>[1959] 4 All SA 106 (T);</w:t>
      </w:r>
      <w:r w:rsidR="00224FD1" w:rsidRPr="00724A0C">
        <w:rPr>
          <w:rFonts w:ascii="Arial" w:hAnsi="Arial" w:cs="Arial"/>
          <w:i/>
          <w:iCs/>
          <w:lang w:val="en-US"/>
        </w:rPr>
        <w:t xml:space="preserve"> </w:t>
      </w:r>
      <w:r w:rsidR="00224FD1" w:rsidRPr="00724A0C">
        <w:rPr>
          <w:rFonts w:ascii="Arial" w:hAnsi="Arial" w:cs="Arial"/>
          <w:lang w:val="en-US"/>
        </w:rPr>
        <w:t>1959 (4) SA 174</w:t>
      </w:r>
      <w:bookmarkEnd w:id="3"/>
      <w:r w:rsidR="00224FD1" w:rsidRPr="00724A0C">
        <w:rPr>
          <w:rFonts w:ascii="Arial" w:hAnsi="Arial" w:cs="Arial"/>
          <w:lang w:val="en-US"/>
        </w:rPr>
        <w:t xml:space="preserve"> (</w:t>
      </w:r>
      <w:r w:rsidR="00224FD1" w:rsidRPr="00724A0C">
        <w:rPr>
          <w:rFonts w:ascii="Arial" w:hAnsi="Arial" w:cs="Arial"/>
          <w:i/>
          <w:lang w:val="en-US"/>
        </w:rPr>
        <w:t>Bhamjee</w:t>
      </w:r>
      <w:r w:rsidR="00224FD1" w:rsidRPr="00724A0C">
        <w:rPr>
          <w:rFonts w:ascii="Arial" w:hAnsi="Arial" w:cs="Arial"/>
          <w:lang w:val="en-US"/>
        </w:rPr>
        <w:t>).</w:t>
      </w:r>
    </w:p>
  </w:footnote>
  <w:footnote w:id="5">
    <w:p w14:paraId="5596DF63" w14:textId="278EF75F" w:rsidR="005658A1" w:rsidRPr="00AD43CC" w:rsidRDefault="005658A1" w:rsidP="00023DFB">
      <w:pPr>
        <w:pStyle w:val="FootnoteText"/>
        <w:jc w:val="both"/>
        <w:rPr>
          <w:rFonts w:ascii="Arial" w:hAnsi="Arial" w:cs="Arial"/>
          <w:lang w:val="en-US"/>
        </w:rPr>
      </w:pPr>
      <w:r w:rsidRPr="00724A0C">
        <w:rPr>
          <w:rStyle w:val="FootnoteReference"/>
          <w:rFonts w:ascii="Arial" w:hAnsi="Arial" w:cs="Arial"/>
        </w:rPr>
        <w:footnoteRef/>
      </w:r>
      <w:r w:rsidRPr="00724A0C">
        <w:rPr>
          <w:rFonts w:ascii="Arial" w:hAnsi="Arial" w:cs="Arial"/>
        </w:rPr>
        <w:t xml:space="preserve"> </w:t>
      </w:r>
      <w:bookmarkStart w:id="4" w:name="_Hlk131231499"/>
      <w:r w:rsidR="00224FD1" w:rsidRPr="00724A0C">
        <w:rPr>
          <w:rFonts w:ascii="Arial" w:hAnsi="Arial" w:cs="Arial"/>
        </w:rPr>
        <w:t xml:space="preserve">H Edward </w:t>
      </w:r>
      <w:r w:rsidRPr="00724A0C">
        <w:rPr>
          <w:rFonts w:ascii="Arial" w:hAnsi="Arial" w:cs="Arial"/>
          <w:i/>
          <w:lang w:val="en-US"/>
        </w:rPr>
        <w:t>Mars</w:t>
      </w:r>
      <w:r w:rsidR="00224FD1" w:rsidRPr="00724A0C">
        <w:rPr>
          <w:rFonts w:ascii="Arial" w:hAnsi="Arial" w:cs="Arial"/>
          <w:i/>
          <w:lang w:val="en-US"/>
        </w:rPr>
        <w:t>:</w:t>
      </w:r>
      <w:r w:rsidRPr="00724A0C">
        <w:rPr>
          <w:rFonts w:ascii="Arial" w:hAnsi="Arial" w:cs="Arial"/>
          <w:lang w:val="en-US"/>
        </w:rPr>
        <w:t xml:space="preserve"> </w:t>
      </w:r>
      <w:r w:rsidRPr="00724A0C">
        <w:rPr>
          <w:rFonts w:ascii="Arial" w:hAnsi="Arial" w:cs="Arial"/>
          <w:i/>
          <w:iCs/>
          <w:lang w:val="en-US"/>
        </w:rPr>
        <w:t xml:space="preserve">The Law of Insolvency </w:t>
      </w:r>
      <w:r w:rsidR="00005A14" w:rsidRPr="00724A0C">
        <w:rPr>
          <w:rFonts w:ascii="Arial" w:hAnsi="Arial" w:cs="Arial"/>
          <w:i/>
          <w:iCs/>
          <w:lang w:val="en-US"/>
        </w:rPr>
        <w:t xml:space="preserve">in South Africa </w:t>
      </w:r>
      <w:r w:rsidRPr="00724A0C">
        <w:rPr>
          <w:rFonts w:ascii="Arial" w:hAnsi="Arial" w:cs="Arial"/>
          <w:lang w:val="en-US"/>
        </w:rPr>
        <w:t>6</w:t>
      </w:r>
      <w:r w:rsidR="00BD344E" w:rsidRPr="00724A0C">
        <w:rPr>
          <w:rFonts w:ascii="Arial" w:hAnsi="Arial" w:cs="Arial"/>
          <w:lang w:val="en-US"/>
        </w:rPr>
        <w:t xml:space="preserve"> </w:t>
      </w:r>
      <w:r w:rsidRPr="00724A0C">
        <w:rPr>
          <w:rFonts w:ascii="Arial" w:hAnsi="Arial" w:cs="Arial"/>
          <w:lang w:val="en-US"/>
        </w:rPr>
        <w:t xml:space="preserve">ed </w:t>
      </w:r>
      <w:r w:rsidR="00005A14" w:rsidRPr="00724A0C">
        <w:rPr>
          <w:rFonts w:ascii="Arial" w:hAnsi="Arial" w:cs="Arial"/>
          <w:lang w:val="en-US"/>
        </w:rPr>
        <w:t xml:space="preserve">(1968) </w:t>
      </w:r>
      <w:r w:rsidRPr="00724A0C">
        <w:rPr>
          <w:rFonts w:ascii="Arial" w:hAnsi="Arial" w:cs="Arial"/>
          <w:lang w:val="en-US"/>
        </w:rPr>
        <w:t>at 130</w:t>
      </w:r>
      <w:bookmarkEnd w:id="4"/>
      <w:r w:rsidRPr="00724A0C">
        <w:rPr>
          <w:rFonts w:ascii="Arial" w:hAnsi="Arial" w:cs="Arial"/>
          <w:lang w:val="en-US"/>
        </w:rPr>
        <w:t xml:space="preserve">; </w:t>
      </w:r>
      <w:r w:rsidR="00005A14" w:rsidRPr="00724A0C">
        <w:rPr>
          <w:rFonts w:ascii="Arial" w:hAnsi="Arial" w:cs="Arial"/>
          <w:lang w:val="en-US"/>
        </w:rPr>
        <w:t xml:space="preserve">E de la Rey </w:t>
      </w:r>
      <w:r w:rsidRPr="00724A0C">
        <w:rPr>
          <w:rFonts w:ascii="Arial" w:hAnsi="Arial" w:cs="Arial"/>
          <w:i/>
          <w:lang w:val="en-US"/>
        </w:rPr>
        <w:t>Mars</w:t>
      </w:r>
      <w:r w:rsidR="00005A14" w:rsidRPr="00724A0C">
        <w:rPr>
          <w:rFonts w:ascii="Arial" w:hAnsi="Arial" w:cs="Arial"/>
          <w:i/>
          <w:lang w:val="en-US"/>
        </w:rPr>
        <w:t>:</w:t>
      </w:r>
      <w:r w:rsidRPr="00724A0C">
        <w:rPr>
          <w:rFonts w:ascii="Arial" w:hAnsi="Arial" w:cs="Arial"/>
          <w:lang w:val="en-US"/>
        </w:rPr>
        <w:t xml:space="preserve"> </w:t>
      </w:r>
      <w:r w:rsidRPr="00724A0C">
        <w:rPr>
          <w:rFonts w:ascii="Arial" w:hAnsi="Arial" w:cs="Arial"/>
          <w:i/>
          <w:iCs/>
          <w:lang w:val="en-US"/>
        </w:rPr>
        <w:t xml:space="preserve">The Law of Insolvency in South Africa </w:t>
      </w:r>
      <w:r w:rsidRPr="00724A0C">
        <w:rPr>
          <w:rFonts w:ascii="Arial" w:hAnsi="Arial" w:cs="Arial"/>
          <w:lang w:val="en-US"/>
        </w:rPr>
        <w:t>8</w:t>
      </w:r>
      <w:r w:rsidR="00D06C04" w:rsidRPr="00724A0C">
        <w:rPr>
          <w:rFonts w:ascii="Arial" w:hAnsi="Arial" w:cs="Arial"/>
          <w:lang w:val="en-US"/>
        </w:rPr>
        <w:t xml:space="preserve"> </w:t>
      </w:r>
      <w:r w:rsidR="00005A14" w:rsidRPr="00724A0C">
        <w:rPr>
          <w:rFonts w:ascii="Arial" w:hAnsi="Arial" w:cs="Arial"/>
          <w:lang w:val="en-US"/>
        </w:rPr>
        <w:t>ed (1988)</w:t>
      </w:r>
      <w:r w:rsidR="00D06C04" w:rsidRPr="00724A0C">
        <w:rPr>
          <w:rFonts w:ascii="Arial" w:hAnsi="Arial" w:cs="Arial"/>
          <w:lang w:val="en-US"/>
        </w:rPr>
        <w:t xml:space="preserve"> at 126</w:t>
      </w:r>
      <w:r w:rsidR="00005A14" w:rsidRPr="00724A0C">
        <w:rPr>
          <w:rFonts w:ascii="Arial" w:hAnsi="Arial" w:cs="Arial"/>
          <w:lang w:val="en-US"/>
        </w:rPr>
        <w:t xml:space="preserve">; C </w:t>
      </w:r>
      <w:r w:rsidR="00A12B03" w:rsidRPr="00724A0C">
        <w:rPr>
          <w:rFonts w:ascii="Arial" w:hAnsi="Arial" w:cs="Arial"/>
          <w:lang w:val="en-US"/>
        </w:rPr>
        <w:t xml:space="preserve">Smith </w:t>
      </w:r>
      <w:r w:rsidR="00A12B03" w:rsidRPr="00724A0C">
        <w:rPr>
          <w:rFonts w:ascii="Arial" w:hAnsi="Arial" w:cs="Arial"/>
          <w:i/>
          <w:iCs/>
          <w:lang w:val="en-US"/>
        </w:rPr>
        <w:t>The Law of Insolvency</w:t>
      </w:r>
      <w:r w:rsidR="00A12B03" w:rsidRPr="00724A0C">
        <w:rPr>
          <w:rFonts w:ascii="Arial" w:hAnsi="Arial" w:cs="Arial"/>
          <w:lang w:val="en-US"/>
        </w:rPr>
        <w:t xml:space="preserve"> 3</w:t>
      </w:r>
      <w:r w:rsidR="00005A14" w:rsidRPr="00724A0C">
        <w:rPr>
          <w:rFonts w:ascii="Arial" w:hAnsi="Arial" w:cs="Arial"/>
          <w:lang w:val="en-US"/>
        </w:rPr>
        <w:t xml:space="preserve"> </w:t>
      </w:r>
      <w:r w:rsidR="00A12B03" w:rsidRPr="00724A0C">
        <w:rPr>
          <w:rFonts w:ascii="Arial" w:hAnsi="Arial" w:cs="Arial"/>
          <w:lang w:val="en-US"/>
        </w:rPr>
        <w:t xml:space="preserve">ed </w:t>
      </w:r>
      <w:r w:rsidR="00005A14" w:rsidRPr="00724A0C">
        <w:rPr>
          <w:rFonts w:ascii="Arial" w:hAnsi="Arial" w:cs="Arial"/>
          <w:lang w:val="en-US"/>
        </w:rPr>
        <w:t>(1973) at 312 and P</w:t>
      </w:r>
      <w:r w:rsidR="00A12B03" w:rsidRPr="00724A0C">
        <w:rPr>
          <w:rFonts w:ascii="Arial" w:hAnsi="Arial" w:cs="Arial"/>
          <w:lang w:val="en-US"/>
        </w:rPr>
        <w:t xml:space="preserve"> M Meskin</w:t>
      </w:r>
      <w:r w:rsidR="00005A14" w:rsidRPr="00724A0C">
        <w:rPr>
          <w:rFonts w:ascii="Arial" w:hAnsi="Arial" w:cs="Arial"/>
          <w:lang w:val="en-US"/>
        </w:rPr>
        <w:t xml:space="preserve"> and J A Kunst</w:t>
      </w:r>
      <w:r w:rsidR="00A12B03" w:rsidRPr="00724A0C">
        <w:rPr>
          <w:rFonts w:ascii="Arial" w:hAnsi="Arial" w:cs="Arial"/>
          <w:lang w:val="en-US"/>
        </w:rPr>
        <w:t xml:space="preserve"> </w:t>
      </w:r>
      <w:r w:rsidR="00A12B03" w:rsidRPr="00724A0C">
        <w:rPr>
          <w:rFonts w:ascii="Arial" w:hAnsi="Arial" w:cs="Arial"/>
          <w:i/>
          <w:iCs/>
          <w:lang w:val="en-US"/>
        </w:rPr>
        <w:t xml:space="preserve">Insolvency Law </w:t>
      </w:r>
      <w:r w:rsidR="00005A14" w:rsidRPr="00724A0C">
        <w:rPr>
          <w:rFonts w:ascii="Arial" w:hAnsi="Arial" w:cs="Arial"/>
          <w:iCs/>
          <w:lang w:val="en-US"/>
        </w:rPr>
        <w:t>(1994)</w:t>
      </w:r>
      <w:r w:rsidR="00005A14">
        <w:rPr>
          <w:rFonts w:ascii="Arial" w:hAnsi="Arial" w:cs="Arial"/>
          <w:iCs/>
          <w:lang w:val="en-US"/>
        </w:rPr>
        <w:t xml:space="preserve"> </w:t>
      </w:r>
      <w:r w:rsidR="00A12B03" w:rsidRPr="00AD43CC">
        <w:rPr>
          <w:rFonts w:ascii="Arial" w:hAnsi="Arial" w:cs="Arial"/>
          <w:lang w:val="en-US"/>
        </w:rPr>
        <w:t>at 2-47 para 2.2.</w:t>
      </w:r>
    </w:p>
  </w:footnote>
  <w:footnote w:id="6">
    <w:p w14:paraId="6D0E4911" w14:textId="1029AA7F" w:rsidR="00526C63" w:rsidRPr="00AD43CC" w:rsidRDefault="00526C63" w:rsidP="00526C63">
      <w:pPr>
        <w:pStyle w:val="FootnoteText"/>
        <w:jc w:val="both"/>
        <w:rPr>
          <w:rFonts w:ascii="Arial" w:hAnsi="Arial" w:cs="Arial"/>
        </w:rPr>
      </w:pPr>
      <w:r w:rsidRPr="00AD43CC">
        <w:rPr>
          <w:rStyle w:val="FootnoteReference"/>
          <w:rFonts w:ascii="Arial" w:hAnsi="Arial" w:cs="Arial"/>
        </w:rPr>
        <w:footnoteRef/>
      </w:r>
      <w:r w:rsidRPr="00AD43CC">
        <w:rPr>
          <w:rFonts w:ascii="Arial" w:hAnsi="Arial" w:cs="Arial"/>
        </w:rPr>
        <w:t xml:space="preserve"> </w:t>
      </w:r>
      <w:r w:rsidRPr="00AD43CC">
        <w:rPr>
          <w:rFonts w:ascii="Arial" w:hAnsi="Arial" w:cs="Arial"/>
          <w:i/>
        </w:rPr>
        <w:t xml:space="preserve">Bhamjee </w:t>
      </w:r>
      <w:r w:rsidR="00B9030E">
        <w:rPr>
          <w:rFonts w:ascii="Arial" w:hAnsi="Arial" w:cs="Arial"/>
          <w:iCs/>
        </w:rPr>
        <w:t xml:space="preserve">fn 4 above </w:t>
      </w:r>
      <w:r w:rsidRPr="00AD43CC">
        <w:rPr>
          <w:rFonts w:ascii="Arial" w:hAnsi="Arial" w:cs="Arial"/>
        </w:rPr>
        <w:t xml:space="preserve">at 174F-G. </w:t>
      </w:r>
    </w:p>
  </w:footnote>
  <w:footnote w:id="7">
    <w:p w14:paraId="19733325" w14:textId="5A25AEAC" w:rsidR="00526C63" w:rsidRPr="00AD43CC" w:rsidRDefault="00526C63" w:rsidP="00526C63">
      <w:pPr>
        <w:pStyle w:val="FootnoteText"/>
        <w:jc w:val="both"/>
        <w:rPr>
          <w:rFonts w:ascii="Arial" w:hAnsi="Arial" w:cs="Arial"/>
        </w:rPr>
      </w:pPr>
      <w:r w:rsidRPr="00AD43CC">
        <w:rPr>
          <w:rStyle w:val="FootnoteReference"/>
          <w:rFonts w:ascii="Arial" w:hAnsi="Arial" w:cs="Arial"/>
        </w:rPr>
        <w:footnoteRef/>
      </w:r>
      <w:r w:rsidRPr="00AD43CC">
        <w:rPr>
          <w:rFonts w:ascii="Arial" w:hAnsi="Arial" w:cs="Arial"/>
        </w:rPr>
        <w:t xml:space="preserve"> </w:t>
      </w:r>
      <w:r w:rsidRPr="00AD43CC">
        <w:rPr>
          <w:rFonts w:ascii="Arial" w:hAnsi="Arial" w:cs="Arial"/>
          <w:i/>
        </w:rPr>
        <w:t xml:space="preserve">Lawclaims </w:t>
      </w:r>
      <w:r w:rsidR="007535FC">
        <w:rPr>
          <w:rFonts w:ascii="Arial" w:hAnsi="Arial" w:cs="Arial"/>
        </w:rPr>
        <w:t xml:space="preserve">fn 3 above </w:t>
      </w:r>
      <w:r w:rsidRPr="00AD43CC">
        <w:rPr>
          <w:rFonts w:ascii="Arial" w:hAnsi="Arial" w:cs="Arial"/>
        </w:rPr>
        <w:t>at 749E-F.</w:t>
      </w:r>
    </w:p>
  </w:footnote>
  <w:footnote w:id="8">
    <w:p w14:paraId="1C4535AB" w14:textId="67D1F383" w:rsidR="001712BF" w:rsidRPr="00AD43CC" w:rsidRDefault="001712BF" w:rsidP="001712BF">
      <w:pPr>
        <w:pStyle w:val="FootnoteText"/>
        <w:jc w:val="both"/>
        <w:rPr>
          <w:rFonts w:ascii="Arial" w:hAnsi="Arial" w:cs="Arial"/>
        </w:rPr>
      </w:pPr>
      <w:r w:rsidRPr="00AD43CC">
        <w:rPr>
          <w:rStyle w:val="FootnoteReference"/>
          <w:rFonts w:ascii="Arial" w:hAnsi="Arial" w:cs="Arial"/>
        </w:rPr>
        <w:footnoteRef/>
      </w:r>
      <w:r w:rsidRPr="00AD43CC">
        <w:rPr>
          <w:rFonts w:ascii="Arial" w:hAnsi="Arial" w:cs="Arial"/>
        </w:rPr>
        <w:t xml:space="preserve"> Ibid at 750E-F.</w:t>
      </w:r>
    </w:p>
  </w:footnote>
  <w:footnote w:id="9">
    <w:p w14:paraId="78C2F651" w14:textId="18FBC1F7" w:rsidR="001712BF" w:rsidRPr="00AD43CC" w:rsidRDefault="001712BF" w:rsidP="001712BF">
      <w:pPr>
        <w:pStyle w:val="FootnoteText"/>
        <w:jc w:val="both"/>
        <w:rPr>
          <w:rFonts w:ascii="Arial" w:hAnsi="Arial" w:cs="Arial"/>
        </w:rPr>
      </w:pPr>
      <w:r w:rsidRPr="00AD43CC">
        <w:rPr>
          <w:rStyle w:val="FootnoteReference"/>
          <w:rFonts w:ascii="Arial" w:hAnsi="Arial" w:cs="Arial"/>
        </w:rPr>
        <w:footnoteRef/>
      </w:r>
      <w:r w:rsidRPr="00AD43CC">
        <w:rPr>
          <w:rFonts w:ascii="Arial" w:hAnsi="Arial" w:cs="Arial"/>
        </w:rPr>
        <w:t xml:space="preserve"> </w:t>
      </w:r>
      <w:r w:rsidRPr="00AD43CC">
        <w:rPr>
          <w:rFonts w:ascii="Arial" w:hAnsi="Arial" w:cs="Arial"/>
          <w:i/>
        </w:rPr>
        <w:t xml:space="preserve">Gottschalk </w:t>
      </w:r>
      <w:r w:rsidR="007535FC">
        <w:rPr>
          <w:rFonts w:ascii="Arial" w:hAnsi="Arial" w:cs="Arial"/>
        </w:rPr>
        <w:t xml:space="preserve">fn 2 above </w:t>
      </w:r>
      <w:r w:rsidRPr="00AD43CC">
        <w:rPr>
          <w:rFonts w:ascii="Arial" w:hAnsi="Arial" w:cs="Arial"/>
        </w:rPr>
        <w:t xml:space="preserve">at 563F-G. </w:t>
      </w:r>
    </w:p>
  </w:footnote>
  <w:footnote w:id="10">
    <w:p w14:paraId="707D1B01" w14:textId="0309BE79" w:rsidR="001712BF" w:rsidRPr="00023DFB" w:rsidRDefault="001712BF" w:rsidP="001712BF">
      <w:pPr>
        <w:pStyle w:val="FootnoteText"/>
        <w:jc w:val="both"/>
        <w:rPr>
          <w:rFonts w:ascii="Arial" w:hAnsi="Arial" w:cs="Arial"/>
        </w:rPr>
      </w:pPr>
      <w:r w:rsidRPr="00023DFB">
        <w:rPr>
          <w:rStyle w:val="FootnoteReference"/>
          <w:rFonts w:ascii="Arial" w:hAnsi="Arial" w:cs="Arial"/>
        </w:rPr>
        <w:footnoteRef/>
      </w:r>
      <w:r w:rsidRPr="00023DFB">
        <w:rPr>
          <w:rFonts w:ascii="Arial" w:hAnsi="Arial" w:cs="Arial"/>
        </w:rPr>
        <w:t xml:space="preserve"> Ibid at 567F.</w:t>
      </w:r>
    </w:p>
  </w:footnote>
  <w:footnote w:id="11">
    <w:p w14:paraId="7532024F" w14:textId="4D46B0F8" w:rsidR="000B7B7D" w:rsidRPr="00023DFB" w:rsidRDefault="000B7B7D" w:rsidP="00F34746">
      <w:pPr>
        <w:pStyle w:val="FootnoteText"/>
        <w:jc w:val="both"/>
        <w:rPr>
          <w:rFonts w:ascii="Arial" w:hAnsi="Arial" w:cs="Arial"/>
          <w:lang w:val="en-US"/>
        </w:rPr>
      </w:pPr>
      <w:r w:rsidRPr="00023DFB">
        <w:rPr>
          <w:rStyle w:val="FootnoteReference"/>
          <w:rFonts w:ascii="Arial" w:hAnsi="Arial" w:cs="Arial"/>
        </w:rPr>
        <w:footnoteRef/>
      </w:r>
      <w:r w:rsidRPr="00023DFB">
        <w:rPr>
          <w:rFonts w:ascii="Arial" w:hAnsi="Arial" w:cs="Arial"/>
        </w:rPr>
        <w:t xml:space="preserve"> </w:t>
      </w:r>
      <w:r w:rsidR="00636CF8" w:rsidRPr="00023DFB">
        <w:rPr>
          <w:rFonts w:ascii="Arial" w:hAnsi="Arial" w:cs="Arial"/>
          <w:i/>
        </w:rPr>
        <w:t xml:space="preserve">Arenstein v Secretary for Justice </w:t>
      </w:r>
      <w:r w:rsidR="00636CF8" w:rsidRPr="00023DFB">
        <w:rPr>
          <w:rFonts w:ascii="Arial" w:hAnsi="Arial" w:cs="Arial"/>
        </w:rPr>
        <w:t xml:space="preserve">1970 (4) SA 273 at 281A-D. </w:t>
      </w:r>
      <w:r w:rsidR="00636CF8" w:rsidRPr="00023DFB">
        <w:rPr>
          <w:rFonts w:ascii="Arial" w:hAnsi="Arial" w:cs="Arial"/>
          <w:i/>
        </w:rPr>
        <w:t xml:space="preserve">Cornelissen v Universal Caravan Sales (Pty) Ltd </w:t>
      </w:r>
      <w:r w:rsidR="00636CF8" w:rsidRPr="00023DFB">
        <w:rPr>
          <w:rFonts w:ascii="Arial" w:hAnsi="Arial" w:cs="Arial"/>
        </w:rPr>
        <w:t>1971 (3) SA 158 at 175C.</w:t>
      </w:r>
    </w:p>
  </w:footnote>
  <w:footnote w:id="12">
    <w:p w14:paraId="3B19F0BE" w14:textId="55CE2D42" w:rsidR="000B7B7D" w:rsidRPr="00023DFB" w:rsidRDefault="000B7B7D" w:rsidP="00F34746">
      <w:pPr>
        <w:pStyle w:val="western"/>
        <w:shd w:val="clear" w:color="auto" w:fill="FFFFFF"/>
        <w:spacing w:before="0" w:beforeAutospacing="0" w:after="0" w:afterAutospacing="0"/>
        <w:jc w:val="both"/>
        <w:rPr>
          <w:rFonts w:ascii="Arial" w:hAnsi="Arial" w:cs="Arial"/>
          <w:sz w:val="20"/>
          <w:szCs w:val="20"/>
        </w:rPr>
      </w:pPr>
      <w:r w:rsidRPr="00023DFB">
        <w:rPr>
          <w:rStyle w:val="FootnoteReference"/>
          <w:rFonts w:ascii="Arial" w:hAnsi="Arial" w:cs="Arial"/>
          <w:sz w:val="20"/>
          <w:szCs w:val="20"/>
        </w:rPr>
        <w:footnoteRef/>
      </w:r>
      <w:r w:rsidRPr="00023DFB">
        <w:rPr>
          <w:rFonts w:ascii="Arial" w:hAnsi="Arial" w:cs="Arial"/>
          <w:sz w:val="20"/>
          <w:szCs w:val="20"/>
        </w:rPr>
        <w:t xml:space="preserve"> </w:t>
      </w:r>
      <w:r w:rsidR="00675A6F" w:rsidRPr="00023DFB">
        <w:rPr>
          <w:rFonts w:ascii="Arial" w:hAnsi="Arial" w:cs="Arial"/>
          <w:sz w:val="20"/>
          <w:szCs w:val="20"/>
        </w:rPr>
        <w:t>In the words of Wessels J in Casserley v Stubbs </w:t>
      </w:r>
      <w:hyperlink r:id="rId1" w:tooltip="View LawCiteRecord" w:history="1">
        <w:r w:rsidR="00675A6F" w:rsidRPr="00023DFB">
          <w:rPr>
            <w:rStyle w:val="Hyperlink"/>
            <w:rFonts w:ascii="Arial" w:hAnsi="Arial" w:cs="Arial"/>
            <w:color w:val="auto"/>
            <w:sz w:val="20"/>
            <w:szCs w:val="20"/>
            <w:u w:val="none"/>
          </w:rPr>
          <w:t>1916 TPD 310</w:t>
        </w:r>
      </w:hyperlink>
      <w:r w:rsidR="00675A6F" w:rsidRPr="00023DFB">
        <w:rPr>
          <w:rFonts w:ascii="Arial" w:hAnsi="Arial" w:cs="Arial"/>
          <w:sz w:val="20"/>
          <w:szCs w:val="20"/>
        </w:rPr>
        <w:t> at 312: ‘It is a well-known canon of construction that we cannot infer that a statute intends to alter the common law. The statute must either explicitly say that it is the intention of the legislature to alter the common law, or the inference from the Ordinance must be such that we can come to no other conclusion than that the legislature did have such an intention.’</w:t>
      </w:r>
    </w:p>
  </w:footnote>
  <w:footnote w:id="13">
    <w:p w14:paraId="1890CC1C" w14:textId="57B6F937" w:rsidR="00675A6F" w:rsidRPr="00023DFB" w:rsidRDefault="00675A6F" w:rsidP="00F34746">
      <w:pPr>
        <w:pStyle w:val="Heading2"/>
        <w:shd w:val="clear" w:color="auto" w:fill="FFFFFF"/>
        <w:spacing w:before="0" w:line="240" w:lineRule="auto"/>
        <w:jc w:val="both"/>
        <w:rPr>
          <w:rFonts w:ascii="Arial" w:hAnsi="Arial" w:cs="Arial"/>
          <w:color w:val="auto"/>
          <w:sz w:val="20"/>
          <w:szCs w:val="20"/>
        </w:rPr>
      </w:pPr>
      <w:r w:rsidRPr="00023DFB">
        <w:rPr>
          <w:rStyle w:val="FootnoteReference"/>
          <w:rFonts w:ascii="Arial" w:hAnsi="Arial" w:cs="Arial"/>
          <w:color w:val="auto"/>
          <w:sz w:val="20"/>
          <w:szCs w:val="20"/>
        </w:rPr>
        <w:footnoteRef/>
      </w:r>
      <w:r w:rsidRPr="00023DFB">
        <w:rPr>
          <w:rFonts w:ascii="Arial" w:hAnsi="Arial" w:cs="Arial"/>
          <w:color w:val="auto"/>
          <w:sz w:val="20"/>
          <w:szCs w:val="20"/>
        </w:rPr>
        <w:t xml:space="preserve"> </w:t>
      </w:r>
      <w:r w:rsidRPr="00023DFB">
        <w:rPr>
          <w:rFonts w:ascii="Arial" w:hAnsi="Arial" w:cs="Arial"/>
          <w:i/>
          <w:iCs/>
          <w:color w:val="auto"/>
          <w:sz w:val="20"/>
          <w:szCs w:val="20"/>
        </w:rPr>
        <w:t>Bestuursliggaam van Gene Louw Laerskool v J D Roodtman</w:t>
      </w:r>
      <w:r w:rsidRPr="00023DFB">
        <w:rPr>
          <w:rFonts w:ascii="Arial" w:hAnsi="Arial" w:cs="Arial"/>
          <w:color w:val="auto"/>
          <w:sz w:val="20"/>
          <w:szCs w:val="20"/>
        </w:rPr>
        <w:t xml:space="preserve"> [2000] ZAWCHC 2.</w:t>
      </w:r>
    </w:p>
  </w:footnote>
  <w:footnote w:id="14">
    <w:p w14:paraId="6D63B675" w14:textId="1D67F251" w:rsidR="00052EBE" w:rsidRPr="00023DFB" w:rsidRDefault="00052EBE" w:rsidP="00F34746">
      <w:pPr>
        <w:pStyle w:val="FootnoteText"/>
        <w:jc w:val="both"/>
        <w:rPr>
          <w:rFonts w:ascii="Arial" w:hAnsi="Arial" w:cs="Arial"/>
          <w:iCs/>
          <w:lang w:val="en-US"/>
        </w:rPr>
      </w:pPr>
      <w:r w:rsidRPr="00023DFB">
        <w:rPr>
          <w:rStyle w:val="FootnoteReference"/>
          <w:rFonts w:ascii="Arial" w:hAnsi="Arial" w:cs="Arial"/>
        </w:rPr>
        <w:footnoteRef/>
      </w:r>
      <w:r w:rsidRPr="00023DFB">
        <w:rPr>
          <w:rFonts w:ascii="Arial" w:hAnsi="Arial" w:cs="Arial"/>
        </w:rPr>
        <w:t xml:space="preserve"> </w:t>
      </w:r>
      <w:r w:rsidR="00EE03DB" w:rsidRPr="00023DFB">
        <w:rPr>
          <w:rFonts w:ascii="Arial" w:hAnsi="Arial" w:cs="Arial"/>
          <w:i/>
        </w:rPr>
        <w:t xml:space="preserve">Gottschalk </w:t>
      </w:r>
      <w:r w:rsidR="007535FC" w:rsidRPr="00023DFB">
        <w:rPr>
          <w:rFonts w:ascii="Arial" w:hAnsi="Arial" w:cs="Arial"/>
        </w:rPr>
        <w:t xml:space="preserve">fn 2 above </w:t>
      </w:r>
      <w:r w:rsidR="007535FC" w:rsidRPr="00023DFB">
        <w:rPr>
          <w:rFonts w:ascii="Arial" w:hAnsi="Arial" w:cs="Arial"/>
          <w:iCs/>
        </w:rPr>
        <w:t>at 564G.</w:t>
      </w:r>
    </w:p>
  </w:footnote>
  <w:footnote w:id="15">
    <w:p w14:paraId="18B2178C" w14:textId="68C3AAA9" w:rsidR="00D27E8B" w:rsidRPr="00023DFB" w:rsidRDefault="00D27E8B" w:rsidP="00F34746">
      <w:pPr>
        <w:pStyle w:val="FootnoteText"/>
        <w:jc w:val="both"/>
        <w:rPr>
          <w:rFonts w:ascii="Arial" w:hAnsi="Arial" w:cs="Arial"/>
          <w:lang w:val="en-US"/>
        </w:rPr>
      </w:pPr>
      <w:r w:rsidRPr="00023DFB">
        <w:rPr>
          <w:rStyle w:val="FootnoteReference"/>
          <w:rFonts w:ascii="Arial" w:hAnsi="Arial" w:cs="Arial"/>
        </w:rPr>
        <w:footnoteRef/>
      </w:r>
      <w:r w:rsidRPr="00023DFB">
        <w:rPr>
          <w:rFonts w:ascii="Arial" w:hAnsi="Arial" w:cs="Arial"/>
        </w:rPr>
        <w:t xml:space="preserve"> Ibid at 565 E-F.</w:t>
      </w:r>
    </w:p>
  </w:footnote>
  <w:footnote w:id="16">
    <w:p w14:paraId="63F8E3DE" w14:textId="37378A5C" w:rsidR="00C41842" w:rsidRPr="00023DFB" w:rsidRDefault="00C41842" w:rsidP="00F34746">
      <w:pPr>
        <w:pStyle w:val="FootnoteText"/>
        <w:jc w:val="both"/>
        <w:rPr>
          <w:rFonts w:ascii="Arial" w:hAnsi="Arial" w:cs="Arial"/>
          <w:lang w:val="en-US"/>
        </w:rPr>
      </w:pPr>
      <w:r w:rsidRPr="00023DFB">
        <w:rPr>
          <w:rStyle w:val="FootnoteReference"/>
          <w:rFonts w:ascii="Arial" w:hAnsi="Arial" w:cs="Arial"/>
        </w:rPr>
        <w:footnoteRef/>
      </w:r>
      <w:r w:rsidRPr="00023DFB">
        <w:rPr>
          <w:rFonts w:ascii="Arial" w:hAnsi="Arial" w:cs="Arial"/>
        </w:rPr>
        <w:t xml:space="preserve"> Ibid.</w:t>
      </w:r>
    </w:p>
  </w:footnote>
  <w:footnote w:id="17">
    <w:p w14:paraId="7245088A" w14:textId="0B8512F1" w:rsidR="009157B0" w:rsidRPr="00023DFB" w:rsidRDefault="009157B0" w:rsidP="00F34746">
      <w:pPr>
        <w:pStyle w:val="FootnoteText"/>
        <w:jc w:val="both"/>
        <w:rPr>
          <w:rFonts w:ascii="Arial" w:hAnsi="Arial" w:cs="Arial"/>
          <w:lang w:val="en-US"/>
        </w:rPr>
      </w:pPr>
      <w:r w:rsidRPr="00023DFB">
        <w:rPr>
          <w:rStyle w:val="FootnoteReference"/>
          <w:rFonts w:ascii="Arial" w:hAnsi="Arial" w:cs="Arial"/>
        </w:rPr>
        <w:footnoteRef/>
      </w:r>
      <w:r w:rsidRPr="00023DFB">
        <w:rPr>
          <w:rFonts w:ascii="Arial" w:hAnsi="Arial" w:cs="Arial"/>
        </w:rPr>
        <w:t xml:space="preserve"> </w:t>
      </w:r>
      <w:r w:rsidR="0079307F" w:rsidRPr="00023DFB">
        <w:rPr>
          <w:rFonts w:ascii="Arial" w:hAnsi="Arial" w:cs="Arial"/>
        </w:rPr>
        <w:t xml:space="preserve">As it was put in </w:t>
      </w:r>
      <w:r w:rsidRPr="00023DFB">
        <w:rPr>
          <w:rFonts w:ascii="Arial" w:hAnsi="Arial" w:cs="Arial"/>
          <w:i/>
          <w:iCs/>
        </w:rPr>
        <w:t xml:space="preserve">Kent NO v SA Railways and Another </w:t>
      </w:r>
      <w:r w:rsidRPr="00023DFB">
        <w:rPr>
          <w:rFonts w:ascii="Arial" w:hAnsi="Arial" w:cs="Arial"/>
        </w:rPr>
        <w:t>1946 AD 398 at 405</w:t>
      </w:r>
      <w:r w:rsidR="0079307F" w:rsidRPr="00023DFB">
        <w:rPr>
          <w:rFonts w:ascii="Arial" w:hAnsi="Arial" w:cs="Arial"/>
        </w:rPr>
        <w:t>: ‘the inference must be a necessary one not merely a possible one’</w:t>
      </w:r>
      <w:r w:rsidRPr="00023DFB">
        <w:rPr>
          <w:rFonts w:ascii="Arial" w:hAnsi="Arial" w:cs="Arial"/>
        </w:rPr>
        <w:t>.</w:t>
      </w:r>
    </w:p>
  </w:footnote>
  <w:footnote w:id="18">
    <w:p w14:paraId="6B6EA932" w14:textId="7FD90D99" w:rsidR="00777F87" w:rsidRPr="00023DFB" w:rsidRDefault="00777F87" w:rsidP="00F34746">
      <w:pPr>
        <w:pStyle w:val="FootnoteText"/>
        <w:jc w:val="both"/>
        <w:rPr>
          <w:rFonts w:ascii="Arial" w:hAnsi="Arial" w:cs="Arial"/>
        </w:rPr>
      </w:pPr>
      <w:r w:rsidRPr="00023DFB">
        <w:rPr>
          <w:rStyle w:val="FootnoteReference"/>
          <w:rFonts w:ascii="Arial" w:hAnsi="Arial" w:cs="Arial"/>
        </w:rPr>
        <w:footnoteRef/>
      </w:r>
      <w:r w:rsidRPr="00023DFB">
        <w:rPr>
          <w:rFonts w:ascii="Arial" w:hAnsi="Arial" w:cs="Arial"/>
        </w:rPr>
        <w:t xml:space="preserve"> </w:t>
      </w:r>
      <w:r w:rsidRPr="00023DFB">
        <w:rPr>
          <w:rFonts w:ascii="Arial" w:hAnsi="Arial" w:cs="Arial"/>
          <w:i/>
          <w:iCs/>
        </w:rPr>
        <w:t>Zweni v Minister of Law and Order</w:t>
      </w:r>
      <w:r w:rsidRPr="00023DFB">
        <w:rPr>
          <w:rFonts w:ascii="Arial" w:hAnsi="Arial" w:cs="Arial"/>
        </w:rPr>
        <w:t> </w:t>
      </w:r>
      <w:hyperlink r:id="rId2" w:tooltip="View LawCiteRecord" w:history="1">
        <w:r w:rsidRPr="00023DFB">
          <w:rPr>
            <w:rStyle w:val="Hyperlink"/>
            <w:rFonts w:ascii="Arial" w:hAnsi="Arial" w:cs="Arial"/>
            <w:color w:val="auto"/>
            <w:u w:val="none"/>
          </w:rPr>
          <w:t>1993 (1) SA 523</w:t>
        </w:r>
      </w:hyperlink>
      <w:r w:rsidRPr="00023DFB">
        <w:rPr>
          <w:rFonts w:ascii="Arial" w:hAnsi="Arial" w:cs="Arial"/>
        </w:rPr>
        <w:t> (A) at 532I-533A:</w:t>
      </w:r>
    </w:p>
    <w:p w14:paraId="75D22370" w14:textId="76EFB8F0" w:rsidR="00777F87" w:rsidRPr="00023DFB" w:rsidRDefault="00777F87" w:rsidP="003D2487">
      <w:pPr>
        <w:pStyle w:val="FootnoteText"/>
        <w:jc w:val="both"/>
        <w:rPr>
          <w:rFonts w:ascii="Arial" w:hAnsi="Arial" w:cs="Arial"/>
        </w:rPr>
      </w:pPr>
      <w:r w:rsidRPr="00023DFB">
        <w:rPr>
          <w:rFonts w:ascii="Arial" w:hAnsi="Arial" w:cs="Arial"/>
        </w:rPr>
        <w:t>‘A “judgment or order” is a decision which, as a general principle, has three attributes, first, the decision must be final in effect and not susceptible of alteration by the Court of first instance; second, it must be definitive of the rights of the parties; and, third, it must have the effect of disposing of at least a substantial portion of the relief claimed in the main proceedings.’</w:t>
      </w:r>
    </w:p>
  </w:footnote>
  <w:footnote w:id="19">
    <w:p w14:paraId="3ECE7C64" w14:textId="2B2D6D9B" w:rsidR="00D52E06" w:rsidRPr="00023DFB" w:rsidRDefault="00D52E06" w:rsidP="00F34746">
      <w:pPr>
        <w:pStyle w:val="FootnoteText"/>
        <w:jc w:val="both"/>
        <w:rPr>
          <w:rFonts w:ascii="Arial" w:hAnsi="Arial" w:cs="Arial"/>
        </w:rPr>
      </w:pPr>
      <w:r w:rsidRPr="00023DFB">
        <w:rPr>
          <w:rStyle w:val="FootnoteReference"/>
          <w:rFonts w:ascii="Arial" w:hAnsi="Arial" w:cs="Arial"/>
        </w:rPr>
        <w:footnoteRef/>
      </w:r>
      <w:r w:rsidRPr="00023DFB">
        <w:rPr>
          <w:rFonts w:ascii="Arial" w:hAnsi="Arial" w:cs="Arial"/>
        </w:rPr>
        <w:t xml:space="preserve"> </w:t>
      </w:r>
      <w:r w:rsidR="00D16E3F" w:rsidRPr="00023DFB">
        <w:rPr>
          <w:rFonts w:ascii="Arial" w:hAnsi="Arial" w:cs="Arial"/>
          <w:i/>
          <w:iCs/>
        </w:rPr>
        <w:t>DRDGOLD Limited and Another v Nkala and Others</w:t>
      </w:r>
      <w:r w:rsidR="00D16E3F" w:rsidRPr="00023DFB">
        <w:rPr>
          <w:rFonts w:ascii="Arial" w:hAnsi="Arial" w:cs="Arial"/>
        </w:rPr>
        <w:t xml:space="preserve"> [2023] ZASCA 9 para 23.</w:t>
      </w:r>
    </w:p>
  </w:footnote>
  <w:footnote w:id="20">
    <w:p w14:paraId="4AA1D7BC" w14:textId="77777777" w:rsidR="0071717D" w:rsidRPr="00023DFB" w:rsidRDefault="0071717D" w:rsidP="00F34746">
      <w:pPr>
        <w:pStyle w:val="FootnoteText"/>
        <w:jc w:val="both"/>
        <w:rPr>
          <w:rFonts w:ascii="Arial" w:hAnsi="Arial" w:cs="Arial"/>
        </w:rPr>
      </w:pPr>
      <w:r w:rsidRPr="00023DFB">
        <w:rPr>
          <w:rStyle w:val="FootnoteReference"/>
          <w:rFonts w:ascii="Arial" w:hAnsi="Arial" w:cs="Arial"/>
        </w:rPr>
        <w:footnoteRef/>
      </w:r>
      <w:r w:rsidRPr="00023DFB">
        <w:rPr>
          <w:rFonts w:ascii="Arial" w:hAnsi="Arial" w:cs="Arial"/>
        </w:rPr>
        <w:t xml:space="preserve"> </w:t>
      </w:r>
      <w:r w:rsidRPr="00023DFB">
        <w:rPr>
          <w:rFonts w:ascii="Arial" w:hAnsi="Arial" w:cs="Arial"/>
          <w:i/>
          <w:iCs/>
        </w:rPr>
        <w:t xml:space="preserve">Kalil v Decotex (Pty) Ltd and Another </w:t>
      </w:r>
      <w:r w:rsidRPr="00023DFB">
        <w:rPr>
          <w:rFonts w:ascii="Arial" w:hAnsi="Arial" w:cs="Arial"/>
        </w:rPr>
        <w:t>[1988] 2 All SA 159(A); 1988 (1) SA 943 (A) at 964B-D.</w:t>
      </w:r>
    </w:p>
  </w:footnote>
  <w:footnote w:id="21">
    <w:p w14:paraId="7289278F" w14:textId="1BB991B1" w:rsidR="00DF56B5" w:rsidRPr="00023DFB" w:rsidRDefault="00DF56B5" w:rsidP="00F34746">
      <w:pPr>
        <w:pStyle w:val="FootnoteText"/>
        <w:jc w:val="both"/>
        <w:rPr>
          <w:rFonts w:ascii="Arial" w:hAnsi="Arial" w:cs="Arial"/>
          <w:lang w:val="en-US"/>
        </w:rPr>
      </w:pPr>
      <w:r w:rsidRPr="00023DFB">
        <w:rPr>
          <w:rStyle w:val="FootnoteReference"/>
          <w:rFonts w:ascii="Arial" w:hAnsi="Arial" w:cs="Arial"/>
        </w:rPr>
        <w:footnoteRef/>
      </w:r>
      <w:r w:rsidRPr="00023DFB">
        <w:rPr>
          <w:rFonts w:ascii="Arial" w:hAnsi="Arial" w:cs="Arial"/>
        </w:rPr>
        <w:t xml:space="preserve"> </w:t>
      </w:r>
      <w:r w:rsidRPr="00023DFB">
        <w:rPr>
          <w:rFonts w:ascii="Arial" w:hAnsi="Arial" w:cs="Arial"/>
          <w:i/>
          <w:iCs/>
        </w:rPr>
        <w:t>Walker v Syfret NO</w:t>
      </w:r>
      <w:r w:rsidRPr="00023DFB">
        <w:rPr>
          <w:rFonts w:ascii="Arial" w:hAnsi="Arial" w:cs="Arial"/>
        </w:rPr>
        <w:t xml:space="preserve"> 1911 AD 141.</w:t>
      </w:r>
    </w:p>
  </w:footnote>
  <w:footnote w:id="22">
    <w:p w14:paraId="3DDE190B" w14:textId="04A982A0" w:rsidR="0071717D" w:rsidRPr="00023DFB" w:rsidRDefault="0071717D" w:rsidP="00F34746">
      <w:pPr>
        <w:pStyle w:val="NormalWeb"/>
        <w:shd w:val="clear" w:color="auto" w:fill="FFFFFF"/>
        <w:spacing w:before="0" w:beforeAutospacing="0" w:after="0" w:afterAutospacing="0"/>
        <w:jc w:val="both"/>
        <w:rPr>
          <w:rFonts w:ascii="Arial" w:hAnsi="Arial" w:cs="Arial"/>
          <w:sz w:val="20"/>
          <w:szCs w:val="20"/>
          <w:lang w:val="en-US"/>
        </w:rPr>
      </w:pPr>
      <w:r w:rsidRPr="00023DFB">
        <w:rPr>
          <w:rStyle w:val="FootnoteReference"/>
          <w:rFonts w:ascii="Arial" w:hAnsi="Arial" w:cs="Arial"/>
          <w:sz w:val="20"/>
          <w:szCs w:val="20"/>
        </w:rPr>
        <w:footnoteRef/>
      </w:r>
      <w:r w:rsidRPr="00023DFB">
        <w:rPr>
          <w:rFonts w:ascii="Arial" w:hAnsi="Arial" w:cs="Arial"/>
          <w:sz w:val="20"/>
          <w:szCs w:val="20"/>
        </w:rPr>
        <w:t xml:space="preserve"> </w:t>
      </w:r>
      <w:r w:rsidRPr="00023DFB">
        <w:rPr>
          <w:rFonts w:ascii="Arial" w:hAnsi="Arial" w:cs="Arial"/>
          <w:sz w:val="20"/>
          <w:szCs w:val="20"/>
          <w:lang w:val="en-US"/>
        </w:rPr>
        <w:t>This inconsistency was acknowledged in</w:t>
      </w:r>
      <w:r w:rsidR="00EE03DB" w:rsidRPr="00023DFB">
        <w:rPr>
          <w:rFonts w:ascii="Arial" w:hAnsi="Arial" w:cs="Arial"/>
          <w:i/>
          <w:iCs/>
          <w:sz w:val="20"/>
          <w:szCs w:val="20"/>
          <w:lang w:val="en-US"/>
        </w:rPr>
        <w:t xml:space="preserve"> Gottschalk</w:t>
      </w:r>
      <w:r w:rsidR="00EE03DB" w:rsidRPr="00023DFB">
        <w:rPr>
          <w:rFonts w:ascii="Arial" w:hAnsi="Arial" w:cs="Arial"/>
          <w:sz w:val="20"/>
          <w:szCs w:val="20"/>
          <w:lang w:val="en-US"/>
        </w:rPr>
        <w:t xml:space="preserve"> at 568E-F</w:t>
      </w:r>
      <w:r w:rsidRPr="00023DFB">
        <w:rPr>
          <w:rFonts w:ascii="Arial" w:hAnsi="Arial" w:cs="Arial"/>
          <w:sz w:val="20"/>
          <w:szCs w:val="20"/>
          <w:lang w:val="en-US"/>
        </w:rPr>
        <w:t>. There, the learned judge correctly observed:</w:t>
      </w:r>
    </w:p>
    <w:p w14:paraId="4A1BBC2A" w14:textId="27262143" w:rsidR="0071717D" w:rsidRPr="00023DFB" w:rsidRDefault="0071717D" w:rsidP="00F34746">
      <w:pPr>
        <w:pStyle w:val="FootnoteText"/>
        <w:jc w:val="both"/>
        <w:rPr>
          <w:rFonts w:ascii="Arial" w:hAnsi="Arial" w:cs="Arial"/>
          <w:lang w:val="en-US"/>
        </w:rPr>
      </w:pPr>
      <w:r w:rsidRPr="00023DFB">
        <w:rPr>
          <w:rFonts w:ascii="Arial" w:hAnsi="Arial" w:cs="Arial"/>
        </w:rPr>
        <w:t>‘No reason is apparent to me for such an inconsistency between sequestration and winding-up proceedings.’</w:t>
      </w:r>
    </w:p>
  </w:footnote>
  <w:footnote w:id="23">
    <w:p w14:paraId="00EA2026" w14:textId="75D13F38" w:rsidR="00C02461" w:rsidRPr="00023DFB" w:rsidRDefault="00C02461" w:rsidP="00F34746">
      <w:pPr>
        <w:pStyle w:val="FootnoteText"/>
        <w:jc w:val="both"/>
        <w:rPr>
          <w:rFonts w:ascii="Arial" w:hAnsi="Arial" w:cs="Arial"/>
        </w:rPr>
      </w:pPr>
      <w:r w:rsidRPr="00023DFB">
        <w:rPr>
          <w:rStyle w:val="FootnoteReference"/>
          <w:rFonts w:ascii="Arial" w:hAnsi="Arial" w:cs="Arial"/>
        </w:rPr>
        <w:footnoteRef/>
      </w:r>
      <w:r w:rsidRPr="00023DFB">
        <w:rPr>
          <w:rFonts w:ascii="Arial" w:hAnsi="Arial" w:cs="Arial"/>
        </w:rPr>
        <w:t xml:space="preserve"> </w:t>
      </w:r>
      <w:r w:rsidRPr="00023DFB">
        <w:rPr>
          <w:rFonts w:ascii="Arial" w:hAnsi="Arial" w:cs="Arial"/>
          <w:i/>
          <w:iCs/>
          <w:shd w:val="clear" w:color="auto" w:fill="FFFFFF"/>
          <w:lang w:val="en-GB"/>
        </w:rPr>
        <w:t>MV Snow Delta: Serva Ship Ltd v Discount Tonnage Ltd </w:t>
      </w:r>
      <w:hyperlink r:id="rId3" w:tooltip="View LawCiteRecord" w:history="1">
        <w:r w:rsidRPr="00023DFB">
          <w:rPr>
            <w:rStyle w:val="Hyperlink"/>
            <w:rFonts w:ascii="Arial" w:hAnsi="Arial" w:cs="Arial"/>
            <w:bCs/>
            <w:color w:val="auto"/>
            <w:u w:val="none"/>
            <w:shd w:val="clear" w:color="auto" w:fill="FFFFFF"/>
            <w:lang w:val="en-GB"/>
          </w:rPr>
          <w:t>2000 (4) SA 746</w:t>
        </w:r>
      </w:hyperlink>
      <w:r w:rsidRPr="00023DFB">
        <w:rPr>
          <w:rFonts w:ascii="Arial" w:hAnsi="Arial" w:cs="Arial"/>
          <w:shd w:val="clear" w:color="auto" w:fill="FFFFFF"/>
          <w:lang w:val="en-GB"/>
        </w:rPr>
        <w:t> (SCA) para 6.</w:t>
      </w:r>
    </w:p>
  </w:footnote>
  <w:footnote w:id="24">
    <w:p w14:paraId="51AE4ACD" w14:textId="6F0786FA" w:rsidR="002E018D" w:rsidRPr="002F300E" w:rsidRDefault="002E018D" w:rsidP="00F34746">
      <w:pPr>
        <w:pStyle w:val="FootnoteText"/>
        <w:jc w:val="both"/>
        <w:rPr>
          <w:rFonts w:ascii="Arial" w:hAnsi="Arial" w:cs="Arial"/>
        </w:rPr>
      </w:pPr>
      <w:r w:rsidRPr="002F300E">
        <w:rPr>
          <w:rStyle w:val="FootnoteReference"/>
          <w:rFonts w:ascii="Arial" w:hAnsi="Arial" w:cs="Arial"/>
        </w:rPr>
        <w:footnoteRef/>
      </w:r>
      <w:r w:rsidRPr="002F300E">
        <w:rPr>
          <w:rFonts w:ascii="Arial" w:hAnsi="Arial" w:cs="Arial"/>
        </w:rPr>
        <w:t xml:space="preserve"> </w:t>
      </w:r>
      <w:r w:rsidRPr="002F300E">
        <w:rPr>
          <w:rFonts w:ascii="Arial" w:hAnsi="Arial" w:cs="Arial"/>
          <w:i/>
        </w:rPr>
        <w:t xml:space="preserve">Mulaudzi v Old Mutual Life Insurance Company (South Africa) Limited and Others, National Director of Public Prosecutions and Another v Mulaudzi </w:t>
      </w:r>
      <w:r w:rsidRPr="002F300E">
        <w:rPr>
          <w:rFonts w:ascii="Arial" w:hAnsi="Arial" w:cs="Arial"/>
        </w:rPr>
        <w:t>[2017] ZASCA 88; [2017] 3 All SA 520 (SCA); 2017 (6) SA 90 (SCA) para 71.</w:t>
      </w:r>
    </w:p>
  </w:footnote>
  <w:footnote w:id="25">
    <w:p w14:paraId="033C9E02" w14:textId="77777777" w:rsidR="003D2487" w:rsidRPr="002E018D" w:rsidRDefault="003D2487" w:rsidP="003D2487">
      <w:pPr>
        <w:pStyle w:val="FootnoteText"/>
        <w:jc w:val="both"/>
        <w:rPr>
          <w:rFonts w:ascii="Arial" w:hAnsi="Arial" w:cs="Arial"/>
          <w:lang w:val="en-US"/>
        </w:rPr>
      </w:pPr>
      <w:r w:rsidRPr="002E018D">
        <w:rPr>
          <w:rStyle w:val="FootnoteReference"/>
          <w:rFonts w:ascii="Arial" w:hAnsi="Arial" w:cs="Arial"/>
        </w:rPr>
        <w:footnoteRef/>
      </w:r>
      <w:r w:rsidRPr="002E018D">
        <w:rPr>
          <w:rFonts w:ascii="Arial" w:hAnsi="Arial" w:cs="Arial"/>
        </w:rPr>
        <w:t xml:space="preserve"> </w:t>
      </w:r>
      <w:r w:rsidRPr="002E018D">
        <w:rPr>
          <w:rFonts w:ascii="Arial" w:hAnsi="Arial" w:cs="Arial"/>
          <w:i/>
          <w:iCs/>
          <w:lang w:val="en-US"/>
        </w:rPr>
        <w:t xml:space="preserve">Dunlop Tyres (Pty) Ltd v Brewitt </w:t>
      </w:r>
      <w:r w:rsidRPr="002E018D">
        <w:rPr>
          <w:rFonts w:ascii="Arial" w:hAnsi="Arial" w:cs="Arial"/>
          <w:lang w:val="en-US"/>
        </w:rPr>
        <w:t>[1999] 2 All SA 328 (W); 1999 (2) SA 580 (WLD) at 582B-E and 583B-H.</w:t>
      </w:r>
    </w:p>
  </w:footnote>
  <w:footnote w:id="26">
    <w:p w14:paraId="478665D4" w14:textId="77777777" w:rsidR="003D2487" w:rsidRPr="002E018D" w:rsidRDefault="003D2487" w:rsidP="003D2487">
      <w:pPr>
        <w:pStyle w:val="FootnoteText"/>
        <w:jc w:val="both"/>
        <w:rPr>
          <w:rFonts w:ascii="Arial" w:hAnsi="Arial" w:cs="Arial"/>
        </w:rPr>
      </w:pPr>
      <w:r w:rsidRPr="002E018D">
        <w:rPr>
          <w:rStyle w:val="FootnoteReference"/>
          <w:rFonts w:ascii="Arial" w:hAnsi="Arial" w:cs="Arial"/>
        </w:rPr>
        <w:footnoteRef/>
      </w:r>
      <w:r w:rsidRPr="002E018D">
        <w:rPr>
          <w:rFonts w:ascii="Arial" w:hAnsi="Arial" w:cs="Arial"/>
        </w:rPr>
        <w:t xml:space="preserve"> </w:t>
      </w:r>
      <w:r w:rsidRPr="002E018D">
        <w:rPr>
          <w:rFonts w:ascii="Arial" w:hAnsi="Arial" w:cs="Arial"/>
          <w:i/>
          <w:iCs/>
        </w:rPr>
        <w:t xml:space="preserve">Meskin &amp; Co v Friedman </w:t>
      </w:r>
      <w:r w:rsidRPr="002E018D">
        <w:rPr>
          <w:rFonts w:ascii="Arial" w:hAnsi="Arial" w:cs="Arial"/>
        </w:rPr>
        <w:t>[1948] 2 All SA 416 (W); 1948 (2) SA 555 (W) at 559 (</w:t>
      </w:r>
      <w:r w:rsidRPr="002E018D">
        <w:rPr>
          <w:rFonts w:ascii="Arial" w:hAnsi="Arial" w:cs="Arial"/>
          <w:i/>
          <w:iCs/>
        </w:rPr>
        <w:t>Meskin</w:t>
      </w:r>
      <w:r w:rsidRPr="002E018D">
        <w:rPr>
          <w:rFonts w:ascii="Arial" w:hAnsi="Arial" w:cs="Arial"/>
        </w:rPr>
        <w:t>).</w:t>
      </w:r>
    </w:p>
  </w:footnote>
  <w:footnote w:id="27">
    <w:p w14:paraId="09FD4B37" w14:textId="77777777" w:rsidR="003D2487" w:rsidRPr="002E018D" w:rsidRDefault="003D2487" w:rsidP="003D2487">
      <w:pPr>
        <w:pStyle w:val="FootnoteText"/>
        <w:jc w:val="both"/>
        <w:rPr>
          <w:rFonts w:ascii="Arial" w:hAnsi="Arial" w:cs="Arial"/>
          <w:lang w:val="en-US"/>
        </w:rPr>
      </w:pPr>
      <w:r w:rsidRPr="002E018D">
        <w:rPr>
          <w:rStyle w:val="FootnoteReference"/>
          <w:rFonts w:ascii="Arial" w:hAnsi="Arial" w:cs="Arial"/>
        </w:rPr>
        <w:footnoteRef/>
      </w:r>
      <w:r w:rsidRPr="002E018D">
        <w:rPr>
          <w:rFonts w:ascii="Arial" w:hAnsi="Arial" w:cs="Arial"/>
        </w:rPr>
        <w:t xml:space="preserve"> The test set out in </w:t>
      </w:r>
      <w:r w:rsidRPr="002E018D">
        <w:rPr>
          <w:rFonts w:ascii="Arial" w:hAnsi="Arial" w:cs="Arial"/>
          <w:i/>
          <w:iCs/>
        </w:rPr>
        <w:t xml:space="preserve">Meskin </w:t>
      </w:r>
      <w:r w:rsidRPr="002E018D">
        <w:rPr>
          <w:rFonts w:ascii="Arial" w:hAnsi="Arial" w:cs="Arial"/>
        </w:rPr>
        <w:t xml:space="preserve">was approved by this Court in </w:t>
      </w:r>
      <w:r w:rsidRPr="002E018D">
        <w:rPr>
          <w:rFonts w:ascii="Arial" w:hAnsi="Arial" w:cs="Arial"/>
          <w:i/>
          <w:iCs/>
        </w:rPr>
        <w:t xml:space="preserve">Commissioner, South African Revenue Services v Hawker Air Services (Pty) Ltd; Commissioner, South African Revenue Services v Hawker Aviation Partnership and Others </w:t>
      </w:r>
      <w:r w:rsidRPr="002E018D">
        <w:rPr>
          <w:rFonts w:ascii="Arial" w:hAnsi="Arial" w:cs="Arial"/>
        </w:rPr>
        <w:t xml:space="preserve">[2006] 2 All SA 565 (SCA); 2006 (4) SA 292 (SCA) para 29 and by the Constitutional Court in </w:t>
      </w:r>
      <w:r w:rsidRPr="002E018D">
        <w:rPr>
          <w:rFonts w:ascii="Arial" w:hAnsi="Arial" w:cs="Arial"/>
          <w:i/>
          <w:iCs/>
        </w:rPr>
        <w:t xml:space="preserve">Stratford and Others v Investec Bank Ltd and Others </w:t>
      </w:r>
      <w:r w:rsidRPr="002E018D">
        <w:rPr>
          <w:rFonts w:ascii="Arial" w:hAnsi="Arial" w:cs="Arial"/>
        </w:rPr>
        <w:t xml:space="preserve">[2014] ZACC 38; 2015 (3) BCLR 358 (CC); 2015 (3) SA 1 (CC); (2015) 36 ILJ 583 (CC) para 43.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71918"/>
      <w:docPartObj>
        <w:docPartGallery w:val="Page Numbers (Top of Page)"/>
        <w:docPartUnique/>
      </w:docPartObj>
    </w:sdtPr>
    <w:sdtEndPr>
      <w:rPr>
        <w:rFonts w:ascii="Arial" w:hAnsi="Arial" w:cs="Arial"/>
        <w:noProof/>
        <w:sz w:val="24"/>
        <w:szCs w:val="24"/>
      </w:rPr>
    </w:sdtEndPr>
    <w:sdtContent>
      <w:p w14:paraId="75CBDC7B" w14:textId="40A69F39" w:rsidR="00F10602" w:rsidRPr="000D660C" w:rsidRDefault="00F10602">
        <w:pPr>
          <w:pStyle w:val="Header"/>
          <w:jc w:val="right"/>
          <w:rPr>
            <w:rFonts w:ascii="Arial" w:hAnsi="Arial" w:cs="Arial"/>
            <w:sz w:val="24"/>
            <w:szCs w:val="24"/>
          </w:rPr>
        </w:pPr>
        <w:r w:rsidRPr="000D660C">
          <w:rPr>
            <w:rFonts w:ascii="Arial" w:hAnsi="Arial" w:cs="Arial"/>
            <w:sz w:val="24"/>
            <w:szCs w:val="24"/>
          </w:rPr>
          <w:fldChar w:fldCharType="begin"/>
        </w:r>
        <w:r w:rsidRPr="000D660C">
          <w:rPr>
            <w:rFonts w:ascii="Arial" w:hAnsi="Arial" w:cs="Arial"/>
            <w:sz w:val="24"/>
            <w:szCs w:val="24"/>
          </w:rPr>
          <w:instrText xml:space="preserve"> PAGE   \* MERGEFORMAT </w:instrText>
        </w:r>
        <w:r w:rsidRPr="000D660C">
          <w:rPr>
            <w:rFonts w:ascii="Arial" w:hAnsi="Arial" w:cs="Arial"/>
            <w:sz w:val="24"/>
            <w:szCs w:val="24"/>
          </w:rPr>
          <w:fldChar w:fldCharType="separate"/>
        </w:r>
        <w:r w:rsidR="00293435">
          <w:rPr>
            <w:rFonts w:ascii="Arial" w:hAnsi="Arial" w:cs="Arial"/>
            <w:noProof/>
            <w:sz w:val="24"/>
            <w:szCs w:val="24"/>
          </w:rPr>
          <w:t>2</w:t>
        </w:r>
        <w:r w:rsidRPr="000D660C">
          <w:rPr>
            <w:rFonts w:ascii="Arial" w:hAnsi="Arial" w:cs="Arial"/>
            <w:noProof/>
            <w:sz w:val="24"/>
            <w:szCs w:val="24"/>
          </w:rPr>
          <w:fldChar w:fldCharType="end"/>
        </w:r>
      </w:p>
    </w:sdtContent>
  </w:sdt>
  <w:p w14:paraId="28D6568B" w14:textId="77777777" w:rsidR="00F10602" w:rsidRDefault="00F10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331B"/>
    <w:multiLevelType w:val="hybridMultilevel"/>
    <w:tmpl w:val="4630F8CE"/>
    <w:lvl w:ilvl="0" w:tplc="E56E5BCE">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263EA4"/>
    <w:multiLevelType w:val="hybridMultilevel"/>
    <w:tmpl w:val="DCBA7718"/>
    <w:lvl w:ilvl="0" w:tplc="04F6AD7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D62518"/>
    <w:multiLevelType w:val="hybridMultilevel"/>
    <w:tmpl w:val="BE1E3A84"/>
    <w:lvl w:ilvl="0" w:tplc="583ECA78">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877F61"/>
    <w:multiLevelType w:val="hybridMultilevel"/>
    <w:tmpl w:val="621C550A"/>
    <w:lvl w:ilvl="0" w:tplc="E2321CC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CBB442A"/>
    <w:multiLevelType w:val="hybridMultilevel"/>
    <w:tmpl w:val="4FA83298"/>
    <w:lvl w:ilvl="0" w:tplc="65B2D224">
      <w:start w:val="1"/>
      <w:numFmt w:val="lowerLetter"/>
      <w:lvlText w:val="(%1)"/>
      <w:lvlJc w:val="left"/>
      <w:pPr>
        <w:ind w:left="1080" w:hanging="360"/>
      </w:pPr>
      <w:rPr>
        <w:i/>
        <w:sz w:val="22"/>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2D34526A"/>
    <w:multiLevelType w:val="hybridMultilevel"/>
    <w:tmpl w:val="CDF02208"/>
    <w:lvl w:ilvl="0" w:tplc="9DFC6E56">
      <w:start w:val="1"/>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5E3D94"/>
    <w:multiLevelType w:val="hybridMultilevel"/>
    <w:tmpl w:val="0EF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66FC"/>
    <w:multiLevelType w:val="hybridMultilevel"/>
    <w:tmpl w:val="438E0B54"/>
    <w:lvl w:ilvl="0" w:tplc="DF986522">
      <w:start w:val="1"/>
      <w:numFmt w:val="lowerRoman"/>
      <w:lvlText w:val="(%1)"/>
      <w:lvlJc w:val="left"/>
      <w:pPr>
        <w:ind w:left="1800" w:hanging="72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8">
    <w:nsid w:val="55167119"/>
    <w:multiLevelType w:val="hybridMultilevel"/>
    <w:tmpl w:val="BE1E3A84"/>
    <w:lvl w:ilvl="0" w:tplc="583ECA78">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53A5B76"/>
    <w:multiLevelType w:val="hybridMultilevel"/>
    <w:tmpl w:val="DCBA7718"/>
    <w:lvl w:ilvl="0" w:tplc="04F6AD7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2267B3"/>
    <w:multiLevelType w:val="hybridMultilevel"/>
    <w:tmpl w:val="FE76BAE4"/>
    <w:lvl w:ilvl="0" w:tplc="BE66F6F0">
      <w:start w:val="1"/>
      <w:numFmt w:val="lowerRoman"/>
      <w:lvlText w:val="(%1)"/>
      <w:lvlJc w:val="left"/>
      <w:pPr>
        <w:ind w:left="1650" w:hanging="720"/>
      </w:pPr>
      <w:rPr>
        <w:rFonts w:hint="default"/>
      </w:rPr>
    </w:lvl>
    <w:lvl w:ilvl="1" w:tplc="1C090019" w:tentative="1">
      <w:start w:val="1"/>
      <w:numFmt w:val="lowerLetter"/>
      <w:lvlText w:val="%2."/>
      <w:lvlJc w:val="left"/>
      <w:pPr>
        <w:ind w:left="2010" w:hanging="360"/>
      </w:pPr>
    </w:lvl>
    <w:lvl w:ilvl="2" w:tplc="1C09001B" w:tentative="1">
      <w:start w:val="1"/>
      <w:numFmt w:val="lowerRoman"/>
      <w:lvlText w:val="%3."/>
      <w:lvlJc w:val="right"/>
      <w:pPr>
        <w:ind w:left="2730" w:hanging="180"/>
      </w:pPr>
    </w:lvl>
    <w:lvl w:ilvl="3" w:tplc="1C09000F" w:tentative="1">
      <w:start w:val="1"/>
      <w:numFmt w:val="decimal"/>
      <w:lvlText w:val="%4."/>
      <w:lvlJc w:val="left"/>
      <w:pPr>
        <w:ind w:left="3450" w:hanging="360"/>
      </w:pPr>
    </w:lvl>
    <w:lvl w:ilvl="4" w:tplc="1C090019" w:tentative="1">
      <w:start w:val="1"/>
      <w:numFmt w:val="lowerLetter"/>
      <w:lvlText w:val="%5."/>
      <w:lvlJc w:val="left"/>
      <w:pPr>
        <w:ind w:left="4170" w:hanging="360"/>
      </w:pPr>
    </w:lvl>
    <w:lvl w:ilvl="5" w:tplc="1C09001B" w:tentative="1">
      <w:start w:val="1"/>
      <w:numFmt w:val="lowerRoman"/>
      <w:lvlText w:val="%6."/>
      <w:lvlJc w:val="right"/>
      <w:pPr>
        <w:ind w:left="4890" w:hanging="180"/>
      </w:pPr>
    </w:lvl>
    <w:lvl w:ilvl="6" w:tplc="1C09000F" w:tentative="1">
      <w:start w:val="1"/>
      <w:numFmt w:val="decimal"/>
      <w:lvlText w:val="%7."/>
      <w:lvlJc w:val="left"/>
      <w:pPr>
        <w:ind w:left="5610" w:hanging="360"/>
      </w:pPr>
    </w:lvl>
    <w:lvl w:ilvl="7" w:tplc="1C090019" w:tentative="1">
      <w:start w:val="1"/>
      <w:numFmt w:val="lowerLetter"/>
      <w:lvlText w:val="%8."/>
      <w:lvlJc w:val="left"/>
      <w:pPr>
        <w:ind w:left="6330" w:hanging="360"/>
      </w:pPr>
    </w:lvl>
    <w:lvl w:ilvl="8" w:tplc="1C09001B" w:tentative="1">
      <w:start w:val="1"/>
      <w:numFmt w:val="lowerRoman"/>
      <w:lvlText w:val="%9."/>
      <w:lvlJc w:val="right"/>
      <w:pPr>
        <w:ind w:left="7050" w:hanging="180"/>
      </w:pPr>
    </w:lvl>
  </w:abstractNum>
  <w:abstractNum w:abstractNumId="11">
    <w:nsid w:val="79A03FEB"/>
    <w:multiLevelType w:val="hybridMultilevel"/>
    <w:tmpl w:val="C0EA6828"/>
    <w:lvl w:ilvl="0" w:tplc="22E05650">
      <w:start w:val="1"/>
      <w:numFmt w:val="decimal"/>
      <w:lvlText w:val="[%1]"/>
      <w:lvlJc w:val="left"/>
      <w:pPr>
        <w:ind w:left="360" w:hanging="360"/>
      </w:pPr>
      <w:rPr>
        <w:rFonts w:hint="default"/>
        <w:b w:val="0"/>
        <w:i w:val="0"/>
        <w:sz w:val="28"/>
        <w:szCs w:val="28"/>
      </w:rPr>
    </w:lvl>
    <w:lvl w:ilvl="1" w:tplc="9DFC6E56">
      <w:start w:val="1"/>
      <w:numFmt w:val="decimal"/>
      <w:lvlText w:val="(%2)"/>
      <w:lvlJc w:val="left"/>
      <w:pPr>
        <w:ind w:left="1440" w:hanging="360"/>
      </w:pPr>
      <w:rPr>
        <w:rFonts w:hint="default"/>
      </w:rPr>
    </w:lvl>
    <w:lvl w:ilvl="2" w:tplc="70FCCFC4">
      <w:start w:val="1"/>
      <w:numFmt w:val="lowerLetter"/>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AE"/>
    <w:rsid w:val="0000350F"/>
    <w:rsid w:val="00004818"/>
    <w:rsid w:val="00005A14"/>
    <w:rsid w:val="00012021"/>
    <w:rsid w:val="00012A00"/>
    <w:rsid w:val="00012E84"/>
    <w:rsid w:val="00013788"/>
    <w:rsid w:val="00013A0F"/>
    <w:rsid w:val="000171EE"/>
    <w:rsid w:val="00017386"/>
    <w:rsid w:val="00020FDF"/>
    <w:rsid w:val="000219A4"/>
    <w:rsid w:val="00023B7E"/>
    <w:rsid w:val="00023BBF"/>
    <w:rsid w:val="00023DFB"/>
    <w:rsid w:val="000248AD"/>
    <w:rsid w:val="0002777B"/>
    <w:rsid w:val="00034C0A"/>
    <w:rsid w:val="00037DE0"/>
    <w:rsid w:val="0004564B"/>
    <w:rsid w:val="00046094"/>
    <w:rsid w:val="00046DB8"/>
    <w:rsid w:val="00052CC6"/>
    <w:rsid w:val="00052EBE"/>
    <w:rsid w:val="00053B51"/>
    <w:rsid w:val="00053E52"/>
    <w:rsid w:val="0005477E"/>
    <w:rsid w:val="000569B3"/>
    <w:rsid w:val="000632F4"/>
    <w:rsid w:val="0006356D"/>
    <w:rsid w:val="0006477E"/>
    <w:rsid w:val="00065CAF"/>
    <w:rsid w:val="00066FE6"/>
    <w:rsid w:val="00067F0F"/>
    <w:rsid w:val="00070398"/>
    <w:rsid w:val="0007228B"/>
    <w:rsid w:val="00075324"/>
    <w:rsid w:val="00076696"/>
    <w:rsid w:val="000810CA"/>
    <w:rsid w:val="00087A21"/>
    <w:rsid w:val="00087DC4"/>
    <w:rsid w:val="0009063B"/>
    <w:rsid w:val="00090759"/>
    <w:rsid w:val="00091B18"/>
    <w:rsid w:val="00092A78"/>
    <w:rsid w:val="00093693"/>
    <w:rsid w:val="000938EA"/>
    <w:rsid w:val="00093FE8"/>
    <w:rsid w:val="00094240"/>
    <w:rsid w:val="0009573C"/>
    <w:rsid w:val="000959EA"/>
    <w:rsid w:val="000A05DE"/>
    <w:rsid w:val="000A1DAB"/>
    <w:rsid w:val="000A2C86"/>
    <w:rsid w:val="000A3727"/>
    <w:rsid w:val="000A7764"/>
    <w:rsid w:val="000B0226"/>
    <w:rsid w:val="000B3370"/>
    <w:rsid w:val="000B5A45"/>
    <w:rsid w:val="000B7B7D"/>
    <w:rsid w:val="000C33E7"/>
    <w:rsid w:val="000C37A9"/>
    <w:rsid w:val="000C6470"/>
    <w:rsid w:val="000D192D"/>
    <w:rsid w:val="000D2E1D"/>
    <w:rsid w:val="000D5127"/>
    <w:rsid w:val="000D660C"/>
    <w:rsid w:val="000E0E18"/>
    <w:rsid w:val="000E28DE"/>
    <w:rsid w:val="000E5ACF"/>
    <w:rsid w:val="000E6AF9"/>
    <w:rsid w:val="000E751A"/>
    <w:rsid w:val="000E76B0"/>
    <w:rsid w:val="000E7810"/>
    <w:rsid w:val="000F10B1"/>
    <w:rsid w:val="000F2768"/>
    <w:rsid w:val="000F33DF"/>
    <w:rsid w:val="000F5D04"/>
    <w:rsid w:val="000F609E"/>
    <w:rsid w:val="000F73A6"/>
    <w:rsid w:val="00100C4C"/>
    <w:rsid w:val="0010302E"/>
    <w:rsid w:val="00105012"/>
    <w:rsid w:val="00113942"/>
    <w:rsid w:val="00116D23"/>
    <w:rsid w:val="00120600"/>
    <w:rsid w:val="00120B02"/>
    <w:rsid w:val="00121B19"/>
    <w:rsid w:val="0012201C"/>
    <w:rsid w:val="00123838"/>
    <w:rsid w:val="0012606A"/>
    <w:rsid w:val="00126F08"/>
    <w:rsid w:val="00131C5A"/>
    <w:rsid w:val="00136C68"/>
    <w:rsid w:val="0013747A"/>
    <w:rsid w:val="001413F4"/>
    <w:rsid w:val="00141B06"/>
    <w:rsid w:val="001436A3"/>
    <w:rsid w:val="00144F06"/>
    <w:rsid w:val="0014542C"/>
    <w:rsid w:val="00145AF7"/>
    <w:rsid w:val="00151261"/>
    <w:rsid w:val="00152B10"/>
    <w:rsid w:val="00152DB0"/>
    <w:rsid w:val="00153E76"/>
    <w:rsid w:val="001609BD"/>
    <w:rsid w:val="00162092"/>
    <w:rsid w:val="00163215"/>
    <w:rsid w:val="001635B9"/>
    <w:rsid w:val="001678DD"/>
    <w:rsid w:val="00170FF0"/>
    <w:rsid w:val="001712BF"/>
    <w:rsid w:val="00171579"/>
    <w:rsid w:val="00172A15"/>
    <w:rsid w:val="00173561"/>
    <w:rsid w:val="001752F8"/>
    <w:rsid w:val="00175D1D"/>
    <w:rsid w:val="00180897"/>
    <w:rsid w:val="00183DF4"/>
    <w:rsid w:val="00184EF9"/>
    <w:rsid w:val="001906D1"/>
    <w:rsid w:val="0019129E"/>
    <w:rsid w:val="00197249"/>
    <w:rsid w:val="001A0F5C"/>
    <w:rsid w:val="001A1410"/>
    <w:rsid w:val="001A268E"/>
    <w:rsid w:val="001A345A"/>
    <w:rsid w:val="001A7BF5"/>
    <w:rsid w:val="001B060F"/>
    <w:rsid w:val="001B4BB9"/>
    <w:rsid w:val="001B4E63"/>
    <w:rsid w:val="001B61F6"/>
    <w:rsid w:val="001B6E6C"/>
    <w:rsid w:val="001B701E"/>
    <w:rsid w:val="001B7BB7"/>
    <w:rsid w:val="001C2080"/>
    <w:rsid w:val="001C2975"/>
    <w:rsid w:val="001C3709"/>
    <w:rsid w:val="001C6AC5"/>
    <w:rsid w:val="001C6F5B"/>
    <w:rsid w:val="001D1208"/>
    <w:rsid w:val="001D2E22"/>
    <w:rsid w:val="001D3D6D"/>
    <w:rsid w:val="001D47C4"/>
    <w:rsid w:val="001E1D41"/>
    <w:rsid w:val="001E6826"/>
    <w:rsid w:val="001F2B1B"/>
    <w:rsid w:val="001F591A"/>
    <w:rsid w:val="00200223"/>
    <w:rsid w:val="00205090"/>
    <w:rsid w:val="00205C27"/>
    <w:rsid w:val="002062B1"/>
    <w:rsid w:val="00206875"/>
    <w:rsid w:val="002103AD"/>
    <w:rsid w:val="00211219"/>
    <w:rsid w:val="00216C1E"/>
    <w:rsid w:val="002171C1"/>
    <w:rsid w:val="0022207E"/>
    <w:rsid w:val="00222CDE"/>
    <w:rsid w:val="00223838"/>
    <w:rsid w:val="00224ACB"/>
    <w:rsid w:val="00224FD1"/>
    <w:rsid w:val="0022578C"/>
    <w:rsid w:val="00226418"/>
    <w:rsid w:val="002279D3"/>
    <w:rsid w:val="00236B71"/>
    <w:rsid w:val="00242337"/>
    <w:rsid w:val="002425E4"/>
    <w:rsid w:val="00244A8A"/>
    <w:rsid w:val="00245613"/>
    <w:rsid w:val="002517A9"/>
    <w:rsid w:val="00251CE6"/>
    <w:rsid w:val="00252A12"/>
    <w:rsid w:val="00255D33"/>
    <w:rsid w:val="002607BC"/>
    <w:rsid w:val="002616DD"/>
    <w:rsid w:val="00263163"/>
    <w:rsid w:val="00263B35"/>
    <w:rsid w:val="00263C04"/>
    <w:rsid w:val="00270B11"/>
    <w:rsid w:val="00272E4C"/>
    <w:rsid w:val="0027371E"/>
    <w:rsid w:val="00275E0B"/>
    <w:rsid w:val="002760E8"/>
    <w:rsid w:val="00276A98"/>
    <w:rsid w:val="0028081A"/>
    <w:rsid w:val="002825DC"/>
    <w:rsid w:val="00283040"/>
    <w:rsid w:val="0028604D"/>
    <w:rsid w:val="00286A8D"/>
    <w:rsid w:val="00292C3D"/>
    <w:rsid w:val="002931DF"/>
    <w:rsid w:val="00293435"/>
    <w:rsid w:val="00293B76"/>
    <w:rsid w:val="0029575E"/>
    <w:rsid w:val="00296D1F"/>
    <w:rsid w:val="002A1E75"/>
    <w:rsid w:val="002A3988"/>
    <w:rsid w:val="002A4BF6"/>
    <w:rsid w:val="002B0F55"/>
    <w:rsid w:val="002B116D"/>
    <w:rsid w:val="002B60A6"/>
    <w:rsid w:val="002B6F34"/>
    <w:rsid w:val="002C693A"/>
    <w:rsid w:val="002C6C29"/>
    <w:rsid w:val="002D1501"/>
    <w:rsid w:val="002D1E49"/>
    <w:rsid w:val="002D3549"/>
    <w:rsid w:val="002D3E85"/>
    <w:rsid w:val="002D6B1F"/>
    <w:rsid w:val="002E018D"/>
    <w:rsid w:val="002E0D6F"/>
    <w:rsid w:val="002F0375"/>
    <w:rsid w:val="002F1403"/>
    <w:rsid w:val="002F144D"/>
    <w:rsid w:val="002F300E"/>
    <w:rsid w:val="002F34EE"/>
    <w:rsid w:val="002F5DA8"/>
    <w:rsid w:val="00301AC1"/>
    <w:rsid w:val="00301C5F"/>
    <w:rsid w:val="003033DB"/>
    <w:rsid w:val="0030562A"/>
    <w:rsid w:val="0030794F"/>
    <w:rsid w:val="003116B4"/>
    <w:rsid w:val="00311715"/>
    <w:rsid w:val="00316E66"/>
    <w:rsid w:val="00320C28"/>
    <w:rsid w:val="00320C29"/>
    <w:rsid w:val="00320EBC"/>
    <w:rsid w:val="00322916"/>
    <w:rsid w:val="00322E48"/>
    <w:rsid w:val="00322F6D"/>
    <w:rsid w:val="003233C9"/>
    <w:rsid w:val="003248D4"/>
    <w:rsid w:val="00325D3A"/>
    <w:rsid w:val="003309B8"/>
    <w:rsid w:val="0033234F"/>
    <w:rsid w:val="0033259A"/>
    <w:rsid w:val="0033623A"/>
    <w:rsid w:val="00336FE8"/>
    <w:rsid w:val="00340ADE"/>
    <w:rsid w:val="00340F6B"/>
    <w:rsid w:val="0034300F"/>
    <w:rsid w:val="0034538F"/>
    <w:rsid w:val="00346EA0"/>
    <w:rsid w:val="00350DA0"/>
    <w:rsid w:val="00351A6A"/>
    <w:rsid w:val="003528A1"/>
    <w:rsid w:val="00356721"/>
    <w:rsid w:val="00357166"/>
    <w:rsid w:val="003577B6"/>
    <w:rsid w:val="00357C60"/>
    <w:rsid w:val="00360B1C"/>
    <w:rsid w:val="003614A8"/>
    <w:rsid w:val="00371FE9"/>
    <w:rsid w:val="003729CE"/>
    <w:rsid w:val="003739F1"/>
    <w:rsid w:val="00377C6E"/>
    <w:rsid w:val="00382288"/>
    <w:rsid w:val="003822A3"/>
    <w:rsid w:val="003841DF"/>
    <w:rsid w:val="00384C1F"/>
    <w:rsid w:val="00384D73"/>
    <w:rsid w:val="003851B2"/>
    <w:rsid w:val="003851FF"/>
    <w:rsid w:val="00391839"/>
    <w:rsid w:val="00394227"/>
    <w:rsid w:val="00394457"/>
    <w:rsid w:val="003A05E3"/>
    <w:rsid w:val="003A61AD"/>
    <w:rsid w:val="003B4CBA"/>
    <w:rsid w:val="003B51E9"/>
    <w:rsid w:val="003C1A35"/>
    <w:rsid w:val="003C3150"/>
    <w:rsid w:val="003C6F4A"/>
    <w:rsid w:val="003D15E6"/>
    <w:rsid w:val="003D2487"/>
    <w:rsid w:val="003D50FD"/>
    <w:rsid w:val="003D5B77"/>
    <w:rsid w:val="003E1B57"/>
    <w:rsid w:val="003E36CA"/>
    <w:rsid w:val="003E3BF9"/>
    <w:rsid w:val="003E5780"/>
    <w:rsid w:val="003E5795"/>
    <w:rsid w:val="003F5EC8"/>
    <w:rsid w:val="00403ABF"/>
    <w:rsid w:val="00406D62"/>
    <w:rsid w:val="00410137"/>
    <w:rsid w:val="00412BE4"/>
    <w:rsid w:val="00414C0A"/>
    <w:rsid w:val="00420D0D"/>
    <w:rsid w:val="00421394"/>
    <w:rsid w:val="004221B5"/>
    <w:rsid w:val="00423D80"/>
    <w:rsid w:val="004333D1"/>
    <w:rsid w:val="00435931"/>
    <w:rsid w:val="00435AF4"/>
    <w:rsid w:val="00441E4A"/>
    <w:rsid w:val="00442601"/>
    <w:rsid w:val="0044300D"/>
    <w:rsid w:val="004438FC"/>
    <w:rsid w:val="00446F46"/>
    <w:rsid w:val="0045388F"/>
    <w:rsid w:val="00454352"/>
    <w:rsid w:val="00455FF3"/>
    <w:rsid w:val="00456392"/>
    <w:rsid w:val="00456B75"/>
    <w:rsid w:val="004570F0"/>
    <w:rsid w:val="00460762"/>
    <w:rsid w:val="00460A1E"/>
    <w:rsid w:val="00461287"/>
    <w:rsid w:val="00461AC7"/>
    <w:rsid w:val="004624C2"/>
    <w:rsid w:val="0046509A"/>
    <w:rsid w:val="004663C3"/>
    <w:rsid w:val="0046649E"/>
    <w:rsid w:val="00472932"/>
    <w:rsid w:val="00472FB3"/>
    <w:rsid w:val="0047335F"/>
    <w:rsid w:val="004739F3"/>
    <w:rsid w:val="004766DB"/>
    <w:rsid w:val="004803DD"/>
    <w:rsid w:val="00482871"/>
    <w:rsid w:val="0048347D"/>
    <w:rsid w:val="00485910"/>
    <w:rsid w:val="00486BC4"/>
    <w:rsid w:val="00487B24"/>
    <w:rsid w:val="00493438"/>
    <w:rsid w:val="00495F02"/>
    <w:rsid w:val="0049631D"/>
    <w:rsid w:val="004A2EF2"/>
    <w:rsid w:val="004A70A7"/>
    <w:rsid w:val="004B4D93"/>
    <w:rsid w:val="004C2D4D"/>
    <w:rsid w:val="004C3E75"/>
    <w:rsid w:val="004C4E52"/>
    <w:rsid w:val="004C5D9B"/>
    <w:rsid w:val="004D2784"/>
    <w:rsid w:val="004D4092"/>
    <w:rsid w:val="004D4A58"/>
    <w:rsid w:val="004D4D2E"/>
    <w:rsid w:val="004D54C6"/>
    <w:rsid w:val="004D6DE4"/>
    <w:rsid w:val="004E32EF"/>
    <w:rsid w:val="004E3583"/>
    <w:rsid w:val="004E35C8"/>
    <w:rsid w:val="004E5813"/>
    <w:rsid w:val="004E5A02"/>
    <w:rsid w:val="004F20BF"/>
    <w:rsid w:val="004F2916"/>
    <w:rsid w:val="004F4376"/>
    <w:rsid w:val="004F5DEE"/>
    <w:rsid w:val="004F655D"/>
    <w:rsid w:val="004F6D4E"/>
    <w:rsid w:val="004F7DB6"/>
    <w:rsid w:val="00500610"/>
    <w:rsid w:val="00501A3C"/>
    <w:rsid w:val="0050402A"/>
    <w:rsid w:val="0050657C"/>
    <w:rsid w:val="005123AD"/>
    <w:rsid w:val="00514726"/>
    <w:rsid w:val="0052141D"/>
    <w:rsid w:val="00523401"/>
    <w:rsid w:val="005265F7"/>
    <w:rsid w:val="00526ADD"/>
    <w:rsid w:val="00526C63"/>
    <w:rsid w:val="00526D61"/>
    <w:rsid w:val="005274AC"/>
    <w:rsid w:val="00530D3D"/>
    <w:rsid w:val="005323D3"/>
    <w:rsid w:val="00532619"/>
    <w:rsid w:val="0053440D"/>
    <w:rsid w:val="00536A61"/>
    <w:rsid w:val="00540A3A"/>
    <w:rsid w:val="005418EF"/>
    <w:rsid w:val="005422B2"/>
    <w:rsid w:val="00543B2A"/>
    <w:rsid w:val="00543B76"/>
    <w:rsid w:val="00545EC0"/>
    <w:rsid w:val="005460A9"/>
    <w:rsid w:val="00546587"/>
    <w:rsid w:val="00547CD7"/>
    <w:rsid w:val="005509F3"/>
    <w:rsid w:val="00551550"/>
    <w:rsid w:val="005601BD"/>
    <w:rsid w:val="00561DBB"/>
    <w:rsid w:val="00562930"/>
    <w:rsid w:val="00562AA0"/>
    <w:rsid w:val="00564FB6"/>
    <w:rsid w:val="0056588D"/>
    <w:rsid w:val="005658A1"/>
    <w:rsid w:val="00566A0E"/>
    <w:rsid w:val="005671F9"/>
    <w:rsid w:val="00573B2D"/>
    <w:rsid w:val="005746D7"/>
    <w:rsid w:val="0057727C"/>
    <w:rsid w:val="005803F4"/>
    <w:rsid w:val="00581BCF"/>
    <w:rsid w:val="00583570"/>
    <w:rsid w:val="00590110"/>
    <w:rsid w:val="005917D4"/>
    <w:rsid w:val="0059397F"/>
    <w:rsid w:val="00593A50"/>
    <w:rsid w:val="00594CCC"/>
    <w:rsid w:val="005A1C30"/>
    <w:rsid w:val="005A3B05"/>
    <w:rsid w:val="005A46EE"/>
    <w:rsid w:val="005A4E9B"/>
    <w:rsid w:val="005A6771"/>
    <w:rsid w:val="005A72E9"/>
    <w:rsid w:val="005A7943"/>
    <w:rsid w:val="005B254C"/>
    <w:rsid w:val="005B6253"/>
    <w:rsid w:val="005B6928"/>
    <w:rsid w:val="005C0284"/>
    <w:rsid w:val="005C2E0F"/>
    <w:rsid w:val="005C5CAB"/>
    <w:rsid w:val="005D0CC2"/>
    <w:rsid w:val="005D2112"/>
    <w:rsid w:val="005D2E5C"/>
    <w:rsid w:val="005E0464"/>
    <w:rsid w:val="005E1F63"/>
    <w:rsid w:val="005E278B"/>
    <w:rsid w:val="005E37FF"/>
    <w:rsid w:val="005E3F63"/>
    <w:rsid w:val="005E70F1"/>
    <w:rsid w:val="005F0863"/>
    <w:rsid w:val="005F0C07"/>
    <w:rsid w:val="005F2C03"/>
    <w:rsid w:val="006021AA"/>
    <w:rsid w:val="006041A0"/>
    <w:rsid w:val="006051B4"/>
    <w:rsid w:val="00606C77"/>
    <w:rsid w:val="0060715B"/>
    <w:rsid w:val="006127A0"/>
    <w:rsid w:val="00612844"/>
    <w:rsid w:val="00615FB9"/>
    <w:rsid w:val="00620E0B"/>
    <w:rsid w:val="00622A59"/>
    <w:rsid w:val="00623180"/>
    <w:rsid w:val="0062657B"/>
    <w:rsid w:val="00632E0E"/>
    <w:rsid w:val="00635186"/>
    <w:rsid w:val="006354BC"/>
    <w:rsid w:val="00635F47"/>
    <w:rsid w:val="00636913"/>
    <w:rsid w:val="00636CF8"/>
    <w:rsid w:val="00645421"/>
    <w:rsid w:val="00651993"/>
    <w:rsid w:val="006537D1"/>
    <w:rsid w:val="00661845"/>
    <w:rsid w:val="00662AC5"/>
    <w:rsid w:val="00670DC2"/>
    <w:rsid w:val="00670EA9"/>
    <w:rsid w:val="00670EBA"/>
    <w:rsid w:val="00671556"/>
    <w:rsid w:val="00671751"/>
    <w:rsid w:val="00672B71"/>
    <w:rsid w:val="00672E2D"/>
    <w:rsid w:val="00675598"/>
    <w:rsid w:val="00675A6F"/>
    <w:rsid w:val="006839D6"/>
    <w:rsid w:val="00684893"/>
    <w:rsid w:val="00686019"/>
    <w:rsid w:val="006863B1"/>
    <w:rsid w:val="00686F9B"/>
    <w:rsid w:val="00686FE4"/>
    <w:rsid w:val="006879FA"/>
    <w:rsid w:val="0069053C"/>
    <w:rsid w:val="00692F75"/>
    <w:rsid w:val="00694BB1"/>
    <w:rsid w:val="00697C38"/>
    <w:rsid w:val="006A0021"/>
    <w:rsid w:val="006A0D82"/>
    <w:rsid w:val="006A1DE4"/>
    <w:rsid w:val="006A2E24"/>
    <w:rsid w:val="006B320E"/>
    <w:rsid w:val="006B370A"/>
    <w:rsid w:val="006B42D8"/>
    <w:rsid w:val="006B7F70"/>
    <w:rsid w:val="006C1E1D"/>
    <w:rsid w:val="006C255F"/>
    <w:rsid w:val="006C276C"/>
    <w:rsid w:val="006C3294"/>
    <w:rsid w:val="006C4559"/>
    <w:rsid w:val="006C5087"/>
    <w:rsid w:val="006D569B"/>
    <w:rsid w:val="006D6696"/>
    <w:rsid w:val="006D6F3C"/>
    <w:rsid w:val="006E2B9B"/>
    <w:rsid w:val="006E4FC8"/>
    <w:rsid w:val="006E5D97"/>
    <w:rsid w:val="006E69B9"/>
    <w:rsid w:val="006E79A6"/>
    <w:rsid w:val="006F17CA"/>
    <w:rsid w:val="006F289B"/>
    <w:rsid w:val="006F59B0"/>
    <w:rsid w:val="006F5AF6"/>
    <w:rsid w:val="00703A04"/>
    <w:rsid w:val="00704F42"/>
    <w:rsid w:val="007051A6"/>
    <w:rsid w:val="00705A58"/>
    <w:rsid w:val="00707159"/>
    <w:rsid w:val="00710D7D"/>
    <w:rsid w:val="0071156A"/>
    <w:rsid w:val="007135CB"/>
    <w:rsid w:val="007153EF"/>
    <w:rsid w:val="00716681"/>
    <w:rsid w:val="0071717D"/>
    <w:rsid w:val="007172AE"/>
    <w:rsid w:val="0071741E"/>
    <w:rsid w:val="00720FD8"/>
    <w:rsid w:val="0072315D"/>
    <w:rsid w:val="0072357D"/>
    <w:rsid w:val="00724A0C"/>
    <w:rsid w:val="00726415"/>
    <w:rsid w:val="00730EB2"/>
    <w:rsid w:val="0073379B"/>
    <w:rsid w:val="00735019"/>
    <w:rsid w:val="0073571A"/>
    <w:rsid w:val="0073762E"/>
    <w:rsid w:val="007405DB"/>
    <w:rsid w:val="00740E0F"/>
    <w:rsid w:val="00745F29"/>
    <w:rsid w:val="007535C0"/>
    <w:rsid w:val="007535FC"/>
    <w:rsid w:val="00754B54"/>
    <w:rsid w:val="0075593E"/>
    <w:rsid w:val="00760B5B"/>
    <w:rsid w:val="0076103F"/>
    <w:rsid w:val="00761BAA"/>
    <w:rsid w:val="007658DD"/>
    <w:rsid w:val="00766820"/>
    <w:rsid w:val="0077102C"/>
    <w:rsid w:val="0077283C"/>
    <w:rsid w:val="007742DA"/>
    <w:rsid w:val="00775B91"/>
    <w:rsid w:val="00775F38"/>
    <w:rsid w:val="007762BE"/>
    <w:rsid w:val="00777F87"/>
    <w:rsid w:val="00786626"/>
    <w:rsid w:val="007875DC"/>
    <w:rsid w:val="0079040B"/>
    <w:rsid w:val="00790E94"/>
    <w:rsid w:val="0079307F"/>
    <w:rsid w:val="007945CE"/>
    <w:rsid w:val="007955B3"/>
    <w:rsid w:val="007958B2"/>
    <w:rsid w:val="00795D1B"/>
    <w:rsid w:val="00796BDB"/>
    <w:rsid w:val="007A3594"/>
    <w:rsid w:val="007A4649"/>
    <w:rsid w:val="007B27DD"/>
    <w:rsid w:val="007B457C"/>
    <w:rsid w:val="007B4CBB"/>
    <w:rsid w:val="007C22BA"/>
    <w:rsid w:val="007C296E"/>
    <w:rsid w:val="007C2B24"/>
    <w:rsid w:val="007C2FD6"/>
    <w:rsid w:val="007C6295"/>
    <w:rsid w:val="007C7E73"/>
    <w:rsid w:val="007D202B"/>
    <w:rsid w:val="007D4F40"/>
    <w:rsid w:val="007D7481"/>
    <w:rsid w:val="007D7F6E"/>
    <w:rsid w:val="007E1A19"/>
    <w:rsid w:val="007E1BCE"/>
    <w:rsid w:val="007E2B84"/>
    <w:rsid w:val="007E547B"/>
    <w:rsid w:val="007E5D35"/>
    <w:rsid w:val="007E62F7"/>
    <w:rsid w:val="007E6E9A"/>
    <w:rsid w:val="007F0493"/>
    <w:rsid w:val="007F230E"/>
    <w:rsid w:val="007F3975"/>
    <w:rsid w:val="007F4FA7"/>
    <w:rsid w:val="007F7614"/>
    <w:rsid w:val="007F7FA4"/>
    <w:rsid w:val="008004D8"/>
    <w:rsid w:val="00803AFA"/>
    <w:rsid w:val="00805885"/>
    <w:rsid w:val="0081078F"/>
    <w:rsid w:val="0081096A"/>
    <w:rsid w:val="008114EC"/>
    <w:rsid w:val="00812309"/>
    <w:rsid w:val="00812485"/>
    <w:rsid w:val="008128BB"/>
    <w:rsid w:val="00815D3C"/>
    <w:rsid w:val="008171E7"/>
    <w:rsid w:val="00817766"/>
    <w:rsid w:val="00821A64"/>
    <w:rsid w:val="00822CAF"/>
    <w:rsid w:val="00822DFD"/>
    <w:rsid w:val="0082743A"/>
    <w:rsid w:val="0083377B"/>
    <w:rsid w:val="0083548A"/>
    <w:rsid w:val="00836D3F"/>
    <w:rsid w:val="00843ACA"/>
    <w:rsid w:val="00844BA5"/>
    <w:rsid w:val="0084548B"/>
    <w:rsid w:val="008456C6"/>
    <w:rsid w:val="00847534"/>
    <w:rsid w:val="0084775D"/>
    <w:rsid w:val="00847C01"/>
    <w:rsid w:val="008502A4"/>
    <w:rsid w:val="00850A55"/>
    <w:rsid w:val="00852D6D"/>
    <w:rsid w:val="008544C5"/>
    <w:rsid w:val="00854B1A"/>
    <w:rsid w:val="00856584"/>
    <w:rsid w:val="00857C1C"/>
    <w:rsid w:val="0086406E"/>
    <w:rsid w:val="008650CC"/>
    <w:rsid w:val="00865B9A"/>
    <w:rsid w:val="00867952"/>
    <w:rsid w:val="00871B31"/>
    <w:rsid w:val="00871F4F"/>
    <w:rsid w:val="00872157"/>
    <w:rsid w:val="0087223B"/>
    <w:rsid w:val="00874048"/>
    <w:rsid w:val="008819B5"/>
    <w:rsid w:val="008840E0"/>
    <w:rsid w:val="008863EA"/>
    <w:rsid w:val="00887D93"/>
    <w:rsid w:val="0089461B"/>
    <w:rsid w:val="00895156"/>
    <w:rsid w:val="00896172"/>
    <w:rsid w:val="00897C2F"/>
    <w:rsid w:val="008A3792"/>
    <w:rsid w:val="008A3E1E"/>
    <w:rsid w:val="008A6609"/>
    <w:rsid w:val="008A799F"/>
    <w:rsid w:val="008A7EA0"/>
    <w:rsid w:val="008B19D7"/>
    <w:rsid w:val="008B2550"/>
    <w:rsid w:val="008B41EE"/>
    <w:rsid w:val="008B4E11"/>
    <w:rsid w:val="008B54FC"/>
    <w:rsid w:val="008C24BC"/>
    <w:rsid w:val="008C6D25"/>
    <w:rsid w:val="008C79DB"/>
    <w:rsid w:val="008D1F31"/>
    <w:rsid w:val="008D218F"/>
    <w:rsid w:val="008D3D26"/>
    <w:rsid w:val="008D54D8"/>
    <w:rsid w:val="008D55B4"/>
    <w:rsid w:val="008D6377"/>
    <w:rsid w:val="008E0280"/>
    <w:rsid w:val="008E17F6"/>
    <w:rsid w:val="008E2F85"/>
    <w:rsid w:val="008E3645"/>
    <w:rsid w:val="008E7FE5"/>
    <w:rsid w:val="008F4D47"/>
    <w:rsid w:val="008F4FD3"/>
    <w:rsid w:val="008F78D6"/>
    <w:rsid w:val="0090150B"/>
    <w:rsid w:val="00901AE4"/>
    <w:rsid w:val="00902BE3"/>
    <w:rsid w:val="009050FE"/>
    <w:rsid w:val="0091033C"/>
    <w:rsid w:val="009113C3"/>
    <w:rsid w:val="00911FA6"/>
    <w:rsid w:val="009128D0"/>
    <w:rsid w:val="00914200"/>
    <w:rsid w:val="009157B0"/>
    <w:rsid w:val="00921452"/>
    <w:rsid w:val="00926926"/>
    <w:rsid w:val="009303AA"/>
    <w:rsid w:val="00931D32"/>
    <w:rsid w:val="009444F3"/>
    <w:rsid w:val="00946850"/>
    <w:rsid w:val="00951C63"/>
    <w:rsid w:val="00951DE0"/>
    <w:rsid w:val="00952504"/>
    <w:rsid w:val="00956762"/>
    <w:rsid w:val="009606DD"/>
    <w:rsid w:val="0096381B"/>
    <w:rsid w:val="009645BC"/>
    <w:rsid w:val="009655F4"/>
    <w:rsid w:val="00970B2A"/>
    <w:rsid w:val="0097259A"/>
    <w:rsid w:val="00981DBC"/>
    <w:rsid w:val="00981FCF"/>
    <w:rsid w:val="00982D7E"/>
    <w:rsid w:val="00983888"/>
    <w:rsid w:val="00985EF4"/>
    <w:rsid w:val="00986466"/>
    <w:rsid w:val="00993955"/>
    <w:rsid w:val="00994B00"/>
    <w:rsid w:val="009969D4"/>
    <w:rsid w:val="00996B35"/>
    <w:rsid w:val="00996C45"/>
    <w:rsid w:val="009A3B05"/>
    <w:rsid w:val="009A7330"/>
    <w:rsid w:val="009B1366"/>
    <w:rsid w:val="009B523B"/>
    <w:rsid w:val="009B7E54"/>
    <w:rsid w:val="009C3559"/>
    <w:rsid w:val="009C5EB0"/>
    <w:rsid w:val="009C64EA"/>
    <w:rsid w:val="009C79BA"/>
    <w:rsid w:val="009D0BEB"/>
    <w:rsid w:val="009D1696"/>
    <w:rsid w:val="009D1712"/>
    <w:rsid w:val="009D33E0"/>
    <w:rsid w:val="009D3F4A"/>
    <w:rsid w:val="009D5087"/>
    <w:rsid w:val="009D5A8B"/>
    <w:rsid w:val="009D7655"/>
    <w:rsid w:val="009D7BAE"/>
    <w:rsid w:val="009E029B"/>
    <w:rsid w:val="009E12AD"/>
    <w:rsid w:val="009E5913"/>
    <w:rsid w:val="009E6756"/>
    <w:rsid w:val="009F02DE"/>
    <w:rsid w:val="009F0418"/>
    <w:rsid w:val="009F0CCE"/>
    <w:rsid w:val="009F2741"/>
    <w:rsid w:val="009F317C"/>
    <w:rsid w:val="009F3364"/>
    <w:rsid w:val="009F4328"/>
    <w:rsid w:val="00A01EA5"/>
    <w:rsid w:val="00A0292A"/>
    <w:rsid w:val="00A12B03"/>
    <w:rsid w:val="00A14726"/>
    <w:rsid w:val="00A16D33"/>
    <w:rsid w:val="00A20101"/>
    <w:rsid w:val="00A21D13"/>
    <w:rsid w:val="00A305B3"/>
    <w:rsid w:val="00A30687"/>
    <w:rsid w:val="00A30817"/>
    <w:rsid w:val="00A34529"/>
    <w:rsid w:val="00A34901"/>
    <w:rsid w:val="00A34CEF"/>
    <w:rsid w:val="00A370D8"/>
    <w:rsid w:val="00A37E1A"/>
    <w:rsid w:val="00A4055B"/>
    <w:rsid w:val="00A41188"/>
    <w:rsid w:val="00A42DFF"/>
    <w:rsid w:val="00A432D3"/>
    <w:rsid w:val="00A457D1"/>
    <w:rsid w:val="00A53F6F"/>
    <w:rsid w:val="00A53FB1"/>
    <w:rsid w:val="00A56B29"/>
    <w:rsid w:val="00A60ECA"/>
    <w:rsid w:val="00A633A2"/>
    <w:rsid w:val="00A66261"/>
    <w:rsid w:val="00A6644F"/>
    <w:rsid w:val="00A67BA2"/>
    <w:rsid w:val="00A763BD"/>
    <w:rsid w:val="00A777C7"/>
    <w:rsid w:val="00A77D6D"/>
    <w:rsid w:val="00A874CD"/>
    <w:rsid w:val="00A90075"/>
    <w:rsid w:val="00A90BF7"/>
    <w:rsid w:val="00A9126E"/>
    <w:rsid w:val="00AA26D6"/>
    <w:rsid w:val="00AA26E5"/>
    <w:rsid w:val="00AA386D"/>
    <w:rsid w:val="00AA418B"/>
    <w:rsid w:val="00AA4433"/>
    <w:rsid w:val="00AA607F"/>
    <w:rsid w:val="00AB13DF"/>
    <w:rsid w:val="00AB23E4"/>
    <w:rsid w:val="00AB5B9C"/>
    <w:rsid w:val="00AB7A9C"/>
    <w:rsid w:val="00AC0E23"/>
    <w:rsid w:val="00AC6B4D"/>
    <w:rsid w:val="00AC7D65"/>
    <w:rsid w:val="00AD050C"/>
    <w:rsid w:val="00AD13EB"/>
    <w:rsid w:val="00AD2060"/>
    <w:rsid w:val="00AD319D"/>
    <w:rsid w:val="00AD43CC"/>
    <w:rsid w:val="00AD77E7"/>
    <w:rsid w:val="00AE0D2F"/>
    <w:rsid w:val="00AE12E7"/>
    <w:rsid w:val="00AE354D"/>
    <w:rsid w:val="00AE3CEC"/>
    <w:rsid w:val="00AE444F"/>
    <w:rsid w:val="00AE469F"/>
    <w:rsid w:val="00AE49D5"/>
    <w:rsid w:val="00AE4F6E"/>
    <w:rsid w:val="00AE5ACD"/>
    <w:rsid w:val="00AF20E9"/>
    <w:rsid w:val="00AF2A4F"/>
    <w:rsid w:val="00AF5F05"/>
    <w:rsid w:val="00B00237"/>
    <w:rsid w:val="00B00548"/>
    <w:rsid w:val="00B014D7"/>
    <w:rsid w:val="00B024C9"/>
    <w:rsid w:val="00B02DCD"/>
    <w:rsid w:val="00B04287"/>
    <w:rsid w:val="00B05A93"/>
    <w:rsid w:val="00B13450"/>
    <w:rsid w:val="00B1455B"/>
    <w:rsid w:val="00B16423"/>
    <w:rsid w:val="00B2426B"/>
    <w:rsid w:val="00B40340"/>
    <w:rsid w:val="00B404E5"/>
    <w:rsid w:val="00B404F0"/>
    <w:rsid w:val="00B40A3E"/>
    <w:rsid w:val="00B47891"/>
    <w:rsid w:val="00B50505"/>
    <w:rsid w:val="00B50F4D"/>
    <w:rsid w:val="00B51800"/>
    <w:rsid w:val="00B525C4"/>
    <w:rsid w:val="00B529EB"/>
    <w:rsid w:val="00B54729"/>
    <w:rsid w:val="00B55F16"/>
    <w:rsid w:val="00B6016A"/>
    <w:rsid w:val="00B61C0D"/>
    <w:rsid w:val="00B642FB"/>
    <w:rsid w:val="00B668B7"/>
    <w:rsid w:val="00B66AB7"/>
    <w:rsid w:val="00B71268"/>
    <w:rsid w:val="00B72FC8"/>
    <w:rsid w:val="00B74AAF"/>
    <w:rsid w:val="00B74EFD"/>
    <w:rsid w:val="00B824DD"/>
    <w:rsid w:val="00B85D32"/>
    <w:rsid w:val="00B9030E"/>
    <w:rsid w:val="00B9265E"/>
    <w:rsid w:val="00B9295C"/>
    <w:rsid w:val="00B96626"/>
    <w:rsid w:val="00BA498A"/>
    <w:rsid w:val="00BA4CFF"/>
    <w:rsid w:val="00BC2149"/>
    <w:rsid w:val="00BD109D"/>
    <w:rsid w:val="00BD2805"/>
    <w:rsid w:val="00BD344E"/>
    <w:rsid w:val="00BE12C8"/>
    <w:rsid w:val="00BE7A3A"/>
    <w:rsid w:val="00BF211B"/>
    <w:rsid w:val="00C00F60"/>
    <w:rsid w:val="00C010BC"/>
    <w:rsid w:val="00C01FD7"/>
    <w:rsid w:val="00C02461"/>
    <w:rsid w:val="00C0270F"/>
    <w:rsid w:val="00C02E9B"/>
    <w:rsid w:val="00C038CC"/>
    <w:rsid w:val="00C04747"/>
    <w:rsid w:val="00C05665"/>
    <w:rsid w:val="00C06211"/>
    <w:rsid w:val="00C115BD"/>
    <w:rsid w:val="00C11AC7"/>
    <w:rsid w:val="00C13093"/>
    <w:rsid w:val="00C1539C"/>
    <w:rsid w:val="00C206C1"/>
    <w:rsid w:val="00C20CF3"/>
    <w:rsid w:val="00C20D0C"/>
    <w:rsid w:val="00C269D2"/>
    <w:rsid w:val="00C27D81"/>
    <w:rsid w:val="00C30A42"/>
    <w:rsid w:val="00C32425"/>
    <w:rsid w:val="00C33226"/>
    <w:rsid w:val="00C41842"/>
    <w:rsid w:val="00C41B41"/>
    <w:rsid w:val="00C41BB0"/>
    <w:rsid w:val="00C4392E"/>
    <w:rsid w:val="00C52682"/>
    <w:rsid w:val="00C5467F"/>
    <w:rsid w:val="00C55368"/>
    <w:rsid w:val="00C5574B"/>
    <w:rsid w:val="00C56D3D"/>
    <w:rsid w:val="00C60DF6"/>
    <w:rsid w:val="00C62F65"/>
    <w:rsid w:val="00C65F82"/>
    <w:rsid w:val="00C664B5"/>
    <w:rsid w:val="00C727E1"/>
    <w:rsid w:val="00C75291"/>
    <w:rsid w:val="00C771C3"/>
    <w:rsid w:val="00C8255F"/>
    <w:rsid w:val="00C86184"/>
    <w:rsid w:val="00C86483"/>
    <w:rsid w:val="00C92E14"/>
    <w:rsid w:val="00C975E4"/>
    <w:rsid w:val="00CA35F9"/>
    <w:rsid w:val="00CA3817"/>
    <w:rsid w:val="00CB1134"/>
    <w:rsid w:val="00CB324C"/>
    <w:rsid w:val="00CB496C"/>
    <w:rsid w:val="00CB6020"/>
    <w:rsid w:val="00CB78ED"/>
    <w:rsid w:val="00CC7590"/>
    <w:rsid w:val="00CD246D"/>
    <w:rsid w:val="00CD3C91"/>
    <w:rsid w:val="00CD5194"/>
    <w:rsid w:val="00CD7715"/>
    <w:rsid w:val="00CE0633"/>
    <w:rsid w:val="00CE1F9D"/>
    <w:rsid w:val="00CE2E78"/>
    <w:rsid w:val="00CE5614"/>
    <w:rsid w:val="00CE5901"/>
    <w:rsid w:val="00CE691D"/>
    <w:rsid w:val="00CE6DED"/>
    <w:rsid w:val="00CF2CE1"/>
    <w:rsid w:val="00CF3E7E"/>
    <w:rsid w:val="00D0192C"/>
    <w:rsid w:val="00D02668"/>
    <w:rsid w:val="00D02D29"/>
    <w:rsid w:val="00D03DD4"/>
    <w:rsid w:val="00D04186"/>
    <w:rsid w:val="00D06C04"/>
    <w:rsid w:val="00D13323"/>
    <w:rsid w:val="00D157C7"/>
    <w:rsid w:val="00D16E3F"/>
    <w:rsid w:val="00D16FA4"/>
    <w:rsid w:val="00D171ED"/>
    <w:rsid w:val="00D178BD"/>
    <w:rsid w:val="00D23709"/>
    <w:rsid w:val="00D245E6"/>
    <w:rsid w:val="00D24EA1"/>
    <w:rsid w:val="00D27E8B"/>
    <w:rsid w:val="00D27EC9"/>
    <w:rsid w:val="00D27F0A"/>
    <w:rsid w:val="00D302C4"/>
    <w:rsid w:val="00D33857"/>
    <w:rsid w:val="00D36E44"/>
    <w:rsid w:val="00D42A05"/>
    <w:rsid w:val="00D4354E"/>
    <w:rsid w:val="00D439DF"/>
    <w:rsid w:val="00D456CE"/>
    <w:rsid w:val="00D47BB4"/>
    <w:rsid w:val="00D47F0B"/>
    <w:rsid w:val="00D504E0"/>
    <w:rsid w:val="00D50A41"/>
    <w:rsid w:val="00D50BD6"/>
    <w:rsid w:val="00D51150"/>
    <w:rsid w:val="00D52E06"/>
    <w:rsid w:val="00D52F86"/>
    <w:rsid w:val="00D600C6"/>
    <w:rsid w:val="00D61364"/>
    <w:rsid w:val="00D62127"/>
    <w:rsid w:val="00D64E51"/>
    <w:rsid w:val="00D664E5"/>
    <w:rsid w:val="00D66E99"/>
    <w:rsid w:val="00D701D2"/>
    <w:rsid w:val="00D7051B"/>
    <w:rsid w:val="00D73486"/>
    <w:rsid w:val="00D7471C"/>
    <w:rsid w:val="00D75407"/>
    <w:rsid w:val="00D7738F"/>
    <w:rsid w:val="00D77830"/>
    <w:rsid w:val="00D819DF"/>
    <w:rsid w:val="00D827E5"/>
    <w:rsid w:val="00D86400"/>
    <w:rsid w:val="00D86494"/>
    <w:rsid w:val="00D8672B"/>
    <w:rsid w:val="00D90FFB"/>
    <w:rsid w:val="00DA098F"/>
    <w:rsid w:val="00DA122F"/>
    <w:rsid w:val="00DA12A2"/>
    <w:rsid w:val="00DA1F70"/>
    <w:rsid w:val="00DA4DD1"/>
    <w:rsid w:val="00DA5B14"/>
    <w:rsid w:val="00DA6760"/>
    <w:rsid w:val="00DA6D16"/>
    <w:rsid w:val="00DA7FCC"/>
    <w:rsid w:val="00DB21BF"/>
    <w:rsid w:val="00DB223F"/>
    <w:rsid w:val="00DB2BF2"/>
    <w:rsid w:val="00DB5F13"/>
    <w:rsid w:val="00DC5304"/>
    <w:rsid w:val="00DC6DDF"/>
    <w:rsid w:val="00DD49B3"/>
    <w:rsid w:val="00DD4F99"/>
    <w:rsid w:val="00DE249E"/>
    <w:rsid w:val="00DE3D0B"/>
    <w:rsid w:val="00DE4993"/>
    <w:rsid w:val="00DE4D1C"/>
    <w:rsid w:val="00DE7213"/>
    <w:rsid w:val="00DF342E"/>
    <w:rsid w:val="00DF5586"/>
    <w:rsid w:val="00DF56B5"/>
    <w:rsid w:val="00E019F3"/>
    <w:rsid w:val="00E02B0D"/>
    <w:rsid w:val="00E03CEA"/>
    <w:rsid w:val="00E04496"/>
    <w:rsid w:val="00E06194"/>
    <w:rsid w:val="00E06F36"/>
    <w:rsid w:val="00E12349"/>
    <w:rsid w:val="00E1296B"/>
    <w:rsid w:val="00E16344"/>
    <w:rsid w:val="00E168F1"/>
    <w:rsid w:val="00E20B43"/>
    <w:rsid w:val="00E21B86"/>
    <w:rsid w:val="00E222F9"/>
    <w:rsid w:val="00E22470"/>
    <w:rsid w:val="00E245F8"/>
    <w:rsid w:val="00E24FF1"/>
    <w:rsid w:val="00E2632A"/>
    <w:rsid w:val="00E277EF"/>
    <w:rsid w:val="00E3014C"/>
    <w:rsid w:val="00E401F5"/>
    <w:rsid w:val="00E45237"/>
    <w:rsid w:val="00E45BFA"/>
    <w:rsid w:val="00E501A8"/>
    <w:rsid w:val="00E50F56"/>
    <w:rsid w:val="00E5160C"/>
    <w:rsid w:val="00E5298D"/>
    <w:rsid w:val="00E56483"/>
    <w:rsid w:val="00E60F84"/>
    <w:rsid w:val="00E64DEA"/>
    <w:rsid w:val="00E66272"/>
    <w:rsid w:val="00E668DB"/>
    <w:rsid w:val="00E74508"/>
    <w:rsid w:val="00E74F59"/>
    <w:rsid w:val="00E77366"/>
    <w:rsid w:val="00E7776A"/>
    <w:rsid w:val="00E77910"/>
    <w:rsid w:val="00E80348"/>
    <w:rsid w:val="00E81F7B"/>
    <w:rsid w:val="00E83569"/>
    <w:rsid w:val="00E84741"/>
    <w:rsid w:val="00E85BA5"/>
    <w:rsid w:val="00E86088"/>
    <w:rsid w:val="00E8682B"/>
    <w:rsid w:val="00E875AE"/>
    <w:rsid w:val="00E91B8C"/>
    <w:rsid w:val="00E92A8E"/>
    <w:rsid w:val="00E9333D"/>
    <w:rsid w:val="00E94073"/>
    <w:rsid w:val="00E95B29"/>
    <w:rsid w:val="00E95BE1"/>
    <w:rsid w:val="00EA381E"/>
    <w:rsid w:val="00EA64B1"/>
    <w:rsid w:val="00EA6A9D"/>
    <w:rsid w:val="00EA73C2"/>
    <w:rsid w:val="00EB14A2"/>
    <w:rsid w:val="00EB1E10"/>
    <w:rsid w:val="00EB2FEC"/>
    <w:rsid w:val="00EB3CEB"/>
    <w:rsid w:val="00EB6E1E"/>
    <w:rsid w:val="00EC3496"/>
    <w:rsid w:val="00EC6DD9"/>
    <w:rsid w:val="00ED5EAC"/>
    <w:rsid w:val="00ED66A5"/>
    <w:rsid w:val="00ED70E3"/>
    <w:rsid w:val="00EE03DB"/>
    <w:rsid w:val="00EE2908"/>
    <w:rsid w:val="00EE3D58"/>
    <w:rsid w:val="00EE4F0F"/>
    <w:rsid w:val="00EE59EB"/>
    <w:rsid w:val="00EE5BC5"/>
    <w:rsid w:val="00EF0AF4"/>
    <w:rsid w:val="00EF19CD"/>
    <w:rsid w:val="00EF7250"/>
    <w:rsid w:val="00EF7684"/>
    <w:rsid w:val="00F019FD"/>
    <w:rsid w:val="00F04282"/>
    <w:rsid w:val="00F04560"/>
    <w:rsid w:val="00F048F8"/>
    <w:rsid w:val="00F0573B"/>
    <w:rsid w:val="00F05EDA"/>
    <w:rsid w:val="00F07564"/>
    <w:rsid w:val="00F10602"/>
    <w:rsid w:val="00F10E09"/>
    <w:rsid w:val="00F15275"/>
    <w:rsid w:val="00F2176B"/>
    <w:rsid w:val="00F2279F"/>
    <w:rsid w:val="00F23217"/>
    <w:rsid w:val="00F323DB"/>
    <w:rsid w:val="00F34545"/>
    <w:rsid w:val="00F34746"/>
    <w:rsid w:val="00F35EB0"/>
    <w:rsid w:val="00F37634"/>
    <w:rsid w:val="00F40097"/>
    <w:rsid w:val="00F411D5"/>
    <w:rsid w:val="00F41298"/>
    <w:rsid w:val="00F41569"/>
    <w:rsid w:val="00F42098"/>
    <w:rsid w:val="00F424A1"/>
    <w:rsid w:val="00F42694"/>
    <w:rsid w:val="00F5419D"/>
    <w:rsid w:val="00F54E0B"/>
    <w:rsid w:val="00F5606F"/>
    <w:rsid w:val="00F60523"/>
    <w:rsid w:val="00F6428E"/>
    <w:rsid w:val="00F64AF3"/>
    <w:rsid w:val="00F655E5"/>
    <w:rsid w:val="00F67AB7"/>
    <w:rsid w:val="00F708AA"/>
    <w:rsid w:val="00F711D7"/>
    <w:rsid w:val="00F757D9"/>
    <w:rsid w:val="00F800BF"/>
    <w:rsid w:val="00F8161A"/>
    <w:rsid w:val="00F821DF"/>
    <w:rsid w:val="00F83DB5"/>
    <w:rsid w:val="00F873FE"/>
    <w:rsid w:val="00F92A7D"/>
    <w:rsid w:val="00F931D2"/>
    <w:rsid w:val="00F960BA"/>
    <w:rsid w:val="00F9694D"/>
    <w:rsid w:val="00FA0E54"/>
    <w:rsid w:val="00FA0EFD"/>
    <w:rsid w:val="00FA4894"/>
    <w:rsid w:val="00FA4991"/>
    <w:rsid w:val="00FA6697"/>
    <w:rsid w:val="00FA6EAF"/>
    <w:rsid w:val="00FA7DA7"/>
    <w:rsid w:val="00FB1526"/>
    <w:rsid w:val="00FB402B"/>
    <w:rsid w:val="00FB65A2"/>
    <w:rsid w:val="00FB7343"/>
    <w:rsid w:val="00FC1972"/>
    <w:rsid w:val="00FC1CA5"/>
    <w:rsid w:val="00FC4235"/>
    <w:rsid w:val="00FC66D4"/>
    <w:rsid w:val="00FD0B19"/>
    <w:rsid w:val="00FD1124"/>
    <w:rsid w:val="00FD11E9"/>
    <w:rsid w:val="00FE0AC7"/>
    <w:rsid w:val="00FE0D90"/>
    <w:rsid w:val="00FE1C85"/>
    <w:rsid w:val="00FE443B"/>
    <w:rsid w:val="00FE4B4D"/>
    <w:rsid w:val="00FF1CAE"/>
    <w:rsid w:val="00FF1F16"/>
    <w:rsid w:val="00FF2C4D"/>
    <w:rsid w:val="00FF50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5BD3"/>
  <w15:docId w15:val="{FF4A4D62-4AD7-4362-8174-EC7E84A3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24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E20B43"/>
    <w:pPr>
      <w:keepNext/>
      <w:spacing w:after="0"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72AE"/>
    <w:pPr>
      <w:spacing w:after="0" w:line="240" w:lineRule="auto"/>
    </w:pPr>
    <w:rPr>
      <w:sz w:val="20"/>
      <w:szCs w:val="20"/>
    </w:rPr>
  </w:style>
  <w:style w:type="character" w:customStyle="1" w:styleId="FootnoteTextChar">
    <w:name w:val="Footnote Text Char"/>
    <w:basedOn w:val="DefaultParagraphFont"/>
    <w:link w:val="FootnoteText"/>
    <w:uiPriority w:val="99"/>
    <w:rsid w:val="007172AE"/>
    <w:rPr>
      <w:sz w:val="20"/>
      <w:szCs w:val="20"/>
    </w:rPr>
  </w:style>
  <w:style w:type="character" w:styleId="FootnoteReference">
    <w:name w:val="footnote reference"/>
    <w:basedOn w:val="DefaultParagraphFont"/>
    <w:uiPriority w:val="99"/>
    <w:semiHidden/>
    <w:unhideWhenUsed/>
    <w:rsid w:val="007172AE"/>
    <w:rPr>
      <w:vertAlign w:val="superscript"/>
    </w:rPr>
  </w:style>
  <w:style w:type="character" w:customStyle="1" w:styleId="g1">
    <w:name w:val="g1"/>
    <w:basedOn w:val="DefaultParagraphFont"/>
    <w:rsid w:val="007172AE"/>
  </w:style>
  <w:style w:type="character" w:styleId="Hyperlink">
    <w:name w:val="Hyperlink"/>
    <w:basedOn w:val="DefaultParagraphFont"/>
    <w:uiPriority w:val="99"/>
    <w:unhideWhenUsed/>
    <w:rsid w:val="007172AE"/>
    <w:rPr>
      <w:color w:val="0000FF"/>
      <w:u w:val="single"/>
    </w:rPr>
  </w:style>
  <w:style w:type="character" w:customStyle="1" w:styleId="mc">
    <w:name w:val="mc"/>
    <w:basedOn w:val="DefaultParagraphFont"/>
    <w:rsid w:val="005746D7"/>
  </w:style>
  <w:style w:type="paragraph" w:styleId="ListParagraph">
    <w:name w:val="List Paragraph"/>
    <w:basedOn w:val="Normal"/>
    <w:uiPriority w:val="34"/>
    <w:qFormat/>
    <w:rsid w:val="00ED70E3"/>
    <w:pPr>
      <w:ind w:left="720"/>
      <w:contextualSpacing/>
    </w:pPr>
  </w:style>
  <w:style w:type="paragraph" w:customStyle="1" w:styleId="lg-section">
    <w:name w:val="lg-section"/>
    <w:basedOn w:val="Normal"/>
    <w:rsid w:val="005344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unhideWhenUsed/>
    <w:rsid w:val="005671F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5671F9"/>
    <w:rPr>
      <w:i/>
      <w:iCs/>
    </w:rPr>
  </w:style>
  <w:style w:type="character" w:customStyle="1" w:styleId="Heading3Char">
    <w:name w:val="Heading 3 Char"/>
    <w:basedOn w:val="DefaultParagraphFont"/>
    <w:link w:val="Heading3"/>
    <w:rsid w:val="00E20B43"/>
    <w:rPr>
      <w:rFonts w:ascii="Times New Roman" w:eastAsia="Arial Unicode MS" w:hAnsi="Times New Roman" w:cs="Times New Roman"/>
      <w:b/>
      <w:bCs/>
      <w:sz w:val="32"/>
      <w:szCs w:val="32"/>
    </w:rPr>
  </w:style>
  <w:style w:type="paragraph" w:customStyle="1" w:styleId="parafullout">
    <w:name w:val="parafullout"/>
    <w:basedOn w:val="Normal"/>
    <w:rsid w:val="005F2C0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1B6E6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4">
    <w:name w:val="lg-para4"/>
    <w:basedOn w:val="Normal"/>
    <w:rsid w:val="001B6E6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llowedHyperlink">
    <w:name w:val="FollowedHyperlink"/>
    <w:basedOn w:val="DefaultParagraphFont"/>
    <w:uiPriority w:val="99"/>
    <w:semiHidden/>
    <w:unhideWhenUsed/>
    <w:rsid w:val="00EF19CD"/>
    <w:rPr>
      <w:color w:val="954F72" w:themeColor="followedHyperlink"/>
      <w:u w:val="single"/>
    </w:rPr>
  </w:style>
  <w:style w:type="paragraph" w:styleId="BalloonText">
    <w:name w:val="Balloon Text"/>
    <w:basedOn w:val="Normal"/>
    <w:link w:val="BalloonTextChar"/>
    <w:uiPriority w:val="99"/>
    <w:semiHidden/>
    <w:unhideWhenUsed/>
    <w:rsid w:val="0011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23"/>
    <w:rPr>
      <w:rFonts w:ascii="Segoe UI" w:hAnsi="Segoe UI" w:cs="Segoe UI"/>
      <w:sz w:val="18"/>
      <w:szCs w:val="18"/>
    </w:rPr>
  </w:style>
  <w:style w:type="paragraph" w:styleId="Header">
    <w:name w:val="header"/>
    <w:basedOn w:val="Normal"/>
    <w:link w:val="HeaderChar"/>
    <w:uiPriority w:val="99"/>
    <w:unhideWhenUsed/>
    <w:rsid w:val="0093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D32"/>
  </w:style>
  <w:style w:type="paragraph" w:styleId="Footer">
    <w:name w:val="footer"/>
    <w:basedOn w:val="Normal"/>
    <w:link w:val="FooterChar"/>
    <w:uiPriority w:val="99"/>
    <w:unhideWhenUsed/>
    <w:rsid w:val="0093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D32"/>
  </w:style>
  <w:style w:type="character" w:customStyle="1" w:styleId="lphit">
    <w:name w:val="lphit"/>
    <w:basedOn w:val="DefaultParagraphFont"/>
    <w:rsid w:val="00803AFA"/>
  </w:style>
  <w:style w:type="character" w:styleId="CommentReference">
    <w:name w:val="annotation reference"/>
    <w:basedOn w:val="DefaultParagraphFont"/>
    <w:uiPriority w:val="99"/>
    <w:semiHidden/>
    <w:unhideWhenUsed/>
    <w:rsid w:val="00034C0A"/>
    <w:rPr>
      <w:sz w:val="16"/>
      <w:szCs w:val="16"/>
    </w:rPr>
  </w:style>
  <w:style w:type="paragraph" w:styleId="CommentText">
    <w:name w:val="annotation text"/>
    <w:basedOn w:val="Normal"/>
    <w:link w:val="CommentTextChar"/>
    <w:uiPriority w:val="99"/>
    <w:semiHidden/>
    <w:unhideWhenUsed/>
    <w:rsid w:val="00034C0A"/>
    <w:pPr>
      <w:spacing w:line="240" w:lineRule="auto"/>
    </w:pPr>
    <w:rPr>
      <w:sz w:val="20"/>
      <w:szCs w:val="20"/>
    </w:rPr>
  </w:style>
  <w:style w:type="character" w:customStyle="1" w:styleId="CommentTextChar">
    <w:name w:val="Comment Text Char"/>
    <w:basedOn w:val="DefaultParagraphFont"/>
    <w:link w:val="CommentText"/>
    <w:uiPriority w:val="99"/>
    <w:semiHidden/>
    <w:rsid w:val="00034C0A"/>
    <w:rPr>
      <w:sz w:val="20"/>
      <w:szCs w:val="20"/>
    </w:rPr>
  </w:style>
  <w:style w:type="paragraph" w:styleId="CommentSubject">
    <w:name w:val="annotation subject"/>
    <w:basedOn w:val="CommentText"/>
    <w:next w:val="CommentText"/>
    <w:link w:val="CommentSubjectChar"/>
    <w:uiPriority w:val="99"/>
    <w:semiHidden/>
    <w:unhideWhenUsed/>
    <w:rsid w:val="00034C0A"/>
    <w:rPr>
      <w:b/>
      <w:bCs/>
    </w:rPr>
  </w:style>
  <w:style w:type="character" w:customStyle="1" w:styleId="CommentSubjectChar">
    <w:name w:val="Comment Subject Char"/>
    <w:basedOn w:val="CommentTextChar"/>
    <w:link w:val="CommentSubject"/>
    <w:uiPriority w:val="99"/>
    <w:semiHidden/>
    <w:rsid w:val="00034C0A"/>
    <w:rPr>
      <w:b/>
      <w:bCs/>
      <w:sz w:val="20"/>
      <w:szCs w:val="20"/>
    </w:rPr>
  </w:style>
  <w:style w:type="character" w:customStyle="1" w:styleId="Heading2Char">
    <w:name w:val="Heading 2 Char"/>
    <w:basedOn w:val="DefaultParagraphFont"/>
    <w:link w:val="Heading2"/>
    <w:uiPriority w:val="9"/>
    <w:rsid w:val="00C02461"/>
    <w:rPr>
      <w:rFonts w:asciiTheme="majorHAnsi" w:eastAsiaTheme="majorEastAsia" w:hAnsiTheme="majorHAnsi" w:cstheme="majorBidi"/>
      <w:color w:val="2E74B5" w:themeColor="accent1" w:themeShade="BF"/>
      <w:sz w:val="26"/>
      <w:szCs w:val="26"/>
    </w:rPr>
  </w:style>
  <w:style w:type="paragraph" w:customStyle="1" w:styleId="western">
    <w:name w:val="western"/>
    <w:basedOn w:val="Normal"/>
    <w:rsid w:val="00675A6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77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414">
      <w:bodyDiv w:val="1"/>
      <w:marLeft w:val="0"/>
      <w:marRight w:val="0"/>
      <w:marTop w:val="0"/>
      <w:marBottom w:val="0"/>
      <w:divBdr>
        <w:top w:val="none" w:sz="0" w:space="0" w:color="auto"/>
        <w:left w:val="none" w:sz="0" w:space="0" w:color="auto"/>
        <w:bottom w:val="none" w:sz="0" w:space="0" w:color="auto"/>
        <w:right w:val="none" w:sz="0" w:space="0" w:color="auto"/>
      </w:divBdr>
      <w:divsChild>
        <w:div w:id="151726745">
          <w:marLeft w:val="1871"/>
          <w:marRight w:val="0"/>
          <w:marTop w:val="120"/>
          <w:marBottom w:val="0"/>
          <w:divBdr>
            <w:top w:val="none" w:sz="0" w:space="0" w:color="auto"/>
            <w:left w:val="none" w:sz="0" w:space="0" w:color="auto"/>
            <w:bottom w:val="none" w:sz="0" w:space="0" w:color="auto"/>
            <w:right w:val="none" w:sz="0" w:space="0" w:color="auto"/>
          </w:divBdr>
        </w:div>
        <w:div w:id="275522805">
          <w:marLeft w:val="1871"/>
          <w:marRight w:val="0"/>
          <w:marTop w:val="120"/>
          <w:marBottom w:val="0"/>
          <w:divBdr>
            <w:top w:val="none" w:sz="0" w:space="0" w:color="auto"/>
            <w:left w:val="none" w:sz="0" w:space="0" w:color="auto"/>
            <w:bottom w:val="none" w:sz="0" w:space="0" w:color="auto"/>
            <w:right w:val="none" w:sz="0" w:space="0" w:color="auto"/>
          </w:divBdr>
        </w:div>
        <w:div w:id="314922605">
          <w:marLeft w:val="0"/>
          <w:marRight w:val="0"/>
          <w:marTop w:val="240"/>
          <w:marBottom w:val="24"/>
          <w:divBdr>
            <w:top w:val="single" w:sz="8" w:space="2" w:color="808080"/>
            <w:left w:val="none" w:sz="0" w:space="0" w:color="auto"/>
            <w:bottom w:val="none" w:sz="0" w:space="0" w:color="auto"/>
            <w:right w:val="none" w:sz="0" w:space="0" w:color="auto"/>
          </w:divBdr>
        </w:div>
        <w:div w:id="583496161">
          <w:marLeft w:val="1701"/>
          <w:marRight w:val="0"/>
          <w:marTop w:val="40"/>
          <w:marBottom w:val="0"/>
          <w:divBdr>
            <w:top w:val="none" w:sz="0" w:space="0" w:color="auto"/>
            <w:left w:val="none" w:sz="0" w:space="0" w:color="auto"/>
            <w:bottom w:val="none" w:sz="0" w:space="0" w:color="auto"/>
            <w:right w:val="none" w:sz="0" w:space="0" w:color="auto"/>
          </w:divBdr>
        </w:div>
        <w:div w:id="736828431">
          <w:marLeft w:val="1871"/>
          <w:marRight w:val="0"/>
          <w:marTop w:val="120"/>
          <w:marBottom w:val="0"/>
          <w:divBdr>
            <w:top w:val="none" w:sz="0" w:space="0" w:color="auto"/>
            <w:left w:val="none" w:sz="0" w:space="0" w:color="auto"/>
            <w:bottom w:val="none" w:sz="0" w:space="0" w:color="auto"/>
            <w:right w:val="none" w:sz="0" w:space="0" w:color="auto"/>
          </w:divBdr>
        </w:div>
        <w:div w:id="763116378">
          <w:marLeft w:val="1871"/>
          <w:marRight w:val="0"/>
          <w:marTop w:val="120"/>
          <w:marBottom w:val="0"/>
          <w:divBdr>
            <w:top w:val="none" w:sz="0" w:space="0" w:color="auto"/>
            <w:left w:val="none" w:sz="0" w:space="0" w:color="auto"/>
            <w:bottom w:val="none" w:sz="0" w:space="0" w:color="auto"/>
            <w:right w:val="none" w:sz="0" w:space="0" w:color="auto"/>
          </w:divBdr>
        </w:div>
        <w:div w:id="864556012">
          <w:marLeft w:val="1871"/>
          <w:marRight w:val="0"/>
          <w:marTop w:val="120"/>
          <w:marBottom w:val="0"/>
          <w:divBdr>
            <w:top w:val="none" w:sz="0" w:space="0" w:color="auto"/>
            <w:left w:val="none" w:sz="0" w:space="0" w:color="auto"/>
            <w:bottom w:val="none" w:sz="0" w:space="0" w:color="auto"/>
            <w:right w:val="none" w:sz="0" w:space="0" w:color="auto"/>
          </w:divBdr>
        </w:div>
        <w:div w:id="931400837">
          <w:marLeft w:val="1191"/>
          <w:marRight w:val="0"/>
          <w:marTop w:val="60"/>
          <w:marBottom w:val="0"/>
          <w:divBdr>
            <w:top w:val="none" w:sz="0" w:space="0" w:color="auto"/>
            <w:left w:val="none" w:sz="0" w:space="0" w:color="auto"/>
            <w:bottom w:val="none" w:sz="0" w:space="0" w:color="auto"/>
            <w:right w:val="none" w:sz="0" w:space="0" w:color="auto"/>
          </w:divBdr>
        </w:div>
        <w:div w:id="1096902723">
          <w:marLeft w:val="1871"/>
          <w:marRight w:val="0"/>
          <w:marTop w:val="120"/>
          <w:marBottom w:val="0"/>
          <w:divBdr>
            <w:top w:val="none" w:sz="0" w:space="0" w:color="auto"/>
            <w:left w:val="none" w:sz="0" w:space="0" w:color="auto"/>
            <w:bottom w:val="none" w:sz="0" w:space="0" w:color="auto"/>
            <w:right w:val="none" w:sz="0" w:space="0" w:color="auto"/>
          </w:divBdr>
        </w:div>
        <w:div w:id="1184397895">
          <w:marLeft w:val="1871"/>
          <w:marRight w:val="0"/>
          <w:marTop w:val="120"/>
          <w:marBottom w:val="0"/>
          <w:divBdr>
            <w:top w:val="none" w:sz="0" w:space="0" w:color="auto"/>
            <w:left w:val="none" w:sz="0" w:space="0" w:color="auto"/>
            <w:bottom w:val="none" w:sz="0" w:space="0" w:color="auto"/>
            <w:right w:val="none" w:sz="0" w:space="0" w:color="auto"/>
          </w:divBdr>
        </w:div>
        <w:div w:id="1202982247">
          <w:marLeft w:val="0"/>
          <w:marRight w:val="0"/>
          <w:marTop w:val="120"/>
          <w:marBottom w:val="0"/>
          <w:divBdr>
            <w:top w:val="none" w:sz="0" w:space="0" w:color="auto"/>
            <w:left w:val="none" w:sz="0" w:space="0" w:color="auto"/>
            <w:bottom w:val="none" w:sz="0" w:space="0" w:color="auto"/>
            <w:right w:val="none" w:sz="0" w:space="0" w:color="auto"/>
          </w:divBdr>
        </w:div>
        <w:div w:id="1412388801">
          <w:marLeft w:val="1871"/>
          <w:marRight w:val="0"/>
          <w:marTop w:val="120"/>
          <w:marBottom w:val="0"/>
          <w:divBdr>
            <w:top w:val="none" w:sz="0" w:space="0" w:color="auto"/>
            <w:left w:val="none" w:sz="0" w:space="0" w:color="auto"/>
            <w:bottom w:val="none" w:sz="0" w:space="0" w:color="auto"/>
            <w:right w:val="none" w:sz="0" w:space="0" w:color="auto"/>
          </w:divBdr>
        </w:div>
        <w:div w:id="1818839345">
          <w:marLeft w:val="1871"/>
          <w:marRight w:val="0"/>
          <w:marTop w:val="120"/>
          <w:marBottom w:val="0"/>
          <w:divBdr>
            <w:top w:val="none" w:sz="0" w:space="0" w:color="auto"/>
            <w:left w:val="none" w:sz="0" w:space="0" w:color="auto"/>
            <w:bottom w:val="none" w:sz="0" w:space="0" w:color="auto"/>
            <w:right w:val="none" w:sz="0" w:space="0" w:color="auto"/>
          </w:divBdr>
        </w:div>
        <w:div w:id="1830321295">
          <w:marLeft w:val="1871"/>
          <w:marRight w:val="0"/>
          <w:marTop w:val="120"/>
          <w:marBottom w:val="0"/>
          <w:divBdr>
            <w:top w:val="none" w:sz="0" w:space="0" w:color="auto"/>
            <w:left w:val="none" w:sz="0" w:space="0" w:color="auto"/>
            <w:bottom w:val="none" w:sz="0" w:space="0" w:color="auto"/>
            <w:right w:val="none" w:sz="0" w:space="0" w:color="auto"/>
          </w:divBdr>
        </w:div>
        <w:div w:id="1852572739">
          <w:marLeft w:val="1871"/>
          <w:marRight w:val="0"/>
          <w:marTop w:val="120"/>
          <w:marBottom w:val="0"/>
          <w:divBdr>
            <w:top w:val="none" w:sz="0" w:space="0" w:color="auto"/>
            <w:left w:val="none" w:sz="0" w:space="0" w:color="auto"/>
            <w:bottom w:val="none" w:sz="0" w:space="0" w:color="auto"/>
            <w:right w:val="none" w:sz="0" w:space="0" w:color="auto"/>
          </w:divBdr>
        </w:div>
        <w:div w:id="2068992666">
          <w:marLeft w:val="1701"/>
          <w:marRight w:val="0"/>
          <w:marTop w:val="40"/>
          <w:marBottom w:val="0"/>
          <w:divBdr>
            <w:top w:val="none" w:sz="0" w:space="0" w:color="auto"/>
            <w:left w:val="none" w:sz="0" w:space="0" w:color="auto"/>
            <w:bottom w:val="none" w:sz="0" w:space="0" w:color="auto"/>
            <w:right w:val="none" w:sz="0" w:space="0" w:color="auto"/>
          </w:divBdr>
        </w:div>
        <w:div w:id="2084177772">
          <w:marLeft w:val="1871"/>
          <w:marRight w:val="0"/>
          <w:marTop w:val="120"/>
          <w:marBottom w:val="0"/>
          <w:divBdr>
            <w:top w:val="none" w:sz="0" w:space="0" w:color="auto"/>
            <w:left w:val="none" w:sz="0" w:space="0" w:color="auto"/>
            <w:bottom w:val="none" w:sz="0" w:space="0" w:color="auto"/>
            <w:right w:val="none" w:sz="0" w:space="0" w:color="auto"/>
          </w:divBdr>
        </w:div>
      </w:divsChild>
    </w:div>
    <w:div w:id="50740419">
      <w:bodyDiv w:val="1"/>
      <w:marLeft w:val="0"/>
      <w:marRight w:val="0"/>
      <w:marTop w:val="0"/>
      <w:marBottom w:val="0"/>
      <w:divBdr>
        <w:top w:val="none" w:sz="0" w:space="0" w:color="auto"/>
        <w:left w:val="none" w:sz="0" w:space="0" w:color="auto"/>
        <w:bottom w:val="none" w:sz="0" w:space="0" w:color="auto"/>
        <w:right w:val="none" w:sz="0" w:space="0" w:color="auto"/>
      </w:divBdr>
    </w:div>
    <w:div w:id="153839501">
      <w:bodyDiv w:val="1"/>
      <w:marLeft w:val="0"/>
      <w:marRight w:val="0"/>
      <w:marTop w:val="0"/>
      <w:marBottom w:val="0"/>
      <w:divBdr>
        <w:top w:val="none" w:sz="0" w:space="0" w:color="auto"/>
        <w:left w:val="none" w:sz="0" w:space="0" w:color="auto"/>
        <w:bottom w:val="none" w:sz="0" w:space="0" w:color="auto"/>
        <w:right w:val="none" w:sz="0" w:space="0" w:color="auto"/>
      </w:divBdr>
    </w:div>
    <w:div w:id="283004584">
      <w:bodyDiv w:val="1"/>
      <w:marLeft w:val="0"/>
      <w:marRight w:val="0"/>
      <w:marTop w:val="0"/>
      <w:marBottom w:val="0"/>
      <w:divBdr>
        <w:top w:val="none" w:sz="0" w:space="0" w:color="auto"/>
        <w:left w:val="none" w:sz="0" w:space="0" w:color="auto"/>
        <w:bottom w:val="none" w:sz="0" w:space="0" w:color="auto"/>
        <w:right w:val="none" w:sz="0" w:space="0" w:color="auto"/>
      </w:divBdr>
    </w:div>
    <w:div w:id="338510470">
      <w:bodyDiv w:val="1"/>
      <w:marLeft w:val="0"/>
      <w:marRight w:val="0"/>
      <w:marTop w:val="0"/>
      <w:marBottom w:val="0"/>
      <w:divBdr>
        <w:top w:val="none" w:sz="0" w:space="0" w:color="auto"/>
        <w:left w:val="none" w:sz="0" w:space="0" w:color="auto"/>
        <w:bottom w:val="none" w:sz="0" w:space="0" w:color="auto"/>
        <w:right w:val="none" w:sz="0" w:space="0" w:color="auto"/>
      </w:divBdr>
    </w:div>
    <w:div w:id="347340824">
      <w:bodyDiv w:val="1"/>
      <w:marLeft w:val="0"/>
      <w:marRight w:val="0"/>
      <w:marTop w:val="0"/>
      <w:marBottom w:val="0"/>
      <w:divBdr>
        <w:top w:val="none" w:sz="0" w:space="0" w:color="auto"/>
        <w:left w:val="none" w:sz="0" w:space="0" w:color="auto"/>
        <w:bottom w:val="none" w:sz="0" w:space="0" w:color="auto"/>
        <w:right w:val="none" w:sz="0" w:space="0" w:color="auto"/>
      </w:divBdr>
      <w:divsChild>
        <w:div w:id="413669985">
          <w:marLeft w:val="0"/>
          <w:marRight w:val="0"/>
          <w:marTop w:val="120"/>
          <w:marBottom w:val="0"/>
          <w:divBdr>
            <w:top w:val="none" w:sz="0" w:space="0" w:color="auto"/>
            <w:left w:val="none" w:sz="0" w:space="0" w:color="auto"/>
            <w:bottom w:val="none" w:sz="0" w:space="0" w:color="auto"/>
            <w:right w:val="none" w:sz="0" w:space="0" w:color="auto"/>
          </w:divBdr>
        </w:div>
      </w:divsChild>
    </w:div>
    <w:div w:id="362677744">
      <w:bodyDiv w:val="1"/>
      <w:marLeft w:val="0"/>
      <w:marRight w:val="0"/>
      <w:marTop w:val="0"/>
      <w:marBottom w:val="0"/>
      <w:divBdr>
        <w:top w:val="none" w:sz="0" w:space="0" w:color="auto"/>
        <w:left w:val="none" w:sz="0" w:space="0" w:color="auto"/>
        <w:bottom w:val="none" w:sz="0" w:space="0" w:color="auto"/>
        <w:right w:val="none" w:sz="0" w:space="0" w:color="auto"/>
      </w:divBdr>
      <w:divsChild>
        <w:div w:id="741873065">
          <w:marLeft w:val="1871"/>
          <w:marRight w:val="0"/>
          <w:marTop w:val="120"/>
          <w:marBottom w:val="0"/>
          <w:divBdr>
            <w:top w:val="none" w:sz="0" w:space="0" w:color="auto"/>
            <w:left w:val="none" w:sz="0" w:space="0" w:color="auto"/>
            <w:bottom w:val="none" w:sz="0" w:space="0" w:color="auto"/>
            <w:right w:val="none" w:sz="0" w:space="0" w:color="auto"/>
          </w:divBdr>
        </w:div>
        <w:div w:id="945042493">
          <w:marLeft w:val="1871"/>
          <w:marRight w:val="0"/>
          <w:marTop w:val="120"/>
          <w:marBottom w:val="0"/>
          <w:divBdr>
            <w:top w:val="none" w:sz="0" w:space="0" w:color="auto"/>
            <w:left w:val="none" w:sz="0" w:space="0" w:color="auto"/>
            <w:bottom w:val="none" w:sz="0" w:space="0" w:color="auto"/>
            <w:right w:val="none" w:sz="0" w:space="0" w:color="auto"/>
          </w:divBdr>
        </w:div>
        <w:div w:id="993948586">
          <w:marLeft w:val="1871"/>
          <w:marRight w:val="0"/>
          <w:marTop w:val="120"/>
          <w:marBottom w:val="0"/>
          <w:divBdr>
            <w:top w:val="none" w:sz="0" w:space="0" w:color="auto"/>
            <w:left w:val="none" w:sz="0" w:space="0" w:color="auto"/>
            <w:bottom w:val="none" w:sz="0" w:space="0" w:color="auto"/>
            <w:right w:val="none" w:sz="0" w:space="0" w:color="auto"/>
          </w:divBdr>
        </w:div>
        <w:div w:id="998074827">
          <w:marLeft w:val="1191"/>
          <w:marRight w:val="0"/>
          <w:marTop w:val="60"/>
          <w:marBottom w:val="0"/>
          <w:divBdr>
            <w:top w:val="none" w:sz="0" w:space="0" w:color="auto"/>
            <w:left w:val="none" w:sz="0" w:space="0" w:color="auto"/>
            <w:bottom w:val="none" w:sz="0" w:space="0" w:color="auto"/>
            <w:right w:val="none" w:sz="0" w:space="0" w:color="auto"/>
          </w:divBdr>
        </w:div>
        <w:div w:id="1292831396">
          <w:marLeft w:val="1871"/>
          <w:marRight w:val="0"/>
          <w:marTop w:val="120"/>
          <w:marBottom w:val="0"/>
          <w:divBdr>
            <w:top w:val="none" w:sz="0" w:space="0" w:color="auto"/>
            <w:left w:val="none" w:sz="0" w:space="0" w:color="auto"/>
            <w:bottom w:val="none" w:sz="0" w:space="0" w:color="auto"/>
            <w:right w:val="none" w:sz="0" w:space="0" w:color="auto"/>
          </w:divBdr>
        </w:div>
        <w:div w:id="1622999122">
          <w:marLeft w:val="1871"/>
          <w:marRight w:val="0"/>
          <w:marTop w:val="120"/>
          <w:marBottom w:val="0"/>
          <w:divBdr>
            <w:top w:val="none" w:sz="0" w:space="0" w:color="auto"/>
            <w:left w:val="none" w:sz="0" w:space="0" w:color="auto"/>
            <w:bottom w:val="none" w:sz="0" w:space="0" w:color="auto"/>
            <w:right w:val="none" w:sz="0" w:space="0" w:color="auto"/>
          </w:divBdr>
        </w:div>
      </w:divsChild>
    </w:div>
    <w:div w:id="371654969">
      <w:bodyDiv w:val="1"/>
      <w:marLeft w:val="0"/>
      <w:marRight w:val="0"/>
      <w:marTop w:val="0"/>
      <w:marBottom w:val="0"/>
      <w:divBdr>
        <w:top w:val="none" w:sz="0" w:space="0" w:color="auto"/>
        <w:left w:val="none" w:sz="0" w:space="0" w:color="auto"/>
        <w:bottom w:val="none" w:sz="0" w:space="0" w:color="auto"/>
        <w:right w:val="none" w:sz="0" w:space="0" w:color="auto"/>
      </w:divBdr>
    </w:div>
    <w:div w:id="398136246">
      <w:bodyDiv w:val="1"/>
      <w:marLeft w:val="0"/>
      <w:marRight w:val="0"/>
      <w:marTop w:val="0"/>
      <w:marBottom w:val="0"/>
      <w:divBdr>
        <w:top w:val="none" w:sz="0" w:space="0" w:color="auto"/>
        <w:left w:val="none" w:sz="0" w:space="0" w:color="auto"/>
        <w:bottom w:val="none" w:sz="0" w:space="0" w:color="auto"/>
        <w:right w:val="none" w:sz="0" w:space="0" w:color="auto"/>
      </w:divBdr>
    </w:div>
    <w:div w:id="429275150">
      <w:bodyDiv w:val="1"/>
      <w:marLeft w:val="0"/>
      <w:marRight w:val="0"/>
      <w:marTop w:val="0"/>
      <w:marBottom w:val="0"/>
      <w:divBdr>
        <w:top w:val="none" w:sz="0" w:space="0" w:color="auto"/>
        <w:left w:val="none" w:sz="0" w:space="0" w:color="auto"/>
        <w:bottom w:val="none" w:sz="0" w:space="0" w:color="auto"/>
        <w:right w:val="none" w:sz="0" w:space="0" w:color="auto"/>
      </w:divBdr>
      <w:divsChild>
        <w:div w:id="1425951949">
          <w:marLeft w:val="0"/>
          <w:marRight w:val="0"/>
          <w:marTop w:val="120"/>
          <w:marBottom w:val="0"/>
          <w:divBdr>
            <w:top w:val="none" w:sz="0" w:space="0" w:color="auto"/>
            <w:left w:val="none" w:sz="0" w:space="0" w:color="auto"/>
            <w:bottom w:val="none" w:sz="0" w:space="0" w:color="auto"/>
            <w:right w:val="none" w:sz="0" w:space="0" w:color="auto"/>
          </w:divBdr>
        </w:div>
        <w:div w:id="2084520038">
          <w:marLeft w:val="0"/>
          <w:marRight w:val="0"/>
          <w:marTop w:val="0"/>
          <w:marBottom w:val="0"/>
          <w:divBdr>
            <w:top w:val="none" w:sz="0" w:space="0" w:color="auto"/>
            <w:left w:val="none" w:sz="0" w:space="0" w:color="auto"/>
            <w:bottom w:val="none" w:sz="0" w:space="0" w:color="auto"/>
            <w:right w:val="none" w:sz="0" w:space="0" w:color="auto"/>
          </w:divBdr>
        </w:div>
      </w:divsChild>
    </w:div>
    <w:div w:id="498078715">
      <w:bodyDiv w:val="1"/>
      <w:marLeft w:val="0"/>
      <w:marRight w:val="0"/>
      <w:marTop w:val="0"/>
      <w:marBottom w:val="0"/>
      <w:divBdr>
        <w:top w:val="none" w:sz="0" w:space="0" w:color="auto"/>
        <w:left w:val="none" w:sz="0" w:space="0" w:color="auto"/>
        <w:bottom w:val="none" w:sz="0" w:space="0" w:color="auto"/>
        <w:right w:val="none" w:sz="0" w:space="0" w:color="auto"/>
      </w:divBdr>
    </w:div>
    <w:div w:id="513957803">
      <w:bodyDiv w:val="1"/>
      <w:marLeft w:val="0"/>
      <w:marRight w:val="0"/>
      <w:marTop w:val="0"/>
      <w:marBottom w:val="0"/>
      <w:divBdr>
        <w:top w:val="none" w:sz="0" w:space="0" w:color="auto"/>
        <w:left w:val="none" w:sz="0" w:space="0" w:color="auto"/>
        <w:bottom w:val="none" w:sz="0" w:space="0" w:color="auto"/>
        <w:right w:val="none" w:sz="0" w:space="0" w:color="auto"/>
      </w:divBdr>
    </w:div>
    <w:div w:id="806163345">
      <w:bodyDiv w:val="1"/>
      <w:marLeft w:val="0"/>
      <w:marRight w:val="0"/>
      <w:marTop w:val="0"/>
      <w:marBottom w:val="0"/>
      <w:divBdr>
        <w:top w:val="none" w:sz="0" w:space="0" w:color="auto"/>
        <w:left w:val="none" w:sz="0" w:space="0" w:color="auto"/>
        <w:bottom w:val="none" w:sz="0" w:space="0" w:color="auto"/>
        <w:right w:val="none" w:sz="0" w:space="0" w:color="auto"/>
      </w:divBdr>
      <w:divsChild>
        <w:div w:id="1469123853">
          <w:marLeft w:val="0"/>
          <w:marRight w:val="0"/>
          <w:marTop w:val="120"/>
          <w:marBottom w:val="0"/>
          <w:divBdr>
            <w:top w:val="none" w:sz="0" w:space="0" w:color="auto"/>
            <w:left w:val="none" w:sz="0" w:space="0" w:color="auto"/>
            <w:bottom w:val="none" w:sz="0" w:space="0" w:color="auto"/>
            <w:right w:val="none" w:sz="0" w:space="0" w:color="auto"/>
          </w:divBdr>
        </w:div>
      </w:divsChild>
    </w:div>
    <w:div w:id="930816813">
      <w:bodyDiv w:val="1"/>
      <w:marLeft w:val="0"/>
      <w:marRight w:val="0"/>
      <w:marTop w:val="0"/>
      <w:marBottom w:val="0"/>
      <w:divBdr>
        <w:top w:val="none" w:sz="0" w:space="0" w:color="auto"/>
        <w:left w:val="none" w:sz="0" w:space="0" w:color="auto"/>
        <w:bottom w:val="none" w:sz="0" w:space="0" w:color="auto"/>
        <w:right w:val="none" w:sz="0" w:space="0" w:color="auto"/>
      </w:divBdr>
      <w:divsChild>
        <w:div w:id="1295402111">
          <w:marLeft w:val="0"/>
          <w:marRight w:val="0"/>
          <w:marTop w:val="120"/>
          <w:marBottom w:val="0"/>
          <w:divBdr>
            <w:top w:val="none" w:sz="0" w:space="0" w:color="auto"/>
            <w:left w:val="none" w:sz="0" w:space="0" w:color="auto"/>
            <w:bottom w:val="none" w:sz="0" w:space="0" w:color="auto"/>
            <w:right w:val="none" w:sz="0" w:space="0" w:color="auto"/>
          </w:divBdr>
        </w:div>
        <w:div w:id="1318730889">
          <w:marLeft w:val="567"/>
          <w:marRight w:val="0"/>
          <w:marTop w:val="60"/>
          <w:marBottom w:val="0"/>
          <w:divBdr>
            <w:top w:val="none" w:sz="0" w:space="0" w:color="auto"/>
            <w:left w:val="none" w:sz="0" w:space="0" w:color="auto"/>
            <w:bottom w:val="none" w:sz="0" w:space="0" w:color="auto"/>
            <w:right w:val="none" w:sz="0" w:space="0" w:color="auto"/>
          </w:divBdr>
        </w:div>
        <w:div w:id="1763838458">
          <w:marLeft w:val="0"/>
          <w:marRight w:val="0"/>
          <w:marTop w:val="120"/>
          <w:marBottom w:val="0"/>
          <w:divBdr>
            <w:top w:val="none" w:sz="0" w:space="0" w:color="auto"/>
            <w:left w:val="none" w:sz="0" w:space="0" w:color="auto"/>
            <w:bottom w:val="none" w:sz="0" w:space="0" w:color="auto"/>
            <w:right w:val="none" w:sz="0" w:space="0" w:color="auto"/>
          </w:divBdr>
        </w:div>
      </w:divsChild>
    </w:div>
    <w:div w:id="956065746">
      <w:bodyDiv w:val="1"/>
      <w:marLeft w:val="0"/>
      <w:marRight w:val="0"/>
      <w:marTop w:val="0"/>
      <w:marBottom w:val="0"/>
      <w:divBdr>
        <w:top w:val="none" w:sz="0" w:space="0" w:color="auto"/>
        <w:left w:val="none" w:sz="0" w:space="0" w:color="auto"/>
        <w:bottom w:val="none" w:sz="0" w:space="0" w:color="auto"/>
        <w:right w:val="none" w:sz="0" w:space="0" w:color="auto"/>
      </w:divBdr>
    </w:div>
    <w:div w:id="1001662300">
      <w:bodyDiv w:val="1"/>
      <w:marLeft w:val="0"/>
      <w:marRight w:val="0"/>
      <w:marTop w:val="0"/>
      <w:marBottom w:val="0"/>
      <w:divBdr>
        <w:top w:val="none" w:sz="0" w:space="0" w:color="auto"/>
        <w:left w:val="none" w:sz="0" w:space="0" w:color="auto"/>
        <w:bottom w:val="none" w:sz="0" w:space="0" w:color="auto"/>
        <w:right w:val="none" w:sz="0" w:space="0" w:color="auto"/>
      </w:divBdr>
    </w:div>
    <w:div w:id="1270623744">
      <w:bodyDiv w:val="1"/>
      <w:marLeft w:val="0"/>
      <w:marRight w:val="0"/>
      <w:marTop w:val="0"/>
      <w:marBottom w:val="0"/>
      <w:divBdr>
        <w:top w:val="none" w:sz="0" w:space="0" w:color="auto"/>
        <w:left w:val="none" w:sz="0" w:space="0" w:color="auto"/>
        <w:bottom w:val="none" w:sz="0" w:space="0" w:color="auto"/>
        <w:right w:val="none" w:sz="0" w:space="0" w:color="auto"/>
      </w:divBdr>
    </w:div>
    <w:div w:id="1343312756">
      <w:bodyDiv w:val="1"/>
      <w:marLeft w:val="0"/>
      <w:marRight w:val="0"/>
      <w:marTop w:val="0"/>
      <w:marBottom w:val="0"/>
      <w:divBdr>
        <w:top w:val="none" w:sz="0" w:space="0" w:color="auto"/>
        <w:left w:val="none" w:sz="0" w:space="0" w:color="auto"/>
        <w:bottom w:val="none" w:sz="0" w:space="0" w:color="auto"/>
        <w:right w:val="none" w:sz="0" w:space="0" w:color="auto"/>
      </w:divBdr>
    </w:div>
    <w:div w:id="1707365090">
      <w:bodyDiv w:val="1"/>
      <w:marLeft w:val="0"/>
      <w:marRight w:val="0"/>
      <w:marTop w:val="0"/>
      <w:marBottom w:val="0"/>
      <w:divBdr>
        <w:top w:val="none" w:sz="0" w:space="0" w:color="auto"/>
        <w:left w:val="none" w:sz="0" w:space="0" w:color="auto"/>
        <w:bottom w:val="none" w:sz="0" w:space="0" w:color="auto"/>
        <w:right w:val="none" w:sz="0" w:space="0" w:color="auto"/>
      </w:divBdr>
      <w:divsChild>
        <w:div w:id="571163439">
          <w:marLeft w:val="1871"/>
          <w:marRight w:val="0"/>
          <w:marTop w:val="120"/>
          <w:marBottom w:val="0"/>
          <w:divBdr>
            <w:top w:val="none" w:sz="0" w:space="0" w:color="auto"/>
            <w:left w:val="none" w:sz="0" w:space="0" w:color="auto"/>
            <w:bottom w:val="none" w:sz="0" w:space="0" w:color="auto"/>
            <w:right w:val="none" w:sz="0" w:space="0" w:color="auto"/>
          </w:divBdr>
        </w:div>
        <w:div w:id="1288851285">
          <w:marLeft w:val="1871"/>
          <w:marRight w:val="0"/>
          <w:marTop w:val="120"/>
          <w:marBottom w:val="0"/>
          <w:divBdr>
            <w:top w:val="none" w:sz="0" w:space="0" w:color="auto"/>
            <w:left w:val="none" w:sz="0" w:space="0" w:color="auto"/>
            <w:bottom w:val="none" w:sz="0" w:space="0" w:color="auto"/>
            <w:right w:val="none" w:sz="0" w:space="0" w:color="auto"/>
          </w:divBdr>
        </w:div>
        <w:div w:id="1670984219">
          <w:marLeft w:val="1871"/>
          <w:marRight w:val="0"/>
          <w:marTop w:val="120"/>
          <w:marBottom w:val="0"/>
          <w:divBdr>
            <w:top w:val="none" w:sz="0" w:space="0" w:color="auto"/>
            <w:left w:val="none" w:sz="0" w:space="0" w:color="auto"/>
            <w:bottom w:val="none" w:sz="0" w:space="0" w:color="auto"/>
            <w:right w:val="none" w:sz="0" w:space="0" w:color="auto"/>
          </w:divBdr>
        </w:div>
        <w:div w:id="1837115671">
          <w:marLeft w:val="1871"/>
          <w:marRight w:val="0"/>
          <w:marTop w:val="120"/>
          <w:marBottom w:val="0"/>
          <w:divBdr>
            <w:top w:val="none" w:sz="0" w:space="0" w:color="auto"/>
            <w:left w:val="none" w:sz="0" w:space="0" w:color="auto"/>
            <w:bottom w:val="none" w:sz="0" w:space="0" w:color="auto"/>
            <w:right w:val="none" w:sz="0" w:space="0" w:color="auto"/>
          </w:divBdr>
        </w:div>
      </w:divsChild>
    </w:div>
    <w:div w:id="1718044730">
      <w:bodyDiv w:val="1"/>
      <w:marLeft w:val="0"/>
      <w:marRight w:val="0"/>
      <w:marTop w:val="0"/>
      <w:marBottom w:val="0"/>
      <w:divBdr>
        <w:top w:val="none" w:sz="0" w:space="0" w:color="auto"/>
        <w:left w:val="none" w:sz="0" w:space="0" w:color="auto"/>
        <w:bottom w:val="none" w:sz="0" w:space="0" w:color="auto"/>
        <w:right w:val="none" w:sz="0" w:space="0" w:color="auto"/>
      </w:divBdr>
    </w:div>
    <w:div w:id="1766224386">
      <w:bodyDiv w:val="1"/>
      <w:marLeft w:val="0"/>
      <w:marRight w:val="0"/>
      <w:marTop w:val="0"/>
      <w:marBottom w:val="0"/>
      <w:divBdr>
        <w:top w:val="none" w:sz="0" w:space="0" w:color="auto"/>
        <w:left w:val="none" w:sz="0" w:space="0" w:color="auto"/>
        <w:bottom w:val="none" w:sz="0" w:space="0" w:color="auto"/>
        <w:right w:val="none" w:sz="0" w:space="0" w:color="auto"/>
      </w:divBdr>
      <w:divsChild>
        <w:div w:id="387917604">
          <w:marLeft w:val="1134"/>
          <w:marRight w:val="0"/>
          <w:marTop w:val="60"/>
          <w:marBottom w:val="0"/>
          <w:divBdr>
            <w:top w:val="none" w:sz="0" w:space="0" w:color="auto"/>
            <w:left w:val="none" w:sz="0" w:space="0" w:color="auto"/>
            <w:bottom w:val="none" w:sz="0" w:space="0" w:color="auto"/>
            <w:right w:val="none" w:sz="0" w:space="0" w:color="auto"/>
          </w:divBdr>
        </w:div>
        <w:div w:id="741025160">
          <w:marLeft w:val="1134"/>
          <w:marRight w:val="0"/>
          <w:marTop w:val="60"/>
          <w:marBottom w:val="0"/>
          <w:divBdr>
            <w:top w:val="none" w:sz="0" w:space="0" w:color="auto"/>
            <w:left w:val="none" w:sz="0" w:space="0" w:color="auto"/>
            <w:bottom w:val="none" w:sz="0" w:space="0" w:color="auto"/>
            <w:right w:val="none" w:sz="0" w:space="0" w:color="auto"/>
          </w:divBdr>
        </w:div>
        <w:div w:id="1401755652">
          <w:marLeft w:val="1134"/>
          <w:marRight w:val="0"/>
          <w:marTop w:val="60"/>
          <w:marBottom w:val="0"/>
          <w:divBdr>
            <w:top w:val="none" w:sz="0" w:space="0" w:color="auto"/>
            <w:left w:val="none" w:sz="0" w:space="0" w:color="auto"/>
            <w:bottom w:val="none" w:sz="0" w:space="0" w:color="auto"/>
            <w:right w:val="none" w:sz="0" w:space="0" w:color="auto"/>
          </w:divBdr>
        </w:div>
        <w:div w:id="1790009718">
          <w:marLeft w:val="0"/>
          <w:marRight w:val="0"/>
          <w:marTop w:val="120"/>
          <w:marBottom w:val="0"/>
          <w:divBdr>
            <w:top w:val="none" w:sz="0" w:space="0" w:color="auto"/>
            <w:left w:val="none" w:sz="0" w:space="0" w:color="auto"/>
            <w:bottom w:val="none" w:sz="0" w:space="0" w:color="auto"/>
            <w:right w:val="none" w:sz="0" w:space="0" w:color="auto"/>
          </w:divBdr>
        </w:div>
      </w:divsChild>
    </w:div>
    <w:div w:id="2066172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0%20%284%29%20SA%20746" TargetMode="External"/><Relationship Id="rId2" Type="http://schemas.openxmlformats.org/officeDocument/2006/relationships/hyperlink" Target="http://www.saflii.org/cgi-bin/LawCite?cit=1993%20%281%29%20SA%20523" TargetMode="External"/><Relationship Id="rId1" Type="http://schemas.openxmlformats.org/officeDocument/2006/relationships/hyperlink" Target="http://www.saflii.org/cgi-bin/LawCite?cit=1916%20TPD%2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1508-7E64-4FE4-B600-0D4426B8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Mokone</cp:lastModifiedBy>
  <cp:revision>2</cp:revision>
  <cp:lastPrinted>2023-04-14T06:21:00Z</cp:lastPrinted>
  <dcterms:created xsi:type="dcterms:W3CDTF">2023-04-14T10:11:00Z</dcterms:created>
  <dcterms:modified xsi:type="dcterms:W3CDTF">2023-04-14T10:11:00Z</dcterms:modified>
</cp:coreProperties>
</file>