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30250" w14:textId="77777777" w:rsidR="00ED7805" w:rsidRDefault="00ED7805" w:rsidP="00D779D5">
      <w:pPr>
        <w:spacing w:line="360" w:lineRule="auto"/>
        <w:jc w:val="both"/>
        <w:rPr>
          <w:rFonts w:ascii="Arial" w:hAnsi="Arial" w:cs="Arial"/>
          <w:sz w:val="24"/>
          <w:szCs w:val="24"/>
          <w:lang w:val="en-GB"/>
        </w:rPr>
      </w:pPr>
      <w:bookmarkStart w:id="0" w:name="_GoBack"/>
      <w:bookmarkEnd w:id="0"/>
    </w:p>
    <w:p w14:paraId="35D74247" w14:textId="3A2E8BB9" w:rsidR="00414F42" w:rsidRPr="00507C65" w:rsidRDefault="00414F42" w:rsidP="00D779D5">
      <w:pPr>
        <w:spacing w:line="360" w:lineRule="auto"/>
        <w:jc w:val="both"/>
        <w:rPr>
          <w:rFonts w:ascii="Arial" w:hAnsi="Arial" w:cs="Arial"/>
          <w:sz w:val="24"/>
          <w:szCs w:val="24"/>
          <w:lang w:val="en-GB"/>
        </w:rPr>
      </w:pPr>
      <w:r w:rsidRPr="00507C65">
        <w:rPr>
          <w:rFonts w:ascii="Arial" w:hAnsi="Arial" w:cs="Arial"/>
          <w:noProof/>
          <w:sz w:val="24"/>
          <w:szCs w:val="24"/>
          <w:lang w:val="en-US"/>
        </w:rPr>
        <w:drawing>
          <wp:anchor distT="0" distB="0" distL="114300" distR="114300" simplePos="0" relativeHeight="251659264" behindDoc="0" locked="0" layoutInCell="1" allowOverlap="1" wp14:anchorId="3CABD3D0" wp14:editId="26E9AE34">
            <wp:simplePos x="0" y="0"/>
            <wp:positionH relativeFrom="column">
              <wp:posOffset>2427605</wp:posOffset>
            </wp:positionH>
            <wp:positionV relativeFrom="paragraph">
              <wp:posOffset>231775</wp:posOffset>
            </wp:positionV>
            <wp:extent cx="800100" cy="914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66EF1" w14:textId="77777777" w:rsidR="00414F42" w:rsidRPr="00507C65" w:rsidRDefault="00414F42" w:rsidP="00D779D5">
      <w:pPr>
        <w:spacing w:line="360" w:lineRule="auto"/>
        <w:jc w:val="both"/>
        <w:rPr>
          <w:rFonts w:ascii="Arial" w:hAnsi="Arial" w:cs="Arial"/>
          <w:sz w:val="24"/>
          <w:szCs w:val="24"/>
          <w:lang w:val="en-GB"/>
        </w:rPr>
      </w:pPr>
    </w:p>
    <w:p w14:paraId="5DAAE286" w14:textId="77777777" w:rsidR="00414F42" w:rsidRPr="00507C65" w:rsidRDefault="00414F42" w:rsidP="00D779D5">
      <w:pPr>
        <w:spacing w:line="360" w:lineRule="auto"/>
        <w:jc w:val="both"/>
        <w:rPr>
          <w:rFonts w:ascii="Arial" w:hAnsi="Arial" w:cs="Arial"/>
          <w:b/>
          <w:bCs/>
          <w:sz w:val="24"/>
          <w:szCs w:val="24"/>
          <w:lang w:val="en-GB"/>
        </w:rPr>
      </w:pPr>
    </w:p>
    <w:p w14:paraId="7FC119C0" w14:textId="77777777" w:rsidR="00414F42" w:rsidRPr="00507C65" w:rsidRDefault="00414F42" w:rsidP="00D779D5">
      <w:pPr>
        <w:spacing w:line="360" w:lineRule="auto"/>
        <w:jc w:val="both"/>
        <w:rPr>
          <w:rFonts w:ascii="Arial" w:hAnsi="Arial" w:cs="Arial"/>
          <w:b/>
          <w:bCs/>
          <w:sz w:val="24"/>
          <w:szCs w:val="24"/>
          <w:lang w:val="en-GB"/>
        </w:rPr>
      </w:pPr>
    </w:p>
    <w:p w14:paraId="2E05CA3F" w14:textId="77777777" w:rsidR="00414F42" w:rsidRPr="00507C65" w:rsidRDefault="00414F42" w:rsidP="00D779D5">
      <w:pPr>
        <w:spacing w:line="360" w:lineRule="auto"/>
        <w:jc w:val="center"/>
        <w:rPr>
          <w:rFonts w:ascii="Arial" w:hAnsi="Arial" w:cs="Arial"/>
          <w:b/>
          <w:bCs/>
          <w:sz w:val="24"/>
          <w:szCs w:val="24"/>
          <w:lang w:val="en-GB"/>
        </w:rPr>
      </w:pPr>
      <w:r w:rsidRPr="00507C65">
        <w:rPr>
          <w:rFonts w:ascii="Arial" w:hAnsi="Arial" w:cs="Arial"/>
          <w:b/>
          <w:bCs/>
          <w:sz w:val="24"/>
          <w:szCs w:val="24"/>
          <w:lang w:val="en-GB"/>
        </w:rPr>
        <w:t>THE SUPREME COURT OF APPEAL OF SOUTH AFRICA</w:t>
      </w:r>
    </w:p>
    <w:p w14:paraId="452C852E" w14:textId="37098868" w:rsidR="009C14D0" w:rsidRPr="00507C65" w:rsidRDefault="00414F42" w:rsidP="009C14D0">
      <w:pPr>
        <w:spacing w:line="360" w:lineRule="auto"/>
        <w:jc w:val="center"/>
        <w:rPr>
          <w:rFonts w:ascii="Arial" w:hAnsi="Arial" w:cs="Arial"/>
          <w:b/>
          <w:sz w:val="24"/>
          <w:szCs w:val="24"/>
          <w:lang w:val="en-GB"/>
        </w:rPr>
      </w:pPr>
      <w:r w:rsidRPr="00507C65">
        <w:rPr>
          <w:rFonts w:ascii="Arial" w:hAnsi="Arial" w:cs="Arial"/>
          <w:b/>
          <w:sz w:val="24"/>
          <w:szCs w:val="24"/>
          <w:lang w:val="en-GB"/>
        </w:rPr>
        <w:t>JUDGMENT</w:t>
      </w:r>
    </w:p>
    <w:p w14:paraId="0098A09E" w14:textId="51DF3455" w:rsidR="00414F42" w:rsidRPr="00507C65" w:rsidRDefault="00414F42" w:rsidP="00D779D5">
      <w:pPr>
        <w:spacing w:line="360" w:lineRule="auto"/>
        <w:jc w:val="both"/>
        <w:rPr>
          <w:rFonts w:ascii="Arial" w:hAnsi="Arial" w:cs="Arial"/>
          <w:b/>
          <w:sz w:val="24"/>
          <w:szCs w:val="24"/>
        </w:rPr>
      </w:pP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t xml:space="preserve">      </w:t>
      </w:r>
      <w:r w:rsidR="007C52E9" w:rsidRPr="00507C65">
        <w:rPr>
          <w:rFonts w:ascii="Arial" w:hAnsi="Arial" w:cs="Arial"/>
          <w:b/>
          <w:sz w:val="24"/>
          <w:szCs w:val="24"/>
        </w:rPr>
        <w:tab/>
        <w:t xml:space="preserve">   </w:t>
      </w:r>
      <w:r w:rsidR="00C22A0B">
        <w:rPr>
          <w:rFonts w:ascii="Arial" w:hAnsi="Arial" w:cs="Arial"/>
          <w:b/>
          <w:sz w:val="24"/>
          <w:szCs w:val="24"/>
        </w:rPr>
        <w:t xml:space="preserve">                           </w:t>
      </w:r>
      <w:r w:rsidRPr="00507C65">
        <w:rPr>
          <w:rFonts w:ascii="Arial" w:hAnsi="Arial" w:cs="Arial"/>
          <w:b/>
          <w:sz w:val="24"/>
          <w:szCs w:val="24"/>
        </w:rPr>
        <w:t>Reportable</w:t>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t xml:space="preserve"> </w:t>
      </w:r>
      <w:r w:rsidRPr="00507C65">
        <w:rPr>
          <w:rFonts w:ascii="Arial" w:hAnsi="Arial" w:cs="Arial"/>
          <w:sz w:val="24"/>
          <w:szCs w:val="24"/>
        </w:rPr>
        <w:tab/>
      </w:r>
      <w:r w:rsidRPr="00507C65">
        <w:rPr>
          <w:rFonts w:ascii="Arial" w:hAnsi="Arial" w:cs="Arial"/>
          <w:sz w:val="24"/>
          <w:szCs w:val="24"/>
        </w:rPr>
        <w:tab/>
        <w:t xml:space="preserve">       Case No:</w:t>
      </w:r>
      <w:r w:rsidR="00B646FD" w:rsidRPr="00507C65">
        <w:rPr>
          <w:rFonts w:ascii="Arial" w:hAnsi="Arial" w:cs="Arial"/>
          <w:sz w:val="24"/>
          <w:szCs w:val="24"/>
        </w:rPr>
        <w:t xml:space="preserve"> </w:t>
      </w:r>
      <w:r w:rsidR="00186800" w:rsidRPr="00507C65">
        <w:rPr>
          <w:rFonts w:ascii="Arial" w:hAnsi="Arial" w:cs="Arial"/>
          <w:sz w:val="24"/>
          <w:szCs w:val="24"/>
        </w:rPr>
        <w:t>432/202</w:t>
      </w:r>
      <w:r w:rsidR="00234030" w:rsidRPr="00507C65">
        <w:rPr>
          <w:rFonts w:ascii="Arial" w:hAnsi="Arial" w:cs="Arial"/>
          <w:sz w:val="24"/>
          <w:szCs w:val="24"/>
        </w:rPr>
        <w:t>2</w:t>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r>
      <w:r w:rsidRPr="00507C65">
        <w:rPr>
          <w:rFonts w:ascii="Arial" w:hAnsi="Arial" w:cs="Arial"/>
          <w:sz w:val="24"/>
          <w:szCs w:val="24"/>
        </w:rPr>
        <w:tab/>
        <w:t xml:space="preserve">                      </w:t>
      </w:r>
    </w:p>
    <w:p w14:paraId="65FC47A1" w14:textId="0FD75BA2" w:rsidR="00414F42" w:rsidRPr="00507C65" w:rsidRDefault="00414F42" w:rsidP="00D779D5">
      <w:pPr>
        <w:spacing w:line="360" w:lineRule="auto"/>
        <w:jc w:val="both"/>
        <w:rPr>
          <w:rFonts w:ascii="Arial" w:hAnsi="Arial" w:cs="Arial"/>
          <w:sz w:val="24"/>
          <w:szCs w:val="24"/>
        </w:rPr>
      </w:pPr>
      <w:r w:rsidRPr="00507C65">
        <w:rPr>
          <w:rFonts w:ascii="Arial" w:hAnsi="Arial" w:cs="Arial"/>
          <w:sz w:val="24"/>
          <w:szCs w:val="24"/>
        </w:rPr>
        <w:t xml:space="preserve">In the matter between: </w:t>
      </w:r>
    </w:p>
    <w:p w14:paraId="4419D70C" w14:textId="468DF3D7" w:rsidR="00414F42" w:rsidRPr="00507C65" w:rsidRDefault="00414F42" w:rsidP="00D779D5">
      <w:pPr>
        <w:spacing w:line="360" w:lineRule="auto"/>
        <w:jc w:val="both"/>
        <w:rPr>
          <w:rFonts w:ascii="Arial" w:hAnsi="Arial" w:cs="Arial"/>
          <w:sz w:val="24"/>
          <w:szCs w:val="24"/>
        </w:rPr>
      </w:pPr>
      <w:r w:rsidRPr="00507C65">
        <w:rPr>
          <w:rFonts w:ascii="Arial" w:hAnsi="Arial" w:cs="Arial"/>
          <w:b/>
          <w:bCs/>
          <w:sz w:val="24"/>
          <w:szCs w:val="24"/>
        </w:rPr>
        <w:t>MYSTIC RIVER INVESTMENTS 45 (PTY) LTD</w:t>
      </w:r>
      <w:r w:rsidRPr="00507C65">
        <w:rPr>
          <w:rFonts w:ascii="Arial" w:hAnsi="Arial" w:cs="Arial"/>
          <w:b/>
          <w:bCs/>
          <w:sz w:val="24"/>
          <w:szCs w:val="24"/>
        </w:rPr>
        <w:tab/>
      </w:r>
      <w:r w:rsidRPr="00507C65">
        <w:rPr>
          <w:rFonts w:ascii="Arial" w:hAnsi="Arial" w:cs="Arial"/>
          <w:b/>
          <w:bCs/>
          <w:sz w:val="24"/>
          <w:szCs w:val="24"/>
        </w:rPr>
        <w:tab/>
        <w:t xml:space="preserve">    </w:t>
      </w:r>
      <w:r w:rsidR="00704C19" w:rsidRPr="00507C65">
        <w:rPr>
          <w:rFonts w:ascii="Arial" w:hAnsi="Arial" w:cs="Arial"/>
          <w:b/>
          <w:bCs/>
          <w:sz w:val="24"/>
          <w:szCs w:val="24"/>
        </w:rPr>
        <w:t xml:space="preserve"> </w:t>
      </w:r>
      <w:r w:rsidRPr="00507C65">
        <w:rPr>
          <w:rFonts w:ascii="Arial" w:hAnsi="Arial" w:cs="Arial"/>
          <w:b/>
          <w:bCs/>
          <w:sz w:val="24"/>
          <w:szCs w:val="24"/>
        </w:rPr>
        <w:t>FIRST APPELLANT</w:t>
      </w:r>
    </w:p>
    <w:p w14:paraId="0EED6BC6" w14:textId="4ED04F5A" w:rsidR="00414F42" w:rsidRPr="00507C65" w:rsidRDefault="00414F42" w:rsidP="00D779D5">
      <w:pPr>
        <w:spacing w:line="360" w:lineRule="auto"/>
        <w:jc w:val="both"/>
        <w:rPr>
          <w:rFonts w:ascii="Arial" w:hAnsi="Arial" w:cs="Arial"/>
          <w:b/>
          <w:sz w:val="24"/>
          <w:szCs w:val="24"/>
        </w:rPr>
      </w:pPr>
      <w:r w:rsidRPr="00507C65">
        <w:rPr>
          <w:rFonts w:ascii="Arial" w:hAnsi="Arial" w:cs="Arial"/>
          <w:b/>
          <w:sz w:val="24"/>
          <w:szCs w:val="24"/>
        </w:rPr>
        <w:t>KARIM ISSA MAWJI</w:t>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t>SECOND APPELLANT</w:t>
      </w:r>
    </w:p>
    <w:p w14:paraId="1B4D5313" w14:textId="28811E24" w:rsidR="00414F42" w:rsidRPr="00507C65" w:rsidRDefault="00414F42" w:rsidP="00D779D5">
      <w:pPr>
        <w:spacing w:line="360" w:lineRule="auto"/>
        <w:jc w:val="both"/>
        <w:rPr>
          <w:rFonts w:ascii="Arial" w:hAnsi="Arial" w:cs="Arial"/>
          <w:sz w:val="24"/>
          <w:szCs w:val="24"/>
        </w:rPr>
      </w:pPr>
      <w:r w:rsidRPr="00507C65">
        <w:rPr>
          <w:rFonts w:ascii="Arial" w:hAnsi="Arial" w:cs="Arial"/>
          <w:sz w:val="24"/>
          <w:szCs w:val="24"/>
        </w:rPr>
        <w:t>and</w:t>
      </w:r>
    </w:p>
    <w:p w14:paraId="31F39CFF" w14:textId="430A9B09" w:rsidR="00414F42" w:rsidRPr="00507C65" w:rsidRDefault="00414F42" w:rsidP="00524F92">
      <w:pPr>
        <w:spacing w:line="360" w:lineRule="auto"/>
        <w:ind w:right="26"/>
        <w:jc w:val="both"/>
        <w:rPr>
          <w:rFonts w:ascii="Arial" w:hAnsi="Arial" w:cs="Arial"/>
          <w:b/>
          <w:sz w:val="24"/>
          <w:szCs w:val="24"/>
        </w:rPr>
      </w:pPr>
      <w:r w:rsidRPr="00507C65">
        <w:rPr>
          <w:rFonts w:ascii="Arial" w:hAnsi="Arial" w:cs="Arial"/>
          <w:b/>
          <w:sz w:val="24"/>
          <w:szCs w:val="24"/>
        </w:rPr>
        <w:t>ZAYEED PARUK INCORPORATED</w:t>
      </w:r>
      <w:r w:rsidRPr="00507C65">
        <w:rPr>
          <w:rFonts w:ascii="Arial" w:hAnsi="Arial" w:cs="Arial"/>
          <w:b/>
          <w:sz w:val="24"/>
          <w:szCs w:val="24"/>
        </w:rPr>
        <w:tab/>
      </w:r>
      <w:r w:rsidRPr="00507C65">
        <w:rPr>
          <w:rFonts w:ascii="Arial" w:hAnsi="Arial" w:cs="Arial"/>
          <w:b/>
          <w:sz w:val="24"/>
          <w:szCs w:val="24"/>
        </w:rPr>
        <w:tab/>
      </w:r>
      <w:r w:rsidRPr="00507C65">
        <w:rPr>
          <w:rFonts w:ascii="Arial" w:hAnsi="Arial" w:cs="Arial"/>
          <w:b/>
          <w:sz w:val="24"/>
          <w:szCs w:val="24"/>
        </w:rPr>
        <w:tab/>
      </w:r>
      <w:r w:rsidR="00704C19" w:rsidRPr="00507C65">
        <w:rPr>
          <w:rFonts w:ascii="Arial" w:hAnsi="Arial" w:cs="Arial"/>
          <w:b/>
          <w:sz w:val="24"/>
          <w:szCs w:val="24"/>
        </w:rPr>
        <w:t xml:space="preserve"> </w:t>
      </w:r>
      <w:r w:rsidRPr="00507C65">
        <w:rPr>
          <w:rFonts w:ascii="Arial" w:hAnsi="Arial" w:cs="Arial"/>
          <w:b/>
          <w:sz w:val="24"/>
          <w:szCs w:val="24"/>
        </w:rPr>
        <w:t xml:space="preserve">          </w:t>
      </w:r>
      <w:r w:rsidR="00524F92" w:rsidRPr="00507C65">
        <w:rPr>
          <w:rFonts w:ascii="Arial" w:hAnsi="Arial" w:cs="Arial"/>
          <w:b/>
          <w:sz w:val="24"/>
          <w:szCs w:val="24"/>
        </w:rPr>
        <w:t xml:space="preserve"> </w:t>
      </w:r>
      <w:r w:rsidRPr="00507C65">
        <w:rPr>
          <w:rFonts w:ascii="Arial" w:hAnsi="Arial" w:cs="Arial"/>
          <w:b/>
          <w:sz w:val="24"/>
          <w:szCs w:val="24"/>
        </w:rPr>
        <w:t>FIRST RESPONDENT</w:t>
      </w:r>
    </w:p>
    <w:p w14:paraId="06F377B5" w14:textId="29CA441C" w:rsidR="00414F42" w:rsidRPr="00507C65" w:rsidRDefault="00414F42" w:rsidP="00D779D5">
      <w:pPr>
        <w:spacing w:line="360" w:lineRule="auto"/>
        <w:jc w:val="both"/>
        <w:rPr>
          <w:rFonts w:ascii="Arial" w:hAnsi="Arial" w:cs="Arial"/>
          <w:b/>
          <w:sz w:val="24"/>
          <w:szCs w:val="24"/>
        </w:rPr>
      </w:pPr>
      <w:r w:rsidRPr="00507C65">
        <w:rPr>
          <w:rFonts w:ascii="Arial" w:hAnsi="Arial" w:cs="Arial"/>
          <w:b/>
          <w:sz w:val="24"/>
          <w:szCs w:val="24"/>
        </w:rPr>
        <w:t>NAUSHAD MAHOMED ISMAIL (GORA) ABDOOLA</w:t>
      </w:r>
      <w:r w:rsidR="00524F92" w:rsidRPr="00507C65">
        <w:rPr>
          <w:rFonts w:ascii="Arial" w:hAnsi="Arial" w:cs="Arial"/>
          <w:b/>
          <w:sz w:val="24"/>
          <w:szCs w:val="24"/>
        </w:rPr>
        <w:tab/>
        <w:t xml:space="preserve">       </w:t>
      </w:r>
      <w:r w:rsidRPr="00507C65">
        <w:rPr>
          <w:rFonts w:ascii="Arial" w:hAnsi="Arial" w:cs="Arial"/>
          <w:b/>
          <w:sz w:val="24"/>
          <w:szCs w:val="24"/>
        </w:rPr>
        <w:t>SECOND RESPONDENT</w:t>
      </w:r>
    </w:p>
    <w:p w14:paraId="5C283E88" w14:textId="2C2A12BA" w:rsidR="00414F42" w:rsidRPr="00507C65" w:rsidRDefault="00414F42" w:rsidP="00D779D5">
      <w:pPr>
        <w:spacing w:line="360" w:lineRule="auto"/>
        <w:jc w:val="both"/>
        <w:rPr>
          <w:rFonts w:ascii="Arial" w:hAnsi="Arial" w:cs="Arial"/>
          <w:b/>
          <w:sz w:val="24"/>
          <w:szCs w:val="24"/>
        </w:rPr>
      </w:pPr>
      <w:r w:rsidRPr="00507C65">
        <w:rPr>
          <w:rFonts w:ascii="Arial" w:hAnsi="Arial" w:cs="Arial"/>
          <w:b/>
          <w:sz w:val="24"/>
          <w:szCs w:val="24"/>
        </w:rPr>
        <w:t>SHAUKAT A</w:t>
      </w:r>
      <w:r w:rsidR="00853DA8" w:rsidRPr="00507C65">
        <w:rPr>
          <w:rFonts w:ascii="Arial" w:hAnsi="Arial" w:cs="Arial"/>
          <w:b/>
          <w:sz w:val="24"/>
          <w:szCs w:val="24"/>
        </w:rPr>
        <w:t>LI</w:t>
      </w:r>
      <w:r w:rsidRPr="00507C65">
        <w:rPr>
          <w:rFonts w:ascii="Arial" w:hAnsi="Arial" w:cs="Arial"/>
          <w:b/>
          <w:sz w:val="24"/>
          <w:szCs w:val="24"/>
        </w:rPr>
        <w:t xml:space="preserve"> MOOSA</w:t>
      </w:r>
      <w:r w:rsidR="00524F92" w:rsidRPr="00507C65">
        <w:rPr>
          <w:rFonts w:ascii="Arial" w:hAnsi="Arial" w:cs="Arial"/>
          <w:b/>
          <w:sz w:val="24"/>
          <w:szCs w:val="24"/>
        </w:rPr>
        <w:tab/>
      </w:r>
      <w:r w:rsidR="00524F92" w:rsidRPr="00507C65">
        <w:rPr>
          <w:rFonts w:ascii="Arial" w:hAnsi="Arial" w:cs="Arial"/>
          <w:b/>
          <w:sz w:val="24"/>
          <w:szCs w:val="24"/>
        </w:rPr>
        <w:tab/>
      </w:r>
      <w:r w:rsidR="00524F92" w:rsidRPr="00507C65">
        <w:rPr>
          <w:rFonts w:ascii="Arial" w:hAnsi="Arial" w:cs="Arial"/>
          <w:b/>
          <w:sz w:val="24"/>
          <w:szCs w:val="24"/>
        </w:rPr>
        <w:tab/>
      </w:r>
      <w:r w:rsidR="00524F92" w:rsidRPr="00507C65">
        <w:rPr>
          <w:rFonts w:ascii="Arial" w:hAnsi="Arial" w:cs="Arial"/>
          <w:b/>
          <w:sz w:val="24"/>
          <w:szCs w:val="24"/>
        </w:rPr>
        <w:tab/>
      </w:r>
      <w:r w:rsidR="00524F92" w:rsidRPr="00507C65">
        <w:rPr>
          <w:rFonts w:ascii="Arial" w:hAnsi="Arial" w:cs="Arial"/>
          <w:b/>
          <w:sz w:val="24"/>
          <w:szCs w:val="24"/>
        </w:rPr>
        <w:tab/>
      </w:r>
      <w:r w:rsidR="00524F92" w:rsidRPr="00507C65">
        <w:rPr>
          <w:rFonts w:ascii="Arial" w:hAnsi="Arial" w:cs="Arial"/>
          <w:b/>
          <w:sz w:val="24"/>
          <w:szCs w:val="24"/>
        </w:rPr>
        <w:tab/>
        <w:t xml:space="preserve"> </w:t>
      </w:r>
      <w:r w:rsidRPr="00507C65">
        <w:rPr>
          <w:rFonts w:ascii="Arial" w:hAnsi="Arial" w:cs="Arial"/>
          <w:b/>
          <w:sz w:val="24"/>
          <w:szCs w:val="24"/>
        </w:rPr>
        <w:t>THIRD RESPONDENT</w:t>
      </w:r>
    </w:p>
    <w:p w14:paraId="51DEC059" w14:textId="2888FB4F" w:rsidR="009C14D0" w:rsidRPr="00507C65" w:rsidRDefault="00414F42" w:rsidP="00D779D5">
      <w:pPr>
        <w:spacing w:line="360" w:lineRule="auto"/>
        <w:jc w:val="both"/>
        <w:rPr>
          <w:rFonts w:ascii="Arial" w:hAnsi="Arial" w:cs="Arial"/>
          <w:b/>
          <w:sz w:val="24"/>
          <w:szCs w:val="24"/>
        </w:rPr>
      </w:pPr>
      <w:r w:rsidRPr="00507C65">
        <w:rPr>
          <w:rFonts w:ascii="Arial" w:hAnsi="Arial" w:cs="Arial"/>
          <w:b/>
          <w:sz w:val="24"/>
          <w:szCs w:val="24"/>
        </w:rPr>
        <w:t>SALIM MAHOMED MOOSA</w:t>
      </w:r>
      <w:r w:rsidR="00524F92" w:rsidRPr="00507C65">
        <w:rPr>
          <w:rFonts w:ascii="Arial" w:hAnsi="Arial" w:cs="Arial"/>
          <w:b/>
          <w:sz w:val="24"/>
          <w:szCs w:val="24"/>
        </w:rPr>
        <w:tab/>
      </w:r>
      <w:r w:rsidR="00524F92" w:rsidRPr="00507C65">
        <w:rPr>
          <w:rFonts w:ascii="Arial" w:hAnsi="Arial" w:cs="Arial"/>
          <w:b/>
          <w:sz w:val="24"/>
          <w:szCs w:val="24"/>
        </w:rPr>
        <w:tab/>
      </w:r>
      <w:r w:rsidR="00524F92" w:rsidRPr="00507C65">
        <w:rPr>
          <w:rFonts w:ascii="Arial" w:hAnsi="Arial" w:cs="Arial"/>
          <w:b/>
          <w:sz w:val="24"/>
          <w:szCs w:val="24"/>
        </w:rPr>
        <w:tab/>
      </w:r>
      <w:r w:rsidR="00524F92" w:rsidRPr="00507C65">
        <w:rPr>
          <w:rFonts w:ascii="Arial" w:hAnsi="Arial" w:cs="Arial"/>
          <w:b/>
          <w:sz w:val="24"/>
          <w:szCs w:val="24"/>
        </w:rPr>
        <w:tab/>
        <w:t xml:space="preserve">        </w:t>
      </w:r>
      <w:r w:rsidRPr="00507C65">
        <w:rPr>
          <w:rFonts w:ascii="Arial" w:hAnsi="Arial" w:cs="Arial"/>
          <w:b/>
          <w:sz w:val="24"/>
          <w:szCs w:val="24"/>
        </w:rPr>
        <w:t>FOURTH RESPONDENT</w:t>
      </w:r>
    </w:p>
    <w:p w14:paraId="38D0797B" w14:textId="2A1DDBB8" w:rsidR="00414F42" w:rsidRPr="00507C65" w:rsidRDefault="00414F42" w:rsidP="00262CE3">
      <w:pPr>
        <w:spacing w:after="0" w:line="360" w:lineRule="auto"/>
        <w:jc w:val="both"/>
        <w:rPr>
          <w:rFonts w:ascii="Arial" w:hAnsi="Arial" w:cs="Arial"/>
          <w:b/>
          <w:sz w:val="24"/>
          <w:szCs w:val="24"/>
        </w:rPr>
      </w:pPr>
      <w:r w:rsidRPr="00507C65">
        <w:rPr>
          <w:rFonts w:ascii="Arial" w:hAnsi="Arial" w:cs="Arial"/>
          <w:b/>
          <w:sz w:val="24"/>
          <w:szCs w:val="24"/>
        </w:rPr>
        <w:t>GOOLAM HOOSEN MOOSA</w:t>
      </w:r>
      <w:r w:rsidR="007C52E9" w:rsidRPr="00507C65">
        <w:rPr>
          <w:rFonts w:ascii="Arial" w:hAnsi="Arial" w:cs="Arial"/>
          <w:b/>
          <w:sz w:val="24"/>
          <w:szCs w:val="24"/>
        </w:rPr>
        <w:tab/>
      </w:r>
      <w:r w:rsidR="007C52E9" w:rsidRPr="00507C65">
        <w:rPr>
          <w:rFonts w:ascii="Arial" w:hAnsi="Arial" w:cs="Arial"/>
          <w:b/>
          <w:sz w:val="24"/>
          <w:szCs w:val="24"/>
        </w:rPr>
        <w:tab/>
      </w:r>
      <w:r w:rsidR="007C52E9" w:rsidRPr="00507C65">
        <w:rPr>
          <w:rFonts w:ascii="Arial" w:hAnsi="Arial" w:cs="Arial"/>
          <w:b/>
          <w:sz w:val="24"/>
          <w:szCs w:val="24"/>
        </w:rPr>
        <w:tab/>
      </w:r>
      <w:r w:rsidR="007C52E9" w:rsidRPr="00507C65">
        <w:rPr>
          <w:rFonts w:ascii="Arial" w:hAnsi="Arial" w:cs="Arial"/>
          <w:b/>
          <w:sz w:val="24"/>
          <w:szCs w:val="24"/>
        </w:rPr>
        <w:tab/>
      </w:r>
      <w:r w:rsidR="007C52E9" w:rsidRPr="00507C65">
        <w:rPr>
          <w:rFonts w:ascii="Arial" w:hAnsi="Arial" w:cs="Arial"/>
          <w:b/>
          <w:sz w:val="24"/>
          <w:szCs w:val="24"/>
        </w:rPr>
        <w:tab/>
        <w:t xml:space="preserve">  </w:t>
      </w:r>
      <w:r w:rsidRPr="00507C65">
        <w:rPr>
          <w:rFonts w:ascii="Arial" w:hAnsi="Arial" w:cs="Arial"/>
          <w:b/>
          <w:sz w:val="24"/>
          <w:szCs w:val="24"/>
        </w:rPr>
        <w:t>FIFTH RESPONDENT</w:t>
      </w:r>
    </w:p>
    <w:p w14:paraId="30D13B33" w14:textId="77777777" w:rsidR="00414F42" w:rsidRPr="00507C65" w:rsidRDefault="00414F42" w:rsidP="00262CE3">
      <w:pPr>
        <w:spacing w:after="0" w:line="360" w:lineRule="auto"/>
        <w:jc w:val="both"/>
        <w:rPr>
          <w:rFonts w:ascii="Arial" w:hAnsi="Arial" w:cs="Arial"/>
          <w:sz w:val="24"/>
          <w:szCs w:val="24"/>
        </w:rPr>
      </w:pPr>
    </w:p>
    <w:p w14:paraId="65D8F35C" w14:textId="37557431" w:rsidR="00414F42" w:rsidRPr="00507C65" w:rsidRDefault="00414F42" w:rsidP="00262CE3">
      <w:pPr>
        <w:spacing w:after="0" w:line="360" w:lineRule="auto"/>
        <w:ind w:left="2160" w:hanging="2160"/>
        <w:jc w:val="both"/>
        <w:rPr>
          <w:rFonts w:ascii="Arial" w:hAnsi="Arial" w:cs="Arial"/>
          <w:sz w:val="24"/>
          <w:szCs w:val="24"/>
          <w:lang w:val="en-GB"/>
        </w:rPr>
      </w:pPr>
      <w:r w:rsidRPr="00507C65">
        <w:rPr>
          <w:rFonts w:ascii="Arial" w:hAnsi="Arial" w:cs="Arial"/>
          <w:b/>
          <w:bCs/>
          <w:sz w:val="24"/>
          <w:szCs w:val="24"/>
          <w:lang w:val="en-GB"/>
        </w:rPr>
        <w:t>Neutral citation:</w:t>
      </w:r>
      <w:r w:rsidRPr="00507C65">
        <w:rPr>
          <w:rFonts w:ascii="Arial" w:hAnsi="Arial" w:cs="Arial"/>
          <w:bCs/>
          <w:sz w:val="24"/>
          <w:szCs w:val="24"/>
          <w:lang w:val="en-GB"/>
        </w:rPr>
        <w:tab/>
      </w:r>
      <w:bookmarkStart w:id="1" w:name="_Hlk132571972"/>
      <w:r w:rsidRPr="00507C65">
        <w:rPr>
          <w:rFonts w:ascii="Arial" w:hAnsi="Arial" w:cs="Arial"/>
          <w:bCs/>
          <w:i/>
          <w:sz w:val="24"/>
          <w:szCs w:val="24"/>
          <w:lang w:val="en-GB"/>
        </w:rPr>
        <w:t xml:space="preserve">Mystic River Investments 45 (Pty) Ltd &amp; Another v </w:t>
      </w:r>
      <w:r w:rsidR="0031262A" w:rsidRPr="00507C65">
        <w:rPr>
          <w:rFonts w:ascii="Arial" w:hAnsi="Arial" w:cs="Arial"/>
          <w:bCs/>
          <w:i/>
          <w:sz w:val="24"/>
          <w:szCs w:val="24"/>
          <w:lang w:val="en-GB"/>
        </w:rPr>
        <w:t>Zayeed Paruk Incorporated</w:t>
      </w:r>
      <w:r w:rsidRPr="00507C65">
        <w:rPr>
          <w:rFonts w:ascii="Arial" w:hAnsi="Arial" w:cs="Arial"/>
          <w:bCs/>
          <w:i/>
          <w:sz w:val="24"/>
          <w:szCs w:val="24"/>
          <w:lang w:val="en-GB"/>
        </w:rPr>
        <w:t xml:space="preserve"> &amp; Others </w:t>
      </w:r>
      <w:r w:rsidR="0031262A" w:rsidRPr="00507C65">
        <w:rPr>
          <w:rFonts w:ascii="Arial" w:hAnsi="Arial" w:cs="Arial"/>
          <w:bCs/>
          <w:sz w:val="24"/>
          <w:szCs w:val="24"/>
          <w:lang w:val="en-GB"/>
        </w:rPr>
        <w:t>(Case no 432</w:t>
      </w:r>
      <w:r w:rsidRPr="00507C65">
        <w:rPr>
          <w:rFonts w:ascii="Arial" w:hAnsi="Arial" w:cs="Arial"/>
          <w:bCs/>
          <w:sz w:val="24"/>
          <w:szCs w:val="24"/>
          <w:lang w:val="en-GB"/>
        </w:rPr>
        <w:t>/20</w:t>
      </w:r>
      <w:r w:rsidR="0031262A" w:rsidRPr="00507C65">
        <w:rPr>
          <w:rFonts w:ascii="Arial" w:hAnsi="Arial" w:cs="Arial"/>
          <w:bCs/>
          <w:sz w:val="24"/>
          <w:szCs w:val="24"/>
          <w:lang w:val="en-GB"/>
        </w:rPr>
        <w:t>22</w:t>
      </w:r>
      <w:r w:rsidRPr="00507C65">
        <w:rPr>
          <w:rFonts w:ascii="Arial" w:hAnsi="Arial" w:cs="Arial"/>
          <w:bCs/>
          <w:sz w:val="24"/>
          <w:szCs w:val="24"/>
          <w:lang w:val="en-GB"/>
        </w:rPr>
        <w:t>) [2023] ZASCA</w:t>
      </w:r>
      <w:r w:rsidR="0031262A" w:rsidRPr="00507C65">
        <w:rPr>
          <w:rFonts w:ascii="Arial" w:hAnsi="Arial" w:cs="Arial"/>
          <w:bCs/>
          <w:sz w:val="24"/>
          <w:szCs w:val="24"/>
          <w:lang w:val="en-GB"/>
        </w:rPr>
        <w:t xml:space="preserve"> </w:t>
      </w:r>
      <w:r w:rsidR="005364A0">
        <w:rPr>
          <w:rFonts w:ascii="Arial" w:hAnsi="Arial" w:cs="Arial"/>
          <w:bCs/>
          <w:sz w:val="24"/>
          <w:szCs w:val="24"/>
          <w:lang w:val="en-GB"/>
        </w:rPr>
        <w:t>54</w:t>
      </w:r>
      <w:r w:rsidRPr="00507C65">
        <w:rPr>
          <w:rFonts w:ascii="Arial" w:hAnsi="Arial" w:cs="Arial"/>
          <w:bCs/>
          <w:sz w:val="24"/>
          <w:szCs w:val="24"/>
          <w:lang w:val="en-GB"/>
        </w:rPr>
        <w:t xml:space="preserve"> (</w:t>
      </w:r>
      <w:r w:rsidR="005364A0">
        <w:rPr>
          <w:rFonts w:ascii="Arial" w:hAnsi="Arial" w:cs="Arial"/>
          <w:bCs/>
          <w:sz w:val="24"/>
          <w:szCs w:val="24"/>
          <w:lang w:val="en-GB"/>
        </w:rPr>
        <w:t>19</w:t>
      </w:r>
      <w:r w:rsidR="009E7018" w:rsidRPr="00507C65">
        <w:rPr>
          <w:rFonts w:ascii="Arial" w:hAnsi="Arial" w:cs="Arial"/>
          <w:bCs/>
          <w:sz w:val="24"/>
          <w:szCs w:val="24"/>
          <w:lang w:val="en-GB"/>
        </w:rPr>
        <w:t xml:space="preserve"> April</w:t>
      </w:r>
      <w:r w:rsidRPr="00507C65">
        <w:rPr>
          <w:rFonts w:ascii="Arial" w:hAnsi="Arial" w:cs="Arial"/>
          <w:bCs/>
          <w:sz w:val="24"/>
          <w:szCs w:val="24"/>
          <w:lang w:val="en-GB"/>
        </w:rPr>
        <w:t xml:space="preserve"> 2023)</w:t>
      </w:r>
    </w:p>
    <w:bookmarkEnd w:id="1"/>
    <w:p w14:paraId="4EFCF679" w14:textId="651D3924" w:rsidR="00414F42" w:rsidRPr="00507C65" w:rsidRDefault="00414F42" w:rsidP="00262CE3">
      <w:pPr>
        <w:spacing w:after="0" w:line="360" w:lineRule="auto"/>
        <w:ind w:left="1440" w:hanging="1440"/>
        <w:jc w:val="both"/>
        <w:rPr>
          <w:rFonts w:ascii="Arial" w:hAnsi="Arial" w:cs="Arial"/>
          <w:bCs/>
          <w:iCs/>
          <w:sz w:val="24"/>
          <w:szCs w:val="24"/>
          <w:lang w:val="en-GB"/>
        </w:rPr>
      </w:pPr>
      <w:r w:rsidRPr="00507C65">
        <w:rPr>
          <w:rFonts w:ascii="Arial" w:hAnsi="Arial" w:cs="Arial"/>
          <w:b/>
          <w:bCs/>
          <w:sz w:val="24"/>
          <w:szCs w:val="24"/>
          <w:lang w:val="en-GB"/>
        </w:rPr>
        <w:t>Coram:</w:t>
      </w:r>
      <w:r w:rsidRPr="00507C65">
        <w:rPr>
          <w:rFonts w:ascii="Arial" w:hAnsi="Arial" w:cs="Arial"/>
          <w:sz w:val="24"/>
          <w:szCs w:val="24"/>
          <w:lang w:val="en-GB"/>
        </w:rPr>
        <w:tab/>
      </w:r>
      <w:r w:rsidR="0031262A" w:rsidRPr="00507C65">
        <w:rPr>
          <w:rFonts w:ascii="Arial" w:hAnsi="Arial" w:cs="Arial"/>
          <w:sz w:val="24"/>
          <w:szCs w:val="24"/>
          <w:lang w:val="en-GB"/>
        </w:rPr>
        <w:t>VAN DER MERWE, SCHIPPERS, GORVEN and MATOJANE</w:t>
      </w:r>
      <w:r w:rsidRPr="00507C65">
        <w:rPr>
          <w:rFonts w:ascii="Arial" w:hAnsi="Arial" w:cs="Arial"/>
          <w:sz w:val="24"/>
          <w:szCs w:val="24"/>
          <w:lang w:val="en-GB"/>
        </w:rPr>
        <w:t xml:space="preserve"> JJA and </w:t>
      </w:r>
      <w:r w:rsidR="0031262A" w:rsidRPr="00507C65">
        <w:rPr>
          <w:rFonts w:ascii="Arial" w:hAnsi="Arial" w:cs="Arial"/>
          <w:sz w:val="24"/>
          <w:szCs w:val="24"/>
          <w:lang w:val="en-GB"/>
        </w:rPr>
        <w:t>KATHREE-SETILOANE</w:t>
      </w:r>
      <w:r w:rsidRPr="00507C65">
        <w:rPr>
          <w:rFonts w:ascii="Arial" w:hAnsi="Arial" w:cs="Arial"/>
          <w:sz w:val="24"/>
          <w:szCs w:val="24"/>
          <w:lang w:val="en-GB"/>
        </w:rPr>
        <w:t xml:space="preserve"> AJA</w:t>
      </w:r>
    </w:p>
    <w:p w14:paraId="598868EE" w14:textId="77777777" w:rsidR="00414F42" w:rsidRPr="00507C65" w:rsidRDefault="00414F42" w:rsidP="00262CE3">
      <w:pPr>
        <w:spacing w:after="0" w:line="360" w:lineRule="auto"/>
        <w:jc w:val="both"/>
        <w:rPr>
          <w:rFonts w:ascii="Arial" w:hAnsi="Arial" w:cs="Arial"/>
          <w:bCs/>
          <w:sz w:val="24"/>
          <w:szCs w:val="24"/>
          <w:lang w:val="en-GB"/>
        </w:rPr>
      </w:pPr>
      <w:r w:rsidRPr="00507C65">
        <w:rPr>
          <w:rFonts w:ascii="Arial" w:hAnsi="Arial" w:cs="Arial"/>
          <w:b/>
          <w:bCs/>
          <w:sz w:val="24"/>
          <w:szCs w:val="24"/>
          <w:lang w:val="en-GB"/>
        </w:rPr>
        <w:t>Heard</w:t>
      </w:r>
      <w:r w:rsidRPr="00507C65">
        <w:rPr>
          <w:rFonts w:ascii="Arial" w:hAnsi="Arial" w:cs="Arial"/>
          <w:b/>
          <w:sz w:val="24"/>
          <w:szCs w:val="24"/>
          <w:lang w:val="en-GB"/>
        </w:rPr>
        <w:t>:</w:t>
      </w:r>
      <w:r w:rsidRPr="00507C65">
        <w:rPr>
          <w:rFonts w:ascii="Arial" w:hAnsi="Arial" w:cs="Arial"/>
          <w:sz w:val="24"/>
          <w:szCs w:val="24"/>
          <w:lang w:val="en-GB"/>
        </w:rPr>
        <w:tab/>
      </w:r>
      <w:r w:rsidR="0031262A" w:rsidRPr="00507C65">
        <w:rPr>
          <w:rFonts w:ascii="Arial" w:hAnsi="Arial" w:cs="Arial"/>
          <w:sz w:val="24"/>
          <w:szCs w:val="24"/>
          <w:lang w:val="en-GB"/>
        </w:rPr>
        <w:t>6 March 2023</w:t>
      </w:r>
      <w:r w:rsidRPr="00507C65">
        <w:rPr>
          <w:rFonts w:ascii="Arial" w:hAnsi="Arial" w:cs="Arial"/>
          <w:sz w:val="24"/>
          <w:szCs w:val="24"/>
          <w:lang w:val="en-GB"/>
        </w:rPr>
        <w:t xml:space="preserve"> </w:t>
      </w:r>
    </w:p>
    <w:p w14:paraId="6D3F363A" w14:textId="1C838361" w:rsidR="002204D9" w:rsidRPr="002204D9" w:rsidRDefault="00414F42" w:rsidP="002204D9">
      <w:pPr>
        <w:spacing w:after="0" w:line="360" w:lineRule="auto"/>
        <w:jc w:val="both"/>
        <w:rPr>
          <w:rFonts w:ascii="Arial" w:hAnsi="Arial" w:cs="Arial"/>
          <w:b/>
          <w:bCs/>
          <w:sz w:val="24"/>
          <w:szCs w:val="24"/>
          <w:lang w:val="en-GB"/>
        </w:rPr>
      </w:pPr>
      <w:r w:rsidRPr="00507C65">
        <w:rPr>
          <w:rFonts w:ascii="Arial" w:hAnsi="Arial" w:cs="Arial"/>
          <w:b/>
          <w:bCs/>
          <w:sz w:val="24"/>
          <w:szCs w:val="24"/>
          <w:lang w:val="en-GB"/>
        </w:rPr>
        <w:lastRenderedPageBreak/>
        <w:t>Delivered</w:t>
      </w:r>
      <w:r w:rsidRPr="00507C65">
        <w:rPr>
          <w:rFonts w:ascii="Arial" w:hAnsi="Arial" w:cs="Arial"/>
          <w:b/>
          <w:sz w:val="24"/>
          <w:szCs w:val="24"/>
          <w:lang w:val="en-GB"/>
        </w:rPr>
        <w:t>:</w:t>
      </w:r>
      <w:r w:rsidRPr="00507C65">
        <w:rPr>
          <w:rFonts w:ascii="Arial" w:hAnsi="Arial" w:cs="Arial"/>
          <w:b/>
          <w:sz w:val="24"/>
          <w:szCs w:val="24"/>
          <w:lang w:val="en-GB"/>
        </w:rPr>
        <w:tab/>
      </w:r>
      <w:r w:rsidR="002204D9" w:rsidRPr="002204D9">
        <w:rPr>
          <w:rFonts w:ascii="Arial" w:hAnsi="Arial" w:cs="Arial"/>
          <w:sz w:val="24"/>
          <w:szCs w:val="24"/>
          <w:lang w:val="en-GB"/>
        </w:rPr>
        <w:t>This judgment was handed down electronically by circulation to the parties’ legal representatives by email, publication on the Supreme Court of Appeal website and release to SAFLII. The date and time for hand-down is deemed to be 11h00 on 1</w:t>
      </w:r>
      <w:r w:rsidR="002204D9">
        <w:rPr>
          <w:rFonts w:ascii="Arial" w:hAnsi="Arial" w:cs="Arial"/>
          <w:sz w:val="24"/>
          <w:szCs w:val="24"/>
          <w:lang w:val="en-GB"/>
        </w:rPr>
        <w:t>9</w:t>
      </w:r>
      <w:r w:rsidR="002204D9" w:rsidRPr="002204D9">
        <w:rPr>
          <w:rFonts w:ascii="Arial" w:hAnsi="Arial" w:cs="Arial"/>
          <w:sz w:val="24"/>
          <w:szCs w:val="24"/>
          <w:lang w:val="en-GB"/>
        </w:rPr>
        <w:t xml:space="preserve"> </w:t>
      </w:r>
      <w:r w:rsidR="002204D9">
        <w:rPr>
          <w:rFonts w:ascii="Arial" w:hAnsi="Arial" w:cs="Arial"/>
          <w:sz w:val="24"/>
          <w:szCs w:val="24"/>
          <w:lang w:val="en-GB"/>
        </w:rPr>
        <w:t>April</w:t>
      </w:r>
      <w:r w:rsidR="002204D9" w:rsidRPr="002204D9">
        <w:rPr>
          <w:rFonts w:ascii="Arial" w:hAnsi="Arial" w:cs="Arial"/>
          <w:sz w:val="24"/>
          <w:szCs w:val="24"/>
          <w:lang w:val="en-GB"/>
        </w:rPr>
        <w:t xml:space="preserve"> 2023. </w:t>
      </w:r>
    </w:p>
    <w:p w14:paraId="4AF237F6" w14:textId="30DF8BCC" w:rsidR="00414F42" w:rsidRPr="00507C65" w:rsidRDefault="00414F42" w:rsidP="00262CE3">
      <w:pPr>
        <w:spacing w:after="0" w:line="360" w:lineRule="auto"/>
        <w:jc w:val="both"/>
        <w:rPr>
          <w:rFonts w:ascii="Arial" w:hAnsi="Arial" w:cs="Arial"/>
          <w:sz w:val="24"/>
          <w:szCs w:val="24"/>
        </w:rPr>
      </w:pPr>
    </w:p>
    <w:p w14:paraId="3D51975B" w14:textId="32D70EC5" w:rsidR="00901914" w:rsidRPr="00507C65" w:rsidRDefault="00414F42" w:rsidP="00D779D5">
      <w:pPr>
        <w:spacing w:line="360" w:lineRule="auto"/>
        <w:jc w:val="both"/>
        <w:rPr>
          <w:rFonts w:ascii="Arial" w:hAnsi="Arial" w:cs="Arial"/>
          <w:sz w:val="24"/>
          <w:szCs w:val="24"/>
          <w:lang w:val="en-GB"/>
        </w:rPr>
      </w:pPr>
      <w:r w:rsidRPr="00507C65">
        <w:rPr>
          <w:rFonts w:ascii="Arial" w:hAnsi="Arial" w:cs="Arial"/>
          <w:b/>
          <w:sz w:val="24"/>
          <w:szCs w:val="24"/>
        </w:rPr>
        <w:t>Summary:</w:t>
      </w:r>
      <w:r w:rsidR="00184DF4" w:rsidRPr="00507C65">
        <w:rPr>
          <w:rFonts w:ascii="Arial" w:hAnsi="Arial" w:cs="Arial"/>
          <w:sz w:val="24"/>
          <w:szCs w:val="24"/>
        </w:rPr>
        <w:tab/>
      </w:r>
      <w:r w:rsidR="007315D6" w:rsidRPr="00507C65">
        <w:rPr>
          <w:rFonts w:ascii="Arial" w:hAnsi="Arial" w:cs="Arial"/>
          <w:sz w:val="24"/>
          <w:szCs w:val="24"/>
        </w:rPr>
        <w:t xml:space="preserve">Practice – </w:t>
      </w:r>
      <w:r w:rsidR="007315D6" w:rsidRPr="00507C65">
        <w:rPr>
          <w:rFonts w:ascii="Arial" w:hAnsi="Arial" w:cs="Arial"/>
          <w:sz w:val="24"/>
          <w:szCs w:val="24"/>
          <w:lang w:val="en-GB"/>
        </w:rPr>
        <w:t>a</w:t>
      </w:r>
      <w:r w:rsidR="00566C9E" w:rsidRPr="00507C65">
        <w:rPr>
          <w:rFonts w:ascii="Arial" w:hAnsi="Arial" w:cs="Arial"/>
          <w:sz w:val="24"/>
          <w:szCs w:val="24"/>
          <w:lang w:val="en-GB"/>
        </w:rPr>
        <w:t xml:space="preserve">pplication </w:t>
      </w:r>
      <w:r w:rsidR="007315D6" w:rsidRPr="00507C65">
        <w:rPr>
          <w:rFonts w:ascii="Arial" w:hAnsi="Arial" w:cs="Arial"/>
          <w:sz w:val="24"/>
          <w:szCs w:val="24"/>
          <w:lang w:val="en-GB"/>
        </w:rPr>
        <w:t>that</w:t>
      </w:r>
      <w:r w:rsidR="007315D6" w:rsidRPr="00507C65">
        <w:rPr>
          <w:rFonts w:ascii="Arial" w:hAnsi="Arial" w:cs="Arial"/>
          <w:i/>
          <w:sz w:val="24"/>
          <w:szCs w:val="24"/>
          <w:lang w:val="en-GB"/>
        </w:rPr>
        <w:t xml:space="preserve"> peregrinus</w:t>
      </w:r>
      <w:r w:rsidR="007315D6" w:rsidRPr="00507C65">
        <w:rPr>
          <w:rFonts w:ascii="Arial" w:hAnsi="Arial" w:cs="Arial"/>
          <w:sz w:val="24"/>
          <w:szCs w:val="24"/>
          <w:lang w:val="en-GB"/>
        </w:rPr>
        <w:t xml:space="preserve"> provide</w:t>
      </w:r>
      <w:r w:rsidR="00566C9E" w:rsidRPr="00507C65">
        <w:rPr>
          <w:rFonts w:ascii="Arial" w:hAnsi="Arial" w:cs="Arial"/>
          <w:sz w:val="24"/>
          <w:szCs w:val="24"/>
          <w:lang w:val="en-GB"/>
        </w:rPr>
        <w:t xml:space="preserve"> security for costs under rule 47 of Uniform Rules of Court – exercise of </w:t>
      </w:r>
      <w:r w:rsidR="00853DA8" w:rsidRPr="00507C65">
        <w:rPr>
          <w:rFonts w:ascii="Arial" w:hAnsi="Arial" w:cs="Arial"/>
          <w:sz w:val="24"/>
          <w:szCs w:val="24"/>
          <w:lang w:val="en-GB"/>
        </w:rPr>
        <w:t>true</w:t>
      </w:r>
      <w:r w:rsidR="00566C9E" w:rsidRPr="00507C65">
        <w:rPr>
          <w:rFonts w:ascii="Arial" w:hAnsi="Arial" w:cs="Arial"/>
          <w:sz w:val="24"/>
          <w:szCs w:val="24"/>
          <w:lang w:val="en-GB"/>
        </w:rPr>
        <w:t xml:space="preserve"> discretion – powers of </w:t>
      </w:r>
      <w:r w:rsidR="00A80CD5" w:rsidRPr="00507C65">
        <w:rPr>
          <w:rFonts w:ascii="Arial" w:hAnsi="Arial" w:cs="Arial"/>
          <w:sz w:val="24"/>
          <w:szCs w:val="24"/>
          <w:lang w:val="en-GB"/>
        </w:rPr>
        <w:t xml:space="preserve">the </w:t>
      </w:r>
      <w:r w:rsidR="00566C9E" w:rsidRPr="00507C65">
        <w:rPr>
          <w:rFonts w:ascii="Arial" w:hAnsi="Arial" w:cs="Arial"/>
          <w:sz w:val="24"/>
          <w:szCs w:val="24"/>
          <w:lang w:val="en-GB"/>
        </w:rPr>
        <w:t xml:space="preserve">appellate </w:t>
      </w:r>
      <w:r w:rsidR="0098380D" w:rsidRPr="00507C65">
        <w:rPr>
          <w:rFonts w:ascii="Arial" w:hAnsi="Arial" w:cs="Arial"/>
          <w:sz w:val="24"/>
          <w:szCs w:val="24"/>
          <w:lang w:val="en-GB"/>
        </w:rPr>
        <w:t>c</w:t>
      </w:r>
      <w:r w:rsidR="00A80CD5" w:rsidRPr="00507C65">
        <w:rPr>
          <w:rFonts w:ascii="Arial" w:hAnsi="Arial" w:cs="Arial"/>
          <w:sz w:val="24"/>
          <w:szCs w:val="24"/>
          <w:lang w:val="en-GB"/>
        </w:rPr>
        <w:t>ourt</w:t>
      </w:r>
      <w:r w:rsidR="00566C9E" w:rsidRPr="00507C65">
        <w:rPr>
          <w:rFonts w:ascii="Arial" w:hAnsi="Arial" w:cs="Arial"/>
          <w:sz w:val="24"/>
          <w:szCs w:val="24"/>
          <w:lang w:val="en-GB"/>
        </w:rPr>
        <w:t xml:space="preserve"> to interfere strictly circumscribed – court </w:t>
      </w:r>
      <w:r w:rsidR="00566C9E" w:rsidRPr="00507C65">
        <w:rPr>
          <w:rFonts w:ascii="Arial" w:hAnsi="Arial" w:cs="Arial"/>
          <w:i/>
          <w:iCs/>
          <w:sz w:val="24"/>
          <w:szCs w:val="24"/>
          <w:lang w:val="en-GB"/>
        </w:rPr>
        <w:t>a quo </w:t>
      </w:r>
      <w:r w:rsidR="00566C9E" w:rsidRPr="00507C65">
        <w:rPr>
          <w:rFonts w:ascii="Arial" w:hAnsi="Arial" w:cs="Arial"/>
          <w:sz w:val="24"/>
          <w:szCs w:val="24"/>
          <w:lang w:val="en-GB"/>
        </w:rPr>
        <w:t xml:space="preserve">exercised discretion on wrong principle – </w:t>
      </w:r>
      <w:r w:rsidR="0098380D" w:rsidRPr="00507C65">
        <w:rPr>
          <w:rFonts w:ascii="Arial" w:hAnsi="Arial" w:cs="Arial"/>
          <w:sz w:val="24"/>
          <w:szCs w:val="24"/>
          <w:lang w:val="en-GB"/>
        </w:rPr>
        <w:t>c</w:t>
      </w:r>
      <w:r w:rsidR="00A80CD5" w:rsidRPr="00507C65">
        <w:rPr>
          <w:rFonts w:ascii="Arial" w:hAnsi="Arial" w:cs="Arial"/>
          <w:sz w:val="24"/>
          <w:szCs w:val="24"/>
          <w:lang w:val="en-GB"/>
        </w:rPr>
        <w:t>ourt</w:t>
      </w:r>
      <w:r w:rsidR="00566C9E" w:rsidRPr="00507C65">
        <w:rPr>
          <w:rFonts w:ascii="Arial" w:hAnsi="Arial" w:cs="Arial"/>
          <w:sz w:val="24"/>
          <w:szCs w:val="24"/>
          <w:lang w:val="en-GB"/>
        </w:rPr>
        <w:t xml:space="preserve"> at large to consider</w:t>
      </w:r>
      <w:r w:rsidR="00191CE0" w:rsidRPr="00507C65">
        <w:rPr>
          <w:rFonts w:ascii="Arial" w:hAnsi="Arial" w:cs="Arial"/>
          <w:sz w:val="24"/>
          <w:szCs w:val="24"/>
          <w:lang w:val="en-GB"/>
        </w:rPr>
        <w:t xml:space="preserve"> </w:t>
      </w:r>
      <w:r w:rsidR="00566C9E" w:rsidRPr="00507C65">
        <w:rPr>
          <w:rFonts w:ascii="Arial" w:hAnsi="Arial" w:cs="Arial"/>
          <w:sz w:val="24"/>
          <w:szCs w:val="24"/>
          <w:lang w:val="en-GB"/>
        </w:rPr>
        <w:t>application afresh</w:t>
      </w:r>
      <w:r w:rsidR="00901914" w:rsidRPr="00507C65">
        <w:rPr>
          <w:rFonts w:ascii="Arial" w:hAnsi="Arial" w:cs="Arial"/>
          <w:sz w:val="24"/>
          <w:szCs w:val="24"/>
          <w:lang w:val="en-GB"/>
        </w:rPr>
        <w:t xml:space="preserve"> – proper case for provision of security for costs.</w:t>
      </w:r>
    </w:p>
    <w:p w14:paraId="1233F19C" w14:textId="439F33FF" w:rsidR="009838BE" w:rsidRPr="00507C65" w:rsidRDefault="009838BE" w:rsidP="00D779D5">
      <w:pPr>
        <w:spacing w:line="360" w:lineRule="auto"/>
        <w:jc w:val="both"/>
        <w:rPr>
          <w:rFonts w:ascii="Arial" w:hAnsi="Arial" w:cs="Arial"/>
          <w:sz w:val="24"/>
          <w:szCs w:val="24"/>
        </w:rPr>
      </w:pPr>
    </w:p>
    <w:p w14:paraId="6DC8B0E1" w14:textId="2F682715" w:rsidR="009C14D0" w:rsidRPr="00507C65" w:rsidRDefault="009C14D0">
      <w:pPr>
        <w:rPr>
          <w:rFonts w:ascii="Arial" w:eastAsia="MS Mincho" w:hAnsi="Arial" w:cs="Arial"/>
          <w:b/>
          <w:sz w:val="24"/>
          <w:szCs w:val="24"/>
          <w:lang w:eastAsia="en-ZA"/>
        </w:rPr>
      </w:pPr>
      <w:r w:rsidRPr="00507C65">
        <w:rPr>
          <w:rFonts w:ascii="Arial" w:eastAsia="MS Mincho" w:hAnsi="Arial" w:cs="Arial"/>
          <w:b/>
          <w:sz w:val="24"/>
          <w:szCs w:val="24"/>
          <w:lang w:eastAsia="en-ZA"/>
        </w:rPr>
        <w:br w:type="page"/>
      </w:r>
    </w:p>
    <w:p w14:paraId="6521B302" w14:textId="77777777" w:rsidR="009C14D0" w:rsidRPr="00507C65" w:rsidRDefault="009C14D0" w:rsidP="009C14D0">
      <w:pPr>
        <w:pBdr>
          <w:bottom w:val="single" w:sz="12" w:space="1" w:color="auto"/>
        </w:pBdr>
        <w:spacing w:after="0" w:line="360" w:lineRule="auto"/>
        <w:jc w:val="both"/>
        <w:rPr>
          <w:rFonts w:ascii="Arial" w:eastAsia="MS Mincho" w:hAnsi="Arial" w:cs="Arial"/>
          <w:b/>
          <w:sz w:val="24"/>
          <w:szCs w:val="24"/>
          <w:lang w:eastAsia="en-ZA"/>
        </w:rPr>
      </w:pPr>
    </w:p>
    <w:p w14:paraId="58DD423F" w14:textId="77777777" w:rsidR="009C14D0" w:rsidRPr="00507C65" w:rsidRDefault="009C14D0" w:rsidP="009C14D0">
      <w:pPr>
        <w:spacing w:after="0" w:line="360" w:lineRule="auto"/>
        <w:jc w:val="both"/>
        <w:rPr>
          <w:rFonts w:ascii="Arial" w:eastAsia="MS Mincho" w:hAnsi="Arial" w:cs="Arial"/>
          <w:b/>
          <w:sz w:val="24"/>
          <w:szCs w:val="24"/>
          <w:lang w:eastAsia="en-ZA"/>
        </w:rPr>
      </w:pPr>
    </w:p>
    <w:p w14:paraId="3B4341A7" w14:textId="28304257" w:rsidR="009C14D0" w:rsidRPr="00507C65" w:rsidRDefault="009C14D0" w:rsidP="009C14D0">
      <w:pPr>
        <w:pBdr>
          <w:bottom w:val="single" w:sz="12" w:space="1" w:color="auto"/>
        </w:pBdr>
        <w:spacing w:after="0" w:line="360" w:lineRule="auto"/>
        <w:jc w:val="center"/>
        <w:rPr>
          <w:rFonts w:ascii="Arial" w:eastAsia="MS Mincho" w:hAnsi="Arial" w:cs="Arial"/>
          <w:b/>
          <w:sz w:val="24"/>
          <w:szCs w:val="24"/>
          <w:lang w:eastAsia="en-ZA"/>
        </w:rPr>
      </w:pPr>
      <w:r w:rsidRPr="00507C65">
        <w:rPr>
          <w:rFonts w:ascii="Arial" w:eastAsia="MS Mincho" w:hAnsi="Arial" w:cs="Arial"/>
          <w:b/>
          <w:sz w:val="24"/>
          <w:szCs w:val="24"/>
          <w:lang w:eastAsia="en-ZA"/>
        </w:rPr>
        <w:t>ORDER</w:t>
      </w:r>
    </w:p>
    <w:p w14:paraId="1E3A8A8C" w14:textId="77777777" w:rsidR="009C14D0" w:rsidRPr="00507C65" w:rsidRDefault="009C14D0" w:rsidP="009C14D0">
      <w:pPr>
        <w:pBdr>
          <w:bottom w:val="single" w:sz="12" w:space="1" w:color="auto"/>
        </w:pBdr>
        <w:spacing w:after="0" w:line="360" w:lineRule="auto"/>
        <w:jc w:val="both"/>
        <w:rPr>
          <w:rFonts w:ascii="Arial" w:eastAsia="MS Mincho" w:hAnsi="Arial" w:cs="Arial"/>
          <w:b/>
          <w:sz w:val="24"/>
          <w:szCs w:val="24"/>
          <w:lang w:eastAsia="en-ZA"/>
        </w:rPr>
      </w:pPr>
    </w:p>
    <w:p w14:paraId="16F00E7C" w14:textId="77777777" w:rsidR="00B96F22" w:rsidRPr="00507C65" w:rsidRDefault="00B96F22" w:rsidP="00D779D5">
      <w:pPr>
        <w:spacing w:after="0" w:line="360" w:lineRule="auto"/>
        <w:jc w:val="both"/>
        <w:rPr>
          <w:rFonts w:ascii="Arial" w:eastAsia="MS Mincho" w:hAnsi="Arial" w:cs="Arial"/>
          <w:b/>
          <w:sz w:val="24"/>
          <w:szCs w:val="24"/>
          <w:lang w:val="en-GB"/>
        </w:rPr>
      </w:pPr>
    </w:p>
    <w:p w14:paraId="07E9DBED" w14:textId="3D342DCB" w:rsidR="009838BE" w:rsidRPr="00507C65" w:rsidRDefault="009838BE" w:rsidP="00D779D5">
      <w:pPr>
        <w:spacing w:after="0" w:line="360" w:lineRule="auto"/>
        <w:jc w:val="both"/>
        <w:rPr>
          <w:rFonts w:ascii="Arial" w:eastAsia="Times New Roman" w:hAnsi="Arial" w:cs="Arial"/>
          <w:b/>
          <w:sz w:val="24"/>
          <w:szCs w:val="24"/>
          <w:lang w:val="en-GB"/>
        </w:rPr>
      </w:pPr>
      <w:r w:rsidRPr="00507C65">
        <w:rPr>
          <w:rFonts w:ascii="Arial" w:eastAsia="MS Mincho" w:hAnsi="Arial" w:cs="Arial"/>
          <w:b/>
          <w:sz w:val="24"/>
          <w:szCs w:val="24"/>
          <w:lang w:val="en-GB"/>
        </w:rPr>
        <w:t>On appeal from:</w:t>
      </w:r>
      <w:r w:rsidRPr="00507C65">
        <w:rPr>
          <w:rFonts w:ascii="Arial" w:eastAsia="MS Mincho" w:hAnsi="Arial" w:cs="Arial"/>
          <w:sz w:val="24"/>
          <w:szCs w:val="24"/>
          <w:lang w:val="en-GB"/>
        </w:rPr>
        <w:t xml:space="preserve"> </w:t>
      </w:r>
      <w:r w:rsidR="00136B79" w:rsidRPr="00507C65">
        <w:rPr>
          <w:rFonts w:ascii="Arial" w:eastAsia="MS Mincho" w:hAnsi="Arial" w:cs="Arial"/>
          <w:sz w:val="24"/>
          <w:szCs w:val="24"/>
          <w:lang w:val="en-GB"/>
        </w:rPr>
        <w:t>KwaZulu-</w:t>
      </w:r>
      <w:r w:rsidRPr="00507C65">
        <w:rPr>
          <w:rFonts w:ascii="Arial" w:eastAsia="MS Mincho" w:hAnsi="Arial" w:cs="Arial"/>
          <w:sz w:val="24"/>
          <w:szCs w:val="24"/>
          <w:lang w:val="en-GB"/>
        </w:rPr>
        <w:t xml:space="preserve">Natal Division of the High Court, Pietermaritzburg (Vahed J, sitting as </w:t>
      </w:r>
      <w:r w:rsidR="00156394" w:rsidRPr="00507C65">
        <w:rPr>
          <w:rFonts w:ascii="Arial" w:eastAsia="MS Mincho" w:hAnsi="Arial" w:cs="Arial"/>
          <w:color w:val="000000" w:themeColor="text1"/>
          <w:sz w:val="24"/>
          <w:szCs w:val="24"/>
          <w:lang w:val="en-GB"/>
        </w:rPr>
        <w:t>c</w:t>
      </w:r>
      <w:r w:rsidR="00A80CD5" w:rsidRPr="00507C65">
        <w:rPr>
          <w:rFonts w:ascii="Arial" w:eastAsia="MS Mincho" w:hAnsi="Arial" w:cs="Arial"/>
          <w:sz w:val="24"/>
          <w:szCs w:val="24"/>
          <w:lang w:val="en-GB"/>
        </w:rPr>
        <w:t>ourt</w:t>
      </w:r>
      <w:r w:rsidRPr="00507C65">
        <w:rPr>
          <w:rFonts w:ascii="Arial" w:eastAsia="MS Mincho" w:hAnsi="Arial" w:cs="Arial"/>
          <w:sz w:val="24"/>
          <w:szCs w:val="24"/>
          <w:lang w:val="en-GB"/>
        </w:rPr>
        <w:t xml:space="preserve"> of first instance):</w:t>
      </w:r>
      <w:r w:rsidRPr="00507C65">
        <w:rPr>
          <w:rFonts w:ascii="Times New Roman" w:eastAsia="Times New Roman" w:hAnsi="Times New Roman" w:cs="Times New Roman"/>
          <w:sz w:val="24"/>
          <w:szCs w:val="24"/>
        </w:rPr>
        <w:t xml:space="preserve"> </w:t>
      </w:r>
    </w:p>
    <w:p w14:paraId="6827EF89" w14:textId="402CB565" w:rsidR="009838BE" w:rsidRPr="00507C65" w:rsidRDefault="005553DE" w:rsidP="00CB0AF2">
      <w:pPr>
        <w:spacing w:after="0" w:line="360" w:lineRule="auto"/>
        <w:ind w:left="720" w:hanging="720"/>
        <w:jc w:val="both"/>
        <w:rPr>
          <w:rFonts w:ascii="Arial" w:eastAsia="Times New Roman" w:hAnsi="Arial" w:cs="Arial"/>
          <w:sz w:val="24"/>
          <w:szCs w:val="24"/>
          <w:lang w:val="en-GB"/>
        </w:rPr>
      </w:pPr>
      <w:r w:rsidRPr="00507C65">
        <w:rPr>
          <w:rFonts w:ascii="Arial" w:eastAsia="Times New Roman" w:hAnsi="Arial" w:cs="Arial"/>
          <w:sz w:val="24"/>
          <w:szCs w:val="24"/>
          <w:lang w:val="en-GB"/>
        </w:rPr>
        <w:t>1</w:t>
      </w:r>
      <w:r w:rsidR="00B96F22" w:rsidRPr="00507C65">
        <w:rPr>
          <w:rFonts w:ascii="Arial" w:eastAsia="Times New Roman" w:hAnsi="Arial" w:cs="Arial"/>
          <w:sz w:val="24"/>
          <w:szCs w:val="24"/>
          <w:lang w:val="en-GB"/>
        </w:rPr>
        <w:tab/>
      </w:r>
      <w:r w:rsidR="00901914" w:rsidRPr="00507C65">
        <w:rPr>
          <w:rFonts w:ascii="Arial" w:eastAsia="Times New Roman" w:hAnsi="Arial" w:cs="Arial"/>
          <w:sz w:val="24"/>
          <w:szCs w:val="24"/>
          <w:lang w:val="en-GB"/>
        </w:rPr>
        <w:t>Save to the extent set out below, t</w:t>
      </w:r>
      <w:r w:rsidR="009838BE" w:rsidRPr="00507C65">
        <w:rPr>
          <w:rFonts w:ascii="Arial" w:eastAsia="Times New Roman" w:hAnsi="Arial" w:cs="Arial"/>
          <w:sz w:val="24"/>
          <w:szCs w:val="24"/>
          <w:lang w:val="en-GB"/>
        </w:rPr>
        <w:t>he appeal is dismissed with costs to be paid by the second appellant.</w:t>
      </w:r>
    </w:p>
    <w:p w14:paraId="5F1D4564" w14:textId="4BED780C" w:rsidR="009838BE" w:rsidRPr="00507C65" w:rsidRDefault="009838BE" w:rsidP="00D779D5">
      <w:pPr>
        <w:spacing w:after="0" w:line="360" w:lineRule="auto"/>
        <w:jc w:val="both"/>
        <w:rPr>
          <w:rFonts w:ascii="Arial" w:eastAsia="Times New Roman" w:hAnsi="Arial" w:cs="Arial"/>
          <w:sz w:val="24"/>
          <w:szCs w:val="24"/>
          <w:lang w:val="en-GB"/>
        </w:rPr>
      </w:pPr>
      <w:r w:rsidRPr="00507C65">
        <w:rPr>
          <w:rFonts w:ascii="Arial" w:eastAsia="Times New Roman" w:hAnsi="Arial" w:cs="Arial"/>
          <w:sz w:val="24"/>
          <w:szCs w:val="24"/>
          <w:lang w:val="en-GB"/>
        </w:rPr>
        <w:t>2</w:t>
      </w:r>
      <w:r w:rsidR="00B96F22" w:rsidRPr="00507C65">
        <w:rPr>
          <w:rFonts w:ascii="Arial" w:eastAsia="Times New Roman" w:hAnsi="Arial" w:cs="Arial"/>
          <w:sz w:val="24"/>
          <w:szCs w:val="24"/>
          <w:lang w:val="en-GB"/>
        </w:rPr>
        <w:tab/>
      </w:r>
      <w:r w:rsidRPr="00507C65">
        <w:rPr>
          <w:rFonts w:ascii="Arial" w:eastAsia="Times New Roman" w:hAnsi="Arial" w:cs="Arial"/>
          <w:sz w:val="24"/>
          <w:szCs w:val="24"/>
          <w:lang w:val="en-GB"/>
        </w:rPr>
        <w:t xml:space="preserve">Paragraph </w:t>
      </w:r>
      <w:r w:rsidR="00901914" w:rsidRPr="00507C65">
        <w:rPr>
          <w:rFonts w:ascii="Arial" w:eastAsia="Times New Roman" w:hAnsi="Arial" w:cs="Arial"/>
          <w:sz w:val="24"/>
          <w:szCs w:val="24"/>
          <w:lang w:val="en-GB"/>
        </w:rPr>
        <w:t>d</w:t>
      </w:r>
      <w:r w:rsidR="00F83F8B" w:rsidRPr="00507C65">
        <w:rPr>
          <w:rFonts w:ascii="Arial" w:eastAsia="Times New Roman" w:hAnsi="Arial" w:cs="Arial"/>
          <w:sz w:val="24"/>
          <w:szCs w:val="24"/>
          <w:lang w:val="en-GB"/>
        </w:rPr>
        <w:t xml:space="preserve"> of the order of the H</w:t>
      </w:r>
      <w:r w:rsidRPr="00507C65">
        <w:rPr>
          <w:rFonts w:ascii="Arial" w:eastAsia="Times New Roman" w:hAnsi="Arial" w:cs="Arial"/>
          <w:sz w:val="24"/>
          <w:szCs w:val="24"/>
          <w:lang w:val="en-GB"/>
        </w:rPr>
        <w:t xml:space="preserve">igh </w:t>
      </w:r>
      <w:r w:rsidR="00F83F8B" w:rsidRPr="00507C65">
        <w:rPr>
          <w:rFonts w:ascii="Arial" w:eastAsia="Times New Roman" w:hAnsi="Arial" w:cs="Arial"/>
          <w:sz w:val="24"/>
          <w:szCs w:val="24"/>
          <w:lang w:val="en-GB"/>
        </w:rPr>
        <w:t>C</w:t>
      </w:r>
      <w:r w:rsidR="00A80CD5" w:rsidRPr="00507C65">
        <w:rPr>
          <w:rFonts w:ascii="Arial" w:eastAsia="Times New Roman" w:hAnsi="Arial" w:cs="Arial"/>
          <w:sz w:val="24"/>
          <w:szCs w:val="24"/>
          <w:lang w:val="en-GB"/>
        </w:rPr>
        <w:t>ourt</w:t>
      </w:r>
      <w:r w:rsidRPr="00507C65">
        <w:rPr>
          <w:rFonts w:ascii="Arial" w:eastAsia="Times New Roman" w:hAnsi="Arial" w:cs="Arial"/>
          <w:sz w:val="24"/>
          <w:szCs w:val="24"/>
          <w:lang w:val="en-GB"/>
        </w:rPr>
        <w:t xml:space="preserve"> is set aside and replaced with the </w:t>
      </w:r>
      <w:r w:rsidR="00B96F22" w:rsidRPr="00507C65">
        <w:rPr>
          <w:rFonts w:ascii="Arial" w:eastAsia="Times New Roman" w:hAnsi="Arial" w:cs="Arial"/>
          <w:sz w:val="24"/>
          <w:szCs w:val="24"/>
          <w:lang w:val="en-GB"/>
        </w:rPr>
        <w:tab/>
      </w:r>
      <w:r w:rsidRPr="00507C65">
        <w:rPr>
          <w:rFonts w:ascii="Arial" w:eastAsia="Times New Roman" w:hAnsi="Arial" w:cs="Arial"/>
          <w:sz w:val="24"/>
          <w:szCs w:val="24"/>
          <w:lang w:val="en-GB"/>
        </w:rPr>
        <w:t>following:</w:t>
      </w:r>
    </w:p>
    <w:p w14:paraId="00FBF961" w14:textId="447E56F0" w:rsidR="009838BE" w:rsidRPr="00507C65" w:rsidRDefault="00D4222B" w:rsidP="00CB0AF2">
      <w:pPr>
        <w:spacing w:after="0" w:line="360" w:lineRule="auto"/>
        <w:ind w:left="720"/>
        <w:jc w:val="both"/>
        <w:rPr>
          <w:rFonts w:ascii="Arial" w:eastAsia="Times New Roman" w:hAnsi="Arial" w:cs="Arial"/>
          <w:sz w:val="24"/>
          <w:szCs w:val="24"/>
          <w:lang w:val="en-GB"/>
        </w:rPr>
      </w:pPr>
      <w:r w:rsidRPr="00507C65">
        <w:rPr>
          <w:rFonts w:ascii="Arial" w:eastAsia="Times New Roman" w:hAnsi="Arial" w:cs="Arial"/>
          <w:sz w:val="24"/>
          <w:szCs w:val="24"/>
          <w:lang w:val="en-GB"/>
        </w:rPr>
        <w:t>‘</w:t>
      </w:r>
      <w:r w:rsidR="00AD5E80" w:rsidRPr="00507C65">
        <w:rPr>
          <w:rFonts w:ascii="Arial" w:eastAsia="Times New Roman" w:hAnsi="Arial" w:cs="Arial"/>
          <w:sz w:val="24"/>
          <w:szCs w:val="24"/>
          <w:lang w:val="en-GB"/>
        </w:rPr>
        <w:t>The second app</w:t>
      </w:r>
      <w:r w:rsidR="00901914" w:rsidRPr="00507C65">
        <w:rPr>
          <w:rFonts w:ascii="Arial" w:eastAsia="Times New Roman" w:hAnsi="Arial" w:cs="Arial"/>
          <w:sz w:val="24"/>
          <w:szCs w:val="24"/>
          <w:lang w:val="en-GB"/>
        </w:rPr>
        <w:t>licant</w:t>
      </w:r>
      <w:r w:rsidR="009838BE" w:rsidRPr="00507C65">
        <w:rPr>
          <w:rFonts w:ascii="Arial" w:eastAsia="Times New Roman" w:hAnsi="Arial" w:cs="Arial"/>
          <w:sz w:val="24"/>
          <w:szCs w:val="24"/>
          <w:lang w:val="en-GB"/>
        </w:rPr>
        <w:t xml:space="preserve"> is directed to pay the costs</w:t>
      </w:r>
      <w:r w:rsidR="00AD5E80" w:rsidRPr="00507C65">
        <w:rPr>
          <w:rFonts w:ascii="Arial" w:eastAsia="Times New Roman" w:hAnsi="Arial" w:cs="Arial"/>
          <w:sz w:val="24"/>
          <w:szCs w:val="24"/>
          <w:lang w:val="en-GB"/>
        </w:rPr>
        <w:t xml:space="preserve"> of the application</w:t>
      </w:r>
      <w:r w:rsidR="008A6718" w:rsidRPr="00507C65">
        <w:rPr>
          <w:rFonts w:ascii="Arial" w:eastAsia="Times New Roman" w:hAnsi="Arial" w:cs="Arial"/>
          <w:sz w:val="24"/>
          <w:szCs w:val="24"/>
          <w:lang w:val="en-GB"/>
        </w:rPr>
        <w:t>s</w:t>
      </w:r>
      <w:r w:rsidR="009838BE" w:rsidRPr="00507C65">
        <w:rPr>
          <w:rFonts w:ascii="Arial" w:eastAsia="Times New Roman" w:hAnsi="Arial" w:cs="Arial"/>
          <w:sz w:val="24"/>
          <w:szCs w:val="24"/>
          <w:lang w:val="en-GB"/>
        </w:rPr>
        <w:t xml:space="preserve">, </w:t>
      </w:r>
      <w:r w:rsidR="00AD5E80" w:rsidRPr="00507C65">
        <w:rPr>
          <w:rFonts w:ascii="Arial" w:eastAsia="Times New Roman" w:hAnsi="Arial" w:cs="Arial"/>
          <w:sz w:val="24"/>
          <w:szCs w:val="24"/>
          <w:lang w:val="en-GB"/>
        </w:rPr>
        <w:t>including the costs of 14 May 2021</w:t>
      </w:r>
      <w:r w:rsidR="009838BE" w:rsidRPr="00507C65">
        <w:rPr>
          <w:rFonts w:ascii="Arial" w:eastAsia="Times New Roman" w:hAnsi="Arial" w:cs="Arial"/>
          <w:sz w:val="24"/>
          <w:szCs w:val="24"/>
          <w:lang w:val="en-GB"/>
        </w:rPr>
        <w:t>.</w:t>
      </w:r>
      <w:r w:rsidRPr="00507C65">
        <w:rPr>
          <w:rFonts w:ascii="Arial" w:eastAsia="Times New Roman" w:hAnsi="Arial" w:cs="Arial"/>
          <w:sz w:val="24"/>
          <w:szCs w:val="24"/>
          <w:lang w:val="en-GB"/>
        </w:rPr>
        <w:t>’</w:t>
      </w:r>
    </w:p>
    <w:p w14:paraId="5D9AAEDE" w14:textId="77777777" w:rsidR="009838BE" w:rsidRPr="00507C65" w:rsidRDefault="009838BE" w:rsidP="00D779D5">
      <w:pPr>
        <w:pBdr>
          <w:bottom w:val="single" w:sz="12" w:space="1" w:color="auto"/>
        </w:pBdr>
        <w:spacing w:after="0" w:line="360" w:lineRule="auto"/>
        <w:jc w:val="both"/>
        <w:rPr>
          <w:rFonts w:ascii="Arial" w:eastAsia="MS Mincho" w:hAnsi="Arial" w:cs="Arial"/>
          <w:b/>
          <w:sz w:val="24"/>
          <w:szCs w:val="24"/>
          <w:lang w:eastAsia="en-ZA"/>
        </w:rPr>
      </w:pPr>
    </w:p>
    <w:p w14:paraId="12335012" w14:textId="77777777" w:rsidR="009838BE" w:rsidRPr="00507C65" w:rsidRDefault="009838BE" w:rsidP="00D779D5">
      <w:pPr>
        <w:spacing w:after="0" w:line="360" w:lineRule="auto"/>
        <w:jc w:val="both"/>
        <w:rPr>
          <w:rFonts w:ascii="Arial" w:eastAsia="MS Mincho" w:hAnsi="Arial" w:cs="Arial"/>
          <w:b/>
          <w:sz w:val="24"/>
          <w:szCs w:val="24"/>
          <w:lang w:eastAsia="en-ZA"/>
        </w:rPr>
      </w:pPr>
    </w:p>
    <w:p w14:paraId="5593842D" w14:textId="77777777" w:rsidR="009838BE" w:rsidRPr="00507C65" w:rsidRDefault="009838BE" w:rsidP="009C14D0">
      <w:pPr>
        <w:pBdr>
          <w:bottom w:val="single" w:sz="12" w:space="1" w:color="auto"/>
        </w:pBdr>
        <w:spacing w:after="0" w:line="360" w:lineRule="auto"/>
        <w:jc w:val="center"/>
        <w:rPr>
          <w:rFonts w:ascii="Arial" w:eastAsia="MS Mincho" w:hAnsi="Arial" w:cs="Arial"/>
          <w:b/>
          <w:sz w:val="24"/>
          <w:szCs w:val="24"/>
          <w:lang w:eastAsia="en-ZA"/>
        </w:rPr>
      </w:pPr>
      <w:r w:rsidRPr="00507C65">
        <w:rPr>
          <w:rFonts w:ascii="Arial" w:eastAsia="MS Mincho" w:hAnsi="Arial" w:cs="Arial"/>
          <w:b/>
          <w:sz w:val="24"/>
          <w:szCs w:val="24"/>
          <w:lang w:eastAsia="en-ZA"/>
        </w:rPr>
        <w:t>JUDGMENT</w:t>
      </w:r>
    </w:p>
    <w:p w14:paraId="174290AF" w14:textId="77777777" w:rsidR="009838BE" w:rsidRPr="00507C65" w:rsidRDefault="009838BE" w:rsidP="00D779D5">
      <w:pPr>
        <w:pBdr>
          <w:bottom w:val="single" w:sz="12" w:space="1" w:color="auto"/>
        </w:pBdr>
        <w:spacing w:after="0" w:line="360" w:lineRule="auto"/>
        <w:jc w:val="both"/>
        <w:rPr>
          <w:rFonts w:ascii="Arial" w:eastAsia="MS Mincho" w:hAnsi="Arial" w:cs="Arial"/>
          <w:b/>
          <w:sz w:val="24"/>
          <w:szCs w:val="24"/>
          <w:lang w:eastAsia="en-ZA"/>
        </w:rPr>
      </w:pPr>
    </w:p>
    <w:p w14:paraId="5EBDD000" w14:textId="77777777" w:rsidR="00D4222B" w:rsidRPr="00507C65" w:rsidRDefault="00D4222B" w:rsidP="00D779D5">
      <w:pPr>
        <w:spacing w:after="0" w:line="360" w:lineRule="auto"/>
        <w:jc w:val="both"/>
        <w:rPr>
          <w:rFonts w:ascii="Arial" w:eastAsia="MS Mincho" w:hAnsi="Arial" w:cs="Arial"/>
          <w:b/>
          <w:sz w:val="24"/>
          <w:szCs w:val="24"/>
          <w:lang w:eastAsia="en-ZA"/>
        </w:rPr>
      </w:pPr>
    </w:p>
    <w:p w14:paraId="6FB55759" w14:textId="0B8FD6A4" w:rsidR="009838BE" w:rsidRPr="00507C65" w:rsidRDefault="00866229" w:rsidP="00D779D5">
      <w:pPr>
        <w:spacing w:after="0" w:line="360" w:lineRule="auto"/>
        <w:jc w:val="both"/>
        <w:rPr>
          <w:rFonts w:ascii="Arial" w:eastAsia="MS Mincho" w:hAnsi="Arial" w:cs="Arial"/>
          <w:b/>
          <w:sz w:val="24"/>
          <w:szCs w:val="24"/>
          <w:lang w:eastAsia="en-ZA"/>
        </w:rPr>
      </w:pPr>
      <w:r>
        <w:rPr>
          <w:rFonts w:ascii="Arial" w:eastAsia="MS Mincho" w:hAnsi="Arial" w:cs="Arial"/>
          <w:b/>
          <w:sz w:val="24"/>
          <w:szCs w:val="24"/>
          <w:lang w:eastAsia="en-ZA"/>
        </w:rPr>
        <w:t xml:space="preserve">Van der Merwe and </w:t>
      </w:r>
      <w:r w:rsidR="00AD5E80" w:rsidRPr="00507C65">
        <w:rPr>
          <w:rFonts w:ascii="Arial" w:eastAsia="MS Mincho" w:hAnsi="Arial" w:cs="Arial"/>
          <w:b/>
          <w:sz w:val="24"/>
          <w:szCs w:val="24"/>
          <w:lang w:eastAsia="en-ZA"/>
        </w:rPr>
        <w:t>Matojane</w:t>
      </w:r>
      <w:r w:rsidR="009838BE" w:rsidRPr="00507C65">
        <w:rPr>
          <w:rFonts w:ascii="Arial" w:eastAsia="MS Mincho" w:hAnsi="Arial" w:cs="Arial"/>
          <w:b/>
          <w:sz w:val="24"/>
          <w:szCs w:val="24"/>
          <w:lang w:eastAsia="en-ZA"/>
        </w:rPr>
        <w:t xml:space="preserve"> </w:t>
      </w:r>
      <w:r w:rsidR="00B57535">
        <w:rPr>
          <w:rFonts w:ascii="Arial" w:eastAsia="MS Mincho" w:hAnsi="Arial" w:cs="Arial"/>
          <w:b/>
          <w:sz w:val="24"/>
          <w:szCs w:val="24"/>
          <w:lang w:eastAsia="en-ZA"/>
        </w:rPr>
        <w:t>J</w:t>
      </w:r>
      <w:r w:rsidR="009838BE" w:rsidRPr="00507C65">
        <w:rPr>
          <w:rFonts w:ascii="Arial" w:eastAsia="MS Mincho" w:hAnsi="Arial" w:cs="Arial"/>
          <w:b/>
          <w:sz w:val="24"/>
          <w:szCs w:val="24"/>
          <w:lang w:eastAsia="en-ZA"/>
        </w:rPr>
        <w:t>JA (</w:t>
      </w:r>
      <w:r w:rsidR="00BF567A" w:rsidRPr="00507C65">
        <w:rPr>
          <w:rFonts w:ascii="Arial" w:eastAsia="MS Mincho" w:hAnsi="Arial" w:cs="Arial"/>
          <w:b/>
          <w:sz w:val="24"/>
          <w:szCs w:val="24"/>
          <w:lang w:eastAsia="en-ZA"/>
        </w:rPr>
        <w:t>Sch</w:t>
      </w:r>
      <w:r w:rsidR="004F2610" w:rsidRPr="00507C65">
        <w:rPr>
          <w:rFonts w:ascii="Arial" w:eastAsia="MS Mincho" w:hAnsi="Arial" w:cs="Arial"/>
          <w:b/>
          <w:sz w:val="24"/>
          <w:szCs w:val="24"/>
          <w:lang w:eastAsia="en-ZA"/>
        </w:rPr>
        <w:t>ip</w:t>
      </w:r>
      <w:r w:rsidR="00BF567A" w:rsidRPr="00507C65">
        <w:rPr>
          <w:rFonts w:ascii="Arial" w:eastAsia="MS Mincho" w:hAnsi="Arial" w:cs="Arial"/>
          <w:b/>
          <w:sz w:val="24"/>
          <w:szCs w:val="24"/>
          <w:lang w:eastAsia="en-ZA"/>
        </w:rPr>
        <w:t>pers</w:t>
      </w:r>
      <w:r w:rsidR="00191CE0" w:rsidRPr="00507C65">
        <w:rPr>
          <w:rFonts w:ascii="Arial" w:eastAsia="MS Mincho" w:hAnsi="Arial" w:cs="Arial"/>
          <w:b/>
          <w:sz w:val="24"/>
          <w:szCs w:val="24"/>
          <w:lang w:eastAsia="en-ZA"/>
        </w:rPr>
        <w:t xml:space="preserve"> and </w:t>
      </w:r>
      <w:r w:rsidR="00BF567A" w:rsidRPr="00507C65">
        <w:rPr>
          <w:rFonts w:ascii="Arial" w:eastAsia="MS Mincho" w:hAnsi="Arial" w:cs="Arial"/>
          <w:b/>
          <w:sz w:val="24"/>
          <w:szCs w:val="24"/>
          <w:lang w:eastAsia="en-ZA"/>
        </w:rPr>
        <w:t>Go</w:t>
      </w:r>
      <w:r w:rsidR="00191CE0" w:rsidRPr="00507C65">
        <w:rPr>
          <w:rFonts w:ascii="Arial" w:eastAsia="MS Mincho" w:hAnsi="Arial" w:cs="Arial"/>
          <w:b/>
          <w:sz w:val="24"/>
          <w:szCs w:val="24"/>
          <w:lang w:eastAsia="en-ZA"/>
        </w:rPr>
        <w:t>r</w:t>
      </w:r>
      <w:r w:rsidR="00BF567A" w:rsidRPr="00507C65">
        <w:rPr>
          <w:rFonts w:ascii="Arial" w:eastAsia="MS Mincho" w:hAnsi="Arial" w:cs="Arial"/>
          <w:b/>
          <w:sz w:val="24"/>
          <w:szCs w:val="24"/>
          <w:lang w:eastAsia="en-ZA"/>
        </w:rPr>
        <w:t>ven</w:t>
      </w:r>
      <w:r w:rsidR="009838BE" w:rsidRPr="00507C65">
        <w:rPr>
          <w:rFonts w:ascii="Arial" w:eastAsia="MS Mincho" w:hAnsi="Arial" w:cs="Arial"/>
          <w:b/>
          <w:sz w:val="24"/>
          <w:szCs w:val="24"/>
          <w:lang w:eastAsia="en-ZA"/>
        </w:rPr>
        <w:t xml:space="preserve"> </w:t>
      </w:r>
      <w:r w:rsidR="00191CE0" w:rsidRPr="00507C65">
        <w:rPr>
          <w:rFonts w:ascii="Arial" w:eastAsia="MS Mincho" w:hAnsi="Arial" w:cs="Arial"/>
          <w:b/>
          <w:sz w:val="24"/>
          <w:szCs w:val="24"/>
          <w:lang w:eastAsia="en-ZA"/>
        </w:rPr>
        <w:t xml:space="preserve">JJA </w:t>
      </w:r>
      <w:r w:rsidR="00FD6319" w:rsidRPr="00507C65">
        <w:rPr>
          <w:rFonts w:ascii="Arial" w:eastAsia="MS Mincho" w:hAnsi="Arial" w:cs="Arial"/>
          <w:b/>
          <w:sz w:val="24"/>
          <w:szCs w:val="24"/>
          <w:lang w:eastAsia="en-ZA"/>
        </w:rPr>
        <w:t xml:space="preserve">and Kathree-Setiloane AJA </w:t>
      </w:r>
      <w:r w:rsidR="009838BE" w:rsidRPr="00507C65">
        <w:rPr>
          <w:rFonts w:ascii="Arial" w:eastAsia="MS Mincho" w:hAnsi="Arial" w:cs="Arial"/>
          <w:b/>
          <w:sz w:val="24"/>
          <w:szCs w:val="24"/>
          <w:lang w:eastAsia="en-ZA"/>
        </w:rPr>
        <w:t>concurring):</w:t>
      </w:r>
    </w:p>
    <w:p w14:paraId="3E7C181E" w14:textId="77777777" w:rsidR="002028CB" w:rsidRPr="00507C65" w:rsidRDefault="002028CB" w:rsidP="00C91B1D">
      <w:pPr>
        <w:spacing w:after="0" w:line="360" w:lineRule="auto"/>
        <w:jc w:val="both"/>
        <w:rPr>
          <w:rFonts w:ascii="Arial" w:hAnsi="Arial" w:cs="Arial"/>
          <w:sz w:val="24"/>
          <w:szCs w:val="24"/>
        </w:rPr>
      </w:pPr>
    </w:p>
    <w:p w14:paraId="1AE4E001" w14:textId="352A9AA9" w:rsidR="00032223" w:rsidRPr="00507C65" w:rsidRDefault="005B3665" w:rsidP="00D779D5">
      <w:pPr>
        <w:spacing w:line="360" w:lineRule="auto"/>
        <w:jc w:val="both"/>
        <w:rPr>
          <w:rFonts w:ascii="Arial" w:hAnsi="Arial" w:cs="Arial"/>
          <w:b/>
          <w:sz w:val="24"/>
          <w:szCs w:val="24"/>
        </w:rPr>
      </w:pPr>
      <w:r w:rsidRPr="00507C65">
        <w:rPr>
          <w:rFonts w:ascii="Arial" w:hAnsi="Arial" w:cs="Arial"/>
          <w:b/>
          <w:sz w:val="24"/>
          <w:szCs w:val="24"/>
        </w:rPr>
        <w:t>Introduction</w:t>
      </w:r>
    </w:p>
    <w:p w14:paraId="597244C7" w14:textId="25A27694" w:rsidR="00BE4460" w:rsidRPr="00507C65" w:rsidRDefault="00BE4460"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[1]</w:t>
      </w:r>
      <w:r w:rsidRPr="00507C65">
        <w:rPr>
          <w:rFonts w:ascii="Arial" w:hAnsi="Arial" w:cs="Arial"/>
          <w:sz w:val="24"/>
          <w:szCs w:val="24"/>
          <w:lang w:val="en-US"/>
        </w:rPr>
        <w:tab/>
        <w:t xml:space="preserve">The </w:t>
      </w:r>
      <w:r w:rsidR="00304D3D" w:rsidRPr="00507C65">
        <w:rPr>
          <w:rFonts w:ascii="Arial" w:hAnsi="Arial" w:cs="Arial"/>
          <w:sz w:val="24"/>
          <w:szCs w:val="24"/>
          <w:lang w:val="en-US"/>
        </w:rPr>
        <w:t xml:space="preserve">first </w:t>
      </w:r>
      <w:r w:rsidRPr="00507C65">
        <w:rPr>
          <w:rFonts w:ascii="Arial" w:hAnsi="Arial" w:cs="Arial"/>
          <w:sz w:val="24"/>
          <w:szCs w:val="24"/>
          <w:lang w:val="en-US"/>
        </w:rPr>
        <w:t xml:space="preserve">appellant, Mystic River Investments 45 (Pty) Ltd (Mystic River) and </w:t>
      </w:r>
      <w:r w:rsidR="00304D3D" w:rsidRPr="00507C65">
        <w:rPr>
          <w:rFonts w:ascii="Arial" w:hAnsi="Arial" w:cs="Arial"/>
          <w:sz w:val="24"/>
          <w:szCs w:val="24"/>
          <w:lang w:val="en-US"/>
        </w:rPr>
        <w:t xml:space="preserve">the second appellant, </w:t>
      </w:r>
      <w:r w:rsidRPr="00507C65">
        <w:rPr>
          <w:rFonts w:ascii="Arial" w:hAnsi="Arial" w:cs="Arial"/>
          <w:sz w:val="24"/>
          <w:szCs w:val="24"/>
          <w:lang w:val="en-US"/>
        </w:rPr>
        <w:t>Mr Karim Issa M</w:t>
      </w:r>
      <w:r w:rsidR="0097495D" w:rsidRPr="00507C65">
        <w:rPr>
          <w:rFonts w:ascii="Arial" w:hAnsi="Arial" w:cs="Arial"/>
          <w:sz w:val="24"/>
          <w:szCs w:val="24"/>
          <w:lang w:val="en-US"/>
        </w:rPr>
        <w:t>awji</w:t>
      </w:r>
      <w:r w:rsidRPr="00507C65">
        <w:rPr>
          <w:rFonts w:ascii="Arial" w:hAnsi="Arial" w:cs="Arial"/>
          <w:sz w:val="24"/>
          <w:szCs w:val="24"/>
          <w:lang w:val="en-US"/>
        </w:rPr>
        <w:t xml:space="preserve">, instituted </w:t>
      </w:r>
      <w:r w:rsidR="00304D3D" w:rsidRPr="00507C65">
        <w:rPr>
          <w:rFonts w:ascii="Arial" w:hAnsi="Arial" w:cs="Arial"/>
          <w:sz w:val="24"/>
          <w:szCs w:val="24"/>
          <w:lang w:val="en-US"/>
        </w:rPr>
        <w:t>an application</w:t>
      </w:r>
      <w:r w:rsidRPr="00507C65">
        <w:rPr>
          <w:rFonts w:ascii="Arial" w:hAnsi="Arial" w:cs="Arial"/>
          <w:sz w:val="24"/>
          <w:szCs w:val="24"/>
          <w:lang w:val="en-US"/>
        </w:rPr>
        <w:t xml:space="preserve"> against the respondents in </w:t>
      </w:r>
      <w:r w:rsidR="00D4222B" w:rsidRPr="00507C65">
        <w:rPr>
          <w:rFonts w:ascii="Arial" w:hAnsi="Arial" w:cs="Arial"/>
          <w:sz w:val="24"/>
          <w:szCs w:val="24"/>
          <w:lang w:val="en-US"/>
        </w:rPr>
        <w:t xml:space="preserve">the </w:t>
      </w:r>
      <w:r w:rsidR="00D4222B" w:rsidRPr="00507C65">
        <w:rPr>
          <w:rFonts w:ascii="Arial" w:hAnsi="Arial" w:cs="Arial"/>
          <w:sz w:val="24"/>
          <w:szCs w:val="24"/>
          <w:lang w:val="en-GB"/>
        </w:rPr>
        <w:t>KwaZulu-Natal Division of the High Court, Pietermaritzburg</w:t>
      </w:r>
      <w:r w:rsidRPr="00507C65">
        <w:rPr>
          <w:rFonts w:ascii="Arial" w:hAnsi="Arial" w:cs="Arial"/>
          <w:sz w:val="24"/>
          <w:szCs w:val="24"/>
          <w:lang w:val="en-US"/>
        </w:rPr>
        <w:t xml:space="preserve"> (the high </w:t>
      </w:r>
      <w:r w:rsidR="00304D3D" w:rsidRPr="00507C65">
        <w:rPr>
          <w:rFonts w:ascii="Arial" w:hAnsi="Arial" w:cs="Arial"/>
          <w:sz w:val="24"/>
          <w:szCs w:val="24"/>
          <w:lang w:val="en-US"/>
        </w:rPr>
        <w:t>c</w:t>
      </w:r>
      <w:r w:rsidR="00A80CD5" w:rsidRPr="00507C65">
        <w:rPr>
          <w:rFonts w:ascii="Arial" w:hAnsi="Arial" w:cs="Arial"/>
          <w:sz w:val="24"/>
          <w:szCs w:val="24"/>
          <w:lang w:val="en-US"/>
        </w:rPr>
        <w:t>ourt</w:t>
      </w:r>
      <w:r w:rsidRPr="00507C65">
        <w:rPr>
          <w:rFonts w:ascii="Arial" w:hAnsi="Arial" w:cs="Arial"/>
          <w:sz w:val="24"/>
          <w:szCs w:val="24"/>
          <w:lang w:val="en-US"/>
        </w:rPr>
        <w:t>)</w:t>
      </w:r>
      <w:r w:rsidR="00304D3D" w:rsidRPr="00507C65">
        <w:rPr>
          <w:rFonts w:ascii="Arial" w:hAnsi="Arial" w:cs="Arial"/>
          <w:sz w:val="24"/>
          <w:szCs w:val="24"/>
          <w:lang w:val="en-US"/>
        </w:rPr>
        <w:t>. The first respondent is Zayeed Paruk Incorporated</w:t>
      </w:r>
      <w:r w:rsidR="00191CE0" w:rsidRPr="00507C65">
        <w:rPr>
          <w:rFonts w:ascii="Arial" w:hAnsi="Arial" w:cs="Arial"/>
          <w:sz w:val="24"/>
          <w:szCs w:val="24"/>
          <w:lang w:val="en-US"/>
        </w:rPr>
        <w:t>,</w:t>
      </w:r>
      <w:r w:rsidR="00304D3D" w:rsidRPr="00507C65">
        <w:rPr>
          <w:rFonts w:ascii="Arial" w:hAnsi="Arial" w:cs="Arial"/>
          <w:sz w:val="24"/>
          <w:szCs w:val="24"/>
          <w:lang w:val="en-US"/>
        </w:rPr>
        <w:t xml:space="preserve"> and the second respondent is Mr Naushad Mahomed Ismail Abdoola. The third, fourth and fif</w:t>
      </w:r>
      <w:r w:rsidR="006336D0" w:rsidRPr="00507C65">
        <w:rPr>
          <w:rFonts w:ascii="Arial" w:hAnsi="Arial" w:cs="Arial"/>
          <w:sz w:val="24"/>
          <w:szCs w:val="24"/>
          <w:lang w:val="en-US"/>
        </w:rPr>
        <w:t xml:space="preserve">th respondents are Mr </w:t>
      </w:r>
      <w:r w:rsidR="00304D3D" w:rsidRPr="00507C65">
        <w:rPr>
          <w:rFonts w:ascii="Arial" w:hAnsi="Arial" w:cs="Arial"/>
          <w:sz w:val="24"/>
          <w:szCs w:val="24"/>
          <w:lang w:val="en-US"/>
        </w:rPr>
        <w:t xml:space="preserve">Shaukat Ali Moosa, </w:t>
      </w:r>
      <w:r w:rsidR="006336D0" w:rsidRPr="00507C65">
        <w:rPr>
          <w:rFonts w:ascii="Arial" w:hAnsi="Arial" w:cs="Arial"/>
          <w:sz w:val="24"/>
          <w:szCs w:val="24"/>
          <w:lang w:val="en-US"/>
        </w:rPr>
        <w:t>Mr Salim Mahomed Moosa and Mr Goolam Hoosen Moosa</w:t>
      </w:r>
      <w:r w:rsidR="00191CE0" w:rsidRPr="00507C65">
        <w:rPr>
          <w:rFonts w:ascii="Arial" w:hAnsi="Arial" w:cs="Arial"/>
          <w:sz w:val="24"/>
          <w:szCs w:val="24"/>
          <w:lang w:val="en-US"/>
        </w:rPr>
        <w:t>,</w:t>
      </w:r>
      <w:r w:rsidR="006336D0" w:rsidRPr="00507C65">
        <w:rPr>
          <w:rFonts w:ascii="Arial" w:hAnsi="Arial" w:cs="Arial"/>
          <w:sz w:val="24"/>
          <w:szCs w:val="24"/>
          <w:lang w:val="en-US"/>
        </w:rPr>
        <w:t xml:space="preserve"> respectively (the Moosa brothers). On the back of allegations that the respondents had ‘hijacked’ and were ‘looting’ Mystic River, the appellants sought </w:t>
      </w:r>
      <w:r w:rsidRPr="00507C65">
        <w:rPr>
          <w:rFonts w:ascii="Arial" w:hAnsi="Arial" w:cs="Arial"/>
          <w:sz w:val="24"/>
          <w:szCs w:val="24"/>
          <w:lang w:val="en-US"/>
        </w:rPr>
        <w:t>an order</w:t>
      </w:r>
      <w:r w:rsidR="006336D0" w:rsidRPr="00507C65">
        <w:rPr>
          <w:rFonts w:ascii="Arial" w:hAnsi="Arial" w:cs="Arial"/>
          <w:sz w:val="24"/>
          <w:szCs w:val="24"/>
          <w:lang w:val="en-US"/>
        </w:rPr>
        <w:t>:</w:t>
      </w:r>
      <w:r w:rsidRPr="00507C65">
        <w:rPr>
          <w:rFonts w:ascii="Arial" w:hAnsi="Arial" w:cs="Arial"/>
          <w:sz w:val="24"/>
          <w:szCs w:val="24"/>
          <w:lang w:val="en-US"/>
        </w:rPr>
        <w:t xml:space="preserve"> preventing the respondents from continuing </w:t>
      </w:r>
      <w:r w:rsidR="00D4222B" w:rsidRPr="00507C65">
        <w:rPr>
          <w:rFonts w:ascii="Arial" w:hAnsi="Arial" w:cs="Arial"/>
          <w:sz w:val="24"/>
          <w:szCs w:val="24"/>
          <w:lang w:val="en-US"/>
        </w:rPr>
        <w:t xml:space="preserve">to </w:t>
      </w:r>
      <w:r w:rsidRPr="00507C65">
        <w:rPr>
          <w:rFonts w:ascii="Arial" w:hAnsi="Arial" w:cs="Arial"/>
          <w:sz w:val="24"/>
          <w:szCs w:val="24"/>
          <w:lang w:val="en-US"/>
        </w:rPr>
        <w:t>unlawfully represent and make decisions purportedly on behalf</w:t>
      </w:r>
      <w:r w:rsidR="00136B79" w:rsidRPr="00507C65">
        <w:rPr>
          <w:rFonts w:ascii="Arial" w:hAnsi="Arial" w:cs="Arial"/>
          <w:sz w:val="24"/>
          <w:szCs w:val="24"/>
          <w:lang w:val="en-US"/>
        </w:rPr>
        <w:t xml:space="preserve"> of</w:t>
      </w:r>
      <w:r w:rsidR="004716A7" w:rsidRPr="00507C65">
        <w:rPr>
          <w:rFonts w:ascii="Arial" w:hAnsi="Arial" w:cs="Arial"/>
          <w:sz w:val="24"/>
          <w:szCs w:val="24"/>
          <w:lang w:val="en-US"/>
        </w:rPr>
        <w:t xml:space="preserve">, </w:t>
      </w:r>
      <w:r w:rsidRPr="00507C65">
        <w:rPr>
          <w:rFonts w:ascii="Arial" w:hAnsi="Arial" w:cs="Arial"/>
          <w:sz w:val="24"/>
          <w:szCs w:val="24"/>
          <w:lang w:val="en-US"/>
        </w:rPr>
        <w:t>or in the name of Mystic Rive</w:t>
      </w:r>
      <w:r w:rsidR="001062CA" w:rsidRPr="00507C65">
        <w:rPr>
          <w:rFonts w:ascii="Arial" w:hAnsi="Arial" w:cs="Arial"/>
          <w:sz w:val="24"/>
          <w:szCs w:val="24"/>
          <w:lang w:val="en-US"/>
        </w:rPr>
        <w:t>r</w:t>
      </w:r>
      <w:r w:rsidR="006336D0" w:rsidRPr="00507C65">
        <w:rPr>
          <w:rFonts w:ascii="Arial" w:hAnsi="Arial" w:cs="Arial"/>
          <w:sz w:val="24"/>
          <w:szCs w:val="24"/>
          <w:lang w:val="en-US"/>
        </w:rPr>
        <w:t>;</w:t>
      </w:r>
      <w:r w:rsidR="00A36DBD" w:rsidRPr="00507C65">
        <w:rPr>
          <w:rFonts w:ascii="Arial" w:hAnsi="Arial" w:cs="Arial"/>
          <w:sz w:val="24"/>
          <w:szCs w:val="24"/>
          <w:lang w:val="en-US"/>
        </w:rPr>
        <w:t xml:space="preserve"> </w:t>
      </w:r>
      <w:r w:rsidR="008C7C44" w:rsidRPr="00507C65">
        <w:rPr>
          <w:rFonts w:ascii="Arial" w:hAnsi="Arial" w:cs="Arial"/>
          <w:sz w:val="24"/>
          <w:szCs w:val="24"/>
          <w:lang w:val="en-US"/>
        </w:rPr>
        <w:t xml:space="preserve">ordering the respondents to </w:t>
      </w:r>
      <w:r w:rsidR="00227C34" w:rsidRPr="00507C65">
        <w:rPr>
          <w:rFonts w:ascii="Arial" w:hAnsi="Arial" w:cs="Arial"/>
          <w:sz w:val="24"/>
          <w:szCs w:val="24"/>
          <w:lang w:val="en-US"/>
        </w:rPr>
        <w:t>return</w:t>
      </w:r>
      <w:r w:rsidR="008C7C44" w:rsidRPr="00507C65">
        <w:rPr>
          <w:rFonts w:ascii="Arial" w:hAnsi="Arial" w:cs="Arial"/>
          <w:sz w:val="24"/>
          <w:szCs w:val="24"/>
          <w:lang w:val="en-US"/>
        </w:rPr>
        <w:t xml:space="preserve"> funds</w:t>
      </w:r>
      <w:r w:rsidR="008C7C44" w:rsidRPr="00507C65" w:rsidDel="008C7C44">
        <w:rPr>
          <w:rFonts w:ascii="Arial" w:hAnsi="Arial" w:cs="Arial"/>
          <w:sz w:val="24"/>
          <w:szCs w:val="24"/>
          <w:lang w:val="en-US"/>
        </w:rPr>
        <w:t xml:space="preserve"> </w:t>
      </w:r>
      <w:r w:rsidR="008C7C44" w:rsidRPr="00507C65">
        <w:rPr>
          <w:rFonts w:ascii="Arial" w:hAnsi="Arial" w:cs="Arial"/>
          <w:sz w:val="24"/>
          <w:szCs w:val="24"/>
          <w:lang w:val="en-US"/>
        </w:rPr>
        <w:t xml:space="preserve">belonging </w:t>
      </w:r>
      <w:r w:rsidR="00227C34" w:rsidRPr="00507C65">
        <w:rPr>
          <w:rFonts w:ascii="Arial" w:hAnsi="Arial" w:cs="Arial"/>
          <w:sz w:val="24"/>
          <w:szCs w:val="24"/>
          <w:lang w:val="en-US"/>
        </w:rPr>
        <w:t>to Mystic River</w:t>
      </w:r>
      <w:r w:rsidR="004C4618" w:rsidRPr="00507C65">
        <w:rPr>
          <w:rFonts w:ascii="Arial" w:hAnsi="Arial" w:cs="Arial"/>
          <w:sz w:val="24"/>
          <w:szCs w:val="24"/>
          <w:lang w:val="en-US"/>
        </w:rPr>
        <w:t>,</w:t>
      </w:r>
      <w:r w:rsidR="00227C34" w:rsidRPr="00507C65">
        <w:rPr>
          <w:rFonts w:ascii="Arial" w:hAnsi="Arial" w:cs="Arial"/>
          <w:sz w:val="24"/>
          <w:szCs w:val="24"/>
          <w:lang w:val="en-US"/>
        </w:rPr>
        <w:t xml:space="preserve"> which </w:t>
      </w:r>
      <w:r w:rsidR="00191CE0" w:rsidRPr="00507C65">
        <w:rPr>
          <w:rFonts w:ascii="Arial" w:hAnsi="Arial" w:cs="Arial"/>
          <w:sz w:val="24"/>
          <w:szCs w:val="24"/>
          <w:lang w:val="en-US"/>
        </w:rPr>
        <w:t>were</w:t>
      </w:r>
      <w:r w:rsidR="00227C34" w:rsidRPr="00507C65">
        <w:rPr>
          <w:rFonts w:ascii="Arial" w:hAnsi="Arial" w:cs="Arial"/>
          <w:sz w:val="24"/>
          <w:szCs w:val="24"/>
          <w:lang w:val="en-US"/>
        </w:rPr>
        <w:t xml:space="preserve"> misappropriated or </w:t>
      </w:r>
      <w:r w:rsidR="00227C34" w:rsidRPr="00507C65">
        <w:rPr>
          <w:rFonts w:ascii="Arial" w:hAnsi="Arial" w:cs="Arial"/>
          <w:sz w:val="24"/>
          <w:szCs w:val="24"/>
          <w:lang w:val="en-US"/>
        </w:rPr>
        <w:lastRenderedPageBreak/>
        <w:t xml:space="preserve">diverted from it; </w:t>
      </w:r>
      <w:r w:rsidRPr="00507C65">
        <w:rPr>
          <w:rFonts w:ascii="Arial" w:hAnsi="Arial" w:cs="Arial"/>
          <w:sz w:val="24"/>
          <w:szCs w:val="24"/>
          <w:lang w:val="en-US"/>
        </w:rPr>
        <w:t>compelling the respondents to provide full and proper account</w:t>
      </w:r>
      <w:r w:rsidR="00DD3D56" w:rsidRPr="00507C65">
        <w:rPr>
          <w:rFonts w:ascii="Arial" w:hAnsi="Arial" w:cs="Arial"/>
          <w:sz w:val="24"/>
          <w:szCs w:val="24"/>
          <w:lang w:val="en-US"/>
        </w:rPr>
        <w:t>s</w:t>
      </w:r>
      <w:r w:rsidRPr="00507C65">
        <w:rPr>
          <w:rFonts w:ascii="Arial" w:hAnsi="Arial" w:cs="Arial"/>
          <w:sz w:val="24"/>
          <w:szCs w:val="24"/>
          <w:lang w:val="en-US"/>
        </w:rPr>
        <w:t xml:space="preserve"> in respect of the affairs </w:t>
      </w:r>
      <w:r w:rsidR="005827EF" w:rsidRPr="00507C65">
        <w:rPr>
          <w:rFonts w:ascii="Arial" w:hAnsi="Arial" w:cs="Arial"/>
          <w:sz w:val="24"/>
          <w:szCs w:val="24"/>
          <w:lang w:val="en-US"/>
        </w:rPr>
        <w:t>of Mystic R</w:t>
      </w:r>
      <w:r w:rsidRPr="00507C65">
        <w:rPr>
          <w:rFonts w:ascii="Arial" w:hAnsi="Arial" w:cs="Arial"/>
          <w:sz w:val="24"/>
          <w:szCs w:val="24"/>
          <w:lang w:val="en-US"/>
        </w:rPr>
        <w:t>iver</w:t>
      </w:r>
      <w:r w:rsidR="006336D0" w:rsidRPr="00507C65">
        <w:rPr>
          <w:rFonts w:ascii="Arial" w:hAnsi="Arial" w:cs="Arial"/>
          <w:sz w:val="24"/>
          <w:szCs w:val="24"/>
          <w:lang w:val="en-US"/>
        </w:rPr>
        <w:t>;</w:t>
      </w:r>
      <w:r w:rsidRPr="00507C65">
        <w:rPr>
          <w:rFonts w:ascii="Arial" w:hAnsi="Arial" w:cs="Arial"/>
          <w:sz w:val="24"/>
          <w:szCs w:val="24"/>
          <w:lang w:val="en-US"/>
        </w:rPr>
        <w:t xml:space="preserve"> for those accounts</w:t>
      </w:r>
      <w:r w:rsidR="005827EF" w:rsidRPr="00507C65">
        <w:rPr>
          <w:rFonts w:ascii="Arial" w:hAnsi="Arial" w:cs="Arial"/>
          <w:sz w:val="24"/>
          <w:szCs w:val="24"/>
          <w:lang w:val="en-US"/>
        </w:rPr>
        <w:t xml:space="preserve"> to be debated</w:t>
      </w:r>
      <w:r w:rsidR="006336D0" w:rsidRPr="00507C65">
        <w:rPr>
          <w:rFonts w:ascii="Arial" w:hAnsi="Arial" w:cs="Arial"/>
          <w:sz w:val="24"/>
          <w:szCs w:val="24"/>
          <w:lang w:val="en-US"/>
        </w:rPr>
        <w:t>;</w:t>
      </w:r>
      <w:r w:rsidR="00BB74D3" w:rsidRPr="00507C65">
        <w:rPr>
          <w:rFonts w:ascii="Arial" w:hAnsi="Arial" w:cs="Arial"/>
          <w:sz w:val="24"/>
          <w:szCs w:val="24"/>
          <w:lang w:val="en-US"/>
        </w:rPr>
        <w:t xml:space="preserve"> and for Mystic River </w:t>
      </w:r>
      <w:r w:rsidR="00F3513A" w:rsidRPr="00507C65">
        <w:rPr>
          <w:rFonts w:ascii="Arial" w:hAnsi="Arial" w:cs="Arial"/>
          <w:sz w:val="24"/>
          <w:szCs w:val="24"/>
          <w:lang w:val="en-US"/>
        </w:rPr>
        <w:t xml:space="preserve">to be paid any amounts due to it pursuant to such statement and debatement </w:t>
      </w:r>
      <w:r w:rsidR="00510A69" w:rsidRPr="00507C65">
        <w:rPr>
          <w:rFonts w:ascii="Arial" w:hAnsi="Arial" w:cs="Arial"/>
          <w:sz w:val="24"/>
          <w:szCs w:val="24"/>
          <w:lang w:val="en-US"/>
        </w:rPr>
        <w:t>of account.</w:t>
      </w:r>
    </w:p>
    <w:p w14:paraId="25F04BE5" w14:textId="77777777" w:rsidR="00B646FD" w:rsidRPr="00507C65" w:rsidRDefault="00B646FD" w:rsidP="00262CE3">
      <w:pPr>
        <w:spacing w:after="0" w:line="360" w:lineRule="auto"/>
        <w:jc w:val="both"/>
        <w:rPr>
          <w:rFonts w:ascii="Arial" w:hAnsi="Arial" w:cs="Arial"/>
          <w:sz w:val="24"/>
          <w:szCs w:val="24"/>
          <w:lang w:val="en-US"/>
        </w:rPr>
      </w:pPr>
    </w:p>
    <w:p w14:paraId="7D7C02C8" w14:textId="2DD132CF" w:rsidR="00DB01B7" w:rsidRPr="00507C65" w:rsidRDefault="00BD1FD9" w:rsidP="00262CE3">
      <w:pPr>
        <w:spacing w:after="0" w:line="360" w:lineRule="auto"/>
        <w:jc w:val="both"/>
        <w:rPr>
          <w:rFonts w:ascii="Arial" w:hAnsi="Arial" w:cs="Arial"/>
          <w:i/>
          <w:iCs/>
          <w:sz w:val="24"/>
          <w:szCs w:val="24"/>
          <w:lang w:val="en-US"/>
        </w:rPr>
      </w:pPr>
      <w:r w:rsidRPr="00507C65">
        <w:rPr>
          <w:rFonts w:ascii="Arial" w:hAnsi="Arial" w:cs="Arial"/>
          <w:sz w:val="24"/>
          <w:szCs w:val="24"/>
          <w:lang w:val="en-US"/>
        </w:rPr>
        <w:t>[2]</w:t>
      </w:r>
      <w:r w:rsidRPr="00507C65">
        <w:rPr>
          <w:rFonts w:ascii="Arial" w:hAnsi="Arial" w:cs="Arial"/>
          <w:sz w:val="24"/>
          <w:szCs w:val="24"/>
          <w:lang w:val="en-US"/>
        </w:rPr>
        <w:tab/>
      </w:r>
      <w:bookmarkStart w:id="2" w:name="_Hlk132571440"/>
      <w:r w:rsidRPr="00507C65">
        <w:rPr>
          <w:rFonts w:ascii="Arial" w:hAnsi="Arial" w:cs="Arial"/>
          <w:sz w:val="24"/>
          <w:szCs w:val="24"/>
          <w:lang w:val="en-US"/>
        </w:rPr>
        <w:t xml:space="preserve">The respondents served </w:t>
      </w:r>
      <w:r w:rsidR="00740C34" w:rsidRPr="00507C65">
        <w:rPr>
          <w:rFonts w:ascii="Arial" w:hAnsi="Arial" w:cs="Arial"/>
          <w:sz w:val="24"/>
          <w:szCs w:val="24"/>
          <w:lang w:val="en-US"/>
        </w:rPr>
        <w:t>the second appellant</w:t>
      </w:r>
      <w:r w:rsidRPr="00507C65">
        <w:rPr>
          <w:rFonts w:ascii="Arial" w:hAnsi="Arial" w:cs="Arial"/>
          <w:sz w:val="24"/>
          <w:szCs w:val="24"/>
          <w:lang w:val="en-US"/>
        </w:rPr>
        <w:t xml:space="preserve"> </w:t>
      </w:r>
      <w:r w:rsidR="00B646FD" w:rsidRPr="00507C65">
        <w:rPr>
          <w:rFonts w:ascii="Arial" w:hAnsi="Arial" w:cs="Arial"/>
          <w:sz w:val="24"/>
          <w:szCs w:val="24"/>
          <w:lang w:val="en-US"/>
        </w:rPr>
        <w:t>with notices</w:t>
      </w:r>
      <w:r w:rsidRPr="00507C65">
        <w:rPr>
          <w:rFonts w:ascii="Arial" w:hAnsi="Arial" w:cs="Arial"/>
          <w:sz w:val="24"/>
          <w:szCs w:val="24"/>
          <w:lang w:val="en-US"/>
        </w:rPr>
        <w:t xml:space="preserve"> in terms of rule 47(1) of the Uniform Rules of Court, calling upon him to furnish security for costs in the </w:t>
      </w:r>
      <w:r w:rsidR="00B352EC" w:rsidRPr="00507C65">
        <w:rPr>
          <w:rFonts w:ascii="Arial" w:hAnsi="Arial" w:cs="Arial"/>
          <w:sz w:val="24"/>
          <w:szCs w:val="24"/>
          <w:lang w:val="en-US"/>
        </w:rPr>
        <w:t>main application</w:t>
      </w:r>
      <w:r w:rsidR="006336D0" w:rsidRPr="00507C65">
        <w:rPr>
          <w:rFonts w:ascii="Arial" w:hAnsi="Arial" w:cs="Arial"/>
          <w:sz w:val="24"/>
          <w:szCs w:val="24"/>
          <w:lang w:val="en-US"/>
        </w:rPr>
        <w:t>.</w:t>
      </w:r>
      <w:r w:rsidRPr="00507C65">
        <w:rPr>
          <w:rFonts w:ascii="Arial" w:hAnsi="Arial" w:cs="Arial"/>
          <w:sz w:val="24"/>
          <w:szCs w:val="24"/>
          <w:lang w:val="en-US"/>
        </w:rPr>
        <w:t xml:space="preserve"> </w:t>
      </w:r>
      <w:r w:rsidR="006336D0" w:rsidRPr="00507C65">
        <w:rPr>
          <w:rFonts w:ascii="Arial" w:hAnsi="Arial" w:cs="Arial"/>
          <w:sz w:val="24"/>
          <w:szCs w:val="24"/>
          <w:lang w:val="en-US"/>
        </w:rPr>
        <w:t xml:space="preserve">They </w:t>
      </w:r>
      <w:r w:rsidRPr="00507C65">
        <w:rPr>
          <w:rFonts w:ascii="Arial" w:hAnsi="Arial" w:cs="Arial"/>
          <w:sz w:val="24"/>
          <w:szCs w:val="24"/>
          <w:lang w:val="en-US"/>
        </w:rPr>
        <w:t>contend</w:t>
      </w:r>
      <w:r w:rsidR="006336D0" w:rsidRPr="00507C65">
        <w:rPr>
          <w:rFonts w:ascii="Arial" w:hAnsi="Arial" w:cs="Arial"/>
          <w:sz w:val="24"/>
          <w:szCs w:val="24"/>
          <w:lang w:val="en-US"/>
        </w:rPr>
        <w:t>ed</w:t>
      </w:r>
      <w:r w:rsidRPr="00507C65">
        <w:rPr>
          <w:rFonts w:ascii="Arial" w:hAnsi="Arial" w:cs="Arial"/>
          <w:sz w:val="24"/>
          <w:szCs w:val="24"/>
          <w:lang w:val="en-US"/>
        </w:rPr>
        <w:t xml:space="preserve"> that he is a </w:t>
      </w:r>
      <w:r w:rsidRPr="00507C65">
        <w:rPr>
          <w:rFonts w:ascii="Arial" w:hAnsi="Arial" w:cs="Arial"/>
          <w:i/>
          <w:sz w:val="24"/>
          <w:szCs w:val="24"/>
          <w:lang w:val="en-US"/>
        </w:rPr>
        <w:t>peregrinus</w:t>
      </w:r>
      <w:r w:rsidRPr="00507C65">
        <w:rPr>
          <w:rFonts w:ascii="Arial" w:hAnsi="Arial" w:cs="Arial"/>
          <w:sz w:val="24"/>
          <w:szCs w:val="24"/>
          <w:lang w:val="en-US"/>
        </w:rPr>
        <w:t xml:space="preserve"> of the </w:t>
      </w:r>
      <w:r w:rsidR="006336D0" w:rsidRPr="00507C65">
        <w:rPr>
          <w:rFonts w:ascii="Arial" w:hAnsi="Arial" w:cs="Arial"/>
          <w:sz w:val="24"/>
          <w:szCs w:val="24"/>
          <w:lang w:val="en-US"/>
        </w:rPr>
        <w:t>c</w:t>
      </w:r>
      <w:r w:rsidR="00A80CD5" w:rsidRPr="00507C65">
        <w:rPr>
          <w:rFonts w:ascii="Arial" w:hAnsi="Arial" w:cs="Arial"/>
          <w:sz w:val="24"/>
          <w:szCs w:val="24"/>
          <w:lang w:val="en-US"/>
        </w:rPr>
        <w:t>ourt</w:t>
      </w:r>
      <w:r w:rsidR="00A24436" w:rsidRPr="00507C65">
        <w:rPr>
          <w:rFonts w:ascii="Arial" w:hAnsi="Arial" w:cs="Arial"/>
          <w:sz w:val="24"/>
          <w:szCs w:val="24"/>
          <w:lang w:val="en-US"/>
        </w:rPr>
        <w:t>,</w:t>
      </w:r>
      <w:r w:rsidRPr="00507C65">
        <w:rPr>
          <w:rFonts w:ascii="Arial" w:hAnsi="Arial" w:cs="Arial"/>
          <w:sz w:val="24"/>
          <w:szCs w:val="24"/>
          <w:lang w:val="en-US"/>
        </w:rPr>
        <w:t xml:space="preserve"> has no assets in the Republic of South Africa</w:t>
      </w:r>
      <w:r w:rsidR="00C0753B" w:rsidRPr="00507C65">
        <w:rPr>
          <w:rFonts w:ascii="Arial" w:hAnsi="Arial" w:cs="Arial"/>
          <w:sz w:val="24"/>
          <w:szCs w:val="24"/>
          <w:lang w:val="en-US"/>
        </w:rPr>
        <w:t xml:space="preserve"> (the Republic)</w:t>
      </w:r>
      <w:r w:rsidRPr="00507C65">
        <w:rPr>
          <w:rFonts w:ascii="Arial" w:hAnsi="Arial" w:cs="Arial"/>
          <w:sz w:val="24"/>
          <w:szCs w:val="24"/>
          <w:lang w:val="en-US"/>
        </w:rPr>
        <w:t xml:space="preserve"> and would be unable to pay </w:t>
      </w:r>
      <w:r w:rsidR="00A24436" w:rsidRPr="00507C65">
        <w:rPr>
          <w:rFonts w:ascii="Arial" w:hAnsi="Arial" w:cs="Arial"/>
          <w:sz w:val="24"/>
          <w:szCs w:val="24"/>
          <w:lang w:val="en-US"/>
        </w:rPr>
        <w:t>their</w:t>
      </w:r>
      <w:r w:rsidRPr="00507C65">
        <w:rPr>
          <w:rFonts w:ascii="Arial" w:hAnsi="Arial" w:cs="Arial"/>
          <w:sz w:val="24"/>
          <w:szCs w:val="24"/>
          <w:lang w:val="en-US"/>
        </w:rPr>
        <w:t xml:space="preserve"> costs </w:t>
      </w:r>
      <w:r w:rsidR="00B352EC" w:rsidRPr="00507C65">
        <w:rPr>
          <w:rFonts w:ascii="Arial" w:hAnsi="Arial" w:cs="Arial"/>
          <w:sz w:val="24"/>
          <w:szCs w:val="24"/>
          <w:lang w:val="en-US"/>
        </w:rPr>
        <w:t>should they be</w:t>
      </w:r>
      <w:r w:rsidRPr="00507C65">
        <w:rPr>
          <w:rFonts w:ascii="Arial" w:hAnsi="Arial" w:cs="Arial"/>
          <w:sz w:val="24"/>
          <w:szCs w:val="24"/>
          <w:lang w:val="en-US"/>
        </w:rPr>
        <w:t xml:space="preserve"> successful in the </w:t>
      </w:r>
      <w:r w:rsidR="00B352EC" w:rsidRPr="00507C65">
        <w:rPr>
          <w:rFonts w:ascii="Arial" w:hAnsi="Arial" w:cs="Arial"/>
          <w:sz w:val="24"/>
          <w:szCs w:val="24"/>
          <w:lang w:val="en-US"/>
        </w:rPr>
        <w:t>main application</w:t>
      </w:r>
      <w:r w:rsidRPr="00507C65">
        <w:rPr>
          <w:rFonts w:ascii="Arial" w:hAnsi="Arial" w:cs="Arial"/>
          <w:sz w:val="24"/>
          <w:szCs w:val="24"/>
          <w:lang w:val="en-US"/>
        </w:rPr>
        <w:t xml:space="preserve">. </w:t>
      </w:r>
      <w:r w:rsidR="0031567D" w:rsidRPr="00507C65">
        <w:rPr>
          <w:rFonts w:ascii="Arial" w:hAnsi="Arial" w:cs="Arial"/>
          <w:sz w:val="24"/>
          <w:szCs w:val="24"/>
          <w:lang w:val="en-US"/>
        </w:rPr>
        <w:t>S</w:t>
      </w:r>
      <w:r w:rsidR="00B352EC" w:rsidRPr="00507C65">
        <w:rPr>
          <w:rFonts w:ascii="Arial" w:hAnsi="Arial" w:cs="Arial"/>
          <w:sz w:val="24"/>
          <w:szCs w:val="24"/>
          <w:lang w:val="en-US"/>
        </w:rPr>
        <w:t xml:space="preserve">ecurity for costs </w:t>
      </w:r>
      <w:r w:rsidRPr="00507C65">
        <w:rPr>
          <w:rFonts w:ascii="Arial" w:hAnsi="Arial" w:cs="Arial"/>
          <w:sz w:val="24"/>
          <w:szCs w:val="24"/>
          <w:lang w:val="en-US"/>
        </w:rPr>
        <w:t xml:space="preserve">was </w:t>
      </w:r>
      <w:r w:rsidR="0031567D" w:rsidRPr="00507C65">
        <w:rPr>
          <w:rFonts w:ascii="Arial" w:hAnsi="Arial" w:cs="Arial"/>
          <w:sz w:val="24"/>
          <w:szCs w:val="24"/>
          <w:lang w:val="en-US"/>
        </w:rPr>
        <w:t>ordered</w:t>
      </w:r>
      <w:r w:rsidRPr="00507C65">
        <w:rPr>
          <w:rFonts w:ascii="Arial" w:hAnsi="Arial" w:cs="Arial"/>
          <w:sz w:val="24"/>
          <w:szCs w:val="24"/>
          <w:lang w:val="en-US"/>
        </w:rPr>
        <w:t xml:space="preserve"> by</w:t>
      </w:r>
      <w:r w:rsidR="00B352EC" w:rsidRPr="00507C65">
        <w:rPr>
          <w:rFonts w:ascii="Arial" w:hAnsi="Arial" w:cs="Arial"/>
          <w:sz w:val="24"/>
          <w:szCs w:val="24"/>
          <w:lang w:val="en-US"/>
        </w:rPr>
        <w:t xml:space="preserve"> Vahed J.</w:t>
      </w:r>
      <w:bookmarkEnd w:id="2"/>
      <w:r w:rsidR="00B352EC" w:rsidRPr="00507C65">
        <w:rPr>
          <w:rFonts w:ascii="Arial" w:hAnsi="Arial" w:cs="Arial"/>
          <w:sz w:val="24"/>
          <w:szCs w:val="24"/>
          <w:lang w:val="en-US"/>
        </w:rPr>
        <w:t xml:space="preserve"> The appeal against that</w:t>
      </w:r>
      <w:r w:rsidRPr="00507C65">
        <w:rPr>
          <w:rFonts w:ascii="Arial" w:hAnsi="Arial" w:cs="Arial"/>
          <w:sz w:val="24"/>
          <w:szCs w:val="24"/>
          <w:lang w:val="en-US"/>
        </w:rPr>
        <w:t xml:space="preserve"> order is with the leave of the </w:t>
      </w:r>
      <w:r w:rsidR="0098380D" w:rsidRPr="00507C65">
        <w:rPr>
          <w:rFonts w:ascii="Arial" w:hAnsi="Arial" w:cs="Arial"/>
          <w:sz w:val="24"/>
          <w:szCs w:val="24"/>
          <w:lang w:val="en-US"/>
        </w:rPr>
        <w:t>high court</w:t>
      </w:r>
      <w:r w:rsidR="00A24436" w:rsidRPr="00507C65">
        <w:rPr>
          <w:rFonts w:ascii="Arial" w:hAnsi="Arial" w:cs="Arial"/>
          <w:sz w:val="24"/>
          <w:szCs w:val="24"/>
          <w:lang w:val="en-US"/>
        </w:rPr>
        <w:t>. The first respondent abides the outcome of the appeal</w:t>
      </w:r>
      <w:r w:rsidR="00E6513B" w:rsidRPr="00507C65">
        <w:rPr>
          <w:rFonts w:ascii="Arial" w:hAnsi="Arial" w:cs="Arial"/>
          <w:i/>
          <w:iCs/>
          <w:sz w:val="24"/>
          <w:szCs w:val="24"/>
          <w:lang w:val="en-US"/>
        </w:rPr>
        <w:t>.</w:t>
      </w:r>
      <w:r w:rsidR="006336D0" w:rsidRPr="00507C65">
        <w:rPr>
          <w:rFonts w:ascii="Arial" w:hAnsi="Arial" w:cs="Arial"/>
          <w:i/>
          <w:iCs/>
          <w:sz w:val="24"/>
          <w:szCs w:val="24"/>
          <w:lang w:val="en-US"/>
        </w:rPr>
        <w:t xml:space="preserve"> </w:t>
      </w:r>
    </w:p>
    <w:p w14:paraId="7C8D95A1" w14:textId="77777777" w:rsidR="003C2E9C" w:rsidRPr="00507C65" w:rsidRDefault="003C2E9C" w:rsidP="00700B22">
      <w:pPr>
        <w:spacing w:after="0" w:line="360" w:lineRule="auto"/>
        <w:jc w:val="both"/>
        <w:rPr>
          <w:rFonts w:ascii="Arial" w:hAnsi="Arial" w:cs="Arial"/>
          <w:sz w:val="24"/>
          <w:szCs w:val="24"/>
        </w:rPr>
      </w:pPr>
    </w:p>
    <w:p w14:paraId="12E1DEDB" w14:textId="242943C3" w:rsidR="00951877" w:rsidRPr="00507C65" w:rsidRDefault="002D7A1E" w:rsidP="00C91B1D">
      <w:pPr>
        <w:spacing w:after="0" w:line="360" w:lineRule="auto"/>
        <w:jc w:val="both"/>
        <w:rPr>
          <w:rFonts w:ascii="Arial" w:hAnsi="Arial" w:cs="Arial"/>
          <w:b/>
          <w:sz w:val="24"/>
          <w:szCs w:val="24"/>
        </w:rPr>
      </w:pPr>
      <w:r w:rsidRPr="00507C65">
        <w:rPr>
          <w:rFonts w:ascii="Arial" w:hAnsi="Arial" w:cs="Arial"/>
          <w:b/>
          <w:sz w:val="24"/>
          <w:szCs w:val="24"/>
        </w:rPr>
        <w:t>Factual background</w:t>
      </w:r>
    </w:p>
    <w:p w14:paraId="63B4AF6F" w14:textId="64ABDF02" w:rsidR="00C0753B" w:rsidRPr="00507C65" w:rsidRDefault="00C0753B"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w:t>
      </w:r>
      <w:r w:rsidR="00282B10" w:rsidRPr="00507C65">
        <w:rPr>
          <w:rFonts w:ascii="Arial" w:hAnsi="Arial" w:cs="Arial"/>
          <w:sz w:val="24"/>
          <w:szCs w:val="24"/>
          <w:lang w:val="en-US"/>
        </w:rPr>
        <w:t>3</w:t>
      </w:r>
      <w:r w:rsidRPr="00507C65">
        <w:rPr>
          <w:rFonts w:ascii="Arial" w:hAnsi="Arial" w:cs="Arial"/>
          <w:sz w:val="24"/>
          <w:szCs w:val="24"/>
          <w:lang w:val="en-US"/>
        </w:rPr>
        <w:t>]</w:t>
      </w:r>
      <w:r w:rsidRPr="00507C65">
        <w:rPr>
          <w:rFonts w:ascii="Arial" w:hAnsi="Arial" w:cs="Arial"/>
          <w:sz w:val="24"/>
          <w:szCs w:val="24"/>
          <w:lang w:val="en-US"/>
        </w:rPr>
        <w:tab/>
        <w:t xml:space="preserve">The second appellant </w:t>
      </w:r>
      <w:r w:rsidR="00FE14DD" w:rsidRPr="00507C65">
        <w:rPr>
          <w:rFonts w:ascii="Arial" w:hAnsi="Arial" w:cs="Arial"/>
          <w:sz w:val="24"/>
          <w:szCs w:val="24"/>
          <w:lang w:val="en-US"/>
        </w:rPr>
        <w:t xml:space="preserve">is the </w:t>
      </w:r>
      <w:r w:rsidRPr="00507C65">
        <w:rPr>
          <w:rFonts w:ascii="Arial" w:hAnsi="Arial" w:cs="Arial"/>
          <w:sz w:val="24"/>
          <w:szCs w:val="24"/>
          <w:lang w:val="en-US"/>
        </w:rPr>
        <w:t xml:space="preserve">sole director of Mystic River. He </w:t>
      </w:r>
      <w:r w:rsidR="00A24436" w:rsidRPr="00507C65">
        <w:rPr>
          <w:rFonts w:ascii="Arial" w:hAnsi="Arial" w:cs="Arial"/>
          <w:sz w:val="24"/>
          <w:szCs w:val="24"/>
          <w:lang w:val="en-US"/>
        </w:rPr>
        <w:t xml:space="preserve">brought the main application in </w:t>
      </w:r>
      <w:r w:rsidR="00700B22" w:rsidRPr="00507C65">
        <w:rPr>
          <w:rFonts w:ascii="Arial" w:hAnsi="Arial" w:cs="Arial"/>
          <w:sz w:val="24"/>
          <w:szCs w:val="24"/>
          <w:lang w:val="en-US"/>
        </w:rPr>
        <w:t>his</w:t>
      </w:r>
      <w:r w:rsidRPr="00507C65">
        <w:rPr>
          <w:rFonts w:ascii="Arial" w:hAnsi="Arial" w:cs="Arial"/>
          <w:sz w:val="24"/>
          <w:szCs w:val="24"/>
          <w:lang w:val="en-US"/>
        </w:rPr>
        <w:t xml:space="preserve"> representative capacity and in his personal capacit</w:t>
      </w:r>
      <w:r w:rsidR="00946058" w:rsidRPr="00507C65">
        <w:rPr>
          <w:rFonts w:ascii="Arial" w:hAnsi="Arial" w:cs="Arial"/>
          <w:sz w:val="24"/>
          <w:szCs w:val="24"/>
          <w:lang w:val="en-US"/>
        </w:rPr>
        <w:t>y.</w:t>
      </w:r>
      <w:r w:rsidRPr="00507C65">
        <w:rPr>
          <w:rFonts w:ascii="Arial" w:hAnsi="Arial" w:cs="Arial"/>
          <w:sz w:val="24"/>
          <w:szCs w:val="24"/>
          <w:lang w:val="en-US"/>
        </w:rPr>
        <w:t xml:space="preserve"> It is common cause that he is a </w:t>
      </w:r>
      <w:r w:rsidRPr="00507C65">
        <w:rPr>
          <w:rFonts w:ascii="Arial" w:hAnsi="Arial" w:cs="Arial"/>
          <w:i/>
          <w:sz w:val="24"/>
          <w:szCs w:val="24"/>
          <w:lang w:val="en-US"/>
        </w:rPr>
        <w:t>peregrinus</w:t>
      </w:r>
      <w:r w:rsidRPr="00507C65">
        <w:rPr>
          <w:rFonts w:ascii="Arial" w:hAnsi="Arial" w:cs="Arial"/>
          <w:sz w:val="24"/>
          <w:szCs w:val="24"/>
          <w:lang w:val="en-US"/>
        </w:rPr>
        <w:t xml:space="preserve"> </w:t>
      </w:r>
      <w:r w:rsidR="00A24436" w:rsidRPr="00507C65">
        <w:rPr>
          <w:rFonts w:ascii="Arial" w:hAnsi="Arial" w:cs="Arial"/>
          <w:sz w:val="24"/>
          <w:szCs w:val="24"/>
          <w:lang w:val="en-US"/>
        </w:rPr>
        <w:t xml:space="preserve">and owns no assets </w:t>
      </w:r>
      <w:r w:rsidR="00B646FD" w:rsidRPr="00507C65">
        <w:rPr>
          <w:rFonts w:ascii="Arial" w:hAnsi="Arial" w:cs="Arial"/>
          <w:sz w:val="24"/>
          <w:szCs w:val="24"/>
          <w:lang w:val="en-US"/>
        </w:rPr>
        <w:t>in the</w:t>
      </w:r>
      <w:r w:rsidRPr="00507C65">
        <w:rPr>
          <w:rFonts w:ascii="Arial" w:hAnsi="Arial" w:cs="Arial"/>
          <w:sz w:val="24"/>
          <w:szCs w:val="24"/>
          <w:lang w:val="en-US"/>
        </w:rPr>
        <w:t xml:space="preserve"> </w:t>
      </w:r>
      <w:r w:rsidR="00B646FD" w:rsidRPr="00507C65">
        <w:rPr>
          <w:rFonts w:ascii="Arial" w:hAnsi="Arial" w:cs="Arial"/>
          <w:sz w:val="24"/>
          <w:szCs w:val="24"/>
          <w:lang w:val="en-US"/>
        </w:rPr>
        <w:t xml:space="preserve">Republic. </w:t>
      </w:r>
      <w:r w:rsidRPr="00507C65">
        <w:rPr>
          <w:rFonts w:ascii="Arial" w:hAnsi="Arial" w:cs="Arial"/>
          <w:sz w:val="24"/>
          <w:szCs w:val="24"/>
          <w:lang w:val="en-US"/>
        </w:rPr>
        <w:t>He ha</w:t>
      </w:r>
      <w:r w:rsidR="00A24436" w:rsidRPr="00507C65">
        <w:rPr>
          <w:rFonts w:ascii="Arial" w:hAnsi="Arial" w:cs="Arial"/>
          <w:sz w:val="24"/>
          <w:szCs w:val="24"/>
          <w:lang w:val="en-US"/>
        </w:rPr>
        <w:t>d</w:t>
      </w:r>
      <w:r w:rsidRPr="00507C65">
        <w:rPr>
          <w:rFonts w:ascii="Arial" w:hAnsi="Arial" w:cs="Arial"/>
          <w:sz w:val="24"/>
          <w:szCs w:val="24"/>
          <w:lang w:val="en-US"/>
        </w:rPr>
        <w:t xml:space="preserve"> a temporary presence in the U</w:t>
      </w:r>
      <w:r w:rsidR="002B4642" w:rsidRPr="00507C65">
        <w:rPr>
          <w:rFonts w:ascii="Arial" w:hAnsi="Arial" w:cs="Arial"/>
          <w:sz w:val="24"/>
          <w:szCs w:val="24"/>
          <w:lang w:val="en-US"/>
        </w:rPr>
        <w:t xml:space="preserve">nited </w:t>
      </w:r>
      <w:r w:rsidRPr="00507C65">
        <w:rPr>
          <w:rFonts w:ascii="Arial" w:hAnsi="Arial" w:cs="Arial"/>
          <w:sz w:val="24"/>
          <w:szCs w:val="24"/>
          <w:lang w:val="en-US"/>
        </w:rPr>
        <w:t>K</w:t>
      </w:r>
      <w:r w:rsidR="002B4642" w:rsidRPr="00507C65">
        <w:rPr>
          <w:rFonts w:ascii="Arial" w:hAnsi="Arial" w:cs="Arial"/>
          <w:sz w:val="24"/>
          <w:szCs w:val="24"/>
          <w:lang w:val="en-US"/>
        </w:rPr>
        <w:t>ingdom (the UK)</w:t>
      </w:r>
      <w:r w:rsidRPr="00507C65">
        <w:rPr>
          <w:rFonts w:ascii="Arial" w:hAnsi="Arial" w:cs="Arial"/>
          <w:sz w:val="24"/>
          <w:szCs w:val="24"/>
          <w:lang w:val="en-US"/>
        </w:rPr>
        <w:t xml:space="preserve"> and state</w:t>
      </w:r>
      <w:r w:rsidR="00A24436" w:rsidRPr="00507C65">
        <w:rPr>
          <w:rFonts w:ascii="Arial" w:hAnsi="Arial" w:cs="Arial"/>
          <w:sz w:val="24"/>
          <w:szCs w:val="24"/>
          <w:lang w:val="en-US"/>
        </w:rPr>
        <w:t>d</w:t>
      </w:r>
      <w:r w:rsidRPr="00507C65">
        <w:rPr>
          <w:rFonts w:ascii="Arial" w:hAnsi="Arial" w:cs="Arial"/>
          <w:sz w:val="24"/>
          <w:szCs w:val="24"/>
          <w:lang w:val="en-US"/>
        </w:rPr>
        <w:t xml:space="preserve"> that he </w:t>
      </w:r>
      <w:r w:rsidR="00A24436" w:rsidRPr="00507C65">
        <w:rPr>
          <w:rFonts w:ascii="Arial" w:hAnsi="Arial" w:cs="Arial"/>
          <w:sz w:val="24"/>
          <w:szCs w:val="24"/>
          <w:lang w:val="en-US"/>
        </w:rPr>
        <w:t xml:space="preserve">had </w:t>
      </w:r>
      <w:r w:rsidRPr="00507C65">
        <w:rPr>
          <w:rFonts w:ascii="Arial" w:hAnsi="Arial" w:cs="Arial"/>
          <w:sz w:val="24"/>
          <w:szCs w:val="24"/>
          <w:lang w:val="en-US"/>
        </w:rPr>
        <w:t>moved to Portugal in 2018 and intend</w:t>
      </w:r>
      <w:r w:rsidR="00A24436" w:rsidRPr="00507C65">
        <w:rPr>
          <w:rFonts w:ascii="Arial" w:hAnsi="Arial" w:cs="Arial"/>
          <w:sz w:val="24"/>
          <w:szCs w:val="24"/>
          <w:lang w:val="en-US"/>
        </w:rPr>
        <w:t>ed</w:t>
      </w:r>
      <w:r w:rsidRPr="00507C65">
        <w:rPr>
          <w:rFonts w:ascii="Arial" w:hAnsi="Arial" w:cs="Arial"/>
          <w:sz w:val="24"/>
          <w:szCs w:val="24"/>
          <w:lang w:val="en-US"/>
        </w:rPr>
        <w:t xml:space="preserve"> to reside in Portugal </w:t>
      </w:r>
      <w:r w:rsidR="00B646FD" w:rsidRPr="00507C65">
        <w:rPr>
          <w:rFonts w:ascii="Arial" w:hAnsi="Arial" w:cs="Arial"/>
          <w:sz w:val="24"/>
          <w:szCs w:val="24"/>
          <w:lang w:val="en-US"/>
        </w:rPr>
        <w:t>permanently.</w:t>
      </w:r>
    </w:p>
    <w:p w14:paraId="0B93A03E" w14:textId="77777777" w:rsidR="00951877" w:rsidRPr="00507C65" w:rsidRDefault="00951877" w:rsidP="00700B22">
      <w:pPr>
        <w:spacing w:after="0" w:line="360" w:lineRule="auto"/>
        <w:jc w:val="both"/>
        <w:rPr>
          <w:rFonts w:ascii="Arial" w:hAnsi="Arial" w:cs="Arial"/>
          <w:sz w:val="24"/>
          <w:szCs w:val="24"/>
          <w:lang w:val="en-US"/>
        </w:rPr>
      </w:pPr>
    </w:p>
    <w:p w14:paraId="39B7EA00" w14:textId="42D68A63" w:rsidR="00FC7DE1" w:rsidRPr="00507C65" w:rsidRDefault="00FC7DE1"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w:t>
      </w:r>
      <w:r w:rsidR="00282B10" w:rsidRPr="00507C65">
        <w:rPr>
          <w:rFonts w:ascii="Arial" w:hAnsi="Arial" w:cs="Arial"/>
          <w:sz w:val="24"/>
          <w:szCs w:val="24"/>
          <w:lang w:val="en-US"/>
        </w:rPr>
        <w:t>4</w:t>
      </w:r>
      <w:r w:rsidRPr="00507C65">
        <w:rPr>
          <w:rFonts w:ascii="Arial" w:hAnsi="Arial" w:cs="Arial"/>
          <w:sz w:val="24"/>
          <w:szCs w:val="24"/>
          <w:lang w:val="en-US"/>
        </w:rPr>
        <w:t>]</w:t>
      </w:r>
      <w:r w:rsidRPr="00507C65">
        <w:rPr>
          <w:rFonts w:ascii="Arial" w:hAnsi="Arial" w:cs="Arial"/>
          <w:sz w:val="24"/>
          <w:szCs w:val="24"/>
          <w:lang w:val="en-US"/>
        </w:rPr>
        <w:tab/>
      </w:r>
      <w:r w:rsidR="00627F69" w:rsidRPr="00507C65">
        <w:rPr>
          <w:rFonts w:ascii="Arial" w:hAnsi="Arial" w:cs="Arial"/>
          <w:sz w:val="24"/>
          <w:szCs w:val="24"/>
          <w:lang w:val="en-US"/>
        </w:rPr>
        <w:t>Because</w:t>
      </w:r>
      <w:r w:rsidR="003E1F3C" w:rsidRPr="00507C65">
        <w:rPr>
          <w:rFonts w:ascii="Arial" w:hAnsi="Arial" w:cs="Arial"/>
          <w:sz w:val="24"/>
          <w:szCs w:val="24"/>
          <w:lang w:val="en-US"/>
        </w:rPr>
        <w:t xml:space="preserve"> the second appellant declined to furnish security for costs</w:t>
      </w:r>
      <w:r w:rsidR="000A758A" w:rsidRPr="00507C65">
        <w:rPr>
          <w:rFonts w:ascii="Arial" w:hAnsi="Arial" w:cs="Arial"/>
          <w:sz w:val="24"/>
          <w:szCs w:val="24"/>
          <w:lang w:val="en-US"/>
        </w:rPr>
        <w:t xml:space="preserve">, the second </w:t>
      </w:r>
      <w:r w:rsidR="00B646FD" w:rsidRPr="00507C65">
        <w:rPr>
          <w:rFonts w:ascii="Arial" w:hAnsi="Arial" w:cs="Arial"/>
          <w:sz w:val="24"/>
          <w:szCs w:val="24"/>
          <w:lang w:val="en-US"/>
        </w:rPr>
        <w:t>to fifth</w:t>
      </w:r>
      <w:r w:rsidRPr="00507C65">
        <w:rPr>
          <w:rFonts w:ascii="Arial" w:hAnsi="Arial" w:cs="Arial"/>
          <w:sz w:val="24"/>
          <w:szCs w:val="24"/>
          <w:lang w:val="en-US"/>
        </w:rPr>
        <w:t xml:space="preserve"> </w:t>
      </w:r>
      <w:r w:rsidR="00560674" w:rsidRPr="00507C65">
        <w:rPr>
          <w:rFonts w:ascii="Arial" w:hAnsi="Arial" w:cs="Arial"/>
          <w:sz w:val="24"/>
          <w:szCs w:val="24"/>
          <w:lang w:val="en-US"/>
        </w:rPr>
        <w:t>respondent</w:t>
      </w:r>
      <w:r w:rsidR="003E1F3C" w:rsidRPr="00507C65">
        <w:rPr>
          <w:rFonts w:ascii="Arial" w:hAnsi="Arial" w:cs="Arial"/>
          <w:sz w:val="24"/>
          <w:szCs w:val="24"/>
          <w:lang w:val="en-US"/>
        </w:rPr>
        <w:t>s</w:t>
      </w:r>
      <w:r w:rsidRPr="00507C65">
        <w:rPr>
          <w:rFonts w:ascii="Arial" w:hAnsi="Arial" w:cs="Arial"/>
          <w:sz w:val="24"/>
          <w:szCs w:val="24"/>
          <w:lang w:val="en-US"/>
        </w:rPr>
        <w:t xml:space="preserve"> delivered separate applications seeking to stay the main application and </w:t>
      </w:r>
      <w:r w:rsidR="00AA6CC8" w:rsidRPr="00507C65">
        <w:rPr>
          <w:rFonts w:ascii="Arial" w:hAnsi="Arial" w:cs="Arial"/>
          <w:sz w:val="24"/>
          <w:szCs w:val="24"/>
          <w:lang w:val="en-US"/>
        </w:rPr>
        <w:t>order</w:t>
      </w:r>
      <w:r w:rsidR="0008321A" w:rsidRPr="00507C65">
        <w:rPr>
          <w:rFonts w:ascii="Arial" w:hAnsi="Arial" w:cs="Arial"/>
          <w:sz w:val="24"/>
          <w:szCs w:val="24"/>
          <w:lang w:val="en-US"/>
        </w:rPr>
        <w:t>ing</w:t>
      </w:r>
      <w:r w:rsidR="00AA6CC8" w:rsidRPr="00507C65">
        <w:rPr>
          <w:rFonts w:ascii="Arial" w:hAnsi="Arial" w:cs="Arial"/>
          <w:sz w:val="24"/>
          <w:szCs w:val="24"/>
          <w:lang w:val="en-US"/>
        </w:rPr>
        <w:t xml:space="preserve"> </w:t>
      </w:r>
      <w:r w:rsidRPr="00507C65">
        <w:rPr>
          <w:rFonts w:ascii="Arial" w:hAnsi="Arial" w:cs="Arial"/>
          <w:sz w:val="24"/>
          <w:szCs w:val="24"/>
          <w:lang w:val="en-US"/>
        </w:rPr>
        <w:t>security for costs. The</w:t>
      </w:r>
      <w:r w:rsidR="003E1F3C" w:rsidRPr="00507C65">
        <w:rPr>
          <w:rFonts w:ascii="Arial" w:hAnsi="Arial" w:cs="Arial"/>
          <w:sz w:val="24"/>
          <w:szCs w:val="24"/>
          <w:lang w:val="en-US"/>
        </w:rPr>
        <w:t xml:space="preserve">se applications were set down for hearing on 14 May </w:t>
      </w:r>
      <w:r w:rsidR="00627F69" w:rsidRPr="00507C65">
        <w:rPr>
          <w:rFonts w:ascii="Arial" w:hAnsi="Arial" w:cs="Arial"/>
          <w:sz w:val="24"/>
          <w:szCs w:val="24"/>
          <w:lang w:val="en-US"/>
        </w:rPr>
        <w:t>2021. However, the</w:t>
      </w:r>
      <w:r w:rsidRPr="00507C65">
        <w:rPr>
          <w:rFonts w:ascii="Arial" w:hAnsi="Arial" w:cs="Arial"/>
          <w:sz w:val="24"/>
          <w:szCs w:val="24"/>
          <w:lang w:val="en-US"/>
        </w:rPr>
        <w:t xml:space="preserve"> parties, by agreement following the suggestion </w:t>
      </w:r>
      <w:r w:rsidR="00627F69" w:rsidRPr="00507C65">
        <w:rPr>
          <w:rFonts w:ascii="Arial" w:hAnsi="Arial" w:cs="Arial"/>
          <w:sz w:val="24"/>
          <w:szCs w:val="24"/>
          <w:lang w:val="en-US"/>
        </w:rPr>
        <w:t>of Vahed</w:t>
      </w:r>
      <w:r w:rsidR="00B546FE" w:rsidRPr="00507C65">
        <w:rPr>
          <w:rFonts w:ascii="Arial" w:hAnsi="Arial" w:cs="Arial"/>
          <w:sz w:val="24"/>
          <w:szCs w:val="24"/>
          <w:lang w:val="en-US"/>
        </w:rPr>
        <w:t xml:space="preserve"> J</w:t>
      </w:r>
      <w:r w:rsidR="001F177E" w:rsidRPr="00507C65">
        <w:rPr>
          <w:rFonts w:ascii="Arial" w:hAnsi="Arial" w:cs="Arial"/>
          <w:sz w:val="24"/>
          <w:szCs w:val="24"/>
          <w:lang w:val="en-US"/>
        </w:rPr>
        <w:t xml:space="preserve">, </w:t>
      </w:r>
      <w:r w:rsidRPr="00507C65">
        <w:rPr>
          <w:rFonts w:ascii="Arial" w:hAnsi="Arial" w:cs="Arial"/>
          <w:sz w:val="24"/>
          <w:szCs w:val="24"/>
          <w:lang w:val="en-US"/>
        </w:rPr>
        <w:t>elected to forego a hearing</w:t>
      </w:r>
      <w:r w:rsidR="00652F92" w:rsidRPr="00507C65">
        <w:rPr>
          <w:rFonts w:ascii="Arial" w:hAnsi="Arial" w:cs="Arial"/>
          <w:sz w:val="24"/>
          <w:szCs w:val="24"/>
          <w:lang w:val="en-US"/>
        </w:rPr>
        <w:t xml:space="preserve"> </w:t>
      </w:r>
      <w:r w:rsidRPr="00507C65">
        <w:rPr>
          <w:rFonts w:ascii="Arial" w:hAnsi="Arial" w:cs="Arial"/>
          <w:sz w:val="24"/>
          <w:szCs w:val="24"/>
          <w:lang w:val="en-US"/>
        </w:rPr>
        <w:t xml:space="preserve">on 14 May 2021, permitting the matter to be decided </w:t>
      </w:r>
      <w:r w:rsidR="00B646FD" w:rsidRPr="00507C65">
        <w:rPr>
          <w:rFonts w:ascii="Arial" w:hAnsi="Arial" w:cs="Arial"/>
          <w:sz w:val="24"/>
          <w:szCs w:val="24"/>
          <w:lang w:val="en-US"/>
        </w:rPr>
        <w:t>without oral</w:t>
      </w:r>
      <w:r w:rsidRPr="00507C65">
        <w:rPr>
          <w:rFonts w:ascii="Arial" w:hAnsi="Arial" w:cs="Arial"/>
          <w:sz w:val="24"/>
          <w:szCs w:val="24"/>
          <w:lang w:val="en-US"/>
        </w:rPr>
        <w:t xml:space="preserve"> argument.</w:t>
      </w:r>
    </w:p>
    <w:p w14:paraId="3B87E0C8" w14:textId="77777777" w:rsidR="00282B10" w:rsidRPr="00507C65" w:rsidRDefault="00282B10" w:rsidP="00262CE3">
      <w:pPr>
        <w:spacing w:after="0" w:line="360" w:lineRule="auto"/>
        <w:jc w:val="both"/>
        <w:rPr>
          <w:rFonts w:ascii="Arial" w:hAnsi="Arial" w:cs="Arial"/>
          <w:sz w:val="24"/>
          <w:szCs w:val="24"/>
          <w:lang w:val="en-US"/>
        </w:rPr>
      </w:pPr>
    </w:p>
    <w:p w14:paraId="3CC40996" w14:textId="2D531376" w:rsidR="00951877" w:rsidRPr="00507C65" w:rsidRDefault="00FC7DE1" w:rsidP="00D779D5">
      <w:pPr>
        <w:spacing w:line="360" w:lineRule="auto"/>
        <w:jc w:val="both"/>
        <w:rPr>
          <w:rFonts w:ascii="Arial" w:hAnsi="Arial" w:cs="Arial"/>
          <w:sz w:val="24"/>
          <w:szCs w:val="24"/>
          <w:lang w:val="en-US"/>
        </w:rPr>
      </w:pPr>
      <w:r w:rsidRPr="00507C65">
        <w:rPr>
          <w:rFonts w:ascii="Arial" w:hAnsi="Arial" w:cs="Arial"/>
          <w:sz w:val="24"/>
          <w:szCs w:val="24"/>
          <w:lang w:val="en-US"/>
        </w:rPr>
        <w:t>[</w:t>
      </w:r>
      <w:r w:rsidR="00282B10" w:rsidRPr="00507C65">
        <w:rPr>
          <w:rFonts w:ascii="Arial" w:hAnsi="Arial" w:cs="Arial"/>
          <w:sz w:val="24"/>
          <w:szCs w:val="24"/>
          <w:lang w:val="en-US"/>
        </w:rPr>
        <w:t>5</w:t>
      </w:r>
      <w:r w:rsidRPr="00507C65">
        <w:rPr>
          <w:rFonts w:ascii="Arial" w:hAnsi="Arial" w:cs="Arial"/>
          <w:sz w:val="24"/>
          <w:szCs w:val="24"/>
          <w:lang w:val="en-US"/>
        </w:rPr>
        <w:t>]</w:t>
      </w:r>
      <w:r w:rsidRPr="00507C65">
        <w:rPr>
          <w:rFonts w:ascii="Arial" w:hAnsi="Arial" w:cs="Arial"/>
          <w:sz w:val="24"/>
          <w:szCs w:val="24"/>
          <w:lang w:val="en-US"/>
        </w:rPr>
        <w:tab/>
        <w:t xml:space="preserve">On 4 January 2022, the </w:t>
      </w:r>
      <w:r w:rsidR="00BA451E" w:rsidRPr="00507C65">
        <w:rPr>
          <w:rFonts w:ascii="Arial" w:hAnsi="Arial" w:cs="Arial"/>
          <w:sz w:val="24"/>
          <w:szCs w:val="24"/>
          <w:lang w:val="en-US"/>
        </w:rPr>
        <w:t>high court</w:t>
      </w:r>
      <w:r w:rsidR="00680348" w:rsidRPr="00507C65">
        <w:rPr>
          <w:rFonts w:ascii="Arial" w:hAnsi="Arial" w:cs="Arial"/>
          <w:sz w:val="24"/>
          <w:szCs w:val="24"/>
          <w:lang w:val="en-US"/>
        </w:rPr>
        <w:t xml:space="preserve"> </w:t>
      </w:r>
      <w:r w:rsidR="00C55EC2" w:rsidRPr="00507C65">
        <w:rPr>
          <w:rFonts w:ascii="Arial" w:hAnsi="Arial" w:cs="Arial"/>
          <w:sz w:val="24"/>
          <w:szCs w:val="24"/>
          <w:lang w:val="en-US"/>
        </w:rPr>
        <w:t xml:space="preserve">handed down judgment </w:t>
      </w:r>
      <w:r w:rsidR="00B646FD" w:rsidRPr="00507C65">
        <w:rPr>
          <w:rFonts w:ascii="Arial" w:hAnsi="Arial" w:cs="Arial"/>
          <w:sz w:val="24"/>
          <w:szCs w:val="24"/>
          <w:lang w:val="en-US"/>
        </w:rPr>
        <w:t>ordering the</w:t>
      </w:r>
      <w:r w:rsidR="00680348" w:rsidRPr="00507C65">
        <w:rPr>
          <w:rFonts w:ascii="Arial" w:hAnsi="Arial" w:cs="Arial"/>
          <w:sz w:val="24"/>
          <w:szCs w:val="24"/>
          <w:lang w:val="en-US"/>
        </w:rPr>
        <w:t xml:space="preserve"> second appellant </w:t>
      </w:r>
      <w:r w:rsidR="003F42F8" w:rsidRPr="00507C65">
        <w:rPr>
          <w:rFonts w:ascii="Arial" w:hAnsi="Arial" w:cs="Arial"/>
          <w:sz w:val="24"/>
          <w:szCs w:val="24"/>
          <w:lang w:val="en-US"/>
        </w:rPr>
        <w:t>to provide secur</w:t>
      </w:r>
      <w:r w:rsidR="00627F69" w:rsidRPr="00507C65">
        <w:rPr>
          <w:rFonts w:ascii="Arial" w:hAnsi="Arial" w:cs="Arial"/>
          <w:sz w:val="24"/>
          <w:szCs w:val="24"/>
          <w:lang w:val="en-US"/>
        </w:rPr>
        <w:t xml:space="preserve">ity for costs </w:t>
      </w:r>
      <w:r w:rsidR="002B0042" w:rsidRPr="00507C65">
        <w:rPr>
          <w:rFonts w:ascii="Arial" w:hAnsi="Arial" w:cs="Arial"/>
          <w:sz w:val="24"/>
          <w:szCs w:val="24"/>
          <w:lang w:val="en-US"/>
        </w:rPr>
        <w:t>in an amount to be fixed by the registrar.</w:t>
      </w:r>
      <w:r w:rsidR="00090974" w:rsidRPr="00507C65">
        <w:rPr>
          <w:rFonts w:ascii="Arial" w:hAnsi="Arial" w:cs="Arial"/>
          <w:sz w:val="24"/>
          <w:szCs w:val="24"/>
          <w:lang w:val="en-US"/>
        </w:rPr>
        <w:t xml:space="preserve"> The appellants </w:t>
      </w:r>
      <w:r w:rsidR="001E2035" w:rsidRPr="00507C65">
        <w:rPr>
          <w:rFonts w:ascii="Arial" w:hAnsi="Arial" w:cs="Arial"/>
          <w:sz w:val="24"/>
          <w:szCs w:val="24"/>
          <w:lang w:val="en-US"/>
        </w:rPr>
        <w:t>were ordered</w:t>
      </w:r>
      <w:r w:rsidR="00090974" w:rsidRPr="00507C65">
        <w:rPr>
          <w:rFonts w:ascii="Arial" w:hAnsi="Arial" w:cs="Arial"/>
          <w:sz w:val="24"/>
          <w:szCs w:val="24"/>
          <w:lang w:val="en-US"/>
        </w:rPr>
        <w:t xml:space="preserve"> to pay</w:t>
      </w:r>
      <w:r w:rsidR="00627F69" w:rsidRPr="00507C65">
        <w:rPr>
          <w:rFonts w:ascii="Arial" w:hAnsi="Arial" w:cs="Arial"/>
          <w:sz w:val="24"/>
          <w:szCs w:val="24"/>
          <w:lang w:val="en-US"/>
        </w:rPr>
        <w:t xml:space="preserve"> </w:t>
      </w:r>
      <w:r w:rsidR="00191CE0" w:rsidRPr="00507C65">
        <w:rPr>
          <w:rFonts w:ascii="Arial" w:hAnsi="Arial" w:cs="Arial"/>
          <w:sz w:val="24"/>
          <w:szCs w:val="24"/>
          <w:lang w:val="en-US"/>
        </w:rPr>
        <w:t xml:space="preserve">the </w:t>
      </w:r>
      <w:r w:rsidR="00627F69" w:rsidRPr="00507C65">
        <w:rPr>
          <w:rFonts w:ascii="Arial" w:hAnsi="Arial" w:cs="Arial"/>
          <w:sz w:val="24"/>
          <w:szCs w:val="24"/>
          <w:lang w:val="en-US"/>
        </w:rPr>
        <w:t xml:space="preserve">costs </w:t>
      </w:r>
      <w:r w:rsidR="003F42F8" w:rsidRPr="00507C65">
        <w:rPr>
          <w:rFonts w:ascii="Arial" w:hAnsi="Arial" w:cs="Arial"/>
          <w:sz w:val="24"/>
          <w:szCs w:val="24"/>
          <w:lang w:val="en-US"/>
        </w:rPr>
        <w:t>of the applications, including</w:t>
      </w:r>
      <w:r w:rsidR="00B646FD" w:rsidRPr="00507C65">
        <w:rPr>
          <w:rFonts w:ascii="Arial" w:hAnsi="Arial" w:cs="Arial"/>
          <w:sz w:val="24"/>
          <w:szCs w:val="24"/>
          <w:lang w:val="en-US"/>
        </w:rPr>
        <w:t xml:space="preserve"> </w:t>
      </w:r>
      <w:r w:rsidR="00090974" w:rsidRPr="00507C65">
        <w:rPr>
          <w:rFonts w:ascii="Arial" w:hAnsi="Arial" w:cs="Arial"/>
          <w:sz w:val="24"/>
          <w:szCs w:val="24"/>
          <w:lang w:val="en-US"/>
        </w:rPr>
        <w:t>the wasted costs of th</w:t>
      </w:r>
      <w:r w:rsidR="00344007" w:rsidRPr="00507C65">
        <w:rPr>
          <w:rFonts w:ascii="Arial" w:hAnsi="Arial" w:cs="Arial"/>
          <w:sz w:val="24"/>
          <w:szCs w:val="24"/>
          <w:lang w:val="en-US"/>
        </w:rPr>
        <w:t xml:space="preserve">e opposed hearing intended for 14 May </w:t>
      </w:r>
      <w:r w:rsidR="003D49F8" w:rsidRPr="00507C65">
        <w:rPr>
          <w:rFonts w:ascii="Arial" w:hAnsi="Arial" w:cs="Arial"/>
          <w:sz w:val="24"/>
          <w:szCs w:val="24"/>
          <w:lang w:val="en-US"/>
        </w:rPr>
        <w:t>2021.</w:t>
      </w:r>
      <w:r w:rsidR="000B3685" w:rsidRPr="00507C65">
        <w:rPr>
          <w:rFonts w:ascii="Arial" w:hAnsi="Arial" w:cs="Arial"/>
          <w:sz w:val="24"/>
          <w:szCs w:val="24"/>
          <w:lang w:val="en-US"/>
        </w:rPr>
        <w:t xml:space="preserve"> </w:t>
      </w:r>
    </w:p>
    <w:p w14:paraId="36517776" w14:textId="3097485D" w:rsidR="002D7A1E" w:rsidRPr="00507C65" w:rsidRDefault="002D7A1E" w:rsidP="00C91B1D">
      <w:pPr>
        <w:spacing w:after="0" w:line="360" w:lineRule="auto"/>
        <w:jc w:val="both"/>
        <w:rPr>
          <w:rFonts w:ascii="Arial" w:hAnsi="Arial" w:cs="Arial"/>
          <w:sz w:val="24"/>
          <w:szCs w:val="24"/>
          <w:lang w:val="en-US"/>
        </w:rPr>
      </w:pPr>
    </w:p>
    <w:p w14:paraId="4DCF5169" w14:textId="36BFDC32" w:rsidR="00892B0D" w:rsidRPr="00507C65" w:rsidRDefault="00D779D5"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lastRenderedPageBreak/>
        <w:t>[</w:t>
      </w:r>
      <w:r w:rsidR="00282B10" w:rsidRPr="00507C65">
        <w:rPr>
          <w:rFonts w:ascii="Arial" w:hAnsi="Arial" w:cs="Arial"/>
          <w:sz w:val="24"/>
          <w:szCs w:val="24"/>
          <w:lang w:val="en-US"/>
        </w:rPr>
        <w:t>6</w:t>
      </w:r>
      <w:r w:rsidRPr="00507C65">
        <w:rPr>
          <w:rFonts w:ascii="Arial" w:hAnsi="Arial" w:cs="Arial"/>
          <w:sz w:val="24"/>
          <w:szCs w:val="24"/>
          <w:lang w:val="en-US"/>
        </w:rPr>
        <w:t>]</w:t>
      </w:r>
      <w:r w:rsidRPr="00507C65">
        <w:rPr>
          <w:rFonts w:ascii="Arial" w:hAnsi="Arial" w:cs="Arial"/>
          <w:sz w:val="24"/>
          <w:szCs w:val="24"/>
          <w:lang w:val="en-US"/>
        </w:rPr>
        <w:tab/>
      </w:r>
      <w:r w:rsidR="00461923" w:rsidRPr="00507C65">
        <w:rPr>
          <w:rFonts w:ascii="Arial" w:hAnsi="Arial" w:cs="Arial"/>
          <w:sz w:val="24"/>
          <w:szCs w:val="24"/>
          <w:lang w:val="en-US"/>
        </w:rPr>
        <w:t xml:space="preserve">The primary issue for determination is </w:t>
      </w:r>
      <w:bookmarkStart w:id="3" w:name="_Hlk132571522"/>
      <w:r w:rsidR="00461923" w:rsidRPr="00507C65">
        <w:rPr>
          <w:rFonts w:ascii="Arial" w:hAnsi="Arial" w:cs="Arial"/>
          <w:sz w:val="24"/>
          <w:szCs w:val="24"/>
          <w:lang w:val="en-US"/>
        </w:rPr>
        <w:t xml:space="preserve">whether the </w:t>
      </w:r>
      <w:r w:rsidR="00DF2D7A" w:rsidRPr="00507C65">
        <w:rPr>
          <w:rFonts w:ascii="Arial" w:hAnsi="Arial" w:cs="Arial"/>
          <w:sz w:val="24"/>
          <w:szCs w:val="24"/>
          <w:lang w:val="en-US"/>
        </w:rPr>
        <w:t>high court</w:t>
      </w:r>
      <w:r w:rsidR="00715C1A" w:rsidRPr="00507C65">
        <w:rPr>
          <w:rFonts w:ascii="Arial" w:hAnsi="Arial" w:cs="Arial"/>
          <w:i/>
          <w:iCs/>
          <w:sz w:val="24"/>
          <w:szCs w:val="24"/>
          <w:lang w:val="en-US"/>
        </w:rPr>
        <w:t xml:space="preserve"> </w:t>
      </w:r>
      <w:r w:rsidR="00715C1A" w:rsidRPr="00507C65">
        <w:rPr>
          <w:rFonts w:ascii="Arial" w:hAnsi="Arial" w:cs="Arial"/>
          <w:sz w:val="24"/>
          <w:szCs w:val="24"/>
          <w:lang w:val="en-US"/>
        </w:rPr>
        <w:t xml:space="preserve">correctly exercised its discretion </w:t>
      </w:r>
      <w:r w:rsidR="00700B22" w:rsidRPr="00507C65">
        <w:rPr>
          <w:rFonts w:ascii="Arial" w:hAnsi="Arial" w:cs="Arial"/>
          <w:sz w:val="24"/>
          <w:szCs w:val="24"/>
          <w:lang w:val="en-US"/>
        </w:rPr>
        <w:t>by</w:t>
      </w:r>
      <w:r w:rsidR="00715C1A" w:rsidRPr="00507C65">
        <w:rPr>
          <w:rFonts w:ascii="Arial" w:hAnsi="Arial" w:cs="Arial"/>
          <w:sz w:val="24"/>
          <w:szCs w:val="24"/>
          <w:lang w:val="en-US"/>
        </w:rPr>
        <w:t xml:space="preserve"> ordering the second appellant to furnish</w:t>
      </w:r>
      <w:r w:rsidR="00461923" w:rsidRPr="00507C65">
        <w:rPr>
          <w:rFonts w:ascii="Arial" w:hAnsi="Arial" w:cs="Arial"/>
          <w:sz w:val="24"/>
          <w:szCs w:val="24"/>
          <w:lang w:val="en-US"/>
        </w:rPr>
        <w:t xml:space="preserve"> security for cost</w:t>
      </w:r>
      <w:r w:rsidR="00892B0D" w:rsidRPr="00507C65">
        <w:rPr>
          <w:rFonts w:ascii="Arial" w:hAnsi="Arial" w:cs="Arial"/>
          <w:sz w:val="24"/>
          <w:szCs w:val="24"/>
          <w:lang w:val="en-US"/>
        </w:rPr>
        <w:t>s</w:t>
      </w:r>
      <w:r w:rsidR="00461923" w:rsidRPr="00507C65">
        <w:rPr>
          <w:rFonts w:ascii="Arial" w:hAnsi="Arial" w:cs="Arial"/>
          <w:i/>
          <w:iCs/>
          <w:sz w:val="24"/>
          <w:szCs w:val="24"/>
          <w:lang w:val="en-US"/>
        </w:rPr>
        <w:t>.</w:t>
      </w:r>
      <w:r w:rsidR="00461923" w:rsidRPr="00507C65">
        <w:rPr>
          <w:rFonts w:ascii="Arial" w:hAnsi="Arial" w:cs="Arial"/>
          <w:sz w:val="24"/>
          <w:szCs w:val="24"/>
          <w:lang w:val="en-US"/>
        </w:rPr>
        <w:t xml:space="preserve"> </w:t>
      </w:r>
      <w:bookmarkEnd w:id="3"/>
      <w:r w:rsidR="00546570" w:rsidRPr="00507C65">
        <w:rPr>
          <w:rFonts w:ascii="Arial" w:hAnsi="Arial" w:cs="Arial"/>
          <w:sz w:val="24"/>
          <w:szCs w:val="24"/>
          <w:lang w:val="en-US"/>
        </w:rPr>
        <w:t>A</w:t>
      </w:r>
      <w:r w:rsidR="00484776" w:rsidRPr="00507C65">
        <w:rPr>
          <w:rFonts w:ascii="Arial" w:hAnsi="Arial" w:cs="Arial"/>
          <w:sz w:val="24"/>
          <w:szCs w:val="24"/>
          <w:lang w:val="en-US"/>
        </w:rPr>
        <w:t xml:space="preserve"> secondary issue </w:t>
      </w:r>
      <w:r w:rsidR="00627F69" w:rsidRPr="00507C65">
        <w:rPr>
          <w:rFonts w:ascii="Arial" w:hAnsi="Arial" w:cs="Arial"/>
          <w:sz w:val="24"/>
          <w:szCs w:val="24"/>
          <w:lang w:val="en-US"/>
        </w:rPr>
        <w:t>pertains</w:t>
      </w:r>
      <w:r w:rsidR="003F42F8" w:rsidRPr="00507C65">
        <w:rPr>
          <w:rFonts w:ascii="Arial" w:hAnsi="Arial" w:cs="Arial"/>
          <w:sz w:val="24"/>
          <w:szCs w:val="24"/>
          <w:lang w:val="en-US"/>
        </w:rPr>
        <w:t xml:space="preserve"> to the order directing the appellants to pay the wasted costs of 14 May 2021</w:t>
      </w:r>
      <w:r w:rsidR="00964741" w:rsidRPr="00507C65">
        <w:rPr>
          <w:rFonts w:ascii="Arial" w:hAnsi="Arial" w:cs="Arial"/>
          <w:sz w:val="24"/>
          <w:szCs w:val="24"/>
          <w:lang w:val="en-US"/>
        </w:rPr>
        <w:t>.</w:t>
      </w:r>
    </w:p>
    <w:p w14:paraId="3DAAC03F" w14:textId="77777777" w:rsidR="00951877" w:rsidRPr="00507C65" w:rsidRDefault="00951877" w:rsidP="00700B22">
      <w:pPr>
        <w:spacing w:after="0" w:line="360" w:lineRule="auto"/>
        <w:jc w:val="both"/>
        <w:rPr>
          <w:rFonts w:ascii="Arial" w:hAnsi="Arial" w:cs="Arial"/>
          <w:sz w:val="24"/>
          <w:szCs w:val="24"/>
          <w:lang w:val="en-US"/>
        </w:rPr>
      </w:pPr>
    </w:p>
    <w:p w14:paraId="4F87FA9D" w14:textId="6F5B7CB8" w:rsidR="00CB37DE" w:rsidRPr="00507C65" w:rsidRDefault="00DD0F18">
      <w:pPr>
        <w:spacing w:after="0" w:line="360" w:lineRule="auto"/>
        <w:jc w:val="both"/>
        <w:rPr>
          <w:rFonts w:ascii="Arial" w:hAnsi="Arial" w:cs="Arial"/>
          <w:b/>
          <w:bCs/>
          <w:sz w:val="24"/>
          <w:szCs w:val="24"/>
          <w:lang w:val="en-US"/>
        </w:rPr>
      </w:pPr>
      <w:r w:rsidRPr="00507C65">
        <w:rPr>
          <w:rFonts w:ascii="Arial" w:hAnsi="Arial" w:cs="Arial"/>
          <w:b/>
          <w:bCs/>
          <w:sz w:val="24"/>
          <w:szCs w:val="24"/>
          <w:lang w:val="en-US"/>
        </w:rPr>
        <w:t>The relevant legal principles</w:t>
      </w:r>
    </w:p>
    <w:p w14:paraId="6A896676" w14:textId="6C1642DA" w:rsidR="00182EAE" w:rsidRPr="00507C65" w:rsidRDefault="0008395A" w:rsidP="00262CE3">
      <w:pPr>
        <w:spacing w:after="0" w:line="360" w:lineRule="auto"/>
        <w:jc w:val="both"/>
        <w:rPr>
          <w:rFonts w:ascii="Arial" w:hAnsi="Arial" w:cs="Arial"/>
          <w:sz w:val="24"/>
          <w:szCs w:val="24"/>
          <w:lang w:val="en-US"/>
        </w:rPr>
      </w:pPr>
      <w:r w:rsidRPr="00507C65">
        <w:rPr>
          <w:rFonts w:ascii="Arial" w:hAnsi="Arial" w:cs="Arial"/>
          <w:sz w:val="24"/>
          <w:szCs w:val="24"/>
        </w:rPr>
        <w:t>[</w:t>
      </w:r>
      <w:r w:rsidR="00E25033" w:rsidRPr="00507C65">
        <w:rPr>
          <w:rFonts w:ascii="Arial" w:hAnsi="Arial" w:cs="Arial"/>
          <w:sz w:val="24"/>
          <w:szCs w:val="24"/>
        </w:rPr>
        <w:t>7</w:t>
      </w:r>
      <w:r w:rsidR="00CB37DE" w:rsidRPr="00507C65">
        <w:rPr>
          <w:rFonts w:ascii="Arial" w:hAnsi="Arial" w:cs="Arial"/>
          <w:sz w:val="24"/>
          <w:szCs w:val="24"/>
        </w:rPr>
        <w:t>]</w:t>
      </w:r>
      <w:r w:rsidR="00CB37DE" w:rsidRPr="00507C65">
        <w:rPr>
          <w:rFonts w:ascii="Arial" w:hAnsi="Arial" w:cs="Arial"/>
          <w:sz w:val="24"/>
          <w:szCs w:val="24"/>
        </w:rPr>
        <w:tab/>
      </w:r>
      <w:r w:rsidR="00B57535">
        <w:rPr>
          <w:rFonts w:ascii="Arial" w:hAnsi="Arial" w:cs="Arial"/>
          <w:sz w:val="24"/>
          <w:szCs w:val="24"/>
        </w:rPr>
        <w:t>We</w:t>
      </w:r>
      <w:r w:rsidR="000262D4" w:rsidRPr="00507C65">
        <w:rPr>
          <w:rFonts w:ascii="Arial" w:hAnsi="Arial" w:cs="Arial"/>
          <w:sz w:val="24"/>
          <w:szCs w:val="24"/>
        </w:rPr>
        <w:t xml:space="preserve"> now turn to consider </w:t>
      </w:r>
      <w:r w:rsidR="00B646FD" w:rsidRPr="00507C65">
        <w:rPr>
          <w:rFonts w:ascii="Arial" w:hAnsi="Arial" w:cs="Arial"/>
          <w:sz w:val="24"/>
          <w:szCs w:val="24"/>
        </w:rPr>
        <w:t>the legal</w:t>
      </w:r>
      <w:r w:rsidR="000262D4" w:rsidRPr="00507C65">
        <w:rPr>
          <w:rFonts w:ascii="Arial" w:hAnsi="Arial" w:cs="Arial"/>
          <w:sz w:val="24"/>
          <w:szCs w:val="24"/>
        </w:rPr>
        <w:t xml:space="preserve"> position </w:t>
      </w:r>
      <w:r w:rsidR="00FA11EB" w:rsidRPr="00507C65">
        <w:rPr>
          <w:rFonts w:ascii="Arial" w:hAnsi="Arial" w:cs="Arial"/>
          <w:sz w:val="24"/>
          <w:szCs w:val="24"/>
        </w:rPr>
        <w:t xml:space="preserve">regarding </w:t>
      </w:r>
      <w:r w:rsidR="00FA11EB" w:rsidRPr="00507C65">
        <w:rPr>
          <w:rFonts w:ascii="Arial" w:hAnsi="Arial" w:cs="Arial"/>
          <w:sz w:val="24"/>
          <w:szCs w:val="24"/>
          <w:lang w:val="en-US"/>
        </w:rPr>
        <w:t>s</w:t>
      </w:r>
      <w:r w:rsidR="00182EAE" w:rsidRPr="00507C65">
        <w:rPr>
          <w:rFonts w:ascii="Arial" w:hAnsi="Arial" w:cs="Arial"/>
          <w:sz w:val="24"/>
          <w:szCs w:val="24"/>
          <w:lang w:val="en-US"/>
        </w:rPr>
        <w:t>ecurity for costs</w:t>
      </w:r>
      <w:r w:rsidR="00FA11EB" w:rsidRPr="00507C65">
        <w:rPr>
          <w:rFonts w:ascii="Arial" w:hAnsi="Arial" w:cs="Arial"/>
          <w:sz w:val="24"/>
          <w:szCs w:val="24"/>
          <w:lang w:val="en-US"/>
        </w:rPr>
        <w:t>.</w:t>
      </w:r>
      <w:r w:rsidR="00235D65" w:rsidRPr="00507C65">
        <w:rPr>
          <w:rFonts w:ascii="Arial" w:hAnsi="Arial" w:cs="Arial"/>
          <w:sz w:val="24"/>
          <w:szCs w:val="24"/>
          <w:lang w:val="en-US"/>
        </w:rPr>
        <w:t xml:space="preserve"> Security for </w:t>
      </w:r>
      <w:r w:rsidR="00C92DCF" w:rsidRPr="00507C65">
        <w:rPr>
          <w:rFonts w:ascii="Arial" w:hAnsi="Arial" w:cs="Arial"/>
          <w:sz w:val="24"/>
          <w:szCs w:val="24"/>
          <w:lang w:val="en-US"/>
        </w:rPr>
        <w:t>costs is</w:t>
      </w:r>
      <w:r w:rsidR="00182EAE" w:rsidRPr="00507C65">
        <w:rPr>
          <w:rFonts w:ascii="Arial" w:hAnsi="Arial" w:cs="Arial"/>
          <w:sz w:val="24"/>
          <w:szCs w:val="24"/>
          <w:lang w:val="en-US"/>
        </w:rPr>
        <w:t xml:space="preserve"> a discretionary remedy that a court may grant to a defendant</w:t>
      </w:r>
      <w:r w:rsidR="00445608" w:rsidRPr="00507C65">
        <w:rPr>
          <w:rFonts w:ascii="Arial" w:hAnsi="Arial" w:cs="Arial"/>
          <w:sz w:val="24"/>
          <w:szCs w:val="24"/>
          <w:lang w:val="en-US"/>
        </w:rPr>
        <w:t xml:space="preserve"> who has a reasonable apprehension that the plaintiff will not be able to pay the costs of litigation if the </w:t>
      </w:r>
      <w:r w:rsidR="004276A8" w:rsidRPr="00507C65">
        <w:rPr>
          <w:rFonts w:ascii="Arial" w:hAnsi="Arial" w:cs="Arial"/>
          <w:sz w:val="24"/>
          <w:szCs w:val="24"/>
          <w:lang w:val="en-US"/>
        </w:rPr>
        <w:t>plaintiffs</w:t>
      </w:r>
      <w:r w:rsidR="00445608" w:rsidRPr="00507C65">
        <w:rPr>
          <w:rFonts w:ascii="Arial" w:hAnsi="Arial" w:cs="Arial"/>
          <w:sz w:val="24"/>
          <w:szCs w:val="24"/>
          <w:lang w:val="en-US"/>
        </w:rPr>
        <w:t xml:space="preserve"> claim fails.</w:t>
      </w:r>
      <w:r w:rsidR="00CF146A" w:rsidRPr="00507C65">
        <w:rPr>
          <w:rFonts w:ascii="Arial" w:hAnsi="Arial" w:cs="Arial"/>
          <w:sz w:val="24"/>
          <w:szCs w:val="24"/>
          <w:lang w:val="en-US"/>
        </w:rPr>
        <w:t xml:space="preserve"> </w:t>
      </w:r>
      <w:r w:rsidR="00F954E8" w:rsidRPr="00507C65">
        <w:rPr>
          <w:rFonts w:ascii="Arial" w:hAnsi="Arial" w:cs="Arial"/>
          <w:sz w:val="24"/>
          <w:szCs w:val="24"/>
          <w:lang w:val="en-US"/>
        </w:rPr>
        <w:t>An</w:t>
      </w:r>
      <w:r w:rsidR="00F61F3C" w:rsidRPr="00507C65">
        <w:rPr>
          <w:rFonts w:ascii="Arial" w:hAnsi="Arial" w:cs="Arial"/>
          <w:sz w:val="24"/>
          <w:szCs w:val="24"/>
          <w:lang w:val="en-US"/>
        </w:rPr>
        <w:t xml:space="preserve"> </w:t>
      </w:r>
      <w:r w:rsidR="00F61F3C" w:rsidRPr="00507C65">
        <w:rPr>
          <w:rFonts w:ascii="Arial" w:hAnsi="Arial" w:cs="Arial"/>
          <w:i/>
          <w:iCs/>
          <w:sz w:val="24"/>
          <w:szCs w:val="24"/>
          <w:lang w:val="en-US"/>
        </w:rPr>
        <w:t>incola</w:t>
      </w:r>
      <w:r w:rsidR="00F954E8" w:rsidRPr="00507C65">
        <w:rPr>
          <w:rFonts w:ascii="Arial" w:hAnsi="Arial" w:cs="Arial"/>
          <w:i/>
          <w:iCs/>
          <w:sz w:val="24"/>
          <w:szCs w:val="24"/>
          <w:lang w:val="en-US"/>
        </w:rPr>
        <w:t xml:space="preserve"> </w:t>
      </w:r>
      <w:r w:rsidR="00CE007C" w:rsidRPr="00507C65">
        <w:rPr>
          <w:rFonts w:ascii="Arial" w:hAnsi="Arial" w:cs="Arial"/>
          <w:sz w:val="24"/>
          <w:szCs w:val="24"/>
          <w:lang w:val="en-US"/>
        </w:rPr>
        <w:t>is</w:t>
      </w:r>
      <w:r w:rsidR="001014C5" w:rsidRPr="00507C65">
        <w:rPr>
          <w:rFonts w:ascii="Arial" w:hAnsi="Arial" w:cs="Arial"/>
          <w:sz w:val="24"/>
          <w:szCs w:val="24"/>
          <w:lang w:val="en-US"/>
        </w:rPr>
        <w:t xml:space="preserve"> not</w:t>
      </w:r>
      <w:r w:rsidR="001E2035" w:rsidRPr="00507C65">
        <w:rPr>
          <w:rFonts w:ascii="Arial" w:hAnsi="Arial" w:cs="Arial"/>
          <w:sz w:val="24"/>
          <w:szCs w:val="24"/>
          <w:lang w:val="en-US"/>
        </w:rPr>
        <w:t>,</w:t>
      </w:r>
      <w:r w:rsidR="001014C5" w:rsidRPr="00507C65">
        <w:rPr>
          <w:rFonts w:ascii="Arial" w:hAnsi="Arial" w:cs="Arial"/>
          <w:sz w:val="24"/>
          <w:szCs w:val="24"/>
          <w:lang w:val="en-US"/>
        </w:rPr>
        <w:t xml:space="preserve"> as a matter of course</w:t>
      </w:r>
      <w:r w:rsidR="001E2035" w:rsidRPr="00507C65">
        <w:rPr>
          <w:rFonts w:ascii="Arial" w:hAnsi="Arial" w:cs="Arial"/>
          <w:sz w:val="24"/>
          <w:szCs w:val="24"/>
          <w:lang w:val="en-US"/>
        </w:rPr>
        <w:t>,</w:t>
      </w:r>
      <w:r w:rsidR="001014C5" w:rsidRPr="00507C65">
        <w:rPr>
          <w:rFonts w:ascii="Arial" w:hAnsi="Arial" w:cs="Arial"/>
          <w:sz w:val="24"/>
          <w:szCs w:val="24"/>
          <w:lang w:val="en-US"/>
        </w:rPr>
        <w:t xml:space="preserve"> entitled to demand security from a </w:t>
      </w:r>
      <w:r w:rsidR="001014C5" w:rsidRPr="00507C65">
        <w:rPr>
          <w:rFonts w:ascii="Arial" w:hAnsi="Arial" w:cs="Arial"/>
          <w:i/>
          <w:sz w:val="24"/>
          <w:szCs w:val="24"/>
          <w:lang w:val="en-US"/>
        </w:rPr>
        <w:t>peregrinus</w:t>
      </w:r>
      <w:r w:rsidR="001014C5" w:rsidRPr="00507C65">
        <w:rPr>
          <w:rFonts w:ascii="Arial" w:hAnsi="Arial" w:cs="Arial"/>
          <w:sz w:val="24"/>
          <w:szCs w:val="24"/>
          <w:lang w:val="en-US"/>
        </w:rPr>
        <w:t xml:space="preserve"> </w:t>
      </w:r>
      <w:r w:rsidR="00CE007C" w:rsidRPr="00507C65">
        <w:rPr>
          <w:rFonts w:ascii="Arial" w:hAnsi="Arial" w:cs="Arial"/>
          <w:sz w:val="24"/>
          <w:szCs w:val="24"/>
          <w:lang w:val="en-US"/>
        </w:rPr>
        <w:t>claimant</w:t>
      </w:r>
      <w:r w:rsidR="00C065B1" w:rsidRPr="00507C65">
        <w:rPr>
          <w:rFonts w:ascii="Arial" w:hAnsi="Arial" w:cs="Arial"/>
          <w:sz w:val="24"/>
          <w:szCs w:val="24"/>
          <w:lang w:val="en-US"/>
        </w:rPr>
        <w:t>. I</w:t>
      </w:r>
      <w:r w:rsidR="00CE007C" w:rsidRPr="00507C65">
        <w:rPr>
          <w:rFonts w:ascii="Arial" w:hAnsi="Arial" w:cs="Arial"/>
          <w:sz w:val="24"/>
          <w:szCs w:val="24"/>
          <w:lang w:val="en-US"/>
        </w:rPr>
        <w:t xml:space="preserve">t is </w:t>
      </w:r>
      <w:r w:rsidR="00191CE0" w:rsidRPr="00507C65">
        <w:rPr>
          <w:rFonts w:ascii="Arial" w:hAnsi="Arial" w:cs="Arial"/>
          <w:sz w:val="24"/>
          <w:szCs w:val="24"/>
          <w:lang w:val="en-US"/>
        </w:rPr>
        <w:t>at</w:t>
      </w:r>
      <w:r w:rsidR="00CE007C" w:rsidRPr="00507C65">
        <w:rPr>
          <w:rFonts w:ascii="Arial" w:hAnsi="Arial" w:cs="Arial"/>
          <w:sz w:val="24"/>
          <w:szCs w:val="24"/>
          <w:lang w:val="en-US"/>
        </w:rPr>
        <w:t xml:space="preserve"> the discretion of the </w:t>
      </w:r>
      <w:r w:rsidR="006D4EF5" w:rsidRPr="00507C65">
        <w:rPr>
          <w:rFonts w:ascii="Arial" w:hAnsi="Arial" w:cs="Arial"/>
          <w:sz w:val="24"/>
          <w:szCs w:val="24"/>
          <w:lang w:val="en-US"/>
        </w:rPr>
        <w:t>c</w:t>
      </w:r>
      <w:r w:rsidR="00A80CD5" w:rsidRPr="00507C65">
        <w:rPr>
          <w:rFonts w:ascii="Arial" w:hAnsi="Arial" w:cs="Arial"/>
          <w:sz w:val="24"/>
          <w:szCs w:val="24"/>
          <w:lang w:val="en-US"/>
        </w:rPr>
        <w:t>ourt</w:t>
      </w:r>
      <w:r w:rsidR="00CE007C" w:rsidRPr="00507C65">
        <w:rPr>
          <w:rFonts w:ascii="Arial" w:hAnsi="Arial" w:cs="Arial"/>
          <w:sz w:val="24"/>
          <w:szCs w:val="24"/>
          <w:lang w:val="en-US"/>
        </w:rPr>
        <w:t xml:space="preserve"> to make such an order</w:t>
      </w:r>
      <w:r w:rsidR="00534795" w:rsidRPr="00507C65">
        <w:rPr>
          <w:rFonts w:ascii="Arial" w:hAnsi="Arial" w:cs="Arial"/>
          <w:sz w:val="24"/>
          <w:szCs w:val="24"/>
          <w:lang w:val="en-US"/>
        </w:rPr>
        <w:t xml:space="preserve"> after an investigation </w:t>
      </w:r>
      <w:r w:rsidR="006D4EF5" w:rsidRPr="00507C65">
        <w:rPr>
          <w:rFonts w:ascii="Arial" w:hAnsi="Arial" w:cs="Arial"/>
          <w:sz w:val="24"/>
          <w:szCs w:val="24"/>
          <w:lang w:val="en-US"/>
        </w:rPr>
        <w:t>of</w:t>
      </w:r>
      <w:r w:rsidR="00534795" w:rsidRPr="00507C65">
        <w:rPr>
          <w:rFonts w:ascii="Arial" w:hAnsi="Arial" w:cs="Arial"/>
          <w:sz w:val="24"/>
          <w:szCs w:val="24"/>
          <w:lang w:val="en-US"/>
        </w:rPr>
        <w:t xml:space="preserve"> the circumstances and if equ</w:t>
      </w:r>
      <w:r w:rsidR="00A03C17" w:rsidRPr="00507C65">
        <w:rPr>
          <w:rFonts w:ascii="Arial" w:hAnsi="Arial" w:cs="Arial"/>
          <w:sz w:val="24"/>
          <w:szCs w:val="24"/>
          <w:lang w:val="en-US"/>
        </w:rPr>
        <w:t>ity</w:t>
      </w:r>
      <w:r w:rsidR="00534795" w:rsidRPr="00507C65">
        <w:rPr>
          <w:rFonts w:ascii="Arial" w:hAnsi="Arial" w:cs="Arial"/>
          <w:sz w:val="24"/>
          <w:szCs w:val="24"/>
          <w:lang w:val="en-US"/>
        </w:rPr>
        <w:t xml:space="preserve"> and fairness to both litigants dictate that such </w:t>
      </w:r>
      <w:r w:rsidR="001E2035" w:rsidRPr="00507C65">
        <w:rPr>
          <w:rFonts w:ascii="Arial" w:hAnsi="Arial" w:cs="Arial"/>
          <w:sz w:val="24"/>
          <w:szCs w:val="24"/>
          <w:lang w:val="en-US"/>
        </w:rPr>
        <w:t xml:space="preserve">an </w:t>
      </w:r>
      <w:r w:rsidR="00534795" w:rsidRPr="00507C65">
        <w:rPr>
          <w:rFonts w:ascii="Arial" w:hAnsi="Arial" w:cs="Arial"/>
          <w:sz w:val="24"/>
          <w:szCs w:val="24"/>
          <w:lang w:val="en-US"/>
        </w:rPr>
        <w:t>order be</w:t>
      </w:r>
      <w:r w:rsidR="00D70FB4" w:rsidRPr="00507C65">
        <w:rPr>
          <w:rFonts w:ascii="Arial" w:hAnsi="Arial" w:cs="Arial"/>
          <w:sz w:val="24"/>
          <w:szCs w:val="24"/>
          <w:lang w:val="en-US"/>
        </w:rPr>
        <w:t xml:space="preserve"> made</w:t>
      </w:r>
      <w:r w:rsidR="00000016" w:rsidRPr="00507C65">
        <w:rPr>
          <w:rFonts w:ascii="Arial" w:hAnsi="Arial" w:cs="Arial"/>
          <w:sz w:val="24"/>
          <w:szCs w:val="24"/>
          <w:lang w:val="en-US"/>
        </w:rPr>
        <w:t>.</w:t>
      </w:r>
      <w:r w:rsidR="00F4552F" w:rsidRPr="00262CE3">
        <w:rPr>
          <w:rFonts w:ascii="Arial" w:hAnsi="Arial" w:cs="Arial"/>
          <w:sz w:val="24"/>
          <w:szCs w:val="24"/>
          <w:vertAlign w:val="superscript"/>
          <w:lang w:val="en-US"/>
        </w:rPr>
        <w:footnoteReference w:id="1"/>
      </w:r>
      <w:r w:rsidR="00FE038B" w:rsidRPr="00507C65">
        <w:rPr>
          <w:rFonts w:ascii="Arial" w:hAnsi="Arial" w:cs="Arial"/>
          <w:sz w:val="24"/>
          <w:szCs w:val="24"/>
          <w:lang w:val="en-US"/>
        </w:rPr>
        <w:t xml:space="preserve"> </w:t>
      </w:r>
      <w:r w:rsidR="00D5310F" w:rsidRPr="00507C65">
        <w:rPr>
          <w:rFonts w:ascii="Arial" w:hAnsi="Arial" w:cs="Arial"/>
          <w:sz w:val="24"/>
          <w:szCs w:val="24"/>
          <w:lang w:val="en-US"/>
        </w:rPr>
        <w:t xml:space="preserve">There is no justification for requiring the </w:t>
      </w:r>
      <w:r w:rsidR="006D4EF5" w:rsidRPr="00507C65">
        <w:rPr>
          <w:rFonts w:ascii="Arial" w:hAnsi="Arial" w:cs="Arial"/>
          <w:sz w:val="24"/>
          <w:szCs w:val="24"/>
          <w:lang w:val="en-US"/>
        </w:rPr>
        <w:t>c</w:t>
      </w:r>
      <w:r w:rsidR="00A80CD5" w:rsidRPr="00507C65">
        <w:rPr>
          <w:rFonts w:ascii="Arial" w:hAnsi="Arial" w:cs="Arial"/>
          <w:sz w:val="24"/>
          <w:szCs w:val="24"/>
          <w:lang w:val="en-US"/>
        </w:rPr>
        <w:t>ourt</w:t>
      </w:r>
      <w:r w:rsidR="00D5310F" w:rsidRPr="00507C65">
        <w:rPr>
          <w:rFonts w:ascii="Arial" w:hAnsi="Arial" w:cs="Arial"/>
          <w:sz w:val="24"/>
          <w:szCs w:val="24"/>
          <w:lang w:val="en-US"/>
        </w:rPr>
        <w:t xml:space="preserve"> to exercise its discretion in </w:t>
      </w:r>
      <w:r w:rsidR="006B3439" w:rsidRPr="00507C65">
        <w:rPr>
          <w:rFonts w:ascii="Arial" w:hAnsi="Arial" w:cs="Arial"/>
          <w:sz w:val="24"/>
          <w:szCs w:val="24"/>
          <w:lang w:val="en-US"/>
        </w:rPr>
        <w:t>favour</w:t>
      </w:r>
      <w:r w:rsidR="00D5310F" w:rsidRPr="00507C65">
        <w:rPr>
          <w:rFonts w:ascii="Arial" w:hAnsi="Arial" w:cs="Arial"/>
          <w:sz w:val="24"/>
          <w:szCs w:val="24"/>
          <w:lang w:val="en-US"/>
        </w:rPr>
        <w:t xml:space="preserve"> of a </w:t>
      </w:r>
      <w:r w:rsidR="00D5310F" w:rsidRPr="00507C65">
        <w:rPr>
          <w:rFonts w:ascii="Arial" w:hAnsi="Arial" w:cs="Arial"/>
          <w:i/>
          <w:sz w:val="24"/>
          <w:szCs w:val="24"/>
          <w:lang w:val="en-US"/>
        </w:rPr>
        <w:t>peregrinus</w:t>
      </w:r>
      <w:r w:rsidR="00D5310F" w:rsidRPr="00507C65">
        <w:rPr>
          <w:rFonts w:ascii="Arial" w:hAnsi="Arial" w:cs="Arial"/>
          <w:sz w:val="24"/>
          <w:szCs w:val="24"/>
          <w:lang w:val="en-US"/>
        </w:rPr>
        <w:t xml:space="preserve"> only sparingly</w:t>
      </w:r>
      <w:r w:rsidR="00D80C1A" w:rsidRPr="00507C65">
        <w:rPr>
          <w:rFonts w:ascii="Arial" w:hAnsi="Arial" w:cs="Arial"/>
          <w:sz w:val="24"/>
          <w:szCs w:val="24"/>
          <w:lang w:val="en-US"/>
        </w:rPr>
        <w:t>.</w:t>
      </w:r>
      <w:r w:rsidR="00D57250" w:rsidRPr="00507C65">
        <w:rPr>
          <w:rStyle w:val="FootnoteReference"/>
          <w:rFonts w:ascii="Arial" w:hAnsi="Arial" w:cs="Arial"/>
          <w:sz w:val="24"/>
          <w:szCs w:val="24"/>
          <w:lang w:val="en-US"/>
        </w:rPr>
        <w:footnoteReference w:id="2"/>
      </w:r>
      <w:r w:rsidR="00286842" w:rsidRPr="00507C65">
        <w:rPr>
          <w:rFonts w:ascii="Arial" w:hAnsi="Arial" w:cs="Arial"/>
          <w:sz w:val="24"/>
          <w:szCs w:val="24"/>
          <w:lang w:val="en-US"/>
        </w:rPr>
        <w:t xml:space="preserve"> </w:t>
      </w:r>
    </w:p>
    <w:p w14:paraId="115F9446" w14:textId="77777777" w:rsidR="008E5327" w:rsidRPr="00507C65" w:rsidRDefault="008E5327" w:rsidP="00262CE3">
      <w:pPr>
        <w:spacing w:after="0" w:line="360" w:lineRule="auto"/>
        <w:jc w:val="both"/>
        <w:rPr>
          <w:rFonts w:ascii="Arial" w:hAnsi="Arial" w:cs="Arial"/>
          <w:sz w:val="24"/>
          <w:szCs w:val="24"/>
          <w:lang w:val="en-US"/>
        </w:rPr>
      </w:pPr>
    </w:p>
    <w:p w14:paraId="37EC5934" w14:textId="7D5831CA" w:rsidR="00CB37DE" w:rsidRPr="00507C65" w:rsidRDefault="0008395A"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w:t>
      </w:r>
      <w:r w:rsidR="00E25033" w:rsidRPr="00507C65">
        <w:rPr>
          <w:rFonts w:ascii="Arial" w:hAnsi="Arial" w:cs="Arial"/>
          <w:sz w:val="24"/>
          <w:szCs w:val="24"/>
          <w:lang w:val="en-US"/>
        </w:rPr>
        <w:t>8</w:t>
      </w:r>
      <w:r w:rsidR="00CE3075" w:rsidRPr="00507C65">
        <w:rPr>
          <w:rFonts w:ascii="Arial" w:hAnsi="Arial" w:cs="Arial"/>
          <w:sz w:val="24"/>
          <w:szCs w:val="24"/>
          <w:lang w:val="en-US"/>
        </w:rPr>
        <w:t>]</w:t>
      </w:r>
      <w:r w:rsidR="00CE3075" w:rsidRPr="00507C65">
        <w:rPr>
          <w:rFonts w:ascii="Arial" w:hAnsi="Arial" w:cs="Arial"/>
          <w:sz w:val="24"/>
          <w:szCs w:val="24"/>
          <w:lang w:val="en-US"/>
        </w:rPr>
        <w:tab/>
      </w:r>
      <w:r w:rsidR="0074204B" w:rsidRPr="00507C65">
        <w:rPr>
          <w:rFonts w:ascii="Arial" w:hAnsi="Arial" w:cs="Arial"/>
          <w:sz w:val="24"/>
          <w:szCs w:val="24"/>
        </w:rPr>
        <w:t xml:space="preserve">In </w:t>
      </w:r>
      <w:r w:rsidR="006D4EF5" w:rsidRPr="00507C65">
        <w:rPr>
          <w:rFonts w:ascii="Arial" w:hAnsi="Arial" w:cs="Arial"/>
          <w:i/>
          <w:iCs/>
          <w:sz w:val="24"/>
          <w:szCs w:val="24"/>
          <w:lang w:val="en-US"/>
        </w:rPr>
        <w:t>Shepstone &amp; Wylie &amp; Others v Geyser NO (Shepstone &amp; Wylie</w:t>
      </w:r>
      <w:r w:rsidR="006559CF" w:rsidRPr="00507C65">
        <w:rPr>
          <w:rFonts w:ascii="Arial" w:hAnsi="Arial" w:cs="Arial"/>
          <w:i/>
          <w:iCs/>
          <w:sz w:val="24"/>
          <w:szCs w:val="24"/>
          <w:lang w:val="en-US"/>
        </w:rPr>
        <w:t xml:space="preserve"> </w:t>
      </w:r>
      <w:r w:rsidR="006D4EF5" w:rsidRPr="00507C65">
        <w:rPr>
          <w:rFonts w:ascii="Arial" w:hAnsi="Arial" w:cs="Arial"/>
          <w:i/>
          <w:iCs/>
          <w:sz w:val="24"/>
          <w:szCs w:val="24"/>
          <w:lang w:val="en-US"/>
        </w:rPr>
        <w:t>)</w:t>
      </w:r>
      <w:r w:rsidR="006559CF" w:rsidRPr="00507C65">
        <w:rPr>
          <w:rFonts w:ascii="Arial" w:hAnsi="Arial" w:cs="Arial"/>
          <w:iCs/>
          <w:sz w:val="24"/>
          <w:szCs w:val="24"/>
          <w:lang w:val="en-US"/>
        </w:rPr>
        <w:t>,</w:t>
      </w:r>
      <w:r w:rsidR="006D4EF5" w:rsidRPr="00507C65">
        <w:rPr>
          <w:rFonts w:ascii="Arial" w:hAnsi="Arial" w:cs="Arial"/>
          <w:sz w:val="24"/>
          <w:szCs w:val="24"/>
          <w:vertAlign w:val="superscript"/>
          <w:lang w:val="en-US"/>
        </w:rPr>
        <w:footnoteReference w:id="3"/>
      </w:r>
      <w:r w:rsidR="00B646FD" w:rsidRPr="00507C65">
        <w:rPr>
          <w:rFonts w:ascii="Arial" w:hAnsi="Arial" w:cs="Arial"/>
          <w:i/>
          <w:iCs/>
          <w:sz w:val="24"/>
          <w:szCs w:val="24"/>
          <w:lang w:val="en-US"/>
        </w:rPr>
        <w:t xml:space="preserve"> </w:t>
      </w:r>
      <w:r w:rsidR="00B646FD" w:rsidRPr="00507C65">
        <w:rPr>
          <w:rFonts w:ascii="Arial" w:hAnsi="Arial" w:cs="Arial"/>
          <w:iCs/>
          <w:sz w:val="24"/>
          <w:szCs w:val="24"/>
          <w:lang w:val="en-US"/>
        </w:rPr>
        <w:t>Hefer</w:t>
      </w:r>
      <w:r w:rsidR="007D7E18" w:rsidRPr="00507C65">
        <w:rPr>
          <w:rFonts w:ascii="Arial" w:hAnsi="Arial" w:cs="Arial"/>
          <w:sz w:val="24"/>
          <w:szCs w:val="24"/>
        </w:rPr>
        <w:t xml:space="preserve"> JA further explained the applicable test. He said that a court should not fetter its own discretion, particularly not by adopting an approach which brooks of no departure except in special circumstances. It must decide each case upon consideration of all the circumstances without adopting a predisposition</w:t>
      </w:r>
      <w:r w:rsidR="003226DF" w:rsidRPr="00507C65">
        <w:rPr>
          <w:rFonts w:ascii="Arial" w:hAnsi="Arial" w:cs="Arial"/>
          <w:sz w:val="24"/>
          <w:szCs w:val="24"/>
        </w:rPr>
        <w:t xml:space="preserve"> </w:t>
      </w:r>
      <w:r w:rsidR="007D7E18" w:rsidRPr="00507C65">
        <w:rPr>
          <w:rFonts w:ascii="Arial" w:hAnsi="Arial" w:cs="Arial"/>
          <w:sz w:val="24"/>
          <w:szCs w:val="24"/>
        </w:rPr>
        <w:t>either in favour or against granting security.</w:t>
      </w:r>
      <w:r w:rsidR="003226DF" w:rsidRPr="00507C65">
        <w:rPr>
          <w:rFonts w:ascii="Arial" w:hAnsi="Arial" w:cs="Arial"/>
          <w:sz w:val="24"/>
          <w:szCs w:val="24"/>
        </w:rPr>
        <w:t xml:space="preserve"> The court must carry out a balancing exercise. On the one hand</w:t>
      </w:r>
      <w:r w:rsidR="00191CE0" w:rsidRPr="00507C65">
        <w:rPr>
          <w:rFonts w:ascii="Arial" w:hAnsi="Arial" w:cs="Arial"/>
          <w:sz w:val="24"/>
          <w:szCs w:val="24"/>
        </w:rPr>
        <w:t>,</w:t>
      </w:r>
      <w:r w:rsidR="003226DF" w:rsidRPr="00507C65">
        <w:rPr>
          <w:rFonts w:ascii="Arial" w:hAnsi="Arial" w:cs="Arial"/>
          <w:sz w:val="24"/>
          <w:szCs w:val="24"/>
        </w:rPr>
        <w:t xml:space="preserve"> it must weigh the injustice to the plaintiff if prevented from pursuing a proper claim by an order for</w:t>
      </w:r>
      <w:r w:rsidR="007D7E18" w:rsidRPr="00507C65">
        <w:rPr>
          <w:rFonts w:ascii="Arial" w:hAnsi="Arial" w:cs="Arial"/>
          <w:sz w:val="24"/>
          <w:szCs w:val="24"/>
        </w:rPr>
        <w:t xml:space="preserve"> </w:t>
      </w:r>
      <w:r w:rsidR="003226DF" w:rsidRPr="00507C65">
        <w:rPr>
          <w:rFonts w:ascii="Arial" w:hAnsi="Arial" w:cs="Arial"/>
          <w:sz w:val="24"/>
          <w:szCs w:val="24"/>
        </w:rPr>
        <w:t>security. Against that</w:t>
      </w:r>
      <w:r w:rsidR="00191CE0" w:rsidRPr="00507C65">
        <w:rPr>
          <w:rFonts w:ascii="Arial" w:hAnsi="Arial" w:cs="Arial"/>
          <w:sz w:val="24"/>
          <w:szCs w:val="24"/>
        </w:rPr>
        <w:t>,</w:t>
      </w:r>
      <w:r w:rsidR="003226DF" w:rsidRPr="00507C65">
        <w:rPr>
          <w:rFonts w:ascii="Arial" w:hAnsi="Arial" w:cs="Arial"/>
          <w:sz w:val="24"/>
          <w:szCs w:val="24"/>
        </w:rPr>
        <w:t xml:space="preserve"> it must weigh the injustice to the defendant if no security is ordered and at the trial</w:t>
      </w:r>
      <w:r w:rsidR="00786284" w:rsidRPr="00507C65">
        <w:rPr>
          <w:rFonts w:ascii="Arial" w:hAnsi="Arial" w:cs="Arial"/>
          <w:sz w:val="24"/>
          <w:szCs w:val="24"/>
        </w:rPr>
        <w:t>,</w:t>
      </w:r>
      <w:r w:rsidR="003226DF" w:rsidRPr="00507C65">
        <w:rPr>
          <w:rFonts w:ascii="Arial" w:hAnsi="Arial" w:cs="Arial"/>
          <w:sz w:val="24"/>
          <w:szCs w:val="24"/>
        </w:rPr>
        <w:t xml:space="preserve"> the plaintiff’s claim </w:t>
      </w:r>
      <w:r w:rsidR="003C68A1" w:rsidRPr="00507C65">
        <w:rPr>
          <w:rFonts w:ascii="Arial" w:hAnsi="Arial" w:cs="Arial"/>
          <w:sz w:val="24"/>
          <w:szCs w:val="24"/>
        </w:rPr>
        <w:t>fails,</w:t>
      </w:r>
      <w:r w:rsidR="003226DF" w:rsidRPr="00507C65">
        <w:rPr>
          <w:rFonts w:ascii="Arial" w:hAnsi="Arial" w:cs="Arial"/>
          <w:sz w:val="24"/>
          <w:szCs w:val="24"/>
        </w:rPr>
        <w:t xml:space="preserve"> an</w:t>
      </w:r>
      <w:r w:rsidR="000C424A" w:rsidRPr="00507C65">
        <w:rPr>
          <w:rFonts w:ascii="Arial" w:hAnsi="Arial" w:cs="Arial"/>
          <w:sz w:val="24"/>
          <w:szCs w:val="24"/>
        </w:rPr>
        <w:t xml:space="preserve">d the defendant is unable to </w:t>
      </w:r>
      <w:r w:rsidR="003226DF" w:rsidRPr="00507C65">
        <w:rPr>
          <w:rFonts w:ascii="Arial" w:hAnsi="Arial" w:cs="Arial"/>
          <w:sz w:val="24"/>
          <w:szCs w:val="24"/>
        </w:rPr>
        <w:t>recover the costs in</w:t>
      </w:r>
      <w:r w:rsidR="00512A9D" w:rsidRPr="00507C65">
        <w:rPr>
          <w:rFonts w:ascii="Arial" w:hAnsi="Arial" w:cs="Arial"/>
          <w:sz w:val="24"/>
          <w:szCs w:val="24"/>
        </w:rPr>
        <w:t>curred in defence of the claim.</w:t>
      </w:r>
    </w:p>
    <w:p w14:paraId="5DCEE75B" w14:textId="77777777" w:rsidR="00EF360D" w:rsidRPr="00507C65" w:rsidRDefault="00EF360D" w:rsidP="003C68A1">
      <w:pPr>
        <w:spacing w:after="0" w:line="360" w:lineRule="auto"/>
        <w:jc w:val="both"/>
        <w:rPr>
          <w:rFonts w:ascii="Arial" w:hAnsi="Arial" w:cs="Arial"/>
          <w:sz w:val="24"/>
          <w:szCs w:val="24"/>
        </w:rPr>
      </w:pPr>
    </w:p>
    <w:p w14:paraId="3B606AA1" w14:textId="426DC8DD" w:rsidR="003226DF" w:rsidRPr="00507C65" w:rsidRDefault="00E25033" w:rsidP="00262CE3">
      <w:pPr>
        <w:spacing w:after="0" w:line="360" w:lineRule="auto"/>
        <w:jc w:val="both"/>
        <w:rPr>
          <w:rFonts w:ascii="Arial" w:hAnsi="Arial" w:cs="Arial"/>
          <w:sz w:val="24"/>
          <w:szCs w:val="24"/>
        </w:rPr>
      </w:pPr>
      <w:r w:rsidRPr="00507C65">
        <w:rPr>
          <w:rFonts w:ascii="Arial" w:hAnsi="Arial" w:cs="Arial"/>
          <w:sz w:val="24"/>
          <w:szCs w:val="24"/>
        </w:rPr>
        <w:t>[9</w:t>
      </w:r>
      <w:r w:rsidR="003226DF" w:rsidRPr="00507C65">
        <w:rPr>
          <w:rFonts w:ascii="Arial" w:hAnsi="Arial" w:cs="Arial"/>
          <w:sz w:val="24"/>
          <w:szCs w:val="24"/>
        </w:rPr>
        <w:t>]</w:t>
      </w:r>
      <w:r w:rsidR="003226DF" w:rsidRPr="00507C65">
        <w:rPr>
          <w:rFonts w:ascii="Arial" w:hAnsi="Arial" w:cs="Arial"/>
          <w:sz w:val="24"/>
          <w:szCs w:val="24"/>
        </w:rPr>
        <w:tab/>
      </w:r>
      <w:r w:rsidR="00793288" w:rsidRPr="00507C65">
        <w:rPr>
          <w:rFonts w:ascii="Arial" w:hAnsi="Arial" w:cs="Arial"/>
          <w:sz w:val="24"/>
          <w:szCs w:val="24"/>
        </w:rPr>
        <w:t>I</w:t>
      </w:r>
      <w:r w:rsidR="003226DF" w:rsidRPr="00507C65">
        <w:rPr>
          <w:rFonts w:ascii="Arial" w:hAnsi="Arial" w:cs="Arial"/>
          <w:sz w:val="24"/>
          <w:szCs w:val="24"/>
        </w:rPr>
        <w:t xml:space="preserve">n </w:t>
      </w:r>
      <w:r w:rsidR="003226DF" w:rsidRPr="00507C65">
        <w:rPr>
          <w:rFonts w:ascii="Arial" w:hAnsi="Arial" w:cs="Arial"/>
          <w:i/>
          <w:sz w:val="24"/>
          <w:szCs w:val="24"/>
        </w:rPr>
        <w:t>Exploitatie- en Beleggingsmaatschappij Argonauten 11 BV and Another v Honig</w:t>
      </w:r>
      <w:r w:rsidR="00786284" w:rsidRPr="00507C65">
        <w:rPr>
          <w:rFonts w:ascii="Arial" w:hAnsi="Arial" w:cs="Arial"/>
          <w:i/>
          <w:sz w:val="24"/>
          <w:szCs w:val="24"/>
        </w:rPr>
        <w:t>,</w:t>
      </w:r>
      <w:r w:rsidR="003226DF" w:rsidRPr="00507C65">
        <w:rPr>
          <w:rFonts w:ascii="Arial" w:hAnsi="Arial" w:cs="Arial"/>
          <w:sz w:val="24"/>
          <w:szCs w:val="24"/>
          <w:vertAlign w:val="superscript"/>
        </w:rPr>
        <w:footnoteReference w:id="4"/>
      </w:r>
      <w:r w:rsidR="003226DF" w:rsidRPr="00507C65">
        <w:rPr>
          <w:rFonts w:ascii="Arial" w:hAnsi="Arial" w:cs="Arial"/>
          <w:sz w:val="24"/>
          <w:szCs w:val="24"/>
        </w:rPr>
        <w:t xml:space="preserve"> </w:t>
      </w:r>
      <w:r w:rsidR="006B4CE7" w:rsidRPr="00507C65">
        <w:rPr>
          <w:rFonts w:ascii="Arial" w:hAnsi="Arial" w:cs="Arial"/>
          <w:sz w:val="24"/>
          <w:szCs w:val="24"/>
        </w:rPr>
        <w:t>this</w:t>
      </w:r>
      <w:r w:rsidR="003F3098" w:rsidRPr="00507C65">
        <w:rPr>
          <w:rFonts w:ascii="Arial" w:hAnsi="Arial" w:cs="Arial"/>
          <w:sz w:val="24"/>
          <w:szCs w:val="24"/>
        </w:rPr>
        <w:t xml:space="preserve"> C</w:t>
      </w:r>
      <w:r w:rsidR="00793288" w:rsidRPr="00507C65">
        <w:rPr>
          <w:rFonts w:ascii="Arial" w:hAnsi="Arial" w:cs="Arial"/>
          <w:sz w:val="24"/>
          <w:szCs w:val="24"/>
        </w:rPr>
        <w:t xml:space="preserve">ourt </w:t>
      </w:r>
      <w:r w:rsidR="00B646FD" w:rsidRPr="00507C65">
        <w:rPr>
          <w:rFonts w:ascii="Arial" w:hAnsi="Arial" w:cs="Arial"/>
          <w:sz w:val="24"/>
          <w:szCs w:val="24"/>
        </w:rPr>
        <w:t>referred to a</w:t>
      </w:r>
      <w:r w:rsidR="006B4CE7" w:rsidRPr="00507C65">
        <w:rPr>
          <w:rFonts w:ascii="Arial" w:hAnsi="Arial" w:cs="Arial"/>
          <w:sz w:val="24"/>
          <w:szCs w:val="24"/>
        </w:rPr>
        <w:t xml:space="preserve"> general </w:t>
      </w:r>
      <w:r w:rsidR="00B646FD" w:rsidRPr="00507C65">
        <w:rPr>
          <w:rFonts w:ascii="Arial" w:hAnsi="Arial" w:cs="Arial"/>
          <w:sz w:val="24"/>
          <w:szCs w:val="24"/>
        </w:rPr>
        <w:t>rule of</w:t>
      </w:r>
      <w:r w:rsidR="006B4CE7" w:rsidRPr="00507C65">
        <w:rPr>
          <w:rFonts w:ascii="Arial" w:hAnsi="Arial" w:cs="Arial"/>
          <w:sz w:val="24"/>
          <w:szCs w:val="24"/>
        </w:rPr>
        <w:t xml:space="preserve"> practice </w:t>
      </w:r>
      <w:r w:rsidR="003226DF" w:rsidRPr="00507C65">
        <w:rPr>
          <w:rFonts w:ascii="Arial" w:hAnsi="Arial" w:cs="Arial"/>
          <w:sz w:val="24"/>
          <w:szCs w:val="24"/>
        </w:rPr>
        <w:t xml:space="preserve">that a </w:t>
      </w:r>
      <w:r w:rsidR="003226DF" w:rsidRPr="00507C65">
        <w:rPr>
          <w:rFonts w:ascii="Arial" w:hAnsi="Arial" w:cs="Arial"/>
          <w:i/>
          <w:sz w:val="24"/>
          <w:szCs w:val="24"/>
        </w:rPr>
        <w:t>peregrinus</w:t>
      </w:r>
      <w:r w:rsidR="003226DF" w:rsidRPr="00507C65">
        <w:rPr>
          <w:rFonts w:ascii="Arial" w:hAnsi="Arial" w:cs="Arial"/>
          <w:sz w:val="24"/>
          <w:szCs w:val="24"/>
        </w:rPr>
        <w:t xml:space="preserve"> should provide security for an </w:t>
      </w:r>
      <w:r w:rsidR="003226DF" w:rsidRPr="00507C65">
        <w:rPr>
          <w:rFonts w:ascii="Arial" w:hAnsi="Arial" w:cs="Arial"/>
          <w:i/>
          <w:sz w:val="24"/>
          <w:szCs w:val="24"/>
        </w:rPr>
        <w:t>incola's</w:t>
      </w:r>
      <w:r w:rsidR="003226DF" w:rsidRPr="00507C65">
        <w:rPr>
          <w:rFonts w:ascii="Arial" w:hAnsi="Arial" w:cs="Arial"/>
          <w:sz w:val="24"/>
          <w:szCs w:val="24"/>
        </w:rPr>
        <w:t xml:space="preserve"> costs. </w:t>
      </w:r>
      <w:r w:rsidR="003C68A1" w:rsidRPr="00507C65">
        <w:rPr>
          <w:rFonts w:ascii="Arial" w:hAnsi="Arial" w:cs="Arial"/>
          <w:sz w:val="24"/>
          <w:szCs w:val="24"/>
        </w:rPr>
        <w:t>However, a</w:t>
      </w:r>
      <w:r w:rsidR="008531D6" w:rsidRPr="00507C65">
        <w:rPr>
          <w:rFonts w:ascii="Arial" w:hAnsi="Arial" w:cs="Arial"/>
          <w:sz w:val="24"/>
          <w:szCs w:val="24"/>
        </w:rPr>
        <w:t xml:space="preserve"> reading of the judgment as a whole makes </w:t>
      </w:r>
      <w:r w:rsidR="007120FA" w:rsidRPr="00507C65">
        <w:rPr>
          <w:rFonts w:ascii="Arial" w:hAnsi="Arial" w:cs="Arial"/>
          <w:sz w:val="24"/>
          <w:szCs w:val="24"/>
        </w:rPr>
        <w:lastRenderedPageBreak/>
        <w:t xml:space="preserve">it </w:t>
      </w:r>
      <w:r w:rsidR="008531D6" w:rsidRPr="00507C65">
        <w:rPr>
          <w:rFonts w:ascii="Arial" w:hAnsi="Arial" w:cs="Arial"/>
          <w:sz w:val="24"/>
          <w:szCs w:val="24"/>
        </w:rPr>
        <w:t xml:space="preserve">clear that the court did </w:t>
      </w:r>
      <w:r w:rsidR="00B646FD" w:rsidRPr="00507C65">
        <w:rPr>
          <w:rFonts w:ascii="Arial" w:hAnsi="Arial" w:cs="Arial"/>
          <w:sz w:val="24"/>
          <w:szCs w:val="24"/>
        </w:rPr>
        <w:t>not intend to</w:t>
      </w:r>
      <w:r w:rsidR="003226DF" w:rsidRPr="00507C65">
        <w:rPr>
          <w:rFonts w:ascii="Arial" w:hAnsi="Arial" w:cs="Arial"/>
          <w:sz w:val="24"/>
          <w:szCs w:val="24"/>
        </w:rPr>
        <w:t xml:space="preserve"> depart from the settled principles in </w:t>
      </w:r>
      <w:r w:rsidR="003C68A1" w:rsidRPr="00507C65">
        <w:rPr>
          <w:rFonts w:ascii="Arial" w:hAnsi="Arial" w:cs="Arial"/>
          <w:i/>
          <w:sz w:val="24"/>
          <w:szCs w:val="24"/>
        </w:rPr>
        <w:t>Magida v Minister of Police (Magida)</w:t>
      </w:r>
      <w:r w:rsidR="003C68A1" w:rsidRPr="00262CE3">
        <w:rPr>
          <w:rStyle w:val="FootnoteReference"/>
          <w:rFonts w:ascii="Arial" w:hAnsi="Arial" w:cs="Arial"/>
          <w:iCs/>
          <w:sz w:val="24"/>
          <w:szCs w:val="24"/>
        </w:rPr>
        <w:footnoteReference w:id="5"/>
      </w:r>
      <w:r w:rsidR="003226DF" w:rsidRPr="00507C65">
        <w:rPr>
          <w:rFonts w:ascii="Arial" w:hAnsi="Arial" w:cs="Arial"/>
          <w:sz w:val="24"/>
          <w:szCs w:val="24"/>
        </w:rPr>
        <w:t xml:space="preserve"> and </w:t>
      </w:r>
      <w:r w:rsidR="003226DF" w:rsidRPr="00507C65">
        <w:rPr>
          <w:rFonts w:ascii="Arial" w:hAnsi="Arial" w:cs="Arial"/>
          <w:i/>
          <w:sz w:val="24"/>
          <w:szCs w:val="24"/>
        </w:rPr>
        <w:t>Shepstone &amp; Wylie</w:t>
      </w:r>
      <w:r w:rsidR="003226DF" w:rsidRPr="00507C65">
        <w:rPr>
          <w:rFonts w:ascii="Arial" w:hAnsi="Arial" w:cs="Arial"/>
          <w:sz w:val="24"/>
          <w:szCs w:val="24"/>
        </w:rPr>
        <w:t>.</w:t>
      </w:r>
    </w:p>
    <w:p w14:paraId="2527AC0E" w14:textId="77777777" w:rsidR="006B4CE7" w:rsidRPr="00507C65" w:rsidRDefault="006B4CE7" w:rsidP="00262CE3">
      <w:pPr>
        <w:spacing w:after="0" w:line="360" w:lineRule="auto"/>
        <w:jc w:val="both"/>
        <w:rPr>
          <w:rFonts w:ascii="Arial" w:hAnsi="Arial" w:cs="Arial"/>
          <w:sz w:val="24"/>
          <w:szCs w:val="24"/>
        </w:rPr>
      </w:pPr>
    </w:p>
    <w:p w14:paraId="4D3D3F80" w14:textId="380D58B7" w:rsidR="008531D6" w:rsidRPr="00507C65" w:rsidRDefault="00E25033" w:rsidP="008531D6">
      <w:pPr>
        <w:spacing w:after="0" w:line="360" w:lineRule="auto"/>
        <w:jc w:val="both"/>
        <w:rPr>
          <w:rFonts w:ascii="Arial" w:hAnsi="Arial" w:cs="Arial"/>
          <w:sz w:val="24"/>
          <w:szCs w:val="24"/>
          <w:lang w:val="en-US"/>
        </w:rPr>
      </w:pPr>
      <w:r w:rsidRPr="00507C65">
        <w:rPr>
          <w:rFonts w:ascii="Arial" w:hAnsi="Arial" w:cs="Arial"/>
          <w:sz w:val="24"/>
          <w:szCs w:val="24"/>
          <w:lang w:val="en-US"/>
        </w:rPr>
        <w:t>[10</w:t>
      </w:r>
      <w:r w:rsidR="008531D6" w:rsidRPr="00507C65">
        <w:rPr>
          <w:rFonts w:ascii="Arial" w:hAnsi="Arial" w:cs="Arial"/>
          <w:sz w:val="24"/>
          <w:szCs w:val="24"/>
          <w:lang w:val="en-US"/>
        </w:rPr>
        <w:t>]</w:t>
      </w:r>
      <w:r w:rsidR="008531D6" w:rsidRPr="00507C65">
        <w:rPr>
          <w:rFonts w:ascii="Arial" w:hAnsi="Arial" w:cs="Arial"/>
          <w:sz w:val="24"/>
          <w:szCs w:val="24"/>
          <w:lang w:val="en-US"/>
        </w:rPr>
        <w:tab/>
        <w:t xml:space="preserve">The extent of this Court’s power to interfere with the high court exercise of discretion depends on the nature of the discretion concerned. In </w:t>
      </w:r>
      <w:r w:rsidR="008531D6" w:rsidRPr="00507C65">
        <w:rPr>
          <w:rFonts w:ascii="Arial" w:hAnsi="Arial" w:cs="Arial"/>
          <w:i/>
          <w:iCs/>
          <w:sz w:val="24"/>
          <w:szCs w:val="24"/>
          <w:lang w:val="en-GB"/>
        </w:rPr>
        <w:t>Trencon Construction (Pty) Ltd v Industrial Development Corporation of South Africa Ltd and Another,</w:t>
      </w:r>
      <w:r w:rsidR="003C68A1" w:rsidRPr="00507C65">
        <w:rPr>
          <w:rFonts w:ascii="Arial" w:hAnsi="Arial" w:cs="Arial"/>
          <w:i/>
          <w:iCs/>
          <w:sz w:val="24"/>
          <w:szCs w:val="24"/>
          <w:lang w:val="en-GB"/>
        </w:rPr>
        <w:t xml:space="preserve"> </w:t>
      </w:r>
      <w:r w:rsidR="008531D6" w:rsidRPr="00507C65">
        <w:rPr>
          <w:rFonts w:ascii="Arial" w:hAnsi="Arial" w:cs="Arial"/>
          <w:sz w:val="24"/>
          <w:szCs w:val="24"/>
          <w:lang w:val="en-GB"/>
        </w:rPr>
        <w:t>Khampepe J held that:</w:t>
      </w:r>
    </w:p>
    <w:p w14:paraId="41B9E69E" w14:textId="75826378" w:rsidR="008531D6" w:rsidRPr="00507C65" w:rsidRDefault="008531D6" w:rsidP="00262CE3">
      <w:pPr>
        <w:spacing w:after="0" w:line="360" w:lineRule="auto"/>
        <w:jc w:val="both"/>
        <w:rPr>
          <w:rFonts w:ascii="Arial" w:hAnsi="Arial" w:cs="Arial"/>
        </w:rPr>
      </w:pPr>
      <w:r w:rsidRPr="00507C65">
        <w:rPr>
          <w:rFonts w:ascii="Arial" w:hAnsi="Arial" w:cs="Arial"/>
        </w:rPr>
        <w:t>‘In order to decipher the standard of interference that an appellate court is justified in applying, a distinction between two types of discretion emerged in our case law.  That distinction is now deeply rooted in the law governing the relationship between appeal courts and courts of first instance. Therefore, the proper approach on appeal is for an appellate court to ascertain whether the discretion exercised by the lower court was a discretion in the true sense or whether it was a discretion in the loose sense. The importance of the distinction is that either type of discretion will dictate the standard of interference that an appellate court must apply.’</w:t>
      </w:r>
      <w:r w:rsidR="003C68A1" w:rsidRPr="00507C65">
        <w:rPr>
          <w:rStyle w:val="FootnoteReference"/>
          <w:rFonts w:ascii="Arial" w:hAnsi="Arial" w:cs="Arial"/>
        </w:rPr>
        <w:footnoteReference w:id="6"/>
      </w:r>
    </w:p>
    <w:p w14:paraId="13D1226E" w14:textId="77777777" w:rsidR="008531D6" w:rsidRPr="00262CE3" w:rsidRDefault="008531D6" w:rsidP="003C68A1">
      <w:pPr>
        <w:spacing w:after="0" w:line="360" w:lineRule="auto"/>
        <w:jc w:val="both"/>
        <w:rPr>
          <w:rFonts w:ascii="Arial" w:hAnsi="Arial" w:cs="Arial"/>
          <w:sz w:val="24"/>
          <w:szCs w:val="24"/>
        </w:rPr>
      </w:pPr>
    </w:p>
    <w:p w14:paraId="59228012" w14:textId="7311352D" w:rsidR="008531D6" w:rsidRPr="00507C65" w:rsidRDefault="008531D6" w:rsidP="00262CE3">
      <w:pPr>
        <w:spacing w:after="0" w:line="360" w:lineRule="auto"/>
        <w:jc w:val="both"/>
        <w:rPr>
          <w:rFonts w:ascii="Arial" w:hAnsi="Arial" w:cs="Arial"/>
          <w:sz w:val="24"/>
          <w:szCs w:val="24"/>
          <w:lang w:val="en-US"/>
        </w:rPr>
      </w:pPr>
      <w:r w:rsidRPr="00507C65">
        <w:rPr>
          <w:rFonts w:ascii="Arial" w:hAnsi="Arial" w:cs="Arial"/>
          <w:sz w:val="24"/>
          <w:szCs w:val="24"/>
        </w:rPr>
        <w:t>[</w:t>
      </w:r>
      <w:r w:rsidR="006B22FD" w:rsidRPr="00507C65">
        <w:rPr>
          <w:rFonts w:ascii="Arial" w:hAnsi="Arial" w:cs="Arial"/>
          <w:sz w:val="24"/>
          <w:szCs w:val="24"/>
        </w:rPr>
        <w:t>11</w:t>
      </w:r>
      <w:r w:rsidRPr="00507C65">
        <w:rPr>
          <w:rFonts w:ascii="Arial" w:hAnsi="Arial" w:cs="Arial"/>
          <w:sz w:val="24"/>
          <w:szCs w:val="24"/>
        </w:rPr>
        <w:t>]</w:t>
      </w:r>
      <w:r w:rsidRPr="00507C65">
        <w:rPr>
          <w:rFonts w:ascii="Arial" w:hAnsi="Arial" w:cs="Arial"/>
          <w:sz w:val="24"/>
          <w:szCs w:val="24"/>
        </w:rPr>
        <w:tab/>
        <w:t xml:space="preserve">In </w:t>
      </w:r>
      <w:r w:rsidRPr="00507C65">
        <w:rPr>
          <w:rFonts w:ascii="Arial" w:hAnsi="Arial" w:cs="Arial"/>
          <w:i/>
          <w:sz w:val="24"/>
          <w:szCs w:val="24"/>
        </w:rPr>
        <w:t>Media Workers Association of South Africa and Others v Press Corporation of South Africa Ltd (‘Perskor’)</w:t>
      </w:r>
      <w:r w:rsidRPr="00507C65">
        <w:rPr>
          <w:rFonts w:ascii="Arial" w:hAnsi="Arial" w:cs="Arial"/>
          <w:sz w:val="24"/>
          <w:szCs w:val="24"/>
        </w:rPr>
        <w:t>,</w:t>
      </w:r>
      <w:r w:rsidRPr="00507C65">
        <w:rPr>
          <w:rFonts w:ascii="Arial" w:hAnsi="Arial" w:cs="Arial"/>
          <w:sz w:val="24"/>
          <w:szCs w:val="24"/>
          <w:vertAlign w:val="superscript"/>
        </w:rPr>
        <w:footnoteReference w:id="7"/>
      </w:r>
      <w:r w:rsidRPr="00507C65">
        <w:rPr>
          <w:rFonts w:ascii="Arial" w:hAnsi="Arial" w:cs="Arial"/>
          <w:sz w:val="24"/>
          <w:szCs w:val="24"/>
        </w:rPr>
        <w:t xml:space="preserve"> </w:t>
      </w:r>
      <w:r w:rsidR="00156394" w:rsidRPr="00507C65">
        <w:rPr>
          <w:rFonts w:ascii="Arial" w:hAnsi="Arial" w:cs="Arial"/>
          <w:color w:val="000000" w:themeColor="text1"/>
          <w:sz w:val="24"/>
          <w:szCs w:val="24"/>
        </w:rPr>
        <w:t>EM</w:t>
      </w:r>
      <w:r w:rsidR="00156394" w:rsidRPr="00507C65">
        <w:rPr>
          <w:rFonts w:ascii="Arial" w:hAnsi="Arial" w:cs="Arial"/>
          <w:sz w:val="24"/>
          <w:szCs w:val="24"/>
        </w:rPr>
        <w:t xml:space="preserve"> </w:t>
      </w:r>
      <w:r w:rsidRPr="00507C65">
        <w:rPr>
          <w:rFonts w:ascii="Arial" w:hAnsi="Arial" w:cs="Arial"/>
          <w:sz w:val="24"/>
          <w:szCs w:val="24"/>
        </w:rPr>
        <w:t>Grosskopf J</w:t>
      </w:r>
      <w:r w:rsidR="00156394" w:rsidRPr="00507C65">
        <w:rPr>
          <w:rFonts w:ascii="Arial" w:hAnsi="Arial" w:cs="Arial"/>
          <w:color w:val="000000" w:themeColor="text1"/>
          <w:sz w:val="24"/>
          <w:szCs w:val="24"/>
        </w:rPr>
        <w:t>A</w:t>
      </w:r>
      <w:r w:rsidRPr="00507C65">
        <w:rPr>
          <w:rFonts w:ascii="Arial" w:hAnsi="Arial" w:cs="Arial"/>
          <w:sz w:val="24"/>
          <w:szCs w:val="24"/>
        </w:rPr>
        <w:t xml:space="preserve"> explained that the restraint on the appellate </w:t>
      </w:r>
      <w:r w:rsidR="00512A9D" w:rsidRPr="00507C65">
        <w:rPr>
          <w:rFonts w:ascii="Arial" w:hAnsi="Arial" w:cs="Arial"/>
          <w:sz w:val="24"/>
          <w:szCs w:val="24"/>
        </w:rPr>
        <w:t>c</w:t>
      </w:r>
      <w:r w:rsidRPr="00507C65">
        <w:rPr>
          <w:rFonts w:ascii="Arial" w:hAnsi="Arial" w:cs="Arial"/>
          <w:sz w:val="24"/>
          <w:szCs w:val="24"/>
        </w:rPr>
        <w:t>ourt</w:t>
      </w:r>
      <w:r w:rsidR="003C68A1" w:rsidRPr="00507C65">
        <w:rPr>
          <w:rFonts w:ascii="Arial" w:hAnsi="Arial" w:cs="Arial"/>
          <w:sz w:val="24"/>
          <w:szCs w:val="24"/>
        </w:rPr>
        <w:t>’</w:t>
      </w:r>
      <w:r w:rsidRPr="00507C65">
        <w:rPr>
          <w:rFonts w:ascii="Arial" w:hAnsi="Arial" w:cs="Arial"/>
          <w:sz w:val="24"/>
          <w:szCs w:val="24"/>
        </w:rPr>
        <w:t>s power of interference only applies to discretion in the strict or narrow sense.</w:t>
      </w:r>
      <w:r w:rsidRPr="00507C65">
        <w:rPr>
          <w:rFonts w:ascii="Arial" w:hAnsi="Arial" w:cs="Arial"/>
          <w:sz w:val="24"/>
          <w:szCs w:val="24"/>
          <w:lang w:val="en-US"/>
        </w:rPr>
        <w:t xml:space="preserve"> He explained that discretion in the strict sense involves a choice between different but equally </w:t>
      </w:r>
      <w:r w:rsidR="00156394" w:rsidRPr="00507C65">
        <w:rPr>
          <w:rFonts w:ascii="Arial" w:hAnsi="Arial" w:cs="Arial"/>
          <w:color w:val="000000" w:themeColor="text1"/>
          <w:sz w:val="24"/>
          <w:szCs w:val="24"/>
          <w:lang w:val="en-US"/>
        </w:rPr>
        <w:t>per</w:t>
      </w:r>
      <w:r w:rsidRPr="00507C65">
        <w:rPr>
          <w:rFonts w:ascii="Arial" w:hAnsi="Arial" w:cs="Arial"/>
          <w:sz w:val="24"/>
          <w:szCs w:val="24"/>
          <w:lang w:val="en-US"/>
        </w:rPr>
        <w:t xml:space="preserve">missible alternatives, whilst discretion in the broad sense means no more than that the </w:t>
      </w:r>
      <w:r w:rsidR="0081020F" w:rsidRPr="00507C65">
        <w:rPr>
          <w:rFonts w:ascii="Arial" w:hAnsi="Arial" w:cs="Arial"/>
          <w:sz w:val="24"/>
          <w:szCs w:val="24"/>
          <w:lang w:val="en-US"/>
        </w:rPr>
        <w:t>c</w:t>
      </w:r>
      <w:r w:rsidRPr="00507C65">
        <w:rPr>
          <w:rFonts w:ascii="Arial" w:hAnsi="Arial" w:cs="Arial"/>
          <w:sz w:val="24"/>
          <w:szCs w:val="24"/>
          <w:lang w:val="en-US"/>
        </w:rPr>
        <w:t>ourt is entitled to have regard to a number of disparate and incommensurable features in coming to a decision.</w:t>
      </w:r>
    </w:p>
    <w:p w14:paraId="7018EB2C" w14:textId="77777777" w:rsidR="006A7728" w:rsidRPr="00507C65" w:rsidRDefault="006A7728" w:rsidP="00262CE3">
      <w:pPr>
        <w:spacing w:after="0" w:line="360" w:lineRule="auto"/>
        <w:jc w:val="both"/>
        <w:rPr>
          <w:rFonts w:ascii="Arial" w:hAnsi="Arial" w:cs="Arial"/>
          <w:sz w:val="24"/>
          <w:szCs w:val="24"/>
          <w:lang w:val="en-US"/>
        </w:rPr>
      </w:pPr>
    </w:p>
    <w:p w14:paraId="4A9EF3DC" w14:textId="7631F13C" w:rsidR="00F83202" w:rsidRPr="00507C65" w:rsidRDefault="006A7728" w:rsidP="00F83202">
      <w:pPr>
        <w:spacing w:after="0" w:line="360" w:lineRule="auto"/>
        <w:jc w:val="both"/>
        <w:rPr>
          <w:rFonts w:ascii="Arial" w:hAnsi="Arial" w:cs="Arial"/>
          <w:sz w:val="24"/>
          <w:szCs w:val="24"/>
        </w:rPr>
      </w:pPr>
      <w:r w:rsidRPr="00507C65">
        <w:rPr>
          <w:rFonts w:ascii="Arial" w:hAnsi="Arial" w:cs="Arial"/>
          <w:sz w:val="24"/>
          <w:szCs w:val="24"/>
        </w:rPr>
        <w:t>[12</w:t>
      </w:r>
      <w:r w:rsidR="00F83202" w:rsidRPr="00507C65">
        <w:rPr>
          <w:rFonts w:ascii="Arial" w:hAnsi="Arial" w:cs="Arial"/>
          <w:sz w:val="24"/>
          <w:szCs w:val="24"/>
        </w:rPr>
        <w:t>]</w:t>
      </w:r>
      <w:r w:rsidR="00F83202" w:rsidRPr="00507C65">
        <w:rPr>
          <w:rFonts w:ascii="Arial" w:hAnsi="Arial" w:cs="Arial"/>
          <w:sz w:val="24"/>
          <w:szCs w:val="24"/>
        </w:rPr>
        <w:tab/>
        <w:t xml:space="preserve">The court in </w:t>
      </w:r>
      <w:r w:rsidR="00F83202" w:rsidRPr="00507C65">
        <w:rPr>
          <w:rFonts w:ascii="Arial" w:hAnsi="Arial" w:cs="Arial"/>
          <w:i/>
          <w:iCs/>
          <w:sz w:val="24"/>
          <w:szCs w:val="24"/>
          <w:lang w:val="en-US"/>
        </w:rPr>
        <w:t>Shepstone &amp; Wylie,</w:t>
      </w:r>
      <w:r w:rsidR="00F83202" w:rsidRPr="00507C65">
        <w:rPr>
          <w:rStyle w:val="FootnoteReference"/>
          <w:rFonts w:ascii="Arial" w:hAnsi="Arial" w:cs="Arial"/>
          <w:sz w:val="24"/>
          <w:szCs w:val="24"/>
        </w:rPr>
        <w:footnoteReference w:id="8"/>
      </w:r>
      <w:r w:rsidR="00BE4540" w:rsidRPr="00507C65">
        <w:rPr>
          <w:rFonts w:ascii="Arial" w:hAnsi="Arial" w:cs="Arial"/>
          <w:sz w:val="24"/>
          <w:szCs w:val="24"/>
        </w:rPr>
        <w:t xml:space="preserve"> </w:t>
      </w:r>
      <w:r w:rsidR="00F83202" w:rsidRPr="00507C65">
        <w:rPr>
          <w:rFonts w:ascii="Arial" w:hAnsi="Arial" w:cs="Arial"/>
          <w:sz w:val="24"/>
          <w:szCs w:val="24"/>
        </w:rPr>
        <w:t xml:space="preserve">left open the question as to how </w:t>
      </w:r>
      <w:r w:rsidR="003F3098" w:rsidRPr="00507C65">
        <w:rPr>
          <w:rFonts w:ascii="Arial" w:hAnsi="Arial" w:cs="Arial"/>
          <w:sz w:val="24"/>
          <w:szCs w:val="24"/>
        </w:rPr>
        <w:t>a</w:t>
      </w:r>
      <w:r w:rsidR="00F83202" w:rsidRPr="00507C65">
        <w:rPr>
          <w:rFonts w:ascii="Arial" w:hAnsi="Arial" w:cs="Arial"/>
          <w:sz w:val="24"/>
          <w:szCs w:val="24"/>
        </w:rPr>
        <w:t xml:space="preserve"> discretion</w:t>
      </w:r>
      <w:r w:rsidR="00610321" w:rsidRPr="00507C65">
        <w:rPr>
          <w:rFonts w:ascii="Arial" w:hAnsi="Arial" w:cs="Arial"/>
          <w:sz w:val="24"/>
          <w:szCs w:val="24"/>
        </w:rPr>
        <w:t xml:space="preserve"> to order security for costs</w:t>
      </w:r>
      <w:r w:rsidR="00F83202" w:rsidRPr="00507C65">
        <w:rPr>
          <w:rFonts w:ascii="Arial" w:hAnsi="Arial" w:cs="Arial"/>
          <w:sz w:val="24"/>
          <w:szCs w:val="24"/>
        </w:rPr>
        <w:t xml:space="preserve"> should be classified. This question has since been settled by t</w:t>
      </w:r>
      <w:r w:rsidR="00F83202" w:rsidRPr="00507C65">
        <w:rPr>
          <w:rFonts w:ascii="Arial" w:hAnsi="Arial" w:cs="Arial"/>
          <w:sz w:val="24"/>
          <w:szCs w:val="24"/>
          <w:lang w:val="en-US"/>
        </w:rPr>
        <w:t>he Constitutional Court in</w:t>
      </w:r>
      <w:r w:rsidR="00F83202" w:rsidRPr="00507C65">
        <w:rPr>
          <w:rFonts w:ascii="Arial" w:hAnsi="Arial" w:cs="Arial"/>
          <w:i/>
          <w:sz w:val="24"/>
          <w:szCs w:val="24"/>
        </w:rPr>
        <w:t xml:space="preserve"> Giddey NO v JC Barnard &amp; Partners (Giddey NO)</w:t>
      </w:r>
      <w:r w:rsidR="00F83202" w:rsidRPr="00507C65">
        <w:rPr>
          <w:rFonts w:ascii="Arial" w:hAnsi="Arial" w:cs="Arial"/>
          <w:sz w:val="24"/>
          <w:szCs w:val="24"/>
        </w:rPr>
        <w:t>,</w:t>
      </w:r>
      <w:r w:rsidR="00F83202" w:rsidRPr="00507C65">
        <w:rPr>
          <w:rStyle w:val="FootnoteReference"/>
          <w:rFonts w:ascii="Arial" w:hAnsi="Arial" w:cs="Arial"/>
          <w:sz w:val="24"/>
          <w:szCs w:val="24"/>
        </w:rPr>
        <w:footnoteReference w:id="9"/>
      </w:r>
      <w:r w:rsidR="003F3098" w:rsidRPr="00507C65">
        <w:rPr>
          <w:rFonts w:ascii="Arial" w:hAnsi="Arial" w:cs="Arial"/>
          <w:sz w:val="24"/>
          <w:szCs w:val="24"/>
        </w:rPr>
        <w:t xml:space="preserve"> </w:t>
      </w:r>
      <w:r w:rsidR="00F83202" w:rsidRPr="00507C65">
        <w:rPr>
          <w:rFonts w:ascii="Arial" w:hAnsi="Arial" w:cs="Arial"/>
          <w:sz w:val="24"/>
          <w:szCs w:val="24"/>
        </w:rPr>
        <w:t>where it</w:t>
      </w:r>
      <w:r w:rsidR="00F83202" w:rsidRPr="00507C65">
        <w:rPr>
          <w:rFonts w:ascii="Arial" w:hAnsi="Arial" w:cs="Arial"/>
          <w:sz w:val="24"/>
          <w:szCs w:val="24"/>
          <w:lang w:val="en-US"/>
        </w:rPr>
        <w:t xml:space="preserve"> set out the following guidelines to determine the extent of the appellate </w:t>
      </w:r>
      <w:r w:rsidR="000C0D30" w:rsidRPr="00507C65">
        <w:rPr>
          <w:rFonts w:ascii="Arial" w:hAnsi="Arial" w:cs="Arial"/>
          <w:sz w:val="24"/>
          <w:szCs w:val="24"/>
          <w:lang w:val="en-US"/>
        </w:rPr>
        <w:t>c</w:t>
      </w:r>
      <w:r w:rsidR="00F83202" w:rsidRPr="00507C65">
        <w:rPr>
          <w:rFonts w:ascii="Arial" w:hAnsi="Arial" w:cs="Arial"/>
          <w:sz w:val="24"/>
          <w:szCs w:val="24"/>
          <w:lang w:val="en-US"/>
        </w:rPr>
        <w:t>ourt</w:t>
      </w:r>
      <w:r w:rsidR="003C68A1" w:rsidRPr="00507C65">
        <w:rPr>
          <w:rFonts w:ascii="Arial" w:hAnsi="Arial" w:cs="Arial"/>
          <w:sz w:val="24"/>
          <w:szCs w:val="24"/>
          <w:lang w:val="en-US"/>
        </w:rPr>
        <w:t>’</w:t>
      </w:r>
      <w:r w:rsidR="00F83202" w:rsidRPr="00507C65">
        <w:rPr>
          <w:rFonts w:ascii="Arial" w:hAnsi="Arial" w:cs="Arial"/>
          <w:sz w:val="24"/>
          <w:szCs w:val="24"/>
          <w:lang w:val="en-US"/>
        </w:rPr>
        <w:t>s power to substitute its own determination for that of the high court</w:t>
      </w:r>
      <w:r w:rsidR="00F83202" w:rsidRPr="00507C65">
        <w:rPr>
          <w:rFonts w:ascii="Arial" w:hAnsi="Arial" w:cs="Arial"/>
          <w:i/>
          <w:iCs/>
          <w:sz w:val="24"/>
          <w:szCs w:val="24"/>
          <w:lang w:val="en-US"/>
        </w:rPr>
        <w:t xml:space="preserve">. </w:t>
      </w:r>
      <w:r w:rsidR="00F83202" w:rsidRPr="00507C65">
        <w:rPr>
          <w:rFonts w:ascii="Arial" w:hAnsi="Arial" w:cs="Arial"/>
          <w:sz w:val="24"/>
          <w:szCs w:val="24"/>
          <w:lang w:val="en-US"/>
        </w:rPr>
        <w:t>The court held that:</w:t>
      </w:r>
    </w:p>
    <w:p w14:paraId="4EFE2B0B" w14:textId="316B4A8A" w:rsidR="00F83202" w:rsidRPr="00507C65" w:rsidRDefault="003C68A1" w:rsidP="00262CE3">
      <w:pPr>
        <w:spacing w:after="0" w:line="360" w:lineRule="auto"/>
        <w:jc w:val="both"/>
        <w:rPr>
          <w:rFonts w:ascii="Arial" w:hAnsi="Arial" w:cs="Arial"/>
          <w:lang w:val="en-US"/>
        </w:rPr>
      </w:pPr>
      <w:r w:rsidRPr="00507C65">
        <w:rPr>
          <w:rFonts w:ascii="Arial" w:hAnsi="Arial" w:cs="Arial"/>
          <w:sz w:val="24"/>
          <w:szCs w:val="24"/>
        </w:rPr>
        <w:lastRenderedPageBreak/>
        <w:t>‘</w:t>
      </w:r>
      <w:r w:rsidR="00F83202" w:rsidRPr="00507C65">
        <w:rPr>
          <w:rFonts w:ascii="Arial" w:hAnsi="Arial" w:cs="Arial"/>
          <w:sz w:val="24"/>
          <w:szCs w:val="24"/>
        </w:rPr>
        <w:t>…</w:t>
      </w:r>
      <w:r w:rsidR="00F83202" w:rsidRPr="00507C65">
        <w:rPr>
          <w:rFonts w:ascii="Arial" w:hAnsi="Arial" w:cs="Arial"/>
        </w:rPr>
        <w:t xml:space="preserve">The </w:t>
      </w:r>
      <w:r w:rsidR="00F438D0" w:rsidRPr="00507C65">
        <w:rPr>
          <w:rFonts w:ascii="Arial" w:hAnsi="Arial" w:cs="Arial"/>
        </w:rPr>
        <w:t>c</w:t>
      </w:r>
      <w:r w:rsidR="00F83202" w:rsidRPr="00507C65">
        <w:rPr>
          <w:rFonts w:ascii="Arial" w:hAnsi="Arial" w:cs="Arial"/>
        </w:rPr>
        <w:t xml:space="preserve">ourt of first instance… is best placed to make an assessment of the relevant facts and correct legal principles, and it would not be appropriate for an appellate court to interfere with that decision as long as it is judicially made on the basis of the correct facts and legal principles. If the </w:t>
      </w:r>
      <w:r w:rsidR="00F438D0" w:rsidRPr="00507C65">
        <w:rPr>
          <w:rFonts w:ascii="Arial" w:hAnsi="Arial" w:cs="Arial"/>
        </w:rPr>
        <w:t>c</w:t>
      </w:r>
      <w:r w:rsidR="00F83202" w:rsidRPr="00507C65">
        <w:rPr>
          <w:rFonts w:ascii="Arial" w:hAnsi="Arial" w:cs="Arial"/>
        </w:rPr>
        <w:t xml:space="preserve">ourt takes into account irrelevant considerations or bases the exercise of its discretion on wrong legal principles, its judgment may be overturned on appeal. Beyond that, however, the decision of the </w:t>
      </w:r>
      <w:r w:rsidR="00F438D0" w:rsidRPr="00507C65">
        <w:rPr>
          <w:rFonts w:ascii="Arial" w:hAnsi="Arial" w:cs="Arial"/>
        </w:rPr>
        <w:t>c</w:t>
      </w:r>
      <w:r w:rsidR="00F83202" w:rsidRPr="00507C65">
        <w:rPr>
          <w:rFonts w:ascii="Arial" w:hAnsi="Arial" w:cs="Arial"/>
        </w:rPr>
        <w:t>ourt of first instance will be unassailable.</w:t>
      </w:r>
      <w:r w:rsidRPr="00507C65">
        <w:rPr>
          <w:rFonts w:ascii="Arial" w:hAnsi="Arial" w:cs="Arial"/>
        </w:rPr>
        <w:t>’</w:t>
      </w:r>
      <w:r w:rsidR="00352BFC" w:rsidRPr="00507C65">
        <w:rPr>
          <w:rStyle w:val="FootnoteReference"/>
          <w:rFonts w:ascii="Arial" w:hAnsi="Arial" w:cs="Arial"/>
        </w:rPr>
        <w:footnoteReference w:id="10"/>
      </w:r>
    </w:p>
    <w:p w14:paraId="1EF16D8E" w14:textId="77777777" w:rsidR="00380AA2" w:rsidRPr="00507C65" w:rsidRDefault="00380AA2" w:rsidP="00262CE3">
      <w:pPr>
        <w:spacing w:after="0" w:line="360" w:lineRule="auto"/>
        <w:jc w:val="both"/>
        <w:rPr>
          <w:rFonts w:ascii="Arial" w:hAnsi="Arial" w:cs="Arial"/>
          <w:b/>
          <w:sz w:val="24"/>
          <w:szCs w:val="24"/>
          <w:lang w:val="en-US"/>
        </w:rPr>
      </w:pPr>
    </w:p>
    <w:p w14:paraId="76E0EF0E" w14:textId="054E1111" w:rsidR="008531D6" w:rsidRPr="00507C65" w:rsidRDefault="00380AA2" w:rsidP="00262CE3">
      <w:pPr>
        <w:spacing w:after="0" w:line="360" w:lineRule="auto"/>
        <w:jc w:val="both"/>
        <w:rPr>
          <w:rFonts w:ascii="Arial" w:hAnsi="Arial" w:cs="Arial"/>
          <w:b/>
          <w:sz w:val="24"/>
          <w:szCs w:val="24"/>
          <w:lang w:val="en-US"/>
        </w:rPr>
      </w:pPr>
      <w:r w:rsidRPr="00507C65">
        <w:rPr>
          <w:rFonts w:ascii="Arial" w:hAnsi="Arial" w:cs="Arial"/>
          <w:b/>
          <w:sz w:val="24"/>
          <w:szCs w:val="24"/>
          <w:lang w:val="en-US"/>
        </w:rPr>
        <w:t>Analysis</w:t>
      </w:r>
    </w:p>
    <w:p w14:paraId="4FC5C6EA" w14:textId="6921EA4D" w:rsidR="00CB37DE" w:rsidRPr="00507C65" w:rsidRDefault="00CB37DE" w:rsidP="00262CE3">
      <w:pPr>
        <w:spacing w:after="0" w:line="360" w:lineRule="auto"/>
        <w:jc w:val="both"/>
        <w:rPr>
          <w:rFonts w:ascii="Arial" w:hAnsi="Arial" w:cs="Arial"/>
          <w:sz w:val="24"/>
          <w:szCs w:val="24"/>
        </w:rPr>
      </w:pPr>
      <w:r w:rsidRPr="00507C65">
        <w:rPr>
          <w:rFonts w:ascii="Arial" w:hAnsi="Arial" w:cs="Arial"/>
          <w:sz w:val="24"/>
          <w:szCs w:val="24"/>
          <w:lang w:val="en-US"/>
        </w:rPr>
        <w:t>[</w:t>
      </w:r>
      <w:r w:rsidR="0008395A" w:rsidRPr="00507C65">
        <w:rPr>
          <w:rFonts w:ascii="Arial" w:hAnsi="Arial" w:cs="Arial"/>
          <w:sz w:val="24"/>
          <w:szCs w:val="24"/>
          <w:lang w:val="en-US"/>
        </w:rPr>
        <w:t>1</w:t>
      </w:r>
      <w:r w:rsidR="00F65BC2" w:rsidRPr="00507C65">
        <w:rPr>
          <w:rFonts w:ascii="Arial" w:hAnsi="Arial" w:cs="Arial"/>
          <w:sz w:val="24"/>
          <w:szCs w:val="24"/>
          <w:lang w:val="en-US"/>
        </w:rPr>
        <w:t>3</w:t>
      </w:r>
      <w:r w:rsidRPr="00507C65">
        <w:rPr>
          <w:rFonts w:ascii="Arial" w:hAnsi="Arial" w:cs="Arial"/>
          <w:sz w:val="24"/>
          <w:szCs w:val="24"/>
          <w:lang w:val="en-US"/>
        </w:rPr>
        <w:t>]</w:t>
      </w:r>
      <w:r w:rsidRPr="00507C65">
        <w:rPr>
          <w:rFonts w:ascii="Arial" w:hAnsi="Arial" w:cs="Arial"/>
          <w:sz w:val="24"/>
          <w:szCs w:val="24"/>
          <w:lang w:val="en-US"/>
        </w:rPr>
        <w:tab/>
        <w:t xml:space="preserve">In </w:t>
      </w:r>
      <w:r w:rsidR="00330AF0" w:rsidRPr="00507C65">
        <w:rPr>
          <w:rFonts w:ascii="Arial" w:hAnsi="Arial" w:cs="Arial"/>
          <w:sz w:val="24"/>
          <w:szCs w:val="24"/>
          <w:lang w:val="en-US"/>
        </w:rPr>
        <w:t>its</w:t>
      </w:r>
      <w:r w:rsidRPr="00507C65">
        <w:rPr>
          <w:rFonts w:ascii="Arial" w:hAnsi="Arial" w:cs="Arial"/>
          <w:sz w:val="24"/>
          <w:szCs w:val="24"/>
          <w:lang w:val="en-US"/>
        </w:rPr>
        <w:t xml:space="preserve"> judgment, </w:t>
      </w:r>
      <w:bookmarkStart w:id="5" w:name="_Hlk132571629"/>
      <w:r w:rsidRPr="00507C65">
        <w:rPr>
          <w:rFonts w:ascii="Arial" w:hAnsi="Arial" w:cs="Arial"/>
          <w:sz w:val="24"/>
          <w:szCs w:val="24"/>
          <w:lang w:val="en-US"/>
        </w:rPr>
        <w:t xml:space="preserve">the </w:t>
      </w:r>
      <w:r w:rsidR="0057147B" w:rsidRPr="00507C65">
        <w:rPr>
          <w:rFonts w:ascii="Arial" w:hAnsi="Arial" w:cs="Arial"/>
          <w:sz w:val="24"/>
          <w:szCs w:val="24"/>
          <w:lang w:val="en-US"/>
        </w:rPr>
        <w:t>high court</w:t>
      </w:r>
      <w:r w:rsidR="000201BA" w:rsidRPr="00507C65">
        <w:rPr>
          <w:rFonts w:ascii="Arial" w:hAnsi="Arial" w:cs="Arial"/>
          <w:sz w:val="24"/>
          <w:szCs w:val="24"/>
          <w:lang w:val="en-US"/>
        </w:rPr>
        <w:t xml:space="preserve"> </w:t>
      </w:r>
      <w:r w:rsidR="009C1BF3" w:rsidRPr="00507C65">
        <w:rPr>
          <w:rFonts w:ascii="Arial" w:hAnsi="Arial" w:cs="Arial"/>
          <w:sz w:val="24"/>
          <w:szCs w:val="24"/>
          <w:lang w:val="en-US"/>
        </w:rPr>
        <w:t xml:space="preserve">fully </w:t>
      </w:r>
      <w:r w:rsidR="00B33D71" w:rsidRPr="00507C65">
        <w:rPr>
          <w:rFonts w:ascii="Arial" w:hAnsi="Arial" w:cs="Arial"/>
          <w:sz w:val="24"/>
          <w:szCs w:val="24"/>
          <w:lang w:val="en-US"/>
        </w:rPr>
        <w:t xml:space="preserve">quoted </w:t>
      </w:r>
      <w:r w:rsidR="00EE7317" w:rsidRPr="00507C65">
        <w:rPr>
          <w:rFonts w:ascii="Arial" w:hAnsi="Arial" w:cs="Arial"/>
          <w:sz w:val="24"/>
          <w:szCs w:val="24"/>
          <w:lang w:val="en-US"/>
        </w:rPr>
        <w:t>the relevant passages from</w:t>
      </w:r>
      <w:r w:rsidR="008531D6" w:rsidRPr="00507C65">
        <w:rPr>
          <w:rFonts w:ascii="Arial" w:hAnsi="Arial" w:cs="Arial"/>
          <w:sz w:val="24"/>
          <w:szCs w:val="24"/>
          <w:lang w:val="en-US"/>
        </w:rPr>
        <w:t xml:space="preserve"> </w:t>
      </w:r>
      <w:r w:rsidR="008531D6" w:rsidRPr="00507C65">
        <w:rPr>
          <w:rFonts w:ascii="Arial" w:hAnsi="Arial" w:cs="Arial"/>
          <w:i/>
          <w:sz w:val="24"/>
          <w:szCs w:val="24"/>
          <w:lang w:val="en-US"/>
        </w:rPr>
        <w:t xml:space="preserve">Magida </w:t>
      </w:r>
      <w:r w:rsidR="008531D6" w:rsidRPr="00507C65">
        <w:rPr>
          <w:rFonts w:ascii="Arial" w:hAnsi="Arial" w:cs="Arial"/>
          <w:sz w:val="24"/>
          <w:szCs w:val="24"/>
          <w:lang w:val="en-US"/>
        </w:rPr>
        <w:t>and</w:t>
      </w:r>
      <w:r w:rsidR="008531D6" w:rsidRPr="00507C65">
        <w:rPr>
          <w:rFonts w:ascii="Arial" w:hAnsi="Arial" w:cs="Arial"/>
          <w:i/>
          <w:sz w:val="24"/>
          <w:szCs w:val="24"/>
          <w:lang w:val="en-US"/>
        </w:rPr>
        <w:t xml:space="preserve"> S</w:t>
      </w:r>
      <w:r w:rsidR="00EE7317" w:rsidRPr="00507C65">
        <w:rPr>
          <w:rFonts w:ascii="Arial" w:hAnsi="Arial" w:cs="Arial"/>
          <w:i/>
          <w:sz w:val="24"/>
          <w:szCs w:val="24"/>
          <w:lang w:val="en-US"/>
        </w:rPr>
        <w:t xml:space="preserve">hepstone &amp; </w:t>
      </w:r>
      <w:r w:rsidR="00B646FD" w:rsidRPr="00507C65">
        <w:rPr>
          <w:rFonts w:ascii="Arial" w:hAnsi="Arial" w:cs="Arial"/>
          <w:i/>
          <w:sz w:val="24"/>
          <w:szCs w:val="24"/>
          <w:lang w:val="en-US"/>
        </w:rPr>
        <w:t xml:space="preserve">Wylie. </w:t>
      </w:r>
      <w:r w:rsidR="00EE7317" w:rsidRPr="00507C65">
        <w:rPr>
          <w:rFonts w:ascii="Arial" w:hAnsi="Arial" w:cs="Arial"/>
          <w:sz w:val="24"/>
          <w:szCs w:val="24"/>
        </w:rPr>
        <w:t>Nevertheless</w:t>
      </w:r>
      <w:r w:rsidR="002D2476" w:rsidRPr="00507C65">
        <w:rPr>
          <w:rFonts w:ascii="Arial" w:hAnsi="Arial" w:cs="Arial"/>
          <w:sz w:val="24"/>
          <w:szCs w:val="24"/>
        </w:rPr>
        <w:t>, t</w:t>
      </w:r>
      <w:r w:rsidRPr="00507C65">
        <w:rPr>
          <w:rFonts w:ascii="Arial" w:hAnsi="Arial" w:cs="Arial"/>
          <w:sz w:val="24"/>
          <w:szCs w:val="24"/>
        </w:rPr>
        <w:t xml:space="preserve">he </w:t>
      </w:r>
      <w:r w:rsidR="0057147B" w:rsidRPr="00507C65">
        <w:rPr>
          <w:rFonts w:ascii="Arial" w:hAnsi="Arial" w:cs="Arial"/>
          <w:sz w:val="24"/>
          <w:szCs w:val="24"/>
        </w:rPr>
        <w:t>high court</w:t>
      </w:r>
      <w:r w:rsidR="002462F6" w:rsidRPr="00507C65">
        <w:rPr>
          <w:rFonts w:ascii="Arial" w:hAnsi="Arial" w:cs="Arial"/>
          <w:i/>
          <w:iCs/>
          <w:sz w:val="24"/>
          <w:szCs w:val="24"/>
        </w:rPr>
        <w:t xml:space="preserve"> </w:t>
      </w:r>
      <w:r w:rsidR="00EE7317" w:rsidRPr="00507C65">
        <w:rPr>
          <w:rFonts w:ascii="Arial" w:hAnsi="Arial" w:cs="Arial"/>
          <w:sz w:val="24"/>
          <w:szCs w:val="24"/>
        </w:rPr>
        <w:t>adopted</w:t>
      </w:r>
      <w:r w:rsidR="00A03DEF" w:rsidRPr="00507C65">
        <w:rPr>
          <w:rFonts w:ascii="Arial" w:hAnsi="Arial" w:cs="Arial"/>
          <w:sz w:val="24"/>
          <w:szCs w:val="24"/>
        </w:rPr>
        <w:t xml:space="preserve"> a </w:t>
      </w:r>
      <w:r w:rsidR="00EE7317" w:rsidRPr="00507C65">
        <w:rPr>
          <w:rFonts w:ascii="Arial" w:hAnsi="Arial" w:cs="Arial"/>
          <w:sz w:val="24"/>
          <w:szCs w:val="24"/>
        </w:rPr>
        <w:t>pre</w:t>
      </w:r>
      <w:r w:rsidR="00A03DEF" w:rsidRPr="00507C65">
        <w:rPr>
          <w:rFonts w:ascii="Arial" w:hAnsi="Arial" w:cs="Arial"/>
          <w:sz w:val="24"/>
          <w:szCs w:val="24"/>
        </w:rPr>
        <w:t xml:space="preserve">disposition that </w:t>
      </w:r>
      <w:r w:rsidR="00F9530D" w:rsidRPr="00507C65">
        <w:rPr>
          <w:rFonts w:ascii="Arial" w:hAnsi="Arial" w:cs="Arial"/>
          <w:sz w:val="24"/>
          <w:szCs w:val="24"/>
        </w:rPr>
        <w:t xml:space="preserve">a </w:t>
      </w:r>
      <w:r w:rsidR="00F9530D" w:rsidRPr="00507C65">
        <w:rPr>
          <w:rFonts w:ascii="Arial" w:hAnsi="Arial" w:cs="Arial"/>
          <w:i/>
          <w:sz w:val="24"/>
          <w:szCs w:val="24"/>
        </w:rPr>
        <w:t>peregrinus</w:t>
      </w:r>
      <w:r w:rsidR="00F9530D" w:rsidRPr="00507C65">
        <w:rPr>
          <w:rFonts w:ascii="Arial" w:hAnsi="Arial" w:cs="Arial"/>
          <w:sz w:val="24"/>
          <w:szCs w:val="24"/>
        </w:rPr>
        <w:t xml:space="preserve"> is obliged to </w:t>
      </w:r>
      <w:r w:rsidR="00076CBC" w:rsidRPr="00507C65">
        <w:rPr>
          <w:rFonts w:ascii="Arial" w:hAnsi="Arial" w:cs="Arial"/>
          <w:sz w:val="24"/>
          <w:szCs w:val="24"/>
        </w:rPr>
        <w:t xml:space="preserve">furnish security for costs when demanded by an </w:t>
      </w:r>
      <w:r w:rsidR="00076CBC" w:rsidRPr="00507C65">
        <w:rPr>
          <w:rFonts w:ascii="Arial" w:hAnsi="Arial" w:cs="Arial"/>
          <w:i/>
          <w:iCs/>
          <w:sz w:val="24"/>
          <w:szCs w:val="24"/>
        </w:rPr>
        <w:t>incola</w:t>
      </w:r>
      <w:r w:rsidR="00076CBC" w:rsidRPr="00507C65">
        <w:rPr>
          <w:rFonts w:ascii="Arial" w:hAnsi="Arial" w:cs="Arial"/>
          <w:sz w:val="24"/>
          <w:szCs w:val="24"/>
        </w:rPr>
        <w:t>.</w:t>
      </w:r>
      <w:r w:rsidRPr="00507C65">
        <w:rPr>
          <w:rFonts w:ascii="Arial" w:hAnsi="Arial" w:cs="Arial"/>
          <w:sz w:val="24"/>
          <w:szCs w:val="24"/>
        </w:rPr>
        <w:t xml:space="preserve"> </w:t>
      </w:r>
      <w:r w:rsidR="00B646FD" w:rsidRPr="00507C65">
        <w:rPr>
          <w:rFonts w:ascii="Arial" w:hAnsi="Arial" w:cs="Arial"/>
          <w:sz w:val="24"/>
          <w:szCs w:val="24"/>
        </w:rPr>
        <w:t>The high</w:t>
      </w:r>
      <w:r w:rsidR="007D7E18" w:rsidRPr="00507C65">
        <w:rPr>
          <w:rFonts w:ascii="Arial" w:hAnsi="Arial" w:cs="Arial"/>
          <w:sz w:val="24"/>
          <w:szCs w:val="24"/>
        </w:rPr>
        <w:t xml:space="preserve"> c</w:t>
      </w:r>
      <w:r w:rsidR="00A80CD5" w:rsidRPr="00507C65">
        <w:rPr>
          <w:rFonts w:ascii="Arial" w:hAnsi="Arial" w:cs="Arial"/>
          <w:sz w:val="24"/>
          <w:szCs w:val="24"/>
        </w:rPr>
        <w:t>ourt</w:t>
      </w:r>
      <w:r w:rsidR="00786284" w:rsidRPr="00507C65">
        <w:rPr>
          <w:rFonts w:ascii="Arial" w:hAnsi="Arial" w:cs="Arial"/>
          <w:sz w:val="24"/>
          <w:szCs w:val="24"/>
        </w:rPr>
        <w:t>,</w:t>
      </w:r>
      <w:r w:rsidR="001B5CBE" w:rsidRPr="00507C65">
        <w:rPr>
          <w:rFonts w:ascii="Arial" w:hAnsi="Arial" w:cs="Arial"/>
          <w:sz w:val="24"/>
          <w:szCs w:val="24"/>
        </w:rPr>
        <w:t xml:space="preserve"> there</w:t>
      </w:r>
      <w:r w:rsidR="00330AF0" w:rsidRPr="00507C65">
        <w:rPr>
          <w:rFonts w:ascii="Arial" w:hAnsi="Arial" w:cs="Arial"/>
          <w:sz w:val="24"/>
          <w:szCs w:val="24"/>
        </w:rPr>
        <w:t>fore</w:t>
      </w:r>
      <w:r w:rsidR="00786284" w:rsidRPr="00507C65">
        <w:rPr>
          <w:rFonts w:ascii="Arial" w:hAnsi="Arial" w:cs="Arial"/>
          <w:sz w:val="24"/>
          <w:szCs w:val="24"/>
        </w:rPr>
        <w:t>,</w:t>
      </w:r>
      <w:r w:rsidR="001B5CBE" w:rsidRPr="00507C65">
        <w:rPr>
          <w:rFonts w:ascii="Arial" w:hAnsi="Arial" w:cs="Arial"/>
          <w:sz w:val="24"/>
          <w:szCs w:val="24"/>
        </w:rPr>
        <w:t xml:space="preserve"> did what </w:t>
      </w:r>
      <w:r w:rsidRPr="00507C65">
        <w:rPr>
          <w:rFonts w:ascii="Arial" w:hAnsi="Arial" w:cs="Arial"/>
          <w:i/>
          <w:iCs/>
          <w:sz w:val="24"/>
          <w:szCs w:val="24"/>
          <w:lang w:val="en-US"/>
        </w:rPr>
        <w:t>Shepstone &amp; Wylie</w:t>
      </w:r>
      <w:r w:rsidRPr="00507C65">
        <w:rPr>
          <w:rFonts w:ascii="Arial" w:hAnsi="Arial" w:cs="Arial"/>
          <w:sz w:val="24"/>
          <w:szCs w:val="24"/>
        </w:rPr>
        <w:t xml:space="preserve"> said it should not do. In the circumstances, the </w:t>
      </w:r>
      <w:r w:rsidR="00793288" w:rsidRPr="00507C65">
        <w:rPr>
          <w:rFonts w:ascii="Arial" w:hAnsi="Arial" w:cs="Arial"/>
          <w:sz w:val="24"/>
          <w:szCs w:val="24"/>
        </w:rPr>
        <w:t>h</w:t>
      </w:r>
      <w:r w:rsidR="00A80CD5" w:rsidRPr="00507C65">
        <w:rPr>
          <w:rFonts w:ascii="Arial" w:hAnsi="Arial" w:cs="Arial"/>
          <w:sz w:val="24"/>
          <w:szCs w:val="24"/>
        </w:rPr>
        <w:t>igh</w:t>
      </w:r>
      <w:r w:rsidR="009C1BF3" w:rsidRPr="00507C65">
        <w:rPr>
          <w:rFonts w:ascii="Arial" w:hAnsi="Arial" w:cs="Arial"/>
          <w:sz w:val="24"/>
          <w:szCs w:val="24"/>
        </w:rPr>
        <w:t xml:space="preserve"> </w:t>
      </w:r>
      <w:r w:rsidR="00793288" w:rsidRPr="00507C65">
        <w:rPr>
          <w:rFonts w:ascii="Arial" w:hAnsi="Arial" w:cs="Arial"/>
          <w:sz w:val="24"/>
          <w:szCs w:val="24"/>
        </w:rPr>
        <w:t>c</w:t>
      </w:r>
      <w:r w:rsidR="00A80CD5" w:rsidRPr="00507C65">
        <w:rPr>
          <w:rFonts w:ascii="Arial" w:hAnsi="Arial" w:cs="Arial"/>
          <w:sz w:val="24"/>
          <w:szCs w:val="24"/>
        </w:rPr>
        <w:t>ourt</w:t>
      </w:r>
      <w:r w:rsidRPr="00507C65">
        <w:rPr>
          <w:rFonts w:ascii="Arial" w:hAnsi="Arial" w:cs="Arial"/>
          <w:sz w:val="24"/>
          <w:szCs w:val="24"/>
        </w:rPr>
        <w:t xml:space="preserve"> </w:t>
      </w:r>
      <w:r w:rsidR="006E0123" w:rsidRPr="00507C65">
        <w:rPr>
          <w:rFonts w:ascii="Arial" w:hAnsi="Arial" w:cs="Arial"/>
          <w:sz w:val="24"/>
          <w:szCs w:val="24"/>
        </w:rPr>
        <w:t>erred</w:t>
      </w:r>
      <w:r w:rsidR="00640A06" w:rsidRPr="00507C65">
        <w:rPr>
          <w:rFonts w:ascii="Arial" w:hAnsi="Arial" w:cs="Arial"/>
          <w:sz w:val="24"/>
          <w:szCs w:val="24"/>
        </w:rPr>
        <w:t xml:space="preserve"> by applying a wrong principle</w:t>
      </w:r>
      <w:r w:rsidR="006E0123" w:rsidRPr="00507C65">
        <w:rPr>
          <w:rFonts w:ascii="Arial" w:hAnsi="Arial" w:cs="Arial"/>
          <w:sz w:val="24"/>
          <w:szCs w:val="24"/>
        </w:rPr>
        <w:t>.</w:t>
      </w:r>
    </w:p>
    <w:bookmarkEnd w:id="5"/>
    <w:p w14:paraId="37E69F36" w14:textId="77777777" w:rsidR="00EF360D" w:rsidRPr="00507C65" w:rsidRDefault="00EF360D" w:rsidP="00377042">
      <w:pPr>
        <w:spacing w:after="0" w:line="360" w:lineRule="auto"/>
        <w:jc w:val="both"/>
        <w:rPr>
          <w:rFonts w:ascii="Arial" w:hAnsi="Arial" w:cs="Arial"/>
          <w:sz w:val="24"/>
          <w:szCs w:val="24"/>
        </w:rPr>
      </w:pPr>
    </w:p>
    <w:p w14:paraId="3BCDACD6" w14:textId="40945B29" w:rsidR="00377042" w:rsidRPr="00507C65" w:rsidRDefault="0008395A" w:rsidP="00D779D5">
      <w:pPr>
        <w:spacing w:line="360" w:lineRule="auto"/>
        <w:jc w:val="both"/>
        <w:rPr>
          <w:rFonts w:ascii="Arial" w:hAnsi="Arial" w:cs="Arial"/>
          <w:sz w:val="24"/>
          <w:szCs w:val="24"/>
        </w:rPr>
      </w:pPr>
      <w:r w:rsidRPr="00507C65">
        <w:rPr>
          <w:rFonts w:ascii="Arial" w:hAnsi="Arial" w:cs="Arial"/>
          <w:sz w:val="24"/>
          <w:szCs w:val="24"/>
        </w:rPr>
        <w:t>[1</w:t>
      </w:r>
      <w:r w:rsidR="00F65BC2" w:rsidRPr="00507C65">
        <w:rPr>
          <w:rFonts w:ascii="Arial" w:hAnsi="Arial" w:cs="Arial"/>
          <w:sz w:val="24"/>
          <w:szCs w:val="24"/>
        </w:rPr>
        <w:t>4</w:t>
      </w:r>
      <w:r w:rsidR="00280560" w:rsidRPr="00507C65">
        <w:rPr>
          <w:rFonts w:ascii="Arial" w:hAnsi="Arial" w:cs="Arial"/>
          <w:sz w:val="24"/>
          <w:szCs w:val="24"/>
        </w:rPr>
        <w:t>]</w:t>
      </w:r>
      <w:r w:rsidR="00280560" w:rsidRPr="00507C65">
        <w:rPr>
          <w:rFonts w:ascii="Arial" w:hAnsi="Arial" w:cs="Arial"/>
          <w:sz w:val="24"/>
          <w:szCs w:val="24"/>
        </w:rPr>
        <w:tab/>
      </w:r>
      <w:r w:rsidR="00AB0542" w:rsidRPr="00507C65">
        <w:rPr>
          <w:rFonts w:ascii="Arial" w:hAnsi="Arial" w:cs="Arial"/>
          <w:sz w:val="24"/>
          <w:szCs w:val="24"/>
        </w:rPr>
        <w:t>Furthermore</w:t>
      </w:r>
      <w:r w:rsidR="00544669" w:rsidRPr="00507C65">
        <w:rPr>
          <w:rFonts w:ascii="Arial" w:hAnsi="Arial" w:cs="Arial"/>
          <w:sz w:val="24"/>
          <w:szCs w:val="24"/>
        </w:rPr>
        <w:t>,</w:t>
      </w:r>
      <w:r w:rsidR="00AB0542" w:rsidRPr="00507C65">
        <w:rPr>
          <w:rFonts w:ascii="Arial" w:hAnsi="Arial" w:cs="Arial"/>
          <w:sz w:val="24"/>
          <w:szCs w:val="24"/>
        </w:rPr>
        <w:t xml:space="preserve"> the</w:t>
      </w:r>
      <w:r w:rsidR="00CE3953" w:rsidRPr="00507C65">
        <w:rPr>
          <w:rFonts w:ascii="Arial" w:hAnsi="Arial" w:cs="Arial"/>
          <w:sz w:val="24"/>
          <w:szCs w:val="24"/>
        </w:rPr>
        <w:t xml:space="preserve"> </w:t>
      </w:r>
      <w:r w:rsidR="00C7349B" w:rsidRPr="00507C65">
        <w:rPr>
          <w:rFonts w:ascii="Arial" w:hAnsi="Arial" w:cs="Arial"/>
          <w:sz w:val="24"/>
          <w:szCs w:val="24"/>
        </w:rPr>
        <w:t>high court</w:t>
      </w:r>
      <w:r w:rsidR="002D3799" w:rsidRPr="00507C65">
        <w:rPr>
          <w:rFonts w:ascii="Arial" w:hAnsi="Arial" w:cs="Arial"/>
          <w:sz w:val="24"/>
          <w:szCs w:val="24"/>
        </w:rPr>
        <w:t xml:space="preserve"> appears to have mis</w:t>
      </w:r>
      <w:r w:rsidR="0057172C" w:rsidRPr="00507C65">
        <w:rPr>
          <w:rFonts w:ascii="Arial" w:hAnsi="Arial" w:cs="Arial"/>
          <w:sz w:val="24"/>
          <w:szCs w:val="24"/>
        </w:rPr>
        <w:t>read</w:t>
      </w:r>
      <w:r w:rsidR="00466C30" w:rsidRPr="00507C65">
        <w:rPr>
          <w:rFonts w:ascii="Arial" w:hAnsi="Arial" w:cs="Arial"/>
          <w:sz w:val="24"/>
          <w:szCs w:val="24"/>
        </w:rPr>
        <w:t xml:space="preserve"> the judgment in</w:t>
      </w:r>
      <w:r w:rsidR="0057172C" w:rsidRPr="00507C65">
        <w:rPr>
          <w:rFonts w:ascii="Arial" w:hAnsi="Arial" w:cs="Arial"/>
          <w:sz w:val="24"/>
          <w:szCs w:val="24"/>
        </w:rPr>
        <w:t xml:space="preserve"> </w:t>
      </w:r>
      <w:r w:rsidR="003C6C7C" w:rsidRPr="00507C65">
        <w:rPr>
          <w:rFonts w:ascii="Arial" w:hAnsi="Arial" w:cs="Arial"/>
          <w:i/>
          <w:sz w:val="24"/>
          <w:szCs w:val="24"/>
        </w:rPr>
        <w:t>Blastrite (Pty) Ltd v Genpaco Ltd; In re: Genpaco Ltd v Blastrite (Pty) Ltd</w:t>
      </w:r>
      <w:r w:rsidR="00DC12F8" w:rsidRPr="00507C65">
        <w:rPr>
          <w:rFonts w:ascii="Arial" w:hAnsi="Arial" w:cs="Arial"/>
          <w:i/>
          <w:sz w:val="24"/>
          <w:szCs w:val="24"/>
        </w:rPr>
        <w:t xml:space="preserve"> (B</w:t>
      </w:r>
      <w:r w:rsidR="00ED68C7" w:rsidRPr="00507C65">
        <w:rPr>
          <w:rFonts w:ascii="Arial" w:hAnsi="Arial" w:cs="Arial"/>
          <w:i/>
          <w:sz w:val="24"/>
          <w:szCs w:val="24"/>
        </w:rPr>
        <w:t>lastrite)</w:t>
      </w:r>
      <w:r w:rsidR="006730F1" w:rsidRPr="00507C65">
        <w:rPr>
          <w:rFonts w:ascii="Arial" w:hAnsi="Arial" w:cs="Arial"/>
          <w:sz w:val="24"/>
          <w:szCs w:val="24"/>
        </w:rPr>
        <w:t>.</w:t>
      </w:r>
      <w:r w:rsidR="003C6C7C" w:rsidRPr="00507C65">
        <w:rPr>
          <w:rStyle w:val="FootnoteReference"/>
          <w:rFonts w:ascii="Arial" w:hAnsi="Arial" w:cs="Arial"/>
          <w:sz w:val="24"/>
          <w:szCs w:val="24"/>
        </w:rPr>
        <w:footnoteReference w:id="11"/>
      </w:r>
      <w:r w:rsidR="006730F1" w:rsidRPr="00507C65">
        <w:rPr>
          <w:rFonts w:ascii="Arial" w:hAnsi="Arial" w:cs="Arial"/>
          <w:sz w:val="24"/>
          <w:szCs w:val="24"/>
        </w:rPr>
        <w:t xml:space="preserve"> </w:t>
      </w:r>
      <w:r w:rsidR="002B3952" w:rsidRPr="00507C65">
        <w:rPr>
          <w:rFonts w:ascii="Arial" w:hAnsi="Arial" w:cs="Arial"/>
          <w:sz w:val="24"/>
          <w:szCs w:val="24"/>
        </w:rPr>
        <w:t>I</w:t>
      </w:r>
      <w:r w:rsidR="00EE7317" w:rsidRPr="00507C65">
        <w:rPr>
          <w:rFonts w:ascii="Arial" w:hAnsi="Arial" w:cs="Arial"/>
          <w:sz w:val="24"/>
          <w:szCs w:val="24"/>
        </w:rPr>
        <w:t>t</w:t>
      </w:r>
      <w:r w:rsidR="00E42A5C" w:rsidRPr="00507C65">
        <w:rPr>
          <w:rFonts w:ascii="Arial" w:hAnsi="Arial" w:cs="Arial"/>
          <w:sz w:val="24"/>
          <w:szCs w:val="24"/>
        </w:rPr>
        <w:t xml:space="preserve"> </w:t>
      </w:r>
      <w:r w:rsidR="00D920BD" w:rsidRPr="00507C65">
        <w:rPr>
          <w:rFonts w:ascii="Arial" w:hAnsi="Arial" w:cs="Arial"/>
          <w:sz w:val="24"/>
          <w:szCs w:val="24"/>
        </w:rPr>
        <w:t xml:space="preserve">stated that </w:t>
      </w:r>
      <w:r w:rsidR="00FD5B39" w:rsidRPr="00507C65">
        <w:rPr>
          <w:rFonts w:ascii="Arial" w:hAnsi="Arial" w:cs="Arial"/>
          <w:i/>
          <w:sz w:val="24"/>
          <w:szCs w:val="24"/>
        </w:rPr>
        <w:t>Blastrite</w:t>
      </w:r>
      <w:r w:rsidR="00DB3243" w:rsidRPr="00507C65">
        <w:rPr>
          <w:rFonts w:ascii="Arial" w:hAnsi="Arial" w:cs="Arial"/>
          <w:sz w:val="24"/>
          <w:szCs w:val="24"/>
        </w:rPr>
        <w:t xml:space="preserve"> affirmed the existence of </w:t>
      </w:r>
      <w:r w:rsidR="00EE7317" w:rsidRPr="00507C65">
        <w:rPr>
          <w:rFonts w:ascii="Arial" w:hAnsi="Arial" w:cs="Arial"/>
          <w:sz w:val="24"/>
          <w:szCs w:val="24"/>
        </w:rPr>
        <w:t>a</w:t>
      </w:r>
      <w:r w:rsidR="00DB3243" w:rsidRPr="00507C65">
        <w:rPr>
          <w:rFonts w:ascii="Arial" w:hAnsi="Arial" w:cs="Arial"/>
          <w:sz w:val="24"/>
          <w:szCs w:val="24"/>
        </w:rPr>
        <w:t xml:space="preserve"> general</w:t>
      </w:r>
      <w:r w:rsidR="00EE7317" w:rsidRPr="00507C65">
        <w:rPr>
          <w:rFonts w:ascii="Arial" w:hAnsi="Arial" w:cs="Arial"/>
          <w:sz w:val="24"/>
          <w:szCs w:val="24"/>
        </w:rPr>
        <w:t>,</w:t>
      </w:r>
      <w:r w:rsidR="00DB3243" w:rsidRPr="00507C65">
        <w:rPr>
          <w:rFonts w:ascii="Arial" w:hAnsi="Arial" w:cs="Arial"/>
          <w:sz w:val="24"/>
          <w:szCs w:val="24"/>
        </w:rPr>
        <w:t xml:space="preserve"> </w:t>
      </w:r>
      <w:r w:rsidR="003B4BD7" w:rsidRPr="00507C65">
        <w:rPr>
          <w:rFonts w:ascii="Arial" w:hAnsi="Arial" w:cs="Arial"/>
          <w:sz w:val="24"/>
          <w:szCs w:val="24"/>
        </w:rPr>
        <w:t>but</w:t>
      </w:r>
      <w:r w:rsidR="00EE7317" w:rsidRPr="00507C65">
        <w:rPr>
          <w:rFonts w:ascii="Arial" w:hAnsi="Arial" w:cs="Arial"/>
          <w:sz w:val="24"/>
          <w:szCs w:val="24"/>
        </w:rPr>
        <w:t xml:space="preserve"> not</w:t>
      </w:r>
      <w:r w:rsidR="003B4BD7" w:rsidRPr="00507C65">
        <w:rPr>
          <w:rFonts w:ascii="Arial" w:hAnsi="Arial" w:cs="Arial"/>
          <w:sz w:val="24"/>
          <w:szCs w:val="24"/>
        </w:rPr>
        <w:t xml:space="preserve"> inflexible</w:t>
      </w:r>
      <w:r w:rsidR="00EE7317" w:rsidRPr="00507C65">
        <w:rPr>
          <w:rFonts w:ascii="Arial" w:hAnsi="Arial" w:cs="Arial"/>
          <w:sz w:val="24"/>
          <w:szCs w:val="24"/>
        </w:rPr>
        <w:t>,</w:t>
      </w:r>
      <w:r w:rsidR="001F7A7A" w:rsidRPr="00507C65">
        <w:rPr>
          <w:rFonts w:ascii="Arial" w:hAnsi="Arial" w:cs="Arial"/>
          <w:sz w:val="24"/>
          <w:szCs w:val="24"/>
        </w:rPr>
        <w:t xml:space="preserve"> </w:t>
      </w:r>
      <w:r w:rsidR="00DB3243" w:rsidRPr="00507C65">
        <w:rPr>
          <w:rFonts w:ascii="Arial" w:hAnsi="Arial" w:cs="Arial"/>
          <w:sz w:val="24"/>
          <w:szCs w:val="24"/>
        </w:rPr>
        <w:t xml:space="preserve">rule that </w:t>
      </w:r>
      <w:r w:rsidR="002A5CB9" w:rsidRPr="00507C65">
        <w:rPr>
          <w:rFonts w:ascii="Arial" w:hAnsi="Arial" w:cs="Arial"/>
          <w:sz w:val="24"/>
          <w:szCs w:val="24"/>
        </w:rPr>
        <w:t xml:space="preserve">a </w:t>
      </w:r>
      <w:r w:rsidR="002A5CB9" w:rsidRPr="00507C65">
        <w:rPr>
          <w:rFonts w:ascii="Arial" w:hAnsi="Arial" w:cs="Arial"/>
          <w:i/>
          <w:sz w:val="24"/>
          <w:szCs w:val="24"/>
        </w:rPr>
        <w:t>peregrinus</w:t>
      </w:r>
      <w:r w:rsidR="002A5CB9" w:rsidRPr="00507C65">
        <w:rPr>
          <w:rFonts w:ascii="Arial" w:hAnsi="Arial" w:cs="Arial"/>
          <w:sz w:val="24"/>
          <w:szCs w:val="24"/>
        </w:rPr>
        <w:t xml:space="preserve"> must furnish security for costs.</w:t>
      </w:r>
      <w:r w:rsidR="006956E0" w:rsidRPr="00507C65">
        <w:rPr>
          <w:rFonts w:ascii="Arial" w:hAnsi="Arial" w:cs="Arial"/>
          <w:sz w:val="24"/>
          <w:szCs w:val="24"/>
        </w:rPr>
        <w:t xml:space="preserve"> </w:t>
      </w:r>
      <w:r w:rsidR="00793D26" w:rsidRPr="00507C65">
        <w:rPr>
          <w:rFonts w:ascii="Arial" w:hAnsi="Arial" w:cs="Arial"/>
          <w:sz w:val="24"/>
          <w:szCs w:val="24"/>
        </w:rPr>
        <w:t xml:space="preserve">This was quite incorrect. In </w:t>
      </w:r>
      <w:r w:rsidR="00793D26" w:rsidRPr="00507C65">
        <w:rPr>
          <w:rFonts w:ascii="Arial" w:hAnsi="Arial" w:cs="Arial"/>
          <w:i/>
          <w:sz w:val="24"/>
          <w:szCs w:val="24"/>
        </w:rPr>
        <w:t>Blastrite</w:t>
      </w:r>
      <w:r w:rsidR="00786284" w:rsidRPr="00507C65">
        <w:rPr>
          <w:rFonts w:ascii="Arial" w:hAnsi="Arial" w:cs="Arial"/>
          <w:i/>
          <w:sz w:val="24"/>
          <w:szCs w:val="24"/>
        </w:rPr>
        <w:t>,</w:t>
      </w:r>
      <w:r w:rsidR="006956E0" w:rsidRPr="00507C65">
        <w:rPr>
          <w:rFonts w:ascii="Arial" w:hAnsi="Arial" w:cs="Arial"/>
          <w:sz w:val="24"/>
          <w:szCs w:val="24"/>
        </w:rPr>
        <w:t xml:space="preserve"> the </w:t>
      </w:r>
      <w:r w:rsidR="00793D26" w:rsidRPr="00507C65">
        <w:rPr>
          <w:rFonts w:ascii="Arial" w:hAnsi="Arial" w:cs="Arial"/>
          <w:sz w:val="24"/>
          <w:szCs w:val="24"/>
        </w:rPr>
        <w:t>c</w:t>
      </w:r>
      <w:r w:rsidR="00A80CD5" w:rsidRPr="00507C65">
        <w:rPr>
          <w:rFonts w:ascii="Arial" w:hAnsi="Arial" w:cs="Arial"/>
          <w:sz w:val="24"/>
          <w:szCs w:val="24"/>
        </w:rPr>
        <w:t>ourt</w:t>
      </w:r>
      <w:r w:rsidR="009B166C" w:rsidRPr="00507C65">
        <w:rPr>
          <w:rFonts w:ascii="Arial" w:hAnsi="Arial" w:cs="Arial"/>
          <w:sz w:val="24"/>
          <w:szCs w:val="24"/>
        </w:rPr>
        <w:t xml:space="preserve"> </w:t>
      </w:r>
      <w:r w:rsidR="00DC065F" w:rsidRPr="00507C65">
        <w:rPr>
          <w:rFonts w:ascii="Arial" w:hAnsi="Arial" w:cs="Arial"/>
          <w:sz w:val="24"/>
          <w:szCs w:val="24"/>
        </w:rPr>
        <w:t xml:space="preserve">asked </w:t>
      </w:r>
      <w:r w:rsidR="00304024" w:rsidRPr="00507C65">
        <w:rPr>
          <w:rFonts w:ascii="Arial" w:hAnsi="Arial" w:cs="Arial"/>
          <w:sz w:val="24"/>
          <w:szCs w:val="24"/>
        </w:rPr>
        <w:t>whether</w:t>
      </w:r>
      <w:r w:rsidR="00925280" w:rsidRPr="00507C65">
        <w:rPr>
          <w:rFonts w:ascii="Arial" w:hAnsi="Arial" w:cs="Arial"/>
          <w:sz w:val="24"/>
          <w:szCs w:val="24"/>
        </w:rPr>
        <w:t>,</w:t>
      </w:r>
      <w:r w:rsidR="00925280" w:rsidRPr="00507C65">
        <w:rPr>
          <w:rFonts w:ascii="Arial" w:hAnsi="Arial" w:cs="Arial"/>
          <w:sz w:val="24"/>
          <w:szCs w:val="24"/>
          <w:lang w:val="en-US"/>
        </w:rPr>
        <w:t xml:space="preserve"> in terms of the practice, security for costs </w:t>
      </w:r>
      <w:r w:rsidR="001B7521" w:rsidRPr="00507C65">
        <w:rPr>
          <w:rFonts w:ascii="Arial" w:hAnsi="Arial" w:cs="Arial"/>
          <w:sz w:val="24"/>
          <w:szCs w:val="24"/>
          <w:lang w:val="en-US"/>
        </w:rPr>
        <w:t>was</w:t>
      </w:r>
      <w:r w:rsidR="00925280" w:rsidRPr="00507C65">
        <w:rPr>
          <w:rFonts w:ascii="Arial" w:hAnsi="Arial" w:cs="Arial"/>
          <w:sz w:val="24"/>
          <w:szCs w:val="24"/>
          <w:lang w:val="en-US"/>
        </w:rPr>
        <w:t xml:space="preserve"> required purely </w:t>
      </w:r>
      <w:r w:rsidR="00786284" w:rsidRPr="00507C65">
        <w:rPr>
          <w:rFonts w:ascii="Arial" w:hAnsi="Arial" w:cs="Arial"/>
          <w:sz w:val="24"/>
          <w:szCs w:val="24"/>
          <w:lang w:val="en-US"/>
        </w:rPr>
        <w:t>because</w:t>
      </w:r>
      <w:r w:rsidR="00925280" w:rsidRPr="00507C65">
        <w:rPr>
          <w:rFonts w:ascii="Arial" w:hAnsi="Arial" w:cs="Arial"/>
          <w:sz w:val="24"/>
          <w:szCs w:val="24"/>
          <w:lang w:val="en-US"/>
        </w:rPr>
        <w:t xml:space="preserve"> th</w:t>
      </w:r>
      <w:r w:rsidR="004A6271" w:rsidRPr="00507C65">
        <w:rPr>
          <w:rFonts w:ascii="Arial" w:hAnsi="Arial" w:cs="Arial"/>
          <w:sz w:val="24"/>
          <w:szCs w:val="24"/>
          <w:lang w:val="en-US"/>
        </w:rPr>
        <w:t>e</w:t>
      </w:r>
      <w:r w:rsidR="00925280" w:rsidRPr="00507C65">
        <w:rPr>
          <w:rFonts w:ascii="Arial" w:hAnsi="Arial" w:cs="Arial"/>
          <w:sz w:val="24"/>
          <w:szCs w:val="24"/>
          <w:lang w:val="en-US"/>
        </w:rPr>
        <w:t xml:space="preserve"> litigant </w:t>
      </w:r>
      <w:r w:rsidR="00DC065F" w:rsidRPr="00507C65">
        <w:rPr>
          <w:rFonts w:ascii="Arial" w:hAnsi="Arial" w:cs="Arial"/>
          <w:sz w:val="24"/>
          <w:szCs w:val="24"/>
          <w:lang w:val="en-US"/>
        </w:rPr>
        <w:t>was</w:t>
      </w:r>
      <w:r w:rsidR="00925280" w:rsidRPr="00507C65">
        <w:rPr>
          <w:rFonts w:ascii="Arial" w:hAnsi="Arial" w:cs="Arial"/>
          <w:sz w:val="24"/>
          <w:szCs w:val="24"/>
          <w:lang w:val="en-US"/>
        </w:rPr>
        <w:t xml:space="preserve"> a</w:t>
      </w:r>
      <w:r w:rsidR="004A6271" w:rsidRPr="00507C65">
        <w:rPr>
          <w:rFonts w:ascii="Arial" w:hAnsi="Arial" w:cs="Arial"/>
          <w:sz w:val="24"/>
          <w:szCs w:val="24"/>
          <w:lang w:val="en-US"/>
        </w:rPr>
        <w:t xml:space="preserve"> </w:t>
      </w:r>
      <w:r w:rsidR="004A6271" w:rsidRPr="00507C65">
        <w:rPr>
          <w:rFonts w:ascii="Arial" w:hAnsi="Arial" w:cs="Arial"/>
          <w:i/>
          <w:sz w:val="24"/>
          <w:szCs w:val="24"/>
          <w:lang w:val="en-US"/>
        </w:rPr>
        <w:t>peregrinus</w:t>
      </w:r>
      <w:r w:rsidR="004A6271" w:rsidRPr="00507C65">
        <w:rPr>
          <w:rFonts w:ascii="Arial" w:hAnsi="Arial" w:cs="Arial"/>
          <w:sz w:val="24"/>
          <w:szCs w:val="24"/>
          <w:lang w:val="en-US"/>
        </w:rPr>
        <w:t xml:space="preserve"> </w:t>
      </w:r>
      <w:r w:rsidR="00A84951" w:rsidRPr="00507C65">
        <w:rPr>
          <w:rFonts w:ascii="Arial" w:hAnsi="Arial" w:cs="Arial"/>
          <w:sz w:val="24"/>
          <w:szCs w:val="24"/>
          <w:lang w:val="en-US"/>
        </w:rPr>
        <w:t>who</w:t>
      </w:r>
      <w:r w:rsidR="00DC065F" w:rsidRPr="00507C65">
        <w:rPr>
          <w:rFonts w:ascii="Arial" w:hAnsi="Arial" w:cs="Arial"/>
          <w:sz w:val="24"/>
          <w:szCs w:val="24"/>
          <w:lang w:val="en-US"/>
        </w:rPr>
        <w:t xml:space="preserve"> owned</w:t>
      </w:r>
      <w:r w:rsidR="004A6271" w:rsidRPr="00507C65">
        <w:rPr>
          <w:rFonts w:ascii="Arial" w:hAnsi="Arial" w:cs="Arial"/>
          <w:sz w:val="24"/>
          <w:szCs w:val="24"/>
          <w:lang w:val="en-US"/>
        </w:rPr>
        <w:t xml:space="preserve"> no immovable property in this country</w:t>
      </w:r>
      <w:r w:rsidR="007B2759" w:rsidRPr="00507C65">
        <w:rPr>
          <w:rFonts w:ascii="Arial" w:hAnsi="Arial" w:cs="Arial"/>
          <w:sz w:val="24"/>
          <w:szCs w:val="24"/>
          <w:lang w:val="en-US"/>
        </w:rPr>
        <w:t>.</w:t>
      </w:r>
      <w:r w:rsidR="00582909" w:rsidRPr="00507C65">
        <w:rPr>
          <w:rStyle w:val="FootnoteReference"/>
          <w:rFonts w:ascii="Arial" w:hAnsi="Arial" w:cs="Arial"/>
          <w:sz w:val="24"/>
          <w:szCs w:val="24"/>
          <w:lang w:val="en-US"/>
        </w:rPr>
        <w:footnoteReference w:id="12"/>
      </w:r>
      <w:r w:rsidR="007B2759" w:rsidRPr="00507C65">
        <w:rPr>
          <w:rFonts w:ascii="Arial" w:hAnsi="Arial" w:cs="Arial"/>
          <w:sz w:val="24"/>
          <w:szCs w:val="24"/>
          <w:lang w:val="en-US"/>
        </w:rPr>
        <w:t xml:space="preserve"> The </w:t>
      </w:r>
      <w:r w:rsidR="00793D26" w:rsidRPr="00507C65">
        <w:rPr>
          <w:rFonts w:ascii="Arial" w:hAnsi="Arial" w:cs="Arial"/>
          <w:sz w:val="24"/>
          <w:szCs w:val="24"/>
          <w:lang w:val="en-US"/>
        </w:rPr>
        <w:t>c</w:t>
      </w:r>
      <w:r w:rsidR="00A80CD5" w:rsidRPr="00507C65">
        <w:rPr>
          <w:rFonts w:ascii="Arial" w:hAnsi="Arial" w:cs="Arial"/>
          <w:sz w:val="24"/>
          <w:szCs w:val="24"/>
          <w:lang w:val="en-US"/>
        </w:rPr>
        <w:t>ourt</w:t>
      </w:r>
      <w:r w:rsidR="007B2759" w:rsidRPr="00507C65">
        <w:rPr>
          <w:rFonts w:ascii="Arial" w:hAnsi="Arial" w:cs="Arial"/>
          <w:sz w:val="24"/>
          <w:szCs w:val="24"/>
          <w:lang w:val="en-US"/>
        </w:rPr>
        <w:t xml:space="preserve"> answered the question in the negative</w:t>
      </w:r>
      <w:r w:rsidR="00E03E1B" w:rsidRPr="00507C65">
        <w:rPr>
          <w:rFonts w:ascii="Arial" w:hAnsi="Arial" w:cs="Arial"/>
          <w:sz w:val="24"/>
          <w:szCs w:val="24"/>
          <w:lang w:val="en-US"/>
        </w:rPr>
        <w:t>,</w:t>
      </w:r>
      <w:r w:rsidR="006E4787" w:rsidRPr="00507C65">
        <w:rPr>
          <w:rFonts w:ascii="Arial" w:hAnsi="Arial" w:cs="Arial"/>
          <w:sz w:val="24"/>
          <w:szCs w:val="24"/>
          <w:lang w:val="en-US"/>
        </w:rPr>
        <w:t xml:space="preserve"> </w:t>
      </w:r>
      <w:r w:rsidR="008D07CF" w:rsidRPr="00507C65">
        <w:rPr>
          <w:rFonts w:ascii="Arial" w:hAnsi="Arial" w:cs="Arial"/>
          <w:sz w:val="24"/>
          <w:szCs w:val="24"/>
          <w:lang w:val="en-US"/>
        </w:rPr>
        <w:t>holding</w:t>
      </w:r>
      <w:r w:rsidR="00DC065F" w:rsidRPr="00507C65">
        <w:rPr>
          <w:rFonts w:ascii="Arial" w:hAnsi="Arial" w:cs="Arial"/>
          <w:sz w:val="24"/>
          <w:szCs w:val="24"/>
          <w:lang w:val="en-US"/>
        </w:rPr>
        <w:t xml:space="preserve"> that a court had</w:t>
      </w:r>
      <w:r w:rsidR="006E4787" w:rsidRPr="00507C65">
        <w:rPr>
          <w:rFonts w:ascii="Arial" w:hAnsi="Arial" w:cs="Arial"/>
          <w:sz w:val="24"/>
          <w:szCs w:val="24"/>
          <w:lang w:val="en-US"/>
        </w:rPr>
        <w:t xml:space="preserve"> </w:t>
      </w:r>
      <w:r w:rsidR="00EB6DD1" w:rsidRPr="00507C65">
        <w:rPr>
          <w:rFonts w:ascii="Arial" w:hAnsi="Arial" w:cs="Arial"/>
          <w:sz w:val="24"/>
          <w:szCs w:val="24"/>
          <w:lang w:val="en-US"/>
        </w:rPr>
        <w:t>the</w:t>
      </w:r>
      <w:r w:rsidR="006E4787" w:rsidRPr="00507C65">
        <w:rPr>
          <w:rFonts w:ascii="Arial" w:hAnsi="Arial" w:cs="Arial"/>
          <w:sz w:val="24"/>
          <w:szCs w:val="24"/>
          <w:lang w:val="en-US"/>
        </w:rPr>
        <w:t xml:space="preserve"> discretion to order security and </w:t>
      </w:r>
      <w:r w:rsidR="00DC065F" w:rsidRPr="00507C65">
        <w:rPr>
          <w:rFonts w:ascii="Arial" w:hAnsi="Arial" w:cs="Arial"/>
          <w:sz w:val="24"/>
          <w:szCs w:val="24"/>
          <w:lang w:val="en-US"/>
        </w:rPr>
        <w:t>had to</w:t>
      </w:r>
      <w:r w:rsidR="006E4787" w:rsidRPr="00507C65">
        <w:rPr>
          <w:rFonts w:ascii="Arial" w:hAnsi="Arial" w:cs="Arial"/>
          <w:sz w:val="24"/>
          <w:szCs w:val="24"/>
          <w:lang w:val="en-US"/>
        </w:rPr>
        <w:t xml:space="preserve"> </w:t>
      </w:r>
      <w:r w:rsidR="00546570" w:rsidRPr="00507C65">
        <w:rPr>
          <w:rFonts w:ascii="Arial" w:hAnsi="Arial" w:cs="Arial"/>
          <w:sz w:val="24"/>
          <w:szCs w:val="24"/>
          <w:lang w:val="en-US"/>
        </w:rPr>
        <w:t>take into account</w:t>
      </w:r>
      <w:r w:rsidR="00FF76DC" w:rsidRPr="00507C65">
        <w:rPr>
          <w:rFonts w:ascii="Arial" w:hAnsi="Arial" w:cs="Arial"/>
          <w:sz w:val="24"/>
          <w:szCs w:val="24"/>
          <w:lang w:val="en-US"/>
        </w:rPr>
        <w:t xml:space="preserve"> the particular circumstances</w:t>
      </w:r>
      <w:r w:rsidR="006E4787" w:rsidRPr="00507C65">
        <w:rPr>
          <w:rFonts w:ascii="Arial" w:hAnsi="Arial" w:cs="Arial"/>
          <w:sz w:val="24"/>
          <w:szCs w:val="24"/>
          <w:lang w:val="en-US"/>
        </w:rPr>
        <w:t xml:space="preserve"> </w:t>
      </w:r>
      <w:r w:rsidR="00546570" w:rsidRPr="00507C65">
        <w:rPr>
          <w:rFonts w:ascii="Arial" w:hAnsi="Arial" w:cs="Arial"/>
          <w:sz w:val="24"/>
          <w:szCs w:val="24"/>
          <w:lang w:val="en-US"/>
        </w:rPr>
        <w:t xml:space="preserve">of the case </w:t>
      </w:r>
      <w:r w:rsidR="006E4787" w:rsidRPr="00507C65">
        <w:rPr>
          <w:rFonts w:ascii="Arial" w:hAnsi="Arial" w:cs="Arial"/>
          <w:sz w:val="24"/>
          <w:szCs w:val="24"/>
          <w:lang w:val="en-US"/>
        </w:rPr>
        <w:t>and consideration of fairness an</w:t>
      </w:r>
      <w:r w:rsidR="007B4F89" w:rsidRPr="00507C65">
        <w:rPr>
          <w:rFonts w:ascii="Arial" w:hAnsi="Arial" w:cs="Arial"/>
          <w:sz w:val="24"/>
          <w:szCs w:val="24"/>
          <w:lang w:val="en-US"/>
        </w:rPr>
        <w:t xml:space="preserve">d </w:t>
      </w:r>
      <w:r w:rsidR="006E4787" w:rsidRPr="00507C65">
        <w:rPr>
          <w:rFonts w:ascii="Arial" w:hAnsi="Arial" w:cs="Arial"/>
          <w:sz w:val="24"/>
          <w:szCs w:val="24"/>
          <w:lang w:val="en-US"/>
        </w:rPr>
        <w:t xml:space="preserve">equity </w:t>
      </w:r>
      <w:r w:rsidR="002E1E6F" w:rsidRPr="00507C65">
        <w:rPr>
          <w:rFonts w:ascii="Arial" w:hAnsi="Arial" w:cs="Arial"/>
          <w:sz w:val="24"/>
          <w:szCs w:val="24"/>
          <w:lang w:val="en-US"/>
        </w:rPr>
        <w:t>for</w:t>
      </w:r>
      <w:r w:rsidR="006E4787" w:rsidRPr="00507C65">
        <w:rPr>
          <w:rFonts w:ascii="Arial" w:hAnsi="Arial" w:cs="Arial"/>
          <w:sz w:val="24"/>
          <w:szCs w:val="24"/>
          <w:lang w:val="en-US"/>
        </w:rPr>
        <w:t xml:space="preserve"> both parties</w:t>
      </w:r>
      <w:r w:rsidR="00E03E1B" w:rsidRPr="00507C65">
        <w:rPr>
          <w:rFonts w:ascii="Arial" w:hAnsi="Arial" w:cs="Arial"/>
          <w:sz w:val="24"/>
          <w:szCs w:val="24"/>
          <w:lang w:val="en-US"/>
        </w:rPr>
        <w:t>.</w:t>
      </w:r>
      <w:r w:rsidR="002159D4" w:rsidRPr="00507C65">
        <w:rPr>
          <w:rStyle w:val="FootnoteReference"/>
          <w:rFonts w:ascii="Arial" w:hAnsi="Arial" w:cs="Arial"/>
          <w:sz w:val="24"/>
          <w:szCs w:val="24"/>
          <w:lang w:val="en-US"/>
        </w:rPr>
        <w:footnoteReference w:id="13"/>
      </w:r>
      <w:r w:rsidR="009150B4" w:rsidRPr="00507C65">
        <w:rPr>
          <w:rFonts w:ascii="Arial" w:hAnsi="Arial" w:cs="Arial"/>
          <w:sz w:val="24"/>
          <w:szCs w:val="24"/>
          <w:lang w:val="en-US"/>
        </w:rPr>
        <w:t xml:space="preserve"> </w:t>
      </w:r>
      <w:r w:rsidR="00546570" w:rsidRPr="00507C65">
        <w:rPr>
          <w:rFonts w:ascii="Arial" w:hAnsi="Arial" w:cs="Arial"/>
          <w:sz w:val="24"/>
          <w:szCs w:val="24"/>
          <w:lang w:val="en-US"/>
        </w:rPr>
        <w:t>Following</w:t>
      </w:r>
      <w:r w:rsidR="004C0C16" w:rsidRPr="00507C65">
        <w:rPr>
          <w:rFonts w:ascii="Arial" w:hAnsi="Arial" w:cs="Arial"/>
          <w:sz w:val="24"/>
          <w:szCs w:val="24"/>
          <w:lang w:val="en-US"/>
        </w:rPr>
        <w:t xml:space="preserve"> the approach articulated in </w:t>
      </w:r>
      <w:r w:rsidR="004C0C16" w:rsidRPr="00507C65">
        <w:rPr>
          <w:rFonts w:ascii="Arial" w:hAnsi="Arial" w:cs="Arial"/>
          <w:i/>
          <w:sz w:val="24"/>
          <w:szCs w:val="24"/>
          <w:lang w:val="en-US"/>
        </w:rPr>
        <w:t>Magida</w:t>
      </w:r>
      <w:r w:rsidR="00EB6DD1" w:rsidRPr="00507C65">
        <w:rPr>
          <w:rFonts w:ascii="Arial" w:hAnsi="Arial" w:cs="Arial"/>
          <w:sz w:val="24"/>
          <w:szCs w:val="24"/>
          <w:lang w:val="en-US"/>
        </w:rPr>
        <w:t>,</w:t>
      </w:r>
      <w:r w:rsidR="00987E1D" w:rsidRPr="00507C65">
        <w:rPr>
          <w:rFonts w:ascii="Arial" w:hAnsi="Arial" w:cs="Arial"/>
          <w:sz w:val="24"/>
          <w:szCs w:val="24"/>
          <w:lang w:val="en-US"/>
        </w:rPr>
        <w:t xml:space="preserve"> the </w:t>
      </w:r>
      <w:r w:rsidR="00793D26" w:rsidRPr="00507C65">
        <w:rPr>
          <w:rFonts w:ascii="Arial" w:hAnsi="Arial" w:cs="Arial"/>
          <w:sz w:val="24"/>
          <w:szCs w:val="24"/>
          <w:lang w:val="en-US"/>
        </w:rPr>
        <w:t>c</w:t>
      </w:r>
      <w:r w:rsidR="00A80CD5" w:rsidRPr="00507C65">
        <w:rPr>
          <w:rFonts w:ascii="Arial" w:hAnsi="Arial" w:cs="Arial"/>
          <w:sz w:val="24"/>
          <w:szCs w:val="24"/>
          <w:lang w:val="en-US"/>
        </w:rPr>
        <w:t>ourt</w:t>
      </w:r>
      <w:r w:rsidR="00987E1D" w:rsidRPr="00507C65">
        <w:rPr>
          <w:rFonts w:ascii="Arial" w:hAnsi="Arial" w:cs="Arial"/>
          <w:sz w:val="24"/>
          <w:szCs w:val="24"/>
          <w:lang w:val="en-US"/>
        </w:rPr>
        <w:t xml:space="preserve"> stated that there was no </w:t>
      </w:r>
      <w:r w:rsidR="00177D36" w:rsidRPr="00507C65">
        <w:rPr>
          <w:rFonts w:ascii="Arial" w:hAnsi="Arial" w:cs="Arial"/>
          <w:sz w:val="24"/>
          <w:szCs w:val="24"/>
          <w:lang w:val="en-US"/>
        </w:rPr>
        <w:t>justification for the principle that a court should exercise its discretion in favo</w:t>
      </w:r>
      <w:r w:rsidR="007C0461" w:rsidRPr="00507C65">
        <w:rPr>
          <w:rFonts w:ascii="Arial" w:hAnsi="Arial" w:cs="Arial"/>
          <w:sz w:val="24"/>
          <w:szCs w:val="24"/>
          <w:lang w:val="en-US"/>
        </w:rPr>
        <w:t>u</w:t>
      </w:r>
      <w:r w:rsidR="00177D36" w:rsidRPr="00507C65">
        <w:rPr>
          <w:rFonts w:ascii="Arial" w:hAnsi="Arial" w:cs="Arial"/>
          <w:sz w:val="24"/>
          <w:szCs w:val="24"/>
          <w:lang w:val="en-US"/>
        </w:rPr>
        <w:t xml:space="preserve">r of </w:t>
      </w:r>
      <w:r w:rsidR="00FA0786" w:rsidRPr="00507C65">
        <w:rPr>
          <w:rFonts w:ascii="Arial" w:hAnsi="Arial" w:cs="Arial"/>
          <w:sz w:val="24"/>
          <w:szCs w:val="24"/>
          <w:lang w:val="en-US"/>
        </w:rPr>
        <w:t xml:space="preserve">a </w:t>
      </w:r>
      <w:r w:rsidR="00FA0786" w:rsidRPr="00507C65">
        <w:rPr>
          <w:rFonts w:ascii="Arial" w:hAnsi="Arial" w:cs="Arial"/>
          <w:i/>
          <w:sz w:val="24"/>
          <w:szCs w:val="24"/>
          <w:lang w:val="en-US"/>
        </w:rPr>
        <w:t>peregrinus</w:t>
      </w:r>
      <w:r w:rsidR="00177D36" w:rsidRPr="00507C65">
        <w:rPr>
          <w:rFonts w:ascii="Arial" w:hAnsi="Arial" w:cs="Arial"/>
          <w:sz w:val="24"/>
          <w:szCs w:val="24"/>
          <w:lang w:val="en-US"/>
        </w:rPr>
        <w:t xml:space="preserve"> only sparingly</w:t>
      </w:r>
      <w:r w:rsidR="007C0461" w:rsidRPr="00507C65">
        <w:rPr>
          <w:rFonts w:ascii="Arial" w:hAnsi="Arial" w:cs="Arial"/>
          <w:sz w:val="24"/>
          <w:szCs w:val="24"/>
          <w:lang w:val="en-US"/>
        </w:rPr>
        <w:t>.</w:t>
      </w:r>
      <w:r w:rsidR="002159D4" w:rsidRPr="00507C65">
        <w:rPr>
          <w:rStyle w:val="FootnoteReference"/>
          <w:rFonts w:ascii="Arial" w:hAnsi="Arial" w:cs="Arial"/>
          <w:sz w:val="24"/>
          <w:szCs w:val="24"/>
          <w:lang w:val="en-US"/>
        </w:rPr>
        <w:footnoteReference w:id="14"/>
      </w:r>
    </w:p>
    <w:p w14:paraId="0BB94D08" w14:textId="77777777" w:rsidR="00FC7DE1" w:rsidRPr="00507C65" w:rsidRDefault="00FC7DE1" w:rsidP="00262CE3">
      <w:pPr>
        <w:spacing w:line="360" w:lineRule="auto"/>
        <w:jc w:val="both"/>
        <w:rPr>
          <w:rFonts w:ascii="Arial" w:hAnsi="Arial" w:cs="Arial"/>
          <w:sz w:val="24"/>
          <w:szCs w:val="24"/>
        </w:rPr>
      </w:pPr>
    </w:p>
    <w:p w14:paraId="3745903F" w14:textId="4F19E755" w:rsidR="00C372D6" w:rsidRPr="00507C65" w:rsidRDefault="00FC7DE1"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lastRenderedPageBreak/>
        <w:t>[</w:t>
      </w:r>
      <w:r w:rsidR="0008395A" w:rsidRPr="00507C65">
        <w:rPr>
          <w:rFonts w:ascii="Arial" w:hAnsi="Arial" w:cs="Arial"/>
          <w:sz w:val="24"/>
          <w:szCs w:val="24"/>
          <w:lang w:val="en-US"/>
        </w:rPr>
        <w:t>1</w:t>
      </w:r>
      <w:r w:rsidR="00447C62" w:rsidRPr="00507C65">
        <w:rPr>
          <w:rFonts w:ascii="Arial" w:hAnsi="Arial" w:cs="Arial"/>
          <w:sz w:val="24"/>
          <w:szCs w:val="24"/>
          <w:lang w:val="en-US"/>
        </w:rPr>
        <w:t>5</w:t>
      </w:r>
      <w:r w:rsidRPr="00507C65">
        <w:rPr>
          <w:rFonts w:ascii="Arial" w:hAnsi="Arial" w:cs="Arial"/>
          <w:sz w:val="24"/>
          <w:szCs w:val="24"/>
          <w:lang w:val="en-US"/>
        </w:rPr>
        <w:t>]</w:t>
      </w:r>
      <w:r w:rsidRPr="00507C65">
        <w:rPr>
          <w:rFonts w:ascii="Arial" w:hAnsi="Arial" w:cs="Arial"/>
          <w:sz w:val="24"/>
          <w:szCs w:val="24"/>
          <w:lang w:val="en-US"/>
        </w:rPr>
        <w:tab/>
      </w:r>
      <w:r w:rsidR="009260AD" w:rsidRPr="00507C65">
        <w:rPr>
          <w:rFonts w:ascii="Arial" w:hAnsi="Arial" w:cs="Arial"/>
          <w:sz w:val="24"/>
          <w:szCs w:val="24"/>
          <w:lang w:val="en-US"/>
        </w:rPr>
        <w:t>Thus</w:t>
      </w:r>
      <w:r w:rsidR="00256406" w:rsidRPr="00507C65">
        <w:rPr>
          <w:rFonts w:ascii="Arial" w:hAnsi="Arial" w:cs="Arial"/>
          <w:sz w:val="24"/>
          <w:szCs w:val="24"/>
          <w:lang w:val="en-US"/>
        </w:rPr>
        <w:t xml:space="preserve">, </w:t>
      </w:r>
      <w:r w:rsidR="00401139" w:rsidRPr="00507C65">
        <w:rPr>
          <w:rFonts w:ascii="Arial" w:hAnsi="Arial" w:cs="Arial"/>
          <w:sz w:val="24"/>
          <w:szCs w:val="24"/>
          <w:lang w:val="en-US"/>
        </w:rPr>
        <w:t xml:space="preserve">the </w:t>
      </w:r>
      <w:r w:rsidR="00B6639E" w:rsidRPr="00507C65">
        <w:rPr>
          <w:rFonts w:ascii="Arial" w:hAnsi="Arial" w:cs="Arial"/>
          <w:sz w:val="24"/>
          <w:szCs w:val="24"/>
          <w:lang w:val="en-US"/>
        </w:rPr>
        <w:t>high court</w:t>
      </w:r>
      <w:r w:rsidR="004944B1" w:rsidRPr="00507C65">
        <w:rPr>
          <w:rFonts w:ascii="Arial" w:hAnsi="Arial" w:cs="Arial"/>
          <w:sz w:val="24"/>
          <w:szCs w:val="24"/>
          <w:lang w:val="en-US"/>
        </w:rPr>
        <w:t xml:space="preserve"> </w:t>
      </w:r>
      <w:bookmarkStart w:id="6" w:name="_Hlk132571686"/>
      <w:r w:rsidR="004944B1" w:rsidRPr="00507C65">
        <w:rPr>
          <w:rFonts w:ascii="Arial" w:hAnsi="Arial" w:cs="Arial"/>
          <w:sz w:val="24"/>
          <w:szCs w:val="24"/>
          <w:lang w:val="en-US"/>
        </w:rPr>
        <w:t>erred</w:t>
      </w:r>
      <w:r w:rsidR="003A56F2" w:rsidRPr="00507C65">
        <w:rPr>
          <w:rFonts w:ascii="Arial" w:hAnsi="Arial" w:cs="Arial"/>
          <w:sz w:val="24"/>
          <w:szCs w:val="24"/>
          <w:lang w:val="en-US"/>
        </w:rPr>
        <w:t xml:space="preserve"> </w:t>
      </w:r>
      <w:r w:rsidR="004944B1" w:rsidRPr="00507C65">
        <w:rPr>
          <w:rFonts w:ascii="Arial" w:hAnsi="Arial" w:cs="Arial"/>
          <w:sz w:val="24"/>
          <w:szCs w:val="24"/>
          <w:lang w:val="en-US"/>
        </w:rPr>
        <w:t>in holding that</w:t>
      </w:r>
      <w:r w:rsidR="00786284" w:rsidRPr="00507C65">
        <w:rPr>
          <w:rFonts w:ascii="Arial" w:hAnsi="Arial" w:cs="Arial"/>
          <w:sz w:val="24"/>
          <w:szCs w:val="24"/>
          <w:lang w:val="en-US"/>
        </w:rPr>
        <w:t>,</w:t>
      </w:r>
      <w:r w:rsidR="004944B1" w:rsidRPr="00507C65">
        <w:rPr>
          <w:rFonts w:ascii="Arial" w:hAnsi="Arial" w:cs="Arial"/>
          <w:sz w:val="24"/>
          <w:szCs w:val="24"/>
          <w:lang w:val="en-US"/>
        </w:rPr>
        <w:t xml:space="preserve"> </w:t>
      </w:r>
      <w:r w:rsidR="009260AD" w:rsidRPr="00507C65">
        <w:rPr>
          <w:rFonts w:ascii="Arial" w:hAnsi="Arial" w:cs="Arial"/>
          <w:sz w:val="24"/>
          <w:szCs w:val="24"/>
          <w:lang w:val="en-US"/>
        </w:rPr>
        <w:t>as a</w:t>
      </w:r>
      <w:r w:rsidR="004944B1" w:rsidRPr="00507C65">
        <w:rPr>
          <w:rFonts w:ascii="Arial" w:hAnsi="Arial" w:cs="Arial"/>
          <w:sz w:val="24"/>
          <w:szCs w:val="24"/>
          <w:lang w:val="en-US"/>
        </w:rPr>
        <w:t xml:space="preserve"> general rule</w:t>
      </w:r>
      <w:r w:rsidR="00786284" w:rsidRPr="00507C65">
        <w:rPr>
          <w:rFonts w:ascii="Arial" w:hAnsi="Arial" w:cs="Arial"/>
          <w:sz w:val="24"/>
          <w:szCs w:val="24"/>
          <w:lang w:val="en-US"/>
        </w:rPr>
        <w:t>,</w:t>
      </w:r>
      <w:r w:rsidR="004944B1" w:rsidRPr="00507C65">
        <w:rPr>
          <w:rFonts w:ascii="Arial" w:hAnsi="Arial" w:cs="Arial"/>
          <w:sz w:val="24"/>
          <w:szCs w:val="24"/>
          <w:lang w:val="en-US"/>
        </w:rPr>
        <w:t xml:space="preserve"> a </w:t>
      </w:r>
      <w:r w:rsidR="004944B1" w:rsidRPr="00507C65">
        <w:rPr>
          <w:rFonts w:ascii="Arial" w:hAnsi="Arial" w:cs="Arial"/>
          <w:i/>
          <w:sz w:val="24"/>
          <w:szCs w:val="24"/>
          <w:lang w:val="en-US"/>
        </w:rPr>
        <w:t>peregrinus</w:t>
      </w:r>
      <w:r w:rsidR="004944B1" w:rsidRPr="00507C65">
        <w:rPr>
          <w:rFonts w:ascii="Arial" w:hAnsi="Arial" w:cs="Arial"/>
          <w:sz w:val="24"/>
          <w:szCs w:val="24"/>
          <w:lang w:val="en-US"/>
        </w:rPr>
        <w:t xml:space="preserve"> is obliged to furnish security for costs</w:t>
      </w:r>
      <w:r w:rsidR="00D141A3" w:rsidRPr="00507C65">
        <w:rPr>
          <w:rFonts w:ascii="Arial" w:hAnsi="Arial" w:cs="Arial"/>
          <w:sz w:val="24"/>
          <w:szCs w:val="24"/>
          <w:lang w:val="en-US"/>
        </w:rPr>
        <w:t>.</w:t>
      </w:r>
      <w:r w:rsidR="00C470BA" w:rsidRPr="00507C65">
        <w:rPr>
          <w:rFonts w:ascii="Arial" w:hAnsi="Arial" w:cs="Arial"/>
          <w:sz w:val="24"/>
          <w:szCs w:val="24"/>
          <w:lang w:val="en-US"/>
        </w:rPr>
        <w:t xml:space="preserve"> </w:t>
      </w:r>
      <w:r w:rsidR="00E10FE0" w:rsidRPr="00507C65">
        <w:rPr>
          <w:rFonts w:ascii="Arial" w:hAnsi="Arial" w:cs="Arial"/>
          <w:sz w:val="24"/>
          <w:szCs w:val="24"/>
          <w:lang w:val="en-US"/>
        </w:rPr>
        <w:t xml:space="preserve">This misdirection justifies interference by this </w:t>
      </w:r>
      <w:r w:rsidR="00A80CD5" w:rsidRPr="00507C65">
        <w:rPr>
          <w:rFonts w:ascii="Arial" w:hAnsi="Arial" w:cs="Arial"/>
          <w:sz w:val="24"/>
          <w:szCs w:val="24"/>
          <w:lang w:val="en-US"/>
        </w:rPr>
        <w:t>Court.</w:t>
      </w:r>
      <w:r w:rsidR="00E10FE0" w:rsidRPr="00507C65">
        <w:rPr>
          <w:rFonts w:ascii="Arial" w:hAnsi="Arial" w:cs="Arial"/>
          <w:sz w:val="24"/>
          <w:szCs w:val="24"/>
        </w:rPr>
        <w:t xml:space="preserve"> </w:t>
      </w:r>
      <w:r w:rsidR="003B0DC8" w:rsidRPr="00507C65">
        <w:rPr>
          <w:rFonts w:ascii="Arial" w:hAnsi="Arial" w:cs="Arial"/>
          <w:sz w:val="24"/>
          <w:szCs w:val="24"/>
        </w:rPr>
        <w:t xml:space="preserve">That being so, this </w:t>
      </w:r>
      <w:r w:rsidR="00A80CD5" w:rsidRPr="00507C65">
        <w:rPr>
          <w:rFonts w:ascii="Arial" w:hAnsi="Arial" w:cs="Arial"/>
          <w:sz w:val="24"/>
          <w:szCs w:val="24"/>
        </w:rPr>
        <w:t>Court</w:t>
      </w:r>
      <w:r w:rsidR="003B0DC8" w:rsidRPr="00507C65">
        <w:rPr>
          <w:rFonts w:ascii="Arial" w:hAnsi="Arial" w:cs="Arial"/>
          <w:sz w:val="24"/>
          <w:szCs w:val="24"/>
        </w:rPr>
        <w:t xml:space="preserve"> is</w:t>
      </w:r>
      <w:r w:rsidR="003B0DC8" w:rsidRPr="00507C65">
        <w:rPr>
          <w:rFonts w:ascii="Arial" w:hAnsi="Arial" w:cs="Arial"/>
          <w:sz w:val="24"/>
          <w:szCs w:val="24"/>
          <w:lang w:val="en-GB"/>
        </w:rPr>
        <w:t xml:space="preserve"> at large to consider the application afresh</w:t>
      </w:r>
      <w:r w:rsidR="00CF7CBC" w:rsidRPr="00507C65">
        <w:rPr>
          <w:rFonts w:ascii="Arial" w:hAnsi="Arial" w:cs="Arial"/>
          <w:sz w:val="24"/>
          <w:szCs w:val="24"/>
          <w:lang w:val="en-GB"/>
        </w:rPr>
        <w:t>.</w:t>
      </w:r>
    </w:p>
    <w:bookmarkEnd w:id="6"/>
    <w:p w14:paraId="1F54DA94" w14:textId="77777777" w:rsidR="00EF360D" w:rsidRPr="00507C65" w:rsidRDefault="00EF360D" w:rsidP="00377042">
      <w:pPr>
        <w:spacing w:after="0" w:line="360" w:lineRule="auto"/>
        <w:jc w:val="both"/>
        <w:rPr>
          <w:rFonts w:ascii="Arial" w:hAnsi="Arial" w:cs="Arial"/>
          <w:sz w:val="24"/>
          <w:szCs w:val="24"/>
          <w:lang w:val="en-US"/>
        </w:rPr>
      </w:pPr>
    </w:p>
    <w:p w14:paraId="669B850E" w14:textId="058FEB3E" w:rsidR="00416FBA" w:rsidRPr="00507C65" w:rsidRDefault="00FC7DE1" w:rsidP="00262CE3">
      <w:pPr>
        <w:spacing w:after="0" w:line="360" w:lineRule="auto"/>
        <w:jc w:val="both"/>
        <w:rPr>
          <w:rFonts w:ascii="Arial" w:hAnsi="Arial" w:cs="Arial"/>
          <w:sz w:val="24"/>
          <w:szCs w:val="24"/>
          <w:lang w:val="en-US"/>
        </w:rPr>
      </w:pPr>
      <w:r w:rsidRPr="00507C65">
        <w:rPr>
          <w:rFonts w:ascii="Arial" w:hAnsi="Arial" w:cs="Arial"/>
          <w:sz w:val="24"/>
          <w:szCs w:val="24"/>
        </w:rPr>
        <w:t>[</w:t>
      </w:r>
      <w:r w:rsidR="0008395A" w:rsidRPr="00507C65">
        <w:rPr>
          <w:rFonts w:ascii="Arial" w:hAnsi="Arial" w:cs="Arial"/>
          <w:sz w:val="24"/>
          <w:szCs w:val="24"/>
        </w:rPr>
        <w:t>1</w:t>
      </w:r>
      <w:r w:rsidR="005B5C57" w:rsidRPr="00507C65">
        <w:rPr>
          <w:rFonts w:ascii="Arial" w:hAnsi="Arial" w:cs="Arial"/>
          <w:sz w:val="24"/>
          <w:szCs w:val="24"/>
        </w:rPr>
        <w:t>6</w:t>
      </w:r>
      <w:r w:rsidRPr="00507C65">
        <w:rPr>
          <w:rFonts w:ascii="Arial" w:hAnsi="Arial" w:cs="Arial"/>
          <w:sz w:val="24"/>
          <w:szCs w:val="24"/>
        </w:rPr>
        <w:t>]</w:t>
      </w:r>
      <w:r w:rsidRPr="00507C65">
        <w:rPr>
          <w:rFonts w:ascii="Arial" w:hAnsi="Arial" w:cs="Arial"/>
          <w:sz w:val="24"/>
          <w:szCs w:val="24"/>
        </w:rPr>
        <w:tab/>
      </w:r>
      <w:r w:rsidR="006755A7" w:rsidRPr="00507C65">
        <w:rPr>
          <w:rFonts w:ascii="Arial" w:hAnsi="Arial" w:cs="Arial"/>
          <w:sz w:val="24"/>
          <w:szCs w:val="24"/>
          <w:lang w:val="en-US"/>
        </w:rPr>
        <w:t>T</w:t>
      </w:r>
      <w:r w:rsidR="00200840" w:rsidRPr="00507C65">
        <w:rPr>
          <w:rFonts w:ascii="Arial" w:hAnsi="Arial" w:cs="Arial"/>
          <w:sz w:val="24"/>
          <w:szCs w:val="24"/>
          <w:lang w:val="en-US"/>
        </w:rPr>
        <w:t>he</w:t>
      </w:r>
      <w:r w:rsidR="007E5631" w:rsidRPr="00507C65">
        <w:rPr>
          <w:rFonts w:ascii="Arial" w:hAnsi="Arial" w:cs="Arial"/>
          <w:sz w:val="24"/>
          <w:szCs w:val="24"/>
          <w:lang w:val="en-US"/>
        </w:rPr>
        <w:t xml:space="preserve"> second </w:t>
      </w:r>
      <w:r w:rsidR="00B002F6" w:rsidRPr="00507C65">
        <w:rPr>
          <w:rFonts w:ascii="Arial" w:hAnsi="Arial" w:cs="Arial"/>
          <w:sz w:val="24"/>
          <w:szCs w:val="24"/>
          <w:lang w:val="en-US"/>
        </w:rPr>
        <w:t>applicant</w:t>
      </w:r>
      <w:r w:rsidR="009110E5" w:rsidRPr="00507C65">
        <w:rPr>
          <w:rFonts w:ascii="Arial" w:hAnsi="Arial" w:cs="Arial"/>
          <w:sz w:val="24"/>
          <w:szCs w:val="24"/>
          <w:lang w:val="en-US"/>
        </w:rPr>
        <w:t xml:space="preserve"> </w:t>
      </w:r>
      <w:r w:rsidR="004D6667" w:rsidRPr="00507C65">
        <w:rPr>
          <w:rFonts w:ascii="Arial" w:hAnsi="Arial" w:cs="Arial"/>
          <w:sz w:val="24"/>
          <w:szCs w:val="24"/>
          <w:lang w:val="en-US"/>
        </w:rPr>
        <w:t xml:space="preserve">submits that </w:t>
      </w:r>
      <w:r w:rsidR="002E0067" w:rsidRPr="00507C65">
        <w:rPr>
          <w:rFonts w:ascii="Arial" w:hAnsi="Arial" w:cs="Arial"/>
          <w:sz w:val="24"/>
          <w:szCs w:val="24"/>
          <w:lang w:val="en-US"/>
        </w:rPr>
        <w:t xml:space="preserve">it is unreasonable and unnecessary </w:t>
      </w:r>
      <w:r w:rsidR="00B23515" w:rsidRPr="00507C65">
        <w:rPr>
          <w:rFonts w:ascii="Arial" w:hAnsi="Arial" w:cs="Arial"/>
          <w:sz w:val="24"/>
          <w:szCs w:val="24"/>
          <w:lang w:val="en-US"/>
        </w:rPr>
        <w:t xml:space="preserve">to require security for costs </w:t>
      </w:r>
      <w:r w:rsidR="00610321" w:rsidRPr="00507C65">
        <w:rPr>
          <w:rFonts w:ascii="Arial" w:hAnsi="Arial" w:cs="Arial"/>
          <w:sz w:val="24"/>
          <w:szCs w:val="24"/>
          <w:lang w:val="en-US"/>
        </w:rPr>
        <w:t>from</w:t>
      </w:r>
      <w:r w:rsidR="00B23515" w:rsidRPr="00507C65">
        <w:rPr>
          <w:rFonts w:ascii="Arial" w:hAnsi="Arial" w:cs="Arial"/>
          <w:sz w:val="24"/>
          <w:szCs w:val="24"/>
          <w:lang w:val="en-US"/>
        </w:rPr>
        <w:t xml:space="preserve"> him</w:t>
      </w:r>
      <w:r w:rsidR="00FE48EC" w:rsidRPr="00507C65">
        <w:rPr>
          <w:rFonts w:ascii="Arial" w:hAnsi="Arial" w:cs="Arial"/>
          <w:sz w:val="24"/>
          <w:szCs w:val="24"/>
          <w:lang w:val="en-US"/>
        </w:rPr>
        <w:t xml:space="preserve"> as</w:t>
      </w:r>
      <w:r w:rsidR="002E1E6F" w:rsidRPr="00507C65">
        <w:rPr>
          <w:rFonts w:ascii="Arial" w:hAnsi="Arial" w:cs="Arial"/>
          <w:sz w:val="24"/>
          <w:szCs w:val="24"/>
          <w:lang w:val="en-US"/>
        </w:rPr>
        <w:t>,</w:t>
      </w:r>
      <w:r w:rsidR="00FE48EC" w:rsidRPr="00507C65">
        <w:rPr>
          <w:rFonts w:ascii="Arial" w:hAnsi="Arial" w:cs="Arial"/>
          <w:sz w:val="24"/>
          <w:szCs w:val="24"/>
          <w:lang w:val="en-US"/>
        </w:rPr>
        <w:t xml:space="preserve"> first,</w:t>
      </w:r>
      <w:r w:rsidR="006650B9" w:rsidRPr="00507C65">
        <w:rPr>
          <w:rFonts w:ascii="Arial" w:hAnsi="Arial" w:cs="Arial"/>
          <w:sz w:val="24"/>
          <w:szCs w:val="24"/>
          <w:lang w:val="en-US"/>
        </w:rPr>
        <w:t xml:space="preserve"> </w:t>
      </w:r>
      <w:r w:rsidR="00141236" w:rsidRPr="00507C65">
        <w:rPr>
          <w:rFonts w:ascii="Arial" w:hAnsi="Arial" w:cs="Arial"/>
          <w:sz w:val="24"/>
          <w:szCs w:val="24"/>
          <w:lang w:val="en-US"/>
        </w:rPr>
        <w:t>Mystic River</w:t>
      </w:r>
      <w:r w:rsidR="0004387D" w:rsidRPr="00507C65">
        <w:rPr>
          <w:rFonts w:ascii="Arial" w:hAnsi="Arial" w:cs="Arial"/>
          <w:sz w:val="24"/>
          <w:szCs w:val="24"/>
          <w:lang w:val="en-US"/>
        </w:rPr>
        <w:t>,</w:t>
      </w:r>
      <w:r w:rsidR="00141236" w:rsidRPr="00507C65">
        <w:rPr>
          <w:rFonts w:ascii="Arial" w:hAnsi="Arial" w:cs="Arial"/>
          <w:sz w:val="24"/>
          <w:szCs w:val="24"/>
          <w:lang w:val="en-US"/>
        </w:rPr>
        <w:t xml:space="preserve"> </w:t>
      </w:r>
      <w:r w:rsidR="00F128F6" w:rsidRPr="00507C65">
        <w:rPr>
          <w:rFonts w:ascii="Arial" w:hAnsi="Arial" w:cs="Arial"/>
          <w:sz w:val="24"/>
          <w:szCs w:val="24"/>
          <w:lang w:val="en-US"/>
        </w:rPr>
        <w:t xml:space="preserve">an </w:t>
      </w:r>
      <w:r w:rsidR="00F128F6" w:rsidRPr="00507C65">
        <w:rPr>
          <w:rFonts w:ascii="Arial" w:hAnsi="Arial" w:cs="Arial"/>
          <w:i/>
          <w:iCs/>
          <w:sz w:val="24"/>
          <w:szCs w:val="24"/>
          <w:lang w:val="en-US"/>
        </w:rPr>
        <w:t>incola</w:t>
      </w:r>
      <w:r w:rsidR="0004387D" w:rsidRPr="00507C65">
        <w:rPr>
          <w:rFonts w:ascii="Arial" w:hAnsi="Arial" w:cs="Arial"/>
          <w:i/>
          <w:iCs/>
          <w:sz w:val="24"/>
          <w:szCs w:val="24"/>
          <w:lang w:val="en-US"/>
        </w:rPr>
        <w:t xml:space="preserve">, </w:t>
      </w:r>
      <w:r w:rsidR="00EC28A9" w:rsidRPr="00507C65">
        <w:rPr>
          <w:rFonts w:ascii="Arial" w:hAnsi="Arial" w:cs="Arial"/>
          <w:sz w:val="24"/>
          <w:szCs w:val="24"/>
          <w:lang w:val="en-US"/>
        </w:rPr>
        <w:t>has the means to and thus c</w:t>
      </w:r>
      <w:r w:rsidR="00610321" w:rsidRPr="00507C65">
        <w:rPr>
          <w:rFonts w:ascii="Arial" w:hAnsi="Arial" w:cs="Arial"/>
          <w:sz w:val="24"/>
          <w:szCs w:val="24"/>
          <w:lang w:val="en-US"/>
        </w:rPr>
        <w:t>ould</w:t>
      </w:r>
      <w:r w:rsidR="00EC28A9" w:rsidRPr="00507C65">
        <w:rPr>
          <w:rFonts w:ascii="Arial" w:hAnsi="Arial" w:cs="Arial"/>
          <w:sz w:val="24"/>
          <w:szCs w:val="24"/>
          <w:lang w:val="en-US"/>
        </w:rPr>
        <w:t xml:space="preserve"> effectively cover any adverse costs </w:t>
      </w:r>
      <w:r w:rsidR="0004387D" w:rsidRPr="00507C65">
        <w:rPr>
          <w:rFonts w:ascii="Arial" w:hAnsi="Arial" w:cs="Arial"/>
          <w:sz w:val="24"/>
          <w:szCs w:val="24"/>
          <w:lang w:val="en-US"/>
        </w:rPr>
        <w:t>awarded</w:t>
      </w:r>
      <w:r w:rsidR="009C5C7A" w:rsidRPr="00507C65">
        <w:rPr>
          <w:rFonts w:ascii="Arial" w:hAnsi="Arial" w:cs="Arial"/>
          <w:sz w:val="24"/>
          <w:szCs w:val="24"/>
          <w:lang w:val="en-US"/>
        </w:rPr>
        <w:t xml:space="preserve">. </w:t>
      </w:r>
      <w:r w:rsidR="001172AD" w:rsidRPr="00507C65">
        <w:rPr>
          <w:rFonts w:ascii="Arial" w:hAnsi="Arial" w:cs="Arial"/>
          <w:sz w:val="24"/>
          <w:szCs w:val="24"/>
          <w:lang w:val="en-US"/>
        </w:rPr>
        <w:t>Second, h</w:t>
      </w:r>
      <w:r w:rsidR="00A30759" w:rsidRPr="00507C65">
        <w:rPr>
          <w:rFonts w:ascii="Arial" w:hAnsi="Arial" w:cs="Arial"/>
          <w:sz w:val="24"/>
          <w:szCs w:val="24"/>
          <w:lang w:val="en-US"/>
        </w:rPr>
        <w:t>e</w:t>
      </w:r>
      <w:r w:rsidR="00484F8C" w:rsidRPr="00507C65">
        <w:rPr>
          <w:rFonts w:ascii="Arial" w:hAnsi="Arial" w:cs="Arial"/>
          <w:sz w:val="24"/>
          <w:szCs w:val="24"/>
          <w:lang w:val="en-US"/>
        </w:rPr>
        <w:t xml:space="preserve"> </w:t>
      </w:r>
      <w:r w:rsidR="00366AE9" w:rsidRPr="00507C65">
        <w:rPr>
          <w:rFonts w:ascii="Arial" w:hAnsi="Arial" w:cs="Arial"/>
          <w:sz w:val="24"/>
          <w:szCs w:val="24"/>
          <w:lang w:val="en-US"/>
        </w:rPr>
        <w:t>argues</w:t>
      </w:r>
      <w:r w:rsidR="00484F8C" w:rsidRPr="00507C65">
        <w:rPr>
          <w:rFonts w:ascii="Arial" w:hAnsi="Arial" w:cs="Arial"/>
          <w:sz w:val="24"/>
          <w:szCs w:val="24"/>
          <w:lang w:val="en-US"/>
        </w:rPr>
        <w:t xml:space="preserve"> that </w:t>
      </w:r>
      <w:r w:rsidR="00E61A26" w:rsidRPr="00507C65">
        <w:rPr>
          <w:rFonts w:ascii="Arial" w:hAnsi="Arial" w:cs="Arial"/>
          <w:sz w:val="24"/>
          <w:szCs w:val="24"/>
          <w:lang w:val="en-US"/>
        </w:rPr>
        <w:t>the</w:t>
      </w:r>
      <w:r w:rsidR="00802077" w:rsidRPr="00507C65">
        <w:rPr>
          <w:rFonts w:ascii="Arial" w:hAnsi="Arial" w:cs="Arial"/>
          <w:sz w:val="24"/>
          <w:szCs w:val="24"/>
          <w:lang w:val="en-US"/>
        </w:rPr>
        <w:t xml:space="preserve"> application</w:t>
      </w:r>
      <w:r w:rsidR="00E61A26" w:rsidRPr="00507C65">
        <w:rPr>
          <w:rFonts w:ascii="Arial" w:hAnsi="Arial" w:cs="Arial"/>
          <w:sz w:val="24"/>
          <w:szCs w:val="24"/>
          <w:lang w:val="en-US"/>
        </w:rPr>
        <w:t xml:space="preserve"> is that of </w:t>
      </w:r>
      <w:r w:rsidR="008D497C" w:rsidRPr="00507C65">
        <w:rPr>
          <w:rFonts w:ascii="Arial" w:hAnsi="Arial" w:cs="Arial"/>
          <w:sz w:val="24"/>
          <w:szCs w:val="24"/>
          <w:lang w:val="en-US"/>
        </w:rPr>
        <w:t>Mystic River</w:t>
      </w:r>
      <w:r w:rsidR="002E1E6F" w:rsidRPr="00507C65">
        <w:rPr>
          <w:rFonts w:ascii="Arial" w:hAnsi="Arial" w:cs="Arial"/>
          <w:sz w:val="24"/>
          <w:szCs w:val="24"/>
          <w:lang w:val="en-US"/>
        </w:rPr>
        <w:t>,</w:t>
      </w:r>
      <w:r w:rsidR="008D497C" w:rsidRPr="00507C65">
        <w:rPr>
          <w:rFonts w:ascii="Arial" w:hAnsi="Arial" w:cs="Arial"/>
          <w:sz w:val="24"/>
          <w:szCs w:val="24"/>
          <w:lang w:val="en-US"/>
        </w:rPr>
        <w:t xml:space="preserve"> </w:t>
      </w:r>
      <w:r w:rsidR="004D22B2" w:rsidRPr="00507C65">
        <w:rPr>
          <w:rFonts w:ascii="Arial" w:hAnsi="Arial" w:cs="Arial"/>
          <w:sz w:val="24"/>
          <w:szCs w:val="24"/>
          <w:lang w:val="en-US"/>
        </w:rPr>
        <w:t>that</w:t>
      </w:r>
      <w:r w:rsidR="00601386" w:rsidRPr="00507C65">
        <w:rPr>
          <w:rFonts w:ascii="Arial" w:hAnsi="Arial" w:cs="Arial"/>
          <w:sz w:val="24"/>
          <w:szCs w:val="24"/>
          <w:lang w:val="en-US"/>
        </w:rPr>
        <w:t xml:space="preserve"> </w:t>
      </w:r>
      <w:r w:rsidR="00931A4F" w:rsidRPr="00507C65">
        <w:rPr>
          <w:rFonts w:ascii="Arial" w:hAnsi="Arial" w:cs="Arial"/>
          <w:sz w:val="24"/>
          <w:szCs w:val="24"/>
          <w:lang w:val="en-US"/>
        </w:rPr>
        <w:t>the application is for its</w:t>
      </w:r>
      <w:r w:rsidR="008D497C" w:rsidRPr="00507C65">
        <w:rPr>
          <w:rFonts w:ascii="Arial" w:hAnsi="Arial" w:cs="Arial"/>
          <w:sz w:val="24"/>
          <w:szCs w:val="24"/>
          <w:lang w:val="en-US"/>
        </w:rPr>
        <w:t xml:space="preserve"> benefit</w:t>
      </w:r>
      <w:r w:rsidR="00A80CD5" w:rsidRPr="00507C65">
        <w:rPr>
          <w:rFonts w:ascii="Arial" w:hAnsi="Arial" w:cs="Arial"/>
          <w:sz w:val="24"/>
          <w:szCs w:val="24"/>
          <w:lang w:val="en-US"/>
        </w:rPr>
        <w:t>,</w:t>
      </w:r>
      <w:r w:rsidR="00242F77" w:rsidRPr="00507C65">
        <w:rPr>
          <w:rFonts w:ascii="Arial" w:hAnsi="Arial" w:cs="Arial"/>
          <w:sz w:val="24"/>
          <w:szCs w:val="24"/>
          <w:lang w:val="en-US"/>
        </w:rPr>
        <w:t xml:space="preserve"> </w:t>
      </w:r>
      <w:r w:rsidR="00931A4F" w:rsidRPr="00507C65">
        <w:rPr>
          <w:rFonts w:ascii="Arial" w:hAnsi="Arial" w:cs="Arial"/>
          <w:sz w:val="24"/>
          <w:szCs w:val="24"/>
          <w:lang w:val="en-US"/>
        </w:rPr>
        <w:t xml:space="preserve">and </w:t>
      </w:r>
      <w:r w:rsidR="004D22B2" w:rsidRPr="00507C65">
        <w:rPr>
          <w:rFonts w:ascii="Arial" w:hAnsi="Arial" w:cs="Arial"/>
          <w:sz w:val="24"/>
          <w:szCs w:val="24"/>
          <w:lang w:val="en-US"/>
        </w:rPr>
        <w:t xml:space="preserve">that </w:t>
      </w:r>
      <w:r w:rsidR="00E273D9" w:rsidRPr="00507C65">
        <w:rPr>
          <w:rFonts w:ascii="Arial" w:hAnsi="Arial" w:cs="Arial"/>
          <w:sz w:val="24"/>
          <w:szCs w:val="24"/>
          <w:lang w:val="en-US"/>
        </w:rPr>
        <w:t xml:space="preserve">it </w:t>
      </w:r>
      <w:r w:rsidR="00931A4F" w:rsidRPr="00507C65">
        <w:rPr>
          <w:rFonts w:ascii="Arial" w:hAnsi="Arial" w:cs="Arial"/>
          <w:sz w:val="24"/>
          <w:szCs w:val="24"/>
          <w:lang w:val="en-US"/>
        </w:rPr>
        <w:t xml:space="preserve">should accordingly </w:t>
      </w:r>
      <w:r w:rsidR="00420B8C" w:rsidRPr="00507C65">
        <w:rPr>
          <w:rFonts w:ascii="Arial" w:hAnsi="Arial" w:cs="Arial"/>
          <w:sz w:val="24"/>
          <w:szCs w:val="24"/>
          <w:lang w:val="en-US"/>
        </w:rPr>
        <w:t xml:space="preserve">pay the costs if they arise. </w:t>
      </w:r>
      <w:r w:rsidR="00E273D9" w:rsidRPr="00507C65">
        <w:rPr>
          <w:rFonts w:ascii="Arial" w:hAnsi="Arial" w:cs="Arial"/>
          <w:sz w:val="24"/>
          <w:szCs w:val="24"/>
          <w:lang w:val="en-US"/>
        </w:rPr>
        <w:t>Third</w:t>
      </w:r>
      <w:r w:rsidR="00F1743A" w:rsidRPr="00507C65">
        <w:rPr>
          <w:rFonts w:ascii="Arial" w:hAnsi="Arial" w:cs="Arial"/>
          <w:sz w:val="24"/>
          <w:szCs w:val="24"/>
          <w:lang w:val="en-US"/>
        </w:rPr>
        <w:t>,</w:t>
      </w:r>
      <w:r w:rsidR="00291769" w:rsidRPr="00507C65">
        <w:rPr>
          <w:rFonts w:ascii="Arial" w:hAnsi="Arial" w:cs="Arial"/>
          <w:sz w:val="24"/>
          <w:szCs w:val="24"/>
          <w:lang w:val="en-US"/>
        </w:rPr>
        <w:t xml:space="preserve"> he states that</w:t>
      </w:r>
      <w:r w:rsidR="00F1743A" w:rsidRPr="00507C65">
        <w:rPr>
          <w:rFonts w:ascii="Arial" w:hAnsi="Arial" w:cs="Arial"/>
          <w:sz w:val="24"/>
          <w:szCs w:val="24"/>
          <w:lang w:val="en-US"/>
        </w:rPr>
        <w:t xml:space="preserve"> </w:t>
      </w:r>
      <w:r w:rsidR="00052CEC" w:rsidRPr="00507C65">
        <w:rPr>
          <w:rFonts w:ascii="Arial" w:hAnsi="Arial" w:cs="Arial"/>
          <w:sz w:val="24"/>
          <w:szCs w:val="24"/>
          <w:lang w:val="en-US"/>
        </w:rPr>
        <w:t>his involvement</w:t>
      </w:r>
      <w:r w:rsidR="00F1743A" w:rsidRPr="00507C65">
        <w:rPr>
          <w:rFonts w:ascii="Arial" w:hAnsi="Arial" w:cs="Arial"/>
          <w:sz w:val="24"/>
          <w:szCs w:val="24"/>
          <w:lang w:val="en-US"/>
        </w:rPr>
        <w:t xml:space="preserve"> </w:t>
      </w:r>
      <w:r w:rsidR="00052CEC" w:rsidRPr="00507C65">
        <w:rPr>
          <w:rFonts w:ascii="Arial" w:hAnsi="Arial" w:cs="Arial"/>
          <w:sz w:val="24"/>
          <w:szCs w:val="24"/>
          <w:lang w:val="en-US"/>
        </w:rPr>
        <w:t xml:space="preserve">does not expand </w:t>
      </w:r>
      <w:r w:rsidR="00E204A0" w:rsidRPr="00507C65">
        <w:rPr>
          <w:rFonts w:ascii="Arial" w:hAnsi="Arial" w:cs="Arial"/>
          <w:sz w:val="24"/>
          <w:szCs w:val="24"/>
          <w:lang w:val="en-US"/>
        </w:rPr>
        <w:t xml:space="preserve">the </w:t>
      </w:r>
      <w:r w:rsidR="00052CEC" w:rsidRPr="00507C65">
        <w:rPr>
          <w:rFonts w:ascii="Arial" w:hAnsi="Arial" w:cs="Arial"/>
          <w:sz w:val="24"/>
          <w:szCs w:val="24"/>
          <w:lang w:val="en-US"/>
        </w:rPr>
        <w:t xml:space="preserve">case </w:t>
      </w:r>
      <w:r w:rsidR="00601386" w:rsidRPr="00507C65">
        <w:rPr>
          <w:rFonts w:ascii="Arial" w:hAnsi="Arial" w:cs="Arial"/>
          <w:sz w:val="24"/>
          <w:szCs w:val="24"/>
          <w:lang w:val="en-US"/>
        </w:rPr>
        <w:t xml:space="preserve">or create additional costs </w:t>
      </w:r>
      <w:r w:rsidR="00767C12" w:rsidRPr="00507C65">
        <w:rPr>
          <w:rFonts w:ascii="Arial" w:hAnsi="Arial" w:cs="Arial"/>
          <w:sz w:val="24"/>
          <w:szCs w:val="24"/>
          <w:lang w:val="en-US"/>
        </w:rPr>
        <w:t xml:space="preserve">exposure for </w:t>
      </w:r>
      <w:r w:rsidR="003D0B95" w:rsidRPr="00507C65">
        <w:rPr>
          <w:rFonts w:ascii="Arial" w:hAnsi="Arial" w:cs="Arial"/>
          <w:sz w:val="24"/>
          <w:szCs w:val="24"/>
          <w:lang w:val="en-US"/>
        </w:rPr>
        <w:t>the respondents</w:t>
      </w:r>
      <w:r w:rsidR="009E6E88" w:rsidRPr="00507C65">
        <w:rPr>
          <w:rFonts w:ascii="Arial" w:hAnsi="Arial" w:cs="Arial"/>
          <w:sz w:val="24"/>
          <w:szCs w:val="24"/>
          <w:lang w:val="en-US"/>
        </w:rPr>
        <w:t xml:space="preserve"> as they would have to answer essentially the same case </w:t>
      </w:r>
      <w:r w:rsidR="004D22B2" w:rsidRPr="00507C65">
        <w:rPr>
          <w:rFonts w:ascii="Arial" w:hAnsi="Arial" w:cs="Arial"/>
          <w:sz w:val="24"/>
          <w:szCs w:val="24"/>
          <w:lang w:val="en-US"/>
        </w:rPr>
        <w:t xml:space="preserve">as </w:t>
      </w:r>
      <w:r w:rsidR="004119CF" w:rsidRPr="00507C65">
        <w:rPr>
          <w:rFonts w:ascii="Arial" w:hAnsi="Arial" w:cs="Arial"/>
          <w:sz w:val="24"/>
          <w:szCs w:val="24"/>
          <w:lang w:val="en-US"/>
        </w:rPr>
        <w:t xml:space="preserve">if Mystic River </w:t>
      </w:r>
      <w:r w:rsidR="004D22B2" w:rsidRPr="00507C65">
        <w:rPr>
          <w:rFonts w:ascii="Arial" w:hAnsi="Arial" w:cs="Arial"/>
          <w:sz w:val="24"/>
          <w:szCs w:val="24"/>
          <w:lang w:val="en-US"/>
        </w:rPr>
        <w:t>is</w:t>
      </w:r>
      <w:r w:rsidR="004119CF" w:rsidRPr="00507C65">
        <w:rPr>
          <w:rFonts w:ascii="Arial" w:hAnsi="Arial" w:cs="Arial"/>
          <w:sz w:val="24"/>
          <w:szCs w:val="24"/>
          <w:lang w:val="en-US"/>
        </w:rPr>
        <w:t xml:space="preserve"> the sole litigant</w:t>
      </w:r>
      <w:r w:rsidR="00786284" w:rsidRPr="00507C65">
        <w:rPr>
          <w:rFonts w:ascii="Arial" w:hAnsi="Arial" w:cs="Arial"/>
          <w:sz w:val="24"/>
          <w:szCs w:val="24"/>
          <w:lang w:val="en-US"/>
        </w:rPr>
        <w:t>,</w:t>
      </w:r>
      <w:r w:rsidR="00CB40C4" w:rsidRPr="00507C65">
        <w:rPr>
          <w:rFonts w:ascii="Arial" w:hAnsi="Arial" w:cs="Arial"/>
          <w:sz w:val="24"/>
          <w:szCs w:val="24"/>
          <w:lang w:val="en-US"/>
        </w:rPr>
        <w:t xml:space="preserve"> and the relief sought would be identical</w:t>
      </w:r>
      <w:r w:rsidR="00B56ABE" w:rsidRPr="00507C65">
        <w:rPr>
          <w:rFonts w:ascii="Arial" w:hAnsi="Arial" w:cs="Arial"/>
          <w:sz w:val="24"/>
          <w:szCs w:val="24"/>
          <w:lang w:val="en-US"/>
        </w:rPr>
        <w:t>.</w:t>
      </w:r>
    </w:p>
    <w:p w14:paraId="1A188A1E" w14:textId="77ACDF5C" w:rsidR="00EF360D" w:rsidRPr="00507C65" w:rsidRDefault="00EF360D" w:rsidP="00262CE3">
      <w:pPr>
        <w:spacing w:after="0" w:line="360" w:lineRule="auto"/>
        <w:jc w:val="both"/>
        <w:rPr>
          <w:rFonts w:ascii="Arial" w:hAnsi="Arial" w:cs="Arial"/>
          <w:sz w:val="24"/>
          <w:szCs w:val="24"/>
          <w:lang w:val="en-US"/>
        </w:rPr>
      </w:pPr>
    </w:p>
    <w:p w14:paraId="521C48F1" w14:textId="4D09AD74" w:rsidR="00EF360D" w:rsidRPr="00507C65" w:rsidRDefault="00FC7DE1"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w:t>
      </w:r>
      <w:r w:rsidR="00B14064" w:rsidRPr="00507C65">
        <w:rPr>
          <w:rFonts w:ascii="Arial" w:hAnsi="Arial" w:cs="Arial"/>
          <w:sz w:val="24"/>
          <w:szCs w:val="24"/>
          <w:lang w:val="en-US"/>
        </w:rPr>
        <w:t>1</w:t>
      </w:r>
      <w:r w:rsidR="005B5C57" w:rsidRPr="00507C65">
        <w:rPr>
          <w:rFonts w:ascii="Arial" w:hAnsi="Arial" w:cs="Arial"/>
          <w:sz w:val="24"/>
          <w:szCs w:val="24"/>
          <w:lang w:val="en-US"/>
        </w:rPr>
        <w:t>7</w:t>
      </w:r>
      <w:r w:rsidRPr="00507C65">
        <w:rPr>
          <w:rFonts w:ascii="Arial" w:hAnsi="Arial" w:cs="Arial"/>
          <w:sz w:val="24"/>
          <w:szCs w:val="24"/>
          <w:lang w:val="en-US"/>
        </w:rPr>
        <w:t>]</w:t>
      </w:r>
      <w:r w:rsidRPr="00507C65">
        <w:rPr>
          <w:rFonts w:ascii="Arial" w:hAnsi="Arial" w:cs="Arial"/>
          <w:sz w:val="24"/>
          <w:szCs w:val="24"/>
          <w:lang w:val="en-US"/>
        </w:rPr>
        <w:tab/>
      </w:r>
      <w:r w:rsidR="00EC69AA" w:rsidRPr="00507C65">
        <w:rPr>
          <w:rFonts w:ascii="Arial" w:hAnsi="Arial" w:cs="Arial"/>
          <w:sz w:val="24"/>
          <w:szCs w:val="24"/>
          <w:lang w:val="en-US"/>
        </w:rPr>
        <w:t xml:space="preserve">These contentions are unacceptable. </w:t>
      </w:r>
      <w:r w:rsidR="00E1214B" w:rsidRPr="00507C65">
        <w:rPr>
          <w:rFonts w:ascii="Arial" w:hAnsi="Arial" w:cs="Arial"/>
          <w:sz w:val="24"/>
          <w:szCs w:val="24"/>
          <w:lang w:val="en-US"/>
        </w:rPr>
        <w:t xml:space="preserve">The </w:t>
      </w:r>
      <w:r w:rsidR="00EC69AA" w:rsidRPr="00507C65">
        <w:rPr>
          <w:rFonts w:ascii="Arial" w:hAnsi="Arial" w:cs="Arial"/>
          <w:sz w:val="24"/>
          <w:szCs w:val="24"/>
          <w:lang w:val="en-US"/>
        </w:rPr>
        <w:t>se</w:t>
      </w:r>
      <w:r w:rsidR="00E1214B" w:rsidRPr="00507C65">
        <w:rPr>
          <w:rFonts w:ascii="Arial" w:hAnsi="Arial" w:cs="Arial"/>
          <w:sz w:val="24"/>
          <w:szCs w:val="24"/>
          <w:lang w:val="en-US"/>
        </w:rPr>
        <w:t>c</w:t>
      </w:r>
      <w:r w:rsidR="00EC69AA" w:rsidRPr="00507C65">
        <w:rPr>
          <w:rFonts w:ascii="Arial" w:hAnsi="Arial" w:cs="Arial"/>
          <w:sz w:val="24"/>
          <w:szCs w:val="24"/>
          <w:lang w:val="en-US"/>
        </w:rPr>
        <w:t>ond appellant alleges that a funding and profit share agreement exists between him in his personal capacity and entities under his control, on the one hand, and the Moosa brothers</w:t>
      </w:r>
      <w:r w:rsidR="006663E6" w:rsidRPr="00507C65">
        <w:rPr>
          <w:rFonts w:ascii="Arial" w:hAnsi="Arial" w:cs="Arial"/>
          <w:sz w:val="24"/>
          <w:szCs w:val="24"/>
          <w:lang w:val="en-US"/>
        </w:rPr>
        <w:t>,</w:t>
      </w:r>
      <w:r w:rsidR="00EC69AA" w:rsidRPr="00507C65">
        <w:rPr>
          <w:rFonts w:ascii="Arial" w:hAnsi="Arial" w:cs="Arial"/>
          <w:sz w:val="24"/>
          <w:szCs w:val="24"/>
          <w:lang w:val="en-US"/>
        </w:rPr>
        <w:t xml:space="preserve"> on the other, in terms of which the second appellant and his entities would be entitled to 50</w:t>
      </w:r>
      <w:r w:rsidR="00940E51" w:rsidRPr="00507C65">
        <w:rPr>
          <w:rFonts w:ascii="Arial" w:hAnsi="Arial" w:cs="Arial"/>
          <w:sz w:val="24"/>
          <w:szCs w:val="24"/>
          <w:lang w:val="en-US"/>
        </w:rPr>
        <w:t xml:space="preserve"> per cent profit in respect of the development of any property by Mystic River. On his own showing, one of the main purposes of the main application is to retain funds in</w:t>
      </w:r>
      <w:r w:rsidR="00C820EE" w:rsidRPr="00507C65">
        <w:rPr>
          <w:rFonts w:ascii="Arial" w:hAnsi="Arial" w:cs="Arial"/>
          <w:sz w:val="24"/>
          <w:szCs w:val="24"/>
          <w:lang w:val="en-US"/>
        </w:rPr>
        <w:t>,</w:t>
      </w:r>
      <w:r w:rsidR="00940E51" w:rsidRPr="00507C65">
        <w:rPr>
          <w:rFonts w:ascii="Arial" w:hAnsi="Arial" w:cs="Arial"/>
          <w:sz w:val="24"/>
          <w:szCs w:val="24"/>
          <w:lang w:val="en-US"/>
        </w:rPr>
        <w:t xml:space="preserve"> or return funds to</w:t>
      </w:r>
      <w:r w:rsidR="00C820EE" w:rsidRPr="00507C65">
        <w:rPr>
          <w:rFonts w:ascii="Arial" w:hAnsi="Arial" w:cs="Arial"/>
          <w:sz w:val="24"/>
          <w:szCs w:val="24"/>
          <w:lang w:val="en-US"/>
        </w:rPr>
        <w:t>,</w:t>
      </w:r>
      <w:r w:rsidR="00940E51" w:rsidRPr="00507C65">
        <w:rPr>
          <w:rFonts w:ascii="Arial" w:hAnsi="Arial" w:cs="Arial"/>
          <w:sz w:val="24"/>
          <w:szCs w:val="24"/>
          <w:lang w:val="en-US"/>
        </w:rPr>
        <w:t xml:space="preserve"> Mystic River for the second appellant and the entities under his control to claim 50 per cent profit in respect of the development of property by Mystic </w:t>
      </w:r>
      <w:r w:rsidR="006663E6" w:rsidRPr="00507C65">
        <w:rPr>
          <w:rFonts w:ascii="Arial" w:hAnsi="Arial" w:cs="Arial"/>
          <w:sz w:val="24"/>
          <w:szCs w:val="24"/>
          <w:lang w:val="en-US"/>
        </w:rPr>
        <w:t>River</w:t>
      </w:r>
      <w:r w:rsidR="00940E51" w:rsidRPr="00507C65">
        <w:rPr>
          <w:rFonts w:ascii="Arial" w:hAnsi="Arial" w:cs="Arial"/>
          <w:sz w:val="24"/>
          <w:szCs w:val="24"/>
          <w:lang w:val="en-US"/>
        </w:rPr>
        <w:t xml:space="preserve">. </w:t>
      </w:r>
      <w:r w:rsidR="006663E6" w:rsidRPr="00507C65">
        <w:rPr>
          <w:rFonts w:ascii="Arial" w:hAnsi="Arial" w:cs="Arial"/>
          <w:sz w:val="24"/>
          <w:szCs w:val="24"/>
          <w:lang w:val="en-US"/>
        </w:rPr>
        <w:t>However, t</w:t>
      </w:r>
      <w:r w:rsidR="00940E51" w:rsidRPr="00507C65">
        <w:rPr>
          <w:rFonts w:ascii="Arial" w:hAnsi="Arial" w:cs="Arial"/>
          <w:sz w:val="24"/>
          <w:szCs w:val="24"/>
          <w:lang w:val="en-US"/>
        </w:rPr>
        <w:t xml:space="preserve">he Moosa brothers claim to be the ultimate shareholders or beneficial owners of Mystic River. The second appellant did not dispute this under oath. Therefore, should </w:t>
      </w:r>
      <w:r w:rsidR="006663E6" w:rsidRPr="00507C65">
        <w:rPr>
          <w:rFonts w:ascii="Arial" w:hAnsi="Arial" w:cs="Arial"/>
          <w:sz w:val="24"/>
          <w:szCs w:val="24"/>
          <w:lang w:val="en-US"/>
        </w:rPr>
        <w:t>the second appellant not be ordered to furnish security for costs and</w:t>
      </w:r>
      <w:r w:rsidR="008A6718" w:rsidRPr="00507C65">
        <w:rPr>
          <w:rFonts w:ascii="Arial" w:hAnsi="Arial" w:cs="Arial"/>
          <w:sz w:val="24"/>
          <w:szCs w:val="24"/>
          <w:lang w:val="en-US"/>
        </w:rPr>
        <w:t xml:space="preserve"> should</w:t>
      </w:r>
      <w:r w:rsidR="006663E6" w:rsidRPr="00507C65">
        <w:rPr>
          <w:rFonts w:ascii="Arial" w:hAnsi="Arial" w:cs="Arial"/>
          <w:sz w:val="24"/>
          <w:szCs w:val="24"/>
          <w:lang w:val="en-US"/>
        </w:rPr>
        <w:t xml:space="preserve"> </w:t>
      </w:r>
      <w:r w:rsidR="00940E51" w:rsidRPr="00507C65">
        <w:rPr>
          <w:rFonts w:ascii="Arial" w:hAnsi="Arial" w:cs="Arial"/>
          <w:sz w:val="24"/>
          <w:szCs w:val="24"/>
          <w:lang w:val="en-US"/>
        </w:rPr>
        <w:t>the m</w:t>
      </w:r>
      <w:r w:rsidR="007659FD" w:rsidRPr="00507C65">
        <w:rPr>
          <w:rFonts w:ascii="Arial" w:hAnsi="Arial" w:cs="Arial"/>
          <w:sz w:val="24"/>
          <w:szCs w:val="24"/>
          <w:lang w:val="en-US"/>
        </w:rPr>
        <w:t>ain application fail</w:t>
      </w:r>
      <w:r w:rsidR="006663E6" w:rsidRPr="00507C65">
        <w:rPr>
          <w:rFonts w:ascii="Arial" w:hAnsi="Arial" w:cs="Arial"/>
          <w:sz w:val="24"/>
          <w:szCs w:val="24"/>
          <w:lang w:val="en-US"/>
        </w:rPr>
        <w:t xml:space="preserve">, </w:t>
      </w:r>
      <w:r w:rsidR="00610321" w:rsidRPr="00507C65">
        <w:rPr>
          <w:rFonts w:ascii="Arial" w:hAnsi="Arial" w:cs="Arial"/>
          <w:sz w:val="24"/>
          <w:szCs w:val="24"/>
          <w:lang w:val="en-US"/>
        </w:rPr>
        <w:t>the effect might</w:t>
      </w:r>
      <w:r w:rsidR="006663E6" w:rsidRPr="00507C65">
        <w:rPr>
          <w:rFonts w:ascii="Arial" w:hAnsi="Arial" w:cs="Arial"/>
          <w:sz w:val="24"/>
          <w:szCs w:val="24"/>
          <w:lang w:val="en-US"/>
        </w:rPr>
        <w:t xml:space="preserve"> </w:t>
      </w:r>
      <w:r w:rsidR="00CC2BA8" w:rsidRPr="00507C65">
        <w:rPr>
          <w:rFonts w:ascii="Arial" w:hAnsi="Arial" w:cs="Arial"/>
          <w:sz w:val="24"/>
          <w:szCs w:val="24"/>
          <w:lang w:val="en-US"/>
        </w:rPr>
        <w:t xml:space="preserve">well </w:t>
      </w:r>
      <w:r w:rsidR="006663E6" w:rsidRPr="00507C65">
        <w:rPr>
          <w:rFonts w:ascii="Arial" w:hAnsi="Arial" w:cs="Arial"/>
          <w:sz w:val="24"/>
          <w:szCs w:val="24"/>
          <w:lang w:val="en-US"/>
        </w:rPr>
        <w:t xml:space="preserve">be that </w:t>
      </w:r>
      <w:r w:rsidR="00940E51" w:rsidRPr="00507C65">
        <w:rPr>
          <w:rFonts w:ascii="Arial" w:hAnsi="Arial" w:cs="Arial"/>
          <w:sz w:val="24"/>
          <w:szCs w:val="24"/>
          <w:lang w:val="en-US"/>
        </w:rPr>
        <w:t>the M</w:t>
      </w:r>
      <w:r w:rsidR="006663E6" w:rsidRPr="00507C65">
        <w:rPr>
          <w:rFonts w:ascii="Arial" w:hAnsi="Arial" w:cs="Arial"/>
          <w:sz w:val="24"/>
          <w:szCs w:val="24"/>
          <w:lang w:val="en-US"/>
        </w:rPr>
        <w:t xml:space="preserve">oosa brothers would </w:t>
      </w:r>
      <w:r w:rsidR="00610321" w:rsidRPr="00507C65">
        <w:rPr>
          <w:rFonts w:ascii="Arial" w:hAnsi="Arial" w:cs="Arial"/>
          <w:sz w:val="24"/>
          <w:szCs w:val="24"/>
          <w:lang w:val="en-US"/>
        </w:rPr>
        <w:t>(</w:t>
      </w:r>
      <w:r w:rsidR="006663E6" w:rsidRPr="00507C65">
        <w:rPr>
          <w:rFonts w:ascii="Arial" w:hAnsi="Arial" w:cs="Arial"/>
          <w:sz w:val="24"/>
          <w:szCs w:val="24"/>
          <w:lang w:val="en-US"/>
        </w:rPr>
        <w:t>through Mystic River</w:t>
      </w:r>
      <w:r w:rsidR="00610321" w:rsidRPr="00507C65">
        <w:rPr>
          <w:rFonts w:ascii="Arial" w:hAnsi="Arial" w:cs="Arial"/>
          <w:sz w:val="24"/>
          <w:szCs w:val="24"/>
          <w:lang w:val="en-US"/>
        </w:rPr>
        <w:t>)</w:t>
      </w:r>
      <w:r w:rsidR="006663E6" w:rsidRPr="00507C65">
        <w:rPr>
          <w:rFonts w:ascii="Arial" w:hAnsi="Arial" w:cs="Arial"/>
          <w:sz w:val="24"/>
          <w:szCs w:val="24"/>
          <w:lang w:val="en-US"/>
        </w:rPr>
        <w:t xml:space="preserve"> bear the costs of </w:t>
      </w:r>
      <w:r w:rsidR="00940E51" w:rsidRPr="00507C65">
        <w:rPr>
          <w:rFonts w:ascii="Arial" w:hAnsi="Arial" w:cs="Arial"/>
          <w:sz w:val="24"/>
          <w:szCs w:val="24"/>
          <w:lang w:val="en-US"/>
        </w:rPr>
        <w:t>unsuccessful litigation brought against the respond</w:t>
      </w:r>
      <w:r w:rsidR="006663E6" w:rsidRPr="00507C65">
        <w:rPr>
          <w:rFonts w:ascii="Arial" w:hAnsi="Arial" w:cs="Arial"/>
          <w:sz w:val="24"/>
          <w:szCs w:val="24"/>
          <w:lang w:val="en-US"/>
        </w:rPr>
        <w:t>ents by and for</w:t>
      </w:r>
      <w:r w:rsidR="00940E51" w:rsidRPr="00507C65">
        <w:rPr>
          <w:rFonts w:ascii="Arial" w:hAnsi="Arial" w:cs="Arial"/>
          <w:sz w:val="24"/>
          <w:szCs w:val="24"/>
          <w:lang w:val="en-US"/>
        </w:rPr>
        <w:t xml:space="preserve"> the ben</w:t>
      </w:r>
      <w:r w:rsidR="000C0D30" w:rsidRPr="00507C65">
        <w:rPr>
          <w:rFonts w:ascii="Arial" w:hAnsi="Arial" w:cs="Arial"/>
          <w:sz w:val="24"/>
          <w:szCs w:val="24"/>
          <w:lang w:val="en-US"/>
        </w:rPr>
        <w:t>efit of the second appellant.</w:t>
      </w:r>
    </w:p>
    <w:p w14:paraId="743C46C7" w14:textId="77777777" w:rsidR="007659FD" w:rsidRPr="00507C65" w:rsidRDefault="007659FD" w:rsidP="00262CE3">
      <w:pPr>
        <w:spacing w:after="0" w:line="360" w:lineRule="auto"/>
        <w:jc w:val="both"/>
        <w:rPr>
          <w:rFonts w:ascii="Arial" w:hAnsi="Arial" w:cs="Arial"/>
          <w:sz w:val="24"/>
          <w:szCs w:val="24"/>
          <w:lang w:val="en-US"/>
        </w:rPr>
      </w:pPr>
    </w:p>
    <w:p w14:paraId="6DB38061" w14:textId="46778BDC" w:rsidR="007659FD" w:rsidRPr="00507C65" w:rsidRDefault="007659FD" w:rsidP="00262CE3">
      <w:pPr>
        <w:spacing w:after="0" w:line="360" w:lineRule="auto"/>
        <w:jc w:val="both"/>
        <w:rPr>
          <w:rFonts w:ascii="Arial" w:hAnsi="Arial" w:cs="Arial"/>
          <w:sz w:val="24"/>
          <w:szCs w:val="24"/>
        </w:rPr>
      </w:pPr>
      <w:r w:rsidRPr="00507C65">
        <w:rPr>
          <w:rFonts w:ascii="Arial" w:hAnsi="Arial" w:cs="Arial"/>
          <w:sz w:val="24"/>
          <w:szCs w:val="24"/>
          <w:lang w:val="en-US"/>
        </w:rPr>
        <w:t>[</w:t>
      </w:r>
      <w:r w:rsidR="00576573" w:rsidRPr="00507C65">
        <w:rPr>
          <w:rFonts w:ascii="Arial" w:hAnsi="Arial" w:cs="Arial"/>
          <w:sz w:val="24"/>
          <w:szCs w:val="24"/>
          <w:lang w:val="en-US"/>
        </w:rPr>
        <w:t>18</w:t>
      </w:r>
      <w:r w:rsidRPr="00507C65">
        <w:rPr>
          <w:rFonts w:ascii="Arial" w:hAnsi="Arial" w:cs="Arial"/>
          <w:sz w:val="24"/>
          <w:szCs w:val="24"/>
          <w:lang w:val="en-US"/>
        </w:rPr>
        <w:t>]</w:t>
      </w:r>
      <w:r w:rsidRPr="00507C65">
        <w:rPr>
          <w:rFonts w:ascii="Arial" w:hAnsi="Arial" w:cs="Arial"/>
          <w:sz w:val="24"/>
          <w:szCs w:val="24"/>
          <w:lang w:val="en-US"/>
        </w:rPr>
        <w:tab/>
        <w:t>The second appellant</w:t>
      </w:r>
      <w:r w:rsidRPr="00507C65">
        <w:rPr>
          <w:rFonts w:ascii="Arial" w:hAnsi="Arial" w:cs="Arial"/>
          <w:sz w:val="24"/>
          <w:szCs w:val="24"/>
        </w:rPr>
        <w:t xml:space="preserve"> states that the respondents may recover their costs from him in the UK or Portugal as the legal systems in those </w:t>
      </w:r>
      <w:r w:rsidR="00357F63" w:rsidRPr="00507C65">
        <w:rPr>
          <w:rFonts w:ascii="Arial" w:hAnsi="Arial" w:cs="Arial"/>
          <w:sz w:val="24"/>
          <w:szCs w:val="24"/>
        </w:rPr>
        <w:t>countries would allow</w:t>
      </w:r>
      <w:r w:rsidRPr="00507C65">
        <w:rPr>
          <w:rFonts w:ascii="Arial" w:hAnsi="Arial" w:cs="Arial"/>
          <w:sz w:val="24"/>
          <w:szCs w:val="24"/>
        </w:rPr>
        <w:t xml:space="preserve"> enforce</w:t>
      </w:r>
      <w:r w:rsidR="00610321" w:rsidRPr="00507C65">
        <w:rPr>
          <w:rFonts w:ascii="Arial" w:hAnsi="Arial" w:cs="Arial"/>
          <w:sz w:val="24"/>
          <w:szCs w:val="24"/>
        </w:rPr>
        <w:t>ment of South African</w:t>
      </w:r>
      <w:r w:rsidRPr="00507C65">
        <w:rPr>
          <w:rFonts w:ascii="Arial" w:hAnsi="Arial" w:cs="Arial"/>
          <w:sz w:val="24"/>
          <w:szCs w:val="24"/>
        </w:rPr>
        <w:t xml:space="preserve"> cost orders. This implies that he can afford any costs order that may be ordered. Whilst it would not be impossible for the respondents to enforce any costs order against the second app</w:t>
      </w:r>
      <w:r w:rsidR="00C820EE" w:rsidRPr="00507C65">
        <w:rPr>
          <w:rFonts w:ascii="Arial" w:hAnsi="Arial" w:cs="Arial"/>
          <w:sz w:val="24"/>
          <w:szCs w:val="24"/>
        </w:rPr>
        <w:t>ellant</w:t>
      </w:r>
      <w:r w:rsidRPr="00507C65">
        <w:rPr>
          <w:rFonts w:ascii="Arial" w:hAnsi="Arial" w:cs="Arial"/>
          <w:sz w:val="24"/>
          <w:szCs w:val="24"/>
        </w:rPr>
        <w:t xml:space="preserve"> abroad, the respondents will have to incur increased expenses</w:t>
      </w:r>
      <w:r w:rsidRPr="00507C65">
        <w:rPr>
          <w:rFonts w:ascii="Arial" w:hAnsi="Arial" w:cs="Arial"/>
          <w:sz w:val="24"/>
          <w:szCs w:val="24"/>
          <w:lang w:val="en-US"/>
        </w:rPr>
        <w:t xml:space="preserve"> and be subjected to uncertainty and inconvenience, </w:t>
      </w:r>
      <w:r w:rsidRPr="00507C65">
        <w:rPr>
          <w:rFonts w:ascii="Arial" w:hAnsi="Arial" w:cs="Arial"/>
          <w:sz w:val="24"/>
          <w:szCs w:val="24"/>
          <w:lang w:val="en-US"/>
        </w:rPr>
        <w:lastRenderedPageBreak/>
        <w:t xml:space="preserve">which </w:t>
      </w:r>
      <w:r w:rsidRPr="00507C65">
        <w:rPr>
          <w:rFonts w:ascii="Arial" w:hAnsi="Arial" w:cs="Arial"/>
          <w:sz w:val="24"/>
          <w:szCs w:val="24"/>
        </w:rPr>
        <w:t xml:space="preserve">has been found by this Court to be one of the fundamental reasons why a </w:t>
      </w:r>
      <w:r w:rsidRPr="00507C65">
        <w:rPr>
          <w:rFonts w:ascii="Arial" w:hAnsi="Arial" w:cs="Arial"/>
          <w:i/>
          <w:sz w:val="24"/>
          <w:szCs w:val="24"/>
        </w:rPr>
        <w:t>peregrinus</w:t>
      </w:r>
      <w:r w:rsidRPr="00507C65">
        <w:rPr>
          <w:rFonts w:ascii="Arial" w:hAnsi="Arial" w:cs="Arial"/>
          <w:sz w:val="24"/>
          <w:szCs w:val="24"/>
        </w:rPr>
        <w:t xml:space="preserve"> should provide security</w:t>
      </w:r>
      <w:r w:rsidR="00B646FD" w:rsidRPr="00507C65">
        <w:rPr>
          <w:rFonts w:ascii="Arial" w:hAnsi="Arial" w:cs="Arial"/>
          <w:sz w:val="24"/>
          <w:szCs w:val="24"/>
        </w:rPr>
        <w:t>.</w:t>
      </w:r>
      <w:r w:rsidRPr="00507C65">
        <w:rPr>
          <w:rFonts w:ascii="Arial" w:hAnsi="Arial" w:cs="Arial"/>
          <w:sz w:val="24"/>
          <w:szCs w:val="24"/>
          <w:vertAlign w:val="superscript"/>
        </w:rPr>
        <w:footnoteReference w:id="15"/>
      </w:r>
      <w:r w:rsidRPr="00507C65">
        <w:rPr>
          <w:rFonts w:ascii="Arial" w:hAnsi="Arial" w:cs="Arial"/>
          <w:sz w:val="24"/>
          <w:szCs w:val="24"/>
        </w:rPr>
        <w:t xml:space="preserve"> </w:t>
      </w:r>
    </w:p>
    <w:p w14:paraId="68CCB1FC" w14:textId="1CC6C1E1" w:rsidR="00B14064" w:rsidRPr="00507C65" w:rsidRDefault="00B14064" w:rsidP="00262CE3">
      <w:pPr>
        <w:spacing w:after="0" w:line="360" w:lineRule="auto"/>
        <w:jc w:val="both"/>
        <w:rPr>
          <w:rFonts w:ascii="Arial" w:hAnsi="Arial" w:cs="Arial"/>
          <w:sz w:val="24"/>
          <w:szCs w:val="24"/>
          <w:lang w:val="en-US"/>
        </w:rPr>
      </w:pPr>
    </w:p>
    <w:p w14:paraId="1008A3F1" w14:textId="4A461CDE" w:rsidR="00B14064" w:rsidRPr="00507C65" w:rsidRDefault="00B14064"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w:t>
      </w:r>
      <w:r w:rsidR="00576573" w:rsidRPr="00507C65">
        <w:rPr>
          <w:rFonts w:ascii="Arial" w:hAnsi="Arial" w:cs="Arial"/>
          <w:sz w:val="24"/>
          <w:szCs w:val="24"/>
          <w:lang w:val="en-US"/>
        </w:rPr>
        <w:t>19</w:t>
      </w:r>
      <w:r w:rsidRPr="00507C65">
        <w:rPr>
          <w:rFonts w:ascii="Arial" w:hAnsi="Arial" w:cs="Arial"/>
          <w:sz w:val="24"/>
          <w:szCs w:val="24"/>
          <w:lang w:val="en-US"/>
        </w:rPr>
        <w:t>]</w:t>
      </w:r>
      <w:r w:rsidRPr="00507C65">
        <w:rPr>
          <w:rFonts w:ascii="Arial" w:hAnsi="Arial" w:cs="Arial"/>
          <w:sz w:val="24"/>
          <w:szCs w:val="24"/>
          <w:lang w:val="en-US"/>
        </w:rPr>
        <w:tab/>
        <w:t>In th</w:t>
      </w:r>
      <w:r w:rsidR="007659FD" w:rsidRPr="00507C65">
        <w:rPr>
          <w:rFonts w:ascii="Arial" w:hAnsi="Arial" w:cs="Arial"/>
          <w:sz w:val="24"/>
          <w:szCs w:val="24"/>
          <w:lang w:val="en-US"/>
        </w:rPr>
        <w:t>e</w:t>
      </w:r>
      <w:r w:rsidRPr="00507C65">
        <w:rPr>
          <w:rFonts w:ascii="Arial" w:hAnsi="Arial" w:cs="Arial"/>
          <w:sz w:val="24"/>
          <w:szCs w:val="24"/>
          <w:lang w:val="en-US"/>
        </w:rPr>
        <w:t xml:space="preserve"> final analysis</w:t>
      </w:r>
      <w:r w:rsidR="00786284" w:rsidRPr="00507C65">
        <w:rPr>
          <w:rFonts w:ascii="Arial" w:hAnsi="Arial" w:cs="Arial"/>
          <w:sz w:val="24"/>
          <w:szCs w:val="24"/>
          <w:lang w:val="en-US"/>
        </w:rPr>
        <w:t>,</w:t>
      </w:r>
      <w:r w:rsidRPr="00507C65">
        <w:rPr>
          <w:rFonts w:ascii="Arial" w:hAnsi="Arial" w:cs="Arial"/>
          <w:sz w:val="24"/>
          <w:szCs w:val="24"/>
          <w:lang w:val="en-US"/>
        </w:rPr>
        <w:t xml:space="preserve"> the balancing exercise referred to in </w:t>
      </w:r>
      <w:r w:rsidRPr="00507C65">
        <w:rPr>
          <w:rFonts w:ascii="Arial" w:hAnsi="Arial" w:cs="Arial"/>
          <w:i/>
          <w:sz w:val="24"/>
          <w:szCs w:val="24"/>
          <w:lang w:val="en-US"/>
        </w:rPr>
        <w:t>Shepstone &amp; Wylie</w:t>
      </w:r>
      <w:r w:rsidRPr="00507C65">
        <w:rPr>
          <w:rFonts w:ascii="Arial" w:hAnsi="Arial" w:cs="Arial"/>
          <w:sz w:val="24"/>
          <w:szCs w:val="24"/>
          <w:lang w:val="en-US"/>
        </w:rPr>
        <w:t xml:space="preserve"> amounts to this. </w:t>
      </w:r>
      <w:bookmarkStart w:id="7" w:name="_Hlk132571760"/>
      <w:r w:rsidRPr="00507C65">
        <w:rPr>
          <w:rFonts w:ascii="Arial" w:hAnsi="Arial" w:cs="Arial"/>
          <w:sz w:val="24"/>
          <w:szCs w:val="24"/>
          <w:lang w:val="en-US"/>
        </w:rPr>
        <w:t>The second appellant does not plead poverty. He does not complain that an order of security would cause an injustice in the sense that it would prevent him from pursuing the main application. There is</w:t>
      </w:r>
      <w:r w:rsidR="00786284" w:rsidRPr="00507C65">
        <w:rPr>
          <w:rFonts w:ascii="Arial" w:hAnsi="Arial" w:cs="Arial"/>
          <w:sz w:val="24"/>
          <w:szCs w:val="24"/>
          <w:lang w:val="en-US"/>
        </w:rPr>
        <w:t>,</w:t>
      </w:r>
      <w:r w:rsidRPr="00507C65">
        <w:rPr>
          <w:rFonts w:ascii="Arial" w:hAnsi="Arial" w:cs="Arial"/>
          <w:sz w:val="24"/>
          <w:szCs w:val="24"/>
          <w:lang w:val="en-US"/>
        </w:rPr>
        <w:t xml:space="preserve"> thus</w:t>
      </w:r>
      <w:r w:rsidR="00786284" w:rsidRPr="00507C65">
        <w:rPr>
          <w:rFonts w:ascii="Arial" w:hAnsi="Arial" w:cs="Arial"/>
          <w:sz w:val="24"/>
          <w:szCs w:val="24"/>
          <w:lang w:val="en-US"/>
        </w:rPr>
        <w:t>,</w:t>
      </w:r>
      <w:r w:rsidRPr="00507C65">
        <w:rPr>
          <w:rFonts w:ascii="Arial" w:hAnsi="Arial" w:cs="Arial"/>
          <w:sz w:val="24"/>
          <w:szCs w:val="24"/>
          <w:lang w:val="en-US"/>
        </w:rPr>
        <w:t xml:space="preserve"> nothing really o</w:t>
      </w:r>
      <w:r w:rsidR="007659FD" w:rsidRPr="00507C65">
        <w:rPr>
          <w:rFonts w:ascii="Arial" w:hAnsi="Arial" w:cs="Arial"/>
          <w:sz w:val="24"/>
          <w:szCs w:val="24"/>
          <w:lang w:val="en-US"/>
        </w:rPr>
        <w:t>n his</w:t>
      </w:r>
      <w:r w:rsidRPr="00507C65">
        <w:rPr>
          <w:rFonts w:ascii="Arial" w:hAnsi="Arial" w:cs="Arial"/>
          <w:sz w:val="24"/>
          <w:szCs w:val="24"/>
          <w:lang w:val="en-US"/>
        </w:rPr>
        <w:t xml:space="preserve"> side of the scale. But if no security is ordered and there is a cost order against the second appellant (whether jointly </w:t>
      </w:r>
      <w:r w:rsidR="00786284" w:rsidRPr="00507C65">
        <w:rPr>
          <w:rFonts w:ascii="Arial" w:hAnsi="Arial" w:cs="Arial"/>
          <w:sz w:val="24"/>
          <w:szCs w:val="24"/>
          <w:lang w:val="en-US"/>
        </w:rPr>
        <w:t>or</w:t>
      </w:r>
      <w:r w:rsidRPr="00507C65">
        <w:rPr>
          <w:rFonts w:ascii="Arial" w:hAnsi="Arial" w:cs="Arial"/>
          <w:sz w:val="24"/>
          <w:szCs w:val="24"/>
          <w:lang w:val="en-US"/>
        </w:rPr>
        <w:t xml:space="preserve"> severally with Mystic River or not)</w:t>
      </w:r>
      <w:r w:rsidR="00786284" w:rsidRPr="00507C65">
        <w:rPr>
          <w:rFonts w:ascii="Arial" w:hAnsi="Arial" w:cs="Arial"/>
          <w:sz w:val="24"/>
          <w:szCs w:val="24"/>
          <w:lang w:val="en-US"/>
        </w:rPr>
        <w:t>,</w:t>
      </w:r>
      <w:r w:rsidRPr="00507C65">
        <w:rPr>
          <w:rFonts w:ascii="Arial" w:hAnsi="Arial" w:cs="Arial"/>
          <w:sz w:val="24"/>
          <w:szCs w:val="24"/>
          <w:lang w:val="en-US"/>
        </w:rPr>
        <w:t xml:space="preserve"> the respondents would suffer the inconvenience, delay and additional costs involved in enforcing a cost order </w:t>
      </w:r>
      <w:r w:rsidR="00786284" w:rsidRPr="00507C65">
        <w:rPr>
          <w:rFonts w:ascii="Arial" w:hAnsi="Arial" w:cs="Arial"/>
          <w:sz w:val="24"/>
          <w:szCs w:val="24"/>
          <w:lang w:val="en-US"/>
        </w:rPr>
        <w:t xml:space="preserve">in </w:t>
      </w:r>
      <w:r w:rsidRPr="00507C65">
        <w:rPr>
          <w:rFonts w:ascii="Arial" w:hAnsi="Arial" w:cs="Arial"/>
          <w:sz w:val="24"/>
          <w:szCs w:val="24"/>
          <w:lang w:val="en-US"/>
        </w:rPr>
        <w:t xml:space="preserve">a foreign jurisdiction.  </w:t>
      </w:r>
    </w:p>
    <w:bookmarkEnd w:id="7"/>
    <w:p w14:paraId="26DA4154" w14:textId="2C4DF9E4" w:rsidR="00FC7DE1" w:rsidRPr="00507C65" w:rsidRDefault="00FC7DE1" w:rsidP="00C820EE">
      <w:pPr>
        <w:spacing w:after="0" w:line="360" w:lineRule="auto"/>
        <w:jc w:val="both"/>
        <w:rPr>
          <w:rFonts w:ascii="Arial" w:hAnsi="Arial" w:cs="Arial"/>
          <w:sz w:val="24"/>
          <w:szCs w:val="24"/>
          <w:lang w:val="en-US"/>
        </w:rPr>
      </w:pPr>
    </w:p>
    <w:p w14:paraId="12C6AFF1" w14:textId="15053935" w:rsidR="00092DAF" w:rsidRPr="00507C65" w:rsidRDefault="0008395A" w:rsidP="00262CE3">
      <w:pPr>
        <w:spacing w:after="0" w:line="360" w:lineRule="auto"/>
        <w:jc w:val="both"/>
        <w:rPr>
          <w:rFonts w:ascii="Arial" w:hAnsi="Arial" w:cs="Arial"/>
          <w:sz w:val="24"/>
          <w:szCs w:val="24"/>
        </w:rPr>
      </w:pPr>
      <w:r w:rsidRPr="00507C65">
        <w:rPr>
          <w:rFonts w:ascii="Arial" w:hAnsi="Arial" w:cs="Arial"/>
          <w:sz w:val="24"/>
          <w:szCs w:val="24"/>
          <w:lang w:val="en-US"/>
        </w:rPr>
        <w:t>[</w:t>
      </w:r>
      <w:r w:rsidR="00576573" w:rsidRPr="00507C65">
        <w:rPr>
          <w:rFonts w:ascii="Arial" w:hAnsi="Arial" w:cs="Arial"/>
          <w:sz w:val="24"/>
          <w:szCs w:val="24"/>
          <w:lang w:val="en-US"/>
        </w:rPr>
        <w:t>20</w:t>
      </w:r>
      <w:r w:rsidR="00A95B07" w:rsidRPr="00507C65">
        <w:rPr>
          <w:rFonts w:ascii="Arial" w:hAnsi="Arial" w:cs="Arial"/>
          <w:sz w:val="24"/>
          <w:szCs w:val="24"/>
          <w:lang w:val="en-US"/>
        </w:rPr>
        <w:t>]</w:t>
      </w:r>
      <w:r w:rsidR="00A95B07" w:rsidRPr="00507C65">
        <w:rPr>
          <w:rFonts w:ascii="Arial" w:hAnsi="Arial" w:cs="Arial"/>
          <w:sz w:val="24"/>
          <w:szCs w:val="24"/>
          <w:lang w:val="en-US"/>
        </w:rPr>
        <w:tab/>
      </w:r>
      <w:bookmarkStart w:id="8" w:name="_Hlk132571868"/>
      <w:r w:rsidR="00092DAF" w:rsidRPr="00507C65">
        <w:rPr>
          <w:rFonts w:ascii="Arial" w:hAnsi="Arial" w:cs="Arial"/>
          <w:sz w:val="24"/>
          <w:szCs w:val="24"/>
          <w:lang w:val="en-US"/>
        </w:rPr>
        <w:t xml:space="preserve">Fairness and equity dictate that the second appellant should be ordered to provide security for costs </w:t>
      </w:r>
      <w:bookmarkEnd w:id="8"/>
      <w:r w:rsidR="00092DAF" w:rsidRPr="00507C65">
        <w:rPr>
          <w:rFonts w:ascii="Arial" w:hAnsi="Arial" w:cs="Arial"/>
          <w:sz w:val="24"/>
          <w:szCs w:val="24"/>
          <w:lang w:val="en-US"/>
        </w:rPr>
        <w:t xml:space="preserve">as he involved himself in the matter in his </w:t>
      </w:r>
      <w:r w:rsidR="00CB3B8B" w:rsidRPr="00507C65">
        <w:rPr>
          <w:rFonts w:ascii="Arial" w:hAnsi="Arial" w:cs="Arial"/>
          <w:sz w:val="24"/>
          <w:szCs w:val="24"/>
          <w:lang w:val="en-US"/>
        </w:rPr>
        <w:t xml:space="preserve">personal </w:t>
      </w:r>
      <w:r w:rsidR="00092DAF" w:rsidRPr="00507C65">
        <w:rPr>
          <w:rFonts w:ascii="Arial" w:hAnsi="Arial" w:cs="Arial"/>
          <w:sz w:val="24"/>
          <w:szCs w:val="24"/>
          <w:lang w:val="en-US"/>
        </w:rPr>
        <w:t xml:space="preserve">capacity so that </w:t>
      </w:r>
      <w:r w:rsidR="003F6812" w:rsidRPr="00507C65">
        <w:rPr>
          <w:rFonts w:ascii="Arial" w:hAnsi="Arial" w:cs="Arial"/>
          <w:sz w:val="24"/>
          <w:szCs w:val="24"/>
          <w:lang w:val="en-US"/>
        </w:rPr>
        <w:t xml:space="preserve">when the monies due to Mystic River </w:t>
      </w:r>
      <w:r w:rsidR="00CB3B8B" w:rsidRPr="00507C65">
        <w:rPr>
          <w:rFonts w:ascii="Arial" w:hAnsi="Arial" w:cs="Arial"/>
          <w:sz w:val="24"/>
          <w:szCs w:val="24"/>
          <w:lang w:val="en-US"/>
        </w:rPr>
        <w:t>are</w:t>
      </w:r>
      <w:r w:rsidR="003F6812" w:rsidRPr="00507C65">
        <w:rPr>
          <w:rFonts w:ascii="Arial" w:hAnsi="Arial" w:cs="Arial"/>
          <w:sz w:val="24"/>
          <w:szCs w:val="24"/>
          <w:lang w:val="en-US"/>
        </w:rPr>
        <w:t xml:space="preserve"> returned to it</w:t>
      </w:r>
      <w:r w:rsidR="00655B34" w:rsidRPr="00507C65">
        <w:rPr>
          <w:rFonts w:ascii="Arial" w:hAnsi="Arial" w:cs="Arial"/>
          <w:sz w:val="24"/>
          <w:szCs w:val="24"/>
          <w:lang w:val="en-US"/>
        </w:rPr>
        <w:t>, he</w:t>
      </w:r>
      <w:r w:rsidR="00DC7A89" w:rsidRPr="00507C65">
        <w:rPr>
          <w:rFonts w:ascii="Arial" w:hAnsi="Arial" w:cs="Arial"/>
          <w:sz w:val="24"/>
          <w:szCs w:val="24"/>
          <w:lang w:val="en-US"/>
        </w:rPr>
        <w:t xml:space="preserve"> could claim his 50 per cent</w:t>
      </w:r>
      <w:r w:rsidR="00092DAF" w:rsidRPr="00507C65">
        <w:rPr>
          <w:rFonts w:ascii="Arial" w:hAnsi="Arial" w:cs="Arial"/>
          <w:sz w:val="24"/>
          <w:szCs w:val="24"/>
          <w:lang w:val="en-US"/>
        </w:rPr>
        <w:t xml:space="preserve"> share</w:t>
      </w:r>
      <w:r w:rsidR="00046B0E" w:rsidRPr="00507C65">
        <w:rPr>
          <w:rFonts w:ascii="Arial" w:hAnsi="Arial" w:cs="Arial"/>
          <w:sz w:val="24"/>
          <w:szCs w:val="24"/>
          <w:lang w:val="en-US"/>
        </w:rPr>
        <w:t xml:space="preserve"> of the </w:t>
      </w:r>
      <w:r w:rsidR="00B646FD" w:rsidRPr="00507C65">
        <w:rPr>
          <w:rFonts w:ascii="Arial" w:hAnsi="Arial" w:cs="Arial"/>
          <w:sz w:val="24"/>
          <w:szCs w:val="24"/>
          <w:lang w:val="en-US"/>
        </w:rPr>
        <w:t xml:space="preserve">profit. </w:t>
      </w:r>
      <w:r w:rsidR="00092DAF" w:rsidRPr="00507C65">
        <w:rPr>
          <w:rFonts w:ascii="Arial" w:hAnsi="Arial" w:cs="Arial"/>
          <w:sz w:val="24"/>
          <w:szCs w:val="24"/>
          <w:lang w:val="en-US"/>
        </w:rPr>
        <w:t>He could have simply withdrawn from the matter in order to defeat the application for security if he was</w:t>
      </w:r>
      <w:r w:rsidR="0087707F" w:rsidRPr="00507C65">
        <w:rPr>
          <w:rFonts w:ascii="Arial" w:hAnsi="Arial" w:cs="Arial"/>
          <w:sz w:val="24"/>
          <w:szCs w:val="24"/>
          <w:lang w:val="en-US"/>
        </w:rPr>
        <w:t xml:space="preserve"> indeed</w:t>
      </w:r>
      <w:r w:rsidR="00046B0E" w:rsidRPr="00507C65">
        <w:rPr>
          <w:rFonts w:ascii="Arial" w:hAnsi="Arial" w:cs="Arial"/>
          <w:sz w:val="24"/>
          <w:szCs w:val="24"/>
          <w:lang w:val="en-US"/>
        </w:rPr>
        <w:t xml:space="preserve"> </w:t>
      </w:r>
      <w:r w:rsidR="00092DAF" w:rsidRPr="00507C65">
        <w:rPr>
          <w:rFonts w:ascii="Arial" w:hAnsi="Arial" w:cs="Arial"/>
          <w:sz w:val="24"/>
          <w:szCs w:val="24"/>
          <w:lang w:val="en-US"/>
        </w:rPr>
        <w:t>litigating solely for the benefit of Mystic River.</w:t>
      </w:r>
      <w:r w:rsidR="008A6718" w:rsidRPr="00507C65">
        <w:rPr>
          <w:rFonts w:ascii="Arial" w:hAnsi="Arial" w:cs="Arial"/>
          <w:sz w:val="24"/>
          <w:szCs w:val="24"/>
          <w:lang w:val="en-US"/>
        </w:rPr>
        <w:t xml:space="preserve"> </w:t>
      </w:r>
      <w:r w:rsidR="00B57535">
        <w:rPr>
          <w:rFonts w:ascii="Arial" w:hAnsi="Arial" w:cs="Arial"/>
          <w:sz w:val="24"/>
          <w:szCs w:val="24"/>
          <w:lang w:val="en-US"/>
        </w:rPr>
        <w:t xml:space="preserve">We are </w:t>
      </w:r>
      <w:r w:rsidR="008A6718" w:rsidRPr="00507C65">
        <w:rPr>
          <w:rFonts w:ascii="Arial" w:hAnsi="Arial" w:cs="Arial"/>
          <w:sz w:val="24"/>
          <w:szCs w:val="24"/>
          <w:lang w:val="en-US"/>
        </w:rPr>
        <w:t xml:space="preserve">satisfied that it is fair and equitable to all the parties involved to require the second appellant to furnish security for the </w:t>
      </w:r>
      <w:r w:rsidR="006F418E" w:rsidRPr="00507C65">
        <w:rPr>
          <w:rFonts w:ascii="Arial" w:hAnsi="Arial" w:cs="Arial"/>
          <w:sz w:val="24"/>
          <w:szCs w:val="24"/>
          <w:lang w:val="en-US"/>
        </w:rPr>
        <w:t>respondents’</w:t>
      </w:r>
      <w:r w:rsidR="008A6718" w:rsidRPr="00507C65">
        <w:rPr>
          <w:rFonts w:ascii="Arial" w:hAnsi="Arial" w:cs="Arial"/>
          <w:sz w:val="24"/>
          <w:szCs w:val="24"/>
          <w:lang w:val="en-US"/>
        </w:rPr>
        <w:t xml:space="preserve"> costs in the main application.</w:t>
      </w:r>
    </w:p>
    <w:p w14:paraId="036D2059" w14:textId="77777777" w:rsidR="00EF360D" w:rsidRPr="00507C65" w:rsidRDefault="00EF360D" w:rsidP="00C820EE">
      <w:pPr>
        <w:spacing w:after="0" w:line="360" w:lineRule="auto"/>
        <w:jc w:val="both"/>
        <w:rPr>
          <w:rFonts w:ascii="Arial" w:hAnsi="Arial" w:cs="Arial"/>
          <w:sz w:val="24"/>
          <w:szCs w:val="24"/>
        </w:rPr>
      </w:pPr>
    </w:p>
    <w:p w14:paraId="58E63F20" w14:textId="5A6CDAF5" w:rsidR="00D67E82" w:rsidRPr="00507C65" w:rsidRDefault="00CE205D"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[2</w:t>
      </w:r>
      <w:r w:rsidR="001D0877" w:rsidRPr="00507C65">
        <w:rPr>
          <w:rFonts w:ascii="Arial" w:hAnsi="Arial" w:cs="Arial"/>
          <w:sz w:val="24"/>
          <w:szCs w:val="24"/>
          <w:lang w:val="en-US"/>
        </w:rPr>
        <w:t>1</w:t>
      </w:r>
      <w:r w:rsidRPr="00507C65">
        <w:rPr>
          <w:rFonts w:ascii="Arial" w:hAnsi="Arial" w:cs="Arial"/>
          <w:sz w:val="24"/>
          <w:szCs w:val="24"/>
          <w:lang w:val="en-US"/>
        </w:rPr>
        <w:t>]</w:t>
      </w:r>
      <w:r w:rsidRPr="00507C65">
        <w:rPr>
          <w:rFonts w:ascii="Arial" w:hAnsi="Arial" w:cs="Arial"/>
          <w:sz w:val="24"/>
          <w:szCs w:val="24"/>
          <w:lang w:val="en-US"/>
        </w:rPr>
        <w:tab/>
      </w:r>
      <w:bookmarkStart w:id="9" w:name="_Hlk132571932"/>
      <w:r w:rsidR="008A6718" w:rsidRPr="00507C65">
        <w:rPr>
          <w:rFonts w:ascii="Arial" w:hAnsi="Arial" w:cs="Arial"/>
          <w:sz w:val="24"/>
          <w:szCs w:val="24"/>
          <w:lang w:val="en-US"/>
        </w:rPr>
        <w:t>The high court erred in directing that the appellants pay the costs of the applications to provide security jointly and severally</w:t>
      </w:r>
      <w:bookmarkEnd w:id="9"/>
      <w:r w:rsidR="008A6718" w:rsidRPr="00507C65">
        <w:rPr>
          <w:rFonts w:ascii="Arial" w:hAnsi="Arial" w:cs="Arial"/>
          <w:sz w:val="24"/>
          <w:szCs w:val="24"/>
          <w:lang w:val="en-US"/>
        </w:rPr>
        <w:t xml:space="preserve">. There was no basis for a costs order against Mystic River. The </w:t>
      </w:r>
      <w:r w:rsidR="001F3B53" w:rsidRPr="00507C65">
        <w:rPr>
          <w:rFonts w:ascii="Arial" w:hAnsi="Arial" w:cs="Arial"/>
          <w:sz w:val="24"/>
          <w:szCs w:val="24"/>
          <w:lang w:val="en-US"/>
        </w:rPr>
        <w:t xml:space="preserve">second appellant should have been ordered to pay the costs of these applications. </w:t>
      </w:r>
      <w:r w:rsidR="00B57535">
        <w:rPr>
          <w:rFonts w:ascii="Arial" w:hAnsi="Arial" w:cs="Arial"/>
          <w:sz w:val="24"/>
          <w:szCs w:val="24"/>
          <w:lang w:val="en-US"/>
        </w:rPr>
        <w:t>We</w:t>
      </w:r>
      <w:r w:rsidR="001F3B53" w:rsidRPr="00507C65">
        <w:rPr>
          <w:rFonts w:ascii="Arial" w:hAnsi="Arial" w:cs="Arial"/>
          <w:sz w:val="24"/>
          <w:szCs w:val="24"/>
          <w:lang w:val="en-US"/>
        </w:rPr>
        <w:t xml:space="preserve"> consider it fair and just that these costs should include the costs of 14 May 2021. Being the unsuccessful party, the second appellant should pay the costs of the appeal. The respondents did not ask for the costs of two counsel</w:t>
      </w:r>
      <w:r w:rsidR="00CC2BA8" w:rsidRPr="00507C65">
        <w:rPr>
          <w:rFonts w:ascii="Arial" w:hAnsi="Arial" w:cs="Arial"/>
          <w:sz w:val="24"/>
          <w:szCs w:val="24"/>
          <w:lang w:val="en-US"/>
        </w:rPr>
        <w:t xml:space="preserve"> on appeal</w:t>
      </w:r>
      <w:r w:rsidR="00CD5759" w:rsidRPr="00507C65">
        <w:rPr>
          <w:rFonts w:ascii="Arial" w:hAnsi="Arial" w:cs="Arial"/>
          <w:sz w:val="24"/>
          <w:szCs w:val="24"/>
          <w:lang w:val="en-US"/>
        </w:rPr>
        <w:t xml:space="preserve">. </w:t>
      </w:r>
    </w:p>
    <w:p w14:paraId="27411202" w14:textId="77777777" w:rsidR="00EF360D" w:rsidRPr="00507C65" w:rsidRDefault="00EF360D" w:rsidP="00C820EE">
      <w:pPr>
        <w:spacing w:after="0" w:line="360" w:lineRule="auto"/>
        <w:jc w:val="both"/>
        <w:rPr>
          <w:rFonts w:ascii="Arial" w:hAnsi="Arial" w:cs="Arial"/>
          <w:sz w:val="24"/>
          <w:szCs w:val="24"/>
          <w:lang w:val="en-US"/>
        </w:rPr>
      </w:pPr>
    </w:p>
    <w:p w14:paraId="0F7FC1D6" w14:textId="0B0B83BF" w:rsidR="00FC7DE1" w:rsidRPr="00507C65" w:rsidRDefault="00FC7DE1" w:rsidP="00262CE3">
      <w:pPr>
        <w:spacing w:after="0" w:line="360" w:lineRule="auto"/>
        <w:jc w:val="both"/>
        <w:rPr>
          <w:rFonts w:ascii="Arial" w:hAnsi="Arial" w:cs="Arial"/>
          <w:sz w:val="24"/>
          <w:szCs w:val="24"/>
          <w:lang w:val="en-US"/>
        </w:rPr>
      </w:pPr>
      <w:r w:rsidRPr="00507C65">
        <w:rPr>
          <w:rFonts w:ascii="Arial" w:hAnsi="Arial" w:cs="Arial"/>
          <w:sz w:val="24"/>
          <w:szCs w:val="24"/>
          <w:lang w:val="en-US"/>
        </w:rPr>
        <w:t>[</w:t>
      </w:r>
      <w:r w:rsidR="0008395A" w:rsidRPr="00507C65">
        <w:rPr>
          <w:rFonts w:ascii="Arial" w:hAnsi="Arial" w:cs="Arial"/>
          <w:sz w:val="24"/>
          <w:szCs w:val="24"/>
          <w:lang w:val="en-US"/>
        </w:rPr>
        <w:t>2</w:t>
      </w:r>
      <w:r w:rsidR="00733406" w:rsidRPr="00507C65">
        <w:rPr>
          <w:rFonts w:ascii="Arial" w:hAnsi="Arial" w:cs="Arial"/>
          <w:sz w:val="24"/>
          <w:szCs w:val="24"/>
          <w:lang w:val="en-US"/>
        </w:rPr>
        <w:t>2</w:t>
      </w:r>
      <w:r w:rsidRPr="00507C65">
        <w:rPr>
          <w:rFonts w:ascii="Arial" w:hAnsi="Arial" w:cs="Arial"/>
          <w:sz w:val="24"/>
          <w:szCs w:val="24"/>
          <w:lang w:val="en-US"/>
        </w:rPr>
        <w:t>]</w:t>
      </w:r>
      <w:r w:rsidRPr="00507C65">
        <w:rPr>
          <w:rFonts w:ascii="Arial" w:hAnsi="Arial" w:cs="Arial"/>
          <w:sz w:val="24"/>
          <w:szCs w:val="24"/>
          <w:lang w:val="en-US"/>
        </w:rPr>
        <w:tab/>
        <w:t>In the result, the following order is made</w:t>
      </w:r>
      <w:r w:rsidR="00186800" w:rsidRPr="00507C65">
        <w:rPr>
          <w:rFonts w:ascii="Arial" w:hAnsi="Arial" w:cs="Arial"/>
          <w:sz w:val="24"/>
          <w:szCs w:val="24"/>
          <w:lang w:val="en-US"/>
        </w:rPr>
        <w:t>:</w:t>
      </w:r>
    </w:p>
    <w:p w14:paraId="0B8F93A0" w14:textId="1681D006" w:rsidR="00D4222B" w:rsidRPr="00507C65" w:rsidRDefault="00D4222B" w:rsidP="007C2682">
      <w:pPr>
        <w:spacing w:after="0" w:line="360" w:lineRule="auto"/>
        <w:ind w:left="720" w:hanging="720"/>
        <w:jc w:val="both"/>
        <w:rPr>
          <w:rFonts w:ascii="Arial" w:eastAsia="Times New Roman" w:hAnsi="Arial" w:cs="Arial"/>
          <w:sz w:val="24"/>
          <w:szCs w:val="24"/>
          <w:lang w:val="en-GB"/>
        </w:rPr>
      </w:pPr>
      <w:r w:rsidRPr="00507C65">
        <w:rPr>
          <w:rFonts w:ascii="Arial" w:eastAsia="Times New Roman" w:hAnsi="Arial" w:cs="Arial"/>
          <w:sz w:val="24"/>
          <w:szCs w:val="24"/>
          <w:lang w:val="en-GB"/>
        </w:rPr>
        <w:t>1</w:t>
      </w:r>
      <w:r w:rsidRPr="00507C65">
        <w:rPr>
          <w:rFonts w:ascii="Arial" w:eastAsia="Times New Roman" w:hAnsi="Arial" w:cs="Arial"/>
          <w:sz w:val="24"/>
          <w:szCs w:val="24"/>
          <w:lang w:val="en-GB"/>
        </w:rPr>
        <w:tab/>
      </w:r>
      <w:r w:rsidR="007659FD" w:rsidRPr="00507C65">
        <w:rPr>
          <w:rFonts w:ascii="Arial" w:eastAsia="Times New Roman" w:hAnsi="Arial" w:cs="Arial"/>
          <w:sz w:val="24"/>
          <w:szCs w:val="24"/>
          <w:lang w:val="en-GB"/>
        </w:rPr>
        <w:t>Save to the extent set out below, t</w:t>
      </w:r>
      <w:r w:rsidRPr="00507C65">
        <w:rPr>
          <w:rFonts w:ascii="Arial" w:eastAsia="Times New Roman" w:hAnsi="Arial" w:cs="Arial"/>
          <w:sz w:val="24"/>
          <w:szCs w:val="24"/>
          <w:lang w:val="en-GB"/>
        </w:rPr>
        <w:t>he appeal is dismissed with costs to b</w:t>
      </w:r>
      <w:r w:rsidR="007F61E0" w:rsidRPr="00507C65">
        <w:rPr>
          <w:rFonts w:ascii="Arial" w:eastAsia="Times New Roman" w:hAnsi="Arial" w:cs="Arial"/>
          <w:sz w:val="24"/>
          <w:szCs w:val="24"/>
          <w:lang w:val="en-GB"/>
        </w:rPr>
        <w:t>e paid by the second appellant.</w:t>
      </w:r>
    </w:p>
    <w:p w14:paraId="1E1F07A4" w14:textId="30180B26" w:rsidR="00D4222B" w:rsidRPr="00507C65" w:rsidRDefault="00D4222B" w:rsidP="00C91B1D">
      <w:pPr>
        <w:spacing w:after="0" w:line="360" w:lineRule="auto"/>
        <w:jc w:val="both"/>
        <w:rPr>
          <w:rFonts w:ascii="Arial" w:eastAsia="Times New Roman" w:hAnsi="Arial" w:cs="Arial"/>
          <w:sz w:val="24"/>
          <w:szCs w:val="24"/>
          <w:lang w:val="en-GB"/>
        </w:rPr>
      </w:pPr>
      <w:r w:rsidRPr="00507C65">
        <w:rPr>
          <w:rFonts w:ascii="Arial" w:eastAsia="Times New Roman" w:hAnsi="Arial" w:cs="Arial"/>
          <w:sz w:val="24"/>
          <w:szCs w:val="24"/>
          <w:lang w:val="en-GB"/>
        </w:rPr>
        <w:lastRenderedPageBreak/>
        <w:t>2</w:t>
      </w:r>
      <w:r w:rsidRPr="00507C65">
        <w:rPr>
          <w:rFonts w:ascii="Arial" w:eastAsia="Times New Roman" w:hAnsi="Arial" w:cs="Arial"/>
          <w:sz w:val="24"/>
          <w:szCs w:val="24"/>
          <w:lang w:val="en-GB"/>
        </w:rPr>
        <w:tab/>
        <w:t xml:space="preserve">Paragraph </w:t>
      </w:r>
      <w:r w:rsidR="007659FD" w:rsidRPr="00507C65">
        <w:rPr>
          <w:rFonts w:ascii="Arial" w:eastAsia="Times New Roman" w:hAnsi="Arial" w:cs="Arial"/>
          <w:sz w:val="24"/>
          <w:szCs w:val="24"/>
          <w:lang w:val="en-GB"/>
        </w:rPr>
        <w:t>d</w:t>
      </w:r>
      <w:r w:rsidRPr="00507C65">
        <w:rPr>
          <w:rFonts w:ascii="Arial" w:eastAsia="Times New Roman" w:hAnsi="Arial" w:cs="Arial"/>
          <w:sz w:val="24"/>
          <w:szCs w:val="24"/>
          <w:lang w:val="en-GB"/>
        </w:rPr>
        <w:t xml:space="preserve"> of the order of the </w:t>
      </w:r>
      <w:r w:rsidR="003D2143" w:rsidRPr="00507C65">
        <w:rPr>
          <w:rFonts w:ascii="Arial" w:eastAsia="Times New Roman" w:hAnsi="Arial" w:cs="Arial"/>
          <w:sz w:val="24"/>
          <w:szCs w:val="24"/>
          <w:lang w:val="en-GB"/>
        </w:rPr>
        <w:t>High</w:t>
      </w:r>
      <w:r w:rsidRPr="00507C65">
        <w:rPr>
          <w:rFonts w:ascii="Arial" w:eastAsia="Times New Roman" w:hAnsi="Arial" w:cs="Arial"/>
          <w:sz w:val="24"/>
          <w:szCs w:val="24"/>
          <w:lang w:val="en-GB"/>
        </w:rPr>
        <w:t xml:space="preserve"> </w:t>
      </w:r>
      <w:r w:rsidR="00A80CD5" w:rsidRPr="00507C65">
        <w:rPr>
          <w:rFonts w:ascii="Arial" w:eastAsia="Times New Roman" w:hAnsi="Arial" w:cs="Arial"/>
          <w:sz w:val="24"/>
          <w:szCs w:val="24"/>
          <w:lang w:val="en-GB"/>
        </w:rPr>
        <w:t>Court</w:t>
      </w:r>
      <w:r w:rsidRPr="00507C65">
        <w:rPr>
          <w:rFonts w:ascii="Arial" w:eastAsia="Times New Roman" w:hAnsi="Arial" w:cs="Arial"/>
          <w:sz w:val="24"/>
          <w:szCs w:val="24"/>
          <w:lang w:val="en-GB"/>
        </w:rPr>
        <w:t xml:space="preserve"> is set aside and replaced with the </w:t>
      </w:r>
      <w:r w:rsidRPr="00507C65">
        <w:rPr>
          <w:rFonts w:ascii="Arial" w:eastAsia="Times New Roman" w:hAnsi="Arial" w:cs="Arial"/>
          <w:sz w:val="24"/>
          <w:szCs w:val="24"/>
          <w:lang w:val="en-GB"/>
        </w:rPr>
        <w:tab/>
        <w:t>following:</w:t>
      </w:r>
    </w:p>
    <w:p w14:paraId="2774DFFE" w14:textId="25706E79" w:rsidR="00D4222B" w:rsidRPr="00507C65" w:rsidRDefault="00D4222B" w:rsidP="00C91B1D">
      <w:pPr>
        <w:spacing w:after="0" w:line="360" w:lineRule="auto"/>
        <w:jc w:val="both"/>
        <w:rPr>
          <w:rFonts w:ascii="Arial" w:eastAsia="Times New Roman" w:hAnsi="Arial" w:cs="Arial"/>
          <w:sz w:val="24"/>
          <w:szCs w:val="24"/>
          <w:lang w:val="en-GB"/>
        </w:rPr>
      </w:pPr>
      <w:r w:rsidRPr="00507C65">
        <w:rPr>
          <w:rFonts w:ascii="Arial" w:eastAsia="Times New Roman" w:hAnsi="Arial" w:cs="Arial"/>
          <w:sz w:val="24"/>
          <w:szCs w:val="24"/>
          <w:lang w:val="en-GB"/>
        </w:rPr>
        <w:tab/>
        <w:t>‘The second app</w:t>
      </w:r>
      <w:r w:rsidR="00610321" w:rsidRPr="00507C65">
        <w:rPr>
          <w:rFonts w:ascii="Arial" w:eastAsia="Times New Roman" w:hAnsi="Arial" w:cs="Arial"/>
          <w:sz w:val="24"/>
          <w:szCs w:val="24"/>
          <w:lang w:val="en-GB"/>
        </w:rPr>
        <w:t>licant</w:t>
      </w:r>
      <w:r w:rsidRPr="00507C65">
        <w:rPr>
          <w:rFonts w:ascii="Arial" w:eastAsia="Times New Roman" w:hAnsi="Arial" w:cs="Arial"/>
          <w:sz w:val="24"/>
          <w:szCs w:val="24"/>
          <w:lang w:val="en-GB"/>
        </w:rPr>
        <w:t xml:space="preserve"> is directed to pay the costs of the application</w:t>
      </w:r>
      <w:r w:rsidR="008A6718" w:rsidRPr="00507C65">
        <w:rPr>
          <w:rFonts w:ascii="Arial" w:eastAsia="Times New Roman" w:hAnsi="Arial" w:cs="Arial"/>
          <w:sz w:val="24"/>
          <w:szCs w:val="24"/>
          <w:lang w:val="en-GB"/>
        </w:rPr>
        <w:t>s</w:t>
      </w:r>
      <w:r w:rsidRPr="00507C65">
        <w:rPr>
          <w:rFonts w:ascii="Arial" w:eastAsia="Times New Roman" w:hAnsi="Arial" w:cs="Arial"/>
          <w:sz w:val="24"/>
          <w:szCs w:val="24"/>
          <w:lang w:val="en-GB"/>
        </w:rPr>
        <w:t xml:space="preserve">, including </w:t>
      </w:r>
      <w:r w:rsidRPr="00507C65">
        <w:rPr>
          <w:rFonts w:ascii="Arial" w:eastAsia="Times New Roman" w:hAnsi="Arial" w:cs="Arial"/>
          <w:sz w:val="24"/>
          <w:szCs w:val="24"/>
          <w:lang w:val="en-GB"/>
        </w:rPr>
        <w:tab/>
        <w:t>the costs of 14 May 2021.’</w:t>
      </w:r>
    </w:p>
    <w:p w14:paraId="36F330B7" w14:textId="08FF231A" w:rsidR="00216BED" w:rsidRDefault="00216BED" w:rsidP="00D779D5">
      <w:pPr>
        <w:spacing w:line="360" w:lineRule="auto"/>
        <w:jc w:val="both"/>
        <w:rPr>
          <w:rFonts w:ascii="Arial" w:hAnsi="Arial" w:cs="Arial"/>
          <w:sz w:val="24"/>
          <w:szCs w:val="24"/>
          <w:lang w:val="en-US"/>
        </w:rPr>
      </w:pPr>
    </w:p>
    <w:p w14:paraId="3EF25B4F" w14:textId="32085447" w:rsidR="00F8316F" w:rsidRDefault="00F8316F" w:rsidP="00D779D5">
      <w:pPr>
        <w:spacing w:line="360" w:lineRule="auto"/>
        <w:jc w:val="both"/>
        <w:rPr>
          <w:rFonts w:ascii="Arial" w:hAnsi="Arial" w:cs="Arial"/>
          <w:sz w:val="24"/>
          <w:szCs w:val="24"/>
          <w:lang w:val="en-US"/>
        </w:rPr>
      </w:pPr>
    </w:p>
    <w:p w14:paraId="604DFAA2" w14:textId="77777777" w:rsidR="00F8316F" w:rsidRPr="00F8316F" w:rsidRDefault="00F8316F" w:rsidP="00F8316F">
      <w:pPr>
        <w:spacing w:line="360" w:lineRule="auto"/>
        <w:jc w:val="right"/>
        <w:rPr>
          <w:rFonts w:ascii="Arial" w:hAnsi="Arial" w:cs="Arial"/>
          <w:sz w:val="24"/>
          <w:szCs w:val="24"/>
          <w:lang w:val="en-GB"/>
        </w:rPr>
      </w:pPr>
      <w:r w:rsidRPr="00F8316F">
        <w:rPr>
          <w:rFonts w:ascii="Arial" w:hAnsi="Arial" w:cs="Arial"/>
          <w:sz w:val="24"/>
          <w:szCs w:val="24"/>
          <w:lang w:val="en-GB"/>
        </w:rPr>
        <w:t xml:space="preserve">__________________________ </w:t>
      </w:r>
    </w:p>
    <w:p w14:paraId="2A94FA56" w14:textId="2BBA43C8" w:rsidR="00F8316F" w:rsidRPr="00F8316F" w:rsidRDefault="00F8316F" w:rsidP="00F8316F">
      <w:pPr>
        <w:spacing w:line="360" w:lineRule="auto"/>
        <w:jc w:val="right"/>
        <w:rPr>
          <w:rFonts w:ascii="Arial" w:hAnsi="Arial" w:cs="Arial"/>
          <w:sz w:val="24"/>
          <w:szCs w:val="24"/>
          <w:lang w:val="en-GB"/>
        </w:rPr>
      </w:pPr>
      <w:r>
        <w:rPr>
          <w:rFonts w:ascii="Arial" w:hAnsi="Arial" w:cs="Arial"/>
          <w:sz w:val="24"/>
          <w:szCs w:val="24"/>
          <w:lang w:val="en-GB"/>
        </w:rPr>
        <w:t>C H G VAN DER MERWE</w:t>
      </w:r>
    </w:p>
    <w:p w14:paraId="305474C8" w14:textId="6269F3E2" w:rsidR="00F8316F" w:rsidRDefault="00F8316F" w:rsidP="00F8316F">
      <w:pPr>
        <w:spacing w:line="360" w:lineRule="auto"/>
        <w:jc w:val="right"/>
        <w:rPr>
          <w:rFonts w:ascii="Arial" w:hAnsi="Arial" w:cs="Arial"/>
          <w:sz w:val="24"/>
          <w:szCs w:val="24"/>
          <w:lang w:val="en-GB"/>
        </w:rPr>
      </w:pPr>
      <w:r w:rsidRPr="00F8316F">
        <w:rPr>
          <w:rFonts w:ascii="Arial" w:hAnsi="Arial" w:cs="Arial"/>
          <w:sz w:val="24"/>
          <w:szCs w:val="24"/>
          <w:lang w:val="en-GB"/>
        </w:rPr>
        <w:t>JUDGE OF APPEAL</w:t>
      </w:r>
    </w:p>
    <w:p w14:paraId="15BE090F" w14:textId="77777777" w:rsidR="00F8316F" w:rsidRPr="00F8316F" w:rsidRDefault="00F8316F" w:rsidP="00F8316F">
      <w:pPr>
        <w:spacing w:line="360" w:lineRule="auto"/>
        <w:jc w:val="right"/>
        <w:rPr>
          <w:rFonts w:ascii="Arial" w:hAnsi="Arial" w:cs="Arial"/>
          <w:sz w:val="24"/>
          <w:szCs w:val="24"/>
          <w:lang w:val="en-GB"/>
        </w:rPr>
      </w:pPr>
    </w:p>
    <w:p w14:paraId="0496077B" w14:textId="77777777" w:rsidR="00F8316F" w:rsidRPr="00507C65" w:rsidRDefault="00F8316F" w:rsidP="00F8316F">
      <w:pPr>
        <w:spacing w:line="360" w:lineRule="auto"/>
        <w:jc w:val="right"/>
        <w:rPr>
          <w:rFonts w:ascii="Arial" w:hAnsi="Arial" w:cs="Arial"/>
          <w:sz w:val="24"/>
          <w:szCs w:val="24"/>
          <w:lang w:val="en-US"/>
        </w:rPr>
      </w:pPr>
    </w:p>
    <w:p w14:paraId="57E57F90" w14:textId="77777777" w:rsidR="00EC5FD0" w:rsidRPr="00507C65" w:rsidRDefault="00EC5FD0" w:rsidP="00ED35D7">
      <w:pPr>
        <w:spacing w:line="360" w:lineRule="auto"/>
        <w:jc w:val="right"/>
        <w:rPr>
          <w:rFonts w:ascii="Arial" w:hAnsi="Arial" w:cs="Arial"/>
          <w:sz w:val="24"/>
          <w:szCs w:val="24"/>
          <w:lang w:val="en-GB"/>
        </w:rPr>
      </w:pPr>
      <w:r w:rsidRPr="00507C65">
        <w:rPr>
          <w:rFonts w:ascii="Arial" w:hAnsi="Arial" w:cs="Arial"/>
          <w:sz w:val="24"/>
          <w:szCs w:val="24"/>
          <w:lang w:val="en-GB"/>
        </w:rPr>
        <w:t xml:space="preserve">__________________________ </w:t>
      </w:r>
    </w:p>
    <w:p w14:paraId="26D99B2E" w14:textId="77777777" w:rsidR="00EF360D" w:rsidRPr="00507C65" w:rsidRDefault="00EC5FD0" w:rsidP="00C91B1D">
      <w:pPr>
        <w:spacing w:line="240" w:lineRule="auto"/>
        <w:jc w:val="right"/>
        <w:rPr>
          <w:rFonts w:ascii="Arial" w:hAnsi="Arial" w:cs="Arial"/>
          <w:sz w:val="24"/>
          <w:szCs w:val="24"/>
          <w:lang w:val="en-GB"/>
        </w:rPr>
      </w:pPr>
      <w:r w:rsidRPr="00507C65">
        <w:rPr>
          <w:rFonts w:ascii="Arial" w:hAnsi="Arial" w:cs="Arial"/>
          <w:sz w:val="24"/>
          <w:szCs w:val="24"/>
          <w:lang w:val="en-GB"/>
        </w:rPr>
        <w:t>K E MATOJANE</w:t>
      </w:r>
    </w:p>
    <w:p w14:paraId="489F7707" w14:textId="42C551A2" w:rsidR="00EC5FD0" w:rsidRPr="00507C65" w:rsidRDefault="00EC5FD0" w:rsidP="00C91B1D">
      <w:pPr>
        <w:spacing w:line="240" w:lineRule="auto"/>
        <w:jc w:val="right"/>
        <w:rPr>
          <w:rFonts w:ascii="Arial" w:hAnsi="Arial" w:cs="Arial"/>
          <w:sz w:val="24"/>
          <w:szCs w:val="24"/>
          <w:lang w:val="en-GB"/>
        </w:rPr>
      </w:pPr>
      <w:r w:rsidRPr="00507C65">
        <w:rPr>
          <w:rFonts w:ascii="Arial" w:hAnsi="Arial" w:cs="Arial"/>
          <w:sz w:val="24"/>
          <w:szCs w:val="24"/>
          <w:lang w:val="en-GB"/>
        </w:rPr>
        <w:t>JUDGE OF APPEAL</w:t>
      </w:r>
    </w:p>
    <w:p w14:paraId="05D79B3F" w14:textId="67CC65D9" w:rsidR="00EC5FD0" w:rsidRPr="00507C65" w:rsidRDefault="00EC5FD0" w:rsidP="009734DE">
      <w:pPr>
        <w:jc w:val="both"/>
        <w:rPr>
          <w:rFonts w:ascii="Arial" w:hAnsi="Arial" w:cs="Arial"/>
          <w:sz w:val="24"/>
          <w:szCs w:val="24"/>
          <w:lang w:val="en-GB"/>
        </w:rPr>
      </w:pPr>
      <w:r w:rsidRPr="00507C65">
        <w:rPr>
          <w:rFonts w:ascii="Arial" w:hAnsi="Arial" w:cs="Arial"/>
          <w:sz w:val="24"/>
          <w:szCs w:val="24"/>
          <w:lang w:val="en-GB"/>
        </w:rPr>
        <w:br w:type="page"/>
      </w:r>
    </w:p>
    <w:p w14:paraId="1436F14F" w14:textId="77777777" w:rsidR="001A3592" w:rsidRPr="00507C65" w:rsidRDefault="00EC5FD0" w:rsidP="00D779D5">
      <w:pPr>
        <w:spacing w:line="360" w:lineRule="auto"/>
        <w:jc w:val="both"/>
        <w:rPr>
          <w:rFonts w:ascii="Arial" w:hAnsi="Arial" w:cs="Arial"/>
          <w:sz w:val="24"/>
          <w:szCs w:val="24"/>
          <w:lang w:val="en-GB"/>
        </w:rPr>
      </w:pPr>
      <w:r w:rsidRPr="00507C65">
        <w:rPr>
          <w:rFonts w:ascii="Arial" w:hAnsi="Arial" w:cs="Arial"/>
          <w:sz w:val="24"/>
          <w:szCs w:val="24"/>
          <w:lang w:val="en-GB"/>
        </w:rPr>
        <w:lastRenderedPageBreak/>
        <w:t>APPEARANCES</w:t>
      </w:r>
    </w:p>
    <w:p w14:paraId="3B6B7550" w14:textId="461AABFD" w:rsidR="00EC5FD0" w:rsidRPr="00507C65" w:rsidRDefault="00EC5FD0" w:rsidP="00D779D5">
      <w:pPr>
        <w:spacing w:line="360" w:lineRule="auto"/>
        <w:jc w:val="both"/>
        <w:rPr>
          <w:rFonts w:ascii="Arial" w:hAnsi="Arial" w:cs="Arial"/>
          <w:sz w:val="24"/>
          <w:szCs w:val="24"/>
          <w:lang w:val="en-GB"/>
        </w:rPr>
      </w:pPr>
    </w:p>
    <w:p w14:paraId="24804519" w14:textId="77777777" w:rsidR="00EC5FD0" w:rsidRPr="00507C65" w:rsidRDefault="00EC5FD0" w:rsidP="00D779D5">
      <w:pPr>
        <w:spacing w:line="360" w:lineRule="auto"/>
        <w:jc w:val="both"/>
        <w:rPr>
          <w:rFonts w:ascii="Arial" w:hAnsi="Arial" w:cs="Arial"/>
          <w:sz w:val="24"/>
          <w:szCs w:val="24"/>
          <w:lang w:val="en-GB"/>
        </w:rPr>
      </w:pPr>
      <w:r w:rsidRPr="00507C65">
        <w:rPr>
          <w:rFonts w:ascii="Arial" w:hAnsi="Arial" w:cs="Arial"/>
          <w:sz w:val="24"/>
          <w:szCs w:val="24"/>
          <w:lang w:val="en-GB"/>
        </w:rPr>
        <w:t>For appellant:</w:t>
      </w:r>
      <w:r w:rsidRPr="00507C65">
        <w:rPr>
          <w:rFonts w:ascii="Arial" w:hAnsi="Arial" w:cs="Arial"/>
          <w:sz w:val="24"/>
          <w:szCs w:val="24"/>
          <w:lang w:val="en-GB"/>
        </w:rPr>
        <w:tab/>
      </w:r>
      <w:r w:rsidRPr="00507C65">
        <w:rPr>
          <w:rFonts w:ascii="Arial" w:hAnsi="Arial" w:cs="Arial"/>
          <w:sz w:val="24"/>
          <w:szCs w:val="24"/>
          <w:lang w:val="en-GB"/>
        </w:rPr>
        <w:tab/>
      </w:r>
      <w:r w:rsidRPr="00507C65">
        <w:rPr>
          <w:rFonts w:ascii="Arial" w:hAnsi="Arial" w:cs="Arial"/>
          <w:sz w:val="24"/>
          <w:szCs w:val="24"/>
          <w:lang w:val="en-GB"/>
        </w:rPr>
        <w:tab/>
      </w:r>
      <w:r w:rsidR="007B5AE5" w:rsidRPr="00507C65">
        <w:rPr>
          <w:rFonts w:ascii="Arial" w:hAnsi="Arial" w:cs="Arial"/>
          <w:sz w:val="24"/>
          <w:szCs w:val="24"/>
          <w:lang w:val="en-GB"/>
        </w:rPr>
        <w:t>M Du Plessis</w:t>
      </w:r>
      <w:r w:rsidRPr="00507C65">
        <w:rPr>
          <w:rFonts w:ascii="Arial" w:hAnsi="Arial" w:cs="Arial"/>
          <w:sz w:val="24"/>
          <w:szCs w:val="24"/>
          <w:lang w:val="en-GB"/>
        </w:rPr>
        <w:t xml:space="preserve"> SC </w:t>
      </w:r>
    </w:p>
    <w:p w14:paraId="67E78B0C" w14:textId="77777777" w:rsidR="00EC5FD0" w:rsidRPr="00507C65" w:rsidRDefault="00EC5FD0" w:rsidP="00D779D5">
      <w:pPr>
        <w:spacing w:line="360" w:lineRule="auto"/>
        <w:jc w:val="both"/>
        <w:rPr>
          <w:rFonts w:ascii="Arial" w:hAnsi="Arial" w:cs="Arial"/>
          <w:sz w:val="24"/>
          <w:szCs w:val="24"/>
          <w:lang w:val="en-GB"/>
        </w:rPr>
      </w:pPr>
      <w:r w:rsidRPr="00507C65">
        <w:rPr>
          <w:rFonts w:ascii="Arial" w:hAnsi="Arial" w:cs="Arial"/>
          <w:sz w:val="24"/>
          <w:szCs w:val="24"/>
          <w:lang w:val="en-GB"/>
        </w:rPr>
        <w:t>Instructed by:</w:t>
      </w:r>
      <w:r w:rsidRPr="00507C65">
        <w:rPr>
          <w:rFonts w:ascii="Arial" w:hAnsi="Arial" w:cs="Arial"/>
          <w:sz w:val="24"/>
          <w:szCs w:val="24"/>
          <w:lang w:val="en-GB"/>
        </w:rPr>
        <w:tab/>
      </w:r>
      <w:r w:rsidRPr="00507C65">
        <w:rPr>
          <w:rFonts w:ascii="Arial" w:hAnsi="Arial" w:cs="Arial"/>
          <w:sz w:val="24"/>
          <w:szCs w:val="24"/>
          <w:lang w:val="en-GB"/>
        </w:rPr>
        <w:tab/>
      </w:r>
      <w:r w:rsidRPr="00507C65">
        <w:rPr>
          <w:rFonts w:ascii="Arial" w:hAnsi="Arial" w:cs="Arial"/>
          <w:sz w:val="24"/>
          <w:szCs w:val="24"/>
          <w:lang w:val="en-GB"/>
        </w:rPr>
        <w:tab/>
      </w:r>
      <w:r w:rsidR="007B5AE5" w:rsidRPr="00507C65">
        <w:rPr>
          <w:rFonts w:ascii="Arial" w:hAnsi="Arial" w:cs="Arial"/>
          <w:sz w:val="24"/>
          <w:szCs w:val="24"/>
          <w:lang w:val="en-GB"/>
        </w:rPr>
        <w:t>Webber Wentzel</w:t>
      </w:r>
      <w:r w:rsidRPr="00507C65">
        <w:rPr>
          <w:rFonts w:ascii="Arial" w:hAnsi="Arial" w:cs="Arial"/>
          <w:sz w:val="24"/>
          <w:szCs w:val="24"/>
          <w:lang w:val="en-GB"/>
        </w:rPr>
        <w:t xml:space="preserve">, </w:t>
      </w:r>
      <w:r w:rsidR="007B5AE5" w:rsidRPr="00507C65">
        <w:rPr>
          <w:rFonts w:ascii="Arial" w:hAnsi="Arial" w:cs="Arial"/>
          <w:sz w:val="24"/>
          <w:szCs w:val="24"/>
          <w:lang w:val="en-GB"/>
        </w:rPr>
        <w:t>Johannesburg</w:t>
      </w:r>
    </w:p>
    <w:p w14:paraId="38CE49B0" w14:textId="77777777" w:rsidR="00EC5FD0" w:rsidRPr="00507C65" w:rsidRDefault="00EC5FD0" w:rsidP="00D779D5">
      <w:pPr>
        <w:spacing w:line="360" w:lineRule="auto"/>
        <w:ind w:left="2880" w:firstLine="720"/>
        <w:jc w:val="both"/>
        <w:rPr>
          <w:rFonts w:ascii="Arial" w:hAnsi="Arial" w:cs="Arial"/>
          <w:sz w:val="24"/>
          <w:szCs w:val="24"/>
          <w:lang w:val="en-GB"/>
        </w:rPr>
      </w:pPr>
      <w:r w:rsidRPr="00507C65">
        <w:rPr>
          <w:rFonts w:ascii="Arial" w:hAnsi="Arial" w:cs="Arial"/>
          <w:sz w:val="24"/>
          <w:szCs w:val="24"/>
          <w:lang w:val="en-GB"/>
        </w:rPr>
        <w:t>Symington &amp; De Kok, Bloemfontein</w:t>
      </w:r>
    </w:p>
    <w:p w14:paraId="5CEDC837" w14:textId="77777777" w:rsidR="00EC5FD0" w:rsidRPr="00507C65" w:rsidRDefault="00EC5FD0" w:rsidP="00D779D5">
      <w:pPr>
        <w:spacing w:line="360" w:lineRule="auto"/>
        <w:jc w:val="both"/>
        <w:rPr>
          <w:rFonts w:ascii="Arial" w:hAnsi="Arial" w:cs="Arial"/>
          <w:sz w:val="24"/>
          <w:szCs w:val="24"/>
          <w:lang w:val="en-GB"/>
        </w:rPr>
      </w:pPr>
    </w:p>
    <w:p w14:paraId="2926D9AC" w14:textId="77777777" w:rsidR="00EC5FD0" w:rsidRPr="00507C65" w:rsidRDefault="00EC5FD0" w:rsidP="00D779D5">
      <w:pPr>
        <w:spacing w:line="360" w:lineRule="auto"/>
        <w:jc w:val="both"/>
        <w:rPr>
          <w:rFonts w:ascii="Arial" w:hAnsi="Arial" w:cs="Arial"/>
          <w:sz w:val="24"/>
          <w:szCs w:val="24"/>
          <w:lang w:val="en-GB"/>
        </w:rPr>
      </w:pPr>
      <w:r w:rsidRPr="00507C65">
        <w:rPr>
          <w:rFonts w:ascii="Arial" w:hAnsi="Arial" w:cs="Arial"/>
          <w:sz w:val="24"/>
          <w:szCs w:val="24"/>
          <w:lang w:val="en-GB"/>
        </w:rPr>
        <w:t xml:space="preserve">For </w:t>
      </w:r>
      <w:r w:rsidR="007B5AE5" w:rsidRPr="00507C65">
        <w:rPr>
          <w:rFonts w:ascii="Arial" w:hAnsi="Arial" w:cs="Arial"/>
          <w:sz w:val="24"/>
          <w:szCs w:val="24"/>
          <w:lang w:val="en-GB"/>
        </w:rPr>
        <w:t xml:space="preserve">first </w:t>
      </w:r>
      <w:r w:rsidRPr="00507C65">
        <w:rPr>
          <w:rFonts w:ascii="Arial" w:hAnsi="Arial" w:cs="Arial"/>
          <w:sz w:val="24"/>
          <w:szCs w:val="24"/>
          <w:lang w:val="en-GB"/>
        </w:rPr>
        <w:t>respondent:</w:t>
      </w:r>
      <w:r w:rsidRPr="00507C65">
        <w:rPr>
          <w:rFonts w:ascii="Arial" w:hAnsi="Arial" w:cs="Arial"/>
          <w:sz w:val="24"/>
          <w:szCs w:val="24"/>
          <w:lang w:val="en-GB"/>
        </w:rPr>
        <w:tab/>
      </w:r>
      <w:r w:rsidRPr="00507C65">
        <w:rPr>
          <w:rFonts w:ascii="Arial" w:hAnsi="Arial" w:cs="Arial"/>
          <w:sz w:val="24"/>
          <w:szCs w:val="24"/>
          <w:lang w:val="en-GB"/>
        </w:rPr>
        <w:tab/>
      </w:r>
      <w:r w:rsidRPr="00507C65">
        <w:rPr>
          <w:rFonts w:ascii="Arial" w:hAnsi="Arial" w:cs="Arial"/>
          <w:sz w:val="24"/>
          <w:szCs w:val="24"/>
          <w:lang w:val="en-GB"/>
        </w:rPr>
        <w:tab/>
      </w:r>
      <w:r w:rsidR="00052120" w:rsidRPr="00507C65">
        <w:rPr>
          <w:rFonts w:ascii="Arial" w:hAnsi="Arial" w:cs="Arial"/>
          <w:sz w:val="24"/>
          <w:szCs w:val="24"/>
          <w:lang w:val="en-GB"/>
        </w:rPr>
        <w:t>M Jooste</w:t>
      </w:r>
    </w:p>
    <w:p w14:paraId="52796058" w14:textId="118EB419" w:rsidR="00EC5FD0" w:rsidRPr="00507C65" w:rsidRDefault="00EC5FD0" w:rsidP="00D779D5">
      <w:pPr>
        <w:spacing w:line="360" w:lineRule="auto"/>
        <w:jc w:val="both"/>
        <w:rPr>
          <w:rFonts w:ascii="Arial" w:hAnsi="Arial" w:cs="Arial"/>
          <w:sz w:val="24"/>
          <w:szCs w:val="24"/>
          <w:lang w:val="en-GB"/>
        </w:rPr>
      </w:pPr>
      <w:r w:rsidRPr="00507C65">
        <w:rPr>
          <w:rFonts w:ascii="Arial" w:hAnsi="Arial" w:cs="Arial"/>
          <w:sz w:val="24"/>
          <w:szCs w:val="24"/>
          <w:lang w:val="en-GB"/>
        </w:rPr>
        <w:t>Instructed by:</w:t>
      </w:r>
      <w:r w:rsidRPr="00507C65">
        <w:rPr>
          <w:rFonts w:ascii="Arial" w:hAnsi="Arial" w:cs="Arial"/>
          <w:sz w:val="24"/>
          <w:szCs w:val="24"/>
          <w:lang w:val="en-GB"/>
        </w:rPr>
        <w:tab/>
      </w:r>
      <w:r w:rsidRPr="00507C65">
        <w:rPr>
          <w:rFonts w:ascii="Arial" w:hAnsi="Arial" w:cs="Arial"/>
          <w:sz w:val="24"/>
          <w:szCs w:val="24"/>
          <w:lang w:val="en-GB"/>
        </w:rPr>
        <w:tab/>
      </w:r>
      <w:r w:rsidRPr="00507C65">
        <w:rPr>
          <w:rFonts w:ascii="Arial" w:hAnsi="Arial" w:cs="Arial"/>
          <w:sz w:val="24"/>
          <w:szCs w:val="24"/>
          <w:lang w:val="en-GB"/>
        </w:rPr>
        <w:tab/>
      </w:r>
      <w:r w:rsidR="009138C2" w:rsidRPr="00507C65">
        <w:rPr>
          <w:rFonts w:ascii="Arial" w:hAnsi="Arial" w:cs="Arial"/>
          <w:sz w:val="24"/>
          <w:szCs w:val="24"/>
          <w:lang w:val="en-GB"/>
        </w:rPr>
        <w:t>Amod's</w:t>
      </w:r>
      <w:r w:rsidR="005C09C3" w:rsidRPr="00507C65">
        <w:rPr>
          <w:rFonts w:ascii="Arial" w:hAnsi="Arial" w:cs="Arial"/>
          <w:sz w:val="24"/>
          <w:szCs w:val="24"/>
          <w:lang w:val="en-GB"/>
        </w:rPr>
        <w:t xml:space="preserve"> Attorneys</w:t>
      </w:r>
      <w:r w:rsidRPr="00507C65">
        <w:rPr>
          <w:rFonts w:ascii="Arial" w:hAnsi="Arial" w:cs="Arial"/>
          <w:sz w:val="24"/>
          <w:szCs w:val="24"/>
          <w:lang w:val="en-GB"/>
        </w:rPr>
        <w:t xml:space="preserve">, </w:t>
      </w:r>
      <w:r w:rsidR="00880641" w:rsidRPr="00507C65">
        <w:rPr>
          <w:rFonts w:ascii="Arial" w:hAnsi="Arial" w:cs="Arial"/>
          <w:sz w:val="24"/>
          <w:szCs w:val="24"/>
          <w:lang w:val="en-GB"/>
        </w:rPr>
        <w:t>Durban</w:t>
      </w:r>
    </w:p>
    <w:p w14:paraId="1571E70A" w14:textId="77777777" w:rsidR="00EC5FD0" w:rsidRPr="00507C65" w:rsidRDefault="00052120" w:rsidP="00D779D5">
      <w:pPr>
        <w:spacing w:line="360" w:lineRule="auto"/>
        <w:ind w:left="2880" w:firstLine="720"/>
        <w:jc w:val="both"/>
        <w:rPr>
          <w:rFonts w:ascii="Arial" w:hAnsi="Arial" w:cs="Arial"/>
          <w:sz w:val="24"/>
          <w:szCs w:val="24"/>
          <w:lang w:val="en-GB"/>
        </w:rPr>
      </w:pPr>
      <w:r w:rsidRPr="00507C65">
        <w:rPr>
          <w:rFonts w:ascii="Arial" w:hAnsi="Arial" w:cs="Arial"/>
          <w:sz w:val="24"/>
          <w:szCs w:val="24"/>
          <w:lang w:val="en-GB"/>
        </w:rPr>
        <w:t>Matsepes</w:t>
      </w:r>
      <w:r w:rsidR="00EC5FD0" w:rsidRPr="00507C65">
        <w:rPr>
          <w:rFonts w:ascii="Arial" w:hAnsi="Arial" w:cs="Arial"/>
          <w:sz w:val="24"/>
          <w:szCs w:val="24"/>
          <w:lang w:val="en-GB"/>
        </w:rPr>
        <w:t>, Bloemfontein.</w:t>
      </w:r>
    </w:p>
    <w:p w14:paraId="4DB920A8" w14:textId="77777777" w:rsidR="00EC5FD0" w:rsidRPr="00507C65" w:rsidRDefault="00EC5FD0" w:rsidP="00D779D5">
      <w:pPr>
        <w:spacing w:line="360" w:lineRule="auto"/>
        <w:jc w:val="both"/>
        <w:rPr>
          <w:rFonts w:ascii="Arial" w:hAnsi="Arial" w:cs="Arial"/>
          <w:sz w:val="24"/>
          <w:szCs w:val="24"/>
          <w:lang w:val="en-GB"/>
        </w:rPr>
      </w:pPr>
    </w:p>
    <w:p w14:paraId="5226A572" w14:textId="35CAFE46" w:rsidR="005D35C6" w:rsidRPr="00507C65" w:rsidRDefault="005D35C6" w:rsidP="00D779D5">
      <w:pPr>
        <w:spacing w:line="360" w:lineRule="auto"/>
        <w:jc w:val="both"/>
        <w:rPr>
          <w:rFonts w:ascii="Arial" w:hAnsi="Arial" w:cs="Arial"/>
          <w:sz w:val="24"/>
          <w:szCs w:val="24"/>
          <w:lang w:val="en-GB"/>
        </w:rPr>
      </w:pPr>
      <w:r w:rsidRPr="00507C65">
        <w:rPr>
          <w:rFonts w:ascii="Arial" w:hAnsi="Arial" w:cs="Arial"/>
          <w:sz w:val="24"/>
          <w:szCs w:val="24"/>
          <w:lang w:val="en-GB"/>
        </w:rPr>
        <w:t xml:space="preserve">For second </w:t>
      </w:r>
      <w:r w:rsidR="005C09C3" w:rsidRPr="00507C65">
        <w:rPr>
          <w:rFonts w:ascii="Arial" w:hAnsi="Arial" w:cs="Arial"/>
          <w:sz w:val="24"/>
          <w:szCs w:val="24"/>
          <w:lang w:val="en-GB"/>
        </w:rPr>
        <w:t>respondent:</w:t>
      </w:r>
      <w:r w:rsidR="0000495E" w:rsidRPr="00507C65">
        <w:rPr>
          <w:rFonts w:ascii="Arial" w:hAnsi="Arial" w:cs="Arial"/>
          <w:sz w:val="24"/>
          <w:szCs w:val="24"/>
          <w:lang w:val="en-GB"/>
        </w:rPr>
        <w:t xml:space="preserve"> </w:t>
      </w:r>
      <w:r w:rsidR="0000495E" w:rsidRPr="00507C65">
        <w:rPr>
          <w:rFonts w:ascii="Arial" w:hAnsi="Arial" w:cs="Arial"/>
          <w:sz w:val="24"/>
          <w:szCs w:val="24"/>
          <w:lang w:val="en-GB"/>
        </w:rPr>
        <w:tab/>
      </w:r>
      <w:r w:rsidR="0000495E" w:rsidRPr="00507C65">
        <w:rPr>
          <w:rFonts w:ascii="Arial" w:hAnsi="Arial" w:cs="Arial"/>
          <w:sz w:val="24"/>
          <w:szCs w:val="24"/>
          <w:lang w:val="en-GB"/>
        </w:rPr>
        <w:tab/>
        <w:t xml:space="preserve">M </w:t>
      </w:r>
      <w:r w:rsidR="005C09C3" w:rsidRPr="00507C65">
        <w:rPr>
          <w:rFonts w:ascii="Arial" w:hAnsi="Arial" w:cs="Arial"/>
          <w:sz w:val="24"/>
          <w:szCs w:val="24"/>
          <w:lang w:val="en-GB"/>
        </w:rPr>
        <w:t>C</w:t>
      </w:r>
      <w:r w:rsidR="0000495E" w:rsidRPr="00507C65">
        <w:rPr>
          <w:rFonts w:ascii="Arial" w:hAnsi="Arial" w:cs="Arial"/>
          <w:sz w:val="24"/>
          <w:szCs w:val="24"/>
          <w:lang w:val="en-GB"/>
        </w:rPr>
        <w:t xml:space="preserve"> Tucker (with N </w:t>
      </w:r>
      <w:r w:rsidR="00052120" w:rsidRPr="00507C65">
        <w:rPr>
          <w:rFonts w:ascii="Arial" w:hAnsi="Arial" w:cs="Arial"/>
          <w:sz w:val="24"/>
          <w:szCs w:val="24"/>
          <w:lang w:val="en-GB"/>
        </w:rPr>
        <w:t>L Nickel</w:t>
      </w:r>
      <w:r w:rsidRPr="00507C65">
        <w:rPr>
          <w:rFonts w:ascii="Arial" w:hAnsi="Arial" w:cs="Arial"/>
          <w:sz w:val="24"/>
          <w:szCs w:val="24"/>
          <w:lang w:val="en-GB"/>
        </w:rPr>
        <w:t xml:space="preserve">) </w:t>
      </w:r>
    </w:p>
    <w:p w14:paraId="2FA5ED24" w14:textId="77777777" w:rsidR="005D35C6" w:rsidRPr="00507C65" w:rsidRDefault="005D35C6" w:rsidP="00D779D5">
      <w:pPr>
        <w:spacing w:line="360" w:lineRule="auto"/>
        <w:jc w:val="both"/>
        <w:rPr>
          <w:rFonts w:ascii="Arial" w:hAnsi="Arial" w:cs="Arial"/>
          <w:sz w:val="24"/>
          <w:szCs w:val="24"/>
          <w:lang w:val="en-GB"/>
        </w:rPr>
      </w:pPr>
      <w:r w:rsidRPr="00507C65">
        <w:rPr>
          <w:rFonts w:ascii="Arial" w:hAnsi="Arial" w:cs="Arial"/>
          <w:sz w:val="24"/>
          <w:szCs w:val="24"/>
          <w:lang w:val="en-GB"/>
        </w:rPr>
        <w:t>Instructed by:</w:t>
      </w:r>
      <w:r w:rsidRPr="00507C65">
        <w:rPr>
          <w:rFonts w:ascii="Arial" w:hAnsi="Arial" w:cs="Arial"/>
          <w:sz w:val="24"/>
          <w:szCs w:val="24"/>
          <w:lang w:val="en-GB"/>
        </w:rPr>
        <w:tab/>
      </w:r>
      <w:r w:rsidRPr="00507C65">
        <w:rPr>
          <w:rFonts w:ascii="Arial" w:hAnsi="Arial" w:cs="Arial"/>
          <w:sz w:val="24"/>
          <w:szCs w:val="24"/>
          <w:lang w:val="en-GB"/>
        </w:rPr>
        <w:tab/>
      </w:r>
      <w:r w:rsidRPr="00507C65">
        <w:rPr>
          <w:rFonts w:ascii="Arial" w:hAnsi="Arial" w:cs="Arial"/>
          <w:sz w:val="24"/>
          <w:szCs w:val="24"/>
          <w:lang w:val="en-GB"/>
        </w:rPr>
        <w:tab/>
      </w:r>
      <w:r w:rsidR="00CA7B8B" w:rsidRPr="00507C65">
        <w:rPr>
          <w:rFonts w:ascii="Arial" w:hAnsi="Arial" w:cs="Arial"/>
          <w:sz w:val="24"/>
          <w:szCs w:val="24"/>
          <w:lang w:val="en-GB"/>
        </w:rPr>
        <w:t>Nourse Incorporated</w:t>
      </w:r>
      <w:r w:rsidRPr="00507C65">
        <w:rPr>
          <w:rFonts w:ascii="Arial" w:hAnsi="Arial" w:cs="Arial"/>
          <w:sz w:val="24"/>
          <w:szCs w:val="24"/>
          <w:lang w:val="en-GB"/>
        </w:rPr>
        <w:t xml:space="preserve">, </w:t>
      </w:r>
      <w:r w:rsidR="00A62CA7" w:rsidRPr="00507C65">
        <w:rPr>
          <w:rFonts w:ascii="Arial" w:hAnsi="Arial" w:cs="Arial"/>
          <w:sz w:val="24"/>
          <w:szCs w:val="24"/>
          <w:lang w:val="en-GB"/>
        </w:rPr>
        <w:t>Durban</w:t>
      </w:r>
    </w:p>
    <w:p w14:paraId="0B87590B" w14:textId="77777777" w:rsidR="005D35C6" w:rsidRPr="00507C65" w:rsidRDefault="00052120" w:rsidP="00D779D5">
      <w:pPr>
        <w:spacing w:line="360" w:lineRule="auto"/>
        <w:ind w:left="2880" w:firstLine="720"/>
        <w:jc w:val="both"/>
        <w:rPr>
          <w:rFonts w:ascii="Arial" w:hAnsi="Arial" w:cs="Arial"/>
          <w:sz w:val="24"/>
          <w:szCs w:val="24"/>
          <w:lang w:val="en-GB"/>
        </w:rPr>
      </w:pPr>
      <w:r w:rsidRPr="00507C65">
        <w:rPr>
          <w:rFonts w:ascii="Arial" w:hAnsi="Arial" w:cs="Arial"/>
          <w:sz w:val="24"/>
          <w:szCs w:val="24"/>
          <w:lang w:val="en-GB"/>
        </w:rPr>
        <w:t>Matsepes</w:t>
      </w:r>
      <w:r w:rsidR="005D35C6" w:rsidRPr="00507C65">
        <w:rPr>
          <w:rFonts w:ascii="Arial" w:hAnsi="Arial" w:cs="Arial"/>
          <w:sz w:val="24"/>
          <w:szCs w:val="24"/>
          <w:lang w:val="en-GB"/>
        </w:rPr>
        <w:t>, Bloemfontein.</w:t>
      </w:r>
    </w:p>
    <w:p w14:paraId="626FC21A" w14:textId="77777777" w:rsidR="00FC7DE1" w:rsidRPr="00507C65" w:rsidRDefault="00FC7DE1" w:rsidP="00D779D5">
      <w:pPr>
        <w:spacing w:line="360" w:lineRule="auto"/>
        <w:jc w:val="both"/>
        <w:rPr>
          <w:rFonts w:ascii="Arial" w:hAnsi="Arial" w:cs="Arial"/>
          <w:sz w:val="24"/>
          <w:szCs w:val="24"/>
        </w:rPr>
      </w:pPr>
    </w:p>
    <w:p w14:paraId="747647BE" w14:textId="3EC71159" w:rsidR="00052120" w:rsidRPr="00507C65" w:rsidRDefault="00052120" w:rsidP="00D779D5">
      <w:pPr>
        <w:spacing w:line="360" w:lineRule="auto"/>
        <w:jc w:val="both"/>
        <w:rPr>
          <w:rFonts w:ascii="Arial" w:hAnsi="Arial" w:cs="Arial"/>
          <w:sz w:val="24"/>
          <w:szCs w:val="24"/>
          <w:lang w:val="en-GB"/>
        </w:rPr>
      </w:pPr>
      <w:r w:rsidRPr="00507C65">
        <w:rPr>
          <w:rFonts w:ascii="Arial" w:hAnsi="Arial" w:cs="Arial"/>
          <w:sz w:val="24"/>
          <w:szCs w:val="24"/>
          <w:lang w:val="en-GB"/>
        </w:rPr>
        <w:t>For third</w:t>
      </w:r>
      <w:r w:rsidR="00CA7B8B" w:rsidRPr="00507C65">
        <w:rPr>
          <w:rFonts w:ascii="Arial" w:hAnsi="Arial" w:cs="Arial"/>
          <w:sz w:val="24"/>
          <w:szCs w:val="24"/>
          <w:lang w:val="en-GB"/>
        </w:rPr>
        <w:t xml:space="preserve"> to fifth</w:t>
      </w:r>
      <w:r w:rsidRPr="00507C65">
        <w:rPr>
          <w:rFonts w:ascii="Arial" w:hAnsi="Arial" w:cs="Arial"/>
          <w:sz w:val="24"/>
          <w:szCs w:val="24"/>
          <w:lang w:val="en-GB"/>
        </w:rPr>
        <w:t xml:space="preserve"> respondent</w:t>
      </w:r>
      <w:r w:rsidR="00CA7B8B" w:rsidRPr="00507C65">
        <w:rPr>
          <w:rFonts w:ascii="Arial" w:hAnsi="Arial" w:cs="Arial"/>
          <w:sz w:val="24"/>
          <w:szCs w:val="24"/>
          <w:lang w:val="en-GB"/>
        </w:rPr>
        <w:t>s</w:t>
      </w:r>
      <w:r w:rsidRPr="00507C65">
        <w:rPr>
          <w:rFonts w:ascii="Arial" w:hAnsi="Arial" w:cs="Arial"/>
          <w:sz w:val="24"/>
          <w:szCs w:val="24"/>
          <w:lang w:val="en-GB"/>
        </w:rPr>
        <w:t>:</w:t>
      </w:r>
      <w:r w:rsidR="00CA7B8B" w:rsidRPr="00507C65">
        <w:rPr>
          <w:rFonts w:ascii="Arial" w:hAnsi="Arial" w:cs="Arial"/>
          <w:sz w:val="24"/>
          <w:szCs w:val="24"/>
          <w:lang w:val="en-GB"/>
        </w:rPr>
        <w:tab/>
      </w:r>
      <w:r w:rsidR="002A251A" w:rsidRPr="00507C65">
        <w:rPr>
          <w:rFonts w:ascii="Arial" w:hAnsi="Arial" w:cs="Arial"/>
          <w:sz w:val="24"/>
          <w:szCs w:val="24"/>
          <w:lang w:val="en-GB"/>
        </w:rPr>
        <w:t>I Veerasamy</w:t>
      </w:r>
      <w:r w:rsidRPr="00507C65">
        <w:rPr>
          <w:rFonts w:ascii="Arial" w:hAnsi="Arial" w:cs="Arial"/>
          <w:sz w:val="24"/>
          <w:szCs w:val="24"/>
          <w:lang w:val="en-GB"/>
        </w:rPr>
        <w:t xml:space="preserve"> (with </w:t>
      </w:r>
      <w:r w:rsidR="002A251A" w:rsidRPr="00507C65">
        <w:rPr>
          <w:rFonts w:ascii="Arial" w:hAnsi="Arial" w:cs="Arial"/>
          <w:sz w:val="24"/>
          <w:szCs w:val="24"/>
          <w:lang w:val="en-GB"/>
        </w:rPr>
        <w:t>E Miz</w:t>
      </w:r>
      <w:r w:rsidR="006F2BD5" w:rsidRPr="00507C65">
        <w:rPr>
          <w:rFonts w:ascii="Arial" w:hAnsi="Arial" w:cs="Arial"/>
          <w:sz w:val="24"/>
          <w:szCs w:val="24"/>
          <w:lang w:val="en-GB"/>
        </w:rPr>
        <w:t>r</w:t>
      </w:r>
      <w:r w:rsidR="002A251A" w:rsidRPr="00507C65">
        <w:rPr>
          <w:rFonts w:ascii="Arial" w:hAnsi="Arial" w:cs="Arial"/>
          <w:sz w:val="24"/>
          <w:szCs w:val="24"/>
          <w:lang w:val="en-GB"/>
        </w:rPr>
        <w:t>achi</w:t>
      </w:r>
      <w:r w:rsidR="00050506" w:rsidRPr="00507C65">
        <w:rPr>
          <w:rFonts w:ascii="Arial" w:hAnsi="Arial" w:cs="Arial"/>
          <w:sz w:val="24"/>
          <w:szCs w:val="24"/>
          <w:lang w:val="en-GB"/>
        </w:rPr>
        <w:t>)</w:t>
      </w:r>
    </w:p>
    <w:p w14:paraId="78AB3E3A" w14:textId="77777777" w:rsidR="00052120" w:rsidRPr="00507C65" w:rsidRDefault="00052120" w:rsidP="00D779D5">
      <w:pPr>
        <w:spacing w:line="360" w:lineRule="auto"/>
        <w:jc w:val="both"/>
        <w:rPr>
          <w:rFonts w:ascii="Arial" w:hAnsi="Arial" w:cs="Arial"/>
          <w:sz w:val="24"/>
          <w:szCs w:val="24"/>
          <w:lang w:val="en-GB"/>
        </w:rPr>
      </w:pPr>
      <w:r w:rsidRPr="00507C65">
        <w:rPr>
          <w:rFonts w:ascii="Arial" w:hAnsi="Arial" w:cs="Arial"/>
          <w:sz w:val="24"/>
          <w:szCs w:val="24"/>
          <w:lang w:val="en-GB"/>
        </w:rPr>
        <w:t>Instructed by:</w:t>
      </w:r>
      <w:r w:rsidRPr="00507C65">
        <w:rPr>
          <w:rFonts w:ascii="Arial" w:hAnsi="Arial" w:cs="Arial"/>
          <w:sz w:val="24"/>
          <w:szCs w:val="24"/>
          <w:lang w:val="en-GB"/>
        </w:rPr>
        <w:tab/>
      </w:r>
      <w:r w:rsidRPr="00507C65">
        <w:rPr>
          <w:rFonts w:ascii="Arial" w:hAnsi="Arial" w:cs="Arial"/>
          <w:sz w:val="24"/>
          <w:szCs w:val="24"/>
          <w:lang w:val="en-GB"/>
        </w:rPr>
        <w:tab/>
      </w:r>
      <w:r w:rsidRPr="00507C65">
        <w:rPr>
          <w:rFonts w:ascii="Arial" w:hAnsi="Arial" w:cs="Arial"/>
          <w:sz w:val="24"/>
          <w:szCs w:val="24"/>
          <w:lang w:val="en-GB"/>
        </w:rPr>
        <w:tab/>
      </w:r>
      <w:r w:rsidR="00377DC3" w:rsidRPr="00507C65">
        <w:rPr>
          <w:rFonts w:ascii="Arial" w:hAnsi="Arial" w:cs="Arial"/>
          <w:sz w:val="24"/>
          <w:szCs w:val="24"/>
          <w:lang w:val="en-GB"/>
        </w:rPr>
        <w:t>Sameera Cassi</w:t>
      </w:r>
      <w:r w:rsidR="00050506" w:rsidRPr="00507C65">
        <w:rPr>
          <w:rFonts w:ascii="Arial" w:hAnsi="Arial" w:cs="Arial"/>
          <w:sz w:val="24"/>
          <w:szCs w:val="24"/>
          <w:lang w:val="en-GB"/>
        </w:rPr>
        <w:t>mjee Attor</w:t>
      </w:r>
      <w:r w:rsidR="00CA7B8B" w:rsidRPr="00507C65">
        <w:rPr>
          <w:rFonts w:ascii="Arial" w:hAnsi="Arial" w:cs="Arial"/>
          <w:sz w:val="24"/>
          <w:szCs w:val="24"/>
          <w:lang w:val="en-GB"/>
        </w:rPr>
        <w:t>n</w:t>
      </w:r>
      <w:r w:rsidR="00050506" w:rsidRPr="00507C65">
        <w:rPr>
          <w:rFonts w:ascii="Arial" w:hAnsi="Arial" w:cs="Arial"/>
          <w:sz w:val="24"/>
          <w:szCs w:val="24"/>
          <w:lang w:val="en-GB"/>
        </w:rPr>
        <w:t>e</w:t>
      </w:r>
      <w:r w:rsidR="00CA7B8B" w:rsidRPr="00507C65">
        <w:rPr>
          <w:rFonts w:ascii="Arial" w:hAnsi="Arial" w:cs="Arial"/>
          <w:sz w:val="24"/>
          <w:szCs w:val="24"/>
          <w:lang w:val="en-GB"/>
        </w:rPr>
        <w:t>ys</w:t>
      </w:r>
      <w:r w:rsidRPr="00507C65">
        <w:rPr>
          <w:rFonts w:ascii="Arial" w:hAnsi="Arial" w:cs="Arial"/>
          <w:sz w:val="24"/>
          <w:szCs w:val="24"/>
          <w:lang w:val="en-GB"/>
        </w:rPr>
        <w:t xml:space="preserve">, </w:t>
      </w:r>
      <w:r w:rsidR="00377DC3" w:rsidRPr="00507C65">
        <w:rPr>
          <w:rFonts w:ascii="Arial" w:hAnsi="Arial" w:cs="Arial"/>
          <w:sz w:val="24"/>
          <w:szCs w:val="24"/>
          <w:lang w:val="en-GB"/>
        </w:rPr>
        <w:t>Pietermaritzburg</w:t>
      </w:r>
    </w:p>
    <w:p w14:paraId="5C7F4129" w14:textId="77777777" w:rsidR="00052120" w:rsidRPr="00EC5FD0" w:rsidRDefault="00CA7B8B" w:rsidP="00D779D5">
      <w:pPr>
        <w:spacing w:line="360" w:lineRule="auto"/>
        <w:ind w:left="2880" w:firstLine="720"/>
        <w:jc w:val="both"/>
        <w:rPr>
          <w:rFonts w:ascii="Arial" w:hAnsi="Arial" w:cs="Arial"/>
          <w:sz w:val="24"/>
          <w:szCs w:val="24"/>
          <w:lang w:val="en-GB"/>
        </w:rPr>
      </w:pPr>
      <w:r w:rsidRPr="00507C65">
        <w:rPr>
          <w:rFonts w:ascii="Arial" w:hAnsi="Arial" w:cs="Arial"/>
          <w:sz w:val="24"/>
          <w:szCs w:val="24"/>
          <w:lang w:val="en-GB"/>
        </w:rPr>
        <w:t>Honey Incorporated</w:t>
      </w:r>
      <w:r w:rsidR="00052120" w:rsidRPr="00507C65">
        <w:rPr>
          <w:rFonts w:ascii="Arial" w:hAnsi="Arial" w:cs="Arial"/>
          <w:sz w:val="24"/>
          <w:szCs w:val="24"/>
          <w:lang w:val="en-GB"/>
        </w:rPr>
        <w:t>, Bloemfontein.</w:t>
      </w:r>
      <w:r w:rsidR="00052120" w:rsidRPr="00EC5FD0">
        <w:rPr>
          <w:rFonts w:ascii="Arial" w:hAnsi="Arial" w:cs="Arial"/>
          <w:sz w:val="24"/>
          <w:szCs w:val="24"/>
          <w:lang w:val="en-GB"/>
        </w:rPr>
        <w:t xml:space="preserve"> </w:t>
      </w:r>
    </w:p>
    <w:p w14:paraId="18F3B91C" w14:textId="77777777" w:rsidR="00052120" w:rsidRPr="00414F42" w:rsidRDefault="00052120" w:rsidP="00D779D5">
      <w:pPr>
        <w:spacing w:line="360" w:lineRule="auto"/>
        <w:jc w:val="both"/>
        <w:rPr>
          <w:rFonts w:ascii="Arial" w:hAnsi="Arial" w:cs="Arial"/>
          <w:sz w:val="24"/>
          <w:szCs w:val="24"/>
        </w:rPr>
      </w:pPr>
    </w:p>
    <w:sectPr w:rsidR="00052120" w:rsidRPr="00414F42" w:rsidSect="00D85AC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8998E" w14:textId="77777777" w:rsidR="00AF4E9F" w:rsidRDefault="00AF4E9F" w:rsidP="00FC7DE1">
      <w:pPr>
        <w:spacing w:after="0" w:line="240" w:lineRule="auto"/>
      </w:pPr>
      <w:r>
        <w:separator/>
      </w:r>
    </w:p>
  </w:endnote>
  <w:endnote w:type="continuationSeparator" w:id="0">
    <w:p w14:paraId="5D38F340" w14:textId="77777777" w:rsidR="00AF4E9F" w:rsidRDefault="00AF4E9F" w:rsidP="00FC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4A59" w14:textId="77777777" w:rsidR="00AF4E9F" w:rsidRDefault="00AF4E9F" w:rsidP="00FC7DE1">
      <w:pPr>
        <w:spacing w:after="0" w:line="240" w:lineRule="auto"/>
      </w:pPr>
      <w:r>
        <w:separator/>
      </w:r>
    </w:p>
  </w:footnote>
  <w:footnote w:type="continuationSeparator" w:id="0">
    <w:p w14:paraId="7874E664" w14:textId="77777777" w:rsidR="00AF4E9F" w:rsidRDefault="00AF4E9F" w:rsidP="00FC7DE1">
      <w:pPr>
        <w:spacing w:after="0" w:line="240" w:lineRule="auto"/>
      </w:pPr>
      <w:r>
        <w:continuationSeparator/>
      </w:r>
    </w:p>
  </w:footnote>
  <w:footnote w:id="1">
    <w:p w14:paraId="2A426F81" w14:textId="0FC305FF" w:rsidR="00EC69AA" w:rsidRPr="00C91B1D" w:rsidRDefault="00EC69AA" w:rsidP="00F4552F">
      <w:pPr>
        <w:pStyle w:val="FootnoteText"/>
      </w:pPr>
      <w:r w:rsidRPr="003C5A25">
        <w:rPr>
          <w:rStyle w:val="FootnoteReference"/>
        </w:rPr>
        <w:footnoteRef/>
      </w:r>
      <w:r w:rsidRPr="003C5A25">
        <w:t xml:space="preserve"> </w:t>
      </w:r>
      <w:bookmarkStart w:id="4" w:name="_Hlk132569897"/>
      <w:r w:rsidRPr="00C91B1D">
        <w:rPr>
          <w:i/>
        </w:rPr>
        <w:t>Magida v Minister of Police</w:t>
      </w:r>
      <w:r w:rsidRPr="003C5A25">
        <w:t xml:space="preserve"> [1987] 1 All SA 218 (A)</w:t>
      </w:r>
      <w:r>
        <w:t xml:space="preserve"> </w:t>
      </w:r>
      <w:bookmarkEnd w:id="4"/>
      <w:r>
        <w:t>at 226 (</w:t>
      </w:r>
      <w:r w:rsidRPr="00C91B1D">
        <w:rPr>
          <w:i/>
        </w:rPr>
        <w:t>Magida</w:t>
      </w:r>
      <w:r>
        <w:t xml:space="preserve">); see also </w:t>
      </w:r>
      <w:r w:rsidRPr="00C91B1D">
        <w:rPr>
          <w:i/>
        </w:rPr>
        <w:t>Blastrite (Pty) Ltd v Genpaco Ltd; In re: Genpaco Ltd v Blastrite (Pty) Ltd</w:t>
      </w:r>
      <w:r>
        <w:t xml:space="preserve"> </w:t>
      </w:r>
      <w:r w:rsidRPr="00DA47A2">
        <w:t xml:space="preserve">[2015] ZAWCHC 76; 2016 (2) SA 622 (WCC) </w:t>
      </w:r>
      <w:r>
        <w:t>para 10 (</w:t>
      </w:r>
      <w:r w:rsidRPr="00C91B1D">
        <w:rPr>
          <w:i/>
        </w:rPr>
        <w:t>Blastrite</w:t>
      </w:r>
      <w:r>
        <w:t>).</w:t>
      </w:r>
    </w:p>
  </w:footnote>
  <w:footnote w:id="2">
    <w:p w14:paraId="00629F51" w14:textId="319B86A1" w:rsidR="00EC69AA" w:rsidRDefault="00EC69AA">
      <w:pPr>
        <w:pStyle w:val="FootnoteText"/>
      </w:pPr>
      <w:r>
        <w:rPr>
          <w:rStyle w:val="FootnoteReference"/>
        </w:rPr>
        <w:footnoteRef/>
      </w:r>
      <w:r>
        <w:t xml:space="preserve"> Ibid </w:t>
      </w:r>
      <w:r w:rsidRPr="00C91B1D">
        <w:rPr>
          <w:i/>
        </w:rPr>
        <w:t>Magida</w:t>
      </w:r>
      <w:r>
        <w:t xml:space="preserve"> at 226; see also Ibid </w:t>
      </w:r>
      <w:r w:rsidRPr="00C91B1D">
        <w:rPr>
          <w:i/>
        </w:rPr>
        <w:t>Blastrite</w:t>
      </w:r>
      <w:r>
        <w:t xml:space="preserve"> para 28.</w:t>
      </w:r>
    </w:p>
  </w:footnote>
  <w:footnote w:id="3">
    <w:p w14:paraId="7C1B5589" w14:textId="77777777" w:rsidR="00EC69AA" w:rsidRPr="00C91B1D" w:rsidRDefault="00EC69AA" w:rsidP="006D4EF5">
      <w:pPr>
        <w:pStyle w:val="FootnoteText"/>
      </w:pPr>
      <w:r>
        <w:rPr>
          <w:rStyle w:val="FootnoteReference"/>
        </w:rPr>
        <w:footnoteRef/>
      </w:r>
      <w:r w:rsidRPr="003A1F60">
        <w:rPr>
          <w:i/>
          <w:iCs/>
          <w:lang w:val="en-US"/>
        </w:rPr>
        <w:t>Shepstone &amp; Wylie &amp; Others v Geyser NO</w:t>
      </w:r>
      <w:r w:rsidRPr="003A1F60">
        <w:t xml:space="preserve"> </w:t>
      </w:r>
      <w:r w:rsidRPr="009C1BF3">
        <w:t>[1998] 3 All SA 349 (A)</w:t>
      </w:r>
      <w:r>
        <w:t xml:space="preserve">; </w:t>
      </w:r>
      <w:r w:rsidRPr="007046F4">
        <w:t>1998 (3) SA</w:t>
      </w:r>
      <w:r>
        <w:t xml:space="preserve"> </w:t>
      </w:r>
      <w:r w:rsidRPr="007046F4">
        <w:t>1036 (SCA) at 1045I-1045C</w:t>
      </w:r>
      <w:r>
        <w:t>.</w:t>
      </w:r>
    </w:p>
  </w:footnote>
  <w:footnote w:id="4">
    <w:p w14:paraId="7CE78504" w14:textId="1EB5AAD2" w:rsidR="00EC69AA" w:rsidRPr="00C2565A" w:rsidRDefault="00EC69AA" w:rsidP="003226DF">
      <w:pPr>
        <w:pStyle w:val="FootnoteText"/>
        <w:rPr>
          <w:lang w:val="en-US"/>
        </w:rPr>
      </w:pPr>
      <w:r w:rsidRPr="00ED68C7">
        <w:rPr>
          <w:rStyle w:val="FootnoteReference"/>
        </w:rPr>
        <w:footnoteRef/>
      </w:r>
      <w:r w:rsidR="00492358">
        <w:t xml:space="preserve"> </w:t>
      </w:r>
      <w:r w:rsidR="00507C65">
        <w:t>F</w:t>
      </w:r>
      <w:r w:rsidRPr="00C91B1D">
        <w:t>n 3</w:t>
      </w:r>
      <w:r>
        <w:rPr>
          <w:i/>
        </w:rPr>
        <w:t xml:space="preserve"> </w:t>
      </w:r>
      <w:r w:rsidR="00507C65">
        <w:rPr>
          <w:iCs/>
        </w:rPr>
        <w:t xml:space="preserve">above </w:t>
      </w:r>
      <w:r w:rsidRPr="000524F4">
        <w:t>para</w:t>
      </w:r>
      <w:r w:rsidR="00507C65">
        <w:t>s</w:t>
      </w:r>
      <w:r w:rsidRPr="000524F4">
        <w:t xml:space="preserve"> 18</w:t>
      </w:r>
      <w:r>
        <w:t>-19.</w:t>
      </w:r>
    </w:p>
  </w:footnote>
  <w:footnote w:id="5">
    <w:p w14:paraId="42759973" w14:textId="0B802510" w:rsidR="003C68A1" w:rsidRPr="00262CE3" w:rsidRDefault="003C68A1">
      <w:pPr>
        <w:pStyle w:val="FootnoteText"/>
        <w:rPr>
          <w:iCs/>
          <w:lang w:val="en-GB"/>
        </w:rPr>
      </w:pPr>
      <w:r>
        <w:rPr>
          <w:rStyle w:val="FootnoteReference"/>
        </w:rPr>
        <w:footnoteRef/>
      </w:r>
      <w:r>
        <w:t xml:space="preserve"> </w:t>
      </w:r>
      <w:r w:rsidRPr="00C91B1D">
        <w:rPr>
          <w:i/>
        </w:rPr>
        <w:t xml:space="preserve">Magida </w:t>
      </w:r>
      <w:r>
        <w:rPr>
          <w:iCs/>
        </w:rPr>
        <w:t>fn 1 above.</w:t>
      </w:r>
    </w:p>
  </w:footnote>
  <w:footnote w:id="6">
    <w:p w14:paraId="262EFA4A" w14:textId="6B96CE9D" w:rsidR="003C68A1" w:rsidRPr="00262CE3" w:rsidRDefault="003C68A1">
      <w:pPr>
        <w:pStyle w:val="FootnoteText"/>
        <w:rPr>
          <w:i/>
        </w:rPr>
      </w:pPr>
      <w:r>
        <w:rPr>
          <w:rStyle w:val="FootnoteReference"/>
        </w:rPr>
        <w:footnoteRef/>
      </w:r>
      <w:r>
        <w:t xml:space="preserve"> </w:t>
      </w:r>
      <w:r w:rsidRPr="00FF3646">
        <w:rPr>
          <w:i/>
        </w:rPr>
        <w:t xml:space="preserve">Trencon Construction (Pty) Limited v Industrial Development Corporation of South Africa </w:t>
      </w:r>
      <w:r>
        <w:rPr>
          <w:i/>
        </w:rPr>
        <w:t xml:space="preserve">Limited and Another </w:t>
      </w:r>
      <w:r w:rsidRPr="00C91B1D">
        <w:t>[2015] ZACC 22; 2015 (5) SA 245 (CC); 2015 (10) BCLR 1199 (CC)</w:t>
      </w:r>
      <w:r w:rsidRPr="00FF3646" w:rsidDel="00FF3646">
        <w:rPr>
          <w:i/>
          <w:lang w:val="en-GB"/>
        </w:rPr>
        <w:t xml:space="preserve"> </w:t>
      </w:r>
      <w:r>
        <w:rPr>
          <w:lang w:val="en-GB"/>
        </w:rPr>
        <w:t>para 83.</w:t>
      </w:r>
    </w:p>
  </w:footnote>
  <w:footnote w:id="7">
    <w:p w14:paraId="3398717B" w14:textId="77777777" w:rsidR="00EC69AA" w:rsidRPr="002474AD" w:rsidRDefault="00EC69AA" w:rsidP="008531D6">
      <w:pPr>
        <w:pStyle w:val="FootnoteText"/>
        <w:rPr>
          <w:lang w:val="en-US"/>
        </w:rPr>
      </w:pPr>
      <w:r>
        <w:rPr>
          <w:rStyle w:val="FootnoteReference"/>
        </w:rPr>
        <w:footnoteRef/>
      </w:r>
      <w:r>
        <w:t xml:space="preserve"> </w:t>
      </w:r>
      <w:r w:rsidRPr="008C611C">
        <w:rPr>
          <w:i/>
        </w:rPr>
        <w:t>Media Workers Association of South Africa and Others v Press Corporation of South Africa Ltd (‘Perskor’)</w:t>
      </w:r>
      <w:r w:rsidRPr="001A3592">
        <w:rPr>
          <w:rFonts w:ascii="Verdana" w:hAnsi="Verdana" w:cstheme="minorBidi"/>
          <w:b/>
          <w:bCs/>
          <w:color w:val="000000"/>
          <w:sz w:val="18"/>
          <w:szCs w:val="18"/>
          <w:shd w:val="clear" w:color="auto" w:fill="FFFFFF"/>
        </w:rPr>
        <w:t xml:space="preserve"> </w:t>
      </w:r>
      <w:r w:rsidRPr="00C91B1D">
        <w:rPr>
          <w:bCs/>
        </w:rPr>
        <w:t>[1992] 2 All SA 453 (A);</w:t>
      </w:r>
      <w:r w:rsidRPr="001A3592">
        <w:t> </w:t>
      </w:r>
      <w:hyperlink r:id="rId1" w:tooltip="View LawCiteRecord" w:history="1">
        <w:r w:rsidRPr="008C611C">
          <w:rPr>
            <w:rStyle w:val="Hyperlink"/>
            <w:color w:val="000000" w:themeColor="text1"/>
            <w:u w:val="none"/>
          </w:rPr>
          <w:t>1992 (4) SA 791</w:t>
        </w:r>
      </w:hyperlink>
      <w:r>
        <w:rPr>
          <w:rStyle w:val="Hyperlink"/>
          <w:color w:val="000000" w:themeColor="text1"/>
          <w:u w:val="none"/>
        </w:rPr>
        <w:t xml:space="preserve"> at 796H-I and 800E-G.</w:t>
      </w:r>
    </w:p>
  </w:footnote>
  <w:footnote w:id="8">
    <w:p w14:paraId="07C622F6" w14:textId="77777777" w:rsidR="00EC69AA" w:rsidRPr="00DD13B0" w:rsidRDefault="00EC69AA" w:rsidP="00F83202">
      <w:pPr>
        <w:pStyle w:val="FootnoteText"/>
        <w:rPr>
          <w:lang w:val="en-US"/>
        </w:rPr>
      </w:pPr>
      <w:r>
        <w:rPr>
          <w:rStyle w:val="FootnoteReference"/>
        </w:rPr>
        <w:footnoteRef/>
      </w:r>
      <w:r w:rsidRPr="00D6606B">
        <w:rPr>
          <w:i/>
          <w:iCs/>
          <w:lang w:val="en-US"/>
        </w:rPr>
        <w:t>Shepstone &amp; Wylie &amp; Others v Geyser NO</w:t>
      </w:r>
      <w:r w:rsidRPr="00D6606B">
        <w:rPr>
          <w:i/>
        </w:rPr>
        <w:t xml:space="preserve"> [1998] 3 All SA 349 (A); 1998 (3) SA 1036 (SCA)</w:t>
      </w:r>
      <w:r>
        <w:rPr>
          <w:lang w:val="en-US"/>
        </w:rPr>
        <w:t xml:space="preserve"> at 1044-1045G.</w:t>
      </w:r>
    </w:p>
  </w:footnote>
  <w:footnote w:id="9">
    <w:p w14:paraId="5737E24D" w14:textId="77777777" w:rsidR="00EC69AA" w:rsidRPr="00F31891" w:rsidRDefault="00EC69AA" w:rsidP="00F83202">
      <w:pPr>
        <w:pStyle w:val="FootnoteText"/>
      </w:pPr>
      <w:r>
        <w:rPr>
          <w:rStyle w:val="FootnoteReference"/>
        </w:rPr>
        <w:footnoteRef/>
      </w:r>
      <w:r>
        <w:rPr>
          <w:i/>
        </w:rPr>
        <w:t>Giddey NO v J</w:t>
      </w:r>
      <w:r w:rsidRPr="00C470BA">
        <w:rPr>
          <w:i/>
        </w:rPr>
        <w:t>C Barnard &amp; Partners</w:t>
      </w:r>
      <w:r>
        <w:t xml:space="preserve"> </w:t>
      </w:r>
      <w:r w:rsidRPr="00F31891">
        <w:t xml:space="preserve">[2006] ZACC 13; 2007 (5) SA 525 (CC); 2007 (2) </w:t>
      </w:r>
      <w:r>
        <w:t>BCLR 125 (CC)</w:t>
      </w:r>
      <w:r>
        <w:rPr>
          <w:lang w:val="en-US"/>
        </w:rPr>
        <w:t xml:space="preserve"> </w:t>
      </w:r>
      <w:r w:rsidRPr="00C470BA">
        <w:rPr>
          <w:lang w:val="en-US"/>
        </w:rPr>
        <w:t>para</w:t>
      </w:r>
      <w:r>
        <w:rPr>
          <w:lang w:val="en-US"/>
        </w:rPr>
        <w:t>s 8 and 30.</w:t>
      </w:r>
    </w:p>
  </w:footnote>
  <w:footnote w:id="10">
    <w:p w14:paraId="3038C14D" w14:textId="5A3A692E" w:rsidR="00352BFC" w:rsidRDefault="00352BFC">
      <w:pPr>
        <w:pStyle w:val="FootnoteText"/>
      </w:pPr>
      <w:r>
        <w:rPr>
          <w:rStyle w:val="FootnoteReference"/>
        </w:rPr>
        <w:footnoteRef/>
      </w:r>
      <w:r>
        <w:t xml:space="preserve"> </w:t>
      </w:r>
      <w:r w:rsidR="00377042">
        <w:t>Fn 10 above</w:t>
      </w:r>
      <w:r>
        <w:t xml:space="preserve"> para 22.</w:t>
      </w:r>
    </w:p>
  </w:footnote>
  <w:footnote w:id="11">
    <w:p w14:paraId="1BC926CF" w14:textId="30788C27" w:rsidR="00EC69AA" w:rsidRDefault="00EC69AA">
      <w:pPr>
        <w:pStyle w:val="FootnoteText"/>
      </w:pPr>
      <w:r w:rsidRPr="00ED68C7">
        <w:rPr>
          <w:rStyle w:val="FootnoteReference"/>
        </w:rPr>
        <w:footnoteRef/>
      </w:r>
      <w:r w:rsidRPr="00C91B1D">
        <w:t xml:space="preserve"> </w:t>
      </w:r>
      <w:r w:rsidR="00377042">
        <w:t>F</w:t>
      </w:r>
      <w:r w:rsidRPr="00C91B1D">
        <w:t>n 1</w:t>
      </w:r>
      <w:r w:rsidR="00377042">
        <w:t xml:space="preserve"> above</w:t>
      </w:r>
      <w:r>
        <w:t>.</w:t>
      </w:r>
    </w:p>
  </w:footnote>
  <w:footnote w:id="12">
    <w:p w14:paraId="1863066C" w14:textId="69F54221" w:rsidR="00EC69AA" w:rsidRDefault="00EC69AA">
      <w:pPr>
        <w:pStyle w:val="FootnoteText"/>
      </w:pPr>
      <w:r>
        <w:rPr>
          <w:rStyle w:val="FootnoteReference"/>
        </w:rPr>
        <w:footnoteRef/>
      </w:r>
      <w:r>
        <w:t>Ibid para 28.</w:t>
      </w:r>
    </w:p>
  </w:footnote>
  <w:footnote w:id="13">
    <w:p w14:paraId="0427FFE0" w14:textId="00F6EEAB" w:rsidR="00EC69AA" w:rsidRDefault="00EC69AA">
      <w:pPr>
        <w:pStyle w:val="FootnoteText"/>
      </w:pPr>
      <w:r>
        <w:rPr>
          <w:rStyle w:val="FootnoteReference"/>
        </w:rPr>
        <w:footnoteRef/>
      </w:r>
      <w:r>
        <w:t xml:space="preserve"> </w:t>
      </w:r>
      <w:r w:rsidRPr="002159D4">
        <w:t>Ibid para 28.</w:t>
      </w:r>
    </w:p>
  </w:footnote>
  <w:footnote w:id="14">
    <w:p w14:paraId="414C7D1C" w14:textId="1C2EC135" w:rsidR="00EC69AA" w:rsidRDefault="00EC69AA">
      <w:pPr>
        <w:pStyle w:val="FootnoteText"/>
      </w:pPr>
      <w:r>
        <w:rPr>
          <w:rStyle w:val="FootnoteReference"/>
        </w:rPr>
        <w:footnoteRef/>
      </w:r>
      <w:r>
        <w:t xml:space="preserve"> </w:t>
      </w:r>
      <w:r w:rsidRPr="00E35815">
        <w:t>Ibid para 28.</w:t>
      </w:r>
    </w:p>
  </w:footnote>
  <w:footnote w:id="15">
    <w:p w14:paraId="1A50FCB5" w14:textId="77777777" w:rsidR="007659FD" w:rsidRPr="006574B0" w:rsidRDefault="007659FD" w:rsidP="007659FD">
      <w:pPr>
        <w:pStyle w:val="FootnoteText"/>
        <w:rPr>
          <w:lang w:val="en-US"/>
        </w:rPr>
      </w:pPr>
      <w:r>
        <w:rPr>
          <w:rStyle w:val="FootnoteReference"/>
        </w:rPr>
        <w:footnoteRef/>
      </w:r>
      <w:r>
        <w:t xml:space="preserve"> </w:t>
      </w:r>
      <w:r w:rsidRPr="00C91B1D">
        <w:t>Op cit fn 3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2119913"/>
      <w:docPartObj>
        <w:docPartGallery w:val="Page Numbers (Top of Page)"/>
        <w:docPartUnique/>
      </w:docPartObj>
    </w:sdtPr>
    <w:sdtEndPr>
      <w:rPr>
        <w:rStyle w:val="PageNumber"/>
      </w:rPr>
    </w:sdtEndPr>
    <w:sdtContent>
      <w:p w14:paraId="72ED3B16" w14:textId="3D460B16" w:rsidR="00EC69AA" w:rsidRDefault="00EC69AA" w:rsidP="00A2443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EF9AD" w14:textId="77777777" w:rsidR="00EC69AA" w:rsidRDefault="00EC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28375"/>
      <w:docPartObj>
        <w:docPartGallery w:val="Page Numbers (Top of Page)"/>
        <w:docPartUnique/>
      </w:docPartObj>
    </w:sdtPr>
    <w:sdtEndPr>
      <w:rPr>
        <w:noProof/>
      </w:rPr>
    </w:sdtEndPr>
    <w:sdtContent>
      <w:p w14:paraId="59AE25ED" w14:textId="23973E01" w:rsidR="00B646FD" w:rsidRDefault="00B646FD">
        <w:pPr>
          <w:pStyle w:val="Header"/>
          <w:jc w:val="right"/>
        </w:pPr>
        <w:r>
          <w:fldChar w:fldCharType="begin"/>
        </w:r>
        <w:r>
          <w:instrText xml:space="preserve"> PAGE   \* MERGEFORMAT </w:instrText>
        </w:r>
        <w:r>
          <w:fldChar w:fldCharType="separate"/>
        </w:r>
        <w:r w:rsidR="00C45E4D">
          <w:rPr>
            <w:noProof/>
          </w:rPr>
          <w:t>4</w:t>
        </w:r>
        <w:r>
          <w:rPr>
            <w:noProof/>
          </w:rPr>
          <w:fldChar w:fldCharType="end"/>
        </w:r>
      </w:p>
    </w:sdtContent>
  </w:sdt>
  <w:p w14:paraId="1C8889F0" w14:textId="77777777" w:rsidR="00EC69AA" w:rsidRDefault="00EC6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A111A"/>
    <w:multiLevelType w:val="hybridMultilevel"/>
    <w:tmpl w:val="AFBC7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6A2E55"/>
    <w:multiLevelType w:val="hybridMultilevel"/>
    <w:tmpl w:val="64683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350C3"/>
    <w:multiLevelType w:val="hybridMultilevel"/>
    <w:tmpl w:val="6CE4E2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42"/>
    <w:rsid w:val="00000016"/>
    <w:rsid w:val="000025B6"/>
    <w:rsid w:val="0000495E"/>
    <w:rsid w:val="00011256"/>
    <w:rsid w:val="00011E88"/>
    <w:rsid w:val="00017740"/>
    <w:rsid w:val="000201BA"/>
    <w:rsid w:val="00020A92"/>
    <w:rsid w:val="0002128D"/>
    <w:rsid w:val="000235F2"/>
    <w:rsid w:val="000262D4"/>
    <w:rsid w:val="0002731F"/>
    <w:rsid w:val="00032223"/>
    <w:rsid w:val="00033CA5"/>
    <w:rsid w:val="00035A0F"/>
    <w:rsid w:val="00035C59"/>
    <w:rsid w:val="00042813"/>
    <w:rsid w:val="0004387D"/>
    <w:rsid w:val="00044686"/>
    <w:rsid w:val="00046B0E"/>
    <w:rsid w:val="000475D2"/>
    <w:rsid w:val="000478A3"/>
    <w:rsid w:val="00047DAD"/>
    <w:rsid w:val="00050506"/>
    <w:rsid w:val="00052120"/>
    <w:rsid w:val="00052B95"/>
    <w:rsid w:val="00052CEC"/>
    <w:rsid w:val="00055051"/>
    <w:rsid w:val="00055218"/>
    <w:rsid w:val="000608DB"/>
    <w:rsid w:val="000726BB"/>
    <w:rsid w:val="000729AF"/>
    <w:rsid w:val="00073848"/>
    <w:rsid w:val="00076CBC"/>
    <w:rsid w:val="000775E8"/>
    <w:rsid w:val="00077C93"/>
    <w:rsid w:val="00080083"/>
    <w:rsid w:val="00080939"/>
    <w:rsid w:val="00081501"/>
    <w:rsid w:val="0008311A"/>
    <w:rsid w:val="0008321A"/>
    <w:rsid w:val="0008395A"/>
    <w:rsid w:val="00084C17"/>
    <w:rsid w:val="00085558"/>
    <w:rsid w:val="00085B86"/>
    <w:rsid w:val="000860B4"/>
    <w:rsid w:val="00086723"/>
    <w:rsid w:val="00090974"/>
    <w:rsid w:val="000909A1"/>
    <w:rsid w:val="00092DAF"/>
    <w:rsid w:val="00095BB6"/>
    <w:rsid w:val="000A570E"/>
    <w:rsid w:val="000A62EC"/>
    <w:rsid w:val="000A758A"/>
    <w:rsid w:val="000A79CF"/>
    <w:rsid w:val="000B208C"/>
    <w:rsid w:val="000B3685"/>
    <w:rsid w:val="000B7034"/>
    <w:rsid w:val="000C0D30"/>
    <w:rsid w:val="000C12BE"/>
    <w:rsid w:val="000C16DD"/>
    <w:rsid w:val="000C424A"/>
    <w:rsid w:val="000D38D8"/>
    <w:rsid w:val="000F564B"/>
    <w:rsid w:val="001014C5"/>
    <w:rsid w:val="00104991"/>
    <w:rsid w:val="001062CA"/>
    <w:rsid w:val="00110F8E"/>
    <w:rsid w:val="001167DC"/>
    <w:rsid w:val="001172AD"/>
    <w:rsid w:val="0012300E"/>
    <w:rsid w:val="001255A2"/>
    <w:rsid w:val="00125A0A"/>
    <w:rsid w:val="00126BAE"/>
    <w:rsid w:val="001327D5"/>
    <w:rsid w:val="00132E5B"/>
    <w:rsid w:val="0013667C"/>
    <w:rsid w:val="00136B79"/>
    <w:rsid w:val="0014063C"/>
    <w:rsid w:val="00141236"/>
    <w:rsid w:val="00143B4A"/>
    <w:rsid w:val="00153DC7"/>
    <w:rsid w:val="001542CB"/>
    <w:rsid w:val="00156394"/>
    <w:rsid w:val="0015662D"/>
    <w:rsid w:val="00157FAE"/>
    <w:rsid w:val="00165247"/>
    <w:rsid w:val="00165D1D"/>
    <w:rsid w:val="0016630E"/>
    <w:rsid w:val="00173D86"/>
    <w:rsid w:val="00177D36"/>
    <w:rsid w:val="00182EAE"/>
    <w:rsid w:val="001838C4"/>
    <w:rsid w:val="00184DF2"/>
    <w:rsid w:val="00184DF4"/>
    <w:rsid w:val="00186800"/>
    <w:rsid w:val="00190473"/>
    <w:rsid w:val="00191856"/>
    <w:rsid w:val="00191CE0"/>
    <w:rsid w:val="00194B6B"/>
    <w:rsid w:val="001965A9"/>
    <w:rsid w:val="00196990"/>
    <w:rsid w:val="001A14FD"/>
    <w:rsid w:val="001A1ED6"/>
    <w:rsid w:val="001A3592"/>
    <w:rsid w:val="001A4632"/>
    <w:rsid w:val="001A68D4"/>
    <w:rsid w:val="001B2159"/>
    <w:rsid w:val="001B5CBE"/>
    <w:rsid w:val="001B7521"/>
    <w:rsid w:val="001B7D53"/>
    <w:rsid w:val="001C6032"/>
    <w:rsid w:val="001D0877"/>
    <w:rsid w:val="001D1074"/>
    <w:rsid w:val="001D31B2"/>
    <w:rsid w:val="001E1248"/>
    <w:rsid w:val="001E1C0B"/>
    <w:rsid w:val="001E2035"/>
    <w:rsid w:val="001E2048"/>
    <w:rsid w:val="001E39AA"/>
    <w:rsid w:val="001E3A74"/>
    <w:rsid w:val="001F177E"/>
    <w:rsid w:val="001F2C3F"/>
    <w:rsid w:val="001F32D6"/>
    <w:rsid w:val="001F3B53"/>
    <w:rsid w:val="001F5D19"/>
    <w:rsid w:val="001F67AE"/>
    <w:rsid w:val="001F7A7A"/>
    <w:rsid w:val="001F7EE1"/>
    <w:rsid w:val="00200840"/>
    <w:rsid w:val="002028CB"/>
    <w:rsid w:val="00210EE0"/>
    <w:rsid w:val="002159D4"/>
    <w:rsid w:val="00216BED"/>
    <w:rsid w:val="002204D9"/>
    <w:rsid w:val="00220C1D"/>
    <w:rsid w:val="00220EC7"/>
    <w:rsid w:val="0022192D"/>
    <w:rsid w:val="00224765"/>
    <w:rsid w:val="00224AE9"/>
    <w:rsid w:val="00227C34"/>
    <w:rsid w:val="00234030"/>
    <w:rsid w:val="00235D65"/>
    <w:rsid w:val="00237EB1"/>
    <w:rsid w:val="00240413"/>
    <w:rsid w:val="002423EF"/>
    <w:rsid w:val="00242537"/>
    <w:rsid w:val="00242598"/>
    <w:rsid w:val="00242F77"/>
    <w:rsid w:val="002430B6"/>
    <w:rsid w:val="002462F6"/>
    <w:rsid w:val="00247D4A"/>
    <w:rsid w:val="00256406"/>
    <w:rsid w:val="00257B1D"/>
    <w:rsid w:val="00262CE3"/>
    <w:rsid w:val="00264E42"/>
    <w:rsid w:val="00275FC1"/>
    <w:rsid w:val="00280560"/>
    <w:rsid w:val="00280B50"/>
    <w:rsid w:val="00282B10"/>
    <w:rsid w:val="00285F83"/>
    <w:rsid w:val="00286842"/>
    <w:rsid w:val="00287A65"/>
    <w:rsid w:val="00291769"/>
    <w:rsid w:val="002A251A"/>
    <w:rsid w:val="002A5C4E"/>
    <w:rsid w:val="002A5CB9"/>
    <w:rsid w:val="002B0042"/>
    <w:rsid w:val="002B28FD"/>
    <w:rsid w:val="002B3952"/>
    <w:rsid w:val="002B4642"/>
    <w:rsid w:val="002B4B33"/>
    <w:rsid w:val="002C68C7"/>
    <w:rsid w:val="002C76A8"/>
    <w:rsid w:val="002D2125"/>
    <w:rsid w:val="002D2476"/>
    <w:rsid w:val="002D3172"/>
    <w:rsid w:val="002D3799"/>
    <w:rsid w:val="002D7A1E"/>
    <w:rsid w:val="002E0067"/>
    <w:rsid w:val="002E1E6F"/>
    <w:rsid w:val="002E52C8"/>
    <w:rsid w:val="002F1B40"/>
    <w:rsid w:val="002F1FEA"/>
    <w:rsid w:val="002F2B5F"/>
    <w:rsid w:val="002F33CB"/>
    <w:rsid w:val="00304024"/>
    <w:rsid w:val="003047A4"/>
    <w:rsid w:val="00304D3D"/>
    <w:rsid w:val="0030597F"/>
    <w:rsid w:val="0031262A"/>
    <w:rsid w:val="00314E5D"/>
    <w:rsid w:val="0031567D"/>
    <w:rsid w:val="003226DF"/>
    <w:rsid w:val="00324224"/>
    <w:rsid w:val="00325728"/>
    <w:rsid w:val="003261AD"/>
    <w:rsid w:val="003301B7"/>
    <w:rsid w:val="0033060A"/>
    <w:rsid w:val="00330AF0"/>
    <w:rsid w:val="00330F2C"/>
    <w:rsid w:val="00331933"/>
    <w:rsid w:val="00337939"/>
    <w:rsid w:val="00340DB5"/>
    <w:rsid w:val="00341979"/>
    <w:rsid w:val="003419D2"/>
    <w:rsid w:val="00343260"/>
    <w:rsid w:val="00344007"/>
    <w:rsid w:val="00344962"/>
    <w:rsid w:val="00344FCA"/>
    <w:rsid w:val="00345B99"/>
    <w:rsid w:val="00350096"/>
    <w:rsid w:val="003515EB"/>
    <w:rsid w:val="00352BFC"/>
    <w:rsid w:val="0035636C"/>
    <w:rsid w:val="003566FB"/>
    <w:rsid w:val="00356FE9"/>
    <w:rsid w:val="00357F63"/>
    <w:rsid w:val="003607FE"/>
    <w:rsid w:val="00362E2E"/>
    <w:rsid w:val="00364D00"/>
    <w:rsid w:val="00366AE9"/>
    <w:rsid w:val="003670D5"/>
    <w:rsid w:val="00367C28"/>
    <w:rsid w:val="00371B4E"/>
    <w:rsid w:val="00372CC9"/>
    <w:rsid w:val="00377042"/>
    <w:rsid w:val="00377DC3"/>
    <w:rsid w:val="00380AA2"/>
    <w:rsid w:val="00385BC7"/>
    <w:rsid w:val="0039118F"/>
    <w:rsid w:val="003A1F60"/>
    <w:rsid w:val="003A4462"/>
    <w:rsid w:val="003A56F2"/>
    <w:rsid w:val="003B0DC8"/>
    <w:rsid w:val="003B11D5"/>
    <w:rsid w:val="003B2A6C"/>
    <w:rsid w:val="003B402C"/>
    <w:rsid w:val="003B4BD7"/>
    <w:rsid w:val="003B4F4C"/>
    <w:rsid w:val="003C2E9C"/>
    <w:rsid w:val="003C4792"/>
    <w:rsid w:val="003C5A25"/>
    <w:rsid w:val="003C68A1"/>
    <w:rsid w:val="003C6C7C"/>
    <w:rsid w:val="003C75E0"/>
    <w:rsid w:val="003C7DA3"/>
    <w:rsid w:val="003D0B17"/>
    <w:rsid w:val="003D0B95"/>
    <w:rsid w:val="003D2143"/>
    <w:rsid w:val="003D2D13"/>
    <w:rsid w:val="003D49F8"/>
    <w:rsid w:val="003D755A"/>
    <w:rsid w:val="003D7C44"/>
    <w:rsid w:val="003E0CAD"/>
    <w:rsid w:val="003E1F3C"/>
    <w:rsid w:val="003E2666"/>
    <w:rsid w:val="003F1F88"/>
    <w:rsid w:val="003F3098"/>
    <w:rsid w:val="003F42F8"/>
    <w:rsid w:val="003F476D"/>
    <w:rsid w:val="003F5949"/>
    <w:rsid w:val="003F6812"/>
    <w:rsid w:val="00401139"/>
    <w:rsid w:val="004033CF"/>
    <w:rsid w:val="004106A0"/>
    <w:rsid w:val="004119CF"/>
    <w:rsid w:val="00413118"/>
    <w:rsid w:val="00414F42"/>
    <w:rsid w:val="00416FBA"/>
    <w:rsid w:val="00420109"/>
    <w:rsid w:val="00420B8C"/>
    <w:rsid w:val="00421550"/>
    <w:rsid w:val="004276A8"/>
    <w:rsid w:val="00430553"/>
    <w:rsid w:val="00437422"/>
    <w:rsid w:val="0044056E"/>
    <w:rsid w:val="00445608"/>
    <w:rsid w:val="00447C62"/>
    <w:rsid w:val="00453521"/>
    <w:rsid w:val="00461923"/>
    <w:rsid w:val="00466C30"/>
    <w:rsid w:val="00466E5F"/>
    <w:rsid w:val="004716A7"/>
    <w:rsid w:val="0047492C"/>
    <w:rsid w:val="00481D00"/>
    <w:rsid w:val="00482B3F"/>
    <w:rsid w:val="00484776"/>
    <w:rsid w:val="00484F8C"/>
    <w:rsid w:val="00492358"/>
    <w:rsid w:val="00493A97"/>
    <w:rsid w:val="00493E82"/>
    <w:rsid w:val="004944B1"/>
    <w:rsid w:val="004A065E"/>
    <w:rsid w:val="004A4A0A"/>
    <w:rsid w:val="004A4E36"/>
    <w:rsid w:val="004A6271"/>
    <w:rsid w:val="004B2B0B"/>
    <w:rsid w:val="004C0C16"/>
    <w:rsid w:val="004C1879"/>
    <w:rsid w:val="004C1EEB"/>
    <w:rsid w:val="004C3830"/>
    <w:rsid w:val="004C4618"/>
    <w:rsid w:val="004D05F3"/>
    <w:rsid w:val="004D2016"/>
    <w:rsid w:val="004D22B2"/>
    <w:rsid w:val="004D4EBE"/>
    <w:rsid w:val="004D58CA"/>
    <w:rsid w:val="004D61BD"/>
    <w:rsid w:val="004D6667"/>
    <w:rsid w:val="004E7174"/>
    <w:rsid w:val="004F2610"/>
    <w:rsid w:val="004F3799"/>
    <w:rsid w:val="004F676E"/>
    <w:rsid w:val="0050294C"/>
    <w:rsid w:val="00506A8D"/>
    <w:rsid w:val="005073F3"/>
    <w:rsid w:val="00507C65"/>
    <w:rsid w:val="00510A69"/>
    <w:rsid w:val="00512A9D"/>
    <w:rsid w:val="00512BE8"/>
    <w:rsid w:val="005178C5"/>
    <w:rsid w:val="005236A9"/>
    <w:rsid w:val="00524CC4"/>
    <w:rsid w:val="00524F92"/>
    <w:rsid w:val="005250AE"/>
    <w:rsid w:val="00534795"/>
    <w:rsid w:val="005364A0"/>
    <w:rsid w:val="00544669"/>
    <w:rsid w:val="00544EC5"/>
    <w:rsid w:val="00546570"/>
    <w:rsid w:val="00550D7A"/>
    <w:rsid w:val="005553DE"/>
    <w:rsid w:val="0056020D"/>
    <w:rsid w:val="00560674"/>
    <w:rsid w:val="00560841"/>
    <w:rsid w:val="00561A51"/>
    <w:rsid w:val="00561A66"/>
    <w:rsid w:val="00566C9E"/>
    <w:rsid w:val="005675AA"/>
    <w:rsid w:val="005709A5"/>
    <w:rsid w:val="0057147B"/>
    <w:rsid w:val="0057172C"/>
    <w:rsid w:val="00576573"/>
    <w:rsid w:val="005777A0"/>
    <w:rsid w:val="0058237E"/>
    <w:rsid w:val="005827EF"/>
    <w:rsid w:val="00582909"/>
    <w:rsid w:val="00586564"/>
    <w:rsid w:val="00590624"/>
    <w:rsid w:val="00590FF7"/>
    <w:rsid w:val="0059389A"/>
    <w:rsid w:val="00593EBC"/>
    <w:rsid w:val="00596239"/>
    <w:rsid w:val="005A2829"/>
    <w:rsid w:val="005A472D"/>
    <w:rsid w:val="005B3665"/>
    <w:rsid w:val="005B36B7"/>
    <w:rsid w:val="005B42D7"/>
    <w:rsid w:val="005B4A14"/>
    <w:rsid w:val="005B4E71"/>
    <w:rsid w:val="005B5C57"/>
    <w:rsid w:val="005B6A83"/>
    <w:rsid w:val="005C09C3"/>
    <w:rsid w:val="005C4626"/>
    <w:rsid w:val="005D1477"/>
    <w:rsid w:val="005D2321"/>
    <w:rsid w:val="005D35C6"/>
    <w:rsid w:val="005D731F"/>
    <w:rsid w:val="005E5CC0"/>
    <w:rsid w:val="005E6BEC"/>
    <w:rsid w:val="005E744B"/>
    <w:rsid w:val="005F40F8"/>
    <w:rsid w:val="00601386"/>
    <w:rsid w:val="0060566B"/>
    <w:rsid w:val="00605D64"/>
    <w:rsid w:val="00610321"/>
    <w:rsid w:val="00612DF3"/>
    <w:rsid w:val="0061338B"/>
    <w:rsid w:val="006150B3"/>
    <w:rsid w:val="00617F9B"/>
    <w:rsid w:val="00624561"/>
    <w:rsid w:val="0062487A"/>
    <w:rsid w:val="00627F69"/>
    <w:rsid w:val="006336D0"/>
    <w:rsid w:val="0064063F"/>
    <w:rsid w:val="00640A06"/>
    <w:rsid w:val="006459E4"/>
    <w:rsid w:val="00647AE8"/>
    <w:rsid w:val="00652F92"/>
    <w:rsid w:val="006559CF"/>
    <w:rsid w:val="00655B34"/>
    <w:rsid w:val="00655F0B"/>
    <w:rsid w:val="006579D4"/>
    <w:rsid w:val="006650B9"/>
    <w:rsid w:val="00666124"/>
    <w:rsid w:val="006663E6"/>
    <w:rsid w:val="00667F1C"/>
    <w:rsid w:val="00672943"/>
    <w:rsid w:val="006730F1"/>
    <w:rsid w:val="006755A7"/>
    <w:rsid w:val="00680348"/>
    <w:rsid w:val="00680B73"/>
    <w:rsid w:val="0069195D"/>
    <w:rsid w:val="006932DB"/>
    <w:rsid w:val="006956E0"/>
    <w:rsid w:val="006A7728"/>
    <w:rsid w:val="006B0821"/>
    <w:rsid w:val="006B22FD"/>
    <w:rsid w:val="006B3054"/>
    <w:rsid w:val="006B3439"/>
    <w:rsid w:val="006B37F4"/>
    <w:rsid w:val="006B4CE7"/>
    <w:rsid w:val="006C251E"/>
    <w:rsid w:val="006D02EC"/>
    <w:rsid w:val="006D4EF5"/>
    <w:rsid w:val="006E0123"/>
    <w:rsid w:val="006E4787"/>
    <w:rsid w:val="006E478D"/>
    <w:rsid w:val="006E4FC2"/>
    <w:rsid w:val="006E6738"/>
    <w:rsid w:val="006E6D7D"/>
    <w:rsid w:val="006F2BD5"/>
    <w:rsid w:val="006F3184"/>
    <w:rsid w:val="006F418E"/>
    <w:rsid w:val="006F50CA"/>
    <w:rsid w:val="006F609D"/>
    <w:rsid w:val="00700B22"/>
    <w:rsid w:val="00700E81"/>
    <w:rsid w:val="00704C19"/>
    <w:rsid w:val="00707726"/>
    <w:rsid w:val="00711F37"/>
    <w:rsid w:val="007120FA"/>
    <w:rsid w:val="00715C1A"/>
    <w:rsid w:val="007160A7"/>
    <w:rsid w:val="00722ECD"/>
    <w:rsid w:val="0072592D"/>
    <w:rsid w:val="00725B03"/>
    <w:rsid w:val="00731239"/>
    <w:rsid w:val="007315D6"/>
    <w:rsid w:val="00732BDD"/>
    <w:rsid w:val="00733406"/>
    <w:rsid w:val="00737C2E"/>
    <w:rsid w:val="00740B69"/>
    <w:rsid w:val="00740C34"/>
    <w:rsid w:val="0074204B"/>
    <w:rsid w:val="0074512A"/>
    <w:rsid w:val="00746533"/>
    <w:rsid w:val="0074660E"/>
    <w:rsid w:val="0074695C"/>
    <w:rsid w:val="00746C7C"/>
    <w:rsid w:val="00746F67"/>
    <w:rsid w:val="00747761"/>
    <w:rsid w:val="00752069"/>
    <w:rsid w:val="007659FD"/>
    <w:rsid w:val="00767C12"/>
    <w:rsid w:val="00767F79"/>
    <w:rsid w:val="00773DC6"/>
    <w:rsid w:val="00775DA4"/>
    <w:rsid w:val="007824E0"/>
    <w:rsid w:val="00783B4F"/>
    <w:rsid w:val="00786284"/>
    <w:rsid w:val="00791855"/>
    <w:rsid w:val="00793288"/>
    <w:rsid w:val="00793D26"/>
    <w:rsid w:val="00794B87"/>
    <w:rsid w:val="007973FE"/>
    <w:rsid w:val="00797D1A"/>
    <w:rsid w:val="007A0632"/>
    <w:rsid w:val="007A0AF5"/>
    <w:rsid w:val="007A123A"/>
    <w:rsid w:val="007A39A3"/>
    <w:rsid w:val="007A6DBA"/>
    <w:rsid w:val="007A7315"/>
    <w:rsid w:val="007B2759"/>
    <w:rsid w:val="007B4F89"/>
    <w:rsid w:val="007B5AE5"/>
    <w:rsid w:val="007C0461"/>
    <w:rsid w:val="007C0D13"/>
    <w:rsid w:val="007C2682"/>
    <w:rsid w:val="007C3F25"/>
    <w:rsid w:val="007C45EB"/>
    <w:rsid w:val="007C52E9"/>
    <w:rsid w:val="007C7A3F"/>
    <w:rsid w:val="007D00D6"/>
    <w:rsid w:val="007D05EF"/>
    <w:rsid w:val="007D09BF"/>
    <w:rsid w:val="007D1287"/>
    <w:rsid w:val="007D2AAF"/>
    <w:rsid w:val="007D2B76"/>
    <w:rsid w:val="007D3F90"/>
    <w:rsid w:val="007D5B48"/>
    <w:rsid w:val="007D77A6"/>
    <w:rsid w:val="007D7E18"/>
    <w:rsid w:val="007E119F"/>
    <w:rsid w:val="007E23BF"/>
    <w:rsid w:val="007E5631"/>
    <w:rsid w:val="007F2F13"/>
    <w:rsid w:val="007F46FD"/>
    <w:rsid w:val="007F61E0"/>
    <w:rsid w:val="007F65D2"/>
    <w:rsid w:val="00802077"/>
    <w:rsid w:val="0080260B"/>
    <w:rsid w:val="00802974"/>
    <w:rsid w:val="00803252"/>
    <w:rsid w:val="00804D98"/>
    <w:rsid w:val="0081020F"/>
    <w:rsid w:val="00812677"/>
    <w:rsid w:val="00822B99"/>
    <w:rsid w:val="008231F6"/>
    <w:rsid w:val="00835311"/>
    <w:rsid w:val="0083537D"/>
    <w:rsid w:val="00840F0F"/>
    <w:rsid w:val="00842711"/>
    <w:rsid w:val="00845E4B"/>
    <w:rsid w:val="008467A8"/>
    <w:rsid w:val="00846A87"/>
    <w:rsid w:val="0085140D"/>
    <w:rsid w:val="00852991"/>
    <w:rsid w:val="00852B45"/>
    <w:rsid w:val="008531D6"/>
    <w:rsid w:val="00853DA8"/>
    <w:rsid w:val="00854E20"/>
    <w:rsid w:val="0085574C"/>
    <w:rsid w:val="008576AA"/>
    <w:rsid w:val="00863E41"/>
    <w:rsid w:val="00866229"/>
    <w:rsid w:val="00871A31"/>
    <w:rsid w:val="0087707F"/>
    <w:rsid w:val="00880641"/>
    <w:rsid w:val="008864B0"/>
    <w:rsid w:val="00892B0D"/>
    <w:rsid w:val="008A0021"/>
    <w:rsid w:val="008A3ACD"/>
    <w:rsid w:val="008A6718"/>
    <w:rsid w:val="008B1F39"/>
    <w:rsid w:val="008B2CC7"/>
    <w:rsid w:val="008B31A0"/>
    <w:rsid w:val="008B671F"/>
    <w:rsid w:val="008C0263"/>
    <w:rsid w:val="008C2F85"/>
    <w:rsid w:val="008C4C62"/>
    <w:rsid w:val="008C52FA"/>
    <w:rsid w:val="008C611C"/>
    <w:rsid w:val="008C7C44"/>
    <w:rsid w:val="008D07CF"/>
    <w:rsid w:val="008D497C"/>
    <w:rsid w:val="008D7CDB"/>
    <w:rsid w:val="008E5327"/>
    <w:rsid w:val="008F06C4"/>
    <w:rsid w:val="008F47D4"/>
    <w:rsid w:val="008F4D9F"/>
    <w:rsid w:val="0090177A"/>
    <w:rsid w:val="00901914"/>
    <w:rsid w:val="00901A82"/>
    <w:rsid w:val="00911081"/>
    <w:rsid w:val="009110E5"/>
    <w:rsid w:val="009138C2"/>
    <w:rsid w:val="009138F5"/>
    <w:rsid w:val="009150B4"/>
    <w:rsid w:val="00917616"/>
    <w:rsid w:val="00917CEB"/>
    <w:rsid w:val="0092055D"/>
    <w:rsid w:val="00925280"/>
    <w:rsid w:val="009260AD"/>
    <w:rsid w:val="00931A4F"/>
    <w:rsid w:val="00932BC7"/>
    <w:rsid w:val="0093363B"/>
    <w:rsid w:val="009371F6"/>
    <w:rsid w:val="0094033F"/>
    <w:rsid w:val="00940E51"/>
    <w:rsid w:val="00941B3C"/>
    <w:rsid w:val="00942FEA"/>
    <w:rsid w:val="00945605"/>
    <w:rsid w:val="00946058"/>
    <w:rsid w:val="00947279"/>
    <w:rsid w:val="00947B27"/>
    <w:rsid w:val="009512FC"/>
    <w:rsid w:val="00951877"/>
    <w:rsid w:val="0095265A"/>
    <w:rsid w:val="00955C7C"/>
    <w:rsid w:val="00961973"/>
    <w:rsid w:val="00964741"/>
    <w:rsid w:val="00967C60"/>
    <w:rsid w:val="009733C2"/>
    <w:rsid w:val="009734DE"/>
    <w:rsid w:val="00973D29"/>
    <w:rsid w:val="0097495D"/>
    <w:rsid w:val="0097520B"/>
    <w:rsid w:val="00976A7B"/>
    <w:rsid w:val="00982B84"/>
    <w:rsid w:val="0098380D"/>
    <w:rsid w:val="009838BE"/>
    <w:rsid w:val="0098419C"/>
    <w:rsid w:val="00987E1D"/>
    <w:rsid w:val="00992DAB"/>
    <w:rsid w:val="00993F32"/>
    <w:rsid w:val="009A5253"/>
    <w:rsid w:val="009B13BE"/>
    <w:rsid w:val="009B166C"/>
    <w:rsid w:val="009B4858"/>
    <w:rsid w:val="009C14D0"/>
    <w:rsid w:val="009C1A5D"/>
    <w:rsid w:val="009C1BF3"/>
    <w:rsid w:val="009C55BF"/>
    <w:rsid w:val="009C5C7A"/>
    <w:rsid w:val="009D29DA"/>
    <w:rsid w:val="009D534A"/>
    <w:rsid w:val="009E2B34"/>
    <w:rsid w:val="009E49AE"/>
    <w:rsid w:val="009E6E88"/>
    <w:rsid w:val="009E7018"/>
    <w:rsid w:val="009F0F3C"/>
    <w:rsid w:val="009F2849"/>
    <w:rsid w:val="009F2D5D"/>
    <w:rsid w:val="009F4D5F"/>
    <w:rsid w:val="009F7882"/>
    <w:rsid w:val="00A00874"/>
    <w:rsid w:val="00A01318"/>
    <w:rsid w:val="00A02DBC"/>
    <w:rsid w:val="00A02ED0"/>
    <w:rsid w:val="00A03C17"/>
    <w:rsid w:val="00A03DEF"/>
    <w:rsid w:val="00A0415D"/>
    <w:rsid w:val="00A045AA"/>
    <w:rsid w:val="00A04C92"/>
    <w:rsid w:val="00A0527A"/>
    <w:rsid w:val="00A10402"/>
    <w:rsid w:val="00A151CE"/>
    <w:rsid w:val="00A2097F"/>
    <w:rsid w:val="00A24436"/>
    <w:rsid w:val="00A24EC3"/>
    <w:rsid w:val="00A24F14"/>
    <w:rsid w:val="00A30759"/>
    <w:rsid w:val="00A31029"/>
    <w:rsid w:val="00A31FD0"/>
    <w:rsid w:val="00A36DBD"/>
    <w:rsid w:val="00A36E0D"/>
    <w:rsid w:val="00A40224"/>
    <w:rsid w:val="00A411CD"/>
    <w:rsid w:val="00A42888"/>
    <w:rsid w:val="00A55E61"/>
    <w:rsid w:val="00A6212D"/>
    <w:rsid w:val="00A6246C"/>
    <w:rsid w:val="00A62CA7"/>
    <w:rsid w:val="00A62F24"/>
    <w:rsid w:val="00A63494"/>
    <w:rsid w:val="00A64EAD"/>
    <w:rsid w:val="00A70A3D"/>
    <w:rsid w:val="00A718C7"/>
    <w:rsid w:val="00A71D3D"/>
    <w:rsid w:val="00A77045"/>
    <w:rsid w:val="00A80CD5"/>
    <w:rsid w:val="00A84951"/>
    <w:rsid w:val="00A916FB"/>
    <w:rsid w:val="00A95B07"/>
    <w:rsid w:val="00AA2276"/>
    <w:rsid w:val="00AA2E28"/>
    <w:rsid w:val="00AA2EA7"/>
    <w:rsid w:val="00AA49E8"/>
    <w:rsid w:val="00AA5D91"/>
    <w:rsid w:val="00AA6CC8"/>
    <w:rsid w:val="00AB0542"/>
    <w:rsid w:val="00AB2065"/>
    <w:rsid w:val="00AB2725"/>
    <w:rsid w:val="00AB4EB1"/>
    <w:rsid w:val="00AB7C2D"/>
    <w:rsid w:val="00AC0EE0"/>
    <w:rsid w:val="00AC68A2"/>
    <w:rsid w:val="00AD1A47"/>
    <w:rsid w:val="00AD48F9"/>
    <w:rsid w:val="00AD5B9B"/>
    <w:rsid w:val="00AD5E80"/>
    <w:rsid w:val="00AE483F"/>
    <w:rsid w:val="00AF4E9F"/>
    <w:rsid w:val="00B002F6"/>
    <w:rsid w:val="00B00569"/>
    <w:rsid w:val="00B022EA"/>
    <w:rsid w:val="00B04EC1"/>
    <w:rsid w:val="00B10C51"/>
    <w:rsid w:val="00B14064"/>
    <w:rsid w:val="00B23308"/>
    <w:rsid w:val="00B23515"/>
    <w:rsid w:val="00B24299"/>
    <w:rsid w:val="00B255B9"/>
    <w:rsid w:val="00B3077F"/>
    <w:rsid w:val="00B3113E"/>
    <w:rsid w:val="00B32BC1"/>
    <w:rsid w:val="00B33D71"/>
    <w:rsid w:val="00B352EC"/>
    <w:rsid w:val="00B377DD"/>
    <w:rsid w:val="00B40624"/>
    <w:rsid w:val="00B413E1"/>
    <w:rsid w:val="00B41D08"/>
    <w:rsid w:val="00B4327E"/>
    <w:rsid w:val="00B443B5"/>
    <w:rsid w:val="00B45BCE"/>
    <w:rsid w:val="00B47B78"/>
    <w:rsid w:val="00B47E41"/>
    <w:rsid w:val="00B511FF"/>
    <w:rsid w:val="00B546FE"/>
    <w:rsid w:val="00B56ABE"/>
    <w:rsid w:val="00B57535"/>
    <w:rsid w:val="00B609FF"/>
    <w:rsid w:val="00B632AD"/>
    <w:rsid w:val="00B646FD"/>
    <w:rsid w:val="00B65CCD"/>
    <w:rsid w:val="00B6639E"/>
    <w:rsid w:val="00B70819"/>
    <w:rsid w:val="00B72B34"/>
    <w:rsid w:val="00B80D3E"/>
    <w:rsid w:val="00B819D2"/>
    <w:rsid w:val="00B81F7E"/>
    <w:rsid w:val="00B82C38"/>
    <w:rsid w:val="00B83CEF"/>
    <w:rsid w:val="00B84AB6"/>
    <w:rsid w:val="00B85024"/>
    <w:rsid w:val="00B90209"/>
    <w:rsid w:val="00B90681"/>
    <w:rsid w:val="00B91137"/>
    <w:rsid w:val="00B92D1B"/>
    <w:rsid w:val="00B96F22"/>
    <w:rsid w:val="00BA10A1"/>
    <w:rsid w:val="00BA2B02"/>
    <w:rsid w:val="00BA3D21"/>
    <w:rsid w:val="00BA3ECD"/>
    <w:rsid w:val="00BA451E"/>
    <w:rsid w:val="00BA789F"/>
    <w:rsid w:val="00BB299C"/>
    <w:rsid w:val="00BB33FB"/>
    <w:rsid w:val="00BB46AC"/>
    <w:rsid w:val="00BB5969"/>
    <w:rsid w:val="00BB74D3"/>
    <w:rsid w:val="00BC556A"/>
    <w:rsid w:val="00BC7920"/>
    <w:rsid w:val="00BD1FD9"/>
    <w:rsid w:val="00BD2CE9"/>
    <w:rsid w:val="00BD6235"/>
    <w:rsid w:val="00BE1404"/>
    <w:rsid w:val="00BE1EDE"/>
    <w:rsid w:val="00BE4460"/>
    <w:rsid w:val="00BE4540"/>
    <w:rsid w:val="00BE5D5C"/>
    <w:rsid w:val="00BF1DAD"/>
    <w:rsid w:val="00BF225E"/>
    <w:rsid w:val="00BF3310"/>
    <w:rsid w:val="00BF526C"/>
    <w:rsid w:val="00BF567A"/>
    <w:rsid w:val="00BF6E1D"/>
    <w:rsid w:val="00C003F4"/>
    <w:rsid w:val="00C04D30"/>
    <w:rsid w:val="00C065B1"/>
    <w:rsid w:val="00C0753B"/>
    <w:rsid w:val="00C077BB"/>
    <w:rsid w:val="00C10D35"/>
    <w:rsid w:val="00C11397"/>
    <w:rsid w:val="00C2157E"/>
    <w:rsid w:val="00C220CE"/>
    <w:rsid w:val="00C22A0B"/>
    <w:rsid w:val="00C358DA"/>
    <w:rsid w:val="00C372D6"/>
    <w:rsid w:val="00C377D7"/>
    <w:rsid w:val="00C4093C"/>
    <w:rsid w:val="00C4109E"/>
    <w:rsid w:val="00C45E4D"/>
    <w:rsid w:val="00C4657A"/>
    <w:rsid w:val="00C470BA"/>
    <w:rsid w:val="00C52FEB"/>
    <w:rsid w:val="00C55226"/>
    <w:rsid w:val="00C55EC2"/>
    <w:rsid w:val="00C62E07"/>
    <w:rsid w:val="00C64019"/>
    <w:rsid w:val="00C64BC8"/>
    <w:rsid w:val="00C72C3D"/>
    <w:rsid w:val="00C7349B"/>
    <w:rsid w:val="00C74BE1"/>
    <w:rsid w:val="00C80677"/>
    <w:rsid w:val="00C80E8B"/>
    <w:rsid w:val="00C820EE"/>
    <w:rsid w:val="00C82D26"/>
    <w:rsid w:val="00C87B59"/>
    <w:rsid w:val="00C91B1D"/>
    <w:rsid w:val="00C91E73"/>
    <w:rsid w:val="00C92287"/>
    <w:rsid w:val="00C928E6"/>
    <w:rsid w:val="00C92DCF"/>
    <w:rsid w:val="00CA1DBD"/>
    <w:rsid w:val="00CA2DBD"/>
    <w:rsid w:val="00CA2E05"/>
    <w:rsid w:val="00CA43ED"/>
    <w:rsid w:val="00CA5347"/>
    <w:rsid w:val="00CA61BA"/>
    <w:rsid w:val="00CA7B8B"/>
    <w:rsid w:val="00CB0AF2"/>
    <w:rsid w:val="00CB16E9"/>
    <w:rsid w:val="00CB37DE"/>
    <w:rsid w:val="00CB3B8B"/>
    <w:rsid w:val="00CB40C4"/>
    <w:rsid w:val="00CB567D"/>
    <w:rsid w:val="00CB5BA5"/>
    <w:rsid w:val="00CC0BD0"/>
    <w:rsid w:val="00CC2B7E"/>
    <w:rsid w:val="00CC2BA8"/>
    <w:rsid w:val="00CC662A"/>
    <w:rsid w:val="00CD5759"/>
    <w:rsid w:val="00CD740B"/>
    <w:rsid w:val="00CE007C"/>
    <w:rsid w:val="00CE053E"/>
    <w:rsid w:val="00CE0C9C"/>
    <w:rsid w:val="00CE1099"/>
    <w:rsid w:val="00CE205D"/>
    <w:rsid w:val="00CE3075"/>
    <w:rsid w:val="00CE38A7"/>
    <w:rsid w:val="00CE3953"/>
    <w:rsid w:val="00CE48DD"/>
    <w:rsid w:val="00CE4C5B"/>
    <w:rsid w:val="00CE5DB0"/>
    <w:rsid w:val="00CE6D31"/>
    <w:rsid w:val="00CF146A"/>
    <w:rsid w:val="00CF268E"/>
    <w:rsid w:val="00CF2F0A"/>
    <w:rsid w:val="00CF7CBC"/>
    <w:rsid w:val="00D01C56"/>
    <w:rsid w:val="00D04A51"/>
    <w:rsid w:val="00D05CDA"/>
    <w:rsid w:val="00D117F3"/>
    <w:rsid w:val="00D127BD"/>
    <w:rsid w:val="00D13BBC"/>
    <w:rsid w:val="00D13D49"/>
    <w:rsid w:val="00D141A3"/>
    <w:rsid w:val="00D14E45"/>
    <w:rsid w:val="00D17BB7"/>
    <w:rsid w:val="00D244E2"/>
    <w:rsid w:val="00D24FC8"/>
    <w:rsid w:val="00D26DE5"/>
    <w:rsid w:val="00D40121"/>
    <w:rsid w:val="00D419B2"/>
    <w:rsid w:val="00D4222B"/>
    <w:rsid w:val="00D4291C"/>
    <w:rsid w:val="00D50B51"/>
    <w:rsid w:val="00D51018"/>
    <w:rsid w:val="00D51E1F"/>
    <w:rsid w:val="00D5310F"/>
    <w:rsid w:val="00D5485B"/>
    <w:rsid w:val="00D55E19"/>
    <w:rsid w:val="00D57250"/>
    <w:rsid w:val="00D6606B"/>
    <w:rsid w:val="00D66CE0"/>
    <w:rsid w:val="00D67AF0"/>
    <w:rsid w:val="00D67E82"/>
    <w:rsid w:val="00D70FB4"/>
    <w:rsid w:val="00D779D5"/>
    <w:rsid w:val="00D80C1A"/>
    <w:rsid w:val="00D814CF"/>
    <w:rsid w:val="00D84EA1"/>
    <w:rsid w:val="00D85AC7"/>
    <w:rsid w:val="00D920BD"/>
    <w:rsid w:val="00D93B57"/>
    <w:rsid w:val="00D941F0"/>
    <w:rsid w:val="00DA0F20"/>
    <w:rsid w:val="00DA3285"/>
    <w:rsid w:val="00DA47A2"/>
    <w:rsid w:val="00DB01B7"/>
    <w:rsid w:val="00DB1242"/>
    <w:rsid w:val="00DB2219"/>
    <w:rsid w:val="00DB3243"/>
    <w:rsid w:val="00DB7CBB"/>
    <w:rsid w:val="00DC065F"/>
    <w:rsid w:val="00DC12F8"/>
    <w:rsid w:val="00DC3EE9"/>
    <w:rsid w:val="00DC404B"/>
    <w:rsid w:val="00DC424F"/>
    <w:rsid w:val="00DC72CF"/>
    <w:rsid w:val="00DC7A89"/>
    <w:rsid w:val="00DD0F18"/>
    <w:rsid w:val="00DD121A"/>
    <w:rsid w:val="00DD13B0"/>
    <w:rsid w:val="00DD1912"/>
    <w:rsid w:val="00DD3C22"/>
    <w:rsid w:val="00DD3D56"/>
    <w:rsid w:val="00DD5196"/>
    <w:rsid w:val="00DE6D18"/>
    <w:rsid w:val="00DF24DA"/>
    <w:rsid w:val="00DF2D7A"/>
    <w:rsid w:val="00DF5E2A"/>
    <w:rsid w:val="00DF70F2"/>
    <w:rsid w:val="00E004D8"/>
    <w:rsid w:val="00E01B46"/>
    <w:rsid w:val="00E03E1B"/>
    <w:rsid w:val="00E06937"/>
    <w:rsid w:val="00E10FE0"/>
    <w:rsid w:val="00E1214B"/>
    <w:rsid w:val="00E12397"/>
    <w:rsid w:val="00E12F8D"/>
    <w:rsid w:val="00E14C3C"/>
    <w:rsid w:val="00E17DEC"/>
    <w:rsid w:val="00E204A0"/>
    <w:rsid w:val="00E2350C"/>
    <w:rsid w:val="00E25033"/>
    <w:rsid w:val="00E2592F"/>
    <w:rsid w:val="00E25A53"/>
    <w:rsid w:val="00E26582"/>
    <w:rsid w:val="00E273D9"/>
    <w:rsid w:val="00E300EB"/>
    <w:rsid w:val="00E32F4E"/>
    <w:rsid w:val="00E335E7"/>
    <w:rsid w:val="00E35815"/>
    <w:rsid w:val="00E41E04"/>
    <w:rsid w:val="00E42A5C"/>
    <w:rsid w:val="00E43F9B"/>
    <w:rsid w:val="00E50615"/>
    <w:rsid w:val="00E50EF0"/>
    <w:rsid w:val="00E52A2E"/>
    <w:rsid w:val="00E54F43"/>
    <w:rsid w:val="00E61A26"/>
    <w:rsid w:val="00E62611"/>
    <w:rsid w:val="00E6513B"/>
    <w:rsid w:val="00E70FFF"/>
    <w:rsid w:val="00E71299"/>
    <w:rsid w:val="00E75C62"/>
    <w:rsid w:val="00E8167E"/>
    <w:rsid w:val="00E82ED8"/>
    <w:rsid w:val="00E8338B"/>
    <w:rsid w:val="00E85606"/>
    <w:rsid w:val="00E87C6A"/>
    <w:rsid w:val="00E94941"/>
    <w:rsid w:val="00E975E3"/>
    <w:rsid w:val="00EA1617"/>
    <w:rsid w:val="00EA1AFF"/>
    <w:rsid w:val="00EA4C69"/>
    <w:rsid w:val="00EB312D"/>
    <w:rsid w:val="00EB462A"/>
    <w:rsid w:val="00EB6DD1"/>
    <w:rsid w:val="00EC1269"/>
    <w:rsid w:val="00EC1B8B"/>
    <w:rsid w:val="00EC28A9"/>
    <w:rsid w:val="00EC5FD0"/>
    <w:rsid w:val="00EC69AA"/>
    <w:rsid w:val="00EC7F7A"/>
    <w:rsid w:val="00ED35D7"/>
    <w:rsid w:val="00ED5CB0"/>
    <w:rsid w:val="00ED68C7"/>
    <w:rsid w:val="00ED7805"/>
    <w:rsid w:val="00ED7ACC"/>
    <w:rsid w:val="00EE07DF"/>
    <w:rsid w:val="00EE203C"/>
    <w:rsid w:val="00EE5977"/>
    <w:rsid w:val="00EE60FB"/>
    <w:rsid w:val="00EE6797"/>
    <w:rsid w:val="00EE7317"/>
    <w:rsid w:val="00EE7852"/>
    <w:rsid w:val="00EF360D"/>
    <w:rsid w:val="00EF5C6D"/>
    <w:rsid w:val="00F0342F"/>
    <w:rsid w:val="00F116C0"/>
    <w:rsid w:val="00F118E3"/>
    <w:rsid w:val="00F128F6"/>
    <w:rsid w:val="00F13B50"/>
    <w:rsid w:val="00F14A4E"/>
    <w:rsid w:val="00F153B5"/>
    <w:rsid w:val="00F15D7C"/>
    <w:rsid w:val="00F165AA"/>
    <w:rsid w:val="00F1743A"/>
    <w:rsid w:val="00F212C3"/>
    <w:rsid w:val="00F25ACC"/>
    <w:rsid w:val="00F300DC"/>
    <w:rsid w:val="00F31891"/>
    <w:rsid w:val="00F3513A"/>
    <w:rsid w:val="00F36A89"/>
    <w:rsid w:val="00F37AD8"/>
    <w:rsid w:val="00F42CF8"/>
    <w:rsid w:val="00F438D0"/>
    <w:rsid w:val="00F4552F"/>
    <w:rsid w:val="00F530FA"/>
    <w:rsid w:val="00F54219"/>
    <w:rsid w:val="00F54896"/>
    <w:rsid w:val="00F563C6"/>
    <w:rsid w:val="00F578EA"/>
    <w:rsid w:val="00F57F1E"/>
    <w:rsid w:val="00F61F3C"/>
    <w:rsid w:val="00F65BC2"/>
    <w:rsid w:val="00F7013C"/>
    <w:rsid w:val="00F80F7B"/>
    <w:rsid w:val="00F812E1"/>
    <w:rsid w:val="00F8248C"/>
    <w:rsid w:val="00F8316F"/>
    <w:rsid w:val="00F83202"/>
    <w:rsid w:val="00F835F7"/>
    <w:rsid w:val="00F83F8B"/>
    <w:rsid w:val="00F91639"/>
    <w:rsid w:val="00F930B2"/>
    <w:rsid w:val="00F93752"/>
    <w:rsid w:val="00F9454A"/>
    <w:rsid w:val="00F9530D"/>
    <w:rsid w:val="00F954E8"/>
    <w:rsid w:val="00F9738F"/>
    <w:rsid w:val="00F974FC"/>
    <w:rsid w:val="00FA008D"/>
    <w:rsid w:val="00FA0786"/>
    <w:rsid w:val="00FA11EB"/>
    <w:rsid w:val="00FA760E"/>
    <w:rsid w:val="00FA7D86"/>
    <w:rsid w:val="00FB0E16"/>
    <w:rsid w:val="00FB140D"/>
    <w:rsid w:val="00FC2DE3"/>
    <w:rsid w:val="00FC5410"/>
    <w:rsid w:val="00FC5833"/>
    <w:rsid w:val="00FC6391"/>
    <w:rsid w:val="00FC7DE1"/>
    <w:rsid w:val="00FD1431"/>
    <w:rsid w:val="00FD17D6"/>
    <w:rsid w:val="00FD49B5"/>
    <w:rsid w:val="00FD5B39"/>
    <w:rsid w:val="00FD6319"/>
    <w:rsid w:val="00FD7C54"/>
    <w:rsid w:val="00FE038B"/>
    <w:rsid w:val="00FE1418"/>
    <w:rsid w:val="00FE14DD"/>
    <w:rsid w:val="00FE42AC"/>
    <w:rsid w:val="00FE48EC"/>
    <w:rsid w:val="00FF1DC0"/>
    <w:rsid w:val="00FF3646"/>
    <w:rsid w:val="00FF76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631D"/>
  <w15:chartTrackingRefBased/>
  <w15:docId w15:val="{70083876-A26A-4D05-81EA-EF657A5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1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DE1"/>
    <w:pPr>
      <w:spacing w:after="0" w:line="240" w:lineRule="auto"/>
      <w:jc w:val="both"/>
    </w:pPr>
    <w:rPr>
      <w:rFonts w:ascii="Arial" w:hAnsi="Arial" w:cs="Times New Roman (Body CS)"/>
      <w:sz w:val="20"/>
      <w:szCs w:val="20"/>
    </w:rPr>
  </w:style>
  <w:style w:type="character" w:customStyle="1" w:styleId="FootnoteTextChar">
    <w:name w:val="Footnote Text Char"/>
    <w:basedOn w:val="DefaultParagraphFont"/>
    <w:link w:val="FootnoteText"/>
    <w:uiPriority w:val="99"/>
    <w:semiHidden/>
    <w:rsid w:val="00FC7DE1"/>
    <w:rPr>
      <w:rFonts w:ascii="Arial" w:hAnsi="Arial" w:cs="Times New Roman (Body CS)"/>
      <w:sz w:val="20"/>
      <w:szCs w:val="20"/>
    </w:rPr>
  </w:style>
  <w:style w:type="character" w:styleId="FootnoteReference">
    <w:name w:val="footnote reference"/>
    <w:basedOn w:val="DefaultParagraphFont"/>
    <w:uiPriority w:val="99"/>
    <w:semiHidden/>
    <w:unhideWhenUsed/>
    <w:rsid w:val="00FC7DE1"/>
    <w:rPr>
      <w:vertAlign w:val="superscript"/>
    </w:rPr>
  </w:style>
  <w:style w:type="character" w:styleId="Hyperlink">
    <w:name w:val="Hyperlink"/>
    <w:basedOn w:val="DefaultParagraphFont"/>
    <w:uiPriority w:val="99"/>
    <w:unhideWhenUsed/>
    <w:rsid w:val="00FC7DE1"/>
    <w:rPr>
      <w:color w:val="0563C1" w:themeColor="hyperlink"/>
      <w:u w:val="single"/>
    </w:rPr>
  </w:style>
  <w:style w:type="paragraph" w:styleId="BalloonText">
    <w:name w:val="Balloon Text"/>
    <w:basedOn w:val="Normal"/>
    <w:link w:val="BalloonTextChar"/>
    <w:uiPriority w:val="99"/>
    <w:semiHidden/>
    <w:unhideWhenUsed/>
    <w:rsid w:val="00EC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D0"/>
    <w:rPr>
      <w:rFonts w:ascii="Segoe UI" w:hAnsi="Segoe UI" w:cs="Segoe UI"/>
      <w:sz w:val="18"/>
      <w:szCs w:val="18"/>
    </w:rPr>
  </w:style>
  <w:style w:type="character" w:styleId="CommentReference">
    <w:name w:val="annotation reference"/>
    <w:basedOn w:val="DefaultParagraphFont"/>
    <w:uiPriority w:val="99"/>
    <w:semiHidden/>
    <w:unhideWhenUsed/>
    <w:rsid w:val="00210EE0"/>
    <w:rPr>
      <w:sz w:val="16"/>
      <w:szCs w:val="16"/>
    </w:rPr>
  </w:style>
  <w:style w:type="paragraph" w:styleId="CommentText">
    <w:name w:val="annotation text"/>
    <w:basedOn w:val="Normal"/>
    <w:link w:val="CommentTextChar"/>
    <w:uiPriority w:val="99"/>
    <w:semiHidden/>
    <w:unhideWhenUsed/>
    <w:rsid w:val="00210EE0"/>
    <w:pPr>
      <w:spacing w:line="240" w:lineRule="auto"/>
    </w:pPr>
    <w:rPr>
      <w:sz w:val="20"/>
      <w:szCs w:val="20"/>
    </w:rPr>
  </w:style>
  <w:style w:type="character" w:customStyle="1" w:styleId="CommentTextChar">
    <w:name w:val="Comment Text Char"/>
    <w:basedOn w:val="DefaultParagraphFont"/>
    <w:link w:val="CommentText"/>
    <w:uiPriority w:val="99"/>
    <w:semiHidden/>
    <w:rsid w:val="00210EE0"/>
    <w:rPr>
      <w:sz w:val="20"/>
      <w:szCs w:val="20"/>
    </w:rPr>
  </w:style>
  <w:style w:type="paragraph" w:styleId="CommentSubject">
    <w:name w:val="annotation subject"/>
    <w:basedOn w:val="CommentText"/>
    <w:next w:val="CommentText"/>
    <w:link w:val="CommentSubjectChar"/>
    <w:uiPriority w:val="99"/>
    <w:semiHidden/>
    <w:unhideWhenUsed/>
    <w:rsid w:val="00210EE0"/>
    <w:rPr>
      <w:b/>
      <w:bCs/>
    </w:rPr>
  </w:style>
  <w:style w:type="character" w:customStyle="1" w:styleId="CommentSubjectChar">
    <w:name w:val="Comment Subject Char"/>
    <w:basedOn w:val="CommentTextChar"/>
    <w:link w:val="CommentSubject"/>
    <w:uiPriority w:val="99"/>
    <w:semiHidden/>
    <w:rsid w:val="00210EE0"/>
    <w:rPr>
      <w:b/>
      <w:bCs/>
      <w:sz w:val="20"/>
      <w:szCs w:val="20"/>
    </w:rPr>
  </w:style>
  <w:style w:type="paragraph" w:styleId="Header">
    <w:name w:val="header"/>
    <w:basedOn w:val="Normal"/>
    <w:link w:val="HeaderChar"/>
    <w:uiPriority w:val="99"/>
    <w:unhideWhenUsed/>
    <w:rsid w:val="00D85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C7"/>
  </w:style>
  <w:style w:type="character" w:styleId="PageNumber">
    <w:name w:val="page number"/>
    <w:basedOn w:val="DefaultParagraphFont"/>
    <w:uiPriority w:val="99"/>
    <w:semiHidden/>
    <w:unhideWhenUsed/>
    <w:rsid w:val="00D85AC7"/>
  </w:style>
  <w:style w:type="paragraph" w:styleId="ListParagraph">
    <w:name w:val="List Paragraph"/>
    <w:basedOn w:val="Normal"/>
    <w:uiPriority w:val="34"/>
    <w:qFormat/>
    <w:rsid w:val="00A71D3D"/>
    <w:pPr>
      <w:ind w:left="720"/>
      <w:contextualSpacing/>
    </w:pPr>
  </w:style>
  <w:style w:type="paragraph" w:styleId="Footer">
    <w:name w:val="footer"/>
    <w:basedOn w:val="Normal"/>
    <w:link w:val="FooterChar"/>
    <w:uiPriority w:val="99"/>
    <w:unhideWhenUsed/>
    <w:rsid w:val="005B3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65"/>
  </w:style>
  <w:style w:type="character" w:customStyle="1" w:styleId="Heading2Char">
    <w:name w:val="Heading 2 Char"/>
    <w:basedOn w:val="DefaultParagraphFont"/>
    <w:link w:val="Heading2"/>
    <w:uiPriority w:val="9"/>
    <w:semiHidden/>
    <w:rsid w:val="00F3189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B1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0445">
      <w:bodyDiv w:val="1"/>
      <w:marLeft w:val="0"/>
      <w:marRight w:val="0"/>
      <w:marTop w:val="0"/>
      <w:marBottom w:val="0"/>
      <w:divBdr>
        <w:top w:val="none" w:sz="0" w:space="0" w:color="auto"/>
        <w:left w:val="none" w:sz="0" w:space="0" w:color="auto"/>
        <w:bottom w:val="none" w:sz="0" w:space="0" w:color="auto"/>
        <w:right w:val="none" w:sz="0" w:space="0" w:color="auto"/>
      </w:divBdr>
    </w:div>
    <w:div w:id="171573649">
      <w:bodyDiv w:val="1"/>
      <w:marLeft w:val="0"/>
      <w:marRight w:val="0"/>
      <w:marTop w:val="0"/>
      <w:marBottom w:val="0"/>
      <w:divBdr>
        <w:top w:val="none" w:sz="0" w:space="0" w:color="auto"/>
        <w:left w:val="none" w:sz="0" w:space="0" w:color="auto"/>
        <w:bottom w:val="none" w:sz="0" w:space="0" w:color="auto"/>
        <w:right w:val="none" w:sz="0" w:space="0" w:color="auto"/>
      </w:divBdr>
    </w:div>
    <w:div w:id="425880343">
      <w:bodyDiv w:val="1"/>
      <w:marLeft w:val="0"/>
      <w:marRight w:val="0"/>
      <w:marTop w:val="0"/>
      <w:marBottom w:val="0"/>
      <w:divBdr>
        <w:top w:val="none" w:sz="0" w:space="0" w:color="auto"/>
        <w:left w:val="none" w:sz="0" w:space="0" w:color="auto"/>
        <w:bottom w:val="none" w:sz="0" w:space="0" w:color="auto"/>
        <w:right w:val="none" w:sz="0" w:space="0" w:color="auto"/>
      </w:divBdr>
    </w:div>
    <w:div w:id="456413229">
      <w:bodyDiv w:val="1"/>
      <w:marLeft w:val="0"/>
      <w:marRight w:val="0"/>
      <w:marTop w:val="0"/>
      <w:marBottom w:val="0"/>
      <w:divBdr>
        <w:top w:val="none" w:sz="0" w:space="0" w:color="auto"/>
        <w:left w:val="none" w:sz="0" w:space="0" w:color="auto"/>
        <w:bottom w:val="none" w:sz="0" w:space="0" w:color="auto"/>
        <w:right w:val="none" w:sz="0" w:space="0" w:color="auto"/>
      </w:divBdr>
    </w:div>
    <w:div w:id="1248077242">
      <w:bodyDiv w:val="1"/>
      <w:marLeft w:val="0"/>
      <w:marRight w:val="0"/>
      <w:marTop w:val="0"/>
      <w:marBottom w:val="0"/>
      <w:divBdr>
        <w:top w:val="none" w:sz="0" w:space="0" w:color="auto"/>
        <w:left w:val="none" w:sz="0" w:space="0" w:color="auto"/>
        <w:bottom w:val="none" w:sz="0" w:space="0" w:color="auto"/>
        <w:right w:val="none" w:sz="0" w:space="0" w:color="auto"/>
      </w:divBdr>
    </w:div>
    <w:div w:id="21289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2%20%284%29%20SA%20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558B05-029D-1443-B83C-92B46E59C5A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B8F8-C80C-4C83-8ED7-E104B122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De Koker</dc:creator>
  <cp:keywords/>
  <dc:description/>
  <cp:lastModifiedBy>Mokone</cp:lastModifiedBy>
  <cp:revision>2</cp:revision>
  <cp:lastPrinted>2023-03-15T09:29:00Z</cp:lastPrinted>
  <dcterms:created xsi:type="dcterms:W3CDTF">2023-04-19T10:36:00Z</dcterms:created>
  <dcterms:modified xsi:type="dcterms:W3CDTF">2023-04-19T10:36:00Z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documentId_9146</vt:lpwstr>
  </property>
  <property fmtid="{D5CDD505-2E9C-101B-9397-08002B2CF9AE}" pid="3" name="grammarly_documentContext">
    <vt:lpwstr>{"goals":[],"domain":"general","emotions":[],"dialect":"british"}</vt:lpwstr>
  </property>
</Properties>
</file>