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762" w:rsidRDefault="006B27C8" w:rsidP="004D2880">
      <w:pPr>
        <w:rPr>
          <w:b/>
          <w:bCs/>
          <w:sz w:val="28"/>
          <w:szCs w:val="28"/>
        </w:rPr>
      </w:pPr>
      <w:r w:rsidRPr="00410589">
        <w:rPr>
          <w:noProof/>
          <w:sz w:val="28"/>
          <w:szCs w:val="28"/>
          <w:lang w:val="en-US"/>
        </w:rPr>
        <w:drawing>
          <wp:anchor distT="0" distB="0" distL="114300" distR="114300" simplePos="0" relativeHeight="251659264" behindDoc="0" locked="0" layoutInCell="1" allowOverlap="1" wp14:anchorId="2CA9EBFC" wp14:editId="0DCEEAA2">
            <wp:simplePos x="0" y="0"/>
            <wp:positionH relativeFrom="page">
              <wp:align>center</wp:align>
            </wp:positionH>
            <wp:positionV relativeFrom="paragraph">
              <wp:posOffset>57734</wp:posOffset>
            </wp:positionV>
            <wp:extent cx="799200" cy="914400"/>
            <wp:effectExtent l="0" t="0" r="127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pic:spPr>
                </pic:pic>
              </a:graphicData>
            </a:graphic>
            <wp14:sizeRelH relativeFrom="page">
              <wp14:pctWidth>0</wp14:pctWidth>
            </wp14:sizeRelH>
            <wp14:sizeRelV relativeFrom="page">
              <wp14:pctHeight>0</wp14:pctHeight>
            </wp14:sizeRelV>
          </wp:anchor>
        </w:drawing>
      </w:r>
    </w:p>
    <w:p w:rsidR="004D2880" w:rsidRDefault="004D2880" w:rsidP="004D2880">
      <w:pPr>
        <w:rPr>
          <w:b/>
          <w:bCs/>
          <w:sz w:val="28"/>
          <w:szCs w:val="28"/>
        </w:rPr>
      </w:pPr>
    </w:p>
    <w:p w:rsidR="006B27C8" w:rsidRDefault="006B27C8" w:rsidP="004D2880">
      <w:pPr>
        <w:rPr>
          <w:b/>
          <w:bCs/>
          <w:sz w:val="28"/>
          <w:szCs w:val="28"/>
        </w:rPr>
      </w:pPr>
    </w:p>
    <w:p w:rsidR="004D2880" w:rsidRPr="0032538C" w:rsidRDefault="004D2880" w:rsidP="004D2880">
      <w:pPr>
        <w:rPr>
          <w:b/>
          <w:bCs/>
          <w:sz w:val="16"/>
          <w:szCs w:val="16"/>
        </w:rPr>
      </w:pPr>
    </w:p>
    <w:p w:rsidR="00EA529D" w:rsidRPr="001F200C" w:rsidRDefault="00EA529D" w:rsidP="004D2880">
      <w:pPr>
        <w:jc w:val="center"/>
        <w:rPr>
          <w:b/>
          <w:bCs/>
          <w:sz w:val="28"/>
          <w:szCs w:val="28"/>
        </w:rPr>
      </w:pPr>
      <w:r w:rsidRPr="001F200C">
        <w:rPr>
          <w:b/>
          <w:bCs/>
          <w:sz w:val="28"/>
          <w:szCs w:val="28"/>
        </w:rPr>
        <w:t>THE SUPREME COURT OF APPEAL OF SOUTH AFRICA</w:t>
      </w:r>
    </w:p>
    <w:p w:rsidR="00EA529D" w:rsidRPr="004D2880" w:rsidRDefault="00EA529D" w:rsidP="004D2880">
      <w:pPr>
        <w:pStyle w:val="Heading3"/>
        <w:jc w:val="center"/>
        <w:rPr>
          <w:rFonts w:ascii="Times New Roman" w:hAnsi="Times New Roman" w:cs="Times New Roman"/>
          <w:b/>
          <w:i w:val="0"/>
          <w:szCs w:val="28"/>
        </w:rPr>
      </w:pPr>
      <w:r w:rsidRPr="001F200C">
        <w:rPr>
          <w:rFonts w:ascii="Times New Roman" w:hAnsi="Times New Roman" w:cs="Times New Roman"/>
          <w:b/>
          <w:i w:val="0"/>
          <w:szCs w:val="28"/>
        </w:rPr>
        <w:t>JUDGMENT</w:t>
      </w:r>
    </w:p>
    <w:p w:rsidR="00EA529D" w:rsidRPr="001F200C" w:rsidRDefault="0063488B" w:rsidP="004D2880">
      <w:pPr>
        <w:jc w:val="right"/>
        <w:rPr>
          <w:b/>
          <w:sz w:val="28"/>
          <w:szCs w:val="28"/>
        </w:rPr>
      </w:pPr>
      <w:r w:rsidRPr="001F200C">
        <w:rPr>
          <w:b/>
          <w:sz w:val="28"/>
          <w:szCs w:val="28"/>
        </w:rPr>
        <w:t>Reportable</w:t>
      </w:r>
    </w:p>
    <w:p w:rsidR="00EA529D" w:rsidRPr="001F200C" w:rsidRDefault="00EA529D" w:rsidP="004D2880">
      <w:pPr>
        <w:jc w:val="right"/>
        <w:rPr>
          <w:sz w:val="28"/>
          <w:szCs w:val="28"/>
        </w:rPr>
      </w:pPr>
      <w:r w:rsidRPr="001F200C">
        <w:rPr>
          <w:sz w:val="28"/>
          <w:szCs w:val="28"/>
        </w:rPr>
        <w:t xml:space="preserve">Case no: </w:t>
      </w:r>
      <w:r w:rsidR="00266C47" w:rsidRPr="001F200C">
        <w:rPr>
          <w:sz w:val="28"/>
          <w:szCs w:val="28"/>
        </w:rPr>
        <w:t>65/2022</w:t>
      </w:r>
    </w:p>
    <w:p w:rsidR="00EA529D" w:rsidRPr="001F200C" w:rsidRDefault="00EA529D" w:rsidP="004D2880">
      <w:pPr>
        <w:rPr>
          <w:sz w:val="28"/>
          <w:szCs w:val="28"/>
        </w:rPr>
      </w:pPr>
      <w:r w:rsidRPr="001F200C">
        <w:rPr>
          <w:sz w:val="28"/>
          <w:szCs w:val="28"/>
        </w:rPr>
        <w:t>In the matter between:</w:t>
      </w:r>
    </w:p>
    <w:p w:rsidR="00266C47" w:rsidRPr="00791666" w:rsidRDefault="00266C47" w:rsidP="004D2880">
      <w:pPr>
        <w:tabs>
          <w:tab w:val="left" w:pos="6663"/>
        </w:tabs>
        <w:ind w:right="-180"/>
        <w:rPr>
          <w:b/>
          <w:bCs/>
          <w:sz w:val="28"/>
          <w:szCs w:val="28"/>
        </w:rPr>
      </w:pPr>
      <w:r w:rsidRPr="00791666">
        <w:rPr>
          <w:b/>
          <w:bCs/>
          <w:sz w:val="28"/>
          <w:szCs w:val="28"/>
        </w:rPr>
        <w:t xml:space="preserve">SOUTH AFRICAN MUNICIPAL </w:t>
      </w:r>
      <w:r w:rsidR="009D7C7C" w:rsidRPr="00791666">
        <w:rPr>
          <w:b/>
          <w:bCs/>
          <w:sz w:val="28"/>
          <w:szCs w:val="28"/>
        </w:rPr>
        <w:t>WORKERS’</w:t>
      </w:r>
    </w:p>
    <w:p w:rsidR="00EA529D" w:rsidRPr="00791666" w:rsidRDefault="00266C47" w:rsidP="006B27C8">
      <w:pPr>
        <w:tabs>
          <w:tab w:val="right" w:pos="9356"/>
        </w:tabs>
        <w:ind w:right="-180"/>
        <w:rPr>
          <w:b/>
          <w:sz w:val="28"/>
          <w:szCs w:val="28"/>
        </w:rPr>
      </w:pPr>
      <w:r w:rsidRPr="00791666">
        <w:rPr>
          <w:b/>
          <w:bCs/>
          <w:sz w:val="28"/>
          <w:szCs w:val="28"/>
        </w:rPr>
        <w:t>UNION NATIONAL PROVIDENT FUND</w:t>
      </w:r>
      <w:r w:rsidR="006B27C8" w:rsidRPr="00791666">
        <w:rPr>
          <w:b/>
          <w:bCs/>
          <w:sz w:val="28"/>
          <w:szCs w:val="28"/>
        </w:rPr>
        <w:t xml:space="preserve"> (PTY) LTD</w:t>
      </w:r>
      <w:r w:rsidRPr="00791666">
        <w:rPr>
          <w:b/>
          <w:bCs/>
          <w:sz w:val="28"/>
          <w:szCs w:val="28"/>
        </w:rPr>
        <w:t xml:space="preserve">              </w:t>
      </w:r>
      <w:r w:rsidR="009D7C7C" w:rsidRPr="00791666">
        <w:rPr>
          <w:b/>
          <w:bCs/>
          <w:sz w:val="28"/>
          <w:szCs w:val="28"/>
        </w:rPr>
        <w:tab/>
      </w:r>
      <w:r w:rsidR="00EA529D" w:rsidRPr="00791666">
        <w:rPr>
          <w:b/>
          <w:bCs/>
          <w:sz w:val="28"/>
          <w:szCs w:val="28"/>
        </w:rPr>
        <w:t>A</w:t>
      </w:r>
      <w:r w:rsidR="00EA529D" w:rsidRPr="00791666">
        <w:rPr>
          <w:b/>
          <w:sz w:val="28"/>
          <w:szCs w:val="28"/>
        </w:rPr>
        <w:t>PPELLANT</w:t>
      </w:r>
    </w:p>
    <w:p w:rsidR="00EA529D" w:rsidRPr="00791666" w:rsidRDefault="00EA529D" w:rsidP="004D2880">
      <w:pPr>
        <w:tabs>
          <w:tab w:val="left" w:pos="6237"/>
        </w:tabs>
        <w:ind w:right="-138"/>
        <w:rPr>
          <w:b/>
          <w:sz w:val="28"/>
          <w:szCs w:val="28"/>
        </w:rPr>
      </w:pPr>
      <w:r w:rsidRPr="00791666">
        <w:rPr>
          <w:b/>
          <w:sz w:val="28"/>
          <w:szCs w:val="28"/>
        </w:rPr>
        <w:t xml:space="preserve">                                                             </w:t>
      </w:r>
    </w:p>
    <w:p w:rsidR="00EA529D" w:rsidRPr="00791666" w:rsidRDefault="00EA529D" w:rsidP="004D2880">
      <w:pPr>
        <w:rPr>
          <w:sz w:val="28"/>
          <w:szCs w:val="28"/>
        </w:rPr>
      </w:pPr>
      <w:r w:rsidRPr="00791666">
        <w:rPr>
          <w:sz w:val="28"/>
          <w:szCs w:val="28"/>
        </w:rPr>
        <w:t>and</w:t>
      </w:r>
    </w:p>
    <w:p w:rsidR="00EA529D" w:rsidRPr="00791666" w:rsidRDefault="00EA529D" w:rsidP="004D2880">
      <w:pPr>
        <w:rPr>
          <w:b/>
          <w:bCs/>
          <w:sz w:val="28"/>
          <w:szCs w:val="28"/>
        </w:rPr>
      </w:pPr>
    </w:p>
    <w:p w:rsidR="00884663" w:rsidRPr="00791666" w:rsidRDefault="00266C47" w:rsidP="009D7C7C">
      <w:pPr>
        <w:tabs>
          <w:tab w:val="right" w:pos="9356"/>
        </w:tabs>
        <w:ind w:right="-180"/>
        <w:rPr>
          <w:b/>
          <w:bCs/>
          <w:sz w:val="28"/>
          <w:szCs w:val="28"/>
        </w:rPr>
      </w:pPr>
      <w:r w:rsidRPr="00791666">
        <w:rPr>
          <w:b/>
          <w:bCs/>
          <w:sz w:val="28"/>
          <w:szCs w:val="28"/>
        </w:rPr>
        <w:t>DIHLABENG LOCAL MUNICIPALITY</w:t>
      </w:r>
      <w:r w:rsidR="009D7C7C" w:rsidRPr="00791666">
        <w:rPr>
          <w:b/>
          <w:bCs/>
          <w:sz w:val="28"/>
          <w:szCs w:val="28"/>
        </w:rPr>
        <w:tab/>
        <w:t xml:space="preserve">       </w:t>
      </w:r>
      <w:r w:rsidR="00884663" w:rsidRPr="00791666">
        <w:rPr>
          <w:b/>
          <w:bCs/>
          <w:sz w:val="28"/>
          <w:szCs w:val="28"/>
        </w:rPr>
        <w:t>FIRST RESPONDENT</w:t>
      </w:r>
    </w:p>
    <w:p w:rsidR="00EA529D" w:rsidRPr="00791666" w:rsidRDefault="00884663" w:rsidP="009D7C7C">
      <w:pPr>
        <w:tabs>
          <w:tab w:val="right" w:pos="9356"/>
        </w:tabs>
        <w:spacing w:before="240"/>
        <w:ind w:right="-180"/>
        <w:rPr>
          <w:b/>
          <w:sz w:val="28"/>
          <w:szCs w:val="28"/>
        </w:rPr>
      </w:pPr>
      <w:r w:rsidRPr="00791666">
        <w:rPr>
          <w:b/>
          <w:bCs/>
          <w:sz w:val="28"/>
          <w:szCs w:val="28"/>
        </w:rPr>
        <w:t xml:space="preserve">MUNICIPAL EMPLOYEES </w:t>
      </w:r>
      <w:r w:rsidR="00AC2DF2" w:rsidRPr="008D6F8D">
        <w:rPr>
          <w:b/>
          <w:bCs/>
          <w:sz w:val="28"/>
          <w:szCs w:val="28"/>
        </w:rPr>
        <w:t>PENSION</w:t>
      </w:r>
      <w:r w:rsidR="00AC2DF2">
        <w:rPr>
          <w:b/>
          <w:bCs/>
          <w:sz w:val="28"/>
          <w:szCs w:val="28"/>
        </w:rPr>
        <w:t xml:space="preserve"> </w:t>
      </w:r>
      <w:r w:rsidRPr="00791666">
        <w:rPr>
          <w:b/>
          <w:bCs/>
          <w:sz w:val="28"/>
          <w:szCs w:val="28"/>
        </w:rPr>
        <w:t xml:space="preserve">FUND       </w:t>
      </w:r>
      <w:r w:rsidR="00AC2DF2">
        <w:rPr>
          <w:b/>
          <w:bCs/>
          <w:sz w:val="28"/>
          <w:szCs w:val="28"/>
        </w:rPr>
        <w:tab/>
      </w:r>
      <w:r w:rsidRPr="00791666">
        <w:rPr>
          <w:b/>
          <w:bCs/>
          <w:sz w:val="28"/>
          <w:szCs w:val="28"/>
        </w:rPr>
        <w:t xml:space="preserve">SECOND </w:t>
      </w:r>
      <w:r w:rsidR="00EA529D" w:rsidRPr="00791666">
        <w:rPr>
          <w:b/>
          <w:bCs/>
          <w:sz w:val="28"/>
          <w:szCs w:val="28"/>
        </w:rPr>
        <w:t>R</w:t>
      </w:r>
      <w:r w:rsidR="00EA529D" w:rsidRPr="00791666">
        <w:rPr>
          <w:b/>
          <w:sz w:val="28"/>
          <w:szCs w:val="28"/>
        </w:rPr>
        <w:t>ESPONDENT</w:t>
      </w:r>
    </w:p>
    <w:p w:rsidR="00884663" w:rsidRPr="00791666" w:rsidRDefault="00884663" w:rsidP="006B27C8">
      <w:pPr>
        <w:spacing w:before="240"/>
        <w:ind w:right="-180"/>
        <w:rPr>
          <w:b/>
          <w:sz w:val="28"/>
          <w:szCs w:val="28"/>
        </w:rPr>
      </w:pPr>
      <w:r w:rsidRPr="00791666">
        <w:rPr>
          <w:b/>
          <w:sz w:val="28"/>
          <w:szCs w:val="28"/>
        </w:rPr>
        <w:t xml:space="preserve">SOUTH AFRICAN MUNICIPAL </w:t>
      </w:r>
      <w:r w:rsidR="006B27C8" w:rsidRPr="00791666">
        <w:rPr>
          <w:b/>
          <w:sz w:val="28"/>
          <w:szCs w:val="28"/>
        </w:rPr>
        <w:t>WORKERS’</w:t>
      </w:r>
      <w:r w:rsidRPr="00791666">
        <w:rPr>
          <w:b/>
          <w:sz w:val="28"/>
          <w:szCs w:val="28"/>
        </w:rPr>
        <w:tab/>
      </w:r>
      <w:r w:rsidRPr="00791666">
        <w:rPr>
          <w:b/>
          <w:sz w:val="28"/>
          <w:szCs w:val="28"/>
        </w:rPr>
        <w:tab/>
      </w:r>
      <w:r w:rsidRPr="00791666">
        <w:rPr>
          <w:b/>
          <w:sz w:val="28"/>
          <w:szCs w:val="28"/>
        </w:rPr>
        <w:tab/>
      </w:r>
    </w:p>
    <w:p w:rsidR="00884663" w:rsidRPr="00791666" w:rsidRDefault="00884663" w:rsidP="00DA43AB">
      <w:pPr>
        <w:tabs>
          <w:tab w:val="right" w:pos="9356"/>
        </w:tabs>
        <w:ind w:right="-180"/>
        <w:rPr>
          <w:b/>
          <w:sz w:val="28"/>
          <w:szCs w:val="28"/>
        </w:rPr>
      </w:pPr>
      <w:r w:rsidRPr="00791666">
        <w:rPr>
          <w:b/>
          <w:sz w:val="28"/>
          <w:szCs w:val="28"/>
        </w:rPr>
        <w:t>UNION NATIONAL PROVIDENT</w:t>
      </w:r>
      <w:r w:rsidR="006B27C8" w:rsidRPr="00791666">
        <w:rPr>
          <w:b/>
          <w:sz w:val="28"/>
          <w:szCs w:val="28"/>
        </w:rPr>
        <w:t xml:space="preserve"> </w:t>
      </w:r>
      <w:r w:rsidR="00C85C2C" w:rsidRPr="00791666">
        <w:rPr>
          <w:b/>
          <w:sz w:val="28"/>
          <w:szCs w:val="28"/>
        </w:rPr>
        <w:t>FUND</w:t>
      </w:r>
      <w:r w:rsidR="006B27C8" w:rsidRPr="00791666">
        <w:rPr>
          <w:b/>
          <w:sz w:val="28"/>
          <w:szCs w:val="28"/>
        </w:rPr>
        <w:tab/>
      </w:r>
    </w:p>
    <w:p w:rsidR="00C85C2C" w:rsidRDefault="00884663" w:rsidP="00DA43AB">
      <w:pPr>
        <w:tabs>
          <w:tab w:val="right" w:pos="9356"/>
        </w:tabs>
        <w:ind w:right="4"/>
        <w:rPr>
          <w:b/>
          <w:sz w:val="28"/>
          <w:szCs w:val="28"/>
        </w:rPr>
      </w:pPr>
      <w:r w:rsidRPr="00791666">
        <w:rPr>
          <w:b/>
          <w:sz w:val="28"/>
          <w:szCs w:val="28"/>
        </w:rPr>
        <w:t>AND OTHERS</w:t>
      </w:r>
      <w:r w:rsidR="00FE3762" w:rsidRPr="00791666">
        <w:rPr>
          <w:b/>
          <w:sz w:val="28"/>
          <w:szCs w:val="28"/>
        </w:rPr>
        <w:tab/>
        <w:t xml:space="preserve">    </w:t>
      </w:r>
      <w:r w:rsidRPr="00791666">
        <w:rPr>
          <w:b/>
          <w:sz w:val="28"/>
          <w:szCs w:val="28"/>
        </w:rPr>
        <w:t xml:space="preserve">      </w:t>
      </w:r>
      <w:r w:rsidR="00C85C2C" w:rsidRPr="00791666">
        <w:rPr>
          <w:b/>
          <w:sz w:val="28"/>
          <w:szCs w:val="28"/>
        </w:rPr>
        <w:t xml:space="preserve">FIRST TO </w:t>
      </w:r>
      <w:r w:rsidR="006B27C8" w:rsidRPr="00791666">
        <w:rPr>
          <w:b/>
          <w:sz w:val="28"/>
          <w:szCs w:val="28"/>
        </w:rPr>
        <w:t>THIRTY-</w:t>
      </w:r>
      <w:r w:rsidRPr="00791666">
        <w:rPr>
          <w:b/>
          <w:sz w:val="28"/>
          <w:szCs w:val="28"/>
        </w:rPr>
        <w:t>THIRD</w:t>
      </w:r>
    </w:p>
    <w:p w:rsidR="00884663" w:rsidRPr="00791666" w:rsidRDefault="00C85C2C" w:rsidP="00DA43AB">
      <w:pPr>
        <w:tabs>
          <w:tab w:val="right" w:pos="9356"/>
        </w:tabs>
        <w:ind w:right="4"/>
        <w:rPr>
          <w:b/>
          <w:sz w:val="28"/>
          <w:szCs w:val="28"/>
        </w:rPr>
      </w:pPr>
      <w:r>
        <w:rPr>
          <w:b/>
          <w:sz w:val="28"/>
          <w:szCs w:val="28"/>
        </w:rPr>
        <w:tab/>
        <w:t xml:space="preserve">THIRD </w:t>
      </w:r>
      <w:r w:rsidR="00884663" w:rsidRPr="00791666">
        <w:rPr>
          <w:b/>
          <w:sz w:val="28"/>
          <w:szCs w:val="28"/>
        </w:rPr>
        <w:t>PARTIE</w:t>
      </w:r>
      <w:r>
        <w:rPr>
          <w:b/>
          <w:sz w:val="28"/>
          <w:szCs w:val="28"/>
        </w:rPr>
        <w:t>S</w:t>
      </w:r>
    </w:p>
    <w:p w:rsidR="00EA529D" w:rsidRPr="00791666" w:rsidRDefault="00EA529D" w:rsidP="004D2880">
      <w:pPr>
        <w:tabs>
          <w:tab w:val="left" w:pos="5954"/>
        </w:tabs>
        <w:contextualSpacing/>
        <w:rPr>
          <w:b/>
          <w:sz w:val="28"/>
          <w:szCs w:val="28"/>
        </w:rPr>
      </w:pPr>
    </w:p>
    <w:p w:rsidR="00B31FF4" w:rsidRPr="00791666" w:rsidRDefault="00EA529D" w:rsidP="008C4066">
      <w:pPr>
        <w:spacing w:before="240" w:after="240"/>
        <w:ind w:left="2160" w:hanging="2160"/>
        <w:rPr>
          <w:bCs/>
          <w:sz w:val="28"/>
          <w:szCs w:val="28"/>
        </w:rPr>
      </w:pPr>
      <w:r w:rsidRPr="00791666">
        <w:rPr>
          <w:b/>
          <w:bCs/>
          <w:sz w:val="28"/>
          <w:szCs w:val="28"/>
        </w:rPr>
        <w:t>Neutral citation:</w:t>
      </w:r>
      <w:r w:rsidRPr="00791666">
        <w:rPr>
          <w:b/>
          <w:bCs/>
          <w:sz w:val="28"/>
          <w:szCs w:val="28"/>
        </w:rPr>
        <w:tab/>
      </w:r>
      <w:r w:rsidR="00884663" w:rsidRPr="00791666">
        <w:rPr>
          <w:i/>
          <w:iCs/>
          <w:sz w:val="28"/>
          <w:szCs w:val="28"/>
        </w:rPr>
        <w:t xml:space="preserve">South African Municipal Workers’ </w:t>
      </w:r>
      <w:r w:rsidR="00B31FF4" w:rsidRPr="00791666">
        <w:rPr>
          <w:i/>
          <w:iCs/>
          <w:sz w:val="28"/>
          <w:szCs w:val="28"/>
        </w:rPr>
        <w:t xml:space="preserve">Union National Provident </w:t>
      </w:r>
      <w:r w:rsidR="00884663" w:rsidRPr="00791666">
        <w:rPr>
          <w:i/>
          <w:iCs/>
          <w:sz w:val="28"/>
          <w:szCs w:val="28"/>
        </w:rPr>
        <w:t>Fund</w:t>
      </w:r>
      <w:r w:rsidRPr="00791666">
        <w:rPr>
          <w:i/>
          <w:iCs/>
          <w:sz w:val="28"/>
          <w:szCs w:val="28"/>
        </w:rPr>
        <w:t xml:space="preserve"> v </w:t>
      </w:r>
      <w:r w:rsidR="00884663" w:rsidRPr="00791666">
        <w:rPr>
          <w:i/>
          <w:iCs/>
          <w:sz w:val="28"/>
          <w:szCs w:val="28"/>
        </w:rPr>
        <w:t>Di</w:t>
      </w:r>
      <w:r w:rsidR="009D7C7C" w:rsidRPr="00791666">
        <w:rPr>
          <w:i/>
          <w:iCs/>
          <w:sz w:val="28"/>
          <w:szCs w:val="28"/>
        </w:rPr>
        <w:t xml:space="preserve">hlabeng Local Municipality and </w:t>
      </w:r>
      <w:r w:rsidR="0032538C" w:rsidRPr="00791666">
        <w:rPr>
          <w:i/>
          <w:iCs/>
          <w:sz w:val="28"/>
          <w:szCs w:val="28"/>
        </w:rPr>
        <w:t>O</w:t>
      </w:r>
      <w:r w:rsidR="00884663" w:rsidRPr="00791666">
        <w:rPr>
          <w:i/>
          <w:iCs/>
          <w:sz w:val="28"/>
          <w:szCs w:val="28"/>
        </w:rPr>
        <w:t xml:space="preserve">thers </w:t>
      </w:r>
      <w:r w:rsidR="006E1941" w:rsidRPr="00791666">
        <w:rPr>
          <w:bCs/>
          <w:sz w:val="28"/>
          <w:szCs w:val="28"/>
        </w:rPr>
        <w:t>(</w:t>
      </w:r>
      <w:r w:rsidR="00884663" w:rsidRPr="00791666">
        <w:rPr>
          <w:bCs/>
          <w:sz w:val="28"/>
          <w:szCs w:val="28"/>
        </w:rPr>
        <w:t>65/2022</w:t>
      </w:r>
      <w:r w:rsidRPr="00791666">
        <w:rPr>
          <w:bCs/>
          <w:sz w:val="28"/>
          <w:szCs w:val="28"/>
        </w:rPr>
        <w:t>) [202</w:t>
      </w:r>
      <w:r w:rsidR="00884663" w:rsidRPr="00791666">
        <w:rPr>
          <w:bCs/>
          <w:sz w:val="28"/>
          <w:szCs w:val="28"/>
        </w:rPr>
        <w:t>3</w:t>
      </w:r>
      <w:r w:rsidRPr="00791666">
        <w:rPr>
          <w:bCs/>
          <w:sz w:val="28"/>
          <w:szCs w:val="28"/>
        </w:rPr>
        <w:t xml:space="preserve">] ZASCA </w:t>
      </w:r>
      <w:r w:rsidR="00B86DA2">
        <w:rPr>
          <w:bCs/>
          <w:sz w:val="28"/>
          <w:szCs w:val="28"/>
        </w:rPr>
        <w:t>55</w:t>
      </w:r>
      <w:r w:rsidRPr="00791666">
        <w:rPr>
          <w:bCs/>
          <w:sz w:val="28"/>
          <w:szCs w:val="28"/>
        </w:rPr>
        <w:t xml:space="preserve"> (</w:t>
      </w:r>
      <w:r w:rsidR="00B86DA2">
        <w:rPr>
          <w:bCs/>
          <w:sz w:val="28"/>
          <w:szCs w:val="28"/>
        </w:rPr>
        <w:t>20</w:t>
      </w:r>
      <w:r w:rsidR="00884663" w:rsidRPr="00791666">
        <w:rPr>
          <w:bCs/>
          <w:sz w:val="28"/>
          <w:szCs w:val="28"/>
        </w:rPr>
        <w:t xml:space="preserve"> </w:t>
      </w:r>
      <w:r w:rsidR="005515F1">
        <w:rPr>
          <w:bCs/>
          <w:sz w:val="28"/>
          <w:szCs w:val="28"/>
        </w:rPr>
        <w:t>April</w:t>
      </w:r>
      <w:r w:rsidR="00884663" w:rsidRPr="00791666">
        <w:rPr>
          <w:bCs/>
          <w:sz w:val="28"/>
          <w:szCs w:val="28"/>
        </w:rPr>
        <w:t xml:space="preserve"> 2023</w:t>
      </w:r>
      <w:r w:rsidRPr="00791666">
        <w:rPr>
          <w:bCs/>
          <w:sz w:val="28"/>
          <w:szCs w:val="28"/>
        </w:rPr>
        <w:t>)</w:t>
      </w:r>
    </w:p>
    <w:p w:rsidR="009D7C7C" w:rsidRDefault="00EA529D" w:rsidP="008C4066">
      <w:pPr>
        <w:ind w:left="2160" w:hanging="2160"/>
        <w:rPr>
          <w:bCs/>
          <w:sz w:val="28"/>
          <w:szCs w:val="28"/>
        </w:rPr>
      </w:pPr>
      <w:r w:rsidRPr="00791666">
        <w:rPr>
          <w:b/>
          <w:bCs/>
          <w:sz w:val="28"/>
          <w:szCs w:val="28"/>
        </w:rPr>
        <w:lastRenderedPageBreak/>
        <w:t>Coram:</w:t>
      </w:r>
      <w:r w:rsidRPr="00791666">
        <w:rPr>
          <w:sz w:val="28"/>
          <w:szCs w:val="28"/>
        </w:rPr>
        <w:tab/>
      </w:r>
      <w:r w:rsidR="00884663" w:rsidRPr="00791666">
        <w:rPr>
          <w:bCs/>
          <w:sz w:val="28"/>
          <w:szCs w:val="28"/>
        </w:rPr>
        <w:t>SALDULKER</w:t>
      </w:r>
      <w:r w:rsidR="009627EF" w:rsidRPr="00791666">
        <w:rPr>
          <w:bCs/>
          <w:sz w:val="28"/>
          <w:szCs w:val="28"/>
        </w:rPr>
        <w:t>,</w:t>
      </w:r>
      <w:r w:rsidR="00884663" w:rsidRPr="00791666">
        <w:rPr>
          <w:bCs/>
          <w:sz w:val="28"/>
          <w:szCs w:val="28"/>
        </w:rPr>
        <w:t xml:space="preserve"> MOLEMELA</w:t>
      </w:r>
      <w:r w:rsidR="00E44EC8" w:rsidRPr="00791666">
        <w:rPr>
          <w:bCs/>
          <w:sz w:val="28"/>
          <w:szCs w:val="28"/>
        </w:rPr>
        <w:t>, MABINDL</w:t>
      </w:r>
      <w:r w:rsidR="00B31FF4" w:rsidRPr="00791666">
        <w:rPr>
          <w:bCs/>
          <w:sz w:val="28"/>
          <w:szCs w:val="28"/>
        </w:rPr>
        <w:t>A</w:t>
      </w:r>
      <w:r w:rsidR="00E44EC8" w:rsidRPr="00791666">
        <w:rPr>
          <w:bCs/>
          <w:sz w:val="28"/>
          <w:szCs w:val="28"/>
        </w:rPr>
        <w:t xml:space="preserve">-BOQWANA </w:t>
      </w:r>
      <w:r w:rsidR="009627EF" w:rsidRPr="00791666">
        <w:rPr>
          <w:bCs/>
          <w:sz w:val="28"/>
          <w:szCs w:val="28"/>
        </w:rPr>
        <w:t>and</w:t>
      </w:r>
      <w:r w:rsidRPr="00791666">
        <w:rPr>
          <w:bCs/>
          <w:sz w:val="28"/>
          <w:szCs w:val="28"/>
        </w:rPr>
        <w:t xml:space="preserve"> </w:t>
      </w:r>
      <w:r w:rsidR="00E44EC8" w:rsidRPr="00791666">
        <w:rPr>
          <w:bCs/>
          <w:sz w:val="28"/>
          <w:szCs w:val="28"/>
        </w:rPr>
        <w:t>MOLEFE JJA and SIWENDU AJ</w:t>
      </w:r>
      <w:r w:rsidRPr="00791666">
        <w:rPr>
          <w:bCs/>
          <w:sz w:val="28"/>
          <w:szCs w:val="28"/>
        </w:rPr>
        <w:t>A</w:t>
      </w:r>
    </w:p>
    <w:p w:rsidR="008C4066" w:rsidRPr="00791666" w:rsidRDefault="008C4066" w:rsidP="008C4066">
      <w:pPr>
        <w:ind w:left="2160" w:hanging="2160"/>
        <w:rPr>
          <w:bCs/>
          <w:sz w:val="28"/>
          <w:szCs w:val="28"/>
        </w:rPr>
      </w:pPr>
    </w:p>
    <w:p w:rsidR="004D2880" w:rsidRDefault="00EA529D" w:rsidP="008C4066">
      <w:pPr>
        <w:rPr>
          <w:sz w:val="28"/>
          <w:szCs w:val="28"/>
        </w:rPr>
      </w:pPr>
      <w:r w:rsidRPr="00791666">
        <w:rPr>
          <w:b/>
          <w:bCs/>
          <w:sz w:val="28"/>
          <w:szCs w:val="28"/>
        </w:rPr>
        <w:t>Heard</w:t>
      </w:r>
      <w:r w:rsidRPr="00791666">
        <w:rPr>
          <w:b/>
          <w:sz w:val="28"/>
          <w:szCs w:val="28"/>
        </w:rPr>
        <w:t>:</w:t>
      </w:r>
      <w:r w:rsidRPr="00791666">
        <w:rPr>
          <w:sz w:val="28"/>
          <w:szCs w:val="28"/>
        </w:rPr>
        <w:tab/>
      </w:r>
      <w:r w:rsidR="009627EF" w:rsidRPr="00791666">
        <w:rPr>
          <w:sz w:val="28"/>
          <w:szCs w:val="28"/>
        </w:rPr>
        <w:tab/>
      </w:r>
      <w:r w:rsidR="00E44EC8" w:rsidRPr="00791666">
        <w:rPr>
          <w:sz w:val="28"/>
          <w:szCs w:val="28"/>
        </w:rPr>
        <w:t>17 February 2023</w:t>
      </w:r>
    </w:p>
    <w:p w:rsidR="008C4066" w:rsidRPr="00791666" w:rsidRDefault="008C4066" w:rsidP="008C4066">
      <w:pPr>
        <w:rPr>
          <w:sz w:val="28"/>
          <w:szCs w:val="28"/>
        </w:rPr>
      </w:pPr>
    </w:p>
    <w:p w:rsidR="008C4066" w:rsidRDefault="00EA529D" w:rsidP="008C4066">
      <w:pPr>
        <w:tabs>
          <w:tab w:val="left" w:pos="-1440"/>
        </w:tabs>
        <w:rPr>
          <w:sz w:val="28"/>
          <w:szCs w:val="28"/>
        </w:rPr>
      </w:pPr>
      <w:r w:rsidRPr="00791666">
        <w:rPr>
          <w:b/>
          <w:bCs/>
          <w:sz w:val="28"/>
          <w:szCs w:val="28"/>
        </w:rPr>
        <w:t>Delivered</w:t>
      </w:r>
      <w:r w:rsidRPr="00791666">
        <w:rPr>
          <w:b/>
          <w:sz w:val="28"/>
          <w:szCs w:val="28"/>
        </w:rPr>
        <w:t>:</w:t>
      </w:r>
      <w:r w:rsidRPr="00791666">
        <w:rPr>
          <w:sz w:val="28"/>
          <w:szCs w:val="28"/>
        </w:rPr>
        <w:tab/>
      </w:r>
      <w:r w:rsidR="009627EF" w:rsidRPr="00791666">
        <w:rPr>
          <w:sz w:val="28"/>
          <w:szCs w:val="28"/>
        </w:rPr>
        <w:tab/>
      </w:r>
      <w:r w:rsidR="00B86DA2" w:rsidRPr="00B86DA2">
        <w:rPr>
          <w:sz w:val="28"/>
          <w:szCs w:val="28"/>
        </w:rPr>
        <w:t>This judgment was handed down electronically by circulation to the parties’ legal representatives by email, publication on the website of the Supreme Court of Appeal and release to SAFLII. The date and time for hand-down is deemed to be 1</w:t>
      </w:r>
      <w:r w:rsidR="008C4066">
        <w:rPr>
          <w:sz w:val="28"/>
          <w:szCs w:val="28"/>
        </w:rPr>
        <w:t>1</w:t>
      </w:r>
      <w:r w:rsidR="00B86DA2" w:rsidRPr="00B86DA2">
        <w:rPr>
          <w:sz w:val="28"/>
          <w:szCs w:val="28"/>
        </w:rPr>
        <w:t xml:space="preserve">h00 on </w:t>
      </w:r>
      <w:r w:rsidR="008C4066">
        <w:rPr>
          <w:sz w:val="28"/>
          <w:szCs w:val="28"/>
        </w:rPr>
        <w:t>20 April 2023.</w:t>
      </w:r>
    </w:p>
    <w:p w:rsidR="008C4066" w:rsidRPr="00B86DA2" w:rsidRDefault="008C4066" w:rsidP="008C4066">
      <w:pPr>
        <w:tabs>
          <w:tab w:val="left" w:pos="-1440"/>
        </w:tabs>
        <w:rPr>
          <w:sz w:val="28"/>
          <w:szCs w:val="28"/>
        </w:rPr>
      </w:pPr>
    </w:p>
    <w:p w:rsidR="00750305" w:rsidRPr="00791666" w:rsidRDefault="00750305" w:rsidP="006B27C8">
      <w:pPr>
        <w:spacing w:before="240"/>
        <w:rPr>
          <w:sz w:val="28"/>
          <w:szCs w:val="28"/>
          <w:lang w:val="en-US"/>
        </w:rPr>
      </w:pPr>
      <w:r w:rsidRPr="00791666">
        <w:rPr>
          <w:b/>
          <w:bCs/>
          <w:sz w:val="28"/>
          <w:szCs w:val="28"/>
        </w:rPr>
        <w:t>Summary:</w:t>
      </w:r>
      <w:r w:rsidRPr="00791666">
        <w:rPr>
          <w:sz w:val="28"/>
          <w:szCs w:val="28"/>
        </w:rPr>
        <w:tab/>
      </w:r>
      <w:r w:rsidR="006B27C8" w:rsidRPr="00791666">
        <w:rPr>
          <w:sz w:val="28"/>
          <w:szCs w:val="28"/>
        </w:rPr>
        <w:tab/>
      </w:r>
      <w:r w:rsidR="009E4937" w:rsidRPr="00791666">
        <w:rPr>
          <w:sz w:val="28"/>
          <w:szCs w:val="28"/>
        </w:rPr>
        <w:t xml:space="preserve">Labour law – employee </w:t>
      </w:r>
      <w:r w:rsidR="00B31FF4" w:rsidRPr="00791666">
        <w:rPr>
          <w:sz w:val="28"/>
          <w:szCs w:val="28"/>
        </w:rPr>
        <w:t>p</w:t>
      </w:r>
      <w:r w:rsidR="009E4937" w:rsidRPr="00791666">
        <w:rPr>
          <w:sz w:val="28"/>
          <w:szCs w:val="28"/>
        </w:rPr>
        <w:t>ension fund – whether the dismissed employees were re-employed or reinstate</w:t>
      </w:r>
      <w:r w:rsidR="009D7C7C" w:rsidRPr="00791666">
        <w:rPr>
          <w:sz w:val="28"/>
          <w:szCs w:val="28"/>
        </w:rPr>
        <w:t>d</w:t>
      </w:r>
      <w:r w:rsidR="009E4937" w:rsidRPr="00791666">
        <w:rPr>
          <w:sz w:val="28"/>
          <w:szCs w:val="28"/>
        </w:rPr>
        <w:t xml:space="preserve"> in terms of </w:t>
      </w:r>
      <w:r w:rsidR="009D7C7C" w:rsidRPr="00791666">
        <w:rPr>
          <w:sz w:val="28"/>
          <w:szCs w:val="28"/>
        </w:rPr>
        <w:t xml:space="preserve">a </w:t>
      </w:r>
      <w:r w:rsidR="009E4937" w:rsidRPr="00791666">
        <w:rPr>
          <w:sz w:val="28"/>
          <w:szCs w:val="28"/>
        </w:rPr>
        <w:t xml:space="preserve">settlement agreement – whether the employees remained </w:t>
      </w:r>
      <w:r w:rsidR="009E4937" w:rsidRPr="006F1BA0">
        <w:rPr>
          <w:sz w:val="28"/>
          <w:szCs w:val="28"/>
        </w:rPr>
        <w:t>contributory members of the pension fund with statutory contributory obligation</w:t>
      </w:r>
      <w:r w:rsidR="003B3A29" w:rsidRPr="00171FE7">
        <w:rPr>
          <w:sz w:val="28"/>
          <w:szCs w:val="28"/>
        </w:rPr>
        <w:t>s</w:t>
      </w:r>
      <w:r w:rsidR="009E4937" w:rsidRPr="006F1BA0">
        <w:rPr>
          <w:sz w:val="28"/>
          <w:szCs w:val="28"/>
        </w:rPr>
        <w:t xml:space="preserve"> –</w:t>
      </w:r>
      <w:r w:rsidR="009E4937" w:rsidRPr="00791666">
        <w:rPr>
          <w:sz w:val="28"/>
          <w:szCs w:val="28"/>
        </w:rPr>
        <w:t xml:space="preserve"> whether the issue of reinstatement was </w:t>
      </w:r>
      <w:r w:rsidR="009E4937" w:rsidRPr="00791666">
        <w:rPr>
          <w:i/>
          <w:sz w:val="28"/>
          <w:szCs w:val="28"/>
        </w:rPr>
        <w:t>res judicata</w:t>
      </w:r>
      <w:r w:rsidR="009E4937" w:rsidRPr="00791666">
        <w:rPr>
          <w:sz w:val="28"/>
          <w:szCs w:val="28"/>
        </w:rPr>
        <w:t xml:space="preserve"> based on the </w:t>
      </w:r>
      <w:r w:rsidR="00B31FF4" w:rsidRPr="00791666">
        <w:rPr>
          <w:sz w:val="28"/>
          <w:szCs w:val="28"/>
        </w:rPr>
        <w:t>P</w:t>
      </w:r>
      <w:r w:rsidR="009E4937" w:rsidRPr="00791666">
        <w:rPr>
          <w:sz w:val="28"/>
          <w:szCs w:val="28"/>
        </w:rPr>
        <w:t>ension Fund Adjudicator’s findings –</w:t>
      </w:r>
      <w:r w:rsidR="009D7C7C" w:rsidRPr="00791666">
        <w:rPr>
          <w:sz w:val="28"/>
          <w:szCs w:val="28"/>
        </w:rPr>
        <w:t xml:space="preserve"> </w:t>
      </w:r>
      <w:r w:rsidR="009E4937" w:rsidRPr="00791666">
        <w:rPr>
          <w:sz w:val="28"/>
          <w:szCs w:val="28"/>
        </w:rPr>
        <w:t xml:space="preserve">prescription of the claim. </w:t>
      </w:r>
    </w:p>
    <w:p w:rsidR="00750305" w:rsidRPr="00791666" w:rsidRDefault="00750305" w:rsidP="00750305">
      <w:pPr>
        <w:spacing w:after="160" w:line="259" w:lineRule="auto"/>
        <w:jc w:val="left"/>
        <w:rPr>
          <w:sz w:val="28"/>
          <w:szCs w:val="28"/>
          <w:lang w:val="en-US"/>
        </w:rPr>
      </w:pPr>
      <w:r w:rsidRPr="00791666">
        <w:rPr>
          <w:sz w:val="28"/>
          <w:szCs w:val="28"/>
          <w:lang w:val="en-US"/>
        </w:rPr>
        <w:br w:type="page"/>
      </w:r>
    </w:p>
    <w:p w:rsidR="00750305" w:rsidRPr="00791666" w:rsidRDefault="00750305" w:rsidP="004D2880">
      <w:pPr>
        <w:pStyle w:val="Heading3"/>
        <w:spacing w:after="240"/>
        <w:jc w:val="left"/>
        <w:rPr>
          <w:rFonts w:ascii="Times New Roman" w:hAnsi="Times New Roman" w:cs="Times New Roman"/>
          <w:b/>
          <w:i w:val="0"/>
          <w:szCs w:val="28"/>
        </w:rPr>
      </w:pPr>
      <w:r w:rsidRPr="00791666">
        <w:rPr>
          <w:rFonts w:ascii="Times New Roman" w:hAnsi="Times New Roman" w:cs="Times New Roman"/>
          <w:b/>
          <w:i w:val="0"/>
          <w:szCs w:val="28"/>
        </w:rPr>
        <w:lastRenderedPageBreak/>
        <w:t>__________________________________________________________________</w:t>
      </w:r>
    </w:p>
    <w:p w:rsidR="00750305" w:rsidRPr="000E6FDF" w:rsidRDefault="00750305" w:rsidP="000E6FDF">
      <w:pPr>
        <w:pStyle w:val="Heading1"/>
        <w:jc w:val="center"/>
        <w:rPr>
          <w:rFonts w:ascii="Times New Roman" w:hAnsi="Times New Roman" w:cs="Times New Roman"/>
          <w:i/>
        </w:rPr>
      </w:pPr>
      <w:r w:rsidRPr="000E6FDF">
        <w:rPr>
          <w:rFonts w:ascii="Times New Roman" w:hAnsi="Times New Roman" w:cs="Times New Roman"/>
        </w:rPr>
        <w:t>ORDER</w:t>
      </w:r>
    </w:p>
    <w:p w:rsidR="00750305" w:rsidRPr="00791666" w:rsidRDefault="00750305" w:rsidP="004D2880">
      <w:pPr>
        <w:jc w:val="left"/>
        <w:rPr>
          <w:b/>
          <w:bCs/>
          <w:sz w:val="28"/>
          <w:szCs w:val="28"/>
        </w:rPr>
      </w:pPr>
      <w:r w:rsidRPr="00791666">
        <w:rPr>
          <w:b/>
          <w:bCs/>
          <w:sz w:val="28"/>
          <w:szCs w:val="28"/>
        </w:rPr>
        <w:t>__________________________________________________________________</w:t>
      </w:r>
    </w:p>
    <w:p w:rsidR="00750305" w:rsidRPr="00791666" w:rsidRDefault="00750305" w:rsidP="00750305">
      <w:pPr>
        <w:spacing w:before="240"/>
        <w:rPr>
          <w:bCs/>
          <w:sz w:val="28"/>
          <w:szCs w:val="28"/>
        </w:rPr>
      </w:pPr>
      <w:r w:rsidRPr="00791666">
        <w:rPr>
          <w:b/>
          <w:bCs/>
          <w:sz w:val="28"/>
          <w:szCs w:val="28"/>
        </w:rPr>
        <w:t>On appeal from:</w:t>
      </w:r>
      <w:r w:rsidRPr="00791666">
        <w:rPr>
          <w:sz w:val="28"/>
          <w:szCs w:val="28"/>
        </w:rPr>
        <w:t xml:space="preserve"> </w:t>
      </w:r>
      <w:r w:rsidR="005865FC" w:rsidRPr="00791666">
        <w:rPr>
          <w:sz w:val="28"/>
          <w:szCs w:val="28"/>
        </w:rPr>
        <w:t>Free State</w:t>
      </w:r>
      <w:r w:rsidRPr="00791666">
        <w:rPr>
          <w:bCs/>
          <w:sz w:val="28"/>
          <w:szCs w:val="28"/>
        </w:rPr>
        <w:t xml:space="preserve"> Divisio</w:t>
      </w:r>
      <w:r w:rsidR="00EF26CD" w:rsidRPr="00791666">
        <w:rPr>
          <w:bCs/>
          <w:sz w:val="28"/>
          <w:szCs w:val="28"/>
        </w:rPr>
        <w:t>n of the High Court,</w:t>
      </w:r>
      <w:r w:rsidR="00697039" w:rsidRPr="00791666">
        <w:rPr>
          <w:bCs/>
          <w:sz w:val="28"/>
          <w:szCs w:val="28"/>
        </w:rPr>
        <w:t xml:space="preserve"> </w:t>
      </w:r>
      <w:r w:rsidR="005865FC" w:rsidRPr="00791666">
        <w:rPr>
          <w:bCs/>
          <w:sz w:val="28"/>
          <w:szCs w:val="28"/>
        </w:rPr>
        <w:t>Bloemfontein</w:t>
      </w:r>
      <w:r w:rsidR="00697039" w:rsidRPr="00791666">
        <w:rPr>
          <w:bCs/>
          <w:sz w:val="28"/>
          <w:szCs w:val="28"/>
        </w:rPr>
        <w:t xml:space="preserve"> </w:t>
      </w:r>
      <w:r w:rsidR="00EF26CD" w:rsidRPr="00791666">
        <w:rPr>
          <w:bCs/>
          <w:sz w:val="28"/>
          <w:szCs w:val="28"/>
        </w:rPr>
        <w:t>(</w:t>
      </w:r>
      <w:r w:rsidR="005865FC" w:rsidRPr="00791666">
        <w:rPr>
          <w:bCs/>
          <w:sz w:val="28"/>
          <w:szCs w:val="28"/>
        </w:rPr>
        <w:t>Mb</w:t>
      </w:r>
      <w:r w:rsidR="009D7C7C" w:rsidRPr="00791666">
        <w:rPr>
          <w:bCs/>
          <w:sz w:val="28"/>
          <w:szCs w:val="28"/>
        </w:rPr>
        <w:t>h</w:t>
      </w:r>
      <w:r w:rsidR="005865FC" w:rsidRPr="00791666">
        <w:rPr>
          <w:bCs/>
          <w:sz w:val="28"/>
          <w:szCs w:val="28"/>
        </w:rPr>
        <w:t xml:space="preserve">ele </w:t>
      </w:r>
      <w:r w:rsidR="006B27C8" w:rsidRPr="00791666">
        <w:rPr>
          <w:bCs/>
          <w:sz w:val="28"/>
          <w:szCs w:val="28"/>
        </w:rPr>
        <w:t>D</w:t>
      </w:r>
      <w:r w:rsidR="005865FC" w:rsidRPr="00791666">
        <w:rPr>
          <w:bCs/>
          <w:sz w:val="28"/>
          <w:szCs w:val="28"/>
        </w:rPr>
        <w:t>J</w:t>
      </w:r>
      <w:r w:rsidR="006B27C8" w:rsidRPr="00791666">
        <w:rPr>
          <w:bCs/>
          <w:sz w:val="28"/>
          <w:szCs w:val="28"/>
        </w:rPr>
        <w:t>P</w:t>
      </w:r>
      <w:r w:rsidRPr="00791666">
        <w:rPr>
          <w:bCs/>
          <w:sz w:val="28"/>
          <w:szCs w:val="28"/>
        </w:rPr>
        <w:t>, sitting as court of first instance</w:t>
      </w:r>
      <w:r w:rsidR="00EF26CD" w:rsidRPr="00791666">
        <w:rPr>
          <w:bCs/>
          <w:sz w:val="28"/>
          <w:szCs w:val="28"/>
        </w:rPr>
        <w:t>)</w:t>
      </w:r>
      <w:r w:rsidRPr="00791666">
        <w:rPr>
          <w:bCs/>
          <w:sz w:val="28"/>
          <w:szCs w:val="28"/>
        </w:rPr>
        <w:t xml:space="preserve">:  </w:t>
      </w:r>
    </w:p>
    <w:p w:rsidR="00750305" w:rsidRPr="00791666" w:rsidRDefault="009E4937" w:rsidP="0032538C">
      <w:pPr>
        <w:spacing w:before="240"/>
        <w:rPr>
          <w:sz w:val="28"/>
          <w:szCs w:val="28"/>
        </w:rPr>
      </w:pPr>
      <w:r w:rsidRPr="00791666">
        <w:rPr>
          <w:sz w:val="28"/>
          <w:szCs w:val="28"/>
        </w:rPr>
        <w:t>The appeal is dismissed with cost</w:t>
      </w:r>
      <w:r w:rsidR="007B3BBA" w:rsidRPr="00791666">
        <w:rPr>
          <w:sz w:val="28"/>
          <w:szCs w:val="28"/>
        </w:rPr>
        <w:t>s</w:t>
      </w:r>
      <w:r w:rsidR="00C33CE6" w:rsidRPr="00791666">
        <w:rPr>
          <w:sz w:val="28"/>
          <w:szCs w:val="28"/>
        </w:rPr>
        <w:t>,</w:t>
      </w:r>
      <w:r w:rsidR="00FE3762" w:rsidRPr="00791666">
        <w:rPr>
          <w:sz w:val="28"/>
          <w:szCs w:val="28"/>
        </w:rPr>
        <w:t xml:space="preserve"> including </w:t>
      </w:r>
      <w:r w:rsidR="00C33CE6" w:rsidRPr="00791666">
        <w:rPr>
          <w:sz w:val="28"/>
          <w:szCs w:val="28"/>
        </w:rPr>
        <w:t xml:space="preserve">the </w:t>
      </w:r>
      <w:r w:rsidR="00FE3762" w:rsidRPr="00791666">
        <w:rPr>
          <w:sz w:val="28"/>
          <w:szCs w:val="28"/>
        </w:rPr>
        <w:t>costs</w:t>
      </w:r>
      <w:r w:rsidRPr="00791666">
        <w:rPr>
          <w:sz w:val="28"/>
          <w:szCs w:val="28"/>
        </w:rPr>
        <w:t xml:space="preserve"> of two counsel. </w:t>
      </w:r>
    </w:p>
    <w:p w:rsidR="00750305" w:rsidRPr="00791666" w:rsidRDefault="00750305" w:rsidP="00750305">
      <w:pPr>
        <w:pStyle w:val="ListParagraph"/>
        <w:spacing w:after="240"/>
        <w:ind w:left="0"/>
        <w:rPr>
          <w:b/>
          <w:bCs/>
          <w:sz w:val="28"/>
          <w:szCs w:val="28"/>
        </w:rPr>
      </w:pPr>
      <w:r w:rsidRPr="00791666">
        <w:rPr>
          <w:b/>
          <w:bCs/>
          <w:sz w:val="28"/>
          <w:szCs w:val="28"/>
        </w:rPr>
        <w:t>__________________________________________________________________</w:t>
      </w:r>
    </w:p>
    <w:p w:rsidR="00750305" w:rsidRPr="00791666" w:rsidRDefault="00750305" w:rsidP="00750305">
      <w:pPr>
        <w:pStyle w:val="Heading1"/>
        <w:jc w:val="center"/>
        <w:rPr>
          <w:rFonts w:ascii="Times New Roman" w:hAnsi="Times New Roman" w:cs="Times New Roman"/>
          <w:szCs w:val="28"/>
        </w:rPr>
      </w:pPr>
      <w:r w:rsidRPr="00791666">
        <w:rPr>
          <w:rFonts w:ascii="Times New Roman" w:hAnsi="Times New Roman" w:cs="Times New Roman"/>
          <w:szCs w:val="28"/>
        </w:rPr>
        <w:t>JUDGMENT</w:t>
      </w:r>
    </w:p>
    <w:p w:rsidR="00750305" w:rsidRPr="00791666" w:rsidRDefault="00750305" w:rsidP="00750305">
      <w:pPr>
        <w:spacing w:after="240"/>
        <w:rPr>
          <w:b/>
          <w:bCs/>
          <w:sz w:val="28"/>
          <w:szCs w:val="28"/>
        </w:rPr>
      </w:pPr>
      <w:r w:rsidRPr="00791666">
        <w:rPr>
          <w:b/>
          <w:bCs/>
          <w:sz w:val="28"/>
          <w:szCs w:val="28"/>
        </w:rPr>
        <w:t>__________________________________________________________________</w:t>
      </w:r>
    </w:p>
    <w:p w:rsidR="00750305" w:rsidRPr="00791666" w:rsidRDefault="00E44EC8" w:rsidP="008C4066">
      <w:pPr>
        <w:spacing w:before="240"/>
        <w:rPr>
          <w:sz w:val="28"/>
          <w:szCs w:val="28"/>
        </w:rPr>
      </w:pPr>
      <w:r w:rsidRPr="00791666">
        <w:rPr>
          <w:b/>
          <w:sz w:val="28"/>
          <w:szCs w:val="28"/>
        </w:rPr>
        <w:t>M</w:t>
      </w:r>
      <w:r w:rsidR="00C33CE6" w:rsidRPr="00791666">
        <w:rPr>
          <w:b/>
          <w:sz w:val="28"/>
          <w:szCs w:val="28"/>
        </w:rPr>
        <w:t>olefe</w:t>
      </w:r>
      <w:r w:rsidRPr="00791666">
        <w:rPr>
          <w:b/>
          <w:sz w:val="28"/>
          <w:szCs w:val="28"/>
        </w:rPr>
        <w:t xml:space="preserve"> JA </w:t>
      </w:r>
      <w:r w:rsidR="00750305" w:rsidRPr="00791666">
        <w:rPr>
          <w:b/>
          <w:sz w:val="28"/>
          <w:szCs w:val="28"/>
        </w:rPr>
        <w:t>(</w:t>
      </w:r>
      <w:r w:rsidR="008C4066">
        <w:rPr>
          <w:b/>
          <w:sz w:val="28"/>
          <w:szCs w:val="28"/>
        </w:rPr>
        <w:t xml:space="preserve">Saldulker, Molemela, Mabindla-Boqwana JJA and Siwendu AJA </w:t>
      </w:r>
      <w:r w:rsidR="00750305" w:rsidRPr="00791666">
        <w:rPr>
          <w:b/>
          <w:sz w:val="28"/>
          <w:szCs w:val="28"/>
        </w:rPr>
        <w:t>concurring):</w:t>
      </w:r>
    </w:p>
    <w:p w:rsidR="00B145E1" w:rsidRPr="00C56286" w:rsidRDefault="00C56286" w:rsidP="00C56286">
      <w:pPr>
        <w:rPr>
          <w:sz w:val="28"/>
          <w:szCs w:val="28"/>
        </w:rPr>
      </w:pPr>
      <w:r w:rsidRPr="00EC2091">
        <w:rPr>
          <w:sz w:val="28"/>
          <w:szCs w:val="28"/>
        </w:rPr>
        <w:t>[</w:t>
      </w:r>
      <w:bookmarkStart w:id="0" w:name="_GoBack"/>
      <w:bookmarkEnd w:id="0"/>
      <w:r w:rsidRPr="00EC2091">
        <w:rPr>
          <w:sz w:val="28"/>
          <w:szCs w:val="28"/>
        </w:rPr>
        <w:t>1]</w:t>
      </w:r>
      <w:r w:rsidRPr="00EC2091">
        <w:rPr>
          <w:sz w:val="28"/>
          <w:szCs w:val="28"/>
        </w:rPr>
        <w:tab/>
      </w:r>
      <w:r w:rsidR="009E4937" w:rsidRPr="00C56286">
        <w:rPr>
          <w:sz w:val="28"/>
          <w:szCs w:val="28"/>
        </w:rPr>
        <w:t xml:space="preserve">The appellant, the South African Municipal </w:t>
      </w:r>
      <w:r w:rsidR="0032538C" w:rsidRPr="00C56286">
        <w:rPr>
          <w:sz w:val="28"/>
          <w:szCs w:val="28"/>
        </w:rPr>
        <w:t xml:space="preserve">Workers’ </w:t>
      </w:r>
      <w:r w:rsidR="009E4937" w:rsidRPr="00C56286">
        <w:rPr>
          <w:sz w:val="28"/>
          <w:szCs w:val="28"/>
        </w:rPr>
        <w:t>Union National Provident Fund (the Fund)</w:t>
      </w:r>
      <w:r w:rsidR="0032538C" w:rsidRPr="00C56286">
        <w:rPr>
          <w:sz w:val="28"/>
          <w:szCs w:val="28"/>
        </w:rPr>
        <w:t>,</w:t>
      </w:r>
      <w:r w:rsidR="009E4937" w:rsidRPr="00C56286">
        <w:rPr>
          <w:sz w:val="28"/>
          <w:szCs w:val="28"/>
        </w:rPr>
        <w:t xml:space="preserve"> instituted an application in the Free State </w:t>
      </w:r>
      <w:r w:rsidR="0032538C" w:rsidRPr="00C56286">
        <w:rPr>
          <w:sz w:val="28"/>
          <w:szCs w:val="28"/>
        </w:rPr>
        <w:t xml:space="preserve">Division of the </w:t>
      </w:r>
      <w:r w:rsidR="009E4937" w:rsidRPr="00C56286">
        <w:rPr>
          <w:sz w:val="28"/>
          <w:szCs w:val="28"/>
        </w:rPr>
        <w:t>High Court</w:t>
      </w:r>
      <w:r w:rsidR="0032538C" w:rsidRPr="00C56286">
        <w:rPr>
          <w:sz w:val="28"/>
          <w:szCs w:val="28"/>
        </w:rPr>
        <w:t>, Bloemfontein</w:t>
      </w:r>
      <w:r w:rsidR="009E4937" w:rsidRPr="00C56286">
        <w:rPr>
          <w:sz w:val="28"/>
          <w:szCs w:val="28"/>
        </w:rPr>
        <w:t xml:space="preserve"> (the </w:t>
      </w:r>
      <w:r w:rsidR="0032538C" w:rsidRPr="00C56286">
        <w:rPr>
          <w:sz w:val="28"/>
          <w:szCs w:val="28"/>
        </w:rPr>
        <w:t>h</w:t>
      </w:r>
      <w:r w:rsidR="009E4937" w:rsidRPr="00C56286">
        <w:rPr>
          <w:sz w:val="28"/>
          <w:szCs w:val="28"/>
        </w:rPr>
        <w:t xml:space="preserve">igh </w:t>
      </w:r>
      <w:r w:rsidR="0032538C" w:rsidRPr="00C56286">
        <w:rPr>
          <w:sz w:val="28"/>
          <w:szCs w:val="28"/>
        </w:rPr>
        <w:t>c</w:t>
      </w:r>
      <w:r w:rsidR="009E4937" w:rsidRPr="00C56286">
        <w:rPr>
          <w:sz w:val="28"/>
          <w:szCs w:val="28"/>
        </w:rPr>
        <w:t>ourt) in terms of s 13A of the Pension Fund</w:t>
      </w:r>
      <w:r w:rsidR="0032538C" w:rsidRPr="00C56286">
        <w:rPr>
          <w:sz w:val="28"/>
          <w:szCs w:val="28"/>
        </w:rPr>
        <w:t>s</w:t>
      </w:r>
      <w:r w:rsidR="009E4937" w:rsidRPr="00C56286">
        <w:rPr>
          <w:sz w:val="28"/>
          <w:szCs w:val="28"/>
        </w:rPr>
        <w:t xml:space="preserve"> Act 24 of 1956 (the Act)</w:t>
      </w:r>
      <w:r w:rsidR="00B31FF4" w:rsidRPr="00C56286">
        <w:rPr>
          <w:sz w:val="28"/>
          <w:szCs w:val="28"/>
        </w:rPr>
        <w:t>,</w:t>
      </w:r>
      <w:r w:rsidR="009E4937" w:rsidRPr="00C56286">
        <w:rPr>
          <w:sz w:val="28"/>
          <w:szCs w:val="28"/>
        </w:rPr>
        <w:t xml:space="preserve"> for payment of certain alleged arrear pension fund contributions as well as statutory in</w:t>
      </w:r>
      <w:r w:rsidR="00466054" w:rsidRPr="00C56286">
        <w:rPr>
          <w:sz w:val="28"/>
          <w:szCs w:val="28"/>
        </w:rPr>
        <w:t>t</w:t>
      </w:r>
      <w:r w:rsidR="009E4937" w:rsidRPr="00C56286">
        <w:rPr>
          <w:sz w:val="28"/>
          <w:szCs w:val="28"/>
        </w:rPr>
        <w:t xml:space="preserve">erest </w:t>
      </w:r>
      <w:r w:rsidR="00466054" w:rsidRPr="00C56286">
        <w:rPr>
          <w:sz w:val="28"/>
          <w:szCs w:val="28"/>
        </w:rPr>
        <w:t>thereon from the first respondent, Dihlabeng Local Municipality (the Municipality)</w:t>
      </w:r>
      <w:r w:rsidR="00B31FF4" w:rsidRPr="00C56286">
        <w:rPr>
          <w:sz w:val="28"/>
          <w:szCs w:val="28"/>
        </w:rPr>
        <w:t>,</w:t>
      </w:r>
      <w:r w:rsidR="00466054" w:rsidRPr="00C56286">
        <w:rPr>
          <w:sz w:val="28"/>
          <w:szCs w:val="28"/>
        </w:rPr>
        <w:t xml:space="preserve"> and demanded the provision of certain minimum information claimed from the Municipality. The application was dismissed with costs. This appeal is with leave of the high court. </w:t>
      </w:r>
    </w:p>
    <w:p w:rsidR="000B5825" w:rsidRPr="00EC2091" w:rsidRDefault="000B5825" w:rsidP="00CB26AF">
      <w:pPr>
        <w:pStyle w:val="ListParagraph"/>
        <w:ind w:left="0"/>
        <w:rPr>
          <w:sz w:val="28"/>
          <w:szCs w:val="28"/>
        </w:rPr>
      </w:pPr>
    </w:p>
    <w:p w:rsidR="009E4937" w:rsidRPr="00C56286" w:rsidRDefault="00C56286" w:rsidP="00C56286">
      <w:pPr>
        <w:rPr>
          <w:sz w:val="28"/>
          <w:szCs w:val="28"/>
        </w:rPr>
      </w:pPr>
      <w:r w:rsidRPr="00EC2091">
        <w:rPr>
          <w:sz w:val="28"/>
          <w:szCs w:val="28"/>
        </w:rPr>
        <w:t>[2]</w:t>
      </w:r>
      <w:r w:rsidRPr="00EC2091">
        <w:rPr>
          <w:sz w:val="28"/>
          <w:szCs w:val="28"/>
        </w:rPr>
        <w:tab/>
      </w:r>
      <w:r w:rsidR="00B145E1" w:rsidRPr="00C56286">
        <w:rPr>
          <w:sz w:val="28"/>
          <w:szCs w:val="28"/>
        </w:rPr>
        <w:t xml:space="preserve">The Fund is a </w:t>
      </w:r>
      <w:r w:rsidR="0032538C" w:rsidRPr="00C56286">
        <w:rPr>
          <w:sz w:val="28"/>
          <w:szCs w:val="28"/>
        </w:rPr>
        <w:t>p</w:t>
      </w:r>
      <w:r w:rsidR="00B145E1" w:rsidRPr="00C56286">
        <w:rPr>
          <w:sz w:val="28"/>
          <w:szCs w:val="28"/>
        </w:rPr>
        <w:t xml:space="preserve">ension </w:t>
      </w:r>
      <w:r w:rsidR="00A62CEA" w:rsidRPr="00C56286">
        <w:rPr>
          <w:sz w:val="28"/>
          <w:szCs w:val="28"/>
        </w:rPr>
        <w:t>f</w:t>
      </w:r>
      <w:r w:rsidR="00B145E1" w:rsidRPr="00C56286">
        <w:rPr>
          <w:sz w:val="28"/>
          <w:szCs w:val="28"/>
        </w:rPr>
        <w:t xml:space="preserve">und as defined in the Act. The Municipality is a participating employer in the Fund with statutory monthly contributory payment obligations in terms of the Act and the Fund </w:t>
      </w:r>
      <w:r w:rsidR="00AC2DF2" w:rsidRPr="00C56286">
        <w:rPr>
          <w:sz w:val="28"/>
          <w:szCs w:val="28"/>
        </w:rPr>
        <w:t>r</w:t>
      </w:r>
      <w:r w:rsidR="00B145E1" w:rsidRPr="00C56286">
        <w:rPr>
          <w:sz w:val="28"/>
          <w:szCs w:val="28"/>
        </w:rPr>
        <w:t xml:space="preserve">ules. On 6 April 2009, various employees of the Municipality engaged in an unprotected strike resulting in their </w:t>
      </w:r>
      <w:r w:rsidR="00B145E1" w:rsidRPr="00C56286">
        <w:rPr>
          <w:sz w:val="28"/>
          <w:szCs w:val="28"/>
        </w:rPr>
        <w:lastRenderedPageBreak/>
        <w:t>subse</w:t>
      </w:r>
      <w:r w:rsidR="00B31FF4" w:rsidRPr="00C56286">
        <w:rPr>
          <w:sz w:val="28"/>
          <w:szCs w:val="28"/>
        </w:rPr>
        <w:t>quent dismissal on 31 July 2009</w:t>
      </w:r>
      <w:r w:rsidR="008D49A5" w:rsidRPr="00C56286">
        <w:rPr>
          <w:sz w:val="28"/>
          <w:szCs w:val="28"/>
        </w:rPr>
        <w:t xml:space="preserve"> f</w:t>
      </w:r>
      <w:r w:rsidR="00B145E1" w:rsidRPr="00C56286">
        <w:rPr>
          <w:sz w:val="28"/>
          <w:szCs w:val="28"/>
        </w:rPr>
        <w:t>ollowing a disciplinary hearing. Pursuant to their dismissal</w:t>
      </w:r>
      <w:r w:rsidR="00212A42" w:rsidRPr="00C56286">
        <w:rPr>
          <w:sz w:val="28"/>
          <w:szCs w:val="28"/>
        </w:rPr>
        <w:t>,</w:t>
      </w:r>
      <w:r w:rsidR="00B145E1" w:rsidRPr="00C56286">
        <w:rPr>
          <w:sz w:val="28"/>
          <w:szCs w:val="28"/>
        </w:rPr>
        <w:t xml:space="preserve"> the Municipality paid their pro rata annual bonuses and accrued leave in addition to their remuneration. </w:t>
      </w:r>
      <w:r w:rsidR="005A1C2C" w:rsidRPr="00C56286">
        <w:rPr>
          <w:sz w:val="28"/>
          <w:szCs w:val="28"/>
        </w:rPr>
        <w:tab/>
      </w:r>
    </w:p>
    <w:p w:rsidR="000B5825" w:rsidRPr="00EC2091" w:rsidRDefault="000B5825" w:rsidP="00CB26AF">
      <w:pPr>
        <w:pStyle w:val="ListParagraph"/>
        <w:ind w:left="0"/>
        <w:rPr>
          <w:sz w:val="28"/>
          <w:szCs w:val="28"/>
        </w:rPr>
      </w:pPr>
    </w:p>
    <w:p w:rsidR="00B145E1" w:rsidRPr="00C56286" w:rsidRDefault="00C56286" w:rsidP="00C56286">
      <w:pPr>
        <w:rPr>
          <w:sz w:val="28"/>
          <w:szCs w:val="28"/>
        </w:rPr>
      </w:pPr>
      <w:r w:rsidRPr="00EC2091">
        <w:rPr>
          <w:sz w:val="28"/>
          <w:szCs w:val="28"/>
        </w:rPr>
        <w:t>[3]</w:t>
      </w:r>
      <w:r w:rsidRPr="00EC2091">
        <w:rPr>
          <w:sz w:val="28"/>
          <w:szCs w:val="28"/>
        </w:rPr>
        <w:tab/>
      </w:r>
      <w:r w:rsidR="00B145E1" w:rsidRPr="00C56286">
        <w:rPr>
          <w:sz w:val="28"/>
          <w:szCs w:val="28"/>
        </w:rPr>
        <w:t xml:space="preserve">The affected 75 employees challenged their dismissal in the high court. Before the application could be heard, the Municipality and the affected employees entered into a settlement agreement on 8 October 2009, the terms of which </w:t>
      </w:r>
      <w:r w:rsidR="00544B3E" w:rsidRPr="00C56286">
        <w:rPr>
          <w:sz w:val="28"/>
          <w:szCs w:val="28"/>
        </w:rPr>
        <w:t>were</w:t>
      </w:r>
      <w:r w:rsidR="0010179D" w:rsidRPr="00C56286">
        <w:rPr>
          <w:sz w:val="28"/>
          <w:szCs w:val="28"/>
        </w:rPr>
        <w:t>,</w:t>
      </w:r>
      <w:r w:rsidR="00B145E1" w:rsidRPr="00C56286">
        <w:rPr>
          <w:sz w:val="28"/>
          <w:szCs w:val="28"/>
        </w:rPr>
        <w:t xml:space="preserve"> inter alia</w:t>
      </w:r>
      <w:r w:rsidR="0010179D" w:rsidRPr="00C56286">
        <w:rPr>
          <w:sz w:val="28"/>
          <w:szCs w:val="28"/>
        </w:rPr>
        <w:t>, the following</w:t>
      </w:r>
      <w:r w:rsidR="002116F4" w:rsidRPr="00C56286">
        <w:rPr>
          <w:sz w:val="28"/>
          <w:szCs w:val="28"/>
        </w:rPr>
        <w:t>:</w:t>
      </w:r>
    </w:p>
    <w:p w:rsidR="0064475B" w:rsidRPr="00EC2091" w:rsidRDefault="002116F4" w:rsidP="00EC2091">
      <w:pPr>
        <w:pStyle w:val="ListParagraph"/>
        <w:ind w:left="0"/>
      </w:pPr>
      <w:r w:rsidRPr="00EC2091">
        <w:t xml:space="preserve">‘1. </w:t>
      </w:r>
      <w:r w:rsidR="0010179D" w:rsidRPr="00EC2091">
        <w:tab/>
      </w:r>
      <w:r w:rsidR="00B31FF4" w:rsidRPr="00EC2091">
        <w:t>T</w:t>
      </w:r>
      <w:r w:rsidR="0064475B" w:rsidRPr="00EC2091">
        <w:t>he</w:t>
      </w:r>
      <w:r w:rsidRPr="00EC2091">
        <w:t xml:space="preserve"> </w:t>
      </w:r>
      <w:r w:rsidR="0010179D" w:rsidRPr="00EC2091">
        <w:t>A</w:t>
      </w:r>
      <w:r w:rsidRPr="00EC2091">
        <w:t xml:space="preserve">pplicants </w:t>
      </w:r>
      <w:r w:rsidR="0010179D" w:rsidRPr="00EC2091">
        <w:t xml:space="preserve">(75) </w:t>
      </w:r>
      <w:r w:rsidRPr="00EC2091">
        <w:t>who were</w:t>
      </w:r>
      <w:r w:rsidR="0064475B" w:rsidRPr="00EC2091">
        <w:t xml:space="preserve"> dismissed will be employed by the </w:t>
      </w:r>
      <w:r w:rsidR="0010179D" w:rsidRPr="00EC2091">
        <w:t>R</w:t>
      </w:r>
      <w:r w:rsidR="0064475B" w:rsidRPr="00EC2091">
        <w:t xml:space="preserve">espondent </w:t>
      </w:r>
      <w:r w:rsidR="0010179D" w:rsidRPr="00EC2091">
        <w:t>P</w:t>
      </w:r>
      <w:r w:rsidR="0064475B" w:rsidRPr="00EC2091">
        <w:t xml:space="preserve">arty with effect from </w:t>
      </w:r>
      <w:r w:rsidR="0010179D" w:rsidRPr="00EC2091">
        <w:t xml:space="preserve">the </w:t>
      </w:r>
      <w:r w:rsidR="0064475B" w:rsidRPr="00EC2091">
        <w:t>8</w:t>
      </w:r>
      <w:r w:rsidR="0010179D" w:rsidRPr="00EC2091">
        <w:rPr>
          <w:vertAlign w:val="superscript"/>
        </w:rPr>
        <w:t>th</w:t>
      </w:r>
      <w:r w:rsidR="0010179D" w:rsidRPr="00EC2091">
        <w:t xml:space="preserve"> of</w:t>
      </w:r>
      <w:r w:rsidR="0064475B" w:rsidRPr="00EC2091">
        <w:t xml:space="preserve"> October 2009, in their previous positions under the following conditions:</w:t>
      </w:r>
    </w:p>
    <w:p w:rsidR="00142412" w:rsidRPr="008D6F8D" w:rsidRDefault="0010179D" w:rsidP="00AC2DF2">
      <w:pPr>
        <w:ind w:left="720"/>
      </w:pPr>
      <w:r w:rsidRPr="008D6F8D">
        <w:t>t</w:t>
      </w:r>
      <w:r w:rsidR="00142412" w:rsidRPr="008D6F8D">
        <w:t>hat the applicants’ employees are guilty of participating in an unprotected strike on 6</w:t>
      </w:r>
      <w:r w:rsidR="00DA43AB" w:rsidRPr="008D6F8D">
        <w:t xml:space="preserve"> </w:t>
      </w:r>
      <w:r w:rsidR="00EB656F" w:rsidRPr="008D6F8D">
        <w:t>April 2009:</w:t>
      </w:r>
      <w:r w:rsidR="00142412" w:rsidRPr="008D6F8D">
        <w:t xml:space="preserve"> </w:t>
      </w:r>
    </w:p>
    <w:p w:rsidR="002116F4" w:rsidRPr="00EC2091" w:rsidRDefault="0010179D" w:rsidP="00AC2DF2">
      <w:pPr>
        <w:ind w:left="720"/>
      </w:pPr>
      <w:r w:rsidRPr="008D6F8D">
        <w:t>t</w:t>
      </w:r>
      <w:r w:rsidR="0064475B" w:rsidRPr="008D6F8D">
        <w:t xml:space="preserve">hat all the </w:t>
      </w:r>
      <w:r w:rsidR="00142412" w:rsidRPr="008D6F8D">
        <w:t>applicants’</w:t>
      </w:r>
      <w:r w:rsidR="0064475B" w:rsidRPr="008D6F8D">
        <w:t xml:space="preserve"> employees will receive final written warning</w:t>
      </w:r>
      <w:r w:rsidRPr="008D6F8D">
        <w:t>s</w:t>
      </w:r>
      <w:r w:rsidR="0064475B" w:rsidRPr="008D6F8D">
        <w:t xml:space="preserve"> for participating in the unprotected strike for the duration of 12 months calculated from 8 October 2009 until 8 October 2010.</w:t>
      </w:r>
    </w:p>
    <w:p w:rsidR="00A364FE" w:rsidRPr="00EC2091" w:rsidRDefault="00142412" w:rsidP="00EC2091">
      <w:pPr>
        <w:pStyle w:val="ListParagraph"/>
        <w:ind w:left="0"/>
      </w:pPr>
      <w:r w:rsidRPr="00EC2091">
        <w:t xml:space="preserve">2. </w:t>
      </w:r>
      <w:r w:rsidR="0010179D" w:rsidRPr="00EC2091">
        <w:tab/>
      </w:r>
      <w:r w:rsidRPr="00EC2091">
        <w:t>No sal</w:t>
      </w:r>
      <w:r w:rsidR="00A364FE" w:rsidRPr="00EC2091">
        <w:t>a</w:t>
      </w:r>
      <w:r w:rsidRPr="00EC2091">
        <w:t>ry</w:t>
      </w:r>
      <w:r w:rsidR="0010179D" w:rsidRPr="00EC2091">
        <w:t>, benefits</w:t>
      </w:r>
      <w:r w:rsidRPr="00EC2091">
        <w:t xml:space="preserve"> or</w:t>
      </w:r>
      <w:r w:rsidR="00A364FE" w:rsidRPr="00EC2091">
        <w:t xml:space="preserve"> compensation will be paid for the period that the employees (75) </w:t>
      </w:r>
      <w:r w:rsidR="0010179D" w:rsidRPr="00EC2091">
        <w:t>[</w:t>
      </w:r>
      <w:r w:rsidR="00A364FE" w:rsidRPr="00EC2091">
        <w:t>were</w:t>
      </w:r>
      <w:r w:rsidR="0010179D" w:rsidRPr="00EC2091">
        <w:t>]</w:t>
      </w:r>
      <w:r w:rsidR="00A364FE" w:rsidRPr="00EC2091">
        <w:t xml:space="preserve"> unemployed, put differently, from 30 July 2009 until 7 October 2009 no retrospective salaries/benefits will be paid by the respondent. </w:t>
      </w:r>
    </w:p>
    <w:p w:rsidR="00142412" w:rsidRPr="00EC2091" w:rsidRDefault="00A364FE" w:rsidP="00EC2091">
      <w:pPr>
        <w:pStyle w:val="ListParagraph"/>
        <w:ind w:left="0"/>
      </w:pPr>
      <w:r w:rsidRPr="00EC2091">
        <w:t xml:space="preserve">3. </w:t>
      </w:r>
      <w:r w:rsidR="0010179D" w:rsidRPr="00EC2091">
        <w:tab/>
      </w:r>
      <w:r w:rsidRPr="00EC2091">
        <w:t>The parties agree that employees’ previous years of service will be recognised as if the employees were employed continuously.’</w:t>
      </w:r>
      <w:r w:rsidR="00142412" w:rsidRPr="00EC2091">
        <w:t xml:space="preserve"> </w:t>
      </w:r>
    </w:p>
    <w:p w:rsidR="00A364FE" w:rsidRPr="00EC2091" w:rsidRDefault="00A364FE" w:rsidP="00EC2091">
      <w:pPr>
        <w:pStyle w:val="ListParagraph"/>
        <w:ind w:left="0"/>
        <w:rPr>
          <w:sz w:val="28"/>
          <w:szCs w:val="28"/>
        </w:rPr>
      </w:pPr>
    </w:p>
    <w:p w:rsidR="003E7C5A" w:rsidRPr="00C56286" w:rsidRDefault="00C56286" w:rsidP="00C56286">
      <w:pPr>
        <w:rPr>
          <w:sz w:val="28"/>
          <w:szCs w:val="28"/>
        </w:rPr>
      </w:pPr>
      <w:r w:rsidRPr="00EC2091">
        <w:rPr>
          <w:sz w:val="28"/>
          <w:szCs w:val="28"/>
        </w:rPr>
        <w:t>[4]</w:t>
      </w:r>
      <w:r w:rsidRPr="00EC2091">
        <w:rPr>
          <w:sz w:val="28"/>
          <w:szCs w:val="28"/>
        </w:rPr>
        <w:tab/>
      </w:r>
      <w:r w:rsidR="00A364FE" w:rsidRPr="00C56286">
        <w:rPr>
          <w:sz w:val="28"/>
          <w:szCs w:val="28"/>
        </w:rPr>
        <w:t xml:space="preserve">The employees who were affected by the settlement agreement were allocated new employee numbers </w:t>
      </w:r>
      <w:r w:rsidR="00A62CEA" w:rsidRPr="00C56286">
        <w:rPr>
          <w:sz w:val="28"/>
          <w:szCs w:val="28"/>
        </w:rPr>
        <w:t>with effect from 1 October 2009. T</w:t>
      </w:r>
      <w:r w:rsidR="00A364FE" w:rsidRPr="00C56286">
        <w:rPr>
          <w:sz w:val="28"/>
          <w:szCs w:val="28"/>
        </w:rPr>
        <w:t>heir annual leave cycles commenced on 1 October 2009</w:t>
      </w:r>
      <w:r w:rsidR="00B31FF4" w:rsidRPr="00C56286">
        <w:rPr>
          <w:sz w:val="28"/>
          <w:szCs w:val="28"/>
        </w:rPr>
        <w:t>,</w:t>
      </w:r>
      <w:r w:rsidR="00A364FE" w:rsidRPr="00C56286">
        <w:rPr>
          <w:sz w:val="28"/>
          <w:szCs w:val="28"/>
        </w:rPr>
        <w:t xml:space="preserve"> and the commencement date of their</w:t>
      </w:r>
      <w:r w:rsidR="003E7C5A" w:rsidRPr="00C56286">
        <w:rPr>
          <w:sz w:val="28"/>
          <w:szCs w:val="28"/>
        </w:rPr>
        <w:t xml:space="preserve"> employment of annual and notch increases was 1 October 2009. These employees were</w:t>
      </w:r>
      <w:r w:rsidR="0010179D" w:rsidRPr="00C56286">
        <w:rPr>
          <w:sz w:val="28"/>
          <w:szCs w:val="28"/>
        </w:rPr>
        <w:t>,</w:t>
      </w:r>
      <w:r w:rsidR="003E7C5A" w:rsidRPr="00C56286">
        <w:rPr>
          <w:sz w:val="28"/>
          <w:szCs w:val="28"/>
        </w:rPr>
        <w:t xml:space="preserve"> inter alia</w:t>
      </w:r>
      <w:r w:rsidR="0010179D" w:rsidRPr="00C56286">
        <w:rPr>
          <w:sz w:val="28"/>
          <w:szCs w:val="28"/>
        </w:rPr>
        <w:t>,</w:t>
      </w:r>
      <w:r w:rsidR="003E7C5A" w:rsidRPr="00C56286">
        <w:rPr>
          <w:sz w:val="28"/>
          <w:szCs w:val="28"/>
        </w:rPr>
        <w:t xml:space="preserve"> afforded an opportunity to elect their pension fund towards which the Municipality shall pay the pension fund contributions. </w:t>
      </w:r>
    </w:p>
    <w:p w:rsidR="000B5825" w:rsidRPr="00EC2091" w:rsidRDefault="000B5825" w:rsidP="00EC2091">
      <w:pPr>
        <w:pStyle w:val="ListParagraph"/>
        <w:ind w:left="0"/>
        <w:rPr>
          <w:sz w:val="28"/>
          <w:szCs w:val="28"/>
        </w:rPr>
      </w:pPr>
    </w:p>
    <w:p w:rsidR="009841F9" w:rsidRPr="00C56286" w:rsidRDefault="00C56286" w:rsidP="00C56286">
      <w:pPr>
        <w:rPr>
          <w:sz w:val="28"/>
          <w:szCs w:val="28"/>
        </w:rPr>
      </w:pPr>
      <w:r w:rsidRPr="00EC2091">
        <w:rPr>
          <w:sz w:val="28"/>
          <w:szCs w:val="28"/>
        </w:rPr>
        <w:lastRenderedPageBreak/>
        <w:t>[5]</w:t>
      </w:r>
      <w:r w:rsidRPr="00EC2091">
        <w:rPr>
          <w:sz w:val="28"/>
          <w:szCs w:val="28"/>
        </w:rPr>
        <w:tab/>
      </w:r>
      <w:r w:rsidR="003E7C5A" w:rsidRPr="00C56286">
        <w:rPr>
          <w:sz w:val="28"/>
          <w:szCs w:val="28"/>
        </w:rPr>
        <w:t>Two years after the settlement agreement</w:t>
      </w:r>
      <w:r w:rsidR="0010179D" w:rsidRPr="00C56286">
        <w:rPr>
          <w:sz w:val="28"/>
          <w:szCs w:val="28"/>
        </w:rPr>
        <w:t>,</w:t>
      </w:r>
      <w:r w:rsidR="003E7C5A" w:rsidRPr="00C56286">
        <w:rPr>
          <w:sz w:val="28"/>
          <w:szCs w:val="28"/>
        </w:rPr>
        <w:t xml:space="preserve"> in 2011, the affected employees approached the </w:t>
      </w:r>
      <w:r w:rsidR="009841F9" w:rsidRPr="00C56286">
        <w:rPr>
          <w:sz w:val="28"/>
          <w:szCs w:val="28"/>
        </w:rPr>
        <w:t>Fund</w:t>
      </w:r>
      <w:r w:rsidR="001032B0" w:rsidRPr="00C56286">
        <w:rPr>
          <w:sz w:val="28"/>
          <w:szCs w:val="28"/>
        </w:rPr>
        <w:t>,</w:t>
      </w:r>
      <w:r w:rsidR="009841F9" w:rsidRPr="00C56286">
        <w:rPr>
          <w:sz w:val="28"/>
          <w:szCs w:val="28"/>
        </w:rPr>
        <w:t xml:space="preserve"> </w:t>
      </w:r>
      <w:r w:rsidR="003E7C5A" w:rsidRPr="00C56286">
        <w:rPr>
          <w:sz w:val="28"/>
          <w:szCs w:val="28"/>
        </w:rPr>
        <w:t>and requested payment of their withdrawal benefit</w:t>
      </w:r>
      <w:r w:rsidR="009841F9" w:rsidRPr="00C56286">
        <w:rPr>
          <w:sz w:val="28"/>
          <w:szCs w:val="28"/>
        </w:rPr>
        <w:t>s</w:t>
      </w:r>
      <w:r w:rsidR="003E7C5A" w:rsidRPr="00C56286">
        <w:rPr>
          <w:sz w:val="28"/>
          <w:szCs w:val="28"/>
        </w:rPr>
        <w:t xml:space="preserve"> on the basis that the benefits accrued to them as a result of their dismissal on 31 July 2009. The Fund refused to </w:t>
      </w:r>
      <w:r w:rsidR="009841F9" w:rsidRPr="00C56286">
        <w:rPr>
          <w:sz w:val="28"/>
          <w:szCs w:val="28"/>
        </w:rPr>
        <w:t>pay their benefits</w:t>
      </w:r>
      <w:r w:rsidR="0007519F" w:rsidRPr="00C56286">
        <w:rPr>
          <w:sz w:val="28"/>
          <w:szCs w:val="28"/>
        </w:rPr>
        <w:t>,</w:t>
      </w:r>
      <w:r w:rsidR="009841F9" w:rsidRPr="00C56286">
        <w:rPr>
          <w:sz w:val="28"/>
          <w:szCs w:val="28"/>
        </w:rPr>
        <w:t xml:space="preserve"> stating that the employees were reinstated and not re-employed. The affected employees referred the complaint to the Pension Fund</w:t>
      </w:r>
      <w:r w:rsidR="0007519F" w:rsidRPr="00C56286">
        <w:rPr>
          <w:sz w:val="28"/>
          <w:szCs w:val="28"/>
        </w:rPr>
        <w:t>s</w:t>
      </w:r>
      <w:r w:rsidR="009841F9" w:rsidRPr="00C56286">
        <w:rPr>
          <w:sz w:val="28"/>
          <w:szCs w:val="28"/>
        </w:rPr>
        <w:t xml:space="preserve"> Adjudicator (the Adjudicator), who</w:t>
      </w:r>
      <w:r w:rsidR="0007519F" w:rsidRPr="00C56286">
        <w:rPr>
          <w:sz w:val="28"/>
          <w:szCs w:val="28"/>
        </w:rPr>
        <w:t>,</w:t>
      </w:r>
      <w:r w:rsidR="009841F9" w:rsidRPr="00C56286">
        <w:rPr>
          <w:sz w:val="28"/>
          <w:szCs w:val="28"/>
        </w:rPr>
        <w:t xml:space="preserve"> on 1</w:t>
      </w:r>
      <w:r w:rsidR="0007519F" w:rsidRPr="00C56286">
        <w:rPr>
          <w:sz w:val="28"/>
          <w:szCs w:val="28"/>
        </w:rPr>
        <w:t>4</w:t>
      </w:r>
      <w:r w:rsidR="009841F9" w:rsidRPr="00C56286">
        <w:rPr>
          <w:sz w:val="28"/>
          <w:szCs w:val="28"/>
        </w:rPr>
        <w:t xml:space="preserve"> December 2012</w:t>
      </w:r>
      <w:r w:rsidR="0007519F" w:rsidRPr="00C56286">
        <w:rPr>
          <w:sz w:val="28"/>
          <w:szCs w:val="28"/>
        </w:rPr>
        <w:t>,</w:t>
      </w:r>
      <w:r w:rsidR="009841F9" w:rsidRPr="00C56286">
        <w:rPr>
          <w:sz w:val="28"/>
          <w:szCs w:val="28"/>
        </w:rPr>
        <w:t xml:space="preserve"> dismissed the complaint</w:t>
      </w:r>
      <w:r w:rsidR="0007519F" w:rsidRPr="00C56286">
        <w:rPr>
          <w:sz w:val="28"/>
          <w:szCs w:val="28"/>
        </w:rPr>
        <w:t>,</w:t>
      </w:r>
      <w:r w:rsidR="009841F9" w:rsidRPr="00C56286">
        <w:rPr>
          <w:sz w:val="28"/>
          <w:szCs w:val="28"/>
        </w:rPr>
        <w:t xml:space="preserve"> stating that the employees were in continuous employment with the Municipality</w:t>
      </w:r>
      <w:r w:rsidR="0007519F" w:rsidRPr="00C56286">
        <w:rPr>
          <w:sz w:val="28"/>
          <w:szCs w:val="28"/>
        </w:rPr>
        <w:t>,</w:t>
      </w:r>
      <w:r w:rsidR="009841F9" w:rsidRPr="00C56286">
        <w:rPr>
          <w:sz w:val="28"/>
          <w:szCs w:val="28"/>
        </w:rPr>
        <w:t xml:space="preserve"> as there was no break in their service as well as their membership with the Fund.</w:t>
      </w:r>
    </w:p>
    <w:p w:rsidR="000B5825" w:rsidRPr="00EC2091" w:rsidRDefault="000B5825" w:rsidP="00CB26AF">
      <w:pPr>
        <w:pStyle w:val="ListParagraph"/>
        <w:ind w:left="0"/>
        <w:rPr>
          <w:sz w:val="28"/>
          <w:szCs w:val="28"/>
        </w:rPr>
      </w:pPr>
    </w:p>
    <w:p w:rsidR="009841F9" w:rsidRPr="00C56286" w:rsidRDefault="00C56286" w:rsidP="00C56286">
      <w:pPr>
        <w:rPr>
          <w:sz w:val="28"/>
          <w:szCs w:val="28"/>
        </w:rPr>
      </w:pPr>
      <w:r w:rsidRPr="00EC2091">
        <w:rPr>
          <w:sz w:val="28"/>
          <w:szCs w:val="28"/>
        </w:rPr>
        <w:t>[6]</w:t>
      </w:r>
      <w:r w:rsidRPr="00EC2091">
        <w:rPr>
          <w:sz w:val="28"/>
          <w:szCs w:val="28"/>
        </w:rPr>
        <w:tab/>
      </w:r>
      <w:r w:rsidR="009841F9" w:rsidRPr="00C56286">
        <w:rPr>
          <w:sz w:val="28"/>
          <w:szCs w:val="28"/>
        </w:rPr>
        <w:t xml:space="preserve">The Fund then claimed payment of alleged arrear </w:t>
      </w:r>
      <w:r w:rsidR="00B31FF4" w:rsidRPr="00C56286">
        <w:rPr>
          <w:sz w:val="28"/>
          <w:szCs w:val="28"/>
        </w:rPr>
        <w:t>p</w:t>
      </w:r>
      <w:r w:rsidR="009841F9" w:rsidRPr="00C56286">
        <w:rPr>
          <w:sz w:val="28"/>
          <w:szCs w:val="28"/>
        </w:rPr>
        <w:t xml:space="preserve">ension </w:t>
      </w:r>
      <w:r w:rsidR="00B31FF4" w:rsidRPr="00C56286">
        <w:rPr>
          <w:sz w:val="28"/>
          <w:szCs w:val="28"/>
        </w:rPr>
        <w:t>f</w:t>
      </w:r>
      <w:r w:rsidR="009841F9" w:rsidRPr="00C56286">
        <w:rPr>
          <w:sz w:val="28"/>
          <w:szCs w:val="28"/>
        </w:rPr>
        <w:t xml:space="preserve">und contributions from the Municipality. The Municipality placed the employees in terms of which the Fund claimed relief in three categories, and the parties adopted these categories throughout the proceedings: </w:t>
      </w:r>
    </w:p>
    <w:p w:rsidR="00A364FE" w:rsidRPr="00EC2091" w:rsidRDefault="0007519F" w:rsidP="00EC2091">
      <w:pPr>
        <w:pStyle w:val="ListParagraph"/>
        <w:ind w:left="0"/>
        <w:rPr>
          <w:sz w:val="28"/>
          <w:szCs w:val="28"/>
        </w:rPr>
      </w:pPr>
      <w:r w:rsidRPr="00EC2091">
        <w:rPr>
          <w:sz w:val="28"/>
          <w:szCs w:val="28"/>
        </w:rPr>
        <w:t xml:space="preserve">(a) </w:t>
      </w:r>
      <w:r w:rsidR="009841F9" w:rsidRPr="00EC2091">
        <w:rPr>
          <w:sz w:val="28"/>
          <w:szCs w:val="28"/>
        </w:rPr>
        <w:t xml:space="preserve">Category 1 – </w:t>
      </w:r>
      <w:r w:rsidR="00AB1E18" w:rsidRPr="00EC2091">
        <w:rPr>
          <w:sz w:val="28"/>
          <w:szCs w:val="28"/>
        </w:rPr>
        <w:t>One person, Mr N</w:t>
      </w:r>
      <w:r w:rsidRPr="00EC2091">
        <w:rPr>
          <w:sz w:val="28"/>
          <w:szCs w:val="28"/>
        </w:rPr>
        <w:t xml:space="preserve"> </w:t>
      </w:r>
      <w:r w:rsidR="00AB1E18" w:rsidRPr="00EC2091">
        <w:rPr>
          <w:sz w:val="28"/>
          <w:szCs w:val="28"/>
        </w:rPr>
        <w:t>M Molibeli</w:t>
      </w:r>
      <w:r w:rsidR="00E429B2" w:rsidRPr="00EC2091">
        <w:rPr>
          <w:sz w:val="28"/>
          <w:szCs w:val="28"/>
        </w:rPr>
        <w:t>,</w:t>
      </w:r>
      <w:r w:rsidR="00AB1E18" w:rsidRPr="00EC2091">
        <w:rPr>
          <w:sz w:val="28"/>
          <w:szCs w:val="28"/>
        </w:rPr>
        <w:t xml:space="preserve"> who the municipality claimed had never been a member of the fund. The </w:t>
      </w:r>
      <w:r w:rsidR="00E429B2" w:rsidRPr="00EC2091">
        <w:rPr>
          <w:sz w:val="28"/>
          <w:szCs w:val="28"/>
        </w:rPr>
        <w:t>F</w:t>
      </w:r>
      <w:r w:rsidR="00AB1E18" w:rsidRPr="00EC2091">
        <w:rPr>
          <w:sz w:val="28"/>
          <w:szCs w:val="28"/>
        </w:rPr>
        <w:t xml:space="preserve">und sought an order against the </w:t>
      </w:r>
      <w:r w:rsidR="00FB62AE" w:rsidRPr="00EC2091">
        <w:rPr>
          <w:sz w:val="28"/>
          <w:szCs w:val="28"/>
        </w:rPr>
        <w:t>M</w:t>
      </w:r>
      <w:r w:rsidR="00AB1E18" w:rsidRPr="00EC2091">
        <w:rPr>
          <w:sz w:val="28"/>
          <w:szCs w:val="28"/>
        </w:rPr>
        <w:t xml:space="preserve">unicipality to prove the statutory required information in respect of </w:t>
      </w:r>
      <w:r w:rsidR="00B31FF4" w:rsidRPr="00EC2091">
        <w:rPr>
          <w:sz w:val="28"/>
          <w:szCs w:val="28"/>
        </w:rPr>
        <w:t xml:space="preserve">Mr </w:t>
      </w:r>
      <w:r w:rsidR="00AB1E18" w:rsidRPr="00EC2091">
        <w:rPr>
          <w:sz w:val="28"/>
          <w:szCs w:val="28"/>
        </w:rPr>
        <w:t xml:space="preserve">Molibeli for the period </w:t>
      </w:r>
      <w:r w:rsidR="00FB62AE" w:rsidRPr="00EC2091">
        <w:rPr>
          <w:sz w:val="28"/>
          <w:szCs w:val="28"/>
        </w:rPr>
        <w:t>1</w:t>
      </w:r>
      <w:r w:rsidR="00AB1E18" w:rsidRPr="00EC2091">
        <w:rPr>
          <w:sz w:val="28"/>
          <w:szCs w:val="28"/>
        </w:rPr>
        <w:t xml:space="preserve"> August 2000 to 1 August 2013.</w:t>
      </w:r>
    </w:p>
    <w:p w:rsidR="00AB1E18" w:rsidRPr="00EC2091" w:rsidRDefault="0007519F" w:rsidP="00EC2091">
      <w:pPr>
        <w:pStyle w:val="ListParagraph"/>
        <w:ind w:left="0"/>
        <w:rPr>
          <w:sz w:val="28"/>
          <w:szCs w:val="28"/>
        </w:rPr>
      </w:pPr>
      <w:r w:rsidRPr="00EC2091">
        <w:rPr>
          <w:sz w:val="28"/>
          <w:szCs w:val="28"/>
        </w:rPr>
        <w:t>(b)</w:t>
      </w:r>
      <w:r w:rsidR="00AB1E18" w:rsidRPr="00EC2091">
        <w:rPr>
          <w:sz w:val="28"/>
          <w:szCs w:val="28"/>
        </w:rPr>
        <w:t xml:space="preserve"> Category 2 – This category of employees is no longer relevant</w:t>
      </w:r>
      <w:r w:rsidR="00FB62AE" w:rsidRPr="00EC2091">
        <w:rPr>
          <w:sz w:val="28"/>
          <w:szCs w:val="28"/>
        </w:rPr>
        <w:t>,</w:t>
      </w:r>
      <w:r w:rsidR="00AB1E18" w:rsidRPr="00EC2091">
        <w:rPr>
          <w:sz w:val="28"/>
          <w:szCs w:val="28"/>
        </w:rPr>
        <w:t xml:space="preserve"> as upon being re-employed, the relevant employees elected to remain members of the Fund, and the contributions in respect of these members have been paid. </w:t>
      </w:r>
    </w:p>
    <w:p w:rsidR="001F55FF" w:rsidRPr="00EC2091" w:rsidRDefault="0007519F" w:rsidP="00EC2091">
      <w:pPr>
        <w:pStyle w:val="ListParagraph"/>
        <w:ind w:left="0"/>
        <w:rPr>
          <w:sz w:val="28"/>
          <w:szCs w:val="28"/>
        </w:rPr>
      </w:pPr>
      <w:r w:rsidRPr="00EC2091">
        <w:rPr>
          <w:sz w:val="28"/>
          <w:szCs w:val="28"/>
        </w:rPr>
        <w:t>(c)</w:t>
      </w:r>
      <w:r w:rsidR="00AB1E18" w:rsidRPr="00EC2091">
        <w:rPr>
          <w:sz w:val="28"/>
          <w:szCs w:val="28"/>
        </w:rPr>
        <w:t xml:space="preserve"> Category 3 – These are eighteen employees who are employee-member</w:t>
      </w:r>
      <w:r w:rsidR="00FB62AE" w:rsidRPr="00EC2091">
        <w:rPr>
          <w:sz w:val="28"/>
          <w:szCs w:val="28"/>
        </w:rPr>
        <w:t>s</w:t>
      </w:r>
      <w:r w:rsidR="00AB1E18" w:rsidRPr="00EC2091">
        <w:rPr>
          <w:sz w:val="28"/>
          <w:szCs w:val="28"/>
        </w:rPr>
        <w:t xml:space="preserve"> in this dispute, and who after their re-employment elected to be members of the second respondent, the Municipal Employees Pension Fund (MEPF)</w:t>
      </w:r>
      <w:r w:rsidR="00FB62AE" w:rsidRPr="00EC2091">
        <w:rPr>
          <w:sz w:val="28"/>
          <w:szCs w:val="28"/>
        </w:rPr>
        <w:t>,</w:t>
      </w:r>
      <w:r w:rsidR="001F55FF" w:rsidRPr="00EC2091">
        <w:rPr>
          <w:sz w:val="28"/>
          <w:szCs w:val="28"/>
        </w:rPr>
        <w:t xml:space="preserve"> a </w:t>
      </w:r>
      <w:r w:rsidR="00B31FF4" w:rsidRPr="00EC2091">
        <w:rPr>
          <w:sz w:val="28"/>
          <w:szCs w:val="28"/>
        </w:rPr>
        <w:t>f</w:t>
      </w:r>
      <w:r w:rsidR="00AB1E18" w:rsidRPr="00EC2091">
        <w:rPr>
          <w:sz w:val="28"/>
          <w:szCs w:val="28"/>
        </w:rPr>
        <w:t>und to</w:t>
      </w:r>
      <w:r w:rsidR="001F55FF" w:rsidRPr="00EC2091">
        <w:rPr>
          <w:sz w:val="28"/>
          <w:szCs w:val="28"/>
        </w:rPr>
        <w:t xml:space="preserve"> </w:t>
      </w:r>
      <w:r w:rsidR="00AB1E18" w:rsidRPr="00EC2091">
        <w:rPr>
          <w:sz w:val="28"/>
          <w:szCs w:val="28"/>
        </w:rPr>
        <w:t>which the Municipality paid contributions during the period in dispute, ie 2009 to 2013</w:t>
      </w:r>
      <w:r w:rsidR="001F55FF" w:rsidRPr="00EC2091">
        <w:rPr>
          <w:sz w:val="28"/>
          <w:szCs w:val="28"/>
        </w:rPr>
        <w:t>.</w:t>
      </w:r>
    </w:p>
    <w:p w:rsidR="000B5825" w:rsidRPr="00EC2091" w:rsidRDefault="000B5825" w:rsidP="00EC2091">
      <w:pPr>
        <w:pStyle w:val="ListParagraph"/>
        <w:ind w:left="0"/>
        <w:rPr>
          <w:sz w:val="28"/>
          <w:szCs w:val="28"/>
        </w:rPr>
      </w:pPr>
    </w:p>
    <w:p w:rsidR="001F55FF" w:rsidRPr="00C56286" w:rsidRDefault="00C56286" w:rsidP="00C56286">
      <w:pPr>
        <w:rPr>
          <w:sz w:val="28"/>
          <w:szCs w:val="28"/>
        </w:rPr>
      </w:pPr>
      <w:r w:rsidRPr="00EC2091">
        <w:rPr>
          <w:sz w:val="28"/>
          <w:szCs w:val="28"/>
        </w:rPr>
        <w:lastRenderedPageBreak/>
        <w:t>[7]</w:t>
      </w:r>
      <w:r w:rsidRPr="00EC2091">
        <w:rPr>
          <w:sz w:val="28"/>
          <w:szCs w:val="28"/>
        </w:rPr>
        <w:tab/>
      </w:r>
      <w:r w:rsidR="001F55FF" w:rsidRPr="00C56286">
        <w:rPr>
          <w:sz w:val="28"/>
          <w:szCs w:val="28"/>
        </w:rPr>
        <w:t xml:space="preserve">The Fund’s argument </w:t>
      </w:r>
      <w:r w:rsidR="00B31FF4" w:rsidRPr="00C56286">
        <w:rPr>
          <w:sz w:val="28"/>
          <w:szCs w:val="28"/>
        </w:rPr>
        <w:t>was</w:t>
      </w:r>
      <w:r w:rsidR="001F55FF" w:rsidRPr="00C56286">
        <w:rPr>
          <w:sz w:val="28"/>
          <w:szCs w:val="28"/>
        </w:rPr>
        <w:t xml:space="preserve"> that on</w:t>
      </w:r>
      <w:r w:rsidR="000123F7" w:rsidRPr="00C56286">
        <w:rPr>
          <w:sz w:val="28"/>
          <w:szCs w:val="28"/>
        </w:rPr>
        <w:t xml:space="preserve"> a</w:t>
      </w:r>
      <w:r w:rsidR="001F55FF" w:rsidRPr="00C56286">
        <w:rPr>
          <w:sz w:val="28"/>
          <w:szCs w:val="28"/>
        </w:rPr>
        <w:t xml:space="preserve"> proper interpretation of the settlement agreement, the employees were reinstated and no</w:t>
      </w:r>
      <w:r w:rsidR="00FB62AE" w:rsidRPr="00C56286">
        <w:rPr>
          <w:sz w:val="28"/>
          <w:szCs w:val="28"/>
        </w:rPr>
        <w:t>t</w:t>
      </w:r>
      <w:r w:rsidR="001F55FF" w:rsidRPr="00C56286">
        <w:rPr>
          <w:sz w:val="28"/>
          <w:szCs w:val="28"/>
        </w:rPr>
        <w:t xml:space="preserve"> re-employed. The Fund also raised the issue of </w:t>
      </w:r>
      <w:r w:rsidR="001F55FF" w:rsidRPr="00C56286">
        <w:rPr>
          <w:i/>
          <w:sz w:val="28"/>
          <w:szCs w:val="28"/>
        </w:rPr>
        <w:t>res judicata</w:t>
      </w:r>
      <w:r w:rsidR="001F55FF" w:rsidRPr="00C56286">
        <w:rPr>
          <w:sz w:val="28"/>
          <w:szCs w:val="28"/>
        </w:rPr>
        <w:t xml:space="preserve"> and submitted that the issue of re-employment or reinstatement had already been d</w:t>
      </w:r>
      <w:r w:rsidR="00B31FF4" w:rsidRPr="00C56286">
        <w:rPr>
          <w:sz w:val="28"/>
          <w:szCs w:val="28"/>
        </w:rPr>
        <w:t xml:space="preserve">etermined by the Adjudicator in a </w:t>
      </w:r>
      <w:r w:rsidR="001F55FF" w:rsidRPr="00C56286">
        <w:rPr>
          <w:sz w:val="28"/>
          <w:szCs w:val="28"/>
        </w:rPr>
        <w:t xml:space="preserve">binding determination equivalent to that of a court of law, and that the Municipality and the MEPF are estopped from raising this point. </w:t>
      </w:r>
    </w:p>
    <w:p w:rsidR="000B5825" w:rsidRPr="00EC2091" w:rsidRDefault="000B5825" w:rsidP="00EC2091">
      <w:pPr>
        <w:pStyle w:val="ListParagraph"/>
        <w:ind w:left="0"/>
        <w:rPr>
          <w:sz w:val="28"/>
          <w:szCs w:val="28"/>
        </w:rPr>
      </w:pPr>
    </w:p>
    <w:p w:rsidR="001F55FF" w:rsidRPr="00C56286" w:rsidRDefault="00C56286" w:rsidP="00C56286">
      <w:pPr>
        <w:rPr>
          <w:sz w:val="28"/>
          <w:szCs w:val="28"/>
        </w:rPr>
      </w:pPr>
      <w:r w:rsidRPr="00EC2091">
        <w:rPr>
          <w:sz w:val="28"/>
          <w:szCs w:val="28"/>
        </w:rPr>
        <w:t>[8]</w:t>
      </w:r>
      <w:r w:rsidRPr="00EC2091">
        <w:rPr>
          <w:sz w:val="28"/>
          <w:szCs w:val="28"/>
        </w:rPr>
        <w:tab/>
      </w:r>
      <w:r w:rsidR="001F55FF" w:rsidRPr="00C56286">
        <w:rPr>
          <w:sz w:val="28"/>
          <w:szCs w:val="28"/>
        </w:rPr>
        <w:t xml:space="preserve">Both the Municipality and </w:t>
      </w:r>
      <w:r w:rsidR="00A62CEA" w:rsidRPr="00C56286">
        <w:rPr>
          <w:sz w:val="28"/>
          <w:szCs w:val="28"/>
        </w:rPr>
        <w:t xml:space="preserve">the </w:t>
      </w:r>
      <w:r w:rsidR="001F55FF" w:rsidRPr="00C56286">
        <w:rPr>
          <w:sz w:val="28"/>
          <w:szCs w:val="28"/>
        </w:rPr>
        <w:t>MEPF</w:t>
      </w:r>
      <w:r w:rsidR="008108E9" w:rsidRPr="00C56286">
        <w:rPr>
          <w:sz w:val="28"/>
          <w:szCs w:val="28"/>
        </w:rPr>
        <w:t>,</w:t>
      </w:r>
      <w:r w:rsidR="001F55FF" w:rsidRPr="00C56286">
        <w:rPr>
          <w:sz w:val="28"/>
          <w:szCs w:val="28"/>
        </w:rPr>
        <w:t xml:space="preserve"> on the other hand</w:t>
      </w:r>
      <w:r w:rsidR="00C015F4" w:rsidRPr="00C56286">
        <w:rPr>
          <w:sz w:val="28"/>
          <w:szCs w:val="28"/>
        </w:rPr>
        <w:t>,</w:t>
      </w:r>
      <w:r w:rsidR="001F55FF" w:rsidRPr="00C56286">
        <w:rPr>
          <w:sz w:val="28"/>
          <w:szCs w:val="28"/>
        </w:rPr>
        <w:t xml:space="preserve"> argued that the category 3 employees (the affected employees) had</w:t>
      </w:r>
      <w:r w:rsidR="00B31FF4" w:rsidRPr="00C56286">
        <w:rPr>
          <w:sz w:val="28"/>
          <w:szCs w:val="28"/>
        </w:rPr>
        <w:t>,</w:t>
      </w:r>
      <w:r w:rsidR="001F55FF" w:rsidRPr="00C56286">
        <w:rPr>
          <w:sz w:val="28"/>
          <w:szCs w:val="28"/>
        </w:rPr>
        <w:t xml:space="preserve"> when they ceased to be members of the Fund, validly elected to change their retirement fund in 2009 and elected to become members of the MEPF as a result of them being re-employed as opposed to being reinstated.</w:t>
      </w:r>
    </w:p>
    <w:p w:rsidR="000B5825" w:rsidRPr="00EC2091" w:rsidRDefault="000B5825" w:rsidP="00CB26AF">
      <w:pPr>
        <w:pStyle w:val="ListParagraph"/>
        <w:ind w:left="0"/>
        <w:rPr>
          <w:sz w:val="28"/>
          <w:szCs w:val="28"/>
        </w:rPr>
      </w:pPr>
    </w:p>
    <w:p w:rsidR="000B5825" w:rsidRPr="00C56286" w:rsidRDefault="00C56286" w:rsidP="00C56286">
      <w:pPr>
        <w:rPr>
          <w:sz w:val="28"/>
          <w:szCs w:val="28"/>
        </w:rPr>
      </w:pPr>
      <w:r w:rsidRPr="00EC2091">
        <w:rPr>
          <w:sz w:val="28"/>
          <w:szCs w:val="28"/>
        </w:rPr>
        <w:t>[9]</w:t>
      </w:r>
      <w:r w:rsidRPr="00EC2091">
        <w:rPr>
          <w:sz w:val="28"/>
          <w:szCs w:val="28"/>
        </w:rPr>
        <w:tab/>
      </w:r>
      <w:r w:rsidR="001F55FF" w:rsidRPr="00C56286">
        <w:rPr>
          <w:sz w:val="28"/>
          <w:szCs w:val="28"/>
        </w:rPr>
        <w:t>The issues to be determined in this appeal are the following</w:t>
      </w:r>
      <w:r w:rsidR="00B46695" w:rsidRPr="00C56286">
        <w:rPr>
          <w:sz w:val="28"/>
          <w:szCs w:val="28"/>
        </w:rPr>
        <w:t>. Firstly, w</w:t>
      </w:r>
      <w:r w:rsidR="003930FB" w:rsidRPr="00C56286">
        <w:rPr>
          <w:sz w:val="28"/>
          <w:szCs w:val="28"/>
        </w:rPr>
        <w:t>hether</w:t>
      </w:r>
      <w:r w:rsidR="001F55FF" w:rsidRPr="00C56286">
        <w:rPr>
          <w:sz w:val="28"/>
          <w:szCs w:val="28"/>
        </w:rPr>
        <w:t xml:space="preserve"> the doctrine of </w:t>
      </w:r>
      <w:r w:rsidR="001F55FF" w:rsidRPr="00C56286">
        <w:rPr>
          <w:i/>
          <w:sz w:val="28"/>
          <w:szCs w:val="28"/>
        </w:rPr>
        <w:t>res judic</w:t>
      </w:r>
      <w:r w:rsidR="003930FB" w:rsidRPr="00C56286">
        <w:rPr>
          <w:i/>
          <w:sz w:val="28"/>
          <w:szCs w:val="28"/>
        </w:rPr>
        <w:t>a</w:t>
      </w:r>
      <w:r w:rsidR="001F55FF" w:rsidRPr="00C56286">
        <w:rPr>
          <w:i/>
          <w:sz w:val="28"/>
          <w:szCs w:val="28"/>
        </w:rPr>
        <w:t>ta</w:t>
      </w:r>
      <w:r w:rsidR="003930FB" w:rsidRPr="00C56286">
        <w:rPr>
          <w:sz w:val="28"/>
          <w:szCs w:val="28"/>
        </w:rPr>
        <w:t xml:space="preserve"> applies in view of the Adjudicator’s determination and </w:t>
      </w:r>
      <w:r w:rsidR="00B46695" w:rsidRPr="00C56286">
        <w:rPr>
          <w:sz w:val="28"/>
          <w:szCs w:val="28"/>
        </w:rPr>
        <w:t xml:space="preserve">whether </w:t>
      </w:r>
      <w:r w:rsidR="003930FB" w:rsidRPr="00C56286">
        <w:rPr>
          <w:sz w:val="28"/>
          <w:szCs w:val="28"/>
        </w:rPr>
        <w:t xml:space="preserve">the Municipality and </w:t>
      </w:r>
      <w:r w:rsidR="00A62CEA" w:rsidRPr="00C56286">
        <w:rPr>
          <w:sz w:val="28"/>
          <w:szCs w:val="28"/>
        </w:rPr>
        <w:t xml:space="preserve">the </w:t>
      </w:r>
      <w:r w:rsidR="003930FB" w:rsidRPr="00C56286">
        <w:rPr>
          <w:sz w:val="28"/>
          <w:szCs w:val="28"/>
        </w:rPr>
        <w:t>MEPF are estopped from arguing that the affected</w:t>
      </w:r>
      <w:r w:rsidR="00AC2DF2" w:rsidRPr="00C56286">
        <w:rPr>
          <w:sz w:val="28"/>
          <w:szCs w:val="28"/>
        </w:rPr>
        <w:t xml:space="preserve"> employees’</w:t>
      </w:r>
      <w:r w:rsidR="003930FB" w:rsidRPr="00C56286">
        <w:rPr>
          <w:sz w:val="28"/>
          <w:szCs w:val="28"/>
        </w:rPr>
        <w:t xml:space="preserve"> membership</w:t>
      </w:r>
      <w:r w:rsidR="00AC2DF2" w:rsidRPr="00C56286">
        <w:rPr>
          <w:sz w:val="28"/>
          <w:szCs w:val="28"/>
        </w:rPr>
        <w:t>s</w:t>
      </w:r>
      <w:r w:rsidR="003930FB" w:rsidRPr="00C56286">
        <w:rPr>
          <w:sz w:val="28"/>
          <w:szCs w:val="28"/>
        </w:rPr>
        <w:t xml:space="preserve"> of the Fund had terminated</w:t>
      </w:r>
      <w:r w:rsidR="00B46695" w:rsidRPr="00C56286">
        <w:rPr>
          <w:sz w:val="28"/>
          <w:szCs w:val="28"/>
        </w:rPr>
        <w:t>. Secondly, w</w:t>
      </w:r>
      <w:r w:rsidR="003930FB" w:rsidRPr="00C56286">
        <w:rPr>
          <w:sz w:val="28"/>
          <w:szCs w:val="28"/>
        </w:rPr>
        <w:t>hether the affected employees were re-employed or reinstate</w:t>
      </w:r>
      <w:r w:rsidR="000123F7" w:rsidRPr="00C56286">
        <w:rPr>
          <w:sz w:val="28"/>
          <w:szCs w:val="28"/>
        </w:rPr>
        <w:t>d</w:t>
      </w:r>
      <w:r w:rsidR="003930FB" w:rsidRPr="00C56286">
        <w:rPr>
          <w:sz w:val="28"/>
          <w:szCs w:val="28"/>
        </w:rPr>
        <w:t xml:space="preserve"> in terms of the settlement agreement. </w:t>
      </w:r>
      <w:r w:rsidR="00B46695" w:rsidRPr="00C56286">
        <w:rPr>
          <w:sz w:val="28"/>
          <w:szCs w:val="28"/>
        </w:rPr>
        <w:t>And lastly, w</w:t>
      </w:r>
      <w:r w:rsidR="003930FB" w:rsidRPr="00C56286">
        <w:rPr>
          <w:sz w:val="28"/>
          <w:szCs w:val="28"/>
        </w:rPr>
        <w:t>hether the Fund’s claim (up to and including September 2010) has prescribed.</w:t>
      </w:r>
    </w:p>
    <w:p w:rsidR="001032B0" w:rsidRPr="00EC2091" w:rsidRDefault="001032B0" w:rsidP="00EC2091">
      <w:pPr>
        <w:rPr>
          <w:sz w:val="28"/>
          <w:szCs w:val="28"/>
        </w:rPr>
      </w:pPr>
    </w:p>
    <w:p w:rsidR="001032B0" w:rsidRPr="00EC2091" w:rsidRDefault="001032B0" w:rsidP="00EC2091">
      <w:pPr>
        <w:pStyle w:val="ListParagraph"/>
        <w:ind w:left="0"/>
        <w:rPr>
          <w:b/>
          <w:sz w:val="28"/>
          <w:szCs w:val="28"/>
        </w:rPr>
      </w:pPr>
      <w:r w:rsidRPr="00EC2091">
        <w:rPr>
          <w:b/>
          <w:i/>
          <w:sz w:val="28"/>
          <w:szCs w:val="28"/>
        </w:rPr>
        <w:t>Res judicata</w:t>
      </w:r>
      <w:r w:rsidRPr="00EC2091">
        <w:rPr>
          <w:b/>
          <w:sz w:val="28"/>
          <w:szCs w:val="28"/>
        </w:rPr>
        <w:t xml:space="preserve"> and issue estoppel </w:t>
      </w:r>
    </w:p>
    <w:p w:rsidR="001032B0" w:rsidRPr="00C56286" w:rsidRDefault="00C56286" w:rsidP="00C56286">
      <w:pPr>
        <w:rPr>
          <w:sz w:val="28"/>
          <w:szCs w:val="28"/>
        </w:rPr>
      </w:pPr>
      <w:r w:rsidRPr="00EC2091">
        <w:rPr>
          <w:sz w:val="28"/>
          <w:szCs w:val="28"/>
        </w:rPr>
        <w:t>[10]</w:t>
      </w:r>
      <w:r w:rsidRPr="00EC2091">
        <w:rPr>
          <w:sz w:val="28"/>
          <w:szCs w:val="28"/>
        </w:rPr>
        <w:tab/>
      </w:r>
      <w:r w:rsidR="001032B0" w:rsidRPr="00C56286">
        <w:rPr>
          <w:sz w:val="28"/>
          <w:szCs w:val="28"/>
        </w:rPr>
        <w:t>The Fund submitted that the Adjudicator had already determined that the employees were reinstated as opposed to being re-employed in terms of the settlement agreement, and this</w:t>
      </w:r>
      <w:r w:rsidR="0052109F" w:rsidRPr="00C56286">
        <w:rPr>
          <w:sz w:val="28"/>
          <w:szCs w:val="28"/>
        </w:rPr>
        <w:t>,</w:t>
      </w:r>
      <w:r w:rsidR="001032B0" w:rsidRPr="00C56286">
        <w:rPr>
          <w:sz w:val="28"/>
          <w:szCs w:val="28"/>
        </w:rPr>
        <w:t xml:space="preserve"> it argued, renders the matter </w:t>
      </w:r>
      <w:r w:rsidR="001032B0" w:rsidRPr="00C56286">
        <w:rPr>
          <w:i/>
          <w:sz w:val="28"/>
          <w:szCs w:val="28"/>
        </w:rPr>
        <w:t>res judicata</w:t>
      </w:r>
      <w:r w:rsidR="001032B0" w:rsidRPr="00C56286">
        <w:rPr>
          <w:sz w:val="28"/>
          <w:szCs w:val="28"/>
        </w:rPr>
        <w:t xml:space="preserve">; alternatively, the Municipality and the MEPF should be estopped from arguing otherwise, on the basis of issue estoppel. It was further argued that the Adjudicator’s </w:t>
      </w:r>
      <w:r w:rsidR="001032B0" w:rsidRPr="00C56286">
        <w:rPr>
          <w:sz w:val="28"/>
          <w:szCs w:val="28"/>
        </w:rPr>
        <w:lastRenderedPageBreak/>
        <w:t xml:space="preserve">determination was not appealed or challenged and, therefore, binding on the Fund and the affected employees. </w:t>
      </w:r>
    </w:p>
    <w:p w:rsidR="001032B0" w:rsidRPr="00EC2091" w:rsidRDefault="001032B0" w:rsidP="00EC2091">
      <w:pPr>
        <w:pStyle w:val="ListParagraph"/>
        <w:ind w:left="0"/>
        <w:rPr>
          <w:sz w:val="28"/>
          <w:szCs w:val="28"/>
        </w:rPr>
      </w:pPr>
    </w:p>
    <w:p w:rsidR="001032B0" w:rsidRPr="00C56286" w:rsidRDefault="00C56286" w:rsidP="00C56286">
      <w:pPr>
        <w:rPr>
          <w:sz w:val="28"/>
          <w:szCs w:val="28"/>
        </w:rPr>
      </w:pPr>
      <w:r w:rsidRPr="00EC2091">
        <w:rPr>
          <w:sz w:val="28"/>
          <w:szCs w:val="28"/>
        </w:rPr>
        <w:t>[11]</w:t>
      </w:r>
      <w:r w:rsidRPr="00EC2091">
        <w:rPr>
          <w:sz w:val="28"/>
          <w:szCs w:val="28"/>
        </w:rPr>
        <w:tab/>
      </w:r>
      <w:r w:rsidR="001032B0" w:rsidRPr="00C56286">
        <w:rPr>
          <w:sz w:val="28"/>
          <w:szCs w:val="28"/>
        </w:rPr>
        <w:t>Section 30O(1) of the Act provides:</w:t>
      </w:r>
    </w:p>
    <w:p w:rsidR="001032B0" w:rsidRPr="00EC2091" w:rsidRDefault="001032B0" w:rsidP="00EC2091">
      <w:pPr>
        <w:pStyle w:val="ListParagraph"/>
        <w:ind w:left="0"/>
      </w:pPr>
      <w:r w:rsidRPr="00EC2091">
        <w:t>‘Any determination of the Adjudicator shall be deemed to be a civil judgment of any court of law had the matter in question been heard by such court, and shall be so noted by the clerk or the registrar of the court, as the case may be.’</w:t>
      </w:r>
    </w:p>
    <w:p w:rsidR="001032B0" w:rsidRPr="00EC2091" w:rsidRDefault="001032B0" w:rsidP="00EC2091">
      <w:pPr>
        <w:pStyle w:val="ListParagraph"/>
        <w:ind w:left="0"/>
        <w:rPr>
          <w:sz w:val="28"/>
          <w:szCs w:val="28"/>
        </w:rPr>
      </w:pPr>
      <w:r w:rsidRPr="00EC2091">
        <w:rPr>
          <w:sz w:val="28"/>
          <w:szCs w:val="28"/>
        </w:rPr>
        <w:t xml:space="preserve">Accordingly, the determination is of equal force to a civil judgment. If any party is aggrieved by a determination made by the Adjudicator, such party ought to apply to the high court to have the determination set aside. </w:t>
      </w:r>
    </w:p>
    <w:p w:rsidR="001032B0" w:rsidRPr="00EC2091" w:rsidRDefault="001032B0" w:rsidP="00EC2091">
      <w:pPr>
        <w:pStyle w:val="ListParagraph"/>
        <w:ind w:left="0"/>
        <w:rPr>
          <w:sz w:val="28"/>
          <w:szCs w:val="28"/>
        </w:rPr>
      </w:pPr>
    </w:p>
    <w:p w:rsidR="001032B0" w:rsidRPr="00C56286" w:rsidRDefault="00C56286" w:rsidP="00C56286">
      <w:pPr>
        <w:rPr>
          <w:sz w:val="28"/>
          <w:szCs w:val="28"/>
        </w:rPr>
      </w:pPr>
      <w:r w:rsidRPr="00EC2091">
        <w:rPr>
          <w:sz w:val="28"/>
          <w:szCs w:val="28"/>
        </w:rPr>
        <w:t>[12]</w:t>
      </w:r>
      <w:r w:rsidRPr="00EC2091">
        <w:rPr>
          <w:sz w:val="28"/>
          <w:szCs w:val="28"/>
        </w:rPr>
        <w:tab/>
      </w:r>
      <w:r w:rsidR="001032B0" w:rsidRPr="00C56286">
        <w:rPr>
          <w:sz w:val="28"/>
          <w:szCs w:val="28"/>
        </w:rPr>
        <w:t xml:space="preserve">The doctrine of </w:t>
      </w:r>
      <w:r w:rsidR="001032B0" w:rsidRPr="00C56286">
        <w:rPr>
          <w:i/>
          <w:sz w:val="28"/>
          <w:szCs w:val="28"/>
        </w:rPr>
        <w:t>res judicata</w:t>
      </w:r>
      <w:r w:rsidR="001032B0" w:rsidRPr="00C56286">
        <w:rPr>
          <w:sz w:val="28"/>
          <w:szCs w:val="28"/>
        </w:rPr>
        <w:t xml:space="preserve"> is founded on the policy considerations that there should be finality in litigation</w:t>
      </w:r>
      <w:r w:rsidR="00E036C3" w:rsidRPr="00C56286">
        <w:rPr>
          <w:sz w:val="28"/>
          <w:szCs w:val="28"/>
        </w:rPr>
        <w:t>,</w:t>
      </w:r>
      <w:r w:rsidR="001032B0" w:rsidRPr="00C56286">
        <w:rPr>
          <w:sz w:val="28"/>
          <w:szCs w:val="28"/>
        </w:rPr>
        <w:t xml:space="preserve"> and an avoidance of a multiplicity of litigation or conflicting judicial decisions on the same issue or issues. It is trite that a matter is </w:t>
      </w:r>
      <w:r w:rsidR="001032B0" w:rsidRPr="00C56286">
        <w:rPr>
          <w:i/>
          <w:sz w:val="28"/>
          <w:szCs w:val="28"/>
        </w:rPr>
        <w:t>res judicata</w:t>
      </w:r>
      <w:r w:rsidR="001032B0" w:rsidRPr="00C56286">
        <w:rPr>
          <w:sz w:val="28"/>
          <w:szCs w:val="28"/>
        </w:rPr>
        <w:t xml:space="preserve"> when a competent court or similar tribunal has given a final judgment on it, and the following three requirements are satisfied. First, the matter in which judgment has been given must be between the same parties as in the previously decided matter. Second, the matter must be based on the same cause of action, which is to say that it must involve the same issue for determination. Third, the relief sought must be the same.</w:t>
      </w:r>
      <w:r w:rsidR="001032B0" w:rsidRPr="00EC2091">
        <w:rPr>
          <w:rStyle w:val="FootnoteReference"/>
          <w:sz w:val="28"/>
          <w:szCs w:val="28"/>
        </w:rPr>
        <w:footnoteReference w:id="1"/>
      </w:r>
    </w:p>
    <w:p w:rsidR="00EC2091" w:rsidRPr="00EC2091" w:rsidRDefault="00EC2091" w:rsidP="00EC2091">
      <w:pPr>
        <w:pStyle w:val="ListParagraph"/>
        <w:ind w:left="0"/>
        <w:rPr>
          <w:sz w:val="28"/>
          <w:szCs w:val="28"/>
        </w:rPr>
      </w:pPr>
    </w:p>
    <w:p w:rsidR="005B2B4C" w:rsidRPr="00C56286" w:rsidRDefault="00C56286" w:rsidP="00C56286">
      <w:pPr>
        <w:rPr>
          <w:sz w:val="28"/>
          <w:szCs w:val="28"/>
        </w:rPr>
      </w:pPr>
      <w:r w:rsidRPr="00EC2091">
        <w:rPr>
          <w:sz w:val="28"/>
          <w:szCs w:val="28"/>
        </w:rPr>
        <w:t>[13]</w:t>
      </w:r>
      <w:r w:rsidRPr="00EC2091">
        <w:rPr>
          <w:sz w:val="28"/>
          <w:szCs w:val="28"/>
        </w:rPr>
        <w:tab/>
      </w:r>
      <w:r w:rsidR="005B2B4C" w:rsidRPr="00C56286">
        <w:rPr>
          <w:sz w:val="28"/>
          <w:szCs w:val="28"/>
        </w:rPr>
        <w:t xml:space="preserve">Over the years the courts have relaxed these requirements, where circumstances so justify, by applying a doctrine which has become known as issue estoppel. In that instance, the requirements that remain are that the parties are the same and the issue that has arisen is the same. ‘Broadly stated, the latter involves an </w:t>
      </w:r>
      <w:r w:rsidR="005B2B4C" w:rsidRPr="00C56286">
        <w:rPr>
          <w:sz w:val="28"/>
          <w:szCs w:val="28"/>
        </w:rPr>
        <w:lastRenderedPageBreak/>
        <w:t xml:space="preserve">inquiry whether </w:t>
      </w:r>
      <w:r w:rsidR="005B2B4C" w:rsidRPr="00C56286">
        <w:rPr>
          <w:i/>
          <w:sz w:val="28"/>
          <w:szCs w:val="28"/>
        </w:rPr>
        <w:t>an issue of fact or law</w:t>
      </w:r>
      <w:r w:rsidR="005B2B4C" w:rsidRPr="00C56286">
        <w:rPr>
          <w:sz w:val="28"/>
          <w:szCs w:val="28"/>
        </w:rPr>
        <w:t xml:space="preserve"> was an essential element of the judgment on which reliance is placed</w:t>
      </w:r>
      <w:r w:rsidR="0052109F" w:rsidRPr="00C56286">
        <w:rPr>
          <w:sz w:val="28"/>
          <w:szCs w:val="28"/>
        </w:rPr>
        <w:t xml:space="preserve">. . . </w:t>
      </w:r>
      <w:r w:rsidR="005B2B4C" w:rsidRPr="00C56286">
        <w:rPr>
          <w:sz w:val="28"/>
          <w:szCs w:val="28"/>
        </w:rPr>
        <w:t xml:space="preserve">Relevant considerations will include questions of </w:t>
      </w:r>
      <w:r w:rsidR="005B2B4C" w:rsidRPr="00C56286">
        <w:rPr>
          <w:i/>
          <w:sz w:val="28"/>
          <w:szCs w:val="28"/>
        </w:rPr>
        <w:t>equity and fairness</w:t>
      </w:r>
      <w:r w:rsidR="005B2B4C" w:rsidRPr="00C56286">
        <w:rPr>
          <w:sz w:val="28"/>
          <w:szCs w:val="28"/>
        </w:rPr>
        <w:t>, not only to the parties themselves but also to others’</w:t>
      </w:r>
      <w:r w:rsidR="0052109F" w:rsidRPr="00C56286">
        <w:rPr>
          <w:sz w:val="28"/>
          <w:szCs w:val="28"/>
        </w:rPr>
        <w:t>.</w:t>
      </w:r>
      <w:r w:rsidR="005B2B4C" w:rsidRPr="00EC2091">
        <w:rPr>
          <w:rStyle w:val="FootnoteReference"/>
          <w:sz w:val="28"/>
          <w:szCs w:val="28"/>
        </w:rPr>
        <w:footnoteReference w:id="2"/>
      </w:r>
      <w:r w:rsidR="005B2B4C" w:rsidRPr="00C56286">
        <w:rPr>
          <w:sz w:val="28"/>
          <w:szCs w:val="28"/>
        </w:rPr>
        <w:t xml:space="preserve"> (My emphasis.)</w:t>
      </w:r>
    </w:p>
    <w:p w:rsidR="00EC2091" w:rsidRPr="00EC2091" w:rsidRDefault="00EC2091" w:rsidP="00CB26AF">
      <w:pPr>
        <w:pStyle w:val="ListParagraph"/>
        <w:ind w:left="0"/>
        <w:rPr>
          <w:sz w:val="28"/>
          <w:szCs w:val="28"/>
        </w:rPr>
      </w:pPr>
    </w:p>
    <w:p w:rsidR="005B2B4C" w:rsidRPr="00C56286" w:rsidRDefault="00C56286" w:rsidP="00C56286">
      <w:pPr>
        <w:rPr>
          <w:sz w:val="28"/>
          <w:szCs w:val="28"/>
        </w:rPr>
      </w:pPr>
      <w:r w:rsidRPr="00EC2091">
        <w:rPr>
          <w:sz w:val="28"/>
          <w:szCs w:val="28"/>
        </w:rPr>
        <w:t>[14]</w:t>
      </w:r>
      <w:r w:rsidRPr="00EC2091">
        <w:rPr>
          <w:sz w:val="28"/>
          <w:szCs w:val="28"/>
        </w:rPr>
        <w:tab/>
      </w:r>
      <w:r w:rsidR="005B2B4C" w:rsidRPr="00C56286">
        <w:rPr>
          <w:sz w:val="28"/>
          <w:szCs w:val="28"/>
        </w:rPr>
        <w:t xml:space="preserve">The purpose of issue estoppel, </w:t>
      </w:r>
      <w:r w:rsidR="003E2783" w:rsidRPr="00C56286">
        <w:rPr>
          <w:sz w:val="28"/>
          <w:szCs w:val="28"/>
        </w:rPr>
        <w:t>‘</w:t>
      </w:r>
      <w:r w:rsidR="005B2B4C" w:rsidRPr="00C56286">
        <w:rPr>
          <w:sz w:val="28"/>
          <w:szCs w:val="28"/>
        </w:rPr>
        <w:t xml:space="preserve">so it has been stated, is to prevent the repetition of lawsuits between the </w:t>
      </w:r>
      <w:r w:rsidR="003E2783" w:rsidRPr="00C56286">
        <w:rPr>
          <w:sz w:val="28"/>
          <w:szCs w:val="28"/>
        </w:rPr>
        <w:t xml:space="preserve">same </w:t>
      </w:r>
      <w:r w:rsidR="005B2B4C" w:rsidRPr="00C56286">
        <w:rPr>
          <w:sz w:val="28"/>
          <w:szCs w:val="28"/>
        </w:rPr>
        <w:t xml:space="preserve">parties, the harassment of a defendant by a multiplicity of actions and the possibility of conflicting decisions by different courts on the same </w:t>
      </w:r>
      <w:r w:rsidR="005B2B4C" w:rsidRPr="00C56286">
        <w:rPr>
          <w:i/>
          <w:sz w:val="28"/>
          <w:szCs w:val="28"/>
        </w:rPr>
        <w:t>issue</w:t>
      </w:r>
      <w:r w:rsidR="005B2B4C" w:rsidRPr="00C56286">
        <w:rPr>
          <w:sz w:val="28"/>
          <w:szCs w:val="28"/>
        </w:rPr>
        <w:t xml:space="preserve">. . . Issue estoppel therefore allows a court to dispense with the two requirements of same cause of action and same relief, where the </w:t>
      </w:r>
      <w:r w:rsidR="005B2B4C" w:rsidRPr="00C56286">
        <w:rPr>
          <w:i/>
          <w:sz w:val="28"/>
          <w:szCs w:val="28"/>
        </w:rPr>
        <w:t>same issue</w:t>
      </w:r>
      <w:r w:rsidR="005B2B4C" w:rsidRPr="00C56286">
        <w:rPr>
          <w:sz w:val="28"/>
          <w:szCs w:val="28"/>
        </w:rPr>
        <w:t xml:space="preserve"> has been finally decided in previous litigation between the same parties</w:t>
      </w:r>
      <w:r w:rsidR="003E2783" w:rsidRPr="00C56286">
        <w:rPr>
          <w:sz w:val="28"/>
          <w:szCs w:val="28"/>
        </w:rPr>
        <w:t>’</w:t>
      </w:r>
      <w:r w:rsidR="005B2B4C" w:rsidRPr="00C56286">
        <w:rPr>
          <w:sz w:val="28"/>
          <w:szCs w:val="28"/>
        </w:rPr>
        <w:t>.</w:t>
      </w:r>
      <w:r w:rsidR="005B2B4C" w:rsidRPr="00EC2091">
        <w:rPr>
          <w:rStyle w:val="FootnoteReference"/>
          <w:sz w:val="28"/>
          <w:szCs w:val="28"/>
        </w:rPr>
        <w:footnoteReference w:id="3"/>
      </w:r>
      <w:r w:rsidR="005B2B4C" w:rsidRPr="00C56286">
        <w:rPr>
          <w:sz w:val="28"/>
          <w:szCs w:val="28"/>
        </w:rPr>
        <w:t xml:space="preserve"> </w:t>
      </w:r>
      <w:r w:rsidR="003E2783" w:rsidRPr="00C56286">
        <w:rPr>
          <w:sz w:val="28"/>
          <w:szCs w:val="28"/>
        </w:rPr>
        <w:t>(My emphasis.)</w:t>
      </w:r>
    </w:p>
    <w:p w:rsidR="00EC2091" w:rsidRPr="00EC2091" w:rsidRDefault="00EC2091" w:rsidP="00EC2091">
      <w:pPr>
        <w:rPr>
          <w:b/>
          <w:i/>
          <w:sz w:val="28"/>
          <w:szCs w:val="28"/>
        </w:rPr>
      </w:pPr>
    </w:p>
    <w:p w:rsidR="00EC2091" w:rsidRPr="00EC2091" w:rsidRDefault="00EC2091" w:rsidP="00EC2091">
      <w:pPr>
        <w:rPr>
          <w:sz w:val="28"/>
          <w:szCs w:val="28"/>
        </w:rPr>
      </w:pPr>
      <w:r w:rsidRPr="00EC2091">
        <w:rPr>
          <w:b/>
          <w:i/>
          <w:sz w:val="28"/>
          <w:szCs w:val="28"/>
        </w:rPr>
        <w:t>Issue estoppel</w:t>
      </w:r>
      <w:r w:rsidRPr="00EC2091">
        <w:rPr>
          <w:sz w:val="28"/>
          <w:szCs w:val="28"/>
        </w:rPr>
        <w:t xml:space="preserve"> </w:t>
      </w:r>
    </w:p>
    <w:p w:rsidR="005B2B4C" w:rsidRPr="00C56286" w:rsidRDefault="00C56286" w:rsidP="00C56286">
      <w:pPr>
        <w:rPr>
          <w:sz w:val="28"/>
          <w:szCs w:val="28"/>
        </w:rPr>
      </w:pPr>
      <w:r w:rsidRPr="00EC2091">
        <w:rPr>
          <w:sz w:val="28"/>
          <w:szCs w:val="28"/>
        </w:rPr>
        <w:t>[15]</w:t>
      </w:r>
      <w:r w:rsidRPr="00EC2091">
        <w:rPr>
          <w:sz w:val="28"/>
          <w:szCs w:val="28"/>
        </w:rPr>
        <w:tab/>
      </w:r>
      <w:r w:rsidR="005B2B4C" w:rsidRPr="00C56286">
        <w:rPr>
          <w:sz w:val="28"/>
          <w:szCs w:val="28"/>
        </w:rPr>
        <w:t>The Fund does not even get past the starting blocks on the requirements of issue estoppel because not all the parties in the high court were in the matter determined by the Adjudicator. When the Adjudicator gave her determination, the Municipality was not a party in the proceedings. The determination made by the Adjudicator on 14 December 2012 specifically cited ‘</w:t>
      </w:r>
      <w:r w:rsidR="005B2B4C" w:rsidRPr="00C56286">
        <w:rPr>
          <w:i/>
          <w:sz w:val="28"/>
          <w:szCs w:val="28"/>
        </w:rPr>
        <w:t>KC Sonja and 56 Others</w:t>
      </w:r>
      <w:r w:rsidR="005B2B4C" w:rsidRPr="00C56286">
        <w:rPr>
          <w:sz w:val="28"/>
          <w:szCs w:val="28"/>
        </w:rPr>
        <w:t xml:space="preserve"> (complainants) </w:t>
      </w:r>
      <w:r w:rsidR="005B2B4C" w:rsidRPr="00C56286">
        <w:rPr>
          <w:i/>
          <w:sz w:val="28"/>
          <w:szCs w:val="28"/>
        </w:rPr>
        <w:t>v SAMWU National Provident Fund</w:t>
      </w:r>
      <w:r w:rsidR="005B2B4C" w:rsidRPr="00C56286">
        <w:rPr>
          <w:sz w:val="28"/>
          <w:szCs w:val="28"/>
        </w:rPr>
        <w:t xml:space="preserve"> (respondent)’ as the parties. The Municipality was mentioned in the determination only as the employer and no relief was sought against it. In other words, the Adjudicator was fully aware of the involvement of the Municipality and the role it played in the unfolding of the matter, but did not require to have it included as a party to the proceedings. Upholding the issue estoppel point would give rise to potential unfair consequences</w:t>
      </w:r>
      <w:r w:rsidR="006572D1" w:rsidRPr="00C56286">
        <w:rPr>
          <w:sz w:val="28"/>
          <w:szCs w:val="28"/>
        </w:rPr>
        <w:t>,</w:t>
      </w:r>
      <w:r w:rsidR="005B2B4C" w:rsidRPr="00C56286">
        <w:rPr>
          <w:sz w:val="28"/>
          <w:szCs w:val="28"/>
        </w:rPr>
        <w:t xml:space="preserve"> as the Municipality was not given any opportunity before any court to be heard. That should be the end of the matter. </w:t>
      </w:r>
    </w:p>
    <w:p w:rsidR="00EC2091" w:rsidRPr="00EC2091" w:rsidRDefault="00EC2091" w:rsidP="00EC2091">
      <w:pPr>
        <w:pStyle w:val="ListParagraph"/>
        <w:ind w:left="0"/>
        <w:rPr>
          <w:sz w:val="28"/>
          <w:szCs w:val="28"/>
        </w:rPr>
      </w:pPr>
    </w:p>
    <w:p w:rsidR="005B2B4C" w:rsidRPr="00C56286" w:rsidRDefault="00C56286" w:rsidP="00C56286">
      <w:pPr>
        <w:rPr>
          <w:sz w:val="28"/>
          <w:szCs w:val="28"/>
        </w:rPr>
      </w:pPr>
      <w:r w:rsidRPr="00C836C2">
        <w:rPr>
          <w:sz w:val="28"/>
          <w:szCs w:val="28"/>
        </w:rPr>
        <w:t>[16]</w:t>
      </w:r>
      <w:r w:rsidRPr="00C836C2">
        <w:rPr>
          <w:sz w:val="28"/>
          <w:szCs w:val="28"/>
        </w:rPr>
        <w:tab/>
      </w:r>
      <w:r w:rsidR="005B2B4C" w:rsidRPr="00C56286">
        <w:rPr>
          <w:sz w:val="28"/>
          <w:szCs w:val="28"/>
        </w:rPr>
        <w:t>Nevertheless, even the issue that arose in the high court was not that which was finally determined by the Adjudicator. Before her, the complaint was about the Fund’s refusal to pay the complainants, who were the employees of the Municipality,</w:t>
      </w:r>
      <w:r w:rsidR="00004E24" w:rsidRPr="00C56286">
        <w:rPr>
          <w:sz w:val="28"/>
          <w:szCs w:val="28"/>
        </w:rPr>
        <w:t xml:space="preserve"> that is</w:t>
      </w:r>
      <w:r w:rsidR="005B2B4C" w:rsidRPr="00C56286">
        <w:rPr>
          <w:sz w:val="28"/>
          <w:szCs w:val="28"/>
        </w:rPr>
        <w:t xml:space="preserve"> ‘withdrawal benefits following their dismissal from employment on 31 July 2009’</w:t>
      </w:r>
      <w:r w:rsidR="006572D1" w:rsidRPr="00C56286">
        <w:rPr>
          <w:sz w:val="28"/>
          <w:szCs w:val="28"/>
        </w:rPr>
        <w:t>.</w:t>
      </w:r>
      <w:r w:rsidR="005B2B4C" w:rsidRPr="00C56286">
        <w:rPr>
          <w:sz w:val="28"/>
          <w:szCs w:val="28"/>
        </w:rPr>
        <w:t xml:space="preserve"> In the high</w:t>
      </w:r>
      <w:r w:rsidR="00004E24" w:rsidRPr="00C56286">
        <w:rPr>
          <w:sz w:val="28"/>
          <w:szCs w:val="28"/>
        </w:rPr>
        <w:t xml:space="preserve"> </w:t>
      </w:r>
      <w:r w:rsidR="005B2B4C" w:rsidRPr="00C56286">
        <w:rPr>
          <w:sz w:val="28"/>
          <w:szCs w:val="28"/>
        </w:rPr>
        <w:t>court</w:t>
      </w:r>
      <w:r w:rsidR="00A874D1" w:rsidRPr="00C56286">
        <w:rPr>
          <w:sz w:val="28"/>
          <w:szCs w:val="28"/>
        </w:rPr>
        <w:t>,</w:t>
      </w:r>
      <w:r w:rsidR="005B2B4C" w:rsidRPr="00C56286">
        <w:rPr>
          <w:sz w:val="28"/>
          <w:szCs w:val="28"/>
        </w:rPr>
        <w:t xml:space="preserve"> the Fund sought to enforce payment of contributions by the Municipality. The Adjudicator did not decide this issue. While the settlement agreement may have been the basis of her findings, that was not determinative of t</w:t>
      </w:r>
      <w:r w:rsidR="00EB656F" w:rsidRPr="00C56286">
        <w:rPr>
          <w:sz w:val="28"/>
          <w:szCs w:val="28"/>
        </w:rPr>
        <w:t xml:space="preserve">he obligations of the employer. It is also doubtful whether the ultimate determination was one contemplated by the Act and the Fund </w:t>
      </w:r>
      <w:r w:rsidR="00AC2DF2" w:rsidRPr="00C56286">
        <w:rPr>
          <w:sz w:val="28"/>
          <w:szCs w:val="28"/>
        </w:rPr>
        <w:t>r</w:t>
      </w:r>
      <w:r w:rsidR="00EB656F" w:rsidRPr="00C56286">
        <w:rPr>
          <w:sz w:val="28"/>
          <w:szCs w:val="28"/>
        </w:rPr>
        <w:t>ules</w:t>
      </w:r>
      <w:r w:rsidR="00B86DA2" w:rsidRPr="00C56286">
        <w:rPr>
          <w:sz w:val="28"/>
          <w:szCs w:val="28"/>
        </w:rPr>
        <w:t>,</w:t>
      </w:r>
      <w:r w:rsidR="00EB656F" w:rsidRPr="00C56286">
        <w:rPr>
          <w:sz w:val="28"/>
          <w:szCs w:val="28"/>
        </w:rPr>
        <w:t xml:space="preserve"> as it was not in relation to the </w:t>
      </w:r>
      <w:r w:rsidR="00AC2DF2" w:rsidRPr="00C56286">
        <w:rPr>
          <w:sz w:val="28"/>
          <w:szCs w:val="28"/>
        </w:rPr>
        <w:t>F</w:t>
      </w:r>
      <w:r w:rsidR="00EB656F" w:rsidRPr="00C56286">
        <w:rPr>
          <w:sz w:val="28"/>
          <w:szCs w:val="28"/>
        </w:rPr>
        <w:t>und.</w:t>
      </w:r>
    </w:p>
    <w:p w:rsidR="00EC2091" w:rsidRPr="00C836C2" w:rsidRDefault="00EC2091" w:rsidP="00CB26AF">
      <w:pPr>
        <w:pStyle w:val="ListParagraph"/>
        <w:ind w:left="0"/>
        <w:rPr>
          <w:sz w:val="28"/>
          <w:szCs w:val="28"/>
        </w:rPr>
      </w:pPr>
    </w:p>
    <w:p w:rsidR="005B2B4C" w:rsidRPr="00C56286" w:rsidRDefault="00C56286" w:rsidP="00C56286">
      <w:pPr>
        <w:rPr>
          <w:sz w:val="28"/>
          <w:szCs w:val="28"/>
        </w:rPr>
      </w:pPr>
      <w:r w:rsidRPr="00EC2091">
        <w:rPr>
          <w:sz w:val="28"/>
          <w:szCs w:val="28"/>
        </w:rPr>
        <w:t>[17]</w:t>
      </w:r>
      <w:r w:rsidRPr="00EC2091">
        <w:rPr>
          <w:sz w:val="28"/>
          <w:szCs w:val="28"/>
        </w:rPr>
        <w:tab/>
      </w:r>
      <w:r w:rsidR="00522518" w:rsidRPr="00C56286">
        <w:rPr>
          <w:sz w:val="28"/>
          <w:szCs w:val="28"/>
        </w:rPr>
        <w:t>I</w:t>
      </w:r>
      <w:r w:rsidR="00004E24" w:rsidRPr="00C56286">
        <w:rPr>
          <w:sz w:val="28"/>
          <w:szCs w:val="28"/>
        </w:rPr>
        <w:t>ssue estoppel therefore find</w:t>
      </w:r>
      <w:r w:rsidR="00B86DA2" w:rsidRPr="00C56286">
        <w:rPr>
          <w:sz w:val="28"/>
          <w:szCs w:val="28"/>
        </w:rPr>
        <w:t>s</w:t>
      </w:r>
      <w:r w:rsidR="00004E24" w:rsidRPr="00C56286">
        <w:rPr>
          <w:sz w:val="28"/>
          <w:szCs w:val="28"/>
        </w:rPr>
        <w:t xml:space="preserve"> no application in this matter</w:t>
      </w:r>
      <w:r w:rsidR="00522518" w:rsidRPr="00C56286">
        <w:rPr>
          <w:sz w:val="28"/>
          <w:szCs w:val="28"/>
        </w:rPr>
        <w:t>,</w:t>
      </w:r>
      <w:r w:rsidR="00004E24" w:rsidRPr="00C56286">
        <w:rPr>
          <w:sz w:val="28"/>
          <w:szCs w:val="28"/>
        </w:rPr>
        <w:t xml:space="preserve"> and the high court was correct in rejecting the Fund’s argument in this regard. </w:t>
      </w:r>
    </w:p>
    <w:p w:rsidR="00EC2091" w:rsidRPr="00EC2091" w:rsidRDefault="00EC2091" w:rsidP="00EC2091">
      <w:pPr>
        <w:tabs>
          <w:tab w:val="left" w:pos="426"/>
        </w:tabs>
        <w:rPr>
          <w:b/>
          <w:sz w:val="28"/>
          <w:szCs w:val="28"/>
        </w:rPr>
      </w:pPr>
    </w:p>
    <w:p w:rsidR="00EC2091" w:rsidRPr="00EC2091" w:rsidRDefault="00EC2091" w:rsidP="00EC2091">
      <w:pPr>
        <w:tabs>
          <w:tab w:val="left" w:pos="426"/>
        </w:tabs>
        <w:rPr>
          <w:sz w:val="28"/>
          <w:szCs w:val="28"/>
        </w:rPr>
      </w:pPr>
      <w:r w:rsidRPr="00EC2091">
        <w:rPr>
          <w:b/>
          <w:sz w:val="28"/>
          <w:szCs w:val="28"/>
        </w:rPr>
        <w:t>Interpretation of the settlement agreement – whether the relevant employees were reinstated or re-employed</w:t>
      </w:r>
    </w:p>
    <w:p w:rsidR="003930FB" w:rsidRPr="00C56286" w:rsidRDefault="00C56286" w:rsidP="00C56286">
      <w:pPr>
        <w:rPr>
          <w:sz w:val="28"/>
          <w:szCs w:val="28"/>
        </w:rPr>
      </w:pPr>
      <w:r w:rsidRPr="00EC2091">
        <w:rPr>
          <w:sz w:val="28"/>
          <w:szCs w:val="28"/>
        </w:rPr>
        <w:t>[18]</w:t>
      </w:r>
      <w:r w:rsidRPr="00EC2091">
        <w:rPr>
          <w:sz w:val="28"/>
          <w:szCs w:val="28"/>
        </w:rPr>
        <w:tab/>
      </w:r>
      <w:r w:rsidR="00B31FF4" w:rsidRPr="00C56286">
        <w:rPr>
          <w:sz w:val="28"/>
          <w:szCs w:val="28"/>
        </w:rPr>
        <w:t>Section 13A(1) and (2)</w:t>
      </w:r>
      <w:r w:rsidR="003930FB" w:rsidRPr="00C56286">
        <w:rPr>
          <w:sz w:val="28"/>
          <w:szCs w:val="28"/>
        </w:rPr>
        <w:t xml:space="preserve"> of the Act reads as follows:</w:t>
      </w:r>
    </w:p>
    <w:p w:rsidR="003930FB" w:rsidRPr="00EC2091" w:rsidRDefault="003930FB" w:rsidP="00EC2091">
      <w:pPr>
        <w:pStyle w:val="ListParagraph"/>
        <w:ind w:left="0"/>
      </w:pPr>
      <w:r w:rsidRPr="00EC2091">
        <w:t xml:space="preserve">‘13A </w:t>
      </w:r>
      <w:r w:rsidR="00B46695" w:rsidRPr="00EC2091">
        <w:tab/>
      </w:r>
      <w:r w:rsidRPr="00EC2091">
        <w:t>Payment of contributions and certain benefits to pension funds.</w:t>
      </w:r>
    </w:p>
    <w:p w:rsidR="003930FB" w:rsidRPr="00EC2091" w:rsidRDefault="00B46695" w:rsidP="00EC2091">
      <w:pPr>
        <w:pStyle w:val="ListParagraph"/>
        <w:ind w:left="0"/>
      </w:pPr>
      <w:r w:rsidRPr="00EC2091">
        <w:t>(</w:t>
      </w:r>
      <w:r w:rsidR="003930FB" w:rsidRPr="00EC2091">
        <w:t>1</w:t>
      </w:r>
      <w:r w:rsidRPr="00EC2091">
        <w:t>)</w:t>
      </w:r>
      <w:r w:rsidR="003930FB" w:rsidRPr="00EC2091">
        <w:t xml:space="preserve"> </w:t>
      </w:r>
      <w:r w:rsidRPr="00EC2091">
        <w:tab/>
      </w:r>
      <w:r w:rsidR="003930FB" w:rsidRPr="00EC2091">
        <w:t xml:space="preserve">Notwithstanding any provision in the rules of a registered </w:t>
      </w:r>
      <w:r w:rsidR="004812DA" w:rsidRPr="00EC2091">
        <w:t>f</w:t>
      </w:r>
      <w:r w:rsidR="003930FB" w:rsidRPr="00EC2091">
        <w:t>und to the contrary, the employer of any member of such</w:t>
      </w:r>
      <w:r w:rsidRPr="00EC2091">
        <w:t xml:space="preserve"> a</w:t>
      </w:r>
      <w:r w:rsidR="003930FB" w:rsidRPr="00EC2091">
        <w:t xml:space="preserve"> </w:t>
      </w:r>
      <w:r w:rsidR="004812DA" w:rsidRPr="00EC2091">
        <w:t>f</w:t>
      </w:r>
      <w:r w:rsidR="003930FB" w:rsidRPr="00EC2091">
        <w:t xml:space="preserve">und shall pay the following to the </w:t>
      </w:r>
      <w:r w:rsidR="004812DA" w:rsidRPr="00EC2091">
        <w:t>f</w:t>
      </w:r>
      <w:r w:rsidR="003930FB" w:rsidRPr="00EC2091">
        <w:t xml:space="preserve">und in full, namely - </w:t>
      </w:r>
    </w:p>
    <w:p w:rsidR="003930FB" w:rsidRPr="00EC2091" w:rsidRDefault="003930FB" w:rsidP="00EC2091">
      <w:pPr>
        <w:pStyle w:val="ListParagraph"/>
        <w:ind w:left="0"/>
      </w:pPr>
      <w:r w:rsidRPr="00EC2091">
        <w:rPr>
          <w:i/>
        </w:rPr>
        <w:t>(a)</w:t>
      </w:r>
      <w:r w:rsidRPr="00EC2091">
        <w:t xml:space="preserve"> </w:t>
      </w:r>
      <w:r w:rsidR="00B46695" w:rsidRPr="00EC2091">
        <w:tab/>
      </w:r>
      <w:r w:rsidRPr="00EC2091">
        <w:t xml:space="preserve">any contribution which, in terms of the rules of the </w:t>
      </w:r>
      <w:r w:rsidR="004812DA" w:rsidRPr="00EC2091">
        <w:t>f</w:t>
      </w:r>
      <w:r w:rsidRPr="00EC2091">
        <w:t>und, is to be deducted from the member’s remuneration; and</w:t>
      </w:r>
    </w:p>
    <w:p w:rsidR="00137C0C" w:rsidRPr="00EC2091" w:rsidRDefault="003930FB" w:rsidP="00EC2091">
      <w:pPr>
        <w:pStyle w:val="ListParagraph"/>
        <w:ind w:left="0"/>
      </w:pPr>
      <w:r w:rsidRPr="00EC2091">
        <w:rPr>
          <w:i/>
        </w:rPr>
        <w:t>(b)</w:t>
      </w:r>
      <w:r w:rsidRPr="00EC2091">
        <w:t xml:space="preserve"> </w:t>
      </w:r>
      <w:r w:rsidR="00B46695" w:rsidRPr="00EC2091">
        <w:tab/>
      </w:r>
      <w:r w:rsidRPr="00EC2091">
        <w:t>any contribution for which the employer is liable in terms of those rules.</w:t>
      </w:r>
    </w:p>
    <w:p w:rsidR="00137C0C" w:rsidRPr="00EC2091" w:rsidRDefault="00B46695" w:rsidP="00EC2091">
      <w:pPr>
        <w:pStyle w:val="ListParagraph"/>
        <w:ind w:left="0"/>
      </w:pPr>
      <w:r w:rsidRPr="00EC2091">
        <w:t>(</w:t>
      </w:r>
      <w:r w:rsidR="00137C0C" w:rsidRPr="00EC2091">
        <w:t>2</w:t>
      </w:r>
      <w:r w:rsidRPr="00EC2091">
        <w:t>)</w:t>
      </w:r>
      <w:r w:rsidR="00137C0C" w:rsidRPr="00EC2091">
        <w:rPr>
          <w:i/>
        </w:rPr>
        <w:t>(a)</w:t>
      </w:r>
      <w:r w:rsidR="00137C0C" w:rsidRPr="00EC2091">
        <w:t xml:space="preserve"> </w:t>
      </w:r>
      <w:r w:rsidRPr="00EC2091">
        <w:tab/>
      </w:r>
      <w:r w:rsidR="00137C0C" w:rsidRPr="00EC2091">
        <w:t xml:space="preserve">The minimum information to be furnished to the </w:t>
      </w:r>
      <w:r w:rsidR="004812DA" w:rsidRPr="00EC2091">
        <w:t>f</w:t>
      </w:r>
      <w:r w:rsidR="00137C0C" w:rsidRPr="00EC2091">
        <w:t>und by every employer with regard to payment</w:t>
      </w:r>
      <w:r w:rsidR="004812DA" w:rsidRPr="00EC2091">
        <w:t>s</w:t>
      </w:r>
      <w:r w:rsidR="00137C0C" w:rsidRPr="00EC2091">
        <w:t xml:space="preserve"> of contributions made by the employer in terms of ss (1)</w:t>
      </w:r>
      <w:r w:rsidR="00043B45" w:rsidRPr="00EC2091">
        <w:t>,</w:t>
      </w:r>
      <w:r w:rsidR="00137C0C" w:rsidRPr="00EC2091">
        <w:t xml:space="preserve"> shall be as prescribed.</w:t>
      </w:r>
    </w:p>
    <w:p w:rsidR="00137C0C" w:rsidRPr="00EC2091" w:rsidRDefault="00137C0C" w:rsidP="00EC2091">
      <w:pPr>
        <w:pStyle w:val="ListParagraph"/>
        <w:ind w:left="0"/>
      </w:pPr>
      <w:r w:rsidRPr="00EC2091">
        <w:rPr>
          <w:i/>
        </w:rPr>
        <w:lastRenderedPageBreak/>
        <w:t>(b)</w:t>
      </w:r>
      <w:r w:rsidRPr="00EC2091">
        <w:t xml:space="preserve"> </w:t>
      </w:r>
      <w:r w:rsidR="00043B45" w:rsidRPr="00EC2091">
        <w:tab/>
      </w:r>
      <w:r w:rsidRPr="00EC2091">
        <w:t xml:space="preserve">If that information does not accompany the payment of a contribution, the information shall be transmitted to the </w:t>
      </w:r>
      <w:r w:rsidR="004812DA" w:rsidRPr="00EC2091">
        <w:t>f</w:t>
      </w:r>
      <w:r w:rsidRPr="00EC2091">
        <w:t xml:space="preserve">und concerned not later than 15 days after the end of the month in respect of which </w:t>
      </w:r>
      <w:r w:rsidR="00043B45" w:rsidRPr="00EC2091">
        <w:t xml:space="preserve">the </w:t>
      </w:r>
      <w:r w:rsidRPr="00EC2091">
        <w:t>payment was made.’</w:t>
      </w:r>
    </w:p>
    <w:p w:rsidR="00004E24" w:rsidRPr="00EC2091" w:rsidRDefault="00004E24" w:rsidP="00EC2091">
      <w:pPr>
        <w:pStyle w:val="ListParagraph"/>
        <w:ind w:left="0"/>
      </w:pPr>
    </w:p>
    <w:p w:rsidR="004E4CD3" w:rsidRPr="00C56286" w:rsidRDefault="00C56286" w:rsidP="00C56286">
      <w:pPr>
        <w:rPr>
          <w:sz w:val="28"/>
          <w:szCs w:val="28"/>
        </w:rPr>
      </w:pPr>
      <w:r w:rsidRPr="00EC2091">
        <w:rPr>
          <w:sz w:val="28"/>
          <w:szCs w:val="28"/>
        </w:rPr>
        <w:t>[19]</w:t>
      </w:r>
      <w:r w:rsidRPr="00EC2091">
        <w:rPr>
          <w:sz w:val="28"/>
          <w:szCs w:val="28"/>
        </w:rPr>
        <w:tab/>
      </w:r>
      <w:r w:rsidR="00137C0C" w:rsidRPr="00C56286">
        <w:rPr>
          <w:sz w:val="28"/>
          <w:szCs w:val="28"/>
        </w:rPr>
        <w:t>Section 13A of the Act</w:t>
      </w:r>
      <w:r w:rsidR="002102DF" w:rsidRPr="00C56286">
        <w:rPr>
          <w:sz w:val="28"/>
          <w:szCs w:val="28"/>
        </w:rPr>
        <w:t>,</w:t>
      </w:r>
      <w:r w:rsidR="00137C0C" w:rsidRPr="00C56286">
        <w:rPr>
          <w:sz w:val="28"/>
          <w:szCs w:val="28"/>
        </w:rPr>
        <w:t xml:space="preserve"> therefore</w:t>
      </w:r>
      <w:r w:rsidR="002102DF" w:rsidRPr="00C56286">
        <w:rPr>
          <w:sz w:val="28"/>
          <w:szCs w:val="28"/>
        </w:rPr>
        <w:t>,</w:t>
      </w:r>
      <w:r w:rsidR="00137C0C" w:rsidRPr="00C56286">
        <w:rPr>
          <w:sz w:val="28"/>
          <w:szCs w:val="28"/>
        </w:rPr>
        <w:t xml:space="preserve"> places certain obligations on the ‘employer’ participating in a </w:t>
      </w:r>
      <w:r w:rsidR="004812DA" w:rsidRPr="00C56286">
        <w:rPr>
          <w:sz w:val="28"/>
          <w:szCs w:val="28"/>
        </w:rPr>
        <w:t>f</w:t>
      </w:r>
      <w:r w:rsidR="00137C0C" w:rsidRPr="00C56286">
        <w:rPr>
          <w:sz w:val="28"/>
          <w:szCs w:val="28"/>
        </w:rPr>
        <w:t>und. The Municipality</w:t>
      </w:r>
      <w:r w:rsidR="002102DF" w:rsidRPr="00C56286">
        <w:rPr>
          <w:sz w:val="28"/>
          <w:szCs w:val="28"/>
        </w:rPr>
        <w:t>,</w:t>
      </w:r>
      <w:r w:rsidR="00137C0C" w:rsidRPr="00C56286">
        <w:rPr>
          <w:sz w:val="28"/>
          <w:szCs w:val="28"/>
        </w:rPr>
        <w:t xml:space="preserve"> in this case</w:t>
      </w:r>
      <w:r w:rsidR="002102DF" w:rsidRPr="00C56286">
        <w:rPr>
          <w:sz w:val="28"/>
          <w:szCs w:val="28"/>
        </w:rPr>
        <w:t>,</w:t>
      </w:r>
      <w:r w:rsidR="00137C0C" w:rsidRPr="00C56286">
        <w:rPr>
          <w:sz w:val="28"/>
          <w:szCs w:val="28"/>
        </w:rPr>
        <w:t xml:space="preserve"> had to pay </w:t>
      </w:r>
      <w:r w:rsidR="004812DA" w:rsidRPr="00C56286">
        <w:rPr>
          <w:sz w:val="28"/>
          <w:szCs w:val="28"/>
        </w:rPr>
        <w:t xml:space="preserve">to </w:t>
      </w:r>
      <w:r w:rsidR="00137C0C" w:rsidRPr="00C56286">
        <w:rPr>
          <w:sz w:val="28"/>
          <w:szCs w:val="28"/>
        </w:rPr>
        <w:t xml:space="preserve">the </w:t>
      </w:r>
      <w:r w:rsidR="004861DF" w:rsidRPr="00C56286">
        <w:rPr>
          <w:sz w:val="28"/>
          <w:szCs w:val="28"/>
        </w:rPr>
        <w:t>F</w:t>
      </w:r>
      <w:r w:rsidR="00137C0C" w:rsidRPr="00C56286">
        <w:rPr>
          <w:sz w:val="28"/>
          <w:szCs w:val="28"/>
        </w:rPr>
        <w:t xml:space="preserve">und </w:t>
      </w:r>
      <w:r w:rsidR="004E4CD3" w:rsidRPr="00C56286">
        <w:rPr>
          <w:sz w:val="28"/>
          <w:szCs w:val="28"/>
        </w:rPr>
        <w:t xml:space="preserve">any contributions which the Municipality </w:t>
      </w:r>
      <w:r w:rsidR="004812DA" w:rsidRPr="00C56286">
        <w:rPr>
          <w:sz w:val="28"/>
          <w:szCs w:val="28"/>
        </w:rPr>
        <w:t>(</w:t>
      </w:r>
      <w:r w:rsidR="004E4CD3" w:rsidRPr="00C56286">
        <w:rPr>
          <w:sz w:val="28"/>
          <w:szCs w:val="28"/>
        </w:rPr>
        <w:t>as a participating employer</w:t>
      </w:r>
      <w:r w:rsidR="004812DA" w:rsidRPr="00C56286">
        <w:rPr>
          <w:sz w:val="28"/>
          <w:szCs w:val="28"/>
        </w:rPr>
        <w:t>)</w:t>
      </w:r>
      <w:r w:rsidR="004E4CD3" w:rsidRPr="00C56286">
        <w:rPr>
          <w:sz w:val="28"/>
          <w:szCs w:val="28"/>
        </w:rPr>
        <w:t xml:space="preserve"> was liable for in terms of the rules of the Fund, and any contributions which were deducted from the </w:t>
      </w:r>
      <w:r w:rsidR="004812DA" w:rsidRPr="00C56286">
        <w:rPr>
          <w:sz w:val="28"/>
          <w:szCs w:val="28"/>
        </w:rPr>
        <w:t>members’</w:t>
      </w:r>
      <w:r w:rsidR="002102DF" w:rsidRPr="00C56286">
        <w:rPr>
          <w:sz w:val="28"/>
          <w:szCs w:val="28"/>
        </w:rPr>
        <w:t xml:space="preserve"> </w:t>
      </w:r>
      <w:r w:rsidR="004812DA" w:rsidRPr="00C56286">
        <w:rPr>
          <w:sz w:val="28"/>
          <w:szCs w:val="28"/>
        </w:rPr>
        <w:t>remuneration</w:t>
      </w:r>
      <w:r w:rsidR="004E4CD3" w:rsidRPr="00C56286">
        <w:rPr>
          <w:sz w:val="28"/>
          <w:szCs w:val="28"/>
        </w:rPr>
        <w:t>. In order to determine the value of contributions due to the Fund, certain minimum information must be delivered to the Fund</w:t>
      </w:r>
      <w:r w:rsidR="002102DF" w:rsidRPr="00C56286">
        <w:rPr>
          <w:sz w:val="28"/>
          <w:szCs w:val="28"/>
        </w:rPr>
        <w:t>.</w:t>
      </w:r>
      <w:r w:rsidR="004E4CD3" w:rsidRPr="00EC2091">
        <w:rPr>
          <w:rStyle w:val="FootnoteReference"/>
          <w:sz w:val="28"/>
          <w:szCs w:val="28"/>
        </w:rPr>
        <w:footnoteReference w:id="4"/>
      </w:r>
      <w:r w:rsidR="004E4CD3" w:rsidRPr="00C56286">
        <w:rPr>
          <w:sz w:val="28"/>
          <w:szCs w:val="28"/>
        </w:rPr>
        <w:t xml:space="preserve"> Section 13A(7) of the Act provides for special statutory interest on late payment of </w:t>
      </w:r>
      <w:r w:rsidR="004812DA" w:rsidRPr="00C56286">
        <w:rPr>
          <w:sz w:val="28"/>
          <w:szCs w:val="28"/>
        </w:rPr>
        <w:t>p</w:t>
      </w:r>
      <w:r w:rsidR="004E4CD3" w:rsidRPr="00C56286">
        <w:rPr>
          <w:sz w:val="28"/>
          <w:szCs w:val="28"/>
        </w:rPr>
        <w:t xml:space="preserve">ension </w:t>
      </w:r>
      <w:r w:rsidR="004812DA" w:rsidRPr="00C56286">
        <w:rPr>
          <w:sz w:val="28"/>
          <w:szCs w:val="28"/>
        </w:rPr>
        <w:t>f</w:t>
      </w:r>
      <w:r w:rsidR="004E4CD3" w:rsidRPr="00C56286">
        <w:rPr>
          <w:sz w:val="28"/>
          <w:szCs w:val="28"/>
        </w:rPr>
        <w:t xml:space="preserve">und contributions. </w:t>
      </w:r>
    </w:p>
    <w:p w:rsidR="00EC2091" w:rsidRPr="00EC2091" w:rsidRDefault="00EC2091" w:rsidP="00EC2091">
      <w:pPr>
        <w:pStyle w:val="ListParagraph"/>
        <w:ind w:left="0"/>
        <w:rPr>
          <w:sz w:val="28"/>
          <w:szCs w:val="28"/>
        </w:rPr>
      </w:pPr>
    </w:p>
    <w:p w:rsidR="004E4CD3" w:rsidRPr="00C56286" w:rsidRDefault="00C56286" w:rsidP="00C56286">
      <w:pPr>
        <w:rPr>
          <w:sz w:val="28"/>
          <w:szCs w:val="28"/>
        </w:rPr>
      </w:pPr>
      <w:r w:rsidRPr="00EC2091">
        <w:rPr>
          <w:sz w:val="28"/>
          <w:szCs w:val="28"/>
        </w:rPr>
        <w:t>[20]</w:t>
      </w:r>
      <w:r w:rsidRPr="00EC2091">
        <w:rPr>
          <w:sz w:val="28"/>
          <w:szCs w:val="28"/>
        </w:rPr>
        <w:tab/>
      </w:r>
      <w:r w:rsidR="004E4CD3" w:rsidRPr="00C56286">
        <w:rPr>
          <w:sz w:val="28"/>
          <w:szCs w:val="28"/>
        </w:rPr>
        <w:t>The Fund’s rules provide for circumstances in which membership may lawfully terminate. Rule 3.2 of the Fund’s rules</w:t>
      </w:r>
      <w:r w:rsidR="004E4CD3" w:rsidRPr="00EC2091">
        <w:rPr>
          <w:rStyle w:val="FootnoteReference"/>
          <w:sz w:val="28"/>
          <w:szCs w:val="28"/>
        </w:rPr>
        <w:footnoteReference w:id="5"/>
      </w:r>
      <w:r w:rsidR="004E4CD3" w:rsidRPr="00C56286">
        <w:rPr>
          <w:sz w:val="28"/>
          <w:szCs w:val="28"/>
        </w:rPr>
        <w:t xml:space="preserve"> provides:</w:t>
      </w:r>
    </w:p>
    <w:p w:rsidR="003930FB" w:rsidRPr="00EC2091" w:rsidRDefault="00171891" w:rsidP="00EC2091">
      <w:pPr>
        <w:pStyle w:val="ListParagraph"/>
        <w:ind w:left="0"/>
      </w:pPr>
      <w:r w:rsidRPr="00EC2091">
        <w:t xml:space="preserve">‘3.2.1 </w:t>
      </w:r>
      <w:r w:rsidR="00513AE7" w:rsidRPr="00EC2091">
        <w:tab/>
      </w:r>
      <w:r w:rsidRPr="00EC2091">
        <w:t xml:space="preserve">A </w:t>
      </w:r>
      <w:r w:rsidR="00513AE7" w:rsidRPr="00EC2091">
        <w:t>MEMBER</w:t>
      </w:r>
      <w:r w:rsidRPr="00EC2091">
        <w:t xml:space="preserve"> may not withdraw from the </w:t>
      </w:r>
      <w:r w:rsidR="00513AE7" w:rsidRPr="00EC2091">
        <w:t>FUND</w:t>
      </w:r>
      <w:r w:rsidRPr="00EC2091">
        <w:t xml:space="preserve"> while he remains in </w:t>
      </w:r>
      <w:r w:rsidR="00513AE7" w:rsidRPr="00EC2091">
        <w:t>SERVICE.</w:t>
      </w:r>
      <w:r w:rsidRPr="00EC2091">
        <w:rPr>
          <w:rStyle w:val="FootnoteReference"/>
        </w:rPr>
        <w:footnoteReference w:id="6"/>
      </w:r>
    </w:p>
    <w:p w:rsidR="00C96DDD" w:rsidRPr="00EC2091" w:rsidRDefault="00171891" w:rsidP="00EC2091">
      <w:pPr>
        <w:pStyle w:val="ListParagraph"/>
        <w:ind w:left="0"/>
      </w:pPr>
      <w:r w:rsidRPr="00EC2091">
        <w:t xml:space="preserve">3.2.2 </w:t>
      </w:r>
      <w:r w:rsidR="00513AE7" w:rsidRPr="00EC2091">
        <w:tab/>
      </w:r>
      <w:r w:rsidRPr="00EC2091">
        <w:t xml:space="preserve">A </w:t>
      </w:r>
      <w:r w:rsidR="00513AE7" w:rsidRPr="00EC2091">
        <w:t>MEMBER’S</w:t>
      </w:r>
      <w:r w:rsidRPr="00EC2091">
        <w:t xml:space="preserve"> membership of the </w:t>
      </w:r>
      <w:r w:rsidR="00513AE7" w:rsidRPr="00EC2091">
        <w:t>FUND</w:t>
      </w:r>
      <w:r w:rsidRPr="00EC2091">
        <w:t xml:space="preserve"> shall cease on cessation of </w:t>
      </w:r>
      <w:r w:rsidR="00513AE7" w:rsidRPr="00EC2091">
        <w:t>SERVICE</w:t>
      </w:r>
      <w:r w:rsidRPr="00EC2091">
        <w:t xml:space="preserve"> unless he remains entitled to a benefit in terms of these rules.’</w:t>
      </w:r>
    </w:p>
    <w:p w:rsidR="00C96DDD" w:rsidRPr="00EC2091" w:rsidRDefault="00C96DDD" w:rsidP="00EC2091">
      <w:pPr>
        <w:pStyle w:val="ListParagraph"/>
        <w:ind w:left="0"/>
        <w:rPr>
          <w:sz w:val="28"/>
          <w:szCs w:val="28"/>
        </w:rPr>
      </w:pPr>
      <w:r w:rsidRPr="00EC2091">
        <w:rPr>
          <w:sz w:val="28"/>
          <w:szCs w:val="28"/>
        </w:rPr>
        <w:t>Rule 4.1.1 of the Fund</w:t>
      </w:r>
      <w:r w:rsidR="002102DF" w:rsidRPr="00EC2091">
        <w:rPr>
          <w:sz w:val="28"/>
          <w:szCs w:val="28"/>
        </w:rPr>
        <w:t xml:space="preserve">’s rules </w:t>
      </w:r>
      <w:r w:rsidRPr="00EC2091">
        <w:rPr>
          <w:sz w:val="28"/>
          <w:szCs w:val="28"/>
        </w:rPr>
        <w:t xml:space="preserve">provides: </w:t>
      </w:r>
    </w:p>
    <w:p w:rsidR="00171891" w:rsidRPr="00EC2091" w:rsidRDefault="004812DA" w:rsidP="00EC2091">
      <w:pPr>
        <w:pStyle w:val="ListParagraph"/>
        <w:ind w:left="0"/>
      </w:pPr>
      <w:r w:rsidRPr="00EC2091">
        <w:t>‘</w:t>
      </w:r>
      <w:r w:rsidR="00C96DDD" w:rsidRPr="00EC2091">
        <w:t xml:space="preserve">A </w:t>
      </w:r>
      <w:r w:rsidR="00513AE7" w:rsidRPr="00EC2091">
        <w:t>MEMBER</w:t>
      </w:r>
      <w:r w:rsidR="00C96DDD" w:rsidRPr="00EC2091">
        <w:t xml:space="preserve"> who is in </w:t>
      </w:r>
      <w:r w:rsidR="00513AE7" w:rsidRPr="00EC2091">
        <w:t>SERVICE</w:t>
      </w:r>
      <w:r w:rsidR="00C96DDD" w:rsidRPr="00EC2091">
        <w:t xml:space="preserve"> shall contribute to the </w:t>
      </w:r>
      <w:r w:rsidR="00513AE7" w:rsidRPr="00EC2091">
        <w:t xml:space="preserve">FUND </w:t>
      </w:r>
      <w:r w:rsidR="00C96DDD" w:rsidRPr="00EC2091">
        <w:t xml:space="preserve">at the rate specified in the </w:t>
      </w:r>
      <w:r w:rsidR="00513AE7" w:rsidRPr="00EC2091">
        <w:t>SCHEDULE</w:t>
      </w:r>
      <w:r w:rsidR="00C96DDD" w:rsidRPr="00EC2091">
        <w:t>.</w:t>
      </w:r>
      <w:r w:rsidRPr="00EC2091">
        <w:t xml:space="preserve"> The </w:t>
      </w:r>
      <w:r w:rsidR="00C96DDD" w:rsidRPr="00EC2091">
        <w:t xml:space="preserve">contributions shall be deducted from his </w:t>
      </w:r>
      <w:r w:rsidRPr="00EC2091">
        <w:t>s</w:t>
      </w:r>
      <w:r w:rsidR="00C96DDD" w:rsidRPr="00EC2091">
        <w:t>alary</w:t>
      </w:r>
      <w:r w:rsidR="00513AE7" w:rsidRPr="00EC2091">
        <w:t xml:space="preserve"> or </w:t>
      </w:r>
      <w:r w:rsidR="00C96DDD" w:rsidRPr="00EC2091">
        <w:t xml:space="preserve">wages at the end of each month by his </w:t>
      </w:r>
      <w:r w:rsidR="00513AE7" w:rsidRPr="00EC2091">
        <w:t>EMPLOYER</w:t>
      </w:r>
      <w:r w:rsidR="00C96DDD" w:rsidRPr="00EC2091">
        <w:t xml:space="preserve"> and paid to the </w:t>
      </w:r>
      <w:r w:rsidR="00513AE7" w:rsidRPr="00EC2091">
        <w:t>FUND</w:t>
      </w:r>
      <w:r w:rsidR="00C96DDD" w:rsidRPr="00EC2091">
        <w:t>.’</w:t>
      </w:r>
      <w:r w:rsidR="00171891" w:rsidRPr="00EC2091">
        <w:t xml:space="preserve"> </w:t>
      </w:r>
    </w:p>
    <w:p w:rsidR="00C96DDD" w:rsidRPr="00EC2091" w:rsidRDefault="00C96DDD" w:rsidP="00EC2091">
      <w:pPr>
        <w:pStyle w:val="ListParagraph"/>
        <w:ind w:left="0"/>
        <w:rPr>
          <w:sz w:val="28"/>
          <w:szCs w:val="28"/>
        </w:rPr>
      </w:pPr>
    </w:p>
    <w:p w:rsidR="0023384D" w:rsidRPr="00C56286" w:rsidRDefault="00C56286" w:rsidP="00C56286">
      <w:pPr>
        <w:rPr>
          <w:sz w:val="28"/>
          <w:szCs w:val="28"/>
        </w:rPr>
      </w:pPr>
      <w:r w:rsidRPr="00EC2091">
        <w:rPr>
          <w:sz w:val="28"/>
          <w:szCs w:val="28"/>
        </w:rPr>
        <w:t>[21]</w:t>
      </w:r>
      <w:r w:rsidRPr="00EC2091">
        <w:rPr>
          <w:sz w:val="28"/>
          <w:szCs w:val="28"/>
        </w:rPr>
        <w:tab/>
      </w:r>
      <w:r w:rsidR="0023384D" w:rsidRPr="00C56286">
        <w:rPr>
          <w:sz w:val="28"/>
          <w:szCs w:val="28"/>
        </w:rPr>
        <w:t>It is common cause that the affected employees were members of the Fund until their dismissal on 3</w:t>
      </w:r>
      <w:r w:rsidR="00C36DB1" w:rsidRPr="00C56286">
        <w:rPr>
          <w:sz w:val="28"/>
          <w:szCs w:val="28"/>
        </w:rPr>
        <w:t>1</w:t>
      </w:r>
      <w:r w:rsidR="0077461C" w:rsidRPr="00C56286">
        <w:rPr>
          <w:sz w:val="28"/>
          <w:szCs w:val="28"/>
        </w:rPr>
        <w:t xml:space="preserve"> </w:t>
      </w:r>
      <w:r w:rsidR="0023384D" w:rsidRPr="00C56286">
        <w:rPr>
          <w:sz w:val="28"/>
          <w:szCs w:val="28"/>
        </w:rPr>
        <w:t xml:space="preserve">July 2009. The dispute between the parties is whether the </w:t>
      </w:r>
      <w:r w:rsidR="0023384D" w:rsidRPr="00C56286">
        <w:rPr>
          <w:sz w:val="28"/>
          <w:szCs w:val="28"/>
        </w:rPr>
        <w:lastRenderedPageBreak/>
        <w:t xml:space="preserve">employees were reinstated or re-employed in terms of the settlement agreement concluded on 8 October 2009 and ceased to be members of the Fund. </w:t>
      </w:r>
    </w:p>
    <w:p w:rsidR="00EC2091" w:rsidRPr="00EC2091" w:rsidRDefault="00EC2091" w:rsidP="00EC2091">
      <w:pPr>
        <w:pStyle w:val="ListParagraph"/>
        <w:ind w:left="0"/>
        <w:rPr>
          <w:sz w:val="28"/>
          <w:szCs w:val="28"/>
        </w:rPr>
      </w:pPr>
    </w:p>
    <w:p w:rsidR="001E2FD9" w:rsidRPr="00C56286" w:rsidRDefault="00C56286" w:rsidP="00C56286">
      <w:pPr>
        <w:rPr>
          <w:sz w:val="28"/>
          <w:szCs w:val="28"/>
        </w:rPr>
      </w:pPr>
      <w:r w:rsidRPr="00EC2091">
        <w:rPr>
          <w:sz w:val="28"/>
          <w:szCs w:val="28"/>
        </w:rPr>
        <w:t>[22]</w:t>
      </w:r>
      <w:r w:rsidRPr="00EC2091">
        <w:rPr>
          <w:sz w:val="28"/>
          <w:szCs w:val="28"/>
        </w:rPr>
        <w:tab/>
      </w:r>
      <w:r w:rsidR="0023384D" w:rsidRPr="00C56286">
        <w:rPr>
          <w:sz w:val="28"/>
          <w:szCs w:val="28"/>
        </w:rPr>
        <w:t>Counsel for the Fund submitted that the general rule is that reinstatement amounts to the restoration of the status quo ante, as if the employee was never dismissed</w:t>
      </w:r>
      <w:r w:rsidR="00537E64" w:rsidRPr="00C56286">
        <w:rPr>
          <w:sz w:val="28"/>
          <w:szCs w:val="28"/>
        </w:rPr>
        <w:t>,</w:t>
      </w:r>
      <w:r w:rsidR="0023384D" w:rsidRPr="00C56286">
        <w:rPr>
          <w:sz w:val="28"/>
          <w:szCs w:val="28"/>
        </w:rPr>
        <w:t xml:space="preserve"> and in this regard</w:t>
      </w:r>
      <w:r w:rsidR="001B40C3" w:rsidRPr="00C56286">
        <w:rPr>
          <w:sz w:val="28"/>
          <w:szCs w:val="28"/>
        </w:rPr>
        <w:t>,</w:t>
      </w:r>
      <w:r w:rsidR="0023384D" w:rsidRPr="00C56286">
        <w:rPr>
          <w:sz w:val="28"/>
          <w:szCs w:val="28"/>
        </w:rPr>
        <w:t xml:space="preserve"> counsel relied on </w:t>
      </w:r>
      <w:r w:rsidR="0023384D" w:rsidRPr="00C56286">
        <w:rPr>
          <w:i/>
          <w:sz w:val="28"/>
          <w:szCs w:val="28"/>
        </w:rPr>
        <w:t>Themba v Mintroad Sawmills (</w:t>
      </w:r>
      <w:r w:rsidR="00097747" w:rsidRPr="00C56286">
        <w:rPr>
          <w:i/>
          <w:sz w:val="28"/>
          <w:szCs w:val="28"/>
        </w:rPr>
        <w:t>Pty) Ltd</w:t>
      </w:r>
      <w:r w:rsidR="00097747" w:rsidRPr="00C56286">
        <w:rPr>
          <w:sz w:val="28"/>
          <w:szCs w:val="28"/>
        </w:rPr>
        <w:t>.</w:t>
      </w:r>
      <w:r w:rsidR="0023384D" w:rsidRPr="00EC2091">
        <w:rPr>
          <w:rStyle w:val="FootnoteReference"/>
          <w:sz w:val="28"/>
          <w:szCs w:val="28"/>
        </w:rPr>
        <w:footnoteReference w:id="7"/>
      </w:r>
      <w:r w:rsidR="00097747" w:rsidRPr="00C56286">
        <w:rPr>
          <w:sz w:val="28"/>
          <w:szCs w:val="28"/>
        </w:rPr>
        <w:t xml:space="preserve"> A person need not be reinstated on identical terms and conditions and can even be reinstated </w:t>
      </w:r>
      <w:r w:rsidR="00A16C46" w:rsidRPr="00C56286">
        <w:rPr>
          <w:sz w:val="28"/>
          <w:szCs w:val="28"/>
        </w:rPr>
        <w:t>on</w:t>
      </w:r>
      <w:r w:rsidR="00097747" w:rsidRPr="00C56286">
        <w:rPr>
          <w:sz w:val="28"/>
          <w:szCs w:val="28"/>
        </w:rPr>
        <w:t xml:space="preserve"> lesser terms. Employees need not even be reinstated in the exact position that they had previously occupied. </w:t>
      </w:r>
      <w:r w:rsidR="00004E24" w:rsidRPr="00C56286">
        <w:rPr>
          <w:sz w:val="28"/>
          <w:szCs w:val="28"/>
        </w:rPr>
        <w:t>I do not disagree with this submission.</w:t>
      </w:r>
    </w:p>
    <w:p w:rsidR="00EC2091" w:rsidRPr="00EC2091" w:rsidRDefault="00EC2091" w:rsidP="00CB26AF">
      <w:pPr>
        <w:pStyle w:val="ListParagraph"/>
        <w:ind w:left="0"/>
        <w:rPr>
          <w:sz w:val="28"/>
          <w:szCs w:val="28"/>
        </w:rPr>
      </w:pPr>
    </w:p>
    <w:p w:rsidR="00097747" w:rsidRPr="00C56286" w:rsidRDefault="00C56286" w:rsidP="00C56286">
      <w:pPr>
        <w:rPr>
          <w:sz w:val="28"/>
          <w:szCs w:val="28"/>
        </w:rPr>
      </w:pPr>
      <w:r w:rsidRPr="00EC2091">
        <w:rPr>
          <w:sz w:val="28"/>
          <w:szCs w:val="28"/>
        </w:rPr>
        <w:t>[23]</w:t>
      </w:r>
      <w:r w:rsidRPr="00EC2091">
        <w:rPr>
          <w:sz w:val="28"/>
          <w:szCs w:val="28"/>
        </w:rPr>
        <w:tab/>
      </w:r>
      <w:r w:rsidR="00097747" w:rsidRPr="00C56286">
        <w:rPr>
          <w:sz w:val="28"/>
          <w:szCs w:val="28"/>
        </w:rPr>
        <w:t xml:space="preserve">Counsel </w:t>
      </w:r>
      <w:r w:rsidR="001E2FD9" w:rsidRPr="00C56286">
        <w:rPr>
          <w:sz w:val="28"/>
          <w:szCs w:val="28"/>
        </w:rPr>
        <w:t xml:space="preserve">further </w:t>
      </w:r>
      <w:r w:rsidR="00097747" w:rsidRPr="00C56286">
        <w:rPr>
          <w:sz w:val="28"/>
          <w:szCs w:val="28"/>
        </w:rPr>
        <w:t xml:space="preserve">argued that there is no dispute that the affected employees occupied the same positions </w:t>
      </w:r>
      <w:r w:rsidR="004F4F81" w:rsidRPr="00C56286">
        <w:rPr>
          <w:sz w:val="28"/>
          <w:szCs w:val="28"/>
        </w:rPr>
        <w:t xml:space="preserve">which </w:t>
      </w:r>
      <w:r w:rsidR="00097747" w:rsidRPr="00C56286">
        <w:rPr>
          <w:sz w:val="28"/>
          <w:szCs w:val="28"/>
        </w:rPr>
        <w:t xml:space="preserve">they occupied before their dismissal. It was </w:t>
      </w:r>
      <w:r w:rsidR="006D6AAA" w:rsidRPr="00C56286">
        <w:rPr>
          <w:sz w:val="28"/>
          <w:szCs w:val="28"/>
        </w:rPr>
        <w:t>contended</w:t>
      </w:r>
      <w:r w:rsidR="00097747" w:rsidRPr="00C56286">
        <w:rPr>
          <w:sz w:val="28"/>
          <w:szCs w:val="28"/>
        </w:rPr>
        <w:t xml:space="preserve"> that it is clear that reinstatement amounts to a restoration of an employment relationship even if it is with effect from the date of the settlement agreement as opposed to the date of dismissal and even if the restoration of the relationship is not necessarily on identical terms.</w:t>
      </w:r>
      <w:r w:rsidR="004532A5" w:rsidRPr="00C56286">
        <w:rPr>
          <w:sz w:val="28"/>
          <w:szCs w:val="28"/>
        </w:rPr>
        <w:t xml:space="preserve"> </w:t>
      </w:r>
      <w:r w:rsidR="00097747" w:rsidRPr="00C56286">
        <w:rPr>
          <w:sz w:val="28"/>
          <w:szCs w:val="28"/>
        </w:rPr>
        <w:t>It was</w:t>
      </w:r>
      <w:r w:rsidR="004F4F81" w:rsidRPr="00C56286">
        <w:rPr>
          <w:sz w:val="28"/>
          <w:szCs w:val="28"/>
        </w:rPr>
        <w:t>,</w:t>
      </w:r>
      <w:r w:rsidR="00097747" w:rsidRPr="00C56286">
        <w:rPr>
          <w:sz w:val="28"/>
          <w:szCs w:val="28"/>
        </w:rPr>
        <w:t xml:space="preserve"> therefore</w:t>
      </w:r>
      <w:r w:rsidR="004F4F81" w:rsidRPr="00C56286">
        <w:rPr>
          <w:sz w:val="28"/>
          <w:szCs w:val="28"/>
        </w:rPr>
        <w:t>,</w:t>
      </w:r>
      <w:r w:rsidR="00097747" w:rsidRPr="00C56286">
        <w:rPr>
          <w:sz w:val="28"/>
          <w:szCs w:val="28"/>
        </w:rPr>
        <w:t xml:space="preserve"> submitted that the high court erred in finding that the employees were re-employed and not reinstated, and failed to have regard to the fact that</w:t>
      </w:r>
      <w:r w:rsidR="004F4F81" w:rsidRPr="00C56286">
        <w:rPr>
          <w:sz w:val="28"/>
          <w:szCs w:val="28"/>
        </w:rPr>
        <w:t>,</w:t>
      </w:r>
      <w:r w:rsidR="00097747" w:rsidRPr="00C56286">
        <w:rPr>
          <w:sz w:val="28"/>
          <w:szCs w:val="28"/>
        </w:rPr>
        <w:t xml:space="preserve"> by agreement, the employees received final written war</w:t>
      </w:r>
      <w:r w:rsidR="0077461C" w:rsidRPr="00C56286">
        <w:rPr>
          <w:sz w:val="28"/>
          <w:szCs w:val="28"/>
        </w:rPr>
        <w:t>n</w:t>
      </w:r>
      <w:r w:rsidR="00097747" w:rsidRPr="00C56286">
        <w:rPr>
          <w:sz w:val="28"/>
          <w:szCs w:val="28"/>
        </w:rPr>
        <w:t xml:space="preserve">ing and that this is incompatible with re-employment. </w:t>
      </w:r>
    </w:p>
    <w:p w:rsidR="00EC2091" w:rsidRPr="00EC2091" w:rsidRDefault="00EC2091" w:rsidP="00CB26AF">
      <w:pPr>
        <w:pStyle w:val="ListParagraph"/>
        <w:ind w:left="0"/>
        <w:rPr>
          <w:sz w:val="28"/>
          <w:szCs w:val="28"/>
        </w:rPr>
      </w:pPr>
    </w:p>
    <w:p w:rsidR="0023384D" w:rsidRPr="00C56286" w:rsidRDefault="00C56286" w:rsidP="00C56286">
      <w:pPr>
        <w:rPr>
          <w:sz w:val="28"/>
          <w:szCs w:val="28"/>
        </w:rPr>
      </w:pPr>
      <w:r w:rsidRPr="00EC2091">
        <w:rPr>
          <w:sz w:val="28"/>
          <w:szCs w:val="28"/>
        </w:rPr>
        <w:t>[24]</w:t>
      </w:r>
      <w:r w:rsidRPr="00EC2091">
        <w:rPr>
          <w:sz w:val="28"/>
          <w:szCs w:val="28"/>
        </w:rPr>
        <w:tab/>
      </w:r>
      <w:r w:rsidR="00097747" w:rsidRPr="00C56286">
        <w:rPr>
          <w:sz w:val="28"/>
          <w:szCs w:val="28"/>
        </w:rPr>
        <w:t>Th</w:t>
      </w:r>
      <w:r w:rsidR="004532A5" w:rsidRPr="00C56286">
        <w:rPr>
          <w:sz w:val="28"/>
          <w:szCs w:val="28"/>
        </w:rPr>
        <w:t>is C</w:t>
      </w:r>
      <w:r w:rsidR="00097747" w:rsidRPr="00C56286">
        <w:rPr>
          <w:sz w:val="28"/>
          <w:szCs w:val="28"/>
        </w:rPr>
        <w:t xml:space="preserve">ourt </w:t>
      </w:r>
      <w:r w:rsidR="004F4F81" w:rsidRPr="00C56286">
        <w:rPr>
          <w:sz w:val="28"/>
          <w:szCs w:val="28"/>
        </w:rPr>
        <w:t xml:space="preserve">has </w:t>
      </w:r>
      <w:r w:rsidR="00097747" w:rsidRPr="00C56286">
        <w:rPr>
          <w:sz w:val="28"/>
          <w:szCs w:val="28"/>
        </w:rPr>
        <w:t>held that when interpreting a document, the clause</w:t>
      </w:r>
      <w:r w:rsidR="004532A5" w:rsidRPr="00C56286">
        <w:rPr>
          <w:sz w:val="28"/>
          <w:szCs w:val="28"/>
        </w:rPr>
        <w:t>s</w:t>
      </w:r>
      <w:r w:rsidR="00097747" w:rsidRPr="00C56286">
        <w:rPr>
          <w:sz w:val="28"/>
          <w:szCs w:val="28"/>
        </w:rPr>
        <w:t xml:space="preserve"> must be interpreted by having regard to the language used in the light of the ordinary rules of grammar and syntax and </w:t>
      </w:r>
      <w:r w:rsidR="004532A5" w:rsidRPr="00C56286">
        <w:rPr>
          <w:sz w:val="28"/>
          <w:szCs w:val="28"/>
        </w:rPr>
        <w:t xml:space="preserve">in </w:t>
      </w:r>
      <w:r w:rsidR="00097747" w:rsidRPr="00C56286">
        <w:rPr>
          <w:sz w:val="28"/>
          <w:szCs w:val="28"/>
        </w:rPr>
        <w:t>the context of each other and the agreement as a whole and their apparent purposes</w:t>
      </w:r>
      <w:r w:rsidR="004F4F81" w:rsidRPr="00C56286">
        <w:rPr>
          <w:sz w:val="28"/>
          <w:szCs w:val="28"/>
        </w:rPr>
        <w:t>,</w:t>
      </w:r>
      <w:r w:rsidR="00097747" w:rsidRPr="00C56286">
        <w:rPr>
          <w:sz w:val="28"/>
          <w:szCs w:val="28"/>
        </w:rPr>
        <w:t xml:space="preserve"> so as to give them a commercially sensible meaning</w:t>
      </w:r>
      <w:r w:rsidR="005E4A32" w:rsidRPr="00C56286">
        <w:rPr>
          <w:sz w:val="28"/>
          <w:szCs w:val="28"/>
        </w:rPr>
        <w:t>.</w:t>
      </w:r>
      <w:r w:rsidR="005E4A32" w:rsidRPr="00EC2091">
        <w:rPr>
          <w:rStyle w:val="FootnoteReference"/>
          <w:sz w:val="28"/>
          <w:szCs w:val="28"/>
        </w:rPr>
        <w:footnoteReference w:id="8"/>
      </w:r>
      <w:r w:rsidR="00097747" w:rsidRPr="00C56286">
        <w:rPr>
          <w:sz w:val="28"/>
          <w:szCs w:val="28"/>
        </w:rPr>
        <w:t xml:space="preserve"> </w:t>
      </w:r>
      <w:r w:rsidR="005E4A32" w:rsidRPr="00C56286">
        <w:rPr>
          <w:sz w:val="28"/>
          <w:szCs w:val="28"/>
        </w:rPr>
        <w:lastRenderedPageBreak/>
        <w:t>The Constitutional Court has further confirmed that the fact that a court in interpreting a document must have regard</w:t>
      </w:r>
      <w:r w:rsidR="00097747" w:rsidRPr="00C56286">
        <w:rPr>
          <w:sz w:val="28"/>
          <w:szCs w:val="28"/>
        </w:rPr>
        <w:t xml:space="preserve"> </w:t>
      </w:r>
      <w:r w:rsidR="005E4A32" w:rsidRPr="00C56286">
        <w:rPr>
          <w:sz w:val="28"/>
          <w:szCs w:val="28"/>
        </w:rPr>
        <w:t>to the facts giving rise to an agreement or document, and that there is an obligation on court</w:t>
      </w:r>
      <w:r w:rsidR="004532A5" w:rsidRPr="00C56286">
        <w:rPr>
          <w:sz w:val="28"/>
          <w:szCs w:val="28"/>
        </w:rPr>
        <w:t>s</w:t>
      </w:r>
      <w:r w:rsidR="005E4A32" w:rsidRPr="00C56286">
        <w:rPr>
          <w:sz w:val="28"/>
          <w:szCs w:val="28"/>
        </w:rPr>
        <w:t xml:space="preserve"> to take a contextual approach to the interpretation of contracts</w:t>
      </w:r>
      <w:r w:rsidR="00BB4025" w:rsidRPr="00C56286">
        <w:rPr>
          <w:sz w:val="28"/>
          <w:szCs w:val="28"/>
        </w:rPr>
        <w:t>,</w:t>
      </w:r>
      <w:r w:rsidR="005E4A32" w:rsidRPr="00C56286">
        <w:rPr>
          <w:sz w:val="28"/>
          <w:szCs w:val="28"/>
        </w:rPr>
        <w:t xml:space="preserve"> is peremptory.</w:t>
      </w:r>
      <w:r w:rsidR="005E4A32" w:rsidRPr="00EC2091">
        <w:rPr>
          <w:rStyle w:val="FootnoteReference"/>
          <w:sz w:val="28"/>
          <w:szCs w:val="28"/>
        </w:rPr>
        <w:footnoteReference w:id="9"/>
      </w:r>
    </w:p>
    <w:p w:rsidR="00EC2091" w:rsidRPr="00EC2091" w:rsidRDefault="00EC2091" w:rsidP="00CB26AF">
      <w:pPr>
        <w:pStyle w:val="ListParagraph"/>
        <w:ind w:left="0"/>
        <w:rPr>
          <w:sz w:val="28"/>
          <w:szCs w:val="28"/>
        </w:rPr>
      </w:pPr>
    </w:p>
    <w:p w:rsidR="005E4A32" w:rsidRPr="00C56286" w:rsidRDefault="00C56286" w:rsidP="00C56286">
      <w:pPr>
        <w:rPr>
          <w:sz w:val="28"/>
          <w:szCs w:val="28"/>
        </w:rPr>
      </w:pPr>
      <w:r w:rsidRPr="00EC2091">
        <w:rPr>
          <w:sz w:val="28"/>
          <w:szCs w:val="28"/>
        </w:rPr>
        <w:t>[25]</w:t>
      </w:r>
      <w:r w:rsidRPr="00EC2091">
        <w:rPr>
          <w:sz w:val="28"/>
          <w:szCs w:val="28"/>
        </w:rPr>
        <w:tab/>
      </w:r>
      <w:r w:rsidR="005E4A32" w:rsidRPr="00C56286">
        <w:rPr>
          <w:sz w:val="28"/>
          <w:szCs w:val="28"/>
        </w:rPr>
        <w:t xml:space="preserve">This Court further held that when a court is seized with the interpretation of an agreement, </w:t>
      </w:r>
      <w:r w:rsidR="004532A5" w:rsidRPr="00C56286">
        <w:rPr>
          <w:sz w:val="28"/>
          <w:szCs w:val="28"/>
        </w:rPr>
        <w:t xml:space="preserve">a </w:t>
      </w:r>
      <w:r w:rsidR="005E4A32" w:rsidRPr="00C56286">
        <w:rPr>
          <w:sz w:val="28"/>
          <w:szCs w:val="28"/>
        </w:rPr>
        <w:t>sensible meaning is to be preferred to one that leads to insensible or unbu</w:t>
      </w:r>
      <w:r w:rsidR="0077461C" w:rsidRPr="00C56286">
        <w:rPr>
          <w:sz w:val="28"/>
          <w:szCs w:val="28"/>
        </w:rPr>
        <w:t>s</w:t>
      </w:r>
      <w:r w:rsidR="005E4A32" w:rsidRPr="00C56286">
        <w:rPr>
          <w:sz w:val="28"/>
          <w:szCs w:val="28"/>
        </w:rPr>
        <w:t>inesslike results or undermines the apparent purpose of the document, and that the point of departure is the language of the provision itself, read in context and</w:t>
      </w:r>
      <w:r w:rsidR="002F093D" w:rsidRPr="00C56286">
        <w:rPr>
          <w:sz w:val="28"/>
          <w:szCs w:val="28"/>
        </w:rPr>
        <w:t xml:space="preserve"> </w:t>
      </w:r>
      <w:r w:rsidR="005E4A32" w:rsidRPr="00C56286">
        <w:rPr>
          <w:sz w:val="28"/>
          <w:szCs w:val="28"/>
        </w:rPr>
        <w:t>having regard to the</w:t>
      </w:r>
      <w:r w:rsidR="002F093D" w:rsidRPr="00C56286">
        <w:rPr>
          <w:sz w:val="28"/>
          <w:szCs w:val="28"/>
        </w:rPr>
        <w:t xml:space="preserve"> purpose of the provision and the background to the preparation and production of the document.</w:t>
      </w:r>
      <w:r w:rsidR="002F093D" w:rsidRPr="00EC2091">
        <w:rPr>
          <w:rStyle w:val="FootnoteReference"/>
          <w:sz w:val="28"/>
          <w:szCs w:val="28"/>
        </w:rPr>
        <w:footnoteReference w:id="10"/>
      </w:r>
      <w:r w:rsidR="005E4A32" w:rsidRPr="00C56286">
        <w:rPr>
          <w:sz w:val="28"/>
          <w:szCs w:val="28"/>
        </w:rPr>
        <w:t xml:space="preserve"> </w:t>
      </w:r>
    </w:p>
    <w:p w:rsidR="00EC2091" w:rsidRPr="00EC2091" w:rsidRDefault="00EC2091" w:rsidP="00EC2091">
      <w:pPr>
        <w:tabs>
          <w:tab w:val="left" w:pos="426"/>
        </w:tabs>
        <w:rPr>
          <w:b/>
          <w:sz w:val="28"/>
          <w:szCs w:val="28"/>
        </w:rPr>
      </w:pPr>
    </w:p>
    <w:p w:rsidR="00EC2091" w:rsidRPr="00EC2091" w:rsidRDefault="00EC2091" w:rsidP="00EC2091">
      <w:pPr>
        <w:tabs>
          <w:tab w:val="left" w:pos="426"/>
        </w:tabs>
        <w:rPr>
          <w:b/>
          <w:sz w:val="28"/>
          <w:szCs w:val="28"/>
        </w:rPr>
      </w:pPr>
      <w:r w:rsidRPr="00EC2091">
        <w:rPr>
          <w:b/>
          <w:sz w:val="28"/>
          <w:szCs w:val="28"/>
        </w:rPr>
        <w:t>Analysis</w:t>
      </w:r>
    </w:p>
    <w:p w:rsidR="002F093D" w:rsidRPr="00C56286" w:rsidRDefault="00C56286" w:rsidP="00C56286">
      <w:pPr>
        <w:rPr>
          <w:sz w:val="28"/>
          <w:szCs w:val="28"/>
        </w:rPr>
      </w:pPr>
      <w:r w:rsidRPr="00EC2091">
        <w:rPr>
          <w:sz w:val="28"/>
          <w:szCs w:val="28"/>
        </w:rPr>
        <w:t>[26]</w:t>
      </w:r>
      <w:r w:rsidRPr="00EC2091">
        <w:rPr>
          <w:sz w:val="28"/>
          <w:szCs w:val="28"/>
        </w:rPr>
        <w:tab/>
      </w:r>
      <w:r w:rsidR="002F093D" w:rsidRPr="00C56286">
        <w:rPr>
          <w:sz w:val="28"/>
          <w:szCs w:val="28"/>
        </w:rPr>
        <w:t xml:space="preserve">In </w:t>
      </w:r>
      <w:r w:rsidR="00341640" w:rsidRPr="00C56286">
        <w:rPr>
          <w:sz w:val="28"/>
          <w:szCs w:val="28"/>
        </w:rPr>
        <w:t>interpreting</w:t>
      </w:r>
      <w:r w:rsidR="00746BAA" w:rsidRPr="00C56286">
        <w:rPr>
          <w:sz w:val="28"/>
          <w:szCs w:val="28"/>
        </w:rPr>
        <w:t xml:space="preserve"> the meaning of ‘reinstatement’ the Constitutional Court in</w:t>
      </w:r>
      <w:r w:rsidR="001736D2" w:rsidRPr="00C56286">
        <w:rPr>
          <w:sz w:val="28"/>
          <w:szCs w:val="28"/>
        </w:rPr>
        <w:t xml:space="preserve"> </w:t>
      </w:r>
      <w:r w:rsidR="00746BAA" w:rsidRPr="00C56286">
        <w:rPr>
          <w:sz w:val="28"/>
          <w:szCs w:val="28"/>
        </w:rPr>
        <w:t xml:space="preserve">  </w:t>
      </w:r>
      <w:r w:rsidR="002F093D" w:rsidRPr="00C56286">
        <w:rPr>
          <w:i/>
          <w:sz w:val="28"/>
          <w:szCs w:val="28"/>
        </w:rPr>
        <w:t>Equity Aviation Services (Pty) Ltd v Commission for Conciliation, Mediation and Arbitration and Others</w:t>
      </w:r>
      <w:r w:rsidR="00165554" w:rsidRPr="00C56286">
        <w:rPr>
          <w:sz w:val="28"/>
          <w:szCs w:val="28"/>
        </w:rPr>
        <w:t>,</w:t>
      </w:r>
      <w:r w:rsidR="001736D2" w:rsidRPr="00C56286">
        <w:rPr>
          <w:sz w:val="28"/>
          <w:szCs w:val="28"/>
        </w:rPr>
        <w:t xml:space="preserve"> </w:t>
      </w:r>
      <w:r w:rsidR="002F093D" w:rsidRPr="00C56286">
        <w:rPr>
          <w:sz w:val="28"/>
          <w:szCs w:val="28"/>
        </w:rPr>
        <w:t xml:space="preserve">held: </w:t>
      </w:r>
    </w:p>
    <w:p w:rsidR="002F093D" w:rsidRPr="00EC2091" w:rsidRDefault="002F093D" w:rsidP="00EC2091">
      <w:pPr>
        <w:tabs>
          <w:tab w:val="left" w:pos="426"/>
        </w:tabs>
        <w:rPr>
          <w:sz w:val="28"/>
          <w:szCs w:val="28"/>
        </w:rPr>
      </w:pPr>
      <w:r w:rsidRPr="00EC2091">
        <w:t xml:space="preserve">‘The ordinary meaning of the word </w:t>
      </w:r>
      <w:r w:rsidR="00165554" w:rsidRPr="00EC2091">
        <w:t>“</w:t>
      </w:r>
      <w:r w:rsidRPr="00EC2091">
        <w:t>reinstate</w:t>
      </w:r>
      <w:r w:rsidR="00165554" w:rsidRPr="00EC2091">
        <w:t>”</w:t>
      </w:r>
      <w:r w:rsidRPr="00EC2091">
        <w:t xml:space="preserve"> is to put the employee bac</w:t>
      </w:r>
      <w:r w:rsidR="00992A03" w:rsidRPr="00EC2091">
        <w:t>k</w:t>
      </w:r>
      <w:r w:rsidRPr="00EC2091">
        <w:t xml:space="preserve"> in</w:t>
      </w:r>
      <w:r w:rsidR="00165554" w:rsidRPr="00EC2091">
        <w:t>to</w:t>
      </w:r>
      <w:r w:rsidRPr="00EC2091">
        <w:t xml:space="preserve"> the same job or position he or </w:t>
      </w:r>
      <w:r w:rsidR="004532A5" w:rsidRPr="00EC2091">
        <w:t>s</w:t>
      </w:r>
      <w:r w:rsidRPr="00EC2091">
        <w:t>he occupied before the dismissal, on the same terms and conditions</w:t>
      </w:r>
      <w:r w:rsidR="00992A03" w:rsidRPr="00EC2091">
        <w:t xml:space="preserve">. . . It is aimed at placing an employee in the position he or she would have been </w:t>
      </w:r>
      <w:r w:rsidR="00992A03" w:rsidRPr="00EC2091">
        <w:rPr>
          <w:i/>
        </w:rPr>
        <w:t>but for the unfair dismissal</w:t>
      </w:r>
      <w:r w:rsidR="00992A03" w:rsidRPr="00EC2091">
        <w:t>. It safeguards workers</w:t>
      </w:r>
      <w:r w:rsidR="00AD31C7" w:rsidRPr="00EC2091">
        <w:t>’</w:t>
      </w:r>
      <w:r w:rsidR="00992A03" w:rsidRPr="00EC2091">
        <w:t xml:space="preserve"> employment by restoring the employment contract</w:t>
      </w:r>
      <w:r w:rsidR="004532A5" w:rsidRPr="00EC2091">
        <w:t>.</w:t>
      </w:r>
      <w:r w:rsidR="00992A03" w:rsidRPr="00EC2091">
        <w:t xml:space="preserve"> </w:t>
      </w:r>
      <w:r w:rsidR="004532A5" w:rsidRPr="00EC2091">
        <w:t>Differently</w:t>
      </w:r>
      <w:r w:rsidR="00992A03" w:rsidRPr="00EC2091">
        <w:t xml:space="preserve"> put, if </w:t>
      </w:r>
      <w:r w:rsidR="004532A5" w:rsidRPr="00EC2091">
        <w:t>employees are re</w:t>
      </w:r>
      <w:r w:rsidR="00992A03" w:rsidRPr="00EC2091">
        <w:t>instated they resume employment on the same terms and conditions that prevailed at the time of their dismissal.</w:t>
      </w:r>
      <w:r w:rsidR="00165554" w:rsidRPr="00EC2091">
        <w:t>’</w:t>
      </w:r>
      <w:r w:rsidR="00992A03" w:rsidRPr="00EC2091">
        <w:rPr>
          <w:rStyle w:val="FootnoteReference"/>
        </w:rPr>
        <w:footnoteReference w:id="11"/>
      </w:r>
      <w:r w:rsidR="00992A03" w:rsidRPr="00EC2091">
        <w:t xml:space="preserve"> (Own emphasis</w:t>
      </w:r>
      <w:r w:rsidR="00165554" w:rsidRPr="00EC2091">
        <w:t>.</w:t>
      </w:r>
      <w:r w:rsidR="00992A03" w:rsidRPr="00EC2091">
        <w:t>)</w:t>
      </w:r>
      <w:r w:rsidRPr="00EC2091">
        <w:rPr>
          <w:sz w:val="28"/>
          <w:szCs w:val="28"/>
        </w:rPr>
        <w:tab/>
      </w:r>
    </w:p>
    <w:p w:rsidR="00992A03" w:rsidRPr="00EC2091" w:rsidRDefault="00992A03" w:rsidP="00EC2091">
      <w:pPr>
        <w:tabs>
          <w:tab w:val="left" w:pos="426"/>
        </w:tabs>
        <w:rPr>
          <w:sz w:val="28"/>
          <w:szCs w:val="28"/>
        </w:rPr>
      </w:pPr>
    </w:p>
    <w:p w:rsidR="003833C9" w:rsidRPr="00C56286" w:rsidRDefault="00C56286" w:rsidP="00C56286">
      <w:pPr>
        <w:rPr>
          <w:i/>
          <w:sz w:val="28"/>
          <w:szCs w:val="28"/>
        </w:rPr>
      </w:pPr>
      <w:r w:rsidRPr="00EC2091">
        <w:rPr>
          <w:sz w:val="28"/>
          <w:szCs w:val="28"/>
        </w:rPr>
        <w:lastRenderedPageBreak/>
        <w:t>[27]</w:t>
      </w:r>
      <w:r w:rsidRPr="00EC2091">
        <w:rPr>
          <w:sz w:val="28"/>
          <w:szCs w:val="28"/>
        </w:rPr>
        <w:tab/>
      </w:r>
      <w:r w:rsidR="00992A03" w:rsidRPr="00C56286">
        <w:rPr>
          <w:sz w:val="28"/>
          <w:szCs w:val="28"/>
        </w:rPr>
        <w:t>I</w:t>
      </w:r>
      <w:r w:rsidR="0077461C" w:rsidRPr="00C56286">
        <w:rPr>
          <w:sz w:val="28"/>
          <w:szCs w:val="28"/>
        </w:rPr>
        <w:t>f</w:t>
      </w:r>
      <w:r w:rsidR="00992A03" w:rsidRPr="00C56286">
        <w:rPr>
          <w:sz w:val="28"/>
          <w:szCs w:val="28"/>
        </w:rPr>
        <w:t xml:space="preserve"> an employee is reinstated, he or she resumes employment on the same terms and conditions that prevailed at the time of dismissal. The period during which the employee was out of work is regarded as</w:t>
      </w:r>
      <w:r w:rsidR="000123F7" w:rsidRPr="00C56286">
        <w:rPr>
          <w:sz w:val="28"/>
          <w:szCs w:val="28"/>
        </w:rPr>
        <w:t xml:space="preserve"> a</w:t>
      </w:r>
      <w:r w:rsidR="00992A03" w:rsidRPr="00C56286">
        <w:rPr>
          <w:sz w:val="28"/>
          <w:szCs w:val="28"/>
        </w:rPr>
        <w:t xml:space="preserve"> suspension of the employment contract</w:t>
      </w:r>
      <w:r w:rsidR="002C7919" w:rsidRPr="00C56286">
        <w:rPr>
          <w:sz w:val="28"/>
          <w:szCs w:val="28"/>
        </w:rPr>
        <w:t>.</w:t>
      </w:r>
      <w:r w:rsidR="00992A03" w:rsidRPr="00C56286">
        <w:rPr>
          <w:sz w:val="28"/>
          <w:szCs w:val="28"/>
        </w:rPr>
        <w:t xml:space="preserve"> </w:t>
      </w:r>
      <w:r w:rsidR="002C7919" w:rsidRPr="00C56286">
        <w:rPr>
          <w:sz w:val="28"/>
          <w:szCs w:val="28"/>
        </w:rPr>
        <w:t>T</w:t>
      </w:r>
      <w:r w:rsidR="00992A03" w:rsidRPr="00C56286">
        <w:rPr>
          <w:sz w:val="28"/>
          <w:szCs w:val="28"/>
        </w:rPr>
        <w:t xml:space="preserve">he original contract simply revives. This much was said in </w:t>
      </w:r>
      <w:r w:rsidR="00992A03" w:rsidRPr="00C56286">
        <w:rPr>
          <w:i/>
          <w:sz w:val="28"/>
          <w:szCs w:val="28"/>
        </w:rPr>
        <w:t>Nel v Oud</w:t>
      </w:r>
      <w:r w:rsidR="003833C9" w:rsidRPr="00C56286">
        <w:rPr>
          <w:i/>
          <w:sz w:val="28"/>
          <w:szCs w:val="28"/>
        </w:rPr>
        <w:t>tshoorn Municipality</w:t>
      </w:r>
      <w:r w:rsidR="003833C9" w:rsidRPr="00C56286">
        <w:rPr>
          <w:sz w:val="28"/>
          <w:szCs w:val="28"/>
        </w:rPr>
        <w:t>:</w:t>
      </w:r>
    </w:p>
    <w:p w:rsidR="003833C9" w:rsidRPr="00EC2091" w:rsidRDefault="003833C9" w:rsidP="00EC2091">
      <w:pPr>
        <w:tabs>
          <w:tab w:val="left" w:pos="426"/>
        </w:tabs>
        <w:rPr>
          <w:sz w:val="28"/>
          <w:szCs w:val="28"/>
        </w:rPr>
      </w:pPr>
      <w:r w:rsidRPr="00EC2091">
        <w:t xml:space="preserve">‘From the provisions of the </w:t>
      </w:r>
      <w:r w:rsidR="00CC6E05" w:rsidRPr="00EC2091">
        <w:t>[</w:t>
      </w:r>
      <w:r w:rsidRPr="00EC2091">
        <w:t>Labour Relation Act</w:t>
      </w:r>
      <w:r w:rsidR="00CC6E05" w:rsidRPr="00EC2091">
        <w:t>]</w:t>
      </w:r>
      <w:r w:rsidRPr="00EC2091">
        <w:t xml:space="preserve"> and the cases</w:t>
      </w:r>
      <w:r w:rsidR="00CC6E05" w:rsidRPr="00EC2091">
        <w:t xml:space="preserve"> I have cited</w:t>
      </w:r>
      <w:r w:rsidRPr="00EC2091">
        <w:t xml:space="preserve">, it is clear that </w:t>
      </w:r>
      <w:r w:rsidR="00CC6E05" w:rsidRPr="00EC2091">
        <w:t xml:space="preserve">by </w:t>
      </w:r>
      <w:r w:rsidRPr="00EC2091">
        <w:t>reinstating a dismissed employee, the employer does not purport to conclude a fresh contract of employment. The employer merely restores the position to what it was before the dismissal.</w:t>
      </w:r>
      <w:r w:rsidR="008126F4" w:rsidRPr="00EC2091">
        <w:t>’</w:t>
      </w:r>
      <w:r w:rsidRPr="00EC2091">
        <w:rPr>
          <w:rStyle w:val="FootnoteReference"/>
        </w:rPr>
        <w:footnoteReference w:id="12"/>
      </w:r>
      <w:r w:rsidRPr="00EC2091">
        <w:rPr>
          <w:sz w:val="28"/>
          <w:szCs w:val="28"/>
        </w:rPr>
        <w:t xml:space="preserve"> </w:t>
      </w:r>
    </w:p>
    <w:p w:rsidR="003833C9" w:rsidRPr="00EC2091" w:rsidRDefault="003833C9" w:rsidP="00EC2091">
      <w:pPr>
        <w:tabs>
          <w:tab w:val="left" w:pos="426"/>
        </w:tabs>
        <w:rPr>
          <w:sz w:val="28"/>
          <w:szCs w:val="28"/>
        </w:rPr>
      </w:pPr>
    </w:p>
    <w:p w:rsidR="008B5944" w:rsidRPr="00C56286" w:rsidRDefault="00C56286" w:rsidP="00C56286">
      <w:pPr>
        <w:rPr>
          <w:sz w:val="28"/>
          <w:szCs w:val="28"/>
        </w:rPr>
      </w:pPr>
      <w:r w:rsidRPr="00EC2091">
        <w:rPr>
          <w:sz w:val="28"/>
          <w:szCs w:val="28"/>
        </w:rPr>
        <w:t>[28]</w:t>
      </w:r>
      <w:r w:rsidRPr="00EC2091">
        <w:rPr>
          <w:sz w:val="28"/>
          <w:szCs w:val="28"/>
        </w:rPr>
        <w:tab/>
      </w:r>
      <w:r w:rsidR="003833C9" w:rsidRPr="00C56286">
        <w:rPr>
          <w:sz w:val="28"/>
          <w:szCs w:val="28"/>
        </w:rPr>
        <w:t>Re-employment</w:t>
      </w:r>
      <w:r w:rsidR="00A9481A" w:rsidRPr="00C56286">
        <w:rPr>
          <w:sz w:val="28"/>
          <w:szCs w:val="28"/>
        </w:rPr>
        <w:t>,</w:t>
      </w:r>
      <w:r w:rsidR="003833C9" w:rsidRPr="00C56286">
        <w:rPr>
          <w:sz w:val="28"/>
          <w:szCs w:val="28"/>
        </w:rPr>
        <w:t xml:space="preserve"> on the other hand, entails </w:t>
      </w:r>
      <w:r w:rsidR="002C7919" w:rsidRPr="00C56286">
        <w:rPr>
          <w:sz w:val="28"/>
          <w:szCs w:val="28"/>
        </w:rPr>
        <w:t>new terms and conditions of employment contracts</w:t>
      </w:r>
      <w:r w:rsidR="003833C9" w:rsidRPr="00C56286">
        <w:rPr>
          <w:sz w:val="28"/>
          <w:szCs w:val="28"/>
        </w:rPr>
        <w:t>. Benefits arising from the past employment relationship are not extended to the new employment relationship. Re-employment is not a defined term</w:t>
      </w:r>
      <w:r w:rsidR="007503D5" w:rsidRPr="00C56286">
        <w:rPr>
          <w:sz w:val="28"/>
          <w:szCs w:val="28"/>
        </w:rPr>
        <w:t>.</w:t>
      </w:r>
      <w:r w:rsidR="005A0553" w:rsidRPr="00C56286">
        <w:rPr>
          <w:sz w:val="28"/>
          <w:szCs w:val="28"/>
        </w:rPr>
        <w:t xml:space="preserve"> </w:t>
      </w:r>
      <w:r w:rsidR="008B5944" w:rsidRPr="00C56286">
        <w:rPr>
          <w:sz w:val="28"/>
          <w:szCs w:val="28"/>
        </w:rPr>
        <w:t xml:space="preserve">Re-employment would also occur where it is decided to regard the previous employment relationship as terminated and the replacement thereof with new </w:t>
      </w:r>
      <w:r w:rsidR="007503D5" w:rsidRPr="00C56286">
        <w:rPr>
          <w:sz w:val="28"/>
          <w:szCs w:val="28"/>
        </w:rPr>
        <w:t>employment, which</w:t>
      </w:r>
      <w:r w:rsidR="008B5944" w:rsidRPr="00C56286">
        <w:rPr>
          <w:sz w:val="28"/>
          <w:szCs w:val="28"/>
        </w:rPr>
        <w:t xml:space="preserve"> may or may not be on different terms.</w:t>
      </w:r>
      <w:r w:rsidR="008B5944" w:rsidRPr="00EC2091">
        <w:rPr>
          <w:rStyle w:val="FootnoteReference"/>
          <w:sz w:val="28"/>
          <w:szCs w:val="28"/>
        </w:rPr>
        <w:footnoteReference w:id="13"/>
      </w:r>
    </w:p>
    <w:p w:rsidR="00EC2091" w:rsidRPr="00EC2091" w:rsidRDefault="00EC2091" w:rsidP="00EC2091">
      <w:pPr>
        <w:pStyle w:val="ListParagraph"/>
        <w:ind w:left="0"/>
        <w:rPr>
          <w:sz w:val="28"/>
          <w:szCs w:val="28"/>
        </w:rPr>
      </w:pPr>
    </w:p>
    <w:p w:rsidR="0030261A" w:rsidRPr="00C56286" w:rsidRDefault="00C56286" w:rsidP="00C56286">
      <w:pPr>
        <w:rPr>
          <w:sz w:val="28"/>
          <w:szCs w:val="28"/>
        </w:rPr>
      </w:pPr>
      <w:r w:rsidRPr="00EC2091">
        <w:rPr>
          <w:sz w:val="28"/>
          <w:szCs w:val="28"/>
        </w:rPr>
        <w:t>[29]</w:t>
      </w:r>
      <w:r w:rsidRPr="00EC2091">
        <w:rPr>
          <w:sz w:val="28"/>
          <w:szCs w:val="28"/>
        </w:rPr>
        <w:tab/>
      </w:r>
      <w:r w:rsidR="00004E24" w:rsidRPr="00C56286">
        <w:rPr>
          <w:sz w:val="28"/>
          <w:szCs w:val="28"/>
        </w:rPr>
        <w:t>It is trite that when interpreting a statue, the language in the legislation should still be read in the ordinary sense and that the words in a statue must be given their ordinary meaning in accordance with the context in which they are found</w:t>
      </w:r>
      <w:r w:rsidR="00A874D1" w:rsidRPr="00C56286">
        <w:rPr>
          <w:sz w:val="28"/>
          <w:szCs w:val="28"/>
        </w:rPr>
        <w:t>.</w:t>
      </w:r>
      <w:r w:rsidR="00004E24" w:rsidRPr="00EC2091">
        <w:rPr>
          <w:rStyle w:val="FootnoteReference"/>
          <w:sz w:val="28"/>
          <w:szCs w:val="28"/>
        </w:rPr>
        <w:footnoteReference w:id="14"/>
      </w:r>
      <w:r w:rsidR="0030261A" w:rsidRPr="00C56286">
        <w:rPr>
          <w:i/>
          <w:sz w:val="28"/>
          <w:szCs w:val="28"/>
        </w:rPr>
        <w:t xml:space="preserve"> </w:t>
      </w:r>
      <w:r w:rsidR="0030261A" w:rsidRPr="00C56286">
        <w:rPr>
          <w:sz w:val="28"/>
          <w:szCs w:val="28"/>
        </w:rPr>
        <w:t>Consideration must be given to the context in which the provisions appear, the apparent purpose to which it is directed, and the material known to those responsible for its production</w:t>
      </w:r>
      <w:r w:rsidR="00A874D1" w:rsidRPr="00C56286">
        <w:rPr>
          <w:sz w:val="28"/>
          <w:szCs w:val="28"/>
        </w:rPr>
        <w:t>.</w:t>
      </w:r>
      <w:r w:rsidR="0030261A" w:rsidRPr="00EC2091">
        <w:rPr>
          <w:rStyle w:val="FootnoteReference"/>
          <w:sz w:val="28"/>
          <w:szCs w:val="28"/>
        </w:rPr>
        <w:footnoteReference w:id="15"/>
      </w:r>
      <w:r w:rsidR="00E31F4B" w:rsidRPr="00C56286">
        <w:rPr>
          <w:i/>
        </w:rPr>
        <w:t xml:space="preserve"> </w:t>
      </w:r>
      <w:r w:rsidR="0030261A" w:rsidRPr="00C56286">
        <w:rPr>
          <w:sz w:val="28"/>
          <w:szCs w:val="28"/>
        </w:rPr>
        <w:t>The inevitable point of departure is the language used in the provision under consideration</w:t>
      </w:r>
      <w:r w:rsidR="00BF5B2D" w:rsidRPr="00C56286">
        <w:rPr>
          <w:sz w:val="28"/>
          <w:szCs w:val="28"/>
        </w:rPr>
        <w:t>.</w:t>
      </w:r>
      <w:r w:rsidR="0030261A" w:rsidRPr="00EC2091">
        <w:rPr>
          <w:rStyle w:val="FootnoteReference"/>
          <w:sz w:val="28"/>
          <w:szCs w:val="28"/>
        </w:rPr>
        <w:footnoteReference w:id="16"/>
      </w:r>
      <w:r w:rsidR="00E31F4B" w:rsidRPr="00C56286">
        <w:rPr>
          <w:i/>
        </w:rPr>
        <w:t xml:space="preserve"> </w:t>
      </w:r>
    </w:p>
    <w:p w:rsidR="00EC2091" w:rsidRPr="00EC2091" w:rsidRDefault="00EC2091" w:rsidP="00EC2091">
      <w:pPr>
        <w:pStyle w:val="ListParagraph"/>
        <w:rPr>
          <w:sz w:val="28"/>
          <w:szCs w:val="28"/>
        </w:rPr>
      </w:pPr>
    </w:p>
    <w:p w:rsidR="0030261A" w:rsidRPr="00C56286" w:rsidRDefault="00C56286" w:rsidP="00C56286">
      <w:pPr>
        <w:rPr>
          <w:sz w:val="28"/>
          <w:szCs w:val="28"/>
        </w:rPr>
      </w:pPr>
      <w:r w:rsidRPr="00EC2091">
        <w:rPr>
          <w:sz w:val="28"/>
          <w:szCs w:val="28"/>
        </w:rPr>
        <w:t>[30]</w:t>
      </w:r>
      <w:r w:rsidRPr="00EC2091">
        <w:rPr>
          <w:sz w:val="28"/>
          <w:szCs w:val="28"/>
        </w:rPr>
        <w:tab/>
      </w:r>
      <w:r w:rsidR="0030261A" w:rsidRPr="00C56286">
        <w:rPr>
          <w:sz w:val="28"/>
          <w:szCs w:val="28"/>
        </w:rPr>
        <w:t xml:space="preserve">Rule 3.2 of the Fund is clear. A member may not withdraw from the </w:t>
      </w:r>
      <w:r w:rsidR="008D61EA" w:rsidRPr="00C56286">
        <w:rPr>
          <w:sz w:val="28"/>
          <w:szCs w:val="28"/>
        </w:rPr>
        <w:t>F</w:t>
      </w:r>
      <w:r w:rsidR="0030261A" w:rsidRPr="00C56286">
        <w:rPr>
          <w:sz w:val="28"/>
          <w:szCs w:val="28"/>
        </w:rPr>
        <w:t>und while he remains in service. In terms of the rules of the Fund, when an employee is dismissed</w:t>
      </w:r>
      <w:r w:rsidR="00A874D1" w:rsidRPr="00C56286">
        <w:rPr>
          <w:sz w:val="28"/>
          <w:szCs w:val="28"/>
        </w:rPr>
        <w:t>,</w:t>
      </w:r>
      <w:r w:rsidR="0030261A" w:rsidRPr="00C56286">
        <w:rPr>
          <w:sz w:val="28"/>
          <w:szCs w:val="28"/>
        </w:rPr>
        <w:t xml:space="preserve"> then his membership </w:t>
      </w:r>
      <w:r w:rsidR="008D61EA" w:rsidRPr="00C56286">
        <w:rPr>
          <w:sz w:val="28"/>
          <w:szCs w:val="28"/>
        </w:rPr>
        <w:t xml:space="preserve">in the Fund </w:t>
      </w:r>
      <w:r w:rsidR="0030261A" w:rsidRPr="00C56286">
        <w:rPr>
          <w:sz w:val="28"/>
          <w:szCs w:val="28"/>
        </w:rPr>
        <w:t xml:space="preserve">terminates. On 31 July 2009, the various employees of the municipality were dismissed after engaging in </w:t>
      </w:r>
      <w:r w:rsidR="008D61EA" w:rsidRPr="00C56286">
        <w:rPr>
          <w:sz w:val="28"/>
          <w:szCs w:val="28"/>
        </w:rPr>
        <w:t xml:space="preserve">an </w:t>
      </w:r>
      <w:r w:rsidR="0030261A" w:rsidRPr="00C56286">
        <w:rPr>
          <w:sz w:val="28"/>
          <w:szCs w:val="28"/>
        </w:rPr>
        <w:t>unprotected strike.</w:t>
      </w:r>
    </w:p>
    <w:p w:rsidR="00EC2091" w:rsidRPr="00EC2091" w:rsidRDefault="00EC2091" w:rsidP="00CB26AF">
      <w:pPr>
        <w:pStyle w:val="ListParagraph"/>
        <w:ind w:left="0"/>
        <w:rPr>
          <w:sz w:val="28"/>
          <w:szCs w:val="28"/>
        </w:rPr>
      </w:pPr>
    </w:p>
    <w:p w:rsidR="00522518" w:rsidRPr="00C56286" w:rsidRDefault="00C56286" w:rsidP="00C56286">
      <w:pPr>
        <w:rPr>
          <w:sz w:val="28"/>
          <w:szCs w:val="28"/>
        </w:rPr>
      </w:pPr>
      <w:r w:rsidRPr="00EC2091">
        <w:rPr>
          <w:sz w:val="28"/>
          <w:szCs w:val="28"/>
        </w:rPr>
        <w:t>[31]</w:t>
      </w:r>
      <w:r w:rsidRPr="00EC2091">
        <w:rPr>
          <w:sz w:val="28"/>
          <w:szCs w:val="28"/>
        </w:rPr>
        <w:tab/>
      </w:r>
      <w:r w:rsidR="0030261A" w:rsidRPr="00C56286">
        <w:rPr>
          <w:sz w:val="28"/>
          <w:szCs w:val="28"/>
        </w:rPr>
        <w:t>The Fund relied on paragraph</w:t>
      </w:r>
      <w:r w:rsidR="00600AA3" w:rsidRPr="00C56286">
        <w:rPr>
          <w:sz w:val="28"/>
          <w:szCs w:val="28"/>
        </w:rPr>
        <w:t>s</w:t>
      </w:r>
      <w:r w:rsidR="0030261A" w:rsidRPr="00C56286">
        <w:rPr>
          <w:sz w:val="28"/>
          <w:szCs w:val="28"/>
        </w:rPr>
        <w:t xml:space="preserve"> 1 and 3 of the settlement agreement to argue that the employees’ membership</w:t>
      </w:r>
      <w:r w:rsidR="00B95FB0" w:rsidRPr="00C56286">
        <w:rPr>
          <w:sz w:val="28"/>
          <w:szCs w:val="28"/>
        </w:rPr>
        <w:t>s</w:t>
      </w:r>
      <w:r w:rsidR="0030261A" w:rsidRPr="00C56286">
        <w:rPr>
          <w:sz w:val="28"/>
          <w:szCs w:val="28"/>
        </w:rPr>
        <w:t xml:space="preserve"> with the Fund</w:t>
      </w:r>
      <w:r w:rsidR="00522518" w:rsidRPr="00C56286">
        <w:rPr>
          <w:sz w:val="28"/>
          <w:szCs w:val="28"/>
        </w:rPr>
        <w:t xml:space="preserve"> was revived on 8 October 2009. The relevant terms of the settlement agreement are the following. First, the employees who were dismissed were employed by the Municipality from 8 October 2009, in their previous positions subject to certain conditions. Second, no salary, benefits or compensation </w:t>
      </w:r>
      <w:r w:rsidR="00B95FB0" w:rsidRPr="00C56286">
        <w:rPr>
          <w:sz w:val="28"/>
          <w:szCs w:val="28"/>
        </w:rPr>
        <w:t>would</w:t>
      </w:r>
      <w:r w:rsidR="00522518" w:rsidRPr="00C56286">
        <w:rPr>
          <w:sz w:val="28"/>
          <w:szCs w:val="28"/>
        </w:rPr>
        <w:t xml:space="preserve"> be paid for the period from 30 July 2009 until 7 October 2009 when they were unemployed</w:t>
      </w:r>
      <w:r w:rsidR="00A874D1" w:rsidRPr="00C56286">
        <w:rPr>
          <w:sz w:val="28"/>
          <w:szCs w:val="28"/>
        </w:rPr>
        <w:t>;</w:t>
      </w:r>
      <w:r w:rsidR="00522518" w:rsidRPr="00C56286">
        <w:rPr>
          <w:sz w:val="28"/>
          <w:szCs w:val="28"/>
        </w:rPr>
        <w:t xml:space="preserve"> and no retrospective salaries/benefits </w:t>
      </w:r>
      <w:r w:rsidR="00B95FB0" w:rsidRPr="00C56286">
        <w:rPr>
          <w:sz w:val="28"/>
          <w:szCs w:val="28"/>
        </w:rPr>
        <w:t>would</w:t>
      </w:r>
      <w:r w:rsidR="00522518" w:rsidRPr="00C56286">
        <w:rPr>
          <w:sz w:val="28"/>
          <w:szCs w:val="28"/>
        </w:rPr>
        <w:t xml:space="preserve"> be paid by the Municipality.</w:t>
      </w:r>
    </w:p>
    <w:p w:rsidR="00EC2091" w:rsidRPr="00EC2091" w:rsidRDefault="00EC2091" w:rsidP="00CB26AF">
      <w:pPr>
        <w:pStyle w:val="ListParagraph"/>
        <w:ind w:left="0"/>
        <w:rPr>
          <w:sz w:val="28"/>
          <w:szCs w:val="28"/>
        </w:rPr>
      </w:pPr>
    </w:p>
    <w:p w:rsidR="00522518" w:rsidRPr="00C56286" w:rsidRDefault="00C56286" w:rsidP="00C56286">
      <w:pPr>
        <w:rPr>
          <w:sz w:val="28"/>
          <w:szCs w:val="28"/>
        </w:rPr>
      </w:pPr>
      <w:r w:rsidRPr="00EC2091">
        <w:rPr>
          <w:sz w:val="28"/>
          <w:szCs w:val="28"/>
        </w:rPr>
        <w:t>[32]</w:t>
      </w:r>
      <w:r w:rsidRPr="00EC2091">
        <w:rPr>
          <w:sz w:val="28"/>
          <w:szCs w:val="28"/>
        </w:rPr>
        <w:tab/>
      </w:r>
      <w:r w:rsidR="00522518" w:rsidRPr="00C56286">
        <w:rPr>
          <w:sz w:val="28"/>
          <w:szCs w:val="28"/>
        </w:rPr>
        <w:t>The tria</w:t>
      </w:r>
      <w:r w:rsidR="00A874D1" w:rsidRPr="00C56286">
        <w:rPr>
          <w:sz w:val="28"/>
          <w:szCs w:val="28"/>
        </w:rPr>
        <w:t xml:space="preserve">d </w:t>
      </w:r>
      <w:r w:rsidR="00522518" w:rsidRPr="00C56286">
        <w:rPr>
          <w:sz w:val="28"/>
          <w:szCs w:val="28"/>
        </w:rPr>
        <w:t xml:space="preserve">of text, context and purpose canonized in </w:t>
      </w:r>
      <w:r w:rsidR="00522518" w:rsidRPr="00C56286">
        <w:rPr>
          <w:i/>
          <w:sz w:val="28"/>
          <w:szCs w:val="28"/>
        </w:rPr>
        <w:t>Endumeni</w:t>
      </w:r>
      <w:r w:rsidR="00522518" w:rsidRPr="00C56286">
        <w:rPr>
          <w:sz w:val="28"/>
          <w:szCs w:val="28"/>
        </w:rPr>
        <w:t xml:space="preserve"> is trite. The text of the settlement agreement in para 2 that </w:t>
      </w:r>
      <w:r w:rsidR="00B95FB0" w:rsidRPr="00C56286">
        <w:rPr>
          <w:sz w:val="28"/>
          <w:szCs w:val="28"/>
        </w:rPr>
        <w:t>reads</w:t>
      </w:r>
      <w:r w:rsidR="00423AA8" w:rsidRPr="00C56286">
        <w:rPr>
          <w:sz w:val="28"/>
          <w:szCs w:val="28"/>
        </w:rPr>
        <w:t>,</w:t>
      </w:r>
      <w:r w:rsidR="00B95FB0" w:rsidRPr="00C56286">
        <w:rPr>
          <w:sz w:val="28"/>
          <w:szCs w:val="28"/>
        </w:rPr>
        <w:t xml:space="preserve"> </w:t>
      </w:r>
      <w:r w:rsidR="00522518" w:rsidRPr="00C56286">
        <w:rPr>
          <w:sz w:val="28"/>
          <w:szCs w:val="28"/>
        </w:rPr>
        <w:t>‘. . . no salary benefits or compensation . . . and no retrospective salaries/benefits . . .’</w:t>
      </w:r>
      <w:r w:rsidR="00423AA8" w:rsidRPr="00C56286">
        <w:rPr>
          <w:sz w:val="28"/>
          <w:szCs w:val="28"/>
        </w:rPr>
        <w:t>,</w:t>
      </w:r>
      <w:r w:rsidR="00522518" w:rsidRPr="00C56286">
        <w:rPr>
          <w:sz w:val="28"/>
          <w:szCs w:val="28"/>
        </w:rPr>
        <w:t xml:space="preserve"> when sensibly interpreted, is clear</w:t>
      </w:r>
      <w:r w:rsidR="00423AA8" w:rsidRPr="00C56286">
        <w:rPr>
          <w:sz w:val="28"/>
          <w:szCs w:val="28"/>
        </w:rPr>
        <w:t>ly understood to mean</w:t>
      </w:r>
      <w:r w:rsidR="00522518" w:rsidRPr="00C56286">
        <w:rPr>
          <w:sz w:val="28"/>
          <w:szCs w:val="28"/>
        </w:rPr>
        <w:t xml:space="preserve"> that the parties (</w:t>
      </w:r>
      <w:r w:rsidR="00423AA8" w:rsidRPr="00C56286">
        <w:rPr>
          <w:sz w:val="28"/>
          <w:szCs w:val="28"/>
        </w:rPr>
        <w:t xml:space="preserve">the </w:t>
      </w:r>
      <w:r w:rsidR="00522518" w:rsidRPr="00C56286">
        <w:rPr>
          <w:sz w:val="28"/>
          <w:szCs w:val="28"/>
        </w:rPr>
        <w:t>Municipality and the employees) intended re-employment instead of reinstatement. Para</w:t>
      </w:r>
      <w:r w:rsidR="00423AA8" w:rsidRPr="00C56286">
        <w:rPr>
          <w:sz w:val="28"/>
          <w:szCs w:val="28"/>
        </w:rPr>
        <w:t>graph</w:t>
      </w:r>
      <w:r w:rsidR="00522518" w:rsidRPr="00C56286">
        <w:rPr>
          <w:sz w:val="28"/>
          <w:szCs w:val="28"/>
        </w:rPr>
        <w:t xml:space="preserve"> 3 of the settlement agreement that</w:t>
      </w:r>
      <w:r w:rsidR="00423AA8" w:rsidRPr="00C56286">
        <w:rPr>
          <w:sz w:val="28"/>
          <w:szCs w:val="28"/>
        </w:rPr>
        <w:t xml:space="preserve"> reads,</w:t>
      </w:r>
      <w:r w:rsidR="00522518" w:rsidRPr="00C56286">
        <w:rPr>
          <w:sz w:val="28"/>
          <w:szCs w:val="28"/>
        </w:rPr>
        <w:t xml:space="preserve"> </w:t>
      </w:r>
      <w:r w:rsidR="00A874D1" w:rsidRPr="00C56286">
        <w:rPr>
          <w:sz w:val="28"/>
          <w:szCs w:val="28"/>
        </w:rPr>
        <w:t>‘</w:t>
      </w:r>
      <w:r w:rsidR="00522518" w:rsidRPr="00C56286">
        <w:rPr>
          <w:sz w:val="28"/>
          <w:szCs w:val="28"/>
        </w:rPr>
        <w:t>the employees’ previous years of service will be recognised as if they were employed continuously</w:t>
      </w:r>
      <w:r w:rsidR="00A874D1" w:rsidRPr="00C56286">
        <w:rPr>
          <w:sz w:val="28"/>
          <w:szCs w:val="28"/>
        </w:rPr>
        <w:t>’</w:t>
      </w:r>
      <w:r w:rsidR="00522518" w:rsidRPr="00C56286">
        <w:rPr>
          <w:sz w:val="28"/>
          <w:szCs w:val="28"/>
        </w:rPr>
        <w:t xml:space="preserve"> must be read in its context. </w:t>
      </w:r>
      <w:r w:rsidR="00A874D1" w:rsidRPr="00C56286">
        <w:rPr>
          <w:sz w:val="28"/>
          <w:szCs w:val="28"/>
        </w:rPr>
        <w:t>Para</w:t>
      </w:r>
      <w:r w:rsidR="00423AA8" w:rsidRPr="00C56286">
        <w:rPr>
          <w:sz w:val="28"/>
          <w:szCs w:val="28"/>
        </w:rPr>
        <w:t>graph</w:t>
      </w:r>
      <w:r w:rsidR="00A874D1" w:rsidRPr="00C56286">
        <w:rPr>
          <w:sz w:val="28"/>
          <w:szCs w:val="28"/>
        </w:rPr>
        <w:t xml:space="preserve"> 3</w:t>
      </w:r>
      <w:r w:rsidR="00522518" w:rsidRPr="00C56286">
        <w:rPr>
          <w:sz w:val="28"/>
          <w:szCs w:val="28"/>
        </w:rPr>
        <w:t xml:space="preserve"> was a concession made by the Municipality for a specific purpose of calculati</w:t>
      </w:r>
      <w:r w:rsidR="00A874D1" w:rsidRPr="00C56286">
        <w:rPr>
          <w:sz w:val="28"/>
          <w:szCs w:val="28"/>
        </w:rPr>
        <w:t>ng</w:t>
      </w:r>
      <w:r w:rsidR="00522518" w:rsidRPr="00C56286">
        <w:rPr>
          <w:sz w:val="28"/>
          <w:szCs w:val="28"/>
        </w:rPr>
        <w:t xml:space="preserve"> the employees’ long leave and notch increases in</w:t>
      </w:r>
      <w:r w:rsidR="00423AA8" w:rsidRPr="00C56286">
        <w:rPr>
          <w:sz w:val="28"/>
          <w:szCs w:val="28"/>
        </w:rPr>
        <w:t xml:space="preserve"> regard to</w:t>
      </w:r>
      <w:r w:rsidR="00522518" w:rsidRPr="00C56286">
        <w:rPr>
          <w:sz w:val="28"/>
          <w:szCs w:val="28"/>
        </w:rPr>
        <w:t xml:space="preserve"> remuneration.</w:t>
      </w:r>
    </w:p>
    <w:p w:rsidR="00EC2091" w:rsidRPr="00EC2091" w:rsidRDefault="00EC2091" w:rsidP="00EC2091">
      <w:pPr>
        <w:pStyle w:val="ListParagraph"/>
        <w:rPr>
          <w:sz w:val="28"/>
          <w:szCs w:val="28"/>
        </w:rPr>
      </w:pPr>
    </w:p>
    <w:p w:rsidR="00522518" w:rsidRPr="00C56286" w:rsidRDefault="00C56286" w:rsidP="00C56286">
      <w:pPr>
        <w:rPr>
          <w:sz w:val="28"/>
          <w:szCs w:val="28"/>
        </w:rPr>
      </w:pPr>
      <w:r w:rsidRPr="00EC2091">
        <w:rPr>
          <w:sz w:val="28"/>
          <w:szCs w:val="28"/>
        </w:rPr>
        <w:lastRenderedPageBreak/>
        <w:t>[33]</w:t>
      </w:r>
      <w:r w:rsidRPr="00EC2091">
        <w:rPr>
          <w:sz w:val="28"/>
          <w:szCs w:val="28"/>
        </w:rPr>
        <w:tab/>
      </w:r>
      <w:r w:rsidR="00522518" w:rsidRPr="00C56286">
        <w:rPr>
          <w:sz w:val="28"/>
          <w:szCs w:val="28"/>
        </w:rPr>
        <w:t xml:space="preserve">The purpose and surrounding circumstances of the </w:t>
      </w:r>
      <w:r w:rsidR="00423AA8" w:rsidRPr="00C56286">
        <w:rPr>
          <w:sz w:val="28"/>
          <w:szCs w:val="28"/>
        </w:rPr>
        <w:t xml:space="preserve">settlement </w:t>
      </w:r>
      <w:r w:rsidR="00522518" w:rsidRPr="00C56286">
        <w:rPr>
          <w:sz w:val="28"/>
          <w:szCs w:val="28"/>
        </w:rPr>
        <w:t xml:space="preserve">agreement are that, the employees received new employee numbers; the employees freshly elected a pension fund to which their pension fund contributions </w:t>
      </w:r>
      <w:r w:rsidR="00423AA8" w:rsidRPr="00C56286">
        <w:rPr>
          <w:sz w:val="28"/>
          <w:szCs w:val="28"/>
        </w:rPr>
        <w:t>would</w:t>
      </w:r>
      <w:r w:rsidR="00522518" w:rsidRPr="00C56286">
        <w:rPr>
          <w:sz w:val="28"/>
          <w:szCs w:val="28"/>
        </w:rPr>
        <w:t xml:space="preserve"> be made; the employees freshly elected a medical aid fund; and their annual leave and sick leave cycles commenced on 1 October 2009. These factors and the circumstances in which the settlement agreement was concluded, as well as the conduct of the parties after its conclusion, are clearly at odd</w:t>
      </w:r>
      <w:r w:rsidR="00423AA8" w:rsidRPr="00C56286">
        <w:rPr>
          <w:sz w:val="28"/>
          <w:szCs w:val="28"/>
        </w:rPr>
        <w:t>s</w:t>
      </w:r>
      <w:r w:rsidR="00522518" w:rsidRPr="00C56286">
        <w:rPr>
          <w:sz w:val="28"/>
          <w:szCs w:val="28"/>
        </w:rPr>
        <w:t xml:space="preserve"> with reinstatement.</w:t>
      </w:r>
      <w:r w:rsidR="00522518" w:rsidRPr="00C56286">
        <w:rPr>
          <w:sz w:val="28"/>
          <w:szCs w:val="28"/>
        </w:rPr>
        <w:tab/>
      </w:r>
    </w:p>
    <w:p w:rsidR="00EC2091" w:rsidRPr="00EC2091" w:rsidRDefault="00EC2091" w:rsidP="00CB26AF">
      <w:pPr>
        <w:pStyle w:val="ListParagraph"/>
        <w:ind w:left="0"/>
        <w:rPr>
          <w:sz w:val="28"/>
          <w:szCs w:val="28"/>
        </w:rPr>
      </w:pPr>
    </w:p>
    <w:p w:rsidR="000943CB" w:rsidRPr="00C56286" w:rsidRDefault="00C56286" w:rsidP="00C56286">
      <w:pPr>
        <w:rPr>
          <w:sz w:val="28"/>
          <w:szCs w:val="28"/>
        </w:rPr>
      </w:pPr>
      <w:r w:rsidRPr="00EC2091">
        <w:rPr>
          <w:sz w:val="28"/>
          <w:szCs w:val="28"/>
        </w:rPr>
        <w:t>[34]</w:t>
      </w:r>
      <w:r w:rsidRPr="00EC2091">
        <w:rPr>
          <w:sz w:val="28"/>
          <w:szCs w:val="28"/>
        </w:rPr>
        <w:tab/>
      </w:r>
      <w:r w:rsidR="008B5944" w:rsidRPr="00C56286">
        <w:rPr>
          <w:sz w:val="28"/>
          <w:szCs w:val="28"/>
        </w:rPr>
        <w:t xml:space="preserve">In applying the aforesaid </w:t>
      </w:r>
      <w:r w:rsidR="004E48FF" w:rsidRPr="00C56286">
        <w:rPr>
          <w:sz w:val="28"/>
          <w:szCs w:val="28"/>
        </w:rPr>
        <w:t xml:space="preserve">interpretative </w:t>
      </w:r>
      <w:r w:rsidR="008B5944" w:rsidRPr="00C56286">
        <w:rPr>
          <w:sz w:val="28"/>
          <w:szCs w:val="28"/>
        </w:rPr>
        <w:t xml:space="preserve">principles </w:t>
      </w:r>
      <w:r w:rsidR="007503D5" w:rsidRPr="00C56286">
        <w:rPr>
          <w:sz w:val="28"/>
          <w:szCs w:val="28"/>
        </w:rPr>
        <w:t xml:space="preserve">on </w:t>
      </w:r>
      <w:r w:rsidR="008B5944" w:rsidRPr="00C56286">
        <w:rPr>
          <w:sz w:val="28"/>
          <w:szCs w:val="28"/>
        </w:rPr>
        <w:t xml:space="preserve">the terms of </w:t>
      </w:r>
      <w:r w:rsidR="00C0542F" w:rsidRPr="00C56286">
        <w:rPr>
          <w:sz w:val="28"/>
          <w:szCs w:val="28"/>
        </w:rPr>
        <w:t xml:space="preserve">the </w:t>
      </w:r>
      <w:r w:rsidR="008B5944" w:rsidRPr="00C56286">
        <w:rPr>
          <w:sz w:val="28"/>
          <w:szCs w:val="28"/>
        </w:rPr>
        <w:t>settlement agreement</w:t>
      </w:r>
      <w:r w:rsidR="004532A5" w:rsidRPr="00C56286">
        <w:rPr>
          <w:sz w:val="28"/>
          <w:szCs w:val="28"/>
        </w:rPr>
        <w:t xml:space="preserve"> in this matter</w:t>
      </w:r>
      <w:r w:rsidR="008B5944" w:rsidRPr="00C56286">
        <w:rPr>
          <w:sz w:val="28"/>
          <w:szCs w:val="28"/>
        </w:rPr>
        <w:t xml:space="preserve">, the context in which the agreement was concluded, </w:t>
      </w:r>
      <w:r w:rsidR="00C0542F" w:rsidRPr="00C56286">
        <w:rPr>
          <w:sz w:val="28"/>
          <w:szCs w:val="28"/>
        </w:rPr>
        <w:t xml:space="preserve">and </w:t>
      </w:r>
      <w:r w:rsidR="008B5944" w:rsidRPr="00C56286">
        <w:rPr>
          <w:sz w:val="28"/>
          <w:szCs w:val="28"/>
        </w:rPr>
        <w:t xml:space="preserve">the conduct of the parties after its conclusion, it cannot be disputed that the intention of the Municipality and the employees </w:t>
      </w:r>
      <w:r w:rsidR="004532A5" w:rsidRPr="00C56286">
        <w:rPr>
          <w:sz w:val="28"/>
          <w:szCs w:val="28"/>
        </w:rPr>
        <w:t>was</w:t>
      </w:r>
      <w:r w:rsidR="008B5944" w:rsidRPr="00C56286">
        <w:rPr>
          <w:sz w:val="28"/>
          <w:szCs w:val="28"/>
        </w:rPr>
        <w:t xml:space="preserve"> that the affected employees were in fact re-employed and</w:t>
      </w:r>
      <w:r w:rsidR="0077461C" w:rsidRPr="00C56286">
        <w:rPr>
          <w:sz w:val="28"/>
          <w:szCs w:val="28"/>
        </w:rPr>
        <w:t xml:space="preserve"> not </w:t>
      </w:r>
      <w:r w:rsidR="008B5944" w:rsidRPr="00C56286">
        <w:rPr>
          <w:sz w:val="28"/>
          <w:szCs w:val="28"/>
        </w:rPr>
        <w:t>reinstated</w:t>
      </w:r>
      <w:r w:rsidR="00A874D1" w:rsidRPr="00C56286">
        <w:rPr>
          <w:sz w:val="28"/>
          <w:szCs w:val="28"/>
        </w:rPr>
        <w:t xml:space="preserve">. </w:t>
      </w:r>
      <w:r w:rsidR="004E48FF" w:rsidRPr="00C56286">
        <w:rPr>
          <w:sz w:val="28"/>
          <w:szCs w:val="28"/>
        </w:rPr>
        <w:t>Notably, it</w:t>
      </w:r>
      <w:r w:rsidR="008B5944" w:rsidRPr="00C56286">
        <w:rPr>
          <w:sz w:val="28"/>
          <w:szCs w:val="28"/>
        </w:rPr>
        <w:t xml:space="preserve"> has been recognised that where an employee is re-employed on a different medical aid, it is re-employ</w:t>
      </w:r>
      <w:r w:rsidR="00C0542F" w:rsidRPr="00C56286">
        <w:rPr>
          <w:sz w:val="28"/>
          <w:szCs w:val="28"/>
        </w:rPr>
        <w:t>ment</w:t>
      </w:r>
      <w:r w:rsidR="008B5944" w:rsidRPr="00C56286">
        <w:rPr>
          <w:sz w:val="28"/>
          <w:szCs w:val="28"/>
        </w:rPr>
        <w:t xml:space="preserve"> and not reinstatement.</w:t>
      </w:r>
      <w:r w:rsidR="008B5944" w:rsidRPr="00EC2091">
        <w:rPr>
          <w:rStyle w:val="FootnoteReference"/>
          <w:sz w:val="28"/>
          <w:szCs w:val="28"/>
        </w:rPr>
        <w:footnoteReference w:id="17"/>
      </w:r>
      <w:r w:rsidR="008B5944" w:rsidRPr="00C56286">
        <w:rPr>
          <w:sz w:val="28"/>
          <w:szCs w:val="28"/>
        </w:rPr>
        <w:t xml:space="preserve">  </w:t>
      </w:r>
      <w:r w:rsidR="003833C9" w:rsidRPr="00C56286">
        <w:rPr>
          <w:sz w:val="28"/>
          <w:szCs w:val="28"/>
        </w:rPr>
        <w:t xml:space="preserve"> </w:t>
      </w:r>
    </w:p>
    <w:p w:rsidR="00EC2091" w:rsidRPr="00EC2091" w:rsidRDefault="00EC2091" w:rsidP="00CB26AF">
      <w:pPr>
        <w:pStyle w:val="ListParagraph"/>
        <w:ind w:left="0"/>
        <w:rPr>
          <w:sz w:val="28"/>
          <w:szCs w:val="28"/>
        </w:rPr>
      </w:pPr>
    </w:p>
    <w:p w:rsidR="001F200C" w:rsidRPr="00C56286" w:rsidRDefault="00C56286" w:rsidP="00C56286">
      <w:pPr>
        <w:rPr>
          <w:sz w:val="28"/>
          <w:szCs w:val="28"/>
        </w:rPr>
      </w:pPr>
      <w:r w:rsidRPr="00EC2091">
        <w:rPr>
          <w:sz w:val="28"/>
          <w:szCs w:val="28"/>
        </w:rPr>
        <w:t>[35]</w:t>
      </w:r>
      <w:r w:rsidRPr="00EC2091">
        <w:rPr>
          <w:sz w:val="28"/>
          <w:szCs w:val="28"/>
        </w:rPr>
        <w:tab/>
      </w:r>
      <w:r w:rsidR="004E48FF" w:rsidRPr="00C56286">
        <w:rPr>
          <w:sz w:val="28"/>
          <w:szCs w:val="28"/>
        </w:rPr>
        <w:t xml:space="preserve">The </w:t>
      </w:r>
      <w:r w:rsidR="00956C95" w:rsidRPr="00C56286">
        <w:rPr>
          <w:sz w:val="28"/>
          <w:szCs w:val="28"/>
        </w:rPr>
        <w:t>benefits</w:t>
      </w:r>
      <w:r w:rsidR="004E48FF" w:rsidRPr="00C56286">
        <w:rPr>
          <w:sz w:val="28"/>
          <w:szCs w:val="28"/>
        </w:rPr>
        <w:t xml:space="preserve"> in terms of par</w:t>
      </w:r>
      <w:r w:rsidR="00956C95" w:rsidRPr="00C56286">
        <w:rPr>
          <w:sz w:val="28"/>
          <w:szCs w:val="28"/>
        </w:rPr>
        <w:t>a 2 of the settlement agreement</w:t>
      </w:r>
      <w:r w:rsidR="004E48FF" w:rsidRPr="00C56286">
        <w:rPr>
          <w:sz w:val="28"/>
          <w:szCs w:val="28"/>
        </w:rPr>
        <w:t xml:space="preserve"> ordinarily refers to contributions to an employee’s pension fund and medical aid, which are part of the employee’s remuneration. </w:t>
      </w:r>
      <w:r w:rsidR="00956C95" w:rsidRPr="00C56286">
        <w:rPr>
          <w:sz w:val="28"/>
          <w:szCs w:val="28"/>
        </w:rPr>
        <w:t xml:space="preserve">Thus, if </w:t>
      </w:r>
      <w:r w:rsidR="007C6BE8" w:rsidRPr="00C56286">
        <w:rPr>
          <w:sz w:val="28"/>
          <w:szCs w:val="28"/>
        </w:rPr>
        <w:t xml:space="preserve">no salaries and benefits were paid retrospectively and none would be paid for the period </w:t>
      </w:r>
      <w:r w:rsidR="004E48FF" w:rsidRPr="00C56286">
        <w:rPr>
          <w:sz w:val="28"/>
          <w:szCs w:val="28"/>
        </w:rPr>
        <w:t xml:space="preserve">that </w:t>
      </w:r>
      <w:r w:rsidR="007C6BE8" w:rsidRPr="00C56286">
        <w:rPr>
          <w:sz w:val="28"/>
          <w:szCs w:val="28"/>
        </w:rPr>
        <w:t xml:space="preserve">the employees were unemployed, </w:t>
      </w:r>
      <w:r w:rsidR="00956C95" w:rsidRPr="00C56286">
        <w:rPr>
          <w:sz w:val="28"/>
          <w:szCs w:val="28"/>
        </w:rPr>
        <w:t xml:space="preserve">as para 2 provided, </w:t>
      </w:r>
      <w:r w:rsidR="007C6BE8" w:rsidRPr="00C56286">
        <w:rPr>
          <w:sz w:val="28"/>
          <w:szCs w:val="28"/>
        </w:rPr>
        <w:t xml:space="preserve">then it means </w:t>
      </w:r>
      <w:r w:rsidR="00956C95" w:rsidRPr="00C56286">
        <w:rPr>
          <w:sz w:val="28"/>
          <w:szCs w:val="28"/>
        </w:rPr>
        <w:t xml:space="preserve">that </w:t>
      </w:r>
      <w:r w:rsidR="007C6BE8" w:rsidRPr="00C56286">
        <w:rPr>
          <w:sz w:val="28"/>
          <w:szCs w:val="28"/>
        </w:rPr>
        <w:t>no contributions would be deducted for payment to the Fund for that period. Accordingly, the Fund was not entitled to enforce payment of such contributions.</w:t>
      </w:r>
      <w:r w:rsidR="000726AB" w:rsidRPr="00C56286">
        <w:rPr>
          <w:sz w:val="28"/>
          <w:szCs w:val="28"/>
        </w:rPr>
        <w:t xml:space="preserve"> It also cannot revive the membership of the employees based on the arrangement they had with the employer, </w:t>
      </w:r>
      <w:r w:rsidR="000726AB" w:rsidRPr="00C56286">
        <w:rPr>
          <w:sz w:val="28"/>
          <w:szCs w:val="28"/>
        </w:rPr>
        <w:lastRenderedPageBreak/>
        <w:t xml:space="preserve">except if provided for in the settlement </w:t>
      </w:r>
      <w:r w:rsidR="004E48FF" w:rsidRPr="00C56286">
        <w:rPr>
          <w:sz w:val="28"/>
          <w:szCs w:val="28"/>
        </w:rPr>
        <w:t xml:space="preserve">agreement </w:t>
      </w:r>
      <w:r w:rsidR="000726AB" w:rsidRPr="00C56286">
        <w:rPr>
          <w:sz w:val="28"/>
          <w:szCs w:val="28"/>
        </w:rPr>
        <w:t xml:space="preserve">or the Fund </w:t>
      </w:r>
      <w:r w:rsidR="004E48FF" w:rsidRPr="00C56286">
        <w:rPr>
          <w:sz w:val="28"/>
          <w:szCs w:val="28"/>
        </w:rPr>
        <w:t>r</w:t>
      </w:r>
      <w:r w:rsidR="000726AB" w:rsidRPr="00C56286">
        <w:rPr>
          <w:sz w:val="28"/>
          <w:szCs w:val="28"/>
        </w:rPr>
        <w:t xml:space="preserve">ules (if/where legally permitted to do so).    </w:t>
      </w:r>
      <w:r w:rsidR="007C6BE8" w:rsidRPr="00C56286">
        <w:rPr>
          <w:sz w:val="28"/>
          <w:szCs w:val="28"/>
        </w:rPr>
        <w:t xml:space="preserve">        </w:t>
      </w:r>
    </w:p>
    <w:p w:rsidR="00EC2091" w:rsidRPr="00EC2091" w:rsidRDefault="00EC2091" w:rsidP="00CB26AF">
      <w:pPr>
        <w:pStyle w:val="ListParagraph"/>
        <w:ind w:left="0"/>
        <w:rPr>
          <w:sz w:val="28"/>
          <w:szCs w:val="28"/>
        </w:rPr>
      </w:pPr>
    </w:p>
    <w:p w:rsidR="004D2880" w:rsidRPr="00C56286" w:rsidRDefault="00C56286" w:rsidP="00C56286">
      <w:pPr>
        <w:rPr>
          <w:sz w:val="28"/>
          <w:szCs w:val="28"/>
        </w:rPr>
      </w:pPr>
      <w:r w:rsidRPr="00EC2091">
        <w:rPr>
          <w:sz w:val="28"/>
          <w:szCs w:val="28"/>
        </w:rPr>
        <w:t>[36]</w:t>
      </w:r>
      <w:r w:rsidRPr="00EC2091">
        <w:rPr>
          <w:sz w:val="28"/>
          <w:szCs w:val="28"/>
        </w:rPr>
        <w:tab/>
      </w:r>
      <w:r w:rsidR="001F200C" w:rsidRPr="00C56286">
        <w:rPr>
          <w:rFonts w:eastAsiaTheme="minorHAnsi"/>
          <w:sz w:val="28"/>
          <w:szCs w:val="28"/>
          <w:lang w:val="en-GB"/>
        </w:rPr>
        <w:t>In light of the circumstances</w:t>
      </w:r>
      <w:r w:rsidR="000726AB" w:rsidRPr="00C56286">
        <w:rPr>
          <w:rFonts w:eastAsiaTheme="minorHAnsi"/>
          <w:sz w:val="28"/>
          <w:szCs w:val="28"/>
          <w:lang w:val="en-GB"/>
        </w:rPr>
        <w:t>, the high court’s order is unassailable. Counsel for the Fund argued that the Fund sits with two conflicting orders, that of the Adjudicator</w:t>
      </w:r>
      <w:r w:rsidR="00956C95" w:rsidRPr="00C56286">
        <w:rPr>
          <w:rFonts w:eastAsiaTheme="minorHAnsi"/>
          <w:sz w:val="28"/>
          <w:szCs w:val="28"/>
          <w:lang w:val="en-GB"/>
        </w:rPr>
        <w:t>,</w:t>
      </w:r>
      <w:r w:rsidR="000726AB" w:rsidRPr="00C56286">
        <w:rPr>
          <w:rFonts w:eastAsiaTheme="minorHAnsi"/>
          <w:sz w:val="28"/>
          <w:szCs w:val="28"/>
          <w:lang w:val="en-GB"/>
        </w:rPr>
        <w:t xml:space="preserve"> which says the employees are not entitled to their withdrawal benefit</w:t>
      </w:r>
      <w:r w:rsidR="00956C95" w:rsidRPr="00C56286">
        <w:rPr>
          <w:rFonts w:eastAsiaTheme="minorHAnsi"/>
          <w:sz w:val="28"/>
          <w:szCs w:val="28"/>
          <w:lang w:val="en-GB"/>
        </w:rPr>
        <w:t>,</w:t>
      </w:r>
      <w:r w:rsidR="000726AB" w:rsidRPr="00C56286">
        <w:rPr>
          <w:rFonts w:eastAsiaTheme="minorHAnsi"/>
          <w:sz w:val="28"/>
          <w:szCs w:val="28"/>
          <w:lang w:val="en-GB"/>
        </w:rPr>
        <w:t xml:space="preserve"> and that of the high court</w:t>
      </w:r>
      <w:r w:rsidR="00956C95" w:rsidRPr="00C56286">
        <w:rPr>
          <w:rFonts w:eastAsiaTheme="minorHAnsi"/>
          <w:sz w:val="28"/>
          <w:szCs w:val="28"/>
          <w:lang w:val="en-GB"/>
        </w:rPr>
        <w:t>,</w:t>
      </w:r>
      <w:r w:rsidR="000726AB" w:rsidRPr="00C56286">
        <w:rPr>
          <w:rFonts w:eastAsiaTheme="minorHAnsi"/>
          <w:sz w:val="28"/>
          <w:szCs w:val="28"/>
          <w:lang w:val="en-GB"/>
        </w:rPr>
        <w:t xml:space="preserve"> which found </w:t>
      </w:r>
      <w:r w:rsidR="00956C95" w:rsidRPr="00C56286">
        <w:rPr>
          <w:rFonts w:eastAsiaTheme="minorHAnsi"/>
          <w:sz w:val="28"/>
          <w:szCs w:val="28"/>
          <w:lang w:val="en-GB"/>
        </w:rPr>
        <w:t xml:space="preserve">that </w:t>
      </w:r>
      <w:r w:rsidR="000726AB" w:rsidRPr="00C56286">
        <w:rPr>
          <w:rFonts w:eastAsiaTheme="minorHAnsi"/>
          <w:sz w:val="28"/>
          <w:szCs w:val="28"/>
          <w:lang w:val="en-GB"/>
        </w:rPr>
        <w:t xml:space="preserve">membership was terminated. The Adjudicator’s order is not before this Court for determination. However, to the extent that the Adjudicator found that the settlement agreement revived membership of the employees to the Fund, she erred.    </w:t>
      </w:r>
    </w:p>
    <w:p w:rsidR="00EC2091" w:rsidRPr="00EC2091" w:rsidRDefault="00EC2091" w:rsidP="00CB26AF">
      <w:pPr>
        <w:pStyle w:val="ListParagraph"/>
        <w:ind w:left="0"/>
        <w:rPr>
          <w:sz w:val="28"/>
          <w:szCs w:val="28"/>
        </w:rPr>
      </w:pPr>
    </w:p>
    <w:p w:rsidR="001F200C" w:rsidRPr="00C56286" w:rsidRDefault="00C56286" w:rsidP="00C56286">
      <w:pPr>
        <w:rPr>
          <w:sz w:val="28"/>
          <w:szCs w:val="28"/>
        </w:rPr>
      </w:pPr>
      <w:r w:rsidRPr="00EC2091">
        <w:rPr>
          <w:sz w:val="28"/>
          <w:szCs w:val="28"/>
        </w:rPr>
        <w:t>[37]</w:t>
      </w:r>
      <w:r w:rsidRPr="00EC2091">
        <w:rPr>
          <w:sz w:val="28"/>
          <w:szCs w:val="28"/>
        </w:rPr>
        <w:tab/>
      </w:r>
      <w:r w:rsidR="00956C95" w:rsidRPr="00C56286">
        <w:rPr>
          <w:rFonts w:eastAsiaTheme="minorHAnsi"/>
          <w:sz w:val="28"/>
          <w:szCs w:val="28"/>
          <w:lang w:val="en-GB"/>
        </w:rPr>
        <w:t xml:space="preserve">In sum, </w:t>
      </w:r>
      <w:r w:rsidR="001F200C" w:rsidRPr="00C56286">
        <w:rPr>
          <w:rFonts w:eastAsiaTheme="minorHAnsi"/>
          <w:sz w:val="28"/>
          <w:szCs w:val="28"/>
          <w:lang w:val="en-GB"/>
        </w:rPr>
        <w:t>I agree with the submissions made by the respondents’ counsel that</w:t>
      </w:r>
      <w:r w:rsidR="00103DD8" w:rsidRPr="00C56286">
        <w:rPr>
          <w:rFonts w:eastAsiaTheme="minorHAnsi"/>
          <w:sz w:val="28"/>
          <w:szCs w:val="28"/>
          <w:lang w:val="en-GB"/>
        </w:rPr>
        <w:t>,</w:t>
      </w:r>
      <w:r w:rsidR="001F200C" w:rsidRPr="00C56286">
        <w:rPr>
          <w:rFonts w:eastAsiaTheme="minorHAnsi"/>
          <w:sz w:val="28"/>
          <w:szCs w:val="28"/>
          <w:lang w:val="en-GB"/>
        </w:rPr>
        <w:t xml:space="preserve"> in line with the authorities</w:t>
      </w:r>
      <w:r w:rsidR="00103DD8" w:rsidRPr="00C56286">
        <w:rPr>
          <w:rFonts w:eastAsiaTheme="minorHAnsi"/>
          <w:sz w:val="28"/>
          <w:szCs w:val="28"/>
          <w:lang w:val="en-GB"/>
        </w:rPr>
        <w:t>,</w:t>
      </w:r>
      <w:r w:rsidR="001F200C" w:rsidRPr="00C56286">
        <w:rPr>
          <w:rFonts w:eastAsiaTheme="minorHAnsi"/>
          <w:sz w:val="28"/>
          <w:szCs w:val="28"/>
          <w:lang w:val="en-GB"/>
        </w:rPr>
        <w:t xml:space="preserve"> the only possible interpretation which can be given to the settlement agreement</w:t>
      </w:r>
      <w:r w:rsidR="004532A5" w:rsidRPr="00C56286">
        <w:rPr>
          <w:rFonts w:eastAsiaTheme="minorHAnsi"/>
          <w:sz w:val="28"/>
          <w:szCs w:val="28"/>
          <w:lang w:val="en-GB"/>
        </w:rPr>
        <w:t xml:space="preserve"> is</w:t>
      </w:r>
      <w:r w:rsidR="001F200C" w:rsidRPr="00C56286">
        <w:rPr>
          <w:rFonts w:eastAsiaTheme="minorHAnsi"/>
          <w:sz w:val="28"/>
          <w:szCs w:val="28"/>
          <w:lang w:val="en-GB"/>
        </w:rPr>
        <w:t xml:space="preserve"> that </w:t>
      </w:r>
      <w:r w:rsidR="008D49A5" w:rsidRPr="00C56286">
        <w:rPr>
          <w:rFonts w:eastAsiaTheme="minorHAnsi"/>
          <w:sz w:val="28"/>
          <w:szCs w:val="28"/>
          <w:lang w:val="en-GB"/>
        </w:rPr>
        <w:t xml:space="preserve">the high court’s findings that </w:t>
      </w:r>
      <w:r w:rsidR="001F200C" w:rsidRPr="00C56286">
        <w:rPr>
          <w:rFonts w:eastAsiaTheme="minorHAnsi"/>
          <w:sz w:val="28"/>
          <w:szCs w:val="28"/>
          <w:lang w:val="en-GB"/>
        </w:rPr>
        <w:t>the employees were re-employed and not reinstated</w:t>
      </w:r>
      <w:r w:rsidR="007D5A90" w:rsidRPr="00C56286">
        <w:rPr>
          <w:rFonts w:eastAsiaTheme="minorHAnsi"/>
          <w:sz w:val="28"/>
          <w:szCs w:val="28"/>
          <w:lang w:val="en-GB"/>
        </w:rPr>
        <w:t xml:space="preserve"> is correct</w:t>
      </w:r>
      <w:r w:rsidR="001F200C" w:rsidRPr="00C56286">
        <w:rPr>
          <w:rFonts w:eastAsiaTheme="minorHAnsi"/>
          <w:sz w:val="28"/>
          <w:szCs w:val="28"/>
          <w:lang w:val="en-GB"/>
        </w:rPr>
        <w:t>. The appeal on this ground cannot therefore succeed.</w:t>
      </w:r>
    </w:p>
    <w:p w:rsidR="00EC2091" w:rsidRPr="00EC2091" w:rsidRDefault="00EC2091" w:rsidP="00CB26AF">
      <w:pPr>
        <w:pStyle w:val="ListParagraph"/>
        <w:ind w:left="0"/>
        <w:rPr>
          <w:sz w:val="28"/>
          <w:szCs w:val="28"/>
        </w:rPr>
      </w:pPr>
    </w:p>
    <w:p w:rsidR="00695CC9" w:rsidRPr="00C56286" w:rsidRDefault="00C56286" w:rsidP="00C56286">
      <w:pPr>
        <w:rPr>
          <w:sz w:val="28"/>
          <w:szCs w:val="28"/>
        </w:rPr>
      </w:pPr>
      <w:r w:rsidRPr="00EC2091">
        <w:rPr>
          <w:sz w:val="28"/>
          <w:szCs w:val="28"/>
        </w:rPr>
        <w:t>[38]</w:t>
      </w:r>
      <w:r w:rsidRPr="00EC2091">
        <w:rPr>
          <w:sz w:val="28"/>
          <w:szCs w:val="28"/>
        </w:rPr>
        <w:tab/>
      </w:r>
      <w:r w:rsidR="007D5A90" w:rsidRPr="00C56286">
        <w:rPr>
          <w:rFonts w:eastAsiaTheme="minorHAnsi"/>
          <w:sz w:val="28"/>
          <w:szCs w:val="28"/>
          <w:lang w:val="en-GB"/>
        </w:rPr>
        <w:t xml:space="preserve">The relief sought in respect of </w:t>
      </w:r>
      <w:r w:rsidR="00103DD8" w:rsidRPr="00C56286">
        <w:rPr>
          <w:rFonts w:eastAsiaTheme="minorHAnsi"/>
          <w:sz w:val="28"/>
          <w:szCs w:val="28"/>
          <w:lang w:val="en-GB"/>
        </w:rPr>
        <w:t xml:space="preserve">the </w:t>
      </w:r>
      <w:r w:rsidR="007D5A90" w:rsidRPr="00C56286">
        <w:rPr>
          <w:rFonts w:eastAsiaTheme="minorHAnsi"/>
          <w:sz w:val="28"/>
          <w:szCs w:val="28"/>
          <w:lang w:val="en-GB"/>
        </w:rPr>
        <w:t>category 1 employee</w:t>
      </w:r>
      <w:r w:rsidR="000726AB" w:rsidRPr="00C56286">
        <w:rPr>
          <w:rFonts w:eastAsiaTheme="minorHAnsi"/>
          <w:sz w:val="28"/>
          <w:szCs w:val="28"/>
          <w:lang w:val="en-GB"/>
        </w:rPr>
        <w:t>,</w:t>
      </w:r>
      <w:r w:rsidR="007D5A90" w:rsidRPr="00C56286">
        <w:rPr>
          <w:rFonts w:eastAsiaTheme="minorHAnsi"/>
          <w:sz w:val="28"/>
          <w:szCs w:val="28"/>
          <w:lang w:val="en-GB"/>
        </w:rPr>
        <w:t xml:space="preserve"> Mr Molibeli</w:t>
      </w:r>
      <w:r w:rsidR="00FA4189" w:rsidRPr="00C56286">
        <w:rPr>
          <w:rFonts w:eastAsiaTheme="minorHAnsi"/>
          <w:sz w:val="28"/>
          <w:szCs w:val="28"/>
          <w:lang w:val="en-GB"/>
        </w:rPr>
        <w:t>,</w:t>
      </w:r>
      <w:r w:rsidR="007D5A90" w:rsidRPr="00C56286">
        <w:rPr>
          <w:rFonts w:eastAsiaTheme="minorHAnsi"/>
          <w:sz w:val="28"/>
          <w:szCs w:val="28"/>
          <w:lang w:val="en-GB"/>
        </w:rPr>
        <w:t xml:space="preserve"> </w:t>
      </w:r>
      <w:r w:rsidR="000726AB" w:rsidRPr="00C56286">
        <w:rPr>
          <w:rFonts w:eastAsiaTheme="minorHAnsi"/>
          <w:sz w:val="28"/>
          <w:szCs w:val="28"/>
          <w:lang w:val="en-GB"/>
        </w:rPr>
        <w:t>a</w:t>
      </w:r>
      <w:r w:rsidR="007D5A90" w:rsidRPr="00C56286">
        <w:rPr>
          <w:rFonts w:eastAsiaTheme="minorHAnsi"/>
          <w:sz w:val="28"/>
          <w:szCs w:val="28"/>
          <w:lang w:val="en-GB"/>
        </w:rPr>
        <w:t>rises from s 13A(2) of the Act read with the relevant regulation</w:t>
      </w:r>
      <w:r w:rsidR="008133EF" w:rsidRPr="00C56286">
        <w:rPr>
          <w:rFonts w:eastAsiaTheme="minorHAnsi"/>
          <w:sz w:val="28"/>
          <w:szCs w:val="28"/>
          <w:lang w:val="en-GB"/>
        </w:rPr>
        <w:t>s</w:t>
      </w:r>
      <w:r w:rsidR="007D5A90" w:rsidRPr="00C56286">
        <w:rPr>
          <w:rFonts w:eastAsiaTheme="minorHAnsi"/>
          <w:sz w:val="28"/>
          <w:szCs w:val="28"/>
          <w:lang w:val="en-GB"/>
        </w:rPr>
        <w:t xml:space="preserve"> in respect of furnishing of the minimum </w:t>
      </w:r>
      <w:r w:rsidR="00FE3762" w:rsidRPr="00C56286">
        <w:rPr>
          <w:rFonts w:eastAsiaTheme="minorHAnsi"/>
          <w:sz w:val="28"/>
          <w:szCs w:val="28"/>
          <w:lang w:val="en-GB"/>
        </w:rPr>
        <w:t xml:space="preserve">statutory </w:t>
      </w:r>
      <w:r w:rsidR="007D5A90" w:rsidRPr="00C56286">
        <w:rPr>
          <w:rFonts w:eastAsiaTheme="minorHAnsi"/>
          <w:sz w:val="28"/>
          <w:szCs w:val="28"/>
          <w:lang w:val="en-GB"/>
        </w:rPr>
        <w:t>information to the Fund</w:t>
      </w:r>
      <w:r w:rsidR="00695CC9" w:rsidRPr="00C56286">
        <w:rPr>
          <w:rFonts w:eastAsiaTheme="minorHAnsi"/>
          <w:sz w:val="28"/>
          <w:szCs w:val="28"/>
          <w:lang w:val="en-GB"/>
        </w:rPr>
        <w:t xml:space="preserve">. Counsel for the </w:t>
      </w:r>
      <w:r w:rsidR="008133EF" w:rsidRPr="00C56286">
        <w:rPr>
          <w:rFonts w:eastAsiaTheme="minorHAnsi"/>
          <w:sz w:val="28"/>
          <w:szCs w:val="28"/>
          <w:lang w:val="en-GB"/>
        </w:rPr>
        <w:t>Municipality</w:t>
      </w:r>
      <w:r w:rsidR="00695CC9" w:rsidRPr="00C56286">
        <w:rPr>
          <w:rFonts w:eastAsiaTheme="minorHAnsi"/>
          <w:sz w:val="28"/>
          <w:szCs w:val="28"/>
          <w:lang w:val="en-GB"/>
        </w:rPr>
        <w:t xml:space="preserve"> referred this Court to the </w:t>
      </w:r>
      <w:r w:rsidR="00FE3762" w:rsidRPr="00C56286">
        <w:rPr>
          <w:rFonts w:eastAsiaTheme="minorHAnsi"/>
          <w:sz w:val="28"/>
          <w:szCs w:val="28"/>
          <w:lang w:val="en-GB"/>
        </w:rPr>
        <w:t>schedule</w:t>
      </w:r>
      <w:r w:rsidR="00695CC9" w:rsidRPr="00C56286">
        <w:rPr>
          <w:rFonts w:eastAsiaTheme="minorHAnsi"/>
          <w:sz w:val="28"/>
          <w:szCs w:val="28"/>
          <w:lang w:val="en-GB"/>
        </w:rPr>
        <w:t xml:space="preserve"> that was </w:t>
      </w:r>
      <w:r w:rsidR="00FE3762" w:rsidRPr="00C56286">
        <w:rPr>
          <w:rFonts w:eastAsiaTheme="minorHAnsi"/>
          <w:sz w:val="28"/>
          <w:szCs w:val="28"/>
          <w:lang w:val="en-GB"/>
        </w:rPr>
        <w:t xml:space="preserve">provided </w:t>
      </w:r>
      <w:r w:rsidR="00695CC9" w:rsidRPr="00C56286">
        <w:rPr>
          <w:rFonts w:eastAsiaTheme="minorHAnsi"/>
          <w:sz w:val="28"/>
          <w:szCs w:val="28"/>
          <w:lang w:val="en-GB"/>
        </w:rPr>
        <w:t>to the Fund</w:t>
      </w:r>
      <w:r w:rsidR="00103DD8" w:rsidRPr="00C56286">
        <w:rPr>
          <w:rFonts w:eastAsiaTheme="minorHAnsi"/>
          <w:sz w:val="28"/>
          <w:szCs w:val="28"/>
          <w:lang w:val="en-GB"/>
        </w:rPr>
        <w:t>,</w:t>
      </w:r>
      <w:r w:rsidR="00695CC9" w:rsidRPr="00C56286">
        <w:rPr>
          <w:rFonts w:eastAsiaTheme="minorHAnsi"/>
          <w:sz w:val="28"/>
          <w:szCs w:val="28"/>
          <w:lang w:val="en-GB"/>
        </w:rPr>
        <w:t xml:space="preserve"> which indicated that prior to Mr Molibeli’s dismissal</w:t>
      </w:r>
      <w:r w:rsidR="00103DD8" w:rsidRPr="00C56286">
        <w:rPr>
          <w:rFonts w:eastAsiaTheme="minorHAnsi"/>
          <w:sz w:val="28"/>
          <w:szCs w:val="28"/>
          <w:lang w:val="en-GB"/>
        </w:rPr>
        <w:t>,</w:t>
      </w:r>
      <w:r w:rsidR="00695CC9" w:rsidRPr="00C56286">
        <w:rPr>
          <w:rFonts w:eastAsiaTheme="minorHAnsi"/>
          <w:sz w:val="28"/>
          <w:szCs w:val="28"/>
          <w:lang w:val="en-GB"/>
        </w:rPr>
        <w:t xml:space="preserve"> he was not a member of the Fund but </w:t>
      </w:r>
      <w:r w:rsidR="00C669CE" w:rsidRPr="00C56286">
        <w:rPr>
          <w:rFonts w:eastAsiaTheme="minorHAnsi"/>
          <w:sz w:val="28"/>
          <w:szCs w:val="28"/>
          <w:lang w:val="en-GB"/>
        </w:rPr>
        <w:t xml:space="preserve">that of </w:t>
      </w:r>
      <w:r w:rsidR="00E654F2" w:rsidRPr="00C56286">
        <w:rPr>
          <w:rFonts w:eastAsiaTheme="minorHAnsi"/>
          <w:sz w:val="28"/>
          <w:szCs w:val="28"/>
          <w:lang w:val="en-GB"/>
        </w:rPr>
        <w:t>the MEPF</w:t>
      </w:r>
      <w:r w:rsidR="00695CC9" w:rsidRPr="00C56286">
        <w:rPr>
          <w:rFonts w:eastAsiaTheme="minorHAnsi"/>
          <w:sz w:val="28"/>
          <w:szCs w:val="28"/>
          <w:lang w:val="en-GB"/>
        </w:rPr>
        <w:t>.</w:t>
      </w:r>
    </w:p>
    <w:p w:rsidR="00EC2091" w:rsidRPr="00EC2091" w:rsidRDefault="00EC2091" w:rsidP="00CB26AF">
      <w:pPr>
        <w:pStyle w:val="ListParagraph"/>
        <w:ind w:left="0"/>
        <w:rPr>
          <w:sz w:val="28"/>
          <w:szCs w:val="28"/>
        </w:rPr>
      </w:pPr>
    </w:p>
    <w:p w:rsidR="008133EF" w:rsidRPr="00C56286" w:rsidRDefault="00C56286" w:rsidP="00C56286">
      <w:pPr>
        <w:rPr>
          <w:sz w:val="28"/>
          <w:szCs w:val="28"/>
        </w:rPr>
      </w:pPr>
      <w:r w:rsidRPr="00EC2091">
        <w:rPr>
          <w:sz w:val="28"/>
          <w:szCs w:val="28"/>
        </w:rPr>
        <w:t>[39]</w:t>
      </w:r>
      <w:r w:rsidRPr="00EC2091">
        <w:rPr>
          <w:sz w:val="28"/>
          <w:szCs w:val="28"/>
        </w:rPr>
        <w:tab/>
      </w:r>
      <w:r w:rsidR="00695CC9" w:rsidRPr="00C56286">
        <w:rPr>
          <w:rFonts w:eastAsiaTheme="minorHAnsi"/>
          <w:sz w:val="28"/>
          <w:szCs w:val="28"/>
          <w:lang w:val="en-GB"/>
        </w:rPr>
        <w:t xml:space="preserve">The </w:t>
      </w:r>
      <w:r w:rsidR="008133EF" w:rsidRPr="00C56286">
        <w:rPr>
          <w:rFonts w:eastAsiaTheme="minorHAnsi"/>
          <w:sz w:val="28"/>
          <w:szCs w:val="28"/>
          <w:lang w:val="en-GB"/>
        </w:rPr>
        <w:t>M</w:t>
      </w:r>
      <w:r w:rsidR="00695CC9" w:rsidRPr="00C56286">
        <w:rPr>
          <w:rFonts w:eastAsiaTheme="minorHAnsi"/>
          <w:sz w:val="28"/>
          <w:szCs w:val="28"/>
          <w:lang w:val="en-GB"/>
        </w:rPr>
        <w:t>unicipality</w:t>
      </w:r>
      <w:r w:rsidR="00FE3762" w:rsidRPr="00C56286">
        <w:rPr>
          <w:rFonts w:eastAsiaTheme="minorHAnsi"/>
          <w:sz w:val="28"/>
          <w:szCs w:val="28"/>
          <w:lang w:val="en-GB"/>
        </w:rPr>
        <w:t xml:space="preserve"> and </w:t>
      </w:r>
      <w:r w:rsidR="00FA4189" w:rsidRPr="00C56286">
        <w:rPr>
          <w:rFonts w:eastAsiaTheme="minorHAnsi"/>
          <w:sz w:val="28"/>
          <w:szCs w:val="28"/>
          <w:lang w:val="en-GB"/>
        </w:rPr>
        <w:t xml:space="preserve">the </w:t>
      </w:r>
      <w:r w:rsidR="00FE3762" w:rsidRPr="00C56286">
        <w:rPr>
          <w:rFonts w:eastAsiaTheme="minorHAnsi"/>
          <w:sz w:val="28"/>
          <w:szCs w:val="28"/>
          <w:lang w:val="en-GB"/>
        </w:rPr>
        <w:t>MEPF</w:t>
      </w:r>
      <w:r w:rsidR="00695CC9" w:rsidRPr="00C56286">
        <w:rPr>
          <w:rFonts w:eastAsiaTheme="minorHAnsi"/>
          <w:sz w:val="28"/>
          <w:szCs w:val="28"/>
          <w:lang w:val="en-GB"/>
        </w:rPr>
        <w:t xml:space="preserve"> raised an alternative defence of prescription. </w:t>
      </w:r>
      <w:r w:rsidR="001736D2" w:rsidRPr="00C56286">
        <w:rPr>
          <w:rFonts w:eastAsiaTheme="minorHAnsi"/>
          <w:sz w:val="28"/>
          <w:szCs w:val="28"/>
          <w:lang w:val="en-GB"/>
        </w:rPr>
        <w:t xml:space="preserve">In view of my findings above, it is not necessary to consider the defence of prescription. </w:t>
      </w:r>
    </w:p>
    <w:p w:rsidR="007B3BBA" w:rsidRPr="00C56286" w:rsidRDefault="00C56286" w:rsidP="00C56286">
      <w:pPr>
        <w:rPr>
          <w:sz w:val="28"/>
          <w:szCs w:val="28"/>
        </w:rPr>
      </w:pPr>
      <w:r w:rsidRPr="00EC2091">
        <w:rPr>
          <w:sz w:val="28"/>
          <w:szCs w:val="28"/>
        </w:rPr>
        <w:lastRenderedPageBreak/>
        <w:t>[40]</w:t>
      </w:r>
      <w:r w:rsidRPr="00EC2091">
        <w:rPr>
          <w:sz w:val="28"/>
          <w:szCs w:val="28"/>
        </w:rPr>
        <w:tab/>
      </w:r>
      <w:r w:rsidR="007B3BBA" w:rsidRPr="00C56286">
        <w:rPr>
          <w:rFonts w:eastAsiaTheme="minorHAnsi"/>
          <w:sz w:val="28"/>
          <w:szCs w:val="28"/>
          <w:lang w:val="en-GB"/>
        </w:rPr>
        <w:t xml:space="preserve">In the result, the following order is made: </w:t>
      </w:r>
    </w:p>
    <w:p w:rsidR="007B3BBA" w:rsidRPr="00EC2091" w:rsidRDefault="007B3BBA" w:rsidP="00EC2091">
      <w:pPr>
        <w:rPr>
          <w:rFonts w:eastAsiaTheme="minorHAnsi"/>
          <w:sz w:val="28"/>
          <w:szCs w:val="28"/>
          <w:lang w:val="en-GB"/>
        </w:rPr>
      </w:pPr>
      <w:r w:rsidRPr="00EC2091">
        <w:rPr>
          <w:rFonts w:eastAsiaTheme="minorHAnsi"/>
          <w:sz w:val="28"/>
          <w:szCs w:val="28"/>
          <w:lang w:val="en-GB"/>
        </w:rPr>
        <w:t>The appeal is dismissed with costs</w:t>
      </w:r>
      <w:r w:rsidR="00C33CE6" w:rsidRPr="00EC2091">
        <w:rPr>
          <w:rFonts w:eastAsiaTheme="minorHAnsi"/>
          <w:sz w:val="28"/>
          <w:szCs w:val="28"/>
          <w:lang w:val="en-GB"/>
        </w:rPr>
        <w:t>,</w:t>
      </w:r>
      <w:r w:rsidR="00FE3762" w:rsidRPr="00EC2091">
        <w:rPr>
          <w:rFonts w:eastAsiaTheme="minorHAnsi"/>
          <w:sz w:val="28"/>
          <w:szCs w:val="28"/>
          <w:lang w:val="en-GB"/>
        </w:rPr>
        <w:t xml:space="preserve"> including </w:t>
      </w:r>
      <w:r w:rsidR="00C33CE6" w:rsidRPr="00EC2091">
        <w:rPr>
          <w:rFonts w:eastAsiaTheme="minorHAnsi"/>
          <w:sz w:val="28"/>
          <w:szCs w:val="28"/>
          <w:lang w:val="en-GB"/>
        </w:rPr>
        <w:t xml:space="preserve">the </w:t>
      </w:r>
      <w:r w:rsidR="00FE3762" w:rsidRPr="00EC2091">
        <w:rPr>
          <w:rFonts w:eastAsiaTheme="minorHAnsi"/>
          <w:sz w:val="28"/>
          <w:szCs w:val="28"/>
          <w:lang w:val="en-GB"/>
        </w:rPr>
        <w:t>costs</w:t>
      </w:r>
      <w:r w:rsidRPr="00EC2091">
        <w:rPr>
          <w:rFonts w:eastAsiaTheme="minorHAnsi"/>
          <w:sz w:val="28"/>
          <w:szCs w:val="28"/>
          <w:lang w:val="en-GB"/>
        </w:rPr>
        <w:t xml:space="preserve"> of two counsel.</w:t>
      </w:r>
    </w:p>
    <w:p w:rsidR="001F200C" w:rsidRPr="00EC2091" w:rsidRDefault="001F200C" w:rsidP="00EC2091">
      <w:pPr>
        <w:pStyle w:val="ListParagraph"/>
        <w:ind w:left="0"/>
        <w:rPr>
          <w:sz w:val="28"/>
          <w:szCs w:val="28"/>
        </w:rPr>
      </w:pPr>
    </w:p>
    <w:p w:rsidR="00E44EC8" w:rsidRPr="00EC2091" w:rsidRDefault="00E44EC8" w:rsidP="00EC2091">
      <w:pPr>
        <w:pStyle w:val="ListParagraph"/>
        <w:ind w:left="0"/>
        <w:jc w:val="right"/>
        <w:rPr>
          <w:sz w:val="28"/>
          <w:szCs w:val="28"/>
        </w:rPr>
      </w:pPr>
      <w:r w:rsidRPr="00EC2091">
        <w:rPr>
          <w:sz w:val="28"/>
          <w:szCs w:val="28"/>
        </w:rPr>
        <w:t>_</w:t>
      </w:r>
      <w:r w:rsidR="000B5825" w:rsidRPr="00EC2091">
        <w:rPr>
          <w:sz w:val="28"/>
          <w:szCs w:val="28"/>
        </w:rPr>
        <w:t>__________________</w:t>
      </w:r>
    </w:p>
    <w:p w:rsidR="004212DC" w:rsidRPr="00EC2091" w:rsidRDefault="00E44EC8" w:rsidP="00EC2091">
      <w:pPr>
        <w:pStyle w:val="ListParagraph"/>
        <w:ind w:left="0"/>
        <w:jc w:val="right"/>
        <w:rPr>
          <w:sz w:val="28"/>
          <w:szCs w:val="28"/>
        </w:rPr>
      </w:pPr>
      <w:r w:rsidRPr="00EC2091">
        <w:rPr>
          <w:sz w:val="28"/>
          <w:szCs w:val="28"/>
        </w:rPr>
        <w:t>D S MOLEFE</w:t>
      </w:r>
    </w:p>
    <w:p w:rsidR="004212DC" w:rsidRPr="00EC2091" w:rsidRDefault="004212DC" w:rsidP="00EC2091">
      <w:pPr>
        <w:jc w:val="right"/>
        <w:rPr>
          <w:sz w:val="28"/>
          <w:szCs w:val="28"/>
        </w:rPr>
      </w:pPr>
      <w:r w:rsidRPr="00EC2091">
        <w:rPr>
          <w:sz w:val="28"/>
          <w:szCs w:val="28"/>
        </w:rPr>
        <w:t>JUDGE OF APPEAL</w:t>
      </w:r>
    </w:p>
    <w:p w:rsidR="004212DC" w:rsidRPr="00EC2091" w:rsidRDefault="004212DC" w:rsidP="00EC2091">
      <w:pPr>
        <w:rPr>
          <w:sz w:val="28"/>
          <w:szCs w:val="28"/>
        </w:rPr>
      </w:pPr>
      <w:r w:rsidRPr="00EC2091">
        <w:rPr>
          <w:sz w:val="28"/>
          <w:szCs w:val="28"/>
        </w:rPr>
        <w:br w:type="page"/>
      </w:r>
      <w:r w:rsidRPr="00EC2091">
        <w:rPr>
          <w:sz w:val="28"/>
          <w:szCs w:val="28"/>
        </w:rPr>
        <w:lastRenderedPageBreak/>
        <w:t xml:space="preserve">Appearances </w:t>
      </w:r>
    </w:p>
    <w:p w:rsidR="00002ED1" w:rsidRPr="00EC2091" w:rsidRDefault="00002ED1" w:rsidP="00EC2091">
      <w:pPr>
        <w:rPr>
          <w:sz w:val="28"/>
          <w:szCs w:val="28"/>
        </w:rPr>
      </w:pPr>
    </w:p>
    <w:p w:rsidR="004212DC" w:rsidRPr="00EC2091" w:rsidRDefault="004212DC" w:rsidP="00EC2091">
      <w:pPr>
        <w:tabs>
          <w:tab w:val="left" w:pos="3828"/>
        </w:tabs>
        <w:rPr>
          <w:sz w:val="28"/>
          <w:szCs w:val="28"/>
        </w:rPr>
      </w:pPr>
      <w:r w:rsidRPr="00EC2091">
        <w:rPr>
          <w:sz w:val="28"/>
          <w:szCs w:val="28"/>
        </w:rPr>
        <w:t xml:space="preserve">For </w:t>
      </w:r>
      <w:r w:rsidR="001D6531" w:rsidRPr="00EC2091">
        <w:rPr>
          <w:sz w:val="28"/>
          <w:szCs w:val="28"/>
        </w:rPr>
        <w:t xml:space="preserve">the appellant: </w:t>
      </w:r>
      <w:r w:rsidR="001D6531" w:rsidRPr="00EC2091">
        <w:rPr>
          <w:sz w:val="28"/>
          <w:szCs w:val="28"/>
        </w:rPr>
        <w:tab/>
      </w:r>
      <w:r w:rsidR="00A411F9" w:rsidRPr="00EC2091">
        <w:rPr>
          <w:sz w:val="28"/>
          <w:szCs w:val="28"/>
        </w:rPr>
        <w:t xml:space="preserve">P van der Berg </w:t>
      </w:r>
      <w:r w:rsidR="00A36793" w:rsidRPr="00EC2091">
        <w:rPr>
          <w:sz w:val="28"/>
          <w:szCs w:val="28"/>
        </w:rPr>
        <w:t xml:space="preserve">SC </w:t>
      </w:r>
      <w:r w:rsidR="00A411F9" w:rsidRPr="00EC2091">
        <w:rPr>
          <w:sz w:val="28"/>
          <w:szCs w:val="28"/>
        </w:rPr>
        <w:t>with H Drake</w:t>
      </w:r>
    </w:p>
    <w:p w:rsidR="004212DC" w:rsidRPr="00EC2091" w:rsidRDefault="001D6531" w:rsidP="00EC2091">
      <w:pPr>
        <w:tabs>
          <w:tab w:val="left" w:pos="3828"/>
        </w:tabs>
        <w:rPr>
          <w:bCs/>
          <w:sz w:val="28"/>
          <w:szCs w:val="28"/>
        </w:rPr>
      </w:pPr>
      <w:r w:rsidRPr="00EC2091">
        <w:rPr>
          <w:bCs/>
          <w:sz w:val="28"/>
          <w:szCs w:val="28"/>
        </w:rPr>
        <w:t>Instructed by:</w:t>
      </w:r>
      <w:r w:rsidRPr="00EC2091">
        <w:rPr>
          <w:bCs/>
          <w:sz w:val="28"/>
          <w:szCs w:val="28"/>
        </w:rPr>
        <w:tab/>
      </w:r>
      <w:r w:rsidR="00AC7D6D" w:rsidRPr="00EC2091">
        <w:rPr>
          <w:bCs/>
          <w:sz w:val="28"/>
          <w:szCs w:val="28"/>
        </w:rPr>
        <w:t>Shepstone &amp; Wylie, Johannesburg</w:t>
      </w:r>
    </w:p>
    <w:p w:rsidR="004212DC" w:rsidRPr="00EC2091" w:rsidRDefault="004212DC" w:rsidP="00EC2091">
      <w:pPr>
        <w:tabs>
          <w:tab w:val="left" w:pos="3828"/>
        </w:tabs>
        <w:rPr>
          <w:bCs/>
          <w:sz w:val="28"/>
          <w:szCs w:val="28"/>
        </w:rPr>
      </w:pPr>
      <w:r w:rsidRPr="00EC2091">
        <w:rPr>
          <w:bCs/>
          <w:sz w:val="28"/>
          <w:szCs w:val="28"/>
        </w:rPr>
        <w:t xml:space="preserve">                                                   </w:t>
      </w:r>
      <w:r w:rsidR="001D6531" w:rsidRPr="00EC2091">
        <w:rPr>
          <w:bCs/>
          <w:sz w:val="28"/>
          <w:szCs w:val="28"/>
        </w:rPr>
        <w:tab/>
      </w:r>
      <w:r w:rsidR="00AC7D6D" w:rsidRPr="00EC2091">
        <w:rPr>
          <w:bCs/>
          <w:sz w:val="28"/>
          <w:szCs w:val="28"/>
        </w:rPr>
        <w:t xml:space="preserve">McIntyre </w:t>
      </w:r>
      <w:r w:rsidR="002B2864" w:rsidRPr="00EC2091">
        <w:rPr>
          <w:bCs/>
          <w:sz w:val="28"/>
          <w:szCs w:val="28"/>
        </w:rPr>
        <w:t>V</w:t>
      </w:r>
      <w:r w:rsidR="00AC7D6D" w:rsidRPr="00EC2091">
        <w:rPr>
          <w:bCs/>
          <w:sz w:val="28"/>
          <w:szCs w:val="28"/>
        </w:rPr>
        <w:t xml:space="preserve">an der Post </w:t>
      </w:r>
      <w:r w:rsidR="00081E78" w:rsidRPr="00EC2091">
        <w:rPr>
          <w:bCs/>
          <w:sz w:val="28"/>
          <w:szCs w:val="28"/>
        </w:rPr>
        <w:t>Attorneys</w:t>
      </w:r>
      <w:r w:rsidRPr="00EC2091">
        <w:rPr>
          <w:bCs/>
          <w:sz w:val="28"/>
          <w:szCs w:val="28"/>
        </w:rPr>
        <w:t>, Bloemfontein</w:t>
      </w:r>
    </w:p>
    <w:p w:rsidR="004212DC" w:rsidRPr="00EC2091" w:rsidRDefault="004212DC" w:rsidP="00EC2091">
      <w:pPr>
        <w:rPr>
          <w:bCs/>
          <w:sz w:val="28"/>
          <w:szCs w:val="28"/>
        </w:rPr>
      </w:pPr>
    </w:p>
    <w:p w:rsidR="004212DC" w:rsidRPr="00EC2091" w:rsidRDefault="004212DC" w:rsidP="00EC2091">
      <w:pPr>
        <w:tabs>
          <w:tab w:val="left" w:pos="3828"/>
        </w:tabs>
        <w:rPr>
          <w:sz w:val="28"/>
          <w:szCs w:val="28"/>
        </w:rPr>
      </w:pPr>
      <w:r w:rsidRPr="00EC2091">
        <w:rPr>
          <w:sz w:val="28"/>
          <w:szCs w:val="28"/>
        </w:rPr>
        <w:t xml:space="preserve">For </w:t>
      </w:r>
      <w:r w:rsidR="001D6531" w:rsidRPr="00EC2091">
        <w:rPr>
          <w:sz w:val="28"/>
          <w:szCs w:val="28"/>
        </w:rPr>
        <w:t xml:space="preserve">the first respondent: </w:t>
      </w:r>
      <w:r w:rsidR="001D6531" w:rsidRPr="00EC2091">
        <w:rPr>
          <w:sz w:val="28"/>
          <w:szCs w:val="28"/>
        </w:rPr>
        <w:tab/>
      </w:r>
      <w:r w:rsidR="00A36793" w:rsidRPr="00EC2091">
        <w:rPr>
          <w:sz w:val="28"/>
          <w:szCs w:val="28"/>
        </w:rPr>
        <w:t xml:space="preserve">F </w:t>
      </w:r>
      <w:r w:rsidR="009B6C64" w:rsidRPr="00EC2091">
        <w:rPr>
          <w:sz w:val="28"/>
          <w:szCs w:val="28"/>
        </w:rPr>
        <w:t xml:space="preserve">W Botes SC with </w:t>
      </w:r>
      <w:r w:rsidR="00B6514A">
        <w:rPr>
          <w:sz w:val="28"/>
          <w:szCs w:val="28"/>
        </w:rPr>
        <w:t>ASL van Wyk</w:t>
      </w:r>
      <w:r w:rsidRPr="00EC2091">
        <w:rPr>
          <w:sz w:val="28"/>
          <w:szCs w:val="28"/>
        </w:rPr>
        <w:tab/>
      </w:r>
      <w:r w:rsidRPr="00EC2091">
        <w:rPr>
          <w:sz w:val="28"/>
          <w:szCs w:val="28"/>
        </w:rPr>
        <w:tab/>
      </w:r>
    </w:p>
    <w:p w:rsidR="004212DC" w:rsidRPr="00EC2091" w:rsidRDefault="004212DC" w:rsidP="00EC2091">
      <w:pPr>
        <w:tabs>
          <w:tab w:val="left" w:pos="3828"/>
        </w:tabs>
        <w:rPr>
          <w:bCs/>
          <w:sz w:val="28"/>
          <w:szCs w:val="28"/>
        </w:rPr>
      </w:pPr>
      <w:r w:rsidRPr="00EC2091">
        <w:rPr>
          <w:bCs/>
          <w:sz w:val="28"/>
          <w:szCs w:val="28"/>
        </w:rPr>
        <w:t xml:space="preserve">Instructed by:                             </w:t>
      </w:r>
      <w:r w:rsidR="001D6531" w:rsidRPr="00EC2091">
        <w:rPr>
          <w:bCs/>
          <w:sz w:val="28"/>
          <w:szCs w:val="28"/>
        </w:rPr>
        <w:tab/>
        <w:t>N</w:t>
      </w:r>
      <w:r w:rsidR="002B2864" w:rsidRPr="00EC2091">
        <w:rPr>
          <w:bCs/>
          <w:sz w:val="28"/>
          <w:szCs w:val="28"/>
        </w:rPr>
        <w:t>ie</w:t>
      </w:r>
      <w:r w:rsidR="009B6C64" w:rsidRPr="00EC2091">
        <w:rPr>
          <w:bCs/>
          <w:sz w:val="28"/>
          <w:szCs w:val="28"/>
        </w:rPr>
        <w:t>man</w:t>
      </w:r>
      <w:r w:rsidR="002B2864" w:rsidRPr="00EC2091">
        <w:rPr>
          <w:bCs/>
          <w:sz w:val="28"/>
          <w:szCs w:val="28"/>
        </w:rPr>
        <w:t>n</w:t>
      </w:r>
      <w:r w:rsidR="009B6C64" w:rsidRPr="00EC2091">
        <w:rPr>
          <w:bCs/>
          <w:sz w:val="28"/>
          <w:szCs w:val="28"/>
        </w:rPr>
        <w:t xml:space="preserve"> Grobbelaar Attorneys, Bethlehem</w:t>
      </w:r>
    </w:p>
    <w:p w:rsidR="00D36233" w:rsidRPr="00EC2091" w:rsidRDefault="004212DC" w:rsidP="00EC2091">
      <w:pPr>
        <w:tabs>
          <w:tab w:val="left" w:pos="3828"/>
        </w:tabs>
        <w:rPr>
          <w:bCs/>
          <w:sz w:val="28"/>
          <w:szCs w:val="28"/>
        </w:rPr>
      </w:pPr>
      <w:r w:rsidRPr="00EC2091">
        <w:rPr>
          <w:bCs/>
          <w:sz w:val="28"/>
          <w:szCs w:val="28"/>
        </w:rPr>
        <w:t xml:space="preserve">                                                   </w:t>
      </w:r>
      <w:r w:rsidR="001D6531" w:rsidRPr="00EC2091">
        <w:rPr>
          <w:bCs/>
          <w:sz w:val="28"/>
          <w:szCs w:val="28"/>
        </w:rPr>
        <w:tab/>
      </w:r>
      <w:r w:rsidR="009B6C64" w:rsidRPr="00EC2091">
        <w:rPr>
          <w:bCs/>
          <w:sz w:val="28"/>
          <w:szCs w:val="28"/>
        </w:rPr>
        <w:t>Phatshoane Henn</w:t>
      </w:r>
      <w:r w:rsidR="001D6531" w:rsidRPr="00EC2091">
        <w:rPr>
          <w:bCs/>
          <w:sz w:val="28"/>
          <w:szCs w:val="28"/>
        </w:rPr>
        <w:t>e</w:t>
      </w:r>
      <w:r w:rsidR="009B6C64" w:rsidRPr="00EC2091">
        <w:rPr>
          <w:bCs/>
          <w:sz w:val="28"/>
          <w:szCs w:val="28"/>
        </w:rPr>
        <w:t xml:space="preserve">y </w:t>
      </w:r>
      <w:r w:rsidR="00E933B7" w:rsidRPr="00EC2091">
        <w:rPr>
          <w:bCs/>
          <w:sz w:val="28"/>
          <w:szCs w:val="28"/>
        </w:rPr>
        <w:t>Attorneys,</w:t>
      </w:r>
      <w:r w:rsidRPr="00EC2091">
        <w:rPr>
          <w:bCs/>
          <w:sz w:val="28"/>
          <w:szCs w:val="28"/>
        </w:rPr>
        <w:t xml:space="preserve"> Bloemfontein</w:t>
      </w:r>
    </w:p>
    <w:p w:rsidR="004212DC" w:rsidRPr="00EC2091" w:rsidRDefault="004212DC" w:rsidP="00EC2091">
      <w:pPr>
        <w:ind w:left="4320" w:hanging="4320"/>
        <w:rPr>
          <w:bCs/>
          <w:sz w:val="28"/>
          <w:szCs w:val="28"/>
        </w:rPr>
      </w:pPr>
      <w:r w:rsidRPr="00EC2091">
        <w:rPr>
          <w:bCs/>
          <w:sz w:val="28"/>
          <w:szCs w:val="28"/>
        </w:rPr>
        <w:t xml:space="preserve"> </w:t>
      </w:r>
    </w:p>
    <w:p w:rsidR="008B5018" w:rsidRPr="00EC2091" w:rsidRDefault="008B5018" w:rsidP="00EC2091">
      <w:pPr>
        <w:tabs>
          <w:tab w:val="left" w:pos="3828"/>
        </w:tabs>
        <w:rPr>
          <w:bCs/>
          <w:sz w:val="28"/>
          <w:szCs w:val="28"/>
        </w:rPr>
      </w:pPr>
      <w:r w:rsidRPr="00EC2091">
        <w:rPr>
          <w:bCs/>
          <w:sz w:val="28"/>
          <w:szCs w:val="28"/>
        </w:rPr>
        <w:t>For</w:t>
      </w:r>
      <w:r w:rsidR="009B6C64" w:rsidRPr="00EC2091">
        <w:rPr>
          <w:bCs/>
          <w:sz w:val="28"/>
          <w:szCs w:val="28"/>
        </w:rPr>
        <w:t xml:space="preserve"> </w:t>
      </w:r>
      <w:r w:rsidR="001D6531" w:rsidRPr="00EC2091">
        <w:rPr>
          <w:bCs/>
          <w:sz w:val="28"/>
          <w:szCs w:val="28"/>
        </w:rPr>
        <w:t xml:space="preserve">the </w:t>
      </w:r>
      <w:r w:rsidR="009B6C64" w:rsidRPr="00EC2091">
        <w:rPr>
          <w:bCs/>
          <w:sz w:val="28"/>
          <w:szCs w:val="28"/>
        </w:rPr>
        <w:t xml:space="preserve">second </w:t>
      </w:r>
      <w:r w:rsidRPr="00EC2091">
        <w:rPr>
          <w:bCs/>
          <w:sz w:val="28"/>
          <w:szCs w:val="28"/>
        </w:rPr>
        <w:t xml:space="preserve">respondent: </w:t>
      </w:r>
      <w:r w:rsidR="001D6531" w:rsidRPr="00EC2091">
        <w:rPr>
          <w:bCs/>
          <w:sz w:val="28"/>
          <w:szCs w:val="28"/>
        </w:rPr>
        <w:t xml:space="preserve">           </w:t>
      </w:r>
      <w:r w:rsidR="009B6C64" w:rsidRPr="00EC2091">
        <w:rPr>
          <w:bCs/>
          <w:sz w:val="28"/>
          <w:szCs w:val="28"/>
        </w:rPr>
        <w:t>A E Franklin SC with A C Mc</w:t>
      </w:r>
      <w:r w:rsidR="00A36793" w:rsidRPr="00EC2091">
        <w:rPr>
          <w:bCs/>
          <w:sz w:val="28"/>
          <w:szCs w:val="28"/>
        </w:rPr>
        <w:t>K</w:t>
      </w:r>
      <w:r w:rsidR="009B6C64" w:rsidRPr="00EC2091">
        <w:rPr>
          <w:bCs/>
          <w:sz w:val="28"/>
          <w:szCs w:val="28"/>
        </w:rPr>
        <w:t>enzie</w:t>
      </w:r>
      <w:r w:rsidR="00081E78" w:rsidRPr="00EC2091">
        <w:rPr>
          <w:bCs/>
          <w:sz w:val="28"/>
          <w:szCs w:val="28"/>
        </w:rPr>
        <w:t xml:space="preserve">          </w:t>
      </w:r>
    </w:p>
    <w:p w:rsidR="008B5018" w:rsidRPr="00EC2091" w:rsidRDefault="008B5018" w:rsidP="00EC2091">
      <w:pPr>
        <w:tabs>
          <w:tab w:val="left" w:pos="3828"/>
        </w:tabs>
        <w:rPr>
          <w:bCs/>
          <w:sz w:val="28"/>
          <w:szCs w:val="28"/>
        </w:rPr>
      </w:pPr>
      <w:r w:rsidRPr="00EC2091">
        <w:rPr>
          <w:bCs/>
          <w:sz w:val="28"/>
          <w:szCs w:val="28"/>
        </w:rPr>
        <w:t xml:space="preserve">Instructed by: </w:t>
      </w:r>
      <w:r w:rsidR="00081E78" w:rsidRPr="00EC2091">
        <w:rPr>
          <w:bCs/>
          <w:sz w:val="28"/>
          <w:szCs w:val="28"/>
        </w:rPr>
        <w:t xml:space="preserve">                           </w:t>
      </w:r>
      <w:r w:rsidR="00822035" w:rsidRPr="00EC2091">
        <w:rPr>
          <w:bCs/>
          <w:sz w:val="28"/>
          <w:szCs w:val="28"/>
        </w:rPr>
        <w:t xml:space="preserve"> </w:t>
      </w:r>
      <w:r w:rsidR="001D6531" w:rsidRPr="00EC2091">
        <w:rPr>
          <w:bCs/>
          <w:sz w:val="28"/>
          <w:szCs w:val="28"/>
        </w:rPr>
        <w:tab/>
      </w:r>
      <w:r w:rsidR="009B6C64" w:rsidRPr="00EC2091">
        <w:rPr>
          <w:bCs/>
          <w:sz w:val="28"/>
          <w:szCs w:val="28"/>
        </w:rPr>
        <w:t>Webber Wenzel, Johannesburg</w:t>
      </w:r>
    </w:p>
    <w:p w:rsidR="000E45AA" w:rsidRPr="00EC2091" w:rsidRDefault="00081E78" w:rsidP="00EC2091">
      <w:pPr>
        <w:tabs>
          <w:tab w:val="left" w:pos="3828"/>
        </w:tabs>
        <w:rPr>
          <w:bCs/>
          <w:sz w:val="28"/>
          <w:szCs w:val="28"/>
        </w:rPr>
      </w:pPr>
      <w:r w:rsidRPr="00EC2091">
        <w:rPr>
          <w:bCs/>
          <w:sz w:val="28"/>
          <w:szCs w:val="28"/>
        </w:rPr>
        <w:t xml:space="preserve">                                               </w:t>
      </w:r>
      <w:r w:rsidR="009D1434" w:rsidRPr="00EC2091">
        <w:rPr>
          <w:bCs/>
          <w:sz w:val="28"/>
          <w:szCs w:val="28"/>
        </w:rPr>
        <w:t xml:space="preserve">   </w:t>
      </w:r>
      <w:r w:rsidR="00822035" w:rsidRPr="00EC2091">
        <w:rPr>
          <w:bCs/>
          <w:sz w:val="28"/>
          <w:szCs w:val="28"/>
        </w:rPr>
        <w:t xml:space="preserve"> </w:t>
      </w:r>
      <w:r w:rsidR="001D6531" w:rsidRPr="00EC2091">
        <w:rPr>
          <w:bCs/>
          <w:sz w:val="28"/>
          <w:szCs w:val="28"/>
        </w:rPr>
        <w:tab/>
      </w:r>
      <w:r w:rsidR="009B6C64" w:rsidRPr="00EC2091">
        <w:rPr>
          <w:bCs/>
          <w:sz w:val="28"/>
          <w:szCs w:val="28"/>
        </w:rPr>
        <w:t>Symington De Kok Attorneys</w:t>
      </w:r>
      <w:r w:rsidR="00E44EC8" w:rsidRPr="00EC2091">
        <w:rPr>
          <w:bCs/>
          <w:sz w:val="28"/>
          <w:szCs w:val="28"/>
        </w:rPr>
        <w:t>,</w:t>
      </w:r>
      <w:r w:rsidRPr="00EC2091">
        <w:rPr>
          <w:bCs/>
          <w:sz w:val="28"/>
          <w:szCs w:val="28"/>
        </w:rPr>
        <w:t xml:space="preserve"> Bloemfontein</w:t>
      </w:r>
    </w:p>
    <w:p w:rsidR="001F6B30" w:rsidRPr="001F200C" w:rsidRDefault="001F6B30" w:rsidP="001D6531">
      <w:pPr>
        <w:spacing w:line="240" w:lineRule="auto"/>
        <w:rPr>
          <w:color w:val="000000"/>
          <w:lang w:eastAsia="en-ZA"/>
        </w:rPr>
      </w:pPr>
    </w:p>
    <w:sectPr w:rsidR="001F6B30" w:rsidRPr="001F200C" w:rsidSect="006B27C8">
      <w:headerReference w:type="even" r:id="rId9"/>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BF9" w:rsidRDefault="00EA3BF9" w:rsidP="001F6B30">
      <w:pPr>
        <w:spacing w:line="240" w:lineRule="auto"/>
      </w:pPr>
      <w:r>
        <w:separator/>
      </w:r>
    </w:p>
  </w:endnote>
  <w:endnote w:type="continuationSeparator" w:id="0">
    <w:p w:rsidR="00EA3BF9" w:rsidRDefault="00EA3BF9" w:rsidP="001F6B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BF9" w:rsidRDefault="00EA3BF9" w:rsidP="001F6B30">
      <w:pPr>
        <w:spacing w:line="240" w:lineRule="auto"/>
      </w:pPr>
      <w:r>
        <w:separator/>
      </w:r>
    </w:p>
  </w:footnote>
  <w:footnote w:type="continuationSeparator" w:id="0">
    <w:p w:rsidR="00EA3BF9" w:rsidRDefault="00EA3BF9" w:rsidP="001F6B30">
      <w:pPr>
        <w:spacing w:line="240" w:lineRule="auto"/>
      </w:pPr>
      <w:r>
        <w:continuationSeparator/>
      </w:r>
    </w:p>
  </w:footnote>
  <w:footnote w:id="1">
    <w:p w:rsidR="001032B0" w:rsidRPr="00DA43AB" w:rsidRDefault="001032B0" w:rsidP="001032B0">
      <w:pPr>
        <w:pStyle w:val="FootnoteText"/>
        <w:jc w:val="both"/>
        <w:rPr>
          <w:rFonts w:ascii="Times New Roman" w:hAnsi="Times New Roman" w:cs="Times New Roman"/>
        </w:rPr>
      </w:pPr>
      <w:r w:rsidRPr="00DA43AB">
        <w:rPr>
          <w:rStyle w:val="FootnoteReference"/>
          <w:rFonts w:ascii="Times New Roman" w:hAnsi="Times New Roman" w:cs="Times New Roman"/>
        </w:rPr>
        <w:footnoteRef/>
      </w:r>
      <w:r w:rsidRPr="00DA43AB">
        <w:rPr>
          <w:rFonts w:ascii="Times New Roman" w:hAnsi="Times New Roman" w:cs="Times New Roman"/>
        </w:rPr>
        <w:t xml:space="preserve"> </w:t>
      </w:r>
      <w:r w:rsidRPr="00DA43AB">
        <w:rPr>
          <w:rFonts w:ascii="Times New Roman" w:hAnsi="Times New Roman" w:cs="Times New Roman"/>
          <w:i/>
        </w:rPr>
        <w:t>Royal Sechaba Holdings (Pty) Ltd</w:t>
      </w:r>
      <w:r w:rsidRPr="00DA43AB">
        <w:rPr>
          <w:rFonts w:ascii="Times New Roman" w:hAnsi="Times New Roman" w:cs="Times New Roman"/>
        </w:rPr>
        <w:t xml:space="preserve"> </w:t>
      </w:r>
      <w:r w:rsidRPr="00DA43AB">
        <w:rPr>
          <w:rFonts w:ascii="Times New Roman" w:hAnsi="Times New Roman" w:cs="Times New Roman"/>
          <w:i/>
        </w:rPr>
        <w:t>v Coote and Another</w:t>
      </w:r>
      <w:r w:rsidRPr="00DA43AB">
        <w:rPr>
          <w:rFonts w:ascii="Times New Roman" w:hAnsi="Times New Roman" w:cs="Times New Roman"/>
        </w:rPr>
        <w:t xml:space="preserve"> </w:t>
      </w:r>
      <w:r w:rsidRPr="00791666">
        <w:rPr>
          <w:rFonts w:ascii="Times New Roman" w:hAnsi="Times New Roman" w:cs="Times New Roman"/>
        </w:rPr>
        <w:t>[2014] ZASCA 85; [2014] 3 All SA 431 (SCA); 2014 (5)</w:t>
      </w:r>
      <w:r w:rsidRPr="00DA43AB">
        <w:rPr>
          <w:rFonts w:ascii="Times New Roman" w:hAnsi="Times New Roman" w:cs="Times New Roman"/>
        </w:rPr>
        <w:t xml:space="preserve"> SA 562 (SCA) para 11. </w:t>
      </w:r>
    </w:p>
  </w:footnote>
  <w:footnote w:id="2">
    <w:p w:rsidR="005B2B4C" w:rsidRPr="00171FE7" w:rsidRDefault="005B2B4C" w:rsidP="00171FE7">
      <w:pPr>
        <w:pStyle w:val="FootnoteText"/>
        <w:jc w:val="both"/>
        <w:rPr>
          <w:rFonts w:ascii="Times New Roman" w:hAnsi="Times New Roman" w:cs="Times New Roman"/>
        </w:rPr>
      </w:pPr>
      <w:r w:rsidRPr="00171FE7">
        <w:rPr>
          <w:rStyle w:val="FootnoteReference"/>
          <w:rFonts w:ascii="Times New Roman" w:hAnsi="Times New Roman" w:cs="Times New Roman"/>
        </w:rPr>
        <w:footnoteRef/>
      </w:r>
      <w:r w:rsidRPr="00171FE7">
        <w:rPr>
          <w:rFonts w:ascii="Times New Roman" w:hAnsi="Times New Roman" w:cs="Times New Roman"/>
        </w:rPr>
        <w:t xml:space="preserve"> </w:t>
      </w:r>
      <w:r w:rsidR="0052109F" w:rsidRPr="00171FE7">
        <w:rPr>
          <w:rFonts w:ascii="Times New Roman" w:hAnsi="Times New Roman" w:cs="Times New Roman"/>
          <w:i/>
        </w:rPr>
        <w:t>Smith v Porritt and Others</w:t>
      </w:r>
      <w:r w:rsidR="0052109F" w:rsidRPr="00171FE7">
        <w:rPr>
          <w:rFonts w:ascii="Times New Roman" w:hAnsi="Times New Roman" w:cs="Times New Roman"/>
        </w:rPr>
        <w:t xml:space="preserve"> [2007] ZASCA 19; 2008 (6) SA 303 (SCA) para 10.</w:t>
      </w:r>
    </w:p>
  </w:footnote>
  <w:footnote w:id="3">
    <w:p w:rsidR="005B2B4C" w:rsidRPr="00171FE7" w:rsidRDefault="005B2B4C">
      <w:pPr>
        <w:pStyle w:val="FootnoteText"/>
        <w:jc w:val="both"/>
        <w:rPr>
          <w:rFonts w:ascii="Times New Roman" w:hAnsi="Times New Roman" w:cs="Times New Roman"/>
        </w:rPr>
      </w:pPr>
      <w:r w:rsidRPr="005B2B4C">
        <w:rPr>
          <w:rStyle w:val="FootnoteReference"/>
          <w:rFonts w:ascii="Times New Roman" w:hAnsi="Times New Roman" w:cs="Times New Roman"/>
        </w:rPr>
        <w:footnoteRef/>
      </w:r>
      <w:r w:rsidRPr="005B2B4C">
        <w:rPr>
          <w:rFonts w:ascii="Times New Roman" w:hAnsi="Times New Roman" w:cs="Times New Roman"/>
        </w:rPr>
        <w:t xml:space="preserve"> </w:t>
      </w:r>
      <w:r w:rsidR="003E2783" w:rsidRPr="00171FE7">
        <w:rPr>
          <w:rFonts w:ascii="Times New Roman" w:hAnsi="Times New Roman" w:cs="Times New Roman"/>
          <w:i/>
        </w:rPr>
        <w:t>Prinsloo N</w:t>
      </w:r>
      <w:r w:rsidR="003E2783">
        <w:rPr>
          <w:rFonts w:ascii="Times New Roman" w:hAnsi="Times New Roman" w:cs="Times New Roman"/>
          <w:i/>
        </w:rPr>
        <w:t xml:space="preserve"> </w:t>
      </w:r>
      <w:r w:rsidR="003E2783" w:rsidRPr="00171FE7">
        <w:rPr>
          <w:rFonts w:ascii="Times New Roman" w:hAnsi="Times New Roman" w:cs="Times New Roman"/>
          <w:i/>
        </w:rPr>
        <w:t>O and Others v Goldex 15 (Pty) Ltd and Another</w:t>
      </w:r>
      <w:r w:rsidR="003E2783">
        <w:rPr>
          <w:rFonts w:ascii="Times New Roman" w:hAnsi="Times New Roman" w:cs="Times New Roman"/>
        </w:rPr>
        <w:t xml:space="preserve"> </w:t>
      </w:r>
      <w:r w:rsidR="003E2783" w:rsidRPr="003E2783">
        <w:rPr>
          <w:rFonts w:ascii="Times New Roman" w:hAnsi="Times New Roman" w:cs="Times New Roman"/>
        </w:rPr>
        <w:t>[2012] ZASCA 28; 2014 (5) SA 297 (SCA) </w:t>
      </w:r>
      <w:r w:rsidR="003E2783">
        <w:rPr>
          <w:rFonts w:ascii="Times New Roman" w:hAnsi="Times New Roman" w:cs="Times New Roman"/>
        </w:rPr>
        <w:t>para 23.</w:t>
      </w:r>
    </w:p>
  </w:footnote>
  <w:footnote w:id="4">
    <w:p w:rsidR="00746BAA" w:rsidRPr="00DA43AB" w:rsidRDefault="00746BAA" w:rsidP="00DA43AB">
      <w:pPr>
        <w:pStyle w:val="FootnoteText"/>
        <w:jc w:val="both"/>
        <w:rPr>
          <w:rFonts w:ascii="Times New Roman" w:hAnsi="Times New Roman" w:cs="Times New Roman"/>
        </w:rPr>
      </w:pPr>
      <w:r w:rsidRPr="00DA43AB">
        <w:rPr>
          <w:rStyle w:val="FootnoteReference"/>
          <w:rFonts w:ascii="Times New Roman" w:hAnsi="Times New Roman" w:cs="Times New Roman"/>
        </w:rPr>
        <w:footnoteRef/>
      </w:r>
      <w:r w:rsidRPr="00DA43AB">
        <w:rPr>
          <w:rFonts w:ascii="Times New Roman" w:hAnsi="Times New Roman" w:cs="Times New Roman"/>
        </w:rPr>
        <w:t xml:space="preserve"> Section </w:t>
      </w:r>
      <w:r w:rsidR="00DB262A" w:rsidRPr="00DA43AB">
        <w:rPr>
          <w:rFonts w:ascii="Times New Roman" w:hAnsi="Times New Roman" w:cs="Times New Roman"/>
        </w:rPr>
        <w:t>13A(</w:t>
      </w:r>
      <w:r w:rsidRPr="00DA43AB">
        <w:rPr>
          <w:rFonts w:ascii="Times New Roman" w:hAnsi="Times New Roman" w:cs="Times New Roman"/>
        </w:rPr>
        <w:t xml:space="preserve">2) of the Act. </w:t>
      </w:r>
    </w:p>
  </w:footnote>
  <w:footnote w:id="5">
    <w:p w:rsidR="00746BAA" w:rsidRPr="00DA43AB" w:rsidRDefault="00746BAA" w:rsidP="00DA43AB">
      <w:pPr>
        <w:pStyle w:val="FootnoteText"/>
        <w:jc w:val="both"/>
        <w:rPr>
          <w:rFonts w:ascii="Times New Roman" w:hAnsi="Times New Roman" w:cs="Times New Roman"/>
        </w:rPr>
      </w:pPr>
      <w:r w:rsidRPr="00DA43AB">
        <w:rPr>
          <w:rStyle w:val="FootnoteReference"/>
          <w:rFonts w:ascii="Times New Roman" w:hAnsi="Times New Roman" w:cs="Times New Roman"/>
        </w:rPr>
        <w:footnoteRef/>
      </w:r>
      <w:r w:rsidRPr="00DA43AB">
        <w:rPr>
          <w:rFonts w:ascii="Times New Roman" w:hAnsi="Times New Roman" w:cs="Times New Roman"/>
        </w:rPr>
        <w:t xml:space="preserve"> This rule was upheld in </w:t>
      </w:r>
      <w:r w:rsidRPr="00DA43AB">
        <w:rPr>
          <w:rFonts w:ascii="Times New Roman" w:hAnsi="Times New Roman" w:cs="Times New Roman"/>
          <w:i/>
        </w:rPr>
        <w:t>SAMWU v Umzimkhulu Local Municipality</w:t>
      </w:r>
      <w:r w:rsidRPr="00DA43AB">
        <w:rPr>
          <w:rFonts w:ascii="Times New Roman" w:hAnsi="Times New Roman" w:cs="Times New Roman"/>
        </w:rPr>
        <w:t xml:space="preserve"> [2019] 3 BPLR 628 (SCA).  </w:t>
      </w:r>
    </w:p>
  </w:footnote>
  <w:footnote w:id="6">
    <w:p w:rsidR="00746BAA" w:rsidRPr="00DA43AB" w:rsidRDefault="00746BAA" w:rsidP="00DA43AB">
      <w:pPr>
        <w:pStyle w:val="FootnoteText"/>
        <w:jc w:val="both"/>
        <w:rPr>
          <w:rFonts w:ascii="Times New Roman" w:hAnsi="Times New Roman" w:cs="Times New Roman"/>
        </w:rPr>
      </w:pPr>
      <w:r w:rsidRPr="00DA43AB">
        <w:rPr>
          <w:rStyle w:val="FootnoteReference"/>
          <w:rFonts w:ascii="Times New Roman" w:hAnsi="Times New Roman" w:cs="Times New Roman"/>
        </w:rPr>
        <w:footnoteRef/>
      </w:r>
      <w:r w:rsidRPr="00DA43AB">
        <w:rPr>
          <w:rFonts w:ascii="Times New Roman" w:hAnsi="Times New Roman" w:cs="Times New Roman"/>
        </w:rPr>
        <w:t xml:space="preserve"> ‘Service’ is defined as ‘active permanent employment with an employer for not less than twenty hours per week’</w:t>
      </w:r>
      <w:r w:rsidRPr="000301AB">
        <w:rPr>
          <w:rFonts w:ascii="Times New Roman" w:hAnsi="Times New Roman" w:cs="Times New Roman"/>
        </w:rPr>
        <w:t>.</w:t>
      </w:r>
    </w:p>
  </w:footnote>
  <w:footnote w:id="7">
    <w:p w:rsidR="00746BAA" w:rsidRPr="00791666" w:rsidRDefault="00746BAA" w:rsidP="00DA43AB">
      <w:pPr>
        <w:pStyle w:val="FootnoteText"/>
        <w:jc w:val="both"/>
        <w:rPr>
          <w:rFonts w:ascii="Times New Roman" w:hAnsi="Times New Roman" w:cs="Times New Roman"/>
        </w:rPr>
      </w:pPr>
      <w:r w:rsidRPr="00DA43AB">
        <w:rPr>
          <w:rStyle w:val="FootnoteReference"/>
          <w:rFonts w:ascii="Times New Roman" w:hAnsi="Times New Roman" w:cs="Times New Roman"/>
        </w:rPr>
        <w:footnoteRef/>
      </w:r>
      <w:r w:rsidRPr="00DA43AB">
        <w:rPr>
          <w:rFonts w:ascii="Times New Roman" w:hAnsi="Times New Roman" w:cs="Times New Roman"/>
        </w:rPr>
        <w:t xml:space="preserve"> </w:t>
      </w:r>
      <w:r w:rsidRPr="00DA43AB">
        <w:rPr>
          <w:rFonts w:ascii="Times New Roman" w:hAnsi="Times New Roman" w:cs="Times New Roman"/>
          <w:i/>
        </w:rPr>
        <w:t xml:space="preserve">Themba v Mintroad Sawmills (Pty) Ltd </w:t>
      </w:r>
      <w:r w:rsidRPr="00DA43AB">
        <w:rPr>
          <w:rFonts w:ascii="Times New Roman" w:hAnsi="Times New Roman" w:cs="Times New Roman"/>
        </w:rPr>
        <w:t>[2015] 2 BLLR 174 (</w:t>
      </w:r>
      <w:r w:rsidRPr="00791666">
        <w:rPr>
          <w:rFonts w:ascii="Times New Roman" w:hAnsi="Times New Roman" w:cs="Times New Roman"/>
        </w:rPr>
        <w:t xml:space="preserve">LC) para 22. </w:t>
      </w:r>
    </w:p>
  </w:footnote>
  <w:footnote w:id="8">
    <w:p w:rsidR="00746BAA" w:rsidRPr="00DA43AB" w:rsidRDefault="00746BAA" w:rsidP="00DA43AB">
      <w:pPr>
        <w:pStyle w:val="FootnoteText"/>
        <w:jc w:val="both"/>
        <w:rPr>
          <w:rFonts w:ascii="Times New Roman" w:hAnsi="Times New Roman" w:cs="Times New Roman"/>
        </w:rPr>
      </w:pPr>
      <w:r w:rsidRPr="00791666">
        <w:rPr>
          <w:rStyle w:val="FootnoteReference"/>
          <w:rFonts w:ascii="Times New Roman" w:hAnsi="Times New Roman" w:cs="Times New Roman"/>
        </w:rPr>
        <w:footnoteRef/>
      </w:r>
      <w:r w:rsidRPr="00791666">
        <w:rPr>
          <w:rFonts w:ascii="Times New Roman" w:hAnsi="Times New Roman" w:cs="Times New Roman"/>
        </w:rPr>
        <w:t xml:space="preserve"> </w:t>
      </w:r>
      <w:r w:rsidRPr="00791666">
        <w:rPr>
          <w:rFonts w:ascii="Times New Roman" w:hAnsi="Times New Roman" w:cs="Times New Roman"/>
          <w:i/>
        </w:rPr>
        <w:t>Roazar CC v The Falls Supermarket CC</w:t>
      </w:r>
      <w:r w:rsidRPr="00791666">
        <w:rPr>
          <w:rFonts w:ascii="Times New Roman" w:hAnsi="Times New Roman" w:cs="Times New Roman"/>
        </w:rPr>
        <w:t xml:space="preserve"> [2017] ZASCA 166; [2018] 1 All SA 438 (SCA); 2018 (3) SA 76 (SCA) para 9.</w:t>
      </w:r>
      <w:r w:rsidRPr="00DA43AB">
        <w:rPr>
          <w:rFonts w:ascii="Times New Roman" w:hAnsi="Times New Roman" w:cs="Times New Roman"/>
        </w:rPr>
        <w:t xml:space="preserve">  </w:t>
      </w:r>
    </w:p>
  </w:footnote>
  <w:footnote w:id="9">
    <w:p w:rsidR="00746BAA" w:rsidRPr="00791666" w:rsidRDefault="00746BAA" w:rsidP="00DA43AB">
      <w:pPr>
        <w:pStyle w:val="FootnoteText"/>
        <w:jc w:val="both"/>
        <w:rPr>
          <w:rFonts w:ascii="Times New Roman" w:hAnsi="Times New Roman" w:cs="Times New Roman"/>
        </w:rPr>
      </w:pPr>
      <w:r w:rsidRPr="00791666">
        <w:rPr>
          <w:rStyle w:val="FootnoteReference"/>
          <w:rFonts w:ascii="Times New Roman" w:hAnsi="Times New Roman" w:cs="Times New Roman"/>
        </w:rPr>
        <w:footnoteRef/>
      </w:r>
      <w:r w:rsidRPr="00791666">
        <w:rPr>
          <w:rFonts w:ascii="Times New Roman" w:hAnsi="Times New Roman" w:cs="Times New Roman"/>
        </w:rPr>
        <w:t xml:space="preserve"> </w:t>
      </w:r>
      <w:r w:rsidRPr="00791666">
        <w:rPr>
          <w:rFonts w:ascii="Times New Roman" w:hAnsi="Times New Roman" w:cs="Times New Roman"/>
          <w:i/>
        </w:rPr>
        <w:t xml:space="preserve">University of Johannesburg v Auckland Park Theological Seminary and Another </w:t>
      </w:r>
      <w:r w:rsidRPr="00791666">
        <w:rPr>
          <w:rFonts w:ascii="Times New Roman" w:hAnsi="Times New Roman" w:cs="Times New Roman"/>
        </w:rPr>
        <w:t>[2021] ZACC 13;</w:t>
      </w:r>
      <w:r w:rsidRPr="00791666">
        <w:t xml:space="preserve"> </w:t>
      </w:r>
      <w:r w:rsidRPr="00791666">
        <w:rPr>
          <w:rFonts w:ascii="Times New Roman" w:hAnsi="Times New Roman" w:cs="Times New Roman"/>
        </w:rPr>
        <w:t xml:space="preserve">2021 (8) BCLR 807 (CC); 2021 (6) SA 1 (CC) paras 80 and 81. </w:t>
      </w:r>
    </w:p>
  </w:footnote>
  <w:footnote w:id="10">
    <w:p w:rsidR="00746BAA" w:rsidRPr="00DA43AB" w:rsidRDefault="00746BAA" w:rsidP="00DA43AB">
      <w:pPr>
        <w:pStyle w:val="FootnoteText"/>
        <w:jc w:val="both"/>
        <w:rPr>
          <w:rFonts w:ascii="Times New Roman" w:hAnsi="Times New Roman" w:cs="Times New Roman"/>
        </w:rPr>
      </w:pPr>
      <w:r w:rsidRPr="00791666">
        <w:rPr>
          <w:rStyle w:val="FootnoteReference"/>
          <w:rFonts w:ascii="Times New Roman" w:hAnsi="Times New Roman" w:cs="Times New Roman"/>
        </w:rPr>
        <w:footnoteRef/>
      </w:r>
      <w:r w:rsidRPr="00791666">
        <w:rPr>
          <w:rFonts w:ascii="Times New Roman" w:hAnsi="Times New Roman" w:cs="Times New Roman"/>
        </w:rPr>
        <w:t xml:space="preserve"> </w:t>
      </w:r>
      <w:r w:rsidRPr="00791666">
        <w:rPr>
          <w:rFonts w:ascii="Times New Roman" w:hAnsi="Times New Roman" w:cs="Times New Roman"/>
          <w:i/>
        </w:rPr>
        <w:t>Natal Joint Municipal Pension Fund v Endumeni Municipality</w:t>
      </w:r>
      <w:r w:rsidRPr="00791666">
        <w:rPr>
          <w:rFonts w:ascii="Times New Roman" w:hAnsi="Times New Roman" w:cs="Times New Roman"/>
        </w:rPr>
        <w:t xml:space="preserve"> [2012] ZASCA 13; [2012] 2 All SA 262 (SCA); 2012 (4) SA 593 (SCA).</w:t>
      </w:r>
      <w:r w:rsidRPr="00DA43AB">
        <w:rPr>
          <w:rFonts w:ascii="Times New Roman" w:hAnsi="Times New Roman" w:cs="Times New Roman"/>
        </w:rPr>
        <w:t xml:space="preserve"> </w:t>
      </w:r>
    </w:p>
  </w:footnote>
  <w:footnote w:id="11">
    <w:p w:rsidR="00746BAA" w:rsidRPr="00791666" w:rsidRDefault="00746BAA" w:rsidP="00DA43AB">
      <w:pPr>
        <w:pStyle w:val="FootnoteText"/>
        <w:jc w:val="both"/>
        <w:rPr>
          <w:rFonts w:ascii="Times New Roman" w:hAnsi="Times New Roman" w:cs="Times New Roman"/>
        </w:rPr>
      </w:pPr>
      <w:r w:rsidRPr="00DA43AB">
        <w:rPr>
          <w:rStyle w:val="FootnoteReference"/>
          <w:rFonts w:ascii="Times New Roman" w:hAnsi="Times New Roman" w:cs="Times New Roman"/>
        </w:rPr>
        <w:footnoteRef/>
      </w:r>
      <w:r w:rsidRPr="00DA43AB">
        <w:rPr>
          <w:rFonts w:ascii="Times New Roman" w:hAnsi="Times New Roman" w:cs="Times New Roman"/>
        </w:rPr>
        <w:t xml:space="preserve"> </w:t>
      </w:r>
      <w:r w:rsidRPr="00791666">
        <w:rPr>
          <w:rFonts w:ascii="Times New Roman" w:hAnsi="Times New Roman" w:cs="Times New Roman"/>
          <w:i/>
        </w:rPr>
        <w:t>Equity Aviation Services (Pty) Ltd v Commission for Conciliation, Mediation and Arbitration and Others</w:t>
      </w:r>
      <w:r w:rsidRPr="00791666">
        <w:rPr>
          <w:rFonts w:ascii="Times New Roman" w:hAnsi="Times New Roman" w:cs="Times New Roman"/>
        </w:rPr>
        <w:t xml:space="preserve"> [2008] ZACC 16; [2008] 12 BLLR 1129 (CC);</w:t>
      </w:r>
      <w:r w:rsidRPr="00791666">
        <w:t xml:space="preserve"> </w:t>
      </w:r>
      <w:r w:rsidRPr="00791666">
        <w:rPr>
          <w:rFonts w:ascii="Times New Roman" w:hAnsi="Times New Roman" w:cs="Times New Roman"/>
        </w:rPr>
        <w:t xml:space="preserve">2009 (1) SA 390 (CC); 2009 (2) BCLR 111 (CC) para 36. </w:t>
      </w:r>
    </w:p>
  </w:footnote>
  <w:footnote w:id="12">
    <w:p w:rsidR="00746BAA" w:rsidRPr="00791666" w:rsidRDefault="00746BAA" w:rsidP="00DA43AB">
      <w:pPr>
        <w:pStyle w:val="FootnoteText"/>
        <w:jc w:val="both"/>
        <w:rPr>
          <w:rFonts w:ascii="Times New Roman" w:hAnsi="Times New Roman" w:cs="Times New Roman"/>
        </w:rPr>
      </w:pPr>
      <w:r w:rsidRPr="00791666">
        <w:rPr>
          <w:rStyle w:val="FootnoteReference"/>
          <w:rFonts w:ascii="Times New Roman" w:hAnsi="Times New Roman" w:cs="Times New Roman"/>
        </w:rPr>
        <w:footnoteRef/>
      </w:r>
      <w:r w:rsidRPr="00791666">
        <w:rPr>
          <w:rFonts w:ascii="Times New Roman" w:hAnsi="Times New Roman" w:cs="Times New Roman"/>
        </w:rPr>
        <w:t xml:space="preserve"> </w:t>
      </w:r>
      <w:r w:rsidRPr="00791666">
        <w:rPr>
          <w:rFonts w:ascii="Times New Roman" w:hAnsi="Times New Roman" w:cs="Times New Roman"/>
          <w:i/>
        </w:rPr>
        <w:t>Nel v Oudtshoorn Municipality</w:t>
      </w:r>
      <w:r w:rsidRPr="00791666">
        <w:rPr>
          <w:rFonts w:ascii="Times New Roman" w:hAnsi="Times New Roman" w:cs="Times New Roman"/>
        </w:rPr>
        <w:t xml:space="preserve"> [2013] ZASCA 37; (2013) 34 ILJ 1737 (SCA) para 10.</w:t>
      </w:r>
    </w:p>
  </w:footnote>
  <w:footnote w:id="13">
    <w:p w:rsidR="00746BAA" w:rsidRPr="008D61EA" w:rsidRDefault="00746BAA">
      <w:pPr>
        <w:pStyle w:val="FootnoteText"/>
        <w:jc w:val="both"/>
        <w:rPr>
          <w:rFonts w:ascii="Times New Roman" w:hAnsi="Times New Roman" w:cs="Times New Roman"/>
        </w:rPr>
      </w:pPr>
      <w:r w:rsidRPr="008D61EA">
        <w:rPr>
          <w:rStyle w:val="FootnoteReference"/>
          <w:rFonts w:ascii="Times New Roman" w:hAnsi="Times New Roman" w:cs="Times New Roman"/>
        </w:rPr>
        <w:footnoteRef/>
      </w:r>
      <w:r w:rsidRPr="008D61EA">
        <w:rPr>
          <w:rFonts w:ascii="Times New Roman" w:hAnsi="Times New Roman" w:cs="Times New Roman"/>
        </w:rPr>
        <w:t xml:space="preserve"> </w:t>
      </w:r>
      <w:r w:rsidRPr="008D61EA">
        <w:rPr>
          <w:rFonts w:ascii="Times New Roman" w:hAnsi="Times New Roman" w:cs="Times New Roman"/>
          <w:i/>
        </w:rPr>
        <w:t>Tshongweni v Ekurhuleni Metropolitan Municipality</w:t>
      </w:r>
      <w:r w:rsidRPr="008D61EA">
        <w:rPr>
          <w:rFonts w:ascii="Times New Roman" w:hAnsi="Times New Roman" w:cs="Times New Roman"/>
        </w:rPr>
        <w:t xml:space="preserve"> (2012) 33 ILJ 2847 (LAC) para 37. </w:t>
      </w:r>
    </w:p>
  </w:footnote>
  <w:footnote w:id="14">
    <w:p w:rsidR="00004E24" w:rsidRPr="00171FE7" w:rsidRDefault="00004E24" w:rsidP="00171FE7">
      <w:pPr>
        <w:pStyle w:val="FootnoteText"/>
        <w:jc w:val="both"/>
        <w:rPr>
          <w:rFonts w:ascii="Times New Roman" w:hAnsi="Times New Roman" w:cs="Times New Roman"/>
        </w:rPr>
      </w:pPr>
      <w:r w:rsidRPr="008D61EA">
        <w:rPr>
          <w:rStyle w:val="FootnoteReference"/>
          <w:rFonts w:ascii="Times New Roman" w:hAnsi="Times New Roman" w:cs="Times New Roman"/>
        </w:rPr>
        <w:footnoteRef/>
      </w:r>
      <w:r w:rsidRPr="008D61EA">
        <w:rPr>
          <w:rFonts w:ascii="Times New Roman" w:hAnsi="Times New Roman" w:cs="Times New Roman"/>
        </w:rPr>
        <w:t xml:space="preserve"> </w:t>
      </w:r>
      <w:r w:rsidRPr="008D61EA">
        <w:rPr>
          <w:rFonts w:ascii="Times New Roman" w:hAnsi="Times New Roman" w:cs="Times New Roman"/>
          <w:i/>
        </w:rPr>
        <w:t>Bellev</w:t>
      </w:r>
      <w:r w:rsidR="00BF5B2D" w:rsidRPr="008D61EA">
        <w:rPr>
          <w:rFonts w:ascii="Times New Roman" w:hAnsi="Times New Roman" w:cs="Times New Roman"/>
          <w:i/>
        </w:rPr>
        <w:t>u</w:t>
      </w:r>
      <w:r w:rsidRPr="008D61EA">
        <w:rPr>
          <w:rFonts w:ascii="Times New Roman" w:hAnsi="Times New Roman" w:cs="Times New Roman"/>
          <w:i/>
        </w:rPr>
        <w:t xml:space="preserve">e Motors CC v Johannesburg City Council </w:t>
      </w:r>
      <w:r w:rsidRPr="00171FE7">
        <w:rPr>
          <w:rFonts w:ascii="Times New Roman" w:hAnsi="Times New Roman" w:cs="Times New Roman"/>
        </w:rPr>
        <w:t xml:space="preserve">1994 (4) SA 339 (W) </w:t>
      </w:r>
      <w:r w:rsidR="00BF5B2D" w:rsidRPr="008D61EA">
        <w:rPr>
          <w:rFonts w:ascii="Times New Roman" w:hAnsi="Times New Roman" w:cs="Times New Roman"/>
        </w:rPr>
        <w:t xml:space="preserve">at </w:t>
      </w:r>
      <w:r w:rsidRPr="00171FE7">
        <w:rPr>
          <w:rFonts w:ascii="Times New Roman" w:hAnsi="Times New Roman" w:cs="Times New Roman"/>
        </w:rPr>
        <w:t xml:space="preserve">342F-G. </w:t>
      </w:r>
    </w:p>
  </w:footnote>
  <w:footnote w:id="15">
    <w:p w:rsidR="0030261A" w:rsidRPr="008D61EA" w:rsidRDefault="0030261A" w:rsidP="00171FE7">
      <w:pPr>
        <w:pStyle w:val="FootnoteText"/>
        <w:jc w:val="both"/>
        <w:rPr>
          <w:rFonts w:ascii="Times New Roman" w:hAnsi="Times New Roman" w:cs="Times New Roman"/>
        </w:rPr>
      </w:pPr>
      <w:r w:rsidRPr="00171FE7">
        <w:rPr>
          <w:rStyle w:val="FootnoteReference"/>
          <w:rFonts w:ascii="Times New Roman" w:hAnsi="Times New Roman" w:cs="Times New Roman"/>
        </w:rPr>
        <w:footnoteRef/>
      </w:r>
      <w:r w:rsidRPr="00171FE7">
        <w:rPr>
          <w:rFonts w:ascii="Times New Roman" w:hAnsi="Times New Roman" w:cs="Times New Roman"/>
        </w:rPr>
        <w:t xml:space="preserve"> </w:t>
      </w:r>
      <w:r w:rsidRPr="008D61EA">
        <w:rPr>
          <w:rFonts w:ascii="Times New Roman" w:hAnsi="Times New Roman" w:cs="Times New Roman"/>
          <w:i/>
        </w:rPr>
        <w:t>Endumeni Municipality</w:t>
      </w:r>
      <w:r w:rsidRPr="008D61EA">
        <w:rPr>
          <w:rFonts w:ascii="Times New Roman" w:hAnsi="Times New Roman" w:cs="Times New Roman"/>
        </w:rPr>
        <w:t xml:space="preserve"> </w:t>
      </w:r>
      <w:r w:rsidR="00BF5B2D" w:rsidRPr="008D61EA">
        <w:rPr>
          <w:rFonts w:ascii="Times New Roman" w:hAnsi="Times New Roman" w:cs="Times New Roman"/>
        </w:rPr>
        <w:t xml:space="preserve">fn 10 above </w:t>
      </w:r>
      <w:r w:rsidRPr="008D61EA">
        <w:rPr>
          <w:rFonts w:ascii="Times New Roman" w:hAnsi="Times New Roman" w:cs="Times New Roman"/>
        </w:rPr>
        <w:t>para</w:t>
      </w:r>
      <w:r w:rsidR="008D61EA" w:rsidRPr="008D61EA">
        <w:rPr>
          <w:rFonts w:ascii="Times New Roman" w:hAnsi="Times New Roman" w:cs="Times New Roman"/>
        </w:rPr>
        <w:t xml:space="preserve"> 18</w:t>
      </w:r>
      <w:r w:rsidRPr="008D61EA">
        <w:rPr>
          <w:rFonts w:ascii="Times New Roman" w:hAnsi="Times New Roman" w:cs="Times New Roman"/>
        </w:rPr>
        <w:t xml:space="preserve">. </w:t>
      </w:r>
    </w:p>
  </w:footnote>
  <w:footnote w:id="16">
    <w:p w:rsidR="0030261A" w:rsidRPr="00A874D1" w:rsidRDefault="0030261A" w:rsidP="00171FE7">
      <w:pPr>
        <w:pStyle w:val="FootnoteText"/>
        <w:jc w:val="both"/>
        <w:rPr>
          <w:rFonts w:ascii="Times New Roman" w:hAnsi="Times New Roman" w:cs="Times New Roman"/>
        </w:rPr>
      </w:pPr>
      <w:r w:rsidRPr="008D61EA">
        <w:rPr>
          <w:rStyle w:val="FootnoteReference"/>
          <w:rFonts w:ascii="Times New Roman" w:hAnsi="Times New Roman" w:cs="Times New Roman"/>
        </w:rPr>
        <w:footnoteRef/>
      </w:r>
      <w:r w:rsidRPr="008D61EA">
        <w:rPr>
          <w:rFonts w:ascii="Times New Roman" w:hAnsi="Times New Roman" w:cs="Times New Roman"/>
        </w:rPr>
        <w:t xml:space="preserve"> </w:t>
      </w:r>
      <w:r w:rsidRPr="008D61EA">
        <w:rPr>
          <w:rFonts w:ascii="Times New Roman" w:hAnsi="Times New Roman" w:cs="Times New Roman"/>
          <w:i/>
        </w:rPr>
        <w:t>Commissioner for the South African Revenue Service v United Manga</w:t>
      </w:r>
      <w:r w:rsidR="008D61EA" w:rsidRPr="008D61EA">
        <w:rPr>
          <w:rFonts w:ascii="Times New Roman" w:hAnsi="Times New Roman" w:cs="Times New Roman"/>
          <w:i/>
        </w:rPr>
        <w:t>n</w:t>
      </w:r>
      <w:r w:rsidRPr="008D61EA">
        <w:rPr>
          <w:rFonts w:ascii="Times New Roman" w:hAnsi="Times New Roman" w:cs="Times New Roman"/>
          <w:i/>
        </w:rPr>
        <w:t>ese of Kalahari (Pty) Ltd</w:t>
      </w:r>
      <w:r w:rsidRPr="008D61EA">
        <w:rPr>
          <w:rFonts w:ascii="Times New Roman" w:hAnsi="Times New Roman" w:cs="Times New Roman"/>
        </w:rPr>
        <w:t xml:space="preserve"> [2020] ZASCA 16</w:t>
      </w:r>
      <w:r w:rsidR="008D61EA" w:rsidRPr="008D61EA">
        <w:rPr>
          <w:rFonts w:ascii="Times New Roman" w:hAnsi="Times New Roman" w:cs="Times New Roman"/>
        </w:rPr>
        <w:t>;</w:t>
      </w:r>
      <w:r w:rsidR="008D61EA" w:rsidRPr="00171FE7">
        <w:rPr>
          <w:rFonts w:ascii="Times New Roman" w:hAnsi="Times New Roman" w:cs="Times New Roman"/>
        </w:rPr>
        <w:t xml:space="preserve"> 2</w:t>
      </w:r>
      <w:r w:rsidR="008D61EA" w:rsidRPr="008D61EA">
        <w:rPr>
          <w:rFonts w:ascii="Times New Roman" w:hAnsi="Times New Roman" w:cs="Times New Roman"/>
        </w:rPr>
        <w:t>020 (4) SA 428 (SCA)</w:t>
      </w:r>
      <w:r w:rsidRPr="008D61EA">
        <w:rPr>
          <w:rFonts w:ascii="Times New Roman" w:hAnsi="Times New Roman" w:cs="Times New Roman"/>
        </w:rPr>
        <w:t xml:space="preserve"> para 8.</w:t>
      </w:r>
      <w:r w:rsidRPr="00A874D1">
        <w:rPr>
          <w:rFonts w:ascii="Times New Roman" w:hAnsi="Times New Roman" w:cs="Times New Roman"/>
        </w:rPr>
        <w:t xml:space="preserve"> </w:t>
      </w:r>
    </w:p>
  </w:footnote>
  <w:footnote w:id="17">
    <w:p w:rsidR="00746BAA" w:rsidRPr="00DA43AB" w:rsidRDefault="00746BAA" w:rsidP="00DA43AB">
      <w:pPr>
        <w:pStyle w:val="FootnoteText"/>
        <w:jc w:val="both"/>
        <w:rPr>
          <w:rFonts w:ascii="Times New Roman" w:hAnsi="Times New Roman" w:cs="Times New Roman"/>
        </w:rPr>
      </w:pPr>
      <w:r w:rsidRPr="00DA43AB">
        <w:rPr>
          <w:rStyle w:val="FootnoteReference"/>
          <w:rFonts w:ascii="Times New Roman" w:hAnsi="Times New Roman" w:cs="Times New Roman"/>
        </w:rPr>
        <w:footnoteRef/>
      </w:r>
      <w:r w:rsidRPr="00DA43AB">
        <w:rPr>
          <w:rFonts w:ascii="Times New Roman" w:hAnsi="Times New Roman" w:cs="Times New Roman"/>
        </w:rPr>
        <w:t xml:space="preserve"> </w:t>
      </w:r>
      <w:r w:rsidRPr="00DA43AB">
        <w:rPr>
          <w:rFonts w:ascii="Times New Roman" w:hAnsi="Times New Roman" w:cs="Times New Roman"/>
          <w:i/>
        </w:rPr>
        <w:t>Johnson Matheu (Pty) Ltd v National Union of Metalworkers of South Africa and Others</w:t>
      </w:r>
      <w:r w:rsidRPr="00DA43AB">
        <w:rPr>
          <w:rFonts w:ascii="Times New Roman" w:hAnsi="Times New Roman" w:cs="Times New Roman"/>
        </w:rPr>
        <w:t xml:space="preserve"> (2012) 33 ILJ 2420 (LC)</w:t>
      </w:r>
      <w:r>
        <w:rPr>
          <w:rFonts w:ascii="Times New Roman" w:hAnsi="Times New Roman" w:cs="Times New Roman"/>
        </w:rPr>
        <w:t xml:space="preserve"> </w:t>
      </w:r>
      <w:r w:rsidRPr="00DA43AB">
        <w:rPr>
          <w:rFonts w:ascii="Times New Roman" w:hAnsi="Times New Roman" w:cs="Times New Roman"/>
        </w:rPr>
        <w:t>paras 19-20.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BAA" w:rsidRDefault="00746B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6BAA" w:rsidRDefault="00746BA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BAA" w:rsidRPr="006B5BEA" w:rsidRDefault="00746BAA">
    <w:pPr>
      <w:pStyle w:val="Header"/>
      <w:framePr w:wrap="around" w:vAnchor="text" w:hAnchor="margin" w:xAlign="right" w:y="1"/>
      <w:rPr>
        <w:rStyle w:val="PageNumber"/>
        <w:sz w:val="28"/>
        <w:szCs w:val="28"/>
      </w:rPr>
    </w:pPr>
    <w:r w:rsidRPr="006B5BEA">
      <w:rPr>
        <w:rStyle w:val="PageNumber"/>
        <w:sz w:val="28"/>
        <w:szCs w:val="28"/>
      </w:rPr>
      <w:fldChar w:fldCharType="begin"/>
    </w:r>
    <w:r w:rsidRPr="006B5BEA">
      <w:rPr>
        <w:rStyle w:val="PageNumber"/>
        <w:sz w:val="28"/>
        <w:szCs w:val="28"/>
      </w:rPr>
      <w:instrText xml:space="preserve">PAGE  </w:instrText>
    </w:r>
    <w:r w:rsidRPr="006B5BEA">
      <w:rPr>
        <w:rStyle w:val="PageNumber"/>
        <w:sz w:val="28"/>
        <w:szCs w:val="28"/>
      </w:rPr>
      <w:fldChar w:fldCharType="separate"/>
    </w:r>
    <w:r w:rsidR="00C56286">
      <w:rPr>
        <w:rStyle w:val="PageNumber"/>
        <w:noProof/>
        <w:sz w:val="28"/>
        <w:szCs w:val="28"/>
      </w:rPr>
      <w:t>3</w:t>
    </w:r>
    <w:r w:rsidRPr="006B5BEA">
      <w:rPr>
        <w:rStyle w:val="PageNumber"/>
        <w:sz w:val="28"/>
        <w:szCs w:val="28"/>
      </w:rPr>
      <w:fldChar w:fldCharType="end"/>
    </w:r>
  </w:p>
  <w:p w:rsidR="00746BAA" w:rsidRPr="006B5BEA" w:rsidRDefault="00746BAA">
    <w:pPr>
      <w:pStyle w:val="Header"/>
      <w:ind w:right="360"/>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A7A26"/>
    <w:multiLevelType w:val="hybridMultilevel"/>
    <w:tmpl w:val="71A6687C"/>
    <w:lvl w:ilvl="0" w:tplc="EA986A58">
      <w:start w:val="1"/>
      <w:numFmt w:val="decimal"/>
      <w:pStyle w:val="JUDGMENTNUMBERED"/>
      <w:lvlText w:val="[%1]"/>
      <w:lvlJc w:val="left"/>
      <w:pPr>
        <w:ind w:left="3200" w:hanging="36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142A3BA">
      <w:start w:val="1"/>
      <w:numFmt w:val="lowerLetter"/>
      <w:lvlText w:val="(%2)"/>
      <w:lvlJc w:val="left"/>
      <w:pPr>
        <w:ind w:left="3600" w:hanging="360"/>
      </w:pPr>
      <w:rPr>
        <w:rFonts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9FE7929"/>
    <w:multiLevelType w:val="hybridMultilevel"/>
    <w:tmpl w:val="CDACD8AE"/>
    <w:lvl w:ilvl="0" w:tplc="4A448992">
      <w:start w:val="1"/>
      <w:numFmt w:val="decimal"/>
      <w:lvlText w:val="[%1]"/>
      <w:lvlJc w:val="left"/>
      <w:pPr>
        <w:ind w:left="142"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0799B"/>
    <w:multiLevelType w:val="hybridMultilevel"/>
    <w:tmpl w:val="602868E4"/>
    <w:lvl w:ilvl="0" w:tplc="2D7E889C">
      <w:start w:val="1"/>
      <w:numFmt w:val="decimal"/>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11279AD"/>
    <w:multiLevelType w:val="hybridMultilevel"/>
    <w:tmpl w:val="8C4CE29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334349C"/>
    <w:multiLevelType w:val="hybridMultilevel"/>
    <w:tmpl w:val="C6343ACE"/>
    <w:lvl w:ilvl="0" w:tplc="F56A66DE">
      <w:start w:val="1"/>
      <w:numFmt w:val="lowerLetter"/>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7A9493F"/>
    <w:multiLevelType w:val="hybridMultilevel"/>
    <w:tmpl w:val="727C9D68"/>
    <w:lvl w:ilvl="0" w:tplc="509625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5F1A45"/>
    <w:multiLevelType w:val="hybridMultilevel"/>
    <w:tmpl w:val="5DB42BA4"/>
    <w:lvl w:ilvl="0" w:tplc="3404C70A">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7">
    <w:nsid w:val="45116539"/>
    <w:multiLevelType w:val="multilevel"/>
    <w:tmpl w:val="26EC764A"/>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7DE60E3"/>
    <w:multiLevelType w:val="hybridMultilevel"/>
    <w:tmpl w:val="452647C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A9868BA"/>
    <w:multiLevelType w:val="hybridMultilevel"/>
    <w:tmpl w:val="01C2E1F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67459B8"/>
    <w:multiLevelType w:val="hybridMultilevel"/>
    <w:tmpl w:val="6D76E79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DA37C83"/>
    <w:multiLevelType w:val="hybridMultilevel"/>
    <w:tmpl w:val="4732A338"/>
    <w:lvl w:ilvl="0" w:tplc="14181932">
      <w:start w:val="1"/>
      <w:numFmt w:val="decimal"/>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0E270D1"/>
    <w:multiLevelType w:val="hybridMultilevel"/>
    <w:tmpl w:val="663213CC"/>
    <w:lvl w:ilvl="0" w:tplc="9DA8DE3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723069E7"/>
    <w:multiLevelType w:val="multilevel"/>
    <w:tmpl w:val="5FC699A4"/>
    <w:lvl w:ilvl="0">
      <w:start w:val="49"/>
      <w:numFmt w:val="decimal"/>
      <w:lvlText w:val="%1"/>
      <w:lvlJc w:val="left"/>
      <w:pPr>
        <w:ind w:left="490" w:hanging="490"/>
      </w:pPr>
      <w:rPr>
        <w:rFonts w:hint="default"/>
      </w:rPr>
    </w:lvl>
    <w:lvl w:ilvl="1">
      <w:start w:val="1"/>
      <w:numFmt w:val="decimal"/>
      <w:lvlText w:val="%1.%2"/>
      <w:lvlJc w:val="left"/>
      <w:pPr>
        <w:ind w:left="850" w:hanging="4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72A43F3E"/>
    <w:multiLevelType w:val="multilevel"/>
    <w:tmpl w:val="F5A418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BD327B1"/>
    <w:multiLevelType w:val="hybridMultilevel"/>
    <w:tmpl w:val="EA7C1BEA"/>
    <w:lvl w:ilvl="0" w:tplc="B896F5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E4F7B30"/>
    <w:multiLevelType w:val="hybridMultilevel"/>
    <w:tmpl w:val="2BAE2094"/>
    <w:lvl w:ilvl="0" w:tplc="11509542">
      <w:start w:val="1"/>
      <w:numFmt w:val="decimal"/>
      <w:lvlText w:val="[%1]"/>
      <w:lvlJc w:val="left"/>
      <w:pPr>
        <w:ind w:left="644" w:hanging="360"/>
      </w:pPr>
      <w:rPr>
        <w:rFonts w:ascii="Times New Roman" w:hAnsi="Times New Roman" w:cs="Times New Roman" w:hint="default"/>
        <w:b w:val="0"/>
        <w:i w:val="0"/>
        <w:color w:val="auto"/>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12"/>
  </w:num>
  <w:num w:numId="3">
    <w:abstractNumId w:val="7"/>
  </w:num>
  <w:num w:numId="4">
    <w:abstractNumId w:val="0"/>
  </w:num>
  <w:num w:numId="5">
    <w:abstractNumId w:val="9"/>
  </w:num>
  <w:num w:numId="6">
    <w:abstractNumId w:val="13"/>
  </w:num>
  <w:num w:numId="7">
    <w:abstractNumId w:val="0"/>
    <w:lvlOverride w:ilvl="0">
      <w:startOverride w:val="1"/>
    </w:lvlOverride>
  </w:num>
  <w:num w:numId="8">
    <w:abstractNumId w:val="11"/>
  </w:num>
  <w:num w:numId="9">
    <w:abstractNumId w:val="2"/>
  </w:num>
  <w:num w:numId="10">
    <w:abstractNumId w:val="14"/>
  </w:num>
  <w:num w:numId="11">
    <w:abstractNumId w:val="4"/>
  </w:num>
  <w:num w:numId="12">
    <w:abstractNumId w:val="6"/>
  </w:num>
  <w:num w:numId="13">
    <w:abstractNumId w:val="15"/>
  </w:num>
  <w:num w:numId="14">
    <w:abstractNumId w:val="16"/>
  </w:num>
  <w:num w:numId="15">
    <w:abstractNumId w:val="10"/>
  </w:num>
  <w:num w:numId="16">
    <w:abstractNumId w:val="5"/>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42BF38B-75AB-447E-BF62-34D01350FF4E}"/>
    <w:docVar w:name="dgnword-eventsink" w:val="2314332203968"/>
  </w:docVars>
  <w:rsids>
    <w:rsidRoot w:val="004212DC"/>
    <w:rsid w:val="00001BBE"/>
    <w:rsid w:val="00002ED1"/>
    <w:rsid w:val="0000407E"/>
    <w:rsid w:val="00004E01"/>
    <w:rsid w:val="00004E24"/>
    <w:rsid w:val="000123F7"/>
    <w:rsid w:val="00017688"/>
    <w:rsid w:val="00017F10"/>
    <w:rsid w:val="0002006C"/>
    <w:rsid w:val="00025101"/>
    <w:rsid w:val="000301AB"/>
    <w:rsid w:val="000309F3"/>
    <w:rsid w:val="00043B45"/>
    <w:rsid w:val="0005367A"/>
    <w:rsid w:val="00054B69"/>
    <w:rsid w:val="00055D63"/>
    <w:rsid w:val="00056778"/>
    <w:rsid w:val="00060155"/>
    <w:rsid w:val="000726AB"/>
    <w:rsid w:val="0007519F"/>
    <w:rsid w:val="00077ADF"/>
    <w:rsid w:val="000812A5"/>
    <w:rsid w:val="00081E78"/>
    <w:rsid w:val="000943CB"/>
    <w:rsid w:val="000972B8"/>
    <w:rsid w:val="00097747"/>
    <w:rsid w:val="000A5743"/>
    <w:rsid w:val="000A5D31"/>
    <w:rsid w:val="000B513F"/>
    <w:rsid w:val="000B5825"/>
    <w:rsid w:val="000B5882"/>
    <w:rsid w:val="000B5EF9"/>
    <w:rsid w:val="000C4362"/>
    <w:rsid w:val="000C5FAA"/>
    <w:rsid w:val="000D6C54"/>
    <w:rsid w:val="000E0536"/>
    <w:rsid w:val="000E45AA"/>
    <w:rsid w:val="000E6FDF"/>
    <w:rsid w:val="000E7171"/>
    <w:rsid w:val="0010045B"/>
    <w:rsid w:val="0010179D"/>
    <w:rsid w:val="001032B0"/>
    <w:rsid w:val="00103DD8"/>
    <w:rsid w:val="00112CB9"/>
    <w:rsid w:val="00116E62"/>
    <w:rsid w:val="001205B3"/>
    <w:rsid w:val="00130165"/>
    <w:rsid w:val="00137C0C"/>
    <w:rsid w:val="00142412"/>
    <w:rsid w:val="00145B4C"/>
    <w:rsid w:val="00150FE6"/>
    <w:rsid w:val="001522B4"/>
    <w:rsid w:val="00155599"/>
    <w:rsid w:val="00157C87"/>
    <w:rsid w:val="001614C3"/>
    <w:rsid w:val="00165554"/>
    <w:rsid w:val="00165EE5"/>
    <w:rsid w:val="00171891"/>
    <w:rsid w:val="00171FE7"/>
    <w:rsid w:val="001736D2"/>
    <w:rsid w:val="001767EA"/>
    <w:rsid w:val="00183C61"/>
    <w:rsid w:val="001930BF"/>
    <w:rsid w:val="001B40C3"/>
    <w:rsid w:val="001C02D7"/>
    <w:rsid w:val="001C0705"/>
    <w:rsid w:val="001C4732"/>
    <w:rsid w:val="001D4606"/>
    <w:rsid w:val="001D6531"/>
    <w:rsid w:val="001D6A34"/>
    <w:rsid w:val="001E1846"/>
    <w:rsid w:val="001E2FD9"/>
    <w:rsid w:val="001E3912"/>
    <w:rsid w:val="001F200C"/>
    <w:rsid w:val="001F33FC"/>
    <w:rsid w:val="001F41C4"/>
    <w:rsid w:val="001F55FF"/>
    <w:rsid w:val="001F6B30"/>
    <w:rsid w:val="002102DF"/>
    <w:rsid w:val="002116F4"/>
    <w:rsid w:val="00212A42"/>
    <w:rsid w:val="00225AB5"/>
    <w:rsid w:val="00230F12"/>
    <w:rsid w:val="0023384D"/>
    <w:rsid w:val="00234C6E"/>
    <w:rsid w:val="00241641"/>
    <w:rsid w:val="00253513"/>
    <w:rsid w:val="0026063E"/>
    <w:rsid w:val="00265960"/>
    <w:rsid w:val="00266C47"/>
    <w:rsid w:val="00267C7A"/>
    <w:rsid w:val="002708D2"/>
    <w:rsid w:val="00282435"/>
    <w:rsid w:val="00292E17"/>
    <w:rsid w:val="002A149F"/>
    <w:rsid w:val="002A5BB1"/>
    <w:rsid w:val="002B2864"/>
    <w:rsid w:val="002B50E5"/>
    <w:rsid w:val="002B6463"/>
    <w:rsid w:val="002C7919"/>
    <w:rsid w:val="002D3E16"/>
    <w:rsid w:val="002D67CE"/>
    <w:rsid w:val="002F093D"/>
    <w:rsid w:val="002F3ACD"/>
    <w:rsid w:val="002F7404"/>
    <w:rsid w:val="0030261A"/>
    <w:rsid w:val="00305762"/>
    <w:rsid w:val="00305BFE"/>
    <w:rsid w:val="00307878"/>
    <w:rsid w:val="00324471"/>
    <w:rsid w:val="0032538C"/>
    <w:rsid w:val="003310B5"/>
    <w:rsid w:val="0033289C"/>
    <w:rsid w:val="00341640"/>
    <w:rsid w:val="0034234D"/>
    <w:rsid w:val="00350334"/>
    <w:rsid w:val="00352A4A"/>
    <w:rsid w:val="00353837"/>
    <w:rsid w:val="00367421"/>
    <w:rsid w:val="00367B9C"/>
    <w:rsid w:val="00373C11"/>
    <w:rsid w:val="00380B58"/>
    <w:rsid w:val="00380FE8"/>
    <w:rsid w:val="003833C9"/>
    <w:rsid w:val="00383900"/>
    <w:rsid w:val="003930FB"/>
    <w:rsid w:val="003967B1"/>
    <w:rsid w:val="00397168"/>
    <w:rsid w:val="003972C0"/>
    <w:rsid w:val="003A1119"/>
    <w:rsid w:val="003A35D6"/>
    <w:rsid w:val="003B33C8"/>
    <w:rsid w:val="003B3A29"/>
    <w:rsid w:val="003C0570"/>
    <w:rsid w:val="003C0B3B"/>
    <w:rsid w:val="003C30EB"/>
    <w:rsid w:val="003C3D9F"/>
    <w:rsid w:val="003C6A24"/>
    <w:rsid w:val="003D6187"/>
    <w:rsid w:val="003D79FA"/>
    <w:rsid w:val="003E18BB"/>
    <w:rsid w:val="003E2783"/>
    <w:rsid w:val="003E3AC6"/>
    <w:rsid w:val="003E3AFA"/>
    <w:rsid w:val="003E7C5A"/>
    <w:rsid w:val="003E7F6F"/>
    <w:rsid w:val="003F1D40"/>
    <w:rsid w:val="003F38A4"/>
    <w:rsid w:val="003F48ED"/>
    <w:rsid w:val="00410589"/>
    <w:rsid w:val="00420273"/>
    <w:rsid w:val="004212DC"/>
    <w:rsid w:val="00423AA8"/>
    <w:rsid w:val="004334F2"/>
    <w:rsid w:val="00443805"/>
    <w:rsid w:val="004458E8"/>
    <w:rsid w:val="0045020D"/>
    <w:rsid w:val="004532A5"/>
    <w:rsid w:val="00466054"/>
    <w:rsid w:val="00467FFC"/>
    <w:rsid w:val="004708CC"/>
    <w:rsid w:val="004812DA"/>
    <w:rsid w:val="00483410"/>
    <w:rsid w:val="004861DF"/>
    <w:rsid w:val="00490CE3"/>
    <w:rsid w:val="004A0E45"/>
    <w:rsid w:val="004B2365"/>
    <w:rsid w:val="004C2DE9"/>
    <w:rsid w:val="004D2880"/>
    <w:rsid w:val="004D3D7C"/>
    <w:rsid w:val="004E34A4"/>
    <w:rsid w:val="004E48FF"/>
    <w:rsid w:val="004E4CD3"/>
    <w:rsid w:val="004F27D3"/>
    <w:rsid w:val="004F4F81"/>
    <w:rsid w:val="004F789F"/>
    <w:rsid w:val="0050508B"/>
    <w:rsid w:val="00513AE7"/>
    <w:rsid w:val="00520FDC"/>
    <w:rsid w:val="0052109F"/>
    <w:rsid w:val="00522518"/>
    <w:rsid w:val="00523181"/>
    <w:rsid w:val="0053459B"/>
    <w:rsid w:val="00537E64"/>
    <w:rsid w:val="00544B3E"/>
    <w:rsid w:val="00547214"/>
    <w:rsid w:val="005515F1"/>
    <w:rsid w:val="005517C4"/>
    <w:rsid w:val="00551848"/>
    <w:rsid w:val="00552783"/>
    <w:rsid w:val="00554402"/>
    <w:rsid w:val="00555E9F"/>
    <w:rsid w:val="00561CE5"/>
    <w:rsid w:val="0056533B"/>
    <w:rsid w:val="00574D13"/>
    <w:rsid w:val="00584799"/>
    <w:rsid w:val="00584A9D"/>
    <w:rsid w:val="005865FC"/>
    <w:rsid w:val="005A0553"/>
    <w:rsid w:val="005A1C2C"/>
    <w:rsid w:val="005B2B4C"/>
    <w:rsid w:val="005B5009"/>
    <w:rsid w:val="005C3085"/>
    <w:rsid w:val="005C42F6"/>
    <w:rsid w:val="005C44C0"/>
    <w:rsid w:val="005C7F89"/>
    <w:rsid w:val="005D25F1"/>
    <w:rsid w:val="005D7F0E"/>
    <w:rsid w:val="005E04A3"/>
    <w:rsid w:val="005E4A32"/>
    <w:rsid w:val="005E59EF"/>
    <w:rsid w:val="005E5C31"/>
    <w:rsid w:val="005E6285"/>
    <w:rsid w:val="005E7668"/>
    <w:rsid w:val="005F3E05"/>
    <w:rsid w:val="00600AA3"/>
    <w:rsid w:val="00603EAF"/>
    <w:rsid w:val="00605286"/>
    <w:rsid w:val="0060587A"/>
    <w:rsid w:val="0060676F"/>
    <w:rsid w:val="0060760E"/>
    <w:rsid w:val="006129CD"/>
    <w:rsid w:val="00615F18"/>
    <w:rsid w:val="006259B3"/>
    <w:rsid w:val="006275ED"/>
    <w:rsid w:val="0063488B"/>
    <w:rsid w:val="0063506A"/>
    <w:rsid w:val="006356E1"/>
    <w:rsid w:val="00642C8F"/>
    <w:rsid w:val="0064475B"/>
    <w:rsid w:val="00651733"/>
    <w:rsid w:val="0065220E"/>
    <w:rsid w:val="006535AB"/>
    <w:rsid w:val="00653C57"/>
    <w:rsid w:val="006565CC"/>
    <w:rsid w:val="006572D1"/>
    <w:rsid w:val="00663862"/>
    <w:rsid w:val="00663FB0"/>
    <w:rsid w:val="00664639"/>
    <w:rsid w:val="006655D3"/>
    <w:rsid w:val="00676D8D"/>
    <w:rsid w:val="006877F6"/>
    <w:rsid w:val="00690C7D"/>
    <w:rsid w:val="00693E83"/>
    <w:rsid w:val="00695CC9"/>
    <w:rsid w:val="00697039"/>
    <w:rsid w:val="00697528"/>
    <w:rsid w:val="006A00F9"/>
    <w:rsid w:val="006A5A1F"/>
    <w:rsid w:val="006B27C8"/>
    <w:rsid w:val="006B5BEA"/>
    <w:rsid w:val="006B74B4"/>
    <w:rsid w:val="006C0893"/>
    <w:rsid w:val="006C39D4"/>
    <w:rsid w:val="006C3C99"/>
    <w:rsid w:val="006D2F92"/>
    <w:rsid w:val="006D6AAA"/>
    <w:rsid w:val="006E0898"/>
    <w:rsid w:val="006E1941"/>
    <w:rsid w:val="006F15F3"/>
    <w:rsid w:val="006F1BA0"/>
    <w:rsid w:val="006F4078"/>
    <w:rsid w:val="0070058D"/>
    <w:rsid w:val="007071C7"/>
    <w:rsid w:val="007105ED"/>
    <w:rsid w:val="007141FE"/>
    <w:rsid w:val="0071440A"/>
    <w:rsid w:val="00724262"/>
    <w:rsid w:val="007263C5"/>
    <w:rsid w:val="00731228"/>
    <w:rsid w:val="00731800"/>
    <w:rsid w:val="00733256"/>
    <w:rsid w:val="00733DE6"/>
    <w:rsid w:val="00737D83"/>
    <w:rsid w:val="007458F0"/>
    <w:rsid w:val="00746118"/>
    <w:rsid w:val="00746BAA"/>
    <w:rsid w:val="00750305"/>
    <w:rsid w:val="007503D5"/>
    <w:rsid w:val="00754D96"/>
    <w:rsid w:val="00755577"/>
    <w:rsid w:val="00755AB9"/>
    <w:rsid w:val="0076359F"/>
    <w:rsid w:val="0076769E"/>
    <w:rsid w:val="0077461C"/>
    <w:rsid w:val="00776F05"/>
    <w:rsid w:val="00781F5C"/>
    <w:rsid w:val="0078500F"/>
    <w:rsid w:val="00791666"/>
    <w:rsid w:val="007941F5"/>
    <w:rsid w:val="007A0E1B"/>
    <w:rsid w:val="007B36EA"/>
    <w:rsid w:val="007B3A7A"/>
    <w:rsid w:val="007B3BBA"/>
    <w:rsid w:val="007B50AA"/>
    <w:rsid w:val="007B6B29"/>
    <w:rsid w:val="007C6BE8"/>
    <w:rsid w:val="007D02AE"/>
    <w:rsid w:val="007D0811"/>
    <w:rsid w:val="007D4737"/>
    <w:rsid w:val="007D5A90"/>
    <w:rsid w:val="007D6621"/>
    <w:rsid w:val="007E1CC6"/>
    <w:rsid w:val="007E7BBF"/>
    <w:rsid w:val="0080110F"/>
    <w:rsid w:val="008108E9"/>
    <w:rsid w:val="008126F4"/>
    <w:rsid w:val="008133EF"/>
    <w:rsid w:val="0081398C"/>
    <w:rsid w:val="00816A0F"/>
    <w:rsid w:val="00822035"/>
    <w:rsid w:val="008275D3"/>
    <w:rsid w:val="00830E81"/>
    <w:rsid w:val="00836B14"/>
    <w:rsid w:val="008424E2"/>
    <w:rsid w:val="00843225"/>
    <w:rsid w:val="00851F40"/>
    <w:rsid w:val="00853F25"/>
    <w:rsid w:val="00854B2C"/>
    <w:rsid w:val="008557DD"/>
    <w:rsid w:val="00857F82"/>
    <w:rsid w:val="00862686"/>
    <w:rsid w:val="00863146"/>
    <w:rsid w:val="00870CC6"/>
    <w:rsid w:val="008718F2"/>
    <w:rsid w:val="00872699"/>
    <w:rsid w:val="00874AE0"/>
    <w:rsid w:val="00877CE9"/>
    <w:rsid w:val="008825DD"/>
    <w:rsid w:val="008834A8"/>
    <w:rsid w:val="00883606"/>
    <w:rsid w:val="00884663"/>
    <w:rsid w:val="008926A9"/>
    <w:rsid w:val="00892B22"/>
    <w:rsid w:val="0089388F"/>
    <w:rsid w:val="00895BB0"/>
    <w:rsid w:val="00895F2B"/>
    <w:rsid w:val="008966E7"/>
    <w:rsid w:val="008A3DB4"/>
    <w:rsid w:val="008B056E"/>
    <w:rsid w:val="008B07AB"/>
    <w:rsid w:val="008B4AE4"/>
    <w:rsid w:val="008B5018"/>
    <w:rsid w:val="008B5944"/>
    <w:rsid w:val="008C4066"/>
    <w:rsid w:val="008C574C"/>
    <w:rsid w:val="008C7845"/>
    <w:rsid w:val="008D49A5"/>
    <w:rsid w:val="008D4ACA"/>
    <w:rsid w:val="008D61EA"/>
    <w:rsid w:val="008D6F8D"/>
    <w:rsid w:val="008E2906"/>
    <w:rsid w:val="008E6B00"/>
    <w:rsid w:val="008F11FB"/>
    <w:rsid w:val="008F1F1D"/>
    <w:rsid w:val="009124DB"/>
    <w:rsid w:val="0091453E"/>
    <w:rsid w:val="0091627E"/>
    <w:rsid w:val="00921B84"/>
    <w:rsid w:val="009445DB"/>
    <w:rsid w:val="00947773"/>
    <w:rsid w:val="00952912"/>
    <w:rsid w:val="009564E6"/>
    <w:rsid w:val="00956C95"/>
    <w:rsid w:val="009577C5"/>
    <w:rsid w:val="009627EF"/>
    <w:rsid w:val="00963F98"/>
    <w:rsid w:val="00970499"/>
    <w:rsid w:val="00972FAA"/>
    <w:rsid w:val="009733B0"/>
    <w:rsid w:val="00973917"/>
    <w:rsid w:val="009841F9"/>
    <w:rsid w:val="00992A03"/>
    <w:rsid w:val="009A035B"/>
    <w:rsid w:val="009A47D5"/>
    <w:rsid w:val="009A7F43"/>
    <w:rsid w:val="009B6C64"/>
    <w:rsid w:val="009C1611"/>
    <w:rsid w:val="009C32E9"/>
    <w:rsid w:val="009C7A96"/>
    <w:rsid w:val="009D1434"/>
    <w:rsid w:val="009D45D6"/>
    <w:rsid w:val="009D7C7C"/>
    <w:rsid w:val="009E07DF"/>
    <w:rsid w:val="009E15F9"/>
    <w:rsid w:val="009E2B62"/>
    <w:rsid w:val="009E3EBB"/>
    <w:rsid w:val="009E4937"/>
    <w:rsid w:val="009E499B"/>
    <w:rsid w:val="009F3C57"/>
    <w:rsid w:val="00A06AA1"/>
    <w:rsid w:val="00A10679"/>
    <w:rsid w:val="00A126AD"/>
    <w:rsid w:val="00A16C46"/>
    <w:rsid w:val="00A31A05"/>
    <w:rsid w:val="00A3393B"/>
    <w:rsid w:val="00A364FE"/>
    <w:rsid w:val="00A36651"/>
    <w:rsid w:val="00A36793"/>
    <w:rsid w:val="00A411F9"/>
    <w:rsid w:val="00A45C51"/>
    <w:rsid w:val="00A54C08"/>
    <w:rsid w:val="00A5625F"/>
    <w:rsid w:val="00A62CEA"/>
    <w:rsid w:val="00A6565D"/>
    <w:rsid w:val="00A80277"/>
    <w:rsid w:val="00A83C0D"/>
    <w:rsid w:val="00A84727"/>
    <w:rsid w:val="00A859CE"/>
    <w:rsid w:val="00A874D1"/>
    <w:rsid w:val="00A9481A"/>
    <w:rsid w:val="00A97202"/>
    <w:rsid w:val="00AA434D"/>
    <w:rsid w:val="00AA7E29"/>
    <w:rsid w:val="00AB1E18"/>
    <w:rsid w:val="00AB31E8"/>
    <w:rsid w:val="00AC06C0"/>
    <w:rsid w:val="00AC2DF2"/>
    <w:rsid w:val="00AC4D16"/>
    <w:rsid w:val="00AC69C2"/>
    <w:rsid w:val="00AC7D6D"/>
    <w:rsid w:val="00AD31C7"/>
    <w:rsid w:val="00AE0E49"/>
    <w:rsid w:val="00AE2673"/>
    <w:rsid w:val="00AE732E"/>
    <w:rsid w:val="00AF28F8"/>
    <w:rsid w:val="00AF3256"/>
    <w:rsid w:val="00AF380C"/>
    <w:rsid w:val="00AF40BA"/>
    <w:rsid w:val="00AF4FB9"/>
    <w:rsid w:val="00AF77EC"/>
    <w:rsid w:val="00B06C36"/>
    <w:rsid w:val="00B10B10"/>
    <w:rsid w:val="00B145E1"/>
    <w:rsid w:val="00B1614A"/>
    <w:rsid w:val="00B200A2"/>
    <w:rsid w:val="00B31FF4"/>
    <w:rsid w:val="00B37047"/>
    <w:rsid w:val="00B46695"/>
    <w:rsid w:val="00B51A1E"/>
    <w:rsid w:val="00B563CC"/>
    <w:rsid w:val="00B56A86"/>
    <w:rsid w:val="00B6514A"/>
    <w:rsid w:val="00B67B22"/>
    <w:rsid w:val="00B73E8D"/>
    <w:rsid w:val="00B75D19"/>
    <w:rsid w:val="00B76803"/>
    <w:rsid w:val="00B8223A"/>
    <w:rsid w:val="00B82F41"/>
    <w:rsid w:val="00B846DD"/>
    <w:rsid w:val="00B86DA2"/>
    <w:rsid w:val="00B9048C"/>
    <w:rsid w:val="00B91D0D"/>
    <w:rsid w:val="00B95FB0"/>
    <w:rsid w:val="00BA1CB4"/>
    <w:rsid w:val="00BB22EC"/>
    <w:rsid w:val="00BB33C6"/>
    <w:rsid w:val="00BB4025"/>
    <w:rsid w:val="00BB585C"/>
    <w:rsid w:val="00BC002D"/>
    <w:rsid w:val="00BC4D2F"/>
    <w:rsid w:val="00BC54B9"/>
    <w:rsid w:val="00BF5B2D"/>
    <w:rsid w:val="00C015F4"/>
    <w:rsid w:val="00C040F8"/>
    <w:rsid w:val="00C0542F"/>
    <w:rsid w:val="00C0701A"/>
    <w:rsid w:val="00C16DFD"/>
    <w:rsid w:val="00C32C0C"/>
    <w:rsid w:val="00C33CE6"/>
    <w:rsid w:val="00C36DB1"/>
    <w:rsid w:val="00C43F6C"/>
    <w:rsid w:val="00C442E8"/>
    <w:rsid w:val="00C47B1D"/>
    <w:rsid w:val="00C51FEB"/>
    <w:rsid w:val="00C56286"/>
    <w:rsid w:val="00C564D5"/>
    <w:rsid w:val="00C565C7"/>
    <w:rsid w:val="00C64F7C"/>
    <w:rsid w:val="00C669CE"/>
    <w:rsid w:val="00C72F04"/>
    <w:rsid w:val="00C82C6D"/>
    <w:rsid w:val="00C836C2"/>
    <w:rsid w:val="00C85214"/>
    <w:rsid w:val="00C85224"/>
    <w:rsid w:val="00C85B64"/>
    <w:rsid w:val="00C85C2C"/>
    <w:rsid w:val="00C87D53"/>
    <w:rsid w:val="00C93F26"/>
    <w:rsid w:val="00C95CC6"/>
    <w:rsid w:val="00C96DDD"/>
    <w:rsid w:val="00CA2110"/>
    <w:rsid w:val="00CB08D3"/>
    <w:rsid w:val="00CB26AF"/>
    <w:rsid w:val="00CB5A7F"/>
    <w:rsid w:val="00CB795E"/>
    <w:rsid w:val="00CC5599"/>
    <w:rsid w:val="00CC6E05"/>
    <w:rsid w:val="00CD1585"/>
    <w:rsid w:val="00CD52CD"/>
    <w:rsid w:val="00CF0FC0"/>
    <w:rsid w:val="00D020EE"/>
    <w:rsid w:val="00D1402B"/>
    <w:rsid w:val="00D14AA8"/>
    <w:rsid w:val="00D16365"/>
    <w:rsid w:val="00D273CF"/>
    <w:rsid w:val="00D3186A"/>
    <w:rsid w:val="00D329AD"/>
    <w:rsid w:val="00D36233"/>
    <w:rsid w:val="00D41A02"/>
    <w:rsid w:val="00D436CC"/>
    <w:rsid w:val="00D4714F"/>
    <w:rsid w:val="00D543AC"/>
    <w:rsid w:val="00D5533A"/>
    <w:rsid w:val="00D56EF9"/>
    <w:rsid w:val="00D63AE7"/>
    <w:rsid w:val="00D63E8F"/>
    <w:rsid w:val="00D67238"/>
    <w:rsid w:val="00D67F1C"/>
    <w:rsid w:val="00D74901"/>
    <w:rsid w:val="00D8661D"/>
    <w:rsid w:val="00DA43AB"/>
    <w:rsid w:val="00DA4442"/>
    <w:rsid w:val="00DA52DD"/>
    <w:rsid w:val="00DA5DF6"/>
    <w:rsid w:val="00DA6EA2"/>
    <w:rsid w:val="00DB113E"/>
    <w:rsid w:val="00DB262A"/>
    <w:rsid w:val="00DB3BAA"/>
    <w:rsid w:val="00DC0245"/>
    <w:rsid w:val="00DC17BE"/>
    <w:rsid w:val="00DC2B85"/>
    <w:rsid w:val="00DD5089"/>
    <w:rsid w:val="00DE646B"/>
    <w:rsid w:val="00DE77BC"/>
    <w:rsid w:val="00E012AD"/>
    <w:rsid w:val="00E01AE9"/>
    <w:rsid w:val="00E036C3"/>
    <w:rsid w:val="00E04C2E"/>
    <w:rsid w:val="00E23209"/>
    <w:rsid w:val="00E265A2"/>
    <w:rsid w:val="00E31F4B"/>
    <w:rsid w:val="00E3248C"/>
    <w:rsid w:val="00E41BFD"/>
    <w:rsid w:val="00E429B2"/>
    <w:rsid w:val="00E44EC8"/>
    <w:rsid w:val="00E44FA4"/>
    <w:rsid w:val="00E467E8"/>
    <w:rsid w:val="00E54305"/>
    <w:rsid w:val="00E630B0"/>
    <w:rsid w:val="00E654F2"/>
    <w:rsid w:val="00E657B1"/>
    <w:rsid w:val="00E82FCC"/>
    <w:rsid w:val="00E84781"/>
    <w:rsid w:val="00E84C63"/>
    <w:rsid w:val="00E933B7"/>
    <w:rsid w:val="00E96942"/>
    <w:rsid w:val="00E976EE"/>
    <w:rsid w:val="00EA3BF9"/>
    <w:rsid w:val="00EA529D"/>
    <w:rsid w:val="00EB5AEB"/>
    <w:rsid w:val="00EB656F"/>
    <w:rsid w:val="00EC2091"/>
    <w:rsid w:val="00ED4551"/>
    <w:rsid w:val="00ED5AF8"/>
    <w:rsid w:val="00EE094E"/>
    <w:rsid w:val="00EE7F99"/>
    <w:rsid w:val="00EF26CD"/>
    <w:rsid w:val="00F009B0"/>
    <w:rsid w:val="00F02A1B"/>
    <w:rsid w:val="00F10102"/>
    <w:rsid w:val="00F10963"/>
    <w:rsid w:val="00F113A2"/>
    <w:rsid w:val="00F13BEA"/>
    <w:rsid w:val="00F179BF"/>
    <w:rsid w:val="00F20D2D"/>
    <w:rsid w:val="00F249FA"/>
    <w:rsid w:val="00F33505"/>
    <w:rsid w:val="00F44EC6"/>
    <w:rsid w:val="00F45B86"/>
    <w:rsid w:val="00F55457"/>
    <w:rsid w:val="00F6472A"/>
    <w:rsid w:val="00F71DA2"/>
    <w:rsid w:val="00F73496"/>
    <w:rsid w:val="00F7484F"/>
    <w:rsid w:val="00F76001"/>
    <w:rsid w:val="00F82B97"/>
    <w:rsid w:val="00FA0BD3"/>
    <w:rsid w:val="00FA4189"/>
    <w:rsid w:val="00FA5CA8"/>
    <w:rsid w:val="00FA76CE"/>
    <w:rsid w:val="00FB228D"/>
    <w:rsid w:val="00FB4902"/>
    <w:rsid w:val="00FB62AE"/>
    <w:rsid w:val="00FB79BF"/>
    <w:rsid w:val="00FC4B65"/>
    <w:rsid w:val="00FC4DCC"/>
    <w:rsid w:val="00FD450C"/>
    <w:rsid w:val="00FD58B8"/>
    <w:rsid w:val="00FE2DB7"/>
    <w:rsid w:val="00FE37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4DD0B-DE10-4E2F-9BA8-B506CF5B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2DC"/>
    <w:pPr>
      <w:spacing w:after="0" w:line="36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12DC"/>
    <w:pPr>
      <w:keepNext/>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1930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212DC"/>
    <w:pPr>
      <w:keepNext/>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12DC"/>
    <w:rPr>
      <w:rFonts w:ascii="Arial" w:eastAsia="Times New Roman" w:hAnsi="Arial" w:cs="Arial"/>
      <w:b/>
      <w:bCs/>
      <w:sz w:val="28"/>
      <w:szCs w:val="24"/>
    </w:rPr>
  </w:style>
  <w:style w:type="character" w:customStyle="1" w:styleId="Heading3Char">
    <w:name w:val="Heading 3 Char"/>
    <w:basedOn w:val="DefaultParagraphFont"/>
    <w:link w:val="Heading3"/>
    <w:rsid w:val="004212DC"/>
    <w:rPr>
      <w:rFonts w:ascii="Arial" w:eastAsia="Times New Roman" w:hAnsi="Arial" w:cs="Arial"/>
      <w:i/>
      <w:iCs/>
      <w:sz w:val="28"/>
      <w:szCs w:val="24"/>
    </w:rPr>
  </w:style>
  <w:style w:type="paragraph" w:styleId="Header">
    <w:name w:val="header"/>
    <w:basedOn w:val="Normal"/>
    <w:link w:val="HeaderChar"/>
    <w:uiPriority w:val="99"/>
    <w:rsid w:val="004212DC"/>
    <w:pPr>
      <w:tabs>
        <w:tab w:val="center" w:pos="4153"/>
        <w:tab w:val="right" w:pos="8306"/>
      </w:tabs>
    </w:pPr>
  </w:style>
  <w:style w:type="character" w:customStyle="1" w:styleId="HeaderChar">
    <w:name w:val="Header Char"/>
    <w:basedOn w:val="DefaultParagraphFont"/>
    <w:link w:val="Header"/>
    <w:uiPriority w:val="99"/>
    <w:rsid w:val="004212DC"/>
    <w:rPr>
      <w:rFonts w:ascii="Times New Roman" w:eastAsia="Times New Roman" w:hAnsi="Times New Roman" w:cs="Times New Roman"/>
      <w:sz w:val="24"/>
      <w:szCs w:val="24"/>
    </w:rPr>
  </w:style>
  <w:style w:type="character" w:styleId="PageNumber">
    <w:name w:val="page number"/>
    <w:basedOn w:val="DefaultParagraphFont"/>
    <w:rsid w:val="004212DC"/>
    <w:rPr>
      <w:rFonts w:cs="Times New Roman"/>
    </w:rPr>
  </w:style>
  <w:style w:type="paragraph" w:styleId="ListParagraph">
    <w:name w:val="List Paragraph"/>
    <w:basedOn w:val="Normal"/>
    <w:uiPriority w:val="34"/>
    <w:qFormat/>
    <w:rsid w:val="004212DC"/>
    <w:pPr>
      <w:ind w:left="720"/>
      <w:contextualSpacing/>
    </w:pPr>
  </w:style>
  <w:style w:type="paragraph" w:styleId="NormalWeb">
    <w:name w:val="Normal (Web)"/>
    <w:basedOn w:val="Normal"/>
    <w:uiPriority w:val="99"/>
    <w:semiHidden/>
    <w:unhideWhenUsed/>
    <w:rsid w:val="004212DC"/>
    <w:pPr>
      <w:spacing w:before="100" w:beforeAutospacing="1" w:after="100" w:afterAutospacing="1" w:line="240" w:lineRule="auto"/>
      <w:jc w:val="left"/>
    </w:pPr>
    <w:rPr>
      <w:lang w:eastAsia="en-ZA"/>
    </w:rPr>
  </w:style>
  <w:style w:type="character" w:styleId="Strong">
    <w:name w:val="Strong"/>
    <w:basedOn w:val="DefaultParagraphFont"/>
    <w:uiPriority w:val="22"/>
    <w:qFormat/>
    <w:rsid w:val="004212DC"/>
    <w:rPr>
      <w:b/>
      <w:bCs/>
    </w:rPr>
  </w:style>
  <w:style w:type="paragraph" w:customStyle="1" w:styleId="JUDGMENTNUMBERED">
    <w:name w:val="JUDGMENT NUMBERED"/>
    <w:basedOn w:val="Normal"/>
    <w:next w:val="Normal"/>
    <w:qFormat/>
    <w:rsid w:val="004212DC"/>
    <w:pPr>
      <w:numPr>
        <w:numId w:val="4"/>
      </w:numPr>
      <w:ind w:left="0" w:firstLine="0"/>
    </w:pPr>
    <w:rPr>
      <w:rFonts w:ascii="Arial" w:eastAsia="Calibri" w:hAnsi="Arial"/>
      <w:color w:val="000000"/>
      <w:szCs w:val="22"/>
      <w14:scene3d>
        <w14:camera w14:prst="orthographicFront"/>
        <w14:lightRig w14:rig="threePt" w14:dir="t">
          <w14:rot w14:lat="0" w14:lon="0" w14:rev="0"/>
        </w14:lightRig>
      </w14:scene3d>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r"/>
    <w:basedOn w:val="Normal"/>
    <w:link w:val="FootnoteTextChar"/>
    <w:uiPriority w:val="99"/>
    <w:unhideWhenUsed/>
    <w:qFormat/>
    <w:rsid w:val="001F6B30"/>
    <w:pPr>
      <w:spacing w:line="240" w:lineRule="auto"/>
      <w:jc w:val="left"/>
    </w:pPr>
    <w:rPr>
      <w:rFonts w:asciiTheme="minorHAnsi" w:eastAsiaTheme="minorHAnsi" w:hAnsiTheme="minorHAnsi" w:cstheme="minorBidi"/>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rsid w:val="001F6B30"/>
    <w:rPr>
      <w:sz w:val="20"/>
      <w:szCs w:val="20"/>
    </w:rPr>
  </w:style>
  <w:style w:type="character" w:styleId="FootnoteReference">
    <w:name w:val="footnote reference"/>
    <w:aliases w:val="Footnote Reference + Superscript,Footnotes refss,Appel note de bas de page,Ref,de nota al pie,註腳內容,(NECG) Footnote Reference"/>
    <w:basedOn w:val="DefaultParagraphFont"/>
    <w:uiPriority w:val="99"/>
    <w:unhideWhenUsed/>
    <w:rsid w:val="001F6B30"/>
    <w:rPr>
      <w:vertAlign w:val="superscript"/>
    </w:rPr>
  </w:style>
  <w:style w:type="character" w:customStyle="1" w:styleId="Heading2Char">
    <w:name w:val="Heading 2 Char"/>
    <w:basedOn w:val="DefaultParagraphFont"/>
    <w:link w:val="Heading2"/>
    <w:uiPriority w:val="9"/>
    <w:semiHidden/>
    <w:rsid w:val="001930B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13B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BE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F4078"/>
    <w:rPr>
      <w:sz w:val="16"/>
      <w:szCs w:val="16"/>
    </w:rPr>
  </w:style>
  <w:style w:type="paragraph" w:styleId="CommentText">
    <w:name w:val="annotation text"/>
    <w:basedOn w:val="Normal"/>
    <w:link w:val="CommentTextChar"/>
    <w:uiPriority w:val="99"/>
    <w:unhideWhenUsed/>
    <w:rsid w:val="006F4078"/>
    <w:pPr>
      <w:spacing w:line="240" w:lineRule="auto"/>
    </w:pPr>
    <w:rPr>
      <w:sz w:val="20"/>
      <w:szCs w:val="20"/>
    </w:rPr>
  </w:style>
  <w:style w:type="character" w:customStyle="1" w:styleId="CommentTextChar">
    <w:name w:val="Comment Text Char"/>
    <w:basedOn w:val="DefaultParagraphFont"/>
    <w:link w:val="CommentText"/>
    <w:uiPriority w:val="99"/>
    <w:rsid w:val="006F40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4078"/>
    <w:rPr>
      <w:b/>
      <w:bCs/>
    </w:rPr>
  </w:style>
  <w:style w:type="character" w:customStyle="1" w:styleId="CommentSubjectChar">
    <w:name w:val="Comment Subject Char"/>
    <w:basedOn w:val="CommentTextChar"/>
    <w:link w:val="CommentSubject"/>
    <w:uiPriority w:val="99"/>
    <w:semiHidden/>
    <w:rsid w:val="006F4078"/>
    <w:rPr>
      <w:rFonts w:ascii="Times New Roman" w:eastAsia="Times New Roman" w:hAnsi="Times New Roman" w:cs="Times New Roman"/>
      <w:b/>
      <w:bCs/>
      <w:sz w:val="20"/>
      <w:szCs w:val="20"/>
    </w:rPr>
  </w:style>
  <w:style w:type="paragraph" w:styleId="Revision">
    <w:name w:val="Revision"/>
    <w:hidden/>
    <w:uiPriority w:val="99"/>
    <w:semiHidden/>
    <w:rsid w:val="00D36233"/>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4D2F"/>
    <w:pPr>
      <w:tabs>
        <w:tab w:val="center" w:pos="4513"/>
        <w:tab w:val="right" w:pos="9026"/>
      </w:tabs>
      <w:spacing w:line="240" w:lineRule="auto"/>
    </w:pPr>
  </w:style>
  <w:style w:type="character" w:customStyle="1" w:styleId="FooterChar">
    <w:name w:val="Footer Char"/>
    <w:basedOn w:val="DefaultParagraphFont"/>
    <w:link w:val="Footer"/>
    <w:uiPriority w:val="99"/>
    <w:rsid w:val="00BC4D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3327">
      <w:bodyDiv w:val="1"/>
      <w:marLeft w:val="0"/>
      <w:marRight w:val="0"/>
      <w:marTop w:val="0"/>
      <w:marBottom w:val="0"/>
      <w:divBdr>
        <w:top w:val="none" w:sz="0" w:space="0" w:color="auto"/>
        <w:left w:val="none" w:sz="0" w:space="0" w:color="auto"/>
        <w:bottom w:val="none" w:sz="0" w:space="0" w:color="auto"/>
        <w:right w:val="none" w:sz="0" w:space="0" w:color="auto"/>
      </w:divBdr>
      <w:divsChild>
        <w:div w:id="721440896">
          <w:marLeft w:val="0"/>
          <w:marRight w:val="0"/>
          <w:marTop w:val="120"/>
          <w:marBottom w:val="0"/>
          <w:divBdr>
            <w:top w:val="none" w:sz="0" w:space="0" w:color="auto"/>
            <w:left w:val="none" w:sz="0" w:space="0" w:color="auto"/>
            <w:bottom w:val="none" w:sz="0" w:space="0" w:color="auto"/>
            <w:right w:val="none" w:sz="0" w:space="0" w:color="auto"/>
          </w:divBdr>
        </w:div>
        <w:div w:id="1344437810">
          <w:marLeft w:val="0"/>
          <w:marRight w:val="0"/>
          <w:marTop w:val="120"/>
          <w:marBottom w:val="0"/>
          <w:divBdr>
            <w:top w:val="none" w:sz="0" w:space="0" w:color="auto"/>
            <w:left w:val="none" w:sz="0" w:space="0" w:color="auto"/>
            <w:bottom w:val="none" w:sz="0" w:space="0" w:color="auto"/>
            <w:right w:val="none" w:sz="0" w:space="0" w:color="auto"/>
          </w:divBdr>
        </w:div>
        <w:div w:id="1639649430">
          <w:marLeft w:val="0"/>
          <w:marRight w:val="0"/>
          <w:marTop w:val="120"/>
          <w:marBottom w:val="0"/>
          <w:divBdr>
            <w:top w:val="none" w:sz="0" w:space="0" w:color="auto"/>
            <w:left w:val="none" w:sz="0" w:space="0" w:color="auto"/>
            <w:bottom w:val="none" w:sz="0" w:space="0" w:color="auto"/>
            <w:right w:val="none" w:sz="0" w:space="0" w:color="auto"/>
          </w:divBdr>
        </w:div>
        <w:div w:id="1773088952">
          <w:marLeft w:val="0"/>
          <w:marRight w:val="0"/>
          <w:marTop w:val="240"/>
          <w:marBottom w:val="24"/>
          <w:divBdr>
            <w:top w:val="single" w:sz="8" w:space="2" w:color="808080"/>
            <w:left w:val="none" w:sz="0" w:space="0" w:color="auto"/>
            <w:bottom w:val="none" w:sz="0" w:space="0" w:color="auto"/>
            <w:right w:val="none" w:sz="0" w:space="0" w:color="auto"/>
          </w:divBdr>
        </w:div>
        <w:div w:id="1832866371">
          <w:marLeft w:val="0"/>
          <w:marRight w:val="0"/>
          <w:marTop w:val="120"/>
          <w:marBottom w:val="0"/>
          <w:divBdr>
            <w:top w:val="none" w:sz="0" w:space="0" w:color="auto"/>
            <w:left w:val="none" w:sz="0" w:space="0" w:color="auto"/>
            <w:bottom w:val="none" w:sz="0" w:space="0" w:color="auto"/>
            <w:right w:val="none" w:sz="0" w:space="0" w:color="auto"/>
          </w:divBdr>
        </w:div>
      </w:divsChild>
    </w:div>
    <w:div w:id="180358211">
      <w:bodyDiv w:val="1"/>
      <w:marLeft w:val="0"/>
      <w:marRight w:val="0"/>
      <w:marTop w:val="0"/>
      <w:marBottom w:val="0"/>
      <w:divBdr>
        <w:top w:val="none" w:sz="0" w:space="0" w:color="auto"/>
        <w:left w:val="none" w:sz="0" w:space="0" w:color="auto"/>
        <w:bottom w:val="none" w:sz="0" w:space="0" w:color="auto"/>
        <w:right w:val="none" w:sz="0" w:space="0" w:color="auto"/>
      </w:divBdr>
    </w:div>
    <w:div w:id="197202508">
      <w:bodyDiv w:val="1"/>
      <w:marLeft w:val="0"/>
      <w:marRight w:val="0"/>
      <w:marTop w:val="0"/>
      <w:marBottom w:val="0"/>
      <w:divBdr>
        <w:top w:val="none" w:sz="0" w:space="0" w:color="auto"/>
        <w:left w:val="none" w:sz="0" w:space="0" w:color="auto"/>
        <w:bottom w:val="none" w:sz="0" w:space="0" w:color="auto"/>
        <w:right w:val="none" w:sz="0" w:space="0" w:color="auto"/>
      </w:divBdr>
    </w:div>
    <w:div w:id="566115047">
      <w:bodyDiv w:val="1"/>
      <w:marLeft w:val="0"/>
      <w:marRight w:val="0"/>
      <w:marTop w:val="0"/>
      <w:marBottom w:val="0"/>
      <w:divBdr>
        <w:top w:val="none" w:sz="0" w:space="0" w:color="auto"/>
        <w:left w:val="none" w:sz="0" w:space="0" w:color="auto"/>
        <w:bottom w:val="none" w:sz="0" w:space="0" w:color="auto"/>
        <w:right w:val="none" w:sz="0" w:space="0" w:color="auto"/>
      </w:divBdr>
    </w:div>
    <w:div w:id="860977808">
      <w:bodyDiv w:val="1"/>
      <w:marLeft w:val="0"/>
      <w:marRight w:val="0"/>
      <w:marTop w:val="0"/>
      <w:marBottom w:val="0"/>
      <w:divBdr>
        <w:top w:val="none" w:sz="0" w:space="0" w:color="auto"/>
        <w:left w:val="none" w:sz="0" w:space="0" w:color="auto"/>
        <w:bottom w:val="none" w:sz="0" w:space="0" w:color="auto"/>
        <w:right w:val="none" w:sz="0" w:space="0" w:color="auto"/>
      </w:divBdr>
    </w:div>
    <w:div w:id="1215463317">
      <w:bodyDiv w:val="1"/>
      <w:marLeft w:val="0"/>
      <w:marRight w:val="0"/>
      <w:marTop w:val="0"/>
      <w:marBottom w:val="0"/>
      <w:divBdr>
        <w:top w:val="none" w:sz="0" w:space="0" w:color="auto"/>
        <w:left w:val="none" w:sz="0" w:space="0" w:color="auto"/>
        <w:bottom w:val="none" w:sz="0" w:space="0" w:color="auto"/>
        <w:right w:val="none" w:sz="0" w:space="0" w:color="auto"/>
      </w:divBdr>
    </w:div>
    <w:div w:id="1309746868">
      <w:bodyDiv w:val="1"/>
      <w:marLeft w:val="0"/>
      <w:marRight w:val="0"/>
      <w:marTop w:val="0"/>
      <w:marBottom w:val="0"/>
      <w:divBdr>
        <w:top w:val="none" w:sz="0" w:space="0" w:color="auto"/>
        <w:left w:val="none" w:sz="0" w:space="0" w:color="auto"/>
        <w:bottom w:val="none" w:sz="0" w:space="0" w:color="auto"/>
        <w:right w:val="none" w:sz="0" w:space="0" w:color="auto"/>
      </w:divBdr>
    </w:div>
    <w:div w:id="136756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964AB-1BE9-4B13-8B0B-5527655CF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3808</Words>
  <Characters>21706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Judge-Leonie Windell</dc:creator>
  <cp:keywords/>
  <dc:description/>
  <cp:lastModifiedBy>Mokone</cp:lastModifiedBy>
  <cp:revision>3</cp:revision>
  <cp:lastPrinted>2023-03-31T08:42:00Z</cp:lastPrinted>
  <dcterms:created xsi:type="dcterms:W3CDTF">2023-05-18T11:34:00Z</dcterms:created>
  <dcterms:modified xsi:type="dcterms:W3CDTF">2023-05-18T11:36:00Z</dcterms:modified>
</cp:coreProperties>
</file>