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C306" w14:textId="77777777" w:rsidR="00D139A3" w:rsidRPr="00970D60" w:rsidRDefault="00D139A3" w:rsidP="00C20EEE">
      <w:pPr>
        <w:pStyle w:val="NoSpacing"/>
        <w:rPr>
          <w:rFonts w:eastAsia="Times New Roman" w:cs="Times New Roman"/>
          <w:sz w:val="28"/>
          <w:szCs w:val="28"/>
          <w:lang w:val="en-US"/>
        </w:rPr>
      </w:pPr>
      <w:r w:rsidRPr="00970D60">
        <w:rPr>
          <w:noProof/>
          <w:lang w:val="en-US"/>
        </w:rPr>
        <w:drawing>
          <wp:anchor distT="0" distB="0" distL="114300" distR="114300" simplePos="0" relativeHeight="251659264" behindDoc="0" locked="0" layoutInCell="1" allowOverlap="1" wp14:anchorId="4BD7B55A" wp14:editId="2D551750">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A008F6">
        <w:rPr>
          <w:rFonts w:eastAsia="Times New Roman" w:cs="Times New Roman"/>
          <w:sz w:val="28"/>
          <w:szCs w:val="28"/>
          <w:lang w:val="en-US"/>
        </w:rPr>
        <w:t xml:space="preserve"> </w:t>
      </w:r>
    </w:p>
    <w:p w14:paraId="3CE59AB1" w14:textId="77777777" w:rsidR="00D139A3" w:rsidRPr="00970D60" w:rsidRDefault="00D139A3" w:rsidP="00362FBC">
      <w:pPr>
        <w:spacing w:after="0" w:line="360" w:lineRule="auto"/>
        <w:jc w:val="both"/>
        <w:rPr>
          <w:rFonts w:eastAsia="Times New Roman" w:cs="Times New Roman"/>
          <w:sz w:val="28"/>
          <w:szCs w:val="28"/>
          <w:lang w:val="en-US"/>
        </w:rPr>
      </w:pPr>
    </w:p>
    <w:p w14:paraId="4F6C4627" w14:textId="77777777" w:rsidR="00D139A3" w:rsidRPr="00970D60" w:rsidRDefault="00D139A3" w:rsidP="0012172D">
      <w:pPr>
        <w:spacing w:line="360" w:lineRule="auto"/>
        <w:jc w:val="both"/>
        <w:rPr>
          <w:rFonts w:eastAsia="Times New Roman" w:cs="Times New Roman"/>
          <w:sz w:val="28"/>
          <w:szCs w:val="28"/>
          <w:lang w:val="en-US"/>
        </w:rPr>
      </w:pPr>
    </w:p>
    <w:p w14:paraId="07CC1572" w14:textId="77777777" w:rsidR="00D139A3" w:rsidRPr="00970D60" w:rsidRDefault="00D139A3" w:rsidP="00362FBC">
      <w:pPr>
        <w:autoSpaceDE w:val="0"/>
        <w:autoSpaceDN w:val="0"/>
        <w:adjustRightInd w:val="0"/>
        <w:spacing w:after="0" w:line="360" w:lineRule="auto"/>
        <w:jc w:val="center"/>
        <w:rPr>
          <w:rFonts w:eastAsia="Times New Roman" w:cs="Times New Roman"/>
          <w:b/>
          <w:bCs/>
          <w:sz w:val="28"/>
          <w:szCs w:val="28"/>
          <w:lang w:val="en-US"/>
        </w:rPr>
      </w:pPr>
      <w:r w:rsidRPr="00970D60">
        <w:rPr>
          <w:rFonts w:eastAsia="Times New Roman" w:cs="Times New Roman"/>
          <w:b/>
          <w:bCs/>
          <w:sz w:val="28"/>
          <w:szCs w:val="28"/>
          <w:lang w:val="en-US"/>
        </w:rPr>
        <w:t xml:space="preserve">     THE SUPREME COURT OF APPEAL OF SOUTH AFRICA</w:t>
      </w:r>
    </w:p>
    <w:p w14:paraId="3B5F70A2" w14:textId="77777777" w:rsidR="00D139A3" w:rsidRPr="00970D60" w:rsidRDefault="00D139A3" w:rsidP="00362FBC">
      <w:pPr>
        <w:spacing w:after="0" w:line="360" w:lineRule="auto"/>
        <w:jc w:val="center"/>
        <w:rPr>
          <w:rFonts w:eastAsia="Times New Roman" w:cs="Times New Roman"/>
          <w:b/>
          <w:bCs/>
          <w:sz w:val="28"/>
          <w:szCs w:val="28"/>
          <w:lang w:val="en-GB" w:eastAsia="en-GB"/>
        </w:rPr>
      </w:pPr>
      <w:r w:rsidRPr="00970D60">
        <w:rPr>
          <w:rFonts w:eastAsia="Times New Roman" w:cs="Times New Roman"/>
          <w:b/>
          <w:bCs/>
          <w:sz w:val="28"/>
          <w:szCs w:val="28"/>
          <w:lang w:val="en-GB" w:eastAsia="en-GB"/>
        </w:rPr>
        <w:t>JUDGMENT</w:t>
      </w:r>
    </w:p>
    <w:p w14:paraId="5770D5DC" w14:textId="77777777" w:rsidR="00D139A3" w:rsidRPr="00970D60" w:rsidRDefault="00D139A3" w:rsidP="008A3CF4">
      <w:pPr>
        <w:spacing w:after="0" w:line="360" w:lineRule="auto"/>
        <w:jc w:val="right"/>
        <w:rPr>
          <w:rFonts w:eastAsia="Times New Roman" w:cs="Times New Roman"/>
          <w:b/>
          <w:bCs/>
          <w:sz w:val="28"/>
          <w:szCs w:val="28"/>
        </w:rPr>
      </w:pPr>
      <w:r w:rsidRPr="00970D60">
        <w:rPr>
          <w:rFonts w:eastAsia="Times New Roman" w:cs="Times New Roman"/>
          <w:b/>
          <w:sz w:val="28"/>
          <w:szCs w:val="28"/>
          <w:lang w:eastAsia="en-GB"/>
        </w:rPr>
        <w:t xml:space="preserve"> </w:t>
      </w:r>
      <w:r w:rsidR="00545DAE">
        <w:rPr>
          <w:rFonts w:eastAsia="Times New Roman" w:cs="Times New Roman"/>
          <w:b/>
          <w:sz w:val="28"/>
          <w:szCs w:val="28"/>
          <w:lang w:eastAsia="en-GB"/>
        </w:rPr>
        <w:t xml:space="preserve">Reportable </w:t>
      </w:r>
    </w:p>
    <w:p w14:paraId="1EC93F0D" w14:textId="77777777" w:rsidR="00D139A3" w:rsidRPr="00970D60" w:rsidRDefault="00366509" w:rsidP="00362FBC">
      <w:pPr>
        <w:spacing w:after="0" w:line="360" w:lineRule="auto"/>
        <w:jc w:val="right"/>
        <w:rPr>
          <w:rFonts w:eastAsia="Times New Roman" w:cs="Times New Roman"/>
          <w:sz w:val="28"/>
          <w:szCs w:val="28"/>
          <w:lang w:eastAsia="en-GB"/>
        </w:rPr>
      </w:pPr>
      <w:r w:rsidRPr="00970D60">
        <w:rPr>
          <w:rFonts w:eastAsia="Times New Roman" w:cs="Times New Roman"/>
          <w:sz w:val="28"/>
          <w:szCs w:val="28"/>
          <w:lang w:val="en-GB" w:eastAsia="en-GB"/>
        </w:rPr>
        <w:t xml:space="preserve">Case No: </w:t>
      </w:r>
      <w:r w:rsidR="002C607A">
        <w:rPr>
          <w:rFonts w:eastAsia="Times New Roman" w:cs="Times New Roman"/>
          <w:sz w:val="28"/>
          <w:szCs w:val="28"/>
          <w:lang w:val="en-GB" w:eastAsia="en-GB"/>
        </w:rPr>
        <w:t>371/2020</w:t>
      </w:r>
    </w:p>
    <w:p w14:paraId="29849F4E" w14:textId="77777777" w:rsidR="00D139A3" w:rsidRPr="00970D60" w:rsidRDefault="00D139A3" w:rsidP="00362FBC">
      <w:pPr>
        <w:spacing w:after="0" w:line="360" w:lineRule="auto"/>
        <w:jc w:val="both"/>
        <w:rPr>
          <w:rFonts w:eastAsia="Times New Roman" w:cs="Times New Roman"/>
          <w:sz w:val="28"/>
          <w:szCs w:val="28"/>
          <w:lang w:val="en-GB" w:eastAsia="en-GB"/>
        </w:rPr>
      </w:pPr>
      <w:r w:rsidRPr="00970D60">
        <w:rPr>
          <w:rFonts w:eastAsia="Times New Roman" w:cs="Times New Roman"/>
          <w:sz w:val="28"/>
          <w:szCs w:val="28"/>
          <w:lang w:val="en-GB" w:eastAsia="en-GB"/>
        </w:rPr>
        <w:t>In the matter between:</w:t>
      </w:r>
    </w:p>
    <w:p w14:paraId="5FE0350C" w14:textId="77777777" w:rsidR="00D139A3" w:rsidRDefault="002C607A" w:rsidP="008A3CF4">
      <w:pPr>
        <w:tabs>
          <w:tab w:val="right" w:pos="9480"/>
        </w:tabs>
        <w:spacing w:before="240" w:line="240" w:lineRule="auto"/>
        <w:jc w:val="both"/>
        <w:rPr>
          <w:rFonts w:eastAsia="Times New Roman" w:cs="Times New Roman"/>
          <w:b/>
          <w:sz w:val="28"/>
          <w:szCs w:val="28"/>
          <w:lang w:val="en-GB" w:eastAsia="en-GB"/>
        </w:rPr>
      </w:pPr>
      <w:r>
        <w:rPr>
          <w:rFonts w:eastAsia="Times New Roman" w:cs="Times New Roman"/>
          <w:b/>
          <w:sz w:val="28"/>
          <w:szCs w:val="28"/>
          <w:lang w:eastAsia="en-GB"/>
        </w:rPr>
        <w:t xml:space="preserve">AFRIFORUM NPC                                                                          </w:t>
      </w:r>
      <w:r w:rsidR="00D139A3" w:rsidRPr="00970D60">
        <w:rPr>
          <w:rFonts w:eastAsia="Times New Roman" w:cs="Times New Roman"/>
          <w:b/>
          <w:sz w:val="28"/>
          <w:szCs w:val="28"/>
          <w:lang w:val="en-GB" w:eastAsia="en-GB"/>
        </w:rPr>
        <w:t>APPELLANT</w:t>
      </w:r>
    </w:p>
    <w:p w14:paraId="375FF2AA" w14:textId="77777777" w:rsidR="00D139A3" w:rsidRPr="00970D60" w:rsidRDefault="004B7CE4" w:rsidP="00362FBC">
      <w:pPr>
        <w:tabs>
          <w:tab w:val="right" w:pos="9480"/>
        </w:tabs>
        <w:spacing w:after="0" w:line="360" w:lineRule="auto"/>
        <w:jc w:val="both"/>
        <w:rPr>
          <w:rFonts w:eastAsia="Times New Roman" w:cs="Times New Roman"/>
          <w:bCs/>
          <w:sz w:val="28"/>
          <w:szCs w:val="28"/>
          <w:lang w:val="en-GB" w:eastAsia="en-GB"/>
        </w:rPr>
      </w:pPr>
      <w:r w:rsidRPr="00970D60">
        <w:rPr>
          <w:rFonts w:eastAsia="Times New Roman" w:cs="Times New Roman"/>
          <w:bCs/>
          <w:sz w:val="28"/>
          <w:szCs w:val="28"/>
          <w:lang w:val="en-GB" w:eastAsia="en-GB"/>
        </w:rPr>
        <w:t>a</w:t>
      </w:r>
      <w:r w:rsidR="00D139A3" w:rsidRPr="00970D60">
        <w:rPr>
          <w:rFonts w:eastAsia="Times New Roman" w:cs="Times New Roman"/>
          <w:bCs/>
          <w:sz w:val="28"/>
          <w:szCs w:val="28"/>
          <w:lang w:val="en-GB" w:eastAsia="en-GB"/>
        </w:rPr>
        <w:t>nd</w:t>
      </w:r>
    </w:p>
    <w:p w14:paraId="76ED2D69" w14:textId="4E672260" w:rsidR="00D139A3"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 xml:space="preserve">NELSON MANDELA FOUNDATION TRUST          </w:t>
      </w:r>
      <w:r w:rsidR="00B16CD2">
        <w:rPr>
          <w:rFonts w:eastAsia="Times New Roman" w:cs="Times New Roman"/>
          <w:b/>
          <w:sz w:val="28"/>
          <w:szCs w:val="28"/>
          <w:lang w:val="en-GB" w:eastAsia="en-GB"/>
        </w:rPr>
        <w:t xml:space="preserve">  </w:t>
      </w:r>
      <w:r>
        <w:rPr>
          <w:rFonts w:eastAsia="Times New Roman" w:cs="Times New Roman"/>
          <w:b/>
          <w:sz w:val="28"/>
          <w:szCs w:val="28"/>
          <w:lang w:val="en-GB" w:eastAsia="en-GB"/>
        </w:rPr>
        <w:t xml:space="preserve">FIRST </w:t>
      </w:r>
      <w:r w:rsidR="00D139A3" w:rsidRPr="00970D60">
        <w:rPr>
          <w:rFonts w:eastAsia="Times New Roman" w:cs="Times New Roman"/>
          <w:b/>
          <w:sz w:val="28"/>
          <w:szCs w:val="28"/>
          <w:lang w:val="en-GB" w:eastAsia="en-GB"/>
        </w:rPr>
        <w:t>RESPONDENT</w:t>
      </w:r>
    </w:p>
    <w:p w14:paraId="03F40431" w14:textId="55FE5CE5"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MINISTER OF JUSTICE AND</w:t>
      </w:r>
      <w:r w:rsidR="00825EFF" w:rsidRPr="00825EFF">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 xml:space="preserve">                                </w:t>
      </w:r>
      <w:r w:rsidR="00B16CD2">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SECOND RESPONDENT</w:t>
      </w:r>
    </w:p>
    <w:p w14:paraId="435186C5" w14:textId="4022986E"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 xml:space="preserve">CORRECTIONAL SERVICES                               </w:t>
      </w:r>
      <w:r w:rsidR="007A7A9D">
        <w:rPr>
          <w:rFonts w:eastAsia="Times New Roman" w:cs="Times New Roman"/>
          <w:b/>
          <w:sz w:val="28"/>
          <w:szCs w:val="28"/>
          <w:lang w:val="en-GB" w:eastAsia="en-GB"/>
        </w:rPr>
        <w:t xml:space="preserve">  </w:t>
      </w:r>
    </w:p>
    <w:p w14:paraId="29AC0B89" w14:textId="377A8316"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DEPARTMENT OF JUSTICE</w:t>
      </w:r>
      <w:r w:rsidR="00825EFF" w:rsidRPr="00825EFF">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 xml:space="preserve">                                        </w:t>
      </w:r>
      <w:r w:rsidR="00B16CD2">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THIRD RESPONDENT</w:t>
      </w:r>
    </w:p>
    <w:p w14:paraId="484343B0" w14:textId="28AC8745"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 xml:space="preserve">AND CORRECTIONAL SERVICES                            </w:t>
      </w:r>
    </w:p>
    <w:p w14:paraId="57888443" w14:textId="15AE1D96"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SOUTH AFRICAN HUMAN RIGHTS</w:t>
      </w:r>
      <w:r w:rsidR="00825EFF" w:rsidRPr="00825EFF">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 xml:space="preserve">                      FOURTH RESPONDENT</w:t>
      </w:r>
    </w:p>
    <w:p w14:paraId="2B46E990" w14:textId="67E67F9E"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 xml:space="preserve">COMMISSION                                                             </w:t>
      </w:r>
    </w:p>
    <w:p w14:paraId="5A7B1061" w14:textId="52E170A7"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JOHANNESBURG PRIDE NPC                                FIRST AMICUS CURIAE</w:t>
      </w:r>
    </w:p>
    <w:p w14:paraId="3E3035A0" w14:textId="52F24269"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FEDERASIE VAN AFRIKAANSE</w:t>
      </w:r>
      <w:r w:rsidR="00825EFF" w:rsidRPr="00825EFF">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 xml:space="preserve">                   </w:t>
      </w:r>
      <w:r w:rsidR="00B16CD2">
        <w:rPr>
          <w:rFonts w:eastAsia="Times New Roman" w:cs="Times New Roman"/>
          <w:b/>
          <w:sz w:val="28"/>
          <w:szCs w:val="28"/>
          <w:lang w:val="en-GB" w:eastAsia="en-GB"/>
        </w:rPr>
        <w:t xml:space="preserve">   </w:t>
      </w:r>
      <w:r w:rsidR="00825EFF">
        <w:rPr>
          <w:rFonts w:eastAsia="Times New Roman" w:cs="Times New Roman"/>
          <w:b/>
          <w:sz w:val="28"/>
          <w:szCs w:val="28"/>
          <w:lang w:val="en-GB" w:eastAsia="en-GB"/>
        </w:rPr>
        <w:t>SECOND AMICUS CURIAE</w:t>
      </w:r>
    </w:p>
    <w:p w14:paraId="5A86138A" w14:textId="2EB5A0FF" w:rsidR="002C607A" w:rsidRDefault="002C607A"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 xml:space="preserve">KULTUURVERENIGINGE NPC                     </w:t>
      </w:r>
    </w:p>
    <w:p w14:paraId="64A87BDC" w14:textId="77777777" w:rsidR="00336A58" w:rsidRDefault="00336A58" w:rsidP="008A3CF4">
      <w:pPr>
        <w:spacing w:after="0" w:line="240" w:lineRule="auto"/>
        <w:ind w:left="2160" w:hanging="2160"/>
        <w:jc w:val="both"/>
        <w:rPr>
          <w:rFonts w:eastAsia="Times New Roman" w:cs="Times New Roman"/>
          <w:b/>
          <w:bCs/>
          <w:sz w:val="28"/>
          <w:szCs w:val="28"/>
          <w:lang w:val="en-GB" w:eastAsia="en-GB"/>
        </w:rPr>
      </w:pPr>
    </w:p>
    <w:p w14:paraId="2EA481E3" w14:textId="4018404C"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Neutral citation:</w:t>
      </w:r>
      <w:r w:rsidRPr="00970D60">
        <w:rPr>
          <w:rFonts w:eastAsia="Times New Roman" w:cs="Times New Roman"/>
          <w:b/>
          <w:bCs/>
          <w:sz w:val="28"/>
          <w:szCs w:val="28"/>
          <w:lang w:val="en-GB" w:eastAsia="en-GB"/>
        </w:rPr>
        <w:tab/>
      </w:r>
      <w:bookmarkStart w:id="0" w:name="_GoBack"/>
      <w:r w:rsidR="002C607A">
        <w:rPr>
          <w:rFonts w:eastAsia="Times New Roman" w:cs="Times New Roman"/>
          <w:i/>
          <w:iCs/>
          <w:sz w:val="28"/>
          <w:szCs w:val="28"/>
          <w:lang w:eastAsia="en-GB"/>
        </w:rPr>
        <w:t>Afriforum NPC v Nelson Mandela Foundation Trust and Others</w:t>
      </w:r>
      <w:bookmarkEnd w:id="0"/>
      <w:r w:rsidR="00712E70">
        <w:rPr>
          <w:rFonts w:eastAsia="Times New Roman" w:cs="Times New Roman"/>
          <w:bCs/>
          <w:i/>
          <w:sz w:val="28"/>
          <w:szCs w:val="28"/>
          <w:lang w:val="en-GB" w:eastAsia="en-GB"/>
        </w:rPr>
        <w:t xml:space="preserve"> </w:t>
      </w:r>
      <w:r w:rsidR="00836A9E" w:rsidRPr="00970D60">
        <w:rPr>
          <w:rFonts w:eastAsia="Times New Roman" w:cs="Times New Roman"/>
          <w:bCs/>
          <w:sz w:val="28"/>
          <w:szCs w:val="28"/>
          <w:lang w:val="en-GB" w:eastAsia="en-GB"/>
        </w:rPr>
        <w:t>(</w:t>
      </w:r>
      <w:r w:rsidR="004C7AD7">
        <w:rPr>
          <w:rFonts w:eastAsia="Times New Roman" w:cs="Times New Roman"/>
          <w:bCs/>
          <w:sz w:val="28"/>
          <w:szCs w:val="28"/>
          <w:lang w:val="en-GB" w:eastAsia="en-GB"/>
        </w:rPr>
        <w:t>C</w:t>
      </w:r>
      <w:r w:rsidR="00836A9E" w:rsidRPr="00970D60">
        <w:rPr>
          <w:rFonts w:eastAsia="Times New Roman" w:cs="Times New Roman"/>
          <w:bCs/>
          <w:sz w:val="28"/>
          <w:szCs w:val="28"/>
          <w:lang w:val="en-GB" w:eastAsia="en-GB"/>
        </w:rPr>
        <w:t xml:space="preserve">ase no </w:t>
      </w:r>
      <w:r w:rsidR="002C607A">
        <w:rPr>
          <w:rFonts w:eastAsia="Times New Roman" w:cs="Times New Roman"/>
          <w:bCs/>
          <w:sz w:val="28"/>
          <w:szCs w:val="28"/>
          <w:lang w:val="en-GB" w:eastAsia="en-GB"/>
        </w:rPr>
        <w:t>371/2020</w:t>
      </w:r>
      <w:r w:rsidRPr="00970D60">
        <w:rPr>
          <w:rFonts w:eastAsia="Times New Roman" w:cs="Times New Roman"/>
          <w:bCs/>
          <w:sz w:val="28"/>
          <w:szCs w:val="28"/>
          <w:lang w:val="en-GB" w:eastAsia="en-GB"/>
        </w:rPr>
        <w:t>)</w:t>
      </w:r>
      <w:r w:rsidRPr="00970D60">
        <w:rPr>
          <w:rFonts w:eastAsia="Times New Roman" w:cs="Times New Roman"/>
          <w:bCs/>
          <w:i/>
          <w:sz w:val="28"/>
          <w:szCs w:val="28"/>
          <w:lang w:val="en-GB" w:eastAsia="en-GB"/>
        </w:rPr>
        <w:t xml:space="preserve"> </w:t>
      </w:r>
      <w:r w:rsidRPr="00970D60">
        <w:rPr>
          <w:rFonts w:eastAsia="Times New Roman" w:cs="Times New Roman"/>
          <w:bCs/>
          <w:sz w:val="28"/>
          <w:szCs w:val="28"/>
          <w:lang w:val="en-GB" w:eastAsia="en-GB"/>
        </w:rPr>
        <w:t>[202</w:t>
      </w:r>
      <w:r w:rsidR="00432849">
        <w:rPr>
          <w:rFonts w:eastAsia="Times New Roman" w:cs="Times New Roman"/>
          <w:bCs/>
          <w:sz w:val="28"/>
          <w:szCs w:val="28"/>
          <w:lang w:val="en-GB" w:eastAsia="en-GB"/>
        </w:rPr>
        <w:t>3</w:t>
      </w:r>
      <w:r w:rsidRPr="00970D60">
        <w:rPr>
          <w:rFonts w:eastAsia="Times New Roman" w:cs="Times New Roman"/>
          <w:bCs/>
          <w:sz w:val="28"/>
          <w:szCs w:val="28"/>
          <w:lang w:val="en-GB" w:eastAsia="en-GB"/>
        </w:rPr>
        <w:t>] ZASCA</w:t>
      </w:r>
      <w:r w:rsidRPr="00970D60">
        <w:rPr>
          <w:rFonts w:eastAsia="Times New Roman" w:cs="Times New Roman"/>
          <w:bCs/>
          <w:i/>
          <w:sz w:val="28"/>
          <w:szCs w:val="28"/>
          <w:lang w:val="en-GB" w:eastAsia="en-GB"/>
        </w:rPr>
        <w:t xml:space="preserve"> </w:t>
      </w:r>
      <w:r w:rsidR="00B1647C">
        <w:rPr>
          <w:rFonts w:eastAsia="Times New Roman" w:cs="Times New Roman"/>
          <w:bCs/>
          <w:sz w:val="28"/>
          <w:szCs w:val="28"/>
          <w:lang w:eastAsia="en-GB"/>
        </w:rPr>
        <w:t>58</w:t>
      </w:r>
      <w:r w:rsidRPr="00970D60">
        <w:rPr>
          <w:rFonts w:eastAsia="Times New Roman" w:cs="Times New Roman"/>
          <w:bCs/>
          <w:sz w:val="28"/>
          <w:szCs w:val="28"/>
          <w:lang w:val="en-GB" w:eastAsia="en-GB"/>
        </w:rPr>
        <w:t xml:space="preserve"> (</w:t>
      </w:r>
      <w:r w:rsidR="001B72B5">
        <w:rPr>
          <w:rFonts w:eastAsia="Times New Roman" w:cs="Times New Roman"/>
          <w:bCs/>
          <w:sz w:val="28"/>
          <w:szCs w:val="28"/>
          <w:lang w:eastAsia="en-GB"/>
        </w:rPr>
        <w:t>21 April</w:t>
      </w:r>
      <w:r w:rsidR="00432849">
        <w:rPr>
          <w:rFonts w:eastAsia="Times New Roman" w:cs="Times New Roman"/>
          <w:bCs/>
          <w:sz w:val="28"/>
          <w:szCs w:val="28"/>
          <w:lang w:eastAsia="en-GB"/>
        </w:rPr>
        <w:t xml:space="preserve"> 2023</w:t>
      </w:r>
      <w:r w:rsidRPr="00970D60">
        <w:rPr>
          <w:rFonts w:eastAsia="Times New Roman" w:cs="Times New Roman"/>
          <w:bCs/>
          <w:sz w:val="28"/>
          <w:szCs w:val="28"/>
          <w:lang w:val="en-GB" w:eastAsia="en-GB"/>
        </w:rPr>
        <w:t>)</w:t>
      </w:r>
      <w:r w:rsidRPr="00970D60">
        <w:rPr>
          <w:rFonts w:eastAsia="Times New Roman" w:cs="Times New Roman"/>
          <w:b/>
          <w:bCs/>
          <w:sz w:val="28"/>
          <w:szCs w:val="28"/>
          <w:u w:val="single"/>
          <w:lang w:val="en-GB" w:eastAsia="en-GB"/>
        </w:rPr>
        <w:t xml:space="preserve"> </w:t>
      </w:r>
    </w:p>
    <w:p w14:paraId="7817A892" w14:textId="5B65A445"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Coram:</w:t>
      </w:r>
      <w:r w:rsidRPr="00970D60">
        <w:rPr>
          <w:rFonts w:eastAsia="Times New Roman" w:cs="Times New Roman"/>
          <w:b/>
          <w:bCs/>
          <w:sz w:val="28"/>
          <w:szCs w:val="28"/>
          <w:lang w:val="en-GB" w:eastAsia="en-GB"/>
        </w:rPr>
        <w:tab/>
      </w:r>
      <w:r w:rsidR="0061677C">
        <w:rPr>
          <w:rFonts w:eastAsia="Times New Roman" w:cs="Times New Roman"/>
          <w:bCs/>
          <w:sz w:val="28"/>
          <w:szCs w:val="28"/>
          <w:lang w:val="en-GB" w:eastAsia="en-GB"/>
        </w:rPr>
        <w:t>MAYA P</w:t>
      </w:r>
      <w:r w:rsidR="00BE2C6B">
        <w:rPr>
          <w:rFonts w:eastAsia="Times New Roman" w:cs="Times New Roman"/>
          <w:bCs/>
          <w:sz w:val="28"/>
          <w:szCs w:val="28"/>
          <w:lang w:val="en-GB" w:eastAsia="en-GB"/>
        </w:rPr>
        <w:t xml:space="preserve"> and</w:t>
      </w:r>
      <w:r w:rsidR="00362FBC">
        <w:rPr>
          <w:rFonts w:eastAsia="Times New Roman" w:cs="Times New Roman"/>
          <w:bCs/>
          <w:sz w:val="28"/>
          <w:szCs w:val="28"/>
          <w:lang w:val="en-GB" w:eastAsia="en-GB"/>
        </w:rPr>
        <w:t xml:space="preserve"> </w:t>
      </w:r>
      <w:r w:rsidR="005D09F0" w:rsidRPr="00970D60">
        <w:rPr>
          <w:rFonts w:eastAsia="Times New Roman" w:cs="Times New Roman"/>
          <w:bCs/>
          <w:sz w:val="28"/>
          <w:szCs w:val="28"/>
          <w:lang w:val="en-GB" w:eastAsia="en-GB"/>
        </w:rPr>
        <w:t>SCHIPPERS</w:t>
      </w:r>
      <w:r w:rsidR="0061677C">
        <w:rPr>
          <w:rFonts w:eastAsia="Times New Roman" w:cs="Times New Roman"/>
          <w:bCs/>
          <w:sz w:val="28"/>
          <w:szCs w:val="28"/>
          <w:lang w:val="en-GB" w:eastAsia="en-GB"/>
        </w:rPr>
        <w:t>,</w:t>
      </w:r>
      <w:r w:rsidR="00657678">
        <w:rPr>
          <w:rFonts w:eastAsia="Times New Roman" w:cs="Times New Roman"/>
          <w:bCs/>
          <w:sz w:val="28"/>
          <w:szCs w:val="28"/>
          <w:lang w:val="en-GB" w:eastAsia="en-GB"/>
        </w:rPr>
        <w:t xml:space="preserve"> </w:t>
      </w:r>
      <w:r w:rsidR="0061677C">
        <w:rPr>
          <w:rFonts w:eastAsia="Times New Roman" w:cs="Times New Roman"/>
          <w:bCs/>
          <w:sz w:val="28"/>
          <w:szCs w:val="28"/>
          <w:lang w:val="en-GB" w:eastAsia="en-GB"/>
        </w:rPr>
        <w:t>PLASKET and MABINDLA-BOQWANA</w:t>
      </w:r>
      <w:r w:rsidR="00362FBC">
        <w:rPr>
          <w:rFonts w:eastAsia="Times New Roman" w:cs="Times New Roman"/>
          <w:bCs/>
          <w:sz w:val="28"/>
          <w:szCs w:val="28"/>
          <w:lang w:val="en-GB" w:eastAsia="en-GB"/>
        </w:rPr>
        <w:t xml:space="preserve"> JJA and</w:t>
      </w:r>
      <w:r w:rsidR="008C560B">
        <w:rPr>
          <w:rFonts w:eastAsia="Times New Roman" w:cs="Times New Roman"/>
          <w:bCs/>
          <w:sz w:val="28"/>
          <w:szCs w:val="28"/>
          <w:lang w:val="en-GB" w:eastAsia="en-GB"/>
        </w:rPr>
        <w:t xml:space="preserve"> </w:t>
      </w:r>
      <w:r w:rsidR="0061677C">
        <w:rPr>
          <w:rFonts w:eastAsia="Times New Roman" w:cs="Times New Roman"/>
          <w:bCs/>
          <w:sz w:val="28"/>
          <w:szCs w:val="28"/>
          <w:lang w:val="en-GB" w:eastAsia="en-GB"/>
        </w:rPr>
        <w:t>SAVAGE</w:t>
      </w:r>
      <w:r w:rsidR="00CC23E2">
        <w:rPr>
          <w:rFonts w:eastAsia="Times New Roman" w:cs="Times New Roman"/>
          <w:bCs/>
          <w:sz w:val="28"/>
          <w:szCs w:val="28"/>
          <w:lang w:val="en-GB" w:eastAsia="en-GB"/>
        </w:rPr>
        <w:t xml:space="preserve"> AJA</w:t>
      </w:r>
      <w:r w:rsidR="00030D5D">
        <w:rPr>
          <w:rFonts w:eastAsia="Times New Roman" w:cs="Times New Roman"/>
          <w:bCs/>
          <w:sz w:val="28"/>
          <w:szCs w:val="28"/>
          <w:lang w:val="en-GB" w:eastAsia="en-GB"/>
        </w:rPr>
        <w:t xml:space="preserve"> </w:t>
      </w:r>
    </w:p>
    <w:p w14:paraId="3EAAD157" w14:textId="77777777" w:rsidR="00D139A3" w:rsidRPr="008C560B" w:rsidRDefault="009C279C" w:rsidP="00362FBC">
      <w:pPr>
        <w:spacing w:after="0" w:line="360" w:lineRule="auto"/>
        <w:jc w:val="both"/>
        <w:rPr>
          <w:rFonts w:eastAsia="Times New Roman" w:cs="Times New Roman"/>
          <w:bCs/>
          <w:sz w:val="28"/>
          <w:szCs w:val="28"/>
          <w:lang w:val="en-GB" w:eastAsia="en-GB"/>
        </w:rPr>
      </w:pPr>
      <w:r>
        <w:rPr>
          <w:rFonts w:eastAsia="Times New Roman" w:cs="Times New Roman"/>
          <w:b/>
          <w:bCs/>
          <w:sz w:val="28"/>
          <w:szCs w:val="28"/>
          <w:lang w:val="en-GB" w:eastAsia="en-GB"/>
        </w:rPr>
        <w:t>Heard:</w:t>
      </w:r>
      <w:r>
        <w:rPr>
          <w:rFonts w:eastAsia="Times New Roman" w:cs="Times New Roman"/>
          <w:b/>
          <w:bCs/>
          <w:sz w:val="28"/>
          <w:szCs w:val="28"/>
          <w:lang w:val="en-GB" w:eastAsia="en-GB"/>
        </w:rPr>
        <w:tab/>
      </w:r>
      <w:r>
        <w:rPr>
          <w:rFonts w:eastAsia="Times New Roman" w:cs="Times New Roman"/>
          <w:b/>
          <w:bCs/>
          <w:sz w:val="28"/>
          <w:szCs w:val="28"/>
          <w:lang w:val="en-GB" w:eastAsia="en-GB"/>
        </w:rPr>
        <w:tab/>
      </w:r>
      <w:r w:rsidR="0061677C">
        <w:rPr>
          <w:rFonts w:eastAsia="Times New Roman" w:cs="Times New Roman"/>
          <w:bCs/>
          <w:sz w:val="28"/>
          <w:szCs w:val="28"/>
          <w:lang w:val="en-GB" w:eastAsia="en-GB"/>
        </w:rPr>
        <w:t>11 May 2022</w:t>
      </w:r>
    </w:p>
    <w:p w14:paraId="3A2DCA73" w14:textId="79A537F1" w:rsidR="00D139A3" w:rsidRPr="00970D60" w:rsidRDefault="00D139A3" w:rsidP="00DD2C8C">
      <w:pPr>
        <w:spacing w:after="0" w:line="360" w:lineRule="auto"/>
        <w:jc w:val="both"/>
        <w:outlineLvl w:val="0"/>
        <w:rPr>
          <w:rFonts w:eastAsia="Times New Roman" w:cs="Times New Roman"/>
          <w:sz w:val="28"/>
          <w:szCs w:val="28"/>
          <w:lang w:val="en-US" w:eastAsia="en-ZA"/>
        </w:rPr>
      </w:pPr>
      <w:r w:rsidRPr="00970D60">
        <w:rPr>
          <w:rFonts w:eastAsia="Times New Roman" w:cs="Times New Roman"/>
          <w:b/>
          <w:bCs/>
          <w:sz w:val="28"/>
          <w:szCs w:val="28"/>
          <w:lang w:val="en-GB" w:eastAsia="en-GB"/>
        </w:rPr>
        <w:t>Delivered:</w:t>
      </w:r>
      <w:r w:rsidR="00DD2C8C">
        <w:rPr>
          <w:rFonts w:eastAsia="Times New Roman" w:cs="Times New Roman"/>
          <w:b/>
          <w:bCs/>
          <w:sz w:val="28"/>
          <w:szCs w:val="28"/>
          <w:lang w:val="en-GB" w:eastAsia="en-GB"/>
        </w:rPr>
        <w:tab/>
      </w:r>
      <w:r w:rsidR="00DD2C8C">
        <w:rPr>
          <w:rFonts w:eastAsia="Times New Roman" w:cs="Times New Roman"/>
          <w:b/>
          <w:bCs/>
          <w:sz w:val="28"/>
          <w:szCs w:val="28"/>
          <w:lang w:val="en-GB" w:eastAsia="en-GB"/>
        </w:rPr>
        <w:tab/>
      </w:r>
      <w:r w:rsidR="001B72B5">
        <w:rPr>
          <w:rFonts w:eastAsia="Times New Roman" w:cs="Times New Roman"/>
          <w:bCs/>
          <w:sz w:val="28"/>
          <w:szCs w:val="28"/>
          <w:lang w:val="en-GB" w:eastAsia="en-GB"/>
        </w:rPr>
        <w:t>21 April</w:t>
      </w:r>
      <w:r w:rsidR="00DD2C8C" w:rsidRPr="00DD2C8C">
        <w:rPr>
          <w:rFonts w:eastAsia="Times New Roman" w:cs="Times New Roman"/>
          <w:bCs/>
          <w:sz w:val="28"/>
          <w:szCs w:val="28"/>
          <w:lang w:val="en-GB" w:eastAsia="en-GB"/>
        </w:rPr>
        <w:t xml:space="preserve"> 202</w:t>
      </w:r>
      <w:r w:rsidR="00A453E1">
        <w:rPr>
          <w:rFonts w:eastAsia="Times New Roman" w:cs="Times New Roman"/>
          <w:bCs/>
          <w:sz w:val="28"/>
          <w:szCs w:val="28"/>
          <w:lang w:val="en-GB" w:eastAsia="en-GB"/>
        </w:rPr>
        <w:t>3</w:t>
      </w:r>
    </w:p>
    <w:p w14:paraId="09BC8170" w14:textId="63F4F741" w:rsidR="0065113A" w:rsidRDefault="00D139A3" w:rsidP="007A7A9D">
      <w:pPr>
        <w:tabs>
          <w:tab w:val="left" w:pos="1701"/>
        </w:tabs>
        <w:spacing w:before="120" w:after="0" w:line="360" w:lineRule="auto"/>
        <w:jc w:val="both"/>
        <w:rPr>
          <w:rFonts w:eastAsia="Times New Roman" w:cs="Times New Roman"/>
          <w:sz w:val="28"/>
          <w:szCs w:val="28"/>
          <w:lang w:eastAsia="en-GB"/>
        </w:rPr>
      </w:pPr>
      <w:r w:rsidRPr="00970D60">
        <w:rPr>
          <w:rFonts w:eastAsia="Times New Roman" w:cs="Times New Roman"/>
          <w:b/>
          <w:sz w:val="28"/>
          <w:szCs w:val="28"/>
          <w:lang w:eastAsia="en-GB"/>
        </w:rPr>
        <w:lastRenderedPageBreak/>
        <w:t xml:space="preserve">Summary: </w:t>
      </w:r>
      <w:r w:rsidR="007A7A9D">
        <w:rPr>
          <w:rFonts w:eastAsia="Times New Roman" w:cs="Times New Roman"/>
          <w:b/>
          <w:sz w:val="28"/>
          <w:szCs w:val="28"/>
          <w:lang w:eastAsia="en-GB"/>
        </w:rPr>
        <w:tab/>
      </w:r>
      <w:r w:rsidR="00F5180E">
        <w:rPr>
          <w:rFonts w:eastAsia="Times New Roman" w:cs="Times New Roman"/>
          <w:sz w:val="28"/>
          <w:szCs w:val="28"/>
          <w:lang w:eastAsia="en-GB"/>
        </w:rPr>
        <w:t xml:space="preserve">Constitutional Law – </w:t>
      </w:r>
      <w:r w:rsidR="005B4D32">
        <w:rPr>
          <w:rFonts w:eastAsia="Times New Roman" w:cs="Times New Roman"/>
          <w:sz w:val="28"/>
          <w:szCs w:val="28"/>
          <w:lang w:eastAsia="en-GB"/>
        </w:rPr>
        <w:t xml:space="preserve">section 16(1) of the Constitution – </w:t>
      </w:r>
      <w:r w:rsidR="00F5180E">
        <w:rPr>
          <w:rFonts w:eastAsia="Times New Roman" w:cs="Times New Roman"/>
          <w:sz w:val="28"/>
          <w:szCs w:val="28"/>
          <w:lang w:eastAsia="en-GB"/>
        </w:rPr>
        <w:t>freedom of expression – whet</w:t>
      </w:r>
      <w:r w:rsidR="000A749C">
        <w:rPr>
          <w:rFonts w:eastAsia="Times New Roman" w:cs="Times New Roman"/>
          <w:sz w:val="28"/>
          <w:szCs w:val="28"/>
          <w:lang w:eastAsia="en-GB"/>
        </w:rPr>
        <w:t xml:space="preserve">her </w:t>
      </w:r>
      <w:r w:rsidR="000F1B4C">
        <w:rPr>
          <w:rFonts w:eastAsia="Times New Roman" w:cs="Times New Roman"/>
          <w:sz w:val="28"/>
          <w:szCs w:val="28"/>
          <w:lang w:eastAsia="en-GB"/>
        </w:rPr>
        <w:t xml:space="preserve">right </w:t>
      </w:r>
      <w:r w:rsidR="000A749C">
        <w:rPr>
          <w:rFonts w:eastAsia="Times New Roman" w:cs="Times New Roman"/>
          <w:sz w:val="28"/>
          <w:szCs w:val="28"/>
          <w:lang w:eastAsia="en-GB"/>
        </w:rPr>
        <w:t xml:space="preserve">infringed by prohibition of gratuitous public </w:t>
      </w:r>
      <w:r w:rsidR="00F5180E">
        <w:rPr>
          <w:rFonts w:eastAsia="Times New Roman" w:cs="Times New Roman"/>
          <w:sz w:val="28"/>
          <w:szCs w:val="28"/>
          <w:lang w:eastAsia="en-GB"/>
        </w:rPr>
        <w:t xml:space="preserve">display of </w:t>
      </w:r>
      <w:r w:rsidR="00AD7539">
        <w:rPr>
          <w:rFonts w:eastAsia="Times New Roman" w:cs="Times New Roman"/>
          <w:sz w:val="28"/>
          <w:szCs w:val="28"/>
          <w:lang w:eastAsia="en-GB"/>
        </w:rPr>
        <w:t xml:space="preserve">the </w:t>
      </w:r>
      <w:r w:rsidR="00F5180E">
        <w:rPr>
          <w:rFonts w:eastAsia="Times New Roman" w:cs="Times New Roman"/>
          <w:sz w:val="28"/>
          <w:szCs w:val="28"/>
          <w:lang w:eastAsia="en-GB"/>
        </w:rPr>
        <w:t xml:space="preserve">old South African flag – </w:t>
      </w:r>
      <w:r w:rsidR="000A749C">
        <w:rPr>
          <w:rFonts w:eastAsia="Times New Roman" w:cs="Times New Roman"/>
          <w:sz w:val="28"/>
          <w:szCs w:val="28"/>
          <w:lang w:eastAsia="en-GB"/>
        </w:rPr>
        <w:t xml:space="preserve">symbol of apartheid and white supremacy – such display </w:t>
      </w:r>
      <w:r w:rsidR="00F5180E">
        <w:rPr>
          <w:rFonts w:eastAsia="Times New Roman" w:cs="Times New Roman"/>
          <w:sz w:val="28"/>
          <w:szCs w:val="28"/>
          <w:lang w:eastAsia="en-GB"/>
        </w:rPr>
        <w:t>constitutes hate speech, unfair discrimination and harassment under the Pro</w:t>
      </w:r>
      <w:r w:rsidR="000F1B4C">
        <w:rPr>
          <w:rFonts w:eastAsia="Times New Roman" w:cs="Times New Roman"/>
          <w:sz w:val="28"/>
          <w:szCs w:val="28"/>
          <w:lang w:eastAsia="en-GB"/>
        </w:rPr>
        <w:t>motion</w:t>
      </w:r>
      <w:r w:rsidR="00F5180E">
        <w:rPr>
          <w:rFonts w:eastAsia="Times New Roman" w:cs="Times New Roman"/>
          <w:sz w:val="28"/>
          <w:szCs w:val="28"/>
          <w:lang w:eastAsia="en-GB"/>
        </w:rPr>
        <w:t xml:space="preserve"> of E</w:t>
      </w:r>
      <w:r w:rsidR="00422BF3">
        <w:rPr>
          <w:rFonts w:eastAsia="Times New Roman" w:cs="Times New Roman"/>
          <w:sz w:val="28"/>
          <w:szCs w:val="28"/>
          <w:lang w:eastAsia="en-GB"/>
        </w:rPr>
        <w:t>quality and Prevention of Unfair Discrimination A</w:t>
      </w:r>
      <w:r w:rsidR="00F5180E">
        <w:rPr>
          <w:rFonts w:eastAsia="Times New Roman" w:cs="Times New Roman"/>
          <w:sz w:val="28"/>
          <w:szCs w:val="28"/>
          <w:lang w:eastAsia="en-GB"/>
        </w:rPr>
        <w:t xml:space="preserve">ct </w:t>
      </w:r>
      <w:r w:rsidR="00422BF3">
        <w:rPr>
          <w:rFonts w:eastAsia="Times New Roman" w:cs="Times New Roman"/>
          <w:sz w:val="28"/>
          <w:szCs w:val="28"/>
          <w:lang w:eastAsia="en-GB"/>
        </w:rPr>
        <w:t xml:space="preserve">4 of </w:t>
      </w:r>
      <w:r w:rsidR="00F5180E">
        <w:rPr>
          <w:rFonts w:eastAsia="Times New Roman" w:cs="Times New Roman"/>
          <w:sz w:val="28"/>
          <w:szCs w:val="28"/>
          <w:lang w:eastAsia="en-GB"/>
        </w:rPr>
        <w:t>2000</w:t>
      </w:r>
      <w:r w:rsidR="00CB1AEE">
        <w:rPr>
          <w:rFonts w:eastAsia="Times New Roman" w:cs="Times New Roman"/>
          <w:sz w:val="28"/>
          <w:szCs w:val="28"/>
          <w:lang w:eastAsia="en-GB"/>
        </w:rPr>
        <w:t>.</w:t>
      </w:r>
      <w:r w:rsidR="000A749C">
        <w:rPr>
          <w:rFonts w:eastAsia="Times New Roman" w:cs="Times New Roman"/>
          <w:sz w:val="28"/>
          <w:szCs w:val="28"/>
          <w:lang w:eastAsia="en-GB"/>
        </w:rPr>
        <w:t xml:space="preserve"> </w:t>
      </w:r>
    </w:p>
    <w:p w14:paraId="1FBE4922" w14:textId="77777777" w:rsidR="0065113A" w:rsidRDefault="0065113A">
      <w:pPr>
        <w:rPr>
          <w:rFonts w:eastAsia="Times New Roman" w:cs="Times New Roman"/>
          <w:sz w:val="28"/>
          <w:szCs w:val="28"/>
          <w:lang w:eastAsia="en-GB"/>
        </w:rPr>
      </w:pPr>
      <w:r>
        <w:rPr>
          <w:rFonts w:eastAsia="Times New Roman" w:cs="Times New Roman"/>
          <w:sz w:val="28"/>
          <w:szCs w:val="28"/>
          <w:lang w:eastAsia="en-GB"/>
        </w:rPr>
        <w:br w:type="page"/>
      </w:r>
    </w:p>
    <w:p w14:paraId="62084D9B" w14:textId="77777777" w:rsidR="00712E70" w:rsidRDefault="00712E70" w:rsidP="00D36346">
      <w:pPr>
        <w:shd w:val="clear" w:color="auto" w:fill="FFFFFF"/>
        <w:tabs>
          <w:tab w:val="left" w:pos="900"/>
        </w:tabs>
        <w:spacing w:before="120" w:after="0" w:line="360" w:lineRule="auto"/>
        <w:jc w:val="center"/>
        <w:rPr>
          <w:rFonts w:eastAsia="Times New Roman" w:cs="Times New Roman"/>
          <w:b/>
          <w:bCs/>
          <w:sz w:val="28"/>
          <w:szCs w:val="28"/>
          <w:lang w:val="en-US"/>
        </w:rPr>
      </w:pPr>
      <w:r>
        <w:rPr>
          <w:rFonts w:eastAsia="Times New Roman" w:cs="Times New Roman"/>
          <w:b/>
          <w:bCs/>
          <w:sz w:val="28"/>
          <w:szCs w:val="28"/>
          <w:lang w:val="en-US"/>
        </w:rPr>
        <w:lastRenderedPageBreak/>
        <w:t>____________________________________________</w:t>
      </w:r>
      <w:r w:rsidR="00323365">
        <w:rPr>
          <w:rFonts w:eastAsia="Times New Roman" w:cs="Times New Roman"/>
          <w:b/>
          <w:bCs/>
          <w:sz w:val="28"/>
          <w:szCs w:val="28"/>
          <w:lang w:val="en-US"/>
        </w:rPr>
        <w:t>____________________</w:t>
      </w:r>
    </w:p>
    <w:p w14:paraId="73960C3F" w14:textId="77777777" w:rsidR="00D36346" w:rsidRDefault="00D36346" w:rsidP="00637BC4">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ORDER</w:t>
      </w:r>
    </w:p>
    <w:p w14:paraId="5E60BE07" w14:textId="77777777" w:rsidR="00323365" w:rsidRPr="00970D60" w:rsidRDefault="00323365" w:rsidP="0061677C">
      <w:pPr>
        <w:shd w:val="clear" w:color="auto" w:fill="FFFFFF"/>
        <w:tabs>
          <w:tab w:val="left" w:pos="900"/>
        </w:tabs>
        <w:spacing w:line="276"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4066F72C" w14:textId="77777777" w:rsidR="00D36346" w:rsidRDefault="00D36346" w:rsidP="00F61BC8">
      <w:pPr>
        <w:shd w:val="clear" w:color="auto" w:fill="FFFFFF"/>
        <w:tabs>
          <w:tab w:val="left" w:pos="900"/>
        </w:tabs>
        <w:spacing w:after="0" w:line="360" w:lineRule="auto"/>
        <w:jc w:val="both"/>
        <w:rPr>
          <w:rFonts w:eastAsia="Times New Roman" w:cs="Times New Roman"/>
          <w:bCs/>
          <w:sz w:val="28"/>
          <w:szCs w:val="28"/>
          <w:lang w:val="en-US"/>
        </w:rPr>
      </w:pPr>
      <w:r w:rsidRPr="00970D60">
        <w:rPr>
          <w:rFonts w:eastAsia="Times New Roman" w:cs="Times New Roman"/>
          <w:b/>
          <w:bCs/>
          <w:sz w:val="28"/>
          <w:szCs w:val="28"/>
          <w:lang w:val="en-US"/>
        </w:rPr>
        <w:t>On appeal from:</w:t>
      </w:r>
      <w:r w:rsidRPr="00970D60">
        <w:rPr>
          <w:rFonts w:eastAsia="Times New Roman" w:cs="Times New Roman"/>
          <w:bCs/>
          <w:sz w:val="28"/>
          <w:szCs w:val="28"/>
          <w:lang w:val="en-US"/>
        </w:rPr>
        <w:t xml:space="preserve"> </w:t>
      </w:r>
      <w:r w:rsidR="0061677C">
        <w:rPr>
          <w:rFonts w:eastAsia="Times New Roman" w:cs="Times New Roman"/>
          <w:bCs/>
          <w:sz w:val="28"/>
          <w:szCs w:val="28"/>
          <w:lang w:val="en-US"/>
        </w:rPr>
        <w:t>Gauteng</w:t>
      </w:r>
      <w:r w:rsidRPr="00970D60">
        <w:rPr>
          <w:rFonts w:eastAsia="Times New Roman" w:cs="Times New Roman"/>
          <w:bCs/>
          <w:sz w:val="28"/>
          <w:szCs w:val="28"/>
          <w:lang w:val="en-US"/>
        </w:rPr>
        <w:t xml:space="preserve"> Division of the High Court, </w:t>
      </w:r>
      <w:r w:rsidR="0061677C">
        <w:rPr>
          <w:rFonts w:eastAsia="Times New Roman" w:cs="Times New Roman"/>
          <w:bCs/>
          <w:sz w:val="28"/>
          <w:szCs w:val="28"/>
          <w:lang w:val="en-US"/>
        </w:rPr>
        <w:t>Johannesburg</w:t>
      </w:r>
      <w:r w:rsidR="00422BF3">
        <w:rPr>
          <w:rFonts w:eastAsia="Times New Roman" w:cs="Times New Roman"/>
          <w:bCs/>
          <w:sz w:val="28"/>
          <w:szCs w:val="28"/>
          <w:lang w:val="en-US"/>
        </w:rPr>
        <w:t xml:space="preserve">, sitting as Equality Court </w:t>
      </w:r>
      <w:r w:rsidR="001552EC">
        <w:rPr>
          <w:rFonts w:eastAsia="Times New Roman" w:cs="Times New Roman"/>
          <w:bCs/>
          <w:sz w:val="28"/>
          <w:szCs w:val="28"/>
          <w:lang w:val="en-US"/>
        </w:rPr>
        <w:t>(</w:t>
      </w:r>
      <w:r w:rsidR="0061677C">
        <w:rPr>
          <w:rFonts w:eastAsia="Times New Roman" w:cs="Times New Roman"/>
          <w:bCs/>
          <w:sz w:val="28"/>
          <w:szCs w:val="28"/>
          <w:lang w:val="en-US"/>
        </w:rPr>
        <w:t>Mojapelo</w:t>
      </w:r>
      <w:r w:rsidR="00A11D12">
        <w:rPr>
          <w:rFonts w:eastAsia="Times New Roman" w:cs="Times New Roman"/>
          <w:bCs/>
          <w:sz w:val="28"/>
          <w:szCs w:val="28"/>
          <w:lang w:val="en-US"/>
        </w:rPr>
        <w:t> </w:t>
      </w:r>
      <w:r w:rsidR="00B473DF">
        <w:rPr>
          <w:rFonts w:eastAsia="Times New Roman" w:cs="Times New Roman"/>
          <w:bCs/>
          <w:sz w:val="28"/>
          <w:szCs w:val="28"/>
          <w:lang w:val="en-US"/>
        </w:rPr>
        <w:t xml:space="preserve">DJP </w:t>
      </w:r>
      <w:r w:rsidRPr="00970D60">
        <w:rPr>
          <w:rFonts w:eastAsia="Times New Roman" w:cs="Times New Roman"/>
          <w:bCs/>
          <w:sz w:val="28"/>
          <w:szCs w:val="28"/>
          <w:lang w:val="en-US"/>
        </w:rPr>
        <w:t>sitting as court of first instance):</w:t>
      </w:r>
    </w:p>
    <w:p w14:paraId="49252AA6" w14:textId="77777777" w:rsidR="000609B4" w:rsidRDefault="000609B4" w:rsidP="00D36346">
      <w:pPr>
        <w:shd w:val="clear" w:color="auto" w:fill="FFFFFF"/>
        <w:tabs>
          <w:tab w:val="left" w:pos="900"/>
        </w:tabs>
        <w:spacing w:after="120" w:line="360" w:lineRule="auto"/>
        <w:jc w:val="both"/>
        <w:rPr>
          <w:rFonts w:eastAsia="Times New Roman" w:cs="Times New Roman"/>
          <w:bCs/>
          <w:sz w:val="28"/>
          <w:szCs w:val="28"/>
          <w:lang w:val="en-US"/>
        </w:rPr>
      </w:pPr>
    </w:p>
    <w:p w14:paraId="31E21013" w14:textId="77777777" w:rsidR="00BC204A" w:rsidRDefault="00BC204A" w:rsidP="00061C6E">
      <w:pPr>
        <w:spacing w:before="240" w:line="360" w:lineRule="auto"/>
        <w:jc w:val="both"/>
        <w:rPr>
          <w:sz w:val="28"/>
          <w:szCs w:val="28"/>
          <w:lang w:val="en-US"/>
        </w:rPr>
      </w:pPr>
      <w:r>
        <w:rPr>
          <w:sz w:val="28"/>
          <w:szCs w:val="28"/>
          <w:lang w:val="en-US"/>
        </w:rPr>
        <w:t>1</w:t>
      </w:r>
      <w:r>
        <w:rPr>
          <w:sz w:val="28"/>
          <w:szCs w:val="28"/>
          <w:lang w:val="en-US"/>
        </w:rPr>
        <w:tab/>
        <w:t xml:space="preserve">Paragraph </w:t>
      </w:r>
      <w:r w:rsidR="00ED2D6C">
        <w:rPr>
          <w:sz w:val="28"/>
          <w:szCs w:val="28"/>
          <w:lang w:val="en-US"/>
        </w:rPr>
        <w:t>(</w:t>
      </w:r>
      <w:r>
        <w:rPr>
          <w:sz w:val="28"/>
          <w:szCs w:val="28"/>
          <w:lang w:val="en-US"/>
        </w:rPr>
        <w:t>2</w:t>
      </w:r>
      <w:r w:rsidR="00ED2D6C">
        <w:rPr>
          <w:sz w:val="28"/>
          <w:szCs w:val="28"/>
          <w:lang w:val="en-US"/>
        </w:rPr>
        <w:t>)</w:t>
      </w:r>
      <w:r>
        <w:rPr>
          <w:sz w:val="28"/>
          <w:szCs w:val="28"/>
          <w:lang w:val="en-US"/>
        </w:rPr>
        <w:t xml:space="preserve"> of the order of the court below is set aside and replaced with the following order:</w:t>
      </w:r>
    </w:p>
    <w:p w14:paraId="488F86B6" w14:textId="77777777" w:rsidR="00ED2D6C" w:rsidRDefault="00BC204A" w:rsidP="00061C6E">
      <w:pPr>
        <w:spacing w:before="240" w:line="360" w:lineRule="auto"/>
        <w:ind w:left="720"/>
        <w:jc w:val="both"/>
        <w:rPr>
          <w:sz w:val="28"/>
          <w:szCs w:val="28"/>
          <w:lang w:val="en-US"/>
        </w:rPr>
      </w:pPr>
      <w:r>
        <w:rPr>
          <w:sz w:val="28"/>
          <w:szCs w:val="28"/>
          <w:lang w:val="en-US"/>
        </w:rPr>
        <w:t>‘</w:t>
      </w:r>
      <w:r w:rsidR="00ED2D6C">
        <w:rPr>
          <w:sz w:val="28"/>
          <w:szCs w:val="28"/>
          <w:lang w:val="en-US"/>
        </w:rPr>
        <w:t>In terms of section 21(2) of the Equality Act, it is declared that subject to the proviso in section 12 of the Equality Act, any gratuitous public display of the Old Flag constitutes:</w:t>
      </w:r>
    </w:p>
    <w:p w14:paraId="452FDDD7" w14:textId="77777777" w:rsidR="00ED2D6C" w:rsidRDefault="00B545E4" w:rsidP="00061C6E">
      <w:pPr>
        <w:spacing w:before="240" w:line="360" w:lineRule="auto"/>
        <w:ind w:firstLine="720"/>
        <w:jc w:val="both"/>
        <w:rPr>
          <w:sz w:val="28"/>
          <w:szCs w:val="28"/>
          <w:lang w:val="en-US"/>
        </w:rPr>
      </w:pPr>
      <w:r>
        <w:rPr>
          <w:sz w:val="28"/>
          <w:szCs w:val="28"/>
          <w:lang w:val="en-US"/>
        </w:rPr>
        <w:t>(</w:t>
      </w:r>
      <w:r w:rsidR="00ED2D6C">
        <w:rPr>
          <w:sz w:val="28"/>
          <w:szCs w:val="28"/>
          <w:lang w:val="en-US"/>
        </w:rPr>
        <w:t>a</w:t>
      </w:r>
      <w:r>
        <w:rPr>
          <w:sz w:val="28"/>
          <w:szCs w:val="28"/>
          <w:lang w:val="en-US"/>
        </w:rPr>
        <w:t>)</w:t>
      </w:r>
      <w:r w:rsidR="00ED2D6C">
        <w:rPr>
          <w:sz w:val="28"/>
          <w:szCs w:val="28"/>
          <w:lang w:val="en-US"/>
        </w:rPr>
        <w:tab/>
        <w:t>hate speech in terms of section 10(1) of the Equality Act;</w:t>
      </w:r>
    </w:p>
    <w:p w14:paraId="585E6642" w14:textId="77777777" w:rsidR="00ED2D6C" w:rsidRDefault="00336FCE" w:rsidP="00061C6E">
      <w:pPr>
        <w:spacing w:before="240" w:line="360" w:lineRule="auto"/>
        <w:ind w:left="1440" w:hanging="720"/>
        <w:jc w:val="both"/>
        <w:rPr>
          <w:sz w:val="28"/>
          <w:szCs w:val="28"/>
          <w:lang w:val="en-US"/>
        </w:rPr>
      </w:pPr>
      <w:r>
        <w:rPr>
          <w:sz w:val="28"/>
          <w:szCs w:val="28"/>
          <w:lang w:val="en-US"/>
        </w:rPr>
        <w:t>(</w:t>
      </w:r>
      <w:r w:rsidR="00ED2D6C">
        <w:rPr>
          <w:sz w:val="28"/>
          <w:szCs w:val="28"/>
          <w:lang w:val="en-US"/>
        </w:rPr>
        <w:t>b</w:t>
      </w:r>
      <w:r>
        <w:rPr>
          <w:sz w:val="28"/>
          <w:szCs w:val="28"/>
          <w:lang w:val="en-US"/>
        </w:rPr>
        <w:t>)</w:t>
      </w:r>
      <w:r w:rsidR="00ED2D6C">
        <w:rPr>
          <w:sz w:val="28"/>
          <w:szCs w:val="28"/>
          <w:lang w:val="en-US"/>
        </w:rPr>
        <w:tab/>
        <w:t>unfair discrimination on the basis of race in terms of section 7 of the Equality Act;</w:t>
      </w:r>
    </w:p>
    <w:p w14:paraId="3885D40F" w14:textId="01D811EB" w:rsidR="0084685C" w:rsidRDefault="00336FCE" w:rsidP="00061C6E">
      <w:pPr>
        <w:spacing w:before="240" w:line="360" w:lineRule="auto"/>
        <w:ind w:left="1440" w:hanging="720"/>
        <w:jc w:val="both"/>
        <w:rPr>
          <w:sz w:val="28"/>
          <w:szCs w:val="28"/>
          <w:lang w:val="en-US"/>
        </w:rPr>
      </w:pPr>
      <w:r>
        <w:rPr>
          <w:sz w:val="28"/>
          <w:szCs w:val="28"/>
          <w:lang w:val="en-US"/>
        </w:rPr>
        <w:t>(</w:t>
      </w:r>
      <w:r w:rsidR="00ED2D6C">
        <w:rPr>
          <w:sz w:val="28"/>
          <w:szCs w:val="28"/>
          <w:lang w:val="en-US"/>
        </w:rPr>
        <w:t>c</w:t>
      </w:r>
      <w:r>
        <w:rPr>
          <w:sz w:val="28"/>
          <w:szCs w:val="28"/>
          <w:lang w:val="en-US"/>
        </w:rPr>
        <w:t>)</w:t>
      </w:r>
      <w:r w:rsidR="00ED2D6C">
        <w:rPr>
          <w:sz w:val="28"/>
          <w:szCs w:val="28"/>
          <w:lang w:val="en-US"/>
        </w:rPr>
        <w:tab/>
        <w:t>h</w:t>
      </w:r>
      <w:r w:rsidR="0084685C">
        <w:rPr>
          <w:sz w:val="28"/>
          <w:szCs w:val="28"/>
          <w:lang w:val="en-US"/>
        </w:rPr>
        <w:t>arassment in terms of section 11 of the Equality Act.’</w:t>
      </w:r>
    </w:p>
    <w:p w14:paraId="01251460" w14:textId="77777777" w:rsidR="00D35509" w:rsidRDefault="0084685C" w:rsidP="001B72B5">
      <w:pPr>
        <w:spacing w:after="0" w:line="360" w:lineRule="auto"/>
        <w:jc w:val="both"/>
        <w:rPr>
          <w:sz w:val="28"/>
          <w:szCs w:val="28"/>
          <w:lang w:val="en-US"/>
        </w:rPr>
      </w:pPr>
      <w:r>
        <w:rPr>
          <w:sz w:val="28"/>
          <w:szCs w:val="28"/>
          <w:lang w:val="en-US"/>
        </w:rPr>
        <w:t>2</w:t>
      </w:r>
      <w:r>
        <w:rPr>
          <w:sz w:val="28"/>
          <w:szCs w:val="28"/>
          <w:lang w:val="en-US"/>
        </w:rPr>
        <w:tab/>
        <w:t xml:space="preserve">Save as aforesaid, the </w:t>
      </w:r>
      <w:r w:rsidR="0092725A" w:rsidRPr="005A3D47">
        <w:rPr>
          <w:sz w:val="28"/>
          <w:szCs w:val="28"/>
          <w:lang w:val="en-US"/>
        </w:rPr>
        <w:t>appeal is dismissed. There is no order as to costs</w:t>
      </w:r>
      <w:r>
        <w:rPr>
          <w:sz w:val="28"/>
          <w:szCs w:val="28"/>
          <w:lang w:val="en-US"/>
        </w:rPr>
        <w:t xml:space="preserve"> of </w:t>
      </w:r>
      <w:r w:rsidR="00BB6F6C">
        <w:rPr>
          <w:sz w:val="28"/>
          <w:szCs w:val="28"/>
          <w:lang w:val="en-US"/>
        </w:rPr>
        <w:t xml:space="preserve">the </w:t>
      </w:r>
      <w:r>
        <w:rPr>
          <w:sz w:val="28"/>
          <w:szCs w:val="28"/>
          <w:lang w:val="en-US"/>
        </w:rPr>
        <w:t>appeal</w:t>
      </w:r>
      <w:r w:rsidR="0092725A" w:rsidRPr="005A3D47">
        <w:rPr>
          <w:sz w:val="28"/>
          <w:szCs w:val="28"/>
          <w:lang w:val="en-US"/>
        </w:rPr>
        <w:t>.</w:t>
      </w:r>
    </w:p>
    <w:p w14:paraId="068B60F3" w14:textId="052A3317" w:rsidR="000609B4" w:rsidRDefault="000609B4" w:rsidP="00245886">
      <w:pPr>
        <w:spacing w:before="240" w:after="0" w:line="240" w:lineRule="auto"/>
        <w:jc w:val="both"/>
        <w:rPr>
          <w:sz w:val="28"/>
          <w:szCs w:val="28"/>
          <w:lang w:val="en-US"/>
        </w:rPr>
      </w:pPr>
    </w:p>
    <w:p w14:paraId="2C12F4FD" w14:textId="77777777" w:rsidR="00507AB0" w:rsidRPr="00970D60" w:rsidRDefault="00323365" w:rsidP="00B929DA">
      <w:pPr>
        <w:spacing w:before="240" w:line="360" w:lineRule="auto"/>
        <w:jc w:val="both"/>
        <w:rPr>
          <w:rFonts w:eastAsia="Times New Roman" w:cs="Times New Roman"/>
          <w:sz w:val="28"/>
          <w:szCs w:val="28"/>
          <w:lang w:eastAsia="en-GB"/>
        </w:rPr>
      </w:pPr>
      <w:r>
        <w:rPr>
          <w:rFonts w:eastAsia="Times New Roman" w:cs="Times New Roman"/>
          <w:sz w:val="28"/>
          <w:szCs w:val="28"/>
          <w:lang w:eastAsia="en-GB"/>
        </w:rPr>
        <w:t>________________________________________________________________</w:t>
      </w:r>
    </w:p>
    <w:p w14:paraId="6E4D6169" w14:textId="77777777" w:rsidR="00507AB0" w:rsidRDefault="00507AB0" w:rsidP="00323365">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JUDGMENT</w:t>
      </w:r>
    </w:p>
    <w:p w14:paraId="299EEF58" w14:textId="77777777" w:rsidR="00323365" w:rsidRPr="00970D60" w:rsidRDefault="00323365" w:rsidP="008102B3">
      <w:pPr>
        <w:shd w:val="clear" w:color="auto" w:fill="FFFFFF"/>
        <w:tabs>
          <w:tab w:val="left" w:pos="900"/>
        </w:tabs>
        <w:spacing w:line="360"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5150DE4E" w14:textId="00295F92" w:rsidR="000D2B94" w:rsidRDefault="00686B67" w:rsidP="000D2B94">
      <w:pPr>
        <w:spacing w:after="0" w:line="360" w:lineRule="auto"/>
        <w:jc w:val="both"/>
        <w:rPr>
          <w:rFonts w:cs="Times New Roman"/>
          <w:sz w:val="28"/>
          <w:szCs w:val="28"/>
        </w:rPr>
      </w:pPr>
      <w:r w:rsidRPr="00970D60">
        <w:rPr>
          <w:rFonts w:eastAsia="Times New Roman" w:cs="Times New Roman"/>
          <w:b/>
          <w:sz w:val="28"/>
          <w:szCs w:val="28"/>
          <w:lang w:val="en-GB"/>
        </w:rPr>
        <w:t xml:space="preserve">Schippers JA </w:t>
      </w:r>
      <w:r w:rsidR="00A1267C">
        <w:rPr>
          <w:rFonts w:eastAsia="Times New Roman" w:cs="Times New Roman"/>
          <w:b/>
          <w:sz w:val="28"/>
          <w:szCs w:val="28"/>
          <w:lang w:val="en-GB"/>
        </w:rPr>
        <w:t>(Maya</w:t>
      </w:r>
      <w:r w:rsidR="004A1A14">
        <w:rPr>
          <w:rFonts w:eastAsia="Times New Roman" w:cs="Times New Roman"/>
          <w:b/>
          <w:sz w:val="28"/>
          <w:szCs w:val="28"/>
          <w:lang w:val="en-GB"/>
        </w:rPr>
        <w:t xml:space="preserve"> P and </w:t>
      </w:r>
      <w:r w:rsidR="001B72B5">
        <w:rPr>
          <w:rFonts w:eastAsia="Times New Roman" w:cs="Times New Roman"/>
          <w:b/>
          <w:sz w:val="28"/>
          <w:szCs w:val="28"/>
          <w:lang w:val="en-GB"/>
        </w:rPr>
        <w:t>Plasket and Mabindla-Boqwana JJA and Savage AJA</w:t>
      </w:r>
      <w:r w:rsidR="004A1A14">
        <w:rPr>
          <w:rFonts w:eastAsia="Times New Roman" w:cs="Times New Roman"/>
          <w:b/>
          <w:sz w:val="28"/>
          <w:szCs w:val="28"/>
          <w:lang w:val="en-GB"/>
        </w:rPr>
        <w:t xml:space="preserve"> concurring</w:t>
      </w:r>
      <w:r w:rsidR="00801266" w:rsidRPr="00970D60">
        <w:rPr>
          <w:rFonts w:eastAsia="Times New Roman" w:cs="Times New Roman"/>
          <w:b/>
          <w:sz w:val="28"/>
          <w:szCs w:val="28"/>
          <w:lang w:val="en-GB"/>
        </w:rPr>
        <w:t>)</w:t>
      </w:r>
      <w:r w:rsidR="000D2B94" w:rsidRPr="00970D60">
        <w:rPr>
          <w:rFonts w:cs="Times New Roman"/>
          <w:sz w:val="28"/>
          <w:szCs w:val="28"/>
        </w:rPr>
        <w:t xml:space="preserve"> </w:t>
      </w:r>
    </w:p>
    <w:p w14:paraId="266D4049" w14:textId="77777777" w:rsidR="00C76ECD" w:rsidRDefault="00C76ECD" w:rsidP="000D2B94">
      <w:pPr>
        <w:spacing w:after="0" w:line="360" w:lineRule="auto"/>
        <w:jc w:val="both"/>
        <w:rPr>
          <w:rFonts w:cs="Times New Roman"/>
          <w:sz w:val="28"/>
          <w:szCs w:val="28"/>
        </w:rPr>
      </w:pPr>
    </w:p>
    <w:p w14:paraId="48480437" w14:textId="3C1D318D" w:rsidR="00C508FB" w:rsidRDefault="0060159B" w:rsidP="00FE160B">
      <w:pPr>
        <w:pStyle w:val="ListParagraph"/>
        <w:numPr>
          <w:ilvl w:val="0"/>
          <w:numId w:val="19"/>
        </w:numPr>
        <w:spacing w:line="360" w:lineRule="auto"/>
        <w:ind w:left="0" w:firstLine="0"/>
        <w:jc w:val="both"/>
        <w:rPr>
          <w:sz w:val="28"/>
          <w:szCs w:val="28"/>
        </w:rPr>
      </w:pPr>
      <w:r>
        <w:rPr>
          <w:sz w:val="28"/>
          <w:szCs w:val="28"/>
        </w:rPr>
        <w:lastRenderedPageBreak/>
        <w:t xml:space="preserve">This case brings into </w:t>
      </w:r>
      <w:r w:rsidR="00C508FB">
        <w:rPr>
          <w:sz w:val="28"/>
          <w:szCs w:val="28"/>
        </w:rPr>
        <w:t xml:space="preserve">sharp </w:t>
      </w:r>
      <w:r w:rsidR="00D6016E">
        <w:rPr>
          <w:sz w:val="28"/>
          <w:szCs w:val="28"/>
        </w:rPr>
        <w:t>focus the potency of a symbol</w:t>
      </w:r>
      <w:r w:rsidR="00472C64">
        <w:rPr>
          <w:sz w:val="28"/>
          <w:szCs w:val="28"/>
        </w:rPr>
        <w:t xml:space="preserve"> </w:t>
      </w:r>
      <w:r w:rsidR="00D6016E">
        <w:rPr>
          <w:sz w:val="28"/>
          <w:szCs w:val="28"/>
        </w:rPr>
        <w:t xml:space="preserve">of </w:t>
      </w:r>
      <w:r w:rsidR="005B4D32">
        <w:rPr>
          <w:sz w:val="28"/>
          <w:szCs w:val="28"/>
        </w:rPr>
        <w:t>the cruel ideology</w:t>
      </w:r>
      <w:r w:rsidR="009B473E">
        <w:rPr>
          <w:sz w:val="28"/>
          <w:szCs w:val="28"/>
        </w:rPr>
        <w:t xml:space="preserve"> of </w:t>
      </w:r>
      <w:r w:rsidR="005B4D32">
        <w:rPr>
          <w:sz w:val="28"/>
          <w:szCs w:val="28"/>
        </w:rPr>
        <w:t>apartheid</w:t>
      </w:r>
      <w:r w:rsidR="009B473E">
        <w:rPr>
          <w:sz w:val="28"/>
          <w:szCs w:val="28"/>
        </w:rPr>
        <w:t xml:space="preserve">, infamous for its </w:t>
      </w:r>
      <w:r w:rsidR="00D6016E">
        <w:rPr>
          <w:sz w:val="28"/>
          <w:szCs w:val="28"/>
        </w:rPr>
        <w:t xml:space="preserve">assault on </w:t>
      </w:r>
      <w:r w:rsidR="00FE160B">
        <w:rPr>
          <w:sz w:val="28"/>
          <w:szCs w:val="28"/>
        </w:rPr>
        <w:t xml:space="preserve">the </w:t>
      </w:r>
      <w:r w:rsidR="00D6016E">
        <w:rPr>
          <w:sz w:val="28"/>
          <w:szCs w:val="28"/>
        </w:rPr>
        <w:t xml:space="preserve">dignity, freedom and equality of </w:t>
      </w:r>
      <w:r w:rsidR="00FE11A2">
        <w:rPr>
          <w:sz w:val="28"/>
          <w:szCs w:val="28"/>
        </w:rPr>
        <w:t>black people</w:t>
      </w:r>
      <w:r w:rsidR="00D6016E">
        <w:rPr>
          <w:sz w:val="28"/>
          <w:szCs w:val="28"/>
        </w:rPr>
        <w:t xml:space="preserve">. </w:t>
      </w:r>
      <w:r w:rsidR="00FE160B">
        <w:rPr>
          <w:sz w:val="28"/>
          <w:szCs w:val="28"/>
        </w:rPr>
        <w:t xml:space="preserve">The </w:t>
      </w:r>
      <w:r w:rsidR="001014A6">
        <w:rPr>
          <w:sz w:val="28"/>
          <w:szCs w:val="28"/>
        </w:rPr>
        <w:t xml:space="preserve">main </w:t>
      </w:r>
      <w:r w:rsidR="00FE160B">
        <w:rPr>
          <w:sz w:val="28"/>
          <w:szCs w:val="28"/>
        </w:rPr>
        <w:t xml:space="preserve">issue is whether the </w:t>
      </w:r>
      <w:r w:rsidR="00392848">
        <w:rPr>
          <w:sz w:val="28"/>
          <w:szCs w:val="28"/>
        </w:rPr>
        <w:t xml:space="preserve">gratuitous </w:t>
      </w:r>
      <w:r w:rsidR="00FE160B">
        <w:rPr>
          <w:sz w:val="28"/>
          <w:szCs w:val="28"/>
        </w:rPr>
        <w:t xml:space="preserve">display of that symbol – the former South African flag (the old flag) – </w:t>
      </w:r>
      <w:r w:rsidR="00003024">
        <w:rPr>
          <w:sz w:val="28"/>
          <w:szCs w:val="28"/>
        </w:rPr>
        <w:t xml:space="preserve">is harmful, incites harm, and promotes and propagates hatred </w:t>
      </w:r>
      <w:r w:rsidR="00FE160B">
        <w:rPr>
          <w:sz w:val="28"/>
          <w:szCs w:val="28"/>
        </w:rPr>
        <w:t xml:space="preserve">within the meaning of </w:t>
      </w:r>
      <w:r w:rsidR="0052281E">
        <w:rPr>
          <w:sz w:val="28"/>
          <w:szCs w:val="28"/>
        </w:rPr>
        <w:t xml:space="preserve">s 10(1) of </w:t>
      </w:r>
      <w:r w:rsidR="00FE160B" w:rsidRPr="009446B1">
        <w:rPr>
          <w:sz w:val="28"/>
          <w:szCs w:val="28"/>
        </w:rPr>
        <w:t>the Promotion of Equality and Prevention of Unfair Discrimination Act 4 of 2000 (</w:t>
      </w:r>
      <w:r w:rsidR="00FE160B">
        <w:rPr>
          <w:sz w:val="28"/>
          <w:szCs w:val="28"/>
        </w:rPr>
        <w:t>the Equality Act</w:t>
      </w:r>
      <w:r w:rsidR="00FE160B" w:rsidRPr="009446B1">
        <w:rPr>
          <w:sz w:val="28"/>
          <w:szCs w:val="28"/>
        </w:rPr>
        <w:t>).</w:t>
      </w:r>
      <w:r w:rsidR="00FE160B">
        <w:rPr>
          <w:sz w:val="28"/>
          <w:szCs w:val="28"/>
        </w:rPr>
        <w:t xml:space="preserve"> </w:t>
      </w:r>
    </w:p>
    <w:p w14:paraId="0DD687B4" w14:textId="77777777" w:rsidR="00E10015" w:rsidRDefault="00E10015" w:rsidP="00E10015">
      <w:pPr>
        <w:pStyle w:val="ListParagraph"/>
        <w:spacing w:line="360" w:lineRule="auto"/>
        <w:ind w:left="0"/>
        <w:jc w:val="both"/>
        <w:rPr>
          <w:sz w:val="28"/>
          <w:szCs w:val="28"/>
        </w:rPr>
      </w:pPr>
    </w:p>
    <w:p w14:paraId="7A20B012" w14:textId="77777777" w:rsidR="00E10015" w:rsidRPr="00E10015" w:rsidRDefault="00500C56" w:rsidP="00E10015">
      <w:pPr>
        <w:pStyle w:val="ListParagraph"/>
        <w:numPr>
          <w:ilvl w:val="0"/>
          <w:numId w:val="19"/>
        </w:numPr>
        <w:spacing w:line="360" w:lineRule="auto"/>
        <w:ind w:left="0" w:firstLine="0"/>
        <w:jc w:val="both"/>
        <w:rPr>
          <w:rFonts w:cs="Times New Roman"/>
          <w:sz w:val="28"/>
          <w:szCs w:val="28"/>
        </w:rPr>
      </w:pPr>
      <w:r w:rsidRPr="009446B1">
        <w:rPr>
          <w:sz w:val="28"/>
          <w:szCs w:val="28"/>
        </w:rPr>
        <w:t xml:space="preserve">The appellant, Afriforum NPC (Afriforum), played a leading role in nationwide demonstrations </w:t>
      </w:r>
      <w:r w:rsidR="00F268CD">
        <w:rPr>
          <w:sz w:val="28"/>
          <w:szCs w:val="28"/>
        </w:rPr>
        <w:t xml:space="preserve">to protest against the murder of farmers, </w:t>
      </w:r>
      <w:r w:rsidR="0052281E">
        <w:rPr>
          <w:sz w:val="28"/>
          <w:szCs w:val="28"/>
        </w:rPr>
        <w:t>held on Monday, 30 Octobe</w:t>
      </w:r>
      <w:r w:rsidR="00F268CD">
        <w:rPr>
          <w:sz w:val="28"/>
          <w:szCs w:val="28"/>
        </w:rPr>
        <w:t>r 2017. They were</w:t>
      </w:r>
      <w:r w:rsidR="0052281E">
        <w:rPr>
          <w:sz w:val="28"/>
          <w:szCs w:val="28"/>
        </w:rPr>
        <w:t xml:space="preserve"> </w:t>
      </w:r>
      <w:r w:rsidRPr="009446B1">
        <w:rPr>
          <w:sz w:val="28"/>
          <w:szCs w:val="28"/>
        </w:rPr>
        <w:t>called ‘the Black Monday protests’</w:t>
      </w:r>
      <w:r w:rsidR="0052281E">
        <w:rPr>
          <w:sz w:val="28"/>
          <w:szCs w:val="28"/>
        </w:rPr>
        <w:t xml:space="preserve">. It was widely reported in </w:t>
      </w:r>
      <w:r w:rsidR="006B2FFC">
        <w:rPr>
          <w:sz w:val="28"/>
          <w:szCs w:val="28"/>
        </w:rPr>
        <w:t xml:space="preserve">the </w:t>
      </w:r>
      <w:r w:rsidRPr="009446B1">
        <w:rPr>
          <w:sz w:val="28"/>
          <w:szCs w:val="28"/>
        </w:rPr>
        <w:t xml:space="preserve">mainstream and social media that at </w:t>
      </w:r>
      <w:r w:rsidR="00945EEC">
        <w:rPr>
          <w:sz w:val="28"/>
          <w:szCs w:val="28"/>
        </w:rPr>
        <w:t xml:space="preserve">some of these protests, </w:t>
      </w:r>
      <w:r w:rsidR="00E10015">
        <w:rPr>
          <w:sz w:val="28"/>
          <w:szCs w:val="28"/>
        </w:rPr>
        <w:t>the old flag</w:t>
      </w:r>
      <w:r w:rsidRPr="009446B1">
        <w:rPr>
          <w:sz w:val="28"/>
          <w:szCs w:val="28"/>
        </w:rPr>
        <w:t xml:space="preserve"> was displayed. These incidents led to a complaint against Afriforum lodged by the first respondent, Nelson Mandela Foundation Trust (NMF), with the Gauteng Division of the High Court, Johannesburg, sitting as an Equality Court (th</w:t>
      </w:r>
      <w:r w:rsidR="001014A6">
        <w:rPr>
          <w:sz w:val="28"/>
          <w:szCs w:val="28"/>
        </w:rPr>
        <w:t>e high court), that the display</w:t>
      </w:r>
      <w:r w:rsidR="00F268CD">
        <w:rPr>
          <w:sz w:val="28"/>
          <w:szCs w:val="28"/>
        </w:rPr>
        <w:t xml:space="preserve"> of the old flag at the B</w:t>
      </w:r>
      <w:r w:rsidR="0052281E">
        <w:rPr>
          <w:sz w:val="28"/>
          <w:szCs w:val="28"/>
        </w:rPr>
        <w:t>lack Monday protests was</w:t>
      </w:r>
      <w:r w:rsidRPr="009446B1">
        <w:rPr>
          <w:sz w:val="28"/>
          <w:szCs w:val="28"/>
        </w:rPr>
        <w:t xml:space="preserve"> a co</w:t>
      </w:r>
      <w:r w:rsidR="00E10015">
        <w:rPr>
          <w:sz w:val="28"/>
          <w:szCs w:val="28"/>
        </w:rPr>
        <w:t xml:space="preserve">ntravention of the </w:t>
      </w:r>
      <w:r w:rsidRPr="009446B1">
        <w:rPr>
          <w:sz w:val="28"/>
          <w:szCs w:val="28"/>
        </w:rPr>
        <w:t xml:space="preserve">Equality </w:t>
      </w:r>
      <w:r w:rsidR="00E10015">
        <w:rPr>
          <w:sz w:val="28"/>
          <w:szCs w:val="28"/>
        </w:rPr>
        <w:t>Act.</w:t>
      </w:r>
    </w:p>
    <w:p w14:paraId="530F9EC5" w14:textId="77777777" w:rsidR="00500C56" w:rsidRDefault="00E10015" w:rsidP="00E10015">
      <w:pPr>
        <w:pStyle w:val="ListParagraph"/>
        <w:spacing w:line="360" w:lineRule="auto"/>
        <w:ind w:left="0"/>
        <w:jc w:val="both"/>
        <w:rPr>
          <w:rFonts w:cs="Times New Roman"/>
          <w:sz w:val="28"/>
          <w:szCs w:val="28"/>
        </w:rPr>
      </w:pPr>
      <w:r>
        <w:rPr>
          <w:rFonts w:cs="Times New Roman"/>
          <w:sz w:val="28"/>
          <w:szCs w:val="28"/>
        </w:rPr>
        <w:t xml:space="preserve"> </w:t>
      </w:r>
    </w:p>
    <w:p w14:paraId="194ACBB4" w14:textId="3D829942" w:rsidR="00586798" w:rsidRDefault="00586798"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second respondent</w:t>
      </w:r>
      <w:r w:rsidR="00A878F2">
        <w:rPr>
          <w:rFonts w:cs="Times New Roman"/>
          <w:sz w:val="28"/>
          <w:szCs w:val="28"/>
        </w:rPr>
        <w:t>, the Minister of Justice and Constitut</w:t>
      </w:r>
      <w:r w:rsidR="00B1020F">
        <w:rPr>
          <w:rFonts w:cs="Times New Roman"/>
          <w:sz w:val="28"/>
          <w:szCs w:val="28"/>
        </w:rPr>
        <w:t>ional Development</w:t>
      </w:r>
      <w:r w:rsidR="006B2FFC">
        <w:rPr>
          <w:rFonts w:cs="Times New Roman"/>
          <w:sz w:val="28"/>
          <w:szCs w:val="28"/>
        </w:rPr>
        <w:t xml:space="preserve"> (the Minister)</w:t>
      </w:r>
      <w:r w:rsidR="00A52D3A">
        <w:rPr>
          <w:rFonts w:cs="Times New Roman"/>
          <w:sz w:val="28"/>
          <w:szCs w:val="28"/>
        </w:rPr>
        <w:t>,</w:t>
      </w:r>
      <w:r w:rsidR="00A878F2">
        <w:rPr>
          <w:rFonts w:cs="Times New Roman"/>
          <w:sz w:val="28"/>
          <w:szCs w:val="28"/>
        </w:rPr>
        <w:t xml:space="preserve"> and the third respondent</w:t>
      </w:r>
      <w:r w:rsidR="00A878F2" w:rsidRPr="00245886">
        <w:rPr>
          <w:rFonts w:cs="Times New Roman"/>
          <w:sz w:val="28"/>
          <w:szCs w:val="28"/>
        </w:rPr>
        <w:t>,</w:t>
      </w:r>
      <w:r w:rsidR="00F14474" w:rsidRPr="00245886">
        <w:rPr>
          <w:rFonts w:cs="Times New Roman"/>
          <w:sz w:val="28"/>
          <w:szCs w:val="28"/>
        </w:rPr>
        <w:t xml:space="preserve"> the Department of Justice and Correctional Services</w:t>
      </w:r>
      <w:r w:rsidR="005B71C6" w:rsidRPr="00245886">
        <w:rPr>
          <w:rFonts w:cs="Times New Roman"/>
          <w:sz w:val="28"/>
          <w:szCs w:val="28"/>
        </w:rPr>
        <w:t>,</w:t>
      </w:r>
      <w:r w:rsidR="00A878F2" w:rsidRPr="00245886">
        <w:rPr>
          <w:rFonts w:cs="Times New Roman"/>
          <w:sz w:val="28"/>
          <w:szCs w:val="28"/>
        </w:rPr>
        <w:t xml:space="preserve"> </w:t>
      </w:r>
      <w:r w:rsidR="00A52D3A" w:rsidRPr="00245886">
        <w:rPr>
          <w:rFonts w:cs="Times New Roman"/>
          <w:sz w:val="28"/>
          <w:szCs w:val="28"/>
        </w:rPr>
        <w:t>were joined as partie</w:t>
      </w:r>
      <w:r w:rsidR="006D76B0" w:rsidRPr="00245886">
        <w:rPr>
          <w:rFonts w:cs="Times New Roman"/>
          <w:sz w:val="28"/>
          <w:szCs w:val="28"/>
        </w:rPr>
        <w:t>s in the proceedings in the high court</w:t>
      </w:r>
      <w:r w:rsidR="005F2FB3" w:rsidRPr="00245886">
        <w:rPr>
          <w:rFonts w:cs="Times New Roman"/>
          <w:sz w:val="28"/>
          <w:szCs w:val="28"/>
        </w:rPr>
        <w:t xml:space="preserve">. They were joined by </w:t>
      </w:r>
      <w:r w:rsidR="00A878F2" w:rsidRPr="00245886">
        <w:rPr>
          <w:rFonts w:cs="Times New Roman"/>
          <w:sz w:val="28"/>
          <w:szCs w:val="28"/>
        </w:rPr>
        <w:t xml:space="preserve">the </w:t>
      </w:r>
      <w:r w:rsidR="00A52D3A" w:rsidRPr="00245886">
        <w:rPr>
          <w:rFonts w:cs="Times New Roman"/>
          <w:sz w:val="28"/>
          <w:szCs w:val="28"/>
        </w:rPr>
        <w:t>fourth</w:t>
      </w:r>
      <w:r w:rsidRPr="00245886">
        <w:rPr>
          <w:rFonts w:cs="Times New Roman"/>
          <w:sz w:val="28"/>
          <w:szCs w:val="28"/>
        </w:rPr>
        <w:t xml:space="preserve"> respondent, the South African Human Rights Commission (</w:t>
      </w:r>
      <w:r w:rsidR="007B4A59" w:rsidRPr="00245886">
        <w:rPr>
          <w:rFonts w:cs="Times New Roman"/>
          <w:sz w:val="28"/>
          <w:szCs w:val="28"/>
        </w:rPr>
        <w:t>SAHRC</w:t>
      </w:r>
      <w:r w:rsidR="00D723B0" w:rsidRPr="00245886">
        <w:rPr>
          <w:rFonts w:cs="Times New Roman"/>
          <w:sz w:val="28"/>
          <w:szCs w:val="28"/>
        </w:rPr>
        <w:t>)</w:t>
      </w:r>
      <w:r w:rsidR="00A878F2" w:rsidRPr="00245886">
        <w:rPr>
          <w:rFonts w:cs="Times New Roman"/>
          <w:sz w:val="28"/>
          <w:szCs w:val="28"/>
        </w:rPr>
        <w:t xml:space="preserve">, </w:t>
      </w:r>
      <w:r w:rsidR="005F2FB3" w:rsidRPr="00245886">
        <w:rPr>
          <w:rFonts w:cs="Times New Roman"/>
          <w:sz w:val="28"/>
          <w:szCs w:val="28"/>
        </w:rPr>
        <w:t xml:space="preserve">when it </w:t>
      </w:r>
      <w:r w:rsidR="00ED3E4B" w:rsidRPr="00245886">
        <w:rPr>
          <w:rFonts w:cs="Times New Roman"/>
          <w:sz w:val="28"/>
          <w:szCs w:val="28"/>
        </w:rPr>
        <w:t xml:space="preserve">applied </w:t>
      </w:r>
      <w:r w:rsidR="00A878F2" w:rsidRPr="00245886">
        <w:rPr>
          <w:rFonts w:cs="Times New Roman"/>
          <w:sz w:val="28"/>
          <w:szCs w:val="28"/>
        </w:rPr>
        <w:t>for an order declaring that s 10</w:t>
      </w:r>
      <w:r w:rsidR="00504FB0" w:rsidRPr="00245886">
        <w:rPr>
          <w:rFonts w:cs="Times New Roman"/>
          <w:sz w:val="28"/>
          <w:szCs w:val="28"/>
        </w:rPr>
        <w:t>(1)</w:t>
      </w:r>
      <w:r w:rsidR="00A878F2" w:rsidRPr="00245886">
        <w:rPr>
          <w:rFonts w:cs="Times New Roman"/>
          <w:sz w:val="28"/>
          <w:szCs w:val="28"/>
        </w:rPr>
        <w:t xml:space="preserve"> of </w:t>
      </w:r>
      <w:r w:rsidR="00B113D1" w:rsidRPr="00245886">
        <w:rPr>
          <w:rFonts w:cs="Times New Roman"/>
          <w:sz w:val="28"/>
          <w:szCs w:val="28"/>
        </w:rPr>
        <w:t>the Equality Act</w:t>
      </w:r>
      <w:r w:rsidR="00A52D3A" w:rsidRPr="00245886">
        <w:rPr>
          <w:rFonts w:cs="Times New Roman"/>
          <w:sz w:val="28"/>
          <w:szCs w:val="28"/>
        </w:rPr>
        <w:t xml:space="preserve"> was unconstitutional and invalid</w:t>
      </w:r>
      <w:r w:rsidR="005F2FB3" w:rsidRPr="00245886">
        <w:rPr>
          <w:rFonts w:cs="Times New Roman"/>
          <w:sz w:val="28"/>
          <w:szCs w:val="28"/>
        </w:rPr>
        <w:t>,</w:t>
      </w:r>
      <w:r w:rsidR="00A52D3A" w:rsidRPr="00245886">
        <w:rPr>
          <w:rFonts w:cs="Times New Roman"/>
          <w:sz w:val="28"/>
          <w:szCs w:val="28"/>
        </w:rPr>
        <w:t xml:space="preserve"> to the</w:t>
      </w:r>
      <w:r w:rsidR="003E08FB" w:rsidRPr="00245886">
        <w:rPr>
          <w:rFonts w:cs="Times New Roman"/>
          <w:sz w:val="28"/>
          <w:szCs w:val="28"/>
        </w:rPr>
        <w:t xml:space="preserve"> extent that it restricted the conduct proscr</w:t>
      </w:r>
      <w:r w:rsidR="00894EB9" w:rsidRPr="00245886">
        <w:rPr>
          <w:rFonts w:cs="Times New Roman"/>
          <w:sz w:val="28"/>
          <w:szCs w:val="28"/>
        </w:rPr>
        <w:t xml:space="preserve">ibed by </w:t>
      </w:r>
      <w:r w:rsidR="003E08FB" w:rsidRPr="00245886">
        <w:rPr>
          <w:rFonts w:cs="Times New Roman"/>
          <w:sz w:val="28"/>
          <w:szCs w:val="28"/>
        </w:rPr>
        <w:t xml:space="preserve">s 10(1) </w:t>
      </w:r>
      <w:r w:rsidR="00A52D3A" w:rsidRPr="00245886">
        <w:rPr>
          <w:rFonts w:cs="Times New Roman"/>
          <w:sz w:val="28"/>
          <w:szCs w:val="28"/>
        </w:rPr>
        <w:t>to ‘words’</w:t>
      </w:r>
      <w:r w:rsidR="00ED3E4B" w:rsidRPr="00245886">
        <w:rPr>
          <w:rFonts w:cs="Times New Roman"/>
          <w:sz w:val="28"/>
          <w:szCs w:val="28"/>
        </w:rPr>
        <w:t xml:space="preserve"> only. </w:t>
      </w:r>
    </w:p>
    <w:p w14:paraId="563E4DA5" w14:textId="77777777" w:rsidR="00245886" w:rsidRDefault="00245886" w:rsidP="00245886">
      <w:pPr>
        <w:pStyle w:val="ListParagraph"/>
        <w:spacing w:after="0" w:line="360" w:lineRule="auto"/>
        <w:ind w:left="0"/>
        <w:jc w:val="both"/>
        <w:rPr>
          <w:rFonts w:cs="Times New Roman"/>
          <w:sz w:val="28"/>
          <w:szCs w:val="28"/>
        </w:rPr>
      </w:pPr>
    </w:p>
    <w:p w14:paraId="64FA1258" w14:textId="2381B38D" w:rsidR="00E12A96" w:rsidRPr="00245886" w:rsidRDefault="009F0280" w:rsidP="00245886">
      <w:pPr>
        <w:pStyle w:val="ListParagraph"/>
        <w:numPr>
          <w:ilvl w:val="0"/>
          <w:numId w:val="19"/>
        </w:numPr>
        <w:spacing w:after="0" w:line="360" w:lineRule="auto"/>
        <w:ind w:left="0" w:firstLine="0"/>
        <w:jc w:val="both"/>
        <w:rPr>
          <w:rFonts w:cs="Times New Roman"/>
          <w:sz w:val="28"/>
          <w:szCs w:val="28"/>
        </w:rPr>
      </w:pPr>
      <w:r w:rsidRPr="00245886">
        <w:rPr>
          <w:rFonts w:cs="Times New Roman"/>
          <w:sz w:val="28"/>
          <w:szCs w:val="28"/>
        </w:rPr>
        <w:t xml:space="preserve">The </w:t>
      </w:r>
      <w:r w:rsidR="00AF3A08" w:rsidRPr="00245886">
        <w:rPr>
          <w:rFonts w:cs="Times New Roman"/>
          <w:sz w:val="28"/>
          <w:szCs w:val="28"/>
        </w:rPr>
        <w:t>high c</w:t>
      </w:r>
      <w:r w:rsidRPr="00245886">
        <w:rPr>
          <w:rFonts w:cs="Times New Roman"/>
          <w:sz w:val="28"/>
          <w:szCs w:val="28"/>
        </w:rPr>
        <w:t xml:space="preserve">ourt (Mojapelo DJP) </w:t>
      </w:r>
      <w:r w:rsidR="00C6212D" w:rsidRPr="00245886">
        <w:rPr>
          <w:rFonts w:cs="Times New Roman"/>
          <w:sz w:val="28"/>
          <w:szCs w:val="28"/>
        </w:rPr>
        <w:t xml:space="preserve">did not issue the declaratory order sought by the </w:t>
      </w:r>
      <w:r w:rsidR="007B4A59" w:rsidRPr="00245886">
        <w:rPr>
          <w:rFonts w:cs="Times New Roman"/>
          <w:sz w:val="28"/>
          <w:szCs w:val="28"/>
        </w:rPr>
        <w:t>SAHRC</w:t>
      </w:r>
      <w:r w:rsidR="00C6212D" w:rsidRPr="00245886">
        <w:rPr>
          <w:rFonts w:cs="Times New Roman"/>
          <w:sz w:val="28"/>
          <w:szCs w:val="28"/>
        </w:rPr>
        <w:t xml:space="preserve">. The court </w:t>
      </w:r>
      <w:r w:rsidR="004D184B" w:rsidRPr="00245886">
        <w:rPr>
          <w:rFonts w:cs="Times New Roman"/>
          <w:sz w:val="28"/>
          <w:szCs w:val="28"/>
        </w:rPr>
        <w:t xml:space="preserve">interpreted s </w:t>
      </w:r>
      <w:r w:rsidR="00384A95" w:rsidRPr="00245886">
        <w:rPr>
          <w:rFonts w:cs="Times New Roman"/>
          <w:sz w:val="28"/>
          <w:szCs w:val="28"/>
        </w:rPr>
        <w:t xml:space="preserve">10(1) broadly and purposively </w:t>
      </w:r>
      <w:r w:rsidR="0026502E" w:rsidRPr="00245886">
        <w:rPr>
          <w:rFonts w:cs="Times New Roman"/>
          <w:sz w:val="28"/>
          <w:szCs w:val="28"/>
        </w:rPr>
        <w:t xml:space="preserve">in the light of </w:t>
      </w:r>
      <w:r w:rsidR="00B113D1" w:rsidRPr="00245886">
        <w:rPr>
          <w:rFonts w:cs="Times New Roman"/>
          <w:sz w:val="28"/>
          <w:szCs w:val="28"/>
        </w:rPr>
        <w:t xml:space="preserve">the </w:t>
      </w:r>
      <w:r w:rsidR="00EB08BE" w:rsidRPr="00245886">
        <w:rPr>
          <w:rFonts w:cs="Times New Roman"/>
          <w:sz w:val="28"/>
          <w:szCs w:val="28"/>
        </w:rPr>
        <w:t xml:space="preserve">objects of the </w:t>
      </w:r>
      <w:r w:rsidR="00B113D1" w:rsidRPr="00245886">
        <w:rPr>
          <w:rFonts w:cs="Times New Roman"/>
          <w:sz w:val="28"/>
          <w:szCs w:val="28"/>
        </w:rPr>
        <w:t>Equality Act</w:t>
      </w:r>
      <w:r w:rsidR="00EB08BE" w:rsidRPr="00245886">
        <w:rPr>
          <w:rFonts w:cs="Times New Roman"/>
          <w:sz w:val="28"/>
          <w:szCs w:val="28"/>
        </w:rPr>
        <w:t xml:space="preserve">, </w:t>
      </w:r>
      <w:r w:rsidR="00E12A96" w:rsidRPr="00245886">
        <w:rPr>
          <w:rFonts w:cs="Times New Roman"/>
          <w:sz w:val="28"/>
          <w:szCs w:val="28"/>
        </w:rPr>
        <w:t xml:space="preserve">namely </w:t>
      </w:r>
      <w:r w:rsidR="0026502E" w:rsidRPr="00245886">
        <w:rPr>
          <w:rFonts w:cs="Times New Roman"/>
          <w:sz w:val="28"/>
          <w:szCs w:val="28"/>
        </w:rPr>
        <w:t>th</w:t>
      </w:r>
      <w:r w:rsidR="00E12A96" w:rsidRPr="00245886">
        <w:rPr>
          <w:rFonts w:cs="Times New Roman"/>
          <w:sz w:val="28"/>
          <w:szCs w:val="28"/>
        </w:rPr>
        <w:t xml:space="preserve">at </w:t>
      </w:r>
      <w:r w:rsidR="00F353B1" w:rsidRPr="00245886">
        <w:rPr>
          <w:rFonts w:cs="Times New Roman"/>
          <w:sz w:val="28"/>
          <w:szCs w:val="28"/>
        </w:rPr>
        <w:t>the prohibition o</w:t>
      </w:r>
      <w:r w:rsidR="00EB08BE" w:rsidRPr="00245886">
        <w:rPr>
          <w:rFonts w:cs="Times New Roman"/>
          <w:sz w:val="28"/>
          <w:szCs w:val="28"/>
        </w:rPr>
        <w:t xml:space="preserve">f hate speech </w:t>
      </w:r>
      <w:r w:rsidR="00F353B1" w:rsidRPr="00245886">
        <w:rPr>
          <w:rFonts w:cs="Times New Roman"/>
          <w:sz w:val="28"/>
          <w:szCs w:val="28"/>
        </w:rPr>
        <w:lastRenderedPageBreak/>
        <w:t xml:space="preserve">includes </w:t>
      </w:r>
      <w:r w:rsidR="00E12A96" w:rsidRPr="00245886">
        <w:rPr>
          <w:rFonts w:cs="Times New Roman"/>
          <w:sz w:val="28"/>
          <w:szCs w:val="28"/>
        </w:rPr>
        <w:t>any expression of ideas,</w:t>
      </w:r>
      <w:r w:rsidR="0026502E" w:rsidRPr="00245886">
        <w:rPr>
          <w:rFonts w:cs="Times New Roman"/>
          <w:sz w:val="28"/>
          <w:szCs w:val="28"/>
        </w:rPr>
        <w:t xml:space="preserve"> </w:t>
      </w:r>
      <w:r w:rsidR="00504FB0" w:rsidRPr="00245886">
        <w:rPr>
          <w:rFonts w:cs="Times New Roman"/>
          <w:sz w:val="28"/>
          <w:szCs w:val="28"/>
        </w:rPr>
        <w:t>whe</w:t>
      </w:r>
      <w:r w:rsidR="0026502E" w:rsidRPr="00245886">
        <w:rPr>
          <w:rFonts w:cs="Times New Roman"/>
          <w:sz w:val="28"/>
          <w:szCs w:val="28"/>
        </w:rPr>
        <w:t>ther by words or conduct</w:t>
      </w:r>
      <w:r w:rsidR="00F353B1" w:rsidRPr="00245886">
        <w:rPr>
          <w:rFonts w:cs="Times New Roman"/>
          <w:sz w:val="28"/>
          <w:szCs w:val="28"/>
        </w:rPr>
        <w:t>.</w:t>
      </w:r>
      <w:r w:rsidR="0026502E" w:rsidRPr="00245886">
        <w:rPr>
          <w:rFonts w:cs="Times New Roman"/>
          <w:sz w:val="28"/>
          <w:szCs w:val="28"/>
        </w:rPr>
        <w:t xml:space="preserve"> This interpretation was confirmed by the Constitutional Court in </w:t>
      </w:r>
      <w:r w:rsidR="0026502E" w:rsidRPr="00245886">
        <w:rPr>
          <w:rFonts w:cs="Times New Roman"/>
          <w:i/>
          <w:sz w:val="28"/>
          <w:szCs w:val="28"/>
        </w:rPr>
        <w:t>Qwelane</w:t>
      </w:r>
      <w:r w:rsidR="0026502E" w:rsidRPr="00245886">
        <w:rPr>
          <w:rFonts w:cs="Times New Roman"/>
          <w:sz w:val="28"/>
          <w:szCs w:val="28"/>
        </w:rPr>
        <w:t>.</w:t>
      </w:r>
      <w:r w:rsidR="0026502E">
        <w:rPr>
          <w:rStyle w:val="FootnoteReference"/>
          <w:rFonts w:cs="Times New Roman"/>
          <w:sz w:val="28"/>
          <w:szCs w:val="28"/>
        </w:rPr>
        <w:footnoteReference w:id="1"/>
      </w:r>
      <w:r w:rsidR="0026502E" w:rsidRPr="00245886">
        <w:rPr>
          <w:rFonts w:cs="Times New Roman"/>
          <w:sz w:val="28"/>
          <w:szCs w:val="28"/>
        </w:rPr>
        <w:t xml:space="preserve"> </w:t>
      </w:r>
      <w:r w:rsidR="00504FB0" w:rsidRPr="00245886">
        <w:rPr>
          <w:rFonts w:cs="Times New Roman"/>
          <w:sz w:val="28"/>
          <w:szCs w:val="28"/>
        </w:rPr>
        <w:t>Th</w:t>
      </w:r>
      <w:r w:rsidR="00E12A96" w:rsidRPr="00245886">
        <w:rPr>
          <w:rFonts w:cs="Times New Roman"/>
          <w:sz w:val="28"/>
          <w:szCs w:val="28"/>
        </w:rPr>
        <w:t xml:space="preserve">e high </w:t>
      </w:r>
      <w:r w:rsidR="00B62D6A" w:rsidRPr="00245886">
        <w:rPr>
          <w:rFonts w:cs="Times New Roman"/>
          <w:sz w:val="28"/>
          <w:szCs w:val="28"/>
        </w:rPr>
        <w:t>court determined that the display of the old flag at the B</w:t>
      </w:r>
      <w:r w:rsidR="00E12A96" w:rsidRPr="00245886">
        <w:rPr>
          <w:rFonts w:cs="Times New Roman"/>
          <w:sz w:val="28"/>
          <w:szCs w:val="28"/>
        </w:rPr>
        <w:t xml:space="preserve">lack Monday protests constituted </w:t>
      </w:r>
      <w:r w:rsidR="001A13C5" w:rsidRPr="00245886">
        <w:rPr>
          <w:rFonts w:cs="Times New Roman"/>
          <w:sz w:val="28"/>
          <w:szCs w:val="28"/>
        </w:rPr>
        <w:t>hate speech, unfair discrimination and harassment</w:t>
      </w:r>
      <w:r w:rsidR="005F2FB3" w:rsidRPr="00245886">
        <w:rPr>
          <w:rFonts w:cs="Times New Roman"/>
          <w:sz w:val="28"/>
          <w:szCs w:val="28"/>
        </w:rPr>
        <w:t>,</w:t>
      </w:r>
      <w:r w:rsidR="001A13C5" w:rsidRPr="00245886">
        <w:rPr>
          <w:rFonts w:cs="Times New Roman"/>
          <w:sz w:val="28"/>
          <w:szCs w:val="28"/>
        </w:rPr>
        <w:t xml:space="preserve"> within the meaning of </w:t>
      </w:r>
      <w:r w:rsidR="004D184B" w:rsidRPr="00245886">
        <w:rPr>
          <w:rFonts w:cs="Times New Roman"/>
          <w:sz w:val="28"/>
          <w:szCs w:val="28"/>
        </w:rPr>
        <w:t>ss</w:t>
      </w:r>
      <w:r w:rsidR="001A13C5" w:rsidRPr="00245886">
        <w:rPr>
          <w:rFonts w:cs="Times New Roman"/>
          <w:sz w:val="28"/>
          <w:szCs w:val="28"/>
        </w:rPr>
        <w:t xml:space="preserve"> </w:t>
      </w:r>
      <w:r w:rsidRPr="00245886">
        <w:rPr>
          <w:rFonts w:cs="Times New Roman"/>
          <w:sz w:val="28"/>
          <w:szCs w:val="28"/>
        </w:rPr>
        <w:t>10</w:t>
      </w:r>
      <w:r w:rsidR="001A13C5" w:rsidRPr="00245886">
        <w:rPr>
          <w:rFonts w:cs="Times New Roman"/>
          <w:sz w:val="28"/>
          <w:szCs w:val="28"/>
        </w:rPr>
        <w:t xml:space="preserve">(1), 7 and 11 of </w:t>
      </w:r>
      <w:r w:rsidR="00B113D1" w:rsidRPr="00245886">
        <w:rPr>
          <w:rFonts w:cs="Times New Roman"/>
          <w:sz w:val="28"/>
          <w:szCs w:val="28"/>
        </w:rPr>
        <w:t>the Equality Act</w:t>
      </w:r>
      <w:r w:rsidR="003C4BCA" w:rsidRPr="00245886">
        <w:rPr>
          <w:rFonts w:cs="Times New Roman"/>
          <w:sz w:val="28"/>
          <w:szCs w:val="28"/>
        </w:rPr>
        <w:t xml:space="preserve">. </w:t>
      </w:r>
      <w:r w:rsidR="006B2FFC" w:rsidRPr="00245886">
        <w:rPr>
          <w:rFonts w:cs="Times New Roman"/>
          <w:sz w:val="28"/>
          <w:szCs w:val="28"/>
        </w:rPr>
        <w:t xml:space="preserve">All the parties participated in the appeal, save for </w:t>
      </w:r>
      <w:r w:rsidR="00912011" w:rsidRPr="00245886">
        <w:rPr>
          <w:rFonts w:cs="Times New Roman"/>
          <w:sz w:val="28"/>
          <w:szCs w:val="28"/>
        </w:rPr>
        <w:t>two</w:t>
      </w:r>
      <w:r w:rsidR="006B2FFC" w:rsidRPr="00245886">
        <w:rPr>
          <w:rFonts w:cs="Times New Roman"/>
          <w:sz w:val="28"/>
          <w:szCs w:val="28"/>
        </w:rPr>
        <w:t xml:space="preserve"> amici curiae</w:t>
      </w:r>
      <w:r w:rsidR="00912011" w:rsidRPr="00245886">
        <w:rPr>
          <w:rFonts w:cs="Times New Roman"/>
          <w:sz w:val="28"/>
          <w:szCs w:val="28"/>
        </w:rPr>
        <w:t xml:space="preserve"> that had been admitted by the </w:t>
      </w:r>
      <w:r w:rsidR="009C2877">
        <w:rPr>
          <w:rFonts w:cs="Times New Roman"/>
          <w:sz w:val="28"/>
          <w:szCs w:val="28"/>
        </w:rPr>
        <w:t>high</w:t>
      </w:r>
      <w:r w:rsidR="00912011" w:rsidRPr="00245886">
        <w:rPr>
          <w:rFonts w:cs="Times New Roman"/>
          <w:sz w:val="28"/>
          <w:szCs w:val="28"/>
        </w:rPr>
        <w:t xml:space="preserve"> </w:t>
      </w:r>
      <w:r w:rsidR="009C2877">
        <w:rPr>
          <w:rFonts w:cs="Times New Roman"/>
          <w:sz w:val="28"/>
          <w:szCs w:val="28"/>
        </w:rPr>
        <w:t>c</w:t>
      </w:r>
      <w:r w:rsidR="00912011" w:rsidRPr="00245886">
        <w:rPr>
          <w:rFonts w:cs="Times New Roman"/>
          <w:sz w:val="28"/>
          <w:szCs w:val="28"/>
        </w:rPr>
        <w:t>ourt</w:t>
      </w:r>
      <w:r w:rsidR="006B2FFC" w:rsidRPr="00245886">
        <w:rPr>
          <w:rFonts w:cs="Times New Roman"/>
          <w:sz w:val="28"/>
          <w:szCs w:val="28"/>
        </w:rPr>
        <w:t xml:space="preserve">. </w:t>
      </w:r>
      <w:r w:rsidR="003C4BCA" w:rsidRPr="00245886">
        <w:rPr>
          <w:rFonts w:cs="Times New Roman"/>
          <w:sz w:val="28"/>
          <w:szCs w:val="28"/>
        </w:rPr>
        <w:t>The appeal is</w:t>
      </w:r>
      <w:r w:rsidR="00E12A96" w:rsidRPr="00245886">
        <w:rPr>
          <w:rFonts w:cs="Times New Roman"/>
          <w:sz w:val="28"/>
          <w:szCs w:val="28"/>
        </w:rPr>
        <w:t xml:space="preserve"> with the leave of this Court.</w:t>
      </w:r>
    </w:p>
    <w:p w14:paraId="689EA7A9" w14:textId="77777777" w:rsidR="00E12A96" w:rsidRDefault="00E12A96" w:rsidP="00E12A96">
      <w:pPr>
        <w:pStyle w:val="ListParagraph"/>
        <w:spacing w:after="0" w:line="360" w:lineRule="auto"/>
        <w:ind w:left="0"/>
        <w:jc w:val="both"/>
        <w:rPr>
          <w:rFonts w:cs="Times New Roman"/>
          <w:sz w:val="28"/>
          <w:szCs w:val="28"/>
        </w:rPr>
      </w:pPr>
    </w:p>
    <w:p w14:paraId="2992FB9A" w14:textId="77777777" w:rsidR="00E12A96" w:rsidRPr="00E12A96" w:rsidRDefault="00A92EF5" w:rsidP="00E12A96">
      <w:pPr>
        <w:pStyle w:val="ListParagraph"/>
        <w:spacing w:after="0" w:line="360" w:lineRule="auto"/>
        <w:ind w:left="0"/>
        <w:jc w:val="both"/>
        <w:rPr>
          <w:rFonts w:cs="Times New Roman"/>
          <w:b/>
          <w:sz w:val="28"/>
          <w:szCs w:val="28"/>
        </w:rPr>
      </w:pPr>
      <w:r>
        <w:rPr>
          <w:rFonts w:cs="Times New Roman"/>
          <w:b/>
          <w:sz w:val="28"/>
          <w:szCs w:val="28"/>
        </w:rPr>
        <w:t>The facts</w:t>
      </w:r>
    </w:p>
    <w:p w14:paraId="06CB0A6E" w14:textId="363AECB7" w:rsidR="001E5B83" w:rsidRDefault="00CC6021"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basic</w:t>
      </w:r>
      <w:r w:rsidR="00A7438D">
        <w:rPr>
          <w:rFonts w:cs="Times New Roman"/>
          <w:sz w:val="28"/>
          <w:szCs w:val="28"/>
        </w:rPr>
        <w:t xml:space="preserve"> facts were largely undisputed and c</w:t>
      </w:r>
      <w:r w:rsidR="00003024">
        <w:rPr>
          <w:rFonts w:cs="Times New Roman"/>
          <w:sz w:val="28"/>
          <w:szCs w:val="28"/>
        </w:rPr>
        <w:t>an be brief</w:t>
      </w:r>
      <w:r>
        <w:rPr>
          <w:rFonts w:cs="Times New Roman"/>
          <w:sz w:val="28"/>
          <w:szCs w:val="28"/>
        </w:rPr>
        <w:t xml:space="preserve">ly stated. </w:t>
      </w:r>
      <w:r w:rsidR="00233BD4">
        <w:rPr>
          <w:rFonts w:cs="Times New Roman"/>
          <w:sz w:val="28"/>
          <w:szCs w:val="28"/>
        </w:rPr>
        <w:t>Mr Sello Hatang, the NMF’s Chief Executive Officer</w:t>
      </w:r>
      <w:r w:rsidR="00681E39">
        <w:rPr>
          <w:rFonts w:cs="Times New Roman"/>
          <w:sz w:val="28"/>
          <w:szCs w:val="28"/>
        </w:rPr>
        <w:t xml:space="preserve"> (CEO)</w:t>
      </w:r>
      <w:r w:rsidR="00233BD4">
        <w:rPr>
          <w:rFonts w:cs="Times New Roman"/>
          <w:sz w:val="28"/>
          <w:szCs w:val="28"/>
        </w:rPr>
        <w:t>, said that on the day of the protests he was giving tourists</w:t>
      </w:r>
      <w:r w:rsidR="004A5D8E">
        <w:rPr>
          <w:rFonts w:cs="Times New Roman"/>
          <w:sz w:val="28"/>
          <w:szCs w:val="28"/>
        </w:rPr>
        <w:t xml:space="preserve"> a guided tour of Robben Island near Cape Town,</w:t>
      </w:r>
      <w:r w:rsidR="00233BD4">
        <w:rPr>
          <w:rFonts w:cs="Times New Roman"/>
          <w:sz w:val="28"/>
          <w:szCs w:val="28"/>
        </w:rPr>
        <w:t xml:space="preserve"> where former President Nelson Mandela </w:t>
      </w:r>
      <w:r w:rsidR="00B72C7A">
        <w:rPr>
          <w:rFonts w:cs="Times New Roman"/>
          <w:sz w:val="28"/>
          <w:szCs w:val="28"/>
        </w:rPr>
        <w:t>and his fellow political prisoners had been incarcerat</w:t>
      </w:r>
      <w:r w:rsidR="00233BD4">
        <w:rPr>
          <w:rFonts w:cs="Times New Roman"/>
          <w:sz w:val="28"/>
          <w:szCs w:val="28"/>
        </w:rPr>
        <w:t xml:space="preserve">ed. </w:t>
      </w:r>
      <w:r w:rsidR="00B72C7A">
        <w:rPr>
          <w:rFonts w:cs="Times New Roman"/>
          <w:sz w:val="28"/>
          <w:szCs w:val="28"/>
        </w:rPr>
        <w:t xml:space="preserve">The displays of the old flag brought two painful memories </w:t>
      </w:r>
      <w:r w:rsidR="00C6212D">
        <w:rPr>
          <w:rFonts w:cs="Times New Roman"/>
          <w:sz w:val="28"/>
          <w:szCs w:val="28"/>
        </w:rPr>
        <w:t>of Mr</w:t>
      </w:r>
      <w:r w:rsidR="00744BBC">
        <w:rPr>
          <w:rFonts w:cs="Times New Roman"/>
          <w:sz w:val="28"/>
          <w:szCs w:val="28"/>
        </w:rPr>
        <w:t> </w:t>
      </w:r>
      <w:r w:rsidR="0095573D">
        <w:rPr>
          <w:rFonts w:cs="Times New Roman"/>
          <w:sz w:val="28"/>
          <w:szCs w:val="28"/>
        </w:rPr>
        <w:t>Hatang</w:t>
      </w:r>
      <w:r w:rsidR="00C6212D">
        <w:rPr>
          <w:rFonts w:cs="Times New Roman"/>
          <w:sz w:val="28"/>
          <w:szCs w:val="28"/>
        </w:rPr>
        <w:t xml:space="preserve">’s </w:t>
      </w:r>
      <w:r w:rsidR="00B72C7A">
        <w:rPr>
          <w:rFonts w:cs="Times New Roman"/>
          <w:sz w:val="28"/>
          <w:szCs w:val="28"/>
        </w:rPr>
        <w:t xml:space="preserve">childhood to mind. The first was </w:t>
      </w:r>
      <w:r w:rsidR="00A7438D">
        <w:rPr>
          <w:rFonts w:cs="Times New Roman"/>
          <w:sz w:val="28"/>
          <w:szCs w:val="28"/>
        </w:rPr>
        <w:t xml:space="preserve">an incident during which </w:t>
      </w:r>
      <w:r w:rsidR="00AB33F5">
        <w:rPr>
          <w:rFonts w:cs="Times New Roman"/>
          <w:sz w:val="28"/>
          <w:szCs w:val="28"/>
        </w:rPr>
        <w:t xml:space="preserve">two white boys addressed </w:t>
      </w:r>
      <w:r w:rsidR="001014A6">
        <w:rPr>
          <w:rFonts w:cs="Times New Roman"/>
          <w:sz w:val="28"/>
          <w:szCs w:val="28"/>
        </w:rPr>
        <w:t xml:space="preserve">Mr Hatang </w:t>
      </w:r>
      <w:r w:rsidR="004A5D8E">
        <w:rPr>
          <w:rFonts w:cs="Times New Roman"/>
          <w:sz w:val="28"/>
          <w:szCs w:val="28"/>
        </w:rPr>
        <w:t xml:space="preserve">(then ten years of age) </w:t>
      </w:r>
      <w:r w:rsidR="001014A6">
        <w:rPr>
          <w:rFonts w:cs="Times New Roman"/>
          <w:sz w:val="28"/>
          <w:szCs w:val="28"/>
        </w:rPr>
        <w:t xml:space="preserve">and his brother </w:t>
      </w:r>
      <w:r w:rsidR="00392848">
        <w:rPr>
          <w:rFonts w:cs="Times New Roman"/>
          <w:sz w:val="28"/>
          <w:szCs w:val="28"/>
        </w:rPr>
        <w:t xml:space="preserve">in </w:t>
      </w:r>
      <w:r w:rsidR="00AB33F5">
        <w:rPr>
          <w:rFonts w:cs="Times New Roman"/>
          <w:sz w:val="28"/>
          <w:szCs w:val="28"/>
        </w:rPr>
        <w:t xml:space="preserve">the </w:t>
      </w:r>
      <w:r w:rsidR="004A5D8E">
        <w:rPr>
          <w:rFonts w:cs="Times New Roman"/>
          <w:sz w:val="28"/>
          <w:szCs w:val="28"/>
        </w:rPr>
        <w:t xml:space="preserve">following </w:t>
      </w:r>
      <w:r w:rsidR="00AB33F5">
        <w:rPr>
          <w:rFonts w:cs="Times New Roman"/>
          <w:sz w:val="28"/>
          <w:szCs w:val="28"/>
        </w:rPr>
        <w:t xml:space="preserve">repulsive </w:t>
      </w:r>
      <w:r w:rsidR="00392848">
        <w:rPr>
          <w:rFonts w:cs="Times New Roman"/>
          <w:sz w:val="28"/>
          <w:szCs w:val="28"/>
        </w:rPr>
        <w:t>term</w:t>
      </w:r>
      <w:r w:rsidR="004A5D8E">
        <w:rPr>
          <w:rFonts w:cs="Times New Roman"/>
          <w:sz w:val="28"/>
          <w:szCs w:val="28"/>
        </w:rPr>
        <w:t>s</w:t>
      </w:r>
      <w:r w:rsidR="00DA2F75">
        <w:rPr>
          <w:rFonts w:cs="Times New Roman"/>
          <w:sz w:val="28"/>
          <w:szCs w:val="28"/>
        </w:rPr>
        <w:t>,</w:t>
      </w:r>
      <w:r w:rsidR="004A5D8E">
        <w:rPr>
          <w:rFonts w:cs="Times New Roman"/>
          <w:sz w:val="28"/>
          <w:szCs w:val="28"/>
        </w:rPr>
        <w:t xml:space="preserve"> ‘What are you k</w:t>
      </w:r>
      <w:r w:rsidR="00AB33F5">
        <w:rPr>
          <w:rFonts w:cs="Times New Roman"/>
          <w:sz w:val="28"/>
          <w:szCs w:val="28"/>
        </w:rPr>
        <w:t>affir</w:t>
      </w:r>
      <w:r w:rsidR="001014A6">
        <w:rPr>
          <w:rFonts w:cs="Times New Roman"/>
          <w:sz w:val="28"/>
          <w:szCs w:val="28"/>
        </w:rPr>
        <w:t>s</w:t>
      </w:r>
      <w:r w:rsidR="004A5D8E">
        <w:rPr>
          <w:rFonts w:cs="Times New Roman"/>
          <w:sz w:val="28"/>
          <w:szCs w:val="28"/>
        </w:rPr>
        <w:t xml:space="preserve"> doing here?’</w:t>
      </w:r>
      <w:r w:rsidR="00407CEC">
        <w:rPr>
          <w:rStyle w:val="FootnoteReference"/>
          <w:rFonts w:cs="Times New Roman"/>
          <w:sz w:val="28"/>
          <w:szCs w:val="28"/>
        </w:rPr>
        <w:footnoteReference w:id="2"/>
      </w:r>
      <w:r w:rsidR="004A5D8E">
        <w:rPr>
          <w:rFonts w:cs="Times New Roman"/>
          <w:sz w:val="28"/>
          <w:szCs w:val="28"/>
        </w:rPr>
        <w:t xml:space="preserve"> </w:t>
      </w:r>
      <w:r w:rsidR="00B72C7A">
        <w:rPr>
          <w:rFonts w:cs="Times New Roman"/>
          <w:sz w:val="28"/>
          <w:szCs w:val="28"/>
        </w:rPr>
        <w:t>His br</w:t>
      </w:r>
      <w:r w:rsidR="004A5D8E">
        <w:rPr>
          <w:rFonts w:cs="Times New Roman"/>
          <w:sz w:val="28"/>
          <w:szCs w:val="28"/>
        </w:rPr>
        <w:t xml:space="preserve">other </w:t>
      </w:r>
      <w:r w:rsidR="00B72C7A">
        <w:rPr>
          <w:rFonts w:cs="Times New Roman"/>
          <w:sz w:val="28"/>
          <w:szCs w:val="28"/>
        </w:rPr>
        <w:t>explained</w:t>
      </w:r>
      <w:r w:rsidR="001E5B83">
        <w:rPr>
          <w:rFonts w:cs="Times New Roman"/>
          <w:sz w:val="28"/>
          <w:szCs w:val="28"/>
        </w:rPr>
        <w:t xml:space="preserve"> that the </w:t>
      </w:r>
      <w:r w:rsidR="005F2FB3">
        <w:rPr>
          <w:rFonts w:cs="Times New Roman"/>
          <w:sz w:val="28"/>
          <w:szCs w:val="28"/>
        </w:rPr>
        <w:t>‘k</w:t>
      </w:r>
      <w:r w:rsidR="0002172C">
        <w:rPr>
          <w:rFonts w:cs="Times New Roman"/>
          <w:sz w:val="28"/>
          <w:szCs w:val="28"/>
        </w:rPr>
        <w:t>-word</w:t>
      </w:r>
      <w:r w:rsidR="005F2FB3">
        <w:rPr>
          <w:rFonts w:cs="Times New Roman"/>
          <w:sz w:val="28"/>
          <w:szCs w:val="28"/>
        </w:rPr>
        <w:t xml:space="preserve">’ </w:t>
      </w:r>
      <w:r w:rsidR="001E5B83">
        <w:rPr>
          <w:rFonts w:cs="Times New Roman"/>
          <w:sz w:val="28"/>
          <w:szCs w:val="28"/>
        </w:rPr>
        <w:t xml:space="preserve">denoted hatred </w:t>
      </w:r>
      <w:r w:rsidR="006D76B0">
        <w:rPr>
          <w:rFonts w:cs="Times New Roman"/>
          <w:sz w:val="28"/>
          <w:szCs w:val="28"/>
        </w:rPr>
        <w:t>for, and was used to</w:t>
      </w:r>
      <w:r w:rsidR="001E5B83">
        <w:rPr>
          <w:rFonts w:cs="Times New Roman"/>
          <w:sz w:val="28"/>
          <w:szCs w:val="28"/>
        </w:rPr>
        <w:t xml:space="preserve"> </w:t>
      </w:r>
      <w:r w:rsidR="001E5B83" w:rsidRPr="00245886">
        <w:rPr>
          <w:rFonts w:cs="Times New Roman"/>
          <w:sz w:val="28"/>
          <w:szCs w:val="28"/>
        </w:rPr>
        <w:t>humiliate black people</w:t>
      </w:r>
      <w:r w:rsidR="001E5B83">
        <w:rPr>
          <w:rFonts w:cs="Times New Roman"/>
          <w:sz w:val="28"/>
          <w:szCs w:val="28"/>
        </w:rPr>
        <w:t>. This is</w:t>
      </w:r>
      <w:r w:rsidR="00EB08BE">
        <w:rPr>
          <w:rFonts w:cs="Times New Roman"/>
          <w:sz w:val="28"/>
          <w:szCs w:val="28"/>
        </w:rPr>
        <w:t xml:space="preserve"> how </w:t>
      </w:r>
      <w:r w:rsidR="004A5D8E">
        <w:rPr>
          <w:rFonts w:cs="Times New Roman"/>
          <w:sz w:val="28"/>
          <w:szCs w:val="28"/>
        </w:rPr>
        <w:t>Mr Hatang</w:t>
      </w:r>
      <w:r w:rsidR="00EB08BE">
        <w:rPr>
          <w:rFonts w:cs="Times New Roman"/>
          <w:sz w:val="28"/>
          <w:szCs w:val="28"/>
        </w:rPr>
        <w:t xml:space="preserve"> describe</w:t>
      </w:r>
      <w:r w:rsidR="00920FCB">
        <w:rPr>
          <w:rFonts w:cs="Times New Roman"/>
          <w:sz w:val="28"/>
          <w:szCs w:val="28"/>
        </w:rPr>
        <w:t>d the effect</w:t>
      </w:r>
      <w:r w:rsidR="00EB08BE">
        <w:rPr>
          <w:rFonts w:cs="Times New Roman"/>
          <w:sz w:val="28"/>
          <w:szCs w:val="28"/>
        </w:rPr>
        <w:t xml:space="preserve"> of </w:t>
      </w:r>
      <w:r w:rsidR="001E5B83">
        <w:rPr>
          <w:rFonts w:cs="Times New Roman"/>
          <w:sz w:val="28"/>
          <w:szCs w:val="28"/>
        </w:rPr>
        <w:t>that incident on him:</w:t>
      </w:r>
    </w:p>
    <w:p w14:paraId="365BDC61" w14:textId="77777777" w:rsidR="00233BD4" w:rsidRDefault="001E5B83" w:rsidP="001E5B83">
      <w:pPr>
        <w:pStyle w:val="ListParagraph"/>
        <w:spacing w:after="0" w:line="360" w:lineRule="auto"/>
        <w:ind w:left="0"/>
        <w:jc w:val="both"/>
        <w:rPr>
          <w:rFonts w:cs="Times New Roman"/>
          <w:sz w:val="24"/>
          <w:szCs w:val="24"/>
        </w:rPr>
      </w:pPr>
      <w:r w:rsidRPr="001E5B83">
        <w:rPr>
          <w:rFonts w:cs="Times New Roman"/>
          <w:sz w:val="24"/>
          <w:szCs w:val="24"/>
        </w:rPr>
        <w:t>‘It is my first vivid memory of being told that I was not only “other”, but less than human, because of the colour of my skin.’</w:t>
      </w:r>
    </w:p>
    <w:p w14:paraId="7D223479" w14:textId="77777777" w:rsidR="00F42BFB" w:rsidRPr="001E5B83" w:rsidRDefault="00F42BFB" w:rsidP="001E5B83">
      <w:pPr>
        <w:pStyle w:val="ListParagraph"/>
        <w:spacing w:after="0" w:line="360" w:lineRule="auto"/>
        <w:ind w:left="0"/>
        <w:jc w:val="both"/>
        <w:rPr>
          <w:rFonts w:cs="Times New Roman"/>
          <w:sz w:val="28"/>
          <w:szCs w:val="28"/>
        </w:rPr>
      </w:pPr>
    </w:p>
    <w:p w14:paraId="244411DA" w14:textId="5F0AB9BC" w:rsidR="00646EF7" w:rsidRDefault="00F42BFB"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second memory was about Mr </w:t>
      </w:r>
      <w:r w:rsidR="0095573D">
        <w:rPr>
          <w:rFonts w:cs="Times New Roman"/>
          <w:sz w:val="28"/>
          <w:szCs w:val="28"/>
        </w:rPr>
        <w:t>Hatang</w:t>
      </w:r>
      <w:r>
        <w:rPr>
          <w:rFonts w:cs="Times New Roman"/>
          <w:sz w:val="28"/>
          <w:szCs w:val="28"/>
        </w:rPr>
        <w:t xml:space="preserve">’s grandmother. </w:t>
      </w:r>
      <w:r w:rsidR="00681E39">
        <w:rPr>
          <w:rFonts w:cs="Times New Roman"/>
          <w:sz w:val="28"/>
          <w:szCs w:val="28"/>
        </w:rPr>
        <w:t xml:space="preserve">She was a domestic worker. </w:t>
      </w:r>
      <w:r>
        <w:rPr>
          <w:rFonts w:cs="Times New Roman"/>
          <w:sz w:val="28"/>
          <w:szCs w:val="28"/>
        </w:rPr>
        <w:t xml:space="preserve">She hated school holidays because she was subjected to racial abuse by </w:t>
      </w:r>
      <w:r w:rsidR="00681E39">
        <w:rPr>
          <w:rFonts w:cs="Times New Roman"/>
          <w:sz w:val="28"/>
          <w:szCs w:val="28"/>
        </w:rPr>
        <w:t xml:space="preserve">groups of </w:t>
      </w:r>
      <w:r w:rsidR="00BF210E">
        <w:rPr>
          <w:rFonts w:cs="Times New Roman"/>
          <w:sz w:val="28"/>
          <w:szCs w:val="28"/>
        </w:rPr>
        <w:t xml:space="preserve">idle </w:t>
      </w:r>
      <w:r>
        <w:rPr>
          <w:rFonts w:cs="Times New Roman"/>
          <w:sz w:val="28"/>
          <w:szCs w:val="28"/>
        </w:rPr>
        <w:t>white children</w:t>
      </w:r>
      <w:r w:rsidR="00DA2F75">
        <w:rPr>
          <w:rFonts w:cs="Times New Roman"/>
          <w:sz w:val="28"/>
          <w:szCs w:val="28"/>
        </w:rPr>
        <w:t xml:space="preserve">. Mr Hatang, who used to accompany his grandmother, </w:t>
      </w:r>
      <w:r w:rsidR="001014A6">
        <w:rPr>
          <w:rFonts w:cs="Times New Roman"/>
          <w:sz w:val="28"/>
          <w:szCs w:val="28"/>
        </w:rPr>
        <w:t>would hear</w:t>
      </w:r>
      <w:r w:rsidR="00DA2F75">
        <w:rPr>
          <w:rFonts w:cs="Times New Roman"/>
          <w:sz w:val="28"/>
          <w:szCs w:val="28"/>
        </w:rPr>
        <w:t xml:space="preserve"> them singing, ‘Here comes a </w:t>
      </w:r>
      <w:r w:rsidR="00392848">
        <w:rPr>
          <w:rFonts w:cs="Times New Roman"/>
          <w:sz w:val="28"/>
          <w:szCs w:val="28"/>
        </w:rPr>
        <w:t>baboon’,</w:t>
      </w:r>
      <w:r w:rsidR="00E20913">
        <w:rPr>
          <w:rStyle w:val="FootnoteReference"/>
          <w:rFonts w:cs="Times New Roman"/>
          <w:sz w:val="28"/>
          <w:szCs w:val="28"/>
        </w:rPr>
        <w:footnoteReference w:id="3"/>
      </w:r>
      <w:r>
        <w:rPr>
          <w:rFonts w:cs="Times New Roman"/>
          <w:sz w:val="28"/>
          <w:szCs w:val="28"/>
        </w:rPr>
        <w:t xml:space="preserve"> </w:t>
      </w:r>
      <w:r w:rsidR="001014A6">
        <w:rPr>
          <w:rFonts w:cs="Times New Roman"/>
          <w:sz w:val="28"/>
          <w:szCs w:val="28"/>
        </w:rPr>
        <w:t xml:space="preserve">referring to his grandmother, </w:t>
      </w:r>
      <w:r w:rsidR="00DA2F75">
        <w:rPr>
          <w:rFonts w:cs="Times New Roman"/>
          <w:sz w:val="28"/>
          <w:szCs w:val="28"/>
        </w:rPr>
        <w:t xml:space="preserve">as they walked past the children on </w:t>
      </w:r>
      <w:r w:rsidR="00BF210E">
        <w:rPr>
          <w:rFonts w:cs="Times New Roman"/>
          <w:sz w:val="28"/>
          <w:szCs w:val="28"/>
        </w:rPr>
        <w:t xml:space="preserve">their </w:t>
      </w:r>
      <w:r>
        <w:rPr>
          <w:rFonts w:cs="Times New Roman"/>
          <w:sz w:val="28"/>
          <w:szCs w:val="28"/>
        </w:rPr>
        <w:t xml:space="preserve">way to </w:t>
      </w:r>
      <w:r w:rsidR="001014A6">
        <w:rPr>
          <w:rFonts w:cs="Times New Roman"/>
          <w:sz w:val="28"/>
          <w:szCs w:val="28"/>
        </w:rPr>
        <w:t>her</w:t>
      </w:r>
      <w:r w:rsidR="00BF210E">
        <w:rPr>
          <w:rFonts w:cs="Times New Roman"/>
          <w:sz w:val="28"/>
          <w:szCs w:val="28"/>
        </w:rPr>
        <w:t xml:space="preserve"> place of </w:t>
      </w:r>
      <w:r>
        <w:rPr>
          <w:rFonts w:cs="Times New Roman"/>
          <w:sz w:val="28"/>
          <w:szCs w:val="28"/>
        </w:rPr>
        <w:t>work.</w:t>
      </w:r>
      <w:r w:rsidR="00681E39">
        <w:rPr>
          <w:rFonts w:cs="Times New Roman"/>
          <w:sz w:val="28"/>
          <w:szCs w:val="28"/>
        </w:rPr>
        <w:t xml:space="preserve"> </w:t>
      </w:r>
      <w:r w:rsidR="00681E39">
        <w:rPr>
          <w:rFonts w:cs="Times New Roman"/>
          <w:sz w:val="28"/>
          <w:szCs w:val="28"/>
        </w:rPr>
        <w:lastRenderedPageBreak/>
        <w:t xml:space="preserve">She was powerless to do anything about the trauma and anguish she </w:t>
      </w:r>
      <w:r w:rsidR="00392848">
        <w:rPr>
          <w:rFonts w:cs="Times New Roman"/>
          <w:sz w:val="28"/>
          <w:szCs w:val="28"/>
        </w:rPr>
        <w:t>endured as a result of this abuse.</w:t>
      </w:r>
      <w:r w:rsidR="00681E39">
        <w:rPr>
          <w:rFonts w:cs="Times New Roman"/>
          <w:sz w:val="28"/>
          <w:szCs w:val="28"/>
        </w:rPr>
        <w:t xml:space="preserve"> </w:t>
      </w:r>
    </w:p>
    <w:p w14:paraId="39844913" w14:textId="77777777" w:rsidR="00B26711" w:rsidRDefault="00B26711" w:rsidP="00B26711">
      <w:pPr>
        <w:pStyle w:val="ListParagraph"/>
        <w:spacing w:after="0" w:line="360" w:lineRule="auto"/>
        <w:ind w:left="0"/>
        <w:jc w:val="both"/>
        <w:rPr>
          <w:rFonts w:cs="Times New Roman"/>
          <w:sz w:val="28"/>
          <w:szCs w:val="28"/>
        </w:rPr>
      </w:pPr>
    </w:p>
    <w:p w14:paraId="204C0EE2" w14:textId="77777777" w:rsidR="00681E39" w:rsidRPr="00535B7B" w:rsidRDefault="00681E39" w:rsidP="00535B7B">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M</w:t>
      </w:r>
      <w:r w:rsidR="00646EF7">
        <w:rPr>
          <w:rFonts w:cs="Times New Roman"/>
          <w:sz w:val="28"/>
          <w:szCs w:val="28"/>
        </w:rPr>
        <w:t xml:space="preserve">r </w:t>
      </w:r>
      <w:r w:rsidR="0095573D">
        <w:rPr>
          <w:rFonts w:cs="Times New Roman"/>
          <w:sz w:val="28"/>
          <w:szCs w:val="28"/>
        </w:rPr>
        <w:t>Hatang</w:t>
      </w:r>
      <w:r w:rsidR="00646EF7">
        <w:rPr>
          <w:rFonts w:cs="Times New Roman"/>
          <w:sz w:val="28"/>
          <w:szCs w:val="28"/>
        </w:rPr>
        <w:t xml:space="preserve"> recalled these </w:t>
      </w:r>
      <w:r>
        <w:rPr>
          <w:rFonts w:cs="Times New Roman"/>
          <w:sz w:val="28"/>
          <w:szCs w:val="28"/>
        </w:rPr>
        <w:t xml:space="preserve">memories </w:t>
      </w:r>
      <w:r w:rsidR="00FC7123">
        <w:rPr>
          <w:rFonts w:cs="Times New Roman"/>
          <w:sz w:val="28"/>
          <w:szCs w:val="28"/>
        </w:rPr>
        <w:t xml:space="preserve">because, as he put it, </w:t>
      </w:r>
      <w:r w:rsidR="00646EF7">
        <w:rPr>
          <w:rFonts w:cs="Times New Roman"/>
          <w:sz w:val="28"/>
          <w:szCs w:val="28"/>
        </w:rPr>
        <w:t>the old flag ‘represents nothing other than the inhumane system of racial segregation and subjugation</w:t>
      </w:r>
      <w:r w:rsidR="006B6E07">
        <w:rPr>
          <w:rFonts w:cs="Times New Roman"/>
          <w:sz w:val="28"/>
          <w:szCs w:val="28"/>
        </w:rPr>
        <w:t xml:space="preserve"> that </w:t>
      </w:r>
      <w:r w:rsidR="00646EF7">
        <w:rPr>
          <w:rFonts w:cs="Times New Roman"/>
          <w:sz w:val="28"/>
          <w:szCs w:val="28"/>
        </w:rPr>
        <w:t>governed South Africa before 27 April 19</w:t>
      </w:r>
      <w:r w:rsidR="006B6E07">
        <w:rPr>
          <w:rFonts w:cs="Times New Roman"/>
          <w:sz w:val="28"/>
          <w:szCs w:val="28"/>
        </w:rPr>
        <w:t>94</w:t>
      </w:r>
      <w:r w:rsidR="00535B7B">
        <w:rPr>
          <w:rFonts w:cs="Times New Roman"/>
          <w:sz w:val="28"/>
          <w:szCs w:val="28"/>
        </w:rPr>
        <w:t xml:space="preserve">’. </w:t>
      </w:r>
      <w:r w:rsidR="00C6212D">
        <w:rPr>
          <w:rFonts w:cs="Times New Roman"/>
          <w:sz w:val="28"/>
          <w:szCs w:val="28"/>
        </w:rPr>
        <w:t xml:space="preserve">He </w:t>
      </w:r>
      <w:r w:rsidR="00535B7B">
        <w:rPr>
          <w:rFonts w:cs="Times New Roman"/>
          <w:sz w:val="28"/>
          <w:szCs w:val="28"/>
        </w:rPr>
        <w:t>went on to say that the gratuitous display of the old flag, more than a generation after the abolition of apartheid, reminded him that some South A</w:t>
      </w:r>
      <w:r w:rsidR="00CD14D9">
        <w:rPr>
          <w:rFonts w:cs="Times New Roman"/>
          <w:sz w:val="28"/>
          <w:szCs w:val="28"/>
        </w:rPr>
        <w:t xml:space="preserve">fricans still see him and </w:t>
      </w:r>
      <w:r w:rsidR="00535B7B">
        <w:rPr>
          <w:rFonts w:cs="Times New Roman"/>
          <w:sz w:val="28"/>
          <w:szCs w:val="28"/>
        </w:rPr>
        <w:t>black people as ‘other’ and would deny them t</w:t>
      </w:r>
      <w:r w:rsidR="00C6212D">
        <w:rPr>
          <w:rFonts w:cs="Times New Roman"/>
          <w:sz w:val="28"/>
          <w:szCs w:val="28"/>
        </w:rPr>
        <w:t xml:space="preserve">he opportunity </w:t>
      </w:r>
      <w:r w:rsidR="00535B7B">
        <w:rPr>
          <w:rFonts w:cs="Times New Roman"/>
          <w:sz w:val="28"/>
          <w:szCs w:val="28"/>
        </w:rPr>
        <w:t>to be human. They have no concern or compassion for the majority of South Africans who suffered under apartheid.</w:t>
      </w:r>
    </w:p>
    <w:p w14:paraId="20E3ABED" w14:textId="77777777" w:rsidR="001E5B83" w:rsidRDefault="00F42BFB" w:rsidP="00681E39">
      <w:pPr>
        <w:pStyle w:val="ListParagraph"/>
        <w:spacing w:after="0" w:line="360" w:lineRule="auto"/>
        <w:ind w:left="0"/>
        <w:jc w:val="both"/>
        <w:rPr>
          <w:rFonts w:cs="Times New Roman"/>
          <w:sz w:val="28"/>
          <w:szCs w:val="28"/>
        </w:rPr>
      </w:pPr>
      <w:r>
        <w:rPr>
          <w:rFonts w:cs="Times New Roman"/>
          <w:sz w:val="28"/>
          <w:szCs w:val="28"/>
        </w:rPr>
        <w:t xml:space="preserve"> </w:t>
      </w:r>
    </w:p>
    <w:p w14:paraId="594762EF" w14:textId="77777777" w:rsidR="0053206C" w:rsidRDefault="00555851"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On the day of the Black Monday protests and subsequently, the NMF </w:t>
      </w:r>
      <w:r w:rsidR="008977C5">
        <w:rPr>
          <w:rFonts w:cs="Times New Roman"/>
          <w:sz w:val="28"/>
          <w:szCs w:val="28"/>
        </w:rPr>
        <w:t xml:space="preserve">received numerous media enquiries about its position on </w:t>
      </w:r>
      <w:r w:rsidR="0053206C">
        <w:rPr>
          <w:rFonts w:cs="Times New Roman"/>
          <w:sz w:val="28"/>
          <w:szCs w:val="28"/>
        </w:rPr>
        <w:t xml:space="preserve">the </w:t>
      </w:r>
      <w:r w:rsidR="008977C5">
        <w:rPr>
          <w:rFonts w:cs="Times New Roman"/>
          <w:sz w:val="28"/>
          <w:szCs w:val="28"/>
        </w:rPr>
        <w:t>displays of the old flag. On 5 November 2017 the NMF issued</w:t>
      </w:r>
      <w:r w:rsidR="005D43CA">
        <w:rPr>
          <w:rFonts w:cs="Times New Roman"/>
          <w:sz w:val="28"/>
          <w:szCs w:val="28"/>
        </w:rPr>
        <w:t xml:space="preserve"> a media st</w:t>
      </w:r>
      <w:r w:rsidR="00855B15">
        <w:rPr>
          <w:rFonts w:cs="Times New Roman"/>
          <w:sz w:val="28"/>
          <w:szCs w:val="28"/>
        </w:rPr>
        <w:t xml:space="preserve">atement in which it </w:t>
      </w:r>
      <w:r w:rsidR="005D43CA">
        <w:rPr>
          <w:rFonts w:cs="Times New Roman"/>
          <w:sz w:val="28"/>
          <w:szCs w:val="28"/>
        </w:rPr>
        <w:t xml:space="preserve">said that </w:t>
      </w:r>
      <w:r w:rsidR="00C6212D">
        <w:rPr>
          <w:rFonts w:cs="Times New Roman"/>
          <w:sz w:val="28"/>
          <w:szCs w:val="28"/>
        </w:rPr>
        <w:t xml:space="preserve">it </w:t>
      </w:r>
      <w:r w:rsidR="008977C5">
        <w:rPr>
          <w:rFonts w:cs="Times New Roman"/>
          <w:sz w:val="28"/>
          <w:szCs w:val="28"/>
        </w:rPr>
        <w:t>deplo</w:t>
      </w:r>
      <w:r w:rsidR="005D43CA">
        <w:rPr>
          <w:rFonts w:cs="Times New Roman"/>
          <w:sz w:val="28"/>
          <w:szCs w:val="28"/>
        </w:rPr>
        <w:t xml:space="preserve">red the murder of farmers and respected the constitutional right of South Africans to protest; that the </w:t>
      </w:r>
      <w:r w:rsidR="0053206C">
        <w:rPr>
          <w:rFonts w:cs="Times New Roman"/>
          <w:sz w:val="28"/>
          <w:szCs w:val="28"/>
        </w:rPr>
        <w:t>display of the old flag and the burning of the national flag was deeply problematic; that apartheid was a crime against humanity; and that displaying the flag of apartheid South Africa represented support for that crime.</w:t>
      </w:r>
      <w:r w:rsidR="001455C5">
        <w:rPr>
          <w:rFonts w:cs="Times New Roman"/>
          <w:sz w:val="28"/>
          <w:szCs w:val="28"/>
        </w:rPr>
        <w:t xml:space="preserve"> The media statement ended with the following question: ‘Is it time to criminalize displays of the old flag?’</w:t>
      </w:r>
    </w:p>
    <w:p w14:paraId="22AB61BD" w14:textId="77777777" w:rsidR="00681E39" w:rsidRDefault="00681E39" w:rsidP="00681E39">
      <w:pPr>
        <w:pStyle w:val="ListParagraph"/>
        <w:spacing w:after="0" w:line="360" w:lineRule="auto"/>
        <w:ind w:left="0"/>
        <w:jc w:val="both"/>
        <w:rPr>
          <w:rFonts w:cs="Times New Roman"/>
          <w:sz w:val="28"/>
          <w:szCs w:val="28"/>
        </w:rPr>
      </w:pPr>
    </w:p>
    <w:p w14:paraId="23D14D41" w14:textId="3CB3F1E2" w:rsidR="00D8360A" w:rsidRDefault="001455C5"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That question led to a debate on national televis</w:t>
      </w:r>
      <w:r w:rsidR="00681E39">
        <w:rPr>
          <w:rFonts w:cs="Times New Roman"/>
          <w:sz w:val="28"/>
          <w:szCs w:val="28"/>
        </w:rPr>
        <w:t>ion and radio, between Mr</w:t>
      </w:r>
      <w:r w:rsidR="001B3A01">
        <w:rPr>
          <w:rFonts w:cs="Times New Roman"/>
          <w:sz w:val="28"/>
          <w:szCs w:val="28"/>
        </w:rPr>
        <w:t> </w:t>
      </w:r>
      <w:r>
        <w:rPr>
          <w:rFonts w:cs="Times New Roman"/>
          <w:sz w:val="28"/>
          <w:szCs w:val="28"/>
        </w:rPr>
        <w:t>Hatang</w:t>
      </w:r>
      <w:r w:rsidR="00681E39">
        <w:rPr>
          <w:rFonts w:cs="Times New Roman"/>
          <w:sz w:val="28"/>
          <w:szCs w:val="28"/>
        </w:rPr>
        <w:t xml:space="preserve"> </w:t>
      </w:r>
      <w:r>
        <w:rPr>
          <w:rFonts w:cs="Times New Roman"/>
          <w:sz w:val="28"/>
          <w:szCs w:val="28"/>
        </w:rPr>
        <w:t>and Mr Kallie Kriel, the CEO of Afriforum</w:t>
      </w:r>
      <w:r w:rsidR="001D5442">
        <w:rPr>
          <w:rFonts w:cs="Times New Roman"/>
          <w:sz w:val="28"/>
          <w:szCs w:val="28"/>
        </w:rPr>
        <w:t>. Mr Kriel, surprisingly, denied that the old flag had been displayed at any of the protests</w:t>
      </w:r>
      <w:r>
        <w:rPr>
          <w:rFonts w:cs="Times New Roman"/>
          <w:sz w:val="28"/>
          <w:szCs w:val="28"/>
        </w:rPr>
        <w:t>,</w:t>
      </w:r>
      <w:r w:rsidR="0095573D">
        <w:rPr>
          <w:rFonts w:cs="Times New Roman"/>
          <w:sz w:val="28"/>
          <w:szCs w:val="28"/>
        </w:rPr>
        <w:t xml:space="preserve"> dismissed reports about such displays </w:t>
      </w:r>
      <w:r w:rsidR="001D5442">
        <w:rPr>
          <w:rFonts w:cs="Times New Roman"/>
          <w:sz w:val="28"/>
          <w:szCs w:val="28"/>
        </w:rPr>
        <w:t xml:space="preserve">as ‘fake news’, and subsequently published statements on Twitter to that effect. </w:t>
      </w:r>
      <w:r w:rsidR="005F49E1">
        <w:rPr>
          <w:rFonts w:cs="Times New Roman"/>
          <w:sz w:val="28"/>
          <w:szCs w:val="28"/>
        </w:rPr>
        <w:t>Af</w:t>
      </w:r>
      <w:r w:rsidR="00D8360A">
        <w:rPr>
          <w:rFonts w:cs="Times New Roman"/>
          <w:sz w:val="28"/>
          <w:szCs w:val="28"/>
        </w:rPr>
        <w:t>riforum, he said,</w:t>
      </w:r>
      <w:r w:rsidR="005F49E1">
        <w:rPr>
          <w:rFonts w:cs="Times New Roman"/>
          <w:sz w:val="28"/>
          <w:szCs w:val="28"/>
        </w:rPr>
        <w:t xml:space="preserve"> discouraged its members from bringing the old flag to public gatherings which detracted from ‘the main message, which on Black Monday, was the issue of farm murders’.</w:t>
      </w:r>
      <w:r w:rsidR="00D8360A">
        <w:rPr>
          <w:rFonts w:cs="Times New Roman"/>
          <w:sz w:val="28"/>
          <w:szCs w:val="28"/>
        </w:rPr>
        <w:t xml:space="preserve"> Mr Kriel </w:t>
      </w:r>
      <w:r w:rsidR="00C6212D">
        <w:rPr>
          <w:rFonts w:cs="Times New Roman"/>
          <w:sz w:val="28"/>
          <w:szCs w:val="28"/>
        </w:rPr>
        <w:lastRenderedPageBreak/>
        <w:t>stated</w:t>
      </w:r>
      <w:r w:rsidR="00D8360A">
        <w:rPr>
          <w:rFonts w:cs="Times New Roman"/>
          <w:sz w:val="28"/>
          <w:szCs w:val="28"/>
        </w:rPr>
        <w:t xml:space="preserve"> that although it was ‘unwise’ to display the old flag as it would ‘offend people</w:t>
      </w:r>
      <w:r w:rsidR="008B5643">
        <w:rPr>
          <w:rFonts w:cs="Times New Roman"/>
          <w:sz w:val="28"/>
          <w:szCs w:val="28"/>
        </w:rPr>
        <w:t>’; ‘</w:t>
      </w:r>
      <w:r w:rsidR="00D8360A">
        <w:rPr>
          <w:rFonts w:cs="Times New Roman"/>
          <w:sz w:val="28"/>
          <w:szCs w:val="28"/>
        </w:rPr>
        <w:t>it should not be unlawful’ as ‘it is part of history and you cannot ban history’.</w:t>
      </w:r>
      <w:r w:rsidR="00F353B1">
        <w:rPr>
          <w:rFonts w:cs="Times New Roman"/>
          <w:sz w:val="28"/>
          <w:szCs w:val="28"/>
        </w:rPr>
        <w:t xml:space="preserve"> </w:t>
      </w:r>
    </w:p>
    <w:p w14:paraId="2C681E20" w14:textId="77777777" w:rsidR="00B26711" w:rsidRDefault="00B26711" w:rsidP="00B26711">
      <w:pPr>
        <w:pStyle w:val="ListParagraph"/>
        <w:spacing w:after="0" w:line="360" w:lineRule="auto"/>
        <w:ind w:left="0"/>
        <w:jc w:val="both"/>
        <w:rPr>
          <w:rFonts w:cs="Times New Roman"/>
          <w:sz w:val="28"/>
          <w:szCs w:val="28"/>
        </w:rPr>
      </w:pPr>
    </w:p>
    <w:p w14:paraId="60F1F198" w14:textId="715B0E26" w:rsidR="00080F1A" w:rsidRDefault="00572E01" w:rsidP="00775A69">
      <w:pPr>
        <w:pStyle w:val="ListParagraph"/>
        <w:numPr>
          <w:ilvl w:val="0"/>
          <w:numId w:val="19"/>
        </w:numPr>
        <w:spacing w:after="0" w:line="360" w:lineRule="auto"/>
        <w:ind w:left="0" w:firstLine="0"/>
        <w:jc w:val="both"/>
        <w:rPr>
          <w:rFonts w:cs="Times New Roman"/>
          <w:sz w:val="28"/>
          <w:szCs w:val="28"/>
        </w:rPr>
      </w:pPr>
      <w:r w:rsidRPr="00245886">
        <w:rPr>
          <w:rFonts w:cs="Times New Roman"/>
          <w:sz w:val="28"/>
          <w:szCs w:val="28"/>
        </w:rPr>
        <w:t xml:space="preserve">Mr Hatang’s riposte was that both public and private displays of the old flag </w:t>
      </w:r>
      <w:r w:rsidR="00F353B1" w:rsidRPr="00245886">
        <w:rPr>
          <w:rFonts w:cs="Times New Roman"/>
          <w:sz w:val="28"/>
          <w:szCs w:val="28"/>
        </w:rPr>
        <w:t xml:space="preserve">were </w:t>
      </w:r>
      <w:r w:rsidRPr="00245886">
        <w:rPr>
          <w:rFonts w:cs="Times New Roman"/>
          <w:sz w:val="28"/>
          <w:szCs w:val="28"/>
        </w:rPr>
        <w:t xml:space="preserve">offensive, since they made young people believe that it is acceptable to harbour racist views and then manifest them in public. Subsequently the NMF launched the application </w:t>
      </w:r>
      <w:r w:rsidR="00080F1A" w:rsidRPr="00245886">
        <w:rPr>
          <w:rFonts w:cs="Times New Roman"/>
          <w:sz w:val="28"/>
          <w:szCs w:val="28"/>
        </w:rPr>
        <w:t xml:space="preserve">in the high court for a declaratory order that </w:t>
      </w:r>
      <w:r w:rsidR="00F81AC6" w:rsidRPr="00245886">
        <w:rPr>
          <w:rFonts w:cs="Times New Roman"/>
          <w:sz w:val="28"/>
          <w:szCs w:val="28"/>
        </w:rPr>
        <w:t>any gratuitous display</w:t>
      </w:r>
      <w:r w:rsidR="00080F1A" w:rsidRPr="00245886">
        <w:rPr>
          <w:rFonts w:cs="Times New Roman"/>
          <w:sz w:val="28"/>
          <w:szCs w:val="28"/>
        </w:rPr>
        <w:t xml:space="preserve"> of the old flag constitute</w:t>
      </w:r>
      <w:r w:rsidR="00F81AC6" w:rsidRPr="00245886">
        <w:rPr>
          <w:rFonts w:cs="Times New Roman"/>
          <w:sz w:val="28"/>
          <w:szCs w:val="28"/>
        </w:rPr>
        <w:t>s</w:t>
      </w:r>
      <w:r w:rsidR="00080F1A" w:rsidRPr="00245886">
        <w:rPr>
          <w:rFonts w:cs="Times New Roman"/>
          <w:sz w:val="28"/>
          <w:szCs w:val="28"/>
        </w:rPr>
        <w:t xml:space="preserve"> hate speech</w:t>
      </w:r>
      <w:r w:rsidR="00F81AC6" w:rsidRPr="00245886">
        <w:rPr>
          <w:rFonts w:cs="Times New Roman"/>
          <w:sz w:val="28"/>
          <w:szCs w:val="28"/>
        </w:rPr>
        <w:t xml:space="preserve">, </w:t>
      </w:r>
      <w:r w:rsidR="00080F1A" w:rsidRPr="00245886">
        <w:rPr>
          <w:rFonts w:cs="Times New Roman"/>
          <w:sz w:val="28"/>
          <w:szCs w:val="28"/>
        </w:rPr>
        <w:t xml:space="preserve">unfair discrimination and harassment under </w:t>
      </w:r>
      <w:r w:rsidR="00B113D1" w:rsidRPr="00245886">
        <w:rPr>
          <w:rFonts w:cs="Times New Roman"/>
          <w:sz w:val="28"/>
          <w:szCs w:val="28"/>
        </w:rPr>
        <w:t>the Equality Act</w:t>
      </w:r>
      <w:r w:rsidR="00080F1A" w:rsidRPr="00245886">
        <w:rPr>
          <w:rFonts w:cs="Times New Roman"/>
          <w:sz w:val="28"/>
          <w:szCs w:val="28"/>
        </w:rPr>
        <w:t>.</w:t>
      </w:r>
      <w:r w:rsidR="00F81AC6" w:rsidRPr="00245886">
        <w:rPr>
          <w:rFonts w:cs="Times New Roman"/>
          <w:sz w:val="28"/>
          <w:szCs w:val="28"/>
        </w:rPr>
        <w:t xml:space="preserve"> </w:t>
      </w:r>
      <w:r w:rsidRPr="00245886">
        <w:rPr>
          <w:rFonts w:cs="Times New Roman"/>
          <w:sz w:val="28"/>
          <w:szCs w:val="28"/>
        </w:rPr>
        <w:t xml:space="preserve">The founding affidavit states that </w:t>
      </w:r>
      <w:r w:rsidR="00080F1A" w:rsidRPr="00245886">
        <w:rPr>
          <w:rFonts w:cs="Times New Roman"/>
          <w:sz w:val="28"/>
          <w:szCs w:val="28"/>
        </w:rPr>
        <w:t>such</w:t>
      </w:r>
      <w:r w:rsidRPr="00245886">
        <w:rPr>
          <w:rFonts w:cs="Times New Roman"/>
          <w:sz w:val="28"/>
          <w:szCs w:val="28"/>
        </w:rPr>
        <w:t xml:space="preserve"> displays serve no genuine journalistic, academic or artistic purpose; and do nothing to advance social justice, national unity and human dignity</w:t>
      </w:r>
      <w:r w:rsidR="00EB4C0C" w:rsidRPr="00245886">
        <w:rPr>
          <w:rFonts w:cs="Times New Roman"/>
          <w:sz w:val="28"/>
          <w:szCs w:val="28"/>
        </w:rPr>
        <w:t xml:space="preserve"> – </w:t>
      </w:r>
      <w:r w:rsidRPr="00245886">
        <w:rPr>
          <w:rFonts w:cs="Times New Roman"/>
          <w:sz w:val="28"/>
          <w:szCs w:val="28"/>
        </w:rPr>
        <w:t>to the contrary</w:t>
      </w:r>
      <w:r w:rsidR="00080F1A" w:rsidRPr="00245886">
        <w:rPr>
          <w:rFonts w:cs="Times New Roman"/>
          <w:sz w:val="28"/>
          <w:szCs w:val="28"/>
        </w:rPr>
        <w:t>.</w:t>
      </w:r>
      <w:r w:rsidR="00CF0A78" w:rsidRPr="00245886">
        <w:rPr>
          <w:rFonts w:cs="Times New Roman"/>
          <w:sz w:val="28"/>
          <w:szCs w:val="28"/>
        </w:rPr>
        <w:t xml:space="preserve"> </w:t>
      </w:r>
    </w:p>
    <w:p w14:paraId="4D3AB978" w14:textId="77777777" w:rsidR="00245886" w:rsidRPr="00245886" w:rsidRDefault="00245886" w:rsidP="00245886">
      <w:pPr>
        <w:pStyle w:val="ListParagraph"/>
        <w:spacing w:after="0" w:line="360" w:lineRule="auto"/>
        <w:ind w:left="0"/>
        <w:jc w:val="both"/>
        <w:rPr>
          <w:rFonts w:cs="Times New Roman"/>
          <w:sz w:val="28"/>
          <w:szCs w:val="28"/>
        </w:rPr>
      </w:pPr>
    </w:p>
    <w:p w14:paraId="3CCE2EA8" w14:textId="542030EF" w:rsidR="00E1622F" w:rsidRDefault="00E1622F"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Afriforum’s response to the claim that gratuitous displays of the old flag </w:t>
      </w:r>
      <w:r w:rsidR="0067515A">
        <w:rPr>
          <w:rFonts w:cs="Times New Roman"/>
          <w:sz w:val="28"/>
          <w:szCs w:val="28"/>
        </w:rPr>
        <w:t>const</w:t>
      </w:r>
      <w:r w:rsidR="00A11011">
        <w:rPr>
          <w:rFonts w:cs="Times New Roman"/>
          <w:sz w:val="28"/>
          <w:szCs w:val="28"/>
        </w:rPr>
        <w:t>itute</w:t>
      </w:r>
      <w:r w:rsidR="0067515A">
        <w:rPr>
          <w:rFonts w:cs="Times New Roman"/>
          <w:sz w:val="28"/>
          <w:szCs w:val="28"/>
        </w:rPr>
        <w:t xml:space="preserve"> hate speech, was that the relief sought was a ‘wide-reaching ban’. </w:t>
      </w:r>
      <w:r w:rsidR="00A11011">
        <w:rPr>
          <w:rFonts w:cs="Times New Roman"/>
          <w:sz w:val="28"/>
          <w:szCs w:val="28"/>
        </w:rPr>
        <w:t>Mr</w:t>
      </w:r>
      <w:r w:rsidR="00B14CC7">
        <w:rPr>
          <w:rFonts w:cs="Times New Roman"/>
          <w:sz w:val="28"/>
          <w:szCs w:val="28"/>
        </w:rPr>
        <w:t> </w:t>
      </w:r>
      <w:r w:rsidR="00A11011">
        <w:rPr>
          <w:rFonts w:cs="Times New Roman"/>
          <w:sz w:val="28"/>
          <w:szCs w:val="28"/>
        </w:rPr>
        <w:t>Ernst Roets, it</w:t>
      </w:r>
      <w:r w:rsidR="0067515A">
        <w:rPr>
          <w:rFonts w:cs="Times New Roman"/>
          <w:sz w:val="28"/>
          <w:szCs w:val="28"/>
        </w:rPr>
        <w:t>s Deput</w:t>
      </w:r>
      <w:r w:rsidR="00A11011">
        <w:rPr>
          <w:rFonts w:cs="Times New Roman"/>
          <w:sz w:val="28"/>
          <w:szCs w:val="28"/>
        </w:rPr>
        <w:t xml:space="preserve">y CEO who made the answering affidavit, </w:t>
      </w:r>
      <w:r w:rsidR="0067515A">
        <w:rPr>
          <w:rFonts w:cs="Times New Roman"/>
          <w:sz w:val="28"/>
          <w:szCs w:val="28"/>
        </w:rPr>
        <w:t>went on to say this</w:t>
      </w:r>
      <w:r>
        <w:rPr>
          <w:rFonts w:cs="Times New Roman"/>
          <w:sz w:val="28"/>
          <w:szCs w:val="28"/>
        </w:rPr>
        <w:t>:</w:t>
      </w:r>
    </w:p>
    <w:p w14:paraId="4CE0C616" w14:textId="4A135CBF" w:rsidR="00E1622F" w:rsidRPr="00E1622F" w:rsidRDefault="00E1622F" w:rsidP="00E1622F">
      <w:pPr>
        <w:pStyle w:val="ListParagraph"/>
        <w:spacing w:after="0" w:line="360" w:lineRule="auto"/>
        <w:ind w:left="0"/>
        <w:jc w:val="both"/>
        <w:rPr>
          <w:rFonts w:cs="Times New Roman"/>
          <w:sz w:val="24"/>
          <w:szCs w:val="24"/>
        </w:rPr>
      </w:pPr>
      <w:r w:rsidRPr="00E1622F">
        <w:rPr>
          <w:rFonts w:cs="Times New Roman"/>
          <w:sz w:val="24"/>
          <w:szCs w:val="24"/>
        </w:rPr>
        <w:t xml:space="preserve">‘At the outset we acknowledge that the old South African flag has the capacity to cause </w:t>
      </w:r>
      <w:r w:rsidR="00087718" w:rsidRPr="00E1622F">
        <w:rPr>
          <w:rFonts w:cs="Times New Roman"/>
          <w:sz w:val="24"/>
          <w:szCs w:val="24"/>
        </w:rPr>
        <w:t>offen</w:t>
      </w:r>
      <w:r w:rsidR="00087718">
        <w:rPr>
          <w:rFonts w:cs="Times New Roman"/>
          <w:sz w:val="24"/>
          <w:szCs w:val="24"/>
        </w:rPr>
        <w:t>s</w:t>
      </w:r>
      <w:r w:rsidR="00087718" w:rsidRPr="00E1622F">
        <w:rPr>
          <w:rFonts w:cs="Times New Roman"/>
          <w:sz w:val="24"/>
          <w:szCs w:val="24"/>
        </w:rPr>
        <w:t xml:space="preserve">e </w:t>
      </w:r>
      <w:r w:rsidRPr="00E1622F">
        <w:rPr>
          <w:rFonts w:cs="Times New Roman"/>
          <w:sz w:val="24"/>
          <w:szCs w:val="24"/>
        </w:rPr>
        <w:t>and emotional distress. As an organisation, we have no particular love for the flag or what it represents. In the exceptionally rare instance that anyone participating in one of our events brings an old flag with them, we ask them to put it away.’</w:t>
      </w:r>
      <w:r w:rsidR="00CF0A78">
        <w:rPr>
          <w:rFonts w:cs="Times New Roman"/>
          <w:sz w:val="24"/>
          <w:szCs w:val="24"/>
        </w:rPr>
        <w:t xml:space="preserve"> </w:t>
      </w:r>
    </w:p>
    <w:p w14:paraId="661C18C6" w14:textId="77777777" w:rsidR="00C27397" w:rsidRDefault="001A13C5" w:rsidP="00E1622F">
      <w:pPr>
        <w:pStyle w:val="ListParagraph"/>
        <w:spacing w:after="0" w:line="360" w:lineRule="auto"/>
        <w:ind w:left="0"/>
        <w:jc w:val="both"/>
        <w:rPr>
          <w:rFonts w:cs="Times New Roman"/>
          <w:sz w:val="28"/>
          <w:szCs w:val="28"/>
        </w:rPr>
      </w:pPr>
      <w:r>
        <w:rPr>
          <w:rFonts w:cs="Times New Roman"/>
          <w:sz w:val="28"/>
          <w:szCs w:val="28"/>
        </w:rPr>
        <w:t xml:space="preserve"> </w:t>
      </w:r>
    </w:p>
    <w:p w14:paraId="5EEF5B84" w14:textId="3B52AFE5" w:rsidR="00284331" w:rsidRPr="00C05363" w:rsidRDefault="00F353B1" w:rsidP="00333562">
      <w:pPr>
        <w:pStyle w:val="ListParagraph"/>
        <w:numPr>
          <w:ilvl w:val="0"/>
          <w:numId w:val="19"/>
        </w:numPr>
        <w:spacing w:after="0" w:line="360" w:lineRule="auto"/>
        <w:ind w:left="0" w:firstLine="0"/>
        <w:jc w:val="both"/>
        <w:rPr>
          <w:rFonts w:cs="Times New Roman"/>
          <w:b/>
          <w:sz w:val="28"/>
          <w:szCs w:val="28"/>
        </w:rPr>
      </w:pPr>
      <w:r w:rsidRPr="00457E91">
        <w:rPr>
          <w:rFonts w:cs="Times New Roman"/>
          <w:sz w:val="28"/>
          <w:szCs w:val="28"/>
        </w:rPr>
        <w:t>Afriforum opposed the application</w:t>
      </w:r>
      <w:r w:rsidR="005C6EB2">
        <w:rPr>
          <w:rFonts w:cs="Times New Roman"/>
          <w:sz w:val="28"/>
          <w:szCs w:val="28"/>
        </w:rPr>
        <w:t xml:space="preserve"> in the high court</w:t>
      </w:r>
      <w:r w:rsidR="004A5A35">
        <w:rPr>
          <w:rFonts w:cs="Times New Roman"/>
          <w:sz w:val="28"/>
          <w:szCs w:val="28"/>
        </w:rPr>
        <w:t xml:space="preserve">, essentially on the ground that </w:t>
      </w:r>
      <w:r w:rsidR="007C147D" w:rsidRPr="00457E91">
        <w:rPr>
          <w:rFonts w:cs="Times New Roman"/>
          <w:sz w:val="28"/>
          <w:szCs w:val="28"/>
        </w:rPr>
        <w:t>a</w:t>
      </w:r>
      <w:r w:rsidR="007659DE" w:rsidRPr="00457E91">
        <w:rPr>
          <w:rFonts w:cs="Times New Roman"/>
          <w:sz w:val="28"/>
          <w:szCs w:val="28"/>
        </w:rPr>
        <w:t xml:space="preserve"> </w:t>
      </w:r>
      <w:r w:rsidRPr="00457E91">
        <w:rPr>
          <w:rFonts w:cs="Times New Roman"/>
          <w:sz w:val="28"/>
          <w:szCs w:val="28"/>
        </w:rPr>
        <w:t>‘wide</w:t>
      </w:r>
      <w:r w:rsidR="00A36240">
        <w:rPr>
          <w:rFonts w:cs="Times New Roman"/>
          <w:sz w:val="28"/>
          <w:szCs w:val="28"/>
        </w:rPr>
        <w:t>-</w:t>
      </w:r>
      <w:r w:rsidRPr="00457E91">
        <w:rPr>
          <w:rFonts w:cs="Times New Roman"/>
          <w:sz w:val="28"/>
          <w:szCs w:val="28"/>
        </w:rPr>
        <w:t xml:space="preserve"> reaching ban’ on public displays of the old flag ‘</w:t>
      </w:r>
      <w:r w:rsidR="007659DE" w:rsidRPr="00457E91">
        <w:rPr>
          <w:rFonts w:cs="Times New Roman"/>
          <w:sz w:val="28"/>
          <w:szCs w:val="28"/>
        </w:rPr>
        <w:t>would be a</w:t>
      </w:r>
      <w:r w:rsidRPr="00457E91">
        <w:rPr>
          <w:rFonts w:cs="Times New Roman"/>
          <w:sz w:val="28"/>
          <w:szCs w:val="28"/>
        </w:rPr>
        <w:t xml:space="preserve">n unconstitutional infringement of the right to freedom of expression’. </w:t>
      </w:r>
      <w:r w:rsidR="007B4A90">
        <w:rPr>
          <w:rFonts w:cs="Times New Roman"/>
          <w:sz w:val="28"/>
          <w:szCs w:val="28"/>
        </w:rPr>
        <w:t xml:space="preserve">It contended that </w:t>
      </w:r>
      <w:r w:rsidR="00FB58D9">
        <w:rPr>
          <w:rFonts w:cs="Times New Roman"/>
          <w:sz w:val="28"/>
          <w:szCs w:val="28"/>
        </w:rPr>
        <w:t>s</w:t>
      </w:r>
      <w:r w:rsidR="00635E4A" w:rsidRPr="00457E91">
        <w:rPr>
          <w:rFonts w:cs="Times New Roman"/>
          <w:sz w:val="28"/>
          <w:szCs w:val="28"/>
        </w:rPr>
        <w:t> </w:t>
      </w:r>
      <w:r w:rsidR="008F1D05" w:rsidRPr="00457E91">
        <w:rPr>
          <w:rFonts w:cs="Times New Roman"/>
          <w:sz w:val="28"/>
          <w:szCs w:val="28"/>
        </w:rPr>
        <w:t xml:space="preserve">10(1) of </w:t>
      </w:r>
      <w:r w:rsidR="00B113D1" w:rsidRPr="00457E91">
        <w:rPr>
          <w:rFonts w:cs="Times New Roman"/>
          <w:sz w:val="28"/>
          <w:szCs w:val="28"/>
        </w:rPr>
        <w:t>the Equality Act</w:t>
      </w:r>
      <w:r w:rsidR="00855B15">
        <w:rPr>
          <w:rFonts w:cs="Times New Roman"/>
          <w:sz w:val="28"/>
          <w:szCs w:val="28"/>
        </w:rPr>
        <w:t xml:space="preserve"> regulated</w:t>
      </w:r>
      <w:r w:rsidR="008F1D05" w:rsidRPr="00457E91">
        <w:rPr>
          <w:rFonts w:cs="Times New Roman"/>
          <w:sz w:val="28"/>
          <w:szCs w:val="28"/>
        </w:rPr>
        <w:t xml:space="preserve"> only ‘words’, not other for</w:t>
      </w:r>
      <w:r w:rsidR="007B4A90">
        <w:rPr>
          <w:rFonts w:cs="Times New Roman"/>
          <w:sz w:val="28"/>
          <w:szCs w:val="28"/>
        </w:rPr>
        <w:t>ms of expression suc</w:t>
      </w:r>
      <w:r w:rsidR="00A36240">
        <w:rPr>
          <w:rFonts w:cs="Times New Roman"/>
          <w:sz w:val="28"/>
          <w:szCs w:val="28"/>
        </w:rPr>
        <w:t>h as symbols. Therefore, it did</w:t>
      </w:r>
      <w:r w:rsidR="007B4A90">
        <w:rPr>
          <w:rFonts w:cs="Times New Roman"/>
          <w:sz w:val="28"/>
          <w:szCs w:val="28"/>
        </w:rPr>
        <w:t xml:space="preserve"> not regulate </w:t>
      </w:r>
      <w:r w:rsidR="008F1D05" w:rsidRPr="00457E91">
        <w:rPr>
          <w:rFonts w:cs="Times New Roman"/>
          <w:sz w:val="28"/>
          <w:szCs w:val="28"/>
        </w:rPr>
        <w:t xml:space="preserve">displays of the </w:t>
      </w:r>
      <w:r w:rsidR="007B4A90">
        <w:rPr>
          <w:rFonts w:cs="Times New Roman"/>
          <w:sz w:val="28"/>
          <w:szCs w:val="28"/>
        </w:rPr>
        <w:t xml:space="preserve">old </w:t>
      </w:r>
      <w:r w:rsidR="008F1D05" w:rsidRPr="00457E91">
        <w:rPr>
          <w:rFonts w:cs="Times New Roman"/>
          <w:sz w:val="28"/>
          <w:szCs w:val="28"/>
        </w:rPr>
        <w:t>flag</w:t>
      </w:r>
      <w:r w:rsidR="00EE5FA9" w:rsidRPr="00457E91">
        <w:rPr>
          <w:rFonts w:cs="Times New Roman"/>
          <w:sz w:val="28"/>
          <w:szCs w:val="28"/>
        </w:rPr>
        <w:t xml:space="preserve">, which </w:t>
      </w:r>
      <w:r w:rsidR="00A36240">
        <w:rPr>
          <w:rFonts w:cs="Times New Roman"/>
          <w:sz w:val="28"/>
          <w:szCs w:val="28"/>
        </w:rPr>
        <w:t>wa</w:t>
      </w:r>
      <w:r w:rsidR="008F1D05" w:rsidRPr="00457E91">
        <w:rPr>
          <w:rFonts w:cs="Times New Roman"/>
          <w:sz w:val="28"/>
          <w:szCs w:val="28"/>
        </w:rPr>
        <w:t>s neither speech</w:t>
      </w:r>
      <w:r w:rsidR="007B4A90">
        <w:rPr>
          <w:rFonts w:cs="Times New Roman"/>
          <w:sz w:val="28"/>
          <w:szCs w:val="28"/>
        </w:rPr>
        <w:t xml:space="preserve">, </w:t>
      </w:r>
      <w:r w:rsidR="008F1D05" w:rsidRPr="00457E91">
        <w:rPr>
          <w:rFonts w:cs="Times New Roman"/>
          <w:sz w:val="28"/>
          <w:szCs w:val="28"/>
        </w:rPr>
        <w:t xml:space="preserve">a call </w:t>
      </w:r>
      <w:r w:rsidR="00CA078A" w:rsidRPr="00457E91">
        <w:rPr>
          <w:rFonts w:cs="Times New Roman"/>
          <w:sz w:val="28"/>
          <w:szCs w:val="28"/>
        </w:rPr>
        <w:t xml:space="preserve">to action, </w:t>
      </w:r>
      <w:r w:rsidR="007B4A90">
        <w:rPr>
          <w:rFonts w:cs="Times New Roman"/>
          <w:sz w:val="28"/>
          <w:szCs w:val="28"/>
        </w:rPr>
        <w:t xml:space="preserve">nor </w:t>
      </w:r>
      <w:r w:rsidR="008F1D05" w:rsidRPr="00457E91">
        <w:rPr>
          <w:rFonts w:cs="Times New Roman"/>
          <w:sz w:val="28"/>
          <w:szCs w:val="28"/>
        </w:rPr>
        <w:t>incitement to cause harm.</w:t>
      </w:r>
      <w:r w:rsidR="00EE5FA9" w:rsidRPr="00457E91">
        <w:rPr>
          <w:rFonts w:cs="Times New Roman"/>
          <w:sz w:val="28"/>
          <w:szCs w:val="28"/>
        </w:rPr>
        <w:t xml:space="preserve"> The display of the old </w:t>
      </w:r>
      <w:r w:rsidR="007C147D" w:rsidRPr="00457E91">
        <w:rPr>
          <w:rFonts w:cs="Times New Roman"/>
          <w:sz w:val="28"/>
          <w:szCs w:val="28"/>
        </w:rPr>
        <w:t xml:space="preserve">flag was not harassment under s </w:t>
      </w:r>
      <w:r w:rsidR="00EE5FA9" w:rsidRPr="00457E91">
        <w:rPr>
          <w:rFonts w:cs="Times New Roman"/>
          <w:sz w:val="28"/>
          <w:szCs w:val="28"/>
        </w:rPr>
        <w:t xml:space="preserve">11 of </w:t>
      </w:r>
      <w:r w:rsidR="00B113D1" w:rsidRPr="00457E91">
        <w:rPr>
          <w:rFonts w:cs="Times New Roman"/>
          <w:sz w:val="28"/>
          <w:szCs w:val="28"/>
        </w:rPr>
        <w:t>the Equality Act</w:t>
      </w:r>
      <w:r w:rsidR="007C147D" w:rsidRPr="00457E91">
        <w:rPr>
          <w:rFonts w:cs="Times New Roman"/>
          <w:sz w:val="28"/>
          <w:szCs w:val="28"/>
        </w:rPr>
        <w:t xml:space="preserve">, because </w:t>
      </w:r>
      <w:r w:rsidR="007C147D" w:rsidRPr="00457E91">
        <w:rPr>
          <w:rFonts w:cs="Times New Roman"/>
          <w:sz w:val="28"/>
          <w:szCs w:val="28"/>
        </w:rPr>
        <w:lastRenderedPageBreak/>
        <w:t>it did</w:t>
      </w:r>
      <w:r w:rsidR="00A36240">
        <w:rPr>
          <w:rFonts w:cs="Times New Roman"/>
          <w:sz w:val="28"/>
          <w:szCs w:val="28"/>
        </w:rPr>
        <w:t xml:space="preserve"> not amount to torment that was persistent and repetitive</w:t>
      </w:r>
      <w:r w:rsidR="0011245C" w:rsidRPr="00457E91">
        <w:rPr>
          <w:rFonts w:cs="Times New Roman"/>
          <w:sz w:val="28"/>
          <w:szCs w:val="28"/>
        </w:rPr>
        <w:t xml:space="preserve">. </w:t>
      </w:r>
      <w:r w:rsidR="007C147D" w:rsidRPr="00457E91">
        <w:rPr>
          <w:rFonts w:cs="Times New Roman"/>
          <w:sz w:val="28"/>
          <w:szCs w:val="28"/>
        </w:rPr>
        <w:t>Neither wa</w:t>
      </w:r>
      <w:r w:rsidR="00CA078A" w:rsidRPr="00457E91">
        <w:rPr>
          <w:rFonts w:cs="Times New Roman"/>
          <w:sz w:val="28"/>
          <w:szCs w:val="28"/>
        </w:rPr>
        <w:t>s it unfair discrimination under s</w:t>
      </w:r>
      <w:r w:rsidR="00F81AC6">
        <w:rPr>
          <w:rFonts w:cs="Times New Roman"/>
          <w:sz w:val="28"/>
          <w:szCs w:val="28"/>
        </w:rPr>
        <w:t xml:space="preserve"> 7</w:t>
      </w:r>
      <w:r w:rsidR="007624FC">
        <w:rPr>
          <w:rFonts w:cs="Times New Roman"/>
          <w:sz w:val="28"/>
          <w:szCs w:val="28"/>
        </w:rPr>
        <w:t>, since</w:t>
      </w:r>
      <w:r w:rsidR="00CA078A" w:rsidRPr="00457E91">
        <w:rPr>
          <w:rFonts w:cs="Times New Roman"/>
          <w:sz w:val="28"/>
          <w:szCs w:val="28"/>
        </w:rPr>
        <w:t xml:space="preserve"> </w:t>
      </w:r>
      <w:r w:rsidR="007C147D" w:rsidRPr="00457E91">
        <w:rPr>
          <w:rFonts w:cs="Times New Roman"/>
          <w:sz w:val="28"/>
          <w:szCs w:val="28"/>
        </w:rPr>
        <w:t>it wa</w:t>
      </w:r>
      <w:r w:rsidR="002766DD" w:rsidRPr="00457E91">
        <w:rPr>
          <w:rFonts w:cs="Times New Roman"/>
          <w:sz w:val="28"/>
          <w:szCs w:val="28"/>
        </w:rPr>
        <w:t xml:space="preserve">s not the dissemination of information and </w:t>
      </w:r>
      <w:r w:rsidR="007C147D" w:rsidRPr="00457E91">
        <w:rPr>
          <w:rFonts w:cs="Times New Roman"/>
          <w:sz w:val="28"/>
          <w:szCs w:val="28"/>
        </w:rPr>
        <w:t xml:space="preserve">constituted </w:t>
      </w:r>
      <w:r w:rsidR="002766DD" w:rsidRPr="00457E91">
        <w:rPr>
          <w:rFonts w:cs="Times New Roman"/>
          <w:sz w:val="28"/>
          <w:szCs w:val="28"/>
        </w:rPr>
        <w:t>protected sp</w:t>
      </w:r>
      <w:r w:rsidR="00770774">
        <w:rPr>
          <w:rFonts w:cs="Times New Roman"/>
          <w:sz w:val="28"/>
          <w:szCs w:val="28"/>
        </w:rPr>
        <w:t xml:space="preserve">eech in terms of the proviso in </w:t>
      </w:r>
      <w:r w:rsidR="002766DD" w:rsidRPr="00457E91">
        <w:rPr>
          <w:rFonts w:cs="Times New Roman"/>
          <w:sz w:val="28"/>
          <w:szCs w:val="28"/>
        </w:rPr>
        <w:t>s</w:t>
      </w:r>
      <w:r w:rsidR="00FB58D9">
        <w:rPr>
          <w:rFonts w:cs="Times New Roman"/>
          <w:sz w:val="28"/>
          <w:szCs w:val="28"/>
        </w:rPr>
        <w:t xml:space="preserve"> </w:t>
      </w:r>
      <w:r w:rsidR="002766DD" w:rsidRPr="00457E91">
        <w:rPr>
          <w:rFonts w:cs="Times New Roman"/>
          <w:sz w:val="28"/>
          <w:szCs w:val="28"/>
        </w:rPr>
        <w:t>12</w:t>
      </w:r>
      <w:r w:rsidR="00770774">
        <w:rPr>
          <w:rFonts w:cs="Times New Roman"/>
          <w:sz w:val="28"/>
          <w:szCs w:val="28"/>
        </w:rPr>
        <w:t xml:space="preserve"> of the Equality Act</w:t>
      </w:r>
      <w:r w:rsidR="002766DD" w:rsidRPr="00457E91">
        <w:rPr>
          <w:rFonts w:cs="Times New Roman"/>
          <w:sz w:val="28"/>
          <w:szCs w:val="28"/>
        </w:rPr>
        <w:t xml:space="preserve">. </w:t>
      </w:r>
    </w:p>
    <w:p w14:paraId="5BEFB3EC" w14:textId="77777777" w:rsidR="00C05363" w:rsidRPr="00284331" w:rsidRDefault="00C05363" w:rsidP="00C05363">
      <w:pPr>
        <w:pStyle w:val="ListParagraph"/>
        <w:spacing w:after="0" w:line="360" w:lineRule="auto"/>
        <w:ind w:left="0"/>
        <w:jc w:val="both"/>
        <w:rPr>
          <w:rFonts w:cs="Times New Roman"/>
          <w:b/>
          <w:sz w:val="28"/>
          <w:szCs w:val="28"/>
        </w:rPr>
      </w:pPr>
    </w:p>
    <w:p w14:paraId="1F96ACE6" w14:textId="77777777" w:rsidR="00BF13D0" w:rsidRPr="00EC5DA2" w:rsidRDefault="00EC5DA2" w:rsidP="00284331">
      <w:pPr>
        <w:pStyle w:val="ListParagraph"/>
        <w:spacing w:after="0" w:line="360" w:lineRule="auto"/>
        <w:ind w:left="0"/>
        <w:jc w:val="both"/>
        <w:rPr>
          <w:rFonts w:cs="Times New Roman"/>
          <w:b/>
          <w:sz w:val="28"/>
          <w:szCs w:val="28"/>
        </w:rPr>
      </w:pPr>
      <w:r w:rsidRPr="00EC5DA2">
        <w:rPr>
          <w:rFonts w:cs="Times New Roman"/>
          <w:b/>
          <w:sz w:val="28"/>
          <w:szCs w:val="28"/>
        </w:rPr>
        <w:t xml:space="preserve">The decision of the high court </w:t>
      </w:r>
      <w:r w:rsidR="004A2A5E" w:rsidRPr="00EC5DA2">
        <w:rPr>
          <w:rFonts w:cs="Times New Roman"/>
          <w:b/>
          <w:sz w:val="28"/>
          <w:szCs w:val="28"/>
        </w:rPr>
        <w:t xml:space="preserve"> </w:t>
      </w:r>
    </w:p>
    <w:p w14:paraId="7273B424" w14:textId="77777777" w:rsidR="00A008F6" w:rsidRPr="00A008F6" w:rsidRDefault="00284331" w:rsidP="00A008F6">
      <w:pPr>
        <w:pStyle w:val="ListParagraph"/>
        <w:numPr>
          <w:ilvl w:val="0"/>
          <w:numId w:val="19"/>
        </w:numPr>
        <w:spacing w:after="0" w:line="360" w:lineRule="auto"/>
        <w:ind w:left="0" w:firstLine="0"/>
        <w:jc w:val="both"/>
        <w:rPr>
          <w:rFonts w:cs="Times New Roman"/>
          <w:b/>
          <w:sz w:val="28"/>
          <w:szCs w:val="28"/>
        </w:rPr>
      </w:pPr>
      <w:r>
        <w:rPr>
          <w:rFonts w:cs="Times New Roman"/>
          <w:sz w:val="28"/>
          <w:szCs w:val="28"/>
        </w:rPr>
        <w:t xml:space="preserve">The high court </w:t>
      </w:r>
      <w:r w:rsidR="006418EC">
        <w:rPr>
          <w:rFonts w:cs="Times New Roman"/>
          <w:sz w:val="28"/>
          <w:szCs w:val="28"/>
        </w:rPr>
        <w:t xml:space="preserve">considered the history of the old flag and what it represents, and came to the following conclusions. </w:t>
      </w:r>
      <w:r w:rsidR="00237F06">
        <w:rPr>
          <w:rFonts w:cs="Times New Roman"/>
          <w:sz w:val="28"/>
          <w:szCs w:val="28"/>
        </w:rPr>
        <w:t>The Union Nationality and F</w:t>
      </w:r>
      <w:r w:rsidR="006418EC">
        <w:rPr>
          <w:rFonts w:cs="Times New Roman"/>
          <w:sz w:val="28"/>
          <w:szCs w:val="28"/>
        </w:rPr>
        <w:t xml:space="preserve">lag </w:t>
      </w:r>
      <w:r w:rsidR="00237F06">
        <w:rPr>
          <w:rFonts w:cs="Times New Roman"/>
          <w:sz w:val="28"/>
          <w:szCs w:val="28"/>
        </w:rPr>
        <w:t>A</w:t>
      </w:r>
      <w:r w:rsidR="004A5A35">
        <w:rPr>
          <w:rFonts w:cs="Times New Roman"/>
          <w:sz w:val="28"/>
          <w:szCs w:val="28"/>
        </w:rPr>
        <w:t>ct 40</w:t>
      </w:r>
      <w:r w:rsidR="00237F06">
        <w:rPr>
          <w:rFonts w:cs="Times New Roman"/>
          <w:sz w:val="28"/>
          <w:szCs w:val="28"/>
        </w:rPr>
        <w:t xml:space="preserve"> </w:t>
      </w:r>
      <w:r w:rsidR="006418EC">
        <w:rPr>
          <w:rFonts w:cs="Times New Roman"/>
          <w:sz w:val="28"/>
          <w:szCs w:val="28"/>
        </w:rPr>
        <w:t xml:space="preserve">of 1927 </w:t>
      </w:r>
      <w:r w:rsidR="00237F06">
        <w:rPr>
          <w:rFonts w:cs="Times New Roman"/>
          <w:sz w:val="28"/>
          <w:szCs w:val="28"/>
        </w:rPr>
        <w:t xml:space="preserve">(the Flag Act) </w:t>
      </w:r>
      <w:r w:rsidR="006418EC">
        <w:rPr>
          <w:rFonts w:cs="Times New Roman"/>
          <w:sz w:val="28"/>
          <w:szCs w:val="28"/>
        </w:rPr>
        <w:t xml:space="preserve">was part of a </w:t>
      </w:r>
      <w:r w:rsidR="004A5A35">
        <w:rPr>
          <w:rFonts w:cs="Times New Roman"/>
          <w:sz w:val="28"/>
          <w:szCs w:val="28"/>
        </w:rPr>
        <w:t xml:space="preserve">statutory scheme </w:t>
      </w:r>
      <w:r w:rsidR="006418EC">
        <w:rPr>
          <w:rFonts w:cs="Times New Roman"/>
          <w:sz w:val="28"/>
          <w:szCs w:val="28"/>
        </w:rPr>
        <w:t>designed to entrench racial</w:t>
      </w:r>
      <w:r w:rsidR="00237F06">
        <w:rPr>
          <w:rFonts w:cs="Times New Roman"/>
          <w:sz w:val="28"/>
          <w:szCs w:val="28"/>
        </w:rPr>
        <w:t xml:space="preserve"> segregation and white supremacy. The old flag is a vivid symbol of white supremacy and b</w:t>
      </w:r>
      <w:r w:rsidR="008B7529">
        <w:rPr>
          <w:rFonts w:cs="Times New Roman"/>
          <w:sz w:val="28"/>
          <w:szCs w:val="28"/>
        </w:rPr>
        <w:t>lack disenfranchisement and opp</w:t>
      </w:r>
      <w:r w:rsidR="00237F06">
        <w:rPr>
          <w:rFonts w:cs="Times New Roman"/>
          <w:sz w:val="28"/>
          <w:szCs w:val="28"/>
        </w:rPr>
        <w:t>ression</w:t>
      </w:r>
      <w:r w:rsidR="00333562">
        <w:rPr>
          <w:rFonts w:cs="Times New Roman"/>
          <w:sz w:val="28"/>
          <w:szCs w:val="28"/>
        </w:rPr>
        <w:t xml:space="preserve">. </w:t>
      </w:r>
      <w:r w:rsidR="00333562" w:rsidRPr="00A008F6">
        <w:rPr>
          <w:rFonts w:cs="Times New Roman"/>
          <w:sz w:val="28"/>
          <w:szCs w:val="28"/>
        </w:rPr>
        <w:t>The Fl</w:t>
      </w:r>
      <w:r w:rsidR="00D91CEA">
        <w:rPr>
          <w:rFonts w:cs="Times New Roman"/>
          <w:sz w:val="28"/>
          <w:szCs w:val="28"/>
        </w:rPr>
        <w:t xml:space="preserve">ag Act was repealed by the </w:t>
      </w:r>
      <w:r w:rsidR="00333562" w:rsidRPr="00A008F6">
        <w:rPr>
          <w:rFonts w:cs="Times New Roman"/>
          <w:sz w:val="28"/>
          <w:szCs w:val="28"/>
        </w:rPr>
        <w:t>Constitution of the Republic of South Africa</w:t>
      </w:r>
      <w:r w:rsidR="00237F06" w:rsidRPr="00A008F6">
        <w:rPr>
          <w:rFonts w:cs="Times New Roman"/>
          <w:sz w:val="28"/>
          <w:szCs w:val="28"/>
        </w:rPr>
        <w:t xml:space="preserve"> </w:t>
      </w:r>
      <w:r w:rsidR="00A008F6" w:rsidRPr="00A008F6">
        <w:rPr>
          <w:rFonts w:cs="Times New Roman"/>
          <w:sz w:val="28"/>
          <w:szCs w:val="28"/>
        </w:rPr>
        <w:t xml:space="preserve">Act </w:t>
      </w:r>
      <w:r w:rsidR="00D91CEA">
        <w:rPr>
          <w:rFonts w:cs="Times New Roman"/>
          <w:sz w:val="28"/>
          <w:szCs w:val="28"/>
        </w:rPr>
        <w:t>31</w:t>
      </w:r>
      <w:r w:rsidR="00A008F6" w:rsidRPr="00A008F6">
        <w:rPr>
          <w:rFonts w:cs="Times New Roman"/>
          <w:sz w:val="28"/>
          <w:szCs w:val="28"/>
        </w:rPr>
        <w:t xml:space="preserve"> of 1961. The latter Act retained the old flag,</w:t>
      </w:r>
      <w:r w:rsidR="00A36240">
        <w:rPr>
          <w:rStyle w:val="FootnoteReference"/>
          <w:rFonts w:cs="Times New Roman"/>
          <w:sz w:val="28"/>
          <w:szCs w:val="28"/>
        </w:rPr>
        <w:footnoteReference w:id="4"/>
      </w:r>
      <w:r w:rsidR="00A008F6" w:rsidRPr="00A008F6">
        <w:rPr>
          <w:rFonts w:cs="Times New Roman"/>
          <w:sz w:val="28"/>
          <w:szCs w:val="28"/>
        </w:rPr>
        <w:t xml:space="preserve"> entrenched electoral exclusion of everybody other than ‘white persons’,</w:t>
      </w:r>
      <w:r w:rsidR="00F3503E">
        <w:rPr>
          <w:rStyle w:val="FootnoteReference"/>
          <w:rFonts w:cs="Times New Roman"/>
          <w:sz w:val="28"/>
          <w:szCs w:val="28"/>
        </w:rPr>
        <w:footnoteReference w:id="5"/>
      </w:r>
      <w:r w:rsidR="00A008F6" w:rsidRPr="00A008F6">
        <w:rPr>
          <w:rFonts w:cs="Times New Roman"/>
          <w:sz w:val="28"/>
          <w:szCs w:val="28"/>
        </w:rPr>
        <w:t xml:space="preserve"> and vested the State President with absolute authority over ‘Bantu affairs’, including ‘Bantu locations’.</w:t>
      </w:r>
      <w:r w:rsidR="00F3503E">
        <w:rPr>
          <w:rStyle w:val="FootnoteReference"/>
          <w:rFonts w:cs="Times New Roman"/>
          <w:sz w:val="28"/>
          <w:szCs w:val="28"/>
        </w:rPr>
        <w:footnoteReference w:id="6"/>
      </w:r>
    </w:p>
    <w:p w14:paraId="5BD2B8F2" w14:textId="77777777" w:rsidR="00A008F6" w:rsidRPr="00A008F6" w:rsidRDefault="00A008F6" w:rsidP="00A008F6">
      <w:pPr>
        <w:pStyle w:val="ListParagraph"/>
        <w:spacing w:after="0" w:line="360" w:lineRule="auto"/>
        <w:ind w:left="0"/>
        <w:jc w:val="both"/>
        <w:rPr>
          <w:rFonts w:cs="Times New Roman"/>
          <w:b/>
          <w:sz w:val="28"/>
          <w:szCs w:val="28"/>
        </w:rPr>
      </w:pPr>
    </w:p>
    <w:p w14:paraId="3E0DFD19" w14:textId="07078E69" w:rsidR="008E5EF3" w:rsidRPr="00003024" w:rsidRDefault="00A008F6" w:rsidP="008E5EF3">
      <w:pPr>
        <w:pStyle w:val="ListParagraph"/>
        <w:numPr>
          <w:ilvl w:val="0"/>
          <w:numId w:val="19"/>
        </w:numPr>
        <w:spacing w:after="0" w:line="360" w:lineRule="auto"/>
        <w:ind w:left="0" w:firstLine="0"/>
        <w:jc w:val="both"/>
        <w:rPr>
          <w:rFonts w:cs="Times New Roman"/>
          <w:b/>
          <w:sz w:val="28"/>
          <w:szCs w:val="28"/>
        </w:rPr>
      </w:pPr>
      <w:r w:rsidRPr="00A008F6">
        <w:rPr>
          <w:rFonts w:cs="Times New Roman"/>
          <w:sz w:val="28"/>
          <w:szCs w:val="28"/>
        </w:rPr>
        <w:t xml:space="preserve">  </w:t>
      </w:r>
      <w:r w:rsidR="003E1F4F">
        <w:rPr>
          <w:rFonts w:cs="Times New Roman"/>
          <w:sz w:val="28"/>
          <w:szCs w:val="28"/>
        </w:rPr>
        <w:t xml:space="preserve">The old flag was retained in the Republic of South Africa Constitution Act </w:t>
      </w:r>
      <w:r w:rsidR="003E425B">
        <w:rPr>
          <w:rFonts w:cs="Times New Roman"/>
          <w:sz w:val="28"/>
          <w:szCs w:val="28"/>
        </w:rPr>
        <w:t>110</w:t>
      </w:r>
      <w:r w:rsidR="003E1F4F">
        <w:rPr>
          <w:rFonts w:cs="Times New Roman"/>
          <w:sz w:val="28"/>
          <w:szCs w:val="28"/>
        </w:rPr>
        <w:t xml:space="preserve"> of 1983, which gave limited electoral rights to ‘Coloured’ and ‘Indian’ persons, but excluded black </w:t>
      </w:r>
      <w:r w:rsidR="0006391B">
        <w:rPr>
          <w:rFonts w:cs="Times New Roman"/>
          <w:sz w:val="28"/>
          <w:szCs w:val="28"/>
        </w:rPr>
        <w:t xml:space="preserve">(African) </w:t>
      </w:r>
      <w:r w:rsidR="003E1F4F">
        <w:rPr>
          <w:rFonts w:cs="Times New Roman"/>
          <w:sz w:val="28"/>
          <w:szCs w:val="28"/>
        </w:rPr>
        <w:t xml:space="preserve">people </w:t>
      </w:r>
      <w:r w:rsidR="0046379A">
        <w:rPr>
          <w:rFonts w:cs="Times New Roman"/>
          <w:sz w:val="28"/>
          <w:szCs w:val="28"/>
        </w:rPr>
        <w:t>from the definition of South Africa’s ‘</w:t>
      </w:r>
      <w:r w:rsidR="00592461">
        <w:rPr>
          <w:rFonts w:cs="Times New Roman"/>
          <w:sz w:val="28"/>
          <w:szCs w:val="28"/>
        </w:rPr>
        <w:t xml:space="preserve">population groups’, entitled to </w:t>
      </w:r>
      <w:r w:rsidR="0046379A">
        <w:rPr>
          <w:rFonts w:cs="Times New Roman"/>
          <w:sz w:val="28"/>
          <w:szCs w:val="28"/>
        </w:rPr>
        <w:t xml:space="preserve">‘self-determination’. The 1983 Constitution </w:t>
      </w:r>
      <w:r w:rsidR="00F02A11" w:rsidRPr="00B25D7F">
        <w:rPr>
          <w:rFonts w:cs="Times New Roman"/>
          <w:sz w:val="28"/>
          <w:szCs w:val="28"/>
        </w:rPr>
        <w:t>gave special protection to</w:t>
      </w:r>
      <w:r w:rsidR="00592461">
        <w:rPr>
          <w:rFonts w:cs="Times New Roman"/>
          <w:sz w:val="28"/>
          <w:szCs w:val="28"/>
        </w:rPr>
        <w:t xml:space="preserve"> the old flag: it provide</w:t>
      </w:r>
      <w:r w:rsidR="0046379A">
        <w:rPr>
          <w:rFonts w:cs="Times New Roman"/>
          <w:sz w:val="28"/>
          <w:szCs w:val="28"/>
        </w:rPr>
        <w:t xml:space="preserve">d that </w:t>
      </w:r>
      <w:r w:rsidR="00592461">
        <w:rPr>
          <w:rFonts w:cs="Times New Roman"/>
          <w:sz w:val="28"/>
          <w:szCs w:val="28"/>
        </w:rPr>
        <w:t xml:space="preserve">any person who ‘maliciously destroys or spoils the National Flag of the Republic’; or ‘commits any other act which is calculated to </w:t>
      </w:r>
      <w:r w:rsidR="0046379A">
        <w:rPr>
          <w:rFonts w:cs="Times New Roman"/>
          <w:sz w:val="28"/>
          <w:szCs w:val="28"/>
        </w:rPr>
        <w:t>hold the National Fl</w:t>
      </w:r>
      <w:r w:rsidR="00592461">
        <w:rPr>
          <w:rFonts w:cs="Times New Roman"/>
          <w:sz w:val="28"/>
          <w:szCs w:val="28"/>
        </w:rPr>
        <w:t xml:space="preserve">ag of the </w:t>
      </w:r>
      <w:r w:rsidR="00592461">
        <w:rPr>
          <w:rFonts w:cs="Times New Roman"/>
          <w:sz w:val="28"/>
          <w:szCs w:val="28"/>
        </w:rPr>
        <w:lastRenderedPageBreak/>
        <w:t>Republic in contempt . . .</w:t>
      </w:r>
      <w:r w:rsidR="0046379A">
        <w:rPr>
          <w:rFonts w:cs="Times New Roman"/>
          <w:sz w:val="28"/>
          <w:szCs w:val="28"/>
        </w:rPr>
        <w:t xml:space="preserve"> </w:t>
      </w:r>
      <w:r w:rsidR="00592461">
        <w:rPr>
          <w:rFonts w:cs="Times New Roman"/>
          <w:sz w:val="28"/>
          <w:szCs w:val="28"/>
        </w:rPr>
        <w:t>shall be guilty of an offence and liable on conviction to a fine not exceeding R10 000 or imprisonment for a period not exceeding five years’.</w:t>
      </w:r>
      <w:r w:rsidR="00592461">
        <w:rPr>
          <w:rStyle w:val="FootnoteReference"/>
          <w:rFonts w:cs="Times New Roman"/>
          <w:sz w:val="28"/>
          <w:szCs w:val="28"/>
        </w:rPr>
        <w:footnoteReference w:id="7"/>
      </w:r>
      <w:r w:rsidR="0046379A">
        <w:rPr>
          <w:rFonts w:cs="Times New Roman"/>
          <w:sz w:val="28"/>
          <w:szCs w:val="28"/>
        </w:rPr>
        <w:t xml:space="preserve"> It was only in 1994 that the old flag was replaced by the current flag, with the </w:t>
      </w:r>
      <w:r w:rsidR="00096664">
        <w:rPr>
          <w:rFonts w:cs="Times New Roman"/>
          <w:sz w:val="28"/>
          <w:szCs w:val="28"/>
        </w:rPr>
        <w:t xml:space="preserve">end of apartheid and the </w:t>
      </w:r>
      <w:r w:rsidR="0046379A">
        <w:rPr>
          <w:rFonts w:cs="Times New Roman"/>
          <w:sz w:val="28"/>
          <w:szCs w:val="28"/>
        </w:rPr>
        <w:t>coming into force of the Interim Constitution</w:t>
      </w:r>
      <w:r w:rsidR="00096664">
        <w:rPr>
          <w:rFonts w:cs="Times New Roman"/>
          <w:sz w:val="28"/>
          <w:szCs w:val="28"/>
        </w:rPr>
        <w:t>.</w:t>
      </w:r>
      <w:r w:rsidR="007A15DF">
        <w:rPr>
          <w:rFonts w:cs="Times New Roman"/>
          <w:sz w:val="28"/>
          <w:szCs w:val="28"/>
        </w:rPr>
        <w:t xml:space="preserve"> </w:t>
      </w:r>
    </w:p>
    <w:p w14:paraId="39B3721D" w14:textId="77777777" w:rsidR="00003024" w:rsidRPr="00003024" w:rsidRDefault="00003024" w:rsidP="00003024">
      <w:pPr>
        <w:pStyle w:val="ListParagraph"/>
        <w:spacing w:after="0" w:line="360" w:lineRule="auto"/>
        <w:ind w:left="0"/>
        <w:jc w:val="both"/>
        <w:rPr>
          <w:rFonts w:cs="Times New Roman"/>
          <w:b/>
          <w:sz w:val="28"/>
          <w:szCs w:val="28"/>
        </w:rPr>
      </w:pPr>
    </w:p>
    <w:p w14:paraId="342D87B2" w14:textId="180CB591" w:rsidR="00EC5DA2" w:rsidRPr="00EC5DA2" w:rsidRDefault="00003024" w:rsidP="008E5EF3">
      <w:pPr>
        <w:pStyle w:val="ListParagraph"/>
        <w:numPr>
          <w:ilvl w:val="0"/>
          <w:numId w:val="19"/>
        </w:numPr>
        <w:spacing w:after="0" w:line="360" w:lineRule="auto"/>
        <w:ind w:left="0" w:firstLine="0"/>
        <w:jc w:val="both"/>
        <w:rPr>
          <w:rFonts w:cs="Times New Roman"/>
          <w:b/>
          <w:sz w:val="28"/>
          <w:szCs w:val="28"/>
        </w:rPr>
      </w:pPr>
      <w:r>
        <w:rPr>
          <w:rFonts w:cs="Times New Roman"/>
          <w:sz w:val="28"/>
          <w:szCs w:val="28"/>
        </w:rPr>
        <w:t xml:space="preserve">The high court found that </w:t>
      </w:r>
      <w:r w:rsidR="00894EB9">
        <w:rPr>
          <w:rFonts w:cs="Times New Roman"/>
          <w:sz w:val="28"/>
          <w:szCs w:val="28"/>
        </w:rPr>
        <w:t>any gratuitous display of the old flag, aside from being racist and discriminatory, demonstrates a clear intention to be hurtful</w:t>
      </w:r>
      <w:r w:rsidR="00A0400C">
        <w:rPr>
          <w:rFonts w:cs="Times New Roman"/>
          <w:sz w:val="28"/>
          <w:szCs w:val="28"/>
        </w:rPr>
        <w:t>;</w:t>
      </w:r>
      <w:r w:rsidR="00D91CEA">
        <w:rPr>
          <w:rFonts w:cs="Times New Roman"/>
          <w:sz w:val="28"/>
          <w:szCs w:val="28"/>
        </w:rPr>
        <w:t xml:space="preserve"> to be harmful and to </w:t>
      </w:r>
      <w:r w:rsidR="00A0400C">
        <w:rPr>
          <w:rFonts w:cs="Times New Roman"/>
          <w:sz w:val="28"/>
          <w:szCs w:val="28"/>
        </w:rPr>
        <w:t>incite</w:t>
      </w:r>
      <w:r w:rsidR="008B6210">
        <w:rPr>
          <w:rFonts w:cs="Times New Roman"/>
          <w:sz w:val="28"/>
          <w:szCs w:val="28"/>
        </w:rPr>
        <w:t xml:space="preserve"> harm; and </w:t>
      </w:r>
      <w:r w:rsidR="00451F9D">
        <w:rPr>
          <w:rFonts w:cs="Times New Roman"/>
          <w:sz w:val="28"/>
          <w:szCs w:val="28"/>
        </w:rPr>
        <w:t xml:space="preserve">to promote and propagate hatred against black people, in contravention of s 10(1) of the Equality Act. Such a </w:t>
      </w:r>
      <w:r w:rsidR="00976FD8">
        <w:rPr>
          <w:rFonts w:cs="Times New Roman"/>
          <w:sz w:val="28"/>
          <w:szCs w:val="28"/>
        </w:rPr>
        <w:t xml:space="preserve">display constitutes hate </w:t>
      </w:r>
      <w:r w:rsidR="00976FD8" w:rsidRPr="00B25D7F">
        <w:rPr>
          <w:rFonts w:cs="Times New Roman"/>
          <w:sz w:val="28"/>
          <w:szCs w:val="28"/>
        </w:rPr>
        <w:t>speech</w:t>
      </w:r>
      <w:r w:rsidR="00451F9D" w:rsidRPr="00B25D7F">
        <w:rPr>
          <w:rFonts w:cs="Times New Roman"/>
          <w:sz w:val="28"/>
          <w:szCs w:val="28"/>
        </w:rPr>
        <w:t xml:space="preserve"> and is</w:t>
      </w:r>
      <w:r w:rsidR="00451F9D">
        <w:rPr>
          <w:rFonts w:cs="Times New Roman"/>
          <w:sz w:val="28"/>
          <w:szCs w:val="28"/>
        </w:rPr>
        <w:t xml:space="preserve"> </w:t>
      </w:r>
      <w:r w:rsidR="00976FD8">
        <w:rPr>
          <w:rFonts w:cs="Times New Roman"/>
          <w:sz w:val="28"/>
          <w:szCs w:val="28"/>
        </w:rPr>
        <w:t>‘</w:t>
      </w:r>
      <w:r w:rsidR="00451F9D">
        <w:rPr>
          <w:rFonts w:cs="Times New Roman"/>
          <w:sz w:val="28"/>
          <w:szCs w:val="28"/>
        </w:rPr>
        <w:t>divisive, retrogressive and destructive of our nas</w:t>
      </w:r>
      <w:r w:rsidR="00976FD8">
        <w:rPr>
          <w:rFonts w:cs="Times New Roman"/>
          <w:sz w:val="28"/>
          <w:szCs w:val="28"/>
        </w:rPr>
        <w:t xml:space="preserve">cent non-racial democracy, the constitutional values of human dignity and equality and the building of a society united in its diversity’. </w:t>
      </w:r>
    </w:p>
    <w:p w14:paraId="51BB843D" w14:textId="77777777" w:rsidR="00003024" w:rsidRPr="00EC5DA2" w:rsidRDefault="008B6210" w:rsidP="00EC5DA2">
      <w:pPr>
        <w:pStyle w:val="ListParagraph"/>
        <w:spacing w:after="0" w:line="360" w:lineRule="auto"/>
        <w:ind w:left="0"/>
        <w:jc w:val="both"/>
        <w:rPr>
          <w:rFonts w:cs="Times New Roman"/>
          <w:b/>
          <w:sz w:val="28"/>
          <w:szCs w:val="28"/>
        </w:rPr>
      </w:pPr>
      <w:r>
        <w:rPr>
          <w:rFonts w:cs="Times New Roman"/>
          <w:sz w:val="28"/>
          <w:szCs w:val="28"/>
        </w:rPr>
        <w:t xml:space="preserve"> </w:t>
      </w:r>
    </w:p>
    <w:p w14:paraId="21CD0A6E" w14:textId="77777777" w:rsidR="000317A5" w:rsidRPr="00942BB9" w:rsidRDefault="00EC5DA2" w:rsidP="00676C57">
      <w:pPr>
        <w:pStyle w:val="ListParagraph"/>
        <w:numPr>
          <w:ilvl w:val="0"/>
          <w:numId w:val="19"/>
        </w:numPr>
        <w:spacing w:after="0" w:line="360" w:lineRule="auto"/>
        <w:ind w:left="0" w:firstLine="0"/>
        <w:jc w:val="both"/>
        <w:rPr>
          <w:rFonts w:cs="Times New Roman"/>
          <w:b/>
          <w:sz w:val="28"/>
          <w:szCs w:val="28"/>
        </w:rPr>
      </w:pPr>
      <w:r>
        <w:rPr>
          <w:rFonts w:cs="Times New Roman"/>
          <w:sz w:val="28"/>
          <w:szCs w:val="28"/>
        </w:rPr>
        <w:t xml:space="preserve">The high court </w:t>
      </w:r>
      <w:r w:rsidR="00A92EF5">
        <w:rPr>
          <w:rFonts w:cs="Times New Roman"/>
          <w:sz w:val="28"/>
          <w:szCs w:val="28"/>
        </w:rPr>
        <w:t xml:space="preserve">made a determination, in terms of </w:t>
      </w:r>
      <w:r>
        <w:rPr>
          <w:rFonts w:cs="Times New Roman"/>
          <w:sz w:val="28"/>
          <w:szCs w:val="28"/>
        </w:rPr>
        <w:t xml:space="preserve">s 21(1) </w:t>
      </w:r>
      <w:r w:rsidR="002A22C3">
        <w:rPr>
          <w:rFonts w:cs="Times New Roman"/>
          <w:sz w:val="28"/>
          <w:szCs w:val="28"/>
        </w:rPr>
        <w:t>of the Equality A</w:t>
      </w:r>
      <w:r>
        <w:rPr>
          <w:rFonts w:cs="Times New Roman"/>
          <w:sz w:val="28"/>
          <w:szCs w:val="28"/>
        </w:rPr>
        <w:t xml:space="preserve">ct, </w:t>
      </w:r>
      <w:r w:rsidR="00A92EF5">
        <w:rPr>
          <w:rFonts w:cs="Times New Roman"/>
          <w:sz w:val="28"/>
          <w:szCs w:val="28"/>
        </w:rPr>
        <w:t xml:space="preserve">that </w:t>
      </w:r>
      <w:r w:rsidR="001B4D8F">
        <w:rPr>
          <w:rFonts w:cs="Times New Roman"/>
          <w:sz w:val="28"/>
          <w:szCs w:val="28"/>
        </w:rPr>
        <w:t xml:space="preserve">the </w:t>
      </w:r>
      <w:r>
        <w:rPr>
          <w:rFonts w:cs="Times New Roman"/>
          <w:sz w:val="28"/>
          <w:szCs w:val="28"/>
        </w:rPr>
        <w:t>display of the old flag</w:t>
      </w:r>
      <w:r w:rsidR="002A22C3">
        <w:rPr>
          <w:rFonts w:cs="Times New Roman"/>
          <w:sz w:val="28"/>
          <w:szCs w:val="28"/>
        </w:rPr>
        <w:t xml:space="preserve"> (</w:t>
      </w:r>
      <w:r>
        <w:rPr>
          <w:rFonts w:cs="Times New Roman"/>
          <w:sz w:val="28"/>
          <w:szCs w:val="28"/>
        </w:rPr>
        <w:t>introduced on 31 May 1928 and used throughout apartheid</w:t>
      </w:r>
      <w:r w:rsidR="002A22C3">
        <w:rPr>
          <w:rFonts w:cs="Times New Roman"/>
          <w:sz w:val="28"/>
          <w:szCs w:val="28"/>
        </w:rPr>
        <w:t xml:space="preserve"> until it was abolished on 27 April 1994)</w:t>
      </w:r>
      <w:r w:rsidR="00A92EF5">
        <w:rPr>
          <w:rFonts w:cs="Times New Roman"/>
          <w:sz w:val="28"/>
          <w:szCs w:val="28"/>
        </w:rPr>
        <w:t xml:space="preserve"> </w:t>
      </w:r>
      <w:r w:rsidR="002A22C3">
        <w:rPr>
          <w:rFonts w:cs="Times New Roman"/>
          <w:sz w:val="28"/>
          <w:szCs w:val="28"/>
        </w:rPr>
        <w:t>at the Black Monday protests, constituted</w:t>
      </w:r>
      <w:r w:rsidR="00A92EF5">
        <w:rPr>
          <w:rFonts w:cs="Times New Roman"/>
          <w:sz w:val="28"/>
          <w:szCs w:val="28"/>
        </w:rPr>
        <w:t xml:space="preserve"> hate speech, unfair discrimination and </w:t>
      </w:r>
      <w:r w:rsidR="001B4D8F">
        <w:rPr>
          <w:rFonts w:cs="Times New Roman"/>
          <w:sz w:val="28"/>
          <w:szCs w:val="28"/>
        </w:rPr>
        <w:t>harassment.</w:t>
      </w:r>
      <w:r w:rsidR="00942BB9">
        <w:rPr>
          <w:rFonts w:cs="Times New Roman"/>
          <w:b/>
          <w:sz w:val="28"/>
          <w:szCs w:val="28"/>
        </w:rPr>
        <w:t xml:space="preserve"> </w:t>
      </w:r>
      <w:r w:rsidR="00676C57" w:rsidRPr="00942BB9">
        <w:rPr>
          <w:rFonts w:cs="Times New Roman"/>
          <w:sz w:val="28"/>
          <w:szCs w:val="28"/>
        </w:rPr>
        <w:t xml:space="preserve">The </w:t>
      </w:r>
      <w:r w:rsidR="00B62D6A" w:rsidRPr="00942BB9">
        <w:rPr>
          <w:rFonts w:cs="Times New Roman"/>
          <w:sz w:val="28"/>
          <w:szCs w:val="28"/>
        </w:rPr>
        <w:t xml:space="preserve">high court </w:t>
      </w:r>
      <w:r w:rsidR="00676C57" w:rsidRPr="00942BB9">
        <w:rPr>
          <w:rFonts w:cs="Times New Roman"/>
          <w:sz w:val="28"/>
          <w:szCs w:val="28"/>
        </w:rPr>
        <w:t xml:space="preserve">then </w:t>
      </w:r>
      <w:r w:rsidR="00B62D6A" w:rsidRPr="00942BB9">
        <w:rPr>
          <w:rFonts w:cs="Times New Roman"/>
          <w:sz w:val="28"/>
          <w:szCs w:val="28"/>
        </w:rPr>
        <w:t>issued a declaratory order in terms of s 21(2)</w:t>
      </w:r>
      <w:r w:rsidR="00232323" w:rsidRPr="00942BB9">
        <w:rPr>
          <w:rFonts w:cs="Times New Roman"/>
          <w:sz w:val="28"/>
          <w:szCs w:val="28"/>
        </w:rPr>
        <w:t xml:space="preserve">, that </w:t>
      </w:r>
      <w:r w:rsidR="00B62D6A" w:rsidRPr="00942BB9">
        <w:rPr>
          <w:rFonts w:cs="Times New Roman"/>
          <w:sz w:val="28"/>
          <w:szCs w:val="28"/>
        </w:rPr>
        <w:t xml:space="preserve">subject to the proviso in s 12 of </w:t>
      </w:r>
      <w:r w:rsidR="00232323" w:rsidRPr="00942BB9">
        <w:rPr>
          <w:rFonts w:cs="Times New Roman"/>
          <w:sz w:val="28"/>
          <w:szCs w:val="28"/>
        </w:rPr>
        <w:t xml:space="preserve">the Equality </w:t>
      </w:r>
      <w:r w:rsidR="00B62D6A" w:rsidRPr="00942BB9">
        <w:rPr>
          <w:rFonts w:cs="Times New Roman"/>
          <w:sz w:val="28"/>
          <w:szCs w:val="28"/>
        </w:rPr>
        <w:t xml:space="preserve">Act, any display of the old flag constitutes hate speech </w:t>
      </w:r>
      <w:r w:rsidR="002A22C3" w:rsidRPr="00942BB9">
        <w:rPr>
          <w:rFonts w:cs="Times New Roman"/>
          <w:sz w:val="28"/>
          <w:szCs w:val="28"/>
        </w:rPr>
        <w:t>within the meaning of s 10(1)</w:t>
      </w:r>
      <w:r w:rsidR="00B62D6A" w:rsidRPr="00942BB9">
        <w:rPr>
          <w:rFonts w:cs="Times New Roman"/>
          <w:sz w:val="28"/>
          <w:szCs w:val="28"/>
        </w:rPr>
        <w:t xml:space="preserve">; </w:t>
      </w:r>
      <w:r w:rsidR="002A22C3" w:rsidRPr="00942BB9">
        <w:rPr>
          <w:rFonts w:cs="Times New Roman"/>
          <w:sz w:val="28"/>
          <w:szCs w:val="28"/>
        </w:rPr>
        <w:t>unfair discrimination on the basis of race in terms of s 7</w:t>
      </w:r>
      <w:r w:rsidR="00B62D6A" w:rsidRPr="00942BB9">
        <w:rPr>
          <w:rFonts w:cs="Times New Roman"/>
          <w:sz w:val="28"/>
          <w:szCs w:val="28"/>
        </w:rPr>
        <w:t xml:space="preserve">; and </w:t>
      </w:r>
      <w:r w:rsidR="002A22C3" w:rsidRPr="00942BB9">
        <w:rPr>
          <w:rFonts w:cs="Times New Roman"/>
          <w:sz w:val="28"/>
          <w:szCs w:val="28"/>
        </w:rPr>
        <w:t>harassment in terms of s</w:t>
      </w:r>
      <w:r w:rsidR="00232323" w:rsidRPr="00942BB9">
        <w:rPr>
          <w:rFonts w:cs="Times New Roman"/>
          <w:sz w:val="28"/>
          <w:szCs w:val="28"/>
        </w:rPr>
        <w:t xml:space="preserve"> 11 of that </w:t>
      </w:r>
      <w:r w:rsidR="002A22C3" w:rsidRPr="00942BB9">
        <w:rPr>
          <w:rFonts w:cs="Times New Roman"/>
          <w:sz w:val="28"/>
          <w:szCs w:val="28"/>
        </w:rPr>
        <w:t>Act.</w:t>
      </w:r>
    </w:p>
    <w:p w14:paraId="5215D183" w14:textId="77777777" w:rsidR="001F135C" w:rsidRPr="000317A5" w:rsidRDefault="001F135C" w:rsidP="001F135C">
      <w:pPr>
        <w:pStyle w:val="ListParagraph"/>
        <w:spacing w:after="0" w:line="360" w:lineRule="auto"/>
        <w:ind w:left="0"/>
        <w:jc w:val="both"/>
        <w:rPr>
          <w:rFonts w:cs="Times New Roman"/>
          <w:b/>
          <w:sz w:val="28"/>
          <w:szCs w:val="28"/>
        </w:rPr>
      </w:pPr>
    </w:p>
    <w:p w14:paraId="2A13673B" w14:textId="380F3594" w:rsidR="00A92EF5" w:rsidRPr="00621EE5" w:rsidRDefault="001F135C" w:rsidP="00172C78">
      <w:pPr>
        <w:pStyle w:val="ListParagraph"/>
        <w:numPr>
          <w:ilvl w:val="0"/>
          <w:numId w:val="19"/>
        </w:numPr>
        <w:spacing w:after="0" w:line="360" w:lineRule="auto"/>
        <w:ind w:left="0" w:firstLine="0"/>
        <w:jc w:val="both"/>
        <w:rPr>
          <w:rFonts w:cs="Times New Roman"/>
          <w:b/>
          <w:sz w:val="28"/>
          <w:szCs w:val="28"/>
        </w:rPr>
      </w:pPr>
      <w:r w:rsidRPr="00DE15DA">
        <w:rPr>
          <w:rFonts w:cs="Times New Roman"/>
          <w:sz w:val="28"/>
          <w:szCs w:val="28"/>
        </w:rPr>
        <w:t>Afriforum cha</w:t>
      </w:r>
      <w:r w:rsidR="00232323" w:rsidRPr="00DE15DA">
        <w:rPr>
          <w:rFonts w:cs="Times New Roman"/>
          <w:sz w:val="28"/>
          <w:szCs w:val="28"/>
        </w:rPr>
        <w:t>llenged the high court’s order</w:t>
      </w:r>
      <w:r w:rsidR="00516603">
        <w:rPr>
          <w:rFonts w:cs="Times New Roman"/>
          <w:sz w:val="28"/>
          <w:szCs w:val="28"/>
        </w:rPr>
        <w:t>, mainly</w:t>
      </w:r>
      <w:r w:rsidR="00232323" w:rsidRPr="00DE15DA">
        <w:rPr>
          <w:rFonts w:cs="Times New Roman"/>
          <w:sz w:val="28"/>
          <w:szCs w:val="28"/>
        </w:rPr>
        <w:t xml:space="preserve"> on the following grounds. </w:t>
      </w:r>
      <w:r w:rsidR="001005C6" w:rsidRPr="00DE15DA">
        <w:rPr>
          <w:rFonts w:cs="Times New Roman"/>
          <w:sz w:val="28"/>
          <w:szCs w:val="28"/>
        </w:rPr>
        <w:t xml:space="preserve">The court did not have the power to grant the relief sought. The matter was not ripe for hearing. Public displays of the old flag are protected under the rights to freedom of expression, dignity and </w:t>
      </w:r>
      <w:r w:rsidR="00621EE5">
        <w:rPr>
          <w:rFonts w:cs="Times New Roman"/>
          <w:sz w:val="28"/>
          <w:szCs w:val="28"/>
        </w:rPr>
        <w:t xml:space="preserve">freedom of </w:t>
      </w:r>
      <w:r w:rsidR="001005C6" w:rsidRPr="00DE15DA">
        <w:rPr>
          <w:rFonts w:cs="Times New Roman"/>
          <w:sz w:val="28"/>
          <w:szCs w:val="28"/>
        </w:rPr>
        <w:t>assembly; and do not constitute hate speech, unfair discrimination or harassment as envisaged in the Equality Act.</w:t>
      </w:r>
      <w:r w:rsidR="00DE15DA" w:rsidRPr="00DE15DA">
        <w:rPr>
          <w:rFonts w:cs="Times New Roman"/>
          <w:sz w:val="28"/>
          <w:szCs w:val="28"/>
        </w:rPr>
        <w:t xml:space="preserve"> Private displays of the flag are protected by the right to privacy.</w:t>
      </w:r>
    </w:p>
    <w:p w14:paraId="5ED622FD" w14:textId="77777777" w:rsidR="002C46B3" w:rsidRPr="00B25D7F" w:rsidRDefault="00621EE5" w:rsidP="00172C78">
      <w:pPr>
        <w:pStyle w:val="ListParagraph"/>
        <w:numPr>
          <w:ilvl w:val="0"/>
          <w:numId w:val="19"/>
        </w:numPr>
        <w:spacing w:after="0" w:line="360" w:lineRule="auto"/>
        <w:ind w:left="0" w:firstLine="0"/>
        <w:jc w:val="both"/>
        <w:rPr>
          <w:rFonts w:cs="Times New Roman"/>
          <w:sz w:val="28"/>
          <w:szCs w:val="28"/>
        </w:rPr>
      </w:pPr>
      <w:r w:rsidRPr="00621EE5">
        <w:rPr>
          <w:rFonts w:cs="Times New Roman"/>
          <w:sz w:val="28"/>
          <w:szCs w:val="28"/>
        </w:rPr>
        <w:lastRenderedPageBreak/>
        <w:t>At the outset it</w:t>
      </w:r>
      <w:r>
        <w:rPr>
          <w:rFonts w:cs="Times New Roman"/>
          <w:sz w:val="28"/>
          <w:szCs w:val="28"/>
        </w:rPr>
        <w:t xml:space="preserve"> is convenient to deal with </w:t>
      </w:r>
      <w:r w:rsidR="00992758">
        <w:rPr>
          <w:rFonts w:cs="Times New Roman"/>
          <w:sz w:val="28"/>
          <w:szCs w:val="28"/>
        </w:rPr>
        <w:t xml:space="preserve">the </w:t>
      </w:r>
      <w:r w:rsidRPr="00621EE5">
        <w:rPr>
          <w:rFonts w:cs="Times New Roman"/>
          <w:sz w:val="28"/>
          <w:szCs w:val="28"/>
        </w:rPr>
        <w:t>argument</w:t>
      </w:r>
      <w:r>
        <w:rPr>
          <w:rFonts w:cs="Times New Roman"/>
          <w:sz w:val="28"/>
          <w:szCs w:val="28"/>
        </w:rPr>
        <w:t xml:space="preserve"> that the high court’s order infringes the rights to dignity</w:t>
      </w:r>
      <w:r w:rsidR="002C46B3">
        <w:rPr>
          <w:rStyle w:val="FootnoteReference"/>
          <w:rFonts w:cs="Times New Roman"/>
          <w:sz w:val="28"/>
          <w:szCs w:val="28"/>
        </w:rPr>
        <w:footnoteReference w:id="8"/>
      </w:r>
      <w:r>
        <w:rPr>
          <w:rFonts w:cs="Times New Roman"/>
          <w:sz w:val="28"/>
          <w:szCs w:val="28"/>
        </w:rPr>
        <w:t xml:space="preserve"> and freedom of </w:t>
      </w:r>
      <w:r w:rsidRPr="00B25D7F">
        <w:rPr>
          <w:rFonts w:cs="Times New Roman"/>
          <w:sz w:val="28"/>
          <w:szCs w:val="28"/>
        </w:rPr>
        <w:t>assembly</w:t>
      </w:r>
      <w:r w:rsidR="002C46B3" w:rsidRPr="00B25D7F">
        <w:rPr>
          <w:rStyle w:val="FootnoteReference"/>
          <w:rFonts w:cs="Times New Roman"/>
          <w:sz w:val="28"/>
          <w:szCs w:val="28"/>
        </w:rPr>
        <w:footnoteReference w:id="9"/>
      </w:r>
      <w:r w:rsidRPr="00B25D7F">
        <w:rPr>
          <w:rFonts w:cs="Times New Roman"/>
          <w:sz w:val="28"/>
          <w:szCs w:val="28"/>
        </w:rPr>
        <w:t xml:space="preserve"> </w:t>
      </w:r>
      <w:r w:rsidR="003B492F" w:rsidRPr="00B25D7F">
        <w:rPr>
          <w:rFonts w:cs="Times New Roman"/>
          <w:sz w:val="28"/>
          <w:szCs w:val="28"/>
        </w:rPr>
        <w:t xml:space="preserve">of those who publicly display the old flag. </w:t>
      </w:r>
      <w:r w:rsidRPr="00B25D7F">
        <w:rPr>
          <w:rFonts w:cs="Times New Roman"/>
          <w:sz w:val="28"/>
          <w:szCs w:val="28"/>
        </w:rPr>
        <w:t>Save fo</w:t>
      </w:r>
      <w:r w:rsidR="002C46B3" w:rsidRPr="00B25D7F">
        <w:rPr>
          <w:rFonts w:cs="Times New Roman"/>
          <w:sz w:val="28"/>
          <w:szCs w:val="28"/>
        </w:rPr>
        <w:t>r quoting various excerpts from decisions of the Constitutional Court and other courts</w:t>
      </w:r>
      <w:r w:rsidR="00992758" w:rsidRPr="00B25D7F">
        <w:rPr>
          <w:rFonts w:cs="Times New Roman"/>
          <w:sz w:val="28"/>
          <w:szCs w:val="28"/>
        </w:rPr>
        <w:t>, Afriforum failed to make out a case in its answering pape</w:t>
      </w:r>
      <w:r w:rsidR="006F2D80" w:rsidRPr="00B25D7F">
        <w:rPr>
          <w:rFonts w:cs="Times New Roman"/>
          <w:sz w:val="28"/>
          <w:szCs w:val="28"/>
        </w:rPr>
        <w:t xml:space="preserve">rs, or </w:t>
      </w:r>
      <w:r w:rsidR="00516603" w:rsidRPr="00B25D7F">
        <w:rPr>
          <w:rFonts w:cs="Times New Roman"/>
          <w:sz w:val="28"/>
          <w:szCs w:val="28"/>
        </w:rPr>
        <w:t xml:space="preserve">to </w:t>
      </w:r>
      <w:r w:rsidR="0068307A" w:rsidRPr="00B25D7F">
        <w:rPr>
          <w:rFonts w:cs="Times New Roman"/>
          <w:sz w:val="28"/>
          <w:szCs w:val="28"/>
        </w:rPr>
        <w:t xml:space="preserve">demonstrate in its written or oral submissions </w:t>
      </w:r>
      <w:r w:rsidR="00992758" w:rsidRPr="00B25D7F">
        <w:rPr>
          <w:rFonts w:cs="Times New Roman"/>
          <w:sz w:val="28"/>
          <w:szCs w:val="28"/>
        </w:rPr>
        <w:t xml:space="preserve">why </w:t>
      </w:r>
      <w:r w:rsidR="003B492F" w:rsidRPr="00B25D7F">
        <w:rPr>
          <w:rFonts w:cs="Times New Roman"/>
          <w:sz w:val="28"/>
          <w:szCs w:val="28"/>
        </w:rPr>
        <w:t xml:space="preserve">a </w:t>
      </w:r>
      <w:r w:rsidR="00992758" w:rsidRPr="00B25D7F">
        <w:rPr>
          <w:rFonts w:cs="Times New Roman"/>
          <w:sz w:val="28"/>
          <w:szCs w:val="28"/>
        </w:rPr>
        <w:t>prohibition of gratuitous display</w:t>
      </w:r>
      <w:r w:rsidR="0068307A" w:rsidRPr="00B25D7F">
        <w:rPr>
          <w:rFonts w:cs="Times New Roman"/>
          <w:sz w:val="28"/>
          <w:szCs w:val="28"/>
        </w:rPr>
        <w:t>s</w:t>
      </w:r>
      <w:r w:rsidR="00992758" w:rsidRPr="00B25D7F">
        <w:rPr>
          <w:rFonts w:cs="Times New Roman"/>
          <w:sz w:val="28"/>
          <w:szCs w:val="28"/>
        </w:rPr>
        <w:t xml:space="preserve"> of the old flag violates these rights. </w:t>
      </w:r>
    </w:p>
    <w:p w14:paraId="58093281" w14:textId="77777777" w:rsidR="00F358B3" w:rsidRDefault="00F358B3" w:rsidP="00F358B3">
      <w:pPr>
        <w:pStyle w:val="ListParagraph"/>
        <w:spacing w:after="0" w:line="360" w:lineRule="auto"/>
        <w:ind w:left="0"/>
        <w:jc w:val="both"/>
        <w:rPr>
          <w:rFonts w:cs="Times New Roman"/>
          <w:sz w:val="28"/>
          <w:szCs w:val="28"/>
        </w:rPr>
      </w:pPr>
    </w:p>
    <w:p w14:paraId="73E35C99" w14:textId="582E24B5" w:rsidR="00C41042" w:rsidRPr="00621EE5" w:rsidRDefault="002C46B3" w:rsidP="00172C7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Afriforum </w:t>
      </w:r>
      <w:r w:rsidR="00F358B3">
        <w:rPr>
          <w:rFonts w:cs="Times New Roman"/>
          <w:sz w:val="28"/>
          <w:szCs w:val="28"/>
        </w:rPr>
        <w:t xml:space="preserve">did not explain how the display of the old flag implicates or infringes the right to dignity of the persons displaying it. This, especially when the founding affidavit made it clear that gratuitous displays of the old flag ‘do nothing to advance social justice, national unity and human dignity’; and that </w:t>
      </w:r>
      <w:r w:rsidR="004D392F">
        <w:rPr>
          <w:rFonts w:cs="Times New Roman"/>
          <w:sz w:val="28"/>
          <w:szCs w:val="28"/>
        </w:rPr>
        <w:t>such displays we</w:t>
      </w:r>
      <w:r w:rsidR="00516603">
        <w:rPr>
          <w:rFonts w:cs="Times New Roman"/>
          <w:sz w:val="28"/>
          <w:szCs w:val="28"/>
        </w:rPr>
        <w:t>re egregious examples of conduct</w:t>
      </w:r>
      <w:r w:rsidR="0036611A">
        <w:rPr>
          <w:rFonts w:cs="Times New Roman"/>
          <w:sz w:val="28"/>
          <w:szCs w:val="28"/>
        </w:rPr>
        <w:t xml:space="preserve"> that undermined</w:t>
      </w:r>
      <w:r w:rsidR="00766F08">
        <w:rPr>
          <w:rFonts w:cs="Times New Roman"/>
          <w:sz w:val="28"/>
          <w:szCs w:val="28"/>
        </w:rPr>
        <w:t xml:space="preserve"> equality and human dignity. Neither did Afriforum assert that it is impossible for, or an impediment to, its followers and others to assemble, demonstrate, picket or petition, without displaying the old flag. This is simply because the rights to dignity and freedom </w:t>
      </w:r>
      <w:r w:rsidR="0087172B">
        <w:rPr>
          <w:rFonts w:cs="Times New Roman"/>
          <w:sz w:val="28"/>
          <w:szCs w:val="28"/>
        </w:rPr>
        <w:t xml:space="preserve">of </w:t>
      </w:r>
      <w:r w:rsidR="00766F08">
        <w:rPr>
          <w:rFonts w:cs="Times New Roman"/>
          <w:sz w:val="28"/>
          <w:szCs w:val="28"/>
        </w:rPr>
        <w:t>assembly of persons who gratuitously display</w:t>
      </w:r>
      <w:r w:rsidR="003B492F">
        <w:rPr>
          <w:rFonts w:cs="Times New Roman"/>
          <w:sz w:val="28"/>
          <w:szCs w:val="28"/>
        </w:rPr>
        <w:t xml:space="preserve"> the old flag, are not implicated at all. </w:t>
      </w:r>
      <w:r w:rsidR="00766F08">
        <w:rPr>
          <w:rFonts w:cs="Times New Roman"/>
          <w:sz w:val="28"/>
          <w:szCs w:val="28"/>
        </w:rPr>
        <w:t xml:space="preserve">  </w:t>
      </w:r>
      <w:r w:rsidR="00F358B3">
        <w:rPr>
          <w:rFonts w:cs="Times New Roman"/>
          <w:sz w:val="28"/>
          <w:szCs w:val="28"/>
        </w:rPr>
        <w:t xml:space="preserve">  </w:t>
      </w:r>
    </w:p>
    <w:p w14:paraId="74643C56" w14:textId="77777777" w:rsidR="00457E91" w:rsidRDefault="00457E91" w:rsidP="008E5EF3">
      <w:pPr>
        <w:pStyle w:val="ListParagraph"/>
        <w:spacing w:after="0" w:line="360" w:lineRule="auto"/>
        <w:ind w:left="0"/>
        <w:jc w:val="both"/>
        <w:rPr>
          <w:rFonts w:cs="Times New Roman"/>
          <w:b/>
          <w:sz w:val="28"/>
          <w:szCs w:val="28"/>
        </w:rPr>
      </w:pPr>
    </w:p>
    <w:p w14:paraId="446B98AB" w14:textId="77777777" w:rsidR="00BF13D0" w:rsidRPr="00BF13D0" w:rsidRDefault="00D33743" w:rsidP="00BF13D0">
      <w:pPr>
        <w:pStyle w:val="ListParagraph"/>
        <w:spacing w:after="0" w:line="360" w:lineRule="auto"/>
        <w:ind w:left="0"/>
        <w:jc w:val="both"/>
        <w:rPr>
          <w:rFonts w:cs="Times New Roman"/>
          <w:b/>
          <w:sz w:val="28"/>
          <w:szCs w:val="28"/>
        </w:rPr>
      </w:pPr>
      <w:r>
        <w:rPr>
          <w:rFonts w:cs="Times New Roman"/>
          <w:b/>
          <w:sz w:val="28"/>
          <w:szCs w:val="28"/>
        </w:rPr>
        <w:t xml:space="preserve">The </w:t>
      </w:r>
      <w:r w:rsidR="00BF13D0" w:rsidRPr="00BF13D0">
        <w:rPr>
          <w:rFonts w:cs="Times New Roman"/>
          <w:b/>
          <w:sz w:val="28"/>
          <w:szCs w:val="28"/>
        </w:rPr>
        <w:t>procedural defences</w:t>
      </w:r>
    </w:p>
    <w:p w14:paraId="6ECCA179" w14:textId="19DE5236" w:rsidR="00E749EE" w:rsidRPr="00E749EE" w:rsidRDefault="00E749EE" w:rsidP="0011245C">
      <w:pPr>
        <w:pStyle w:val="ListParagraph"/>
        <w:numPr>
          <w:ilvl w:val="0"/>
          <w:numId w:val="19"/>
        </w:numPr>
        <w:spacing w:after="0" w:line="360" w:lineRule="auto"/>
        <w:ind w:left="0" w:firstLine="0"/>
        <w:jc w:val="both"/>
        <w:rPr>
          <w:rFonts w:cs="Times New Roman"/>
          <w:b/>
          <w:sz w:val="28"/>
          <w:szCs w:val="28"/>
        </w:rPr>
      </w:pPr>
      <w:r>
        <w:rPr>
          <w:rFonts w:cs="Times New Roman"/>
          <w:sz w:val="28"/>
          <w:szCs w:val="28"/>
        </w:rPr>
        <w:t xml:space="preserve">Afriforum argued </w:t>
      </w:r>
      <w:r w:rsidR="00D33743">
        <w:rPr>
          <w:rFonts w:cs="Times New Roman"/>
          <w:sz w:val="28"/>
          <w:szCs w:val="28"/>
        </w:rPr>
        <w:t xml:space="preserve">that </w:t>
      </w:r>
      <w:r w:rsidR="0095573D">
        <w:rPr>
          <w:rFonts w:cs="Times New Roman"/>
          <w:sz w:val="28"/>
          <w:szCs w:val="28"/>
        </w:rPr>
        <w:t>an equality c</w:t>
      </w:r>
      <w:r w:rsidR="003731FE">
        <w:rPr>
          <w:rFonts w:cs="Times New Roman"/>
          <w:sz w:val="28"/>
          <w:szCs w:val="28"/>
        </w:rPr>
        <w:t xml:space="preserve">ourt is a creature of statute and </w:t>
      </w:r>
      <w:r w:rsidR="00475169">
        <w:rPr>
          <w:rFonts w:cs="Times New Roman"/>
          <w:sz w:val="28"/>
          <w:szCs w:val="28"/>
        </w:rPr>
        <w:t xml:space="preserve">has no </w:t>
      </w:r>
      <w:r w:rsidR="003731FE">
        <w:rPr>
          <w:rFonts w:cs="Times New Roman"/>
          <w:sz w:val="28"/>
          <w:szCs w:val="28"/>
        </w:rPr>
        <w:t xml:space="preserve">power to grant relief in respect of ‘prospective conduct that has not yet taken place’. </w:t>
      </w:r>
      <w:r w:rsidR="002E527B">
        <w:rPr>
          <w:rFonts w:cs="Times New Roman"/>
          <w:sz w:val="28"/>
          <w:szCs w:val="28"/>
        </w:rPr>
        <w:t>The case brought by the NMF</w:t>
      </w:r>
      <w:r>
        <w:rPr>
          <w:rFonts w:cs="Times New Roman"/>
          <w:sz w:val="28"/>
          <w:szCs w:val="28"/>
        </w:rPr>
        <w:t xml:space="preserve">, so it was argued, </w:t>
      </w:r>
      <w:r w:rsidR="00014A0D">
        <w:rPr>
          <w:rFonts w:cs="Times New Roman"/>
          <w:sz w:val="28"/>
          <w:szCs w:val="28"/>
        </w:rPr>
        <w:t xml:space="preserve">was not directed at the </w:t>
      </w:r>
      <w:r w:rsidR="002E527B">
        <w:rPr>
          <w:rFonts w:cs="Times New Roman"/>
          <w:sz w:val="28"/>
          <w:szCs w:val="28"/>
        </w:rPr>
        <w:t>displays of the old flag at the Black Monday protests</w:t>
      </w:r>
      <w:r w:rsidR="004C76A5">
        <w:rPr>
          <w:rFonts w:cs="Times New Roman"/>
          <w:sz w:val="28"/>
          <w:szCs w:val="28"/>
        </w:rPr>
        <w:t xml:space="preserve"> and those who displayed it</w:t>
      </w:r>
      <w:r w:rsidR="002E527B">
        <w:rPr>
          <w:rFonts w:cs="Times New Roman"/>
          <w:sz w:val="28"/>
          <w:szCs w:val="28"/>
        </w:rPr>
        <w:t xml:space="preserve">, but at future displays of the flag. </w:t>
      </w:r>
    </w:p>
    <w:p w14:paraId="3B5B987E" w14:textId="77777777" w:rsidR="00E749EE" w:rsidRPr="00E749EE" w:rsidRDefault="00E749EE" w:rsidP="00E749EE">
      <w:pPr>
        <w:pStyle w:val="ListParagraph"/>
        <w:spacing w:after="0" w:line="360" w:lineRule="auto"/>
        <w:ind w:left="0"/>
        <w:jc w:val="both"/>
        <w:rPr>
          <w:rFonts w:cs="Times New Roman"/>
          <w:b/>
          <w:sz w:val="28"/>
          <w:szCs w:val="28"/>
        </w:rPr>
      </w:pPr>
    </w:p>
    <w:p w14:paraId="43F5E53A" w14:textId="77777777" w:rsidR="005E2E96" w:rsidRPr="005E2E96" w:rsidRDefault="006171F6" w:rsidP="00E749EE">
      <w:pPr>
        <w:pStyle w:val="ListParagraph"/>
        <w:numPr>
          <w:ilvl w:val="0"/>
          <w:numId w:val="19"/>
        </w:numPr>
        <w:spacing w:after="0" w:line="360" w:lineRule="auto"/>
        <w:ind w:left="0" w:firstLine="0"/>
        <w:jc w:val="both"/>
        <w:rPr>
          <w:rFonts w:cs="Times New Roman"/>
          <w:b/>
          <w:sz w:val="28"/>
          <w:szCs w:val="28"/>
        </w:rPr>
      </w:pPr>
      <w:r>
        <w:rPr>
          <w:rFonts w:cs="Times New Roman"/>
          <w:sz w:val="28"/>
          <w:szCs w:val="28"/>
        </w:rPr>
        <w:lastRenderedPageBreak/>
        <w:t xml:space="preserve">Afriforum </w:t>
      </w:r>
      <w:r w:rsidR="00E749EE">
        <w:rPr>
          <w:rFonts w:cs="Times New Roman"/>
          <w:sz w:val="28"/>
          <w:szCs w:val="28"/>
        </w:rPr>
        <w:t xml:space="preserve">however </w:t>
      </w:r>
      <w:r w:rsidR="005E2E96">
        <w:rPr>
          <w:rFonts w:cs="Times New Roman"/>
          <w:sz w:val="28"/>
          <w:szCs w:val="28"/>
        </w:rPr>
        <w:t>disregards</w:t>
      </w:r>
      <w:r w:rsidR="00C35B16">
        <w:rPr>
          <w:rFonts w:cs="Times New Roman"/>
          <w:sz w:val="28"/>
          <w:szCs w:val="28"/>
        </w:rPr>
        <w:t xml:space="preserve"> </w:t>
      </w:r>
      <w:r w:rsidR="00B862BA">
        <w:rPr>
          <w:rFonts w:cs="Times New Roman"/>
          <w:sz w:val="28"/>
          <w:szCs w:val="28"/>
        </w:rPr>
        <w:t xml:space="preserve">the role of the Equality Court in facilitating access to justice for the victims of hate speech, </w:t>
      </w:r>
      <w:r w:rsidR="00B862BA" w:rsidRPr="009150EC">
        <w:rPr>
          <w:rFonts w:cs="Times New Roman"/>
          <w:sz w:val="28"/>
          <w:szCs w:val="28"/>
        </w:rPr>
        <w:t>unfair discrimination and harassment.</w:t>
      </w:r>
      <w:r w:rsidR="00B862BA">
        <w:rPr>
          <w:rFonts w:cs="Times New Roman"/>
          <w:sz w:val="28"/>
          <w:szCs w:val="28"/>
        </w:rPr>
        <w:t xml:space="preserve"> </w:t>
      </w:r>
      <w:r w:rsidR="005E2E96">
        <w:rPr>
          <w:rFonts w:cs="Times New Roman"/>
          <w:sz w:val="28"/>
          <w:szCs w:val="28"/>
        </w:rPr>
        <w:t xml:space="preserve">As Navsa JA </w:t>
      </w:r>
      <w:r w:rsidR="0050427F">
        <w:rPr>
          <w:rFonts w:cs="Times New Roman"/>
          <w:sz w:val="28"/>
          <w:szCs w:val="28"/>
        </w:rPr>
        <w:t>said</w:t>
      </w:r>
      <w:r w:rsidR="005E2E96">
        <w:rPr>
          <w:rFonts w:cs="Times New Roman"/>
          <w:sz w:val="28"/>
          <w:szCs w:val="28"/>
        </w:rPr>
        <w:t xml:space="preserve"> in </w:t>
      </w:r>
      <w:r w:rsidR="005E2E96" w:rsidRPr="005E2E96">
        <w:rPr>
          <w:rFonts w:cs="Times New Roman"/>
          <w:i/>
          <w:sz w:val="28"/>
          <w:szCs w:val="28"/>
        </w:rPr>
        <w:t>Manong</w:t>
      </w:r>
      <w:r w:rsidR="005E2E96">
        <w:rPr>
          <w:rFonts w:cs="Times New Roman"/>
          <w:sz w:val="28"/>
          <w:szCs w:val="28"/>
        </w:rPr>
        <w:t>:</w:t>
      </w:r>
      <w:r w:rsidR="005E2E96">
        <w:rPr>
          <w:rStyle w:val="FootnoteReference"/>
          <w:rFonts w:cs="Times New Roman"/>
          <w:sz w:val="28"/>
          <w:szCs w:val="28"/>
        </w:rPr>
        <w:footnoteReference w:id="10"/>
      </w:r>
    </w:p>
    <w:p w14:paraId="4B67B88A" w14:textId="1E5BAFE6" w:rsidR="005E2E96" w:rsidRPr="005E2E96" w:rsidRDefault="005E2E96" w:rsidP="005E2E96">
      <w:pPr>
        <w:pStyle w:val="ListParagraph"/>
        <w:spacing w:after="0" w:line="360" w:lineRule="auto"/>
        <w:ind w:left="0"/>
        <w:jc w:val="both"/>
        <w:rPr>
          <w:rFonts w:cs="Times New Roman"/>
          <w:sz w:val="28"/>
          <w:szCs w:val="28"/>
        </w:rPr>
      </w:pPr>
      <w:r w:rsidRPr="005E2E96">
        <w:rPr>
          <w:rFonts w:cs="Times New Roman"/>
          <w:sz w:val="24"/>
          <w:szCs w:val="24"/>
        </w:rPr>
        <w:t xml:space="preserve">‘It </w:t>
      </w:r>
      <w:r>
        <w:rPr>
          <w:sz w:val="24"/>
          <w:szCs w:val="24"/>
        </w:rPr>
        <w:t>is abundantly clear that the E</w:t>
      </w:r>
      <w:r w:rsidRPr="005E2E96">
        <w:rPr>
          <w:sz w:val="24"/>
          <w:szCs w:val="24"/>
        </w:rPr>
        <w:t xml:space="preserve">quality Court was established </w:t>
      </w:r>
      <w:r w:rsidR="00C06A00">
        <w:rPr>
          <w:sz w:val="24"/>
          <w:szCs w:val="24"/>
        </w:rPr>
        <w:t xml:space="preserve">in </w:t>
      </w:r>
      <w:r w:rsidRPr="005E2E96">
        <w:rPr>
          <w:sz w:val="24"/>
          <w:szCs w:val="24"/>
        </w:rPr>
        <w:t>order to provide easy access to justice and to enable even the most disadvantaged individuals or communities to walk off the street, as it were,</w:t>
      </w:r>
      <w:r>
        <w:rPr>
          <w:sz w:val="24"/>
          <w:szCs w:val="24"/>
        </w:rPr>
        <w:t xml:space="preserve"> into the portals of the E</w:t>
      </w:r>
      <w:r w:rsidRPr="005E2E96">
        <w:rPr>
          <w:sz w:val="24"/>
          <w:szCs w:val="24"/>
        </w:rPr>
        <w:t>quality Court to seek speedy redress against unfair discrimination, through less formal procedures.</w:t>
      </w:r>
      <w:r>
        <w:rPr>
          <w:sz w:val="24"/>
          <w:szCs w:val="24"/>
        </w:rPr>
        <w:t>’</w:t>
      </w:r>
    </w:p>
    <w:p w14:paraId="651F5122" w14:textId="77777777" w:rsidR="005E2E96" w:rsidRPr="005E2E96" w:rsidRDefault="005E2E96" w:rsidP="005E2E96">
      <w:pPr>
        <w:pStyle w:val="ListParagraph"/>
        <w:spacing w:after="0" w:line="360" w:lineRule="auto"/>
        <w:ind w:left="0"/>
        <w:jc w:val="both"/>
        <w:rPr>
          <w:rFonts w:cs="Times New Roman"/>
          <w:b/>
          <w:sz w:val="28"/>
          <w:szCs w:val="28"/>
        </w:rPr>
      </w:pPr>
    </w:p>
    <w:p w14:paraId="7D787EBB" w14:textId="209750D0" w:rsidR="001530C0" w:rsidRPr="00E749EE" w:rsidRDefault="005E2E96" w:rsidP="00E749EE">
      <w:pPr>
        <w:pStyle w:val="ListParagraph"/>
        <w:numPr>
          <w:ilvl w:val="0"/>
          <w:numId w:val="19"/>
        </w:numPr>
        <w:spacing w:after="0" w:line="360" w:lineRule="auto"/>
        <w:ind w:left="0" w:firstLine="0"/>
        <w:jc w:val="both"/>
        <w:rPr>
          <w:rFonts w:cs="Times New Roman"/>
          <w:b/>
          <w:sz w:val="28"/>
          <w:szCs w:val="28"/>
        </w:rPr>
      </w:pPr>
      <w:r>
        <w:rPr>
          <w:rFonts w:cs="Times New Roman"/>
          <w:sz w:val="28"/>
          <w:szCs w:val="28"/>
        </w:rPr>
        <w:t xml:space="preserve">But fundamentally, Afriforum ignores </w:t>
      </w:r>
      <w:r w:rsidR="00C35B16">
        <w:rPr>
          <w:rFonts w:cs="Times New Roman"/>
          <w:sz w:val="28"/>
          <w:szCs w:val="28"/>
        </w:rPr>
        <w:t xml:space="preserve">the broad </w:t>
      </w:r>
      <w:r w:rsidR="00E861F1">
        <w:rPr>
          <w:rFonts w:cs="Times New Roman"/>
          <w:sz w:val="28"/>
          <w:szCs w:val="28"/>
        </w:rPr>
        <w:t xml:space="preserve">powers </w:t>
      </w:r>
      <w:r w:rsidR="00C35B16">
        <w:rPr>
          <w:rFonts w:cs="Times New Roman"/>
          <w:sz w:val="28"/>
          <w:szCs w:val="28"/>
        </w:rPr>
        <w:t xml:space="preserve">conferred on </w:t>
      </w:r>
      <w:r w:rsidR="00B862BA">
        <w:rPr>
          <w:rFonts w:cs="Times New Roman"/>
          <w:sz w:val="28"/>
          <w:szCs w:val="28"/>
        </w:rPr>
        <w:t xml:space="preserve">the </w:t>
      </w:r>
      <w:r w:rsidR="00C31DBA">
        <w:rPr>
          <w:rFonts w:cs="Times New Roman"/>
          <w:sz w:val="28"/>
          <w:szCs w:val="28"/>
        </w:rPr>
        <w:t>court</w:t>
      </w:r>
      <w:r w:rsidR="001F1B6F">
        <w:rPr>
          <w:rFonts w:cs="Times New Roman"/>
          <w:sz w:val="28"/>
          <w:szCs w:val="28"/>
        </w:rPr>
        <w:t xml:space="preserve"> by the Equality Act</w:t>
      </w:r>
      <w:r w:rsidR="00B862BA">
        <w:rPr>
          <w:rFonts w:cs="Times New Roman"/>
          <w:sz w:val="28"/>
          <w:szCs w:val="28"/>
        </w:rPr>
        <w:t>.</w:t>
      </w:r>
      <w:r w:rsidR="000413F6">
        <w:rPr>
          <w:rFonts w:cs="Times New Roman"/>
          <w:sz w:val="28"/>
          <w:szCs w:val="28"/>
        </w:rPr>
        <w:t xml:space="preserve"> </w:t>
      </w:r>
      <w:r w:rsidR="0092725A" w:rsidRPr="00E749EE">
        <w:rPr>
          <w:rFonts w:cs="Times New Roman"/>
          <w:sz w:val="28"/>
          <w:szCs w:val="28"/>
        </w:rPr>
        <w:t>The powers and functions of the Equality Court are set out in s</w:t>
      </w:r>
      <w:r w:rsidR="005C4F42">
        <w:rPr>
          <w:rFonts w:cs="Times New Roman"/>
          <w:sz w:val="28"/>
          <w:szCs w:val="28"/>
        </w:rPr>
        <w:t xml:space="preserve"> </w:t>
      </w:r>
      <w:r w:rsidR="0092725A" w:rsidRPr="00E749EE">
        <w:rPr>
          <w:rFonts w:cs="Times New Roman"/>
          <w:sz w:val="28"/>
          <w:szCs w:val="28"/>
        </w:rPr>
        <w:t xml:space="preserve">21 of </w:t>
      </w:r>
      <w:r w:rsidR="00B113D1" w:rsidRPr="00E749EE">
        <w:rPr>
          <w:rFonts w:cs="Times New Roman"/>
          <w:sz w:val="28"/>
          <w:szCs w:val="28"/>
        </w:rPr>
        <w:t>the Equality Act</w:t>
      </w:r>
      <w:r w:rsidR="0092725A" w:rsidRPr="00E749EE">
        <w:rPr>
          <w:rFonts w:cs="Times New Roman"/>
          <w:sz w:val="28"/>
          <w:szCs w:val="28"/>
        </w:rPr>
        <w:t xml:space="preserve">. </w:t>
      </w:r>
      <w:r w:rsidR="000308E3" w:rsidRPr="00E749EE">
        <w:rPr>
          <w:rFonts w:cs="Times New Roman"/>
          <w:sz w:val="28"/>
          <w:szCs w:val="28"/>
        </w:rPr>
        <w:t xml:space="preserve">Section </w:t>
      </w:r>
      <w:r w:rsidR="00CE019E" w:rsidRPr="00E749EE">
        <w:rPr>
          <w:sz w:val="28"/>
          <w:szCs w:val="28"/>
        </w:rPr>
        <w:t>21</w:t>
      </w:r>
      <w:r w:rsidR="001530C0" w:rsidRPr="00E749EE">
        <w:rPr>
          <w:sz w:val="28"/>
          <w:szCs w:val="28"/>
        </w:rPr>
        <w:t>(2)</w:t>
      </w:r>
      <w:r w:rsidR="000308E3" w:rsidRPr="00E749EE">
        <w:rPr>
          <w:sz w:val="28"/>
          <w:szCs w:val="28"/>
        </w:rPr>
        <w:t xml:space="preserve"> provides that after holding an </w:t>
      </w:r>
      <w:r w:rsidR="00C06A00">
        <w:rPr>
          <w:sz w:val="28"/>
          <w:szCs w:val="28"/>
        </w:rPr>
        <w:t>i</w:t>
      </w:r>
      <w:r w:rsidR="000308E3" w:rsidRPr="00E749EE">
        <w:rPr>
          <w:sz w:val="28"/>
          <w:szCs w:val="28"/>
        </w:rPr>
        <w:t>nquiry</w:t>
      </w:r>
      <w:r w:rsidR="001530C0" w:rsidRPr="00E749EE">
        <w:rPr>
          <w:sz w:val="28"/>
          <w:szCs w:val="28"/>
        </w:rPr>
        <w:t xml:space="preserve">, </w:t>
      </w:r>
      <w:r w:rsidR="000308E3" w:rsidRPr="00E749EE">
        <w:rPr>
          <w:sz w:val="28"/>
          <w:szCs w:val="28"/>
        </w:rPr>
        <w:t>‘</w:t>
      </w:r>
      <w:r w:rsidR="001530C0" w:rsidRPr="00E749EE">
        <w:rPr>
          <w:sz w:val="28"/>
          <w:szCs w:val="28"/>
        </w:rPr>
        <w:t xml:space="preserve">the </w:t>
      </w:r>
      <w:r w:rsidR="000308E3" w:rsidRPr="00E749EE">
        <w:rPr>
          <w:sz w:val="28"/>
          <w:szCs w:val="28"/>
        </w:rPr>
        <w:t>c</w:t>
      </w:r>
      <w:r w:rsidR="001530C0" w:rsidRPr="00E749EE">
        <w:rPr>
          <w:sz w:val="28"/>
          <w:szCs w:val="28"/>
        </w:rPr>
        <w:t>ourt may make an appropriate order</w:t>
      </w:r>
      <w:r w:rsidR="00CE019E" w:rsidRPr="00E749EE">
        <w:rPr>
          <w:sz w:val="28"/>
          <w:szCs w:val="28"/>
        </w:rPr>
        <w:t xml:space="preserve"> in the circumstances’</w:t>
      </w:r>
      <w:r w:rsidR="000308E3" w:rsidRPr="00E749EE">
        <w:rPr>
          <w:sz w:val="28"/>
          <w:szCs w:val="28"/>
        </w:rPr>
        <w:t xml:space="preserve">, including a declaratory order. This is hardly surprising. In </w:t>
      </w:r>
      <w:r w:rsidR="000308E3" w:rsidRPr="00E749EE">
        <w:rPr>
          <w:i/>
          <w:sz w:val="28"/>
          <w:szCs w:val="28"/>
        </w:rPr>
        <w:t>Rail Commuters Action Group</w:t>
      </w:r>
      <w:r w:rsidR="000308E3" w:rsidRPr="00E749EE">
        <w:rPr>
          <w:sz w:val="28"/>
          <w:szCs w:val="28"/>
        </w:rPr>
        <w:t>,</w:t>
      </w:r>
      <w:r w:rsidR="000308E3">
        <w:rPr>
          <w:rStyle w:val="FootnoteReference"/>
          <w:sz w:val="28"/>
          <w:szCs w:val="28"/>
        </w:rPr>
        <w:footnoteReference w:id="11"/>
      </w:r>
      <w:r w:rsidR="000308E3" w:rsidRPr="00E749EE">
        <w:rPr>
          <w:sz w:val="28"/>
          <w:szCs w:val="28"/>
        </w:rPr>
        <w:t xml:space="preserve"> the Constitutional Court </w:t>
      </w:r>
      <w:r w:rsidR="00AD1794" w:rsidRPr="00E749EE">
        <w:rPr>
          <w:sz w:val="28"/>
          <w:szCs w:val="28"/>
        </w:rPr>
        <w:t xml:space="preserve">stated that </w:t>
      </w:r>
      <w:r w:rsidR="00014A0D" w:rsidRPr="00E749EE">
        <w:rPr>
          <w:sz w:val="28"/>
          <w:szCs w:val="28"/>
        </w:rPr>
        <w:t>‘</w:t>
      </w:r>
      <w:r w:rsidR="00AD1794" w:rsidRPr="00E749EE">
        <w:rPr>
          <w:sz w:val="28"/>
          <w:szCs w:val="28"/>
        </w:rPr>
        <w:t xml:space="preserve">a declaratory order is a flexible </w:t>
      </w:r>
      <w:r w:rsidR="005F6AE6" w:rsidRPr="00E749EE">
        <w:rPr>
          <w:sz w:val="28"/>
          <w:szCs w:val="28"/>
        </w:rPr>
        <w:t xml:space="preserve">remedy </w:t>
      </w:r>
      <w:r w:rsidR="00C06A00">
        <w:rPr>
          <w:sz w:val="28"/>
          <w:szCs w:val="28"/>
        </w:rPr>
        <w:t>which</w:t>
      </w:r>
      <w:r w:rsidR="005F6AE6" w:rsidRPr="00E749EE">
        <w:rPr>
          <w:sz w:val="28"/>
          <w:szCs w:val="28"/>
        </w:rPr>
        <w:t xml:space="preserve"> </w:t>
      </w:r>
      <w:r w:rsidR="00014A0D" w:rsidRPr="00E749EE">
        <w:rPr>
          <w:sz w:val="28"/>
          <w:szCs w:val="28"/>
        </w:rPr>
        <w:t xml:space="preserve">can </w:t>
      </w:r>
      <w:r w:rsidR="00AD1794" w:rsidRPr="00E749EE">
        <w:rPr>
          <w:sz w:val="28"/>
          <w:szCs w:val="28"/>
        </w:rPr>
        <w:t xml:space="preserve">assist in clarifying legal and constitutional obligations in a manner that promotes the protection and enforcement of </w:t>
      </w:r>
      <w:r w:rsidR="00014A0D" w:rsidRPr="00E749EE">
        <w:rPr>
          <w:sz w:val="28"/>
          <w:szCs w:val="28"/>
        </w:rPr>
        <w:t>the Constitution and its values’</w:t>
      </w:r>
      <w:r w:rsidR="00AD1794" w:rsidRPr="00E749EE">
        <w:rPr>
          <w:sz w:val="28"/>
          <w:szCs w:val="28"/>
        </w:rPr>
        <w:t xml:space="preserve">. </w:t>
      </w:r>
      <w:r w:rsidR="001530C0" w:rsidRPr="00E749EE">
        <w:rPr>
          <w:sz w:val="28"/>
          <w:szCs w:val="28"/>
        </w:rPr>
        <w:t>In addition</w:t>
      </w:r>
      <w:r w:rsidR="006019E6" w:rsidRPr="00E749EE">
        <w:rPr>
          <w:sz w:val="28"/>
          <w:szCs w:val="28"/>
        </w:rPr>
        <w:t>,</w:t>
      </w:r>
      <w:r w:rsidR="001530C0" w:rsidRPr="00E749EE">
        <w:rPr>
          <w:sz w:val="28"/>
          <w:szCs w:val="28"/>
        </w:rPr>
        <w:t xml:space="preserve"> s</w:t>
      </w:r>
      <w:r w:rsidR="001F1B6F" w:rsidRPr="00E749EE">
        <w:rPr>
          <w:sz w:val="28"/>
          <w:szCs w:val="28"/>
        </w:rPr>
        <w:t xml:space="preserve"> </w:t>
      </w:r>
      <w:r w:rsidR="002456A7" w:rsidRPr="00E749EE">
        <w:rPr>
          <w:sz w:val="28"/>
          <w:szCs w:val="28"/>
        </w:rPr>
        <w:t xml:space="preserve">21(5) </w:t>
      </w:r>
      <w:r w:rsidR="001F1B6F" w:rsidRPr="00E749EE">
        <w:rPr>
          <w:sz w:val="28"/>
          <w:szCs w:val="28"/>
        </w:rPr>
        <w:t xml:space="preserve">of the Equality Act </w:t>
      </w:r>
      <w:r w:rsidR="002456A7" w:rsidRPr="00E749EE">
        <w:rPr>
          <w:sz w:val="28"/>
          <w:szCs w:val="28"/>
        </w:rPr>
        <w:t>emphasises that the C</w:t>
      </w:r>
      <w:r w:rsidR="001530C0" w:rsidRPr="00E749EE">
        <w:rPr>
          <w:sz w:val="28"/>
          <w:szCs w:val="28"/>
        </w:rPr>
        <w:t xml:space="preserve">ourt </w:t>
      </w:r>
      <w:r w:rsidR="00CE019E" w:rsidRPr="00E749EE">
        <w:rPr>
          <w:sz w:val="28"/>
          <w:szCs w:val="28"/>
        </w:rPr>
        <w:t>‘</w:t>
      </w:r>
      <w:r w:rsidR="001530C0" w:rsidRPr="00E749EE">
        <w:rPr>
          <w:sz w:val="28"/>
          <w:szCs w:val="28"/>
        </w:rPr>
        <w:t>has all ancillary powers necessary or reasonably incidental to the performance of its functions and the exercise of its powers, including the power to grant int</w:t>
      </w:r>
      <w:r w:rsidR="00CE019E" w:rsidRPr="00E749EE">
        <w:rPr>
          <w:sz w:val="28"/>
          <w:szCs w:val="28"/>
        </w:rPr>
        <w:t>erlocutory orders or interdicts’</w:t>
      </w:r>
      <w:r w:rsidR="001530C0" w:rsidRPr="00E749EE">
        <w:rPr>
          <w:sz w:val="28"/>
          <w:szCs w:val="28"/>
        </w:rPr>
        <w:t>.</w:t>
      </w:r>
    </w:p>
    <w:p w14:paraId="12A2D608" w14:textId="77777777" w:rsidR="000136AB" w:rsidRPr="009150EC" w:rsidRDefault="000136AB" w:rsidP="000136AB">
      <w:pPr>
        <w:pStyle w:val="ListParagraph"/>
        <w:spacing w:after="0" w:line="360" w:lineRule="auto"/>
        <w:ind w:left="0"/>
        <w:jc w:val="both"/>
        <w:rPr>
          <w:rFonts w:cs="Times New Roman"/>
          <w:b/>
          <w:sz w:val="28"/>
          <w:szCs w:val="28"/>
        </w:rPr>
      </w:pPr>
    </w:p>
    <w:p w14:paraId="0BF99B65" w14:textId="3DA596C3" w:rsidR="0058020B" w:rsidRPr="004A55E4" w:rsidRDefault="004C76A5" w:rsidP="0058020B">
      <w:pPr>
        <w:pStyle w:val="ListParagraph"/>
        <w:numPr>
          <w:ilvl w:val="0"/>
          <w:numId w:val="19"/>
        </w:numPr>
        <w:spacing w:after="0" w:line="360" w:lineRule="auto"/>
        <w:ind w:left="0" w:firstLine="0"/>
        <w:jc w:val="both"/>
        <w:rPr>
          <w:sz w:val="28"/>
          <w:szCs w:val="28"/>
        </w:rPr>
      </w:pPr>
      <w:r>
        <w:rPr>
          <w:sz w:val="28"/>
          <w:szCs w:val="28"/>
        </w:rPr>
        <w:t>I</w:t>
      </w:r>
      <w:r w:rsidR="001530C0" w:rsidRPr="004A55E4">
        <w:rPr>
          <w:sz w:val="28"/>
          <w:szCs w:val="28"/>
        </w:rPr>
        <w:t xml:space="preserve">n </w:t>
      </w:r>
      <w:r w:rsidR="00FB78CF">
        <w:rPr>
          <w:i/>
          <w:sz w:val="28"/>
          <w:szCs w:val="28"/>
        </w:rPr>
        <w:t>Minister of Environmental Affairs and Tourism</w:t>
      </w:r>
      <w:r w:rsidR="00087718">
        <w:rPr>
          <w:i/>
          <w:sz w:val="28"/>
          <w:szCs w:val="28"/>
        </w:rPr>
        <w:t xml:space="preserve"> v George</w:t>
      </w:r>
      <w:r>
        <w:rPr>
          <w:sz w:val="28"/>
          <w:szCs w:val="28"/>
        </w:rPr>
        <w:t>,</w:t>
      </w:r>
      <w:r w:rsidR="006C413B" w:rsidRPr="004A55E4">
        <w:rPr>
          <w:sz w:val="28"/>
          <w:szCs w:val="28"/>
          <w:vertAlign w:val="superscript"/>
        </w:rPr>
        <w:footnoteReference w:id="12"/>
      </w:r>
      <w:r w:rsidR="00D25315" w:rsidRPr="004A55E4">
        <w:rPr>
          <w:sz w:val="28"/>
          <w:szCs w:val="28"/>
        </w:rPr>
        <w:t xml:space="preserve"> </w:t>
      </w:r>
      <w:r>
        <w:rPr>
          <w:sz w:val="28"/>
          <w:szCs w:val="28"/>
        </w:rPr>
        <w:t xml:space="preserve">this Court </w:t>
      </w:r>
      <w:r w:rsidR="00F0776D" w:rsidRPr="004A55E4">
        <w:rPr>
          <w:sz w:val="28"/>
          <w:szCs w:val="28"/>
        </w:rPr>
        <w:t xml:space="preserve">considered the nature of </w:t>
      </w:r>
      <w:r w:rsidR="00E34F18" w:rsidRPr="004A55E4">
        <w:rPr>
          <w:sz w:val="28"/>
          <w:szCs w:val="28"/>
        </w:rPr>
        <w:t>an e</w:t>
      </w:r>
      <w:r w:rsidR="00F0776D" w:rsidRPr="004A55E4">
        <w:rPr>
          <w:sz w:val="28"/>
          <w:szCs w:val="28"/>
        </w:rPr>
        <w:t xml:space="preserve">quality </w:t>
      </w:r>
      <w:r w:rsidR="00E34F18" w:rsidRPr="004A55E4">
        <w:rPr>
          <w:sz w:val="28"/>
          <w:szCs w:val="28"/>
        </w:rPr>
        <w:t>c</w:t>
      </w:r>
      <w:r w:rsidR="004D2147" w:rsidRPr="004A55E4">
        <w:rPr>
          <w:sz w:val="28"/>
          <w:szCs w:val="28"/>
        </w:rPr>
        <w:t xml:space="preserve">ourt relative to </w:t>
      </w:r>
      <w:r w:rsidR="00E34F18" w:rsidRPr="004A55E4">
        <w:rPr>
          <w:sz w:val="28"/>
          <w:szCs w:val="28"/>
        </w:rPr>
        <w:t xml:space="preserve">a high court. </w:t>
      </w:r>
      <w:r w:rsidR="00E34F18" w:rsidRPr="00470E4F">
        <w:rPr>
          <w:sz w:val="28"/>
          <w:szCs w:val="28"/>
        </w:rPr>
        <w:t xml:space="preserve">It held </w:t>
      </w:r>
      <w:r w:rsidR="00D25315" w:rsidRPr="00470E4F">
        <w:rPr>
          <w:sz w:val="28"/>
          <w:szCs w:val="28"/>
        </w:rPr>
        <w:t xml:space="preserve">that </w:t>
      </w:r>
      <w:r w:rsidR="00B113D1" w:rsidRPr="00470E4F">
        <w:rPr>
          <w:sz w:val="28"/>
          <w:szCs w:val="28"/>
        </w:rPr>
        <w:t>the Equality Act</w:t>
      </w:r>
      <w:r w:rsidR="00D25315" w:rsidRPr="00470E4F">
        <w:rPr>
          <w:sz w:val="28"/>
          <w:szCs w:val="28"/>
        </w:rPr>
        <w:t xml:space="preserve"> ‘vests equality c</w:t>
      </w:r>
      <w:r w:rsidR="001530C0" w:rsidRPr="00470E4F">
        <w:rPr>
          <w:sz w:val="28"/>
          <w:szCs w:val="28"/>
        </w:rPr>
        <w:t>ourts with extensive procedural and remedial powers in complaints</w:t>
      </w:r>
      <w:r w:rsidR="008C2C00" w:rsidRPr="00470E4F">
        <w:rPr>
          <w:sz w:val="28"/>
          <w:szCs w:val="28"/>
        </w:rPr>
        <w:t xml:space="preserve"> of unfair discrimination</w:t>
      </w:r>
      <w:r w:rsidR="003F2774">
        <w:rPr>
          <w:sz w:val="28"/>
          <w:szCs w:val="28"/>
        </w:rPr>
        <w:t>’</w:t>
      </w:r>
      <w:r w:rsidR="00612680">
        <w:rPr>
          <w:sz w:val="28"/>
          <w:szCs w:val="28"/>
        </w:rPr>
        <w:t>,</w:t>
      </w:r>
      <w:r w:rsidR="008C2C00" w:rsidRPr="00470E4F">
        <w:rPr>
          <w:sz w:val="28"/>
          <w:szCs w:val="28"/>
        </w:rPr>
        <w:t xml:space="preserve"> </w:t>
      </w:r>
      <w:r w:rsidR="003F2774">
        <w:rPr>
          <w:sz w:val="28"/>
          <w:szCs w:val="28"/>
        </w:rPr>
        <w:t xml:space="preserve">and </w:t>
      </w:r>
      <w:r w:rsidR="00E34F18" w:rsidRPr="00470E4F">
        <w:rPr>
          <w:sz w:val="28"/>
          <w:szCs w:val="28"/>
        </w:rPr>
        <w:t xml:space="preserve">that </w:t>
      </w:r>
      <w:r w:rsidR="003F2774">
        <w:rPr>
          <w:sz w:val="28"/>
          <w:szCs w:val="28"/>
        </w:rPr>
        <w:t>‘</w:t>
      </w:r>
      <w:r w:rsidR="005D693A">
        <w:rPr>
          <w:sz w:val="28"/>
          <w:szCs w:val="28"/>
        </w:rPr>
        <w:t xml:space="preserve">the </w:t>
      </w:r>
      <w:r w:rsidR="00612680">
        <w:rPr>
          <w:sz w:val="28"/>
          <w:szCs w:val="28"/>
        </w:rPr>
        <w:t>e</w:t>
      </w:r>
      <w:r w:rsidR="005D693A">
        <w:rPr>
          <w:sz w:val="28"/>
          <w:szCs w:val="28"/>
        </w:rPr>
        <w:t xml:space="preserve">quality </w:t>
      </w:r>
      <w:r w:rsidR="00612680">
        <w:rPr>
          <w:sz w:val="28"/>
          <w:szCs w:val="28"/>
        </w:rPr>
        <w:t>c</w:t>
      </w:r>
      <w:r w:rsidR="001530C0" w:rsidRPr="00470E4F">
        <w:rPr>
          <w:sz w:val="28"/>
          <w:szCs w:val="28"/>
        </w:rPr>
        <w:t xml:space="preserve">ourt is not a wholly novel </w:t>
      </w:r>
      <w:r w:rsidR="002A446C" w:rsidRPr="00470E4F">
        <w:rPr>
          <w:sz w:val="28"/>
          <w:szCs w:val="28"/>
        </w:rPr>
        <w:t xml:space="preserve">structure, but </w:t>
      </w:r>
      <w:r w:rsidR="00612680">
        <w:rPr>
          <w:sz w:val="28"/>
          <w:szCs w:val="28"/>
        </w:rPr>
        <w:t xml:space="preserve">is </w:t>
      </w:r>
      <w:r w:rsidR="002A446C" w:rsidRPr="00470E4F">
        <w:rPr>
          <w:sz w:val="28"/>
          <w:szCs w:val="28"/>
        </w:rPr>
        <w:t xml:space="preserve">a </w:t>
      </w:r>
      <w:r w:rsidR="00612680">
        <w:rPr>
          <w:sz w:val="28"/>
          <w:szCs w:val="28"/>
        </w:rPr>
        <w:t>H</w:t>
      </w:r>
      <w:r w:rsidR="002A446C" w:rsidRPr="00470E4F">
        <w:rPr>
          <w:sz w:val="28"/>
          <w:szCs w:val="28"/>
        </w:rPr>
        <w:t xml:space="preserve">igh </w:t>
      </w:r>
      <w:r w:rsidR="00612680">
        <w:rPr>
          <w:sz w:val="28"/>
          <w:szCs w:val="28"/>
        </w:rPr>
        <w:t>C</w:t>
      </w:r>
      <w:r w:rsidR="001530C0" w:rsidRPr="00470E4F">
        <w:rPr>
          <w:sz w:val="28"/>
          <w:szCs w:val="28"/>
        </w:rPr>
        <w:t>ourt or a des</w:t>
      </w:r>
      <w:r w:rsidR="008C2C00" w:rsidRPr="00470E4F">
        <w:rPr>
          <w:sz w:val="28"/>
          <w:szCs w:val="28"/>
        </w:rPr>
        <w:t>ignated magistrates</w:t>
      </w:r>
      <w:r w:rsidR="00470E4F">
        <w:rPr>
          <w:sz w:val="28"/>
          <w:szCs w:val="28"/>
        </w:rPr>
        <w:t xml:space="preserve">’ </w:t>
      </w:r>
      <w:r w:rsidR="008C2C00" w:rsidRPr="00470E4F">
        <w:rPr>
          <w:sz w:val="28"/>
          <w:szCs w:val="28"/>
        </w:rPr>
        <w:t>court</w:t>
      </w:r>
      <w:r w:rsidR="003F2774">
        <w:rPr>
          <w:sz w:val="28"/>
          <w:szCs w:val="28"/>
        </w:rPr>
        <w:t>’</w:t>
      </w:r>
      <w:r w:rsidR="00612680">
        <w:rPr>
          <w:sz w:val="28"/>
          <w:szCs w:val="28"/>
        </w:rPr>
        <w:t>.</w:t>
      </w:r>
      <w:r w:rsidR="008C2C00" w:rsidRPr="00470E4F">
        <w:rPr>
          <w:sz w:val="28"/>
          <w:szCs w:val="28"/>
        </w:rPr>
        <w:t xml:space="preserve"> </w:t>
      </w:r>
      <w:r w:rsidR="00612680">
        <w:rPr>
          <w:sz w:val="28"/>
          <w:szCs w:val="28"/>
        </w:rPr>
        <w:t>A</w:t>
      </w:r>
      <w:r w:rsidR="001530C0" w:rsidRPr="00470E4F">
        <w:rPr>
          <w:sz w:val="28"/>
          <w:szCs w:val="28"/>
        </w:rPr>
        <w:t xml:space="preserve">part from the </w:t>
      </w:r>
      <w:r w:rsidR="008C2C00" w:rsidRPr="00470E4F">
        <w:rPr>
          <w:sz w:val="28"/>
          <w:szCs w:val="28"/>
        </w:rPr>
        <w:t xml:space="preserve">specific powers which </w:t>
      </w:r>
      <w:r w:rsidR="00B113D1" w:rsidRPr="00470E4F">
        <w:rPr>
          <w:sz w:val="28"/>
          <w:szCs w:val="28"/>
        </w:rPr>
        <w:t>the Equality Act</w:t>
      </w:r>
      <w:r w:rsidR="001530C0" w:rsidRPr="00470E4F">
        <w:rPr>
          <w:sz w:val="28"/>
          <w:szCs w:val="28"/>
        </w:rPr>
        <w:t xml:space="preserve"> confers, the only </w:t>
      </w:r>
      <w:r w:rsidR="001530C0" w:rsidRPr="00470E4F">
        <w:rPr>
          <w:sz w:val="28"/>
          <w:szCs w:val="28"/>
        </w:rPr>
        <w:lastRenderedPageBreak/>
        <w:t xml:space="preserve">distinction </w:t>
      </w:r>
      <w:r w:rsidR="00885A3A" w:rsidRPr="00470E4F">
        <w:rPr>
          <w:sz w:val="28"/>
          <w:szCs w:val="28"/>
        </w:rPr>
        <w:t xml:space="preserve">between </w:t>
      </w:r>
      <w:r w:rsidR="002A446C" w:rsidRPr="00470E4F">
        <w:rPr>
          <w:sz w:val="28"/>
          <w:szCs w:val="28"/>
        </w:rPr>
        <w:t>a high c</w:t>
      </w:r>
      <w:r w:rsidR="001530C0" w:rsidRPr="00470E4F">
        <w:rPr>
          <w:sz w:val="28"/>
          <w:szCs w:val="28"/>
        </w:rPr>
        <w:t xml:space="preserve">ourt </w:t>
      </w:r>
      <w:r w:rsidR="002A446C" w:rsidRPr="00470E4F">
        <w:rPr>
          <w:sz w:val="28"/>
          <w:szCs w:val="28"/>
        </w:rPr>
        <w:t xml:space="preserve">and </w:t>
      </w:r>
      <w:r w:rsidR="00ED6805" w:rsidRPr="00470E4F">
        <w:rPr>
          <w:sz w:val="28"/>
          <w:szCs w:val="28"/>
        </w:rPr>
        <w:t xml:space="preserve">an </w:t>
      </w:r>
      <w:r w:rsidR="002A446C" w:rsidRPr="00470E4F">
        <w:rPr>
          <w:sz w:val="28"/>
          <w:szCs w:val="28"/>
        </w:rPr>
        <w:t>equality c</w:t>
      </w:r>
      <w:r w:rsidR="00885A3A" w:rsidRPr="00470E4F">
        <w:rPr>
          <w:sz w:val="28"/>
          <w:szCs w:val="28"/>
        </w:rPr>
        <w:t xml:space="preserve">ourt </w:t>
      </w:r>
      <w:r w:rsidR="001530C0" w:rsidRPr="00470E4F">
        <w:rPr>
          <w:sz w:val="28"/>
          <w:szCs w:val="28"/>
        </w:rPr>
        <w:t xml:space="preserve">is that the presiding Judges or magistrates must </w:t>
      </w:r>
      <w:r w:rsidR="001530C0" w:rsidRPr="004A55E4">
        <w:rPr>
          <w:sz w:val="28"/>
          <w:szCs w:val="28"/>
        </w:rPr>
        <w:t xml:space="preserve">have </w:t>
      </w:r>
      <w:r w:rsidR="001530C0" w:rsidRPr="00C2758C">
        <w:rPr>
          <w:sz w:val="28"/>
          <w:szCs w:val="28"/>
        </w:rPr>
        <w:t xml:space="preserve">undergone </w:t>
      </w:r>
      <w:r w:rsidR="00C2758C">
        <w:rPr>
          <w:sz w:val="28"/>
          <w:szCs w:val="28"/>
        </w:rPr>
        <w:t>‘social context training’</w:t>
      </w:r>
      <w:r w:rsidR="001530C0" w:rsidRPr="004A55E4">
        <w:rPr>
          <w:sz w:val="28"/>
          <w:szCs w:val="28"/>
        </w:rPr>
        <w:t>.</w:t>
      </w:r>
      <w:r w:rsidR="0067476F" w:rsidRPr="004A55E4">
        <w:rPr>
          <w:sz w:val="28"/>
          <w:szCs w:val="28"/>
        </w:rPr>
        <w:t xml:space="preserve"> </w:t>
      </w:r>
    </w:p>
    <w:p w14:paraId="01CB24CC" w14:textId="77777777" w:rsidR="0058020B" w:rsidRPr="009150EC" w:rsidRDefault="0058020B" w:rsidP="0058020B">
      <w:pPr>
        <w:pStyle w:val="ListParagraph"/>
        <w:spacing w:after="0" w:line="360" w:lineRule="auto"/>
        <w:ind w:left="0"/>
        <w:jc w:val="both"/>
        <w:rPr>
          <w:rFonts w:cs="Times New Roman"/>
          <w:b/>
          <w:sz w:val="28"/>
          <w:szCs w:val="28"/>
        </w:rPr>
      </w:pPr>
    </w:p>
    <w:p w14:paraId="694F54F0" w14:textId="77777777" w:rsidR="0058020B" w:rsidRPr="005258C6" w:rsidRDefault="00DB11DD" w:rsidP="0058020B">
      <w:pPr>
        <w:pStyle w:val="ListParagraph"/>
        <w:numPr>
          <w:ilvl w:val="0"/>
          <w:numId w:val="19"/>
        </w:numPr>
        <w:spacing w:after="0" w:line="360" w:lineRule="auto"/>
        <w:ind w:left="0" w:firstLine="0"/>
        <w:jc w:val="both"/>
        <w:rPr>
          <w:rFonts w:cs="Times New Roman"/>
          <w:b/>
          <w:sz w:val="28"/>
          <w:szCs w:val="28"/>
        </w:rPr>
      </w:pPr>
      <w:r w:rsidRPr="00DB11DD">
        <w:rPr>
          <w:sz w:val="28"/>
          <w:szCs w:val="28"/>
        </w:rPr>
        <w:t>The</w:t>
      </w:r>
      <w:r>
        <w:rPr>
          <w:rFonts w:eastAsia="Times New Roman" w:cs="Times New Roman"/>
          <w:color w:val="000000"/>
          <w:w w:val="114"/>
          <w:sz w:val="28"/>
          <w:szCs w:val="28"/>
          <w:lang w:val="en-CA" w:eastAsia="en-CA"/>
        </w:rPr>
        <w:t xml:space="preserve"> </w:t>
      </w:r>
      <w:r w:rsidR="005C1EE0">
        <w:rPr>
          <w:sz w:val="28"/>
          <w:szCs w:val="28"/>
        </w:rPr>
        <w:t>Equality C</w:t>
      </w:r>
      <w:r w:rsidR="0058020B" w:rsidRPr="00DB11DD">
        <w:rPr>
          <w:sz w:val="28"/>
          <w:szCs w:val="28"/>
        </w:rPr>
        <w:t>ourt is a specialised court with expedited r</w:t>
      </w:r>
      <w:r w:rsidR="00AB143D" w:rsidRPr="00DB11DD">
        <w:rPr>
          <w:sz w:val="28"/>
          <w:szCs w:val="28"/>
        </w:rPr>
        <w:t>ules and</w:t>
      </w:r>
      <w:r w:rsidR="00AB143D" w:rsidRPr="009150EC">
        <w:rPr>
          <w:rFonts w:eastAsia="Times New Roman" w:cs="Times New Roman"/>
          <w:color w:val="000000"/>
          <w:w w:val="114"/>
          <w:sz w:val="28"/>
          <w:szCs w:val="28"/>
          <w:lang w:val="en-CA" w:eastAsia="en-CA"/>
        </w:rPr>
        <w:t xml:space="preserve"> </w:t>
      </w:r>
      <w:r w:rsidR="00AB143D" w:rsidRPr="002E194C">
        <w:rPr>
          <w:sz w:val="28"/>
          <w:szCs w:val="28"/>
        </w:rPr>
        <w:t>an informal procedure. I</w:t>
      </w:r>
      <w:r w:rsidR="0058020B" w:rsidRPr="002E194C">
        <w:rPr>
          <w:sz w:val="28"/>
          <w:szCs w:val="28"/>
        </w:rPr>
        <w:t>t applies different evidential thresholds to that of a high court.</w:t>
      </w:r>
      <w:r w:rsidR="0058020B" w:rsidRPr="005258C6">
        <w:rPr>
          <w:sz w:val="28"/>
          <w:szCs w:val="28"/>
          <w:vertAlign w:val="superscript"/>
        </w:rPr>
        <w:footnoteReference w:id="13"/>
      </w:r>
      <w:r w:rsidR="0058020B" w:rsidRPr="002E194C">
        <w:rPr>
          <w:sz w:val="28"/>
          <w:szCs w:val="28"/>
        </w:rPr>
        <w:t xml:space="preserve"> The object of </w:t>
      </w:r>
      <w:r w:rsidR="00B113D1" w:rsidRPr="002E194C">
        <w:rPr>
          <w:sz w:val="28"/>
          <w:szCs w:val="28"/>
        </w:rPr>
        <w:t>the Equality Act</w:t>
      </w:r>
      <w:r w:rsidR="00B862BA">
        <w:rPr>
          <w:sz w:val="28"/>
          <w:szCs w:val="28"/>
        </w:rPr>
        <w:t xml:space="preserve"> is to make the Equality C</w:t>
      </w:r>
      <w:r w:rsidR="0058020B" w:rsidRPr="002E194C">
        <w:rPr>
          <w:sz w:val="28"/>
          <w:szCs w:val="28"/>
        </w:rPr>
        <w:t>ourt as accessible as possible. The formal, adversarial court processes of other courts, which are often costly and potentially intimidating, have no place in the Equality Court</w:t>
      </w:r>
      <w:r w:rsidR="005258C6">
        <w:rPr>
          <w:sz w:val="28"/>
          <w:szCs w:val="28"/>
        </w:rPr>
        <w:t>.</w:t>
      </w:r>
      <w:r w:rsidR="0058020B" w:rsidRPr="005258C6">
        <w:rPr>
          <w:sz w:val="28"/>
          <w:szCs w:val="28"/>
          <w:vertAlign w:val="superscript"/>
        </w:rPr>
        <w:footnoteReference w:id="14"/>
      </w:r>
      <w:r w:rsidR="0058020B" w:rsidRPr="002E194C">
        <w:rPr>
          <w:sz w:val="28"/>
          <w:szCs w:val="28"/>
        </w:rPr>
        <w:t xml:space="preserve"> Proceedings may be instituted by any person acting in their own interest or any person acting on behalf of another who cannot act in their own name.</w:t>
      </w:r>
      <w:r w:rsidR="0058020B" w:rsidRPr="002E194C">
        <w:rPr>
          <w:sz w:val="28"/>
          <w:szCs w:val="28"/>
          <w:vertAlign w:val="superscript"/>
        </w:rPr>
        <w:footnoteReference w:id="15"/>
      </w:r>
      <w:r w:rsidR="0058020B" w:rsidRPr="002E194C">
        <w:rPr>
          <w:vertAlign w:val="superscript"/>
        </w:rPr>
        <w:t xml:space="preserve"> </w:t>
      </w:r>
      <w:r w:rsidR="0058020B" w:rsidRPr="002E194C">
        <w:rPr>
          <w:sz w:val="28"/>
          <w:szCs w:val="28"/>
        </w:rPr>
        <w:t xml:space="preserve">The Regulations made under </w:t>
      </w:r>
      <w:r w:rsidR="00B113D1" w:rsidRPr="002E194C">
        <w:rPr>
          <w:sz w:val="28"/>
          <w:szCs w:val="28"/>
        </w:rPr>
        <w:t>the Equality Act</w:t>
      </w:r>
      <w:r w:rsidR="0058020B" w:rsidRPr="002E194C">
        <w:rPr>
          <w:sz w:val="28"/>
          <w:szCs w:val="28"/>
        </w:rPr>
        <w:t xml:space="preserve"> prescribe the procedures to </w:t>
      </w:r>
      <w:r w:rsidR="0058020B" w:rsidRPr="009150EC">
        <w:rPr>
          <w:rFonts w:eastAsia="Times New Roman" w:cs="Times New Roman"/>
          <w:color w:val="000000"/>
          <w:w w:val="117"/>
          <w:sz w:val="28"/>
          <w:szCs w:val="28"/>
          <w:lang w:val="en-CA" w:eastAsia="en-CA"/>
        </w:rPr>
        <w:t xml:space="preserve">be </w:t>
      </w:r>
      <w:r w:rsidR="0058020B" w:rsidRPr="00DB11DD">
        <w:rPr>
          <w:sz w:val="28"/>
          <w:szCs w:val="28"/>
        </w:rPr>
        <w:t>followed at an inquiry, and cre</w:t>
      </w:r>
      <w:r w:rsidR="00D37C70">
        <w:rPr>
          <w:sz w:val="28"/>
          <w:szCs w:val="28"/>
        </w:rPr>
        <w:t xml:space="preserve">ate an informal court system </w:t>
      </w:r>
      <w:r w:rsidR="0058020B" w:rsidRPr="00DB11DD">
        <w:rPr>
          <w:sz w:val="28"/>
          <w:szCs w:val="28"/>
        </w:rPr>
        <w:t xml:space="preserve">which </w:t>
      </w:r>
      <w:r w:rsidR="00D37C70">
        <w:rPr>
          <w:sz w:val="28"/>
          <w:szCs w:val="28"/>
        </w:rPr>
        <w:t xml:space="preserve">places </w:t>
      </w:r>
      <w:r w:rsidR="0058020B" w:rsidRPr="00DB11DD">
        <w:rPr>
          <w:sz w:val="28"/>
          <w:szCs w:val="28"/>
        </w:rPr>
        <w:t xml:space="preserve">substance </w:t>
      </w:r>
      <w:r w:rsidR="00D37C70">
        <w:rPr>
          <w:sz w:val="28"/>
          <w:szCs w:val="28"/>
        </w:rPr>
        <w:t xml:space="preserve">above form or </w:t>
      </w:r>
      <w:r w:rsidR="0058020B" w:rsidRPr="00DB11DD">
        <w:rPr>
          <w:sz w:val="28"/>
          <w:szCs w:val="28"/>
        </w:rPr>
        <w:t>technicality</w:t>
      </w:r>
      <w:r w:rsidR="0058020B" w:rsidRPr="009150EC">
        <w:rPr>
          <w:rFonts w:eastAsia="Times New Roman" w:cs="Times New Roman"/>
          <w:color w:val="000000"/>
          <w:w w:val="105"/>
          <w:sz w:val="28"/>
          <w:szCs w:val="28"/>
          <w:lang w:val="en-CA" w:eastAsia="en-CA"/>
        </w:rPr>
        <w:t>.</w:t>
      </w:r>
      <w:r w:rsidR="0058020B" w:rsidRPr="009150EC">
        <w:rPr>
          <w:rStyle w:val="FootnoteReference"/>
          <w:rFonts w:eastAsia="Times New Roman" w:cs="Times New Roman"/>
          <w:color w:val="000000"/>
          <w:w w:val="105"/>
          <w:sz w:val="28"/>
          <w:szCs w:val="28"/>
          <w:lang w:val="en-CA" w:eastAsia="en-CA"/>
        </w:rPr>
        <w:footnoteReference w:id="16"/>
      </w:r>
    </w:p>
    <w:p w14:paraId="237A6930" w14:textId="77777777" w:rsidR="005258C6" w:rsidRPr="009150EC" w:rsidRDefault="005258C6" w:rsidP="005258C6">
      <w:pPr>
        <w:pStyle w:val="ListParagraph"/>
        <w:spacing w:after="0" w:line="360" w:lineRule="auto"/>
        <w:ind w:left="0"/>
        <w:jc w:val="both"/>
        <w:rPr>
          <w:rFonts w:cs="Times New Roman"/>
          <w:b/>
          <w:sz w:val="28"/>
          <w:szCs w:val="28"/>
        </w:rPr>
      </w:pPr>
    </w:p>
    <w:p w14:paraId="2A22136E" w14:textId="0B9FC078" w:rsidR="002E73FD" w:rsidRDefault="00B113D1" w:rsidP="000A36E8">
      <w:pPr>
        <w:pStyle w:val="ListParagraph"/>
        <w:numPr>
          <w:ilvl w:val="0"/>
          <w:numId w:val="19"/>
        </w:numPr>
        <w:spacing w:after="0" w:line="360" w:lineRule="auto"/>
        <w:ind w:left="0" w:firstLine="0"/>
        <w:jc w:val="both"/>
        <w:rPr>
          <w:rFonts w:cs="Times New Roman"/>
          <w:sz w:val="28"/>
          <w:szCs w:val="28"/>
        </w:rPr>
      </w:pPr>
      <w:r w:rsidRPr="008A2ED8">
        <w:rPr>
          <w:rFonts w:cs="Times New Roman"/>
          <w:sz w:val="28"/>
          <w:szCs w:val="28"/>
        </w:rPr>
        <w:t>The Equality Act</w:t>
      </w:r>
      <w:r w:rsidR="00EB518D" w:rsidRPr="008A2ED8">
        <w:rPr>
          <w:rFonts w:cs="Times New Roman"/>
          <w:sz w:val="28"/>
          <w:szCs w:val="28"/>
        </w:rPr>
        <w:t xml:space="preserve"> obliges </w:t>
      </w:r>
      <w:r w:rsidR="00C42141" w:rsidRPr="008A2ED8">
        <w:rPr>
          <w:rFonts w:cs="Times New Roman"/>
          <w:sz w:val="28"/>
          <w:szCs w:val="28"/>
        </w:rPr>
        <w:t xml:space="preserve">an equality court </w:t>
      </w:r>
      <w:r w:rsidRPr="008A2ED8">
        <w:rPr>
          <w:rFonts w:cs="Times New Roman"/>
          <w:sz w:val="28"/>
          <w:szCs w:val="28"/>
        </w:rPr>
        <w:t xml:space="preserve">in </w:t>
      </w:r>
      <w:r w:rsidR="00EB518D" w:rsidRPr="008A2ED8">
        <w:rPr>
          <w:rFonts w:cs="Times New Roman"/>
          <w:sz w:val="28"/>
          <w:szCs w:val="28"/>
        </w:rPr>
        <w:t xml:space="preserve">which proceedings are instituted </w:t>
      </w:r>
      <w:r w:rsidR="00C42141" w:rsidRPr="008A2ED8">
        <w:rPr>
          <w:rFonts w:cs="Times New Roman"/>
          <w:sz w:val="28"/>
          <w:szCs w:val="28"/>
        </w:rPr>
        <w:t xml:space="preserve">to hold an </w:t>
      </w:r>
      <w:r w:rsidR="006D7F02">
        <w:rPr>
          <w:rFonts w:cs="Times New Roman"/>
          <w:sz w:val="28"/>
          <w:szCs w:val="28"/>
        </w:rPr>
        <w:t>i</w:t>
      </w:r>
      <w:r w:rsidR="00C42141" w:rsidRPr="008A2ED8">
        <w:rPr>
          <w:rFonts w:cs="Times New Roman"/>
          <w:sz w:val="28"/>
          <w:szCs w:val="28"/>
        </w:rPr>
        <w:t xml:space="preserve">nquiry in </w:t>
      </w:r>
      <w:r w:rsidR="00EB518D" w:rsidRPr="008A2ED8">
        <w:rPr>
          <w:rFonts w:cs="Times New Roman"/>
          <w:sz w:val="28"/>
          <w:szCs w:val="28"/>
        </w:rPr>
        <w:t>the manner prescribe</w:t>
      </w:r>
      <w:r w:rsidR="0020752D" w:rsidRPr="008A2ED8">
        <w:rPr>
          <w:rFonts w:cs="Times New Roman"/>
          <w:sz w:val="28"/>
          <w:szCs w:val="28"/>
        </w:rPr>
        <w:t xml:space="preserve">d in the </w:t>
      </w:r>
      <w:r w:rsidR="00EB518D" w:rsidRPr="008A2ED8">
        <w:rPr>
          <w:rFonts w:cs="Times New Roman"/>
          <w:sz w:val="28"/>
          <w:szCs w:val="28"/>
        </w:rPr>
        <w:t>regulations</w:t>
      </w:r>
      <w:r w:rsidR="001E557B" w:rsidRPr="008A2ED8">
        <w:rPr>
          <w:rFonts w:cs="Times New Roman"/>
          <w:sz w:val="28"/>
          <w:szCs w:val="28"/>
        </w:rPr>
        <w:t xml:space="preserve"> and to ‘determine</w:t>
      </w:r>
      <w:r w:rsidR="000D2643" w:rsidRPr="008A2ED8">
        <w:rPr>
          <w:rFonts w:cs="Times New Roman"/>
          <w:sz w:val="28"/>
          <w:szCs w:val="28"/>
        </w:rPr>
        <w:t xml:space="preserve"> whether</w:t>
      </w:r>
      <w:r w:rsidR="0020752D" w:rsidRPr="008A2ED8">
        <w:rPr>
          <w:rFonts w:cs="Times New Roman"/>
          <w:sz w:val="28"/>
          <w:szCs w:val="28"/>
        </w:rPr>
        <w:t xml:space="preserve"> </w:t>
      </w:r>
      <w:r w:rsidR="001E557B" w:rsidRPr="008A2ED8">
        <w:rPr>
          <w:rFonts w:cs="Times New Roman"/>
          <w:sz w:val="28"/>
          <w:szCs w:val="28"/>
        </w:rPr>
        <w:t>unfair discriminat</w:t>
      </w:r>
      <w:r w:rsidR="005D693A">
        <w:rPr>
          <w:rFonts w:cs="Times New Roman"/>
          <w:sz w:val="28"/>
          <w:szCs w:val="28"/>
        </w:rPr>
        <w:t xml:space="preserve">ion, hate speech or harassment . . . </w:t>
      </w:r>
      <w:r w:rsidR="001E557B" w:rsidRPr="008A2ED8">
        <w:rPr>
          <w:rFonts w:cs="Times New Roman"/>
          <w:sz w:val="28"/>
          <w:szCs w:val="28"/>
        </w:rPr>
        <w:t>has taken place</w:t>
      </w:r>
      <w:r w:rsidR="00D04C34">
        <w:rPr>
          <w:rFonts w:cs="Times New Roman"/>
          <w:sz w:val="28"/>
          <w:szCs w:val="28"/>
        </w:rPr>
        <w:t>, as alleged</w:t>
      </w:r>
      <w:r w:rsidR="005D693A">
        <w:rPr>
          <w:rFonts w:cs="Times New Roman"/>
          <w:sz w:val="28"/>
          <w:szCs w:val="28"/>
        </w:rPr>
        <w:t>’</w:t>
      </w:r>
      <w:r w:rsidR="001E557B" w:rsidRPr="008A2ED8">
        <w:rPr>
          <w:rFonts w:cs="Times New Roman"/>
          <w:sz w:val="28"/>
          <w:szCs w:val="28"/>
        </w:rPr>
        <w:t>.</w:t>
      </w:r>
      <w:r w:rsidR="001E557B" w:rsidRPr="009150EC">
        <w:rPr>
          <w:rStyle w:val="FootnoteReference"/>
          <w:rFonts w:cs="Times New Roman"/>
          <w:sz w:val="28"/>
          <w:szCs w:val="28"/>
        </w:rPr>
        <w:footnoteReference w:id="17"/>
      </w:r>
      <w:r w:rsidR="000466E0" w:rsidRPr="008A2ED8">
        <w:rPr>
          <w:rFonts w:cs="Times New Roman"/>
          <w:sz w:val="28"/>
          <w:szCs w:val="28"/>
        </w:rPr>
        <w:t xml:space="preserve"> That is </w:t>
      </w:r>
      <w:r w:rsidR="0005554F">
        <w:rPr>
          <w:rFonts w:cs="Times New Roman"/>
          <w:sz w:val="28"/>
          <w:szCs w:val="28"/>
        </w:rPr>
        <w:t xml:space="preserve">precisely </w:t>
      </w:r>
      <w:r w:rsidR="000466E0" w:rsidRPr="008A2ED8">
        <w:rPr>
          <w:rFonts w:cs="Times New Roman"/>
          <w:sz w:val="28"/>
          <w:szCs w:val="28"/>
        </w:rPr>
        <w:t xml:space="preserve">what happened in this case. </w:t>
      </w:r>
      <w:r w:rsidR="00D37C70" w:rsidRPr="008A2ED8">
        <w:rPr>
          <w:rFonts w:cs="Times New Roman"/>
          <w:sz w:val="28"/>
          <w:szCs w:val="28"/>
        </w:rPr>
        <w:t>The NMF’s complaint about the displays of the old fl</w:t>
      </w:r>
      <w:r w:rsidR="0050427F">
        <w:rPr>
          <w:rFonts w:cs="Times New Roman"/>
          <w:sz w:val="28"/>
          <w:szCs w:val="28"/>
        </w:rPr>
        <w:t>ag at the Black Monday protests</w:t>
      </w:r>
      <w:r w:rsidR="00D37C70" w:rsidRPr="008A2ED8">
        <w:rPr>
          <w:rFonts w:cs="Times New Roman"/>
          <w:sz w:val="28"/>
          <w:szCs w:val="28"/>
        </w:rPr>
        <w:t xml:space="preserve"> </w:t>
      </w:r>
      <w:r w:rsidR="0050427F">
        <w:rPr>
          <w:rFonts w:cs="Times New Roman"/>
          <w:sz w:val="28"/>
          <w:szCs w:val="28"/>
        </w:rPr>
        <w:t xml:space="preserve">and their </w:t>
      </w:r>
      <w:r w:rsidR="00D37C70" w:rsidRPr="008A2ED8">
        <w:rPr>
          <w:rFonts w:cs="Times New Roman"/>
          <w:sz w:val="28"/>
          <w:szCs w:val="28"/>
        </w:rPr>
        <w:t>impac</w:t>
      </w:r>
      <w:r w:rsidR="0050427F">
        <w:rPr>
          <w:rFonts w:cs="Times New Roman"/>
          <w:sz w:val="28"/>
          <w:szCs w:val="28"/>
        </w:rPr>
        <w:t xml:space="preserve">t on the complainant and others, </w:t>
      </w:r>
      <w:r w:rsidR="00D37C70" w:rsidRPr="008A2ED8">
        <w:rPr>
          <w:rFonts w:cs="Times New Roman"/>
          <w:sz w:val="28"/>
          <w:szCs w:val="28"/>
        </w:rPr>
        <w:t>we</w:t>
      </w:r>
      <w:r w:rsidR="00620F86">
        <w:rPr>
          <w:rFonts w:cs="Times New Roman"/>
          <w:sz w:val="28"/>
          <w:szCs w:val="28"/>
        </w:rPr>
        <w:t xml:space="preserve">re </w:t>
      </w:r>
      <w:r w:rsidR="00D37C70" w:rsidRPr="008A2ED8">
        <w:rPr>
          <w:rFonts w:cs="Times New Roman"/>
          <w:sz w:val="28"/>
          <w:szCs w:val="28"/>
        </w:rPr>
        <w:t xml:space="preserve">set out in </w:t>
      </w:r>
      <w:r w:rsidR="008B0D60" w:rsidRPr="008A2ED8">
        <w:rPr>
          <w:rFonts w:cs="Times New Roman"/>
          <w:sz w:val="28"/>
          <w:szCs w:val="28"/>
        </w:rPr>
        <w:t xml:space="preserve">the </w:t>
      </w:r>
      <w:r w:rsidR="004741EF" w:rsidRPr="008A2ED8">
        <w:rPr>
          <w:rFonts w:cs="Times New Roman"/>
          <w:sz w:val="28"/>
          <w:szCs w:val="28"/>
        </w:rPr>
        <w:t xml:space="preserve">affidavit </w:t>
      </w:r>
      <w:r w:rsidR="003E44D5" w:rsidRPr="008A2ED8">
        <w:rPr>
          <w:rFonts w:cs="Times New Roman"/>
          <w:sz w:val="28"/>
          <w:szCs w:val="28"/>
        </w:rPr>
        <w:t xml:space="preserve">filed </w:t>
      </w:r>
      <w:r w:rsidR="004741EF" w:rsidRPr="008A2ED8">
        <w:rPr>
          <w:rFonts w:cs="Times New Roman"/>
          <w:sz w:val="28"/>
          <w:szCs w:val="28"/>
        </w:rPr>
        <w:t>in sup</w:t>
      </w:r>
      <w:r w:rsidR="009F26BF" w:rsidRPr="008A2ED8">
        <w:rPr>
          <w:rFonts w:cs="Times New Roman"/>
          <w:sz w:val="28"/>
          <w:szCs w:val="28"/>
        </w:rPr>
        <w:t>port of the complaint</w:t>
      </w:r>
      <w:r w:rsidR="003E44D5" w:rsidRPr="008A2ED8">
        <w:rPr>
          <w:rFonts w:cs="Times New Roman"/>
          <w:sz w:val="28"/>
          <w:szCs w:val="28"/>
        </w:rPr>
        <w:t>.</w:t>
      </w:r>
      <w:r w:rsidR="004D2147" w:rsidRPr="008A2ED8">
        <w:rPr>
          <w:rFonts w:cs="Times New Roman"/>
          <w:sz w:val="28"/>
          <w:szCs w:val="28"/>
        </w:rPr>
        <w:t xml:space="preserve"> </w:t>
      </w:r>
      <w:r w:rsidR="0050427F">
        <w:rPr>
          <w:rFonts w:cs="Times New Roman"/>
          <w:sz w:val="28"/>
          <w:szCs w:val="28"/>
        </w:rPr>
        <w:t>That evidence was never challenged.</w:t>
      </w:r>
      <w:r w:rsidR="00D171DA">
        <w:rPr>
          <w:rFonts w:cs="Times New Roman"/>
          <w:sz w:val="28"/>
          <w:szCs w:val="28"/>
        </w:rPr>
        <w:t xml:space="preserve"> Afriforum only </w:t>
      </w:r>
      <w:r w:rsidR="00D171DA" w:rsidRPr="00B25D7F">
        <w:rPr>
          <w:rFonts w:cs="Times New Roman"/>
          <w:sz w:val="28"/>
          <w:szCs w:val="28"/>
        </w:rPr>
        <w:t xml:space="preserve">disputed </w:t>
      </w:r>
      <w:r w:rsidR="004A6F21" w:rsidRPr="00B25D7F">
        <w:rPr>
          <w:rFonts w:cs="Times New Roman"/>
          <w:sz w:val="28"/>
          <w:szCs w:val="28"/>
        </w:rPr>
        <w:t xml:space="preserve">the contention </w:t>
      </w:r>
      <w:r w:rsidR="00D171DA" w:rsidRPr="00B25D7F">
        <w:rPr>
          <w:rFonts w:cs="Times New Roman"/>
          <w:sz w:val="28"/>
          <w:szCs w:val="28"/>
        </w:rPr>
        <w:t>that</w:t>
      </w:r>
      <w:r w:rsidR="00D171DA">
        <w:rPr>
          <w:rFonts w:cs="Times New Roman"/>
          <w:sz w:val="28"/>
          <w:szCs w:val="28"/>
        </w:rPr>
        <w:t xml:space="preserve"> the display of the old flag was unlawful. </w:t>
      </w:r>
      <w:r w:rsidR="00D171DA" w:rsidRPr="008A2ED8">
        <w:rPr>
          <w:rFonts w:cs="Times New Roman"/>
          <w:sz w:val="28"/>
          <w:szCs w:val="28"/>
        </w:rPr>
        <w:t xml:space="preserve">The high court granted declaratory relief </w:t>
      </w:r>
      <w:r w:rsidR="00D171DA">
        <w:rPr>
          <w:rFonts w:cs="Times New Roman"/>
          <w:sz w:val="28"/>
          <w:szCs w:val="28"/>
        </w:rPr>
        <w:t xml:space="preserve">based on the evidence before it. </w:t>
      </w:r>
      <w:r w:rsidR="008A2ED8" w:rsidRPr="008A2ED8">
        <w:rPr>
          <w:rFonts w:cs="Times New Roman"/>
          <w:sz w:val="28"/>
          <w:szCs w:val="28"/>
        </w:rPr>
        <w:t>But the court also declared that the displays of the old flag at the Black Monday protests</w:t>
      </w:r>
      <w:r w:rsidR="00992179">
        <w:rPr>
          <w:rFonts w:cs="Times New Roman"/>
          <w:sz w:val="28"/>
          <w:szCs w:val="28"/>
        </w:rPr>
        <w:t xml:space="preserve">, </w:t>
      </w:r>
      <w:r w:rsidR="008A2ED8" w:rsidRPr="008A2ED8">
        <w:rPr>
          <w:rFonts w:cs="Times New Roman"/>
          <w:sz w:val="28"/>
          <w:szCs w:val="28"/>
        </w:rPr>
        <w:t>as</w:t>
      </w:r>
      <w:r w:rsidR="00992179">
        <w:rPr>
          <w:rFonts w:cs="Times New Roman"/>
          <w:sz w:val="28"/>
          <w:szCs w:val="28"/>
        </w:rPr>
        <w:t xml:space="preserve"> a matter of fact, </w:t>
      </w:r>
      <w:r w:rsidR="008A2ED8" w:rsidRPr="008A2ED8">
        <w:rPr>
          <w:rFonts w:cs="Times New Roman"/>
          <w:sz w:val="28"/>
          <w:szCs w:val="28"/>
        </w:rPr>
        <w:t>constitute</w:t>
      </w:r>
      <w:r w:rsidR="00D04C34">
        <w:rPr>
          <w:rFonts w:cs="Times New Roman"/>
          <w:sz w:val="28"/>
          <w:szCs w:val="28"/>
        </w:rPr>
        <w:t>d</w:t>
      </w:r>
      <w:r w:rsidR="008A2ED8" w:rsidRPr="008A2ED8">
        <w:rPr>
          <w:rFonts w:cs="Times New Roman"/>
          <w:sz w:val="28"/>
          <w:szCs w:val="28"/>
        </w:rPr>
        <w:t xml:space="preserve"> hate speech, unfair discrimination and harassment.</w:t>
      </w:r>
      <w:r w:rsidR="00992179">
        <w:rPr>
          <w:rFonts w:cs="Times New Roman"/>
          <w:sz w:val="28"/>
          <w:szCs w:val="28"/>
        </w:rPr>
        <w:t xml:space="preserve"> It was empowered to do so under s 21(2) of the Equality Act. </w:t>
      </w:r>
    </w:p>
    <w:p w14:paraId="2E33E970" w14:textId="5EA073E5" w:rsidR="00A857DD" w:rsidRDefault="007730A8" w:rsidP="008510D4">
      <w:pPr>
        <w:pStyle w:val="ListParagraph"/>
        <w:numPr>
          <w:ilvl w:val="0"/>
          <w:numId w:val="19"/>
        </w:numPr>
        <w:spacing w:after="0" w:line="360" w:lineRule="auto"/>
        <w:ind w:left="0" w:firstLine="0"/>
        <w:jc w:val="both"/>
        <w:rPr>
          <w:sz w:val="28"/>
          <w:szCs w:val="28"/>
        </w:rPr>
      </w:pPr>
      <w:r w:rsidRPr="001B5091">
        <w:rPr>
          <w:sz w:val="28"/>
          <w:szCs w:val="28"/>
        </w:rPr>
        <w:lastRenderedPageBreak/>
        <w:t xml:space="preserve">It follows that there was nothing abstract, academic or hypothetical about the NMF’s complaint. It was based on actual contraventions of the Equality Act, and grounded in concrete events at which the old flag was displayed. Afriforum’s argument to the contrary, in reliance on </w:t>
      </w:r>
      <w:r w:rsidRPr="001B5091">
        <w:rPr>
          <w:i/>
          <w:sz w:val="28"/>
          <w:szCs w:val="28"/>
        </w:rPr>
        <w:t>JT Publishing</w:t>
      </w:r>
      <w:r w:rsidRPr="001B5091">
        <w:rPr>
          <w:sz w:val="28"/>
          <w:szCs w:val="28"/>
        </w:rPr>
        <w:t>,</w:t>
      </w:r>
      <w:r>
        <w:rPr>
          <w:rStyle w:val="FootnoteReference"/>
          <w:sz w:val="28"/>
          <w:szCs w:val="28"/>
        </w:rPr>
        <w:footnoteReference w:id="18"/>
      </w:r>
      <w:r w:rsidRPr="001B5091">
        <w:rPr>
          <w:sz w:val="28"/>
          <w:szCs w:val="28"/>
        </w:rPr>
        <w:t xml:space="preserve"> is misconceived. </w:t>
      </w:r>
    </w:p>
    <w:p w14:paraId="4C8AF1A8" w14:textId="77777777" w:rsidR="001B5091" w:rsidRPr="001B5091" w:rsidRDefault="001B5091" w:rsidP="001B5091">
      <w:pPr>
        <w:pStyle w:val="ListParagraph"/>
        <w:spacing w:after="0" w:line="360" w:lineRule="auto"/>
        <w:ind w:left="0"/>
        <w:jc w:val="both"/>
        <w:rPr>
          <w:sz w:val="28"/>
          <w:szCs w:val="28"/>
        </w:rPr>
      </w:pPr>
    </w:p>
    <w:p w14:paraId="075006ED" w14:textId="44DCD51C" w:rsidR="001B2DD2" w:rsidRPr="00205C9D" w:rsidRDefault="00957406" w:rsidP="00172C78">
      <w:pPr>
        <w:pStyle w:val="ListParagraph"/>
        <w:numPr>
          <w:ilvl w:val="0"/>
          <w:numId w:val="19"/>
        </w:numPr>
        <w:spacing w:after="0" w:line="360" w:lineRule="auto"/>
        <w:ind w:left="0" w:firstLine="0"/>
        <w:jc w:val="both"/>
        <w:rPr>
          <w:sz w:val="28"/>
          <w:szCs w:val="28"/>
        </w:rPr>
      </w:pPr>
      <w:r w:rsidRPr="00205C9D">
        <w:rPr>
          <w:sz w:val="28"/>
          <w:szCs w:val="28"/>
        </w:rPr>
        <w:t>For th</w:t>
      </w:r>
      <w:r w:rsidR="00D7639D" w:rsidRPr="00205C9D">
        <w:rPr>
          <w:sz w:val="28"/>
          <w:szCs w:val="28"/>
        </w:rPr>
        <w:t>e same</w:t>
      </w:r>
      <w:r w:rsidRPr="00205C9D">
        <w:rPr>
          <w:sz w:val="28"/>
          <w:szCs w:val="28"/>
        </w:rPr>
        <w:t xml:space="preserve"> reasons, Afriforum’s argument </w:t>
      </w:r>
      <w:r w:rsidR="00D7639D" w:rsidRPr="00205C9D">
        <w:rPr>
          <w:sz w:val="28"/>
          <w:szCs w:val="28"/>
        </w:rPr>
        <w:t>based on the doctrine of ripeness</w:t>
      </w:r>
      <w:r w:rsidR="005B71C6">
        <w:rPr>
          <w:sz w:val="28"/>
          <w:szCs w:val="28"/>
        </w:rPr>
        <w:t>, namely that</w:t>
      </w:r>
      <w:r w:rsidR="00D7639D" w:rsidRPr="00205C9D">
        <w:rPr>
          <w:sz w:val="28"/>
          <w:szCs w:val="28"/>
        </w:rPr>
        <w:t xml:space="preserve"> a court deals with situations that have already ripened or crystallised, </w:t>
      </w:r>
      <w:r w:rsidR="00205C9D" w:rsidRPr="00205C9D">
        <w:rPr>
          <w:sz w:val="28"/>
          <w:szCs w:val="28"/>
        </w:rPr>
        <w:t>and not with prospective or hypothetical ones</w:t>
      </w:r>
      <w:r w:rsidR="005B71C6">
        <w:rPr>
          <w:sz w:val="28"/>
          <w:szCs w:val="28"/>
        </w:rPr>
        <w:t>,</w:t>
      </w:r>
      <w:r w:rsidR="00205C9D">
        <w:rPr>
          <w:rStyle w:val="FootnoteReference"/>
          <w:sz w:val="28"/>
          <w:szCs w:val="28"/>
        </w:rPr>
        <w:footnoteReference w:id="19"/>
      </w:r>
      <w:r w:rsidR="00205C9D" w:rsidRPr="00205C9D">
        <w:rPr>
          <w:sz w:val="28"/>
          <w:szCs w:val="28"/>
        </w:rPr>
        <w:t xml:space="preserve"> is unsustainable. Apart from this, </w:t>
      </w:r>
      <w:r w:rsidR="00F4521B" w:rsidRPr="00205C9D">
        <w:rPr>
          <w:rFonts w:cs="Times New Roman"/>
          <w:sz w:val="28"/>
          <w:szCs w:val="28"/>
        </w:rPr>
        <w:t xml:space="preserve">the </w:t>
      </w:r>
      <w:r w:rsidR="003C5F55" w:rsidRPr="00205C9D">
        <w:rPr>
          <w:rFonts w:cs="Times New Roman"/>
          <w:sz w:val="28"/>
          <w:szCs w:val="28"/>
        </w:rPr>
        <w:t>old flag is displayed from time to time. It was again displayed at the Black Monday protests. There is a public controversy about the lawfulness of doing so</w:t>
      </w:r>
      <w:r w:rsidR="00642162" w:rsidRPr="00205C9D">
        <w:rPr>
          <w:rFonts w:cs="Times New Roman"/>
          <w:sz w:val="28"/>
          <w:szCs w:val="28"/>
        </w:rPr>
        <w:t xml:space="preserve">. </w:t>
      </w:r>
      <w:r w:rsidR="00642162" w:rsidRPr="00205C9D">
        <w:rPr>
          <w:sz w:val="28"/>
          <w:szCs w:val="28"/>
        </w:rPr>
        <w:t xml:space="preserve">The purpose of the application by the NMF and the </w:t>
      </w:r>
      <w:r w:rsidR="007B4A59">
        <w:rPr>
          <w:sz w:val="28"/>
          <w:szCs w:val="28"/>
        </w:rPr>
        <w:t>SAHRC</w:t>
      </w:r>
      <w:r w:rsidR="00642162" w:rsidRPr="00205C9D">
        <w:rPr>
          <w:sz w:val="28"/>
          <w:szCs w:val="28"/>
        </w:rPr>
        <w:t xml:space="preserve"> was to resolve</w:t>
      </w:r>
      <w:r w:rsidR="006F37BC" w:rsidRPr="00205C9D">
        <w:rPr>
          <w:sz w:val="28"/>
          <w:szCs w:val="28"/>
        </w:rPr>
        <w:t xml:space="preserve"> that very controversy for the benefit of all.</w:t>
      </w:r>
      <w:r w:rsidR="003C5F55" w:rsidRPr="00205C9D">
        <w:rPr>
          <w:sz w:val="28"/>
          <w:szCs w:val="28"/>
        </w:rPr>
        <w:t xml:space="preserve"> </w:t>
      </w:r>
      <w:r w:rsidR="007365F3" w:rsidRPr="00205C9D">
        <w:rPr>
          <w:sz w:val="28"/>
          <w:szCs w:val="28"/>
        </w:rPr>
        <w:t>D</w:t>
      </w:r>
      <w:r w:rsidR="00AF053F" w:rsidRPr="00205C9D">
        <w:rPr>
          <w:sz w:val="28"/>
          <w:szCs w:val="28"/>
        </w:rPr>
        <w:t xml:space="preserve">eclaratory orders by their very nature, </w:t>
      </w:r>
      <w:r w:rsidR="00C7146B" w:rsidRPr="00205C9D">
        <w:rPr>
          <w:sz w:val="28"/>
          <w:szCs w:val="28"/>
        </w:rPr>
        <w:t>are often directed at conduct that has not yet occurred. But they are vital in the right</w:t>
      </w:r>
      <w:r w:rsidR="00C7146B" w:rsidRPr="00205C9D">
        <w:rPr>
          <w:rFonts w:cs="Times New Roman"/>
          <w:sz w:val="28"/>
          <w:szCs w:val="28"/>
        </w:rPr>
        <w:t xml:space="preserve"> </w:t>
      </w:r>
      <w:r w:rsidR="00C7146B" w:rsidRPr="00205C9D">
        <w:rPr>
          <w:sz w:val="28"/>
          <w:szCs w:val="28"/>
        </w:rPr>
        <w:t>co</w:t>
      </w:r>
      <w:r w:rsidR="003462EC" w:rsidRPr="00205C9D">
        <w:rPr>
          <w:sz w:val="28"/>
          <w:szCs w:val="28"/>
        </w:rPr>
        <w:t xml:space="preserve">ntext, specifically </w:t>
      </w:r>
      <w:r w:rsidR="00D10FD7" w:rsidRPr="00205C9D">
        <w:rPr>
          <w:sz w:val="28"/>
          <w:szCs w:val="28"/>
        </w:rPr>
        <w:t xml:space="preserve">to address issues </w:t>
      </w:r>
      <w:r w:rsidR="003462EC" w:rsidRPr="00205C9D">
        <w:rPr>
          <w:sz w:val="28"/>
          <w:szCs w:val="28"/>
        </w:rPr>
        <w:t>of public importance</w:t>
      </w:r>
      <w:r w:rsidR="001B2DD2" w:rsidRPr="00205C9D">
        <w:rPr>
          <w:sz w:val="28"/>
          <w:szCs w:val="28"/>
        </w:rPr>
        <w:t xml:space="preserve"> or </w:t>
      </w:r>
      <w:r w:rsidR="00B113D1" w:rsidRPr="00205C9D">
        <w:rPr>
          <w:sz w:val="28"/>
          <w:szCs w:val="28"/>
        </w:rPr>
        <w:t xml:space="preserve">involving a </w:t>
      </w:r>
      <w:r w:rsidR="001B2DD2" w:rsidRPr="00205C9D">
        <w:rPr>
          <w:sz w:val="28"/>
          <w:szCs w:val="28"/>
        </w:rPr>
        <w:t>compelling public interest</w:t>
      </w:r>
      <w:r w:rsidR="00E50F93" w:rsidRPr="00205C9D">
        <w:rPr>
          <w:sz w:val="28"/>
          <w:szCs w:val="28"/>
        </w:rPr>
        <w:t>. The Constitutional Court has held that declaratory orders ‘can bring clarity and finality to disputes that may, if unresolved, have far-reaching consequences for each party’.</w:t>
      </w:r>
      <w:r w:rsidR="00E50F93">
        <w:rPr>
          <w:rStyle w:val="FootnoteReference"/>
          <w:rFonts w:cs="Times New Roman"/>
          <w:sz w:val="28"/>
          <w:szCs w:val="28"/>
        </w:rPr>
        <w:footnoteReference w:id="20"/>
      </w:r>
      <w:r w:rsidR="00741A61" w:rsidRPr="00205C9D">
        <w:rPr>
          <w:sz w:val="28"/>
          <w:szCs w:val="28"/>
        </w:rPr>
        <w:t xml:space="preserve"> </w:t>
      </w:r>
      <w:r w:rsidR="00D330F9">
        <w:rPr>
          <w:sz w:val="28"/>
          <w:szCs w:val="28"/>
        </w:rPr>
        <w:t xml:space="preserve">So, even if there had not been </w:t>
      </w:r>
      <w:r w:rsidR="00010318">
        <w:rPr>
          <w:sz w:val="28"/>
          <w:szCs w:val="28"/>
        </w:rPr>
        <w:t xml:space="preserve">an actual infringement of the Equality </w:t>
      </w:r>
      <w:r w:rsidR="00010318" w:rsidRPr="00B25D7F">
        <w:rPr>
          <w:sz w:val="28"/>
          <w:szCs w:val="28"/>
        </w:rPr>
        <w:t>Act</w:t>
      </w:r>
      <w:r w:rsidR="00D330F9" w:rsidRPr="00B25D7F">
        <w:rPr>
          <w:sz w:val="28"/>
          <w:szCs w:val="28"/>
        </w:rPr>
        <w:t>, this is</w:t>
      </w:r>
      <w:r w:rsidR="00D330F9">
        <w:rPr>
          <w:sz w:val="28"/>
          <w:szCs w:val="28"/>
        </w:rPr>
        <w:t xml:space="preserve"> precisely the kind of case in which a declaratory order of the sort issue</w:t>
      </w:r>
      <w:r w:rsidR="00D04C34">
        <w:rPr>
          <w:sz w:val="28"/>
          <w:szCs w:val="28"/>
        </w:rPr>
        <w:t>d by the high court is apposite</w:t>
      </w:r>
      <w:r w:rsidR="00741A61" w:rsidRPr="00205C9D">
        <w:rPr>
          <w:sz w:val="28"/>
          <w:szCs w:val="28"/>
        </w:rPr>
        <w:t>.</w:t>
      </w:r>
    </w:p>
    <w:p w14:paraId="2426649A" w14:textId="77777777" w:rsidR="004D3E43" w:rsidRDefault="004D3E43" w:rsidP="004D3E43">
      <w:pPr>
        <w:pStyle w:val="ListParagraph"/>
        <w:spacing w:after="0" w:line="360" w:lineRule="auto"/>
        <w:ind w:left="0"/>
        <w:jc w:val="both"/>
        <w:rPr>
          <w:rFonts w:cs="Times New Roman"/>
          <w:sz w:val="28"/>
          <w:szCs w:val="28"/>
        </w:rPr>
      </w:pPr>
    </w:p>
    <w:p w14:paraId="6FEE2BC1" w14:textId="77777777" w:rsidR="002F774A" w:rsidRPr="00741A61" w:rsidRDefault="001959FC" w:rsidP="00741A61">
      <w:pPr>
        <w:pStyle w:val="ListParagraph"/>
        <w:numPr>
          <w:ilvl w:val="0"/>
          <w:numId w:val="19"/>
        </w:numPr>
        <w:spacing w:after="0" w:line="360" w:lineRule="auto"/>
        <w:ind w:left="0" w:firstLine="0"/>
        <w:jc w:val="both"/>
        <w:rPr>
          <w:rFonts w:cs="Times New Roman"/>
          <w:sz w:val="28"/>
          <w:szCs w:val="28"/>
        </w:rPr>
      </w:pPr>
      <w:r w:rsidRPr="003C2835">
        <w:rPr>
          <w:sz w:val="28"/>
          <w:szCs w:val="28"/>
        </w:rPr>
        <w:t xml:space="preserve">In any event, it is legitimate for the </w:t>
      </w:r>
      <w:r w:rsidR="007B4A59">
        <w:rPr>
          <w:sz w:val="28"/>
          <w:szCs w:val="28"/>
        </w:rPr>
        <w:t>SAHRC</w:t>
      </w:r>
      <w:r w:rsidRPr="003C2835">
        <w:rPr>
          <w:sz w:val="28"/>
          <w:szCs w:val="28"/>
        </w:rPr>
        <w:t xml:space="preserve"> to say: there ha</w:t>
      </w:r>
      <w:r w:rsidR="00CB2E5E" w:rsidRPr="003C2835">
        <w:rPr>
          <w:sz w:val="28"/>
          <w:szCs w:val="28"/>
        </w:rPr>
        <w:t>s been a public display of the old f</w:t>
      </w:r>
      <w:r w:rsidRPr="003C2835">
        <w:rPr>
          <w:sz w:val="28"/>
          <w:szCs w:val="28"/>
        </w:rPr>
        <w:t>lag but it does not wish to bring proceedings against the individuals who displayed the flag on that occasion, but seeks instead, in the public interest, that a prin</w:t>
      </w:r>
      <w:r w:rsidR="001B2DD2" w:rsidRPr="003C2835">
        <w:rPr>
          <w:sz w:val="28"/>
          <w:szCs w:val="28"/>
        </w:rPr>
        <w:t>ciple be established that the gratuitous display of the old flag</w:t>
      </w:r>
      <w:r w:rsidR="002B3E71" w:rsidRPr="003C2835">
        <w:rPr>
          <w:sz w:val="28"/>
          <w:szCs w:val="28"/>
        </w:rPr>
        <w:t xml:space="preserve"> is unlawful.</w:t>
      </w:r>
      <w:r w:rsidR="00856CC6">
        <w:rPr>
          <w:sz w:val="28"/>
          <w:szCs w:val="28"/>
        </w:rPr>
        <w:t xml:space="preserve"> </w:t>
      </w:r>
      <w:r w:rsidR="00172C78">
        <w:rPr>
          <w:sz w:val="28"/>
          <w:szCs w:val="28"/>
        </w:rPr>
        <w:t>Such an approach</w:t>
      </w:r>
      <w:r w:rsidR="00491D78">
        <w:rPr>
          <w:sz w:val="28"/>
          <w:szCs w:val="28"/>
        </w:rPr>
        <w:t xml:space="preserve"> is entirely consonant with a </w:t>
      </w:r>
      <w:r w:rsidR="00FF43C3" w:rsidRPr="003C2835">
        <w:rPr>
          <w:sz w:val="28"/>
          <w:szCs w:val="28"/>
        </w:rPr>
        <w:t xml:space="preserve">guiding principle </w:t>
      </w:r>
      <w:r w:rsidR="00FF43C3" w:rsidRPr="003C2835">
        <w:rPr>
          <w:sz w:val="28"/>
          <w:szCs w:val="28"/>
        </w:rPr>
        <w:lastRenderedPageBreak/>
        <w:t xml:space="preserve">of </w:t>
      </w:r>
      <w:r w:rsidR="00B113D1" w:rsidRPr="003C2835">
        <w:rPr>
          <w:sz w:val="28"/>
          <w:szCs w:val="28"/>
        </w:rPr>
        <w:t>the Equality Act</w:t>
      </w:r>
      <w:r w:rsidR="00172C78">
        <w:rPr>
          <w:sz w:val="28"/>
          <w:szCs w:val="28"/>
        </w:rPr>
        <w:t xml:space="preserve">: to </w:t>
      </w:r>
      <w:r w:rsidR="00FF43C3" w:rsidRPr="003C2835">
        <w:rPr>
          <w:sz w:val="28"/>
          <w:szCs w:val="28"/>
        </w:rPr>
        <w:t>take measures to eliminate unfair systemic discrimination and inequalities.</w:t>
      </w:r>
      <w:r w:rsidR="00FF43C3" w:rsidRPr="009150EC">
        <w:rPr>
          <w:rStyle w:val="FootnoteReference"/>
          <w:rFonts w:eastAsia="Times New Roman" w:cs="Times New Roman"/>
          <w:color w:val="000000"/>
          <w:w w:val="117"/>
          <w:sz w:val="28"/>
          <w:szCs w:val="28"/>
          <w:lang w:val="en-CA" w:eastAsia="en-CA"/>
        </w:rPr>
        <w:footnoteReference w:id="21"/>
      </w:r>
      <w:r w:rsidR="00741A61">
        <w:rPr>
          <w:rFonts w:cs="Times New Roman"/>
          <w:sz w:val="28"/>
          <w:szCs w:val="28"/>
        </w:rPr>
        <w:t xml:space="preserve"> </w:t>
      </w:r>
      <w:r w:rsidR="001E08B7" w:rsidRPr="00741A61">
        <w:rPr>
          <w:sz w:val="28"/>
          <w:szCs w:val="28"/>
        </w:rPr>
        <w:t>As</w:t>
      </w:r>
      <w:r w:rsidR="001E08B7" w:rsidRPr="00741A61">
        <w:rPr>
          <w:rFonts w:eastAsia="Times New Roman" w:cs="Times New Roman"/>
          <w:color w:val="000000"/>
          <w:w w:val="114"/>
          <w:sz w:val="28"/>
          <w:szCs w:val="28"/>
          <w:lang w:val="en-CA" w:eastAsia="en-CA"/>
        </w:rPr>
        <w:t xml:space="preserve"> </w:t>
      </w:r>
      <w:r w:rsidR="00B113D1" w:rsidRPr="00741A61">
        <w:rPr>
          <w:sz w:val="28"/>
          <w:szCs w:val="28"/>
        </w:rPr>
        <w:t>the Constitutional Court sta</w:t>
      </w:r>
      <w:r w:rsidR="002F774A" w:rsidRPr="00741A61">
        <w:rPr>
          <w:sz w:val="28"/>
          <w:szCs w:val="28"/>
        </w:rPr>
        <w:t xml:space="preserve">ted in </w:t>
      </w:r>
      <w:r w:rsidR="002F774A" w:rsidRPr="00741A61">
        <w:rPr>
          <w:i/>
          <w:sz w:val="28"/>
          <w:szCs w:val="28"/>
        </w:rPr>
        <w:t>Qwelane</w:t>
      </w:r>
      <w:r w:rsidR="002F774A" w:rsidRPr="00741A61">
        <w:rPr>
          <w:sz w:val="28"/>
          <w:szCs w:val="28"/>
        </w:rPr>
        <w:t>:</w:t>
      </w:r>
    </w:p>
    <w:p w14:paraId="1F1173B7" w14:textId="77777777" w:rsidR="002F774A" w:rsidRPr="00F66CD0" w:rsidRDefault="00947BA1" w:rsidP="00947BA1">
      <w:pPr>
        <w:spacing w:after="0" w:line="360" w:lineRule="auto"/>
        <w:ind w:right="-46"/>
        <w:jc w:val="both"/>
        <w:rPr>
          <w:rFonts w:eastAsia="Times New Roman" w:cs="Times New Roman"/>
          <w:sz w:val="24"/>
          <w:szCs w:val="24"/>
          <w:lang w:val="en-CA" w:eastAsia="en-CA"/>
        </w:rPr>
      </w:pPr>
      <w:r w:rsidRPr="001E08B7">
        <w:rPr>
          <w:sz w:val="24"/>
          <w:szCs w:val="24"/>
        </w:rPr>
        <w:t>‘</w:t>
      </w:r>
      <w:r w:rsidR="002F774A" w:rsidRPr="001E08B7">
        <w:rPr>
          <w:sz w:val="24"/>
          <w:szCs w:val="24"/>
        </w:rPr>
        <w:t xml:space="preserve">Our Constitution requires that we not only be reactive to incidences or systems of unfair discrimination, but also pre-emptive. We need to act after the damage has occurred where so required but, importantly, we are also required to act to ensure that it does not </w:t>
      </w:r>
      <w:r w:rsidR="00F1717C" w:rsidRPr="001E08B7">
        <w:rPr>
          <w:sz w:val="24"/>
          <w:szCs w:val="24"/>
        </w:rPr>
        <w:t>occur.</w:t>
      </w:r>
      <w:r w:rsidRPr="00F66CD0">
        <w:rPr>
          <w:rFonts w:eastAsia="Times New Roman" w:cs="Times New Roman"/>
          <w:color w:val="000000"/>
          <w:w w:val="112"/>
          <w:sz w:val="24"/>
          <w:szCs w:val="24"/>
          <w:lang w:val="en-CA" w:eastAsia="en-CA"/>
        </w:rPr>
        <w:t>’</w:t>
      </w:r>
      <w:r w:rsidR="00F1717C" w:rsidRPr="00F66CD0">
        <w:rPr>
          <w:rStyle w:val="FootnoteReference"/>
          <w:rFonts w:eastAsia="Times New Roman" w:cs="Times New Roman"/>
          <w:color w:val="000000"/>
          <w:w w:val="112"/>
          <w:sz w:val="24"/>
          <w:szCs w:val="24"/>
          <w:lang w:val="en-CA" w:eastAsia="en-CA"/>
        </w:rPr>
        <w:footnoteReference w:id="22"/>
      </w:r>
    </w:p>
    <w:p w14:paraId="2E57E6B3" w14:textId="77777777" w:rsidR="001052C9" w:rsidRDefault="001052C9" w:rsidP="00175469">
      <w:pPr>
        <w:rPr>
          <w:b/>
          <w:sz w:val="28"/>
          <w:szCs w:val="28"/>
        </w:rPr>
      </w:pPr>
    </w:p>
    <w:p w14:paraId="7B90FCD5" w14:textId="2615D34D" w:rsidR="001569E7" w:rsidRPr="00175469" w:rsidRDefault="001F135C" w:rsidP="00175469">
      <w:pPr>
        <w:rPr>
          <w:b/>
          <w:sz w:val="28"/>
          <w:szCs w:val="28"/>
        </w:rPr>
      </w:pPr>
      <w:r>
        <w:rPr>
          <w:b/>
          <w:sz w:val="28"/>
          <w:szCs w:val="28"/>
        </w:rPr>
        <w:t>The v</w:t>
      </w:r>
      <w:r w:rsidR="001569E7">
        <w:rPr>
          <w:b/>
          <w:sz w:val="28"/>
          <w:szCs w:val="28"/>
        </w:rPr>
        <w:t>alues underpinnin</w:t>
      </w:r>
      <w:r w:rsidR="001078CD">
        <w:rPr>
          <w:b/>
          <w:sz w:val="28"/>
          <w:szCs w:val="28"/>
        </w:rPr>
        <w:t>g the prohibition of hate speech</w:t>
      </w:r>
    </w:p>
    <w:p w14:paraId="044070EB" w14:textId="77777777" w:rsidR="00CC0020" w:rsidRPr="00A44720" w:rsidRDefault="00A633E8" w:rsidP="006B2904">
      <w:pPr>
        <w:pStyle w:val="ListParagraph"/>
        <w:numPr>
          <w:ilvl w:val="0"/>
          <w:numId w:val="19"/>
        </w:numPr>
        <w:spacing w:after="0" w:line="360" w:lineRule="auto"/>
        <w:ind w:left="0" w:firstLine="0"/>
        <w:jc w:val="both"/>
        <w:rPr>
          <w:rFonts w:cs="Times New Roman"/>
          <w:sz w:val="24"/>
          <w:szCs w:val="24"/>
        </w:rPr>
      </w:pPr>
      <w:r w:rsidRPr="00A44720">
        <w:rPr>
          <w:rFonts w:cs="Times New Roman"/>
          <w:sz w:val="28"/>
          <w:szCs w:val="28"/>
        </w:rPr>
        <w:t>T</w:t>
      </w:r>
      <w:r w:rsidR="0066343B" w:rsidRPr="00A44720">
        <w:rPr>
          <w:rFonts w:cs="Times New Roman"/>
          <w:sz w:val="28"/>
          <w:szCs w:val="28"/>
        </w:rPr>
        <w:t xml:space="preserve">he starting point for </w:t>
      </w:r>
      <w:r w:rsidRPr="00A44720">
        <w:rPr>
          <w:rFonts w:cs="Times New Roman"/>
          <w:sz w:val="28"/>
          <w:szCs w:val="28"/>
        </w:rPr>
        <w:t xml:space="preserve">an analysis of the meaning and effect of s 10(1) of </w:t>
      </w:r>
      <w:r w:rsidR="00B113D1" w:rsidRPr="00A44720">
        <w:rPr>
          <w:rFonts w:cs="Times New Roman"/>
          <w:sz w:val="28"/>
          <w:szCs w:val="28"/>
        </w:rPr>
        <w:t>the Equality Act</w:t>
      </w:r>
      <w:r w:rsidRPr="00A44720">
        <w:rPr>
          <w:rFonts w:cs="Times New Roman"/>
          <w:sz w:val="28"/>
          <w:szCs w:val="28"/>
        </w:rPr>
        <w:t>, is</w:t>
      </w:r>
      <w:r w:rsidR="00391E21" w:rsidRPr="00A44720">
        <w:rPr>
          <w:rFonts w:cs="Times New Roman"/>
          <w:sz w:val="28"/>
          <w:szCs w:val="28"/>
        </w:rPr>
        <w:t xml:space="preserve"> the Bill of R</w:t>
      </w:r>
      <w:r w:rsidR="00B113D1" w:rsidRPr="00A44720">
        <w:rPr>
          <w:rFonts w:cs="Times New Roman"/>
          <w:sz w:val="28"/>
          <w:szCs w:val="28"/>
        </w:rPr>
        <w:t>ights</w:t>
      </w:r>
      <w:r w:rsidR="00105687" w:rsidRPr="00A44720">
        <w:rPr>
          <w:rFonts w:cs="Times New Roman"/>
          <w:sz w:val="28"/>
          <w:szCs w:val="28"/>
        </w:rPr>
        <w:t xml:space="preserve"> in </w:t>
      </w:r>
      <w:r w:rsidR="00FC7123" w:rsidRPr="00A44720">
        <w:rPr>
          <w:rFonts w:cs="Times New Roman"/>
          <w:sz w:val="28"/>
          <w:szCs w:val="28"/>
        </w:rPr>
        <w:t>the Constitution</w:t>
      </w:r>
      <w:r w:rsidR="00105687" w:rsidRPr="00A44720">
        <w:rPr>
          <w:rFonts w:cs="Times New Roman"/>
          <w:sz w:val="28"/>
          <w:szCs w:val="28"/>
        </w:rPr>
        <w:t>. It c</w:t>
      </w:r>
      <w:r w:rsidR="00FE74AA" w:rsidRPr="00A44720">
        <w:rPr>
          <w:rFonts w:cs="Times New Roman"/>
          <w:sz w:val="28"/>
          <w:szCs w:val="28"/>
        </w:rPr>
        <w:t xml:space="preserve">ontains the fundamental rights to freedom of expression, equality and dignity. </w:t>
      </w:r>
      <w:r w:rsidR="004367FA" w:rsidRPr="00A44720">
        <w:rPr>
          <w:rFonts w:cs="Times New Roman"/>
          <w:sz w:val="28"/>
          <w:szCs w:val="28"/>
        </w:rPr>
        <w:t>S</w:t>
      </w:r>
      <w:r w:rsidR="000A36E8" w:rsidRPr="00A44720">
        <w:rPr>
          <w:rFonts w:cs="Times New Roman"/>
          <w:sz w:val="28"/>
          <w:szCs w:val="28"/>
        </w:rPr>
        <w:t xml:space="preserve">ection </w:t>
      </w:r>
      <w:r w:rsidR="001D68B1" w:rsidRPr="00A44720">
        <w:rPr>
          <w:rFonts w:cs="Times New Roman"/>
          <w:sz w:val="28"/>
          <w:szCs w:val="28"/>
        </w:rPr>
        <w:t>10(1)</w:t>
      </w:r>
      <w:r w:rsidR="004367FA" w:rsidRPr="00A44720">
        <w:rPr>
          <w:rFonts w:cs="Times New Roman"/>
          <w:sz w:val="28"/>
          <w:szCs w:val="28"/>
        </w:rPr>
        <w:t xml:space="preserve">, which </w:t>
      </w:r>
      <w:r w:rsidR="00572D91" w:rsidRPr="00A44720">
        <w:rPr>
          <w:rFonts w:cs="Times New Roman"/>
          <w:sz w:val="28"/>
          <w:szCs w:val="28"/>
        </w:rPr>
        <w:t>effectively proscribes</w:t>
      </w:r>
      <w:r w:rsidR="00D330F9" w:rsidRPr="00A44720">
        <w:rPr>
          <w:rFonts w:cs="Times New Roman"/>
          <w:sz w:val="28"/>
          <w:szCs w:val="28"/>
        </w:rPr>
        <w:t xml:space="preserve"> </w:t>
      </w:r>
      <w:r w:rsidR="004367FA" w:rsidRPr="00A44720">
        <w:rPr>
          <w:rFonts w:cs="Times New Roman"/>
          <w:sz w:val="28"/>
          <w:szCs w:val="28"/>
        </w:rPr>
        <w:t xml:space="preserve">hate speech, is </w:t>
      </w:r>
      <w:r w:rsidR="001D68B1" w:rsidRPr="00A44720">
        <w:rPr>
          <w:rFonts w:cs="Times New Roman"/>
          <w:sz w:val="28"/>
          <w:szCs w:val="28"/>
        </w:rPr>
        <w:t>inextricably linked to</w:t>
      </w:r>
      <w:r w:rsidR="00105687" w:rsidRPr="00A44720">
        <w:rPr>
          <w:rFonts w:cs="Times New Roman"/>
          <w:sz w:val="28"/>
          <w:szCs w:val="28"/>
        </w:rPr>
        <w:t xml:space="preserve"> these rights. </w:t>
      </w:r>
      <w:r w:rsidR="00B95C7C">
        <w:rPr>
          <w:rFonts w:cs="Times New Roman"/>
          <w:sz w:val="28"/>
          <w:szCs w:val="28"/>
        </w:rPr>
        <w:t xml:space="preserve">As the Constitutional Court said in </w:t>
      </w:r>
      <w:r w:rsidR="00B95C7C" w:rsidRPr="00B95C7C">
        <w:rPr>
          <w:rFonts w:cs="Times New Roman"/>
          <w:i/>
          <w:sz w:val="28"/>
          <w:szCs w:val="28"/>
        </w:rPr>
        <w:t>Islamic Unity Convention</w:t>
      </w:r>
      <w:r w:rsidR="00B95C7C">
        <w:rPr>
          <w:rFonts w:cs="Times New Roman"/>
          <w:sz w:val="28"/>
          <w:szCs w:val="28"/>
        </w:rPr>
        <w:t>,</w:t>
      </w:r>
      <w:r w:rsidR="00B95C7C">
        <w:rPr>
          <w:rStyle w:val="FootnoteReference"/>
          <w:rFonts w:cs="Times New Roman"/>
          <w:sz w:val="28"/>
          <w:szCs w:val="28"/>
        </w:rPr>
        <w:footnoteReference w:id="23"/>
      </w:r>
      <w:r w:rsidR="00B95C7C">
        <w:rPr>
          <w:rFonts w:cs="Times New Roman"/>
          <w:sz w:val="28"/>
          <w:szCs w:val="28"/>
        </w:rPr>
        <w:t xml:space="preserve"> th</w:t>
      </w:r>
      <w:r w:rsidR="00105687" w:rsidRPr="00A44720">
        <w:rPr>
          <w:rFonts w:cs="Times New Roman"/>
          <w:sz w:val="28"/>
          <w:szCs w:val="28"/>
        </w:rPr>
        <w:t>e State has a direct interest in regulating hate speech ‘because of the harm it may pose to the constitutionally mandated objective of building a non-racial and non-sexist society based on human dignity and the achievement of equality’.</w:t>
      </w:r>
      <w:r w:rsidR="00172C78" w:rsidRPr="00A44720">
        <w:rPr>
          <w:rFonts w:cs="Times New Roman"/>
          <w:sz w:val="28"/>
          <w:szCs w:val="28"/>
        </w:rPr>
        <w:t xml:space="preserve"> </w:t>
      </w:r>
    </w:p>
    <w:p w14:paraId="37388C76" w14:textId="77777777" w:rsidR="00CC0020" w:rsidRDefault="00CC0020" w:rsidP="00CC0020">
      <w:pPr>
        <w:pStyle w:val="ListParagraph"/>
        <w:spacing w:after="0" w:line="360" w:lineRule="auto"/>
        <w:ind w:left="0"/>
        <w:jc w:val="both"/>
        <w:rPr>
          <w:rFonts w:cs="Times New Roman"/>
          <w:sz w:val="28"/>
          <w:szCs w:val="28"/>
        </w:rPr>
      </w:pPr>
    </w:p>
    <w:p w14:paraId="0F716156" w14:textId="686C4ED8" w:rsidR="00107FE6" w:rsidRDefault="0066343B" w:rsidP="005F7301">
      <w:pPr>
        <w:pStyle w:val="ListParagraph"/>
        <w:numPr>
          <w:ilvl w:val="0"/>
          <w:numId w:val="19"/>
        </w:numPr>
        <w:spacing w:after="0" w:line="360" w:lineRule="auto"/>
        <w:ind w:left="0" w:firstLine="0"/>
        <w:jc w:val="both"/>
        <w:rPr>
          <w:rFonts w:cs="Times New Roman"/>
          <w:sz w:val="28"/>
          <w:szCs w:val="28"/>
        </w:rPr>
      </w:pPr>
      <w:r w:rsidRPr="00F43E81">
        <w:rPr>
          <w:rFonts w:cs="Times New Roman"/>
          <w:sz w:val="28"/>
          <w:szCs w:val="28"/>
        </w:rPr>
        <w:t>Section 16(1) of the Constitution guarantees the right of freedom of expression to all persons.</w:t>
      </w:r>
      <w:r>
        <w:rPr>
          <w:rStyle w:val="FootnoteReference"/>
          <w:rFonts w:cs="Times New Roman"/>
          <w:sz w:val="28"/>
          <w:szCs w:val="28"/>
        </w:rPr>
        <w:footnoteReference w:id="24"/>
      </w:r>
      <w:r w:rsidRPr="00F43E81">
        <w:rPr>
          <w:rFonts w:cs="Times New Roman"/>
          <w:sz w:val="28"/>
          <w:szCs w:val="28"/>
        </w:rPr>
        <w:t xml:space="preserve"> </w:t>
      </w:r>
      <w:r w:rsidR="00F94C6C" w:rsidRPr="00F43E81">
        <w:rPr>
          <w:rFonts w:cs="Times New Roman"/>
          <w:sz w:val="28"/>
          <w:szCs w:val="28"/>
        </w:rPr>
        <w:t>Freedom of expression is fundamental to most other rights and freedoms,</w:t>
      </w:r>
      <w:r w:rsidR="00191560">
        <w:rPr>
          <w:rFonts w:cs="Times New Roman"/>
          <w:sz w:val="28"/>
          <w:szCs w:val="28"/>
        </w:rPr>
        <w:t xml:space="preserve"> </w:t>
      </w:r>
      <w:r w:rsidR="00F94C6C" w:rsidRPr="00F43E81">
        <w:rPr>
          <w:rFonts w:cs="Times New Roman"/>
          <w:sz w:val="28"/>
          <w:szCs w:val="28"/>
        </w:rPr>
        <w:t>and quintessential of democracy.</w:t>
      </w:r>
      <w:r w:rsidR="007C6E0E">
        <w:rPr>
          <w:rStyle w:val="FootnoteReference"/>
          <w:rFonts w:cs="Times New Roman"/>
          <w:sz w:val="28"/>
          <w:szCs w:val="28"/>
        </w:rPr>
        <w:footnoteReference w:id="25"/>
      </w:r>
      <w:r w:rsidR="00F94C6C" w:rsidRPr="00F43E81">
        <w:rPr>
          <w:rFonts w:cs="Times New Roman"/>
          <w:sz w:val="28"/>
          <w:szCs w:val="28"/>
        </w:rPr>
        <w:t xml:space="preserve"> </w:t>
      </w:r>
      <w:r w:rsidR="00F94C6C" w:rsidRPr="005F7301">
        <w:rPr>
          <w:rFonts w:cs="Times New Roman"/>
          <w:sz w:val="28"/>
          <w:szCs w:val="28"/>
        </w:rPr>
        <w:t xml:space="preserve">However, expression can, and often does, infringe upon the rights and interests of others. This is </w:t>
      </w:r>
      <w:r w:rsidR="00F94C6C" w:rsidRPr="005F7301">
        <w:rPr>
          <w:rFonts w:cs="Times New Roman"/>
          <w:sz w:val="28"/>
          <w:szCs w:val="28"/>
        </w:rPr>
        <w:lastRenderedPageBreak/>
        <w:t>recognised in s 16(2) of the Constitution, which excludes</w:t>
      </w:r>
      <w:r w:rsidR="000A36E8">
        <w:rPr>
          <w:rFonts w:cs="Times New Roman"/>
          <w:sz w:val="28"/>
          <w:szCs w:val="28"/>
        </w:rPr>
        <w:t xml:space="preserve"> hate speech </w:t>
      </w:r>
      <w:r w:rsidR="00F94C6C" w:rsidRPr="005F7301">
        <w:rPr>
          <w:rFonts w:cs="Times New Roman"/>
          <w:sz w:val="28"/>
          <w:szCs w:val="28"/>
        </w:rPr>
        <w:t>from the right to freedom of expression.</w:t>
      </w:r>
      <w:r w:rsidR="00107FE6" w:rsidRPr="005F7301">
        <w:rPr>
          <w:rFonts w:cs="Times New Roman"/>
          <w:sz w:val="28"/>
          <w:szCs w:val="28"/>
        </w:rPr>
        <w:t xml:space="preserve"> It does so, as the Constitutional Court emphasised in </w:t>
      </w:r>
      <w:r w:rsidR="00107FE6" w:rsidRPr="005F7301">
        <w:rPr>
          <w:rFonts w:cs="Times New Roman"/>
          <w:i/>
          <w:sz w:val="28"/>
          <w:szCs w:val="28"/>
        </w:rPr>
        <w:t>Qwelane</w:t>
      </w:r>
      <w:r w:rsidR="008A67CA">
        <w:rPr>
          <w:rFonts w:cs="Times New Roman"/>
          <w:sz w:val="28"/>
          <w:szCs w:val="28"/>
        </w:rPr>
        <w:t xml:space="preserve">, because </w:t>
      </w:r>
      <w:r w:rsidR="00F43E81" w:rsidRPr="005F7301">
        <w:rPr>
          <w:rFonts w:cs="Times New Roman"/>
          <w:sz w:val="28"/>
          <w:szCs w:val="28"/>
        </w:rPr>
        <w:t>‘[h]</w:t>
      </w:r>
      <w:r w:rsidR="00107FE6" w:rsidRPr="005F7301">
        <w:rPr>
          <w:rFonts w:cs="Times New Roman"/>
          <w:sz w:val="28"/>
          <w:szCs w:val="28"/>
        </w:rPr>
        <w:t>ate speech is the antithesis of the values envisioned by the right to free speech – whereas the latter advances democracy, hate speech is destructive of democracy’</w:t>
      </w:r>
      <w:r w:rsidR="00F43E81" w:rsidRPr="005F7301">
        <w:rPr>
          <w:rFonts w:cs="Times New Roman"/>
          <w:sz w:val="28"/>
          <w:szCs w:val="28"/>
        </w:rPr>
        <w:t>;</w:t>
      </w:r>
      <w:r w:rsidR="00F43E81">
        <w:rPr>
          <w:rStyle w:val="FootnoteReference"/>
          <w:rFonts w:cs="Times New Roman"/>
          <w:sz w:val="28"/>
          <w:szCs w:val="28"/>
        </w:rPr>
        <w:footnoteReference w:id="26"/>
      </w:r>
      <w:r w:rsidR="00F43E81" w:rsidRPr="005F7301">
        <w:rPr>
          <w:rFonts w:cs="Times New Roman"/>
          <w:sz w:val="28"/>
          <w:szCs w:val="28"/>
        </w:rPr>
        <w:t xml:space="preserve"> and it ‘undermines the constitutional project of substantive equality </w:t>
      </w:r>
      <w:r w:rsidR="005808E8" w:rsidRPr="005F7301">
        <w:rPr>
          <w:rFonts w:cs="Times New Roman"/>
          <w:sz w:val="28"/>
          <w:szCs w:val="28"/>
        </w:rPr>
        <w:t>and acceptance in our society’.</w:t>
      </w:r>
      <w:r w:rsidR="005808E8">
        <w:rPr>
          <w:rStyle w:val="FootnoteReference"/>
          <w:rFonts w:cs="Times New Roman"/>
          <w:sz w:val="28"/>
          <w:szCs w:val="28"/>
        </w:rPr>
        <w:footnoteReference w:id="27"/>
      </w:r>
    </w:p>
    <w:p w14:paraId="1E19A889" w14:textId="77777777" w:rsidR="00D353EF" w:rsidRPr="005F7301" w:rsidRDefault="00D353EF" w:rsidP="00D353EF">
      <w:pPr>
        <w:pStyle w:val="ListParagraph"/>
        <w:spacing w:after="0" w:line="360" w:lineRule="auto"/>
        <w:ind w:left="0"/>
        <w:jc w:val="both"/>
        <w:rPr>
          <w:rFonts w:cs="Times New Roman"/>
          <w:sz w:val="28"/>
          <w:szCs w:val="28"/>
        </w:rPr>
      </w:pPr>
    </w:p>
    <w:p w14:paraId="0BAFEB40" w14:textId="77777777" w:rsidR="00A633E8" w:rsidRDefault="00B113D1" w:rsidP="00C5752E">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Equality Act</w:t>
      </w:r>
      <w:r w:rsidR="005F7301">
        <w:rPr>
          <w:rFonts w:cs="Times New Roman"/>
          <w:sz w:val="28"/>
          <w:szCs w:val="28"/>
        </w:rPr>
        <w:t xml:space="preserve"> is the legislation mandated by s</w:t>
      </w:r>
      <w:r w:rsidR="00856F3A">
        <w:rPr>
          <w:rFonts w:cs="Times New Roman"/>
          <w:sz w:val="28"/>
          <w:szCs w:val="28"/>
        </w:rPr>
        <w:t xml:space="preserve"> </w:t>
      </w:r>
      <w:r w:rsidR="005F7301">
        <w:rPr>
          <w:rFonts w:cs="Times New Roman"/>
          <w:sz w:val="28"/>
          <w:szCs w:val="28"/>
        </w:rPr>
        <w:t>9 of the Constitution to prevent unfair discrimination and to promote the achievement of equality.</w:t>
      </w:r>
      <w:r w:rsidR="005F7301">
        <w:rPr>
          <w:rStyle w:val="FootnoteReference"/>
          <w:rFonts w:cs="Times New Roman"/>
          <w:sz w:val="28"/>
          <w:szCs w:val="28"/>
        </w:rPr>
        <w:footnoteReference w:id="28"/>
      </w:r>
      <w:r w:rsidR="005F7301">
        <w:rPr>
          <w:rFonts w:cs="Times New Roman"/>
          <w:sz w:val="28"/>
          <w:szCs w:val="28"/>
        </w:rPr>
        <w:t xml:space="preserve"> </w:t>
      </w:r>
      <w:r w:rsidR="00720B43">
        <w:rPr>
          <w:rFonts w:cs="Times New Roman"/>
          <w:sz w:val="28"/>
          <w:szCs w:val="28"/>
        </w:rPr>
        <w:t>E</w:t>
      </w:r>
      <w:r w:rsidR="005F7301">
        <w:rPr>
          <w:rFonts w:cs="Times New Roman"/>
          <w:sz w:val="28"/>
          <w:szCs w:val="28"/>
        </w:rPr>
        <w:t xml:space="preserve">quality among all people who live in South Africa </w:t>
      </w:r>
      <w:r w:rsidR="00720B43">
        <w:rPr>
          <w:rFonts w:cs="Times New Roman"/>
          <w:sz w:val="28"/>
          <w:szCs w:val="28"/>
        </w:rPr>
        <w:t>is at the heart of the C</w:t>
      </w:r>
      <w:r w:rsidR="005F7301">
        <w:rPr>
          <w:rFonts w:cs="Times New Roman"/>
          <w:sz w:val="28"/>
          <w:szCs w:val="28"/>
        </w:rPr>
        <w:t>onstitution.</w:t>
      </w:r>
      <w:r w:rsidR="005F7301">
        <w:rPr>
          <w:rStyle w:val="FootnoteReference"/>
          <w:rFonts w:cs="Times New Roman"/>
          <w:sz w:val="28"/>
          <w:szCs w:val="28"/>
        </w:rPr>
        <w:footnoteReference w:id="29"/>
      </w:r>
      <w:r w:rsidR="00720B43">
        <w:rPr>
          <w:rFonts w:cs="Times New Roman"/>
          <w:sz w:val="28"/>
          <w:szCs w:val="28"/>
        </w:rPr>
        <w:t xml:space="preserve"> This is emphasised throughout the Constitution, particularly in the founding values in s </w:t>
      </w:r>
      <w:r w:rsidR="00720B43" w:rsidRPr="00F54177">
        <w:rPr>
          <w:sz w:val="28"/>
          <w:szCs w:val="28"/>
        </w:rPr>
        <w:t>1</w:t>
      </w:r>
      <w:r w:rsidR="00720B43">
        <w:rPr>
          <w:rFonts w:cs="Times New Roman"/>
          <w:sz w:val="28"/>
          <w:szCs w:val="28"/>
        </w:rPr>
        <w:t>.</w:t>
      </w:r>
      <w:r w:rsidR="00720B43">
        <w:rPr>
          <w:rStyle w:val="FootnoteReference"/>
          <w:rFonts w:cs="Times New Roman"/>
          <w:sz w:val="28"/>
          <w:szCs w:val="28"/>
        </w:rPr>
        <w:footnoteReference w:id="30"/>
      </w:r>
    </w:p>
    <w:p w14:paraId="76E0A2E7" w14:textId="77777777" w:rsidR="00720B43" w:rsidRDefault="00720B43" w:rsidP="00720B43">
      <w:pPr>
        <w:pStyle w:val="ListParagraph"/>
        <w:spacing w:after="0" w:line="360" w:lineRule="auto"/>
        <w:ind w:left="0"/>
        <w:jc w:val="both"/>
        <w:rPr>
          <w:rFonts w:cs="Times New Roman"/>
          <w:sz w:val="28"/>
          <w:szCs w:val="28"/>
        </w:rPr>
      </w:pPr>
    </w:p>
    <w:p w14:paraId="22D68203" w14:textId="77777777" w:rsidR="007365F3" w:rsidRDefault="001C09BE" w:rsidP="0011245C">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Human dignity informs the interpretation of all other rights, including the rights to freedom of expression and equality.</w:t>
      </w:r>
      <w:r>
        <w:rPr>
          <w:rStyle w:val="FootnoteReference"/>
          <w:rFonts w:cs="Times New Roman"/>
          <w:sz w:val="28"/>
          <w:szCs w:val="28"/>
        </w:rPr>
        <w:footnoteReference w:id="31"/>
      </w:r>
      <w:r>
        <w:rPr>
          <w:rFonts w:cs="Times New Roman"/>
          <w:sz w:val="28"/>
          <w:szCs w:val="28"/>
        </w:rPr>
        <w:t xml:space="preserve"> In </w:t>
      </w:r>
      <w:r w:rsidRPr="001C09BE">
        <w:rPr>
          <w:rFonts w:cs="Times New Roman"/>
          <w:i/>
          <w:sz w:val="28"/>
          <w:szCs w:val="28"/>
        </w:rPr>
        <w:t>Qwelane</w:t>
      </w:r>
      <w:r>
        <w:rPr>
          <w:rFonts w:cs="Times New Roman"/>
          <w:sz w:val="28"/>
          <w:szCs w:val="28"/>
        </w:rPr>
        <w:t>,</w:t>
      </w:r>
      <w:r>
        <w:rPr>
          <w:rStyle w:val="FootnoteReference"/>
          <w:rFonts w:cs="Times New Roman"/>
          <w:sz w:val="28"/>
          <w:szCs w:val="28"/>
        </w:rPr>
        <w:footnoteReference w:id="32"/>
      </w:r>
      <w:r>
        <w:rPr>
          <w:rFonts w:cs="Times New Roman"/>
          <w:sz w:val="28"/>
          <w:szCs w:val="28"/>
        </w:rPr>
        <w:t xml:space="preserve"> the Constitutional Court described the impact of hate speech on the right to dignity as follows:</w:t>
      </w:r>
    </w:p>
    <w:p w14:paraId="1A467DF1" w14:textId="77777777" w:rsidR="001C09BE" w:rsidRDefault="001C09BE" w:rsidP="001C09BE">
      <w:pPr>
        <w:pStyle w:val="ListParagraph"/>
        <w:spacing w:after="0" w:line="360" w:lineRule="auto"/>
        <w:ind w:left="0"/>
        <w:jc w:val="both"/>
        <w:rPr>
          <w:rFonts w:cs="Times New Roman"/>
          <w:sz w:val="24"/>
          <w:szCs w:val="24"/>
        </w:rPr>
      </w:pPr>
      <w:r w:rsidRPr="001C09BE">
        <w:rPr>
          <w:rFonts w:cs="Times New Roman"/>
          <w:sz w:val="24"/>
          <w:szCs w:val="24"/>
        </w:rPr>
        <w:t xml:space="preserve">‘Hate speech is one of the most devastating modes of subverting the dignity and self-worth of human beings. This is so because hate speech marginalises and delegitimises individuals based on their membership of a group. This may diminish their social standing in the broader society, outside of the group they identify with. It can ignite exclusion, hostility, discrimination and violence against them.’ </w:t>
      </w:r>
    </w:p>
    <w:p w14:paraId="1D5A39A8" w14:textId="77777777" w:rsidR="001D68B1" w:rsidRDefault="001D68B1" w:rsidP="001C09BE">
      <w:pPr>
        <w:pStyle w:val="ListParagraph"/>
        <w:spacing w:after="0" w:line="360" w:lineRule="auto"/>
        <w:ind w:left="0"/>
        <w:jc w:val="both"/>
        <w:rPr>
          <w:rFonts w:cs="Times New Roman"/>
          <w:sz w:val="24"/>
          <w:szCs w:val="24"/>
        </w:rPr>
      </w:pPr>
    </w:p>
    <w:p w14:paraId="33E5DABF" w14:textId="77777777" w:rsidR="00B25D7F" w:rsidRDefault="00B25D7F" w:rsidP="001569E7">
      <w:pPr>
        <w:rPr>
          <w:b/>
          <w:sz w:val="28"/>
          <w:szCs w:val="28"/>
        </w:rPr>
      </w:pPr>
    </w:p>
    <w:p w14:paraId="296290DD" w14:textId="5175EBDA" w:rsidR="001569E7" w:rsidRDefault="001569E7" w:rsidP="001569E7">
      <w:pPr>
        <w:rPr>
          <w:b/>
          <w:sz w:val="28"/>
          <w:szCs w:val="28"/>
        </w:rPr>
      </w:pPr>
      <w:r w:rsidRPr="00175469">
        <w:rPr>
          <w:b/>
          <w:sz w:val="28"/>
          <w:szCs w:val="28"/>
        </w:rPr>
        <w:lastRenderedPageBreak/>
        <w:t>Section 10(1) of the Equality Act</w:t>
      </w:r>
      <w:r w:rsidR="00D117E8">
        <w:rPr>
          <w:b/>
          <w:sz w:val="28"/>
          <w:szCs w:val="28"/>
        </w:rPr>
        <w:t>: hate speech</w:t>
      </w:r>
    </w:p>
    <w:p w14:paraId="455C35EB" w14:textId="77777777" w:rsidR="002766DD" w:rsidRPr="009150EC" w:rsidRDefault="004058B9" w:rsidP="0011245C">
      <w:pPr>
        <w:pStyle w:val="ListParagraph"/>
        <w:numPr>
          <w:ilvl w:val="0"/>
          <w:numId w:val="19"/>
        </w:numPr>
        <w:spacing w:after="0" w:line="360" w:lineRule="auto"/>
        <w:ind w:left="0" w:firstLine="0"/>
        <w:jc w:val="both"/>
        <w:rPr>
          <w:rFonts w:cs="Times New Roman"/>
          <w:sz w:val="28"/>
          <w:szCs w:val="28"/>
        </w:rPr>
      </w:pPr>
      <w:r w:rsidRPr="009150EC">
        <w:rPr>
          <w:rFonts w:cs="Times New Roman"/>
          <w:sz w:val="28"/>
          <w:szCs w:val="28"/>
        </w:rPr>
        <w:t xml:space="preserve">In terms of the Constitutional Court’s order in </w:t>
      </w:r>
      <w:r w:rsidRPr="009150EC">
        <w:rPr>
          <w:rFonts w:cs="Times New Roman"/>
          <w:i/>
          <w:sz w:val="28"/>
          <w:szCs w:val="28"/>
        </w:rPr>
        <w:t>Qwelane</w:t>
      </w:r>
      <w:r w:rsidRPr="009150EC">
        <w:rPr>
          <w:rFonts w:cs="Times New Roman"/>
          <w:sz w:val="28"/>
          <w:szCs w:val="28"/>
        </w:rPr>
        <w:t>,</w:t>
      </w:r>
      <w:r w:rsidR="00602C0B" w:rsidRPr="009150EC">
        <w:rPr>
          <w:rStyle w:val="FootnoteReference"/>
          <w:rFonts w:cs="Times New Roman"/>
          <w:sz w:val="28"/>
          <w:szCs w:val="28"/>
        </w:rPr>
        <w:footnoteReference w:id="33"/>
      </w:r>
      <w:r w:rsidRPr="009150EC">
        <w:rPr>
          <w:rFonts w:cs="Times New Roman"/>
          <w:sz w:val="28"/>
          <w:szCs w:val="28"/>
        </w:rPr>
        <w:t xml:space="preserve"> the prohibition of hate speech in s 10(1) of </w:t>
      </w:r>
      <w:r w:rsidR="00B113D1">
        <w:rPr>
          <w:rFonts w:cs="Times New Roman"/>
          <w:sz w:val="28"/>
          <w:szCs w:val="28"/>
        </w:rPr>
        <w:t>the Equality Act</w:t>
      </w:r>
      <w:r w:rsidRPr="009150EC">
        <w:rPr>
          <w:rFonts w:cs="Times New Roman"/>
          <w:sz w:val="28"/>
          <w:szCs w:val="28"/>
        </w:rPr>
        <w:t xml:space="preserve"> now</w:t>
      </w:r>
      <w:r w:rsidR="00602C0B" w:rsidRPr="009150EC">
        <w:rPr>
          <w:rFonts w:cs="Times New Roman"/>
          <w:sz w:val="28"/>
          <w:szCs w:val="28"/>
        </w:rPr>
        <w:t xml:space="preserve"> reads:</w:t>
      </w:r>
    </w:p>
    <w:p w14:paraId="7D8D44B8" w14:textId="17099A29" w:rsidR="009C2E93" w:rsidRDefault="004058B9" w:rsidP="00B274A6">
      <w:pPr>
        <w:pStyle w:val="ListParagraph"/>
        <w:spacing w:after="0" w:line="360" w:lineRule="auto"/>
        <w:ind w:left="0"/>
        <w:jc w:val="both"/>
        <w:rPr>
          <w:rFonts w:cs="Times New Roman"/>
          <w:sz w:val="24"/>
          <w:szCs w:val="24"/>
        </w:rPr>
      </w:pPr>
      <w:r w:rsidRPr="001B2DD2">
        <w:rPr>
          <w:rFonts w:cs="Times New Roman"/>
          <w:sz w:val="24"/>
          <w:szCs w:val="24"/>
        </w:rPr>
        <w:t>‘</w:t>
      </w:r>
      <w:r w:rsidRPr="00D4731A">
        <w:rPr>
          <w:sz w:val="24"/>
          <w:szCs w:val="24"/>
        </w:rPr>
        <w:t xml:space="preserve">Subject to the proviso in section 12, no person may publish, propagate, advocate or communicate words that are based on one or more of the </w:t>
      </w:r>
      <w:r w:rsidR="00602C0B" w:rsidRPr="00D4731A">
        <w:rPr>
          <w:sz w:val="24"/>
          <w:szCs w:val="24"/>
        </w:rPr>
        <w:t xml:space="preserve">prohibited grounds, against any </w:t>
      </w:r>
      <w:r w:rsidRPr="00D4731A">
        <w:rPr>
          <w:sz w:val="24"/>
          <w:szCs w:val="24"/>
        </w:rPr>
        <w:t xml:space="preserve">person, </w:t>
      </w:r>
      <w:r w:rsidR="00602C0B" w:rsidRPr="00D4731A">
        <w:rPr>
          <w:sz w:val="24"/>
          <w:szCs w:val="24"/>
        </w:rPr>
        <w:t xml:space="preserve">that could reasonably be construed to </w:t>
      </w:r>
      <w:r w:rsidRPr="00D4731A">
        <w:rPr>
          <w:sz w:val="24"/>
          <w:szCs w:val="24"/>
        </w:rPr>
        <w:t xml:space="preserve">demonstrate a clear intention </w:t>
      </w:r>
      <w:r w:rsidR="00602C0B" w:rsidRPr="00D4731A">
        <w:rPr>
          <w:sz w:val="24"/>
          <w:szCs w:val="24"/>
        </w:rPr>
        <w:t>to be harmful</w:t>
      </w:r>
      <w:r w:rsidRPr="00D4731A">
        <w:rPr>
          <w:sz w:val="24"/>
          <w:szCs w:val="24"/>
        </w:rPr>
        <w:t xml:space="preserve"> </w:t>
      </w:r>
      <w:r w:rsidR="006E64E2">
        <w:rPr>
          <w:sz w:val="24"/>
          <w:szCs w:val="24"/>
        </w:rPr>
        <w:t xml:space="preserve">or to </w:t>
      </w:r>
      <w:r w:rsidR="007F059F">
        <w:rPr>
          <w:sz w:val="24"/>
          <w:szCs w:val="24"/>
        </w:rPr>
        <w:t xml:space="preserve">incite harm; </w:t>
      </w:r>
      <w:r w:rsidRPr="00D4731A">
        <w:rPr>
          <w:sz w:val="24"/>
          <w:szCs w:val="24"/>
        </w:rPr>
        <w:t>and to promote or propagate hatred</w:t>
      </w:r>
      <w:r w:rsidRPr="001B2DD2">
        <w:rPr>
          <w:rFonts w:cs="Times New Roman"/>
          <w:sz w:val="24"/>
          <w:szCs w:val="24"/>
        </w:rPr>
        <w:t>.</w:t>
      </w:r>
      <w:r w:rsidR="00602C0B" w:rsidRPr="001B2DD2">
        <w:rPr>
          <w:rFonts w:cs="Times New Roman"/>
          <w:sz w:val="24"/>
          <w:szCs w:val="24"/>
        </w:rPr>
        <w:t>’</w:t>
      </w:r>
      <w:r w:rsidR="00602C0B">
        <w:rPr>
          <w:rStyle w:val="FootnoteReference"/>
          <w:rFonts w:cs="Times New Roman"/>
          <w:sz w:val="28"/>
          <w:szCs w:val="28"/>
        </w:rPr>
        <w:footnoteReference w:id="34"/>
      </w:r>
    </w:p>
    <w:p w14:paraId="288D9BF3" w14:textId="77777777" w:rsidR="006E64E2" w:rsidRPr="00B274A6" w:rsidRDefault="006E64E2" w:rsidP="00B274A6">
      <w:pPr>
        <w:pStyle w:val="ListParagraph"/>
        <w:spacing w:after="0" w:line="360" w:lineRule="auto"/>
        <w:ind w:left="0"/>
        <w:jc w:val="both"/>
        <w:rPr>
          <w:rFonts w:cs="Times New Roman"/>
          <w:sz w:val="24"/>
          <w:szCs w:val="24"/>
        </w:rPr>
      </w:pPr>
    </w:p>
    <w:p w14:paraId="2F924A92" w14:textId="77777777" w:rsidR="00B274A6" w:rsidRDefault="00EB08BE" w:rsidP="009D057F">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As already stated, the high court interpreted s 10(1) broadly and purposively in the light of the objects of the Equality Act and the underlying constitutional imperatives. Its interpretation means that any expression of ideas</w:t>
      </w:r>
      <w:r w:rsidR="00457E91">
        <w:rPr>
          <w:rFonts w:cs="Times New Roman"/>
          <w:sz w:val="28"/>
          <w:szCs w:val="28"/>
        </w:rPr>
        <w:t xml:space="preserve">, </w:t>
      </w:r>
      <w:r w:rsidR="00B274A6">
        <w:rPr>
          <w:rFonts w:cs="Times New Roman"/>
          <w:sz w:val="28"/>
          <w:szCs w:val="28"/>
        </w:rPr>
        <w:t xml:space="preserve">whether </w:t>
      </w:r>
      <w:r w:rsidR="00457E91">
        <w:rPr>
          <w:rFonts w:cs="Times New Roman"/>
          <w:sz w:val="28"/>
          <w:szCs w:val="28"/>
        </w:rPr>
        <w:t xml:space="preserve">by word or conduct, </w:t>
      </w:r>
      <w:r>
        <w:rPr>
          <w:rFonts w:cs="Times New Roman"/>
          <w:sz w:val="28"/>
          <w:szCs w:val="28"/>
        </w:rPr>
        <w:t>is included in the prohibition in s</w:t>
      </w:r>
      <w:r w:rsidR="00494880">
        <w:rPr>
          <w:rFonts w:cs="Times New Roman"/>
          <w:sz w:val="28"/>
          <w:szCs w:val="28"/>
        </w:rPr>
        <w:t xml:space="preserve"> </w:t>
      </w:r>
      <w:r>
        <w:rPr>
          <w:rFonts w:cs="Times New Roman"/>
          <w:sz w:val="28"/>
          <w:szCs w:val="28"/>
        </w:rPr>
        <w:t>10(1)</w:t>
      </w:r>
      <w:r w:rsidR="00457E91">
        <w:rPr>
          <w:rFonts w:cs="Times New Roman"/>
          <w:sz w:val="28"/>
          <w:szCs w:val="28"/>
        </w:rPr>
        <w:t xml:space="preserve">. In approving this interpretation, the Constitutional Court stated that ‘[t]his wide meaning accords </w:t>
      </w:r>
      <w:r w:rsidR="00B274A6">
        <w:rPr>
          <w:rFonts w:cs="Times New Roman"/>
          <w:sz w:val="28"/>
          <w:szCs w:val="28"/>
        </w:rPr>
        <w:t>not only with our Constitution, but also with the provisions of the Equality Act. And it is consonant with international law and comparative foreign law’.</w:t>
      </w:r>
      <w:r w:rsidR="00B274A6">
        <w:rPr>
          <w:rStyle w:val="FootnoteReference"/>
          <w:rFonts w:cs="Times New Roman"/>
          <w:sz w:val="28"/>
          <w:szCs w:val="28"/>
        </w:rPr>
        <w:footnoteReference w:id="35"/>
      </w:r>
    </w:p>
    <w:p w14:paraId="1A43831B" w14:textId="77777777" w:rsidR="00EB08BE" w:rsidRDefault="00457E91" w:rsidP="00B274A6">
      <w:pPr>
        <w:pStyle w:val="ListParagraph"/>
        <w:spacing w:after="0" w:line="360" w:lineRule="auto"/>
        <w:ind w:left="0"/>
        <w:jc w:val="both"/>
        <w:rPr>
          <w:rFonts w:cs="Times New Roman"/>
          <w:sz w:val="28"/>
          <w:szCs w:val="28"/>
        </w:rPr>
      </w:pPr>
      <w:r>
        <w:rPr>
          <w:rFonts w:cs="Times New Roman"/>
          <w:sz w:val="28"/>
          <w:szCs w:val="28"/>
        </w:rPr>
        <w:t xml:space="preserve"> </w:t>
      </w:r>
    </w:p>
    <w:p w14:paraId="2B0961E6" w14:textId="77777777" w:rsidR="009D057F" w:rsidRDefault="00B113D1" w:rsidP="009D057F">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Equality Act</w:t>
      </w:r>
      <w:r w:rsidR="00602C0B">
        <w:rPr>
          <w:rFonts w:cs="Times New Roman"/>
          <w:sz w:val="28"/>
          <w:szCs w:val="28"/>
        </w:rPr>
        <w:t xml:space="preserve"> itself </w:t>
      </w:r>
      <w:r w:rsidR="00177943">
        <w:rPr>
          <w:rFonts w:cs="Times New Roman"/>
          <w:sz w:val="28"/>
          <w:szCs w:val="28"/>
        </w:rPr>
        <w:t xml:space="preserve">states what factors </w:t>
      </w:r>
      <w:r w:rsidR="009D057F">
        <w:rPr>
          <w:rFonts w:cs="Times New Roman"/>
          <w:sz w:val="28"/>
          <w:szCs w:val="28"/>
        </w:rPr>
        <w:t>should be considered in its application. Section 4(2) provides:</w:t>
      </w:r>
    </w:p>
    <w:p w14:paraId="21FD8C26" w14:textId="77777777" w:rsidR="009D057F" w:rsidRPr="009D057F" w:rsidRDefault="009D057F" w:rsidP="009D057F">
      <w:pPr>
        <w:pStyle w:val="ListParagraph"/>
        <w:spacing w:after="0" w:line="360" w:lineRule="auto"/>
        <w:ind w:left="0"/>
        <w:jc w:val="both"/>
        <w:rPr>
          <w:rFonts w:cs="Times New Roman"/>
          <w:sz w:val="24"/>
          <w:szCs w:val="24"/>
        </w:rPr>
      </w:pPr>
      <w:r w:rsidRPr="009D057F">
        <w:rPr>
          <w:rFonts w:cs="Times New Roman"/>
          <w:sz w:val="24"/>
          <w:szCs w:val="24"/>
        </w:rPr>
        <w:t>‘In the application of this Act the following should be recognised and taken into account:</w:t>
      </w:r>
    </w:p>
    <w:p w14:paraId="16F64E3F" w14:textId="77777777" w:rsidR="009D057F" w:rsidRPr="009D057F" w:rsidRDefault="009D057F" w:rsidP="009D057F">
      <w:pPr>
        <w:pStyle w:val="ListParagraph"/>
        <w:spacing w:after="0" w:line="360" w:lineRule="auto"/>
        <w:ind w:left="0"/>
        <w:jc w:val="both"/>
        <w:rPr>
          <w:rFonts w:cs="Times New Roman"/>
          <w:sz w:val="24"/>
          <w:szCs w:val="24"/>
        </w:rPr>
      </w:pPr>
      <w:r w:rsidRPr="00C35B16">
        <w:rPr>
          <w:rFonts w:cs="Times New Roman"/>
          <w:i/>
          <w:sz w:val="24"/>
          <w:szCs w:val="24"/>
        </w:rPr>
        <w:t>(a)</w:t>
      </w:r>
      <w:r w:rsidRPr="009D057F">
        <w:rPr>
          <w:rFonts w:cs="Times New Roman"/>
          <w:sz w:val="24"/>
          <w:szCs w:val="24"/>
        </w:rPr>
        <w:t xml:space="preserve"> The existence of systemic discrimination and inequalities, particularly in respect of race, gender and disability in all spheres of life as a res</w:t>
      </w:r>
      <w:r w:rsidR="003C2230">
        <w:rPr>
          <w:rFonts w:cs="Times New Roman"/>
          <w:sz w:val="24"/>
          <w:szCs w:val="24"/>
        </w:rPr>
        <w:t xml:space="preserve">ult of past and present </w:t>
      </w:r>
      <w:r w:rsidRPr="009D057F">
        <w:rPr>
          <w:rFonts w:cs="Times New Roman"/>
          <w:sz w:val="24"/>
          <w:szCs w:val="24"/>
        </w:rPr>
        <w:t xml:space="preserve">unfair discrimination, brought about by colonialism, the apartheid system and patriarchy; and </w:t>
      </w:r>
    </w:p>
    <w:p w14:paraId="02248275" w14:textId="77777777" w:rsidR="009D057F" w:rsidRDefault="009D057F" w:rsidP="009D057F">
      <w:pPr>
        <w:pStyle w:val="ListParagraph"/>
        <w:spacing w:after="0" w:line="360" w:lineRule="auto"/>
        <w:ind w:left="0"/>
        <w:jc w:val="both"/>
        <w:rPr>
          <w:rFonts w:cs="Times New Roman"/>
          <w:sz w:val="24"/>
          <w:szCs w:val="24"/>
        </w:rPr>
      </w:pPr>
      <w:r w:rsidRPr="00C35B16">
        <w:rPr>
          <w:rFonts w:cs="Times New Roman"/>
          <w:i/>
          <w:sz w:val="24"/>
          <w:szCs w:val="24"/>
        </w:rPr>
        <w:t>(</w:t>
      </w:r>
      <w:r w:rsidR="003C2230" w:rsidRPr="00C35B16">
        <w:rPr>
          <w:rFonts w:cs="Times New Roman"/>
          <w:i/>
          <w:sz w:val="24"/>
          <w:szCs w:val="24"/>
        </w:rPr>
        <w:t>b</w:t>
      </w:r>
      <w:r w:rsidRPr="00C35B16">
        <w:rPr>
          <w:rFonts w:cs="Times New Roman"/>
          <w:i/>
          <w:sz w:val="24"/>
          <w:szCs w:val="24"/>
        </w:rPr>
        <w:t>)</w:t>
      </w:r>
      <w:r w:rsidRPr="009D057F">
        <w:rPr>
          <w:rFonts w:cs="Times New Roman"/>
          <w:sz w:val="24"/>
          <w:szCs w:val="24"/>
        </w:rPr>
        <w:t xml:space="preserve"> the need to take measures at all levels to eliminate such discrimination and inequalities.’</w:t>
      </w:r>
    </w:p>
    <w:p w14:paraId="4DAD857D" w14:textId="77777777" w:rsidR="00B274A6" w:rsidRDefault="00B274A6" w:rsidP="00B274A6">
      <w:pPr>
        <w:pStyle w:val="ListParagraph"/>
        <w:spacing w:after="0" w:line="360" w:lineRule="auto"/>
        <w:ind w:left="0"/>
        <w:jc w:val="both"/>
        <w:rPr>
          <w:rFonts w:cs="Times New Roman"/>
          <w:sz w:val="28"/>
          <w:szCs w:val="28"/>
        </w:rPr>
      </w:pPr>
    </w:p>
    <w:p w14:paraId="14E6F517" w14:textId="77777777" w:rsidR="00B7107A" w:rsidRDefault="000A46AA" w:rsidP="009D729F">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When the amended prohibition of hate speech </w:t>
      </w:r>
      <w:r w:rsidR="002F32E7">
        <w:rPr>
          <w:rFonts w:cs="Times New Roman"/>
          <w:sz w:val="28"/>
          <w:szCs w:val="28"/>
        </w:rPr>
        <w:t xml:space="preserve">in s 10(1) </w:t>
      </w:r>
      <w:r>
        <w:rPr>
          <w:rFonts w:cs="Times New Roman"/>
          <w:sz w:val="28"/>
          <w:szCs w:val="28"/>
        </w:rPr>
        <w:t xml:space="preserve">is read with the proviso in s 12 of the Equality Act, it proscribes expression: (a) that constitutes  </w:t>
      </w:r>
      <w:r>
        <w:rPr>
          <w:rFonts w:cs="Times New Roman"/>
          <w:sz w:val="28"/>
          <w:szCs w:val="28"/>
        </w:rPr>
        <w:lastRenderedPageBreak/>
        <w:t>pub</w:t>
      </w:r>
      <w:r w:rsidR="00C94D3C">
        <w:rPr>
          <w:rFonts w:cs="Times New Roman"/>
          <w:sz w:val="28"/>
          <w:szCs w:val="28"/>
        </w:rPr>
        <w:t xml:space="preserve">lication, propagation </w:t>
      </w:r>
      <w:r>
        <w:rPr>
          <w:rFonts w:cs="Times New Roman"/>
          <w:sz w:val="28"/>
          <w:szCs w:val="28"/>
        </w:rPr>
        <w:t xml:space="preserve">or communication of words; (b) based on one or more of the prohibited grounds against any person; (c) that </w:t>
      </w:r>
      <w:r w:rsidR="00C94D3C">
        <w:rPr>
          <w:rFonts w:cs="Times New Roman"/>
          <w:sz w:val="28"/>
          <w:szCs w:val="28"/>
        </w:rPr>
        <w:t>could reasonably be construed to demonstrate a clear intention</w:t>
      </w:r>
      <w:r w:rsidR="00834FD5">
        <w:rPr>
          <w:rFonts w:cs="Times New Roman"/>
          <w:sz w:val="28"/>
          <w:szCs w:val="28"/>
        </w:rPr>
        <w:t xml:space="preserve"> </w:t>
      </w:r>
      <w:r w:rsidR="00C94D3C">
        <w:rPr>
          <w:rFonts w:cs="Times New Roman"/>
          <w:sz w:val="28"/>
          <w:szCs w:val="28"/>
        </w:rPr>
        <w:t xml:space="preserve">to be harmful or to incite harm, and to promote or propagate hatred; </w:t>
      </w:r>
      <w:r w:rsidR="00785A78">
        <w:rPr>
          <w:rFonts w:cs="Times New Roman"/>
          <w:sz w:val="28"/>
          <w:szCs w:val="28"/>
        </w:rPr>
        <w:t xml:space="preserve">and </w:t>
      </w:r>
      <w:r w:rsidR="00C94D3C">
        <w:rPr>
          <w:rFonts w:cs="Times New Roman"/>
          <w:sz w:val="28"/>
          <w:szCs w:val="28"/>
        </w:rPr>
        <w:t>(</w:t>
      </w:r>
      <w:r w:rsidR="00834FD5">
        <w:rPr>
          <w:rFonts w:cs="Times New Roman"/>
          <w:sz w:val="28"/>
          <w:szCs w:val="28"/>
        </w:rPr>
        <w:t>d</w:t>
      </w:r>
      <w:r>
        <w:rPr>
          <w:rFonts w:cs="Times New Roman"/>
          <w:sz w:val="28"/>
          <w:szCs w:val="28"/>
        </w:rPr>
        <w:t>)</w:t>
      </w:r>
      <w:r w:rsidR="00C94D3C">
        <w:rPr>
          <w:rFonts w:cs="Times New Roman"/>
          <w:sz w:val="28"/>
          <w:szCs w:val="28"/>
        </w:rPr>
        <w:t xml:space="preserve"> provided that bona fide engagement in artistic creativity, academic and scientific enquiry, fair and accurate reporting in the public interest or publication of any information, is excluded. In what follows, each of these elements of s </w:t>
      </w:r>
      <w:r w:rsidR="00B7107A">
        <w:rPr>
          <w:rFonts w:cs="Times New Roman"/>
          <w:sz w:val="28"/>
          <w:szCs w:val="28"/>
        </w:rPr>
        <w:t>10(1) are considered in turn.</w:t>
      </w:r>
    </w:p>
    <w:p w14:paraId="0EC4F3C7" w14:textId="77777777" w:rsidR="00494880" w:rsidRDefault="00494880" w:rsidP="00B7107A">
      <w:pPr>
        <w:pStyle w:val="ListParagraph"/>
        <w:spacing w:after="0" w:line="360" w:lineRule="auto"/>
        <w:ind w:left="0"/>
        <w:jc w:val="both"/>
        <w:rPr>
          <w:rFonts w:cs="Times New Roman"/>
          <w:sz w:val="28"/>
          <w:szCs w:val="28"/>
        </w:rPr>
      </w:pPr>
    </w:p>
    <w:p w14:paraId="146A8A01" w14:textId="77777777" w:rsidR="00B274A6" w:rsidRDefault="00B7107A" w:rsidP="00B7107A">
      <w:pPr>
        <w:pStyle w:val="ListParagraph"/>
        <w:spacing w:after="0" w:line="360" w:lineRule="auto"/>
        <w:ind w:left="0"/>
        <w:jc w:val="both"/>
        <w:rPr>
          <w:rFonts w:cs="Times New Roman"/>
          <w:b/>
          <w:i/>
          <w:sz w:val="28"/>
          <w:szCs w:val="28"/>
        </w:rPr>
      </w:pPr>
      <w:r w:rsidRPr="00785A78">
        <w:rPr>
          <w:rFonts w:cs="Times New Roman"/>
          <w:b/>
          <w:i/>
          <w:sz w:val="28"/>
          <w:szCs w:val="28"/>
        </w:rPr>
        <w:t xml:space="preserve">(a) </w:t>
      </w:r>
      <w:r w:rsidRPr="00785A78">
        <w:rPr>
          <w:rFonts w:cs="Times New Roman"/>
          <w:b/>
          <w:i/>
          <w:sz w:val="28"/>
          <w:szCs w:val="28"/>
        </w:rPr>
        <w:tab/>
      </w:r>
      <w:r w:rsidR="00785A78" w:rsidRPr="00785A78">
        <w:rPr>
          <w:rFonts w:cs="Times New Roman"/>
          <w:b/>
          <w:i/>
          <w:sz w:val="28"/>
          <w:szCs w:val="28"/>
        </w:rPr>
        <w:t>The publication, propagation or communication of words</w:t>
      </w:r>
    </w:p>
    <w:p w14:paraId="563CF7CB" w14:textId="77777777" w:rsidR="00C93637" w:rsidRDefault="00025498" w:rsidP="00785A7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In </w:t>
      </w:r>
      <w:r w:rsidRPr="00307E5D">
        <w:rPr>
          <w:rFonts w:cs="Times New Roman"/>
          <w:i/>
          <w:sz w:val="28"/>
          <w:szCs w:val="28"/>
        </w:rPr>
        <w:t>Qwelane</w:t>
      </w:r>
      <w:r>
        <w:rPr>
          <w:rFonts w:cs="Times New Roman"/>
          <w:sz w:val="28"/>
          <w:szCs w:val="28"/>
        </w:rPr>
        <w:t xml:space="preserve"> the Constitutional Court held that the </w:t>
      </w:r>
      <w:r w:rsidR="000E3907">
        <w:rPr>
          <w:rFonts w:cs="Times New Roman"/>
          <w:sz w:val="28"/>
          <w:szCs w:val="28"/>
        </w:rPr>
        <w:t>use of the terms ‘advocate’ and ‘propagate’ in the section ‘is indicative of ideas rather than words, if they are to be accorded their full meaning’.</w:t>
      </w:r>
      <w:r w:rsidR="006956F3">
        <w:rPr>
          <w:rStyle w:val="FootnoteReference"/>
          <w:rFonts w:cs="Times New Roman"/>
          <w:sz w:val="28"/>
          <w:szCs w:val="28"/>
        </w:rPr>
        <w:footnoteReference w:id="36"/>
      </w:r>
      <w:r w:rsidR="000E3907">
        <w:rPr>
          <w:rFonts w:cs="Times New Roman"/>
          <w:sz w:val="28"/>
          <w:szCs w:val="28"/>
        </w:rPr>
        <w:t xml:space="preserve"> </w:t>
      </w:r>
      <w:r w:rsidR="00EB3082">
        <w:rPr>
          <w:rFonts w:cs="Times New Roman"/>
          <w:sz w:val="28"/>
          <w:szCs w:val="28"/>
        </w:rPr>
        <w:t>These two concepts suggest</w:t>
      </w:r>
      <w:r w:rsidR="000E3907">
        <w:rPr>
          <w:rFonts w:cs="Times New Roman"/>
          <w:sz w:val="28"/>
          <w:szCs w:val="28"/>
        </w:rPr>
        <w:t xml:space="preserve"> that the intention is to give effect to article 4 of the</w:t>
      </w:r>
      <w:r w:rsidR="00EB3082">
        <w:rPr>
          <w:rFonts w:cs="Times New Roman"/>
          <w:sz w:val="28"/>
          <w:szCs w:val="28"/>
        </w:rPr>
        <w:t xml:space="preserve"> I</w:t>
      </w:r>
      <w:r w:rsidR="000E3907">
        <w:rPr>
          <w:rFonts w:cs="Times New Roman"/>
          <w:sz w:val="28"/>
          <w:szCs w:val="28"/>
        </w:rPr>
        <w:t>nternational</w:t>
      </w:r>
      <w:r w:rsidR="00EB3082">
        <w:rPr>
          <w:rFonts w:cs="Times New Roman"/>
          <w:sz w:val="28"/>
          <w:szCs w:val="28"/>
        </w:rPr>
        <w:t xml:space="preserve"> Convention on the Elimination of all forms of Racial D</w:t>
      </w:r>
      <w:r w:rsidR="000E3907">
        <w:rPr>
          <w:rFonts w:cs="Times New Roman"/>
          <w:sz w:val="28"/>
          <w:szCs w:val="28"/>
        </w:rPr>
        <w:t>iscrimination</w:t>
      </w:r>
      <w:r w:rsidR="00EB3082">
        <w:rPr>
          <w:rFonts w:cs="Times New Roman"/>
          <w:sz w:val="28"/>
          <w:szCs w:val="28"/>
        </w:rPr>
        <w:t xml:space="preserve"> (ICERD</w:t>
      </w:r>
      <w:r w:rsidR="000E3907">
        <w:rPr>
          <w:rFonts w:cs="Times New Roman"/>
          <w:sz w:val="28"/>
          <w:szCs w:val="28"/>
        </w:rPr>
        <w:t xml:space="preserve">) </w:t>
      </w:r>
      <w:r w:rsidR="00EB3082">
        <w:rPr>
          <w:rFonts w:cs="Times New Roman"/>
          <w:sz w:val="28"/>
          <w:szCs w:val="28"/>
        </w:rPr>
        <w:t>and s 16(2)</w:t>
      </w:r>
      <w:r w:rsidR="00EB3082" w:rsidRPr="00EB3082">
        <w:rPr>
          <w:rFonts w:cs="Times New Roman"/>
          <w:i/>
          <w:sz w:val="28"/>
          <w:szCs w:val="28"/>
        </w:rPr>
        <w:t>(c)</w:t>
      </w:r>
      <w:r w:rsidR="00EB3082">
        <w:rPr>
          <w:rFonts w:cs="Times New Roman"/>
          <w:sz w:val="28"/>
          <w:szCs w:val="28"/>
        </w:rPr>
        <w:t xml:space="preserve"> of the Constitution, which are concerned with racist ‘propaganda’ and the ‘advocacy’ of hatred.</w:t>
      </w:r>
      <w:r w:rsidR="00EB3082">
        <w:rPr>
          <w:rStyle w:val="FootnoteReference"/>
          <w:rFonts w:cs="Times New Roman"/>
          <w:sz w:val="28"/>
          <w:szCs w:val="28"/>
        </w:rPr>
        <w:footnoteReference w:id="37"/>
      </w:r>
      <w:r w:rsidR="00EB3082">
        <w:rPr>
          <w:rFonts w:cs="Times New Roman"/>
          <w:sz w:val="28"/>
          <w:szCs w:val="28"/>
        </w:rPr>
        <w:t xml:space="preserve">  </w:t>
      </w:r>
    </w:p>
    <w:p w14:paraId="7BFAFFC2" w14:textId="77777777" w:rsidR="00C93637" w:rsidRDefault="00C93637" w:rsidP="00C93637">
      <w:pPr>
        <w:pStyle w:val="ListParagraph"/>
        <w:spacing w:after="0" w:line="360" w:lineRule="auto"/>
        <w:ind w:left="0"/>
        <w:jc w:val="both"/>
        <w:rPr>
          <w:rFonts w:cs="Times New Roman"/>
          <w:sz w:val="28"/>
          <w:szCs w:val="28"/>
        </w:rPr>
      </w:pPr>
    </w:p>
    <w:p w14:paraId="6732AD96" w14:textId="51ABD9A2" w:rsidR="00785A78" w:rsidRDefault="00C93637" w:rsidP="00785A7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w:t>
      </w:r>
      <w:r w:rsidR="009D729F" w:rsidRPr="00785A78">
        <w:rPr>
          <w:rFonts w:cs="Times New Roman"/>
          <w:sz w:val="28"/>
          <w:szCs w:val="28"/>
        </w:rPr>
        <w:t>c</w:t>
      </w:r>
      <w:r w:rsidR="00025498" w:rsidRPr="00785A78">
        <w:rPr>
          <w:rFonts w:cs="Times New Roman"/>
          <w:sz w:val="28"/>
          <w:szCs w:val="28"/>
        </w:rPr>
        <w:t xml:space="preserve">oncept ‘communicate’ </w:t>
      </w:r>
      <w:r w:rsidR="00834FD5">
        <w:rPr>
          <w:rFonts w:cs="Times New Roman"/>
          <w:sz w:val="28"/>
          <w:szCs w:val="28"/>
        </w:rPr>
        <w:t>denotes</w:t>
      </w:r>
      <w:r w:rsidR="00025498" w:rsidRPr="00785A78">
        <w:rPr>
          <w:rFonts w:cs="Times New Roman"/>
          <w:sz w:val="28"/>
          <w:szCs w:val="28"/>
        </w:rPr>
        <w:t xml:space="preserve"> ‘the conveyance of ideas’</w:t>
      </w:r>
      <w:r>
        <w:rPr>
          <w:rFonts w:cs="Times New Roman"/>
          <w:sz w:val="28"/>
          <w:szCs w:val="28"/>
        </w:rPr>
        <w:t>, and</w:t>
      </w:r>
      <w:r w:rsidR="00307E5D" w:rsidRPr="00785A78">
        <w:rPr>
          <w:rFonts w:cs="Times New Roman"/>
          <w:sz w:val="28"/>
          <w:szCs w:val="28"/>
        </w:rPr>
        <w:t xml:space="preserve"> all the verbs used in the section require some form of public transmission or dissemination.</w:t>
      </w:r>
      <w:r w:rsidR="00025498">
        <w:rPr>
          <w:rStyle w:val="FootnoteReference"/>
          <w:rFonts w:cs="Times New Roman"/>
          <w:sz w:val="28"/>
          <w:szCs w:val="28"/>
        </w:rPr>
        <w:footnoteReference w:id="38"/>
      </w:r>
      <w:r w:rsidR="009D729F" w:rsidRPr="00785A78">
        <w:rPr>
          <w:rFonts w:cs="Times New Roman"/>
          <w:sz w:val="28"/>
          <w:szCs w:val="28"/>
        </w:rPr>
        <w:t xml:space="preserve"> The prohibition extends to </w:t>
      </w:r>
      <w:r w:rsidR="00690B6F" w:rsidRPr="00785A78">
        <w:rPr>
          <w:rFonts w:cs="Times New Roman"/>
          <w:sz w:val="28"/>
          <w:szCs w:val="28"/>
        </w:rPr>
        <w:t xml:space="preserve">the </w:t>
      </w:r>
      <w:r w:rsidR="009D729F" w:rsidRPr="00785A78">
        <w:rPr>
          <w:rFonts w:cs="Times New Roman"/>
          <w:sz w:val="28"/>
          <w:szCs w:val="28"/>
        </w:rPr>
        <w:t xml:space="preserve">expression of ideas by conduct. </w:t>
      </w:r>
      <w:r w:rsidR="00306682" w:rsidRPr="00785A78">
        <w:rPr>
          <w:rFonts w:cs="Times New Roman"/>
          <w:sz w:val="28"/>
          <w:szCs w:val="28"/>
        </w:rPr>
        <w:t>It targets the ‘meaning behind the words, and not simply the words’.</w:t>
      </w:r>
      <w:r w:rsidR="00306682">
        <w:rPr>
          <w:rStyle w:val="FootnoteReference"/>
          <w:rFonts w:cs="Times New Roman"/>
          <w:sz w:val="28"/>
          <w:szCs w:val="28"/>
        </w:rPr>
        <w:footnoteReference w:id="39"/>
      </w:r>
      <w:r w:rsidR="00307E5D" w:rsidRPr="00785A78">
        <w:rPr>
          <w:rFonts w:cs="Times New Roman"/>
          <w:sz w:val="28"/>
          <w:szCs w:val="28"/>
        </w:rPr>
        <w:t xml:space="preserve"> </w:t>
      </w:r>
      <w:r>
        <w:rPr>
          <w:rFonts w:cs="Times New Roman"/>
          <w:sz w:val="28"/>
          <w:szCs w:val="28"/>
        </w:rPr>
        <w:t xml:space="preserve">There is no question that the gratuitous public display of the old flag constitutes the publication, propagation, advocacy, or </w:t>
      </w:r>
      <w:r w:rsidR="00834FD5">
        <w:rPr>
          <w:rFonts w:cs="Times New Roman"/>
          <w:sz w:val="28"/>
          <w:szCs w:val="28"/>
        </w:rPr>
        <w:t>communication of a message, within the meaning of s 10(1)</w:t>
      </w:r>
      <w:r w:rsidR="007E49F4">
        <w:rPr>
          <w:rFonts w:cs="Times New Roman"/>
          <w:sz w:val="28"/>
          <w:szCs w:val="28"/>
        </w:rPr>
        <w:t xml:space="preserve"> of the Equality Act</w:t>
      </w:r>
      <w:r w:rsidR="00834FD5">
        <w:rPr>
          <w:rFonts w:cs="Times New Roman"/>
          <w:sz w:val="28"/>
          <w:szCs w:val="28"/>
        </w:rPr>
        <w:t>.</w:t>
      </w:r>
    </w:p>
    <w:p w14:paraId="48C90760" w14:textId="77777777" w:rsidR="007F0C19" w:rsidRDefault="007F0C19" w:rsidP="007F0C19">
      <w:pPr>
        <w:pStyle w:val="ListParagraph"/>
        <w:spacing w:after="0" w:line="360" w:lineRule="auto"/>
        <w:ind w:left="0"/>
        <w:jc w:val="both"/>
        <w:rPr>
          <w:rFonts w:cs="Times New Roman"/>
          <w:sz w:val="28"/>
          <w:szCs w:val="28"/>
        </w:rPr>
      </w:pPr>
    </w:p>
    <w:p w14:paraId="48CFC9E2" w14:textId="77777777" w:rsidR="007F0C19" w:rsidRDefault="007F0C19" w:rsidP="00785A78">
      <w:pPr>
        <w:pStyle w:val="ListParagraph"/>
        <w:spacing w:after="0" w:line="360" w:lineRule="auto"/>
        <w:ind w:left="0"/>
        <w:jc w:val="both"/>
        <w:rPr>
          <w:rFonts w:cs="Times New Roman"/>
          <w:b/>
          <w:i/>
          <w:sz w:val="28"/>
          <w:szCs w:val="28"/>
        </w:rPr>
      </w:pPr>
    </w:p>
    <w:p w14:paraId="39E6DC2C" w14:textId="3ED2C0D6" w:rsidR="00C93637" w:rsidRDefault="00C93637" w:rsidP="00785A78">
      <w:pPr>
        <w:pStyle w:val="ListParagraph"/>
        <w:spacing w:after="0" w:line="360" w:lineRule="auto"/>
        <w:ind w:left="0"/>
        <w:jc w:val="both"/>
        <w:rPr>
          <w:rFonts w:cs="Times New Roman"/>
          <w:sz w:val="28"/>
          <w:szCs w:val="28"/>
        </w:rPr>
      </w:pPr>
      <w:r w:rsidRPr="00785A78">
        <w:rPr>
          <w:rFonts w:cs="Times New Roman"/>
          <w:b/>
          <w:i/>
          <w:sz w:val="28"/>
          <w:szCs w:val="28"/>
        </w:rPr>
        <w:lastRenderedPageBreak/>
        <w:t>(b)</w:t>
      </w:r>
      <w:r w:rsidRPr="00785A78">
        <w:rPr>
          <w:rFonts w:cs="Times New Roman"/>
          <w:b/>
          <w:i/>
          <w:sz w:val="28"/>
          <w:szCs w:val="28"/>
        </w:rPr>
        <w:tab/>
        <w:t>based on one or more of the prohibited grounds</w:t>
      </w:r>
    </w:p>
    <w:p w14:paraId="68994BFD" w14:textId="77777777" w:rsidR="00795677" w:rsidRDefault="00C93637" w:rsidP="00C9363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message conveyed by gratuitous public displays of the old flag is plainly one based on race</w:t>
      </w:r>
      <w:r w:rsidR="00795677">
        <w:rPr>
          <w:rFonts w:cs="Times New Roman"/>
          <w:sz w:val="28"/>
          <w:szCs w:val="28"/>
        </w:rPr>
        <w:t xml:space="preserve"> – apartheid and white supremacy.</w:t>
      </w:r>
      <w:r w:rsidRPr="00C93637">
        <w:rPr>
          <w:rFonts w:cs="Times New Roman"/>
          <w:sz w:val="28"/>
          <w:szCs w:val="28"/>
        </w:rPr>
        <w:t xml:space="preserve"> </w:t>
      </w:r>
      <w:r w:rsidR="0067515A">
        <w:rPr>
          <w:rFonts w:cs="Times New Roman"/>
          <w:sz w:val="28"/>
          <w:szCs w:val="28"/>
        </w:rPr>
        <w:t xml:space="preserve">Indeed, this is common ground. </w:t>
      </w:r>
      <w:r w:rsidR="00A11011">
        <w:rPr>
          <w:rFonts w:cs="Times New Roman"/>
          <w:sz w:val="28"/>
          <w:szCs w:val="28"/>
        </w:rPr>
        <w:t>Afriforum did not take issue with the impact of the gratuitous displays of the old flag on Mr Hatang or</w:t>
      </w:r>
      <w:r w:rsidR="00795677">
        <w:rPr>
          <w:rFonts w:cs="Times New Roman"/>
          <w:sz w:val="28"/>
          <w:szCs w:val="28"/>
        </w:rPr>
        <w:t xml:space="preserve"> </w:t>
      </w:r>
      <w:r w:rsidR="00A11011">
        <w:rPr>
          <w:rFonts w:cs="Times New Roman"/>
          <w:sz w:val="28"/>
          <w:szCs w:val="28"/>
        </w:rPr>
        <w:t>black people generally. And as stated, it acknowledged that the old flag causes offence and emotional distress</w:t>
      </w:r>
      <w:r w:rsidR="00795677">
        <w:rPr>
          <w:rFonts w:cs="Times New Roman"/>
          <w:sz w:val="28"/>
          <w:szCs w:val="28"/>
        </w:rPr>
        <w:t xml:space="preserve">. That is why it asks its followers to put away the old flag at Afriforum events, and not to display it. </w:t>
      </w:r>
    </w:p>
    <w:p w14:paraId="5C05181A" w14:textId="77777777" w:rsidR="00795677" w:rsidRDefault="00795677" w:rsidP="00795677">
      <w:pPr>
        <w:pStyle w:val="ListParagraph"/>
        <w:spacing w:after="0" w:line="360" w:lineRule="auto"/>
        <w:ind w:left="0"/>
        <w:jc w:val="both"/>
        <w:rPr>
          <w:rFonts w:cs="Times New Roman"/>
          <w:sz w:val="28"/>
          <w:szCs w:val="28"/>
        </w:rPr>
      </w:pPr>
    </w:p>
    <w:p w14:paraId="5A6F5876" w14:textId="02723AED" w:rsidR="00C93637" w:rsidRDefault="000F6EF2" w:rsidP="00295C21">
      <w:pPr>
        <w:pStyle w:val="ListParagraph"/>
        <w:numPr>
          <w:ilvl w:val="0"/>
          <w:numId w:val="19"/>
        </w:numPr>
        <w:spacing w:after="0" w:line="360" w:lineRule="auto"/>
        <w:ind w:left="0" w:firstLine="0"/>
        <w:jc w:val="both"/>
        <w:rPr>
          <w:rFonts w:cs="Times New Roman"/>
          <w:sz w:val="28"/>
          <w:szCs w:val="28"/>
        </w:rPr>
      </w:pPr>
      <w:r w:rsidRPr="001B5091">
        <w:rPr>
          <w:rFonts w:cs="Times New Roman"/>
          <w:sz w:val="28"/>
          <w:szCs w:val="28"/>
        </w:rPr>
        <w:t>The old flag is an awful</w:t>
      </w:r>
      <w:r w:rsidR="00C93637" w:rsidRPr="001B5091">
        <w:rPr>
          <w:rFonts w:cs="Times New Roman"/>
          <w:sz w:val="28"/>
          <w:szCs w:val="28"/>
        </w:rPr>
        <w:t xml:space="preserve"> reminder of the anguish suffered by millions of people under apartheid South Africa before the advent of democracy in 1994. It symbolises, clearly and painfully, the policy and manifestation of apartheid. </w:t>
      </w:r>
      <w:r w:rsidR="00F410A7" w:rsidRPr="001B5091">
        <w:rPr>
          <w:rFonts w:cs="Times New Roman"/>
          <w:sz w:val="28"/>
          <w:szCs w:val="28"/>
        </w:rPr>
        <w:t xml:space="preserve">In fact, Afriforum’s answering affidavit states: ‘During Apartheid the old flag was held aloft as a symbol of the past regime’s power. At the time it was seen as a constant reminder of an oppressive and racist system’. </w:t>
      </w:r>
      <w:r w:rsidR="007B4A59" w:rsidRPr="001B5091">
        <w:rPr>
          <w:rFonts w:cs="Times New Roman"/>
          <w:sz w:val="28"/>
          <w:szCs w:val="28"/>
        </w:rPr>
        <w:t>As stated in the founding affidavit of the SAHRC, t</w:t>
      </w:r>
      <w:r w:rsidR="00F410A7" w:rsidRPr="001B5091">
        <w:rPr>
          <w:rFonts w:cs="Times New Roman"/>
          <w:sz w:val="28"/>
          <w:szCs w:val="28"/>
        </w:rPr>
        <w:t xml:space="preserve">he old flag represents </w:t>
      </w:r>
      <w:r w:rsidR="007E49F4" w:rsidRPr="001B5091">
        <w:rPr>
          <w:rFonts w:cs="Times New Roman"/>
          <w:sz w:val="28"/>
          <w:szCs w:val="28"/>
        </w:rPr>
        <w:t xml:space="preserve">precisely </w:t>
      </w:r>
      <w:r w:rsidR="00F410A7" w:rsidRPr="001B5091">
        <w:rPr>
          <w:rFonts w:cs="Times New Roman"/>
          <w:sz w:val="28"/>
          <w:szCs w:val="28"/>
        </w:rPr>
        <w:t>that</w:t>
      </w:r>
      <w:r w:rsidR="00C93637" w:rsidRPr="001B5091">
        <w:rPr>
          <w:rFonts w:cs="Times New Roman"/>
          <w:sz w:val="28"/>
          <w:szCs w:val="28"/>
        </w:rPr>
        <w:t xml:space="preserve"> racist and repressive regime</w:t>
      </w:r>
      <w:r w:rsidR="007E49F4" w:rsidRPr="001B5091">
        <w:rPr>
          <w:rFonts w:cs="Times New Roman"/>
          <w:sz w:val="28"/>
          <w:szCs w:val="28"/>
        </w:rPr>
        <w:t>,</w:t>
      </w:r>
      <w:r w:rsidR="00C93637" w:rsidRPr="001B5091">
        <w:rPr>
          <w:rFonts w:cs="Times New Roman"/>
          <w:sz w:val="28"/>
          <w:szCs w:val="28"/>
        </w:rPr>
        <w:t xml:space="preserve"> and the dehumanising ideologies espoused during its rule – the racial superiority of white South Africans and the corresponding </w:t>
      </w:r>
      <w:r w:rsidR="00F410A7" w:rsidRPr="001B5091">
        <w:rPr>
          <w:rFonts w:cs="Times New Roman"/>
          <w:sz w:val="28"/>
          <w:szCs w:val="28"/>
        </w:rPr>
        <w:t xml:space="preserve">inferiority of </w:t>
      </w:r>
      <w:r w:rsidR="00C93637" w:rsidRPr="001B5091">
        <w:rPr>
          <w:rFonts w:cs="Times New Roman"/>
          <w:sz w:val="28"/>
          <w:szCs w:val="28"/>
        </w:rPr>
        <w:t xml:space="preserve">black South Africans. </w:t>
      </w:r>
    </w:p>
    <w:p w14:paraId="734B47EC" w14:textId="77777777" w:rsidR="001B5091" w:rsidRPr="001B5091" w:rsidRDefault="001B5091" w:rsidP="001B5091">
      <w:pPr>
        <w:pStyle w:val="ListParagraph"/>
        <w:spacing w:after="0" w:line="360" w:lineRule="auto"/>
        <w:ind w:left="0"/>
        <w:jc w:val="both"/>
        <w:rPr>
          <w:rFonts w:cs="Times New Roman"/>
          <w:sz w:val="28"/>
          <w:szCs w:val="28"/>
        </w:rPr>
      </w:pPr>
    </w:p>
    <w:p w14:paraId="7CA19323" w14:textId="4115BB6F" w:rsidR="00E60771" w:rsidRPr="00795677" w:rsidRDefault="00795677" w:rsidP="006B2904">
      <w:pPr>
        <w:pStyle w:val="ListParagraph"/>
        <w:numPr>
          <w:ilvl w:val="0"/>
          <w:numId w:val="19"/>
        </w:numPr>
        <w:spacing w:after="0" w:line="360" w:lineRule="auto"/>
        <w:ind w:left="0" w:firstLine="0"/>
        <w:jc w:val="both"/>
        <w:rPr>
          <w:rFonts w:cs="Times New Roman"/>
          <w:sz w:val="28"/>
          <w:szCs w:val="28"/>
        </w:rPr>
      </w:pPr>
      <w:r w:rsidRPr="00795677">
        <w:rPr>
          <w:rFonts w:cs="Times New Roman"/>
          <w:sz w:val="28"/>
          <w:szCs w:val="28"/>
        </w:rPr>
        <w:t>As a revered</w:t>
      </w:r>
      <w:r w:rsidR="007107C7" w:rsidRPr="00795677">
        <w:rPr>
          <w:rFonts w:cs="Times New Roman"/>
          <w:sz w:val="28"/>
          <w:szCs w:val="28"/>
        </w:rPr>
        <w:t xml:space="preserve"> icon of apartheid, </w:t>
      </w:r>
      <w:r w:rsidRPr="00795677">
        <w:rPr>
          <w:rFonts w:cs="Times New Roman"/>
          <w:sz w:val="28"/>
          <w:szCs w:val="28"/>
        </w:rPr>
        <w:t xml:space="preserve">the old flag </w:t>
      </w:r>
      <w:r w:rsidR="007107C7" w:rsidRPr="00795677">
        <w:rPr>
          <w:rFonts w:cs="Times New Roman"/>
          <w:sz w:val="28"/>
          <w:szCs w:val="28"/>
        </w:rPr>
        <w:t xml:space="preserve">represents hate, pain and trauma for most people, </w:t>
      </w:r>
      <w:r w:rsidR="007107C7" w:rsidRPr="00B94265">
        <w:rPr>
          <w:rFonts w:cs="Times New Roman"/>
          <w:sz w:val="28"/>
          <w:szCs w:val="28"/>
        </w:rPr>
        <w:t>particularly</w:t>
      </w:r>
      <w:r w:rsidR="006C6E4F" w:rsidRPr="00B94265">
        <w:rPr>
          <w:rFonts w:cs="Times New Roman"/>
          <w:sz w:val="28"/>
          <w:szCs w:val="28"/>
        </w:rPr>
        <w:t xml:space="preserve"> black</w:t>
      </w:r>
      <w:r w:rsidR="007107C7" w:rsidRPr="00B94265">
        <w:rPr>
          <w:rFonts w:cs="Times New Roman"/>
          <w:sz w:val="28"/>
          <w:szCs w:val="28"/>
        </w:rPr>
        <w:t xml:space="preserve"> South</w:t>
      </w:r>
      <w:r w:rsidR="007107C7" w:rsidRPr="00795677">
        <w:rPr>
          <w:rFonts w:cs="Times New Roman"/>
          <w:sz w:val="28"/>
          <w:szCs w:val="28"/>
        </w:rPr>
        <w:t xml:space="preserve"> Africans. The gratuitous public displays by people of the old flag – a provocative symbol of repression, authoritarianism and racial hatred – brings into unmistakeable view their affinity and mourning for the apartheid regime, characterised by its degrading, oppressive and undignified treatment of black South Africans. The message conveyed is a longing for the days of apartheid and the restoration of white minority </w:t>
      </w:r>
      <w:r w:rsidR="0002737D" w:rsidRPr="00795677">
        <w:rPr>
          <w:rFonts w:cs="Times New Roman"/>
          <w:sz w:val="28"/>
          <w:szCs w:val="28"/>
        </w:rPr>
        <w:t xml:space="preserve">rule. </w:t>
      </w:r>
    </w:p>
    <w:p w14:paraId="5D96919C" w14:textId="77777777" w:rsidR="0002737D" w:rsidRDefault="0002737D" w:rsidP="0002737D">
      <w:pPr>
        <w:spacing w:after="0" w:line="360" w:lineRule="auto"/>
        <w:jc w:val="both"/>
        <w:rPr>
          <w:rFonts w:cs="Times New Roman"/>
          <w:sz w:val="28"/>
          <w:szCs w:val="28"/>
        </w:rPr>
      </w:pPr>
    </w:p>
    <w:p w14:paraId="19A5220A" w14:textId="77777777" w:rsidR="007A74F9" w:rsidRDefault="007A74F9" w:rsidP="00E60771">
      <w:pPr>
        <w:pStyle w:val="ListParagraph"/>
        <w:spacing w:after="0" w:line="360" w:lineRule="auto"/>
        <w:ind w:hanging="720"/>
        <w:jc w:val="both"/>
        <w:rPr>
          <w:rFonts w:cs="Times New Roman"/>
          <w:b/>
          <w:i/>
          <w:sz w:val="28"/>
          <w:szCs w:val="28"/>
        </w:rPr>
      </w:pPr>
    </w:p>
    <w:p w14:paraId="745CFD16" w14:textId="1F264155" w:rsidR="00E60771" w:rsidRDefault="0002737D" w:rsidP="00E60771">
      <w:pPr>
        <w:pStyle w:val="ListParagraph"/>
        <w:spacing w:after="0" w:line="360" w:lineRule="auto"/>
        <w:ind w:hanging="720"/>
        <w:jc w:val="both"/>
        <w:rPr>
          <w:rFonts w:cs="Times New Roman"/>
          <w:b/>
          <w:i/>
          <w:sz w:val="28"/>
          <w:szCs w:val="28"/>
        </w:rPr>
      </w:pPr>
      <w:r w:rsidRPr="0002737D">
        <w:rPr>
          <w:rFonts w:cs="Times New Roman"/>
          <w:b/>
          <w:i/>
          <w:sz w:val="28"/>
          <w:szCs w:val="28"/>
        </w:rPr>
        <w:lastRenderedPageBreak/>
        <w:t>(c)</w:t>
      </w:r>
      <w:r w:rsidRPr="0002737D">
        <w:rPr>
          <w:rFonts w:cs="Times New Roman"/>
          <w:b/>
          <w:i/>
          <w:sz w:val="28"/>
          <w:szCs w:val="28"/>
        </w:rPr>
        <w:tab/>
        <w:t>reasonably be construed to demonstrate a clear intention</w:t>
      </w:r>
      <w:r w:rsidR="00E60771">
        <w:rPr>
          <w:rFonts w:cs="Times New Roman"/>
          <w:b/>
          <w:i/>
          <w:sz w:val="28"/>
          <w:szCs w:val="28"/>
        </w:rPr>
        <w:t xml:space="preserve"> </w:t>
      </w:r>
      <w:r w:rsidR="00E60771" w:rsidRPr="0002737D">
        <w:rPr>
          <w:rFonts w:cs="Times New Roman"/>
          <w:b/>
          <w:i/>
          <w:sz w:val="28"/>
          <w:szCs w:val="28"/>
        </w:rPr>
        <w:t>to be harmful or to incite harm, and to promote or propagate hatred</w:t>
      </w:r>
    </w:p>
    <w:p w14:paraId="2E663904" w14:textId="77777777" w:rsidR="008A3FDA" w:rsidRDefault="00200ED5" w:rsidP="009D729F">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Constitutional Court has held that this is an objective </w:t>
      </w:r>
      <w:r w:rsidR="00E40FC8">
        <w:rPr>
          <w:rFonts w:cs="Times New Roman"/>
          <w:sz w:val="28"/>
          <w:szCs w:val="28"/>
        </w:rPr>
        <w:t>test</w:t>
      </w:r>
      <w:r>
        <w:rPr>
          <w:rFonts w:cs="Times New Roman"/>
          <w:sz w:val="28"/>
          <w:szCs w:val="28"/>
        </w:rPr>
        <w:t xml:space="preserve">. </w:t>
      </w:r>
      <w:r w:rsidR="008A3FDA">
        <w:rPr>
          <w:rFonts w:cs="Times New Roman"/>
          <w:sz w:val="28"/>
          <w:szCs w:val="28"/>
        </w:rPr>
        <w:t>The</w:t>
      </w:r>
      <w:r w:rsidR="00E40FC8">
        <w:rPr>
          <w:rFonts w:cs="Times New Roman"/>
          <w:sz w:val="28"/>
          <w:szCs w:val="28"/>
        </w:rPr>
        <w:t xml:space="preserve"> question is whether a reasonable </w:t>
      </w:r>
      <w:r w:rsidR="006D673F">
        <w:rPr>
          <w:rFonts w:cs="Times New Roman"/>
          <w:sz w:val="28"/>
          <w:szCs w:val="28"/>
        </w:rPr>
        <w:t>person in the circumstances surrounding the expression</w:t>
      </w:r>
      <w:r w:rsidR="004239E1">
        <w:rPr>
          <w:rFonts w:cs="Times New Roman"/>
          <w:sz w:val="28"/>
          <w:szCs w:val="28"/>
        </w:rPr>
        <w:t>,</w:t>
      </w:r>
      <w:r w:rsidR="006D673F">
        <w:rPr>
          <w:rFonts w:cs="Times New Roman"/>
          <w:sz w:val="28"/>
          <w:szCs w:val="28"/>
        </w:rPr>
        <w:t xml:space="preserve"> would reasonably construe the words or conduct as demonstrating</w:t>
      </w:r>
      <w:r w:rsidR="008A3FDA">
        <w:rPr>
          <w:rFonts w:cs="Times New Roman"/>
          <w:sz w:val="28"/>
          <w:szCs w:val="28"/>
        </w:rPr>
        <w:t xml:space="preserve"> an intention to </w:t>
      </w:r>
      <w:r w:rsidR="00C62E9A">
        <w:rPr>
          <w:rFonts w:cs="Times New Roman"/>
          <w:sz w:val="28"/>
          <w:szCs w:val="28"/>
        </w:rPr>
        <w:t>be harmful, incite harm</w:t>
      </w:r>
      <w:r w:rsidR="00CC0F4F">
        <w:rPr>
          <w:rFonts w:cs="Times New Roman"/>
          <w:sz w:val="28"/>
          <w:szCs w:val="28"/>
        </w:rPr>
        <w:t xml:space="preserve"> or </w:t>
      </w:r>
      <w:r w:rsidR="00C62E9A">
        <w:rPr>
          <w:rFonts w:cs="Times New Roman"/>
          <w:sz w:val="28"/>
          <w:szCs w:val="28"/>
        </w:rPr>
        <w:t>propagate hatred</w:t>
      </w:r>
      <w:r w:rsidR="008A3FDA">
        <w:rPr>
          <w:rFonts w:cs="Times New Roman"/>
          <w:sz w:val="28"/>
          <w:szCs w:val="28"/>
        </w:rPr>
        <w:t>.</w:t>
      </w:r>
      <w:r w:rsidR="008D5770">
        <w:rPr>
          <w:rStyle w:val="FootnoteReference"/>
          <w:rFonts w:cs="Times New Roman"/>
          <w:sz w:val="28"/>
          <w:szCs w:val="28"/>
        </w:rPr>
        <w:footnoteReference w:id="40"/>
      </w:r>
      <w:r w:rsidR="00CC0F4F">
        <w:rPr>
          <w:rFonts w:cs="Times New Roman"/>
          <w:sz w:val="28"/>
          <w:szCs w:val="28"/>
        </w:rPr>
        <w:t xml:space="preserve"> </w:t>
      </w:r>
    </w:p>
    <w:p w14:paraId="22A62A64" w14:textId="77777777" w:rsidR="00DE56BD" w:rsidRDefault="00DE56BD" w:rsidP="00DE56BD">
      <w:pPr>
        <w:pStyle w:val="ListParagraph"/>
        <w:spacing w:after="0" w:line="360" w:lineRule="auto"/>
        <w:ind w:left="0"/>
        <w:jc w:val="both"/>
        <w:rPr>
          <w:rFonts w:cs="Times New Roman"/>
          <w:sz w:val="28"/>
          <w:szCs w:val="28"/>
        </w:rPr>
      </w:pPr>
    </w:p>
    <w:p w14:paraId="5BB5134C" w14:textId="77777777" w:rsidR="00774862" w:rsidRDefault="00E3307A" w:rsidP="009D729F">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emphasis is on the ‘</w:t>
      </w:r>
      <w:r w:rsidRPr="00E3307A">
        <w:rPr>
          <w:rFonts w:cs="Times New Roman"/>
          <w:i/>
          <w:sz w:val="28"/>
          <w:szCs w:val="28"/>
        </w:rPr>
        <w:t>effects</w:t>
      </w:r>
      <w:r>
        <w:rPr>
          <w:rFonts w:cs="Times New Roman"/>
          <w:sz w:val="28"/>
          <w:szCs w:val="28"/>
        </w:rPr>
        <w:t xml:space="preserve"> of the hate speech, not the intent</w:t>
      </w:r>
      <w:r w:rsidR="00ED0415">
        <w:rPr>
          <w:rFonts w:cs="Times New Roman"/>
          <w:sz w:val="28"/>
          <w:szCs w:val="28"/>
        </w:rPr>
        <w:t>’.</w:t>
      </w:r>
      <w:r w:rsidR="00ED0415">
        <w:rPr>
          <w:rStyle w:val="FootnoteReference"/>
          <w:rFonts w:cs="Times New Roman"/>
          <w:sz w:val="28"/>
          <w:szCs w:val="28"/>
        </w:rPr>
        <w:footnoteReference w:id="41"/>
      </w:r>
      <w:r w:rsidR="00ED0415">
        <w:rPr>
          <w:rFonts w:cs="Times New Roman"/>
          <w:sz w:val="28"/>
          <w:szCs w:val="28"/>
        </w:rPr>
        <w:t xml:space="preserve"> In this regard, the Constitutional Court observed that </w:t>
      </w:r>
      <w:r w:rsidR="00E52776">
        <w:rPr>
          <w:rFonts w:cs="Times New Roman"/>
          <w:sz w:val="28"/>
          <w:szCs w:val="28"/>
        </w:rPr>
        <w:t>‘</w:t>
      </w:r>
      <w:r w:rsidRPr="00E52776">
        <w:rPr>
          <w:rFonts w:cs="Times New Roman"/>
          <w:i/>
          <w:sz w:val="28"/>
          <w:szCs w:val="28"/>
        </w:rPr>
        <w:t>systemic</w:t>
      </w:r>
      <w:r>
        <w:rPr>
          <w:rFonts w:cs="Times New Roman"/>
          <w:sz w:val="28"/>
          <w:szCs w:val="28"/>
        </w:rPr>
        <w:t xml:space="preserve"> discrimination </w:t>
      </w:r>
      <w:r w:rsidR="00ED0415">
        <w:rPr>
          <w:rFonts w:cs="Times New Roman"/>
          <w:sz w:val="28"/>
          <w:szCs w:val="28"/>
        </w:rPr>
        <w:t xml:space="preserve">tends to be more widespread than </w:t>
      </w:r>
      <w:r>
        <w:rPr>
          <w:rFonts w:cs="Times New Roman"/>
          <w:sz w:val="28"/>
          <w:szCs w:val="28"/>
        </w:rPr>
        <w:t>intentional discrimination’</w:t>
      </w:r>
      <w:r w:rsidR="00774862">
        <w:rPr>
          <w:rFonts w:cs="Times New Roman"/>
          <w:sz w:val="28"/>
          <w:szCs w:val="28"/>
        </w:rPr>
        <w:t>:</w:t>
      </w:r>
    </w:p>
    <w:p w14:paraId="4CB223B3" w14:textId="77777777" w:rsidR="009C7F99" w:rsidRPr="009C7F99" w:rsidRDefault="00774862" w:rsidP="00774862">
      <w:pPr>
        <w:pStyle w:val="ListParagraph"/>
        <w:spacing w:after="0" w:line="360" w:lineRule="auto"/>
        <w:ind w:left="0"/>
        <w:jc w:val="both"/>
        <w:rPr>
          <w:rFonts w:cs="Times New Roman"/>
          <w:sz w:val="24"/>
          <w:szCs w:val="24"/>
        </w:rPr>
      </w:pPr>
      <w:r w:rsidRPr="009C7F99">
        <w:rPr>
          <w:rFonts w:cs="Times New Roman"/>
          <w:sz w:val="24"/>
          <w:szCs w:val="24"/>
        </w:rPr>
        <w:t>‘</w:t>
      </w:r>
      <w:r w:rsidR="009C7F99" w:rsidRPr="009C7F99">
        <w:rPr>
          <w:rFonts w:cs="Times New Roman"/>
          <w:sz w:val="24"/>
          <w:szCs w:val="24"/>
        </w:rPr>
        <w:t>T</w:t>
      </w:r>
      <w:r w:rsidRPr="009C7F99">
        <w:rPr>
          <w:rFonts w:cs="Times New Roman"/>
          <w:sz w:val="24"/>
          <w:szCs w:val="24"/>
        </w:rPr>
        <w:t>h</w:t>
      </w:r>
      <w:r w:rsidR="009C7F99" w:rsidRPr="009C7F99">
        <w:rPr>
          <w:rFonts w:cs="Times New Roman"/>
          <w:sz w:val="24"/>
          <w:szCs w:val="24"/>
        </w:rPr>
        <w:t>is C</w:t>
      </w:r>
      <w:r w:rsidRPr="009C7F99">
        <w:rPr>
          <w:rFonts w:cs="Times New Roman"/>
          <w:sz w:val="24"/>
          <w:szCs w:val="24"/>
        </w:rPr>
        <w:t xml:space="preserve">ourt has acknowledged that </w:t>
      </w:r>
      <w:r w:rsidR="003E017A">
        <w:rPr>
          <w:rFonts w:cs="Times New Roman"/>
          <w:sz w:val="24"/>
          <w:szCs w:val="24"/>
        </w:rPr>
        <w:t>“</w:t>
      </w:r>
      <w:r w:rsidRPr="009C7F99">
        <w:rPr>
          <w:rFonts w:cs="Times New Roman"/>
          <w:sz w:val="24"/>
          <w:szCs w:val="24"/>
        </w:rPr>
        <w:t>systemic motifs of dis</w:t>
      </w:r>
      <w:r w:rsidR="009C7F99" w:rsidRPr="009C7F99">
        <w:rPr>
          <w:rFonts w:cs="Times New Roman"/>
          <w:sz w:val="24"/>
          <w:szCs w:val="24"/>
        </w:rPr>
        <w:t>crimination</w:t>
      </w:r>
      <w:r w:rsidR="003E017A">
        <w:rPr>
          <w:rFonts w:cs="Times New Roman"/>
          <w:sz w:val="24"/>
          <w:szCs w:val="24"/>
        </w:rPr>
        <w:t>”</w:t>
      </w:r>
      <w:r w:rsidR="009C7F99" w:rsidRPr="009C7F99">
        <w:rPr>
          <w:rFonts w:cs="Times New Roman"/>
          <w:sz w:val="24"/>
          <w:szCs w:val="24"/>
        </w:rPr>
        <w:t xml:space="preserve"> are </w:t>
      </w:r>
      <w:r w:rsidRPr="009C7F99">
        <w:rPr>
          <w:rFonts w:cs="Times New Roman"/>
          <w:sz w:val="24"/>
          <w:szCs w:val="24"/>
        </w:rPr>
        <w:t xml:space="preserve">part of the fabric of our society. This analysis is apt when considering the </w:t>
      </w:r>
      <w:r w:rsidR="009C7F99" w:rsidRPr="009C7F99">
        <w:rPr>
          <w:rFonts w:cs="Times New Roman"/>
          <w:sz w:val="24"/>
          <w:szCs w:val="24"/>
        </w:rPr>
        <w:t>philosophical underpinnings of hate</w:t>
      </w:r>
      <w:r w:rsidRPr="009C7F99">
        <w:rPr>
          <w:rFonts w:cs="Times New Roman"/>
          <w:sz w:val="24"/>
          <w:szCs w:val="24"/>
        </w:rPr>
        <w:t xml:space="preserve"> speech prohibitions </w:t>
      </w:r>
      <w:r w:rsidR="009C7F99" w:rsidRPr="009C7F99">
        <w:rPr>
          <w:rFonts w:cs="Times New Roman"/>
          <w:sz w:val="24"/>
          <w:szCs w:val="24"/>
        </w:rPr>
        <w:t>that attach</w:t>
      </w:r>
      <w:r w:rsidRPr="009C7F99">
        <w:rPr>
          <w:rFonts w:cs="Times New Roman"/>
          <w:sz w:val="24"/>
          <w:szCs w:val="24"/>
        </w:rPr>
        <w:t xml:space="preserve"> civil liability, </w:t>
      </w:r>
      <w:r w:rsidR="009C7F99" w:rsidRPr="009C7F99">
        <w:rPr>
          <w:rFonts w:cs="Times New Roman"/>
          <w:sz w:val="24"/>
          <w:szCs w:val="24"/>
        </w:rPr>
        <w:t>coupled with the role of hate s</w:t>
      </w:r>
      <w:r w:rsidRPr="009C7F99">
        <w:rPr>
          <w:rFonts w:cs="Times New Roman"/>
          <w:sz w:val="24"/>
          <w:szCs w:val="24"/>
        </w:rPr>
        <w:t>peech and systemic discrimination in this country.</w:t>
      </w:r>
      <w:r w:rsidR="009C7F99" w:rsidRPr="009C7F99">
        <w:rPr>
          <w:rFonts w:cs="Times New Roman"/>
          <w:sz w:val="24"/>
          <w:szCs w:val="24"/>
        </w:rPr>
        <w:t>’</w:t>
      </w:r>
      <w:r w:rsidR="009C7F99">
        <w:rPr>
          <w:rStyle w:val="FootnoteReference"/>
          <w:rFonts w:cs="Times New Roman"/>
          <w:sz w:val="24"/>
          <w:szCs w:val="24"/>
        </w:rPr>
        <w:footnoteReference w:id="42"/>
      </w:r>
    </w:p>
    <w:p w14:paraId="691062BE" w14:textId="77777777" w:rsidR="00FE3BCA" w:rsidRPr="009D729F" w:rsidRDefault="00FE3BCA" w:rsidP="00774862">
      <w:pPr>
        <w:pStyle w:val="ListParagraph"/>
        <w:spacing w:after="0" w:line="360" w:lineRule="auto"/>
        <w:ind w:left="0"/>
        <w:jc w:val="both"/>
        <w:rPr>
          <w:rFonts w:cs="Times New Roman"/>
          <w:sz w:val="28"/>
          <w:szCs w:val="28"/>
        </w:rPr>
      </w:pPr>
    </w:p>
    <w:p w14:paraId="34A8EF43" w14:textId="51A48133" w:rsidR="00E9471A" w:rsidRDefault="00307E5D" w:rsidP="003A7BE1">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w:t>
      </w:r>
      <w:r w:rsidR="0045045C">
        <w:rPr>
          <w:rFonts w:cs="Times New Roman"/>
          <w:sz w:val="28"/>
          <w:szCs w:val="28"/>
        </w:rPr>
        <w:t xml:space="preserve">objects of </w:t>
      </w:r>
      <w:r w:rsidR="00E21A6B">
        <w:rPr>
          <w:rFonts w:cs="Times New Roman"/>
          <w:sz w:val="28"/>
          <w:szCs w:val="28"/>
        </w:rPr>
        <w:t>the intention</w:t>
      </w:r>
      <w:r w:rsidR="006D673F">
        <w:rPr>
          <w:rFonts w:cs="Times New Roman"/>
          <w:sz w:val="28"/>
          <w:szCs w:val="28"/>
        </w:rPr>
        <w:t xml:space="preserve"> – to be harmful or incite harm, or to promote or propagate hatred – </w:t>
      </w:r>
      <w:r w:rsidR="00E60771">
        <w:rPr>
          <w:rFonts w:cs="Times New Roman"/>
          <w:sz w:val="28"/>
          <w:szCs w:val="28"/>
        </w:rPr>
        <w:t>must be read conjunctively.</w:t>
      </w:r>
      <w:r w:rsidR="003E017A">
        <w:rPr>
          <w:rStyle w:val="FootnoteReference"/>
          <w:rFonts w:cs="Times New Roman"/>
          <w:sz w:val="28"/>
          <w:szCs w:val="28"/>
        </w:rPr>
        <w:footnoteReference w:id="43"/>
      </w:r>
      <w:r w:rsidR="003E017A">
        <w:rPr>
          <w:rFonts w:cs="Times New Roman"/>
          <w:sz w:val="28"/>
          <w:szCs w:val="28"/>
        </w:rPr>
        <w:t xml:space="preserve"> </w:t>
      </w:r>
      <w:r w:rsidR="00365BDE">
        <w:rPr>
          <w:rFonts w:cs="Times New Roman"/>
          <w:sz w:val="28"/>
          <w:szCs w:val="28"/>
        </w:rPr>
        <w:t xml:space="preserve">However, the section distinguishes between </w:t>
      </w:r>
      <w:r w:rsidR="00A15E8F">
        <w:rPr>
          <w:rFonts w:cs="Times New Roman"/>
          <w:sz w:val="28"/>
          <w:szCs w:val="28"/>
        </w:rPr>
        <w:t xml:space="preserve">the concepts, </w:t>
      </w:r>
      <w:r w:rsidR="00365BDE">
        <w:rPr>
          <w:rFonts w:cs="Times New Roman"/>
          <w:sz w:val="28"/>
          <w:szCs w:val="28"/>
        </w:rPr>
        <w:t>‘harmful’ and ‘to incite harm’, which the Constitutional Court referred to as ‘clear disjunctive terms’.</w:t>
      </w:r>
      <w:r w:rsidR="00365BDE">
        <w:rPr>
          <w:rStyle w:val="FootnoteReference"/>
          <w:rFonts w:cs="Times New Roman"/>
          <w:sz w:val="28"/>
          <w:szCs w:val="28"/>
        </w:rPr>
        <w:footnoteReference w:id="44"/>
      </w:r>
      <w:r w:rsidR="00365BDE">
        <w:rPr>
          <w:rFonts w:cs="Times New Roman"/>
          <w:sz w:val="28"/>
          <w:szCs w:val="28"/>
        </w:rPr>
        <w:t xml:space="preserve"> Accordingly, s</w:t>
      </w:r>
      <w:r w:rsidR="00235570">
        <w:rPr>
          <w:rFonts w:cs="Times New Roman"/>
          <w:sz w:val="28"/>
          <w:szCs w:val="28"/>
        </w:rPr>
        <w:t> </w:t>
      </w:r>
      <w:r w:rsidR="00365BDE">
        <w:rPr>
          <w:rFonts w:cs="Times New Roman"/>
          <w:sz w:val="28"/>
          <w:szCs w:val="28"/>
        </w:rPr>
        <w:t>10(1) prohibits expression that harms or ‘evokes a reasonable apprehension of harm to the target group’.</w:t>
      </w:r>
      <w:r w:rsidR="00365BDE">
        <w:rPr>
          <w:rStyle w:val="FootnoteReference"/>
          <w:rFonts w:cs="Times New Roman"/>
          <w:sz w:val="28"/>
          <w:szCs w:val="28"/>
        </w:rPr>
        <w:footnoteReference w:id="45"/>
      </w:r>
      <w:r w:rsidR="00365BDE">
        <w:rPr>
          <w:rFonts w:cs="Times New Roman"/>
          <w:sz w:val="28"/>
          <w:szCs w:val="28"/>
        </w:rPr>
        <w:t xml:space="preserve"> </w:t>
      </w:r>
      <w:r w:rsidR="00802003" w:rsidRPr="00423079">
        <w:rPr>
          <w:rFonts w:cs="Times New Roman"/>
          <w:sz w:val="28"/>
          <w:szCs w:val="28"/>
        </w:rPr>
        <w:t xml:space="preserve">The incitement of harm and the promotion or </w:t>
      </w:r>
      <w:r w:rsidR="00802003" w:rsidRPr="00423079">
        <w:rPr>
          <w:rFonts w:cs="Times New Roman"/>
          <w:sz w:val="28"/>
          <w:szCs w:val="28"/>
        </w:rPr>
        <w:lastRenderedPageBreak/>
        <w:t>propagation of hatred are the key elements of hate speech</w:t>
      </w:r>
      <w:r w:rsidR="00802003">
        <w:rPr>
          <w:rFonts w:cs="Times New Roman"/>
          <w:sz w:val="28"/>
          <w:szCs w:val="28"/>
        </w:rPr>
        <w:t>,</w:t>
      </w:r>
      <w:r w:rsidR="00802003">
        <w:rPr>
          <w:rStyle w:val="FootnoteReference"/>
          <w:rFonts w:cs="Times New Roman"/>
          <w:sz w:val="28"/>
          <w:szCs w:val="28"/>
        </w:rPr>
        <w:footnoteReference w:id="46"/>
      </w:r>
      <w:r w:rsidR="00802003">
        <w:rPr>
          <w:rFonts w:cs="Times New Roman"/>
          <w:sz w:val="28"/>
          <w:szCs w:val="28"/>
        </w:rPr>
        <w:t xml:space="preserve"> since</w:t>
      </w:r>
      <w:r w:rsidR="0045045C">
        <w:rPr>
          <w:rFonts w:cs="Times New Roman"/>
          <w:sz w:val="28"/>
          <w:szCs w:val="28"/>
        </w:rPr>
        <w:t xml:space="preserve"> freedom of expression requires toler</w:t>
      </w:r>
      <w:r w:rsidR="0092664F">
        <w:rPr>
          <w:rFonts w:cs="Times New Roman"/>
          <w:sz w:val="28"/>
          <w:szCs w:val="28"/>
        </w:rPr>
        <w:t>ance of</w:t>
      </w:r>
      <w:r w:rsidR="00802003">
        <w:rPr>
          <w:rFonts w:cs="Times New Roman"/>
          <w:sz w:val="28"/>
          <w:szCs w:val="28"/>
        </w:rPr>
        <w:t xml:space="preserve"> speech that shocks and offends</w:t>
      </w:r>
      <w:r w:rsidR="0092664F">
        <w:rPr>
          <w:rFonts w:cs="Times New Roman"/>
          <w:sz w:val="28"/>
          <w:szCs w:val="28"/>
        </w:rPr>
        <w:t>.</w:t>
      </w:r>
      <w:r w:rsidR="00740738">
        <w:rPr>
          <w:rStyle w:val="FootnoteReference"/>
          <w:rFonts w:cs="Times New Roman"/>
          <w:sz w:val="28"/>
          <w:szCs w:val="28"/>
        </w:rPr>
        <w:footnoteReference w:id="47"/>
      </w:r>
    </w:p>
    <w:p w14:paraId="4FEFA7D1" w14:textId="77777777" w:rsidR="00A0191E" w:rsidRDefault="00A0191E" w:rsidP="00A0191E">
      <w:pPr>
        <w:pStyle w:val="ListParagraph"/>
        <w:spacing w:after="0" w:line="360" w:lineRule="auto"/>
        <w:ind w:left="0"/>
        <w:jc w:val="both"/>
        <w:rPr>
          <w:rFonts w:cs="Times New Roman"/>
          <w:sz w:val="28"/>
          <w:szCs w:val="28"/>
        </w:rPr>
      </w:pPr>
    </w:p>
    <w:p w14:paraId="3805EBE5" w14:textId="155DBD19" w:rsidR="00802003" w:rsidRDefault="00802003" w:rsidP="003A7BE1">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requirement that speech ‘be harmful or incite harm’ does not require a causal link to be established between the speech and subsequent actions taken against individuals or groups at whom the speech is targeted. Requiring such a causal link would be contrary to and undermine the provisions of the Equality Act, ‘in that not every instance of harmful</w:t>
      </w:r>
      <w:r w:rsidR="00227A84">
        <w:rPr>
          <w:rFonts w:cs="Times New Roman"/>
          <w:sz w:val="28"/>
          <w:szCs w:val="28"/>
        </w:rPr>
        <w:t xml:space="preserve"> </w:t>
      </w:r>
      <w:r w:rsidR="00A0191E">
        <w:rPr>
          <w:rFonts w:cs="Times New Roman"/>
          <w:sz w:val="28"/>
          <w:szCs w:val="28"/>
        </w:rPr>
        <w:t xml:space="preserve">. . </w:t>
      </w:r>
      <w:r w:rsidR="00423079">
        <w:rPr>
          <w:rFonts w:cs="Times New Roman"/>
          <w:sz w:val="28"/>
          <w:szCs w:val="28"/>
        </w:rPr>
        <w:t>.</w:t>
      </w:r>
      <w:r w:rsidR="00A0191E">
        <w:rPr>
          <w:rFonts w:cs="Times New Roman"/>
          <w:sz w:val="28"/>
          <w:szCs w:val="28"/>
        </w:rPr>
        <w:t xml:space="preserve"> </w:t>
      </w:r>
      <w:r>
        <w:rPr>
          <w:rFonts w:cs="Times New Roman"/>
          <w:sz w:val="28"/>
          <w:szCs w:val="28"/>
        </w:rPr>
        <w:t xml:space="preserve">speech will result in imminent violence’. However, the fact that it does not result in imminent violence does </w:t>
      </w:r>
      <w:r w:rsidR="00A0191E">
        <w:rPr>
          <w:rFonts w:cs="Times New Roman"/>
          <w:sz w:val="28"/>
          <w:szCs w:val="28"/>
        </w:rPr>
        <w:t xml:space="preserve">not detract from the reality </w:t>
      </w:r>
      <w:r>
        <w:rPr>
          <w:rFonts w:cs="Times New Roman"/>
          <w:sz w:val="28"/>
          <w:szCs w:val="28"/>
        </w:rPr>
        <w:t>that such expression would constitute</w:t>
      </w:r>
      <w:r w:rsidR="00A0191E">
        <w:rPr>
          <w:rFonts w:cs="Times New Roman"/>
          <w:sz w:val="28"/>
          <w:szCs w:val="28"/>
        </w:rPr>
        <w:t xml:space="preserve"> </w:t>
      </w:r>
      <w:r w:rsidR="00E602EA">
        <w:rPr>
          <w:rFonts w:cs="Times New Roman"/>
          <w:sz w:val="28"/>
          <w:szCs w:val="28"/>
        </w:rPr>
        <w:t xml:space="preserve">hate </w:t>
      </w:r>
      <w:r w:rsidR="00A0191E">
        <w:rPr>
          <w:rFonts w:cs="Times New Roman"/>
          <w:sz w:val="28"/>
          <w:szCs w:val="28"/>
        </w:rPr>
        <w:t>speech</w:t>
      </w:r>
      <w:r>
        <w:rPr>
          <w:rFonts w:cs="Times New Roman"/>
          <w:sz w:val="28"/>
          <w:szCs w:val="28"/>
        </w:rPr>
        <w:t>.</w:t>
      </w:r>
      <w:r>
        <w:rPr>
          <w:rStyle w:val="FootnoteReference"/>
          <w:rFonts w:cs="Times New Roman"/>
          <w:sz w:val="28"/>
          <w:szCs w:val="28"/>
        </w:rPr>
        <w:footnoteReference w:id="48"/>
      </w:r>
    </w:p>
    <w:p w14:paraId="56378A67" w14:textId="77777777" w:rsidR="00802003" w:rsidRDefault="00802003" w:rsidP="00A0191E">
      <w:pPr>
        <w:pStyle w:val="ListParagraph"/>
        <w:spacing w:after="0" w:line="360" w:lineRule="auto"/>
        <w:ind w:left="0"/>
        <w:jc w:val="both"/>
        <w:rPr>
          <w:rFonts w:cs="Times New Roman"/>
          <w:sz w:val="28"/>
          <w:szCs w:val="28"/>
        </w:rPr>
      </w:pPr>
    </w:p>
    <w:p w14:paraId="2BC585EF" w14:textId="21FF13D7" w:rsidR="00CF2AF2" w:rsidRPr="003A7BE1" w:rsidRDefault="002743DA" w:rsidP="003A7BE1">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w:t>
      </w:r>
      <w:r w:rsidR="00CF2AF2" w:rsidRPr="003A7BE1">
        <w:rPr>
          <w:rFonts w:cs="Times New Roman"/>
          <w:sz w:val="28"/>
          <w:szCs w:val="28"/>
        </w:rPr>
        <w:t xml:space="preserve">he Constitutional Court has held that racist speech is particularly egregious. </w:t>
      </w:r>
      <w:r w:rsidR="00834FAA" w:rsidRPr="003A7BE1">
        <w:rPr>
          <w:rFonts w:cs="Times New Roman"/>
          <w:sz w:val="28"/>
          <w:szCs w:val="28"/>
        </w:rPr>
        <w:t>I</w:t>
      </w:r>
      <w:r w:rsidR="00CF2AF2" w:rsidRPr="003A7BE1">
        <w:rPr>
          <w:rFonts w:cs="Times New Roman"/>
          <w:sz w:val="28"/>
          <w:szCs w:val="28"/>
        </w:rPr>
        <w:t xml:space="preserve">n </w:t>
      </w:r>
      <w:r w:rsidR="00CF2AF2" w:rsidRPr="003A7BE1">
        <w:rPr>
          <w:rFonts w:cs="Times New Roman"/>
          <w:i/>
          <w:sz w:val="28"/>
          <w:szCs w:val="28"/>
        </w:rPr>
        <w:t>Rustenburg Platinum Mine</w:t>
      </w:r>
      <w:r w:rsidR="00055D69">
        <w:rPr>
          <w:rFonts w:cs="Times New Roman"/>
          <w:sz w:val="28"/>
          <w:szCs w:val="28"/>
        </w:rPr>
        <w:t xml:space="preserve">, it </w:t>
      </w:r>
      <w:r w:rsidR="00CF2AF2" w:rsidRPr="003A7BE1">
        <w:rPr>
          <w:rFonts w:cs="Times New Roman"/>
          <w:sz w:val="28"/>
          <w:szCs w:val="28"/>
        </w:rPr>
        <w:t>said:</w:t>
      </w:r>
      <w:r w:rsidR="00071B62">
        <w:rPr>
          <w:rStyle w:val="FootnoteReference"/>
          <w:rFonts w:cs="Times New Roman"/>
          <w:sz w:val="28"/>
          <w:szCs w:val="28"/>
        </w:rPr>
        <w:footnoteReference w:id="49"/>
      </w:r>
      <w:r w:rsidR="0092664F" w:rsidRPr="003A7BE1">
        <w:rPr>
          <w:rFonts w:cs="Times New Roman"/>
          <w:sz w:val="28"/>
          <w:szCs w:val="28"/>
        </w:rPr>
        <w:t xml:space="preserve"> </w:t>
      </w:r>
    </w:p>
    <w:p w14:paraId="53AFE69C" w14:textId="19AF0736" w:rsidR="00CF2AF2" w:rsidRPr="00071B62" w:rsidRDefault="00CF2AF2" w:rsidP="00CF2AF2">
      <w:pPr>
        <w:pStyle w:val="ListParagraph"/>
        <w:spacing w:after="0" w:line="360" w:lineRule="auto"/>
        <w:ind w:left="0"/>
        <w:jc w:val="both"/>
        <w:rPr>
          <w:rFonts w:cs="Times New Roman"/>
          <w:sz w:val="24"/>
          <w:szCs w:val="24"/>
        </w:rPr>
      </w:pPr>
      <w:r w:rsidRPr="00071B62">
        <w:rPr>
          <w:rFonts w:cs="Times New Roman"/>
          <w:sz w:val="24"/>
          <w:szCs w:val="24"/>
        </w:rPr>
        <w:t>‘</w:t>
      </w:r>
      <w:r w:rsidR="00834FAA" w:rsidRPr="00071B62">
        <w:rPr>
          <w:rFonts w:cs="Times New Roman"/>
          <w:sz w:val="24"/>
          <w:szCs w:val="24"/>
        </w:rPr>
        <w:t>O</w:t>
      </w:r>
      <w:r w:rsidR="00071B62" w:rsidRPr="00071B62">
        <w:rPr>
          <w:rFonts w:cs="Times New Roman"/>
          <w:sz w:val="24"/>
          <w:szCs w:val="24"/>
        </w:rPr>
        <w:t>ur C</w:t>
      </w:r>
      <w:r w:rsidR="00834FAA" w:rsidRPr="00071B62">
        <w:rPr>
          <w:rFonts w:cs="Times New Roman"/>
          <w:sz w:val="24"/>
          <w:szCs w:val="24"/>
        </w:rPr>
        <w:t xml:space="preserve">onstitution rightly acknowledges that </w:t>
      </w:r>
      <w:r w:rsidR="00071B62" w:rsidRPr="00071B62">
        <w:rPr>
          <w:rFonts w:cs="Times New Roman"/>
          <w:sz w:val="24"/>
          <w:szCs w:val="24"/>
        </w:rPr>
        <w:t>our past is one of deep societal division</w:t>
      </w:r>
      <w:r w:rsidR="003B6D54">
        <w:rPr>
          <w:rFonts w:cs="Times New Roman"/>
          <w:sz w:val="24"/>
          <w:szCs w:val="24"/>
        </w:rPr>
        <w:t>s</w:t>
      </w:r>
      <w:r w:rsidR="00071B62" w:rsidRPr="00071B62">
        <w:rPr>
          <w:rFonts w:cs="Times New Roman"/>
          <w:sz w:val="24"/>
          <w:szCs w:val="24"/>
        </w:rPr>
        <w:t xml:space="preserve"> characterised by strife, conflict, untold suffering and injustice. Racism and racial prejudices have not disappeared overnight, and they stem, as demonstrated in our history, from a misconceived view that some are superior to others. These prejudices do not only manifest themselves with regard to race but it can be seen with reference to gender discrimination.’</w:t>
      </w:r>
    </w:p>
    <w:p w14:paraId="1E2EBEC6" w14:textId="77777777" w:rsidR="00CF2AF2" w:rsidRDefault="00CF2AF2" w:rsidP="003A7BE1">
      <w:pPr>
        <w:pStyle w:val="ListParagraph"/>
        <w:spacing w:after="0" w:line="360" w:lineRule="auto"/>
        <w:ind w:left="0"/>
        <w:jc w:val="both"/>
        <w:rPr>
          <w:rFonts w:cs="Times New Roman"/>
          <w:sz w:val="28"/>
          <w:szCs w:val="28"/>
        </w:rPr>
      </w:pPr>
    </w:p>
    <w:p w14:paraId="02596C14" w14:textId="77777777" w:rsidR="00CF2AF2" w:rsidRPr="00294557" w:rsidRDefault="00E9471A" w:rsidP="00294557">
      <w:pPr>
        <w:pStyle w:val="ListParagraph"/>
        <w:numPr>
          <w:ilvl w:val="0"/>
          <w:numId w:val="19"/>
        </w:numPr>
        <w:spacing w:after="0" w:line="360" w:lineRule="auto"/>
        <w:ind w:left="0" w:firstLine="0"/>
        <w:jc w:val="both"/>
        <w:rPr>
          <w:rFonts w:cs="Times New Roman"/>
          <w:sz w:val="24"/>
          <w:szCs w:val="24"/>
        </w:rPr>
      </w:pPr>
      <w:r>
        <w:rPr>
          <w:rFonts w:cs="Times New Roman"/>
          <w:sz w:val="28"/>
          <w:szCs w:val="28"/>
        </w:rPr>
        <w:t xml:space="preserve">Racist conduct, the </w:t>
      </w:r>
      <w:r w:rsidR="003A7BE1">
        <w:rPr>
          <w:rFonts w:cs="Times New Roman"/>
          <w:sz w:val="28"/>
          <w:szCs w:val="28"/>
        </w:rPr>
        <w:t xml:space="preserve">Constitutional </w:t>
      </w:r>
      <w:r>
        <w:rPr>
          <w:rFonts w:cs="Times New Roman"/>
          <w:sz w:val="28"/>
          <w:szCs w:val="28"/>
        </w:rPr>
        <w:t xml:space="preserve">Court </w:t>
      </w:r>
      <w:r w:rsidR="0059392F">
        <w:rPr>
          <w:rFonts w:cs="Times New Roman"/>
          <w:sz w:val="28"/>
          <w:szCs w:val="28"/>
        </w:rPr>
        <w:t xml:space="preserve">said in </w:t>
      </w:r>
      <w:r w:rsidR="0059392F" w:rsidRPr="00294557">
        <w:rPr>
          <w:rFonts w:cs="Times New Roman"/>
          <w:i/>
          <w:sz w:val="28"/>
          <w:szCs w:val="28"/>
        </w:rPr>
        <w:t>South African Revenue Service</w:t>
      </w:r>
      <w:r>
        <w:rPr>
          <w:rFonts w:cs="Times New Roman"/>
          <w:sz w:val="28"/>
          <w:szCs w:val="28"/>
        </w:rPr>
        <w:t>,</w:t>
      </w:r>
      <w:r w:rsidR="00294557">
        <w:rPr>
          <w:rStyle w:val="FootnoteReference"/>
          <w:rFonts w:cs="Times New Roman"/>
          <w:sz w:val="24"/>
          <w:szCs w:val="24"/>
        </w:rPr>
        <w:footnoteReference w:id="50"/>
      </w:r>
      <w:r>
        <w:rPr>
          <w:rFonts w:cs="Times New Roman"/>
          <w:sz w:val="28"/>
          <w:szCs w:val="28"/>
        </w:rPr>
        <w:t xml:space="preserve"> must be dealt with firmly:</w:t>
      </w:r>
    </w:p>
    <w:p w14:paraId="3B93ECF2" w14:textId="77777777" w:rsidR="00E9471A" w:rsidRPr="00E0740D" w:rsidRDefault="00E9471A" w:rsidP="00E9471A">
      <w:pPr>
        <w:pStyle w:val="ListParagraph"/>
        <w:spacing w:after="0" w:line="360" w:lineRule="auto"/>
        <w:ind w:left="0"/>
        <w:jc w:val="both"/>
        <w:rPr>
          <w:rFonts w:cs="Times New Roman"/>
          <w:sz w:val="24"/>
          <w:szCs w:val="24"/>
        </w:rPr>
      </w:pPr>
      <w:r w:rsidRPr="00E0740D">
        <w:rPr>
          <w:rFonts w:cs="Times New Roman"/>
          <w:sz w:val="24"/>
          <w:szCs w:val="24"/>
        </w:rPr>
        <w:t>‘[R]acist conduct requires a very firm and unapologetic response from the courts, particularly the highest courts. Courts cannot therefore afford to shirk their constitutional obligation</w:t>
      </w:r>
      <w:r w:rsidR="00E0740D" w:rsidRPr="00E0740D">
        <w:rPr>
          <w:rFonts w:cs="Times New Roman"/>
          <w:sz w:val="24"/>
          <w:szCs w:val="24"/>
        </w:rPr>
        <w:t xml:space="preserve"> or spurn the opportunities</w:t>
      </w:r>
      <w:r w:rsidRPr="00E0740D">
        <w:rPr>
          <w:rFonts w:cs="Times New Roman"/>
          <w:sz w:val="24"/>
          <w:szCs w:val="24"/>
        </w:rPr>
        <w:t xml:space="preserve"> they have </w:t>
      </w:r>
      <w:r w:rsidR="00E0740D" w:rsidRPr="00E0740D">
        <w:rPr>
          <w:rFonts w:cs="Times New Roman"/>
          <w:sz w:val="24"/>
          <w:szCs w:val="24"/>
        </w:rPr>
        <w:t xml:space="preserve">to </w:t>
      </w:r>
      <w:r w:rsidRPr="00E0740D">
        <w:rPr>
          <w:rFonts w:cs="Times New Roman"/>
          <w:sz w:val="24"/>
          <w:szCs w:val="24"/>
        </w:rPr>
        <w:t>contribute meaningfully towards the eradication of racism and its tendencies’</w:t>
      </w:r>
    </w:p>
    <w:p w14:paraId="34F5C3CD" w14:textId="77777777" w:rsidR="00CF2AF2" w:rsidRDefault="00CF2AF2" w:rsidP="00E0740D">
      <w:pPr>
        <w:pStyle w:val="ListParagraph"/>
        <w:spacing w:after="0" w:line="360" w:lineRule="auto"/>
        <w:ind w:left="0"/>
        <w:jc w:val="both"/>
        <w:rPr>
          <w:rFonts w:cs="Times New Roman"/>
          <w:sz w:val="28"/>
          <w:szCs w:val="28"/>
        </w:rPr>
      </w:pPr>
    </w:p>
    <w:p w14:paraId="53656FAE" w14:textId="77777777" w:rsidR="00E0740D" w:rsidRDefault="00D75401" w:rsidP="00EA05DC">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lastRenderedPageBreak/>
        <w:t>These two cases, it was held</w:t>
      </w:r>
      <w:r w:rsidR="00294557">
        <w:rPr>
          <w:rFonts w:cs="Times New Roman"/>
          <w:sz w:val="28"/>
          <w:szCs w:val="28"/>
        </w:rPr>
        <w:t xml:space="preserve"> in </w:t>
      </w:r>
      <w:r w:rsidR="00294557" w:rsidRPr="00294557">
        <w:rPr>
          <w:rFonts w:cs="Times New Roman"/>
          <w:i/>
          <w:sz w:val="28"/>
          <w:szCs w:val="28"/>
        </w:rPr>
        <w:t>Qwelane</w:t>
      </w:r>
      <w:r w:rsidR="00294557">
        <w:rPr>
          <w:rFonts w:cs="Times New Roman"/>
          <w:sz w:val="28"/>
          <w:szCs w:val="28"/>
        </w:rPr>
        <w:t>,</w:t>
      </w:r>
      <w:r w:rsidR="00294557">
        <w:rPr>
          <w:rStyle w:val="FootnoteReference"/>
          <w:rFonts w:cs="Times New Roman"/>
          <w:sz w:val="28"/>
          <w:szCs w:val="28"/>
        </w:rPr>
        <w:footnoteReference w:id="51"/>
      </w:r>
      <w:r w:rsidR="00294557">
        <w:rPr>
          <w:rFonts w:cs="Times New Roman"/>
          <w:sz w:val="28"/>
          <w:szCs w:val="28"/>
        </w:rPr>
        <w:t xml:space="preserve"> ‘demonstrate the presence of deeply rooted structural subordination in relation to race’. The Court went on to say:</w:t>
      </w:r>
    </w:p>
    <w:p w14:paraId="757A48BD" w14:textId="77777777" w:rsidR="00294557" w:rsidRDefault="00294557" w:rsidP="00294557">
      <w:pPr>
        <w:pStyle w:val="ListParagraph"/>
        <w:spacing w:after="0" w:line="360" w:lineRule="auto"/>
        <w:ind w:left="0"/>
        <w:jc w:val="both"/>
        <w:rPr>
          <w:rFonts w:cs="Times New Roman"/>
          <w:sz w:val="24"/>
          <w:szCs w:val="24"/>
        </w:rPr>
      </w:pPr>
      <w:r w:rsidRPr="00055D69">
        <w:rPr>
          <w:rFonts w:cs="Times New Roman"/>
          <w:sz w:val="24"/>
          <w:szCs w:val="24"/>
        </w:rPr>
        <w:t>‘In these cases</w:t>
      </w:r>
      <w:r w:rsidR="00055D69">
        <w:rPr>
          <w:rFonts w:cs="Times New Roman"/>
          <w:sz w:val="24"/>
          <w:szCs w:val="24"/>
        </w:rPr>
        <w:t>, the C</w:t>
      </w:r>
      <w:r w:rsidRPr="00055D69">
        <w:rPr>
          <w:rFonts w:cs="Times New Roman"/>
          <w:sz w:val="24"/>
          <w:szCs w:val="24"/>
        </w:rPr>
        <w:t xml:space="preserve">ourt underscored how facially innocuous words </w:t>
      </w:r>
      <w:r w:rsidR="0091182F" w:rsidRPr="00055D69">
        <w:rPr>
          <w:rFonts w:cs="Times New Roman"/>
          <w:sz w:val="24"/>
          <w:szCs w:val="24"/>
        </w:rPr>
        <w:t>or</w:t>
      </w:r>
      <w:r w:rsidRPr="00055D69">
        <w:rPr>
          <w:rFonts w:cs="Times New Roman"/>
          <w:sz w:val="24"/>
          <w:szCs w:val="24"/>
        </w:rPr>
        <w:t xml:space="preserve"> notorious words have to be understood based on the different structural positions in post</w:t>
      </w:r>
      <w:r w:rsidR="0091182F" w:rsidRPr="00055D69">
        <w:rPr>
          <w:rFonts w:cs="Times New Roman"/>
          <w:sz w:val="24"/>
          <w:szCs w:val="24"/>
        </w:rPr>
        <w:t>-</w:t>
      </w:r>
      <w:r w:rsidRPr="00055D69">
        <w:rPr>
          <w:rFonts w:cs="Times New Roman"/>
          <w:sz w:val="24"/>
          <w:szCs w:val="24"/>
        </w:rPr>
        <w:t>apartheid South African society. This i</w:t>
      </w:r>
      <w:r w:rsidR="0091182F" w:rsidRPr="00055D69">
        <w:rPr>
          <w:rFonts w:cs="Times New Roman"/>
          <w:sz w:val="24"/>
          <w:szCs w:val="24"/>
        </w:rPr>
        <w:t xml:space="preserve">s an approach which takes cognisance of how </w:t>
      </w:r>
      <w:r w:rsidRPr="00055D69">
        <w:rPr>
          <w:rFonts w:cs="Times New Roman"/>
          <w:sz w:val="24"/>
          <w:szCs w:val="24"/>
        </w:rPr>
        <w:t xml:space="preserve">words perpetuate and contribute towards systemic </w:t>
      </w:r>
      <w:r w:rsidR="0091182F" w:rsidRPr="00055D69">
        <w:rPr>
          <w:rFonts w:cs="Times New Roman"/>
          <w:sz w:val="24"/>
          <w:szCs w:val="24"/>
        </w:rPr>
        <w:t>dis</w:t>
      </w:r>
      <w:r w:rsidRPr="00055D69">
        <w:rPr>
          <w:rFonts w:cs="Times New Roman"/>
          <w:sz w:val="24"/>
          <w:szCs w:val="24"/>
        </w:rPr>
        <w:t>advantage and inequalities. In e</w:t>
      </w:r>
      <w:r w:rsidR="0091182F" w:rsidRPr="00055D69">
        <w:rPr>
          <w:rFonts w:cs="Times New Roman"/>
          <w:sz w:val="24"/>
          <w:szCs w:val="24"/>
        </w:rPr>
        <w:t>ssence, this is the corollary of our</w:t>
      </w:r>
      <w:r w:rsidRPr="00055D69">
        <w:rPr>
          <w:rFonts w:cs="Times New Roman"/>
          <w:sz w:val="24"/>
          <w:szCs w:val="24"/>
        </w:rPr>
        <w:t xml:space="preserve"> substantive equal</w:t>
      </w:r>
      <w:r w:rsidR="0091182F" w:rsidRPr="00055D69">
        <w:rPr>
          <w:rFonts w:cs="Times New Roman"/>
          <w:sz w:val="24"/>
          <w:szCs w:val="24"/>
        </w:rPr>
        <w:t>ity demands that flow from the C</w:t>
      </w:r>
      <w:r w:rsidRPr="00055D69">
        <w:rPr>
          <w:rFonts w:cs="Times New Roman"/>
          <w:sz w:val="24"/>
          <w:szCs w:val="24"/>
        </w:rPr>
        <w:t>onstitution.</w:t>
      </w:r>
      <w:r w:rsidR="0091182F" w:rsidRPr="00055D69">
        <w:rPr>
          <w:rFonts w:cs="Times New Roman"/>
          <w:sz w:val="24"/>
          <w:szCs w:val="24"/>
        </w:rPr>
        <w:t xml:space="preserve"> The purpose of hate</w:t>
      </w:r>
      <w:r w:rsidRPr="00055D69">
        <w:rPr>
          <w:rFonts w:cs="Times New Roman"/>
          <w:sz w:val="24"/>
          <w:szCs w:val="24"/>
        </w:rPr>
        <w:t xml:space="preserve"> speech regulation in South Africa is inextricably linked to our constitution</w:t>
      </w:r>
      <w:r w:rsidR="0091182F" w:rsidRPr="00055D69">
        <w:rPr>
          <w:rFonts w:cs="Times New Roman"/>
          <w:sz w:val="24"/>
          <w:szCs w:val="24"/>
        </w:rPr>
        <w:t>al</w:t>
      </w:r>
      <w:r w:rsidRPr="00055D69">
        <w:rPr>
          <w:rFonts w:cs="Times New Roman"/>
          <w:sz w:val="24"/>
          <w:szCs w:val="24"/>
        </w:rPr>
        <w:t xml:space="preserve"> object </w:t>
      </w:r>
      <w:r w:rsidR="0091182F" w:rsidRPr="00055D69">
        <w:rPr>
          <w:rFonts w:cs="Times New Roman"/>
          <w:sz w:val="24"/>
          <w:szCs w:val="24"/>
        </w:rPr>
        <w:t>of healing</w:t>
      </w:r>
      <w:r w:rsidRPr="00055D69">
        <w:rPr>
          <w:rFonts w:cs="Times New Roman"/>
          <w:sz w:val="24"/>
          <w:szCs w:val="24"/>
        </w:rPr>
        <w:t xml:space="preserve"> the injustices of the past and establishing a more egalitarian society.</w:t>
      </w:r>
      <w:r w:rsidR="0091182F" w:rsidRPr="00055D69">
        <w:rPr>
          <w:rFonts w:cs="Times New Roman"/>
          <w:sz w:val="24"/>
          <w:szCs w:val="24"/>
        </w:rPr>
        <w:t xml:space="preserve"> This is done by curtail</w:t>
      </w:r>
      <w:r w:rsidRPr="00055D69">
        <w:rPr>
          <w:rFonts w:cs="Times New Roman"/>
          <w:sz w:val="24"/>
          <w:szCs w:val="24"/>
        </w:rPr>
        <w:t>ing speech which is part and parcel of the system of subordination of vulnerable and marginalised groups in South Africa.</w:t>
      </w:r>
      <w:r w:rsidR="00055D69" w:rsidRPr="00055D69">
        <w:rPr>
          <w:rStyle w:val="FootnoteReference"/>
          <w:rFonts w:cs="Times New Roman"/>
          <w:sz w:val="24"/>
          <w:szCs w:val="24"/>
        </w:rPr>
        <w:footnoteReference w:id="52"/>
      </w:r>
    </w:p>
    <w:p w14:paraId="6F457564" w14:textId="77777777" w:rsidR="00055D69" w:rsidRPr="00055D69" w:rsidRDefault="00055D69" w:rsidP="00294557">
      <w:pPr>
        <w:pStyle w:val="ListParagraph"/>
        <w:spacing w:after="0" w:line="360" w:lineRule="auto"/>
        <w:ind w:left="0"/>
        <w:jc w:val="both"/>
        <w:rPr>
          <w:rFonts w:cs="Times New Roman"/>
          <w:sz w:val="24"/>
          <w:szCs w:val="24"/>
        </w:rPr>
      </w:pPr>
    </w:p>
    <w:p w14:paraId="08EBBB32" w14:textId="286B7BA3" w:rsidR="006A756F" w:rsidRDefault="004068CD" w:rsidP="00213C3C">
      <w:pPr>
        <w:pStyle w:val="ListParagraph"/>
        <w:numPr>
          <w:ilvl w:val="0"/>
          <w:numId w:val="19"/>
        </w:numPr>
        <w:spacing w:after="0" w:line="360" w:lineRule="auto"/>
        <w:ind w:left="0" w:firstLine="0"/>
        <w:jc w:val="both"/>
        <w:rPr>
          <w:rFonts w:cs="Times New Roman"/>
          <w:sz w:val="28"/>
          <w:szCs w:val="28"/>
        </w:rPr>
      </w:pPr>
      <w:r w:rsidRPr="00AA1575">
        <w:rPr>
          <w:rFonts w:cs="Times New Roman"/>
          <w:sz w:val="28"/>
          <w:szCs w:val="28"/>
        </w:rPr>
        <w:t>The message communicated</w:t>
      </w:r>
      <w:r w:rsidR="002B7790" w:rsidRPr="00AA1575">
        <w:rPr>
          <w:rFonts w:cs="Times New Roman"/>
          <w:sz w:val="28"/>
          <w:szCs w:val="28"/>
        </w:rPr>
        <w:t xml:space="preserve"> by gratuitous public displays of the old flag is not innocuous, let alone facially innocuous. Rather, </w:t>
      </w:r>
      <w:r w:rsidR="00F14D5D" w:rsidRPr="00AA1575">
        <w:rPr>
          <w:rFonts w:cs="Times New Roman"/>
          <w:sz w:val="28"/>
          <w:szCs w:val="28"/>
        </w:rPr>
        <w:t xml:space="preserve">those who publicly hold up or wave the old flag, convey a </w:t>
      </w:r>
      <w:r w:rsidR="002B7790" w:rsidRPr="00AA1575">
        <w:rPr>
          <w:rFonts w:cs="Times New Roman"/>
          <w:sz w:val="28"/>
          <w:szCs w:val="28"/>
        </w:rPr>
        <w:t xml:space="preserve">brazen, destructive message </w:t>
      </w:r>
      <w:r w:rsidR="00F14D5D" w:rsidRPr="00AA1575">
        <w:rPr>
          <w:rFonts w:cs="Times New Roman"/>
          <w:sz w:val="28"/>
          <w:szCs w:val="28"/>
        </w:rPr>
        <w:t>that they celebrate</w:t>
      </w:r>
      <w:r w:rsidR="00E8690D" w:rsidRPr="00AA1575">
        <w:rPr>
          <w:rFonts w:cs="Times New Roman"/>
          <w:sz w:val="28"/>
          <w:szCs w:val="28"/>
        </w:rPr>
        <w:t xml:space="preserve"> and long </w:t>
      </w:r>
      <w:r w:rsidR="002B7790" w:rsidRPr="00AA1575">
        <w:rPr>
          <w:rFonts w:cs="Times New Roman"/>
          <w:sz w:val="28"/>
          <w:szCs w:val="28"/>
        </w:rPr>
        <w:t xml:space="preserve">for the racism of our past, in which only white people were treated as first-class citizens while black people were denigrated and demeaned. </w:t>
      </w:r>
      <w:r w:rsidR="00265436" w:rsidRPr="00AA1575">
        <w:rPr>
          <w:rFonts w:cs="Times New Roman"/>
          <w:sz w:val="28"/>
          <w:szCs w:val="28"/>
        </w:rPr>
        <w:t>It is a glorification and veneration of the hate-filled</w:t>
      </w:r>
      <w:r w:rsidR="00CC3BCE" w:rsidRPr="00AA1575">
        <w:rPr>
          <w:rFonts w:cs="Times New Roman"/>
          <w:sz w:val="28"/>
          <w:szCs w:val="28"/>
        </w:rPr>
        <w:t xml:space="preserve"> system that contributed to most</w:t>
      </w:r>
      <w:r w:rsidR="00265436" w:rsidRPr="00AA1575">
        <w:rPr>
          <w:rFonts w:cs="Times New Roman"/>
          <w:sz w:val="28"/>
          <w:szCs w:val="28"/>
        </w:rPr>
        <w:t xml:space="preserve"> of the ills that beset our society today. The message is aimed at intimidating those who suffered, and continue to suffer, the ravages of apartheid</w:t>
      </w:r>
      <w:r w:rsidR="00DD781E" w:rsidRPr="00B94265">
        <w:rPr>
          <w:rFonts w:cs="Times New Roman"/>
          <w:sz w:val="28"/>
          <w:szCs w:val="28"/>
        </w:rPr>
        <w:t>;</w:t>
      </w:r>
      <w:r w:rsidR="00FC1A5F" w:rsidRPr="00B94265">
        <w:rPr>
          <w:rFonts w:cs="Times New Roman"/>
          <w:sz w:val="28"/>
          <w:szCs w:val="28"/>
        </w:rPr>
        <w:t xml:space="preserve"> and </w:t>
      </w:r>
      <w:r w:rsidR="00DD781E" w:rsidRPr="00B94265">
        <w:rPr>
          <w:rFonts w:cs="Times New Roman"/>
          <w:sz w:val="28"/>
          <w:szCs w:val="28"/>
        </w:rPr>
        <w:t xml:space="preserve">poses a direct </w:t>
      </w:r>
      <w:r w:rsidR="00FC1A5F" w:rsidRPr="00B94265">
        <w:rPr>
          <w:rFonts w:cs="Times New Roman"/>
          <w:sz w:val="28"/>
          <w:szCs w:val="28"/>
        </w:rPr>
        <w:t>challenge</w:t>
      </w:r>
      <w:r w:rsidR="00DD781E" w:rsidRPr="00B94265">
        <w:rPr>
          <w:rFonts w:cs="Times New Roman"/>
          <w:sz w:val="28"/>
          <w:szCs w:val="28"/>
        </w:rPr>
        <w:t xml:space="preserve"> to</w:t>
      </w:r>
      <w:r w:rsidR="00FC1A5F" w:rsidRPr="00B94265">
        <w:rPr>
          <w:rFonts w:cs="Times New Roman"/>
          <w:sz w:val="28"/>
          <w:szCs w:val="28"/>
        </w:rPr>
        <w:t xml:space="preserve"> the </w:t>
      </w:r>
      <w:r w:rsidR="00E72C93" w:rsidRPr="00B94265">
        <w:rPr>
          <w:rFonts w:cs="Times New Roman"/>
          <w:sz w:val="28"/>
          <w:szCs w:val="28"/>
        </w:rPr>
        <w:t xml:space="preserve">new </w:t>
      </w:r>
      <w:r w:rsidR="00FC1A5F" w:rsidRPr="00B94265">
        <w:rPr>
          <w:rFonts w:cs="Times New Roman"/>
          <w:sz w:val="28"/>
          <w:szCs w:val="28"/>
        </w:rPr>
        <w:t xml:space="preserve">constitutional </w:t>
      </w:r>
      <w:r w:rsidR="00DD781E" w:rsidRPr="00B94265">
        <w:rPr>
          <w:rFonts w:cs="Times New Roman"/>
          <w:sz w:val="28"/>
          <w:szCs w:val="28"/>
        </w:rPr>
        <w:t>o</w:t>
      </w:r>
      <w:r w:rsidR="00E72C93" w:rsidRPr="00B94265">
        <w:rPr>
          <w:rFonts w:cs="Times New Roman"/>
          <w:sz w:val="28"/>
          <w:szCs w:val="28"/>
        </w:rPr>
        <w:t>rder</w:t>
      </w:r>
      <w:r w:rsidR="00265436" w:rsidRPr="00B94265">
        <w:rPr>
          <w:rFonts w:cs="Times New Roman"/>
          <w:sz w:val="28"/>
          <w:szCs w:val="28"/>
        </w:rPr>
        <w:t>.</w:t>
      </w:r>
      <w:r w:rsidR="00D75401" w:rsidRPr="00B94265">
        <w:rPr>
          <w:rFonts w:cs="Times New Roman"/>
          <w:sz w:val="28"/>
          <w:szCs w:val="28"/>
        </w:rPr>
        <w:t xml:space="preserve"> T</w:t>
      </w:r>
      <w:r w:rsidR="00E8690D" w:rsidRPr="00B94265">
        <w:rPr>
          <w:rFonts w:cs="Times New Roman"/>
          <w:sz w:val="28"/>
          <w:szCs w:val="28"/>
        </w:rPr>
        <w:t xml:space="preserve">his, </w:t>
      </w:r>
      <w:r w:rsidR="00024E93" w:rsidRPr="00B94265">
        <w:rPr>
          <w:rFonts w:cs="Times New Roman"/>
          <w:sz w:val="28"/>
          <w:szCs w:val="28"/>
        </w:rPr>
        <w:t>when</w:t>
      </w:r>
      <w:r w:rsidR="00AC671B" w:rsidRPr="00B94265">
        <w:rPr>
          <w:rFonts w:cs="Times New Roman"/>
          <w:sz w:val="28"/>
          <w:szCs w:val="28"/>
        </w:rPr>
        <w:t>, as stated in the Minister’s affidavit,</w:t>
      </w:r>
      <w:r w:rsidR="00024E93" w:rsidRPr="00B94265">
        <w:rPr>
          <w:rFonts w:cs="Times New Roman"/>
          <w:sz w:val="28"/>
          <w:szCs w:val="28"/>
        </w:rPr>
        <w:t xml:space="preserve"> </w:t>
      </w:r>
      <w:r w:rsidR="00D75401" w:rsidRPr="00B94265">
        <w:rPr>
          <w:rFonts w:cs="Times New Roman"/>
          <w:sz w:val="28"/>
          <w:szCs w:val="28"/>
        </w:rPr>
        <w:t xml:space="preserve">it has been </w:t>
      </w:r>
      <w:r w:rsidR="00AE3C21" w:rsidRPr="00B94265">
        <w:rPr>
          <w:rFonts w:cs="Times New Roman"/>
          <w:sz w:val="28"/>
          <w:szCs w:val="28"/>
        </w:rPr>
        <w:t>determin</w:t>
      </w:r>
      <w:r w:rsidR="00F83D9D" w:rsidRPr="00B94265">
        <w:rPr>
          <w:rFonts w:cs="Times New Roman"/>
          <w:sz w:val="28"/>
          <w:szCs w:val="28"/>
        </w:rPr>
        <w:t>e</w:t>
      </w:r>
      <w:r w:rsidR="00024E93" w:rsidRPr="00B94265">
        <w:rPr>
          <w:rFonts w:cs="Times New Roman"/>
          <w:sz w:val="28"/>
          <w:szCs w:val="28"/>
        </w:rPr>
        <w:t>d that aparth</w:t>
      </w:r>
      <w:r w:rsidR="003445E6" w:rsidRPr="00B94265">
        <w:rPr>
          <w:rFonts w:cs="Times New Roman"/>
          <w:sz w:val="28"/>
          <w:szCs w:val="28"/>
        </w:rPr>
        <w:t>eid is a crime against humanity.</w:t>
      </w:r>
      <w:r w:rsidR="00024E93" w:rsidRPr="00B94265">
        <w:rPr>
          <w:rStyle w:val="FootnoteReference"/>
          <w:rFonts w:cs="Times New Roman"/>
          <w:sz w:val="28"/>
          <w:szCs w:val="28"/>
        </w:rPr>
        <w:footnoteReference w:id="53"/>
      </w:r>
      <w:r w:rsidR="003445E6" w:rsidRPr="00B94265">
        <w:rPr>
          <w:rFonts w:cs="Times New Roman"/>
          <w:sz w:val="28"/>
          <w:szCs w:val="28"/>
        </w:rPr>
        <w:t xml:space="preserve"> A</w:t>
      </w:r>
      <w:r w:rsidR="00024E93" w:rsidRPr="00B94265">
        <w:rPr>
          <w:rFonts w:cs="Times New Roman"/>
          <w:sz w:val="28"/>
          <w:szCs w:val="28"/>
        </w:rPr>
        <w:t>nd</w:t>
      </w:r>
      <w:r w:rsidR="00024E93" w:rsidRPr="00AA1575">
        <w:rPr>
          <w:rFonts w:cs="Times New Roman"/>
          <w:sz w:val="28"/>
          <w:szCs w:val="28"/>
        </w:rPr>
        <w:t xml:space="preserve"> </w:t>
      </w:r>
      <w:r w:rsidR="00024E93" w:rsidRPr="00AA1575">
        <w:rPr>
          <w:rFonts w:cs="Times New Roman"/>
          <w:sz w:val="28"/>
          <w:szCs w:val="28"/>
        </w:rPr>
        <w:lastRenderedPageBreak/>
        <w:t xml:space="preserve">when Afriforum itself </w:t>
      </w:r>
      <w:r w:rsidR="006A756F" w:rsidRPr="00AA1575">
        <w:rPr>
          <w:rFonts w:cs="Times New Roman"/>
          <w:sz w:val="28"/>
          <w:szCs w:val="28"/>
        </w:rPr>
        <w:t>states: ‘Most South Africans recoil from the old flag and openly denounce Apartheid as a crime against humanity’.</w:t>
      </w:r>
      <w:r w:rsidR="00024E93" w:rsidRPr="00AA1575">
        <w:rPr>
          <w:rFonts w:cs="Times New Roman"/>
          <w:sz w:val="28"/>
          <w:szCs w:val="28"/>
        </w:rPr>
        <w:t xml:space="preserve"> </w:t>
      </w:r>
    </w:p>
    <w:p w14:paraId="3E72D250" w14:textId="77777777" w:rsidR="00AA1575" w:rsidRPr="00AA1575" w:rsidRDefault="00AA1575" w:rsidP="00AA1575">
      <w:pPr>
        <w:pStyle w:val="ListParagraph"/>
        <w:spacing w:after="0" w:line="360" w:lineRule="auto"/>
        <w:ind w:left="0"/>
        <w:jc w:val="both"/>
        <w:rPr>
          <w:rFonts w:cs="Times New Roman"/>
          <w:sz w:val="28"/>
          <w:szCs w:val="28"/>
        </w:rPr>
      </w:pPr>
    </w:p>
    <w:p w14:paraId="56791EC4" w14:textId="76E17780" w:rsidR="009C15A3" w:rsidRPr="00265436" w:rsidRDefault="00AE3C21" w:rsidP="009C15A3">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Such </w:t>
      </w:r>
      <w:r w:rsidR="002D2EE1">
        <w:rPr>
          <w:rFonts w:cs="Times New Roman"/>
          <w:sz w:val="28"/>
          <w:szCs w:val="28"/>
        </w:rPr>
        <w:t>display</w:t>
      </w:r>
      <w:r>
        <w:rPr>
          <w:rFonts w:cs="Times New Roman"/>
          <w:sz w:val="28"/>
          <w:szCs w:val="28"/>
        </w:rPr>
        <w:t>s</w:t>
      </w:r>
      <w:r w:rsidR="002D2EE1">
        <w:rPr>
          <w:rFonts w:cs="Times New Roman"/>
          <w:sz w:val="28"/>
          <w:szCs w:val="28"/>
        </w:rPr>
        <w:t xml:space="preserve"> of the old flag </w:t>
      </w:r>
      <w:r>
        <w:rPr>
          <w:rFonts w:cs="Times New Roman"/>
          <w:sz w:val="28"/>
          <w:szCs w:val="28"/>
        </w:rPr>
        <w:t>are</w:t>
      </w:r>
      <w:r w:rsidR="004068CD">
        <w:rPr>
          <w:rFonts w:cs="Times New Roman"/>
          <w:sz w:val="28"/>
          <w:szCs w:val="28"/>
        </w:rPr>
        <w:t xml:space="preserve"> </w:t>
      </w:r>
      <w:r w:rsidR="009344A6">
        <w:rPr>
          <w:rFonts w:cs="Times New Roman"/>
          <w:sz w:val="28"/>
          <w:szCs w:val="28"/>
        </w:rPr>
        <w:t>calculat</w:t>
      </w:r>
      <w:r w:rsidR="002D2EE1">
        <w:rPr>
          <w:rFonts w:cs="Times New Roman"/>
          <w:sz w:val="28"/>
          <w:szCs w:val="28"/>
        </w:rPr>
        <w:t>ed to be harmful</w:t>
      </w:r>
      <w:r w:rsidR="009344A6">
        <w:rPr>
          <w:rFonts w:cs="Times New Roman"/>
          <w:sz w:val="28"/>
          <w:szCs w:val="28"/>
        </w:rPr>
        <w:t xml:space="preserve">: it results in </w:t>
      </w:r>
      <w:r w:rsidR="002D2EE1">
        <w:rPr>
          <w:rFonts w:cs="Times New Roman"/>
          <w:sz w:val="28"/>
          <w:szCs w:val="28"/>
        </w:rPr>
        <w:t>‘deep emotional and psychological harm that severely undermines the dignity of the targeted group</w:t>
      </w:r>
      <w:r w:rsidR="009344A6">
        <w:rPr>
          <w:rFonts w:cs="Times New Roman"/>
          <w:sz w:val="28"/>
          <w:szCs w:val="28"/>
        </w:rPr>
        <w:t>’</w:t>
      </w:r>
      <w:r w:rsidR="00456634">
        <w:rPr>
          <w:rStyle w:val="FootnoteReference"/>
          <w:rFonts w:cs="Times New Roman"/>
          <w:sz w:val="28"/>
          <w:szCs w:val="28"/>
        </w:rPr>
        <w:footnoteReference w:id="54"/>
      </w:r>
      <w:r w:rsidR="00456634">
        <w:rPr>
          <w:rFonts w:cs="Times New Roman"/>
          <w:sz w:val="28"/>
          <w:szCs w:val="28"/>
        </w:rPr>
        <w:t xml:space="preserve"> – black</w:t>
      </w:r>
      <w:r w:rsidR="00D75401">
        <w:rPr>
          <w:rFonts w:cs="Times New Roman"/>
          <w:sz w:val="28"/>
          <w:szCs w:val="28"/>
        </w:rPr>
        <w:t xml:space="preserve"> </w:t>
      </w:r>
      <w:r w:rsidR="00456634">
        <w:rPr>
          <w:rFonts w:cs="Times New Roman"/>
          <w:sz w:val="28"/>
          <w:szCs w:val="28"/>
        </w:rPr>
        <w:t>people.</w:t>
      </w:r>
      <w:r w:rsidR="002D2EE1">
        <w:rPr>
          <w:rFonts w:cs="Times New Roman"/>
          <w:sz w:val="28"/>
          <w:szCs w:val="28"/>
        </w:rPr>
        <w:t xml:space="preserve"> </w:t>
      </w:r>
      <w:r w:rsidR="009344A6">
        <w:rPr>
          <w:rFonts w:cs="Times New Roman"/>
          <w:sz w:val="28"/>
          <w:szCs w:val="28"/>
        </w:rPr>
        <w:t xml:space="preserve">It </w:t>
      </w:r>
      <w:r w:rsidR="00265436">
        <w:rPr>
          <w:rFonts w:cs="Times New Roman"/>
          <w:sz w:val="28"/>
          <w:szCs w:val="28"/>
        </w:rPr>
        <w:t xml:space="preserve">also incites harm: it </w:t>
      </w:r>
      <w:r w:rsidR="00B42B06">
        <w:rPr>
          <w:rFonts w:cs="Times New Roman"/>
          <w:sz w:val="28"/>
          <w:szCs w:val="28"/>
        </w:rPr>
        <w:t>is able to</w:t>
      </w:r>
      <w:r w:rsidR="002D2EE1">
        <w:rPr>
          <w:rFonts w:cs="Times New Roman"/>
          <w:sz w:val="28"/>
          <w:szCs w:val="28"/>
        </w:rPr>
        <w:t xml:space="preserve"> </w:t>
      </w:r>
      <w:r w:rsidR="00672069">
        <w:rPr>
          <w:rFonts w:cs="Times New Roman"/>
          <w:sz w:val="28"/>
          <w:szCs w:val="28"/>
        </w:rPr>
        <w:t>i</w:t>
      </w:r>
      <w:r w:rsidR="002D2EE1">
        <w:rPr>
          <w:rFonts w:cs="Times New Roman"/>
          <w:sz w:val="28"/>
          <w:szCs w:val="28"/>
        </w:rPr>
        <w:t xml:space="preserve">gnite </w:t>
      </w:r>
      <w:r w:rsidR="009344A6">
        <w:rPr>
          <w:rFonts w:cs="Times New Roman"/>
          <w:sz w:val="28"/>
          <w:szCs w:val="28"/>
        </w:rPr>
        <w:t xml:space="preserve">exclusion, hostility, discrimination and violence </w:t>
      </w:r>
      <w:r w:rsidR="00672069">
        <w:rPr>
          <w:rFonts w:cs="Times New Roman"/>
          <w:sz w:val="28"/>
          <w:szCs w:val="28"/>
        </w:rPr>
        <w:t>against them</w:t>
      </w:r>
      <w:r w:rsidR="009344A6">
        <w:rPr>
          <w:rFonts w:cs="Times New Roman"/>
          <w:sz w:val="28"/>
          <w:szCs w:val="28"/>
        </w:rPr>
        <w:t>.</w:t>
      </w:r>
      <w:r w:rsidR="004750A2">
        <w:rPr>
          <w:rStyle w:val="FootnoteReference"/>
          <w:rFonts w:cs="Times New Roman"/>
          <w:sz w:val="28"/>
          <w:szCs w:val="28"/>
        </w:rPr>
        <w:footnoteReference w:id="55"/>
      </w:r>
      <w:r w:rsidR="004750A2">
        <w:rPr>
          <w:rFonts w:cs="Times New Roman"/>
          <w:sz w:val="28"/>
          <w:szCs w:val="28"/>
        </w:rPr>
        <w:t xml:space="preserve"> </w:t>
      </w:r>
      <w:r w:rsidR="00F77ED3">
        <w:rPr>
          <w:rFonts w:cs="Times New Roman"/>
          <w:sz w:val="28"/>
          <w:szCs w:val="28"/>
        </w:rPr>
        <w:t>It can</w:t>
      </w:r>
      <w:r w:rsidR="007D100D">
        <w:rPr>
          <w:rFonts w:cs="Times New Roman"/>
          <w:sz w:val="28"/>
          <w:szCs w:val="28"/>
        </w:rPr>
        <w:t>,</w:t>
      </w:r>
      <w:r w:rsidR="00F77ED3">
        <w:rPr>
          <w:rFonts w:cs="Times New Roman"/>
          <w:sz w:val="28"/>
          <w:szCs w:val="28"/>
        </w:rPr>
        <w:t xml:space="preserve"> ‘have a severely negative impact on the individual’s sense of self-worth and acceptance. This impact may cause </w:t>
      </w:r>
      <w:r w:rsidR="00672069">
        <w:rPr>
          <w:rFonts w:cs="Times New Roman"/>
          <w:sz w:val="28"/>
          <w:szCs w:val="28"/>
        </w:rPr>
        <w:t>the target</w:t>
      </w:r>
      <w:r w:rsidR="00F77ED3">
        <w:rPr>
          <w:rFonts w:cs="Times New Roman"/>
          <w:sz w:val="28"/>
          <w:szCs w:val="28"/>
        </w:rPr>
        <w:t xml:space="preserve"> group members to take drastic measures in reaction, perhaps avoiding activities which bring them into contact with non-group members or adopting attitudes and postures directed towards </w:t>
      </w:r>
      <w:r w:rsidR="007D100D">
        <w:rPr>
          <w:rFonts w:cs="Times New Roman"/>
          <w:sz w:val="28"/>
          <w:szCs w:val="28"/>
        </w:rPr>
        <w:t>blending in with the</w:t>
      </w:r>
      <w:r w:rsidR="00F77ED3">
        <w:rPr>
          <w:rFonts w:cs="Times New Roman"/>
          <w:sz w:val="28"/>
          <w:szCs w:val="28"/>
        </w:rPr>
        <w:t xml:space="preserve"> majority’.</w:t>
      </w:r>
      <w:r w:rsidR="00F77ED3">
        <w:rPr>
          <w:rStyle w:val="FootnoteReference"/>
          <w:rFonts w:cs="Times New Roman"/>
          <w:sz w:val="28"/>
          <w:szCs w:val="28"/>
        </w:rPr>
        <w:footnoteReference w:id="56"/>
      </w:r>
      <w:r w:rsidR="00F77ED3">
        <w:rPr>
          <w:rFonts w:cs="Times New Roman"/>
          <w:sz w:val="28"/>
          <w:szCs w:val="28"/>
        </w:rPr>
        <w:t xml:space="preserve"> </w:t>
      </w:r>
      <w:r w:rsidR="00456634">
        <w:rPr>
          <w:rFonts w:cs="Times New Roman"/>
          <w:sz w:val="28"/>
          <w:szCs w:val="28"/>
        </w:rPr>
        <w:t xml:space="preserve">This, in turn, not only </w:t>
      </w:r>
      <w:r w:rsidR="00456634" w:rsidRPr="00456634">
        <w:rPr>
          <w:rFonts w:cs="Times New Roman"/>
          <w:sz w:val="28"/>
          <w:szCs w:val="28"/>
        </w:rPr>
        <w:t>perpetuates systemic disadvantage and inequalities, but</w:t>
      </w:r>
      <w:r w:rsidR="009C15A3">
        <w:rPr>
          <w:rFonts w:cs="Times New Roman"/>
          <w:sz w:val="28"/>
          <w:szCs w:val="28"/>
        </w:rPr>
        <w:t xml:space="preserve"> </w:t>
      </w:r>
      <w:r w:rsidR="00D75401">
        <w:rPr>
          <w:rFonts w:cs="Times New Roman"/>
          <w:sz w:val="28"/>
          <w:szCs w:val="28"/>
        </w:rPr>
        <w:t xml:space="preserve">also </w:t>
      </w:r>
      <w:r w:rsidR="009C15A3">
        <w:rPr>
          <w:rFonts w:cs="Times New Roman"/>
          <w:sz w:val="28"/>
          <w:szCs w:val="28"/>
        </w:rPr>
        <w:t xml:space="preserve">obstructs </w:t>
      </w:r>
      <w:r w:rsidR="009C15A3" w:rsidRPr="00A44720">
        <w:rPr>
          <w:rFonts w:cs="Times New Roman"/>
          <w:sz w:val="28"/>
          <w:szCs w:val="28"/>
        </w:rPr>
        <w:t>the constitutionally mandated objective of building a non-racial society based on human dignity and the achievement of equality</w:t>
      </w:r>
      <w:r w:rsidR="006128C0">
        <w:rPr>
          <w:rFonts w:cs="Times New Roman"/>
          <w:sz w:val="28"/>
          <w:szCs w:val="28"/>
        </w:rPr>
        <w:t>; and impairs the pursuit of national unity and reconciliation.</w:t>
      </w:r>
      <w:r w:rsidR="00265436">
        <w:rPr>
          <w:rStyle w:val="FootnoteReference"/>
          <w:rFonts w:cs="Times New Roman"/>
          <w:sz w:val="28"/>
          <w:szCs w:val="28"/>
        </w:rPr>
        <w:footnoteReference w:id="57"/>
      </w:r>
      <w:r w:rsidR="009C15A3">
        <w:rPr>
          <w:rFonts w:cs="Times New Roman"/>
          <w:sz w:val="28"/>
          <w:szCs w:val="28"/>
        </w:rPr>
        <w:t xml:space="preserve"> </w:t>
      </w:r>
      <w:r w:rsidR="00F83D9D">
        <w:rPr>
          <w:rFonts w:cs="Times New Roman"/>
          <w:sz w:val="28"/>
          <w:szCs w:val="28"/>
        </w:rPr>
        <w:t>In short, h</w:t>
      </w:r>
      <w:r w:rsidR="006128C0">
        <w:rPr>
          <w:rFonts w:cs="Times New Roman"/>
          <w:sz w:val="28"/>
          <w:szCs w:val="28"/>
        </w:rPr>
        <w:t xml:space="preserve">ate speech </w:t>
      </w:r>
      <w:r w:rsidR="00265436">
        <w:rPr>
          <w:rFonts w:cs="Times New Roman"/>
          <w:sz w:val="28"/>
          <w:szCs w:val="28"/>
        </w:rPr>
        <w:t>tears at the very fabric of our society.</w:t>
      </w:r>
      <w:r w:rsidR="009C15A3">
        <w:rPr>
          <w:rStyle w:val="FootnoteReference"/>
          <w:rFonts w:cs="Times New Roman"/>
          <w:sz w:val="24"/>
          <w:szCs w:val="24"/>
        </w:rPr>
        <w:footnoteReference w:id="58"/>
      </w:r>
    </w:p>
    <w:p w14:paraId="7F9E287B" w14:textId="77777777" w:rsidR="009C15A3" w:rsidRPr="009C15A3" w:rsidRDefault="009C15A3" w:rsidP="009C15A3">
      <w:pPr>
        <w:pStyle w:val="ListParagraph"/>
        <w:spacing w:after="0" w:line="360" w:lineRule="auto"/>
        <w:ind w:left="0"/>
        <w:jc w:val="both"/>
        <w:rPr>
          <w:rFonts w:cs="Times New Roman"/>
          <w:sz w:val="24"/>
          <w:szCs w:val="24"/>
        </w:rPr>
      </w:pPr>
    </w:p>
    <w:p w14:paraId="7183EA5F" w14:textId="786A6D13" w:rsidR="00835CB8" w:rsidRDefault="00F83D9D" w:rsidP="0004625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That brings me to </w:t>
      </w:r>
      <w:r w:rsidR="00F22612">
        <w:rPr>
          <w:rFonts w:cs="Times New Roman"/>
          <w:sz w:val="28"/>
          <w:szCs w:val="28"/>
        </w:rPr>
        <w:t xml:space="preserve">last element of s </w:t>
      </w:r>
      <w:r w:rsidR="00942BB9">
        <w:rPr>
          <w:rFonts w:cs="Times New Roman"/>
          <w:sz w:val="28"/>
          <w:szCs w:val="28"/>
        </w:rPr>
        <w:t>10(1) of the Equality Act: the promotion or propagation of hatred.</w:t>
      </w:r>
      <w:r w:rsidR="00D4081D">
        <w:rPr>
          <w:rFonts w:cs="Times New Roman"/>
          <w:sz w:val="28"/>
          <w:szCs w:val="28"/>
        </w:rPr>
        <w:t xml:space="preserve"> The word ‘promote’ in this context, means to ‘further or encourage the progress or existence of’ hatred.</w:t>
      </w:r>
      <w:r w:rsidR="00D4081D">
        <w:rPr>
          <w:rStyle w:val="FootnoteReference"/>
          <w:rFonts w:cs="Times New Roman"/>
          <w:sz w:val="28"/>
          <w:szCs w:val="28"/>
        </w:rPr>
        <w:footnoteReference w:id="59"/>
      </w:r>
      <w:r w:rsidR="00D4081D">
        <w:rPr>
          <w:rFonts w:cs="Times New Roman"/>
          <w:sz w:val="28"/>
          <w:szCs w:val="28"/>
        </w:rPr>
        <w:t xml:space="preserve"> To </w:t>
      </w:r>
      <w:r w:rsidR="00046258">
        <w:rPr>
          <w:rFonts w:cs="Times New Roman"/>
          <w:sz w:val="28"/>
          <w:szCs w:val="28"/>
        </w:rPr>
        <w:t>‘</w:t>
      </w:r>
      <w:r w:rsidR="00D4081D">
        <w:rPr>
          <w:rFonts w:cs="Times New Roman"/>
          <w:sz w:val="28"/>
          <w:szCs w:val="28"/>
        </w:rPr>
        <w:t>propagate</w:t>
      </w:r>
      <w:r w:rsidR="00046258">
        <w:rPr>
          <w:rFonts w:cs="Times New Roman"/>
          <w:sz w:val="28"/>
          <w:szCs w:val="28"/>
        </w:rPr>
        <w:t>’ means to ‘extend the bounds of’</w:t>
      </w:r>
      <w:r w:rsidR="002E4179">
        <w:rPr>
          <w:rFonts w:cs="Times New Roman"/>
          <w:sz w:val="28"/>
          <w:szCs w:val="28"/>
        </w:rPr>
        <w:t>,</w:t>
      </w:r>
      <w:r w:rsidR="00046258">
        <w:rPr>
          <w:rFonts w:cs="Times New Roman"/>
          <w:sz w:val="28"/>
          <w:szCs w:val="28"/>
        </w:rPr>
        <w:t xml:space="preserve"> ‘spread </w:t>
      </w:r>
      <w:r w:rsidR="00C40192">
        <w:rPr>
          <w:rFonts w:cs="Times New Roman"/>
          <w:sz w:val="28"/>
          <w:szCs w:val="28"/>
        </w:rPr>
        <w:t xml:space="preserve">(esp. an idea, practice, etc.) </w:t>
      </w:r>
      <w:r w:rsidR="00046258">
        <w:rPr>
          <w:rFonts w:cs="Times New Roman"/>
          <w:sz w:val="28"/>
          <w:szCs w:val="28"/>
        </w:rPr>
        <w:t>from place to place’</w:t>
      </w:r>
      <w:r w:rsidR="00791FBB">
        <w:rPr>
          <w:rFonts w:cs="Times New Roman"/>
          <w:sz w:val="28"/>
          <w:szCs w:val="28"/>
        </w:rPr>
        <w:t>,</w:t>
      </w:r>
      <w:r w:rsidR="00750178">
        <w:rPr>
          <w:rStyle w:val="FootnoteReference"/>
          <w:rFonts w:cs="Times New Roman"/>
          <w:sz w:val="28"/>
          <w:szCs w:val="28"/>
        </w:rPr>
        <w:footnoteReference w:id="60"/>
      </w:r>
      <w:r w:rsidR="002E4179">
        <w:rPr>
          <w:rFonts w:cs="Times New Roman"/>
          <w:sz w:val="28"/>
          <w:szCs w:val="28"/>
        </w:rPr>
        <w:t xml:space="preserve"> or ‘promulgate;</w:t>
      </w:r>
      <w:r w:rsidR="00750178">
        <w:rPr>
          <w:rFonts w:cs="Times New Roman"/>
          <w:sz w:val="28"/>
          <w:szCs w:val="28"/>
        </w:rPr>
        <w:t xml:space="preserve"> disseminate’</w:t>
      </w:r>
      <w:r w:rsidR="00750178">
        <w:rPr>
          <w:rStyle w:val="FootnoteReference"/>
          <w:rFonts w:cs="Times New Roman"/>
          <w:sz w:val="28"/>
          <w:szCs w:val="28"/>
        </w:rPr>
        <w:footnoteReference w:id="61"/>
      </w:r>
      <w:r w:rsidR="00750178">
        <w:rPr>
          <w:rFonts w:cs="Times New Roman"/>
          <w:sz w:val="28"/>
          <w:szCs w:val="28"/>
        </w:rPr>
        <w:t xml:space="preserve"> hatred</w:t>
      </w:r>
      <w:r w:rsidR="00046258">
        <w:rPr>
          <w:rFonts w:cs="Times New Roman"/>
          <w:sz w:val="28"/>
          <w:szCs w:val="28"/>
        </w:rPr>
        <w:t xml:space="preserve">. </w:t>
      </w:r>
    </w:p>
    <w:p w14:paraId="6CC329BB" w14:textId="77777777" w:rsidR="00835CB8" w:rsidRDefault="00835CB8" w:rsidP="00835CB8">
      <w:pPr>
        <w:pStyle w:val="ListParagraph"/>
        <w:spacing w:after="0" w:line="360" w:lineRule="auto"/>
        <w:ind w:left="0"/>
        <w:jc w:val="both"/>
        <w:rPr>
          <w:rFonts w:cs="Times New Roman"/>
          <w:sz w:val="28"/>
          <w:szCs w:val="28"/>
        </w:rPr>
      </w:pPr>
    </w:p>
    <w:p w14:paraId="1624E871" w14:textId="77777777" w:rsidR="00226F8F" w:rsidRPr="00046258" w:rsidRDefault="00942BB9" w:rsidP="00046258">
      <w:pPr>
        <w:pStyle w:val="ListParagraph"/>
        <w:numPr>
          <w:ilvl w:val="0"/>
          <w:numId w:val="19"/>
        </w:numPr>
        <w:spacing w:after="0" w:line="360" w:lineRule="auto"/>
        <w:ind w:left="0" w:firstLine="0"/>
        <w:jc w:val="both"/>
        <w:rPr>
          <w:rFonts w:cs="Times New Roman"/>
          <w:sz w:val="28"/>
          <w:szCs w:val="28"/>
        </w:rPr>
      </w:pPr>
      <w:r w:rsidRPr="00046258">
        <w:rPr>
          <w:rFonts w:cs="Times New Roman"/>
          <w:sz w:val="28"/>
          <w:szCs w:val="28"/>
        </w:rPr>
        <w:lastRenderedPageBreak/>
        <w:t xml:space="preserve">The Constitutional Court, with reference to </w:t>
      </w:r>
      <w:r w:rsidR="00C179A9" w:rsidRPr="00046258">
        <w:rPr>
          <w:rFonts w:cs="Times New Roman"/>
          <w:sz w:val="28"/>
          <w:szCs w:val="28"/>
        </w:rPr>
        <w:t xml:space="preserve">three </w:t>
      </w:r>
      <w:r w:rsidRPr="00046258">
        <w:rPr>
          <w:rFonts w:cs="Times New Roman"/>
          <w:sz w:val="28"/>
          <w:szCs w:val="28"/>
        </w:rPr>
        <w:t>Canadian cases, held that hate speech is not merely offensive expression, but ‘extreme detestation and vilification which risks provoking discriminatory activities’ against the target group.</w:t>
      </w:r>
      <w:r w:rsidR="00C179A9" w:rsidRPr="00046258">
        <w:rPr>
          <w:rFonts w:cs="Times New Roman"/>
          <w:sz w:val="28"/>
          <w:szCs w:val="28"/>
        </w:rPr>
        <w:t xml:space="preserve"> The first of these cases</w:t>
      </w:r>
      <w:r w:rsidR="0097559A" w:rsidRPr="00046258">
        <w:rPr>
          <w:rFonts w:cs="Times New Roman"/>
          <w:sz w:val="28"/>
          <w:szCs w:val="28"/>
        </w:rPr>
        <w:t xml:space="preserve">, </w:t>
      </w:r>
      <w:r w:rsidR="0097559A" w:rsidRPr="00046258">
        <w:rPr>
          <w:rFonts w:cs="Times New Roman"/>
          <w:i/>
          <w:sz w:val="28"/>
          <w:szCs w:val="28"/>
        </w:rPr>
        <w:t>Canada v Taylor</w:t>
      </w:r>
      <w:r w:rsidR="0097559A" w:rsidRPr="00046258">
        <w:rPr>
          <w:rFonts w:cs="Times New Roman"/>
          <w:sz w:val="28"/>
          <w:szCs w:val="28"/>
        </w:rPr>
        <w:t>,</w:t>
      </w:r>
      <w:r w:rsidR="0097559A">
        <w:rPr>
          <w:rStyle w:val="FootnoteReference"/>
          <w:rFonts w:cs="Times New Roman"/>
          <w:sz w:val="28"/>
          <w:szCs w:val="28"/>
        </w:rPr>
        <w:footnoteReference w:id="62"/>
      </w:r>
      <w:r w:rsidR="00C179A9" w:rsidRPr="00046258">
        <w:rPr>
          <w:rFonts w:cs="Times New Roman"/>
          <w:sz w:val="28"/>
          <w:szCs w:val="28"/>
        </w:rPr>
        <w:t xml:space="preserve"> defined ‘hatred’ as</w:t>
      </w:r>
      <w:r w:rsidR="00835CB8">
        <w:rPr>
          <w:rFonts w:cs="Times New Roman"/>
          <w:sz w:val="28"/>
          <w:szCs w:val="28"/>
        </w:rPr>
        <w:t>,</w:t>
      </w:r>
      <w:r w:rsidR="00C179A9" w:rsidRPr="00046258">
        <w:rPr>
          <w:rFonts w:cs="Times New Roman"/>
          <w:sz w:val="28"/>
          <w:szCs w:val="28"/>
        </w:rPr>
        <w:t xml:space="preserve"> </w:t>
      </w:r>
      <w:r w:rsidR="0097559A" w:rsidRPr="00046258">
        <w:rPr>
          <w:rFonts w:cs="Times New Roman"/>
          <w:sz w:val="28"/>
          <w:szCs w:val="28"/>
        </w:rPr>
        <w:t xml:space="preserve">‘strong and deep felt emotions of detestation, calumny and vilification’. In the second, </w:t>
      </w:r>
      <w:r w:rsidR="0097559A" w:rsidRPr="00046258">
        <w:rPr>
          <w:rFonts w:cs="Times New Roman"/>
          <w:i/>
          <w:sz w:val="28"/>
          <w:szCs w:val="28"/>
        </w:rPr>
        <w:t>R</w:t>
      </w:r>
      <w:r w:rsidR="00EA2980">
        <w:rPr>
          <w:rFonts w:cs="Times New Roman"/>
          <w:i/>
          <w:sz w:val="28"/>
          <w:szCs w:val="28"/>
        </w:rPr>
        <w:t> </w:t>
      </w:r>
      <w:r w:rsidR="0097559A" w:rsidRPr="00046258">
        <w:rPr>
          <w:rFonts w:cs="Times New Roman"/>
          <w:i/>
          <w:sz w:val="28"/>
          <w:szCs w:val="28"/>
        </w:rPr>
        <w:t>v Andrews</w:t>
      </w:r>
      <w:r w:rsidR="0097559A" w:rsidRPr="00046258">
        <w:rPr>
          <w:rFonts w:cs="Times New Roman"/>
          <w:sz w:val="28"/>
          <w:szCs w:val="28"/>
        </w:rPr>
        <w:t>,</w:t>
      </w:r>
      <w:r w:rsidR="0097559A">
        <w:rPr>
          <w:rStyle w:val="FootnoteReference"/>
          <w:rFonts w:cs="Times New Roman"/>
          <w:sz w:val="28"/>
          <w:szCs w:val="28"/>
        </w:rPr>
        <w:footnoteReference w:id="63"/>
      </w:r>
      <w:r w:rsidR="0097559A" w:rsidRPr="00046258">
        <w:rPr>
          <w:rFonts w:cs="Times New Roman"/>
          <w:sz w:val="28"/>
          <w:szCs w:val="28"/>
        </w:rPr>
        <w:t xml:space="preserve"> </w:t>
      </w:r>
      <w:r w:rsidR="006B2904" w:rsidRPr="00046258">
        <w:rPr>
          <w:rFonts w:cs="Times New Roman"/>
          <w:sz w:val="28"/>
          <w:szCs w:val="28"/>
        </w:rPr>
        <w:t>it was said that ‘[t]o promote hatred is to insti</w:t>
      </w:r>
      <w:r w:rsidR="00C179A9" w:rsidRPr="00046258">
        <w:rPr>
          <w:rFonts w:cs="Times New Roman"/>
          <w:sz w:val="28"/>
          <w:szCs w:val="28"/>
        </w:rPr>
        <w:t>ll detestation, enmity</w:t>
      </w:r>
      <w:r w:rsidR="006B2904" w:rsidRPr="00046258">
        <w:rPr>
          <w:rFonts w:cs="Times New Roman"/>
          <w:sz w:val="28"/>
          <w:szCs w:val="28"/>
        </w:rPr>
        <w:t>, ill-</w:t>
      </w:r>
      <w:r w:rsidR="00C179A9" w:rsidRPr="00046258">
        <w:rPr>
          <w:rFonts w:cs="Times New Roman"/>
          <w:sz w:val="28"/>
          <w:szCs w:val="28"/>
        </w:rPr>
        <w:t>will and malevolence in another</w:t>
      </w:r>
      <w:r w:rsidR="00EA53A1" w:rsidRPr="00046258">
        <w:rPr>
          <w:rFonts w:cs="Times New Roman"/>
          <w:sz w:val="28"/>
          <w:szCs w:val="28"/>
        </w:rPr>
        <w:t>’</w:t>
      </w:r>
      <w:r w:rsidR="00C179A9" w:rsidRPr="00046258">
        <w:rPr>
          <w:rFonts w:cs="Times New Roman"/>
          <w:sz w:val="28"/>
          <w:szCs w:val="28"/>
        </w:rPr>
        <w:t>.</w:t>
      </w:r>
      <w:r w:rsidR="00EA53A1" w:rsidRPr="00046258">
        <w:rPr>
          <w:rFonts w:cs="Times New Roman"/>
          <w:sz w:val="28"/>
          <w:szCs w:val="28"/>
        </w:rPr>
        <w:t xml:space="preserve"> Finally, in </w:t>
      </w:r>
      <w:r w:rsidR="00EA53A1" w:rsidRPr="00046258">
        <w:rPr>
          <w:rFonts w:cs="Times New Roman"/>
          <w:i/>
          <w:sz w:val="28"/>
          <w:szCs w:val="28"/>
        </w:rPr>
        <w:t>R v Keegstra</w:t>
      </w:r>
      <w:r w:rsidR="00EA53A1" w:rsidRPr="00046258">
        <w:rPr>
          <w:rFonts w:cs="Times New Roman"/>
          <w:sz w:val="28"/>
          <w:szCs w:val="28"/>
        </w:rPr>
        <w:t>, the court stated that hatred is ‘the most severe and deeply felt form of opprobrium’</w:t>
      </w:r>
      <w:r w:rsidR="00D75401" w:rsidRPr="00046258">
        <w:rPr>
          <w:rFonts w:cs="Times New Roman"/>
          <w:sz w:val="28"/>
          <w:szCs w:val="28"/>
        </w:rPr>
        <w:t xml:space="preserve">, that </w:t>
      </w:r>
      <w:r w:rsidR="00EA53A1" w:rsidRPr="00046258">
        <w:rPr>
          <w:rFonts w:cs="Times New Roman"/>
          <w:sz w:val="28"/>
          <w:szCs w:val="28"/>
        </w:rPr>
        <w:t>‘</w:t>
      </w:r>
      <w:r w:rsidR="00226F8F" w:rsidRPr="00046258">
        <w:rPr>
          <w:rFonts w:cs="Times New Roman"/>
          <w:sz w:val="28"/>
          <w:szCs w:val="28"/>
        </w:rPr>
        <w:t>is predicated on destruction, and hatred against identifiable groups therefore thrives on insensitivity, bigotry and destruction of both the target group and the values of our society’.</w:t>
      </w:r>
      <w:r w:rsidR="00226F8F">
        <w:rPr>
          <w:rStyle w:val="FootnoteReference"/>
          <w:rFonts w:cs="Times New Roman"/>
          <w:sz w:val="28"/>
          <w:szCs w:val="28"/>
        </w:rPr>
        <w:footnoteReference w:id="64"/>
      </w:r>
      <w:r w:rsidR="00226F8F" w:rsidRPr="00046258">
        <w:rPr>
          <w:rFonts w:cs="Times New Roman"/>
          <w:sz w:val="28"/>
          <w:szCs w:val="28"/>
        </w:rPr>
        <w:t xml:space="preserve"> </w:t>
      </w:r>
    </w:p>
    <w:p w14:paraId="20F5F41F" w14:textId="77777777" w:rsidR="00226F8F" w:rsidRDefault="00226F8F" w:rsidP="00226F8F">
      <w:pPr>
        <w:pStyle w:val="ListParagraph"/>
        <w:spacing w:after="0" w:line="360" w:lineRule="auto"/>
        <w:ind w:left="0"/>
        <w:jc w:val="both"/>
        <w:rPr>
          <w:rFonts w:cs="Times New Roman"/>
          <w:sz w:val="28"/>
          <w:szCs w:val="28"/>
        </w:rPr>
      </w:pPr>
    </w:p>
    <w:p w14:paraId="16A2FE2A" w14:textId="18C688FD" w:rsidR="00821A71" w:rsidRDefault="004E2E7D"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w:t>
      </w:r>
      <w:r w:rsidR="005F2F0C">
        <w:rPr>
          <w:rFonts w:cs="Times New Roman"/>
          <w:sz w:val="28"/>
          <w:szCs w:val="28"/>
        </w:rPr>
        <w:t xml:space="preserve">gratuitous public </w:t>
      </w:r>
      <w:r>
        <w:rPr>
          <w:rFonts w:cs="Times New Roman"/>
          <w:sz w:val="28"/>
          <w:szCs w:val="28"/>
        </w:rPr>
        <w:t>display of the old flag</w:t>
      </w:r>
      <w:r w:rsidR="005F2F0C">
        <w:rPr>
          <w:rFonts w:cs="Times New Roman"/>
          <w:sz w:val="28"/>
          <w:szCs w:val="28"/>
        </w:rPr>
        <w:t xml:space="preserve"> is extremely degrading and dehumanising to those </w:t>
      </w:r>
      <w:r>
        <w:rPr>
          <w:rFonts w:cs="Times New Roman"/>
          <w:sz w:val="28"/>
          <w:szCs w:val="28"/>
        </w:rPr>
        <w:t>who suffered under apartheid</w:t>
      </w:r>
      <w:r w:rsidR="005F2F0C">
        <w:rPr>
          <w:rFonts w:cs="Times New Roman"/>
          <w:sz w:val="28"/>
          <w:szCs w:val="28"/>
        </w:rPr>
        <w:t xml:space="preserve">. This was not disputed by Afriforum as the high court noted in its judgment. </w:t>
      </w:r>
      <w:r w:rsidR="00210C81">
        <w:rPr>
          <w:rFonts w:cs="Times New Roman"/>
          <w:sz w:val="28"/>
          <w:szCs w:val="28"/>
        </w:rPr>
        <w:t xml:space="preserve">The display exposes those who suffered to </w:t>
      </w:r>
      <w:r w:rsidR="00996AA5">
        <w:rPr>
          <w:rFonts w:cs="Times New Roman"/>
          <w:sz w:val="28"/>
          <w:szCs w:val="28"/>
        </w:rPr>
        <w:t xml:space="preserve">racial bigotry, </w:t>
      </w:r>
      <w:r>
        <w:rPr>
          <w:rFonts w:cs="Times New Roman"/>
          <w:sz w:val="28"/>
          <w:szCs w:val="28"/>
        </w:rPr>
        <w:t>detestation and vilification</w:t>
      </w:r>
      <w:r w:rsidR="00996AA5">
        <w:rPr>
          <w:rFonts w:cs="Times New Roman"/>
          <w:sz w:val="28"/>
          <w:szCs w:val="28"/>
        </w:rPr>
        <w:t>,</w:t>
      </w:r>
      <w:r>
        <w:rPr>
          <w:rFonts w:cs="Times New Roman"/>
          <w:sz w:val="28"/>
          <w:szCs w:val="28"/>
        </w:rPr>
        <w:t xml:space="preserve"> and inspires</w:t>
      </w:r>
      <w:r w:rsidR="00AE3C21">
        <w:rPr>
          <w:rFonts w:cs="Times New Roman"/>
          <w:sz w:val="28"/>
          <w:szCs w:val="28"/>
        </w:rPr>
        <w:t xml:space="preserve"> hatred</w:t>
      </w:r>
      <w:r>
        <w:rPr>
          <w:rFonts w:cs="Times New Roman"/>
          <w:sz w:val="28"/>
          <w:szCs w:val="28"/>
        </w:rPr>
        <w:t xml:space="preserve"> and extreme ill-will against them.</w:t>
      </w:r>
      <w:r w:rsidR="00996AA5">
        <w:rPr>
          <w:rFonts w:cs="Times New Roman"/>
          <w:sz w:val="28"/>
          <w:szCs w:val="28"/>
        </w:rPr>
        <w:t xml:space="preserve"> The message being sent, intentionally, </w:t>
      </w:r>
      <w:r w:rsidR="002368E7">
        <w:rPr>
          <w:rFonts w:cs="Times New Roman"/>
          <w:sz w:val="28"/>
          <w:szCs w:val="28"/>
        </w:rPr>
        <w:t>is that life in</w:t>
      </w:r>
      <w:r w:rsidR="0010018B">
        <w:rPr>
          <w:rFonts w:cs="Times New Roman"/>
          <w:sz w:val="28"/>
          <w:szCs w:val="28"/>
        </w:rPr>
        <w:t xml:space="preserve"> South Africa was </w:t>
      </w:r>
      <w:r w:rsidR="002368E7">
        <w:rPr>
          <w:rFonts w:cs="Times New Roman"/>
          <w:sz w:val="28"/>
          <w:szCs w:val="28"/>
        </w:rPr>
        <w:t>better under apartheid and bla</w:t>
      </w:r>
      <w:r w:rsidR="00E36A79">
        <w:rPr>
          <w:rFonts w:cs="Times New Roman"/>
          <w:sz w:val="28"/>
          <w:szCs w:val="28"/>
        </w:rPr>
        <w:t xml:space="preserve">ck people are to be downtrodden, despised and denied their humanity, solely on account of their race. </w:t>
      </w:r>
      <w:r w:rsidR="002368E7">
        <w:rPr>
          <w:rFonts w:cs="Times New Roman"/>
          <w:sz w:val="28"/>
          <w:szCs w:val="28"/>
        </w:rPr>
        <w:t xml:space="preserve">There is no escaping it: the message legitimises white supremacy. </w:t>
      </w:r>
    </w:p>
    <w:p w14:paraId="05FD4DE1" w14:textId="77777777" w:rsidR="00821A71" w:rsidRDefault="00821A71" w:rsidP="00821A71">
      <w:pPr>
        <w:pStyle w:val="ListParagraph"/>
        <w:spacing w:after="0" w:line="360" w:lineRule="auto"/>
        <w:ind w:left="0"/>
        <w:jc w:val="both"/>
        <w:rPr>
          <w:rFonts w:cs="Times New Roman"/>
          <w:sz w:val="28"/>
          <w:szCs w:val="28"/>
        </w:rPr>
      </w:pPr>
    </w:p>
    <w:p w14:paraId="61A16230" w14:textId="1D433D76" w:rsidR="0056096E" w:rsidRDefault="00821A71"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It is therefore unsurprising that white supremacists around the world </w:t>
      </w:r>
      <w:r w:rsidR="0061675B">
        <w:rPr>
          <w:rFonts w:cs="Times New Roman"/>
          <w:sz w:val="28"/>
          <w:szCs w:val="28"/>
        </w:rPr>
        <w:t xml:space="preserve">have adopted and </w:t>
      </w:r>
      <w:r>
        <w:rPr>
          <w:rFonts w:cs="Times New Roman"/>
          <w:sz w:val="28"/>
          <w:szCs w:val="28"/>
        </w:rPr>
        <w:t>use</w:t>
      </w:r>
      <w:r w:rsidR="0061675B">
        <w:rPr>
          <w:rFonts w:cs="Times New Roman"/>
          <w:sz w:val="28"/>
          <w:szCs w:val="28"/>
        </w:rPr>
        <w:t xml:space="preserve">d </w:t>
      </w:r>
      <w:r>
        <w:rPr>
          <w:rFonts w:cs="Times New Roman"/>
          <w:sz w:val="28"/>
          <w:szCs w:val="28"/>
        </w:rPr>
        <w:t xml:space="preserve">the old flag as a symbol of hatred, oppression, and racial superiority. </w:t>
      </w:r>
      <w:r w:rsidR="0061675B">
        <w:rPr>
          <w:rFonts w:cs="Times New Roman"/>
          <w:sz w:val="28"/>
          <w:szCs w:val="28"/>
        </w:rPr>
        <w:t xml:space="preserve">The founding affidavit of the SAHRC refers to the </w:t>
      </w:r>
      <w:r w:rsidR="00AC671B">
        <w:rPr>
          <w:rFonts w:cs="Times New Roman"/>
          <w:sz w:val="28"/>
          <w:szCs w:val="28"/>
        </w:rPr>
        <w:t xml:space="preserve">case of the </w:t>
      </w:r>
      <w:r w:rsidR="0061675B">
        <w:rPr>
          <w:rFonts w:cs="Times New Roman"/>
          <w:sz w:val="28"/>
          <w:szCs w:val="28"/>
        </w:rPr>
        <w:t xml:space="preserve">convicted murderer, </w:t>
      </w:r>
      <w:r w:rsidR="009C5A3E">
        <w:rPr>
          <w:rFonts w:cs="Times New Roman"/>
          <w:sz w:val="28"/>
          <w:szCs w:val="28"/>
        </w:rPr>
        <w:t xml:space="preserve">21-year old </w:t>
      </w:r>
      <w:r w:rsidR="0061675B">
        <w:rPr>
          <w:rFonts w:cs="Times New Roman"/>
          <w:sz w:val="28"/>
          <w:szCs w:val="28"/>
        </w:rPr>
        <w:t>Mr Dylann Roof</w:t>
      </w:r>
      <w:r w:rsidR="0056096E">
        <w:rPr>
          <w:rFonts w:cs="Times New Roman"/>
          <w:sz w:val="28"/>
          <w:szCs w:val="28"/>
        </w:rPr>
        <w:t xml:space="preserve"> (Roof)</w:t>
      </w:r>
      <w:r w:rsidR="0061675B">
        <w:rPr>
          <w:rFonts w:cs="Times New Roman"/>
          <w:sz w:val="28"/>
          <w:szCs w:val="28"/>
        </w:rPr>
        <w:t>, who shot and killed nine black people</w:t>
      </w:r>
      <w:r w:rsidR="009C5A3E">
        <w:rPr>
          <w:rFonts w:cs="Times New Roman"/>
          <w:sz w:val="28"/>
          <w:szCs w:val="28"/>
        </w:rPr>
        <w:t xml:space="preserve"> </w:t>
      </w:r>
      <w:r w:rsidR="009100B5">
        <w:rPr>
          <w:rFonts w:cs="Times New Roman"/>
          <w:sz w:val="28"/>
          <w:szCs w:val="28"/>
        </w:rPr>
        <w:t xml:space="preserve">gathered for a Bible study </w:t>
      </w:r>
      <w:r w:rsidR="0061675B">
        <w:rPr>
          <w:rFonts w:cs="Times New Roman"/>
          <w:sz w:val="28"/>
          <w:szCs w:val="28"/>
        </w:rPr>
        <w:t>in Charleston, South Carolina in the United States</w:t>
      </w:r>
      <w:r w:rsidR="006E08AF">
        <w:rPr>
          <w:rFonts w:cs="Times New Roman"/>
          <w:sz w:val="28"/>
          <w:szCs w:val="28"/>
        </w:rPr>
        <w:t>,</w:t>
      </w:r>
      <w:r w:rsidR="00A2633C">
        <w:rPr>
          <w:rFonts w:cs="Times New Roman"/>
          <w:sz w:val="28"/>
          <w:szCs w:val="28"/>
        </w:rPr>
        <w:t xml:space="preserve"> in June 2015</w:t>
      </w:r>
      <w:r w:rsidR="0061675B">
        <w:rPr>
          <w:rFonts w:cs="Times New Roman"/>
          <w:sz w:val="28"/>
          <w:szCs w:val="28"/>
        </w:rPr>
        <w:t xml:space="preserve">. </w:t>
      </w:r>
      <w:r w:rsidR="001D48AE">
        <w:rPr>
          <w:rFonts w:cs="Times New Roman"/>
          <w:sz w:val="28"/>
          <w:szCs w:val="28"/>
        </w:rPr>
        <w:t>He posted a photograph on the internet</w:t>
      </w:r>
      <w:r w:rsidR="0012569E">
        <w:rPr>
          <w:rFonts w:cs="Times New Roman"/>
          <w:sz w:val="28"/>
          <w:szCs w:val="28"/>
        </w:rPr>
        <w:t xml:space="preserve">, annexed to </w:t>
      </w:r>
      <w:r w:rsidR="0012569E">
        <w:rPr>
          <w:rFonts w:cs="Times New Roman"/>
          <w:sz w:val="28"/>
          <w:szCs w:val="28"/>
        </w:rPr>
        <w:lastRenderedPageBreak/>
        <w:t>the affidavit,</w:t>
      </w:r>
      <w:r w:rsidR="00CA5259">
        <w:rPr>
          <w:rFonts w:cs="Times New Roman"/>
          <w:sz w:val="28"/>
          <w:szCs w:val="28"/>
        </w:rPr>
        <w:t xml:space="preserve"> </w:t>
      </w:r>
      <w:r w:rsidR="001D48AE">
        <w:rPr>
          <w:rFonts w:cs="Times New Roman"/>
          <w:sz w:val="28"/>
          <w:szCs w:val="28"/>
        </w:rPr>
        <w:t xml:space="preserve">which </w:t>
      </w:r>
      <w:r w:rsidR="00CA5259">
        <w:rPr>
          <w:rFonts w:cs="Times New Roman"/>
          <w:sz w:val="28"/>
          <w:szCs w:val="28"/>
        </w:rPr>
        <w:t>shows him weari</w:t>
      </w:r>
      <w:r w:rsidR="00CC3BCE">
        <w:rPr>
          <w:rFonts w:cs="Times New Roman"/>
          <w:sz w:val="28"/>
          <w:szCs w:val="28"/>
        </w:rPr>
        <w:t xml:space="preserve">ng a black jacket with </w:t>
      </w:r>
      <w:r w:rsidR="00CA5259">
        <w:rPr>
          <w:rFonts w:cs="Times New Roman"/>
          <w:sz w:val="28"/>
          <w:szCs w:val="28"/>
        </w:rPr>
        <w:t>two conspicuous patches</w:t>
      </w:r>
      <w:r w:rsidR="0012569E">
        <w:rPr>
          <w:rFonts w:cs="Times New Roman"/>
          <w:sz w:val="28"/>
          <w:szCs w:val="28"/>
        </w:rPr>
        <w:t xml:space="preserve"> </w:t>
      </w:r>
      <w:r w:rsidR="00CC3BCE">
        <w:rPr>
          <w:rFonts w:cs="Times New Roman"/>
          <w:sz w:val="28"/>
          <w:szCs w:val="28"/>
        </w:rPr>
        <w:t xml:space="preserve">affixed to </w:t>
      </w:r>
      <w:r w:rsidR="0012569E">
        <w:rPr>
          <w:rFonts w:cs="Times New Roman"/>
          <w:sz w:val="28"/>
          <w:szCs w:val="28"/>
        </w:rPr>
        <w:t>the right front of it</w:t>
      </w:r>
      <w:r w:rsidR="00CA5259">
        <w:rPr>
          <w:rFonts w:cs="Times New Roman"/>
          <w:sz w:val="28"/>
          <w:szCs w:val="28"/>
        </w:rPr>
        <w:t xml:space="preserve">: the old flag and below it, </w:t>
      </w:r>
      <w:r w:rsidR="001B6DB7">
        <w:rPr>
          <w:rFonts w:cs="Times New Roman"/>
          <w:sz w:val="28"/>
          <w:szCs w:val="28"/>
        </w:rPr>
        <w:t>the</w:t>
      </w:r>
      <w:r w:rsidR="00CA5259">
        <w:rPr>
          <w:rFonts w:cs="Times New Roman"/>
          <w:sz w:val="28"/>
          <w:szCs w:val="28"/>
        </w:rPr>
        <w:t xml:space="preserve"> flag of white-ruled R</w:t>
      </w:r>
      <w:r w:rsidR="001B6DB7">
        <w:rPr>
          <w:rFonts w:cs="Times New Roman"/>
          <w:sz w:val="28"/>
          <w:szCs w:val="28"/>
        </w:rPr>
        <w:t xml:space="preserve">hodesia, which was forced to concede power to a non-racial democracy, now </w:t>
      </w:r>
      <w:r w:rsidR="00CA5259">
        <w:rPr>
          <w:rFonts w:cs="Times New Roman"/>
          <w:sz w:val="28"/>
          <w:szCs w:val="28"/>
        </w:rPr>
        <w:t>Zimbabwe.</w:t>
      </w:r>
      <w:r w:rsidR="00F80329">
        <w:rPr>
          <w:rFonts w:cs="Times New Roman"/>
          <w:sz w:val="28"/>
          <w:szCs w:val="28"/>
        </w:rPr>
        <w:t xml:space="preserve"> Roof’s choice of symbols and </w:t>
      </w:r>
      <w:r w:rsidR="00F22612">
        <w:rPr>
          <w:rFonts w:cs="Times New Roman"/>
          <w:sz w:val="28"/>
          <w:szCs w:val="28"/>
        </w:rPr>
        <w:t xml:space="preserve">the </w:t>
      </w:r>
      <w:r w:rsidR="00F80329">
        <w:rPr>
          <w:rFonts w:cs="Times New Roman"/>
          <w:sz w:val="28"/>
          <w:szCs w:val="28"/>
        </w:rPr>
        <w:t>murder of black worshippers, could hardly send a stronger message of white supremacy</w:t>
      </w:r>
      <w:r w:rsidR="009100B5">
        <w:rPr>
          <w:rFonts w:cs="Times New Roman"/>
          <w:sz w:val="28"/>
          <w:szCs w:val="28"/>
        </w:rPr>
        <w:t xml:space="preserve"> and hatred</w:t>
      </w:r>
      <w:r w:rsidR="00F80329">
        <w:rPr>
          <w:rFonts w:cs="Times New Roman"/>
          <w:sz w:val="28"/>
          <w:szCs w:val="28"/>
        </w:rPr>
        <w:t xml:space="preserve">. </w:t>
      </w:r>
    </w:p>
    <w:p w14:paraId="0740C726" w14:textId="77777777" w:rsidR="0056096E" w:rsidRDefault="0056096E" w:rsidP="0056096E">
      <w:pPr>
        <w:pStyle w:val="ListParagraph"/>
        <w:spacing w:after="0" w:line="360" w:lineRule="auto"/>
        <w:ind w:left="0"/>
        <w:jc w:val="both"/>
        <w:rPr>
          <w:rFonts w:cs="Times New Roman"/>
          <w:sz w:val="28"/>
          <w:szCs w:val="28"/>
        </w:rPr>
      </w:pPr>
    </w:p>
    <w:p w14:paraId="5B24AC02" w14:textId="77777777" w:rsidR="00CA5259" w:rsidRDefault="001B6DB7"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w:t>
      </w:r>
      <w:r w:rsidR="009C5A3E">
        <w:rPr>
          <w:rFonts w:cs="Times New Roman"/>
          <w:sz w:val="28"/>
          <w:szCs w:val="28"/>
        </w:rPr>
        <w:t xml:space="preserve">he </w:t>
      </w:r>
      <w:r w:rsidR="0056096E">
        <w:rPr>
          <w:rFonts w:cs="Times New Roman"/>
          <w:sz w:val="28"/>
          <w:szCs w:val="28"/>
        </w:rPr>
        <w:t>United States Court of</w:t>
      </w:r>
      <w:r w:rsidR="00AE6E7F">
        <w:rPr>
          <w:rFonts w:cs="Times New Roman"/>
          <w:sz w:val="28"/>
          <w:szCs w:val="28"/>
        </w:rPr>
        <w:t xml:space="preserve"> Appeals for the Fourth Circuit</w:t>
      </w:r>
      <w:r w:rsidR="0056096E">
        <w:rPr>
          <w:rFonts w:cs="Times New Roman"/>
          <w:sz w:val="28"/>
          <w:szCs w:val="28"/>
        </w:rPr>
        <w:t xml:space="preserve"> </w:t>
      </w:r>
      <w:r w:rsidR="009C5A3E">
        <w:rPr>
          <w:rFonts w:cs="Times New Roman"/>
          <w:sz w:val="28"/>
          <w:szCs w:val="28"/>
        </w:rPr>
        <w:t>uph</w:t>
      </w:r>
      <w:r>
        <w:rPr>
          <w:rFonts w:cs="Times New Roman"/>
          <w:sz w:val="28"/>
          <w:szCs w:val="28"/>
        </w:rPr>
        <w:t>e</w:t>
      </w:r>
      <w:r w:rsidR="009C5A3E">
        <w:rPr>
          <w:rFonts w:cs="Times New Roman"/>
          <w:sz w:val="28"/>
          <w:szCs w:val="28"/>
        </w:rPr>
        <w:t>ld</w:t>
      </w:r>
      <w:r w:rsidR="0056096E">
        <w:rPr>
          <w:rFonts w:cs="Times New Roman"/>
          <w:sz w:val="28"/>
          <w:szCs w:val="28"/>
        </w:rPr>
        <w:t xml:space="preserve"> Roof’s </w:t>
      </w:r>
      <w:r>
        <w:rPr>
          <w:rFonts w:cs="Times New Roman"/>
          <w:sz w:val="28"/>
          <w:szCs w:val="28"/>
        </w:rPr>
        <w:t xml:space="preserve">conviction </w:t>
      </w:r>
      <w:r w:rsidR="0056096E">
        <w:rPr>
          <w:rFonts w:cs="Times New Roman"/>
          <w:sz w:val="28"/>
          <w:szCs w:val="28"/>
        </w:rPr>
        <w:t xml:space="preserve">on, inter alia, </w:t>
      </w:r>
      <w:r w:rsidR="0055590C">
        <w:rPr>
          <w:rFonts w:cs="Times New Roman"/>
          <w:sz w:val="28"/>
          <w:szCs w:val="28"/>
        </w:rPr>
        <w:t>‘</w:t>
      </w:r>
      <w:r w:rsidR="0056096E">
        <w:rPr>
          <w:rFonts w:cs="Times New Roman"/>
          <w:sz w:val="28"/>
          <w:szCs w:val="28"/>
        </w:rPr>
        <w:t>nine counts of racially motivated hate crimes resulting in death’.</w:t>
      </w:r>
      <w:r w:rsidR="009C5A3E">
        <w:rPr>
          <w:rStyle w:val="FootnoteReference"/>
          <w:rFonts w:cs="Times New Roman"/>
          <w:sz w:val="28"/>
          <w:szCs w:val="28"/>
        </w:rPr>
        <w:footnoteReference w:id="65"/>
      </w:r>
      <w:r w:rsidR="00821A71">
        <w:rPr>
          <w:rFonts w:cs="Times New Roman"/>
          <w:sz w:val="28"/>
          <w:szCs w:val="28"/>
        </w:rPr>
        <w:t xml:space="preserve"> </w:t>
      </w:r>
      <w:r w:rsidR="00DA60E2">
        <w:rPr>
          <w:rFonts w:cs="Times New Roman"/>
          <w:sz w:val="28"/>
          <w:szCs w:val="28"/>
        </w:rPr>
        <w:t xml:space="preserve">The Court’s </w:t>
      </w:r>
      <w:r w:rsidR="0055590C">
        <w:rPr>
          <w:rFonts w:cs="Times New Roman"/>
          <w:sz w:val="28"/>
          <w:szCs w:val="28"/>
        </w:rPr>
        <w:t xml:space="preserve">description of </w:t>
      </w:r>
      <w:r w:rsidR="00DA60E2">
        <w:rPr>
          <w:rFonts w:cs="Times New Roman"/>
          <w:sz w:val="28"/>
          <w:szCs w:val="28"/>
        </w:rPr>
        <w:t>Roof’s claim of white supremacy and hatred that caused him</w:t>
      </w:r>
      <w:r w:rsidR="007C0B13">
        <w:rPr>
          <w:rFonts w:cs="Times New Roman"/>
          <w:sz w:val="28"/>
          <w:szCs w:val="28"/>
        </w:rPr>
        <w:t xml:space="preserve"> to commit these heinous crimes, is chilling:</w:t>
      </w:r>
    </w:p>
    <w:p w14:paraId="28E7B334" w14:textId="77777777" w:rsidR="007C0B13" w:rsidRDefault="00DA60E2" w:rsidP="007C0B13">
      <w:pPr>
        <w:pStyle w:val="ListParagraph"/>
        <w:spacing w:after="0" w:line="360" w:lineRule="auto"/>
        <w:ind w:left="0"/>
        <w:jc w:val="both"/>
        <w:rPr>
          <w:rFonts w:cs="Times New Roman"/>
          <w:sz w:val="28"/>
          <w:szCs w:val="28"/>
        </w:rPr>
      </w:pPr>
      <w:r>
        <w:rPr>
          <w:rFonts w:cs="Times New Roman"/>
          <w:sz w:val="24"/>
          <w:szCs w:val="24"/>
        </w:rPr>
        <w:t>‘</w:t>
      </w:r>
      <w:r w:rsidR="00480CC6" w:rsidRPr="007102CB">
        <w:rPr>
          <w:rFonts w:cs="Times New Roman"/>
          <w:sz w:val="24"/>
          <w:szCs w:val="24"/>
        </w:rPr>
        <w:t>He also used the internet to propagate his racist ideology. In a journ</w:t>
      </w:r>
      <w:r w:rsidR="00AE6E7F">
        <w:rPr>
          <w:rFonts w:cs="Times New Roman"/>
          <w:sz w:val="24"/>
          <w:szCs w:val="24"/>
        </w:rPr>
        <w:t xml:space="preserve">al that the police found in </w:t>
      </w:r>
      <w:r w:rsidR="00480CC6" w:rsidRPr="007102CB">
        <w:rPr>
          <w:rFonts w:cs="Times New Roman"/>
          <w:sz w:val="24"/>
          <w:szCs w:val="24"/>
        </w:rPr>
        <w:t>Roof’s home, Roof had written the name of a website he had created. The website was hosted by a foreign internet server, to which Roof made monthly payments. Hours before the shootings, Roof uploaded racist material to the website</w:t>
      </w:r>
      <w:r w:rsidR="007102CB" w:rsidRPr="007102CB">
        <w:rPr>
          <w:rFonts w:cs="Times New Roman"/>
          <w:sz w:val="24"/>
          <w:szCs w:val="24"/>
        </w:rPr>
        <w:t xml:space="preserve">. The </w:t>
      </w:r>
      <w:r w:rsidR="00480CC6" w:rsidRPr="007102CB">
        <w:rPr>
          <w:rFonts w:cs="Times New Roman"/>
          <w:sz w:val="24"/>
          <w:szCs w:val="24"/>
        </w:rPr>
        <w:t>website included hyperlinks to text and photos. The text link</w:t>
      </w:r>
      <w:r w:rsidR="007102CB" w:rsidRPr="007102CB">
        <w:rPr>
          <w:rFonts w:cs="Times New Roman"/>
          <w:sz w:val="24"/>
          <w:szCs w:val="24"/>
        </w:rPr>
        <w:t>ed to a document where R</w:t>
      </w:r>
      <w:r w:rsidR="00480CC6" w:rsidRPr="007102CB">
        <w:rPr>
          <w:rFonts w:cs="Times New Roman"/>
          <w:sz w:val="24"/>
          <w:szCs w:val="24"/>
        </w:rPr>
        <w:t xml:space="preserve">oof expressed his virulent racist ideology, claimed white </w:t>
      </w:r>
      <w:r w:rsidR="007102CB" w:rsidRPr="007102CB">
        <w:rPr>
          <w:rFonts w:cs="Times New Roman"/>
          <w:sz w:val="24"/>
          <w:szCs w:val="24"/>
        </w:rPr>
        <w:t xml:space="preserve">superiority, and called African </w:t>
      </w:r>
      <w:r w:rsidR="00480CC6" w:rsidRPr="007102CB">
        <w:rPr>
          <w:rFonts w:cs="Times New Roman"/>
          <w:sz w:val="24"/>
          <w:szCs w:val="24"/>
        </w:rPr>
        <w:t>America</w:t>
      </w:r>
      <w:r w:rsidR="007102CB" w:rsidRPr="007102CB">
        <w:rPr>
          <w:rFonts w:cs="Times New Roman"/>
          <w:sz w:val="24"/>
          <w:szCs w:val="24"/>
        </w:rPr>
        <w:t>ns “stupid and violent.” He discussed black-on</w:t>
      </w:r>
      <w:r w:rsidR="00480CC6" w:rsidRPr="007102CB">
        <w:rPr>
          <w:rFonts w:cs="Times New Roman"/>
          <w:sz w:val="24"/>
          <w:szCs w:val="24"/>
        </w:rPr>
        <w:t>-white crime, claiming it was a crisis that the media ignored. He issued a call to action</w:t>
      </w:r>
      <w:r w:rsidR="007102CB" w:rsidRPr="007102CB">
        <w:rPr>
          <w:rFonts w:cs="Times New Roman"/>
          <w:sz w:val="24"/>
          <w:szCs w:val="24"/>
        </w:rPr>
        <w:t>,</w:t>
      </w:r>
      <w:r w:rsidR="00480CC6" w:rsidRPr="007102CB">
        <w:rPr>
          <w:rFonts w:cs="Times New Roman"/>
          <w:sz w:val="24"/>
          <w:szCs w:val="24"/>
        </w:rPr>
        <w:t xml:space="preserve"> explaining that it was not “too late” to take Americ</w:t>
      </w:r>
      <w:r w:rsidR="007102CB" w:rsidRPr="007102CB">
        <w:rPr>
          <w:rFonts w:cs="Times New Roman"/>
          <w:sz w:val="24"/>
          <w:szCs w:val="24"/>
        </w:rPr>
        <w:t>a back and “by no means should w</w:t>
      </w:r>
      <w:r w:rsidR="00480CC6" w:rsidRPr="007102CB">
        <w:rPr>
          <w:rFonts w:cs="Times New Roman"/>
          <w:sz w:val="24"/>
          <w:szCs w:val="24"/>
        </w:rPr>
        <w:t xml:space="preserve">e wait any longer </w:t>
      </w:r>
      <w:r w:rsidR="007102CB" w:rsidRPr="007102CB">
        <w:rPr>
          <w:rFonts w:cs="Times New Roman"/>
          <w:sz w:val="24"/>
          <w:szCs w:val="24"/>
        </w:rPr>
        <w:t xml:space="preserve">to take drastic action.” </w:t>
      </w:r>
      <w:r w:rsidR="00480CC6" w:rsidRPr="007102CB">
        <w:rPr>
          <w:rFonts w:cs="Times New Roman"/>
          <w:sz w:val="24"/>
          <w:szCs w:val="24"/>
        </w:rPr>
        <w:t>He stated that nobody “was doing anything</w:t>
      </w:r>
      <w:r w:rsidR="007102CB" w:rsidRPr="007102CB">
        <w:rPr>
          <w:rFonts w:cs="Times New Roman"/>
          <w:sz w:val="24"/>
          <w:szCs w:val="24"/>
        </w:rPr>
        <w:t xml:space="preserve"> but talking on the i</w:t>
      </w:r>
      <w:r w:rsidR="00480CC6" w:rsidRPr="007102CB">
        <w:rPr>
          <w:rFonts w:cs="Times New Roman"/>
          <w:sz w:val="24"/>
          <w:szCs w:val="24"/>
        </w:rPr>
        <w:t>nternet,” that “someone has to have the bravery to take it to the real world,” and “I guess that has to be me.”</w:t>
      </w:r>
      <w:r w:rsidR="007102CB" w:rsidRPr="007102CB">
        <w:rPr>
          <w:rFonts w:cs="Times New Roman"/>
          <w:sz w:val="24"/>
          <w:szCs w:val="24"/>
        </w:rPr>
        <w:t xml:space="preserve"> ’</w:t>
      </w:r>
      <w:r w:rsidR="00480CC6">
        <w:rPr>
          <w:rStyle w:val="FootnoteReference"/>
          <w:rFonts w:cs="Times New Roman"/>
          <w:sz w:val="28"/>
          <w:szCs w:val="28"/>
        </w:rPr>
        <w:footnoteReference w:id="66"/>
      </w:r>
    </w:p>
    <w:p w14:paraId="5BD289A3" w14:textId="77777777" w:rsidR="00CA5259" w:rsidRDefault="00CA5259" w:rsidP="00CA5259">
      <w:pPr>
        <w:pStyle w:val="ListParagraph"/>
        <w:spacing w:after="0" w:line="360" w:lineRule="auto"/>
        <w:ind w:left="0"/>
        <w:jc w:val="both"/>
        <w:rPr>
          <w:rFonts w:cs="Times New Roman"/>
          <w:sz w:val="28"/>
          <w:szCs w:val="28"/>
        </w:rPr>
      </w:pPr>
    </w:p>
    <w:p w14:paraId="36F71173" w14:textId="77777777" w:rsidR="00E36A79" w:rsidRDefault="0061675B"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For the above reasons, a</w:t>
      </w:r>
      <w:r w:rsidR="002368E7">
        <w:rPr>
          <w:rFonts w:cs="Times New Roman"/>
          <w:sz w:val="28"/>
          <w:szCs w:val="28"/>
        </w:rPr>
        <w:t xml:space="preserve">ny gratuitous public display of the old flag </w:t>
      </w:r>
      <w:r w:rsidR="00E36A79">
        <w:rPr>
          <w:rFonts w:cs="Times New Roman"/>
          <w:sz w:val="28"/>
          <w:szCs w:val="28"/>
        </w:rPr>
        <w:t>satisfies the requirement of promoting and propagating hatred</w:t>
      </w:r>
      <w:r w:rsidR="00480CC6">
        <w:rPr>
          <w:rFonts w:cs="Times New Roman"/>
          <w:sz w:val="28"/>
          <w:szCs w:val="28"/>
        </w:rPr>
        <w:t xml:space="preserve"> as envisaged in s</w:t>
      </w:r>
      <w:r w:rsidR="00E61C9A">
        <w:rPr>
          <w:rFonts w:cs="Times New Roman"/>
          <w:sz w:val="28"/>
          <w:szCs w:val="28"/>
        </w:rPr>
        <w:t xml:space="preserve"> </w:t>
      </w:r>
      <w:r w:rsidR="00480CC6">
        <w:rPr>
          <w:rFonts w:cs="Times New Roman"/>
          <w:sz w:val="28"/>
          <w:szCs w:val="28"/>
        </w:rPr>
        <w:t>10(1) of the Equality Act</w:t>
      </w:r>
      <w:r w:rsidR="00E36A79">
        <w:rPr>
          <w:rFonts w:cs="Times New Roman"/>
          <w:sz w:val="28"/>
          <w:szCs w:val="28"/>
        </w:rPr>
        <w:t>.</w:t>
      </w:r>
      <w:r w:rsidR="00A2633C">
        <w:rPr>
          <w:rFonts w:cs="Times New Roman"/>
          <w:sz w:val="28"/>
          <w:szCs w:val="28"/>
        </w:rPr>
        <w:t xml:space="preserve"> It provides fertile ground for the violence and brutality of racism.</w:t>
      </w:r>
      <w:r w:rsidR="008E26D6">
        <w:rPr>
          <w:rFonts w:cs="Times New Roman"/>
          <w:sz w:val="28"/>
          <w:szCs w:val="28"/>
        </w:rPr>
        <w:t xml:space="preserve"> No wonder the Equality Act is aimed at ‘the </w:t>
      </w:r>
      <w:r w:rsidR="008E26D6" w:rsidRPr="008E26D6">
        <w:rPr>
          <w:rFonts w:cs="Times New Roman"/>
          <w:i/>
          <w:sz w:val="28"/>
          <w:szCs w:val="28"/>
        </w:rPr>
        <w:t>eradication</w:t>
      </w:r>
      <w:r w:rsidR="008E26D6">
        <w:rPr>
          <w:rFonts w:cs="Times New Roman"/>
          <w:sz w:val="28"/>
          <w:szCs w:val="28"/>
        </w:rPr>
        <w:t xml:space="preserve"> of unfair discrimination, hate speech and harassment, particularly on the grounds of race’.</w:t>
      </w:r>
      <w:r w:rsidR="008E26D6">
        <w:rPr>
          <w:rStyle w:val="FootnoteReference"/>
          <w:rFonts w:cs="Times New Roman"/>
          <w:sz w:val="28"/>
          <w:szCs w:val="28"/>
        </w:rPr>
        <w:footnoteReference w:id="67"/>
      </w:r>
    </w:p>
    <w:p w14:paraId="29F321FF" w14:textId="77777777" w:rsidR="005F2F0C" w:rsidRPr="002F32E7" w:rsidRDefault="002F32E7" w:rsidP="00E36A79">
      <w:pPr>
        <w:spacing w:after="0" w:line="360" w:lineRule="auto"/>
        <w:jc w:val="both"/>
        <w:rPr>
          <w:rFonts w:cs="Times New Roman"/>
          <w:b/>
          <w:i/>
          <w:sz w:val="28"/>
          <w:szCs w:val="28"/>
        </w:rPr>
      </w:pPr>
      <w:r w:rsidRPr="002F32E7">
        <w:rPr>
          <w:rFonts w:cs="Times New Roman"/>
          <w:b/>
          <w:i/>
          <w:sz w:val="28"/>
          <w:szCs w:val="28"/>
        </w:rPr>
        <w:lastRenderedPageBreak/>
        <w:t>(d)</w:t>
      </w:r>
      <w:r w:rsidRPr="002F32E7">
        <w:rPr>
          <w:rFonts w:cs="Times New Roman"/>
          <w:b/>
          <w:i/>
          <w:sz w:val="28"/>
          <w:szCs w:val="28"/>
        </w:rPr>
        <w:tab/>
      </w:r>
      <w:r w:rsidR="00A5343A" w:rsidRPr="002F32E7">
        <w:rPr>
          <w:rFonts w:cs="Times New Roman"/>
          <w:b/>
          <w:i/>
          <w:sz w:val="28"/>
          <w:szCs w:val="28"/>
        </w:rPr>
        <w:t>The proviso in section 12</w:t>
      </w:r>
      <w:r w:rsidR="00996AA5" w:rsidRPr="002F32E7">
        <w:rPr>
          <w:rFonts w:cs="Times New Roman"/>
          <w:b/>
          <w:i/>
          <w:sz w:val="28"/>
          <w:szCs w:val="28"/>
        </w:rPr>
        <w:t xml:space="preserve"> </w:t>
      </w:r>
      <w:r w:rsidR="00083A06" w:rsidRPr="002F32E7">
        <w:rPr>
          <w:rFonts w:cs="Times New Roman"/>
          <w:b/>
          <w:i/>
          <w:sz w:val="28"/>
          <w:szCs w:val="28"/>
        </w:rPr>
        <w:t xml:space="preserve"> </w:t>
      </w:r>
    </w:p>
    <w:p w14:paraId="6F6BF678" w14:textId="77777777" w:rsidR="00A5343A" w:rsidRDefault="00504844"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prohibition of hate speech in s 10 is subject to the proviso in s</w:t>
      </w:r>
      <w:r w:rsidR="00DE56BD">
        <w:rPr>
          <w:rFonts w:cs="Times New Roman"/>
          <w:sz w:val="28"/>
          <w:szCs w:val="28"/>
        </w:rPr>
        <w:t xml:space="preserve"> 12 of the Equality Act.</w:t>
      </w:r>
      <w:r w:rsidR="00C41042">
        <w:rPr>
          <w:rStyle w:val="FootnoteReference"/>
          <w:rFonts w:cs="Times New Roman"/>
          <w:sz w:val="28"/>
          <w:szCs w:val="28"/>
        </w:rPr>
        <w:footnoteReference w:id="68"/>
      </w:r>
      <w:r w:rsidR="00DE56BD">
        <w:rPr>
          <w:rFonts w:cs="Times New Roman"/>
          <w:sz w:val="28"/>
          <w:szCs w:val="28"/>
        </w:rPr>
        <w:t xml:space="preserve"> </w:t>
      </w:r>
      <w:r w:rsidR="00821865">
        <w:rPr>
          <w:rFonts w:cs="Times New Roman"/>
          <w:sz w:val="28"/>
          <w:szCs w:val="28"/>
        </w:rPr>
        <w:t>The high court therefore rightly made its declaratory order subject to s 12</w:t>
      </w:r>
      <w:r w:rsidR="00C41042">
        <w:rPr>
          <w:rFonts w:cs="Times New Roman"/>
          <w:sz w:val="28"/>
          <w:szCs w:val="28"/>
        </w:rPr>
        <w:t xml:space="preserve">, ie that a </w:t>
      </w:r>
      <w:r w:rsidR="00821865">
        <w:rPr>
          <w:rFonts w:cs="Times New Roman"/>
          <w:sz w:val="28"/>
          <w:szCs w:val="28"/>
        </w:rPr>
        <w:t>display of the old flag for artistic, academic or journalistic purposes, is not prohibited.</w:t>
      </w:r>
    </w:p>
    <w:p w14:paraId="1BDB5AB3" w14:textId="77777777" w:rsidR="00821865" w:rsidRPr="00A5343A" w:rsidRDefault="00821865" w:rsidP="00821865">
      <w:pPr>
        <w:pStyle w:val="ListParagraph"/>
        <w:spacing w:after="0" w:line="360" w:lineRule="auto"/>
        <w:ind w:left="0"/>
        <w:jc w:val="both"/>
        <w:rPr>
          <w:rFonts w:cs="Times New Roman"/>
          <w:sz w:val="28"/>
          <w:szCs w:val="28"/>
        </w:rPr>
      </w:pPr>
    </w:p>
    <w:p w14:paraId="4933374E" w14:textId="0E843AC7" w:rsidR="00A5343A" w:rsidRDefault="00C41042"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Afriforum argued</w:t>
      </w:r>
      <w:r w:rsidR="00504844" w:rsidRPr="00C45439">
        <w:rPr>
          <w:rFonts w:cs="Times New Roman"/>
          <w:sz w:val="28"/>
          <w:szCs w:val="28"/>
        </w:rPr>
        <w:t xml:space="preserve"> that the high court’s order constitutes a ‘wide-reaching ban’ on the display of the old flag, and an unconstitutional infringement of the right to freedom of expression. The argument </w:t>
      </w:r>
      <w:r w:rsidR="003445E6">
        <w:rPr>
          <w:rFonts w:cs="Times New Roman"/>
          <w:sz w:val="28"/>
          <w:szCs w:val="28"/>
        </w:rPr>
        <w:t>is groundless</w:t>
      </w:r>
      <w:r w:rsidR="00590112">
        <w:rPr>
          <w:rFonts w:cs="Times New Roman"/>
          <w:sz w:val="28"/>
          <w:szCs w:val="28"/>
        </w:rPr>
        <w:t>.</w:t>
      </w:r>
      <w:r w:rsidR="00504844" w:rsidRPr="00C45439">
        <w:rPr>
          <w:rFonts w:cs="Times New Roman"/>
          <w:sz w:val="28"/>
          <w:szCs w:val="28"/>
        </w:rPr>
        <w:t xml:space="preserve"> The high court </w:t>
      </w:r>
      <w:r w:rsidR="00504844">
        <w:rPr>
          <w:rFonts w:cs="Times New Roman"/>
          <w:sz w:val="28"/>
          <w:szCs w:val="28"/>
        </w:rPr>
        <w:t xml:space="preserve">emphasised </w:t>
      </w:r>
      <w:r w:rsidR="00504844" w:rsidRPr="00C45439">
        <w:rPr>
          <w:rFonts w:cs="Times New Roman"/>
          <w:sz w:val="28"/>
          <w:szCs w:val="28"/>
        </w:rPr>
        <w:t>that the NMF had not sought an order banning the old flag</w:t>
      </w:r>
      <w:r w:rsidR="00504844">
        <w:rPr>
          <w:rFonts w:cs="Times New Roman"/>
          <w:sz w:val="28"/>
          <w:szCs w:val="28"/>
        </w:rPr>
        <w:t xml:space="preserve">, but that its </w:t>
      </w:r>
      <w:r w:rsidR="00780434">
        <w:rPr>
          <w:rFonts w:cs="Times New Roman"/>
          <w:sz w:val="28"/>
          <w:szCs w:val="28"/>
        </w:rPr>
        <w:t xml:space="preserve">public </w:t>
      </w:r>
      <w:r w:rsidR="00504844">
        <w:rPr>
          <w:rFonts w:cs="Times New Roman"/>
          <w:sz w:val="28"/>
          <w:szCs w:val="28"/>
        </w:rPr>
        <w:t>display be confined to genuine artistic, academic or journalistic expression in the public interest</w:t>
      </w:r>
      <w:r w:rsidR="00504844" w:rsidRPr="00C45439">
        <w:rPr>
          <w:rFonts w:cs="Times New Roman"/>
          <w:sz w:val="28"/>
          <w:szCs w:val="28"/>
        </w:rPr>
        <w:t>.</w:t>
      </w:r>
      <w:r w:rsidR="00504844">
        <w:rPr>
          <w:rFonts w:cs="Times New Roman"/>
          <w:sz w:val="28"/>
          <w:szCs w:val="28"/>
        </w:rPr>
        <w:t xml:space="preserve"> For this reason, t</w:t>
      </w:r>
      <w:r w:rsidR="00504844" w:rsidRPr="00C45439">
        <w:rPr>
          <w:rFonts w:cs="Times New Roman"/>
          <w:sz w:val="28"/>
          <w:szCs w:val="28"/>
        </w:rPr>
        <w:t>he cou</w:t>
      </w:r>
      <w:r w:rsidR="00590112">
        <w:rPr>
          <w:rFonts w:cs="Times New Roman"/>
          <w:sz w:val="28"/>
          <w:szCs w:val="28"/>
        </w:rPr>
        <w:t xml:space="preserve">rt </w:t>
      </w:r>
      <w:r w:rsidR="00504844" w:rsidRPr="00C45439">
        <w:rPr>
          <w:rFonts w:cs="Times New Roman"/>
          <w:sz w:val="28"/>
          <w:szCs w:val="28"/>
        </w:rPr>
        <w:t>did not impose a wholesale ban on displays of the old flag. Instead, it declared</w:t>
      </w:r>
      <w:r w:rsidR="00590112">
        <w:rPr>
          <w:rFonts w:cs="Times New Roman"/>
          <w:sz w:val="28"/>
          <w:szCs w:val="28"/>
        </w:rPr>
        <w:t xml:space="preserve"> that </w:t>
      </w:r>
      <w:r w:rsidR="00504844" w:rsidRPr="00C45439">
        <w:rPr>
          <w:rFonts w:cs="Times New Roman"/>
          <w:sz w:val="28"/>
          <w:szCs w:val="28"/>
        </w:rPr>
        <w:t xml:space="preserve">displays of the old flag </w:t>
      </w:r>
      <w:r w:rsidR="00504844">
        <w:rPr>
          <w:rFonts w:cs="Times New Roman"/>
          <w:sz w:val="28"/>
          <w:szCs w:val="28"/>
        </w:rPr>
        <w:t>that do not fall</w:t>
      </w:r>
      <w:r w:rsidR="00504844" w:rsidRPr="00C45439">
        <w:rPr>
          <w:rFonts w:cs="Times New Roman"/>
          <w:sz w:val="28"/>
          <w:szCs w:val="28"/>
        </w:rPr>
        <w:t xml:space="preserve"> within the proviso in s 12, constitute hate speech, unfair discrimination and harassment.</w:t>
      </w:r>
    </w:p>
    <w:p w14:paraId="4CDD809B" w14:textId="77777777" w:rsidR="00D117E8" w:rsidRDefault="00D117E8" w:rsidP="00590112">
      <w:pPr>
        <w:spacing w:after="0" w:line="360" w:lineRule="auto"/>
        <w:jc w:val="both"/>
        <w:rPr>
          <w:rFonts w:cs="Times New Roman"/>
          <w:sz w:val="28"/>
          <w:szCs w:val="28"/>
        </w:rPr>
      </w:pPr>
    </w:p>
    <w:p w14:paraId="689B88E8" w14:textId="77777777" w:rsidR="00590112" w:rsidRPr="00D117E8" w:rsidRDefault="002F32E7" w:rsidP="00590112">
      <w:pPr>
        <w:spacing w:after="0" w:line="360" w:lineRule="auto"/>
        <w:jc w:val="both"/>
        <w:rPr>
          <w:rFonts w:cs="Times New Roman"/>
          <w:b/>
          <w:sz w:val="28"/>
          <w:szCs w:val="28"/>
        </w:rPr>
      </w:pPr>
      <w:r w:rsidRPr="00D117E8">
        <w:rPr>
          <w:rFonts w:cs="Times New Roman"/>
          <w:b/>
          <w:sz w:val="28"/>
          <w:szCs w:val="28"/>
        </w:rPr>
        <w:t>Section 7</w:t>
      </w:r>
      <w:r w:rsidR="00D117E8" w:rsidRPr="00D117E8">
        <w:rPr>
          <w:rFonts w:cs="Times New Roman"/>
          <w:b/>
          <w:sz w:val="28"/>
          <w:szCs w:val="28"/>
        </w:rPr>
        <w:t xml:space="preserve"> of the Equality A</w:t>
      </w:r>
      <w:r w:rsidR="00D117E8">
        <w:rPr>
          <w:rFonts w:cs="Times New Roman"/>
          <w:b/>
          <w:sz w:val="28"/>
          <w:szCs w:val="28"/>
        </w:rPr>
        <w:t>ct: unfair discrimination</w:t>
      </w:r>
    </w:p>
    <w:p w14:paraId="31E01AE0" w14:textId="77777777" w:rsidR="00D117E8" w:rsidRDefault="00B277F4"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In terms of the E</w:t>
      </w:r>
      <w:r w:rsidR="005B1925">
        <w:rPr>
          <w:rFonts w:cs="Times New Roman"/>
          <w:sz w:val="28"/>
          <w:szCs w:val="28"/>
        </w:rPr>
        <w:t xml:space="preserve">quality </w:t>
      </w:r>
      <w:r>
        <w:rPr>
          <w:rFonts w:cs="Times New Roman"/>
          <w:sz w:val="28"/>
          <w:szCs w:val="28"/>
        </w:rPr>
        <w:t xml:space="preserve">Act, </w:t>
      </w:r>
      <w:r w:rsidR="005B1925">
        <w:rPr>
          <w:rFonts w:cs="Times New Roman"/>
          <w:sz w:val="28"/>
          <w:szCs w:val="28"/>
        </w:rPr>
        <w:t xml:space="preserve">‘discrimination’ </w:t>
      </w:r>
      <w:r>
        <w:rPr>
          <w:rFonts w:cs="Times New Roman"/>
          <w:sz w:val="28"/>
          <w:szCs w:val="28"/>
        </w:rPr>
        <w:t xml:space="preserve">includes any act, </w:t>
      </w:r>
      <w:r w:rsidR="005B1925">
        <w:rPr>
          <w:rFonts w:cs="Times New Roman"/>
          <w:sz w:val="28"/>
          <w:szCs w:val="28"/>
        </w:rPr>
        <w:t xml:space="preserve">omission </w:t>
      </w:r>
      <w:r>
        <w:rPr>
          <w:rFonts w:cs="Times New Roman"/>
          <w:sz w:val="28"/>
          <w:szCs w:val="28"/>
        </w:rPr>
        <w:t xml:space="preserve">or situation which imposes disadvantage on any person on one or more of the prohibited grounds’. For present </w:t>
      </w:r>
      <w:r w:rsidR="00AE6E7F">
        <w:rPr>
          <w:rFonts w:cs="Times New Roman"/>
          <w:sz w:val="28"/>
          <w:szCs w:val="28"/>
        </w:rPr>
        <w:t>purposes, the prohibited ground</w:t>
      </w:r>
      <w:r>
        <w:rPr>
          <w:rFonts w:cs="Times New Roman"/>
          <w:sz w:val="28"/>
          <w:szCs w:val="28"/>
        </w:rPr>
        <w:t xml:space="preserve"> </w:t>
      </w:r>
      <w:r w:rsidR="00AE6E7F">
        <w:rPr>
          <w:rFonts w:cs="Times New Roman"/>
          <w:sz w:val="28"/>
          <w:szCs w:val="28"/>
        </w:rPr>
        <w:t>is</w:t>
      </w:r>
      <w:r>
        <w:rPr>
          <w:rFonts w:cs="Times New Roman"/>
          <w:sz w:val="28"/>
          <w:szCs w:val="28"/>
        </w:rPr>
        <w:t xml:space="preserve"> race</w:t>
      </w:r>
      <w:r w:rsidR="00191169">
        <w:rPr>
          <w:rFonts w:cs="Times New Roman"/>
          <w:sz w:val="28"/>
          <w:szCs w:val="28"/>
        </w:rPr>
        <w:t xml:space="preserve">. </w:t>
      </w:r>
      <w:r w:rsidR="00D117E8">
        <w:rPr>
          <w:rFonts w:cs="Times New Roman"/>
          <w:sz w:val="28"/>
          <w:szCs w:val="28"/>
        </w:rPr>
        <w:t>Section 7</w:t>
      </w:r>
      <w:r w:rsidR="00D117E8" w:rsidRPr="00D117E8">
        <w:rPr>
          <w:rFonts w:cs="Times New Roman"/>
          <w:i/>
          <w:sz w:val="28"/>
          <w:szCs w:val="28"/>
        </w:rPr>
        <w:t>(a)</w:t>
      </w:r>
      <w:r w:rsidR="00191169">
        <w:rPr>
          <w:rFonts w:cs="Times New Roman"/>
          <w:sz w:val="28"/>
          <w:szCs w:val="28"/>
        </w:rPr>
        <w:t xml:space="preserve"> </w:t>
      </w:r>
      <w:r w:rsidR="00D117E8">
        <w:rPr>
          <w:rFonts w:cs="Times New Roman"/>
          <w:sz w:val="28"/>
          <w:szCs w:val="28"/>
        </w:rPr>
        <w:t>provides:</w:t>
      </w:r>
    </w:p>
    <w:p w14:paraId="7D73E11B" w14:textId="77777777" w:rsidR="00D117E8" w:rsidRPr="00073275" w:rsidRDefault="00D117E8" w:rsidP="00D117E8">
      <w:pPr>
        <w:pStyle w:val="ListParagraph"/>
        <w:spacing w:after="0" w:line="360" w:lineRule="auto"/>
        <w:ind w:left="0"/>
        <w:jc w:val="both"/>
        <w:rPr>
          <w:rFonts w:cs="Times New Roman"/>
          <w:sz w:val="24"/>
          <w:szCs w:val="24"/>
        </w:rPr>
      </w:pPr>
      <w:r w:rsidRPr="00073275">
        <w:rPr>
          <w:rFonts w:cs="Times New Roman"/>
          <w:sz w:val="24"/>
          <w:szCs w:val="24"/>
        </w:rPr>
        <w:t>‘</w:t>
      </w:r>
      <w:r w:rsidR="00073275" w:rsidRPr="00073275">
        <w:rPr>
          <w:rFonts w:cs="Times New Roman"/>
          <w:b/>
          <w:sz w:val="24"/>
          <w:szCs w:val="24"/>
        </w:rPr>
        <w:t>Prohibition of unfair discrimination on grounds of race</w:t>
      </w:r>
    </w:p>
    <w:p w14:paraId="618FD1ED" w14:textId="77777777" w:rsidR="00073275" w:rsidRPr="00073275" w:rsidRDefault="00073275" w:rsidP="00D117E8">
      <w:pPr>
        <w:pStyle w:val="ListParagraph"/>
        <w:spacing w:after="0" w:line="360" w:lineRule="auto"/>
        <w:ind w:left="0"/>
        <w:jc w:val="both"/>
        <w:rPr>
          <w:rFonts w:cs="Times New Roman"/>
          <w:sz w:val="24"/>
          <w:szCs w:val="24"/>
        </w:rPr>
      </w:pPr>
      <w:r w:rsidRPr="00073275">
        <w:rPr>
          <w:rFonts w:cs="Times New Roman"/>
          <w:sz w:val="24"/>
          <w:szCs w:val="24"/>
        </w:rPr>
        <w:t>Subject to section 6, no person may unfairly discriminate against any person on the ground of race, including-</w:t>
      </w:r>
    </w:p>
    <w:p w14:paraId="65755A85" w14:textId="77777777" w:rsidR="00073275" w:rsidRPr="00D117E8" w:rsidRDefault="00073275" w:rsidP="00D117E8">
      <w:pPr>
        <w:pStyle w:val="ListParagraph"/>
        <w:spacing w:after="0" w:line="360" w:lineRule="auto"/>
        <w:ind w:left="0"/>
        <w:jc w:val="both"/>
        <w:rPr>
          <w:rFonts w:cs="Times New Roman"/>
          <w:sz w:val="28"/>
          <w:szCs w:val="28"/>
        </w:rPr>
      </w:pPr>
      <w:r w:rsidRPr="00073275">
        <w:rPr>
          <w:rFonts w:cs="Times New Roman"/>
          <w:i/>
          <w:sz w:val="24"/>
          <w:szCs w:val="24"/>
        </w:rPr>
        <w:lastRenderedPageBreak/>
        <w:t>(a)</w:t>
      </w:r>
      <w:r w:rsidRPr="00073275">
        <w:rPr>
          <w:rFonts w:cs="Times New Roman"/>
          <w:sz w:val="24"/>
          <w:szCs w:val="24"/>
        </w:rPr>
        <w:t xml:space="preserve"> the dissemination of any propaganda or idea, which propounds the racial superiority or inferiority of any person, including incitement to, or participation in, any form of racial violence;’</w:t>
      </w:r>
      <w:r>
        <w:rPr>
          <w:rStyle w:val="FootnoteReference"/>
          <w:rFonts w:cs="Times New Roman"/>
          <w:sz w:val="24"/>
          <w:szCs w:val="24"/>
        </w:rPr>
        <w:footnoteReference w:id="69"/>
      </w:r>
    </w:p>
    <w:p w14:paraId="621E8FF5" w14:textId="77777777" w:rsidR="00073275" w:rsidRPr="00073275" w:rsidRDefault="00073275" w:rsidP="00073275">
      <w:pPr>
        <w:pStyle w:val="ListParagraph"/>
        <w:spacing w:after="0" w:line="360" w:lineRule="auto"/>
        <w:ind w:left="0"/>
        <w:jc w:val="both"/>
        <w:rPr>
          <w:rFonts w:cs="Times New Roman"/>
          <w:sz w:val="28"/>
          <w:szCs w:val="28"/>
        </w:rPr>
      </w:pPr>
    </w:p>
    <w:p w14:paraId="1D9E3812" w14:textId="77777777" w:rsidR="00632291" w:rsidRDefault="00F22612"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As in the case </w:t>
      </w:r>
      <w:r w:rsidR="0012569E">
        <w:rPr>
          <w:rFonts w:cs="Times New Roman"/>
          <w:sz w:val="28"/>
          <w:szCs w:val="28"/>
        </w:rPr>
        <w:t>of hate speech in terms of s 10(1)</w:t>
      </w:r>
      <w:r w:rsidR="00F409F7">
        <w:rPr>
          <w:rFonts w:cs="Times New Roman"/>
          <w:sz w:val="28"/>
          <w:szCs w:val="28"/>
        </w:rPr>
        <w:t xml:space="preserve"> of the Equality Act, the prohibitions of unfair discrimination on the ground of race</w:t>
      </w:r>
      <w:r w:rsidR="00191169">
        <w:rPr>
          <w:rFonts w:cs="Times New Roman"/>
          <w:sz w:val="28"/>
          <w:szCs w:val="28"/>
        </w:rPr>
        <w:t xml:space="preserve"> and </w:t>
      </w:r>
      <w:r w:rsidR="00F409F7">
        <w:rPr>
          <w:rFonts w:cs="Times New Roman"/>
          <w:sz w:val="28"/>
          <w:szCs w:val="28"/>
        </w:rPr>
        <w:t>harassment, are statutory delicts actionable in the Equality Court.</w:t>
      </w:r>
      <w:r w:rsidR="00F409F7">
        <w:rPr>
          <w:rStyle w:val="FootnoteReference"/>
          <w:rFonts w:cs="Times New Roman"/>
          <w:sz w:val="28"/>
          <w:szCs w:val="28"/>
        </w:rPr>
        <w:footnoteReference w:id="70"/>
      </w:r>
      <w:r w:rsidR="00F409F7">
        <w:rPr>
          <w:rFonts w:cs="Times New Roman"/>
          <w:sz w:val="28"/>
          <w:szCs w:val="28"/>
        </w:rPr>
        <w:t xml:space="preserve"> The elements of these statutory delicts must be established objectively,</w:t>
      </w:r>
      <w:r w:rsidR="00DE1AA4">
        <w:rPr>
          <w:rStyle w:val="FootnoteReference"/>
          <w:rFonts w:cs="Times New Roman"/>
          <w:sz w:val="28"/>
          <w:szCs w:val="28"/>
        </w:rPr>
        <w:footnoteReference w:id="71"/>
      </w:r>
      <w:r w:rsidR="00F409F7">
        <w:rPr>
          <w:rFonts w:cs="Times New Roman"/>
          <w:sz w:val="28"/>
          <w:szCs w:val="28"/>
        </w:rPr>
        <w:t xml:space="preserve"> on a balance of probabilities.</w:t>
      </w:r>
      <w:r w:rsidR="00F409F7">
        <w:rPr>
          <w:rStyle w:val="FootnoteReference"/>
          <w:rFonts w:cs="Times New Roman"/>
          <w:sz w:val="28"/>
          <w:szCs w:val="28"/>
        </w:rPr>
        <w:footnoteReference w:id="72"/>
      </w:r>
    </w:p>
    <w:p w14:paraId="49859C92" w14:textId="5E311FCF" w:rsidR="00073275" w:rsidRDefault="00F409F7" w:rsidP="00632291">
      <w:pPr>
        <w:pStyle w:val="ListParagraph"/>
        <w:spacing w:after="0" w:line="360" w:lineRule="auto"/>
        <w:ind w:left="0"/>
        <w:jc w:val="both"/>
        <w:rPr>
          <w:rFonts w:cs="Times New Roman"/>
          <w:sz w:val="28"/>
          <w:szCs w:val="28"/>
        </w:rPr>
      </w:pPr>
      <w:r>
        <w:rPr>
          <w:rFonts w:cs="Times New Roman"/>
          <w:sz w:val="28"/>
          <w:szCs w:val="28"/>
        </w:rPr>
        <w:t xml:space="preserve"> </w:t>
      </w:r>
    </w:p>
    <w:p w14:paraId="25D45C77" w14:textId="77777777" w:rsidR="005B1925" w:rsidRDefault="005B1925"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Section 13(1) requires </w:t>
      </w:r>
      <w:r w:rsidR="00FC479E">
        <w:rPr>
          <w:rFonts w:cs="Times New Roman"/>
          <w:sz w:val="28"/>
          <w:szCs w:val="28"/>
        </w:rPr>
        <w:t xml:space="preserve">a </w:t>
      </w:r>
      <w:r>
        <w:rPr>
          <w:rFonts w:cs="Times New Roman"/>
          <w:sz w:val="28"/>
          <w:szCs w:val="28"/>
        </w:rPr>
        <w:t xml:space="preserve">respondent to show the absence of racial discrimination. It </w:t>
      </w:r>
      <w:r w:rsidR="0066050F">
        <w:rPr>
          <w:rFonts w:cs="Times New Roman"/>
          <w:sz w:val="28"/>
          <w:szCs w:val="28"/>
        </w:rPr>
        <w:t>reads</w:t>
      </w:r>
      <w:r>
        <w:rPr>
          <w:rFonts w:cs="Times New Roman"/>
          <w:sz w:val="28"/>
          <w:szCs w:val="28"/>
        </w:rPr>
        <w:t>:</w:t>
      </w:r>
    </w:p>
    <w:p w14:paraId="5EEC0963" w14:textId="77777777" w:rsidR="00073275" w:rsidRPr="0066050F" w:rsidRDefault="005B1925" w:rsidP="005B1925">
      <w:pPr>
        <w:pStyle w:val="ListParagraph"/>
        <w:spacing w:after="0" w:line="360" w:lineRule="auto"/>
        <w:ind w:left="0"/>
        <w:jc w:val="both"/>
        <w:rPr>
          <w:rFonts w:cs="Times New Roman"/>
          <w:sz w:val="24"/>
          <w:szCs w:val="24"/>
        </w:rPr>
      </w:pPr>
      <w:r w:rsidRPr="0066050F">
        <w:rPr>
          <w:rFonts w:cs="Times New Roman"/>
          <w:sz w:val="24"/>
          <w:szCs w:val="24"/>
        </w:rPr>
        <w:t>‘</w:t>
      </w:r>
      <w:r w:rsidR="0000307A" w:rsidRPr="0066050F">
        <w:rPr>
          <w:rFonts w:cs="Times New Roman"/>
          <w:b/>
          <w:sz w:val="24"/>
          <w:szCs w:val="24"/>
        </w:rPr>
        <w:t>B</w:t>
      </w:r>
      <w:r w:rsidRPr="0066050F">
        <w:rPr>
          <w:rFonts w:cs="Times New Roman"/>
          <w:b/>
          <w:sz w:val="24"/>
          <w:szCs w:val="24"/>
        </w:rPr>
        <w:t>urden of proof</w:t>
      </w:r>
    </w:p>
    <w:p w14:paraId="2030F1BC" w14:textId="77777777" w:rsidR="005B1925" w:rsidRPr="0066050F" w:rsidRDefault="004D7F0A" w:rsidP="005B1925">
      <w:pPr>
        <w:pStyle w:val="ListParagraph"/>
        <w:spacing w:after="0" w:line="360" w:lineRule="auto"/>
        <w:ind w:left="0"/>
        <w:jc w:val="both"/>
        <w:rPr>
          <w:rFonts w:cs="Times New Roman"/>
          <w:sz w:val="24"/>
          <w:szCs w:val="24"/>
        </w:rPr>
      </w:pPr>
      <w:r w:rsidRPr="0066050F">
        <w:rPr>
          <w:rFonts w:cs="Times New Roman"/>
          <w:sz w:val="24"/>
          <w:szCs w:val="24"/>
        </w:rPr>
        <w:t>(1) I</w:t>
      </w:r>
      <w:r w:rsidR="005B1925" w:rsidRPr="0066050F">
        <w:rPr>
          <w:rFonts w:cs="Times New Roman"/>
          <w:sz w:val="24"/>
          <w:szCs w:val="24"/>
        </w:rPr>
        <w:t xml:space="preserve">f the complainant makes out a </w:t>
      </w:r>
      <w:r w:rsidR="005B1925" w:rsidRPr="0066050F">
        <w:rPr>
          <w:rFonts w:cs="Times New Roman"/>
          <w:i/>
          <w:sz w:val="24"/>
          <w:szCs w:val="24"/>
        </w:rPr>
        <w:t>prima facie</w:t>
      </w:r>
      <w:r w:rsidR="005B1925" w:rsidRPr="0066050F">
        <w:rPr>
          <w:rFonts w:cs="Times New Roman"/>
          <w:sz w:val="24"/>
          <w:szCs w:val="24"/>
        </w:rPr>
        <w:t xml:space="preserve"> case of discrimination-</w:t>
      </w:r>
    </w:p>
    <w:p w14:paraId="10B679D0" w14:textId="77777777" w:rsidR="005B1925" w:rsidRPr="0066050F" w:rsidRDefault="004D7F0A" w:rsidP="004D7F0A">
      <w:pPr>
        <w:pStyle w:val="ListParagraph"/>
        <w:spacing w:after="0" w:line="360" w:lineRule="auto"/>
        <w:ind w:hanging="720"/>
        <w:jc w:val="both"/>
        <w:rPr>
          <w:rFonts w:cs="Times New Roman"/>
          <w:sz w:val="24"/>
          <w:szCs w:val="24"/>
        </w:rPr>
      </w:pPr>
      <w:r w:rsidRPr="0066050F">
        <w:rPr>
          <w:rFonts w:cs="Times New Roman"/>
          <w:sz w:val="24"/>
          <w:szCs w:val="24"/>
        </w:rPr>
        <w:t xml:space="preserve"> </w:t>
      </w:r>
      <w:r w:rsidRPr="0066050F">
        <w:rPr>
          <w:rFonts w:cs="Times New Roman"/>
          <w:sz w:val="24"/>
          <w:szCs w:val="24"/>
        </w:rPr>
        <w:tab/>
      </w:r>
      <w:r w:rsidRPr="0066050F">
        <w:rPr>
          <w:rFonts w:cs="Times New Roman"/>
          <w:i/>
          <w:sz w:val="24"/>
          <w:szCs w:val="24"/>
        </w:rPr>
        <w:t>(a)</w:t>
      </w:r>
      <w:r w:rsidRPr="0066050F">
        <w:rPr>
          <w:rFonts w:cs="Times New Roman"/>
          <w:sz w:val="24"/>
          <w:szCs w:val="24"/>
        </w:rPr>
        <w:t xml:space="preserve"> </w:t>
      </w:r>
      <w:r w:rsidR="005B1925" w:rsidRPr="0066050F">
        <w:rPr>
          <w:rFonts w:cs="Times New Roman"/>
          <w:sz w:val="24"/>
          <w:szCs w:val="24"/>
        </w:rPr>
        <w:t>the respondent must prove, on the facts before the court, that the discrimination did not take place as alleged; or</w:t>
      </w:r>
    </w:p>
    <w:p w14:paraId="436BE319" w14:textId="77777777" w:rsidR="005B1925" w:rsidRPr="0066050F" w:rsidRDefault="004D7F0A" w:rsidP="004D7F0A">
      <w:pPr>
        <w:pStyle w:val="ListParagraph"/>
        <w:spacing w:after="0" w:line="360" w:lineRule="auto"/>
        <w:ind w:hanging="720"/>
        <w:jc w:val="both"/>
        <w:rPr>
          <w:rFonts w:cs="Times New Roman"/>
          <w:sz w:val="24"/>
          <w:szCs w:val="24"/>
        </w:rPr>
      </w:pPr>
      <w:r w:rsidRPr="0066050F">
        <w:rPr>
          <w:rFonts w:cs="Times New Roman"/>
          <w:sz w:val="24"/>
          <w:szCs w:val="24"/>
        </w:rPr>
        <w:tab/>
      </w:r>
      <w:r w:rsidRPr="0066050F">
        <w:rPr>
          <w:rFonts w:cs="Times New Roman"/>
          <w:i/>
          <w:sz w:val="24"/>
          <w:szCs w:val="24"/>
        </w:rPr>
        <w:t>(b)</w:t>
      </w:r>
      <w:r w:rsidRPr="0066050F">
        <w:rPr>
          <w:rFonts w:cs="Times New Roman"/>
          <w:sz w:val="24"/>
          <w:szCs w:val="24"/>
        </w:rPr>
        <w:t xml:space="preserve"> </w:t>
      </w:r>
      <w:r w:rsidR="005B1925" w:rsidRPr="0066050F">
        <w:rPr>
          <w:rFonts w:cs="Times New Roman"/>
          <w:sz w:val="24"/>
          <w:szCs w:val="24"/>
        </w:rPr>
        <w:t>the respondent must prove that the conduct is not based on one or more of the prohibited grounds.</w:t>
      </w:r>
    </w:p>
    <w:p w14:paraId="1CF41B50" w14:textId="77777777" w:rsidR="005B1925" w:rsidRPr="0066050F" w:rsidRDefault="009C3131" w:rsidP="005B1925">
      <w:pPr>
        <w:pStyle w:val="ListParagraph"/>
        <w:spacing w:after="0" w:line="360" w:lineRule="auto"/>
        <w:ind w:left="0"/>
        <w:jc w:val="both"/>
        <w:rPr>
          <w:rFonts w:cs="Times New Roman"/>
          <w:sz w:val="24"/>
          <w:szCs w:val="24"/>
        </w:rPr>
      </w:pPr>
      <w:r w:rsidRPr="0066050F">
        <w:rPr>
          <w:rFonts w:cs="Times New Roman"/>
          <w:sz w:val="24"/>
          <w:szCs w:val="24"/>
        </w:rPr>
        <w:t xml:space="preserve">(2) </w:t>
      </w:r>
      <w:r w:rsidR="005B1925" w:rsidRPr="0066050F">
        <w:rPr>
          <w:rFonts w:cs="Times New Roman"/>
          <w:sz w:val="24"/>
          <w:szCs w:val="24"/>
        </w:rPr>
        <w:t>If the discrimination did take place-</w:t>
      </w:r>
    </w:p>
    <w:p w14:paraId="5BC88EBF" w14:textId="77777777" w:rsidR="005B1925" w:rsidRPr="0066050F" w:rsidRDefault="009C3131" w:rsidP="009C3131">
      <w:pPr>
        <w:pStyle w:val="ListParagraph"/>
        <w:spacing w:after="0" w:line="360" w:lineRule="auto"/>
        <w:jc w:val="both"/>
        <w:rPr>
          <w:rFonts w:cs="Times New Roman"/>
          <w:sz w:val="24"/>
          <w:szCs w:val="24"/>
        </w:rPr>
      </w:pPr>
      <w:r w:rsidRPr="0066050F">
        <w:rPr>
          <w:rFonts w:cs="Times New Roman"/>
          <w:i/>
          <w:sz w:val="24"/>
          <w:szCs w:val="24"/>
        </w:rPr>
        <w:t>(a)</w:t>
      </w:r>
      <w:r w:rsidRPr="0066050F">
        <w:rPr>
          <w:rFonts w:cs="Times New Roman"/>
          <w:sz w:val="24"/>
          <w:szCs w:val="24"/>
        </w:rPr>
        <w:t xml:space="preserve"> </w:t>
      </w:r>
      <w:r w:rsidR="0066050F" w:rsidRPr="0066050F">
        <w:rPr>
          <w:rFonts w:cs="Times New Roman"/>
          <w:sz w:val="24"/>
          <w:szCs w:val="24"/>
        </w:rPr>
        <w:t xml:space="preserve">on a </w:t>
      </w:r>
      <w:r w:rsidR="005B1925" w:rsidRPr="0066050F">
        <w:rPr>
          <w:rFonts w:cs="Times New Roman"/>
          <w:sz w:val="24"/>
          <w:szCs w:val="24"/>
        </w:rPr>
        <w:t xml:space="preserve">ground in paragraph </w:t>
      </w:r>
      <w:r w:rsidRPr="0066050F">
        <w:rPr>
          <w:rFonts w:cs="Times New Roman"/>
          <w:i/>
          <w:sz w:val="24"/>
          <w:szCs w:val="24"/>
        </w:rPr>
        <w:t>(a)</w:t>
      </w:r>
      <w:r w:rsidRPr="0066050F">
        <w:rPr>
          <w:rFonts w:cs="Times New Roman"/>
          <w:sz w:val="24"/>
          <w:szCs w:val="24"/>
        </w:rPr>
        <w:t xml:space="preserve"> </w:t>
      </w:r>
      <w:r w:rsidR="005B1925" w:rsidRPr="0066050F">
        <w:rPr>
          <w:rFonts w:cs="Times New Roman"/>
          <w:sz w:val="24"/>
          <w:szCs w:val="24"/>
        </w:rPr>
        <w:t>of the definition of “</w:t>
      </w:r>
      <w:r w:rsidRPr="0066050F">
        <w:rPr>
          <w:rFonts w:cs="Times New Roman"/>
          <w:sz w:val="24"/>
          <w:szCs w:val="24"/>
        </w:rPr>
        <w:t>prohibited ground</w:t>
      </w:r>
      <w:r w:rsidR="005B1925" w:rsidRPr="0066050F">
        <w:rPr>
          <w:rFonts w:cs="Times New Roman"/>
          <w:sz w:val="24"/>
          <w:szCs w:val="24"/>
        </w:rPr>
        <w:t xml:space="preserve">s”, then it is unfair, unless the respondent proves </w:t>
      </w:r>
      <w:r w:rsidRPr="0066050F">
        <w:rPr>
          <w:rFonts w:cs="Times New Roman"/>
          <w:sz w:val="24"/>
          <w:szCs w:val="24"/>
        </w:rPr>
        <w:t>that the discrimination is fair</w:t>
      </w:r>
      <w:r w:rsidR="005B1925" w:rsidRPr="0066050F">
        <w:rPr>
          <w:rFonts w:cs="Times New Roman"/>
          <w:sz w:val="24"/>
          <w:szCs w:val="24"/>
        </w:rPr>
        <w:t>;</w:t>
      </w:r>
    </w:p>
    <w:p w14:paraId="3819288D" w14:textId="77777777" w:rsidR="009C3131" w:rsidRPr="0066050F" w:rsidRDefault="009C3131" w:rsidP="009C3131">
      <w:pPr>
        <w:pStyle w:val="ListParagraph"/>
        <w:spacing w:after="0" w:line="360" w:lineRule="auto"/>
        <w:jc w:val="both"/>
        <w:rPr>
          <w:rFonts w:cs="Times New Roman"/>
          <w:sz w:val="24"/>
          <w:szCs w:val="24"/>
        </w:rPr>
      </w:pPr>
      <w:r w:rsidRPr="0066050F">
        <w:rPr>
          <w:rFonts w:cs="Times New Roman"/>
          <w:i/>
          <w:sz w:val="24"/>
          <w:szCs w:val="24"/>
        </w:rPr>
        <w:t>(b)</w:t>
      </w:r>
      <w:r w:rsidRPr="0066050F">
        <w:rPr>
          <w:rFonts w:cs="Times New Roman"/>
          <w:sz w:val="24"/>
          <w:szCs w:val="24"/>
        </w:rPr>
        <w:t xml:space="preserve"> </w:t>
      </w:r>
      <w:r w:rsidR="0066050F" w:rsidRPr="0066050F">
        <w:rPr>
          <w:rFonts w:cs="Times New Roman"/>
          <w:sz w:val="24"/>
          <w:szCs w:val="24"/>
        </w:rPr>
        <w:t xml:space="preserve">on a </w:t>
      </w:r>
      <w:r w:rsidR="005B1925" w:rsidRPr="0066050F">
        <w:rPr>
          <w:rFonts w:cs="Times New Roman"/>
          <w:sz w:val="24"/>
          <w:szCs w:val="24"/>
        </w:rPr>
        <w:t>ground</w:t>
      </w:r>
      <w:r w:rsidRPr="0066050F">
        <w:rPr>
          <w:rFonts w:cs="Times New Roman"/>
          <w:sz w:val="24"/>
          <w:szCs w:val="24"/>
        </w:rPr>
        <w:t xml:space="preserve"> in paragraph </w:t>
      </w:r>
      <w:r w:rsidRPr="0066050F">
        <w:rPr>
          <w:rFonts w:cs="Times New Roman"/>
          <w:i/>
          <w:sz w:val="24"/>
          <w:szCs w:val="24"/>
        </w:rPr>
        <w:t>(b)</w:t>
      </w:r>
      <w:r w:rsidR="005B1925" w:rsidRPr="0066050F">
        <w:rPr>
          <w:rFonts w:cs="Times New Roman"/>
          <w:sz w:val="24"/>
          <w:szCs w:val="24"/>
        </w:rPr>
        <w:t xml:space="preserve"> of the definition of “</w:t>
      </w:r>
      <w:r w:rsidRPr="0066050F">
        <w:rPr>
          <w:rFonts w:cs="Times New Roman"/>
          <w:sz w:val="24"/>
          <w:szCs w:val="24"/>
        </w:rPr>
        <w:t>prohibited grounds</w:t>
      </w:r>
      <w:r w:rsidR="005B1925" w:rsidRPr="0066050F">
        <w:rPr>
          <w:rFonts w:cs="Times New Roman"/>
          <w:sz w:val="24"/>
          <w:szCs w:val="24"/>
        </w:rPr>
        <w:t>”, then it is unfair-</w:t>
      </w:r>
    </w:p>
    <w:p w14:paraId="38358A08" w14:textId="77777777" w:rsidR="005B1925" w:rsidRPr="0066050F" w:rsidRDefault="009C3131" w:rsidP="0066050F">
      <w:pPr>
        <w:pStyle w:val="ListParagraph"/>
        <w:spacing w:after="0" w:line="360" w:lineRule="auto"/>
        <w:ind w:left="1440"/>
        <w:jc w:val="both"/>
        <w:rPr>
          <w:rFonts w:cs="Times New Roman"/>
          <w:sz w:val="24"/>
          <w:szCs w:val="24"/>
        </w:rPr>
      </w:pPr>
      <w:r w:rsidRPr="0066050F">
        <w:rPr>
          <w:rFonts w:cs="Times New Roman"/>
          <w:sz w:val="24"/>
          <w:szCs w:val="24"/>
        </w:rPr>
        <w:t xml:space="preserve">(i) </w:t>
      </w:r>
      <w:r w:rsidR="005B1925" w:rsidRPr="0066050F">
        <w:rPr>
          <w:rFonts w:cs="Times New Roman"/>
          <w:sz w:val="24"/>
          <w:szCs w:val="24"/>
        </w:rPr>
        <w:t>if one or more of the c</w:t>
      </w:r>
      <w:r w:rsidR="0066050F" w:rsidRPr="0066050F">
        <w:rPr>
          <w:rFonts w:cs="Times New Roman"/>
          <w:sz w:val="24"/>
          <w:szCs w:val="24"/>
        </w:rPr>
        <w:t xml:space="preserve">onditions set out in paragraph </w:t>
      </w:r>
      <w:r w:rsidR="0066050F" w:rsidRPr="0066050F">
        <w:rPr>
          <w:rFonts w:cs="Times New Roman"/>
          <w:i/>
          <w:sz w:val="24"/>
          <w:szCs w:val="24"/>
        </w:rPr>
        <w:t>(b)</w:t>
      </w:r>
      <w:r w:rsidR="005B1925" w:rsidRPr="0066050F">
        <w:rPr>
          <w:rFonts w:cs="Times New Roman"/>
          <w:sz w:val="24"/>
          <w:szCs w:val="24"/>
        </w:rPr>
        <w:t xml:space="preserve"> of the definition of “</w:t>
      </w:r>
      <w:r w:rsidR="0066050F" w:rsidRPr="0066050F">
        <w:rPr>
          <w:rFonts w:cs="Times New Roman"/>
          <w:sz w:val="24"/>
          <w:szCs w:val="24"/>
        </w:rPr>
        <w:t xml:space="preserve">prohibited </w:t>
      </w:r>
      <w:r w:rsidR="005B1925" w:rsidRPr="0066050F">
        <w:rPr>
          <w:rFonts w:cs="Times New Roman"/>
          <w:sz w:val="24"/>
          <w:szCs w:val="24"/>
        </w:rPr>
        <w:t>grounds” is established; and</w:t>
      </w:r>
    </w:p>
    <w:p w14:paraId="78FD2274" w14:textId="77777777" w:rsidR="005B1925" w:rsidRPr="00073275" w:rsidRDefault="0066050F" w:rsidP="0066050F">
      <w:pPr>
        <w:pStyle w:val="ListParagraph"/>
        <w:spacing w:after="0" w:line="360" w:lineRule="auto"/>
        <w:ind w:firstLine="720"/>
        <w:jc w:val="both"/>
        <w:rPr>
          <w:rFonts w:cs="Times New Roman"/>
          <w:sz w:val="28"/>
          <w:szCs w:val="28"/>
        </w:rPr>
      </w:pPr>
      <w:r w:rsidRPr="0066050F">
        <w:rPr>
          <w:rFonts w:cs="Times New Roman"/>
          <w:sz w:val="24"/>
          <w:szCs w:val="24"/>
        </w:rPr>
        <w:t xml:space="preserve">(ii) </w:t>
      </w:r>
      <w:r w:rsidR="005B1925" w:rsidRPr="0066050F">
        <w:rPr>
          <w:rFonts w:cs="Times New Roman"/>
          <w:sz w:val="24"/>
          <w:szCs w:val="24"/>
        </w:rPr>
        <w:t>unless the respondent proves that the discrimination is fair.</w:t>
      </w:r>
      <w:r w:rsidRPr="0066050F">
        <w:rPr>
          <w:rFonts w:cs="Times New Roman"/>
          <w:sz w:val="24"/>
          <w:szCs w:val="24"/>
        </w:rPr>
        <w:t>’</w:t>
      </w:r>
    </w:p>
    <w:p w14:paraId="221FBC45" w14:textId="77777777" w:rsidR="00073275" w:rsidRPr="00073275" w:rsidRDefault="00073275" w:rsidP="0000307A">
      <w:pPr>
        <w:pStyle w:val="ListParagraph"/>
        <w:spacing w:after="0" w:line="360" w:lineRule="auto"/>
        <w:ind w:left="0"/>
        <w:jc w:val="both"/>
        <w:rPr>
          <w:rFonts w:cs="Times New Roman"/>
          <w:sz w:val="28"/>
          <w:szCs w:val="28"/>
        </w:rPr>
      </w:pPr>
    </w:p>
    <w:p w14:paraId="36866DEC" w14:textId="25BCABCC" w:rsidR="0000307A" w:rsidRDefault="0000307A"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lastRenderedPageBreak/>
        <w:t xml:space="preserve">Section 14(2) provides that </w:t>
      </w:r>
      <w:r w:rsidR="00DE1AA4">
        <w:rPr>
          <w:rFonts w:cs="Times New Roman"/>
          <w:sz w:val="28"/>
          <w:szCs w:val="28"/>
        </w:rPr>
        <w:t>in deciding whether a</w:t>
      </w:r>
      <w:r>
        <w:rPr>
          <w:rFonts w:cs="Times New Roman"/>
          <w:sz w:val="28"/>
          <w:szCs w:val="28"/>
        </w:rPr>
        <w:t xml:space="preserve"> respondent has proved that the discrimination is fair, </w:t>
      </w:r>
      <w:r w:rsidR="004D7F0A">
        <w:rPr>
          <w:rFonts w:cs="Times New Roman"/>
          <w:sz w:val="28"/>
          <w:szCs w:val="28"/>
        </w:rPr>
        <w:t xml:space="preserve">the </w:t>
      </w:r>
      <w:r>
        <w:rPr>
          <w:rFonts w:cs="Times New Roman"/>
          <w:sz w:val="28"/>
          <w:szCs w:val="28"/>
        </w:rPr>
        <w:t>context and the factors referred to in subsec</w:t>
      </w:r>
      <w:r w:rsidR="0034079F">
        <w:rPr>
          <w:rFonts w:cs="Times New Roman"/>
          <w:sz w:val="28"/>
          <w:szCs w:val="28"/>
        </w:rPr>
        <w:t>tion </w:t>
      </w:r>
      <w:r>
        <w:rPr>
          <w:rFonts w:cs="Times New Roman"/>
          <w:sz w:val="28"/>
          <w:szCs w:val="28"/>
        </w:rPr>
        <w:t>(3)</w:t>
      </w:r>
      <w:r w:rsidR="004D7F0A">
        <w:rPr>
          <w:rFonts w:cs="Times New Roman"/>
          <w:sz w:val="28"/>
          <w:szCs w:val="28"/>
        </w:rPr>
        <w:t xml:space="preserve"> must be taken into account</w:t>
      </w:r>
      <w:r>
        <w:rPr>
          <w:rFonts w:cs="Times New Roman"/>
          <w:sz w:val="28"/>
          <w:szCs w:val="28"/>
        </w:rPr>
        <w:t>.</w:t>
      </w:r>
      <w:r w:rsidR="00DE1AA4">
        <w:rPr>
          <w:rFonts w:cs="Times New Roman"/>
          <w:sz w:val="28"/>
          <w:szCs w:val="28"/>
        </w:rPr>
        <w:t xml:space="preserve"> T</w:t>
      </w:r>
      <w:r>
        <w:rPr>
          <w:rFonts w:cs="Times New Roman"/>
          <w:sz w:val="28"/>
          <w:szCs w:val="28"/>
        </w:rPr>
        <w:t xml:space="preserve">hese factors include the following: </w:t>
      </w:r>
    </w:p>
    <w:p w14:paraId="5E33BBD1" w14:textId="77777777" w:rsidR="0000307A" w:rsidRPr="00FC479E" w:rsidRDefault="00DE1AA4" w:rsidP="0000307A">
      <w:pPr>
        <w:pStyle w:val="ListParagraph"/>
        <w:spacing w:after="0" w:line="360" w:lineRule="auto"/>
        <w:ind w:left="0"/>
        <w:jc w:val="both"/>
        <w:rPr>
          <w:rFonts w:cs="Times New Roman"/>
          <w:sz w:val="24"/>
          <w:szCs w:val="24"/>
        </w:rPr>
      </w:pPr>
      <w:r w:rsidRPr="00FC479E">
        <w:rPr>
          <w:rFonts w:cs="Times New Roman"/>
          <w:sz w:val="24"/>
          <w:szCs w:val="24"/>
        </w:rPr>
        <w:t>‘</w:t>
      </w:r>
      <w:r w:rsidRPr="00FC479E">
        <w:rPr>
          <w:rFonts w:cs="Times New Roman"/>
          <w:i/>
          <w:sz w:val="24"/>
          <w:szCs w:val="24"/>
        </w:rPr>
        <w:t>(a)</w:t>
      </w:r>
      <w:r w:rsidRPr="00FC479E">
        <w:rPr>
          <w:rFonts w:cs="Times New Roman"/>
          <w:sz w:val="24"/>
          <w:szCs w:val="24"/>
        </w:rPr>
        <w:t xml:space="preserve"> </w:t>
      </w:r>
      <w:r w:rsidR="0000307A" w:rsidRPr="00FC479E">
        <w:rPr>
          <w:rFonts w:cs="Times New Roman"/>
          <w:sz w:val="24"/>
          <w:szCs w:val="24"/>
        </w:rPr>
        <w:t xml:space="preserve">whether the discrimination impairs or is likely to impair human dignity; </w:t>
      </w:r>
    </w:p>
    <w:p w14:paraId="01B92CE7" w14:textId="77777777" w:rsidR="0000307A" w:rsidRPr="00FC479E" w:rsidRDefault="0000307A" w:rsidP="0000307A">
      <w:pPr>
        <w:pStyle w:val="ListParagraph"/>
        <w:spacing w:after="0" w:line="360" w:lineRule="auto"/>
        <w:ind w:left="0"/>
        <w:jc w:val="both"/>
        <w:rPr>
          <w:rFonts w:cs="Times New Roman"/>
          <w:sz w:val="24"/>
          <w:szCs w:val="24"/>
        </w:rPr>
      </w:pPr>
      <w:r w:rsidRPr="00FC479E">
        <w:rPr>
          <w:rFonts w:cs="Times New Roman"/>
          <w:sz w:val="24"/>
          <w:szCs w:val="24"/>
        </w:rPr>
        <w:t xml:space="preserve"> </w:t>
      </w:r>
      <w:r w:rsidR="00DE1AA4" w:rsidRPr="00FC479E">
        <w:rPr>
          <w:rFonts w:cs="Times New Roman"/>
          <w:i/>
          <w:sz w:val="24"/>
          <w:szCs w:val="24"/>
        </w:rPr>
        <w:t>(b)</w:t>
      </w:r>
      <w:r w:rsidR="00DE1AA4" w:rsidRPr="00FC479E">
        <w:rPr>
          <w:rFonts w:cs="Times New Roman"/>
          <w:sz w:val="24"/>
          <w:szCs w:val="24"/>
        </w:rPr>
        <w:t xml:space="preserve"> </w:t>
      </w:r>
      <w:r w:rsidRPr="00FC479E">
        <w:rPr>
          <w:rFonts w:cs="Times New Roman"/>
          <w:sz w:val="24"/>
          <w:szCs w:val="24"/>
        </w:rPr>
        <w:t>the impact of likely</w:t>
      </w:r>
      <w:r w:rsidR="00DE1AA4" w:rsidRPr="00FC479E">
        <w:rPr>
          <w:rFonts w:cs="Times New Roman"/>
          <w:sz w:val="24"/>
          <w:szCs w:val="24"/>
        </w:rPr>
        <w:t xml:space="preserve"> impact of the discrimination on</w:t>
      </w:r>
      <w:r w:rsidRPr="00FC479E">
        <w:rPr>
          <w:rFonts w:cs="Times New Roman"/>
          <w:sz w:val="24"/>
          <w:szCs w:val="24"/>
        </w:rPr>
        <w:t xml:space="preserve"> the complainant; </w:t>
      </w:r>
    </w:p>
    <w:p w14:paraId="37FC4394" w14:textId="77777777" w:rsidR="0000307A" w:rsidRPr="00FC479E" w:rsidRDefault="0000307A" w:rsidP="0000307A">
      <w:pPr>
        <w:pStyle w:val="ListParagraph"/>
        <w:spacing w:after="0" w:line="360" w:lineRule="auto"/>
        <w:ind w:left="0"/>
        <w:jc w:val="both"/>
        <w:rPr>
          <w:rFonts w:cs="Times New Roman"/>
          <w:sz w:val="24"/>
          <w:szCs w:val="24"/>
        </w:rPr>
      </w:pPr>
      <w:r w:rsidRPr="00FC479E">
        <w:rPr>
          <w:rFonts w:cs="Times New Roman"/>
          <w:sz w:val="24"/>
          <w:szCs w:val="24"/>
        </w:rPr>
        <w:t xml:space="preserve"> </w:t>
      </w:r>
      <w:r w:rsidR="00DE1AA4" w:rsidRPr="00FC479E">
        <w:rPr>
          <w:rFonts w:cs="Times New Roman"/>
          <w:i/>
          <w:sz w:val="24"/>
          <w:szCs w:val="24"/>
        </w:rPr>
        <w:t>(c)</w:t>
      </w:r>
      <w:r w:rsidR="00DE1AA4" w:rsidRPr="00FC479E">
        <w:rPr>
          <w:rFonts w:cs="Times New Roman"/>
          <w:sz w:val="24"/>
          <w:szCs w:val="24"/>
        </w:rPr>
        <w:t xml:space="preserve"> </w:t>
      </w:r>
      <w:r w:rsidRPr="00FC479E">
        <w:rPr>
          <w:rFonts w:cs="Times New Roman"/>
          <w:sz w:val="24"/>
          <w:szCs w:val="24"/>
        </w:rPr>
        <w:t>the position of the complainant in society and whether he or she suffers from</w:t>
      </w:r>
      <w:r w:rsidR="00FC479E" w:rsidRPr="00FC479E">
        <w:rPr>
          <w:rFonts w:cs="Times New Roman"/>
          <w:sz w:val="24"/>
          <w:szCs w:val="24"/>
        </w:rPr>
        <w:t xml:space="preserve"> patterns of disadvantage</w:t>
      </w:r>
      <w:r w:rsidRPr="00FC479E">
        <w:rPr>
          <w:rFonts w:cs="Times New Roman"/>
          <w:sz w:val="24"/>
          <w:szCs w:val="24"/>
        </w:rPr>
        <w:t xml:space="preserve"> </w:t>
      </w:r>
      <w:r w:rsidR="00FC479E" w:rsidRPr="00FC479E">
        <w:rPr>
          <w:rFonts w:cs="Times New Roman"/>
          <w:sz w:val="24"/>
          <w:szCs w:val="24"/>
        </w:rPr>
        <w:t xml:space="preserve">or </w:t>
      </w:r>
      <w:r w:rsidRPr="00FC479E">
        <w:rPr>
          <w:rFonts w:cs="Times New Roman"/>
          <w:sz w:val="24"/>
          <w:szCs w:val="24"/>
        </w:rPr>
        <w:t xml:space="preserve">belongs to a group that suffers from such patterns of disadvantage; </w:t>
      </w:r>
    </w:p>
    <w:p w14:paraId="63B95E4E" w14:textId="77777777" w:rsidR="0000307A" w:rsidRDefault="00FC479E" w:rsidP="0000307A">
      <w:pPr>
        <w:pStyle w:val="ListParagraph"/>
        <w:spacing w:after="0" w:line="360" w:lineRule="auto"/>
        <w:ind w:left="0"/>
        <w:jc w:val="both"/>
        <w:rPr>
          <w:rFonts w:cs="Times New Roman"/>
          <w:sz w:val="24"/>
          <w:szCs w:val="24"/>
        </w:rPr>
      </w:pPr>
      <w:r w:rsidRPr="00FC479E">
        <w:rPr>
          <w:rFonts w:cs="Times New Roman"/>
          <w:i/>
          <w:sz w:val="24"/>
          <w:szCs w:val="24"/>
        </w:rPr>
        <w:t>(d)</w:t>
      </w:r>
      <w:r w:rsidRPr="00FC479E">
        <w:rPr>
          <w:rFonts w:cs="Times New Roman"/>
          <w:sz w:val="24"/>
          <w:szCs w:val="24"/>
        </w:rPr>
        <w:t xml:space="preserve"> </w:t>
      </w:r>
      <w:r w:rsidR="0000307A" w:rsidRPr="00FC479E">
        <w:rPr>
          <w:rFonts w:cs="Times New Roman"/>
          <w:sz w:val="24"/>
          <w:szCs w:val="24"/>
        </w:rPr>
        <w:t>the nature and extent of the discrimination;</w:t>
      </w:r>
    </w:p>
    <w:p w14:paraId="459BFB08" w14:textId="77777777" w:rsidR="0024326A" w:rsidRDefault="00225878" w:rsidP="0000307A">
      <w:pPr>
        <w:pStyle w:val="ListParagraph"/>
        <w:spacing w:after="0" w:line="360" w:lineRule="auto"/>
        <w:ind w:left="0"/>
        <w:jc w:val="both"/>
        <w:rPr>
          <w:rFonts w:cs="Times New Roman"/>
          <w:sz w:val="24"/>
          <w:szCs w:val="24"/>
        </w:rPr>
      </w:pPr>
      <w:r w:rsidRPr="00225878">
        <w:rPr>
          <w:rFonts w:cs="Times New Roman"/>
          <w:i/>
          <w:sz w:val="24"/>
          <w:szCs w:val="24"/>
        </w:rPr>
        <w:t>(e)</w:t>
      </w:r>
      <w:r>
        <w:rPr>
          <w:rFonts w:cs="Times New Roman"/>
          <w:sz w:val="24"/>
          <w:szCs w:val="24"/>
        </w:rPr>
        <w:t xml:space="preserve"> whether the discrimination is systemic in nature;</w:t>
      </w:r>
    </w:p>
    <w:p w14:paraId="5963C980" w14:textId="4BB3B501" w:rsidR="00225878" w:rsidRDefault="0024326A" w:rsidP="0000307A">
      <w:pPr>
        <w:pStyle w:val="ListParagraph"/>
        <w:spacing w:after="0" w:line="360" w:lineRule="auto"/>
        <w:ind w:left="0"/>
        <w:jc w:val="both"/>
        <w:rPr>
          <w:rFonts w:cs="Times New Roman"/>
          <w:sz w:val="24"/>
          <w:szCs w:val="24"/>
        </w:rPr>
      </w:pPr>
      <w:r>
        <w:rPr>
          <w:rFonts w:cs="Times New Roman"/>
          <w:sz w:val="24"/>
          <w:szCs w:val="24"/>
        </w:rPr>
        <w:t>. . .’</w:t>
      </w:r>
    </w:p>
    <w:p w14:paraId="6436144E" w14:textId="77777777" w:rsidR="00780434" w:rsidRDefault="00780434" w:rsidP="0000307A">
      <w:pPr>
        <w:pStyle w:val="ListParagraph"/>
        <w:spacing w:after="0" w:line="360" w:lineRule="auto"/>
        <w:ind w:left="0"/>
        <w:jc w:val="both"/>
        <w:rPr>
          <w:rFonts w:cs="Times New Roman"/>
          <w:sz w:val="28"/>
          <w:szCs w:val="28"/>
        </w:rPr>
      </w:pPr>
    </w:p>
    <w:p w14:paraId="09B5E841" w14:textId="32A81616" w:rsidR="00CE3DD0" w:rsidRDefault="00225878" w:rsidP="00C179A9">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evidence established that the display</w:t>
      </w:r>
      <w:r w:rsidR="009100B5">
        <w:rPr>
          <w:rFonts w:cs="Times New Roman"/>
          <w:sz w:val="28"/>
          <w:szCs w:val="28"/>
        </w:rPr>
        <w:t>s</w:t>
      </w:r>
      <w:r>
        <w:rPr>
          <w:rFonts w:cs="Times New Roman"/>
          <w:sz w:val="28"/>
          <w:szCs w:val="28"/>
        </w:rPr>
        <w:t xml:space="preserve"> of the old flag at the Black Monday protests propounded the racial superiority of white people and the racial inferiority of black people.</w:t>
      </w:r>
      <w:r w:rsidR="009100B5">
        <w:rPr>
          <w:rFonts w:cs="Times New Roman"/>
          <w:sz w:val="28"/>
          <w:szCs w:val="28"/>
        </w:rPr>
        <w:t xml:space="preserve"> </w:t>
      </w:r>
      <w:r w:rsidR="00CE3DD0">
        <w:rPr>
          <w:rFonts w:cs="Times New Roman"/>
          <w:sz w:val="28"/>
          <w:szCs w:val="28"/>
        </w:rPr>
        <w:t>Having regard to the factors listed in ss 14(2) and (3) of the Equality Act, t</w:t>
      </w:r>
      <w:r w:rsidR="009100B5">
        <w:rPr>
          <w:rFonts w:cs="Times New Roman"/>
          <w:sz w:val="28"/>
          <w:szCs w:val="28"/>
        </w:rPr>
        <w:t xml:space="preserve">he </w:t>
      </w:r>
      <w:r w:rsidR="00CE3DD0">
        <w:rPr>
          <w:rFonts w:cs="Times New Roman"/>
          <w:sz w:val="28"/>
          <w:szCs w:val="28"/>
        </w:rPr>
        <w:t xml:space="preserve">public </w:t>
      </w:r>
      <w:r w:rsidR="009100B5">
        <w:rPr>
          <w:rFonts w:cs="Times New Roman"/>
          <w:sz w:val="28"/>
          <w:szCs w:val="28"/>
        </w:rPr>
        <w:t xml:space="preserve">displays of the old flag </w:t>
      </w:r>
      <w:r w:rsidR="00CE3DD0">
        <w:rPr>
          <w:rFonts w:cs="Times New Roman"/>
          <w:sz w:val="28"/>
          <w:szCs w:val="28"/>
        </w:rPr>
        <w:t xml:space="preserve">at the Black Monday protests </w:t>
      </w:r>
      <w:r w:rsidR="009100B5">
        <w:rPr>
          <w:rFonts w:cs="Times New Roman"/>
          <w:sz w:val="28"/>
          <w:szCs w:val="28"/>
        </w:rPr>
        <w:t>were plainly</w:t>
      </w:r>
      <w:r w:rsidR="00733121">
        <w:rPr>
          <w:rFonts w:cs="Times New Roman"/>
          <w:sz w:val="28"/>
          <w:szCs w:val="28"/>
        </w:rPr>
        <w:t xml:space="preserve"> </w:t>
      </w:r>
      <w:r w:rsidR="00733121" w:rsidRPr="00B94265">
        <w:rPr>
          <w:rFonts w:cs="Times New Roman"/>
          <w:sz w:val="28"/>
          <w:szCs w:val="28"/>
        </w:rPr>
        <w:t>actual</w:t>
      </w:r>
      <w:r w:rsidR="009100B5" w:rsidRPr="00B94265">
        <w:rPr>
          <w:rFonts w:cs="Times New Roman"/>
          <w:sz w:val="28"/>
          <w:szCs w:val="28"/>
        </w:rPr>
        <w:t xml:space="preserve">, </w:t>
      </w:r>
      <w:r w:rsidR="00733121" w:rsidRPr="00B94265">
        <w:rPr>
          <w:rFonts w:cs="Times New Roman"/>
          <w:sz w:val="28"/>
          <w:szCs w:val="28"/>
        </w:rPr>
        <w:t xml:space="preserve">and </w:t>
      </w:r>
      <w:r w:rsidR="00BF5AA2" w:rsidRPr="00B94265">
        <w:rPr>
          <w:rFonts w:cs="Times New Roman"/>
          <w:sz w:val="28"/>
          <w:szCs w:val="28"/>
        </w:rPr>
        <w:t xml:space="preserve">not </w:t>
      </w:r>
      <w:r w:rsidR="00733121" w:rsidRPr="00B94265">
        <w:rPr>
          <w:rFonts w:cs="Times New Roman"/>
          <w:sz w:val="28"/>
          <w:szCs w:val="28"/>
        </w:rPr>
        <w:t>merely</w:t>
      </w:r>
      <w:r w:rsidR="00CE3DD0" w:rsidRPr="00B94265">
        <w:rPr>
          <w:rFonts w:cs="Times New Roman"/>
          <w:sz w:val="28"/>
          <w:szCs w:val="28"/>
        </w:rPr>
        <w:t xml:space="preserve"> </w:t>
      </w:r>
      <w:r w:rsidR="009100B5" w:rsidRPr="00B94265">
        <w:rPr>
          <w:rFonts w:cs="Times New Roman"/>
          <w:sz w:val="28"/>
          <w:szCs w:val="28"/>
        </w:rPr>
        <w:t xml:space="preserve">prima facie, proof </w:t>
      </w:r>
      <w:r w:rsidR="00CE3DD0" w:rsidRPr="00B94265">
        <w:rPr>
          <w:rFonts w:cs="Times New Roman"/>
          <w:sz w:val="28"/>
          <w:szCs w:val="28"/>
        </w:rPr>
        <w:t xml:space="preserve">of </w:t>
      </w:r>
      <w:r w:rsidRPr="00B94265">
        <w:rPr>
          <w:rFonts w:cs="Times New Roman"/>
          <w:sz w:val="28"/>
          <w:szCs w:val="28"/>
        </w:rPr>
        <w:t xml:space="preserve">racial discrimination. Afriforum </w:t>
      </w:r>
      <w:r w:rsidR="00CE3DD0" w:rsidRPr="00B94265">
        <w:rPr>
          <w:rFonts w:cs="Times New Roman"/>
          <w:sz w:val="28"/>
          <w:szCs w:val="28"/>
        </w:rPr>
        <w:t>did not challenge this evidence</w:t>
      </w:r>
      <w:r w:rsidR="0017701B">
        <w:rPr>
          <w:rFonts w:cs="Times New Roman"/>
          <w:sz w:val="28"/>
          <w:szCs w:val="28"/>
        </w:rPr>
        <w:t>;</w:t>
      </w:r>
      <w:r w:rsidR="00CE3DD0">
        <w:rPr>
          <w:rFonts w:cs="Times New Roman"/>
          <w:sz w:val="28"/>
          <w:szCs w:val="28"/>
        </w:rPr>
        <w:t xml:space="preserve"> neither did it adduce any evidence to show that the discrimination did not take place, </w:t>
      </w:r>
      <w:r w:rsidR="006D292E">
        <w:rPr>
          <w:rFonts w:cs="Times New Roman"/>
          <w:sz w:val="28"/>
          <w:szCs w:val="28"/>
        </w:rPr>
        <w:t>n</w:t>
      </w:r>
      <w:r w:rsidR="00CE3DD0">
        <w:rPr>
          <w:rFonts w:cs="Times New Roman"/>
          <w:sz w:val="28"/>
          <w:szCs w:val="28"/>
        </w:rPr>
        <w:t>or that the public</w:t>
      </w:r>
      <w:r w:rsidR="006D292E">
        <w:rPr>
          <w:rFonts w:cs="Times New Roman"/>
          <w:sz w:val="28"/>
          <w:szCs w:val="28"/>
        </w:rPr>
        <w:t xml:space="preserve"> displays of the old flag were not based on race, as required by s 13(1). </w:t>
      </w:r>
      <w:r w:rsidR="00CE3DD0">
        <w:rPr>
          <w:rFonts w:cs="Times New Roman"/>
          <w:sz w:val="28"/>
          <w:szCs w:val="28"/>
        </w:rPr>
        <w:t xml:space="preserve"> </w:t>
      </w:r>
    </w:p>
    <w:p w14:paraId="229BB904" w14:textId="77777777" w:rsidR="00CE3DD0" w:rsidRDefault="00CE3DD0" w:rsidP="00CE3DD0">
      <w:pPr>
        <w:pStyle w:val="ListParagraph"/>
        <w:spacing w:after="0" w:line="360" w:lineRule="auto"/>
        <w:ind w:left="0"/>
        <w:jc w:val="both"/>
        <w:rPr>
          <w:rFonts w:cs="Times New Roman"/>
          <w:sz w:val="28"/>
          <w:szCs w:val="28"/>
        </w:rPr>
      </w:pPr>
    </w:p>
    <w:p w14:paraId="4B159928" w14:textId="2601E7D4" w:rsidR="00173311" w:rsidRPr="00173311" w:rsidRDefault="00B7555A" w:rsidP="008B270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It follows that the gratuitous public display of the old</w:t>
      </w:r>
      <w:r w:rsidR="00780434">
        <w:rPr>
          <w:rFonts w:cs="Times New Roman"/>
          <w:sz w:val="28"/>
          <w:szCs w:val="28"/>
        </w:rPr>
        <w:t xml:space="preserve"> flag constitutes unfair </w:t>
      </w:r>
      <w:r>
        <w:rPr>
          <w:rFonts w:cs="Times New Roman"/>
          <w:sz w:val="28"/>
          <w:szCs w:val="28"/>
        </w:rPr>
        <w:t>discrimination</w:t>
      </w:r>
      <w:r w:rsidR="008B2707">
        <w:rPr>
          <w:rFonts w:cs="Times New Roman"/>
          <w:sz w:val="28"/>
          <w:szCs w:val="28"/>
        </w:rPr>
        <w:t xml:space="preserve"> </w:t>
      </w:r>
      <w:r w:rsidR="00780434">
        <w:rPr>
          <w:rFonts w:cs="Times New Roman"/>
          <w:sz w:val="28"/>
          <w:szCs w:val="28"/>
        </w:rPr>
        <w:t xml:space="preserve">based on race, </w:t>
      </w:r>
      <w:r w:rsidR="008B2707">
        <w:rPr>
          <w:rFonts w:cs="Times New Roman"/>
          <w:sz w:val="28"/>
          <w:szCs w:val="28"/>
        </w:rPr>
        <w:t>within the meaning of s 7 of the Equality Act</w:t>
      </w:r>
      <w:r>
        <w:rPr>
          <w:rFonts w:cs="Times New Roman"/>
          <w:sz w:val="28"/>
          <w:szCs w:val="28"/>
        </w:rPr>
        <w:t xml:space="preserve">. </w:t>
      </w:r>
      <w:r w:rsidR="005621A8" w:rsidRPr="00B7555A">
        <w:rPr>
          <w:sz w:val="28"/>
          <w:szCs w:val="28"/>
        </w:rPr>
        <w:t>Th</w:t>
      </w:r>
      <w:r>
        <w:rPr>
          <w:sz w:val="28"/>
          <w:szCs w:val="28"/>
        </w:rPr>
        <w:t>is</w:t>
      </w:r>
      <w:r w:rsidR="00995AD9" w:rsidRPr="00B7555A">
        <w:rPr>
          <w:sz w:val="28"/>
          <w:szCs w:val="28"/>
        </w:rPr>
        <w:t xml:space="preserve"> </w:t>
      </w:r>
      <w:r w:rsidR="00173311">
        <w:rPr>
          <w:sz w:val="28"/>
          <w:szCs w:val="28"/>
        </w:rPr>
        <w:t>interpretation</w:t>
      </w:r>
      <w:r w:rsidR="008B2707">
        <w:rPr>
          <w:sz w:val="28"/>
          <w:szCs w:val="28"/>
        </w:rPr>
        <w:t xml:space="preserve">, and that of s </w:t>
      </w:r>
      <w:r w:rsidR="00995AD9" w:rsidRPr="00B7555A">
        <w:rPr>
          <w:sz w:val="28"/>
          <w:szCs w:val="28"/>
        </w:rPr>
        <w:t>10(1)</w:t>
      </w:r>
      <w:r w:rsidR="008B2707">
        <w:rPr>
          <w:sz w:val="28"/>
          <w:szCs w:val="28"/>
        </w:rPr>
        <w:t xml:space="preserve"> referred to above, accords</w:t>
      </w:r>
      <w:r w:rsidR="005621A8" w:rsidRPr="00B7555A">
        <w:rPr>
          <w:sz w:val="28"/>
          <w:szCs w:val="28"/>
        </w:rPr>
        <w:t xml:space="preserve"> with </w:t>
      </w:r>
      <w:r w:rsidR="008B2707">
        <w:rPr>
          <w:sz w:val="28"/>
          <w:szCs w:val="28"/>
        </w:rPr>
        <w:t xml:space="preserve">the objects of the </w:t>
      </w:r>
      <w:r w:rsidR="00D04B9E" w:rsidRPr="00B7555A">
        <w:rPr>
          <w:sz w:val="28"/>
          <w:szCs w:val="28"/>
        </w:rPr>
        <w:t xml:space="preserve">Act, which include </w:t>
      </w:r>
      <w:r w:rsidR="00995AD9" w:rsidRPr="00B7555A">
        <w:rPr>
          <w:sz w:val="28"/>
          <w:szCs w:val="28"/>
        </w:rPr>
        <w:t xml:space="preserve">facilitating compliance with </w:t>
      </w:r>
      <w:r w:rsidR="001A2DF3" w:rsidRPr="00B7555A">
        <w:rPr>
          <w:sz w:val="28"/>
          <w:szCs w:val="28"/>
        </w:rPr>
        <w:t xml:space="preserve">the State’s </w:t>
      </w:r>
      <w:r w:rsidR="00995AD9" w:rsidRPr="00B7555A">
        <w:rPr>
          <w:sz w:val="28"/>
          <w:szCs w:val="28"/>
        </w:rPr>
        <w:t>treaty obligations under the ICERD and the International Covenant on Civil and Political Rights (ICCPR)</w:t>
      </w:r>
      <w:r w:rsidR="00173311">
        <w:rPr>
          <w:sz w:val="28"/>
          <w:szCs w:val="28"/>
        </w:rPr>
        <w:t xml:space="preserve">, </w:t>
      </w:r>
      <w:r w:rsidR="00AE6E7F">
        <w:rPr>
          <w:sz w:val="28"/>
          <w:szCs w:val="28"/>
        </w:rPr>
        <w:t xml:space="preserve">that are </w:t>
      </w:r>
      <w:r w:rsidR="00173311">
        <w:rPr>
          <w:sz w:val="28"/>
          <w:szCs w:val="28"/>
        </w:rPr>
        <w:t>binding on this country.</w:t>
      </w:r>
      <w:r w:rsidR="001A2DF3">
        <w:rPr>
          <w:rStyle w:val="FootnoteReference"/>
          <w:sz w:val="28"/>
          <w:szCs w:val="28"/>
        </w:rPr>
        <w:footnoteReference w:id="73"/>
      </w:r>
      <w:r w:rsidR="001A2DF3" w:rsidRPr="00B7555A">
        <w:rPr>
          <w:sz w:val="28"/>
          <w:szCs w:val="28"/>
        </w:rPr>
        <w:t xml:space="preserve"> </w:t>
      </w:r>
      <w:r w:rsidR="00173311" w:rsidRPr="00173311">
        <w:rPr>
          <w:sz w:val="28"/>
          <w:szCs w:val="28"/>
        </w:rPr>
        <w:t>South Africa ratified the ICERD on 9 January 1999, and the ICCPR on 10 December 1998.</w:t>
      </w:r>
    </w:p>
    <w:p w14:paraId="4A7A80D9" w14:textId="77777777" w:rsidR="00173311" w:rsidRPr="00173311" w:rsidRDefault="003F0CBD" w:rsidP="008B2707">
      <w:pPr>
        <w:pStyle w:val="ListParagraph"/>
        <w:numPr>
          <w:ilvl w:val="0"/>
          <w:numId w:val="19"/>
        </w:numPr>
        <w:spacing w:after="0" w:line="360" w:lineRule="auto"/>
        <w:ind w:left="0" w:firstLine="0"/>
        <w:jc w:val="both"/>
        <w:rPr>
          <w:rFonts w:cs="Times New Roman"/>
          <w:sz w:val="28"/>
          <w:szCs w:val="28"/>
        </w:rPr>
      </w:pPr>
      <w:r w:rsidRPr="008B2707">
        <w:rPr>
          <w:sz w:val="28"/>
          <w:szCs w:val="28"/>
        </w:rPr>
        <w:lastRenderedPageBreak/>
        <w:t xml:space="preserve">The ICERD obliges State Parties to </w:t>
      </w:r>
      <w:r w:rsidR="007911C3" w:rsidRPr="008B2707">
        <w:rPr>
          <w:sz w:val="28"/>
          <w:szCs w:val="28"/>
        </w:rPr>
        <w:t xml:space="preserve">take positive measures to </w:t>
      </w:r>
      <w:r w:rsidRPr="008B2707">
        <w:rPr>
          <w:sz w:val="28"/>
          <w:szCs w:val="28"/>
        </w:rPr>
        <w:t xml:space="preserve">eradicate all </w:t>
      </w:r>
      <w:r w:rsidR="0031257D" w:rsidRPr="008B2707">
        <w:rPr>
          <w:sz w:val="28"/>
          <w:szCs w:val="28"/>
        </w:rPr>
        <w:t>inciteme</w:t>
      </w:r>
      <w:r w:rsidR="000F1E1E" w:rsidRPr="008B2707">
        <w:rPr>
          <w:sz w:val="28"/>
          <w:szCs w:val="28"/>
        </w:rPr>
        <w:t>nt of</w:t>
      </w:r>
      <w:r w:rsidR="0031257D" w:rsidRPr="008B2707">
        <w:rPr>
          <w:sz w:val="28"/>
          <w:szCs w:val="28"/>
        </w:rPr>
        <w:t xml:space="preserve"> raci</w:t>
      </w:r>
      <w:r w:rsidR="006D34D2" w:rsidRPr="008B2707">
        <w:rPr>
          <w:sz w:val="28"/>
          <w:szCs w:val="28"/>
        </w:rPr>
        <w:t>al hatred</w:t>
      </w:r>
      <w:r w:rsidR="0031257D" w:rsidRPr="008B2707">
        <w:rPr>
          <w:sz w:val="28"/>
          <w:szCs w:val="28"/>
        </w:rPr>
        <w:t xml:space="preserve"> or acts of discrimination </w:t>
      </w:r>
      <w:r w:rsidR="00387BC8" w:rsidRPr="008B2707">
        <w:rPr>
          <w:sz w:val="28"/>
          <w:szCs w:val="28"/>
        </w:rPr>
        <w:t>in</w:t>
      </w:r>
      <w:r w:rsidR="006D34D2" w:rsidRPr="008B2707">
        <w:rPr>
          <w:sz w:val="28"/>
          <w:szCs w:val="28"/>
        </w:rPr>
        <w:t xml:space="preserve"> any form; and to declare all dissemination of ideas based on racial superiority, hatred, discrimination, acts of violence and incitement to such acts, offences punishable by law.</w:t>
      </w:r>
      <w:r w:rsidR="006D34D2">
        <w:rPr>
          <w:rStyle w:val="FootnoteReference"/>
          <w:sz w:val="28"/>
          <w:szCs w:val="28"/>
        </w:rPr>
        <w:footnoteReference w:id="74"/>
      </w:r>
      <w:r w:rsidR="008B2707" w:rsidRPr="008B2707">
        <w:rPr>
          <w:sz w:val="28"/>
          <w:szCs w:val="28"/>
        </w:rPr>
        <w:t xml:space="preserve"> T</w:t>
      </w:r>
      <w:r w:rsidR="006D34D2" w:rsidRPr="008B2707">
        <w:rPr>
          <w:sz w:val="28"/>
          <w:szCs w:val="28"/>
        </w:rPr>
        <w:t xml:space="preserve">he </w:t>
      </w:r>
      <w:r w:rsidR="008B2707">
        <w:rPr>
          <w:sz w:val="28"/>
          <w:szCs w:val="28"/>
        </w:rPr>
        <w:t xml:space="preserve">ICCPR prohibits </w:t>
      </w:r>
      <w:r w:rsidR="00173311">
        <w:rPr>
          <w:sz w:val="28"/>
          <w:szCs w:val="28"/>
        </w:rPr>
        <w:t>‘any advocacy’ of racial hatred ‘that constitutes incitement to discrimination’.</w:t>
      </w:r>
      <w:r w:rsidR="00173311">
        <w:rPr>
          <w:rStyle w:val="FootnoteReference"/>
          <w:sz w:val="28"/>
          <w:szCs w:val="28"/>
        </w:rPr>
        <w:footnoteReference w:id="75"/>
      </w:r>
    </w:p>
    <w:p w14:paraId="58ADD41B" w14:textId="77777777" w:rsidR="00173311" w:rsidRDefault="00173311" w:rsidP="00173311">
      <w:pPr>
        <w:pStyle w:val="ListParagraph"/>
        <w:spacing w:after="0" w:line="360" w:lineRule="auto"/>
        <w:ind w:left="0"/>
        <w:jc w:val="both"/>
        <w:rPr>
          <w:rFonts w:cs="Times New Roman"/>
          <w:sz w:val="28"/>
          <w:szCs w:val="28"/>
        </w:rPr>
      </w:pPr>
    </w:p>
    <w:p w14:paraId="1FAEF065" w14:textId="77777777" w:rsidR="00173311" w:rsidRPr="004C16CA" w:rsidRDefault="004C16CA" w:rsidP="00173311">
      <w:pPr>
        <w:pStyle w:val="ListParagraph"/>
        <w:spacing w:after="0" w:line="360" w:lineRule="auto"/>
        <w:ind w:left="0"/>
        <w:jc w:val="both"/>
        <w:rPr>
          <w:rFonts w:cs="Times New Roman"/>
          <w:b/>
          <w:sz w:val="28"/>
          <w:szCs w:val="28"/>
        </w:rPr>
      </w:pPr>
      <w:r w:rsidRPr="004C16CA">
        <w:rPr>
          <w:rFonts w:cs="Times New Roman"/>
          <w:b/>
          <w:sz w:val="28"/>
          <w:szCs w:val="28"/>
        </w:rPr>
        <w:t>Section 11 of the Equality Act: harassment</w:t>
      </w:r>
    </w:p>
    <w:p w14:paraId="15490B57" w14:textId="77777777" w:rsidR="00A30C5A" w:rsidRPr="00A30C5A" w:rsidRDefault="00A30C5A" w:rsidP="008B2707">
      <w:pPr>
        <w:pStyle w:val="ListParagraph"/>
        <w:numPr>
          <w:ilvl w:val="0"/>
          <w:numId w:val="19"/>
        </w:numPr>
        <w:spacing w:after="0" w:line="360" w:lineRule="auto"/>
        <w:ind w:left="0" w:firstLine="0"/>
        <w:jc w:val="both"/>
        <w:rPr>
          <w:rFonts w:cs="Times New Roman"/>
          <w:sz w:val="28"/>
          <w:szCs w:val="28"/>
        </w:rPr>
      </w:pPr>
      <w:r>
        <w:rPr>
          <w:sz w:val="28"/>
          <w:szCs w:val="28"/>
        </w:rPr>
        <w:t>Section 11 of the</w:t>
      </w:r>
      <w:r w:rsidR="00AA6654">
        <w:rPr>
          <w:sz w:val="28"/>
          <w:szCs w:val="28"/>
        </w:rPr>
        <w:t xml:space="preserve"> Equality</w:t>
      </w:r>
      <w:r>
        <w:rPr>
          <w:sz w:val="28"/>
          <w:szCs w:val="28"/>
        </w:rPr>
        <w:t xml:space="preserve"> Act states: </w:t>
      </w:r>
    </w:p>
    <w:p w14:paraId="2E44C85F" w14:textId="77777777" w:rsidR="00A30C5A" w:rsidRPr="00A30C5A" w:rsidRDefault="00A30C5A" w:rsidP="00A30C5A">
      <w:pPr>
        <w:pStyle w:val="ListParagraph"/>
        <w:spacing w:after="0" w:line="360" w:lineRule="auto"/>
        <w:ind w:left="0"/>
        <w:jc w:val="both"/>
        <w:rPr>
          <w:rFonts w:cs="Times New Roman"/>
          <w:sz w:val="24"/>
          <w:szCs w:val="24"/>
        </w:rPr>
      </w:pPr>
      <w:r w:rsidRPr="00A30C5A">
        <w:rPr>
          <w:sz w:val="24"/>
          <w:szCs w:val="24"/>
        </w:rPr>
        <w:t>‘No person may subject any person to harassment.’</w:t>
      </w:r>
    </w:p>
    <w:p w14:paraId="1FC7AE18" w14:textId="77777777" w:rsidR="00A30C5A" w:rsidRDefault="00AA6654" w:rsidP="00A30C5A">
      <w:pPr>
        <w:pStyle w:val="ListParagraph"/>
        <w:spacing w:after="0" w:line="360" w:lineRule="auto"/>
        <w:ind w:left="0"/>
        <w:jc w:val="both"/>
        <w:rPr>
          <w:rFonts w:cs="Times New Roman"/>
          <w:sz w:val="28"/>
          <w:szCs w:val="28"/>
        </w:rPr>
      </w:pPr>
      <w:r>
        <w:rPr>
          <w:rFonts w:cs="Times New Roman"/>
          <w:sz w:val="28"/>
          <w:szCs w:val="28"/>
        </w:rPr>
        <w:t>The Act defines ‘harassment’ as,</w:t>
      </w:r>
    </w:p>
    <w:p w14:paraId="4A6E906E" w14:textId="77777777" w:rsidR="00AA6654" w:rsidRPr="00AA6654" w:rsidRDefault="00AA6654" w:rsidP="00A30C5A">
      <w:pPr>
        <w:pStyle w:val="ListParagraph"/>
        <w:spacing w:after="0" w:line="360" w:lineRule="auto"/>
        <w:ind w:left="0"/>
        <w:jc w:val="both"/>
        <w:rPr>
          <w:rFonts w:cs="Times New Roman"/>
          <w:sz w:val="24"/>
          <w:szCs w:val="24"/>
        </w:rPr>
      </w:pPr>
      <w:r w:rsidRPr="00AA6654">
        <w:rPr>
          <w:rFonts w:cs="Times New Roman"/>
          <w:sz w:val="24"/>
          <w:szCs w:val="24"/>
        </w:rPr>
        <w:t>‘unwanted conduct which is persistent or serious and demeans, humiliates or creates a hostile and intimidating environment or is calculated to induce submission by actual or threatened adverse consequences and which is related to-</w:t>
      </w:r>
    </w:p>
    <w:p w14:paraId="0EA7B144" w14:textId="77777777" w:rsidR="00AA6654" w:rsidRPr="00AA6654" w:rsidRDefault="00AA6654" w:rsidP="00A30C5A">
      <w:pPr>
        <w:pStyle w:val="ListParagraph"/>
        <w:spacing w:after="0" w:line="360" w:lineRule="auto"/>
        <w:ind w:left="0"/>
        <w:jc w:val="both"/>
        <w:rPr>
          <w:rFonts w:cs="Times New Roman"/>
          <w:sz w:val="24"/>
          <w:szCs w:val="24"/>
        </w:rPr>
      </w:pPr>
      <w:r w:rsidRPr="00AA6654">
        <w:rPr>
          <w:rFonts w:cs="Times New Roman"/>
          <w:i/>
          <w:sz w:val="24"/>
          <w:szCs w:val="24"/>
        </w:rPr>
        <w:t>(a)</w:t>
      </w:r>
      <w:r w:rsidRPr="00AA6654">
        <w:rPr>
          <w:rFonts w:cs="Times New Roman"/>
          <w:sz w:val="24"/>
          <w:szCs w:val="24"/>
        </w:rPr>
        <w:t xml:space="preserve"> sex, gender or sexual orientation;</w:t>
      </w:r>
    </w:p>
    <w:p w14:paraId="5248475B" w14:textId="77777777" w:rsidR="00AA6654" w:rsidRDefault="00AA6654" w:rsidP="00A30C5A">
      <w:pPr>
        <w:pStyle w:val="ListParagraph"/>
        <w:spacing w:after="0" w:line="360" w:lineRule="auto"/>
        <w:ind w:left="0"/>
        <w:jc w:val="both"/>
        <w:rPr>
          <w:rFonts w:cs="Times New Roman"/>
          <w:sz w:val="28"/>
          <w:szCs w:val="28"/>
        </w:rPr>
      </w:pPr>
      <w:r w:rsidRPr="00AA6654">
        <w:rPr>
          <w:rFonts w:cs="Times New Roman"/>
          <w:i/>
          <w:sz w:val="24"/>
          <w:szCs w:val="24"/>
        </w:rPr>
        <w:t>(b)</w:t>
      </w:r>
      <w:r w:rsidRPr="00AA6654">
        <w:rPr>
          <w:rFonts w:cs="Times New Roman"/>
          <w:sz w:val="24"/>
          <w:szCs w:val="24"/>
        </w:rPr>
        <w:t xml:space="preserve"> a person’s membership or presumed membership of a group identified by one or more of the prohibited grounds or a characteristic associated with such group;’</w:t>
      </w:r>
    </w:p>
    <w:p w14:paraId="39E65D1A" w14:textId="77777777" w:rsidR="00AA6654" w:rsidRPr="00A30C5A" w:rsidRDefault="00AA6654" w:rsidP="00A30C5A">
      <w:pPr>
        <w:pStyle w:val="ListParagraph"/>
        <w:spacing w:after="0" w:line="360" w:lineRule="auto"/>
        <w:ind w:left="0"/>
        <w:jc w:val="both"/>
        <w:rPr>
          <w:rFonts w:cs="Times New Roman"/>
          <w:sz w:val="28"/>
          <w:szCs w:val="28"/>
        </w:rPr>
      </w:pPr>
    </w:p>
    <w:p w14:paraId="5928DD84" w14:textId="20DE0763" w:rsidR="00505304" w:rsidRDefault="00C161AF" w:rsidP="000B5AC2">
      <w:pPr>
        <w:pStyle w:val="ListParagraph"/>
        <w:numPr>
          <w:ilvl w:val="0"/>
          <w:numId w:val="19"/>
        </w:numPr>
        <w:spacing w:after="0" w:line="360" w:lineRule="auto"/>
        <w:ind w:left="0" w:firstLine="0"/>
        <w:jc w:val="both"/>
        <w:rPr>
          <w:rFonts w:cs="Times New Roman"/>
          <w:sz w:val="28"/>
          <w:szCs w:val="28"/>
        </w:rPr>
      </w:pPr>
      <w:r w:rsidRPr="00B411B7">
        <w:rPr>
          <w:rFonts w:cs="Times New Roman"/>
          <w:sz w:val="28"/>
          <w:szCs w:val="28"/>
        </w:rPr>
        <w:t xml:space="preserve">The high court </w:t>
      </w:r>
      <w:r w:rsidR="00505304" w:rsidRPr="00B411B7">
        <w:rPr>
          <w:rFonts w:cs="Times New Roman"/>
          <w:sz w:val="28"/>
          <w:szCs w:val="28"/>
        </w:rPr>
        <w:t>correctly concluded that Afriforum’s argument that the display of the flag did not constitute harassment because it did not amount to torment that was persist</w:t>
      </w:r>
      <w:r w:rsidR="00D96C02" w:rsidRPr="00B411B7">
        <w:rPr>
          <w:rFonts w:cs="Times New Roman"/>
          <w:sz w:val="28"/>
          <w:szCs w:val="28"/>
        </w:rPr>
        <w:t>ent and repetitive, was unsound.</w:t>
      </w:r>
      <w:r w:rsidR="00505304" w:rsidRPr="00B411B7">
        <w:rPr>
          <w:rFonts w:cs="Times New Roman"/>
          <w:sz w:val="28"/>
          <w:szCs w:val="28"/>
        </w:rPr>
        <w:t xml:space="preserve"> In the light of the evidence that any gratuitous </w:t>
      </w:r>
      <w:r w:rsidR="004653CC" w:rsidRPr="00B411B7">
        <w:rPr>
          <w:rFonts w:cs="Times New Roman"/>
          <w:sz w:val="28"/>
          <w:szCs w:val="28"/>
        </w:rPr>
        <w:t xml:space="preserve">public </w:t>
      </w:r>
      <w:r w:rsidR="00505304" w:rsidRPr="00B411B7">
        <w:rPr>
          <w:rFonts w:cs="Times New Roman"/>
          <w:sz w:val="28"/>
          <w:szCs w:val="28"/>
        </w:rPr>
        <w:t xml:space="preserve">display of the old flag seriously demeans, humiliates and creates a hostile and intimidating environment for victims of </w:t>
      </w:r>
      <w:r w:rsidR="00505304" w:rsidRPr="00B411B7">
        <w:rPr>
          <w:rFonts w:cs="Times New Roman"/>
          <w:sz w:val="28"/>
          <w:szCs w:val="28"/>
        </w:rPr>
        <w:lastRenderedPageBreak/>
        <w:t>apartheid, particularly black people, the</w:t>
      </w:r>
      <w:r w:rsidR="007C5361" w:rsidRPr="00B411B7">
        <w:rPr>
          <w:rFonts w:cs="Times New Roman"/>
          <w:sz w:val="28"/>
          <w:szCs w:val="28"/>
        </w:rPr>
        <w:t xml:space="preserve"> finding that such a display constitutes harassment</w:t>
      </w:r>
      <w:r w:rsidR="00780434" w:rsidRPr="00B411B7">
        <w:rPr>
          <w:rFonts w:cs="Times New Roman"/>
          <w:sz w:val="28"/>
          <w:szCs w:val="28"/>
        </w:rPr>
        <w:t xml:space="preserve"> under s 11</w:t>
      </w:r>
      <w:r w:rsidR="007C5361" w:rsidRPr="00B411B7">
        <w:rPr>
          <w:rFonts w:cs="Times New Roman"/>
          <w:sz w:val="28"/>
          <w:szCs w:val="28"/>
        </w:rPr>
        <w:t xml:space="preserve">, cannot be faulted. </w:t>
      </w:r>
    </w:p>
    <w:p w14:paraId="00CE3530" w14:textId="77777777" w:rsidR="00B411B7" w:rsidRPr="00B411B7" w:rsidRDefault="00B411B7" w:rsidP="00B411B7">
      <w:pPr>
        <w:pStyle w:val="ListParagraph"/>
        <w:spacing w:after="0" w:line="360" w:lineRule="auto"/>
        <w:ind w:left="0"/>
        <w:jc w:val="both"/>
        <w:rPr>
          <w:rFonts w:cs="Times New Roman"/>
          <w:sz w:val="28"/>
          <w:szCs w:val="28"/>
        </w:rPr>
      </w:pPr>
    </w:p>
    <w:p w14:paraId="0FC6FC7A" w14:textId="6B06717F" w:rsidR="008617D0" w:rsidRPr="0073206F" w:rsidRDefault="00C161AF" w:rsidP="008617D0">
      <w:pPr>
        <w:pStyle w:val="ListParagraph"/>
        <w:numPr>
          <w:ilvl w:val="0"/>
          <w:numId w:val="19"/>
        </w:numPr>
        <w:spacing w:after="0" w:line="360" w:lineRule="auto"/>
        <w:ind w:left="0" w:firstLine="0"/>
        <w:jc w:val="both"/>
        <w:rPr>
          <w:rFonts w:cs="Times New Roman"/>
          <w:sz w:val="28"/>
          <w:szCs w:val="28"/>
        </w:rPr>
      </w:pPr>
      <w:r>
        <w:rPr>
          <w:sz w:val="28"/>
          <w:szCs w:val="28"/>
        </w:rPr>
        <w:t xml:space="preserve">Before us, </w:t>
      </w:r>
      <w:r w:rsidR="00304754">
        <w:rPr>
          <w:sz w:val="28"/>
          <w:szCs w:val="28"/>
        </w:rPr>
        <w:t xml:space="preserve">Afriforum </w:t>
      </w:r>
      <w:r w:rsidR="007C5361">
        <w:rPr>
          <w:sz w:val="28"/>
          <w:szCs w:val="28"/>
        </w:rPr>
        <w:t xml:space="preserve">conceded that a display of the old flag </w:t>
      </w:r>
      <w:r w:rsidR="00304754">
        <w:rPr>
          <w:sz w:val="28"/>
          <w:szCs w:val="28"/>
        </w:rPr>
        <w:t xml:space="preserve">could be used to harass a person, but argued that </w:t>
      </w:r>
      <w:r w:rsidR="007C5361">
        <w:rPr>
          <w:sz w:val="28"/>
          <w:szCs w:val="28"/>
        </w:rPr>
        <w:t xml:space="preserve">not all </w:t>
      </w:r>
      <w:r w:rsidR="00304754">
        <w:rPr>
          <w:sz w:val="28"/>
          <w:szCs w:val="28"/>
        </w:rPr>
        <w:t xml:space="preserve">displays envisaged in the high court’s order would constitute harassment. It cited </w:t>
      </w:r>
      <w:r w:rsidR="007C5361">
        <w:rPr>
          <w:sz w:val="28"/>
          <w:szCs w:val="28"/>
        </w:rPr>
        <w:t xml:space="preserve">the </w:t>
      </w:r>
      <w:r w:rsidR="00304754">
        <w:rPr>
          <w:sz w:val="28"/>
          <w:szCs w:val="28"/>
        </w:rPr>
        <w:t xml:space="preserve">private display of the flag, which is not aimed at any person, as an example of this. In cases where all those </w:t>
      </w:r>
      <w:r w:rsidR="00B15A5F">
        <w:rPr>
          <w:sz w:val="28"/>
          <w:szCs w:val="28"/>
        </w:rPr>
        <w:t xml:space="preserve">witnessing the display are </w:t>
      </w:r>
      <w:r w:rsidR="00304754">
        <w:rPr>
          <w:sz w:val="28"/>
          <w:szCs w:val="28"/>
        </w:rPr>
        <w:t xml:space="preserve">willing participants, </w:t>
      </w:r>
      <w:r w:rsidR="00780434">
        <w:rPr>
          <w:sz w:val="28"/>
          <w:szCs w:val="28"/>
        </w:rPr>
        <w:t xml:space="preserve">so it was argued, </w:t>
      </w:r>
      <w:r w:rsidR="00304754">
        <w:rPr>
          <w:sz w:val="28"/>
          <w:szCs w:val="28"/>
        </w:rPr>
        <w:t xml:space="preserve">they would also not be subject to unwanted conduct and none of them </w:t>
      </w:r>
      <w:r>
        <w:rPr>
          <w:sz w:val="28"/>
          <w:szCs w:val="28"/>
        </w:rPr>
        <w:t xml:space="preserve">would have been harassed. </w:t>
      </w:r>
      <w:r w:rsidR="007C5361" w:rsidRPr="008617D0">
        <w:rPr>
          <w:sz w:val="28"/>
          <w:szCs w:val="28"/>
        </w:rPr>
        <w:t>However, Afriforum misses the point.</w:t>
      </w:r>
      <w:r w:rsidR="00A23098" w:rsidRPr="008617D0">
        <w:rPr>
          <w:sz w:val="28"/>
          <w:szCs w:val="28"/>
        </w:rPr>
        <w:t xml:space="preserve"> </w:t>
      </w:r>
      <w:r w:rsidR="00FF7B69">
        <w:rPr>
          <w:sz w:val="28"/>
          <w:szCs w:val="28"/>
        </w:rPr>
        <w:t>It is t</w:t>
      </w:r>
      <w:r w:rsidR="00A23098" w:rsidRPr="008617D0">
        <w:rPr>
          <w:sz w:val="28"/>
          <w:szCs w:val="28"/>
        </w:rPr>
        <w:t xml:space="preserve">he gratuitous public display of the old flag </w:t>
      </w:r>
      <w:r w:rsidR="00FF7B69">
        <w:rPr>
          <w:sz w:val="28"/>
          <w:szCs w:val="28"/>
        </w:rPr>
        <w:t xml:space="preserve">that </w:t>
      </w:r>
      <w:r w:rsidR="00A23098" w:rsidRPr="008617D0">
        <w:rPr>
          <w:sz w:val="28"/>
          <w:szCs w:val="28"/>
        </w:rPr>
        <w:t xml:space="preserve">constitutes harassment as defined in the Equality Act. </w:t>
      </w:r>
      <w:r w:rsidR="00530A8D" w:rsidRPr="008617D0">
        <w:rPr>
          <w:sz w:val="28"/>
          <w:szCs w:val="28"/>
        </w:rPr>
        <w:t xml:space="preserve">It cannot be suggested that those who witness the display of the old flag in the privacy of a home, are </w:t>
      </w:r>
      <w:r w:rsidR="00B15A5F">
        <w:rPr>
          <w:sz w:val="28"/>
          <w:szCs w:val="28"/>
        </w:rPr>
        <w:t xml:space="preserve">all </w:t>
      </w:r>
      <w:r w:rsidR="00530A8D" w:rsidRPr="008617D0">
        <w:rPr>
          <w:sz w:val="28"/>
          <w:szCs w:val="28"/>
        </w:rPr>
        <w:t>‘willing participants’. They may or may not subscribe to the racist ideology that the old flag represents</w:t>
      </w:r>
      <w:r w:rsidR="008617D0" w:rsidRPr="008617D0">
        <w:rPr>
          <w:sz w:val="28"/>
          <w:szCs w:val="28"/>
        </w:rPr>
        <w:t>.</w:t>
      </w:r>
    </w:p>
    <w:p w14:paraId="664E6EF8" w14:textId="77777777" w:rsidR="0073206F" w:rsidRPr="00FF7B69" w:rsidRDefault="0073206F" w:rsidP="0073206F">
      <w:pPr>
        <w:pStyle w:val="ListParagraph"/>
        <w:spacing w:after="0" w:line="360" w:lineRule="auto"/>
        <w:ind w:left="0"/>
        <w:jc w:val="both"/>
        <w:rPr>
          <w:rFonts w:cs="Times New Roman"/>
          <w:sz w:val="28"/>
          <w:szCs w:val="28"/>
        </w:rPr>
      </w:pPr>
    </w:p>
    <w:p w14:paraId="61B96375" w14:textId="41878903" w:rsidR="007A13B5" w:rsidRPr="009B660C" w:rsidRDefault="00FF7B69" w:rsidP="001E4FA2">
      <w:pPr>
        <w:pStyle w:val="ListParagraph"/>
        <w:numPr>
          <w:ilvl w:val="0"/>
          <w:numId w:val="19"/>
        </w:numPr>
        <w:spacing w:after="0" w:line="360" w:lineRule="auto"/>
        <w:ind w:left="0" w:firstLine="0"/>
        <w:jc w:val="both"/>
        <w:rPr>
          <w:rFonts w:cs="Times New Roman"/>
          <w:sz w:val="28"/>
          <w:szCs w:val="28"/>
        </w:rPr>
      </w:pPr>
      <w:r w:rsidRPr="009B660C">
        <w:rPr>
          <w:sz w:val="28"/>
          <w:szCs w:val="28"/>
        </w:rPr>
        <w:t xml:space="preserve">What remains is </w:t>
      </w:r>
      <w:r w:rsidR="00A8522F" w:rsidRPr="009B660C">
        <w:rPr>
          <w:sz w:val="28"/>
          <w:szCs w:val="28"/>
        </w:rPr>
        <w:t xml:space="preserve">Afriforum’s argument that private displays of the flag are protected </w:t>
      </w:r>
      <w:r w:rsidR="00BB6F6C" w:rsidRPr="009B660C">
        <w:rPr>
          <w:sz w:val="28"/>
          <w:szCs w:val="28"/>
        </w:rPr>
        <w:t xml:space="preserve">by </w:t>
      </w:r>
      <w:r w:rsidR="00A8522F" w:rsidRPr="009B660C">
        <w:rPr>
          <w:sz w:val="28"/>
          <w:szCs w:val="28"/>
        </w:rPr>
        <w:t>the right to privacy in s</w:t>
      </w:r>
      <w:r w:rsidR="009225C5" w:rsidRPr="009B660C">
        <w:rPr>
          <w:sz w:val="28"/>
          <w:szCs w:val="28"/>
        </w:rPr>
        <w:t xml:space="preserve"> </w:t>
      </w:r>
      <w:r w:rsidR="00A8522F" w:rsidRPr="009B660C">
        <w:rPr>
          <w:sz w:val="28"/>
          <w:szCs w:val="28"/>
        </w:rPr>
        <w:t>14 of the Constitution.</w:t>
      </w:r>
      <w:r w:rsidR="00A8522F">
        <w:rPr>
          <w:rStyle w:val="FootnoteReference"/>
          <w:sz w:val="28"/>
          <w:szCs w:val="28"/>
        </w:rPr>
        <w:footnoteReference w:id="76"/>
      </w:r>
      <w:r w:rsidR="00A8522F" w:rsidRPr="009B660C">
        <w:rPr>
          <w:sz w:val="28"/>
          <w:szCs w:val="28"/>
        </w:rPr>
        <w:t xml:space="preserve"> P</w:t>
      </w:r>
      <w:r w:rsidRPr="009B660C">
        <w:rPr>
          <w:sz w:val="28"/>
          <w:szCs w:val="28"/>
        </w:rPr>
        <w:t>aragraph (2) of the high court’s order</w:t>
      </w:r>
      <w:r w:rsidR="009225C5" w:rsidRPr="009B660C">
        <w:rPr>
          <w:sz w:val="28"/>
          <w:szCs w:val="28"/>
        </w:rPr>
        <w:t xml:space="preserve"> states that</w:t>
      </w:r>
      <w:r w:rsidRPr="009B660C">
        <w:rPr>
          <w:sz w:val="28"/>
          <w:szCs w:val="28"/>
        </w:rPr>
        <w:t xml:space="preserve"> ‘any’ display of the old flag constitutes hate speech, unfair discrimination and harassment. T</w:t>
      </w:r>
      <w:r w:rsidR="007A13B5" w:rsidRPr="009B660C">
        <w:rPr>
          <w:sz w:val="28"/>
          <w:szCs w:val="28"/>
        </w:rPr>
        <w:t xml:space="preserve">he court reasoned that in modern-day South Africa, there is hardly any space which is private to one race to the exclusion of another; and that displaying the old flag ‘in private spaces like homes and schools is equally unacceptably offensive and “hurtful”, as black people are invariably employed and exposed in other ways to such spaces’. </w:t>
      </w:r>
    </w:p>
    <w:p w14:paraId="07A00173" w14:textId="77777777" w:rsidR="009B660C" w:rsidRPr="009B660C" w:rsidRDefault="009B660C" w:rsidP="009B660C">
      <w:pPr>
        <w:pStyle w:val="ListParagraph"/>
        <w:spacing w:after="0" w:line="360" w:lineRule="auto"/>
        <w:ind w:left="0"/>
        <w:jc w:val="both"/>
        <w:rPr>
          <w:rFonts w:cs="Times New Roman"/>
          <w:sz w:val="28"/>
          <w:szCs w:val="28"/>
        </w:rPr>
      </w:pPr>
    </w:p>
    <w:p w14:paraId="2029596C" w14:textId="77777777" w:rsidR="00C5539C" w:rsidRPr="00C5539C" w:rsidRDefault="00DD4B25" w:rsidP="007A13B5">
      <w:pPr>
        <w:pStyle w:val="ListParagraph"/>
        <w:numPr>
          <w:ilvl w:val="0"/>
          <w:numId w:val="19"/>
        </w:numPr>
        <w:spacing w:after="0" w:line="360" w:lineRule="auto"/>
        <w:ind w:left="0" w:firstLine="0"/>
        <w:jc w:val="both"/>
        <w:rPr>
          <w:rFonts w:cs="Times New Roman"/>
          <w:sz w:val="28"/>
          <w:szCs w:val="28"/>
        </w:rPr>
      </w:pPr>
      <w:r>
        <w:rPr>
          <w:sz w:val="28"/>
          <w:szCs w:val="28"/>
        </w:rPr>
        <w:t>There can be no dispute that the gratuitous display of the old flag at a school, be it public or private, would fall foul of s</w:t>
      </w:r>
      <w:r w:rsidR="00146CC2">
        <w:rPr>
          <w:sz w:val="28"/>
          <w:szCs w:val="28"/>
        </w:rPr>
        <w:t>s</w:t>
      </w:r>
      <w:r>
        <w:rPr>
          <w:sz w:val="28"/>
          <w:szCs w:val="28"/>
        </w:rPr>
        <w:t xml:space="preserve"> 10(1)</w:t>
      </w:r>
      <w:r w:rsidR="00146CC2">
        <w:rPr>
          <w:sz w:val="28"/>
          <w:szCs w:val="28"/>
        </w:rPr>
        <w:t xml:space="preserve">, </w:t>
      </w:r>
      <w:r>
        <w:rPr>
          <w:sz w:val="28"/>
          <w:szCs w:val="28"/>
        </w:rPr>
        <w:t xml:space="preserve">7 and 11 of the Equality </w:t>
      </w:r>
      <w:r>
        <w:rPr>
          <w:sz w:val="28"/>
          <w:szCs w:val="28"/>
        </w:rPr>
        <w:lastRenderedPageBreak/>
        <w:t>A</w:t>
      </w:r>
      <w:r w:rsidR="00F7293E">
        <w:rPr>
          <w:sz w:val="28"/>
          <w:szCs w:val="28"/>
        </w:rPr>
        <w:t>ct: it is a public space.</w:t>
      </w:r>
      <w:r>
        <w:rPr>
          <w:sz w:val="28"/>
          <w:szCs w:val="28"/>
        </w:rPr>
        <w:t xml:space="preserve"> </w:t>
      </w:r>
      <w:r w:rsidR="009225C5">
        <w:rPr>
          <w:sz w:val="28"/>
          <w:szCs w:val="28"/>
        </w:rPr>
        <w:t xml:space="preserve">The high court however erred in </w:t>
      </w:r>
      <w:r w:rsidR="002240F9">
        <w:rPr>
          <w:sz w:val="28"/>
          <w:szCs w:val="28"/>
        </w:rPr>
        <w:t>issuing a</w:t>
      </w:r>
      <w:r w:rsidR="00103D63">
        <w:rPr>
          <w:sz w:val="28"/>
          <w:szCs w:val="28"/>
        </w:rPr>
        <w:t xml:space="preserve"> </w:t>
      </w:r>
      <w:r w:rsidR="002240F9">
        <w:rPr>
          <w:sz w:val="28"/>
          <w:szCs w:val="28"/>
        </w:rPr>
        <w:t xml:space="preserve">declaratory </w:t>
      </w:r>
      <w:r w:rsidR="00103D63">
        <w:rPr>
          <w:sz w:val="28"/>
          <w:szCs w:val="28"/>
        </w:rPr>
        <w:t xml:space="preserve">order which </w:t>
      </w:r>
      <w:r w:rsidR="00C5539C">
        <w:rPr>
          <w:sz w:val="28"/>
          <w:szCs w:val="28"/>
        </w:rPr>
        <w:t xml:space="preserve">includes </w:t>
      </w:r>
      <w:r w:rsidR="00103D63">
        <w:rPr>
          <w:sz w:val="28"/>
          <w:szCs w:val="28"/>
        </w:rPr>
        <w:t>a</w:t>
      </w:r>
      <w:r w:rsidR="00943F29">
        <w:rPr>
          <w:sz w:val="28"/>
          <w:szCs w:val="28"/>
        </w:rPr>
        <w:t>ny</w:t>
      </w:r>
      <w:r w:rsidR="00103D63">
        <w:rPr>
          <w:sz w:val="28"/>
          <w:szCs w:val="28"/>
        </w:rPr>
        <w:t xml:space="preserve"> display of the old flag within the privacy of a home,</w:t>
      </w:r>
      <w:r w:rsidR="00943F29">
        <w:rPr>
          <w:sz w:val="28"/>
          <w:szCs w:val="28"/>
        </w:rPr>
        <w:t xml:space="preserve"> as bei</w:t>
      </w:r>
      <w:r w:rsidR="00103D63">
        <w:rPr>
          <w:sz w:val="28"/>
          <w:szCs w:val="28"/>
        </w:rPr>
        <w:t xml:space="preserve">ng a contravention of the Act, </w:t>
      </w:r>
      <w:r w:rsidR="00253DE1">
        <w:rPr>
          <w:sz w:val="28"/>
          <w:szCs w:val="28"/>
        </w:rPr>
        <w:t xml:space="preserve">for two </w:t>
      </w:r>
      <w:r w:rsidR="00C5539C">
        <w:rPr>
          <w:sz w:val="28"/>
          <w:szCs w:val="28"/>
        </w:rPr>
        <w:t xml:space="preserve">reasons. First, the NMF failed to state a claim on which such relief could be granted. The </w:t>
      </w:r>
      <w:r w:rsidR="00103D63">
        <w:rPr>
          <w:sz w:val="28"/>
          <w:szCs w:val="28"/>
        </w:rPr>
        <w:t>inquiry before</w:t>
      </w:r>
      <w:r w:rsidR="00C5539C" w:rsidRPr="00C5539C">
        <w:rPr>
          <w:sz w:val="28"/>
          <w:szCs w:val="28"/>
        </w:rPr>
        <w:t xml:space="preserve"> the high court as to whether hate speech, unfair discrimination or harassment had taken place, was squar</w:t>
      </w:r>
      <w:r w:rsidR="00865BB8">
        <w:rPr>
          <w:sz w:val="28"/>
          <w:szCs w:val="28"/>
        </w:rPr>
        <w:t>ely found</w:t>
      </w:r>
      <w:r w:rsidR="00C5539C" w:rsidRPr="00C5539C">
        <w:rPr>
          <w:sz w:val="28"/>
          <w:szCs w:val="28"/>
        </w:rPr>
        <w:t xml:space="preserve">ed on gratuitous public displays of the old flag at the Black Monday protests. </w:t>
      </w:r>
      <w:r w:rsidR="00103D63">
        <w:rPr>
          <w:sz w:val="28"/>
          <w:szCs w:val="28"/>
        </w:rPr>
        <w:t>That wa</w:t>
      </w:r>
      <w:r w:rsidR="00C5539C" w:rsidRPr="00C5539C">
        <w:rPr>
          <w:sz w:val="28"/>
          <w:szCs w:val="28"/>
        </w:rPr>
        <w:t xml:space="preserve">s the </w:t>
      </w:r>
      <w:r w:rsidR="00103D63">
        <w:rPr>
          <w:sz w:val="28"/>
          <w:szCs w:val="28"/>
        </w:rPr>
        <w:t>conduct ‘</w:t>
      </w:r>
      <w:r w:rsidR="00C5539C" w:rsidRPr="00C5539C">
        <w:rPr>
          <w:sz w:val="28"/>
          <w:szCs w:val="28"/>
        </w:rPr>
        <w:t>alleged’ within the meaning of s</w:t>
      </w:r>
      <w:r w:rsidR="002C6F59">
        <w:rPr>
          <w:sz w:val="28"/>
          <w:szCs w:val="28"/>
        </w:rPr>
        <w:t xml:space="preserve"> </w:t>
      </w:r>
      <w:r w:rsidR="00C5539C" w:rsidRPr="00C5539C">
        <w:rPr>
          <w:sz w:val="28"/>
          <w:szCs w:val="28"/>
        </w:rPr>
        <w:t>21(1) of the Equality Act, and the issue the court was called upon to decide.</w:t>
      </w:r>
    </w:p>
    <w:p w14:paraId="6D583682" w14:textId="77777777" w:rsidR="00C5539C" w:rsidRPr="00C5539C" w:rsidRDefault="00C5539C" w:rsidP="00103D63">
      <w:pPr>
        <w:pStyle w:val="ListParagraph"/>
        <w:spacing w:after="0" w:line="360" w:lineRule="auto"/>
        <w:ind w:left="0"/>
        <w:jc w:val="both"/>
        <w:rPr>
          <w:rFonts w:cs="Times New Roman"/>
          <w:sz w:val="28"/>
          <w:szCs w:val="28"/>
        </w:rPr>
      </w:pPr>
    </w:p>
    <w:p w14:paraId="6C3014DB" w14:textId="77777777" w:rsidR="00943F29" w:rsidRPr="00943F29" w:rsidRDefault="00C5539C" w:rsidP="007A13B5">
      <w:pPr>
        <w:pStyle w:val="ListParagraph"/>
        <w:numPr>
          <w:ilvl w:val="0"/>
          <w:numId w:val="19"/>
        </w:numPr>
        <w:spacing w:after="0" w:line="360" w:lineRule="auto"/>
        <w:ind w:left="0" w:firstLine="0"/>
        <w:jc w:val="both"/>
        <w:rPr>
          <w:rFonts w:cs="Times New Roman"/>
          <w:sz w:val="28"/>
          <w:szCs w:val="28"/>
        </w:rPr>
      </w:pPr>
      <w:r>
        <w:rPr>
          <w:sz w:val="28"/>
          <w:szCs w:val="28"/>
        </w:rPr>
        <w:t>S</w:t>
      </w:r>
      <w:r w:rsidR="002240F9">
        <w:rPr>
          <w:sz w:val="28"/>
          <w:szCs w:val="28"/>
        </w:rPr>
        <w:t>ec</w:t>
      </w:r>
      <w:r w:rsidR="00D76E4F">
        <w:rPr>
          <w:sz w:val="28"/>
          <w:szCs w:val="28"/>
        </w:rPr>
        <w:t xml:space="preserve">ond, the issue as to whether a </w:t>
      </w:r>
      <w:r w:rsidR="002240F9">
        <w:rPr>
          <w:sz w:val="28"/>
          <w:szCs w:val="28"/>
        </w:rPr>
        <w:t xml:space="preserve">private </w:t>
      </w:r>
      <w:r w:rsidR="00103D63">
        <w:rPr>
          <w:sz w:val="28"/>
          <w:szCs w:val="28"/>
        </w:rPr>
        <w:t>display</w:t>
      </w:r>
      <w:r w:rsidR="002240F9">
        <w:rPr>
          <w:sz w:val="28"/>
          <w:szCs w:val="28"/>
        </w:rPr>
        <w:t xml:space="preserve"> of the old flag </w:t>
      </w:r>
      <w:r w:rsidR="00D76E4F">
        <w:rPr>
          <w:sz w:val="28"/>
          <w:szCs w:val="28"/>
        </w:rPr>
        <w:t>would contravene the Equality</w:t>
      </w:r>
      <w:r w:rsidR="00865BB8">
        <w:rPr>
          <w:sz w:val="28"/>
          <w:szCs w:val="28"/>
        </w:rPr>
        <w:t xml:space="preserve"> Act</w:t>
      </w:r>
      <w:r w:rsidR="00D76E4F">
        <w:rPr>
          <w:sz w:val="28"/>
          <w:szCs w:val="28"/>
        </w:rPr>
        <w:t xml:space="preserve"> </w:t>
      </w:r>
      <w:r w:rsidR="002240F9">
        <w:rPr>
          <w:sz w:val="28"/>
          <w:szCs w:val="28"/>
        </w:rPr>
        <w:t xml:space="preserve">was not </w:t>
      </w:r>
      <w:r w:rsidR="00865BB8">
        <w:rPr>
          <w:sz w:val="28"/>
          <w:szCs w:val="28"/>
        </w:rPr>
        <w:t xml:space="preserve">properly </w:t>
      </w:r>
      <w:r w:rsidR="002240F9">
        <w:rPr>
          <w:sz w:val="28"/>
          <w:szCs w:val="28"/>
        </w:rPr>
        <w:t xml:space="preserve">and </w:t>
      </w:r>
      <w:r w:rsidR="00865BB8">
        <w:rPr>
          <w:sz w:val="28"/>
          <w:szCs w:val="28"/>
        </w:rPr>
        <w:t>fully</w:t>
      </w:r>
      <w:r w:rsidR="002240F9">
        <w:rPr>
          <w:sz w:val="28"/>
          <w:szCs w:val="28"/>
        </w:rPr>
        <w:t xml:space="preserve"> argued; neither in the high court nor in this Court. It is therefore </w:t>
      </w:r>
      <w:r w:rsidR="00D76E4F">
        <w:rPr>
          <w:sz w:val="28"/>
          <w:szCs w:val="28"/>
        </w:rPr>
        <w:t>imprudent and inappropriate for</w:t>
      </w:r>
      <w:r w:rsidR="00943F29">
        <w:rPr>
          <w:sz w:val="28"/>
          <w:szCs w:val="28"/>
        </w:rPr>
        <w:t xml:space="preserve"> </w:t>
      </w:r>
      <w:r w:rsidR="00D76E4F">
        <w:rPr>
          <w:sz w:val="28"/>
          <w:szCs w:val="28"/>
        </w:rPr>
        <w:t>this Court to pronounce upon it. The issue is not fit for judicial decision in this case, and no hardship will be caused to any of the parties if its consideration is withheld, until such a complaint is lodged with the Equality Court.</w:t>
      </w:r>
      <w:r w:rsidR="00865BB8">
        <w:rPr>
          <w:sz w:val="28"/>
          <w:szCs w:val="28"/>
        </w:rPr>
        <w:t xml:space="preserve"> It follows </w:t>
      </w:r>
      <w:r w:rsidR="00D76E4F">
        <w:rPr>
          <w:sz w:val="28"/>
          <w:szCs w:val="28"/>
        </w:rPr>
        <w:t xml:space="preserve">that </w:t>
      </w:r>
      <w:r w:rsidR="002240F9">
        <w:rPr>
          <w:sz w:val="28"/>
          <w:szCs w:val="28"/>
        </w:rPr>
        <w:t xml:space="preserve">paragraph (2) of the </w:t>
      </w:r>
      <w:r w:rsidR="00865BB8">
        <w:rPr>
          <w:sz w:val="28"/>
          <w:szCs w:val="28"/>
        </w:rPr>
        <w:t xml:space="preserve">high court’s </w:t>
      </w:r>
      <w:r w:rsidR="002240F9">
        <w:rPr>
          <w:sz w:val="28"/>
          <w:szCs w:val="28"/>
        </w:rPr>
        <w:t xml:space="preserve">order </w:t>
      </w:r>
      <w:r w:rsidR="00865BB8">
        <w:rPr>
          <w:sz w:val="28"/>
          <w:szCs w:val="28"/>
        </w:rPr>
        <w:t>must be amended.</w:t>
      </w:r>
      <w:r w:rsidR="00943F29">
        <w:rPr>
          <w:sz w:val="28"/>
          <w:szCs w:val="28"/>
        </w:rPr>
        <w:t xml:space="preserve"> </w:t>
      </w:r>
    </w:p>
    <w:p w14:paraId="0B9D0AAD" w14:textId="77777777" w:rsidR="00943F29" w:rsidRPr="00943F29" w:rsidRDefault="00943F29" w:rsidP="00943F29">
      <w:pPr>
        <w:pStyle w:val="ListParagraph"/>
        <w:spacing w:after="0" w:line="360" w:lineRule="auto"/>
        <w:ind w:left="0"/>
        <w:jc w:val="both"/>
        <w:rPr>
          <w:rFonts w:cs="Times New Roman"/>
          <w:sz w:val="28"/>
          <w:szCs w:val="28"/>
        </w:rPr>
      </w:pPr>
    </w:p>
    <w:p w14:paraId="22AF3EBB" w14:textId="391D8CA9" w:rsidR="00BC341C" w:rsidRPr="00BC341C" w:rsidRDefault="00943F29" w:rsidP="007A13B5">
      <w:pPr>
        <w:pStyle w:val="ListParagraph"/>
        <w:numPr>
          <w:ilvl w:val="0"/>
          <w:numId w:val="19"/>
        </w:numPr>
        <w:spacing w:after="0" w:line="360" w:lineRule="auto"/>
        <w:ind w:left="0" w:firstLine="0"/>
        <w:jc w:val="both"/>
        <w:rPr>
          <w:rFonts w:cs="Times New Roman"/>
          <w:sz w:val="28"/>
          <w:szCs w:val="28"/>
        </w:rPr>
      </w:pPr>
      <w:r>
        <w:rPr>
          <w:sz w:val="28"/>
          <w:szCs w:val="28"/>
        </w:rPr>
        <w:t xml:space="preserve"> </w:t>
      </w:r>
      <w:r w:rsidR="00865BB8">
        <w:rPr>
          <w:sz w:val="28"/>
          <w:szCs w:val="28"/>
        </w:rPr>
        <w:t xml:space="preserve">Afriforum </w:t>
      </w:r>
      <w:r w:rsidR="00253DE1">
        <w:rPr>
          <w:sz w:val="28"/>
          <w:szCs w:val="28"/>
        </w:rPr>
        <w:t xml:space="preserve">relies on </w:t>
      </w:r>
      <w:r w:rsidR="00253DE1" w:rsidRPr="00CC404D">
        <w:rPr>
          <w:i/>
          <w:sz w:val="28"/>
          <w:szCs w:val="28"/>
        </w:rPr>
        <w:t>Qwelane</w:t>
      </w:r>
      <w:r w:rsidR="00253DE1">
        <w:rPr>
          <w:sz w:val="28"/>
          <w:szCs w:val="28"/>
        </w:rPr>
        <w:t xml:space="preserve"> for its </w:t>
      </w:r>
      <w:r w:rsidR="00146CC2">
        <w:rPr>
          <w:sz w:val="28"/>
          <w:szCs w:val="28"/>
        </w:rPr>
        <w:t>subm</w:t>
      </w:r>
      <w:r w:rsidR="00253DE1">
        <w:rPr>
          <w:sz w:val="28"/>
          <w:szCs w:val="28"/>
        </w:rPr>
        <w:t xml:space="preserve">ission </w:t>
      </w:r>
      <w:r w:rsidR="00865BB8">
        <w:rPr>
          <w:sz w:val="28"/>
          <w:szCs w:val="28"/>
        </w:rPr>
        <w:t>that the</w:t>
      </w:r>
      <w:r w:rsidR="00253DE1">
        <w:rPr>
          <w:sz w:val="28"/>
          <w:szCs w:val="28"/>
        </w:rPr>
        <w:t xml:space="preserve"> high court erred in declaring private displays of the old flag as hate speech. </w:t>
      </w:r>
      <w:r w:rsidR="00CC404D">
        <w:rPr>
          <w:sz w:val="28"/>
          <w:szCs w:val="28"/>
        </w:rPr>
        <w:t xml:space="preserve">The </w:t>
      </w:r>
      <w:r w:rsidR="00842617">
        <w:rPr>
          <w:sz w:val="28"/>
          <w:szCs w:val="28"/>
        </w:rPr>
        <w:t>Constitutional C</w:t>
      </w:r>
      <w:r w:rsidR="00CC404D">
        <w:rPr>
          <w:sz w:val="28"/>
          <w:szCs w:val="28"/>
        </w:rPr>
        <w:t xml:space="preserve">ourt </w:t>
      </w:r>
      <w:r w:rsidR="00842617">
        <w:rPr>
          <w:sz w:val="28"/>
          <w:szCs w:val="28"/>
        </w:rPr>
        <w:t>stated that the concepts</w:t>
      </w:r>
      <w:r w:rsidR="00253DE1">
        <w:rPr>
          <w:sz w:val="28"/>
          <w:szCs w:val="28"/>
        </w:rPr>
        <w:t xml:space="preserve"> to</w:t>
      </w:r>
      <w:r w:rsidR="00842617">
        <w:rPr>
          <w:sz w:val="28"/>
          <w:szCs w:val="28"/>
        </w:rPr>
        <w:t xml:space="preserve"> ‘promote’, and </w:t>
      </w:r>
      <w:r w:rsidR="00253DE1">
        <w:rPr>
          <w:sz w:val="28"/>
          <w:szCs w:val="28"/>
        </w:rPr>
        <w:t>‘</w:t>
      </w:r>
      <w:r w:rsidR="00842617">
        <w:rPr>
          <w:sz w:val="28"/>
          <w:szCs w:val="28"/>
        </w:rPr>
        <w:t>propagate</w:t>
      </w:r>
      <w:r w:rsidR="00253DE1">
        <w:rPr>
          <w:sz w:val="28"/>
          <w:szCs w:val="28"/>
        </w:rPr>
        <w:t>’</w:t>
      </w:r>
      <w:r w:rsidR="00842617">
        <w:rPr>
          <w:sz w:val="28"/>
          <w:szCs w:val="28"/>
        </w:rPr>
        <w:t xml:space="preserve"> </w:t>
      </w:r>
      <w:r w:rsidR="00CC404D">
        <w:rPr>
          <w:sz w:val="28"/>
          <w:szCs w:val="28"/>
        </w:rPr>
        <w:t xml:space="preserve">hatred </w:t>
      </w:r>
      <w:r w:rsidR="00842617">
        <w:rPr>
          <w:sz w:val="28"/>
          <w:szCs w:val="28"/>
        </w:rPr>
        <w:t>in s 10(1)</w:t>
      </w:r>
      <w:r w:rsidR="00842617" w:rsidRPr="00BB6F6C">
        <w:rPr>
          <w:i/>
          <w:sz w:val="28"/>
          <w:szCs w:val="28"/>
        </w:rPr>
        <w:t>(c)</w:t>
      </w:r>
      <w:r w:rsidR="00842617">
        <w:rPr>
          <w:sz w:val="28"/>
          <w:szCs w:val="28"/>
        </w:rPr>
        <w:t xml:space="preserve"> of the Equality Act </w:t>
      </w:r>
      <w:r w:rsidR="002E0DB2">
        <w:rPr>
          <w:sz w:val="28"/>
          <w:szCs w:val="28"/>
        </w:rPr>
        <w:t>‘d</w:t>
      </w:r>
      <w:r w:rsidR="00842617">
        <w:rPr>
          <w:sz w:val="28"/>
          <w:szCs w:val="28"/>
        </w:rPr>
        <w:t>o not fit the notion of communicating in private’</w:t>
      </w:r>
      <w:r w:rsidR="00CC404D">
        <w:rPr>
          <w:sz w:val="28"/>
          <w:szCs w:val="28"/>
        </w:rPr>
        <w:t>; and the word, ‘communicate’ in s 10(1) excludes private conversations.</w:t>
      </w:r>
      <w:r w:rsidR="00CC404D">
        <w:rPr>
          <w:rStyle w:val="FootnoteReference"/>
          <w:sz w:val="28"/>
          <w:szCs w:val="28"/>
        </w:rPr>
        <w:footnoteReference w:id="77"/>
      </w:r>
      <w:r w:rsidR="00CC404D">
        <w:rPr>
          <w:sz w:val="28"/>
          <w:szCs w:val="28"/>
        </w:rPr>
        <w:t xml:space="preserve"> </w:t>
      </w:r>
      <w:r w:rsidR="00967004">
        <w:rPr>
          <w:sz w:val="28"/>
          <w:szCs w:val="28"/>
        </w:rPr>
        <w:t xml:space="preserve">The Court went on to say that </w:t>
      </w:r>
      <w:r w:rsidR="00BC341C">
        <w:rPr>
          <w:sz w:val="28"/>
          <w:szCs w:val="28"/>
        </w:rPr>
        <w:t>our most private communications form</w:t>
      </w:r>
      <w:r w:rsidR="002E0DB2">
        <w:rPr>
          <w:sz w:val="28"/>
          <w:szCs w:val="28"/>
        </w:rPr>
        <w:t xml:space="preserve"> part of the ‘inner sanctum of the person’,</w:t>
      </w:r>
      <w:r w:rsidR="00837CA5">
        <w:rPr>
          <w:sz w:val="28"/>
          <w:szCs w:val="28"/>
        </w:rPr>
        <w:t xml:space="preserve"> which</w:t>
      </w:r>
      <w:r w:rsidR="002E0DB2">
        <w:rPr>
          <w:sz w:val="28"/>
          <w:szCs w:val="28"/>
        </w:rPr>
        <w:t xml:space="preserve"> </w:t>
      </w:r>
      <w:r w:rsidR="00BB6F6C">
        <w:rPr>
          <w:sz w:val="28"/>
          <w:szCs w:val="28"/>
        </w:rPr>
        <w:t>is</w:t>
      </w:r>
      <w:r w:rsidR="002E0DB2">
        <w:rPr>
          <w:sz w:val="28"/>
          <w:szCs w:val="28"/>
        </w:rPr>
        <w:t xml:space="preserve"> in the ‘truly personal realm’</w:t>
      </w:r>
      <w:r w:rsidR="00654C2D">
        <w:rPr>
          <w:sz w:val="28"/>
          <w:szCs w:val="28"/>
        </w:rPr>
        <w:t>,</w:t>
      </w:r>
      <w:r w:rsidR="00BC341C">
        <w:rPr>
          <w:rStyle w:val="FootnoteReference"/>
          <w:sz w:val="28"/>
          <w:szCs w:val="28"/>
        </w:rPr>
        <w:footnoteReference w:id="78"/>
      </w:r>
      <w:r w:rsidR="00837CA5">
        <w:rPr>
          <w:sz w:val="28"/>
          <w:szCs w:val="28"/>
        </w:rPr>
        <w:t xml:space="preserve"> </w:t>
      </w:r>
      <w:r w:rsidR="002E0DB2">
        <w:rPr>
          <w:sz w:val="28"/>
          <w:szCs w:val="28"/>
        </w:rPr>
        <w:t xml:space="preserve">and </w:t>
      </w:r>
      <w:r w:rsidR="00BC341C">
        <w:rPr>
          <w:sz w:val="28"/>
          <w:szCs w:val="28"/>
        </w:rPr>
        <w:t>are</w:t>
      </w:r>
      <w:r w:rsidR="00654C2D">
        <w:rPr>
          <w:sz w:val="28"/>
          <w:szCs w:val="28"/>
        </w:rPr>
        <w:t xml:space="preserve"> </w:t>
      </w:r>
      <w:r w:rsidR="002E0DB2">
        <w:rPr>
          <w:sz w:val="28"/>
          <w:szCs w:val="28"/>
        </w:rPr>
        <w:t>thus protected by the right to privacy</w:t>
      </w:r>
      <w:r w:rsidR="00837CA5">
        <w:rPr>
          <w:sz w:val="28"/>
          <w:szCs w:val="28"/>
        </w:rPr>
        <w:t xml:space="preserve">. The </w:t>
      </w:r>
      <w:r w:rsidR="002E0DB2">
        <w:rPr>
          <w:sz w:val="28"/>
          <w:szCs w:val="28"/>
        </w:rPr>
        <w:t>prohibition of hate speech should not extend to private communications.</w:t>
      </w:r>
      <w:r w:rsidR="002E0DB2">
        <w:rPr>
          <w:rStyle w:val="FootnoteReference"/>
          <w:sz w:val="28"/>
          <w:szCs w:val="28"/>
        </w:rPr>
        <w:footnoteReference w:id="79"/>
      </w:r>
      <w:r w:rsidR="002E0DB2">
        <w:rPr>
          <w:sz w:val="28"/>
          <w:szCs w:val="28"/>
        </w:rPr>
        <w:t xml:space="preserve"> </w:t>
      </w:r>
    </w:p>
    <w:p w14:paraId="38064208" w14:textId="77777777" w:rsidR="00BC341C" w:rsidRPr="00BC341C" w:rsidRDefault="00BC341C" w:rsidP="00BC341C">
      <w:pPr>
        <w:pStyle w:val="ListParagraph"/>
        <w:spacing w:after="0" w:line="360" w:lineRule="auto"/>
        <w:ind w:left="0"/>
        <w:jc w:val="both"/>
        <w:rPr>
          <w:rFonts w:cs="Times New Roman"/>
          <w:sz w:val="28"/>
          <w:szCs w:val="28"/>
        </w:rPr>
      </w:pPr>
    </w:p>
    <w:p w14:paraId="63200C4A" w14:textId="0D88A244" w:rsidR="00C5539C" w:rsidRPr="00582842" w:rsidRDefault="00257D42" w:rsidP="007A13B5">
      <w:pPr>
        <w:pStyle w:val="ListParagraph"/>
        <w:numPr>
          <w:ilvl w:val="0"/>
          <w:numId w:val="19"/>
        </w:numPr>
        <w:spacing w:after="0" w:line="360" w:lineRule="auto"/>
        <w:ind w:left="0" w:firstLine="0"/>
        <w:jc w:val="both"/>
        <w:rPr>
          <w:rFonts w:cs="Times New Roman"/>
          <w:sz w:val="28"/>
          <w:szCs w:val="28"/>
        </w:rPr>
      </w:pPr>
      <w:r>
        <w:rPr>
          <w:sz w:val="28"/>
          <w:szCs w:val="28"/>
        </w:rPr>
        <w:lastRenderedPageBreak/>
        <w:t>However, Afriforum’s reliance on t</w:t>
      </w:r>
      <w:r w:rsidR="00BC341C">
        <w:rPr>
          <w:sz w:val="28"/>
          <w:szCs w:val="28"/>
        </w:rPr>
        <w:t>hese statements by the Constitutional Court</w:t>
      </w:r>
      <w:r>
        <w:rPr>
          <w:sz w:val="28"/>
          <w:szCs w:val="28"/>
        </w:rPr>
        <w:t>,</w:t>
      </w:r>
      <w:r w:rsidR="00BC341C">
        <w:rPr>
          <w:sz w:val="28"/>
          <w:szCs w:val="28"/>
        </w:rPr>
        <w:t xml:space="preserve"> merely underscore</w:t>
      </w:r>
      <w:r>
        <w:rPr>
          <w:sz w:val="28"/>
          <w:szCs w:val="28"/>
        </w:rPr>
        <w:t>s</w:t>
      </w:r>
      <w:r w:rsidR="00BC341C">
        <w:rPr>
          <w:sz w:val="28"/>
          <w:szCs w:val="28"/>
        </w:rPr>
        <w:t xml:space="preserve"> the inappropriateness of deciding</w:t>
      </w:r>
      <w:r w:rsidR="00582842">
        <w:rPr>
          <w:sz w:val="28"/>
          <w:szCs w:val="28"/>
        </w:rPr>
        <w:t xml:space="preserve">, in the present case, </w:t>
      </w:r>
      <w:r w:rsidR="00BC341C">
        <w:rPr>
          <w:sz w:val="28"/>
          <w:szCs w:val="28"/>
        </w:rPr>
        <w:t xml:space="preserve">the question whether private displays of the old </w:t>
      </w:r>
      <w:r>
        <w:rPr>
          <w:sz w:val="28"/>
          <w:szCs w:val="28"/>
        </w:rPr>
        <w:t xml:space="preserve">flag </w:t>
      </w:r>
      <w:r w:rsidR="00BC341C">
        <w:rPr>
          <w:sz w:val="28"/>
          <w:szCs w:val="28"/>
        </w:rPr>
        <w:t>contravene the E</w:t>
      </w:r>
      <w:r>
        <w:rPr>
          <w:sz w:val="28"/>
          <w:szCs w:val="28"/>
        </w:rPr>
        <w:t>quality Act</w:t>
      </w:r>
      <w:r w:rsidR="00582842">
        <w:rPr>
          <w:sz w:val="28"/>
          <w:szCs w:val="28"/>
        </w:rPr>
        <w:t>.</w:t>
      </w:r>
      <w:r>
        <w:rPr>
          <w:sz w:val="28"/>
          <w:szCs w:val="28"/>
        </w:rPr>
        <w:t xml:space="preserve"> </w:t>
      </w:r>
      <w:r w:rsidR="005D4E19">
        <w:rPr>
          <w:sz w:val="28"/>
          <w:szCs w:val="28"/>
        </w:rPr>
        <w:t>T</w:t>
      </w:r>
      <w:r w:rsidR="00D96C02">
        <w:rPr>
          <w:sz w:val="28"/>
          <w:szCs w:val="28"/>
        </w:rPr>
        <w:t>his</w:t>
      </w:r>
      <w:r>
        <w:rPr>
          <w:sz w:val="28"/>
          <w:szCs w:val="28"/>
        </w:rPr>
        <w:t xml:space="preserve"> </w:t>
      </w:r>
      <w:r w:rsidR="00D96C02">
        <w:rPr>
          <w:sz w:val="28"/>
          <w:szCs w:val="28"/>
        </w:rPr>
        <w:t xml:space="preserve">however, </w:t>
      </w:r>
      <w:r>
        <w:rPr>
          <w:sz w:val="28"/>
          <w:szCs w:val="28"/>
        </w:rPr>
        <w:t xml:space="preserve">is </w:t>
      </w:r>
      <w:r w:rsidR="002E0DB2">
        <w:rPr>
          <w:sz w:val="28"/>
          <w:szCs w:val="28"/>
        </w:rPr>
        <w:t xml:space="preserve">not to say that </w:t>
      </w:r>
      <w:r w:rsidR="00837CA5">
        <w:rPr>
          <w:sz w:val="28"/>
          <w:szCs w:val="28"/>
        </w:rPr>
        <w:t xml:space="preserve">a </w:t>
      </w:r>
      <w:r w:rsidR="002E0DB2">
        <w:rPr>
          <w:sz w:val="28"/>
          <w:szCs w:val="28"/>
        </w:rPr>
        <w:t xml:space="preserve">private display of the old flag </w:t>
      </w:r>
      <w:r w:rsidR="008978FC">
        <w:rPr>
          <w:sz w:val="28"/>
          <w:szCs w:val="28"/>
        </w:rPr>
        <w:t>can never</w:t>
      </w:r>
      <w:r w:rsidR="002E0DB2">
        <w:rPr>
          <w:sz w:val="28"/>
          <w:szCs w:val="28"/>
        </w:rPr>
        <w:t xml:space="preserve"> </w:t>
      </w:r>
      <w:r>
        <w:rPr>
          <w:sz w:val="28"/>
          <w:szCs w:val="28"/>
        </w:rPr>
        <w:t>breach the provisions of t</w:t>
      </w:r>
      <w:r w:rsidR="00914A19">
        <w:rPr>
          <w:sz w:val="28"/>
          <w:szCs w:val="28"/>
        </w:rPr>
        <w:t xml:space="preserve">he Equality Act. It is hard to </w:t>
      </w:r>
      <w:r w:rsidR="00582842">
        <w:rPr>
          <w:sz w:val="28"/>
          <w:szCs w:val="28"/>
        </w:rPr>
        <w:t>see how</w:t>
      </w:r>
      <w:r w:rsidR="00914A19">
        <w:rPr>
          <w:sz w:val="28"/>
          <w:szCs w:val="28"/>
        </w:rPr>
        <w:t xml:space="preserve"> </w:t>
      </w:r>
      <w:r w:rsidR="00837CA5">
        <w:rPr>
          <w:sz w:val="28"/>
          <w:szCs w:val="28"/>
        </w:rPr>
        <w:t xml:space="preserve">a </w:t>
      </w:r>
      <w:r w:rsidR="00914A19">
        <w:rPr>
          <w:sz w:val="28"/>
          <w:szCs w:val="28"/>
        </w:rPr>
        <w:t xml:space="preserve">display of the old flag in the privacy of a home to which, for example, </w:t>
      </w:r>
      <w:r w:rsidR="00BE56C3">
        <w:rPr>
          <w:sz w:val="28"/>
          <w:szCs w:val="28"/>
        </w:rPr>
        <w:t xml:space="preserve">family members, </w:t>
      </w:r>
      <w:r w:rsidR="00914A19">
        <w:rPr>
          <w:sz w:val="28"/>
          <w:szCs w:val="28"/>
        </w:rPr>
        <w:t xml:space="preserve">children </w:t>
      </w:r>
      <w:r w:rsidR="00654C2D">
        <w:rPr>
          <w:sz w:val="28"/>
          <w:szCs w:val="28"/>
        </w:rPr>
        <w:t xml:space="preserve">or young people </w:t>
      </w:r>
      <w:r w:rsidR="00914A19">
        <w:rPr>
          <w:sz w:val="28"/>
          <w:szCs w:val="28"/>
        </w:rPr>
        <w:t>are invited and indoctrinated in racism and white supremacy</w:t>
      </w:r>
      <w:r w:rsidR="00004786">
        <w:rPr>
          <w:sz w:val="28"/>
          <w:szCs w:val="28"/>
        </w:rPr>
        <w:t xml:space="preserve">, would </w:t>
      </w:r>
      <w:r w:rsidR="00914A19">
        <w:rPr>
          <w:sz w:val="28"/>
          <w:szCs w:val="28"/>
        </w:rPr>
        <w:t xml:space="preserve">not </w:t>
      </w:r>
      <w:r w:rsidR="00837CA5">
        <w:rPr>
          <w:sz w:val="28"/>
          <w:szCs w:val="28"/>
        </w:rPr>
        <w:t>entitle a person to institute proceedings in</w:t>
      </w:r>
      <w:r w:rsidR="00004786">
        <w:rPr>
          <w:sz w:val="28"/>
          <w:szCs w:val="28"/>
        </w:rPr>
        <w:t xml:space="preserve"> the Equality Court</w:t>
      </w:r>
      <w:r>
        <w:rPr>
          <w:sz w:val="28"/>
          <w:szCs w:val="28"/>
        </w:rPr>
        <w:t xml:space="preserve"> for an order that there has been a breach of the Act</w:t>
      </w:r>
      <w:r w:rsidR="00004786">
        <w:rPr>
          <w:sz w:val="28"/>
          <w:szCs w:val="28"/>
        </w:rPr>
        <w:t>. But that is a case for another day.</w:t>
      </w:r>
    </w:p>
    <w:p w14:paraId="5F84557D" w14:textId="77777777" w:rsidR="00582842" w:rsidRPr="00582842" w:rsidRDefault="00582842" w:rsidP="00582842">
      <w:pPr>
        <w:pStyle w:val="ListParagraph"/>
        <w:spacing w:after="0" w:line="360" w:lineRule="auto"/>
        <w:ind w:left="0"/>
        <w:jc w:val="both"/>
        <w:rPr>
          <w:rFonts w:cs="Times New Roman"/>
          <w:sz w:val="28"/>
          <w:szCs w:val="28"/>
        </w:rPr>
      </w:pPr>
    </w:p>
    <w:p w14:paraId="72D077BF" w14:textId="77777777" w:rsidR="00582842" w:rsidRPr="00654C2D" w:rsidRDefault="00582842" w:rsidP="007A13B5">
      <w:pPr>
        <w:pStyle w:val="ListParagraph"/>
        <w:numPr>
          <w:ilvl w:val="0"/>
          <w:numId w:val="19"/>
        </w:numPr>
        <w:spacing w:after="0" w:line="360" w:lineRule="auto"/>
        <w:ind w:left="0" w:firstLine="0"/>
        <w:jc w:val="both"/>
        <w:rPr>
          <w:rFonts w:cs="Times New Roman"/>
          <w:sz w:val="28"/>
          <w:szCs w:val="28"/>
        </w:rPr>
      </w:pPr>
      <w:r>
        <w:rPr>
          <w:sz w:val="28"/>
          <w:szCs w:val="28"/>
        </w:rPr>
        <w:t>Finally, there is the question of costs.</w:t>
      </w:r>
      <w:r w:rsidR="00074E23">
        <w:rPr>
          <w:sz w:val="28"/>
          <w:szCs w:val="28"/>
        </w:rPr>
        <w:t xml:space="preserve"> In the high c</w:t>
      </w:r>
      <w:r w:rsidR="00787DCC">
        <w:rPr>
          <w:sz w:val="28"/>
          <w:szCs w:val="28"/>
        </w:rPr>
        <w:t>ourt</w:t>
      </w:r>
      <w:r w:rsidR="00074E23">
        <w:rPr>
          <w:sz w:val="28"/>
          <w:szCs w:val="28"/>
        </w:rPr>
        <w:t xml:space="preserve"> the parties agreed that there should be no costs order. </w:t>
      </w:r>
      <w:r w:rsidR="00787DCC">
        <w:rPr>
          <w:sz w:val="28"/>
          <w:szCs w:val="28"/>
        </w:rPr>
        <w:t>However, i</w:t>
      </w:r>
      <w:r w:rsidR="00074E23">
        <w:rPr>
          <w:sz w:val="28"/>
          <w:szCs w:val="28"/>
        </w:rPr>
        <w:t xml:space="preserve">n this Court Afriforum, relying on </w:t>
      </w:r>
      <w:r w:rsidR="00074E23" w:rsidRPr="00074E23">
        <w:rPr>
          <w:i/>
          <w:sz w:val="28"/>
          <w:szCs w:val="28"/>
        </w:rPr>
        <w:t>Biowatch</w:t>
      </w:r>
      <w:r w:rsidR="00074E23">
        <w:rPr>
          <w:sz w:val="28"/>
          <w:szCs w:val="28"/>
        </w:rPr>
        <w:t>,</w:t>
      </w:r>
      <w:r w:rsidR="00074E23">
        <w:rPr>
          <w:rStyle w:val="FootnoteReference"/>
          <w:sz w:val="28"/>
          <w:szCs w:val="28"/>
        </w:rPr>
        <w:footnoteReference w:id="80"/>
      </w:r>
      <w:r w:rsidR="00074E23">
        <w:rPr>
          <w:sz w:val="28"/>
          <w:szCs w:val="28"/>
        </w:rPr>
        <w:t xml:space="preserve"> submitted that it was entitled</w:t>
      </w:r>
      <w:r w:rsidR="00787DCC">
        <w:rPr>
          <w:sz w:val="28"/>
          <w:szCs w:val="28"/>
        </w:rPr>
        <w:t xml:space="preserve"> to costs if the appeal succeeded and if not, each party should pay its own costs. By reason of this stance, the NMF contended that it was entitled to costs should the appeal fail. The SAHRC </w:t>
      </w:r>
      <w:r w:rsidR="00146BD5">
        <w:rPr>
          <w:sz w:val="28"/>
          <w:szCs w:val="28"/>
        </w:rPr>
        <w:t xml:space="preserve">did not seek a costs order on appeal. There is no reason why the </w:t>
      </w:r>
      <w:r w:rsidR="00146BD5" w:rsidRPr="00146BD5">
        <w:rPr>
          <w:i/>
          <w:sz w:val="28"/>
          <w:szCs w:val="28"/>
        </w:rPr>
        <w:t>Biowatch</w:t>
      </w:r>
      <w:r w:rsidR="00146BD5">
        <w:rPr>
          <w:sz w:val="28"/>
          <w:szCs w:val="28"/>
        </w:rPr>
        <w:t xml:space="preserve"> principle should not apply: this is constitutional litigation in which Afriforum proffered defences based on the protection of fundamental rights. It is thus appropriate that there should be no costs order on appeal. </w:t>
      </w:r>
      <w:r w:rsidR="00787DCC">
        <w:rPr>
          <w:sz w:val="28"/>
          <w:szCs w:val="28"/>
        </w:rPr>
        <w:t xml:space="preserve">  </w:t>
      </w:r>
    </w:p>
    <w:p w14:paraId="428EC456" w14:textId="77777777" w:rsidR="00654C2D" w:rsidRDefault="00654C2D" w:rsidP="00654C2D">
      <w:pPr>
        <w:pStyle w:val="ListParagraph"/>
        <w:spacing w:after="0" w:line="360" w:lineRule="auto"/>
        <w:ind w:left="0"/>
        <w:jc w:val="both"/>
        <w:rPr>
          <w:rFonts w:cs="Times New Roman"/>
          <w:sz w:val="28"/>
          <w:szCs w:val="28"/>
        </w:rPr>
      </w:pPr>
    </w:p>
    <w:p w14:paraId="7A0EEB15" w14:textId="77777777" w:rsidR="00654C2D" w:rsidRPr="002D2333" w:rsidRDefault="00654C2D" w:rsidP="007A13B5">
      <w:pPr>
        <w:pStyle w:val="ListParagraph"/>
        <w:numPr>
          <w:ilvl w:val="0"/>
          <w:numId w:val="19"/>
        </w:numPr>
        <w:spacing w:after="0" w:line="360" w:lineRule="auto"/>
        <w:ind w:left="0" w:firstLine="0"/>
        <w:jc w:val="both"/>
        <w:rPr>
          <w:rFonts w:cs="Times New Roman"/>
          <w:sz w:val="28"/>
          <w:szCs w:val="28"/>
        </w:rPr>
      </w:pPr>
      <w:r>
        <w:rPr>
          <w:sz w:val="28"/>
          <w:szCs w:val="28"/>
        </w:rPr>
        <w:t>In the result, the following order is issued:</w:t>
      </w:r>
    </w:p>
    <w:p w14:paraId="295D8EA6" w14:textId="77777777" w:rsidR="002D2333" w:rsidRDefault="002D2333" w:rsidP="00061C6E">
      <w:pPr>
        <w:spacing w:before="240" w:line="360" w:lineRule="auto"/>
        <w:jc w:val="both"/>
        <w:rPr>
          <w:sz w:val="28"/>
          <w:szCs w:val="28"/>
          <w:lang w:val="en-US"/>
        </w:rPr>
      </w:pPr>
      <w:r>
        <w:rPr>
          <w:sz w:val="28"/>
          <w:szCs w:val="28"/>
          <w:lang w:val="en-US"/>
        </w:rPr>
        <w:t>1</w:t>
      </w:r>
      <w:r>
        <w:rPr>
          <w:sz w:val="28"/>
          <w:szCs w:val="28"/>
          <w:lang w:val="en-US"/>
        </w:rPr>
        <w:tab/>
        <w:t>Paragraph (2) of the order of the court below is set aside and replaced with the following order:</w:t>
      </w:r>
    </w:p>
    <w:p w14:paraId="05364043" w14:textId="77777777" w:rsidR="002D2333" w:rsidRDefault="002D2333" w:rsidP="00061C6E">
      <w:pPr>
        <w:spacing w:before="240" w:line="360" w:lineRule="auto"/>
        <w:ind w:left="720"/>
        <w:jc w:val="both"/>
        <w:rPr>
          <w:sz w:val="28"/>
          <w:szCs w:val="28"/>
          <w:lang w:val="en-US"/>
        </w:rPr>
      </w:pPr>
      <w:r>
        <w:rPr>
          <w:sz w:val="28"/>
          <w:szCs w:val="28"/>
          <w:lang w:val="en-US"/>
        </w:rPr>
        <w:t>‘In terms of section 21(2) of the Equality Act, it is declared that subject to the proviso in section 12 of the Equality Act, any gratuitous public display of the Old Flag constitutes:</w:t>
      </w:r>
    </w:p>
    <w:p w14:paraId="0D4C0889" w14:textId="77777777" w:rsidR="002D2333" w:rsidRDefault="00057E1C" w:rsidP="00061C6E">
      <w:pPr>
        <w:spacing w:before="240" w:line="360" w:lineRule="auto"/>
        <w:ind w:firstLine="720"/>
        <w:jc w:val="both"/>
        <w:rPr>
          <w:sz w:val="28"/>
          <w:szCs w:val="28"/>
          <w:lang w:val="en-US"/>
        </w:rPr>
      </w:pPr>
      <w:r>
        <w:rPr>
          <w:sz w:val="28"/>
          <w:szCs w:val="28"/>
          <w:lang w:val="en-US"/>
        </w:rPr>
        <w:lastRenderedPageBreak/>
        <w:t>(</w:t>
      </w:r>
      <w:r w:rsidR="002D2333">
        <w:rPr>
          <w:sz w:val="28"/>
          <w:szCs w:val="28"/>
          <w:lang w:val="en-US"/>
        </w:rPr>
        <w:t>a</w:t>
      </w:r>
      <w:r>
        <w:rPr>
          <w:sz w:val="28"/>
          <w:szCs w:val="28"/>
          <w:lang w:val="en-US"/>
        </w:rPr>
        <w:t>)</w:t>
      </w:r>
      <w:r w:rsidR="002D2333">
        <w:rPr>
          <w:sz w:val="28"/>
          <w:szCs w:val="28"/>
          <w:lang w:val="en-US"/>
        </w:rPr>
        <w:tab/>
        <w:t>hate speech in terms of section 10(1) of the Equality Act;</w:t>
      </w:r>
    </w:p>
    <w:p w14:paraId="38F01A1B" w14:textId="77777777" w:rsidR="002D2333" w:rsidRDefault="00057E1C" w:rsidP="00061C6E">
      <w:pPr>
        <w:spacing w:before="240" w:line="360" w:lineRule="auto"/>
        <w:ind w:left="1440" w:hanging="720"/>
        <w:jc w:val="both"/>
        <w:rPr>
          <w:sz w:val="28"/>
          <w:szCs w:val="28"/>
          <w:lang w:val="en-US"/>
        </w:rPr>
      </w:pPr>
      <w:r>
        <w:rPr>
          <w:sz w:val="28"/>
          <w:szCs w:val="28"/>
          <w:lang w:val="en-US"/>
        </w:rPr>
        <w:t>(b)</w:t>
      </w:r>
      <w:r w:rsidR="002D2333">
        <w:rPr>
          <w:sz w:val="28"/>
          <w:szCs w:val="28"/>
          <w:lang w:val="en-US"/>
        </w:rPr>
        <w:tab/>
        <w:t>unfair discrimination on the basis of race in terms of section 7 of the Equality Act;</w:t>
      </w:r>
    </w:p>
    <w:p w14:paraId="6E264955" w14:textId="7B73DDB4" w:rsidR="002D2333" w:rsidRDefault="00057E1C" w:rsidP="00061C6E">
      <w:pPr>
        <w:spacing w:before="240" w:line="360" w:lineRule="auto"/>
        <w:ind w:left="1440" w:hanging="720"/>
        <w:jc w:val="both"/>
        <w:rPr>
          <w:sz w:val="28"/>
          <w:szCs w:val="28"/>
          <w:lang w:val="en-US"/>
        </w:rPr>
      </w:pPr>
      <w:r>
        <w:rPr>
          <w:sz w:val="28"/>
          <w:szCs w:val="28"/>
          <w:lang w:val="en-US"/>
        </w:rPr>
        <w:t>(c)</w:t>
      </w:r>
      <w:r w:rsidR="002D2333">
        <w:rPr>
          <w:sz w:val="28"/>
          <w:szCs w:val="28"/>
          <w:lang w:val="en-US"/>
        </w:rPr>
        <w:tab/>
        <w:t>harassment in terms of section 11 of the Equality Act.’</w:t>
      </w:r>
    </w:p>
    <w:p w14:paraId="4DD845AD" w14:textId="77777777" w:rsidR="002D2333" w:rsidRDefault="002D2333" w:rsidP="00061C6E">
      <w:pPr>
        <w:pStyle w:val="ListParagraph"/>
        <w:spacing w:after="0" w:line="360" w:lineRule="auto"/>
        <w:ind w:left="0"/>
        <w:jc w:val="both"/>
        <w:rPr>
          <w:rFonts w:cs="Times New Roman"/>
          <w:sz w:val="28"/>
          <w:szCs w:val="28"/>
        </w:rPr>
      </w:pPr>
      <w:r>
        <w:rPr>
          <w:sz w:val="28"/>
          <w:szCs w:val="28"/>
          <w:lang w:val="en-US"/>
        </w:rPr>
        <w:t>2</w:t>
      </w:r>
      <w:r>
        <w:rPr>
          <w:sz w:val="28"/>
          <w:szCs w:val="28"/>
          <w:lang w:val="en-US"/>
        </w:rPr>
        <w:tab/>
        <w:t xml:space="preserve">Save as aforesaid, the </w:t>
      </w:r>
      <w:r w:rsidRPr="005A3D47">
        <w:rPr>
          <w:sz w:val="28"/>
          <w:szCs w:val="28"/>
          <w:lang w:val="en-US"/>
        </w:rPr>
        <w:t>appeal is dismissed. There is no order as to costs</w:t>
      </w:r>
      <w:r>
        <w:rPr>
          <w:sz w:val="28"/>
          <w:szCs w:val="28"/>
          <w:lang w:val="en-US"/>
        </w:rPr>
        <w:t xml:space="preserve"> of the appeal</w:t>
      </w:r>
      <w:r w:rsidRPr="005A3D47">
        <w:rPr>
          <w:sz w:val="28"/>
          <w:szCs w:val="28"/>
          <w:lang w:val="en-US"/>
        </w:rPr>
        <w:t>.</w:t>
      </w:r>
    </w:p>
    <w:p w14:paraId="7CF5EB2A" w14:textId="77777777" w:rsidR="002A4BF3" w:rsidRDefault="002A4BF3" w:rsidP="00C733F1">
      <w:pPr>
        <w:spacing w:after="0" w:line="360" w:lineRule="auto"/>
        <w:jc w:val="right"/>
        <w:rPr>
          <w:rFonts w:ascii="Arial" w:eastAsia="Times New Roman" w:hAnsi="Arial" w:cs="Arial"/>
          <w:sz w:val="24"/>
          <w:szCs w:val="24"/>
          <w:lang w:val="en-US" w:eastAsia="en-ZA"/>
        </w:rPr>
      </w:pPr>
    </w:p>
    <w:p w14:paraId="014BAAFD" w14:textId="6907DAD4" w:rsidR="002A4BF3" w:rsidRDefault="002A4BF3" w:rsidP="00C733F1">
      <w:pPr>
        <w:spacing w:after="0" w:line="360" w:lineRule="auto"/>
        <w:jc w:val="right"/>
        <w:rPr>
          <w:rFonts w:ascii="Arial" w:eastAsia="Times New Roman" w:hAnsi="Arial" w:cs="Arial"/>
          <w:sz w:val="24"/>
          <w:szCs w:val="24"/>
          <w:lang w:val="en-US" w:eastAsia="en-ZA"/>
        </w:rPr>
      </w:pPr>
    </w:p>
    <w:p w14:paraId="4EEB61C8" w14:textId="3CCB5DAD" w:rsidR="002A4BF3" w:rsidRDefault="002A4BF3" w:rsidP="00C733F1">
      <w:pPr>
        <w:spacing w:after="0" w:line="360" w:lineRule="auto"/>
        <w:jc w:val="right"/>
        <w:rPr>
          <w:rFonts w:ascii="Arial" w:eastAsia="Times New Roman" w:hAnsi="Arial" w:cs="Arial"/>
          <w:sz w:val="24"/>
          <w:szCs w:val="24"/>
          <w:lang w:val="en-US" w:eastAsia="en-ZA"/>
        </w:rPr>
      </w:pPr>
    </w:p>
    <w:p w14:paraId="37132680" w14:textId="033A78D8" w:rsidR="002A4BF3" w:rsidRPr="00280BF2" w:rsidRDefault="00280BF2" w:rsidP="00280BF2">
      <w:pPr>
        <w:tabs>
          <w:tab w:val="left" w:pos="1335"/>
          <w:tab w:val="left" w:pos="1875"/>
        </w:tabs>
        <w:spacing w:after="0" w:line="360" w:lineRule="auto"/>
        <w:rPr>
          <w:rFonts w:ascii="Arial" w:eastAsia="Times New Roman" w:hAnsi="Arial" w:cs="Arial"/>
          <w:b/>
          <w:sz w:val="24"/>
          <w:szCs w:val="24"/>
          <w:lang w:val="en-US" w:eastAsia="en-ZA"/>
        </w:rPr>
      </w:pPr>
      <w:r w:rsidRPr="00280BF2">
        <w:rPr>
          <w:rFonts w:ascii="Arial" w:eastAsia="Times New Roman" w:hAnsi="Arial" w:cs="Arial"/>
          <w:b/>
          <w:sz w:val="24"/>
          <w:szCs w:val="24"/>
          <w:lang w:val="en-US" w:eastAsia="en-ZA"/>
        </w:rPr>
        <w:tab/>
      </w:r>
      <w:r w:rsidRPr="00280BF2">
        <w:rPr>
          <w:rFonts w:ascii="Arial" w:eastAsia="Times New Roman" w:hAnsi="Arial" w:cs="Arial"/>
          <w:b/>
          <w:sz w:val="24"/>
          <w:szCs w:val="24"/>
          <w:lang w:val="en-US" w:eastAsia="en-ZA"/>
        </w:rPr>
        <w:tab/>
      </w:r>
    </w:p>
    <w:p w14:paraId="74B8D091" w14:textId="77777777" w:rsidR="00296845" w:rsidRPr="00970D60" w:rsidRDefault="002A4BF3" w:rsidP="00C733F1">
      <w:pPr>
        <w:spacing w:after="0" w:line="360" w:lineRule="auto"/>
        <w:jc w:val="right"/>
        <w:rPr>
          <w:rFonts w:ascii="Arial" w:eastAsia="Times New Roman" w:hAnsi="Arial" w:cs="Arial"/>
          <w:sz w:val="24"/>
          <w:szCs w:val="24"/>
          <w:lang w:val="en-US" w:eastAsia="en-ZA"/>
        </w:rPr>
      </w:pPr>
      <w:r>
        <w:rPr>
          <w:rFonts w:ascii="Arial" w:eastAsia="Times New Roman" w:hAnsi="Arial" w:cs="Arial"/>
          <w:sz w:val="24"/>
          <w:szCs w:val="24"/>
          <w:lang w:val="en-US" w:eastAsia="en-ZA"/>
        </w:rPr>
        <w:t>_______</w:t>
      </w:r>
      <w:r w:rsidR="00C733F1" w:rsidRPr="00970D60">
        <w:rPr>
          <w:rFonts w:ascii="Arial" w:eastAsia="Times New Roman" w:hAnsi="Arial" w:cs="Arial"/>
          <w:sz w:val="24"/>
          <w:szCs w:val="24"/>
          <w:lang w:val="en-US" w:eastAsia="en-ZA"/>
        </w:rPr>
        <w:t>___________</w:t>
      </w:r>
    </w:p>
    <w:p w14:paraId="7126433C" w14:textId="77777777" w:rsidR="00296845" w:rsidRPr="00970D60" w:rsidRDefault="00296845" w:rsidP="00C733F1">
      <w:pPr>
        <w:spacing w:after="0" w:line="360" w:lineRule="auto"/>
        <w:jc w:val="right"/>
        <w:rPr>
          <w:rFonts w:eastAsia="Times New Roman" w:cs="Times New Roman"/>
          <w:bCs/>
          <w:sz w:val="28"/>
          <w:szCs w:val="28"/>
          <w:lang w:val="en-US" w:eastAsia="en-ZA"/>
        </w:rPr>
      </w:pPr>
      <w:r w:rsidRPr="00970D60">
        <w:rPr>
          <w:rFonts w:eastAsia="Times New Roman" w:cs="Times New Roman"/>
          <w:bCs/>
          <w:sz w:val="28"/>
          <w:szCs w:val="28"/>
          <w:lang w:val="en-US" w:eastAsia="en-ZA"/>
        </w:rPr>
        <w:t>A SCHIPPERS</w:t>
      </w:r>
    </w:p>
    <w:p w14:paraId="63EE38AD" w14:textId="77777777" w:rsidR="00FF1C66" w:rsidRDefault="00296845" w:rsidP="00C733F1">
      <w:pPr>
        <w:spacing w:after="0" w:line="360" w:lineRule="auto"/>
        <w:jc w:val="right"/>
        <w:rPr>
          <w:rFonts w:eastAsia="Times New Roman" w:cs="Times New Roman"/>
          <w:sz w:val="28"/>
          <w:szCs w:val="28"/>
          <w:lang w:val="en-US" w:eastAsia="en-ZA"/>
        </w:rPr>
      </w:pPr>
      <w:r w:rsidRPr="00970D60">
        <w:rPr>
          <w:rFonts w:eastAsia="Times New Roman" w:cs="Times New Roman"/>
          <w:sz w:val="28"/>
          <w:szCs w:val="28"/>
          <w:lang w:val="en-US" w:eastAsia="en-ZA"/>
        </w:rPr>
        <w:t>JUDGE OF APPEAL</w:t>
      </w:r>
    </w:p>
    <w:p w14:paraId="450123A2" w14:textId="77777777" w:rsidR="00FF1C66" w:rsidRDefault="00FF1C66">
      <w:pPr>
        <w:rPr>
          <w:rFonts w:eastAsia="Times New Roman" w:cs="Times New Roman"/>
          <w:sz w:val="28"/>
          <w:szCs w:val="28"/>
          <w:lang w:val="en-US" w:eastAsia="en-ZA"/>
        </w:rPr>
      </w:pPr>
      <w:r>
        <w:rPr>
          <w:rFonts w:eastAsia="Times New Roman" w:cs="Times New Roman"/>
          <w:sz w:val="28"/>
          <w:szCs w:val="28"/>
          <w:lang w:val="en-US" w:eastAsia="en-ZA"/>
        </w:rPr>
        <w:br w:type="page"/>
      </w:r>
    </w:p>
    <w:p w14:paraId="57C0CF13" w14:textId="77777777" w:rsidR="00296845" w:rsidRPr="00970D60" w:rsidRDefault="00296845" w:rsidP="00C733F1">
      <w:pPr>
        <w:spacing w:after="0" w:line="360" w:lineRule="auto"/>
        <w:jc w:val="right"/>
        <w:rPr>
          <w:rFonts w:eastAsia="Times New Roman" w:cs="Times New Roman"/>
          <w:sz w:val="28"/>
          <w:szCs w:val="28"/>
          <w:lang w:val="en-US" w:eastAsia="en-ZA"/>
        </w:rPr>
      </w:pPr>
    </w:p>
    <w:p w14:paraId="1AD4E1D9" w14:textId="77777777" w:rsidR="00CA0DB8" w:rsidRPr="00970D60" w:rsidRDefault="008D6BB5" w:rsidP="00C90B17">
      <w:pPr>
        <w:spacing w:after="0" w:line="360" w:lineRule="auto"/>
        <w:jc w:val="both"/>
        <w:rPr>
          <w:rFonts w:eastAsia="Times New Roman" w:cs="Times New Roman"/>
          <w:sz w:val="28"/>
          <w:szCs w:val="28"/>
          <w:lang w:val="en-GB" w:eastAsia="en-ZA"/>
        </w:rPr>
      </w:pPr>
      <w:r>
        <w:rPr>
          <w:rFonts w:eastAsia="Times New Roman" w:cs="Times New Roman"/>
          <w:sz w:val="28"/>
          <w:szCs w:val="28"/>
          <w:lang w:val="en-GB" w:eastAsia="en-GB"/>
        </w:rPr>
        <w:t>A</w:t>
      </w:r>
      <w:r w:rsidR="00CA0DB8" w:rsidRPr="00970D60">
        <w:rPr>
          <w:rFonts w:eastAsia="Times New Roman" w:cs="Times New Roman"/>
          <w:sz w:val="28"/>
          <w:szCs w:val="28"/>
          <w:lang w:val="en-GB" w:eastAsia="en-GB"/>
        </w:rPr>
        <w:t>ppearances:</w:t>
      </w:r>
    </w:p>
    <w:p w14:paraId="73E9026B" w14:textId="77777777" w:rsidR="00CA0DB8" w:rsidRPr="00970D60" w:rsidRDefault="00CA0DB8" w:rsidP="00C90B17">
      <w:pPr>
        <w:spacing w:after="0" w:line="360" w:lineRule="auto"/>
        <w:jc w:val="both"/>
        <w:rPr>
          <w:rFonts w:eastAsia="Times New Roman" w:cs="Times New Roman"/>
          <w:sz w:val="28"/>
          <w:szCs w:val="28"/>
          <w:lang w:val="en-GB" w:eastAsia="en-GB"/>
        </w:rPr>
      </w:pPr>
    </w:p>
    <w:p w14:paraId="4D0EB2BD" w14:textId="77777777"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4F6FA5">
        <w:rPr>
          <w:rFonts w:eastAsia="Times New Roman" w:cs="Times New Roman"/>
          <w:sz w:val="28"/>
          <w:szCs w:val="28"/>
          <w:lang w:val="en-GB" w:eastAsia="en-GB"/>
        </w:rPr>
        <w:t xml:space="preserve"> </w:t>
      </w:r>
      <w:r w:rsidR="003432BA" w:rsidRPr="00970D60">
        <w:rPr>
          <w:rFonts w:eastAsia="Times New Roman" w:cs="Times New Roman"/>
          <w:sz w:val="28"/>
          <w:szCs w:val="28"/>
          <w:lang w:val="en-GB" w:eastAsia="en-GB"/>
        </w:rPr>
        <w:t>appellant</w:t>
      </w:r>
      <w:r w:rsidRPr="00970D60">
        <w:rPr>
          <w:rFonts w:eastAsia="Times New Roman" w:cs="Times New Roman"/>
          <w:sz w:val="28"/>
          <w:szCs w:val="28"/>
          <w:lang w:val="en-GB" w:eastAsia="en-GB"/>
        </w:rPr>
        <w:t>:</w:t>
      </w:r>
      <w:r w:rsidR="000F06A2">
        <w:rPr>
          <w:rFonts w:eastAsia="Times New Roman" w:cs="Times New Roman"/>
          <w:sz w:val="28"/>
          <w:szCs w:val="28"/>
          <w:lang w:val="en-GB" w:eastAsia="en-GB"/>
        </w:rPr>
        <w:tab/>
      </w:r>
      <w:r w:rsidR="00A11D12">
        <w:rPr>
          <w:rFonts w:eastAsia="Times New Roman" w:cs="Times New Roman"/>
          <w:sz w:val="28"/>
          <w:szCs w:val="28"/>
          <w:lang w:val="en-GB" w:eastAsia="en-GB"/>
        </w:rPr>
        <w:tab/>
      </w:r>
      <w:r w:rsidR="00E604C3">
        <w:rPr>
          <w:rFonts w:cs="Times New Roman"/>
          <w:sz w:val="28"/>
          <w:szCs w:val="28"/>
        </w:rPr>
        <w:t>M Oppenheimer</w:t>
      </w:r>
    </w:p>
    <w:p w14:paraId="47EBDDD8" w14:textId="77777777" w:rsidR="00CA0DB8" w:rsidRPr="00970D60" w:rsidRDefault="00CA0DB8" w:rsidP="004F6FA5">
      <w:pPr>
        <w:spacing w:after="0" w:line="360" w:lineRule="auto"/>
        <w:ind w:left="2880" w:hanging="2880"/>
        <w:jc w:val="both"/>
        <w:rPr>
          <w:rFonts w:eastAsia="Times New Roman" w:cs="Times New Roman"/>
          <w:sz w:val="28"/>
          <w:szCs w:val="28"/>
          <w:lang w:eastAsia="en-GB"/>
        </w:rPr>
      </w:pPr>
      <w:r w:rsidRPr="00970D60">
        <w:rPr>
          <w:rFonts w:eastAsia="Times New Roman" w:cs="Times New Roman"/>
          <w:sz w:val="28"/>
          <w:szCs w:val="28"/>
          <w:lang w:eastAsia="en-GB"/>
        </w:rPr>
        <w:t>I</w:t>
      </w:r>
      <w:r w:rsidR="00CA1420" w:rsidRPr="00970D60">
        <w:rPr>
          <w:rFonts w:eastAsia="Times New Roman" w:cs="Times New Roman"/>
          <w:sz w:val="28"/>
          <w:szCs w:val="28"/>
          <w:lang w:eastAsia="en-GB"/>
        </w:rPr>
        <w:t>nstructed by:</w:t>
      </w:r>
      <w:r w:rsidR="00C733F1" w:rsidRPr="00970D60">
        <w:rPr>
          <w:rFonts w:eastAsia="Times New Roman" w:cs="Times New Roman"/>
          <w:sz w:val="28"/>
          <w:szCs w:val="28"/>
          <w:lang w:eastAsia="en-GB"/>
        </w:rPr>
        <w:tab/>
      </w:r>
      <w:r w:rsidR="00095E1F">
        <w:rPr>
          <w:rFonts w:eastAsia="Times New Roman" w:cs="Times New Roman"/>
          <w:sz w:val="28"/>
          <w:szCs w:val="28"/>
          <w:lang w:eastAsia="en-GB"/>
        </w:rPr>
        <w:t>Hurter Spies Inc, Centurion</w:t>
      </w:r>
    </w:p>
    <w:p w14:paraId="3EAA7180" w14:textId="77777777"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7A3DA8">
        <w:rPr>
          <w:rFonts w:eastAsia="Times New Roman" w:cs="Times New Roman"/>
          <w:sz w:val="28"/>
          <w:szCs w:val="28"/>
          <w:lang w:eastAsia="en-GB"/>
        </w:rPr>
        <w:tab/>
      </w:r>
      <w:r w:rsidR="00095E1F">
        <w:rPr>
          <w:rFonts w:eastAsia="Times New Roman" w:cs="Times New Roman"/>
          <w:sz w:val="28"/>
          <w:szCs w:val="28"/>
          <w:lang w:eastAsia="en-GB"/>
        </w:rPr>
        <w:t>Rossouw &amp; Conradie Inc</w:t>
      </w:r>
      <w:r w:rsidR="00CA0DB8" w:rsidRPr="00970D60">
        <w:rPr>
          <w:rFonts w:eastAsia="Times New Roman" w:cs="Times New Roman"/>
          <w:sz w:val="28"/>
          <w:szCs w:val="28"/>
          <w:lang w:eastAsia="en-GB"/>
        </w:rPr>
        <w:t>, Bloemfontein</w:t>
      </w:r>
    </w:p>
    <w:p w14:paraId="2BD100A9" w14:textId="77777777"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 xml:space="preserve">                                     </w:t>
      </w:r>
    </w:p>
    <w:p w14:paraId="0C131FFA" w14:textId="77777777" w:rsidR="00FF1C66" w:rsidRDefault="00CA0DB8" w:rsidP="00C90B17">
      <w:pPr>
        <w:spacing w:after="0" w:line="360" w:lineRule="auto"/>
        <w:contextualSpacing/>
        <w:jc w:val="both"/>
        <w:rPr>
          <w:rFonts w:eastAsia="Times New Roman" w:cs="Times New Roman"/>
          <w:sz w:val="28"/>
          <w:szCs w:val="28"/>
          <w:lang w:val="en-GB" w:eastAsia="en-GB"/>
        </w:rPr>
      </w:pPr>
      <w:r w:rsidRPr="00970D60">
        <w:rPr>
          <w:rFonts w:eastAsia="Times New Roman" w:cs="Times New Roman"/>
          <w:sz w:val="28"/>
          <w:szCs w:val="28"/>
          <w:lang w:val="en-GB" w:eastAsia="en-GB"/>
        </w:rPr>
        <w:t>For</w:t>
      </w:r>
      <w:r w:rsidR="00E46F15">
        <w:rPr>
          <w:rFonts w:eastAsia="Times New Roman" w:cs="Times New Roman"/>
          <w:sz w:val="28"/>
          <w:szCs w:val="28"/>
          <w:lang w:val="en-GB" w:eastAsia="en-GB"/>
        </w:rPr>
        <w:t xml:space="preserve"> </w:t>
      </w:r>
      <w:r w:rsidR="00FF1C66">
        <w:rPr>
          <w:rFonts w:eastAsia="Times New Roman" w:cs="Times New Roman"/>
          <w:sz w:val="28"/>
          <w:szCs w:val="28"/>
          <w:lang w:val="en-GB" w:eastAsia="en-GB"/>
        </w:rPr>
        <w:t xml:space="preserve">first </w:t>
      </w:r>
      <w:r w:rsidR="00296845" w:rsidRPr="00970D60">
        <w:rPr>
          <w:rFonts w:eastAsia="Times New Roman" w:cs="Times New Roman"/>
          <w:sz w:val="28"/>
          <w:szCs w:val="28"/>
          <w:lang w:val="en-GB" w:eastAsia="en-GB"/>
        </w:rPr>
        <w:t>r</w:t>
      </w:r>
      <w:r w:rsidRPr="00970D60">
        <w:rPr>
          <w:rFonts w:eastAsia="Times New Roman" w:cs="Times New Roman"/>
          <w:sz w:val="28"/>
          <w:szCs w:val="28"/>
          <w:lang w:val="en-GB" w:eastAsia="en-GB"/>
        </w:rPr>
        <w:t>espondent:</w:t>
      </w:r>
      <w:r w:rsidR="00E46F15">
        <w:rPr>
          <w:rFonts w:eastAsia="Times New Roman" w:cs="Times New Roman"/>
          <w:sz w:val="28"/>
          <w:szCs w:val="28"/>
          <w:lang w:val="en-GB" w:eastAsia="en-GB"/>
        </w:rPr>
        <w:tab/>
      </w:r>
      <w:r w:rsidR="00FF1C66">
        <w:rPr>
          <w:rFonts w:eastAsia="Times New Roman" w:cs="Times New Roman"/>
          <w:sz w:val="28"/>
          <w:szCs w:val="28"/>
          <w:lang w:val="en-GB" w:eastAsia="en-GB"/>
        </w:rPr>
        <w:t xml:space="preserve">T Ngcukaitobi SC (with B Winks and J </w:t>
      </w:r>
      <w:r w:rsidR="00DE4210">
        <w:rPr>
          <w:rFonts w:eastAsia="Times New Roman" w:cs="Times New Roman"/>
          <w:sz w:val="28"/>
          <w:szCs w:val="28"/>
          <w:lang w:val="en-GB" w:eastAsia="en-GB"/>
        </w:rPr>
        <w:t>Chanza)</w:t>
      </w:r>
    </w:p>
    <w:p w14:paraId="54BE5F5C" w14:textId="77777777" w:rsidR="00CA0DB8" w:rsidRPr="00970D60" w:rsidRDefault="00CA0DB8" w:rsidP="00C90B17">
      <w:pPr>
        <w:spacing w:after="0" w:line="360" w:lineRule="auto"/>
        <w:contextualSpacing/>
        <w:jc w:val="both"/>
        <w:rPr>
          <w:rFonts w:eastAsia="Times New Roman" w:cs="Times New Roman"/>
          <w:sz w:val="28"/>
          <w:szCs w:val="28"/>
          <w:lang w:eastAsia="en-GB"/>
        </w:rPr>
      </w:pPr>
      <w:r w:rsidRPr="00970D60">
        <w:rPr>
          <w:rFonts w:eastAsia="Times New Roman" w:cs="Times New Roman"/>
          <w:sz w:val="28"/>
          <w:szCs w:val="28"/>
          <w:lang w:val="en-GB" w:eastAsia="en-GB"/>
        </w:rPr>
        <w:t>Instructed by:</w:t>
      </w:r>
      <w:r w:rsidRPr="00970D60">
        <w:rPr>
          <w:rFonts w:eastAsia="Times New Roman" w:cs="Times New Roman"/>
          <w:sz w:val="28"/>
          <w:szCs w:val="28"/>
          <w:lang w:val="en-GB" w:eastAsia="en-GB"/>
        </w:rPr>
        <w:tab/>
      </w:r>
      <w:r w:rsidR="00E46F15">
        <w:rPr>
          <w:rFonts w:eastAsia="Times New Roman" w:cs="Times New Roman"/>
          <w:sz w:val="28"/>
          <w:szCs w:val="28"/>
          <w:lang w:val="en-GB" w:eastAsia="en-GB"/>
        </w:rPr>
        <w:tab/>
      </w:r>
      <w:r w:rsidR="00095E1F">
        <w:rPr>
          <w:rFonts w:eastAsia="Times New Roman" w:cs="Times New Roman"/>
          <w:sz w:val="28"/>
          <w:szCs w:val="28"/>
          <w:lang w:eastAsia="en-GB"/>
        </w:rPr>
        <w:t>Rupert Candy Attorneys, Sandton</w:t>
      </w:r>
    </w:p>
    <w:p w14:paraId="265D2656" w14:textId="77777777"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E46F15">
        <w:rPr>
          <w:rFonts w:eastAsia="Times New Roman" w:cs="Times New Roman"/>
          <w:sz w:val="28"/>
          <w:szCs w:val="28"/>
          <w:lang w:eastAsia="en-GB"/>
        </w:rPr>
        <w:t xml:space="preserve"> </w:t>
      </w:r>
      <w:r w:rsidR="00E46F15">
        <w:rPr>
          <w:rFonts w:eastAsia="Times New Roman" w:cs="Times New Roman"/>
          <w:sz w:val="28"/>
          <w:szCs w:val="28"/>
          <w:lang w:eastAsia="en-GB"/>
        </w:rPr>
        <w:tab/>
      </w:r>
      <w:r w:rsidR="00095E1F">
        <w:rPr>
          <w:rFonts w:eastAsia="Times New Roman" w:cs="Times New Roman"/>
          <w:sz w:val="28"/>
          <w:szCs w:val="28"/>
          <w:lang w:eastAsia="en-GB"/>
        </w:rPr>
        <w:t>Mphafi Khang Inc</w:t>
      </w:r>
      <w:r w:rsidR="001959BD">
        <w:rPr>
          <w:rFonts w:eastAsia="Times New Roman" w:cs="Times New Roman"/>
          <w:sz w:val="28"/>
          <w:szCs w:val="28"/>
          <w:lang w:eastAsia="en-GB"/>
        </w:rPr>
        <w:t>,</w:t>
      </w:r>
      <w:r w:rsidR="00CA0DB8" w:rsidRPr="00970D60">
        <w:rPr>
          <w:rFonts w:eastAsia="Times New Roman" w:cs="Times New Roman"/>
          <w:sz w:val="28"/>
          <w:szCs w:val="28"/>
          <w:lang w:eastAsia="en-GB"/>
        </w:rPr>
        <w:t xml:space="preserve"> Bloemfo</w:t>
      </w:r>
      <w:r w:rsidR="001959BD">
        <w:rPr>
          <w:rFonts w:eastAsia="Times New Roman" w:cs="Times New Roman"/>
          <w:sz w:val="28"/>
          <w:szCs w:val="28"/>
          <w:lang w:eastAsia="en-GB"/>
        </w:rPr>
        <w:t>n</w:t>
      </w:r>
      <w:r w:rsidR="00CA0DB8" w:rsidRPr="00970D60">
        <w:rPr>
          <w:rFonts w:eastAsia="Times New Roman" w:cs="Times New Roman"/>
          <w:sz w:val="28"/>
          <w:szCs w:val="28"/>
          <w:lang w:eastAsia="en-GB"/>
        </w:rPr>
        <w:t>tein</w:t>
      </w:r>
    </w:p>
    <w:p w14:paraId="5E9489E1" w14:textId="77777777" w:rsidR="00335965" w:rsidRDefault="00335965" w:rsidP="00C90B17">
      <w:pPr>
        <w:spacing w:after="0" w:line="360" w:lineRule="auto"/>
        <w:jc w:val="both"/>
        <w:rPr>
          <w:rFonts w:eastAsia="Times New Roman" w:cs="Times New Roman"/>
          <w:sz w:val="28"/>
          <w:szCs w:val="28"/>
          <w:lang w:eastAsia="en-GB"/>
        </w:rPr>
      </w:pPr>
    </w:p>
    <w:p w14:paraId="037A7860"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 xml:space="preserve">For second and </w:t>
      </w:r>
    </w:p>
    <w:p w14:paraId="0C68A31D"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third respondent:</w:t>
      </w:r>
      <w:r>
        <w:rPr>
          <w:rFonts w:eastAsia="Times New Roman" w:cs="Times New Roman"/>
          <w:sz w:val="28"/>
          <w:szCs w:val="28"/>
          <w:lang w:eastAsia="en-GB"/>
        </w:rPr>
        <w:tab/>
      </w:r>
      <w:r>
        <w:rPr>
          <w:rFonts w:eastAsia="Times New Roman" w:cs="Times New Roman"/>
          <w:sz w:val="28"/>
          <w:szCs w:val="28"/>
          <w:lang w:eastAsia="en-GB"/>
        </w:rPr>
        <w:tab/>
        <w:t>S Kazee</w:t>
      </w:r>
    </w:p>
    <w:p w14:paraId="254657C5"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Instructed by:</w:t>
      </w:r>
      <w:r>
        <w:rPr>
          <w:rFonts w:eastAsia="Times New Roman" w:cs="Times New Roman"/>
          <w:sz w:val="28"/>
          <w:szCs w:val="28"/>
          <w:lang w:eastAsia="en-GB"/>
        </w:rPr>
        <w:tab/>
      </w:r>
      <w:r>
        <w:rPr>
          <w:rFonts w:eastAsia="Times New Roman" w:cs="Times New Roman"/>
          <w:sz w:val="28"/>
          <w:szCs w:val="28"/>
          <w:lang w:eastAsia="en-GB"/>
        </w:rPr>
        <w:tab/>
        <w:t>The State Attorney, Johannesburg</w:t>
      </w:r>
    </w:p>
    <w:p w14:paraId="16A1D7F1"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t>The State Attorney, Bloemfontein</w:t>
      </w:r>
    </w:p>
    <w:p w14:paraId="59E5F4F1" w14:textId="77777777" w:rsidR="0093273E" w:rsidRDefault="0093273E" w:rsidP="00C90B17">
      <w:pPr>
        <w:spacing w:after="0" w:line="360" w:lineRule="auto"/>
        <w:jc w:val="both"/>
        <w:rPr>
          <w:rFonts w:eastAsia="Times New Roman" w:cs="Times New Roman"/>
          <w:sz w:val="28"/>
          <w:szCs w:val="28"/>
          <w:lang w:eastAsia="en-GB"/>
        </w:rPr>
      </w:pPr>
    </w:p>
    <w:p w14:paraId="65F2AAD3"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For fourth respondent:</w:t>
      </w:r>
      <w:r>
        <w:rPr>
          <w:rFonts w:eastAsia="Times New Roman" w:cs="Times New Roman"/>
          <w:sz w:val="28"/>
          <w:szCs w:val="28"/>
          <w:lang w:eastAsia="en-GB"/>
        </w:rPr>
        <w:tab/>
        <w:t>W Treng</w:t>
      </w:r>
      <w:r w:rsidR="0093273E">
        <w:rPr>
          <w:rFonts w:eastAsia="Times New Roman" w:cs="Times New Roman"/>
          <w:sz w:val="28"/>
          <w:szCs w:val="28"/>
          <w:lang w:eastAsia="en-GB"/>
        </w:rPr>
        <w:t>r</w:t>
      </w:r>
      <w:r>
        <w:rPr>
          <w:rFonts w:eastAsia="Times New Roman" w:cs="Times New Roman"/>
          <w:sz w:val="28"/>
          <w:szCs w:val="28"/>
          <w:lang w:eastAsia="en-GB"/>
        </w:rPr>
        <w:t>ove SC (with J L Griffiths)</w:t>
      </w:r>
    </w:p>
    <w:p w14:paraId="2990425C"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Instructed by:</w:t>
      </w:r>
      <w:r>
        <w:rPr>
          <w:rFonts w:eastAsia="Times New Roman" w:cs="Times New Roman"/>
          <w:sz w:val="28"/>
          <w:szCs w:val="28"/>
          <w:lang w:eastAsia="en-GB"/>
        </w:rPr>
        <w:tab/>
      </w:r>
      <w:r>
        <w:rPr>
          <w:rFonts w:eastAsia="Times New Roman" w:cs="Times New Roman"/>
          <w:sz w:val="28"/>
          <w:szCs w:val="28"/>
          <w:lang w:eastAsia="en-GB"/>
        </w:rPr>
        <w:tab/>
        <w:t>Webber Wentzel Attorneys, Johannesburg</w:t>
      </w:r>
    </w:p>
    <w:p w14:paraId="1E4E97DE" w14:textId="77777777" w:rsidR="00095E1F" w:rsidRDefault="00095E1F" w:rsidP="00C90B17">
      <w:pPr>
        <w:spacing w:after="0" w:line="360" w:lineRule="auto"/>
        <w:jc w:val="both"/>
        <w:rPr>
          <w:rFonts w:eastAsia="Times New Roman" w:cs="Times New Roman"/>
          <w:sz w:val="28"/>
          <w:szCs w:val="28"/>
          <w:lang w:eastAsia="en-GB"/>
        </w:rPr>
      </w:pP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t>Symington De Kok, Bloemfontein</w:t>
      </w:r>
    </w:p>
    <w:p w14:paraId="4824EE53" w14:textId="77777777" w:rsidR="00003FE0" w:rsidRDefault="00003FE0" w:rsidP="00C90B17">
      <w:pPr>
        <w:spacing w:after="0" w:line="360" w:lineRule="auto"/>
        <w:jc w:val="both"/>
        <w:rPr>
          <w:rFonts w:eastAsia="Times New Roman" w:cs="Times New Roman"/>
          <w:sz w:val="28"/>
          <w:szCs w:val="28"/>
          <w:lang w:eastAsia="en-GB"/>
        </w:rPr>
      </w:pPr>
    </w:p>
    <w:sectPr w:rsidR="00003FE0" w:rsidSect="005916EB">
      <w:headerReference w:type="default" r:id="rId9"/>
      <w:footerReference w:type="default" r:id="rId10"/>
      <w:pgSz w:w="11906" w:h="16838"/>
      <w:pgMar w:top="1134"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4487" w14:textId="77777777" w:rsidR="00243340" w:rsidRDefault="00243340" w:rsidP="005F2683">
      <w:pPr>
        <w:spacing w:after="0" w:line="240" w:lineRule="auto"/>
      </w:pPr>
      <w:r>
        <w:separator/>
      </w:r>
    </w:p>
  </w:endnote>
  <w:endnote w:type="continuationSeparator" w:id="0">
    <w:p w14:paraId="067459BC" w14:textId="77777777" w:rsidR="00243340" w:rsidRDefault="00243340"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EFFE" w14:textId="77777777" w:rsidR="00423079" w:rsidRDefault="00423079" w:rsidP="005F268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FF914" w14:textId="77777777" w:rsidR="00243340" w:rsidRDefault="00243340" w:rsidP="005F2683">
      <w:pPr>
        <w:spacing w:after="0" w:line="240" w:lineRule="auto"/>
      </w:pPr>
      <w:r>
        <w:separator/>
      </w:r>
    </w:p>
  </w:footnote>
  <w:footnote w:type="continuationSeparator" w:id="0">
    <w:p w14:paraId="175A96FA" w14:textId="77777777" w:rsidR="00243340" w:rsidRDefault="00243340" w:rsidP="005F2683">
      <w:pPr>
        <w:spacing w:after="0" w:line="240" w:lineRule="auto"/>
      </w:pPr>
      <w:r>
        <w:continuationSeparator/>
      </w:r>
    </w:p>
  </w:footnote>
  <w:footnote w:id="1">
    <w:p w14:paraId="08293D3C" w14:textId="77777777" w:rsidR="00423079" w:rsidRDefault="00423079" w:rsidP="0092410F">
      <w:pPr>
        <w:pStyle w:val="FootnoteText"/>
        <w:jc w:val="both"/>
      </w:pPr>
      <w:r>
        <w:rPr>
          <w:rStyle w:val="FootnoteReference"/>
        </w:rPr>
        <w:footnoteRef/>
      </w:r>
      <w:r>
        <w:t xml:space="preserve"> </w:t>
      </w:r>
      <w:r w:rsidRPr="0026502E">
        <w:rPr>
          <w:i/>
        </w:rPr>
        <w:t>Qwelane v South African Human Rights Commission and Another</w:t>
      </w:r>
      <w:r>
        <w:t xml:space="preserve"> [2021] ZACC 22 2021 (6) SA 579 (CC); 2022 (2) BCLR 129 (CC) paras 113-114.</w:t>
      </w:r>
    </w:p>
  </w:footnote>
  <w:footnote w:id="2">
    <w:p w14:paraId="7EF7D1AD" w14:textId="05846920" w:rsidR="00423079" w:rsidRDefault="00423079">
      <w:pPr>
        <w:pStyle w:val="FootnoteText"/>
      </w:pPr>
      <w:r>
        <w:rPr>
          <w:rStyle w:val="FootnoteReference"/>
        </w:rPr>
        <w:footnoteRef/>
      </w:r>
      <w:r>
        <w:t xml:space="preserve"> The statement was uttered in Afrikaans: ‘Wat soek julle hier, Kaffirs?’</w:t>
      </w:r>
    </w:p>
  </w:footnote>
  <w:footnote w:id="3">
    <w:p w14:paraId="3A4D2E17" w14:textId="2998D59B" w:rsidR="00423079" w:rsidRDefault="00423079">
      <w:pPr>
        <w:pStyle w:val="FootnoteText"/>
      </w:pPr>
      <w:r>
        <w:rPr>
          <w:rStyle w:val="FootnoteReference"/>
        </w:rPr>
        <w:footnoteRef/>
      </w:r>
      <w:r>
        <w:t xml:space="preserve"> The abuse was hurled in Afrikaans: ‘Daar kom ‘n bobbejaan.’</w:t>
      </w:r>
    </w:p>
  </w:footnote>
  <w:footnote w:id="4">
    <w:p w14:paraId="311ECEBC" w14:textId="77777777" w:rsidR="00423079" w:rsidRDefault="00423079">
      <w:pPr>
        <w:pStyle w:val="FootnoteText"/>
      </w:pPr>
      <w:r>
        <w:rPr>
          <w:rStyle w:val="FootnoteReference"/>
        </w:rPr>
        <w:footnoteRef/>
      </w:r>
      <w:r>
        <w:t xml:space="preserve"> Section 5 of the South Africa Constitution Act 31 of 1961 (the 1961 Constitution).</w:t>
      </w:r>
    </w:p>
  </w:footnote>
  <w:footnote w:id="5">
    <w:p w14:paraId="05EDD506" w14:textId="77777777" w:rsidR="00423079" w:rsidRDefault="00423079" w:rsidP="00984BC2">
      <w:pPr>
        <w:pStyle w:val="FootnoteText"/>
        <w:jc w:val="both"/>
      </w:pPr>
      <w:r>
        <w:rPr>
          <w:rStyle w:val="FootnoteReference"/>
        </w:rPr>
        <w:footnoteRef/>
      </w:r>
      <w:r>
        <w:t xml:space="preserve"> Sections 34 and 46 of the 1961 Constitution restricted membership of the Senate and House of Assembly to ‘white persons’. Section 42 provided for the division of provinces into electoral divisions according to voters’ lists comprising ‘white voters’.</w:t>
      </w:r>
    </w:p>
  </w:footnote>
  <w:footnote w:id="6">
    <w:p w14:paraId="1011E8AD" w14:textId="77777777" w:rsidR="00423079" w:rsidRDefault="00423079">
      <w:pPr>
        <w:pStyle w:val="FootnoteText"/>
      </w:pPr>
      <w:r>
        <w:rPr>
          <w:rStyle w:val="FootnoteReference"/>
        </w:rPr>
        <w:footnoteRef/>
      </w:r>
      <w:r>
        <w:t xml:space="preserve"> Section 111 of the 1961 Constitution, in relevant part, provided:</w:t>
      </w:r>
    </w:p>
    <w:p w14:paraId="1A17EFBE" w14:textId="77777777" w:rsidR="00423079" w:rsidRDefault="00423079" w:rsidP="0036611A">
      <w:pPr>
        <w:pStyle w:val="FootnoteText"/>
        <w:jc w:val="both"/>
      </w:pPr>
      <w:r>
        <w:t>‘The control and administration of Bantu affairs and of matters specially or differentially affecting Asiatics throughout the Republic shall vest in the State President, who shall exercise all those special powers in regard to Bantu administration which immediately prior to the commencement of this Act were vested in the Governor-General-in-Council of the Union of South Africa, and any lands which immediately prior to such commencement vested in the said Governor-General-in-Council for the purpose of reserves of Bantu locations shall vest in the State President . . .’</w:t>
      </w:r>
    </w:p>
  </w:footnote>
  <w:footnote w:id="7">
    <w:p w14:paraId="23551D06" w14:textId="0866925E" w:rsidR="00423079" w:rsidRPr="00B62D6A" w:rsidRDefault="00423079">
      <w:pPr>
        <w:pStyle w:val="FootnoteText"/>
        <w:rPr>
          <w:sz w:val="28"/>
        </w:rPr>
      </w:pPr>
      <w:r>
        <w:rPr>
          <w:rStyle w:val="FootnoteReference"/>
        </w:rPr>
        <w:footnoteRef/>
      </w:r>
      <w:r>
        <w:t xml:space="preserve"> Section 92(1) of the Constitution of the Republic of South Africa Act 110 of 1983.</w:t>
      </w:r>
      <w:r>
        <w:rPr>
          <w:sz w:val="28"/>
        </w:rPr>
        <w:t xml:space="preserve"> </w:t>
      </w:r>
    </w:p>
  </w:footnote>
  <w:footnote w:id="8">
    <w:p w14:paraId="13473038" w14:textId="4D5F76AC" w:rsidR="00423079" w:rsidRDefault="00423079">
      <w:pPr>
        <w:pStyle w:val="FootnoteText"/>
      </w:pPr>
      <w:r>
        <w:rPr>
          <w:rStyle w:val="FootnoteReference"/>
        </w:rPr>
        <w:footnoteRef/>
      </w:r>
      <w:r>
        <w:t xml:space="preserve"> Section 10 of the Constitution 108 of 1996 provides:</w:t>
      </w:r>
    </w:p>
    <w:p w14:paraId="2D11A14C" w14:textId="77777777" w:rsidR="00423079" w:rsidRDefault="00423079">
      <w:pPr>
        <w:pStyle w:val="FootnoteText"/>
      </w:pPr>
      <w:r>
        <w:t>‘Everyone has inherent dignity and the right to have their dignity respected and protected.’</w:t>
      </w:r>
    </w:p>
  </w:footnote>
  <w:footnote w:id="9">
    <w:p w14:paraId="1865A8FE" w14:textId="77777777" w:rsidR="00423079" w:rsidRDefault="00423079" w:rsidP="009679BD">
      <w:pPr>
        <w:pStyle w:val="FootnoteText"/>
        <w:jc w:val="both"/>
      </w:pPr>
      <w:r>
        <w:rPr>
          <w:rStyle w:val="FootnoteReference"/>
        </w:rPr>
        <w:footnoteRef/>
      </w:r>
      <w:r>
        <w:t xml:space="preserve"> Section 17 of the Constitution states:</w:t>
      </w:r>
    </w:p>
    <w:p w14:paraId="0F10DD96" w14:textId="355F0118" w:rsidR="00423079" w:rsidRDefault="00423079" w:rsidP="009679BD">
      <w:pPr>
        <w:pStyle w:val="FootnoteText"/>
        <w:jc w:val="both"/>
      </w:pPr>
      <w:r>
        <w:t>‘Everyone has the right, peacefully and unarmed, to assemble, to demonstrate, to picket and to present petitions.’</w:t>
      </w:r>
    </w:p>
  </w:footnote>
  <w:footnote w:id="10">
    <w:p w14:paraId="151177A5" w14:textId="512A0948" w:rsidR="00423079" w:rsidRPr="00E91BFC" w:rsidRDefault="00423079" w:rsidP="00474B8B">
      <w:pPr>
        <w:pStyle w:val="FootnoteText"/>
        <w:jc w:val="both"/>
      </w:pPr>
      <w:r w:rsidRPr="00E91BFC">
        <w:rPr>
          <w:rStyle w:val="FootnoteReference"/>
        </w:rPr>
        <w:footnoteRef/>
      </w:r>
      <w:r w:rsidRPr="00E91BFC">
        <w:t xml:space="preserve"> </w:t>
      </w:r>
      <w:r w:rsidRPr="0050427F">
        <w:rPr>
          <w:i/>
        </w:rPr>
        <w:t>Manong</w:t>
      </w:r>
      <w:r w:rsidR="00B41E37">
        <w:rPr>
          <w:i/>
        </w:rPr>
        <w:t xml:space="preserve"> </w:t>
      </w:r>
      <w:r w:rsidRPr="0050427F">
        <w:rPr>
          <w:i/>
        </w:rPr>
        <w:t xml:space="preserve">and Associates (Pty) Ltd v </w:t>
      </w:r>
      <w:r>
        <w:rPr>
          <w:i/>
        </w:rPr>
        <w:t xml:space="preserve">Department of Roads and Transport, </w:t>
      </w:r>
      <w:r w:rsidRPr="0050427F">
        <w:rPr>
          <w:i/>
        </w:rPr>
        <w:t xml:space="preserve">Eastern Cape </w:t>
      </w:r>
      <w:r>
        <w:rPr>
          <w:i/>
        </w:rPr>
        <w:t>and</w:t>
      </w:r>
      <w:r w:rsidRPr="0050427F">
        <w:rPr>
          <w:i/>
        </w:rPr>
        <w:t xml:space="preserve"> Others</w:t>
      </w:r>
      <w:r>
        <w:t xml:space="preserve"> [2009] ZASCA 50; 2009 (6) SA 589 (SCA); [2009] 3 All SA 528 (SCA) para 53.</w:t>
      </w:r>
    </w:p>
  </w:footnote>
  <w:footnote w:id="11">
    <w:p w14:paraId="5A27B89A" w14:textId="0F99575D" w:rsidR="00423079" w:rsidRDefault="00423079" w:rsidP="00C733FE">
      <w:pPr>
        <w:pStyle w:val="FootnoteText"/>
        <w:jc w:val="both"/>
      </w:pPr>
      <w:r>
        <w:rPr>
          <w:rStyle w:val="FootnoteReference"/>
        </w:rPr>
        <w:footnoteRef/>
      </w:r>
      <w:r>
        <w:t xml:space="preserve"> </w:t>
      </w:r>
      <w:r w:rsidRPr="00D7639D">
        <w:rPr>
          <w:i/>
        </w:rPr>
        <w:t xml:space="preserve">Rail Commuters Action Group </w:t>
      </w:r>
      <w:r>
        <w:rPr>
          <w:i/>
        </w:rPr>
        <w:t xml:space="preserve">and Others </w:t>
      </w:r>
      <w:r w:rsidRPr="00D7639D">
        <w:rPr>
          <w:i/>
        </w:rPr>
        <w:t>v Transnet Ltd t/a Metrorail</w:t>
      </w:r>
      <w:r>
        <w:t xml:space="preserve"> [2004] ZACC 20; 2005 (2) SA 359 (CC); 2005 (4) BCLR 301 (CC) para 107 at 410D-E.</w:t>
      </w:r>
    </w:p>
  </w:footnote>
  <w:footnote w:id="12">
    <w:p w14:paraId="40E1C69C" w14:textId="77777777" w:rsidR="00423079" w:rsidRPr="004A55E4" w:rsidRDefault="00423079" w:rsidP="00C733FE">
      <w:pPr>
        <w:pStyle w:val="FootnoteText"/>
        <w:jc w:val="both"/>
      </w:pPr>
      <w:r w:rsidRPr="00ED6805">
        <w:rPr>
          <w:rStyle w:val="FootnoteReference"/>
        </w:rPr>
        <w:footnoteRef/>
      </w:r>
      <w:r w:rsidRPr="00ED6805">
        <w:t xml:space="preserve"> </w:t>
      </w:r>
      <w:r w:rsidRPr="005258C6">
        <w:rPr>
          <w:i/>
        </w:rPr>
        <w:t>Minister of Environmental Affairs and Tourism v George and Others</w:t>
      </w:r>
      <w:r w:rsidRPr="004A55E4">
        <w:t xml:space="preserve"> 2007 (3) SA 62 (SCA) paras 3-4.</w:t>
      </w:r>
    </w:p>
  </w:footnote>
  <w:footnote w:id="13">
    <w:p w14:paraId="308D2045" w14:textId="186ACABF" w:rsidR="00423079" w:rsidRPr="00947BA1" w:rsidRDefault="00423079" w:rsidP="00C733FE">
      <w:pPr>
        <w:pStyle w:val="FootnoteText"/>
        <w:jc w:val="both"/>
      </w:pPr>
      <w:r w:rsidRPr="00947BA1">
        <w:rPr>
          <w:rStyle w:val="FootnoteReference"/>
        </w:rPr>
        <w:footnoteRef/>
      </w:r>
      <w:r w:rsidRPr="00947BA1">
        <w:t xml:space="preserve"> </w:t>
      </w:r>
      <w:r>
        <w:rPr>
          <w:rFonts w:eastAsia="Times New Roman" w:cs="Times New Roman"/>
          <w:i/>
          <w:color w:val="000000"/>
          <w:w w:val="109"/>
          <w:lang w:val="en-CA" w:eastAsia="en-CA"/>
        </w:rPr>
        <w:t>AS v Neotel (Pt</w:t>
      </w:r>
      <w:r w:rsidRPr="00947BA1">
        <w:rPr>
          <w:rFonts w:eastAsia="Times New Roman" w:cs="Times New Roman"/>
          <w:i/>
          <w:color w:val="000000"/>
          <w:w w:val="109"/>
          <w:lang w:val="en-CA" w:eastAsia="en-CA"/>
        </w:rPr>
        <w:t>y) Ltd</w:t>
      </w:r>
      <w:r w:rsidRPr="00947BA1">
        <w:rPr>
          <w:rFonts w:eastAsia="Times New Roman" w:cs="Times New Roman"/>
          <w:b/>
          <w:i/>
          <w:color w:val="000000"/>
          <w:w w:val="109"/>
          <w:lang w:val="en-CA" w:eastAsia="en-CA"/>
        </w:rPr>
        <w:t xml:space="preserve"> </w:t>
      </w:r>
      <w:r w:rsidRPr="006F56C4">
        <w:rPr>
          <w:rFonts w:eastAsia="Times New Roman" w:cs="Times New Roman"/>
          <w:color w:val="000000"/>
          <w:w w:val="109"/>
          <w:lang w:val="en-CA" w:eastAsia="en-CA"/>
        </w:rPr>
        <w:t>[</w:t>
      </w:r>
      <w:r w:rsidR="00CE2EC7">
        <w:rPr>
          <w:rFonts w:eastAsia="Times New Roman" w:cs="Times New Roman"/>
          <w:color w:val="000000"/>
          <w:w w:val="109"/>
          <w:lang w:val="en-CA" w:eastAsia="en-CA"/>
        </w:rPr>
        <w:t>2018] ZAEQC 1</w:t>
      </w:r>
      <w:r w:rsidRPr="00CE2EC7">
        <w:rPr>
          <w:rFonts w:eastAsia="Times New Roman" w:cs="Times New Roman"/>
          <w:color w:val="000000"/>
          <w:w w:val="109"/>
          <w:lang w:val="en-CA" w:eastAsia="en-CA"/>
        </w:rPr>
        <w:t>;</w:t>
      </w:r>
      <w:r>
        <w:rPr>
          <w:rFonts w:eastAsia="Times New Roman" w:cs="Times New Roman"/>
          <w:b/>
          <w:i/>
          <w:color w:val="000000"/>
          <w:w w:val="109"/>
          <w:lang w:val="en-CA" w:eastAsia="en-CA"/>
        </w:rPr>
        <w:t xml:space="preserve"> </w:t>
      </w:r>
      <w:r>
        <w:rPr>
          <w:rFonts w:eastAsia="Times New Roman" w:cs="Times New Roman"/>
          <w:color w:val="000000"/>
          <w:w w:val="109"/>
          <w:lang w:val="en-CA" w:eastAsia="en-CA"/>
        </w:rPr>
        <w:t>2019 (1) SA 622 (GJ)</w:t>
      </w:r>
      <w:r w:rsidRPr="00947BA1">
        <w:rPr>
          <w:rFonts w:eastAsia="Times New Roman" w:cs="Times New Roman"/>
          <w:color w:val="000000"/>
          <w:w w:val="109"/>
          <w:lang w:val="en-CA" w:eastAsia="en-CA"/>
        </w:rPr>
        <w:t xml:space="preserve"> para 10.</w:t>
      </w:r>
    </w:p>
  </w:footnote>
  <w:footnote w:id="14">
    <w:p w14:paraId="311BC97D" w14:textId="77777777" w:rsidR="00423079" w:rsidRPr="00947BA1" w:rsidRDefault="00423079" w:rsidP="001B7D42">
      <w:pPr>
        <w:spacing w:after="0" w:line="240" w:lineRule="auto"/>
        <w:jc w:val="both"/>
        <w:rPr>
          <w:sz w:val="20"/>
          <w:szCs w:val="20"/>
        </w:rPr>
      </w:pPr>
      <w:r w:rsidRPr="00947BA1">
        <w:rPr>
          <w:rStyle w:val="FootnoteReference"/>
          <w:sz w:val="20"/>
          <w:szCs w:val="20"/>
        </w:rPr>
        <w:footnoteRef/>
      </w:r>
      <w:r w:rsidRPr="00947BA1">
        <w:rPr>
          <w:sz w:val="20"/>
          <w:szCs w:val="20"/>
        </w:rPr>
        <w:t xml:space="preserve"> </w:t>
      </w:r>
      <w:r w:rsidRPr="005712C4">
        <w:rPr>
          <w:rFonts w:cs="Times New Roman"/>
          <w:i/>
          <w:color w:val="000000"/>
          <w:w w:val="105"/>
          <w:sz w:val="20"/>
          <w:szCs w:val="20"/>
        </w:rPr>
        <w:t>George and Others v Minister of Environmental Affairs and Tourism</w:t>
      </w:r>
      <w:r w:rsidRPr="00947BA1">
        <w:rPr>
          <w:rFonts w:cs="Times New Roman"/>
          <w:b/>
          <w:i/>
          <w:color w:val="000000"/>
          <w:w w:val="105"/>
          <w:sz w:val="20"/>
          <w:szCs w:val="20"/>
        </w:rPr>
        <w:t xml:space="preserve"> </w:t>
      </w:r>
      <w:r w:rsidRPr="00947BA1">
        <w:rPr>
          <w:rFonts w:cs="Times New Roman"/>
          <w:color w:val="000000"/>
          <w:w w:val="105"/>
          <w:sz w:val="20"/>
          <w:szCs w:val="20"/>
        </w:rPr>
        <w:t xml:space="preserve">2005 (6) SA 297 </w:t>
      </w:r>
      <w:r w:rsidRPr="00CE2EC7">
        <w:rPr>
          <w:rFonts w:cs="Times New Roman"/>
          <w:color w:val="000000"/>
          <w:w w:val="105"/>
          <w:sz w:val="20"/>
          <w:szCs w:val="20"/>
        </w:rPr>
        <w:t>(EqC)</w:t>
      </w:r>
      <w:r>
        <w:rPr>
          <w:rFonts w:cs="Times New Roman"/>
          <w:color w:val="000000"/>
          <w:w w:val="105"/>
          <w:sz w:val="20"/>
          <w:szCs w:val="20"/>
        </w:rPr>
        <w:t xml:space="preserve"> para</w:t>
      </w:r>
      <w:r w:rsidRPr="00947BA1">
        <w:rPr>
          <w:rFonts w:cs="Times New Roman"/>
          <w:color w:val="000000"/>
          <w:w w:val="105"/>
          <w:sz w:val="20"/>
          <w:szCs w:val="20"/>
        </w:rPr>
        <w:t xml:space="preserve"> 12.</w:t>
      </w:r>
    </w:p>
  </w:footnote>
  <w:footnote w:id="15">
    <w:p w14:paraId="120D92C2" w14:textId="77777777" w:rsidR="00423079" w:rsidRPr="00947BA1" w:rsidRDefault="00423079" w:rsidP="001B7D42">
      <w:pPr>
        <w:pStyle w:val="FootnoteText"/>
        <w:jc w:val="both"/>
      </w:pPr>
      <w:r w:rsidRPr="00947BA1">
        <w:rPr>
          <w:rStyle w:val="FootnoteReference"/>
        </w:rPr>
        <w:footnoteRef/>
      </w:r>
      <w:r w:rsidRPr="00947BA1">
        <w:t xml:space="preserve"> Section 20 of </w:t>
      </w:r>
      <w:r>
        <w:t>the Equality Act</w:t>
      </w:r>
      <w:r w:rsidRPr="00947BA1">
        <w:t>.</w:t>
      </w:r>
    </w:p>
  </w:footnote>
  <w:footnote w:id="16">
    <w:p w14:paraId="2DC3E7DB" w14:textId="77777777" w:rsidR="00423079" w:rsidRPr="00B82BA5" w:rsidRDefault="00423079" w:rsidP="001B7D42">
      <w:pPr>
        <w:spacing w:after="0" w:line="240" w:lineRule="auto"/>
        <w:ind w:right="95"/>
        <w:jc w:val="both"/>
        <w:rPr>
          <w:rFonts w:eastAsia="Times New Roman" w:cs="Times New Roman"/>
          <w:sz w:val="20"/>
          <w:szCs w:val="20"/>
          <w:lang w:val="en-CA" w:eastAsia="en-CA"/>
        </w:rPr>
      </w:pPr>
      <w:r w:rsidRPr="00866A86">
        <w:rPr>
          <w:rStyle w:val="FootnoteReference"/>
          <w:sz w:val="20"/>
          <w:szCs w:val="20"/>
        </w:rPr>
        <w:footnoteRef/>
      </w:r>
      <w:r w:rsidRPr="00866A86">
        <w:rPr>
          <w:sz w:val="20"/>
          <w:szCs w:val="20"/>
        </w:rPr>
        <w:t xml:space="preserve"> </w:t>
      </w:r>
      <w:r w:rsidRPr="009E23C7">
        <w:rPr>
          <w:rFonts w:eastAsia="Times New Roman" w:cs="Times New Roman"/>
          <w:color w:val="000000"/>
          <w:spacing w:val="1"/>
          <w:sz w:val="20"/>
          <w:szCs w:val="20"/>
          <w:lang w:val="en-CA" w:eastAsia="en-CA"/>
        </w:rPr>
        <w:t>J</w:t>
      </w:r>
      <w:r w:rsidRPr="00866A86">
        <w:rPr>
          <w:rFonts w:eastAsia="Times New Roman" w:cs="Times New Roman"/>
          <w:color w:val="000000"/>
          <w:spacing w:val="1"/>
          <w:sz w:val="20"/>
          <w:szCs w:val="20"/>
          <w:lang w:val="en-CA" w:eastAsia="en-CA"/>
        </w:rPr>
        <w:t xml:space="preserve"> </w:t>
      </w:r>
      <w:r w:rsidRPr="009E23C7">
        <w:rPr>
          <w:rFonts w:eastAsia="Times New Roman" w:cs="Times New Roman"/>
          <w:color w:val="000000"/>
          <w:spacing w:val="1"/>
          <w:sz w:val="20"/>
          <w:szCs w:val="20"/>
          <w:lang w:val="en-CA" w:eastAsia="en-CA"/>
        </w:rPr>
        <w:t xml:space="preserve">A Kok, </w:t>
      </w:r>
      <w:r>
        <w:rPr>
          <w:rFonts w:eastAsia="Times New Roman" w:cs="Times New Roman"/>
          <w:i/>
          <w:color w:val="000000"/>
          <w:spacing w:val="1"/>
          <w:sz w:val="20"/>
          <w:szCs w:val="20"/>
          <w:lang w:val="en-CA" w:eastAsia="en-CA"/>
        </w:rPr>
        <w:t>A Socio-Legal Ana</w:t>
      </w:r>
      <w:r w:rsidRPr="009E23C7">
        <w:rPr>
          <w:rFonts w:eastAsia="Times New Roman" w:cs="Times New Roman"/>
          <w:i/>
          <w:color w:val="000000"/>
          <w:spacing w:val="1"/>
          <w:sz w:val="20"/>
          <w:szCs w:val="20"/>
          <w:lang w:val="en-CA" w:eastAsia="en-CA"/>
        </w:rPr>
        <w:t>l</w:t>
      </w:r>
      <w:r>
        <w:rPr>
          <w:rFonts w:eastAsia="Times New Roman" w:cs="Times New Roman"/>
          <w:i/>
          <w:color w:val="000000"/>
          <w:spacing w:val="1"/>
          <w:sz w:val="20"/>
          <w:szCs w:val="20"/>
          <w:lang w:val="en-CA" w:eastAsia="en-CA"/>
        </w:rPr>
        <w:t>y</w:t>
      </w:r>
      <w:r w:rsidRPr="009E23C7">
        <w:rPr>
          <w:rFonts w:eastAsia="Times New Roman" w:cs="Times New Roman"/>
          <w:i/>
          <w:color w:val="000000"/>
          <w:spacing w:val="1"/>
          <w:sz w:val="20"/>
          <w:szCs w:val="20"/>
          <w:lang w:val="en-CA" w:eastAsia="en-CA"/>
        </w:rPr>
        <w:t>sis of the Promotion of Equality and Prevention of Unfair Discrimination Act 4 of 2000</w:t>
      </w:r>
      <w:r w:rsidRPr="009E23C7">
        <w:rPr>
          <w:rFonts w:eastAsia="Times New Roman" w:cs="Times New Roman"/>
          <w:b/>
          <w:i/>
          <w:color w:val="000000"/>
          <w:spacing w:val="1"/>
          <w:sz w:val="20"/>
          <w:szCs w:val="20"/>
          <w:lang w:val="en-CA" w:eastAsia="en-CA"/>
        </w:rPr>
        <w:t xml:space="preserve"> </w:t>
      </w:r>
      <w:r w:rsidRPr="00866A86">
        <w:rPr>
          <w:rFonts w:eastAsia="Times New Roman" w:cs="Times New Roman"/>
          <w:color w:val="000000"/>
          <w:spacing w:val="1"/>
          <w:sz w:val="20"/>
          <w:szCs w:val="20"/>
          <w:lang w:val="en-CA" w:eastAsia="en-CA"/>
        </w:rPr>
        <w:t xml:space="preserve">(2007, </w:t>
      </w:r>
      <w:r w:rsidRPr="009E23C7">
        <w:rPr>
          <w:rFonts w:eastAsia="Times New Roman" w:cs="Times New Roman"/>
          <w:color w:val="000000"/>
          <w:spacing w:val="1"/>
          <w:sz w:val="20"/>
          <w:szCs w:val="20"/>
          <w:lang w:val="en-CA" w:eastAsia="en-CA"/>
        </w:rPr>
        <w:t>unpublished doctoral dissertation, University of Pretoria) 145.</w:t>
      </w:r>
    </w:p>
  </w:footnote>
  <w:footnote w:id="17">
    <w:p w14:paraId="4FA28C0F" w14:textId="4E282BDC" w:rsidR="00423079" w:rsidRPr="006B1154" w:rsidRDefault="00423079" w:rsidP="001B7D42">
      <w:pPr>
        <w:pStyle w:val="FootnoteText"/>
        <w:jc w:val="both"/>
        <w:rPr>
          <w:rFonts w:cs="Times New Roman"/>
          <w:i/>
        </w:rPr>
      </w:pPr>
      <w:r w:rsidRPr="006B1154">
        <w:rPr>
          <w:rStyle w:val="FootnoteReference"/>
          <w:rFonts w:cs="Times New Roman"/>
        </w:rPr>
        <w:footnoteRef/>
      </w:r>
      <w:r w:rsidRPr="006B1154">
        <w:rPr>
          <w:rFonts w:cs="Times New Roman"/>
        </w:rPr>
        <w:t xml:space="preserve"> Section 21(1) of </w:t>
      </w:r>
      <w:r>
        <w:rPr>
          <w:rFonts w:cs="Times New Roman"/>
        </w:rPr>
        <w:t>the Equality Act</w:t>
      </w:r>
      <w:r w:rsidRPr="006B1154">
        <w:rPr>
          <w:rFonts w:cs="Times New Roman"/>
        </w:rPr>
        <w:t>;</w:t>
      </w:r>
      <w:r w:rsidRPr="006B1154">
        <w:rPr>
          <w:rFonts w:cs="Times New Roman"/>
          <w:i/>
        </w:rPr>
        <w:t xml:space="preserve"> George </w:t>
      </w:r>
      <w:r>
        <w:rPr>
          <w:rFonts w:cs="Times New Roman"/>
        </w:rPr>
        <w:t>fn 1</w:t>
      </w:r>
      <w:r w:rsidR="000F6EF4">
        <w:rPr>
          <w:rFonts w:cs="Times New Roman"/>
        </w:rPr>
        <w:t>2</w:t>
      </w:r>
      <w:r w:rsidRPr="006B1154">
        <w:rPr>
          <w:rFonts w:cs="Times New Roman"/>
        </w:rPr>
        <w:t xml:space="preserve"> para 5.</w:t>
      </w:r>
    </w:p>
  </w:footnote>
  <w:footnote w:id="18">
    <w:p w14:paraId="29E3EA93" w14:textId="298EF799" w:rsidR="00423079" w:rsidRDefault="00423079" w:rsidP="001B7D42">
      <w:pPr>
        <w:pStyle w:val="FootnoteText"/>
        <w:jc w:val="both"/>
      </w:pPr>
      <w:r>
        <w:rPr>
          <w:rStyle w:val="FootnoteReference"/>
        </w:rPr>
        <w:footnoteRef/>
      </w:r>
      <w:r>
        <w:t xml:space="preserve"> </w:t>
      </w:r>
      <w:r w:rsidRPr="002B6AFB">
        <w:rPr>
          <w:i/>
        </w:rPr>
        <w:t xml:space="preserve">JT Publishing (Pty) Ltd </w:t>
      </w:r>
      <w:r>
        <w:rPr>
          <w:i/>
        </w:rPr>
        <w:t xml:space="preserve">and Another </w:t>
      </w:r>
      <w:r w:rsidRPr="002B6AFB">
        <w:rPr>
          <w:i/>
        </w:rPr>
        <w:t>v Minister of Safety and Security</w:t>
      </w:r>
      <w:r>
        <w:rPr>
          <w:i/>
        </w:rPr>
        <w:t xml:space="preserve"> and Others</w:t>
      </w:r>
      <w:r>
        <w:t xml:space="preserve"> 1997 (3) SA 514 (CC) para</w:t>
      </w:r>
      <w:r w:rsidR="00A857DD">
        <w:t> </w:t>
      </w:r>
      <w:r>
        <w:t>15.</w:t>
      </w:r>
    </w:p>
  </w:footnote>
  <w:footnote w:id="19">
    <w:p w14:paraId="27AADC0D" w14:textId="3AFF03DE" w:rsidR="00423079" w:rsidRDefault="00423079" w:rsidP="00D64437">
      <w:pPr>
        <w:pStyle w:val="FootnoteText"/>
        <w:jc w:val="both"/>
      </w:pPr>
      <w:r>
        <w:rPr>
          <w:rStyle w:val="FootnoteReference"/>
        </w:rPr>
        <w:footnoteRef/>
      </w:r>
      <w:r>
        <w:t xml:space="preserve"> </w:t>
      </w:r>
      <w:r w:rsidRPr="004239E1">
        <w:rPr>
          <w:i/>
        </w:rPr>
        <w:t>Ferreira v Levin</w:t>
      </w:r>
      <w:r>
        <w:rPr>
          <w:i/>
        </w:rPr>
        <w:t xml:space="preserve"> NO and Others</w:t>
      </w:r>
      <w:r w:rsidRPr="004239E1">
        <w:rPr>
          <w:i/>
        </w:rPr>
        <w:t>; Vryenhoek and Others v Powell NO and Others</w:t>
      </w:r>
      <w:r>
        <w:t xml:space="preserve"> 1996 (1) SA 984 (CC) para</w:t>
      </w:r>
      <w:r w:rsidR="00A857DD">
        <w:t> </w:t>
      </w:r>
      <w:r>
        <w:t>199.</w:t>
      </w:r>
    </w:p>
  </w:footnote>
  <w:footnote w:id="20">
    <w:p w14:paraId="60C89F9C" w14:textId="6B8624A6" w:rsidR="00423079" w:rsidRDefault="00423079" w:rsidP="00D64437">
      <w:pPr>
        <w:pStyle w:val="FootnoteText"/>
        <w:jc w:val="both"/>
      </w:pPr>
      <w:r>
        <w:rPr>
          <w:rStyle w:val="FootnoteReference"/>
        </w:rPr>
        <w:footnoteRef/>
      </w:r>
      <w:r>
        <w:t xml:space="preserve"> </w:t>
      </w:r>
      <w:r w:rsidRPr="0061091C">
        <w:rPr>
          <w:i/>
        </w:rPr>
        <w:t>Competition Commission v Hosken Consolidated Investments L</w:t>
      </w:r>
      <w:r>
        <w:rPr>
          <w:i/>
        </w:rPr>
        <w:t>td</w:t>
      </w:r>
      <w:r w:rsidR="00A857DD">
        <w:rPr>
          <w:i/>
        </w:rPr>
        <w:t xml:space="preserve"> </w:t>
      </w:r>
      <w:r w:rsidRPr="0061091C">
        <w:rPr>
          <w:i/>
        </w:rPr>
        <w:t>and Another</w:t>
      </w:r>
      <w:r>
        <w:t xml:space="preserve"> [2019] ZACC 2; 2019 (4) BCLR 470 (CC); 2019 (3) SA 1 (CC) para 78. </w:t>
      </w:r>
    </w:p>
  </w:footnote>
  <w:footnote w:id="21">
    <w:p w14:paraId="0BA0090E" w14:textId="77777777" w:rsidR="00423079" w:rsidRDefault="00423079" w:rsidP="00D64437">
      <w:pPr>
        <w:pStyle w:val="FootnoteText"/>
        <w:jc w:val="both"/>
      </w:pPr>
      <w:r>
        <w:rPr>
          <w:rStyle w:val="FootnoteReference"/>
        </w:rPr>
        <w:footnoteRef/>
      </w:r>
      <w:r>
        <w:t xml:space="preserve"> Section 4(2) of the Equality Act.</w:t>
      </w:r>
    </w:p>
  </w:footnote>
  <w:footnote w:id="22">
    <w:p w14:paraId="15880859" w14:textId="78266F0C" w:rsidR="00423079" w:rsidRPr="00175469" w:rsidRDefault="00423079" w:rsidP="00D64437">
      <w:pPr>
        <w:tabs>
          <w:tab w:val="left" w:pos="2707"/>
        </w:tabs>
        <w:spacing w:after="0" w:line="240" w:lineRule="auto"/>
        <w:jc w:val="both"/>
        <w:rPr>
          <w:sz w:val="20"/>
          <w:szCs w:val="20"/>
        </w:rPr>
      </w:pPr>
      <w:r>
        <w:rPr>
          <w:rStyle w:val="FootnoteReference"/>
        </w:rPr>
        <w:footnoteRef/>
      </w:r>
      <w:r>
        <w:t xml:space="preserve"> </w:t>
      </w:r>
      <w:r w:rsidRPr="00175469">
        <w:rPr>
          <w:rFonts w:cs="Times New Roman"/>
          <w:i/>
          <w:color w:val="000000"/>
          <w:w w:val="102"/>
          <w:sz w:val="20"/>
          <w:szCs w:val="20"/>
        </w:rPr>
        <w:t xml:space="preserve">Qwelane </w:t>
      </w:r>
      <w:r w:rsidRPr="00423079">
        <w:rPr>
          <w:rFonts w:cs="Times New Roman"/>
          <w:color w:val="000000"/>
          <w:w w:val="102"/>
          <w:sz w:val="20"/>
          <w:szCs w:val="20"/>
        </w:rPr>
        <w:t>fn 1</w:t>
      </w:r>
      <w:r>
        <w:rPr>
          <w:rFonts w:cs="Times New Roman"/>
          <w:i/>
          <w:color w:val="000000"/>
          <w:w w:val="102"/>
          <w:sz w:val="20"/>
          <w:szCs w:val="20"/>
        </w:rPr>
        <w:t xml:space="preserve"> </w:t>
      </w:r>
      <w:r w:rsidRPr="00175469">
        <w:rPr>
          <w:rFonts w:cs="Times New Roman"/>
          <w:color w:val="000000"/>
          <w:spacing w:val="3"/>
          <w:sz w:val="20"/>
          <w:szCs w:val="20"/>
        </w:rPr>
        <w:t>para 110.</w:t>
      </w:r>
    </w:p>
  </w:footnote>
  <w:footnote w:id="23">
    <w:p w14:paraId="1EB502E5" w14:textId="77777777" w:rsidR="00423079" w:rsidRDefault="00423079" w:rsidP="00C9740A">
      <w:pPr>
        <w:pStyle w:val="FootnoteText"/>
        <w:jc w:val="both"/>
      </w:pPr>
      <w:r>
        <w:rPr>
          <w:rStyle w:val="FootnoteReference"/>
        </w:rPr>
        <w:footnoteRef/>
      </w:r>
      <w:r>
        <w:t xml:space="preserve"> </w:t>
      </w:r>
      <w:r w:rsidRPr="00105687">
        <w:rPr>
          <w:i/>
        </w:rPr>
        <w:t>Islamic Unity Convention v Independent Broadcasting Authority and Others</w:t>
      </w:r>
      <w:r>
        <w:t xml:space="preserve"> 2002 (4) SA 294 (CC) para 33.</w:t>
      </w:r>
    </w:p>
  </w:footnote>
  <w:footnote w:id="24">
    <w:p w14:paraId="213CC663" w14:textId="77777777" w:rsidR="00423079" w:rsidRDefault="00423079" w:rsidP="00C9740A">
      <w:pPr>
        <w:pStyle w:val="FootnoteText"/>
        <w:jc w:val="both"/>
      </w:pPr>
      <w:r>
        <w:rPr>
          <w:rStyle w:val="FootnoteReference"/>
        </w:rPr>
        <w:footnoteRef/>
      </w:r>
      <w:r>
        <w:t xml:space="preserve"> Section 16 of the Constitution provides: </w:t>
      </w:r>
    </w:p>
    <w:p w14:paraId="33938A79" w14:textId="77777777" w:rsidR="00423079" w:rsidRPr="004D3FC3" w:rsidRDefault="00423079" w:rsidP="00C9740A">
      <w:pPr>
        <w:spacing w:after="0" w:line="240" w:lineRule="auto"/>
        <w:jc w:val="both"/>
        <w:rPr>
          <w:rFonts w:eastAsia="Times New Roman" w:cs="Times New Roman"/>
          <w:b/>
          <w:bCs/>
          <w:color w:val="000000"/>
          <w:sz w:val="20"/>
          <w:szCs w:val="20"/>
          <w:lang w:eastAsia="en-ZA"/>
        </w:rPr>
      </w:pPr>
      <w:r>
        <w:rPr>
          <w:rFonts w:eastAsia="Times New Roman" w:cs="Times New Roman"/>
          <w:bCs/>
          <w:color w:val="000000"/>
          <w:sz w:val="20"/>
          <w:szCs w:val="20"/>
          <w:lang w:eastAsia="en-ZA"/>
        </w:rPr>
        <w:t>‘</w:t>
      </w:r>
      <w:r w:rsidRPr="004D3FC3">
        <w:rPr>
          <w:rFonts w:eastAsia="Times New Roman" w:cs="Times New Roman"/>
          <w:b/>
          <w:bCs/>
          <w:color w:val="000000"/>
          <w:sz w:val="20"/>
          <w:szCs w:val="20"/>
          <w:lang w:eastAsia="en-ZA"/>
        </w:rPr>
        <w:t>Freedom of expression</w:t>
      </w:r>
    </w:p>
    <w:p w14:paraId="3E341AE0"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1" w:name="0-0-0-787"/>
      <w:bookmarkEnd w:id="1"/>
      <w:r w:rsidRPr="004D3FC3">
        <w:rPr>
          <w:rFonts w:eastAsia="Times New Roman" w:cs="Times New Roman"/>
          <w:color w:val="000000"/>
          <w:sz w:val="20"/>
          <w:szCs w:val="20"/>
          <w:lang w:eastAsia="en-ZA"/>
        </w:rPr>
        <w:t>(1) Everyone has the right to freedom of expression, which includes-</w:t>
      </w:r>
    </w:p>
    <w:p w14:paraId="6FF7D1D3"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2" w:name="0-0-0-789"/>
      <w:bookmarkEnd w:id="2"/>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(a)</w:t>
      </w:r>
      <w:r w:rsidRPr="004D3FC3">
        <w:rPr>
          <w:rFonts w:eastAsia="Times New Roman" w:cs="Times New Roman"/>
          <w:color w:val="000000"/>
          <w:sz w:val="20"/>
          <w:szCs w:val="20"/>
          <w:lang w:eastAsia="en-ZA"/>
        </w:rPr>
        <w:t>   freedom of the press and other media;</w:t>
      </w:r>
    </w:p>
    <w:p w14:paraId="11396C50"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3" w:name="0-0-0-791"/>
      <w:bookmarkEnd w:id="3"/>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(b)</w:t>
      </w:r>
      <w:r w:rsidRPr="004D3FC3">
        <w:rPr>
          <w:rFonts w:eastAsia="Times New Roman" w:cs="Times New Roman"/>
          <w:color w:val="000000"/>
          <w:sz w:val="20"/>
          <w:szCs w:val="20"/>
          <w:lang w:eastAsia="en-ZA"/>
        </w:rPr>
        <w:t>   freedom to receive or impart information or ideas;</w:t>
      </w:r>
    </w:p>
    <w:p w14:paraId="62FCF8D3"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4" w:name="0-0-0-793"/>
      <w:bookmarkEnd w:id="4"/>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(c)</w:t>
      </w:r>
      <w:r w:rsidRPr="004D3FC3">
        <w:rPr>
          <w:rFonts w:eastAsia="Times New Roman" w:cs="Times New Roman"/>
          <w:color w:val="000000"/>
          <w:sz w:val="20"/>
          <w:szCs w:val="20"/>
          <w:lang w:eastAsia="en-ZA"/>
        </w:rPr>
        <w:t>   freedom of artistic creativity; and</w:t>
      </w:r>
    </w:p>
    <w:p w14:paraId="1DE2A699"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5" w:name="0-0-0-795"/>
      <w:bookmarkEnd w:id="5"/>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(d)</w:t>
      </w:r>
      <w:r w:rsidRPr="004D3FC3">
        <w:rPr>
          <w:rFonts w:eastAsia="Times New Roman" w:cs="Times New Roman"/>
          <w:color w:val="000000"/>
          <w:sz w:val="20"/>
          <w:szCs w:val="20"/>
          <w:lang w:eastAsia="en-ZA"/>
        </w:rPr>
        <w:t>   academic freedom and freedom of scientific research.</w:t>
      </w:r>
    </w:p>
    <w:p w14:paraId="1B1DFD4C"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6" w:name="0-0-0-797"/>
      <w:bookmarkEnd w:id="6"/>
      <w:r w:rsidRPr="004D3FC3">
        <w:rPr>
          <w:rFonts w:eastAsia="Times New Roman" w:cs="Times New Roman"/>
          <w:color w:val="000000"/>
          <w:sz w:val="20"/>
          <w:szCs w:val="20"/>
          <w:lang w:eastAsia="en-ZA"/>
        </w:rPr>
        <w:t>(2) The right in subsection (1) does not extend to-</w:t>
      </w:r>
    </w:p>
    <w:p w14:paraId="688B0B8C"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7" w:name="0-0-0-799"/>
      <w:bookmarkEnd w:id="7"/>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(a)</w:t>
      </w:r>
      <w:r w:rsidRPr="004D3FC3">
        <w:rPr>
          <w:rFonts w:eastAsia="Times New Roman" w:cs="Times New Roman"/>
          <w:color w:val="000000"/>
          <w:sz w:val="20"/>
          <w:szCs w:val="20"/>
          <w:lang w:eastAsia="en-ZA"/>
        </w:rPr>
        <w:t>   propaganda for war;</w:t>
      </w:r>
    </w:p>
    <w:p w14:paraId="3946E9E1" w14:textId="77777777" w:rsidR="00423079" w:rsidRPr="004D3FC3" w:rsidRDefault="00423079" w:rsidP="00C9740A">
      <w:pPr>
        <w:spacing w:after="0" w:line="240" w:lineRule="auto"/>
        <w:jc w:val="both"/>
        <w:rPr>
          <w:rFonts w:eastAsia="Times New Roman" w:cs="Times New Roman"/>
          <w:color w:val="000000"/>
          <w:sz w:val="20"/>
          <w:szCs w:val="20"/>
          <w:lang w:eastAsia="en-ZA"/>
        </w:rPr>
      </w:pPr>
      <w:bookmarkStart w:id="8" w:name="0-0-0-801"/>
      <w:bookmarkEnd w:id="8"/>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(b)</w:t>
      </w:r>
      <w:r w:rsidRPr="004D3FC3">
        <w:rPr>
          <w:rFonts w:eastAsia="Times New Roman" w:cs="Times New Roman"/>
          <w:color w:val="000000"/>
          <w:sz w:val="20"/>
          <w:szCs w:val="20"/>
          <w:lang w:eastAsia="en-ZA"/>
        </w:rPr>
        <w:t>   incitement of imminent violence; or</w:t>
      </w:r>
    </w:p>
    <w:p w14:paraId="7087256B" w14:textId="77777777" w:rsidR="00423079" w:rsidRPr="004D3FC3" w:rsidRDefault="00423079" w:rsidP="00C9740A">
      <w:pPr>
        <w:spacing w:after="0" w:line="240" w:lineRule="auto"/>
        <w:jc w:val="both"/>
        <w:rPr>
          <w:rFonts w:cs="Times New Roman"/>
        </w:rPr>
      </w:pPr>
      <w:bookmarkStart w:id="9" w:name="0-0-0-803"/>
      <w:bookmarkEnd w:id="9"/>
      <w:r w:rsidRPr="004D3FC3">
        <w:rPr>
          <w:rFonts w:eastAsia="Times New Roman" w:cs="Times New Roman"/>
          <w:color w:val="000000"/>
          <w:sz w:val="20"/>
          <w:szCs w:val="20"/>
          <w:lang w:eastAsia="en-ZA"/>
        </w:rPr>
        <w:t>   </w:t>
      </w:r>
      <w:r w:rsidRPr="004D3FC3">
        <w:rPr>
          <w:rFonts w:eastAsia="Times New Roman" w:cs="Times New Roman"/>
          <w:i/>
          <w:iCs/>
          <w:color w:val="000000"/>
          <w:sz w:val="20"/>
          <w:szCs w:val="20"/>
          <w:lang w:eastAsia="en-ZA"/>
        </w:rPr>
        <w:t>(c)</w:t>
      </w:r>
      <w:r w:rsidRPr="004D3FC3">
        <w:rPr>
          <w:rFonts w:eastAsia="Times New Roman" w:cs="Times New Roman"/>
          <w:color w:val="000000"/>
          <w:sz w:val="20"/>
          <w:szCs w:val="20"/>
          <w:lang w:eastAsia="en-ZA"/>
        </w:rPr>
        <w:t>   advocacy of hatred that is based on race, ethnicity, gender or religion, and that constitutes incitement to cause harm.</w:t>
      </w:r>
      <w:r>
        <w:rPr>
          <w:rFonts w:eastAsia="Times New Roman" w:cs="Times New Roman"/>
          <w:color w:val="000000"/>
          <w:sz w:val="20"/>
          <w:szCs w:val="20"/>
          <w:lang w:eastAsia="en-ZA"/>
        </w:rPr>
        <w:t xml:space="preserve">’ </w:t>
      </w:r>
    </w:p>
  </w:footnote>
  <w:footnote w:id="25">
    <w:p w14:paraId="0BB35B0E" w14:textId="0769A3BA" w:rsidR="00423079" w:rsidRDefault="00423079" w:rsidP="00C9740A">
      <w:pPr>
        <w:pStyle w:val="FootnoteText"/>
        <w:jc w:val="both"/>
      </w:pPr>
      <w:r>
        <w:rPr>
          <w:rStyle w:val="FootnoteReference"/>
        </w:rPr>
        <w:footnoteRef/>
      </w:r>
      <w:r>
        <w:t xml:space="preserve"> </w:t>
      </w:r>
      <w:r w:rsidRPr="002C3CA4">
        <w:rPr>
          <w:i/>
        </w:rPr>
        <w:t>Economic Freedom Fighters</w:t>
      </w:r>
      <w:r>
        <w:rPr>
          <w:i/>
        </w:rPr>
        <w:t xml:space="preserve"> and Another</w:t>
      </w:r>
      <w:r w:rsidRPr="002C3CA4">
        <w:rPr>
          <w:i/>
        </w:rPr>
        <w:t xml:space="preserve"> v Minister of Justice and Correctional Services</w:t>
      </w:r>
      <w:r>
        <w:t xml:space="preserve"> </w:t>
      </w:r>
      <w:r w:rsidRPr="00423079">
        <w:rPr>
          <w:i/>
        </w:rPr>
        <w:t>and Another</w:t>
      </w:r>
      <w:r>
        <w:t xml:space="preserve"> [2020] ZACC 25; 2021 SACR 387 (CC); 2021 (2) SA 1 (CC); 2021 (2) BCLR 118 (CC) paras 1 and 95; </w:t>
      </w:r>
      <w:r w:rsidRPr="002C3CA4">
        <w:rPr>
          <w:i/>
        </w:rPr>
        <w:t>Democratic Alliance v African National Congress</w:t>
      </w:r>
      <w:r>
        <w:rPr>
          <w:i/>
        </w:rPr>
        <w:t xml:space="preserve"> and Another</w:t>
      </w:r>
      <w:r>
        <w:t xml:space="preserve"> [2015] ZACC 1; 2015 (2) SA 232 (CC); 2015 (3) BCLR 298 paras 122-123; </w:t>
      </w:r>
      <w:r w:rsidRPr="002C3CA4">
        <w:rPr>
          <w:i/>
        </w:rPr>
        <w:t>S v Mamab</w:t>
      </w:r>
      <w:r>
        <w:rPr>
          <w:i/>
        </w:rPr>
        <w:t>olo (E TV and Others Intervening)</w:t>
      </w:r>
      <w:r>
        <w:t xml:space="preserve"> 2001 (3) SA 409 (CC) para 37.</w:t>
      </w:r>
    </w:p>
  </w:footnote>
  <w:footnote w:id="26">
    <w:p w14:paraId="7AB8F230" w14:textId="77777777" w:rsidR="00423079" w:rsidRDefault="00423079" w:rsidP="00C9740A">
      <w:pPr>
        <w:pStyle w:val="FootnoteText"/>
        <w:jc w:val="both"/>
      </w:pPr>
      <w:r>
        <w:rPr>
          <w:rStyle w:val="FootnoteReference"/>
        </w:rPr>
        <w:footnoteRef/>
      </w:r>
      <w:r>
        <w:t xml:space="preserve"> </w:t>
      </w:r>
      <w:r w:rsidRPr="00CE2F68">
        <w:rPr>
          <w:i/>
        </w:rPr>
        <w:t>Qwelane</w:t>
      </w:r>
      <w:r>
        <w:t xml:space="preserve"> fn 1 para 78.</w:t>
      </w:r>
    </w:p>
  </w:footnote>
  <w:footnote w:id="27">
    <w:p w14:paraId="24300DEE" w14:textId="0CA9C82D" w:rsidR="00423079" w:rsidRDefault="00423079" w:rsidP="00C9740A">
      <w:pPr>
        <w:pStyle w:val="FootnoteText"/>
        <w:jc w:val="both"/>
      </w:pPr>
      <w:r>
        <w:rPr>
          <w:rStyle w:val="FootnoteReference"/>
        </w:rPr>
        <w:footnoteRef/>
      </w:r>
      <w:r>
        <w:t xml:space="preserve"> </w:t>
      </w:r>
      <w:r w:rsidRPr="00CE2F68">
        <w:rPr>
          <w:i/>
        </w:rPr>
        <w:t>Qwelane</w:t>
      </w:r>
      <w:r>
        <w:t xml:space="preserve"> fn 1 para 130</w:t>
      </w:r>
      <w:r w:rsidR="00CB58FB">
        <w:t>.</w:t>
      </w:r>
    </w:p>
  </w:footnote>
  <w:footnote w:id="28">
    <w:p w14:paraId="62932BEA" w14:textId="77777777" w:rsidR="00423079" w:rsidRDefault="00423079" w:rsidP="00494880">
      <w:pPr>
        <w:pStyle w:val="FootnoteText"/>
        <w:jc w:val="both"/>
      </w:pPr>
      <w:r>
        <w:rPr>
          <w:rStyle w:val="FootnoteReference"/>
        </w:rPr>
        <w:footnoteRef/>
      </w:r>
      <w:r>
        <w:t xml:space="preserve"> </w:t>
      </w:r>
      <w:r w:rsidRPr="00CE2F68">
        <w:rPr>
          <w:i/>
        </w:rPr>
        <w:t>Qwelane</w:t>
      </w:r>
      <w:r>
        <w:t xml:space="preserve"> fn 1 para 48. Section 9(1) read with s 9(4) of the Constitution requires Parliament to enact legislation to ‘prevent and prohibit unfair discrimination’.  </w:t>
      </w:r>
    </w:p>
  </w:footnote>
  <w:footnote w:id="29">
    <w:p w14:paraId="4308A2A6" w14:textId="77777777" w:rsidR="00423079" w:rsidRDefault="00423079" w:rsidP="00494880">
      <w:pPr>
        <w:pStyle w:val="FootnoteText"/>
        <w:jc w:val="both"/>
      </w:pPr>
      <w:r>
        <w:rPr>
          <w:rStyle w:val="FootnoteReference"/>
        </w:rPr>
        <w:footnoteRef/>
      </w:r>
      <w:r>
        <w:t xml:space="preserve"> </w:t>
      </w:r>
      <w:r w:rsidRPr="00094B31">
        <w:rPr>
          <w:i/>
        </w:rPr>
        <w:t>Du Preez v Minister of Justice and Constitutional Development and Others</w:t>
      </w:r>
      <w:r>
        <w:t xml:space="preserve"> [2006] 3 All SA 271 (SE) para 12.</w:t>
      </w:r>
    </w:p>
  </w:footnote>
  <w:footnote w:id="30">
    <w:p w14:paraId="3D5490B3" w14:textId="77777777" w:rsidR="00423079" w:rsidRDefault="00423079" w:rsidP="00494880">
      <w:pPr>
        <w:pStyle w:val="FootnoteText"/>
        <w:jc w:val="both"/>
      </w:pPr>
      <w:r>
        <w:rPr>
          <w:rStyle w:val="FootnoteReference"/>
        </w:rPr>
        <w:footnoteRef/>
      </w:r>
      <w:r>
        <w:t xml:space="preserve"> Section 1 of the Constitution, in relevant part, reads:</w:t>
      </w:r>
    </w:p>
    <w:p w14:paraId="703FE70F" w14:textId="77777777" w:rsidR="00423079" w:rsidRPr="00184510" w:rsidRDefault="00423079" w:rsidP="00494880">
      <w:pPr>
        <w:spacing w:after="0" w:line="240" w:lineRule="auto"/>
        <w:jc w:val="both"/>
        <w:rPr>
          <w:rFonts w:eastAsia="Times New Roman" w:cs="Times New Roman"/>
          <w:b/>
          <w:bCs/>
          <w:color w:val="000000"/>
          <w:sz w:val="20"/>
          <w:szCs w:val="20"/>
          <w:lang w:eastAsia="en-ZA"/>
        </w:rPr>
      </w:pPr>
      <w:r>
        <w:rPr>
          <w:rFonts w:eastAsia="Times New Roman" w:cs="Times New Roman"/>
          <w:bCs/>
          <w:color w:val="000000"/>
          <w:sz w:val="20"/>
          <w:szCs w:val="20"/>
          <w:lang w:eastAsia="en-ZA"/>
        </w:rPr>
        <w:t>‘</w:t>
      </w:r>
      <w:r w:rsidRPr="00184510">
        <w:rPr>
          <w:rFonts w:eastAsia="Times New Roman" w:cs="Times New Roman"/>
          <w:b/>
          <w:bCs/>
          <w:color w:val="000000"/>
          <w:sz w:val="20"/>
          <w:szCs w:val="20"/>
          <w:lang w:eastAsia="en-ZA"/>
        </w:rPr>
        <w:t>Republic of South Africa</w:t>
      </w:r>
    </w:p>
    <w:p w14:paraId="5E9027F4" w14:textId="77777777" w:rsidR="00423079" w:rsidRPr="00184510" w:rsidRDefault="00423079" w:rsidP="00494880">
      <w:pPr>
        <w:spacing w:after="0" w:line="240" w:lineRule="auto"/>
        <w:ind w:firstLine="284"/>
        <w:jc w:val="both"/>
        <w:rPr>
          <w:rFonts w:eastAsia="Times New Roman" w:cs="Times New Roman"/>
          <w:color w:val="000000"/>
          <w:sz w:val="20"/>
          <w:szCs w:val="20"/>
          <w:lang w:eastAsia="en-ZA"/>
        </w:rPr>
      </w:pPr>
      <w:r w:rsidRPr="00184510">
        <w:rPr>
          <w:rFonts w:eastAsia="Times New Roman" w:cs="Times New Roman"/>
          <w:color w:val="000000"/>
          <w:sz w:val="20"/>
          <w:szCs w:val="20"/>
          <w:lang w:eastAsia="en-ZA"/>
        </w:rPr>
        <w:t>The Republic of South Africa is one, sovereign, democratic state founded on the following values:</w:t>
      </w:r>
    </w:p>
    <w:p w14:paraId="5B599F12" w14:textId="77777777" w:rsidR="00423079" w:rsidRPr="00184510" w:rsidRDefault="00423079" w:rsidP="00494880">
      <w:pPr>
        <w:spacing w:after="0" w:line="240" w:lineRule="auto"/>
        <w:jc w:val="both"/>
        <w:rPr>
          <w:rFonts w:eastAsia="Times New Roman" w:cs="Times New Roman"/>
          <w:color w:val="000000"/>
          <w:sz w:val="20"/>
          <w:szCs w:val="20"/>
          <w:lang w:eastAsia="en-ZA"/>
        </w:rPr>
      </w:pPr>
      <w:bookmarkStart w:id="10" w:name="0-0-0-653"/>
      <w:bookmarkEnd w:id="10"/>
      <w:r w:rsidRPr="00184510">
        <w:rPr>
          <w:rFonts w:eastAsia="Times New Roman" w:cs="Times New Roman"/>
          <w:color w:val="000000"/>
          <w:sz w:val="20"/>
          <w:szCs w:val="20"/>
          <w:lang w:eastAsia="en-ZA"/>
        </w:rPr>
        <w:t>   </w:t>
      </w:r>
      <w:r w:rsidRPr="00184510">
        <w:rPr>
          <w:rFonts w:eastAsia="Times New Roman" w:cs="Times New Roman"/>
          <w:i/>
          <w:iCs/>
          <w:color w:val="000000"/>
          <w:sz w:val="20"/>
          <w:szCs w:val="20"/>
          <w:lang w:eastAsia="en-ZA"/>
        </w:rPr>
        <w:t>(a)</w:t>
      </w:r>
      <w:r w:rsidRPr="00184510">
        <w:rPr>
          <w:rFonts w:eastAsia="Times New Roman" w:cs="Times New Roman"/>
          <w:color w:val="000000"/>
          <w:sz w:val="20"/>
          <w:szCs w:val="20"/>
          <w:lang w:eastAsia="en-ZA"/>
        </w:rPr>
        <w:t>   Human dignity, the achievement of equality and the advancement of human rights and freedoms.</w:t>
      </w:r>
    </w:p>
    <w:p w14:paraId="183850CE" w14:textId="77777777" w:rsidR="00423079" w:rsidRDefault="00423079" w:rsidP="00494880">
      <w:pPr>
        <w:spacing w:after="0" w:line="240" w:lineRule="auto"/>
        <w:jc w:val="both"/>
      </w:pPr>
      <w:bookmarkStart w:id="11" w:name="0-0-0-655"/>
      <w:bookmarkEnd w:id="11"/>
      <w:r w:rsidRPr="00184510">
        <w:rPr>
          <w:rFonts w:eastAsia="Times New Roman" w:cs="Times New Roman"/>
          <w:color w:val="000000"/>
          <w:sz w:val="20"/>
          <w:szCs w:val="20"/>
          <w:lang w:eastAsia="en-ZA"/>
        </w:rPr>
        <w:t>   </w:t>
      </w:r>
      <w:r w:rsidRPr="00184510">
        <w:rPr>
          <w:rFonts w:eastAsia="Times New Roman" w:cs="Times New Roman"/>
          <w:i/>
          <w:iCs/>
          <w:color w:val="000000"/>
          <w:sz w:val="20"/>
          <w:szCs w:val="20"/>
          <w:lang w:eastAsia="en-ZA"/>
        </w:rPr>
        <w:t>(b)</w:t>
      </w:r>
      <w:r w:rsidRPr="00184510">
        <w:rPr>
          <w:rFonts w:eastAsia="Times New Roman" w:cs="Times New Roman"/>
          <w:color w:val="000000"/>
          <w:sz w:val="20"/>
          <w:szCs w:val="20"/>
          <w:lang w:eastAsia="en-ZA"/>
        </w:rPr>
        <w:t>   Non-racialism and non-sexism.</w:t>
      </w:r>
      <w:r>
        <w:rPr>
          <w:rFonts w:eastAsia="Times New Roman" w:cs="Times New Roman"/>
          <w:color w:val="000000"/>
          <w:sz w:val="20"/>
          <w:szCs w:val="20"/>
          <w:lang w:eastAsia="en-ZA"/>
        </w:rPr>
        <w:t xml:space="preserve">’ </w:t>
      </w:r>
    </w:p>
  </w:footnote>
  <w:footnote w:id="31">
    <w:p w14:paraId="4380AB74" w14:textId="77777777" w:rsidR="00423079" w:rsidRDefault="00423079" w:rsidP="00494880">
      <w:pPr>
        <w:pStyle w:val="FootnoteText"/>
        <w:jc w:val="both"/>
      </w:pPr>
      <w:r>
        <w:rPr>
          <w:rStyle w:val="FootnoteReference"/>
        </w:rPr>
        <w:footnoteRef/>
      </w:r>
      <w:r>
        <w:t xml:space="preserve"> </w:t>
      </w:r>
      <w:r w:rsidRPr="00094B31">
        <w:rPr>
          <w:i/>
        </w:rPr>
        <w:t>Dawood and Another v Minister of Home Affairs and Others; Shalabi and Another v Minister of Home Affairs and Others; Thomas and Another v Minister of Home affairs and Others</w:t>
      </w:r>
      <w:r>
        <w:t xml:space="preserve"> 2000 (3) SA 936 (CC) para 35. </w:t>
      </w:r>
    </w:p>
  </w:footnote>
  <w:footnote w:id="32">
    <w:p w14:paraId="3A3E58F5" w14:textId="77777777" w:rsidR="00423079" w:rsidRDefault="00423079" w:rsidP="00494880">
      <w:pPr>
        <w:pStyle w:val="FootnoteText"/>
        <w:jc w:val="both"/>
      </w:pPr>
      <w:r>
        <w:rPr>
          <w:rStyle w:val="FootnoteReference"/>
        </w:rPr>
        <w:footnoteRef/>
      </w:r>
      <w:r>
        <w:t xml:space="preserve"> </w:t>
      </w:r>
      <w:r w:rsidRPr="00CE2F68">
        <w:rPr>
          <w:i/>
        </w:rPr>
        <w:t>Qwelane</w:t>
      </w:r>
      <w:r>
        <w:t xml:space="preserve"> fn 1 para 1. </w:t>
      </w:r>
    </w:p>
  </w:footnote>
  <w:footnote w:id="33">
    <w:p w14:paraId="04E7845A" w14:textId="77777777" w:rsidR="00423079" w:rsidRPr="00706764" w:rsidRDefault="00423079" w:rsidP="00494880">
      <w:pPr>
        <w:pStyle w:val="FootnoteText"/>
        <w:jc w:val="both"/>
      </w:pPr>
      <w:r w:rsidRPr="00706764">
        <w:rPr>
          <w:rStyle w:val="FootnoteReference"/>
        </w:rPr>
        <w:footnoteRef/>
      </w:r>
      <w:r w:rsidRPr="00706764">
        <w:t xml:space="preserve"> Paragraph 1(d) of the order in </w:t>
      </w:r>
      <w:r w:rsidRPr="00706764">
        <w:rPr>
          <w:i/>
        </w:rPr>
        <w:t>Qwelane</w:t>
      </w:r>
      <w:r w:rsidRPr="00706764">
        <w:t>, fn 1.</w:t>
      </w:r>
      <w:r>
        <w:t xml:space="preserve"> Prior to this order, s 10(1) proscribed the publication, propagation or communication of words based on a prohibited ground, that could reasonably be construed to demonstrate a clear intention to ‘be hurtful’. </w:t>
      </w:r>
    </w:p>
  </w:footnote>
  <w:footnote w:id="34">
    <w:p w14:paraId="40CD1FE7" w14:textId="157E015E" w:rsidR="00423079" w:rsidRPr="00706764" w:rsidRDefault="00423079" w:rsidP="00494880">
      <w:pPr>
        <w:pStyle w:val="FootnoteText"/>
        <w:jc w:val="both"/>
      </w:pPr>
      <w:r w:rsidRPr="00706764">
        <w:rPr>
          <w:rStyle w:val="FootnoteReference"/>
        </w:rPr>
        <w:footnoteRef/>
      </w:r>
      <w:r w:rsidRPr="00706764">
        <w:t xml:space="preserve"> </w:t>
      </w:r>
      <w:r w:rsidRPr="00423079">
        <w:rPr>
          <w:i/>
        </w:rPr>
        <w:t>Qwelane</w:t>
      </w:r>
      <w:r>
        <w:t xml:space="preserve"> fn 1 at 3 of the judgment.</w:t>
      </w:r>
    </w:p>
  </w:footnote>
  <w:footnote w:id="35">
    <w:p w14:paraId="184DA508" w14:textId="77777777" w:rsidR="00423079" w:rsidRDefault="00423079">
      <w:pPr>
        <w:pStyle w:val="FootnoteText"/>
      </w:pPr>
      <w:r>
        <w:rPr>
          <w:rStyle w:val="FootnoteReference"/>
        </w:rPr>
        <w:footnoteRef/>
      </w:r>
      <w:r>
        <w:t xml:space="preserve"> </w:t>
      </w:r>
      <w:r w:rsidRPr="00850288">
        <w:rPr>
          <w:i/>
        </w:rPr>
        <w:t>Qwelane</w:t>
      </w:r>
      <w:r>
        <w:t xml:space="preserve"> fn 1 para 113.</w:t>
      </w:r>
    </w:p>
  </w:footnote>
  <w:footnote w:id="36">
    <w:p w14:paraId="75C0DBA6" w14:textId="77777777" w:rsidR="00423079" w:rsidRDefault="00423079">
      <w:pPr>
        <w:pStyle w:val="FootnoteText"/>
      </w:pPr>
      <w:r>
        <w:rPr>
          <w:rStyle w:val="FootnoteReference"/>
        </w:rPr>
        <w:footnoteRef/>
      </w:r>
      <w:r>
        <w:t xml:space="preserve"> </w:t>
      </w:r>
      <w:r w:rsidRPr="006956F3">
        <w:rPr>
          <w:i/>
        </w:rPr>
        <w:t>Qwelane</w:t>
      </w:r>
      <w:r>
        <w:t xml:space="preserve"> fn 1 para 114.</w:t>
      </w:r>
    </w:p>
  </w:footnote>
  <w:footnote w:id="37">
    <w:p w14:paraId="02B774E8" w14:textId="77777777" w:rsidR="00423079" w:rsidRDefault="00423079">
      <w:pPr>
        <w:pStyle w:val="FootnoteText"/>
      </w:pPr>
      <w:r>
        <w:rPr>
          <w:rStyle w:val="FootnoteReference"/>
        </w:rPr>
        <w:footnoteRef/>
      </w:r>
      <w:r>
        <w:t xml:space="preserve"> </w:t>
      </w:r>
      <w:r w:rsidRPr="00306682">
        <w:t>Ibid.</w:t>
      </w:r>
    </w:p>
  </w:footnote>
  <w:footnote w:id="38">
    <w:p w14:paraId="530C96A9" w14:textId="77777777" w:rsidR="00423079" w:rsidRDefault="00423079">
      <w:pPr>
        <w:pStyle w:val="FootnoteText"/>
      </w:pPr>
      <w:r>
        <w:rPr>
          <w:rStyle w:val="FootnoteReference"/>
        </w:rPr>
        <w:footnoteRef/>
      </w:r>
      <w:r>
        <w:t xml:space="preserve"> </w:t>
      </w:r>
      <w:r w:rsidRPr="00025498">
        <w:rPr>
          <w:i/>
        </w:rPr>
        <w:t>Qwelane</w:t>
      </w:r>
      <w:r>
        <w:t xml:space="preserve"> fn 1 para 115.</w:t>
      </w:r>
    </w:p>
  </w:footnote>
  <w:footnote w:id="39">
    <w:p w14:paraId="24FCBBF2" w14:textId="77777777" w:rsidR="00423079" w:rsidRDefault="00423079">
      <w:pPr>
        <w:pStyle w:val="FootnoteText"/>
      </w:pPr>
      <w:r>
        <w:rPr>
          <w:rStyle w:val="FootnoteReference"/>
        </w:rPr>
        <w:footnoteRef/>
      </w:r>
      <w:r>
        <w:t xml:space="preserve"> Ibid.</w:t>
      </w:r>
    </w:p>
  </w:footnote>
  <w:footnote w:id="40">
    <w:p w14:paraId="0EC308A3" w14:textId="77777777" w:rsidR="00423079" w:rsidRDefault="00423079">
      <w:pPr>
        <w:pStyle w:val="FootnoteText"/>
      </w:pPr>
      <w:r>
        <w:rPr>
          <w:rStyle w:val="FootnoteReference"/>
        </w:rPr>
        <w:footnoteRef/>
      </w:r>
      <w:r>
        <w:t xml:space="preserve"> </w:t>
      </w:r>
      <w:r w:rsidRPr="00025498">
        <w:rPr>
          <w:i/>
        </w:rPr>
        <w:t>Qwelane</w:t>
      </w:r>
      <w:r>
        <w:t xml:space="preserve"> fn 1 paras 96-101.</w:t>
      </w:r>
    </w:p>
  </w:footnote>
  <w:footnote w:id="41">
    <w:p w14:paraId="6B2F00E5" w14:textId="77777777" w:rsidR="00423079" w:rsidRDefault="00423079">
      <w:pPr>
        <w:pStyle w:val="FootnoteText"/>
      </w:pPr>
      <w:r>
        <w:rPr>
          <w:rStyle w:val="FootnoteReference"/>
        </w:rPr>
        <w:footnoteRef/>
      </w:r>
      <w:r>
        <w:t xml:space="preserve"> </w:t>
      </w:r>
      <w:r w:rsidRPr="008D5770">
        <w:rPr>
          <w:i/>
        </w:rPr>
        <w:t>Qwelane</w:t>
      </w:r>
      <w:r>
        <w:t xml:space="preserve"> fn 1 para 100, emphasis in the original.</w:t>
      </w:r>
    </w:p>
  </w:footnote>
  <w:footnote w:id="42">
    <w:p w14:paraId="05424D6D" w14:textId="77777777" w:rsidR="00423079" w:rsidRDefault="00423079" w:rsidP="0037446E">
      <w:pPr>
        <w:pStyle w:val="FootnoteText"/>
        <w:jc w:val="both"/>
      </w:pPr>
      <w:r>
        <w:rPr>
          <w:rStyle w:val="FootnoteReference"/>
        </w:rPr>
        <w:footnoteRef/>
      </w:r>
      <w:r>
        <w:t xml:space="preserve"> Ibid, emphasis in the original. The Constitutional Court endorsed the approach in </w:t>
      </w:r>
      <w:r w:rsidRPr="0037446E">
        <w:rPr>
          <w:i/>
        </w:rPr>
        <w:t>Saskatchewan (Human Rights Commission) v Whatcott</w:t>
      </w:r>
      <w:r>
        <w:t xml:space="preserve"> 2012 SCC 11; [2013] 1 SCR 467 </w:t>
      </w:r>
      <w:r w:rsidRPr="00873776">
        <w:rPr>
          <w:i/>
        </w:rPr>
        <w:t>(Whatcott)</w:t>
      </w:r>
      <w:r>
        <w:t xml:space="preserve"> para 126, in which the Supreme Court of Canada stated:</w:t>
      </w:r>
    </w:p>
    <w:p w14:paraId="5BA1085E" w14:textId="77777777" w:rsidR="00423079" w:rsidRDefault="00423079" w:rsidP="0037446E">
      <w:pPr>
        <w:pStyle w:val="FootnoteText"/>
        <w:jc w:val="both"/>
      </w:pPr>
      <w:r>
        <w:t xml:space="preserve">‘The preoccupation with the effects, and not with intent, is readily explicable when one considers that systemic discrimination is much more widespread in our society than is intentional discrimination. To import a subjective intent requirement into human rights provisions, rather than allowing tribunals to focus solely upon effects, would thus defeat one of the primary goals of the anti-discrimination statute.’ </w:t>
      </w:r>
    </w:p>
  </w:footnote>
  <w:footnote w:id="43">
    <w:p w14:paraId="4BCAD9B6" w14:textId="77777777" w:rsidR="00423079" w:rsidRDefault="00423079" w:rsidP="003E017A">
      <w:pPr>
        <w:pStyle w:val="FootnoteText"/>
      </w:pPr>
      <w:r>
        <w:rPr>
          <w:rStyle w:val="FootnoteReference"/>
        </w:rPr>
        <w:footnoteRef/>
      </w:r>
      <w:r>
        <w:t xml:space="preserve"> </w:t>
      </w:r>
      <w:r w:rsidRPr="008D5770">
        <w:rPr>
          <w:i/>
        </w:rPr>
        <w:t>Qwelane</w:t>
      </w:r>
      <w:r>
        <w:t xml:space="preserve"> fn 1 paras 102-110.</w:t>
      </w:r>
    </w:p>
  </w:footnote>
  <w:footnote w:id="44">
    <w:p w14:paraId="400EF39C" w14:textId="77777777" w:rsidR="00423079" w:rsidRDefault="00423079">
      <w:pPr>
        <w:pStyle w:val="FootnoteText"/>
      </w:pPr>
      <w:r>
        <w:rPr>
          <w:rStyle w:val="FootnoteReference"/>
        </w:rPr>
        <w:footnoteRef/>
      </w:r>
      <w:r>
        <w:t xml:space="preserve"> </w:t>
      </w:r>
      <w:r w:rsidRPr="00740738">
        <w:rPr>
          <w:i/>
        </w:rPr>
        <w:t>Qwelane</w:t>
      </w:r>
      <w:r>
        <w:t xml:space="preserve"> fn 1 para 112.</w:t>
      </w:r>
    </w:p>
  </w:footnote>
  <w:footnote w:id="45">
    <w:p w14:paraId="18A46F02" w14:textId="77777777" w:rsidR="00423079" w:rsidRPr="00365BDE" w:rsidRDefault="00423079">
      <w:pPr>
        <w:pStyle w:val="FootnoteText"/>
      </w:pPr>
      <w:r>
        <w:rPr>
          <w:rStyle w:val="FootnoteReference"/>
        </w:rPr>
        <w:footnoteRef/>
      </w:r>
      <w:r>
        <w:t xml:space="preserve"> Ibid.</w:t>
      </w:r>
    </w:p>
  </w:footnote>
  <w:footnote w:id="46">
    <w:p w14:paraId="77435034" w14:textId="16EE6266" w:rsidR="00423079" w:rsidRDefault="00423079" w:rsidP="0085600F">
      <w:pPr>
        <w:pStyle w:val="FootnoteText"/>
        <w:jc w:val="both"/>
      </w:pPr>
      <w:r>
        <w:rPr>
          <w:rStyle w:val="FootnoteReference"/>
        </w:rPr>
        <w:footnoteRef/>
      </w:r>
      <w:r>
        <w:t xml:space="preserve"> In the light of the judgment in </w:t>
      </w:r>
      <w:r w:rsidRPr="00C96A2B">
        <w:rPr>
          <w:i/>
        </w:rPr>
        <w:t>Qwelane</w:t>
      </w:r>
      <w:r>
        <w:t>, which removed the requirement that hate speech must also ‘be hurtful’.</w:t>
      </w:r>
    </w:p>
  </w:footnote>
  <w:footnote w:id="47">
    <w:p w14:paraId="6C68C8BC" w14:textId="77777777" w:rsidR="00423079" w:rsidRDefault="00423079" w:rsidP="006F56C4">
      <w:pPr>
        <w:pStyle w:val="FootnoteText"/>
        <w:jc w:val="both"/>
      </w:pPr>
      <w:r>
        <w:rPr>
          <w:rStyle w:val="FootnoteReference"/>
        </w:rPr>
        <w:footnoteRef/>
      </w:r>
      <w:r>
        <w:t xml:space="preserve"> Following the judgment in </w:t>
      </w:r>
      <w:r w:rsidRPr="008D5770">
        <w:rPr>
          <w:i/>
        </w:rPr>
        <w:t>Qwelane</w:t>
      </w:r>
      <w:r>
        <w:t>, which removed the requirement that it must also ‘be hurtful’.</w:t>
      </w:r>
    </w:p>
  </w:footnote>
  <w:footnote w:id="48">
    <w:p w14:paraId="0AE9B93B" w14:textId="77777777" w:rsidR="00423079" w:rsidRPr="00EA05DC" w:rsidRDefault="00423079" w:rsidP="006F56C4">
      <w:pPr>
        <w:pStyle w:val="FootnoteText"/>
        <w:jc w:val="both"/>
      </w:pPr>
      <w:r>
        <w:rPr>
          <w:rStyle w:val="FootnoteReference"/>
        </w:rPr>
        <w:footnoteRef/>
      </w:r>
      <w:r>
        <w:t xml:space="preserve"> </w:t>
      </w:r>
      <w:r w:rsidRPr="008D5770">
        <w:rPr>
          <w:i/>
        </w:rPr>
        <w:t>Qwelane</w:t>
      </w:r>
      <w:r>
        <w:t xml:space="preserve"> fn 1 para 111.</w:t>
      </w:r>
    </w:p>
  </w:footnote>
  <w:footnote w:id="49">
    <w:p w14:paraId="4373B352" w14:textId="7315B070" w:rsidR="00423079" w:rsidRPr="000F5AEE" w:rsidRDefault="00423079" w:rsidP="006F56C4">
      <w:pPr>
        <w:pStyle w:val="FootnoteText"/>
        <w:jc w:val="both"/>
      </w:pPr>
      <w:r>
        <w:rPr>
          <w:rStyle w:val="FootnoteReference"/>
        </w:rPr>
        <w:footnoteRef/>
      </w:r>
      <w:r>
        <w:t xml:space="preserve"> </w:t>
      </w:r>
      <w:r w:rsidRPr="0058643A">
        <w:rPr>
          <w:i/>
        </w:rPr>
        <w:t>Rustenburg Platinum Mine</w:t>
      </w:r>
      <w:r>
        <w:rPr>
          <w:i/>
        </w:rPr>
        <w:t xml:space="preserve"> v SAEWA obo Bester </w:t>
      </w:r>
      <w:r w:rsidRPr="000F5AEE">
        <w:t xml:space="preserve">[2018] ZACC 13; 2018 (5) SA 78 (CC); 2018 (8) BCLR 951 (CC) para 52. </w:t>
      </w:r>
    </w:p>
  </w:footnote>
  <w:footnote w:id="50">
    <w:p w14:paraId="48B3350B" w14:textId="7ABABDD4" w:rsidR="00423079" w:rsidRDefault="00423079" w:rsidP="006F56C4">
      <w:pPr>
        <w:pStyle w:val="FootnoteText"/>
        <w:jc w:val="both"/>
      </w:pPr>
      <w:r>
        <w:rPr>
          <w:rStyle w:val="FootnoteReference"/>
        </w:rPr>
        <w:footnoteRef/>
      </w:r>
      <w:r>
        <w:t xml:space="preserve"> </w:t>
      </w:r>
      <w:r w:rsidRPr="0059392F">
        <w:rPr>
          <w:i/>
        </w:rPr>
        <w:t>South African Revenue Service v Commission for Conciliation, Mediation and Arbitration</w:t>
      </w:r>
      <w:r>
        <w:rPr>
          <w:i/>
        </w:rPr>
        <w:t xml:space="preserve"> and</w:t>
      </w:r>
      <w:r>
        <w:t xml:space="preserve"> </w:t>
      </w:r>
      <w:r w:rsidRPr="006F56C4">
        <w:rPr>
          <w:i/>
        </w:rPr>
        <w:t>Others</w:t>
      </w:r>
      <w:r>
        <w:t xml:space="preserve"> [2016] ZACC 38; 2017 (1) SA 549 (CC); 2017 (1) BCLR 241 (CC) para 14.</w:t>
      </w:r>
    </w:p>
  </w:footnote>
  <w:footnote w:id="51">
    <w:p w14:paraId="1E06C230" w14:textId="77777777" w:rsidR="00423079" w:rsidRDefault="00423079">
      <w:pPr>
        <w:pStyle w:val="FootnoteText"/>
      </w:pPr>
      <w:r>
        <w:rPr>
          <w:rStyle w:val="FootnoteReference"/>
        </w:rPr>
        <w:footnoteRef/>
      </w:r>
      <w:r>
        <w:t xml:space="preserve"> </w:t>
      </w:r>
      <w:r w:rsidRPr="00740738">
        <w:rPr>
          <w:i/>
        </w:rPr>
        <w:t>Qwelane</w:t>
      </w:r>
      <w:r>
        <w:t xml:space="preserve"> fn 1 para 86.</w:t>
      </w:r>
    </w:p>
  </w:footnote>
  <w:footnote w:id="52">
    <w:p w14:paraId="04546117" w14:textId="77777777" w:rsidR="00423079" w:rsidRDefault="00423079">
      <w:pPr>
        <w:pStyle w:val="FootnoteText"/>
      </w:pPr>
      <w:r>
        <w:rPr>
          <w:rStyle w:val="FootnoteReference"/>
        </w:rPr>
        <w:footnoteRef/>
      </w:r>
      <w:r>
        <w:t xml:space="preserve"> Ibid.</w:t>
      </w:r>
    </w:p>
  </w:footnote>
  <w:footnote w:id="53">
    <w:p w14:paraId="341D64EE" w14:textId="6DD47051" w:rsidR="00423079" w:rsidRDefault="00423079" w:rsidP="008437F5">
      <w:pPr>
        <w:pStyle w:val="FootnoteText"/>
        <w:jc w:val="both"/>
      </w:pPr>
      <w:r>
        <w:rPr>
          <w:rStyle w:val="FootnoteReference"/>
        </w:rPr>
        <w:footnoteRef/>
      </w:r>
      <w:r>
        <w:t xml:space="preserve"> The International Convention on the Suppression and Punishment of the Crime of Apartheid, 1976 (Gen Assembly Res 3068/1976 Article I(1) and the Rome Statute Article 7(2)(h) states:</w:t>
      </w:r>
    </w:p>
    <w:p w14:paraId="687CFC0C" w14:textId="6A48336B" w:rsidR="00423079" w:rsidRDefault="00423079" w:rsidP="008437F5">
      <w:pPr>
        <w:pStyle w:val="FootnoteText"/>
        <w:jc w:val="both"/>
      </w:pPr>
      <w:r>
        <w:t>‘The States Parties to the present Convention declare that apartheid is a crime against humanity and that inhuman acts resulting from the policies and practices of apartheid and similar policies and practices of racial segregation and discrimination, as defined in article II of the Convention, are crimes violating the principles of international law, in particular the purposes and principles of the Charter of the United Nations, and constituting a serious threat to international peace and security. The Rome Statute describes the crime of apartheid as,</w:t>
      </w:r>
      <w:r w:rsidR="00B36B00">
        <w:t xml:space="preserve"> </w:t>
      </w:r>
      <w:r>
        <w:t>“inhumane acts of a character similar to those referred to in paragraph 1, committed in the context of an institutionalized regime of systematic oppression and domination by one racial group over any other racial group or groups and committed with intention of maintaining that regime”.</w:t>
      </w:r>
      <w:r w:rsidR="00014D8F">
        <w:t>’ In 1984 the UN Security Council</w:t>
      </w:r>
      <w:r w:rsidR="00463BAA">
        <w:t xml:space="preserve"> at its 2560</w:t>
      </w:r>
      <w:r w:rsidR="00463BAA" w:rsidRPr="00463BAA">
        <w:rPr>
          <w:vertAlign w:val="superscript"/>
        </w:rPr>
        <w:t>th</w:t>
      </w:r>
      <w:r w:rsidR="00463BAA">
        <w:t xml:space="preserve"> meeting,</w:t>
      </w:r>
      <w:r w:rsidR="00014D8F">
        <w:t xml:space="preserve"> endorsed this Resolution (SC Resolution 556 (1984) of 23 October 1984). </w:t>
      </w:r>
    </w:p>
  </w:footnote>
  <w:footnote w:id="54">
    <w:p w14:paraId="1DDE5771" w14:textId="77777777" w:rsidR="00423079" w:rsidRDefault="00423079" w:rsidP="00456634">
      <w:pPr>
        <w:pStyle w:val="FootnoteText"/>
      </w:pPr>
      <w:r>
        <w:rPr>
          <w:rStyle w:val="FootnoteReference"/>
        </w:rPr>
        <w:footnoteRef/>
      </w:r>
      <w:r>
        <w:t xml:space="preserve"> </w:t>
      </w:r>
      <w:r w:rsidRPr="009344A6">
        <w:rPr>
          <w:i/>
        </w:rPr>
        <w:t xml:space="preserve">Qwelane </w:t>
      </w:r>
      <w:r>
        <w:t>fn 1 para 154.</w:t>
      </w:r>
    </w:p>
  </w:footnote>
  <w:footnote w:id="55">
    <w:p w14:paraId="75CD3FEC" w14:textId="77777777" w:rsidR="00423079" w:rsidRDefault="00423079">
      <w:pPr>
        <w:pStyle w:val="FootnoteText"/>
      </w:pPr>
      <w:r>
        <w:rPr>
          <w:rStyle w:val="FootnoteReference"/>
        </w:rPr>
        <w:footnoteRef/>
      </w:r>
      <w:r>
        <w:t xml:space="preserve"> </w:t>
      </w:r>
      <w:r w:rsidRPr="009344A6">
        <w:rPr>
          <w:i/>
        </w:rPr>
        <w:t xml:space="preserve">Qwelane </w:t>
      </w:r>
      <w:r>
        <w:t>fn 1 para 1.</w:t>
      </w:r>
    </w:p>
  </w:footnote>
  <w:footnote w:id="56">
    <w:p w14:paraId="5E1A3193" w14:textId="77777777" w:rsidR="00423079" w:rsidRDefault="00423079" w:rsidP="00E61C9A">
      <w:pPr>
        <w:pStyle w:val="FootnoteText"/>
        <w:jc w:val="both"/>
      </w:pPr>
      <w:r>
        <w:rPr>
          <w:rStyle w:val="FootnoteReference"/>
        </w:rPr>
        <w:footnoteRef/>
      </w:r>
      <w:r>
        <w:t xml:space="preserve"> </w:t>
      </w:r>
      <w:r w:rsidRPr="00F77ED3">
        <w:rPr>
          <w:i/>
        </w:rPr>
        <w:t>R v Keegstra</w:t>
      </w:r>
      <w:r>
        <w:t xml:space="preserve"> [1990] 3 SCR 697 at 746i-j, approved in </w:t>
      </w:r>
      <w:r w:rsidRPr="00F77ED3">
        <w:rPr>
          <w:i/>
        </w:rPr>
        <w:t>Qwelane</w:t>
      </w:r>
      <w:r>
        <w:t xml:space="preserve"> fn1 para 154.</w:t>
      </w:r>
    </w:p>
  </w:footnote>
  <w:footnote w:id="57">
    <w:p w14:paraId="2DECC386" w14:textId="2984AC6F" w:rsidR="00423079" w:rsidRDefault="00423079" w:rsidP="00E61C9A">
      <w:pPr>
        <w:pStyle w:val="FootnoteText"/>
        <w:jc w:val="both"/>
      </w:pPr>
      <w:r>
        <w:rPr>
          <w:rStyle w:val="FootnoteReference"/>
        </w:rPr>
        <w:footnoteRef/>
      </w:r>
      <w:r>
        <w:t xml:space="preserve"> </w:t>
      </w:r>
      <w:r w:rsidRPr="00265436">
        <w:rPr>
          <w:i/>
        </w:rPr>
        <w:t>Islamic Unity Convention</w:t>
      </w:r>
      <w:r>
        <w:t xml:space="preserve"> fn 2</w:t>
      </w:r>
      <w:r w:rsidR="00E30523">
        <w:t>3</w:t>
      </w:r>
      <w:r>
        <w:t xml:space="preserve"> paras 28 and 33; </w:t>
      </w:r>
      <w:r w:rsidRPr="009344A6">
        <w:rPr>
          <w:i/>
        </w:rPr>
        <w:t xml:space="preserve">Qwelane </w:t>
      </w:r>
      <w:r>
        <w:t>fn 1 para 1.</w:t>
      </w:r>
    </w:p>
  </w:footnote>
  <w:footnote w:id="58">
    <w:p w14:paraId="6F15AD77" w14:textId="77777777" w:rsidR="00423079" w:rsidRDefault="00423079" w:rsidP="00E61C9A">
      <w:pPr>
        <w:pStyle w:val="FootnoteText"/>
        <w:jc w:val="both"/>
      </w:pPr>
      <w:r>
        <w:rPr>
          <w:rStyle w:val="FootnoteReference"/>
        </w:rPr>
        <w:footnoteRef/>
      </w:r>
      <w:r>
        <w:t xml:space="preserve"> </w:t>
      </w:r>
      <w:r w:rsidRPr="009344A6">
        <w:rPr>
          <w:i/>
        </w:rPr>
        <w:t xml:space="preserve">Qwelane </w:t>
      </w:r>
      <w:r>
        <w:t>fn 1 para 1.</w:t>
      </w:r>
    </w:p>
  </w:footnote>
  <w:footnote w:id="59">
    <w:p w14:paraId="2DAC9A81" w14:textId="54C4E39B" w:rsidR="00423079" w:rsidRPr="00E61BEC" w:rsidRDefault="00423079" w:rsidP="00E61C9A">
      <w:pPr>
        <w:pStyle w:val="FootnoteText"/>
        <w:jc w:val="both"/>
      </w:pPr>
      <w:r>
        <w:rPr>
          <w:rStyle w:val="FootnoteReference"/>
        </w:rPr>
        <w:footnoteRef/>
      </w:r>
      <w:r>
        <w:t xml:space="preserve"> </w:t>
      </w:r>
      <w:r w:rsidRPr="00835CB8">
        <w:rPr>
          <w:i/>
        </w:rPr>
        <w:t>Collins English Dictionary</w:t>
      </w:r>
      <w:r>
        <w:t xml:space="preserve"> online at www.collinsdictionary.com/dictionaryenglishpromote (</w:t>
      </w:r>
      <w:r w:rsidRPr="00E61BEC">
        <w:t>accessed on 14</w:t>
      </w:r>
      <w:r w:rsidR="00B4218A">
        <w:t> </w:t>
      </w:r>
      <w:r w:rsidRPr="00E61BEC">
        <w:t>April 2023).</w:t>
      </w:r>
    </w:p>
  </w:footnote>
  <w:footnote w:id="60">
    <w:p w14:paraId="66096AB3" w14:textId="77777777" w:rsidR="00423079" w:rsidRPr="00E61BEC" w:rsidRDefault="00423079" w:rsidP="00750178">
      <w:pPr>
        <w:pStyle w:val="FootnoteText"/>
        <w:jc w:val="both"/>
      </w:pPr>
      <w:r w:rsidRPr="00E61BEC">
        <w:rPr>
          <w:rStyle w:val="FootnoteReference"/>
        </w:rPr>
        <w:footnoteRef/>
      </w:r>
      <w:r w:rsidRPr="00E61BEC">
        <w:t xml:space="preserve"> L Brown </w:t>
      </w:r>
      <w:r w:rsidRPr="00E61BEC">
        <w:rPr>
          <w:i/>
        </w:rPr>
        <w:t>The New Shorter Oxford English Dictionary on Historical Principles</w:t>
      </w:r>
      <w:r w:rsidRPr="00E61BEC">
        <w:t xml:space="preserve"> (3 ed 1993) Vol 2 at 2378.</w:t>
      </w:r>
    </w:p>
  </w:footnote>
  <w:footnote w:id="61">
    <w:p w14:paraId="094EA654" w14:textId="64F91A04" w:rsidR="00423079" w:rsidRDefault="00423079" w:rsidP="00750178">
      <w:pPr>
        <w:pStyle w:val="FootnoteText"/>
        <w:jc w:val="both"/>
      </w:pPr>
      <w:r w:rsidRPr="00E61BEC">
        <w:rPr>
          <w:rStyle w:val="FootnoteReference"/>
        </w:rPr>
        <w:footnoteRef/>
      </w:r>
      <w:r w:rsidRPr="00E61BEC">
        <w:t xml:space="preserve"> </w:t>
      </w:r>
      <w:r w:rsidRPr="00E61BEC">
        <w:rPr>
          <w:i/>
        </w:rPr>
        <w:t>Collins English Dictionary</w:t>
      </w:r>
      <w:r w:rsidRPr="00E61BEC">
        <w:t xml:space="preserve"> online at www.collinsdictionary.com/dictionaryenglishpromote (accessed on 14</w:t>
      </w:r>
      <w:r w:rsidR="00B4218A">
        <w:t> </w:t>
      </w:r>
      <w:r w:rsidRPr="00E61BEC">
        <w:t>April 2023).</w:t>
      </w:r>
    </w:p>
    <w:p w14:paraId="2F29C3D2" w14:textId="638F5CE8" w:rsidR="00423079" w:rsidRDefault="00423079">
      <w:pPr>
        <w:pStyle w:val="FootnoteText"/>
      </w:pPr>
    </w:p>
  </w:footnote>
  <w:footnote w:id="62">
    <w:p w14:paraId="69DB4DFA" w14:textId="77777777" w:rsidR="00423079" w:rsidRDefault="00423079" w:rsidP="00E61C9A">
      <w:pPr>
        <w:pStyle w:val="FootnoteText"/>
        <w:jc w:val="both"/>
      </w:pPr>
      <w:r>
        <w:rPr>
          <w:rStyle w:val="FootnoteReference"/>
        </w:rPr>
        <w:footnoteRef/>
      </w:r>
      <w:r>
        <w:t xml:space="preserve"> </w:t>
      </w:r>
      <w:r w:rsidRPr="0097559A">
        <w:rPr>
          <w:i/>
        </w:rPr>
        <w:t>Canada (Human Rights Commission) v Taylor</w:t>
      </w:r>
      <w:r>
        <w:t xml:space="preserve"> [1990] 3 SCR 892 at 928.</w:t>
      </w:r>
    </w:p>
  </w:footnote>
  <w:footnote w:id="63">
    <w:p w14:paraId="1D4B6FBA" w14:textId="77777777" w:rsidR="00423079" w:rsidRDefault="00423079" w:rsidP="00E61C9A">
      <w:pPr>
        <w:pStyle w:val="FootnoteText"/>
        <w:jc w:val="both"/>
      </w:pPr>
      <w:r>
        <w:rPr>
          <w:rStyle w:val="FootnoteReference"/>
        </w:rPr>
        <w:footnoteRef/>
      </w:r>
      <w:r>
        <w:t xml:space="preserve"> </w:t>
      </w:r>
      <w:r w:rsidRPr="006B2904">
        <w:rPr>
          <w:i/>
        </w:rPr>
        <w:t>R v Andrews</w:t>
      </w:r>
      <w:r>
        <w:t xml:space="preserve"> [1990] 3 SCR 697 at 870.</w:t>
      </w:r>
    </w:p>
  </w:footnote>
  <w:footnote w:id="64">
    <w:p w14:paraId="7209E85E" w14:textId="044411B9" w:rsidR="00423079" w:rsidRDefault="00423079" w:rsidP="00E61C9A">
      <w:pPr>
        <w:pStyle w:val="FootnoteText"/>
        <w:jc w:val="both"/>
      </w:pPr>
      <w:r>
        <w:rPr>
          <w:rStyle w:val="FootnoteReference"/>
        </w:rPr>
        <w:footnoteRef/>
      </w:r>
      <w:r>
        <w:t xml:space="preserve"> </w:t>
      </w:r>
      <w:r w:rsidRPr="00835CB8">
        <w:rPr>
          <w:i/>
        </w:rPr>
        <w:t>R v Keegstra</w:t>
      </w:r>
      <w:r>
        <w:t xml:space="preserve"> fn 5</w:t>
      </w:r>
      <w:r w:rsidR="00E30523">
        <w:t xml:space="preserve">6 </w:t>
      </w:r>
      <w:r>
        <w:t xml:space="preserve">at fn 700 and 777 of the judgment. </w:t>
      </w:r>
    </w:p>
  </w:footnote>
  <w:footnote w:id="65">
    <w:p w14:paraId="01244807" w14:textId="23ED8DA2" w:rsidR="00423079" w:rsidRDefault="00423079" w:rsidP="00E61BEC">
      <w:pPr>
        <w:pStyle w:val="FootnoteText"/>
        <w:jc w:val="both"/>
      </w:pPr>
      <w:r>
        <w:rPr>
          <w:rStyle w:val="FootnoteReference"/>
        </w:rPr>
        <w:footnoteRef/>
      </w:r>
      <w:r>
        <w:t xml:space="preserve"> </w:t>
      </w:r>
      <w:r w:rsidRPr="0055590C">
        <w:rPr>
          <w:i/>
        </w:rPr>
        <w:t>United States of America v Dylann Storm Roof</w:t>
      </w:r>
      <w:r>
        <w:t xml:space="preserve"> decided on 25 August, 2021 225 F. Supp. 3D413 (D.S.C. 2016)</w:t>
      </w:r>
      <w:r w:rsidR="00BF65AD">
        <w:t>.</w:t>
      </w:r>
    </w:p>
  </w:footnote>
  <w:footnote w:id="66">
    <w:p w14:paraId="67EBDAFB" w14:textId="275F5157" w:rsidR="00423079" w:rsidRDefault="00423079" w:rsidP="00E61BEC">
      <w:pPr>
        <w:pStyle w:val="FootnoteText"/>
        <w:jc w:val="both"/>
      </w:pPr>
      <w:r>
        <w:rPr>
          <w:rStyle w:val="FootnoteReference"/>
        </w:rPr>
        <w:footnoteRef/>
      </w:r>
      <w:r>
        <w:t xml:space="preserve"> </w:t>
      </w:r>
      <w:r w:rsidRPr="007102CB">
        <w:rPr>
          <w:i/>
        </w:rPr>
        <w:t>US v Roof</w:t>
      </w:r>
      <w:r>
        <w:t xml:space="preserve"> fn 6</w:t>
      </w:r>
      <w:r w:rsidR="00C21D37">
        <w:t>5</w:t>
      </w:r>
      <w:r>
        <w:t xml:space="preserve"> 4623</w:t>
      </w:r>
      <w:r w:rsidR="00E61BEC">
        <w:t>–</w:t>
      </w:r>
      <w:r>
        <w:t>4627</w:t>
      </w:r>
      <w:r w:rsidR="00E61BEC">
        <w:t>.</w:t>
      </w:r>
    </w:p>
  </w:footnote>
  <w:footnote w:id="67">
    <w:p w14:paraId="5E3CAFFE" w14:textId="77777777" w:rsidR="00423079" w:rsidRPr="008E26D6" w:rsidRDefault="00423079">
      <w:pPr>
        <w:pStyle w:val="FootnoteText"/>
      </w:pPr>
      <w:r>
        <w:rPr>
          <w:rStyle w:val="FootnoteReference"/>
        </w:rPr>
        <w:footnoteRef/>
      </w:r>
      <w:r>
        <w:t xml:space="preserve"> Section 2</w:t>
      </w:r>
      <w:r w:rsidRPr="008E26D6">
        <w:rPr>
          <w:i/>
        </w:rPr>
        <w:t>(c)</w:t>
      </w:r>
      <w:r>
        <w:t xml:space="preserve"> of the Equality Act, emphasis added.</w:t>
      </w:r>
    </w:p>
  </w:footnote>
  <w:footnote w:id="68">
    <w:p w14:paraId="59387C49" w14:textId="77777777" w:rsidR="00423079" w:rsidRDefault="00423079">
      <w:pPr>
        <w:pStyle w:val="FootnoteText"/>
        <w:rPr>
          <w:lang w:val="en-GB"/>
        </w:rPr>
      </w:pPr>
      <w:r>
        <w:rPr>
          <w:rStyle w:val="FootnoteReference"/>
        </w:rPr>
        <w:footnoteRef/>
      </w:r>
      <w:r>
        <w:t xml:space="preserve"> </w:t>
      </w:r>
      <w:r>
        <w:rPr>
          <w:lang w:val="en-GB"/>
        </w:rPr>
        <w:t>Section 12 of the Equality Act provides:</w:t>
      </w:r>
    </w:p>
    <w:p w14:paraId="6704F4A1" w14:textId="77777777" w:rsidR="00423079" w:rsidRDefault="00423079" w:rsidP="00C41042">
      <w:pPr>
        <w:pStyle w:val="FootnoteText"/>
        <w:jc w:val="both"/>
        <w:rPr>
          <w:lang w:val="en-GB"/>
        </w:rPr>
      </w:pPr>
      <w:r>
        <w:rPr>
          <w:lang w:val="en-GB"/>
        </w:rPr>
        <w:t>‘</w:t>
      </w:r>
      <w:r w:rsidRPr="00C41042">
        <w:rPr>
          <w:b/>
          <w:lang w:val="en-GB"/>
        </w:rPr>
        <w:t>Prohibition of dissemination and publication of information that unfairly discriminates</w:t>
      </w:r>
    </w:p>
    <w:p w14:paraId="4429A4D9" w14:textId="77777777" w:rsidR="00423079" w:rsidRDefault="00423079" w:rsidP="00C41042">
      <w:pPr>
        <w:pStyle w:val="FootnoteText"/>
        <w:jc w:val="both"/>
        <w:rPr>
          <w:lang w:val="en-GB"/>
        </w:rPr>
      </w:pPr>
      <w:r>
        <w:rPr>
          <w:lang w:val="en-GB"/>
        </w:rPr>
        <w:t>No person may-</w:t>
      </w:r>
    </w:p>
    <w:p w14:paraId="0CA5E2F1" w14:textId="77777777" w:rsidR="00423079" w:rsidRDefault="00423079" w:rsidP="00C41042">
      <w:pPr>
        <w:pStyle w:val="FootnoteText"/>
        <w:jc w:val="both"/>
        <w:rPr>
          <w:lang w:val="en-GB"/>
        </w:rPr>
      </w:pPr>
      <w:r w:rsidRPr="00C41042">
        <w:rPr>
          <w:i/>
          <w:lang w:val="en-GB"/>
        </w:rPr>
        <w:t>(a)</w:t>
      </w:r>
      <w:r>
        <w:rPr>
          <w:lang w:val="en-GB"/>
        </w:rPr>
        <w:t xml:space="preserve"> disseminate or broadcast any information; </w:t>
      </w:r>
    </w:p>
    <w:p w14:paraId="52FFDD50" w14:textId="77777777" w:rsidR="00423079" w:rsidRDefault="00423079" w:rsidP="00C41042">
      <w:pPr>
        <w:pStyle w:val="FootnoteText"/>
        <w:jc w:val="both"/>
        <w:rPr>
          <w:lang w:val="en-GB"/>
        </w:rPr>
      </w:pPr>
      <w:r w:rsidRPr="00C41042">
        <w:rPr>
          <w:i/>
          <w:lang w:val="en-GB"/>
        </w:rPr>
        <w:t>(b)</w:t>
      </w:r>
      <w:r>
        <w:rPr>
          <w:lang w:val="en-GB"/>
        </w:rPr>
        <w:t xml:space="preserve"> publish or display any advertisement or notice,</w:t>
      </w:r>
    </w:p>
    <w:p w14:paraId="3CDA34E2" w14:textId="77777777" w:rsidR="00423079" w:rsidRDefault="00423079" w:rsidP="00C41042">
      <w:pPr>
        <w:pStyle w:val="FootnoteText"/>
        <w:jc w:val="both"/>
        <w:rPr>
          <w:lang w:val="en-GB"/>
        </w:rPr>
      </w:pPr>
      <w:r>
        <w:rPr>
          <w:lang w:val="en-GB"/>
        </w:rPr>
        <w:t xml:space="preserve">that could reasonably be construed or reasonably be understood to demonstrate a clear intention to unfairly discriminate against any person: Provided that </w:t>
      </w:r>
      <w:r w:rsidRPr="00C41042">
        <w:rPr>
          <w:i/>
          <w:lang w:val="en-GB"/>
        </w:rPr>
        <w:t>bona fide</w:t>
      </w:r>
      <w:r>
        <w:rPr>
          <w:lang w:val="en-GB"/>
        </w:rPr>
        <w:t xml:space="preserve"> engagement in artistic creativity, academic and scientific inquiry, fair and accurate reporting in the public interest or publication of any information, advertisement or notice in accordance with section 16 of the Constitution, is not precluded by this section.’</w:t>
      </w:r>
    </w:p>
    <w:p w14:paraId="1A2B8E62" w14:textId="77777777" w:rsidR="00423079" w:rsidRPr="00C41042" w:rsidRDefault="00423079">
      <w:pPr>
        <w:pStyle w:val="FootnoteText"/>
        <w:rPr>
          <w:lang w:val="en-GB"/>
        </w:rPr>
      </w:pPr>
    </w:p>
  </w:footnote>
  <w:footnote w:id="69">
    <w:p w14:paraId="1401F5A2" w14:textId="77777777" w:rsidR="00423079" w:rsidRDefault="00423079" w:rsidP="009B3B8B">
      <w:pPr>
        <w:pStyle w:val="FootnoteText"/>
        <w:jc w:val="both"/>
      </w:pPr>
      <w:r>
        <w:rPr>
          <w:rStyle w:val="FootnoteReference"/>
        </w:rPr>
        <w:footnoteRef/>
      </w:r>
      <w:r>
        <w:t xml:space="preserve"> Section 6 of the Equality Act contains a general prohibition of unfair discrimination. It states: ‘Neither the State nor any person may unfairly discriminate against any person.’</w:t>
      </w:r>
    </w:p>
  </w:footnote>
  <w:footnote w:id="70">
    <w:p w14:paraId="2A390BE3" w14:textId="77777777" w:rsidR="00423079" w:rsidRDefault="00423079" w:rsidP="009B3B8B">
      <w:pPr>
        <w:pStyle w:val="FootnoteText"/>
        <w:jc w:val="both"/>
      </w:pPr>
      <w:r>
        <w:rPr>
          <w:rStyle w:val="FootnoteReference"/>
        </w:rPr>
        <w:footnoteRef/>
      </w:r>
      <w:r>
        <w:t xml:space="preserve"> </w:t>
      </w:r>
      <w:r w:rsidRPr="00F409F7">
        <w:rPr>
          <w:i/>
        </w:rPr>
        <w:t>Qwelane</w:t>
      </w:r>
      <w:r>
        <w:t xml:space="preserve"> fn 1 para 95</w:t>
      </w:r>
    </w:p>
  </w:footnote>
  <w:footnote w:id="71">
    <w:p w14:paraId="6989DA9B" w14:textId="77777777" w:rsidR="00423079" w:rsidRDefault="00423079" w:rsidP="009B3B8B">
      <w:pPr>
        <w:pStyle w:val="FootnoteText"/>
        <w:jc w:val="both"/>
      </w:pPr>
      <w:r>
        <w:rPr>
          <w:rStyle w:val="FootnoteReference"/>
        </w:rPr>
        <w:footnoteRef/>
      </w:r>
      <w:r>
        <w:t xml:space="preserve"> </w:t>
      </w:r>
      <w:r w:rsidRPr="00DE1AA4">
        <w:rPr>
          <w:i/>
        </w:rPr>
        <w:t>Qwelane</w:t>
      </w:r>
      <w:r>
        <w:t xml:space="preserve"> fn 1 paras 96-101.</w:t>
      </w:r>
    </w:p>
  </w:footnote>
  <w:footnote w:id="72">
    <w:p w14:paraId="68944FA9" w14:textId="77777777" w:rsidR="00423079" w:rsidRDefault="00423079" w:rsidP="009B3B8B">
      <w:pPr>
        <w:pStyle w:val="FootnoteText"/>
        <w:jc w:val="both"/>
      </w:pPr>
      <w:r>
        <w:rPr>
          <w:rStyle w:val="FootnoteReference"/>
        </w:rPr>
        <w:footnoteRef/>
      </w:r>
      <w:r>
        <w:t xml:space="preserve"> </w:t>
      </w:r>
      <w:r w:rsidRPr="00F409F7">
        <w:rPr>
          <w:i/>
        </w:rPr>
        <w:t>Social Justice Coalition and Others v Minister of Police and Others</w:t>
      </w:r>
      <w:r>
        <w:t xml:space="preserve"> [2018] ZAWCHC 181; 2019 (4) SA 82 (WCC) paras 67-68.</w:t>
      </w:r>
    </w:p>
  </w:footnote>
  <w:footnote w:id="73">
    <w:p w14:paraId="1CC1010E" w14:textId="0B5C41DF" w:rsidR="00423079" w:rsidRDefault="00423079" w:rsidP="00B81EDA">
      <w:pPr>
        <w:pStyle w:val="FootnoteText"/>
        <w:jc w:val="both"/>
      </w:pPr>
      <w:r>
        <w:rPr>
          <w:rStyle w:val="FootnoteReference"/>
        </w:rPr>
        <w:footnoteRef/>
      </w:r>
      <w:r>
        <w:t xml:space="preserve"> In terms of s 2</w:t>
      </w:r>
      <w:r w:rsidRPr="007D560E">
        <w:rPr>
          <w:i/>
        </w:rPr>
        <w:t>(h)</w:t>
      </w:r>
      <w:r>
        <w:t xml:space="preserve"> of the Equality Act, its objects include ‘compliance with international law obligations including treaty obligations in terms of, amongst others, the Convention on the Elimination of all Forms of Racial Discrimination and the Convention on the Elimination of all Forms of Discrimination against Women’. The preamble to the Act also refers to South Africa’s international obligations under binding treaties and customary international law.</w:t>
      </w:r>
    </w:p>
  </w:footnote>
  <w:footnote w:id="74">
    <w:p w14:paraId="335236D3" w14:textId="77777777" w:rsidR="00423079" w:rsidRDefault="00423079" w:rsidP="00B81EDA">
      <w:pPr>
        <w:pStyle w:val="FootnoteText"/>
      </w:pPr>
      <w:r>
        <w:rPr>
          <w:rStyle w:val="FootnoteReference"/>
        </w:rPr>
        <w:footnoteRef/>
      </w:r>
      <w:r>
        <w:t xml:space="preserve"> Article 4 of the ICERD provides:</w:t>
      </w:r>
    </w:p>
    <w:p w14:paraId="740E1417" w14:textId="45BD162A" w:rsidR="00423079" w:rsidRDefault="00423079" w:rsidP="00B81EDA">
      <w:pPr>
        <w:pStyle w:val="FootnoteText"/>
        <w:jc w:val="both"/>
      </w:pPr>
      <w:r>
        <w:t>‘State parties condemn all propaganda and all organisations which are based on ideas or theories of superiority of one race or group of persons of one colour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w:t>
      </w:r>
    </w:p>
    <w:p w14:paraId="5B25B595" w14:textId="77777777" w:rsidR="00423079" w:rsidRDefault="00423079" w:rsidP="00B81EDA">
      <w:pPr>
        <w:pStyle w:val="FootnoteText"/>
        <w:tabs>
          <w:tab w:val="left" w:pos="284"/>
        </w:tabs>
        <w:ind w:left="720" w:hanging="720"/>
        <w:jc w:val="both"/>
      </w:pPr>
      <w:r>
        <w:tab/>
        <w:t>(a)</w:t>
      </w:r>
      <w:r>
        <w:tab/>
        <w:t>shall declare an offence punishable by law all dissemination of ideas based on racial superiority or hatred, incitement to racial discrimination, as well as acts of violence or incitement to such acts against any race or group of persons of another colour or ethnic origin, and also the provision of any assistance to racist activities, including the financing thereof.</w:t>
      </w:r>
      <w:r>
        <w:tab/>
      </w:r>
    </w:p>
  </w:footnote>
  <w:footnote w:id="75">
    <w:p w14:paraId="50B3FF74" w14:textId="77777777" w:rsidR="00423079" w:rsidRDefault="00423079" w:rsidP="00B81EDA">
      <w:pPr>
        <w:pStyle w:val="FootnoteText"/>
        <w:jc w:val="both"/>
      </w:pPr>
      <w:r>
        <w:rPr>
          <w:rStyle w:val="FootnoteReference"/>
        </w:rPr>
        <w:footnoteRef/>
      </w:r>
      <w:r>
        <w:t xml:space="preserve"> Article 20 para 2 of the ICCPR provides that ‘[a]ny advocacy of national, racial or religious hatred that constitutes incitement to discrimination, hostility or violence shall be prohibited by law’.</w:t>
      </w:r>
    </w:p>
  </w:footnote>
  <w:footnote w:id="76">
    <w:p w14:paraId="245BD551" w14:textId="77777777" w:rsidR="00423079" w:rsidRDefault="00423079">
      <w:pPr>
        <w:pStyle w:val="FootnoteText"/>
      </w:pPr>
      <w:r>
        <w:rPr>
          <w:rStyle w:val="FootnoteReference"/>
        </w:rPr>
        <w:footnoteRef/>
      </w:r>
      <w:r>
        <w:t xml:space="preserve"> Section 14 of the Constitution provides:</w:t>
      </w:r>
    </w:p>
    <w:p w14:paraId="72134589" w14:textId="77777777" w:rsidR="00423079" w:rsidRDefault="00423079">
      <w:pPr>
        <w:pStyle w:val="FootnoteText"/>
      </w:pPr>
      <w:r>
        <w:t>‘Everyone has the right to privacy, which includes the right not to have –</w:t>
      </w:r>
    </w:p>
    <w:p w14:paraId="685F930D" w14:textId="77777777" w:rsidR="00423079" w:rsidRDefault="00423079">
      <w:pPr>
        <w:pStyle w:val="FootnoteText"/>
      </w:pPr>
      <w:r>
        <w:t>(a) their person or home searched;</w:t>
      </w:r>
    </w:p>
    <w:p w14:paraId="35994459" w14:textId="77777777" w:rsidR="00423079" w:rsidRDefault="00423079">
      <w:pPr>
        <w:pStyle w:val="FootnoteText"/>
      </w:pPr>
      <w:r>
        <w:t>(b) their property searched;</w:t>
      </w:r>
    </w:p>
    <w:p w14:paraId="53DFD004" w14:textId="77777777" w:rsidR="00423079" w:rsidRDefault="00423079">
      <w:pPr>
        <w:pStyle w:val="FootnoteText"/>
      </w:pPr>
      <w:r>
        <w:t>(c) their possessions seized; or</w:t>
      </w:r>
    </w:p>
    <w:p w14:paraId="4C3C0072" w14:textId="77777777" w:rsidR="00423079" w:rsidRDefault="00423079">
      <w:pPr>
        <w:pStyle w:val="FootnoteText"/>
      </w:pPr>
      <w:r>
        <w:t>(d) the privacy of their communications infringed.’</w:t>
      </w:r>
    </w:p>
  </w:footnote>
  <w:footnote w:id="77">
    <w:p w14:paraId="34E9EAD5" w14:textId="77777777" w:rsidR="00423079" w:rsidRDefault="00423079">
      <w:pPr>
        <w:pStyle w:val="FootnoteText"/>
      </w:pPr>
      <w:r>
        <w:rPr>
          <w:rStyle w:val="FootnoteReference"/>
        </w:rPr>
        <w:footnoteRef/>
      </w:r>
      <w:r>
        <w:t xml:space="preserve"> </w:t>
      </w:r>
      <w:r w:rsidRPr="00CC404D">
        <w:rPr>
          <w:i/>
        </w:rPr>
        <w:t>Qwelane</w:t>
      </w:r>
      <w:r>
        <w:t xml:space="preserve"> fn 1 para 116.</w:t>
      </w:r>
    </w:p>
  </w:footnote>
  <w:footnote w:id="78">
    <w:p w14:paraId="0CE2C9EB" w14:textId="77777777" w:rsidR="00423079" w:rsidRDefault="00423079">
      <w:pPr>
        <w:pStyle w:val="FootnoteText"/>
      </w:pPr>
      <w:r>
        <w:rPr>
          <w:rStyle w:val="FootnoteReference"/>
        </w:rPr>
        <w:footnoteRef/>
      </w:r>
      <w:r>
        <w:t xml:space="preserve"> </w:t>
      </w:r>
      <w:r w:rsidRPr="00CC404D">
        <w:rPr>
          <w:i/>
        </w:rPr>
        <w:t>Qwelane</w:t>
      </w:r>
      <w:r>
        <w:t xml:space="preserve"> fn 1 para 117.</w:t>
      </w:r>
    </w:p>
  </w:footnote>
  <w:footnote w:id="79">
    <w:p w14:paraId="7368FC5B" w14:textId="77777777" w:rsidR="00423079" w:rsidRDefault="00423079">
      <w:pPr>
        <w:pStyle w:val="FootnoteText"/>
      </w:pPr>
      <w:r>
        <w:rPr>
          <w:rStyle w:val="FootnoteReference"/>
        </w:rPr>
        <w:footnoteRef/>
      </w:r>
      <w:r>
        <w:t xml:space="preserve"> </w:t>
      </w:r>
      <w:r w:rsidRPr="00CC404D">
        <w:rPr>
          <w:i/>
        </w:rPr>
        <w:t>Qwelane</w:t>
      </w:r>
      <w:r>
        <w:t xml:space="preserve"> fn 1 paras 117-118.</w:t>
      </w:r>
    </w:p>
  </w:footnote>
  <w:footnote w:id="80">
    <w:p w14:paraId="1DA633E9" w14:textId="021DC44C" w:rsidR="00423079" w:rsidRDefault="00423079" w:rsidP="00787DCC">
      <w:pPr>
        <w:pStyle w:val="FootnoteText"/>
        <w:jc w:val="both"/>
      </w:pPr>
      <w:r>
        <w:rPr>
          <w:rStyle w:val="FootnoteReference"/>
        </w:rPr>
        <w:footnoteRef/>
      </w:r>
      <w:r>
        <w:t xml:space="preserve"> </w:t>
      </w:r>
      <w:r w:rsidRPr="00074E23">
        <w:rPr>
          <w:i/>
        </w:rPr>
        <w:t>Biowatch Trust v Registrar</w:t>
      </w:r>
      <w:r>
        <w:rPr>
          <w:i/>
        </w:rPr>
        <w:t>,</w:t>
      </w:r>
      <w:r w:rsidRPr="00074E23">
        <w:rPr>
          <w:i/>
        </w:rPr>
        <w:t xml:space="preserve"> Genetic Resources</w:t>
      </w:r>
      <w:r>
        <w:t xml:space="preserve"> </w:t>
      </w:r>
      <w:r w:rsidRPr="006F56C4">
        <w:rPr>
          <w:i/>
        </w:rPr>
        <w:t>and Others</w:t>
      </w:r>
      <w:r>
        <w:t xml:space="preserve"> [2009] ZACC 14; 2009 (6) SA 32</w:t>
      </w:r>
      <w:r w:rsidR="005B4834">
        <w:t xml:space="preserve"> (CC); 2009 (10) BCLR 1014 (CC)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374972"/>
      <w:docPartObj>
        <w:docPartGallery w:val="Page Numbers (Top of Page)"/>
        <w:docPartUnique/>
      </w:docPartObj>
    </w:sdtPr>
    <w:sdtEndPr>
      <w:rPr>
        <w:noProof/>
      </w:rPr>
    </w:sdtEndPr>
    <w:sdtContent>
      <w:p w14:paraId="54817FA3" w14:textId="24028E7A" w:rsidR="00423079" w:rsidRDefault="00423079">
        <w:pPr>
          <w:pStyle w:val="Header"/>
          <w:jc w:val="right"/>
        </w:pPr>
        <w:r>
          <w:fldChar w:fldCharType="begin"/>
        </w:r>
        <w:r>
          <w:instrText xml:space="preserve"> PAGE   \* MERGEFORMAT </w:instrText>
        </w:r>
        <w:r>
          <w:fldChar w:fldCharType="separate"/>
        </w:r>
        <w:r w:rsidR="00556610">
          <w:rPr>
            <w:noProof/>
          </w:rPr>
          <w:t>21</w:t>
        </w:r>
        <w:r>
          <w:rPr>
            <w:noProof/>
          </w:rPr>
          <w:fldChar w:fldCharType="end"/>
        </w:r>
      </w:p>
    </w:sdtContent>
  </w:sdt>
  <w:p w14:paraId="070A6F74" w14:textId="77777777" w:rsidR="00423079" w:rsidRDefault="00423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E976DE"/>
    <w:multiLevelType w:val="hybridMultilevel"/>
    <w:tmpl w:val="96387516"/>
    <w:lvl w:ilvl="0" w:tplc="21DA29D8">
      <w:start w:val="1"/>
      <w:numFmt w:val="decimal"/>
      <w:lvlText w:val="[%1]"/>
      <w:lvlJc w:val="left"/>
      <w:pPr>
        <w:ind w:left="6455"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FC25C82"/>
    <w:multiLevelType w:val="hybridMultilevel"/>
    <w:tmpl w:val="5FDE3A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4"/>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7"/>
  </w:num>
  <w:num w:numId="13">
    <w:abstractNumId w:val="8"/>
  </w:num>
  <w:num w:numId="14">
    <w:abstractNumId w:val="3"/>
  </w:num>
  <w:num w:numId="15">
    <w:abstractNumId w:val="16"/>
  </w:num>
  <w:num w:numId="16">
    <w:abstractNumId w:val="0"/>
  </w:num>
  <w:num w:numId="17">
    <w:abstractNumId w:val="1"/>
  </w:num>
  <w:num w:numId="18">
    <w:abstractNumId w:val="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57169B-5E1C-4412-B600-BD6FFD719F70}"/>
    <w:docVar w:name="dgnword-eventsink" w:val="2735698454320"/>
  </w:docVars>
  <w:rsids>
    <w:rsidRoot w:val="00ED59D4"/>
    <w:rsid w:val="00001961"/>
    <w:rsid w:val="00003024"/>
    <w:rsid w:val="0000307A"/>
    <w:rsid w:val="0000348B"/>
    <w:rsid w:val="0000364A"/>
    <w:rsid w:val="00003B45"/>
    <w:rsid w:val="00003FE0"/>
    <w:rsid w:val="00004786"/>
    <w:rsid w:val="00004870"/>
    <w:rsid w:val="00004BC1"/>
    <w:rsid w:val="00006AB1"/>
    <w:rsid w:val="00010318"/>
    <w:rsid w:val="0001031D"/>
    <w:rsid w:val="00010ABE"/>
    <w:rsid w:val="00010F78"/>
    <w:rsid w:val="00011965"/>
    <w:rsid w:val="0001232E"/>
    <w:rsid w:val="000136AB"/>
    <w:rsid w:val="0001371E"/>
    <w:rsid w:val="000138A9"/>
    <w:rsid w:val="00013FFB"/>
    <w:rsid w:val="000149EF"/>
    <w:rsid w:val="00014A0D"/>
    <w:rsid w:val="00014D8F"/>
    <w:rsid w:val="00015275"/>
    <w:rsid w:val="00016C27"/>
    <w:rsid w:val="00017449"/>
    <w:rsid w:val="00020018"/>
    <w:rsid w:val="0002172C"/>
    <w:rsid w:val="00021C7B"/>
    <w:rsid w:val="00021E0F"/>
    <w:rsid w:val="00022F70"/>
    <w:rsid w:val="00024440"/>
    <w:rsid w:val="00024B87"/>
    <w:rsid w:val="00024E93"/>
    <w:rsid w:val="00025498"/>
    <w:rsid w:val="00025DE8"/>
    <w:rsid w:val="00025E85"/>
    <w:rsid w:val="0002737D"/>
    <w:rsid w:val="0003041F"/>
    <w:rsid w:val="0003072D"/>
    <w:rsid w:val="000307BF"/>
    <w:rsid w:val="000308E3"/>
    <w:rsid w:val="00030D5D"/>
    <w:rsid w:val="00031345"/>
    <w:rsid w:val="000317A5"/>
    <w:rsid w:val="00033771"/>
    <w:rsid w:val="00033C48"/>
    <w:rsid w:val="00034B22"/>
    <w:rsid w:val="000355AD"/>
    <w:rsid w:val="000369AD"/>
    <w:rsid w:val="00040BA5"/>
    <w:rsid w:val="000413F6"/>
    <w:rsid w:val="000425B9"/>
    <w:rsid w:val="00044265"/>
    <w:rsid w:val="000442E1"/>
    <w:rsid w:val="00045D17"/>
    <w:rsid w:val="00046258"/>
    <w:rsid w:val="000464F4"/>
    <w:rsid w:val="000466E0"/>
    <w:rsid w:val="000500F9"/>
    <w:rsid w:val="0005043B"/>
    <w:rsid w:val="00050607"/>
    <w:rsid w:val="00052946"/>
    <w:rsid w:val="00052BB8"/>
    <w:rsid w:val="0005554F"/>
    <w:rsid w:val="00055A4C"/>
    <w:rsid w:val="00055D69"/>
    <w:rsid w:val="00056A1E"/>
    <w:rsid w:val="00056B88"/>
    <w:rsid w:val="000579F8"/>
    <w:rsid w:val="00057E1C"/>
    <w:rsid w:val="000609B4"/>
    <w:rsid w:val="00061C6E"/>
    <w:rsid w:val="00062F75"/>
    <w:rsid w:val="000638DF"/>
    <w:rsid w:val="0006391B"/>
    <w:rsid w:val="0006665F"/>
    <w:rsid w:val="000705E8"/>
    <w:rsid w:val="00071B62"/>
    <w:rsid w:val="00072B46"/>
    <w:rsid w:val="00072FB2"/>
    <w:rsid w:val="00073275"/>
    <w:rsid w:val="00073AF8"/>
    <w:rsid w:val="00074910"/>
    <w:rsid w:val="00074E23"/>
    <w:rsid w:val="00074F8F"/>
    <w:rsid w:val="00080926"/>
    <w:rsid w:val="00080F1A"/>
    <w:rsid w:val="00083A06"/>
    <w:rsid w:val="00083F39"/>
    <w:rsid w:val="00084F5D"/>
    <w:rsid w:val="00086487"/>
    <w:rsid w:val="00087718"/>
    <w:rsid w:val="000924F9"/>
    <w:rsid w:val="00094B31"/>
    <w:rsid w:val="00094E0B"/>
    <w:rsid w:val="000952F3"/>
    <w:rsid w:val="00095E1F"/>
    <w:rsid w:val="00096664"/>
    <w:rsid w:val="00096988"/>
    <w:rsid w:val="000976A2"/>
    <w:rsid w:val="000A0323"/>
    <w:rsid w:val="000A1E2B"/>
    <w:rsid w:val="000A1FE1"/>
    <w:rsid w:val="000A28B8"/>
    <w:rsid w:val="000A301C"/>
    <w:rsid w:val="000A36E8"/>
    <w:rsid w:val="000A4309"/>
    <w:rsid w:val="000A46AA"/>
    <w:rsid w:val="000A52A2"/>
    <w:rsid w:val="000A5572"/>
    <w:rsid w:val="000A63E5"/>
    <w:rsid w:val="000A65A8"/>
    <w:rsid w:val="000A749C"/>
    <w:rsid w:val="000A7E48"/>
    <w:rsid w:val="000B063C"/>
    <w:rsid w:val="000B3667"/>
    <w:rsid w:val="000B500E"/>
    <w:rsid w:val="000B569C"/>
    <w:rsid w:val="000B56B3"/>
    <w:rsid w:val="000B56D4"/>
    <w:rsid w:val="000B586F"/>
    <w:rsid w:val="000B5876"/>
    <w:rsid w:val="000B71B3"/>
    <w:rsid w:val="000B72CA"/>
    <w:rsid w:val="000C01CF"/>
    <w:rsid w:val="000C0583"/>
    <w:rsid w:val="000C07F6"/>
    <w:rsid w:val="000C0928"/>
    <w:rsid w:val="000C1AB4"/>
    <w:rsid w:val="000C2357"/>
    <w:rsid w:val="000C38BC"/>
    <w:rsid w:val="000C497B"/>
    <w:rsid w:val="000C5120"/>
    <w:rsid w:val="000C60BE"/>
    <w:rsid w:val="000C642A"/>
    <w:rsid w:val="000C68B7"/>
    <w:rsid w:val="000D07F2"/>
    <w:rsid w:val="000D1165"/>
    <w:rsid w:val="000D1813"/>
    <w:rsid w:val="000D1F33"/>
    <w:rsid w:val="000D223C"/>
    <w:rsid w:val="000D2643"/>
    <w:rsid w:val="000D2B94"/>
    <w:rsid w:val="000D3E4C"/>
    <w:rsid w:val="000D49B2"/>
    <w:rsid w:val="000D5B09"/>
    <w:rsid w:val="000D672F"/>
    <w:rsid w:val="000D6C21"/>
    <w:rsid w:val="000D6E17"/>
    <w:rsid w:val="000E0528"/>
    <w:rsid w:val="000E077C"/>
    <w:rsid w:val="000E0D9D"/>
    <w:rsid w:val="000E14A6"/>
    <w:rsid w:val="000E180A"/>
    <w:rsid w:val="000E264C"/>
    <w:rsid w:val="000E384A"/>
    <w:rsid w:val="000E3907"/>
    <w:rsid w:val="000E3966"/>
    <w:rsid w:val="000E462B"/>
    <w:rsid w:val="000E4EB6"/>
    <w:rsid w:val="000E5892"/>
    <w:rsid w:val="000E7703"/>
    <w:rsid w:val="000E79C9"/>
    <w:rsid w:val="000F02BA"/>
    <w:rsid w:val="000F06A2"/>
    <w:rsid w:val="000F1161"/>
    <w:rsid w:val="000F1B4C"/>
    <w:rsid w:val="000F1E1E"/>
    <w:rsid w:val="000F3874"/>
    <w:rsid w:val="000F3E3E"/>
    <w:rsid w:val="000F4292"/>
    <w:rsid w:val="000F4745"/>
    <w:rsid w:val="000F4B45"/>
    <w:rsid w:val="000F5AEE"/>
    <w:rsid w:val="000F5E33"/>
    <w:rsid w:val="000F61EC"/>
    <w:rsid w:val="000F6930"/>
    <w:rsid w:val="000F6EF2"/>
    <w:rsid w:val="000F6EF4"/>
    <w:rsid w:val="000F76C9"/>
    <w:rsid w:val="0010018B"/>
    <w:rsid w:val="001005C6"/>
    <w:rsid w:val="0010130F"/>
    <w:rsid w:val="001014A6"/>
    <w:rsid w:val="001015C0"/>
    <w:rsid w:val="00101EBF"/>
    <w:rsid w:val="00103D63"/>
    <w:rsid w:val="001052C9"/>
    <w:rsid w:val="00105687"/>
    <w:rsid w:val="00106D05"/>
    <w:rsid w:val="00107333"/>
    <w:rsid w:val="00107521"/>
    <w:rsid w:val="001078CD"/>
    <w:rsid w:val="00107FE6"/>
    <w:rsid w:val="0011245C"/>
    <w:rsid w:val="001124F8"/>
    <w:rsid w:val="001126EA"/>
    <w:rsid w:val="00112D44"/>
    <w:rsid w:val="00115A21"/>
    <w:rsid w:val="00115F1A"/>
    <w:rsid w:val="001171FD"/>
    <w:rsid w:val="00117CC6"/>
    <w:rsid w:val="00121647"/>
    <w:rsid w:val="0012172D"/>
    <w:rsid w:val="00122338"/>
    <w:rsid w:val="00122C65"/>
    <w:rsid w:val="0012324B"/>
    <w:rsid w:val="001236A8"/>
    <w:rsid w:val="0012569E"/>
    <w:rsid w:val="00126798"/>
    <w:rsid w:val="0013257F"/>
    <w:rsid w:val="00132B72"/>
    <w:rsid w:val="0013659D"/>
    <w:rsid w:val="001405D0"/>
    <w:rsid w:val="001405EF"/>
    <w:rsid w:val="00140C04"/>
    <w:rsid w:val="00141763"/>
    <w:rsid w:val="001421E4"/>
    <w:rsid w:val="0014245E"/>
    <w:rsid w:val="001434C5"/>
    <w:rsid w:val="00143D55"/>
    <w:rsid w:val="00144BA7"/>
    <w:rsid w:val="00144CCE"/>
    <w:rsid w:val="001455C5"/>
    <w:rsid w:val="00146AB7"/>
    <w:rsid w:val="00146BD5"/>
    <w:rsid w:val="00146CC2"/>
    <w:rsid w:val="00147422"/>
    <w:rsid w:val="00147ADA"/>
    <w:rsid w:val="00150553"/>
    <w:rsid w:val="00152340"/>
    <w:rsid w:val="001530C0"/>
    <w:rsid w:val="001537C2"/>
    <w:rsid w:val="001552EC"/>
    <w:rsid w:val="0015542D"/>
    <w:rsid w:val="00155AD9"/>
    <w:rsid w:val="001569E7"/>
    <w:rsid w:val="001610FC"/>
    <w:rsid w:val="001624F5"/>
    <w:rsid w:val="001629A1"/>
    <w:rsid w:val="00162DB6"/>
    <w:rsid w:val="00163EDF"/>
    <w:rsid w:val="00164856"/>
    <w:rsid w:val="001653C0"/>
    <w:rsid w:val="00165874"/>
    <w:rsid w:val="00166843"/>
    <w:rsid w:val="001669FA"/>
    <w:rsid w:val="00166E02"/>
    <w:rsid w:val="00170D7B"/>
    <w:rsid w:val="00171874"/>
    <w:rsid w:val="001718E2"/>
    <w:rsid w:val="00171CF4"/>
    <w:rsid w:val="00172994"/>
    <w:rsid w:val="00172C78"/>
    <w:rsid w:val="00173311"/>
    <w:rsid w:val="00173D92"/>
    <w:rsid w:val="00174A24"/>
    <w:rsid w:val="001751EE"/>
    <w:rsid w:val="00175469"/>
    <w:rsid w:val="0017557F"/>
    <w:rsid w:val="001758AB"/>
    <w:rsid w:val="0017701B"/>
    <w:rsid w:val="00177943"/>
    <w:rsid w:val="00180236"/>
    <w:rsid w:val="00180C16"/>
    <w:rsid w:val="00182DEB"/>
    <w:rsid w:val="00182E4A"/>
    <w:rsid w:val="00182EF3"/>
    <w:rsid w:val="0018443B"/>
    <w:rsid w:val="00184510"/>
    <w:rsid w:val="00184C91"/>
    <w:rsid w:val="001850CE"/>
    <w:rsid w:val="00185182"/>
    <w:rsid w:val="00185823"/>
    <w:rsid w:val="00186341"/>
    <w:rsid w:val="001879F1"/>
    <w:rsid w:val="00187CB8"/>
    <w:rsid w:val="001902BE"/>
    <w:rsid w:val="00191169"/>
    <w:rsid w:val="00191560"/>
    <w:rsid w:val="00191858"/>
    <w:rsid w:val="00191EC4"/>
    <w:rsid w:val="00192683"/>
    <w:rsid w:val="00192B07"/>
    <w:rsid w:val="001959BD"/>
    <w:rsid w:val="001959FC"/>
    <w:rsid w:val="00195A18"/>
    <w:rsid w:val="00195E26"/>
    <w:rsid w:val="0019615D"/>
    <w:rsid w:val="00196CBE"/>
    <w:rsid w:val="00197407"/>
    <w:rsid w:val="001A088F"/>
    <w:rsid w:val="001A0EEF"/>
    <w:rsid w:val="001A13C5"/>
    <w:rsid w:val="001A2DF3"/>
    <w:rsid w:val="001A4222"/>
    <w:rsid w:val="001A431E"/>
    <w:rsid w:val="001A5C98"/>
    <w:rsid w:val="001A674D"/>
    <w:rsid w:val="001A6962"/>
    <w:rsid w:val="001A726D"/>
    <w:rsid w:val="001B09F0"/>
    <w:rsid w:val="001B1B86"/>
    <w:rsid w:val="001B29C4"/>
    <w:rsid w:val="001B2DD2"/>
    <w:rsid w:val="001B3A01"/>
    <w:rsid w:val="001B3C27"/>
    <w:rsid w:val="001B4153"/>
    <w:rsid w:val="001B4364"/>
    <w:rsid w:val="001B4D8F"/>
    <w:rsid w:val="001B5091"/>
    <w:rsid w:val="001B5871"/>
    <w:rsid w:val="001B5A76"/>
    <w:rsid w:val="001B5B9D"/>
    <w:rsid w:val="001B6DB7"/>
    <w:rsid w:val="001B72B5"/>
    <w:rsid w:val="001B7D42"/>
    <w:rsid w:val="001C060F"/>
    <w:rsid w:val="001C09BE"/>
    <w:rsid w:val="001C1B83"/>
    <w:rsid w:val="001C1D4A"/>
    <w:rsid w:val="001C2131"/>
    <w:rsid w:val="001C2274"/>
    <w:rsid w:val="001C2F3C"/>
    <w:rsid w:val="001C3510"/>
    <w:rsid w:val="001C391A"/>
    <w:rsid w:val="001C4327"/>
    <w:rsid w:val="001C4BED"/>
    <w:rsid w:val="001C70B1"/>
    <w:rsid w:val="001D1801"/>
    <w:rsid w:val="001D42FB"/>
    <w:rsid w:val="001D48AE"/>
    <w:rsid w:val="001D5442"/>
    <w:rsid w:val="001D68B1"/>
    <w:rsid w:val="001D7BA7"/>
    <w:rsid w:val="001D7DC4"/>
    <w:rsid w:val="001E08B7"/>
    <w:rsid w:val="001E2228"/>
    <w:rsid w:val="001E2D94"/>
    <w:rsid w:val="001E5403"/>
    <w:rsid w:val="001E557B"/>
    <w:rsid w:val="001E55DB"/>
    <w:rsid w:val="001E5B83"/>
    <w:rsid w:val="001E6D21"/>
    <w:rsid w:val="001F0314"/>
    <w:rsid w:val="001F0F41"/>
    <w:rsid w:val="001F1014"/>
    <w:rsid w:val="001F135C"/>
    <w:rsid w:val="001F18D2"/>
    <w:rsid w:val="001F1B6F"/>
    <w:rsid w:val="001F46C9"/>
    <w:rsid w:val="001F4B27"/>
    <w:rsid w:val="001F66E5"/>
    <w:rsid w:val="001F69DC"/>
    <w:rsid w:val="001F6CCC"/>
    <w:rsid w:val="001F7B1F"/>
    <w:rsid w:val="00200D78"/>
    <w:rsid w:val="00200ED5"/>
    <w:rsid w:val="00200F95"/>
    <w:rsid w:val="0020124C"/>
    <w:rsid w:val="0020127B"/>
    <w:rsid w:val="0020235D"/>
    <w:rsid w:val="00202FD8"/>
    <w:rsid w:val="0020334F"/>
    <w:rsid w:val="00205C9D"/>
    <w:rsid w:val="00205D1E"/>
    <w:rsid w:val="002060AA"/>
    <w:rsid w:val="002062F3"/>
    <w:rsid w:val="00207056"/>
    <w:rsid w:val="0020752D"/>
    <w:rsid w:val="00207ECE"/>
    <w:rsid w:val="0021005C"/>
    <w:rsid w:val="002104FE"/>
    <w:rsid w:val="00210C81"/>
    <w:rsid w:val="00211E58"/>
    <w:rsid w:val="00213468"/>
    <w:rsid w:val="00215B2D"/>
    <w:rsid w:val="00215B4E"/>
    <w:rsid w:val="0021603D"/>
    <w:rsid w:val="002171FD"/>
    <w:rsid w:val="0021778F"/>
    <w:rsid w:val="0022028C"/>
    <w:rsid w:val="002230B8"/>
    <w:rsid w:val="002240F9"/>
    <w:rsid w:val="00224CC8"/>
    <w:rsid w:val="0022555C"/>
    <w:rsid w:val="00225878"/>
    <w:rsid w:val="00225880"/>
    <w:rsid w:val="00225C40"/>
    <w:rsid w:val="0022677B"/>
    <w:rsid w:val="00226F8F"/>
    <w:rsid w:val="0022739D"/>
    <w:rsid w:val="00227A84"/>
    <w:rsid w:val="00227BDE"/>
    <w:rsid w:val="00230FA5"/>
    <w:rsid w:val="002318AD"/>
    <w:rsid w:val="00232323"/>
    <w:rsid w:val="00233BD4"/>
    <w:rsid w:val="00234AB7"/>
    <w:rsid w:val="00235570"/>
    <w:rsid w:val="002368E7"/>
    <w:rsid w:val="00237F06"/>
    <w:rsid w:val="00240ECD"/>
    <w:rsid w:val="0024134A"/>
    <w:rsid w:val="00242ED0"/>
    <w:rsid w:val="0024326A"/>
    <w:rsid w:val="00243340"/>
    <w:rsid w:val="00244B80"/>
    <w:rsid w:val="00245310"/>
    <w:rsid w:val="002456A7"/>
    <w:rsid w:val="00245886"/>
    <w:rsid w:val="00246197"/>
    <w:rsid w:val="00247FCE"/>
    <w:rsid w:val="002515BC"/>
    <w:rsid w:val="002515C1"/>
    <w:rsid w:val="00252299"/>
    <w:rsid w:val="00253DE1"/>
    <w:rsid w:val="002552D9"/>
    <w:rsid w:val="0025585A"/>
    <w:rsid w:val="00257D42"/>
    <w:rsid w:val="00261C7D"/>
    <w:rsid w:val="002620B5"/>
    <w:rsid w:val="00263BF9"/>
    <w:rsid w:val="0026502E"/>
    <w:rsid w:val="00265436"/>
    <w:rsid w:val="00267F8E"/>
    <w:rsid w:val="0027264B"/>
    <w:rsid w:val="002743DA"/>
    <w:rsid w:val="002744EA"/>
    <w:rsid w:val="002759E2"/>
    <w:rsid w:val="0027657B"/>
    <w:rsid w:val="002766DD"/>
    <w:rsid w:val="0027731C"/>
    <w:rsid w:val="00280A8D"/>
    <w:rsid w:val="00280BF2"/>
    <w:rsid w:val="00281012"/>
    <w:rsid w:val="00282B97"/>
    <w:rsid w:val="00282CB1"/>
    <w:rsid w:val="00283BCC"/>
    <w:rsid w:val="00284331"/>
    <w:rsid w:val="002847FF"/>
    <w:rsid w:val="00284BDF"/>
    <w:rsid w:val="002856A4"/>
    <w:rsid w:val="0028663B"/>
    <w:rsid w:val="00290E05"/>
    <w:rsid w:val="0029276C"/>
    <w:rsid w:val="0029394E"/>
    <w:rsid w:val="0029398A"/>
    <w:rsid w:val="00294557"/>
    <w:rsid w:val="0029467D"/>
    <w:rsid w:val="00295413"/>
    <w:rsid w:val="00296845"/>
    <w:rsid w:val="00296C5D"/>
    <w:rsid w:val="00297AED"/>
    <w:rsid w:val="002A00DC"/>
    <w:rsid w:val="002A0A99"/>
    <w:rsid w:val="002A1884"/>
    <w:rsid w:val="002A22C3"/>
    <w:rsid w:val="002A3B30"/>
    <w:rsid w:val="002A446C"/>
    <w:rsid w:val="002A4BF3"/>
    <w:rsid w:val="002A586A"/>
    <w:rsid w:val="002A7D8B"/>
    <w:rsid w:val="002B0280"/>
    <w:rsid w:val="002B0BED"/>
    <w:rsid w:val="002B0FB0"/>
    <w:rsid w:val="002B3E71"/>
    <w:rsid w:val="002B4ACC"/>
    <w:rsid w:val="002B4F29"/>
    <w:rsid w:val="002B699B"/>
    <w:rsid w:val="002B6AFB"/>
    <w:rsid w:val="002B7765"/>
    <w:rsid w:val="002B7790"/>
    <w:rsid w:val="002C024E"/>
    <w:rsid w:val="002C2C5A"/>
    <w:rsid w:val="002C3B7C"/>
    <w:rsid w:val="002C3CA4"/>
    <w:rsid w:val="002C3F26"/>
    <w:rsid w:val="002C40E3"/>
    <w:rsid w:val="002C46B3"/>
    <w:rsid w:val="002C4A1A"/>
    <w:rsid w:val="002C607A"/>
    <w:rsid w:val="002C6239"/>
    <w:rsid w:val="002C6494"/>
    <w:rsid w:val="002C6BBC"/>
    <w:rsid w:val="002C6F59"/>
    <w:rsid w:val="002C7123"/>
    <w:rsid w:val="002C783B"/>
    <w:rsid w:val="002D19E6"/>
    <w:rsid w:val="002D2333"/>
    <w:rsid w:val="002D2EE1"/>
    <w:rsid w:val="002D3021"/>
    <w:rsid w:val="002D4F03"/>
    <w:rsid w:val="002D5CBA"/>
    <w:rsid w:val="002D6814"/>
    <w:rsid w:val="002D75B9"/>
    <w:rsid w:val="002E0176"/>
    <w:rsid w:val="002E0DB2"/>
    <w:rsid w:val="002E194C"/>
    <w:rsid w:val="002E277F"/>
    <w:rsid w:val="002E4179"/>
    <w:rsid w:val="002E527B"/>
    <w:rsid w:val="002E5504"/>
    <w:rsid w:val="002E5A16"/>
    <w:rsid w:val="002E5B7E"/>
    <w:rsid w:val="002E5F47"/>
    <w:rsid w:val="002E73FD"/>
    <w:rsid w:val="002F0824"/>
    <w:rsid w:val="002F0B5D"/>
    <w:rsid w:val="002F1478"/>
    <w:rsid w:val="002F1D01"/>
    <w:rsid w:val="002F1DDF"/>
    <w:rsid w:val="002F25A6"/>
    <w:rsid w:val="002F2C16"/>
    <w:rsid w:val="002F31B7"/>
    <w:rsid w:val="002F32E7"/>
    <w:rsid w:val="002F5483"/>
    <w:rsid w:val="002F767A"/>
    <w:rsid w:val="002F774A"/>
    <w:rsid w:val="003012E9"/>
    <w:rsid w:val="003023D0"/>
    <w:rsid w:val="00302B14"/>
    <w:rsid w:val="003039F9"/>
    <w:rsid w:val="00304165"/>
    <w:rsid w:val="00304754"/>
    <w:rsid w:val="0030517F"/>
    <w:rsid w:val="003061AA"/>
    <w:rsid w:val="00306682"/>
    <w:rsid w:val="00307E5D"/>
    <w:rsid w:val="003101E7"/>
    <w:rsid w:val="00311D48"/>
    <w:rsid w:val="00311E38"/>
    <w:rsid w:val="00312043"/>
    <w:rsid w:val="0031257D"/>
    <w:rsid w:val="0031377E"/>
    <w:rsid w:val="00313E0F"/>
    <w:rsid w:val="00314FD4"/>
    <w:rsid w:val="00316F1B"/>
    <w:rsid w:val="0031736C"/>
    <w:rsid w:val="0031768E"/>
    <w:rsid w:val="003177E6"/>
    <w:rsid w:val="0031790E"/>
    <w:rsid w:val="00320349"/>
    <w:rsid w:val="00320A58"/>
    <w:rsid w:val="003224F4"/>
    <w:rsid w:val="003230BC"/>
    <w:rsid w:val="00323365"/>
    <w:rsid w:val="00325253"/>
    <w:rsid w:val="0032635E"/>
    <w:rsid w:val="00327020"/>
    <w:rsid w:val="00327AD4"/>
    <w:rsid w:val="003307B7"/>
    <w:rsid w:val="003310CE"/>
    <w:rsid w:val="00331200"/>
    <w:rsid w:val="00331AA6"/>
    <w:rsid w:val="00332655"/>
    <w:rsid w:val="00332FB3"/>
    <w:rsid w:val="00333562"/>
    <w:rsid w:val="00333702"/>
    <w:rsid w:val="003339A4"/>
    <w:rsid w:val="00335965"/>
    <w:rsid w:val="003364D9"/>
    <w:rsid w:val="00336A58"/>
    <w:rsid w:val="00336FCE"/>
    <w:rsid w:val="0033719D"/>
    <w:rsid w:val="00340137"/>
    <w:rsid w:val="0034079F"/>
    <w:rsid w:val="00340B24"/>
    <w:rsid w:val="00342EA5"/>
    <w:rsid w:val="003432BA"/>
    <w:rsid w:val="003445E6"/>
    <w:rsid w:val="00344FEF"/>
    <w:rsid w:val="003451A5"/>
    <w:rsid w:val="003454B0"/>
    <w:rsid w:val="00345A11"/>
    <w:rsid w:val="003462EC"/>
    <w:rsid w:val="0034692A"/>
    <w:rsid w:val="00347504"/>
    <w:rsid w:val="00350549"/>
    <w:rsid w:val="0035259C"/>
    <w:rsid w:val="00352C0E"/>
    <w:rsid w:val="0035382F"/>
    <w:rsid w:val="00353F17"/>
    <w:rsid w:val="003552C3"/>
    <w:rsid w:val="003553E1"/>
    <w:rsid w:val="00355EEE"/>
    <w:rsid w:val="00355F50"/>
    <w:rsid w:val="00356974"/>
    <w:rsid w:val="00357148"/>
    <w:rsid w:val="003606CB"/>
    <w:rsid w:val="00360D19"/>
    <w:rsid w:val="0036111A"/>
    <w:rsid w:val="0036296A"/>
    <w:rsid w:val="00362AFB"/>
    <w:rsid w:val="00362FBC"/>
    <w:rsid w:val="00363031"/>
    <w:rsid w:val="00364FE7"/>
    <w:rsid w:val="003654FC"/>
    <w:rsid w:val="00365BDE"/>
    <w:rsid w:val="0036611A"/>
    <w:rsid w:val="00366509"/>
    <w:rsid w:val="0036708E"/>
    <w:rsid w:val="00371276"/>
    <w:rsid w:val="00371AB9"/>
    <w:rsid w:val="0037315B"/>
    <w:rsid w:val="003731FE"/>
    <w:rsid w:val="00373215"/>
    <w:rsid w:val="00373BA9"/>
    <w:rsid w:val="0037446E"/>
    <w:rsid w:val="00374CF2"/>
    <w:rsid w:val="00375041"/>
    <w:rsid w:val="003754A4"/>
    <w:rsid w:val="00376620"/>
    <w:rsid w:val="00376FA2"/>
    <w:rsid w:val="003806A1"/>
    <w:rsid w:val="003818AF"/>
    <w:rsid w:val="00383180"/>
    <w:rsid w:val="00383AFA"/>
    <w:rsid w:val="00384A95"/>
    <w:rsid w:val="0038533D"/>
    <w:rsid w:val="00385A75"/>
    <w:rsid w:val="00387647"/>
    <w:rsid w:val="00387BC8"/>
    <w:rsid w:val="00390338"/>
    <w:rsid w:val="00390FB0"/>
    <w:rsid w:val="00391816"/>
    <w:rsid w:val="00391E21"/>
    <w:rsid w:val="003925D7"/>
    <w:rsid w:val="00392848"/>
    <w:rsid w:val="00394DA5"/>
    <w:rsid w:val="00395EA3"/>
    <w:rsid w:val="00396932"/>
    <w:rsid w:val="003970FC"/>
    <w:rsid w:val="003A4DEF"/>
    <w:rsid w:val="003A5D8B"/>
    <w:rsid w:val="003A6C53"/>
    <w:rsid w:val="003A6D9E"/>
    <w:rsid w:val="003A6EC7"/>
    <w:rsid w:val="003A7BE1"/>
    <w:rsid w:val="003B2402"/>
    <w:rsid w:val="003B2419"/>
    <w:rsid w:val="003B3CAA"/>
    <w:rsid w:val="003B3DA3"/>
    <w:rsid w:val="003B492F"/>
    <w:rsid w:val="003B5EE7"/>
    <w:rsid w:val="003B5F65"/>
    <w:rsid w:val="003B6D54"/>
    <w:rsid w:val="003B73E9"/>
    <w:rsid w:val="003C07C6"/>
    <w:rsid w:val="003C1E83"/>
    <w:rsid w:val="003C2230"/>
    <w:rsid w:val="003C254F"/>
    <w:rsid w:val="003C25E2"/>
    <w:rsid w:val="003C2835"/>
    <w:rsid w:val="003C2A4A"/>
    <w:rsid w:val="003C2FA8"/>
    <w:rsid w:val="003C380D"/>
    <w:rsid w:val="003C4BCA"/>
    <w:rsid w:val="003C4E9B"/>
    <w:rsid w:val="003C5F55"/>
    <w:rsid w:val="003C7BA6"/>
    <w:rsid w:val="003C7BAF"/>
    <w:rsid w:val="003D0312"/>
    <w:rsid w:val="003D07EB"/>
    <w:rsid w:val="003D46F6"/>
    <w:rsid w:val="003D4CD9"/>
    <w:rsid w:val="003D5DF2"/>
    <w:rsid w:val="003D6E48"/>
    <w:rsid w:val="003E017A"/>
    <w:rsid w:val="003E08FB"/>
    <w:rsid w:val="003E1B3C"/>
    <w:rsid w:val="003E1F2A"/>
    <w:rsid w:val="003E1F4F"/>
    <w:rsid w:val="003E2878"/>
    <w:rsid w:val="003E2D01"/>
    <w:rsid w:val="003E411B"/>
    <w:rsid w:val="003E425B"/>
    <w:rsid w:val="003E44D5"/>
    <w:rsid w:val="003E5187"/>
    <w:rsid w:val="003E59DE"/>
    <w:rsid w:val="003E6C8D"/>
    <w:rsid w:val="003E72A7"/>
    <w:rsid w:val="003E75C1"/>
    <w:rsid w:val="003E7719"/>
    <w:rsid w:val="003E7E20"/>
    <w:rsid w:val="003F0019"/>
    <w:rsid w:val="003F0CBD"/>
    <w:rsid w:val="003F2774"/>
    <w:rsid w:val="003F287F"/>
    <w:rsid w:val="003F313E"/>
    <w:rsid w:val="003F3E18"/>
    <w:rsid w:val="003F4F7A"/>
    <w:rsid w:val="003F59E1"/>
    <w:rsid w:val="003F6787"/>
    <w:rsid w:val="003F67D3"/>
    <w:rsid w:val="004007DE"/>
    <w:rsid w:val="004009D1"/>
    <w:rsid w:val="00402174"/>
    <w:rsid w:val="00402FE8"/>
    <w:rsid w:val="004040FC"/>
    <w:rsid w:val="004058B9"/>
    <w:rsid w:val="00405CF8"/>
    <w:rsid w:val="004068CD"/>
    <w:rsid w:val="00406BE2"/>
    <w:rsid w:val="00406CDE"/>
    <w:rsid w:val="00407CEC"/>
    <w:rsid w:val="00407EC8"/>
    <w:rsid w:val="00407F6B"/>
    <w:rsid w:val="0041325F"/>
    <w:rsid w:val="0041448A"/>
    <w:rsid w:val="0041516C"/>
    <w:rsid w:val="00416C56"/>
    <w:rsid w:val="004174B2"/>
    <w:rsid w:val="004178B2"/>
    <w:rsid w:val="004203FF"/>
    <w:rsid w:val="00421934"/>
    <w:rsid w:val="00421C78"/>
    <w:rsid w:val="00422BF3"/>
    <w:rsid w:val="00423079"/>
    <w:rsid w:val="004239E1"/>
    <w:rsid w:val="00424DB0"/>
    <w:rsid w:val="004250B6"/>
    <w:rsid w:val="004269AF"/>
    <w:rsid w:val="0042737E"/>
    <w:rsid w:val="00427982"/>
    <w:rsid w:val="00431528"/>
    <w:rsid w:val="00432849"/>
    <w:rsid w:val="004334CA"/>
    <w:rsid w:val="004334F1"/>
    <w:rsid w:val="00433EF7"/>
    <w:rsid w:val="0043523B"/>
    <w:rsid w:val="004356E9"/>
    <w:rsid w:val="004367FA"/>
    <w:rsid w:val="00436E75"/>
    <w:rsid w:val="004374B0"/>
    <w:rsid w:val="004427AA"/>
    <w:rsid w:val="00442E01"/>
    <w:rsid w:val="00445A3E"/>
    <w:rsid w:val="00446D63"/>
    <w:rsid w:val="0045045C"/>
    <w:rsid w:val="00451450"/>
    <w:rsid w:val="00451F9D"/>
    <w:rsid w:val="00454FD7"/>
    <w:rsid w:val="00456634"/>
    <w:rsid w:val="004567C2"/>
    <w:rsid w:val="00456F4A"/>
    <w:rsid w:val="00457E91"/>
    <w:rsid w:val="00460093"/>
    <w:rsid w:val="0046260A"/>
    <w:rsid w:val="0046379A"/>
    <w:rsid w:val="00463BAA"/>
    <w:rsid w:val="004653CC"/>
    <w:rsid w:val="00465B5B"/>
    <w:rsid w:val="00466B38"/>
    <w:rsid w:val="00467979"/>
    <w:rsid w:val="00470E4F"/>
    <w:rsid w:val="00471651"/>
    <w:rsid w:val="00472C64"/>
    <w:rsid w:val="0047375E"/>
    <w:rsid w:val="004741EF"/>
    <w:rsid w:val="00474B08"/>
    <w:rsid w:val="00474B8B"/>
    <w:rsid w:val="00475068"/>
    <w:rsid w:val="004750A2"/>
    <w:rsid w:val="00475169"/>
    <w:rsid w:val="00475739"/>
    <w:rsid w:val="00477CF4"/>
    <w:rsid w:val="004803C5"/>
    <w:rsid w:val="00480AD9"/>
    <w:rsid w:val="00480CC6"/>
    <w:rsid w:val="00480F92"/>
    <w:rsid w:val="004811EA"/>
    <w:rsid w:val="0048167A"/>
    <w:rsid w:val="00485D19"/>
    <w:rsid w:val="0048723B"/>
    <w:rsid w:val="00487AEC"/>
    <w:rsid w:val="00487CD0"/>
    <w:rsid w:val="0049008D"/>
    <w:rsid w:val="00490B94"/>
    <w:rsid w:val="00491D78"/>
    <w:rsid w:val="004938EA"/>
    <w:rsid w:val="004944C4"/>
    <w:rsid w:val="00494629"/>
    <w:rsid w:val="00494782"/>
    <w:rsid w:val="00494880"/>
    <w:rsid w:val="00495F2F"/>
    <w:rsid w:val="00496033"/>
    <w:rsid w:val="004A0611"/>
    <w:rsid w:val="004A08E4"/>
    <w:rsid w:val="004A0DAD"/>
    <w:rsid w:val="004A13F4"/>
    <w:rsid w:val="004A1A14"/>
    <w:rsid w:val="004A2A5E"/>
    <w:rsid w:val="004A2B33"/>
    <w:rsid w:val="004A2C75"/>
    <w:rsid w:val="004A3B43"/>
    <w:rsid w:val="004A3C6D"/>
    <w:rsid w:val="004A55E4"/>
    <w:rsid w:val="004A57A1"/>
    <w:rsid w:val="004A5A35"/>
    <w:rsid w:val="004A5D8E"/>
    <w:rsid w:val="004A67E7"/>
    <w:rsid w:val="004A683A"/>
    <w:rsid w:val="004A6F21"/>
    <w:rsid w:val="004A7088"/>
    <w:rsid w:val="004A7CB8"/>
    <w:rsid w:val="004B0797"/>
    <w:rsid w:val="004B08D4"/>
    <w:rsid w:val="004B0E52"/>
    <w:rsid w:val="004B2643"/>
    <w:rsid w:val="004B26FB"/>
    <w:rsid w:val="004B3106"/>
    <w:rsid w:val="004B3AD9"/>
    <w:rsid w:val="004B5168"/>
    <w:rsid w:val="004B5928"/>
    <w:rsid w:val="004B5CDF"/>
    <w:rsid w:val="004B72F8"/>
    <w:rsid w:val="004B7438"/>
    <w:rsid w:val="004B782F"/>
    <w:rsid w:val="004B7CE4"/>
    <w:rsid w:val="004C16CA"/>
    <w:rsid w:val="004C1917"/>
    <w:rsid w:val="004C4659"/>
    <w:rsid w:val="004C6A9B"/>
    <w:rsid w:val="004C76A5"/>
    <w:rsid w:val="004C7AD7"/>
    <w:rsid w:val="004D0297"/>
    <w:rsid w:val="004D1483"/>
    <w:rsid w:val="004D184B"/>
    <w:rsid w:val="004D1D1C"/>
    <w:rsid w:val="004D2147"/>
    <w:rsid w:val="004D293D"/>
    <w:rsid w:val="004D2C3F"/>
    <w:rsid w:val="004D2F15"/>
    <w:rsid w:val="004D304A"/>
    <w:rsid w:val="004D392F"/>
    <w:rsid w:val="004D3A33"/>
    <w:rsid w:val="004D3A9E"/>
    <w:rsid w:val="004D3E43"/>
    <w:rsid w:val="004D3FC3"/>
    <w:rsid w:val="004D7F0A"/>
    <w:rsid w:val="004E016A"/>
    <w:rsid w:val="004E0512"/>
    <w:rsid w:val="004E13F2"/>
    <w:rsid w:val="004E1BDE"/>
    <w:rsid w:val="004E1D5A"/>
    <w:rsid w:val="004E2A4B"/>
    <w:rsid w:val="004E2E7D"/>
    <w:rsid w:val="004E38CB"/>
    <w:rsid w:val="004E6A81"/>
    <w:rsid w:val="004E6BB9"/>
    <w:rsid w:val="004F0B22"/>
    <w:rsid w:val="004F1400"/>
    <w:rsid w:val="004F19CF"/>
    <w:rsid w:val="004F1BEC"/>
    <w:rsid w:val="004F206B"/>
    <w:rsid w:val="004F28AB"/>
    <w:rsid w:val="004F2B80"/>
    <w:rsid w:val="004F4172"/>
    <w:rsid w:val="004F4276"/>
    <w:rsid w:val="004F6235"/>
    <w:rsid w:val="004F676A"/>
    <w:rsid w:val="004F6FA5"/>
    <w:rsid w:val="004F78E2"/>
    <w:rsid w:val="0050078E"/>
    <w:rsid w:val="00500C56"/>
    <w:rsid w:val="00501A74"/>
    <w:rsid w:val="005032B2"/>
    <w:rsid w:val="0050427F"/>
    <w:rsid w:val="00504844"/>
    <w:rsid w:val="00504FB0"/>
    <w:rsid w:val="00505304"/>
    <w:rsid w:val="00505361"/>
    <w:rsid w:val="0050542B"/>
    <w:rsid w:val="00505989"/>
    <w:rsid w:val="00505B2E"/>
    <w:rsid w:val="005072C7"/>
    <w:rsid w:val="00507A7A"/>
    <w:rsid w:val="00507AB0"/>
    <w:rsid w:val="00510865"/>
    <w:rsid w:val="00510FAC"/>
    <w:rsid w:val="0051105A"/>
    <w:rsid w:val="00512659"/>
    <w:rsid w:val="0051293E"/>
    <w:rsid w:val="00512CEC"/>
    <w:rsid w:val="00516172"/>
    <w:rsid w:val="00516234"/>
    <w:rsid w:val="00516603"/>
    <w:rsid w:val="005203E0"/>
    <w:rsid w:val="00520B14"/>
    <w:rsid w:val="005219B7"/>
    <w:rsid w:val="005220EA"/>
    <w:rsid w:val="005224B2"/>
    <w:rsid w:val="005225A5"/>
    <w:rsid w:val="00522720"/>
    <w:rsid w:val="0052281E"/>
    <w:rsid w:val="00523065"/>
    <w:rsid w:val="005231F7"/>
    <w:rsid w:val="005258C6"/>
    <w:rsid w:val="00526544"/>
    <w:rsid w:val="005267EB"/>
    <w:rsid w:val="0052719C"/>
    <w:rsid w:val="005303F9"/>
    <w:rsid w:val="00530A8D"/>
    <w:rsid w:val="0053206C"/>
    <w:rsid w:val="00532451"/>
    <w:rsid w:val="005326C5"/>
    <w:rsid w:val="00533347"/>
    <w:rsid w:val="005341D7"/>
    <w:rsid w:val="00534D1F"/>
    <w:rsid w:val="00535367"/>
    <w:rsid w:val="00535B7B"/>
    <w:rsid w:val="005370D7"/>
    <w:rsid w:val="00537A95"/>
    <w:rsid w:val="00541330"/>
    <w:rsid w:val="00541698"/>
    <w:rsid w:val="00543132"/>
    <w:rsid w:val="00543823"/>
    <w:rsid w:val="0054415A"/>
    <w:rsid w:val="00544D07"/>
    <w:rsid w:val="00545DAE"/>
    <w:rsid w:val="00550353"/>
    <w:rsid w:val="00554C26"/>
    <w:rsid w:val="00555851"/>
    <w:rsid w:val="0055590C"/>
    <w:rsid w:val="00555F9F"/>
    <w:rsid w:val="005562E5"/>
    <w:rsid w:val="00556610"/>
    <w:rsid w:val="0056096E"/>
    <w:rsid w:val="005614C6"/>
    <w:rsid w:val="005621A8"/>
    <w:rsid w:val="0056400C"/>
    <w:rsid w:val="00564191"/>
    <w:rsid w:val="005645B5"/>
    <w:rsid w:val="00564F49"/>
    <w:rsid w:val="005659A0"/>
    <w:rsid w:val="00565AE3"/>
    <w:rsid w:val="00566127"/>
    <w:rsid w:val="00570690"/>
    <w:rsid w:val="0057082C"/>
    <w:rsid w:val="005708B4"/>
    <w:rsid w:val="005712C4"/>
    <w:rsid w:val="00571CD1"/>
    <w:rsid w:val="00572D91"/>
    <w:rsid w:val="00572E01"/>
    <w:rsid w:val="00573351"/>
    <w:rsid w:val="00575308"/>
    <w:rsid w:val="0057632D"/>
    <w:rsid w:val="00576F36"/>
    <w:rsid w:val="0058020B"/>
    <w:rsid w:val="005808E8"/>
    <w:rsid w:val="00580EB2"/>
    <w:rsid w:val="0058196B"/>
    <w:rsid w:val="00581C8B"/>
    <w:rsid w:val="00582842"/>
    <w:rsid w:val="00583B4D"/>
    <w:rsid w:val="00583E4C"/>
    <w:rsid w:val="00585485"/>
    <w:rsid w:val="0058643A"/>
    <w:rsid w:val="0058663A"/>
    <w:rsid w:val="00586798"/>
    <w:rsid w:val="00586816"/>
    <w:rsid w:val="00587122"/>
    <w:rsid w:val="005878E7"/>
    <w:rsid w:val="00590112"/>
    <w:rsid w:val="005907AC"/>
    <w:rsid w:val="00591535"/>
    <w:rsid w:val="005916EB"/>
    <w:rsid w:val="00592461"/>
    <w:rsid w:val="00592914"/>
    <w:rsid w:val="0059392F"/>
    <w:rsid w:val="00595612"/>
    <w:rsid w:val="00596AFA"/>
    <w:rsid w:val="00597308"/>
    <w:rsid w:val="00597E14"/>
    <w:rsid w:val="005A0543"/>
    <w:rsid w:val="005A0626"/>
    <w:rsid w:val="005A1A56"/>
    <w:rsid w:val="005A1C69"/>
    <w:rsid w:val="005A2FA5"/>
    <w:rsid w:val="005A3D47"/>
    <w:rsid w:val="005A458B"/>
    <w:rsid w:val="005A6947"/>
    <w:rsid w:val="005B1925"/>
    <w:rsid w:val="005B2485"/>
    <w:rsid w:val="005B2C21"/>
    <w:rsid w:val="005B42F2"/>
    <w:rsid w:val="005B4834"/>
    <w:rsid w:val="005B4D32"/>
    <w:rsid w:val="005B6D38"/>
    <w:rsid w:val="005B71C6"/>
    <w:rsid w:val="005B7C1D"/>
    <w:rsid w:val="005C1336"/>
    <w:rsid w:val="005C1C4C"/>
    <w:rsid w:val="005C1EE0"/>
    <w:rsid w:val="005C300E"/>
    <w:rsid w:val="005C4412"/>
    <w:rsid w:val="005C4F42"/>
    <w:rsid w:val="005C502D"/>
    <w:rsid w:val="005C55AA"/>
    <w:rsid w:val="005C6EB2"/>
    <w:rsid w:val="005D09F0"/>
    <w:rsid w:val="005D2F32"/>
    <w:rsid w:val="005D3987"/>
    <w:rsid w:val="005D43CA"/>
    <w:rsid w:val="005D4E19"/>
    <w:rsid w:val="005D5BD5"/>
    <w:rsid w:val="005D65AA"/>
    <w:rsid w:val="005D693A"/>
    <w:rsid w:val="005D6A7F"/>
    <w:rsid w:val="005D75AC"/>
    <w:rsid w:val="005E149A"/>
    <w:rsid w:val="005E1919"/>
    <w:rsid w:val="005E2E96"/>
    <w:rsid w:val="005E3585"/>
    <w:rsid w:val="005E467D"/>
    <w:rsid w:val="005E4AD4"/>
    <w:rsid w:val="005E5537"/>
    <w:rsid w:val="005E583D"/>
    <w:rsid w:val="005F2683"/>
    <w:rsid w:val="005F273A"/>
    <w:rsid w:val="005F2F0C"/>
    <w:rsid w:val="005F2FB3"/>
    <w:rsid w:val="005F3694"/>
    <w:rsid w:val="005F44BD"/>
    <w:rsid w:val="005F49E1"/>
    <w:rsid w:val="005F57A7"/>
    <w:rsid w:val="005F5B42"/>
    <w:rsid w:val="005F6AE6"/>
    <w:rsid w:val="005F6BB9"/>
    <w:rsid w:val="005F712D"/>
    <w:rsid w:val="005F7301"/>
    <w:rsid w:val="005F7CFE"/>
    <w:rsid w:val="0060010D"/>
    <w:rsid w:val="0060159B"/>
    <w:rsid w:val="006019E6"/>
    <w:rsid w:val="0060228C"/>
    <w:rsid w:val="006025AD"/>
    <w:rsid w:val="00602605"/>
    <w:rsid w:val="00602C0B"/>
    <w:rsid w:val="00602C5F"/>
    <w:rsid w:val="00603886"/>
    <w:rsid w:val="0060400B"/>
    <w:rsid w:val="00604070"/>
    <w:rsid w:val="00606115"/>
    <w:rsid w:val="0061091C"/>
    <w:rsid w:val="00610B77"/>
    <w:rsid w:val="00611B24"/>
    <w:rsid w:val="0061221C"/>
    <w:rsid w:val="00612680"/>
    <w:rsid w:val="006128C0"/>
    <w:rsid w:val="00612B00"/>
    <w:rsid w:val="00612D7B"/>
    <w:rsid w:val="00614FE6"/>
    <w:rsid w:val="0061502E"/>
    <w:rsid w:val="0061675B"/>
    <w:rsid w:val="0061677C"/>
    <w:rsid w:val="006171F6"/>
    <w:rsid w:val="00620BFD"/>
    <w:rsid w:val="00620C6E"/>
    <w:rsid w:val="00620D29"/>
    <w:rsid w:val="00620F86"/>
    <w:rsid w:val="006217BD"/>
    <w:rsid w:val="00621EE5"/>
    <w:rsid w:val="0062203B"/>
    <w:rsid w:val="006229E6"/>
    <w:rsid w:val="006236A6"/>
    <w:rsid w:val="00624DF8"/>
    <w:rsid w:val="00625CBD"/>
    <w:rsid w:val="00627396"/>
    <w:rsid w:val="00627605"/>
    <w:rsid w:val="0063031F"/>
    <w:rsid w:val="00630E43"/>
    <w:rsid w:val="00632291"/>
    <w:rsid w:val="006327BE"/>
    <w:rsid w:val="006339D0"/>
    <w:rsid w:val="00635E4A"/>
    <w:rsid w:val="00636F03"/>
    <w:rsid w:val="00637BC4"/>
    <w:rsid w:val="00637FA7"/>
    <w:rsid w:val="006410C4"/>
    <w:rsid w:val="006412D0"/>
    <w:rsid w:val="006418EC"/>
    <w:rsid w:val="00642162"/>
    <w:rsid w:val="00642387"/>
    <w:rsid w:val="00642B5F"/>
    <w:rsid w:val="00646840"/>
    <w:rsid w:val="00646B95"/>
    <w:rsid w:val="00646EF7"/>
    <w:rsid w:val="00647707"/>
    <w:rsid w:val="00650564"/>
    <w:rsid w:val="00650E4A"/>
    <w:rsid w:val="0065113A"/>
    <w:rsid w:val="00652382"/>
    <w:rsid w:val="00652AA2"/>
    <w:rsid w:val="006536F7"/>
    <w:rsid w:val="00654C2D"/>
    <w:rsid w:val="00654F75"/>
    <w:rsid w:val="0065543C"/>
    <w:rsid w:val="006570E4"/>
    <w:rsid w:val="00657678"/>
    <w:rsid w:val="0066033C"/>
    <w:rsid w:val="0066050F"/>
    <w:rsid w:val="006610AB"/>
    <w:rsid w:val="006612C9"/>
    <w:rsid w:val="00661469"/>
    <w:rsid w:val="00663147"/>
    <w:rsid w:val="0066343B"/>
    <w:rsid w:val="006636FD"/>
    <w:rsid w:val="00663733"/>
    <w:rsid w:val="006647EF"/>
    <w:rsid w:val="00665AA9"/>
    <w:rsid w:val="0066606C"/>
    <w:rsid w:val="00666682"/>
    <w:rsid w:val="006668DB"/>
    <w:rsid w:val="00667FBC"/>
    <w:rsid w:val="00670A3D"/>
    <w:rsid w:val="00670E7B"/>
    <w:rsid w:val="00671022"/>
    <w:rsid w:val="00672069"/>
    <w:rsid w:val="00672F85"/>
    <w:rsid w:val="00673350"/>
    <w:rsid w:val="00673799"/>
    <w:rsid w:val="00673E59"/>
    <w:rsid w:val="0067476F"/>
    <w:rsid w:val="0067515A"/>
    <w:rsid w:val="006757A9"/>
    <w:rsid w:val="00675BE0"/>
    <w:rsid w:val="00675D5A"/>
    <w:rsid w:val="00676AC7"/>
    <w:rsid w:val="00676C57"/>
    <w:rsid w:val="00681214"/>
    <w:rsid w:val="0068129A"/>
    <w:rsid w:val="00681E39"/>
    <w:rsid w:val="00682C14"/>
    <w:rsid w:val="0068307A"/>
    <w:rsid w:val="00683A03"/>
    <w:rsid w:val="00684519"/>
    <w:rsid w:val="00685FE5"/>
    <w:rsid w:val="00686B67"/>
    <w:rsid w:val="0069001E"/>
    <w:rsid w:val="00690B6F"/>
    <w:rsid w:val="00690FEB"/>
    <w:rsid w:val="00691FBD"/>
    <w:rsid w:val="00692C87"/>
    <w:rsid w:val="00693E09"/>
    <w:rsid w:val="0069441D"/>
    <w:rsid w:val="00694843"/>
    <w:rsid w:val="006956F3"/>
    <w:rsid w:val="00695D38"/>
    <w:rsid w:val="00696811"/>
    <w:rsid w:val="006969A5"/>
    <w:rsid w:val="00697FCB"/>
    <w:rsid w:val="006A0798"/>
    <w:rsid w:val="006A1684"/>
    <w:rsid w:val="006A1E50"/>
    <w:rsid w:val="006A3120"/>
    <w:rsid w:val="006A3C45"/>
    <w:rsid w:val="006A465D"/>
    <w:rsid w:val="006A46D1"/>
    <w:rsid w:val="006A4894"/>
    <w:rsid w:val="006A4CF1"/>
    <w:rsid w:val="006A5CD9"/>
    <w:rsid w:val="006A60CF"/>
    <w:rsid w:val="006A655E"/>
    <w:rsid w:val="006A756F"/>
    <w:rsid w:val="006B0714"/>
    <w:rsid w:val="006B1154"/>
    <w:rsid w:val="006B116E"/>
    <w:rsid w:val="006B11E0"/>
    <w:rsid w:val="006B2488"/>
    <w:rsid w:val="006B2904"/>
    <w:rsid w:val="006B2FFC"/>
    <w:rsid w:val="006B56CE"/>
    <w:rsid w:val="006B5981"/>
    <w:rsid w:val="006B6631"/>
    <w:rsid w:val="006B6E07"/>
    <w:rsid w:val="006C077D"/>
    <w:rsid w:val="006C0CD7"/>
    <w:rsid w:val="006C0D51"/>
    <w:rsid w:val="006C12D6"/>
    <w:rsid w:val="006C18DD"/>
    <w:rsid w:val="006C2C66"/>
    <w:rsid w:val="006C413B"/>
    <w:rsid w:val="006C494C"/>
    <w:rsid w:val="006C4B4D"/>
    <w:rsid w:val="006C4BC0"/>
    <w:rsid w:val="006C4D4C"/>
    <w:rsid w:val="006C56A7"/>
    <w:rsid w:val="006C6386"/>
    <w:rsid w:val="006C6E4F"/>
    <w:rsid w:val="006D091A"/>
    <w:rsid w:val="006D109D"/>
    <w:rsid w:val="006D1181"/>
    <w:rsid w:val="006D148B"/>
    <w:rsid w:val="006D1C39"/>
    <w:rsid w:val="006D292E"/>
    <w:rsid w:val="006D34D2"/>
    <w:rsid w:val="006D3A0E"/>
    <w:rsid w:val="006D3AA2"/>
    <w:rsid w:val="006D41F0"/>
    <w:rsid w:val="006D421A"/>
    <w:rsid w:val="006D47A2"/>
    <w:rsid w:val="006D51D2"/>
    <w:rsid w:val="006D5B07"/>
    <w:rsid w:val="006D5B9D"/>
    <w:rsid w:val="006D673F"/>
    <w:rsid w:val="006D76B0"/>
    <w:rsid w:val="006D7F02"/>
    <w:rsid w:val="006E049B"/>
    <w:rsid w:val="006E08AF"/>
    <w:rsid w:val="006E145C"/>
    <w:rsid w:val="006E212C"/>
    <w:rsid w:val="006E2938"/>
    <w:rsid w:val="006E3B8C"/>
    <w:rsid w:val="006E3F59"/>
    <w:rsid w:val="006E3FF0"/>
    <w:rsid w:val="006E4B34"/>
    <w:rsid w:val="006E6152"/>
    <w:rsid w:val="006E64E2"/>
    <w:rsid w:val="006F17D9"/>
    <w:rsid w:val="006F2D80"/>
    <w:rsid w:val="006F3684"/>
    <w:rsid w:val="006F37BC"/>
    <w:rsid w:val="006F38C2"/>
    <w:rsid w:val="006F547D"/>
    <w:rsid w:val="006F56C4"/>
    <w:rsid w:val="006F6E1A"/>
    <w:rsid w:val="006F71F2"/>
    <w:rsid w:val="006F7BB5"/>
    <w:rsid w:val="00700680"/>
    <w:rsid w:val="007010C7"/>
    <w:rsid w:val="00703C4E"/>
    <w:rsid w:val="00705097"/>
    <w:rsid w:val="00706764"/>
    <w:rsid w:val="0070681F"/>
    <w:rsid w:val="007102CB"/>
    <w:rsid w:val="007104D5"/>
    <w:rsid w:val="007107C7"/>
    <w:rsid w:val="0071086B"/>
    <w:rsid w:val="00712240"/>
    <w:rsid w:val="00712E70"/>
    <w:rsid w:val="00713A3F"/>
    <w:rsid w:val="007147DD"/>
    <w:rsid w:val="00715CC8"/>
    <w:rsid w:val="00717BE8"/>
    <w:rsid w:val="007209A9"/>
    <w:rsid w:val="00720B43"/>
    <w:rsid w:val="00721232"/>
    <w:rsid w:val="007216F0"/>
    <w:rsid w:val="00721BA2"/>
    <w:rsid w:val="007233E5"/>
    <w:rsid w:val="00724153"/>
    <w:rsid w:val="00724DB6"/>
    <w:rsid w:val="007262F8"/>
    <w:rsid w:val="00727003"/>
    <w:rsid w:val="0073054F"/>
    <w:rsid w:val="007314F4"/>
    <w:rsid w:val="00731562"/>
    <w:rsid w:val="007319C1"/>
    <w:rsid w:val="0073206F"/>
    <w:rsid w:val="00732B49"/>
    <w:rsid w:val="00733121"/>
    <w:rsid w:val="00733694"/>
    <w:rsid w:val="007339FD"/>
    <w:rsid w:val="0073406F"/>
    <w:rsid w:val="007340A0"/>
    <w:rsid w:val="007340B3"/>
    <w:rsid w:val="007350A3"/>
    <w:rsid w:val="007365F3"/>
    <w:rsid w:val="00736DB8"/>
    <w:rsid w:val="00740738"/>
    <w:rsid w:val="00741A61"/>
    <w:rsid w:val="00743EF6"/>
    <w:rsid w:val="00744BBC"/>
    <w:rsid w:val="007466D4"/>
    <w:rsid w:val="0074687B"/>
    <w:rsid w:val="00747E52"/>
    <w:rsid w:val="00747E5E"/>
    <w:rsid w:val="00750178"/>
    <w:rsid w:val="007505E2"/>
    <w:rsid w:val="0075148E"/>
    <w:rsid w:val="00752368"/>
    <w:rsid w:val="00753114"/>
    <w:rsid w:val="00753893"/>
    <w:rsid w:val="007543DA"/>
    <w:rsid w:val="007567DC"/>
    <w:rsid w:val="00757BF9"/>
    <w:rsid w:val="0076040F"/>
    <w:rsid w:val="00760A35"/>
    <w:rsid w:val="00760C86"/>
    <w:rsid w:val="007610E2"/>
    <w:rsid w:val="0076210A"/>
    <w:rsid w:val="007624FC"/>
    <w:rsid w:val="007625EA"/>
    <w:rsid w:val="00763599"/>
    <w:rsid w:val="00764599"/>
    <w:rsid w:val="007646CB"/>
    <w:rsid w:val="00764859"/>
    <w:rsid w:val="00764A44"/>
    <w:rsid w:val="00764B13"/>
    <w:rsid w:val="00765949"/>
    <w:rsid w:val="007659DE"/>
    <w:rsid w:val="00765D5E"/>
    <w:rsid w:val="00766F08"/>
    <w:rsid w:val="00770337"/>
    <w:rsid w:val="007705DD"/>
    <w:rsid w:val="00770774"/>
    <w:rsid w:val="007730A8"/>
    <w:rsid w:val="007732D3"/>
    <w:rsid w:val="0077337B"/>
    <w:rsid w:val="00773F3B"/>
    <w:rsid w:val="007744D2"/>
    <w:rsid w:val="00774573"/>
    <w:rsid w:val="00774862"/>
    <w:rsid w:val="00774E8F"/>
    <w:rsid w:val="007750DC"/>
    <w:rsid w:val="0077748C"/>
    <w:rsid w:val="00780434"/>
    <w:rsid w:val="00781754"/>
    <w:rsid w:val="00782554"/>
    <w:rsid w:val="00783942"/>
    <w:rsid w:val="007840FC"/>
    <w:rsid w:val="007842C6"/>
    <w:rsid w:val="007850E6"/>
    <w:rsid w:val="00785A78"/>
    <w:rsid w:val="00785CD0"/>
    <w:rsid w:val="0078631A"/>
    <w:rsid w:val="00787AF6"/>
    <w:rsid w:val="00787DCC"/>
    <w:rsid w:val="00790F0A"/>
    <w:rsid w:val="007911C3"/>
    <w:rsid w:val="00791FBB"/>
    <w:rsid w:val="007926C1"/>
    <w:rsid w:val="00792796"/>
    <w:rsid w:val="007952B4"/>
    <w:rsid w:val="00795479"/>
    <w:rsid w:val="00795677"/>
    <w:rsid w:val="00795D1C"/>
    <w:rsid w:val="00796028"/>
    <w:rsid w:val="00796D62"/>
    <w:rsid w:val="007A07FE"/>
    <w:rsid w:val="007A1330"/>
    <w:rsid w:val="007A13B5"/>
    <w:rsid w:val="007A15DF"/>
    <w:rsid w:val="007A1C74"/>
    <w:rsid w:val="007A2068"/>
    <w:rsid w:val="007A2F04"/>
    <w:rsid w:val="007A36CF"/>
    <w:rsid w:val="007A3DA8"/>
    <w:rsid w:val="007A3E7D"/>
    <w:rsid w:val="007A74F9"/>
    <w:rsid w:val="007A7899"/>
    <w:rsid w:val="007A7A9D"/>
    <w:rsid w:val="007B01B8"/>
    <w:rsid w:val="007B0600"/>
    <w:rsid w:val="007B3423"/>
    <w:rsid w:val="007B404E"/>
    <w:rsid w:val="007B4A59"/>
    <w:rsid w:val="007B4A90"/>
    <w:rsid w:val="007B77C2"/>
    <w:rsid w:val="007C0B13"/>
    <w:rsid w:val="007C147D"/>
    <w:rsid w:val="007C1B77"/>
    <w:rsid w:val="007C29A5"/>
    <w:rsid w:val="007C5361"/>
    <w:rsid w:val="007C5F51"/>
    <w:rsid w:val="007C6C1F"/>
    <w:rsid w:val="007C6E0E"/>
    <w:rsid w:val="007C795E"/>
    <w:rsid w:val="007D100D"/>
    <w:rsid w:val="007D1AFD"/>
    <w:rsid w:val="007D2358"/>
    <w:rsid w:val="007D3286"/>
    <w:rsid w:val="007D351C"/>
    <w:rsid w:val="007D351F"/>
    <w:rsid w:val="007D4146"/>
    <w:rsid w:val="007D560E"/>
    <w:rsid w:val="007D6A2B"/>
    <w:rsid w:val="007D74C5"/>
    <w:rsid w:val="007D7559"/>
    <w:rsid w:val="007D7F71"/>
    <w:rsid w:val="007E0D61"/>
    <w:rsid w:val="007E2489"/>
    <w:rsid w:val="007E49F4"/>
    <w:rsid w:val="007E76C0"/>
    <w:rsid w:val="007E7936"/>
    <w:rsid w:val="007F059F"/>
    <w:rsid w:val="007F0C19"/>
    <w:rsid w:val="007F34CC"/>
    <w:rsid w:val="007F3DC0"/>
    <w:rsid w:val="007F5643"/>
    <w:rsid w:val="007F5693"/>
    <w:rsid w:val="007F6028"/>
    <w:rsid w:val="007F6B17"/>
    <w:rsid w:val="007F6C18"/>
    <w:rsid w:val="00801266"/>
    <w:rsid w:val="00801903"/>
    <w:rsid w:val="00801B08"/>
    <w:rsid w:val="00801FBE"/>
    <w:rsid w:val="00802003"/>
    <w:rsid w:val="00802562"/>
    <w:rsid w:val="00803AF4"/>
    <w:rsid w:val="008041EA"/>
    <w:rsid w:val="00805FE0"/>
    <w:rsid w:val="008102B3"/>
    <w:rsid w:val="00810CC7"/>
    <w:rsid w:val="0081120B"/>
    <w:rsid w:val="00813255"/>
    <w:rsid w:val="00817F39"/>
    <w:rsid w:val="0082087B"/>
    <w:rsid w:val="00820E24"/>
    <w:rsid w:val="00820E3B"/>
    <w:rsid w:val="00821865"/>
    <w:rsid w:val="00821A71"/>
    <w:rsid w:val="0082390F"/>
    <w:rsid w:val="008251F9"/>
    <w:rsid w:val="00825403"/>
    <w:rsid w:val="00825EFF"/>
    <w:rsid w:val="008273F1"/>
    <w:rsid w:val="00830ABE"/>
    <w:rsid w:val="00830E52"/>
    <w:rsid w:val="008313DC"/>
    <w:rsid w:val="008324C1"/>
    <w:rsid w:val="0083258F"/>
    <w:rsid w:val="00834FAA"/>
    <w:rsid w:val="00834FD5"/>
    <w:rsid w:val="00835CB8"/>
    <w:rsid w:val="00836A9E"/>
    <w:rsid w:val="00836CCA"/>
    <w:rsid w:val="00837C1C"/>
    <w:rsid w:val="00837CA5"/>
    <w:rsid w:val="00840309"/>
    <w:rsid w:val="00840724"/>
    <w:rsid w:val="008411FD"/>
    <w:rsid w:val="0084149A"/>
    <w:rsid w:val="00842617"/>
    <w:rsid w:val="00842DE7"/>
    <w:rsid w:val="008437F5"/>
    <w:rsid w:val="0084446A"/>
    <w:rsid w:val="00844D04"/>
    <w:rsid w:val="00844E96"/>
    <w:rsid w:val="0084685C"/>
    <w:rsid w:val="00847A65"/>
    <w:rsid w:val="00847B45"/>
    <w:rsid w:val="00850288"/>
    <w:rsid w:val="00850720"/>
    <w:rsid w:val="00850D7A"/>
    <w:rsid w:val="00851427"/>
    <w:rsid w:val="0085187B"/>
    <w:rsid w:val="00851AAF"/>
    <w:rsid w:val="00854734"/>
    <w:rsid w:val="00855B15"/>
    <w:rsid w:val="00855C1A"/>
    <w:rsid w:val="0085600F"/>
    <w:rsid w:val="00856CC6"/>
    <w:rsid w:val="00856F3A"/>
    <w:rsid w:val="008578BC"/>
    <w:rsid w:val="0086030C"/>
    <w:rsid w:val="00860C0C"/>
    <w:rsid w:val="00860F9F"/>
    <w:rsid w:val="008617D0"/>
    <w:rsid w:val="00861DFE"/>
    <w:rsid w:val="00862124"/>
    <w:rsid w:val="00863DEB"/>
    <w:rsid w:val="00865BB8"/>
    <w:rsid w:val="00866A86"/>
    <w:rsid w:val="00866AC0"/>
    <w:rsid w:val="008674A4"/>
    <w:rsid w:val="00870E3D"/>
    <w:rsid w:val="0087172B"/>
    <w:rsid w:val="008727B8"/>
    <w:rsid w:val="00872895"/>
    <w:rsid w:val="00872BAE"/>
    <w:rsid w:val="00873776"/>
    <w:rsid w:val="008742BF"/>
    <w:rsid w:val="0087616E"/>
    <w:rsid w:val="008765D4"/>
    <w:rsid w:val="00877C56"/>
    <w:rsid w:val="0088073E"/>
    <w:rsid w:val="00882B48"/>
    <w:rsid w:val="00884EBF"/>
    <w:rsid w:val="00885A3A"/>
    <w:rsid w:val="00886116"/>
    <w:rsid w:val="00886467"/>
    <w:rsid w:val="008877CC"/>
    <w:rsid w:val="00890F32"/>
    <w:rsid w:val="00894400"/>
    <w:rsid w:val="00894B8B"/>
    <w:rsid w:val="00894EB9"/>
    <w:rsid w:val="008974D5"/>
    <w:rsid w:val="008977C5"/>
    <w:rsid w:val="008978FC"/>
    <w:rsid w:val="00897C3F"/>
    <w:rsid w:val="008A092C"/>
    <w:rsid w:val="008A2402"/>
    <w:rsid w:val="008A26EA"/>
    <w:rsid w:val="008A2728"/>
    <w:rsid w:val="008A2ED8"/>
    <w:rsid w:val="008A3B99"/>
    <w:rsid w:val="008A3CF4"/>
    <w:rsid w:val="008A3FDA"/>
    <w:rsid w:val="008A4FA9"/>
    <w:rsid w:val="008A50A7"/>
    <w:rsid w:val="008A522A"/>
    <w:rsid w:val="008A524C"/>
    <w:rsid w:val="008A557F"/>
    <w:rsid w:val="008A66DD"/>
    <w:rsid w:val="008A677A"/>
    <w:rsid w:val="008A67CA"/>
    <w:rsid w:val="008A68D0"/>
    <w:rsid w:val="008A7186"/>
    <w:rsid w:val="008B034F"/>
    <w:rsid w:val="008B056D"/>
    <w:rsid w:val="008B09EC"/>
    <w:rsid w:val="008B0D60"/>
    <w:rsid w:val="008B1C85"/>
    <w:rsid w:val="008B1FC0"/>
    <w:rsid w:val="008B2707"/>
    <w:rsid w:val="008B271E"/>
    <w:rsid w:val="008B5132"/>
    <w:rsid w:val="008B5643"/>
    <w:rsid w:val="008B6210"/>
    <w:rsid w:val="008B74DE"/>
    <w:rsid w:val="008B7529"/>
    <w:rsid w:val="008C00F7"/>
    <w:rsid w:val="008C1864"/>
    <w:rsid w:val="008C1C29"/>
    <w:rsid w:val="008C2A7C"/>
    <w:rsid w:val="008C2C00"/>
    <w:rsid w:val="008C44F5"/>
    <w:rsid w:val="008C4EC6"/>
    <w:rsid w:val="008C560B"/>
    <w:rsid w:val="008C60E8"/>
    <w:rsid w:val="008C7CF8"/>
    <w:rsid w:val="008D00C5"/>
    <w:rsid w:val="008D080C"/>
    <w:rsid w:val="008D0911"/>
    <w:rsid w:val="008D203A"/>
    <w:rsid w:val="008D2064"/>
    <w:rsid w:val="008D2BCF"/>
    <w:rsid w:val="008D3185"/>
    <w:rsid w:val="008D357B"/>
    <w:rsid w:val="008D4C86"/>
    <w:rsid w:val="008D4E57"/>
    <w:rsid w:val="008D5770"/>
    <w:rsid w:val="008D63E7"/>
    <w:rsid w:val="008D6877"/>
    <w:rsid w:val="008D6B37"/>
    <w:rsid w:val="008D6BB5"/>
    <w:rsid w:val="008E06AC"/>
    <w:rsid w:val="008E126A"/>
    <w:rsid w:val="008E1772"/>
    <w:rsid w:val="008E23B7"/>
    <w:rsid w:val="008E26D6"/>
    <w:rsid w:val="008E3DA4"/>
    <w:rsid w:val="008E4F20"/>
    <w:rsid w:val="008E576A"/>
    <w:rsid w:val="008E5EF3"/>
    <w:rsid w:val="008E607F"/>
    <w:rsid w:val="008E7F1C"/>
    <w:rsid w:val="008F0AA6"/>
    <w:rsid w:val="008F1D05"/>
    <w:rsid w:val="008F22FE"/>
    <w:rsid w:val="008F2B5D"/>
    <w:rsid w:val="008F4798"/>
    <w:rsid w:val="00900480"/>
    <w:rsid w:val="009013D7"/>
    <w:rsid w:val="009016B1"/>
    <w:rsid w:val="009025BF"/>
    <w:rsid w:val="00902809"/>
    <w:rsid w:val="00902B1B"/>
    <w:rsid w:val="00904166"/>
    <w:rsid w:val="00906B28"/>
    <w:rsid w:val="009100B5"/>
    <w:rsid w:val="0091016C"/>
    <w:rsid w:val="00910D79"/>
    <w:rsid w:val="00911507"/>
    <w:rsid w:val="0091182F"/>
    <w:rsid w:val="00912011"/>
    <w:rsid w:val="009121AC"/>
    <w:rsid w:val="00913582"/>
    <w:rsid w:val="009141F3"/>
    <w:rsid w:val="00914200"/>
    <w:rsid w:val="00914A19"/>
    <w:rsid w:val="009150EC"/>
    <w:rsid w:val="0091544E"/>
    <w:rsid w:val="00920E49"/>
    <w:rsid w:val="00920FCB"/>
    <w:rsid w:val="009225C5"/>
    <w:rsid w:val="0092300A"/>
    <w:rsid w:val="009231EB"/>
    <w:rsid w:val="0092410F"/>
    <w:rsid w:val="00924B63"/>
    <w:rsid w:val="0092664F"/>
    <w:rsid w:val="0092670A"/>
    <w:rsid w:val="00926C31"/>
    <w:rsid w:val="0092711A"/>
    <w:rsid w:val="0092725A"/>
    <w:rsid w:val="00930F49"/>
    <w:rsid w:val="00931762"/>
    <w:rsid w:val="00931B04"/>
    <w:rsid w:val="00932364"/>
    <w:rsid w:val="0093273E"/>
    <w:rsid w:val="00932FD2"/>
    <w:rsid w:val="0093421D"/>
    <w:rsid w:val="009344A6"/>
    <w:rsid w:val="00934BEF"/>
    <w:rsid w:val="009362EC"/>
    <w:rsid w:val="00936DB3"/>
    <w:rsid w:val="00937A8E"/>
    <w:rsid w:val="009406ED"/>
    <w:rsid w:val="00940FE5"/>
    <w:rsid w:val="00942BA2"/>
    <w:rsid w:val="00942BB9"/>
    <w:rsid w:val="00943EE1"/>
    <w:rsid w:val="00943F29"/>
    <w:rsid w:val="009446B1"/>
    <w:rsid w:val="00945EEC"/>
    <w:rsid w:val="009462E0"/>
    <w:rsid w:val="00947700"/>
    <w:rsid w:val="00947BA1"/>
    <w:rsid w:val="00947EB1"/>
    <w:rsid w:val="00947EBB"/>
    <w:rsid w:val="00950EB9"/>
    <w:rsid w:val="00951A3A"/>
    <w:rsid w:val="00952277"/>
    <w:rsid w:val="009528DC"/>
    <w:rsid w:val="00952F74"/>
    <w:rsid w:val="00953AC4"/>
    <w:rsid w:val="00954F0E"/>
    <w:rsid w:val="0095573D"/>
    <w:rsid w:val="0095599C"/>
    <w:rsid w:val="00956372"/>
    <w:rsid w:val="00957406"/>
    <w:rsid w:val="00957A0C"/>
    <w:rsid w:val="00960962"/>
    <w:rsid w:val="00960A76"/>
    <w:rsid w:val="00960F00"/>
    <w:rsid w:val="00961D99"/>
    <w:rsid w:val="0096262E"/>
    <w:rsid w:val="0096276D"/>
    <w:rsid w:val="00962F2A"/>
    <w:rsid w:val="00963ABC"/>
    <w:rsid w:val="00964310"/>
    <w:rsid w:val="0096526C"/>
    <w:rsid w:val="00965E3D"/>
    <w:rsid w:val="00967004"/>
    <w:rsid w:val="0096705F"/>
    <w:rsid w:val="0096728E"/>
    <w:rsid w:val="00967320"/>
    <w:rsid w:val="0096761D"/>
    <w:rsid w:val="009679BD"/>
    <w:rsid w:val="00967A8F"/>
    <w:rsid w:val="00970D26"/>
    <w:rsid w:val="00970D60"/>
    <w:rsid w:val="009715A3"/>
    <w:rsid w:val="00971ADD"/>
    <w:rsid w:val="00971C9A"/>
    <w:rsid w:val="0097227D"/>
    <w:rsid w:val="00973B63"/>
    <w:rsid w:val="009741B4"/>
    <w:rsid w:val="00974C02"/>
    <w:rsid w:val="0097559A"/>
    <w:rsid w:val="009758C3"/>
    <w:rsid w:val="00976010"/>
    <w:rsid w:val="00976FD8"/>
    <w:rsid w:val="009776B8"/>
    <w:rsid w:val="009777FB"/>
    <w:rsid w:val="00977B55"/>
    <w:rsid w:val="00977BAA"/>
    <w:rsid w:val="00977E4A"/>
    <w:rsid w:val="00980F87"/>
    <w:rsid w:val="00981E4B"/>
    <w:rsid w:val="00982A8A"/>
    <w:rsid w:val="00984BC2"/>
    <w:rsid w:val="00984CE2"/>
    <w:rsid w:val="009850F7"/>
    <w:rsid w:val="009853C8"/>
    <w:rsid w:val="00985A9F"/>
    <w:rsid w:val="0099042A"/>
    <w:rsid w:val="00991166"/>
    <w:rsid w:val="00992179"/>
    <w:rsid w:val="00992758"/>
    <w:rsid w:val="0099389A"/>
    <w:rsid w:val="00993B29"/>
    <w:rsid w:val="009956DE"/>
    <w:rsid w:val="00995AD9"/>
    <w:rsid w:val="00996AA5"/>
    <w:rsid w:val="00997DB4"/>
    <w:rsid w:val="009A139D"/>
    <w:rsid w:val="009A152A"/>
    <w:rsid w:val="009A2225"/>
    <w:rsid w:val="009A5C9A"/>
    <w:rsid w:val="009A5FDB"/>
    <w:rsid w:val="009A75FD"/>
    <w:rsid w:val="009A7A74"/>
    <w:rsid w:val="009B0AEA"/>
    <w:rsid w:val="009B0F3F"/>
    <w:rsid w:val="009B1AAA"/>
    <w:rsid w:val="009B3465"/>
    <w:rsid w:val="009B3B8B"/>
    <w:rsid w:val="009B3BA9"/>
    <w:rsid w:val="009B473E"/>
    <w:rsid w:val="009B4A5D"/>
    <w:rsid w:val="009B4C3E"/>
    <w:rsid w:val="009B503E"/>
    <w:rsid w:val="009B660C"/>
    <w:rsid w:val="009B7516"/>
    <w:rsid w:val="009C0F33"/>
    <w:rsid w:val="009C1349"/>
    <w:rsid w:val="009C15A3"/>
    <w:rsid w:val="009C279C"/>
    <w:rsid w:val="009C2877"/>
    <w:rsid w:val="009C2E93"/>
    <w:rsid w:val="009C3131"/>
    <w:rsid w:val="009C321F"/>
    <w:rsid w:val="009C376C"/>
    <w:rsid w:val="009C3C3D"/>
    <w:rsid w:val="009C3CEB"/>
    <w:rsid w:val="009C3DDF"/>
    <w:rsid w:val="009C45A6"/>
    <w:rsid w:val="009C5A3E"/>
    <w:rsid w:val="009C5BD8"/>
    <w:rsid w:val="009C5E2A"/>
    <w:rsid w:val="009C7024"/>
    <w:rsid w:val="009C7F99"/>
    <w:rsid w:val="009D057F"/>
    <w:rsid w:val="009D05CB"/>
    <w:rsid w:val="009D24B3"/>
    <w:rsid w:val="009D2D9E"/>
    <w:rsid w:val="009D3A36"/>
    <w:rsid w:val="009D4FC9"/>
    <w:rsid w:val="009D54EB"/>
    <w:rsid w:val="009D729F"/>
    <w:rsid w:val="009E013A"/>
    <w:rsid w:val="009E1774"/>
    <w:rsid w:val="009E192B"/>
    <w:rsid w:val="009E1C66"/>
    <w:rsid w:val="009E1E36"/>
    <w:rsid w:val="009E336B"/>
    <w:rsid w:val="009E3817"/>
    <w:rsid w:val="009E39BA"/>
    <w:rsid w:val="009E4D18"/>
    <w:rsid w:val="009E4DBA"/>
    <w:rsid w:val="009E5FAD"/>
    <w:rsid w:val="009E684B"/>
    <w:rsid w:val="009E6FDF"/>
    <w:rsid w:val="009F0280"/>
    <w:rsid w:val="009F11B7"/>
    <w:rsid w:val="009F24CD"/>
    <w:rsid w:val="009F26BF"/>
    <w:rsid w:val="009F31B9"/>
    <w:rsid w:val="009F376F"/>
    <w:rsid w:val="009F38FB"/>
    <w:rsid w:val="009F48E4"/>
    <w:rsid w:val="009F4D97"/>
    <w:rsid w:val="009F5314"/>
    <w:rsid w:val="009F6694"/>
    <w:rsid w:val="009F7031"/>
    <w:rsid w:val="00A008F6"/>
    <w:rsid w:val="00A0191E"/>
    <w:rsid w:val="00A02286"/>
    <w:rsid w:val="00A03D51"/>
    <w:rsid w:val="00A0400C"/>
    <w:rsid w:val="00A04E97"/>
    <w:rsid w:val="00A0529A"/>
    <w:rsid w:val="00A058FB"/>
    <w:rsid w:val="00A05D92"/>
    <w:rsid w:val="00A0631B"/>
    <w:rsid w:val="00A06E11"/>
    <w:rsid w:val="00A07128"/>
    <w:rsid w:val="00A07353"/>
    <w:rsid w:val="00A07D9E"/>
    <w:rsid w:val="00A10682"/>
    <w:rsid w:val="00A106B7"/>
    <w:rsid w:val="00A11011"/>
    <w:rsid w:val="00A112FE"/>
    <w:rsid w:val="00A11D12"/>
    <w:rsid w:val="00A120B8"/>
    <w:rsid w:val="00A1267C"/>
    <w:rsid w:val="00A12D0A"/>
    <w:rsid w:val="00A132F1"/>
    <w:rsid w:val="00A13A12"/>
    <w:rsid w:val="00A14E7C"/>
    <w:rsid w:val="00A15E8F"/>
    <w:rsid w:val="00A20108"/>
    <w:rsid w:val="00A22A70"/>
    <w:rsid w:val="00A23098"/>
    <w:rsid w:val="00A231BE"/>
    <w:rsid w:val="00A242AB"/>
    <w:rsid w:val="00A2466F"/>
    <w:rsid w:val="00A26015"/>
    <w:rsid w:val="00A2633C"/>
    <w:rsid w:val="00A30141"/>
    <w:rsid w:val="00A30C5A"/>
    <w:rsid w:val="00A31626"/>
    <w:rsid w:val="00A33711"/>
    <w:rsid w:val="00A341DE"/>
    <w:rsid w:val="00A34994"/>
    <w:rsid w:val="00A35252"/>
    <w:rsid w:val="00A3525C"/>
    <w:rsid w:val="00A36240"/>
    <w:rsid w:val="00A36AA1"/>
    <w:rsid w:val="00A36EE1"/>
    <w:rsid w:val="00A40C94"/>
    <w:rsid w:val="00A44720"/>
    <w:rsid w:val="00A453E1"/>
    <w:rsid w:val="00A457CA"/>
    <w:rsid w:val="00A471E2"/>
    <w:rsid w:val="00A4770B"/>
    <w:rsid w:val="00A50215"/>
    <w:rsid w:val="00A52D3A"/>
    <w:rsid w:val="00A52F64"/>
    <w:rsid w:val="00A5343A"/>
    <w:rsid w:val="00A543EB"/>
    <w:rsid w:val="00A60D3C"/>
    <w:rsid w:val="00A63099"/>
    <w:rsid w:val="00A633E8"/>
    <w:rsid w:val="00A6667A"/>
    <w:rsid w:val="00A67257"/>
    <w:rsid w:val="00A67E8C"/>
    <w:rsid w:val="00A704E2"/>
    <w:rsid w:val="00A70914"/>
    <w:rsid w:val="00A70917"/>
    <w:rsid w:val="00A712CB"/>
    <w:rsid w:val="00A71E63"/>
    <w:rsid w:val="00A725F3"/>
    <w:rsid w:val="00A72CD1"/>
    <w:rsid w:val="00A7438D"/>
    <w:rsid w:val="00A75AF9"/>
    <w:rsid w:val="00A75E50"/>
    <w:rsid w:val="00A766A0"/>
    <w:rsid w:val="00A77B62"/>
    <w:rsid w:val="00A811A5"/>
    <w:rsid w:val="00A81FB1"/>
    <w:rsid w:val="00A82801"/>
    <w:rsid w:val="00A8522F"/>
    <w:rsid w:val="00A857DD"/>
    <w:rsid w:val="00A85FD0"/>
    <w:rsid w:val="00A861BD"/>
    <w:rsid w:val="00A878F2"/>
    <w:rsid w:val="00A9143C"/>
    <w:rsid w:val="00A91AC5"/>
    <w:rsid w:val="00A921D8"/>
    <w:rsid w:val="00A92EA7"/>
    <w:rsid w:val="00A92EF5"/>
    <w:rsid w:val="00A96382"/>
    <w:rsid w:val="00A9689C"/>
    <w:rsid w:val="00A969DD"/>
    <w:rsid w:val="00A971E8"/>
    <w:rsid w:val="00AA0722"/>
    <w:rsid w:val="00AA0C01"/>
    <w:rsid w:val="00AA1575"/>
    <w:rsid w:val="00AA1980"/>
    <w:rsid w:val="00AA1D17"/>
    <w:rsid w:val="00AA2573"/>
    <w:rsid w:val="00AA5570"/>
    <w:rsid w:val="00AA5B28"/>
    <w:rsid w:val="00AA6654"/>
    <w:rsid w:val="00AA67D0"/>
    <w:rsid w:val="00AA703C"/>
    <w:rsid w:val="00AA7126"/>
    <w:rsid w:val="00AA7C73"/>
    <w:rsid w:val="00AB0AE8"/>
    <w:rsid w:val="00AB143D"/>
    <w:rsid w:val="00AB1451"/>
    <w:rsid w:val="00AB2159"/>
    <w:rsid w:val="00AB21E8"/>
    <w:rsid w:val="00AB2DF4"/>
    <w:rsid w:val="00AB33DC"/>
    <w:rsid w:val="00AB33F5"/>
    <w:rsid w:val="00AB39FB"/>
    <w:rsid w:val="00AB44DD"/>
    <w:rsid w:val="00AB6F30"/>
    <w:rsid w:val="00AB72C0"/>
    <w:rsid w:val="00AC16AC"/>
    <w:rsid w:val="00AC40F2"/>
    <w:rsid w:val="00AC4233"/>
    <w:rsid w:val="00AC4F68"/>
    <w:rsid w:val="00AC55CC"/>
    <w:rsid w:val="00AC671B"/>
    <w:rsid w:val="00AC6F8F"/>
    <w:rsid w:val="00AC74F6"/>
    <w:rsid w:val="00AC7B38"/>
    <w:rsid w:val="00AC7D8F"/>
    <w:rsid w:val="00AC7E61"/>
    <w:rsid w:val="00AD0661"/>
    <w:rsid w:val="00AD1794"/>
    <w:rsid w:val="00AD17EC"/>
    <w:rsid w:val="00AD1F8E"/>
    <w:rsid w:val="00AD585B"/>
    <w:rsid w:val="00AD6D7E"/>
    <w:rsid w:val="00AD727E"/>
    <w:rsid w:val="00AD7539"/>
    <w:rsid w:val="00AE220F"/>
    <w:rsid w:val="00AE365A"/>
    <w:rsid w:val="00AE3A02"/>
    <w:rsid w:val="00AE3C21"/>
    <w:rsid w:val="00AE4EB9"/>
    <w:rsid w:val="00AE67D4"/>
    <w:rsid w:val="00AE6E7F"/>
    <w:rsid w:val="00AE7561"/>
    <w:rsid w:val="00AF053F"/>
    <w:rsid w:val="00AF1E78"/>
    <w:rsid w:val="00AF1FB9"/>
    <w:rsid w:val="00AF2649"/>
    <w:rsid w:val="00AF288E"/>
    <w:rsid w:val="00AF3A00"/>
    <w:rsid w:val="00AF3A08"/>
    <w:rsid w:val="00AF60A8"/>
    <w:rsid w:val="00AF633B"/>
    <w:rsid w:val="00AF663D"/>
    <w:rsid w:val="00AF71C0"/>
    <w:rsid w:val="00AF7F8A"/>
    <w:rsid w:val="00B003B8"/>
    <w:rsid w:val="00B018EC"/>
    <w:rsid w:val="00B037AC"/>
    <w:rsid w:val="00B047AC"/>
    <w:rsid w:val="00B04862"/>
    <w:rsid w:val="00B0500C"/>
    <w:rsid w:val="00B0642C"/>
    <w:rsid w:val="00B1020F"/>
    <w:rsid w:val="00B1055B"/>
    <w:rsid w:val="00B10D81"/>
    <w:rsid w:val="00B10E4D"/>
    <w:rsid w:val="00B10E77"/>
    <w:rsid w:val="00B113D1"/>
    <w:rsid w:val="00B12B54"/>
    <w:rsid w:val="00B1309F"/>
    <w:rsid w:val="00B13863"/>
    <w:rsid w:val="00B14507"/>
    <w:rsid w:val="00B14CC7"/>
    <w:rsid w:val="00B15A5F"/>
    <w:rsid w:val="00B1647C"/>
    <w:rsid w:val="00B16AD4"/>
    <w:rsid w:val="00B16CD2"/>
    <w:rsid w:val="00B1767B"/>
    <w:rsid w:val="00B2007F"/>
    <w:rsid w:val="00B20958"/>
    <w:rsid w:val="00B20F1F"/>
    <w:rsid w:val="00B2107C"/>
    <w:rsid w:val="00B2289D"/>
    <w:rsid w:val="00B230D3"/>
    <w:rsid w:val="00B231EE"/>
    <w:rsid w:val="00B234C6"/>
    <w:rsid w:val="00B24B7A"/>
    <w:rsid w:val="00B25D46"/>
    <w:rsid w:val="00B25D7F"/>
    <w:rsid w:val="00B26711"/>
    <w:rsid w:val="00B274A6"/>
    <w:rsid w:val="00B277F4"/>
    <w:rsid w:val="00B306B3"/>
    <w:rsid w:val="00B30908"/>
    <w:rsid w:val="00B32EB7"/>
    <w:rsid w:val="00B34785"/>
    <w:rsid w:val="00B347B3"/>
    <w:rsid w:val="00B36B00"/>
    <w:rsid w:val="00B3745C"/>
    <w:rsid w:val="00B37A5E"/>
    <w:rsid w:val="00B40381"/>
    <w:rsid w:val="00B40E5F"/>
    <w:rsid w:val="00B411B7"/>
    <w:rsid w:val="00B41DE5"/>
    <w:rsid w:val="00B41E37"/>
    <w:rsid w:val="00B4218A"/>
    <w:rsid w:val="00B42B06"/>
    <w:rsid w:val="00B473DF"/>
    <w:rsid w:val="00B47B23"/>
    <w:rsid w:val="00B50DCC"/>
    <w:rsid w:val="00B51B22"/>
    <w:rsid w:val="00B5457D"/>
    <w:rsid w:val="00B545E4"/>
    <w:rsid w:val="00B549E0"/>
    <w:rsid w:val="00B552C7"/>
    <w:rsid w:val="00B55F85"/>
    <w:rsid w:val="00B570C3"/>
    <w:rsid w:val="00B5732A"/>
    <w:rsid w:val="00B60AA3"/>
    <w:rsid w:val="00B61444"/>
    <w:rsid w:val="00B62D6A"/>
    <w:rsid w:val="00B64153"/>
    <w:rsid w:val="00B6451E"/>
    <w:rsid w:val="00B65D52"/>
    <w:rsid w:val="00B67086"/>
    <w:rsid w:val="00B70369"/>
    <w:rsid w:val="00B70D8B"/>
    <w:rsid w:val="00B7107A"/>
    <w:rsid w:val="00B72C7A"/>
    <w:rsid w:val="00B72E65"/>
    <w:rsid w:val="00B72F0B"/>
    <w:rsid w:val="00B73216"/>
    <w:rsid w:val="00B73A4E"/>
    <w:rsid w:val="00B7478A"/>
    <w:rsid w:val="00B74F9A"/>
    <w:rsid w:val="00B7555A"/>
    <w:rsid w:val="00B75875"/>
    <w:rsid w:val="00B77D99"/>
    <w:rsid w:val="00B801CD"/>
    <w:rsid w:val="00B80DCA"/>
    <w:rsid w:val="00B81EDA"/>
    <w:rsid w:val="00B82BA5"/>
    <w:rsid w:val="00B8442A"/>
    <w:rsid w:val="00B85BB3"/>
    <w:rsid w:val="00B862BA"/>
    <w:rsid w:val="00B86907"/>
    <w:rsid w:val="00B9255C"/>
    <w:rsid w:val="00B929DA"/>
    <w:rsid w:val="00B92A12"/>
    <w:rsid w:val="00B92D88"/>
    <w:rsid w:val="00B93D7F"/>
    <w:rsid w:val="00B94265"/>
    <w:rsid w:val="00B95C7C"/>
    <w:rsid w:val="00B95E24"/>
    <w:rsid w:val="00B95F03"/>
    <w:rsid w:val="00B96A84"/>
    <w:rsid w:val="00BA03BF"/>
    <w:rsid w:val="00BA1596"/>
    <w:rsid w:val="00BA2C8F"/>
    <w:rsid w:val="00BA2EB3"/>
    <w:rsid w:val="00BA36AB"/>
    <w:rsid w:val="00BA5460"/>
    <w:rsid w:val="00BA5D7B"/>
    <w:rsid w:val="00BA6337"/>
    <w:rsid w:val="00BB08CE"/>
    <w:rsid w:val="00BB1B0B"/>
    <w:rsid w:val="00BB26B4"/>
    <w:rsid w:val="00BB2A9F"/>
    <w:rsid w:val="00BB2DC2"/>
    <w:rsid w:val="00BB312C"/>
    <w:rsid w:val="00BB342B"/>
    <w:rsid w:val="00BB3605"/>
    <w:rsid w:val="00BB3FF2"/>
    <w:rsid w:val="00BB4073"/>
    <w:rsid w:val="00BB4F5C"/>
    <w:rsid w:val="00BB6C74"/>
    <w:rsid w:val="00BB6F6C"/>
    <w:rsid w:val="00BC1651"/>
    <w:rsid w:val="00BC204A"/>
    <w:rsid w:val="00BC25FA"/>
    <w:rsid w:val="00BC341C"/>
    <w:rsid w:val="00BC3782"/>
    <w:rsid w:val="00BC504C"/>
    <w:rsid w:val="00BC5803"/>
    <w:rsid w:val="00BC58CF"/>
    <w:rsid w:val="00BC7962"/>
    <w:rsid w:val="00BC7AFA"/>
    <w:rsid w:val="00BD07AC"/>
    <w:rsid w:val="00BD0969"/>
    <w:rsid w:val="00BD215C"/>
    <w:rsid w:val="00BD27D9"/>
    <w:rsid w:val="00BD2883"/>
    <w:rsid w:val="00BD3A3F"/>
    <w:rsid w:val="00BD4C47"/>
    <w:rsid w:val="00BD5036"/>
    <w:rsid w:val="00BE02F7"/>
    <w:rsid w:val="00BE09AC"/>
    <w:rsid w:val="00BE0C48"/>
    <w:rsid w:val="00BE2951"/>
    <w:rsid w:val="00BE2C6B"/>
    <w:rsid w:val="00BE2DFF"/>
    <w:rsid w:val="00BE375D"/>
    <w:rsid w:val="00BE4950"/>
    <w:rsid w:val="00BE51C5"/>
    <w:rsid w:val="00BE5247"/>
    <w:rsid w:val="00BE56C3"/>
    <w:rsid w:val="00BE56DB"/>
    <w:rsid w:val="00BE5B15"/>
    <w:rsid w:val="00BE7160"/>
    <w:rsid w:val="00BF1106"/>
    <w:rsid w:val="00BF13D0"/>
    <w:rsid w:val="00BF1B33"/>
    <w:rsid w:val="00BF210E"/>
    <w:rsid w:val="00BF3F3B"/>
    <w:rsid w:val="00BF46D3"/>
    <w:rsid w:val="00BF5408"/>
    <w:rsid w:val="00BF5AA2"/>
    <w:rsid w:val="00BF6101"/>
    <w:rsid w:val="00BF65AD"/>
    <w:rsid w:val="00BF6DC9"/>
    <w:rsid w:val="00BF6E34"/>
    <w:rsid w:val="00C003C6"/>
    <w:rsid w:val="00C01499"/>
    <w:rsid w:val="00C01B4A"/>
    <w:rsid w:val="00C01EBB"/>
    <w:rsid w:val="00C02F00"/>
    <w:rsid w:val="00C03C5F"/>
    <w:rsid w:val="00C05363"/>
    <w:rsid w:val="00C06A00"/>
    <w:rsid w:val="00C07BE8"/>
    <w:rsid w:val="00C1098C"/>
    <w:rsid w:val="00C11C37"/>
    <w:rsid w:val="00C124B5"/>
    <w:rsid w:val="00C13252"/>
    <w:rsid w:val="00C143DF"/>
    <w:rsid w:val="00C14CD8"/>
    <w:rsid w:val="00C14E0D"/>
    <w:rsid w:val="00C156E9"/>
    <w:rsid w:val="00C15A62"/>
    <w:rsid w:val="00C15E84"/>
    <w:rsid w:val="00C161AF"/>
    <w:rsid w:val="00C16B9F"/>
    <w:rsid w:val="00C16E26"/>
    <w:rsid w:val="00C17017"/>
    <w:rsid w:val="00C171EB"/>
    <w:rsid w:val="00C179A9"/>
    <w:rsid w:val="00C209D5"/>
    <w:rsid w:val="00C20EEE"/>
    <w:rsid w:val="00C21D37"/>
    <w:rsid w:val="00C223F8"/>
    <w:rsid w:val="00C226EA"/>
    <w:rsid w:val="00C2438A"/>
    <w:rsid w:val="00C24B6A"/>
    <w:rsid w:val="00C24E0A"/>
    <w:rsid w:val="00C2526C"/>
    <w:rsid w:val="00C25493"/>
    <w:rsid w:val="00C25722"/>
    <w:rsid w:val="00C2721B"/>
    <w:rsid w:val="00C27397"/>
    <w:rsid w:val="00C2758C"/>
    <w:rsid w:val="00C30E39"/>
    <w:rsid w:val="00C30FC8"/>
    <w:rsid w:val="00C31DBA"/>
    <w:rsid w:val="00C32A18"/>
    <w:rsid w:val="00C3303B"/>
    <w:rsid w:val="00C340A6"/>
    <w:rsid w:val="00C34516"/>
    <w:rsid w:val="00C34B54"/>
    <w:rsid w:val="00C34DE4"/>
    <w:rsid w:val="00C35B16"/>
    <w:rsid w:val="00C40192"/>
    <w:rsid w:val="00C4057E"/>
    <w:rsid w:val="00C41042"/>
    <w:rsid w:val="00C41447"/>
    <w:rsid w:val="00C4207B"/>
    <w:rsid w:val="00C42141"/>
    <w:rsid w:val="00C428DA"/>
    <w:rsid w:val="00C4314D"/>
    <w:rsid w:val="00C441B5"/>
    <w:rsid w:val="00C44EEB"/>
    <w:rsid w:val="00C45439"/>
    <w:rsid w:val="00C46C39"/>
    <w:rsid w:val="00C46D14"/>
    <w:rsid w:val="00C508FB"/>
    <w:rsid w:val="00C50967"/>
    <w:rsid w:val="00C50A99"/>
    <w:rsid w:val="00C50EC4"/>
    <w:rsid w:val="00C520D8"/>
    <w:rsid w:val="00C521D4"/>
    <w:rsid w:val="00C53BC2"/>
    <w:rsid w:val="00C54FE5"/>
    <w:rsid w:val="00C551D9"/>
    <w:rsid w:val="00C5539C"/>
    <w:rsid w:val="00C5752E"/>
    <w:rsid w:val="00C57922"/>
    <w:rsid w:val="00C60C0E"/>
    <w:rsid w:val="00C6138B"/>
    <w:rsid w:val="00C61FD9"/>
    <w:rsid w:val="00C6212D"/>
    <w:rsid w:val="00C62E9A"/>
    <w:rsid w:val="00C63A40"/>
    <w:rsid w:val="00C672DF"/>
    <w:rsid w:val="00C67AC4"/>
    <w:rsid w:val="00C67F4B"/>
    <w:rsid w:val="00C704E3"/>
    <w:rsid w:val="00C7146B"/>
    <w:rsid w:val="00C733F1"/>
    <w:rsid w:val="00C733FE"/>
    <w:rsid w:val="00C738DF"/>
    <w:rsid w:val="00C73E84"/>
    <w:rsid w:val="00C76ECD"/>
    <w:rsid w:val="00C772FB"/>
    <w:rsid w:val="00C8037E"/>
    <w:rsid w:val="00C80B9A"/>
    <w:rsid w:val="00C80C38"/>
    <w:rsid w:val="00C85451"/>
    <w:rsid w:val="00C900B9"/>
    <w:rsid w:val="00C90B17"/>
    <w:rsid w:val="00C927F2"/>
    <w:rsid w:val="00C92B37"/>
    <w:rsid w:val="00C93637"/>
    <w:rsid w:val="00C93821"/>
    <w:rsid w:val="00C93CEA"/>
    <w:rsid w:val="00C94D3C"/>
    <w:rsid w:val="00C95EA6"/>
    <w:rsid w:val="00C9678F"/>
    <w:rsid w:val="00C96A2B"/>
    <w:rsid w:val="00C9740A"/>
    <w:rsid w:val="00CA02EF"/>
    <w:rsid w:val="00CA0424"/>
    <w:rsid w:val="00CA0544"/>
    <w:rsid w:val="00CA078A"/>
    <w:rsid w:val="00CA0DB8"/>
    <w:rsid w:val="00CA124D"/>
    <w:rsid w:val="00CA1420"/>
    <w:rsid w:val="00CA30E2"/>
    <w:rsid w:val="00CA3461"/>
    <w:rsid w:val="00CA352D"/>
    <w:rsid w:val="00CA3768"/>
    <w:rsid w:val="00CA3CE9"/>
    <w:rsid w:val="00CA42E8"/>
    <w:rsid w:val="00CA4BDD"/>
    <w:rsid w:val="00CA5259"/>
    <w:rsid w:val="00CA6E72"/>
    <w:rsid w:val="00CB02E2"/>
    <w:rsid w:val="00CB1266"/>
    <w:rsid w:val="00CB132C"/>
    <w:rsid w:val="00CB1AEE"/>
    <w:rsid w:val="00CB2E5E"/>
    <w:rsid w:val="00CB3393"/>
    <w:rsid w:val="00CB3A6C"/>
    <w:rsid w:val="00CB53BF"/>
    <w:rsid w:val="00CB58FB"/>
    <w:rsid w:val="00CB6002"/>
    <w:rsid w:val="00CB66D7"/>
    <w:rsid w:val="00CB6C5B"/>
    <w:rsid w:val="00CB6CA7"/>
    <w:rsid w:val="00CB742D"/>
    <w:rsid w:val="00CB7604"/>
    <w:rsid w:val="00CC0020"/>
    <w:rsid w:val="00CC0254"/>
    <w:rsid w:val="00CC02F4"/>
    <w:rsid w:val="00CC0F4F"/>
    <w:rsid w:val="00CC1351"/>
    <w:rsid w:val="00CC1FC6"/>
    <w:rsid w:val="00CC23E2"/>
    <w:rsid w:val="00CC3694"/>
    <w:rsid w:val="00CC3BCE"/>
    <w:rsid w:val="00CC3C96"/>
    <w:rsid w:val="00CC404D"/>
    <w:rsid w:val="00CC6021"/>
    <w:rsid w:val="00CC64D8"/>
    <w:rsid w:val="00CC6A92"/>
    <w:rsid w:val="00CC7112"/>
    <w:rsid w:val="00CC7519"/>
    <w:rsid w:val="00CC79E0"/>
    <w:rsid w:val="00CC7B44"/>
    <w:rsid w:val="00CD0C9A"/>
    <w:rsid w:val="00CD14D9"/>
    <w:rsid w:val="00CD3972"/>
    <w:rsid w:val="00CD7957"/>
    <w:rsid w:val="00CE019E"/>
    <w:rsid w:val="00CE2EC7"/>
    <w:rsid w:val="00CE2F68"/>
    <w:rsid w:val="00CE2FF3"/>
    <w:rsid w:val="00CE3276"/>
    <w:rsid w:val="00CE3DD0"/>
    <w:rsid w:val="00CE52F1"/>
    <w:rsid w:val="00CE5D97"/>
    <w:rsid w:val="00CE7287"/>
    <w:rsid w:val="00CF058C"/>
    <w:rsid w:val="00CF0A78"/>
    <w:rsid w:val="00CF12B3"/>
    <w:rsid w:val="00CF2AF2"/>
    <w:rsid w:val="00CF2C83"/>
    <w:rsid w:val="00CF3E6B"/>
    <w:rsid w:val="00CF47D9"/>
    <w:rsid w:val="00CF5744"/>
    <w:rsid w:val="00CF5B4C"/>
    <w:rsid w:val="00CF6356"/>
    <w:rsid w:val="00D01EB8"/>
    <w:rsid w:val="00D04329"/>
    <w:rsid w:val="00D04B9E"/>
    <w:rsid w:val="00D04C34"/>
    <w:rsid w:val="00D04CD9"/>
    <w:rsid w:val="00D0615A"/>
    <w:rsid w:val="00D06C9B"/>
    <w:rsid w:val="00D10FD7"/>
    <w:rsid w:val="00D117E8"/>
    <w:rsid w:val="00D127D0"/>
    <w:rsid w:val="00D13635"/>
    <w:rsid w:val="00D139A3"/>
    <w:rsid w:val="00D1414E"/>
    <w:rsid w:val="00D14D45"/>
    <w:rsid w:val="00D163B3"/>
    <w:rsid w:val="00D171D6"/>
    <w:rsid w:val="00D171DA"/>
    <w:rsid w:val="00D20AB3"/>
    <w:rsid w:val="00D23042"/>
    <w:rsid w:val="00D24097"/>
    <w:rsid w:val="00D245CD"/>
    <w:rsid w:val="00D24926"/>
    <w:rsid w:val="00D24A90"/>
    <w:rsid w:val="00D25315"/>
    <w:rsid w:val="00D257AB"/>
    <w:rsid w:val="00D25C6F"/>
    <w:rsid w:val="00D261B3"/>
    <w:rsid w:val="00D26E92"/>
    <w:rsid w:val="00D31866"/>
    <w:rsid w:val="00D31B8A"/>
    <w:rsid w:val="00D330F9"/>
    <w:rsid w:val="00D33743"/>
    <w:rsid w:val="00D338AC"/>
    <w:rsid w:val="00D35234"/>
    <w:rsid w:val="00D353EF"/>
    <w:rsid w:val="00D3546B"/>
    <w:rsid w:val="00D35509"/>
    <w:rsid w:val="00D36346"/>
    <w:rsid w:val="00D37C70"/>
    <w:rsid w:val="00D4081D"/>
    <w:rsid w:val="00D4161D"/>
    <w:rsid w:val="00D41B1C"/>
    <w:rsid w:val="00D45F65"/>
    <w:rsid w:val="00D47008"/>
    <w:rsid w:val="00D4731A"/>
    <w:rsid w:val="00D504E1"/>
    <w:rsid w:val="00D51169"/>
    <w:rsid w:val="00D5319E"/>
    <w:rsid w:val="00D56092"/>
    <w:rsid w:val="00D57686"/>
    <w:rsid w:val="00D57AAF"/>
    <w:rsid w:val="00D600C0"/>
    <w:rsid w:val="00D6016E"/>
    <w:rsid w:val="00D63144"/>
    <w:rsid w:val="00D64437"/>
    <w:rsid w:val="00D644AF"/>
    <w:rsid w:val="00D64785"/>
    <w:rsid w:val="00D64F7C"/>
    <w:rsid w:val="00D6517A"/>
    <w:rsid w:val="00D65290"/>
    <w:rsid w:val="00D65373"/>
    <w:rsid w:val="00D65C3B"/>
    <w:rsid w:val="00D66F8E"/>
    <w:rsid w:val="00D66FF2"/>
    <w:rsid w:val="00D71A46"/>
    <w:rsid w:val="00D71E65"/>
    <w:rsid w:val="00D723B0"/>
    <w:rsid w:val="00D73AAB"/>
    <w:rsid w:val="00D74542"/>
    <w:rsid w:val="00D75401"/>
    <w:rsid w:val="00D7639D"/>
    <w:rsid w:val="00D76E4F"/>
    <w:rsid w:val="00D808A3"/>
    <w:rsid w:val="00D808F3"/>
    <w:rsid w:val="00D80F74"/>
    <w:rsid w:val="00D81D11"/>
    <w:rsid w:val="00D8238C"/>
    <w:rsid w:val="00D8360A"/>
    <w:rsid w:val="00D864C5"/>
    <w:rsid w:val="00D87C90"/>
    <w:rsid w:val="00D902D1"/>
    <w:rsid w:val="00D9059E"/>
    <w:rsid w:val="00D90AB1"/>
    <w:rsid w:val="00D91701"/>
    <w:rsid w:val="00D91CEA"/>
    <w:rsid w:val="00D9299A"/>
    <w:rsid w:val="00D936AB"/>
    <w:rsid w:val="00D9562B"/>
    <w:rsid w:val="00D96750"/>
    <w:rsid w:val="00D96C02"/>
    <w:rsid w:val="00D9730F"/>
    <w:rsid w:val="00D975F2"/>
    <w:rsid w:val="00D977EA"/>
    <w:rsid w:val="00D9781C"/>
    <w:rsid w:val="00DA2DBA"/>
    <w:rsid w:val="00DA2F75"/>
    <w:rsid w:val="00DA3074"/>
    <w:rsid w:val="00DA370B"/>
    <w:rsid w:val="00DA3996"/>
    <w:rsid w:val="00DA3F6A"/>
    <w:rsid w:val="00DA3FA3"/>
    <w:rsid w:val="00DA43F7"/>
    <w:rsid w:val="00DA4742"/>
    <w:rsid w:val="00DA60E2"/>
    <w:rsid w:val="00DA69B2"/>
    <w:rsid w:val="00DA7EBD"/>
    <w:rsid w:val="00DB005D"/>
    <w:rsid w:val="00DB11DD"/>
    <w:rsid w:val="00DB33F2"/>
    <w:rsid w:val="00DB3F94"/>
    <w:rsid w:val="00DB44B3"/>
    <w:rsid w:val="00DB5A7D"/>
    <w:rsid w:val="00DB7AE3"/>
    <w:rsid w:val="00DC02B9"/>
    <w:rsid w:val="00DC1ED8"/>
    <w:rsid w:val="00DC2EC2"/>
    <w:rsid w:val="00DC3CB3"/>
    <w:rsid w:val="00DC52E1"/>
    <w:rsid w:val="00DC657C"/>
    <w:rsid w:val="00DC6FE7"/>
    <w:rsid w:val="00DC7BEC"/>
    <w:rsid w:val="00DD0FAB"/>
    <w:rsid w:val="00DD23A6"/>
    <w:rsid w:val="00DD2C8C"/>
    <w:rsid w:val="00DD2C90"/>
    <w:rsid w:val="00DD323B"/>
    <w:rsid w:val="00DD4B25"/>
    <w:rsid w:val="00DD5525"/>
    <w:rsid w:val="00DD5767"/>
    <w:rsid w:val="00DD5C29"/>
    <w:rsid w:val="00DD7706"/>
    <w:rsid w:val="00DD781E"/>
    <w:rsid w:val="00DD7A02"/>
    <w:rsid w:val="00DD7C2A"/>
    <w:rsid w:val="00DE0DA9"/>
    <w:rsid w:val="00DE15DA"/>
    <w:rsid w:val="00DE183E"/>
    <w:rsid w:val="00DE1AA4"/>
    <w:rsid w:val="00DE2229"/>
    <w:rsid w:val="00DE3733"/>
    <w:rsid w:val="00DE39E0"/>
    <w:rsid w:val="00DE3A7A"/>
    <w:rsid w:val="00DE4210"/>
    <w:rsid w:val="00DE56BD"/>
    <w:rsid w:val="00DE6C94"/>
    <w:rsid w:val="00DE76AB"/>
    <w:rsid w:val="00DF0605"/>
    <w:rsid w:val="00DF21D3"/>
    <w:rsid w:val="00DF23CF"/>
    <w:rsid w:val="00DF3A87"/>
    <w:rsid w:val="00DF45A6"/>
    <w:rsid w:val="00DF5942"/>
    <w:rsid w:val="00E0039E"/>
    <w:rsid w:val="00E00952"/>
    <w:rsid w:val="00E01B35"/>
    <w:rsid w:val="00E03803"/>
    <w:rsid w:val="00E04FD8"/>
    <w:rsid w:val="00E05473"/>
    <w:rsid w:val="00E05F33"/>
    <w:rsid w:val="00E06532"/>
    <w:rsid w:val="00E06716"/>
    <w:rsid w:val="00E0740D"/>
    <w:rsid w:val="00E07564"/>
    <w:rsid w:val="00E077D3"/>
    <w:rsid w:val="00E07B05"/>
    <w:rsid w:val="00E10015"/>
    <w:rsid w:val="00E12A96"/>
    <w:rsid w:val="00E135DE"/>
    <w:rsid w:val="00E14381"/>
    <w:rsid w:val="00E15182"/>
    <w:rsid w:val="00E15C6F"/>
    <w:rsid w:val="00E1622F"/>
    <w:rsid w:val="00E17BC0"/>
    <w:rsid w:val="00E17CFC"/>
    <w:rsid w:val="00E20595"/>
    <w:rsid w:val="00E20913"/>
    <w:rsid w:val="00E21A6B"/>
    <w:rsid w:val="00E223F1"/>
    <w:rsid w:val="00E243EE"/>
    <w:rsid w:val="00E24858"/>
    <w:rsid w:val="00E24D93"/>
    <w:rsid w:val="00E24FA6"/>
    <w:rsid w:val="00E2638F"/>
    <w:rsid w:val="00E264A9"/>
    <w:rsid w:val="00E30523"/>
    <w:rsid w:val="00E305BD"/>
    <w:rsid w:val="00E31520"/>
    <w:rsid w:val="00E32B62"/>
    <w:rsid w:val="00E3307A"/>
    <w:rsid w:val="00E337ED"/>
    <w:rsid w:val="00E346DF"/>
    <w:rsid w:val="00E34F18"/>
    <w:rsid w:val="00E359E8"/>
    <w:rsid w:val="00E3619D"/>
    <w:rsid w:val="00E362A6"/>
    <w:rsid w:val="00E363DA"/>
    <w:rsid w:val="00E36A79"/>
    <w:rsid w:val="00E36BF6"/>
    <w:rsid w:val="00E36C67"/>
    <w:rsid w:val="00E37D45"/>
    <w:rsid w:val="00E40139"/>
    <w:rsid w:val="00E40FC8"/>
    <w:rsid w:val="00E41037"/>
    <w:rsid w:val="00E4244C"/>
    <w:rsid w:val="00E4346D"/>
    <w:rsid w:val="00E44571"/>
    <w:rsid w:val="00E4578C"/>
    <w:rsid w:val="00E46BC5"/>
    <w:rsid w:val="00E46F15"/>
    <w:rsid w:val="00E50CB9"/>
    <w:rsid w:val="00E50F93"/>
    <w:rsid w:val="00E52776"/>
    <w:rsid w:val="00E52E9F"/>
    <w:rsid w:val="00E54B2D"/>
    <w:rsid w:val="00E55BFB"/>
    <w:rsid w:val="00E55E68"/>
    <w:rsid w:val="00E5770B"/>
    <w:rsid w:val="00E57B9C"/>
    <w:rsid w:val="00E602EA"/>
    <w:rsid w:val="00E604C3"/>
    <w:rsid w:val="00E60771"/>
    <w:rsid w:val="00E61BEC"/>
    <w:rsid w:val="00E61C9A"/>
    <w:rsid w:val="00E6465F"/>
    <w:rsid w:val="00E650D2"/>
    <w:rsid w:val="00E654A9"/>
    <w:rsid w:val="00E65AF8"/>
    <w:rsid w:val="00E66499"/>
    <w:rsid w:val="00E66AEA"/>
    <w:rsid w:val="00E66B00"/>
    <w:rsid w:val="00E67789"/>
    <w:rsid w:val="00E67B5C"/>
    <w:rsid w:val="00E67C5F"/>
    <w:rsid w:val="00E709A6"/>
    <w:rsid w:val="00E70B0B"/>
    <w:rsid w:val="00E71590"/>
    <w:rsid w:val="00E71791"/>
    <w:rsid w:val="00E72837"/>
    <w:rsid w:val="00E72C93"/>
    <w:rsid w:val="00E749EE"/>
    <w:rsid w:val="00E861F1"/>
    <w:rsid w:val="00E86363"/>
    <w:rsid w:val="00E8690D"/>
    <w:rsid w:val="00E86B78"/>
    <w:rsid w:val="00E905C6"/>
    <w:rsid w:val="00E90717"/>
    <w:rsid w:val="00E90803"/>
    <w:rsid w:val="00E90C8F"/>
    <w:rsid w:val="00E90ED7"/>
    <w:rsid w:val="00E90F9C"/>
    <w:rsid w:val="00E915EC"/>
    <w:rsid w:val="00E91BFC"/>
    <w:rsid w:val="00E933A1"/>
    <w:rsid w:val="00E93E5D"/>
    <w:rsid w:val="00E93EAC"/>
    <w:rsid w:val="00E9471A"/>
    <w:rsid w:val="00E977C5"/>
    <w:rsid w:val="00EA0054"/>
    <w:rsid w:val="00EA05DC"/>
    <w:rsid w:val="00EA0672"/>
    <w:rsid w:val="00EA07DB"/>
    <w:rsid w:val="00EA0E09"/>
    <w:rsid w:val="00EA2980"/>
    <w:rsid w:val="00EA32D7"/>
    <w:rsid w:val="00EA457E"/>
    <w:rsid w:val="00EA4778"/>
    <w:rsid w:val="00EA479E"/>
    <w:rsid w:val="00EA53A1"/>
    <w:rsid w:val="00EA53F1"/>
    <w:rsid w:val="00EA6379"/>
    <w:rsid w:val="00EB08BE"/>
    <w:rsid w:val="00EB1C53"/>
    <w:rsid w:val="00EB3082"/>
    <w:rsid w:val="00EB3193"/>
    <w:rsid w:val="00EB4C0C"/>
    <w:rsid w:val="00EB518D"/>
    <w:rsid w:val="00EB5734"/>
    <w:rsid w:val="00EB5C21"/>
    <w:rsid w:val="00EB71A6"/>
    <w:rsid w:val="00EC0339"/>
    <w:rsid w:val="00EC2450"/>
    <w:rsid w:val="00EC30A3"/>
    <w:rsid w:val="00EC3B6B"/>
    <w:rsid w:val="00EC413D"/>
    <w:rsid w:val="00EC42A0"/>
    <w:rsid w:val="00EC5DA2"/>
    <w:rsid w:val="00EC63D1"/>
    <w:rsid w:val="00EC77D3"/>
    <w:rsid w:val="00ED0045"/>
    <w:rsid w:val="00ED0415"/>
    <w:rsid w:val="00ED14EA"/>
    <w:rsid w:val="00ED250A"/>
    <w:rsid w:val="00ED268F"/>
    <w:rsid w:val="00ED2D6C"/>
    <w:rsid w:val="00ED3414"/>
    <w:rsid w:val="00ED3B93"/>
    <w:rsid w:val="00ED3E4B"/>
    <w:rsid w:val="00ED4A61"/>
    <w:rsid w:val="00ED4FF3"/>
    <w:rsid w:val="00ED59D4"/>
    <w:rsid w:val="00ED664F"/>
    <w:rsid w:val="00ED6805"/>
    <w:rsid w:val="00ED716A"/>
    <w:rsid w:val="00ED7C6C"/>
    <w:rsid w:val="00EE0009"/>
    <w:rsid w:val="00EE10C1"/>
    <w:rsid w:val="00EE3406"/>
    <w:rsid w:val="00EE3FC8"/>
    <w:rsid w:val="00EE5FA9"/>
    <w:rsid w:val="00EF0AB5"/>
    <w:rsid w:val="00EF0F90"/>
    <w:rsid w:val="00EF11EA"/>
    <w:rsid w:val="00EF14D1"/>
    <w:rsid w:val="00EF15CC"/>
    <w:rsid w:val="00EF15DB"/>
    <w:rsid w:val="00EF178A"/>
    <w:rsid w:val="00EF2300"/>
    <w:rsid w:val="00EF236E"/>
    <w:rsid w:val="00EF2538"/>
    <w:rsid w:val="00EF2E9E"/>
    <w:rsid w:val="00EF3208"/>
    <w:rsid w:val="00EF3238"/>
    <w:rsid w:val="00EF4347"/>
    <w:rsid w:val="00EF695A"/>
    <w:rsid w:val="00EF7568"/>
    <w:rsid w:val="00F0180A"/>
    <w:rsid w:val="00F01850"/>
    <w:rsid w:val="00F02A11"/>
    <w:rsid w:val="00F02DD4"/>
    <w:rsid w:val="00F0339B"/>
    <w:rsid w:val="00F0377E"/>
    <w:rsid w:val="00F03AFB"/>
    <w:rsid w:val="00F04E8C"/>
    <w:rsid w:val="00F05099"/>
    <w:rsid w:val="00F055B4"/>
    <w:rsid w:val="00F05718"/>
    <w:rsid w:val="00F0776D"/>
    <w:rsid w:val="00F10735"/>
    <w:rsid w:val="00F118F0"/>
    <w:rsid w:val="00F126C3"/>
    <w:rsid w:val="00F12F4E"/>
    <w:rsid w:val="00F13120"/>
    <w:rsid w:val="00F13BDB"/>
    <w:rsid w:val="00F1419D"/>
    <w:rsid w:val="00F14474"/>
    <w:rsid w:val="00F149EE"/>
    <w:rsid w:val="00F14D5D"/>
    <w:rsid w:val="00F157D1"/>
    <w:rsid w:val="00F1717C"/>
    <w:rsid w:val="00F17389"/>
    <w:rsid w:val="00F2028E"/>
    <w:rsid w:val="00F21B80"/>
    <w:rsid w:val="00F21BAA"/>
    <w:rsid w:val="00F223B2"/>
    <w:rsid w:val="00F22612"/>
    <w:rsid w:val="00F22A1B"/>
    <w:rsid w:val="00F25069"/>
    <w:rsid w:val="00F25201"/>
    <w:rsid w:val="00F25370"/>
    <w:rsid w:val="00F2540C"/>
    <w:rsid w:val="00F25F24"/>
    <w:rsid w:val="00F268CD"/>
    <w:rsid w:val="00F308F4"/>
    <w:rsid w:val="00F31327"/>
    <w:rsid w:val="00F327A8"/>
    <w:rsid w:val="00F34E18"/>
    <w:rsid w:val="00F34EC2"/>
    <w:rsid w:val="00F3503E"/>
    <w:rsid w:val="00F353B1"/>
    <w:rsid w:val="00F358B3"/>
    <w:rsid w:val="00F376C0"/>
    <w:rsid w:val="00F409F7"/>
    <w:rsid w:val="00F40AA0"/>
    <w:rsid w:val="00F40F48"/>
    <w:rsid w:val="00F410A7"/>
    <w:rsid w:val="00F420EB"/>
    <w:rsid w:val="00F421F8"/>
    <w:rsid w:val="00F42575"/>
    <w:rsid w:val="00F4297F"/>
    <w:rsid w:val="00F42BFB"/>
    <w:rsid w:val="00F43E81"/>
    <w:rsid w:val="00F4521B"/>
    <w:rsid w:val="00F455E7"/>
    <w:rsid w:val="00F4715A"/>
    <w:rsid w:val="00F51161"/>
    <w:rsid w:val="00F5180E"/>
    <w:rsid w:val="00F52D9B"/>
    <w:rsid w:val="00F53674"/>
    <w:rsid w:val="00F53864"/>
    <w:rsid w:val="00F53B62"/>
    <w:rsid w:val="00F53F95"/>
    <w:rsid w:val="00F54177"/>
    <w:rsid w:val="00F554F8"/>
    <w:rsid w:val="00F557E0"/>
    <w:rsid w:val="00F55D34"/>
    <w:rsid w:val="00F60108"/>
    <w:rsid w:val="00F604AF"/>
    <w:rsid w:val="00F60558"/>
    <w:rsid w:val="00F60F30"/>
    <w:rsid w:val="00F61800"/>
    <w:rsid w:val="00F61837"/>
    <w:rsid w:val="00F61BC8"/>
    <w:rsid w:val="00F627B8"/>
    <w:rsid w:val="00F62822"/>
    <w:rsid w:val="00F63225"/>
    <w:rsid w:val="00F65DF9"/>
    <w:rsid w:val="00F65F69"/>
    <w:rsid w:val="00F66CD0"/>
    <w:rsid w:val="00F71657"/>
    <w:rsid w:val="00F71AEE"/>
    <w:rsid w:val="00F7293E"/>
    <w:rsid w:val="00F72BD3"/>
    <w:rsid w:val="00F737C3"/>
    <w:rsid w:val="00F73A5F"/>
    <w:rsid w:val="00F73B2F"/>
    <w:rsid w:val="00F74588"/>
    <w:rsid w:val="00F76C3F"/>
    <w:rsid w:val="00F779F0"/>
    <w:rsid w:val="00F77EB8"/>
    <w:rsid w:val="00F77ED3"/>
    <w:rsid w:val="00F802C1"/>
    <w:rsid w:val="00F80329"/>
    <w:rsid w:val="00F809E2"/>
    <w:rsid w:val="00F81AC6"/>
    <w:rsid w:val="00F81C98"/>
    <w:rsid w:val="00F81E5E"/>
    <w:rsid w:val="00F822CF"/>
    <w:rsid w:val="00F8354A"/>
    <w:rsid w:val="00F83580"/>
    <w:rsid w:val="00F83D9D"/>
    <w:rsid w:val="00F843D4"/>
    <w:rsid w:val="00F847D6"/>
    <w:rsid w:val="00F850AC"/>
    <w:rsid w:val="00F85EAE"/>
    <w:rsid w:val="00F865CE"/>
    <w:rsid w:val="00F867E0"/>
    <w:rsid w:val="00F877F9"/>
    <w:rsid w:val="00F90061"/>
    <w:rsid w:val="00F901C8"/>
    <w:rsid w:val="00F91D7E"/>
    <w:rsid w:val="00F930F0"/>
    <w:rsid w:val="00F94C38"/>
    <w:rsid w:val="00F94C6C"/>
    <w:rsid w:val="00F967D8"/>
    <w:rsid w:val="00F96938"/>
    <w:rsid w:val="00F96962"/>
    <w:rsid w:val="00F9791A"/>
    <w:rsid w:val="00F9797E"/>
    <w:rsid w:val="00FA0D25"/>
    <w:rsid w:val="00FA1C7A"/>
    <w:rsid w:val="00FA1E8E"/>
    <w:rsid w:val="00FA4659"/>
    <w:rsid w:val="00FA5AF1"/>
    <w:rsid w:val="00FA6203"/>
    <w:rsid w:val="00FA632F"/>
    <w:rsid w:val="00FA742C"/>
    <w:rsid w:val="00FA7ECE"/>
    <w:rsid w:val="00FB58D9"/>
    <w:rsid w:val="00FB648B"/>
    <w:rsid w:val="00FB6D5A"/>
    <w:rsid w:val="00FB6D7E"/>
    <w:rsid w:val="00FB78CF"/>
    <w:rsid w:val="00FC0DC6"/>
    <w:rsid w:val="00FC1016"/>
    <w:rsid w:val="00FC1A5F"/>
    <w:rsid w:val="00FC267D"/>
    <w:rsid w:val="00FC2AEA"/>
    <w:rsid w:val="00FC3BF6"/>
    <w:rsid w:val="00FC41FD"/>
    <w:rsid w:val="00FC479E"/>
    <w:rsid w:val="00FC56CC"/>
    <w:rsid w:val="00FC6ABA"/>
    <w:rsid w:val="00FC6AC3"/>
    <w:rsid w:val="00FC6B48"/>
    <w:rsid w:val="00FC7025"/>
    <w:rsid w:val="00FC7123"/>
    <w:rsid w:val="00FC7562"/>
    <w:rsid w:val="00FC7669"/>
    <w:rsid w:val="00FD01B6"/>
    <w:rsid w:val="00FD0B3E"/>
    <w:rsid w:val="00FD0F17"/>
    <w:rsid w:val="00FD1C13"/>
    <w:rsid w:val="00FD2913"/>
    <w:rsid w:val="00FD31D1"/>
    <w:rsid w:val="00FD427E"/>
    <w:rsid w:val="00FD700D"/>
    <w:rsid w:val="00FD75C4"/>
    <w:rsid w:val="00FD7C0C"/>
    <w:rsid w:val="00FE11A2"/>
    <w:rsid w:val="00FE160B"/>
    <w:rsid w:val="00FE3B8C"/>
    <w:rsid w:val="00FE3BCA"/>
    <w:rsid w:val="00FE461F"/>
    <w:rsid w:val="00FE48D3"/>
    <w:rsid w:val="00FE5944"/>
    <w:rsid w:val="00FE74AA"/>
    <w:rsid w:val="00FE7742"/>
    <w:rsid w:val="00FE7A65"/>
    <w:rsid w:val="00FF08E6"/>
    <w:rsid w:val="00FF1C66"/>
    <w:rsid w:val="00FF43C3"/>
    <w:rsid w:val="00FF4B87"/>
    <w:rsid w:val="00FF5B07"/>
    <w:rsid w:val="00FF5E59"/>
    <w:rsid w:val="00FF7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35660"/>
  <w15:chartTrackingRefBased/>
  <w15:docId w15:val="{58CC8922-3FB6-454E-957C-C01CEEB7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eastAsia="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eastAsia="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eastAsia="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eastAsia="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semiHidden/>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 w:type="paragraph" w:styleId="NoSpacing">
    <w:name w:val="No Spacing"/>
    <w:uiPriority w:val="1"/>
    <w:qFormat/>
    <w:rsid w:val="00C20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7621">
      <w:bodyDiv w:val="1"/>
      <w:marLeft w:val="0"/>
      <w:marRight w:val="0"/>
      <w:marTop w:val="0"/>
      <w:marBottom w:val="0"/>
      <w:divBdr>
        <w:top w:val="none" w:sz="0" w:space="0" w:color="auto"/>
        <w:left w:val="none" w:sz="0" w:space="0" w:color="auto"/>
        <w:bottom w:val="none" w:sz="0" w:space="0" w:color="auto"/>
        <w:right w:val="none" w:sz="0" w:space="0" w:color="auto"/>
      </w:divBdr>
      <w:divsChild>
        <w:div w:id="1079248260">
          <w:marLeft w:val="0"/>
          <w:marRight w:val="0"/>
          <w:marTop w:val="240"/>
          <w:marBottom w:val="0"/>
          <w:divBdr>
            <w:top w:val="none" w:sz="0" w:space="0" w:color="auto"/>
            <w:left w:val="none" w:sz="0" w:space="0" w:color="auto"/>
            <w:bottom w:val="none" w:sz="0" w:space="0" w:color="auto"/>
            <w:right w:val="none" w:sz="0" w:space="0" w:color="auto"/>
          </w:divBdr>
        </w:div>
        <w:div w:id="796293887">
          <w:marLeft w:val="0"/>
          <w:marRight w:val="0"/>
          <w:marTop w:val="120"/>
          <w:marBottom w:val="0"/>
          <w:divBdr>
            <w:top w:val="none" w:sz="0" w:space="0" w:color="auto"/>
            <w:left w:val="none" w:sz="0" w:space="0" w:color="auto"/>
            <w:bottom w:val="none" w:sz="0" w:space="0" w:color="auto"/>
            <w:right w:val="none" w:sz="0" w:space="0" w:color="auto"/>
          </w:divBdr>
        </w:div>
        <w:div w:id="818888593">
          <w:marLeft w:val="1361"/>
          <w:marRight w:val="0"/>
          <w:marTop w:val="60"/>
          <w:marBottom w:val="0"/>
          <w:divBdr>
            <w:top w:val="none" w:sz="0" w:space="0" w:color="auto"/>
            <w:left w:val="none" w:sz="0" w:space="0" w:color="auto"/>
            <w:bottom w:val="none" w:sz="0" w:space="0" w:color="auto"/>
            <w:right w:val="none" w:sz="0" w:space="0" w:color="auto"/>
          </w:divBdr>
        </w:div>
        <w:div w:id="1187253917">
          <w:marLeft w:val="1361"/>
          <w:marRight w:val="0"/>
          <w:marTop w:val="60"/>
          <w:marBottom w:val="0"/>
          <w:divBdr>
            <w:top w:val="none" w:sz="0" w:space="0" w:color="auto"/>
            <w:left w:val="none" w:sz="0" w:space="0" w:color="auto"/>
            <w:bottom w:val="none" w:sz="0" w:space="0" w:color="auto"/>
            <w:right w:val="none" w:sz="0" w:space="0" w:color="auto"/>
          </w:divBdr>
        </w:div>
        <w:div w:id="480772217">
          <w:marLeft w:val="1361"/>
          <w:marRight w:val="0"/>
          <w:marTop w:val="60"/>
          <w:marBottom w:val="0"/>
          <w:divBdr>
            <w:top w:val="none" w:sz="0" w:space="0" w:color="auto"/>
            <w:left w:val="none" w:sz="0" w:space="0" w:color="auto"/>
            <w:bottom w:val="none" w:sz="0" w:space="0" w:color="auto"/>
            <w:right w:val="none" w:sz="0" w:space="0" w:color="auto"/>
          </w:divBdr>
        </w:div>
        <w:div w:id="617831140">
          <w:marLeft w:val="1361"/>
          <w:marRight w:val="0"/>
          <w:marTop w:val="60"/>
          <w:marBottom w:val="0"/>
          <w:divBdr>
            <w:top w:val="none" w:sz="0" w:space="0" w:color="auto"/>
            <w:left w:val="none" w:sz="0" w:space="0" w:color="auto"/>
            <w:bottom w:val="none" w:sz="0" w:space="0" w:color="auto"/>
            <w:right w:val="none" w:sz="0" w:space="0" w:color="auto"/>
          </w:divBdr>
        </w:div>
        <w:div w:id="1870604545">
          <w:marLeft w:val="0"/>
          <w:marRight w:val="0"/>
          <w:marTop w:val="120"/>
          <w:marBottom w:val="0"/>
          <w:divBdr>
            <w:top w:val="none" w:sz="0" w:space="0" w:color="auto"/>
            <w:left w:val="none" w:sz="0" w:space="0" w:color="auto"/>
            <w:bottom w:val="none" w:sz="0" w:space="0" w:color="auto"/>
            <w:right w:val="none" w:sz="0" w:space="0" w:color="auto"/>
          </w:divBdr>
        </w:div>
        <w:div w:id="322662807">
          <w:marLeft w:val="1361"/>
          <w:marRight w:val="0"/>
          <w:marTop w:val="60"/>
          <w:marBottom w:val="0"/>
          <w:divBdr>
            <w:top w:val="none" w:sz="0" w:space="0" w:color="auto"/>
            <w:left w:val="none" w:sz="0" w:space="0" w:color="auto"/>
            <w:bottom w:val="none" w:sz="0" w:space="0" w:color="auto"/>
            <w:right w:val="none" w:sz="0" w:space="0" w:color="auto"/>
          </w:divBdr>
        </w:div>
        <w:div w:id="1474980692">
          <w:marLeft w:val="1361"/>
          <w:marRight w:val="0"/>
          <w:marTop w:val="60"/>
          <w:marBottom w:val="0"/>
          <w:divBdr>
            <w:top w:val="none" w:sz="0" w:space="0" w:color="auto"/>
            <w:left w:val="none" w:sz="0" w:space="0" w:color="auto"/>
            <w:bottom w:val="none" w:sz="0" w:space="0" w:color="auto"/>
            <w:right w:val="none" w:sz="0" w:space="0" w:color="auto"/>
          </w:divBdr>
        </w:div>
        <w:div w:id="250507616">
          <w:marLeft w:val="1361"/>
          <w:marRight w:val="0"/>
          <w:marTop w:val="60"/>
          <w:marBottom w:val="0"/>
          <w:divBdr>
            <w:top w:val="none" w:sz="0" w:space="0" w:color="auto"/>
            <w:left w:val="none" w:sz="0" w:space="0" w:color="auto"/>
            <w:bottom w:val="none" w:sz="0" w:space="0" w:color="auto"/>
            <w:right w:val="none" w:sz="0" w:space="0" w:color="auto"/>
          </w:divBdr>
        </w:div>
      </w:divsChild>
    </w:div>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682366791">
      <w:bodyDiv w:val="1"/>
      <w:marLeft w:val="0"/>
      <w:marRight w:val="0"/>
      <w:marTop w:val="0"/>
      <w:marBottom w:val="0"/>
      <w:divBdr>
        <w:top w:val="none" w:sz="0" w:space="0" w:color="auto"/>
        <w:left w:val="none" w:sz="0" w:space="0" w:color="auto"/>
        <w:bottom w:val="none" w:sz="0" w:space="0" w:color="auto"/>
        <w:right w:val="none" w:sz="0" w:space="0" w:color="auto"/>
      </w:divBdr>
      <w:divsChild>
        <w:div w:id="871921638">
          <w:marLeft w:val="0"/>
          <w:marRight w:val="0"/>
          <w:marTop w:val="240"/>
          <w:marBottom w:val="0"/>
          <w:divBdr>
            <w:top w:val="none" w:sz="0" w:space="0" w:color="auto"/>
            <w:left w:val="none" w:sz="0" w:space="0" w:color="auto"/>
            <w:bottom w:val="none" w:sz="0" w:space="0" w:color="auto"/>
            <w:right w:val="none" w:sz="0" w:space="0" w:color="auto"/>
          </w:divBdr>
        </w:div>
        <w:div w:id="1364869375">
          <w:marLeft w:val="0"/>
          <w:marRight w:val="0"/>
          <w:marTop w:val="120"/>
          <w:marBottom w:val="0"/>
          <w:divBdr>
            <w:top w:val="none" w:sz="0" w:space="0" w:color="auto"/>
            <w:left w:val="none" w:sz="0" w:space="0" w:color="auto"/>
            <w:bottom w:val="none" w:sz="0" w:space="0" w:color="auto"/>
            <w:right w:val="none" w:sz="0" w:space="0" w:color="auto"/>
          </w:divBdr>
        </w:div>
        <w:div w:id="488640550">
          <w:marLeft w:val="1361"/>
          <w:marRight w:val="0"/>
          <w:marTop w:val="60"/>
          <w:marBottom w:val="0"/>
          <w:divBdr>
            <w:top w:val="none" w:sz="0" w:space="0" w:color="auto"/>
            <w:left w:val="none" w:sz="0" w:space="0" w:color="auto"/>
            <w:bottom w:val="none" w:sz="0" w:space="0" w:color="auto"/>
            <w:right w:val="none" w:sz="0" w:space="0" w:color="auto"/>
          </w:divBdr>
        </w:div>
        <w:div w:id="202638944">
          <w:marLeft w:val="1361"/>
          <w:marRight w:val="0"/>
          <w:marTop w:val="60"/>
          <w:marBottom w:val="0"/>
          <w:divBdr>
            <w:top w:val="none" w:sz="0" w:space="0" w:color="auto"/>
            <w:left w:val="none" w:sz="0" w:space="0" w:color="auto"/>
            <w:bottom w:val="none" w:sz="0" w:space="0" w:color="auto"/>
            <w:right w:val="none" w:sz="0" w:space="0" w:color="auto"/>
          </w:divBdr>
        </w:div>
      </w:divsChild>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392462316">
          <w:marLeft w:val="567"/>
          <w:marRight w:val="0"/>
          <w:marTop w:val="60"/>
          <w:marBottom w:val="0"/>
          <w:divBdr>
            <w:top w:val="none" w:sz="0" w:space="0" w:color="auto"/>
            <w:left w:val="none" w:sz="0" w:space="0" w:color="auto"/>
            <w:bottom w:val="none" w:sz="0" w:space="0" w:color="auto"/>
            <w:right w:val="none" w:sz="0" w:space="0" w:color="auto"/>
          </w:divBdr>
        </w:div>
        <w:div w:id="1613051238">
          <w:marLeft w:val="0"/>
          <w:marRight w:val="0"/>
          <w:marTop w:val="12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3985789">
          <w:marLeft w:val="0"/>
          <w:marRight w:val="0"/>
          <w:marTop w:val="180"/>
          <w:marBottom w:val="60"/>
          <w:divBdr>
            <w:top w:val="single" w:sz="8" w:space="1" w:color="808080"/>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161430537">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33D4-4FA5-4171-8EC9-F92E223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7666</Words>
  <Characters>43700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Mokone</cp:lastModifiedBy>
  <cp:revision>2</cp:revision>
  <cp:lastPrinted>2023-04-20T13:55:00Z</cp:lastPrinted>
  <dcterms:created xsi:type="dcterms:W3CDTF">2023-04-21T15:11:00Z</dcterms:created>
  <dcterms:modified xsi:type="dcterms:W3CDTF">2023-04-21T15:11:00Z</dcterms:modified>
</cp:coreProperties>
</file>