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16B9" w14:textId="397EB6B6" w:rsidR="002073C1" w:rsidRPr="000279D6" w:rsidRDefault="002073C1" w:rsidP="00B05C8E">
      <w:pPr>
        <w:rPr>
          <w:rFonts w:ascii="Arial" w:hAnsi="Arial" w:cs="Arial"/>
          <w:b/>
          <w:bCs/>
          <w:sz w:val="24"/>
          <w:szCs w:val="24"/>
          <w:lang w:val="en-US"/>
        </w:rPr>
      </w:pPr>
      <w:bookmarkStart w:id="0" w:name="_GoBack"/>
      <w:bookmarkEnd w:id="0"/>
      <w:r w:rsidRPr="000279D6">
        <w:rPr>
          <w:noProof/>
          <w:lang w:val="en-US"/>
        </w:rPr>
        <w:drawing>
          <wp:anchor distT="0" distB="0" distL="114300" distR="114300" simplePos="0" relativeHeight="251659264" behindDoc="0" locked="0" layoutInCell="1" allowOverlap="1" wp14:anchorId="4AFBF960" wp14:editId="50399C27">
            <wp:simplePos x="0" y="0"/>
            <wp:positionH relativeFrom="margin">
              <wp:align>center</wp:align>
            </wp:positionH>
            <wp:positionV relativeFrom="paragraph">
              <wp:posOffset>76200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604A0DB" w14:textId="77777777" w:rsidR="002073C1" w:rsidRPr="000279D6" w:rsidRDefault="002073C1" w:rsidP="00B05C8E">
      <w:pPr>
        <w:rPr>
          <w:rFonts w:ascii="Arial" w:hAnsi="Arial" w:cs="Arial"/>
          <w:b/>
          <w:bCs/>
          <w:sz w:val="24"/>
          <w:szCs w:val="24"/>
          <w:lang w:val="en-US"/>
        </w:rPr>
      </w:pPr>
    </w:p>
    <w:p w14:paraId="4D28699F" w14:textId="77777777" w:rsidR="002073C1" w:rsidRPr="000279D6" w:rsidRDefault="002073C1" w:rsidP="00B05C8E">
      <w:pPr>
        <w:jc w:val="center"/>
        <w:rPr>
          <w:rFonts w:ascii="Arial" w:hAnsi="Arial" w:cs="Arial"/>
          <w:b/>
          <w:bCs/>
          <w:sz w:val="24"/>
          <w:szCs w:val="24"/>
          <w:lang w:val="en-GB"/>
        </w:rPr>
      </w:pPr>
    </w:p>
    <w:p w14:paraId="3B5CF056" w14:textId="77777777" w:rsidR="00A17461" w:rsidRPr="000279D6" w:rsidRDefault="00A17461" w:rsidP="00B05C8E">
      <w:pPr>
        <w:jc w:val="center"/>
        <w:rPr>
          <w:rFonts w:ascii="Arial" w:hAnsi="Arial" w:cs="Arial"/>
          <w:b/>
          <w:bCs/>
          <w:sz w:val="24"/>
          <w:szCs w:val="24"/>
          <w:lang w:val="en-GB"/>
        </w:rPr>
      </w:pPr>
    </w:p>
    <w:p w14:paraId="0A9BCFE6" w14:textId="77777777" w:rsidR="002073C1" w:rsidRPr="000279D6" w:rsidRDefault="002073C1" w:rsidP="00B05C8E">
      <w:pPr>
        <w:jc w:val="center"/>
        <w:rPr>
          <w:rFonts w:ascii="Arial" w:hAnsi="Arial" w:cs="Arial"/>
          <w:b/>
          <w:bCs/>
          <w:sz w:val="24"/>
          <w:szCs w:val="24"/>
          <w:lang w:val="en-GB"/>
        </w:rPr>
      </w:pPr>
      <w:r w:rsidRPr="000279D6">
        <w:rPr>
          <w:rFonts w:ascii="Arial" w:hAnsi="Arial" w:cs="Arial"/>
          <w:b/>
          <w:bCs/>
          <w:sz w:val="24"/>
          <w:szCs w:val="24"/>
          <w:lang w:val="en-GB"/>
        </w:rPr>
        <w:t>THE SUPREME COURT OF APPEAL OF SOUTH AFRICA</w:t>
      </w:r>
    </w:p>
    <w:p w14:paraId="168351F8" w14:textId="77777777" w:rsidR="002073C1" w:rsidRPr="000279D6" w:rsidRDefault="002073C1" w:rsidP="00B05C8E">
      <w:pPr>
        <w:keepNext/>
        <w:jc w:val="center"/>
        <w:outlineLvl w:val="2"/>
        <w:rPr>
          <w:b/>
          <w:iCs/>
          <w:sz w:val="24"/>
          <w:szCs w:val="24"/>
          <w:lang w:val="en-GB"/>
        </w:rPr>
      </w:pPr>
      <w:r w:rsidRPr="000279D6">
        <w:rPr>
          <w:rFonts w:ascii="Arial" w:hAnsi="Arial" w:cs="Arial"/>
          <w:b/>
          <w:iCs/>
          <w:sz w:val="24"/>
          <w:szCs w:val="24"/>
          <w:lang w:val="en-GB"/>
        </w:rPr>
        <w:t>JUDGMENT</w:t>
      </w:r>
    </w:p>
    <w:p w14:paraId="7514B0C1" w14:textId="6A563797" w:rsidR="002073C1" w:rsidRPr="000279D6" w:rsidRDefault="00DC5FE6" w:rsidP="00B05C8E">
      <w:pPr>
        <w:jc w:val="right"/>
        <w:rPr>
          <w:rFonts w:ascii="Arial" w:hAnsi="Arial" w:cs="Arial"/>
          <w:b/>
          <w:bCs/>
          <w:sz w:val="24"/>
          <w:szCs w:val="24"/>
          <w:lang w:val="en-US"/>
        </w:rPr>
      </w:pPr>
      <w:r w:rsidRPr="000279D6">
        <w:rPr>
          <w:rFonts w:ascii="Arial" w:hAnsi="Arial" w:cs="Arial"/>
          <w:b/>
          <w:bCs/>
          <w:sz w:val="24"/>
          <w:szCs w:val="24"/>
          <w:lang w:val="en-US"/>
        </w:rPr>
        <w:t xml:space="preserve"> </w:t>
      </w:r>
      <w:r w:rsidR="005D5D75" w:rsidRPr="000279D6">
        <w:rPr>
          <w:rFonts w:ascii="Arial" w:hAnsi="Arial" w:cs="Arial"/>
          <w:b/>
          <w:bCs/>
          <w:sz w:val="24"/>
          <w:szCs w:val="24"/>
          <w:lang w:val="en-US"/>
        </w:rPr>
        <w:t>Reportable</w:t>
      </w:r>
      <w:r w:rsidR="002073C1" w:rsidRPr="000279D6">
        <w:rPr>
          <w:rFonts w:ascii="Arial" w:hAnsi="Arial" w:cs="Arial"/>
          <w:b/>
          <w:bCs/>
          <w:sz w:val="24"/>
          <w:szCs w:val="24"/>
          <w:lang w:val="en-US"/>
        </w:rPr>
        <w:t xml:space="preserve"> </w:t>
      </w:r>
    </w:p>
    <w:p w14:paraId="35CDE11D" w14:textId="4211C562" w:rsidR="002073C1" w:rsidRDefault="002073C1" w:rsidP="00B05C8E">
      <w:pPr>
        <w:jc w:val="right"/>
        <w:rPr>
          <w:rFonts w:ascii="Arial" w:hAnsi="Arial" w:cs="Arial"/>
          <w:bCs/>
          <w:sz w:val="24"/>
          <w:szCs w:val="24"/>
          <w:lang w:val="en-US"/>
        </w:rPr>
      </w:pPr>
      <w:r w:rsidRPr="000279D6">
        <w:rPr>
          <w:rFonts w:ascii="Arial" w:hAnsi="Arial" w:cs="Arial"/>
          <w:bCs/>
          <w:sz w:val="24"/>
          <w:szCs w:val="24"/>
          <w:lang w:val="en-US"/>
        </w:rPr>
        <w:t>Case no</w:t>
      </w:r>
      <w:r w:rsidR="006D42D1" w:rsidRPr="000279D6">
        <w:rPr>
          <w:rFonts w:ascii="Arial" w:hAnsi="Arial" w:cs="Arial"/>
          <w:bCs/>
          <w:sz w:val="24"/>
          <w:szCs w:val="24"/>
          <w:lang w:val="en-US"/>
        </w:rPr>
        <w:t>:</w:t>
      </w:r>
      <w:r w:rsidRPr="000279D6">
        <w:rPr>
          <w:rFonts w:ascii="Arial" w:hAnsi="Arial" w:cs="Arial"/>
          <w:bCs/>
          <w:sz w:val="24"/>
          <w:szCs w:val="24"/>
          <w:lang w:val="en-US"/>
        </w:rPr>
        <w:t xml:space="preserve"> </w:t>
      </w:r>
      <w:r w:rsidR="00715272">
        <w:rPr>
          <w:rFonts w:ascii="Arial" w:hAnsi="Arial" w:cs="Arial"/>
          <w:bCs/>
          <w:sz w:val="24"/>
          <w:szCs w:val="24"/>
          <w:lang w:val="en-US"/>
        </w:rPr>
        <w:t>1136/2021</w:t>
      </w:r>
    </w:p>
    <w:p w14:paraId="47F94D28" w14:textId="01B36A04" w:rsidR="00715272" w:rsidRDefault="00715272" w:rsidP="00B05C8E">
      <w:pPr>
        <w:jc w:val="right"/>
        <w:rPr>
          <w:rFonts w:ascii="Arial" w:hAnsi="Arial" w:cs="Arial"/>
          <w:bCs/>
          <w:sz w:val="24"/>
          <w:szCs w:val="24"/>
          <w:lang w:val="en-US"/>
        </w:rPr>
      </w:pPr>
      <w:r>
        <w:rPr>
          <w:rFonts w:ascii="Arial" w:hAnsi="Arial" w:cs="Arial"/>
          <w:bCs/>
          <w:sz w:val="24"/>
          <w:szCs w:val="24"/>
          <w:lang w:val="en-US"/>
        </w:rPr>
        <w:t>1137/2021</w:t>
      </w:r>
    </w:p>
    <w:p w14:paraId="0243E4F6" w14:textId="4B44D3EC" w:rsidR="00715272" w:rsidRDefault="00715272" w:rsidP="00B05C8E">
      <w:pPr>
        <w:jc w:val="right"/>
        <w:rPr>
          <w:rFonts w:ascii="Arial" w:hAnsi="Arial" w:cs="Arial"/>
          <w:bCs/>
          <w:sz w:val="24"/>
          <w:szCs w:val="24"/>
          <w:lang w:val="en-US"/>
        </w:rPr>
      </w:pPr>
      <w:r>
        <w:rPr>
          <w:rFonts w:ascii="Arial" w:hAnsi="Arial" w:cs="Arial"/>
          <w:bCs/>
          <w:sz w:val="24"/>
          <w:szCs w:val="24"/>
          <w:lang w:val="en-US"/>
        </w:rPr>
        <w:t>1138/2021</w:t>
      </w:r>
    </w:p>
    <w:p w14:paraId="5AF6DB38" w14:textId="2A82DC1A" w:rsidR="00715272" w:rsidRDefault="00715272" w:rsidP="00B05C8E">
      <w:pPr>
        <w:jc w:val="right"/>
        <w:rPr>
          <w:rFonts w:ascii="Arial" w:hAnsi="Arial" w:cs="Arial"/>
          <w:bCs/>
          <w:sz w:val="24"/>
          <w:szCs w:val="24"/>
          <w:lang w:val="en-US"/>
        </w:rPr>
      </w:pPr>
      <w:r>
        <w:rPr>
          <w:rFonts w:ascii="Arial" w:hAnsi="Arial" w:cs="Arial"/>
          <w:bCs/>
          <w:sz w:val="24"/>
          <w:szCs w:val="24"/>
          <w:lang w:val="en-US"/>
        </w:rPr>
        <w:t>1139/2021</w:t>
      </w:r>
    </w:p>
    <w:p w14:paraId="7942A357" w14:textId="0C812EE7" w:rsidR="00715272" w:rsidRPr="000279D6" w:rsidRDefault="00715272" w:rsidP="00B05C8E">
      <w:pPr>
        <w:jc w:val="right"/>
        <w:rPr>
          <w:rFonts w:ascii="Arial" w:hAnsi="Arial" w:cs="Arial"/>
          <w:bCs/>
          <w:sz w:val="24"/>
          <w:szCs w:val="24"/>
          <w:lang w:val="en-US"/>
        </w:rPr>
      </w:pPr>
      <w:r>
        <w:rPr>
          <w:rFonts w:ascii="Arial" w:hAnsi="Arial" w:cs="Arial"/>
          <w:bCs/>
          <w:sz w:val="24"/>
          <w:szCs w:val="24"/>
          <w:lang w:val="en-US"/>
        </w:rPr>
        <w:t>1140/2021</w:t>
      </w:r>
    </w:p>
    <w:p w14:paraId="4D34399C" w14:textId="77777777" w:rsidR="00735CFE" w:rsidRPr="000279D6" w:rsidRDefault="00735CFE" w:rsidP="00B05C8E">
      <w:pPr>
        <w:spacing w:line="240" w:lineRule="auto"/>
        <w:rPr>
          <w:rFonts w:ascii="Arial" w:hAnsi="Arial" w:cs="Arial"/>
          <w:bCs/>
          <w:sz w:val="24"/>
          <w:szCs w:val="24"/>
          <w:lang w:val="en-US"/>
        </w:rPr>
      </w:pPr>
    </w:p>
    <w:p w14:paraId="2E1D44B5" w14:textId="42EB7315" w:rsidR="00BD73E7" w:rsidRDefault="00BD73E7" w:rsidP="00B05C8E">
      <w:pPr>
        <w:spacing w:line="240" w:lineRule="auto"/>
        <w:rPr>
          <w:rFonts w:ascii="Arial" w:hAnsi="Arial" w:cs="Arial"/>
          <w:bCs/>
          <w:sz w:val="24"/>
          <w:szCs w:val="24"/>
          <w:lang w:val="en-US"/>
        </w:rPr>
      </w:pPr>
      <w:r w:rsidRPr="000279D6">
        <w:rPr>
          <w:rFonts w:ascii="Arial" w:hAnsi="Arial" w:cs="Arial"/>
          <w:bCs/>
          <w:sz w:val="24"/>
          <w:szCs w:val="24"/>
          <w:lang w:val="en-US"/>
        </w:rPr>
        <w:t>In the matter</w:t>
      </w:r>
      <w:r w:rsidR="00715272">
        <w:rPr>
          <w:rFonts w:ascii="Arial" w:hAnsi="Arial" w:cs="Arial"/>
          <w:bCs/>
          <w:sz w:val="24"/>
          <w:szCs w:val="24"/>
          <w:lang w:val="en-US"/>
        </w:rPr>
        <w:t>s</w:t>
      </w:r>
      <w:r w:rsidRPr="000279D6">
        <w:rPr>
          <w:rFonts w:ascii="Arial" w:hAnsi="Arial" w:cs="Arial"/>
          <w:bCs/>
          <w:sz w:val="24"/>
          <w:szCs w:val="24"/>
          <w:lang w:val="en-US"/>
        </w:rPr>
        <w:t xml:space="preserve"> </w:t>
      </w:r>
      <w:r w:rsidR="00F74F33">
        <w:rPr>
          <w:rFonts w:ascii="Arial" w:hAnsi="Arial" w:cs="Arial"/>
          <w:bCs/>
          <w:sz w:val="24"/>
          <w:szCs w:val="24"/>
          <w:lang w:val="en-US"/>
        </w:rPr>
        <w:t>of</w:t>
      </w:r>
      <w:r w:rsidRPr="000279D6">
        <w:rPr>
          <w:rFonts w:ascii="Arial" w:hAnsi="Arial" w:cs="Arial"/>
          <w:bCs/>
          <w:sz w:val="24"/>
          <w:szCs w:val="24"/>
          <w:lang w:val="en-US"/>
        </w:rPr>
        <w:t>:</w:t>
      </w:r>
    </w:p>
    <w:p w14:paraId="5B79A21B" w14:textId="77777777" w:rsidR="00C032BE" w:rsidRPr="000279D6" w:rsidRDefault="00C032BE" w:rsidP="00B05C8E">
      <w:pPr>
        <w:spacing w:line="240" w:lineRule="auto"/>
        <w:rPr>
          <w:rFonts w:ascii="Arial" w:hAnsi="Arial" w:cs="Arial"/>
          <w:bCs/>
          <w:sz w:val="24"/>
          <w:szCs w:val="24"/>
          <w:lang w:val="en-US"/>
        </w:rPr>
      </w:pPr>
    </w:p>
    <w:p w14:paraId="59D8F74F" w14:textId="14D0FA50" w:rsidR="00BD73E7" w:rsidRPr="000279D6" w:rsidRDefault="00BD73E7" w:rsidP="00B05C8E">
      <w:pPr>
        <w:spacing w:line="240" w:lineRule="auto"/>
        <w:rPr>
          <w:rFonts w:ascii="Arial" w:hAnsi="Arial" w:cs="Arial"/>
          <w:b/>
          <w:bCs/>
          <w:sz w:val="24"/>
          <w:szCs w:val="24"/>
          <w:lang w:val="en-US"/>
        </w:rPr>
      </w:pPr>
    </w:p>
    <w:p w14:paraId="301F9DBD" w14:textId="3D0A9D89" w:rsidR="00BD73E7" w:rsidRDefault="00EF099D" w:rsidP="00B874DD">
      <w:pPr>
        <w:spacing w:line="240" w:lineRule="auto"/>
        <w:ind w:right="-154"/>
        <w:jc w:val="left"/>
        <w:rPr>
          <w:rFonts w:ascii="Arial" w:hAnsi="Arial" w:cs="Arial"/>
          <w:b/>
          <w:bCs/>
          <w:sz w:val="24"/>
          <w:szCs w:val="24"/>
          <w:lang w:val="en-US"/>
        </w:rPr>
      </w:pPr>
      <w:r>
        <w:rPr>
          <w:rFonts w:ascii="Arial" w:hAnsi="Arial" w:cs="Arial"/>
          <w:b/>
          <w:bCs/>
          <w:sz w:val="24"/>
          <w:szCs w:val="24"/>
          <w:lang w:val="en-US"/>
        </w:rPr>
        <w:t>THE ROAD ACCIDENT FUND</w:t>
      </w:r>
      <w:r w:rsidR="00BF6110" w:rsidRPr="000279D6">
        <w:rPr>
          <w:rFonts w:ascii="Arial" w:hAnsi="Arial" w:cs="Arial"/>
          <w:b/>
          <w:bCs/>
          <w:sz w:val="24"/>
          <w:szCs w:val="24"/>
          <w:lang w:val="en-US"/>
        </w:rPr>
        <w:tab/>
      </w:r>
      <w:r w:rsidR="00BF6110" w:rsidRPr="000279D6">
        <w:rPr>
          <w:rFonts w:ascii="Arial" w:hAnsi="Arial" w:cs="Arial"/>
          <w:b/>
          <w:bCs/>
          <w:sz w:val="24"/>
          <w:szCs w:val="24"/>
          <w:lang w:val="en-US"/>
        </w:rPr>
        <w:tab/>
      </w:r>
      <w:r w:rsidR="00652842" w:rsidRPr="000279D6">
        <w:rPr>
          <w:rFonts w:ascii="Arial" w:hAnsi="Arial" w:cs="Arial"/>
          <w:b/>
          <w:bCs/>
          <w:sz w:val="24"/>
          <w:szCs w:val="24"/>
          <w:lang w:val="en-US"/>
        </w:rPr>
        <w:t xml:space="preserve">     </w:t>
      </w:r>
      <w:r w:rsidR="00715272">
        <w:rPr>
          <w:rFonts w:ascii="Arial" w:hAnsi="Arial" w:cs="Arial"/>
          <w:b/>
          <w:bCs/>
          <w:sz w:val="24"/>
          <w:szCs w:val="24"/>
          <w:lang w:val="en-US"/>
        </w:rPr>
        <w:t xml:space="preserve">  Appellant in SCA Case No. 1139/2021</w:t>
      </w:r>
    </w:p>
    <w:p w14:paraId="5B4A67E9" w14:textId="1F242209" w:rsidR="00715272" w:rsidRPr="00715272" w:rsidRDefault="00715272" w:rsidP="00715272">
      <w:pPr>
        <w:spacing w:line="240" w:lineRule="auto"/>
        <w:ind w:left="3600" w:right="-154"/>
        <w:jc w:val="left"/>
        <w:rPr>
          <w:rFonts w:ascii="Arial" w:hAnsi="Arial" w:cs="Arial"/>
          <w:bCs/>
          <w:sz w:val="24"/>
          <w:szCs w:val="24"/>
          <w:lang w:val="en-US"/>
        </w:rPr>
      </w:pPr>
      <w:r>
        <w:rPr>
          <w:rFonts w:ascii="Arial" w:hAnsi="Arial" w:cs="Arial"/>
          <w:bCs/>
          <w:sz w:val="24"/>
          <w:szCs w:val="24"/>
          <w:lang w:val="en-US"/>
        </w:rPr>
        <w:t xml:space="preserve">       </w:t>
      </w:r>
    </w:p>
    <w:p w14:paraId="4E267D75" w14:textId="77777777" w:rsidR="00B874DD" w:rsidRPr="000279D6" w:rsidRDefault="00B874DD" w:rsidP="00B874DD">
      <w:pPr>
        <w:spacing w:line="240" w:lineRule="auto"/>
        <w:ind w:right="-154"/>
        <w:rPr>
          <w:rFonts w:ascii="Arial" w:hAnsi="Arial" w:cs="Arial"/>
          <w:b/>
          <w:bCs/>
          <w:sz w:val="24"/>
          <w:szCs w:val="24"/>
          <w:lang w:val="en-US"/>
        </w:rPr>
      </w:pPr>
    </w:p>
    <w:p w14:paraId="1F18CE77" w14:textId="6CDEC321" w:rsidR="00715272" w:rsidRDefault="00EF099D" w:rsidP="00715272">
      <w:pPr>
        <w:spacing w:line="240" w:lineRule="auto"/>
        <w:ind w:right="-154"/>
        <w:jc w:val="left"/>
        <w:rPr>
          <w:rFonts w:ascii="Arial" w:hAnsi="Arial" w:cs="Arial"/>
          <w:b/>
          <w:bCs/>
          <w:sz w:val="24"/>
          <w:szCs w:val="24"/>
          <w:lang w:val="en-US"/>
        </w:rPr>
      </w:pPr>
      <w:r>
        <w:rPr>
          <w:rFonts w:ascii="Arial" w:hAnsi="Arial" w:cs="Arial"/>
          <w:b/>
          <w:bCs/>
          <w:sz w:val="24"/>
          <w:szCs w:val="24"/>
          <w:lang w:val="en-US"/>
        </w:rPr>
        <w:t>MARILYN DORIS TAYLOR</w:t>
      </w:r>
      <w:r w:rsidR="00715272">
        <w:rPr>
          <w:rFonts w:ascii="Arial" w:hAnsi="Arial" w:cs="Arial"/>
          <w:b/>
          <w:bCs/>
          <w:sz w:val="24"/>
          <w:szCs w:val="24"/>
          <w:lang w:val="en-US"/>
        </w:rPr>
        <w:tab/>
        <w:t xml:space="preserve">         First Appellant in SCA Case No. 1140/2021</w:t>
      </w:r>
    </w:p>
    <w:p w14:paraId="35A7D04A" w14:textId="039E09AB" w:rsidR="00B874DD" w:rsidRDefault="00D76075" w:rsidP="00B874DD">
      <w:pPr>
        <w:spacing w:line="240" w:lineRule="auto"/>
        <w:ind w:right="-154"/>
        <w:rPr>
          <w:rFonts w:ascii="Arial" w:hAnsi="Arial" w:cs="Arial"/>
          <w:b/>
          <w:bCs/>
          <w:sz w:val="24"/>
          <w:szCs w:val="24"/>
          <w:lang w:val="en-US"/>
        </w:rPr>
      </w:pPr>
      <w:r>
        <w:rPr>
          <w:rFonts w:ascii="Arial" w:hAnsi="Arial" w:cs="Arial"/>
          <w:b/>
          <w:bCs/>
          <w:sz w:val="24"/>
          <w:szCs w:val="24"/>
          <w:lang w:val="en-US"/>
        </w:rPr>
        <w:tab/>
      </w:r>
      <w:r w:rsidR="00B874DD" w:rsidRPr="000279D6">
        <w:rPr>
          <w:rFonts w:ascii="Arial" w:hAnsi="Arial" w:cs="Arial"/>
          <w:b/>
          <w:bCs/>
          <w:sz w:val="24"/>
          <w:szCs w:val="24"/>
          <w:lang w:val="en-US"/>
        </w:rPr>
        <w:tab/>
      </w:r>
      <w:r w:rsidR="00B874DD" w:rsidRPr="000279D6">
        <w:rPr>
          <w:rFonts w:ascii="Arial" w:hAnsi="Arial" w:cs="Arial"/>
          <w:b/>
          <w:bCs/>
          <w:sz w:val="24"/>
          <w:szCs w:val="24"/>
          <w:lang w:val="en-US"/>
        </w:rPr>
        <w:tab/>
      </w:r>
    </w:p>
    <w:p w14:paraId="296EDC04" w14:textId="77777777" w:rsidR="00EF099D" w:rsidRDefault="00EF099D" w:rsidP="00B874DD">
      <w:pPr>
        <w:spacing w:line="240" w:lineRule="auto"/>
        <w:ind w:right="-154"/>
        <w:rPr>
          <w:rFonts w:ascii="Arial" w:hAnsi="Arial" w:cs="Arial"/>
          <w:b/>
          <w:bCs/>
          <w:sz w:val="24"/>
          <w:szCs w:val="24"/>
          <w:lang w:val="en-US"/>
        </w:rPr>
      </w:pPr>
    </w:p>
    <w:p w14:paraId="59FC3557" w14:textId="6F71329B" w:rsidR="00CF2338" w:rsidRDefault="00EF099D" w:rsidP="00CF2338">
      <w:pPr>
        <w:spacing w:line="240" w:lineRule="auto"/>
        <w:ind w:right="-154"/>
        <w:jc w:val="left"/>
        <w:rPr>
          <w:rFonts w:ascii="Arial" w:hAnsi="Arial" w:cs="Arial"/>
          <w:b/>
          <w:bCs/>
          <w:sz w:val="24"/>
          <w:szCs w:val="24"/>
          <w:lang w:val="en-US"/>
        </w:rPr>
      </w:pPr>
      <w:r>
        <w:rPr>
          <w:rFonts w:ascii="Arial" w:hAnsi="Arial" w:cs="Arial"/>
          <w:b/>
          <w:bCs/>
          <w:sz w:val="24"/>
          <w:szCs w:val="24"/>
          <w:lang w:val="en-US"/>
        </w:rPr>
        <w:t>HLENGANI VICTOR MATHONSI</w:t>
      </w:r>
      <w:r w:rsidR="00CF2338" w:rsidRPr="00CF2338">
        <w:rPr>
          <w:rFonts w:ascii="Arial" w:hAnsi="Arial" w:cs="Arial"/>
          <w:b/>
          <w:bCs/>
          <w:sz w:val="24"/>
          <w:szCs w:val="24"/>
          <w:lang w:val="en-US"/>
        </w:rPr>
        <w:t xml:space="preserve"> </w:t>
      </w:r>
      <w:r w:rsidR="00CF2338">
        <w:rPr>
          <w:rFonts w:ascii="Arial" w:hAnsi="Arial" w:cs="Arial"/>
          <w:b/>
          <w:bCs/>
          <w:sz w:val="24"/>
          <w:szCs w:val="24"/>
          <w:lang w:val="en-US"/>
        </w:rPr>
        <w:t xml:space="preserve">    Second Appellant in SCA Case No. 1140/2021</w:t>
      </w:r>
    </w:p>
    <w:p w14:paraId="1CFB50E9" w14:textId="267093C4" w:rsidR="00EF099D" w:rsidRDefault="00CF2338" w:rsidP="00CF2338">
      <w:pPr>
        <w:spacing w:line="240" w:lineRule="auto"/>
        <w:ind w:left="2160" w:right="-154" w:firstLine="720"/>
        <w:rPr>
          <w:rFonts w:ascii="Arial" w:hAnsi="Arial" w:cs="Arial"/>
          <w:b/>
          <w:bCs/>
          <w:sz w:val="24"/>
          <w:szCs w:val="24"/>
          <w:lang w:val="en-US"/>
        </w:rPr>
      </w:pPr>
      <w:r>
        <w:rPr>
          <w:rFonts w:ascii="Arial" w:hAnsi="Arial" w:cs="Arial"/>
          <w:bCs/>
          <w:sz w:val="24"/>
          <w:szCs w:val="24"/>
          <w:lang w:val="en-US"/>
        </w:rPr>
        <w:t xml:space="preserve">      </w:t>
      </w:r>
    </w:p>
    <w:p w14:paraId="0B25A0F5" w14:textId="77777777" w:rsidR="00EF099D" w:rsidRDefault="00EF099D" w:rsidP="00B874DD">
      <w:pPr>
        <w:spacing w:line="240" w:lineRule="auto"/>
        <w:ind w:right="-154"/>
        <w:rPr>
          <w:rFonts w:ascii="Arial" w:hAnsi="Arial" w:cs="Arial"/>
          <w:b/>
          <w:bCs/>
          <w:sz w:val="24"/>
          <w:szCs w:val="24"/>
          <w:lang w:val="en-US"/>
        </w:rPr>
      </w:pPr>
    </w:p>
    <w:p w14:paraId="200DBC60" w14:textId="1826C266" w:rsidR="00CF2338" w:rsidRDefault="00EF099D" w:rsidP="00CF2338">
      <w:pPr>
        <w:spacing w:line="240" w:lineRule="auto"/>
        <w:ind w:right="-154"/>
        <w:jc w:val="left"/>
        <w:rPr>
          <w:rFonts w:ascii="Arial" w:hAnsi="Arial" w:cs="Arial"/>
          <w:b/>
          <w:bCs/>
          <w:sz w:val="24"/>
          <w:szCs w:val="24"/>
          <w:lang w:val="en-US"/>
        </w:rPr>
      </w:pPr>
      <w:r>
        <w:rPr>
          <w:rFonts w:ascii="Arial" w:hAnsi="Arial" w:cs="Arial"/>
          <w:b/>
          <w:bCs/>
          <w:sz w:val="24"/>
          <w:szCs w:val="24"/>
          <w:lang w:val="en-US"/>
        </w:rPr>
        <w:t>DE BROGLIO ATTORNEYS INC.</w:t>
      </w:r>
      <w:r w:rsidR="00CF2338" w:rsidRPr="00CF2338">
        <w:rPr>
          <w:rFonts w:ascii="Arial" w:hAnsi="Arial" w:cs="Arial"/>
          <w:b/>
          <w:bCs/>
          <w:sz w:val="24"/>
          <w:szCs w:val="24"/>
          <w:lang w:val="en-US"/>
        </w:rPr>
        <w:t xml:space="preserve"> </w:t>
      </w:r>
      <w:r w:rsidR="0003347C">
        <w:rPr>
          <w:rFonts w:ascii="Arial" w:hAnsi="Arial" w:cs="Arial"/>
          <w:b/>
          <w:bCs/>
          <w:sz w:val="24"/>
          <w:szCs w:val="24"/>
          <w:lang w:val="en-US"/>
        </w:rPr>
        <w:t xml:space="preserve">        </w:t>
      </w:r>
      <w:r w:rsidR="00CF2338">
        <w:rPr>
          <w:rFonts w:ascii="Arial" w:hAnsi="Arial" w:cs="Arial"/>
          <w:b/>
          <w:bCs/>
          <w:sz w:val="24"/>
          <w:szCs w:val="24"/>
          <w:lang w:val="en-US"/>
        </w:rPr>
        <w:t>First Appellant in SCA Case No. 1136/2021</w:t>
      </w:r>
    </w:p>
    <w:p w14:paraId="4A0073CF" w14:textId="47E19195" w:rsidR="00CF2338" w:rsidRPr="00715272" w:rsidRDefault="00CF2338" w:rsidP="00CF2338">
      <w:pPr>
        <w:spacing w:line="240" w:lineRule="auto"/>
        <w:ind w:left="2880" w:right="-154" w:firstLine="720"/>
        <w:jc w:val="left"/>
        <w:rPr>
          <w:rFonts w:ascii="Arial" w:hAnsi="Arial" w:cs="Arial"/>
          <w:bCs/>
          <w:sz w:val="24"/>
          <w:szCs w:val="24"/>
          <w:lang w:val="en-US"/>
        </w:rPr>
      </w:pPr>
      <w:r>
        <w:rPr>
          <w:rFonts w:ascii="Arial" w:hAnsi="Arial" w:cs="Arial"/>
          <w:bCs/>
          <w:sz w:val="24"/>
          <w:szCs w:val="24"/>
          <w:lang w:val="en-US"/>
        </w:rPr>
        <w:t xml:space="preserve"> </w:t>
      </w:r>
    </w:p>
    <w:p w14:paraId="377F791E" w14:textId="7955E450" w:rsidR="00EF099D" w:rsidRDefault="00EF099D" w:rsidP="00B874DD">
      <w:pPr>
        <w:spacing w:line="240" w:lineRule="auto"/>
        <w:ind w:right="-154"/>
        <w:rPr>
          <w:rFonts w:ascii="Arial" w:hAnsi="Arial" w:cs="Arial"/>
          <w:b/>
          <w:bCs/>
          <w:sz w:val="24"/>
          <w:szCs w:val="24"/>
          <w:lang w:val="en-US"/>
        </w:rPr>
      </w:pPr>
    </w:p>
    <w:p w14:paraId="137030D8" w14:textId="2C106706" w:rsidR="00E81318" w:rsidRDefault="00EF099D" w:rsidP="00E81318">
      <w:pPr>
        <w:spacing w:line="240" w:lineRule="auto"/>
        <w:ind w:right="-154"/>
        <w:jc w:val="left"/>
        <w:rPr>
          <w:rFonts w:ascii="Arial" w:hAnsi="Arial" w:cs="Arial"/>
          <w:b/>
          <w:bCs/>
          <w:sz w:val="24"/>
          <w:szCs w:val="24"/>
          <w:lang w:val="en-US"/>
        </w:rPr>
      </w:pPr>
      <w:r>
        <w:rPr>
          <w:rFonts w:ascii="Arial" w:hAnsi="Arial" w:cs="Arial"/>
          <w:b/>
          <w:bCs/>
          <w:sz w:val="24"/>
          <w:szCs w:val="24"/>
          <w:lang w:val="en-US"/>
        </w:rPr>
        <w:t>ZANDELEE DE SWARDT</w:t>
      </w:r>
      <w:r w:rsidR="00E81318" w:rsidRPr="00E81318">
        <w:rPr>
          <w:rFonts w:ascii="Arial" w:hAnsi="Arial" w:cs="Arial"/>
          <w:b/>
          <w:bCs/>
          <w:sz w:val="24"/>
          <w:szCs w:val="24"/>
          <w:lang w:val="en-US"/>
        </w:rPr>
        <w:t xml:space="preserve"> </w:t>
      </w:r>
      <w:r w:rsidR="00E81318">
        <w:rPr>
          <w:rFonts w:ascii="Arial" w:hAnsi="Arial" w:cs="Arial"/>
          <w:b/>
          <w:bCs/>
          <w:sz w:val="24"/>
          <w:szCs w:val="24"/>
          <w:lang w:val="en-US"/>
        </w:rPr>
        <w:tab/>
        <w:t xml:space="preserve">     Second Appellant in SCA Case No. 1136/2021</w:t>
      </w:r>
    </w:p>
    <w:p w14:paraId="520E77E8" w14:textId="339AD0A1" w:rsidR="00E81318" w:rsidRDefault="00E81318" w:rsidP="00E81318">
      <w:pPr>
        <w:spacing w:line="240" w:lineRule="auto"/>
        <w:ind w:left="2160" w:right="-154" w:firstLine="720"/>
        <w:rPr>
          <w:rFonts w:ascii="Arial" w:hAnsi="Arial" w:cs="Arial"/>
          <w:b/>
          <w:bCs/>
          <w:sz w:val="24"/>
          <w:szCs w:val="24"/>
          <w:lang w:val="en-US"/>
        </w:rPr>
      </w:pPr>
      <w:r>
        <w:rPr>
          <w:rFonts w:ascii="Arial" w:hAnsi="Arial" w:cs="Arial"/>
          <w:bCs/>
          <w:sz w:val="24"/>
          <w:szCs w:val="24"/>
          <w:lang w:val="en-US"/>
        </w:rPr>
        <w:t xml:space="preserve">      </w:t>
      </w:r>
    </w:p>
    <w:p w14:paraId="6F24C92C" w14:textId="38464305" w:rsidR="00EF099D" w:rsidRDefault="00EF099D" w:rsidP="00B874DD">
      <w:pPr>
        <w:spacing w:line="240" w:lineRule="auto"/>
        <w:ind w:right="-154"/>
        <w:rPr>
          <w:rFonts w:ascii="Arial" w:hAnsi="Arial" w:cs="Arial"/>
          <w:b/>
          <w:bCs/>
          <w:sz w:val="24"/>
          <w:szCs w:val="24"/>
          <w:lang w:val="en-US"/>
        </w:rPr>
      </w:pPr>
    </w:p>
    <w:p w14:paraId="4794DA67" w14:textId="21FC7B41" w:rsidR="00366DCA" w:rsidRDefault="00EF099D" w:rsidP="00366DCA">
      <w:pPr>
        <w:spacing w:line="240" w:lineRule="auto"/>
        <w:ind w:right="-154"/>
        <w:jc w:val="left"/>
        <w:rPr>
          <w:rFonts w:ascii="Arial" w:hAnsi="Arial" w:cs="Arial"/>
          <w:b/>
          <w:bCs/>
          <w:sz w:val="24"/>
          <w:szCs w:val="24"/>
          <w:lang w:val="en-US"/>
        </w:rPr>
      </w:pPr>
      <w:r>
        <w:rPr>
          <w:rFonts w:ascii="Arial" w:hAnsi="Arial" w:cs="Arial"/>
          <w:b/>
          <w:bCs/>
          <w:sz w:val="24"/>
          <w:szCs w:val="24"/>
          <w:lang w:val="en-US"/>
        </w:rPr>
        <w:t>IVAN BARRY KRAMER</w:t>
      </w:r>
      <w:r w:rsidR="00366DCA" w:rsidRPr="00366DCA">
        <w:rPr>
          <w:rFonts w:ascii="Arial" w:hAnsi="Arial" w:cs="Arial"/>
          <w:b/>
          <w:bCs/>
          <w:sz w:val="24"/>
          <w:szCs w:val="24"/>
          <w:lang w:val="en-US"/>
        </w:rPr>
        <w:t xml:space="preserve"> </w:t>
      </w:r>
      <w:r w:rsidR="00366DCA">
        <w:rPr>
          <w:rFonts w:ascii="Arial" w:hAnsi="Arial" w:cs="Arial"/>
          <w:b/>
          <w:bCs/>
          <w:sz w:val="24"/>
          <w:szCs w:val="24"/>
          <w:lang w:val="en-US"/>
        </w:rPr>
        <w:tab/>
      </w:r>
      <w:r w:rsidR="00366DCA">
        <w:rPr>
          <w:rFonts w:ascii="Arial" w:hAnsi="Arial" w:cs="Arial"/>
          <w:b/>
          <w:bCs/>
          <w:sz w:val="24"/>
          <w:szCs w:val="24"/>
          <w:lang w:val="en-US"/>
        </w:rPr>
        <w:tab/>
      </w:r>
      <w:r w:rsidR="00366DCA">
        <w:rPr>
          <w:rFonts w:ascii="Arial" w:hAnsi="Arial" w:cs="Arial"/>
          <w:b/>
          <w:bCs/>
          <w:sz w:val="24"/>
          <w:szCs w:val="24"/>
          <w:lang w:val="en-US"/>
        </w:rPr>
        <w:tab/>
        <w:t xml:space="preserve">        </w:t>
      </w:r>
      <w:r w:rsidR="0003347C">
        <w:rPr>
          <w:rFonts w:ascii="Arial" w:hAnsi="Arial" w:cs="Arial"/>
          <w:b/>
          <w:bCs/>
          <w:sz w:val="24"/>
          <w:szCs w:val="24"/>
          <w:lang w:val="en-US"/>
        </w:rPr>
        <w:t xml:space="preserve"> </w:t>
      </w:r>
      <w:r w:rsidR="00366DCA">
        <w:rPr>
          <w:rFonts w:ascii="Arial" w:hAnsi="Arial" w:cs="Arial"/>
          <w:b/>
          <w:bCs/>
          <w:sz w:val="24"/>
          <w:szCs w:val="24"/>
          <w:lang w:val="en-US"/>
        </w:rPr>
        <w:t>Appellant in SCA Case No. 1138/2021</w:t>
      </w:r>
    </w:p>
    <w:p w14:paraId="7A85E5DD" w14:textId="55427F9D" w:rsidR="00EF099D" w:rsidRDefault="00366DCA" w:rsidP="00366DCA">
      <w:pPr>
        <w:spacing w:line="240" w:lineRule="auto"/>
        <w:ind w:right="-154"/>
        <w:rPr>
          <w:rFonts w:ascii="Arial" w:hAnsi="Arial" w:cs="Arial"/>
          <w:b/>
          <w:bCs/>
          <w:sz w:val="24"/>
          <w:szCs w:val="24"/>
          <w:lang w:val="en-US"/>
        </w:rPr>
      </w:pPr>
      <w:r>
        <w:rPr>
          <w:rFonts w:ascii="Arial" w:hAnsi="Arial" w:cs="Arial"/>
          <w:bCs/>
          <w:sz w:val="24"/>
          <w:szCs w:val="24"/>
          <w:lang w:val="en-US"/>
        </w:rPr>
        <w:t xml:space="preserve">       </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 xml:space="preserve">        </w:t>
      </w:r>
    </w:p>
    <w:p w14:paraId="3966F8AD" w14:textId="77777777" w:rsidR="00EF099D" w:rsidRDefault="00EF099D" w:rsidP="00B874DD">
      <w:pPr>
        <w:spacing w:line="240" w:lineRule="auto"/>
        <w:ind w:right="-154"/>
        <w:rPr>
          <w:rFonts w:ascii="Arial" w:hAnsi="Arial" w:cs="Arial"/>
          <w:b/>
          <w:bCs/>
          <w:sz w:val="24"/>
          <w:szCs w:val="24"/>
          <w:lang w:val="en-US"/>
        </w:rPr>
      </w:pPr>
    </w:p>
    <w:p w14:paraId="58C6E10E" w14:textId="6E1128EE" w:rsidR="003439DD" w:rsidRDefault="00EF099D" w:rsidP="003439DD">
      <w:pPr>
        <w:spacing w:line="240" w:lineRule="auto"/>
        <w:ind w:right="-154"/>
        <w:jc w:val="left"/>
        <w:rPr>
          <w:rFonts w:ascii="Arial" w:hAnsi="Arial" w:cs="Arial"/>
          <w:b/>
          <w:bCs/>
          <w:sz w:val="24"/>
          <w:szCs w:val="24"/>
          <w:lang w:val="en-US"/>
        </w:rPr>
      </w:pPr>
      <w:r>
        <w:rPr>
          <w:rFonts w:ascii="Arial" w:hAnsi="Arial" w:cs="Arial"/>
          <w:b/>
          <w:bCs/>
          <w:sz w:val="24"/>
          <w:szCs w:val="24"/>
          <w:lang w:val="en-US"/>
        </w:rPr>
        <w:t>MICHAEL VAN DEN BARSELAAR</w:t>
      </w:r>
      <w:r w:rsidR="003439DD">
        <w:rPr>
          <w:rFonts w:ascii="Arial" w:hAnsi="Arial" w:cs="Arial"/>
          <w:b/>
          <w:bCs/>
          <w:sz w:val="24"/>
          <w:szCs w:val="24"/>
          <w:lang w:val="en-US"/>
        </w:rPr>
        <w:t xml:space="preserve">               </w:t>
      </w:r>
      <w:r w:rsidR="0003347C">
        <w:rPr>
          <w:rFonts w:ascii="Arial" w:hAnsi="Arial" w:cs="Arial"/>
          <w:b/>
          <w:bCs/>
          <w:sz w:val="24"/>
          <w:szCs w:val="24"/>
          <w:lang w:val="en-US"/>
        </w:rPr>
        <w:t xml:space="preserve"> </w:t>
      </w:r>
      <w:r w:rsidR="003439DD">
        <w:rPr>
          <w:rFonts w:ascii="Arial" w:hAnsi="Arial" w:cs="Arial"/>
          <w:b/>
          <w:bCs/>
          <w:sz w:val="24"/>
          <w:szCs w:val="24"/>
          <w:lang w:val="en-US"/>
        </w:rPr>
        <w:t>Appellant in SCA Case No. 1137/2021</w:t>
      </w:r>
    </w:p>
    <w:p w14:paraId="60B4CA4C" w14:textId="73267CAE" w:rsidR="003439DD" w:rsidRDefault="003439DD" w:rsidP="003439DD">
      <w:pPr>
        <w:spacing w:line="240" w:lineRule="auto"/>
        <w:ind w:right="-154"/>
        <w:rPr>
          <w:rFonts w:ascii="Arial" w:hAnsi="Arial" w:cs="Arial"/>
          <w:b/>
          <w:bCs/>
          <w:sz w:val="24"/>
          <w:szCs w:val="24"/>
          <w:lang w:val="en-US"/>
        </w:rPr>
      </w:pPr>
      <w:r>
        <w:rPr>
          <w:rFonts w:ascii="Arial" w:hAnsi="Arial" w:cs="Arial"/>
          <w:bCs/>
          <w:sz w:val="24"/>
          <w:szCs w:val="24"/>
          <w:lang w:val="en-US"/>
        </w:rPr>
        <w:t xml:space="preserve">       </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p>
    <w:p w14:paraId="71DC3071" w14:textId="77777777" w:rsidR="00C032BE" w:rsidRDefault="00C032BE" w:rsidP="00B05C8E">
      <w:pPr>
        <w:spacing w:line="240" w:lineRule="auto"/>
        <w:rPr>
          <w:rFonts w:ascii="Arial" w:hAnsi="Arial" w:cs="Arial"/>
          <w:bCs/>
          <w:sz w:val="24"/>
          <w:szCs w:val="24"/>
          <w:lang w:val="en-US"/>
        </w:rPr>
      </w:pPr>
    </w:p>
    <w:p w14:paraId="0A20A8DA" w14:textId="108EE002" w:rsidR="00BD73E7" w:rsidRPr="000279D6" w:rsidRDefault="00EF099D" w:rsidP="00B05C8E">
      <w:pPr>
        <w:spacing w:line="240" w:lineRule="auto"/>
        <w:rPr>
          <w:rFonts w:ascii="Arial" w:hAnsi="Arial" w:cs="Arial"/>
          <w:bCs/>
          <w:sz w:val="24"/>
          <w:szCs w:val="24"/>
          <w:lang w:val="en-US"/>
        </w:rPr>
      </w:pPr>
      <w:r>
        <w:rPr>
          <w:rFonts w:ascii="Arial" w:hAnsi="Arial" w:cs="Arial"/>
          <w:bCs/>
          <w:sz w:val="24"/>
          <w:szCs w:val="24"/>
          <w:lang w:val="en-US"/>
        </w:rPr>
        <w:t>In re GJ Case No. 37986/2018:</w:t>
      </w:r>
    </w:p>
    <w:p w14:paraId="2C082C12" w14:textId="6ED00223" w:rsidR="00BD73E7" w:rsidRPr="000279D6" w:rsidRDefault="00BD73E7" w:rsidP="00B05C8E">
      <w:pPr>
        <w:spacing w:line="240" w:lineRule="auto"/>
        <w:rPr>
          <w:rFonts w:ascii="Arial" w:hAnsi="Arial" w:cs="Arial"/>
          <w:b/>
          <w:bCs/>
          <w:sz w:val="24"/>
          <w:szCs w:val="24"/>
          <w:lang w:val="en-US"/>
        </w:rPr>
      </w:pPr>
    </w:p>
    <w:p w14:paraId="02BD3B4D" w14:textId="0FC3ADE3" w:rsidR="00BD73E7" w:rsidRDefault="00EF099D" w:rsidP="00EF099D">
      <w:pPr>
        <w:rPr>
          <w:rFonts w:ascii="Arial" w:hAnsi="Arial" w:cs="Arial"/>
          <w:b/>
          <w:bCs/>
          <w:sz w:val="24"/>
          <w:szCs w:val="24"/>
          <w:lang w:val="en-US"/>
        </w:rPr>
      </w:pPr>
      <w:r>
        <w:rPr>
          <w:rFonts w:ascii="Arial" w:hAnsi="Arial" w:cs="Arial"/>
          <w:b/>
          <w:bCs/>
          <w:sz w:val="24"/>
          <w:szCs w:val="24"/>
          <w:lang w:val="en-US"/>
        </w:rPr>
        <w:t>MARILYN DORIS TAYLOR</w:t>
      </w:r>
      <w:r w:rsidR="00B874DD" w:rsidRPr="000279D6">
        <w:rPr>
          <w:rFonts w:ascii="Arial" w:hAnsi="Arial" w:cs="Arial"/>
          <w:b/>
          <w:bCs/>
          <w:sz w:val="24"/>
          <w:szCs w:val="24"/>
          <w:lang w:val="en-US"/>
        </w:rPr>
        <w:tab/>
      </w:r>
      <w:r w:rsidR="00B874DD" w:rsidRPr="000279D6">
        <w:rPr>
          <w:rFonts w:ascii="Arial" w:hAnsi="Arial" w:cs="Arial"/>
          <w:b/>
          <w:bCs/>
          <w:sz w:val="24"/>
          <w:szCs w:val="24"/>
          <w:lang w:val="en-US"/>
        </w:rPr>
        <w:tab/>
      </w:r>
      <w:r w:rsidR="00B874DD" w:rsidRPr="000279D6">
        <w:rPr>
          <w:rFonts w:ascii="Arial" w:hAnsi="Arial" w:cs="Arial"/>
          <w:b/>
          <w:bCs/>
          <w:sz w:val="24"/>
          <w:szCs w:val="24"/>
          <w:lang w:val="en-US"/>
        </w:rPr>
        <w:tab/>
        <w:t xml:space="preserve">  </w:t>
      </w:r>
      <w:r w:rsidR="00D613DA">
        <w:rPr>
          <w:rFonts w:ascii="Arial" w:hAnsi="Arial" w:cs="Arial"/>
          <w:b/>
          <w:bCs/>
          <w:sz w:val="24"/>
          <w:szCs w:val="24"/>
          <w:lang w:val="en-US"/>
        </w:rPr>
        <w:tab/>
        <w:t xml:space="preserve">    Plaintiff in the Court a quo</w:t>
      </w:r>
    </w:p>
    <w:p w14:paraId="546F8678" w14:textId="239294D4" w:rsidR="00EF099D" w:rsidRPr="00EF099D" w:rsidRDefault="00EF099D" w:rsidP="00EF099D">
      <w:pPr>
        <w:rPr>
          <w:rFonts w:ascii="Arial" w:hAnsi="Arial" w:cs="Arial"/>
          <w:bCs/>
          <w:sz w:val="24"/>
          <w:szCs w:val="24"/>
          <w:lang w:val="en-US"/>
        </w:rPr>
      </w:pPr>
      <w:r w:rsidRPr="00EF099D">
        <w:rPr>
          <w:rFonts w:ascii="Arial" w:hAnsi="Arial" w:cs="Arial"/>
          <w:bCs/>
          <w:sz w:val="24"/>
          <w:szCs w:val="24"/>
          <w:lang w:val="en-US"/>
        </w:rPr>
        <w:t>and</w:t>
      </w:r>
    </w:p>
    <w:p w14:paraId="55867DBD" w14:textId="1E958908" w:rsidR="00EF099D" w:rsidRDefault="00D613DA" w:rsidP="00EF099D">
      <w:pPr>
        <w:rPr>
          <w:rFonts w:ascii="Arial" w:hAnsi="Arial" w:cs="Arial"/>
          <w:b/>
          <w:bCs/>
          <w:sz w:val="24"/>
          <w:szCs w:val="24"/>
          <w:lang w:val="en-US"/>
        </w:rPr>
      </w:pPr>
      <w:r>
        <w:rPr>
          <w:rFonts w:ascii="Arial" w:hAnsi="Arial" w:cs="Arial"/>
          <w:b/>
          <w:bCs/>
          <w:sz w:val="24"/>
          <w:szCs w:val="24"/>
          <w:lang w:val="en-US"/>
        </w:rPr>
        <w:t>THE ROAD ACCIDENT FUND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0003347C">
        <w:rPr>
          <w:rFonts w:ascii="Arial" w:hAnsi="Arial" w:cs="Arial"/>
          <w:b/>
          <w:bCs/>
          <w:sz w:val="24"/>
          <w:szCs w:val="24"/>
          <w:lang w:val="en-US"/>
        </w:rPr>
        <w:t xml:space="preserve">   </w:t>
      </w:r>
      <w:r w:rsidR="00E229F7">
        <w:rPr>
          <w:rFonts w:ascii="Arial" w:hAnsi="Arial" w:cs="Arial"/>
          <w:b/>
          <w:bCs/>
          <w:sz w:val="24"/>
          <w:szCs w:val="24"/>
          <w:lang w:val="en-US"/>
        </w:rPr>
        <w:t>Defendant</w:t>
      </w:r>
    </w:p>
    <w:p w14:paraId="0039BD54" w14:textId="77777777" w:rsidR="004104E4" w:rsidRDefault="004104E4" w:rsidP="00EF099D">
      <w:pPr>
        <w:rPr>
          <w:rFonts w:ascii="Arial" w:hAnsi="Arial" w:cs="Arial"/>
          <w:b/>
          <w:bCs/>
          <w:sz w:val="24"/>
          <w:szCs w:val="24"/>
          <w:lang w:val="en-US"/>
        </w:rPr>
      </w:pPr>
    </w:p>
    <w:p w14:paraId="03A11CC3" w14:textId="56087C18" w:rsidR="004104E4" w:rsidRDefault="004104E4" w:rsidP="004104E4">
      <w:pPr>
        <w:spacing w:line="240" w:lineRule="auto"/>
        <w:rPr>
          <w:rFonts w:ascii="Arial" w:hAnsi="Arial" w:cs="Arial"/>
          <w:bCs/>
          <w:sz w:val="24"/>
          <w:szCs w:val="24"/>
          <w:lang w:val="en-US"/>
        </w:rPr>
      </w:pPr>
      <w:r>
        <w:rPr>
          <w:rFonts w:ascii="Arial" w:hAnsi="Arial" w:cs="Arial"/>
          <w:bCs/>
          <w:sz w:val="24"/>
          <w:szCs w:val="24"/>
          <w:lang w:val="en-US"/>
        </w:rPr>
        <w:t>And in re GJ Case No. 13753/2019:</w:t>
      </w:r>
    </w:p>
    <w:p w14:paraId="1E8D903E" w14:textId="77777777" w:rsidR="004104E4" w:rsidRDefault="004104E4" w:rsidP="004104E4">
      <w:pPr>
        <w:spacing w:line="240" w:lineRule="auto"/>
        <w:rPr>
          <w:rFonts w:ascii="Arial" w:hAnsi="Arial" w:cs="Arial"/>
          <w:bCs/>
          <w:sz w:val="24"/>
          <w:szCs w:val="24"/>
          <w:lang w:val="en-US"/>
        </w:rPr>
      </w:pPr>
    </w:p>
    <w:p w14:paraId="37E3671A" w14:textId="5B8C14F9" w:rsidR="004104E4" w:rsidRDefault="004104E4" w:rsidP="004104E4">
      <w:pPr>
        <w:spacing w:line="240" w:lineRule="auto"/>
        <w:rPr>
          <w:rFonts w:ascii="Arial" w:hAnsi="Arial" w:cs="Arial"/>
          <w:b/>
          <w:bCs/>
          <w:sz w:val="24"/>
          <w:szCs w:val="24"/>
          <w:lang w:val="en-US"/>
        </w:rPr>
      </w:pPr>
      <w:r>
        <w:rPr>
          <w:rFonts w:ascii="Arial" w:hAnsi="Arial" w:cs="Arial"/>
          <w:b/>
          <w:bCs/>
          <w:sz w:val="24"/>
          <w:szCs w:val="24"/>
          <w:lang w:val="en-US"/>
        </w:rPr>
        <w:t>HLENGANI VICTOR MATHONSI</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Plaintiff in the Court a quo</w:t>
      </w:r>
    </w:p>
    <w:p w14:paraId="280D7651" w14:textId="77777777" w:rsidR="004104E4" w:rsidRDefault="004104E4" w:rsidP="004104E4">
      <w:pPr>
        <w:spacing w:line="240" w:lineRule="auto"/>
        <w:rPr>
          <w:rFonts w:ascii="Arial" w:hAnsi="Arial" w:cs="Arial"/>
          <w:b/>
          <w:bCs/>
          <w:sz w:val="24"/>
          <w:szCs w:val="24"/>
          <w:lang w:val="en-US"/>
        </w:rPr>
      </w:pPr>
    </w:p>
    <w:p w14:paraId="2780BD72" w14:textId="762548C7" w:rsidR="004104E4" w:rsidRPr="004104E4" w:rsidRDefault="004104E4" w:rsidP="004104E4">
      <w:pPr>
        <w:spacing w:line="240" w:lineRule="auto"/>
        <w:rPr>
          <w:rFonts w:ascii="Arial" w:hAnsi="Arial" w:cs="Arial"/>
          <w:bCs/>
          <w:sz w:val="24"/>
          <w:szCs w:val="24"/>
          <w:lang w:val="en-US"/>
        </w:rPr>
      </w:pPr>
      <w:r w:rsidRPr="004104E4">
        <w:rPr>
          <w:rFonts w:ascii="Arial" w:hAnsi="Arial" w:cs="Arial"/>
          <w:bCs/>
          <w:sz w:val="24"/>
          <w:szCs w:val="24"/>
          <w:lang w:val="en-US"/>
        </w:rPr>
        <w:t>and</w:t>
      </w:r>
    </w:p>
    <w:p w14:paraId="10F084DA" w14:textId="77777777" w:rsidR="004104E4" w:rsidRDefault="004104E4" w:rsidP="004104E4">
      <w:pPr>
        <w:spacing w:line="240" w:lineRule="auto"/>
        <w:rPr>
          <w:rFonts w:ascii="Arial" w:hAnsi="Arial" w:cs="Arial"/>
          <w:b/>
          <w:bCs/>
          <w:sz w:val="24"/>
          <w:szCs w:val="24"/>
          <w:lang w:val="en-US"/>
        </w:rPr>
      </w:pPr>
    </w:p>
    <w:p w14:paraId="6BE8755B" w14:textId="24BC0805" w:rsidR="004104E4" w:rsidRPr="004104E4" w:rsidRDefault="004104E4" w:rsidP="004104E4">
      <w:pPr>
        <w:spacing w:line="240" w:lineRule="auto"/>
        <w:rPr>
          <w:rFonts w:ascii="Arial" w:hAnsi="Arial" w:cs="Arial"/>
          <w:b/>
          <w:bCs/>
          <w:sz w:val="24"/>
          <w:szCs w:val="24"/>
          <w:lang w:val="en-US"/>
        </w:rPr>
      </w:pPr>
      <w:r>
        <w:rPr>
          <w:rFonts w:ascii="Arial" w:hAnsi="Arial" w:cs="Arial"/>
          <w:b/>
          <w:bCs/>
          <w:sz w:val="24"/>
          <w:szCs w:val="24"/>
          <w:lang w:val="en-US"/>
        </w:rPr>
        <w:t>THE ROAD ACCIDENT FUND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0003347C">
        <w:rPr>
          <w:rFonts w:ascii="Arial" w:hAnsi="Arial" w:cs="Arial"/>
          <w:b/>
          <w:bCs/>
          <w:sz w:val="24"/>
          <w:szCs w:val="24"/>
          <w:lang w:val="en-US"/>
        </w:rPr>
        <w:t xml:space="preserve">   </w:t>
      </w:r>
      <w:r w:rsidR="00E229F7">
        <w:rPr>
          <w:rFonts w:ascii="Arial" w:hAnsi="Arial" w:cs="Arial"/>
          <w:b/>
          <w:bCs/>
          <w:sz w:val="24"/>
          <w:szCs w:val="24"/>
          <w:lang w:val="en-US"/>
        </w:rPr>
        <w:t>Defendant</w:t>
      </w:r>
    </w:p>
    <w:p w14:paraId="4220E940" w14:textId="77777777" w:rsidR="004104E4" w:rsidRPr="000279D6" w:rsidRDefault="004104E4" w:rsidP="00EF099D">
      <w:pPr>
        <w:rPr>
          <w:rFonts w:ascii="Arial" w:hAnsi="Arial" w:cs="Arial"/>
          <w:b/>
          <w:bCs/>
          <w:sz w:val="24"/>
          <w:szCs w:val="24"/>
          <w:lang w:val="en-US"/>
        </w:rPr>
      </w:pPr>
    </w:p>
    <w:p w14:paraId="28BB1432" w14:textId="77777777" w:rsidR="00B874DD" w:rsidRPr="000279D6" w:rsidRDefault="00B874DD" w:rsidP="00B874DD">
      <w:pPr>
        <w:jc w:val="left"/>
        <w:rPr>
          <w:rFonts w:ascii="Arial" w:hAnsi="Arial" w:cs="Arial"/>
          <w:b/>
          <w:bCs/>
          <w:sz w:val="24"/>
          <w:szCs w:val="24"/>
          <w:lang w:val="en-US"/>
        </w:rPr>
      </w:pPr>
    </w:p>
    <w:p w14:paraId="616F1E2B" w14:textId="076C85AB" w:rsidR="002073C1" w:rsidRPr="000279D6" w:rsidRDefault="002073C1" w:rsidP="00C22715">
      <w:pPr>
        <w:ind w:left="2160" w:hanging="2160"/>
        <w:rPr>
          <w:rFonts w:ascii="Arial" w:hAnsi="Arial" w:cs="Arial"/>
          <w:sz w:val="24"/>
          <w:szCs w:val="24"/>
          <w:lang w:val="en-US"/>
        </w:rPr>
      </w:pPr>
      <w:r w:rsidRPr="000279D6">
        <w:rPr>
          <w:rFonts w:ascii="Arial" w:hAnsi="Arial" w:cs="Arial"/>
          <w:b/>
          <w:bCs/>
          <w:sz w:val="24"/>
          <w:szCs w:val="24"/>
          <w:lang w:val="en-US"/>
        </w:rPr>
        <w:t>Neutral citation:</w:t>
      </w:r>
      <w:r w:rsidRPr="000279D6">
        <w:rPr>
          <w:rFonts w:ascii="Arial" w:hAnsi="Arial" w:cs="Arial"/>
          <w:b/>
          <w:bCs/>
          <w:sz w:val="24"/>
          <w:szCs w:val="24"/>
          <w:lang w:val="en-US"/>
        </w:rPr>
        <w:tab/>
      </w:r>
      <w:r w:rsidR="00F74F33">
        <w:rPr>
          <w:rFonts w:ascii="Arial" w:hAnsi="Arial" w:cs="Arial"/>
          <w:bCs/>
          <w:i/>
          <w:sz w:val="24"/>
          <w:szCs w:val="24"/>
          <w:lang w:val="en-US"/>
        </w:rPr>
        <w:t xml:space="preserve">The Road Accident Fund </w:t>
      </w:r>
      <w:r w:rsidR="00B874DD" w:rsidRPr="000279D6">
        <w:rPr>
          <w:rFonts w:ascii="Arial" w:hAnsi="Arial" w:cs="Arial"/>
          <w:bCs/>
          <w:i/>
          <w:sz w:val="24"/>
          <w:szCs w:val="24"/>
          <w:lang w:val="en-US"/>
        </w:rPr>
        <w:t xml:space="preserve">v </w:t>
      </w:r>
      <w:r w:rsidR="00F74F33">
        <w:rPr>
          <w:rFonts w:ascii="Arial" w:hAnsi="Arial" w:cs="Arial"/>
          <w:bCs/>
          <w:i/>
          <w:sz w:val="24"/>
          <w:szCs w:val="24"/>
          <w:lang w:val="en-US"/>
        </w:rPr>
        <w:t>Taylor</w:t>
      </w:r>
      <w:r w:rsidR="00696FC0">
        <w:rPr>
          <w:rFonts w:ascii="Arial" w:hAnsi="Arial" w:cs="Arial"/>
          <w:bCs/>
          <w:i/>
          <w:sz w:val="24"/>
          <w:szCs w:val="24"/>
          <w:lang w:val="en-US"/>
        </w:rPr>
        <w:t xml:space="preserve"> and other matters</w:t>
      </w:r>
      <w:r w:rsidRPr="000279D6">
        <w:rPr>
          <w:rFonts w:ascii="Arial" w:hAnsi="Arial" w:cs="Arial"/>
          <w:i/>
          <w:iCs/>
          <w:sz w:val="24"/>
          <w:szCs w:val="24"/>
          <w:lang w:val="en-US"/>
        </w:rPr>
        <w:t xml:space="preserve"> </w:t>
      </w:r>
      <w:r w:rsidRPr="000279D6">
        <w:rPr>
          <w:rFonts w:ascii="Arial" w:hAnsi="Arial" w:cs="Arial"/>
          <w:sz w:val="24"/>
          <w:szCs w:val="24"/>
          <w:lang w:val="en-US"/>
        </w:rPr>
        <w:t>(</w:t>
      </w:r>
      <w:r w:rsidR="00F74F33">
        <w:rPr>
          <w:rFonts w:ascii="Arial" w:hAnsi="Arial" w:cs="Arial"/>
          <w:sz w:val="24"/>
          <w:szCs w:val="24"/>
          <w:lang w:val="en-US"/>
        </w:rPr>
        <w:t>1136-1140/2021</w:t>
      </w:r>
      <w:r w:rsidRPr="000279D6">
        <w:rPr>
          <w:rFonts w:ascii="Arial" w:hAnsi="Arial" w:cs="Arial"/>
          <w:sz w:val="24"/>
          <w:szCs w:val="24"/>
          <w:lang w:val="en-US"/>
        </w:rPr>
        <w:t>)</w:t>
      </w:r>
      <w:r w:rsidR="00B874DD" w:rsidRPr="000279D6">
        <w:rPr>
          <w:rFonts w:ascii="Arial" w:hAnsi="Arial" w:cs="Arial"/>
          <w:sz w:val="24"/>
          <w:szCs w:val="24"/>
          <w:lang w:val="en-US"/>
        </w:rPr>
        <w:t xml:space="preserve"> [2023</w:t>
      </w:r>
      <w:r w:rsidR="006323AC" w:rsidRPr="000279D6">
        <w:rPr>
          <w:rFonts w:ascii="Arial" w:hAnsi="Arial" w:cs="Arial"/>
          <w:sz w:val="24"/>
          <w:szCs w:val="24"/>
          <w:lang w:val="en-US"/>
        </w:rPr>
        <w:t xml:space="preserve">] ZASCA </w:t>
      </w:r>
      <w:r w:rsidR="00C13231">
        <w:rPr>
          <w:rFonts w:ascii="Arial" w:hAnsi="Arial" w:cs="Arial"/>
          <w:sz w:val="24"/>
          <w:szCs w:val="24"/>
          <w:lang w:val="en-US"/>
        </w:rPr>
        <w:t>64</w:t>
      </w:r>
      <w:r w:rsidRPr="000279D6">
        <w:rPr>
          <w:rFonts w:ascii="Arial" w:hAnsi="Arial" w:cs="Arial"/>
          <w:sz w:val="24"/>
          <w:szCs w:val="24"/>
          <w:lang w:val="en-US"/>
        </w:rPr>
        <w:t xml:space="preserve"> (</w:t>
      </w:r>
      <w:r w:rsidR="00244027">
        <w:rPr>
          <w:rFonts w:ascii="Arial" w:hAnsi="Arial" w:cs="Arial"/>
          <w:sz w:val="24"/>
          <w:szCs w:val="24"/>
          <w:lang w:val="en-US"/>
        </w:rPr>
        <w:t>8 May</w:t>
      </w:r>
      <w:r w:rsidR="00B874DD" w:rsidRPr="000279D6">
        <w:rPr>
          <w:rFonts w:ascii="Arial" w:hAnsi="Arial" w:cs="Arial"/>
          <w:sz w:val="24"/>
          <w:szCs w:val="24"/>
          <w:lang w:val="en-US"/>
        </w:rPr>
        <w:t xml:space="preserve"> 2023</w:t>
      </w:r>
      <w:r w:rsidRPr="000279D6">
        <w:rPr>
          <w:rFonts w:ascii="Arial" w:hAnsi="Arial" w:cs="Arial"/>
          <w:sz w:val="24"/>
          <w:szCs w:val="24"/>
          <w:lang w:val="en-US"/>
        </w:rPr>
        <w:t>)</w:t>
      </w:r>
    </w:p>
    <w:p w14:paraId="3D84210D" w14:textId="4D9E4F14" w:rsidR="002073C1" w:rsidRPr="000279D6" w:rsidRDefault="002073C1" w:rsidP="00735CFE">
      <w:pPr>
        <w:ind w:left="1440" w:hanging="1440"/>
        <w:rPr>
          <w:rFonts w:ascii="Arial" w:hAnsi="Arial" w:cs="Arial"/>
          <w:sz w:val="24"/>
          <w:szCs w:val="24"/>
          <w:lang w:val="en-US"/>
        </w:rPr>
      </w:pPr>
      <w:r w:rsidRPr="000279D6">
        <w:rPr>
          <w:rFonts w:ascii="Arial" w:hAnsi="Arial" w:cs="Arial"/>
          <w:b/>
          <w:bCs/>
          <w:sz w:val="24"/>
          <w:szCs w:val="24"/>
          <w:lang w:val="en-US"/>
        </w:rPr>
        <w:t>Coram:</w:t>
      </w:r>
      <w:r w:rsidRPr="000279D6">
        <w:rPr>
          <w:rFonts w:ascii="Arial" w:hAnsi="Arial" w:cs="Arial"/>
          <w:sz w:val="24"/>
          <w:szCs w:val="24"/>
          <w:lang w:val="en-US"/>
        </w:rPr>
        <w:tab/>
      </w:r>
      <w:r w:rsidR="00F74F33">
        <w:rPr>
          <w:rFonts w:ascii="Arial" w:hAnsi="Arial" w:cs="Arial"/>
          <w:sz w:val="24"/>
          <w:szCs w:val="24"/>
          <w:lang w:val="en-US"/>
        </w:rPr>
        <w:t>SALDULKER, VAN DER MERWE and MEYER JJA</w:t>
      </w:r>
      <w:r w:rsidR="00836AB5" w:rsidRPr="000279D6">
        <w:rPr>
          <w:rFonts w:ascii="Arial" w:hAnsi="Arial" w:cs="Arial"/>
          <w:sz w:val="24"/>
          <w:szCs w:val="24"/>
          <w:lang w:val="en-US"/>
        </w:rPr>
        <w:t xml:space="preserve"> </w:t>
      </w:r>
      <w:r w:rsidR="00087951" w:rsidRPr="000279D6">
        <w:rPr>
          <w:rFonts w:ascii="Arial" w:hAnsi="Arial" w:cs="Arial"/>
          <w:sz w:val="24"/>
          <w:szCs w:val="24"/>
          <w:lang w:val="en-US"/>
        </w:rPr>
        <w:t>and</w:t>
      </w:r>
      <w:r w:rsidR="00836AB5" w:rsidRPr="000279D6">
        <w:rPr>
          <w:rFonts w:ascii="Arial" w:hAnsi="Arial" w:cs="Arial"/>
          <w:sz w:val="24"/>
          <w:szCs w:val="24"/>
          <w:lang w:val="en-US"/>
        </w:rPr>
        <w:t xml:space="preserve"> </w:t>
      </w:r>
      <w:r w:rsidR="00F74F33">
        <w:rPr>
          <w:rFonts w:ascii="Arial" w:hAnsi="Arial" w:cs="Arial"/>
          <w:sz w:val="24"/>
          <w:szCs w:val="24"/>
          <w:lang w:val="en-US"/>
        </w:rPr>
        <w:t>KATHREE-SETILOANE and OLSEN</w:t>
      </w:r>
      <w:r w:rsidR="00836AB5" w:rsidRPr="000279D6">
        <w:rPr>
          <w:rFonts w:ascii="Arial" w:hAnsi="Arial" w:cs="Arial"/>
          <w:sz w:val="24"/>
          <w:szCs w:val="24"/>
          <w:lang w:val="en-US"/>
        </w:rPr>
        <w:t xml:space="preserve"> </w:t>
      </w:r>
      <w:r w:rsidR="00F74F33">
        <w:rPr>
          <w:rFonts w:ascii="Arial" w:hAnsi="Arial" w:cs="Arial"/>
          <w:sz w:val="24"/>
          <w:szCs w:val="24"/>
          <w:lang w:val="en-US"/>
        </w:rPr>
        <w:t>AJJA</w:t>
      </w:r>
    </w:p>
    <w:p w14:paraId="1A1EE867" w14:textId="2DCD8649" w:rsidR="002073C1" w:rsidRPr="000279D6" w:rsidRDefault="002073C1" w:rsidP="00C22715">
      <w:pPr>
        <w:rPr>
          <w:rFonts w:ascii="Arial" w:hAnsi="Arial" w:cs="Arial"/>
          <w:sz w:val="24"/>
          <w:szCs w:val="24"/>
          <w:lang w:val="en-US"/>
        </w:rPr>
      </w:pPr>
      <w:r w:rsidRPr="000279D6">
        <w:rPr>
          <w:rFonts w:ascii="Arial" w:hAnsi="Arial" w:cs="Arial"/>
          <w:b/>
          <w:bCs/>
          <w:sz w:val="24"/>
          <w:szCs w:val="24"/>
          <w:lang w:val="en-US"/>
        </w:rPr>
        <w:t>Heard:</w:t>
      </w:r>
      <w:r w:rsidRPr="000279D6">
        <w:rPr>
          <w:rFonts w:ascii="Arial" w:hAnsi="Arial" w:cs="Arial"/>
          <w:b/>
          <w:bCs/>
          <w:sz w:val="24"/>
          <w:szCs w:val="24"/>
          <w:lang w:val="en-US"/>
        </w:rPr>
        <w:tab/>
      </w:r>
      <w:r w:rsidR="00F74F33">
        <w:rPr>
          <w:rFonts w:ascii="Arial" w:hAnsi="Arial" w:cs="Arial"/>
          <w:sz w:val="24"/>
          <w:szCs w:val="24"/>
          <w:lang w:val="en-US"/>
        </w:rPr>
        <w:t>20 February 2023</w:t>
      </w:r>
    </w:p>
    <w:p w14:paraId="0C13EF79" w14:textId="2CF54C3E" w:rsidR="002073C1" w:rsidRPr="000279D6" w:rsidRDefault="002073C1" w:rsidP="00C22715">
      <w:pPr>
        <w:rPr>
          <w:rFonts w:ascii="Arial" w:hAnsi="Arial" w:cs="Arial"/>
          <w:b/>
          <w:bCs/>
          <w:sz w:val="24"/>
          <w:szCs w:val="24"/>
          <w:lang w:val="en-US"/>
        </w:rPr>
      </w:pPr>
      <w:r w:rsidRPr="000279D6">
        <w:rPr>
          <w:rFonts w:ascii="Arial" w:hAnsi="Arial" w:cs="Arial"/>
          <w:b/>
          <w:bCs/>
          <w:sz w:val="24"/>
          <w:szCs w:val="24"/>
          <w:lang w:val="en-US"/>
        </w:rPr>
        <w:t>Delivered:</w:t>
      </w:r>
      <w:r w:rsidRPr="000279D6">
        <w:rPr>
          <w:rFonts w:ascii="Arial" w:hAnsi="Arial" w:cs="Arial"/>
          <w:b/>
          <w:bCs/>
          <w:sz w:val="24"/>
          <w:szCs w:val="24"/>
          <w:lang w:val="en-US"/>
        </w:rPr>
        <w:tab/>
      </w:r>
      <w:r w:rsidR="00244027">
        <w:rPr>
          <w:rFonts w:ascii="Arial" w:hAnsi="Arial" w:cs="Arial"/>
          <w:bCs/>
          <w:sz w:val="24"/>
          <w:szCs w:val="24"/>
          <w:lang w:val="en-US"/>
        </w:rPr>
        <w:t>8 May</w:t>
      </w:r>
      <w:r w:rsidR="00F21C10" w:rsidRPr="000279D6">
        <w:rPr>
          <w:rFonts w:ascii="Arial" w:hAnsi="Arial" w:cs="Arial"/>
          <w:sz w:val="24"/>
          <w:szCs w:val="24"/>
          <w:lang w:val="en-US"/>
        </w:rPr>
        <w:t xml:space="preserve"> </w:t>
      </w:r>
      <w:r w:rsidR="00B874DD" w:rsidRPr="000279D6">
        <w:rPr>
          <w:rFonts w:ascii="Arial" w:hAnsi="Arial" w:cs="Arial"/>
          <w:bCs/>
          <w:sz w:val="24"/>
          <w:szCs w:val="24"/>
          <w:lang w:val="en-US"/>
        </w:rPr>
        <w:t>2023</w:t>
      </w:r>
    </w:p>
    <w:p w14:paraId="0AA9E787" w14:textId="058538AE" w:rsidR="0070337D" w:rsidRDefault="002073C1" w:rsidP="001E65A6">
      <w:pPr>
        <w:rPr>
          <w:rFonts w:ascii="Arial" w:hAnsi="Arial" w:cs="Arial"/>
          <w:sz w:val="24"/>
          <w:szCs w:val="24"/>
          <w:lang w:val="en-US"/>
        </w:rPr>
      </w:pPr>
      <w:r w:rsidRPr="000279D6">
        <w:rPr>
          <w:rFonts w:ascii="Arial" w:hAnsi="Arial" w:cs="Arial"/>
          <w:b/>
          <w:bCs/>
          <w:sz w:val="24"/>
          <w:szCs w:val="24"/>
          <w:lang w:val="en-US"/>
        </w:rPr>
        <w:t>Summary:</w:t>
      </w:r>
      <w:r w:rsidRPr="000279D6">
        <w:rPr>
          <w:rFonts w:ascii="Arial" w:hAnsi="Arial" w:cs="Arial"/>
          <w:sz w:val="24"/>
          <w:szCs w:val="24"/>
          <w:lang w:val="en-US"/>
        </w:rPr>
        <w:tab/>
      </w:r>
      <w:r w:rsidR="00AA2C35">
        <w:rPr>
          <w:rFonts w:ascii="Arial" w:hAnsi="Arial" w:cs="Arial"/>
          <w:sz w:val="24"/>
          <w:szCs w:val="24"/>
          <w:lang w:val="en-US"/>
        </w:rPr>
        <w:t xml:space="preserve">Practice and procedure – </w:t>
      </w:r>
      <w:r w:rsidR="009A0953">
        <w:rPr>
          <w:rFonts w:ascii="Arial" w:hAnsi="Arial" w:cs="Arial"/>
          <w:sz w:val="24"/>
          <w:szCs w:val="24"/>
          <w:lang w:val="en-US"/>
        </w:rPr>
        <w:t xml:space="preserve">final </w:t>
      </w:r>
      <w:r w:rsidR="00AA2C35">
        <w:rPr>
          <w:rFonts w:ascii="Arial" w:hAnsi="Arial" w:cs="Arial"/>
          <w:sz w:val="24"/>
          <w:szCs w:val="24"/>
          <w:lang w:val="en-US"/>
        </w:rPr>
        <w:t xml:space="preserve">settlement of claim against </w:t>
      </w:r>
      <w:r w:rsidR="009A0953">
        <w:rPr>
          <w:rFonts w:ascii="Arial" w:hAnsi="Arial" w:cs="Arial"/>
          <w:sz w:val="24"/>
          <w:szCs w:val="24"/>
          <w:lang w:val="en-US"/>
        </w:rPr>
        <w:t>Road Accident Fund</w:t>
      </w:r>
      <w:r w:rsidR="00AA2C35">
        <w:rPr>
          <w:rFonts w:ascii="Arial" w:hAnsi="Arial" w:cs="Arial"/>
          <w:sz w:val="24"/>
          <w:szCs w:val="24"/>
          <w:lang w:val="en-US"/>
        </w:rPr>
        <w:t xml:space="preserve"> – compromise – extinguishes disputed rights and obligations and puts end to litigation – has effect of </w:t>
      </w:r>
      <w:r w:rsidR="00AA2C35" w:rsidRPr="004B20D2">
        <w:rPr>
          <w:rFonts w:ascii="Arial" w:hAnsi="Arial" w:cs="Arial"/>
          <w:i/>
          <w:sz w:val="24"/>
          <w:szCs w:val="24"/>
          <w:lang w:val="en-US"/>
        </w:rPr>
        <w:t>res iudicata</w:t>
      </w:r>
      <w:r w:rsidR="00AA2C35">
        <w:rPr>
          <w:rFonts w:ascii="Arial" w:hAnsi="Arial" w:cs="Arial"/>
          <w:sz w:val="24"/>
          <w:szCs w:val="24"/>
          <w:lang w:val="en-US"/>
        </w:rPr>
        <w:t xml:space="preserve"> </w:t>
      </w:r>
      <w:r w:rsidR="004B20D2">
        <w:rPr>
          <w:rFonts w:ascii="Arial" w:hAnsi="Arial" w:cs="Arial"/>
          <w:sz w:val="24"/>
          <w:szCs w:val="24"/>
          <w:lang w:val="en-US"/>
        </w:rPr>
        <w:t>–</w:t>
      </w:r>
      <w:r w:rsidR="00AA2C35">
        <w:rPr>
          <w:rFonts w:ascii="Arial" w:hAnsi="Arial" w:cs="Arial"/>
          <w:sz w:val="24"/>
          <w:szCs w:val="24"/>
          <w:lang w:val="en-US"/>
        </w:rPr>
        <w:t xml:space="preserve"> </w:t>
      </w:r>
      <w:r w:rsidR="004B20D2">
        <w:rPr>
          <w:rFonts w:ascii="Arial" w:hAnsi="Arial" w:cs="Arial"/>
          <w:sz w:val="24"/>
          <w:szCs w:val="24"/>
          <w:lang w:val="en-US"/>
        </w:rPr>
        <w:t>court has no jurisdiction to en</w:t>
      </w:r>
      <w:r w:rsidR="009A0953">
        <w:rPr>
          <w:rFonts w:ascii="Arial" w:hAnsi="Arial" w:cs="Arial"/>
          <w:sz w:val="24"/>
          <w:szCs w:val="24"/>
          <w:lang w:val="en-US"/>
        </w:rPr>
        <w:t>quire</w:t>
      </w:r>
      <w:r w:rsidR="004B20D2">
        <w:rPr>
          <w:rFonts w:ascii="Arial" w:hAnsi="Arial" w:cs="Arial"/>
          <w:sz w:val="24"/>
          <w:szCs w:val="24"/>
          <w:lang w:val="en-US"/>
        </w:rPr>
        <w:t xml:space="preserve"> </w:t>
      </w:r>
      <w:r w:rsidR="009A0953">
        <w:rPr>
          <w:rFonts w:ascii="Arial" w:hAnsi="Arial" w:cs="Arial"/>
          <w:sz w:val="24"/>
          <w:szCs w:val="24"/>
          <w:lang w:val="en-US"/>
        </w:rPr>
        <w:t>into</w:t>
      </w:r>
      <w:r w:rsidR="004B20D2">
        <w:rPr>
          <w:rFonts w:ascii="Arial" w:hAnsi="Arial" w:cs="Arial"/>
          <w:sz w:val="24"/>
          <w:szCs w:val="24"/>
          <w:lang w:val="en-US"/>
        </w:rPr>
        <w:t xml:space="preserve"> whether compromise justified </w:t>
      </w:r>
      <w:r w:rsidR="009A0953">
        <w:rPr>
          <w:rFonts w:ascii="Arial" w:hAnsi="Arial" w:cs="Arial"/>
          <w:sz w:val="24"/>
          <w:szCs w:val="24"/>
          <w:lang w:val="en-US"/>
        </w:rPr>
        <w:t>on</w:t>
      </w:r>
      <w:r w:rsidR="004B20D2">
        <w:rPr>
          <w:rFonts w:ascii="Arial" w:hAnsi="Arial" w:cs="Arial"/>
          <w:sz w:val="24"/>
          <w:szCs w:val="24"/>
          <w:lang w:val="en-US"/>
        </w:rPr>
        <w:t xml:space="preserve"> merits or validly concluded – </w:t>
      </w:r>
      <w:r w:rsidR="009A0953">
        <w:rPr>
          <w:rFonts w:ascii="Arial" w:hAnsi="Arial" w:cs="Arial"/>
          <w:sz w:val="24"/>
          <w:szCs w:val="24"/>
          <w:lang w:val="en-US"/>
        </w:rPr>
        <w:t>power</w:t>
      </w:r>
      <w:r w:rsidR="004B20D2">
        <w:rPr>
          <w:rFonts w:ascii="Arial" w:hAnsi="Arial" w:cs="Arial"/>
          <w:sz w:val="24"/>
          <w:szCs w:val="24"/>
          <w:lang w:val="en-US"/>
        </w:rPr>
        <w:t xml:space="preserve"> of court to make compromise order of court on request.</w:t>
      </w:r>
    </w:p>
    <w:p w14:paraId="11156CB9" w14:textId="77777777" w:rsidR="0003347C" w:rsidRDefault="0003347C" w:rsidP="001E65A6">
      <w:pPr>
        <w:rPr>
          <w:rFonts w:ascii="Arial" w:hAnsi="Arial" w:cs="Arial"/>
          <w:sz w:val="24"/>
          <w:szCs w:val="24"/>
          <w:lang w:val="en-US"/>
        </w:rPr>
      </w:pPr>
    </w:p>
    <w:p w14:paraId="7DF89D37" w14:textId="77777777" w:rsidR="0003347C" w:rsidRDefault="0003347C" w:rsidP="001E65A6">
      <w:pPr>
        <w:rPr>
          <w:rFonts w:ascii="Arial" w:hAnsi="Arial" w:cs="Arial"/>
          <w:sz w:val="24"/>
          <w:szCs w:val="24"/>
          <w:lang w:val="en-US"/>
        </w:rPr>
      </w:pPr>
    </w:p>
    <w:p w14:paraId="45B44708" w14:textId="77777777" w:rsidR="0003347C" w:rsidRDefault="0003347C" w:rsidP="001E65A6">
      <w:pPr>
        <w:rPr>
          <w:rFonts w:ascii="Arial" w:hAnsi="Arial" w:cs="Arial"/>
          <w:sz w:val="24"/>
          <w:szCs w:val="24"/>
          <w:lang w:val="en-US"/>
        </w:rPr>
      </w:pPr>
    </w:p>
    <w:p w14:paraId="3015E815" w14:textId="77777777" w:rsidR="0003347C" w:rsidRDefault="0003347C" w:rsidP="001E65A6">
      <w:pPr>
        <w:rPr>
          <w:rFonts w:ascii="Arial" w:hAnsi="Arial" w:cs="Arial"/>
          <w:sz w:val="24"/>
          <w:szCs w:val="24"/>
          <w:lang w:val="en-US"/>
        </w:rPr>
      </w:pPr>
    </w:p>
    <w:p w14:paraId="53752FDD" w14:textId="77777777" w:rsidR="0003347C" w:rsidRDefault="0003347C" w:rsidP="001E65A6">
      <w:pPr>
        <w:rPr>
          <w:rFonts w:ascii="Arial" w:hAnsi="Arial" w:cs="Arial"/>
          <w:sz w:val="24"/>
          <w:szCs w:val="24"/>
          <w:lang w:val="en-US"/>
        </w:rPr>
      </w:pPr>
    </w:p>
    <w:p w14:paraId="51BA2101" w14:textId="77777777" w:rsidR="0003347C" w:rsidRDefault="0003347C" w:rsidP="001E65A6">
      <w:pPr>
        <w:rPr>
          <w:rFonts w:ascii="Arial" w:hAnsi="Arial" w:cs="Arial"/>
          <w:sz w:val="24"/>
          <w:szCs w:val="24"/>
          <w:lang w:val="en-US"/>
        </w:rPr>
      </w:pPr>
    </w:p>
    <w:p w14:paraId="6C90F688" w14:textId="77777777" w:rsidR="0003347C" w:rsidRDefault="0003347C" w:rsidP="001E65A6">
      <w:pPr>
        <w:rPr>
          <w:rFonts w:ascii="Arial" w:hAnsi="Arial" w:cs="Arial"/>
          <w:sz w:val="24"/>
          <w:szCs w:val="24"/>
          <w:lang w:val="en-US"/>
        </w:rPr>
      </w:pPr>
    </w:p>
    <w:p w14:paraId="104EB113" w14:textId="77777777" w:rsidR="0003347C" w:rsidRDefault="0003347C" w:rsidP="001E65A6">
      <w:pPr>
        <w:rPr>
          <w:rFonts w:ascii="Arial" w:hAnsi="Arial" w:cs="Arial"/>
          <w:sz w:val="24"/>
          <w:szCs w:val="24"/>
          <w:lang w:val="en-US"/>
        </w:rPr>
      </w:pPr>
    </w:p>
    <w:p w14:paraId="35EBEE82" w14:textId="77777777" w:rsidR="0003347C" w:rsidRDefault="0003347C" w:rsidP="001E65A6">
      <w:pPr>
        <w:rPr>
          <w:rFonts w:ascii="Arial" w:hAnsi="Arial" w:cs="Arial"/>
          <w:sz w:val="24"/>
          <w:szCs w:val="24"/>
          <w:lang w:val="en-US"/>
        </w:rPr>
      </w:pPr>
    </w:p>
    <w:p w14:paraId="3729CB71" w14:textId="77777777" w:rsidR="0003347C" w:rsidRDefault="0003347C" w:rsidP="001E65A6">
      <w:pPr>
        <w:rPr>
          <w:rFonts w:ascii="Arial" w:hAnsi="Arial" w:cs="Arial"/>
          <w:sz w:val="24"/>
          <w:szCs w:val="24"/>
          <w:lang w:val="en-US"/>
        </w:rPr>
      </w:pPr>
    </w:p>
    <w:p w14:paraId="08FF4CC0" w14:textId="77777777" w:rsidR="00C032BE" w:rsidRDefault="00C032BE" w:rsidP="001E65A6">
      <w:pPr>
        <w:rPr>
          <w:rFonts w:ascii="Arial" w:hAnsi="Arial" w:cs="Arial"/>
          <w:sz w:val="24"/>
          <w:szCs w:val="24"/>
          <w:lang w:val="en-US"/>
        </w:rPr>
      </w:pPr>
    </w:p>
    <w:p w14:paraId="45302290" w14:textId="77777777" w:rsidR="00C032BE" w:rsidRDefault="00C032BE" w:rsidP="001E65A6">
      <w:pPr>
        <w:rPr>
          <w:rFonts w:ascii="Arial" w:hAnsi="Arial" w:cs="Arial"/>
          <w:sz w:val="24"/>
          <w:szCs w:val="24"/>
          <w:lang w:val="en-US"/>
        </w:rPr>
      </w:pPr>
    </w:p>
    <w:p w14:paraId="62AACCB8" w14:textId="77777777" w:rsidR="00C032BE" w:rsidRDefault="00C032BE" w:rsidP="001E65A6">
      <w:pPr>
        <w:rPr>
          <w:rFonts w:ascii="Arial" w:hAnsi="Arial" w:cs="Arial"/>
          <w:sz w:val="24"/>
          <w:szCs w:val="24"/>
          <w:lang w:val="en-US"/>
        </w:rPr>
      </w:pPr>
    </w:p>
    <w:p w14:paraId="4D7CA9F3" w14:textId="77777777" w:rsidR="00C032BE" w:rsidRDefault="00C032BE" w:rsidP="001E65A6">
      <w:pPr>
        <w:rPr>
          <w:rFonts w:ascii="Arial" w:hAnsi="Arial" w:cs="Arial"/>
          <w:sz w:val="24"/>
          <w:szCs w:val="24"/>
          <w:lang w:val="en-US"/>
        </w:rPr>
      </w:pPr>
    </w:p>
    <w:p w14:paraId="4EB4565B" w14:textId="77777777" w:rsidR="00431A4F" w:rsidRPr="000279D6" w:rsidRDefault="00431A4F" w:rsidP="00B05C8E">
      <w:pPr>
        <w:pBdr>
          <w:bottom w:val="single" w:sz="12" w:space="1" w:color="auto"/>
        </w:pBdr>
        <w:rPr>
          <w:rFonts w:ascii="Arial" w:hAnsi="Arial" w:cs="Arial"/>
          <w:sz w:val="24"/>
          <w:szCs w:val="24"/>
          <w:lang w:val="en-US"/>
        </w:rPr>
      </w:pPr>
    </w:p>
    <w:p w14:paraId="08BBA34E" w14:textId="77777777" w:rsidR="002073C1" w:rsidRPr="000279D6" w:rsidRDefault="002073C1" w:rsidP="00B05C8E">
      <w:pPr>
        <w:rPr>
          <w:rFonts w:ascii="Arial" w:hAnsi="Arial" w:cs="Arial"/>
          <w:b/>
          <w:bCs/>
          <w:sz w:val="24"/>
          <w:szCs w:val="24"/>
          <w:lang w:val="en-US"/>
        </w:rPr>
      </w:pPr>
    </w:p>
    <w:p w14:paraId="2174A860" w14:textId="77777777" w:rsidR="002073C1" w:rsidRPr="000279D6" w:rsidRDefault="002073C1" w:rsidP="00B05C8E">
      <w:pPr>
        <w:jc w:val="center"/>
        <w:rPr>
          <w:rFonts w:ascii="Arial" w:hAnsi="Arial" w:cs="Arial"/>
          <w:b/>
          <w:bCs/>
          <w:sz w:val="24"/>
          <w:szCs w:val="24"/>
          <w:lang w:val="en-US"/>
        </w:rPr>
      </w:pPr>
      <w:r w:rsidRPr="000279D6">
        <w:rPr>
          <w:rFonts w:ascii="Arial" w:hAnsi="Arial" w:cs="Arial"/>
          <w:b/>
          <w:bCs/>
          <w:sz w:val="24"/>
          <w:szCs w:val="24"/>
          <w:lang w:val="en-US"/>
        </w:rPr>
        <w:t>ORDER</w:t>
      </w:r>
    </w:p>
    <w:p w14:paraId="136C37D4" w14:textId="77777777" w:rsidR="002073C1" w:rsidRPr="000279D6" w:rsidRDefault="002073C1" w:rsidP="00B05C8E">
      <w:pPr>
        <w:pBdr>
          <w:bottom w:val="single" w:sz="12" w:space="1" w:color="auto"/>
        </w:pBdr>
        <w:rPr>
          <w:rFonts w:ascii="Arial" w:hAnsi="Arial" w:cs="Arial"/>
          <w:b/>
          <w:bCs/>
          <w:sz w:val="24"/>
          <w:szCs w:val="24"/>
          <w:lang w:val="en-US"/>
        </w:rPr>
      </w:pPr>
    </w:p>
    <w:p w14:paraId="045CD2EE" w14:textId="3BE5E184" w:rsidR="00614F9D" w:rsidRDefault="002073C1" w:rsidP="00B05C8E">
      <w:pPr>
        <w:rPr>
          <w:rFonts w:ascii="Arial" w:hAnsi="Arial" w:cs="Arial"/>
          <w:sz w:val="24"/>
          <w:szCs w:val="24"/>
          <w:lang w:val="en-US"/>
        </w:rPr>
      </w:pPr>
      <w:r w:rsidRPr="000279D6">
        <w:rPr>
          <w:rFonts w:ascii="Arial" w:hAnsi="Arial" w:cs="Arial"/>
          <w:b/>
          <w:bCs/>
          <w:sz w:val="24"/>
          <w:szCs w:val="24"/>
          <w:lang w:val="en-US"/>
        </w:rPr>
        <w:t>On appeal from:</w:t>
      </w:r>
      <w:r w:rsidRPr="000279D6">
        <w:rPr>
          <w:rFonts w:ascii="Arial" w:hAnsi="Arial" w:cs="Arial"/>
          <w:sz w:val="24"/>
          <w:szCs w:val="24"/>
          <w:lang w:val="en-US"/>
        </w:rPr>
        <w:t xml:space="preserve"> </w:t>
      </w:r>
      <w:r w:rsidR="00A46EF2" w:rsidRPr="000279D6">
        <w:rPr>
          <w:rFonts w:ascii="Arial" w:hAnsi="Arial" w:cs="Arial"/>
          <w:sz w:val="24"/>
          <w:szCs w:val="24"/>
          <w:lang w:val="en-US"/>
        </w:rPr>
        <w:t xml:space="preserve">Gauteng Division </w:t>
      </w:r>
      <w:r w:rsidRPr="000279D6">
        <w:rPr>
          <w:rFonts w:ascii="Arial" w:hAnsi="Arial" w:cs="Arial"/>
          <w:sz w:val="24"/>
          <w:szCs w:val="24"/>
          <w:lang w:val="en-US"/>
        </w:rPr>
        <w:t>of the High C</w:t>
      </w:r>
      <w:r w:rsidR="00A17461" w:rsidRPr="000279D6">
        <w:rPr>
          <w:rFonts w:ascii="Arial" w:hAnsi="Arial" w:cs="Arial"/>
          <w:sz w:val="24"/>
          <w:szCs w:val="24"/>
          <w:lang w:val="en-US"/>
        </w:rPr>
        <w:t xml:space="preserve">ourt, </w:t>
      </w:r>
      <w:r w:rsidR="00785DB2" w:rsidRPr="000279D6">
        <w:rPr>
          <w:rFonts w:ascii="Arial" w:hAnsi="Arial" w:cs="Arial"/>
          <w:sz w:val="24"/>
          <w:szCs w:val="24"/>
          <w:lang w:val="en-US"/>
        </w:rPr>
        <w:t>Johannesburg</w:t>
      </w:r>
      <w:r w:rsidR="00A17461" w:rsidRPr="000279D6">
        <w:rPr>
          <w:rFonts w:ascii="Arial" w:hAnsi="Arial" w:cs="Arial"/>
          <w:sz w:val="24"/>
          <w:szCs w:val="24"/>
          <w:lang w:val="en-US"/>
        </w:rPr>
        <w:t xml:space="preserve"> (</w:t>
      </w:r>
      <w:r w:rsidR="00ED1B20">
        <w:rPr>
          <w:rFonts w:ascii="Arial" w:hAnsi="Arial" w:cs="Arial"/>
          <w:sz w:val="24"/>
          <w:szCs w:val="24"/>
          <w:lang w:val="en-US"/>
        </w:rPr>
        <w:t>Fisher J</w:t>
      </w:r>
      <w:r w:rsidR="00793984" w:rsidRPr="000279D6">
        <w:rPr>
          <w:rFonts w:ascii="Arial" w:hAnsi="Arial" w:cs="Arial"/>
          <w:sz w:val="24"/>
          <w:szCs w:val="24"/>
          <w:lang w:val="en-US"/>
        </w:rPr>
        <w:t>,</w:t>
      </w:r>
      <w:r w:rsidR="00A17461" w:rsidRPr="000279D6">
        <w:rPr>
          <w:rFonts w:ascii="Arial" w:hAnsi="Arial" w:cs="Arial"/>
          <w:sz w:val="24"/>
          <w:szCs w:val="24"/>
          <w:lang w:val="en-US"/>
        </w:rPr>
        <w:t xml:space="preserve"> </w:t>
      </w:r>
      <w:r w:rsidRPr="000279D6">
        <w:rPr>
          <w:rFonts w:ascii="Arial" w:hAnsi="Arial" w:cs="Arial"/>
          <w:sz w:val="24"/>
          <w:szCs w:val="24"/>
          <w:lang w:val="en-US"/>
        </w:rPr>
        <w:t xml:space="preserve">sitting as court of </w:t>
      </w:r>
      <w:r w:rsidR="00D523FC" w:rsidRPr="000279D6">
        <w:rPr>
          <w:rFonts w:ascii="Arial" w:hAnsi="Arial" w:cs="Arial"/>
          <w:sz w:val="24"/>
          <w:szCs w:val="24"/>
          <w:lang w:val="en-US"/>
        </w:rPr>
        <w:t>first instance</w:t>
      </w:r>
      <w:r w:rsidR="00E96FF5" w:rsidRPr="000279D6">
        <w:rPr>
          <w:rFonts w:ascii="Arial" w:hAnsi="Arial" w:cs="Arial"/>
          <w:sz w:val="24"/>
          <w:szCs w:val="24"/>
          <w:lang w:val="en-US"/>
        </w:rPr>
        <w:t>)</w:t>
      </w:r>
      <w:r w:rsidR="006D42D1" w:rsidRPr="000279D6">
        <w:rPr>
          <w:rFonts w:ascii="Arial" w:hAnsi="Arial" w:cs="Arial"/>
          <w:sz w:val="24"/>
          <w:szCs w:val="24"/>
          <w:lang w:val="en-US"/>
        </w:rPr>
        <w:t>:</w:t>
      </w:r>
      <w:r w:rsidR="00ED1B20">
        <w:rPr>
          <w:rFonts w:ascii="Arial" w:hAnsi="Arial" w:cs="Arial"/>
          <w:sz w:val="24"/>
          <w:szCs w:val="24"/>
          <w:lang w:val="en-US"/>
        </w:rPr>
        <w:t xml:space="preserve"> Judgment reported </w:t>
      </w:r>
      <w:r w:rsidR="00ED1B20" w:rsidRPr="00ED1B20">
        <w:rPr>
          <w:rFonts w:ascii="Arial" w:hAnsi="Arial" w:cs="Arial"/>
          <w:i/>
          <w:sz w:val="24"/>
          <w:szCs w:val="24"/>
          <w:lang w:val="en-US"/>
        </w:rPr>
        <w:t>sub</w:t>
      </w:r>
      <w:r w:rsidR="00ED1B20">
        <w:rPr>
          <w:rFonts w:ascii="Arial" w:hAnsi="Arial" w:cs="Arial"/>
          <w:sz w:val="24"/>
          <w:szCs w:val="24"/>
          <w:lang w:val="en-US"/>
        </w:rPr>
        <w:t xml:space="preserve"> </w:t>
      </w:r>
      <w:r w:rsidR="009A0953" w:rsidRPr="009A0953">
        <w:rPr>
          <w:rFonts w:ascii="Arial" w:hAnsi="Arial" w:cs="Arial"/>
          <w:i/>
          <w:sz w:val="24"/>
          <w:szCs w:val="24"/>
          <w:lang w:val="en-US"/>
        </w:rPr>
        <w:t>nom</w:t>
      </w:r>
      <w:r w:rsidR="00ED1B20">
        <w:rPr>
          <w:rFonts w:ascii="Arial" w:hAnsi="Arial" w:cs="Arial"/>
          <w:sz w:val="24"/>
          <w:szCs w:val="24"/>
          <w:lang w:val="en-US"/>
        </w:rPr>
        <w:t xml:space="preserve"> </w:t>
      </w:r>
      <w:r w:rsidR="009A0953" w:rsidRPr="009A0953">
        <w:rPr>
          <w:rFonts w:ascii="Arial" w:hAnsi="Arial" w:cs="Arial"/>
          <w:i/>
          <w:sz w:val="24"/>
          <w:szCs w:val="24"/>
          <w:lang w:val="en-US"/>
        </w:rPr>
        <w:t>Taylor</w:t>
      </w:r>
      <w:r w:rsidR="00ED1B20" w:rsidRPr="009A0953">
        <w:rPr>
          <w:rFonts w:ascii="Arial" w:hAnsi="Arial" w:cs="Arial"/>
          <w:i/>
          <w:sz w:val="24"/>
          <w:szCs w:val="24"/>
          <w:lang w:val="en-US"/>
        </w:rPr>
        <w:t xml:space="preserve"> v Road Accident Fund</w:t>
      </w:r>
      <w:r w:rsidR="00ED1B20">
        <w:rPr>
          <w:rFonts w:ascii="Arial" w:hAnsi="Arial" w:cs="Arial"/>
          <w:sz w:val="24"/>
          <w:szCs w:val="24"/>
          <w:lang w:val="en-US"/>
        </w:rPr>
        <w:t xml:space="preserve"> 2021 (2) SA 618 (GJ)</w:t>
      </w:r>
    </w:p>
    <w:p w14:paraId="50E847DE" w14:textId="77777777" w:rsidR="00AA2C35" w:rsidRPr="000279D6" w:rsidRDefault="00AA2C35" w:rsidP="00B05C8E">
      <w:pPr>
        <w:rPr>
          <w:rFonts w:ascii="Arial" w:hAnsi="Arial" w:cs="Arial"/>
          <w:sz w:val="24"/>
          <w:szCs w:val="24"/>
          <w:lang w:val="en-US"/>
        </w:rPr>
      </w:pPr>
    </w:p>
    <w:p w14:paraId="7A1A031C" w14:textId="77777777" w:rsidR="00AA2C35" w:rsidRDefault="00AA2C35" w:rsidP="00AA2C35">
      <w:pPr>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appeals are upheld.</w:t>
      </w:r>
    </w:p>
    <w:p w14:paraId="52F645DA" w14:textId="0829653B" w:rsidR="00AA2C35" w:rsidRDefault="00AA2C35" w:rsidP="00AA2C35">
      <w:pPr>
        <w:ind w:left="720" w:hanging="720"/>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Paragraphs 1a to </w:t>
      </w:r>
      <w:r w:rsidR="003400B3">
        <w:rPr>
          <w:rFonts w:ascii="Arial" w:hAnsi="Arial" w:cs="Arial"/>
          <w:sz w:val="24"/>
          <w:szCs w:val="24"/>
          <w:lang w:val="en-US"/>
        </w:rPr>
        <w:t xml:space="preserve">1c and </w:t>
      </w:r>
      <w:r>
        <w:rPr>
          <w:rFonts w:ascii="Arial" w:hAnsi="Arial" w:cs="Arial"/>
          <w:sz w:val="24"/>
          <w:szCs w:val="24"/>
          <w:lang w:val="en-US"/>
        </w:rPr>
        <w:t xml:space="preserve">1e of the order of the court a quo are set aside and replaced with the following: </w:t>
      </w:r>
    </w:p>
    <w:p w14:paraId="4CE29FA0" w14:textId="77777777" w:rsidR="00AA2C35" w:rsidRDefault="00AA2C35" w:rsidP="006F45C3">
      <w:pPr>
        <w:ind w:left="142" w:firstLine="720"/>
        <w:rPr>
          <w:rFonts w:ascii="Arial" w:hAnsi="Arial" w:cs="Arial"/>
          <w:sz w:val="24"/>
          <w:szCs w:val="24"/>
          <w:lang w:val="en-US"/>
        </w:rPr>
      </w:pPr>
      <w:r>
        <w:rPr>
          <w:rFonts w:ascii="Arial" w:hAnsi="Arial" w:cs="Arial"/>
          <w:sz w:val="24"/>
          <w:szCs w:val="24"/>
          <w:lang w:val="en-US"/>
        </w:rPr>
        <w:t xml:space="preserve">‘By agreement the matter is removed from the roll’. </w:t>
      </w:r>
    </w:p>
    <w:p w14:paraId="2D129864" w14:textId="371D2EF3" w:rsidR="00AA2C35" w:rsidRDefault="00AA2C35" w:rsidP="00AA2C35">
      <w:pPr>
        <w:ind w:left="720" w:hanging="720"/>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Paragraphs 2a to </w:t>
      </w:r>
      <w:r w:rsidR="003400B3">
        <w:rPr>
          <w:rFonts w:ascii="Arial" w:hAnsi="Arial" w:cs="Arial"/>
          <w:sz w:val="24"/>
          <w:szCs w:val="24"/>
          <w:lang w:val="en-US"/>
        </w:rPr>
        <w:t xml:space="preserve">2c and </w:t>
      </w:r>
      <w:r>
        <w:rPr>
          <w:rFonts w:ascii="Arial" w:hAnsi="Arial" w:cs="Arial"/>
          <w:sz w:val="24"/>
          <w:szCs w:val="24"/>
          <w:lang w:val="en-US"/>
        </w:rPr>
        <w:t xml:space="preserve">2e of the order of the court a quo are set aside and replaced with the following: </w:t>
      </w:r>
    </w:p>
    <w:p w14:paraId="3D6CF0F2" w14:textId="77777777" w:rsidR="00AA2C35" w:rsidRPr="000279D6" w:rsidRDefault="00AA2C35" w:rsidP="006F45C3">
      <w:pPr>
        <w:ind w:left="142" w:firstLine="720"/>
        <w:rPr>
          <w:rFonts w:ascii="Arial" w:hAnsi="Arial" w:cs="Arial"/>
          <w:sz w:val="24"/>
          <w:szCs w:val="24"/>
          <w:lang w:val="en-US"/>
        </w:rPr>
      </w:pPr>
      <w:r>
        <w:rPr>
          <w:rFonts w:ascii="Arial" w:hAnsi="Arial" w:cs="Arial"/>
          <w:sz w:val="24"/>
          <w:szCs w:val="24"/>
          <w:lang w:val="en-US"/>
        </w:rPr>
        <w:t xml:space="preserve">‘By agreement the draft order presented to the court is made an order of court’. </w:t>
      </w:r>
    </w:p>
    <w:p w14:paraId="5C4C2E5D" w14:textId="719B8BD6" w:rsidR="00BD73E7" w:rsidRPr="000279D6" w:rsidRDefault="00BD73E7" w:rsidP="00B05C8E">
      <w:pPr>
        <w:pBdr>
          <w:bottom w:val="single" w:sz="12" w:space="1" w:color="auto"/>
        </w:pBdr>
        <w:rPr>
          <w:rFonts w:ascii="Arial" w:hAnsi="Arial" w:cs="Arial"/>
          <w:b/>
          <w:bCs/>
          <w:sz w:val="24"/>
          <w:szCs w:val="24"/>
          <w:lang w:val="en-US"/>
        </w:rPr>
      </w:pPr>
    </w:p>
    <w:p w14:paraId="3A504304" w14:textId="3427C965" w:rsidR="00BD73E7" w:rsidRPr="000279D6" w:rsidRDefault="00BD73E7" w:rsidP="00B05C8E">
      <w:pPr>
        <w:rPr>
          <w:rFonts w:ascii="Arial" w:hAnsi="Arial" w:cs="Arial"/>
          <w:b/>
          <w:bCs/>
          <w:sz w:val="24"/>
          <w:szCs w:val="24"/>
          <w:lang w:val="en-US"/>
        </w:rPr>
      </w:pPr>
    </w:p>
    <w:p w14:paraId="7565F278" w14:textId="3AC295DB" w:rsidR="00BD73E7" w:rsidRPr="000279D6" w:rsidRDefault="00BD73E7" w:rsidP="00B05C8E">
      <w:pPr>
        <w:jc w:val="center"/>
        <w:rPr>
          <w:rFonts w:ascii="Arial" w:hAnsi="Arial" w:cs="Arial"/>
          <w:b/>
          <w:bCs/>
          <w:sz w:val="24"/>
          <w:szCs w:val="24"/>
          <w:lang w:val="en-US"/>
        </w:rPr>
      </w:pPr>
      <w:r w:rsidRPr="000279D6">
        <w:rPr>
          <w:rFonts w:ascii="Arial" w:hAnsi="Arial" w:cs="Arial"/>
          <w:b/>
          <w:bCs/>
          <w:sz w:val="24"/>
          <w:szCs w:val="24"/>
          <w:lang w:val="en-US"/>
        </w:rPr>
        <w:t>JUDGMENT</w:t>
      </w:r>
    </w:p>
    <w:p w14:paraId="55FBB5EB" w14:textId="347EDD86" w:rsidR="00BD73E7" w:rsidRPr="000279D6" w:rsidRDefault="00BD73E7" w:rsidP="00B05C8E">
      <w:pPr>
        <w:pBdr>
          <w:bottom w:val="single" w:sz="12" w:space="1" w:color="auto"/>
        </w:pBdr>
        <w:rPr>
          <w:rFonts w:ascii="Arial" w:hAnsi="Arial" w:cs="Arial"/>
          <w:b/>
          <w:bCs/>
          <w:sz w:val="24"/>
          <w:szCs w:val="24"/>
          <w:lang w:val="en-US"/>
        </w:rPr>
      </w:pPr>
    </w:p>
    <w:p w14:paraId="1F06ECBC" w14:textId="2F9E7058" w:rsidR="00BD73E7" w:rsidRDefault="00785DB2" w:rsidP="00494104">
      <w:pPr>
        <w:spacing w:before="240"/>
        <w:rPr>
          <w:rFonts w:ascii="Arial" w:hAnsi="Arial" w:cs="Arial"/>
          <w:b/>
          <w:bCs/>
          <w:sz w:val="24"/>
          <w:szCs w:val="24"/>
          <w:lang w:val="en-US"/>
        </w:rPr>
      </w:pPr>
      <w:r w:rsidRPr="000279D6">
        <w:rPr>
          <w:rFonts w:ascii="Arial" w:hAnsi="Arial" w:cs="Arial"/>
          <w:b/>
          <w:bCs/>
          <w:sz w:val="24"/>
          <w:szCs w:val="24"/>
          <w:lang w:val="en-US"/>
        </w:rPr>
        <w:t>Van der Merwe</w:t>
      </w:r>
      <w:r w:rsidR="00BD73E7" w:rsidRPr="000279D6">
        <w:rPr>
          <w:rFonts w:ascii="Arial" w:hAnsi="Arial" w:cs="Arial"/>
          <w:b/>
          <w:bCs/>
          <w:sz w:val="24"/>
          <w:szCs w:val="24"/>
          <w:lang w:val="en-US"/>
        </w:rPr>
        <w:t xml:space="preserve"> JA (</w:t>
      </w:r>
      <w:r w:rsidR="00AF09D0">
        <w:rPr>
          <w:rFonts w:ascii="Arial" w:hAnsi="Arial" w:cs="Arial"/>
          <w:b/>
          <w:bCs/>
          <w:sz w:val="24"/>
          <w:szCs w:val="24"/>
          <w:lang w:val="en-US"/>
        </w:rPr>
        <w:t xml:space="preserve">Saldulker and Meyer JJA and Kathree-Setiloane and Olsen AJJA </w:t>
      </w:r>
      <w:r w:rsidR="00BD73E7" w:rsidRPr="000279D6">
        <w:rPr>
          <w:rFonts w:ascii="Arial" w:hAnsi="Arial" w:cs="Arial"/>
          <w:b/>
          <w:bCs/>
          <w:sz w:val="24"/>
          <w:szCs w:val="24"/>
          <w:lang w:val="en-US"/>
        </w:rPr>
        <w:t>concurring)</w:t>
      </w:r>
      <w:r w:rsidR="006D42D1" w:rsidRPr="000279D6">
        <w:rPr>
          <w:rFonts w:ascii="Arial" w:hAnsi="Arial" w:cs="Arial"/>
          <w:b/>
          <w:bCs/>
          <w:sz w:val="24"/>
          <w:szCs w:val="24"/>
          <w:lang w:val="en-US"/>
        </w:rPr>
        <w:t>:</w:t>
      </w:r>
    </w:p>
    <w:p w14:paraId="76265E9E" w14:textId="77777777" w:rsidR="00C24B53" w:rsidRPr="000279D6" w:rsidRDefault="00C24B53" w:rsidP="00494104">
      <w:pPr>
        <w:spacing w:before="240"/>
        <w:rPr>
          <w:rFonts w:ascii="Arial" w:hAnsi="Arial" w:cs="Arial"/>
          <w:sz w:val="24"/>
          <w:szCs w:val="24"/>
          <w:lang w:val="en-US"/>
        </w:rPr>
      </w:pPr>
    </w:p>
    <w:p w14:paraId="5F66D5D6" w14:textId="6B450CBA" w:rsidR="00EB3142" w:rsidRDefault="00BD73E7" w:rsidP="00B05C8E">
      <w:pPr>
        <w:rPr>
          <w:rFonts w:ascii="Arial" w:hAnsi="Arial" w:cs="Arial"/>
          <w:sz w:val="24"/>
          <w:szCs w:val="24"/>
          <w:lang w:val="en-US"/>
        </w:rPr>
      </w:pPr>
      <w:r w:rsidRPr="000279D6">
        <w:rPr>
          <w:rFonts w:ascii="Arial" w:hAnsi="Arial" w:cs="Arial"/>
          <w:sz w:val="24"/>
          <w:szCs w:val="24"/>
          <w:lang w:val="en-US"/>
        </w:rPr>
        <w:t>[1]</w:t>
      </w:r>
      <w:r w:rsidRPr="000279D6">
        <w:rPr>
          <w:rFonts w:ascii="Arial" w:hAnsi="Arial" w:cs="Arial"/>
          <w:sz w:val="24"/>
          <w:szCs w:val="24"/>
          <w:lang w:val="en-US"/>
        </w:rPr>
        <w:tab/>
      </w:r>
      <w:r w:rsidR="00C84381" w:rsidRPr="000279D6">
        <w:rPr>
          <w:rFonts w:ascii="Arial" w:hAnsi="Arial" w:cs="Arial"/>
          <w:sz w:val="24"/>
          <w:szCs w:val="24"/>
          <w:lang w:val="en-US"/>
        </w:rPr>
        <w:t xml:space="preserve"> </w:t>
      </w:r>
      <w:r w:rsidR="00ED1B20">
        <w:rPr>
          <w:rFonts w:ascii="Arial" w:hAnsi="Arial" w:cs="Arial"/>
          <w:sz w:val="24"/>
          <w:szCs w:val="24"/>
          <w:lang w:val="en-US"/>
        </w:rPr>
        <w:t>This judgment deals with a number of extraordinary appeals. The appeals are against the order of the Gauteng Division of the High Court, Johannesburg (Fisher J) in respect of two actions against the Road Accident Fund (the RAF), after each of the actions had been settled without proceeding to trial. Aspects of the order are appealed by all the parties concerned, as well as by othe</w:t>
      </w:r>
      <w:r w:rsidR="003400B3">
        <w:rPr>
          <w:rFonts w:ascii="Arial" w:hAnsi="Arial" w:cs="Arial"/>
          <w:sz w:val="24"/>
          <w:szCs w:val="24"/>
          <w:lang w:val="en-US"/>
        </w:rPr>
        <w:t>r persons affected by the order</w:t>
      </w:r>
      <w:r w:rsidR="00ED1B20">
        <w:rPr>
          <w:rFonts w:ascii="Arial" w:hAnsi="Arial" w:cs="Arial"/>
          <w:sz w:val="24"/>
          <w:szCs w:val="24"/>
          <w:lang w:val="en-US"/>
        </w:rPr>
        <w:t xml:space="preserve">. The appeals raise mainly two legal issues. The principal issue concerns the consequences of the settlement of disputed issues in litigation and the powers of a court in relation thereto. A subsidiary issue relates to the rights of a person who is not a party to legal proceedings, but whose conduct is referred to the statutory body or institution </w:t>
      </w:r>
      <w:r w:rsidR="00ED1B20">
        <w:rPr>
          <w:rFonts w:ascii="Arial" w:hAnsi="Arial" w:cs="Arial"/>
          <w:sz w:val="24"/>
          <w:szCs w:val="24"/>
          <w:lang w:val="en-US"/>
        </w:rPr>
        <w:lastRenderedPageBreak/>
        <w:t xml:space="preserve">responsible for oversight over the members of the profession that the person belongs to. The appeals came to this court in the manner set out below. </w:t>
      </w:r>
    </w:p>
    <w:p w14:paraId="41BD3F5F" w14:textId="3C17F00E" w:rsidR="00ED1B20" w:rsidRDefault="00ED1B20" w:rsidP="00B05C8E">
      <w:pPr>
        <w:rPr>
          <w:rFonts w:ascii="Arial" w:hAnsi="Arial" w:cs="Arial"/>
          <w:sz w:val="24"/>
          <w:szCs w:val="24"/>
          <w:lang w:val="en-US"/>
        </w:rPr>
      </w:pPr>
    </w:p>
    <w:p w14:paraId="230559AB" w14:textId="0923FC4A" w:rsidR="005E64F9" w:rsidRPr="00ED1B20" w:rsidRDefault="00ED1B20" w:rsidP="00B05C8E">
      <w:pPr>
        <w:rPr>
          <w:rFonts w:ascii="Arial" w:hAnsi="Arial" w:cs="Arial"/>
          <w:b/>
          <w:sz w:val="24"/>
          <w:szCs w:val="24"/>
          <w:lang w:val="en-US"/>
        </w:rPr>
      </w:pPr>
      <w:r w:rsidRPr="00ED1B20">
        <w:rPr>
          <w:rFonts w:ascii="Arial" w:hAnsi="Arial" w:cs="Arial"/>
          <w:b/>
          <w:sz w:val="24"/>
          <w:szCs w:val="24"/>
          <w:lang w:val="en-US"/>
        </w:rPr>
        <w:t>The RAF</w:t>
      </w:r>
    </w:p>
    <w:p w14:paraId="49688695" w14:textId="563B825D" w:rsidR="005E64F9" w:rsidRPr="000279D6" w:rsidRDefault="005E64F9" w:rsidP="00B05C8E">
      <w:pPr>
        <w:rPr>
          <w:rFonts w:ascii="Arial" w:hAnsi="Arial" w:cs="Arial"/>
          <w:sz w:val="24"/>
          <w:szCs w:val="24"/>
          <w:lang w:val="en-US"/>
        </w:rPr>
      </w:pPr>
      <w:r w:rsidRPr="000279D6">
        <w:rPr>
          <w:rFonts w:ascii="Arial" w:hAnsi="Arial" w:cs="Arial"/>
          <w:sz w:val="24"/>
          <w:szCs w:val="24"/>
          <w:lang w:val="en-US"/>
        </w:rPr>
        <w:t>[2]</w:t>
      </w:r>
      <w:r w:rsidRPr="000279D6">
        <w:rPr>
          <w:rFonts w:ascii="Arial" w:hAnsi="Arial" w:cs="Arial"/>
          <w:sz w:val="24"/>
          <w:szCs w:val="24"/>
          <w:lang w:val="en-US"/>
        </w:rPr>
        <w:tab/>
        <w:t xml:space="preserve"> </w:t>
      </w:r>
      <w:r w:rsidR="00ED1B20">
        <w:rPr>
          <w:rFonts w:ascii="Arial" w:hAnsi="Arial" w:cs="Arial"/>
          <w:sz w:val="24"/>
          <w:szCs w:val="24"/>
          <w:lang w:val="en-US"/>
        </w:rPr>
        <w:t>The RAF is a juristic person established under s 2 of the Road Accident Fund Act 56 of 1996 (the RAF Act). In terms of s 3 of the RAF Act, the object of the RAF is the payment of compensation for loss or damage wrongfully caused by the driving of motor</w:t>
      </w:r>
      <w:r w:rsidR="003400B3">
        <w:rPr>
          <w:rFonts w:ascii="Arial" w:hAnsi="Arial" w:cs="Arial"/>
          <w:sz w:val="24"/>
          <w:szCs w:val="24"/>
          <w:lang w:val="en-US"/>
        </w:rPr>
        <w:t xml:space="preserve"> vehicles. The RAF is publicly</w:t>
      </w:r>
      <w:r w:rsidR="00ED1B20">
        <w:rPr>
          <w:rFonts w:ascii="Arial" w:hAnsi="Arial" w:cs="Arial"/>
          <w:sz w:val="24"/>
          <w:szCs w:val="24"/>
          <w:lang w:val="en-US"/>
        </w:rPr>
        <w:t xml:space="preserve"> funded in accordance with ss </w:t>
      </w:r>
      <w:r w:rsidR="001D1240">
        <w:rPr>
          <w:rFonts w:ascii="Arial" w:hAnsi="Arial" w:cs="Arial"/>
          <w:sz w:val="24"/>
          <w:szCs w:val="24"/>
          <w:lang w:val="en-US"/>
        </w:rPr>
        <w:t xml:space="preserve">5 and 6 of the RAF Act. Section 10 of the RAF Act provides for a board of the RAF. Its powers and functions, in terms of s 11, are to exercise overall authority and control over the financial position, operation and management of the RAF, subject to the powers of the Minister of Transport. The board is also empowered to appoint a chief executive officer, to whom it may delegate any of its powers or duties. </w:t>
      </w:r>
      <w:r w:rsidRPr="000279D6">
        <w:rPr>
          <w:rFonts w:ascii="Arial" w:hAnsi="Arial" w:cs="Arial"/>
          <w:sz w:val="24"/>
          <w:szCs w:val="24"/>
          <w:lang w:val="en-US"/>
        </w:rPr>
        <w:tab/>
      </w:r>
    </w:p>
    <w:p w14:paraId="1F8E4BCE" w14:textId="5F17D15A" w:rsidR="00073227" w:rsidRPr="000279D6" w:rsidRDefault="00073227" w:rsidP="00B05C8E">
      <w:pPr>
        <w:rPr>
          <w:rFonts w:ascii="Arial" w:hAnsi="Arial" w:cs="Arial"/>
          <w:b/>
          <w:sz w:val="24"/>
          <w:szCs w:val="24"/>
          <w:lang w:val="en-US"/>
        </w:rPr>
      </w:pPr>
    </w:p>
    <w:p w14:paraId="1E01CAF6" w14:textId="2C0822A3" w:rsidR="001D1240" w:rsidRDefault="008B02D3" w:rsidP="00B05C8E">
      <w:pPr>
        <w:rPr>
          <w:rFonts w:ascii="Arial" w:hAnsi="Arial" w:cs="Arial"/>
          <w:sz w:val="24"/>
          <w:szCs w:val="24"/>
          <w:lang w:val="en-US"/>
        </w:rPr>
      </w:pPr>
      <w:r>
        <w:rPr>
          <w:rFonts w:ascii="Arial" w:hAnsi="Arial" w:cs="Arial"/>
          <w:sz w:val="24"/>
          <w:szCs w:val="24"/>
          <w:lang w:val="en-US"/>
        </w:rPr>
        <w:t>[3</w:t>
      </w:r>
      <w:r w:rsidR="00544D74" w:rsidRPr="000279D6">
        <w:rPr>
          <w:rFonts w:ascii="Arial" w:hAnsi="Arial" w:cs="Arial"/>
          <w:sz w:val="24"/>
          <w:szCs w:val="24"/>
          <w:lang w:val="en-US"/>
        </w:rPr>
        <w:t>]</w:t>
      </w:r>
      <w:r w:rsidR="001D1240">
        <w:rPr>
          <w:rFonts w:ascii="Arial" w:hAnsi="Arial" w:cs="Arial"/>
          <w:sz w:val="24"/>
          <w:szCs w:val="24"/>
          <w:lang w:val="en-US"/>
        </w:rPr>
        <w:tab/>
        <w:t xml:space="preserve">Section 4(1) of the RAF Act provides: </w:t>
      </w:r>
    </w:p>
    <w:p w14:paraId="263C33C4" w14:textId="77777777" w:rsidR="001D1240" w:rsidRDefault="001D1240" w:rsidP="00B05C8E">
      <w:pPr>
        <w:rPr>
          <w:rFonts w:ascii="Arial" w:hAnsi="Arial" w:cs="Arial"/>
          <w:lang w:val="en-US"/>
        </w:rPr>
      </w:pPr>
      <w:r>
        <w:rPr>
          <w:rFonts w:ascii="Arial" w:hAnsi="Arial" w:cs="Arial"/>
          <w:lang w:val="en-US"/>
        </w:rPr>
        <w:t>‘The powers and functions of the Fund shall include-</w:t>
      </w:r>
    </w:p>
    <w:p w14:paraId="3F1FD630" w14:textId="4B5E44CF" w:rsidR="001D1240" w:rsidRDefault="001D1240" w:rsidP="00B05C8E">
      <w:pPr>
        <w:rPr>
          <w:rFonts w:ascii="Arial" w:hAnsi="Arial" w:cs="Arial"/>
          <w:lang w:val="en-US"/>
        </w:rPr>
      </w:pPr>
      <w:r>
        <w:rPr>
          <w:rFonts w:ascii="Arial" w:hAnsi="Arial" w:cs="Arial"/>
          <w:i/>
          <w:lang w:val="en-US"/>
        </w:rPr>
        <w:t>(a)</w:t>
      </w:r>
      <w:r>
        <w:rPr>
          <w:rFonts w:ascii="Arial" w:hAnsi="Arial" w:cs="Arial"/>
          <w:i/>
          <w:lang w:val="en-US"/>
        </w:rPr>
        <w:tab/>
      </w:r>
      <w:r>
        <w:rPr>
          <w:rFonts w:ascii="Arial" w:hAnsi="Arial" w:cs="Arial"/>
          <w:lang w:val="en-US"/>
        </w:rPr>
        <w:t>. . .</w:t>
      </w:r>
    </w:p>
    <w:p w14:paraId="7B846D33" w14:textId="51E7124B" w:rsidR="001D1240" w:rsidRDefault="001D1240" w:rsidP="00B05C8E">
      <w:pPr>
        <w:rPr>
          <w:rFonts w:ascii="Arial" w:hAnsi="Arial" w:cs="Arial"/>
          <w:lang w:val="en-US"/>
        </w:rPr>
      </w:pPr>
      <w:r>
        <w:rPr>
          <w:rFonts w:ascii="Arial" w:hAnsi="Arial" w:cs="Arial"/>
          <w:i/>
          <w:lang w:val="en-US"/>
        </w:rPr>
        <w:t>(b)</w:t>
      </w:r>
      <w:r>
        <w:rPr>
          <w:rFonts w:ascii="Arial" w:hAnsi="Arial" w:cs="Arial"/>
          <w:i/>
          <w:lang w:val="en-US"/>
        </w:rPr>
        <w:tab/>
      </w:r>
      <w:r>
        <w:rPr>
          <w:rFonts w:ascii="Arial" w:hAnsi="Arial" w:cs="Arial"/>
          <w:lang w:val="en-US"/>
        </w:rPr>
        <w:t xml:space="preserve">the investigation and settling, subject to this Act, of claims arising from loss or damage caused by the driving of a motor vehicle whether or not the identity of the owner or the driver thereof, or the identity of both the owner and the driver thereof, has been established; </w:t>
      </w:r>
    </w:p>
    <w:p w14:paraId="28B5B8D7" w14:textId="0329D7FA" w:rsidR="001D1240" w:rsidRDefault="001D1240" w:rsidP="00B05C8E">
      <w:pPr>
        <w:rPr>
          <w:rFonts w:ascii="Arial" w:hAnsi="Arial" w:cs="Arial"/>
          <w:lang w:val="en-US"/>
        </w:rPr>
      </w:pPr>
      <w:r>
        <w:rPr>
          <w:rFonts w:ascii="Arial" w:hAnsi="Arial" w:cs="Arial"/>
          <w:i/>
          <w:lang w:val="en-US"/>
        </w:rPr>
        <w:t>(c)</w:t>
      </w:r>
      <w:r>
        <w:rPr>
          <w:rFonts w:ascii="Arial" w:hAnsi="Arial" w:cs="Arial"/>
          <w:i/>
          <w:lang w:val="en-US"/>
        </w:rPr>
        <w:tab/>
      </w:r>
      <w:r>
        <w:rPr>
          <w:rFonts w:ascii="Arial" w:hAnsi="Arial" w:cs="Arial"/>
          <w:lang w:val="en-US"/>
        </w:rPr>
        <w:t xml:space="preserve">the management and utilisation of the money of the Fund for purposes connected with or resulting from the exercise of its powers or the performance of its duties; and </w:t>
      </w:r>
    </w:p>
    <w:p w14:paraId="774F43F2" w14:textId="107A2F2D" w:rsidR="001D1240" w:rsidRDefault="001D1240" w:rsidP="00B05C8E">
      <w:pPr>
        <w:rPr>
          <w:rFonts w:ascii="Arial" w:hAnsi="Arial" w:cs="Arial"/>
          <w:lang w:val="en-US"/>
        </w:rPr>
      </w:pPr>
      <w:r>
        <w:rPr>
          <w:rFonts w:ascii="Arial" w:hAnsi="Arial" w:cs="Arial"/>
          <w:i/>
          <w:lang w:val="en-US"/>
        </w:rPr>
        <w:t>(d)</w:t>
      </w:r>
      <w:r>
        <w:rPr>
          <w:rFonts w:ascii="Arial" w:hAnsi="Arial" w:cs="Arial"/>
          <w:i/>
          <w:lang w:val="en-US"/>
        </w:rPr>
        <w:tab/>
      </w:r>
      <w:r>
        <w:rPr>
          <w:rFonts w:ascii="Arial" w:hAnsi="Arial" w:cs="Arial"/>
          <w:lang w:val="en-US"/>
        </w:rPr>
        <w:t>. . .’</w:t>
      </w:r>
    </w:p>
    <w:p w14:paraId="7064C9E0" w14:textId="7C14C1F5" w:rsidR="00921A5F" w:rsidRDefault="00921A5F" w:rsidP="00B05C8E">
      <w:pPr>
        <w:rPr>
          <w:rFonts w:ascii="Arial" w:hAnsi="Arial" w:cs="Arial"/>
          <w:sz w:val="24"/>
          <w:szCs w:val="24"/>
          <w:lang w:val="en-US"/>
        </w:rPr>
      </w:pPr>
      <w:r>
        <w:rPr>
          <w:rFonts w:ascii="Arial" w:hAnsi="Arial" w:cs="Arial"/>
          <w:sz w:val="24"/>
          <w:szCs w:val="24"/>
          <w:lang w:val="en-US"/>
        </w:rPr>
        <w:t>In terms of s 15(1)</w:t>
      </w:r>
      <w:r>
        <w:rPr>
          <w:rFonts w:ascii="Arial" w:hAnsi="Arial" w:cs="Arial"/>
          <w:i/>
          <w:sz w:val="24"/>
          <w:szCs w:val="24"/>
          <w:lang w:val="en-US"/>
        </w:rPr>
        <w:t>(a)</w:t>
      </w:r>
      <w:r>
        <w:rPr>
          <w:rFonts w:ascii="Arial" w:hAnsi="Arial" w:cs="Arial"/>
          <w:sz w:val="24"/>
          <w:szCs w:val="24"/>
          <w:lang w:val="en-US"/>
        </w:rPr>
        <w:t xml:space="preserve"> the RAF may institute and defend legal proceedings. Section 15(1)</w:t>
      </w:r>
      <w:r>
        <w:rPr>
          <w:rFonts w:ascii="Arial" w:hAnsi="Arial" w:cs="Arial"/>
          <w:i/>
          <w:sz w:val="24"/>
          <w:szCs w:val="24"/>
          <w:lang w:val="en-US"/>
        </w:rPr>
        <w:t xml:space="preserve">(b) </w:t>
      </w:r>
      <w:r>
        <w:rPr>
          <w:rFonts w:ascii="Arial" w:hAnsi="Arial" w:cs="Arial"/>
          <w:sz w:val="24"/>
          <w:szCs w:val="24"/>
          <w:lang w:val="en-US"/>
        </w:rPr>
        <w:t xml:space="preserve">provides that the RAF may ‘commence, conduct, defend or abandon legal proceedings in connection with claims investigated and settled by it’. </w:t>
      </w:r>
    </w:p>
    <w:p w14:paraId="120F542A" w14:textId="77777777" w:rsidR="00AE658D" w:rsidRDefault="00AE658D" w:rsidP="00B05C8E">
      <w:pPr>
        <w:rPr>
          <w:rFonts w:ascii="Arial" w:hAnsi="Arial" w:cs="Arial"/>
          <w:sz w:val="24"/>
          <w:szCs w:val="24"/>
          <w:lang w:val="en-US"/>
        </w:rPr>
      </w:pPr>
    </w:p>
    <w:p w14:paraId="2CB55DC2" w14:textId="53663FCD" w:rsidR="00E309EE" w:rsidRPr="00C3442F" w:rsidRDefault="00AE658D" w:rsidP="00B05C8E">
      <w:pPr>
        <w:rPr>
          <w:rFonts w:ascii="Arial" w:hAnsi="Arial" w:cs="Arial"/>
          <w:b/>
          <w:sz w:val="24"/>
          <w:szCs w:val="24"/>
          <w:lang w:val="en-US"/>
        </w:rPr>
      </w:pPr>
      <w:r w:rsidRPr="00C3442F">
        <w:rPr>
          <w:rFonts w:ascii="Arial" w:hAnsi="Arial" w:cs="Arial"/>
          <w:b/>
          <w:sz w:val="24"/>
          <w:szCs w:val="24"/>
          <w:lang w:val="en-US"/>
        </w:rPr>
        <w:t>The Taylor matter</w:t>
      </w:r>
    </w:p>
    <w:p w14:paraId="1436C256" w14:textId="6F7F5EAE" w:rsidR="00DA05E7" w:rsidRPr="000279D6" w:rsidRDefault="008B02D3" w:rsidP="00614F9D">
      <w:pPr>
        <w:rPr>
          <w:rFonts w:ascii="Arial" w:hAnsi="Arial" w:cs="Arial"/>
          <w:sz w:val="24"/>
          <w:szCs w:val="24"/>
          <w:lang w:val="en-US"/>
        </w:rPr>
      </w:pPr>
      <w:r>
        <w:rPr>
          <w:rFonts w:ascii="Arial" w:hAnsi="Arial" w:cs="Arial"/>
          <w:sz w:val="24"/>
          <w:szCs w:val="24"/>
          <w:lang w:val="en-US"/>
        </w:rPr>
        <w:t>[4</w:t>
      </w:r>
      <w:r w:rsidR="00E309EE" w:rsidRPr="000279D6">
        <w:rPr>
          <w:rFonts w:ascii="Arial" w:hAnsi="Arial" w:cs="Arial"/>
          <w:sz w:val="24"/>
          <w:szCs w:val="24"/>
          <w:lang w:val="en-US"/>
        </w:rPr>
        <w:t>]</w:t>
      </w:r>
      <w:r w:rsidR="00E309EE" w:rsidRPr="000279D6">
        <w:rPr>
          <w:rFonts w:ascii="Arial" w:hAnsi="Arial" w:cs="Arial"/>
          <w:sz w:val="24"/>
          <w:szCs w:val="24"/>
          <w:lang w:val="en-US"/>
        </w:rPr>
        <w:tab/>
      </w:r>
      <w:r w:rsidR="00E323CB" w:rsidRPr="000279D6">
        <w:rPr>
          <w:rFonts w:ascii="Arial" w:hAnsi="Arial" w:cs="Arial"/>
          <w:sz w:val="24"/>
          <w:szCs w:val="24"/>
          <w:lang w:val="en-US"/>
        </w:rPr>
        <w:t xml:space="preserve"> </w:t>
      </w:r>
      <w:r w:rsidR="00C3442F">
        <w:rPr>
          <w:rFonts w:ascii="Arial" w:hAnsi="Arial" w:cs="Arial"/>
          <w:sz w:val="24"/>
          <w:szCs w:val="24"/>
          <w:lang w:val="en-US"/>
        </w:rPr>
        <w:t xml:space="preserve">During September 2018, Ms Marilyn Doris Taylor, represented by De Broglio Attorneys Incorporated (De Broglio Inc), instituted an action against the RAF. She alleged that she had sustained injuries </w:t>
      </w:r>
      <w:r w:rsidR="00DD7F68">
        <w:rPr>
          <w:rFonts w:ascii="Arial" w:hAnsi="Arial" w:cs="Arial"/>
          <w:sz w:val="24"/>
          <w:szCs w:val="24"/>
          <w:lang w:val="en-US"/>
        </w:rPr>
        <w:t xml:space="preserve">in a motor vehicle accident, </w:t>
      </w:r>
      <w:r w:rsidR="00C3442F">
        <w:rPr>
          <w:rFonts w:ascii="Arial" w:hAnsi="Arial" w:cs="Arial"/>
          <w:sz w:val="24"/>
          <w:szCs w:val="24"/>
          <w:lang w:val="en-US"/>
        </w:rPr>
        <w:t xml:space="preserve">which entitled her to compensation under the RAF Act in respect of, </w:t>
      </w:r>
      <w:r w:rsidR="00C3442F" w:rsidRPr="00C3442F">
        <w:rPr>
          <w:rFonts w:ascii="Arial" w:hAnsi="Arial" w:cs="Arial"/>
          <w:i/>
          <w:sz w:val="24"/>
          <w:szCs w:val="24"/>
          <w:lang w:val="en-US"/>
        </w:rPr>
        <w:t>inter alia</w:t>
      </w:r>
      <w:r w:rsidR="00DD7F68">
        <w:rPr>
          <w:rFonts w:ascii="Arial" w:hAnsi="Arial" w:cs="Arial"/>
          <w:sz w:val="24"/>
          <w:szCs w:val="24"/>
          <w:lang w:val="en-US"/>
        </w:rPr>
        <w:t xml:space="preserve">, future loss of earnings, </w:t>
      </w:r>
      <w:r w:rsidR="00C3442F">
        <w:rPr>
          <w:rFonts w:ascii="Arial" w:hAnsi="Arial" w:cs="Arial"/>
          <w:sz w:val="24"/>
          <w:szCs w:val="24"/>
          <w:lang w:val="en-US"/>
        </w:rPr>
        <w:t>pain and suffering, disfigurement, inconvenience and loss of ameni</w:t>
      </w:r>
      <w:r w:rsidR="00EE02DA">
        <w:rPr>
          <w:rFonts w:ascii="Arial" w:hAnsi="Arial" w:cs="Arial"/>
          <w:sz w:val="24"/>
          <w:szCs w:val="24"/>
          <w:lang w:val="en-US"/>
        </w:rPr>
        <w:t xml:space="preserve">ties of life (general damages). The RAF entered an appearance to defend the action. In due course, De </w:t>
      </w:r>
      <w:r w:rsidR="00EE02DA">
        <w:rPr>
          <w:rFonts w:ascii="Arial" w:hAnsi="Arial" w:cs="Arial"/>
          <w:sz w:val="24"/>
          <w:szCs w:val="24"/>
          <w:lang w:val="en-US"/>
        </w:rPr>
        <w:lastRenderedPageBreak/>
        <w:t xml:space="preserve">Broglio Inc therefore delivered various expert reports. These included reports assessing the seriousness of Ms Taylor’s injuries </w:t>
      </w:r>
      <w:r w:rsidR="003400B3">
        <w:rPr>
          <w:rFonts w:ascii="Arial" w:hAnsi="Arial" w:cs="Arial"/>
          <w:sz w:val="24"/>
          <w:szCs w:val="24"/>
          <w:lang w:val="en-US"/>
        </w:rPr>
        <w:t xml:space="preserve">prepared </w:t>
      </w:r>
      <w:r w:rsidR="00EE02DA">
        <w:rPr>
          <w:rFonts w:ascii="Arial" w:hAnsi="Arial" w:cs="Arial"/>
          <w:sz w:val="24"/>
          <w:szCs w:val="24"/>
          <w:lang w:val="en-US"/>
        </w:rPr>
        <w:t>by a general practitioner (Dr Kevi</w:t>
      </w:r>
      <w:r w:rsidR="00CB3A2B">
        <w:rPr>
          <w:rFonts w:ascii="Arial" w:hAnsi="Arial" w:cs="Arial"/>
          <w:sz w:val="24"/>
          <w:szCs w:val="24"/>
          <w:lang w:val="en-US"/>
        </w:rPr>
        <w:t xml:space="preserve">n Scheepers), as well as </w:t>
      </w:r>
      <w:r w:rsidR="00586DE4">
        <w:rPr>
          <w:rFonts w:ascii="Arial" w:hAnsi="Arial" w:cs="Arial"/>
          <w:sz w:val="24"/>
          <w:szCs w:val="24"/>
          <w:lang w:val="en-US"/>
        </w:rPr>
        <w:t xml:space="preserve">the </w:t>
      </w:r>
      <w:r w:rsidR="00CB3A2B">
        <w:rPr>
          <w:rFonts w:ascii="Arial" w:hAnsi="Arial" w:cs="Arial"/>
          <w:sz w:val="24"/>
          <w:szCs w:val="24"/>
          <w:lang w:val="en-US"/>
        </w:rPr>
        <w:t>medico</w:t>
      </w:r>
      <w:r w:rsidR="00EE02DA">
        <w:rPr>
          <w:rFonts w:ascii="Arial" w:hAnsi="Arial" w:cs="Arial"/>
          <w:sz w:val="24"/>
          <w:szCs w:val="24"/>
          <w:lang w:val="en-US"/>
        </w:rPr>
        <w:t xml:space="preserve">-legal reports </w:t>
      </w:r>
      <w:r w:rsidR="003400B3">
        <w:rPr>
          <w:rFonts w:ascii="Arial" w:hAnsi="Arial" w:cs="Arial"/>
          <w:sz w:val="24"/>
          <w:szCs w:val="24"/>
          <w:lang w:val="en-US"/>
        </w:rPr>
        <w:t>of</w:t>
      </w:r>
      <w:r w:rsidR="00EE02DA">
        <w:rPr>
          <w:rFonts w:ascii="Arial" w:hAnsi="Arial" w:cs="Arial"/>
          <w:sz w:val="24"/>
          <w:szCs w:val="24"/>
          <w:lang w:val="en-US"/>
        </w:rPr>
        <w:t xml:space="preserve"> an orthopaedic surgeon, occupational therapist and industrial psychologist. It also delivered </w:t>
      </w:r>
      <w:r w:rsidR="00586DE4">
        <w:rPr>
          <w:rFonts w:ascii="Arial" w:hAnsi="Arial" w:cs="Arial"/>
          <w:sz w:val="24"/>
          <w:szCs w:val="24"/>
          <w:lang w:val="en-US"/>
        </w:rPr>
        <w:t>the</w:t>
      </w:r>
      <w:r w:rsidR="00EE02DA">
        <w:rPr>
          <w:rFonts w:ascii="Arial" w:hAnsi="Arial" w:cs="Arial"/>
          <w:sz w:val="24"/>
          <w:szCs w:val="24"/>
          <w:lang w:val="en-US"/>
        </w:rPr>
        <w:t xml:space="preserve"> report </w:t>
      </w:r>
      <w:r w:rsidR="003400B3">
        <w:rPr>
          <w:rFonts w:ascii="Arial" w:hAnsi="Arial" w:cs="Arial"/>
          <w:sz w:val="24"/>
          <w:szCs w:val="24"/>
          <w:lang w:val="en-US"/>
        </w:rPr>
        <w:t>of</w:t>
      </w:r>
      <w:r w:rsidR="00EE02DA">
        <w:rPr>
          <w:rFonts w:ascii="Arial" w:hAnsi="Arial" w:cs="Arial"/>
          <w:sz w:val="24"/>
          <w:szCs w:val="24"/>
          <w:lang w:val="en-US"/>
        </w:rPr>
        <w:t xml:space="preserve"> an actuary, Mr Ivan Kramer. This report typically reflected actuarial </w:t>
      </w:r>
      <w:r w:rsidR="008B6AAE">
        <w:rPr>
          <w:rFonts w:ascii="Arial" w:hAnsi="Arial" w:cs="Arial"/>
          <w:sz w:val="24"/>
          <w:szCs w:val="24"/>
          <w:lang w:val="en-US"/>
        </w:rPr>
        <w:t xml:space="preserve">calculations of future loss of earnings based on information that had been provided to the actuary. </w:t>
      </w:r>
      <w:r w:rsidR="00EE02DA">
        <w:rPr>
          <w:rFonts w:ascii="Arial" w:hAnsi="Arial" w:cs="Arial"/>
          <w:sz w:val="24"/>
          <w:szCs w:val="24"/>
          <w:lang w:val="en-US"/>
        </w:rPr>
        <w:t xml:space="preserve">   </w:t>
      </w:r>
    </w:p>
    <w:p w14:paraId="2E5ED6B1" w14:textId="77777777" w:rsidR="00E7164F" w:rsidRPr="000279D6" w:rsidRDefault="00E7164F" w:rsidP="00B05C8E">
      <w:pPr>
        <w:rPr>
          <w:rFonts w:ascii="Arial" w:hAnsi="Arial" w:cs="Arial"/>
          <w:sz w:val="24"/>
          <w:szCs w:val="24"/>
          <w:lang w:val="en-US"/>
        </w:rPr>
      </w:pPr>
    </w:p>
    <w:p w14:paraId="78AC22F9" w14:textId="114E4A7A" w:rsidR="0070337D" w:rsidRPr="000279D6" w:rsidRDefault="008B02D3" w:rsidP="0070337D">
      <w:pPr>
        <w:rPr>
          <w:rFonts w:ascii="Arial" w:hAnsi="Arial" w:cs="Arial"/>
          <w:lang w:val="en-US"/>
        </w:rPr>
      </w:pPr>
      <w:r>
        <w:rPr>
          <w:rFonts w:ascii="Arial" w:hAnsi="Arial" w:cs="Arial"/>
          <w:sz w:val="24"/>
          <w:szCs w:val="24"/>
          <w:lang w:val="en-US"/>
        </w:rPr>
        <w:t>[5</w:t>
      </w:r>
      <w:r w:rsidR="00E7164F" w:rsidRPr="000279D6">
        <w:rPr>
          <w:rFonts w:ascii="Arial" w:hAnsi="Arial" w:cs="Arial"/>
          <w:sz w:val="24"/>
          <w:szCs w:val="24"/>
          <w:lang w:val="en-US"/>
        </w:rPr>
        <w:t>]</w:t>
      </w:r>
      <w:r w:rsidR="00E7164F" w:rsidRPr="000279D6">
        <w:rPr>
          <w:rFonts w:ascii="Arial" w:hAnsi="Arial" w:cs="Arial"/>
          <w:sz w:val="24"/>
          <w:szCs w:val="24"/>
          <w:lang w:val="en-US"/>
        </w:rPr>
        <w:tab/>
      </w:r>
      <w:r w:rsidR="008B6AAE">
        <w:rPr>
          <w:rFonts w:ascii="Arial" w:hAnsi="Arial" w:cs="Arial"/>
          <w:sz w:val="24"/>
          <w:szCs w:val="24"/>
          <w:lang w:val="en-US"/>
        </w:rPr>
        <w:t>The matter was enrolled for trial for 12 October 2020. By then negotiations for a settlement had commenced. De Broglio Inc assigned a candidate attor</w:t>
      </w:r>
      <w:r w:rsidR="001D0A80">
        <w:rPr>
          <w:rFonts w:ascii="Arial" w:hAnsi="Arial" w:cs="Arial"/>
          <w:sz w:val="24"/>
          <w:szCs w:val="24"/>
          <w:lang w:val="en-US"/>
        </w:rPr>
        <w:t>ney in its employ, Ms Zandelee d</w:t>
      </w:r>
      <w:r w:rsidR="008B6AAE">
        <w:rPr>
          <w:rFonts w:ascii="Arial" w:hAnsi="Arial" w:cs="Arial"/>
          <w:sz w:val="24"/>
          <w:szCs w:val="24"/>
          <w:lang w:val="en-US"/>
        </w:rPr>
        <w:t>e Swardt, to deal with the matter and briefed counsel, Mr Michael van den Barselaar, to represent Ms Taylor at the trial. On 13 October 2020, the matter was allocated to Fisher J</w:t>
      </w:r>
      <w:r w:rsidR="00E11358">
        <w:rPr>
          <w:rFonts w:ascii="Arial" w:hAnsi="Arial" w:cs="Arial"/>
          <w:sz w:val="24"/>
          <w:szCs w:val="24"/>
          <w:lang w:val="en-US"/>
        </w:rPr>
        <w:t xml:space="preserve">. Subsequently, however, Ms Taylor accepted an offer by the RAF in full and final settlement of her claims. The settlement </w:t>
      </w:r>
      <w:r w:rsidR="00E11358" w:rsidRPr="00E11358">
        <w:rPr>
          <w:rFonts w:ascii="Arial" w:hAnsi="Arial" w:cs="Arial"/>
          <w:i/>
          <w:sz w:val="24"/>
          <w:szCs w:val="24"/>
          <w:lang w:val="en-US"/>
        </w:rPr>
        <w:t>inter alia</w:t>
      </w:r>
      <w:r w:rsidR="00E11358">
        <w:rPr>
          <w:rFonts w:ascii="Arial" w:hAnsi="Arial" w:cs="Arial"/>
          <w:sz w:val="24"/>
          <w:szCs w:val="24"/>
          <w:lang w:val="en-US"/>
        </w:rPr>
        <w:t xml:space="preserve"> provided that the RAF would pay compensation to Ms Taylor in the amount of R1.3 million. </w:t>
      </w:r>
    </w:p>
    <w:p w14:paraId="15F0F15B" w14:textId="77777777" w:rsidR="0018044B" w:rsidRPr="000279D6" w:rsidRDefault="0018044B" w:rsidP="00B05C8E">
      <w:pPr>
        <w:rPr>
          <w:rFonts w:ascii="Arial" w:hAnsi="Arial" w:cs="Arial"/>
          <w:sz w:val="24"/>
          <w:szCs w:val="24"/>
          <w:lang w:val="en-US"/>
        </w:rPr>
      </w:pPr>
    </w:p>
    <w:p w14:paraId="5767DC1E" w14:textId="65E971C3" w:rsidR="0070337D" w:rsidRPr="000279D6" w:rsidRDefault="008B02D3" w:rsidP="0070337D">
      <w:pPr>
        <w:rPr>
          <w:rFonts w:ascii="Arial" w:hAnsi="Arial" w:cs="Arial"/>
          <w:lang w:val="en-US"/>
        </w:rPr>
      </w:pPr>
      <w:r>
        <w:rPr>
          <w:rFonts w:ascii="Arial" w:hAnsi="Arial" w:cs="Arial"/>
          <w:sz w:val="24"/>
          <w:szCs w:val="24"/>
          <w:lang w:val="en-US"/>
        </w:rPr>
        <w:t>[6</w:t>
      </w:r>
      <w:r w:rsidR="0018044B" w:rsidRPr="000279D6">
        <w:rPr>
          <w:rFonts w:ascii="Arial" w:hAnsi="Arial" w:cs="Arial"/>
          <w:sz w:val="24"/>
          <w:szCs w:val="24"/>
          <w:lang w:val="en-US"/>
        </w:rPr>
        <w:t>]</w:t>
      </w:r>
      <w:r w:rsidR="0018044B" w:rsidRPr="000279D6">
        <w:rPr>
          <w:rFonts w:ascii="Arial" w:hAnsi="Arial" w:cs="Arial"/>
          <w:sz w:val="24"/>
          <w:szCs w:val="24"/>
          <w:lang w:val="en-US"/>
        </w:rPr>
        <w:tab/>
      </w:r>
      <w:r w:rsidR="00E11358">
        <w:rPr>
          <w:rFonts w:ascii="Arial" w:hAnsi="Arial" w:cs="Arial"/>
          <w:sz w:val="24"/>
          <w:szCs w:val="24"/>
          <w:lang w:val="en-US"/>
        </w:rPr>
        <w:t xml:space="preserve">In the light hereof, the parties approached Fisher J on 14 October 2020, for an order removing the matter from the roll. At the insistence of Fisher J, the senior claims manager of the RAF, who had approved the settlement, attended the hearing. In answer to questions by Fisher J, he told the court that he was an admitted attorney with 19 years’ experience in the field and explained how the settlement came about. Despite </w:t>
      </w:r>
      <w:r w:rsidR="008F7466">
        <w:rPr>
          <w:rFonts w:ascii="Arial" w:hAnsi="Arial" w:cs="Arial"/>
          <w:sz w:val="24"/>
          <w:szCs w:val="24"/>
          <w:lang w:val="en-US"/>
        </w:rPr>
        <w:t>a</w:t>
      </w:r>
      <w:r w:rsidR="00E11358">
        <w:rPr>
          <w:rFonts w:ascii="Arial" w:hAnsi="Arial" w:cs="Arial"/>
          <w:sz w:val="24"/>
          <w:szCs w:val="24"/>
          <w:lang w:val="en-US"/>
        </w:rPr>
        <w:t xml:space="preserve"> valiant effort by Mr Van den Barselaar to obtain the order that both parties</w:t>
      </w:r>
      <w:r w:rsidR="00A25234">
        <w:rPr>
          <w:rFonts w:ascii="Arial" w:hAnsi="Arial" w:cs="Arial"/>
          <w:sz w:val="24"/>
          <w:szCs w:val="24"/>
          <w:lang w:val="en-US"/>
        </w:rPr>
        <w:t xml:space="preserve"> sought, the court was unmoved. It appeared that this stance was motivated by concerns about the propriety of the settlement amount of R1.3 million. </w:t>
      </w:r>
    </w:p>
    <w:p w14:paraId="0A88EA3B" w14:textId="77777777" w:rsidR="00377DA5" w:rsidRPr="000279D6" w:rsidRDefault="00377DA5" w:rsidP="00B05C8E">
      <w:pPr>
        <w:rPr>
          <w:rFonts w:ascii="Arial" w:hAnsi="Arial" w:cs="Arial"/>
          <w:lang w:val="en-US"/>
        </w:rPr>
      </w:pPr>
    </w:p>
    <w:p w14:paraId="4838592B" w14:textId="564A1736" w:rsidR="00CC3DF6" w:rsidRDefault="008B02D3" w:rsidP="00614F9D">
      <w:pPr>
        <w:rPr>
          <w:rFonts w:ascii="Arial" w:hAnsi="Arial" w:cs="Arial"/>
          <w:sz w:val="24"/>
          <w:szCs w:val="24"/>
          <w:lang w:val="en-US"/>
        </w:rPr>
      </w:pPr>
      <w:r>
        <w:rPr>
          <w:rFonts w:ascii="Arial" w:hAnsi="Arial" w:cs="Arial"/>
          <w:sz w:val="24"/>
          <w:szCs w:val="24"/>
          <w:lang w:val="en-US"/>
        </w:rPr>
        <w:t>[7</w:t>
      </w:r>
      <w:r w:rsidR="0018044B" w:rsidRPr="000279D6">
        <w:rPr>
          <w:rFonts w:ascii="Arial" w:hAnsi="Arial" w:cs="Arial"/>
          <w:sz w:val="24"/>
          <w:szCs w:val="24"/>
          <w:lang w:val="en-US"/>
        </w:rPr>
        <w:t>]</w:t>
      </w:r>
      <w:r w:rsidR="0018044B" w:rsidRPr="000279D6">
        <w:rPr>
          <w:rFonts w:ascii="Arial" w:hAnsi="Arial" w:cs="Arial"/>
          <w:sz w:val="24"/>
          <w:szCs w:val="24"/>
          <w:lang w:val="en-US"/>
        </w:rPr>
        <w:tab/>
      </w:r>
      <w:r w:rsidR="00821A50" w:rsidRPr="000279D6">
        <w:rPr>
          <w:rFonts w:ascii="Arial" w:hAnsi="Arial" w:cs="Arial"/>
          <w:sz w:val="24"/>
          <w:szCs w:val="24"/>
          <w:lang w:val="en-US"/>
        </w:rPr>
        <w:t xml:space="preserve"> </w:t>
      </w:r>
      <w:r w:rsidR="00A25234">
        <w:rPr>
          <w:rFonts w:ascii="Arial" w:hAnsi="Arial" w:cs="Arial"/>
          <w:sz w:val="24"/>
          <w:szCs w:val="24"/>
          <w:lang w:val="en-US"/>
        </w:rPr>
        <w:t>Ultimately Fisher J postponed the matter to 3 November 2020 and</w:t>
      </w:r>
      <w:r w:rsidR="004A5787">
        <w:rPr>
          <w:rFonts w:ascii="Arial" w:hAnsi="Arial" w:cs="Arial"/>
          <w:sz w:val="24"/>
          <w:szCs w:val="24"/>
          <w:lang w:val="en-US"/>
        </w:rPr>
        <w:t xml:space="preserve"> directed that argument be presented on that day on four questions, formulated as follows: </w:t>
      </w:r>
    </w:p>
    <w:p w14:paraId="7A7587B8" w14:textId="50A874B8" w:rsidR="004A5787" w:rsidRDefault="004A5787" w:rsidP="00614F9D">
      <w:pPr>
        <w:rPr>
          <w:rFonts w:ascii="Arial" w:hAnsi="Arial" w:cs="Arial"/>
          <w:lang w:val="en-US"/>
        </w:rPr>
      </w:pPr>
      <w:r>
        <w:rPr>
          <w:rFonts w:ascii="Arial" w:hAnsi="Arial" w:cs="Arial"/>
          <w:lang w:val="en-US"/>
        </w:rPr>
        <w:t>‘</w:t>
      </w:r>
      <w:r w:rsidR="006C473B">
        <w:rPr>
          <w:rFonts w:ascii="Arial" w:hAnsi="Arial" w:cs="Arial"/>
          <w:lang w:val="en-US"/>
        </w:rPr>
        <w:t>(a)</w:t>
      </w:r>
      <w:r w:rsidR="006C473B">
        <w:rPr>
          <w:rFonts w:ascii="Arial" w:hAnsi="Arial" w:cs="Arial"/>
          <w:lang w:val="en-US"/>
        </w:rPr>
        <w:tab/>
        <w:t>Is there a settlement in</w:t>
      </w:r>
      <w:r w:rsidR="00EC1880">
        <w:rPr>
          <w:rFonts w:ascii="Arial" w:hAnsi="Arial" w:cs="Arial"/>
          <w:lang w:val="en-US"/>
        </w:rPr>
        <w:t xml:space="preserve"> this case of the claim on behalf of the Plaintiff?</w:t>
      </w:r>
    </w:p>
    <w:p w14:paraId="2B3A5875" w14:textId="12F706B5" w:rsidR="00EC1880" w:rsidRDefault="00EC1880" w:rsidP="00EC1880">
      <w:pPr>
        <w:ind w:left="720" w:hanging="720"/>
        <w:rPr>
          <w:rFonts w:ascii="Arial" w:hAnsi="Arial" w:cs="Arial"/>
          <w:lang w:val="en-US"/>
        </w:rPr>
      </w:pPr>
      <w:r>
        <w:rPr>
          <w:rFonts w:ascii="Arial" w:hAnsi="Arial" w:cs="Arial"/>
          <w:lang w:val="en-US"/>
        </w:rPr>
        <w:t>(b)</w:t>
      </w:r>
      <w:r>
        <w:rPr>
          <w:rFonts w:ascii="Arial" w:hAnsi="Arial" w:cs="Arial"/>
          <w:lang w:val="en-US"/>
        </w:rPr>
        <w:tab/>
        <w:t>Is the RAF entitled to settle a matter with a plaintiff without judicial approval of a settlement?</w:t>
      </w:r>
    </w:p>
    <w:p w14:paraId="29C90F51" w14:textId="308DBB11" w:rsidR="00EC1880" w:rsidRDefault="00EC1880" w:rsidP="00EC1880">
      <w:pPr>
        <w:ind w:left="720" w:hanging="720"/>
        <w:rPr>
          <w:rFonts w:ascii="Arial" w:hAnsi="Arial" w:cs="Arial"/>
          <w:lang w:val="en-US"/>
        </w:rPr>
      </w:pPr>
      <w:r>
        <w:rPr>
          <w:rFonts w:ascii="Arial" w:hAnsi="Arial" w:cs="Arial"/>
          <w:lang w:val="en-US"/>
        </w:rPr>
        <w:t>(c)</w:t>
      </w:r>
      <w:r>
        <w:rPr>
          <w:rFonts w:ascii="Arial" w:hAnsi="Arial" w:cs="Arial"/>
          <w:lang w:val="en-US"/>
        </w:rPr>
        <w:tab/>
        <w:t>If the answer to (b) is yes then are there any limitations or requirements in relation to such settlement?</w:t>
      </w:r>
    </w:p>
    <w:p w14:paraId="484E3C5D" w14:textId="7853C0CA" w:rsidR="00EC1880" w:rsidRDefault="00EC1880" w:rsidP="00EC1880">
      <w:pPr>
        <w:ind w:left="720" w:hanging="720"/>
        <w:rPr>
          <w:rFonts w:ascii="Arial" w:hAnsi="Arial" w:cs="Arial"/>
          <w:lang w:val="en-US"/>
        </w:rPr>
      </w:pPr>
      <w:r>
        <w:rPr>
          <w:rFonts w:ascii="Arial" w:hAnsi="Arial" w:cs="Arial"/>
          <w:lang w:val="en-US"/>
        </w:rPr>
        <w:t>(d)</w:t>
      </w:r>
      <w:r>
        <w:rPr>
          <w:rFonts w:ascii="Arial" w:hAnsi="Arial" w:cs="Arial"/>
          <w:lang w:val="en-US"/>
        </w:rPr>
        <w:tab/>
        <w:t>Is the fact that the matter is on the roll before a judge an indicator that the Court may exercise judicial oversight to determine if a settlement is proper</w:t>
      </w:r>
      <w:r w:rsidR="00E638CB">
        <w:rPr>
          <w:rFonts w:ascii="Arial" w:hAnsi="Arial" w:cs="Arial"/>
          <w:lang w:val="en-US"/>
        </w:rPr>
        <w:t>?’</w:t>
      </w:r>
    </w:p>
    <w:p w14:paraId="34C94F1C" w14:textId="7F910C49" w:rsidR="00AC6AA6" w:rsidRPr="00E638CB" w:rsidRDefault="00E638CB" w:rsidP="00B05C8E">
      <w:pPr>
        <w:rPr>
          <w:rFonts w:ascii="Arial" w:hAnsi="Arial" w:cs="Arial"/>
          <w:b/>
          <w:sz w:val="24"/>
          <w:szCs w:val="24"/>
          <w:lang w:val="en-US"/>
        </w:rPr>
      </w:pPr>
      <w:r w:rsidRPr="00E638CB">
        <w:rPr>
          <w:rFonts w:ascii="Arial" w:hAnsi="Arial" w:cs="Arial"/>
          <w:b/>
          <w:sz w:val="24"/>
          <w:szCs w:val="24"/>
          <w:lang w:val="en-US"/>
        </w:rPr>
        <w:lastRenderedPageBreak/>
        <w:t>The Mathonsi matter</w:t>
      </w:r>
    </w:p>
    <w:p w14:paraId="29ECB4BF" w14:textId="08EE5E0B" w:rsidR="00AC6AA6" w:rsidRPr="000279D6" w:rsidRDefault="008B02D3" w:rsidP="00614F9D">
      <w:pPr>
        <w:rPr>
          <w:rFonts w:ascii="Arial" w:hAnsi="Arial" w:cs="Arial"/>
          <w:sz w:val="24"/>
          <w:szCs w:val="24"/>
          <w:lang w:val="en-US"/>
        </w:rPr>
      </w:pPr>
      <w:r>
        <w:rPr>
          <w:rFonts w:ascii="Arial" w:hAnsi="Arial" w:cs="Arial"/>
          <w:sz w:val="24"/>
          <w:szCs w:val="24"/>
          <w:lang w:val="en-US"/>
        </w:rPr>
        <w:t>[8</w:t>
      </w:r>
      <w:r w:rsidR="00AC6AA6" w:rsidRPr="000279D6">
        <w:rPr>
          <w:rFonts w:ascii="Arial" w:hAnsi="Arial" w:cs="Arial"/>
          <w:sz w:val="24"/>
          <w:szCs w:val="24"/>
          <w:lang w:val="en-US"/>
        </w:rPr>
        <w:t>]</w:t>
      </w:r>
      <w:r w:rsidR="00AC6AA6" w:rsidRPr="000279D6">
        <w:rPr>
          <w:rFonts w:ascii="Arial" w:hAnsi="Arial" w:cs="Arial"/>
          <w:sz w:val="24"/>
          <w:szCs w:val="24"/>
          <w:lang w:val="en-US"/>
        </w:rPr>
        <w:tab/>
      </w:r>
      <w:r w:rsidR="00C33CE1" w:rsidRPr="000279D6">
        <w:rPr>
          <w:rFonts w:ascii="Arial" w:hAnsi="Arial" w:cs="Arial"/>
          <w:sz w:val="24"/>
          <w:szCs w:val="24"/>
          <w:lang w:val="en-US"/>
        </w:rPr>
        <w:t xml:space="preserve"> </w:t>
      </w:r>
      <w:r w:rsidR="001D128E">
        <w:rPr>
          <w:rFonts w:ascii="Arial" w:hAnsi="Arial" w:cs="Arial"/>
          <w:sz w:val="24"/>
          <w:szCs w:val="24"/>
          <w:lang w:val="en-US"/>
        </w:rPr>
        <w:t xml:space="preserve">Mr Hlengani Victor Mathonsi also sustained injuries caused by the driving of a motor vehicle. He accordingly issued summons against the RAF for payment of compensation in respect of, </w:t>
      </w:r>
      <w:r w:rsidR="001D128E" w:rsidRPr="001D128E">
        <w:rPr>
          <w:rFonts w:ascii="Arial" w:hAnsi="Arial" w:cs="Arial"/>
          <w:i/>
          <w:sz w:val="24"/>
          <w:szCs w:val="24"/>
          <w:lang w:val="en-US"/>
        </w:rPr>
        <w:t>inter alia</w:t>
      </w:r>
      <w:r w:rsidR="001D128E">
        <w:rPr>
          <w:rFonts w:ascii="Arial" w:hAnsi="Arial" w:cs="Arial"/>
          <w:sz w:val="24"/>
          <w:szCs w:val="24"/>
          <w:lang w:val="en-US"/>
        </w:rPr>
        <w:t xml:space="preserve">, future loss of earnings and general damages. Mr Mathonsi was also represented by De Broglio Inc. The RAF defended the action. De Broglio Inc proceeded to deliver serious injury assessment reports </w:t>
      </w:r>
      <w:r w:rsidR="00586DE4">
        <w:rPr>
          <w:rFonts w:ascii="Arial" w:hAnsi="Arial" w:cs="Arial"/>
          <w:sz w:val="24"/>
          <w:szCs w:val="24"/>
          <w:lang w:val="en-US"/>
        </w:rPr>
        <w:t>prepared by</w:t>
      </w:r>
      <w:r w:rsidR="001D128E">
        <w:rPr>
          <w:rFonts w:ascii="Arial" w:hAnsi="Arial" w:cs="Arial"/>
          <w:sz w:val="24"/>
          <w:szCs w:val="24"/>
          <w:lang w:val="en-US"/>
        </w:rPr>
        <w:t xml:space="preserve"> Dr Scheepers, as well as </w:t>
      </w:r>
      <w:r w:rsidR="00586DE4">
        <w:rPr>
          <w:rFonts w:ascii="Arial" w:hAnsi="Arial" w:cs="Arial"/>
          <w:sz w:val="24"/>
          <w:szCs w:val="24"/>
          <w:lang w:val="en-US"/>
        </w:rPr>
        <w:t xml:space="preserve">the </w:t>
      </w:r>
      <w:r w:rsidR="001D128E">
        <w:rPr>
          <w:rFonts w:ascii="Arial" w:hAnsi="Arial" w:cs="Arial"/>
          <w:sz w:val="24"/>
          <w:szCs w:val="24"/>
          <w:lang w:val="en-US"/>
        </w:rPr>
        <w:t>medico-legal</w:t>
      </w:r>
      <w:r w:rsidR="00E67926">
        <w:rPr>
          <w:rFonts w:ascii="Arial" w:hAnsi="Arial" w:cs="Arial"/>
          <w:sz w:val="24"/>
          <w:szCs w:val="24"/>
          <w:lang w:val="en-US"/>
        </w:rPr>
        <w:t xml:space="preserve"> reports </w:t>
      </w:r>
      <w:r w:rsidR="008F7466">
        <w:rPr>
          <w:rFonts w:ascii="Arial" w:hAnsi="Arial" w:cs="Arial"/>
          <w:sz w:val="24"/>
          <w:szCs w:val="24"/>
          <w:lang w:val="en-US"/>
        </w:rPr>
        <w:t>of</w:t>
      </w:r>
      <w:r w:rsidR="00E67926">
        <w:rPr>
          <w:rFonts w:ascii="Arial" w:hAnsi="Arial" w:cs="Arial"/>
          <w:sz w:val="24"/>
          <w:szCs w:val="24"/>
          <w:lang w:val="en-US"/>
        </w:rPr>
        <w:t xml:space="preserve"> an orthopaedic surgeon, occupational therapist and industrial psychologist. It also delivered an actuarial report prepared by Mr Kramer, similar to the one in the Taylor matter. </w:t>
      </w:r>
    </w:p>
    <w:p w14:paraId="28BA5E46" w14:textId="77777777" w:rsidR="002F1D71" w:rsidRPr="000279D6" w:rsidRDefault="002F1D71" w:rsidP="00B05C8E">
      <w:pPr>
        <w:rPr>
          <w:rFonts w:ascii="Arial" w:hAnsi="Arial" w:cs="Arial"/>
          <w:sz w:val="24"/>
          <w:szCs w:val="24"/>
          <w:lang w:val="en-US"/>
        </w:rPr>
      </w:pPr>
    </w:p>
    <w:p w14:paraId="79BEFDF2" w14:textId="6AE3E152" w:rsidR="00330D40" w:rsidRPr="000279D6" w:rsidRDefault="008B02D3" w:rsidP="0070337D">
      <w:pPr>
        <w:rPr>
          <w:rFonts w:ascii="Arial" w:hAnsi="Arial" w:cs="Arial"/>
          <w:sz w:val="24"/>
          <w:szCs w:val="24"/>
          <w:lang w:val="en-US"/>
        </w:rPr>
      </w:pPr>
      <w:r>
        <w:rPr>
          <w:rFonts w:ascii="Arial" w:hAnsi="Arial" w:cs="Arial"/>
          <w:sz w:val="24"/>
          <w:szCs w:val="24"/>
          <w:lang w:val="en-US"/>
        </w:rPr>
        <w:t>[9</w:t>
      </w:r>
      <w:r w:rsidR="002F1D71" w:rsidRPr="000279D6">
        <w:rPr>
          <w:rFonts w:ascii="Arial" w:hAnsi="Arial" w:cs="Arial"/>
          <w:sz w:val="24"/>
          <w:szCs w:val="24"/>
          <w:lang w:val="en-US"/>
        </w:rPr>
        <w:t>]</w:t>
      </w:r>
      <w:r w:rsidR="00926202" w:rsidRPr="000279D6">
        <w:rPr>
          <w:rFonts w:ascii="Arial" w:hAnsi="Arial" w:cs="Arial"/>
          <w:sz w:val="24"/>
          <w:szCs w:val="24"/>
          <w:lang w:val="en-US"/>
        </w:rPr>
        <w:tab/>
      </w:r>
      <w:r w:rsidR="00EC23B4">
        <w:rPr>
          <w:rFonts w:ascii="Arial" w:hAnsi="Arial" w:cs="Arial"/>
          <w:sz w:val="24"/>
          <w:szCs w:val="24"/>
          <w:lang w:val="en-US"/>
        </w:rPr>
        <w:t xml:space="preserve">The matter was set down for trial on 14 October 2020. On 15 October 2020, it was also allocated to Fisher J. By that time, however, the matter had become settled. The parties prepared a draft order that reflected the settlement of the action. It, </w:t>
      </w:r>
      <w:r w:rsidR="00EC23B4" w:rsidRPr="00EC23B4">
        <w:rPr>
          <w:rFonts w:ascii="Arial" w:hAnsi="Arial" w:cs="Arial"/>
          <w:i/>
          <w:sz w:val="24"/>
          <w:szCs w:val="24"/>
          <w:lang w:val="en-US"/>
        </w:rPr>
        <w:t>inter alia</w:t>
      </w:r>
      <w:r w:rsidR="00EC23B4">
        <w:rPr>
          <w:rFonts w:ascii="Arial" w:hAnsi="Arial" w:cs="Arial"/>
          <w:sz w:val="24"/>
          <w:szCs w:val="24"/>
          <w:lang w:val="en-US"/>
        </w:rPr>
        <w:t xml:space="preserve">, provided for payment of compensation in the amount of R1 775 360.35 to Mr Mathonsi. The parties agreed that the court be requested to make the draft order an order of court. When the matter was called before Fisher J on 15 October 2020, counsel for Mr Mathonsi (Mr Motala) asked for such an order. </w:t>
      </w:r>
    </w:p>
    <w:p w14:paraId="5145C7C1" w14:textId="77777777" w:rsidR="00926202" w:rsidRPr="000279D6" w:rsidRDefault="00926202" w:rsidP="00B05C8E">
      <w:pPr>
        <w:rPr>
          <w:rFonts w:ascii="Arial" w:hAnsi="Arial" w:cs="Arial"/>
          <w:sz w:val="24"/>
          <w:szCs w:val="24"/>
          <w:lang w:val="en-US"/>
        </w:rPr>
      </w:pPr>
    </w:p>
    <w:p w14:paraId="3CBC1F5D" w14:textId="38E5C233" w:rsidR="00EC23B4" w:rsidRDefault="008B02D3" w:rsidP="00B05C8E">
      <w:pPr>
        <w:rPr>
          <w:rFonts w:ascii="Arial" w:hAnsi="Arial" w:cs="Arial"/>
          <w:sz w:val="24"/>
          <w:szCs w:val="24"/>
          <w:lang w:val="en-US"/>
        </w:rPr>
      </w:pPr>
      <w:r>
        <w:rPr>
          <w:rFonts w:ascii="Arial" w:hAnsi="Arial" w:cs="Arial"/>
          <w:sz w:val="24"/>
          <w:szCs w:val="24"/>
          <w:lang w:val="en-US"/>
        </w:rPr>
        <w:t>[10</w:t>
      </w:r>
      <w:r w:rsidR="00926202" w:rsidRPr="000279D6">
        <w:rPr>
          <w:rFonts w:ascii="Arial" w:hAnsi="Arial" w:cs="Arial"/>
          <w:sz w:val="24"/>
          <w:szCs w:val="24"/>
          <w:lang w:val="en-US"/>
        </w:rPr>
        <w:t>]</w:t>
      </w:r>
      <w:r w:rsidR="00926202" w:rsidRPr="000279D6">
        <w:rPr>
          <w:rFonts w:ascii="Arial" w:hAnsi="Arial" w:cs="Arial"/>
          <w:sz w:val="24"/>
          <w:szCs w:val="24"/>
          <w:lang w:val="en-US"/>
        </w:rPr>
        <w:tab/>
      </w:r>
      <w:r w:rsidR="00CC7198" w:rsidRPr="000279D6">
        <w:rPr>
          <w:rFonts w:ascii="Arial" w:hAnsi="Arial" w:cs="Arial"/>
          <w:sz w:val="24"/>
          <w:szCs w:val="24"/>
          <w:lang w:val="en-US"/>
        </w:rPr>
        <w:t xml:space="preserve"> </w:t>
      </w:r>
      <w:r w:rsidR="00EC23B4">
        <w:rPr>
          <w:rFonts w:ascii="Arial" w:hAnsi="Arial" w:cs="Arial"/>
          <w:sz w:val="24"/>
          <w:szCs w:val="24"/>
          <w:lang w:val="en-US"/>
        </w:rPr>
        <w:t xml:space="preserve">The court did not, however, address the request of the parties. Instead, it raised certain procedural issues. These were: why the discovery affidavit had not been ‘commissioned’; whether the particulars of claim had been properly amended; and </w:t>
      </w:r>
      <w:r w:rsidR="008F7466">
        <w:rPr>
          <w:rFonts w:ascii="Arial" w:hAnsi="Arial" w:cs="Arial"/>
          <w:sz w:val="24"/>
          <w:szCs w:val="24"/>
          <w:lang w:val="en-US"/>
        </w:rPr>
        <w:t>why</w:t>
      </w:r>
      <w:r w:rsidR="00EC23B4">
        <w:rPr>
          <w:rFonts w:ascii="Arial" w:hAnsi="Arial" w:cs="Arial"/>
          <w:sz w:val="24"/>
          <w:szCs w:val="24"/>
          <w:lang w:val="en-US"/>
        </w:rPr>
        <w:t xml:space="preserve"> the affidavit of a general practitioner had been signed but not ‘commissioned’. Fisher J postponed this matter to 3 November 2020 as well, for argument on these procedural issues. </w:t>
      </w:r>
    </w:p>
    <w:p w14:paraId="1B249287" w14:textId="77777777" w:rsidR="00EC23B4" w:rsidRDefault="00EC23B4" w:rsidP="00B05C8E">
      <w:pPr>
        <w:rPr>
          <w:rFonts w:ascii="Arial" w:hAnsi="Arial" w:cs="Arial"/>
          <w:sz w:val="24"/>
          <w:szCs w:val="24"/>
          <w:lang w:val="en-US"/>
        </w:rPr>
      </w:pPr>
    </w:p>
    <w:p w14:paraId="2FD31496" w14:textId="24A5CB9F" w:rsidR="00CC7198" w:rsidRPr="00EC23B4" w:rsidRDefault="00EC23B4" w:rsidP="00B05C8E">
      <w:pPr>
        <w:rPr>
          <w:rFonts w:ascii="Arial" w:hAnsi="Arial" w:cs="Arial"/>
          <w:b/>
          <w:sz w:val="24"/>
          <w:szCs w:val="24"/>
          <w:lang w:val="en-US"/>
        </w:rPr>
      </w:pPr>
      <w:r w:rsidRPr="00EC23B4">
        <w:rPr>
          <w:rFonts w:ascii="Arial" w:hAnsi="Arial" w:cs="Arial"/>
          <w:b/>
          <w:sz w:val="24"/>
          <w:szCs w:val="24"/>
          <w:lang w:val="en-US"/>
        </w:rPr>
        <w:t>Hearing and judgment</w:t>
      </w:r>
    </w:p>
    <w:p w14:paraId="21761281" w14:textId="37DDDBAC" w:rsidR="005D244C" w:rsidRDefault="008B02D3" w:rsidP="00614F9D">
      <w:pPr>
        <w:rPr>
          <w:rFonts w:ascii="Arial" w:hAnsi="Arial" w:cs="Arial"/>
          <w:sz w:val="24"/>
          <w:szCs w:val="24"/>
          <w:lang w:val="en-US"/>
        </w:rPr>
      </w:pPr>
      <w:r>
        <w:rPr>
          <w:rFonts w:ascii="Arial" w:hAnsi="Arial" w:cs="Arial"/>
          <w:sz w:val="24"/>
          <w:szCs w:val="24"/>
          <w:lang w:val="en-US"/>
        </w:rPr>
        <w:t>[11</w:t>
      </w:r>
      <w:r w:rsidR="00606CFE" w:rsidRPr="000279D6">
        <w:rPr>
          <w:rFonts w:ascii="Arial" w:hAnsi="Arial" w:cs="Arial"/>
          <w:sz w:val="24"/>
          <w:szCs w:val="24"/>
          <w:lang w:val="en-US"/>
        </w:rPr>
        <w:t>]</w:t>
      </w:r>
      <w:r w:rsidR="00606CFE" w:rsidRPr="000279D6">
        <w:rPr>
          <w:rFonts w:ascii="Arial" w:hAnsi="Arial" w:cs="Arial"/>
          <w:sz w:val="24"/>
          <w:szCs w:val="24"/>
          <w:lang w:val="en-US"/>
        </w:rPr>
        <w:tab/>
      </w:r>
      <w:r w:rsidR="001B018A" w:rsidRPr="000279D6">
        <w:rPr>
          <w:rFonts w:ascii="Arial" w:hAnsi="Arial" w:cs="Arial"/>
          <w:sz w:val="24"/>
          <w:szCs w:val="24"/>
          <w:lang w:val="en-US"/>
        </w:rPr>
        <w:t xml:space="preserve"> </w:t>
      </w:r>
      <w:r w:rsidR="009C4200">
        <w:rPr>
          <w:rFonts w:ascii="Arial" w:hAnsi="Arial" w:cs="Arial"/>
          <w:sz w:val="24"/>
          <w:szCs w:val="24"/>
          <w:lang w:val="en-US"/>
        </w:rPr>
        <w:t xml:space="preserve">At the hearing of the Taylor matter on 3 November 2020, senior counsel for Ms Taylor and the RAF respectively, were in agreement on all four </w:t>
      </w:r>
      <w:r w:rsidR="006B187A">
        <w:rPr>
          <w:rFonts w:ascii="Arial" w:hAnsi="Arial" w:cs="Arial"/>
          <w:sz w:val="24"/>
          <w:szCs w:val="24"/>
          <w:lang w:val="en-US"/>
        </w:rPr>
        <w:t xml:space="preserve">of </w:t>
      </w:r>
      <w:r w:rsidR="009C4200">
        <w:rPr>
          <w:rFonts w:ascii="Arial" w:hAnsi="Arial" w:cs="Arial"/>
          <w:sz w:val="24"/>
          <w:szCs w:val="24"/>
          <w:lang w:val="en-US"/>
        </w:rPr>
        <w:t xml:space="preserve">the questions that had been referred for argument. They agreed that: </w:t>
      </w:r>
    </w:p>
    <w:p w14:paraId="317869A8" w14:textId="7075E428" w:rsidR="009C4200" w:rsidRDefault="009C4200" w:rsidP="00614F9D">
      <w:pPr>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t xml:space="preserve">There had been a settlement of the Taylor matter and there was no longer a </w:t>
      </w:r>
      <w:r w:rsidRPr="009C4200">
        <w:rPr>
          <w:rFonts w:ascii="Arial" w:hAnsi="Arial" w:cs="Arial"/>
          <w:i/>
          <w:sz w:val="24"/>
          <w:szCs w:val="24"/>
          <w:lang w:val="en-US"/>
        </w:rPr>
        <w:t>lis</w:t>
      </w:r>
      <w:r>
        <w:rPr>
          <w:rFonts w:ascii="Arial" w:hAnsi="Arial" w:cs="Arial"/>
          <w:sz w:val="24"/>
          <w:szCs w:val="24"/>
          <w:lang w:val="en-US"/>
        </w:rPr>
        <w:t xml:space="preserve"> between the parties; </w:t>
      </w:r>
    </w:p>
    <w:p w14:paraId="5E43F75F" w14:textId="1C3DF740" w:rsidR="009C4200" w:rsidRDefault="009C4200" w:rsidP="00614F9D">
      <w:pPr>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t xml:space="preserve">The RAF was entitled to settle with </w:t>
      </w:r>
      <w:r w:rsidR="008F7466">
        <w:rPr>
          <w:rFonts w:ascii="Arial" w:hAnsi="Arial" w:cs="Arial"/>
          <w:sz w:val="24"/>
          <w:szCs w:val="24"/>
          <w:lang w:val="en-US"/>
        </w:rPr>
        <w:t>a</w:t>
      </w:r>
      <w:r>
        <w:rPr>
          <w:rFonts w:ascii="Arial" w:hAnsi="Arial" w:cs="Arial"/>
          <w:sz w:val="24"/>
          <w:szCs w:val="24"/>
          <w:lang w:val="en-US"/>
        </w:rPr>
        <w:t xml:space="preserve"> plaintiff without judicial approval of such settlement; </w:t>
      </w:r>
    </w:p>
    <w:p w14:paraId="1BBB032D" w14:textId="220BA7A5" w:rsidR="009C4200" w:rsidRDefault="009C4200" w:rsidP="00614F9D">
      <w:pPr>
        <w:rPr>
          <w:rFonts w:ascii="Arial" w:hAnsi="Arial" w:cs="Arial"/>
          <w:sz w:val="24"/>
          <w:szCs w:val="24"/>
          <w:lang w:val="en-US"/>
        </w:rPr>
      </w:pPr>
      <w:r>
        <w:rPr>
          <w:rFonts w:ascii="Arial" w:hAnsi="Arial" w:cs="Arial"/>
          <w:sz w:val="24"/>
          <w:szCs w:val="24"/>
          <w:lang w:val="en-US"/>
        </w:rPr>
        <w:lastRenderedPageBreak/>
        <w:t>(c)</w:t>
      </w:r>
      <w:r>
        <w:rPr>
          <w:rFonts w:ascii="Arial" w:hAnsi="Arial" w:cs="Arial"/>
          <w:sz w:val="24"/>
          <w:szCs w:val="24"/>
          <w:lang w:val="en-US"/>
        </w:rPr>
        <w:tab/>
        <w:t>There were no statutory limitations or requirements in relation to the settlement of a claim by the RAF; and</w:t>
      </w:r>
    </w:p>
    <w:p w14:paraId="505683D0" w14:textId="53409E9C" w:rsidR="009C4200" w:rsidRDefault="009C4200" w:rsidP="00614F9D">
      <w:pPr>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en-US"/>
        </w:rPr>
        <w:tab/>
        <w:t xml:space="preserve">It was irrelevant whether a matter had been on the roll before a particular judge when it became settled. </w:t>
      </w:r>
    </w:p>
    <w:p w14:paraId="1EE506BF" w14:textId="5DBA61B1" w:rsidR="009C4200" w:rsidRPr="009C4200" w:rsidRDefault="009C4200" w:rsidP="00614F9D">
      <w:pPr>
        <w:rPr>
          <w:rFonts w:ascii="Arial" w:hAnsi="Arial" w:cs="Arial"/>
          <w:sz w:val="24"/>
          <w:szCs w:val="24"/>
          <w:lang w:val="en-US"/>
        </w:rPr>
      </w:pPr>
      <w:r>
        <w:rPr>
          <w:rFonts w:ascii="Arial" w:hAnsi="Arial" w:cs="Arial"/>
          <w:sz w:val="24"/>
          <w:szCs w:val="24"/>
          <w:lang w:val="en-US"/>
        </w:rPr>
        <w:t xml:space="preserve">In the result, both parties asked for an order removing the matter from the roll. However, Fisher J had ‘secured the appointment of an </w:t>
      </w:r>
      <w:r w:rsidRPr="009C4200">
        <w:rPr>
          <w:rFonts w:ascii="Arial" w:hAnsi="Arial" w:cs="Arial"/>
          <w:i/>
          <w:sz w:val="24"/>
          <w:szCs w:val="24"/>
          <w:lang w:val="en-US"/>
        </w:rPr>
        <w:t>amicus curiae</w:t>
      </w:r>
      <w:r>
        <w:rPr>
          <w:rFonts w:ascii="Arial" w:hAnsi="Arial" w:cs="Arial"/>
          <w:sz w:val="24"/>
          <w:szCs w:val="24"/>
          <w:lang w:val="en-US"/>
        </w:rPr>
        <w:t>’</w:t>
      </w:r>
      <w:r w:rsidR="00573066">
        <w:rPr>
          <w:rFonts w:ascii="Arial" w:hAnsi="Arial" w:cs="Arial"/>
          <w:sz w:val="24"/>
          <w:szCs w:val="24"/>
          <w:lang w:val="en-US"/>
        </w:rPr>
        <w:t xml:space="preserve"> (Ms Hassim SC), who put forward opposing contentions. </w:t>
      </w:r>
    </w:p>
    <w:p w14:paraId="3D3A86DF" w14:textId="77777777" w:rsidR="00C763A3" w:rsidRPr="000279D6" w:rsidRDefault="00C763A3" w:rsidP="00B05C8E">
      <w:pPr>
        <w:rPr>
          <w:rFonts w:ascii="Arial" w:hAnsi="Arial" w:cs="Arial"/>
          <w:lang w:val="en-US"/>
        </w:rPr>
      </w:pPr>
    </w:p>
    <w:p w14:paraId="3111A43F" w14:textId="0A731E08" w:rsidR="00175CD6" w:rsidRPr="000279D6" w:rsidRDefault="008B02D3" w:rsidP="0070337D">
      <w:pPr>
        <w:rPr>
          <w:rFonts w:ascii="Arial" w:hAnsi="Arial" w:cs="Arial"/>
          <w:lang w:val="en-US"/>
        </w:rPr>
      </w:pPr>
      <w:r>
        <w:rPr>
          <w:rFonts w:ascii="Arial" w:hAnsi="Arial" w:cs="Arial"/>
          <w:sz w:val="24"/>
          <w:szCs w:val="24"/>
          <w:lang w:val="en-US"/>
        </w:rPr>
        <w:t>[12</w:t>
      </w:r>
      <w:r w:rsidR="00C763A3" w:rsidRPr="000279D6">
        <w:rPr>
          <w:rFonts w:ascii="Arial" w:hAnsi="Arial" w:cs="Arial"/>
          <w:sz w:val="24"/>
          <w:szCs w:val="24"/>
          <w:lang w:val="en-US"/>
        </w:rPr>
        <w:t>]</w:t>
      </w:r>
      <w:r w:rsidR="00C763A3" w:rsidRPr="000279D6">
        <w:rPr>
          <w:rFonts w:ascii="Arial" w:hAnsi="Arial" w:cs="Arial"/>
          <w:sz w:val="24"/>
          <w:szCs w:val="24"/>
          <w:lang w:val="en-US"/>
        </w:rPr>
        <w:tab/>
      </w:r>
      <w:r w:rsidR="00A03EF6">
        <w:rPr>
          <w:rFonts w:ascii="Arial" w:hAnsi="Arial" w:cs="Arial"/>
          <w:sz w:val="24"/>
          <w:szCs w:val="24"/>
          <w:lang w:val="en-US"/>
        </w:rPr>
        <w:t xml:space="preserve">After the hearing of the Taylor matter on 3 November 2020, the court reserved judgment and the Mathonsi matter was called. Only Mr Matolo appeared in the Mathonsi matter. </w:t>
      </w:r>
      <w:r w:rsidR="00865A6C">
        <w:rPr>
          <w:rFonts w:ascii="Arial" w:hAnsi="Arial" w:cs="Arial"/>
          <w:sz w:val="24"/>
          <w:szCs w:val="24"/>
          <w:lang w:val="en-US"/>
        </w:rPr>
        <w:t xml:space="preserve">He addressed the aforesaid procedural issues and moved for the draft order to be made an order of court. He was not called upon to address any other issue. The court reserved judgment in this matter as well. </w:t>
      </w:r>
    </w:p>
    <w:p w14:paraId="432D68A5" w14:textId="77777777" w:rsidR="00656FB9" w:rsidRPr="000279D6" w:rsidRDefault="00656FB9" w:rsidP="00B05C8E">
      <w:pPr>
        <w:rPr>
          <w:rFonts w:ascii="Arial" w:hAnsi="Arial" w:cs="Arial"/>
          <w:sz w:val="24"/>
          <w:szCs w:val="24"/>
          <w:lang w:val="en-US"/>
        </w:rPr>
      </w:pPr>
    </w:p>
    <w:p w14:paraId="3439ADC9" w14:textId="12CEDD89" w:rsidR="008F7466" w:rsidRDefault="008B02D3" w:rsidP="00614F9D">
      <w:pPr>
        <w:rPr>
          <w:rFonts w:ascii="Arial" w:hAnsi="Arial" w:cs="Arial"/>
          <w:sz w:val="24"/>
          <w:szCs w:val="24"/>
          <w:lang w:val="en-US"/>
        </w:rPr>
      </w:pPr>
      <w:r>
        <w:rPr>
          <w:rFonts w:ascii="Arial" w:hAnsi="Arial" w:cs="Arial"/>
          <w:sz w:val="24"/>
          <w:szCs w:val="24"/>
          <w:lang w:val="en-US"/>
        </w:rPr>
        <w:t>[13</w:t>
      </w:r>
      <w:r w:rsidR="00656FB9" w:rsidRPr="000279D6">
        <w:rPr>
          <w:rFonts w:ascii="Arial" w:hAnsi="Arial" w:cs="Arial"/>
          <w:sz w:val="24"/>
          <w:szCs w:val="24"/>
          <w:lang w:val="en-US"/>
        </w:rPr>
        <w:t>]</w:t>
      </w:r>
      <w:r w:rsidR="00656FB9" w:rsidRPr="000279D6">
        <w:rPr>
          <w:rFonts w:ascii="Arial" w:hAnsi="Arial" w:cs="Arial"/>
          <w:sz w:val="24"/>
          <w:szCs w:val="24"/>
          <w:lang w:val="en-US"/>
        </w:rPr>
        <w:tab/>
      </w:r>
      <w:r w:rsidR="00CB0DD5" w:rsidRPr="000279D6">
        <w:rPr>
          <w:rFonts w:ascii="Arial" w:hAnsi="Arial" w:cs="Arial"/>
          <w:sz w:val="24"/>
          <w:szCs w:val="24"/>
          <w:lang w:val="en-US"/>
        </w:rPr>
        <w:t xml:space="preserve"> </w:t>
      </w:r>
      <w:r w:rsidR="00865A6C">
        <w:rPr>
          <w:rFonts w:ascii="Arial" w:hAnsi="Arial" w:cs="Arial"/>
          <w:sz w:val="24"/>
          <w:szCs w:val="24"/>
          <w:lang w:val="en-US"/>
        </w:rPr>
        <w:t xml:space="preserve">On </w:t>
      </w:r>
      <w:r w:rsidR="00D40B01">
        <w:rPr>
          <w:rFonts w:ascii="Arial" w:hAnsi="Arial" w:cs="Arial"/>
          <w:sz w:val="24"/>
          <w:szCs w:val="24"/>
          <w:lang w:val="en-US"/>
        </w:rPr>
        <w:t xml:space="preserve">16 November 2020, Fisher J handed down a single judgment dealing with both the Taylor and Mathonsi matters. </w:t>
      </w:r>
      <w:r w:rsidR="008F7466">
        <w:rPr>
          <w:rFonts w:ascii="Arial" w:hAnsi="Arial" w:cs="Arial"/>
          <w:sz w:val="24"/>
          <w:szCs w:val="24"/>
          <w:lang w:val="en-US"/>
        </w:rPr>
        <w:t>The</w:t>
      </w:r>
      <w:r w:rsidR="00D40B01">
        <w:rPr>
          <w:rFonts w:ascii="Arial" w:hAnsi="Arial" w:cs="Arial"/>
          <w:sz w:val="24"/>
          <w:szCs w:val="24"/>
          <w:lang w:val="en-US"/>
        </w:rPr>
        <w:t xml:space="preserve"> wide-ranging judgment paid scant attention to the questions that had been referred to argument in the Taylor matter and did not mention those in the Mathonsi matter. Instead, it addressed two broad themes. </w:t>
      </w:r>
    </w:p>
    <w:p w14:paraId="7FF5809F" w14:textId="77777777" w:rsidR="008F7466" w:rsidRDefault="008F7466" w:rsidP="00614F9D">
      <w:pPr>
        <w:rPr>
          <w:rFonts w:ascii="Arial" w:hAnsi="Arial" w:cs="Arial"/>
          <w:sz w:val="24"/>
          <w:szCs w:val="24"/>
          <w:lang w:val="en-US"/>
        </w:rPr>
      </w:pPr>
    </w:p>
    <w:p w14:paraId="0B138CBC" w14:textId="43121154" w:rsidR="007C47B0" w:rsidRDefault="008F7466" w:rsidP="00614F9D">
      <w:pPr>
        <w:rPr>
          <w:rFonts w:ascii="Arial" w:hAnsi="Arial" w:cs="Arial"/>
          <w:sz w:val="24"/>
          <w:szCs w:val="24"/>
          <w:lang w:val="en-US"/>
        </w:rPr>
      </w:pPr>
      <w:r>
        <w:rPr>
          <w:rFonts w:ascii="Arial" w:hAnsi="Arial" w:cs="Arial"/>
          <w:sz w:val="24"/>
          <w:szCs w:val="24"/>
          <w:lang w:val="en-US"/>
        </w:rPr>
        <w:t>[</w:t>
      </w:r>
      <w:r w:rsidR="008B02D3">
        <w:rPr>
          <w:rFonts w:ascii="Arial" w:hAnsi="Arial" w:cs="Arial"/>
          <w:sz w:val="24"/>
          <w:szCs w:val="24"/>
          <w:lang w:val="en-US"/>
        </w:rPr>
        <w:t>14</w:t>
      </w:r>
      <w:r>
        <w:rPr>
          <w:rFonts w:ascii="Arial" w:hAnsi="Arial" w:cs="Arial"/>
          <w:sz w:val="24"/>
          <w:szCs w:val="24"/>
          <w:lang w:val="en-US"/>
        </w:rPr>
        <w:t>]</w:t>
      </w:r>
      <w:r>
        <w:rPr>
          <w:rFonts w:ascii="Arial" w:hAnsi="Arial" w:cs="Arial"/>
          <w:sz w:val="24"/>
          <w:szCs w:val="24"/>
          <w:lang w:val="en-US"/>
        </w:rPr>
        <w:tab/>
      </w:r>
      <w:r w:rsidR="00D40B01">
        <w:rPr>
          <w:rFonts w:ascii="Arial" w:hAnsi="Arial" w:cs="Arial"/>
          <w:sz w:val="24"/>
          <w:szCs w:val="24"/>
          <w:lang w:val="en-US"/>
        </w:rPr>
        <w:t>The first concerned the viability of the RAF as such. The court held that: the RAF was unable to pay its debts when they fell due and was thus bankrupt; the present system was ‘unworkable, unsustainable and corrupt</w:t>
      </w:r>
      <w:r>
        <w:rPr>
          <w:rFonts w:ascii="Arial" w:hAnsi="Arial" w:cs="Arial"/>
          <w:sz w:val="24"/>
          <w:szCs w:val="24"/>
          <w:lang w:val="en-US"/>
        </w:rPr>
        <w:t>’;</w:t>
      </w:r>
      <w:r w:rsidR="00D40B01">
        <w:rPr>
          <w:rFonts w:ascii="Arial" w:hAnsi="Arial" w:cs="Arial"/>
          <w:sz w:val="24"/>
          <w:szCs w:val="24"/>
          <w:lang w:val="en-US"/>
        </w:rPr>
        <w:t xml:space="preserve"> and </w:t>
      </w:r>
      <w:r>
        <w:rPr>
          <w:rFonts w:ascii="Arial" w:hAnsi="Arial" w:cs="Arial"/>
          <w:sz w:val="24"/>
          <w:szCs w:val="24"/>
          <w:lang w:val="en-US"/>
        </w:rPr>
        <w:t>a</w:t>
      </w:r>
      <w:r w:rsidR="00D40B01">
        <w:rPr>
          <w:rFonts w:ascii="Arial" w:hAnsi="Arial" w:cs="Arial"/>
          <w:sz w:val="24"/>
          <w:szCs w:val="24"/>
          <w:lang w:val="en-US"/>
        </w:rPr>
        <w:t xml:space="preserve"> viable alternative </w:t>
      </w:r>
      <w:r>
        <w:rPr>
          <w:rFonts w:ascii="Arial" w:hAnsi="Arial" w:cs="Arial"/>
          <w:sz w:val="24"/>
          <w:szCs w:val="24"/>
          <w:lang w:val="en-US"/>
        </w:rPr>
        <w:t>had to</w:t>
      </w:r>
      <w:r w:rsidR="00D40B01">
        <w:rPr>
          <w:rFonts w:ascii="Arial" w:hAnsi="Arial" w:cs="Arial"/>
          <w:sz w:val="24"/>
          <w:szCs w:val="24"/>
          <w:lang w:val="en-US"/>
        </w:rPr>
        <w:t xml:space="preserve"> be found if the RAF was to</w:t>
      </w:r>
      <w:r>
        <w:rPr>
          <w:rFonts w:ascii="Arial" w:hAnsi="Arial" w:cs="Arial"/>
          <w:sz w:val="24"/>
          <w:szCs w:val="24"/>
          <w:lang w:val="en-US"/>
        </w:rPr>
        <w:t xml:space="preserve"> perform its statutory function</w:t>
      </w:r>
      <w:r w:rsidR="00D40B01">
        <w:rPr>
          <w:rFonts w:ascii="Arial" w:hAnsi="Arial" w:cs="Arial"/>
          <w:sz w:val="24"/>
          <w:szCs w:val="24"/>
          <w:lang w:val="en-US"/>
        </w:rPr>
        <w:t xml:space="preserve">. This led Fisher J to offer the following advice: </w:t>
      </w:r>
    </w:p>
    <w:p w14:paraId="7B1CF55C" w14:textId="12D5515A" w:rsidR="00D40B01" w:rsidRPr="000279D6" w:rsidRDefault="00083371" w:rsidP="00614F9D">
      <w:pPr>
        <w:rPr>
          <w:rFonts w:ascii="Arial" w:hAnsi="Arial" w:cs="Arial"/>
          <w:lang w:val="en-US"/>
        </w:rPr>
      </w:pPr>
      <w:r>
        <w:rPr>
          <w:rFonts w:ascii="Arial" w:hAnsi="Arial" w:cs="Arial"/>
          <w:lang w:val="en-US"/>
        </w:rPr>
        <w:t>‘In my view, the fund should be liquidated and/or placed under administration as a matter of urgency. This is the only way that this haemorrhage of billions of rands in public funds can be stemmed and proper and valid settlement of the plaintiff’s claims be undertaken in the public interest. I have asked that this judgment be brought to the attention to the Minister of Transport, the Acting Chief Executive Officer of the Road Accident Fund, and the National Director of Public Prosecutions.’</w:t>
      </w:r>
    </w:p>
    <w:p w14:paraId="2F706F40" w14:textId="77777777" w:rsidR="007C47B0" w:rsidRPr="000279D6" w:rsidRDefault="007C47B0" w:rsidP="00B05C8E">
      <w:pPr>
        <w:rPr>
          <w:rFonts w:ascii="Arial" w:hAnsi="Arial" w:cs="Arial"/>
          <w:lang w:val="en-US"/>
        </w:rPr>
      </w:pPr>
    </w:p>
    <w:p w14:paraId="006D7EE6" w14:textId="272FA1C7" w:rsidR="00CA1EEE" w:rsidRDefault="008B02D3" w:rsidP="0070337D">
      <w:pPr>
        <w:rPr>
          <w:rFonts w:ascii="Arial" w:hAnsi="Arial" w:cs="Arial"/>
          <w:sz w:val="24"/>
          <w:szCs w:val="24"/>
          <w:lang w:val="en-US"/>
        </w:rPr>
      </w:pPr>
      <w:r>
        <w:rPr>
          <w:rFonts w:ascii="Arial" w:hAnsi="Arial" w:cs="Arial"/>
          <w:sz w:val="24"/>
          <w:szCs w:val="24"/>
          <w:lang w:val="en-US"/>
        </w:rPr>
        <w:t>[15</w:t>
      </w:r>
      <w:r w:rsidR="007C47B0" w:rsidRPr="000279D6">
        <w:rPr>
          <w:rFonts w:ascii="Arial" w:hAnsi="Arial" w:cs="Arial"/>
          <w:sz w:val="24"/>
          <w:szCs w:val="24"/>
          <w:lang w:val="en-US"/>
        </w:rPr>
        <w:t>]</w:t>
      </w:r>
      <w:r w:rsidR="007C47B0" w:rsidRPr="000279D6">
        <w:rPr>
          <w:rFonts w:ascii="Arial" w:hAnsi="Arial" w:cs="Arial"/>
          <w:sz w:val="24"/>
          <w:szCs w:val="24"/>
          <w:lang w:val="en-US"/>
        </w:rPr>
        <w:tab/>
      </w:r>
      <w:r w:rsidR="00060D6A" w:rsidRPr="000279D6">
        <w:rPr>
          <w:rFonts w:ascii="Arial" w:hAnsi="Arial" w:cs="Arial"/>
          <w:sz w:val="24"/>
          <w:szCs w:val="24"/>
          <w:lang w:val="en-US"/>
        </w:rPr>
        <w:t xml:space="preserve"> </w:t>
      </w:r>
      <w:r w:rsidR="00B01537">
        <w:rPr>
          <w:rFonts w:ascii="Arial" w:hAnsi="Arial" w:cs="Arial"/>
          <w:sz w:val="24"/>
          <w:szCs w:val="24"/>
          <w:lang w:val="en-US"/>
        </w:rPr>
        <w:t xml:space="preserve">The second, more pertinent, theme was that the Taylor and Mathonsi matters were but instances of widespread exploitation of the RAF. In this regard the court concluded: </w:t>
      </w:r>
    </w:p>
    <w:p w14:paraId="533C65F5" w14:textId="26631872" w:rsidR="007F045B" w:rsidRDefault="007F045B" w:rsidP="0070337D">
      <w:pPr>
        <w:rPr>
          <w:rFonts w:ascii="Arial" w:hAnsi="Arial" w:cs="Arial"/>
          <w:lang w:val="en-US"/>
        </w:rPr>
      </w:pPr>
      <w:r>
        <w:rPr>
          <w:rFonts w:ascii="Arial" w:hAnsi="Arial" w:cs="Arial"/>
          <w:lang w:val="en-US"/>
        </w:rPr>
        <w:lastRenderedPageBreak/>
        <w:t xml:space="preserve">‘From these two cases, and others which I have heard, a modus operandi emerges as follows: </w:t>
      </w:r>
    </w:p>
    <w:p w14:paraId="42AD884F" w14:textId="6B2C25FB" w:rsidR="007F045B" w:rsidRDefault="007F045B" w:rsidP="007F045B">
      <w:pPr>
        <w:pStyle w:val="ListParagraph"/>
        <w:numPr>
          <w:ilvl w:val="0"/>
          <w:numId w:val="6"/>
        </w:numPr>
        <w:rPr>
          <w:rFonts w:ascii="Arial" w:hAnsi="Arial" w:cs="Arial"/>
          <w:lang w:val="en-US"/>
        </w:rPr>
      </w:pPr>
      <w:r>
        <w:rPr>
          <w:rFonts w:ascii="Arial" w:hAnsi="Arial" w:cs="Arial"/>
          <w:lang w:val="en-US"/>
        </w:rPr>
        <w:t>A relatively modest claim is brought and the Case Management Court process is undertaken on these pleadings.</w:t>
      </w:r>
    </w:p>
    <w:p w14:paraId="34FD0EC3" w14:textId="63D00CA4" w:rsidR="007F045B" w:rsidRDefault="007F045B" w:rsidP="007F045B">
      <w:pPr>
        <w:pStyle w:val="ListParagraph"/>
        <w:numPr>
          <w:ilvl w:val="0"/>
          <w:numId w:val="6"/>
        </w:numPr>
        <w:rPr>
          <w:rFonts w:ascii="Arial" w:hAnsi="Arial" w:cs="Arial"/>
          <w:lang w:val="en-US"/>
        </w:rPr>
      </w:pPr>
      <w:r>
        <w:rPr>
          <w:rFonts w:ascii="Arial" w:hAnsi="Arial" w:cs="Arial"/>
          <w:lang w:val="en-US"/>
        </w:rPr>
        <w:t xml:space="preserve">In the actuarial calculation, the income of the plaintiff pre-accident is inflated and/or the aspirations of the plaintiff are exaggerated or even fabricated in order to suggest a career progression when there is none. </w:t>
      </w:r>
    </w:p>
    <w:p w14:paraId="51C092E4" w14:textId="7494B853" w:rsidR="007F045B" w:rsidRDefault="007F045B" w:rsidP="007F045B">
      <w:pPr>
        <w:pStyle w:val="ListParagraph"/>
        <w:numPr>
          <w:ilvl w:val="0"/>
          <w:numId w:val="6"/>
        </w:numPr>
        <w:rPr>
          <w:rFonts w:ascii="Arial" w:hAnsi="Arial" w:cs="Arial"/>
          <w:lang w:val="en-US"/>
        </w:rPr>
      </w:pPr>
      <w:r>
        <w:rPr>
          <w:rFonts w:ascii="Arial" w:hAnsi="Arial" w:cs="Arial"/>
          <w:lang w:val="en-US"/>
        </w:rPr>
        <w:t xml:space="preserve">These fallacious assumptions are used by the actuary to calculate a loss of earning capacity which yield significantly inflated figures because of the exponential nature of the calculation. </w:t>
      </w:r>
    </w:p>
    <w:p w14:paraId="2AB4C921" w14:textId="402FA9A8" w:rsidR="007F045B" w:rsidRDefault="007F045B" w:rsidP="007F045B">
      <w:pPr>
        <w:pStyle w:val="ListParagraph"/>
        <w:numPr>
          <w:ilvl w:val="0"/>
          <w:numId w:val="6"/>
        </w:numPr>
        <w:rPr>
          <w:rFonts w:ascii="Arial" w:hAnsi="Arial" w:cs="Arial"/>
          <w:lang w:val="en-US"/>
        </w:rPr>
      </w:pPr>
      <w:r>
        <w:rPr>
          <w:rFonts w:ascii="Arial" w:hAnsi="Arial" w:cs="Arial"/>
          <w:lang w:val="en-US"/>
        </w:rPr>
        <w:t xml:space="preserve">This actuarial report is then used as a basis for an amendment of the claim without any oversight. </w:t>
      </w:r>
    </w:p>
    <w:p w14:paraId="7F8C6293" w14:textId="6F63403C" w:rsidR="007F045B" w:rsidRDefault="007F045B" w:rsidP="007F045B">
      <w:pPr>
        <w:pStyle w:val="ListParagraph"/>
        <w:numPr>
          <w:ilvl w:val="0"/>
          <w:numId w:val="6"/>
        </w:numPr>
        <w:rPr>
          <w:rFonts w:ascii="Arial" w:hAnsi="Arial" w:cs="Arial"/>
          <w:lang w:val="en-US"/>
        </w:rPr>
      </w:pPr>
      <w:r>
        <w:rPr>
          <w:rFonts w:ascii="Arial" w:hAnsi="Arial" w:cs="Arial"/>
          <w:lang w:val="en-US"/>
        </w:rPr>
        <w:t xml:space="preserve">The RAF is not represented and is overwhelmed by the sheer volume of cases and/or the officials are pliable. They thus place undue reliance on the representations of the plaintiff’s attorney as to the loss. </w:t>
      </w:r>
    </w:p>
    <w:p w14:paraId="56B57205" w14:textId="5C4BC26D" w:rsidR="00034989" w:rsidRPr="007F045B" w:rsidRDefault="00034989" w:rsidP="007F045B">
      <w:pPr>
        <w:pStyle w:val="ListParagraph"/>
        <w:numPr>
          <w:ilvl w:val="0"/>
          <w:numId w:val="6"/>
        </w:numPr>
        <w:rPr>
          <w:rFonts w:ascii="Arial" w:hAnsi="Arial" w:cs="Arial"/>
          <w:lang w:val="en-US"/>
        </w:rPr>
      </w:pPr>
      <w:r>
        <w:rPr>
          <w:rFonts w:ascii="Arial" w:hAnsi="Arial" w:cs="Arial"/>
          <w:lang w:val="en-US"/>
        </w:rPr>
        <w:t>As to general damages, under-qualified and sometimes pliable doctors are used to suggest the injuries are more serious than they, in fact, are.’</w:t>
      </w:r>
    </w:p>
    <w:p w14:paraId="7DB0CE9F" w14:textId="77777777" w:rsidR="004D70CF" w:rsidRPr="000279D6" w:rsidRDefault="004D70CF" w:rsidP="00B05C8E">
      <w:pPr>
        <w:rPr>
          <w:rFonts w:ascii="Arial" w:hAnsi="Arial" w:cs="Arial"/>
          <w:sz w:val="24"/>
          <w:szCs w:val="24"/>
          <w:lang w:val="en-US"/>
        </w:rPr>
      </w:pPr>
    </w:p>
    <w:p w14:paraId="6FE00E0D" w14:textId="695E1619" w:rsidR="004276CB" w:rsidRDefault="008B02D3" w:rsidP="0070337D">
      <w:pPr>
        <w:rPr>
          <w:rFonts w:ascii="Arial" w:hAnsi="Arial" w:cs="Arial"/>
          <w:sz w:val="24"/>
          <w:szCs w:val="24"/>
          <w:lang w:val="en-US"/>
        </w:rPr>
      </w:pPr>
      <w:r>
        <w:rPr>
          <w:rFonts w:ascii="Arial" w:hAnsi="Arial" w:cs="Arial"/>
          <w:sz w:val="24"/>
          <w:szCs w:val="24"/>
          <w:lang w:val="en-US"/>
        </w:rPr>
        <w:t>[16</w:t>
      </w:r>
      <w:r w:rsidR="004D70CF" w:rsidRPr="000279D6">
        <w:rPr>
          <w:rFonts w:ascii="Arial" w:hAnsi="Arial" w:cs="Arial"/>
          <w:sz w:val="24"/>
          <w:szCs w:val="24"/>
          <w:lang w:val="en-US"/>
        </w:rPr>
        <w:t>]</w:t>
      </w:r>
      <w:r w:rsidR="004D70CF" w:rsidRPr="000279D6">
        <w:rPr>
          <w:rFonts w:ascii="Arial" w:hAnsi="Arial" w:cs="Arial"/>
          <w:sz w:val="24"/>
          <w:szCs w:val="24"/>
          <w:lang w:val="en-US"/>
        </w:rPr>
        <w:tab/>
      </w:r>
      <w:r w:rsidR="007552A0">
        <w:rPr>
          <w:rFonts w:ascii="Arial" w:hAnsi="Arial" w:cs="Arial"/>
          <w:sz w:val="24"/>
          <w:szCs w:val="24"/>
          <w:lang w:val="en-US"/>
        </w:rPr>
        <w:t xml:space="preserve">Part of this general </w:t>
      </w:r>
      <w:r w:rsidR="007552A0" w:rsidRPr="007552A0">
        <w:rPr>
          <w:rFonts w:ascii="Arial" w:hAnsi="Arial" w:cs="Arial"/>
          <w:i/>
          <w:sz w:val="24"/>
          <w:szCs w:val="24"/>
          <w:lang w:val="en-US"/>
        </w:rPr>
        <w:t>modus operandi</w:t>
      </w:r>
      <w:r w:rsidR="007552A0">
        <w:rPr>
          <w:rFonts w:ascii="Arial" w:hAnsi="Arial" w:cs="Arial"/>
          <w:sz w:val="24"/>
          <w:szCs w:val="24"/>
          <w:lang w:val="en-US"/>
        </w:rPr>
        <w:t xml:space="preserve">, so the court said, was to avoid judicial scrutiny of the settlement agreements. It stated: </w:t>
      </w:r>
    </w:p>
    <w:p w14:paraId="0903528A" w14:textId="102373E9" w:rsidR="007552A0" w:rsidRPr="007552A0" w:rsidRDefault="007552A0" w:rsidP="0070337D">
      <w:pPr>
        <w:rPr>
          <w:rFonts w:ascii="Arial" w:hAnsi="Arial" w:cs="Arial"/>
          <w:lang w:val="en-US"/>
        </w:rPr>
      </w:pPr>
      <w:r>
        <w:rPr>
          <w:rFonts w:ascii="Arial" w:hAnsi="Arial" w:cs="Arial"/>
          <w:lang w:val="en-US"/>
        </w:rPr>
        <w:t>‘What is of most concern, is that these two cases are not isolated instances, but are examples of a general approach which most courts are met with daily in their attempts at fostering and maintaining judicial oversight in the RAF environment. These cases expose defiant attempts by legal representatives to avoid judicial scrutiny of settlements entered into with the RAF under circumstances which are strongly suggestive of dishonesty and/or gross incompetence on the part of those involved.’</w:t>
      </w:r>
    </w:p>
    <w:p w14:paraId="0C05764B" w14:textId="77777777" w:rsidR="009C11E0" w:rsidRPr="000279D6" w:rsidRDefault="009C11E0" w:rsidP="00B05C8E">
      <w:pPr>
        <w:rPr>
          <w:rFonts w:ascii="Arial" w:hAnsi="Arial" w:cs="Arial"/>
          <w:sz w:val="24"/>
          <w:szCs w:val="24"/>
          <w:lang w:val="en-US"/>
        </w:rPr>
      </w:pPr>
    </w:p>
    <w:p w14:paraId="66BB04FA" w14:textId="5982AFDF" w:rsidR="00D02631" w:rsidRDefault="008B02D3" w:rsidP="0070337D">
      <w:pPr>
        <w:rPr>
          <w:rFonts w:ascii="Arial" w:hAnsi="Arial" w:cs="Arial"/>
          <w:sz w:val="24"/>
          <w:szCs w:val="24"/>
          <w:lang w:val="en-US"/>
        </w:rPr>
      </w:pPr>
      <w:r>
        <w:rPr>
          <w:rFonts w:ascii="Arial" w:hAnsi="Arial" w:cs="Arial"/>
          <w:sz w:val="24"/>
          <w:szCs w:val="24"/>
          <w:lang w:val="en-US"/>
        </w:rPr>
        <w:t>[17</w:t>
      </w:r>
      <w:r w:rsidR="009C11E0" w:rsidRPr="000279D6">
        <w:rPr>
          <w:rFonts w:ascii="Arial" w:hAnsi="Arial" w:cs="Arial"/>
          <w:sz w:val="24"/>
          <w:szCs w:val="24"/>
          <w:lang w:val="en-US"/>
        </w:rPr>
        <w:t>]</w:t>
      </w:r>
      <w:r w:rsidR="009C11E0" w:rsidRPr="000279D6">
        <w:rPr>
          <w:rFonts w:ascii="Arial" w:hAnsi="Arial" w:cs="Arial"/>
          <w:sz w:val="24"/>
          <w:szCs w:val="24"/>
          <w:lang w:val="en-US"/>
        </w:rPr>
        <w:tab/>
      </w:r>
      <w:r w:rsidR="00FF5F4C">
        <w:rPr>
          <w:rFonts w:ascii="Arial" w:hAnsi="Arial" w:cs="Arial"/>
          <w:sz w:val="24"/>
          <w:szCs w:val="24"/>
          <w:lang w:val="en-US"/>
        </w:rPr>
        <w:t xml:space="preserve">The court said that De Broglio Inc did not stand alone in its approach consisting of ‘tactics’ that had to be contrasted with behaving ‘in a manner which embraces openness and honesty’. It also said: </w:t>
      </w:r>
    </w:p>
    <w:p w14:paraId="7B2AE98F" w14:textId="4A1DBFAE" w:rsidR="00FF5F4C" w:rsidRPr="00FF5F4C" w:rsidRDefault="00FF5F4C" w:rsidP="0070337D">
      <w:pPr>
        <w:rPr>
          <w:rFonts w:ascii="Arial" w:hAnsi="Arial" w:cs="Arial"/>
          <w:lang w:val="en-US"/>
        </w:rPr>
      </w:pPr>
      <w:r>
        <w:rPr>
          <w:rFonts w:ascii="Arial" w:hAnsi="Arial" w:cs="Arial"/>
          <w:lang w:val="en-US"/>
        </w:rPr>
        <w:t xml:space="preserve">‘Whilst </w:t>
      </w:r>
      <w:r w:rsidR="00DA3480">
        <w:rPr>
          <w:rFonts w:ascii="Arial" w:hAnsi="Arial" w:cs="Arial"/>
          <w:lang w:val="en-US"/>
        </w:rPr>
        <w:t>De Broglio might believe that it</w:t>
      </w:r>
      <w:r>
        <w:rPr>
          <w:rFonts w:ascii="Arial" w:hAnsi="Arial" w:cs="Arial"/>
          <w:lang w:val="en-US"/>
        </w:rPr>
        <w:t xml:space="preserve"> has served the interests of its clients and itself in achieving a settlement agreement for a grossly inflated amount in circumstances where it has avoided this </w:t>
      </w:r>
      <w:r w:rsidR="00DA3480">
        <w:rPr>
          <w:rFonts w:ascii="Arial" w:hAnsi="Arial" w:cs="Arial"/>
          <w:lang w:val="en-US"/>
        </w:rPr>
        <w:t>Court’s jurisdiction, in fact it</w:t>
      </w:r>
      <w:r>
        <w:rPr>
          <w:rFonts w:ascii="Arial" w:hAnsi="Arial" w:cs="Arial"/>
          <w:lang w:val="en-US"/>
        </w:rPr>
        <w:t xml:space="preserve"> has placed them in jeopardy.’</w:t>
      </w:r>
    </w:p>
    <w:p w14:paraId="68D20458" w14:textId="67696EF0" w:rsidR="00DC67AD" w:rsidRPr="000279D6" w:rsidRDefault="00D5756D" w:rsidP="0070337D">
      <w:pPr>
        <w:rPr>
          <w:rFonts w:ascii="Arial" w:hAnsi="Arial" w:cs="Arial"/>
        </w:rPr>
      </w:pPr>
      <w:r>
        <w:rPr>
          <w:rFonts w:ascii="Arial" w:hAnsi="Arial" w:cs="Arial"/>
          <w:sz w:val="24"/>
          <w:szCs w:val="24"/>
          <w:lang w:val="en-US"/>
        </w:rPr>
        <w:t xml:space="preserve">In relation to the Mathonsi matter, the court said that the reports of Dr Scheepers and Mr Kramer had been ‘employed to dubious end’ and that </w:t>
      </w:r>
      <w:r w:rsidR="008F7466">
        <w:rPr>
          <w:rFonts w:ascii="Arial" w:hAnsi="Arial" w:cs="Arial"/>
          <w:sz w:val="24"/>
          <w:szCs w:val="24"/>
          <w:lang w:val="en-US"/>
        </w:rPr>
        <w:t>its</w:t>
      </w:r>
      <w:r>
        <w:rPr>
          <w:rFonts w:ascii="Arial" w:hAnsi="Arial" w:cs="Arial"/>
          <w:sz w:val="24"/>
          <w:szCs w:val="24"/>
          <w:lang w:val="en-US"/>
        </w:rPr>
        <w:t xml:space="preserve"> general sense was that </w:t>
      </w:r>
      <w:r>
        <w:rPr>
          <w:rFonts w:ascii="Arial" w:hAnsi="Arial" w:cs="Arial"/>
          <w:sz w:val="24"/>
          <w:szCs w:val="24"/>
          <w:lang w:val="en-US"/>
        </w:rPr>
        <w:lastRenderedPageBreak/>
        <w:t>the matter had been dealt with in a ‘dishonest and cavalier manner’. In the</w:t>
      </w:r>
      <w:r w:rsidR="008F7466">
        <w:rPr>
          <w:rFonts w:ascii="Arial" w:hAnsi="Arial" w:cs="Arial"/>
          <w:sz w:val="24"/>
          <w:szCs w:val="24"/>
          <w:lang w:val="en-US"/>
        </w:rPr>
        <w:t>ir</w:t>
      </w:r>
      <w:r>
        <w:rPr>
          <w:rFonts w:ascii="Arial" w:hAnsi="Arial" w:cs="Arial"/>
          <w:sz w:val="24"/>
          <w:szCs w:val="24"/>
          <w:lang w:val="en-US"/>
        </w:rPr>
        <w:t xml:space="preserve"> context </w:t>
      </w:r>
      <w:r w:rsidR="008F7466">
        <w:rPr>
          <w:rFonts w:ascii="Arial" w:hAnsi="Arial" w:cs="Arial"/>
          <w:sz w:val="24"/>
          <w:szCs w:val="24"/>
          <w:lang w:val="en-US"/>
        </w:rPr>
        <w:t>these remarks could only relate</w:t>
      </w:r>
      <w:r>
        <w:rPr>
          <w:rFonts w:ascii="Arial" w:hAnsi="Arial" w:cs="Arial"/>
          <w:sz w:val="24"/>
          <w:szCs w:val="24"/>
          <w:lang w:val="en-US"/>
        </w:rPr>
        <w:t xml:space="preserve"> to De Broglio Inc. </w:t>
      </w:r>
    </w:p>
    <w:p w14:paraId="1EFBA3DA" w14:textId="77777777" w:rsidR="008C3428" w:rsidRPr="000279D6" w:rsidRDefault="008C3428" w:rsidP="00B05C8E">
      <w:pPr>
        <w:ind w:left="709" w:hanging="709"/>
        <w:rPr>
          <w:rFonts w:ascii="Arial" w:hAnsi="Arial" w:cs="Arial"/>
        </w:rPr>
      </w:pPr>
    </w:p>
    <w:p w14:paraId="018C5590" w14:textId="05A1E258" w:rsidR="003F1308" w:rsidRDefault="008B02D3" w:rsidP="0070337D">
      <w:pPr>
        <w:rPr>
          <w:rFonts w:ascii="Arial" w:hAnsi="Arial" w:cs="Arial"/>
          <w:sz w:val="24"/>
          <w:szCs w:val="24"/>
        </w:rPr>
      </w:pPr>
      <w:r>
        <w:rPr>
          <w:rFonts w:ascii="Arial" w:hAnsi="Arial" w:cs="Arial"/>
          <w:sz w:val="24"/>
          <w:szCs w:val="24"/>
        </w:rPr>
        <w:t>[18</w:t>
      </w:r>
      <w:r w:rsidR="008C3428" w:rsidRPr="000279D6">
        <w:rPr>
          <w:rFonts w:ascii="Arial" w:hAnsi="Arial" w:cs="Arial"/>
          <w:sz w:val="24"/>
          <w:szCs w:val="24"/>
        </w:rPr>
        <w:t>]</w:t>
      </w:r>
      <w:r w:rsidR="008C3428" w:rsidRPr="000279D6">
        <w:rPr>
          <w:rFonts w:ascii="Arial" w:hAnsi="Arial" w:cs="Arial"/>
          <w:sz w:val="24"/>
          <w:szCs w:val="24"/>
        </w:rPr>
        <w:tab/>
      </w:r>
      <w:r w:rsidR="003F1308" w:rsidRPr="000279D6">
        <w:rPr>
          <w:rFonts w:ascii="Arial" w:hAnsi="Arial" w:cs="Arial"/>
          <w:sz w:val="24"/>
          <w:szCs w:val="24"/>
        </w:rPr>
        <w:t xml:space="preserve"> </w:t>
      </w:r>
      <w:r w:rsidR="00D5756D">
        <w:rPr>
          <w:rFonts w:ascii="Arial" w:hAnsi="Arial" w:cs="Arial"/>
          <w:sz w:val="24"/>
          <w:szCs w:val="24"/>
        </w:rPr>
        <w:t>With regard to the conduct of the legal representatives of Ms Taylor, the court stated that the proposal that had been made to the RAF, ‘constituted, on the face of it, a deliberate misrepresentation of the claim and the evidence available to prove it’. It held</w:t>
      </w:r>
      <w:r w:rsidR="00DB3FE3">
        <w:rPr>
          <w:rFonts w:ascii="Arial" w:hAnsi="Arial" w:cs="Arial"/>
          <w:sz w:val="24"/>
          <w:szCs w:val="24"/>
        </w:rPr>
        <w:t>:</w:t>
      </w:r>
      <w:r w:rsidR="00D5756D">
        <w:rPr>
          <w:rFonts w:ascii="Arial" w:hAnsi="Arial" w:cs="Arial"/>
          <w:sz w:val="24"/>
          <w:szCs w:val="24"/>
        </w:rPr>
        <w:t xml:space="preserve"> </w:t>
      </w:r>
    </w:p>
    <w:p w14:paraId="0360360B" w14:textId="426ABE4A" w:rsidR="00DB3FE3" w:rsidRDefault="00904146" w:rsidP="0070337D">
      <w:pPr>
        <w:rPr>
          <w:rFonts w:ascii="Arial" w:hAnsi="Arial" w:cs="Arial"/>
        </w:rPr>
      </w:pPr>
      <w:r>
        <w:rPr>
          <w:rFonts w:ascii="Arial" w:hAnsi="Arial" w:cs="Arial"/>
        </w:rPr>
        <w:t>‘There can, in my view, be no doubt that Mr van den Barselaar and Ms de Swardt were both well aware of the force of the contents of the Proposal in the context of the settlement engagement and the representations made therein.’</w:t>
      </w:r>
    </w:p>
    <w:p w14:paraId="6BB7319B" w14:textId="2E7505C3" w:rsidR="00316E6C" w:rsidRDefault="00316E6C" w:rsidP="0070337D">
      <w:pPr>
        <w:rPr>
          <w:rFonts w:ascii="Arial" w:hAnsi="Arial" w:cs="Arial"/>
          <w:sz w:val="24"/>
          <w:szCs w:val="24"/>
        </w:rPr>
      </w:pPr>
      <w:r>
        <w:rPr>
          <w:rFonts w:ascii="Arial" w:hAnsi="Arial" w:cs="Arial"/>
          <w:sz w:val="24"/>
          <w:szCs w:val="24"/>
        </w:rPr>
        <w:t xml:space="preserve">It proceeded to say: </w:t>
      </w:r>
    </w:p>
    <w:p w14:paraId="03533E86" w14:textId="1D724E0C" w:rsidR="00C05791" w:rsidRPr="00316E6C" w:rsidRDefault="00316E6C" w:rsidP="0070337D">
      <w:pPr>
        <w:rPr>
          <w:rFonts w:ascii="Arial" w:hAnsi="Arial" w:cs="Arial"/>
        </w:rPr>
      </w:pPr>
      <w:r>
        <w:rPr>
          <w:rFonts w:ascii="Arial" w:hAnsi="Arial" w:cs="Arial"/>
        </w:rPr>
        <w:t>‘</w:t>
      </w:r>
      <w:r w:rsidR="00C05791">
        <w:rPr>
          <w:rFonts w:ascii="Arial" w:hAnsi="Arial" w:cs="Arial"/>
        </w:rPr>
        <w:t>To my mind the approach adopted by the plaintiff’s legal representatives is nothing more than sleight of hand. There is no evidence that Ms Taylor lost her job as a result of the accident; the use of Mr Kramer’s actuarial calculation as a basis of the amended claim bears no scrutiny; and Ms Taylor does not qualify for general damages on her own case. And yet, through the machinations of Ms de Swardt of De Broglio and Mr van den Barselaar an offer of R1 300 000 was extracted from the RAF.’</w:t>
      </w:r>
    </w:p>
    <w:p w14:paraId="4CABB493" w14:textId="77777777" w:rsidR="008C3428" w:rsidRPr="000279D6" w:rsidRDefault="008C3428" w:rsidP="005D0745">
      <w:pPr>
        <w:ind w:left="709" w:hanging="709"/>
        <w:rPr>
          <w:rFonts w:ascii="Arial" w:hAnsi="Arial" w:cs="Arial"/>
          <w:sz w:val="24"/>
          <w:szCs w:val="24"/>
        </w:rPr>
      </w:pPr>
    </w:p>
    <w:p w14:paraId="1B4F9E28" w14:textId="3E084F7D" w:rsidR="006F79A3" w:rsidRPr="000279D6" w:rsidRDefault="008B02D3" w:rsidP="0070337D">
      <w:pPr>
        <w:rPr>
          <w:rFonts w:ascii="Arial" w:hAnsi="Arial" w:cs="Arial"/>
        </w:rPr>
      </w:pPr>
      <w:r>
        <w:rPr>
          <w:rFonts w:ascii="Arial" w:hAnsi="Arial" w:cs="Arial"/>
          <w:sz w:val="24"/>
          <w:szCs w:val="24"/>
        </w:rPr>
        <w:t>[19</w:t>
      </w:r>
      <w:r w:rsidR="008C3428" w:rsidRPr="000279D6">
        <w:rPr>
          <w:rFonts w:ascii="Arial" w:hAnsi="Arial" w:cs="Arial"/>
          <w:sz w:val="24"/>
          <w:szCs w:val="24"/>
        </w:rPr>
        <w:t>]</w:t>
      </w:r>
      <w:r w:rsidR="008C3428" w:rsidRPr="000279D6">
        <w:rPr>
          <w:rFonts w:ascii="Arial" w:hAnsi="Arial" w:cs="Arial"/>
          <w:sz w:val="24"/>
          <w:szCs w:val="24"/>
        </w:rPr>
        <w:tab/>
      </w:r>
      <w:r w:rsidR="0034084A">
        <w:rPr>
          <w:rFonts w:ascii="Arial" w:hAnsi="Arial" w:cs="Arial"/>
          <w:sz w:val="24"/>
          <w:szCs w:val="24"/>
        </w:rPr>
        <w:t>Fisher J t</w:t>
      </w:r>
      <w:r w:rsidR="008F7466">
        <w:rPr>
          <w:rFonts w:ascii="Arial" w:hAnsi="Arial" w:cs="Arial"/>
          <w:sz w:val="24"/>
          <w:szCs w:val="24"/>
        </w:rPr>
        <w:t>hus held that De Broglio Inc, Ms De</w:t>
      </w:r>
      <w:r w:rsidR="0034084A">
        <w:rPr>
          <w:rFonts w:ascii="Arial" w:hAnsi="Arial" w:cs="Arial"/>
          <w:sz w:val="24"/>
          <w:szCs w:val="24"/>
        </w:rPr>
        <w:t xml:space="preserve"> Swar</w:t>
      </w:r>
      <w:r w:rsidR="008F7466">
        <w:rPr>
          <w:rFonts w:ascii="Arial" w:hAnsi="Arial" w:cs="Arial"/>
          <w:sz w:val="24"/>
          <w:szCs w:val="24"/>
        </w:rPr>
        <w:t>dt and Mr V</w:t>
      </w:r>
      <w:r w:rsidR="0034084A">
        <w:rPr>
          <w:rFonts w:ascii="Arial" w:hAnsi="Arial" w:cs="Arial"/>
          <w:sz w:val="24"/>
          <w:szCs w:val="24"/>
        </w:rPr>
        <w:t xml:space="preserve">an den Barselaar had: dishonestly misrepresented the facts of the Taylor matter to the RAF; thus extracted a grossly inflated settlement offer from the RAF; and sought to avoid judicial scrutiny of the consequent settlement agreement. </w:t>
      </w:r>
    </w:p>
    <w:p w14:paraId="00838969" w14:textId="77777777" w:rsidR="00B378FF" w:rsidRPr="000279D6" w:rsidRDefault="00B378FF" w:rsidP="00B05C8E">
      <w:pPr>
        <w:rPr>
          <w:rFonts w:ascii="Arial" w:hAnsi="Arial" w:cs="Arial"/>
          <w:sz w:val="24"/>
          <w:szCs w:val="24"/>
        </w:rPr>
      </w:pPr>
    </w:p>
    <w:p w14:paraId="200C21EC" w14:textId="6F949941" w:rsidR="009F7510" w:rsidRPr="0034084A" w:rsidRDefault="008B02D3" w:rsidP="0070337D">
      <w:pPr>
        <w:rPr>
          <w:rFonts w:ascii="Arial" w:hAnsi="Arial" w:cs="Arial"/>
          <w:sz w:val="24"/>
          <w:szCs w:val="24"/>
        </w:rPr>
      </w:pPr>
      <w:r>
        <w:rPr>
          <w:rFonts w:ascii="Arial" w:hAnsi="Arial" w:cs="Arial"/>
          <w:sz w:val="24"/>
          <w:szCs w:val="24"/>
        </w:rPr>
        <w:t>[20</w:t>
      </w:r>
      <w:r w:rsidR="002B2672" w:rsidRPr="000279D6">
        <w:rPr>
          <w:rFonts w:ascii="Arial" w:hAnsi="Arial" w:cs="Arial"/>
          <w:sz w:val="24"/>
          <w:szCs w:val="24"/>
        </w:rPr>
        <w:t>]</w:t>
      </w:r>
      <w:r w:rsidR="002B2672" w:rsidRPr="000279D6">
        <w:rPr>
          <w:rFonts w:ascii="Arial" w:hAnsi="Arial" w:cs="Arial"/>
          <w:sz w:val="24"/>
          <w:szCs w:val="24"/>
        </w:rPr>
        <w:tab/>
      </w:r>
      <w:r w:rsidR="001A39DC" w:rsidRPr="000279D6">
        <w:rPr>
          <w:rFonts w:ascii="Arial" w:hAnsi="Arial" w:cs="Arial"/>
        </w:rPr>
        <w:t xml:space="preserve"> </w:t>
      </w:r>
      <w:r w:rsidR="0034084A">
        <w:rPr>
          <w:rFonts w:ascii="Arial" w:hAnsi="Arial" w:cs="Arial"/>
          <w:sz w:val="24"/>
          <w:szCs w:val="24"/>
        </w:rPr>
        <w:t xml:space="preserve">Even the actuary, Mr Kramer, was not spared. </w:t>
      </w:r>
      <w:r w:rsidR="008D6B38">
        <w:rPr>
          <w:rFonts w:ascii="Arial" w:hAnsi="Arial" w:cs="Arial"/>
          <w:sz w:val="24"/>
          <w:szCs w:val="24"/>
        </w:rPr>
        <w:t xml:space="preserve">Fisher J said that Mr Kramer’s calculations in the Taylor matter had been made on the basis of a ‘patently false’ assumption as to Ms Taylor’s income. The implication of the judgment was that this was deliberate. This is evidenced by the </w:t>
      </w:r>
      <w:r w:rsidR="008F7466">
        <w:rPr>
          <w:rFonts w:ascii="Arial" w:hAnsi="Arial" w:cs="Arial"/>
          <w:sz w:val="24"/>
          <w:szCs w:val="24"/>
        </w:rPr>
        <w:t xml:space="preserve">court’s reference to ‘Mr Kramer’s </w:t>
      </w:r>
      <w:r w:rsidR="008D6B38">
        <w:rPr>
          <w:rFonts w:ascii="Arial" w:hAnsi="Arial" w:cs="Arial"/>
          <w:sz w:val="24"/>
          <w:szCs w:val="24"/>
        </w:rPr>
        <w:t xml:space="preserve">contrived report’. </w:t>
      </w:r>
    </w:p>
    <w:p w14:paraId="78322078" w14:textId="77777777" w:rsidR="002B2672" w:rsidRPr="000279D6" w:rsidRDefault="002B2672" w:rsidP="00B05C8E">
      <w:pPr>
        <w:ind w:left="709" w:hanging="709"/>
        <w:rPr>
          <w:rFonts w:ascii="Arial" w:hAnsi="Arial" w:cs="Arial"/>
          <w:sz w:val="24"/>
          <w:szCs w:val="24"/>
        </w:rPr>
      </w:pPr>
    </w:p>
    <w:p w14:paraId="7B66DBBD" w14:textId="51629F3F" w:rsidR="008D6B38" w:rsidRDefault="008B02D3" w:rsidP="0070337D">
      <w:pPr>
        <w:rPr>
          <w:rFonts w:ascii="Arial" w:hAnsi="Arial" w:cs="Arial"/>
          <w:sz w:val="24"/>
          <w:szCs w:val="24"/>
        </w:rPr>
      </w:pPr>
      <w:r>
        <w:rPr>
          <w:rFonts w:ascii="Arial" w:hAnsi="Arial" w:cs="Arial"/>
          <w:sz w:val="24"/>
          <w:szCs w:val="24"/>
        </w:rPr>
        <w:t>[21</w:t>
      </w:r>
      <w:r w:rsidR="002B2672" w:rsidRPr="000279D6">
        <w:rPr>
          <w:rFonts w:ascii="Arial" w:hAnsi="Arial" w:cs="Arial"/>
          <w:sz w:val="24"/>
          <w:szCs w:val="24"/>
        </w:rPr>
        <w:t>]</w:t>
      </w:r>
      <w:r w:rsidR="00F308C8" w:rsidRPr="000279D6">
        <w:rPr>
          <w:rFonts w:ascii="Arial" w:hAnsi="Arial" w:cs="Arial"/>
          <w:sz w:val="24"/>
          <w:szCs w:val="24"/>
        </w:rPr>
        <w:tab/>
      </w:r>
      <w:r w:rsidR="00C5364C" w:rsidRPr="000279D6">
        <w:rPr>
          <w:rFonts w:ascii="Arial" w:hAnsi="Arial" w:cs="Arial"/>
          <w:sz w:val="24"/>
          <w:szCs w:val="24"/>
        </w:rPr>
        <w:t xml:space="preserve"> </w:t>
      </w:r>
      <w:r w:rsidR="008D6B38">
        <w:rPr>
          <w:rFonts w:ascii="Arial" w:hAnsi="Arial" w:cs="Arial"/>
          <w:sz w:val="24"/>
          <w:szCs w:val="24"/>
        </w:rPr>
        <w:t>Under the heading ‘The effect of the purported settlements’, the court said</w:t>
      </w:r>
      <w:r w:rsidR="00DD5B2E">
        <w:rPr>
          <w:rFonts w:ascii="Arial" w:hAnsi="Arial" w:cs="Arial"/>
          <w:sz w:val="24"/>
          <w:szCs w:val="24"/>
        </w:rPr>
        <w:t>:</w:t>
      </w:r>
    </w:p>
    <w:p w14:paraId="671E41DF" w14:textId="069AAD13" w:rsidR="000C77F7" w:rsidRDefault="000C77F7" w:rsidP="0070337D">
      <w:pPr>
        <w:rPr>
          <w:rFonts w:ascii="Arial" w:hAnsi="Arial" w:cs="Arial"/>
        </w:rPr>
      </w:pPr>
      <w:r>
        <w:rPr>
          <w:rFonts w:ascii="Arial" w:hAnsi="Arial" w:cs="Arial"/>
        </w:rPr>
        <w:t xml:space="preserve">‘The commencement, defence and conduct of litigation by organs of state constitutes the exercise of public power. It must be done in a constitutionally compliant manner upholding legality and the rule of law. The RAF has chosen to ignore this Court’s pointed concerns and instead of insisting on an order of Court as a precondition to its settlement, which would be </w:t>
      </w:r>
      <w:r>
        <w:rPr>
          <w:rFonts w:ascii="Arial" w:hAnsi="Arial" w:cs="Arial"/>
        </w:rPr>
        <w:lastRenderedPageBreak/>
        <w:t>the rational approach it has chosen to acquiesce in the tactic adopted by De Broglio on behalf of the plaintiff. That the RAF is conducting its business in this reckless manner under insolvent circumstances is of great concern to this Court.</w:t>
      </w:r>
    </w:p>
    <w:p w14:paraId="76EE66F3" w14:textId="15FEC078" w:rsidR="000C77F7" w:rsidRPr="000C77F7" w:rsidRDefault="000C77F7" w:rsidP="0070337D">
      <w:pPr>
        <w:rPr>
          <w:rFonts w:ascii="Arial" w:hAnsi="Arial" w:cs="Arial"/>
        </w:rPr>
      </w:pPr>
      <w:r>
        <w:rPr>
          <w:rFonts w:ascii="Arial" w:hAnsi="Arial" w:cs="Arial"/>
        </w:rPr>
        <w:t xml:space="preserve">What is clear in relation </w:t>
      </w:r>
      <w:r w:rsidR="000F4131">
        <w:rPr>
          <w:rFonts w:ascii="Arial" w:hAnsi="Arial" w:cs="Arial"/>
        </w:rPr>
        <w:t xml:space="preserve">to these two cases is that the RAF officials did not act lawfully to conclude the settlements and for this reason they are void </w:t>
      </w:r>
      <w:r w:rsidR="000F4131" w:rsidRPr="000F4131">
        <w:rPr>
          <w:rFonts w:ascii="Arial" w:hAnsi="Arial" w:cs="Arial"/>
          <w:i/>
        </w:rPr>
        <w:t>ab initio</w:t>
      </w:r>
      <w:r w:rsidR="000F4131">
        <w:rPr>
          <w:rFonts w:ascii="Arial" w:hAnsi="Arial" w:cs="Arial"/>
        </w:rPr>
        <w:t>. Thus on this issue, I agree with Ms Hassim that there is no settlement.’</w:t>
      </w:r>
    </w:p>
    <w:p w14:paraId="19C78737" w14:textId="77777777" w:rsidR="00C5364C" w:rsidRPr="000279D6" w:rsidRDefault="00C5364C" w:rsidP="00B05C8E">
      <w:pPr>
        <w:ind w:left="709" w:hanging="709"/>
        <w:rPr>
          <w:rFonts w:ascii="Arial" w:hAnsi="Arial" w:cs="Arial"/>
          <w:sz w:val="24"/>
          <w:szCs w:val="24"/>
        </w:rPr>
      </w:pPr>
    </w:p>
    <w:p w14:paraId="0021E532" w14:textId="4F840555" w:rsidR="00442B86" w:rsidRDefault="008B02D3" w:rsidP="00B05C8E">
      <w:pPr>
        <w:rPr>
          <w:rFonts w:ascii="Arial" w:hAnsi="Arial" w:cs="Arial"/>
          <w:sz w:val="24"/>
          <w:szCs w:val="24"/>
        </w:rPr>
      </w:pPr>
      <w:r>
        <w:rPr>
          <w:rFonts w:ascii="Arial" w:hAnsi="Arial" w:cs="Arial"/>
          <w:sz w:val="24"/>
          <w:szCs w:val="24"/>
        </w:rPr>
        <w:t>[22</w:t>
      </w:r>
      <w:r w:rsidR="00C5364C" w:rsidRPr="000279D6">
        <w:rPr>
          <w:rFonts w:ascii="Arial" w:hAnsi="Arial" w:cs="Arial"/>
          <w:sz w:val="24"/>
          <w:szCs w:val="24"/>
        </w:rPr>
        <w:t>]</w:t>
      </w:r>
      <w:r w:rsidR="00C5364C" w:rsidRPr="000279D6">
        <w:rPr>
          <w:rFonts w:ascii="Arial" w:hAnsi="Arial" w:cs="Arial"/>
          <w:sz w:val="24"/>
          <w:szCs w:val="24"/>
        </w:rPr>
        <w:tab/>
      </w:r>
      <w:r w:rsidR="00B05543" w:rsidRPr="000279D6">
        <w:rPr>
          <w:rFonts w:ascii="Arial" w:hAnsi="Arial" w:cs="Arial"/>
          <w:sz w:val="24"/>
          <w:szCs w:val="24"/>
        </w:rPr>
        <w:t xml:space="preserve"> </w:t>
      </w:r>
      <w:r w:rsidR="005233CC">
        <w:rPr>
          <w:rFonts w:ascii="Arial" w:hAnsi="Arial" w:cs="Arial"/>
          <w:sz w:val="24"/>
          <w:szCs w:val="24"/>
        </w:rPr>
        <w:t xml:space="preserve">The judgment nevertheless concluded as follows: </w:t>
      </w:r>
    </w:p>
    <w:p w14:paraId="4828137B" w14:textId="13B04365" w:rsidR="005233CC" w:rsidRPr="005233CC" w:rsidRDefault="005233CC" w:rsidP="00B05C8E">
      <w:pPr>
        <w:rPr>
          <w:rFonts w:ascii="Arial" w:hAnsi="Arial" w:cs="Arial"/>
        </w:rPr>
      </w:pPr>
      <w:r>
        <w:rPr>
          <w:rFonts w:ascii="Arial" w:hAnsi="Arial" w:cs="Arial"/>
        </w:rPr>
        <w:t xml:space="preserve">‘To the extent </w:t>
      </w:r>
      <w:r w:rsidR="00EE1A75">
        <w:rPr>
          <w:rFonts w:ascii="Arial" w:hAnsi="Arial" w:cs="Arial"/>
        </w:rPr>
        <w:t>that the settlements are unconstitutional they are unenforceable. And if payment is made pursuant thereto this would constitute irregular expenditure by the RAF and potentially make those approving such payments vulnerable to personal scrutiny by the Courts. The RAF is a public entity, as contemplated in Part A of Schedule 3 of the Public Finance Management (PFMA) and is therefore subject to the onerous prescripts relating to public expenditure set out in the PFMA. Thus, without further collusion by the RAF in relation to payment, the settlements are, in effect, worthless.’</w:t>
      </w:r>
    </w:p>
    <w:p w14:paraId="5417011C" w14:textId="77777777" w:rsidR="001C0D31" w:rsidRPr="000279D6" w:rsidRDefault="001C0D31" w:rsidP="00B05C8E">
      <w:pPr>
        <w:ind w:left="709" w:hanging="709"/>
        <w:rPr>
          <w:rFonts w:ascii="Arial" w:hAnsi="Arial" w:cs="Arial"/>
          <w:sz w:val="24"/>
          <w:szCs w:val="24"/>
        </w:rPr>
      </w:pPr>
    </w:p>
    <w:p w14:paraId="42E3506F" w14:textId="16CD78BB" w:rsidR="00F609FC" w:rsidRDefault="008B02D3" w:rsidP="000279D6">
      <w:pPr>
        <w:rPr>
          <w:rFonts w:ascii="Arial" w:hAnsi="Arial" w:cs="Arial"/>
          <w:sz w:val="24"/>
          <w:szCs w:val="24"/>
        </w:rPr>
      </w:pPr>
      <w:r>
        <w:rPr>
          <w:rFonts w:ascii="Arial" w:hAnsi="Arial" w:cs="Arial"/>
          <w:sz w:val="24"/>
          <w:szCs w:val="24"/>
        </w:rPr>
        <w:t>[23</w:t>
      </w:r>
      <w:r w:rsidR="00442B86" w:rsidRPr="000279D6">
        <w:rPr>
          <w:rFonts w:ascii="Arial" w:hAnsi="Arial" w:cs="Arial"/>
          <w:sz w:val="24"/>
          <w:szCs w:val="24"/>
        </w:rPr>
        <w:t>]</w:t>
      </w:r>
      <w:r w:rsidR="00442B86" w:rsidRPr="000279D6">
        <w:rPr>
          <w:rFonts w:ascii="Arial" w:hAnsi="Arial" w:cs="Arial"/>
          <w:sz w:val="24"/>
          <w:szCs w:val="24"/>
        </w:rPr>
        <w:tab/>
      </w:r>
      <w:r w:rsidR="00B83CEE" w:rsidRPr="000279D6">
        <w:rPr>
          <w:rFonts w:ascii="Arial" w:hAnsi="Arial" w:cs="Arial"/>
          <w:sz w:val="24"/>
          <w:szCs w:val="24"/>
        </w:rPr>
        <w:t xml:space="preserve"> </w:t>
      </w:r>
      <w:r w:rsidR="00407ED1">
        <w:rPr>
          <w:rFonts w:ascii="Arial" w:hAnsi="Arial" w:cs="Arial"/>
          <w:sz w:val="24"/>
          <w:szCs w:val="24"/>
        </w:rPr>
        <w:t xml:space="preserve">The following order was issued: </w:t>
      </w:r>
    </w:p>
    <w:p w14:paraId="2CE2E223" w14:textId="160F935B" w:rsidR="00407ED1" w:rsidRDefault="00407ED1" w:rsidP="000279D6">
      <w:pPr>
        <w:rPr>
          <w:rFonts w:ascii="Arial" w:hAnsi="Arial" w:cs="Arial"/>
        </w:rPr>
      </w:pPr>
      <w:r>
        <w:rPr>
          <w:rFonts w:ascii="Arial" w:hAnsi="Arial" w:cs="Arial"/>
        </w:rPr>
        <w:t>‘1.</w:t>
      </w:r>
      <w:r>
        <w:rPr>
          <w:rFonts w:ascii="Arial" w:hAnsi="Arial" w:cs="Arial"/>
        </w:rPr>
        <w:tab/>
        <w:t xml:space="preserve">In case 37986/2018 Taylor v RAF the following order is made: </w:t>
      </w:r>
    </w:p>
    <w:p w14:paraId="6E94D80E" w14:textId="46BDA890" w:rsidR="00407ED1" w:rsidRDefault="00407ED1" w:rsidP="00407ED1">
      <w:pPr>
        <w:pStyle w:val="ListParagraph"/>
        <w:numPr>
          <w:ilvl w:val="0"/>
          <w:numId w:val="7"/>
        </w:numPr>
        <w:rPr>
          <w:rFonts w:ascii="Arial" w:hAnsi="Arial" w:cs="Arial"/>
        </w:rPr>
      </w:pPr>
      <w:r>
        <w:rPr>
          <w:rFonts w:ascii="Arial" w:hAnsi="Arial" w:cs="Arial"/>
        </w:rPr>
        <w:t>The matter is postponed sine die.</w:t>
      </w:r>
    </w:p>
    <w:p w14:paraId="523E9A98" w14:textId="35C03C00" w:rsidR="00407ED1" w:rsidRDefault="00407ED1" w:rsidP="00407ED1">
      <w:pPr>
        <w:pStyle w:val="ListParagraph"/>
        <w:numPr>
          <w:ilvl w:val="0"/>
          <w:numId w:val="7"/>
        </w:numPr>
        <w:rPr>
          <w:rFonts w:ascii="Arial" w:hAnsi="Arial" w:cs="Arial"/>
        </w:rPr>
      </w:pPr>
      <w:r>
        <w:rPr>
          <w:rFonts w:ascii="Arial" w:hAnsi="Arial" w:cs="Arial"/>
        </w:rPr>
        <w:t>This judgment is to be brought to the attention of any court called upon to enforce the purported settlement agreement.</w:t>
      </w:r>
    </w:p>
    <w:p w14:paraId="2ACA8CD1" w14:textId="6E7F5C13" w:rsidR="00407ED1" w:rsidRDefault="00407ED1" w:rsidP="00407ED1">
      <w:pPr>
        <w:pStyle w:val="ListParagraph"/>
        <w:numPr>
          <w:ilvl w:val="0"/>
          <w:numId w:val="7"/>
        </w:numPr>
        <w:rPr>
          <w:rFonts w:ascii="Arial" w:hAnsi="Arial" w:cs="Arial"/>
        </w:rPr>
      </w:pPr>
      <w:r>
        <w:rPr>
          <w:rFonts w:ascii="Arial" w:hAnsi="Arial" w:cs="Arial"/>
        </w:rPr>
        <w:t xml:space="preserve">The conduct of De Broglio Inc, Ms de Swardt, and Mr van den Barselaar is referred to the Legal Practice Counsel. </w:t>
      </w:r>
    </w:p>
    <w:p w14:paraId="282A0144" w14:textId="2AF21C34" w:rsidR="00407ED1" w:rsidRDefault="00407ED1" w:rsidP="00407ED1">
      <w:pPr>
        <w:pStyle w:val="ListParagraph"/>
        <w:numPr>
          <w:ilvl w:val="0"/>
          <w:numId w:val="7"/>
        </w:numPr>
        <w:rPr>
          <w:rFonts w:ascii="Arial" w:hAnsi="Arial" w:cs="Arial"/>
        </w:rPr>
      </w:pPr>
      <w:r>
        <w:rPr>
          <w:rFonts w:ascii="Arial" w:hAnsi="Arial" w:cs="Arial"/>
        </w:rPr>
        <w:t xml:space="preserve">The conduct of Dr Kevin Scheepers in this matter is referred to the Health Professions Council of South Africa (HPCSA). </w:t>
      </w:r>
    </w:p>
    <w:p w14:paraId="2530CFE8" w14:textId="0C38E2DF" w:rsidR="00407ED1" w:rsidRDefault="00260DD2" w:rsidP="00407ED1">
      <w:pPr>
        <w:pStyle w:val="ListParagraph"/>
        <w:numPr>
          <w:ilvl w:val="0"/>
          <w:numId w:val="7"/>
        </w:numPr>
        <w:rPr>
          <w:rFonts w:ascii="Arial" w:hAnsi="Arial" w:cs="Arial"/>
        </w:rPr>
      </w:pPr>
      <w:r>
        <w:rPr>
          <w:rFonts w:ascii="Arial" w:hAnsi="Arial" w:cs="Arial"/>
        </w:rPr>
        <w:t xml:space="preserve">The conduct of Mr Ivan Kramer is referred to the Actuarial Society of South Africa. </w:t>
      </w:r>
    </w:p>
    <w:p w14:paraId="3C8317E8" w14:textId="61358103" w:rsidR="00260DD2" w:rsidRDefault="00260DD2" w:rsidP="00260DD2">
      <w:pPr>
        <w:rPr>
          <w:rFonts w:ascii="Arial" w:hAnsi="Arial" w:cs="Arial"/>
        </w:rPr>
      </w:pPr>
      <w:r>
        <w:rPr>
          <w:rFonts w:ascii="Arial" w:hAnsi="Arial" w:cs="Arial"/>
        </w:rPr>
        <w:t>2.</w:t>
      </w:r>
      <w:r>
        <w:rPr>
          <w:rFonts w:ascii="Arial" w:hAnsi="Arial" w:cs="Arial"/>
        </w:rPr>
        <w:tab/>
        <w:t xml:space="preserve">In case 13753/2019 Mathonsi v RAF the following order is made: </w:t>
      </w:r>
    </w:p>
    <w:p w14:paraId="733E05E4" w14:textId="277783AD" w:rsidR="00260DD2" w:rsidRPr="00032386" w:rsidRDefault="00260DD2" w:rsidP="00260DD2">
      <w:pPr>
        <w:pStyle w:val="ListParagraph"/>
        <w:numPr>
          <w:ilvl w:val="0"/>
          <w:numId w:val="9"/>
        </w:numPr>
        <w:ind w:left="709"/>
        <w:rPr>
          <w:rFonts w:ascii="Arial" w:hAnsi="Arial" w:cs="Arial"/>
        </w:rPr>
      </w:pPr>
      <w:r w:rsidRPr="00032386">
        <w:rPr>
          <w:rFonts w:ascii="Arial" w:hAnsi="Arial" w:cs="Arial"/>
        </w:rPr>
        <w:t>The matter is postponed sine die.</w:t>
      </w:r>
    </w:p>
    <w:p w14:paraId="2D74F30A" w14:textId="77777777" w:rsidR="00260DD2" w:rsidRPr="00032386" w:rsidRDefault="00260DD2" w:rsidP="00260DD2">
      <w:pPr>
        <w:pStyle w:val="ListParagraph"/>
        <w:numPr>
          <w:ilvl w:val="0"/>
          <w:numId w:val="9"/>
        </w:numPr>
        <w:ind w:left="709"/>
        <w:rPr>
          <w:rFonts w:ascii="Arial" w:hAnsi="Arial" w:cs="Arial"/>
        </w:rPr>
      </w:pPr>
      <w:r w:rsidRPr="00032386">
        <w:rPr>
          <w:rFonts w:ascii="Arial" w:hAnsi="Arial" w:cs="Arial"/>
        </w:rPr>
        <w:t>This judgment is to be brought to the attention of any court called upon to enforce the purported settlement agreement.</w:t>
      </w:r>
    </w:p>
    <w:p w14:paraId="7A9CA02B" w14:textId="7A951CE5" w:rsidR="00260DD2" w:rsidRPr="00032386" w:rsidRDefault="00260DD2" w:rsidP="00C71859">
      <w:pPr>
        <w:pStyle w:val="ListParagraph"/>
        <w:numPr>
          <w:ilvl w:val="0"/>
          <w:numId w:val="9"/>
        </w:numPr>
        <w:ind w:left="709"/>
        <w:rPr>
          <w:rFonts w:ascii="Arial" w:hAnsi="Arial" w:cs="Arial"/>
        </w:rPr>
      </w:pPr>
      <w:r w:rsidRPr="00032386">
        <w:rPr>
          <w:rFonts w:ascii="Arial" w:hAnsi="Arial" w:cs="Arial"/>
        </w:rPr>
        <w:t>The conduct of De Broglio I</w:t>
      </w:r>
      <w:r w:rsidR="00070D4E" w:rsidRPr="00032386">
        <w:rPr>
          <w:rFonts w:ascii="Arial" w:hAnsi="Arial" w:cs="Arial"/>
        </w:rPr>
        <w:t xml:space="preserve">nc </w:t>
      </w:r>
      <w:r w:rsidRPr="00032386">
        <w:rPr>
          <w:rFonts w:ascii="Arial" w:hAnsi="Arial" w:cs="Arial"/>
        </w:rPr>
        <w:t xml:space="preserve">is referred to the Legal Practice Counsel. </w:t>
      </w:r>
    </w:p>
    <w:p w14:paraId="65B99425" w14:textId="10A61FF4" w:rsidR="00260DD2" w:rsidRPr="00032386" w:rsidRDefault="00260DD2" w:rsidP="00C71859">
      <w:pPr>
        <w:pStyle w:val="ListParagraph"/>
        <w:numPr>
          <w:ilvl w:val="0"/>
          <w:numId w:val="9"/>
        </w:numPr>
        <w:ind w:left="709"/>
        <w:rPr>
          <w:rFonts w:ascii="Arial" w:hAnsi="Arial" w:cs="Arial"/>
        </w:rPr>
      </w:pPr>
      <w:r w:rsidRPr="00032386">
        <w:rPr>
          <w:rFonts w:ascii="Arial" w:hAnsi="Arial" w:cs="Arial"/>
        </w:rPr>
        <w:t xml:space="preserve">The conduct of Dr Kevin Scheepers in this matter is referred to the HPCSA. </w:t>
      </w:r>
    </w:p>
    <w:p w14:paraId="1B753978" w14:textId="77777777" w:rsidR="00260DD2" w:rsidRDefault="00260DD2" w:rsidP="00C71859">
      <w:pPr>
        <w:pStyle w:val="ListParagraph"/>
        <w:numPr>
          <w:ilvl w:val="0"/>
          <w:numId w:val="9"/>
        </w:numPr>
        <w:ind w:left="709"/>
        <w:rPr>
          <w:rFonts w:ascii="Arial" w:hAnsi="Arial" w:cs="Arial"/>
        </w:rPr>
      </w:pPr>
      <w:r>
        <w:rPr>
          <w:rFonts w:ascii="Arial" w:hAnsi="Arial" w:cs="Arial"/>
        </w:rPr>
        <w:t xml:space="preserve">The conduct of Mr Ivan Kramer is referred to the Actuarial Society of South Africa. </w:t>
      </w:r>
    </w:p>
    <w:p w14:paraId="121B7C2B" w14:textId="52F962BB" w:rsidR="00CB00A9" w:rsidRDefault="00CB00A9" w:rsidP="00CB00A9">
      <w:pPr>
        <w:rPr>
          <w:rFonts w:ascii="Arial" w:hAnsi="Arial" w:cs="Arial"/>
        </w:rPr>
      </w:pPr>
      <w:r>
        <w:rPr>
          <w:rFonts w:ascii="Arial" w:hAnsi="Arial" w:cs="Arial"/>
        </w:rPr>
        <w:t xml:space="preserve">3. </w:t>
      </w:r>
      <w:r>
        <w:rPr>
          <w:rFonts w:ascii="Arial" w:hAnsi="Arial" w:cs="Arial"/>
        </w:rPr>
        <w:tab/>
        <w:t xml:space="preserve">A copy of this judgment is to be delivered to: </w:t>
      </w:r>
    </w:p>
    <w:p w14:paraId="69749BD8" w14:textId="2D363AA1" w:rsidR="00CB00A9" w:rsidRPr="00CB00A9" w:rsidRDefault="00CB00A9" w:rsidP="00CB00A9">
      <w:pPr>
        <w:pStyle w:val="ListParagraph"/>
        <w:numPr>
          <w:ilvl w:val="0"/>
          <w:numId w:val="11"/>
        </w:numPr>
        <w:rPr>
          <w:rFonts w:ascii="Arial" w:hAnsi="Arial" w:cs="Arial"/>
        </w:rPr>
      </w:pPr>
      <w:r>
        <w:rPr>
          <w:rFonts w:ascii="Arial" w:hAnsi="Arial" w:cs="Arial"/>
        </w:rPr>
        <w:t xml:space="preserve">the Minister of Transport; </w:t>
      </w:r>
    </w:p>
    <w:p w14:paraId="398B9ACA" w14:textId="71B153C0" w:rsidR="00CB00A9" w:rsidRDefault="00CB00A9" w:rsidP="00CB00A9">
      <w:pPr>
        <w:pStyle w:val="ListParagraph"/>
        <w:numPr>
          <w:ilvl w:val="0"/>
          <w:numId w:val="11"/>
        </w:numPr>
        <w:rPr>
          <w:rFonts w:ascii="Arial" w:hAnsi="Arial" w:cs="Arial"/>
        </w:rPr>
      </w:pPr>
      <w:r>
        <w:rPr>
          <w:rFonts w:ascii="Arial" w:hAnsi="Arial" w:cs="Arial"/>
        </w:rPr>
        <w:t>the Acting Chief Executive Officer of the Road Accident Fund; and</w:t>
      </w:r>
    </w:p>
    <w:p w14:paraId="3BBE11BF" w14:textId="7FD15478" w:rsidR="00CB00A9" w:rsidRDefault="00CB00A9" w:rsidP="00CB00A9">
      <w:pPr>
        <w:pStyle w:val="ListParagraph"/>
        <w:numPr>
          <w:ilvl w:val="0"/>
          <w:numId w:val="11"/>
        </w:numPr>
        <w:rPr>
          <w:rFonts w:ascii="Arial" w:hAnsi="Arial" w:cs="Arial"/>
        </w:rPr>
      </w:pPr>
      <w:r>
        <w:rPr>
          <w:rFonts w:ascii="Arial" w:hAnsi="Arial" w:cs="Arial"/>
        </w:rPr>
        <w:lastRenderedPageBreak/>
        <w:t>the National Director of Public Prosecutions.</w:t>
      </w:r>
    </w:p>
    <w:p w14:paraId="1F89AD7D" w14:textId="3A24AB0B" w:rsidR="00CB00A9" w:rsidRPr="00CB00A9" w:rsidRDefault="00CB00A9" w:rsidP="00CB00A9">
      <w:pPr>
        <w:rPr>
          <w:rFonts w:ascii="Arial" w:hAnsi="Arial" w:cs="Arial"/>
        </w:rPr>
      </w:pPr>
      <w:r>
        <w:rPr>
          <w:rFonts w:ascii="Arial" w:hAnsi="Arial" w:cs="Arial"/>
        </w:rPr>
        <w:t>4. Each party shall pay their own costs.’</w:t>
      </w:r>
    </w:p>
    <w:p w14:paraId="444D71AE" w14:textId="5C95AB24" w:rsidR="00CB00A9" w:rsidRPr="00CB00A9" w:rsidRDefault="00CB00A9" w:rsidP="00CB00A9">
      <w:pPr>
        <w:rPr>
          <w:rFonts w:ascii="Arial" w:hAnsi="Arial" w:cs="Arial"/>
        </w:rPr>
      </w:pPr>
    </w:p>
    <w:p w14:paraId="7732B192" w14:textId="67CC7FF2" w:rsidR="00DF0610" w:rsidRPr="00DF0610" w:rsidRDefault="00DF0610" w:rsidP="00B05C8E">
      <w:pPr>
        <w:rPr>
          <w:rFonts w:ascii="Arial" w:hAnsi="Arial" w:cs="Arial"/>
          <w:b/>
          <w:sz w:val="24"/>
          <w:szCs w:val="24"/>
        </w:rPr>
      </w:pPr>
      <w:r w:rsidRPr="00DF0610">
        <w:rPr>
          <w:rFonts w:ascii="Arial" w:hAnsi="Arial" w:cs="Arial"/>
          <w:b/>
          <w:sz w:val="24"/>
          <w:szCs w:val="24"/>
        </w:rPr>
        <w:t>Appealability</w:t>
      </w:r>
    </w:p>
    <w:p w14:paraId="4488FED0" w14:textId="79F8A04F" w:rsidR="001E274B" w:rsidRPr="000279D6" w:rsidRDefault="008B02D3" w:rsidP="00B05C8E">
      <w:pPr>
        <w:rPr>
          <w:rFonts w:ascii="Arial" w:hAnsi="Arial" w:cs="Arial"/>
          <w:sz w:val="24"/>
          <w:szCs w:val="24"/>
        </w:rPr>
      </w:pPr>
      <w:r>
        <w:rPr>
          <w:rFonts w:ascii="Arial" w:hAnsi="Arial" w:cs="Arial"/>
          <w:sz w:val="24"/>
          <w:szCs w:val="24"/>
        </w:rPr>
        <w:t>[24</w:t>
      </w:r>
      <w:r w:rsidR="001E274B" w:rsidRPr="000279D6">
        <w:rPr>
          <w:rFonts w:ascii="Arial" w:hAnsi="Arial" w:cs="Arial"/>
          <w:sz w:val="24"/>
          <w:szCs w:val="24"/>
        </w:rPr>
        <w:t>]</w:t>
      </w:r>
      <w:r w:rsidR="00DF0610">
        <w:rPr>
          <w:rFonts w:ascii="Arial" w:hAnsi="Arial" w:cs="Arial"/>
          <w:sz w:val="24"/>
          <w:szCs w:val="24"/>
        </w:rPr>
        <w:tab/>
        <w:t xml:space="preserve">Ms Taylor applied for leave to appeal against paras 1a and </w:t>
      </w:r>
      <w:r w:rsidR="003746CA">
        <w:rPr>
          <w:rFonts w:ascii="Arial" w:hAnsi="Arial" w:cs="Arial"/>
          <w:sz w:val="24"/>
          <w:szCs w:val="24"/>
        </w:rPr>
        <w:t>1</w:t>
      </w:r>
      <w:r w:rsidR="00DF0610">
        <w:rPr>
          <w:rFonts w:ascii="Arial" w:hAnsi="Arial" w:cs="Arial"/>
          <w:sz w:val="24"/>
          <w:szCs w:val="24"/>
        </w:rPr>
        <w:t xml:space="preserve">b of the order. Mr Mathonsi applied for leave to appeal against paras 2a and </w:t>
      </w:r>
      <w:r w:rsidR="003746CA">
        <w:rPr>
          <w:rFonts w:ascii="Arial" w:hAnsi="Arial" w:cs="Arial"/>
          <w:sz w:val="24"/>
          <w:szCs w:val="24"/>
        </w:rPr>
        <w:t>2</w:t>
      </w:r>
      <w:r w:rsidR="00DF0610">
        <w:rPr>
          <w:rFonts w:ascii="Arial" w:hAnsi="Arial" w:cs="Arial"/>
          <w:sz w:val="24"/>
          <w:szCs w:val="24"/>
        </w:rPr>
        <w:t>b of the order. The RAF applied for leave to appeal against all of these paras of the order (collectively the po</w:t>
      </w:r>
      <w:r w:rsidR="00FE0AC3">
        <w:rPr>
          <w:rFonts w:ascii="Arial" w:hAnsi="Arial" w:cs="Arial"/>
          <w:sz w:val="24"/>
          <w:szCs w:val="24"/>
        </w:rPr>
        <w:t>stponements). De Broglio Inc, Ms De</w:t>
      </w:r>
      <w:r w:rsidR="00DF0610">
        <w:rPr>
          <w:rFonts w:ascii="Arial" w:hAnsi="Arial" w:cs="Arial"/>
          <w:sz w:val="24"/>
          <w:szCs w:val="24"/>
        </w:rPr>
        <w:t xml:space="preserve"> Swar</w:t>
      </w:r>
      <w:r w:rsidR="00FE0AC3">
        <w:rPr>
          <w:rFonts w:ascii="Arial" w:hAnsi="Arial" w:cs="Arial"/>
          <w:sz w:val="24"/>
          <w:szCs w:val="24"/>
        </w:rPr>
        <w:t>dt, Mr V</w:t>
      </w:r>
      <w:r w:rsidR="00DF0610">
        <w:rPr>
          <w:rFonts w:ascii="Arial" w:hAnsi="Arial" w:cs="Arial"/>
          <w:sz w:val="24"/>
          <w:szCs w:val="24"/>
        </w:rPr>
        <w:t>an den Barselaar and Mr Kramer (the affected persons) separately applied for leave to intervene and for leave to appeal against the respective paragraphs of the order that affected them (collectively the referrals)</w:t>
      </w:r>
      <w:r w:rsidR="0022063F">
        <w:rPr>
          <w:rFonts w:ascii="Arial" w:hAnsi="Arial" w:cs="Arial"/>
          <w:sz w:val="24"/>
          <w:szCs w:val="24"/>
        </w:rPr>
        <w:t xml:space="preserve">. (Dr Scheepers did not challenge the orders that affected him). </w:t>
      </w:r>
      <w:r w:rsidR="00DF0610">
        <w:rPr>
          <w:rFonts w:ascii="Arial" w:hAnsi="Arial" w:cs="Arial"/>
          <w:sz w:val="24"/>
          <w:szCs w:val="24"/>
        </w:rPr>
        <w:tab/>
      </w:r>
      <w:r w:rsidR="001E274B" w:rsidRPr="000279D6">
        <w:rPr>
          <w:rFonts w:ascii="Arial" w:hAnsi="Arial" w:cs="Arial"/>
          <w:sz w:val="24"/>
          <w:szCs w:val="24"/>
        </w:rPr>
        <w:tab/>
      </w:r>
      <w:r w:rsidR="00A45127" w:rsidRPr="000279D6">
        <w:rPr>
          <w:rFonts w:ascii="Arial" w:hAnsi="Arial" w:cs="Arial"/>
          <w:sz w:val="24"/>
          <w:szCs w:val="24"/>
        </w:rPr>
        <w:t xml:space="preserve"> </w:t>
      </w:r>
    </w:p>
    <w:p w14:paraId="5FF49876" w14:textId="77777777" w:rsidR="001E274B" w:rsidRPr="000279D6" w:rsidRDefault="001E274B" w:rsidP="00B05C8E">
      <w:pPr>
        <w:rPr>
          <w:rFonts w:ascii="Arial" w:hAnsi="Arial" w:cs="Arial"/>
          <w:sz w:val="24"/>
          <w:szCs w:val="24"/>
        </w:rPr>
      </w:pPr>
    </w:p>
    <w:p w14:paraId="39EA354B" w14:textId="0C88F39B" w:rsidR="00996E7E" w:rsidRPr="000279D6" w:rsidRDefault="008B02D3" w:rsidP="000279D6">
      <w:pPr>
        <w:rPr>
          <w:rFonts w:ascii="Arial" w:hAnsi="Arial" w:cs="Arial"/>
        </w:rPr>
      </w:pPr>
      <w:r>
        <w:rPr>
          <w:rFonts w:ascii="Arial" w:hAnsi="Arial" w:cs="Arial"/>
          <w:sz w:val="24"/>
          <w:szCs w:val="24"/>
        </w:rPr>
        <w:t>[25</w:t>
      </w:r>
      <w:r w:rsidR="001E274B" w:rsidRPr="000279D6">
        <w:rPr>
          <w:rFonts w:ascii="Arial" w:hAnsi="Arial" w:cs="Arial"/>
          <w:sz w:val="24"/>
          <w:szCs w:val="24"/>
        </w:rPr>
        <w:t>]</w:t>
      </w:r>
      <w:r w:rsidR="001E274B" w:rsidRPr="000279D6">
        <w:rPr>
          <w:rFonts w:ascii="Arial" w:hAnsi="Arial" w:cs="Arial"/>
          <w:sz w:val="24"/>
          <w:szCs w:val="24"/>
        </w:rPr>
        <w:tab/>
      </w:r>
      <w:r w:rsidR="0022063F">
        <w:rPr>
          <w:rFonts w:ascii="Arial" w:hAnsi="Arial" w:cs="Arial"/>
          <w:sz w:val="24"/>
          <w:szCs w:val="24"/>
        </w:rPr>
        <w:t>The court</w:t>
      </w:r>
      <w:r w:rsidR="000A1721">
        <w:rPr>
          <w:rFonts w:ascii="Arial" w:hAnsi="Arial" w:cs="Arial"/>
          <w:sz w:val="24"/>
          <w:szCs w:val="24"/>
        </w:rPr>
        <w:t xml:space="preserve"> dismissed the applications for leave to appeal of Ms Taylor, Mr Mathonsi and the RAF, on the ground that it had made no appealable order in respect of these parties. The court also dismissed the applications for intervention. On this basis, the applications of the affected persons for leave to appeal, fell away. It is not easy to fathom the reasons for refusing leave to intervene. It would appear, however, that the court reasoned that the affected persons purported to attack findings and not orders and that the referrals were not final orders. Subsequently, however, this court granted each of the parties and affected persons the leave to appeal to this court that they had sought. </w:t>
      </w:r>
    </w:p>
    <w:p w14:paraId="76109C4A" w14:textId="77777777" w:rsidR="003E3D0E" w:rsidRPr="000279D6" w:rsidRDefault="003E3D0E" w:rsidP="00B05C8E">
      <w:pPr>
        <w:rPr>
          <w:rFonts w:ascii="Arial" w:hAnsi="Arial" w:cs="Arial"/>
          <w:sz w:val="24"/>
          <w:szCs w:val="24"/>
        </w:rPr>
      </w:pPr>
    </w:p>
    <w:p w14:paraId="7648B898" w14:textId="0C67F3CA" w:rsidR="003E3D0E" w:rsidRPr="00467B36" w:rsidRDefault="008B02D3" w:rsidP="00B05C8E">
      <w:pPr>
        <w:rPr>
          <w:rFonts w:ascii="Arial" w:hAnsi="Arial" w:cs="Arial"/>
          <w:sz w:val="24"/>
          <w:szCs w:val="24"/>
        </w:rPr>
      </w:pPr>
      <w:r>
        <w:rPr>
          <w:rFonts w:ascii="Arial" w:hAnsi="Arial" w:cs="Arial"/>
          <w:sz w:val="24"/>
          <w:szCs w:val="24"/>
        </w:rPr>
        <w:t>[26</w:t>
      </w:r>
      <w:r w:rsidR="003E3D0E" w:rsidRPr="000279D6">
        <w:rPr>
          <w:rFonts w:ascii="Arial" w:hAnsi="Arial" w:cs="Arial"/>
          <w:sz w:val="24"/>
          <w:szCs w:val="24"/>
        </w:rPr>
        <w:t>]</w:t>
      </w:r>
      <w:r w:rsidR="003E3D0E" w:rsidRPr="000279D6">
        <w:rPr>
          <w:rFonts w:ascii="Arial" w:hAnsi="Arial" w:cs="Arial"/>
          <w:sz w:val="24"/>
          <w:szCs w:val="24"/>
        </w:rPr>
        <w:tab/>
      </w:r>
      <w:r w:rsidR="00D1411E" w:rsidRPr="000279D6">
        <w:rPr>
          <w:rFonts w:ascii="Arial" w:hAnsi="Arial" w:cs="Arial"/>
          <w:sz w:val="24"/>
          <w:szCs w:val="24"/>
        </w:rPr>
        <w:t xml:space="preserve"> </w:t>
      </w:r>
      <w:r w:rsidR="000A1721">
        <w:rPr>
          <w:rFonts w:ascii="Arial" w:hAnsi="Arial" w:cs="Arial"/>
          <w:sz w:val="24"/>
          <w:szCs w:val="24"/>
        </w:rPr>
        <w:t xml:space="preserve">That </w:t>
      </w:r>
      <w:r w:rsidR="00467B36">
        <w:rPr>
          <w:rFonts w:ascii="Arial" w:hAnsi="Arial" w:cs="Arial"/>
          <w:sz w:val="24"/>
          <w:szCs w:val="24"/>
        </w:rPr>
        <w:t>leave to appeal was granted, is only one of the two requirements for this court to have jurisdiction to entertain an appeal. The other requirement is that the order sought to be appealed against is a ‘decision’ within the meaning of s 16(1)</w:t>
      </w:r>
      <w:r w:rsidR="00467B36">
        <w:rPr>
          <w:rFonts w:ascii="Arial" w:hAnsi="Arial" w:cs="Arial"/>
          <w:i/>
          <w:sz w:val="24"/>
          <w:szCs w:val="24"/>
        </w:rPr>
        <w:t>(a)</w:t>
      </w:r>
      <w:r w:rsidR="00467B36">
        <w:rPr>
          <w:rFonts w:ascii="Arial" w:hAnsi="Arial" w:cs="Arial"/>
          <w:sz w:val="24"/>
          <w:szCs w:val="24"/>
        </w:rPr>
        <w:t xml:space="preserve"> of the Superior Courts Act 10 of 2013. Not only traditional final judgments are such decisions. It has become settled law that an order could qualify as an appealable decision if it has a final and definitive effect on the proceedings or if the interests of justice require it to be regarded as an appealable decision. What the interests of justice require is not determined by a closed list of considerations, but depends on the facts and circumstances of each case. However, whether an appeal would lead to a just and expeditious determination of the essence of the matter, is an important consideration </w:t>
      </w:r>
      <w:r w:rsidR="00467B36">
        <w:rPr>
          <w:rFonts w:ascii="Arial" w:hAnsi="Arial" w:cs="Arial"/>
          <w:sz w:val="24"/>
          <w:szCs w:val="24"/>
        </w:rPr>
        <w:lastRenderedPageBreak/>
        <w:t xml:space="preserve">in deciding whether an order should be regarded as an appealable decision. </w:t>
      </w:r>
      <w:r w:rsidR="00A27FBA">
        <w:rPr>
          <w:rFonts w:ascii="Arial" w:hAnsi="Arial" w:cs="Arial"/>
          <w:sz w:val="24"/>
          <w:szCs w:val="24"/>
        </w:rPr>
        <w:t xml:space="preserve">See </w:t>
      </w:r>
      <w:r w:rsidR="00A27FBA" w:rsidRPr="00A27FBA">
        <w:rPr>
          <w:rFonts w:ascii="Arial" w:hAnsi="Arial" w:cs="Arial"/>
          <w:i/>
          <w:sz w:val="24"/>
          <w:szCs w:val="24"/>
        </w:rPr>
        <w:t>DRDGOLD Limited and Another v Nkala and Others</w:t>
      </w:r>
      <w:r w:rsidR="00A27FBA">
        <w:rPr>
          <w:rFonts w:ascii="Arial" w:hAnsi="Arial" w:cs="Arial"/>
          <w:sz w:val="24"/>
          <w:szCs w:val="24"/>
        </w:rPr>
        <w:t xml:space="preserve"> [2023] ZASCA 9 paras 17-27.</w:t>
      </w:r>
    </w:p>
    <w:p w14:paraId="795DAD87" w14:textId="77777777" w:rsidR="00AF78FD" w:rsidRPr="000279D6" w:rsidRDefault="00AF78FD" w:rsidP="00B05C8E">
      <w:pPr>
        <w:rPr>
          <w:rFonts w:ascii="Arial" w:hAnsi="Arial" w:cs="Arial"/>
          <w:sz w:val="24"/>
          <w:szCs w:val="24"/>
        </w:rPr>
      </w:pPr>
    </w:p>
    <w:p w14:paraId="448BEAC9" w14:textId="24FD5CD1" w:rsidR="00B05C8E" w:rsidRDefault="008B02D3" w:rsidP="00C048EE">
      <w:pPr>
        <w:rPr>
          <w:rFonts w:ascii="Arial" w:hAnsi="Arial" w:cs="Arial"/>
          <w:sz w:val="24"/>
          <w:szCs w:val="24"/>
        </w:rPr>
      </w:pPr>
      <w:r>
        <w:rPr>
          <w:rFonts w:ascii="Arial" w:hAnsi="Arial" w:cs="Arial"/>
          <w:sz w:val="24"/>
          <w:szCs w:val="24"/>
        </w:rPr>
        <w:t>[27</w:t>
      </w:r>
      <w:r w:rsidR="00AF78FD" w:rsidRPr="000279D6">
        <w:rPr>
          <w:rFonts w:ascii="Arial" w:hAnsi="Arial" w:cs="Arial"/>
          <w:sz w:val="24"/>
          <w:szCs w:val="24"/>
        </w:rPr>
        <w:t>]</w:t>
      </w:r>
      <w:r w:rsidR="00AF78FD" w:rsidRPr="000279D6">
        <w:rPr>
          <w:rFonts w:ascii="Arial" w:hAnsi="Arial" w:cs="Arial"/>
          <w:sz w:val="24"/>
          <w:szCs w:val="24"/>
        </w:rPr>
        <w:tab/>
      </w:r>
      <w:r w:rsidR="00B62989" w:rsidRPr="000279D6">
        <w:rPr>
          <w:rFonts w:ascii="Arial" w:hAnsi="Arial" w:cs="Arial"/>
          <w:sz w:val="24"/>
          <w:szCs w:val="24"/>
        </w:rPr>
        <w:t xml:space="preserve"> </w:t>
      </w:r>
      <w:r w:rsidR="00373A69">
        <w:rPr>
          <w:rFonts w:ascii="Arial" w:hAnsi="Arial" w:cs="Arial"/>
          <w:sz w:val="24"/>
          <w:szCs w:val="24"/>
        </w:rPr>
        <w:t xml:space="preserve">For the reasons that follow, I have no doubt that the postponements are appealable decisions. First, one must have regard to three factors: </w:t>
      </w:r>
    </w:p>
    <w:p w14:paraId="2F14B693" w14:textId="489A8B12" w:rsidR="00373A69" w:rsidRDefault="00373A69" w:rsidP="00C048EE">
      <w:pPr>
        <w:rPr>
          <w:rFonts w:ascii="Arial" w:hAnsi="Arial" w:cs="Arial"/>
          <w:sz w:val="24"/>
          <w:szCs w:val="24"/>
        </w:rPr>
      </w:pPr>
      <w:r>
        <w:rPr>
          <w:rFonts w:ascii="Arial" w:hAnsi="Arial" w:cs="Arial"/>
          <w:sz w:val="24"/>
          <w:szCs w:val="24"/>
        </w:rPr>
        <w:t>(a)</w:t>
      </w:r>
      <w:r>
        <w:rPr>
          <w:rFonts w:ascii="Arial" w:hAnsi="Arial" w:cs="Arial"/>
          <w:sz w:val="24"/>
          <w:szCs w:val="24"/>
        </w:rPr>
        <w:tab/>
        <w:t xml:space="preserve">The finding that the settlement agreements are </w:t>
      </w:r>
      <w:r w:rsidRPr="00AA6ADF">
        <w:rPr>
          <w:rFonts w:ascii="Arial" w:hAnsi="Arial" w:cs="Arial"/>
          <w:sz w:val="24"/>
          <w:szCs w:val="24"/>
        </w:rPr>
        <w:t>void</w:t>
      </w:r>
      <w:r w:rsidRPr="00373A69">
        <w:rPr>
          <w:rFonts w:ascii="Arial" w:hAnsi="Arial" w:cs="Arial"/>
          <w:i/>
          <w:sz w:val="24"/>
          <w:szCs w:val="24"/>
        </w:rPr>
        <w:t xml:space="preserve"> ab initio</w:t>
      </w:r>
      <w:r>
        <w:rPr>
          <w:rFonts w:ascii="Arial" w:hAnsi="Arial" w:cs="Arial"/>
          <w:sz w:val="24"/>
          <w:szCs w:val="24"/>
        </w:rPr>
        <w:t xml:space="preserve">; </w:t>
      </w:r>
    </w:p>
    <w:p w14:paraId="6BD6072E" w14:textId="7DE39DCC" w:rsidR="00373A69" w:rsidRDefault="00373A69" w:rsidP="00C048EE">
      <w:pPr>
        <w:rPr>
          <w:rFonts w:ascii="Arial" w:hAnsi="Arial" w:cs="Arial"/>
          <w:sz w:val="24"/>
          <w:szCs w:val="24"/>
        </w:rPr>
      </w:pPr>
      <w:r>
        <w:rPr>
          <w:rFonts w:ascii="Arial" w:hAnsi="Arial" w:cs="Arial"/>
          <w:sz w:val="24"/>
          <w:szCs w:val="24"/>
        </w:rPr>
        <w:t>(b)</w:t>
      </w:r>
      <w:r>
        <w:rPr>
          <w:rFonts w:ascii="Arial" w:hAnsi="Arial" w:cs="Arial"/>
          <w:sz w:val="24"/>
          <w:szCs w:val="24"/>
        </w:rPr>
        <w:tab/>
        <w:t>The finding that, ‘without further collusion by the RAF in relation to payment, the settlements are, in effect, worthless’; and</w:t>
      </w:r>
    </w:p>
    <w:p w14:paraId="20298715" w14:textId="545A894D" w:rsidR="00373A69" w:rsidRPr="000279D6" w:rsidRDefault="00373A69" w:rsidP="00C048EE">
      <w:pPr>
        <w:rPr>
          <w:rFonts w:ascii="Arial" w:hAnsi="Arial" w:cs="Arial"/>
          <w:sz w:val="24"/>
          <w:szCs w:val="24"/>
        </w:rPr>
      </w:pPr>
      <w:r>
        <w:rPr>
          <w:rFonts w:ascii="Arial" w:hAnsi="Arial" w:cs="Arial"/>
          <w:sz w:val="24"/>
          <w:szCs w:val="24"/>
        </w:rPr>
        <w:t>(c)</w:t>
      </w:r>
      <w:r>
        <w:rPr>
          <w:rFonts w:ascii="Arial" w:hAnsi="Arial" w:cs="Arial"/>
          <w:sz w:val="24"/>
          <w:szCs w:val="24"/>
        </w:rPr>
        <w:tab/>
        <w:t xml:space="preserve">The terms of the postponements, namely that each matter is postponed </w:t>
      </w:r>
      <w:r w:rsidRPr="00FE0AC3">
        <w:rPr>
          <w:rFonts w:ascii="Arial" w:hAnsi="Arial" w:cs="Arial"/>
          <w:i/>
          <w:sz w:val="24"/>
          <w:szCs w:val="24"/>
        </w:rPr>
        <w:t>sine die</w:t>
      </w:r>
      <w:r>
        <w:rPr>
          <w:rFonts w:ascii="Arial" w:hAnsi="Arial" w:cs="Arial"/>
          <w:sz w:val="24"/>
          <w:szCs w:val="24"/>
        </w:rPr>
        <w:t xml:space="preserve"> with </w:t>
      </w:r>
      <w:r w:rsidR="00436A18">
        <w:rPr>
          <w:rFonts w:ascii="Arial" w:hAnsi="Arial" w:cs="Arial"/>
          <w:sz w:val="24"/>
          <w:szCs w:val="24"/>
        </w:rPr>
        <w:t>the</w:t>
      </w:r>
      <w:r>
        <w:rPr>
          <w:rFonts w:ascii="Arial" w:hAnsi="Arial" w:cs="Arial"/>
          <w:sz w:val="24"/>
          <w:szCs w:val="24"/>
        </w:rPr>
        <w:t xml:space="preserve"> directive that the judgment of the court a quo is to be brought to the attention of any court called upon to enforce ‘the purported settlement agreement’. </w:t>
      </w:r>
    </w:p>
    <w:p w14:paraId="0F6D0DA1" w14:textId="77777777" w:rsidR="00B05C8E" w:rsidRPr="000279D6" w:rsidRDefault="00B05C8E" w:rsidP="00C048EE">
      <w:pPr>
        <w:rPr>
          <w:rFonts w:ascii="Arial" w:hAnsi="Arial" w:cs="Arial"/>
          <w:sz w:val="24"/>
          <w:szCs w:val="24"/>
        </w:rPr>
      </w:pPr>
    </w:p>
    <w:p w14:paraId="30523AF2" w14:textId="7FC08642" w:rsidR="00436A18" w:rsidRDefault="008B02D3" w:rsidP="00614F9D">
      <w:pPr>
        <w:rPr>
          <w:rFonts w:ascii="Arial" w:hAnsi="Arial" w:cs="Arial"/>
          <w:sz w:val="24"/>
          <w:szCs w:val="24"/>
        </w:rPr>
      </w:pPr>
      <w:r>
        <w:rPr>
          <w:rFonts w:ascii="Arial" w:hAnsi="Arial" w:cs="Arial"/>
          <w:sz w:val="24"/>
          <w:szCs w:val="24"/>
        </w:rPr>
        <w:t>[28</w:t>
      </w:r>
      <w:r w:rsidR="00B05C8E" w:rsidRPr="000279D6">
        <w:rPr>
          <w:rFonts w:ascii="Arial" w:hAnsi="Arial" w:cs="Arial"/>
          <w:sz w:val="24"/>
          <w:szCs w:val="24"/>
        </w:rPr>
        <w:t>]</w:t>
      </w:r>
      <w:r w:rsidR="00B05C8E" w:rsidRPr="000279D6">
        <w:rPr>
          <w:rFonts w:ascii="Arial" w:hAnsi="Arial" w:cs="Arial"/>
          <w:sz w:val="24"/>
          <w:szCs w:val="24"/>
        </w:rPr>
        <w:tab/>
      </w:r>
      <w:r w:rsidR="009553C0" w:rsidRPr="000279D6">
        <w:rPr>
          <w:rFonts w:ascii="Arial" w:hAnsi="Arial" w:cs="Arial"/>
          <w:sz w:val="24"/>
          <w:szCs w:val="24"/>
        </w:rPr>
        <w:t xml:space="preserve"> </w:t>
      </w:r>
      <w:r w:rsidR="00045499">
        <w:rPr>
          <w:rFonts w:ascii="Arial" w:hAnsi="Arial" w:cs="Arial"/>
          <w:sz w:val="24"/>
          <w:szCs w:val="24"/>
        </w:rPr>
        <w:t xml:space="preserve">The combined effect of these factors is that the parties are unable to execute the settlement agreements that they firmly regard as binding on them. They cannot move forward or backward in this regard and are stuck in no-man’s land, as it were. In substance, the postponements therefore have a final and definitive effect on the respective proceedings. Secondly, successful appeals would bring these matters to finality. Thus it is in any event in the interests of justice to entertain these appeals. </w:t>
      </w:r>
    </w:p>
    <w:p w14:paraId="303841BA" w14:textId="77777777" w:rsidR="00436A18" w:rsidRDefault="00436A18" w:rsidP="00614F9D">
      <w:pPr>
        <w:rPr>
          <w:rFonts w:ascii="Arial" w:hAnsi="Arial" w:cs="Arial"/>
          <w:sz w:val="24"/>
          <w:szCs w:val="24"/>
        </w:rPr>
      </w:pPr>
    </w:p>
    <w:p w14:paraId="238267DA" w14:textId="17EB9794" w:rsidR="00E07170" w:rsidRDefault="00436A18" w:rsidP="00614F9D">
      <w:pPr>
        <w:rPr>
          <w:rFonts w:ascii="Arial" w:hAnsi="Arial" w:cs="Arial"/>
          <w:sz w:val="24"/>
          <w:szCs w:val="24"/>
        </w:rPr>
      </w:pPr>
      <w:r>
        <w:rPr>
          <w:rFonts w:ascii="Arial" w:hAnsi="Arial" w:cs="Arial"/>
          <w:sz w:val="24"/>
          <w:szCs w:val="24"/>
        </w:rPr>
        <w:t>[</w:t>
      </w:r>
      <w:r w:rsidR="008B02D3">
        <w:rPr>
          <w:rFonts w:ascii="Arial" w:hAnsi="Arial" w:cs="Arial"/>
          <w:sz w:val="24"/>
          <w:szCs w:val="24"/>
        </w:rPr>
        <w:t>29</w:t>
      </w:r>
      <w:r>
        <w:rPr>
          <w:rFonts w:ascii="Arial" w:hAnsi="Arial" w:cs="Arial"/>
          <w:sz w:val="24"/>
          <w:szCs w:val="24"/>
        </w:rPr>
        <w:t>]</w:t>
      </w:r>
      <w:r>
        <w:rPr>
          <w:rFonts w:ascii="Arial" w:hAnsi="Arial" w:cs="Arial"/>
          <w:sz w:val="24"/>
          <w:szCs w:val="24"/>
        </w:rPr>
        <w:tab/>
      </w:r>
      <w:r w:rsidR="00045499">
        <w:rPr>
          <w:rFonts w:ascii="Arial" w:hAnsi="Arial" w:cs="Arial"/>
          <w:sz w:val="24"/>
          <w:szCs w:val="24"/>
        </w:rPr>
        <w:t xml:space="preserve">As to the appealability of the referrals, it suffices to say that the facts and circumstances that I shall allude to shortly, indicate that the interests of justice require that they be corrected forthwith and that the affected persons should not be required to await the outcome of the proceedings before the respective professional bodies. See </w:t>
      </w:r>
      <w:r w:rsidR="00045499" w:rsidRPr="00045499">
        <w:rPr>
          <w:rFonts w:ascii="Arial" w:hAnsi="Arial" w:cs="Arial"/>
          <w:i/>
          <w:sz w:val="24"/>
          <w:szCs w:val="24"/>
        </w:rPr>
        <w:t>Beinash v Wixley</w:t>
      </w:r>
      <w:r w:rsidR="004C2B7C">
        <w:rPr>
          <w:rFonts w:ascii="Arial" w:hAnsi="Arial" w:cs="Arial"/>
          <w:sz w:val="24"/>
          <w:szCs w:val="24"/>
        </w:rPr>
        <w:t xml:space="preserve"> 1997 (3) SA 721 SCA at</w:t>
      </w:r>
      <w:r w:rsidR="00045499">
        <w:rPr>
          <w:rFonts w:ascii="Arial" w:hAnsi="Arial" w:cs="Arial"/>
          <w:sz w:val="24"/>
          <w:szCs w:val="24"/>
        </w:rPr>
        <w:t xml:space="preserve"> 729H-730E.</w:t>
      </w:r>
    </w:p>
    <w:p w14:paraId="35398515" w14:textId="77777777" w:rsidR="00C152BC" w:rsidRPr="000279D6" w:rsidRDefault="00C152BC" w:rsidP="00614F9D">
      <w:pPr>
        <w:rPr>
          <w:rFonts w:ascii="Arial" w:hAnsi="Arial" w:cs="Arial"/>
          <w:sz w:val="24"/>
          <w:szCs w:val="24"/>
        </w:rPr>
      </w:pPr>
    </w:p>
    <w:p w14:paraId="3B64AAB8" w14:textId="66CEA48F" w:rsidR="00E07170" w:rsidRPr="00C152BC" w:rsidRDefault="00C152BC" w:rsidP="00614F9D">
      <w:pPr>
        <w:rPr>
          <w:rFonts w:ascii="Arial" w:hAnsi="Arial" w:cs="Arial"/>
          <w:b/>
          <w:sz w:val="24"/>
          <w:szCs w:val="24"/>
        </w:rPr>
      </w:pPr>
      <w:r w:rsidRPr="00C152BC">
        <w:rPr>
          <w:rFonts w:ascii="Arial" w:hAnsi="Arial" w:cs="Arial"/>
          <w:b/>
          <w:sz w:val="24"/>
          <w:szCs w:val="24"/>
        </w:rPr>
        <w:t>Analysis</w:t>
      </w:r>
    </w:p>
    <w:p w14:paraId="52618904" w14:textId="0EB6D8F7" w:rsidR="00C152BC" w:rsidRPr="00C152BC" w:rsidRDefault="008B02D3" w:rsidP="000279D6">
      <w:pPr>
        <w:rPr>
          <w:rFonts w:ascii="Arial" w:hAnsi="Arial" w:cs="Arial"/>
          <w:sz w:val="24"/>
          <w:szCs w:val="24"/>
        </w:rPr>
      </w:pPr>
      <w:r>
        <w:rPr>
          <w:rFonts w:ascii="Arial" w:hAnsi="Arial" w:cs="Arial"/>
          <w:sz w:val="24"/>
          <w:szCs w:val="24"/>
        </w:rPr>
        <w:t>[30</w:t>
      </w:r>
      <w:r w:rsidR="00E07170" w:rsidRPr="000279D6">
        <w:rPr>
          <w:rFonts w:ascii="Arial" w:hAnsi="Arial" w:cs="Arial"/>
          <w:sz w:val="24"/>
          <w:szCs w:val="24"/>
        </w:rPr>
        <w:t>]</w:t>
      </w:r>
      <w:r w:rsidR="00E07170" w:rsidRPr="000279D6">
        <w:rPr>
          <w:rFonts w:ascii="Arial" w:hAnsi="Arial" w:cs="Arial"/>
          <w:sz w:val="24"/>
          <w:szCs w:val="24"/>
        </w:rPr>
        <w:tab/>
      </w:r>
      <w:r w:rsidR="00C152BC">
        <w:rPr>
          <w:rFonts w:ascii="Arial" w:hAnsi="Arial" w:cs="Arial"/>
          <w:sz w:val="24"/>
          <w:szCs w:val="24"/>
        </w:rPr>
        <w:t xml:space="preserve">Before I turn to the legal issues that I have </w:t>
      </w:r>
      <w:r w:rsidR="00C64538">
        <w:rPr>
          <w:rFonts w:ascii="Arial" w:hAnsi="Arial" w:cs="Arial"/>
          <w:sz w:val="24"/>
          <w:szCs w:val="24"/>
        </w:rPr>
        <w:t xml:space="preserve">identified </w:t>
      </w:r>
      <w:r w:rsidR="00C152BC">
        <w:rPr>
          <w:rFonts w:ascii="Arial" w:hAnsi="Arial" w:cs="Arial"/>
          <w:sz w:val="24"/>
          <w:szCs w:val="24"/>
        </w:rPr>
        <w:t xml:space="preserve">at the outset, I am constrained to </w:t>
      </w:r>
      <w:r w:rsidR="00C64538">
        <w:rPr>
          <w:rFonts w:ascii="Arial" w:hAnsi="Arial" w:cs="Arial"/>
          <w:sz w:val="24"/>
          <w:szCs w:val="24"/>
        </w:rPr>
        <w:t xml:space="preserve">say </w:t>
      </w:r>
      <w:r w:rsidR="00C152BC">
        <w:rPr>
          <w:rFonts w:ascii="Arial" w:hAnsi="Arial" w:cs="Arial"/>
          <w:sz w:val="24"/>
          <w:szCs w:val="24"/>
        </w:rPr>
        <w:t>the follo</w:t>
      </w:r>
      <w:r w:rsidR="00081A90">
        <w:rPr>
          <w:rFonts w:ascii="Arial" w:hAnsi="Arial" w:cs="Arial"/>
          <w:sz w:val="24"/>
          <w:szCs w:val="24"/>
        </w:rPr>
        <w:t xml:space="preserve">wing. Whilst Fisher J’s industry </w:t>
      </w:r>
      <w:r w:rsidR="00436A18">
        <w:rPr>
          <w:rFonts w:ascii="Arial" w:hAnsi="Arial" w:cs="Arial"/>
          <w:sz w:val="24"/>
          <w:szCs w:val="24"/>
        </w:rPr>
        <w:t>cannot be faulted,</w:t>
      </w:r>
      <w:r w:rsidR="00081A90">
        <w:rPr>
          <w:rFonts w:ascii="Arial" w:hAnsi="Arial" w:cs="Arial"/>
          <w:sz w:val="24"/>
          <w:szCs w:val="24"/>
        </w:rPr>
        <w:t xml:space="preserve"> it regrettably has to be said that not a single </w:t>
      </w:r>
      <w:r w:rsidR="00C64538">
        <w:rPr>
          <w:rFonts w:ascii="Arial" w:hAnsi="Arial" w:cs="Arial"/>
          <w:sz w:val="24"/>
          <w:szCs w:val="24"/>
        </w:rPr>
        <w:t xml:space="preserve">finding </w:t>
      </w:r>
      <w:r w:rsidR="00081A90">
        <w:rPr>
          <w:rFonts w:ascii="Arial" w:hAnsi="Arial" w:cs="Arial"/>
          <w:sz w:val="24"/>
          <w:szCs w:val="24"/>
        </w:rPr>
        <w:t xml:space="preserve">that she </w:t>
      </w:r>
      <w:r w:rsidR="00C64538">
        <w:rPr>
          <w:rFonts w:ascii="Arial" w:hAnsi="Arial" w:cs="Arial"/>
          <w:sz w:val="24"/>
          <w:szCs w:val="24"/>
        </w:rPr>
        <w:t xml:space="preserve">made </w:t>
      </w:r>
      <w:r w:rsidR="00081A90">
        <w:rPr>
          <w:rFonts w:ascii="Arial" w:hAnsi="Arial" w:cs="Arial"/>
          <w:sz w:val="24"/>
          <w:szCs w:val="24"/>
        </w:rPr>
        <w:t xml:space="preserve">had been </w:t>
      </w:r>
      <w:r w:rsidR="00C64538">
        <w:rPr>
          <w:rFonts w:ascii="Arial" w:hAnsi="Arial" w:cs="Arial"/>
          <w:sz w:val="24"/>
          <w:szCs w:val="24"/>
        </w:rPr>
        <w:t>open for her to make</w:t>
      </w:r>
      <w:r w:rsidR="00081A90">
        <w:rPr>
          <w:rFonts w:ascii="Arial" w:hAnsi="Arial" w:cs="Arial"/>
          <w:sz w:val="24"/>
          <w:szCs w:val="24"/>
        </w:rPr>
        <w:t xml:space="preserve">. Moreover, these </w:t>
      </w:r>
      <w:r w:rsidR="00A5618A">
        <w:rPr>
          <w:rFonts w:ascii="Arial" w:hAnsi="Arial" w:cs="Arial"/>
          <w:sz w:val="24"/>
          <w:szCs w:val="24"/>
        </w:rPr>
        <w:t xml:space="preserve">findings </w:t>
      </w:r>
      <w:r w:rsidR="00081A90">
        <w:rPr>
          <w:rFonts w:ascii="Arial" w:hAnsi="Arial" w:cs="Arial"/>
          <w:sz w:val="24"/>
          <w:szCs w:val="24"/>
        </w:rPr>
        <w:t xml:space="preserve">were </w:t>
      </w:r>
      <w:r w:rsidR="00A5618A">
        <w:rPr>
          <w:rFonts w:ascii="Arial" w:hAnsi="Arial" w:cs="Arial"/>
          <w:sz w:val="24"/>
          <w:szCs w:val="24"/>
        </w:rPr>
        <w:t xml:space="preserve">made </w:t>
      </w:r>
      <w:r w:rsidR="00081A90">
        <w:rPr>
          <w:rFonts w:ascii="Arial" w:hAnsi="Arial" w:cs="Arial"/>
          <w:sz w:val="24"/>
          <w:szCs w:val="24"/>
        </w:rPr>
        <w:t xml:space="preserve">without any admissible evidence. The findings in respect of the viability of the RAF, were mainly based on an affidavit of the acting chief executive officer of the RAF in another matter and the 2019 annual report of the RAF. The findings in respect of the settlement agreements </w:t>
      </w:r>
      <w:r w:rsidR="00A5618A">
        <w:rPr>
          <w:rFonts w:ascii="Arial" w:hAnsi="Arial" w:cs="Arial"/>
          <w:sz w:val="24"/>
          <w:szCs w:val="24"/>
        </w:rPr>
        <w:t xml:space="preserve">and the </w:t>
      </w:r>
      <w:r w:rsidR="00A5618A">
        <w:rPr>
          <w:rFonts w:ascii="Arial" w:hAnsi="Arial" w:cs="Arial"/>
          <w:sz w:val="24"/>
          <w:szCs w:val="24"/>
        </w:rPr>
        <w:lastRenderedPageBreak/>
        <w:t xml:space="preserve">conduct of the affected persons, </w:t>
      </w:r>
      <w:r w:rsidR="00081A90">
        <w:rPr>
          <w:rFonts w:ascii="Arial" w:hAnsi="Arial" w:cs="Arial"/>
          <w:sz w:val="24"/>
          <w:szCs w:val="24"/>
        </w:rPr>
        <w:t>were based on the unspecified knowledge of the judge of the facts and circumstances o</w:t>
      </w:r>
      <w:r w:rsidR="00436A18">
        <w:rPr>
          <w:rFonts w:ascii="Arial" w:hAnsi="Arial" w:cs="Arial"/>
          <w:sz w:val="24"/>
          <w:szCs w:val="24"/>
        </w:rPr>
        <w:t>f other matters and</w:t>
      </w:r>
      <w:r w:rsidR="00081A90">
        <w:rPr>
          <w:rFonts w:ascii="Arial" w:hAnsi="Arial" w:cs="Arial"/>
          <w:sz w:val="24"/>
          <w:szCs w:val="24"/>
        </w:rPr>
        <w:t xml:space="preserve"> the pleadings </w:t>
      </w:r>
      <w:r w:rsidR="00586DE4">
        <w:rPr>
          <w:rFonts w:ascii="Arial" w:hAnsi="Arial" w:cs="Arial"/>
          <w:sz w:val="24"/>
          <w:szCs w:val="24"/>
        </w:rPr>
        <w:t xml:space="preserve">and </w:t>
      </w:r>
      <w:r w:rsidR="00081A90">
        <w:rPr>
          <w:rFonts w:ascii="Arial" w:hAnsi="Arial" w:cs="Arial"/>
          <w:sz w:val="24"/>
          <w:szCs w:val="24"/>
        </w:rPr>
        <w:t>expert reports in the court files. It is trite that none of this constituted evidence before the court. Therefore it is unnecessary to consider whether the judgment in any event disclosed</w:t>
      </w:r>
      <w:r w:rsidR="000A2105">
        <w:rPr>
          <w:rFonts w:ascii="Arial" w:hAnsi="Arial" w:cs="Arial"/>
          <w:sz w:val="24"/>
          <w:szCs w:val="24"/>
        </w:rPr>
        <w:t xml:space="preserve"> tenable</w:t>
      </w:r>
      <w:r w:rsidR="00A5618A">
        <w:rPr>
          <w:rFonts w:ascii="Arial" w:hAnsi="Arial" w:cs="Arial"/>
          <w:sz w:val="24"/>
          <w:szCs w:val="24"/>
        </w:rPr>
        <w:t xml:space="preserve"> reasoning in respect of any of these findings. Thus, the judge decided non-issues </w:t>
      </w:r>
      <w:r w:rsidR="000A2105">
        <w:rPr>
          <w:rFonts w:ascii="Arial" w:hAnsi="Arial" w:cs="Arial"/>
          <w:sz w:val="24"/>
          <w:szCs w:val="24"/>
        </w:rPr>
        <w:t>without</w:t>
      </w:r>
      <w:r w:rsidR="00A5618A">
        <w:rPr>
          <w:rFonts w:ascii="Arial" w:hAnsi="Arial" w:cs="Arial"/>
          <w:sz w:val="24"/>
          <w:szCs w:val="24"/>
        </w:rPr>
        <w:t xml:space="preserve"> evidence, to the detriment of all concerned</w:t>
      </w:r>
      <w:r w:rsidR="00081A90">
        <w:rPr>
          <w:rFonts w:ascii="Arial" w:hAnsi="Arial" w:cs="Arial"/>
          <w:sz w:val="24"/>
          <w:szCs w:val="24"/>
        </w:rPr>
        <w:t>.</w:t>
      </w:r>
      <w:r w:rsidR="00A5618A">
        <w:rPr>
          <w:rFonts w:ascii="Arial" w:hAnsi="Arial" w:cs="Arial"/>
          <w:sz w:val="24"/>
          <w:szCs w:val="24"/>
        </w:rPr>
        <w:t xml:space="preserve"> This injudicious overreach has to be strongly </w:t>
      </w:r>
      <w:r w:rsidR="000A2105">
        <w:rPr>
          <w:rFonts w:ascii="Arial" w:hAnsi="Arial" w:cs="Arial"/>
          <w:sz w:val="24"/>
          <w:szCs w:val="24"/>
        </w:rPr>
        <w:t>deprecated</w:t>
      </w:r>
      <w:r w:rsidR="00A5618A">
        <w:rPr>
          <w:rFonts w:ascii="Arial" w:hAnsi="Arial" w:cs="Arial"/>
          <w:sz w:val="24"/>
          <w:szCs w:val="24"/>
        </w:rPr>
        <w:t xml:space="preserve">. </w:t>
      </w:r>
      <w:r w:rsidR="00081A90">
        <w:rPr>
          <w:rFonts w:ascii="Arial" w:hAnsi="Arial" w:cs="Arial"/>
          <w:sz w:val="24"/>
          <w:szCs w:val="24"/>
        </w:rPr>
        <w:t xml:space="preserve"> </w:t>
      </w:r>
    </w:p>
    <w:p w14:paraId="63F12D9F" w14:textId="77777777" w:rsidR="00F27C6B" w:rsidRPr="000279D6" w:rsidRDefault="00F27C6B" w:rsidP="00C048EE">
      <w:pPr>
        <w:rPr>
          <w:rFonts w:ascii="Arial" w:hAnsi="Arial" w:cs="Arial"/>
        </w:rPr>
      </w:pPr>
    </w:p>
    <w:p w14:paraId="367019C9" w14:textId="503916F1" w:rsidR="00F27C6B" w:rsidRDefault="008B02D3" w:rsidP="00C048EE">
      <w:pPr>
        <w:rPr>
          <w:rFonts w:ascii="Arial" w:hAnsi="Arial" w:cs="Arial"/>
          <w:sz w:val="24"/>
          <w:szCs w:val="24"/>
        </w:rPr>
      </w:pPr>
      <w:r>
        <w:rPr>
          <w:rFonts w:ascii="Arial" w:hAnsi="Arial" w:cs="Arial"/>
          <w:sz w:val="24"/>
          <w:szCs w:val="24"/>
        </w:rPr>
        <w:t>[31</w:t>
      </w:r>
      <w:r w:rsidR="00F27C6B" w:rsidRPr="000279D6">
        <w:rPr>
          <w:rFonts w:ascii="Arial" w:hAnsi="Arial" w:cs="Arial"/>
          <w:sz w:val="24"/>
          <w:szCs w:val="24"/>
        </w:rPr>
        <w:t>]</w:t>
      </w:r>
      <w:r w:rsidR="00881AEF" w:rsidRPr="000279D6">
        <w:rPr>
          <w:rFonts w:ascii="Arial" w:hAnsi="Arial" w:cs="Arial"/>
          <w:sz w:val="24"/>
          <w:szCs w:val="24"/>
        </w:rPr>
        <w:tab/>
      </w:r>
      <w:r w:rsidR="00514CD2" w:rsidRPr="000279D6">
        <w:rPr>
          <w:rFonts w:ascii="Arial" w:hAnsi="Arial" w:cs="Arial"/>
          <w:sz w:val="24"/>
          <w:szCs w:val="24"/>
        </w:rPr>
        <w:t xml:space="preserve"> </w:t>
      </w:r>
      <w:r w:rsidR="00081A90">
        <w:rPr>
          <w:rFonts w:ascii="Arial" w:hAnsi="Arial" w:cs="Arial"/>
          <w:sz w:val="24"/>
          <w:szCs w:val="24"/>
        </w:rPr>
        <w:t xml:space="preserve">Where the misappropriation of public funds is properly raised before a court, it must, of course, deal with it decisively and without fear, favour or prejudice. But a court has no general duty or power to exercise oversight over the expenditure of public funds. This is so for three main reasons. The first is the constitutional principle of separation of powers. The second is </w:t>
      </w:r>
      <w:r w:rsidR="00586DE4">
        <w:rPr>
          <w:rFonts w:ascii="Arial" w:hAnsi="Arial" w:cs="Arial"/>
          <w:sz w:val="24"/>
          <w:szCs w:val="24"/>
        </w:rPr>
        <w:t xml:space="preserve">that </w:t>
      </w:r>
      <w:r w:rsidR="00436A18">
        <w:rPr>
          <w:rFonts w:ascii="Arial" w:hAnsi="Arial" w:cs="Arial"/>
          <w:sz w:val="24"/>
          <w:szCs w:val="24"/>
        </w:rPr>
        <w:t xml:space="preserve">the exercise of </w:t>
      </w:r>
      <w:r w:rsidR="00081A90">
        <w:rPr>
          <w:rFonts w:ascii="Arial" w:hAnsi="Arial" w:cs="Arial"/>
          <w:sz w:val="24"/>
          <w:szCs w:val="24"/>
        </w:rPr>
        <w:t xml:space="preserve">such a duty or power would </w:t>
      </w:r>
      <w:r w:rsidR="00436A18">
        <w:rPr>
          <w:rFonts w:ascii="Arial" w:hAnsi="Arial" w:cs="Arial"/>
          <w:sz w:val="24"/>
          <w:szCs w:val="24"/>
        </w:rPr>
        <w:t>infringe</w:t>
      </w:r>
      <w:r w:rsidR="00081A90">
        <w:rPr>
          <w:rFonts w:ascii="Arial" w:hAnsi="Arial" w:cs="Arial"/>
          <w:sz w:val="24"/>
          <w:szCs w:val="24"/>
        </w:rPr>
        <w:t xml:space="preserve"> the constitutional rights of ordinary citizens to equality and to a fair public hearing. </w:t>
      </w:r>
      <w:r w:rsidR="00771B41">
        <w:rPr>
          <w:rFonts w:ascii="Arial" w:hAnsi="Arial" w:cs="Arial"/>
          <w:sz w:val="24"/>
          <w:szCs w:val="24"/>
        </w:rPr>
        <w:t xml:space="preserve">The third is the principle that the law constrains a court to decide only the issues that the parties have raised for decision. See </w:t>
      </w:r>
      <w:r w:rsidR="00771B41" w:rsidRPr="004C2B7C">
        <w:rPr>
          <w:rFonts w:ascii="Arial" w:hAnsi="Arial" w:cs="Arial"/>
          <w:i/>
          <w:sz w:val="24"/>
          <w:szCs w:val="24"/>
        </w:rPr>
        <w:t>Magistrates Commission and Others v Lawrence</w:t>
      </w:r>
      <w:r w:rsidR="00EE0922">
        <w:rPr>
          <w:rFonts w:ascii="Arial" w:hAnsi="Arial" w:cs="Arial"/>
          <w:i/>
          <w:sz w:val="24"/>
          <w:szCs w:val="24"/>
        </w:rPr>
        <w:t xml:space="preserve"> </w:t>
      </w:r>
      <w:r w:rsidR="00EE0922" w:rsidRPr="00A866DC">
        <w:rPr>
          <w:rFonts w:ascii="Arial" w:hAnsi="Arial" w:cs="Arial"/>
          <w:sz w:val="24"/>
          <w:szCs w:val="24"/>
        </w:rPr>
        <w:t>[2021] ZASCA 165;</w:t>
      </w:r>
      <w:r w:rsidR="00771B41">
        <w:rPr>
          <w:rFonts w:ascii="Arial" w:hAnsi="Arial" w:cs="Arial"/>
          <w:sz w:val="24"/>
          <w:szCs w:val="24"/>
        </w:rPr>
        <w:t xml:space="preserve"> 2022 (4) SA 107 </w:t>
      </w:r>
      <w:r w:rsidR="004C2B7C">
        <w:rPr>
          <w:rFonts w:ascii="Arial" w:hAnsi="Arial" w:cs="Arial"/>
          <w:sz w:val="24"/>
          <w:szCs w:val="24"/>
        </w:rPr>
        <w:t xml:space="preserve">SCA para 78-79. A perception that a system of state administration is broken, is not a licence to disregard fundamental principles of procedural or substantive law. </w:t>
      </w:r>
    </w:p>
    <w:p w14:paraId="1D7635CC" w14:textId="77777777" w:rsidR="004C2B7C" w:rsidRPr="000279D6" w:rsidRDefault="004C2B7C" w:rsidP="00C048EE">
      <w:pPr>
        <w:rPr>
          <w:rFonts w:ascii="Arial" w:hAnsi="Arial" w:cs="Arial"/>
          <w:sz w:val="24"/>
          <w:szCs w:val="24"/>
        </w:rPr>
      </w:pPr>
    </w:p>
    <w:p w14:paraId="593FF8A0" w14:textId="5C8D862C" w:rsidR="00514CD2" w:rsidRPr="004C2B7C" w:rsidRDefault="004C2B7C" w:rsidP="00C048EE">
      <w:pPr>
        <w:rPr>
          <w:rFonts w:ascii="Arial" w:hAnsi="Arial" w:cs="Arial"/>
          <w:b/>
          <w:sz w:val="24"/>
          <w:szCs w:val="24"/>
        </w:rPr>
      </w:pPr>
      <w:r w:rsidRPr="004C2B7C">
        <w:rPr>
          <w:rFonts w:ascii="Arial" w:hAnsi="Arial" w:cs="Arial"/>
          <w:b/>
          <w:sz w:val="24"/>
          <w:szCs w:val="24"/>
        </w:rPr>
        <w:t>The referrals</w:t>
      </w:r>
    </w:p>
    <w:p w14:paraId="09BF2E72" w14:textId="4A98502A" w:rsidR="00A87861" w:rsidRPr="000279D6" w:rsidRDefault="008B02D3" w:rsidP="00153AEB">
      <w:pPr>
        <w:pStyle w:val="CommentText"/>
        <w:spacing w:line="360" w:lineRule="auto"/>
        <w:rPr>
          <w:rFonts w:ascii="Arial" w:hAnsi="Arial" w:cs="Arial"/>
          <w:sz w:val="24"/>
          <w:szCs w:val="24"/>
        </w:rPr>
      </w:pPr>
      <w:r>
        <w:rPr>
          <w:rFonts w:ascii="Arial" w:hAnsi="Arial" w:cs="Arial"/>
          <w:sz w:val="24"/>
          <w:szCs w:val="24"/>
        </w:rPr>
        <w:t>[32</w:t>
      </w:r>
      <w:r w:rsidR="00881AEF" w:rsidRPr="000279D6">
        <w:rPr>
          <w:rFonts w:ascii="Arial" w:hAnsi="Arial" w:cs="Arial"/>
          <w:sz w:val="24"/>
          <w:szCs w:val="24"/>
        </w:rPr>
        <w:t>]</w:t>
      </w:r>
      <w:r w:rsidR="00881AEF" w:rsidRPr="000279D6">
        <w:rPr>
          <w:rFonts w:ascii="Arial" w:hAnsi="Arial" w:cs="Arial"/>
          <w:sz w:val="24"/>
          <w:szCs w:val="24"/>
        </w:rPr>
        <w:tab/>
      </w:r>
      <w:r w:rsidR="004F3427" w:rsidRPr="000279D6">
        <w:rPr>
          <w:rFonts w:ascii="Arial" w:hAnsi="Arial" w:cs="Arial"/>
          <w:sz w:val="24"/>
          <w:szCs w:val="24"/>
        </w:rPr>
        <w:t xml:space="preserve"> </w:t>
      </w:r>
      <w:r w:rsidR="00ED3993">
        <w:rPr>
          <w:rFonts w:ascii="Arial" w:hAnsi="Arial" w:cs="Arial"/>
          <w:sz w:val="24"/>
          <w:szCs w:val="24"/>
        </w:rPr>
        <w:t xml:space="preserve">It is convenient to commence with a consideration of the appeals against the referrals. They were based on the findings of dishonesty and impropriety on the part of the affected persons that I have referred to. The referrals are inextricably linked to these findings. The judgment of the court a quo was forthwith made available electronically and subsequently published in the law reports. In the nature of things, it would have spread like wildfire in the relevant communities. There </w:t>
      </w:r>
      <w:r w:rsidR="00050941">
        <w:rPr>
          <w:rFonts w:ascii="Arial" w:hAnsi="Arial" w:cs="Arial"/>
          <w:sz w:val="24"/>
          <w:szCs w:val="24"/>
        </w:rPr>
        <w:t>can</w:t>
      </w:r>
      <w:r w:rsidR="00ED3993">
        <w:rPr>
          <w:rFonts w:ascii="Arial" w:hAnsi="Arial" w:cs="Arial"/>
          <w:sz w:val="24"/>
          <w:szCs w:val="24"/>
        </w:rPr>
        <w:t xml:space="preserve"> be no doubt that the</w:t>
      </w:r>
      <w:r w:rsidR="00DC3B3D">
        <w:rPr>
          <w:rFonts w:ascii="Arial" w:hAnsi="Arial" w:cs="Arial"/>
          <w:sz w:val="24"/>
          <w:szCs w:val="24"/>
        </w:rPr>
        <w:t xml:space="preserve"> referrals had and continue</w:t>
      </w:r>
      <w:r w:rsidR="00ED3993">
        <w:rPr>
          <w:rFonts w:ascii="Arial" w:hAnsi="Arial" w:cs="Arial"/>
          <w:sz w:val="24"/>
          <w:szCs w:val="24"/>
        </w:rPr>
        <w:t xml:space="preserve"> to have grave reputational and practical consequences for the affected persons. </w:t>
      </w:r>
    </w:p>
    <w:p w14:paraId="53CF5CC1" w14:textId="77777777" w:rsidR="00A87861" w:rsidRPr="000279D6" w:rsidRDefault="00A87861" w:rsidP="00A87861">
      <w:pPr>
        <w:rPr>
          <w:rFonts w:ascii="Arial" w:hAnsi="Arial" w:cs="Arial"/>
          <w:sz w:val="24"/>
          <w:szCs w:val="24"/>
        </w:rPr>
      </w:pPr>
    </w:p>
    <w:p w14:paraId="6EF2B0C6" w14:textId="795C9D9C" w:rsidR="0025083A" w:rsidRDefault="008B02D3" w:rsidP="000279D6">
      <w:pPr>
        <w:rPr>
          <w:rFonts w:ascii="Arial" w:hAnsi="Arial" w:cs="Arial"/>
          <w:sz w:val="24"/>
          <w:szCs w:val="24"/>
        </w:rPr>
      </w:pPr>
      <w:r>
        <w:rPr>
          <w:rFonts w:ascii="Arial" w:hAnsi="Arial" w:cs="Arial"/>
          <w:sz w:val="24"/>
          <w:szCs w:val="24"/>
        </w:rPr>
        <w:t>[33</w:t>
      </w:r>
      <w:r w:rsidR="00A87861" w:rsidRPr="000279D6">
        <w:rPr>
          <w:rFonts w:ascii="Arial" w:hAnsi="Arial" w:cs="Arial"/>
          <w:sz w:val="24"/>
          <w:szCs w:val="24"/>
        </w:rPr>
        <w:t>]</w:t>
      </w:r>
      <w:r w:rsidR="00A87861" w:rsidRPr="000279D6">
        <w:rPr>
          <w:rFonts w:ascii="Arial" w:hAnsi="Arial" w:cs="Arial"/>
          <w:sz w:val="24"/>
          <w:szCs w:val="24"/>
        </w:rPr>
        <w:tab/>
      </w:r>
      <w:r w:rsidR="0025083A" w:rsidRPr="000279D6">
        <w:rPr>
          <w:rFonts w:ascii="Arial" w:hAnsi="Arial" w:cs="Arial"/>
          <w:sz w:val="24"/>
          <w:szCs w:val="24"/>
        </w:rPr>
        <w:t xml:space="preserve"> </w:t>
      </w:r>
      <w:r w:rsidR="00125885">
        <w:rPr>
          <w:rFonts w:ascii="Arial" w:hAnsi="Arial" w:cs="Arial"/>
          <w:sz w:val="24"/>
          <w:szCs w:val="24"/>
        </w:rPr>
        <w:t xml:space="preserve">In the circumstances, the age-old principle of </w:t>
      </w:r>
      <w:r w:rsidR="00125885" w:rsidRPr="00125885">
        <w:rPr>
          <w:rFonts w:ascii="Arial" w:hAnsi="Arial" w:cs="Arial"/>
          <w:i/>
          <w:sz w:val="24"/>
          <w:szCs w:val="24"/>
        </w:rPr>
        <w:t>audi alteram partem</w:t>
      </w:r>
      <w:r w:rsidR="00125885">
        <w:rPr>
          <w:rFonts w:ascii="Arial" w:hAnsi="Arial" w:cs="Arial"/>
          <w:sz w:val="24"/>
          <w:szCs w:val="24"/>
        </w:rPr>
        <w:t xml:space="preserve"> required that </w:t>
      </w:r>
      <w:r w:rsidR="00CB10D3">
        <w:rPr>
          <w:rFonts w:ascii="Arial" w:hAnsi="Arial" w:cs="Arial"/>
          <w:sz w:val="24"/>
          <w:szCs w:val="24"/>
        </w:rPr>
        <w:t xml:space="preserve">the affected persons be afforded reasonable prior notice and opportunity to state their cases. In </w:t>
      </w:r>
      <w:r w:rsidR="00CB10D3" w:rsidRPr="00CB10D3">
        <w:rPr>
          <w:rFonts w:ascii="Arial" w:hAnsi="Arial" w:cs="Arial"/>
          <w:i/>
          <w:sz w:val="24"/>
          <w:szCs w:val="24"/>
        </w:rPr>
        <w:t xml:space="preserve">De Beer NO v North-Central Local Council and South-Central Local Council </w:t>
      </w:r>
      <w:r w:rsidR="00CB10D3" w:rsidRPr="00CB10D3">
        <w:rPr>
          <w:rFonts w:ascii="Arial" w:hAnsi="Arial" w:cs="Arial"/>
          <w:i/>
          <w:sz w:val="24"/>
          <w:szCs w:val="24"/>
        </w:rPr>
        <w:lastRenderedPageBreak/>
        <w:t>and Others (Umhlatuzana Civic Association intervening)</w:t>
      </w:r>
      <w:r w:rsidR="00CB10D3">
        <w:rPr>
          <w:rFonts w:ascii="Arial" w:hAnsi="Arial" w:cs="Arial"/>
          <w:sz w:val="24"/>
          <w:szCs w:val="24"/>
        </w:rPr>
        <w:t xml:space="preserve"> 2002 (1) SA 429 (CC) para 11, the following was said with particular reference to s 34 of the Constitution: </w:t>
      </w:r>
    </w:p>
    <w:p w14:paraId="3F0D9867" w14:textId="5989DCED" w:rsidR="002F5C04" w:rsidRPr="002F5C04" w:rsidRDefault="002F5C04" w:rsidP="000279D6">
      <w:pPr>
        <w:rPr>
          <w:rFonts w:ascii="Arial" w:hAnsi="Arial" w:cs="Arial"/>
        </w:rPr>
      </w:pPr>
      <w:r>
        <w:rPr>
          <w:rFonts w:ascii="Arial" w:hAnsi="Arial" w:cs="Arial"/>
        </w:rPr>
        <w:t xml:space="preserve">‘This s 34 fair hearing right affirms the rule of law which is a founding value of our Constitution. The right to a fair hearing before a court lies at the heart of the rule of law. A fair hearing before a court as a prerequisite to an order being made against anyone is fundamental to a just and credible legal order. Courts in our country are obliged to ensure that the proceedings before them are always fair. Since procedures that would render the hearing unfair are inconsistent with the Constitution </w:t>
      </w:r>
      <w:r w:rsidR="00EB1BA5">
        <w:rPr>
          <w:rFonts w:ascii="Arial" w:hAnsi="Arial" w:cs="Arial"/>
        </w:rPr>
        <w:t>courts must interpret</w:t>
      </w:r>
      <w:r w:rsidR="00DA6C21">
        <w:rPr>
          <w:rFonts w:ascii="Arial" w:hAnsi="Arial" w:cs="Arial"/>
        </w:rPr>
        <w:t xml:space="preserve"> legislation and </w:t>
      </w:r>
      <w:r w:rsidR="00FC51C6">
        <w:rPr>
          <w:rFonts w:ascii="Arial" w:hAnsi="Arial" w:cs="Arial"/>
        </w:rPr>
        <w:t>r</w:t>
      </w:r>
      <w:r w:rsidR="00DA6C21">
        <w:rPr>
          <w:rFonts w:ascii="Arial" w:hAnsi="Arial" w:cs="Arial"/>
        </w:rPr>
        <w:t xml:space="preserve">ules of </w:t>
      </w:r>
      <w:r w:rsidR="00FC51C6">
        <w:rPr>
          <w:rFonts w:ascii="Arial" w:hAnsi="Arial" w:cs="Arial"/>
        </w:rPr>
        <w:t>c</w:t>
      </w:r>
      <w:r w:rsidR="00DA6C21">
        <w:rPr>
          <w:rFonts w:ascii="Arial" w:hAnsi="Arial" w:cs="Arial"/>
        </w:rPr>
        <w:t>ourt, where it is reasonably possible to do so, in a way that would render the proceedings fair. It is a crucial aspect of the rule of law that court orders should not be made without affording the other side a reasonable opportunity to state their case.</w:t>
      </w:r>
      <w:r w:rsidR="008C0A9A">
        <w:rPr>
          <w:rFonts w:ascii="Arial" w:hAnsi="Arial" w:cs="Arial"/>
        </w:rPr>
        <w:t xml:space="preserve"> . .</w:t>
      </w:r>
      <w:r w:rsidR="00DA6C21">
        <w:rPr>
          <w:rFonts w:ascii="Arial" w:hAnsi="Arial" w:cs="Arial"/>
        </w:rPr>
        <w:t>’</w:t>
      </w:r>
    </w:p>
    <w:p w14:paraId="338635A3" w14:textId="77777777" w:rsidR="000A7F1A" w:rsidRPr="000279D6" w:rsidRDefault="000A7F1A" w:rsidP="00A87861">
      <w:pPr>
        <w:rPr>
          <w:rFonts w:ascii="Arial" w:hAnsi="Arial" w:cs="Arial"/>
          <w:sz w:val="24"/>
          <w:szCs w:val="24"/>
        </w:rPr>
      </w:pPr>
    </w:p>
    <w:p w14:paraId="3EC48DF9" w14:textId="2959D2BA" w:rsidR="000A7F1A" w:rsidRPr="000279D6" w:rsidRDefault="008B02D3" w:rsidP="00A87861">
      <w:pPr>
        <w:rPr>
          <w:rFonts w:ascii="Arial" w:hAnsi="Arial" w:cs="Arial"/>
          <w:sz w:val="24"/>
          <w:szCs w:val="24"/>
        </w:rPr>
      </w:pPr>
      <w:r>
        <w:rPr>
          <w:rFonts w:ascii="Arial" w:hAnsi="Arial" w:cs="Arial"/>
          <w:sz w:val="24"/>
          <w:szCs w:val="24"/>
        </w:rPr>
        <w:t>[34</w:t>
      </w:r>
      <w:r w:rsidR="000A7F1A" w:rsidRPr="000279D6">
        <w:rPr>
          <w:rFonts w:ascii="Arial" w:hAnsi="Arial" w:cs="Arial"/>
          <w:sz w:val="24"/>
          <w:szCs w:val="24"/>
        </w:rPr>
        <w:t>]</w:t>
      </w:r>
      <w:r w:rsidR="000A7F1A" w:rsidRPr="000279D6">
        <w:rPr>
          <w:rFonts w:ascii="Arial" w:hAnsi="Arial" w:cs="Arial"/>
          <w:sz w:val="24"/>
          <w:szCs w:val="24"/>
        </w:rPr>
        <w:tab/>
      </w:r>
      <w:r w:rsidR="006D1A65" w:rsidRPr="000279D6">
        <w:rPr>
          <w:rFonts w:ascii="Arial" w:hAnsi="Arial" w:cs="Arial"/>
          <w:sz w:val="24"/>
          <w:szCs w:val="24"/>
        </w:rPr>
        <w:t xml:space="preserve"> </w:t>
      </w:r>
      <w:r w:rsidR="000D2B2A">
        <w:rPr>
          <w:rFonts w:ascii="Arial" w:hAnsi="Arial" w:cs="Arial"/>
          <w:sz w:val="24"/>
          <w:szCs w:val="24"/>
        </w:rPr>
        <w:t xml:space="preserve">The affected persons were not afforded any such notice or opportunity. It follows that the findings and referrals were made in complete disregard of the rights of the affected persons. The referrals are manifestly unjust, cannot stand and must be set aside at this stage. </w:t>
      </w:r>
    </w:p>
    <w:p w14:paraId="6F30C5FB" w14:textId="77777777" w:rsidR="00512EC5" w:rsidRDefault="00512EC5" w:rsidP="00A87861">
      <w:pPr>
        <w:rPr>
          <w:rFonts w:ascii="Arial" w:hAnsi="Arial" w:cs="Arial"/>
          <w:sz w:val="24"/>
          <w:szCs w:val="24"/>
        </w:rPr>
      </w:pPr>
    </w:p>
    <w:p w14:paraId="52B6ECC2" w14:textId="49BE2B60" w:rsidR="000D2B2A" w:rsidRPr="000D2B2A" w:rsidRDefault="000D2B2A" w:rsidP="00A87861">
      <w:pPr>
        <w:rPr>
          <w:rFonts w:ascii="Arial" w:hAnsi="Arial" w:cs="Arial"/>
          <w:b/>
          <w:sz w:val="24"/>
          <w:szCs w:val="24"/>
        </w:rPr>
      </w:pPr>
      <w:r w:rsidRPr="000D2B2A">
        <w:rPr>
          <w:rFonts w:ascii="Arial" w:hAnsi="Arial" w:cs="Arial"/>
          <w:b/>
          <w:sz w:val="24"/>
          <w:szCs w:val="24"/>
        </w:rPr>
        <w:t>The postponements</w:t>
      </w:r>
    </w:p>
    <w:p w14:paraId="47D09193" w14:textId="79D0E61B" w:rsidR="00512EC5" w:rsidRPr="000279D6" w:rsidRDefault="008B02D3" w:rsidP="00A87861">
      <w:pPr>
        <w:rPr>
          <w:rFonts w:ascii="Arial" w:hAnsi="Arial" w:cs="Arial"/>
          <w:sz w:val="24"/>
          <w:szCs w:val="24"/>
        </w:rPr>
      </w:pPr>
      <w:r>
        <w:rPr>
          <w:rFonts w:ascii="Arial" w:hAnsi="Arial" w:cs="Arial"/>
          <w:sz w:val="24"/>
          <w:szCs w:val="24"/>
        </w:rPr>
        <w:t>[35</w:t>
      </w:r>
      <w:r w:rsidR="00512EC5" w:rsidRPr="000279D6">
        <w:rPr>
          <w:rFonts w:ascii="Arial" w:hAnsi="Arial" w:cs="Arial"/>
          <w:sz w:val="24"/>
          <w:szCs w:val="24"/>
        </w:rPr>
        <w:t>]</w:t>
      </w:r>
      <w:r w:rsidR="00512EC5" w:rsidRPr="000279D6">
        <w:rPr>
          <w:rFonts w:ascii="Arial" w:hAnsi="Arial" w:cs="Arial"/>
          <w:sz w:val="24"/>
          <w:szCs w:val="24"/>
        </w:rPr>
        <w:tab/>
      </w:r>
      <w:r w:rsidR="00203286" w:rsidRPr="000279D6">
        <w:rPr>
          <w:rFonts w:ascii="Arial" w:hAnsi="Arial" w:cs="Arial"/>
          <w:sz w:val="24"/>
          <w:szCs w:val="24"/>
        </w:rPr>
        <w:t xml:space="preserve"> </w:t>
      </w:r>
      <w:r w:rsidR="00236593">
        <w:rPr>
          <w:rFonts w:ascii="Arial" w:hAnsi="Arial" w:cs="Arial"/>
          <w:sz w:val="24"/>
          <w:szCs w:val="24"/>
        </w:rPr>
        <w:t xml:space="preserve">The settlement agreements in the Taylor and Mathonsi matters are final and unconditional compromises. There is no indication that a contingency fee agreement was involved in these matters. Thus, the general principles relating to a compromise are applicable to them. </w:t>
      </w:r>
    </w:p>
    <w:p w14:paraId="2D19D77C" w14:textId="77777777" w:rsidR="00C26575" w:rsidRPr="000279D6" w:rsidRDefault="00C26575" w:rsidP="00A87861">
      <w:pPr>
        <w:rPr>
          <w:rFonts w:ascii="Arial" w:hAnsi="Arial" w:cs="Arial"/>
          <w:sz w:val="24"/>
          <w:szCs w:val="24"/>
        </w:rPr>
      </w:pPr>
    </w:p>
    <w:p w14:paraId="08558C61" w14:textId="64485631" w:rsidR="006501B4" w:rsidRPr="000279D6" w:rsidRDefault="008B02D3" w:rsidP="00B05C8E">
      <w:pPr>
        <w:rPr>
          <w:rFonts w:ascii="Arial" w:hAnsi="Arial" w:cs="Arial"/>
          <w:sz w:val="24"/>
          <w:szCs w:val="24"/>
          <w:lang w:val="en-US"/>
        </w:rPr>
      </w:pPr>
      <w:r>
        <w:rPr>
          <w:rFonts w:ascii="Arial" w:hAnsi="Arial" w:cs="Arial"/>
          <w:sz w:val="24"/>
          <w:szCs w:val="24"/>
        </w:rPr>
        <w:t>[36</w:t>
      </w:r>
      <w:r w:rsidR="00C26575" w:rsidRPr="000279D6">
        <w:rPr>
          <w:rFonts w:ascii="Arial" w:hAnsi="Arial" w:cs="Arial"/>
          <w:sz w:val="24"/>
          <w:szCs w:val="24"/>
        </w:rPr>
        <w:t>]</w:t>
      </w:r>
      <w:r w:rsidR="00C26575" w:rsidRPr="000279D6">
        <w:rPr>
          <w:rFonts w:ascii="Arial" w:hAnsi="Arial" w:cs="Arial"/>
          <w:sz w:val="24"/>
          <w:szCs w:val="24"/>
        </w:rPr>
        <w:tab/>
      </w:r>
      <w:r w:rsidR="00F1444D" w:rsidRPr="000279D6">
        <w:rPr>
          <w:rFonts w:ascii="Arial" w:hAnsi="Arial" w:cs="Arial"/>
          <w:sz w:val="24"/>
          <w:szCs w:val="24"/>
          <w:lang w:val="en-US"/>
        </w:rPr>
        <w:t xml:space="preserve"> </w:t>
      </w:r>
      <w:r w:rsidR="00154794">
        <w:rPr>
          <w:rFonts w:ascii="Arial" w:hAnsi="Arial" w:cs="Arial"/>
          <w:sz w:val="24"/>
          <w:szCs w:val="24"/>
          <w:lang w:val="en-US"/>
        </w:rPr>
        <w:t>The essence of a compromise (</w:t>
      </w:r>
      <w:r w:rsidR="00154794" w:rsidRPr="00154794">
        <w:rPr>
          <w:rFonts w:ascii="Arial" w:hAnsi="Arial" w:cs="Arial"/>
          <w:i/>
          <w:sz w:val="24"/>
          <w:szCs w:val="24"/>
          <w:lang w:val="en-US"/>
        </w:rPr>
        <w:t>transactio</w:t>
      </w:r>
      <w:r w:rsidR="00154794">
        <w:rPr>
          <w:rFonts w:ascii="Arial" w:hAnsi="Arial" w:cs="Arial"/>
          <w:sz w:val="24"/>
          <w:szCs w:val="24"/>
          <w:lang w:val="en-US"/>
        </w:rPr>
        <w:t xml:space="preserve">) is the final settlement of disputed or uncertain rights or obligations by agreement. Save to the extent that the compromise provides otherwise, it extinguishes the disputed rights or obligations. The purpose of a compromise is to prevent or put an end to litigation. Our courts have for more than a century held that, irrespective of whether it is made an order of court, a compromise has the effect of </w:t>
      </w:r>
      <w:r w:rsidR="00154794" w:rsidRPr="00154794">
        <w:rPr>
          <w:rFonts w:ascii="Arial" w:hAnsi="Arial" w:cs="Arial"/>
          <w:i/>
          <w:sz w:val="24"/>
          <w:szCs w:val="24"/>
          <w:lang w:val="en-US"/>
        </w:rPr>
        <w:t>res iudicata</w:t>
      </w:r>
      <w:r w:rsidR="00436DF6">
        <w:rPr>
          <w:rFonts w:ascii="Arial" w:hAnsi="Arial" w:cs="Arial"/>
          <w:sz w:val="24"/>
          <w:szCs w:val="24"/>
          <w:lang w:val="en-US"/>
        </w:rPr>
        <w:t xml:space="preserve"> (a compromise is not itself </w:t>
      </w:r>
      <w:r w:rsidR="00436DF6" w:rsidRPr="00A866DC">
        <w:rPr>
          <w:rFonts w:ascii="Arial" w:hAnsi="Arial" w:cs="Arial"/>
          <w:i/>
          <w:sz w:val="24"/>
          <w:szCs w:val="24"/>
          <w:lang w:val="en-US"/>
        </w:rPr>
        <w:t>res iudicata</w:t>
      </w:r>
      <w:r w:rsidR="00436DF6">
        <w:rPr>
          <w:rFonts w:ascii="Arial" w:hAnsi="Arial" w:cs="Arial"/>
          <w:sz w:val="24"/>
          <w:szCs w:val="24"/>
          <w:lang w:val="en-US"/>
        </w:rPr>
        <w:t xml:space="preserve"> (literally ‘a matter judged’) but has that effect). </w:t>
      </w:r>
    </w:p>
    <w:p w14:paraId="1D77D8D9" w14:textId="77777777" w:rsidR="00AD7CE5" w:rsidRPr="000279D6" w:rsidRDefault="00AD7CE5" w:rsidP="00B05C8E">
      <w:pPr>
        <w:rPr>
          <w:rFonts w:ascii="Arial" w:hAnsi="Arial" w:cs="Arial"/>
          <w:sz w:val="24"/>
          <w:szCs w:val="24"/>
          <w:lang w:val="en-US"/>
        </w:rPr>
      </w:pPr>
    </w:p>
    <w:p w14:paraId="4ECF0769" w14:textId="5DDA1509" w:rsidR="00EF6181" w:rsidRDefault="008B02D3" w:rsidP="00B05C8E">
      <w:pPr>
        <w:rPr>
          <w:rFonts w:ascii="Arial" w:hAnsi="Arial" w:cs="Arial"/>
          <w:sz w:val="24"/>
          <w:szCs w:val="24"/>
          <w:lang w:val="en-US"/>
        </w:rPr>
      </w:pPr>
      <w:r>
        <w:rPr>
          <w:rFonts w:ascii="Arial" w:hAnsi="Arial" w:cs="Arial"/>
          <w:sz w:val="24"/>
          <w:szCs w:val="24"/>
          <w:lang w:val="en-US"/>
        </w:rPr>
        <w:t>[37</w:t>
      </w:r>
      <w:r w:rsidR="00AD7CE5" w:rsidRPr="000279D6">
        <w:rPr>
          <w:rFonts w:ascii="Arial" w:hAnsi="Arial" w:cs="Arial"/>
          <w:sz w:val="24"/>
          <w:szCs w:val="24"/>
          <w:lang w:val="en-US"/>
        </w:rPr>
        <w:t>]</w:t>
      </w:r>
      <w:r w:rsidR="00AD7CE5" w:rsidRPr="000279D6">
        <w:rPr>
          <w:rFonts w:ascii="Arial" w:hAnsi="Arial" w:cs="Arial"/>
          <w:sz w:val="24"/>
          <w:szCs w:val="24"/>
          <w:lang w:val="en-US"/>
        </w:rPr>
        <w:tab/>
      </w:r>
      <w:r w:rsidR="00AA2F80">
        <w:rPr>
          <w:rFonts w:ascii="Arial" w:hAnsi="Arial" w:cs="Arial"/>
          <w:sz w:val="24"/>
          <w:szCs w:val="24"/>
          <w:lang w:val="en-US"/>
        </w:rPr>
        <w:t xml:space="preserve">Because, as I shall show, the majority in </w:t>
      </w:r>
      <w:r w:rsidR="00AA2F80" w:rsidRPr="00AA2F80">
        <w:rPr>
          <w:rFonts w:ascii="Arial" w:hAnsi="Arial" w:cs="Arial"/>
          <w:i/>
          <w:sz w:val="24"/>
          <w:szCs w:val="24"/>
          <w:lang w:val="en-US"/>
        </w:rPr>
        <w:t>Maswanganyi v Road Accident Fund</w:t>
      </w:r>
      <w:r w:rsidR="00AA2F80">
        <w:rPr>
          <w:rFonts w:ascii="Arial" w:hAnsi="Arial" w:cs="Arial"/>
          <w:sz w:val="24"/>
          <w:szCs w:val="24"/>
          <w:lang w:val="en-US"/>
        </w:rPr>
        <w:t xml:space="preserve"> </w:t>
      </w:r>
      <w:r w:rsidR="008F709C">
        <w:rPr>
          <w:rFonts w:ascii="Arial" w:hAnsi="Arial" w:cs="Arial"/>
          <w:sz w:val="24"/>
          <w:szCs w:val="24"/>
          <w:lang w:val="en-US"/>
        </w:rPr>
        <w:t xml:space="preserve">[2019] ZASCA 97; </w:t>
      </w:r>
      <w:r w:rsidR="00AA2F80">
        <w:rPr>
          <w:rFonts w:ascii="Arial" w:hAnsi="Arial" w:cs="Arial"/>
          <w:sz w:val="24"/>
          <w:szCs w:val="24"/>
          <w:lang w:val="en-US"/>
        </w:rPr>
        <w:t>2019 (5) SA 407 SCA (</w:t>
      </w:r>
      <w:r w:rsidR="00AA2F80" w:rsidRPr="00AA2F80">
        <w:rPr>
          <w:rFonts w:ascii="Arial" w:hAnsi="Arial" w:cs="Arial"/>
          <w:i/>
          <w:sz w:val="24"/>
          <w:szCs w:val="24"/>
          <w:lang w:val="en-US"/>
        </w:rPr>
        <w:t>Maswanganyi</w:t>
      </w:r>
      <w:r w:rsidR="00AA2F80">
        <w:rPr>
          <w:rFonts w:ascii="Arial" w:hAnsi="Arial" w:cs="Arial"/>
          <w:sz w:val="24"/>
          <w:szCs w:val="24"/>
          <w:lang w:val="en-US"/>
        </w:rPr>
        <w:t>), did not follow these principles, it is necessary to make rather extensive reference to the judgments</w:t>
      </w:r>
      <w:r w:rsidR="002E70E6">
        <w:rPr>
          <w:rFonts w:ascii="Arial" w:hAnsi="Arial" w:cs="Arial"/>
          <w:sz w:val="24"/>
          <w:szCs w:val="24"/>
          <w:lang w:val="en-US"/>
        </w:rPr>
        <w:t xml:space="preserve"> which </w:t>
      </w:r>
      <w:r w:rsidR="002E70E6">
        <w:rPr>
          <w:rFonts w:ascii="Arial" w:hAnsi="Arial" w:cs="Arial"/>
          <w:sz w:val="24"/>
          <w:szCs w:val="24"/>
          <w:lang w:val="en-US"/>
        </w:rPr>
        <w:lastRenderedPageBreak/>
        <w:t>have enunciated these principles.</w:t>
      </w:r>
      <w:r w:rsidR="00AA2F80">
        <w:rPr>
          <w:rFonts w:ascii="Arial" w:hAnsi="Arial" w:cs="Arial"/>
          <w:sz w:val="24"/>
          <w:szCs w:val="24"/>
          <w:lang w:val="en-US"/>
        </w:rPr>
        <w:t xml:space="preserve"> </w:t>
      </w:r>
      <w:r w:rsidR="008E32E8">
        <w:rPr>
          <w:rFonts w:ascii="Arial" w:hAnsi="Arial" w:cs="Arial"/>
          <w:sz w:val="24"/>
          <w:szCs w:val="24"/>
          <w:lang w:val="en-US"/>
        </w:rPr>
        <w:t>A conven</w:t>
      </w:r>
      <w:r w:rsidR="007D48A1">
        <w:rPr>
          <w:rFonts w:ascii="Arial" w:hAnsi="Arial" w:cs="Arial"/>
          <w:sz w:val="24"/>
          <w:szCs w:val="24"/>
          <w:lang w:val="en-US"/>
        </w:rPr>
        <w:t xml:space="preserve">ient starting point is </w:t>
      </w:r>
      <w:r w:rsidR="007D48A1" w:rsidRPr="007D48A1">
        <w:rPr>
          <w:rFonts w:ascii="Arial" w:hAnsi="Arial" w:cs="Arial"/>
          <w:i/>
          <w:sz w:val="24"/>
          <w:szCs w:val="24"/>
          <w:lang w:val="en-US"/>
        </w:rPr>
        <w:t>Cachalia v Harberer &amp; Co</w:t>
      </w:r>
      <w:r w:rsidR="007D48A1">
        <w:rPr>
          <w:rFonts w:ascii="Arial" w:hAnsi="Arial" w:cs="Arial"/>
          <w:sz w:val="24"/>
          <w:szCs w:val="24"/>
          <w:lang w:val="en-US"/>
        </w:rPr>
        <w:t xml:space="preserve"> 1905 TS 457 (Innes CJ and Solomon and Mason JJ). </w:t>
      </w:r>
      <w:r w:rsidR="007E75BA">
        <w:rPr>
          <w:rFonts w:ascii="Arial" w:hAnsi="Arial" w:cs="Arial"/>
          <w:sz w:val="24"/>
          <w:szCs w:val="24"/>
          <w:lang w:val="en-US"/>
        </w:rPr>
        <w:t>There a settlement of an action in the magistrate’s court was not entered upon the record. The plaintiff’s subsequent claim against the defendant on the original</w:t>
      </w:r>
      <w:r w:rsidR="00436A18">
        <w:rPr>
          <w:rFonts w:ascii="Arial" w:hAnsi="Arial" w:cs="Arial"/>
          <w:sz w:val="24"/>
          <w:szCs w:val="24"/>
          <w:lang w:val="en-US"/>
        </w:rPr>
        <w:t xml:space="preserve"> contract, was met by the defenc</w:t>
      </w:r>
      <w:r w:rsidR="007E75BA">
        <w:rPr>
          <w:rFonts w:ascii="Arial" w:hAnsi="Arial" w:cs="Arial"/>
          <w:sz w:val="24"/>
          <w:szCs w:val="24"/>
          <w:lang w:val="en-US"/>
        </w:rPr>
        <w:t>e that it was precluded by the settlement agreement. The court upheld th</w:t>
      </w:r>
      <w:r w:rsidR="00436A18">
        <w:rPr>
          <w:rFonts w:ascii="Arial" w:hAnsi="Arial" w:cs="Arial"/>
          <w:sz w:val="24"/>
          <w:szCs w:val="24"/>
          <w:lang w:val="en-US"/>
        </w:rPr>
        <w:t>e defenc</w:t>
      </w:r>
      <w:r w:rsidR="007E75BA">
        <w:rPr>
          <w:rFonts w:ascii="Arial" w:hAnsi="Arial" w:cs="Arial"/>
          <w:sz w:val="24"/>
          <w:szCs w:val="24"/>
          <w:lang w:val="en-US"/>
        </w:rPr>
        <w:t xml:space="preserve">e in these terms: </w:t>
      </w:r>
    </w:p>
    <w:p w14:paraId="3F385983" w14:textId="513FE17F" w:rsidR="007E75BA" w:rsidRPr="007E75BA" w:rsidRDefault="007E75BA" w:rsidP="00B05C8E">
      <w:pPr>
        <w:rPr>
          <w:rFonts w:ascii="Arial" w:hAnsi="Arial" w:cs="Arial"/>
          <w:lang w:val="en-US"/>
        </w:rPr>
      </w:pPr>
      <w:r>
        <w:rPr>
          <w:rFonts w:ascii="Arial" w:hAnsi="Arial" w:cs="Arial"/>
          <w:lang w:val="en-US"/>
        </w:rPr>
        <w:t xml:space="preserve">‘Now does it make any difference that no judgment was entered at the time, and that this settlement was merely a settlement between the parties which was not entered in the records of the court? The authorities seem to me clear that this does not make any difference, that a </w:t>
      </w:r>
      <w:r w:rsidRPr="007E75BA">
        <w:rPr>
          <w:rFonts w:ascii="Arial" w:hAnsi="Arial" w:cs="Arial"/>
          <w:i/>
          <w:lang w:val="en-US"/>
        </w:rPr>
        <w:t>transactio</w:t>
      </w:r>
      <w:r>
        <w:rPr>
          <w:rFonts w:ascii="Arial" w:hAnsi="Arial" w:cs="Arial"/>
          <w:lang w:val="en-US"/>
        </w:rPr>
        <w:t xml:space="preserve"> may be either a judicial one, which is entered in the records of the court, or may be extra-judicial, but that the effect is the same. A compromise whether embodied in a judgment of the court or extra-judicial has the effect of </w:t>
      </w:r>
      <w:r w:rsidRPr="007E75BA">
        <w:rPr>
          <w:rFonts w:ascii="Arial" w:hAnsi="Arial" w:cs="Arial"/>
          <w:i/>
          <w:lang w:val="en-US"/>
        </w:rPr>
        <w:t>res judicata</w:t>
      </w:r>
      <w:r>
        <w:rPr>
          <w:rFonts w:ascii="Arial" w:hAnsi="Arial" w:cs="Arial"/>
          <w:lang w:val="en-US"/>
        </w:rPr>
        <w:t>, and is an absolute defence to an action on the original contract.’</w:t>
      </w:r>
    </w:p>
    <w:p w14:paraId="22D08DA5" w14:textId="77777777" w:rsidR="005306FF" w:rsidRPr="000279D6" w:rsidRDefault="005306FF" w:rsidP="00B05C8E">
      <w:pPr>
        <w:rPr>
          <w:rFonts w:ascii="Arial" w:hAnsi="Arial" w:cs="Arial"/>
          <w:sz w:val="24"/>
          <w:szCs w:val="24"/>
          <w:lang w:val="en-US"/>
        </w:rPr>
      </w:pPr>
    </w:p>
    <w:p w14:paraId="35D6C211" w14:textId="40F08265" w:rsidR="005306FF" w:rsidRDefault="008B02D3" w:rsidP="00B05C8E">
      <w:pPr>
        <w:rPr>
          <w:rFonts w:ascii="Arial" w:hAnsi="Arial" w:cs="Arial"/>
          <w:sz w:val="24"/>
          <w:szCs w:val="24"/>
          <w:lang w:val="en-US"/>
        </w:rPr>
      </w:pPr>
      <w:r>
        <w:rPr>
          <w:rFonts w:ascii="Arial" w:hAnsi="Arial" w:cs="Arial"/>
          <w:sz w:val="24"/>
          <w:szCs w:val="24"/>
          <w:lang w:val="en-US"/>
        </w:rPr>
        <w:t>[38</w:t>
      </w:r>
      <w:r w:rsidR="005306FF" w:rsidRPr="000279D6">
        <w:rPr>
          <w:rFonts w:ascii="Arial" w:hAnsi="Arial" w:cs="Arial"/>
          <w:sz w:val="24"/>
          <w:szCs w:val="24"/>
          <w:lang w:val="en-US"/>
        </w:rPr>
        <w:t>]</w:t>
      </w:r>
      <w:r w:rsidR="005306FF" w:rsidRPr="000279D6">
        <w:rPr>
          <w:rFonts w:ascii="Arial" w:hAnsi="Arial" w:cs="Arial"/>
          <w:sz w:val="24"/>
          <w:szCs w:val="24"/>
          <w:lang w:val="en-US"/>
        </w:rPr>
        <w:tab/>
      </w:r>
      <w:r w:rsidR="008E5CC0" w:rsidRPr="000279D6">
        <w:rPr>
          <w:rFonts w:ascii="Arial" w:hAnsi="Arial" w:cs="Arial"/>
          <w:sz w:val="24"/>
          <w:szCs w:val="24"/>
          <w:lang w:val="en-US"/>
        </w:rPr>
        <w:t xml:space="preserve"> </w:t>
      </w:r>
      <w:r w:rsidR="00C71235">
        <w:rPr>
          <w:rFonts w:ascii="Arial" w:hAnsi="Arial" w:cs="Arial"/>
          <w:sz w:val="24"/>
          <w:szCs w:val="24"/>
          <w:lang w:val="en-US"/>
        </w:rPr>
        <w:t xml:space="preserve">In </w:t>
      </w:r>
      <w:r w:rsidR="00C71235" w:rsidRPr="00C71235">
        <w:rPr>
          <w:rFonts w:ascii="Arial" w:hAnsi="Arial" w:cs="Arial"/>
          <w:i/>
          <w:sz w:val="24"/>
          <w:szCs w:val="24"/>
          <w:lang w:val="en-US"/>
        </w:rPr>
        <w:t>Western Assurance Co v Caldwell’s Trustee</w:t>
      </w:r>
      <w:r w:rsidR="00C71235">
        <w:rPr>
          <w:rFonts w:ascii="Arial" w:hAnsi="Arial" w:cs="Arial"/>
          <w:sz w:val="24"/>
          <w:szCs w:val="24"/>
          <w:lang w:val="en-US"/>
        </w:rPr>
        <w:t xml:space="preserve"> 1918 AD 262 at 270, Innes CJ referred to the common law and proceeded to say: </w:t>
      </w:r>
    </w:p>
    <w:p w14:paraId="2B7CAF65" w14:textId="4C14AE25" w:rsidR="00C71235" w:rsidRDefault="00C71235" w:rsidP="00B05C8E">
      <w:pPr>
        <w:rPr>
          <w:rFonts w:ascii="Arial" w:hAnsi="Arial" w:cs="Arial"/>
          <w:lang w:val="en-US"/>
        </w:rPr>
      </w:pPr>
      <w:r>
        <w:rPr>
          <w:rFonts w:ascii="Arial" w:hAnsi="Arial" w:cs="Arial"/>
          <w:lang w:val="en-US"/>
        </w:rPr>
        <w:t xml:space="preserve">‘According to that law a </w:t>
      </w:r>
      <w:r w:rsidRPr="00C71235">
        <w:rPr>
          <w:rFonts w:ascii="Arial" w:hAnsi="Arial" w:cs="Arial"/>
          <w:i/>
          <w:lang w:val="en-US"/>
        </w:rPr>
        <w:t>transactio</w:t>
      </w:r>
      <w:r w:rsidR="00436A18">
        <w:rPr>
          <w:rFonts w:ascii="Arial" w:hAnsi="Arial" w:cs="Arial"/>
          <w:lang w:val="en-US"/>
        </w:rPr>
        <w:t>, if established and valid, is an absolute defenc</w:t>
      </w:r>
      <w:r>
        <w:rPr>
          <w:rFonts w:ascii="Arial" w:hAnsi="Arial" w:cs="Arial"/>
          <w:lang w:val="en-US"/>
        </w:rPr>
        <w:t xml:space="preserve">e to the action compromised. It has the effect of </w:t>
      </w:r>
      <w:r w:rsidRPr="00C71235">
        <w:rPr>
          <w:rFonts w:ascii="Arial" w:hAnsi="Arial" w:cs="Arial"/>
          <w:i/>
          <w:lang w:val="en-US"/>
        </w:rPr>
        <w:t>res judicata</w:t>
      </w:r>
      <w:r>
        <w:rPr>
          <w:rFonts w:ascii="Arial" w:hAnsi="Arial" w:cs="Arial"/>
          <w:lang w:val="en-US"/>
        </w:rPr>
        <w:t>.’</w:t>
      </w:r>
    </w:p>
    <w:p w14:paraId="4BB2AA7B" w14:textId="5C6C67F4" w:rsidR="00C71235" w:rsidRDefault="00C71235" w:rsidP="00B05C8E">
      <w:pPr>
        <w:rPr>
          <w:rFonts w:ascii="Arial" w:hAnsi="Arial" w:cs="Arial"/>
          <w:sz w:val="24"/>
          <w:szCs w:val="24"/>
          <w:lang w:val="en-US"/>
        </w:rPr>
      </w:pPr>
      <w:r>
        <w:rPr>
          <w:rFonts w:ascii="Arial" w:hAnsi="Arial" w:cs="Arial"/>
          <w:sz w:val="24"/>
          <w:szCs w:val="24"/>
          <w:lang w:val="en-US"/>
        </w:rPr>
        <w:t xml:space="preserve">The next important case is </w:t>
      </w:r>
      <w:r w:rsidRPr="00C71235">
        <w:rPr>
          <w:rFonts w:ascii="Arial" w:hAnsi="Arial" w:cs="Arial"/>
          <w:i/>
          <w:sz w:val="24"/>
          <w:szCs w:val="24"/>
          <w:lang w:val="en-US"/>
        </w:rPr>
        <w:t>Estate Erasmus v Church</w:t>
      </w:r>
      <w:r>
        <w:rPr>
          <w:rFonts w:ascii="Arial" w:hAnsi="Arial" w:cs="Arial"/>
          <w:sz w:val="24"/>
          <w:szCs w:val="24"/>
          <w:lang w:val="en-US"/>
        </w:rPr>
        <w:t xml:space="preserve"> 1927 TPD 1. The full bench</w:t>
      </w:r>
      <w:r w:rsidR="009266DA">
        <w:rPr>
          <w:rFonts w:ascii="Arial" w:hAnsi="Arial" w:cs="Arial"/>
          <w:sz w:val="24"/>
          <w:szCs w:val="24"/>
          <w:lang w:val="en-US"/>
        </w:rPr>
        <w:t xml:space="preserve"> (at 25-26) extensively referred to common law authorities, had regard to </w:t>
      </w:r>
      <w:r w:rsidR="009266DA" w:rsidRPr="009266DA">
        <w:rPr>
          <w:rFonts w:ascii="Arial" w:hAnsi="Arial" w:cs="Arial"/>
          <w:i/>
          <w:sz w:val="24"/>
          <w:szCs w:val="24"/>
          <w:lang w:val="en-US"/>
        </w:rPr>
        <w:t>Cachalia v Harberer</w:t>
      </w:r>
      <w:r w:rsidR="009266DA">
        <w:rPr>
          <w:rFonts w:ascii="Arial" w:hAnsi="Arial" w:cs="Arial"/>
          <w:sz w:val="24"/>
          <w:szCs w:val="24"/>
          <w:lang w:val="en-US"/>
        </w:rPr>
        <w:t xml:space="preserve"> and </w:t>
      </w:r>
      <w:r w:rsidR="009266DA" w:rsidRPr="009266DA">
        <w:rPr>
          <w:rFonts w:ascii="Arial" w:hAnsi="Arial" w:cs="Arial"/>
          <w:i/>
          <w:sz w:val="24"/>
          <w:szCs w:val="24"/>
          <w:lang w:val="en-US"/>
        </w:rPr>
        <w:t>Western Assurance</w:t>
      </w:r>
      <w:r w:rsidR="009266DA">
        <w:rPr>
          <w:rFonts w:ascii="Arial" w:hAnsi="Arial" w:cs="Arial"/>
          <w:sz w:val="24"/>
          <w:szCs w:val="24"/>
          <w:lang w:val="en-US"/>
        </w:rPr>
        <w:t xml:space="preserve"> and concluded: </w:t>
      </w:r>
    </w:p>
    <w:p w14:paraId="45DCEC68" w14:textId="2E059BDD" w:rsidR="009266DA" w:rsidRPr="009266DA" w:rsidRDefault="009266DA" w:rsidP="00B05C8E">
      <w:pPr>
        <w:rPr>
          <w:rFonts w:ascii="Arial" w:hAnsi="Arial" w:cs="Arial"/>
          <w:i/>
          <w:lang w:val="en-US"/>
        </w:rPr>
      </w:pPr>
      <w:r>
        <w:rPr>
          <w:rFonts w:ascii="Arial" w:hAnsi="Arial" w:cs="Arial"/>
          <w:lang w:val="en-US"/>
        </w:rPr>
        <w:t xml:space="preserve">‘The object therefore of a compromise is to end, or to destroy, or to prevent a legal dispute. The effect of a compromise is </w:t>
      </w:r>
      <w:r w:rsidRPr="009266DA">
        <w:rPr>
          <w:rFonts w:ascii="Arial" w:hAnsi="Arial" w:cs="Arial"/>
          <w:i/>
          <w:lang w:val="en-US"/>
        </w:rPr>
        <w:t>res judicata</w:t>
      </w:r>
      <w:r>
        <w:rPr>
          <w:rFonts w:ascii="Arial" w:hAnsi="Arial" w:cs="Arial"/>
          <w:lang w:val="en-US"/>
        </w:rPr>
        <w:t xml:space="preserve">; and, according to </w:t>
      </w:r>
      <w:r w:rsidRPr="009266DA">
        <w:rPr>
          <w:rFonts w:ascii="Arial" w:hAnsi="Arial" w:cs="Arial"/>
          <w:i/>
          <w:lang w:val="en-US"/>
        </w:rPr>
        <w:t>Domat</w:t>
      </w:r>
      <w:r>
        <w:rPr>
          <w:rFonts w:ascii="Arial" w:hAnsi="Arial" w:cs="Arial"/>
          <w:lang w:val="en-US"/>
        </w:rPr>
        <w:t>, the effect is even stronger than that of a judgment inasmuch as, unlike in the case of judgments, the parties have consented to the terms on which they intend to compromise.’</w:t>
      </w:r>
    </w:p>
    <w:p w14:paraId="2750754D" w14:textId="77777777" w:rsidR="00E63422" w:rsidRPr="000279D6" w:rsidRDefault="00E63422" w:rsidP="00B05C8E">
      <w:pPr>
        <w:rPr>
          <w:rFonts w:ascii="Arial" w:hAnsi="Arial" w:cs="Arial"/>
          <w:sz w:val="24"/>
          <w:szCs w:val="24"/>
          <w:lang w:val="en-US"/>
        </w:rPr>
      </w:pPr>
    </w:p>
    <w:p w14:paraId="54B0D7D9" w14:textId="57E8613E" w:rsidR="00E63422" w:rsidRPr="000279D6" w:rsidRDefault="008B02D3" w:rsidP="00B05C8E">
      <w:pPr>
        <w:rPr>
          <w:rFonts w:ascii="Arial" w:hAnsi="Arial" w:cs="Arial"/>
          <w:sz w:val="24"/>
          <w:szCs w:val="24"/>
          <w:lang w:val="en-US"/>
        </w:rPr>
      </w:pPr>
      <w:r>
        <w:rPr>
          <w:rFonts w:ascii="Arial" w:hAnsi="Arial" w:cs="Arial"/>
          <w:sz w:val="24"/>
          <w:szCs w:val="24"/>
          <w:lang w:val="en-US"/>
        </w:rPr>
        <w:t>[39</w:t>
      </w:r>
      <w:r w:rsidR="00E63422" w:rsidRPr="000279D6">
        <w:rPr>
          <w:rFonts w:ascii="Arial" w:hAnsi="Arial" w:cs="Arial"/>
          <w:sz w:val="24"/>
          <w:szCs w:val="24"/>
          <w:lang w:val="en-US"/>
        </w:rPr>
        <w:t>]</w:t>
      </w:r>
      <w:r w:rsidR="00E63422" w:rsidRPr="000279D6">
        <w:rPr>
          <w:rFonts w:ascii="Arial" w:hAnsi="Arial" w:cs="Arial"/>
          <w:sz w:val="24"/>
          <w:szCs w:val="24"/>
          <w:lang w:val="en-US"/>
        </w:rPr>
        <w:tab/>
      </w:r>
      <w:r w:rsidR="002175E6" w:rsidRPr="000279D6">
        <w:rPr>
          <w:rFonts w:ascii="Arial" w:hAnsi="Arial" w:cs="Arial"/>
          <w:sz w:val="24"/>
          <w:szCs w:val="24"/>
          <w:lang w:val="en-US"/>
        </w:rPr>
        <w:t xml:space="preserve"> </w:t>
      </w:r>
      <w:r w:rsidR="00535DB0">
        <w:rPr>
          <w:rFonts w:ascii="Arial" w:hAnsi="Arial" w:cs="Arial"/>
          <w:sz w:val="24"/>
          <w:szCs w:val="24"/>
          <w:lang w:val="en-US"/>
        </w:rPr>
        <w:t xml:space="preserve">These dicta have repeatedly been approved by this court. See </w:t>
      </w:r>
      <w:r w:rsidR="00535DB0" w:rsidRPr="00535DB0">
        <w:rPr>
          <w:rFonts w:ascii="Arial" w:hAnsi="Arial" w:cs="Arial"/>
          <w:i/>
          <w:sz w:val="24"/>
          <w:szCs w:val="24"/>
          <w:lang w:val="en-US"/>
        </w:rPr>
        <w:t>Van Zyl v Niemann</w:t>
      </w:r>
      <w:r w:rsidR="00535DB0">
        <w:rPr>
          <w:rFonts w:ascii="Arial" w:hAnsi="Arial" w:cs="Arial"/>
          <w:sz w:val="24"/>
          <w:szCs w:val="24"/>
          <w:lang w:val="en-US"/>
        </w:rPr>
        <w:t xml:space="preserve"> 1964 (4) SA 661 AD at 669H and, in particular, </w:t>
      </w:r>
      <w:r w:rsidR="00535DB0" w:rsidRPr="00535DB0">
        <w:rPr>
          <w:rFonts w:ascii="Arial" w:hAnsi="Arial" w:cs="Arial"/>
          <w:i/>
          <w:sz w:val="24"/>
          <w:szCs w:val="24"/>
          <w:lang w:val="en-US"/>
        </w:rPr>
        <w:t>Gollach &amp; Gomperts (1967) (Pty) Ltd v Universal M</w:t>
      </w:r>
      <w:r w:rsidR="00160FA0">
        <w:rPr>
          <w:rFonts w:ascii="Arial" w:hAnsi="Arial" w:cs="Arial"/>
          <w:i/>
          <w:sz w:val="24"/>
          <w:szCs w:val="24"/>
          <w:lang w:val="en-US"/>
        </w:rPr>
        <w:t>i</w:t>
      </w:r>
      <w:r w:rsidR="00A866DC">
        <w:rPr>
          <w:rFonts w:ascii="Arial" w:hAnsi="Arial" w:cs="Arial"/>
          <w:i/>
          <w:sz w:val="24"/>
          <w:szCs w:val="24"/>
          <w:lang w:val="en-US"/>
        </w:rPr>
        <w:t>ll</w:t>
      </w:r>
      <w:r w:rsidR="00535DB0" w:rsidRPr="00535DB0">
        <w:rPr>
          <w:rFonts w:ascii="Arial" w:hAnsi="Arial" w:cs="Arial"/>
          <w:i/>
          <w:sz w:val="24"/>
          <w:szCs w:val="24"/>
          <w:lang w:val="en-US"/>
        </w:rPr>
        <w:t xml:space="preserve">s &amp; Produce Co (Pty) Ltd </w:t>
      </w:r>
      <w:r w:rsidR="00E25BBD">
        <w:rPr>
          <w:rFonts w:ascii="Arial" w:hAnsi="Arial" w:cs="Arial"/>
          <w:i/>
          <w:sz w:val="24"/>
          <w:szCs w:val="24"/>
          <w:lang w:val="en-US"/>
        </w:rPr>
        <w:t>and</w:t>
      </w:r>
      <w:r w:rsidR="00535DB0" w:rsidRPr="00535DB0">
        <w:rPr>
          <w:rFonts w:ascii="Arial" w:hAnsi="Arial" w:cs="Arial"/>
          <w:i/>
          <w:sz w:val="24"/>
          <w:szCs w:val="24"/>
          <w:lang w:val="en-US"/>
        </w:rPr>
        <w:t xml:space="preserve"> Others</w:t>
      </w:r>
      <w:r w:rsidR="00535DB0">
        <w:rPr>
          <w:rFonts w:ascii="Arial" w:hAnsi="Arial" w:cs="Arial"/>
          <w:sz w:val="24"/>
          <w:szCs w:val="24"/>
          <w:lang w:val="en-US"/>
        </w:rPr>
        <w:t xml:space="preserve"> 1978 (1) SA 915 AD at 921A-D and 922C. See also </w:t>
      </w:r>
      <w:r w:rsidR="00E25BBD">
        <w:rPr>
          <w:rFonts w:ascii="Arial" w:hAnsi="Arial" w:cs="Arial"/>
          <w:i/>
          <w:sz w:val="24"/>
          <w:szCs w:val="24"/>
          <w:lang w:val="en-US"/>
        </w:rPr>
        <w:t>Moraitis Investments (Pty) Ltd and</w:t>
      </w:r>
      <w:r w:rsidR="00535DB0" w:rsidRPr="00535DB0">
        <w:rPr>
          <w:rFonts w:ascii="Arial" w:hAnsi="Arial" w:cs="Arial"/>
          <w:i/>
          <w:sz w:val="24"/>
          <w:szCs w:val="24"/>
          <w:lang w:val="en-US"/>
        </w:rPr>
        <w:t xml:space="preserve"> Others v Montic Dairy (Pty) Ltd</w:t>
      </w:r>
      <w:r w:rsidR="00535DB0">
        <w:rPr>
          <w:rFonts w:ascii="Arial" w:hAnsi="Arial" w:cs="Arial"/>
          <w:sz w:val="24"/>
          <w:szCs w:val="24"/>
          <w:lang w:val="en-US"/>
        </w:rPr>
        <w:t xml:space="preserve"> </w:t>
      </w:r>
      <w:r w:rsidR="004C4AB3" w:rsidRPr="004C4AB3">
        <w:rPr>
          <w:rFonts w:ascii="Arial" w:hAnsi="Arial" w:cs="Arial"/>
          <w:i/>
          <w:sz w:val="24"/>
          <w:szCs w:val="24"/>
          <w:lang w:val="en-US"/>
        </w:rPr>
        <w:t>and Others</w:t>
      </w:r>
      <w:r w:rsidR="004C4AB3">
        <w:rPr>
          <w:rFonts w:ascii="Arial" w:hAnsi="Arial" w:cs="Arial"/>
          <w:sz w:val="24"/>
          <w:szCs w:val="24"/>
          <w:lang w:val="en-US"/>
        </w:rPr>
        <w:t xml:space="preserve"> [2017] ZASCA 54; </w:t>
      </w:r>
      <w:r w:rsidR="00535DB0">
        <w:rPr>
          <w:rFonts w:ascii="Arial" w:hAnsi="Arial" w:cs="Arial"/>
          <w:sz w:val="24"/>
          <w:szCs w:val="24"/>
          <w:lang w:val="en-US"/>
        </w:rPr>
        <w:t xml:space="preserve">2017 (5) SA 508 SCA para 14 and </w:t>
      </w:r>
      <w:r w:rsidR="00E25BBD">
        <w:rPr>
          <w:rFonts w:ascii="Arial" w:hAnsi="Arial" w:cs="Arial"/>
          <w:i/>
          <w:sz w:val="24"/>
          <w:szCs w:val="24"/>
          <w:lang w:val="en-US"/>
        </w:rPr>
        <w:t>Watson NO v Ngonyama and</w:t>
      </w:r>
      <w:r w:rsidR="00535DB0" w:rsidRPr="00535DB0">
        <w:rPr>
          <w:rFonts w:ascii="Arial" w:hAnsi="Arial" w:cs="Arial"/>
          <w:i/>
          <w:sz w:val="24"/>
          <w:szCs w:val="24"/>
          <w:lang w:val="en-US"/>
        </w:rPr>
        <w:t xml:space="preserve"> Another</w:t>
      </w:r>
      <w:r w:rsidR="00535DB0">
        <w:rPr>
          <w:rFonts w:ascii="Arial" w:hAnsi="Arial" w:cs="Arial"/>
          <w:sz w:val="24"/>
          <w:szCs w:val="24"/>
          <w:lang w:val="en-US"/>
        </w:rPr>
        <w:t xml:space="preserve"> </w:t>
      </w:r>
      <w:r w:rsidR="003928E2">
        <w:rPr>
          <w:rFonts w:ascii="Arial" w:hAnsi="Arial" w:cs="Arial"/>
          <w:sz w:val="24"/>
          <w:szCs w:val="24"/>
          <w:lang w:val="en-US"/>
        </w:rPr>
        <w:t xml:space="preserve">[2021] ZASCA 74; </w:t>
      </w:r>
      <w:r w:rsidR="00535DB0">
        <w:rPr>
          <w:rFonts w:ascii="Arial" w:hAnsi="Arial" w:cs="Arial"/>
          <w:sz w:val="24"/>
          <w:szCs w:val="24"/>
          <w:lang w:val="en-US"/>
        </w:rPr>
        <w:t xml:space="preserve">2021 (5) SA 559 (SCA) para 60. In </w:t>
      </w:r>
      <w:r w:rsidR="00535DB0" w:rsidRPr="00535DB0">
        <w:rPr>
          <w:rFonts w:ascii="Arial" w:hAnsi="Arial" w:cs="Arial"/>
          <w:i/>
          <w:sz w:val="24"/>
          <w:szCs w:val="24"/>
          <w:lang w:val="en-US"/>
        </w:rPr>
        <w:t>Hlobo v Multilateral Motor Vehicle Accidents Fund</w:t>
      </w:r>
      <w:r w:rsidR="00535DB0">
        <w:rPr>
          <w:rFonts w:ascii="Arial" w:hAnsi="Arial" w:cs="Arial"/>
          <w:sz w:val="24"/>
          <w:szCs w:val="24"/>
          <w:lang w:val="en-US"/>
        </w:rPr>
        <w:t xml:space="preserve"> 2001 (2) SA 59 (SCA) para 10, it was stated that our courts encourage parties to deal with their disputes by way of </w:t>
      </w:r>
      <w:r w:rsidR="00535DB0">
        <w:rPr>
          <w:rFonts w:ascii="Arial" w:hAnsi="Arial" w:cs="Arial"/>
          <w:sz w:val="24"/>
          <w:szCs w:val="24"/>
          <w:lang w:val="en-US"/>
        </w:rPr>
        <w:lastRenderedPageBreak/>
        <w:t xml:space="preserve">compromise. This court proceeded to say, with reference to </w:t>
      </w:r>
      <w:r w:rsidR="00535DB0" w:rsidRPr="00535DB0">
        <w:rPr>
          <w:rFonts w:ascii="Arial" w:hAnsi="Arial" w:cs="Arial"/>
          <w:i/>
          <w:sz w:val="24"/>
          <w:szCs w:val="24"/>
          <w:lang w:val="en-US"/>
        </w:rPr>
        <w:t>Estate Erasmus v Church</w:t>
      </w:r>
      <w:r w:rsidR="00535DB0">
        <w:rPr>
          <w:rFonts w:ascii="Arial" w:hAnsi="Arial" w:cs="Arial"/>
          <w:sz w:val="24"/>
          <w:szCs w:val="24"/>
          <w:lang w:val="en-US"/>
        </w:rPr>
        <w:t xml:space="preserve">, that when concluded, such a compromise disposes of the proceedings. </w:t>
      </w:r>
      <w:r w:rsidR="00436A18">
        <w:rPr>
          <w:rFonts w:ascii="Arial" w:hAnsi="Arial" w:cs="Arial"/>
          <w:sz w:val="24"/>
          <w:szCs w:val="24"/>
          <w:lang w:val="en-US"/>
        </w:rPr>
        <w:t>The</w:t>
      </w:r>
      <w:r w:rsidR="004357A6">
        <w:rPr>
          <w:rFonts w:ascii="Arial" w:hAnsi="Arial" w:cs="Arial"/>
          <w:sz w:val="24"/>
          <w:szCs w:val="24"/>
          <w:lang w:val="en-US"/>
        </w:rPr>
        <w:t xml:space="preserve"> culmination of all of this, for purposes of this judgment, as stated in </w:t>
      </w:r>
      <w:r w:rsidR="004357A6" w:rsidRPr="004357A6">
        <w:rPr>
          <w:rFonts w:ascii="Arial" w:hAnsi="Arial" w:cs="Arial"/>
          <w:i/>
          <w:sz w:val="24"/>
          <w:szCs w:val="24"/>
          <w:lang w:val="en-US"/>
        </w:rPr>
        <w:t>Legal-Aid South Africa v Magidiwana and Others</w:t>
      </w:r>
      <w:r w:rsidR="004357A6">
        <w:rPr>
          <w:rFonts w:ascii="Arial" w:hAnsi="Arial" w:cs="Arial"/>
          <w:sz w:val="24"/>
          <w:szCs w:val="24"/>
          <w:lang w:val="en-US"/>
        </w:rPr>
        <w:t xml:space="preserve"> </w:t>
      </w:r>
      <w:r w:rsidR="00FA75B9">
        <w:rPr>
          <w:rFonts w:ascii="Arial" w:hAnsi="Arial" w:cs="Arial"/>
          <w:sz w:val="24"/>
          <w:szCs w:val="24"/>
          <w:lang w:val="en-US"/>
        </w:rPr>
        <w:t xml:space="preserve">[2014] ZASCA 141; </w:t>
      </w:r>
      <w:r w:rsidR="0083603C">
        <w:rPr>
          <w:rFonts w:ascii="Arial" w:hAnsi="Arial" w:cs="Arial"/>
          <w:sz w:val="24"/>
          <w:szCs w:val="24"/>
          <w:lang w:val="en-US"/>
        </w:rPr>
        <w:t xml:space="preserve">2015 (2) SA 568 SCA </w:t>
      </w:r>
      <w:r w:rsidR="004357A6">
        <w:rPr>
          <w:rFonts w:ascii="Arial" w:hAnsi="Arial" w:cs="Arial"/>
          <w:sz w:val="24"/>
          <w:szCs w:val="24"/>
          <w:lang w:val="en-US"/>
        </w:rPr>
        <w:t>para 22</w:t>
      </w:r>
      <w:r w:rsidR="00EA4471">
        <w:rPr>
          <w:rFonts w:ascii="Arial" w:hAnsi="Arial" w:cs="Arial"/>
          <w:sz w:val="24"/>
          <w:szCs w:val="24"/>
          <w:lang w:val="en-US"/>
        </w:rPr>
        <w:t xml:space="preserve">, is that once ‘the parties have disposed of all disputed issues by agreement </w:t>
      </w:r>
      <w:r w:rsidR="00EA4471" w:rsidRPr="00EA4471">
        <w:rPr>
          <w:rFonts w:ascii="Arial" w:hAnsi="Arial" w:cs="Arial"/>
          <w:i/>
          <w:sz w:val="24"/>
          <w:szCs w:val="24"/>
          <w:lang w:val="en-US"/>
        </w:rPr>
        <w:t>inter se</w:t>
      </w:r>
      <w:r w:rsidR="00EA4471">
        <w:rPr>
          <w:rFonts w:ascii="Arial" w:hAnsi="Arial" w:cs="Arial"/>
          <w:sz w:val="24"/>
          <w:szCs w:val="24"/>
          <w:lang w:val="en-US"/>
        </w:rPr>
        <w:t xml:space="preserve">, it must logically follow that nothing remains for a court to adjudicate upon or determine’. </w:t>
      </w:r>
    </w:p>
    <w:p w14:paraId="2DFB0CAD" w14:textId="77777777" w:rsidR="002175E6" w:rsidRPr="000279D6" w:rsidRDefault="002175E6" w:rsidP="00B05C8E">
      <w:pPr>
        <w:rPr>
          <w:rFonts w:ascii="Arial" w:hAnsi="Arial" w:cs="Arial"/>
          <w:sz w:val="24"/>
          <w:szCs w:val="24"/>
          <w:lang w:val="en-US"/>
        </w:rPr>
      </w:pPr>
    </w:p>
    <w:p w14:paraId="1C7D4F6F" w14:textId="0F3C088F" w:rsidR="002175E6" w:rsidRPr="000279D6" w:rsidRDefault="008B02D3" w:rsidP="00B05C8E">
      <w:pPr>
        <w:rPr>
          <w:rFonts w:ascii="Arial" w:hAnsi="Arial" w:cs="Arial"/>
          <w:sz w:val="24"/>
          <w:szCs w:val="24"/>
          <w:lang w:val="en-US"/>
        </w:rPr>
      </w:pPr>
      <w:r>
        <w:rPr>
          <w:rFonts w:ascii="Arial" w:hAnsi="Arial" w:cs="Arial"/>
          <w:sz w:val="24"/>
          <w:szCs w:val="24"/>
          <w:lang w:val="en-US"/>
        </w:rPr>
        <w:t>[40</w:t>
      </w:r>
      <w:r w:rsidR="002175E6" w:rsidRPr="000279D6">
        <w:rPr>
          <w:rFonts w:ascii="Arial" w:hAnsi="Arial" w:cs="Arial"/>
          <w:sz w:val="24"/>
          <w:szCs w:val="24"/>
          <w:lang w:val="en-US"/>
        </w:rPr>
        <w:t>]</w:t>
      </w:r>
      <w:r w:rsidR="002175E6" w:rsidRPr="000279D6">
        <w:rPr>
          <w:rFonts w:ascii="Arial" w:hAnsi="Arial" w:cs="Arial"/>
          <w:sz w:val="24"/>
          <w:szCs w:val="24"/>
          <w:lang w:val="en-US"/>
        </w:rPr>
        <w:tab/>
      </w:r>
      <w:r w:rsidR="00605E74" w:rsidRPr="000279D6">
        <w:rPr>
          <w:rFonts w:ascii="Arial" w:hAnsi="Arial" w:cs="Arial"/>
          <w:sz w:val="24"/>
          <w:szCs w:val="24"/>
          <w:lang w:val="en-US"/>
        </w:rPr>
        <w:t xml:space="preserve"> </w:t>
      </w:r>
      <w:r w:rsidR="00267A35">
        <w:rPr>
          <w:rFonts w:ascii="Arial" w:hAnsi="Arial" w:cs="Arial"/>
          <w:sz w:val="24"/>
          <w:szCs w:val="24"/>
          <w:lang w:val="en-US"/>
        </w:rPr>
        <w:t xml:space="preserve">When requested to do so, a court has </w:t>
      </w:r>
      <w:r w:rsidR="00436A18">
        <w:rPr>
          <w:rFonts w:ascii="Arial" w:hAnsi="Arial" w:cs="Arial"/>
          <w:sz w:val="24"/>
          <w:szCs w:val="24"/>
          <w:lang w:val="en-US"/>
        </w:rPr>
        <w:t>the power</w:t>
      </w:r>
      <w:r w:rsidR="00267A35">
        <w:rPr>
          <w:rFonts w:ascii="Arial" w:hAnsi="Arial" w:cs="Arial"/>
          <w:sz w:val="24"/>
          <w:szCs w:val="24"/>
          <w:lang w:val="en-US"/>
        </w:rPr>
        <w:t xml:space="preserve"> to make a compromise, or part thereof, an order of court. This </w:t>
      </w:r>
      <w:r w:rsidR="00436A18">
        <w:rPr>
          <w:rFonts w:ascii="Arial" w:hAnsi="Arial" w:cs="Arial"/>
          <w:sz w:val="24"/>
          <w:szCs w:val="24"/>
          <w:lang w:val="en-US"/>
        </w:rPr>
        <w:t>power</w:t>
      </w:r>
      <w:r w:rsidR="00267A35">
        <w:rPr>
          <w:rFonts w:ascii="Arial" w:hAnsi="Arial" w:cs="Arial"/>
          <w:sz w:val="24"/>
          <w:szCs w:val="24"/>
          <w:lang w:val="en-US"/>
        </w:rPr>
        <w:t xml:space="preserve"> must, of course, be exercised judicially, that is, in terms of a fair procedure and with regard to relevant considerations. The considerations for the determination of whether it would be competent and proper to make a compromise an order of court, are threefold. They are set out in </w:t>
      </w:r>
      <w:r w:rsidR="00267A35" w:rsidRPr="00267A35">
        <w:rPr>
          <w:rFonts w:ascii="Arial" w:hAnsi="Arial" w:cs="Arial"/>
          <w:i/>
          <w:sz w:val="24"/>
          <w:szCs w:val="24"/>
          <w:lang w:val="en-US"/>
        </w:rPr>
        <w:t>Eke v Parsons</w:t>
      </w:r>
      <w:r w:rsidR="00267A35">
        <w:rPr>
          <w:rFonts w:ascii="Arial" w:hAnsi="Arial" w:cs="Arial"/>
          <w:sz w:val="24"/>
          <w:szCs w:val="24"/>
          <w:lang w:val="en-US"/>
        </w:rPr>
        <w:t xml:space="preserve"> </w:t>
      </w:r>
      <w:r w:rsidR="00EB0A7C">
        <w:rPr>
          <w:rFonts w:ascii="Arial" w:hAnsi="Arial" w:cs="Arial"/>
          <w:sz w:val="24"/>
          <w:szCs w:val="24"/>
          <w:lang w:val="en-US"/>
        </w:rPr>
        <w:t xml:space="preserve">[2015] ZACC 30; </w:t>
      </w:r>
      <w:r w:rsidR="00267A35">
        <w:rPr>
          <w:rFonts w:ascii="Arial" w:hAnsi="Arial" w:cs="Arial"/>
          <w:sz w:val="24"/>
          <w:szCs w:val="24"/>
          <w:lang w:val="en-US"/>
        </w:rPr>
        <w:t>2016 (3) SA 37 (CC) paras 25-26</w:t>
      </w:r>
      <w:r w:rsidR="00CB2A7E">
        <w:rPr>
          <w:rFonts w:ascii="Arial" w:hAnsi="Arial" w:cs="Arial"/>
          <w:sz w:val="24"/>
          <w:szCs w:val="24"/>
          <w:lang w:val="en-US"/>
        </w:rPr>
        <w:t xml:space="preserve"> (</w:t>
      </w:r>
      <w:r w:rsidR="00CB2A7E" w:rsidRPr="00A866DC">
        <w:rPr>
          <w:rFonts w:ascii="Arial" w:hAnsi="Arial" w:cs="Arial"/>
          <w:i/>
          <w:sz w:val="24"/>
          <w:szCs w:val="24"/>
          <w:lang w:val="en-US"/>
        </w:rPr>
        <w:t>Eke v Parsons</w:t>
      </w:r>
      <w:r w:rsidR="00CB2A7E">
        <w:rPr>
          <w:rFonts w:ascii="Arial" w:hAnsi="Arial" w:cs="Arial"/>
          <w:sz w:val="24"/>
          <w:szCs w:val="24"/>
          <w:lang w:val="en-US"/>
        </w:rPr>
        <w:t>)</w:t>
      </w:r>
      <w:r w:rsidR="00267A35">
        <w:rPr>
          <w:rFonts w:ascii="Arial" w:hAnsi="Arial" w:cs="Arial"/>
          <w:sz w:val="24"/>
          <w:szCs w:val="24"/>
          <w:lang w:val="en-US"/>
        </w:rPr>
        <w:t xml:space="preserve">. </w:t>
      </w:r>
    </w:p>
    <w:p w14:paraId="44B44D91" w14:textId="77777777" w:rsidR="00605E74" w:rsidRPr="000279D6" w:rsidRDefault="00605E74" w:rsidP="00B05C8E">
      <w:pPr>
        <w:rPr>
          <w:rFonts w:ascii="Arial" w:hAnsi="Arial" w:cs="Arial"/>
          <w:sz w:val="24"/>
          <w:szCs w:val="24"/>
          <w:lang w:val="en-US"/>
        </w:rPr>
      </w:pPr>
    </w:p>
    <w:p w14:paraId="5410960E" w14:textId="2D5CB5B2" w:rsidR="00605E74" w:rsidRDefault="008B02D3" w:rsidP="00B05C8E">
      <w:pPr>
        <w:rPr>
          <w:rFonts w:ascii="Arial" w:hAnsi="Arial" w:cs="Arial"/>
          <w:sz w:val="24"/>
          <w:szCs w:val="24"/>
          <w:lang w:val="en-US"/>
        </w:rPr>
      </w:pPr>
      <w:r>
        <w:rPr>
          <w:rFonts w:ascii="Arial" w:hAnsi="Arial" w:cs="Arial"/>
          <w:sz w:val="24"/>
          <w:szCs w:val="24"/>
          <w:lang w:val="en-US"/>
        </w:rPr>
        <w:t>[41</w:t>
      </w:r>
      <w:r w:rsidR="00605E74" w:rsidRPr="000279D6">
        <w:rPr>
          <w:rFonts w:ascii="Arial" w:hAnsi="Arial" w:cs="Arial"/>
          <w:sz w:val="24"/>
          <w:szCs w:val="24"/>
          <w:lang w:val="en-US"/>
        </w:rPr>
        <w:t>]</w:t>
      </w:r>
      <w:r w:rsidR="00605E74" w:rsidRPr="000279D6">
        <w:rPr>
          <w:rFonts w:ascii="Arial" w:hAnsi="Arial" w:cs="Arial"/>
          <w:sz w:val="24"/>
          <w:szCs w:val="24"/>
          <w:lang w:val="en-US"/>
        </w:rPr>
        <w:tab/>
        <w:t xml:space="preserve"> </w:t>
      </w:r>
      <w:r w:rsidR="00C171A9">
        <w:rPr>
          <w:rFonts w:ascii="Arial" w:hAnsi="Arial" w:cs="Arial"/>
          <w:sz w:val="24"/>
          <w:szCs w:val="24"/>
          <w:lang w:val="en-US"/>
        </w:rPr>
        <w:t>The first consideration</w:t>
      </w:r>
      <w:r w:rsidR="00021B34">
        <w:rPr>
          <w:rFonts w:ascii="Arial" w:hAnsi="Arial" w:cs="Arial"/>
          <w:sz w:val="24"/>
          <w:szCs w:val="24"/>
          <w:lang w:val="en-US"/>
        </w:rPr>
        <w:t xml:space="preserve"> is whether the compromise relates directly or indirectly to the settled litigation. An agreement that is unrelated to litigation, should not be made an order of court. The second is whether the terms of the compromise are legally objectionable, that is, whether its terms are illegal or contrary to public policy </w:t>
      </w:r>
      <w:r w:rsidR="00637F0D">
        <w:rPr>
          <w:rFonts w:ascii="Arial" w:hAnsi="Arial" w:cs="Arial"/>
          <w:sz w:val="24"/>
          <w:szCs w:val="24"/>
          <w:lang w:val="en-US"/>
        </w:rPr>
        <w:t>or inconsistent</w:t>
      </w:r>
      <w:r w:rsidR="00140A56">
        <w:rPr>
          <w:rFonts w:ascii="Arial" w:hAnsi="Arial" w:cs="Arial"/>
          <w:sz w:val="24"/>
          <w:szCs w:val="24"/>
          <w:lang w:val="en-US"/>
        </w:rPr>
        <w:t xml:space="preserve"> with </w:t>
      </w:r>
      <w:r w:rsidR="00021B34">
        <w:rPr>
          <w:rFonts w:ascii="Arial" w:hAnsi="Arial" w:cs="Arial"/>
          <w:sz w:val="24"/>
          <w:szCs w:val="24"/>
          <w:lang w:val="en-US"/>
        </w:rPr>
        <w:t xml:space="preserve">the Constitution. Such </w:t>
      </w:r>
      <w:r w:rsidR="00637F0D">
        <w:rPr>
          <w:rFonts w:ascii="Arial" w:hAnsi="Arial" w:cs="Arial"/>
          <w:sz w:val="24"/>
          <w:szCs w:val="24"/>
          <w:lang w:val="en-US"/>
        </w:rPr>
        <w:t xml:space="preserve">an </w:t>
      </w:r>
      <w:r w:rsidR="00021B34">
        <w:rPr>
          <w:rFonts w:ascii="Arial" w:hAnsi="Arial" w:cs="Arial"/>
          <w:sz w:val="24"/>
          <w:szCs w:val="24"/>
          <w:lang w:val="en-US"/>
        </w:rPr>
        <w:t xml:space="preserve">agreement should obviously not be made an order of court. The third consideration is whether it would hold some practical or legitimate advantage to give the compromise the status of an order of court. If not, it would make no sense to do so. </w:t>
      </w:r>
    </w:p>
    <w:p w14:paraId="68C78E35" w14:textId="77777777" w:rsidR="00021B34" w:rsidRDefault="00021B34" w:rsidP="00B05C8E">
      <w:pPr>
        <w:rPr>
          <w:rFonts w:ascii="Arial" w:hAnsi="Arial" w:cs="Arial"/>
          <w:sz w:val="24"/>
          <w:szCs w:val="24"/>
          <w:lang w:val="en-US"/>
        </w:rPr>
      </w:pPr>
    </w:p>
    <w:p w14:paraId="138C58A7" w14:textId="51A02431" w:rsidR="00021B34" w:rsidRDefault="008B02D3" w:rsidP="00B05C8E">
      <w:pPr>
        <w:rPr>
          <w:rFonts w:ascii="Arial" w:hAnsi="Arial" w:cs="Arial"/>
          <w:sz w:val="24"/>
          <w:szCs w:val="24"/>
          <w:lang w:val="en-US"/>
        </w:rPr>
      </w:pPr>
      <w:r>
        <w:rPr>
          <w:rFonts w:ascii="Arial" w:hAnsi="Arial" w:cs="Arial"/>
          <w:sz w:val="24"/>
          <w:szCs w:val="24"/>
          <w:lang w:val="en-US"/>
        </w:rPr>
        <w:t>[42</w:t>
      </w:r>
      <w:r w:rsidR="00021B34">
        <w:rPr>
          <w:rFonts w:ascii="Arial" w:hAnsi="Arial" w:cs="Arial"/>
          <w:sz w:val="24"/>
          <w:szCs w:val="24"/>
          <w:lang w:val="en-US"/>
        </w:rPr>
        <w:t>]</w:t>
      </w:r>
      <w:r w:rsidR="00021B34">
        <w:rPr>
          <w:rFonts w:ascii="Arial" w:hAnsi="Arial" w:cs="Arial"/>
          <w:sz w:val="24"/>
          <w:szCs w:val="24"/>
          <w:lang w:val="en-US"/>
        </w:rPr>
        <w:tab/>
        <w:t xml:space="preserve">The relevant issue in </w:t>
      </w:r>
      <w:r w:rsidR="00021B34" w:rsidRPr="00021B34">
        <w:rPr>
          <w:rFonts w:ascii="Arial" w:hAnsi="Arial" w:cs="Arial"/>
          <w:i/>
          <w:sz w:val="24"/>
          <w:szCs w:val="24"/>
          <w:lang w:val="en-US"/>
        </w:rPr>
        <w:t>Eke v Parsons</w:t>
      </w:r>
      <w:r w:rsidR="00021B34">
        <w:rPr>
          <w:rFonts w:ascii="Arial" w:hAnsi="Arial" w:cs="Arial"/>
          <w:sz w:val="24"/>
          <w:szCs w:val="24"/>
          <w:lang w:val="en-US"/>
        </w:rPr>
        <w:t xml:space="preserve"> was whether a </w:t>
      </w:r>
      <w:r w:rsidR="00690F74">
        <w:rPr>
          <w:rFonts w:ascii="Arial" w:hAnsi="Arial" w:cs="Arial"/>
          <w:sz w:val="24"/>
          <w:szCs w:val="24"/>
          <w:lang w:val="en-US"/>
        </w:rPr>
        <w:t xml:space="preserve">settlement agreement that had been made an order of court, was final in its terms and whether the other party was entitled to approach a court for </w:t>
      </w:r>
      <w:r w:rsidR="00436A18">
        <w:rPr>
          <w:rFonts w:ascii="Arial" w:hAnsi="Arial" w:cs="Arial"/>
          <w:sz w:val="24"/>
          <w:szCs w:val="24"/>
          <w:lang w:val="en-US"/>
        </w:rPr>
        <w:t>the</w:t>
      </w:r>
      <w:r w:rsidR="00690F74">
        <w:rPr>
          <w:rFonts w:ascii="Arial" w:hAnsi="Arial" w:cs="Arial"/>
          <w:sz w:val="24"/>
          <w:szCs w:val="24"/>
          <w:lang w:val="en-US"/>
        </w:rPr>
        <w:t xml:space="preserve"> enforcement of the order in accordance with the procedure set out therein. The Constitutional Court therefore did not consider the </w:t>
      </w:r>
      <w:r w:rsidR="00436A18">
        <w:rPr>
          <w:rFonts w:ascii="Arial" w:hAnsi="Arial" w:cs="Arial"/>
          <w:sz w:val="24"/>
          <w:szCs w:val="24"/>
          <w:lang w:val="en-US"/>
        </w:rPr>
        <w:t xml:space="preserve">nature and effect of a compromise and did not bring </w:t>
      </w:r>
      <w:r w:rsidR="00586DE4">
        <w:rPr>
          <w:rFonts w:ascii="Arial" w:hAnsi="Arial" w:cs="Arial"/>
          <w:sz w:val="24"/>
          <w:szCs w:val="24"/>
          <w:lang w:val="en-US"/>
        </w:rPr>
        <w:t>about</w:t>
      </w:r>
      <w:r w:rsidR="00436A18">
        <w:rPr>
          <w:rFonts w:ascii="Arial" w:hAnsi="Arial" w:cs="Arial"/>
          <w:sz w:val="24"/>
          <w:szCs w:val="24"/>
          <w:lang w:val="en-US"/>
        </w:rPr>
        <w:t xml:space="preserve"> any change </w:t>
      </w:r>
      <w:r w:rsidR="00586DE4">
        <w:rPr>
          <w:rFonts w:ascii="Arial" w:hAnsi="Arial" w:cs="Arial"/>
          <w:sz w:val="24"/>
          <w:szCs w:val="24"/>
          <w:lang w:val="en-US"/>
        </w:rPr>
        <w:t>to</w:t>
      </w:r>
      <w:r w:rsidR="00436A18">
        <w:rPr>
          <w:rFonts w:ascii="Arial" w:hAnsi="Arial" w:cs="Arial"/>
          <w:sz w:val="24"/>
          <w:szCs w:val="24"/>
          <w:lang w:val="en-US"/>
        </w:rPr>
        <w:t xml:space="preserve"> the law in that regard</w:t>
      </w:r>
      <w:r w:rsidR="00690F74">
        <w:rPr>
          <w:rFonts w:ascii="Arial" w:hAnsi="Arial" w:cs="Arial"/>
          <w:sz w:val="24"/>
          <w:szCs w:val="24"/>
          <w:lang w:val="en-US"/>
        </w:rPr>
        <w:t xml:space="preserve">. Importantly, however, the judgment makes clear (paras 8, 19-24 and 27-28) that the </w:t>
      </w:r>
      <w:r>
        <w:rPr>
          <w:rFonts w:ascii="Arial" w:hAnsi="Arial" w:cs="Arial"/>
          <w:sz w:val="24"/>
          <w:szCs w:val="24"/>
          <w:lang w:val="en-US"/>
        </w:rPr>
        <w:t>power</w:t>
      </w:r>
      <w:r w:rsidR="00690F74">
        <w:rPr>
          <w:rFonts w:ascii="Arial" w:hAnsi="Arial" w:cs="Arial"/>
          <w:sz w:val="24"/>
          <w:szCs w:val="24"/>
          <w:lang w:val="en-US"/>
        </w:rPr>
        <w:t xml:space="preserve"> to make a compromise an order of court, is derived from a long-standing practice aimed at assisting the parties to give effect to their compromise. The clear import of </w:t>
      </w:r>
      <w:r w:rsidR="00690F74" w:rsidRPr="00690F74">
        <w:rPr>
          <w:rFonts w:ascii="Arial" w:hAnsi="Arial" w:cs="Arial"/>
          <w:i/>
          <w:sz w:val="24"/>
          <w:szCs w:val="24"/>
          <w:lang w:val="en-US"/>
        </w:rPr>
        <w:t>Eke v Parsons</w:t>
      </w:r>
      <w:r w:rsidR="00690F74">
        <w:rPr>
          <w:rFonts w:ascii="Arial" w:hAnsi="Arial" w:cs="Arial"/>
          <w:sz w:val="24"/>
          <w:szCs w:val="24"/>
          <w:lang w:val="en-US"/>
        </w:rPr>
        <w:t xml:space="preserve"> </w:t>
      </w:r>
      <w:r>
        <w:rPr>
          <w:rFonts w:ascii="Arial" w:hAnsi="Arial" w:cs="Arial"/>
          <w:sz w:val="24"/>
          <w:szCs w:val="24"/>
          <w:lang w:val="en-US"/>
        </w:rPr>
        <w:t xml:space="preserve">therefore </w:t>
      </w:r>
      <w:r w:rsidR="00690F74">
        <w:rPr>
          <w:rFonts w:ascii="Arial" w:hAnsi="Arial" w:cs="Arial"/>
          <w:sz w:val="24"/>
          <w:szCs w:val="24"/>
          <w:lang w:val="en-US"/>
        </w:rPr>
        <w:t xml:space="preserve">is that this </w:t>
      </w:r>
      <w:r>
        <w:rPr>
          <w:rFonts w:ascii="Arial" w:hAnsi="Arial" w:cs="Arial"/>
          <w:sz w:val="24"/>
          <w:szCs w:val="24"/>
          <w:lang w:val="en-US"/>
        </w:rPr>
        <w:t>power</w:t>
      </w:r>
      <w:r w:rsidR="00690F74">
        <w:rPr>
          <w:rFonts w:ascii="Arial" w:hAnsi="Arial" w:cs="Arial"/>
          <w:sz w:val="24"/>
          <w:szCs w:val="24"/>
          <w:lang w:val="en-US"/>
        </w:rPr>
        <w:t xml:space="preserve"> is not derived from the jurisdiction of the court over the issues that had been raised before it, but </w:t>
      </w:r>
      <w:r>
        <w:rPr>
          <w:rFonts w:ascii="Arial" w:hAnsi="Arial" w:cs="Arial"/>
          <w:sz w:val="24"/>
          <w:szCs w:val="24"/>
          <w:lang w:val="en-US"/>
        </w:rPr>
        <w:t>were</w:t>
      </w:r>
      <w:r w:rsidR="00690F74">
        <w:rPr>
          <w:rFonts w:ascii="Arial" w:hAnsi="Arial" w:cs="Arial"/>
          <w:sz w:val="24"/>
          <w:szCs w:val="24"/>
          <w:lang w:val="en-US"/>
        </w:rPr>
        <w:t xml:space="preserve"> </w:t>
      </w:r>
      <w:r w:rsidR="00690F74">
        <w:rPr>
          <w:rFonts w:ascii="Arial" w:hAnsi="Arial" w:cs="Arial"/>
          <w:sz w:val="24"/>
          <w:szCs w:val="24"/>
          <w:lang w:val="en-US"/>
        </w:rPr>
        <w:lastRenderedPageBreak/>
        <w:t xml:space="preserve">subsequently settled. In making a compromise an order of court, the court plainly does not determine the issues that the compromise settled. Unless a compromise is conditional upon it being made an order of court, the fact that a court declines to do so, in itself, has no effect on the enforceability of the compromise </w:t>
      </w:r>
      <w:r w:rsidR="00690F74" w:rsidRPr="00690F74">
        <w:rPr>
          <w:rFonts w:ascii="Arial" w:hAnsi="Arial" w:cs="Arial"/>
          <w:i/>
          <w:sz w:val="24"/>
          <w:szCs w:val="24"/>
          <w:lang w:val="en-US"/>
        </w:rPr>
        <w:t>inter partes</w:t>
      </w:r>
      <w:r w:rsidR="00690F74">
        <w:rPr>
          <w:rFonts w:ascii="Arial" w:hAnsi="Arial" w:cs="Arial"/>
          <w:sz w:val="24"/>
          <w:szCs w:val="24"/>
          <w:lang w:val="en-US"/>
        </w:rPr>
        <w:t>.</w:t>
      </w:r>
    </w:p>
    <w:p w14:paraId="27D27EE1" w14:textId="77777777" w:rsidR="00804086" w:rsidRDefault="00804086" w:rsidP="00B05C8E">
      <w:pPr>
        <w:rPr>
          <w:rFonts w:ascii="Arial" w:hAnsi="Arial" w:cs="Arial"/>
          <w:sz w:val="24"/>
          <w:szCs w:val="24"/>
          <w:lang w:val="en-US"/>
        </w:rPr>
      </w:pPr>
    </w:p>
    <w:p w14:paraId="515A50D5" w14:textId="7B0D7AA3" w:rsidR="00804086" w:rsidRDefault="008B02D3" w:rsidP="00B05C8E">
      <w:pPr>
        <w:rPr>
          <w:rFonts w:ascii="Arial" w:hAnsi="Arial" w:cs="Arial"/>
          <w:sz w:val="24"/>
          <w:szCs w:val="24"/>
          <w:lang w:val="en-US"/>
        </w:rPr>
      </w:pPr>
      <w:r>
        <w:rPr>
          <w:rFonts w:ascii="Arial" w:hAnsi="Arial" w:cs="Arial"/>
          <w:sz w:val="24"/>
          <w:szCs w:val="24"/>
          <w:lang w:val="en-US"/>
        </w:rPr>
        <w:t>[43</w:t>
      </w:r>
      <w:r w:rsidR="00804086">
        <w:rPr>
          <w:rFonts w:ascii="Arial" w:hAnsi="Arial" w:cs="Arial"/>
          <w:sz w:val="24"/>
          <w:szCs w:val="24"/>
          <w:lang w:val="en-US"/>
        </w:rPr>
        <w:t>]</w:t>
      </w:r>
      <w:r w:rsidR="00804086">
        <w:rPr>
          <w:rFonts w:ascii="Arial" w:hAnsi="Arial" w:cs="Arial"/>
          <w:sz w:val="24"/>
          <w:szCs w:val="24"/>
          <w:lang w:val="en-US"/>
        </w:rPr>
        <w:tab/>
        <w:t xml:space="preserve">This brings me back to </w:t>
      </w:r>
      <w:r w:rsidR="00FB2B17" w:rsidRPr="00FB2B17">
        <w:rPr>
          <w:rFonts w:ascii="Arial" w:hAnsi="Arial" w:cs="Arial"/>
          <w:i/>
          <w:sz w:val="24"/>
          <w:szCs w:val="24"/>
          <w:lang w:val="en-US"/>
        </w:rPr>
        <w:t>Maswanganyi</w:t>
      </w:r>
      <w:r w:rsidR="00FB2B17">
        <w:rPr>
          <w:rFonts w:ascii="Arial" w:hAnsi="Arial" w:cs="Arial"/>
          <w:sz w:val="24"/>
          <w:szCs w:val="24"/>
          <w:lang w:val="en-US"/>
        </w:rPr>
        <w:t xml:space="preserve">. In that matter, the appellant sued the RAF on behalf of her minor child for loss of support. She alleged that the death of the child’s father had been caused by the negligence of the driver of a vehicle that collided with the vehicle driven by the deceased. The RAF defended the action and the matter was set down for trial. Prior to the commencement of the trial, the parties settled the action. They accordingly requested the judge to whom the trial had been allocated, to make their settlement agreement an order of court. </w:t>
      </w:r>
    </w:p>
    <w:p w14:paraId="3C1F35D7" w14:textId="77777777" w:rsidR="00FB2B17" w:rsidRDefault="00FB2B17" w:rsidP="00B05C8E">
      <w:pPr>
        <w:rPr>
          <w:rFonts w:ascii="Arial" w:hAnsi="Arial" w:cs="Arial"/>
          <w:sz w:val="24"/>
          <w:szCs w:val="24"/>
          <w:lang w:val="en-US"/>
        </w:rPr>
      </w:pPr>
    </w:p>
    <w:p w14:paraId="71D883E0" w14:textId="1C16911E" w:rsidR="00FB2B17" w:rsidRDefault="008B02D3" w:rsidP="00B05C8E">
      <w:pPr>
        <w:rPr>
          <w:rFonts w:ascii="Arial" w:hAnsi="Arial" w:cs="Arial"/>
          <w:sz w:val="24"/>
          <w:szCs w:val="24"/>
          <w:lang w:val="en-US"/>
        </w:rPr>
      </w:pPr>
      <w:r>
        <w:rPr>
          <w:rFonts w:ascii="Arial" w:hAnsi="Arial" w:cs="Arial"/>
          <w:sz w:val="24"/>
          <w:szCs w:val="24"/>
          <w:lang w:val="en-US"/>
        </w:rPr>
        <w:t>[44</w:t>
      </w:r>
      <w:r w:rsidR="00FB2B17">
        <w:rPr>
          <w:rFonts w:ascii="Arial" w:hAnsi="Arial" w:cs="Arial"/>
          <w:sz w:val="24"/>
          <w:szCs w:val="24"/>
          <w:lang w:val="en-US"/>
        </w:rPr>
        <w:t>]</w:t>
      </w:r>
      <w:r w:rsidR="00FB2B17">
        <w:rPr>
          <w:rFonts w:ascii="Arial" w:hAnsi="Arial" w:cs="Arial"/>
          <w:sz w:val="24"/>
          <w:szCs w:val="24"/>
          <w:lang w:val="en-US"/>
        </w:rPr>
        <w:tab/>
        <w:t>The judge refused to do so, on the basis that the pleadings and certain witness statements (which must have been in the court file), did not indicate any negligence on the part of the other driver. The judge required witnesses to testify and a witness commenced his testimony before the trial was postponed. Prior to the date on which the trial was to resume, the appellant launched an application</w:t>
      </w:r>
      <w:r w:rsidR="000F64E9">
        <w:rPr>
          <w:rFonts w:ascii="Arial" w:hAnsi="Arial" w:cs="Arial"/>
          <w:sz w:val="24"/>
          <w:szCs w:val="24"/>
          <w:lang w:val="en-US"/>
        </w:rPr>
        <w:t xml:space="preserve"> for, essentially, a declarator</w:t>
      </w:r>
      <w:r w:rsidR="00FB2B17">
        <w:rPr>
          <w:rFonts w:ascii="Arial" w:hAnsi="Arial" w:cs="Arial"/>
          <w:sz w:val="24"/>
          <w:szCs w:val="24"/>
          <w:lang w:val="en-US"/>
        </w:rPr>
        <w:t xml:space="preserve"> that the </w:t>
      </w:r>
      <w:r w:rsidR="00FB2B17" w:rsidRPr="00FB2B17">
        <w:rPr>
          <w:rFonts w:ascii="Arial" w:hAnsi="Arial" w:cs="Arial"/>
          <w:i/>
          <w:sz w:val="24"/>
          <w:szCs w:val="24"/>
          <w:lang w:val="en-US"/>
        </w:rPr>
        <w:t>lis</w:t>
      </w:r>
      <w:r w:rsidR="00FB2B17">
        <w:rPr>
          <w:rFonts w:ascii="Arial" w:hAnsi="Arial" w:cs="Arial"/>
          <w:sz w:val="24"/>
          <w:szCs w:val="24"/>
          <w:lang w:val="en-US"/>
        </w:rPr>
        <w:t xml:space="preserve"> between the parties </w:t>
      </w:r>
      <w:r w:rsidR="00B93933">
        <w:rPr>
          <w:rFonts w:ascii="Arial" w:hAnsi="Arial" w:cs="Arial"/>
          <w:sz w:val="24"/>
          <w:szCs w:val="24"/>
          <w:lang w:val="en-US"/>
        </w:rPr>
        <w:t xml:space="preserve">had been fully and finally settled and for an order making the settlement agreement an order of court. The court refused the application. The appellant unsuccessfully appealed to the full court. </w:t>
      </w:r>
      <w:r>
        <w:rPr>
          <w:rFonts w:ascii="Arial" w:hAnsi="Arial" w:cs="Arial"/>
          <w:sz w:val="24"/>
          <w:szCs w:val="24"/>
          <w:lang w:val="en-US"/>
        </w:rPr>
        <w:t>Her further appeal</w:t>
      </w:r>
      <w:r w:rsidR="00B93933">
        <w:rPr>
          <w:rFonts w:ascii="Arial" w:hAnsi="Arial" w:cs="Arial"/>
          <w:sz w:val="24"/>
          <w:szCs w:val="24"/>
          <w:lang w:val="en-US"/>
        </w:rPr>
        <w:t xml:space="preserve"> came to this court with its special leave. </w:t>
      </w:r>
    </w:p>
    <w:p w14:paraId="4946BD67" w14:textId="77777777" w:rsidR="00B93933" w:rsidRDefault="00B93933" w:rsidP="00B05C8E">
      <w:pPr>
        <w:rPr>
          <w:rFonts w:ascii="Arial" w:hAnsi="Arial" w:cs="Arial"/>
          <w:sz w:val="24"/>
          <w:szCs w:val="24"/>
          <w:lang w:val="en-US"/>
        </w:rPr>
      </w:pPr>
    </w:p>
    <w:p w14:paraId="39DCE751" w14:textId="07D62ED6" w:rsidR="00B93933" w:rsidRDefault="008B02D3" w:rsidP="00B05C8E">
      <w:pPr>
        <w:rPr>
          <w:rFonts w:ascii="Arial" w:hAnsi="Arial" w:cs="Arial"/>
          <w:sz w:val="24"/>
          <w:szCs w:val="24"/>
          <w:lang w:val="en-US"/>
        </w:rPr>
      </w:pPr>
      <w:r>
        <w:rPr>
          <w:rFonts w:ascii="Arial" w:hAnsi="Arial" w:cs="Arial"/>
          <w:sz w:val="24"/>
          <w:szCs w:val="24"/>
          <w:lang w:val="en-US"/>
        </w:rPr>
        <w:t>[45</w:t>
      </w:r>
      <w:r w:rsidR="00B93933">
        <w:rPr>
          <w:rFonts w:ascii="Arial" w:hAnsi="Arial" w:cs="Arial"/>
          <w:sz w:val="24"/>
          <w:szCs w:val="24"/>
          <w:lang w:val="en-US"/>
        </w:rPr>
        <w:t>]</w:t>
      </w:r>
      <w:r w:rsidR="00B93933">
        <w:rPr>
          <w:rFonts w:ascii="Arial" w:hAnsi="Arial" w:cs="Arial"/>
          <w:sz w:val="24"/>
          <w:szCs w:val="24"/>
          <w:lang w:val="en-US"/>
        </w:rPr>
        <w:tab/>
        <w:t xml:space="preserve">On appeal the minority (Zondi JA, Mocumie JA concurring) would have upheld the appeal and would have granted the relief that the appellant had sought. On the issue that is relevant to this judgment, the minority held that the views of the trial judge as to the merits of the action, were irrelevant and that, on an application of the guidelines in </w:t>
      </w:r>
      <w:r w:rsidR="00B93933" w:rsidRPr="00B93933">
        <w:rPr>
          <w:rFonts w:ascii="Arial" w:hAnsi="Arial" w:cs="Arial"/>
          <w:i/>
          <w:sz w:val="24"/>
          <w:szCs w:val="24"/>
          <w:lang w:val="en-US"/>
        </w:rPr>
        <w:t>Eke v Parsons</w:t>
      </w:r>
      <w:r w:rsidR="00B93933">
        <w:rPr>
          <w:rFonts w:ascii="Arial" w:hAnsi="Arial" w:cs="Arial"/>
          <w:sz w:val="24"/>
          <w:szCs w:val="24"/>
          <w:lang w:val="en-US"/>
        </w:rPr>
        <w:t xml:space="preserve">, the settlement agreement should have been made an order of court. </w:t>
      </w:r>
    </w:p>
    <w:p w14:paraId="69B66431" w14:textId="77777777" w:rsidR="00B93933" w:rsidRDefault="00B93933" w:rsidP="00B05C8E">
      <w:pPr>
        <w:rPr>
          <w:rFonts w:ascii="Arial" w:hAnsi="Arial" w:cs="Arial"/>
          <w:sz w:val="24"/>
          <w:szCs w:val="24"/>
          <w:lang w:val="en-US"/>
        </w:rPr>
      </w:pPr>
    </w:p>
    <w:p w14:paraId="39198497" w14:textId="245BF855" w:rsidR="00B93933" w:rsidRDefault="008B02D3" w:rsidP="00B05C8E">
      <w:pPr>
        <w:rPr>
          <w:rFonts w:ascii="Arial" w:hAnsi="Arial" w:cs="Arial"/>
          <w:sz w:val="24"/>
          <w:szCs w:val="24"/>
          <w:lang w:val="en-US"/>
        </w:rPr>
      </w:pPr>
      <w:r>
        <w:rPr>
          <w:rFonts w:ascii="Arial" w:hAnsi="Arial" w:cs="Arial"/>
          <w:sz w:val="24"/>
          <w:szCs w:val="24"/>
          <w:lang w:val="en-US"/>
        </w:rPr>
        <w:t>[46</w:t>
      </w:r>
      <w:r w:rsidR="00B93933">
        <w:rPr>
          <w:rFonts w:ascii="Arial" w:hAnsi="Arial" w:cs="Arial"/>
          <w:sz w:val="24"/>
          <w:szCs w:val="24"/>
          <w:lang w:val="en-US"/>
        </w:rPr>
        <w:t>]</w:t>
      </w:r>
      <w:r w:rsidR="00B93933">
        <w:rPr>
          <w:rFonts w:ascii="Arial" w:hAnsi="Arial" w:cs="Arial"/>
          <w:sz w:val="24"/>
          <w:szCs w:val="24"/>
          <w:lang w:val="en-US"/>
        </w:rPr>
        <w:tab/>
        <w:t xml:space="preserve">The majority differed. It stated that there were two issues for decision in the appeal. The first was whether it </w:t>
      </w:r>
      <w:r w:rsidR="006D20A2">
        <w:rPr>
          <w:rFonts w:ascii="Arial" w:hAnsi="Arial" w:cs="Arial"/>
          <w:sz w:val="24"/>
          <w:szCs w:val="24"/>
          <w:lang w:val="en-US"/>
        </w:rPr>
        <w:t>was</w:t>
      </w:r>
      <w:r w:rsidR="00B93933">
        <w:rPr>
          <w:rFonts w:ascii="Arial" w:hAnsi="Arial" w:cs="Arial"/>
          <w:sz w:val="24"/>
          <w:szCs w:val="24"/>
          <w:lang w:val="en-US"/>
        </w:rPr>
        <w:t xml:space="preserve"> procedurally permissible to challenge the court’s decision (to refuse to make the settlement agreement an order of court and to direct </w:t>
      </w:r>
      <w:r w:rsidR="00B93933">
        <w:rPr>
          <w:rFonts w:ascii="Arial" w:hAnsi="Arial" w:cs="Arial"/>
          <w:sz w:val="24"/>
          <w:szCs w:val="24"/>
          <w:lang w:val="en-US"/>
        </w:rPr>
        <w:lastRenderedPageBreak/>
        <w:t>that the trial proceed)</w:t>
      </w:r>
      <w:r w:rsidR="00E43CFC">
        <w:rPr>
          <w:rFonts w:ascii="Arial" w:hAnsi="Arial" w:cs="Arial"/>
          <w:sz w:val="24"/>
          <w:szCs w:val="24"/>
          <w:lang w:val="en-US"/>
        </w:rPr>
        <w:t xml:space="preserve"> in the aforesaid manner. The second issue, concerning the permissibility of the approach of the trial court to the settlement agreement, so the majority said, would only be reached should the first issue be decided in favour of the appellant. </w:t>
      </w:r>
      <w:r w:rsidR="00955ABF">
        <w:rPr>
          <w:rFonts w:ascii="Arial" w:hAnsi="Arial" w:cs="Arial"/>
          <w:sz w:val="24"/>
          <w:szCs w:val="24"/>
          <w:lang w:val="en-US"/>
        </w:rPr>
        <w:t xml:space="preserve">Although it proceeded to decide the first issue against the appellant, it found it necessary to make ‘some remarks’ about the second issue. The majority expressly recognised, however, that these remarks (paras 25-37) were </w:t>
      </w:r>
      <w:r w:rsidR="00955ABF" w:rsidRPr="00955ABF">
        <w:rPr>
          <w:rFonts w:ascii="Arial" w:hAnsi="Arial" w:cs="Arial"/>
          <w:i/>
          <w:sz w:val="24"/>
          <w:szCs w:val="24"/>
          <w:lang w:val="en-US"/>
        </w:rPr>
        <w:t>obiter</w:t>
      </w:r>
      <w:r>
        <w:rPr>
          <w:rFonts w:ascii="Arial" w:hAnsi="Arial" w:cs="Arial"/>
          <w:sz w:val="24"/>
          <w:szCs w:val="24"/>
          <w:lang w:val="en-US"/>
        </w:rPr>
        <w:t>. I</w:t>
      </w:r>
      <w:r w:rsidR="00955ABF">
        <w:rPr>
          <w:rFonts w:ascii="Arial" w:hAnsi="Arial" w:cs="Arial"/>
          <w:sz w:val="24"/>
          <w:szCs w:val="24"/>
          <w:lang w:val="en-US"/>
        </w:rPr>
        <w:t xml:space="preserve"> therefore </w:t>
      </w:r>
      <w:r w:rsidR="006C7CF2">
        <w:rPr>
          <w:rFonts w:ascii="Arial" w:hAnsi="Arial" w:cs="Arial"/>
          <w:sz w:val="24"/>
          <w:szCs w:val="24"/>
          <w:lang w:val="en-US"/>
        </w:rPr>
        <w:t xml:space="preserve">need not say anything about them. </w:t>
      </w:r>
    </w:p>
    <w:p w14:paraId="2DC623AD" w14:textId="77777777" w:rsidR="006C7CF2" w:rsidRDefault="006C7CF2" w:rsidP="00B05C8E">
      <w:pPr>
        <w:rPr>
          <w:rFonts w:ascii="Arial" w:hAnsi="Arial" w:cs="Arial"/>
          <w:sz w:val="24"/>
          <w:szCs w:val="24"/>
          <w:lang w:val="en-US"/>
        </w:rPr>
      </w:pPr>
    </w:p>
    <w:p w14:paraId="03A953C5" w14:textId="639D5228" w:rsidR="006C7CF2" w:rsidRDefault="008B02D3" w:rsidP="00B05C8E">
      <w:pPr>
        <w:rPr>
          <w:rFonts w:ascii="Arial" w:hAnsi="Arial" w:cs="Arial"/>
          <w:sz w:val="24"/>
          <w:szCs w:val="24"/>
          <w:lang w:val="en-US"/>
        </w:rPr>
      </w:pPr>
      <w:r>
        <w:rPr>
          <w:rFonts w:ascii="Arial" w:hAnsi="Arial" w:cs="Arial"/>
          <w:sz w:val="24"/>
          <w:szCs w:val="24"/>
          <w:lang w:val="en-US"/>
        </w:rPr>
        <w:t>[47</w:t>
      </w:r>
      <w:r w:rsidR="006C7CF2">
        <w:rPr>
          <w:rFonts w:ascii="Arial" w:hAnsi="Arial" w:cs="Arial"/>
          <w:sz w:val="24"/>
          <w:szCs w:val="24"/>
          <w:lang w:val="en-US"/>
        </w:rPr>
        <w:t>]</w:t>
      </w:r>
      <w:r w:rsidR="006C7CF2">
        <w:rPr>
          <w:rFonts w:ascii="Arial" w:hAnsi="Arial" w:cs="Arial"/>
          <w:sz w:val="24"/>
          <w:szCs w:val="24"/>
          <w:lang w:val="en-US"/>
        </w:rPr>
        <w:tab/>
        <w:t xml:space="preserve">Nevertheless, the </w:t>
      </w:r>
      <w:r w:rsidR="006C7CF2" w:rsidRPr="006C7CF2">
        <w:rPr>
          <w:rFonts w:ascii="Arial" w:hAnsi="Arial" w:cs="Arial"/>
          <w:i/>
          <w:sz w:val="24"/>
          <w:szCs w:val="24"/>
          <w:lang w:val="en-US"/>
        </w:rPr>
        <w:t>rationes decidendi</w:t>
      </w:r>
      <w:r w:rsidR="006C7CF2">
        <w:rPr>
          <w:rFonts w:ascii="Arial" w:hAnsi="Arial" w:cs="Arial"/>
          <w:sz w:val="24"/>
          <w:szCs w:val="24"/>
          <w:lang w:val="en-US"/>
        </w:rPr>
        <w:t xml:space="preserve"> of the majority in respect of the first issue, included the following </w:t>
      </w:r>
      <w:r w:rsidR="006C7CF2" w:rsidRPr="006C7CF2">
        <w:rPr>
          <w:rFonts w:ascii="Arial" w:hAnsi="Arial" w:cs="Arial"/>
          <w:i/>
          <w:sz w:val="24"/>
          <w:szCs w:val="24"/>
          <w:lang w:val="en-US"/>
        </w:rPr>
        <w:t>dicta</w:t>
      </w:r>
      <w:r>
        <w:rPr>
          <w:rFonts w:ascii="Arial" w:hAnsi="Arial" w:cs="Arial"/>
          <w:i/>
          <w:sz w:val="24"/>
          <w:szCs w:val="24"/>
          <w:lang w:val="en-US"/>
        </w:rPr>
        <w:t xml:space="preserve"> </w:t>
      </w:r>
      <w:r w:rsidRPr="008B02D3">
        <w:rPr>
          <w:rFonts w:ascii="Arial" w:hAnsi="Arial" w:cs="Arial"/>
          <w:sz w:val="24"/>
          <w:szCs w:val="24"/>
          <w:lang w:val="en-US"/>
        </w:rPr>
        <w:t>(paras 15-16)</w:t>
      </w:r>
      <w:r w:rsidR="006C7CF2" w:rsidRPr="008B02D3">
        <w:rPr>
          <w:rFonts w:ascii="Arial" w:hAnsi="Arial" w:cs="Arial"/>
          <w:sz w:val="24"/>
          <w:szCs w:val="24"/>
          <w:lang w:val="en-US"/>
        </w:rPr>
        <w:t>:</w:t>
      </w:r>
      <w:r w:rsidR="006C7CF2">
        <w:rPr>
          <w:rFonts w:ascii="Arial" w:hAnsi="Arial" w:cs="Arial"/>
          <w:sz w:val="24"/>
          <w:szCs w:val="24"/>
          <w:lang w:val="en-US"/>
        </w:rPr>
        <w:t xml:space="preserve"> </w:t>
      </w:r>
    </w:p>
    <w:p w14:paraId="2B239832" w14:textId="77777777" w:rsidR="008B02D3" w:rsidRDefault="006C7CF2" w:rsidP="00B05C8E">
      <w:pPr>
        <w:rPr>
          <w:rFonts w:ascii="Arial" w:hAnsi="Arial" w:cs="Arial"/>
          <w:lang w:val="en-US"/>
        </w:rPr>
      </w:pPr>
      <w:r>
        <w:rPr>
          <w:rFonts w:ascii="Arial" w:hAnsi="Arial" w:cs="Arial"/>
          <w:lang w:val="en-US"/>
        </w:rPr>
        <w:t>‘When the parties arrive at a settlement, but wish that settlement to receive the imprimatur of the court in the form of a consent order, they do not withdraw the case from the judge, but ask that it be resolved in a particular way. The grant of the consent order will resolve the pleaded issues and possibly issues related “directly or indirectly to an issue or lis between the parties”.</w:t>
      </w:r>
    </w:p>
    <w:p w14:paraId="2A375FC4" w14:textId="0512C362" w:rsidR="006C7CF2" w:rsidRDefault="008B02D3" w:rsidP="00B05C8E">
      <w:pPr>
        <w:rPr>
          <w:rFonts w:ascii="Arial" w:hAnsi="Arial" w:cs="Arial"/>
          <w:lang w:val="en-US"/>
        </w:rPr>
      </w:pPr>
      <w:r>
        <w:rPr>
          <w:rFonts w:ascii="Arial" w:hAnsi="Arial" w:cs="Arial"/>
          <w:lang w:val="en-US"/>
        </w:rPr>
        <w:t>. . .</w:t>
      </w:r>
      <w:r w:rsidR="006C7CF2">
        <w:rPr>
          <w:rFonts w:ascii="Arial" w:hAnsi="Arial" w:cs="Arial"/>
          <w:lang w:val="en-US"/>
        </w:rPr>
        <w:t xml:space="preserve"> the jurisdiction of the court to resolve the pleaded issues does not terminate when the parties arrive at a settlement of those issues. If it did, the court would have no power to grant an order in terms of the settlement agreement. </w:t>
      </w:r>
    </w:p>
    <w:p w14:paraId="2C7E7B8B" w14:textId="77777777" w:rsidR="007C00D9" w:rsidRDefault="006C7CF2" w:rsidP="00B05C8E">
      <w:pPr>
        <w:rPr>
          <w:rFonts w:ascii="Arial" w:hAnsi="Arial" w:cs="Arial"/>
          <w:lang w:val="en-US"/>
        </w:rPr>
      </w:pPr>
      <w:r>
        <w:rPr>
          <w:rFonts w:ascii="Arial" w:hAnsi="Arial" w:cs="Arial"/>
          <w:lang w:val="en-US"/>
        </w:rPr>
        <w:t xml:space="preserve">The correct position is that the grant of an order making a settlement agreement an order of court necessarily involves an exercise of the court’s </w:t>
      </w:r>
      <w:r w:rsidR="00942BDA">
        <w:rPr>
          <w:rFonts w:ascii="Arial" w:hAnsi="Arial" w:cs="Arial"/>
          <w:lang w:val="en-US"/>
        </w:rPr>
        <w:t>jurisdiction to adjudicate upon the issues in the litigation. Its primary purpose is to make a final judicial determination of the issues litigated between the parties.’</w:t>
      </w:r>
    </w:p>
    <w:p w14:paraId="078A547C" w14:textId="77777777" w:rsidR="007C00D9" w:rsidRDefault="007C00D9" w:rsidP="00B05C8E">
      <w:pPr>
        <w:rPr>
          <w:rFonts w:ascii="Arial" w:hAnsi="Arial" w:cs="Arial"/>
          <w:lang w:val="en-US"/>
        </w:rPr>
      </w:pPr>
    </w:p>
    <w:p w14:paraId="30C10A58" w14:textId="72D5995C" w:rsidR="007C00D9" w:rsidRDefault="008B02D3" w:rsidP="00B05C8E">
      <w:pPr>
        <w:rPr>
          <w:rFonts w:ascii="Arial" w:hAnsi="Arial" w:cs="Arial"/>
          <w:sz w:val="24"/>
          <w:szCs w:val="24"/>
          <w:lang w:val="en-US"/>
        </w:rPr>
      </w:pPr>
      <w:r>
        <w:rPr>
          <w:rFonts w:ascii="Arial" w:hAnsi="Arial" w:cs="Arial"/>
          <w:sz w:val="24"/>
          <w:szCs w:val="24"/>
          <w:lang w:val="en-US"/>
        </w:rPr>
        <w:t>[48</w:t>
      </w:r>
      <w:r w:rsidR="007C00D9">
        <w:rPr>
          <w:rFonts w:ascii="Arial" w:hAnsi="Arial" w:cs="Arial"/>
          <w:sz w:val="24"/>
          <w:szCs w:val="24"/>
          <w:lang w:val="en-US"/>
        </w:rPr>
        <w:t>]</w:t>
      </w:r>
      <w:r w:rsidR="007C00D9">
        <w:rPr>
          <w:rFonts w:ascii="Arial" w:hAnsi="Arial" w:cs="Arial"/>
          <w:sz w:val="24"/>
          <w:szCs w:val="24"/>
          <w:lang w:val="en-US"/>
        </w:rPr>
        <w:tab/>
        <w:t xml:space="preserve">It is apparent that this passage contradicts: </w:t>
      </w:r>
    </w:p>
    <w:p w14:paraId="30915EF4" w14:textId="77777777" w:rsidR="007C00D9" w:rsidRDefault="007C00D9" w:rsidP="00B05C8E">
      <w:pPr>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t xml:space="preserve">The common law principles that a compromise extinguishes disputed issues and puts an end to litigation; </w:t>
      </w:r>
    </w:p>
    <w:p w14:paraId="3C4C9675" w14:textId="77777777" w:rsidR="007C00D9" w:rsidRDefault="007C00D9" w:rsidP="00B05C8E">
      <w:pPr>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t xml:space="preserve">The decisions of this court that a compromise has the effect of </w:t>
      </w:r>
      <w:r w:rsidRPr="007C00D9">
        <w:rPr>
          <w:rFonts w:ascii="Arial" w:hAnsi="Arial" w:cs="Arial"/>
          <w:i/>
          <w:sz w:val="24"/>
          <w:szCs w:val="24"/>
          <w:lang w:val="en-US"/>
        </w:rPr>
        <w:t>res iudicata</w:t>
      </w:r>
      <w:r>
        <w:rPr>
          <w:rFonts w:ascii="Arial" w:hAnsi="Arial" w:cs="Arial"/>
          <w:sz w:val="24"/>
          <w:szCs w:val="24"/>
          <w:lang w:val="en-US"/>
        </w:rPr>
        <w:t>; and</w:t>
      </w:r>
    </w:p>
    <w:p w14:paraId="25536A5B" w14:textId="6493632D" w:rsidR="006C7CF2" w:rsidRDefault="007C00D9" w:rsidP="00B05C8E">
      <w:pPr>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t xml:space="preserve">The import of </w:t>
      </w:r>
      <w:r w:rsidRPr="007C00D9">
        <w:rPr>
          <w:rFonts w:ascii="Arial" w:hAnsi="Arial" w:cs="Arial"/>
          <w:i/>
          <w:sz w:val="24"/>
          <w:szCs w:val="24"/>
          <w:lang w:val="en-US"/>
        </w:rPr>
        <w:t>Eke v Parsons</w:t>
      </w:r>
      <w:r>
        <w:rPr>
          <w:rFonts w:ascii="Arial" w:hAnsi="Arial" w:cs="Arial"/>
          <w:sz w:val="24"/>
          <w:szCs w:val="24"/>
          <w:lang w:val="en-US"/>
        </w:rPr>
        <w:t xml:space="preserve">, namely that the </w:t>
      </w:r>
      <w:r w:rsidR="008B02D3">
        <w:rPr>
          <w:rFonts w:ascii="Arial" w:hAnsi="Arial" w:cs="Arial"/>
          <w:sz w:val="24"/>
          <w:szCs w:val="24"/>
          <w:lang w:val="en-US"/>
        </w:rPr>
        <w:t>power</w:t>
      </w:r>
      <w:r>
        <w:rPr>
          <w:rFonts w:ascii="Arial" w:hAnsi="Arial" w:cs="Arial"/>
          <w:sz w:val="24"/>
          <w:szCs w:val="24"/>
          <w:lang w:val="en-US"/>
        </w:rPr>
        <w:t xml:space="preserve"> to make a compromise an order of court arises from a long-standing practice and not ‘from the jurisdiction of the court to resolve the pleaded issues’ or ‘the court’s jurisdiction to adjudicate upon the issues in the litigation</w:t>
      </w:r>
      <w:r w:rsidR="0031742A">
        <w:rPr>
          <w:rFonts w:ascii="Arial" w:hAnsi="Arial" w:cs="Arial"/>
          <w:sz w:val="24"/>
          <w:szCs w:val="24"/>
          <w:lang w:val="en-US"/>
        </w:rPr>
        <w:t>’</w:t>
      </w:r>
      <w:r>
        <w:rPr>
          <w:rFonts w:ascii="Arial" w:hAnsi="Arial" w:cs="Arial"/>
          <w:sz w:val="24"/>
          <w:szCs w:val="24"/>
          <w:lang w:val="en-US"/>
        </w:rPr>
        <w:t>.</w:t>
      </w:r>
    </w:p>
    <w:p w14:paraId="76F62A73" w14:textId="77777777" w:rsidR="007C00D9" w:rsidRDefault="007C00D9" w:rsidP="00B05C8E">
      <w:pPr>
        <w:rPr>
          <w:rFonts w:ascii="Arial" w:hAnsi="Arial" w:cs="Arial"/>
          <w:sz w:val="24"/>
          <w:szCs w:val="24"/>
          <w:lang w:val="en-US"/>
        </w:rPr>
      </w:pPr>
    </w:p>
    <w:p w14:paraId="69C91411" w14:textId="0F4BDC95" w:rsidR="007C00D9" w:rsidRDefault="008B02D3" w:rsidP="00B05C8E">
      <w:pPr>
        <w:rPr>
          <w:rFonts w:ascii="Arial" w:hAnsi="Arial" w:cs="Arial"/>
          <w:sz w:val="24"/>
          <w:szCs w:val="24"/>
          <w:lang w:val="en-US"/>
        </w:rPr>
      </w:pPr>
      <w:r>
        <w:rPr>
          <w:rFonts w:ascii="Arial" w:hAnsi="Arial" w:cs="Arial"/>
          <w:sz w:val="24"/>
          <w:szCs w:val="24"/>
          <w:lang w:val="en-US"/>
        </w:rPr>
        <w:t>[49</w:t>
      </w:r>
      <w:r w:rsidR="007C00D9">
        <w:rPr>
          <w:rFonts w:ascii="Arial" w:hAnsi="Arial" w:cs="Arial"/>
          <w:sz w:val="24"/>
          <w:szCs w:val="24"/>
          <w:lang w:val="en-US"/>
        </w:rPr>
        <w:t>]</w:t>
      </w:r>
      <w:r w:rsidR="007C00D9">
        <w:rPr>
          <w:rFonts w:ascii="Arial" w:hAnsi="Arial" w:cs="Arial"/>
          <w:sz w:val="24"/>
          <w:szCs w:val="24"/>
          <w:lang w:val="en-US"/>
        </w:rPr>
        <w:tab/>
        <w:t xml:space="preserve">The majority had no regard to these common law principles. In the absence of development of the common law, the court was bound to apply </w:t>
      </w:r>
      <w:r>
        <w:rPr>
          <w:rFonts w:ascii="Arial" w:hAnsi="Arial" w:cs="Arial"/>
          <w:sz w:val="24"/>
          <w:szCs w:val="24"/>
          <w:lang w:val="en-US"/>
        </w:rPr>
        <w:t xml:space="preserve">them. </w:t>
      </w:r>
      <w:r w:rsidR="000D57DE">
        <w:rPr>
          <w:rFonts w:ascii="Arial" w:hAnsi="Arial" w:cs="Arial"/>
          <w:sz w:val="24"/>
          <w:szCs w:val="24"/>
          <w:lang w:val="en-US"/>
        </w:rPr>
        <w:t xml:space="preserve">Unless it determined that they were clearly wrong, the court was bound by the decisions of this </w:t>
      </w:r>
      <w:r w:rsidR="000D57DE">
        <w:rPr>
          <w:rFonts w:ascii="Arial" w:hAnsi="Arial" w:cs="Arial"/>
          <w:sz w:val="24"/>
          <w:szCs w:val="24"/>
          <w:lang w:val="en-US"/>
        </w:rPr>
        <w:lastRenderedPageBreak/>
        <w:t xml:space="preserve">court that I have referred to. See </w:t>
      </w:r>
      <w:r w:rsidR="000D57DE" w:rsidRPr="000D57DE">
        <w:rPr>
          <w:rFonts w:ascii="Arial" w:hAnsi="Arial" w:cs="Arial"/>
          <w:i/>
          <w:sz w:val="24"/>
          <w:szCs w:val="24"/>
          <w:lang w:val="en-US"/>
        </w:rPr>
        <w:t>Steve Tshwete Local Municipality v Fedbond Participation Mo</w:t>
      </w:r>
      <w:r w:rsidR="00E25BBD">
        <w:rPr>
          <w:rFonts w:ascii="Arial" w:hAnsi="Arial" w:cs="Arial"/>
          <w:i/>
          <w:sz w:val="24"/>
          <w:szCs w:val="24"/>
          <w:lang w:val="en-US"/>
        </w:rPr>
        <w:t>rtgage Bond Managers (Pty) Ltd and</w:t>
      </w:r>
      <w:r w:rsidR="000D57DE" w:rsidRPr="000D57DE">
        <w:rPr>
          <w:rFonts w:ascii="Arial" w:hAnsi="Arial" w:cs="Arial"/>
          <w:i/>
          <w:sz w:val="24"/>
          <w:szCs w:val="24"/>
          <w:lang w:val="en-US"/>
        </w:rPr>
        <w:t xml:space="preserve"> Another</w:t>
      </w:r>
      <w:r w:rsidR="000D57DE">
        <w:rPr>
          <w:rFonts w:ascii="Arial" w:hAnsi="Arial" w:cs="Arial"/>
          <w:sz w:val="24"/>
          <w:szCs w:val="24"/>
          <w:lang w:val="en-US"/>
        </w:rPr>
        <w:t xml:space="preserve"> </w:t>
      </w:r>
      <w:r w:rsidR="00EE7984">
        <w:rPr>
          <w:rFonts w:ascii="Arial" w:hAnsi="Arial" w:cs="Arial"/>
          <w:sz w:val="24"/>
          <w:szCs w:val="24"/>
          <w:lang w:val="en-US"/>
        </w:rPr>
        <w:t xml:space="preserve">[2013] ZASCA 15; </w:t>
      </w:r>
      <w:r w:rsidR="000D57DE">
        <w:rPr>
          <w:rFonts w:ascii="Arial" w:hAnsi="Arial" w:cs="Arial"/>
          <w:sz w:val="24"/>
          <w:szCs w:val="24"/>
          <w:lang w:val="en-US"/>
        </w:rPr>
        <w:t xml:space="preserve">2013 (3) SA 611 SCA para 14. </w:t>
      </w:r>
      <w:r w:rsidR="00805CC5">
        <w:rPr>
          <w:rFonts w:ascii="Arial" w:hAnsi="Arial" w:cs="Arial"/>
          <w:sz w:val="24"/>
          <w:szCs w:val="24"/>
          <w:lang w:val="en-US"/>
        </w:rPr>
        <w:t xml:space="preserve">The majority also did not consider any of these decisions. Although it referred to </w:t>
      </w:r>
      <w:r w:rsidR="00805CC5" w:rsidRPr="00805CC5">
        <w:rPr>
          <w:rFonts w:ascii="Arial" w:hAnsi="Arial" w:cs="Arial"/>
          <w:i/>
          <w:sz w:val="24"/>
          <w:szCs w:val="24"/>
          <w:lang w:val="en-US"/>
        </w:rPr>
        <w:t>Eke v Parsons</w:t>
      </w:r>
      <w:r w:rsidR="00805CC5">
        <w:rPr>
          <w:rFonts w:ascii="Arial" w:hAnsi="Arial" w:cs="Arial"/>
          <w:sz w:val="24"/>
          <w:szCs w:val="24"/>
          <w:lang w:val="en-US"/>
        </w:rPr>
        <w:t xml:space="preserve">, it failed to have regard to its impact on the issues under consideration. On these issues, I regret to say, the judgment of the majority in </w:t>
      </w:r>
      <w:r w:rsidR="00805CC5" w:rsidRPr="00805CC5">
        <w:rPr>
          <w:rFonts w:ascii="Arial" w:hAnsi="Arial" w:cs="Arial"/>
          <w:i/>
          <w:sz w:val="24"/>
          <w:szCs w:val="24"/>
          <w:lang w:val="en-US"/>
        </w:rPr>
        <w:t>Maswanganyi</w:t>
      </w:r>
      <w:r w:rsidR="00805CC5">
        <w:rPr>
          <w:rFonts w:ascii="Arial" w:hAnsi="Arial" w:cs="Arial"/>
          <w:sz w:val="24"/>
          <w:szCs w:val="24"/>
          <w:lang w:val="en-US"/>
        </w:rPr>
        <w:t xml:space="preserve"> is clearly wrong and should not be followed. </w:t>
      </w:r>
    </w:p>
    <w:p w14:paraId="27EC2AA2" w14:textId="77777777" w:rsidR="00805CC5" w:rsidRDefault="00805CC5" w:rsidP="00B05C8E">
      <w:pPr>
        <w:rPr>
          <w:rFonts w:ascii="Arial" w:hAnsi="Arial" w:cs="Arial"/>
          <w:sz w:val="24"/>
          <w:szCs w:val="24"/>
          <w:lang w:val="en-US"/>
        </w:rPr>
      </w:pPr>
    </w:p>
    <w:p w14:paraId="2A2C562E" w14:textId="0D0BBF7D" w:rsidR="00805CC5" w:rsidRDefault="008B02D3" w:rsidP="00B05C8E">
      <w:pPr>
        <w:rPr>
          <w:rFonts w:ascii="Arial" w:hAnsi="Arial" w:cs="Arial"/>
          <w:sz w:val="24"/>
          <w:szCs w:val="24"/>
          <w:lang w:val="en-US"/>
        </w:rPr>
      </w:pPr>
      <w:r>
        <w:rPr>
          <w:rFonts w:ascii="Arial" w:hAnsi="Arial" w:cs="Arial"/>
          <w:sz w:val="24"/>
          <w:szCs w:val="24"/>
          <w:lang w:val="en-US"/>
        </w:rPr>
        <w:t>[50</w:t>
      </w:r>
      <w:r w:rsidR="00805CC5">
        <w:rPr>
          <w:rFonts w:ascii="Arial" w:hAnsi="Arial" w:cs="Arial"/>
          <w:sz w:val="24"/>
          <w:szCs w:val="24"/>
          <w:lang w:val="en-US"/>
        </w:rPr>
        <w:t>]</w:t>
      </w:r>
      <w:r w:rsidR="00805CC5">
        <w:rPr>
          <w:rFonts w:ascii="Arial" w:hAnsi="Arial" w:cs="Arial"/>
          <w:sz w:val="24"/>
          <w:szCs w:val="24"/>
          <w:lang w:val="en-US"/>
        </w:rPr>
        <w:tab/>
        <w:t xml:space="preserve">The court a quo referred to a practice directive that had been issued on 2 October 2019, which appears to </w:t>
      </w:r>
      <w:r>
        <w:rPr>
          <w:rFonts w:ascii="Arial" w:hAnsi="Arial" w:cs="Arial"/>
          <w:sz w:val="24"/>
          <w:szCs w:val="24"/>
          <w:lang w:val="en-US"/>
        </w:rPr>
        <w:t>run contrary to this judgment, i</w:t>
      </w:r>
      <w:r w:rsidR="00805CC5">
        <w:rPr>
          <w:rFonts w:ascii="Arial" w:hAnsi="Arial" w:cs="Arial"/>
          <w:sz w:val="24"/>
          <w:szCs w:val="24"/>
          <w:lang w:val="en-US"/>
        </w:rPr>
        <w:t xml:space="preserve">n that it provides for a judge to ‘interrogate’ the circumstances under which a settlement agreement was entered into. The meaning of the portion of the practice directive, as quoted in the judgment of the court a quo, is quite </w:t>
      </w:r>
      <w:r w:rsidR="0042260B">
        <w:rPr>
          <w:rFonts w:ascii="Arial" w:hAnsi="Arial" w:cs="Arial"/>
          <w:sz w:val="24"/>
          <w:szCs w:val="24"/>
          <w:lang w:val="en-US"/>
        </w:rPr>
        <w:t>unclear. As we have insufficient evidence in respect of its status, scope of application and context, I am</w:t>
      </w:r>
      <w:r w:rsidR="00EE7984">
        <w:rPr>
          <w:rFonts w:ascii="Arial" w:hAnsi="Arial" w:cs="Arial"/>
          <w:sz w:val="24"/>
          <w:szCs w:val="24"/>
          <w:lang w:val="en-US"/>
        </w:rPr>
        <w:t xml:space="preserve"> </w:t>
      </w:r>
      <w:r w:rsidR="0042260B">
        <w:rPr>
          <w:rFonts w:ascii="Arial" w:hAnsi="Arial" w:cs="Arial"/>
          <w:sz w:val="24"/>
          <w:szCs w:val="24"/>
          <w:lang w:val="en-US"/>
        </w:rPr>
        <w:t xml:space="preserve">loath to express a firm view on this practice directive. It suffices to say that to the extent that this (or any other) practice directive is in conflict with this judgment, it is invalid. See </w:t>
      </w:r>
      <w:r w:rsidR="00E25BBD">
        <w:rPr>
          <w:rFonts w:ascii="Arial" w:hAnsi="Arial" w:cs="Arial"/>
          <w:i/>
          <w:sz w:val="24"/>
          <w:szCs w:val="24"/>
          <w:lang w:val="en-US"/>
        </w:rPr>
        <w:t>Mhlongo and</w:t>
      </w:r>
      <w:r w:rsidR="0042260B" w:rsidRPr="0042260B">
        <w:rPr>
          <w:rFonts w:ascii="Arial" w:hAnsi="Arial" w:cs="Arial"/>
          <w:i/>
          <w:sz w:val="24"/>
          <w:szCs w:val="24"/>
          <w:lang w:val="en-US"/>
        </w:rPr>
        <w:t xml:space="preserve"> Others v </w:t>
      </w:r>
      <w:r w:rsidR="00E25BBD">
        <w:rPr>
          <w:rFonts w:ascii="Arial" w:hAnsi="Arial" w:cs="Arial"/>
          <w:i/>
          <w:sz w:val="24"/>
          <w:szCs w:val="24"/>
          <w:lang w:val="en-US"/>
        </w:rPr>
        <w:t>Mokoena NO and</w:t>
      </w:r>
      <w:r w:rsidR="0042260B" w:rsidRPr="0042260B">
        <w:rPr>
          <w:rFonts w:ascii="Arial" w:hAnsi="Arial" w:cs="Arial"/>
          <w:i/>
          <w:sz w:val="24"/>
          <w:szCs w:val="24"/>
          <w:lang w:val="en-US"/>
        </w:rPr>
        <w:t xml:space="preserve"> Others</w:t>
      </w:r>
      <w:r w:rsidR="0042260B">
        <w:rPr>
          <w:rFonts w:ascii="Arial" w:hAnsi="Arial" w:cs="Arial"/>
          <w:sz w:val="24"/>
          <w:szCs w:val="24"/>
          <w:lang w:val="en-US"/>
        </w:rPr>
        <w:t xml:space="preserve"> [2022] ZASCA 78; 2022 (6) SA 129 </w:t>
      </w:r>
      <w:r w:rsidR="005B73C8">
        <w:rPr>
          <w:rFonts w:ascii="Arial" w:hAnsi="Arial" w:cs="Arial"/>
          <w:sz w:val="24"/>
          <w:szCs w:val="24"/>
          <w:lang w:val="en-US"/>
        </w:rPr>
        <w:t>(</w:t>
      </w:r>
      <w:r w:rsidR="0042260B">
        <w:rPr>
          <w:rFonts w:ascii="Arial" w:hAnsi="Arial" w:cs="Arial"/>
          <w:sz w:val="24"/>
          <w:szCs w:val="24"/>
          <w:lang w:val="en-US"/>
        </w:rPr>
        <w:t>SCA</w:t>
      </w:r>
      <w:r w:rsidR="005B73C8">
        <w:rPr>
          <w:rFonts w:ascii="Arial" w:hAnsi="Arial" w:cs="Arial"/>
          <w:sz w:val="24"/>
          <w:szCs w:val="24"/>
          <w:lang w:val="en-US"/>
        </w:rPr>
        <w:t>)</w:t>
      </w:r>
      <w:r w:rsidR="0042260B">
        <w:rPr>
          <w:rFonts w:ascii="Arial" w:hAnsi="Arial" w:cs="Arial"/>
          <w:sz w:val="24"/>
          <w:szCs w:val="24"/>
          <w:lang w:val="en-US"/>
        </w:rPr>
        <w:t xml:space="preserve"> para 14.</w:t>
      </w:r>
    </w:p>
    <w:p w14:paraId="6D193057" w14:textId="77777777" w:rsidR="00F01229" w:rsidRDefault="00F01229" w:rsidP="00B05C8E">
      <w:pPr>
        <w:rPr>
          <w:rFonts w:ascii="Arial" w:hAnsi="Arial" w:cs="Arial"/>
          <w:sz w:val="24"/>
          <w:szCs w:val="24"/>
          <w:lang w:val="en-US"/>
        </w:rPr>
      </w:pPr>
    </w:p>
    <w:p w14:paraId="7A606E1E" w14:textId="44B77252" w:rsidR="00F01229" w:rsidRDefault="00F01229" w:rsidP="00B05C8E">
      <w:pPr>
        <w:rPr>
          <w:rFonts w:ascii="Arial" w:hAnsi="Arial" w:cs="Arial"/>
          <w:sz w:val="24"/>
          <w:szCs w:val="24"/>
          <w:lang w:val="en-US"/>
        </w:rPr>
      </w:pPr>
      <w:r>
        <w:rPr>
          <w:rFonts w:ascii="Arial" w:hAnsi="Arial" w:cs="Arial"/>
          <w:sz w:val="24"/>
          <w:szCs w:val="24"/>
          <w:lang w:val="en-US"/>
        </w:rPr>
        <w:t>[5</w:t>
      </w:r>
      <w:r w:rsidR="008B02D3">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 xml:space="preserve">To sum up, </w:t>
      </w:r>
      <w:r w:rsidR="00664500">
        <w:rPr>
          <w:rFonts w:ascii="Arial" w:hAnsi="Arial" w:cs="Arial"/>
          <w:sz w:val="24"/>
          <w:szCs w:val="24"/>
          <w:lang w:val="en-US"/>
        </w:rPr>
        <w:t xml:space="preserve">when the parties to litigation confirm that they have reached a compromise, </w:t>
      </w:r>
      <w:r>
        <w:rPr>
          <w:rFonts w:ascii="Arial" w:hAnsi="Arial" w:cs="Arial"/>
          <w:sz w:val="24"/>
          <w:szCs w:val="24"/>
          <w:lang w:val="en-US"/>
        </w:rPr>
        <w:t xml:space="preserve">a court has no power or jurisdiction to embark upon an enquiry as to whether the compromise was justified </w:t>
      </w:r>
      <w:r w:rsidR="008B02D3">
        <w:rPr>
          <w:rFonts w:ascii="Arial" w:hAnsi="Arial" w:cs="Arial"/>
          <w:sz w:val="24"/>
          <w:szCs w:val="24"/>
          <w:lang w:val="en-US"/>
        </w:rPr>
        <w:t>on</w:t>
      </w:r>
      <w:r>
        <w:rPr>
          <w:rFonts w:ascii="Arial" w:hAnsi="Arial" w:cs="Arial"/>
          <w:sz w:val="24"/>
          <w:szCs w:val="24"/>
          <w:lang w:val="en-US"/>
        </w:rPr>
        <w:t xml:space="preserve"> the merits of the matter or was validly concluded. </w:t>
      </w:r>
      <w:r w:rsidR="00664500">
        <w:rPr>
          <w:rFonts w:ascii="Arial" w:hAnsi="Arial" w:cs="Arial"/>
          <w:sz w:val="24"/>
          <w:szCs w:val="24"/>
          <w:lang w:val="en-US"/>
        </w:rPr>
        <w:t xml:space="preserve">When a </w:t>
      </w:r>
      <w:r>
        <w:rPr>
          <w:rFonts w:ascii="Arial" w:hAnsi="Arial" w:cs="Arial"/>
          <w:sz w:val="24"/>
          <w:szCs w:val="24"/>
          <w:lang w:val="en-US"/>
        </w:rPr>
        <w:t xml:space="preserve">court </w:t>
      </w:r>
      <w:r w:rsidR="00664500">
        <w:rPr>
          <w:rFonts w:ascii="Arial" w:hAnsi="Arial" w:cs="Arial"/>
          <w:sz w:val="24"/>
          <w:szCs w:val="24"/>
          <w:lang w:val="en-US"/>
        </w:rPr>
        <w:t xml:space="preserve">is </w:t>
      </w:r>
      <w:r>
        <w:rPr>
          <w:rFonts w:ascii="Arial" w:hAnsi="Arial" w:cs="Arial"/>
          <w:sz w:val="24"/>
          <w:szCs w:val="24"/>
          <w:lang w:val="en-US"/>
        </w:rPr>
        <w:t xml:space="preserve">asked to make a settlement agreement an order of court, </w:t>
      </w:r>
      <w:r w:rsidR="00664500">
        <w:rPr>
          <w:rFonts w:ascii="Arial" w:hAnsi="Arial" w:cs="Arial"/>
          <w:sz w:val="24"/>
          <w:szCs w:val="24"/>
          <w:lang w:val="en-US"/>
        </w:rPr>
        <w:t xml:space="preserve">it </w:t>
      </w:r>
      <w:r>
        <w:rPr>
          <w:rFonts w:ascii="Arial" w:hAnsi="Arial" w:cs="Arial"/>
          <w:sz w:val="24"/>
          <w:szCs w:val="24"/>
          <w:lang w:val="en-US"/>
        </w:rPr>
        <w:t xml:space="preserve">has </w:t>
      </w:r>
      <w:r w:rsidR="008B02D3">
        <w:rPr>
          <w:rFonts w:ascii="Arial" w:hAnsi="Arial" w:cs="Arial"/>
          <w:sz w:val="24"/>
          <w:szCs w:val="24"/>
          <w:lang w:val="en-US"/>
        </w:rPr>
        <w:t>the</w:t>
      </w:r>
      <w:r>
        <w:rPr>
          <w:rFonts w:ascii="Arial" w:hAnsi="Arial" w:cs="Arial"/>
          <w:sz w:val="24"/>
          <w:szCs w:val="24"/>
          <w:lang w:val="en-US"/>
        </w:rPr>
        <w:t xml:space="preserve"> </w:t>
      </w:r>
      <w:r w:rsidR="008B02D3">
        <w:rPr>
          <w:rFonts w:ascii="Arial" w:hAnsi="Arial" w:cs="Arial"/>
          <w:sz w:val="24"/>
          <w:szCs w:val="24"/>
          <w:lang w:val="en-US"/>
        </w:rPr>
        <w:t>power</w:t>
      </w:r>
      <w:r>
        <w:rPr>
          <w:rFonts w:ascii="Arial" w:hAnsi="Arial" w:cs="Arial"/>
          <w:sz w:val="24"/>
          <w:szCs w:val="24"/>
          <w:lang w:val="en-US"/>
        </w:rPr>
        <w:t xml:space="preserve"> to do so. The exercise of this </w:t>
      </w:r>
      <w:r w:rsidR="008B02D3">
        <w:rPr>
          <w:rFonts w:ascii="Arial" w:hAnsi="Arial" w:cs="Arial"/>
          <w:sz w:val="24"/>
          <w:szCs w:val="24"/>
          <w:lang w:val="en-US"/>
        </w:rPr>
        <w:t>power essentially</w:t>
      </w:r>
      <w:r>
        <w:rPr>
          <w:rFonts w:ascii="Arial" w:hAnsi="Arial" w:cs="Arial"/>
          <w:sz w:val="24"/>
          <w:szCs w:val="24"/>
          <w:lang w:val="en-US"/>
        </w:rPr>
        <w:t xml:space="preserve"> requires a determination of whether it would be appropriate to incorporate the terms of the compromise into an order of court.</w:t>
      </w:r>
    </w:p>
    <w:p w14:paraId="30A7564E" w14:textId="77777777" w:rsidR="00F01229" w:rsidRDefault="00F01229" w:rsidP="00B05C8E">
      <w:pPr>
        <w:rPr>
          <w:rFonts w:ascii="Arial" w:hAnsi="Arial" w:cs="Arial"/>
          <w:sz w:val="24"/>
          <w:szCs w:val="24"/>
          <w:lang w:val="en-US"/>
        </w:rPr>
      </w:pPr>
    </w:p>
    <w:p w14:paraId="00572CA5" w14:textId="2A412C86" w:rsidR="00F01229" w:rsidRDefault="00F01229" w:rsidP="00B05C8E">
      <w:pPr>
        <w:rPr>
          <w:rFonts w:ascii="Arial" w:hAnsi="Arial" w:cs="Arial"/>
          <w:sz w:val="24"/>
          <w:szCs w:val="24"/>
          <w:lang w:val="en-US"/>
        </w:rPr>
      </w:pPr>
      <w:r>
        <w:rPr>
          <w:rFonts w:ascii="Arial" w:hAnsi="Arial" w:cs="Arial"/>
          <w:sz w:val="24"/>
          <w:szCs w:val="24"/>
          <w:lang w:val="en-US"/>
        </w:rPr>
        <w:t>[</w:t>
      </w:r>
      <w:r w:rsidR="008B02D3">
        <w:rPr>
          <w:rFonts w:ascii="Arial" w:hAnsi="Arial" w:cs="Arial"/>
          <w:sz w:val="24"/>
          <w:szCs w:val="24"/>
          <w:lang w:val="en-US"/>
        </w:rPr>
        <w:t>52</w:t>
      </w:r>
      <w:r>
        <w:rPr>
          <w:rFonts w:ascii="Arial" w:hAnsi="Arial" w:cs="Arial"/>
          <w:sz w:val="24"/>
          <w:szCs w:val="24"/>
          <w:lang w:val="en-US"/>
        </w:rPr>
        <w:t>]</w:t>
      </w:r>
      <w:r>
        <w:rPr>
          <w:rFonts w:ascii="Arial" w:hAnsi="Arial" w:cs="Arial"/>
          <w:sz w:val="24"/>
          <w:szCs w:val="24"/>
          <w:lang w:val="en-US"/>
        </w:rPr>
        <w:tab/>
        <w:t xml:space="preserve">It follows that </w:t>
      </w:r>
      <w:r w:rsidR="00AA2C35">
        <w:rPr>
          <w:rFonts w:ascii="Arial" w:hAnsi="Arial" w:cs="Arial"/>
          <w:sz w:val="24"/>
          <w:szCs w:val="24"/>
          <w:lang w:val="en-US"/>
        </w:rPr>
        <w:t xml:space="preserve">the court a quo should have removed the Taylor matter from the roll. There was no legitimate reason for refusing to make the draft order in the Mathonsi matter an order of court. The appeals of </w:t>
      </w:r>
      <w:r w:rsidR="00586DE4">
        <w:rPr>
          <w:rFonts w:ascii="Arial" w:hAnsi="Arial" w:cs="Arial"/>
          <w:sz w:val="24"/>
          <w:szCs w:val="24"/>
          <w:lang w:val="en-US"/>
        </w:rPr>
        <w:t xml:space="preserve">the RAF, </w:t>
      </w:r>
      <w:r w:rsidR="00AA2C35">
        <w:rPr>
          <w:rFonts w:ascii="Arial" w:hAnsi="Arial" w:cs="Arial"/>
          <w:sz w:val="24"/>
          <w:szCs w:val="24"/>
          <w:lang w:val="en-US"/>
        </w:rPr>
        <w:t>Ms Taylor and Mr Mathonsi must therefore also succeed.</w:t>
      </w:r>
    </w:p>
    <w:p w14:paraId="6B3ACCB9" w14:textId="77777777" w:rsidR="00AA2C35" w:rsidRDefault="00AA2C35" w:rsidP="00B05C8E">
      <w:pPr>
        <w:rPr>
          <w:rFonts w:ascii="Arial" w:hAnsi="Arial" w:cs="Arial"/>
          <w:sz w:val="24"/>
          <w:szCs w:val="24"/>
          <w:lang w:val="en-US"/>
        </w:rPr>
      </w:pPr>
    </w:p>
    <w:p w14:paraId="4D52C672" w14:textId="780B7DCD" w:rsidR="00AA2C35" w:rsidRDefault="008B02D3" w:rsidP="00B05C8E">
      <w:pPr>
        <w:rPr>
          <w:rFonts w:ascii="Arial" w:hAnsi="Arial" w:cs="Arial"/>
          <w:sz w:val="24"/>
          <w:szCs w:val="24"/>
          <w:lang w:val="en-US"/>
        </w:rPr>
      </w:pPr>
      <w:r>
        <w:rPr>
          <w:rFonts w:ascii="Arial" w:hAnsi="Arial" w:cs="Arial"/>
          <w:sz w:val="24"/>
          <w:szCs w:val="24"/>
          <w:lang w:val="en-US"/>
        </w:rPr>
        <w:t>[53</w:t>
      </w:r>
      <w:r w:rsidR="00AA2C35">
        <w:rPr>
          <w:rFonts w:ascii="Arial" w:hAnsi="Arial" w:cs="Arial"/>
          <w:sz w:val="24"/>
          <w:szCs w:val="24"/>
          <w:lang w:val="en-US"/>
        </w:rPr>
        <w:t>]</w:t>
      </w:r>
      <w:r w:rsidR="00AA2C35">
        <w:rPr>
          <w:rFonts w:ascii="Arial" w:hAnsi="Arial" w:cs="Arial"/>
          <w:sz w:val="24"/>
          <w:szCs w:val="24"/>
          <w:lang w:val="en-US"/>
        </w:rPr>
        <w:tab/>
        <w:t xml:space="preserve">In the result the following order is issued: </w:t>
      </w:r>
    </w:p>
    <w:p w14:paraId="3658C9A6" w14:textId="66E5C70E" w:rsidR="00AA2C35" w:rsidRDefault="00AA2C35" w:rsidP="00B05C8E">
      <w:pPr>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appeals are upheld.</w:t>
      </w:r>
    </w:p>
    <w:p w14:paraId="6DE78BA9" w14:textId="37323153" w:rsidR="00AA2C35" w:rsidRDefault="00AA2C35" w:rsidP="00AA2C35">
      <w:pPr>
        <w:ind w:left="720" w:hanging="720"/>
        <w:rPr>
          <w:rFonts w:ascii="Arial" w:hAnsi="Arial" w:cs="Arial"/>
          <w:sz w:val="24"/>
          <w:szCs w:val="24"/>
          <w:lang w:val="en-US"/>
        </w:rPr>
      </w:pPr>
      <w:r>
        <w:rPr>
          <w:rFonts w:ascii="Arial" w:hAnsi="Arial" w:cs="Arial"/>
          <w:sz w:val="24"/>
          <w:szCs w:val="24"/>
          <w:lang w:val="en-US"/>
        </w:rPr>
        <w:lastRenderedPageBreak/>
        <w:t>2</w:t>
      </w:r>
      <w:r>
        <w:rPr>
          <w:rFonts w:ascii="Arial" w:hAnsi="Arial" w:cs="Arial"/>
          <w:sz w:val="24"/>
          <w:szCs w:val="24"/>
          <w:lang w:val="en-US"/>
        </w:rPr>
        <w:tab/>
        <w:t xml:space="preserve">Paragraphs 1a to </w:t>
      </w:r>
      <w:r w:rsidR="008B02D3">
        <w:rPr>
          <w:rFonts w:ascii="Arial" w:hAnsi="Arial" w:cs="Arial"/>
          <w:sz w:val="24"/>
          <w:szCs w:val="24"/>
          <w:lang w:val="en-US"/>
        </w:rPr>
        <w:t xml:space="preserve">1c and </w:t>
      </w:r>
      <w:r>
        <w:rPr>
          <w:rFonts w:ascii="Arial" w:hAnsi="Arial" w:cs="Arial"/>
          <w:sz w:val="24"/>
          <w:szCs w:val="24"/>
          <w:lang w:val="en-US"/>
        </w:rPr>
        <w:t xml:space="preserve">1e of the order of the court a quo are set aside and replaced with the following: </w:t>
      </w:r>
    </w:p>
    <w:p w14:paraId="753523B0" w14:textId="03608FC3" w:rsidR="00AA2C35" w:rsidRDefault="00AA2C35" w:rsidP="00AA2C35">
      <w:pPr>
        <w:ind w:firstLine="720"/>
        <w:rPr>
          <w:rFonts w:ascii="Arial" w:hAnsi="Arial" w:cs="Arial"/>
          <w:sz w:val="24"/>
          <w:szCs w:val="24"/>
          <w:lang w:val="en-US"/>
        </w:rPr>
      </w:pPr>
      <w:r>
        <w:rPr>
          <w:rFonts w:ascii="Arial" w:hAnsi="Arial" w:cs="Arial"/>
          <w:sz w:val="24"/>
          <w:szCs w:val="24"/>
          <w:lang w:val="en-US"/>
        </w:rPr>
        <w:t xml:space="preserve">‘By agreement the matter is removed from the roll’. </w:t>
      </w:r>
    </w:p>
    <w:p w14:paraId="2A77CFBB" w14:textId="28EA7325" w:rsidR="00AA2C35" w:rsidRDefault="00AA2C35" w:rsidP="00AA2C35">
      <w:pPr>
        <w:ind w:left="720" w:hanging="720"/>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Paragraphs 2a to </w:t>
      </w:r>
      <w:r w:rsidR="008B02D3">
        <w:rPr>
          <w:rFonts w:ascii="Arial" w:hAnsi="Arial" w:cs="Arial"/>
          <w:sz w:val="24"/>
          <w:szCs w:val="24"/>
          <w:lang w:val="en-US"/>
        </w:rPr>
        <w:t xml:space="preserve">2c and </w:t>
      </w:r>
      <w:r>
        <w:rPr>
          <w:rFonts w:ascii="Arial" w:hAnsi="Arial" w:cs="Arial"/>
          <w:sz w:val="24"/>
          <w:szCs w:val="24"/>
          <w:lang w:val="en-US"/>
        </w:rPr>
        <w:t xml:space="preserve">2e of the order of the court a quo are set aside and replaced with the following: </w:t>
      </w:r>
    </w:p>
    <w:p w14:paraId="524FACB2" w14:textId="5A00BF86" w:rsidR="00AA2C35" w:rsidRPr="000279D6" w:rsidRDefault="00AA2C35" w:rsidP="00AA2C35">
      <w:pPr>
        <w:ind w:firstLine="720"/>
        <w:rPr>
          <w:rFonts w:ascii="Arial" w:hAnsi="Arial" w:cs="Arial"/>
          <w:sz w:val="24"/>
          <w:szCs w:val="24"/>
          <w:lang w:val="en-US"/>
        </w:rPr>
      </w:pPr>
      <w:r>
        <w:rPr>
          <w:rFonts w:ascii="Arial" w:hAnsi="Arial" w:cs="Arial"/>
          <w:sz w:val="24"/>
          <w:szCs w:val="24"/>
          <w:lang w:val="en-US"/>
        </w:rPr>
        <w:t xml:space="preserve">‘By agreement the draft order presented to the court is made an order of court’. </w:t>
      </w:r>
    </w:p>
    <w:p w14:paraId="366C2AF3" w14:textId="77777777" w:rsidR="003F72FA" w:rsidRPr="000279D6" w:rsidRDefault="003F72FA" w:rsidP="00B05C8E">
      <w:pPr>
        <w:jc w:val="right"/>
        <w:rPr>
          <w:rFonts w:ascii="Arial" w:hAnsi="Arial" w:cs="Arial"/>
          <w:b/>
          <w:bCs/>
          <w:sz w:val="24"/>
          <w:szCs w:val="24"/>
          <w:lang w:val="en-US"/>
        </w:rPr>
      </w:pPr>
    </w:p>
    <w:p w14:paraId="376E450A" w14:textId="2A00F33E" w:rsidR="003F72FA" w:rsidRPr="000279D6" w:rsidRDefault="003F72FA" w:rsidP="00B05C8E">
      <w:pPr>
        <w:jc w:val="right"/>
        <w:rPr>
          <w:rFonts w:ascii="Arial" w:hAnsi="Arial" w:cs="Arial"/>
          <w:b/>
          <w:bCs/>
          <w:sz w:val="24"/>
          <w:szCs w:val="24"/>
          <w:lang w:val="en-US"/>
        </w:rPr>
      </w:pPr>
    </w:p>
    <w:p w14:paraId="2A216621" w14:textId="12BF7467" w:rsidR="008423D2" w:rsidRPr="000279D6" w:rsidRDefault="00412A78" w:rsidP="00B05C8E">
      <w:pPr>
        <w:jc w:val="right"/>
        <w:rPr>
          <w:rFonts w:ascii="Arial" w:hAnsi="Arial" w:cs="Arial"/>
          <w:bCs/>
          <w:sz w:val="24"/>
          <w:szCs w:val="24"/>
          <w:lang w:val="en-US"/>
        </w:rPr>
      </w:pPr>
      <w:r w:rsidRPr="000279D6">
        <w:rPr>
          <w:rFonts w:ascii="Arial" w:hAnsi="Arial" w:cs="Arial"/>
          <w:bCs/>
          <w:sz w:val="24"/>
          <w:szCs w:val="24"/>
          <w:lang w:val="en-US"/>
        </w:rPr>
        <w:t>________________________</w:t>
      </w:r>
    </w:p>
    <w:p w14:paraId="5E57C8F8" w14:textId="2FEFCC0B" w:rsidR="008423D2" w:rsidRPr="000279D6" w:rsidRDefault="00412A78" w:rsidP="00B05C8E">
      <w:pPr>
        <w:jc w:val="right"/>
        <w:rPr>
          <w:rFonts w:ascii="Arial" w:hAnsi="Arial" w:cs="Arial"/>
          <w:bCs/>
          <w:sz w:val="24"/>
          <w:szCs w:val="24"/>
          <w:lang w:val="en-US"/>
        </w:rPr>
      </w:pPr>
      <w:r w:rsidRPr="000279D6">
        <w:rPr>
          <w:rFonts w:ascii="Arial" w:hAnsi="Arial" w:cs="Arial"/>
          <w:bCs/>
          <w:sz w:val="24"/>
          <w:szCs w:val="24"/>
          <w:lang w:val="en-US"/>
        </w:rPr>
        <w:t>C H G VAN DER MERWE</w:t>
      </w:r>
    </w:p>
    <w:p w14:paraId="68C5A8C9" w14:textId="314FBB91" w:rsidR="008423D2" w:rsidRPr="000279D6" w:rsidRDefault="00412A78" w:rsidP="00B05C8E">
      <w:pPr>
        <w:jc w:val="right"/>
        <w:rPr>
          <w:rFonts w:ascii="Arial" w:hAnsi="Arial" w:cs="Arial"/>
          <w:sz w:val="24"/>
          <w:szCs w:val="24"/>
          <w:lang w:val="en-US"/>
        </w:rPr>
      </w:pPr>
      <w:r w:rsidRPr="000279D6">
        <w:rPr>
          <w:rFonts w:ascii="Arial" w:hAnsi="Arial" w:cs="Arial"/>
          <w:bCs/>
          <w:sz w:val="24"/>
          <w:szCs w:val="24"/>
          <w:lang w:val="en-US"/>
        </w:rPr>
        <w:t>JUDGE OF APPEAL</w:t>
      </w:r>
    </w:p>
    <w:p w14:paraId="01E906EF" w14:textId="77777777" w:rsidR="008423D2" w:rsidRPr="000279D6" w:rsidRDefault="008423D2" w:rsidP="00B05C8E">
      <w:pPr>
        <w:rPr>
          <w:rFonts w:ascii="Arial" w:hAnsi="Arial" w:cs="Arial"/>
          <w:sz w:val="24"/>
          <w:szCs w:val="24"/>
          <w:lang w:val="en-US"/>
        </w:rPr>
      </w:pPr>
    </w:p>
    <w:p w14:paraId="2C42D6A1" w14:textId="77777777" w:rsidR="00466565" w:rsidRPr="000279D6" w:rsidRDefault="00466565" w:rsidP="00B05C8E">
      <w:pPr>
        <w:rPr>
          <w:rFonts w:ascii="Arial" w:hAnsi="Arial" w:cs="Arial"/>
          <w:sz w:val="24"/>
          <w:szCs w:val="24"/>
          <w:lang w:val="en-US"/>
        </w:rPr>
      </w:pPr>
    </w:p>
    <w:p w14:paraId="1B30B110" w14:textId="3C694023" w:rsidR="00636A3B" w:rsidRPr="000279D6" w:rsidRDefault="00636A3B">
      <w:pPr>
        <w:rPr>
          <w:rFonts w:ascii="Arial" w:hAnsi="Arial" w:cs="Arial"/>
          <w:sz w:val="24"/>
          <w:szCs w:val="24"/>
          <w:lang w:val="en-US"/>
        </w:rPr>
      </w:pPr>
      <w:r w:rsidRPr="000279D6">
        <w:rPr>
          <w:rFonts w:ascii="Arial" w:hAnsi="Arial" w:cs="Arial"/>
          <w:sz w:val="24"/>
          <w:szCs w:val="24"/>
          <w:lang w:val="en-US"/>
        </w:rPr>
        <w:br w:type="page"/>
      </w:r>
    </w:p>
    <w:p w14:paraId="7A20798A" w14:textId="77777777" w:rsidR="00466565" w:rsidRPr="000279D6" w:rsidRDefault="00466565" w:rsidP="00B05C8E">
      <w:pPr>
        <w:rPr>
          <w:rFonts w:ascii="Arial" w:hAnsi="Arial" w:cs="Arial"/>
          <w:sz w:val="24"/>
          <w:szCs w:val="24"/>
          <w:lang w:val="en-US"/>
        </w:rPr>
      </w:pPr>
    </w:p>
    <w:p w14:paraId="2B480FBB" w14:textId="749B102E" w:rsidR="008423D2" w:rsidRPr="000279D6" w:rsidRDefault="008423D2" w:rsidP="00B05C8E">
      <w:pPr>
        <w:rPr>
          <w:rFonts w:ascii="Arial" w:hAnsi="Arial" w:cs="Arial"/>
          <w:sz w:val="24"/>
          <w:szCs w:val="24"/>
          <w:lang w:val="en-US"/>
        </w:rPr>
      </w:pPr>
      <w:r w:rsidRPr="000279D6">
        <w:rPr>
          <w:rFonts w:ascii="Arial" w:hAnsi="Arial" w:cs="Arial"/>
          <w:sz w:val="24"/>
          <w:szCs w:val="24"/>
          <w:lang w:val="en-US"/>
        </w:rPr>
        <w:t>A</w:t>
      </w:r>
      <w:r w:rsidR="00412A78" w:rsidRPr="000279D6">
        <w:rPr>
          <w:rFonts w:ascii="Arial" w:hAnsi="Arial" w:cs="Arial"/>
          <w:sz w:val="24"/>
          <w:szCs w:val="24"/>
          <w:lang w:val="en-US"/>
        </w:rPr>
        <w:t>ppearances</w:t>
      </w:r>
    </w:p>
    <w:p w14:paraId="06903BBC" w14:textId="77777777" w:rsidR="008423D2" w:rsidRPr="000279D6" w:rsidRDefault="008423D2" w:rsidP="00B05C8E">
      <w:pPr>
        <w:rPr>
          <w:rFonts w:ascii="Arial" w:hAnsi="Arial" w:cs="Arial"/>
          <w:sz w:val="24"/>
          <w:szCs w:val="24"/>
          <w:lang w:val="en-US"/>
        </w:rPr>
      </w:pPr>
    </w:p>
    <w:p w14:paraId="66505F5E" w14:textId="27698FCD" w:rsidR="008423D2" w:rsidRPr="000279D6" w:rsidRDefault="008423D2" w:rsidP="00256F50">
      <w:pPr>
        <w:ind w:left="5040" w:hanging="5040"/>
        <w:rPr>
          <w:rFonts w:ascii="Arial" w:hAnsi="Arial" w:cs="Arial"/>
          <w:sz w:val="24"/>
          <w:szCs w:val="24"/>
          <w:lang w:val="en-US"/>
        </w:rPr>
      </w:pPr>
      <w:r w:rsidRPr="000279D6">
        <w:rPr>
          <w:rFonts w:ascii="Arial" w:hAnsi="Arial" w:cs="Arial"/>
          <w:sz w:val="24"/>
          <w:szCs w:val="24"/>
          <w:lang w:val="en-US"/>
        </w:rPr>
        <w:t xml:space="preserve">For </w:t>
      </w:r>
      <w:r w:rsidR="00D72149">
        <w:rPr>
          <w:rFonts w:ascii="Arial" w:hAnsi="Arial" w:cs="Arial"/>
          <w:sz w:val="24"/>
          <w:szCs w:val="24"/>
          <w:lang w:val="en-US"/>
        </w:rPr>
        <w:t>the RAF</w:t>
      </w:r>
      <w:r w:rsidR="00256F50" w:rsidRPr="000279D6">
        <w:rPr>
          <w:rFonts w:ascii="Arial" w:hAnsi="Arial" w:cs="Arial"/>
          <w:sz w:val="24"/>
          <w:szCs w:val="24"/>
          <w:lang w:val="en-US"/>
        </w:rPr>
        <w:t>:</w:t>
      </w:r>
      <w:r w:rsidR="00256F50" w:rsidRPr="000279D6">
        <w:rPr>
          <w:rFonts w:ascii="Arial" w:hAnsi="Arial" w:cs="Arial"/>
          <w:sz w:val="24"/>
          <w:szCs w:val="24"/>
          <w:lang w:val="en-US"/>
        </w:rPr>
        <w:tab/>
      </w:r>
      <w:r w:rsidR="00D72149">
        <w:rPr>
          <w:rFonts w:ascii="Arial" w:hAnsi="Arial" w:cs="Arial"/>
          <w:sz w:val="24"/>
          <w:szCs w:val="24"/>
          <w:lang w:val="en-US"/>
        </w:rPr>
        <w:t>M Antonie SC</w:t>
      </w:r>
      <w:r w:rsidR="00191673" w:rsidRPr="000279D6">
        <w:rPr>
          <w:rFonts w:ascii="Arial" w:hAnsi="Arial" w:cs="Arial"/>
          <w:sz w:val="24"/>
          <w:szCs w:val="24"/>
          <w:lang w:val="en-US"/>
        </w:rPr>
        <w:t xml:space="preserve"> with</w:t>
      </w:r>
      <w:r w:rsidR="00256F50" w:rsidRPr="000279D6">
        <w:rPr>
          <w:rFonts w:ascii="Arial" w:hAnsi="Arial" w:cs="Arial"/>
          <w:sz w:val="24"/>
          <w:szCs w:val="24"/>
          <w:lang w:val="en-US"/>
        </w:rPr>
        <w:t xml:space="preserve"> </w:t>
      </w:r>
      <w:r w:rsidR="00D72149">
        <w:rPr>
          <w:rFonts w:ascii="Arial" w:hAnsi="Arial" w:cs="Arial"/>
          <w:sz w:val="24"/>
          <w:szCs w:val="24"/>
          <w:lang w:val="en-US"/>
        </w:rPr>
        <w:t>M</w:t>
      </w:r>
      <w:r w:rsidR="009B5ED4">
        <w:rPr>
          <w:rFonts w:ascii="Arial" w:hAnsi="Arial" w:cs="Arial"/>
          <w:sz w:val="24"/>
          <w:szCs w:val="24"/>
          <w:lang w:val="en-US"/>
        </w:rPr>
        <w:t xml:space="preserve"> </w:t>
      </w:r>
      <w:r w:rsidR="00D72149">
        <w:rPr>
          <w:rFonts w:ascii="Arial" w:hAnsi="Arial" w:cs="Arial"/>
          <w:sz w:val="24"/>
          <w:szCs w:val="24"/>
          <w:lang w:val="en-US"/>
        </w:rPr>
        <w:t>V</w:t>
      </w:r>
      <w:r w:rsidR="009B5ED4">
        <w:rPr>
          <w:rFonts w:ascii="Arial" w:hAnsi="Arial" w:cs="Arial"/>
          <w:sz w:val="24"/>
          <w:szCs w:val="24"/>
          <w:lang w:val="en-US"/>
        </w:rPr>
        <w:t xml:space="preserve"> </w:t>
      </w:r>
      <w:r w:rsidR="00D72149">
        <w:rPr>
          <w:rFonts w:ascii="Arial" w:hAnsi="Arial" w:cs="Arial"/>
          <w:sz w:val="24"/>
          <w:szCs w:val="24"/>
          <w:lang w:val="en-US"/>
        </w:rPr>
        <w:t>J Chauke</w:t>
      </w:r>
    </w:p>
    <w:p w14:paraId="346786F5" w14:textId="1B8DCDB8" w:rsidR="008423D2" w:rsidRPr="000279D6" w:rsidRDefault="008423D2" w:rsidP="00B05C8E">
      <w:pPr>
        <w:ind w:left="5040" w:hanging="5040"/>
        <w:rPr>
          <w:rFonts w:ascii="Arial" w:hAnsi="Arial" w:cs="Arial"/>
          <w:sz w:val="24"/>
          <w:szCs w:val="24"/>
          <w:lang w:val="en-US"/>
        </w:rPr>
      </w:pPr>
      <w:r w:rsidRPr="000279D6">
        <w:rPr>
          <w:rFonts w:ascii="Arial" w:hAnsi="Arial" w:cs="Arial"/>
          <w:sz w:val="24"/>
          <w:szCs w:val="24"/>
          <w:lang w:val="en-US"/>
        </w:rPr>
        <w:t>Instructed by:</w:t>
      </w:r>
      <w:r w:rsidRPr="000279D6">
        <w:rPr>
          <w:rFonts w:ascii="Arial" w:hAnsi="Arial" w:cs="Arial"/>
          <w:sz w:val="24"/>
          <w:szCs w:val="24"/>
          <w:lang w:val="en-US"/>
        </w:rPr>
        <w:tab/>
      </w:r>
      <w:r w:rsidR="004452F4">
        <w:rPr>
          <w:rFonts w:ascii="Arial" w:hAnsi="Arial" w:cs="Arial"/>
          <w:sz w:val="24"/>
          <w:szCs w:val="24"/>
          <w:lang w:val="en-US"/>
        </w:rPr>
        <w:t>Mpoyana Ledwaba Inc Attorneys</w:t>
      </w:r>
      <w:r w:rsidRPr="000279D6">
        <w:rPr>
          <w:rFonts w:ascii="Arial" w:hAnsi="Arial" w:cs="Arial"/>
          <w:sz w:val="24"/>
          <w:szCs w:val="24"/>
          <w:lang w:val="en-US"/>
        </w:rPr>
        <w:t>,</w:t>
      </w:r>
      <w:r w:rsidR="00CC2E0B" w:rsidRPr="000279D6">
        <w:rPr>
          <w:rFonts w:ascii="Arial" w:hAnsi="Arial" w:cs="Arial"/>
          <w:sz w:val="24"/>
          <w:szCs w:val="24"/>
          <w:lang w:val="en-US"/>
        </w:rPr>
        <w:t xml:space="preserve"> </w:t>
      </w:r>
      <w:r w:rsidR="004452F4">
        <w:rPr>
          <w:rFonts w:ascii="Arial" w:hAnsi="Arial" w:cs="Arial"/>
          <w:sz w:val="24"/>
          <w:szCs w:val="24"/>
          <w:lang w:val="en-US"/>
        </w:rPr>
        <w:t>Pretoria</w:t>
      </w:r>
      <w:r w:rsidRPr="000279D6">
        <w:rPr>
          <w:rFonts w:ascii="Arial" w:hAnsi="Arial" w:cs="Arial"/>
          <w:sz w:val="24"/>
          <w:szCs w:val="24"/>
          <w:lang w:val="en-US"/>
        </w:rPr>
        <w:t xml:space="preserve"> </w:t>
      </w:r>
    </w:p>
    <w:p w14:paraId="02B13315" w14:textId="2CA15D6F" w:rsidR="008423D2" w:rsidRDefault="008423D2" w:rsidP="00B05C8E">
      <w:pPr>
        <w:ind w:left="5040" w:hanging="5040"/>
        <w:rPr>
          <w:rFonts w:ascii="Arial" w:hAnsi="Arial" w:cs="Arial"/>
          <w:sz w:val="24"/>
          <w:szCs w:val="24"/>
          <w:lang w:val="en-US"/>
        </w:rPr>
      </w:pPr>
      <w:r w:rsidRPr="000279D6">
        <w:rPr>
          <w:rFonts w:ascii="Arial" w:hAnsi="Arial" w:cs="Arial"/>
          <w:sz w:val="24"/>
          <w:szCs w:val="24"/>
          <w:lang w:val="en-US"/>
        </w:rPr>
        <w:tab/>
      </w:r>
      <w:r w:rsidR="004452F4">
        <w:rPr>
          <w:rFonts w:ascii="Arial" w:hAnsi="Arial" w:cs="Arial"/>
          <w:sz w:val="24"/>
          <w:szCs w:val="24"/>
          <w:lang w:val="en-US"/>
        </w:rPr>
        <w:t>Modisenyane Attorneys Inc</w:t>
      </w:r>
      <w:r w:rsidR="00074E74" w:rsidRPr="000279D6">
        <w:rPr>
          <w:rFonts w:ascii="Arial" w:hAnsi="Arial" w:cs="Arial"/>
          <w:sz w:val="24"/>
          <w:szCs w:val="24"/>
          <w:lang w:val="en-US"/>
        </w:rPr>
        <w:t>,</w:t>
      </w:r>
      <w:r w:rsidR="00CC2E0B" w:rsidRPr="000279D6">
        <w:rPr>
          <w:rFonts w:ascii="Arial" w:hAnsi="Arial" w:cs="Arial"/>
          <w:sz w:val="24"/>
          <w:szCs w:val="24"/>
          <w:lang w:val="en-US"/>
        </w:rPr>
        <w:t xml:space="preserve"> Bloemfontein</w:t>
      </w:r>
      <w:r w:rsidRPr="000279D6">
        <w:rPr>
          <w:rFonts w:ascii="Arial" w:hAnsi="Arial" w:cs="Arial"/>
          <w:sz w:val="24"/>
          <w:szCs w:val="24"/>
          <w:lang w:val="en-US"/>
        </w:rPr>
        <w:t xml:space="preserve"> </w:t>
      </w:r>
    </w:p>
    <w:p w14:paraId="3405DD22" w14:textId="77777777" w:rsidR="009B5ED4" w:rsidRDefault="009B5ED4" w:rsidP="00B05C8E">
      <w:pPr>
        <w:ind w:left="5040" w:hanging="5040"/>
        <w:rPr>
          <w:rFonts w:ascii="Arial" w:hAnsi="Arial" w:cs="Arial"/>
          <w:sz w:val="24"/>
          <w:szCs w:val="24"/>
          <w:lang w:val="en-US"/>
        </w:rPr>
      </w:pPr>
    </w:p>
    <w:p w14:paraId="6001235D" w14:textId="6F4580ED" w:rsidR="009B5ED4" w:rsidRDefault="009B5ED4" w:rsidP="00B05C8E">
      <w:pPr>
        <w:ind w:left="5040" w:hanging="5040"/>
        <w:rPr>
          <w:rFonts w:ascii="Arial" w:hAnsi="Arial" w:cs="Arial"/>
          <w:sz w:val="24"/>
          <w:szCs w:val="24"/>
          <w:lang w:val="en-US"/>
        </w:rPr>
      </w:pPr>
      <w:r>
        <w:rPr>
          <w:rFonts w:ascii="Arial" w:hAnsi="Arial" w:cs="Arial"/>
          <w:sz w:val="24"/>
          <w:szCs w:val="24"/>
          <w:lang w:val="en-US"/>
        </w:rPr>
        <w:t>For Ms Taylor &amp; Mr Mathonsi:</w:t>
      </w:r>
      <w:r>
        <w:rPr>
          <w:rFonts w:ascii="Arial" w:hAnsi="Arial" w:cs="Arial"/>
          <w:sz w:val="24"/>
          <w:szCs w:val="24"/>
          <w:lang w:val="en-US"/>
        </w:rPr>
        <w:tab/>
        <w:t>A P Joubert SC with J M Killian</w:t>
      </w:r>
    </w:p>
    <w:p w14:paraId="03064A3A" w14:textId="3D58293F" w:rsidR="008B05AE" w:rsidRDefault="00D0677C" w:rsidP="00B05C8E">
      <w:pPr>
        <w:ind w:left="5040" w:hanging="5040"/>
        <w:rPr>
          <w:rFonts w:ascii="Arial" w:hAnsi="Arial" w:cs="Arial"/>
          <w:sz w:val="24"/>
          <w:szCs w:val="24"/>
          <w:lang w:val="en-US"/>
        </w:rPr>
      </w:pPr>
      <w:r>
        <w:rPr>
          <w:rFonts w:ascii="Arial" w:hAnsi="Arial" w:cs="Arial"/>
          <w:sz w:val="24"/>
          <w:szCs w:val="24"/>
          <w:lang w:val="en-US"/>
        </w:rPr>
        <w:t>Instructed by:</w:t>
      </w:r>
      <w:r w:rsidR="008B05AE">
        <w:rPr>
          <w:rFonts w:ascii="Arial" w:hAnsi="Arial" w:cs="Arial"/>
          <w:sz w:val="24"/>
          <w:szCs w:val="24"/>
          <w:lang w:val="en-US"/>
        </w:rPr>
        <w:tab/>
        <w:t>De Broglio Attorneys Inc, Johannesburg</w:t>
      </w:r>
    </w:p>
    <w:p w14:paraId="5B4DB406" w14:textId="29F42817" w:rsidR="008B05AE" w:rsidRDefault="008B05AE" w:rsidP="00B05C8E">
      <w:pPr>
        <w:ind w:left="5040" w:hanging="5040"/>
        <w:rPr>
          <w:rFonts w:ascii="Arial" w:hAnsi="Arial" w:cs="Arial"/>
          <w:sz w:val="24"/>
          <w:szCs w:val="24"/>
          <w:lang w:val="en-US"/>
        </w:rPr>
      </w:pPr>
      <w:r>
        <w:rPr>
          <w:rFonts w:ascii="Arial" w:hAnsi="Arial" w:cs="Arial"/>
          <w:sz w:val="24"/>
          <w:szCs w:val="24"/>
          <w:lang w:val="en-US"/>
        </w:rPr>
        <w:tab/>
        <w:t>Matsepes Inc, Bloemfontein</w:t>
      </w:r>
    </w:p>
    <w:p w14:paraId="3E4068DC" w14:textId="77777777" w:rsidR="009B5ED4" w:rsidRDefault="009B5ED4" w:rsidP="00B05C8E">
      <w:pPr>
        <w:ind w:left="5040" w:hanging="5040"/>
        <w:rPr>
          <w:rFonts w:ascii="Arial" w:hAnsi="Arial" w:cs="Arial"/>
          <w:sz w:val="24"/>
          <w:szCs w:val="24"/>
          <w:lang w:val="en-US"/>
        </w:rPr>
      </w:pPr>
    </w:p>
    <w:p w14:paraId="48039617" w14:textId="29DD3AEF" w:rsidR="009B5ED4" w:rsidRDefault="009B5ED4" w:rsidP="00D0677C">
      <w:pPr>
        <w:ind w:left="5040" w:hanging="5040"/>
        <w:rPr>
          <w:rFonts w:ascii="Arial" w:hAnsi="Arial" w:cs="Arial"/>
          <w:sz w:val="24"/>
          <w:szCs w:val="24"/>
          <w:lang w:val="en-US"/>
        </w:rPr>
      </w:pPr>
      <w:r>
        <w:rPr>
          <w:rFonts w:ascii="Arial" w:hAnsi="Arial" w:cs="Arial"/>
          <w:sz w:val="24"/>
          <w:szCs w:val="24"/>
          <w:lang w:val="en-US"/>
        </w:rPr>
        <w:t>For De Broglio Inc &amp; Ms de Sw</w:t>
      </w:r>
      <w:r w:rsidR="00D0677C">
        <w:rPr>
          <w:rFonts w:ascii="Arial" w:hAnsi="Arial" w:cs="Arial"/>
          <w:sz w:val="24"/>
          <w:szCs w:val="24"/>
          <w:lang w:val="en-US"/>
        </w:rPr>
        <w:t>ardt:</w:t>
      </w:r>
      <w:r w:rsidR="00D0677C">
        <w:rPr>
          <w:rFonts w:ascii="Arial" w:hAnsi="Arial" w:cs="Arial"/>
          <w:sz w:val="24"/>
          <w:szCs w:val="24"/>
          <w:lang w:val="en-US"/>
        </w:rPr>
        <w:tab/>
        <w:t xml:space="preserve">J G Wasserman SC with E F </w:t>
      </w:r>
      <w:r>
        <w:rPr>
          <w:rFonts w:ascii="Arial" w:hAnsi="Arial" w:cs="Arial"/>
          <w:sz w:val="24"/>
          <w:szCs w:val="24"/>
          <w:lang w:val="en-US"/>
        </w:rPr>
        <w:t>Serfontein</w:t>
      </w:r>
    </w:p>
    <w:p w14:paraId="64F70ECE" w14:textId="57AD10D6" w:rsidR="00AE5CE2" w:rsidRDefault="00D0677C" w:rsidP="00AE5CE2">
      <w:pPr>
        <w:ind w:left="5040" w:hanging="5040"/>
        <w:rPr>
          <w:rFonts w:ascii="Arial" w:hAnsi="Arial" w:cs="Arial"/>
          <w:sz w:val="24"/>
          <w:szCs w:val="24"/>
          <w:lang w:val="en-US"/>
        </w:rPr>
      </w:pPr>
      <w:r>
        <w:rPr>
          <w:rFonts w:ascii="Arial" w:hAnsi="Arial" w:cs="Arial"/>
          <w:sz w:val="24"/>
          <w:szCs w:val="24"/>
          <w:lang w:val="en-US"/>
        </w:rPr>
        <w:t>Instructed by:</w:t>
      </w:r>
      <w:r w:rsidR="00AE5CE2">
        <w:rPr>
          <w:rFonts w:ascii="Arial" w:hAnsi="Arial" w:cs="Arial"/>
          <w:sz w:val="24"/>
          <w:szCs w:val="24"/>
          <w:lang w:val="en-US"/>
        </w:rPr>
        <w:tab/>
        <w:t>De Broglio Attorneys Inc, Johannesburg</w:t>
      </w:r>
    </w:p>
    <w:p w14:paraId="74FFD1BE" w14:textId="77777777" w:rsidR="00AE5CE2" w:rsidRDefault="00AE5CE2" w:rsidP="00AE5CE2">
      <w:pPr>
        <w:ind w:left="5040" w:hanging="5040"/>
        <w:rPr>
          <w:rFonts w:ascii="Arial" w:hAnsi="Arial" w:cs="Arial"/>
          <w:sz w:val="24"/>
          <w:szCs w:val="24"/>
          <w:lang w:val="en-US"/>
        </w:rPr>
      </w:pPr>
      <w:r>
        <w:rPr>
          <w:rFonts w:ascii="Arial" w:hAnsi="Arial" w:cs="Arial"/>
          <w:sz w:val="24"/>
          <w:szCs w:val="24"/>
          <w:lang w:val="en-US"/>
        </w:rPr>
        <w:tab/>
        <w:t>Matsepes Inc, Bloemfontein</w:t>
      </w:r>
    </w:p>
    <w:p w14:paraId="40B30E61" w14:textId="77777777" w:rsidR="001F47C9" w:rsidRDefault="001F47C9" w:rsidP="00B05C8E">
      <w:pPr>
        <w:ind w:left="5040" w:hanging="5040"/>
        <w:rPr>
          <w:rFonts w:ascii="Arial" w:hAnsi="Arial" w:cs="Arial"/>
          <w:sz w:val="24"/>
          <w:szCs w:val="24"/>
          <w:lang w:val="en-US"/>
        </w:rPr>
      </w:pPr>
    </w:p>
    <w:p w14:paraId="303B8298" w14:textId="6F27C117" w:rsidR="001F47C9" w:rsidRDefault="001F47C9" w:rsidP="00B05C8E">
      <w:pPr>
        <w:ind w:left="5040" w:hanging="5040"/>
        <w:rPr>
          <w:rFonts w:ascii="Arial" w:hAnsi="Arial" w:cs="Arial"/>
          <w:sz w:val="24"/>
          <w:szCs w:val="24"/>
          <w:lang w:val="en-US"/>
        </w:rPr>
      </w:pPr>
      <w:r>
        <w:rPr>
          <w:rFonts w:ascii="Arial" w:hAnsi="Arial" w:cs="Arial"/>
          <w:sz w:val="24"/>
          <w:szCs w:val="24"/>
          <w:lang w:val="en-US"/>
        </w:rPr>
        <w:t xml:space="preserve">For Mr Kramer: </w:t>
      </w:r>
      <w:r>
        <w:rPr>
          <w:rFonts w:ascii="Arial" w:hAnsi="Arial" w:cs="Arial"/>
          <w:sz w:val="24"/>
          <w:szCs w:val="24"/>
          <w:lang w:val="en-US"/>
        </w:rPr>
        <w:tab/>
        <w:t>A P Joubert SC with N J Horn</w:t>
      </w:r>
    </w:p>
    <w:p w14:paraId="5C06F579" w14:textId="3F279D15" w:rsidR="001013E5" w:rsidRDefault="00D0677C" w:rsidP="00B05C8E">
      <w:pPr>
        <w:ind w:left="5040" w:hanging="5040"/>
        <w:rPr>
          <w:rFonts w:ascii="Arial" w:hAnsi="Arial" w:cs="Arial"/>
          <w:sz w:val="24"/>
          <w:szCs w:val="24"/>
          <w:lang w:val="en-US"/>
        </w:rPr>
      </w:pPr>
      <w:r>
        <w:rPr>
          <w:rFonts w:ascii="Arial" w:hAnsi="Arial" w:cs="Arial"/>
          <w:sz w:val="24"/>
          <w:szCs w:val="24"/>
          <w:lang w:val="en-US"/>
        </w:rPr>
        <w:t>Instructed by:</w:t>
      </w:r>
      <w:r w:rsidR="001013E5">
        <w:rPr>
          <w:rFonts w:ascii="Arial" w:hAnsi="Arial" w:cs="Arial"/>
          <w:sz w:val="24"/>
          <w:szCs w:val="24"/>
          <w:lang w:val="en-US"/>
        </w:rPr>
        <w:tab/>
        <w:t>Bove Attorneys Inc, Johannesburg</w:t>
      </w:r>
    </w:p>
    <w:p w14:paraId="073B25BC" w14:textId="2E6F75E9" w:rsidR="001013E5" w:rsidRDefault="001013E5" w:rsidP="00B05C8E">
      <w:pPr>
        <w:ind w:left="5040" w:hanging="5040"/>
        <w:rPr>
          <w:rFonts w:ascii="Arial" w:hAnsi="Arial" w:cs="Arial"/>
          <w:sz w:val="24"/>
          <w:szCs w:val="24"/>
          <w:lang w:val="en-US"/>
        </w:rPr>
      </w:pPr>
      <w:r>
        <w:rPr>
          <w:rFonts w:ascii="Arial" w:hAnsi="Arial" w:cs="Arial"/>
          <w:sz w:val="24"/>
          <w:szCs w:val="24"/>
          <w:lang w:val="en-US"/>
        </w:rPr>
        <w:tab/>
        <w:t>Lovius Block, Bloemfontein</w:t>
      </w:r>
    </w:p>
    <w:p w14:paraId="63277794" w14:textId="77777777" w:rsidR="001F47C9" w:rsidRDefault="001F47C9" w:rsidP="00B05C8E">
      <w:pPr>
        <w:ind w:left="5040" w:hanging="5040"/>
        <w:rPr>
          <w:rFonts w:ascii="Arial" w:hAnsi="Arial" w:cs="Arial"/>
          <w:sz w:val="24"/>
          <w:szCs w:val="24"/>
          <w:lang w:val="en-US"/>
        </w:rPr>
      </w:pPr>
    </w:p>
    <w:p w14:paraId="7C235C14" w14:textId="08253160" w:rsidR="001F47C9" w:rsidRDefault="00687341" w:rsidP="00B05C8E">
      <w:pPr>
        <w:ind w:left="5040" w:hanging="5040"/>
        <w:rPr>
          <w:rFonts w:ascii="Arial" w:hAnsi="Arial" w:cs="Arial"/>
          <w:sz w:val="24"/>
          <w:szCs w:val="24"/>
          <w:lang w:val="en-US"/>
        </w:rPr>
      </w:pPr>
      <w:r>
        <w:rPr>
          <w:rFonts w:ascii="Arial" w:hAnsi="Arial" w:cs="Arial"/>
          <w:sz w:val="24"/>
          <w:szCs w:val="24"/>
          <w:lang w:val="en-US"/>
        </w:rPr>
        <w:t>For Mr V</w:t>
      </w:r>
      <w:r w:rsidR="001F47C9">
        <w:rPr>
          <w:rFonts w:ascii="Arial" w:hAnsi="Arial" w:cs="Arial"/>
          <w:sz w:val="24"/>
          <w:szCs w:val="24"/>
          <w:lang w:val="en-US"/>
        </w:rPr>
        <w:t xml:space="preserve">an den Barselaar: </w:t>
      </w:r>
      <w:r w:rsidR="001F47C9">
        <w:rPr>
          <w:rFonts w:ascii="Arial" w:hAnsi="Arial" w:cs="Arial"/>
          <w:sz w:val="24"/>
          <w:szCs w:val="24"/>
          <w:lang w:val="en-US"/>
        </w:rPr>
        <w:tab/>
        <w:t>P Stais SC</w:t>
      </w:r>
    </w:p>
    <w:p w14:paraId="23FABD05" w14:textId="29AF7108" w:rsidR="00152063" w:rsidRDefault="001D167B" w:rsidP="00B05C8E">
      <w:pPr>
        <w:ind w:left="5040" w:hanging="5040"/>
        <w:rPr>
          <w:rFonts w:ascii="Arial" w:hAnsi="Arial" w:cs="Arial"/>
          <w:sz w:val="24"/>
          <w:szCs w:val="24"/>
          <w:lang w:val="en-US"/>
        </w:rPr>
      </w:pPr>
      <w:r>
        <w:rPr>
          <w:rFonts w:ascii="Arial" w:hAnsi="Arial" w:cs="Arial"/>
          <w:sz w:val="24"/>
          <w:szCs w:val="24"/>
          <w:lang w:val="en-US"/>
        </w:rPr>
        <w:t xml:space="preserve">Instructed by: </w:t>
      </w:r>
      <w:r w:rsidR="00152063">
        <w:rPr>
          <w:rFonts w:ascii="Arial" w:hAnsi="Arial" w:cs="Arial"/>
          <w:sz w:val="24"/>
          <w:szCs w:val="24"/>
          <w:lang w:val="en-US"/>
        </w:rPr>
        <w:tab/>
        <w:t>RFI Attorneys, Johannesburg</w:t>
      </w:r>
    </w:p>
    <w:p w14:paraId="010002BE" w14:textId="66B671FD" w:rsidR="00152063" w:rsidRPr="000279D6" w:rsidRDefault="00152063" w:rsidP="00B05C8E">
      <w:pPr>
        <w:ind w:left="5040" w:hanging="5040"/>
        <w:rPr>
          <w:rFonts w:ascii="Arial" w:hAnsi="Arial" w:cs="Arial"/>
          <w:sz w:val="24"/>
          <w:szCs w:val="24"/>
          <w:lang w:val="en-US"/>
        </w:rPr>
      </w:pPr>
      <w:r>
        <w:rPr>
          <w:rFonts w:ascii="Arial" w:hAnsi="Arial" w:cs="Arial"/>
          <w:sz w:val="24"/>
          <w:szCs w:val="24"/>
          <w:lang w:val="en-US"/>
        </w:rPr>
        <w:tab/>
        <w:t>Honey Attorneys Inc, Bloemfontein</w:t>
      </w:r>
    </w:p>
    <w:p w14:paraId="3A67D3A6" w14:textId="77777777" w:rsidR="00074E74" w:rsidRPr="000279D6" w:rsidRDefault="00074E74" w:rsidP="00B05C8E">
      <w:pPr>
        <w:ind w:left="5040" w:hanging="5040"/>
        <w:rPr>
          <w:rFonts w:ascii="Arial" w:hAnsi="Arial" w:cs="Arial"/>
          <w:sz w:val="24"/>
          <w:szCs w:val="24"/>
          <w:lang w:val="en-US"/>
        </w:rPr>
      </w:pPr>
    </w:p>
    <w:p w14:paraId="3D505D5F" w14:textId="77777777" w:rsidR="00DD4344" w:rsidRPr="000279D6" w:rsidRDefault="00DD4344" w:rsidP="001A0CAA">
      <w:pPr>
        <w:rPr>
          <w:rFonts w:ascii="Arial" w:hAnsi="Arial" w:cs="Arial"/>
          <w:sz w:val="24"/>
          <w:szCs w:val="24"/>
          <w:lang w:val="en-US"/>
        </w:rPr>
      </w:pPr>
    </w:p>
    <w:p w14:paraId="485D6BA3" w14:textId="3F154356" w:rsidR="008423D2" w:rsidRDefault="008423D2" w:rsidP="001A0CAA">
      <w:pPr>
        <w:rPr>
          <w:rFonts w:ascii="Arial" w:hAnsi="Arial" w:cs="Arial"/>
          <w:sz w:val="24"/>
          <w:szCs w:val="24"/>
          <w:lang w:val="en-US"/>
        </w:rPr>
      </w:pPr>
    </w:p>
    <w:sectPr w:rsidR="008423D2" w:rsidSect="00C032BE">
      <w:headerReference w:type="default" r:id="rId9"/>
      <w:pgSz w:w="11906" w:h="16838"/>
      <w:pgMar w:top="1440" w:right="1440" w:bottom="170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FCE6A" w14:textId="77777777" w:rsidR="00B5033E" w:rsidRDefault="00B5033E" w:rsidP="007C4A7C">
      <w:pPr>
        <w:spacing w:line="240" w:lineRule="auto"/>
      </w:pPr>
      <w:r>
        <w:separator/>
      </w:r>
    </w:p>
  </w:endnote>
  <w:endnote w:type="continuationSeparator" w:id="0">
    <w:p w14:paraId="6092AD4A" w14:textId="77777777" w:rsidR="00B5033E" w:rsidRDefault="00B5033E"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A1E6F" w14:textId="77777777" w:rsidR="00B5033E" w:rsidRDefault="00B5033E" w:rsidP="007C4A7C">
      <w:pPr>
        <w:spacing w:line="240" w:lineRule="auto"/>
      </w:pPr>
      <w:r>
        <w:separator/>
      </w:r>
    </w:p>
  </w:footnote>
  <w:footnote w:type="continuationSeparator" w:id="0">
    <w:p w14:paraId="7C804F6D" w14:textId="77777777" w:rsidR="00B5033E" w:rsidRDefault="00B5033E" w:rsidP="007C4A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326326"/>
      <w:docPartObj>
        <w:docPartGallery w:val="Page Numbers (Top of Page)"/>
        <w:docPartUnique/>
      </w:docPartObj>
    </w:sdtPr>
    <w:sdtEndPr>
      <w:rPr>
        <w:noProof/>
      </w:rPr>
    </w:sdtEndPr>
    <w:sdtContent>
      <w:p w14:paraId="36FA31C2" w14:textId="22B9C16F" w:rsidR="00805CC5" w:rsidRDefault="00805CC5">
        <w:pPr>
          <w:pStyle w:val="Header"/>
          <w:jc w:val="right"/>
        </w:pPr>
        <w:r>
          <w:fldChar w:fldCharType="begin"/>
        </w:r>
        <w:r>
          <w:instrText xml:space="preserve"> PAGE   \* MERGEFORMAT </w:instrText>
        </w:r>
        <w:r>
          <w:fldChar w:fldCharType="separate"/>
        </w:r>
        <w:r w:rsidR="00AE6E5B">
          <w:rPr>
            <w:noProof/>
          </w:rPr>
          <w:t>4</w:t>
        </w:r>
        <w:r>
          <w:rPr>
            <w:noProof/>
          </w:rPr>
          <w:fldChar w:fldCharType="end"/>
        </w:r>
      </w:p>
    </w:sdtContent>
  </w:sdt>
  <w:p w14:paraId="72084E89" w14:textId="77777777" w:rsidR="00805CC5" w:rsidRDefault="00805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BB0B3A"/>
    <w:multiLevelType w:val="hybridMultilevel"/>
    <w:tmpl w:val="EA72A472"/>
    <w:lvl w:ilvl="0" w:tplc="B10233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6520B8D"/>
    <w:multiLevelType w:val="hybridMultilevel"/>
    <w:tmpl w:val="C562B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72534E"/>
    <w:multiLevelType w:val="hybridMultilevel"/>
    <w:tmpl w:val="A79A4B3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022E47"/>
    <w:multiLevelType w:val="hybridMultilevel"/>
    <w:tmpl w:val="E6D052E6"/>
    <w:lvl w:ilvl="0" w:tplc="B10233E2">
      <w:start w:val="1"/>
      <w:numFmt w:val="lowerLetter"/>
      <w:lvlText w:val="%1."/>
      <w:lvlJc w:val="left"/>
      <w:pPr>
        <w:ind w:left="644"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9781E"/>
    <w:multiLevelType w:val="hybridMultilevel"/>
    <w:tmpl w:val="80105568"/>
    <w:lvl w:ilvl="0" w:tplc="34EA68D8">
      <w:start w:val="1"/>
      <w:numFmt w:val="lowerLetter"/>
      <w:lvlText w:val="%1."/>
      <w:lvlJc w:val="left"/>
      <w:pPr>
        <w:ind w:left="709" w:hanging="360"/>
      </w:pPr>
      <w:rPr>
        <w:rFonts w:hint="default"/>
      </w:r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10">
    <w:nsid w:val="6699380E"/>
    <w:multiLevelType w:val="hybridMultilevel"/>
    <w:tmpl w:val="5D44760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7"/>
  </w:num>
  <w:num w:numId="6">
    <w:abstractNumId w:val="3"/>
  </w:num>
  <w:num w:numId="7">
    <w:abstractNumId w:val="10"/>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073F9"/>
    <w:rsid w:val="00013B9A"/>
    <w:rsid w:val="000162D3"/>
    <w:rsid w:val="00016BBD"/>
    <w:rsid w:val="0001710F"/>
    <w:rsid w:val="00020D0C"/>
    <w:rsid w:val="000214A1"/>
    <w:rsid w:val="00021B34"/>
    <w:rsid w:val="00022F96"/>
    <w:rsid w:val="000279D6"/>
    <w:rsid w:val="00032386"/>
    <w:rsid w:val="0003347C"/>
    <w:rsid w:val="00034989"/>
    <w:rsid w:val="0004135F"/>
    <w:rsid w:val="00042563"/>
    <w:rsid w:val="00042F36"/>
    <w:rsid w:val="00044D61"/>
    <w:rsid w:val="00045499"/>
    <w:rsid w:val="00050941"/>
    <w:rsid w:val="00050A1F"/>
    <w:rsid w:val="00055942"/>
    <w:rsid w:val="00055F50"/>
    <w:rsid w:val="00060D6A"/>
    <w:rsid w:val="00070D4E"/>
    <w:rsid w:val="00073227"/>
    <w:rsid w:val="00074E74"/>
    <w:rsid w:val="00075874"/>
    <w:rsid w:val="0008018D"/>
    <w:rsid w:val="00081A90"/>
    <w:rsid w:val="00081D01"/>
    <w:rsid w:val="00083371"/>
    <w:rsid w:val="00086BF9"/>
    <w:rsid w:val="00087951"/>
    <w:rsid w:val="000910AA"/>
    <w:rsid w:val="00092236"/>
    <w:rsid w:val="00095838"/>
    <w:rsid w:val="00097456"/>
    <w:rsid w:val="000A1721"/>
    <w:rsid w:val="000A2105"/>
    <w:rsid w:val="000A4D06"/>
    <w:rsid w:val="000A66DB"/>
    <w:rsid w:val="000A6869"/>
    <w:rsid w:val="000A7F1A"/>
    <w:rsid w:val="000B5E1D"/>
    <w:rsid w:val="000B7581"/>
    <w:rsid w:val="000C0C9E"/>
    <w:rsid w:val="000C5219"/>
    <w:rsid w:val="000C77F7"/>
    <w:rsid w:val="000D2ACF"/>
    <w:rsid w:val="000D2B2A"/>
    <w:rsid w:val="000D57DE"/>
    <w:rsid w:val="000D6CCD"/>
    <w:rsid w:val="000E0A21"/>
    <w:rsid w:val="000F3913"/>
    <w:rsid w:val="000F4131"/>
    <w:rsid w:val="000F5F24"/>
    <w:rsid w:val="000F62CE"/>
    <w:rsid w:val="000F64E9"/>
    <w:rsid w:val="000F76EF"/>
    <w:rsid w:val="00100F63"/>
    <w:rsid w:val="001013E5"/>
    <w:rsid w:val="001017DC"/>
    <w:rsid w:val="00101AA9"/>
    <w:rsid w:val="00101FE2"/>
    <w:rsid w:val="00104D6F"/>
    <w:rsid w:val="00107E3D"/>
    <w:rsid w:val="00113479"/>
    <w:rsid w:val="001169C1"/>
    <w:rsid w:val="00122DB9"/>
    <w:rsid w:val="00125885"/>
    <w:rsid w:val="00130799"/>
    <w:rsid w:val="00133ADF"/>
    <w:rsid w:val="001349D9"/>
    <w:rsid w:val="0013530D"/>
    <w:rsid w:val="001372A2"/>
    <w:rsid w:val="001401DE"/>
    <w:rsid w:val="001403CA"/>
    <w:rsid w:val="00140868"/>
    <w:rsid w:val="00140A56"/>
    <w:rsid w:val="0014612A"/>
    <w:rsid w:val="00152063"/>
    <w:rsid w:val="00153767"/>
    <w:rsid w:val="00153AEB"/>
    <w:rsid w:val="00154794"/>
    <w:rsid w:val="00156D7A"/>
    <w:rsid w:val="00157959"/>
    <w:rsid w:val="00160C32"/>
    <w:rsid w:val="00160FA0"/>
    <w:rsid w:val="00161E17"/>
    <w:rsid w:val="00161EC3"/>
    <w:rsid w:val="00167D97"/>
    <w:rsid w:val="00175CD6"/>
    <w:rsid w:val="00177693"/>
    <w:rsid w:val="0018044B"/>
    <w:rsid w:val="001824D7"/>
    <w:rsid w:val="00183A66"/>
    <w:rsid w:val="00183D73"/>
    <w:rsid w:val="001849B3"/>
    <w:rsid w:val="00191673"/>
    <w:rsid w:val="00194114"/>
    <w:rsid w:val="001A0CAA"/>
    <w:rsid w:val="001A176C"/>
    <w:rsid w:val="001A39DC"/>
    <w:rsid w:val="001A6650"/>
    <w:rsid w:val="001A793F"/>
    <w:rsid w:val="001B018A"/>
    <w:rsid w:val="001C0D31"/>
    <w:rsid w:val="001C3191"/>
    <w:rsid w:val="001C34E1"/>
    <w:rsid w:val="001C4328"/>
    <w:rsid w:val="001C72CF"/>
    <w:rsid w:val="001D0A80"/>
    <w:rsid w:val="001D0F22"/>
    <w:rsid w:val="001D1240"/>
    <w:rsid w:val="001D128E"/>
    <w:rsid w:val="001D167B"/>
    <w:rsid w:val="001D3E42"/>
    <w:rsid w:val="001D4C1B"/>
    <w:rsid w:val="001E0E37"/>
    <w:rsid w:val="001E22AA"/>
    <w:rsid w:val="001E274B"/>
    <w:rsid w:val="001E387D"/>
    <w:rsid w:val="001E59D4"/>
    <w:rsid w:val="001E60C9"/>
    <w:rsid w:val="001E65A6"/>
    <w:rsid w:val="001E6D41"/>
    <w:rsid w:val="001E788F"/>
    <w:rsid w:val="001F0B10"/>
    <w:rsid w:val="001F47C9"/>
    <w:rsid w:val="001F5BD6"/>
    <w:rsid w:val="00201CA8"/>
    <w:rsid w:val="0020299D"/>
    <w:rsid w:val="00203286"/>
    <w:rsid w:val="002038A1"/>
    <w:rsid w:val="00206B7C"/>
    <w:rsid w:val="00206EB6"/>
    <w:rsid w:val="002073C1"/>
    <w:rsid w:val="002101C5"/>
    <w:rsid w:val="00210D3F"/>
    <w:rsid w:val="00214DC8"/>
    <w:rsid w:val="00216451"/>
    <w:rsid w:val="002175E6"/>
    <w:rsid w:val="0022063F"/>
    <w:rsid w:val="00222DBE"/>
    <w:rsid w:val="002263EA"/>
    <w:rsid w:val="00226859"/>
    <w:rsid w:val="002316CD"/>
    <w:rsid w:val="00236593"/>
    <w:rsid w:val="00243D71"/>
    <w:rsid w:val="00244027"/>
    <w:rsid w:val="002443ED"/>
    <w:rsid w:val="00246CB6"/>
    <w:rsid w:val="0025083A"/>
    <w:rsid w:val="00252BA2"/>
    <w:rsid w:val="002550DB"/>
    <w:rsid w:val="002552D0"/>
    <w:rsid w:val="00255382"/>
    <w:rsid w:val="00256F50"/>
    <w:rsid w:val="002604AD"/>
    <w:rsid w:val="00260DD2"/>
    <w:rsid w:val="0026544A"/>
    <w:rsid w:val="0026737C"/>
    <w:rsid w:val="00267A35"/>
    <w:rsid w:val="0027171C"/>
    <w:rsid w:val="0028108E"/>
    <w:rsid w:val="002818B0"/>
    <w:rsid w:val="002962CC"/>
    <w:rsid w:val="002A1C91"/>
    <w:rsid w:val="002A2BB8"/>
    <w:rsid w:val="002A458D"/>
    <w:rsid w:val="002B20B7"/>
    <w:rsid w:val="002B20CA"/>
    <w:rsid w:val="002B2672"/>
    <w:rsid w:val="002B79BC"/>
    <w:rsid w:val="002C0E38"/>
    <w:rsid w:val="002C4B7D"/>
    <w:rsid w:val="002C52CF"/>
    <w:rsid w:val="002C7E13"/>
    <w:rsid w:val="002D4ED7"/>
    <w:rsid w:val="002E15A6"/>
    <w:rsid w:val="002E6B94"/>
    <w:rsid w:val="002E70E6"/>
    <w:rsid w:val="002F0852"/>
    <w:rsid w:val="002F1D71"/>
    <w:rsid w:val="002F2F41"/>
    <w:rsid w:val="002F3686"/>
    <w:rsid w:val="002F424B"/>
    <w:rsid w:val="002F5C04"/>
    <w:rsid w:val="00304616"/>
    <w:rsid w:val="00315C1A"/>
    <w:rsid w:val="00316E6C"/>
    <w:rsid w:val="0031742A"/>
    <w:rsid w:val="003244D0"/>
    <w:rsid w:val="00326314"/>
    <w:rsid w:val="00327428"/>
    <w:rsid w:val="00330D40"/>
    <w:rsid w:val="003336C5"/>
    <w:rsid w:val="003400B3"/>
    <w:rsid w:val="0034084A"/>
    <w:rsid w:val="00342515"/>
    <w:rsid w:val="003439DD"/>
    <w:rsid w:val="003446AE"/>
    <w:rsid w:val="00344C19"/>
    <w:rsid w:val="003510C0"/>
    <w:rsid w:val="003515FB"/>
    <w:rsid w:val="00351EB3"/>
    <w:rsid w:val="00361676"/>
    <w:rsid w:val="00361FB8"/>
    <w:rsid w:val="003648F1"/>
    <w:rsid w:val="00364F6E"/>
    <w:rsid w:val="00366DCA"/>
    <w:rsid w:val="003721A6"/>
    <w:rsid w:val="00373A69"/>
    <w:rsid w:val="003746CA"/>
    <w:rsid w:val="00377DA5"/>
    <w:rsid w:val="0038418E"/>
    <w:rsid w:val="00391BCB"/>
    <w:rsid w:val="003928E2"/>
    <w:rsid w:val="00394014"/>
    <w:rsid w:val="003963EC"/>
    <w:rsid w:val="003965B9"/>
    <w:rsid w:val="003A71D7"/>
    <w:rsid w:val="003B3587"/>
    <w:rsid w:val="003B6798"/>
    <w:rsid w:val="003C1D50"/>
    <w:rsid w:val="003C6B32"/>
    <w:rsid w:val="003D322D"/>
    <w:rsid w:val="003E3D0E"/>
    <w:rsid w:val="003E6EAA"/>
    <w:rsid w:val="003F00C5"/>
    <w:rsid w:val="003F1308"/>
    <w:rsid w:val="003F72FA"/>
    <w:rsid w:val="00407ED1"/>
    <w:rsid w:val="00407FF7"/>
    <w:rsid w:val="004104E4"/>
    <w:rsid w:val="004124A8"/>
    <w:rsid w:val="00412A78"/>
    <w:rsid w:val="004166F2"/>
    <w:rsid w:val="00421B26"/>
    <w:rsid w:val="0042260B"/>
    <w:rsid w:val="004276CB"/>
    <w:rsid w:val="00431A4F"/>
    <w:rsid w:val="004357A6"/>
    <w:rsid w:val="00435CFD"/>
    <w:rsid w:val="00436A18"/>
    <w:rsid w:val="00436DF6"/>
    <w:rsid w:val="004371C3"/>
    <w:rsid w:val="00437434"/>
    <w:rsid w:val="00442085"/>
    <w:rsid w:val="00442177"/>
    <w:rsid w:val="00442B86"/>
    <w:rsid w:val="004452F4"/>
    <w:rsid w:val="00461EAD"/>
    <w:rsid w:val="00464054"/>
    <w:rsid w:val="00466565"/>
    <w:rsid w:val="00467B36"/>
    <w:rsid w:val="0047051C"/>
    <w:rsid w:val="00471742"/>
    <w:rsid w:val="00473755"/>
    <w:rsid w:val="00474698"/>
    <w:rsid w:val="004778A2"/>
    <w:rsid w:val="004840FE"/>
    <w:rsid w:val="00494104"/>
    <w:rsid w:val="004A05B1"/>
    <w:rsid w:val="004A5787"/>
    <w:rsid w:val="004A59AD"/>
    <w:rsid w:val="004A6B6F"/>
    <w:rsid w:val="004B1EBF"/>
    <w:rsid w:val="004B20D2"/>
    <w:rsid w:val="004B4F92"/>
    <w:rsid w:val="004B6074"/>
    <w:rsid w:val="004B6F1E"/>
    <w:rsid w:val="004C2B7C"/>
    <w:rsid w:val="004C4A13"/>
    <w:rsid w:val="004C4AB3"/>
    <w:rsid w:val="004D0C5E"/>
    <w:rsid w:val="004D3309"/>
    <w:rsid w:val="004D70CF"/>
    <w:rsid w:val="004E1CBF"/>
    <w:rsid w:val="004F3427"/>
    <w:rsid w:val="00501044"/>
    <w:rsid w:val="00504028"/>
    <w:rsid w:val="005061EB"/>
    <w:rsid w:val="00511C73"/>
    <w:rsid w:val="0051217D"/>
    <w:rsid w:val="00512EC5"/>
    <w:rsid w:val="00514CD2"/>
    <w:rsid w:val="00517C9D"/>
    <w:rsid w:val="005222E3"/>
    <w:rsid w:val="005233CC"/>
    <w:rsid w:val="00526AE4"/>
    <w:rsid w:val="00527F0C"/>
    <w:rsid w:val="005304C3"/>
    <w:rsid w:val="005306FF"/>
    <w:rsid w:val="00532734"/>
    <w:rsid w:val="005333D0"/>
    <w:rsid w:val="00535DB0"/>
    <w:rsid w:val="00544D74"/>
    <w:rsid w:val="00547406"/>
    <w:rsid w:val="005507BA"/>
    <w:rsid w:val="00550E03"/>
    <w:rsid w:val="00552BF9"/>
    <w:rsid w:val="00556F4B"/>
    <w:rsid w:val="00560E71"/>
    <w:rsid w:val="00563181"/>
    <w:rsid w:val="00565E90"/>
    <w:rsid w:val="00566F9F"/>
    <w:rsid w:val="005679E1"/>
    <w:rsid w:val="00571EDE"/>
    <w:rsid w:val="00573066"/>
    <w:rsid w:val="005821A9"/>
    <w:rsid w:val="00582269"/>
    <w:rsid w:val="0058421F"/>
    <w:rsid w:val="00586DE4"/>
    <w:rsid w:val="00590A59"/>
    <w:rsid w:val="005A4366"/>
    <w:rsid w:val="005B5731"/>
    <w:rsid w:val="005B73C8"/>
    <w:rsid w:val="005B7D6D"/>
    <w:rsid w:val="005C2F46"/>
    <w:rsid w:val="005C40AF"/>
    <w:rsid w:val="005C4D26"/>
    <w:rsid w:val="005C5EAA"/>
    <w:rsid w:val="005D0745"/>
    <w:rsid w:val="005D2419"/>
    <w:rsid w:val="005D244C"/>
    <w:rsid w:val="005D2B60"/>
    <w:rsid w:val="005D5D75"/>
    <w:rsid w:val="005D76D3"/>
    <w:rsid w:val="005E16A4"/>
    <w:rsid w:val="005E1825"/>
    <w:rsid w:val="005E64F9"/>
    <w:rsid w:val="005E7A9D"/>
    <w:rsid w:val="005F1A1C"/>
    <w:rsid w:val="005F5878"/>
    <w:rsid w:val="00601E48"/>
    <w:rsid w:val="00605E74"/>
    <w:rsid w:val="00606CFE"/>
    <w:rsid w:val="006074A2"/>
    <w:rsid w:val="00613287"/>
    <w:rsid w:val="006148F4"/>
    <w:rsid w:val="00614F9D"/>
    <w:rsid w:val="00615537"/>
    <w:rsid w:val="0061776B"/>
    <w:rsid w:val="00621169"/>
    <w:rsid w:val="00623BCB"/>
    <w:rsid w:val="0063157A"/>
    <w:rsid w:val="006323AC"/>
    <w:rsid w:val="006324B4"/>
    <w:rsid w:val="006355FB"/>
    <w:rsid w:val="00636A3B"/>
    <w:rsid w:val="00637DFB"/>
    <w:rsid w:val="00637F0D"/>
    <w:rsid w:val="00637F4E"/>
    <w:rsid w:val="00645250"/>
    <w:rsid w:val="006501B4"/>
    <w:rsid w:val="006513A2"/>
    <w:rsid w:val="00652842"/>
    <w:rsid w:val="00656FB9"/>
    <w:rsid w:val="00664500"/>
    <w:rsid w:val="00664A9C"/>
    <w:rsid w:val="0067128B"/>
    <w:rsid w:val="00671AD4"/>
    <w:rsid w:val="00674220"/>
    <w:rsid w:val="00687341"/>
    <w:rsid w:val="0068772E"/>
    <w:rsid w:val="00690F74"/>
    <w:rsid w:val="006952FA"/>
    <w:rsid w:val="00696FC0"/>
    <w:rsid w:val="0069783C"/>
    <w:rsid w:val="006A2FBE"/>
    <w:rsid w:val="006A7137"/>
    <w:rsid w:val="006B000F"/>
    <w:rsid w:val="006B187A"/>
    <w:rsid w:val="006B341A"/>
    <w:rsid w:val="006B5569"/>
    <w:rsid w:val="006B64E1"/>
    <w:rsid w:val="006C18C1"/>
    <w:rsid w:val="006C473B"/>
    <w:rsid w:val="006C4D10"/>
    <w:rsid w:val="006C5BFB"/>
    <w:rsid w:val="006C6499"/>
    <w:rsid w:val="006C7CF2"/>
    <w:rsid w:val="006C7FEC"/>
    <w:rsid w:val="006D1A65"/>
    <w:rsid w:val="006D20A2"/>
    <w:rsid w:val="006D42D1"/>
    <w:rsid w:val="006D4EB9"/>
    <w:rsid w:val="006D60EB"/>
    <w:rsid w:val="006D7808"/>
    <w:rsid w:val="006D7BDE"/>
    <w:rsid w:val="006E3633"/>
    <w:rsid w:val="006E7AE6"/>
    <w:rsid w:val="006F0BFC"/>
    <w:rsid w:val="006F0F41"/>
    <w:rsid w:val="006F3C39"/>
    <w:rsid w:val="006F45C3"/>
    <w:rsid w:val="006F68FA"/>
    <w:rsid w:val="006F79A3"/>
    <w:rsid w:val="006F7C59"/>
    <w:rsid w:val="0070337D"/>
    <w:rsid w:val="00704186"/>
    <w:rsid w:val="00705B58"/>
    <w:rsid w:val="007142E1"/>
    <w:rsid w:val="00715272"/>
    <w:rsid w:val="007245DB"/>
    <w:rsid w:val="00731E2D"/>
    <w:rsid w:val="00735CFE"/>
    <w:rsid w:val="00735D4D"/>
    <w:rsid w:val="00736D02"/>
    <w:rsid w:val="00746BDA"/>
    <w:rsid w:val="00750FED"/>
    <w:rsid w:val="0075364F"/>
    <w:rsid w:val="00753800"/>
    <w:rsid w:val="007552A0"/>
    <w:rsid w:val="00756F1B"/>
    <w:rsid w:val="00762BA6"/>
    <w:rsid w:val="00763BB2"/>
    <w:rsid w:val="00766432"/>
    <w:rsid w:val="00771B41"/>
    <w:rsid w:val="0077217B"/>
    <w:rsid w:val="00774DE6"/>
    <w:rsid w:val="00775BDC"/>
    <w:rsid w:val="00780743"/>
    <w:rsid w:val="00782759"/>
    <w:rsid w:val="00785DB2"/>
    <w:rsid w:val="007924D9"/>
    <w:rsid w:val="00793313"/>
    <w:rsid w:val="00793984"/>
    <w:rsid w:val="007A4077"/>
    <w:rsid w:val="007A5EF8"/>
    <w:rsid w:val="007A699E"/>
    <w:rsid w:val="007B3CB6"/>
    <w:rsid w:val="007B617A"/>
    <w:rsid w:val="007B781C"/>
    <w:rsid w:val="007C00D9"/>
    <w:rsid w:val="007C47B0"/>
    <w:rsid w:val="007C4A7C"/>
    <w:rsid w:val="007C69CC"/>
    <w:rsid w:val="007D3DA0"/>
    <w:rsid w:val="007D48A1"/>
    <w:rsid w:val="007D56BA"/>
    <w:rsid w:val="007D5938"/>
    <w:rsid w:val="007E2700"/>
    <w:rsid w:val="007E3D5F"/>
    <w:rsid w:val="007E5A0E"/>
    <w:rsid w:val="007E6A7E"/>
    <w:rsid w:val="007E75BA"/>
    <w:rsid w:val="007F045B"/>
    <w:rsid w:val="007F0BFC"/>
    <w:rsid w:val="007F0F47"/>
    <w:rsid w:val="007F1AE3"/>
    <w:rsid w:val="007F2290"/>
    <w:rsid w:val="007F2D79"/>
    <w:rsid w:val="007F4964"/>
    <w:rsid w:val="007F4D7D"/>
    <w:rsid w:val="007F5BE0"/>
    <w:rsid w:val="007F5C1E"/>
    <w:rsid w:val="00802BF7"/>
    <w:rsid w:val="00803BD7"/>
    <w:rsid w:val="00804086"/>
    <w:rsid w:val="00805CC5"/>
    <w:rsid w:val="00821A50"/>
    <w:rsid w:val="00834C5F"/>
    <w:rsid w:val="0083603C"/>
    <w:rsid w:val="00836AB5"/>
    <w:rsid w:val="00840B26"/>
    <w:rsid w:val="00841C54"/>
    <w:rsid w:val="008423D2"/>
    <w:rsid w:val="00842A00"/>
    <w:rsid w:val="008535F0"/>
    <w:rsid w:val="008656DE"/>
    <w:rsid w:val="00865A6C"/>
    <w:rsid w:val="0087287E"/>
    <w:rsid w:val="00873B15"/>
    <w:rsid w:val="00875EA3"/>
    <w:rsid w:val="00876379"/>
    <w:rsid w:val="00881AEF"/>
    <w:rsid w:val="00884ED3"/>
    <w:rsid w:val="008852A8"/>
    <w:rsid w:val="008956AB"/>
    <w:rsid w:val="008961BE"/>
    <w:rsid w:val="00897C8C"/>
    <w:rsid w:val="008A5AC1"/>
    <w:rsid w:val="008B02D3"/>
    <w:rsid w:val="008B05AE"/>
    <w:rsid w:val="008B4E75"/>
    <w:rsid w:val="008B6AAE"/>
    <w:rsid w:val="008B7218"/>
    <w:rsid w:val="008C0A9A"/>
    <w:rsid w:val="008C3428"/>
    <w:rsid w:val="008C50F9"/>
    <w:rsid w:val="008C5796"/>
    <w:rsid w:val="008D2A9B"/>
    <w:rsid w:val="008D67EE"/>
    <w:rsid w:val="008D6B38"/>
    <w:rsid w:val="008D6E29"/>
    <w:rsid w:val="008D71E0"/>
    <w:rsid w:val="008E0874"/>
    <w:rsid w:val="008E32E8"/>
    <w:rsid w:val="008E5CC0"/>
    <w:rsid w:val="008E7C0B"/>
    <w:rsid w:val="008F2528"/>
    <w:rsid w:val="008F6E7E"/>
    <w:rsid w:val="008F709C"/>
    <w:rsid w:val="008F7466"/>
    <w:rsid w:val="009012F2"/>
    <w:rsid w:val="00904146"/>
    <w:rsid w:val="00905FC4"/>
    <w:rsid w:val="00907EC7"/>
    <w:rsid w:val="00910D61"/>
    <w:rsid w:val="00917BDB"/>
    <w:rsid w:val="00921A5F"/>
    <w:rsid w:val="00923BB3"/>
    <w:rsid w:val="00926202"/>
    <w:rsid w:val="009266DA"/>
    <w:rsid w:val="00931296"/>
    <w:rsid w:val="00933F5C"/>
    <w:rsid w:val="00935795"/>
    <w:rsid w:val="00942BDA"/>
    <w:rsid w:val="00945DA0"/>
    <w:rsid w:val="00947D6F"/>
    <w:rsid w:val="009549EF"/>
    <w:rsid w:val="009553C0"/>
    <w:rsid w:val="0095566F"/>
    <w:rsid w:val="00955ABF"/>
    <w:rsid w:val="009562EA"/>
    <w:rsid w:val="00960326"/>
    <w:rsid w:val="00962017"/>
    <w:rsid w:val="00965EE2"/>
    <w:rsid w:val="00971011"/>
    <w:rsid w:val="00972EBE"/>
    <w:rsid w:val="0097523A"/>
    <w:rsid w:val="00980E5C"/>
    <w:rsid w:val="00983DA8"/>
    <w:rsid w:val="009842D8"/>
    <w:rsid w:val="00996D1F"/>
    <w:rsid w:val="00996E7E"/>
    <w:rsid w:val="009A0319"/>
    <w:rsid w:val="009A0953"/>
    <w:rsid w:val="009B01B2"/>
    <w:rsid w:val="009B04F3"/>
    <w:rsid w:val="009B3B10"/>
    <w:rsid w:val="009B3F6A"/>
    <w:rsid w:val="009B4AF8"/>
    <w:rsid w:val="009B4CFA"/>
    <w:rsid w:val="009B5ED4"/>
    <w:rsid w:val="009B5FDC"/>
    <w:rsid w:val="009C11E0"/>
    <w:rsid w:val="009C2713"/>
    <w:rsid w:val="009C4200"/>
    <w:rsid w:val="009C7A29"/>
    <w:rsid w:val="009D2A04"/>
    <w:rsid w:val="009D4485"/>
    <w:rsid w:val="009D6D51"/>
    <w:rsid w:val="009F340D"/>
    <w:rsid w:val="009F40CA"/>
    <w:rsid w:val="009F6672"/>
    <w:rsid w:val="009F7510"/>
    <w:rsid w:val="00A025D1"/>
    <w:rsid w:val="00A0345E"/>
    <w:rsid w:val="00A03EF6"/>
    <w:rsid w:val="00A04E6C"/>
    <w:rsid w:val="00A127E5"/>
    <w:rsid w:val="00A148E4"/>
    <w:rsid w:val="00A16AC1"/>
    <w:rsid w:val="00A16ADA"/>
    <w:rsid w:val="00A17461"/>
    <w:rsid w:val="00A22C8D"/>
    <w:rsid w:val="00A23219"/>
    <w:rsid w:val="00A24F39"/>
    <w:rsid w:val="00A25234"/>
    <w:rsid w:val="00A27FBA"/>
    <w:rsid w:val="00A32E01"/>
    <w:rsid w:val="00A33326"/>
    <w:rsid w:val="00A35E7D"/>
    <w:rsid w:val="00A35EFA"/>
    <w:rsid w:val="00A45127"/>
    <w:rsid w:val="00A45409"/>
    <w:rsid w:val="00A46EF2"/>
    <w:rsid w:val="00A5618A"/>
    <w:rsid w:val="00A61255"/>
    <w:rsid w:val="00A61840"/>
    <w:rsid w:val="00A61CEA"/>
    <w:rsid w:val="00A626CD"/>
    <w:rsid w:val="00A641C9"/>
    <w:rsid w:val="00A644A3"/>
    <w:rsid w:val="00A67741"/>
    <w:rsid w:val="00A71058"/>
    <w:rsid w:val="00A72429"/>
    <w:rsid w:val="00A72CD9"/>
    <w:rsid w:val="00A77ADF"/>
    <w:rsid w:val="00A866DC"/>
    <w:rsid w:val="00A867BA"/>
    <w:rsid w:val="00A87861"/>
    <w:rsid w:val="00A91837"/>
    <w:rsid w:val="00A91A88"/>
    <w:rsid w:val="00A93151"/>
    <w:rsid w:val="00A96832"/>
    <w:rsid w:val="00AA2C35"/>
    <w:rsid w:val="00AA2C75"/>
    <w:rsid w:val="00AA2F80"/>
    <w:rsid w:val="00AA3379"/>
    <w:rsid w:val="00AA3D00"/>
    <w:rsid w:val="00AA6744"/>
    <w:rsid w:val="00AA6ADF"/>
    <w:rsid w:val="00AB73DC"/>
    <w:rsid w:val="00AC02E9"/>
    <w:rsid w:val="00AC2E24"/>
    <w:rsid w:val="00AC362D"/>
    <w:rsid w:val="00AC4027"/>
    <w:rsid w:val="00AC6AA6"/>
    <w:rsid w:val="00AD1115"/>
    <w:rsid w:val="00AD6C40"/>
    <w:rsid w:val="00AD7CBC"/>
    <w:rsid w:val="00AD7CE5"/>
    <w:rsid w:val="00AE0303"/>
    <w:rsid w:val="00AE059D"/>
    <w:rsid w:val="00AE5CE2"/>
    <w:rsid w:val="00AE658D"/>
    <w:rsid w:val="00AE6E5B"/>
    <w:rsid w:val="00AF09D0"/>
    <w:rsid w:val="00AF5632"/>
    <w:rsid w:val="00AF78FD"/>
    <w:rsid w:val="00B0107E"/>
    <w:rsid w:val="00B01537"/>
    <w:rsid w:val="00B05543"/>
    <w:rsid w:val="00B05C8E"/>
    <w:rsid w:val="00B06466"/>
    <w:rsid w:val="00B1591E"/>
    <w:rsid w:val="00B2551D"/>
    <w:rsid w:val="00B27B16"/>
    <w:rsid w:val="00B30E83"/>
    <w:rsid w:val="00B3173A"/>
    <w:rsid w:val="00B378FF"/>
    <w:rsid w:val="00B42E74"/>
    <w:rsid w:val="00B47D80"/>
    <w:rsid w:val="00B5033E"/>
    <w:rsid w:val="00B504C9"/>
    <w:rsid w:val="00B53135"/>
    <w:rsid w:val="00B61B67"/>
    <w:rsid w:val="00B61EF8"/>
    <w:rsid w:val="00B62989"/>
    <w:rsid w:val="00B63807"/>
    <w:rsid w:val="00B707CA"/>
    <w:rsid w:val="00B72373"/>
    <w:rsid w:val="00B76706"/>
    <w:rsid w:val="00B7722C"/>
    <w:rsid w:val="00B81743"/>
    <w:rsid w:val="00B8277C"/>
    <w:rsid w:val="00B83CEE"/>
    <w:rsid w:val="00B84981"/>
    <w:rsid w:val="00B85F5C"/>
    <w:rsid w:val="00B874DD"/>
    <w:rsid w:val="00B91DA9"/>
    <w:rsid w:val="00B93933"/>
    <w:rsid w:val="00B942EA"/>
    <w:rsid w:val="00BA2749"/>
    <w:rsid w:val="00BB1883"/>
    <w:rsid w:val="00BB712E"/>
    <w:rsid w:val="00BB7AE7"/>
    <w:rsid w:val="00BC047B"/>
    <w:rsid w:val="00BC0B77"/>
    <w:rsid w:val="00BC277D"/>
    <w:rsid w:val="00BC50CC"/>
    <w:rsid w:val="00BC5510"/>
    <w:rsid w:val="00BD5FF4"/>
    <w:rsid w:val="00BD73E7"/>
    <w:rsid w:val="00BE26D8"/>
    <w:rsid w:val="00BF1F88"/>
    <w:rsid w:val="00BF1FA9"/>
    <w:rsid w:val="00BF3D61"/>
    <w:rsid w:val="00BF5062"/>
    <w:rsid w:val="00BF5157"/>
    <w:rsid w:val="00BF6110"/>
    <w:rsid w:val="00C01794"/>
    <w:rsid w:val="00C032BE"/>
    <w:rsid w:val="00C048EE"/>
    <w:rsid w:val="00C05791"/>
    <w:rsid w:val="00C05E32"/>
    <w:rsid w:val="00C06702"/>
    <w:rsid w:val="00C11CED"/>
    <w:rsid w:val="00C12BCA"/>
    <w:rsid w:val="00C12EC2"/>
    <w:rsid w:val="00C13231"/>
    <w:rsid w:val="00C152BC"/>
    <w:rsid w:val="00C171A9"/>
    <w:rsid w:val="00C17572"/>
    <w:rsid w:val="00C179AF"/>
    <w:rsid w:val="00C20478"/>
    <w:rsid w:val="00C22715"/>
    <w:rsid w:val="00C2374F"/>
    <w:rsid w:val="00C24B53"/>
    <w:rsid w:val="00C26575"/>
    <w:rsid w:val="00C2681F"/>
    <w:rsid w:val="00C27006"/>
    <w:rsid w:val="00C317C8"/>
    <w:rsid w:val="00C33519"/>
    <w:rsid w:val="00C33CE1"/>
    <w:rsid w:val="00C3442F"/>
    <w:rsid w:val="00C368E9"/>
    <w:rsid w:val="00C402F6"/>
    <w:rsid w:val="00C4154A"/>
    <w:rsid w:val="00C4204E"/>
    <w:rsid w:val="00C42192"/>
    <w:rsid w:val="00C44BFD"/>
    <w:rsid w:val="00C52982"/>
    <w:rsid w:val="00C5364C"/>
    <w:rsid w:val="00C5500C"/>
    <w:rsid w:val="00C56797"/>
    <w:rsid w:val="00C62795"/>
    <w:rsid w:val="00C64538"/>
    <w:rsid w:val="00C65330"/>
    <w:rsid w:val="00C66982"/>
    <w:rsid w:val="00C66DE9"/>
    <w:rsid w:val="00C70BBD"/>
    <w:rsid w:val="00C71235"/>
    <w:rsid w:val="00C71859"/>
    <w:rsid w:val="00C73218"/>
    <w:rsid w:val="00C746C7"/>
    <w:rsid w:val="00C763A3"/>
    <w:rsid w:val="00C779A2"/>
    <w:rsid w:val="00C84381"/>
    <w:rsid w:val="00C863EA"/>
    <w:rsid w:val="00C9156A"/>
    <w:rsid w:val="00C92165"/>
    <w:rsid w:val="00C946E9"/>
    <w:rsid w:val="00C9652C"/>
    <w:rsid w:val="00CA1EEE"/>
    <w:rsid w:val="00CA2E30"/>
    <w:rsid w:val="00CA5E21"/>
    <w:rsid w:val="00CA6202"/>
    <w:rsid w:val="00CA7F05"/>
    <w:rsid w:val="00CB00A9"/>
    <w:rsid w:val="00CB06F7"/>
    <w:rsid w:val="00CB0DD5"/>
    <w:rsid w:val="00CB10D3"/>
    <w:rsid w:val="00CB2A7E"/>
    <w:rsid w:val="00CB3A2B"/>
    <w:rsid w:val="00CC2703"/>
    <w:rsid w:val="00CC2E0B"/>
    <w:rsid w:val="00CC3DF6"/>
    <w:rsid w:val="00CC3E29"/>
    <w:rsid w:val="00CC7198"/>
    <w:rsid w:val="00CD23F1"/>
    <w:rsid w:val="00CD2DD4"/>
    <w:rsid w:val="00CD50F8"/>
    <w:rsid w:val="00CE1299"/>
    <w:rsid w:val="00CE59A8"/>
    <w:rsid w:val="00CE6E34"/>
    <w:rsid w:val="00CF2338"/>
    <w:rsid w:val="00CF30F4"/>
    <w:rsid w:val="00CF4626"/>
    <w:rsid w:val="00CF58A4"/>
    <w:rsid w:val="00CF74C4"/>
    <w:rsid w:val="00D02631"/>
    <w:rsid w:val="00D026D3"/>
    <w:rsid w:val="00D03EB1"/>
    <w:rsid w:val="00D044A1"/>
    <w:rsid w:val="00D05983"/>
    <w:rsid w:val="00D0677C"/>
    <w:rsid w:val="00D107F4"/>
    <w:rsid w:val="00D12391"/>
    <w:rsid w:val="00D1411E"/>
    <w:rsid w:val="00D15BBB"/>
    <w:rsid w:val="00D168CC"/>
    <w:rsid w:val="00D21B8E"/>
    <w:rsid w:val="00D25266"/>
    <w:rsid w:val="00D26847"/>
    <w:rsid w:val="00D31A4B"/>
    <w:rsid w:val="00D341FB"/>
    <w:rsid w:val="00D379C3"/>
    <w:rsid w:val="00D40B01"/>
    <w:rsid w:val="00D523FC"/>
    <w:rsid w:val="00D53E80"/>
    <w:rsid w:val="00D56031"/>
    <w:rsid w:val="00D56D98"/>
    <w:rsid w:val="00D5756D"/>
    <w:rsid w:val="00D60D4C"/>
    <w:rsid w:val="00D60E8E"/>
    <w:rsid w:val="00D613DA"/>
    <w:rsid w:val="00D6724C"/>
    <w:rsid w:val="00D7015F"/>
    <w:rsid w:val="00D715CC"/>
    <w:rsid w:val="00D71955"/>
    <w:rsid w:val="00D72149"/>
    <w:rsid w:val="00D7249C"/>
    <w:rsid w:val="00D73493"/>
    <w:rsid w:val="00D75B17"/>
    <w:rsid w:val="00D76075"/>
    <w:rsid w:val="00D80E77"/>
    <w:rsid w:val="00D80EC9"/>
    <w:rsid w:val="00D81280"/>
    <w:rsid w:val="00D839ED"/>
    <w:rsid w:val="00D86128"/>
    <w:rsid w:val="00D8646A"/>
    <w:rsid w:val="00D90AAB"/>
    <w:rsid w:val="00D91516"/>
    <w:rsid w:val="00D91DED"/>
    <w:rsid w:val="00D91FF4"/>
    <w:rsid w:val="00D97973"/>
    <w:rsid w:val="00DA05E7"/>
    <w:rsid w:val="00DA3480"/>
    <w:rsid w:val="00DA6C21"/>
    <w:rsid w:val="00DB251B"/>
    <w:rsid w:val="00DB34CC"/>
    <w:rsid w:val="00DB37B8"/>
    <w:rsid w:val="00DB3FE3"/>
    <w:rsid w:val="00DB724A"/>
    <w:rsid w:val="00DC0205"/>
    <w:rsid w:val="00DC238A"/>
    <w:rsid w:val="00DC30F4"/>
    <w:rsid w:val="00DC3B3D"/>
    <w:rsid w:val="00DC418A"/>
    <w:rsid w:val="00DC5FE6"/>
    <w:rsid w:val="00DC67AD"/>
    <w:rsid w:val="00DC7BD7"/>
    <w:rsid w:val="00DD4344"/>
    <w:rsid w:val="00DD5B2E"/>
    <w:rsid w:val="00DD7BC7"/>
    <w:rsid w:val="00DD7F68"/>
    <w:rsid w:val="00DF0610"/>
    <w:rsid w:val="00DF44F7"/>
    <w:rsid w:val="00DF465D"/>
    <w:rsid w:val="00DF5D0D"/>
    <w:rsid w:val="00E031EF"/>
    <w:rsid w:val="00E07170"/>
    <w:rsid w:val="00E11358"/>
    <w:rsid w:val="00E229F7"/>
    <w:rsid w:val="00E24F71"/>
    <w:rsid w:val="00E25AF7"/>
    <w:rsid w:val="00E25BBD"/>
    <w:rsid w:val="00E26452"/>
    <w:rsid w:val="00E267D0"/>
    <w:rsid w:val="00E309EE"/>
    <w:rsid w:val="00E323CB"/>
    <w:rsid w:val="00E32FA3"/>
    <w:rsid w:val="00E42985"/>
    <w:rsid w:val="00E433B4"/>
    <w:rsid w:val="00E43CFC"/>
    <w:rsid w:val="00E45685"/>
    <w:rsid w:val="00E5344F"/>
    <w:rsid w:val="00E61B48"/>
    <w:rsid w:val="00E63422"/>
    <w:rsid w:val="00E638CB"/>
    <w:rsid w:val="00E66CF5"/>
    <w:rsid w:val="00E67087"/>
    <w:rsid w:val="00E67926"/>
    <w:rsid w:val="00E7164F"/>
    <w:rsid w:val="00E74C11"/>
    <w:rsid w:val="00E81318"/>
    <w:rsid w:val="00E91F81"/>
    <w:rsid w:val="00E94EE0"/>
    <w:rsid w:val="00E9679B"/>
    <w:rsid w:val="00E96FF5"/>
    <w:rsid w:val="00EA0D80"/>
    <w:rsid w:val="00EA2724"/>
    <w:rsid w:val="00EA4471"/>
    <w:rsid w:val="00EA665D"/>
    <w:rsid w:val="00EB0A7C"/>
    <w:rsid w:val="00EB12F4"/>
    <w:rsid w:val="00EB1BA5"/>
    <w:rsid w:val="00EB3142"/>
    <w:rsid w:val="00EB3F6E"/>
    <w:rsid w:val="00EB5DEA"/>
    <w:rsid w:val="00EB6E78"/>
    <w:rsid w:val="00EC105F"/>
    <w:rsid w:val="00EC1880"/>
    <w:rsid w:val="00EC23B4"/>
    <w:rsid w:val="00EC3914"/>
    <w:rsid w:val="00EC5F10"/>
    <w:rsid w:val="00ED1B20"/>
    <w:rsid w:val="00ED2692"/>
    <w:rsid w:val="00ED3993"/>
    <w:rsid w:val="00ED750C"/>
    <w:rsid w:val="00EE02DA"/>
    <w:rsid w:val="00EE0922"/>
    <w:rsid w:val="00EE1A75"/>
    <w:rsid w:val="00EE5C1F"/>
    <w:rsid w:val="00EE7984"/>
    <w:rsid w:val="00EF099D"/>
    <w:rsid w:val="00EF0ED5"/>
    <w:rsid w:val="00EF265A"/>
    <w:rsid w:val="00EF3A95"/>
    <w:rsid w:val="00EF6181"/>
    <w:rsid w:val="00EF77EA"/>
    <w:rsid w:val="00F01229"/>
    <w:rsid w:val="00F034A3"/>
    <w:rsid w:val="00F13E32"/>
    <w:rsid w:val="00F1444D"/>
    <w:rsid w:val="00F21C10"/>
    <w:rsid w:val="00F21F22"/>
    <w:rsid w:val="00F237D5"/>
    <w:rsid w:val="00F259F8"/>
    <w:rsid w:val="00F26C26"/>
    <w:rsid w:val="00F271C0"/>
    <w:rsid w:val="00F27C6B"/>
    <w:rsid w:val="00F308C8"/>
    <w:rsid w:val="00F320D6"/>
    <w:rsid w:val="00F36304"/>
    <w:rsid w:val="00F41E8D"/>
    <w:rsid w:val="00F55541"/>
    <w:rsid w:val="00F575F7"/>
    <w:rsid w:val="00F609FC"/>
    <w:rsid w:val="00F636E9"/>
    <w:rsid w:val="00F65B11"/>
    <w:rsid w:val="00F66444"/>
    <w:rsid w:val="00F713FC"/>
    <w:rsid w:val="00F71F27"/>
    <w:rsid w:val="00F74F33"/>
    <w:rsid w:val="00F80CDE"/>
    <w:rsid w:val="00F826A7"/>
    <w:rsid w:val="00F8284A"/>
    <w:rsid w:val="00F9619F"/>
    <w:rsid w:val="00F972EF"/>
    <w:rsid w:val="00FA3E66"/>
    <w:rsid w:val="00FA4142"/>
    <w:rsid w:val="00FA75B9"/>
    <w:rsid w:val="00FB2B17"/>
    <w:rsid w:val="00FB2E5D"/>
    <w:rsid w:val="00FB554C"/>
    <w:rsid w:val="00FC1C2D"/>
    <w:rsid w:val="00FC327F"/>
    <w:rsid w:val="00FC371E"/>
    <w:rsid w:val="00FC3FDB"/>
    <w:rsid w:val="00FC51C6"/>
    <w:rsid w:val="00FC5B6B"/>
    <w:rsid w:val="00FC624B"/>
    <w:rsid w:val="00FC62D9"/>
    <w:rsid w:val="00FD2EF2"/>
    <w:rsid w:val="00FD4027"/>
    <w:rsid w:val="00FE0AC3"/>
    <w:rsid w:val="00FE3441"/>
    <w:rsid w:val="00FE7833"/>
    <w:rsid w:val="00FE7F54"/>
    <w:rsid w:val="00FF5F4C"/>
    <w:rsid w:val="00FF613D"/>
    <w:rsid w:val="00FF6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 w:type="paragraph" w:customStyle="1" w:styleId="lg-section">
    <w:name w:val="lg-section"/>
    <w:basedOn w:val="Normal"/>
    <w:rsid w:val="00947D6F"/>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paragraph" w:customStyle="1" w:styleId="lg-a-1">
    <w:name w:val="lg-a-1"/>
    <w:basedOn w:val="Normal"/>
    <w:rsid w:val="00947D6F"/>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paragraph" w:customStyle="1" w:styleId="lg-para3">
    <w:name w:val="lg-para3"/>
    <w:basedOn w:val="Normal"/>
    <w:rsid w:val="00947D6F"/>
    <w:pPr>
      <w:spacing w:before="100" w:beforeAutospacing="1" w:after="100" w:afterAutospacing="1" w:line="240" w:lineRule="auto"/>
      <w:jc w:val="left"/>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5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09C2-9A8B-4642-AD0D-1BBF4014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6120</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Mokone</cp:lastModifiedBy>
  <cp:revision>2</cp:revision>
  <cp:lastPrinted>2023-04-28T08:20:00Z</cp:lastPrinted>
  <dcterms:created xsi:type="dcterms:W3CDTF">2023-05-08T14:22:00Z</dcterms:created>
  <dcterms:modified xsi:type="dcterms:W3CDTF">2023-05-08T14:22:00Z</dcterms:modified>
</cp:coreProperties>
</file>