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56D5" w14:textId="77777777" w:rsidR="004514F5" w:rsidRPr="004B1700" w:rsidRDefault="004514F5" w:rsidP="004514F5">
      <w:pPr>
        <w:jc w:val="center"/>
        <w:rPr>
          <w:b/>
          <w:bCs/>
          <w:sz w:val="28"/>
          <w:szCs w:val="28"/>
        </w:rPr>
      </w:pPr>
    </w:p>
    <w:p w14:paraId="5DB1FA00" w14:textId="77777777" w:rsidR="004514F5" w:rsidRPr="004B1700" w:rsidRDefault="004514F5" w:rsidP="004514F5">
      <w:pPr>
        <w:jc w:val="center"/>
        <w:rPr>
          <w:b/>
          <w:bCs/>
          <w:sz w:val="28"/>
          <w:szCs w:val="28"/>
        </w:rPr>
      </w:pPr>
    </w:p>
    <w:p w14:paraId="0FD0BCED" w14:textId="77777777" w:rsidR="004514F5" w:rsidRPr="00FB564C" w:rsidRDefault="004514F5" w:rsidP="004514F5">
      <w:pPr>
        <w:jc w:val="center"/>
        <w:rPr>
          <w:b/>
          <w:bCs/>
          <w:sz w:val="28"/>
          <w:szCs w:val="28"/>
        </w:rPr>
      </w:pPr>
      <w:r w:rsidRPr="00FB564C">
        <w:rPr>
          <w:noProof/>
          <w:sz w:val="28"/>
          <w:szCs w:val="28"/>
          <w:lang w:val="en-US"/>
        </w:rPr>
        <w:drawing>
          <wp:anchor distT="0" distB="0" distL="114300" distR="114300" simplePos="0" relativeHeight="251663360" behindDoc="0" locked="0" layoutInCell="1" allowOverlap="1" wp14:anchorId="7942E2C6" wp14:editId="1602CEAD">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5EC8B4A" w14:textId="77777777" w:rsidR="004514F5" w:rsidRPr="00FB564C" w:rsidRDefault="004514F5" w:rsidP="004514F5">
      <w:pPr>
        <w:rPr>
          <w:b/>
          <w:bCs/>
          <w:sz w:val="28"/>
          <w:szCs w:val="28"/>
        </w:rPr>
      </w:pPr>
    </w:p>
    <w:p w14:paraId="6EA882C0" w14:textId="77777777" w:rsidR="004514F5" w:rsidRPr="00FB564C" w:rsidRDefault="004514F5" w:rsidP="004514F5">
      <w:pPr>
        <w:jc w:val="center"/>
        <w:rPr>
          <w:b/>
          <w:bCs/>
          <w:sz w:val="28"/>
          <w:szCs w:val="28"/>
        </w:rPr>
      </w:pPr>
      <w:r w:rsidRPr="00FB564C">
        <w:rPr>
          <w:b/>
          <w:bCs/>
          <w:sz w:val="28"/>
          <w:szCs w:val="28"/>
        </w:rPr>
        <w:t>THE SUPREME COURT OF APPEAL OF SOUTH AFRICA</w:t>
      </w:r>
    </w:p>
    <w:p w14:paraId="51ACFD08" w14:textId="77777777" w:rsidR="004514F5" w:rsidRPr="00FB564C" w:rsidRDefault="004514F5" w:rsidP="004514F5">
      <w:pPr>
        <w:pStyle w:val="Heading3"/>
        <w:jc w:val="center"/>
        <w:rPr>
          <w:rFonts w:ascii="Times New Roman" w:hAnsi="Times New Roman" w:cs="Times New Roman"/>
          <w:b/>
          <w:i w:val="0"/>
          <w:szCs w:val="28"/>
        </w:rPr>
      </w:pPr>
      <w:r w:rsidRPr="00FB564C">
        <w:rPr>
          <w:rFonts w:ascii="Times New Roman" w:hAnsi="Times New Roman" w:cs="Times New Roman"/>
          <w:b/>
          <w:i w:val="0"/>
          <w:szCs w:val="28"/>
        </w:rPr>
        <w:t>JUDGMENT</w:t>
      </w:r>
    </w:p>
    <w:p w14:paraId="7473EA5A" w14:textId="529A5F97" w:rsidR="0014461C" w:rsidRPr="00FB564C" w:rsidRDefault="004514F5" w:rsidP="00F23250">
      <w:pPr>
        <w:spacing w:before="120"/>
        <w:jc w:val="right"/>
        <w:rPr>
          <w:bCs/>
          <w:sz w:val="28"/>
          <w:szCs w:val="28"/>
        </w:rPr>
      </w:pPr>
      <w:r w:rsidRPr="00FB564C">
        <w:rPr>
          <w:b/>
          <w:sz w:val="28"/>
          <w:szCs w:val="28"/>
        </w:rPr>
        <w:t>Not Reportable</w:t>
      </w:r>
    </w:p>
    <w:p w14:paraId="1DF285B8" w14:textId="3F06CEA9" w:rsidR="004514F5" w:rsidRPr="00FB564C" w:rsidRDefault="004514F5" w:rsidP="000723CE">
      <w:pPr>
        <w:tabs>
          <w:tab w:val="right" w:pos="9214"/>
        </w:tabs>
        <w:rPr>
          <w:bCs/>
          <w:sz w:val="28"/>
          <w:szCs w:val="28"/>
        </w:rPr>
      </w:pPr>
      <w:r w:rsidRPr="00FB564C">
        <w:rPr>
          <w:b/>
          <w:sz w:val="28"/>
          <w:szCs w:val="28"/>
        </w:rPr>
        <w:t xml:space="preserve">                                                                           </w:t>
      </w:r>
      <w:r w:rsidR="0045226F" w:rsidRPr="00FB564C">
        <w:rPr>
          <w:b/>
          <w:sz w:val="28"/>
          <w:szCs w:val="28"/>
        </w:rPr>
        <w:t xml:space="preserve"> </w:t>
      </w:r>
      <w:r w:rsidRPr="00FB564C">
        <w:rPr>
          <w:b/>
          <w:sz w:val="28"/>
          <w:szCs w:val="28"/>
        </w:rPr>
        <w:t xml:space="preserve">   </w:t>
      </w:r>
      <w:r w:rsidR="0045226F" w:rsidRPr="00FB564C">
        <w:rPr>
          <w:b/>
          <w:sz w:val="28"/>
          <w:szCs w:val="28"/>
        </w:rPr>
        <w:t xml:space="preserve">              </w:t>
      </w:r>
      <w:r w:rsidR="000723CE" w:rsidRPr="00FB564C">
        <w:rPr>
          <w:b/>
          <w:sz w:val="28"/>
          <w:szCs w:val="28"/>
        </w:rPr>
        <w:t xml:space="preserve">           </w:t>
      </w:r>
      <w:r w:rsidR="0045226F" w:rsidRPr="00FB564C">
        <w:rPr>
          <w:sz w:val="28"/>
          <w:szCs w:val="28"/>
        </w:rPr>
        <w:t>Case no: 118/2021</w:t>
      </w:r>
    </w:p>
    <w:p w14:paraId="7C00A39B" w14:textId="77777777" w:rsidR="00A528BC" w:rsidRPr="00FB564C" w:rsidRDefault="00A528BC" w:rsidP="00F23250">
      <w:pPr>
        <w:rPr>
          <w:bCs/>
          <w:sz w:val="28"/>
          <w:szCs w:val="28"/>
        </w:rPr>
      </w:pPr>
    </w:p>
    <w:p w14:paraId="3F916140" w14:textId="77777777" w:rsidR="004514F5" w:rsidRPr="00FB564C" w:rsidRDefault="004514F5" w:rsidP="004514F5">
      <w:pPr>
        <w:spacing w:after="120"/>
        <w:rPr>
          <w:sz w:val="28"/>
          <w:szCs w:val="28"/>
        </w:rPr>
      </w:pPr>
      <w:r w:rsidRPr="00FB564C">
        <w:rPr>
          <w:bCs/>
          <w:sz w:val="28"/>
          <w:szCs w:val="28"/>
        </w:rPr>
        <w:t>In the matter between:</w:t>
      </w:r>
    </w:p>
    <w:p w14:paraId="474CBC7A" w14:textId="77777777" w:rsidR="004514F5" w:rsidRPr="00FB564C" w:rsidRDefault="004514F5" w:rsidP="000723CE">
      <w:pPr>
        <w:tabs>
          <w:tab w:val="right" w:pos="9356"/>
        </w:tabs>
        <w:spacing w:after="240"/>
        <w:rPr>
          <w:b/>
          <w:bCs/>
          <w:sz w:val="28"/>
          <w:szCs w:val="28"/>
        </w:rPr>
      </w:pPr>
      <w:r w:rsidRPr="00FB564C">
        <w:rPr>
          <w:b/>
          <w:bCs/>
          <w:sz w:val="28"/>
          <w:szCs w:val="28"/>
        </w:rPr>
        <w:t xml:space="preserve">WENTZEL LINDSAY OAKER </w:t>
      </w:r>
      <w:r w:rsidRPr="00FB564C">
        <w:rPr>
          <w:b/>
          <w:bCs/>
          <w:sz w:val="28"/>
          <w:szCs w:val="28"/>
        </w:rPr>
        <w:tab/>
        <w:t xml:space="preserve"> FIRST APPELLANT</w:t>
      </w:r>
    </w:p>
    <w:p w14:paraId="65E76132" w14:textId="77777777" w:rsidR="004514F5" w:rsidRPr="00FB564C" w:rsidRDefault="004514F5" w:rsidP="000723CE">
      <w:pPr>
        <w:tabs>
          <w:tab w:val="right" w:pos="9356"/>
        </w:tabs>
        <w:spacing w:after="240"/>
        <w:rPr>
          <w:b/>
          <w:bCs/>
          <w:sz w:val="28"/>
          <w:szCs w:val="28"/>
        </w:rPr>
      </w:pPr>
      <w:r w:rsidRPr="00FB564C">
        <w:rPr>
          <w:b/>
          <w:bCs/>
          <w:sz w:val="28"/>
          <w:szCs w:val="28"/>
        </w:rPr>
        <w:t>GLOBAL PACT TRADING 151 (PTY) LTD</w:t>
      </w:r>
      <w:r w:rsidRPr="00FB564C">
        <w:rPr>
          <w:b/>
          <w:bCs/>
          <w:sz w:val="28"/>
          <w:szCs w:val="28"/>
        </w:rPr>
        <w:tab/>
        <w:t>SECOND APPELLANT</w:t>
      </w:r>
    </w:p>
    <w:p w14:paraId="7888A2F0" w14:textId="1BA57283" w:rsidR="004514F5" w:rsidRPr="00FB564C" w:rsidRDefault="004514F5" w:rsidP="000723CE">
      <w:pPr>
        <w:spacing w:after="240"/>
        <w:rPr>
          <w:b/>
          <w:bCs/>
          <w:sz w:val="28"/>
          <w:szCs w:val="28"/>
        </w:rPr>
      </w:pPr>
      <w:r w:rsidRPr="00FB564C">
        <w:rPr>
          <w:b/>
          <w:bCs/>
          <w:sz w:val="28"/>
          <w:szCs w:val="28"/>
        </w:rPr>
        <w:t xml:space="preserve">WENTZEL LINDSAY OAKER NO </w:t>
      </w:r>
      <w:r w:rsidR="000723CE" w:rsidRPr="00FB564C">
        <w:rPr>
          <w:b/>
          <w:bCs/>
          <w:sz w:val="28"/>
          <w:szCs w:val="28"/>
        </w:rPr>
        <w:tab/>
      </w:r>
      <w:r w:rsidR="000723CE" w:rsidRPr="00FB564C">
        <w:rPr>
          <w:b/>
          <w:bCs/>
          <w:sz w:val="28"/>
          <w:szCs w:val="28"/>
        </w:rPr>
        <w:tab/>
      </w:r>
      <w:r w:rsidR="000723CE" w:rsidRPr="00FB564C">
        <w:rPr>
          <w:b/>
          <w:bCs/>
          <w:sz w:val="28"/>
          <w:szCs w:val="28"/>
        </w:rPr>
        <w:tab/>
        <w:t xml:space="preserve">   </w:t>
      </w:r>
      <w:r w:rsidRPr="00FB564C">
        <w:rPr>
          <w:b/>
          <w:bCs/>
          <w:sz w:val="28"/>
          <w:szCs w:val="28"/>
        </w:rPr>
        <w:t>THIRD APPELLANT</w:t>
      </w:r>
    </w:p>
    <w:p w14:paraId="2CDFC0FB" w14:textId="3526D253" w:rsidR="004514F5" w:rsidRPr="00FB564C" w:rsidRDefault="004514F5" w:rsidP="000723CE">
      <w:pPr>
        <w:tabs>
          <w:tab w:val="right" w:pos="9356"/>
        </w:tabs>
        <w:spacing w:after="240"/>
        <w:rPr>
          <w:b/>
          <w:bCs/>
          <w:sz w:val="28"/>
          <w:szCs w:val="28"/>
        </w:rPr>
      </w:pPr>
      <w:r w:rsidRPr="00FB564C">
        <w:rPr>
          <w:b/>
          <w:bCs/>
          <w:sz w:val="28"/>
          <w:szCs w:val="28"/>
        </w:rPr>
        <w:t xml:space="preserve">ROCHELLE DEIDRE OAKER NO </w:t>
      </w:r>
      <w:r w:rsidRPr="00FB564C">
        <w:rPr>
          <w:b/>
          <w:bCs/>
          <w:sz w:val="28"/>
          <w:szCs w:val="28"/>
        </w:rPr>
        <w:tab/>
        <w:t>FOURTH APPELLANT</w:t>
      </w:r>
    </w:p>
    <w:p w14:paraId="1EFB3753" w14:textId="77777777" w:rsidR="004514F5" w:rsidRPr="00FB564C" w:rsidRDefault="004514F5" w:rsidP="000723CE">
      <w:pPr>
        <w:tabs>
          <w:tab w:val="right" w:pos="9356"/>
        </w:tabs>
        <w:spacing w:after="240"/>
        <w:rPr>
          <w:b/>
          <w:bCs/>
          <w:sz w:val="28"/>
          <w:szCs w:val="28"/>
        </w:rPr>
      </w:pPr>
      <w:r w:rsidRPr="00FB564C">
        <w:rPr>
          <w:b/>
          <w:bCs/>
          <w:sz w:val="28"/>
          <w:szCs w:val="28"/>
        </w:rPr>
        <w:t>CLINT BRENT OAKER</w:t>
      </w:r>
      <w:r w:rsidRPr="00FB564C">
        <w:rPr>
          <w:b/>
          <w:bCs/>
          <w:sz w:val="28"/>
          <w:szCs w:val="28"/>
        </w:rPr>
        <w:tab/>
        <w:t>FIFTH APPELLANT</w:t>
      </w:r>
    </w:p>
    <w:p w14:paraId="26863256" w14:textId="086B6183" w:rsidR="00D93295" w:rsidRPr="00FB564C" w:rsidRDefault="004514F5" w:rsidP="000723CE">
      <w:pPr>
        <w:tabs>
          <w:tab w:val="right" w:pos="9356"/>
        </w:tabs>
        <w:spacing w:after="240"/>
        <w:rPr>
          <w:b/>
          <w:bCs/>
          <w:sz w:val="28"/>
          <w:szCs w:val="28"/>
        </w:rPr>
      </w:pPr>
      <w:r w:rsidRPr="00FB564C">
        <w:rPr>
          <w:b/>
          <w:bCs/>
          <w:sz w:val="28"/>
          <w:szCs w:val="28"/>
        </w:rPr>
        <w:t xml:space="preserve">DARREN PILLAY </w:t>
      </w:r>
      <w:r w:rsidR="000723CE" w:rsidRPr="00FB564C">
        <w:rPr>
          <w:b/>
          <w:bCs/>
          <w:sz w:val="28"/>
          <w:szCs w:val="28"/>
        </w:rPr>
        <w:tab/>
      </w:r>
      <w:r w:rsidRPr="00FB564C">
        <w:rPr>
          <w:b/>
          <w:bCs/>
          <w:sz w:val="28"/>
          <w:szCs w:val="28"/>
        </w:rPr>
        <w:t>SIXTH APPELLANT</w:t>
      </w:r>
    </w:p>
    <w:p w14:paraId="0545D627" w14:textId="77777777" w:rsidR="00D93295" w:rsidRPr="00FB564C" w:rsidRDefault="00D93295" w:rsidP="000723CE">
      <w:pPr>
        <w:tabs>
          <w:tab w:val="right" w:pos="8640"/>
        </w:tabs>
        <w:spacing w:after="240"/>
        <w:rPr>
          <w:sz w:val="28"/>
          <w:szCs w:val="28"/>
        </w:rPr>
      </w:pPr>
      <w:r w:rsidRPr="00FB564C">
        <w:rPr>
          <w:sz w:val="28"/>
          <w:szCs w:val="28"/>
        </w:rPr>
        <w:t>a</w:t>
      </w:r>
      <w:r w:rsidR="004514F5" w:rsidRPr="00FB564C">
        <w:rPr>
          <w:sz w:val="28"/>
          <w:szCs w:val="28"/>
        </w:rPr>
        <w:t>nd</w:t>
      </w:r>
    </w:p>
    <w:p w14:paraId="63353F87" w14:textId="2D5F7F9D" w:rsidR="004514F5" w:rsidRPr="00FB564C" w:rsidRDefault="004514F5" w:rsidP="000723CE">
      <w:pPr>
        <w:tabs>
          <w:tab w:val="right" w:pos="9356"/>
        </w:tabs>
        <w:spacing w:after="240"/>
        <w:rPr>
          <w:b/>
          <w:sz w:val="28"/>
          <w:szCs w:val="28"/>
        </w:rPr>
      </w:pPr>
      <w:bookmarkStart w:id="0" w:name="_Hlk126061724"/>
      <w:r w:rsidRPr="00FB564C">
        <w:rPr>
          <w:b/>
          <w:sz w:val="28"/>
          <w:szCs w:val="28"/>
        </w:rPr>
        <w:t>PIERRE DU PLESSIS KRIEL NO</w:t>
      </w:r>
      <w:bookmarkEnd w:id="0"/>
      <w:r w:rsidRPr="00FB564C">
        <w:rPr>
          <w:b/>
          <w:sz w:val="28"/>
          <w:szCs w:val="28"/>
        </w:rPr>
        <w:t xml:space="preserve"> </w:t>
      </w:r>
      <w:r w:rsidRPr="00FB564C">
        <w:rPr>
          <w:b/>
          <w:sz w:val="28"/>
          <w:szCs w:val="28"/>
        </w:rPr>
        <w:tab/>
        <w:t>RESPONDENT</w:t>
      </w:r>
    </w:p>
    <w:p w14:paraId="0CD30213" w14:textId="77777777" w:rsidR="009A0575" w:rsidRPr="00FB564C" w:rsidRDefault="009A0575" w:rsidP="004514F5">
      <w:pPr>
        <w:tabs>
          <w:tab w:val="right" w:pos="8640"/>
        </w:tabs>
        <w:rPr>
          <w:sz w:val="28"/>
          <w:szCs w:val="28"/>
        </w:rPr>
      </w:pPr>
    </w:p>
    <w:p w14:paraId="16035930" w14:textId="77777777" w:rsidR="004514F5" w:rsidRPr="00FB564C" w:rsidRDefault="00F46E38" w:rsidP="00F23250">
      <w:pPr>
        <w:spacing w:after="120"/>
        <w:jc w:val="left"/>
        <w:rPr>
          <w:sz w:val="28"/>
          <w:szCs w:val="28"/>
        </w:rPr>
      </w:pPr>
      <w:r w:rsidRPr="00FB564C">
        <w:rPr>
          <w:sz w:val="28"/>
          <w:szCs w:val="28"/>
        </w:rPr>
        <w:t>AND</w:t>
      </w:r>
    </w:p>
    <w:p w14:paraId="19814874" w14:textId="77777777" w:rsidR="009A0575" w:rsidRPr="00FB564C" w:rsidRDefault="009A0575" w:rsidP="0014461C">
      <w:pPr>
        <w:jc w:val="right"/>
        <w:rPr>
          <w:bCs/>
          <w:sz w:val="28"/>
          <w:szCs w:val="28"/>
        </w:rPr>
      </w:pPr>
      <w:r w:rsidRPr="00FB564C">
        <w:rPr>
          <w:bCs/>
          <w:sz w:val="28"/>
          <w:szCs w:val="28"/>
        </w:rPr>
        <w:t>Case no: 185/2022</w:t>
      </w:r>
    </w:p>
    <w:p w14:paraId="0FC53E98" w14:textId="77777777" w:rsidR="009A0575" w:rsidRPr="00FB564C" w:rsidRDefault="009A0575" w:rsidP="0014461C">
      <w:pPr>
        <w:spacing w:after="120"/>
        <w:rPr>
          <w:bCs/>
          <w:sz w:val="28"/>
          <w:szCs w:val="28"/>
        </w:rPr>
      </w:pPr>
    </w:p>
    <w:p w14:paraId="1CFF0664" w14:textId="77777777" w:rsidR="009A0575" w:rsidRPr="00FB564C" w:rsidRDefault="009A0575" w:rsidP="0014461C">
      <w:pPr>
        <w:spacing w:after="120"/>
        <w:rPr>
          <w:bCs/>
          <w:sz w:val="28"/>
          <w:szCs w:val="28"/>
        </w:rPr>
      </w:pPr>
      <w:r w:rsidRPr="00FB564C">
        <w:rPr>
          <w:bCs/>
          <w:sz w:val="28"/>
          <w:szCs w:val="28"/>
        </w:rPr>
        <w:lastRenderedPageBreak/>
        <w:t>In the matter between:</w:t>
      </w:r>
    </w:p>
    <w:p w14:paraId="7EA4F481" w14:textId="386131DB" w:rsidR="009A0575" w:rsidRPr="00FB564C" w:rsidRDefault="009A0575" w:rsidP="000723CE">
      <w:pPr>
        <w:tabs>
          <w:tab w:val="right" w:pos="9356"/>
        </w:tabs>
        <w:spacing w:before="240"/>
        <w:jc w:val="left"/>
        <w:rPr>
          <w:b/>
          <w:sz w:val="28"/>
          <w:szCs w:val="28"/>
        </w:rPr>
      </w:pPr>
      <w:r w:rsidRPr="00FB564C">
        <w:rPr>
          <w:b/>
          <w:sz w:val="28"/>
          <w:szCs w:val="28"/>
        </w:rPr>
        <w:t>ROCKLAND GROUP HOLDINGS (PTY) LTD</w:t>
      </w:r>
      <w:r w:rsidR="000723CE" w:rsidRPr="00FB564C">
        <w:rPr>
          <w:b/>
          <w:sz w:val="28"/>
          <w:szCs w:val="28"/>
        </w:rPr>
        <w:tab/>
        <w:t xml:space="preserve">     </w:t>
      </w:r>
      <w:r w:rsidRPr="00FB564C">
        <w:rPr>
          <w:b/>
          <w:sz w:val="28"/>
          <w:szCs w:val="28"/>
        </w:rPr>
        <w:t>APPLICANT</w:t>
      </w:r>
    </w:p>
    <w:p w14:paraId="1944F253" w14:textId="77777777" w:rsidR="009A0575" w:rsidRPr="00FB564C" w:rsidRDefault="009A0575" w:rsidP="000723CE">
      <w:pPr>
        <w:spacing w:before="240"/>
        <w:rPr>
          <w:bCs/>
          <w:sz w:val="28"/>
          <w:szCs w:val="28"/>
        </w:rPr>
      </w:pPr>
      <w:r w:rsidRPr="00FB564C">
        <w:rPr>
          <w:bCs/>
          <w:sz w:val="28"/>
          <w:szCs w:val="28"/>
        </w:rPr>
        <w:t xml:space="preserve">and </w:t>
      </w:r>
    </w:p>
    <w:p w14:paraId="05111E91" w14:textId="3783689A" w:rsidR="009A0575" w:rsidRPr="00FB564C" w:rsidRDefault="009A0575" w:rsidP="000723CE">
      <w:pPr>
        <w:spacing w:before="240"/>
        <w:rPr>
          <w:b/>
          <w:sz w:val="28"/>
          <w:szCs w:val="28"/>
        </w:rPr>
      </w:pPr>
      <w:r w:rsidRPr="00FB564C">
        <w:rPr>
          <w:b/>
          <w:sz w:val="28"/>
          <w:szCs w:val="28"/>
        </w:rPr>
        <w:t>PIERRE DU PLESSIS KRIEL NO</w:t>
      </w:r>
      <w:r w:rsidR="000723CE" w:rsidRPr="00FB564C">
        <w:rPr>
          <w:b/>
          <w:sz w:val="28"/>
          <w:szCs w:val="28"/>
        </w:rPr>
        <w:tab/>
      </w:r>
      <w:r w:rsidR="000723CE" w:rsidRPr="00FB564C">
        <w:rPr>
          <w:b/>
          <w:sz w:val="28"/>
          <w:szCs w:val="28"/>
        </w:rPr>
        <w:tab/>
      </w:r>
      <w:r w:rsidR="000723CE" w:rsidRPr="00FB564C">
        <w:rPr>
          <w:b/>
          <w:sz w:val="28"/>
          <w:szCs w:val="28"/>
        </w:rPr>
        <w:tab/>
      </w:r>
      <w:r w:rsidR="000723CE" w:rsidRPr="00FB564C">
        <w:rPr>
          <w:b/>
          <w:sz w:val="28"/>
          <w:szCs w:val="28"/>
        </w:rPr>
        <w:tab/>
        <w:t xml:space="preserve"> </w:t>
      </w:r>
      <w:r w:rsidRPr="00FB564C">
        <w:rPr>
          <w:b/>
          <w:sz w:val="28"/>
          <w:szCs w:val="28"/>
        </w:rPr>
        <w:t>FIRST RESPONDENT</w:t>
      </w:r>
    </w:p>
    <w:p w14:paraId="7CCE4DEE" w14:textId="4750B20A" w:rsidR="009A0575" w:rsidRPr="00FB564C" w:rsidRDefault="009A0575" w:rsidP="000723CE">
      <w:pPr>
        <w:spacing w:before="240"/>
        <w:rPr>
          <w:b/>
          <w:sz w:val="28"/>
          <w:szCs w:val="28"/>
        </w:rPr>
      </w:pPr>
      <w:r w:rsidRPr="00FB564C">
        <w:rPr>
          <w:b/>
          <w:sz w:val="28"/>
          <w:szCs w:val="28"/>
        </w:rPr>
        <w:t>PIERRE DU PLESSIS KRIEL NO</w:t>
      </w:r>
      <w:r w:rsidR="000723CE" w:rsidRPr="00FB564C">
        <w:rPr>
          <w:b/>
          <w:sz w:val="28"/>
          <w:szCs w:val="28"/>
        </w:rPr>
        <w:tab/>
      </w:r>
      <w:r w:rsidR="000723CE" w:rsidRPr="00FB564C">
        <w:rPr>
          <w:b/>
          <w:sz w:val="28"/>
          <w:szCs w:val="28"/>
        </w:rPr>
        <w:tab/>
      </w:r>
      <w:r w:rsidR="000723CE" w:rsidRPr="00FB564C">
        <w:rPr>
          <w:b/>
          <w:sz w:val="28"/>
          <w:szCs w:val="28"/>
        </w:rPr>
        <w:tab/>
        <w:t xml:space="preserve">      </w:t>
      </w:r>
      <w:r w:rsidRPr="00FB564C">
        <w:rPr>
          <w:b/>
          <w:sz w:val="28"/>
          <w:szCs w:val="28"/>
        </w:rPr>
        <w:t>SECOND RESPONDENT</w:t>
      </w:r>
    </w:p>
    <w:p w14:paraId="11909894" w14:textId="77777777" w:rsidR="009A0575" w:rsidRPr="00FB564C" w:rsidRDefault="009A0575" w:rsidP="000723CE">
      <w:pPr>
        <w:spacing w:before="240"/>
        <w:rPr>
          <w:b/>
          <w:sz w:val="28"/>
          <w:szCs w:val="28"/>
        </w:rPr>
      </w:pPr>
      <w:r w:rsidRPr="00FB564C">
        <w:rPr>
          <w:b/>
          <w:sz w:val="28"/>
          <w:szCs w:val="28"/>
        </w:rPr>
        <w:t xml:space="preserve">THE COMMISSIONER OF THE FINANCIAL </w:t>
      </w:r>
    </w:p>
    <w:p w14:paraId="733A15A4" w14:textId="569F9708" w:rsidR="009A0575" w:rsidRPr="00FB564C" w:rsidRDefault="009A0575" w:rsidP="0007605E">
      <w:pPr>
        <w:jc w:val="left"/>
        <w:rPr>
          <w:b/>
          <w:sz w:val="28"/>
          <w:szCs w:val="28"/>
        </w:rPr>
      </w:pPr>
      <w:r w:rsidRPr="00FB564C">
        <w:rPr>
          <w:b/>
          <w:sz w:val="28"/>
          <w:szCs w:val="28"/>
        </w:rPr>
        <w:t xml:space="preserve">SECTOR CONDUCT AUTHORITY                  </w:t>
      </w:r>
      <w:r w:rsidR="0007605E" w:rsidRPr="00FB564C">
        <w:rPr>
          <w:b/>
          <w:sz w:val="28"/>
          <w:szCs w:val="28"/>
        </w:rPr>
        <w:t xml:space="preserve">       </w:t>
      </w:r>
      <w:r w:rsidR="000723CE" w:rsidRPr="00FB564C">
        <w:rPr>
          <w:b/>
          <w:sz w:val="28"/>
          <w:szCs w:val="28"/>
        </w:rPr>
        <w:t xml:space="preserve">  </w:t>
      </w:r>
      <w:r w:rsidR="0007605E" w:rsidRPr="00FB564C">
        <w:rPr>
          <w:b/>
          <w:sz w:val="28"/>
          <w:szCs w:val="28"/>
        </w:rPr>
        <w:t xml:space="preserve"> </w:t>
      </w:r>
      <w:r w:rsidRPr="00FB564C">
        <w:rPr>
          <w:b/>
          <w:sz w:val="28"/>
          <w:szCs w:val="28"/>
        </w:rPr>
        <w:t>THIRD RESPONDENT</w:t>
      </w:r>
    </w:p>
    <w:p w14:paraId="165D3768" w14:textId="77777777" w:rsidR="009A0575" w:rsidRPr="00FB564C" w:rsidRDefault="009A0575" w:rsidP="00F23250">
      <w:pPr>
        <w:jc w:val="left"/>
        <w:rPr>
          <w:b/>
          <w:sz w:val="28"/>
          <w:szCs w:val="28"/>
        </w:rPr>
      </w:pPr>
    </w:p>
    <w:p w14:paraId="112349F4" w14:textId="7EC78B43" w:rsidR="004514F5" w:rsidRPr="00FB564C" w:rsidRDefault="004514F5" w:rsidP="004514F5">
      <w:pPr>
        <w:ind w:left="2160" w:hanging="2160"/>
        <w:contextualSpacing/>
        <w:rPr>
          <w:bCs/>
          <w:sz w:val="28"/>
          <w:szCs w:val="28"/>
        </w:rPr>
      </w:pPr>
      <w:r w:rsidRPr="00FB564C">
        <w:rPr>
          <w:b/>
          <w:bCs/>
          <w:sz w:val="28"/>
          <w:szCs w:val="28"/>
        </w:rPr>
        <w:t>Neutral citation:</w:t>
      </w:r>
      <w:r w:rsidRPr="00FB564C">
        <w:rPr>
          <w:bCs/>
          <w:i/>
          <w:sz w:val="28"/>
          <w:szCs w:val="28"/>
        </w:rPr>
        <w:tab/>
        <w:t>Oaker and Others v Kriel NO</w:t>
      </w:r>
      <w:r w:rsidR="0082299A" w:rsidRPr="00FB564C">
        <w:rPr>
          <w:bCs/>
          <w:sz w:val="28"/>
          <w:szCs w:val="28"/>
        </w:rPr>
        <w:t xml:space="preserve"> (118/2021)</w:t>
      </w:r>
      <w:r w:rsidR="005C3EA2" w:rsidRPr="00FB564C">
        <w:rPr>
          <w:bCs/>
          <w:sz w:val="28"/>
          <w:szCs w:val="28"/>
        </w:rPr>
        <w:t xml:space="preserve">; </w:t>
      </w:r>
      <w:r w:rsidR="005C3EA2" w:rsidRPr="00FB564C">
        <w:rPr>
          <w:bCs/>
          <w:i/>
          <w:sz w:val="28"/>
          <w:szCs w:val="28"/>
        </w:rPr>
        <w:t>Rockland Group Holdings (Pty) Ltd v Kriel NO</w:t>
      </w:r>
      <w:r w:rsidR="0082299A" w:rsidRPr="00FB564C">
        <w:rPr>
          <w:bCs/>
          <w:i/>
          <w:sz w:val="28"/>
          <w:szCs w:val="28"/>
        </w:rPr>
        <w:t xml:space="preserve"> </w:t>
      </w:r>
      <w:r w:rsidR="00E71A2B" w:rsidRPr="00FB564C">
        <w:rPr>
          <w:bCs/>
          <w:i/>
          <w:sz w:val="28"/>
          <w:szCs w:val="28"/>
        </w:rPr>
        <w:t>and</w:t>
      </w:r>
      <w:r w:rsidR="0082299A" w:rsidRPr="00FB564C">
        <w:rPr>
          <w:bCs/>
          <w:i/>
          <w:sz w:val="28"/>
          <w:szCs w:val="28"/>
        </w:rPr>
        <w:t xml:space="preserve"> </w:t>
      </w:r>
      <w:r w:rsidR="005B2546" w:rsidRPr="00FB564C">
        <w:rPr>
          <w:bCs/>
          <w:i/>
          <w:sz w:val="28"/>
          <w:szCs w:val="28"/>
        </w:rPr>
        <w:t xml:space="preserve">Others </w:t>
      </w:r>
      <w:r w:rsidR="005C3EA2" w:rsidRPr="00FB564C">
        <w:rPr>
          <w:bCs/>
          <w:sz w:val="28"/>
          <w:szCs w:val="28"/>
        </w:rPr>
        <w:t>(185/202</w:t>
      </w:r>
      <w:r w:rsidR="00E71A2B" w:rsidRPr="00FB564C">
        <w:rPr>
          <w:bCs/>
          <w:sz w:val="28"/>
          <w:szCs w:val="28"/>
        </w:rPr>
        <w:t>2</w:t>
      </w:r>
      <w:r w:rsidR="005C3EA2" w:rsidRPr="00FB564C">
        <w:rPr>
          <w:bCs/>
          <w:sz w:val="28"/>
          <w:szCs w:val="28"/>
        </w:rPr>
        <w:t xml:space="preserve">) [2023] ZASCA </w:t>
      </w:r>
      <w:r w:rsidR="00814B34">
        <w:rPr>
          <w:bCs/>
          <w:sz w:val="28"/>
          <w:szCs w:val="28"/>
        </w:rPr>
        <w:t>6</w:t>
      </w:r>
      <w:r w:rsidR="00374CEB">
        <w:rPr>
          <w:bCs/>
          <w:sz w:val="28"/>
          <w:szCs w:val="28"/>
        </w:rPr>
        <w:t>8</w:t>
      </w:r>
      <w:r w:rsidR="005C3EA2" w:rsidRPr="00FB564C">
        <w:rPr>
          <w:bCs/>
          <w:sz w:val="28"/>
          <w:szCs w:val="28"/>
        </w:rPr>
        <w:t xml:space="preserve"> (</w:t>
      </w:r>
      <w:r w:rsidR="00814B34">
        <w:rPr>
          <w:bCs/>
          <w:sz w:val="28"/>
          <w:szCs w:val="28"/>
        </w:rPr>
        <w:t>17 May 2023</w:t>
      </w:r>
      <w:r w:rsidR="005C3EA2" w:rsidRPr="00FB564C">
        <w:rPr>
          <w:bCs/>
          <w:sz w:val="28"/>
          <w:szCs w:val="28"/>
        </w:rPr>
        <w:t>)</w:t>
      </w:r>
    </w:p>
    <w:p w14:paraId="6A1B5E81" w14:textId="77777777" w:rsidR="000723CE" w:rsidRPr="00FB564C" w:rsidRDefault="000723CE" w:rsidP="000723CE">
      <w:pPr>
        <w:spacing w:line="240" w:lineRule="auto"/>
        <w:ind w:left="2160" w:hanging="2160"/>
        <w:contextualSpacing/>
        <w:rPr>
          <w:bCs/>
          <w:sz w:val="16"/>
          <w:szCs w:val="16"/>
        </w:rPr>
      </w:pPr>
    </w:p>
    <w:p w14:paraId="11D8DFD3" w14:textId="77777777" w:rsidR="004514F5" w:rsidRPr="00FB564C" w:rsidRDefault="004514F5" w:rsidP="004514F5">
      <w:pPr>
        <w:ind w:left="2160" w:hanging="2160"/>
        <w:contextualSpacing/>
        <w:rPr>
          <w:sz w:val="28"/>
          <w:szCs w:val="28"/>
        </w:rPr>
      </w:pPr>
      <w:r w:rsidRPr="00FB564C">
        <w:rPr>
          <w:b/>
          <w:bCs/>
          <w:sz w:val="28"/>
          <w:szCs w:val="28"/>
        </w:rPr>
        <w:t>Coram:</w:t>
      </w:r>
      <w:r w:rsidRPr="00FB564C">
        <w:rPr>
          <w:sz w:val="28"/>
          <w:szCs w:val="28"/>
        </w:rPr>
        <w:tab/>
        <w:t>PONNAN ADP and GORVEN and MABINDLA-BOQWANA JJA and NHLANGULELA and OLSEN AJJA</w:t>
      </w:r>
    </w:p>
    <w:p w14:paraId="2E0AC545" w14:textId="77777777" w:rsidR="000723CE" w:rsidRPr="00FB564C" w:rsidRDefault="000723CE" w:rsidP="000723CE">
      <w:pPr>
        <w:spacing w:line="240" w:lineRule="auto"/>
        <w:ind w:left="2160" w:hanging="2160"/>
        <w:contextualSpacing/>
        <w:rPr>
          <w:sz w:val="16"/>
          <w:szCs w:val="16"/>
        </w:rPr>
      </w:pPr>
    </w:p>
    <w:p w14:paraId="480F4E62" w14:textId="77777777" w:rsidR="004514F5" w:rsidRPr="00FB564C" w:rsidRDefault="004514F5" w:rsidP="004514F5">
      <w:pPr>
        <w:contextualSpacing/>
        <w:rPr>
          <w:sz w:val="28"/>
          <w:szCs w:val="28"/>
        </w:rPr>
      </w:pPr>
      <w:r w:rsidRPr="00FB564C">
        <w:rPr>
          <w:b/>
          <w:bCs/>
          <w:sz w:val="28"/>
          <w:szCs w:val="28"/>
        </w:rPr>
        <w:t>Heard</w:t>
      </w:r>
      <w:r w:rsidRPr="00FB564C">
        <w:rPr>
          <w:b/>
          <w:sz w:val="28"/>
          <w:szCs w:val="28"/>
        </w:rPr>
        <w:t>:</w:t>
      </w:r>
      <w:r w:rsidRPr="00FB564C">
        <w:rPr>
          <w:sz w:val="28"/>
          <w:szCs w:val="28"/>
        </w:rPr>
        <w:tab/>
      </w:r>
      <w:r w:rsidRPr="00FB564C">
        <w:rPr>
          <w:sz w:val="28"/>
          <w:szCs w:val="28"/>
        </w:rPr>
        <w:tab/>
        <w:t>1 March 2023</w:t>
      </w:r>
    </w:p>
    <w:p w14:paraId="7434145D" w14:textId="77777777" w:rsidR="000723CE" w:rsidRPr="00FB564C" w:rsidRDefault="000723CE" w:rsidP="000723CE">
      <w:pPr>
        <w:spacing w:line="240" w:lineRule="auto"/>
        <w:contextualSpacing/>
        <w:rPr>
          <w:b/>
          <w:bCs/>
          <w:sz w:val="16"/>
          <w:szCs w:val="16"/>
        </w:rPr>
      </w:pPr>
    </w:p>
    <w:p w14:paraId="0E3EF04E" w14:textId="32B996EC" w:rsidR="004514F5" w:rsidRPr="00FB564C" w:rsidRDefault="004514F5" w:rsidP="004514F5">
      <w:pPr>
        <w:contextualSpacing/>
        <w:rPr>
          <w:sz w:val="28"/>
          <w:szCs w:val="28"/>
        </w:rPr>
      </w:pPr>
      <w:r w:rsidRPr="00FB564C">
        <w:rPr>
          <w:b/>
          <w:bCs/>
          <w:sz w:val="28"/>
          <w:szCs w:val="28"/>
        </w:rPr>
        <w:t>Delivered</w:t>
      </w:r>
      <w:r w:rsidRPr="00FB564C">
        <w:rPr>
          <w:b/>
          <w:sz w:val="28"/>
          <w:szCs w:val="28"/>
        </w:rPr>
        <w:t>:</w:t>
      </w:r>
      <w:r w:rsidRPr="00FB564C">
        <w:rPr>
          <w:sz w:val="28"/>
          <w:szCs w:val="28"/>
        </w:rPr>
        <w:tab/>
      </w:r>
      <w:r w:rsidRPr="00FB564C">
        <w:rPr>
          <w:sz w:val="28"/>
          <w:szCs w:val="28"/>
        </w:rPr>
        <w:tab/>
      </w:r>
      <w:r w:rsidR="00814B34">
        <w:rPr>
          <w:sz w:val="28"/>
          <w:szCs w:val="28"/>
        </w:rPr>
        <w:t>17 May 2023</w:t>
      </w:r>
      <w:r w:rsidRPr="00FB564C">
        <w:rPr>
          <w:sz w:val="28"/>
          <w:szCs w:val="28"/>
        </w:rPr>
        <w:t xml:space="preserve"> </w:t>
      </w:r>
    </w:p>
    <w:p w14:paraId="528DB77B" w14:textId="77777777" w:rsidR="000723CE" w:rsidRPr="00FB564C" w:rsidRDefault="000723CE" w:rsidP="000723CE">
      <w:pPr>
        <w:spacing w:line="240" w:lineRule="auto"/>
        <w:contextualSpacing/>
        <w:rPr>
          <w:sz w:val="16"/>
          <w:szCs w:val="16"/>
        </w:rPr>
      </w:pPr>
    </w:p>
    <w:p w14:paraId="465A7AFF" w14:textId="1A2F4C3D" w:rsidR="004514F5" w:rsidRPr="00FB564C" w:rsidRDefault="004514F5" w:rsidP="009E41F0">
      <w:pPr>
        <w:contextualSpacing/>
        <w:rPr>
          <w:sz w:val="28"/>
          <w:szCs w:val="28"/>
        </w:rPr>
      </w:pPr>
      <w:r w:rsidRPr="00FB564C">
        <w:rPr>
          <w:b/>
          <w:bCs/>
          <w:sz w:val="28"/>
          <w:szCs w:val="28"/>
        </w:rPr>
        <w:t>Summary:</w:t>
      </w:r>
      <w:r w:rsidRPr="00FB564C">
        <w:rPr>
          <w:b/>
          <w:bCs/>
          <w:sz w:val="28"/>
          <w:szCs w:val="28"/>
        </w:rPr>
        <w:tab/>
      </w:r>
      <w:r w:rsidRPr="00FB564C">
        <w:rPr>
          <w:b/>
          <w:bCs/>
          <w:sz w:val="28"/>
          <w:szCs w:val="28"/>
        </w:rPr>
        <w:tab/>
      </w:r>
      <w:r w:rsidR="009E41F0" w:rsidRPr="00FB564C">
        <w:rPr>
          <w:bCs/>
          <w:sz w:val="28"/>
          <w:szCs w:val="28"/>
        </w:rPr>
        <w:t>Curatorship</w:t>
      </w:r>
      <w:r w:rsidR="002D70E1" w:rsidRPr="00FB564C">
        <w:rPr>
          <w:bCs/>
          <w:sz w:val="28"/>
          <w:szCs w:val="28"/>
        </w:rPr>
        <w:t xml:space="preserve"> </w:t>
      </w:r>
      <w:r w:rsidR="009E41F0" w:rsidRPr="00FB564C">
        <w:rPr>
          <w:bCs/>
          <w:sz w:val="28"/>
          <w:szCs w:val="28"/>
        </w:rPr>
        <w:t>–</w:t>
      </w:r>
      <w:r w:rsidR="002D70E1" w:rsidRPr="00FB564C">
        <w:rPr>
          <w:bCs/>
          <w:sz w:val="28"/>
          <w:szCs w:val="28"/>
        </w:rPr>
        <w:t xml:space="preserve"> </w:t>
      </w:r>
      <w:r w:rsidR="009E41F0" w:rsidRPr="00FB564C">
        <w:rPr>
          <w:bCs/>
          <w:sz w:val="28"/>
          <w:szCs w:val="28"/>
        </w:rPr>
        <w:t xml:space="preserve">s </w:t>
      </w:r>
      <w:r w:rsidR="009E41F0" w:rsidRPr="00FB564C">
        <w:rPr>
          <w:sz w:val="28"/>
          <w:szCs w:val="28"/>
        </w:rPr>
        <w:t xml:space="preserve">5 </w:t>
      </w:r>
      <w:bookmarkStart w:id="1" w:name="_Hlk133314579"/>
      <w:r w:rsidR="009E41F0" w:rsidRPr="00FB564C">
        <w:rPr>
          <w:sz w:val="28"/>
          <w:szCs w:val="28"/>
        </w:rPr>
        <w:t xml:space="preserve">of the </w:t>
      </w:r>
      <w:bookmarkStart w:id="2" w:name="_Hlk133337833"/>
      <w:r w:rsidR="009E41F0" w:rsidRPr="00FB564C">
        <w:rPr>
          <w:sz w:val="28"/>
          <w:szCs w:val="28"/>
        </w:rPr>
        <w:t>Financial Institutions (Protection of Funds) Act 28 of 2001</w:t>
      </w:r>
      <w:bookmarkEnd w:id="1"/>
      <w:r w:rsidR="009E41F0" w:rsidRPr="00FB564C">
        <w:rPr>
          <w:sz w:val="28"/>
          <w:szCs w:val="28"/>
        </w:rPr>
        <w:t xml:space="preserve"> (Protection of Funds Act)</w:t>
      </w:r>
      <w:bookmarkEnd w:id="2"/>
      <w:r w:rsidR="009E41F0" w:rsidRPr="00FB564C">
        <w:rPr>
          <w:sz w:val="28"/>
          <w:szCs w:val="28"/>
        </w:rPr>
        <w:t xml:space="preserve"> </w:t>
      </w:r>
      <w:r w:rsidR="001622FA" w:rsidRPr="00FB564C">
        <w:rPr>
          <w:sz w:val="28"/>
          <w:szCs w:val="28"/>
        </w:rPr>
        <w:t xml:space="preserve">– </w:t>
      </w:r>
      <w:r w:rsidR="002D70E1" w:rsidRPr="00FB564C">
        <w:rPr>
          <w:bCs/>
          <w:sz w:val="28"/>
          <w:szCs w:val="28"/>
        </w:rPr>
        <w:t>bewind trusts and their fund manager placed under curatorship</w:t>
      </w:r>
      <w:r w:rsidR="002D70E1" w:rsidRPr="00FB564C">
        <w:rPr>
          <w:sz w:val="28"/>
          <w:szCs w:val="28"/>
        </w:rPr>
        <w:t xml:space="preserve"> </w:t>
      </w:r>
      <w:r w:rsidR="009E41F0" w:rsidRPr="00FB564C">
        <w:rPr>
          <w:sz w:val="28"/>
          <w:szCs w:val="28"/>
        </w:rPr>
        <w:t xml:space="preserve">– </w:t>
      </w:r>
      <w:r w:rsidR="005C3EA2" w:rsidRPr="00FB564C">
        <w:rPr>
          <w:sz w:val="28"/>
          <w:szCs w:val="28"/>
        </w:rPr>
        <w:t xml:space="preserve">s 2 of the Protection of Funds Act – breach of fiduciary duties by persons dealing with funds and trust </w:t>
      </w:r>
      <w:r w:rsidR="00C60F0C" w:rsidRPr="00FB564C">
        <w:rPr>
          <w:sz w:val="28"/>
          <w:szCs w:val="28"/>
        </w:rPr>
        <w:t>property –</w:t>
      </w:r>
      <w:r w:rsidR="00B476FE" w:rsidRPr="00FB564C">
        <w:rPr>
          <w:sz w:val="28"/>
          <w:szCs w:val="28"/>
        </w:rPr>
        <w:t xml:space="preserve"> </w:t>
      </w:r>
      <w:r w:rsidR="005C3EA2" w:rsidRPr="00FB564C">
        <w:rPr>
          <w:sz w:val="28"/>
          <w:szCs w:val="28"/>
        </w:rPr>
        <w:t>purchase of properties</w:t>
      </w:r>
      <w:r w:rsidR="00C60F0C" w:rsidRPr="00FB564C">
        <w:rPr>
          <w:sz w:val="28"/>
          <w:szCs w:val="28"/>
        </w:rPr>
        <w:t>, share</w:t>
      </w:r>
      <w:r w:rsidR="00F23250" w:rsidRPr="00FB564C">
        <w:rPr>
          <w:sz w:val="28"/>
          <w:szCs w:val="28"/>
        </w:rPr>
        <w:t xml:space="preserve"> </w:t>
      </w:r>
      <w:r w:rsidR="005C3EA2" w:rsidRPr="00FB564C">
        <w:rPr>
          <w:sz w:val="28"/>
          <w:szCs w:val="28"/>
        </w:rPr>
        <w:t>transactions</w:t>
      </w:r>
      <w:r w:rsidR="00F23250" w:rsidRPr="00FB564C">
        <w:rPr>
          <w:sz w:val="28"/>
          <w:szCs w:val="28"/>
        </w:rPr>
        <w:t xml:space="preserve"> and</w:t>
      </w:r>
      <w:r w:rsidR="002D70E1" w:rsidRPr="00FB564C">
        <w:rPr>
          <w:sz w:val="28"/>
          <w:szCs w:val="28"/>
        </w:rPr>
        <w:t xml:space="preserve"> </w:t>
      </w:r>
      <w:r w:rsidR="00B476FE" w:rsidRPr="00FB564C">
        <w:rPr>
          <w:sz w:val="28"/>
          <w:szCs w:val="28"/>
        </w:rPr>
        <w:t xml:space="preserve">self-enrichment </w:t>
      </w:r>
      <w:r w:rsidR="005C3EA2" w:rsidRPr="00FB564C">
        <w:rPr>
          <w:sz w:val="28"/>
          <w:szCs w:val="28"/>
        </w:rPr>
        <w:t>– application to stay appeal and cross</w:t>
      </w:r>
      <w:r w:rsidR="00E44CEA" w:rsidRPr="00FB564C">
        <w:rPr>
          <w:sz w:val="28"/>
          <w:szCs w:val="28"/>
        </w:rPr>
        <w:t>-</w:t>
      </w:r>
      <w:r w:rsidR="005C3EA2" w:rsidRPr="00FB564C">
        <w:rPr>
          <w:sz w:val="28"/>
          <w:szCs w:val="28"/>
        </w:rPr>
        <w:t xml:space="preserve">appeal dismissed – appeal dismissed and cross-appeal upheld. </w:t>
      </w:r>
    </w:p>
    <w:p w14:paraId="381A71A2" w14:textId="77777777" w:rsidR="000723CE" w:rsidRPr="00FB564C" w:rsidRDefault="000723CE" w:rsidP="009E41F0">
      <w:pPr>
        <w:contextualSpacing/>
        <w:rPr>
          <w:sz w:val="28"/>
          <w:szCs w:val="28"/>
        </w:rPr>
      </w:pPr>
    </w:p>
    <w:p w14:paraId="182D5E6F" w14:textId="77777777" w:rsidR="004514F5" w:rsidRPr="00FB564C" w:rsidRDefault="004514F5" w:rsidP="000723CE">
      <w:pPr>
        <w:pBdr>
          <w:bottom w:val="single" w:sz="12" w:space="1" w:color="auto"/>
        </w:pBdr>
        <w:spacing w:line="240" w:lineRule="auto"/>
        <w:rPr>
          <w:b/>
          <w:i/>
          <w:szCs w:val="28"/>
        </w:rPr>
      </w:pPr>
      <w:r w:rsidRPr="00FB564C">
        <w:rPr>
          <w:noProof/>
          <w:lang w:val="en-US"/>
        </w:rPr>
        <w:lastRenderedPageBreak/>
        <mc:AlternateContent>
          <mc:Choice Requires="wps">
            <w:drawing>
              <wp:anchor distT="0" distB="0" distL="114300" distR="114300" simplePos="0" relativeHeight="251664384" behindDoc="0" locked="0" layoutInCell="1" allowOverlap="1" wp14:anchorId="04BF895C" wp14:editId="43053EFA">
                <wp:simplePos x="0" y="0"/>
                <wp:positionH relativeFrom="column">
                  <wp:posOffset>0</wp:posOffset>
                </wp:positionH>
                <wp:positionV relativeFrom="paragraph">
                  <wp:posOffset>114300</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3D07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A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BbN5AF/wEAAAwEAAAOAAAAAAAAAAAAAAAAAC4C&#10;AABkcnMvZTJvRG9jLnhtbFBLAQItABQABgAIAAAAIQBUInSH1wAAAAMBAAAPAAAAAAAAAAAAAAAA&#10;AFkEAABkcnMvZG93bnJldi54bWxQSwUGAAAAAAQABADzAAAAXQUAAAAA&#10;">
                <o:lock v:ext="edit" shapetype="f"/>
              </v:line>
            </w:pict>
          </mc:Fallback>
        </mc:AlternateContent>
      </w:r>
    </w:p>
    <w:p w14:paraId="1F8C7AFA" w14:textId="77777777" w:rsidR="004514F5" w:rsidRPr="00FB564C" w:rsidRDefault="004514F5" w:rsidP="004514F5">
      <w:pPr>
        <w:pStyle w:val="Heading3"/>
        <w:pBdr>
          <w:bottom w:val="single" w:sz="12" w:space="12" w:color="auto"/>
        </w:pBdr>
        <w:jc w:val="center"/>
        <w:rPr>
          <w:rFonts w:ascii="Times New Roman" w:hAnsi="Times New Roman" w:cs="Times New Roman"/>
          <w:b/>
          <w:i w:val="0"/>
          <w:szCs w:val="28"/>
        </w:rPr>
      </w:pPr>
    </w:p>
    <w:p w14:paraId="6B569A91" w14:textId="77777777" w:rsidR="004514F5" w:rsidRPr="00FB564C" w:rsidRDefault="004514F5" w:rsidP="004514F5">
      <w:pPr>
        <w:pStyle w:val="Heading3"/>
        <w:pBdr>
          <w:bottom w:val="single" w:sz="12" w:space="12" w:color="auto"/>
        </w:pBdr>
        <w:jc w:val="center"/>
        <w:rPr>
          <w:rFonts w:ascii="Times New Roman" w:hAnsi="Times New Roman" w:cs="Times New Roman"/>
          <w:b/>
          <w:i w:val="0"/>
          <w:szCs w:val="28"/>
        </w:rPr>
      </w:pPr>
      <w:r w:rsidRPr="00FB564C">
        <w:rPr>
          <w:rFonts w:ascii="Times New Roman" w:hAnsi="Times New Roman" w:cs="Times New Roman"/>
          <w:b/>
          <w:i w:val="0"/>
          <w:szCs w:val="28"/>
        </w:rPr>
        <w:t>ORDER</w:t>
      </w:r>
    </w:p>
    <w:p w14:paraId="74748D08" w14:textId="77777777" w:rsidR="004514F5" w:rsidRPr="00FB564C" w:rsidRDefault="004514F5" w:rsidP="004514F5">
      <w:pPr>
        <w:spacing w:line="240" w:lineRule="auto"/>
        <w:rPr>
          <w:b/>
          <w:bCs/>
          <w:sz w:val="28"/>
          <w:szCs w:val="28"/>
        </w:rPr>
      </w:pPr>
    </w:p>
    <w:p w14:paraId="36535C86" w14:textId="77777777" w:rsidR="00DD6468" w:rsidRPr="00FB564C" w:rsidRDefault="004514F5" w:rsidP="004514F5">
      <w:pPr>
        <w:rPr>
          <w:bCs/>
          <w:sz w:val="28"/>
          <w:szCs w:val="28"/>
        </w:rPr>
      </w:pPr>
      <w:r w:rsidRPr="00FB564C">
        <w:rPr>
          <w:b/>
          <w:bCs/>
          <w:sz w:val="28"/>
          <w:szCs w:val="28"/>
        </w:rPr>
        <w:t xml:space="preserve">On appeal from: </w:t>
      </w:r>
      <w:r w:rsidRPr="00FB564C">
        <w:rPr>
          <w:bCs/>
          <w:sz w:val="28"/>
          <w:szCs w:val="28"/>
        </w:rPr>
        <w:t>Western Cape Division of the High Court, Cape Town (Ndita J, sitting as court of first instance)</w:t>
      </w:r>
      <w:r w:rsidR="00DD6468" w:rsidRPr="00FB564C">
        <w:rPr>
          <w:bCs/>
          <w:sz w:val="28"/>
          <w:szCs w:val="28"/>
        </w:rPr>
        <w:t>:</w:t>
      </w:r>
    </w:p>
    <w:p w14:paraId="61B4CF6C" w14:textId="0A1D361E" w:rsidR="005B2546" w:rsidRPr="003877E2" w:rsidRDefault="003877E2" w:rsidP="003877E2">
      <w:pPr>
        <w:spacing w:after="160"/>
        <w:rPr>
          <w:sz w:val="28"/>
          <w:szCs w:val="28"/>
        </w:rPr>
      </w:pPr>
      <w:bookmarkStart w:id="3" w:name="_Hlk134443614"/>
      <w:r w:rsidRPr="00FB564C">
        <w:rPr>
          <w:sz w:val="28"/>
          <w:szCs w:val="28"/>
        </w:rPr>
        <w:t>1</w:t>
      </w:r>
      <w:r w:rsidRPr="00FB564C">
        <w:rPr>
          <w:sz w:val="28"/>
          <w:szCs w:val="28"/>
        </w:rPr>
        <w:tab/>
      </w:r>
      <w:r w:rsidR="005B2546" w:rsidRPr="003877E2">
        <w:rPr>
          <w:sz w:val="28"/>
          <w:szCs w:val="28"/>
        </w:rPr>
        <w:t>Each of the two applications to stay the appeal and the cross-appeal is dismissed with costs</w:t>
      </w:r>
      <w:r w:rsidR="0027351F" w:rsidRPr="003877E2">
        <w:rPr>
          <w:sz w:val="28"/>
          <w:szCs w:val="28"/>
        </w:rPr>
        <w:t>,</w:t>
      </w:r>
      <w:r w:rsidR="005B2546" w:rsidRPr="003877E2">
        <w:rPr>
          <w:sz w:val="28"/>
          <w:szCs w:val="28"/>
        </w:rPr>
        <w:t xml:space="preserve"> including the costs of two counsel.</w:t>
      </w:r>
    </w:p>
    <w:p w14:paraId="70865074" w14:textId="6B59170A" w:rsidR="005B2546" w:rsidRPr="003877E2" w:rsidRDefault="003877E2" w:rsidP="003877E2">
      <w:pPr>
        <w:rPr>
          <w:sz w:val="28"/>
          <w:szCs w:val="28"/>
        </w:rPr>
      </w:pPr>
      <w:bookmarkStart w:id="4" w:name="_GoBack"/>
      <w:bookmarkEnd w:id="4"/>
      <w:r w:rsidRPr="00FB564C">
        <w:rPr>
          <w:sz w:val="28"/>
          <w:szCs w:val="28"/>
        </w:rPr>
        <w:t>2</w:t>
      </w:r>
      <w:r w:rsidRPr="00FB564C">
        <w:rPr>
          <w:sz w:val="28"/>
          <w:szCs w:val="28"/>
        </w:rPr>
        <w:tab/>
      </w:r>
      <w:r w:rsidR="005B2546" w:rsidRPr="003877E2">
        <w:rPr>
          <w:sz w:val="28"/>
          <w:szCs w:val="28"/>
        </w:rPr>
        <w:t xml:space="preserve">The appeal is dismissed with costs, including the costs of two counsel, such costs to be paid jointly and severally by the appellants. </w:t>
      </w:r>
    </w:p>
    <w:p w14:paraId="6BC95365" w14:textId="56C07DEC" w:rsidR="005B2546" w:rsidRPr="003877E2" w:rsidRDefault="003877E2" w:rsidP="003877E2">
      <w:pPr>
        <w:rPr>
          <w:sz w:val="28"/>
          <w:szCs w:val="28"/>
        </w:rPr>
      </w:pPr>
      <w:r w:rsidRPr="00FB564C">
        <w:rPr>
          <w:sz w:val="28"/>
          <w:szCs w:val="28"/>
        </w:rPr>
        <w:t>3</w:t>
      </w:r>
      <w:r w:rsidRPr="00FB564C">
        <w:rPr>
          <w:sz w:val="28"/>
          <w:szCs w:val="28"/>
        </w:rPr>
        <w:tab/>
      </w:r>
      <w:r w:rsidR="005B2546" w:rsidRPr="003877E2">
        <w:rPr>
          <w:sz w:val="28"/>
          <w:szCs w:val="28"/>
        </w:rPr>
        <w:t>The cross-appeal is upheld with costs, including the cost</w:t>
      </w:r>
      <w:r w:rsidR="0027351F" w:rsidRPr="003877E2">
        <w:rPr>
          <w:sz w:val="28"/>
          <w:szCs w:val="28"/>
        </w:rPr>
        <w:t>s</w:t>
      </w:r>
      <w:r w:rsidR="005B2546" w:rsidRPr="003877E2">
        <w:rPr>
          <w:sz w:val="28"/>
          <w:szCs w:val="28"/>
        </w:rPr>
        <w:t xml:space="preserve"> of two counsel, such costs to be paid jointly and severally by the appellants. </w:t>
      </w:r>
    </w:p>
    <w:p w14:paraId="25914134" w14:textId="149E5997" w:rsidR="005B2546" w:rsidRPr="003877E2" w:rsidRDefault="003877E2" w:rsidP="003877E2">
      <w:pPr>
        <w:rPr>
          <w:sz w:val="28"/>
          <w:szCs w:val="28"/>
        </w:rPr>
      </w:pPr>
      <w:r w:rsidRPr="00FB564C">
        <w:rPr>
          <w:sz w:val="28"/>
          <w:szCs w:val="28"/>
        </w:rPr>
        <w:t>4</w:t>
      </w:r>
      <w:r w:rsidRPr="00FB564C">
        <w:rPr>
          <w:sz w:val="28"/>
          <w:szCs w:val="28"/>
        </w:rPr>
        <w:tab/>
      </w:r>
      <w:r w:rsidR="005B2546" w:rsidRPr="003877E2">
        <w:rPr>
          <w:sz w:val="28"/>
          <w:szCs w:val="28"/>
        </w:rPr>
        <w:t>The high court’s order is set aside and replaced with the following:</w:t>
      </w:r>
    </w:p>
    <w:p w14:paraId="507F36F0" w14:textId="0D81E7D2" w:rsidR="005B2546" w:rsidRPr="00FB564C" w:rsidRDefault="005B2546" w:rsidP="00E71A2B">
      <w:pPr>
        <w:pStyle w:val="ListParagraph"/>
        <w:ind w:left="709"/>
        <w:rPr>
          <w:sz w:val="28"/>
          <w:szCs w:val="28"/>
        </w:rPr>
      </w:pPr>
      <w:r w:rsidRPr="00FB564C">
        <w:rPr>
          <w:sz w:val="28"/>
          <w:szCs w:val="28"/>
        </w:rPr>
        <w:t>‘1</w:t>
      </w:r>
      <w:r w:rsidRPr="00FB564C">
        <w:rPr>
          <w:sz w:val="28"/>
          <w:szCs w:val="28"/>
        </w:rPr>
        <w:tab/>
        <w:t>In respect of the claim for diversion of a corporate opportunity, the first, second, third and twelfth defendants in case number 10</w:t>
      </w:r>
      <w:r w:rsidR="00514F78" w:rsidRPr="00FB564C">
        <w:rPr>
          <w:sz w:val="28"/>
          <w:szCs w:val="28"/>
        </w:rPr>
        <w:t>9</w:t>
      </w:r>
      <w:r w:rsidRPr="00FB564C">
        <w:rPr>
          <w:sz w:val="28"/>
          <w:szCs w:val="28"/>
        </w:rPr>
        <w:t xml:space="preserve">84/2014 are jointly and severally liable to the plaintiff for payment in the amount </w:t>
      </w:r>
      <w:r w:rsidR="00180613" w:rsidRPr="00FB564C">
        <w:rPr>
          <w:sz w:val="28"/>
          <w:szCs w:val="28"/>
        </w:rPr>
        <w:t xml:space="preserve">of </w:t>
      </w:r>
      <w:r w:rsidRPr="00FB564C">
        <w:rPr>
          <w:sz w:val="28"/>
          <w:szCs w:val="28"/>
        </w:rPr>
        <w:t>R232 622 338.96</w:t>
      </w:r>
      <w:r w:rsidR="00624C38" w:rsidRPr="00FB564C">
        <w:rPr>
          <w:sz w:val="28"/>
          <w:szCs w:val="28"/>
        </w:rPr>
        <w:t>,</w:t>
      </w:r>
      <w:r w:rsidRPr="00FB564C">
        <w:rPr>
          <w:sz w:val="28"/>
          <w:szCs w:val="28"/>
        </w:rPr>
        <w:t xml:space="preserve"> together with interest thereon at the rate of 15.5% per annum from the date of the issue of summons on 25 June 2014 to date of payment. </w:t>
      </w:r>
    </w:p>
    <w:p w14:paraId="3B6B873B" w14:textId="4E96504F" w:rsidR="005B2546" w:rsidRPr="003877E2" w:rsidRDefault="003877E2" w:rsidP="003877E2">
      <w:pPr>
        <w:spacing w:after="240"/>
        <w:ind w:left="709"/>
        <w:rPr>
          <w:sz w:val="28"/>
          <w:szCs w:val="28"/>
        </w:rPr>
      </w:pPr>
      <w:r w:rsidRPr="00FB564C">
        <w:rPr>
          <w:sz w:val="28"/>
          <w:szCs w:val="28"/>
        </w:rPr>
        <w:t>2</w:t>
      </w:r>
      <w:r w:rsidRPr="00FB564C">
        <w:rPr>
          <w:sz w:val="28"/>
          <w:szCs w:val="28"/>
        </w:rPr>
        <w:tab/>
      </w:r>
      <w:r w:rsidR="005B2546" w:rsidRPr="003877E2">
        <w:rPr>
          <w:sz w:val="28"/>
          <w:szCs w:val="28"/>
        </w:rPr>
        <w:t>It is declared that the fourth and fifth defendants in case number 109</w:t>
      </w:r>
      <w:r w:rsidR="00E072A5" w:rsidRPr="003877E2">
        <w:rPr>
          <w:sz w:val="28"/>
          <w:szCs w:val="28"/>
        </w:rPr>
        <w:t>8</w:t>
      </w:r>
      <w:r w:rsidR="005B2546" w:rsidRPr="003877E2">
        <w:rPr>
          <w:sz w:val="28"/>
          <w:szCs w:val="28"/>
        </w:rPr>
        <w:t xml:space="preserve">4/2014 are jointly and severally liable with the first, second, third and twelfth defendants for the aforesaid amount </w:t>
      </w:r>
      <w:r w:rsidR="00180613" w:rsidRPr="003877E2">
        <w:rPr>
          <w:sz w:val="28"/>
          <w:szCs w:val="28"/>
        </w:rPr>
        <w:t xml:space="preserve">of </w:t>
      </w:r>
      <w:r w:rsidR="00E072A5" w:rsidRPr="003877E2">
        <w:rPr>
          <w:sz w:val="28"/>
          <w:szCs w:val="28"/>
        </w:rPr>
        <w:t xml:space="preserve">R232 622 338.96, </w:t>
      </w:r>
      <w:r w:rsidR="005B2546" w:rsidRPr="003877E2">
        <w:rPr>
          <w:sz w:val="28"/>
          <w:szCs w:val="28"/>
        </w:rPr>
        <w:t>to the extent of R94 550 025.96</w:t>
      </w:r>
      <w:r w:rsidR="00624C38" w:rsidRPr="003877E2">
        <w:rPr>
          <w:sz w:val="28"/>
          <w:szCs w:val="28"/>
        </w:rPr>
        <w:t>,</w:t>
      </w:r>
      <w:r w:rsidR="005B2546" w:rsidRPr="003877E2">
        <w:rPr>
          <w:sz w:val="28"/>
          <w:szCs w:val="28"/>
        </w:rPr>
        <w:t xml:space="preserve"> together with interest thereon at the rate of 15.5% per annum from the date of the issue of summons on 25 June 2014 to date of payment. </w:t>
      </w:r>
    </w:p>
    <w:p w14:paraId="272FA772" w14:textId="5DCBCD8F" w:rsidR="005B2546" w:rsidRPr="003877E2" w:rsidRDefault="003877E2" w:rsidP="003877E2">
      <w:pPr>
        <w:spacing w:after="240"/>
        <w:ind w:left="709"/>
        <w:rPr>
          <w:sz w:val="28"/>
          <w:szCs w:val="28"/>
        </w:rPr>
      </w:pPr>
      <w:r w:rsidRPr="00FB564C">
        <w:rPr>
          <w:sz w:val="28"/>
          <w:szCs w:val="28"/>
        </w:rPr>
        <w:lastRenderedPageBreak/>
        <w:t>3</w:t>
      </w:r>
      <w:r w:rsidRPr="00FB564C">
        <w:rPr>
          <w:sz w:val="28"/>
          <w:szCs w:val="28"/>
        </w:rPr>
        <w:tab/>
      </w:r>
      <w:r w:rsidR="005B2546" w:rsidRPr="003877E2">
        <w:rPr>
          <w:sz w:val="28"/>
          <w:szCs w:val="28"/>
        </w:rPr>
        <w:t>In respect of the claim for excessive management and performance fees, the first, second, third, twelfth and thirteenth defendants, and the fourth and fifth defendants, in case number 10</w:t>
      </w:r>
      <w:r w:rsidR="00E072A5" w:rsidRPr="003877E2">
        <w:rPr>
          <w:sz w:val="28"/>
          <w:szCs w:val="28"/>
        </w:rPr>
        <w:t>9</w:t>
      </w:r>
      <w:r w:rsidR="005B2546" w:rsidRPr="003877E2">
        <w:rPr>
          <w:sz w:val="28"/>
          <w:szCs w:val="28"/>
        </w:rPr>
        <w:t xml:space="preserve">84/2014 are held to be jointly and severally liable to the plaintiff for the payment of such amount as may be agreed between the parties or failing agreement, determined </w:t>
      </w:r>
      <w:r w:rsidR="00051185" w:rsidRPr="003877E2">
        <w:rPr>
          <w:sz w:val="28"/>
          <w:szCs w:val="28"/>
        </w:rPr>
        <w:t>t</w:t>
      </w:r>
      <w:r w:rsidR="005B2546" w:rsidRPr="003877E2">
        <w:rPr>
          <w:sz w:val="28"/>
          <w:szCs w:val="28"/>
        </w:rPr>
        <w:t>hereafter by th</w:t>
      </w:r>
      <w:r w:rsidR="004E63B8" w:rsidRPr="003877E2">
        <w:rPr>
          <w:sz w:val="28"/>
          <w:szCs w:val="28"/>
        </w:rPr>
        <w:t>e high</w:t>
      </w:r>
      <w:r w:rsidR="005B2546" w:rsidRPr="003877E2">
        <w:rPr>
          <w:sz w:val="28"/>
          <w:szCs w:val="28"/>
        </w:rPr>
        <w:t xml:space="preserve"> court to be due, owing and payable together with interest </w:t>
      </w:r>
      <w:r w:rsidR="00170004" w:rsidRPr="003877E2">
        <w:rPr>
          <w:sz w:val="28"/>
          <w:szCs w:val="28"/>
        </w:rPr>
        <w:t>there</w:t>
      </w:r>
      <w:r w:rsidR="005B2546" w:rsidRPr="003877E2">
        <w:rPr>
          <w:sz w:val="28"/>
          <w:szCs w:val="28"/>
        </w:rPr>
        <w:t>on at the rate of 15.5% per annum from the date of the issue of summons on 25 June 2014 to date of payment.</w:t>
      </w:r>
    </w:p>
    <w:p w14:paraId="6A377F0D" w14:textId="6391596B" w:rsidR="005B2546" w:rsidRPr="003877E2" w:rsidRDefault="003877E2" w:rsidP="003877E2">
      <w:pPr>
        <w:spacing w:after="240"/>
        <w:ind w:left="709"/>
        <w:rPr>
          <w:sz w:val="28"/>
          <w:szCs w:val="28"/>
        </w:rPr>
      </w:pPr>
      <w:r w:rsidRPr="00FB564C">
        <w:rPr>
          <w:sz w:val="28"/>
          <w:szCs w:val="28"/>
        </w:rPr>
        <w:t>4</w:t>
      </w:r>
      <w:r w:rsidRPr="00FB564C">
        <w:rPr>
          <w:sz w:val="28"/>
          <w:szCs w:val="28"/>
        </w:rPr>
        <w:tab/>
      </w:r>
      <w:r w:rsidR="005B2546" w:rsidRPr="003877E2">
        <w:rPr>
          <w:sz w:val="28"/>
          <w:szCs w:val="28"/>
        </w:rPr>
        <w:t>In respect of the claim for other fees irregularly charged, the first, second, third, twelfth and thirteenth defendants, and the fourth and fifth defendants, in case number 10</w:t>
      </w:r>
      <w:r w:rsidR="00E072A5" w:rsidRPr="003877E2">
        <w:rPr>
          <w:sz w:val="28"/>
          <w:szCs w:val="28"/>
        </w:rPr>
        <w:t>9</w:t>
      </w:r>
      <w:r w:rsidR="005B2546" w:rsidRPr="003877E2">
        <w:rPr>
          <w:sz w:val="28"/>
          <w:szCs w:val="28"/>
        </w:rPr>
        <w:t xml:space="preserve">84/2014 are jointly and severally liable to the plaintiff for payment of the amount of R10 734 524.45 together with interest </w:t>
      </w:r>
      <w:r w:rsidR="00170004" w:rsidRPr="003877E2">
        <w:rPr>
          <w:sz w:val="28"/>
          <w:szCs w:val="28"/>
        </w:rPr>
        <w:t>there</w:t>
      </w:r>
      <w:r w:rsidR="005B2546" w:rsidRPr="003877E2">
        <w:rPr>
          <w:sz w:val="28"/>
          <w:szCs w:val="28"/>
        </w:rPr>
        <w:t xml:space="preserve">on at the rate of 15.5% per annum from the date of </w:t>
      </w:r>
      <w:r w:rsidR="00051185" w:rsidRPr="003877E2">
        <w:rPr>
          <w:sz w:val="28"/>
          <w:szCs w:val="28"/>
        </w:rPr>
        <w:t xml:space="preserve">the </w:t>
      </w:r>
      <w:r w:rsidR="005B2546" w:rsidRPr="003877E2">
        <w:rPr>
          <w:sz w:val="28"/>
          <w:szCs w:val="28"/>
        </w:rPr>
        <w:t xml:space="preserve">issue of summons on 25 June 2014 to date of payment. The thirteenth defendant is excluded from any liability for fees paid prior to September 2007. </w:t>
      </w:r>
    </w:p>
    <w:p w14:paraId="6E12103A" w14:textId="37E67838" w:rsidR="005B2546" w:rsidRPr="003877E2" w:rsidRDefault="003877E2" w:rsidP="003877E2">
      <w:pPr>
        <w:spacing w:after="240"/>
        <w:ind w:left="709"/>
        <w:rPr>
          <w:sz w:val="28"/>
          <w:szCs w:val="28"/>
        </w:rPr>
      </w:pPr>
      <w:r w:rsidRPr="00FB564C">
        <w:rPr>
          <w:sz w:val="28"/>
          <w:szCs w:val="28"/>
        </w:rPr>
        <w:t>5</w:t>
      </w:r>
      <w:r w:rsidRPr="00FB564C">
        <w:rPr>
          <w:sz w:val="28"/>
          <w:szCs w:val="28"/>
        </w:rPr>
        <w:tab/>
      </w:r>
      <w:r w:rsidR="005B2546" w:rsidRPr="003877E2">
        <w:rPr>
          <w:sz w:val="28"/>
          <w:szCs w:val="28"/>
        </w:rPr>
        <w:t xml:space="preserve">The second option cancellation agreement, the transfer of shares in Rapicorp 122 (Pty) Ltd and Rapicorp 123 (Pty) Ltd pursuant to that agreement, and the creation of a loan of R6 700 000 in favour of the fourth and fifth defendants are declared to be void </w:t>
      </w:r>
      <w:r w:rsidR="005B2546" w:rsidRPr="003877E2">
        <w:rPr>
          <w:i/>
          <w:iCs/>
          <w:sz w:val="28"/>
          <w:szCs w:val="28"/>
        </w:rPr>
        <w:t>ab origine</w:t>
      </w:r>
      <w:r w:rsidR="005B2546" w:rsidRPr="003877E2">
        <w:rPr>
          <w:sz w:val="28"/>
          <w:szCs w:val="28"/>
        </w:rPr>
        <w:t>, and the plaintiff is authorised to reverse the said loan account and alter the share register accordingly.</w:t>
      </w:r>
    </w:p>
    <w:p w14:paraId="46058099" w14:textId="10AC88FC" w:rsidR="005B2546" w:rsidRPr="003877E2" w:rsidRDefault="003877E2" w:rsidP="003877E2">
      <w:pPr>
        <w:spacing w:after="240"/>
        <w:ind w:left="709"/>
        <w:rPr>
          <w:sz w:val="28"/>
          <w:szCs w:val="28"/>
        </w:rPr>
      </w:pPr>
      <w:r w:rsidRPr="00FB564C">
        <w:rPr>
          <w:sz w:val="28"/>
          <w:szCs w:val="28"/>
        </w:rPr>
        <w:t>6</w:t>
      </w:r>
      <w:r w:rsidRPr="00FB564C">
        <w:rPr>
          <w:sz w:val="28"/>
          <w:szCs w:val="28"/>
        </w:rPr>
        <w:tab/>
      </w:r>
      <w:r w:rsidR="005B2546" w:rsidRPr="003877E2">
        <w:rPr>
          <w:sz w:val="28"/>
          <w:szCs w:val="28"/>
        </w:rPr>
        <w:t>The fourth and fifth defendants are liable for payment to the plaintiff in the amount of R500</w:t>
      </w:r>
      <w:r w:rsidR="00624C38" w:rsidRPr="003877E2">
        <w:rPr>
          <w:sz w:val="28"/>
          <w:szCs w:val="28"/>
        </w:rPr>
        <w:t> </w:t>
      </w:r>
      <w:r w:rsidR="005B2546" w:rsidRPr="003877E2">
        <w:rPr>
          <w:sz w:val="28"/>
          <w:szCs w:val="28"/>
        </w:rPr>
        <w:t>000</w:t>
      </w:r>
      <w:r w:rsidR="00624C38" w:rsidRPr="003877E2">
        <w:rPr>
          <w:sz w:val="28"/>
          <w:szCs w:val="28"/>
        </w:rPr>
        <w:t>,</w:t>
      </w:r>
      <w:r w:rsidR="005B2546" w:rsidRPr="003877E2">
        <w:rPr>
          <w:sz w:val="28"/>
          <w:szCs w:val="28"/>
        </w:rPr>
        <w:t xml:space="preserve"> together with interest thereon at the rate of 15.5% per annum from the date of the issue of summons on 25 June 2014 to date of payment.</w:t>
      </w:r>
    </w:p>
    <w:p w14:paraId="21D91DB3" w14:textId="39C9097D" w:rsidR="005B2546" w:rsidRPr="00FB564C" w:rsidRDefault="002D331A" w:rsidP="00C755AF">
      <w:pPr>
        <w:pStyle w:val="ListParagraph"/>
        <w:ind w:left="709"/>
        <w:rPr>
          <w:sz w:val="28"/>
          <w:szCs w:val="28"/>
        </w:rPr>
      </w:pPr>
      <w:r w:rsidRPr="00FB564C">
        <w:rPr>
          <w:sz w:val="28"/>
          <w:szCs w:val="28"/>
        </w:rPr>
        <w:lastRenderedPageBreak/>
        <w:t>7(a)</w:t>
      </w:r>
      <w:r w:rsidR="0061253C" w:rsidRPr="00FB564C">
        <w:rPr>
          <w:sz w:val="28"/>
          <w:szCs w:val="28"/>
        </w:rPr>
        <w:t xml:space="preserve"> </w:t>
      </w:r>
      <w:r w:rsidRPr="00FB564C">
        <w:rPr>
          <w:sz w:val="28"/>
          <w:szCs w:val="28"/>
        </w:rPr>
        <w:tab/>
      </w:r>
      <w:r w:rsidR="004E63B8" w:rsidRPr="00FB564C">
        <w:rPr>
          <w:sz w:val="28"/>
          <w:szCs w:val="28"/>
        </w:rPr>
        <w:t>Regarding t</w:t>
      </w:r>
      <w:r w:rsidR="0061253C" w:rsidRPr="00FB564C">
        <w:rPr>
          <w:sz w:val="28"/>
          <w:szCs w:val="28"/>
        </w:rPr>
        <w:t>he c</w:t>
      </w:r>
      <w:r w:rsidR="005B2546" w:rsidRPr="00FB564C">
        <w:rPr>
          <w:sz w:val="28"/>
          <w:szCs w:val="28"/>
        </w:rPr>
        <w:t>osts incurred prior to the date upon which it was agreed that the actions under case number 10</w:t>
      </w:r>
      <w:r w:rsidR="00180613" w:rsidRPr="00FB564C">
        <w:rPr>
          <w:sz w:val="28"/>
          <w:szCs w:val="28"/>
        </w:rPr>
        <w:t>98</w:t>
      </w:r>
      <w:r w:rsidR="005B2546" w:rsidRPr="00FB564C">
        <w:rPr>
          <w:sz w:val="28"/>
          <w:szCs w:val="28"/>
        </w:rPr>
        <w:t>4/2014 and case number 1534/2013 be consolidated for the purposes of trial (the</w:t>
      </w:r>
      <w:r w:rsidR="00704D1F" w:rsidRPr="00FB564C">
        <w:rPr>
          <w:sz w:val="28"/>
          <w:szCs w:val="28"/>
        </w:rPr>
        <w:t> </w:t>
      </w:r>
      <w:r w:rsidR="005B2546" w:rsidRPr="00FB564C">
        <w:rPr>
          <w:sz w:val="28"/>
          <w:szCs w:val="28"/>
        </w:rPr>
        <w:t>consolidation date), the first, second, third, twelfth and thirteenth defendants, and the fourth and fifth defendants, in case number 109</w:t>
      </w:r>
      <w:r w:rsidR="00180613" w:rsidRPr="00FB564C">
        <w:rPr>
          <w:sz w:val="28"/>
          <w:szCs w:val="28"/>
        </w:rPr>
        <w:t>8</w:t>
      </w:r>
      <w:r w:rsidR="005B2546" w:rsidRPr="00FB564C">
        <w:rPr>
          <w:sz w:val="28"/>
          <w:szCs w:val="28"/>
        </w:rPr>
        <w:t xml:space="preserve">4/2014 shall be jointly and severally liable </w:t>
      </w:r>
      <w:bookmarkStart w:id="5" w:name="_Hlk134134046"/>
      <w:r w:rsidR="005B2546" w:rsidRPr="00FB564C">
        <w:rPr>
          <w:sz w:val="28"/>
          <w:szCs w:val="28"/>
        </w:rPr>
        <w:t>for the plaintiff’s costs in that action</w:t>
      </w:r>
      <w:bookmarkEnd w:id="5"/>
      <w:r w:rsidR="005B2546" w:rsidRPr="00FB564C">
        <w:rPr>
          <w:sz w:val="28"/>
          <w:szCs w:val="28"/>
        </w:rPr>
        <w:t>; and the first and third defendants, and the first defendant in his representative capacity with the second defendant, in case number 15</w:t>
      </w:r>
      <w:r w:rsidR="008562C7" w:rsidRPr="00FB564C">
        <w:rPr>
          <w:sz w:val="28"/>
          <w:szCs w:val="28"/>
        </w:rPr>
        <w:t>3</w:t>
      </w:r>
      <w:r w:rsidR="005B2546" w:rsidRPr="00FB564C">
        <w:rPr>
          <w:sz w:val="28"/>
          <w:szCs w:val="28"/>
        </w:rPr>
        <w:t xml:space="preserve">4/2013 shall be jointly and severally liable for the plaintiff’s costs in that action. </w:t>
      </w:r>
    </w:p>
    <w:p w14:paraId="4D3B04C2" w14:textId="37514128" w:rsidR="005B2546" w:rsidRPr="00FB564C" w:rsidRDefault="005B2546">
      <w:pPr>
        <w:ind w:left="709"/>
        <w:rPr>
          <w:sz w:val="28"/>
          <w:szCs w:val="28"/>
        </w:rPr>
      </w:pPr>
      <w:r w:rsidRPr="00FB564C">
        <w:rPr>
          <w:sz w:val="28"/>
          <w:szCs w:val="28"/>
        </w:rPr>
        <w:t xml:space="preserve">(b) </w:t>
      </w:r>
      <w:r w:rsidR="002D331A" w:rsidRPr="00FB564C">
        <w:rPr>
          <w:sz w:val="28"/>
          <w:szCs w:val="28"/>
        </w:rPr>
        <w:tab/>
      </w:r>
      <w:r w:rsidRPr="00FB564C">
        <w:rPr>
          <w:sz w:val="28"/>
          <w:szCs w:val="28"/>
        </w:rPr>
        <w:t xml:space="preserve">The costs incurred after the consolidation date shall be regarded as indivisible as between the two actions. </w:t>
      </w:r>
    </w:p>
    <w:p w14:paraId="248C187E" w14:textId="4438B7B1" w:rsidR="005B2546" w:rsidRPr="00FB564C" w:rsidRDefault="005B2546">
      <w:pPr>
        <w:ind w:left="709"/>
        <w:rPr>
          <w:sz w:val="28"/>
          <w:szCs w:val="28"/>
        </w:rPr>
      </w:pPr>
      <w:r w:rsidRPr="00FB564C">
        <w:rPr>
          <w:sz w:val="28"/>
          <w:szCs w:val="28"/>
        </w:rPr>
        <w:t xml:space="preserve">(c) </w:t>
      </w:r>
      <w:r w:rsidR="002D331A" w:rsidRPr="00FB564C">
        <w:rPr>
          <w:sz w:val="28"/>
          <w:szCs w:val="28"/>
        </w:rPr>
        <w:tab/>
      </w:r>
      <w:r w:rsidRPr="00FB564C">
        <w:rPr>
          <w:sz w:val="28"/>
          <w:szCs w:val="28"/>
        </w:rPr>
        <w:t>The first, second, third, twelfth and thirteenth defendants, and the fourth and fifth defendants, in case number 109</w:t>
      </w:r>
      <w:r w:rsidR="00180613" w:rsidRPr="00FB564C">
        <w:rPr>
          <w:sz w:val="28"/>
          <w:szCs w:val="28"/>
        </w:rPr>
        <w:t>8</w:t>
      </w:r>
      <w:r w:rsidRPr="00FB564C">
        <w:rPr>
          <w:sz w:val="28"/>
          <w:szCs w:val="28"/>
        </w:rPr>
        <w:t xml:space="preserve">4/2014 are jointly and severally liable for the plaintiff’s costs incurred after the consolidation date, including the costs of three counsel where so employed. </w:t>
      </w:r>
    </w:p>
    <w:p w14:paraId="5C234D6A" w14:textId="69F3CCDE" w:rsidR="005B2546" w:rsidRPr="00FB564C" w:rsidRDefault="005B2546">
      <w:pPr>
        <w:ind w:left="709"/>
        <w:rPr>
          <w:sz w:val="28"/>
          <w:szCs w:val="28"/>
        </w:rPr>
      </w:pPr>
      <w:r w:rsidRPr="00FB564C">
        <w:rPr>
          <w:sz w:val="28"/>
          <w:szCs w:val="28"/>
        </w:rPr>
        <w:t xml:space="preserve">(d) </w:t>
      </w:r>
      <w:r w:rsidR="002D331A" w:rsidRPr="00FB564C">
        <w:rPr>
          <w:sz w:val="28"/>
          <w:szCs w:val="28"/>
        </w:rPr>
        <w:tab/>
      </w:r>
      <w:r w:rsidRPr="00FB564C">
        <w:rPr>
          <w:sz w:val="28"/>
          <w:szCs w:val="28"/>
        </w:rPr>
        <w:t>Each party shall bear the costs of its own expert witnesses.</w:t>
      </w:r>
      <w:r w:rsidR="0061253C" w:rsidRPr="00FB564C">
        <w:rPr>
          <w:sz w:val="28"/>
          <w:szCs w:val="28"/>
        </w:rPr>
        <w:t>’</w:t>
      </w:r>
    </w:p>
    <w:p w14:paraId="14D773ED" w14:textId="2EBF0B5D" w:rsidR="005B2546" w:rsidRPr="003877E2" w:rsidRDefault="003877E2" w:rsidP="003877E2">
      <w:pPr>
        <w:tabs>
          <w:tab w:val="left" w:pos="0"/>
        </w:tabs>
        <w:spacing w:after="160"/>
        <w:ind w:hanging="11"/>
        <w:rPr>
          <w:sz w:val="28"/>
          <w:szCs w:val="28"/>
        </w:rPr>
      </w:pPr>
      <w:r w:rsidRPr="00FB564C">
        <w:rPr>
          <w:sz w:val="28"/>
          <w:szCs w:val="28"/>
        </w:rPr>
        <w:t>5</w:t>
      </w:r>
      <w:r w:rsidRPr="00FB564C">
        <w:rPr>
          <w:sz w:val="28"/>
          <w:szCs w:val="28"/>
        </w:rPr>
        <w:tab/>
      </w:r>
      <w:r w:rsidR="005B2546" w:rsidRPr="003877E2">
        <w:rPr>
          <w:sz w:val="28"/>
          <w:szCs w:val="28"/>
        </w:rPr>
        <w:t>The orders for payment set out in paragraphs 1, 2, 4 and 6 of the judgment of the high court, as altered by this order, shall be executable immediately upon delivery of this judgment.</w:t>
      </w:r>
    </w:p>
    <w:p w14:paraId="288710EF" w14:textId="0CCD093B" w:rsidR="005B2546" w:rsidRPr="003877E2" w:rsidRDefault="003877E2" w:rsidP="003877E2">
      <w:pPr>
        <w:tabs>
          <w:tab w:val="left" w:pos="0"/>
        </w:tabs>
        <w:rPr>
          <w:sz w:val="28"/>
          <w:szCs w:val="28"/>
        </w:rPr>
      </w:pPr>
      <w:r w:rsidRPr="00FB564C">
        <w:rPr>
          <w:sz w:val="28"/>
          <w:szCs w:val="28"/>
        </w:rPr>
        <w:t>6</w:t>
      </w:r>
      <w:r w:rsidRPr="00FB564C">
        <w:rPr>
          <w:sz w:val="28"/>
          <w:szCs w:val="28"/>
        </w:rPr>
        <w:tab/>
      </w:r>
      <w:r w:rsidR="005B2546" w:rsidRPr="003877E2">
        <w:rPr>
          <w:sz w:val="28"/>
          <w:szCs w:val="28"/>
        </w:rPr>
        <w:t>In respect of the claim for excessive payment of performance and management fees, the parties are directed to make further calculations, debate them, and apply to the high court for determination of them if agreement on the amount is not reached within 30 days</w:t>
      </w:r>
      <w:r w:rsidR="0061253C" w:rsidRPr="003877E2">
        <w:rPr>
          <w:sz w:val="28"/>
          <w:szCs w:val="28"/>
        </w:rPr>
        <w:t xml:space="preserve"> of this order</w:t>
      </w:r>
      <w:r w:rsidR="005B2546" w:rsidRPr="003877E2">
        <w:rPr>
          <w:sz w:val="28"/>
          <w:szCs w:val="28"/>
        </w:rPr>
        <w:t>. The input into the calculations for land value shall be R160 million, or any lesser amount that might have been actually used at the material time, up to</w:t>
      </w:r>
      <w:r w:rsidR="00CB482F" w:rsidRPr="003877E2">
        <w:rPr>
          <w:sz w:val="28"/>
          <w:szCs w:val="28"/>
        </w:rPr>
        <w:t xml:space="preserve"> </w:t>
      </w:r>
      <w:r w:rsidR="005B2546" w:rsidRPr="003877E2">
        <w:rPr>
          <w:sz w:val="28"/>
          <w:szCs w:val="28"/>
        </w:rPr>
        <w:t xml:space="preserve">31 December 2007; and R211 million as at 31 December 2007, to be escalated at 5% per annum thereafter. No sand value shall be included </w:t>
      </w:r>
      <w:r w:rsidR="005B2546" w:rsidRPr="003877E2">
        <w:rPr>
          <w:sz w:val="28"/>
          <w:szCs w:val="28"/>
        </w:rPr>
        <w:lastRenderedPageBreak/>
        <w:t>in the calculations.</w:t>
      </w:r>
      <w:r w:rsidR="0061253C" w:rsidRPr="003877E2">
        <w:rPr>
          <w:sz w:val="28"/>
          <w:szCs w:val="28"/>
        </w:rPr>
        <w:t xml:space="preserve"> No</w:t>
      </w:r>
      <w:r w:rsidR="007B69E9" w:rsidRPr="003877E2">
        <w:rPr>
          <w:sz w:val="28"/>
          <w:szCs w:val="28"/>
        </w:rPr>
        <w:t xml:space="preserve"> set off shall be allowed of instances of overcharging against any instance of undercharging.</w:t>
      </w:r>
    </w:p>
    <w:p w14:paraId="60A15F63" w14:textId="71AD8212" w:rsidR="005B2546" w:rsidRPr="00FB564C" w:rsidRDefault="00EA3203" w:rsidP="0088606D">
      <w:pPr>
        <w:rPr>
          <w:sz w:val="28"/>
          <w:szCs w:val="28"/>
        </w:rPr>
      </w:pPr>
      <w:r w:rsidRPr="00FB564C">
        <w:rPr>
          <w:sz w:val="28"/>
          <w:szCs w:val="28"/>
        </w:rPr>
        <w:t>7</w:t>
      </w:r>
      <w:r w:rsidR="0088606D" w:rsidRPr="00FB564C">
        <w:rPr>
          <w:sz w:val="28"/>
          <w:szCs w:val="28"/>
        </w:rPr>
        <w:tab/>
      </w:r>
      <w:r w:rsidR="005B2546" w:rsidRPr="00FB564C">
        <w:rPr>
          <w:sz w:val="28"/>
          <w:szCs w:val="28"/>
        </w:rPr>
        <w:t>The monetary claim for payment of excessive performance and management fees shall be executable upon the making of an order for such payment by the high court, whether it be for an agreed amount or one determined by the high court.</w:t>
      </w:r>
    </w:p>
    <w:p w14:paraId="6B03EFD4" w14:textId="3AED2FAC" w:rsidR="00C755AF" w:rsidRPr="00FB564C" w:rsidRDefault="002D331A" w:rsidP="00C755AF">
      <w:pPr>
        <w:rPr>
          <w:sz w:val="28"/>
          <w:szCs w:val="28"/>
        </w:rPr>
      </w:pPr>
      <w:r w:rsidRPr="00FB564C">
        <w:rPr>
          <w:sz w:val="28"/>
          <w:szCs w:val="28"/>
        </w:rPr>
        <w:t>8</w:t>
      </w:r>
      <w:r w:rsidR="00C755AF" w:rsidRPr="00FB564C">
        <w:rPr>
          <w:sz w:val="28"/>
          <w:szCs w:val="28"/>
        </w:rPr>
        <w:t xml:space="preserve">        The matter is remitted to the high court.</w:t>
      </w:r>
    </w:p>
    <w:p w14:paraId="788C8B89" w14:textId="58706926" w:rsidR="005B2546" w:rsidRPr="003877E2" w:rsidRDefault="003877E2" w:rsidP="003877E2">
      <w:pPr>
        <w:spacing w:after="160"/>
        <w:rPr>
          <w:sz w:val="28"/>
          <w:szCs w:val="28"/>
        </w:rPr>
      </w:pPr>
      <w:r w:rsidRPr="00FB564C">
        <w:rPr>
          <w:sz w:val="28"/>
          <w:szCs w:val="28"/>
        </w:rPr>
        <w:t>9</w:t>
      </w:r>
      <w:r w:rsidRPr="00FB564C">
        <w:rPr>
          <w:sz w:val="28"/>
          <w:szCs w:val="28"/>
        </w:rPr>
        <w:tab/>
      </w:r>
      <w:r w:rsidR="005B2546" w:rsidRPr="003877E2">
        <w:rPr>
          <w:sz w:val="28"/>
          <w:szCs w:val="28"/>
        </w:rPr>
        <w:t>The Registrar of this Court is directed to forward a copy of this judgment, accompanied by copies of the judgments of the high court</w:t>
      </w:r>
      <w:r w:rsidR="005B2546" w:rsidRPr="003877E2">
        <w:rPr>
          <w:i/>
          <w:sz w:val="28"/>
          <w:szCs w:val="28"/>
        </w:rPr>
        <w:t>,</w:t>
      </w:r>
      <w:r w:rsidR="005B2546" w:rsidRPr="003877E2">
        <w:rPr>
          <w:sz w:val="28"/>
          <w:szCs w:val="28"/>
        </w:rPr>
        <w:t xml:space="preserve"> to the National Commissioner of the South African Police Service and the National Director </w:t>
      </w:r>
      <w:r w:rsidR="007B69E9" w:rsidRPr="003877E2">
        <w:rPr>
          <w:sz w:val="28"/>
          <w:szCs w:val="28"/>
        </w:rPr>
        <w:t>of Public</w:t>
      </w:r>
      <w:r w:rsidR="005B2546" w:rsidRPr="003877E2">
        <w:rPr>
          <w:sz w:val="28"/>
          <w:szCs w:val="28"/>
        </w:rPr>
        <w:t xml:space="preserve"> Prosecutions for investigation and, if so advised, prosecution.</w:t>
      </w:r>
      <w:bookmarkEnd w:id="3"/>
    </w:p>
    <w:p w14:paraId="32A6380D" w14:textId="28756422" w:rsidR="004514F5" w:rsidRPr="00FB564C" w:rsidRDefault="004514F5" w:rsidP="005B2546">
      <w:pPr>
        <w:pBdr>
          <w:bottom w:val="single" w:sz="12" w:space="1" w:color="auto"/>
        </w:pBdr>
        <w:spacing w:line="240" w:lineRule="auto"/>
        <w:rPr>
          <w:b/>
          <w:i/>
          <w:szCs w:val="28"/>
        </w:rPr>
      </w:pPr>
      <w:r w:rsidRPr="00FB564C">
        <w:rPr>
          <w:noProof/>
          <w:sz w:val="28"/>
          <w:szCs w:val="28"/>
          <w:lang w:val="en-US"/>
        </w:rPr>
        <mc:AlternateContent>
          <mc:Choice Requires="wps">
            <w:drawing>
              <wp:anchor distT="0" distB="0" distL="114300" distR="114300" simplePos="0" relativeHeight="251665408" behindDoc="0" locked="0" layoutInCell="1" allowOverlap="1" wp14:anchorId="3B4DCB45" wp14:editId="327BF6BA">
                <wp:simplePos x="0" y="0"/>
                <wp:positionH relativeFrom="column">
                  <wp:posOffset>0</wp:posOffset>
                </wp:positionH>
                <wp:positionV relativeFrom="paragraph">
                  <wp:posOffset>114300</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9D6C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BviCnw/wEAAAwEAAAOAAAAAAAAAAAAAAAAAC4C&#10;AABkcnMvZTJvRG9jLnhtbFBLAQItABQABgAIAAAAIQBUInSH1wAAAAMBAAAPAAAAAAAAAAAAAAAA&#10;AFkEAABkcnMvZG93bnJldi54bWxQSwUGAAAAAAQABADzAAAAXQUAAAAA&#10;">
                <o:lock v:ext="edit" shapetype="f"/>
              </v:line>
            </w:pict>
          </mc:Fallback>
        </mc:AlternateContent>
      </w:r>
    </w:p>
    <w:p w14:paraId="5F98B67D" w14:textId="77777777" w:rsidR="007B69E9" w:rsidRPr="00FB564C" w:rsidRDefault="007B69E9" w:rsidP="004514F5">
      <w:pPr>
        <w:pStyle w:val="Heading3"/>
        <w:pBdr>
          <w:bottom w:val="single" w:sz="12" w:space="12" w:color="auto"/>
        </w:pBdr>
        <w:jc w:val="center"/>
        <w:rPr>
          <w:rFonts w:ascii="Times New Roman" w:hAnsi="Times New Roman" w:cs="Times New Roman"/>
          <w:b/>
          <w:i w:val="0"/>
          <w:szCs w:val="28"/>
        </w:rPr>
      </w:pPr>
    </w:p>
    <w:p w14:paraId="2DC1259D" w14:textId="1F74D193" w:rsidR="004514F5" w:rsidRPr="00FB564C" w:rsidRDefault="004514F5" w:rsidP="004514F5">
      <w:pPr>
        <w:pStyle w:val="Heading3"/>
        <w:pBdr>
          <w:bottom w:val="single" w:sz="12" w:space="12" w:color="auto"/>
        </w:pBdr>
        <w:jc w:val="center"/>
      </w:pPr>
      <w:r w:rsidRPr="00FB564C">
        <w:rPr>
          <w:rFonts w:ascii="Times New Roman" w:hAnsi="Times New Roman" w:cs="Times New Roman"/>
          <w:b/>
          <w:i w:val="0"/>
          <w:szCs w:val="28"/>
        </w:rPr>
        <w:t>JUDGMENT</w:t>
      </w:r>
    </w:p>
    <w:p w14:paraId="65CCB82C" w14:textId="77777777" w:rsidR="004514F5" w:rsidRPr="00FB564C" w:rsidRDefault="004514F5" w:rsidP="004514F5">
      <w:pPr>
        <w:spacing w:line="240" w:lineRule="auto"/>
        <w:rPr>
          <w:b/>
          <w:sz w:val="28"/>
          <w:szCs w:val="28"/>
        </w:rPr>
      </w:pPr>
    </w:p>
    <w:p w14:paraId="79C25C67" w14:textId="25A26CE5" w:rsidR="004514F5" w:rsidRPr="00FB564C" w:rsidRDefault="004514F5" w:rsidP="004514F5">
      <w:pPr>
        <w:rPr>
          <w:b/>
          <w:sz w:val="28"/>
          <w:szCs w:val="28"/>
        </w:rPr>
      </w:pPr>
      <w:r w:rsidRPr="00FB564C">
        <w:rPr>
          <w:b/>
          <w:sz w:val="28"/>
          <w:szCs w:val="28"/>
        </w:rPr>
        <w:t>Mabindla-Boqwana JA (</w:t>
      </w:r>
      <w:r w:rsidR="00C755AF" w:rsidRPr="00FB564C">
        <w:rPr>
          <w:b/>
          <w:sz w:val="28"/>
          <w:szCs w:val="28"/>
        </w:rPr>
        <w:t>Ponnan ADP</w:t>
      </w:r>
      <w:r w:rsidR="00100403" w:rsidRPr="00FB564C">
        <w:rPr>
          <w:b/>
          <w:sz w:val="28"/>
          <w:szCs w:val="28"/>
        </w:rPr>
        <w:t xml:space="preserve"> and Gorven JA and Nhlangulela and Olsen AJJA</w:t>
      </w:r>
      <w:r w:rsidRPr="00FB564C">
        <w:rPr>
          <w:b/>
          <w:sz w:val="28"/>
          <w:szCs w:val="28"/>
        </w:rPr>
        <w:t xml:space="preserve"> concurring):</w:t>
      </w:r>
    </w:p>
    <w:p w14:paraId="6784DF93" w14:textId="5F5967AE" w:rsidR="00156A21" w:rsidRPr="00FB564C" w:rsidRDefault="00156A21">
      <w:pPr>
        <w:rPr>
          <w:b/>
          <w:sz w:val="28"/>
          <w:szCs w:val="28"/>
        </w:rPr>
      </w:pPr>
    </w:p>
    <w:p w14:paraId="6F81F6BF" w14:textId="77777777" w:rsidR="004514F5" w:rsidRPr="00FB564C" w:rsidRDefault="004514F5">
      <w:pPr>
        <w:tabs>
          <w:tab w:val="left" w:pos="0"/>
        </w:tabs>
        <w:rPr>
          <w:sz w:val="28"/>
          <w:szCs w:val="28"/>
        </w:rPr>
      </w:pPr>
      <w:r w:rsidRPr="00FB564C">
        <w:rPr>
          <w:b/>
          <w:sz w:val="28"/>
          <w:szCs w:val="28"/>
        </w:rPr>
        <w:t>Introduction</w:t>
      </w:r>
    </w:p>
    <w:p w14:paraId="67E3F040" w14:textId="73A7F1FA" w:rsidR="00504567" w:rsidRPr="003877E2" w:rsidRDefault="003877E2" w:rsidP="003877E2">
      <w:pPr>
        <w:tabs>
          <w:tab w:val="left" w:pos="0"/>
        </w:tabs>
        <w:rPr>
          <w:sz w:val="28"/>
          <w:szCs w:val="28"/>
        </w:rPr>
      </w:pPr>
      <w:r w:rsidRPr="00FB564C">
        <w:rPr>
          <w:sz w:val="28"/>
          <w:szCs w:val="28"/>
        </w:rPr>
        <w:t>[1]</w:t>
      </w:r>
      <w:r w:rsidRPr="00FB564C">
        <w:rPr>
          <w:sz w:val="28"/>
          <w:szCs w:val="28"/>
        </w:rPr>
        <w:tab/>
      </w:r>
      <w:r w:rsidR="004514F5" w:rsidRPr="003877E2">
        <w:rPr>
          <w:sz w:val="28"/>
          <w:szCs w:val="28"/>
        </w:rPr>
        <w:t>Before us are two matters, an appeal and a cross</w:t>
      </w:r>
      <w:r w:rsidR="00173D6C" w:rsidRPr="003877E2">
        <w:rPr>
          <w:sz w:val="28"/>
          <w:szCs w:val="28"/>
        </w:rPr>
        <w:t>-</w:t>
      </w:r>
      <w:r w:rsidR="004514F5" w:rsidRPr="003877E2">
        <w:rPr>
          <w:sz w:val="28"/>
          <w:szCs w:val="28"/>
        </w:rPr>
        <w:t>appeal</w:t>
      </w:r>
      <w:r w:rsidR="00AF4E5E" w:rsidRPr="003877E2">
        <w:rPr>
          <w:sz w:val="28"/>
          <w:szCs w:val="28"/>
        </w:rPr>
        <w:t>,</w:t>
      </w:r>
      <w:r w:rsidR="004514F5" w:rsidRPr="003877E2">
        <w:rPr>
          <w:sz w:val="28"/>
          <w:szCs w:val="28"/>
        </w:rPr>
        <w:t xml:space="preserve"> as well as an application to stay the</w:t>
      </w:r>
      <w:r w:rsidR="00785FE1" w:rsidRPr="003877E2">
        <w:rPr>
          <w:sz w:val="28"/>
          <w:szCs w:val="28"/>
        </w:rPr>
        <w:t>se</w:t>
      </w:r>
      <w:r w:rsidR="004514F5" w:rsidRPr="003877E2">
        <w:rPr>
          <w:sz w:val="28"/>
          <w:szCs w:val="28"/>
        </w:rPr>
        <w:t xml:space="preserve"> proceedings pending the determination of a</w:t>
      </w:r>
      <w:r w:rsidR="00785FE1" w:rsidRPr="003877E2">
        <w:rPr>
          <w:sz w:val="28"/>
          <w:szCs w:val="28"/>
        </w:rPr>
        <w:t>n</w:t>
      </w:r>
      <w:r w:rsidR="004514F5" w:rsidRPr="003877E2">
        <w:rPr>
          <w:sz w:val="28"/>
          <w:szCs w:val="28"/>
        </w:rPr>
        <w:t xml:space="preserve"> application for leave to appeal </w:t>
      </w:r>
      <w:r w:rsidR="007E497A" w:rsidRPr="003877E2">
        <w:rPr>
          <w:sz w:val="28"/>
          <w:szCs w:val="28"/>
        </w:rPr>
        <w:t xml:space="preserve">to </w:t>
      </w:r>
      <w:r w:rsidR="0093787C" w:rsidRPr="003877E2">
        <w:rPr>
          <w:sz w:val="28"/>
          <w:szCs w:val="28"/>
        </w:rPr>
        <w:t>the</w:t>
      </w:r>
      <w:r w:rsidR="004514F5" w:rsidRPr="003877E2">
        <w:rPr>
          <w:sz w:val="28"/>
          <w:szCs w:val="28"/>
        </w:rPr>
        <w:t xml:space="preserve"> Constitutional Court.</w:t>
      </w:r>
      <w:r w:rsidR="0093787C" w:rsidRPr="003877E2">
        <w:rPr>
          <w:sz w:val="28"/>
          <w:szCs w:val="28"/>
        </w:rPr>
        <w:t xml:space="preserve"> </w:t>
      </w:r>
      <w:r w:rsidR="00F23250" w:rsidRPr="003877E2">
        <w:rPr>
          <w:sz w:val="28"/>
          <w:szCs w:val="28"/>
        </w:rPr>
        <w:t>Foundational to these</w:t>
      </w:r>
      <w:r w:rsidR="0093787C" w:rsidRPr="003877E2">
        <w:rPr>
          <w:sz w:val="28"/>
          <w:szCs w:val="28"/>
        </w:rPr>
        <w:t xml:space="preserve"> matters </w:t>
      </w:r>
      <w:r w:rsidR="00F23250" w:rsidRPr="003877E2">
        <w:rPr>
          <w:sz w:val="28"/>
          <w:szCs w:val="28"/>
        </w:rPr>
        <w:t xml:space="preserve">is </w:t>
      </w:r>
      <w:r w:rsidR="0093787C" w:rsidRPr="003877E2">
        <w:rPr>
          <w:sz w:val="28"/>
          <w:szCs w:val="28"/>
        </w:rPr>
        <w:t>the</w:t>
      </w:r>
      <w:r w:rsidR="003747E5" w:rsidRPr="003877E2">
        <w:rPr>
          <w:sz w:val="28"/>
          <w:szCs w:val="28"/>
        </w:rPr>
        <w:t xml:space="preserve"> placing </w:t>
      </w:r>
      <w:r w:rsidR="00C875AB" w:rsidRPr="003877E2">
        <w:rPr>
          <w:sz w:val="28"/>
          <w:szCs w:val="28"/>
        </w:rPr>
        <w:t xml:space="preserve">under </w:t>
      </w:r>
      <w:r w:rsidR="0093787C" w:rsidRPr="003877E2">
        <w:rPr>
          <w:sz w:val="28"/>
          <w:szCs w:val="28"/>
        </w:rPr>
        <w:t xml:space="preserve">curatorship </w:t>
      </w:r>
      <w:r w:rsidR="002A35D6" w:rsidRPr="003877E2">
        <w:rPr>
          <w:sz w:val="28"/>
          <w:szCs w:val="28"/>
        </w:rPr>
        <w:t>of two bewind trusts, Rockland Targeted Development Investment Fund (TDI) and Rockland Property Investment Fund (PIF)</w:t>
      </w:r>
      <w:r w:rsidR="00AF4E5E" w:rsidRPr="003877E2">
        <w:rPr>
          <w:sz w:val="28"/>
          <w:szCs w:val="28"/>
        </w:rPr>
        <w:t>,</w:t>
      </w:r>
      <w:r w:rsidR="002A35D6" w:rsidRPr="003877E2">
        <w:rPr>
          <w:sz w:val="28"/>
          <w:szCs w:val="28"/>
        </w:rPr>
        <w:t xml:space="preserve"> and their fund manager, Rockland Asset Management and Consulting (Pty) Ltd (RAM). The respondent</w:t>
      </w:r>
      <w:r w:rsidR="002D70E1" w:rsidRPr="003877E2">
        <w:rPr>
          <w:sz w:val="28"/>
          <w:szCs w:val="28"/>
        </w:rPr>
        <w:t xml:space="preserve"> in the appeal</w:t>
      </w:r>
      <w:r w:rsidR="002A35D6" w:rsidRPr="003877E2">
        <w:rPr>
          <w:sz w:val="28"/>
          <w:szCs w:val="28"/>
        </w:rPr>
        <w:t>, Pie</w:t>
      </w:r>
      <w:r w:rsidR="002D210D" w:rsidRPr="003877E2">
        <w:rPr>
          <w:sz w:val="28"/>
          <w:szCs w:val="28"/>
        </w:rPr>
        <w:t>rre</w:t>
      </w:r>
      <w:r w:rsidR="002A35D6" w:rsidRPr="003877E2">
        <w:rPr>
          <w:sz w:val="28"/>
          <w:szCs w:val="28"/>
        </w:rPr>
        <w:t xml:space="preserve"> du Plessis Kriel NO (the Curator)</w:t>
      </w:r>
      <w:r w:rsidR="00785FE1" w:rsidRPr="003877E2">
        <w:rPr>
          <w:sz w:val="28"/>
          <w:szCs w:val="28"/>
        </w:rPr>
        <w:t>,</w:t>
      </w:r>
      <w:r w:rsidR="002A35D6" w:rsidRPr="003877E2">
        <w:rPr>
          <w:sz w:val="28"/>
          <w:szCs w:val="28"/>
        </w:rPr>
        <w:t xml:space="preserve"> was appointed as the </w:t>
      </w:r>
      <w:r w:rsidR="001642F9" w:rsidRPr="003877E2">
        <w:rPr>
          <w:sz w:val="28"/>
          <w:szCs w:val="28"/>
        </w:rPr>
        <w:t>c</w:t>
      </w:r>
      <w:r w:rsidR="002A35D6" w:rsidRPr="003877E2">
        <w:rPr>
          <w:sz w:val="28"/>
          <w:szCs w:val="28"/>
        </w:rPr>
        <w:t xml:space="preserve">urator of the business of these three entities on 6 December 2012 </w:t>
      </w:r>
      <w:r w:rsidR="00DC51AC" w:rsidRPr="003877E2">
        <w:rPr>
          <w:sz w:val="28"/>
          <w:szCs w:val="28"/>
        </w:rPr>
        <w:t xml:space="preserve">and 3 </w:t>
      </w:r>
      <w:r w:rsidR="00DC51AC" w:rsidRPr="003877E2">
        <w:rPr>
          <w:sz w:val="28"/>
          <w:szCs w:val="28"/>
        </w:rPr>
        <w:lastRenderedPageBreak/>
        <w:t xml:space="preserve">September 2013 </w:t>
      </w:r>
      <w:r w:rsidR="002A35D6" w:rsidRPr="003877E2">
        <w:rPr>
          <w:sz w:val="28"/>
          <w:szCs w:val="28"/>
        </w:rPr>
        <w:t>respectively</w:t>
      </w:r>
      <w:r w:rsidR="00696DB5" w:rsidRPr="003877E2">
        <w:rPr>
          <w:sz w:val="28"/>
          <w:szCs w:val="28"/>
        </w:rPr>
        <w:t>,</w:t>
      </w:r>
      <w:r w:rsidR="00B0315D" w:rsidRPr="003877E2">
        <w:rPr>
          <w:sz w:val="28"/>
          <w:szCs w:val="28"/>
        </w:rPr>
        <w:t xml:space="preserve"> in accordance with the provisions of s 5 of the Financia</w:t>
      </w:r>
      <w:r w:rsidR="009D6FC4" w:rsidRPr="003877E2">
        <w:rPr>
          <w:sz w:val="28"/>
          <w:szCs w:val="28"/>
        </w:rPr>
        <w:t>l Institutions (Protection of Funds) Act</w:t>
      </w:r>
      <w:r w:rsidR="00793CC9" w:rsidRPr="003877E2">
        <w:rPr>
          <w:sz w:val="28"/>
          <w:szCs w:val="28"/>
        </w:rPr>
        <w:t xml:space="preserve"> 28 of 2001 (Protection of Funds Act)</w:t>
      </w:r>
      <w:r w:rsidR="002A35D6" w:rsidRPr="003877E2">
        <w:rPr>
          <w:sz w:val="28"/>
          <w:szCs w:val="28"/>
        </w:rPr>
        <w:t>.</w:t>
      </w:r>
      <w:r w:rsidR="002178F6" w:rsidRPr="00FB564C">
        <w:rPr>
          <w:rStyle w:val="FootnoteReference"/>
          <w:sz w:val="28"/>
          <w:szCs w:val="28"/>
        </w:rPr>
        <w:footnoteReference w:id="1"/>
      </w:r>
    </w:p>
    <w:p w14:paraId="2E84B2A0" w14:textId="77777777" w:rsidR="0093787C" w:rsidRPr="00FB564C" w:rsidRDefault="002A35D6" w:rsidP="00100403">
      <w:pPr>
        <w:pStyle w:val="ListParagraph"/>
        <w:tabs>
          <w:tab w:val="left" w:pos="0"/>
        </w:tabs>
        <w:ind w:left="0"/>
        <w:rPr>
          <w:sz w:val="28"/>
          <w:szCs w:val="28"/>
        </w:rPr>
      </w:pPr>
      <w:r w:rsidRPr="00FB564C">
        <w:rPr>
          <w:sz w:val="28"/>
          <w:szCs w:val="28"/>
        </w:rPr>
        <w:t xml:space="preserve"> </w:t>
      </w:r>
    </w:p>
    <w:p w14:paraId="33C562C4" w14:textId="4493FCF6" w:rsidR="00180502" w:rsidRPr="003877E2" w:rsidRDefault="003877E2" w:rsidP="003877E2">
      <w:pPr>
        <w:tabs>
          <w:tab w:val="left" w:pos="0"/>
        </w:tabs>
        <w:rPr>
          <w:sz w:val="28"/>
          <w:szCs w:val="28"/>
        </w:rPr>
      </w:pPr>
      <w:r w:rsidRPr="00FB564C">
        <w:rPr>
          <w:sz w:val="28"/>
          <w:szCs w:val="28"/>
        </w:rPr>
        <w:t>[2]</w:t>
      </w:r>
      <w:r w:rsidRPr="00FB564C">
        <w:rPr>
          <w:sz w:val="28"/>
          <w:szCs w:val="28"/>
        </w:rPr>
        <w:tab/>
      </w:r>
      <w:r w:rsidR="00BB6320" w:rsidRPr="003877E2">
        <w:rPr>
          <w:sz w:val="28"/>
          <w:szCs w:val="28"/>
        </w:rPr>
        <w:t xml:space="preserve">In his capacity as </w:t>
      </w:r>
      <w:r w:rsidR="001642F9" w:rsidRPr="003877E2">
        <w:rPr>
          <w:sz w:val="28"/>
          <w:szCs w:val="28"/>
        </w:rPr>
        <w:t>c</w:t>
      </w:r>
      <w:r w:rsidR="00BB6320" w:rsidRPr="003877E2">
        <w:rPr>
          <w:sz w:val="28"/>
          <w:szCs w:val="28"/>
        </w:rPr>
        <w:t xml:space="preserve">urator </w:t>
      </w:r>
      <w:r w:rsidR="002F6009" w:rsidRPr="003877E2">
        <w:rPr>
          <w:sz w:val="28"/>
          <w:szCs w:val="28"/>
        </w:rPr>
        <w:t>of TDI</w:t>
      </w:r>
      <w:r w:rsidR="00BB6320" w:rsidRPr="003877E2">
        <w:rPr>
          <w:sz w:val="28"/>
          <w:szCs w:val="28"/>
        </w:rPr>
        <w:t xml:space="preserve"> and PIF</w:t>
      </w:r>
      <w:r w:rsidR="00AF4E5E" w:rsidRPr="003877E2">
        <w:rPr>
          <w:sz w:val="28"/>
          <w:szCs w:val="28"/>
        </w:rPr>
        <w:t>,</w:t>
      </w:r>
      <w:r w:rsidR="00BB6320" w:rsidRPr="003877E2">
        <w:rPr>
          <w:sz w:val="28"/>
          <w:szCs w:val="28"/>
        </w:rPr>
        <w:t xml:space="preserve"> he </w:t>
      </w:r>
      <w:r w:rsidR="00774713" w:rsidRPr="003877E2">
        <w:rPr>
          <w:sz w:val="28"/>
          <w:szCs w:val="28"/>
        </w:rPr>
        <w:t>instituted</w:t>
      </w:r>
      <w:r w:rsidR="00BE2F47" w:rsidRPr="003877E2">
        <w:rPr>
          <w:sz w:val="28"/>
          <w:szCs w:val="28"/>
        </w:rPr>
        <w:t xml:space="preserve"> </w:t>
      </w:r>
      <w:r w:rsidR="0013611B" w:rsidRPr="003877E2">
        <w:rPr>
          <w:sz w:val="28"/>
          <w:szCs w:val="28"/>
        </w:rPr>
        <w:t>various</w:t>
      </w:r>
      <w:r w:rsidR="00BE2F47" w:rsidRPr="003877E2">
        <w:rPr>
          <w:sz w:val="28"/>
          <w:szCs w:val="28"/>
        </w:rPr>
        <w:t xml:space="preserve"> claims</w:t>
      </w:r>
      <w:r w:rsidR="001642F9" w:rsidRPr="003877E2">
        <w:rPr>
          <w:sz w:val="28"/>
          <w:szCs w:val="28"/>
        </w:rPr>
        <w:t xml:space="preserve"> </w:t>
      </w:r>
      <w:r w:rsidR="00774713" w:rsidRPr="003877E2">
        <w:rPr>
          <w:sz w:val="28"/>
          <w:szCs w:val="28"/>
        </w:rPr>
        <w:t>against the appellants and other defendants in the Western Cape Division of the High Court, Cape Town (the high court)</w:t>
      </w:r>
      <w:r w:rsidR="00B476FE" w:rsidRPr="003877E2">
        <w:rPr>
          <w:sz w:val="28"/>
          <w:szCs w:val="28"/>
        </w:rPr>
        <w:t xml:space="preserve"> under case number 109</w:t>
      </w:r>
      <w:r w:rsidR="00180613" w:rsidRPr="003877E2">
        <w:rPr>
          <w:sz w:val="28"/>
          <w:szCs w:val="28"/>
        </w:rPr>
        <w:t>8</w:t>
      </w:r>
      <w:r w:rsidR="00B476FE" w:rsidRPr="003877E2">
        <w:rPr>
          <w:sz w:val="28"/>
          <w:szCs w:val="28"/>
        </w:rPr>
        <w:t>4/2014</w:t>
      </w:r>
      <w:r w:rsidR="005222F8" w:rsidRPr="003877E2">
        <w:rPr>
          <w:sz w:val="28"/>
          <w:szCs w:val="28"/>
        </w:rPr>
        <w:t>, flowing</w:t>
      </w:r>
      <w:r w:rsidR="00785FE1" w:rsidRPr="003877E2">
        <w:rPr>
          <w:sz w:val="28"/>
          <w:szCs w:val="28"/>
        </w:rPr>
        <w:t xml:space="preserve"> from </w:t>
      </w:r>
      <w:r w:rsidR="0013611B" w:rsidRPr="003877E2">
        <w:rPr>
          <w:sz w:val="28"/>
          <w:szCs w:val="28"/>
        </w:rPr>
        <w:t xml:space="preserve">their conduct in </w:t>
      </w:r>
      <w:r w:rsidR="00673781" w:rsidRPr="003877E2">
        <w:rPr>
          <w:sz w:val="28"/>
          <w:szCs w:val="28"/>
        </w:rPr>
        <w:t xml:space="preserve">relation to </w:t>
      </w:r>
      <w:r w:rsidR="0013611B" w:rsidRPr="003877E2">
        <w:rPr>
          <w:sz w:val="28"/>
          <w:szCs w:val="28"/>
        </w:rPr>
        <w:t>the management and control of</w:t>
      </w:r>
      <w:r w:rsidR="00FD1598" w:rsidRPr="003877E2">
        <w:rPr>
          <w:sz w:val="28"/>
          <w:szCs w:val="28"/>
        </w:rPr>
        <w:t xml:space="preserve"> funds and trust property</w:t>
      </w:r>
      <w:r w:rsidR="00785FE1" w:rsidRPr="003877E2">
        <w:rPr>
          <w:sz w:val="28"/>
          <w:szCs w:val="28"/>
        </w:rPr>
        <w:t xml:space="preserve"> controlled by</w:t>
      </w:r>
      <w:r w:rsidR="00FD1598" w:rsidRPr="003877E2">
        <w:rPr>
          <w:sz w:val="28"/>
          <w:szCs w:val="28"/>
        </w:rPr>
        <w:t xml:space="preserve"> </w:t>
      </w:r>
      <w:r w:rsidR="00180502" w:rsidRPr="003877E2">
        <w:rPr>
          <w:sz w:val="28"/>
          <w:szCs w:val="28"/>
        </w:rPr>
        <w:t xml:space="preserve">the trusts </w:t>
      </w:r>
      <w:r w:rsidR="00785FE1" w:rsidRPr="003877E2">
        <w:rPr>
          <w:sz w:val="28"/>
          <w:szCs w:val="28"/>
        </w:rPr>
        <w:t xml:space="preserve">for the benefit of </w:t>
      </w:r>
      <w:r w:rsidR="00180502" w:rsidRPr="003877E2">
        <w:rPr>
          <w:sz w:val="28"/>
          <w:szCs w:val="28"/>
        </w:rPr>
        <w:t>pension and provident funds</w:t>
      </w:r>
      <w:r w:rsidR="0013611B" w:rsidRPr="003877E2">
        <w:rPr>
          <w:sz w:val="28"/>
          <w:szCs w:val="28"/>
        </w:rPr>
        <w:t xml:space="preserve">. </w:t>
      </w:r>
    </w:p>
    <w:p w14:paraId="40D6C54F" w14:textId="77777777" w:rsidR="005033A0" w:rsidRPr="00FB564C" w:rsidRDefault="005033A0">
      <w:pPr>
        <w:pStyle w:val="ListParagraph"/>
        <w:rPr>
          <w:sz w:val="28"/>
          <w:szCs w:val="28"/>
        </w:rPr>
      </w:pPr>
    </w:p>
    <w:p w14:paraId="0E6CF036" w14:textId="5E4E2948" w:rsidR="005222F8" w:rsidRPr="003877E2" w:rsidRDefault="003877E2" w:rsidP="003877E2">
      <w:pPr>
        <w:tabs>
          <w:tab w:val="left" w:pos="0"/>
        </w:tabs>
        <w:rPr>
          <w:sz w:val="28"/>
          <w:szCs w:val="28"/>
        </w:rPr>
      </w:pPr>
      <w:r w:rsidRPr="005D6CED">
        <w:rPr>
          <w:sz w:val="28"/>
          <w:szCs w:val="28"/>
        </w:rPr>
        <w:t>[3]</w:t>
      </w:r>
      <w:r w:rsidRPr="005D6CED">
        <w:rPr>
          <w:sz w:val="28"/>
          <w:szCs w:val="28"/>
        </w:rPr>
        <w:tab/>
      </w:r>
      <w:r w:rsidR="005033A0" w:rsidRPr="003877E2">
        <w:rPr>
          <w:sz w:val="28"/>
          <w:szCs w:val="28"/>
        </w:rPr>
        <w:t>The first appellant, Wentzel Oaker (Oaker)</w:t>
      </w:r>
      <w:r w:rsidR="00F15DEE" w:rsidRPr="003877E2">
        <w:rPr>
          <w:sz w:val="28"/>
          <w:szCs w:val="28"/>
        </w:rPr>
        <w:t>,</w:t>
      </w:r>
      <w:r w:rsidR="005033A0" w:rsidRPr="003877E2">
        <w:rPr>
          <w:sz w:val="28"/>
          <w:szCs w:val="28"/>
        </w:rPr>
        <w:t xml:space="preserve"> </w:t>
      </w:r>
      <w:r w:rsidR="00D04B31" w:rsidRPr="003877E2">
        <w:rPr>
          <w:sz w:val="28"/>
          <w:szCs w:val="28"/>
        </w:rPr>
        <w:t xml:space="preserve">is </w:t>
      </w:r>
      <w:r w:rsidR="005033A0" w:rsidRPr="003877E2">
        <w:rPr>
          <w:sz w:val="28"/>
          <w:szCs w:val="28"/>
        </w:rPr>
        <w:t xml:space="preserve">the key player behind various entities and a family trust, </w:t>
      </w:r>
      <w:r w:rsidR="00F15DEE" w:rsidRPr="003877E2">
        <w:rPr>
          <w:sz w:val="28"/>
          <w:szCs w:val="28"/>
        </w:rPr>
        <w:t xml:space="preserve">the </w:t>
      </w:r>
      <w:r w:rsidR="005033A0" w:rsidRPr="003877E2">
        <w:rPr>
          <w:sz w:val="28"/>
          <w:szCs w:val="28"/>
        </w:rPr>
        <w:t>Johnny Bravo Trust (Johnny)</w:t>
      </w:r>
      <w:r w:rsidR="00F15DEE" w:rsidRPr="003877E2">
        <w:rPr>
          <w:sz w:val="28"/>
          <w:szCs w:val="28"/>
        </w:rPr>
        <w:t>,</w:t>
      </w:r>
      <w:r w:rsidR="005033A0" w:rsidRPr="003877E2">
        <w:rPr>
          <w:sz w:val="28"/>
          <w:szCs w:val="28"/>
        </w:rPr>
        <w:t xml:space="preserve"> </w:t>
      </w:r>
      <w:r w:rsidR="00F15DEE" w:rsidRPr="003877E2">
        <w:rPr>
          <w:sz w:val="28"/>
          <w:szCs w:val="28"/>
        </w:rPr>
        <w:t xml:space="preserve">and was </w:t>
      </w:r>
      <w:r w:rsidR="005033A0" w:rsidRPr="003877E2">
        <w:rPr>
          <w:sz w:val="28"/>
          <w:szCs w:val="28"/>
        </w:rPr>
        <w:t xml:space="preserve">involved in several transactions that formed the subject matter of </w:t>
      </w:r>
      <w:r w:rsidR="002D210D" w:rsidRPr="003877E2">
        <w:rPr>
          <w:sz w:val="28"/>
          <w:szCs w:val="28"/>
        </w:rPr>
        <w:t>the proceedings</w:t>
      </w:r>
      <w:r w:rsidR="005033A0" w:rsidRPr="003877E2">
        <w:rPr>
          <w:sz w:val="28"/>
          <w:szCs w:val="28"/>
        </w:rPr>
        <w:t>. He was the sole director and Chief Executive Officer (CEO) of RAM</w:t>
      </w:r>
      <w:r w:rsidR="0011336B" w:rsidRPr="003877E2">
        <w:rPr>
          <w:sz w:val="28"/>
          <w:szCs w:val="28"/>
        </w:rPr>
        <w:t>,</w:t>
      </w:r>
      <w:r w:rsidR="005033A0" w:rsidRPr="003877E2">
        <w:rPr>
          <w:sz w:val="28"/>
          <w:szCs w:val="28"/>
        </w:rPr>
        <w:t xml:space="preserve"> prior to its being placed under curatorship</w:t>
      </w:r>
      <w:r w:rsidR="0011336B" w:rsidRPr="003877E2">
        <w:rPr>
          <w:sz w:val="28"/>
          <w:szCs w:val="28"/>
        </w:rPr>
        <w:t>,</w:t>
      </w:r>
      <w:r w:rsidR="005033A0" w:rsidRPr="003877E2">
        <w:rPr>
          <w:sz w:val="28"/>
          <w:szCs w:val="28"/>
        </w:rPr>
        <w:t xml:space="preserve"> and the sole director </w:t>
      </w:r>
      <w:r w:rsidR="00F15DEE" w:rsidRPr="003877E2">
        <w:rPr>
          <w:sz w:val="28"/>
          <w:szCs w:val="28"/>
        </w:rPr>
        <w:t xml:space="preserve">of </w:t>
      </w:r>
      <w:r w:rsidR="005033A0" w:rsidRPr="003877E2">
        <w:rPr>
          <w:sz w:val="28"/>
          <w:szCs w:val="28"/>
        </w:rPr>
        <w:t>the second appellant, Global Pact Trading 151 (Pty) Ltd (Global Pact). RAM and Global Pact are wholly owned subsidiaries of R</w:t>
      </w:r>
      <w:r w:rsidR="005222F8" w:rsidRPr="003877E2">
        <w:rPr>
          <w:sz w:val="28"/>
          <w:szCs w:val="28"/>
        </w:rPr>
        <w:t xml:space="preserve">ockland </w:t>
      </w:r>
      <w:r w:rsidR="005033A0" w:rsidRPr="003877E2">
        <w:rPr>
          <w:sz w:val="28"/>
          <w:szCs w:val="28"/>
        </w:rPr>
        <w:t>G</w:t>
      </w:r>
      <w:r w:rsidR="005222F8" w:rsidRPr="003877E2">
        <w:rPr>
          <w:sz w:val="28"/>
          <w:szCs w:val="28"/>
        </w:rPr>
        <w:t xml:space="preserve">roup </w:t>
      </w:r>
      <w:r w:rsidR="005033A0" w:rsidRPr="003877E2">
        <w:rPr>
          <w:sz w:val="28"/>
          <w:szCs w:val="28"/>
        </w:rPr>
        <w:t>H</w:t>
      </w:r>
      <w:r w:rsidR="005222F8" w:rsidRPr="003877E2">
        <w:rPr>
          <w:sz w:val="28"/>
          <w:szCs w:val="28"/>
        </w:rPr>
        <w:t>oldings (Pty) Ltd (RGH)</w:t>
      </w:r>
      <w:r w:rsidR="005033A0" w:rsidRPr="003877E2">
        <w:rPr>
          <w:sz w:val="28"/>
          <w:szCs w:val="28"/>
        </w:rPr>
        <w:t xml:space="preserve">, which in turn, is wholly owned by Johnny. Although Oaker is not a beneficiary in Johnny, his children and wife are. His wife, </w:t>
      </w:r>
      <w:r w:rsidR="00EB4525" w:rsidRPr="003877E2">
        <w:rPr>
          <w:sz w:val="28"/>
          <w:szCs w:val="28"/>
        </w:rPr>
        <w:t xml:space="preserve">Rochelle Oaker NO, </w:t>
      </w:r>
      <w:r w:rsidR="005033A0" w:rsidRPr="003877E2">
        <w:rPr>
          <w:sz w:val="28"/>
          <w:szCs w:val="28"/>
        </w:rPr>
        <w:t xml:space="preserve">the fourth appellant, is his co-trustee in Johnny. Oaker was also the sole director of RGH. </w:t>
      </w:r>
      <w:r w:rsidR="00F15DEE" w:rsidRPr="003877E2">
        <w:rPr>
          <w:sz w:val="28"/>
          <w:szCs w:val="28"/>
        </w:rPr>
        <w:t xml:space="preserve">Oaker’s cousin, </w:t>
      </w:r>
      <w:r w:rsidR="005033A0" w:rsidRPr="003877E2">
        <w:rPr>
          <w:sz w:val="28"/>
          <w:szCs w:val="28"/>
        </w:rPr>
        <w:t xml:space="preserve">Clint Oaker (Clint), </w:t>
      </w:r>
      <w:r w:rsidR="002D210D" w:rsidRPr="003877E2">
        <w:rPr>
          <w:sz w:val="28"/>
          <w:szCs w:val="28"/>
        </w:rPr>
        <w:t xml:space="preserve">the fifth appellant, </w:t>
      </w:r>
      <w:r w:rsidR="005033A0" w:rsidRPr="003877E2">
        <w:rPr>
          <w:sz w:val="28"/>
          <w:szCs w:val="28"/>
        </w:rPr>
        <w:t>was employed by RAM as its Chief Operating Officer (COO)</w:t>
      </w:r>
      <w:r w:rsidR="00F15DEE" w:rsidRPr="003877E2">
        <w:rPr>
          <w:sz w:val="28"/>
          <w:szCs w:val="28"/>
        </w:rPr>
        <w:t>,</w:t>
      </w:r>
      <w:r w:rsidR="005033A0" w:rsidRPr="003877E2">
        <w:rPr>
          <w:sz w:val="28"/>
          <w:szCs w:val="28"/>
        </w:rPr>
        <w:t xml:space="preserve"> while the sixth appellant, Daren Pillay (Pillay)</w:t>
      </w:r>
      <w:r w:rsidR="00AF4E5E" w:rsidRPr="003877E2">
        <w:rPr>
          <w:sz w:val="28"/>
          <w:szCs w:val="28"/>
        </w:rPr>
        <w:t>,</w:t>
      </w:r>
      <w:r w:rsidR="005033A0" w:rsidRPr="003877E2">
        <w:rPr>
          <w:sz w:val="28"/>
          <w:szCs w:val="28"/>
        </w:rPr>
        <w:t xml:space="preserve"> was the Chief Investments Officer (CIO). Pillay performed various accounting and financial functions within </w:t>
      </w:r>
      <w:r w:rsidR="00143E3C" w:rsidRPr="003877E2">
        <w:rPr>
          <w:sz w:val="28"/>
          <w:szCs w:val="28"/>
        </w:rPr>
        <w:t>the group</w:t>
      </w:r>
      <w:r w:rsidR="00F15DEE" w:rsidRPr="003877E2">
        <w:rPr>
          <w:sz w:val="28"/>
          <w:szCs w:val="28"/>
        </w:rPr>
        <w:t xml:space="preserve"> of companies</w:t>
      </w:r>
      <w:r w:rsidR="005033A0" w:rsidRPr="003877E2">
        <w:rPr>
          <w:sz w:val="28"/>
          <w:szCs w:val="28"/>
        </w:rPr>
        <w:t xml:space="preserve">. </w:t>
      </w:r>
    </w:p>
    <w:p w14:paraId="25E6CBDA" w14:textId="7F0CB84B" w:rsidR="005222F8" w:rsidRPr="003877E2" w:rsidRDefault="003877E2" w:rsidP="003877E2">
      <w:pPr>
        <w:tabs>
          <w:tab w:val="left" w:pos="0"/>
        </w:tabs>
        <w:rPr>
          <w:sz w:val="28"/>
          <w:szCs w:val="28"/>
        </w:rPr>
      </w:pPr>
      <w:r w:rsidRPr="00FB564C">
        <w:rPr>
          <w:sz w:val="28"/>
          <w:szCs w:val="28"/>
        </w:rPr>
        <w:lastRenderedPageBreak/>
        <w:t>[4]</w:t>
      </w:r>
      <w:r w:rsidRPr="00FB564C">
        <w:rPr>
          <w:sz w:val="28"/>
          <w:szCs w:val="28"/>
        </w:rPr>
        <w:tab/>
      </w:r>
      <w:r w:rsidR="005222F8" w:rsidRPr="003877E2">
        <w:rPr>
          <w:sz w:val="28"/>
          <w:szCs w:val="28"/>
        </w:rPr>
        <w:t>On 13 December 2004, RAM</w:t>
      </w:r>
      <w:r w:rsidR="002D210D" w:rsidRPr="003877E2">
        <w:rPr>
          <w:sz w:val="28"/>
          <w:szCs w:val="28"/>
        </w:rPr>
        <w:t>,</w:t>
      </w:r>
      <w:r w:rsidR="005222F8" w:rsidRPr="003877E2">
        <w:rPr>
          <w:sz w:val="28"/>
          <w:szCs w:val="28"/>
        </w:rPr>
        <w:t xml:space="preserve"> represented by Clint</w:t>
      </w:r>
      <w:r w:rsidR="00F15DEE" w:rsidRPr="003877E2">
        <w:rPr>
          <w:sz w:val="28"/>
          <w:szCs w:val="28"/>
        </w:rPr>
        <w:t>,</w:t>
      </w:r>
      <w:r w:rsidR="005222F8" w:rsidRPr="003877E2">
        <w:rPr>
          <w:sz w:val="28"/>
          <w:szCs w:val="28"/>
        </w:rPr>
        <w:t xml:space="preserve"> and Global Pact</w:t>
      </w:r>
      <w:r w:rsidR="00F15DEE" w:rsidRPr="003877E2">
        <w:rPr>
          <w:sz w:val="28"/>
          <w:szCs w:val="28"/>
        </w:rPr>
        <w:t>,</w:t>
      </w:r>
      <w:r w:rsidR="005222F8" w:rsidRPr="003877E2">
        <w:rPr>
          <w:sz w:val="28"/>
          <w:szCs w:val="28"/>
        </w:rPr>
        <w:t xml:space="preserve"> represented by Oaker</w:t>
      </w:r>
      <w:r w:rsidR="00F15DEE" w:rsidRPr="003877E2">
        <w:rPr>
          <w:sz w:val="28"/>
          <w:szCs w:val="28"/>
        </w:rPr>
        <w:t>,</w:t>
      </w:r>
      <w:r w:rsidR="005222F8" w:rsidRPr="003877E2">
        <w:rPr>
          <w:sz w:val="28"/>
          <w:szCs w:val="28"/>
        </w:rPr>
        <w:t xml:space="preserve"> </w:t>
      </w:r>
      <w:r w:rsidR="00F15DEE" w:rsidRPr="003877E2">
        <w:rPr>
          <w:sz w:val="28"/>
          <w:szCs w:val="28"/>
        </w:rPr>
        <w:t xml:space="preserve">established </w:t>
      </w:r>
      <w:r w:rsidR="005222F8" w:rsidRPr="003877E2">
        <w:rPr>
          <w:sz w:val="28"/>
          <w:szCs w:val="28"/>
        </w:rPr>
        <w:t>TDI and PIF as bewind trusts. Global Pact was appointed as the corporate trustee of both trusts and Oaker as the nominee trustee for Global Pact. RAM became the fund manager for TDI and PIF in terms of written management agreements. TDI’s beneficiaries are various pension and provident funds largely drawn from the trade union sector</w:t>
      </w:r>
      <w:r w:rsidR="00AF4E5E" w:rsidRPr="003877E2">
        <w:rPr>
          <w:sz w:val="28"/>
          <w:szCs w:val="28"/>
        </w:rPr>
        <w:t>,</w:t>
      </w:r>
      <w:r w:rsidR="005222F8" w:rsidRPr="003877E2">
        <w:rPr>
          <w:sz w:val="28"/>
          <w:szCs w:val="28"/>
        </w:rPr>
        <w:t xml:space="preserve"> while PIF is TDI’s sole beneficiary. </w:t>
      </w:r>
    </w:p>
    <w:p w14:paraId="22272E75" w14:textId="77777777" w:rsidR="005222F8" w:rsidRPr="00FB564C" w:rsidRDefault="005222F8">
      <w:pPr>
        <w:pStyle w:val="ListParagraph"/>
        <w:rPr>
          <w:sz w:val="28"/>
          <w:szCs w:val="28"/>
        </w:rPr>
      </w:pPr>
    </w:p>
    <w:p w14:paraId="542E0430" w14:textId="2D973D2D" w:rsidR="005222F8" w:rsidRPr="003877E2" w:rsidRDefault="003877E2" w:rsidP="003877E2">
      <w:pPr>
        <w:tabs>
          <w:tab w:val="left" w:pos="0"/>
        </w:tabs>
        <w:rPr>
          <w:sz w:val="28"/>
          <w:szCs w:val="28"/>
        </w:rPr>
      </w:pPr>
      <w:r w:rsidRPr="00FB564C">
        <w:rPr>
          <w:sz w:val="28"/>
          <w:szCs w:val="28"/>
        </w:rPr>
        <w:t>[5]</w:t>
      </w:r>
      <w:r w:rsidRPr="00FB564C">
        <w:rPr>
          <w:sz w:val="28"/>
          <w:szCs w:val="28"/>
        </w:rPr>
        <w:tab/>
      </w:r>
      <w:r w:rsidR="005222F8" w:rsidRPr="003877E2">
        <w:rPr>
          <w:sz w:val="28"/>
          <w:szCs w:val="28"/>
        </w:rPr>
        <w:t>RAM was a ‘service provider’ as contemplated in the Financial Advisory and Intermediary Services Act 37 of 2002 (FAIS) and a ‘financial institution’ as envisaged in the Financial Services Board Act 97 of 1990. Oaker was its key individual</w:t>
      </w:r>
      <w:r w:rsidR="005222F8" w:rsidRPr="00FB564C">
        <w:rPr>
          <w:rStyle w:val="FootnoteReference"/>
          <w:sz w:val="28"/>
          <w:szCs w:val="28"/>
        </w:rPr>
        <w:footnoteReference w:id="2"/>
      </w:r>
      <w:r w:rsidR="005222F8" w:rsidRPr="003877E2">
        <w:rPr>
          <w:sz w:val="28"/>
          <w:szCs w:val="28"/>
        </w:rPr>
        <w:t xml:space="preserve"> and compliance officer for the purposes of </w:t>
      </w:r>
      <w:r w:rsidR="002F1B09" w:rsidRPr="003877E2">
        <w:rPr>
          <w:sz w:val="28"/>
          <w:szCs w:val="28"/>
        </w:rPr>
        <w:t xml:space="preserve">the </w:t>
      </w:r>
      <w:r w:rsidR="005222F8" w:rsidRPr="003877E2">
        <w:rPr>
          <w:sz w:val="28"/>
          <w:szCs w:val="28"/>
        </w:rPr>
        <w:t xml:space="preserve">FAIS. Accordingly, he was subject to </w:t>
      </w:r>
      <w:r w:rsidR="00F15DEE" w:rsidRPr="003877E2">
        <w:rPr>
          <w:sz w:val="28"/>
          <w:szCs w:val="28"/>
        </w:rPr>
        <w:t xml:space="preserve">various </w:t>
      </w:r>
      <w:r w:rsidR="005222F8" w:rsidRPr="003877E2">
        <w:rPr>
          <w:sz w:val="28"/>
          <w:szCs w:val="28"/>
        </w:rPr>
        <w:t xml:space="preserve">statutory duties and was obliged to conduct himself with the </w:t>
      </w:r>
      <w:r w:rsidR="00F15DEE" w:rsidRPr="003877E2">
        <w:rPr>
          <w:sz w:val="28"/>
          <w:szCs w:val="28"/>
        </w:rPr>
        <w:t xml:space="preserve">necessary </w:t>
      </w:r>
      <w:r w:rsidR="005222F8" w:rsidRPr="003877E2">
        <w:rPr>
          <w:sz w:val="28"/>
          <w:szCs w:val="28"/>
        </w:rPr>
        <w:t xml:space="preserve">degree of honesty and integrity required of a person in that position. </w:t>
      </w:r>
    </w:p>
    <w:p w14:paraId="3A066580" w14:textId="2C4A38FF" w:rsidR="006F6326" w:rsidRPr="00FB564C" w:rsidRDefault="006F6326" w:rsidP="00100403">
      <w:pPr>
        <w:pStyle w:val="ListParagraph"/>
        <w:tabs>
          <w:tab w:val="left" w:pos="0"/>
        </w:tabs>
        <w:ind w:left="0"/>
        <w:rPr>
          <w:sz w:val="28"/>
          <w:szCs w:val="28"/>
        </w:rPr>
      </w:pPr>
    </w:p>
    <w:p w14:paraId="77A95D60" w14:textId="5C0EDA93" w:rsidR="005222F8" w:rsidRPr="003877E2" w:rsidRDefault="003877E2" w:rsidP="003877E2">
      <w:pPr>
        <w:tabs>
          <w:tab w:val="left" w:pos="0"/>
        </w:tabs>
        <w:rPr>
          <w:sz w:val="28"/>
          <w:szCs w:val="28"/>
        </w:rPr>
      </w:pPr>
      <w:r w:rsidRPr="00FB564C">
        <w:rPr>
          <w:sz w:val="28"/>
          <w:szCs w:val="28"/>
        </w:rPr>
        <w:t>[6]</w:t>
      </w:r>
      <w:r w:rsidRPr="00FB564C">
        <w:rPr>
          <w:sz w:val="28"/>
          <w:szCs w:val="28"/>
        </w:rPr>
        <w:tab/>
      </w:r>
      <w:r w:rsidR="005222F8" w:rsidRPr="003877E2">
        <w:rPr>
          <w:sz w:val="28"/>
          <w:szCs w:val="28"/>
        </w:rPr>
        <w:t>Oaker, Clint and Pillay were in terms of s 2 of the Protection of Funds Act</w:t>
      </w:r>
      <w:r w:rsidR="00AF4E5E" w:rsidRPr="003877E2">
        <w:rPr>
          <w:sz w:val="28"/>
          <w:szCs w:val="28"/>
        </w:rPr>
        <w:t>,</w:t>
      </w:r>
      <w:r w:rsidR="005222F8" w:rsidRPr="003877E2">
        <w:rPr>
          <w:sz w:val="28"/>
          <w:szCs w:val="28"/>
        </w:rPr>
        <w:t xml:space="preserve"> and by virtue of their employment with RAM, which controlled or administered trust property, obliged to observe the utmost good faith and to exercise proper care and diligence in relation to </w:t>
      </w:r>
      <w:r w:rsidR="00F15DEE" w:rsidRPr="003877E2">
        <w:rPr>
          <w:sz w:val="28"/>
          <w:szCs w:val="28"/>
        </w:rPr>
        <w:t xml:space="preserve">the </w:t>
      </w:r>
      <w:r w:rsidR="005222F8" w:rsidRPr="003877E2">
        <w:rPr>
          <w:sz w:val="28"/>
          <w:szCs w:val="28"/>
        </w:rPr>
        <w:t xml:space="preserve">trust property in the exercise of their powers and duties in their respective </w:t>
      </w:r>
      <w:r w:rsidR="00A00692" w:rsidRPr="003877E2">
        <w:rPr>
          <w:sz w:val="28"/>
          <w:szCs w:val="28"/>
        </w:rPr>
        <w:t>capacities as</w:t>
      </w:r>
      <w:r w:rsidR="005222F8" w:rsidRPr="003877E2">
        <w:rPr>
          <w:sz w:val="28"/>
          <w:szCs w:val="28"/>
        </w:rPr>
        <w:t xml:space="preserve"> such</w:t>
      </w:r>
      <w:r w:rsidR="00903E78" w:rsidRPr="003877E2">
        <w:rPr>
          <w:sz w:val="28"/>
          <w:szCs w:val="28"/>
        </w:rPr>
        <w:t xml:space="preserve"> fiduciaries</w:t>
      </w:r>
      <w:r w:rsidR="005222F8" w:rsidRPr="003877E2">
        <w:rPr>
          <w:sz w:val="28"/>
          <w:szCs w:val="28"/>
        </w:rPr>
        <w:t xml:space="preserve">. </w:t>
      </w:r>
    </w:p>
    <w:p w14:paraId="366ACD59" w14:textId="77777777" w:rsidR="00180502" w:rsidRPr="00FB564C" w:rsidRDefault="00180502">
      <w:pPr>
        <w:pStyle w:val="ListParagraph"/>
        <w:rPr>
          <w:sz w:val="28"/>
          <w:szCs w:val="28"/>
        </w:rPr>
      </w:pPr>
    </w:p>
    <w:p w14:paraId="3A54A87F" w14:textId="6B8666DF" w:rsidR="00410D07" w:rsidRPr="003877E2" w:rsidRDefault="003877E2" w:rsidP="003877E2">
      <w:pPr>
        <w:tabs>
          <w:tab w:val="left" w:pos="0"/>
        </w:tabs>
        <w:rPr>
          <w:sz w:val="28"/>
          <w:szCs w:val="28"/>
        </w:rPr>
      </w:pPr>
      <w:r w:rsidRPr="00FB564C">
        <w:rPr>
          <w:sz w:val="28"/>
          <w:szCs w:val="28"/>
        </w:rPr>
        <w:t>[7]</w:t>
      </w:r>
      <w:r w:rsidRPr="00FB564C">
        <w:rPr>
          <w:sz w:val="28"/>
          <w:szCs w:val="28"/>
        </w:rPr>
        <w:tab/>
      </w:r>
      <w:r w:rsidR="0013611B" w:rsidRPr="003877E2">
        <w:rPr>
          <w:sz w:val="28"/>
          <w:szCs w:val="28"/>
        </w:rPr>
        <w:t xml:space="preserve">The </w:t>
      </w:r>
      <w:r w:rsidR="003F6CC7" w:rsidRPr="003877E2">
        <w:rPr>
          <w:sz w:val="28"/>
          <w:szCs w:val="28"/>
        </w:rPr>
        <w:t xml:space="preserve">claims </w:t>
      </w:r>
      <w:r w:rsidR="005222F8" w:rsidRPr="003877E2">
        <w:rPr>
          <w:sz w:val="28"/>
          <w:szCs w:val="28"/>
        </w:rPr>
        <w:t xml:space="preserve">in the high court </w:t>
      </w:r>
      <w:r w:rsidR="00AF4E5E" w:rsidRPr="003877E2">
        <w:rPr>
          <w:sz w:val="28"/>
          <w:szCs w:val="28"/>
        </w:rPr>
        <w:t xml:space="preserve">pertained to: </w:t>
      </w:r>
      <w:r w:rsidR="000C64A4" w:rsidRPr="003877E2">
        <w:rPr>
          <w:sz w:val="28"/>
          <w:szCs w:val="28"/>
        </w:rPr>
        <w:t xml:space="preserve">(a) </w:t>
      </w:r>
      <w:r w:rsidR="00785FE1" w:rsidRPr="003877E2">
        <w:rPr>
          <w:sz w:val="28"/>
          <w:szCs w:val="28"/>
        </w:rPr>
        <w:t xml:space="preserve">the </w:t>
      </w:r>
      <w:r w:rsidR="000C64A4" w:rsidRPr="003877E2">
        <w:rPr>
          <w:sz w:val="28"/>
          <w:szCs w:val="28"/>
        </w:rPr>
        <w:t xml:space="preserve">diversion of a corporate opportunity; (b) </w:t>
      </w:r>
      <w:r w:rsidR="00785FE1" w:rsidRPr="003877E2">
        <w:rPr>
          <w:sz w:val="28"/>
          <w:szCs w:val="28"/>
        </w:rPr>
        <w:t xml:space="preserve">the </w:t>
      </w:r>
      <w:r w:rsidR="000C64A4" w:rsidRPr="003877E2">
        <w:rPr>
          <w:sz w:val="28"/>
          <w:szCs w:val="28"/>
        </w:rPr>
        <w:t xml:space="preserve">excessive </w:t>
      </w:r>
      <w:r w:rsidR="00A00692" w:rsidRPr="003877E2">
        <w:rPr>
          <w:sz w:val="28"/>
          <w:szCs w:val="28"/>
        </w:rPr>
        <w:t>payment for</w:t>
      </w:r>
      <w:r w:rsidR="00785FE1" w:rsidRPr="003877E2">
        <w:rPr>
          <w:sz w:val="28"/>
          <w:szCs w:val="28"/>
        </w:rPr>
        <w:t xml:space="preserve"> </w:t>
      </w:r>
      <w:r w:rsidR="000C64A4" w:rsidRPr="003877E2">
        <w:rPr>
          <w:sz w:val="28"/>
          <w:szCs w:val="28"/>
        </w:rPr>
        <w:t xml:space="preserve">shares; (c) </w:t>
      </w:r>
      <w:r w:rsidR="00785FE1" w:rsidRPr="003877E2">
        <w:rPr>
          <w:sz w:val="28"/>
          <w:szCs w:val="28"/>
        </w:rPr>
        <w:t xml:space="preserve">the </w:t>
      </w:r>
      <w:r w:rsidR="000C64A4" w:rsidRPr="003877E2">
        <w:rPr>
          <w:sz w:val="28"/>
          <w:szCs w:val="28"/>
        </w:rPr>
        <w:t xml:space="preserve">excessive payment of </w:t>
      </w:r>
      <w:r w:rsidR="000C64A4" w:rsidRPr="003877E2">
        <w:rPr>
          <w:sz w:val="28"/>
          <w:szCs w:val="28"/>
        </w:rPr>
        <w:lastRenderedPageBreak/>
        <w:t xml:space="preserve">management and performance fees; and (d) </w:t>
      </w:r>
      <w:r w:rsidR="00785FE1" w:rsidRPr="003877E2">
        <w:rPr>
          <w:sz w:val="28"/>
          <w:szCs w:val="28"/>
        </w:rPr>
        <w:t xml:space="preserve">the </w:t>
      </w:r>
      <w:r w:rsidR="000C64A4" w:rsidRPr="003877E2">
        <w:rPr>
          <w:sz w:val="28"/>
          <w:szCs w:val="28"/>
        </w:rPr>
        <w:t>irregular charging of fees</w:t>
      </w:r>
      <w:r w:rsidR="007037E8" w:rsidRPr="003877E2">
        <w:rPr>
          <w:sz w:val="28"/>
          <w:szCs w:val="28"/>
        </w:rPr>
        <w:t>.</w:t>
      </w:r>
      <w:r w:rsidR="00BA1214" w:rsidRPr="003877E2">
        <w:rPr>
          <w:sz w:val="28"/>
          <w:szCs w:val="28"/>
        </w:rPr>
        <w:t xml:space="preserve"> </w:t>
      </w:r>
      <w:r w:rsidR="00410D07" w:rsidRPr="003877E2">
        <w:rPr>
          <w:sz w:val="28"/>
          <w:szCs w:val="28"/>
        </w:rPr>
        <w:t>A</w:t>
      </w:r>
      <w:r w:rsidR="00A84619" w:rsidRPr="003877E2">
        <w:rPr>
          <w:sz w:val="28"/>
          <w:szCs w:val="28"/>
        </w:rPr>
        <w:t>nother</w:t>
      </w:r>
      <w:r w:rsidR="00B476FE" w:rsidRPr="003877E2">
        <w:rPr>
          <w:sz w:val="28"/>
          <w:szCs w:val="28"/>
        </w:rPr>
        <w:t xml:space="preserve"> action</w:t>
      </w:r>
      <w:r w:rsidR="00ED4A72" w:rsidRPr="003877E2">
        <w:rPr>
          <w:sz w:val="28"/>
          <w:szCs w:val="28"/>
        </w:rPr>
        <w:t>, described as the 20% action,</w:t>
      </w:r>
      <w:r w:rsidR="00B476FE" w:rsidRPr="003877E2">
        <w:rPr>
          <w:sz w:val="28"/>
          <w:szCs w:val="28"/>
        </w:rPr>
        <w:t xml:space="preserve"> </w:t>
      </w:r>
      <w:r w:rsidR="00A84619" w:rsidRPr="003877E2">
        <w:rPr>
          <w:sz w:val="28"/>
          <w:szCs w:val="28"/>
        </w:rPr>
        <w:t xml:space="preserve">had been </w:t>
      </w:r>
      <w:r w:rsidR="00410D07" w:rsidRPr="003877E2">
        <w:rPr>
          <w:sz w:val="28"/>
          <w:szCs w:val="28"/>
        </w:rPr>
        <w:t>launch</w:t>
      </w:r>
      <w:r w:rsidR="00180502" w:rsidRPr="003877E2">
        <w:rPr>
          <w:sz w:val="28"/>
          <w:szCs w:val="28"/>
        </w:rPr>
        <w:t>ed</w:t>
      </w:r>
      <w:r w:rsidR="00410D07" w:rsidRPr="003877E2">
        <w:rPr>
          <w:sz w:val="28"/>
          <w:szCs w:val="28"/>
        </w:rPr>
        <w:t xml:space="preserve"> against the fourth and fifth appellants, the trustees of Johnny, the second appellant, Global Pact,</w:t>
      </w:r>
      <w:r w:rsidR="005665DC" w:rsidRPr="003877E2">
        <w:rPr>
          <w:sz w:val="28"/>
          <w:szCs w:val="28"/>
        </w:rPr>
        <w:t xml:space="preserve"> </w:t>
      </w:r>
      <w:r w:rsidR="00410D07" w:rsidRPr="003877E2">
        <w:rPr>
          <w:sz w:val="28"/>
          <w:szCs w:val="28"/>
        </w:rPr>
        <w:t>Rapicorp 122 (Pty) Ltd (Rapicorp 122) and Rapicorp 123 (Pty) Ltd (Rapicorp 123)</w:t>
      </w:r>
      <w:r w:rsidR="00C875AB" w:rsidRPr="003877E2">
        <w:rPr>
          <w:sz w:val="28"/>
          <w:szCs w:val="28"/>
        </w:rPr>
        <w:t>,</w:t>
      </w:r>
      <w:r w:rsidR="00B476FE" w:rsidRPr="003877E2">
        <w:rPr>
          <w:sz w:val="28"/>
          <w:szCs w:val="28"/>
        </w:rPr>
        <w:t xml:space="preserve"> under case number 1534/2013</w:t>
      </w:r>
      <w:r w:rsidR="00410D07" w:rsidRPr="003877E2">
        <w:rPr>
          <w:sz w:val="28"/>
          <w:szCs w:val="28"/>
        </w:rPr>
        <w:t>, for cancellation of an option in Johnny’s favour to acquire shares</w:t>
      </w:r>
      <w:r w:rsidR="00CA7E85" w:rsidRPr="003877E2">
        <w:rPr>
          <w:sz w:val="28"/>
          <w:szCs w:val="28"/>
        </w:rPr>
        <w:t xml:space="preserve"> in PIF</w:t>
      </w:r>
      <w:r w:rsidR="00410D07" w:rsidRPr="003877E2">
        <w:rPr>
          <w:sz w:val="28"/>
          <w:szCs w:val="28"/>
        </w:rPr>
        <w:t>.</w:t>
      </w:r>
      <w:r w:rsidR="00B476FE" w:rsidRPr="003877E2">
        <w:rPr>
          <w:sz w:val="28"/>
          <w:szCs w:val="28"/>
        </w:rPr>
        <w:t xml:space="preserve"> </w:t>
      </w:r>
      <w:r w:rsidR="00A00692" w:rsidRPr="003877E2">
        <w:rPr>
          <w:sz w:val="28"/>
          <w:szCs w:val="28"/>
        </w:rPr>
        <w:t xml:space="preserve">Central to the actions was the acquisition of various erven in Schaapkraal, which is part of the </w:t>
      </w:r>
      <w:r w:rsidR="00EA2FA0" w:rsidRPr="003877E2">
        <w:rPr>
          <w:sz w:val="28"/>
          <w:szCs w:val="28"/>
        </w:rPr>
        <w:t xml:space="preserve">Philippi </w:t>
      </w:r>
      <w:r w:rsidR="00A00692" w:rsidRPr="003877E2">
        <w:rPr>
          <w:sz w:val="28"/>
          <w:szCs w:val="28"/>
        </w:rPr>
        <w:t>Horticultural Area (PHA) near Cape Town.</w:t>
      </w:r>
    </w:p>
    <w:p w14:paraId="5CD0EFD2" w14:textId="77777777" w:rsidR="00410D07" w:rsidRPr="00FB564C" w:rsidRDefault="00410D07">
      <w:pPr>
        <w:pStyle w:val="ListParagraph"/>
        <w:rPr>
          <w:sz w:val="28"/>
          <w:szCs w:val="28"/>
        </w:rPr>
      </w:pPr>
    </w:p>
    <w:p w14:paraId="568D2367" w14:textId="658C289E" w:rsidR="00F7100A" w:rsidRPr="003877E2" w:rsidRDefault="003877E2" w:rsidP="003877E2">
      <w:pPr>
        <w:tabs>
          <w:tab w:val="left" w:pos="0"/>
        </w:tabs>
        <w:rPr>
          <w:sz w:val="28"/>
          <w:szCs w:val="28"/>
        </w:rPr>
      </w:pPr>
      <w:r w:rsidRPr="00FB564C">
        <w:rPr>
          <w:sz w:val="28"/>
          <w:szCs w:val="28"/>
        </w:rPr>
        <w:t>[8]</w:t>
      </w:r>
      <w:r w:rsidRPr="00FB564C">
        <w:rPr>
          <w:sz w:val="28"/>
          <w:szCs w:val="28"/>
        </w:rPr>
        <w:tab/>
      </w:r>
      <w:r w:rsidR="00180502" w:rsidRPr="003877E2">
        <w:rPr>
          <w:sz w:val="28"/>
          <w:szCs w:val="28"/>
        </w:rPr>
        <w:t>O</w:t>
      </w:r>
      <w:r w:rsidR="00410D07" w:rsidRPr="003877E2">
        <w:rPr>
          <w:sz w:val="28"/>
          <w:szCs w:val="28"/>
        </w:rPr>
        <w:t xml:space="preserve">ther </w:t>
      </w:r>
      <w:r w:rsidR="00180502" w:rsidRPr="003877E2">
        <w:rPr>
          <w:sz w:val="28"/>
          <w:szCs w:val="28"/>
        </w:rPr>
        <w:t xml:space="preserve">defendants </w:t>
      </w:r>
      <w:r w:rsidR="00BB5982" w:rsidRPr="003877E2">
        <w:rPr>
          <w:sz w:val="28"/>
          <w:szCs w:val="28"/>
        </w:rPr>
        <w:t xml:space="preserve">who featured </w:t>
      </w:r>
      <w:r w:rsidR="00180502" w:rsidRPr="003877E2">
        <w:rPr>
          <w:sz w:val="28"/>
          <w:szCs w:val="28"/>
        </w:rPr>
        <w:t xml:space="preserve">in the first action, </w:t>
      </w:r>
      <w:r w:rsidR="00BB5982" w:rsidRPr="003877E2">
        <w:rPr>
          <w:sz w:val="28"/>
          <w:szCs w:val="28"/>
        </w:rPr>
        <w:t xml:space="preserve">but </w:t>
      </w:r>
      <w:r w:rsidR="00180502" w:rsidRPr="003877E2">
        <w:rPr>
          <w:sz w:val="28"/>
          <w:szCs w:val="28"/>
        </w:rPr>
        <w:t>are not part</w:t>
      </w:r>
      <w:r w:rsidR="00F7100A" w:rsidRPr="003877E2">
        <w:rPr>
          <w:sz w:val="28"/>
          <w:szCs w:val="28"/>
        </w:rPr>
        <w:t>ies</w:t>
      </w:r>
      <w:r w:rsidR="00180502" w:rsidRPr="003877E2">
        <w:rPr>
          <w:sz w:val="28"/>
          <w:szCs w:val="28"/>
        </w:rPr>
        <w:t xml:space="preserve"> to these</w:t>
      </w:r>
      <w:r w:rsidR="00C875AB" w:rsidRPr="003877E2">
        <w:rPr>
          <w:sz w:val="28"/>
          <w:szCs w:val="28"/>
        </w:rPr>
        <w:t xml:space="preserve"> appeal</w:t>
      </w:r>
      <w:r w:rsidR="00180502" w:rsidRPr="003877E2">
        <w:rPr>
          <w:sz w:val="28"/>
          <w:szCs w:val="28"/>
        </w:rPr>
        <w:t xml:space="preserve"> proceedings, were RAM</w:t>
      </w:r>
      <w:r w:rsidR="002757F7" w:rsidRPr="003877E2">
        <w:rPr>
          <w:sz w:val="28"/>
          <w:szCs w:val="28"/>
        </w:rPr>
        <w:t xml:space="preserve"> as well as</w:t>
      </w:r>
      <w:r w:rsidR="00327222" w:rsidRPr="003877E2">
        <w:rPr>
          <w:sz w:val="28"/>
          <w:szCs w:val="28"/>
        </w:rPr>
        <w:t xml:space="preserve"> the</w:t>
      </w:r>
      <w:r w:rsidR="002757F7" w:rsidRPr="003877E2">
        <w:rPr>
          <w:sz w:val="28"/>
          <w:szCs w:val="28"/>
        </w:rPr>
        <w:t xml:space="preserve"> </w:t>
      </w:r>
      <w:r w:rsidR="005F3AFC" w:rsidRPr="003877E2">
        <w:rPr>
          <w:sz w:val="28"/>
          <w:szCs w:val="28"/>
        </w:rPr>
        <w:t>trustees of</w:t>
      </w:r>
      <w:r w:rsidR="00226B84" w:rsidRPr="003877E2">
        <w:rPr>
          <w:sz w:val="28"/>
          <w:szCs w:val="28"/>
        </w:rPr>
        <w:t xml:space="preserve"> </w:t>
      </w:r>
      <w:r w:rsidR="00BA1214" w:rsidRPr="003877E2">
        <w:rPr>
          <w:sz w:val="28"/>
          <w:szCs w:val="28"/>
        </w:rPr>
        <w:t>t</w:t>
      </w:r>
      <w:r w:rsidR="007D56ED" w:rsidRPr="003877E2">
        <w:rPr>
          <w:sz w:val="28"/>
          <w:szCs w:val="28"/>
        </w:rPr>
        <w:t>wo</w:t>
      </w:r>
      <w:r w:rsidR="00D63672" w:rsidRPr="003877E2">
        <w:rPr>
          <w:sz w:val="28"/>
          <w:szCs w:val="28"/>
        </w:rPr>
        <w:t xml:space="preserve"> other</w:t>
      </w:r>
      <w:r w:rsidR="00BA1214" w:rsidRPr="003877E2">
        <w:rPr>
          <w:sz w:val="28"/>
          <w:szCs w:val="28"/>
        </w:rPr>
        <w:t xml:space="preserve"> family trusts</w:t>
      </w:r>
      <w:r w:rsidR="00673781" w:rsidRPr="003877E2">
        <w:rPr>
          <w:sz w:val="28"/>
          <w:szCs w:val="28"/>
        </w:rPr>
        <w:t>,</w:t>
      </w:r>
      <w:r w:rsidR="00BA1214" w:rsidRPr="003877E2">
        <w:rPr>
          <w:sz w:val="28"/>
          <w:szCs w:val="28"/>
        </w:rPr>
        <w:t xml:space="preserve"> </w:t>
      </w:r>
      <w:r w:rsidR="005F3AFC" w:rsidRPr="003877E2">
        <w:rPr>
          <w:sz w:val="28"/>
          <w:szCs w:val="28"/>
        </w:rPr>
        <w:t>Schuster’s River Trust No 5 (Schuster)</w:t>
      </w:r>
      <w:r w:rsidR="007D56ED" w:rsidRPr="003877E2">
        <w:rPr>
          <w:sz w:val="28"/>
          <w:szCs w:val="28"/>
        </w:rPr>
        <w:t xml:space="preserve"> and</w:t>
      </w:r>
      <w:r w:rsidR="005F3AFC" w:rsidRPr="003877E2">
        <w:rPr>
          <w:sz w:val="28"/>
          <w:szCs w:val="28"/>
        </w:rPr>
        <w:t xml:space="preserve"> </w:t>
      </w:r>
      <w:r w:rsidR="00226B84" w:rsidRPr="003877E2">
        <w:rPr>
          <w:sz w:val="28"/>
          <w:szCs w:val="28"/>
        </w:rPr>
        <w:t>Merlot 13 Trust (Merlot</w:t>
      </w:r>
      <w:r w:rsidR="00B476FE" w:rsidRPr="003877E2">
        <w:rPr>
          <w:sz w:val="28"/>
          <w:szCs w:val="28"/>
        </w:rPr>
        <w:t>)</w:t>
      </w:r>
      <w:r w:rsidR="00180502" w:rsidRPr="003877E2">
        <w:rPr>
          <w:sz w:val="28"/>
          <w:szCs w:val="28"/>
        </w:rPr>
        <w:t>.</w:t>
      </w:r>
      <w:r w:rsidR="005222F8" w:rsidRPr="003877E2">
        <w:rPr>
          <w:sz w:val="28"/>
          <w:szCs w:val="28"/>
        </w:rPr>
        <w:t xml:space="preserve"> Schuster’s trustees were Heinrich Badenhorst (Bade</w:t>
      </w:r>
      <w:r w:rsidR="00EA2FA0" w:rsidRPr="003877E2">
        <w:rPr>
          <w:sz w:val="28"/>
          <w:szCs w:val="28"/>
        </w:rPr>
        <w:t>n</w:t>
      </w:r>
      <w:r w:rsidR="005222F8" w:rsidRPr="003877E2">
        <w:rPr>
          <w:sz w:val="28"/>
          <w:szCs w:val="28"/>
        </w:rPr>
        <w:t>horst), Frederick Badenhorst and Etienne Badenhorst</w:t>
      </w:r>
      <w:r w:rsidR="008C3D22" w:rsidRPr="003877E2">
        <w:rPr>
          <w:sz w:val="28"/>
          <w:szCs w:val="28"/>
        </w:rPr>
        <w:t>,</w:t>
      </w:r>
      <w:r w:rsidR="00EB4525" w:rsidRPr="003877E2">
        <w:rPr>
          <w:sz w:val="28"/>
          <w:szCs w:val="28"/>
        </w:rPr>
        <w:t xml:space="preserve"> while</w:t>
      </w:r>
      <w:r w:rsidR="00180502" w:rsidRPr="003877E2">
        <w:rPr>
          <w:sz w:val="28"/>
          <w:szCs w:val="28"/>
        </w:rPr>
        <w:t xml:space="preserve"> </w:t>
      </w:r>
      <w:r w:rsidR="00EB4525" w:rsidRPr="003877E2">
        <w:rPr>
          <w:sz w:val="28"/>
          <w:szCs w:val="28"/>
        </w:rPr>
        <w:t>Merlot’s trustees were Richard Horton</w:t>
      </w:r>
      <w:r w:rsidR="00B41EBD" w:rsidRPr="003877E2">
        <w:rPr>
          <w:sz w:val="28"/>
          <w:szCs w:val="28"/>
        </w:rPr>
        <w:t xml:space="preserve"> (R Horton)</w:t>
      </w:r>
      <w:r w:rsidR="00EB4525" w:rsidRPr="003877E2">
        <w:rPr>
          <w:sz w:val="28"/>
          <w:szCs w:val="28"/>
        </w:rPr>
        <w:t xml:space="preserve">, Lauren Horton (Horton) and Franz Boonzaaier. </w:t>
      </w:r>
      <w:r w:rsidR="007037E8" w:rsidRPr="003877E2">
        <w:rPr>
          <w:sz w:val="28"/>
          <w:szCs w:val="28"/>
        </w:rPr>
        <w:t xml:space="preserve">For the purposes of the trial, the two actions were consolidated and </w:t>
      </w:r>
      <w:r w:rsidR="00F7100A" w:rsidRPr="003877E2">
        <w:rPr>
          <w:sz w:val="28"/>
          <w:szCs w:val="28"/>
        </w:rPr>
        <w:t xml:space="preserve">the </w:t>
      </w:r>
      <w:r w:rsidR="007037E8" w:rsidRPr="003877E2">
        <w:rPr>
          <w:sz w:val="28"/>
          <w:szCs w:val="28"/>
        </w:rPr>
        <w:t>parties</w:t>
      </w:r>
      <w:r w:rsidR="00673781" w:rsidRPr="003877E2">
        <w:rPr>
          <w:sz w:val="28"/>
          <w:szCs w:val="28"/>
        </w:rPr>
        <w:t xml:space="preserve"> agreed that</w:t>
      </w:r>
      <w:r w:rsidR="007037E8" w:rsidRPr="003877E2">
        <w:rPr>
          <w:sz w:val="28"/>
          <w:szCs w:val="28"/>
        </w:rPr>
        <w:t xml:space="preserve"> the trial of the trustees of Schuster and Merlot </w:t>
      </w:r>
      <w:r w:rsidR="00673781" w:rsidRPr="003877E2">
        <w:rPr>
          <w:sz w:val="28"/>
          <w:szCs w:val="28"/>
        </w:rPr>
        <w:t xml:space="preserve">would be </w:t>
      </w:r>
      <w:r w:rsidR="007037E8" w:rsidRPr="003877E2">
        <w:rPr>
          <w:sz w:val="28"/>
          <w:szCs w:val="28"/>
        </w:rPr>
        <w:t xml:space="preserve">separated from </w:t>
      </w:r>
      <w:r w:rsidR="007D56ED" w:rsidRPr="003877E2">
        <w:rPr>
          <w:sz w:val="28"/>
          <w:szCs w:val="28"/>
        </w:rPr>
        <w:t xml:space="preserve">that of the </w:t>
      </w:r>
      <w:r w:rsidR="007037E8" w:rsidRPr="003877E2">
        <w:rPr>
          <w:sz w:val="28"/>
          <w:szCs w:val="28"/>
        </w:rPr>
        <w:t>other defendants.</w:t>
      </w:r>
      <w:r w:rsidR="007A3211" w:rsidRPr="003877E2">
        <w:rPr>
          <w:sz w:val="28"/>
          <w:szCs w:val="28"/>
        </w:rPr>
        <w:t xml:space="preserve"> </w:t>
      </w:r>
      <w:r w:rsidR="00180502" w:rsidRPr="003877E2">
        <w:rPr>
          <w:sz w:val="28"/>
          <w:szCs w:val="28"/>
        </w:rPr>
        <w:t>At the end of a trial, which lasted 44 days</w:t>
      </w:r>
      <w:r w:rsidR="00ED4A72" w:rsidRPr="003877E2">
        <w:rPr>
          <w:sz w:val="28"/>
          <w:szCs w:val="28"/>
        </w:rPr>
        <w:t xml:space="preserve"> and generated a record in excess of 8</w:t>
      </w:r>
      <w:r w:rsidR="00744EB7" w:rsidRPr="003877E2">
        <w:rPr>
          <w:sz w:val="28"/>
          <w:szCs w:val="28"/>
        </w:rPr>
        <w:t xml:space="preserve"> </w:t>
      </w:r>
      <w:r w:rsidR="00ED4A72" w:rsidRPr="003877E2">
        <w:rPr>
          <w:sz w:val="28"/>
          <w:szCs w:val="28"/>
        </w:rPr>
        <w:t>000 pages</w:t>
      </w:r>
      <w:r w:rsidR="00180502" w:rsidRPr="003877E2">
        <w:rPr>
          <w:sz w:val="28"/>
          <w:szCs w:val="28"/>
        </w:rPr>
        <w:t>, the high court made orders substantially in favour of the Curator. It subsequently granted leave to appeal and cross-appeal its various orders to this Court.</w:t>
      </w:r>
    </w:p>
    <w:p w14:paraId="7F9417A2" w14:textId="77777777" w:rsidR="00180502" w:rsidRPr="00FB564C" w:rsidRDefault="00180502" w:rsidP="00100403">
      <w:pPr>
        <w:pStyle w:val="ListParagraph"/>
        <w:tabs>
          <w:tab w:val="left" w:pos="0"/>
        </w:tabs>
        <w:ind w:left="0"/>
        <w:rPr>
          <w:sz w:val="28"/>
          <w:szCs w:val="28"/>
        </w:rPr>
      </w:pPr>
    </w:p>
    <w:p w14:paraId="6F5B8D4C" w14:textId="3C95D943" w:rsidR="00DB2945" w:rsidRPr="003877E2" w:rsidRDefault="003877E2" w:rsidP="003877E2">
      <w:pPr>
        <w:tabs>
          <w:tab w:val="left" w:pos="0"/>
        </w:tabs>
        <w:rPr>
          <w:sz w:val="28"/>
          <w:szCs w:val="28"/>
        </w:rPr>
      </w:pPr>
      <w:r w:rsidRPr="00FB564C">
        <w:rPr>
          <w:sz w:val="28"/>
          <w:szCs w:val="28"/>
        </w:rPr>
        <w:t>[9]</w:t>
      </w:r>
      <w:r w:rsidRPr="00FB564C">
        <w:rPr>
          <w:sz w:val="28"/>
          <w:szCs w:val="28"/>
        </w:rPr>
        <w:tab/>
      </w:r>
      <w:r w:rsidR="00F7100A" w:rsidRPr="003877E2">
        <w:rPr>
          <w:sz w:val="28"/>
          <w:szCs w:val="28"/>
        </w:rPr>
        <w:t>On 4 August 2022, barely a</w:t>
      </w:r>
      <w:r w:rsidR="00673781" w:rsidRPr="003877E2">
        <w:rPr>
          <w:sz w:val="28"/>
          <w:szCs w:val="28"/>
        </w:rPr>
        <w:t xml:space="preserve"> few months b</w:t>
      </w:r>
      <w:r w:rsidR="007A3211" w:rsidRPr="003877E2">
        <w:rPr>
          <w:sz w:val="28"/>
          <w:szCs w:val="28"/>
        </w:rPr>
        <w:t>efore the hearing of the appeal and the cross-appeal</w:t>
      </w:r>
      <w:r w:rsidR="008C3D22" w:rsidRPr="003877E2">
        <w:rPr>
          <w:sz w:val="28"/>
          <w:szCs w:val="28"/>
        </w:rPr>
        <w:t>,</w:t>
      </w:r>
      <w:r w:rsidR="007A3211" w:rsidRPr="003877E2">
        <w:rPr>
          <w:sz w:val="28"/>
          <w:szCs w:val="28"/>
        </w:rPr>
        <w:t xml:space="preserve"> </w:t>
      </w:r>
      <w:r w:rsidR="00DB2945" w:rsidRPr="003877E2">
        <w:rPr>
          <w:sz w:val="28"/>
          <w:szCs w:val="28"/>
        </w:rPr>
        <w:t xml:space="preserve">RGH, </w:t>
      </w:r>
      <w:r w:rsidR="0061645E" w:rsidRPr="003877E2">
        <w:rPr>
          <w:sz w:val="28"/>
          <w:szCs w:val="28"/>
        </w:rPr>
        <w:t>who was not a party to the proceedings in t</w:t>
      </w:r>
      <w:r w:rsidR="00A00692" w:rsidRPr="003877E2">
        <w:rPr>
          <w:sz w:val="28"/>
          <w:szCs w:val="28"/>
        </w:rPr>
        <w:t>h</w:t>
      </w:r>
      <w:r w:rsidR="0061645E" w:rsidRPr="003877E2">
        <w:rPr>
          <w:sz w:val="28"/>
          <w:szCs w:val="28"/>
        </w:rPr>
        <w:t xml:space="preserve">e high court </w:t>
      </w:r>
      <w:r w:rsidR="00DB2945" w:rsidRPr="003877E2">
        <w:rPr>
          <w:sz w:val="28"/>
          <w:szCs w:val="28"/>
        </w:rPr>
        <w:t xml:space="preserve">brought an </w:t>
      </w:r>
      <w:r w:rsidR="00194F35" w:rsidRPr="003877E2">
        <w:rPr>
          <w:sz w:val="28"/>
          <w:szCs w:val="28"/>
        </w:rPr>
        <w:t>application to stay the hearing of th</w:t>
      </w:r>
      <w:r w:rsidR="00DB2945" w:rsidRPr="003877E2">
        <w:rPr>
          <w:sz w:val="28"/>
          <w:szCs w:val="28"/>
        </w:rPr>
        <w:t>e</w:t>
      </w:r>
      <w:r w:rsidR="00194F35" w:rsidRPr="003877E2">
        <w:rPr>
          <w:sz w:val="28"/>
          <w:szCs w:val="28"/>
        </w:rPr>
        <w:t xml:space="preserve"> appeal and cross-appeal</w:t>
      </w:r>
      <w:r w:rsidR="00DB2945" w:rsidRPr="003877E2">
        <w:rPr>
          <w:sz w:val="28"/>
          <w:szCs w:val="28"/>
        </w:rPr>
        <w:t xml:space="preserve"> pending the determination by the Constitutional Court of a separate but </w:t>
      </w:r>
      <w:r w:rsidR="000224B8" w:rsidRPr="003877E2">
        <w:rPr>
          <w:sz w:val="28"/>
          <w:szCs w:val="28"/>
        </w:rPr>
        <w:t>apparently</w:t>
      </w:r>
      <w:r w:rsidR="00673781" w:rsidRPr="003877E2">
        <w:rPr>
          <w:sz w:val="28"/>
          <w:szCs w:val="28"/>
        </w:rPr>
        <w:t xml:space="preserve"> </w:t>
      </w:r>
      <w:r w:rsidR="00DB2945" w:rsidRPr="003877E2">
        <w:rPr>
          <w:sz w:val="28"/>
          <w:szCs w:val="28"/>
        </w:rPr>
        <w:t>related application for leave to appeal</w:t>
      </w:r>
      <w:r w:rsidR="0061645E" w:rsidRPr="003877E2">
        <w:rPr>
          <w:sz w:val="28"/>
          <w:szCs w:val="28"/>
        </w:rPr>
        <w:t>.</w:t>
      </w:r>
      <w:r w:rsidR="00DB2945" w:rsidRPr="003877E2">
        <w:rPr>
          <w:sz w:val="28"/>
          <w:szCs w:val="28"/>
        </w:rPr>
        <w:t xml:space="preserve"> </w:t>
      </w:r>
      <w:r w:rsidR="0061645E" w:rsidRPr="003877E2">
        <w:rPr>
          <w:sz w:val="28"/>
          <w:szCs w:val="28"/>
        </w:rPr>
        <w:t xml:space="preserve">That application pertained to </w:t>
      </w:r>
      <w:r w:rsidR="00673781" w:rsidRPr="003877E2">
        <w:rPr>
          <w:sz w:val="28"/>
          <w:szCs w:val="28"/>
        </w:rPr>
        <w:t>a</w:t>
      </w:r>
      <w:r w:rsidR="00DB2945" w:rsidRPr="003877E2">
        <w:rPr>
          <w:sz w:val="28"/>
          <w:szCs w:val="28"/>
        </w:rPr>
        <w:t xml:space="preserve"> decision of the full court of the Western Cape Division of the High Court, Cape Town (</w:t>
      </w:r>
      <w:r w:rsidR="00903E78" w:rsidRPr="003877E2">
        <w:rPr>
          <w:sz w:val="28"/>
          <w:szCs w:val="28"/>
        </w:rPr>
        <w:t xml:space="preserve">the </w:t>
      </w:r>
      <w:r w:rsidR="00DB2945" w:rsidRPr="003877E2">
        <w:rPr>
          <w:sz w:val="28"/>
          <w:szCs w:val="28"/>
        </w:rPr>
        <w:t>full court).</w:t>
      </w:r>
      <w:r w:rsidR="00673781" w:rsidRPr="003877E2">
        <w:rPr>
          <w:sz w:val="28"/>
          <w:szCs w:val="28"/>
        </w:rPr>
        <w:t xml:space="preserve"> </w:t>
      </w:r>
      <w:r w:rsidR="00673781" w:rsidRPr="003877E2">
        <w:rPr>
          <w:sz w:val="28"/>
          <w:szCs w:val="28"/>
        </w:rPr>
        <w:lastRenderedPageBreak/>
        <w:t>The Acting President of this Court directed that th</w:t>
      </w:r>
      <w:r w:rsidR="00F7100A" w:rsidRPr="003877E2">
        <w:rPr>
          <w:sz w:val="28"/>
          <w:szCs w:val="28"/>
        </w:rPr>
        <w:t>e</w:t>
      </w:r>
      <w:r w:rsidR="00673781" w:rsidRPr="003877E2">
        <w:rPr>
          <w:sz w:val="28"/>
          <w:szCs w:val="28"/>
        </w:rPr>
        <w:t xml:space="preserve"> application be heard </w:t>
      </w:r>
      <w:r w:rsidR="00780035" w:rsidRPr="003877E2">
        <w:rPr>
          <w:sz w:val="28"/>
          <w:szCs w:val="28"/>
        </w:rPr>
        <w:t xml:space="preserve">together </w:t>
      </w:r>
      <w:r w:rsidR="00673781" w:rsidRPr="003877E2">
        <w:rPr>
          <w:sz w:val="28"/>
          <w:szCs w:val="28"/>
        </w:rPr>
        <w:t>with the appeal.</w:t>
      </w:r>
    </w:p>
    <w:p w14:paraId="264888BC" w14:textId="77777777" w:rsidR="00DB2945" w:rsidRPr="00FB564C" w:rsidRDefault="00DB2945">
      <w:pPr>
        <w:pStyle w:val="ListParagraph"/>
        <w:rPr>
          <w:sz w:val="28"/>
          <w:szCs w:val="28"/>
        </w:rPr>
      </w:pPr>
    </w:p>
    <w:p w14:paraId="47B24BF8" w14:textId="40FA7073" w:rsidR="00DB2945" w:rsidRPr="003877E2" w:rsidRDefault="003877E2" w:rsidP="003877E2">
      <w:pPr>
        <w:tabs>
          <w:tab w:val="left" w:pos="0"/>
        </w:tabs>
        <w:rPr>
          <w:sz w:val="28"/>
          <w:szCs w:val="28"/>
        </w:rPr>
      </w:pPr>
      <w:r w:rsidRPr="00FB564C">
        <w:rPr>
          <w:sz w:val="28"/>
          <w:szCs w:val="28"/>
        </w:rPr>
        <w:t>[10]</w:t>
      </w:r>
      <w:r w:rsidRPr="00FB564C">
        <w:rPr>
          <w:sz w:val="28"/>
          <w:szCs w:val="28"/>
        </w:rPr>
        <w:tab/>
      </w:r>
      <w:r w:rsidR="003A4EA7" w:rsidRPr="003877E2">
        <w:rPr>
          <w:sz w:val="28"/>
          <w:szCs w:val="28"/>
        </w:rPr>
        <w:t xml:space="preserve">This was </w:t>
      </w:r>
      <w:r w:rsidR="00D63672" w:rsidRPr="003877E2">
        <w:rPr>
          <w:sz w:val="28"/>
          <w:szCs w:val="28"/>
        </w:rPr>
        <w:t xml:space="preserve">the </w:t>
      </w:r>
      <w:r w:rsidR="003A4EA7" w:rsidRPr="003877E2">
        <w:rPr>
          <w:sz w:val="28"/>
          <w:szCs w:val="28"/>
        </w:rPr>
        <w:t xml:space="preserve">second </w:t>
      </w:r>
      <w:r w:rsidR="00A00692" w:rsidRPr="003877E2">
        <w:rPr>
          <w:sz w:val="28"/>
          <w:szCs w:val="28"/>
        </w:rPr>
        <w:t>application for</w:t>
      </w:r>
      <w:r w:rsidR="0061645E" w:rsidRPr="003877E2">
        <w:rPr>
          <w:sz w:val="28"/>
          <w:szCs w:val="28"/>
        </w:rPr>
        <w:t xml:space="preserve"> the </w:t>
      </w:r>
      <w:r w:rsidR="003A4EA7" w:rsidRPr="003877E2">
        <w:rPr>
          <w:sz w:val="28"/>
          <w:szCs w:val="28"/>
        </w:rPr>
        <w:t xml:space="preserve">stay </w:t>
      </w:r>
      <w:r w:rsidR="0061645E" w:rsidRPr="003877E2">
        <w:rPr>
          <w:sz w:val="28"/>
          <w:szCs w:val="28"/>
        </w:rPr>
        <w:t xml:space="preserve">of </w:t>
      </w:r>
      <w:r w:rsidR="003A4EA7" w:rsidRPr="003877E2">
        <w:rPr>
          <w:sz w:val="28"/>
          <w:szCs w:val="28"/>
        </w:rPr>
        <w:t>the proceedings</w:t>
      </w:r>
      <w:r w:rsidR="0061645E" w:rsidRPr="003877E2">
        <w:rPr>
          <w:sz w:val="28"/>
          <w:szCs w:val="28"/>
        </w:rPr>
        <w:t xml:space="preserve"> before this </w:t>
      </w:r>
      <w:r w:rsidR="000314DF" w:rsidRPr="003877E2">
        <w:rPr>
          <w:sz w:val="28"/>
          <w:szCs w:val="28"/>
        </w:rPr>
        <w:t>C</w:t>
      </w:r>
      <w:r w:rsidR="0061645E" w:rsidRPr="003877E2">
        <w:rPr>
          <w:sz w:val="28"/>
          <w:szCs w:val="28"/>
        </w:rPr>
        <w:t>ourt</w:t>
      </w:r>
      <w:r w:rsidR="003A4EA7" w:rsidRPr="003877E2">
        <w:rPr>
          <w:sz w:val="28"/>
          <w:szCs w:val="28"/>
        </w:rPr>
        <w:t>, the first one having been filed on 5 April 2022</w:t>
      </w:r>
      <w:r w:rsidR="0061645E" w:rsidRPr="003877E2">
        <w:rPr>
          <w:sz w:val="28"/>
          <w:szCs w:val="28"/>
        </w:rPr>
        <w:t>.</w:t>
      </w:r>
      <w:r w:rsidR="00780035" w:rsidRPr="003877E2">
        <w:rPr>
          <w:sz w:val="28"/>
          <w:szCs w:val="28"/>
        </w:rPr>
        <w:t xml:space="preserve"> </w:t>
      </w:r>
      <w:r w:rsidR="0061645E" w:rsidRPr="003877E2">
        <w:rPr>
          <w:sz w:val="28"/>
          <w:szCs w:val="28"/>
        </w:rPr>
        <w:t xml:space="preserve">The first sought a stay </w:t>
      </w:r>
      <w:r w:rsidR="00780035" w:rsidRPr="003877E2">
        <w:rPr>
          <w:sz w:val="28"/>
          <w:szCs w:val="28"/>
        </w:rPr>
        <w:t xml:space="preserve">pending </w:t>
      </w:r>
      <w:r w:rsidR="0061645E" w:rsidRPr="003877E2">
        <w:rPr>
          <w:sz w:val="28"/>
          <w:szCs w:val="28"/>
        </w:rPr>
        <w:t xml:space="preserve">determination of </w:t>
      </w:r>
      <w:r w:rsidR="00780035" w:rsidRPr="003877E2">
        <w:rPr>
          <w:sz w:val="28"/>
          <w:szCs w:val="28"/>
        </w:rPr>
        <w:t xml:space="preserve">a </w:t>
      </w:r>
      <w:r w:rsidR="003A4EA7" w:rsidRPr="003877E2">
        <w:rPr>
          <w:sz w:val="28"/>
          <w:szCs w:val="28"/>
        </w:rPr>
        <w:t xml:space="preserve">petition </w:t>
      </w:r>
      <w:r w:rsidR="0061645E" w:rsidRPr="003877E2">
        <w:rPr>
          <w:sz w:val="28"/>
          <w:szCs w:val="28"/>
        </w:rPr>
        <w:t xml:space="preserve">to this </w:t>
      </w:r>
      <w:r w:rsidR="00A00692" w:rsidRPr="003877E2">
        <w:rPr>
          <w:sz w:val="28"/>
          <w:szCs w:val="28"/>
        </w:rPr>
        <w:t>C</w:t>
      </w:r>
      <w:r w:rsidR="0061645E" w:rsidRPr="003877E2">
        <w:rPr>
          <w:sz w:val="28"/>
          <w:szCs w:val="28"/>
        </w:rPr>
        <w:t xml:space="preserve">ourt </w:t>
      </w:r>
      <w:r w:rsidR="00D12394" w:rsidRPr="003877E2">
        <w:rPr>
          <w:sz w:val="28"/>
          <w:szCs w:val="28"/>
        </w:rPr>
        <w:t>against the full court’s</w:t>
      </w:r>
      <w:r w:rsidR="0061645E" w:rsidRPr="003877E2">
        <w:rPr>
          <w:sz w:val="28"/>
          <w:szCs w:val="28"/>
        </w:rPr>
        <w:t xml:space="preserve"> judgment</w:t>
      </w:r>
      <w:r w:rsidR="003A4EA7" w:rsidRPr="003877E2">
        <w:rPr>
          <w:sz w:val="28"/>
          <w:szCs w:val="28"/>
        </w:rPr>
        <w:t xml:space="preserve">. </w:t>
      </w:r>
      <w:r w:rsidR="00E84382" w:rsidRPr="003877E2">
        <w:rPr>
          <w:sz w:val="28"/>
          <w:szCs w:val="28"/>
        </w:rPr>
        <w:t>When t</w:t>
      </w:r>
      <w:r w:rsidR="003A4EA7" w:rsidRPr="003877E2">
        <w:rPr>
          <w:sz w:val="28"/>
          <w:szCs w:val="28"/>
        </w:rPr>
        <w:t xml:space="preserve">hat application was </w:t>
      </w:r>
      <w:r w:rsidR="00E84382" w:rsidRPr="003877E2">
        <w:rPr>
          <w:sz w:val="28"/>
          <w:szCs w:val="28"/>
        </w:rPr>
        <w:t xml:space="preserve">dismissed by </w:t>
      </w:r>
      <w:r w:rsidR="003A4EA7" w:rsidRPr="003877E2">
        <w:rPr>
          <w:sz w:val="28"/>
          <w:szCs w:val="28"/>
        </w:rPr>
        <w:t>this Court</w:t>
      </w:r>
      <w:r w:rsidR="00E84382" w:rsidRPr="003877E2">
        <w:rPr>
          <w:sz w:val="28"/>
          <w:szCs w:val="28"/>
        </w:rPr>
        <w:t>,</w:t>
      </w:r>
      <w:r w:rsidR="003A4EA7" w:rsidRPr="003877E2">
        <w:rPr>
          <w:sz w:val="28"/>
          <w:szCs w:val="28"/>
        </w:rPr>
        <w:t xml:space="preserve"> </w:t>
      </w:r>
      <w:r w:rsidR="00513B7B" w:rsidRPr="003877E2">
        <w:rPr>
          <w:sz w:val="28"/>
          <w:szCs w:val="28"/>
        </w:rPr>
        <w:t xml:space="preserve">RGH </w:t>
      </w:r>
      <w:r w:rsidR="00E84382" w:rsidRPr="003877E2">
        <w:rPr>
          <w:sz w:val="28"/>
          <w:szCs w:val="28"/>
        </w:rPr>
        <w:t xml:space="preserve">then </w:t>
      </w:r>
      <w:r w:rsidR="00513B7B" w:rsidRPr="003877E2">
        <w:rPr>
          <w:sz w:val="28"/>
          <w:szCs w:val="28"/>
        </w:rPr>
        <w:t>approach</w:t>
      </w:r>
      <w:r w:rsidR="00E84382" w:rsidRPr="003877E2">
        <w:rPr>
          <w:sz w:val="28"/>
          <w:szCs w:val="28"/>
        </w:rPr>
        <w:t>ed</w:t>
      </w:r>
      <w:r w:rsidR="00513B7B" w:rsidRPr="003877E2">
        <w:rPr>
          <w:sz w:val="28"/>
          <w:szCs w:val="28"/>
        </w:rPr>
        <w:t xml:space="preserve"> the Constitutional Court</w:t>
      </w:r>
      <w:r w:rsidR="00D12394" w:rsidRPr="003877E2">
        <w:rPr>
          <w:sz w:val="28"/>
          <w:szCs w:val="28"/>
        </w:rPr>
        <w:t xml:space="preserve"> for leave</w:t>
      </w:r>
      <w:r w:rsidR="00E84382" w:rsidRPr="003877E2">
        <w:rPr>
          <w:sz w:val="28"/>
          <w:szCs w:val="28"/>
        </w:rPr>
        <w:t xml:space="preserve"> to appeal</w:t>
      </w:r>
      <w:r w:rsidR="00513B7B" w:rsidRPr="003877E2">
        <w:rPr>
          <w:sz w:val="28"/>
          <w:szCs w:val="28"/>
        </w:rPr>
        <w:t>.</w:t>
      </w:r>
      <w:r w:rsidR="00673781" w:rsidRPr="003877E2">
        <w:rPr>
          <w:sz w:val="28"/>
          <w:szCs w:val="28"/>
        </w:rPr>
        <w:t xml:space="preserve"> </w:t>
      </w:r>
      <w:r w:rsidR="00E84382" w:rsidRPr="003877E2">
        <w:rPr>
          <w:sz w:val="28"/>
          <w:szCs w:val="28"/>
        </w:rPr>
        <w:t xml:space="preserve">It also launched the second stay application pending determination of its petition to the Constitutional Court. </w:t>
      </w:r>
      <w:r w:rsidR="001E2A31" w:rsidRPr="003877E2">
        <w:rPr>
          <w:sz w:val="28"/>
          <w:szCs w:val="28"/>
        </w:rPr>
        <w:t xml:space="preserve">Both applications were brought on the same basis and </w:t>
      </w:r>
      <w:r w:rsidR="00E84382" w:rsidRPr="003877E2">
        <w:rPr>
          <w:sz w:val="28"/>
          <w:szCs w:val="28"/>
        </w:rPr>
        <w:t xml:space="preserve">both were opposed by </w:t>
      </w:r>
      <w:r w:rsidR="001E2A31" w:rsidRPr="003877E2">
        <w:rPr>
          <w:sz w:val="28"/>
          <w:szCs w:val="28"/>
        </w:rPr>
        <w:t>the</w:t>
      </w:r>
      <w:r w:rsidR="00513B7B" w:rsidRPr="003877E2">
        <w:rPr>
          <w:sz w:val="28"/>
          <w:szCs w:val="28"/>
        </w:rPr>
        <w:t xml:space="preserve"> Curator</w:t>
      </w:r>
      <w:r w:rsidR="001E2A31" w:rsidRPr="003877E2">
        <w:rPr>
          <w:sz w:val="28"/>
          <w:szCs w:val="28"/>
        </w:rPr>
        <w:t xml:space="preserve">. Before considering these matters, it </w:t>
      </w:r>
      <w:r w:rsidR="00E84382" w:rsidRPr="003877E2">
        <w:rPr>
          <w:sz w:val="28"/>
          <w:szCs w:val="28"/>
        </w:rPr>
        <w:t xml:space="preserve">may be </w:t>
      </w:r>
      <w:r w:rsidR="00CA7E85" w:rsidRPr="003877E2">
        <w:rPr>
          <w:sz w:val="28"/>
          <w:szCs w:val="28"/>
        </w:rPr>
        <w:t>appropriate</w:t>
      </w:r>
      <w:r w:rsidR="001E2A31" w:rsidRPr="003877E2">
        <w:rPr>
          <w:sz w:val="28"/>
          <w:szCs w:val="28"/>
        </w:rPr>
        <w:t xml:space="preserve"> to </w:t>
      </w:r>
      <w:r w:rsidR="00A00692" w:rsidRPr="003877E2">
        <w:rPr>
          <w:sz w:val="28"/>
          <w:szCs w:val="28"/>
        </w:rPr>
        <w:t>provide a</w:t>
      </w:r>
      <w:r w:rsidR="00E84382" w:rsidRPr="003877E2">
        <w:rPr>
          <w:sz w:val="28"/>
          <w:szCs w:val="28"/>
        </w:rPr>
        <w:t xml:space="preserve"> </w:t>
      </w:r>
      <w:r w:rsidR="001E2A31" w:rsidRPr="003877E2">
        <w:rPr>
          <w:sz w:val="28"/>
          <w:szCs w:val="28"/>
        </w:rPr>
        <w:t>brief background</w:t>
      </w:r>
      <w:r w:rsidR="004B1700" w:rsidRPr="003877E2">
        <w:rPr>
          <w:sz w:val="28"/>
          <w:szCs w:val="28"/>
        </w:rPr>
        <w:t>.</w:t>
      </w:r>
      <w:r w:rsidR="00C6570C" w:rsidRPr="003877E2">
        <w:rPr>
          <w:sz w:val="28"/>
          <w:szCs w:val="28"/>
        </w:rPr>
        <w:t xml:space="preserve"> </w:t>
      </w:r>
    </w:p>
    <w:p w14:paraId="1B5073AD" w14:textId="77777777" w:rsidR="00F46D33" w:rsidRPr="00FB564C" w:rsidRDefault="00F46D33" w:rsidP="00100403">
      <w:pPr>
        <w:tabs>
          <w:tab w:val="left" w:pos="0"/>
        </w:tabs>
        <w:rPr>
          <w:b/>
          <w:sz w:val="28"/>
          <w:szCs w:val="28"/>
        </w:rPr>
      </w:pPr>
    </w:p>
    <w:p w14:paraId="42FDF398" w14:textId="7A188FC5" w:rsidR="00D90649" w:rsidRPr="00FB564C" w:rsidRDefault="00623A56" w:rsidP="00100403">
      <w:pPr>
        <w:tabs>
          <w:tab w:val="left" w:pos="0"/>
        </w:tabs>
        <w:rPr>
          <w:b/>
          <w:sz w:val="28"/>
          <w:szCs w:val="28"/>
        </w:rPr>
      </w:pPr>
      <w:r w:rsidRPr="00FB564C">
        <w:rPr>
          <w:b/>
          <w:sz w:val="28"/>
          <w:szCs w:val="28"/>
        </w:rPr>
        <w:t>Schaapkraal acquisition</w:t>
      </w:r>
    </w:p>
    <w:p w14:paraId="2376DBEC" w14:textId="3D9B0DAF" w:rsidR="00FA2572" w:rsidRPr="003877E2" w:rsidRDefault="003877E2" w:rsidP="003877E2">
      <w:pPr>
        <w:tabs>
          <w:tab w:val="left" w:pos="0"/>
        </w:tabs>
        <w:rPr>
          <w:sz w:val="28"/>
          <w:szCs w:val="28"/>
        </w:rPr>
      </w:pPr>
      <w:r w:rsidRPr="00FB564C">
        <w:rPr>
          <w:sz w:val="28"/>
          <w:szCs w:val="28"/>
        </w:rPr>
        <w:t>[11]</w:t>
      </w:r>
      <w:r w:rsidRPr="00FB564C">
        <w:rPr>
          <w:sz w:val="28"/>
          <w:szCs w:val="28"/>
        </w:rPr>
        <w:tab/>
      </w:r>
      <w:r w:rsidR="007169D3" w:rsidRPr="003877E2">
        <w:rPr>
          <w:sz w:val="28"/>
          <w:szCs w:val="28"/>
        </w:rPr>
        <w:t>O</w:t>
      </w:r>
      <w:r w:rsidR="00774713" w:rsidRPr="003877E2">
        <w:rPr>
          <w:sz w:val="28"/>
          <w:szCs w:val="28"/>
        </w:rPr>
        <w:t xml:space="preserve">n 31 August 2006, </w:t>
      </w:r>
      <w:r w:rsidR="0004598B" w:rsidRPr="003877E2">
        <w:rPr>
          <w:sz w:val="28"/>
          <w:szCs w:val="28"/>
        </w:rPr>
        <w:t>Badenhorst</w:t>
      </w:r>
      <w:r w:rsidR="00774713" w:rsidRPr="003877E2">
        <w:rPr>
          <w:sz w:val="28"/>
          <w:szCs w:val="28"/>
        </w:rPr>
        <w:t>, acting on behalf of a company to be formed</w:t>
      </w:r>
      <w:r w:rsidR="007169D3" w:rsidRPr="003877E2">
        <w:rPr>
          <w:sz w:val="28"/>
          <w:szCs w:val="28"/>
        </w:rPr>
        <w:t xml:space="preserve"> (which was later incorporated as Rapicorp 122)</w:t>
      </w:r>
      <w:r w:rsidR="00774713" w:rsidRPr="003877E2">
        <w:rPr>
          <w:sz w:val="28"/>
          <w:szCs w:val="28"/>
        </w:rPr>
        <w:t>, concluded an agreement to purchase the remainder of erf 650 Schaapkraal, which comprised 21 subdivided erven</w:t>
      </w:r>
      <w:r w:rsidR="000D204C" w:rsidRPr="003877E2">
        <w:rPr>
          <w:sz w:val="28"/>
          <w:szCs w:val="28"/>
        </w:rPr>
        <w:t>,</w:t>
      </w:r>
      <w:r w:rsidR="00774713" w:rsidRPr="003877E2">
        <w:rPr>
          <w:sz w:val="28"/>
          <w:szCs w:val="28"/>
        </w:rPr>
        <w:t xml:space="preserve"> at a price of R34 633</w:t>
      </w:r>
      <w:r w:rsidR="00327222" w:rsidRPr="003877E2">
        <w:rPr>
          <w:sz w:val="28"/>
          <w:szCs w:val="28"/>
        </w:rPr>
        <w:t> </w:t>
      </w:r>
      <w:r w:rsidR="00774713" w:rsidRPr="003877E2">
        <w:rPr>
          <w:sz w:val="28"/>
          <w:szCs w:val="28"/>
        </w:rPr>
        <w:t xml:space="preserve">034 from Cape and Transvaal Land and Finance Company (Pty) Ltd. </w:t>
      </w:r>
      <w:r w:rsidR="000D204C" w:rsidRPr="003877E2">
        <w:rPr>
          <w:sz w:val="28"/>
          <w:szCs w:val="28"/>
        </w:rPr>
        <w:t xml:space="preserve">Rapicorp 122 ratified the purchase agreement </w:t>
      </w:r>
      <w:r w:rsidR="00327222" w:rsidRPr="003877E2">
        <w:rPr>
          <w:sz w:val="28"/>
          <w:szCs w:val="28"/>
        </w:rPr>
        <w:t xml:space="preserve">on </w:t>
      </w:r>
      <w:r w:rsidR="00774713" w:rsidRPr="003877E2">
        <w:rPr>
          <w:sz w:val="28"/>
          <w:szCs w:val="28"/>
        </w:rPr>
        <w:t>6 September 2006</w:t>
      </w:r>
      <w:r w:rsidR="008C3D22" w:rsidRPr="003877E2">
        <w:rPr>
          <w:sz w:val="28"/>
          <w:szCs w:val="28"/>
        </w:rPr>
        <w:t>,</w:t>
      </w:r>
      <w:r w:rsidR="000D204C" w:rsidRPr="003877E2">
        <w:rPr>
          <w:sz w:val="28"/>
          <w:szCs w:val="28"/>
        </w:rPr>
        <w:t xml:space="preserve"> after its incorporation</w:t>
      </w:r>
      <w:r w:rsidR="00327222" w:rsidRPr="003877E2">
        <w:rPr>
          <w:sz w:val="28"/>
          <w:szCs w:val="28"/>
        </w:rPr>
        <w:t xml:space="preserve">. </w:t>
      </w:r>
    </w:p>
    <w:p w14:paraId="21DFAE13" w14:textId="77777777" w:rsidR="00E21158" w:rsidRPr="00FB564C" w:rsidRDefault="00E21158" w:rsidP="00100403">
      <w:pPr>
        <w:pStyle w:val="ListParagraph"/>
        <w:ind w:left="0"/>
        <w:rPr>
          <w:sz w:val="28"/>
          <w:szCs w:val="28"/>
        </w:rPr>
      </w:pPr>
    </w:p>
    <w:p w14:paraId="1D25D15E" w14:textId="7B34A2CD" w:rsidR="0004598B" w:rsidRPr="003877E2" w:rsidRDefault="003877E2" w:rsidP="003877E2">
      <w:pPr>
        <w:rPr>
          <w:sz w:val="28"/>
          <w:szCs w:val="28"/>
        </w:rPr>
      </w:pPr>
      <w:r w:rsidRPr="00FB564C">
        <w:rPr>
          <w:sz w:val="28"/>
          <w:szCs w:val="28"/>
        </w:rPr>
        <w:t>[12]</w:t>
      </w:r>
      <w:r w:rsidRPr="00FB564C">
        <w:rPr>
          <w:sz w:val="28"/>
          <w:szCs w:val="28"/>
        </w:rPr>
        <w:tab/>
      </w:r>
      <w:r w:rsidR="000D204C" w:rsidRPr="003877E2">
        <w:rPr>
          <w:sz w:val="28"/>
          <w:szCs w:val="28"/>
        </w:rPr>
        <w:t>On the same da</w:t>
      </w:r>
      <w:r w:rsidR="0004598B" w:rsidRPr="003877E2">
        <w:rPr>
          <w:sz w:val="28"/>
          <w:szCs w:val="28"/>
        </w:rPr>
        <w:t>y</w:t>
      </w:r>
      <w:r w:rsidR="00903E78" w:rsidRPr="003877E2">
        <w:rPr>
          <w:sz w:val="28"/>
          <w:szCs w:val="28"/>
        </w:rPr>
        <w:t>,</w:t>
      </w:r>
      <w:r w:rsidR="000D204C" w:rsidRPr="003877E2">
        <w:rPr>
          <w:sz w:val="28"/>
          <w:szCs w:val="28"/>
        </w:rPr>
        <w:t xml:space="preserve"> another company</w:t>
      </w:r>
      <w:r w:rsidR="0004598B" w:rsidRPr="003877E2">
        <w:rPr>
          <w:sz w:val="28"/>
          <w:szCs w:val="28"/>
        </w:rPr>
        <w:t>,</w:t>
      </w:r>
      <w:r w:rsidR="000D204C" w:rsidRPr="003877E2">
        <w:rPr>
          <w:sz w:val="28"/>
          <w:szCs w:val="28"/>
        </w:rPr>
        <w:t xml:space="preserve"> Rapicorp 123</w:t>
      </w:r>
      <w:r w:rsidR="00B41B46" w:rsidRPr="003877E2">
        <w:rPr>
          <w:sz w:val="28"/>
          <w:szCs w:val="28"/>
        </w:rPr>
        <w:t>,</w:t>
      </w:r>
      <w:r w:rsidR="000D204C" w:rsidRPr="003877E2">
        <w:rPr>
          <w:sz w:val="28"/>
          <w:szCs w:val="28"/>
        </w:rPr>
        <w:t xml:space="preserve"> was formed</w:t>
      </w:r>
      <w:r w:rsidR="00CA7E85" w:rsidRPr="003877E2">
        <w:rPr>
          <w:sz w:val="28"/>
          <w:szCs w:val="28"/>
        </w:rPr>
        <w:t>.</w:t>
      </w:r>
      <w:r w:rsidR="00E21158" w:rsidRPr="003877E2">
        <w:rPr>
          <w:sz w:val="28"/>
          <w:szCs w:val="28"/>
        </w:rPr>
        <w:t xml:space="preserve"> </w:t>
      </w:r>
      <w:r w:rsidR="00CA7E85" w:rsidRPr="003877E2">
        <w:rPr>
          <w:sz w:val="28"/>
          <w:szCs w:val="28"/>
        </w:rPr>
        <w:t>O</w:t>
      </w:r>
      <w:r w:rsidR="00E21158" w:rsidRPr="003877E2">
        <w:rPr>
          <w:sz w:val="28"/>
          <w:szCs w:val="28"/>
        </w:rPr>
        <w:t>n 17 October 2006</w:t>
      </w:r>
      <w:r w:rsidR="004B25E4" w:rsidRPr="003877E2">
        <w:rPr>
          <w:sz w:val="28"/>
          <w:szCs w:val="28"/>
        </w:rPr>
        <w:t>,</w:t>
      </w:r>
      <w:r w:rsidR="00E21158" w:rsidRPr="003877E2">
        <w:rPr>
          <w:sz w:val="28"/>
          <w:szCs w:val="28"/>
        </w:rPr>
        <w:t xml:space="preserve"> </w:t>
      </w:r>
      <w:r w:rsidR="00CA7E85" w:rsidRPr="003877E2">
        <w:rPr>
          <w:sz w:val="28"/>
          <w:szCs w:val="28"/>
        </w:rPr>
        <w:t xml:space="preserve">Rapicorp 123, </w:t>
      </w:r>
      <w:r w:rsidR="00E21158" w:rsidRPr="003877E2">
        <w:rPr>
          <w:sz w:val="28"/>
          <w:szCs w:val="28"/>
        </w:rPr>
        <w:t>also represented by Badenhorst, purchased erf 579 Schaapkraal at the price of R1 368 000 from Trans Hex Operations (Pty) Ltd.</w:t>
      </w:r>
      <w:r w:rsidR="009C097E" w:rsidRPr="003877E2">
        <w:rPr>
          <w:sz w:val="28"/>
          <w:szCs w:val="28"/>
        </w:rPr>
        <w:t xml:space="preserve"> T</w:t>
      </w:r>
      <w:r w:rsidR="0004598B" w:rsidRPr="003877E2">
        <w:rPr>
          <w:sz w:val="28"/>
          <w:szCs w:val="28"/>
        </w:rPr>
        <w:t>he total purchase price for the 22 Schaapkraal properties</w:t>
      </w:r>
      <w:r w:rsidR="009C097E" w:rsidRPr="003877E2">
        <w:rPr>
          <w:sz w:val="28"/>
          <w:szCs w:val="28"/>
        </w:rPr>
        <w:t xml:space="preserve"> (</w:t>
      </w:r>
      <w:r w:rsidR="004B25E4" w:rsidRPr="003877E2">
        <w:rPr>
          <w:sz w:val="28"/>
          <w:szCs w:val="28"/>
        </w:rPr>
        <w:t xml:space="preserve">the </w:t>
      </w:r>
      <w:r w:rsidR="009C097E" w:rsidRPr="003877E2">
        <w:rPr>
          <w:sz w:val="28"/>
          <w:szCs w:val="28"/>
        </w:rPr>
        <w:t>properties)</w:t>
      </w:r>
      <w:r w:rsidR="0004598B" w:rsidRPr="003877E2">
        <w:rPr>
          <w:sz w:val="28"/>
          <w:szCs w:val="28"/>
        </w:rPr>
        <w:t xml:space="preserve"> was R36 001 034. </w:t>
      </w:r>
    </w:p>
    <w:p w14:paraId="4EDDBB0B" w14:textId="77777777" w:rsidR="009C097E" w:rsidRPr="00FB564C" w:rsidRDefault="009C097E">
      <w:pPr>
        <w:pStyle w:val="ListParagraph"/>
        <w:rPr>
          <w:sz w:val="28"/>
          <w:szCs w:val="28"/>
        </w:rPr>
      </w:pPr>
    </w:p>
    <w:p w14:paraId="20F63374" w14:textId="02F196D2" w:rsidR="00886C45" w:rsidRPr="003877E2" w:rsidRDefault="003877E2" w:rsidP="003877E2">
      <w:pPr>
        <w:rPr>
          <w:sz w:val="28"/>
          <w:szCs w:val="28"/>
        </w:rPr>
      </w:pPr>
      <w:r w:rsidRPr="00FB564C">
        <w:rPr>
          <w:sz w:val="28"/>
          <w:szCs w:val="28"/>
        </w:rPr>
        <w:lastRenderedPageBreak/>
        <w:t>[13]</w:t>
      </w:r>
      <w:r w:rsidRPr="00FB564C">
        <w:rPr>
          <w:sz w:val="28"/>
          <w:szCs w:val="28"/>
        </w:rPr>
        <w:tab/>
      </w:r>
      <w:r w:rsidR="00BE294D" w:rsidRPr="003877E2">
        <w:rPr>
          <w:sz w:val="28"/>
          <w:szCs w:val="28"/>
        </w:rPr>
        <w:t>A</w:t>
      </w:r>
      <w:r w:rsidR="00774713" w:rsidRPr="003877E2">
        <w:rPr>
          <w:sz w:val="28"/>
          <w:szCs w:val="28"/>
        </w:rPr>
        <w:t>t the time of th</w:t>
      </w:r>
      <w:r w:rsidR="00BE294D" w:rsidRPr="003877E2">
        <w:rPr>
          <w:sz w:val="28"/>
          <w:szCs w:val="28"/>
        </w:rPr>
        <w:t>e Rapicorp</w:t>
      </w:r>
      <w:r w:rsidR="00774713" w:rsidRPr="003877E2">
        <w:rPr>
          <w:sz w:val="28"/>
          <w:szCs w:val="28"/>
        </w:rPr>
        <w:t xml:space="preserve"> companies taking transfer of the aforesaid properties, the entire issued ordinary share capital of these companies, in each case being 120 ordinary par value shares</w:t>
      </w:r>
      <w:r w:rsidR="00BE294D" w:rsidRPr="003877E2">
        <w:rPr>
          <w:sz w:val="28"/>
          <w:szCs w:val="28"/>
        </w:rPr>
        <w:t>,</w:t>
      </w:r>
      <w:r w:rsidR="00774713" w:rsidRPr="003877E2">
        <w:rPr>
          <w:sz w:val="28"/>
          <w:szCs w:val="28"/>
        </w:rPr>
        <w:t xml:space="preserve"> was held equal</w:t>
      </w:r>
      <w:r w:rsidR="004B25E4" w:rsidRPr="003877E2">
        <w:rPr>
          <w:sz w:val="28"/>
          <w:szCs w:val="28"/>
        </w:rPr>
        <w:t xml:space="preserve">ly </w:t>
      </w:r>
      <w:r w:rsidR="00BE294D" w:rsidRPr="003877E2">
        <w:rPr>
          <w:sz w:val="28"/>
          <w:szCs w:val="28"/>
        </w:rPr>
        <w:t>(</w:t>
      </w:r>
      <w:r w:rsidR="00774713" w:rsidRPr="003877E2">
        <w:rPr>
          <w:sz w:val="28"/>
          <w:szCs w:val="28"/>
        </w:rPr>
        <w:t>ie 40 shares</w:t>
      </w:r>
      <w:r w:rsidR="004B25E4" w:rsidRPr="003877E2">
        <w:rPr>
          <w:sz w:val="28"/>
          <w:szCs w:val="28"/>
        </w:rPr>
        <w:t xml:space="preserve"> each</w:t>
      </w:r>
      <w:r w:rsidR="00BE294D" w:rsidRPr="003877E2">
        <w:rPr>
          <w:sz w:val="28"/>
          <w:szCs w:val="28"/>
        </w:rPr>
        <w:t>)</w:t>
      </w:r>
      <w:r w:rsidR="00774713" w:rsidRPr="003877E2">
        <w:rPr>
          <w:sz w:val="28"/>
          <w:szCs w:val="28"/>
        </w:rPr>
        <w:t xml:space="preserve"> by Johnny, Schuster and </w:t>
      </w:r>
      <w:r w:rsidR="0004598B" w:rsidRPr="003877E2">
        <w:rPr>
          <w:sz w:val="28"/>
          <w:szCs w:val="28"/>
        </w:rPr>
        <w:t>Horton</w:t>
      </w:r>
      <w:r w:rsidR="00BC0B0A" w:rsidRPr="003877E2">
        <w:rPr>
          <w:sz w:val="28"/>
          <w:szCs w:val="28"/>
        </w:rPr>
        <w:t xml:space="preserve">. </w:t>
      </w:r>
      <w:r w:rsidR="008B1042" w:rsidRPr="003877E2">
        <w:rPr>
          <w:sz w:val="28"/>
          <w:szCs w:val="28"/>
        </w:rPr>
        <w:t>Horton was</w:t>
      </w:r>
      <w:r w:rsidR="00BC0B0A" w:rsidRPr="003877E2">
        <w:rPr>
          <w:sz w:val="28"/>
          <w:szCs w:val="28"/>
        </w:rPr>
        <w:t xml:space="preserve"> later replaced </w:t>
      </w:r>
      <w:r w:rsidR="00710604" w:rsidRPr="003877E2">
        <w:rPr>
          <w:sz w:val="28"/>
          <w:szCs w:val="28"/>
        </w:rPr>
        <w:t xml:space="preserve">by </w:t>
      </w:r>
      <w:r w:rsidR="00774713" w:rsidRPr="003877E2">
        <w:rPr>
          <w:sz w:val="28"/>
          <w:szCs w:val="28"/>
        </w:rPr>
        <w:t>Merlot</w:t>
      </w:r>
      <w:r w:rsidR="00BC0B0A" w:rsidRPr="003877E2">
        <w:rPr>
          <w:sz w:val="28"/>
          <w:szCs w:val="28"/>
        </w:rPr>
        <w:t xml:space="preserve"> as a shareholder</w:t>
      </w:r>
      <w:r w:rsidR="00710604" w:rsidRPr="003877E2">
        <w:rPr>
          <w:sz w:val="28"/>
          <w:szCs w:val="28"/>
        </w:rPr>
        <w:t>.</w:t>
      </w:r>
    </w:p>
    <w:p w14:paraId="17A6CA66" w14:textId="77777777" w:rsidR="00886C45" w:rsidRPr="00FB564C" w:rsidRDefault="00886C45">
      <w:pPr>
        <w:pStyle w:val="ListParagraph"/>
        <w:rPr>
          <w:sz w:val="28"/>
          <w:szCs w:val="28"/>
        </w:rPr>
      </w:pPr>
    </w:p>
    <w:p w14:paraId="5FA548B0" w14:textId="257C8731" w:rsidR="00BE294D" w:rsidRPr="003877E2" w:rsidRDefault="003877E2" w:rsidP="003877E2">
      <w:pPr>
        <w:rPr>
          <w:sz w:val="28"/>
          <w:szCs w:val="28"/>
        </w:rPr>
      </w:pPr>
      <w:r w:rsidRPr="00FB564C">
        <w:rPr>
          <w:sz w:val="28"/>
          <w:szCs w:val="28"/>
        </w:rPr>
        <w:t>[14]</w:t>
      </w:r>
      <w:r w:rsidRPr="00FB564C">
        <w:rPr>
          <w:sz w:val="28"/>
          <w:szCs w:val="28"/>
        </w:rPr>
        <w:tab/>
      </w:r>
      <w:r w:rsidR="00774713" w:rsidRPr="003877E2">
        <w:rPr>
          <w:sz w:val="28"/>
          <w:szCs w:val="28"/>
        </w:rPr>
        <w:t xml:space="preserve">On </w:t>
      </w:r>
      <w:r w:rsidR="009178D3" w:rsidRPr="003877E2">
        <w:rPr>
          <w:sz w:val="28"/>
          <w:szCs w:val="28"/>
        </w:rPr>
        <w:t>2</w:t>
      </w:r>
      <w:r w:rsidR="00FE5B8B" w:rsidRPr="003877E2">
        <w:rPr>
          <w:sz w:val="28"/>
          <w:szCs w:val="28"/>
        </w:rPr>
        <w:t>3</w:t>
      </w:r>
      <w:r w:rsidR="009178D3" w:rsidRPr="003877E2">
        <w:rPr>
          <w:sz w:val="28"/>
          <w:szCs w:val="28"/>
        </w:rPr>
        <w:t xml:space="preserve"> </w:t>
      </w:r>
      <w:r w:rsidR="00774713" w:rsidRPr="003877E2">
        <w:rPr>
          <w:sz w:val="28"/>
          <w:szCs w:val="28"/>
        </w:rPr>
        <w:t xml:space="preserve">April 2007, Schuster, Merlot and Johnny concluded a sale of shares agreement with PIF in terms of which Schuster, Merlot and Johnny each sold </w:t>
      </w:r>
      <w:r w:rsidR="00FA2572" w:rsidRPr="003877E2">
        <w:rPr>
          <w:sz w:val="28"/>
          <w:szCs w:val="28"/>
        </w:rPr>
        <w:t>eight</w:t>
      </w:r>
      <w:r w:rsidR="00774713" w:rsidRPr="003877E2">
        <w:rPr>
          <w:sz w:val="28"/>
          <w:szCs w:val="28"/>
        </w:rPr>
        <w:t xml:space="preserve"> of their issued shares in Rapicorp 122 to PIF, ie a total of 24 ordinary shares</w:t>
      </w:r>
      <w:r w:rsidR="00D63672" w:rsidRPr="003877E2">
        <w:rPr>
          <w:sz w:val="28"/>
          <w:szCs w:val="28"/>
        </w:rPr>
        <w:t>,</w:t>
      </w:r>
      <w:r w:rsidR="00774713" w:rsidRPr="003877E2">
        <w:rPr>
          <w:sz w:val="28"/>
          <w:szCs w:val="28"/>
        </w:rPr>
        <w:t xml:space="preserve"> representing 20% of the then issued ordinary share capital for a total purchase consideration of R36 </w:t>
      </w:r>
      <w:r w:rsidR="009178D3" w:rsidRPr="003877E2">
        <w:rPr>
          <w:sz w:val="28"/>
          <w:szCs w:val="28"/>
        </w:rPr>
        <w:t xml:space="preserve">million </w:t>
      </w:r>
      <w:r w:rsidR="00774713" w:rsidRPr="003877E2">
        <w:rPr>
          <w:sz w:val="28"/>
          <w:szCs w:val="28"/>
        </w:rPr>
        <w:t xml:space="preserve">(the sale of shares agreement). </w:t>
      </w:r>
    </w:p>
    <w:p w14:paraId="62E26A17" w14:textId="77777777" w:rsidR="00BE294D" w:rsidRPr="00FB564C" w:rsidRDefault="00BE294D">
      <w:pPr>
        <w:pStyle w:val="ListParagraph"/>
        <w:rPr>
          <w:sz w:val="28"/>
          <w:szCs w:val="28"/>
        </w:rPr>
      </w:pPr>
    </w:p>
    <w:p w14:paraId="230CF29D" w14:textId="1050F36F" w:rsidR="00774713" w:rsidRPr="003877E2" w:rsidRDefault="003877E2" w:rsidP="003877E2">
      <w:pPr>
        <w:rPr>
          <w:sz w:val="28"/>
          <w:szCs w:val="28"/>
        </w:rPr>
      </w:pPr>
      <w:r w:rsidRPr="00FB564C">
        <w:rPr>
          <w:sz w:val="28"/>
          <w:szCs w:val="28"/>
        </w:rPr>
        <w:t>[15]</w:t>
      </w:r>
      <w:r w:rsidRPr="00FB564C">
        <w:rPr>
          <w:sz w:val="28"/>
          <w:szCs w:val="28"/>
        </w:rPr>
        <w:tab/>
      </w:r>
      <w:r w:rsidR="00774713" w:rsidRPr="003877E2">
        <w:rPr>
          <w:sz w:val="28"/>
          <w:szCs w:val="28"/>
        </w:rPr>
        <w:t>In concluding the sale of shares agreement, Merlot and Schuster were represented by Badenhorst</w:t>
      </w:r>
      <w:r w:rsidR="004B25E4" w:rsidRPr="003877E2">
        <w:rPr>
          <w:sz w:val="28"/>
          <w:szCs w:val="28"/>
        </w:rPr>
        <w:t>,</w:t>
      </w:r>
      <w:r w:rsidR="00774713" w:rsidRPr="003877E2">
        <w:rPr>
          <w:sz w:val="28"/>
          <w:szCs w:val="28"/>
        </w:rPr>
        <w:t xml:space="preserve"> while </w:t>
      </w:r>
      <w:r w:rsidR="00BE294D" w:rsidRPr="003877E2">
        <w:rPr>
          <w:sz w:val="28"/>
          <w:szCs w:val="28"/>
        </w:rPr>
        <w:t xml:space="preserve">Oaker represented </w:t>
      </w:r>
      <w:r w:rsidR="007577F5" w:rsidRPr="003877E2">
        <w:rPr>
          <w:sz w:val="28"/>
          <w:szCs w:val="28"/>
        </w:rPr>
        <w:t xml:space="preserve">both </w:t>
      </w:r>
      <w:r w:rsidR="00BE294D" w:rsidRPr="003877E2">
        <w:rPr>
          <w:sz w:val="28"/>
          <w:szCs w:val="28"/>
        </w:rPr>
        <w:t>Johnny</w:t>
      </w:r>
      <w:r w:rsidR="00774713" w:rsidRPr="003877E2">
        <w:rPr>
          <w:sz w:val="28"/>
          <w:szCs w:val="28"/>
        </w:rPr>
        <w:t xml:space="preserve"> </w:t>
      </w:r>
      <w:r w:rsidR="004B25E4" w:rsidRPr="003877E2">
        <w:rPr>
          <w:sz w:val="28"/>
          <w:szCs w:val="28"/>
        </w:rPr>
        <w:t>(</w:t>
      </w:r>
      <w:r w:rsidR="00774713" w:rsidRPr="003877E2">
        <w:rPr>
          <w:sz w:val="28"/>
          <w:szCs w:val="28"/>
        </w:rPr>
        <w:t xml:space="preserve">in </w:t>
      </w:r>
      <w:r w:rsidR="00BE294D" w:rsidRPr="003877E2">
        <w:rPr>
          <w:sz w:val="28"/>
          <w:szCs w:val="28"/>
        </w:rPr>
        <w:t>h</w:t>
      </w:r>
      <w:r w:rsidR="00774713" w:rsidRPr="003877E2">
        <w:rPr>
          <w:sz w:val="28"/>
          <w:szCs w:val="28"/>
        </w:rPr>
        <w:t xml:space="preserve">is capacity as </w:t>
      </w:r>
      <w:r w:rsidR="00006F2D" w:rsidRPr="003877E2">
        <w:rPr>
          <w:sz w:val="28"/>
          <w:szCs w:val="28"/>
        </w:rPr>
        <w:t>its trustee</w:t>
      </w:r>
      <w:r w:rsidR="004B25E4" w:rsidRPr="003877E2">
        <w:rPr>
          <w:sz w:val="28"/>
          <w:szCs w:val="28"/>
        </w:rPr>
        <w:t>)</w:t>
      </w:r>
      <w:r w:rsidR="00006F2D" w:rsidRPr="003877E2">
        <w:rPr>
          <w:sz w:val="28"/>
          <w:szCs w:val="28"/>
        </w:rPr>
        <w:t xml:space="preserve"> </w:t>
      </w:r>
      <w:r w:rsidR="00774713" w:rsidRPr="003877E2">
        <w:rPr>
          <w:sz w:val="28"/>
          <w:szCs w:val="28"/>
        </w:rPr>
        <w:t xml:space="preserve">and </w:t>
      </w:r>
      <w:r w:rsidR="006A5FF5" w:rsidRPr="003877E2">
        <w:rPr>
          <w:sz w:val="28"/>
          <w:szCs w:val="28"/>
        </w:rPr>
        <w:t xml:space="preserve">PIF </w:t>
      </w:r>
      <w:r w:rsidR="004B25E4" w:rsidRPr="003877E2">
        <w:rPr>
          <w:sz w:val="28"/>
          <w:szCs w:val="28"/>
        </w:rPr>
        <w:t>(</w:t>
      </w:r>
      <w:r w:rsidR="00BE294D" w:rsidRPr="003877E2">
        <w:rPr>
          <w:sz w:val="28"/>
          <w:szCs w:val="28"/>
        </w:rPr>
        <w:t xml:space="preserve">as </w:t>
      </w:r>
      <w:r w:rsidR="007577F5" w:rsidRPr="003877E2">
        <w:rPr>
          <w:sz w:val="28"/>
          <w:szCs w:val="28"/>
        </w:rPr>
        <w:t xml:space="preserve">the </w:t>
      </w:r>
      <w:r w:rsidR="00BE294D" w:rsidRPr="003877E2">
        <w:rPr>
          <w:sz w:val="28"/>
          <w:szCs w:val="28"/>
        </w:rPr>
        <w:t>nominee for Global Pact, PIF’s corporate trustee</w:t>
      </w:r>
      <w:r w:rsidR="005D22AB" w:rsidRPr="003877E2">
        <w:rPr>
          <w:sz w:val="28"/>
          <w:szCs w:val="28"/>
        </w:rPr>
        <w:t>)</w:t>
      </w:r>
      <w:r w:rsidR="00774713" w:rsidRPr="003877E2">
        <w:rPr>
          <w:sz w:val="28"/>
          <w:szCs w:val="28"/>
        </w:rPr>
        <w:t>. Notably</w:t>
      </w:r>
      <w:r w:rsidR="008A2EA7" w:rsidRPr="003877E2">
        <w:rPr>
          <w:sz w:val="28"/>
          <w:szCs w:val="28"/>
        </w:rPr>
        <w:t>,</w:t>
      </w:r>
      <w:r w:rsidR="00774713" w:rsidRPr="003877E2">
        <w:rPr>
          <w:sz w:val="28"/>
          <w:szCs w:val="28"/>
        </w:rPr>
        <w:t xml:space="preserve"> the </w:t>
      </w:r>
      <w:r w:rsidR="004B25E4" w:rsidRPr="003877E2">
        <w:rPr>
          <w:sz w:val="28"/>
          <w:szCs w:val="28"/>
        </w:rPr>
        <w:t xml:space="preserve">R36 million </w:t>
      </w:r>
      <w:r w:rsidR="00774713" w:rsidRPr="003877E2">
        <w:rPr>
          <w:sz w:val="28"/>
          <w:szCs w:val="28"/>
        </w:rPr>
        <w:t xml:space="preserve">purchase price </w:t>
      </w:r>
      <w:r w:rsidR="004B25E4" w:rsidRPr="003877E2">
        <w:rPr>
          <w:sz w:val="28"/>
          <w:szCs w:val="28"/>
        </w:rPr>
        <w:t xml:space="preserve">for </w:t>
      </w:r>
      <w:r w:rsidR="00774713" w:rsidRPr="003877E2">
        <w:rPr>
          <w:sz w:val="28"/>
          <w:szCs w:val="28"/>
        </w:rPr>
        <w:t xml:space="preserve">the 24 ordinary shares in Rapicorp </w:t>
      </w:r>
      <w:r w:rsidR="00EC3F6A" w:rsidRPr="003877E2">
        <w:rPr>
          <w:sz w:val="28"/>
          <w:szCs w:val="28"/>
        </w:rPr>
        <w:t>122</w:t>
      </w:r>
      <w:r w:rsidR="00774713" w:rsidRPr="003877E2">
        <w:rPr>
          <w:sz w:val="28"/>
          <w:szCs w:val="28"/>
        </w:rPr>
        <w:t xml:space="preserve"> </w:t>
      </w:r>
      <w:r w:rsidR="004B25E4" w:rsidRPr="003877E2">
        <w:rPr>
          <w:sz w:val="28"/>
          <w:szCs w:val="28"/>
        </w:rPr>
        <w:t xml:space="preserve">mirrored </w:t>
      </w:r>
      <w:r w:rsidR="00774713" w:rsidRPr="003877E2">
        <w:rPr>
          <w:sz w:val="28"/>
          <w:szCs w:val="28"/>
        </w:rPr>
        <w:t xml:space="preserve">the total purchase price payable by Rapicorp 122 and Rapicorp 123 for the properties under the two property sale agreements. Rapicorp 122 and Rapicorp 123 </w:t>
      </w:r>
      <w:r w:rsidR="00352977" w:rsidRPr="003877E2">
        <w:rPr>
          <w:sz w:val="28"/>
          <w:szCs w:val="28"/>
        </w:rPr>
        <w:t xml:space="preserve">then </w:t>
      </w:r>
      <w:r w:rsidR="00774713" w:rsidRPr="003877E2">
        <w:rPr>
          <w:sz w:val="28"/>
          <w:szCs w:val="28"/>
        </w:rPr>
        <w:t xml:space="preserve">had no assets (save for </w:t>
      </w:r>
      <w:r w:rsidR="00352977" w:rsidRPr="003877E2">
        <w:rPr>
          <w:sz w:val="28"/>
          <w:szCs w:val="28"/>
        </w:rPr>
        <w:t xml:space="preserve">any </w:t>
      </w:r>
      <w:r w:rsidR="00774713" w:rsidRPr="003877E2">
        <w:rPr>
          <w:sz w:val="28"/>
          <w:szCs w:val="28"/>
        </w:rPr>
        <w:t>rights</w:t>
      </w:r>
      <w:r w:rsidR="00352977" w:rsidRPr="003877E2">
        <w:rPr>
          <w:sz w:val="28"/>
          <w:szCs w:val="28"/>
        </w:rPr>
        <w:t xml:space="preserve"> as they may have acquired</w:t>
      </w:r>
      <w:r w:rsidR="00774713" w:rsidRPr="003877E2">
        <w:rPr>
          <w:sz w:val="28"/>
          <w:szCs w:val="28"/>
        </w:rPr>
        <w:t xml:space="preserve"> under the sale agreements). </w:t>
      </w:r>
    </w:p>
    <w:p w14:paraId="42C426FC" w14:textId="77777777" w:rsidR="006A5FF5" w:rsidRPr="00FB564C" w:rsidRDefault="006A5FF5">
      <w:pPr>
        <w:pStyle w:val="ListParagraph"/>
        <w:rPr>
          <w:sz w:val="28"/>
          <w:szCs w:val="28"/>
        </w:rPr>
      </w:pPr>
    </w:p>
    <w:p w14:paraId="7A1862FE" w14:textId="09F3F598" w:rsidR="006A5FF5" w:rsidRPr="003877E2" w:rsidRDefault="003877E2" w:rsidP="003877E2">
      <w:pPr>
        <w:rPr>
          <w:sz w:val="28"/>
          <w:szCs w:val="28"/>
        </w:rPr>
      </w:pPr>
      <w:r w:rsidRPr="00FB564C">
        <w:rPr>
          <w:sz w:val="28"/>
          <w:szCs w:val="28"/>
        </w:rPr>
        <w:t>[16]</w:t>
      </w:r>
      <w:r w:rsidRPr="00FB564C">
        <w:rPr>
          <w:sz w:val="28"/>
          <w:szCs w:val="28"/>
        </w:rPr>
        <w:tab/>
      </w:r>
      <w:r w:rsidR="006A5FF5" w:rsidRPr="003877E2">
        <w:rPr>
          <w:sz w:val="28"/>
          <w:szCs w:val="28"/>
        </w:rPr>
        <w:t xml:space="preserve">Notwithstanding the payment terms of the sale of shares agreement, the purchase price </w:t>
      </w:r>
      <w:r w:rsidR="00352977" w:rsidRPr="003877E2">
        <w:rPr>
          <w:sz w:val="28"/>
          <w:szCs w:val="28"/>
        </w:rPr>
        <w:t xml:space="preserve">for </w:t>
      </w:r>
      <w:r w:rsidR="007577F5" w:rsidRPr="003877E2">
        <w:rPr>
          <w:sz w:val="28"/>
          <w:szCs w:val="28"/>
        </w:rPr>
        <w:t xml:space="preserve">the </w:t>
      </w:r>
      <w:r w:rsidR="006A5FF5" w:rsidRPr="003877E2">
        <w:rPr>
          <w:sz w:val="28"/>
          <w:szCs w:val="28"/>
        </w:rPr>
        <w:t xml:space="preserve">20% of the shares under </w:t>
      </w:r>
      <w:r w:rsidR="00D63672" w:rsidRPr="003877E2">
        <w:rPr>
          <w:sz w:val="28"/>
          <w:szCs w:val="28"/>
        </w:rPr>
        <w:t xml:space="preserve">that </w:t>
      </w:r>
      <w:r w:rsidR="006A5FF5" w:rsidRPr="003877E2">
        <w:rPr>
          <w:sz w:val="28"/>
          <w:szCs w:val="28"/>
        </w:rPr>
        <w:t xml:space="preserve">agreement was </w:t>
      </w:r>
      <w:r w:rsidR="00AE4F1B" w:rsidRPr="003877E2">
        <w:rPr>
          <w:sz w:val="28"/>
          <w:szCs w:val="28"/>
        </w:rPr>
        <w:t>not paid</w:t>
      </w:r>
      <w:r w:rsidR="006A5FF5" w:rsidRPr="003877E2">
        <w:rPr>
          <w:sz w:val="28"/>
          <w:szCs w:val="28"/>
        </w:rPr>
        <w:t xml:space="preserve"> by PIF directly to the sellers of those shares but was paid by PIF to the transferring attorneys in respect of the aforesaid properties, </w:t>
      </w:r>
      <w:r w:rsidR="00602D38" w:rsidRPr="003877E2">
        <w:rPr>
          <w:sz w:val="28"/>
          <w:szCs w:val="28"/>
        </w:rPr>
        <w:t xml:space="preserve">and was </w:t>
      </w:r>
      <w:r w:rsidR="007268A9" w:rsidRPr="003877E2">
        <w:rPr>
          <w:sz w:val="28"/>
          <w:szCs w:val="28"/>
        </w:rPr>
        <w:t xml:space="preserve">thereafter </w:t>
      </w:r>
      <w:r w:rsidR="006A5FF5" w:rsidRPr="003877E2">
        <w:rPr>
          <w:sz w:val="28"/>
          <w:szCs w:val="28"/>
        </w:rPr>
        <w:t xml:space="preserve">employed to settle the entire purchase price owed by Rapicorp 122 and Rapicorp 123 to the sellers of the properties. The entire purchase price was reflected by Rapicorp 123 as a loan in </w:t>
      </w:r>
      <w:r w:rsidR="006A5FF5" w:rsidRPr="003877E2">
        <w:rPr>
          <w:sz w:val="28"/>
          <w:szCs w:val="28"/>
        </w:rPr>
        <w:lastRenderedPageBreak/>
        <w:t>equal shares to Johnny, Merlot and Schuster. PIF took transfer of the 24 ordinary shares in Rapicorp 122.</w:t>
      </w:r>
    </w:p>
    <w:p w14:paraId="149A9520" w14:textId="77777777" w:rsidR="006A5FF5" w:rsidRPr="00FB564C" w:rsidRDefault="006A5FF5">
      <w:pPr>
        <w:pStyle w:val="ListParagraph"/>
        <w:rPr>
          <w:sz w:val="28"/>
          <w:szCs w:val="28"/>
        </w:rPr>
      </w:pPr>
    </w:p>
    <w:p w14:paraId="0957A101" w14:textId="46AB5FA6" w:rsidR="00774713" w:rsidRPr="003877E2" w:rsidRDefault="003877E2" w:rsidP="003877E2">
      <w:pPr>
        <w:rPr>
          <w:sz w:val="28"/>
          <w:szCs w:val="28"/>
        </w:rPr>
      </w:pPr>
      <w:r w:rsidRPr="00FB564C">
        <w:rPr>
          <w:sz w:val="28"/>
          <w:szCs w:val="28"/>
        </w:rPr>
        <w:t>[17]</w:t>
      </w:r>
      <w:r w:rsidRPr="00FB564C">
        <w:rPr>
          <w:sz w:val="28"/>
          <w:szCs w:val="28"/>
        </w:rPr>
        <w:tab/>
      </w:r>
      <w:r w:rsidR="006A5FF5" w:rsidRPr="003877E2">
        <w:rPr>
          <w:sz w:val="28"/>
          <w:szCs w:val="28"/>
        </w:rPr>
        <w:t>In terms of the sale of shares agreement, PIF was also granted a call option to acquire from Schuster, Merlot and Johnny an additional 35% of the issued share capital of Rapicorp 122 for a purchase consideration of R63</w:t>
      </w:r>
      <w:r w:rsidR="00EC3F6A" w:rsidRPr="003877E2">
        <w:rPr>
          <w:sz w:val="28"/>
          <w:szCs w:val="28"/>
        </w:rPr>
        <w:t> </w:t>
      </w:r>
      <w:r w:rsidR="001605DC" w:rsidRPr="003877E2">
        <w:rPr>
          <w:sz w:val="28"/>
          <w:szCs w:val="28"/>
        </w:rPr>
        <w:t>million</w:t>
      </w:r>
      <w:r w:rsidR="006A5FF5" w:rsidRPr="003877E2">
        <w:rPr>
          <w:sz w:val="28"/>
          <w:szCs w:val="28"/>
        </w:rPr>
        <w:t xml:space="preserve"> at any time until 31 May 2007. </w:t>
      </w:r>
      <w:r w:rsidR="00774713" w:rsidRPr="003877E2">
        <w:rPr>
          <w:sz w:val="28"/>
          <w:szCs w:val="28"/>
        </w:rPr>
        <w:t>On 23 August 2007</w:t>
      </w:r>
      <w:r w:rsidR="001605DC" w:rsidRPr="003877E2">
        <w:rPr>
          <w:sz w:val="28"/>
          <w:szCs w:val="28"/>
        </w:rPr>
        <w:t>,</w:t>
      </w:r>
      <w:r w:rsidR="00774713" w:rsidRPr="003877E2">
        <w:rPr>
          <w:sz w:val="28"/>
          <w:szCs w:val="28"/>
        </w:rPr>
        <w:t xml:space="preserve"> Schuster (represented by Badenhorst), Merlot (represented by R Horton), Johnny (</w:t>
      </w:r>
      <w:r w:rsidR="0058700C" w:rsidRPr="003877E2">
        <w:rPr>
          <w:sz w:val="28"/>
          <w:szCs w:val="28"/>
        </w:rPr>
        <w:t xml:space="preserve">represented by </w:t>
      </w:r>
      <w:r w:rsidR="00774713" w:rsidRPr="003877E2">
        <w:rPr>
          <w:sz w:val="28"/>
          <w:szCs w:val="28"/>
        </w:rPr>
        <w:t>Oaker</w:t>
      </w:r>
      <w:r w:rsidR="0058700C" w:rsidRPr="003877E2">
        <w:rPr>
          <w:sz w:val="28"/>
          <w:szCs w:val="28"/>
        </w:rPr>
        <w:t>) and</w:t>
      </w:r>
      <w:r w:rsidR="00774713" w:rsidRPr="003877E2">
        <w:rPr>
          <w:sz w:val="28"/>
          <w:szCs w:val="28"/>
        </w:rPr>
        <w:t xml:space="preserve"> PIF (represented by Clint on behalf of Global</w:t>
      </w:r>
      <w:r w:rsidR="001D7BBE" w:rsidRPr="003877E2">
        <w:rPr>
          <w:sz w:val="28"/>
          <w:szCs w:val="28"/>
        </w:rPr>
        <w:t xml:space="preserve"> Pact</w:t>
      </w:r>
      <w:r w:rsidR="00774713" w:rsidRPr="003877E2">
        <w:rPr>
          <w:sz w:val="28"/>
          <w:szCs w:val="28"/>
        </w:rPr>
        <w:t xml:space="preserve">) concluded an addendum to the sale of shares agreement (the sale addendum). </w:t>
      </w:r>
    </w:p>
    <w:p w14:paraId="690D96E4" w14:textId="77777777" w:rsidR="00E7185D" w:rsidRPr="00FB564C" w:rsidRDefault="00E7185D" w:rsidP="00100403">
      <w:pPr>
        <w:pStyle w:val="ListParagraph"/>
        <w:ind w:left="0"/>
        <w:rPr>
          <w:sz w:val="28"/>
          <w:szCs w:val="28"/>
        </w:rPr>
      </w:pPr>
    </w:p>
    <w:p w14:paraId="7D8769F9" w14:textId="06BA1A96" w:rsidR="00774713" w:rsidRPr="003877E2" w:rsidRDefault="003877E2" w:rsidP="003877E2">
      <w:pPr>
        <w:rPr>
          <w:sz w:val="28"/>
          <w:szCs w:val="28"/>
        </w:rPr>
      </w:pPr>
      <w:r w:rsidRPr="00FB564C">
        <w:rPr>
          <w:sz w:val="28"/>
          <w:szCs w:val="28"/>
        </w:rPr>
        <w:t>[18]</w:t>
      </w:r>
      <w:r w:rsidRPr="00FB564C">
        <w:rPr>
          <w:sz w:val="28"/>
          <w:szCs w:val="28"/>
        </w:rPr>
        <w:tab/>
      </w:r>
      <w:r w:rsidR="00774713" w:rsidRPr="003877E2">
        <w:rPr>
          <w:sz w:val="28"/>
          <w:szCs w:val="28"/>
        </w:rPr>
        <w:t xml:space="preserve">The sale addendum was made subject to the </w:t>
      </w:r>
      <w:r w:rsidR="00C51618" w:rsidRPr="003877E2">
        <w:rPr>
          <w:sz w:val="28"/>
          <w:szCs w:val="28"/>
        </w:rPr>
        <w:t>fulfilment</w:t>
      </w:r>
      <w:r w:rsidR="00774713" w:rsidRPr="003877E2">
        <w:rPr>
          <w:sz w:val="28"/>
          <w:szCs w:val="28"/>
        </w:rPr>
        <w:t xml:space="preserve"> or waiver of two suspensive conditions, namely,</w:t>
      </w:r>
      <w:r w:rsidR="006F7CC5" w:rsidRPr="003877E2">
        <w:rPr>
          <w:sz w:val="28"/>
          <w:szCs w:val="28"/>
        </w:rPr>
        <w:t xml:space="preserve"> </w:t>
      </w:r>
      <w:r w:rsidR="00774713" w:rsidRPr="003877E2">
        <w:rPr>
          <w:sz w:val="28"/>
          <w:szCs w:val="28"/>
        </w:rPr>
        <w:t>that</w:t>
      </w:r>
      <w:r w:rsidR="00C51618" w:rsidRPr="003877E2">
        <w:rPr>
          <w:sz w:val="28"/>
          <w:szCs w:val="28"/>
        </w:rPr>
        <w:t>, firstly,</w:t>
      </w:r>
      <w:r w:rsidR="00774713" w:rsidRPr="003877E2">
        <w:rPr>
          <w:sz w:val="28"/>
          <w:szCs w:val="28"/>
        </w:rPr>
        <w:t xml:space="preserve"> Schuster, Merlot and Johnny would each subscribe for six additional shares in the issued share capital of Rapicorp </w:t>
      </w:r>
      <w:r w:rsidR="00C51618" w:rsidRPr="003877E2">
        <w:rPr>
          <w:sz w:val="28"/>
          <w:szCs w:val="28"/>
        </w:rPr>
        <w:t xml:space="preserve">122 for a </w:t>
      </w:r>
      <w:r w:rsidR="00774713" w:rsidRPr="003877E2">
        <w:rPr>
          <w:sz w:val="28"/>
          <w:szCs w:val="28"/>
        </w:rPr>
        <w:t xml:space="preserve">total consideration of R30 543 581.49, which amount </w:t>
      </w:r>
      <w:r w:rsidR="00505C15" w:rsidRPr="003877E2">
        <w:rPr>
          <w:sz w:val="28"/>
          <w:szCs w:val="28"/>
        </w:rPr>
        <w:t xml:space="preserve">would </w:t>
      </w:r>
      <w:r w:rsidR="00774713" w:rsidRPr="003877E2">
        <w:rPr>
          <w:sz w:val="28"/>
          <w:szCs w:val="28"/>
        </w:rPr>
        <w:t>be set off against their respective loan account claims against Rapicorp 122 at the time</w:t>
      </w:r>
      <w:r w:rsidR="00C51618" w:rsidRPr="003877E2">
        <w:rPr>
          <w:sz w:val="28"/>
          <w:szCs w:val="28"/>
        </w:rPr>
        <w:t>. Secondly, Schuster</w:t>
      </w:r>
      <w:r w:rsidR="00774713" w:rsidRPr="003877E2">
        <w:rPr>
          <w:sz w:val="28"/>
          <w:szCs w:val="28"/>
        </w:rPr>
        <w:t xml:space="preserve">, Merlot, Johnny and PIF would enter into an option agreement </w:t>
      </w:r>
      <w:r w:rsidR="00352977" w:rsidRPr="003877E2">
        <w:rPr>
          <w:sz w:val="28"/>
          <w:szCs w:val="28"/>
        </w:rPr>
        <w:t xml:space="preserve">in terms </w:t>
      </w:r>
      <w:r w:rsidR="00774713" w:rsidRPr="003877E2">
        <w:rPr>
          <w:sz w:val="28"/>
          <w:szCs w:val="28"/>
        </w:rPr>
        <w:t>of which PIF would grant the sellers an option to repurchase 54.35% (ie 75 shares) of Rapicorp 122’s issued share capital.</w:t>
      </w:r>
    </w:p>
    <w:p w14:paraId="4EF96E8B" w14:textId="77777777" w:rsidR="00C51618" w:rsidRPr="00FB564C" w:rsidRDefault="00C51618">
      <w:pPr>
        <w:pStyle w:val="ListParagraph"/>
        <w:rPr>
          <w:sz w:val="28"/>
          <w:szCs w:val="28"/>
        </w:rPr>
      </w:pPr>
    </w:p>
    <w:p w14:paraId="30FAC01F" w14:textId="388198BB" w:rsidR="00C61612" w:rsidRPr="003877E2" w:rsidRDefault="003877E2" w:rsidP="003877E2">
      <w:pPr>
        <w:rPr>
          <w:sz w:val="28"/>
          <w:szCs w:val="28"/>
        </w:rPr>
      </w:pPr>
      <w:r w:rsidRPr="005D6CED">
        <w:rPr>
          <w:sz w:val="28"/>
          <w:szCs w:val="28"/>
        </w:rPr>
        <w:t>[19]</w:t>
      </w:r>
      <w:r w:rsidRPr="005D6CED">
        <w:rPr>
          <w:sz w:val="28"/>
          <w:szCs w:val="28"/>
        </w:rPr>
        <w:tab/>
      </w:r>
      <w:r w:rsidR="00C51618" w:rsidRPr="003877E2">
        <w:rPr>
          <w:sz w:val="28"/>
          <w:szCs w:val="28"/>
        </w:rPr>
        <w:t xml:space="preserve">In terms of the sale addendum, on the date of </w:t>
      </w:r>
      <w:r w:rsidR="00352977" w:rsidRPr="003877E2">
        <w:rPr>
          <w:sz w:val="28"/>
          <w:szCs w:val="28"/>
        </w:rPr>
        <w:t xml:space="preserve">the agreement </w:t>
      </w:r>
      <w:r w:rsidR="00C51618" w:rsidRPr="003877E2">
        <w:rPr>
          <w:sz w:val="28"/>
          <w:szCs w:val="28"/>
        </w:rPr>
        <w:t xml:space="preserve">becoming unconditional, PIF </w:t>
      </w:r>
      <w:r w:rsidR="00352977" w:rsidRPr="003877E2">
        <w:rPr>
          <w:sz w:val="28"/>
          <w:szCs w:val="28"/>
        </w:rPr>
        <w:t xml:space="preserve">would be </w:t>
      </w:r>
      <w:r w:rsidR="00C51618" w:rsidRPr="003877E2">
        <w:rPr>
          <w:sz w:val="28"/>
          <w:szCs w:val="28"/>
        </w:rPr>
        <w:t>deemed to have validly exercised its option referred to above to acquire 34.35% (instead of 35% as originally agreed) of the ordinary shares of Rapicorp 122 at the consideration of R85 million (instead of R63 million as originally agreed)</w:t>
      </w:r>
      <w:r w:rsidR="00C61612" w:rsidRPr="003877E2">
        <w:rPr>
          <w:sz w:val="28"/>
          <w:szCs w:val="28"/>
        </w:rPr>
        <w:t xml:space="preserve"> and </w:t>
      </w:r>
      <w:r w:rsidR="00352977" w:rsidRPr="003877E2">
        <w:rPr>
          <w:sz w:val="28"/>
          <w:szCs w:val="28"/>
        </w:rPr>
        <w:t xml:space="preserve">to have taken </w:t>
      </w:r>
      <w:r w:rsidR="00C61612" w:rsidRPr="003877E2">
        <w:rPr>
          <w:sz w:val="28"/>
          <w:szCs w:val="28"/>
        </w:rPr>
        <w:t xml:space="preserve">delivery thereof. </w:t>
      </w:r>
      <w:r w:rsidR="00FB4F46" w:rsidRPr="003877E2">
        <w:rPr>
          <w:sz w:val="28"/>
          <w:szCs w:val="28"/>
        </w:rPr>
        <w:t xml:space="preserve">PIF thereupon held 75 </w:t>
      </w:r>
      <w:r w:rsidR="00D63672" w:rsidRPr="003877E2">
        <w:rPr>
          <w:sz w:val="28"/>
          <w:szCs w:val="28"/>
        </w:rPr>
        <w:t xml:space="preserve">out of the 138 issued shares </w:t>
      </w:r>
      <w:r w:rsidR="00FB4F46" w:rsidRPr="003877E2">
        <w:rPr>
          <w:sz w:val="28"/>
          <w:szCs w:val="28"/>
        </w:rPr>
        <w:t>in Rapicorp 122.</w:t>
      </w:r>
    </w:p>
    <w:p w14:paraId="1EA932F7" w14:textId="769A634C" w:rsidR="00461C37" w:rsidRPr="003877E2" w:rsidRDefault="003877E2" w:rsidP="003877E2">
      <w:pPr>
        <w:rPr>
          <w:sz w:val="28"/>
          <w:szCs w:val="28"/>
        </w:rPr>
      </w:pPr>
      <w:r w:rsidRPr="00FB564C">
        <w:rPr>
          <w:sz w:val="28"/>
          <w:szCs w:val="28"/>
        </w:rPr>
        <w:lastRenderedPageBreak/>
        <w:t>[20]</w:t>
      </w:r>
      <w:r w:rsidRPr="00FB564C">
        <w:rPr>
          <w:sz w:val="28"/>
          <w:szCs w:val="28"/>
        </w:rPr>
        <w:tab/>
      </w:r>
      <w:r w:rsidR="00C61612" w:rsidRPr="003877E2">
        <w:rPr>
          <w:sz w:val="28"/>
          <w:szCs w:val="28"/>
        </w:rPr>
        <w:t>On 5 December 20</w:t>
      </w:r>
      <w:r w:rsidR="00903E78" w:rsidRPr="003877E2">
        <w:rPr>
          <w:sz w:val="28"/>
          <w:szCs w:val="28"/>
        </w:rPr>
        <w:t>0</w:t>
      </w:r>
      <w:r w:rsidR="00C61612" w:rsidRPr="003877E2">
        <w:rPr>
          <w:sz w:val="28"/>
          <w:szCs w:val="28"/>
        </w:rPr>
        <w:t xml:space="preserve">7, </w:t>
      </w:r>
      <w:r w:rsidR="00352977" w:rsidRPr="003877E2">
        <w:rPr>
          <w:sz w:val="28"/>
          <w:szCs w:val="28"/>
        </w:rPr>
        <w:t xml:space="preserve">each of </w:t>
      </w:r>
      <w:r w:rsidR="00C61612" w:rsidRPr="003877E2">
        <w:rPr>
          <w:sz w:val="28"/>
          <w:szCs w:val="28"/>
        </w:rPr>
        <w:t xml:space="preserve">Schuster and Merlot, </w:t>
      </w:r>
      <w:r w:rsidR="00FB4F46" w:rsidRPr="003877E2">
        <w:rPr>
          <w:sz w:val="28"/>
          <w:szCs w:val="28"/>
        </w:rPr>
        <w:t>which</w:t>
      </w:r>
      <w:r w:rsidR="00352977" w:rsidRPr="003877E2">
        <w:rPr>
          <w:sz w:val="28"/>
          <w:szCs w:val="28"/>
        </w:rPr>
        <w:t xml:space="preserve"> </w:t>
      </w:r>
      <w:r w:rsidR="00C61612" w:rsidRPr="003877E2">
        <w:rPr>
          <w:sz w:val="28"/>
          <w:szCs w:val="28"/>
        </w:rPr>
        <w:t>jointly held 42 ordinary shares in Rapicorp 122</w:t>
      </w:r>
      <w:r w:rsidR="00352977" w:rsidRPr="003877E2">
        <w:rPr>
          <w:sz w:val="28"/>
          <w:szCs w:val="28"/>
        </w:rPr>
        <w:t>,</w:t>
      </w:r>
      <w:r w:rsidR="00C61612" w:rsidRPr="003877E2">
        <w:rPr>
          <w:sz w:val="28"/>
          <w:szCs w:val="28"/>
        </w:rPr>
        <w:t xml:space="preserve"> transferred 21 of the said shares to PIF, in terms of </w:t>
      </w:r>
      <w:r w:rsidR="00FB4F46" w:rsidRPr="003877E2">
        <w:rPr>
          <w:sz w:val="28"/>
          <w:szCs w:val="28"/>
        </w:rPr>
        <w:t>an</w:t>
      </w:r>
      <w:r w:rsidR="00C61612" w:rsidRPr="003877E2">
        <w:rPr>
          <w:sz w:val="28"/>
          <w:szCs w:val="28"/>
        </w:rPr>
        <w:t xml:space="preserve"> agreement of sale. The purchase consideration paid by </w:t>
      </w:r>
      <w:r w:rsidR="0058700C" w:rsidRPr="003877E2">
        <w:rPr>
          <w:sz w:val="28"/>
          <w:szCs w:val="28"/>
        </w:rPr>
        <w:t>PIF for</w:t>
      </w:r>
      <w:r w:rsidR="00461C37" w:rsidRPr="003877E2">
        <w:rPr>
          <w:sz w:val="28"/>
          <w:szCs w:val="28"/>
        </w:rPr>
        <w:t xml:space="preserve"> each set of </w:t>
      </w:r>
      <w:r w:rsidR="00C61612" w:rsidRPr="003877E2">
        <w:rPr>
          <w:sz w:val="28"/>
          <w:szCs w:val="28"/>
        </w:rPr>
        <w:t xml:space="preserve">21 </w:t>
      </w:r>
      <w:r w:rsidR="0058700C" w:rsidRPr="003877E2">
        <w:rPr>
          <w:sz w:val="28"/>
          <w:szCs w:val="28"/>
        </w:rPr>
        <w:t>shares was</w:t>
      </w:r>
      <w:r w:rsidR="00C61612" w:rsidRPr="003877E2">
        <w:rPr>
          <w:sz w:val="28"/>
          <w:szCs w:val="28"/>
        </w:rPr>
        <w:t xml:space="preserve"> R36 059 064.58</w:t>
      </w:r>
      <w:r w:rsidR="00461C37" w:rsidRPr="003877E2">
        <w:rPr>
          <w:sz w:val="28"/>
          <w:szCs w:val="28"/>
        </w:rPr>
        <w:t xml:space="preserve">, totalling R72 118 029.16 for 42 shares. Schuster and Merlot further </w:t>
      </w:r>
      <w:r w:rsidR="00903E78" w:rsidRPr="003877E2">
        <w:rPr>
          <w:sz w:val="28"/>
          <w:szCs w:val="28"/>
        </w:rPr>
        <w:t xml:space="preserve">each </w:t>
      </w:r>
      <w:r w:rsidR="00461C37" w:rsidRPr="003877E2">
        <w:rPr>
          <w:sz w:val="28"/>
          <w:szCs w:val="28"/>
        </w:rPr>
        <w:t>transferred 40 of their shares in Rapicorp 123 to PIF for a purchase price of R3 170 426.73 and ceded all claims and rights to their respective loan accounts in Rapicorp 123 for a purchase consideration of R410 101.69.</w:t>
      </w:r>
    </w:p>
    <w:p w14:paraId="5C14EF11" w14:textId="77777777" w:rsidR="00461C37" w:rsidRPr="00FB564C" w:rsidRDefault="00461C37">
      <w:pPr>
        <w:pStyle w:val="ListParagraph"/>
        <w:rPr>
          <w:sz w:val="28"/>
          <w:szCs w:val="28"/>
        </w:rPr>
      </w:pPr>
    </w:p>
    <w:p w14:paraId="2A244801" w14:textId="0D8CFC14" w:rsidR="005A5004" w:rsidRPr="003877E2" w:rsidRDefault="003877E2" w:rsidP="003877E2">
      <w:pPr>
        <w:rPr>
          <w:sz w:val="28"/>
          <w:szCs w:val="28"/>
        </w:rPr>
      </w:pPr>
      <w:r w:rsidRPr="00FB564C">
        <w:rPr>
          <w:sz w:val="28"/>
          <w:szCs w:val="28"/>
        </w:rPr>
        <w:t>[21]</w:t>
      </w:r>
      <w:r w:rsidRPr="00FB564C">
        <w:rPr>
          <w:sz w:val="28"/>
          <w:szCs w:val="28"/>
        </w:rPr>
        <w:tab/>
      </w:r>
      <w:r w:rsidR="00461C37" w:rsidRPr="003877E2">
        <w:rPr>
          <w:sz w:val="28"/>
          <w:szCs w:val="28"/>
        </w:rPr>
        <w:t>On 29 April 2008, Johnny sold its remaining 21 shares in Rapicorp 122 to PIF for a purchase consideration of R60 150 177.65</w:t>
      </w:r>
      <w:r w:rsidR="0046666C" w:rsidRPr="003877E2">
        <w:rPr>
          <w:sz w:val="28"/>
          <w:szCs w:val="28"/>
        </w:rPr>
        <w:t xml:space="preserve"> and 40 ordinary shares that it held in Rapicorp 123 to PIF for a purchase consideration of R4</w:t>
      </w:r>
      <w:r w:rsidR="008F5AC7" w:rsidRPr="003877E2">
        <w:rPr>
          <w:sz w:val="28"/>
          <w:szCs w:val="28"/>
        </w:rPr>
        <w:t> </w:t>
      </w:r>
      <w:r w:rsidR="0046666C" w:rsidRPr="003877E2">
        <w:rPr>
          <w:sz w:val="28"/>
          <w:szCs w:val="28"/>
        </w:rPr>
        <w:t>593</w:t>
      </w:r>
      <w:r w:rsidR="008F5AC7" w:rsidRPr="003877E2">
        <w:rPr>
          <w:sz w:val="28"/>
          <w:szCs w:val="28"/>
        </w:rPr>
        <w:t> </w:t>
      </w:r>
      <w:r w:rsidR="0046666C" w:rsidRPr="003877E2">
        <w:rPr>
          <w:sz w:val="28"/>
          <w:szCs w:val="28"/>
        </w:rPr>
        <w:t>133.08. As at 29 April 2008, PIF held 138</w:t>
      </w:r>
      <w:r w:rsidR="004E680B" w:rsidRPr="003877E2">
        <w:rPr>
          <w:sz w:val="28"/>
          <w:szCs w:val="28"/>
        </w:rPr>
        <w:t xml:space="preserve"> shares</w:t>
      </w:r>
      <w:r w:rsidR="0046666C" w:rsidRPr="003877E2">
        <w:rPr>
          <w:sz w:val="28"/>
          <w:szCs w:val="28"/>
        </w:rPr>
        <w:t xml:space="preserve"> (</w:t>
      </w:r>
      <w:r w:rsidR="008F5AC7" w:rsidRPr="003877E2">
        <w:rPr>
          <w:sz w:val="28"/>
          <w:szCs w:val="28"/>
        </w:rPr>
        <w:t xml:space="preserve">the </w:t>
      </w:r>
      <w:r w:rsidR="0046666C" w:rsidRPr="003877E2">
        <w:rPr>
          <w:sz w:val="28"/>
          <w:szCs w:val="28"/>
        </w:rPr>
        <w:t>entire issued share capital) in Rapicorp 122 and 120 shares (</w:t>
      </w:r>
      <w:r w:rsidR="008F5AC7" w:rsidRPr="003877E2">
        <w:rPr>
          <w:sz w:val="28"/>
          <w:szCs w:val="28"/>
        </w:rPr>
        <w:t xml:space="preserve">the </w:t>
      </w:r>
      <w:r w:rsidR="0046666C" w:rsidRPr="003877E2">
        <w:rPr>
          <w:sz w:val="28"/>
          <w:szCs w:val="28"/>
        </w:rPr>
        <w:t>entire issued share capital) in Rapicorp 123</w:t>
      </w:r>
      <w:r w:rsidR="005A5004" w:rsidRPr="003877E2">
        <w:rPr>
          <w:sz w:val="28"/>
          <w:szCs w:val="28"/>
        </w:rPr>
        <w:t xml:space="preserve">. </w:t>
      </w:r>
    </w:p>
    <w:p w14:paraId="4CEB0642" w14:textId="77777777" w:rsidR="005A5004" w:rsidRPr="00FB564C" w:rsidRDefault="005A5004">
      <w:pPr>
        <w:pStyle w:val="ListParagraph"/>
        <w:rPr>
          <w:sz w:val="28"/>
          <w:szCs w:val="28"/>
        </w:rPr>
      </w:pPr>
    </w:p>
    <w:p w14:paraId="6F5BFF25" w14:textId="72C4DD0D" w:rsidR="00C61612" w:rsidRPr="003877E2" w:rsidRDefault="003877E2" w:rsidP="003877E2">
      <w:pPr>
        <w:rPr>
          <w:sz w:val="28"/>
          <w:szCs w:val="28"/>
        </w:rPr>
      </w:pPr>
      <w:r w:rsidRPr="00FB564C">
        <w:rPr>
          <w:sz w:val="28"/>
          <w:szCs w:val="28"/>
        </w:rPr>
        <w:t>[22]</w:t>
      </w:r>
      <w:r w:rsidRPr="00FB564C">
        <w:rPr>
          <w:sz w:val="28"/>
          <w:szCs w:val="28"/>
        </w:rPr>
        <w:tab/>
      </w:r>
      <w:r w:rsidR="005A5004" w:rsidRPr="003877E2">
        <w:rPr>
          <w:sz w:val="28"/>
          <w:szCs w:val="28"/>
        </w:rPr>
        <w:t xml:space="preserve">In each purchase of shares by PIF in the Rapicorp companies, TDI provided PIF with the funds required to enable it to pay the purchase price out of the proceeds of </w:t>
      </w:r>
      <w:r w:rsidR="008F5AC7" w:rsidRPr="003877E2">
        <w:rPr>
          <w:sz w:val="28"/>
          <w:szCs w:val="28"/>
        </w:rPr>
        <w:t xml:space="preserve">the </w:t>
      </w:r>
      <w:r w:rsidR="005A5004" w:rsidRPr="003877E2">
        <w:rPr>
          <w:sz w:val="28"/>
          <w:szCs w:val="28"/>
        </w:rPr>
        <w:t xml:space="preserve">capital investments made in TDI by </w:t>
      </w:r>
      <w:r w:rsidR="00D81C7E" w:rsidRPr="003877E2">
        <w:rPr>
          <w:sz w:val="28"/>
          <w:szCs w:val="28"/>
        </w:rPr>
        <w:t xml:space="preserve">their </w:t>
      </w:r>
      <w:r w:rsidR="005A5004" w:rsidRPr="003877E2">
        <w:rPr>
          <w:sz w:val="28"/>
          <w:szCs w:val="28"/>
        </w:rPr>
        <w:t xml:space="preserve">investors, and each purchase price was paid in full. At no time, </w:t>
      </w:r>
      <w:r w:rsidR="0079447C" w:rsidRPr="003877E2">
        <w:rPr>
          <w:sz w:val="28"/>
          <w:szCs w:val="28"/>
        </w:rPr>
        <w:t xml:space="preserve">in the course </w:t>
      </w:r>
      <w:r w:rsidR="005A5004" w:rsidRPr="003877E2">
        <w:rPr>
          <w:sz w:val="28"/>
          <w:szCs w:val="28"/>
        </w:rPr>
        <w:t xml:space="preserve">of the transactions, in terms of which PIF </w:t>
      </w:r>
      <w:r w:rsidR="0079447C" w:rsidRPr="003877E2">
        <w:rPr>
          <w:sz w:val="28"/>
          <w:szCs w:val="28"/>
        </w:rPr>
        <w:t xml:space="preserve">acquired </w:t>
      </w:r>
      <w:r w:rsidR="005A5004" w:rsidRPr="003877E2">
        <w:rPr>
          <w:sz w:val="28"/>
          <w:szCs w:val="28"/>
        </w:rPr>
        <w:t>100% of the shares in the Rapicorp companies</w:t>
      </w:r>
      <w:r w:rsidR="009934A5" w:rsidRPr="003877E2">
        <w:rPr>
          <w:sz w:val="28"/>
          <w:szCs w:val="28"/>
        </w:rPr>
        <w:t>,</w:t>
      </w:r>
      <w:r w:rsidR="0079447C" w:rsidRPr="003877E2">
        <w:rPr>
          <w:sz w:val="28"/>
          <w:szCs w:val="28"/>
        </w:rPr>
        <w:t xml:space="preserve"> were </w:t>
      </w:r>
      <w:r w:rsidR="008A2EA7" w:rsidRPr="003877E2">
        <w:rPr>
          <w:sz w:val="28"/>
          <w:szCs w:val="28"/>
        </w:rPr>
        <w:t xml:space="preserve">the </w:t>
      </w:r>
      <w:r w:rsidR="0079447C" w:rsidRPr="003877E2">
        <w:rPr>
          <w:sz w:val="28"/>
          <w:szCs w:val="28"/>
        </w:rPr>
        <w:t xml:space="preserve">TDI beneficiaries informed of </w:t>
      </w:r>
      <w:r w:rsidR="00352977" w:rsidRPr="003877E2">
        <w:rPr>
          <w:sz w:val="28"/>
          <w:szCs w:val="28"/>
        </w:rPr>
        <w:t xml:space="preserve">the </w:t>
      </w:r>
      <w:r w:rsidR="0079447C" w:rsidRPr="003877E2">
        <w:rPr>
          <w:sz w:val="28"/>
          <w:szCs w:val="28"/>
        </w:rPr>
        <w:t xml:space="preserve">various positions and interests that Oaker held in respect of the entities, Johnny and the </w:t>
      </w:r>
      <w:r w:rsidR="009934A5" w:rsidRPr="003877E2">
        <w:rPr>
          <w:sz w:val="28"/>
          <w:szCs w:val="28"/>
        </w:rPr>
        <w:t xml:space="preserve">obvious </w:t>
      </w:r>
      <w:r w:rsidR="0079447C" w:rsidRPr="003877E2">
        <w:rPr>
          <w:sz w:val="28"/>
          <w:szCs w:val="28"/>
        </w:rPr>
        <w:t xml:space="preserve">conflict that presented itself. No consent was obtained from any of the beneficiaries of TDI for any transaction, notwithstanding Oaker’s </w:t>
      </w:r>
      <w:r w:rsidR="00352977" w:rsidRPr="003877E2">
        <w:rPr>
          <w:sz w:val="28"/>
          <w:szCs w:val="28"/>
        </w:rPr>
        <w:t xml:space="preserve">evidently conflicted </w:t>
      </w:r>
      <w:r w:rsidR="0079447C" w:rsidRPr="003877E2">
        <w:rPr>
          <w:sz w:val="28"/>
          <w:szCs w:val="28"/>
        </w:rPr>
        <w:t>position.</w:t>
      </w:r>
      <w:r w:rsidR="00296911" w:rsidRPr="003877E2">
        <w:rPr>
          <w:sz w:val="28"/>
          <w:szCs w:val="28"/>
        </w:rPr>
        <w:t xml:space="preserve"> </w:t>
      </w:r>
    </w:p>
    <w:p w14:paraId="3758213B" w14:textId="77777777" w:rsidR="00C51618" w:rsidRPr="00FB564C" w:rsidRDefault="00C51618">
      <w:pPr>
        <w:pStyle w:val="ListParagraph"/>
        <w:rPr>
          <w:sz w:val="28"/>
          <w:szCs w:val="28"/>
        </w:rPr>
      </w:pPr>
    </w:p>
    <w:p w14:paraId="4AFFB8C3" w14:textId="699AFCF5" w:rsidR="00BE1B05" w:rsidRPr="003877E2" w:rsidRDefault="003877E2" w:rsidP="003877E2">
      <w:pPr>
        <w:rPr>
          <w:sz w:val="28"/>
          <w:szCs w:val="28"/>
        </w:rPr>
      </w:pPr>
      <w:r w:rsidRPr="00FB564C">
        <w:rPr>
          <w:sz w:val="28"/>
          <w:szCs w:val="28"/>
        </w:rPr>
        <w:t>[23]</w:t>
      </w:r>
      <w:r w:rsidRPr="00FB564C">
        <w:rPr>
          <w:sz w:val="28"/>
          <w:szCs w:val="28"/>
        </w:rPr>
        <w:tab/>
      </w:r>
      <w:r w:rsidR="00BE1B05" w:rsidRPr="003877E2">
        <w:rPr>
          <w:sz w:val="28"/>
          <w:szCs w:val="28"/>
        </w:rPr>
        <w:t xml:space="preserve">In respect of the first claim </w:t>
      </w:r>
      <w:r w:rsidR="00352977" w:rsidRPr="003877E2">
        <w:rPr>
          <w:sz w:val="28"/>
          <w:szCs w:val="28"/>
        </w:rPr>
        <w:t xml:space="preserve">being for the </w:t>
      </w:r>
      <w:r w:rsidR="00BE1B05" w:rsidRPr="003877E2">
        <w:rPr>
          <w:sz w:val="28"/>
          <w:szCs w:val="28"/>
        </w:rPr>
        <w:t>diversion of a corporate opportunity, t</w:t>
      </w:r>
      <w:r w:rsidR="00774713" w:rsidRPr="003877E2">
        <w:rPr>
          <w:sz w:val="28"/>
          <w:szCs w:val="28"/>
        </w:rPr>
        <w:t xml:space="preserve">he </w:t>
      </w:r>
      <w:r w:rsidR="008F5AC7" w:rsidRPr="003877E2">
        <w:rPr>
          <w:sz w:val="28"/>
          <w:szCs w:val="28"/>
        </w:rPr>
        <w:t xml:space="preserve">Curator </w:t>
      </w:r>
      <w:r w:rsidR="00E11677" w:rsidRPr="003877E2">
        <w:rPr>
          <w:sz w:val="28"/>
          <w:szCs w:val="28"/>
        </w:rPr>
        <w:t xml:space="preserve">contended </w:t>
      </w:r>
      <w:r w:rsidR="00774713" w:rsidRPr="003877E2">
        <w:rPr>
          <w:sz w:val="28"/>
          <w:szCs w:val="28"/>
        </w:rPr>
        <w:t xml:space="preserve">that Oaker, Clint, Pillay and RAM </w:t>
      </w:r>
      <w:r w:rsidR="00BE1B05" w:rsidRPr="003877E2">
        <w:rPr>
          <w:sz w:val="28"/>
          <w:szCs w:val="28"/>
        </w:rPr>
        <w:t xml:space="preserve">breached their fiduciary </w:t>
      </w:r>
      <w:r w:rsidR="00382C4A" w:rsidRPr="003877E2">
        <w:rPr>
          <w:sz w:val="28"/>
          <w:szCs w:val="28"/>
        </w:rPr>
        <w:lastRenderedPageBreak/>
        <w:t>obligations</w:t>
      </w:r>
      <w:r w:rsidR="00BE1B05" w:rsidRPr="003877E2">
        <w:rPr>
          <w:sz w:val="28"/>
          <w:szCs w:val="28"/>
        </w:rPr>
        <w:t xml:space="preserve"> </w:t>
      </w:r>
      <w:r w:rsidR="0071556A" w:rsidRPr="003877E2">
        <w:rPr>
          <w:sz w:val="28"/>
          <w:szCs w:val="28"/>
        </w:rPr>
        <w:t xml:space="preserve">in respect of </w:t>
      </w:r>
      <w:r w:rsidR="00BE1B05" w:rsidRPr="003877E2">
        <w:rPr>
          <w:sz w:val="28"/>
          <w:szCs w:val="28"/>
        </w:rPr>
        <w:t>TDI and PIF</w:t>
      </w:r>
      <w:r w:rsidR="00382C4A" w:rsidRPr="003877E2">
        <w:rPr>
          <w:sz w:val="28"/>
          <w:szCs w:val="28"/>
        </w:rPr>
        <w:t>,</w:t>
      </w:r>
      <w:r w:rsidR="00BE1B05" w:rsidRPr="003877E2">
        <w:rPr>
          <w:sz w:val="28"/>
          <w:szCs w:val="28"/>
        </w:rPr>
        <w:t xml:space="preserve"> by failing to acquire the </w:t>
      </w:r>
      <w:r w:rsidR="00382C4A" w:rsidRPr="003877E2">
        <w:rPr>
          <w:sz w:val="28"/>
          <w:szCs w:val="28"/>
        </w:rPr>
        <w:t>properties</w:t>
      </w:r>
      <w:r w:rsidR="00A46466" w:rsidRPr="003877E2">
        <w:rPr>
          <w:sz w:val="28"/>
          <w:szCs w:val="28"/>
        </w:rPr>
        <w:t>,</w:t>
      </w:r>
      <w:r w:rsidR="00382C4A" w:rsidRPr="003877E2">
        <w:rPr>
          <w:sz w:val="28"/>
          <w:szCs w:val="28"/>
        </w:rPr>
        <w:t xml:space="preserve"> and</w:t>
      </w:r>
      <w:r w:rsidR="00BE1B05" w:rsidRPr="003877E2">
        <w:rPr>
          <w:sz w:val="28"/>
          <w:szCs w:val="28"/>
        </w:rPr>
        <w:t xml:space="preserve"> which fell within the</w:t>
      </w:r>
      <w:r w:rsidR="00CD776F" w:rsidRPr="003877E2">
        <w:rPr>
          <w:sz w:val="28"/>
          <w:szCs w:val="28"/>
        </w:rPr>
        <w:t xml:space="preserve"> bewind trusts’</w:t>
      </w:r>
      <w:r w:rsidR="00BE1B05" w:rsidRPr="003877E2">
        <w:rPr>
          <w:sz w:val="28"/>
          <w:szCs w:val="28"/>
        </w:rPr>
        <w:t xml:space="preserve"> investment mandate, for the benefit of these trusts</w:t>
      </w:r>
      <w:r w:rsidR="00A46466" w:rsidRPr="003877E2">
        <w:rPr>
          <w:sz w:val="28"/>
          <w:szCs w:val="28"/>
        </w:rPr>
        <w:t>,</w:t>
      </w:r>
      <w:r w:rsidR="00BE1B05" w:rsidRPr="003877E2">
        <w:rPr>
          <w:sz w:val="28"/>
          <w:szCs w:val="28"/>
        </w:rPr>
        <w:t xml:space="preserve"> but instead </w:t>
      </w:r>
      <w:r w:rsidR="00A46466" w:rsidRPr="003877E2">
        <w:rPr>
          <w:sz w:val="28"/>
          <w:szCs w:val="28"/>
        </w:rPr>
        <w:t>devised</w:t>
      </w:r>
      <w:r w:rsidR="00BE1B05" w:rsidRPr="003877E2">
        <w:rPr>
          <w:sz w:val="28"/>
          <w:szCs w:val="28"/>
        </w:rPr>
        <w:t xml:space="preserve"> and participated in or acquiesced in a scheme whereby Johnny, Schuster and Merlot (alternatively Horton), acquired the properties through Rapicorp 122 and Rapicorp 123 for their own benefit. </w:t>
      </w:r>
      <w:r w:rsidR="004D3717" w:rsidRPr="003877E2">
        <w:rPr>
          <w:sz w:val="28"/>
          <w:szCs w:val="28"/>
        </w:rPr>
        <w:t>These properties were acquired at a considerable discount to their market value.</w:t>
      </w:r>
    </w:p>
    <w:p w14:paraId="156F9F5D" w14:textId="77777777" w:rsidR="00E7185D" w:rsidRPr="00FB564C" w:rsidRDefault="00E7185D" w:rsidP="008F4835">
      <w:pPr>
        <w:pStyle w:val="ListParagraph"/>
        <w:ind w:left="0"/>
        <w:rPr>
          <w:sz w:val="28"/>
          <w:szCs w:val="28"/>
        </w:rPr>
      </w:pPr>
    </w:p>
    <w:p w14:paraId="2EF9F887" w14:textId="10DD39C3" w:rsidR="00BE1B05" w:rsidRPr="003877E2" w:rsidRDefault="003877E2" w:rsidP="003877E2">
      <w:pPr>
        <w:rPr>
          <w:sz w:val="28"/>
          <w:szCs w:val="28"/>
        </w:rPr>
      </w:pPr>
      <w:r w:rsidRPr="00FB564C">
        <w:rPr>
          <w:sz w:val="28"/>
          <w:szCs w:val="28"/>
        </w:rPr>
        <w:t>[24]</w:t>
      </w:r>
      <w:r w:rsidRPr="00FB564C">
        <w:rPr>
          <w:sz w:val="28"/>
          <w:szCs w:val="28"/>
        </w:rPr>
        <w:tab/>
      </w:r>
      <w:r w:rsidR="004D3717" w:rsidRPr="003877E2">
        <w:rPr>
          <w:sz w:val="28"/>
          <w:szCs w:val="28"/>
        </w:rPr>
        <w:t>Further, t</w:t>
      </w:r>
      <w:r w:rsidR="00BE1B05" w:rsidRPr="003877E2">
        <w:rPr>
          <w:sz w:val="28"/>
          <w:szCs w:val="28"/>
        </w:rPr>
        <w:t xml:space="preserve">he properties were acquired using funds entirely </w:t>
      </w:r>
      <w:r w:rsidR="004D3717" w:rsidRPr="003877E2">
        <w:rPr>
          <w:sz w:val="28"/>
          <w:szCs w:val="28"/>
        </w:rPr>
        <w:t xml:space="preserve">provided </w:t>
      </w:r>
      <w:r w:rsidR="00BE1B05" w:rsidRPr="003877E2">
        <w:rPr>
          <w:sz w:val="28"/>
          <w:szCs w:val="28"/>
        </w:rPr>
        <w:t xml:space="preserve">by TDI and/or PIF in the form of the purchase price </w:t>
      </w:r>
      <w:r w:rsidR="0071556A" w:rsidRPr="003877E2">
        <w:rPr>
          <w:sz w:val="28"/>
          <w:szCs w:val="28"/>
        </w:rPr>
        <w:t xml:space="preserve">for the </w:t>
      </w:r>
      <w:r w:rsidR="00BE1B05" w:rsidRPr="003877E2">
        <w:rPr>
          <w:sz w:val="28"/>
          <w:szCs w:val="28"/>
        </w:rPr>
        <w:t>20% of the shares in Rapicorp 122</w:t>
      </w:r>
      <w:r w:rsidR="004D3717" w:rsidRPr="003877E2">
        <w:rPr>
          <w:sz w:val="28"/>
          <w:szCs w:val="28"/>
        </w:rPr>
        <w:t xml:space="preserve"> and were acquired</w:t>
      </w:r>
      <w:r w:rsidR="00BE1B05" w:rsidRPr="003877E2">
        <w:rPr>
          <w:sz w:val="28"/>
          <w:szCs w:val="28"/>
        </w:rPr>
        <w:t xml:space="preserve"> with a view to disposing </w:t>
      </w:r>
      <w:r w:rsidR="0071556A" w:rsidRPr="003877E2">
        <w:rPr>
          <w:sz w:val="28"/>
          <w:szCs w:val="28"/>
        </w:rPr>
        <w:t xml:space="preserve">of </w:t>
      </w:r>
      <w:r w:rsidR="00BE1B05" w:rsidRPr="003877E2">
        <w:rPr>
          <w:sz w:val="28"/>
          <w:szCs w:val="28"/>
        </w:rPr>
        <w:t>the remaining shares in Rapicorp 122 and all the shares in Rapicorp 123 to PIF and/or TDI at a material profit.</w:t>
      </w:r>
      <w:r w:rsidR="004D3717" w:rsidRPr="003877E2">
        <w:rPr>
          <w:sz w:val="28"/>
          <w:szCs w:val="28"/>
        </w:rPr>
        <w:t xml:space="preserve"> </w:t>
      </w:r>
      <w:r w:rsidR="00470411" w:rsidRPr="003877E2">
        <w:rPr>
          <w:sz w:val="28"/>
          <w:szCs w:val="28"/>
        </w:rPr>
        <w:t xml:space="preserve">The high court </w:t>
      </w:r>
      <w:r w:rsidR="0071556A" w:rsidRPr="003877E2">
        <w:rPr>
          <w:sz w:val="28"/>
          <w:szCs w:val="28"/>
        </w:rPr>
        <w:t xml:space="preserve">did not allow </w:t>
      </w:r>
      <w:r w:rsidR="00470411" w:rsidRPr="003877E2">
        <w:rPr>
          <w:sz w:val="28"/>
          <w:szCs w:val="28"/>
        </w:rPr>
        <w:t xml:space="preserve">the full claim </w:t>
      </w:r>
      <w:r w:rsidR="00E11677" w:rsidRPr="003877E2">
        <w:rPr>
          <w:sz w:val="28"/>
          <w:szCs w:val="28"/>
        </w:rPr>
        <w:t>of R232 622 338.96 (as adjusted)</w:t>
      </w:r>
      <w:r w:rsidR="008A2EA7" w:rsidRPr="003877E2">
        <w:rPr>
          <w:sz w:val="28"/>
          <w:szCs w:val="28"/>
        </w:rPr>
        <w:t>.</w:t>
      </w:r>
      <w:r w:rsidR="00E11677" w:rsidRPr="003877E2">
        <w:rPr>
          <w:sz w:val="28"/>
          <w:szCs w:val="28"/>
        </w:rPr>
        <w:t xml:space="preserve"> </w:t>
      </w:r>
      <w:r w:rsidR="008A2EA7" w:rsidRPr="003877E2">
        <w:rPr>
          <w:sz w:val="28"/>
          <w:szCs w:val="28"/>
        </w:rPr>
        <w:t xml:space="preserve">It </w:t>
      </w:r>
      <w:r w:rsidR="00470411" w:rsidRPr="003877E2">
        <w:rPr>
          <w:sz w:val="28"/>
          <w:szCs w:val="28"/>
        </w:rPr>
        <w:t xml:space="preserve">granted the alternative relief </w:t>
      </w:r>
      <w:r w:rsidR="0071556A" w:rsidRPr="003877E2">
        <w:rPr>
          <w:sz w:val="28"/>
          <w:szCs w:val="28"/>
        </w:rPr>
        <w:t xml:space="preserve">sought </w:t>
      </w:r>
      <w:r w:rsidR="00960A8C" w:rsidRPr="003877E2">
        <w:rPr>
          <w:sz w:val="28"/>
          <w:szCs w:val="28"/>
        </w:rPr>
        <w:t>in the amount of R77 540 779.</w:t>
      </w:r>
      <w:r w:rsidR="004E680B" w:rsidRPr="003877E2">
        <w:rPr>
          <w:sz w:val="28"/>
          <w:szCs w:val="28"/>
        </w:rPr>
        <w:t>64</w:t>
      </w:r>
      <w:r w:rsidR="00960A8C" w:rsidRPr="003877E2">
        <w:rPr>
          <w:sz w:val="28"/>
          <w:szCs w:val="28"/>
        </w:rPr>
        <w:t>, which represented the</w:t>
      </w:r>
      <w:r w:rsidR="00E85EE5" w:rsidRPr="003877E2">
        <w:rPr>
          <w:sz w:val="28"/>
          <w:szCs w:val="28"/>
        </w:rPr>
        <w:t xml:space="preserve"> maximum</w:t>
      </w:r>
      <w:r w:rsidR="00470411" w:rsidRPr="003877E2">
        <w:rPr>
          <w:sz w:val="28"/>
          <w:szCs w:val="28"/>
        </w:rPr>
        <w:t xml:space="preserve"> </w:t>
      </w:r>
      <w:r w:rsidR="00E85EE5" w:rsidRPr="003877E2">
        <w:rPr>
          <w:sz w:val="28"/>
          <w:szCs w:val="28"/>
        </w:rPr>
        <w:t>one-third</w:t>
      </w:r>
      <w:r w:rsidR="00470411" w:rsidRPr="003877E2">
        <w:rPr>
          <w:sz w:val="28"/>
          <w:szCs w:val="28"/>
        </w:rPr>
        <w:t xml:space="preserve"> share of or interest in the properties, being the shares acquired by Johnny</w:t>
      </w:r>
      <w:r w:rsidR="0071556A" w:rsidRPr="003877E2">
        <w:rPr>
          <w:sz w:val="28"/>
          <w:szCs w:val="28"/>
        </w:rPr>
        <w:t>.</w:t>
      </w:r>
      <w:r w:rsidR="00470411" w:rsidRPr="003877E2">
        <w:rPr>
          <w:sz w:val="28"/>
          <w:szCs w:val="28"/>
        </w:rPr>
        <w:t xml:space="preserve"> </w:t>
      </w:r>
      <w:r w:rsidR="0071556A" w:rsidRPr="003877E2">
        <w:rPr>
          <w:sz w:val="28"/>
          <w:szCs w:val="28"/>
        </w:rPr>
        <w:t xml:space="preserve">The high court did so </w:t>
      </w:r>
      <w:r w:rsidR="00470411" w:rsidRPr="003877E2">
        <w:rPr>
          <w:sz w:val="28"/>
          <w:szCs w:val="28"/>
        </w:rPr>
        <w:t xml:space="preserve">on the basis that findings could not be made against </w:t>
      </w:r>
      <w:r w:rsidR="00594569" w:rsidRPr="003877E2">
        <w:rPr>
          <w:sz w:val="28"/>
          <w:szCs w:val="28"/>
        </w:rPr>
        <w:t>Schuster (</w:t>
      </w:r>
      <w:r w:rsidR="00470411" w:rsidRPr="003877E2">
        <w:rPr>
          <w:sz w:val="28"/>
          <w:szCs w:val="28"/>
        </w:rPr>
        <w:t>Badenhorst</w:t>
      </w:r>
      <w:r w:rsidR="00594569" w:rsidRPr="003877E2">
        <w:rPr>
          <w:sz w:val="28"/>
          <w:szCs w:val="28"/>
        </w:rPr>
        <w:t>)</w:t>
      </w:r>
      <w:r w:rsidR="00470411" w:rsidRPr="003877E2">
        <w:rPr>
          <w:sz w:val="28"/>
          <w:szCs w:val="28"/>
        </w:rPr>
        <w:t xml:space="preserve"> and </w:t>
      </w:r>
      <w:r w:rsidR="00594569" w:rsidRPr="003877E2">
        <w:rPr>
          <w:sz w:val="28"/>
          <w:szCs w:val="28"/>
        </w:rPr>
        <w:t>Merlot (</w:t>
      </w:r>
      <w:r w:rsidR="00470411" w:rsidRPr="003877E2">
        <w:rPr>
          <w:sz w:val="28"/>
          <w:szCs w:val="28"/>
        </w:rPr>
        <w:t>Horton</w:t>
      </w:r>
      <w:r w:rsidR="00594569" w:rsidRPr="003877E2">
        <w:rPr>
          <w:sz w:val="28"/>
          <w:szCs w:val="28"/>
        </w:rPr>
        <w:t>)</w:t>
      </w:r>
      <w:r w:rsidR="00EB5A9E" w:rsidRPr="003877E2">
        <w:rPr>
          <w:sz w:val="28"/>
          <w:szCs w:val="28"/>
        </w:rPr>
        <w:t>,</w:t>
      </w:r>
      <w:r w:rsidR="00470411" w:rsidRPr="003877E2">
        <w:rPr>
          <w:sz w:val="28"/>
          <w:szCs w:val="28"/>
        </w:rPr>
        <w:t xml:space="preserve"> whose trial had been separated. </w:t>
      </w:r>
      <w:r w:rsidR="003105F5" w:rsidRPr="003877E2">
        <w:rPr>
          <w:sz w:val="28"/>
          <w:szCs w:val="28"/>
        </w:rPr>
        <w:t>It apportioned 20% liability to Clint</w:t>
      </w:r>
      <w:r w:rsidR="00E11677" w:rsidRPr="003877E2">
        <w:rPr>
          <w:sz w:val="28"/>
          <w:szCs w:val="28"/>
        </w:rPr>
        <w:t xml:space="preserve"> and</w:t>
      </w:r>
      <w:r w:rsidR="00594569" w:rsidRPr="003877E2">
        <w:rPr>
          <w:sz w:val="28"/>
          <w:szCs w:val="28"/>
        </w:rPr>
        <w:t xml:space="preserve"> </w:t>
      </w:r>
      <w:r w:rsidR="003105F5" w:rsidRPr="003877E2">
        <w:rPr>
          <w:sz w:val="28"/>
          <w:szCs w:val="28"/>
        </w:rPr>
        <w:t xml:space="preserve">80% to </w:t>
      </w:r>
      <w:r w:rsidR="00960A8C" w:rsidRPr="003877E2">
        <w:rPr>
          <w:sz w:val="28"/>
          <w:szCs w:val="28"/>
        </w:rPr>
        <w:t xml:space="preserve">Oaker, Global Pact and RAM </w:t>
      </w:r>
      <w:r w:rsidR="002870F3" w:rsidRPr="003877E2">
        <w:rPr>
          <w:sz w:val="28"/>
          <w:szCs w:val="28"/>
        </w:rPr>
        <w:t>jointly and severally</w:t>
      </w:r>
      <w:r w:rsidR="00EB5A9E" w:rsidRPr="003877E2">
        <w:rPr>
          <w:sz w:val="28"/>
          <w:szCs w:val="28"/>
        </w:rPr>
        <w:t>,</w:t>
      </w:r>
      <w:r w:rsidR="00960A8C" w:rsidRPr="003877E2">
        <w:rPr>
          <w:sz w:val="28"/>
          <w:szCs w:val="28"/>
        </w:rPr>
        <w:t xml:space="preserve"> </w:t>
      </w:r>
      <w:r w:rsidR="00E11677" w:rsidRPr="003877E2">
        <w:rPr>
          <w:sz w:val="28"/>
          <w:szCs w:val="28"/>
        </w:rPr>
        <w:t xml:space="preserve">but </w:t>
      </w:r>
      <w:r w:rsidR="003105F5" w:rsidRPr="003877E2">
        <w:rPr>
          <w:sz w:val="28"/>
          <w:szCs w:val="28"/>
        </w:rPr>
        <w:t>exclud</w:t>
      </w:r>
      <w:r w:rsidR="00960A8C" w:rsidRPr="003877E2">
        <w:rPr>
          <w:sz w:val="28"/>
          <w:szCs w:val="28"/>
        </w:rPr>
        <w:t>ed</w:t>
      </w:r>
      <w:r w:rsidR="003105F5" w:rsidRPr="003877E2">
        <w:rPr>
          <w:sz w:val="28"/>
          <w:szCs w:val="28"/>
        </w:rPr>
        <w:t xml:space="preserve"> Pillay who was not involved in </w:t>
      </w:r>
      <w:r w:rsidR="00960A8C" w:rsidRPr="003877E2">
        <w:rPr>
          <w:sz w:val="28"/>
          <w:szCs w:val="28"/>
        </w:rPr>
        <w:t xml:space="preserve">any </w:t>
      </w:r>
      <w:r w:rsidR="00EB5A9E" w:rsidRPr="003877E2">
        <w:rPr>
          <w:sz w:val="28"/>
          <w:szCs w:val="28"/>
        </w:rPr>
        <w:t xml:space="preserve">of the </w:t>
      </w:r>
      <w:r w:rsidR="003105F5" w:rsidRPr="003877E2">
        <w:rPr>
          <w:sz w:val="28"/>
          <w:szCs w:val="28"/>
        </w:rPr>
        <w:t>transaction</w:t>
      </w:r>
      <w:r w:rsidR="00960A8C" w:rsidRPr="003877E2">
        <w:rPr>
          <w:sz w:val="28"/>
          <w:szCs w:val="28"/>
        </w:rPr>
        <w:t>s</w:t>
      </w:r>
      <w:r w:rsidR="003105F5" w:rsidRPr="003877E2">
        <w:rPr>
          <w:sz w:val="28"/>
          <w:szCs w:val="28"/>
        </w:rPr>
        <w:t xml:space="preserve"> be</w:t>
      </w:r>
      <w:r w:rsidR="0072122F" w:rsidRPr="003877E2">
        <w:rPr>
          <w:sz w:val="28"/>
          <w:szCs w:val="28"/>
        </w:rPr>
        <w:t>f</w:t>
      </w:r>
      <w:r w:rsidR="003105F5" w:rsidRPr="003877E2">
        <w:rPr>
          <w:sz w:val="28"/>
          <w:szCs w:val="28"/>
        </w:rPr>
        <w:t>ore</w:t>
      </w:r>
      <w:r w:rsidR="0072122F" w:rsidRPr="003877E2">
        <w:rPr>
          <w:sz w:val="28"/>
          <w:szCs w:val="28"/>
        </w:rPr>
        <w:t xml:space="preserve"> September 2007.</w:t>
      </w:r>
      <w:r w:rsidR="003105F5" w:rsidRPr="003877E2">
        <w:rPr>
          <w:sz w:val="28"/>
          <w:szCs w:val="28"/>
        </w:rPr>
        <w:t xml:space="preserve"> </w:t>
      </w:r>
      <w:r w:rsidR="00584F8E" w:rsidRPr="003877E2">
        <w:rPr>
          <w:sz w:val="28"/>
          <w:szCs w:val="28"/>
        </w:rPr>
        <w:t>Th</w:t>
      </w:r>
      <w:r w:rsidR="00EB5A9E" w:rsidRPr="003877E2">
        <w:rPr>
          <w:sz w:val="28"/>
          <w:szCs w:val="28"/>
        </w:rPr>
        <w:t>e</w:t>
      </w:r>
      <w:r w:rsidR="004E680B" w:rsidRPr="003877E2">
        <w:rPr>
          <w:sz w:val="28"/>
          <w:szCs w:val="28"/>
        </w:rPr>
        <w:t xml:space="preserve"> </w:t>
      </w:r>
      <w:r w:rsidR="00EB5A9E" w:rsidRPr="003877E2">
        <w:rPr>
          <w:sz w:val="28"/>
          <w:szCs w:val="28"/>
        </w:rPr>
        <w:t>refusal by the high court to grant judgment in the full amount claimed forms</w:t>
      </w:r>
      <w:r w:rsidR="00D81C7E" w:rsidRPr="003877E2">
        <w:rPr>
          <w:sz w:val="28"/>
          <w:szCs w:val="28"/>
        </w:rPr>
        <w:t>,</w:t>
      </w:r>
      <w:r w:rsidR="00EB5A9E" w:rsidRPr="003877E2">
        <w:rPr>
          <w:sz w:val="28"/>
          <w:szCs w:val="28"/>
        </w:rPr>
        <w:t xml:space="preserve"> in part</w:t>
      </w:r>
      <w:r w:rsidR="00D81C7E" w:rsidRPr="003877E2">
        <w:rPr>
          <w:sz w:val="28"/>
          <w:szCs w:val="28"/>
        </w:rPr>
        <w:t>,</w:t>
      </w:r>
      <w:r w:rsidR="00EB5A9E" w:rsidRPr="003877E2">
        <w:rPr>
          <w:sz w:val="28"/>
          <w:szCs w:val="28"/>
        </w:rPr>
        <w:t xml:space="preserve"> </w:t>
      </w:r>
      <w:r w:rsidR="00584F8E" w:rsidRPr="003877E2">
        <w:rPr>
          <w:sz w:val="28"/>
          <w:szCs w:val="28"/>
        </w:rPr>
        <w:t>the subject of the cross-appeal</w:t>
      </w:r>
      <w:r w:rsidR="00EB5A9E" w:rsidRPr="003877E2">
        <w:rPr>
          <w:sz w:val="28"/>
          <w:szCs w:val="28"/>
        </w:rPr>
        <w:t xml:space="preserve"> by the </w:t>
      </w:r>
      <w:r w:rsidR="004E680B" w:rsidRPr="003877E2">
        <w:rPr>
          <w:sz w:val="28"/>
          <w:szCs w:val="28"/>
        </w:rPr>
        <w:t>C</w:t>
      </w:r>
      <w:r w:rsidR="00EB5A9E" w:rsidRPr="003877E2">
        <w:rPr>
          <w:sz w:val="28"/>
          <w:szCs w:val="28"/>
        </w:rPr>
        <w:t>urator</w:t>
      </w:r>
      <w:r w:rsidR="00584F8E" w:rsidRPr="003877E2">
        <w:rPr>
          <w:sz w:val="28"/>
          <w:szCs w:val="28"/>
        </w:rPr>
        <w:t>.</w:t>
      </w:r>
    </w:p>
    <w:p w14:paraId="46C02F5B" w14:textId="77777777" w:rsidR="004D3717" w:rsidRPr="00FB564C" w:rsidRDefault="004D3717">
      <w:pPr>
        <w:pStyle w:val="ListParagraph"/>
        <w:rPr>
          <w:sz w:val="28"/>
          <w:szCs w:val="28"/>
        </w:rPr>
      </w:pPr>
    </w:p>
    <w:p w14:paraId="55E58781" w14:textId="31CE787B" w:rsidR="002870F3" w:rsidRPr="003877E2" w:rsidRDefault="003877E2" w:rsidP="003877E2">
      <w:pPr>
        <w:rPr>
          <w:sz w:val="28"/>
          <w:szCs w:val="28"/>
        </w:rPr>
      </w:pPr>
      <w:r w:rsidRPr="00FB564C">
        <w:rPr>
          <w:sz w:val="28"/>
          <w:szCs w:val="28"/>
        </w:rPr>
        <w:t>[25]</w:t>
      </w:r>
      <w:r w:rsidRPr="00FB564C">
        <w:rPr>
          <w:sz w:val="28"/>
          <w:szCs w:val="28"/>
        </w:rPr>
        <w:tab/>
      </w:r>
      <w:r w:rsidR="00910E75" w:rsidRPr="003877E2">
        <w:rPr>
          <w:sz w:val="28"/>
          <w:szCs w:val="28"/>
        </w:rPr>
        <w:t>I</w:t>
      </w:r>
      <w:r w:rsidR="004D3717" w:rsidRPr="003877E2">
        <w:rPr>
          <w:sz w:val="28"/>
          <w:szCs w:val="28"/>
        </w:rPr>
        <w:t>n the partial alternative to the first claim</w:t>
      </w:r>
      <w:r w:rsidR="00E072A5" w:rsidRPr="003877E2">
        <w:rPr>
          <w:sz w:val="28"/>
          <w:szCs w:val="28"/>
        </w:rPr>
        <w:t xml:space="preserve"> based on the diversion of a corporate opportunity</w:t>
      </w:r>
      <w:r w:rsidR="00910E75" w:rsidRPr="003877E2">
        <w:rPr>
          <w:sz w:val="28"/>
          <w:szCs w:val="28"/>
        </w:rPr>
        <w:t xml:space="preserve">, the </w:t>
      </w:r>
      <w:r w:rsidR="004E680B" w:rsidRPr="003877E2">
        <w:rPr>
          <w:sz w:val="28"/>
          <w:szCs w:val="28"/>
        </w:rPr>
        <w:t>C</w:t>
      </w:r>
      <w:r w:rsidR="00910E75" w:rsidRPr="003877E2">
        <w:rPr>
          <w:sz w:val="28"/>
          <w:szCs w:val="28"/>
        </w:rPr>
        <w:t xml:space="preserve">urator advanced a claim against Johnny </w:t>
      </w:r>
      <w:r w:rsidR="00626287" w:rsidRPr="003877E2">
        <w:rPr>
          <w:sz w:val="28"/>
          <w:szCs w:val="28"/>
        </w:rPr>
        <w:t xml:space="preserve">seeking to hold it </w:t>
      </w:r>
      <w:r w:rsidR="00910E75" w:rsidRPr="003877E2">
        <w:rPr>
          <w:sz w:val="28"/>
          <w:szCs w:val="28"/>
        </w:rPr>
        <w:t>jointly and severally liable with other defendants</w:t>
      </w:r>
      <w:r w:rsidR="00626287" w:rsidRPr="003877E2">
        <w:rPr>
          <w:sz w:val="28"/>
          <w:szCs w:val="28"/>
        </w:rPr>
        <w:t>,</w:t>
      </w:r>
      <w:r w:rsidR="00910E75" w:rsidRPr="003877E2">
        <w:rPr>
          <w:sz w:val="28"/>
          <w:szCs w:val="28"/>
        </w:rPr>
        <w:t xml:space="preserve"> </w:t>
      </w:r>
      <w:r w:rsidR="00626287" w:rsidRPr="003877E2">
        <w:rPr>
          <w:sz w:val="28"/>
          <w:szCs w:val="28"/>
        </w:rPr>
        <w:t xml:space="preserve">for the </w:t>
      </w:r>
      <w:r w:rsidR="00E072A5" w:rsidRPr="003877E2">
        <w:rPr>
          <w:sz w:val="28"/>
          <w:szCs w:val="28"/>
        </w:rPr>
        <w:t xml:space="preserve">taking </w:t>
      </w:r>
      <w:r w:rsidR="00276192" w:rsidRPr="003877E2">
        <w:rPr>
          <w:sz w:val="28"/>
          <w:szCs w:val="28"/>
        </w:rPr>
        <w:t xml:space="preserve">of </w:t>
      </w:r>
      <w:r w:rsidR="00E072A5" w:rsidRPr="003877E2">
        <w:rPr>
          <w:sz w:val="28"/>
          <w:szCs w:val="28"/>
        </w:rPr>
        <w:t>a secret profit</w:t>
      </w:r>
      <w:r w:rsidR="00F27CD3" w:rsidRPr="003877E2">
        <w:rPr>
          <w:sz w:val="28"/>
          <w:szCs w:val="28"/>
        </w:rPr>
        <w:t xml:space="preserve"> to the tune of R94 550 025.96.</w:t>
      </w:r>
      <w:r w:rsidR="00E072A5" w:rsidRPr="003877E2">
        <w:rPr>
          <w:sz w:val="28"/>
          <w:szCs w:val="28"/>
        </w:rPr>
        <w:t xml:space="preserve"> </w:t>
      </w:r>
      <w:r w:rsidR="002870F3" w:rsidRPr="003877E2">
        <w:rPr>
          <w:sz w:val="28"/>
          <w:szCs w:val="28"/>
        </w:rPr>
        <w:t xml:space="preserve">Having initially </w:t>
      </w:r>
      <w:r w:rsidR="00003A9B" w:rsidRPr="003877E2">
        <w:rPr>
          <w:sz w:val="28"/>
          <w:szCs w:val="28"/>
        </w:rPr>
        <w:t>found Oaker</w:t>
      </w:r>
      <w:r w:rsidR="002870F3" w:rsidRPr="003877E2">
        <w:rPr>
          <w:sz w:val="28"/>
          <w:szCs w:val="28"/>
        </w:rPr>
        <w:t xml:space="preserve">, Global Pact and RAM to be jointly and severally liable for payment of 80% and Clint for 20% of the amount to be </w:t>
      </w:r>
      <w:r w:rsidR="002870F3" w:rsidRPr="003877E2">
        <w:rPr>
          <w:sz w:val="28"/>
          <w:szCs w:val="28"/>
        </w:rPr>
        <w:lastRenderedPageBreak/>
        <w:t xml:space="preserve">determined </w:t>
      </w:r>
      <w:r w:rsidR="0071556A" w:rsidRPr="003877E2">
        <w:rPr>
          <w:sz w:val="28"/>
          <w:szCs w:val="28"/>
        </w:rPr>
        <w:t xml:space="preserve">with reference to certain </w:t>
      </w:r>
      <w:r w:rsidR="002870F3" w:rsidRPr="003877E2">
        <w:rPr>
          <w:sz w:val="28"/>
          <w:szCs w:val="28"/>
        </w:rPr>
        <w:t>valuation</w:t>
      </w:r>
      <w:r w:rsidR="0071556A" w:rsidRPr="003877E2">
        <w:rPr>
          <w:sz w:val="28"/>
          <w:szCs w:val="28"/>
        </w:rPr>
        <w:t>s</w:t>
      </w:r>
      <w:r w:rsidR="002870F3" w:rsidRPr="003877E2">
        <w:rPr>
          <w:sz w:val="28"/>
          <w:szCs w:val="28"/>
        </w:rPr>
        <w:t xml:space="preserve">, the high court later dismissed </w:t>
      </w:r>
      <w:r w:rsidR="00910E75" w:rsidRPr="003877E2">
        <w:rPr>
          <w:sz w:val="28"/>
          <w:szCs w:val="28"/>
        </w:rPr>
        <w:t xml:space="preserve">this </w:t>
      </w:r>
      <w:r w:rsidR="002870F3" w:rsidRPr="003877E2">
        <w:rPr>
          <w:sz w:val="28"/>
          <w:szCs w:val="28"/>
        </w:rPr>
        <w:t xml:space="preserve">claim, following submissions by the appellants </w:t>
      </w:r>
      <w:r w:rsidR="0004348C" w:rsidRPr="003877E2">
        <w:rPr>
          <w:sz w:val="28"/>
          <w:szCs w:val="28"/>
        </w:rPr>
        <w:t xml:space="preserve">that </w:t>
      </w:r>
      <w:r w:rsidR="002870F3" w:rsidRPr="003877E2">
        <w:rPr>
          <w:sz w:val="28"/>
          <w:szCs w:val="28"/>
        </w:rPr>
        <w:t xml:space="preserve">the Curator had not </w:t>
      </w:r>
      <w:r w:rsidR="00003A9B" w:rsidRPr="003877E2">
        <w:rPr>
          <w:sz w:val="28"/>
          <w:szCs w:val="28"/>
        </w:rPr>
        <w:t>established an</w:t>
      </w:r>
      <w:r w:rsidR="0071556A" w:rsidRPr="003877E2">
        <w:rPr>
          <w:sz w:val="28"/>
          <w:szCs w:val="28"/>
        </w:rPr>
        <w:t xml:space="preserve"> </w:t>
      </w:r>
      <w:r w:rsidR="002870F3" w:rsidRPr="003877E2">
        <w:rPr>
          <w:sz w:val="28"/>
          <w:szCs w:val="28"/>
        </w:rPr>
        <w:t xml:space="preserve">entitlement </w:t>
      </w:r>
      <w:r w:rsidR="00C64609" w:rsidRPr="003877E2">
        <w:rPr>
          <w:sz w:val="28"/>
          <w:szCs w:val="28"/>
        </w:rPr>
        <w:t>to relief on both of the alternative causes of action.</w:t>
      </w:r>
      <w:r w:rsidR="0004348C" w:rsidRPr="003877E2">
        <w:rPr>
          <w:sz w:val="28"/>
          <w:szCs w:val="28"/>
        </w:rPr>
        <w:t xml:space="preserve"> The </w:t>
      </w:r>
      <w:r w:rsidR="00F06627" w:rsidRPr="003877E2">
        <w:rPr>
          <w:sz w:val="28"/>
          <w:szCs w:val="28"/>
        </w:rPr>
        <w:t>C</w:t>
      </w:r>
      <w:r w:rsidR="0004348C" w:rsidRPr="003877E2">
        <w:rPr>
          <w:sz w:val="28"/>
          <w:szCs w:val="28"/>
        </w:rPr>
        <w:t>urator cross</w:t>
      </w:r>
      <w:r w:rsidR="00356ADB" w:rsidRPr="003877E2">
        <w:rPr>
          <w:sz w:val="28"/>
          <w:szCs w:val="28"/>
        </w:rPr>
        <w:t>-</w:t>
      </w:r>
      <w:r w:rsidR="0004348C" w:rsidRPr="003877E2">
        <w:rPr>
          <w:sz w:val="28"/>
          <w:szCs w:val="28"/>
        </w:rPr>
        <w:t>appeals this order as well.</w:t>
      </w:r>
    </w:p>
    <w:p w14:paraId="10481060" w14:textId="77777777" w:rsidR="00E7185D" w:rsidRPr="00FB564C" w:rsidRDefault="00E7185D" w:rsidP="008F4835">
      <w:pPr>
        <w:pStyle w:val="ListParagraph"/>
        <w:ind w:left="0"/>
        <w:rPr>
          <w:sz w:val="28"/>
          <w:szCs w:val="28"/>
        </w:rPr>
      </w:pPr>
    </w:p>
    <w:p w14:paraId="5E1B02B4" w14:textId="22D328F9" w:rsidR="00BC3F44" w:rsidRPr="003877E2" w:rsidRDefault="003877E2" w:rsidP="003877E2">
      <w:pPr>
        <w:rPr>
          <w:sz w:val="28"/>
          <w:szCs w:val="28"/>
        </w:rPr>
      </w:pPr>
      <w:r w:rsidRPr="00FB564C">
        <w:rPr>
          <w:sz w:val="28"/>
          <w:szCs w:val="28"/>
        </w:rPr>
        <w:t>[26]</w:t>
      </w:r>
      <w:r w:rsidRPr="00FB564C">
        <w:rPr>
          <w:sz w:val="28"/>
          <w:szCs w:val="28"/>
        </w:rPr>
        <w:tab/>
      </w:r>
      <w:r w:rsidR="004D3717" w:rsidRPr="003877E2">
        <w:rPr>
          <w:sz w:val="28"/>
          <w:szCs w:val="28"/>
        </w:rPr>
        <w:t xml:space="preserve">In </w:t>
      </w:r>
      <w:r w:rsidR="00BC3F44" w:rsidRPr="003877E2">
        <w:rPr>
          <w:sz w:val="28"/>
          <w:szCs w:val="28"/>
        </w:rPr>
        <w:t>regard to</w:t>
      </w:r>
      <w:r w:rsidR="004D3717" w:rsidRPr="003877E2">
        <w:rPr>
          <w:sz w:val="28"/>
          <w:szCs w:val="28"/>
        </w:rPr>
        <w:t xml:space="preserve"> the </w:t>
      </w:r>
      <w:r w:rsidR="00BC3F44" w:rsidRPr="003877E2">
        <w:rPr>
          <w:sz w:val="28"/>
          <w:szCs w:val="28"/>
        </w:rPr>
        <w:t>claim</w:t>
      </w:r>
      <w:r w:rsidR="00910E75" w:rsidRPr="003877E2">
        <w:rPr>
          <w:sz w:val="28"/>
          <w:szCs w:val="28"/>
        </w:rPr>
        <w:t xml:space="preserve"> for excessive management </w:t>
      </w:r>
      <w:r w:rsidR="004E680B" w:rsidRPr="003877E2">
        <w:rPr>
          <w:sz w:val="28"/>
          <w:szCs w:val="28"/>
        </w:rPr>
        <w:t>and performance fees</w:t>
      </w:r>
      <w:r w:rsidR="0071556A" w:rsidRPr="003877E2">
        <w:rPr>
          <w:sz w:val="28"/>
          <w:szCs w:val="28"/>
        </w:rPr>
        <w:t>,</w:t>
      </w:r>
      <w:r w:rsidR="00BC3F44" w:rsidRPr="003877E2">
        <w:rPr>
          <w:sz w:val="28"/>
          <w:szCs w:val="28"/>
        </w:rPr>
        <w:t xml:space="preserve"> the Curator contended that RAM caused TDI to pay to it management fees and performance fees higher </w:t>
      </w:r>
      <w:r w:rsidR="004D79C2" w:rsidRPr="003877E2">
        <w:rPr>
          <w:sz w:val="28"/>
          <w:szCs w:val="28"/>
        </w:rPr>
        <w:t>than contractually</w:t>
      </w:r>
      <w:r w:rsidR="00BC3F44" w:rsidRPr="003877E2">
        <w:rPr>
          <w:sz w:val="28"/>
          <w:szCs w:val="28"/>
        </w:rPr>
        <w:t xml:space="preserve"> </w:t>
      </w:r>
      <w:r w:rsidR="00910E75" w:rsidRPr="003877E2">
        <w:rPr>
          <w:sz w:val="28"/>
          <w:szCs w:val="28"/>
        </w:rPr>
        <w:t xml:space="preserve">stipulated </w:t>
      </w:r>
      <w:r w:rsidR="0071556A" w:rsidRPr="003877E2">
        <w:rPr>
          <w:sz w:val="28"/>
          <w:szCs w:val="28"/>
        </w:rPr>
        <w:t xml:space="preserve">for </w:t>
      </w:r>
      <w:r w:rsidR="00BC3F44" w:rsidRPr="003877E2">
        <w:rPr>
          <w:sz w:val="28"/>
          <w:szCs w:val="28"/>
        </w:rPr>
        <w:t xml:space="preserve">the period during which TDI held the Rapicorp properties. This was done </w:t>
      </w:r>
      <w:r w:rsidR="00877CB7" w:rsidRPr="003877E2">
        <w:rPr>
          <w:sz w:val="28"/>
          <w:szCs w:val="28"/>
        </w:rPr>
        <w:t>with</w:t>
      </w:r>
      <w:r w:rsidR="00BC3F44" w:rsidRPr="003877E2">
        <w:rPr>
          <w:sz w:val="28"/>
          <w:szCs w:val="28"/>
        </w:rPr>
        <w:t xml:space="preserve"> the knowledge of th</w:t>
      </w:r>
      <w:r w:rsidR="00652EA8" w:rsidRPr="003877E2">
        <w:rPr>
          <w:sz w:val="28"/>
          <w:szCs w:val="28"/>
        </w:rPr>
        <w:t xml:space="preserve">e appellants, RAM and Johnny. </w:t>
      </w:r>
      <w:r w:rsidR="00BC3F44" w:rsidRPr="003877E2">
        <w:rPr>
          <w:sz w:val="28"/>
          <w:szCs w:val="28"/>
        </w:rPr>
        <w:t xml:space="preserve">These excessive amounts were paid on inflated values of the shares in </w:t>
      </w:r>
      <w:r w:rsidR="00EE43C1" w:rsidRPr="003877E2">
        <w:rPr>
          <w:sz w:val="28"/>
          <w:szCs w:val="28"/>
        </w:rPr>
        <w:t xml:space="preserve">the </w:t>
      </w:r>
      <w:r w:rsidR="00BC3F44" w:rsidRPr="003877E2">
        <w:rPr>
          <w:sz w:val="28"/>
          <w:szCs w:val="28"/>
        </w:rPr>
        <w:t xml:space="preserve">Rapicorp companies, which in turn were based on inflated values of the properties. </w:t>
      </w:r>
      <w:r w:rsidR="00470DA4" w:rsidRPr="003877E2">
        <w:rPr>
          <w:sz w:val="28"/>
          <w:szCs w:val="28"/>
        </w:rPr>
        <w:t>The high court upheld this claim only in respect of RAM for excess management and performance fees in the amounts of R1 970 019.78 and R6 120 3545 (sic), respectively.</w:t>
      </w:r>
      <w:r w:rsidR="006A705C" w:rsidRPr="003877E2">
        <w:rPr>
          <w:sz w:val="28"/>
          <w:szCs w:val="28"/>
        </w:rPr>
        <w:t xml:space="preserve"> </w:t>
      </w:r>
      <w:r w:rsidR="0004348C" w:rsidRPr="003877E2">
        <w:rPr>
          <w:sz w:val="28"/>
          <w:szCs w:val="28"/>
        </w:rPr>
        <w:t>This order is the subject of the Curator’s cross-appeal with respect to both quantum based on the valuation as well as in respect of th</w:t>
      </w:r>
      <w:r w:rsidR="00D81C7E" w:rsidRPr="003877E2">
        <w:rPr>
          <w:sz w:val="28"/>
          <w:szCs w:val="28"/>
        </w:rPr>
        <w:t>os</w:t>
      </w:r>
      <w:r w:rsidR="0004348C" w:rsidRPr="003877E2">
        <w:rPr>
          <w:sz w:val="28"/>
          <w:szCs w:val="28"/>
        </w:rPr>
        <w:t xml:space="preserve">e defendants against whom the order was </w:t>
      </w:r>
      <w:r w:rsidR="0071556A" w:rsidRPr="003877E2">
        <w:rPr>
          <w:sz w:val="28"/>
          <w:szCs w:val="28"/>
        </w:rPr>
        <w:t xml:space="preserve">not </w:t>
      </w:r>
      <w:r w:rsidR="0004348C" w:rsidRPr="003877E2">
        <w:rPr>
          <w:sz w:val="28"/>
          <w:szCs w:val="28"/>
        </w:rPr>
        <w:t>made</w:t>
      </w:r>
      <w:r w:rsidR="00877CB7" w:rsidRPr="003877E2">
        <w:rPr>
          <w:sz w:val="28"/>
          <w:szCs w:val="28"/>
        </w:rPr>
        <w:t xml:space="preserve">. The </w:t>
      </w:r>
      <w:r w:rsidR="0004348C" w:rsidRPr="003877E2">
        <w:rPr>
          <w:sz w:val="28"/>
          <w:szCs w:val="28"/>
        </w:rPr>
        <w:t>conte</w:t>
      </w:r>
      <w:r w:rsidR="00877CB7" w:rsidRPr="003877E2">
        <w:rPr>
          <w:sz w:val="28"/>
          <w:szCs w:val="28"/>
        </w:rPr>
        <w:t>ntion is</w:t>
      </w:r>
      <w:r w:rsidR="0004348C" w:rsidRPr="003877E2">
        <w:rPr>
          <w:sz w:val="28"/>
          <w:szCs w:val="28"/>
        </w:rPr>
        <w:t xml:space="preserve"> that </w:t>
      </w:r>
      <w:r w:rsidR="00877CB7" w:rsidRPr="003877E2">
        <w:rPr>
          <w:sz w:val="28"/>
          <w:szCs w:val="28"/>
        </w:rPr>
        <w:t xml:space="preserve">the order </w:t>
      </w:r>
      <w:r w:rsidR="0004348C" w:rsidRPr="003877E2">
        <w:rPr>
          <w:sz w:val="28"/>
          <w:szCs w:val="28"/>
        </w:rPr>
        <w:t>should have been made</w:t>
      </w:r>
      <w:r w:rsidR="00C03B70" w:rsidRPr="003877E2">
        <w:rPr>
          <w:sz w:val="28"/>
          <w:szCs w:val="28"/>
        </w:rPr>
        <w:t xml:space="preserve"> </w:t>
      </w:r>
      <w:r w:rsidR="0004348C" w:rsidRPr="003877E2">
        <w:rPr>
          <w:sz w:val="28"/>
          <w:szCs w:val="28"/>
        </w:rPr>
        <w:t>against all the appellants jointly and severally</w:t>
      </w:r>
      <w:r w:rsidR="00C03B70" w:rsidRPr="003877E2">
        <w:rPr>
          <w:sz w:val="28"/>
          <w:szCs w:val="28"/>
        </w:rPr>
        <w:t xml:space="preserve"> together with RAM</w:t>
      </w:r>
      <w:r w:rsidR="0004348C" w:rsidRPr="003877E2">
        <w:rPr>
          <w:sz w:val="28"/>
          <w:szCs w:val="28"/>
        </w:rPr>
        <w:t>.</w:t>
      </w:r>
    </w:p>
    <w:p w14:paraId="6FC812BD" w14:textId="77777777" w:rsidR="009F0445" w:rsidRPr="00FB564C" w:rsidRDefault="009F0445">
      <w:pPr>
        <w:pStyle w:val="ListParagraph"/>
        <w:rPr>
          <w:sz w:val="28"/>
          <w:szCs w:val="28"/>
        </w:rPr>
      </w:pPr>
    </w:p>
    <w:p w14:paraId="37061A25" w14:textId="2C688380" w:rsidR="004C50EA" w:rsidRPr="003877E2" w:rsidRDefault="003877E2" w:rsidP="003877E2">
      <w:pPr>
        <w:rPr>
          <w:sz w:val="28"/>
          <w:szCs w:val="28"/>
        </w:rPr>
      </w:pPr>
      <w:r w:rsidRPr="00FB564C">
        <w:rPr>
          <w:sz w:val="28"/>
          <w:szCs w:val="28"/>
        </w:rPr>
        <w:t>[27]</w:t>
      </w:r>
      <w:r w:rsidRPr="00FB564C">
        <w:rPr>
          <w:sz w:val="28"/>
          <w:szCs w:val="28"/>
        </w:rPr>
        <w:tab/>
      </w:r>
      <w:r w:rsidR="00CA2A72" w:rsidRPr="003877E2">
        <w:rPr>
          <w:sz w:val="28"/>
          <w:szCs w:val="28"/>
        </w:rPr>
        <w:t xml:space="preserve">In respect of the </w:t>
      </w:r>
      <w:r w:rsidR="00BC3F44" w:rsidRPr="003877E2">
        <w:rPr>
          <w:sz w:val="28"/>
          <w:szCs w:val="28"/>
        </w:rPr>
        <w:t>claim</w:t>
      </w:r>
      <w:r w:rsidR="00CA2A72" w:rsidRPr="003877E2">
        <w:rPr>
          <w:sz w:val="28"/>
          <w:szCs w:val="28"/>
        </w:rPr>
        <w:t xml:space="preserve"> for other fees irregularly charged</w:t>
      </w:r>
      <w:r w:rsidR="00E77AF4" w:rsidRPr="003877E2">
        <w:rPr>
          <w:sz w:val="28"/>
          <w:szCs w:val="28"/>
        </w:rPr>
        <w:t xml:space="preserve">, the Curator’s contention was that RAM had </w:t>
      </w:r>
      <w:r w:rsidR="00FC5470" w:rsidRPr="003877E2">
        <w:rPr>
          <w:sz w:val="28"/>
          <w:szCs w:val="28"/>
        </w:rPr>
        <w:t xml:space="preserve">irregularly </w:t>
      </w:r>
      <w:r w:rsidR="00E77AF4" w:rsidRPr="003877E2">
        <w:rPr>
          <w:sz w:val="28"/>
          <w:szCs w:val="28"/>
        </w:rPr>
        <w:t xml:space="preserve">charged TDI amounts as ‘transaction fees’ or fees over and above the </w:t>
      </w:r>
      <w:r w:rsidR="00EE43C1" w:rsidRPr="003877E2">
        <w:rPr>
          <w:sz w:val="28"/>
          <w:szCs w:val="28"/>
        </w:rPr>
        <w:t xml:space="preserve">management fees or </w:t>
      </w:r>
      <w:r w:rsidR="00E77AF4" w:rsidRPr="003877E2">
        <w:rPr>
          <w:sz w:val="28"/>
          <w:szCs w:val="28"/>
        </w:rPr>
        <w:t>performance</w:t>
      </w:r>
      <w:r w:rsidR="00C03B70" w:rsidRPr="003877E2">
        <w:rPr>
          <w:sz w:val="28"/>
          <w:szCs w:val="28"/>
        </w:rPr>
        <w:t xml:space="preserve"> </w:t>
      </w:r>
      <w:r w:rsidR="00E77AF4" w:rsidRPr="003877E2">
        <w:rPr>
          <w:sz w:val="28"/>
          <w:szCs w:val="28"/>
        </w:rPr>
        <w:t xml:space="preserve">fees </w:t>
      </w:r>
      <w:r w:rsidR="009934A5" w:rsidRPr="003877E2">
        <w:rPr>
          <w:sz w:val="28"/>
          <w:szCs w:val="28"/>
        </w:rPr>
        <w:t xml:space="preserve">as </w:t>
      </w:r>
      <w:r w:rsidR="00E77AF4" w:rsidRPr="003877E2">
        <w:rPr>
          <w:sz w:val="28"/>
          <w:szCs w:val="28"/>
        </w:rPr>
        <w:t xml:space="preserve">provided for in the management agreement. </w:t>
      </w:r>
      <w:r w:rsidR="00FC5470" w:rsidRPr="003877E2">
        <w:rPr>
          <w:sz w:val="28"/>
          <w:szCs w:val="28"/>
        </w:rPr>
        <w:t xml:space="preserve">In this regard, the high court granted the claim </w:t>
      </w:r>
      <w:r w:rsidR="00C03B70" w:rsidRPr="003877E2">
        <w:rPr>
          <w:sz w:val="28"/>
          <w:szCs w:val="28"/>
        </w:rPr>
        <w:t>for an amount of</w:t>
      </w:r>
      <w:r w:rsidR="00FC5470" w:rsidRPr="003877E2">
        <w:rPr>
          <w:sz w:val="28"/>
          <w:szCs w:val="28"/>
        </w:rPr>
        <w:t xml:space="preserve"> R22 274 884</w:t>
      </w:r>
      <w:r w:rsidR="0004348C" w:rsidRPr="003877E2">
        <w:rPr>
          <w:sz w:val="28"/>
          <w:szCs w:val="28"/>
        </w:rPr>
        <w:t xml:space="preserve"> against all the appellants excluding Johnny</w:t>
      </w:r>
      <w:r w:rsidR="00FC5470" w:rsidRPr="003877E2">
        <w:rPr>
          <w:sz w:val="28"/>
          <w:szCs w:val="28"/>
        </w:rPr>
        <w:t xml:space="preserve">. </w:t>
      </w:r>
      <w:r w:rsidR="0004348C" w:rsidRPr="003877E2">
        <w:rPr>
          <w:sz w:val="28"/>
          <w:szCs w:val="28"/>
        </w:rPr>
        <w:t>The Curator cross-appeals Johnny’s exclusion.</w:t>
      </w:r>
    </w:p>
    <w:p w14:paraId="0025CF6B" w14:textId="77777777" w:rsidR="004C50EA" w:rsidRPr="00FB564C" w:rsidRDefault="004C50EA">
      <w:pPr>
        <w:pStyle w:val="ListParagraph"/>
        <w:rPr>
          <w:sz w:val="28"/>
          <w:szCs w:val="28"/>
        </w:rPr>
      </w:pPr>
    </w:p>
    <w:p w14:paraId="4592E468" w14:textId="6EC92E2E" w:rsidR="004C50EA" w:rsidRPr="003877E2" w:rsidRDefault="003877E2" w:rsidP="003877E2">
      <w:pPr>
        <w:rPr>
          <w:sz w:val="28"/>
          <w:szCs w:val="28"/>
        </w:rPr>
      </w:pPr>
      <w:r w:rsidRPr="00FB564C">
        <w:rPr>
          <w:sz w:val="28"/>
          <w:szCs w:val="28"/>
        </w:rPr>
        <w:lastRenderedPageBreak/>
        <w:t>[28]</w:t>
      </w:r>
      <w:r w:rsidRPr="00FB564C">
        <w:rPr>
          <w:sz w:val="28"/>
          <w:szCs w:val="28"/>
        </w:rPr>
        <w:tab/>
      </w:r>
      <w:r w:rsidR="004C50EA" w:rsidRPr="003877E2">
        <w:rPr>
          <w:sz w:val="28"/>
          <w:szCs w:val="28"/>
        </w:rPr>
        <w:t xml:space="preserve">As to the </w:t>
      </w:r>
      <w:r w:rsidR="00CA2A72" w:rsidRPr="003877E2">
        <w:rPr>
          <w:sz w:val="28"/>
          <w:szCs w:val="28"/>
        </w:rPr>
        <w:t xml:space="preserve">further </w:t>
      </w:r>
      <w:r w:rsidR="004C50EA" w:rsidRPr="003877E2">
        <w:rPr>
          <w:sz w:val="28"/>
          <w:szCs w:val="28"/>
        </w:rPr>
        <w:t xml:space="preserve">claim, the Curator sought restoration of PIF’s 100% shareholding after 20% of the shares in </w:t>
      </w:r>
      <w:r w:rsidR="00EE43C1" w:rsidRPr="003877E2">
        <w:rPr>
          <w:sz w:val="28"/>
          <w:szCs w:val="28"/>
        </w:rPr>
        <w:t xml:space="preserve">the </w:t>
      </w:r>
      <w:r w:rsidR="004C50EA" w:rsidRPr="003877E2">
        <w:rPr>
          <w:sz w:val="28"/>
          <w:szCs w:val="28"/>
        </w:rPr>
        <w:t xml:space="preserve">Rapicorp companies </w:t>
      </w:r>
      <w:r w:rsidR="00C03B70" w:rsidRPr="003877E2">
        <w:rPr>
          <w:sz w:val="28"/>
          <w:szCs w:val="28"/>
        </w:rPr>
        <w:t xml:space="preserve">were </w:t>
      </w:r>
      <w:r w:rsidR="004C50EA" w:rsidRPr="003877E2">
        <w:rPr>
          <w:sz w:val="28"/>
          <w:szCs w:val="28"/>
        </w:rPr>
        <w:t xml:space="preserve">purportedly transferred to Johnny in settlement of a R150 million liability assumed by PIF in Johnny’s favour under </w:t>
      </w:r>
      <w:r w:rsidR="00C03B70" w:rsidRPr="003877E2">
        <w:rPr>
          <w:sz w:val="28"/>
          <w:szCs w:val="28"/>
        </w:rPr>
        <w:t xml:space="preserve">a </w:t>
      </w:r>
      <w:r w:rsidR="004C50EA" w:rsidRPr="003877E2">
        <w:rPr>
          <w:sz w:val="28"/>
          <w:szCs w:val="28"/>
        </w:rPr>
        <w:t>second option cancellation agreement concluded on 16 August 2010. He further sought a reversal of the creation of a loan account under which PIF purportedly owed Johnny R6</w:t>
      </w:r>
      <w:r w:rsidR="00C94378" w:rsidRPr="003877E2">
        <w:rPr>
          <w:sz w:val="28"/>
          <w:szCs w:val="28"/>
        </w:rPr>
        <w:t>,</w:t>
      </w:r>
      <w:r w:rsidR="004C50EA" w:rsidRPr="003877E2">
        <w:rPr>
          <w:sz w:val="28"/>
          <w:szCs w:val="28"/>
        </w:rPr>
        <w:t xml:space="preserve">7 million, and to also reclaim R500 000 paid by PIF to Johnny in February and March 2012 in purported reduction of the said loan account. </w:t>
      </w:r>
      <w:r w:rsidR="00FC5470" w:rsidRPr="003877E2">
        <w:rPr>
          <w:sz w:val="28"/>
          <w:szCs w:val="28"/>
        </w:rPr>
        <w:t xml:space="preserve">The high court declared the option cancellation void </w:t>
      </w:r>
      <w:r w:rsidR="00FC5470" w:rsidRPr="003877E2">
        <w:rPr>
          <w:i/>
          <w:sz w:val="28"/>
          <w:szCs w:val="28"/>
        </w:rPr>
        <w:t>ab origine</w:t>
      </w:r>
      <w:r w:rsidR="00FC5470" w:rsidRPr="003877E2">
        <w:rPr>
          <w:sz w:val="28"/>
          <w:szCs w:val="28"/>
        </w:rPr>
        <w:t xml:space="preserve"> and ordered Oaker and Johnny to reimburse PIF the value of the option. </w:t>
      </w:r>
      <w:r w:rsidR="0049650F" w:rsidRPr="003877E2">
        <w:rPr>
          <w:sz w:val="28"/>
          <w:szCs w:val="28"/>
        </w:rPr>
        <w:t>The appellants accept that the</w:t>
      </w:r>
      <w:r w:rsidR="00C03B70" w:rsidRPr="003877E2">
        <w:rPr>
          <w:sz w:val="28"/>
          <w:szCs w:val="28"/>
        </w:rPr>
        <w:t xml:space="preserve"> high</w:t>
      </w:r>
      <w:r w:rsidR="0049650F" w:rsidRPr="003877E2">
        <w:rPr>
          <w:sz w:val="28"/>
          <w:szCs w:val="28"/>
        </w:rPr>
        <w:t xml:space="preserve"> court</w:t>
      </w:r>
      <w:r w:rsidR="00C03B70" w:rsidRPr="003877E2">
        <w:rPr>
          <w:sz w:val="28"/>
          <w:szCs w:val="28"/>
        </w:rPr>
        <w:t>’s</w:t>
      </w:r>
      <w:r w:rsidR="0049650F" w:rsidRPr="003877E2">
        <w:rPr>
          <w:sz w:val="28"/>
          <w:szCs w:val="28"/>
        </w:rPr>
        <w:t xml:space="preserve"> order was erroneous </w:t>
      </w:r>
      <w:r w:rsidR="00B83726" w:rsidRPr="003877E2">
        <w:rPr>
          <w:sz w:val="28"/>
          <w:szCs w:val="28"/>
        </w:rPr>
        <w:t xml:space="preserve">in </w:t>
      </w:r>
      <w:r w:rsidR="0049650F" w:rsidRPr="003877E2">
        <w:rPr>
          <w:sz w:val="28"/>
          <w:szCs w:val="28"/>
        </w:rPr>
        <w:t>not granting the further consequential relief. For this reason,</w:t>
      </w:r>
      <w:r w:rsidR="003C5EAB" w:rsidRPr="003877E2">
        <w:rPr>
          <w:sz w:val="28"/>
          <w:szCs w:val="28"/>
        </w:rPr>
        <w:t xml:space="preserve"> </w:t>
      </w:r>
      <w:r w:rsidR="00C03B70" w:rsidRPr="003877E2">
        <w:rPr>
          <w:sz w:val="28"/>
          <w:szCs w:val="28"/>
        </w:rPr>
        <w:t xml:space="preserve">the order in this claim is </w:t>
      </w:r>
      <w:r w:rsidR="003C5EAB" w:rsidRPr="003877E2">
        <w:rPr>
          <w:sz w:val="28"/>
          <w:szCs w:val="28"/>
        </w:rPr>
        <w:t>also the subject of the cross-appeal.</w:t>
      </w:r>
    </w:p>
    <w:p w14:paraId="2F514DE3" w14:textId="77777777" w:rsidR="006D1982" w:rsidRPr="00FB564C" w:rsidRDefault="006D1982">
      <w:pPr>
        <w:pStyle w:val="ListParagraph"/>
        <w:rPr>
          <w:sz w:val="28"/>
          <w:szCs w:val="28"/>
        </w:rPr>
      </w:pPr>
    </w:p>
    <w:p w14:paraId="5D25D91A" w14:textId="75BCE867" w:rsidR="00C03B70" w:rsidRPr="003877E2" w:rsidRDefault="003877E2" w:rsidP="003877E2">
      <w:pPr>
        <w:rPr>
          <w:sz w:val="28"/>
          <w:szCs w:val="28"/>
        </w:rPr>
      </w:pPr>
      <w:r w:rsidRPr="00FB564C">
        <w:rPr>
          <w:sz w:val="28"/>
          <w:szCs w:val="28"/>
        </w:rPr>
        <w:t>[29]</w:t>
      </w:r>
      <w:r w:rsidRPr="00FB564C">
        <w:rPr>
          <w:sz w:val="28"/>
          <w:szCs w:val="28"/>
        </w:rPr>
        <w:tab/>
      </w:r>
      <w:r w:rsidR="0014308F" w:rsidRPr="003877E2">
        <w:rPr>
          <w:sz w:val="28"/>
          <w:szCs w:val="28"/>
        </w:rPr>
        <w:t xml:space="preserve">The high court also made various </w:t>
      </w:r>
      <w:r w:rsidR="00C03B70" w:rsidRPr="003877E2">
        <w:rPr>
          <w:sz w:val="28"/>
          <w:szCs w:val="28"/>
        </w:rPr>
        <w:t>declaratory orders,</w:t>
      </w:r>
      <w:r w:rsidR="0014308F" w:rsidRPr="003877E2">
        <w:rPr>
          <w:sz w:val="28"/>
          <w:szCs w:val="28"/>
        </w:rPr>
        <w:t xml:space="preserve"> relating to </w:t>
      </w:r>
      <w:r w:rsidR="009934A5" w:rsidRPr="003877E2">
        <w:rPr>
          <w:sz w:val="28"/>
          <w:szCs w:val="28"/>
        </w:rPr>
        <w:t xml:space="preserve">the </w:t>
      </w:r>
      <w:r w:rsidR="0014308F" w:rsidRPr="003877E2">
        <w:rPr>
          <w:sz w:val="28"/>
          <w:szCs w:val="28"/>
        </w:rPr>
        <w:t xml:space="preserve">valuation of the land in </w:t>
      </w:r>
      <w:r w:rsidR="009934A5" w:rsidRPr="003877E2">
        <w:rPr>
          <w:sz w:val="28"/>
          <w:szCs w:val="28"/>
        </w:rPr>
        <w:t xml:space="preserve">respect of </w:t>
      </w:r>
      <w:r w:rsidR="0014308F" w:rsidRPr="003877E2">
        <w:rPr>
          <w:sz w:val="28"/>
          <w:szCs w:val="28"/>
        </w:rPr>
        <w:t>the properties. It</w:t>
      </w:r>
      <w:r w:rsidR="00C03B70" w:rsidRPr="003877E2">
        <w:rPr>
          <w:sz w:val="28"/>
          <w:szCs w:val="28"/>
        </w:rPr>
        <w:t xml:space="preserve"> </w:t>
      </w:r>
      <w:r w:rsidR="00EE43C1" w:rsidRPr="003877E2">
        <w:rPr>
          <w:sz w:val="28"/>
          <w:szCs w:val="28"/>
        </w:rPr>
        <w:t xml:space="preserve">further </w:t>
      </w:r>
      <w:r w:rsidR="0014308F" w:rsidRPr="003877E2">
        <w:rPr>
          <w:sz w:val="28"/>
          <w:szCs w:val="28"/>
        </w:rPr>
        <w:t xml:space="preserve">ordered costs in favour of the </w:t>
      </w:r>
      <w:r w:rsidR="00C03B70" w:rsidRPr="003877E2">
        <w:rPr>
          <w:sz w:val="28"/>
          <w:szCs w:val="28"/>
        </w:rPr>
        <w:t>Curator</w:t>
      </w:r>
      <w:r w:rsidR="005A653F" w:rsidRPr="003877E2">
        <w:rPr>
          <w:sz w:val="28"/>
          <w:szCs w:val="28"/>
        </w:rPr>
        <w:t>,</w:t>
      </w:r>
      <w:r w:rsidR="00C03B70" w:rsidRPr="003877E2">
        <w:rPr>
          <w:sz w:val="28"/>
          <w:szCs w:val="28"/>
        </w:rPr>
        <w:t xml:space="preserve"> including the</w:t>
      </w:r>
      <w:r w:rsidR="0014308F" w:rsidRPr="003877E2">
        <w:rPr>
          <w:sz w:val="28"/>
          <w:szCs w:val="28"/>
        </w:rPr>
        <w:t xml:space="preserve"> costs </w:t>
      </w:r>
      <w:r w:rsidR="00C03B70" w:rsidRPr="003877E2">
        <w:rPr>
          <w:sz w:val="28"/>
          <w:szCs w:val="28"/>
        </w:rPr>
        <w:t>of three</w:t>
      </w:r>
      <w:r w:rsidR="0014308F" w:rsidRPr="003877E2">
        <w:rPr>
          <w:sz w:val="28"/>
          <w:szCs w:val="28"/>
        </w:rPr>
        <w:t xml:space="preserve"> counsel, jointly and severally</w:t>
      </w:r>
      <w:r w:rsidR="005A653F" w:rsidRPr="003877E2">
        <w:rPr>
          <w:sz w:val="28"/>
          <w:szCs w:val="28"/>
        </w:rPr>
        <w:t>,</w:t>
      </w:r>
      <w:r w:rsidR="0014308F" w:rsidRPr="003877E2">
        <w:rPr>
          <w:sz w:val="28"/>
          <w:szCs w:val="28"/>
        </w:rPr>
        <w:t xml:space="preserve"> but limited the liability of Clint and Pillay </w:t>
      </w:r>
      <w:r w:rsidR="00B83726" w:rsidRPr="003877E2">
        <w:rPr>
          <w:sz w:val="28"/>
          <w:szCs w:val="28"/>
        </w:rPr>
        <w:t xml:space="preserve">to </w:t>
      </w:r>
      <w:r w:rsidR="0014308F" w:rsidRPr="003877E2">
        <w:rPr>
          <w:sz w:val="28"/>
          <w:szCs w:val="28"/>
        </w:rPr>
        <w:t>20%</w:t>
      </w:r>
      <w:r w:rsidR="00C03B70" w:rsidRPr="003877E2">
        <w:rPr>
          <w:sz w:val="28"/>
          <w:szCs w:val="28"/>
        </w:rPr>
        <w:t>. E</w:t>
      </w:r>
      <w:r w:rsidR="006406ED" w:rsidRPr="003877E2">
        <w:rPr>
          <w:sz w:val="28"/>
          <w:szCs w:val="28"/>
        </w:rPr>
        <w:t xml:space="preserve">ach party was ordered to pay its own </w:t>
      </w:r>
      <w:r w:rsidR="004D79C2" w:rsidRPr="003877E2">
        <w:rPr>
          <w:sz w:val="28"/>
          <w:szCs w:val="28"/>
        </w:rPr>
        <w:t>costs of</w:t>
      </w:r>
      <w:r w:rsidR="00B83726" w:rsidRPr="003877E2">
        <w:rPr>
          <w:sz w:val="28"/>
          <w:szCs w:val="28"/>
        </w:rPr>
        <w:t xml:space="preserve"> the </w:t>
      </w:r>
      <w:r w:rsidR="006406ED" w:rsidRPr="003877E2">
        <w:rPr>
          <w:sz w:val="28"/>
          <w:szCs w:val="28"/>
        </w:rPr>
        <w:t>expert witnesses</w:t>
      </w:r>
      <w:r w:rsidR="0014308F" w:rsidRPr="003877E2">
        <w:rPr>
          <w:sz w:val="28"/>
          <w:szCs w:val="28"/>
        </w:rPr>
        <w:t xml:space="preserve">.  </w:t>
      </w:r>
    </w:p>
    <w:p w14:paraId="100699E8" w14:textId="77777777" w:rsidR="00C03B70" w:rsidRPr="00FB564C" w:rsidRDefault="00C03B70">
      <w:pPr>
        <w:pStyle w:val="ListParagraph"/>
        <w:rPr>
          <w:sz w:val="28"/>
          <w:szCs w:val="28"/>
        </w:rPr>
      </w:pPr>
    </w:p>
    <w:p w14:paraId="103B6BD2" w14:textId="7F74BE1C" w:rsidR="00EA0D29" w:rsidRPr="003877E2" w:rsidRDefault="003877E2" w:rsidP="003877E2">
      <w:pPr>
        <w:rPr>
          <w:sz w:val="28"/>
          <w:szCs w:val="28"/>
        </w:rPr>
      </w:pPr>
      <w:r w:rsidRPr="00FB564C">
        <w:rPr>
          <w:sz w:val="28"/>
          <w:szCs w:val="28"/>
        </w:rPr>
        <w:t>[30]</w:t>
      </w:r>
      <w:r w:rsidRPr="00FB564C">
        <w:rPr>
          <w:sz w:val="28"/>
          <w:szCs w:val="28"/>
        </w:rPr>
        <w:tab/>
      </w:r>
      <w:r w:rsidR="0014308F" w:rsidRPr="003877E2">
        <w:rPr>
          <w:sz w:val="28"/>
          <w:szCs w:val="28"/>
        </w:rPr>
        <w:t>F</w:t>
      </w:r>
      <w:r w:rsidR="006D1982" w:rsidRPr="003877E2">
        <w:rPr>
          <w:sz w:val="28"/>
          <w:szCs w:val="28"/>
        </w:rPr>
        <w:t xml:space="preserve">or their part, the appellants appeal against all the orders of the high court except </w:t>
      </w:r>
      <w:r w:rsidR="00E11677" w:rsidRPr="003877E2">
        <w:rPr>
          <w:sz w:val="28"/>
          <w:szCs w:val="28"/>
        </w:rPr>
        <w:t>that which relates</w:t>
      </w:r>
      <w:r w:rsidR="006406ED" w:rsidRPr="003877E2">
        <w:rPr>
          <w:sz w:val="28"/>
          <w:szCs w:val="28"/>
        </w:rPr>
        <w:t xml:space="preserve"> </w:t>
      </w:r>
      <w:r w:rsidR="006D1982" w:rsidRPr="003877E2">
        <w:rPr>
          <w:sz w:val="28"/>
          <w:szCs w:val="28"/>
        </w:rPr>
        <w:t xml:space="preserve">to the second </w:t>
      </w:r>
      <w:r w:rsidR="006406ED" w:rsidRPr="003877E2">
        <w:rPr>
          <w:sz w:val="28"/>
          <w:szCs w:val="28"/>
        </w:rPr>
        <w:t>claim, which was dismissed</w:t>
      </w:r>
      <w:r w:rsidR="00724CCF" w:rsidRPr="003877E2">
        <w:rPr>
          <w:sz w:val="28"/>
          <w:szCs w:val="28"/>
        </w:rPr>
        <w:t>,</w:t>
      </w:r>
      <w:r w:rsidR="0014308F" w:rsidRPr="003877E2">
        <w:rPr>
          <w:sz w:val="28"/>
          <w:szCs w:val="28"/>
        </w:rPr>
        <w:t xml:space="preserve"> </w:t>
      </w:r>
      <w:r w:rsidR="006406ED" w:rsidRPr="003877E2">
        <w:rPr>
          <w:sz w:val="28"/>
          <w:szCs w:val="28"/>
        </w:rPr>
        <w:t>and</w:t>
      </w:r>
      <w:r w:rsidR="00E11677" w:rsidRPr="003877E2">
        <w:rPr>
          <w:sz w:val="28"/>
          <w:szCs w:val="28"/>
        </w:rPr>
        <w:t xml:space="preserve"> those relating to</w:t>
      </w:r>
      <w:r w:rsidR="006406ED" w:rsidRPr="003877E2">
        <w:rPr>
          <w:sz w:val="28"/>
          <w:szCs w:val="28"/>
        </w:rPr>
        <w:t xml:space="preserve"> certain valuations</w:t>
      </w:r>
      <w:r w:rsidR="00C03B70" w:rsidRPr="003877E2">
        <w:rPr>
          <w:sz w:val="28"/>
          <w:szCs w:val="28"/>
        </w:rPr>
        <w:t xml:space="preserve"> and related variables</w:t>
      </w:r>
      <w:r w:rsidR="006406ED" w:rsidRPr="003877E2">
        <w:rPr>
          <w:sz w:val="28"/>
          <w:szCs w:val="28"/>
        </w:rPr>
        <w:t>.</w:t>
      </w:r>
      <w:r w:rsidR="00EE43C1" w:rsidRPr="003877E2">
        <w:rPr>
          <w:sz w:val="28"/>
          <w:szCs w:val="28"/>
        </w:rPr>
        <w:t xml:space="preserve"> </w:t>
      </w:r>
    </w:p>
    <w:p w14:paraId="45ED85F6" w14:textId="77777777" w:rsidR="00EA0D29" w:rsidRPr="00FB564C" w:rsidRDefault="00EA0D29" w:rsidP="008F4835">
      <w:pPr>
        <w:pStyle w:val="ListParagraph"/>
        <w:rPr>
          <w:sz w:val="28"/>
          <w:szCs w:val="28"/>
        </w:rPr>
      </w:pPr>
    </w:p>
    <w:p w14:paraId="684B1C7D" w14:textId="3DA98816" w:rsidR="006D1982" w:rsidRPr="003877E2" w:rsidRDefault="003877E2" w:rsidP="003877E2">
      <w:pPr>
        <w:rPr>
          <w:sz w:val="28"/>
          <w:szCs w:val="28"/>
        </w:rPr>
      </w:pPr>
      <w:r w:rsidRPr="00FB564C">
        <w:rPr>
          <w:sz w:val="28"/>
          <w:szCs w:val="28"/>
        </w:rPr>
        <w:t>[31]</w:t>
      </w:r>
      <w:r w:rsidRPr="00FB564C">
        <w:rPr>
          <w:sz w:val="28"/>
          <w:szCs w:val="28"/>
        </w:rPr>
        <w:tab/>
      </w:r>
      <w:r w:rsidR="00704E29" w:rsidRPr="003877E2">
        <w:rPr>
          <w:sz w:val="28"/>
          <w:szCs w:val="28"/>
        </w:rPr>
        <w:t xml:space="preserve">Against that background, </w:t>
      </w:r>
      <w:r w:rsidR="00B83726" w:rsidRPr="003877E2">
        <w:rPr>
          <w:sz w:val="28"/>
          <w:szCs w:val="28"/>
        </w:rPr>
        <w:t xml:space="preserve">it may be convenient </w:t>
      </w:r>
      <w:r w:rsidR="00704E29" w:rsidRPr="003877E2">
        <w:rPr>
          <w:sz w:val="28"/>
          <w:szCs w:val="28"/>
        </w:rPr>
        <w:t xml:space="preserve">to </w:t>
      </w:r>
      <w:r w:rsidR="00B83726" w:rsidRPr="003877E2">
        <w:rPr>
          <w:sz w:val="28"/>
          <w:szCs w:val="28"/>
        </w:rPr>
        <w:t xml:space="preserve">first </w:t>
      </w:r>
      <w:r w:rsidR="00704E29" w:rsidRPr="003877E2">
        <w:rPr>
          <w:sz w:val="28"/>
          <w:szCs w:val="28"/>
        </w:rPr>
        <w:t xml:space="preserve">deal with </w:t>
      </w:r>
      <w:r w:rsidR="00CB1B1D" w:rsidRPr="003877E2">
        <w:rPr>
          <w:sz w:val="28"/>
          <w:szCs w:val="28"/>
        </w:rPr>
        <w:t xml:space="preserve">the </w:t>
      </w:r>
      <w:r w:rsidR="00704E29" w:rsidRPr="003877E2">
        <w:rPr>
          <w:sz w:val="28"/>
          <w:szCs w:val="28"/>
        </w:rPr>
        <w:t>application to stay the appeal and cross-appeal.</w:t>
      </w:r>
      <w:r w:rsidR="00882DEB" w:rsidRPr="003877E2">
        <w:rPr>
          <w:sz w:val="28"/>
          <w:szCs w:val="28"/>
        </w:rPr>
        <w:t xml:space="preserve"> </w:t>
      </w:r>
    </w:p>
    <w:p w14:paraId="2490E4FE" w14:textId="77777777" w:rsidR="00882DEB" w:rsidRPr="00FB564C" w:rsidRDefault="00882DEB">
      <w:pPr>
        <w:pStyle w:val="ListParagraph"/>
        <w:rPr>
          <w:sz w:val="28"/>
          <w:szCs w:val="28"/>
        </w:rPr>
      </w:pPr>
    </w:p>
    <w:p w14:paraId="65ADA83B" w14:textId="77777777" w:rsidR="00B27A96" w:rsidRPr="00FB564C" w:rsidRDefault="00A86A51" w:rsidP="00100403">
      <w:pPr>
        <w:rPr>
          <w:b/>
          <w:sz w:val="28"/>
          <w:szCs w:val="28"/>
        </w:rPr>
      </w:pPr>
      <w:r w:rsidRPr="00FB564C">
        <w:rPr>
          <w:b/>
          <w:sz w:val="28"/>
          <w:szCs w:val="28"/>
        </w:rPr>
        <w:lastRenderedPageBreak/>
        <w:t xml:space="preserve">The </w:t>
      </w:r>
      <w:r w:rsidR="00451AF1" w:rsidRPr="00FB564C">
        <w:rPr>
          <w:b/>
          <w:sz w:val="28"/>
          <w:szCs w:val="28"/>
        </w:rPr>
        <w:t>stay</w:t>
      </w:r>
      <w:r w:rsidRPr="00FB564C">
        <w:rPr>
          <w:b/>
          <w:sz w:val="28"/>
          <w:szCs w:val="28"/>
        </w:rPr>
        <w:t xml:space="preserve"> application </w:t>
      </w:r>
    </w:p>
    <w:p w14:paraId="521BD5F8" w14:textId="00ED6CA5" w:rsidR="006400C9" w:rsidRPr="003877E2" w:rsidRDefault="003877E2" w:rsidP="003877E2">
      <w:pPr>
        <w:rPr>
          <w:sz w:val="28"/>
          <w:szCs w:val="28"/>
        </w:rPr>
      </w:pPr>
      <w:r w:rsidRPr="00FB564C">
        <w:rPr>
          <w:sz w:val="28"/>
          <w:szCs w:val="28"/>
        </w:rPr>
        <w:t>[32]</w:t>
      </w:r>
      <w:r w:rsidRPr="00FB564C">
        <w:rPr>
          <w:sz w:val="28"/>
          <w:szCs w:val="28"/>
        </w:rPr>
        <w:tab/>
      </w:r>
      <w:r w:rsidR="00037208" w:rsidRPr="003877E2">
        <w:rPr>
          <w:sz w:val="28"/>
          <w:szCs w:val="28"/>
        </w:rPr>
        <w:t xml:space="preserve">The stay application </w:t>
      </w:r>
      <w:r w:rsidR="00B83726" w:rsidRPr="003877E2">
        <w:rPr>
          <w:sz w:val="28"/>
          <w:szCs w:val="28"/>
        </w:rPr>
        <w:t xml:space="preserve">arises from </w:t>
      </w:r>
      <w:r w:rsidR="00037208" w:rsidRPr="003877E2">
        <w:rPr>
          <w:sz w:val="28"/>
          <w:szCs w:val="28"/>
        </w:rPr>
        <w:t xml:space="preserve">an urgent application brought by RGH in </w:t>
      </w:r>
      <w:r w:rsidR="0086539E" w:rsidRPr="003877E2">
        <w:rPr>
          <w:sz w:val="28"/>
          <w:szCs w:val="28"/>
        </w:rPr>
        <w:t>December 2019 in the Western Cape Division of the High Court, seeking an order terminating</w:t>
      </w:r>
      <w:r w:rsidR="00301BD9" w:rsidRPr="003877E2">
        <w:rPr>
          <w:sz w:val="28"/>
          <w:szCs w:val="28"/>
        </w:rPr>
        <w:t xml:space="preserve"> the Curator’s curatorship of RAM, alternatively of all the Rockland entities</w:t>
      </w:r>
      <w:r w:rsidR="00ED30AB" w:rsidRPr="003877E2">
        <w:rPr>
          <w:sz w:val="28"/>
          <w:szCs w:val="28"/>
        </w:rPr>
        <w:t>,</w:t>
      </w:r>
      <w:r w:rsidR="00301BD9" w:rsidRPr="003877E2">
        <w:rPr>
          <w:sz w:val="28"/>
          <w:szCs w:val="28"/>
        </w:rPr>
        <w:t xml:space="preserve"> </w:t>
      </w:r>
      <w:r w:rsidR="009934A5" w:rsidRPr="003877E2">
        <w:rPr>
          <w:sz w:val="28"/>
          <w:szCs w:val="28"/>
        </w:rPr>
        <w:t xml:space="preserve">and </w:t>
      </w:r>
      <w:r w:rsidR="00301BD9" w:rsidRPr="003877E2">
        <w:rPr>
          <w:sz w:val="28"/>
          <w:szCs w:val="28"/>
        </w:rPr>
        <w:t xml:space="preserve">replacing </w:t>
      </w:r>
      <w:r w:rsidR="00D81C7E" w:rsidRPr="003877E2">
        <w:rPr>
          <w:sz w:val="28"/>
          <w:szCs w:val="28"/>
        </w:rPr>
        <w:t xml:space="preserve">him </w:t>
      </w:r>
      <w:r w:rsidR="00301BD9" w:rsidRPr="003877E2">
        <w:rPr>
          <w:sz w:val="28"/>
          <w:szCs w:val="28"/>
        </w:rPr>
        <w:t>with another curator.</w:t>
      </w:r>
      <w:r w:rsidR="0086539E" w:rsidRPr="003877E2">
        <w:rPr>
          <w:sz w:val="28"/>
          <w:szCs w:val="28"/>
        </w:rPr>
        <w:t xml:space="preserve"> </w:t>
      </w:r>
      <w:r w:rsidR="00F26E50" w:rsidRPr="003877E2">
        <w:rPr>
          <w:sz w:val="28"/>
          <w:szCs w:val="28"/>
        </w:rPr>
        <w:t>The application served before Allie</w:t>
      </w:r>
      <w:r w:rsidR="007914DB" w:rsidRPr="003877E2">
        <w:rPr>
          <w:sz w:val="28"/>
          <w:szCs w:val="28"/>
        </w:rPr>
        <w:t> </w:t>
      </w:r>
      <w:r w:rsidR="00F26E50" w:rsidRPr="003877E2">
        <w:rPr>
          <w:sz w:val="28"/>
          <w:szCs w:val="28"/>
        </w:rPr>
        <w:t>J</w:t>
      </w:r>
      <w:r w:rsidR="009934A5" w:rsidRPr="003877E2">
        <w:rPr>
          <w:sz w:val="28"/>
          <w:szCs w:val="28"/>
        </w:rPr>
        <w:t>,</w:t>
      </w:r>
      <w:r w:rsidR="00F26E50" w:rsidRPr="003877E2">
        <w:rPr>
          <w:sz w:val="28"/>
          <w:szCs w:val="28"/>
        </w:rPr>
        <w:t xml:space="preserve"> </w:t>
      </w:r>
      <w:r w:rsidR="007C6CEF" w:rsidRPr="003877E2">
        <w:rPr>
          <w:sz w:val="28"/>
          <w:szCs w:val="28"/>
        </w:rPr>
        <w:t xml:space="preserve">who </w:t>
      </w:r>
      <w:r w:rsidR="00F26E50" w:rsidRPr="003877E2">
        <w:rPr>
          <w:sz w:val="28"/>
          <w:szCs w:val="28"/>
        </w:rPr>
        <w:t>dismissed it on 9 September 2020, upholding the Curator’s contention that it did not owe a fiduciary duty to RAM</w:t>
      </w:r>
      <w:r w:rsidR="002F141A" w:rsidRPr="003877E2">
        <w:rPr>
          <w:sz w:val="28"/>
          <w:szCs w:val="28"/>
        </w:rPr>
        <w:t>,</w:t>
      </w:r>
      <w:r w:rsidR="00D17ECF" w:rsidRPr="003877E2">
        <w:rPr>
          <w:sz w:val="28"/>
          <w:szCs w:val="28"/>
        </w:rPr>
        <w:t xml:space="preserve"> that </w:t>
      </w:r>
      <w:r w:rsidR="002F141A" w:rsidRPr="003877E2">
        <w:rPr>
          <w:sz w:val="28"/>
          <w:szCs w:val="28"/>
        </w:rPr>
        <w:t>the application amounted to</w:t>
      </w:r>
      <w:r w:rsidR="00D17ECF" w:rsidRPr="003877E2">
        <w:rPr>
          <w:sz w:val="28"/>
          <w:szCs w:val="28"/>
        </w:rPr>
        <w:t xml:space="preserve"> an abuse of process</w:t>
      </w:r>
      <w:r w:rsidR="002F141A" w:rsidRPr="003877E2">
        <w:rPr>
          <w:sz w:val="28"/>
          <w:szCs w:val="28"/>
        </w:rPr>
        <w:t>,</w:t>
      </w:r>
      <w:r w:rsidR="00D17ECF" w:rsidRPr="003877E2">
        <w:rPr>
          <w:sz w:val="28"/>
          <w:szCs w:val="28"/>
        </w:rPr>
        <w:t xml:space="preserve"> </w:t>
      </w:r>
      <w:r w:rsidR="002F141A" w:rsidRPr="003877E2">
        <w:rPr>
          <w:sz w:val="28"/>
          <w:szCs w:val="28"/>
        </w:rPr>
        <w:t>was</w:t>
      </w:r>
      <w:r w:rsidR="00D17ECF" w:rsidRPr="003877E2">
        <w:rPr>
          <w:sz w:val="28"/>
          <w:szCs w:val="28"/>
        </w:rPr>
        <w:t xml:space="preserve"> </w:t>
      </w:r>
      <w:r w:rsidR="00D17ECF" w:rsidRPr="003877E2">
        <w:rPr>
          <w:i/>
          <w:sz w:val="28"/>
          <w:szCs w:val="28"/>
        </w:rPr>
        <w:t>mala fide</w:t>
      </w:r>
      <w:r w:rsidR="00CA7E85" w:rsidRPr="003877E2">
        <w:rPr>
          <w:i/>
          <w:sz w:val="28"/>
          <w:szCs w:val="28"/>
        </w:rPr>
        <w:t xml:space="preserve"> </w:t>
      </w:r>
      <w:r w:rsidR="00CA7E85" w:rsidRPr="003877E2">
        <w:rPr>
          <w:sz w:val="28"/>
          <w:szCs w:val="28"/>
        </w:rPr>
        <w:t>a</w:t>
      </w:r>
      <w:r w:rsidR="002F141A" w:rsidRPr="003877E2">
        <w:rPr>
          <w:sz w:val="28"/>
          <w:szCs w:val="28"/>
        </w:rPr>
        <w:t>nd</w:t>
      </w:r>
      <w:r w:rsidR="00D17ECF" w:rsidRPr="003877E2">
        <w:rPr>
          <w:sz w:val="28"/>
          <w:szCs w:val="28"/>
        </w:rPr>
        <w:t xml:space="preserve"> it was a strategy by Oaker to regain control of RAM and the bewind trusts, so as to thwart the whole purpose of the curatorship</w:t>
      </w:r>
      <w:r w:rsidR="00F26E50" w:rsidRPr="003877E2">
        <w:rPr>
          <w:sz w:val="28"/>
          <w:szCs w:val="28"/>
        </w:rPr>
        <w:t xml:space="preserve">. </w:t>
      </w:r>
      <w:r w:rsidR="002F141A" w:rsidRPr="003877E2">
        <w:rPr>
          <w:sz w:val="28"/>
          <w:szCs w:val="28"/>
        </w:rPr>
        <w:t>Leave to appeal Allie J’s order was granted by t</w:t>
      </w:r>
      <w:r w:rsidR="003E27C4" w:rsidRPr="003877E2">
        <w:rPr>
          <w:sz w:val="28"/>
          <w:szCs w:val="28"/>
        </w:rPr>
        <w:t xml:space="preserve">his </w:t>
      </w:r>
      <w:r w:rsidR="00FB2815" w:rsidRPr="003877E2">
        <w:rPr>
          <w:sz w:val="28"/>
          <w:szCs w:val="28"/>
        </w:rPr>
        <w:t>Court</w:t>
      </w:r>
      <w:r w:rsidR="003E27C4" w:rsidRPr="003877E2">
        <w:rPr>
          <w:sz w:val="28"/>
          <w:szCs w:val="28"/>
        </w:rPr>
        <w:t xml:space="preserve"> to the full court</w:t>
      </w:r>
      <w:r w:rsidR="00FB2815" w:rsidRPr="003877E2">
        <w:rPr>
          <w:sz w:val="28"/>
          <w:szCs w:val="28"/>
        </w:rPr>
        <w:t xml:space="preserve"> on 12</w:t>
      </w:r>
      <w:r w:rsidR="007914DB" w:rsidRPr="003877E2">
        <w:rPr>
          <w:sz w:val="28"/>
          <w:szCs w:val="28"/>
        </w:rPr>
        <w:t> </w:t>
      </w:r>
      <w:r w:rsidR="00FB2815" w:rsidRPr="003877E2">
        <w:rPr>
          <w:sz w:val="28"/>
          <w:szCs w:val="28"/>
        </w:rPr>
        <w:t>February 2021.</w:t>
      </w:r>
    </w:p>
    <w:p w14:paraId="10EC7293" w14:textId="77777777" w:rsidR="007C6CEF" w:rsidRPr="00FB564C" w:rsidRDefault="007C6CEF" w:rsidP="00100403">
      <w:pPr>
        <w:pStyle w:val="ListParagraph"/>
        <w:ind w:left="0"/>
        <w:rPr>
          <w:sz w:val="28"/>
          <w:szCs w:val="28"/>
        </w:rPr>
      </w:pPr>
    </w:p>
    <w:p w14:paraId="055487A1" w14:textId="0063850F" w:rsidR="000267BF" w:rsidRPr="003877E2" w:rsidRDefault="003877E2" w:rsidP="003877E2">
      <w:pPr>
        <w:rPr>
          <w:sz w:val="28"/>
          <w:szCs w:val="28"/>
        </w:rPr>
      </w:pPr>
      <w:r w:rsidRPr="00FB564C">
        <w:rPr>
          <w:sz w:val="28"/>
          <w:szCs w:val="28"/>
        </w:rPr>
        <w:t>[33]</w:t>
      </w:r>
      <w:r w:rsidRPr="00FB564C">
        <w:rPr>
          <w:sz w:val="28"/>
          <w:szCs w:val="28"/>
        </w:rPr>
        <w:tab/>
      </w:r>
      <w:r w:rsidR="003E27C4" w:rsidRPr="003877E2">
        <w:rPr>
          <w:sz w:val="28"/>
          <w:szCs w:val="28"/>
        </w:rPr>
        <w:t>On 11 February 2022, the full court dismissed RGH’s appeal</w:t>
      </w:r>
      <w:r w:rsidR="000D4AB7" w:rsidRPr="003877E2">
        <w:rPr>
          <w:sz w:val="28"/>
          <w:szCs w:val="28"/>
        </w:rPr>
        <w:t xml:space="preserve"> </w:t>
      </w:r>
      <w:r w:rsidR="002F141A" w:rsidRPr="003877E2">
        <w:rPr>
          <w:sz w:val="28"/>
          <w:szCs w:val="28"/>
        </w:rPr>
        <w:t>finding</w:t>
      </w:r>
      <w:r w:rsidR="000D4AB7" w:rsidRPr="003877E2">
        <w:rPr>
          <w:sz w:val="28"/>
          <w:szCs w:val="28"/>
        </w:rPr>
        <w:t xml:space="preserve"> that ‘[i]f the curator was to be removed from the business of the collective </w:t>
      </w:r>
      <w:r w:rsidR="00EF4EEA" w:rsidRPr="003877E2">
        <w:rPr>
          <w:sz w:val="28"/>
          <w:szCs w:val="28"/>
        </w:rPr>
        <w:t xml:space="preserve">investment </w:t>
      </w:r>
      <w:r w:rsidR="000D4AB7" w:rsidRPr="003877E2">
        <w:rPr>
          <w:sz w:val="28"/>
          <w:szCs w:val="28"/>
        </w:rPr>
        <w:t xml:space="preserve">scheme, then in that event, the controlling mind of the business would simply again control the </w:t>
      </w:r>
      <w:r w:rsidR="00EF4EEA" w:rsidRPr="003877E2">
        <w:rPr>
          <w:sz w:val="28"/>
          <w:szCs w:val="28"/>
        </w:rPr>
        <w:t>“</w:t>
      </w:r>
      <w:r w:rsidR="000D4AB7" w:rsidRPr="003877E2">
        <w:rPr>
          <w:sz w:val="28"/>
          <w:szCs w:val="28"/>
        </w:rPr>
        <w:t>business</w:t>
      </w:r>
      <w:r w:rsidR="00EF4EEA" w:rsidRPr="003877E2">
        <w:rPr>
          <w:sz w:val="28"/>
          <w:szCs w:val="28"/>
        </w:rPr>
        <w:t>”</w:t>
      </w:r>
      <w:r w:rsidR="000D4AB7" w:rsidRPr="003877E2">
        <w:rPr>
          <w:sz w:val="28"/>
          <w:szCs w:val="28"/>
        </w:rPr>
        <w:t xml:space="preserve"> and the various entities which conducted it, to the prejudice and ultimate detriment of the investors’</w:t>
      </w:r>
      <w:r w:rsidR="00ED30AB" w:rsidRPr="003877E2">
        <w:rPr>
          <w:sz w:val="28"/>
          <w:szCs w:val="28"/>
        </w:rPr>
        <w:t>.</w:t>
      </w:r>
      <w:r w:rsidR="004E664E" w:rsidRPr="003877E2">
        <w:rPr>
          <w:sz w:val="28"/>
          <w:szCs w:val="28"/>
        </w:rPr>
        <w:t xml:space="preserve"> </w:t>
      </w:r>
    </w:p>
    <w:p w14:paraId="541E4B15" w14:textId="77777777" w:rsidR="00EE43C1" w:rsidRPr="00FB564C" w:rsidRDefault="00EE43C1">
      <w:pPr>
        <w:pStyle w:val="ListParagraph"/>
        <w:rPr>
          <w:sz w:val="28"/>
          <w:szCs w:val="28"/>
        </w:rPr>
      </w:pPr>
    </w:p>
    <w:p w14:paraId="16E3F12D" w14:textId="2B095C82" w:rsidR="006400C9" w:rsidRPr="003877E2" w:rsidRDefault="003877E2" w:rsidP="003877E2">
      <w:pPr>
        <w:rPr>
          <w:sz w:val="28"/>
          <w:szCs w:val="28"/>
        </w:rPr>
      </w:pPr>
      <w:r w:rsidRPr="00FB564C">
        <w:rPr>
          <w:sz w:val="28"/>
          <w:szCs w:val="28"/>
        </w:rPr>
        <w:t>[34]</w:t>
      </w:r>
      <w:r w:rsidRPr="00FB564C">
        <w:rPr>
          <w:sz w:val="28"/>
          <w:szCs w:val="28"/>
        </w:rPr>
        <w:tab/>
      </w:r>
      <w:r w:rsidR="003E27C4" w:rsidRPr="003877E2">
        <w:rPr>
          <w:sz w:val="28"/>
          <w:szCs w:val="28"/>
        </w:rPr>
        <w:t xml:space="preserve">On </w:t>
      </w:r>
      <w:r w:rsidR="00D81ABE" w:rsidRPr="003877E2">
        <w:rPr>
          <w:sz w:val="28"/>
          <w:szCs w:val="28"/>
        </w:rPr>
        <w:t>11</w:t>
      </w:r>
      <w:r w:rsidR="003E27C4" w:rsidRPr="003877E2">
        <w:rPr>
          <w:sz w:val="28"/>
          <w:szCs w:val="28"/>
        </w:rPr>
        <w:t xml:space="preserve"> March 2022, RGH approached this Court for special leave to appeal the decision of the full court</w:t>
      </w:r>
      <w:r w:rsidR="008868B2" w:rsidRPr="003877E2">
        <w:rPr>
          <w:sz w:val="28"/>
          <w:szCs w:val="28"/>
        </w:rPr>
        <w:t>, which</w:t>
      </w:r>
      <w:r w:rsidR="00D81ABE" w:rsidRPr="003877E2">
        <w:rPr>
          <w:sz w:val="28"/>
          <w:szCs w:val="28"/>
        </w:rPr>
        <w:t xml:space="preserve"> </w:t>
      </w:r>
      <w:r w:rsidR="003E27C4" w:rsidRPr="003877E2">
        <w:rPr>
          <w:sz w:val="28"/>
          <w:szCs w:val="28"/>
        </w:rPr>
        <w:t>was dismissed on 9 June 2022. Subsequent to that dismissal</w:t>
      </w:r>
      <w:r w:rsidR="00D81ABE" w:rsidRPr="003877E2">
        <w:rPr>
          <w:sz w:val="28"/>
          <w:szCs w:val="28"/>
        </w:rPr>
        <w:t>,</w:t>
      </w:r>
      <w:r w:rsidR="003E27C4" w:rsidRPr="003877E2">
        <w:rPr>
          <w:sz w:val="28"/>
          <w:szCs w:val="28"/>
        </w:rPr>
        <w:t xml:space="preserve"> RGH applied to the Constitutional Court for leave to appeal</w:t>
      </w:r>
      <w:r w:rsidR="008868B2" w:rsidRPr="003877E2">
        <w:rPr>
          <w:sz w:val="28"/>
          <w:szCs w:val="28"/>
        </w:rPr>
        <w:t>, which</w:t>
      </w:r>
      <w:r w:rsidR="00D81ABE" w:rsidRPr="003877E2">
        <w:rPr>
          <w:sz w:val="28"/>
          <w:szCs w:val="28"/>
        </w:rPr>
        <w:t xml:space="preserve"> </w:t>
      </w:r>
      <w:r w:rsidR="003E27C4" w:rsidRPr="003877E2">
        <w:rPr>
          <w:sz w:val="28"/>
          <w:szCs w:val="28"/>
        </w:rPr>
        <w:t>is currently pending</w:t>
      </w:r>
      <w:r w:rsidR="00D81ABE" w:rsidRPr="003877E2">
        <w:rPr>
          <w:sz w:val="28"/>
          <w:szCs w:val="28"/>
        </w:rPr>
        <w:t>,</w:t>
      </w:r>
      <w:r w:rsidR="001B3B79" w:rsidRPr="003877E2">
        <w:rPr>
          <w:sz w:val="28"/>
          <w:szCs w:val="28"/>
        </w:rPr>
        <w:t xml:space="preserve"> </w:t>
      </w:r>
      <w:r w:rsidR="003E27C4" w:rsidRPr="003877E2">
        <w:rPr>
          <w:sz w:val="28"/>
          <w:szCs w:val="28"/>
        </w:rPr>
        <w:t>as earlier mentioned.</w:t>
      </w:r>
    </w:p>
    <w:p w14:paraId="2282AA9B" w14:textId="77777777" w:rsidR="008A1DF5" w:rsidRPr="00FB564C" w:rsidRDefault="008A1DF5">
      <w:pPr>
        <w:pStyle w:val="ListParagraph"/>
        <w:rPr>
          <w:sz w:val="28"/>
          <w:szCs w:val="28"/>
        </w:rPr>
      </w:pPr>
    </w:p>
    <w:p w14:paraId="647A7B3D" w14:textId="42EF46DF" w:rsidR="00114EE0" w:rsidRPr="003877E2" w:rsidRDefault="003877E2" w:rsidP="003877E2">
      <w:pPr>
        <w:rPr>
          <w:sz w:val="28"/>
          <w:szCs w:val="28"/>
        </w:rPr>
      </w:pPr>
      <w:r w:rsidRPr="00FB564C">
        <w:rPr>
          <w:sz w:val="28"/>
          <w:szCs w:val="28"/>
        </w:rPr>
        <w:t>[35]</w:t>
      </w:r>
      <w:r w:rsidRPr="00FB564C">
        <w:rPr>
          <w:sz w:val="28"/>
          <w:szCs w:val="28"/>
        </w:rPr>
        <w:tab/>
      </w:r>
      <w:r w:rsidR="006F1894" w:rsidRPr="003877E2">
        <w:rPr>
          <w:sz w:val="28"/>
          <w:szCs w:val="28"/>
        </w:rPr>
        <w:t xml:space="preserve">The essence of the relief sought in the </w:t>
      </w:r>
      <w:r w:rsidR="003E27C4" w:rsidRPr="003877E2">
        <w:rPr>
          <w:sz w:val="28"/>
          <w:szCs w:val="28"/>
        </w:rPr>
        <w:t xml:space="preserve">stay application is </w:t>
      </w:r>
      <w:r w:rsidR="006F1894" w:rsidRPr="003877E2">
        <w:rPr>
          <w:sz w:val="28"/>
          <w:szCs w:val="28"/>
        </w:rPr>
        <w:t>that the Curator owed each of the entities</w:t>
      </w:r>
      <w:r w:rsidR="001B3B79" w:rsidRPr="003877E2">
        <w:rPr>
          <w:sz w:val="28"/>
          <w:szCs w:val="28"/>
        </w:rPr>
        <w:t xml:space="preserve"> under curatorship </w:t>
      </w:r>
      <w:r w:rsidR="006F1894" w:rsidRPr="003877E2">
        <w:rPr>
          <w:sz w:val="28"/>
          <w:szCs w:val="28"/>
        </w:rPr>
        <w:t xml:space="preserve">a fiduciary </w:t>
      </w:r>
      <w:r w:rsidR="00D22541" w:rsidRPr="003877E2">
        <w:rPr>
          <w:sz w:val="28"/>
          <w:szCs w:val="28"/>
        </w:rPr>
        <w:t>duty, which</w:t>
      </w:r>
      <w:r w:rsidR="006F1894" w:rsidRPr="003877E2">
        <w:rPr>
          <w:sz w:val="28"/>
          <w:szCs w:val="28"/>
        </w:rPr>
        <w:t xml:space="preserve"> he could not properly </w:t>
      </w:r>
      <w:r w:rsidR="00C10DC6" w:rsidRPr="003877E2">
        <w:rPr>
          <w:sz w:val="28"/>
          <w:szCs w:val="28"/>
        </w:rPr>
        <w:t>discharge</w:t>
      </w:r>
      <w:r w:rsidR="006F1894" w:rsidRPr="003877E2">
        <w:rPr>
          <w:sz w:val="28"/>
          <w:szCs w:val="28"/>
        </w:rPr>
        <w:t>, as the interests of RAM</w:t>
      </w:r>
      <w:r w:rsidR="009934A5" w:rsidRPr="003877E2">
        <w:rPr>
          <w:sz w:val="28"/>
          <w:szCs w:val="28"/>
        </w:rPr>
        <w:t>,</w:t>
      </w:r>
      <w:r w:rsidR="006F1894" w:rsidRPr="003877E2">
        <w:rPr>
          <w:sz w:val="28"/>
          <w:szCs w:val="28"/>
        </w:rPr>
        <w:t xml:space="preserve"> on the one hand</w:t>
      </w:r>
      <w:r w:rsidR="009934A5" w:rsidRPr="003877E2">
        <w:rPr>
          <w:sz w:val="28"/>
          <w:szCs w:val="28"/>
        </w:rPr>
        <w:t>,</w:t>
      </w:r>
      <w:r w:rsidR="006F1894" w:rsidRPr="003877E2">
        <w:rPr>
          <w:sz w:val="28"/>
          <w:szCs w:val="28"/>
        </w:rPr>
        <w:t xml:space="preserve"> and those of TDI and PIF</w:t>
      </w:r>
      <w:r w:rsidR="009934A5" w:rsidRPr="003877E2">
        <w:rPr>
          <w:sz w:val="28"/>
          <w:szCs w:val="28"/>
        </w:rPr>
        <w:t>,</w:t>
      </w:r>
      <w:r w:rsidR="006F1894" w:rsidRPr="003877E2">
        <w:rPr>
          <w:sz w:val="28"/>
          <w:szCs w:val="28"/>
        </w:rPr>
        <w:t xml:space="preserve"> on </w:t>
      </w:r>
      <w:r w:rsidR="006F1894" w:rsidRPr="003877E2">
        <w:rPr>
          <w:sz w:val="28"/>
          <w:szCs w:val="28"/>
        </w:rPr>
        <w:lastRenderedPageBreak/>
        <w:t xml:space="preserve">the </w:t>
      </w:r>
      <w:r w:rsidR="007C6CEF" w:rsidRPr="003877E2">
        <w:rPr>
          <w:sz w:val="28"/>
          <w:szCs w:val="28"/>
        </w:rPr>
        <w:t>other</w:t>
      </w:r>
      <w:r w:rsidR="006400C9" w:rsidRPr="003877E2">
        <w:rPr>
          <w:sz w:val="28"/>
          <w:szCs w:val="28"/>
        </w:rPr>
        <w:t>,</w:t>
      </w:r>
      <w:r w:rsidR="006F1894" w:rsidRPr="003877E2">
        <w:rPr>
          <w:sz w:val="28"/>
          <w:szCs w:val="28"/>
        </w:rPr>
        <w:t xml:space="preserve"> were mutually exclusive. It was contended </w:t>
      </w:r>
      <w:r w:rsidR="006400C9" w:rsidRPr="003877E2">
        <w:rPr>
          <w:sz w:val="28"/>
          <w:szCs w:val="28"/>
        </w:rPr>
        <w:t xml:space="preserve">by RGH </w:t>
      </w:r>
      <w:r w:rsidR="006F1894" w:rsidRPr="003877E2">
        <w:rPr>
          <w:sz w:val="28"/>
          <w:szCs w:val="28"/>
        </w:rPr>
        <w:t xml:space="preserve">that </w:t>
      </w:r>
      <w:r w:rsidR="001B3B79" w:rsidRPr="003877E2">
        <w:rPr>
          <w:sz w:val="28"/>
          <w:szCs w:val="28"/>
        </w:rPr>
        <w:t xml:space="preserve">when </w:t>
      </w:r>
      <w:r w:rsidR="006F1894" w:rsidRPr="003877E2">
        <w:rPr>
          <w:sz w:val="28"/>
          <w:szCs w:val="28"/>
        </w:rPr>
        <w:t xml:space="preserve">the Curator commenced actions on behalf of </w:t>
      </w:r>
      <w:r w:rsidR="00546C1F" w:rsidRPr="003877E2">
        <w:rPr>
          <w:sz w:val="28"/>
          <w:szCs w:val="28"/>
        </w:rPr>
        <w:t>TDI and PIF</w:t>
      </w:r>
      <w:r w:rsidR="0086123A" w:rsidRPr="003877E2">
        <w:rPr>
          <w:sz w:val="28"/>
          <w:szCs w:val="28"/>
        </w:rPr>
        <w:t>,</w:t>
      </w:r>
      <w:r w:rsidR="00546C1F" w:rsidRPr="003877E2">
        <w:rPr>
          <w:sz w:val="28"/>
          <w:szCs w:val="28"/>
        </w:rPr>
        <w:t xml:space="preserve"> </w:t>
      </w:r>
      <w:r w:rsidR="006F1894" w:rsidRPr="003877E2">
        <w:rPr>
          <w:sz w:val="28"/>
          <w:szCs w:val="28"/>
        </w:rPr>
        <w:t>comprising claims against RAM and various related persons</w:t>
      </w:r>
      <w:r w:rsidR="001B3B79" w:rsidRPr="003877E2">
        <w:rPr>
          <w:sz w:val="28"/>
          <w:szCs w:val="28"/>
        </w:rPr>
        <w:t>, t</w:t>
      </w:r>
      <w:r w:rsidR="006F1894" w:rsidRPr="003877E2">
        <w:rPr>
          <w:sz w:val="28"/>
          <w:szCs w:val="28"/>
        </w:rPr>
        <w:t xml:space="preserve">he </w:t>
      </w:r>
      <w:r w:rsidR="0086123A" w:rsidRPr="003877E2">
        <w:rPr>
          <w:sz w:val="28"/>
          <w:szCs w:val="28"/>
        </w:rPr>
        <w:t>latter defended</w:t>
      </w:r>
      <w:r w:rsidR="006F1894" w:rsidRPr="003877E2">
        <w:rPr>
          <w:sz w:val="28"/>
          <w:szCs w:val="28"/>
        </w:rPr>
        <w:t xml:space="preserve"> these claims, but RAM could not do so. The Curator elected not to </w:t>
      </w:r>
      <w:r w:rsidR="00B83726" w:rsidRPr="003877E2">
        <w:rPr>
          <w:sz w:val="28"/>
          <w:szCs w:val="28"/>
        </w:rPr>
        <w:t xml:space="preserve">advance a defence on behalf of </w:t>
      </w:r>
      <w:r w:rsidR="006F1894" w:rsidRPr="003877E2">
        <w:rPr>
          <w:sz w:val="28"/>
          <w:szCs w:val="28"/>
        </w:rPr>
        <w:t xml:space="preserve">RAM </w:t>
      </w:r>
      <w:r w:rsidR="00B83726" w:rsidRPr="003877E2">
        <w:rPr>
          <w:sz w:val="28"/>
          <w:szCs w:val="28"/>
        </w:rPr>
        <w:t xml:space="preserve">to </w:t>
      </w:r>
      <w:r w:rsidR="006F1894" w:rsidRPr="003877E2">
        <w:rPr>
          <w:sz w:val="28"/>
          <w:szCs w:val="28"/>
        </w:rPr>
        <w:t xml:space="preserve">these claims. </w:t>
      </w:r>
      <w:r w:rsidR="001E327D" w:rsidRPr="003877E2">
        <w:rPr>
          <w:sz w:val="28"/>
          <w:szCs w:val="28"/>
        </w:rPr>
        <w:t>RAM was</w:t>
      </w:r>
      <w:r w:rsidR="00A645FC" w:rsidRPr="003877E2">
        <w:rPr>
          <w:sz w:val="28"/>
          <w:szCs w:val="28"/>
        </w:rPr>
        <w:t xml:space="preserve"> </w:t>
      </w:r>
      <w:r w:rsidR="007C6CEF" w:rsidRPr="003877E2">
        <w:rPr>
          <w:sz w:val="28"/>
          <w:szCs w:val="28"/>
        </w:rPr>
        <w:t xml:space="preserve">held to be </w:t>
      </w:r>
      <w:r w:rsidR="00A645FC" w:rsidRPr="003877E2">
        <w:rPr>
          <w:sz w:val="28"/>
          <w:szCs w:val="28"/>
        </w:rPr>
        <w:t xml:space="preserve">liable </w:t>
      </w:r>
      <w:r w:rsidR="001E327D" w:rsidRPr="003877E2">
        <w:rPr>
          <w:sz w:val="28"/>
          <w:szCs w:val="28"/>
        </w:rPr>
        <w:t>together with</w:t>
      </w:r>
      <w:r w:rsidR="007C6CEF" w:rsidRPr="003877E2">
        <w:rPr>
          <w:sz w:val="28"/>
          <w:szCs w:val="28"/>
        </w:rPr>
        <w:t xml:space="preserve"> other</w:t>
      </w:r>
      <w:r w:rsidR="001E327D" w:rsidRPr="003877E2">
        <w:rPr>
          <w:sz w:val="28"/>
          <w:szCs w:val="28"/>
        </w:rPr>
        <w:t xml:space="preserve"> related</w:t>
      </w:r>
      <w:r w:rsidR="007C6CEF" w:rsidRPr="003877E2">
        <w:rPr>
          <w:sz w:val="28"/>
          <w:szCs w:val="28"/>
        </w:rPr>
        <w:t xml:space="preserve"> defendants</w:t>
      </w:r>
      <w:r w:rsidR="001E327D" w:rsidRPr="003877E2">
        <w:rPr>
          <w:sz w:val="28"/>
          <w:szCs w:val="28"/>
        </w:rPr>
        <w:t xml:space="preserve">, </w:t>
      </w:r>
      <w:r w:rsidR="00A645FC" w:rsidRPr="003877E2">
        <w:rPr>
          <w:sz w:val="28"/>
          <w:szCs w:val="28"/>
        </w:rPr>
        <w:t>in respect of</w:t>
      </w:r>
      <w:r w:rsidR="001E327D" w:rsidRPr="003877E2">
        <w:rPr>
          <w:sz w:val="28"/>
          <w:szCs w:val="28"/>
        </w:rPr>
        <w:t xml:space="preserve"> the claims</w:t>
      </w:r>
      <w:r w:rsidR="0005278D" w:rsidRPr="003877E2">
        <w:rPr>
          <w:sz w:val="28"/>
          <w:szCs w:val="28"/>
        </w:rPr>
        <w:t>.</w:t>
      </w:r>
      <w:r w:rsidR="00114EE0" w:rsidRPr="003877E2">
        <w:rPr>
          <w:sz w:val="28"/>
          <w:szCs w:val="28"/>
        </w:rPr>
        <w:t xml:space="preserve"> </w:t>
      </w:r>
    </w:p>
    <w:p w14:paraId="49D6AFB2" w14:textId="77777777" w:rsidR="00114EE0" w:rsidRPr="00FB564C" w:rsidRDefault="00114EE0">
      <w:pPr>
        <w:pStyle w:val="ListParagraph"/>
        <w:rPr>
          <w:sz w:val="28"/>
          <w:szCs w:val="28"/>
        </w:rPr>
      </w:pPr>
    </w:p>
    <w:p w14:paraId="4C1F2604" w14:textId="74D41E46" w:rsidR="00A645FC" w:rsidRPr="003877E2" w:rsidRDefault="003877E2" w:rsidP="003877E2">
      <w:pPr>
        <w:rPr>
          <w:sz w:val="28"/>
          <w:szCs w:val="28"/>
        </w:rPr>
      </w:pPr>
      <w:r w:rsidRPr="00FB564C">
        <w:rPr>
          <w:sz w:val="28"/>
          <w:szCs w:val="28"/>
        </w:rPr>
        <w:t>[36]</w:t>
      </w:r>
      <w:r w:rsidRPr="00FB564C">
        <w:rPr>
          <w:sz w:val="28"/>
          <w:szCs w:val="28"/>
        </w:rPr>
        <w:tab/>
      </w:r>
      <w:r w:rsidR="00114EE0" w:rsidRPr="003877E2">
        <w:rPr>
          <w:sz w:val="28"/>
          <w:szCs w:val="28"/>
        </w:rPr>
        <w:t>Oaker</w:t>
      </w:r>
      <w:r w:rsidR="00B83726" w:rsidRPr="003877E2">
        <w:rPr>
          <w:sz w:val="28"/>
          <w:szCs w:val="28"/>
        </w:rPr>
        <w:t>,</w:t>
      </w:r>
      <w:r w:rsidR="00114EE0" w:rsidRPr="003877E2">
        <w:rPr>
          <w:sz w:val="28"/>
          <w:szCs w:val="28"/>
        </w:rPr>
        <w:t xml:space="preserve"> who deposed to the founding affidavit on behalf of RGH, </w:t>
      </w:r>
      <w:r w:rsidR="007C6CEF" w:rsidRPr="003877E2">
        <w:rPr>
          <w:sz w:val="28"/>
          <w:szCs w:val="28"/>
        </w:rPr>
        <w:t xml:space="preserve">alleged that </w:t>
      </w:r>
      <w:r w:rsidR="00114EE0" w:rsidRPr="003877E2">
        <w:rPr>
          <w:sz w:val="28"/>
          <w:szCs w:val="28"/>
        </w:rPr>
        <w:t xml:space="preserve">the conflict of interest </w:t>
      </w:r>
      <w:r w:rsidR="007C6CEF" w:rsidRPr="003877E2">
        <w:rPr>
          <w:sz w:val="28"/>
          <w:szCs w:val="28"/>
        </w:rPr>
        <w:t xml:space="preserve">on the part of </w:t>
      </w:r>
      <w:r w:rsidR="00114EE0" w:rsidRPr="003877E2">
        <w:rPr>
          <w:sz w:val="28"/>
          <w:szCs w:val="28"/>
        </w:rPr>
        <w:t xml:space="preserve">the </w:t>
      </w:r>
      <w:r w:rsidR="007C6CEF" w:rsidRPr="003877E2">
        <w:rPr>
          <w:sz w:val="28"/>
          <w:szCs w:val="28"/>
        </w:rPr>
        <w:t>C</w:t>
      </w:r>
      <w:r w:rsidR="00114EE0" w:rsidRPr="003877E2">
        <w:rPr>
          <w:sz w:val="28"/>
          <w:szCs w:val="28"/>
        </w:rPr>
        <w:t xml:space="preserve">urator was exhibited by </w:t>
      </w:r>
      <w:r w:rsidR="003E4A7F" w:rsidRPr="003877E2">
        <w:rPr>
          <w:sz w:val="28"/>
          <w:szCs w:val="28"/>
        </w:rPr>
        <w:t xml:space="preserve">him </w:t>
      </w:r>
      <w:r w:rsidR="00114EE0" w:rsidRPr="003877E2">
        <w:rPr>
          <w:sz w:val="28"/>
          <w:szCs w:val="28"/>
        </w:rPr>
        <w:t>causing and allowing judgment to be taken against RAM, whose business interest he was appointed to protect. This pattern</w:t>
      </w:r>
      <w:r w:rsidR="007C6CEF" w:rsidRPr="003877E2">
        <w:rPr>
          <w:sz w:val="28"/>
          <w:szCs w:val="28"/>
        </w:rPr>
        <w:t>, according to RGH,</w:t>
      </w:r>
      <w:r w:rsidR="00114EE0" w:rsidRPr="003877E2">
        <w:rPr>
          <w:sz w:val="28"/>
          <w:szCs w:val="28"/>
        </w:rPr>
        <w:t xml:space="preserve"> repeated itself </w:t>
      </w:r>
      <w:r w:rsidR="00C41FD3" w:rsidRPr="003877E2">
        <w:rPr>
          <w:sz w:val="28"/>
          <w:szCs w:val="28"/>
        </w:rPr>
        <w:t xml:space="preserve">when </w:t>
      </w:r>
      <w:r w:rsidR="00114EE0" w:rsidRPr="003877E2">
        <w:rPr>
          <w:sz w:val="28"/>
          <w:szCs w:val="28"/>
        </w:rPr>
        <w:t>the</w:t>
      </w:r>
      <w:r w:rsidR="003E4A7F" w:rsidRPr="003877E2">
        <w:rPr>
          <w:sz w:val="28"/>
          <w:szCs w:val="28"/>
        </w:rPr>
        <w:t xml:space="preserve"> </w:t>
      </w:r>
      <w:r w:rsidR="00114EE0" w:rsidRPr="003877E2">
        <w:rPr>
          <w:sz w:val="28"/>
          <w:szCs w:val="28"/>
        </w:rPr>
        <w:t>appeal and cross-appeal</w:t>
      </w:r>
      <w:r w:rsidR="00C41FD3" w:rsidRPr="003877E2">
        <w:rPr>
          <w:sz w:val="28"/>
          <w:szCs w:val="28"/>
        </w:rPr>
        <w:t xml:space="preserve"> was launched.</w:t>
      </w:r>
      <w:r w:rsidR="00114EE0" w:rsidRPr="003877E2">
        <w:rPr>
          <w:sz w:val="28"/>
          <w:szCs w:val="28"/>
        </w:rPr>
        <w:t xml:space="preserve"> </w:t>
      </w:r>
      <w:r w:rsidR="00C41FD3" w:rsidRPr="003877E2">
        <w:rPr>
          <w:sz w:val="28"/>
          <w:szCs w:val="28"/>
        </w:rPr>
        <w:t>T</w:t>
      </w:r>
      <w:r w:rsidR="00114EE0" w:rsidRPr="003877E2">
        <w:rPr>
          <w:sz w:val="28"/>
          <w:szCs w:val="28"/>
        </w:rPr>
        <w:t xml:space="preserve">he </w:t>
      </w:r>
      <w:r w:rsidR="00523A49" w:rsidRPr="003877E2">
        <w:rPr>
          <w:sz w:val="28"/>
          <w:szCs w:val="28"/>
        </w:rPr>
        <w:t>Curator prevented</w:t>
      </w:r>
      <w:r w:rsidR="00114EE0" w:rsidRPr="003877E2">
        <w:rPr>
          <w:sz w:val="28"/>
          <w:szCs w:val="28"/>
        </w:rPr>
        <w:t xml:space="preserve"> RAM from appealing the findings of liability against it</w:t>
      </w:r>
      <w:r w:rsidR="007C6CEF" w:rsidRPr="003877E2">
        <w:rPr>
          <w:sz w:val="28"/>
          <w:szCs w:val="28"/>
        </w:rPr>
        <w:t xml:space="preserve"> and</w:t>
      </w:r>
      <w:r w:rsidR="00114EE0" w:rsidRPr="003877E2">
        <w:rPr>
          <w:sz w:val="28"/>
          <w:szCs w:val="28"/>
        </w:rPr>
        <w:t xml:space="preserve"> </w:t>
      </w:r>
      <w:r w:rsidR="003E4A7F" w:rsidRPr="003877E2">
        <w:rPr>
          <w:sz w:val="28"/>
          <w:szCs w:val="28"/>
        </w:rPr>
        <w:t xml:space="preserve">in fact </w:t>
      </w:r>
      <w:r w:rsidR="00C41FD3" w:rsidRPr="003877E2">
        <w:rPr>
          <w:sz w:val="28"/>
          <w:szCs w:val="28"/>
        </w:rPr>
        <w:t xml:space="preserve">sought </w:t>
      </w:r>
      <w:r w:rsidR="00114EE0" w:rsidRPr="003877E2">
        <w:rPr>
          <w:sz w:val="28"/>
          <w:szCs w:val="28"/>
        </w:rPr>
        <w:t>to increase it, whi</w:t>
      </w:r>
      <w:r w:rsidR="007C6CEF" w:rsidRPr="003877E2">
        <w:rPr>
          <w:sz w:val="28"/>
          <w:szCs w:val="28"/>
        </w:rPr>
        <w:t>le</w:t>
      </w:r>
      <w:r w:rsidR="00114EE0" w:rsidRPr="003877E2">
        <w:rPr>
          <w:sz w:val="28"/>
          <w:szCs w:val="28"/>
        </w:rPr>
        <w:t xml:space="preserve"> precluding RAM from opposing the relief sought against it.</w:t>
      </w:r>
    </w:p>
    <w:p w14:paraId="620245F0" w14:textId="77777777" w:rsidR="00114EE0" w:rsidRPr="00FB564C" w:rsidRDefault="00114EE0">
      <w:pPr>
        <w:pStyle w:val="ListParagraph"/>
        <w:rPr>
          <w:sz w:val="28"/>
          <w:szCs w:val="28"/>
        </w:rPr>
      </w:pPr>
    </w:p>
    <w:p w14:paraId="0C41E3E7" w14:textId="07FFC2D4" w:rsidR="00355F16" w:rsidRPr="003877E2" w:rsidRDefault="003877E2" w:rsidP="003877E2">
      <w:pPr>
        <w:rPr>
          <w:sz w:val="28"/>
          <w:szCs w:val="28"/>
        </w:rPr>
      </w:pPr>
      <w:r w:rsidRPr="00FB564C">
        <w:rPr>
          <w:sz w:val="28"/>
          <w:szCs w:val="28"/>
        </w:rPr>
        <w:t>[37]</w:t>
      </w:r>
      <w:r w:rsidRPr="00FB564C">
        <w:rPr>
          <w:sz w:val="28"/>
          <w:szCs w:val="28"/>
        </w:rPr>
        <w:tab/>
      </w:r>
      <w:r w:rsidR="00A645FC" w:rsidRPr="003877E2">
        <w:rPr>
          <w:sz w:val="28"/>
          <w:szCs w:val="28"/>
        </w:rPr>
        <w:t>The complaint is that, while the related persons were granted leave to appeal</w:t>
      </w:r>
      <w:r w:rsidR="00CA1EBA" w:rsidRPr="003877E2">
        <w:rPr>
          <w:sz w:val="28"/>
          <w:szCs w:val="28"/>
        </w:rPr>
        <w:t xml:space="preserve"> the orders of the high court, the Curator did not apply for leave to appeal on behalf of RAM, which </w:t>
      </w:r>
      <w:r w:rsidR="006400C9" w:rsidRPr="003877E2">
        <w:rPr>
          <w:sz w:val="28"/>
          <w:szCs w:val="28"/>
        </w:rPr>
        <w:t>result</w:t>
      </w:r>
      <w:r w:rsidR="00CA7E85" w:rsidRPr="003877E2">
        <w:rPr>
          <w:sz w:val="28"/>
          <w:szCs w:val="28"/>
        </w:rPr>
        <w:t>ed</w:t>
      </w:r>
      <w:r w:rsidR="006400C9" w:rsidRPr="003877E2">
        <w:rPr>
          <w:sz w:val="28"/>
          <w:szCs w:val="28"/>
        </w:rPr>
        <w:t xml:space="preserve"> in it not being a party to</w:t>
      </w:r>
      <w:r w:rsidR="00CA1EBA" w:rsidRPr="003877E2">
        <w:rPr>
          <w:sz w:val="28"/>
          <w:szCs w:val="28"/>
        </w:rPr>
        <w:t xml:space="preserve"> the appeal. Furthermore, the Curator</w:t>
      </w:r>
      <w:r w:rsidR="00F26E50" w:rsidRPr="003877E2">
        <w:rPr>
          <w:sz w:val="28"/>
          <w:szCs w:val="28"/>
        </w:rPr>
        <w:t xml:space="preserve"> was granted leave to cross-appeal </w:t>
      </w:r>
      <w:r w:rsidR="00B17468" w:rsidRPr="003877E2">
        <w:rPr>
          <w:sz w:val="28"/>
          <w:szCs w:val="28"/>
        </w:rPr>
        <w:t xml:space="preserve">against </w:t>
      </w:r>
      <w:r w:rsidR="00F26E50" w:rsidRPr="003877E2">
        <w:rPr>
          <w:sz w:val="28"/>
          <w:szCs w:val="28"/>
        </w:rPr>
        <w:t>certain orders of the high court. If he is successful, the findings of liability against RAM will be increased by an amount of R266 139 741.18.</w:t>
      </w:r>
    </w:p>
    <w:p w14:paraId="56D0D4FB" w14:textId="77777777" w:rsidR="00355F16" w:rsidRPr="00FB564C" w:rsidRDefault="00355F16">
      <w:pPr>
        <w:pStyle w:val="ListParagraph"/>
        <w:rPr>
          <w:sz w:val="28"/>
          <w:szCs w:val="28"/>
        </w:rPr>
      </w:pPr>
    </w:p>
    <w:p w14:paraId="248786A3" w14:textId="285B817B" w:rsidR="006400C9" w:rsidRPr="003877E2" w:rsidRDefault="003877E2" w:rsidP="003877E2">
      <w:pPr>
        <w:rPr>
          <w:sz w:val="28"/>
          <w:szCs w:val="28"/>
        </w:rPr>
      </w:pPr>
      <w:r w:rsidRPr="00FB564C">
        <w:rPr>
          <w:sz w:val="28"/>
          <w:szCs w:val="28"/>
        </w:rPr>
        <w:t>[38]</w:t>
      </w:r>
      <w:r w:rsidRPr="00FB564C">
        <w:rPr>
          <w:sz w:val="28"/>
          <w:szCs w:val="28"/>
        </w:rPr>
        <w:tab/>
      </w:r>
      <w:r w:rsidR="00F87D60" w:rsidRPr="003877E2">
        <w:rPr>
          <w:sz w:val="28"/>
          <w:szCs w:val="28"/>
        </w:rPr>
        <w:t xml:space="preserve">Counsel for RGH contended that RGH was not seeking to </w:t>
      </w:r>
      <w:r w:rsidR="00B83726" w:rsidRPr="003877E2">
        <w:rPr>
          <w:sz w:val="28"/>
          <w:szCs w:val="28"/>
        </w:rPr>
        <w:t xml:space="preserve">turn back </w:t>
      </w:r>
      <w:r w:rsidR="00F87D60" w:rsidRPr="003877E2">
        <w:rPr>
          <w:sz w:val="28"/>
          <w:szCs w:val="28"/>
        </w:rPr>
        <w:t xml:space="preserve">the clock, as the high court proceedings had come and gone. He </w:t>
      </w:r>
      <w:r w:rsidR="006400C9" w:rsidRPr="003877E2">
        <w:rPr>
          <w:sz w:val="28"/>
          <w:szCs w:val="28"/>
        </w:rPr>
        <w:t xml:space="preserve">instead </w:t>
      </w:r>
      <w:r w:rsidR="00F87D60" w:rsidRPr="003877E2">
        <w:rPr>
          <w:sz w:val="28"/>
          <w:szCs w:val="28"/>
        </w:rPr>
        <w:t xml:space="preserve">suggested that </w:t>
      </w:r>
      <w:r w:rsidR="003E4A7F" w:rsidRPr="003877E2">
        <w:rPr>
          <w:sz w:val="28"/>
          <w:szCs w:val="28"/>
        </w:rPr>
        <w:t xml:space="preserve">an </w:t>
      </w:r>
      <w:r w:rsidR="00F87D60" w:rsidRPr="003877E2">
        <w:rPr>
          <w:sz w:val="28"/>
          <w:szCs w:val="28"/>
        </w:rPr>
        <w:t>unfairness would occur if the appeal and the cross-appeal were to proceed. There seemed to have been an insinuation</w:t>
      </w:r>
      <w:r w:rsidR="00CE321E" w:rsidRPr="003877E2">
        <w:rPr>
          <w:sz w:val="28"/>
          <w:szCs w:val="28"/>
        </w:rPr>
        <w:t xml:space="preserve">, although not directly branded as </w:t>
      </w:r>
      <w:r w:rsidR="00B83726" w:rsidRPr="003877E2">
        <w:rPr>
          <w:sz w:val="28"/>
          <w:szCs w:val="28"/>
        </w:rPr>
        <w:t xml:space="preserve">tantamount to </w:t>
      </w:r>
      <w:r w:rsidR="00B83726" w:rsidRPr="003877E2">
        <w:rPr>
          <w:sz w:val="28"/>
          <w:szCs w:val="28"/>
        </w:rPr>
        <w:lastRenderedPageBreak/>
        <w:t xml:space="preserve">a </w:t>
      </w:r>
      <w:r w:rsidR="00CE321E" w:rsidRPr="003877E2">
        <w:rPr>
          <w:sz w:val="28"/>
          <w:szCs w:val="28"/>
        </w:rPr>
        <w:t xml:space="preserve">vitiation, </w:t>
      </w:r>
      <w:r w:rsidR="00F87D60" w:rsidRPr="003877E2">
        <w:rPr>
          <w:sz w:val="28"/>
          <w:szCs w:val="28"/>
        </w:rPr>
        <w:t xml:space="preserve">that </w:t>
      </w:r>
      <w:r w:rsidR="00CE321E" w:rsidRPr="003877E2">
        <w:rPr>
          <w:sz w:val="28"/>
          <w:szCs w:val="28"/>
        </w:rPr>
        <w:t xml:space="preserve">if </w:t>
      </w:r>
      <w:r w:rsidR="00F87D60" w:rsidRPr="003877E2">
        <w:rPr>
          <w:sz w:val="28"/>
          <w:szCs w:val="28"/>
        </w:rPr>
        <w:t xml:space="preserve">the stay </w:t>
      </w:r>
      <w:r w:rsidR="00CE321E" w:rsidRPr="003877E2">
        <w:rPr>
          <w:sz w:val="28"/>
          <w:szCs w:val="28"/>
        </w:rPr>
        <w:t xml:space="preserve">was </w:t>
      </w:r>
      <w:r w:rsidR="00F87D60" w:rsidRPr="003877E2">
        <w:rPr>
          <w:sz w:val="28"/>
          <w:szCs w:val="28"/>
        </w:rPr>
        <w:t xml:space="preserve">not granted, the appeal proceedings would somehow be </w:t>
      </w:r>
      <w:r w:rsidR="00CE321E" w:rsidRPr="003877E2">
        <w:rPr>
          <w:sz w:val="28"/>
          <w:szCs w:val="28"/>
        </w:rPr>
        <w:t>‘affected’</w:t>
      </w:r>
      <w:r w:rsidR="0075368C" w:rsidRPr="003877E2">
        <w:rPr>
          <w:sz w:val="28"/>
          <w:szCs w:val="28"/>
        </w:rPr>
        <w:t>,</w:t>
      </w:r>
      <w:r w:rsidR="00CE321E" w:rsidRPr="003877E2">
        <w:rPr>
          <w:sz w:val="28"/>
          <w:szCs w:val="28"/>
        </w:rPr>
        <w:t xml:space="preserve"> </w:t>
      </w:r>
      <w:r w:rsidR="00C41FD3" w:rsidRPr="003877E2">
        <w:rPr>
          <w:sz w:val="28"/>
          <w:szCs w:val="28"/>
        </w:rPr>
        <w:t xml:space="preserve">because </w:t>
      </w:r>
      <w:r w:rsidR="00F87D60" w:rsidRPr="003877E2">
        <w:rPr>
          <w:sz w:val="28"/>
          <w:szCs w:val="28"/>
        </w:rPr>
        <w:t>as</w:t>
      </w:r>
      <w:r w:rsidR="003E4A7F" w:rsidRPr="003877E2">
        <w:rPr>
          <w:sz w:val="28"/>
          <w:szCs w:val="28"/>
        </w:rPr>
        <w:t xml:space="preserve"> </w:t>
      </w:r>
      <w:r w:rsidR="0075368C" w:rsidRPr="003877E2">
        <w:rPr>
          <w:sz w:val="28"/>
          <w:szCs w:val="28"/>
        </w:rPr>
        <w:t>c</w:t>
      </w:r>
      <w:r w:rsidR="003E4A7F" w:rsidRPr="003877E2">
        <w:rPr>
          <w:sz w:val="28"/>
          <w:szCs w:val="28"/>
        </w:rPr>
        <w:t xml:space="preserve">ounsel put it, </w:t>
      </w:r>
      <w:r w:rsidR="00F87D60" w:rsidRPr="003877E2">
        <w:rPr>
          <w:sz w:val="28"/>
          <w:szCs w:val="28"/>
        </w:rPr>
        <w:t>RAM w</w:t>
      </w:r>
      <w:r w:rsidR="003E4A7F" w:rsidRPr="003877E2">
        <w:rPr>
          <w:sz w:val="28"/>
          <w:szCs w:val="28"/>
        </w:rPr>
        <w:t>ould</w:t>
      </w:r>
      <w:r w:rsidR="00F87D60" w:rsidRPr="003877E2">
        <w:rPr>
          <w:sz w:val="28"/>
          <w:szCs w:val="28"/>
        </w:rPr>
        <w:t xml:space="preserve"> be without representation</w:t>
      </w:r>
      <w:r w:rsidR="00C41FD3" w:rsidRPr="003877E2">
        <w:rPr>
          <w:sz w:val="28"/>
          <w:szCs w:val="28"/>
        </w:rPr>
        <w:t xml:space="preserve"> in circumstances where</w:t>
      </w:r>
      <w:r w:rsidR="00F87D60" w:rsidRPr="003877E2">
        <w:rPr>
          <w:sz w:val="28"/>
          <w:szCs w:val="28"/>
        </w:rPr>
        <w:t xml:space="preserve"> adverse orders, particularly in the cross-appeal</w:t>
      </w:r>
      <w:r w:rsidR="0075368C" w:rsidRPr="003877E2">
        <w:rPr>
          <w:sz w:val="28"/>
          <w:szCs w:val="28"/>
        </w:rPr>
        <w:t>,</w:t>
      </w:r>
      <w:r w:rsidR="00F87D60" w:rsidRPr="003877E2">
        <w:rPr>
          <w:sz w:val="28"/>
          <w:szCs w:val="28"/>
        </w:rPr>
        <w:t xml:space="preserve"> w</w:t>
      </w:r>
      <w:r w:rsidR="00CE321E" w:rsidRPr="003877E2">
        <w:rPr>
          <w:sz w:val="28"/>
          <w:szCs w:val="28"/>
        </w:rPr>
        <w:t>ere</w:t>
      </w:r>
      <w:r w:rsidR="00F87D60" w:rsidRPr="003877E2">
        <w:rPr>
          <w:sz w:val="28"/>
          <w:szCs w:val="28"/>
        </w:rPr>
        <w:t xml:space="preserve"> sought against it. </w:t>
      </w:r>
    </w:p>
    <w:p w14:paraId="7E44F2CD" w14:textId="77777777" w:rsidR="00CE321E" w:rsidRPr="00FB564C" w:rsidRDefault="00CE321E" w:rsidP="00100403">
      <w:pPr>
        <w:pStyle w:val="ListParagraph"/>
        <w:ind w:left="0"/>
        <w:rPr>
          <w:sz w:val="28"/>
          <w:szCs w:val="28"/>
        </w:rPr>
      </w:pPr>
    </w:p>
    <w:p w14:paraId="3623AFA3" w14:textId="0FCADE6B" w:rsidR="00763EDA" w:rsidRPr="003877E2" w:rsidRDefault="003877E2" w:rsidP="003877E2">
      <w:pPr>
        <w:tabs>
          <w:tab w:val="left" w:pos="0"/>
        </w:tabs>
        <w:rPr>
          <w:sz w:val="28"/>
          <w:szCs w:val="28"/>
        </w:rPr>
      </w:pPr>
      <w:r w:rsidRPr="00FB564C">
        <w:rPr>
          <w:sz w:val="28"/>
          <w:szCs w:val="28"/>
        </w:rPr>
        <w:t>[39]</w:t>
      </w:r>
      <w:r w:rsidRPr="00FB564C">
        <w:rPr>
          <w:sz w:val="28"/>
          <w:szCs w:val="28"/>
        </w:rPr>
        <w:tab/>
      </w:r>
      <w:r w:rsidR="00F87D60" w:rsidRPr="003877E2">
        <w:rPr>
          <w:sz w:val="28"/>
          <w:szCs w:val="28"/>
        </w:rPr>
        <w:t xml:space="preserve">The difficulty with RGH’s application is </w:t>
      </w:r>
      <w:r w:rsidR="004D79C2" w:rsidRPr="003877E2">
        <w:rPr>
          <w:sz w:val="28"/>
          <w:szCs w:val="28"/>
        </w:rPr>
        <w:t>that the</w:t>
      </w:r>
      <w:r w:rsidR="00B83726" w:rsidRPr="003877E2">
        <w:rPr>
          <w:sz w:val="28"/>
          <w:szCs w:val="28"/>
        </w:rPr>
        <w:t xml:space="preserve"> </w:t>
      </w:r>
      <w:r w:rsidR="004D79C2" w:rsidRPr="003877E2">
        <w:rPr>
          <w:sz w:val="28"/>
          <w:szCs w:val="28"/>
        </w:rPr>
        <w:t>trial in</w:t>
      </w:r>
      <w:r w:rsidR="00CE321E" w:rsidRPr="003877E2">
        <w:rPr>
          <w:sz w:val="28"/>
          <w:szCs w:val="28"/>
        </w:rPr>
        <w:t xml:space="preserve"> the high </w:t>
      </w:r>
      <w:r w:rsidR="004D79C2" w:rsidRPr="003877E2">
        <w:rPr>
          <w:sz w:val="28"/>
          <w:szCs w:val="28"/>
        </w:rPr>
        <w:t>court was</w:t>
      </w:r>
      <w:r w:rsidR="00B83726" w:rsidRPr="003877E2">
        <w:rPr>
          <w:sz w:val="28"/>
          <w:szCs w:val="28"/>
        </w:rPr>
        <w:t xml:space="preserve"> </w:t>
      </w:r>
      <w:r w:rsidR="00CE321E" w:rsidRPr="003877E2">
        <w:rPr>
          <w:sz w:val="28"/>
          <w:szCs w:val="28"/>
        </w:rPr>
        <w:t xml:space="preserve">allowed to run to </w:t>
      </w:r>
      <w:r w:rsidR="004D79C2" w:rsidRPr="003877E2">
        <w:rPr>
          <w:sz w:val="28"/>
          <w:szCs w:val="28"/>
        </w:rPr>
        <w:t>completion over</w:t>
      </w:r>
      <w:r w:rsidR="00B83726" w:rsidRPr="003877E2">
        <w:rPr>
          <w:sz w:val="28"/>
          <w:szCs w:val="28"/>
        </w:rPr>
        <w:t xml:space="preserve"> a period of </w:t>
      </w:r>
      <w:r w:rsidR="00E052C1" w:rsidRPr="003877E2">
        <w:rPr>
          <w:sz w:val="28"/>
          <w:szCs w:val="28"/>
        </w:rPr>
        <w:t xml:space="preserve">44 days </w:t>
      </w:r>
      <w:r w:rsidR="00B83726" w:rsidRPr="003877E2">
        <w:rPr>
          <w:sz w:val="28"/>
          <w:szCs w:val="28"/>
        </w:rPr>
        <w:t xml:space="preserve">without objection and </w:t>
      </w:r>
      <w:r w:rsidR="00E052C1" w:rsidRPr="003877E2">
        <w:rPr>
          <w:sz w:val="28"/>
          <w:szCs w:val="28"/>
        </w:rPr>
        <w:t xml:space="preserve">with no intervention from RGH. </w:t>
      </w:r>
      <w:r w:rsidR="003E4A7F" w:rsidRPr="003877E2">
        <w:rPr>
          <w:sz w:val="28"/>
          <w:szCs w:val="28"/>
        </w:rPr>
        <w:t>The application to remove the Curator was lodged after the high court had delivered its initial judgment and only for the first time in</w:t>
      </w:r>
      <w:r w:rsidR="006E2F5C" w:rsidRPr="003877E2">
        <w:rPr>
          <w:sz w:val="28"/>
          <w:szCs w:val="28"/>
        </w:rPr>
        <w:t xml:space="preserve"> that application in</w:t>
      </w:r>
      <w:r w:rsidR="003E4A7F" w:rsidRPr="003877E2">
        <w:rPr>
          <w:sz w:val="28"/>
          <w:szCs w:val="28"/>
        </w:rPr>
        <w:t xml:space="preserve"> December 2019 did RGH </w:t>
      </w:r>
      <w:r w:rsidR="00FB5484" w:rsidRPr="003877E2">
        <w:rPr>
          <w:sz w:val="28"/>
          <w:szCs w:val="28"/>
        </w:rPr>
        <w:t xml:space="preserve">raise the issue of </w:t>
      </w:r>
      <w:r w:rsidR="006400C9" w:rsidRPr="003877E2">
        <w:rPr>
          <w:sz w:val="28"/>
          <w:szCs w:val="28"/>
        </w:rPr>
        <w:t xml:space="preserve">the Curator’s </w:t>
      </w:r>
      <w:r w:rsidR="00FB5484" w:rsidRPr="003877E2">
        <w:rPr>
          <w:sz w:val="28"/>
          <w:szCs w:val="28"/>
        </w:rPr>
        <w:t xml:space="preserve">conflict. </w:t>
      </w:r>
      <w:r w:rsidR="00E052C1" w:rsidRPr="003877E2">
        <w:rPr>
          <w:sz w:val="28"/>
          <w:szCs w:val="28"/>
        </w:rPr>
        <w:t>It now seeks the stay of the proceedings</w:t>
      </w:r>
      <w:r w:rsidR="00763EDA" w:rsidRPr="003877E2">
        <w:rPr>
          <w:sz w:val="28"/>
          <w:szCs w:val="28"/>
        </w:rPr>
        <w:t xml:space="preserve"> at the appeal</w:t>
      </w:r>
      <w:r w:rsidR="00E052C1" w:rsidRPr="003877E2">
        <w:rPr>
          <w:sz w:val="28"/>
          <w:szCs w:val="28"/>
        </w:rPr>
        <w:t xml:space="preserve"> stage. It is not clear how</w:t>
      </w:r>
      <w:r w:rsidR="00FB5484" w:rsidRPr="003877E2">
        <w:rPr>
          <w:sz w:val="28"/>
          <w:szCs w:val="28"/>
        </w:rPr>
        <w:t xml:space="preserve"> proceedings can only for the first time </w:t>
      </w:r>
      <w:r w:rsidR="00E052C1" w:rsidRPr="003877E2">
        <w:rPr>
          <w:sz w:val="28"/>
          <w:szCs w:val="28"/>
        </w:rPr>
        <w:t>be</w:t>
      </w:r>
      <w:r w:rsidR="00FB5484" w:rsidRPr="003877E2">
        <w:rPr>
          <w:sz w:val="28"/>
          <w:szCs w:val="28"/>
        </w:rPr>
        <w:t xml:space="preserve">come impaired at </w:t>
      </w:r>
      <w:r w:rsidR="00956A26" w:rsidRPr="003877E2">
        <w:rPr>
          <w:sz w:val="28"/>
          <w:szCs w:val="28"/>
        </w:rPr>
        <w:t xml:space="preserve">this stage </w:t>
      </w:r>
      <w:r w:rsidR="00E052C1" w:rsidRPr="003877E2">
        <w:rPr>
          <w:sz w:val="28"/>
          <w:szCs w:val="28"/>
        </w:rPr>
        <w:t>whil</w:t>
      </w:r>
      <w:r w:rsidR="00956A26" w:rsidRPr="003877E2">
        <w:rPr>
          <w:sz w:val="28"/>
          <w:szCs w:val="28"/>
        </w:rPr>
        <w:t>st</w:t>
      </w:r>
      <w:r w:rsidR="00E052C1" w:rsidRPr="003877E2">
        <w:rPr>
          <w:sz w:val="28"/>
          <w:szCs w:val="28"/>
        </w:rPr>
        <w:t xml:space="preserve"> the </w:t>
      </w:r>
      <w:r w:rsidR="00956A26" w:rsidRPr="003877E2">
        <w:rPr>
          <w:sz w:val="28"/>
          <w:szCs w:val="28"/>
        </w:rPr>
        <w:t xml:space="preserve">integrity of the </w:t>
      </w:r>
      <w:r w:rsidR="0086123A" w:rsidRPr="003877E2">
        <w:rPr>
          <w:sz w:val="28"/>
          <w:szCs w:val="28"/>
        </w:rPr>
        <w:t>trial remain</w:t>
      </w:r>
      <w:r w:rsidR="008E7CDA" w:rsidRPr="003877E2">
        <w:rPr>
          <w:sz w:val="28"/>
          <w:szCs w:val="28"/>
        </w:rPr>
        <w:t>ed</w:t>
      </w:r>
      <w:r w:rsidR="004D79C2" w:rsidRPr="003877E2">
        <w:rPr>
          <w:sz w:val="28"/>
          <w:szCs w:val="28"/>
        </w:rPr>
        <w:t xml:space="preserve"> unaffected</w:t>
      </w:r>
      <w:r w:rsidR="00956A26" w:rsidRPr="003877E2">
        <w:rPr>
          <w:sz w:val="28"/>
          <w:szCs w:val="28"/>
        </w:rPr>
        <w:t xml:space="preserve"> and preserved</w:t>
      </w:r>
      <w:r w:rsidR="00E052C1" w:rsidRPr="003877E2">
        <w:rPr>
          <w:sz w:val="28"/>
          <w:szCs w:val="28"/>
        </w:rPr>
        <w:t>.</w:t>
      </w:r>
      <w:r w:rsidR="00286F4A" w:rsidRPr="003877E2">
        <w:rPr>
          <w:sz w:val="28"/>
          <w:szCs w:val="28"/>
        </w:rPr>
        <w:t xml:space="preserve"> Put differently, RGH </w:t>
      </w:r>
      <w:r w:rsidR="00763EDA" w:rsidRPr="003877E2">
        <w:rPr>
          <w:sz w:val="28"/>
          <w:szCs w:val="28"/>
        </w:rPr>
        <w:t>seeks to obtain a</w:t>
      </w:r>
      <w:r w:rsidR="00FB5484" w:rsidRPr="003877E2">
        <w:rPr>
          <w:sz w:val="28"/>
          <w:szCs w:val="28"/>
        </w:rPr>
        <w:t xml:space="preserve"> stay </w:t>
      </w:r>
      <w:r w:rsidR="00763EDA" w:rsidRPr="003877E2">
        <w:rPr>
          <w:sz w:val="28"/>
          <w:szCs w:val="28"/>
        </w:rPr>
        <w:t xml:space="preserve">order </w:t>
      </w:r>
      <w:r w:rsidR="00FB5484" w:rsidRPr="003877E2">
        <w:rPr>
          <w:sz w:val="28"/>
          <w:szCs w:val="28"/>
        </w:rPr>
        <w:t xml:space="preserve">which, </w:t>
      </w:r>
      <w:r w:rsidR="00763EDA" w:rsidRPr="003877E2">
        <w:rPr>
          <w:sz w:val="28"/>
          <w:szCs w:val="28"/>
        </w:rPr>
        <w:t>in its view, w</w:t>
      </w:r>
      <w:r w:rsidR="00FB5484" w:rsidRPr="003877E2">
        <w:rPr>
          <w:sz w:val="28"/>
          <w:szCs w:val="28"/>
        </w:rPr>
        <w:t xml:space="preserve">ould </w:t>
      </w:r>
      <w:r w:rsidR="00763EDA" w:rsidRPr="003877E2">
        <w:rPr>
          <w:sz w:val="28"/>
          <w:szCs w:val="28"/>
        </w:rPr>
        <w:t>prevent</w:t>
      </w:r>
      <w:r w:rsidR="00FB5484" w:rsidRPr="003877E2">
        <w:rPr>
          <w:sz w:val="28"/>
          <w:szCs w:val="28"/>
        </w:rPr>
        <w:t xml:space="preserve"> a </w:t>
      </w:r>
      <w:r w:rsidR="00763EDA" w:rsidRPr="003877E2">
        <w:rPr>
          <w:sz w:val="28"/>
          <w:szCs w:val="28"/>
        </w:rPr>
        <w:t>failure of justice from occurring, while not seeking to undo the high court’s proceedings.</w:t>
      </w:r>
      <w:r w:rsidR="00956A26" w:rsidRPr="003877E2">
        <w:rPr>
          <w:sz w:val="28"/>
          <w:szCs w:val="28"/>
        </w:rPr>
        <w:t xml:space="preserve"> Implicit in that must be an acceptance that there was no failure of justice in the high court.</w:t>
      </w:r>
      <w:r w:rsidR="00763EDA" w:rsidRPr="003877E2">
        <w:rPr>
          <w:sz w:val="28"/>
          <w:szCs w:val="28"/>
        </w:rPr>
        <w:t xml:space="preserve"> </w:t>
      </w:r>
    </w:p>
    <w:p w14:paraId="53341AD1" w14:textId="77777777" w:rsidR="0086123A" w:rsidRPr="00FB564C" w:rsidRDefault="0086123A">
      <w:pPr>
        <w:pStyle w:val="ListParagraph"/>
        <w:rPr>
          <w:sz w:val="28"/>
          <w:szCs w:val="28"/>
        </w:rPr>
      </w:pPr>
    </w:p>
    <w:p w14:paraId="6C918ECA" w14:textId="487F1BA5" w:rsidR="00B33442" w:rsidRPr="003877E2" w:rsidRDefault="003877E2" w:rsidP="003877E2">
      <w:pPr>
        <w:tabs>
          <w:tab w:val="left" w:pos="0"/>
        </w:tabs>
        <w:rPr>
          <w:sz w:val="28"/>
          <w:szCs w:val="28"/>
        </w:rPr>
      </w:pPr>
      <w:r w:rsidRPr="00FB564C">
        <w:rPr>
          <w:sz w:val="28"/>
          <w:szCs w:val="28"/>
        </w:rPr>
        <w:t>[40]</w:t>
      </w:r>
      <w:r w:rsidRPr="00FB564C">
        <w:rPr>
          <w:sz w:val="28"/>
          <w:szCs w:val="28"/>
        </w:rPr>
        <w:tab/>
      </w:r>
      <w:r w:rsidR="00956A26" w:rsidRPr="003877E2">
        <w:rPr>
          <w:sz w:val="28"/>
          <w:szCs w:val="28"/>
        </w:rPr>
        <w:t xml:space="preserve">Further, </w:t>
      </w:r>
      <w:r w:rsidR="00763EDA" w:rsidRPr="003877E2">
        <w:rPr>
          <w:sz w:val="28"/>
          <w:szCs w:val="28"/>
        </w:rPr>
        <w:t>RGH</w:t>
      </w:r>
      <w:r w:rsidR="00FB5484" w:rsidRPr="003877E2">
        <w:rPr>
          <w:sz w:val="28"/>
          <w:szCs w:val="28"/>
        </w:rPr>
        <w:t xml:space="preserve"> </w:t>
      </w:r>
      <w:r w:rsidR="00763EDA" w:rsidRPr="003877E2">
        <w:rPr>
          <w:sz w:val="28"/>
          <w:szCs w:val="28"/>
        </w:rPr>
        <w:t xml:space="preserve">was unable to get around the fact that at the time </w:t>
      </w:r>
      <w:r w:rsidR="00FB5484" w:rsidRPr="003877E2">
        <w:rPr>
          <w:sz w:val="28"/>
          <w:szCs w:val="28"/>
        </w:rPr>
        <w:t xml:space="preserve">the </w:t>
      </w:r>
      <w:r w:rsidR="00763EDA" w:rsidRPr="003877E2">
        <w:rPr>
          <w:sz w:val="28"/>
          <w:szCs w:val="28"/>
        </w:rPr>
        <w:t>summon</w:t>
      </w:r>
      <w:r w:rsidR="006E2F5C" w:rsidRPr="003877E2">
        <w:rPr>
          <w:sz w:val="28"/>
          <w:szCs w:val="28"/>
        </w:rPr>
        <w:t>s</w:t>
      </w:r>
      <w:r w:rsidR="00FB5484" w:rsidRPr="003877E2">
        <w:rPr>
          <w:sz w:val="28"/>
          <w:szCs w:val="28"/>
        </w:rPr>
        <w:t xml:space="preserve"> was </w:t>
      </w:r>
      <w:r w:rsidR="00763EDA" w:rsidRPr="003877E2">
        <w:rPr>
          <w:sz w:val="28"/>
          <w:szCs w:val="28"/>
        </w:rPr>
        <w:t xml:space="preserve">issued, it did not apply to intervene in the action, </w:t>
      </w:r>
      <w:r w:rsidR="00B33442" w:rsidRPr="003877E2">
        <w:rPr>
          <w:sz w:val="28"/>
          <w:szCs w:val="28"/>
        </w:rPr>
        <w:t>knowing</w:t>
      </w:r>
      <w:r w:rsidR="00763EDA" w:rsidRPr="003877E2">
        <w:rPr>
          <w:sz w:val="28"/>
          <w:szCs w:val="28"/>
        </w:rPr>
        <w:t xml:space="preserve"> that RAM was a defendant </w:t>
      </w:r>
      <w:r w:rsidR="00AC358C" w:rsidRPr="003877E2">
        <w:rPr>
          <w:sz w:val="28"/>
          <w:szCs w:val="28"/>
        </w:rPr>
        <w:t>against whom</w:t>
      </w:r>
      <w:r w:rsidR="00956A26" w:rsidRPr="003877E2">
        <w:rPr>
          <w:sz w:val="28"/>
          <w:szCs w:val="28"/>
        </w:rPr>
        <w:t xml:space="preserve"> </w:t>
      </w:r>
      <w:r w:rsidR="00FB5484" w:rsidRPr="003877E2">
        <w:rPr>
          <w:sz w:val="28"/>
          <w:szCs w:val="28"/>
        </w:rPr>
        <w:t>relief was sought jointly and severally with other related persons at that stage</w:t>
      </w:r>
      <w:r w:rsidR="00763EDA" w:rsidRPr="003877E2">
        <w:rPr>
          <w:sz w:val="28"/>
          <w:szCs w:val="28"/>
        </w:rPr>
        <w:t>.</w:t>
      </w:r>
      <w:r w:rsidR="00B70451" w:rsidRPr="003877E2">
        <w:rPr>
          <w:sz w:val="28"/>
          <w:szCs w:val="28"/>
        </w:rPr>
        <w:t xml:space="preserve"> </w:t>
      </w:r>
      <w:r w:rsidR="00B33442" w:rsidRPr="003877E2">
        <w:rPr>
          <w:sz w:val="28"/>
          <w:szCs w:val="28"/>
        </w:rPr>
        <w:t xml:space="preserve">The alleged conflict </w:t>
      </w:r>
      <w:r w:rsidR="00286F4A" w:rsidRPr="003877E2">
        <w:rPr>
          <w:sz w:val="28"/>
          <w:szCs w:val="28"/>
        </w:rPr>
        <w:t xml:space="preserve">of interest exhibited by the </w:t>
      </w:r>
      <w:r w:rsidR="00AC358C" w:rsidRPr="003877E2">
        <w:rPr>
          <w:sz w:val="28"/>
          <w:szCs w:val="28"/>
        </w:rPr>
        <w:t>Curator ought</w:t>
      </w:r>
      <w:r w:rsidR="00956A26" w:rsidRPr="003877E2">
        <w:rPr>
          <w:sz w:val="28"/>
          <w:szCs w:val="28"/>
        </w:rPr>
        <w:t xml:space="preserve"> to </w:t>
      </w:r>
      <w:r w:rsidR="00B33442" w:rsidRPr="003877E2">
        <w:rPr>
          <w:sz w:val="28"/>
          <w:szCs w:val="28"/>
        </w:rPr>
        <w:t xml:space="preserve">have </w:t>
      </w:r>
      <w:r w:rsidR="00286F4A" w:rsidRPr="003877E2">
        <w:rPr>
          <w:sz w:val="28"/>
          <w:szCs w:val="28"/>
        </w:rPr>
        <w:t>been evident</w:t>
      </w:r>
      <w:r w:rsidR="00FB5484" w:rsidRPr="003877E2">
        <w:rPr>
          <w:sz w:val="28"/>
          <w:szCs w:val="28"/>
        </w:rPr>
        <w:t xml:space="preserve"> upon</w:t>
      </w:r>
      <w:r w:rsidR="00B33442" w:rsidRPr="003877E2">
        <w:rPr>
          <w:sz w:val="28"/>
          <w:szCs w:val="28"/>
        </w:rPr>
        <w:t xml:space="preserve"> the issuance of the summons. </w:t>
      </w:r>
    </w:p>
    <w:p w14:paraId="271FC40F" w14:textId="77777777" w:rsidR="00B33442" w:rsidRPr="00FB564C" w:rsidRDefault="00B33442">
      <w:pPr>
        <w:pStyle w:val="ListParagraph"/>
        <w:rPr>
          <w:sz w:val="28"/>
          <w:szCs w:val="28"/>
        </w:rPr>
      </w:pPr>
    </w:p>
    <w:p w14:paraId="08B143DA" w14:textId="72404A55" w:rsidR="0036010F" w:rsidRPr="003877E2" w:rsidRDefault="003877E2" w:rsidP="003877E2">
      <w:pPr>
        <w:tabs>
          <w:tab w:val="left" w:pos="0"/>
        </w:tabs>
        <w:rPr>
          <w:sz w:val="28"/>
          <w:szCs w:val="28"/>
        </w:rPr>
      </w:pPr>
      <w:r w:rsidRPr="00FB564C">
        <w:rPr>
          <w:sz w:val="28"/>
          <w:szCs w:val="28"/>
        </w:rPr>
        <w:t>[41]</w:t>
      </w:r>
      <w:r w:rsidRPr="00FB564C">
        <w:rPr>
          <w:sz w:val="28"/>
          <w:szCs w:val="28"/>
        </w:rPr>
        <w:tab/>
      </w:r>
      <w:r w:rsidR="00B70451" w:rsidRPr="003877E2">
        <w:rPr>
          <w:sz w:val="28"/>
          <w:szCs w:val="28"/>
        </w:rPr>
        <w:t>At no stage during the</w:t>
      </w:r>
      <w:r w:rsidR="00FB5484" w:rsidRPr="003877E2">
        <w:rPr>
          <w:sz w:val="28"/>
          <w:szCs w:val="28"/>
        </w:rPr>
        <w:t xml:space="preserve"> protracted </w:t>
      </w:r>
      <w:r w:rsidR="00B70451" w:rsidRPr="003877E2">
        <w:rPr>
          <w:sz w:val="28"/>
          <w:szCs w:val="28"/>
        </w:rPr>
        <w:t>trial was it brought to the attention</w:t>
      </w:r>
      <w:r w:rsidR="00B33442" w:rsidRPr="003877E2">
        <w:rPr>
          <w:sz w:val="28"/>
          <w:szCs w:val="28"/>
        </w:rPr>
        <w:t xml:space="preserve"> of the trial court that RAM’s interests were not protected and therefore RGH would </w:t>
      </w:r>
      <w:r w:rsidR="003A3E7D" w:rsidRPr="003877E2">
        <w:rPr>
          <w:sz w:val="28"/>
          <w:szCs w:val="28"/>
        </w:rPr>
        <w:t xml:space="preserve">seek </w:t>
      </w:r>
      <w:r w:rsidR="00B33442" w:rsidRPr="003877E2">
        <w:rPr>
          <w:sz w:val="28"/>
          <w:szCs w:val="28"/>
        </w:rPr>
        <w:t>interven</w:t>
      </w:r>
      <w:r w:rsidR="003A3E7D" w:rsidRPr="003877E2">
        <w:rPr>
          <w:sz w:val="28"/>
          <w:szCs w:val="28"/>
        </w:rPr>
        <w:t>tion</w:t>
      </w:r>
      <w:r w:rsidR="00956A26" w:rsidRPr="003877E2">
        <w:rPr>
          <w:sz w:val="28"/>
          <w:szCs w:val="28"/>
        </w:rPr>
        <w:t>,</w:t>
      </w:r>
      <w:r w:rsidR="00B33442" w:rsidRPr="003877E2">
        <w:rPr>
          <w:sz w:val="28"/>
          <w:szCs w:val="28"/>
        </w:rPr>
        <w:t xml:space="preserve"> </w:t>
      </w:r>
      <w:r w:rsidR="00FB5484" w:rsidRPr="003877E2">
        <w:rPr>
          <w:sz w:val="28"/>
          <w:szCs w:val="28"/>
        </w:rPr>
        <w:t>n</w:t>
      </w:r>
      <w:r w:rsidR="00B33442" w:rsidRPr="003877E2">
        <w:rPr>
          <w:sz w:val="28"/>
          <w:szCs w:val="28"/>
        </w:rPr>
        <w:t xml:space="preserve">or </w:t>
      </w:r>
      <w:r w:rsidR="00FB5484" w:rsidRPr="003877E2">
        <w:rPr>
          <w:sz w:val="28"/>
          <w:szCs w:val="28"/>
        </w:rPr>
        <w:t xml:space="preserve">was </w:t>
      </w:r>
      <w:r w:rsidR="00B33442" w:rsidRPr="003877E2">
        <w:rPr>
          <w:sz w:val="28"/>
          <w:szCs w:val="28"/>
        </w:rPr>
        <w:t xml:space="preserve">the trial court </w:t>
      </w:r>
      <w:r w:rsidR="006E2F5C" w:rsidRPr="003877E2">
        <w:rPr>
          <w:sz w:val="28"/>
          <w:szCs w:val="28"/>
        </w:rPr>
        <w:t xml:space="preserve">requested </w:t>
      </w:r>
      <w:r w:rsidR="00FB5484" w:rsidRPr="003877E2">
        <w:rPr>
          <w:sz w:val="28"/>
          <w:szCs w:val="28"/>
        </w:rPr>
        <w:t xml:space="preserve">to </w:t>
      </w:r>
      <w:r w:rsidR="00B33442" w:rsidRPr="003877E2">
        <w:rPr>
          <w:sz w:val="28"/>
          <w:szCs w:val="28"/>
        </w:rPr>
        <w:t xml:space="preserve">stay the actions pending the </w:t>
      </w:r>
      <w:r w:rsidR="00FB5484" w:rsidRPr="003877E2">
        <w:rPr>
          <w:sz w:val="28"/>
          <w:szCs w:val="28"/>
        </w:rPr>
        <w:lastRenderedPageBreak/>
        <w:t xml:space="preserve">launching </w:t>
      </w:r>
      <w:r w:rsidR="00B33442" w:rsidRPr="003877E2">
        <w:rPr>
          <w:sz w:val="28"/>
          <w:szCs w:val="28"/>
        </w:rPr>
        <w:t xml:space="preserve">of the </w:t>
      </w:r>
      <w:r w:rsidR="003A3E7D" w:rsidRPr="003877E2">
        <w:rPr>
          <w:sz w:val="28"/>
          <w:szCs w:val="28"/>
        </w:rPr>
        <w:t>intended a</w:t>
      </w:r>
      <w:r w:rsidR="00B33442" w:rsidRPr="003877E2">
        <w:rPr>
          <w:sz w:val="28"/>
          <w:szCs w:val="28"/>
        </w:rPr>
        <w:t>pplication</w:t>
      </w:r>
      <w:r w:rsidR="003A3E7D" w:rsidRPr="003877E2">
        <w:rPr>
          <w:sz w:val="28"/>
          <w:szCs w:val="28"/>
        </w:rPr>
        <w:t xml:space="preserve"> to remove the Curator</w:t>
      </w:r>
      <w:r w:rsidR="00B33442" w:rsidRPr="003877E2">
        <w:rPr>
          <w:sz w:val="28"/>
          <w:szCs w:val="28"/>
        </w:rPr>
        <w:t>.</w:t>
      </w:r>
      <w:r w:rsidR="00FB5484" w:rsidRPr="003877E2">
        <w:rPr>
          <w:sz w:val="28"/>
          <w:szCs w:val="28"/>
        </w:rPr>
        <w:t xml:space="preserve"> Furthermore, t</w:t>
      </w:r>
      <w:r w:rsidR="00B33442" w:rsidRPr="003877E2">
        <w:rPr>
          <w:sz w:val="28"/>
          <w:szCs w:val="28"/>
        </w:rPr>
        <w:t xml:space="preserve">he removal application, once </w:t>
      </w:r>
      <w:r w:rsidR="003A3E7D" w:rsidRPr="003877E2">
        <w:rPr>
          <w:sz w:val="28"/>
          <w:szCs w:val="28"/>
        </w:rPr>
        <w:t>Allie J dismissed it,</w:t>
      </w:r>
      <w:r w:rsidR="00B33442" w:rsidRPr="003877E2">
        <w:rPr>
          <w:sz w:val="28"/>
          <w:szCs w:val="28"/>
        </w:rPr>
        <w:t xml:space="preserve"> went through various stages</w:t>
      </w:r>
      <w:r w:rsidR="00CA7E85" w:rsidRPr="003877E2">
        <w:rPr>
          <w:sz w:val="28"/>
          <w:szCs w:val="28"/>
        </w:rPr>
        <w:t>,</w:t>
      </w:r>
      <w:r w:rsidR="00B33442" w:rsidRPr="003877E2">
        <w:rPr>
          <w:sz w:val="28"/>
          <w:szCs w:val="28"/>
        </w:rPr>
        <w:t xml:space="preserve"> </w:t>
      </w:r>
      <w:r w:rsidR="006E2F5C" w:rsidRPr="003877E2">
        <w:rPr>
          <w:sz w:val="28"/>
          <w:szCs w:val="28"/>
        </w:rPr>
        <w:t>from</w:t>
      </w:r>
      <w:r w:rsidR="00B33442" w:rsidRPr="003877E2">
        <w:rPr>
          <w:sz w:val="28"/>
          <w:szCs w:val="28"/>
        </w:rPr>
        <w:t xml:space="preserve"> leave to appeal </w:t>
      </w:r>
      <w:r w:rsidR="00C41FD3" w:rsidRPr="003877E2">
        <w:rPr>
          <w:sz w:val="28"/>
          <w:szCs w:val="28"/>
        </w:rPr>
        <w:t xml:space="preserve">having been </w:t>
      </w:r>
      <w:r w:rsidR="003A3E7D" w:rsidRPr="003877E2">
        <w:rPr>
          <w:sz w:val="28"/>
          <w:szCs w:val="28"/>
        </w:rPr>
        <w:t xml:space="preserve">sought </w:t>
      </w:r>
      <w:r w:rsidR="00B33442" w:rsidRPr="003877E2">
        <w:rPr>
          <w:sz w:val="28"/>
          <w:szCs w:val="28"/>
        </w:rPr>
        <w:t>and granted</w:t>
      </w:r>
      <w:r w:rsidR="003A3E7D" w:rsidRPr="003877E2">
        <w:rPr>
          <w:sz w:val="28"/>
          <w:szCs w:val="28"/>
        </w:rPr>
        <w:t xml:space="preserve"> </w:t>
      </w:r>
      <w:r w:rsidR="006E2F5C" w:rsidRPr="003877E2">
        <w:rPr>
          <w:sz w:val="28"/>
          <w:szCs w:val="28"/>
        </w:rPr>
        <w:t>by</w:t>
      </w:r>
      <w:r w:rsidR="003A3E7D" w:rsidRPr="003877E2">
        <w:rPr>
          <w:sz w:val="28"/>
          <w:szCs w:val="28"/>
        </w:rPr>
        <w:t xml:space="preserve"> this Court</w:t>
      </w:r>
      <w:r w:rsidR="00956A26" w:rsidRPr="003877E2">
        <w:rPr>
          <w:sz w:val="28"/>
          <w:szCs w:val="28"/>
        </w:rPr>
        <w:t>, which</w:t>
      </w:r>
      <w:r w:rsidR="006E2F5C" w:rsidRPr="003877E2">
        <w:rPr>
          <w:sz w:val="28"/>
          <w:szCs w:val="28"/>
        </w:rPr>
        <w:t xml:space="preserve"> </w:t>
      </w:r>
      <w:r w:rsidR="00B33442" w:rsidRPr="003877E2">
        <w:rPr>
          <w:sz w:val="28"/>
          <w:szCs w:val="28"/>
        </w:rPr>
        <w:t>culminat</w:t>
      </w:r>
      <w:r w:rsidR="00956A26" w:rsidRPr="003877E2">
        <w:rPr>
          <w:sz w:val="28"/>
          <w:szCs w:val="28"/>
        </w:rPr>
        <w:t>ed</w:t>
      </w:r>
      <w:r w:rsidR="00B33442" w:rsidRPr="003877E2">
        <w:rPr>
          <w:sz w:val="28"/>
          <w:szCs w:val="28"/>
        </w:rPr>
        <w:t xml:space="preserve"> in the judgment of the full court. </w:t>
      </w:r>
      <w:r w:rsidR="00956A26" w:rsidRPr="003877E2">
        <w:rPr>
          <w:sz w:val="28"/>
          <w:szCs w:val="28"/>
        </w:rPr>
        <w:t xml:space="preserve">In all of that time there was no complaint by </w:t>
      </w:r>
      <w:r w:rsidR="00B33442" w:rsidRPr="003877E2">
        <w:rPr>
          <w:sz w:val="28"/>
          <w:szCs w:val="28"/>
        </w:rPr>
        <w:t>RGH. No intervention was sought even at th</w:t>
      </w:r>
      <w:r w:rsidR="00537808" w:rsidRPr="003877E2">
        <w:rPr>
          <w:sz w:val="28"/>
          <w:szCs w:val="28"/>
        </w:rPr>
        <w:t>e</w:t>
      </w:r>
      <w:r w:rsidR="00B33442" w:rsidRPr="003877E2">
        <w:rPr>
          <w:sz w:val="28"/>
          <w:szCs w:val="28"/>
        </w:rPr>
        <w:t xml:space="preserve"> application for leave to appeal stage</w:t>
      </w:r>
      <w:r w:rsidR="0036010F" w:rsidRPr="003877E2">
        <w:rPr>
          <w:sz w:val="28"/>
          <w:szCs w:val="28"/>
        </w:rPr>
        <w:t xml:space="preserve"> before the high court</w:t>
      </w:r>
      <w:r w:rsidR="00537808" w:rsidRPr="003877E2">
        <w:rPr>
          <w:sz w:val="28"/>
          <w:szCs w:val="28"/>
        </w:rPr>
        <w:t>.</w:t>
      </w:r>
      <w:r w:rsidR="0036010F" w:rsidRPr="003877E2">
        <w:rPr>
          <w:sz w:val="28"/>
          <w:szCs w:val="28"/>
        </w:rPr>
        <w:t xml:space="preserve"> N</w:t>
      </w:r>
      <w:r w:rsidR="00537808" w:rsidRPr="003877E2">
        <w:rPr>
          <w:sz w:val="28"/>
          <w:szCs w:val="28"/>
        </w:rPr>
        <w:t xml:space="preserve">o explanation </w:t>
      </w:r>
      <w:r w:rsidR="003A3E7D" w:rsidRPr="003877E2">
        <w:rPr>
          <w:sz w:val="28"/>
          <w:szCs w:val="28"/>
        </w:rPr>
        <w:t xml:space="preserve">has been provided </w:t>
      </w:r>
      <w:r w:rsidR="006E2F5C" w:rsidRPr="003877E2">
        <w:rPr>
          <w:sz w:val="28"/>
          <w:szCs w:val="28"/>
        </w:rPr>
        <w:t xml:space="preserve">to </w:t>
      </w:r>
      <w:r w:rsidR="00D54E5B" w:rsidRPr="003877E2">
        <w:rPr>
          <w:sz w:val="28"/>
          <w:szCs w:val="28"/>
        </w:rPr>
        <w:t>us for</w:t>
      </w:r>
      <w:r w:rsidR="00956A26" w:rsidRPr="003877E2">
        <w:rPr>
          <w:sz w:val="28"/>
          <w:szCs w:val="28"/>
        </w:rPr>
        <w:t xml:space="preserve"> </w:t>
      </w:r>
      <w:r w:rsidR="0036010F" w:rsidRPr="003877E2">
        <w:rPr>
          <w:sz w:val="28"/>
          <w:szCs w:val="28"/>
        </w:rPr>
        <w:t xml:space="preserve">the </w:t>
      </w:r>
      <w:r w:rsidR="00956A26" w:rsidRPr="003877E2">
        <w:rPr>
          <w:sz w:val="28"/>
          <w:szCs w:val="28"/>
        </w:rPr>
        <w:t xml:space="preserve">evident </w:t>
      </w:r>
      <w:r w:rsidR="0036010F" w:rsidRPr="003877E2">
        <w:rPr>
          <w:sz w:val="28"/>
          <w:szCs w:val="28"/>
        </w:rPr>
        <w:t xml:space="preserve">failure to raise the issue of ‘potential injustice’ to RAM </w:t>
      </w:r>
      <w:r w:rsidR="00956A26" w:rsidRPr="003877E2">
        <w:rPr>
          <w:sz w:val="28"/>
          <w:szCs w:val="28"/>
        </w:rPr>
        <w:t>earlier</w:t>
      </w:r>
      <w:r w:rsidR="00537808" w:rsidRPr="003877E2">
        <w:rPr>
          <w:sz w:val="28"/>
          <w:szCs w:val="28"/>
        </w:rPr>
        <w:t xml:space="preserve">. </w:t>
      </w:r>
      <w:r w:rsidR="006E2F5C" w:rsidRPr="003877E2">
        <w:rPr>
          <w:sz w:val="28"/>
          <w:szCs w:val="28"/>
        </w:rPr>
        <w:t>Clearly</w:t>
      </w:r>
      <w:r w:rsidR="00383266" w:rsidRPr="003877E2">
        <w:rPr>
          <w:sz w:val="28"/>
          <w:szCs w:val="28"/>
        </w:rPr>
        <w:t>,</w:t>
      </w:r>
      <w:r w:rsidR="006E2F5C" w:rsidRPr="003877E2">
        <w:rPr>
          <w:sz w:val="28"/>
          <w:szCs w:val="28"/>
        </w:rPr>
        <w:t xml:space="preserve"> the </w:t>
      </w:r>
      <w:r w:rsidR="0036010F" w:rsidRPr="003877E2">
        <w:rPr>
          <w:sz w:val="28"/>
          <w:szCs w:val="28"/>
        </w:rPr>
        <w:t>nature</w:t>
      </w:r>
      <w:r w:rsidR="00383266" w:rsidRPr="003877E2">
        <w:rPr>
          <w:sz w:val="28"/>
          <w:szCs w:val="28"/>
        </w:rPr>
        <w:t xml:space="preserve"> and extent</w:t>
      </w:r>
      <w:r w:rsidR="0036010F" w:rsidRPr="003877E2">
        <w:rPr>
          <w:sz w:val="28"/>
          <w:szCs w:val="28"/>
        </w:rPr>
        <w:t xml:space="preserve"> of the claims by the Curator against RAM, which are the subject of the cross-appeal, </w:t>
      </w:r>
      <w:r w:rsidR="00956A26" w:rsidRPr="003877E2">
        <w:rPr>
          <w:sz w:val="28"/>
          <w:szCs w:val="28"/>
        </w:rPr>
        <w:t xml:space="preserve">are </w:t>
      </w:r>
      <w:r w:rsidR="0036010F" w:rsidRPr="003877E2">
        <w:rPr>
          <w:sz w:val="28"/>
          <w:szCs w:val="28"/>
        </w:rPr>
        <w:t>not new</w:t>
      </w:r>
      <w:r w:rsidR="00970041" w:rsidRPr="003877E2">
        <w:rPr>
          <w:sz w:val="28"/>
          <w:szCs w:val="28"/>
        </w:rPr>
        <w:t>,</w:t>
      </w:r>
      <w:r w:rsidR="0036010F" w:rsidRPr="003877E2">
        <w:rPr>
          <w:sz w:val="28"/>
          <w:szCs w:val="28"/>
        </w:rPr>
        <w:t xml:space="preserve"> </w:t>
      </w:r>
      <w:r w:rsidR="00970041" w:rsidRPr="003877E2">
        <w:rPr>
          <w:sz w:val="28"/>
          <w:szCs w:val="28"/>
        </w:rPr>
        <w:t>having be</w:t>
      </w:r>
      <w:r w:rsidR="00CB5FE3" w:rsidRPr="003877E2">
        <w:rPr>
          <w:sz w:val="28"/>
          <w:szCs w:val="28"/>
        </w:rPr>
        <w:t>en</w:t>
      </w:r>
      <w:r w:rsidR="00970041" w:rsidRPr="003877E2">
        <w:rPr>
          <w:sz w:val="28"/>
          <w:szCs w:val="28"/>
        </w:rPr>
        <w:t xml:space="preserve"> raised since the inception of the matter </w:t>
      </w:r>
      <w:r w:rsidR="0036010F" w:rsidRPr="003877E2">
        <w:rPr>
          <w:sz w:val="28"/>
          <w:szCs w:val="28"/>
        </w:rPr>
        <w:t xml:space="preserve">in the pleadings. </w:t>
      </w:r>
    </w:p>
    <w:p w14:paraId="1384B1DA" w14:textId="77777777" w:rsidR="0036010F" w:rsidRPr="00FB564C" w:rsidRDefault="0036010F">
      <w:pPr>
        <w:pStyle w:val="ListParagraph"/>
        <w:rPr>
          <w:sz w:val="28"/>
          <w:szCs w:val="28"/>
        </w:rPr>
      </w:pPr>
    </w:p>
    <w:p w14:paraId="64A7BFC0" w14:textId="05D06845" w:rsidR="0031256B" w:rsidRPr="003877E2" w:rsidRDefault="003877E2" w:rsidP="003877E2">
      <w:pPr>
        <w:tabs>
          <w:tab w:val="left" w:pos="0"/>
        </w:tabs>
        <w:rPr>
          <w:sz w:val="28"/>
          <w:szCs w:val="28"/>
        </w:rPr>
      </w:pPr>
      <w:r w:rsidRPr="00FB564C">
        <w:rPr>
          <w:sz w:val="28"/>
          <w:szCs w:val="28"/>
        </w:rPr>
        <w:t>[42]</w:t>
      </w:r>
      <w:r w:rsidRPr="00FB564C">
        <w:rPr>
          <w:sz w:val="28"/>
          <w:szCs w:val="28"/>
        </w:rPr>
        <w:tab/>
      </w:r>
      <w:r w:rsidR="00970041" w:rsidRPr="003877E2">
        <w:rPr>
          <w:sz w:val="28"/>
          <w:szCs w:val="28"/>
        </w:rPr>
        <w:t>The application for the stay is made pending determination of the application to the Constitutional Court for leave to appeal the full court’s judgment.</w:t>
      </w:r>
      <w:r w:rsidR="00A85DFB" w:rsidRPr="003877E2">
        <w:rPr>
          <w:sz w:val="28"/>
          <w:szCs w:val="28"/>
        </w:rPr>
        <w:t xml:space="preserve"> </w:t>
      </w:r>
      <w:r w:rsidR="00970041" w:rsidRPr="003877E2">
        <w:rPr>
          <w:sz w:val="28"/>
          <w:szCs w:val="28"/>
        </w:rPr>
        <w:t xml:space="preserve">It seems to be predicated on </w:t>
      </w:r>
      <w:r w:rsidR="00A85DFB" w:rsidRPr="003877E2">
        <w:rPr>
          <w:sz w:val="28"/>
          <w:szCs w:val="28"/>
        </w:rPr>
        <w:t>a number of assumptions</w:t>
      </w:r>
      <w:r w:rsidR="00486824" w:rsidRPr="003877E2">
        <w:rPr>
          <w:sz w:val="28"/>
          <w:szCs w:val="28"/>
        </w:rPr>
        <w:t>:</w:t>
      </w:r>
      <w:r w:rsidR="00A85DFB" w:rsidRPr="003877E2">
        <w:rPr>
          <w:sz w:val="28"/>
          <w:szCs w:val="28"/>
        </w:rPr>
        <w:t xml:space="preserve"> </w:t>
      </w:r>
      <w:r w:rsidR="00BD0CE3" w:rsidRPr="003877E2">
        <w:rPr>
          <w:sz w:val="28"/>
          <w:szCs w:val="28"/>
        </w:rPr>
        <w:t>firstly,</w:t>
      </w:r>
      <w:r w:rsidR="00A85DFB" w:rsidRPr="003877E2">
        <w:rPr>
          <w:sz w:val="28"/>
          <w:szCs w:val="28"/>
        </w:rPr>
        <w:t xml:space="preserve"> that the</w:t>
      </w:r>
      <w:r w:rsidR="0031256B" w:rsidRPr="003877E2">
        <w:rPr>
          <w:sz w:val="28"/>
          <w:szCs w:val="28"/>
        </w:rPr>
        <w:t>re are</w:t>
      </w:r>
      <w:r w:rsidR="00A85DFB" w:rsidRPr="003877E2">
        <w:rPr>
          <w:sz w:val="28"/>
          <w:szCs w:val="28"/>
        </w:rPr>
        <w:t xml:space="preserve"> reasonable prospects that the application for leave to appeal to the Constitutional Court</w:t>
      </w:r>
      <w:r w:rsidR="007D48B9" w:rsidRPr="003877E2">
        <w:rPr>
          <w:sz w:val="28"/>
          <w:szCs w:val="28"/>
        </w:rPr>
        <w:t xml:space="preserve"> will succeed</w:t>
      </w:r>
      <w:r w:rsidR="00486824" w:rsidRPr="003877E2">
        <w:rPr>
          <w:sz w:val="28"/>
          <w:szCs w:val="28"/>
        </w:rPr>
        <w:t>;</w:t>
      </w:r>
      <w:r w:rsidR="007D48B9" w:rsidRPr="003877E2">
        <w:rPr>
          <w:sz w:val="28"/>
          <w:szCs w:val="28"/>
        </w:rPr>
        <w:t xml:space="preserve"> secondly, the appeal itself will be </w:t>
      </w:r>
      <w:r w:rsidR="00BD0CE3" w:rsidRPr="003877E2">
        <w:rPr>
          <w:sz w:val="28"/>
          <w:szCs w:val="28"/>
        </w:rPr>
        <w:t>upheld</w:t>
      </w:r>
      <w:r w:rsidR="00970041" w:rsidRPr="003877E2">
        <w:rPr>
          <w:sz w:val="28"/>
          <w:szCs w:val="28"/>
        </w:rPr>
        <w:t xml:space="preserve"> and consequently the </w:t>
      </w:r>
      <w:r w:rsidR="008C0F4E" w:rsidRPr="003877E2">
        <w:rPr>
          <w:sz w:val="28"/>
          <w:szCs w:val="28"/>
        </w:rPr>
        <w:t>C</w:t>
      </w:r>
      <w:r w:rsidR="00970041" w:rsidRPr="003877E2">
        <w:rPr>
          <w:sz w:val="28"/>
          <w:szCs w:val="28"/>
        </w:rPr>
        <w:t>urator will be removed</w:t>
      </w:r>
      <w:r w:rsidR="00486824" w:rsidRPr="003877E2">
        <w:rPr>
          <w:sz w:val="28"/>
          <w:szCs w:val="28"/>
        </w:rPr>
        <w:t>;</w:t>
      </w:r>
      <w:r w:rsidR="007D48B9" w:rsidRPr="003877E2">
        <w:rPr>
          <w:sz w:val="28"/>
          <w:szCs w:val="28"/>
        </w:rPr>
        <w:t xml:space="preserve"> and</w:t>
      </w:r>
      <w:r w:rsidR="00970041" w:rsidRPr="003877E2">
        <w:rPr>
          <w:sz w:val="28"/>
          <w:szCs w:val="28"/>
        </w:rPr>
        <w:t>,</w:t>
      </w:r>
      <w:r w:rsidR="007D48B9" w:rsidRPr="003877E2">
        <w:rPr>
          <w:sz w:val="28"/>
          <w:szCs w:val="28"/>
        </w:rPr>
        <w:t xml:space="preserve"> thirdly</w:t>
      </w:r>
      <w:r w:rsidR="00970041" w:rsidRPr="003877E2">
        <w:rPr>
          <w:sz w:val="28"/>
          <w:szCs w:val="28"/>
        </w:rPr>
        <w:t>,</w:t>
      </w:r>
      <w:r w:rsidR="007D48B9" w:rsidRPr="003877E2">
        <w:rPr>
          <w:sz w:val="28"/>
          <w:szCs w:val="28"/>
        </w:rPr>
        <w:t xml:space="preserve"> the Curator</w:t>
      </w:r>
      <w:r w:rsidR="00486824" w:rsidRPr="003877E2">
        <w:rPr>
          <w:sz w:val="28"/>
          <w:szCs w:val="28"/>
        </w:rPr>
        <w:t xml:space="preserve">’s replacement will, having weighed the options at that stage, consider it necessary to appoint legal representation for RAM in the appeal and cross-appeal. </w:t>
      </w:r>
      <w:r w:rsidR="0059529C" w:rsidRPr="003877E2">
        <w:rPr>
          <w:sz w:val="28"/>
          <w:szCs w:val="28"/>
        </w:rPr>
        <w:t xml:space="preserve">In any event, as counsel accepted </w:t>
      </w:r>
      <w:r w:rsidR="00DE41DB" w:rsidRPr="003877E2">
        <w:rPr>
          <w:sz w:val="28"/>
          <w:szCs w:val="28"/>
        </w:rPr>
        <w:t xml:space="preserve">in argument </w:t>
      </w:r>
      <w:r w:rsidR="0059529C" w:rsidRPr="003877E2">
        <w:rPr>
          <w:sz w:val="28"/>
          <w:szCs w:val="28"/>
        </w:rPr>
        <w:t>before</w:t>
      </w:r>
      <w:r w:rsidR="00DE41DB" w:rsidRPr="003877E2">
        <w:rPr>
          <w:sz w:val="28"/>
          <w:szCs w:val="28"/>
        </w:rPr>
        <w:t xml:space="preserve"> us, even if the appeal to the Constitutional Court were to succeed, at best, any order for the removal of the </w:t>
      </w:r>
      <w:r w:rsidR="0095602D" w:rsidRPr="003877E2">
        <w:rPr>
          <w:sz w:val="28"/>
          <w:szCs w:val="28"/>
        </w:rPr>
        <w:t>C</w:t>
      </w:r>
      <w:r w:rsidR="00DE41DB" w:rsidRPr="003877E2">
        <w:rPr>
          <w:sz w:val="28"/>
          <w:szCs w:val="28"/>
        </w:rPr>
        <w:t xml:space="preserve">urator can only operate with effect from the date of Allie J’s order. That being a date well after the finalisation of the trial before Ndita J means that those proceedings as well as her judgment, the subject of this appeal, would remain unaffected.    </w:t>
      </w:r>
    </w:p>
    <w:p w14:paraId="12741480" w14:textId="77777777" w:rsidR="00355F16" w:rsidRPr="00FB564C" w:rsidRDefault="00355F16">
      <w:pPr>
        <w:pStyle w:val="ListParagraph"/>
        <w:rPr>
          <w:sz w:val="28"/>
          <w:szCs w:val="28"/>
        </w:rPr>
      </w:pPr>
    </w:p>
    <w:p w14:paraId="0A432D9F" w14:textId="570A1DDD" w:rsidR="00D83F82" w:rsidRPr="003877E2" w:rsidRDefault="003877E2" w:rsidP="003877E2">
      <w:pPr>
        <w:tabs>
          <w:tab w:val="left" w:pos="0"/>
        </w:tabs>
        <w:rPr>
          <w:sz w:val="28"/>
          <w:szCs w:val="28"/>
        </w:rPr>
      </w:pPr>
      <w:r w:rsidRPr="00FB564C">
        <w:rPr>
          <w:sz w:val="28"/>
          <w:szCs w:val="28"/>
        </w:rPr>
        <w:t>[43]</w:t>
      </w:r>
      <w:r w:rsidRPr="00FB564C">
        <w:rPr>
          <w:sz w:val="28"/>
          <w:szCs w:val="28"/>
        </w:rPr>
        <w:tab/>
      </w:r>
      <w:r w:rsidR="00486824" w:rsidRPr="003877E2">
        <w:rPr>
          <w:sz w:val="28"/>
          <w:szCs w:val="28"/>
        </w:rPr>
        <w:t>Th</w:t>
      </w:r>
      <w:r w:rsidR="006804B1" w:rsidRPr="003877E2">
        <w:rPr>
          <w:sz w:val="28"/>
          <w:szCs w:val="28"/>
        </w:rPr>
        <w:t>i</w:t>
      </w:r>
      <w:r w:rsidR="00BD0CE3" w:rsidRPr="003877E2">
        <w:rPr>
          <w:sz w:val="28"/>
          <w:szCs w:val="28"/>
        </w:rPr>
        <w:t>s</w:t>
      </w:r>
      <w:r w:rsidR="0036010F" w:rsidRPr="003877E2">
        <w:rPr>
          <w:sz w:val="28"/>
          <w:szCs w:val="28"/>
        </w:rPr>
        <w:t xml:space="preserve"> m</w:t>
      </w:r>
      <w:r w:rsidR="00486824" w:rsidRPr="003877E2">
        <w:rPr>
          <w:sz w:val="28"/>
          <w:szCs w:val="28"/>
        </w:rPr>
        <w:t xml:space="preserve">ust </w:t>
      </w:r>
      <w:r w:rsidR="0036010F" w:rsidRPr="003877E2">
        <w:rPr>
          <w:sz w:val="28"/>
          <w:szCs w:val="28"/>
        </w:rPr>
        <w:t xml:space="preserve">also </w:t>
      </w:r>
      <w:r w:rsidR="00486824" w:rsidRPr="003877E2">
        <w:rPr>
          <w:sz w:val="28"/>
          <w:szCs w:val="28"/>
        </w:rPr>
        <w:t xml:space="preserve">be </w:t>
      </w:r>
      <w:r w:rsidR="0031256B" w:rsidRPr="003877E2">
        <w:rPr>
          <w:sz w:val="28"/>
          <w:szCs w:val="28"/>
        </w:rPr>
        <w:t xml:space="preserve">viewed </w:t>
      </w:r>
      <w:r w:rsidR="00486824" w:rsidRPr="003877E2">
        <w:rPr>
          <w:sz w:val="28"/>
          <w:szCs w:val="28"/>
        </w:rPr>
        <w:t xml:space="preserve">against the </w:t>
      </w:r>
      <w:r w:rsidR="0031256B" w:rsidRPr="003877E2">
        <w:rPr>
          <w:sz w:val="28"/>
          <w:szCs w:val="28"/>
        </w:rPr>
        <w:t xml:space="preserve">backdrop </w:t>
      </w:r>
      <w:r w:rsidR="00025525" w:rsidRPr="003877E2">
        <w:rPr>
          <w:sz w:val="28"/>
          <w:szCs w:val="28"/>
        </w:rPr>
        <w:t xml:space="preserve">that </w:t>
      </w:r>
      <w:r w:rsidR="0031256B" w:rsidRPr="003877E2">
        <w:rPr>
          <w:sz w:val="28"/>
          <w:szCs w:val="28"/>
        </w:rPr>
        <w:t xml:space="preserve">the process of </w:t>
      </w:r>
      <w:r w:rsidR="00486824" w:rsidRPr="003877E2">
        <w:rPr>
          <w:sz w:val="28"/>
          <w:szCs w:val="28"/>
        </w:rPr>
        <w:t>appoint</w:t>
      </w:r>
      <w:r w:rsidR="0031256B" w:rsidRPr="003877E2">
        <w:rPr>
          <w:sz w:val="28"/>
          <w:szCs w:val="28"/>
        </w:rPr>
        <w:t>ing</w:t>
      </w:r>
      <w:r w:rsidR="00486824" w:rsidRPr="003877E2">
        <w:rPr>
          <w:sz w:val="28"/>
          <w:szCs w:val="28"/>
        </w:rPr>
        <w:t xml:space="preserve"> a replacement curator</w:t>
      </w:r>
      <w:r w:rsidR="00D83F82" w:rsidRPr="003877E2">
        <w:rPr>
          <w:sz w:val="28"/>
          <w:szCs w:val="28"/>
        </w:rPr>
        <w:t xml:space="preserve"> </w:t>
      </w:r>
      <w:r w:rsidR="0036010F" w:rsidRPr="003877E2">
        <w:rPr>
          <w:sz w:val="28"/>
          <w:szCs w:val="28"/>
        </w:rPr>
        <w:t xml:space="preserve">might </w:t>
      </w:r>
      <w:r w:rsidR="00D83F82" w:rsidRPr="003877E2">
        <w:rPr>
          <w:sz w:val="28"/>
          <w:szCs w:val="28"/>
        </w:rPr>
        <w:t xml:space="preserve">take </w:t>
      </w:r>
      <w:r w:rsidR="006E30FB" w:rsidRPr="003877E2">
        <w:rPr>
          <w:sz w:val="28"/>
          <w:szCs w:val="28"/>
        </w:rPr>
        <w:t xml:space="preserve">time, </w:t>
      </w:r>
      <w:r w:rsidR="00D83F82" w:rsidRPr="003877E2">
        <w:rPr>
          <w:sz w:val="28"/>
          <w:szCs w:val="28"/>
        </w:rPr>
        <w:t>if the appeal is successful.</w:t>
      </w:r>
      <w:r w:rsidR="006E30FB" w:rsidRPr="003877E2">
        <w:rPr>
          <w:sz w:val="28"/>
          <w:szCs w:val="28"/>
        </w:rPr>
        <w:t xml:space="preserve"> </w:t>
      </w:r>
      <w:r w:rsidR="00D83F82" w:rsidRPr="003877E2">
        <w:rPr>
          <w:sz w:val="28"/>
          <w:szCs w:val="28"/>
        </w:rPr>
        <w:t>Th</w:t>
      </w:r>
      <w:r w:rsidR="006E30FB" w:rsidRPr="003877E2">
        <w:rPr>
          <w:sz w:val="28"/>
          <w:szCs w:val="28"/>
        </w:rPr>
        <w:t xml:space="preserve">is may prove to </w:t>
      </w:r>
      <w:r w:rsidR="006E30FB" w:rsidRPr="003877E2">
        <w:rPr>
          <w:sz w:val="28"/>
          <w:szCs w:val="28"/>
        </w:rPr>
        <w:lastRenderedPageBreak/>
        <w:t xml:space="preserve">be </w:t>
      </w:r>
      <w:r w:rsidR="00D83F82" w:rsidRPr="003877E2">
        <w:rPr>
          <w:sz w:val="28"/>
          <w:szCs w:val="28"/>
        </w:rPr>
        <w:t>prejudicial to</w:t>
      </w:r>
      <w:r w:rsidR="006E30FB" w:rsidRPr="003877E2">
        <w:rPr>
          <w:sz w:val="28"/>
          <w:szCs w:val="28"/>
        </w:rPr>
        <w:t xml:space="preserve"> the</w:t>
      </w:r>
      <w:r w:rsidR="00D83F82" w:rsidRPr="003877E2">
        <w:rPr>
          <w:sz w:val="28"/>
          <w:szCs w:val="28"/>
        </w:rPr>
        <w:t xml:space="preserve"> </w:t>
      </w:r>
      <w:r w:rsidR="00A10706" w:rsidRPr="003877E2">
        <w:rPr>
          <w:sz w:val="28"/>
          <w:szCs w:val="28"/>
        </w:rPr>
        <w:t>investors who have waited for close to a decade to have this matter finalised.</w:t>
      </w:r>
      <w:r w:rsidR="00BD0CE3" w:rsidRPr="003877E2">
        <w:rPr>
          <w:sz w:val="28"/>
          <w:szCs w:val="28"/>
        </w:rPr>
        <w:t xml:space="preserve"> At the end of the day, if the appellants are liable, </w:t>
      </w:r>
      <w:r w:rsidR="00D94097" w:rsidRPr="003877E2">
        <w:rPr>
          <w:sz w:val="28"/>
          <w:szCs w:val="28"/>
        </w:rPr>
        <w:t xml:space="preserve">the Curator must </w:t>
      </w:r>
      <w:r w:rsidR="00BD0CE3" w:rsidRPr="003877E2">
        <w:rPr>
          <w:sz w:val="28"/>
          <w:szCs w:val="28"/>
        </w:rPr>
        <w:t>be</w:t>
      </w:r>
      <w:r w:rsidR="00D94097" w:rsidRPr="003877E2">
        <w:rPr>
          <w:sz w:val="28"/>
          <w:szCs w:val="28"/>
        </w:rPr>
        <w:t xml:space="preserve"> placed in a position where he </w:t>
      </w:r>
      <w:r w:rsidR="008C0F4E" w:rsidRPr="003877E2">
        <w:rPr>
          <w:sz w:val="28"/>
          <w:szCs w:val="28"/>
        </w:rPr>
        <w:t xml:space="preserve">is </w:t>
      </w:r>
      <w:r w:rsidR="00BD0CE3" w:rsidRPr="003877E2">
        <w:rPr>
          <w:sz w:val="28"/>
          <w:szCs w:val="28"/>
        </w:rPr>
        <w:t>able to recover the misappropriated funds</w:t>
      </w:r>
      <w:r w:rsidR="00D94097" w:rsidRPr="003877E2">
        <w:rPr>
          <w:sz w:val="28"/>
          <w:szCs w:val="28"/>
        </w:rPr>
        <w:t>.</w:t>
      </w:r>
    </w:p>
    <w:p w14:paraId="4E39EC4D" w14:textId="77777777" w:rsidR="00A10706" w:rsidRPr="00FB564C" w:rsidRDefault="00A10706">
      <w:pPr>
        <w:pStyle w:val="ListParagraph"/>
        <w:rPr>
          <w:sz w:val="28"/>
          <w:szCs w:val="28"/>
        </w:rPr>
      </w:pPr>
    </w:p>
    <w:p w14:paraId="4882B881" w14:textId="1E8C6199" w:rsidR="008C0F4E" w:rsidRPr="003877E2" w:rsidRDefault="003877E2" w:rsidP="003877E2">
      <w:pPr>
        <w:tabs>
          <w:tab w:val="left" w:pos="0"/>
        </w:tabs>
        <w:rPr>
          <w:sz w:val="28"/>
          <w:szCs w:val="28"/>
        </w:rPr>
      </w:pPr>
      <w:r w:rsidRPr="00FB564C">
        <w:rPr>
          <w:sz w:val="28"/>
          <w:szCs w:val="28"/>
        </w:rPr>
        <w:t>[44]</w:t>
      </w:r>
      <w:r w:rsidRPr="00FB564C">
        <w:rPr>
          <w:sz w:val="28"/>
          <w:szCs w:val="28"/>
        </w:rPr>
        <w:tab/>
      </w:r>
      <w:r w:rsidR="00A10706" w:rsidRPr="003877E2">
        <w:rPr>
          <w:sz w:val="28"/>
          <w:szCs w:val="28"/>
        </w:rPr>
        <w:t xml:space="preserve">Counsel for </w:t>
      </w:r>
      <w:r w:rsidR="006E30FB" w:rsidRPr="003877E2">
        <w:rPr>
          <w:sz w:val="28"/>
          <w:szCs w:val="28"/>
        </w:rPr>
        <w:t xml:space="preserve">RGH </w:t>
      </w:r>
      <w:r w:rsidR="00A10706" w:rsidRPr="003877E2">
        <w:rPr>
          <w:sz w:val="28"/>
          <w:szCs w:val="28"/>
        </w:rPr>
        <w:t xml:space="preserve">contended </w:t>
      </w:r>
      <w:r w:rsidR="006E30FB" w:rsidRPr="003877E2">
        <w:rPr>
          <w:sz w:val="28"/>
          <w:szCs w:val="28"/>
        </w:rPr>
        <w:t xml:space="preserve">that </w:t>
      </w:r>
      <w:r w:rsidR="00455CC5" w:rsidRPr="003877E2">
        <w:rPr>
          <w:sz w:val="28"/>
          <w:szCs w:val="28"/>
        </w:rPr>
        <w:t xml:space="preserve">RAM’s </w:t>
      </w:r>
      <w:r w:rsidR="006E30FB" w:rsidRPr="003877E2">
        <w:rPr>
          <w:sz w:val="28"/>
          <w:szCs w:val="28"/>
        </w:rPr>
        <w:t xml:space="preserve">fundamental rights </w:t>
      </w:r>
      <w:r w:rsidR="00A10706" w:rsidRPr="003877E2">
        <w:rPr>
          <w:sz w:val="28"/>
          <w:szCs w:val="28"/>
        </w:rPr>
        <w:t xml:space="preserve">in terms of s 34 of the Constitution </w:t>
      </w:r>
      <w:r w:rsidR="006E30FB" w:rsidRPr="003877E2">
        <w:rPr>
          <w:sz w:val="28"/>
          <w:szCs w:val="28"/>
        </w:rPr>
        <w:t>ha</w:t>
      </w:r>
      <w:r w:rsidR="00A10706" w:rsidRPr="003877E2">
        <w:rPr>
          <w:sz w:val="28"/>
          <w:szCs w:val="28"/>
        </w:rPr>
        <w:t>d</w:t>
      </w:r>
      <w:r w:rsidR="006E30FB" w:rsidRPr="003877E2">
        <w:rPr>
          <w:sz w:val="28"/>
          <w:szCs w:val="28"/>
        </w:rPr>
        <w:t xml:space="preserve"> been denuded.</w:t>
      </w:r>
      <w:r w:rsidR="00455CC5" w:rsidRPr="003877E2">
        <w:rPr>
          <w:sz w:val="28"/>
          <w:szCs w:val="28"/>
        </w:rPr>
        <w:t xml:space="preserve"> </w:t>
      </w:r>
      <w:r w:rsidR="00AF2D6A" w:rsidRPr="003877E2">
        <w:rPr>
          <w:sz w:val="28"/>
          <w:szCs w:val="28"/>
        </w:rPr>
        <w:t xml:space="preserve">But, whatever superficial appeal there may be to that contention, it is not a question that is to be decided in the abstract. </w:t>
      </w:r>
      <w:r w:rsidR="00455CC5" w:rsidRPr="003877E2">
        <w:rPr>
          <w:sz w:val="28"/>
          <w:szCs w:val="28"/>
        </w:rPr>
        <w:t xml:space="preserve">In this case, RGH’s conduct over the period of eight years is telling. </w:t>
      </w:r>
      <w:r w:rsidR="00A10706" w:rsidRPr="003877E2">
        <w:rPr>
          <w:sz w:val="28"/>
          <w:szCs w:val="28"/>
        </w:rPr>
        <w:t xml:space="preserve">Besides its failure to raise the issues early in the action proceedings, </w:t>
      </w:r>
      <w:r w:rsidR="00111CBA" w:rsidRPr="003877E2">
        <w:rPr>
          <w:sz w:val="28"/>
          <w:szCs w:val="28"/>
        </w:rPr>
        <w:t>the application before Allie J was not about RAM’s lack of legal representation in the action proceedings but about the removal of the Curator</w:t>
      </w:r>
      <w:r w:rsidR="00D73213" w:rsidRPr="003877E2">
        <w:rPr>
          <w:sz w:val="28"/>
          <w:szCs w:val="28"/>
        </w:rPr>
        <w:t xml:space="preserve"> from RAM, alternatively, </w:t>
      </w:r>
      <w:r w:rsidR="00A10706" w:rsidRPr="003877E2">
        <w:rPr>
          <w:sz w:val="28"/>
          <w:szCs w:val="28"/>
        </w:rPr>
        <w:t xml:space="preserve">from </w:t>
      </w:r>
      <w:r w:rsidR="00D73213" w:rsidRPr="003877E2">
        <w:rPr>
          <w:sz w:val="28"/>
          <w:szCs w:val="28"/>
        </w:rPr>
        <w:t>all entities</w:t>
      </w:r>
      <w:r w:rsidR="00382C4D" w:rsidRPr="003877E2">
        <w:rPr>
          <w:sz w:val="28"/>
          <w:szCs w:val="28"/>
        </w:rPr>
        <w:t xml:space="preserve"> for a variety of reasons including RAM’s insolvency</w:t>
      </w:r>
      <w:r w:rsidR="00D73213" w:rsidRPr="003877E2">
        <w:rPr>
          <w:sz w:val="28"/>
          <w:szCs w:val="28"/>
        </w:rPr>
        <w:t xml:space="preserve">. </w:t>
      </w:r>
      <w:r w:rsidR="00A10706" w:rsidRPr="003877E2">
        <w:rPr>
          <w:sz w:val="28"/>
          <w:szCs w:val="28"/>
        </w:rPr>
        <w:t xml:space="preserve">The </w:t>
      </w:r>
      <w:r w:rsidR="008C0F4E" w:rsidRPr="003877E2">
        <w:rPr>
          <w:sz w:val="28"/>
          <w:szCs w:val="28"/>
        </w:rPr>
        <w:t>focus has</w:t>
      </w:r>
      <w:r w:rsidR="00DE41DB" w:rsidRPr="003877E2">
        <w:rPr>
          <w:sz w:val="28"/>
          <w:szCs w:val="28"/>
        </w:rPr>
        <w:t xml:space="preserve"> </w:t>
      </w:r>
      <w:r w:rsidR="006A254E" w:rsidRPr="003877E2">
        <w:rPr>
          <w:sz w:val="28"/>
          <w:szCs w:val="28"/>
        </w:rPr>
        <w:t xml:space="preserve">now </w:t>
      </w:r>
      <w:r w:rsidR="00A10706" w:rsidRPr="003877E2">
        <w:rPr>
          <w:sz w:val="28"/>
          <w:szCs w:val="28"/>
        </w:rPr>
        <w:t>narrowed</w:t>
      </w:r>
      <w:r w:rsidR="00DE41DB" w:rsidRPr="003877E2">
        <w:rPr>
          <w:sz w:val="28"/>
          <w:szCs w:val="28"/>
        </w:rPr>
        <w:t xml:space="preserve"> considerably:</w:t>
      </w:r>
      <w:r w:rsidR="00A10706" w:rsidRPr="003877E2">
        <w:rPr>
          <w:sz w:val="28"/>
          <w:szCs w:val="28"/>
        </w:rPr>
        <w:t xml:space="preserve"> </w:t>
      </w:r>
      <w:r w:rsidR="006A254E" w:rsidRPr="003877E2">
        <w:rPr>
          <w:sz w:val="28"/>
          <w:szCs w:val="28"/>
        </w:rPr>
        <w:t xml:space="preserve">it is </w:t>
      </w:r>
      <w:r w:rsidR="00A10706" w:rsidRPr="003877E2">
        <w:rPr>
          <w:sz w:val="28"/>
          <w:szCs w:val="28"/>
        </w:rPr>
        <w:t xml:space="preserve">about </w:t>
      </w:r>
      <w:r w:rsidR="006A254E" w:rsidRPr="003877E2">
        <w:rPr>
          <w:sz w:val="28"/>
          <w:szCs w:val="28"/>
        </w:rPr>
        <w:t xml:space="preserve">the right to </w:t>
      </w:r>
      <w:r w:rsidR="00A10706" w:rsidRPr="003877E2">
        <w:rPr>
          <w:sz w:val="28"/>
          <w:szCs w:val="28"/>
        </w:rPr>
        <w:t>legal representation</w:t>
      </w:r>
      <w:r w:rsidR="00382C4D" w:rsidRPr="003877E2">
        <w:rPr>
          <w:sz w:val="28"/>
          <w:szCs w:val="28"/>
        </w:rPr>
        <w:t xml:space="preserve"> in the current proceedings</w:t>
      </w:r>
      <w:r w:rsidR="00A10706" w:rsidRPr="003877E2">
        <w:rPr>
          <w:sz w:val="28"/>
          <w:szCs w:val="28"/>
        </w:rPr>
        <w:t xml:space="preserve">. </w:t>
      </w:r>
    </w:p>
    <w:p w14:paraId="1F20DD2D" w14:textId="77777777" w:rsidR="008C0F4E" w:rsidRPr="00FB564C" w:rsidRDefault="008C0F4E">
      <w:pPr>
        <w:pStyle w:val="ListParagraph"/>
        <w:rPr>
          <w:sz w:val="28"/>
          <w:szCs w:val="28"/>
        </w:rPr>
      </w:pPr>
    </w:p>
    <w:p w14:paraId="1F2B2103" w14:textId="0B322733" w:rsidR="00F43277" w:rsidRPr="003877E2" w:rsidRDefault="003877E2" w:rsidP="003877E2">
      <w:pPr>
        <w:tabs>
          <w:tab w:val="left" w:pos="0"/>
        </w:tabs>
        <w:rPr>
          <w:sz w:val="28"/>
          <w:szCs w:val="28"/>
        </w:rPr>
      </w:pPr>
      <w:r w:rsidRPr="00FB564C">
        <w:rPr>
          <w:sz w:val="28"/>
          <w:szCs w:val="28"/>
        </w:rPr>
        <w:t>[45]</w:t>
      </w:r>
      <w:r w:rsidRPr="00FB564C">
        <w:rPr>
          <w:sz w:val="28"/>
          <w:szCs w:val="28"/>
        </w:rPr>
        <w:tab/>
      </w:r>
      <w:r w:rsidR="00A10706" w:rsidRPr="003877E2">
        <w:rPr>
          <w:sz w:val="28"/>
          <w:szCs w:val="28"/>
        </w:rPr>
        <w:t xml:space="preserve"> </w:t>
      </w:r>
      <w:r w:rsidR="006A254E" w:rsidRPr="003877E2">
        <w:rPr>
          <w:sz w:val="28"/>
          <w:szCs w:val="28"/>
        </w:rPr>
        <w:t>As I have endeavoured to show</w:t>
      </w:r>
      <w:r w:rsidR="006804B1" w:rsidRPr="003877E2">
        <w:rPr>
          <w:sz w:val="28"/>
          <w:szCs w:val="28"/>
        </w:rPr>
        <w:t>,</w:t>
      </w:r>
      <w:r w:rsidR="006A254E" w:rsidRPr="003877E2">
        <w:rPr>
          <w:sz w:val="28"/>
          <w:szCs w:val="28"/>
        </w:rPr>
        <w:t xml:space="preserve"> </w:t>
      </w:r>
      <w:r w:rsidR="008C0F4E" w:rsidRPr="003877E2">
        <w:rPr>
          <w:sz w:val="28"/>
          <w:szCs w:val="28"/>
        </w:rPr>
        <w:t>staying</w:t>
      </w:r>
      <w:r w:rsidR="00A10706" w:rsidRPr="003877E2">
        <w:rPr>
          <w:sz w:val="28"/>
          <w:szCs w:val="28"/>
        </w:rPr>
        <w:t xml:space="preserve"> the appeal process will </w:t>
      </w:r>
      <w:r w:rsidR="008C0F4E" w:rsidRPr="003877E2">
        <w:rPr>
          <w:sz w:val="28"/>
          <w:szCs w:val="28"/>
        </w:rPr>
        <w:t>not address</w:t>
      </w:r>
      <w:r w:rsidR="006A254E" w:rsidRPr="003877E2">
        <w:rPr>
          <w:sz w:val="28"/>
          <w:szCs w:val="28"/>
        </w:rPr>
        <w:t xml:space="preserve"> </w:t>
      </w:r>
      <w:r w:rsidR="00A10706" w:rsidRPr="003877E2">
        <w:rPr>
          <w:sz w:val="28"/>
          <w:szCs w:val="28"/>
        </w:rPr>
        <w:t xml:space="preserve">any defect that might </w:t>
      </w:r>
      <w:r w:rsidR="006A254E" w:rsidRPr="003877E2">
        <w:rPr>
          <w:sz w:val="28"/>
          <w:szCs w:val="28"/>
        </w:rPr>
        <w:t xml:space="preserve">already </w:t>
      </w:r>
      <w:r w:rsidR="00A10706" w:rsidRPr="003877E2">
        <w:rPr>
          <w:sz w:val="28"/>
          <w:szCs w:val="28"/>
        </w:rPr>
        <w:t>have arisen</w:t>
      </w:r>
      <w:r w:rsidR="006A254E" w:rsidRPr="003877E2">
        <w:rPr>
          <w:sz w:val="28"/>
          <w:szCs w:val="28"/>
        </w:rPr>
        <w:t xml:space="preserve"> in the </w:t>
      </w:r>
      <w:r w:rsidR="000567CB" w:rsidRPr="003877E2">
        <w:rPr>
          <w:sz w:val="28"/>
          <w:szCs w:val="28"/>
        </w:rPr>
        <w:t xml:space="preserve">earlier </w:t>
      </w:r>
      <w:r w:rsidR="006A254E" w:rsidRPr="003877E2">
        <w:rPr>
          <w:sz w:val="28"/>
          <w:szCs w:val="28"/>
        </w:rPr>
        <w:t>proceedings.</w:t>
      </w:r>
      <w:r w:rsidR="008C0F4E" w:rsidRPr="003877E2">
        <w:rPr>
          <w:sz w:val="28"/>
          <w:szCs w:val="28"/>
        </w:rPr>
        <w:t xml:space="preserve"> </w:t>
      </w:r>
      <w:r w:rsidR="006A254E" w:rsidRPr="003877E2">
        <w:rPr>
          <w:sz w:val="28"/>
          <w:szCs w:val="28"/>
        </w:rPr>
        <w:t xml:space="preserve">It must also be remembered that even if a new curator </w:t>
      </w:r>
      <w:r w:rsidR="008C0F4E" w:rsidRPr="003877E2">
        <w:rPr>
          <w:sz w:val="28"/>
          <w:szCs w:val="28"/>
        </w:rPr>
        <w:t>were</w:t>
      </w:r>
      <w:r w:rsidR="006A254E" w:rsidRPr="003877E2">
        <w:rPr>
          <w:sz w:val="28"/>
          <w:szCs w:val="28"/>
        </w:rPr>
        <w:t xml:space="preserve"> appointed, such new curator on behalf of RAM would not have an appeal as of right to this </w:t>
      </w:r>
      <w:r w:rsidR="008C0F4E" w:rsidRPr="003877E2">
        <w:rPr>
          <w:sz w:val="28"/>
          <w:szCs w:val="28"/>
        </w:rPr>
        <w:t>C</w:t>
      </w:r>
      <w:r w:rsidR="006A254E" w:rsidRPr="003877E2">
        <w:rPr>
          <w:sz w:val="28"/>
          <w:szCs w:val="28"/>
        </w:rPr>
        <w:t xml:space="preserve">ourt. Leave to appeal would first have to be sought and obtained. This, in circumstances where the matter proceeded to trial against RAM on an undefended basis. </w:t>
      </w:r>
      <w:r w:rsidR="00AF2D6A" w:rsidRPr="003877E2">
        <w:rPr>
          <w:sz w:val="28"/>
          <w:szCs w:val="28"/>
        </w:rPr>
        <w:t>In this instance</w:t>
      </w:r>
      <w:r w:rsidR="000A40F2" w:rsidRPr="003877E2">
        <w:rPr>
          <w:sz w:val="28"/>
          <w:szCs w:val="28"/>
        </w:rPr>
        <w:t>,</w:t>
      </w:r>
      <w:r w:rsidR="00AF2D6A" w:rsidRPr="003877E2">
        <w:rPr>
          <w:sz w:val="28"/>
          <w:szCs w:val="28"/>
        </w:rPr>
        <w:t xml:space="preserve"> any prejudice that RAM may suffer (and in this regard it is important to emphasise that no actual prejudice was asserted) must be weighed against the interests of the other parties to the litigation, considerations of the convenience of this Court and the overarching interests of justice. It is difficult to resist the </w:t>
      </w:r>
      <w:r w:rsidR="00CB5FE3" w:rsidRPr="003877E2">
        <w:rPr>
          <w:sz w:val="28"/>
          <w:szCs w:val="28"/>
        </w:rPr>
        <w:t xml:space="preserve">inference </w:t>
      </w:r>
      <w:r w:rsidR="00AF2D6A" w:rsidRPr="003877E2">
        <w:rPr>
          <w:sz w:val="28"/>
          <w:szCs w:val="28"/>
        </w:rPr>
        <w:t xml:space="preserve">that this application is an opportunistic and perhaps even cynical attempt to delay finalisation of the matter. </w:t>
      </w:r>
      <w:r w:rsidR="005712FE" w:rsidRPr="003877E2">
        <w:rPr>
          <w:sz w:val="28"/>
          <w:szCs w:val="28"/>
        </w:rPr>
        <w:t>Why else would Oaker</w:t>
      </w:r>
      <w:r w:rsidR="00F8255C" w:rsidRPr="003877E2">
        <w:rPr>
          <w:sz w:val="28"/>
          <w:szCs w:val="28"/>
        </w:rPr>
        <w:t xml:space="preserve"> and RGH</w:t>
      </w:r>
      <w:r w:rsidR="005712FE" w:rsidRPr="003877E2">
        <w:rPr>
          <w:sz w:val="28"/>
          <w:szCs w:val="28"/>
        </w:rPr>
        <w:t>,</w:t>
      </w:r>
      <w:r w:rsidR="00F8255C" w:rsidRPr="003877E2">
        <w:rPr>
          <w:sz w:val="28"/>
          <w:szCs w:val="28"/>
        </w:rPr>
        <w:t xml:space="preserve"> purporting to act in the interests of</w:t>
      </w:r>
      <w:r w:rsidR="005712FE" w:rsidRPr="003877E2">
        <w:rPr>
          <w:sz w:val="28"/>
          <w:szCs w:val="28"/>
        </w:rPr>
        <w:t xml:space="preserve"> </w:t>
      </w:r>
      <w:r w:rsidR="005712FE" w:rsidRPr="003877E2">
        <w:rPr>
          <w:sz w:val="28"/>
          <w:szCs w:val="28"/>
        </w:rPr>
        <w:lastRenderedPageBreak/>
        <w:t>RAM, have waited until after the judgment of Ndita J, when the writing was clearly on the wall, before raising this challenge</w:t>
      </w:r>
      <w:r w:rsidR="00317B1C" w:rsidRPr="003877E2">
        <w:rPr>
          <w:sz w:val="28"/>
          <w:szCs w:val="28"/>
        </w:rPr>
        <w:t xml:space="preserve">? </w:t>
      </w:r>
      <w:r w:rsidR="00A10706" w:rsidRPr="003877E2">
        <w:rPr>
          <w:sz w:val="28"/>
          <w:szCs w:val="28"/>
        </w:rPr>
        <w:t>I conclude</w:t>
      </w:r>
      <w:r w:rsidR="00382C4D" w:rsidRPr="003877E2">
        <w:rPr>
          <w:sz w:val="28"/>
          <w:szCs w:val="28"/>
        </w:rPr>
        <w:t>,</w:t>
      </w:r>
      <w:r w:rsidR="00A10706" w:rsidRPr="003877E2">
        <w:rPr>
          <w:sz w:val="28"/>
          <w:szCs w:val="28"/>
        </w:rPr>
        <w:t xml:space="preserve"> therefore</w:t>
      </w:r>
      <w:r w:rsidR="00382C4D" w:rsidRPr="003877E2">
        <w:rPr>
          <w:sz w:val="28"/>
          <w:szCs w:val="28"/>
        </w:rPr>
        <w:t>,</w:t>
      </w:r>
      <w:r w:rsidR="00A10706" w:rsidRPr="003877E2">
        <w:rPr>
          <w:sz w:val="28"/>
          <w:szCs w:val="28"/>
        </w:rPr>
        <w:t xml:space="preserve"> that the stay application </w:t>
      </w:r>
      <w:r w:rsidR="00F43277" w:rsidRPr="003877E2">
        <w:rPr>
          <w:sz w:val="28"/>
          <w:szCs w:val="28"/>
        </w:rPr>
        <w:t>has</w:t>
      </w:r>
      <w:r w:rsidR="00A10706" w:rsidRPr="003877E2">
        <w:rPr>
          <w:sz w:val="28"/>
          <w:szCs w:val="28"/>
        </w:rPr>
        <w:t xml:space="preserve"> no merit</w:t>
      </w:r>
      <w:r w:rsidR="00F43277" w:rsidRPr="003877E2">
        <w:rPr>
          <w:sz w:val="28"/>
          <w:szCs w:val="28"/>
        </w:rPr>
        <w:t>. It will unjustly delay the finalisation of the appeal process</w:t>
      </w:r>
      <w:r w:rsidR="00382C4D" w:rsidRPr="003877E2">
        <w:rPr>
          <w:sz w:val="28"/>
          <w:szCs w:val="28"/>
        </w:rPr>
        <w:t xml:space="preserve"> and i</w:t>
      </w:r>
      <w:r w:rsidR="00A10706" w:rsidRPr="003877E2">
        <w:rPr>
          <w:sz w:val="28"/>
          <w:szCs w:val="28"/>
        </w:rPr>
        <w:t>t must therefore fail.</w:t>
      </w:r>
      <w:r w:rsidR="00F43277" w:rsidRPr="003877E2">
        <w:rPr>
          <w:sz w:val="28"/>
          <w:szCs w:val="28"/>
        </w:rPr>
        <w:t xml:space="preserve"> RGH </w:t>
      </w:r>
      <w:r w:rsidR="005712FE" w:rsidRPr="003877E2">
        <w:rPr>
          <w:sz w:val="28"/>
          <w:szCs w:val="28"/>
        </w:rPr>
        <w:t xml:space="preserve">is obviously </w:t>
      </w:r>
      <w:r w:rsidR="00F43277" w:rsidRPr="003877E2">
        <w:rPr>
          <w:sz w:val="28"/>
          <w:szCs w:val="28"/>
        </w:rPr>
        <w:t xml:space="preserve">liable to pay the Curator’s costs in respect </w:t>
      </w:r>
      <w:r w:rsidR="006804B1" w:rsidRPr="003877E2">
        <w:rPr>
          <w:sz w:val="28"/>
          <w:szCs w:val="28"/>
        </w:rPr>
        <w:t xml:space="preserve">of </w:t>
      </w:r>
      <w:r w:rsidR="00F43277" w:rsidRPr="003877E2">
        <w:rPr>
          <w:sz w:val="28"/>
          <w:szCs w:val="28"/>
        </w:rPr>
        <w:t xml:space="preserve">both this application and the one preceding it. I turn to consider the appeal and the cross-appeal. </w:t>
      </w:r>
    </w:p>
    <w:p w14:paraId="549E3E2A" w14:textId="77777777" w:rsidR="00B61CF1" w:rsidRPr="00FB564C" w:rsidRDefault="00B61CF1">
      <w:pPr>
        <w:tabs>
          <w:tab w:val="left" w:pos="0"/>
        </w:tabs>
        <w:rPr>
          <w:sz w:val="28"/>
          <w:szCs w:val="28"/>
        </w:rPr>
      </w:pPr>
    </w:p>
    <w:p w14:paraId="55C3B570" w14:textId="77777777" w:rsidR="00F43277" w:rsidRPr="00FB564C" w:rsidRDefault="00B61CF1" w:rsidP="008F4835">
      <w:pPr>
        <w:tabs>
          <w:tab w:val="left" w:pos="0"/>
        </w:tabs>
        <w:rPr>
          <w:b/>
          <w:sz w:val="28"/>
          <w:szCs w:val="28"/>
        </w:rPr>
      </w:pPr>
      <w:r w:rsidRPr="00FB564C">
        <w:rPr>
          <w:b/>
          <w:sz w:val="28"/>
          <w:szCs w:val="28"/>
        </w:rPr>
        <w:t>The appeal and cross-appeal</w:t>
      </w:r>
    </w:p>
    <w:p w14:paraId="77417460" w14:textId="5945C218" w:rsidR="00287BCB" w:rsidRPr="003877E2" w:rsidRDefault="003877E2" w:rsidP="003877E2">
      <w:pPr>
        <w:tabs>
          <w:tab w:val="left" w:pos="0"/>
        </w:tabs>
        <w:rPr>
          <w:b/>
          <w:sz w:val="28"/>
          <w:szCs w:val="28"/>
        </w:rPr>
      </w:pPr>
      <w:r w:rsidRPr="00FB564C">
        <w:rPr>
          <w:sz w:val="28"/>
          <w:szCs w:val="28"/>
        </w:rPr>
        <w:t>[46]</w:t>
      </w:r>
      <w:r w:rsidRPr="00FB564C">
        <w:rPr>
          <w:sz w:val="28"/>
          <w:szCs w:val="28"/>
        </w:rPr>
        <w:tab/>
      </w:r>
      <w:r w:rsidR="00B61CF1" w:rsidRPr="003877E2">
        <w:rPr>
          <w:sz w:val="28"/>
          <w:szCs w:val="28"/>
        </w:rPr>
        <w:t>As a starting point it is apposite to restate</w:t>
      </w:r>
      <w:r w:rsidR="00382C4D" w:rsidRPr="003877E2">
        <w:rPr>
          <w:sz w:val="28"/>
          <w:szCs w:val="28"/>
        </w:rPr>
        <w:t xml:space="preserve"> </w:t>
      </w:r>
      <w:r w:rsidR="009B0E16" w:rsidRPr="003877E2">
        <w:rPr>
          <w:sz w:val="28"/>
          <w:szCs w:val="28"/>
        </w:rPr>
        <w:t xml:space="preserve">that </w:t>
      </w:r>
      <w:r w:rsidR="00B61CF1" w:rsidRPr="003877E2">
        <w:rPr>
          <w:sz w:val="28"/>
          <w:szCs w:val="28"/>
        </w:rPr>
        <w:t>t</w:t>
      </w:r>
      <w:r w:rsidR="006649E5" w:rsidRPr="003877E2">
        <w:rPr>
          <w:sz w:val="28"/>
          <w:szCs w:val="28"/>
        </w:rPr>
        <w:t>h</w:t>
      </w:r>
      <w:r w:rsidR="005712FE" w:rsidRPr="003877E2">
        <w:rPr>
          <w:sz w:val="28"/>
          <w:szCs w:val="28"/>
        </w:rPr>
        <w:t>is</w:t>
      </w:r>
      <w:r w:rsidR="006649E5" w:rsidRPr="003877E2">
        <w:rPr>
          <w:sz w:val="28"/>
          <w:szCs w:val="28"/>
        </w:rPr>
        <w:t xml:space="preserve"> </w:t>
      </w:r>
      <w:r w:rsidR="000314DF" w:rsidRPr="003877E2">
        <w:rPr>
          <w:sz w:val="28"/>
          <w:szCs w:val="28"/>
        </w:rPr>
        <w:t>C</w:t>
      </w:r>
      <w:r w:rsidR="006649E5" w:rsidRPr="003877E2">
        <w:rPr>
          <w:sz w:val="28"/>
          <w:szCs w:val="28"/>
        </w:rPr>
        <w:t xml:space="preserve">ourt’s power to interfere </w:t>
      </w:r>
      <w:r w:rsidR="005712FE" w:rsidRPr="003877E2">
        <w:rPr>
          <w:sz w:val="28"/>
          <w:szCs w:val="28"/>
        </w:rPr>
        <w:t xml:space="preserve">on appeal </w:t>
      </w:r>
      <w:r w:rsidR="006649E5" w:rsidRPr="003877E2">
        <w:rPr>
          <w:sz w:val="28"/>
          <w:szCs w:val="28"/>
        </w:rPr>
        <w:t xml:space="preserve">with the findings of fact </w:t>
      </w:r>
      <w:r w:rsidR="009B0E16" w:rsidRPr="003877E2">
        <w:rPr>
          <w:sz w:val="28"/>
          <w:szCs w:val="28"/>
        </w:rPr>
        <w:t>of a</w:t>
      </w:r>
      <w:r w:rsidR="005712FE" w:rsidRPr="003877E2">
        <w:rPr>
          <w:sz w:val="28"/>
          <w:szCs w:val="28"/>
        </w:rPr>
        <w:t xml:space="preserve"> </w:t>
      </w:r>
      <w:r w:rsidR="006649E5" w:rsidRPr="003877E2">
        <w:rPr>
          <w:sz w:val="28"/>
          <w:szCs w:val="28"/>
        </w:rPr>
        <w:t>trial court</w:t>
      </w:r>
      <w:r w:rsidR="009B0E16" w:rsidRPr="003877E2">
        <w:rPr>
          <w:sz w:val="28"/>
          <w:szCs w:val="28"/>
        </w:rPr>
        <w:t xml:space="preserve"> are limited</w:t>
      </w:r>
      <w:bookmarkStart w:id="6" w:name="0-0-0-176097"/>
      <w:bookmarkEnd w:id="6"/>
      <w:r w:rsidR="009B0E16" w:rsidRPr="003877E2">
        <w:rPr>
          <w:sz w:val="28"/>
          <w:szCs w:val="28"/>
        </w:rPr>
        <w:t xml:space="preserve"> ‘b</w:t>
      </w:r>
      <w:r w:rsidR="009B0E16" w:rsidRPr="003877E2">
        <w:rPr>
          <w:color w:val="000000"/>
          <w:sz w:val="28"/>
          <w:szCs w:val="28"/>
          <w:lang w:val="en-US"/>
        </w:rPr>
        <w:t>ut where the findings of a trial court are based on false premises or where relevant facts have been ignored, or where the factual findings are clearly wrong, the appeal court is bound to reverse them’</w:t>
      </w:r>
      <w:r w:rsidR="0069235C" w:rsidRPr="003877E2">
        <w:rPr>
          <w:color w:val="000000"/>
          <w:sz w:val="28"/>
          <w:szCs w:val="28"/>
          <w:lang w:val="en-US"/>
        </w:rPr>
        <w:t>.</w:t>
      </w:r>
      <w:r w:rsidR="009B0E16" w:rsidRPr="00FB564C">
        <w:rPr>
          <w:rStyle w:val="FootnoteReference"/>
          <w:sz w:val="28"/>
          <w:szCs w:val="28"/>
        </w:rPr>
        <w:footnoteReference w:id="3"/>
      </w:r>
      <w:r w:rsidR="00317B1C" w:rsidRPr="003877E2">
        <w:rPr>
          <w:sz w:val="28"/>
          <w:szCs w:val="28"/>
        </w:rPr>
        <w:t xml:space="preserve"> </w:t>
      </w:r>
      <w:r w:rsidR="006804B1" w:rsidRPr="003877E2">
        <w:rPr>
          <w:sz w:val="28"/>
          <w:szCs w:val="28"/>
        </w:rPr>
        <w:t xml:space="preserve">There is no suggestion that the judgment of the trial court suffers from any of those defects. </w:t>
      </w:r>
      <w:r w:rsidR="00A834A6" w:rsidRPr="003877E2">
        <w:rPr>
          <w:sz w:val="28"/>
          <w:szCs w:val="28"/>
        </w:rPr>
        <w:t>Moreover,</w:t>
      </w:r>
      <w:r w:rsidR="00A834A6" w:rsidRPr="00FB564C">
        <w:t xml:space="preserve"> </w:t>
      </w:r>
      <w:r w:rsidR="00A834A6" w:rsidRPr="003877E2">
        <w:rPr>
          <w:sz w:val="28"/>
          <w:szCs w:val="28"/>
        </w:rPr>
        <w:t>t</w:t>
      </w:r>
      <w:r w:rsidR="000A6DFC" w:rsidRPr="003877E2">
        <w:rPr>
          <w:sz w:val="28"/>
          <w:szCs w:val="28"/>
        </w:rPr>
        <w:t>he high court made far-reaching credibility findings against Oaker, which were not challenged on appeal.</w:t>
      </w:r>
      <w:r w:rsidR="00CA2A72" w:rsidRPr="003877E2">
        <w:rPr>
          <w:sz w:val="28"/>
          <w:szCs w:val="28"/>
        </w:rPr>
        <w:t xml:space="preserve"> The high court comprehensively set out the relevant facts and its assessment of the evidence in a judgment spanning </w:t>
      </w:r>
      <w:r w:rsidR="00C53D7B" w:rsidRPr="003877E2">
        <w:rPr>
          <w:sz w:val="28"/>
          <w:szCs w:val="28"/>
        </w:rPr>
        <w:t xml:space="preserve">some 280 </w:t>
      </w:r>
      <w:r w:rsidR="00CA2A72" w:rsidRPr="003877E2">
        <w:rPr>
          <w:sz w:val="28"/>
          <w:szCs w:val="28"/>
        </w:rPr>
        <w:t>pages. It is not necessary to cover that ground once again. It suffice</w:t>
      </w:r>
      <w:r w:rsidR="00710839" w:rsidRPr="003877E2">
        <w:rPr>
          <w:sz w:val="28"/>
          <w:szCs w:val="28"/>
        </w:rPr>
        <w:t>s to refer to the evidence only to the extent necessary to determine the issues raised by the appeal and cross</w:t>
      </w:r>
      <w:r w:rsidR="0069235C" w:rsidRPr="003877E2">
        <w:rPr>
          <w:sz w:val="28"/>
          <w:szCs w:val="28"/>
        </w:rPr>
        <w:t>-</w:t>
      </w:r>
      <w:r w:rsidR="00710839" w:rsidRPr="003877E2">
        <w:rPr>
          <w:sz w:val="28"/>
          <w:szCs w:val="28"/>
        </w:rPr>
        <w:t>appeal.</w:t>
      </w:r>
      <w:r w:rsidR="00CA2A72" w:rsidRPr="003877E2">
        <w:rPr>
          <w:sz w:val="28"/>
          <w:szCs w:val="28"/>
        </w:rPr>
        <w:t xml:space="preserve">  </w:t>
      </w:r>
    </w:p>
    <w:p w14:paraId="656D15F2" w14:textId="77777777" w:rsidR="00EE43C1" w:rsidRPr="00FB564C" w:rsidRDefault="00EE43C1">
      <w:pPr>
        <w:tabs>
          <w:tab w:val="left" w:pos="0"/>
        </w:tabs>
        <w:rPr>
          <w:b/>
          <w:sz w:val="28"/>
          <w:szCs w:val="28"/>
        </w:rPr>
      </w:pPr>
    </w:p>
    <w:p w14:paraId="2045C83E" w14:textId="68053454" w:rsidR="00F93DD4" w:rsidRPr="003877E2" w:rsidRDefault="003877E2" w:rsidP="003877E2">
      <w:pPr>
        <w:tabs>
          <w:tab w:val="left" w:pos="0"/>
        </w:tabs>
        <w:rPr>
          <w:sz w:val="28"/>
          <w:szCs w:val="28"/>
        </w:rPr>
      </w:pPr>
      <w:r w:rsidRPr="00FB564C">
        <w:rPr>
          <w:sz w:val="28"/>
          <w:szCs w:val="28"/>
        </w:rPr>
        <w:t>[47]</w:t>
      </w:r>
      <w:r w:rsidRPr="00FB564C">
        <w:rPr>
          <w:sz w:val="28"/>
          <w:szCs w:val="28"/>
        </w:rPr>
        <w:tab/>
      </w:r>
      <w:r w:rsidR="00A420FB" w:rsidRPr="003877E2">
        <w:rPr>
          <w:sz w:val="28"/>
          <w:szCs w:val="28"/>
        </w:rPr>
        <w:t>T</w:t>
      </w:r>
      <w:r w:rsidR="00A94BBA" w:rsidRPr="003877E2">
        <w:rPr>
          <w:sz w:val="28"/>
          <w:szCs w:val="28"/>
        </w:rPr>
        <w:t>wo important questions arise</w:t>
      </w:r>
      <w:r w:rsidR="00083830" w:rsidRPr="003877E2">
        <w:rPr>
          <w:sz w:val="28"/>
          <w:szCs w:val="28"/>
        </w:rPr>
        <w:t xml:space="preserve"> in respect of th</w:t>
      </w:r>
      <w:r w:rsidR="00710839" w:rsidRPr="003877E2">
        <w:rPr>
          <w:sz w:val="28"/>
          <w:szCs w:val="28"/>
        </w:rPr>
        <w:t>e</w:t>
      </w:r>
      <w:r w:rsidR="00083830" w:rsidRPr="003877E2">
        <w:rPr>
          <w:sz w:val="28"/>
          <w:szCs w:val="28"/>
        </w:rPr>
        <w:t xml:space="preserve"> </w:t>
      </w:r>
      <w:r w:rsidR="00710839" w:rsidRPr="003877E2">
        <w:rPr>
          <w:sz w:val="28"/>
          <w:szCs w:val="28"/>
        </w:rPr>
        <w:t xml:space="preserve">first </w:t>
      </w:r>
      <w:r w:rsidR="00083830" w:rsidRPr="003877E2">
        <w:rPr>
          <w:sz w:val="28"/>
          <w:szCs w:val="28"/>
        </w:rPr>
        <w:t>claim</w:t>
      </w:r>
      <w:r w:rsidR="00A94BBA" w:rsidRPr="003877E2">
        <w:rPr>
          <w:sz w:val="28"/>
          <w:szCs w:val="28"/>
        </w:rPr>
        <w:t>, namely, whether the Curator had established that the properties were an investment opportunity for PIF and TDI and</w:t>
      </w:r>
      <w:r w:rsidR="0069235C" w:rsidRPr="003877E2">
        <w:rPr>
          <w:sz w:val="28"/>
          <w:szCs w:val="28"/>
        </w:rPr>
        <w:t>,</w:t>
      </w:r>
      <w:r w:rsidR="00A94BBA" w:rsidRPr="003877E2">
        <w:rPr>
          <w:sz w:val="28"/>
          <w:szCs w:val="28"/>
        </w:rPr>
        <w:t xml:space="preserve"> if so, was he entitled to one third or 100% of the opportunity?</w:t>
      </w:r>
      <w:r w:rsidR="0079780E" w:rsidRPr="003877E2">
        <w:rPr>
          <w:sz w:val="28"/>
          <w:szCs w:val="28"/>
        </w:rPr>
        <w:t xml:space="preserve"> </w:t>
      </w:r>
      <w:r w:rsidR="00A420FB" w:rsidRPr="003877E2">
        <w:rPr>
          <w:sz w:val="28"/>
          <w:szCs w:val="28"/>
        </w:rPr>
        <w:t xml:space="preserve">In answering </w:t>
      </w:r>
      <w:r w:rsidR="00995DD5" w:rsidRPr="003877E2">
        <w:rPr>
          <w:sz w:val="28"/>
          <w:szCs w:val="28"/>
        </w:rPr>
        <w:t>these questions,</w:t>
      </w:r>
      <w:r w:rsidR="00A420FB" w:rsidRPr="003877E2">
        <w:rPr>
          <w:sz w:val="28"/>
          <w:szCs w:val="28"/>
        </w:rPr>
        <w:t xml:space="preserve"> </w:t>
      </w:r>
      <w:r w:rsidR="00C24ED9" w:rsidRPr="003877E2">
        <w:rPr>
          <w:sz w:val="28"/>
          <w:szCs w:val="28"/>
        </w:rPr>
        <w:t>the relevant period</w:t>
      </w:r>
      <w:r w:rsidR="00995DD5" w:rsidRPr="003877E2">
        <w:rPr>
          <w:sz w:val="28"/>
          <w:szCs w:val="28"/>
        </w:rPr>
        <w:t xml:space="preserve"> </w:t>
      </w:r>
      <w:r w:rsidR="00310AB6" w:rsidRPr="003877E2">
        <w:rPr>
          <w:sz w:val="28"/>
          <w:szCs w:val="28"/>
        </w:rPr>
        <w:t>(</w:t>
      </w:r>
      <w:r w:rsidR="00F93DD4" w:rsidRPr="003877E2">
        <w:rPr>
          <w:sz w:val="28"/>
          <w:szCs w:val="28"/>
        </w:rPr>
        <w:t xml:space="preserve">August and October </w:t>
      </w:r>
      <w:r w:rsidR="00995DD5" w:rsidRPr="003877E2">
        <w:rPr>
          <w:sz w:val="28"/>
          <w:szCs w:val="28"/>
        </w:rPr>
        <w:t>2006</w:t>
      </w:r>
      <w:r w:rsidR="00310AB6" w:rsidRPr="003877E2">
        <w:rPr>
          <w:sz w:val="28"/>
          <w:szCs w:val="28"/>
        </w:rPr>
        <w:t>)</w:t>
      </w:r>
      <w:r w:rsidR="00705FF9" w:rsidRPr="003877E2">
        <w:rPr>
          <w:sz w:val="28"/>
          <w:szCs w:val="28"/>
        </w:rPr>
        <w:t>,</w:t>
      </w:r>
      <w:r w:rsidR="00995DD5" w:rsidRPr="003877E2">
        <w:rPr>
          <w:sz w:val="28"/>
          <w:szCs w:val="28"/>
        </w:rPr>
        <w:t xml:space="preserve"> </w:t>
      </w:r>
      <w:r w:rsidR="00705FF9" w:rsidRPr="003877E2">
        <w:rPr>
          <w:sz w:val="28"/>
          <w:szCs w:val="28"/>
        </w:rPr>
        <w:t xml:space="preserve">when </w:t>
      </w:r>
      <w:r w:rsidR="00995DD5" w:rsidRPr="003877E2">
        <w:rPr>
          <w:sz w:val="28"/>
          <w:szCs w:val="28"/>
        </w:rPr>
        <w:t xml:space="preserve">the </w:t>
      </w:r>
      <w:r w:rsidR="00310AB6" w:rsidRPr="003877E2">
        <w:rPr>
          <w:sz w:val="28"/>
          <w:szCs w:val="28"/>
        </w:rPr>
        <w:lastRenderedPageBreak/>
        <w:t xml:space="preserve">properties were </w:t>
      </w:r>
      <w:r w:rsidR="00995DD5" w:rsidRPr="003877E2">
        <w:rPr>
          <w:sz w:val="28"/>
          <w:szCs w:val="28"/>
        </w:rPr>
        <w:t>acqui</w:t>
      </w:r>
      <w:r w:rsidR="00310AB6" w:rsidRPr="003877E2">
        <w:rPr>
          <w:sz w:val="28"/>
          <w:szCs w:val="28"/>
        </w:rPr>
        <w:t>red</w:t>
      </w:r>
      <w:r w:rsidR="0069235C" w:rsidRPr="003877E2">
        <w:rPr>
          <w:sz w:val="28"/>
          <w:szCs w:val="28"/>
        </w:rPr>
        <w:t>,</w:t>
      </w:r>
      <w:r w:rsidR="00995DD5" w:rsidRPr="003877E2">
        <w:rPr>
          <w:sz w:val="28"/>
          <w:szCs w:val="28"/>
        </w:rPr>
        <w:t xml:space="preserve"> is important</w:t>
      </w:r>
      <w:r w:rsidR="00705FF9" w:rsidRPr="003877E2">
        <w:rPr>
          <w:sz w:val="28"/>
          <w:szCs w:val="28"/>
        </w:rPr>
        <w:t>.</w:t>
      </w:r>
      <w:r w:rsidR="00C24ED9" w:rsidRPr="003877E2">
        <w:rPr>
          <w:sz w:val="28"/>
          <w:szCs w:val="28"/>
        </w:rPr>
        <w:t xml:space="preserve"> </w:t>
      </w:r>
      <w:r w:rsidR="000969B4" w:rsidRPr="003877E2">
        <w:rPr>
          <w:sz w:val="28"/>
          <w:szCs w:val="28"/>
        </w:rPr>
        <w:t xml:space="preserve">At that </w:t>
      </w:r>
      <w:r w:rsidR="00310AB6" w:rsidRPr="003877E2">
        <w:rPr>
          <w:sz w:val="28"/>
          <w:szCs w:val="28"/>
        </w:rPr>
        <w:t>time,</w:t>
      </w:r>
      <w:r w:rsidR="000969B4" w:rsidRPr="003877E2">
        <w:rPr>
          <w:sz w:val="28"/>
          <w:szCs w:val="28"/>
        </w:rPr>
        <w:t xml:space="preserve"> the</w:t>
      </w:r>
      <w:r w:rsidR="003955BA" w:rsidRPr="003877E2">
        <w:rPr>
          <w:sz w:val="28"/>
          <w:szCs w:val="28"/>
        </w:rPr>
        <w:t xml:space="preserve"> propert</w:t>
      </w:r>
      <w:r w:rsidR="00C24ED9" w:rsidRPr="003877E2">
        <w:rPr>
          <w:sz w:val="28"/>
          <w:szCs w:val="28"/>
        </w:rPr>
        <w:t>ies</w:t>
      </w:r>
      <w:r w:rsidR="003955BA" w:rsidRPr="003877E2">
        <w:rPr>
          <w:sz w:val="28"/>
          <w:szCs w:val="28"/>
        </w:rPr>
        <w:t xml:space="preserve"> comprised 422 hectares of vacant land zoned agricultural. Although </w:t>
      </w:r>
      <w:r w:rsidR="00310AB6" w:rsidRPr="003877E2">
        <w:rPr>
          <w:sz w:val="28"/>
          <w:szCs w:val="28"/>
        </w:rPr>
        <w:t xml:space="preserve">the land </w:t>
      </w:r>
      <w:r w:rsidR="003955BA" w:rsidRPr="003877E2">
        <w:rPr>
          <w:sz w:val="28"/>
          <w:szCs w:val="28"/>
        </w:rPr>
        <w:t>was zoned as such, it had never been used for th</w:t>
      </w:r>
      <w:r w:rsidR="00310AB6" w:rsidRPr="003877E2">
        <w:rPr>
          <w:sz w:val="28"/>
          <w:szCs w:val="28"/>
        </w:rPr>
        <w:t>at</w:t>
      </w:r>
      <w:r w:rsidR="003955BA" w:rsidRPr="003877E2">
        <w:rPr>
          <w:sz w:val="28"/>
          <w:szCs w:val="28"/>
        </w:rPr>
        <w:t xml:space="preserve"> purpose. A</w:t>
      </w:r>
      <w:r w:rsidR="00310AB6" w:rsidRPr="003877E2">
        <w:rPr>
          <w:sz w:val="28"/>
          <w:szCs w:val="28"/>
        </w:rPr>
        <w:t>l</w:t>
      </w:r>
      <w:r w:rsidR="003955BA" w:rsidRPr="003877E2">
        <w:rPr>
          <w:sz w:val="28"/>
          <w:szCs w:val="28"/>
        </w:rPr>
        <w:t>s</w:t>
      </w:r>
      <w:r w:rsidR="00310AB6" w:rsidRPr="003877E2">
        <w:rPr>
          <w:sz w:val="28"/>
          <w:szCs w:val="28"/>
        </w:rPr>
        <w:t>o, as</w:t>
      </w:r>
      <w:r w:rsidR="003955BA" w:rsidRPr="003877E2">
        <w:rPr>
          <w:sz w:val="28"/>
          <w:szCs w:val="28"/>
        </w:rPr>
        <w:t xml:space="preserve"> at </w:t>
      </w:r>
      <w:r w:rsidR="00310AB6" w:rsidRPr="003877E2">
        <w:rPr>
          <w:sz w:val="28"/>
          <w:szCs w:val="28"/>
        </w:rPr>
        <w:t>that</w:t>
      </w:r>
      <w:r w:rsidR="003955BA" w:rsidRPr="003877E2">
        <w:rPr>
          <w:sz w:val="28"/>
          <w:szCs w:val="28"/>
        </w:rPr>
        <w:t xml:space="preserve"> date there was no urban development</w:t>
      </w:r>
      <w:r w:rsidR="00705FF9" w:rsidRPr="003877E2">
        <w:rPr>
          <w:sz w:val="28"/>
          <w:szCs w:val="28"/>
        </w:rPr>
        <w:t xml:space="preserve"> or for that matter no urban development plan in the offing</w:t>
      </w:r>
      <w:r w:rsidR="003955BA" w:rsidRPr="003877E2">
        <w:rPr>
          <w:sz w:val="28"/>
          <w:szCs w:val="28"/>
        </w:rPr>
        <w:t xml:space="preserve">. </w:t>
      </w:r>
    </w:p>
    <w:p w14:paraId="301FA301" w14:textId="77777777" w:rsidR="00C24ED9" w:rsidRPr="00FB564C" w:rsidRDefault="00C24ED9" w:rsidP="008F4835">
      <w:pPr>
        <w:pStyle w:val="ListParagraph"/>
        <w:tabs>
          <w:tab w:val="left" w:pos="0"/>
        </w:tabs>
        <w:ind w:left="0"/>
        <w:rPr>
          <w:sz w:val="28"/>
          <w:szCs w:val="28"/>
        </w:rPr>
      </w:pPr>
    </w:p>
    <w:p w14:paraId="48BD24D8" w14:textId="4D13B775" w:rsidR="00C24ED9" w:rsidRPr="003877E2" w:rsidRDefault="003877E2" w:rsidP="003877E2">
      <w:pPr>
        <w:tabs>
          <w:tab w:val="left" w:pos="0"/>
        </w:tabs>
        <w:rPr>
          <w:sz w:val="28"/>
          <w:szCs w:val="28"/>
        </w:rPr>
      </w:pPr>
      <w:r w:rsidRPr="00FB564C">
        <w:rPr>
          <w:sz w:val="28"/>
          <w:szCs w:val="28"/>
        </w:rPr>
        <w:t>[48]</w:t>
      </w:r>
      <w:r w:rsidRPr="00FB564C">
        <w:rPr>
          <w:sz w:val="28"/>
          <w:szCs w:val="28"/>
        </w:rPr>
        <w:tab/>
      </w:r>
      <w:r w:rsidR="00310AB6" w:rsidRPr="003877E2">
        <w:rPr>
          <w:sz w:val="28"/>
          <w:szCs w:val="28"/>
        </w:rPr>
        <w:t>Counsel for t</w:t>
      </w:r>
      <w:r w:rsidR="00C24ED9" w:rsidRPr="003877E2">
        <w:rPr>
          <w:sz w:val="28"/>
          <w:szCs w:val="28"/>
        </w:rPr>
        <w:t>he appellants contended that while th</w:t>
      </w:r>
      <w:r w:rsidR="00310AB6" w:rsidRPr="003877E2">
        <w:rPr>
          <w:sz w:val="28"/>
          <w:szCs w:val="28"/>
        </w:rPr>
        <w:t>at</w:t>
      </w:r>
      <w:r w:rsidR="00C24ED9" w:rsidRPr="003877E2">
        <w:rPr>
          <w:sz w:val="28"/>
          <w:szCs w:val="28"/>
        </w:rPr>
        <w:t xml:space="preserve"> may have been the case, four </w:t>
      </w:r>
      <w:r w:rsidR="003955BA" w:rsidRPr="003877E2">
        <w:rPr>
          <w:sz w:val="28"/>
          <w:szCs w:val="28"/>
        </w:rPr>
        <w:t xml:space="preserve">important </w:t>
      </w:r>
      <w:r w:rsidR="00310AB6" w:rsidRPr="003877E2">
        <w:rPr>
          <w:sz w:val="28"/>
          <w:szCs w:val="28"/>
        </w:rPr>
        <w:t xml:space="preserve">events </w:t>
      </w:r>
      <w:r w:rsidR="005C20FB" w:rsidRPr="003877E2">
        <w:rPr>
          <w:sz w:val="28"/>
          <w:szCs w:val="28"/>
        </w:rPr>
        <w:t xml:space="preserve">occurred between August 2006 and April </w:t>
      </w:r>
      <w:r w:rsidR="00310AB6" w:rsidRPr="003877E2">
        <w:rPr>
          <w:sz w:val="28"/>
          <w:szCs w:val="28"/>
        </w:rPr>
        <w:t>2007</w:t>
      </w:r>
      <w:r w:rsidR="00C24ED9" w:rsidRPr="003877E2">
        <w:rPr>
          <w:sz w:val="28"/>
          <w:szCs w:val="28"/>
        </w:rPr>
        <w:t xml:space="preserve"> </w:t>
      </w:r>
      <w:r w:rsidR="00705FF9" w:rsidRPr="003877E2">
        <w:rPr>
          <w:sz w:val="28"/>
          <w:szCs w:val="28"/>
        </w:rPr>
        <w:t xml:space="preserve">that </w:t>
      </w:r>
      <w:r w:rsidR="00C24ED9" w:rsidRPr="003877E2">
        <w:rPr>
          <w:sz w:val="28"/>
          <w:szCs w:val="28"/>
        </w:rPr>
        <w:t>presented the land as an investment opportunity</w:t>
      </w:r>
      <w:r w:rsidR="00310AB6" w:rsidRPr="003877E2">
        <w:rPr>
          <w:sz w:val="28"/>
          <w:szCs w:val="28"/>
        </w:rPr>
        <w:t>,</w:t>
      </w:r>
      <w:r w:rsidR="00C24ED9" w:rsidRPr="003877E2">
        <w:rPr>
          <w:sz w:val="28"/>
          <w:szCs w:val="28"/>
        </w:rPr>
        <w:t xml:space="preserve"> which the relevant appellants accepted</w:t>
      </w:r>
      <w:r w:rsidR="00310AB6" w:rsidRPr="003877E2">
        <w:rPr>
          <w:sz w:val="28"/>
          <w:szCs w:val="28"/>
        </w:rPr>
        <w:t xml:space="preserve"> and </w:t>
      </w:r>
      <w:r w:rsidR="00705FF9" w:rsidRPr="003877E2">
        <w:rPr>
          <w:sz w:val="28"/>
          <w:szCs w:val="28"/>
        </w:rPr>
        <w:t xml:space="preserve">upon which they </w:t>
      </w:r>
      <w:r w:rsidR="00310AB6" w:rsidRPr="003877E2">
        <w:rPr>
          <w:sz w:val="28"/>
          <w:szCs w:val="28"/>
        </w:rPr>
        <w:t>based their decisions.</w:t>
      </w:r>
    </w:p>
    <w:p w14:paraId="1B3B5740" w14:textId="77777777" w:rsidR="00C24ED9" w:rsidRPr="00FB564C" w:rsidRDefault="00C24ED9">
      <w:pPr>
        <w:pStyle w:val="ListParagraph"/>
        <w:rPr>
          <w:sz w:val="28"/>
          <w:szCs w:val="28"/>
        </w:rPr>
      </w:pPr>
    </w:p>
    <w:p w14:paraId="4E8EF17D" w14:textId="552B13C0" w:rsidR="00661373" w:rsidRPr="003877E2" w:rsidRDefault="003877E2" w:rsidP="003877E2">
      <w:pPr>
        <w:tabs>
          <w:tab w:val="left" w:pos="0"/>
        </w:tabs>
        <w:rPr>
          <w:sz w:val="28"/>
          <w:szCs w:val="28"/>
        </w:rPr>
      </w:pPr>
      <w:r w:rsidRPr="00FB564C">
        <w:rPr>
          <w:sz w:val="28"/>
          <w:szCs w:val="28"/>
        </w:rPr>
        <w:t>[49]</w:t>
      </w:r>
      <w:r w:rsidRPr="00FB564C">
        <w:rPr>
          <w:sz w:val="28"/>
          <w:szCs w:val="28"/>
        </w:rPr>
        <w:tab/>
      </w:r>
      <w:r w:rsidR="00C24ED9" w:rsidRPr="003877E2">
        <w:rPr>
          <w:sz w:val="28"/>
          <w:szCs w:val="28"/>
        </w:rPr>
        <w:t>The f</w:t>
      </w:r>
      <w:r w:rsidR="005C20FB" w:rsidRPr="003877E2">
        <w:rPr>
          <w:sz w:val="28"/>
          <w:szCs w:val="28"/>
        </w:rPr>
        <w:t>irst</w:t>
      </w:r>
      <w:r w:rsidR="00C24ED9" w:rsidRPr="003877E2">
        <w:rPr>
          <w:sz w:val="28"/>
          <w:szCs w:val="28"/>
        </w:rPr>
        <w:t xml:space="preserve"> was that</w:t>
      </w:r>
      <w:r w:rsidR="005C20FB" w:rsidRPr="003877E2">
        <w:rPr>
          <w:sz w:val="28"/>
          <w:szCs w:val="28"/>
        </w:rPr>
        <w:t xml:space="preserve"> on 2</w:t>
      </w:r>
      <w:r w:rsidR="00440CBB" w:rsidRPr="003877E2">
        <w:rPr>
          <w:sz w:val="28"/>
          <w:szCs w:val="28"/>
        </w:rPr>
        <w:t>2</w:t>
      </w:r>
      <w:r w:rsidR="005C20FB" w:rsidRPr="003877E2">
        <w:rPr>
          <w:sz w:val="28"/>
          <w:szCs w:val="28"/>
        </w:rPr>
        <w:t xml:space="preserve"> September 2006, </w:t>
      </w:r>
      <w:r w:rsidR="00427536" w:rsidRPr="003877E2">
        <w:rPr>
          <w:sz w:val="28"/>
          <w:szCs w:val="28"/>
        </w:rPr>
        <w:t>a sale agreement</w:t>
      </w:r>
      <w:r w:rsidR="00FC614B" w:rsidRPr="003877E2">
        <w:rPr>
          <w:sz w:val="28"/>
          <w:szCs w:val="28"/>
        </w:rPr>
        <w:t xml:space="preserve"> was concluded</w:t>
      </w:r>
      <w:r w:rsidR="00661373" w:rsidRPr="003877E2">
        <w:rPr>
          <w:sz w:val="28"/>
          <w:szCs w:val="28"/>
        </w:rPr>
        <w:t xml:space="preserve"> between Rapicorp 122 and an entity known as Coessa</w:t>
      </w:r>
      <w:r w:rsidR="0082279A" w:rsidRPr="003877E2">
        <w:rPr>
          <w:sz w:val="28"/>
          <w:szCs w:val="28"/>
        </w:rPr>
        <w:t xml:space="preserve"> Holdings (Pty) Ltd (Coessa)</w:t>
      </w:r>
      <w:r w:rsidR="00661373" w:rsidRPr="003877E2">
        <w:rPr>
          <w:sz w:val="28"/>
          <w:szCs w:val="28"/>
        </w:rPr>
        <w:t xml:space="preserve"> </w:t>
      </w:r>
      <w:r w:rsidR="00310AB6" w:rsidRPr="003877E2">
        <w:rPr>
          <w:sz w:val="28"/>
          <w:szCs w:val="28"/>
        </w:rPr>
        <w:t xml:space="preserve">to buy </w:t>
      </w:r>
      <w:r w:rsidR="00661373" w:rsidRPr="003877E2">
        <w:rPr>
          <w:sz w:val="28"/>
          <w:szCs w:val="28"/>
        </w:rPr>
        <w:t xml:space="preserve">21 erven for R145 million. </w:t>
      </w:r>
      <w:r w:rsidR="00310AB6" w:rsidRPr="003877E2">
        <w:rPr>
          <w:sz w:val="28"/>
          <w:szCs w:val="28"/>
        </w:rPr>
        <w:t xml:space="preserve">Coessa’s </w:t>
      </w:r>
      <w:r w:rsidR="00661373" w:rsidRPr="003877E2">
        <w:rPr>
          <w:sz w:val="28"/>
          <w:szCs w:val="28"/>
        </w:rPr>
        <w:t>interest reflected the market thinking about the properties. The sale was</w:t>
      </w:r>
      <w:r w:rsidR="00310AB6" w:rsidRPr="003877E2">
        <w:rPr>
          <w:sz w:val="28"/>
          <w:szCs w:val="28"/>
        </w:rPr>
        <w:t>,</w:t>
      </w:r>
      <w:r w:rsidR="00661373" w:rsidRPr="003877E2">
        <w:rPr>
          <w:sz w:val="28"/>
          <w:szCs w:val="28"/>
        </w:rPr>
        <w:t xml:space="preserve"> </w:t>
      </w:r>
      <w:r w:rsidR="00310AB6" w:rsidRPr="003877E2">
        <w:rPr>
          <w:sz w:val="28"/>
          <w:szCs w:val="28"/>
        </w:rPr>
        <w:t xml:space="preserve">however, </w:t>
      </w:r>
      <w:r w:rsidR="00661373" w:rsidRPr="003877E2">
        <w:rPr>
          <w:sz w:val="28"/>
          <w:szCs w:val="28"/>
        </w:rPr>
        <w:t xml:space="preserve">cancelled because of </w:t>
      </w:r>
      <w:r w:rsidR="000D0804" w:rsidRPr="003877E2">
        <w:rPr>
          <w:sz w:val="28"/>
          <w:szCs w:val="28"/>
        </w:rPr>
        <w:t xml:space="preserve">the purchaser’s failure </w:t>
      </w:r>
      <w:r w:rsidR="00661373" w:rsidRPr="003877E2">
        <w:rPr>
          <w:sz w:val="28"/>
          <w:szCs w:val="28"/>
        </w:rPr>
        <w:t xml:space="preserve">to put up a guarantee. </w:t>
      </w:r>
    </w:p>
    <w:p w14:paraId="5CD32DF0" w14:textId="77777777" w:rsidR="00661373" w:rsidRPr="00FB564C" w:rsidRDefault="00661373">
      <w:pPr>
        <w:pStyle w:val="ListParagraph"/>
        <w:rPr>
          <w:sz w:val="28"/>
          <w:szCs w:val="28"/>
        </w:rPr>
      </w:pPr>
    </w:p>
    <w:p w14:paraId="188C3812" w14:textId="27D05F8F" w:rsidR="00B5763D" w:rsidRPr="003877E2" w:rsidRDefault="003877E2" w:rsidP="003877E2">
      <w:pPr>
        <w:rPr>
          <w:sz w:val="28"/>
          <w:szCs w:val="28"/>
        </w:rPr>
      </w:pPr>
      <w:r w:rsidRPr="00FB564C">
        <w:rPr>
          <w:sz w:val="28"/>
          <w:szCs w:val="28"/>
        </w:rPr>
        <w:t>[50]</w:t>
      </w:r>
      <w:r w:rsidRPr="00FB564C">
        <w:rPr>
          <w:sz w:val="28"/>
          <w:szCs w:val="28"/>
        </w:rPr>
        <w:tab/>
      </w:r>
      <w:r w:rsidR="00C24ED9" w:rsidRPr="003877E2">
        <w:rPr>
          <w:sz w:val="28"/>
          <w:szCs w:val="28"/>
        </w:rPr>
        <w:t>The second development occurred o</w:t>
      </w:r>
      <w:r w:rsidR="00661373" w:rsidRPr="003877E2">
        <w:rPr>
          <w:sz w:val="28"/>
          <w:szCs w:val="28"/>
        </w:rPr>
        <w:t>n 2 February 2007</w:t>
      </w:r>
      <w:r w:rsidR="00C24ED9" w:rsidRPr="003877E2">
        <w:rPr>
          <w:sz w:val="28"/>
          <w:szCs w:val="28"/>
        </w:rPr>
        <w:t xml:space="preserve"> </w:t>
      </w:r>
      <w:r w:rsidR="00661373" w:rsidRPr="003877E2">
        <w:rPr>
          <w:sz w:val="28"/>
          <w:szCs w:val="28"/>
        </w:rPr>
        <w:t>w</w:t>
      </w:r>
      <w:r w:rsidR="00C24ED9" w:rsidRPr="003877E2">
        <w:rPr>
          <w:sz w:val="28"/>
          <w:szCs w:val="28"/>
        </w:rPr>
        <w:t xml:space="preserve">hen </w:t>
      </w:r>
      <w:r w:rsidR="00862004" w:rsidRPr="003877E2">
        <w:rPr>
          <w:sz w:val="28"/>
          <w:szCs w:val="28"/>
        </w:rPr>
        <w:t>Chris Veldsman (Veld</w:t>
      </w:r>
      <w:r w:rsidR="008306E3" w:rsidRPr="003877E2">
        <w:rPr>
          <w:sz w:val="28"/>
          <w:szCs w:val="28"/>
        </w:rPr>
        <w:t>s</w:t>
      </w:r>
      <w:r w:rsidR="00862004" w:rsidRPr="003877E2">
        <w:rPr>
          <w:sz w:val="28"/>
          <w:szCs w:val="28"/>
        </w:rPr>
        <w:t>man)</w:t>
      </w:r>
      <w:r w:rsidR="000D0804" w:rsidRPr="003877E2">
        <w:rPr>
          <w:sz w:val="28"/>
          <w:szCs w:val="28"/>
        </w:rPr>
        <w:t>,</w:t>
      </w:r>
      <w:r w:rsidR="00862004" w:rsidRPr="003877E2">
        <w:rPr>
          <w:sz w:val="28"/>
          <w:szCs w:val="28"/>
        </w:rPr>
        <w:t xml:space="preserve"> </w:t>
      </w:r>
      <w:r w:rsidR="000D0804" w:rsidRPr="003877E2">
        <w:rPr>
          <w:sz w:val="28"/>
          <w:szCs w:val="28"/>
        </w:rPr>
        <w:t xml:space="preserve">a valuer, </w:t>
      </w:r>
      <w:r w:rsidR="00862004" w:rsidRPr="003877E2">
        <w:rPr>
          <w:sz w:val="28"/>
          <w:szCs w:val="28"/>
        </w:rPr>
        <w:t xml:space="preserve">was instructed by Badenhorst to provide an opinion on the open market value of the properties. </w:t>
      </w:r>
      <w:r w:rsidR="00705FF9" w:rsidRPr="003877E2">
        <w:rPr>
          <w:sz w:val="28"/>
          <w:szCs w:val="28"/>
        </w:rPr>
        <w:t>H</w:t>
      </w:r>
      <w:r w:rsidR="000D0804" w:rsidRPr="003877E2">
        <w:rPr>
          <w:sz w:val="28"/>
          <w:szCs w:val="28"/>
        </w:rPr>
        <w:t>e</w:t>
      </w:r>
      <w:r w:rsidR="00661373" w:rsidRPr="003877E2">
        <w:rPr>
          <w:sz w:val="28"/>
          <w:szCs w:val="28"/>
        </w:rPr>
        <w:t xml:space="preserve"> valued the land at R260 million </w:t>
      </w:r>
      <w:r w:rsidR="000D0804" w:rsidRPr="003877E2">
        <w:rPr>
          <w:sz w:val="28"/>
          <w:szCs w:val="28"/>
        </w:rPr>
        <w:t xml:space="preserve">based </w:t>
      </w:r>
      <w:r w:rsidR="00862004" w:rsidRPr="003877E2">
        <w:rPr>
          <w:sz w:val="28"/>
          <w:szCs w:val="28"/>
        </w:rPr>
        <w:t>on</w:t>
      </w:r>
      <w:r w:rsidR="000D0804" w:rsidRPr="003877E2">
        <w:rPr>
          <w:sz w:val="28"/>
          <w:szCs w:val="28"/>
        </w:rPr>
        <w:t xml:space="preserve"> </w:t>
      </w:r>
      <w:r w:rsidR="00705FF9" w:rsidRPr="003877E2">
        <w:rPr>
          <w:sz w:val="28"/>
          <w:szCs w:val="28"/>
        </w:rPr>
        <w:t xml:space="preserve">a </w:t>
      </w:r>
      <w:r w:rsidR="000D0804" w:rsidRPr="003877E2">
        <w:rPr>
          <w:sz w:val="28"/>
          <w:szCs w:val="28"/>
        </w:rPr>
        <w:t>‘housing</w:t>
      </w:r>
      <w:r w:rsidR="008306E3" w:rsidRPr="003877E2">
        <w:rPr>
          <w:sz w:val="28"/>
          <w:szCs w:val="28"/>
        </w:rPr>
        <w:t>’</w:t>
      </w:r>
      <w:r w:rsidR="000D0804" w:rsidRPr="003877E2">
        <w:rPr>
          <w:sz w:val="28"/>
          <w:szCs w:val="28"/>
        </w:rPr>
        <w:t xml:space="preserve"> development</w:t>
      </w:r>
      <w:r w:rsidR="00661373" w:rsidRPr="003877E2">
        <w:rPr>
          <w:sz w:val="28"/>
          <w:szCs w:val="28"/>
        </w:rPr>
        <w:t xml:space="preserve"> </w:t>
      </w:r>
      <w:r w:rsidR="000D0804" w:rsidRPr="003877E2">
        <w:rPr>
          <w:sz w:val="28"/>
          <w:szCs w:val="28"/>
        </w:rPr>
        <w:t xml:space="preserve">(township </w:t>
      </w:r>
      <w:r w:rsidR="00661373" w:rsidRPr="003877E2">
        <w:rPr>
          <w:sz w:val="28"/>
          <w:szCs w:val="28"/>
        </w:rPr>
        <w:t>development</w:t>
      </w:r>
      <w:r w:rsidR="000D0804" w:rsidRPr="003877E2">
        <w:rPr>
          <w:sz w:val="28"/>
          <w:szCs w:val="28"/>
        </w:rPr>
        <w:t xml:space="preserve"> method)</w:t>
      </w:r>
      <w:r w:rsidR="00B5763D" w:rsidRPr="003877E2">
        <w:rPr>
          <w:sz w:val="28"/>
          <w:szCs w:val="28"/>
        </w:rPr>
        <w:t xml:space="preserve">, taking </w:t>
      </w:r>
      <w:r w:rsidR="00705FF9" w:rsidRPr="003877E2">
        <w:rPr>
          <w:sz w:val="28"/>
          <w:szCs w:val="28"/>
        </w:rPr>
        <w:t xml:space="preserve">that </w:t>
      </w:r>
      <w:r w:rsidR="00B5763D" w:rsidRPr="003877E2">
        <w:rPr>
          <w:sz w:val="28"/>
          <w:szCs w:val="28"/>
        </w:rPr>
        <w:t>as the highest and best investment use</w:t>
      </w:r>
      <w:r w:rsidR="00862004" w:rsidRPr="003877E2">
        <w:rPr>
          <w:sz w:val="28"/>
          <w:szCs w:val="28"/>
        </w:rPr>
        <w:t xml:space="preserve"> for the land</w:t>
      </w:r>
      <w:r w:rsidR="00B5763D" w:rsidRPr="003877E2">
        <w:rPr>
          <w:sz w:val="28"/>
          <w:szCs w:val="28"/>
        </w:rPr>
        <w:t xml:space="preserve">. </w:t>
      </w:r>
      <w:r w:rsidR="00862004" w:rsidRPr="003877E2">
        <w:rPr>
          <w:sz w:val="28"/>
          <w:szCs w:val="28"/>
        </w:rPr>
        <w:t xml:space="preserve">He </w:t>
      </w:r>
      <w:r w:rsidR="000D0804" w:rsidRPr="003877E2">
        <w:rPr>
          <w:sz w:val="28"/>
          <w:szCs w:val="28"/>
        </w:rPr>
        <w:t xml:space="preserve">also </w:t>
      </w:r>
      <w:r w:rsidR="00862004" w:rsidRPr="003877E2">
        <w:rPr>
          <w:sz w:val="28"/>
          <w:szCs w:val="28"/>
        </w:rPr>
        <w:t xml:space="preserve">gave </w:t>
      </w:r>
      <w:r w:rsidR="000D0804" w:rsidRPr="003877E2">
        <w:rPr>
          <w:sz w:val="28"/>
          <w:szCs w:val="28"/>
        </w:rPr>
        <w:t xml:space="preserve">an </w:t>
      </w:r>
      <w:r w:rsidR="008306E3" w:rsidRPr="003877E2">
        <w:rPr>
          <w:sz w:val="28"/>
          <w:szCs w:val="28"/>
        </w:rPr>
        <w:t>‘</w:t>
      </w:r>
      <w:r w:rsidR="00A16351" w:rsidRPr="003877E2">
        <w:rPr>
          <w:sz w:val="28"/>
          <w:szCs w:val="28"/>
        </w:rPr>
        <w:t>as is</w:t>
      </w:r>
      <w:r w:rsidR="008306E3" w:rsidRPr="003877E2">
        <w:rPr>
          <w:sz w:val="28"/>
          <w:szCs w:val="28"/>
        </w:rPr>
        <w:t xml:space="preserve">’ </w:t>
      </w:r>
      <w:r w:rsidR="00862004" w:rsidRPr="003877E2">
        <w:rPr>
          <w:sz w:val="28"/>
          <w:szCs w:val="28"/>
        </w:rPr>
        <w:t xml:space="preserve">value of </w:t>
      </w:r>
      <w:r w:rsidR="00B5763D" w:rsidRPr="003877E2">
        <w:rPr>
          <w:sz w:val="28"/>
          <w:szCs w:val="28"/>
        </w:rPr>
        <w:t>R160 million for agricultural use.</w:t>
      </w:r>
      <w:r w:rsidR="000D0804" w:rsidRPr="003877E2">
        <w:rPr>
          <w:sz w:val="28"/>
          <w:szCs w:val="28"/>
        </w:rPr>
        <w:t xml:space="preserve"> </w:t>
      </w:r>
    </w:p>
    <w:p w14:paraId="3394D881" w14:textId="77777777" w:rsidR="00D80A7A" w:rsidRPr="00FB564C" w:rsidRDefault="00D80A7A">
      <w:pPr>
        <w:pStyle w:val="ListParagraph"/>
        <w:rPr>
          <w:sz w:val="28"/>
          <w:szCs w:val="28"/>
        </w:rPr>
      </w:pPr>
    </w:p>
    <w:p w14:paraId="564FC67B" w14:textId="329266D6" w:rsidR="00550544" w:rsidRPr="003877E2" w:rsidRDefault="003877E2" w:rsidP="003877E2">
      <w:pPr>
        <w:tabs>
          <w:tab w:val="left" w:pos="0"/>
        </w:tabs>
        <w:rPr>
          <w:sz w:val="28"/>
          <w:szCs w:val="28"/>
        </w:rPr>
      </w:pPr>
      <w:r w:rsidRPr="00FB564C">
        <w:rPr>
          <w:sz w:val="28"/>
          <w:szCs w:val="28"/>
        </w:rPr>
        <w:t>[51]</w:t>
      </w:r>
      <w:r w:rsidRPr="00FB564C">
        <w:rPr>
          <w:sz w:val="28"/>
          <w:szCs w:val="28"/>
        </w:rPr>
        <w:tab/>
      </w:r>
      <w:r w:rsidR="00B5763D" w:rsidRPr="003877E2">
        <w:rPr>
          <w:sz w:val="28"/>
          <w:szCs w:val="28"/>
        </w:rPr>
        <w:t xml:space="preserve">The third event </w:t>
      </w:r>
      <w:r w:rsidR="00862004" w:rsidRPr="003877E2">
        <w:rPr>
          <w:sz w:val="28"/>
          <w:szCs w:val="28"/>
        </w:rPr>
        <w:t xml:space="preserve">occurred in </w:t>
      </w:r>
      <w:r w:rsidR="00B5763D" w:rsidRPr="003877E2">
        <w:rPr>
          <w:sz w:val="28"/>
          <w:szCs w:val="28"/>
        </w:rPr>
        <w:t xml:space="preserve">February 2007, when </w:t>
      </w:r>
      <w:r w:rsidR="00862004" w:rsidRPr="003877E2">
        <w:rPr>
          <w:sz w:val="28"/>
          <w:szCs w:val="28"/>
        </w:rPr>
        <w:t xml:space="preserve">Paul </w:t>
      </w:r>
      <w:r w:rsidR="00550544" w:rsidRPr="003877E2">
        <w:rPr>
          <w:sz w:val="28"/>
          <w:szCs w:val="28"/>
        </w:rPr>
        <w:t>Olden</w:t>
      </w:r>
      <w:r w:rsidR="00862004" w:rsidRPr="003877E2">
        <w:rPr>
          <w:sz w:val="28"/>
          <w:szCs w:val="28"/>
        </w:rPr>
        <w:t>, a town</w:t>
      </w:r>
      <w:r w:rsidR="00550544" w:rsidRPr="003877E2">
        <w:rPr>
          <w:sz w:val="28"/>
          <w:szCs w:val="28"/>
        </w:rPr>
        <w:t xml:space="preserve"> </w:t>
      </w:r>
      <w:r w:rsidR="00862004" w:rsidRPr="003877E2">
        <w:rPr>
          <w:sz w:val="28"/>
          <w:szCs w:val="28"/>
        </w:rPr>
        <w:t xml:space="preserve">planner </w:t>
      </w:r>
      <w:r w:rsidR="00550544" w:rsidRPr="003877E2">
        <w:rPr>
          <w:sz w:val="28"/>
          <w:szCs w:val="28"/>
        </w:rPr>
        <w:t>conducted a desktop analysis</w:t>
      </w:r>
      <w:r w:rsidR="00B5763D" w:rsidRPr="003877E2">
        <w:rPr>
          <w:sz w:val="28"/>
          <w:szCs w:val="28"/>
        </w:rPr>
        <w:t xml:space="preserve"> </w:t>
      </w:r>
      <w:r w:rsidR="00550544" w:rsidRPr="003877E2">
        <w:rPr>
          <w:sz w:val="28"/>
          <w:szCs w:val="28"/>
        </w:rPr>
        <w:t>and identified a need to amend the structure plan of the properties from horticultur</w:t>
      </w:r>
      <w:r w:rsidR="008306E3" w:rsidRPr="003877E2">
        <w:rPr>
          <w:sz w:val="28"/>
          <w:szCs w:val="28"/>
        </w:rPr>
        <w:t>al</w:t>
      </w:r>
      <w:r w:rsidR="00550544" w:rsidRPr="003877E2">
        <w:rPr>
          <w:sz w:val="28"/>
          <w:szCs w:val="28"/>
        </w:rPr>
        <w:t xml:space="preserve"> to development. </w:t>
      </w:r>
      <w:r w:rsidR="00B5763D" w:rsidRPr="003877E2">
        <w:rPr>
          <w:sz w:val="28"/>
          <w:szCs w:val="28"/>
        </w:rPr>
        <w:t xml:space="preserve">In this regard, </w:t>
      </w:r>
      <w:r w:rsidR="007A3BE8" w:rsidRPr="003877E2">
        <w:rPr>
          <w:sz w:val="28"/>
          <w:szCs w:val="28"/>
        </w:rPr>
        <w:t>e</w:t>
      </w:r>
      <w:r w:rsidR="00550544" w:rsidRPr="003877E2">
        <w:rPr>
          <w:sz w:val="28"/>
          <w:szCs w:val="28"/>
        </w:rPr>
        <w:t xml:space="preserve">ngineers </w:t>
      </w:r>
      <w:r w:rsidR="00B5763D" w:rsidRPr="003877E2">
        <w:rPr>
          <w:sz w:val="28"/>
          <w:szCs w:val="28"/>
        </w:rPr>
        <w:t>were engaged</w:t>
      </w:r>
      <w:r w:rsidR="00862004" w:rsidRPr="003877E2">
        <w:rPr>
          <w:sz w:val="28"/>
          <w:szCs w:val="28"/>
        </w:rPr>
        <w:t xml:space="preserve"> </w:t>
      </w:r>
      <w:r w:rsidR="00862004" w:rsidRPr="003877E2">
        <w:rPr>
          <w:sz w:val="28"/>
          <w:szCs w:val="28"/>
        </w:rPr>
        <w:lastRenderedPageBreak/>
        <w:t>following which</w:t>
      </w:r>
      <w:r w:rsidR="00B5763D" w:rsidRPr="003877E2">
        <w:rPr>
          <w:sz w:val="28"/>
          <w:szCs w:val="28"/>
        </w:rPr>
        <w:t xml:space="preserve"> favourable strategic considerations were identified</w:t>
      </w:r>
      <w:r w:rsidR="00215FB7" w:rsidRPr="003877E2">
        <w:rPr>
          <w:sz w:val="28"/>
          <w:szCs w:val="28"/>
        </w:rPr>
        <w:t>,</w:t>
      </w:r>
      <w:r w:rsidR="00550544" w:rsidRPr="003877E2">
        <w:rPr>
          <w:sz w:val="28"/>
          <w:szCs w:val="28"/>
        </w:rPr>
        <w:t xml:space="preserve"> </w:t>
      </w:r>
      <w:r w:rsidR="00215FB7" w:rsidRPr="003877E2">
        <w:rPr>
          <w:sz w:val="28"/>
          <w:szCs w:val="28"/>
        </w:rPr>
        <w:t>which</w:t>
      </w:r>
      <w:r w:rsidR="00550544" w:rsidRPr="003877E2">
        <w:rPr>
          <w:sz w:val="28"/>
          <w:szCs w:val="28"/>
        </w:rPr>
        <w:t xml:space="preserve"> would serve as a potential development </w:t>
      </w:r>
      <w:r w:rsidR="000567CB" w:rsidRPr="003877E2">
        <w:rPr>
          <w:sz w:val="28"/>
          <w:szCs w:val="28"/>
        </w:rPr>
        <w:t xml:space="preserve">for </w:t>
      </w:r>
      <w:r w:rsidR="00550544" w:rsidRPr="003877E2">
        <w:rPr>
          <w:sz w:val="28"/>
          <w:szCs w:val="28"/>
        </w:rPr>
        <w:t>the properties.</w:t>
      </w:r>
    </w:p>
    <w:p w14:paraId="4D7E4283" w14:textId="77777777" w:rsidR="00550544" w:rsidRPr="00FB564C" w:rsidRDefault="00550544">
      <w:pPr>
        <w:pStyle w:val="ListParagraph"/>
        <w:rPr>
          <w:sz w:val="28"/>
          <w:szCs w:val="28"/>
        </w:rPr>
      </w:pPr>
    </w:p>
    <w:p w14:paraId="152D66D7" w14:textId="72E2B7DB" w:rsidR="00BE340F" w:rsidRPr="003877E2" w:rsidRDefault="003877E2" w:rsidP="003877E2">
      <w:pPr>
        <w:tabs>
          <w:tab w:val="left" w:pos="0"/>
        </w:tabs>
        <w:rPr>
          <w:sz w:val="28"/>
          <w:szCs w:val="28"/>
        </w:rPr>
      </w:pPr>
      <w:r w:rsidRPr="00FB564C">
        <w:rPr>
          <w:sz w:val="28"/>
          <w:szCs w:val="28"/>
        </w:rPr>
        <w:t>[52]</w:t>
      </w:r>
      <w:r w:rsidRPr="00FB564C">
        <w:rPr>
          <w:sz w:val="28"/>
          <w:szCs w:val="28"/>
        </w:rPr>
        <w:tab/>
      </w:r>
      <w:r w:rsidR="00862004" w:rsidRPr="003877E2">
        <w:rPr>
          <w:sz w:val="28"/>
          <w:szCs w:val="28"/>
        </w:rPr>
        <w:t>The final development occurred i</w:t>
      </w:r>
      <w:r w:rsidR="00550544" w:rsidRPr="003877E2">
        <w:rPr>
          <w:sz w:val="28"/>
          <w:szCs w:val="28"/>
        </w:rPr>
        <w:t>n February 2007</w:t>
      </w:r>
      <w:r w:rsidR="00862004" w:rsidRPr="003877E2">
        <w:rPr>
          <w:sz w:val="28"/>
          <w:szCs w:val="28"/>
        </w:rPr>
        <w:t xml:space="preserve"> when </w:t>
      </w:r>
      <w:r w:rsidR="00550544" w:rsidRPr="003877E2">
        <w:rPr>
          <w:sz w:val="28"/>
          <w:szCs w:val="28"/>
        </w:rPr>
        <w:t>Metal Industries Benefit Fund Administrators (MIBFA), an administrator of trade union funds</w:t>
      </w:r>
      <w:r w:rsidR="00BE340F" w:rsidRPr="003877E2">
        <w:rPr>
          <w:sz w:val="28"/>
          <w:szCs w:val="28"/>
        </w:rPr>
        <w:t>,</w:t>
      </w:r>
      <w:r w:rsidR="00550544" w:rsidRPr="003877E2">
        <w:rPr>
          <w:sz w:val="28"/>
          <w:szCs w:val="28"/>
        </w:rPr>
        <w:t xml:space="preserve"> decided to appoint RAM as an investment manager and invest R300 million</w:t>
      </w:r>
      <w:r w:rsidR="00480B8A" w:rsidRPr="003877E2">
        <w:rPr>
          <w:sz w:val="28"/>
          <w:szCs w:val="28"/>
        </w:rPr>
        <w:t xml:space="preserve"> with it</w:t>
      </w:r>
      <w:r w:rsidR="00482DAF" w:rsidRPr="003877E2">
        <w:rPr>
          <w:sz w:val="28"/>
          <w:szCs w:val="28"/>
        </w:rPr>
        <w:t xml:space="preserve">. </w:t>
      </w:r>
    </w:p>
    <w:p w14:paraId="38A7EFDD" w14:textId="77777777" w:rsidR="00BE340F" w:rsidRPr="00FB564C" w:rsidRDefault="00BE340F" w:rsidP="008F4835">
      <w:pPr>
        <w:pStyle w:val="ListParagraph"/>
        <w:rPr>
          <w:sz w:val="28"/>
          <w:szCs w:val="28"/>
        </w:rPr>
      </w:pPr>
    </w:p>
    <w:p w14:paraId="7FCA6FA8" w14:textId="3F9108E7" w:rsidR="00CC496D" w:rsidRPr="003877E2" w:rsidRDefault="003877E2" w:rsidP="003877E2">
      <w:pPr>
        <w:tabs>
          <w:tab w:val="left" w:pos="0"/>
        </w:tabs>
        <w:rPr>
          <w:sz w:val="28"/>
          <w:szCs w:val="28"/>
        </w:rPr>
      </w:pPr>
      <w:r w:rsidRPr="00FB564C">
        <w:rPr>
          <w:sz w:val="28"/>
          <w:szCs w:val="28"/>
        </w:rPr>
        <w:t>[53]</w:t>
      </w:r>
      <w:r w:rsidRPr="00FB564C">
        <w:rPr>
          <w:sz w:val="28"/>
          <w:szCs w:val="28"/>
        </w:rPr>
        <w:tab/>
      </w:r>
      <w:r w:rsidR="00482DAF" w:rsidRPr="003877E2">
        <w:rPr>
          <w:sz w:val="28"/>
          <w:szCs w:val="28"/>
        </w:rPr>
        <w:t>The appellants contend</w:t>
      </w:r>
      <w:r w:rsidR="00862004" w:rsidRPr="003877E2">
        <w:rPr>
          <w:sz w:val="28"/>
          <w:szCs w:val="28"/>
        </w:rPr>
        <w:t>ed</w:t>
      </w:r>
      <w:r w:rsidR="00482DAF" w:rsidRPr="003877E2">
        <w:rPr>
          <w:sz w:val="28"/>
          <w:szCs w:val="28"/>
        </w:rPr>
        <w:t xml:space="preserve"> that all of these four events occurred after the transfer of money from TDI to the transferring attorneys of the properties.</w:t>
      </w:r>
      <w:r w:rsidR="001F6FAB" w:rsidRPr="003877E2">
        <w:rPr>
          <w:sz w:val="28"/>
          <w:szCs w:val="28"/>
        </w:rPr>
        <w:t xml:space="preserve"> Before all </w:t>
      </w:r>
      <w:r w:rsidR="007467B9" w:rsidRPr="003877E2">
        <w:rPr>
          <w:sz w:val="28"/>
          <w:szCs w:val="28"/>
        </w:rPr>
        <w:t>these events, so it was contended</w:t>
      </w:r>
      <w:r w:rsidR="001F6FAB" w:rsidRPr="003877E2">
        <w:rPr>
          <w:sz w:val="28"/>
          <w:szCs w:val="28"/>
        </w:rPr>
        <w:t>, the opportunity was speculative and had Oaker embarked on this risky development</w:t>
      </w:r>
      <w:r w:rsidR="00935F1B" w:rsidRPr="003877E2">
        <w:rPr>
          <w:sz w:val="28"/>
          <w:szCs w:val="28"/>
        </w:rPr>
        <w:t xml:space="preserve"> for PIF and TDI</w:t>
      </w:r>
      <w:r w:rsidR="001F6FAB" w:rsidRPr="003877E2">
        <w:rPr>
          <w:sz w:val="28"/>
          <w:szCs w:val="28"/>
        </w:rPr>
        <w:t>, he would have been criticised.</w:t>
      </w:r>
    </w:p>
    <w:p w14:paraId="142A7898" w14:textId="77777777" w:rsidR="001F6FAB" w:rsidRPr="00FB564C" w:rsidRDefault="001F6FAB">
      <w:pPr>
        <w:pStyle w:val="ListParagraph"/>
        <w:rPr>
          <w:sz w:val="28"/>
          <w:szCs w:val="28"/>
        </w:rPr>
      </w:pPr>
    </w:p>
    <w:p w14:paraId="74983701" w14:textId="74B89011" w:rsidR="00B014A5" w:rsidRPr="003877E2" w:rsidRDefault="003877E2" w:rsidP="003877E2">
      <w:pPr>
        <w:tabs>
          <w:tab w:val="left" w:pos="0"/>
        </w:tabs>
        <w:rPr>
          <w:sz w:val="28"/>
          <w:szCs w:val="28"/>
        </w:rPr>
      </w:pPr>
      <w:r w:rsidRPr="00FB564C">
        <w:rPr>
          <w:sz w:val="28"/>
          <w:szCs w:val="28"/>
        </w:rPr>
        <w:t>[54]</w:t>
      </w:r>
      <w:r w:rsidRPr="00FB564C">
        <w:rPr>
          <w:sz w:val="28"/>
          <w:szCs w:val="28"/>
        </w:rPr>
        <w:tab/>
      </w:r>
      <w:r w:rsidR="00B014A5" w:rsidRPr="003877E2">
        <w:rPr>
          <w:sz w:val="28"/>
          <w:szCs w:val="28"/>
        </w:rPr>
        <w:t>There is a fundamental incongruity in the appellants’ stance</w:t>
      </w:r>
      <w:r w:rsidR="00A834A6" w:rsidRPr="003877E2">
        <w:rPr>
          <w:sz w:val="28"/>
          <w:szCs w:val="28"/>
        </w:rPr>
        <w:t>.</w:t>
      </w:r>
      <w:r w:rsidR="00B014A5" w:rsidRPr="003877E2">
        <w:rPr>
          <w:sz w:val="28"/>
          <w:szCs w:val="28"/>
        </w:rPr>
        <w:t xml:space="preserve"> </w:t>
      </w:r>
      <w:r w:rsidR="00A834A6" w:rsidRPr="003877E2">
        <w:rPr>
          <w:sz w:val="28"/>
          <w:szCs w:val="28"/>
        </w:rPr>
        <w:t>I</w:t>
      </w:r>
      <w:r w:rsidR="00B014A5" w:rsidRPr="003877E2">
        <w:rPr>
          <w:sz w:val="28"/>
          <w:szCs w:val="28"/>
        </w:rPr>
        <w:t>f the properties were not an investment opportunity for PIF</w:t>
      </w:r>
      <w:r w:rsidR="00B36E20" w:rsidRPr="003877E2">
        <w:rPr>
          <w:sz w:val="28"/>
          <w:szCs w:val="28"/>
        </w:rPr>
        <w:t>,</w:t>
      </w:r>
      <w:r w:rsidR="00B014A5" w:rsidRPr="003877E2">
        <w:rPr>
          <w:sz w:val="28"/>
          <w:szCs w:val="28"/>
        </w:rPr>
        <w:t xml:space="preserve"> why were investor funds used to purchase them</w:t>
      </w:r>
      <w:r w:rsidR="009C6F0F" w:rsidRPr="003877E2">
        <w:rPr>
          <w:sz w:val="28"/>
          <w:szCs w:val="28"/>
        </w:rPr>
        <w:t>?</w:t>
      </w:r>
      <w:r w:rsidR="00B014A5" w:rsidRPr="003877E2">
        <w:rPr>
          <w:sz w:val="28"/>
          <w:szCs w:val="28"/>
        </w:rPr>
        <w:t xml:space="preserve"> </w:t>
      </w:r>
      <w:r w:rsidR="007A3BE8" w:rsidRPr="003877E2">
        <w:rPr>
          <w:sz w:val="28"/>
          <w:szCs w:val="28"/>
        </w:rPr>
        <w:t xml:space="preserve">In an attempt to answer, </w:t>
      </w:r>
      <w:r w:rsidR="001F6FAB" w:rsidRPr="003877E2">
        <w:rPr>
          <w:sz w:val="28"/>
          <w:szCs w:val="28"/>
        </w:rPr>
        <w:t xml:space="preserve">Oaker </w:t>
      </w:r>
      <w:r w:rsidR="009C6F0F" w:rsidRPr="003877E2">
        <w:rPr>
          <w:sz w:val="28"/>
          <w:szCs w:val="28"/>
        </w:rPr>
        <w:t xml:space="preserve">fared poorly under </w:t>
      </w:r>
      <w:r w:rsidR="007A3BE8" w:rsidRPr="003877E2">
        <w:rPr>
          <w:sz w:val="28"/>
          <w:szCs w:val="28"/>
        </w:rPr>
        <w:t>cross-examination</w:t>
      </w:r>
      <w:r w:rsidR="001F6FAB" w:rsidRPr="003877E2">
        <w:rPr>
          <w:sz w:val="28"/>
          <w:szCs w:val="28"/>
        </w:rPr>
        <w:t xml:space="preserve">. </w:t>
      </w:r>
      <w:r w:rsidR="007A3BE8" w:rsidRPr="003877E2">
        <w:rPr>
          <w:sz w:val="28"/>
          <w:szCs w:val="28"/>
        </w:rPr>
        <w:t xml:space="preserve">Having </w:t>
      </w:r>
      <w:r w:rsidR="009C6F0F" w:rsidRPr="003877E2">
        <w:rPr>
          <w:sz w:val="28"/>
          <w:szCs w:val="28"/>
        </w:rPr>
        <w:t xml:space="preserve">first </w:t>
      </w:r>
      <w:r w:rsidR="00F8255C" w:rsidRPr="003877E2">
        <w:rPr>
          <w:sz w:val="28"/>
          <w:szCs w:val="28"/>
        </w:rPr>
        <w:t xml:space="preserve">attempted </w:t>
      </w:r>
      <w:r w:rsidR="007A3BE8" w:rsidRPr="003877E2">
        <w:rPr>
          <w:sz w:val="28"/>
          <w:szCs w:val="28"/>
        </w:rPr>
        <w:t xml:space="preserve">to </w:t>
      </w:r>
      <w:r w:rsidR="00BF3D56" w:rsidRPr="003877E2">
        <w:rPr>
          <w:sz w:val="28"/>
          <w:szCs w:val="28"/>
        </w:rPr>
        <w:t>obfuscate</w:t>
      </w:r>
      <w:r w:rsidR="007A3BE8" w:rsidRPr="003877E2">
        <w:rPr>
          <w:sz w:val="28"/>
          <w:szCs w:val="28"/>
        </w:rPr>
        <w:t>, he admit</w:t>
      </w:r>
      <w:r w:rsidR="00BF3D56" w:rsidRPr="003877E2">
        <w:rPr>
          <w:sz w:val="28"/>
          <w:szCs w:val="28"/>
        </w:rPr>
        <w:t>ted</w:t>
      </w:r>
      <w:r w:rsidR="007A3BE8" w:rsidRPr="003877E2">
        <w:rPr>
          <w:sz w:val="28"/>
          <w:szCs w:val="28"/>
        </w:rPr>
        <w:t xml:space="preserve"> that the purpose of the preference share transaction was to fund the acquisition of the properties and </w:t>
      </w:r>
      <w:r w:rsidR="009C6F0F" w:rsidRPr="003877E2">
        <w:rPr>
          <w:sz w:val="28"/>
          <w:szCs w:val="28"/>
        </w:rPr>
        <w:t xml:space="preserve">that </w:t>
      </w:r>
      <w:r w:rsidR="007A3BE8" w:rsidRPr="003877E2">
        <w:rPr>
          <w:sz w:val="28"/>
          <w:szCs w:val="28"/>
        </w:rPr>
        <w:t xml:space="preserve">TDI money was used. </w:t>
      </w:r>
      <w:r w:rsidR="001F6FAB" w:rsidRPr="003877E2">
        <w:rPr>
          <w:sz w:val="28"/>
          <w:szCs w:val="28"/>
        </w:rPr>
        <w:t>He testified that</w:t>
      </w:r>
      <w:r w:rsidR="00935F1B" w:rsidRPr="003877E2">
        <w:rPr>
          <w:sz w:val="28"/>
          <w:szCs w:val="28"/>
        </w:rPr>
        <w:t>,</w:t>
      </w:r>
      <w:r w:rsidR="001F6FAB" w:rsidRPr="003877E2">
        <w:rPr>
          <w:sz w:val="28"/>
          <w:szCs w:val="28"/>
        </w:rPr>
        <w:t xml:space="preserve"> through the preference share agreement, he wanted ‘to get the TDI Fund a foot in the door’</w:t>
      </w:r>
      <w:r w:rsidR="00F31B4F" w:rsidRPr="003877E2">
        <w:rPr>
          <w:sz w:val="28"/>
          <w:szCs w:val="28"/>
        </w:rPr>
        <w:t>.</w:t>
      </w:r>
      <w:r w:rsidR="00D80A7A" w:rsidRPr="003877E2">
        <w:rPr>
          <w:sz w:val="28"/>
          <w:szCs w:val="28"/>
        </w:rPr>
        <w:t xml:space="preserve"> </w:t>
      </w:r>
      <w:r w:rsidR="00935F1B" w:rsidRPr="003877E2">
        <w:rPr>
          <w:sz w:val="28"/>
          <w:szCs w:val="28"/>
        </w:rPr>
        <w:t>Furthermore, t</w:t>
      </w:r>
      <w:r w:rsidR="00F97687" w:rsidRPr="003877E2">
        <w:rPr>
          <w:sz w:val="28"/>
          <w:szCs w:val="28"/>
        </w:rPr>
        <w:t xml:space="preserve">he </w:t>
      </w:r>
      <w:r w:rsidR="00B014A5" w:rsidRPr="003877E2">
        <w:rPr>
          <w:sz w:val="28"/>
          <w:szCs w:val="28"/>
        </w:rPr>
        <w:t>prospect of TDI investing in the properties</w:t>
      </w:r>
      <w:r w:rsidR="00D972FE" w:rsidRPr="003877E2">
        <w:rPr>
          <w:sz w:val="28"/>
          <w:szCs w:val="28"/>
        </w:rPr>
        <w:t xml:space="preserve"> was reflected in the </w:t>
      </w:r>
      <w:r w:rsidR="00F97687" w:rsidRPr="003877E2">
        <w:rPr>
          <w:sz w:val="28"/>
          <w:szCs w:val="28"/>
        </w:rPr>
        <w:t xml:space="preserve">Rockland TDI </w:t>
      </w:r>
      <w:r w:rsidR="00B014A5" w:rsidRPr="003877E2">
        <w:rPr>
          <w:sz w:val="28"/>
          <w:szCs w:val="28"/>
        </w:rPr>
        <w:t xml:space="preserve">deal </w:t>
      </w:r>
      <w:r w:rsidR="00F97687" w:rsidRPr="003877E2">
        <w:rPr>
          <w:sz w:val="28"/>
          <w:szCs w:val="28"/>
        </w:rPr>
        <w:t xml:space="preserve">list </w:t>
      </w:r>
      <w:r w:rsidR="005A4657" w:rsidRPr="003877E2">
        <w:rPr>
          <w:sz w:val="28"/>
          <w:szCs w:val="28"/>
        </w:rPr>
        <w:t xml:space="preserve">already by </w:t>
      </w:r>
      <w:r w:rsidR="00F97687" w:rsidRPr="003877E2">
        <w:rPr>
          <w:sz w:val="28"/>
          <w:szCs w:val="28"/>
        </w:rPr>
        <w:t>30 June 2006</w:t>
      </w:r>
      <w:r w:rsidR="00EA2925" w:rsidRPr="003877E2">
        <w:rPr>
          <w:sz w:val="28"/>
          <w:szCs w:val="28"/>
        </w:rPr>
        <w:t xml:space="preserve">. </w:t>
      </w:r>
    </w:p>
    <w:p w14:paraId="46568A89" w14:textId="77777777" w:rsidR="00D80A7A" w:rsidRPr="00FB564C" w:rsidRDefault="00D80A7A">
      <w:pPr>
        <w:pStyle w:val="ListParagraph"/>
        <w:rPr>
          <w:sz w:val="28"/>
          <w:szCs w:val="28"/>
        </w:rPr>
      </w:pPr>
    </w:p>
    <w:p w14:paraId="0E8311FC" w14:textId="268ACFAF" w:rsidR="00F97687" w:rsidRPr="003877E2" w:rsidRDefault="003877E2" w:rsidP="003877E2">
      <w:pPr>
        <w:tabs>
          <w:tab w:val="left" w:pos="0"/>
        </w:tabs>
        <w:rPr>
          <w:sz w:val="28"/>
          <w:szCs w:val="28"/>
        </w:rPr>
      </w:pPr>
      <w:r w:rsidRPr="00FB564C">
        <w:rPr>
          <w:sz w:val="28"/>
          <w:szCs w:val="28"/>
        </w:rPr>
        <w:t>[55]</w:t>
      </w:r>
      <w:r w:rsidRPr="00FB564C">
        <w:rPr>
          <w:sz w:val="28"/>
          <w:szCs w:val="28"/>
        </w:rPr>
        <w:tab/>
      </w:r>
      <w:r w:rsidR="00F97687" w:rsidRPr="003877E2">
        <w:rPr>
          <w:sz w:val="28"/>
          <w:szCs w:val="28"/>
        </w:rPr>
        <w:t xml:space="preserve">The </w:t>
      </w:r>
      <w:r w:rsidR="00D972FE" w:rsidRPr="003877E2">
        <w:rPr>
          <w:sz w:val="28"/>
          <w:szCs w:val="28"/>
        </w:rPr>
        <w:t>suggestion</w:t>
      </w:r>
      <w:r w:rsidR="00F97687" w:rsidRPr="003877E2">
        <w:rPr>
          <w:sz w:val="28"/>
          <w:szCs w:val="28"/>
        </w:rPr>
        <w:t xml:space="preserve"> that the investment</w:t>
      </w:r>
      <w:r w:rsidR="00D972FE" w:rsidRPr="003877E2">
        <w:rPr>
          <w:sz w:val="28"/>
          <w:szCs w:val="28"/>
        </w:rPr>
        <w:t xml:space="preserve"> </w:t>
      </w:r>
      <w:r w:rsidR="00F97687" w:rsidRPr="003877E2">
        <w:rPr>
          <w:sz w:val="28"/>
          <w:szCs w:val="28"/>
        </w:rPr>
        <w:t>would have been risky at the time of the acquisition of the properties, contradicts the actions of the appellants.</w:t>
      </w:r>
      <w:r w:rsidR="007F0957" w:rsidRPr="003877E2">
        <w:rPr>
          <w:sz w:val="28"/>
          <w:szCs w:val="28"/>
        </w:rPr>
        <w:t xml:space="preserve"> Money belonging to investors was paid from TDI into </w:t>
      </w:r>
      <w:r w:rsidR="00A834A6" w:rsidRPr="003877E2">
        <w:rPr>
          <w:sz w:val="28"/>
          <w:szCs w:val="28"/>
        </w:rPr>
        <w:t xml:space="preserve">an </w:t>
      </w:r>
      <w:r w:rsidR="007F0957" w:rsidRPr="003877E2">
        <w:rPr>
          <w:sz w:val="28"/>
          <w:szCs w:val="28"/>
        </w:rPr>
        <w:t>attorney</w:t>
      </w:r>
      <w:r w:rsidR="00A834A6" w:rsidRPr="003877E2">
        <w:rPr>
          <w:sz w:val="28"/>
          <w:szCs w:val="28"/>
        </w:rPr>
        <w:t>’</w:t>
      </w:r>
      <w:r w:rsidR="007F0957" w:rsidRPr="003877E2">
        <w:rPr>
          <w:sz w:val="28"/>
          <w:szCs w:val="28"/>
        </w:rPr>
        <w:t xml:space="preserve">s trust account to settle </w:t>
      </w:r>
      <w:r w:rsidR="007F0957" w:rsidRPr="003877E2">
        <w:rPr>
          <w:sz w:val="28"/>
          <w:szCs w:val="28"/>
        </w:rPr>
        <w:lastRenderedPageBreak/>
        <w:t>the purchase price on behalf of Rapicorp without any disclosures to the investors</w:t>
      </w:r>
      <w:r w:rsidR="009C6F0F" w:rsidRPr="003877E2">
        <w:rPr>
          <w:sz w:val="28"/>
          <w:szCs w:val="28"/>
        </w:rPr>
        <w:t>.</w:t>
      </w:r>
      <w:r w:rsidR="00D972FE" w:rsidRPr="003877E2">
        <w:rPr>
          <w:sz w:val="28"/>
          <w:szCs w:val="28"/>
        </w:rPr>
        <w:t xml:space="preserve"> </w:t>
      </w:r>
      <w:r w:rsidR="007F0957" w:rsidRPr="003877E2">
        <w:rPr>
          <w:sz w:val="28"/>
          <w:szCs w:val="28"/>
        </w:rPr>
        <w:t>TDI received nothing in return for the payment.</w:t>
      </w:r>
    </w:p>
    <w:p w14:paraId="5555A452" w14:textId="77777777" w:rsidR="007F0957" w:rsidRPr="00FB564C" w:rsidRDefault="007F0957">
      <w:pPr>
        <w:pStyle w:val="ListParagraph"/>
        <w:rPr>
          <w:sz w:val="28"/>
          <w:szCs w:val="28"/>
        </w:rPr>
      </w:pPr>
    </w:p>
    <w:p w14:paraId="518DCB55" w14:textId="553E7612" w:rsidR="007F0957" w:rsidRPr="003877E2" w:rsidRDefault="003877E2" w:rsidP="003877E2">
      <w:pPr>
        <w:tabs>
          <w:tab w:val="left" w:pos="0"/>
        </w:tabs>
        <w:rPr>
          <w:sz w:val="28"/>
          <w:szCs w:val="28"/>
        </w:rPr>
      </w:pPr>
      <w:r w:rsidRPr="00FB564C">
        <w:rPr>
          <w:sz w:val="28"/>
          <w:szCs w:val="28"/>
        </w:rPr>
        <w:t>[56]</w:t>
      </w:r>
      <w:r w:rsidRPr="00FB564C">
        <w:rPr>
          <w:sz w:val="28"/>
          <w:szCs w:val="28"/>
        </w:rPr>
        <w:tab/>
      </w:r>
      <w:r w:rsidR="007F0957" w:rsidRPr="003877E2">
        <w:rPr>
          <w:sz w:val="28"/>
          <w:szCs w:val="28"/>
        </w:rPr>
        <w:t xml:space="preserve">The high court </w:t>
      </w:r>
      <w:r w:rsidR="00D972FE" w:rsidRPr="003877E2">
        <w:rPr>
          <w:sz w:val="28"/>
          <w:szCs w:val="28"/>
        </w:rPr>
        <w:t xml:space="preserve">correctly </w:t>
      </w:r>
      <w:r w:rsidR="007F0957" w:rsidRPr="003877E2">
        <w:rPr>
          <w:sz w:val="28"/>
          <w:szCs w:val="28"/>
        </w:rPr>
        <w:t>conclude</w:t>
      </w:r>
      <w:r w:rsidR="00D972FE" w:rsidRPr="003877E2">
        <w:rPr>
          <w:sz w:val="28"/>
          <w:szCs w:val="28"/>
        </w:rPr>
        <w:t>d</w:t>
      </w:r>
      <w:r w:rsidR="007F0957" w:rsidRPr="003877E2">
        <w:rPr>
          <w:sz w:val="28"/>
          <w:szCs w:val="28"/>
        </w:rPr>
        <w:t xml:space="preserve"> that on the facts</w:t>
      </w:r>
      <w:r w:rsidR="00B36E20" w:rsidRPr="003877E2">
        <w:rPr>
          <w:sz w:val="28"/>
          <w:szCs w:val="28"/>
        </w:rPr>
        <w:t>,</w:t>
      </w:r>
      <w:r w:rsidR="007F0957" w:rsidRPr="003877E2">
        <w:rPr>
          <w:sz w:val="28"/>
          <w:szCs w:val="28"/>
        </w:rPr>
        <w:t xml:space="preserve"> the properties </w:t>
      </w:r>
      <w:r w:rsidR="00D972FE" w:rsidRPr="003877E2">
        <w:rPr>
          <w:sz w:val="28"/>
          <w:szCs w:val="28"/>
        </w:rPr>
        <w:t xml:space="preserve">did not appear </w:t>
      </w:r>
      <w:r w:rsidR="009C6F0F" w:rsidRPr="003877E2">
        <w:rPr>
          <w:sz w:val="28"/>
          <w:szCs w:val="28"/>
        </w:rPr>
        <w:t xml:space="preserve">to be </w:t>
      </w:r>
      <w:r w:rsidR="00482419" w:rsidRPr="003877E2">
        <w:rPr>
          <w:sz w:val="28"/>
          <w:szCs w:val="28"/>
        </w:rPr>
        <w:t>of as</w:t>
      </w:r>
      <w:r w:rsidR="007F0957" w:rsidRPr="003877E2">
        <w:rPr>
          <w:sz w:val="28"/>
          <w:szCs w:val="28"/>
        </w:rPr>
        <w:t xml:space="preserve"> high</w:t>
      </w:r>
      <w:r w:rsidR="009C6F0F" w:rsidRPr="003877E2">
        <w:rPr>
          <w:sz w:val="28"/>
          <w:szCs w:val="28"/>
        </w:rPr>
        <w:t xml:space="preserve"> a </w:t>
      </w:r>
      <w:r w:rsidR="007F0957" w:rsidRPr="003877E2">
        <w:rPr>
          <w:sz w:val="28"/>
          <w:szCs w:val="28"/>
        </w:rPr>
        <w:t>risk</w:t>
      </w:r>
      <w:r w:rsidR="009C6F0F" w:rsidRPr="003877E2">
        <w:rPr>
          <w:sz w:val="28"/>
          <w:szCs w:val="28"/>
        </w:rPr>
        <w:t xml:space="preserve"> as Oaker sought to make out</w:t>
      </w:r>
      <w:r w:rsidR="00D972FE" w:rsidRPr="003877E2">
        <w:rPr>
          <w:sz w:val="28"/>
          <w:szCs w:val="28"/>
        </w:rPr>
        <w:t>.</w:t>
      </w:r>
      <w:r w:rsidR="007F0957" w:rsidRPr="003877E2">
        <w:rPr>
          <w:sz w:val="28"/>
          <w:szCs w:val="28"/>
        </w:rPr>
        <w:t xml:space="preserve"> </w:t>
      </w:r>
      <w:r w:rsidR="001B7157" w:rsidRPr="003877E2">
        <w:rPr>
          <w:sz w:val="28"/>
          <w:szCs w:val="28"/>
        </w:rPr>
        <w:t xml:space="preserve">They </w:t>
      </w:r>
      <w:r w:rsidR="00D972FE" w:rsidRPr="003877E2">
        <w:rPr>
          <w:sz w:val="28"/>
          <w:szCs w:val="28"/>
        </w:rPr>
        <w:t xml:space="preserve">were </w:t>
      </w:r>
      <w:r w:rsidR="001B7157" w:rsidRPr="003877E2">
        <w:rPr>
          <w:sz w:val="28"/>
          <w:szCs w:val="28"/>
        </w:rPr>
        <w:t>obtain</w:t>
      </w:r>
      <w:r w:rsidR="00D972FE" w:rsidRPr="003877E2">
        <w:rPr>
          <w:sz w:val="28"/>
          <w:szCs w:val="28"/>
        </w:rPr>
        <w:t>ed</w:t>
      </w:r>
      <w:r w:rsidR="001B7157" w:rsidRPr="003877E2">
        <w:rPr>
          <w:sz w:val="28"/>
          <w:szCs w:val="28"/>
        </w:rPr>
        <w:t xml:space="preserve"> at </w:t>
      </w:r>
      <w:r w:rsidR="00D972FE" w:rsidRPr="003877E2">
        <w:rPr>
          <w:sz w:val="28"/>
          <w:szCs w:val="28"/>
        </w:rPr>
        <w:t>under R40 million</w:t>
      </w:r>
      <w:r w:rsidR="00A834A6" w:rsidRPr="003877E2">
        <w:rPr>
          <w:sz w:val="28"/>
          <w:szCs w:val="28"/>
        </w:rPr>
        <w:t>,</w:t>
      </w:r>
      <w:r w:rsidR="00D972FE" w:rsidRPr="003877E2">
        <w:rPr>
          <w:sz w:val="28"/>
          <w:szCs w:val="28"/>
        </w:rPr>
        <w:t xml:space="preserve"> which was </w:t>
      </w:r>
      <w:r w:rsidR="001B7157" w:rsidRPr="003877E2">
        <w:rPr>
          <w:sz w:val="28"/>
          <w:szCs w:val="28"/>
        </w:rPr>
        <w:t>considered to be a bargain</w:t>
      </w:r>
      <w:r w:rsidR="00D972FE" w:rsidRPr="003877E2">
        <w:rPr>
          <w:sz w:val="28"/>
          <w:szCs w:val="28"/>
        </w:rPr>
        <w:t xml:space="preserve"> by the parties involved</w:t>
      </w:r>
      <w:r w:rsidR="001B7157" w:rsidRPr="003877E2">
        <w:rPr>
          <w:sz w:val="28"/>
          <w:szCs w:val="28"/>
        </w:rPr>
        <w:t xml:space="preserve">. </w:t>
      </w:r>
      <w:r w:rsidR="007F0957" w:rsidRPr="003877E2">
        <w:rPr>
          <w:sz w:val="28"/>
          <w:szCs w:val="28"/>
        </w:rPr>
        <w:t xml:space="preserve">As at August 2006, the intention was </w:t>
      </w:r>
      <w:r w:rsidR="000A0CA3" w:rsidRPr="003877E2">
        <w:rPr>
          <w:sz w:val="28"/>
          <w:szCs w:val="28"/>
        </w:rPr>
        <w:t>to resell them</w:t>
      </w:r>
      <w:r w:rsidR="000567CB" w:rsidRPr="003877E2">
        <w:rPr>
          <w:sz w:val="28"/>
          <w:szCs w:val="28"/>
        </w:rPr>
        <w:t>.</w:t>
      </w:r>
      <w:r w:rsidR="00A16351" w:rsidRPr="003877E2">
        <w:rPr>
          <w:sz w:val="28"/>
          <w:szCs w:val="28"/>
        </w:rPr>
        <w:t xml:space="preserve"> </w:t>
      </w:r>
      <w:r w:rsidR="000567CB" w:rsidRPr="003877E2">
        <w:rPr>
          <w:sz w:val="28"/>
          <w:szCs w:val="28"/>
        </w:rPr>
        <w:t xml:space="preserve">It was the thought that </w:t>
      </w:r>
      <w:r w:rsidR="000A0CA3" w:rsidRPr="003877E2">
        <w:rPr>
          <w:sz w:val="28"/>
          <w:szCs w:val="28"/>
        </w:rPr>
        <w:t>they w</w:t>
      </w:r>
      <w:r w:rsidR="00D972FE" w:rsidRPr="003877E2">
        <w:rPr>
          <w:sz w:val="28"/>
          <w:szCs w:val="28"/>
        </w:rPr>
        <w:t>ould</w:t>
      </w:r>
      <w:r w:rsidR="000A0CA3" w:rsidRPr="003877E2">
        <w:rPr>
          <w:sz w:val="28"/>
          <w:szCs w:val="28"/>
        </w:rPr>
        <w:t xml:space="preserve"> be resold</w:t>
      </w:r>
      <w:r w:rsidR="001B7157" w:rsidRPr="003877E2">
        <w:rPr>
          <w:sz w:val="28"/>
          <w:szCs w:val="28"/>
        </w:rPr>
        <w:t xml:space="preserve"> in September 2006 at a huge profit</w:t>
      </w:r>
      <w:r w:rsidR="00A16351" w:rsidRPr="003877E2">
        <w:rPr>
          <w:sz w:val="28"/>
          <w:szCs w:val="28"/>
        </w:rPr>
        <w:t xml:space="preserve"> as evidenced by the Coessa deal</w:t>
      </w:r>
      <w:r w:rsidR="001B7157" w:rsidRPr="003877E2">
        <w:rPr>
          <w:sz w:val="28"/>
          <w:szCs w:val="28"/>
        </w:rPr>
        <w:t xml:space="preserve">. Offers </w:t>
      </w:r>
      <w:r w:rsidR="00D972FE" w:rsidRPr="003877E2">
        <w:rPr>
          <w:sz w:val="28"/>
          <w:szCs w:val="28"/>
        </w:rPr>
        <w:t>to purchase the properties were received</w:t>
      </w:r>
      <w:r w:rsidR="001B7157" w:rsidRPr="003877E2">
        <w:rPr>
          <w:sz w:val="28"/>
          <w:szCs w:val="28"/>
        </w:rPr>
        <w:t xml:space="preserve"> even before</w:t>
      </w:r>
      <w:r w:rsidR="004E3D44" w:rsidRPr="003877E2">
        <w:rPr>
          <w:sz w:val="28"/>
          <w:szCs w:val="28"/>
        </w:rPr>
        <w:t xml:space="preserve"> Schuster, Merlot, and Johnny became shareholders </w:t>
      </w:r>
      <w:r w:rsidR="00D972FE" w:rsidRPr="003877E2">
        <w:rPr>
          <w:sz w:val="28"/>
          <w:szCs w:val="28"/>
        </w:rPr>
        <w:t>in the</w:t>
      </w:r>
      <w:r w:rsidR="004E3D44" w:rsidRPr="003877E2">
        <w:rPr>
          <w:sz w:val="28"/>
          <w:szCs w:val="28"/>
        </w:rPr>
        <w:t xml:space="preserve"> Rapicorp</w:t>
      </w:r>
      <w:r w:rsidR="00D972FE" w:rsidRPr="003877E2">
        <w:rPr>
          <w:sz w:val="28"/>
          <w:szCs w:val="28"/>
        </w:rPr>
        <w:t xml:space="preserve"> companies</w:t>
      </w:r>
      <w:r w:rsidR="004E3D44" w:rsidRPr="003877E2">
        <w:rPr>
          <w:sz w:val="28"/>
          <w:szCs w:val="28"/>
        </w:rPr>
        <w:t xml:space="preserve"> in September 2006. Had there been no diversion, TDI and/or PIF would have become</w:t>
      </w:r>
      <w:r w:rsidR="009C6F0F" w:rsidRPr="003877E2">
        <w:rPr>
          <w:sz w:val="28"/>
          <w:szCs w:val="28"/>
        </w:rPr>
        <w:t xml:space="preserve">, as </w:t>
      </w:r>
      <w:r w:rsidR="000567CB" w:rsidRPr="003877E2">
        <w:rPr>
          <w:sz w:val="28"/>
          <w:szCs w:val="28"/>
        </w:rPr>
        <w:t xml:space="preserve">either </w:t>
      </w:r>
      <w:r w:rsidR="009C6F0F" w:rsidRPr="003877E2">
        <w:rPr>
          <w:sz w:val="28"/>
          <w:szCs w:val="28"/>
        </w:rPr>
        <w:t>it</w:t>
      </w:r>
      <w:r w:rsidR="000567CB" w:rsidRPr="003877E2">
        <w:rPr>
          <w:sz w:val="28"/>
          <w:szCs w:val="28"/>
        </w:rPr>
        <w:t xml:space="preserve"> or</w:t>
      </w:r>
      <w:r w:rsidR="009C6F0F" w:rsidRPr="003877E2">
        <w:rPr>
          <w:sz w:val="28"/>
          <w:szCs w:val="28"/>
        </w:rPr>
        <w:t xml:space="preserve"> </w:t>
      </w:r>
      <w:r w:rsidR="000567CB" w:rsidRPr="003877E2">
        <w:rPr>
          <w:sz w:val="28"/>
          <w:szCs w:val="28"/>
        </w:rPr>
        <w:t xml:space="preserve">they </w:t>
      </w:r>
      <w:r w:rsidR="009C6F0F" w:rsidRPr="003877E2">
        <w:rPr>
          <w:sz w:val="28"/>
          <w:szCs w:val="28"/>
        </w:rPr>
        <w:t>should have,</w:t>
      </w:r>
      <w:r w:rsidR="004E3D44" w:rsidRPr="003877E2">
        <w:rPr>
          <w:sz w:val="28"/>
          <w:szCs w:val="28"/>
        </w:rPr>
        <w:t xml:space="preserve"> the </w:t>
      </w:r>
      <w:r w:rsidR="00D972FE" w:rsidRPr="003877E2">
        <w:rPr>
          <w:sz w:val="28"/>
          <w:szCs w:val="28"/>
        </w:rPr>
        <w:t xml:space="preserve">shareholder </w:t>
      </w:r>
      <w:r w:rsidR="000567CB" w:rsidRPr="003877E2">
        <w:rPr>
          <w:sz w:val="28"/>
          <w:szCs w:val="28"/>
        </w:rPr>
        <w:t xml:space="preserve">or shareholders </w:t>
      </w:r>
      <w:r w:rsidR="004E3D44" w:rsidRPr="003877E2">
        <w:rPr>
          <w:sz w:val="28"/>
          <w:szCs w:val="28"/>
        </w:rPr>
        <w:t xml:space="preserve">of </w:t>
      </w:r>
      <w:r w:rsidR="005A4657" w:rsidRPr="003877E2">
        <w:rPr>
          <w:sz w:val="28"/>
          <w:szCs w:val="28"/>
        </w:rPr>
        <w:t xml:space="preserve">the </w:t>
      </w:r>
      <w:r w:rsidR="004E3D44" w:rsidRPr="003877E2">
        <w:rPr>
          <w:sz w:val="28"/>
          <w:szCs w:val="28"/>
        </w:rPr>
        <w:t>Rapicorp</w:t>
      </w:r>
      <w:r w:rsidR="005A4657" w:rsidRPr="003877E2">
        <w:rPr>
          <w:sz w:val="28"/>
          <w:szCs w:val="28"/>
        </w:rPr>
        <w:t xml:space="preserve"> companies</w:t>
      </w:r>
      <w:r w:rsidR="004E3D44" w:rsidRPr="003877E2">
        <w:rPr>
          <w:sz w:val="28"/>
          <w:szCs w:val="28"/>
        </w:rPr>
        <w:t xml:space="preserve">. Acquiring </w:t>
      </w:r>
      <w:r w:rsidR="00113AEC" w:rsidRPr="003877E2">
        <w:rPr>
          <w:sz w:val="28"/>
          <w:szCs w:val="28"/>
        </w:rPr>
        <w:t>100% of the shares in Rapicorp for R36 million would have been much less risky than acquiring 20% of the shares for much the same price.</w:t>
      </w:r>
    </w:p>
    <w:p w14:paraId="47BE6B26" w14:textId="77777777" w:rsidR="00113AEC" w:rsidRPr="00FB564C" w:rsidRDefault="00113AEC">
      <w:pPr>
        <w:pStyle w:val="ListParagraph"/>
        <w:rPr>
          <w:sz w:val="28"/>
          <w:szCs w:val="28"/>
        </w:rPr>
      </w:pPr>
    </w:p>
    <w:p w14:paraId="39EC0025" w14:textId="25749F5B" w:rsidR="00112794" w:rsidRPr="003877E2" w:rsidRDefault="003877E2" w:rsidP="003877E2">
      <w:pPr>
        <w:tabs>
          <w:tab w:val="left" w:pos="0"/>
        </w:tabs>
        <w:rPr>
          <w:sz w:val="28"/>
          <w:szCs w:val="28"/>
        </w:rPr>
      </w:pPr>
      <w:r w:rsidRPr="00FB564C">
        <w:rPr>
          <w:sz w:val="28"/>
          <w:szCs w:val="28"/>
        </w:rPr>
        <w:t>[57]</w:t>
      </w:r>
      <w:r w:rsidRPr="00FB564C">
        <w:rPr>
          <w:sz w:val="28"/>
          <w:szCs w:val="28"/>
        </w:rPr>
        <w:tab/>
      </w:r>
      <w:r w:rsidR="00113AEC" w:rsidRPr="003877E2">
        <w:rPr>
          <w:sz w:val="28"/>
          <w:szCs w:val="28"/>
        </w:rPr>
        <w:t>There was nothing in the TDI and PIF trust deeds, or in the management agreements that prevented RAM from making a short-term profit for the investors. It is ironic that on 23 September 2006</w:t>
      </w:r>
      <w:r w:rsidR="000567CB" w:rsidRPr="003877E2">
        <w:rPr>
          <w:sz w:val="28"/>
          <w:szCs w:val="28"/>
        </w:rPr>
        <w:t>,</w:t>
      </w:r>
      <w:r w:rsidR="00113AEC" w:rsidRPr="003877E2">
        <w:rPr>
          <w:sz w:val="28"/>
          <w:szCs w:val="28"/>
        </w:rPr>
        <w:t xml:space="preserve"> Oaker</w:t>
      </w:r>
      <w:r w:rsidR="0081365D" w:rsidRPr="003877E2">
        <w:rPr>
          <w:sz w:val="28"/>
          <w:szCs w:val="28"/>
        </w:rPr>
        <w:t xml:space="preserve"> described the opportunity to acquire the properties to MIBFA</w:t>
      </w:r>
      <w:r w:rsidR="00CD4106" w:rsidRPr="003877E2">
        <w:rPr>
          <w:sz w:val="28"/>
          <w:szCs w:val="28"/>
        </w:rPr>
        <w:t>’s consultant</w:t>
      </w:r>
      <w:r w:rsidR="0081365D" w:rsidRPr="003877E2">
        <w:rPr>
          <w:sz w:val="28"/>
          <w:szCs w:val="28"/>
        </w:rPr>
        <w:t xml:space="preserve"> as ‘rare gems [that]</w:t>
      </w:r>
      <w:r w:rsidR="004D406F" w:rsidRPr="003877E2">
        <w:rPr>
          <w:sz w:val="28"/>
          <w:szCs w:val="28"/>
        </w:rPr>
        <w:t xml:space="preserve"> fall squarely within our investment philosophy’</w:t>
      </w:r>
      <w:r w:rsidR="00F31B4F" w:rsidRPr="003877E2">
        <w:rPr>
          <w:sz w:val="28"/>
          <w:szCs w:val="28"/>
        </w:rPr>
        <w:t>.</w:t>
      </w:r>
      <w:r w:rsidR="00112794" w:rsidRPr="003877E2">
        <w:rPr>
          <w:sz w:val="28"/>
          <w:szCs w:val="28"/>
        </w:rPr>
        <w:t xml:space="preserve"> Therefore, the conclusion reached by the high court that there was a diversion of a corporate opportunity and hence breach of fiduciary duties by the respective appellants, excluding Pillay, cannot be faulted.</w:t>
      </w:r>
    </w:p>
    <w:p w14:paraId="01E8CD66" w14:textId="77777777" w:rsidR="004D406F" w:rsidRPr="00FB564C" w:rsidRDefault="004D406F">
      <w:pPr>
        <w:pStyle w:val="ListParagraph"/>
        <w:rPr>
          <w:sz w:val="28"/>
          <w:szCs w:val="28"/>
        </w:rPr>
      </w:pPr>
    </w:p>
    <w:p w14:paraId="5B1C795A" w14:textId="08F162CF" w:rsidR="00A94BCA" w:rsidRPr="003877E2" w:rsidRDefault="003877E2" w:rsidP="003877E2">
      <w:pPr>
        <w:tabs>
          <w:tab w:val="left" w:pos="0"/>
        </w:tabs>
        <w:rPr>
          <w:sz w:val="28"/>
          <w:szCs w:val="28"/>
        </w:rPr>
      </w:pPr>
      <w:r w:rsidRPr="00FB564C">
        <w:rPr>
          <w:sz w:val="28"/>
          <w:szCs w:val="28"/>
        </w:rPr>
        <w:t>[58]</w:t>
      </w:r>
      <w:r w:rsidRPr="00FB564C">
        <w:rPr>
          <w:sz w:val="28"/>
          <w:szCs w:val="28"/>
        </w:rPr>
        <w:tab/>
      </w:r>
      <w:r w:rsidR="00F37E63" w:rsidRPr="003877E2">
        <w:rPr>
          <w:sz w:val="28"/>
          <w:szCs w:val="28"/>
        </w:rPr>
        <w:t>The second question is whether the high court was correct in awarding one third of the claim instead of</w:t>
      </w:r>
      <w:r w:rsidR="00A834A6" w:rsidRPr="003877E2">
        <w:rPr>
          <w:sz w:val="28"/>
          <w:szCs w:val="28"/>
        </w:rPr>
        <w:t xml:space="preserve"> the</w:t>
      </w:r>
      <w:r w:rsidR="00F37E63" w:rsidRPr="003877E2">
        <w:rPr>
          <w:sz w:val="28"/>
          <w:szCs w:val="28"/>
        </w:rPr>
        <w:t xml:space="preserve"> full claim as pleaded.</w:t>
      </w:r>
      <w:r w:rsidR="00E40877" w:rsidRPr="003877E2">
        <w:rPr>
          <w:sz w:val="28"/>
          <w:szCs w:val="28"/>
        </w:rPr>
        <w:t xml:space="preserve"> The premise upon which the </w:t>
      </w:r>
      <w:r w:rsidR="001248D0" w:rsidRPr="003877E2">
        <w:rPr>
          <w:sz w:val="28"/>
          <w:szCs w:val="28"/>
        </w:rPr>
        <w:t xml:space="preserve">high court </w:t>
      </w:r>
      <w:r w:rsidR="00E40877" w:rsidRPr="003877E2">
        <w:rPr>
          <w:sz w:val="28"/>
          <w:szCs w:val="28"/>
        </w:rPr>
        <w:t>declined t</w:t>
      </w:r>
      <w:r w:rsidR="001248D0" w:rsidRPr="003877E2">
        <w:rPr>
          <w:sz w:val="28"/>
          <w:szCs w:val="28"/>
        </w:rPr>
        <w:t>o award 100% of the claim</w:t>
      </w:r>
      <w:r w:rsidR="00E40877" w:rsidRPr="003877E2">
        <w:rPr>
          <w:sz w:val="28"/>
          <w:szCs w:val="28"/>
        </w:rPr>
        <w:t xml:space="preserve"> was erroneous</w:t>
      </w:r>
      <w:r w:rsidR="001248D0" w:rsidRPr="003877E2">
        <w:rPr>
          <w:sz w:val="28"/>
          <w:szCs w:val="28"/>
        </w:rPr>
        <w:t xml:space="preserve">. </w:t>
      </w:r>
      <w:r w:rsidR="00222AA1" w:rsidRPr="003877E2">
        <w:rPr>
          <w:sz w:val="28"/>
          <w:szCs w:val="28"/>
        </w:rPr>
        <w:t xml:space="preserve">In terms of paragraph </w:t>
      </w:r>
      <w:r w:rsidR="00222AA1" w:rsidRPr="003877E2">
        <w:rPr>
          <w:sz w:val="28"/>
          <w:szCs w:val="28"/>
        </w:rPr>
        <w:lastRenderedPageBreak/>
        <w:t>3 of the consolidation order, t</w:t>
      </w:r>
      <w:r w:rsidR="001248D0" w:rsidRPr="003877E2">
        <w:rPr>
          <w:sz w:val="28"/>
          <w:szCs w:val="28"/>
        </w:rPr>
        <w:t>he</w:t>
      </w:r>
      <w:r w:rsidR="00A94BCA" w:rsidRPr="003877E2">
        <w:rPr>
          <w:sz w:val="28"/>
          <w:szCs w:val="28"/>
        </w:rPr>
        <w:t xml:space="preserve"> </w:t>
      </w:r>
      <w:r w:rsidR="00D54E5B" w:rsidRPr="003877E2">
        <w:rPr>
          <w:sz w:val="28"/>
          <w:szCs w:val="28"/>
        </w:rPr>
        <w:t>separation order</w:t>
      </w:r>
      <w:r w:rsidR="009C6F0F" w:rsidRPr="003877E2">
        <w:rPr>
          <w:sz w:val="28"/>
          <w:szCs w:val="28"/>
        </w:rPr>
        <w:t xml:space="preserve"> </w:t>
      </w:r>
      <w:r w:rsidR="00A94BCA" w:rsidRPr="003877E2">
        <w:rPr>
          <w:sz w:val="28"/>
          <w:szCs w:val="28"/>
        </w:rPr>
        <w:t xml:space="preserve">did not preclude it from making findings against </w:t>
      </w:r>
      <w:r w:rsidR="00D85E52" w:rsidRPr="003877E2">
        <w:rPr>
          <w:sz w:val="28"/>
          <w:szCs w:val="28"/>
        </w:rPr>
        <w:t>Schuster (</w:t>
      </w:r>
      <w:r w:rsidR="00A94BCA" w:rsidRPr="003877E2">
        <w:rPr>
          <w:sz w:val="28"/>
          <w:szCs w:val="28"/>
        </w:rPr>
        <w:t>Badenhorst</w:t>
      </w:r>
      <w:r w:rsidR="00D85E52" w:rsidRPr="003877E2">
        <w:rPr>
          <w:sz w:val="28"/>
          <w:szCs w:val="28"/>
        </w:rPr>
        <w:t>)</w:t>
      </w:r>
      <w:r w:rsidR="00A94BCA" w:rsidRPr="003877E2">
        <w:rPr>
          <w:sz w:val="28"/>
          <w:szCs w:val="28"/>
        </w:rPr>
        <w:t xml:space="preserve"> </w:t>
      </w:r>
      <w:r w:rsidR="00D85E52" w:rsidRPr="003877E2">
        <w:rPr>
          <w:sz w:val="28"/>
          <w:szCs w:val="28"/>
        </w:rPr>
        <w:t>and Merlot (H</w:t>
      </w:r>
      <w:r w:rsidR="00A94BCA" w:rsidRPr="003877E2">
        <w:rPr>
          <w:sz w:val="28"/>
          <w:szCs w:val="28"/>
        </w:rPr>
        <w:t>orton</w:t>
      </w:r>
      <w:r w:rsidR="00D85E52" w:rsidRPr="003877E2">
        <w:rPr>
          <w:sz w:val="28"/>
          <w:szCs w:val="28"/>
        </w:rPr>
        <w:t>)</w:t>
      </w:r>
      <w:r w:rsidR="00A94BCA" w:rsidRPr="003877E2">
        <w:rPr>
          <w:sz w:val="28"/>
          <w:szCs w:val="28"/>
        </w:rPr>
        <w:t>.</w:t>
      </w:r>
      <w:r w:rsidR="00222AA1" w:rsidRPr="003877E2">
        <w:rPr>
          <w:sz w:val="28"/>
          <w:szCs w:val="28"/>
        </w:rPr>
        <w:t xml:space="preserve"> </w:t>
      </w:r>
      <w:r w:rsidR="00A94BCA" w:rsidRPr="003877E2">
        <w:rPr>
          <w:sz w:val="28"/>
          <w:szCs w:val="28"/>
        </w:rPr>
        <w:t xml:space="preserve">The </w:t>
      </w:r>
      <w:r w:rsidR="001248D0" w:rsidRPr="003877E2">
        <w:rPr>
          <w:sz w:val="28"/>
          <w:szCs w:val="28"/>
        </w:rPr>
        <w:t xml:space="preserve">evidence reveals ample basis </w:t>
      </w:r>
      <w:r w:rsidR="009C6F0F" w:rsidRPr="003877E2">
        <w:rPr>
          <w:sz w:val="28"/>
          <w:szCs w:val="28"/>
        </w:rPr>
        <w:t xml:space="preserve">for it </w:t>
      </w:r>
      <w:r w:rsidR="001248D0" w:rsidRPr="003877E2">
        <w:rPr>
          <w:sz w:val="28"/>
          <w:szCs w:val="28"/>
        </w:rPr>
        <w:t xml:space="preserve">to </w:t>
      </w:r>
      <w:r w:rsidR="009C6F0F" w:rsidRPr="003877E2">
        <w:rPr>
          <w:sz w:val="28"/>
          <w:szCs w:val="28"/>
        </w:rPr>
        <w:t xml:space="preserve">have </w:t>
      </w:r>
      <w:r w:rsidR="001248D0" w:rsidRPr="003877E2">
        <w:rPr>
          <w:sz w:val="28"/>
          <w:szCs w:val="28"/>
        </w:rPr>
        <w:t>conclude</w:t>
      </w:r>
      <w:r w:rsidR="009C6F0F" w:rsidRPr="003877E2">
        <w:rPr>
          <w:sz w:val="28"/>
          <w:szCs w:val="28"/>
        </w:rPr>
        <w:t>d</w:t>
      </w:r>
      <w:r w:rsidR="001248D0" w:rsidRPr="003877E2">
        <w:rPr>
          <w:sz w:val="28"/>
          <w:szCs w:val="28"/>
        </w:rPr>
        <w:t xml:space="preserve"> that there was a collusive relationship between Johnny, Merlot and Schuster to profit from an opportunity which fell </w:t>
      </w:r>
      <w:r w:rsidR="009C6F0F" w:rsidRPr="003877E2">
        <w:rPr>
          <w:sz w:val="28"/>
          <w:szCs w:val="28"/>
        </w:rPr>
        <w:t xml:space="preserve">squarely </w:t>
      </w:r>
      <w:r w:rsidR="001248D0" w:rsidRPr="003877E2">
        <w:rPr>
          <w:sz w:val="28"/>
          <w:szCs w:val="28"/>
        </w:rPr>
        <w:t xml:space="preserve">within </w:t>
      </w:r>
      <w:r w:rsidR="00E94386" w:rsidRPr="003877E2">
        <w:rPr>
          <w:sz w:val="28"/>
          <w:szCs w:val="28"/>
        </w:rPr>
        <w:t xml:space="preserve">the </w:t>
      </w:r>
      <w:r w:rsidR="001248D0" w:rsidRPr="003877E2">
        <w:rPr>
          <w:sz w:val="28"/>
          <w:szCs w:val="28"/>
        </w:rPr>
        <w:t xml:space="preserve">TDI/PIF investment mandate. </w:t>
      </w:r>
    </w:p>
    <w:p w14:paraId="6E684D7B" w14:textId="77777777" w:rsidR="00A94BCA" w:rsidRPr="00FB564C" w:rsidRDefault="00A94BCA">
      <w:pPr>
        <w:pStyle w:val="ListParagraph"/>
        <w:rPr>
          <w:sz w:val="28"/>
          <w:szCs w:val="28"/>
        </w:rPr>
      </w:pPr>
    </w:p>
    <w:p w14:paraId="32716C15" w14:textId="2672E7F3" w:rsidR="00774838" w:rsidRPr="003877E2" w:rsidRDefault="003877E2" w:rsidP="003877E2">
      <w:pPr>
        <w:tabs>
          <w:tab w:val="left" w:pos="0"/>
        </w:tabs>
        <w:rPr>
          <w:sz w:val="28"/>
          <w:szCs w:val="28"/>
        </w:rPr>
      </w:pPr>
      <w:r w:rsidRPr="00FB564C">
        <w:rPr>
          <w:sz w:val="28"/>
          <w:szCs w:val="28"/>
        </w:rPr>
        <w:t>[59]</w:t>
      </w:r>
      <w:r w:rsidRPr="00FB564C">
        <w:rPr>
          <w:sz w:val="28"/>
          <w:szCs w:val="28"/>
        </w:rPr>
        <w:tab/>
      </w:r>
      <w:r w:rsidR="001248D0" w:rsidRPr="003877E2">
        <w:rPr>
          <w:sz w:val="28"/>
          <w:szCs w:val="28"/>
        </w:rPr>
        <w:t>When Badenhorst approached the owner</w:t>
      </w:r>
      <w:r w:rsidR="003F06E3" w:rsidRPr="003877E2">
        <w:rPr>
          <w:sz w:val="28"/>
          <w:szCs w:val="28"/>
        </w:rPr>
        <w:t xml:space="preserve"> of the 21 erven purchased by Rapicorp 122,</w:t>
      </w:r>
      <w:r w:rsidR="00574649" w:rsidRPr="003877E2">
        <w:rPr>
          <w:sz w:val="28"/>
          <w:szCs w:val="28"/>
        </w:rPr>
        <w:t xml:space="preserve"> </w:t>
      </w:r>
      <w:r w:rsidR="003F06E3" w:rsidRPr="003877E2">
        <w:rPr>
          <w:sz w:val="28"/>
          <w:szCs w:val="28"/>
        </w:rPr>
        <w:t xml:space="preserve">he motivated the proposal </w:t>
      </w:r>
      <w:r w:rsidR="009C6F0F" w:rsidRPr="003877E2">
        <w:rPr>
          <w:sz w:val="28"/>
          <w:szCs w:val="28"/>
        </w:rPr>
        <w:t xml:space="preserve">in a letter dated 19 September 2005, </w:t>
      </w:r>
      <w:r w:rsidR="00A94BCA" w:rsidRPr="003877E2">
        <w:rPr>
          <w:sz w:val="28"/>
          <w:szCs w:val="28"/>
        </w:rPr>
        <w:t xml:space="preserve">on the basis </w:t>
      </w:r>
      <w:r w:rsidR="003F06E3" w:rsidRPr="003877E2">
        <w:rPr>
          <w:sz w:val="28"/>
          <w:szCs w:val="28"/>
        </w:rPr>
        <w:t>that he and R</w:t>
      </w:r>
      <w:r w:rsidR="00A4436A" w:rsidRPr="003877E2">
        <w:rPr>
          <w:sz w:val="28"/>
          <w:szCs w:val="28"/>
        </w:rPr>
        <w:t> </w:t>
      </w:r>
      <w:r w:rsidR="00574649" w:rsidRPr="003877E2">
        <w:rPr>
          <w:sz w:val="28"/>
          <w:szCs w:val="28"/>
        </w:rPr>
        <w:t>Horton were acting as facilitators for ‘</w:t>
      </w:r>
      <w:r w:rsidR="00D80A7A" w:rsidRPr="003877E2">
        <w:rPr>
          <w:sz w:val="28"/>
          <w:szCs w:val="28"/>
        </w:rPr>
        <w:t xml:space="preserve">. . . </w:t>
      </w:r>
      <w:r w:rsidR="00574649" w:rsidRPr="003877E2">
        <w:rPr>
          <w:sz w:val="28"/>
          <w:szCs w:val="28"/>
        </w:rPr>
        <w:t>Oaker, representing The Rockland Group, who is the financier and developer of the proposed scheme</w:t>
      </w:r>
      <w:r w:rsidR="0003727F" w:rsidRPr="003877E2">
        <w:rPr>
          <w:sz w:val="28"/>
          <w:szCs w:val="28"/>
        </w:rPr>
        <w:t xml:space="preserve"> </w:t>
      </w:r>
      <w:r w:rsidR="00574649" w:rsidRPr="003877E2">
        <w:rPr>
          <w:sz w:val="28"/>
          <w:szCs w:val="28"/>
        </w:rPr>
        <w:t>.</w:t>
      </w:r>
      <w:r w:rsidR="007914DB" w:rsidRPr="003877E2">
        <w:rPr>
          <w:sz w:val="28"/>
          <w:szCs w:val="28"/>
        </w:rPr>
        <w:t> </w:t>
      </w:r>
      <w:r w:rsidR="00574649" w:rsidRPr="003877E2">
        <w:rPr>
          <w:sz w:val="28"/>
          <w:szCs w:val="28"/>
        </w:rPr>
        <w:t>.</w:t>
      </w:r>
      <w:r w:rsidR="007914DB" w:rsidRPr="003877E2">
        <w:rPr>
          <w:sz w:val="28"/>
          <w:szCs w:val="28"/>
        </w:rPr>
        <w:t> </w:t>
      </w:r>
      <w:r w:rsidR="00574649" w:rsidRPr="003877E2">
        <w:rPr>
          <w:sz w:val="28"/>
          <w:szCs w:val="28"/>
        </w:rPr>
        <w:t>.</w:t>
      </w:r>
      <w:r w:rsidR="00C3063F" w:rsidRPr="003877E2">
        <w:rPr>
          <w:sz w:val="28"/>
          <w:szCs w:val="28"/>
        </w:rPr>
        <w:t xml:space="preserve"> </w:t>
      </w:r>
      <w:r w:rsidR="00574649" w:rsidRPr="003877E2">
        <w:rPr>
          <w:sz w:val="28"/>
          <w:szCs w:val="28"/>
        </w:rPr>
        <w:t>The Rockland Group</w:t>
      </w:r>
      <w:r w:rsidR="00A4436A" w:rsidRPr="003877E2">
        <w:rPr>
          <w:sz w:val="28"/>
          <w:szCs w:val="28"/>
        </w:rPr>
        <w:t xml:space="preserve"> is a BEE develop</w:t>
      </w:r>
      <w:r w:rsidR="00774838" w:rsidRPr="003877E2">
        <w:rPr>
          <w:sz w:val="28"/>
          <w:szCs w:val="28"/>
        </w:rPr>
        <w:t>er</w:t>
      </w:r>
      <w:r w:rsidR="00A4436A" w:rsidRPr="003877E2">
        <w:rPr>
          <w:sz w:val="28"/>
          <w:szCs w:val="28"/>
        </w:rPr>
        <w:t xml:space="preserve"> and investor</w:t>
      </w:r>
      <w:r w:rsidR="00BE3758" w:rsidRPr="003877E2">
        <w:rPr>
          <w:sz w:val="28"/>
          <w:szCs w:val="28"/>
        </w:rPr>
        <w:t xml:space="preserve"> that is well-capitalized and astutely managed with close links to the City of Cape Town</w:t>
      </w:r>
      <w:r w:rsidR="00774838" w:rsidRPr="003877E2">
        <w:rPr>
          <w:sz w:val="28"/>
          <w:szCs w:val="28"/>
        </w:rPr>
        <w:t xml:space="preserve"> and local provincial government’</w:t>
      </w:r>
      <w:r w:rsidR="00C3063F" w:rsidRPr="003877E2">
        <w:rPr>
          <w:sz w:val="28"/>
          <w:szCs w:val="28"/>
        </w:rPr>
        <w:t>.</w:t>
      </w:r>
      <w:r w:rsidR="00774838" w:rsidRPr="003877E2">
        <w:rPr>
          <w:sz w:val="28"/>
          <w:szCs w:val="28"/>
        </w:rPr>
        <w:t xml:space="preserve"> </w:t>
      </w:r>
    </w:p>
    <w:p w14:paraId="444C39F8" w14:textId="77777777" w:rsidR="00A94BCA" w:rsidRPr="00FB564C" w:rsidRDefault="00A94BCA">
      <w:pPr>
        <w:pStyle w:val="ListParagraph"/>
        <w:rPr>
          <w:sz w:val="28"/>
          <w:szCs w:val="28"/>
        </w:rPr>
      </w:pPr>
    </w:p>
    <w:p w14:paraId="3B58BEDA" w14:textId="3748963F" w:rsidR="007B5800" w:rsidRPr="003877E2" w:rsidRDefault="003877E2" w:rsidP="003877E2">
      <w:pPr>
        <w:tabs>
          <w:tab w:val="left" w:pos="0"/>
        </w:tabs>
        <w:rPr>
          <w:sz w:val="28"/>
          <w:szCs w:val="28"/>
        </w:rPr>
      </w:pPr>
      <w:r w:rsidRPr="00FB564C">
        <w:rPr>
          <w:sz w:val="28"/>
          <w:szCs w:val="28"/>
        </w:rPr>
        <w:t>[60]</w:t>
      </w:r>
      <w:r w:rsidRPr="00FB564C">
        <w:rPr>
          <w:sz w:val="28"/>
          <w:szCs w:val="28"/>
        </w:rPr>
        <w:tab/>
      </w:r>
      <w:r w:rsidR="00A8527E" w:rsidRPr="003877E2">
        <w:rPr>
          <w:sz w:val="28"/>
          <w:szCs w:val="28"/>
        </w:rPr>
        <w:t xml:space="preserve">The appellants contended that </w:t>
      </w:r>
      <w:r w:rsidR="00A94BCA" w:rsidRPr="003877E2">
        <w:rPr>
          <w:sz w:val="28"/>
          <w:szCs w:val="28"/>
        </w:rPr>
        <w:t xml:space="preserve">because </w:t>
      </w:r>
      <w:r w:rsidR="00A8527E" w:rsidRPr="003877E2">
        <w:rPr>
          <w:sz w:val="28"/>
          <w:szCs w:val="28"/>
        </w:rPr>
        <w:t xml:space="preserve">Badenhorst </w:t>
      </w:r>
      <w:r w:rsidR="00105071" w:rsidRPr="003877E2">
        <w:rPr>
          <w:sz w:val="28"/>
          <w:szCs w:val="28"/>
        </w:rPr>
        <w:t xml:space="preserve">was </w:t>
      </w:r>
      <w:r w:rsidR="004D79C2" w:rsidRPr="003877E2">
        <w:rPr>
          <w:sz w:val="28"/>
          <w:szCs w:val="28"/>
        </w:rPr>
        <w:t>central to</w:t>
      </w:r>
      <w:r w:rsidR="009C6F0F" w:rsidRPr="003877E2">
        <w:rPr>
          <w:sz w:val="28"/>
          <w:szCs w:val="28"/>
        </w:rPr>
        <w:t xml:space="preserve"> </w:t>
      </w:r>
      <w:r w:rsidR="00105071" w:rsidRPr="003877E2">
        <w:rPr>
          <w:sz w:val="28"/>
          <w:szCs w:val="28"/>
        </w:rPr>
        <w:t>the acquisition of the properties</w:t>
      </w:r>
      <w:r w:rsidR="00C3063F" w:rsidRPr="003877E2">
        <w:rPr>
          <w:sz w:val="28"/>
          <w:szCs w:val="28"/>
        </w:rPr>
        <w:t>,</w:t>
      </w:r>
      <w:r w:rsidR="00A94BCA" w:rsidRPr="003877E2">
        <w:rPr>
          <w:sz w:val="28"/>
          <w:szCs w:val="28"/>
        </w:rPr>
        <w:t xml:space="preserve"> he would not likely walk away from the deal</w:t>
      </w:r>
      <w:r w:rsidR="001B0F70" w:rsidRPr="003877E2">
        <w:rPr>
          <w:sz w:val="28"/>
          <w:szCs w:val="28"/>
        </w:rPr>
        <w:t>. Not only did he identify the opportunity and negotiate the deal,</w:t>
      </w:r>
      <w:r w:rsidR="00A94BCA" w:rsidRPr="003877E2">
        <w:rPr>
          <w:sz w:val="28"/>
          <w:szCs w:val="28"/>
        </w:rPr>
        <w:t xml:space="preserve"> so it was contended,</w:t>
      </w:r>
      <w:r w:rsidR="001B0F70" w:rsidRPr="003877E2">
        <w:rPr>
          <w:sz w:val="28"/>
          <w:szCs w:val="28"/>
        </w:rPr>
        <w:t xml:space="preserve"> he obtained the first valuation and conducted feasibility studies. Thus, it </w:t>
      </w:r>
      <w:r w:rsidR="00A94BCA" w:rsidRPr="003877E2">
        <w:rPr>
          <w:sz w:val="28"/>
          <w:szCs w:val="28"/>
        </w:rPr>
        <w:t>was</w:t>
      </w:r>
      <w:r w:rsidR="001B0F70" w:rsidRPr="003877E2">
        <w:rPr>
          <w:sz w:val="28"/>
          <w:szCs w:val="28"/>
        </w:rPr>
        <w:t xml:space="preserve"> </w:t>
      </w:r>
      <w:r w:rsidR="00A94BCA" w:rsidRPr="003877E2">
        <w:rPr>
          <w:sz w:val="28"/>
          <w:szCs w:val="28"/>
        </w:rPr>
        <w:t>doubtful</w:t>
      </w:r>
      <w:r w:rsidR="001B0F70" w:rsidRPr="003877E2">
        <w:rPr>
          <w:sz w:val="28"/>
          <w:szCs w:val="28"/>
        </w:rPr>
        <w:t xml:space="preserve"> that he and Horton</w:t>
      </w:r>
      <w:r w:rsidR="006C3464" w:rsidRPr="003877E2">
        <w:rPr>
          <w:sz w:val="28"/>
          <w:szCs w:val="28"/>
        </w:rPr>
        <w:t xml:space="preserve"> would </w:t>
      </w:r>
      <w:r w:rsidR="00D54E5B" w:rsidRPr="003877E2">
        <w:rPr>
          <w:sz w:val="28"/>
          <w:szCs w:val="28"/>
        </w:rPr>
        <w:t>simply turn</w:t>
      </w:r>
      <w:r w:rsidR="005E67F7" w:rsidRPr="003877E2">
        <w:rPr>
          <w:sz w:val="28"/>
          <w:szCs w:val="28"/>
        </w:rPr>
        <w:t xml:space="preserve"> their back on </w:t>
      </w:r>
      <w:r w:rsidR="006C3464" w:rsidRPr="003877E2">
        <w:rPr>
          <w:sz w:val="28"/>
          <w:szCs w:val="28"/>
        </w:rPr>
        <w:t>the entire opportunity.</w:t>
      </w:r>
      <w:r w:rsidR="0096608A" w:rsidRPr="003877E2">
        <w:rPr>
          <w:sz w:val="28"/>
          <w:szCs w:val="28"/>
        </w:rPr>
        <w:t xml:space="preserve"> This contention loses sight of the fact that the land was entirely paid for with TDI funds belonging to the investors.</w:t>
      </w:r>
      <w:r w:rsidR="00FD70EA" w:rsidRPr="003877E2">
        <w:rPr>
          <w:sz w:val="28"/>
          <w:szCs w:val="28"/>
        </w:rPr>
        <w:t xml:space="preserve"> </w:t>
      </w:r>
      <w:r w:rsidR="00F27286" w:rsidRPr="003877E2">
        <w:rPr>
          <w:sz w:val="28"/>
          <w:szCs w:val="28"/>
        </w:rPr>
        <w:t xml:space="preserve">Also, </w:t>
      </w:r>
      <w:r w:rsidR="00FD70EA" w:rsidRPr="003877E2">
        <w:rPr>
          <w:sz w:val="28"/>
          <w:szCs w:val="28"/>
        </w:rPr>
        <w:t xml:space="preserve">Badenhorst and Horton were not called to </w:t>
      </w:r>
      <w:r w:rsidR="005E67F7" w:rsidRPr="003877E2">
        <w:rPr>
          <w:sz w:val="28"/>
          <w:szCs w:val="28"/>
        </w:rPr>
        <w:t xml:space="preserve">testify in circumstances where they were </w:t>
      </w:r>
      <w:r w:rsidR="0003727F" w:rsidRPr="003877E2">
        <w:rPr>
          <w:sz w:val="28"/>
          <w:szCs w:val="28"/>
        </w:rPr>
        <w:t xml:space="preserve">obviously </w:t>
      </w:r>
      <w:r w:rsidR="005E67F7" w:rsidRPr="003877E2">
        <w:rPr>
          <w:sz w:val="28"/>
          <w:szCs w:val="28"/>
        </w:rPr>
        <w:t>crucial witnesses</w:t>
      </w:r>
      <w:r w:rsidR="00FD70EA" w:rsidRPr="003877E2">
        <w:rPr>
          <w:sz w:val="28"/>
          <w:szCs w:val="28"/>
        </w:rPr>
        <w:t>.</w:t>
      </w:r>
    </w:p>
    <w:p w14:paraId="569E9047" w14:textId="77777777" w:rsidR="007B5800" w:rsidRPr="00FB564C" w:rsidRDefault="007B5800">
      <w:pPr>
        <w:pStyle w:val="ListParagraph"/>
        <w:rPr>
          <w:sz w:val="28"/>
          <w:szCs w:val="28"/>
        </w:rPr>
      </w:pPr>
    </w:p>
    <w:p w14:paraId="1C11E0E4" w14:textId="0B4073A0" w:rsidR="00B4733C" w:rsidRPr="003877E2" w:rsidRDefault="003877E2" w:rsidP="003877E2">
      <w:pPr>
        <w:tabs>
          <w:tab w:val="left" w:pos="0"/>
        </w:tabs>
        <w:rPr>
          <w:sz w:val="28"/>
          <w:szCs w:val="28"/>
        </w:rPr>
      </w:pPr>
      <w:r w:rsidRPr="00FB564C">
        <w:rPr>
          <w:sz w:val="28"/>
          <w:szCs w:val="28"/>
        </w:rPr>
        <w:t>[61]</w:t>
      </w:r>
      <w:r w:rsidRPr="00FB564C">
        <w:rPr>
          <w:sz w:val="28"/>
          <w:szCs w:val="28"/>
        </w:rPr>
        <w:tab/>
      </w:r>
      <w:r w:rsidR="007A7453" w:rsidRPr="003877E2">
        <w:rPr>
          <w:sz w:val="28"/>
          <w:szCs w:val="28"/>
        </w:rPr>
        <w:t xml:space="preserve">There was no evidence that any </w:t>
      </w:r>
      <w:r w:rsidR="00B4733C" w:rsidRPr="003877E2">
        <w:rPr>
          <w:sz w:val="28"/>
          <w:szCs w:val="28"/>
        </w:rPr>
        <w:t>of Johnny</w:t>
      </w:r>
      <w:r w:rsidR="007A7453" w:rsidRPr="003877E2">
        <w:rPr>
          <w:sz w:val="28"/>
          <w:szCs w:val="28"/>
        </w:rPr>
        <w:t xml:space="preserve">, Schuster or Merlot </w:t>
      </w:r>
      <w:r w:rsidR="005E67F7" w:rsidRPr="003877E2">
        <w:rPr>
          <w:sz w:val="28"/>
          <w:szCs w:val="28"/>
        </w:rPr>
        <w:t xml:space="preserve">would have </w:t>
      </w:r>
      <w:r w:rsidR="007A7453" w:rsidRPr="003877E2">
        <w:rPr>
          <w:sz w:val="28"/>
          <w:szCs w:val="28"/>
        </w:rPr>
        <w:t>take</w:t>
      </w:r>
      <w:r w:rsidR="005E67F7" w:rsidRPr="003877E2">
        <w:rPr>
          <w:sz w:val="28"/>
          <w:szCs w:val="28"/>
        </w:rPr>
        <w:t>n</w:t>
      </w:r>
      <w:r w:rsidR="007A7453" w:rsidRPr="003877E2">
        <w:rPr>
          <w:sz w:val="28"/>
          <w:szCs w:val="28"/>
        </w:rPr>
        <w:t xml:space="preserve"> up the opportunity using their own funds</w:t>
      </w:r>
      <w:r w:rsidR="005E67F7" w:rsidRPr="003877E2">
        <w:rPr>
          <w:sz w:val="28"/>
          <w:szCs w:val="28"/>
        </w:rPr>
        <w:t xml:space="preserve"> or for that matter that each even had the necessary funds to do so</w:t>
      </w:r>
      <w:r w:rsidR="00716D25" w:rsidRPr="003877E2">
        <w:rPr>
          <w:sz w:val="28"/>
          <w:szCs w:val="28"/>
        </w:rPr>
        <w:t xml:space="preserve">. </w:t>
      </w:r>
      <w:r w:rsidR="00B4733C" w:rsidRPr="003877E2">
        <w:rPr>
          <w:sz w:val="28"/>
          <w:szCs w:val="28"/>
        </w:rPr>
        <w:t xml:space="preserve">Furthermore, having contributed no funds to </w:t>
      </w:r>
      <w:r w:rsidR="005E67F7" w:rsidRPr="003877E2">
        <w:rPr>
          <w:sz w:val="28"/>
          <w:szCs w:val="28"/>
        </w:rPr>
        <w:t xml:space="preserve">the </w:t>
      </w:r>
      <w:r w:rsidR="00B4733C" w:rsidRPr="003877E2">
        <w:rPr>
          <w:sz w:val="28"/>
          <w:szCs w:val="28"/>
        </w:rPr>
        <w:lastRenderedPageBreak/>
        <w:t xml:space="preserve">purchase </w:t>
      </w:r>
      <w:r w:rsidR="005E67F7" w:rsidRPr="003877E2">
        <w:rPr>
          <w:sz w:val="28"/>
          <w:szCs w:val="28"/>
        </w:rPr>
        <w:t xml:space="preserve">of </w:t>
      </w:r>
      <w:r w:rsidR="00B4733C" w:rsidRPr="003877E2">
        <w:rPr>
          <w:sz w:val="28"/>
          <w:szCs w:val="28"/>
        </w:rPr>
        <w:t xml:space="preserve">the properties, the three </w:t>
      </w:r>
      <w:r w:rsidR="00A94BCA" w:rsidRPr="003877E2">
        <w:rPr>
          <w:sz w:val="28"/>
          <w:szCs w:val="28"/>
        </w:rPr>
        <w:t xml:space="preserve">family </w:t>
      </w:r>
      <w:r w:rsidR="00B4733C" w:rsidRPr="003877E2">
        <w:rPr>
          <w:sz w:val="28"/>
          <w:szCs w:val="28"/>
        </w:rPr>
        <w:t xml:space="preserve">trusts took for themselves </w:t>
      </w:r>
      <w:r w:rsidR="0003727F" w:rsidRPr="003877E2">
        <w:rPr>
          <w:sz w:val="28"/>
          <w:szCs w:val="28"/>
        </w:rPr>
        <w:t xml:space="preserve">(to the exclusion of PIF) </w:t>
      </w:r>
      <w:r w:rsidR="00B4733C" w:rsidRPr="003877E2">
        <w:rPr>
          <w:sz w:val="28"/>
          <w:szCs w:val="28"/>
        </w:rPr>
        <w:t xml:space="preserve">a VAT refund </w:t>
      </w:r>
      <w:r w:rsidR="005E67F7" w:rsidRPr="003877E2">
        <w:rPr>
          <w:sz w:val="28"/>
          <w:szCs w:val="28"/>
        </w:rPr>
        <w:t xml:space="preserve">that had been </w:t>
      </w:r>
      <w:r w:rsidR="00B4733C" w:rsidRPr="003877E2">
        <w:rPr>
          <w:sz w:val="28"/>
          <w:szCs w:val="28"/>
        </w:rPr>
        <w:t xml:space="preserve">paid </w:t>
      </w:r>
      <w:r w:rsidR="007B5800" w:rsidRPr="003877E2">
        <w:rPr>
          <w:sz w:val="28"/>
          <w:szCs w:val="28"/>
        </w:rPr>
        <w:t xml:space="preserve">to </w:t>
      </w:r>
      <w:r w:rsidR="00B4733C" w:rsidRPr="003877E2">
        <w:rPr>
          <w:sz w:val="28"/>
          <w:szCs w:val="28"/>
        </w:rPr>
        <w:t xml:space="preserve">Rapicorp 122, </w:t>
      </w:r>
      <w:r w:rsidR="004D79C2" w:rsidRPr="003877E2">
        <w:rPr>
          <w:sz w:val="28"/>
          <w:szCs w:val="28"/>
        </w:rPr>
        <w:t>in circumstances</w:t>
      </w:r>
      <w:r w:rsidR="005E67F7" w:rsidRPr="003877E2">
        <w:rPr>
          <w:sz w:val="28"/>
          <w:szCs w:val="28"/>
        </w:rPr>
        <w:t xml:space="preserve"> where </w:t>
      </w:r>
      <w:r w:rsidR="00B4733C" w:rsidRPr="003877E2">
        <w:rPr>
          <w:sz w:val="28"/>
          <w:szCs w:val="28"/>
        </w:rPr>
        <w:t>PIF was already a 20% shareholder.</w:t>
      </w:r>
      <w:r w:rsidR="00716D25" w:rsidRPr="003877E2">
        <w:rPr>
          <w:sz w:val="28"/>
          <w:szCs w:val="28"/>
        </w:rPr>
        <w:t xml:space="preserve"> </w:t>
      </w:r>
      <w:r w:rsidR="005E67F7" w:rsidRPr="003877E2">
        <w:rPr>
          <w:sz w:val="28"/>
          <w:szCs w:val="28"/>
        </w:rPr>
        <w:t xml:space="preserve">It follows that </w:t>
      </w:r>
      <w:r w:rsidR="00716D25" w:rsidRPr="003877E2">
        <w:rPr>
          <w:sz w:val="28"/>
          <w:szCs w:val="28"/>
        </w:rPr>
        <w:t>Badenhorst and Horton</w:t>
      </w:r>
      <w:r w:rsidR="00B4733C" w:rsidRPr="003877E2">
        <w:rPr>
          <w:sz w:val="28"/>
          <w:szCs w:val="28"/>
        </w:rPr>
        <w:t xml:space="preserve"> </w:t>
      </w:r>
      <w:r w:rsidR="005E67F7" w:rsidRPr="003877E2">
        <w:rPr>
          <w:sz w:val="28"/>
          <w:szCs w:val="28"/>
        </w:rPr>
        <w:t xml:space="preserve">had no claim to and </w:t>
      </w:r>
      <w:r w:rsidR="00B4733C" w:rsidRPr="003877E2">
        <w:rPr>
          <w:sz w:val="28"/>
          <w:szCs w:val="28"/>
        </w:rPr>
        <w:t xml:space="preserve">were not entitled to insist on a share of ownership. Accordingly, the high court erred in not </w:t>
      </w:r>
      <w:r w:rsidR="00981322" w:rsidRPr="003877E2">
        <w:rPr>
          <w:sz w:val="28"/>
          <w:szCs w:val="28"/>
        </w:rPr>
        <w:t>granting the</w:t>
      </w:r>
      <w:r w:rsidR="00A94BCA" w:rsidRPr="003877E2">
        <w:rPr>
          <w:sz w:val="28"/>
          <w:szCs w:val="28"/>
        </w:rPr>
        <w:t xml:space="preserve"> Curator the</w:t>
      </w:r>
      <w:r w:rsidR="00981322" w:rsidRPr="003877E2">
        <w:rPr>
          <w:sz w:val="28"/>
          <w:szCs w:val="28"/>
        </w:rPr>
        <w:t xml:space="preserve"> full claim</w:t>
      </w:r>
      <w:r w:rsidR="00A94BCA" w:rsidRPr="003877E2">
        <w:rPr>
          <w:sz w:val="28"/>
          <w:szCs w:val="28"/>
        </w:rPr>
        <w:t xml:space="preserve"> as pleaded</w:t>
      </w:r>
      <w:r w:rsidR="00981322" w:rsidRPr="003877E2">
        <w:rPr>
          <w:sz w:val="28"/>
          <w:szCs w:val="28"/>
        </w:rPr>
        <w:t>.</w:t>
      </w:r>
    </w:p>
    <w:p w14:paraId="74ED5049" w14:textId="77777777" w:rsidR="00981322" w:rsidRPr="00FB564C" w:rsidRDefault="00981322">
      <w:pPr>
        <w:pStyle w:val="ListParagraph"/>
        <w:rPr>
          <w:sz w:val="28"/>
          <w:szCs w:val="28"/>
        </w:rPr>
      </w:pPr>
    </w:p>
    <w:p w14:paraId="11575388" w14:textId="7C708CF0" w:rsidR="00F96A3B" w:rsidRPr="003877E2" w:rsidRDefault="003877E2" w:rsidP="003877E2">
      <w:pPr>
        <w:tabs>
          <w:tab w:val="left" w:pos="0"/>
        </w:tabs>
        <w:rPr>
          <w:sz w:val="28"/>
          <w:szCs w:val="28"/>
        </w:rPr>
      </w:pPr>
      <w:r w:rsidRPr="00FB564C">
        <w:rPr>
          <w:sz w:val="28"/>
          <w:szCs w:val="28"/>
        </w:rPr>
        <w:t>[62]</w:t>
      </w:r>
      <w:r w:rsidRPr="00FB564C">
        <w:rPr>
          <w:sz w:val="28"/>
          <w:szCs w:val="28"/>
        </w:rPr>
        <w:tab/>
      </w:r>
      <w:r w:rsidR="00981322" w:rsidRPr="003877E2">
        <w:rPr>
          <w:sz w:val="28"/>
          <w:szCs w:val="28"/>
        </w:rPr>
        <w:t xml:space="preserve">As to Clint’s liability, the appellants confirmed that they did not ask for </w:t>
      </w:r>
      <w:r w:rsidR="005E67F7" w:rsidRPr="003877E2">
        <w:rPr>
          <w:sz w:val="28"/>
          <w:szCs w:val="28"/>
        </w:rPr>
        <w:t xml:space="preserve">an </w:t>
      </w:r>
      <w:r w:rsidR="00981322" w:rsidRPr="003877E2">
        <w:rPr>
          <w:sz w:val="28"/>
          <w:szCs w:val="28"/>
        </w:rPr>
        <w:t xml:space="preserve">apportionment of 20% </w:t>
      </w:r>
      <w:r w:rsidR="005E67F7" w:rsidRPr="003877E2">
        <w:rPr>
          <w:sz w:val="28"/>
          <w:szCs w:val="28"/>
        </w:rPr>
        <w:t xml:space="preserve">as </w:t>
      </w:r>
      <w:r w:rsidR="00981322" w:rsidRPr="003877E2">
        <w:rPr>
          <w:sz w:val="28"/>
          <w:szCs w:val="28"/>
        </w:rPr>
        <w:t xml:space="preserve">referred to in the high court’s judgment. </w:t>
      </w:r>
      <w:r w:rsidR="003E3E2B" w:rsidRPr="003877E2">
        <w:rPr>
          <w:sz w:val="28"/>
          <w:szCs w:val="28"/>
        </w:rPr>
        <w:t xml:space="preserve">Clint was </w:t>
      </w:r>
      <w:r w:rsidR="00196774" w:rsidRPr="003877E2">
        <w:rPr>
          <w:sz w:val="28"/>
          <w:szCs w:val="28"/>
        </w:rPr>
        <w:t xml:space="preserve">indeed </w:t>
      </w:r>
      <w:r w:rsidR="003E3E2B" w:rsidRPr="003877E2">
        <w:rPr>
          <w:sz w:val="28"/>
          <w:szCs w:val="28"/>
        </w:rPr>
        <w:t xml:space="preserve">under the same statutory obligation as Oaker </w:t>
      </w:r>
      <w:r w:rsidR="002F781C" w:rsidRPr="003877E2">
        <w:rPr>
          <w:sz w:val="28"/>
          <w:szCs w:val="28"/>
        </w:rPr>
        <w:t xml:space="preserve">in terms of s 2 of the Protection of Funds Act. </w:t>
      </w:r>
      <w:r w:rsidR="0003727F" w:rsidRPr="003877E2">
        <w:rPr>
          <w:sz w:val="28"/>
          <w:szCs w:val="28"/>
        </w:rPr>
        <w:t>Like the others, a</w:t>
      </w:r>
      <w:r w:rsidR="002F781C" w:rsidRPr="003877E2">
        <w:rPr>
          <w:sz w:val="28"/>
          <w:szCs w:val="28"/>
        </w:rPr>
        <w:t xml:space="preserve">s an employee who controlled or administered trust property on behalf of TDI and PIF, he was </w:t>
      </w:r>
      <w:r w:rsidR="0003727F" w:rsidRPr="003877E2">
        <w:rPr>
          <w:sz w:val="28"/>
          <w:szCs w:val="28"/>
        </w:rPr>
        <w:t xml:space="preserve">also </w:t>
      </w:r>
      <w:r w:rsidR="002F781C" w:rsidRPr="003877E2">
        <w:rPr>
          <w:sz w:val="28"/>
          <w:szCs w:val="28"/>
        </w:rPr>
        <w:t xml:space="preserve">obliged to observe </w:t>
      </w:r>
      <w:r w:rsidR="00B97898" w:rsidRPr="003877E2">
        <w:rPr>
          <w:sz w:val="28"/>
          <w:szCs w:val="28"/>
        </w:rPr>
        <w:t xml:space="preserve">the </w:t>
      </w:r>
      <w:r w:rsidR="002F781C" w:rsidRPr="003877E2">
        <w:rPr>
          <w:sz w:val="28"/>
          <w:szCs w:val="28"/>
        </w:rPr>
        <w:t>utmost good faith and to exercise proper care and</w:t>
      </w:r>
      <w:r w:rsidR="006736C9" w:rsidRPr="003877E2">
        <w:rPr>
          <w:sz w:val="28"/>
          <w:szCs w:val="28"/>
        </w:rPr>
        <w:t xml:space="preserve"> diligence in the exercise and discharge of his powers and duties. Clint did not protect the interests of the investors but </w:t>
      </w:r>
      <w:r w:rsidR="004D79C2" w:rsidRPr="003877E2">
        <w:rPr>
          <w:sz w:val="28"/>
          <w:szCs w:val="28"/>
        </w:rPr>
        <w:t>acquiesced in</w:t>
      </w:r>
      <w:r w:rsidR="005E67F7" w:rsidRPr="003877E2">
        <w:rPr>
          <w:sz w:val="28"/>
          <w:szCs w:val="28"/>
        </w:rPr>
        <w:t xml:space="preserve"> </w:t>
      </w:r>
      <w:r w:rsidR="006736C9" w:rsidRPr="003877E2">
        <w:rPr>
          <w:sz w:val="28"/>
          <w:szCs w:val="28"/>
        </w:rPr>
        <w:t>Oaker</w:t>
      </w:r>
      <w:r w:rsidR="005E67F7" w:rsidRPr="003877E2">
        <w:rPr>
          <w:sz w:val="28"/>
          <w:szCs w:val="28"/>
        </w:rPr>
        <w:t>’s scheme</w:t>
      </w:r>
      <w:r w:rsidR="006736C9" w:rsidRPr="003877E2">
        <w:rPr>
          <w:sz w:val="28"/>
          <w:szCs w:val="28"/>
        </w:rPr>
        <w:t xml:space="preserve">. He cannot escape liability on the </w:t>
      </w:r>
      <w:r w:rsidR="00496BC7" w:rsidRPr="003877E2">
        <w:rPr>
          <w:sz w:val="28"/>
          <w:szCs w:val="28"/>
        </w:rPr>
        <w:t>basis that</w:t>
      </w:r>
      <w:r w:rsidR="00196774" w:rsidRPr="003877E2">
        <w:rPr>
          <w:sz w:val="28"/>
          <w:szCs w:val="28"/>
        </w:rPr>
        <w:t xml:space="preserve"> he </w:t>
      </w:r>
      <w:r w:rsidR="00B97898" w:rsidRPr="003877E2">
        <w:rPr>
          <w:sz w:val="28"/>
          <w:szCs w:val="28"/>
        </w:rPr>
        <w:t xml:space="preserve">had </w:t>
      </w:r>
      <w:r w:rsidR="00196774" w:rsidRPr="003877E2">
        <w:rPr>
          <w:sz w:val="28"/>
          <w:szCs w:val="28"/>
        </w:rPr>
        <w:t>deferred to Oaker</w:t>
      </w:r>
      <w:r w:rsidR="006736C9" w:rsidRPr="003877E2">
        <w:rPr>
          <w:sz w:val="28"/>
          <w:szCs w:val="28"/>
        </w:rPr>
        <w:t xml:space="preserve">. In this respect, there is no reason why he </w:t>
      </w:r>
      <w:r w:rsidR="00B97898" w:rsidRPr="003877E2">
        <w:rPr>
          <w:sz w:val="28"/>
          <w:szCs w:val="28"/>
        </w:rPr>
        <w:t>sh</w:t>
      </w:r>
      <w:r w:rsidR="006736C9" w:rsidRPr="003877E2">
        <w:rPr>
          <w:sz w:val="28"/>
          <w:szCs w:val="28"/>
        </w:rPr>
        <w:t>ould</w:t>
      </w:r>
      <w:r w:rsidR="00A94BCA" w:rsidRPr="003877E2">
        <w:rPr>
          <w:sz w:val="28"/>
          <w:szCs w:val="28"/>
        </w:rPr>
        <w:t xml:space="preserve"> not</w:t>
      </w:r>
      <w:r w:rsidR="006736C9" w:rsidRPr="003877E2">
        <w:rPr>
          <w:sz w:val="28"/>
          <w:szCs w:val="28"/>
        </w:rPr>
        <w:t xml:space="preserve"> </w:t>
      </w:r>
      <w:r w:rsidR="0003727F" w:rsidRPr="003877E2">
        <w:rPr>
          <w:sz w:val="28"/>
          <w:szCs w:val="28"/>
        </w:rPr>
        <w:t xml:space="preserve">have </w:t>
      </w:r>
      <w:r w:rsidR="006736C9" w:rsidRPr="003877E2">
        <w:rPr>
          <w:sz w:val="28"/>
          <w:szCs w:val="28"/>
        </w:rPr>
        <w:t>be</w:t>
      </w:r>
      <w:r w:rsidR="0003727F" w:rsidRPr="003877E2">
        <w:rPr>
          <w:sz w:val="28"/>
          <w:szCs w:val="28"/>
        </w:rPr>
        <w:t>en</w:t>
      </w:r>
      <w:r w:rsidR="006736C9" w:rsidRPr="003877E2">
        <w:rPr>
          <w:sz w:val="28"/>
          <w:szCs w:val="28"/>
        </w:rPr>
        <w:t xml:space="preserve"> found jointly and severally liable with other</w:t>
      </w:r>
      <w:r w:rsidR="00196774" w:rsidRPr="003877E2">
        <w:rPr>
          <w:sz w:val="28"/>
          <w:szCs w:val="28"/>
        </w:rPr>
        <w:t>s</w:t>
      </w:r>
      <w:r w:rsidR="006736C9" w:rsidRPr="003877E2">
        <w:rPr>
          <w:sz w:val="28"/>
          <w:szCs w:val="28"/>
        </w:rPr>
        <w:t>.</w:t>
      </w:r>
      <w:r w:rsidR="0013796C" w:rsidRPr="003877E2">
        <w:rPr>
          <w:sz w:val="28"/>
          <w:szCs w:val="28"/>
        </w:rPr>
        <w:t xml:space="preserve"> This reasoning applies in all instances where Clint is found to be liable jointly and severally with </w:t>
      </w:r>
      <w:r w:rsidR="005E67F7" w:rsidRPr="003877E2">
        <w:rPr>
          <w:sz w:val="28"/>
          <w:szCs w:val="28"/>
        </w:rPr>
        <w:t xml:space="preserve">the </w:t>
      </w:r>
      <w:r w:rsidR="0013796C" w:rsidRPr="003877E2">
        <w:rPr>
          <w:sz w:val="28"/>
          <w:szCs w:val="28"/>
        </w:rPr>
        <w:t>other appellants and/or RAM.</w:t>
      </w:r>
    </w:p>
    <w:p w14:paraId="5E2C4AB7" w14:textId="77777777" w:rsidR="00F96A3B" w:rsidRPr="00FB564C" w:rsidRDefault="00F96A3B">
      <w:pPr>
        <w:tabs>
          <w:tab w:val="left" w:pos="0"/>
        </w:tabs>
        <w:rPr>
          <w:sz w:val="28"/>
          <w:szCs w:val="28"/>
        </w:rPr>
      </w:pPr>
    </w:p>
    <w:p w14:paraId="643B452A" w14:textId="461E28B0" w:rsidR="002D1719" w:rsidRPr="003877E2" w:rsidRDefault="003877E2" w:rsidP="003877E2">
      <w:pPr>
        <w:tabs>
          <w:tab w:val="left" w:pos="0"/>
        </w:tabs>
        <w:rPr>
          <w:sz w:val="28"/>
          <w:szCs w:val="28"/>
        </w:rPr>
      </w:pPr>
      <w:r w:rsidRPr="00FB564C">
        <w:rPr>
          <w:sz w:val="28"/>
          <w:szCs w:val="28"/>
        </w:rPr>
        <w:t>[63]</w:t>
      </w:r>
      <w:r w:rsidRPr="00FB564C">
        <w:rPr>
          <w:sz w:val="28"/>
          <w:szCs w:val="28"/>
        </w:rPr>
        <w:tab/>
      </w:r>
      <w:r w:rsidR="00F96A3B" w:rsidRPr="003877E2">
        <w:rPr>
          <w:sz w:val="28"/>
          <w:szCs w:val="28"/>
        </w:rPr>
        <w:t>As for Pillay, the Curator conceded that he could not be included in this claim, as before September 2007, he was deployed elsewhere within the company.</w:t>
      </w:r>
      <w:r w:rsidR="0013796C" w:rsidRPr="003877E2">
        <w:rPr>
          <w:sz w:val="28"/>
          <w:szCs w:val="28"/>
        </w:rPr>
        <w:t xml:space="preserve"> </w:t>
      </w:r>
      <w:r w:rsidR="00196774" w:rsidRPr="003877E2">
        <w:rPr>
          <w:sz w:val="28"/>
          <w:szCs w:val="28"/>
        </w:rPr>
        <w:t xml:space="preserve">With </w:t>
      </w:r>
      <w:r w:rsidR="0013796C" w:rsidRPr="003877E2">
        <w:rPr>
          <w:sz w:val="28"/>
          <w:szCs w:val="28"/>
        </w:rPr>
        <w:t>regard to claims after that date</w:t>
      </w:r>
      <w:r w:rsidR="00D54E5B" w:rsidRPr="003877E2">
        <w:rPr>
          <w:sz w:val="28"/>
          <w:szCs w:val="28"/>
        </w:rPr>
        <w:t>, his</w:t>
      </w:r>
      <w:r w:rsidR="0013796C" w:rsidRPr="003877E2">
        <w:rPr>
          <w:sz w:val="28"/>
          <w:szCs w:val="28"/>
        </w:rPr>
        <w:t xml:space="preserve"> </w:t>
      </w:r>
      <w:r w:rsidR="00196774" w:rsidRPr="003877E2">
        <w:rPr>
          <w:sz w:val="28"/>
          <w:szCs w:val="28"/>
        </w:rPr>
        <w:t xml:space="preserve">position </w:t>
      </w:r>
      <w:r w:rsidR="00FD70EA" w:rsidRPr="003877E2">
        <w:rPr>
          <w:sz w:val="28"/>
          <w:szCs w:val="28"/>
        </w:rPr>
        <w:t xml:space="preserve">would be </w:t>
      </w:r>
      <w:r w:rsidR="0013796C" w:rsidRPr="003877E2">
        <w:rPr>
          <w:sz w:val="28"/>
          <w:szCs w:val="28"/>
        </w:rPr>
        <w:t xml:space="preserve">similar to Clint’s. </w:t>
      </w:r>
    </w:p>
    <w:p w14:paraId="3961A3CE" w14:textId="77777777" w:rsidR="008868B2" w:rsidRPr="00FB564C" w:rsidRDefault="008868B2" w:rsidP="008868B2">
      <w:pPr>
        <w:tabs>
          <w:tab w:val="left" w:pos="0"/>
        </w:tabs>
        <w:rPr>
          <w:sz w:val="28"/>
          <w:szCs w:val="28"/>
        </w:rPr>
      </w:pPr>
    </w:p>
    <w:p w14:paraId="3C1EFF2A" w14:textId="3C10E7D0" w:rsidR="00CF3DD6" w:rsidRPr="00FB564C" w:rsidRDefault="00CF3DD6" w:rsidP="008F4835">
      <w:pPr>
        <w:pStyle w:val="ListParagraph"/>
        <w:ind w:left="0"/>
        <w:rPr>
          <w:b/>
          <w:sz w:val="28"/>
          <w:szCs w:val="28"/>
        </w:rPr>
      </w:pPr>
      <w:r w:rsidRPr="00FB564C">
        <w:rPr>
          <w:b/>
          <w:sz w:val="28"/>
          <w:szCs w:val="28"/>
        </w:rPr>
        <w:t xml:space="preserve">Valuations </w:t>
      </w:r>
      <w:r w:rsidR="0013796C" w:rsidRPr="00FB564C">
        <w:rPr>
          <w:b/>
          <w:sz w:val="28"/>
          <w:szCs w:val="28"/>
        </w:rPr>
        <w:t>and further claims</w:t>
      </w:r>
    </w:p>
    <w:p w14:paraId="35431FE6" w14:textId="771D03E6" w:rsidR="00CF3DD6" w:rsidRPr="003877E2" w:rsidRDefault="003877E2" w:rsidP="003877E2">
      <w:pPr>
        <w:rPr>
          <w:sz w:val="28"/>
          <w:szCs w:val="28"/>
        </w:rPr>
      </w:pPr>
      <w:r w:rsidRPr="00FB564C">
        <w:rPr>
          <w:sz w:val="28"/>
          <w:szCs w:val="28"/>
        </w:rPr>
        <w:t>[64]</w:t>
      </w:r>
      <w:r w:rsidRPr="00FB564C">
        <w:rPr>
          <w:sz w:val="28"/>
          <w:szCs w:val="28"/>
        </w:rPr>
        <w:tab/>
      </w:r>
      <w:r w:rsidR="00CF3DD6" w:rsidRPr="003877E2">
        <w:rPr>
          <w:sz w:val="28"/>
          <w:szCs w:val="28"/>
        </w:rPr>
        <w:t xml:space="preserve">The parties agreed that the market value </w:t>
      </w:r>
      <w:r w:rsidR="00097321" w:rsidRPr="003877E2">
        <w:rPr>
          <w:sz w:val="28"/>
          <w:szCs w:val="28"/>
        </w:rPr>
        <w:t>of the</w:t>
      </w:r>
      <w:r w:rsidR="00CF3DD6" w:rsidRPr="003877E2">
        <w:rPr>
          <w:sz w:val="28"/>
          <w:szCs w:val="28"/>
        </w:rPr>
        <w:t xml:space="preserve"> Rapicorp companies at the relevant times is fundamental to the</w:t>
      </w:r>
      <w:r w:rsidR="00E52B9D" w:rsidRPr="003877E2">
        <w:rPr>
          <w:sz w:val="28"/>
          <w:szCs w:val="28"/>
        </w:rPr>
        <w:t xml:space="preserve"> </w:t>
      </w:r>
      <w:r w:rsidR="00F27CD3" w:rsidRPr="003877E2">
        <w:rPr>
          <w:sz w:val="28"/>
          <w:szCs w:val="28"/>
        </w:rPr>
        <w:t>alternative claim based on the excessive payment for shares</w:t>
      </w:r>
      <w:r w:rsidR="000557D0" w:rsidRPr="003877E2">
        <w:rPr>
          <w:sz w:val="28"/>
          <w:szCs w:val="28"/>
        </w:rPr>
        <w:t xml:space="preserve"> as</w:t>
      </w:r>
      <w:r w:rsidR="00F27CD3" w:rsidRPr="003877E2">
        <w:rPr>
          <w:sz w:val="28"/>
          <w:szCs w:val="28"/>
        </w:rPr>
        <w:t xml:space="preserve"> also the </w:t>
      </w:r>
      <w:r w:rsidR="00E52B9D" w:rsidRPr="003877E2">
        <w:rPr>
          <w:sz w:val="28"/>
          <w:szCs w:val="28"/>
        </w:rPr>
        <w:t xml:space="preserve">claim for excessive payment of performance and </w:t>
      </w:r>
      <w:r w:rsidR="00E52B9D" w:rsidRPr="003877E2">
        <w:rPr>
          <w:sz w:val="28"/>
          <w:szCs w:val="28"/>
        </w:rPr>
        <w:lastRenderedPageBreak/>
        <w:t>management fees</w:t>
      </w:r>
      <w:r w:rsidR="00CF3DD6" w:rsidRPr="003877E2">
        <w:rPr>
          <w:sz w:val="28"/>
          <w:szCs w:val="28"/>
        </w:rPr>
        <w:t>. They agreed that the approach to be followed in arriving at the market value concerned is based on the determination of the net asset value (NAV) of the companies at the various dates.</w:t>
      </w:r>
      <w:r w:rsidR="002709E9" w:rsidRPr="003877E2">
        <w:rPr>
          <w:sz w:val="28"/>
          <w:szCs w:val="28"/>
        </w:rPr>
        <w:t xml:space="preserve"> The parties handed up a joint note regarding adjustments required </w:t>
      </w:r>
      <w:r w:rsidR="0003727F" w:rsidRPr="003877E2">
        <w:rPr>
          <w:sz w:val="28"/>
          <w:szCs w:val="28"/>
        </w:rPr>
        <w:t xml:space="preserve">to </w:t>
      </w:r>
      <w:r w:rsidR="002709E9" w:rsidRPr="003877E2">
        <w:rPr>
          <w:sz w:val="28"/>
          <w:szCs w:val="28"/>
        </w:rPr>
        <w:t>the order made by the high court and variables to be determined in order to quantify the Curator’s claim, in the event of a finding that the appellants were liable.</w:t>
      </w:r>
    </w:p>
    <w:p w14:paraId="6B2B93B8" w14:textId="77777777" w:rsidR="00CF3DD6" w:rsidRPr="00FB564C" w:rsidRDefault="00CF3DD6">
      <w:pPr>
        <w:pStyle w:val="ListParagraph"/>
        <w:rPr>
          <w:sz w:val="28"/>
          <w:szCs w:val="28"/>
        </w:rPr>
      </w:pPr>
    </w:p>
    <w:p w14:paraId="01CED988" w14:textId="6CC68173" w:rsidR="00CF3DD6" w:rsidRPr="003877E2" w:rsidRDefault="003877E2" w:rsidP="003877E2">
      <w:pPr>
        <w:rPr>
          <w:sz w:val="28"/>
          <w:szCs w:val="28"/>
        </w:rPr>
      </w:pPr>
      <w:r w:rsidRPr="00FB564C">
        <w:rPr>
          <w:sz w:val="28"/>
          <w:szCs w:val="28"/>
        </w:rPr>
        <w:t>[65]</w:t>
      </w:r>
      <w:r w:rsidRPr="00FB564C">
        <w:rPr>
          <w:sz w:val="28"/>
          <w:szCs w:val="28"/>
        </w:rPr>
        <w:tab/>
      </w:r>
      <w:r w:rsidR="00CF3DD6" w:rsidRPr="003877E2">
        <w:rPr>
          <w:sz w:val="28"/>
          <w:szCs w:val="28"/>
        </w:rPr>
        <w:t xml:space="preserve">The NAV depended on the land and sand values of the properties, which were subject to a number of variables. In the event that the </w:t>
      </w:r>
      <w:r w:rsidR="00D54E5B" w:rsidRPr="003877E2">
        <w:rPr>
          <w:sz w:val="28"/>
          <w:szCs w:val="28"/>
        </w:rPr>
        <w:t>appellants are</w:t>
      </w:r>
      <w:r w:rsidR="00E51817" w:rsidRPr="003877E2">
        <w:rPr>
          <w:sz w:val="28"/>
          <w:szCs w:val="28"/>
        </w:rPr>
        <w:t xml:space="preserve"> </w:t>
      </w:r>
      <w:r w:rsidR="00CF3DD6" w:rsidRPr="003877E2">
        <w:rPr>
          <w:sz w:val="28"/>
          <w:szCs w:val="28"/>
        </w:rPr>
        <w:t xml:space="preserve">found to be liable, further calculations would be required. In this regard, </w:t>
      </w:r>
      <w:r w:rsidR="00196774" w:rsidRPr="003877E2">
        <w:rPr>
          <w:sz w:val="28"/>
          <w:szCs w:val="28"/>
        </w:rPr>
        <w:t xml:space="preserve">the </w:t>
      </w:r>
      <w:r w:rsidR="00CF3DD6" w:rsidRPr="003877E2">
        <w:rPr>
          <w:sz w:val="28"/>
          <w:szCs w:val="28"/>
        </w:rPr>
        <w:t xml:space="preserve">parties agreed that </w:t>
      </w:r>
      <w:r w:rsidR="00E51817" w:rsidRPr="003877E2">
        <w:rPr>
          <w:sz w:val="28"/>
          <w:szCs w:val="28"/>
        </w:rPr>
        <w:t>it is not for</w:t>
      </w:r>
      <w:r w:rsidR="00D54E5B" w:rsidRPr="003877E2">
        <w:rPr>
          <w:sz w:val="28"/>
          <w:szCs w:val="28"/>
        </w:rPr>
        <w:t xml:space="preserve"> this Court</w:t>
      </w:r>
      <w:r w:rsidR="00E51817" w:rsidRPr="003877E2">
        <w:rPr>
          <w:sz w:val="28"/>
          <w:szCs w:val="28"/>
        </w:rPr>
        <w:t xml:space="preserve"> </w:t>
      </w:r>
      <w:r w:rsidR="00CF3DD6" w:rsidRPr="003877E2">
        <w:rPr>
          <w:sz w:val="28"/>
          <w:szCs w:val="28"/>
        </w:rPr>
        <w:t>to quantify the claims.</w:t>
      </w:r>
      <w:r w:rsidR="00E51817" w:rsidRPr="003877E2">
        <w:rPr>
          <w:sz w:val="28"/>
          <w:szCs w:val="28"/>
        </w:rPr>
        <w:t xml:space="preserve"> There is every indication that this can be agreed between parties. But, to the extent that agreement cannot be reached, these are matters that stood over and the parties are no doubt free to approach the high court for their resolution</w:t>
      </w:r>
      <w:r w:rsidR="00B97898" w:rsidRPr="003877E2">
        <w:rPr>
          <w:sz w:val="28"/>
          <w:szCs w:val="28"/>
        </w:rPr>
        <w:t xml:space="preserve"> and final determination</w:t>
      </w:r>
      <w:r w:rsidR="00E51817" w:rsidRPr="003877E2">
        <w:rPr>
          <w:sz w:val="28"/>
          <w:szCs w:val="28"/>
        </w:rPr>
        <w:t xml:space="preserve">. </w:t>
      </w:r>
    </w:p>
    <w:p w14:paraId="777BE83B" w14:textId="77777777" w:rsidR="00CF3DD6" w:rsidRPr="00FB564C" w:rsidRDefault="00CF3DD6">
      <w:pPr>
        <w:pStyle w:val="ListParagraph"/>
        <w:rPr>
          <w:sz w:val="28"/>
          <w:szCs w:val="28"/>
        </w:rPr>
      </w:pPr>
    </w:p>
    <w:p w14:paraId="6789179E" w14:textId="1780F40E" w:rsidR="00CF3DD6" w:rsidRPr="003877E2" w:rsidRDefault="003877E2" w:rsidP="003877E2">
      <w:pPr>
        <w:rPr>
          <w:sz w:val="28"/>
          <w:szCs w:val="28"/>
        </w:rPr>
      </w:pPr>
      <w:r w:rsidRPr="00FB564C">
        <w:rPr>
          <w:sz w:val="28"/>
          <w:szCs w:val="28"/>
        </w:rPr>
        <w:t>[66]</w:t>
      </w:r>
      <w:r w:rsidRPr="00FB564C">
        <w:rPr>
          <w:sz w:val="28"/>
          <w:szCs w:val="28"/>
        </w:rPr>
        <w:tab/>
      </w:r>
      <w:r w:rsidR="00CF3DD6" w:rsidRPr="003877E2">
        <w:rPr>
          <w:sz w:val="28"/>
          <w:szCs w:val="28"/>
        </w:rPr>
        <w:t xml:space="preserve">Both parties led extensive expert </w:t>
      </w:r>
      <w:r w:rsidR="0003727F" w:rsidRPr="003877E2">
        <w:rPr>
          <w:sz w:val="28"/>
          <w:szCs w:val="28"/>
        </w:rPr>
        <w:t xml:space="preserve">valuation </w:t>
      </w:r>
      <w:r w:rsidR="00CF3DD6" w:rsidRPr="003877E2">
        <w:rPr>
          <w:sz w:val="28"/>
          <w:szCs w:val="28"/>
        </w:rPr>
        <w:t xml:space="preserve">evidence during the trial. The Curator relied on two experts, Tobi Retief (Retief) and </w:t>
      </w:r>
      <w:r w:rsidR="000209C4" w:rsidRPr="003877E2">
        <w:rPr>
          <w:sz w:val="28"/>
          <w:szCs w:val="28"/>
        </w:rPr>
        <w:t>Jacques</w:t>
      </w:r>
      <w:r w:rsidR="00CF3DD6" w:rsidRPr="003877E2">
        <w:rPr>
          <w:sz w:val="28"/>
          <w:szCs w:val="28"/>
        </w:rPr>
        <w:t xml:space="preserve"> du Toit (Du Toit)</w:t>
      </w:r>
      <w:r w:rsidR="00E51817" w:rsidRPr="003877E2">
        <w:rPr>
          <w:sz w:val="28"/>
          <w:szCs w:val="28"/>
        </w:rPr>
        <w:t>,</w:t>
      </w:r>
      <w:r w:rsidR="00CF3DD6" w:rsidRPr="003877E2">
        <w:rPr>
          <w:sz w:val="28"/>
          <w:szCs w:val="28"/>
        </w:rPr>
        <w:t xml:space="preserve"> while the appellants counte</w:t>
      </w:r>
      <w:r w:rsidR="00E51817" w:rsidRPr="003877E2">
        <w:rPr>
          <w:sz w:val="28"/>
          <w:szCs w:val="28"/>
        </w:rPr>
        <w:t>re</w:t>
      </w:r>
      <w:r w:rsidR="00CF3DD6" w:rsidRPr="003877E2">
        <w:rPr>
          <w:sz w:val="28"/>
          <w:szCs w:val="28"/>
        </w:rPr>
        <w:t xml:space="preserve">d </w:t>
      </w:r>
      <w:r w:rsidR="00E51817" w:rsidRPr="003877E2">
        <w:rPr>
          <w:sz w:val="28"/>
          <w:szCs w:val="28"/>
        </w:rPr>
        <w:t xml:space="preserve">with </w:t>
      </w:r>
      <w:r w:rsidR="00CF3DD6" w:rsidRPr="003877E2">
        <w:rPr>
          <w:sz w:val="28"/>
          <w:szCs w:val="28"/>
        </w:rPr>
        <w:t>Jerry Margolius (Margolius</w:t>
      </w:r>
      <w:r w:rsidR="008068B4" w:rsidRPr="003877E2">
        <w:rPr>
          <w:sz w:val="28"/>
          <w:szCs w:val="28"/>
        </w:rPr>
        <w:t>)</w:t>
      </w:r>
      <w:r w:rsidR="00CF3DD6" w:rsidRPr="003877E2">
        <w:rPr>
          <w:sz w:val="28"/>
          <w:szCs w:val="28"/>
        </w:rPr>
        <w:t xml:space="preserve"> and Olden for the determination of the highest and best use of the land during the relevant periods.</w:t>
      </w:r>
    </w:p>
    <w:p w14:paraId="115C06CE" w14:textId="77777777" w:rsidR="00CF3DD6" w:rsidRPr="00FB564C" w:rsidRDefault="00CF3DD6">
      <w:pPr>
        <w:pStyle w:val="ListParagraph"/>
        <w:rPr>
          <w:sz w:val="28"/>
          <w:szCs w:val="28"/>
        </w:rPr>
      </w:pPr>
    </w:p>
    <w:p w14:paraId="127DD0B9" w14:textId="1E03711F" w:rsidR="00CF3DD6" w:rsidRPr="003877E2" w:rsidRDefault="003877E2" w:rsidP="003877E2">
      <w:pPr>
        <w:rPr>
          <w:sz w:val="28"/>
          <w:szCs w:val="28"/>
        </w:rPr>
      </w:pPr>
      <w:r w:rsidRPr="00FB564C">
        <w:rPr>
          <w:sz w:val="28"/>
          <w:szCs w:val="28"/>
        </w:rPr>
        <w:t>[67]</w:t>
      </w:r>
      <w:r w:rsidRPr="00FB564C">
        <w:rPr>
          <w:sz w:val="28"/>
          <w:szCs w:val="28"/>
        </w:rPr>
        <w:tab/>
      </w:r>
      <w:r w:rsidR="00CF3DD6" w:rsidRPr="003877E2">
        <w:rPr>
          <w:sz w:val="28"/>
          <w:szCs w:val="28"/>
        </w:rPr>
        <w:t>All the experts valued the properties as at 31 December 2007 and 31 December 2011</w:t>
      </w:r>
      <w:r w:rsidR="002204DB" w:rsidRPr="003877E2">
        <w:rPr>
          <w:sz w:val="28"/>
          <w:szCs w:val="28"/>
        </w:rPr>
        <w:t xml:space="preserve"> respectively</w:t>
      </w:r>
      <w:r w:rsidR="00CF3DD6" w:rsidRPr="003877E2">
        <w:rPr>
          <w:sz w:val="28"/>
          <w:szCs w:val="28"/>
        </w:rPr>
        <w:t xml:space="preserve">. The </w:t>
      </w:r>
      <w:r w:rsidR="00B97898" w:rsidRPr="003877E2">
        <w:rPr>
          <w:sz w:val="28"/>
          <w:szCs w:val="28"/>
        </w:rPr>
        <w:t xml:space="preserve">competing </w:t>
      </w:r>
      <w:r w:rsidR="00CF3DD6" w:rsidRPr="003877E2">
        <w:rPr>
          <w:sz w:val="28"/>
          <w:szCs w:val="28"/>
        </w:rPr>
        <w:t>contention</w:t>
      </w:r>
      <w:r w:rsidR="00B97898" w:rsidRPr="003877E2">
        <w:rPr>
          <w:sz w:val="28"/>
          <w:szCs w:val="28"/>
        </w:rPr>
        <w:t>s</w:t>
      </w:r>
      <w:r w:rsidR="00CF3DD6" w:rsidRPr="003877E2">
        <w:rPr>
          <w:sz w:val="28"/>
          <w:szCs w:val="28"/>
        </w:rPr>
        <w:t xml:space="preserve"> between the parties was whether the highest and best use of the land at the two respective periods, was urban development or agricultural/horticultural. </w:t>
      </w:r>
    </w:p>
    <w:p w14:paraId="33639C46" w14:textId="77777777" w:rsidR="000F0124" w:rsidRPr="00FB564C" w:rsidRDefault="000F0124">
      <w:pPr>
        <w:pStyle w:val="ListParagraph"/>
        <w:rPr>
          <w:sz w:val="28"/>
          <w:szCs w:val="28"/>
        </w:rPr>
      </w:pPr>
    </w:p>
    <w:p w14:paraId="137831BF" w14:textId="4BEE3664" w:rsidR="002204DB" w:rsidRPr="003877E2" w:rsidRDefault="003877E2" w:rsidP="003877E2">
      <w:pPr>
        <w:rPr>
          <w:sz w:val="28"/>
          <w:szCs w:val="28"/>
        </w:rPr>
      </w:pPr>
      <w:r w:rsidRPr="00FB564C">
        <w:rPr>
          <w:sz w:val="28"/>
          <w:szCs w:val="28"/>
        </w:rPr>
        <w:lastRenderedPageBreak/>
        <w:t>[68]</w:t>
      </w:r>
      <w:r w:rsidRPr="00FB564C">
        <w:rPr>
          <w:sz w:val="28"/>
          <w:szCs w:val="28"/>
        </w:rPr>
        <w:tab/>
      </w:r>
      <w:r w:rsidR="00CF3DD6" w:rsidRPr="003877E2">
        <w:rPr>
          <w:sz w:val="28"/>
          <w:szCs w:val="28"/>
        </w:rPr>
        <w:t xml:space="preserve">Olden’s evidence, </w:t>
      </w:r>
      <w:r w:rsidR="00E51817" w:rsidRPr="003877E2">
        <w:rPr>
          <w:sz w:val="28"/>
          <w:szCs w:val="28"/>
        </w:rPr>
        <w:t xml:space="preserve">upon </w:t>
      </w:r>
      <w:r w:rsidR="00CF3DD6" w:rsidRPr="003877E2">
        <w:rPr>
          <w:sz w:val="28"/>
          <w:szCs w:val="28"/>
        </w:rPr>
        <w:t xml:space="preserve">which Margolius </w:t>
      </w:r>
      <w:r w:rsidR="00E51817" w:rsidRPr="003877E2">
        <w:rPr>
          <w:sz w:val="28"/>
          <w:szCs w:val="28"/>
        </w:rPr>
        <w:t xml:space="preserve">also </w:t>
      </w:r>
      <w:r w:rsidR="00CF3DD6" w:rsidRPr="003877E2">
        <w:rPr>
          <w:sz w:val="28"/>
          <w:szCs w:val="28"/>
        </w:rPr>
        <w:t>relied, focused on the potential of the properties for urban development. He acknowledged that as at December 2007 the land was designated ‘horticultural’ and that an amendment to the guide plan would be required to allow for urban development. He accepted that obtaining approval for urban development would be a challenge because the properties were located within the protected PHA. Having received specialist reports, however, he was of the view that there was a strong probability that an application would be approved. Indeed, by 2011, the urban structure plan was amended for urban development in Schaapkraal. Olden also received agricultural studies, which indicated no viable horticultural activity, notwithstanding</w:t>
      </w:r>
      <w:r w:rsidR="00523A49" w:rsidRPr="003877E2">
        <w:rPr>
          <w:sz w:val="28"/>
          <w:szCs w:val="28"/>
        </w:rPr>
        <w:t xml:space="preserve"> </w:t>
      </w:r>
      <w:r w:rsidR="0003727F" w:rsidRPr="003877E2">
        <w:rPr>
          <w:sz w:val="28"/>
          <w:szCs w:val="28"/>
        </w:rPr>
        <w:t>the</w:t>
      </w:r>
      <w:r w:rsidR="00523A49" w:rsidRPr="003877E2">
        <w:rPr>
          <w:sz w:val="28"/>
          <w:szCs w:val="28"/>
        </w:rPr>
        <w:t xml:space="preserve"> </w:t>
      </w:r>
      <w:r w:rsidR="00CF3DD6" w:rsidRPr="003877E2">
        <w:rPr>
          <w:sz w:val="28"/>
          <w:szCs w:val="28"/>
        </w:rPr>
        <w:t>horticultural designation</w:t>
      </w:r>
      <w:r w:rsidR="0003727F" w:rsidRPr="003877E2">
        <w:rPr>
          <w:sz w:val="28"/>
          <w:szCs w:val="28"/>
        </w:rPr>
        <w:t xml:space="preserve"> of the properties</w:t>
      </w:r>
      <w:r w:rsidR="00097321" w:rsidRPr="003877E2">
        <w:rPr>
          <w:sz w:val="28"/>
          <w:szCs w:val="28"/>
        </w:rPr>
        <w:t>,</w:t>
      </w:r>
      <w:r w:rsidR="00CF3DD6" w:rsidRPr="003877E2">
        <w:rPr>
          <w:sz w:val="28"/>
          <w:szCs w:val="28"/>
        </w:rPr>
        <w:t xml:space="preserve"> as at December 2007.</w:t>
      </w:r>
    </w:p>
    <w:p w14:paraId="43BDB149" w14:textId="77777777" w:rsidR="008B0928" w:rsidRPr="00FB564C" w:rsidRDefault="008B0928" w:rsidP="008F4835">
      <w:pPr>
        <w:pStyle w:val="ListParagraph"/>
        <w:ind w:left="0"/>
        <w:rPr>
          <w:sz w:val="28"/>
          <w:szCs w:val="28"/>
        </w:rPr>
      </w:pPr>
    </w:p>
    <w:p w14:paraId="2EF6BDD2" w14:textId="48E41778" w:rsidR="00CF3DD6" w:rsidRPr="003877E2" w:rsidRDefault="003877E2" w:rsidP="003877E2">
      <w:pPr>
        <w:rPr>
          <w:sz w:val="28"/>
          <w:szCs w:val="28"/>
        </w:rPr>
      </w:pPr>
      <w:r w:rsidRPr="00FB564C">
        <w:rPr>
          <w:sz w:val="28"/>
          <w:szCs w:val="28"/>
        </w:rPr>
        <w:t>[69]</w:t>
      </w:r>
      <w:r w:rsidRPr="00FB564C">
        <w:rPr>
          <w:sz w:val="28"/>
          <w:szCs w:val="28"/>
        </w:rPr>
        <w:tab/>
      </w:r>
      <w:r w:rsidR="00CF3DD6" w:rsidRPr="003877E2">
        <w:rPr>
          <w:sz w:val="28"/>
          <w:szCs w:val="28"/>
        </w:rPr>
        <w:t>Relying on Olden and other specialist studies, Margolius concluded that urban development was the highest and best use at both valuation dates of 31 December 2007 and 31 December 2011. He valued the properties at R211 million and R626 million for those periods respectively. Retief’s view, on the other hand</w:t>
      </w:r>
      <w:r w:rsidR="00F10A99" w:rsidRPr="003877E2">
        <w:rPr>
          <w:sz w:val="28"/>
          <w:szCs w:val="28"/>
        </w:rPr>
        <w:t>,</w:t>
      </w:r>
      <w:r w:rsidR="00CF3DD6" w:rsidRPr="003877E2">
        <w:rPr>
          <w:sz w:val="28"/>
          <w:szCs w:val="28"/>
        </w:rPr>
        <w:t xml:space="preserve"> was that the highest and best use in the 2007 valuation was agricultural. It became urban developmental only in 2011</w:t>
      </w:r>
      <w:r w:rsidR="00E51817" w:rsidRPr="003877E2">
        <w:rPr>
          <w:sz w:val="28"/>
          <w:szCs w:val="28"/>
        </w:rPr>
        <w:t>,</w:t>
      </w:r>
      <w:r w:rsidR="00CF3DD6" w:rsidRPr="003877E2">
        <w:rPr>
          <w:sz w:val="28"/>
          <w:szCs w:val="28"/>
        </w:rPr>
        <w:t xml:space="preserve"> after the amendment of the urban structure plan. Du Toit concluded that the highest and best use was agricultural at both </w:t>
      </w:r>
      <w:r w:rsidR="00985903" w:rsidRPr="003877E2">
        <w:rPr>
          <w:sz w:val="28"/>
          <w:szCs w:val="28"/>
        </w:rPr>
        <w:t xml:space="preserve">the </w:t>
      </w:r>
      <w:r w:rsidR="00CF3DD6" w:rsidRPr="003877E2">
        <w:rPr>
          <w:sz w:val="28"/>
          <w:szCs w:val="28"/>
        </w:rPr>
        <w:t>2007 and 2011 dates.</w:t>
      </w:r>
    </w:p>
    <w:p w14:paraId="4ADCFB94" w14:textId="77777777" w:rsidR="00CF3DD6" w:rsidRPr="00FB564C" w:rsidRDefault="00CF3DD6">
      <w:pPr>
        <w:pStyle w:val="ListParagraph"/>
        <w:rPr>
          <w:sz w:val="28"/>
          <w:szCs w:val="28"/>
        </w:rPr>
      </w:pPr>
    </w:p>
    <w:p w14:paraId="5B029220" w14:textId="687B33F4" w:rsidR="002204DB" w:rsidRPr="003877E2" w:rsidRDefault="003877E2" w:rsidP="003877E2">
      <w:pPr>
        <w:rPr>
          <w:sz w:val="28"/>
          <w:szCs w:val="28"/>
        </w:rPr>
      </w:pPr>
      <w:r w:rsidRPr="00FB564C">
        <w:rPr>
          <w:sz w:val="28"/>
          <w:szCs w:val="28"/>
        </w:rPr>
        <w:t>[70]</w:t>
      </w:r>
      <w:r w:rsidRPr="00FB564C">
        <w:rPr>
          <w:sz w:val="28"/>
          <w:szCs w:val="28"/>
        </w:rPr>
        <w:tab/>
      </w:r>
      <w:r w:rsidR="00CF3DD6" w:rsidRPr="003877E2">
        <w:rPr>
          <w:sz w:val="28"/>
          <w:szCs w:val="28"/>
        </w:rPr>
        <w:t xml:space="preserve">The high court found that the value of the properties was the combination of the land value and sand value. On the land value, it accepted Margolius’ view that the highest and best value was for urban development. It also preferred his valuation and escalated the 2007 valuation by 5% per annum from 31 December 2007 to May 2011 (when the guide plan was amended). It discounted the 2011 valuation at 5% </w:t>
      </w:r>
      <w:r w:rsidR="00CF3DD6" w:rsidRPr="003877E2">
        <w:rPr>
          <w:sz w:val="28"/>
          <w:szCs w:val="28"/>
        </w:rPr>
        <w:lastRenderedPageBreak/>
        <w:t xml:space="preserve">from 31 December 2011 and escalated it at 5% per annum for 1 January 2012 onwards. </w:t>
      </w:r>
    </w:p>
    <w:p w14:paraId="526D5618" w14:textId="77777777" w:rsidR="007C66D1" w:rsidRPr="00FB564C" w:rsidRDefault="007C66D1">
      <w:pPr>
        <w:pStyle w:val="ListParagraph"/>
        <w:rPr>
          <w:sz w:val="28"/>
          <w:szCs w:val="28"/>
        </w:rPr>
      </w:pPr>
    </w:p>
    <w:p w14:paraId="5C2CA7DA" w14:textId="74A82D2F" w:rsidR="007747E9" w:rsidRPr="003877E2" w:rsidRDefault="003877E2" w:rsidP="003877E2">
      <w:pPr>
        <w:rPr>
          <w:bCs/>
          <w:sz w:val="28"/>
          <w:szCs w:val="28"/>
        </w:rPr>
      </w:pPr>
      <w:r w:rsidRPr="00FB564C">
        <w:rPr>
          <w:sz w:val="28"/>
          <w:szCs w:val="28"/>
        </w:rPr>
        <w:t>[71]</w:t>
      </w:r>
      <w:r w:rsidRPr="00FB564C">
        <w:rPr>
          <w:sz w:val="28"/>
          <w:szCs w:val="28"/>
        </w:rPr>
        <w:tab/>
      </w:r>
      <w:r w:rsidR="001A51C6" w:rsidRPr="003877E2">
        <w:rPr>
          <w:sz w:val="28"/>
          <w:szCs w:val="28"/>
        </w:rPr>
        <w:t>F</w:t>
      </w:r>
      <w:r w:rsidR="00CF3DD6" w:rsidRPr="003877E2">
        <w:rPr>
          <w:sz w:val="28"/>
          <w:szCs w:val="28"/>
        </w:rPr>
        <w:t xml:space="preserve">or the purpose of the appeal, the Curator’s </w:t>
      </w:r>
      <w:r w:rsidR="00985903" w:rsidRPr="003877E2">
        <w:rPr>
          <w:sz w:val="28"/>
          <w:szCs w:val="28"/>
        </w:rPr>
        <w:t>case is</w:t>
      </w:r>
      <w:r w:rsidR="00CF3DD6" w:rsidRPr="003877E2">
        <w:rPr>
          <w:sz w:val="28"/>
          <w:szCs w:val="28"/>
        </w:rPr>
        <w:t xml:space="preserve"> no longer based on Retief’s and Du Toit’s land values</w:t>
      </w:r>
      <w:r w:rsidR="00525B3F" w:rsidRPr="003877E2">
        <w:rPr>
          <w:sz w:val="28"/>
          <w:szCs w:val="28"/>
        </w:rPr>
        <w:t>,</w:t>
      </w:r>
      <w:r w:rsidR="00CF3DD6" w:rsidRPr="003877E2">
        <w:rPr>
          <w:sz w:val="28"/>
          <w:szCs w:val="28"/>
        </w:rPr>
        <w:t xml:space="preserve"> </w:t>
      </w:r>
      <w:r w:rsidR="00E51817" w:rsidRPr="003877E2">
        <w:rPr>
          <w:sz w:val="28"/>
          <w:szCs w:val="28"/>
        </w:rPr>
        <w:t xml:space="preserve">upon </w:t>
      </w:r>
      <w:r w:rsidR="00CF3DD6" w:rsidRPr="003877E2">
        <w:rPr>
          <w:sz w:val="28"/>
          <w:szCs w:val="28"/>
        </w:rPr>
        <w:t xml:space="preserve">which </w:t>
      </w:r>
      <w:r w:rsidR="00E51817" w:rsidRPr="003877E2">
        <w:rPr>
          <w:sz w:val="28"/>
          <w:szCs w:val="28"/>
        </w:rPr>
        <w:t>he</w:t>
      </w:r>
      <w:r w:rsidR="00CF3DD6" w:rsidRPr="003877E2">
        <w:rPr>
          <w:sz w:val="28"/>
          <w:szCs w:val="28"/>
        </w:rPr>
        <w:t xml:space="preserve"> </w:t>
      </w:r>
      <w:r w:rsidR="00E51817" w:rsidRPr="003877E2">
        <w:rPr>
          <w:sz w:val="28"/>
          <w:szCs w:val="28"/>
        </w:rPr>
        <w:t xml:space="preserve">previously </w:t>
      </w:r>
      <w:r w:rsidR="00CF3DD6" w:rsidRPr="003877E2">
        <w:rPr>
          <w:sz w:val="28"/>
          <w:szCs w:val="28"/>
        </w:rPr>
        <w:t xml:space="preserve">relied. The focus of the Curator’s submissions on appeal was in relation to the addition of </w:t>
      </w:r>
      <w:r w:rsidR="00E51817" w:rsidRPr="003877E2">
        <w:rPr>
          <w:sz w:val="28"/>
          <w:szCs w:val="28"/>
        </w:rPr>
        <w:t xml:space="preserve">the </w:t>
      </w:r>
      <w:r w:rsidR="00CF3DD6" w:rsidRPr="003877E2">
        <w:rPr>
          <w:sz w:val="28"/>
          <w:szCs w:val="28"/>
        </w:rPr>
        <w:t xml:space="preserve">sand value as an asset in computing the value of </w:t>
      </w:r>
      <w:r w:rsidR="00E51817" w:rsidRPr="003877E2">
        <w:rPr>
          <w:sz w:val="28"/>
          <w:szCs w:val="28"/>
        </w:rPr>
        <w:t xml:space="preserve">the </w:t>
      </w:r>
      <w:r w:rsidR="00CF3DD6" w:rsidRPr="003877E2">
        <w:rPr>
          <w:sz w:val="28"/>
          <w:szCs w:val="28"/>
        </w:rPr>
        <w:t>companies.</w:t>
      </w:r>
      <w:r w:rsidR="002204DB" w:rsidRPr="003877E2">
        <w:rPr>
          <w:sz w:val="28"/>
          <w:szCs w:val="28"/>
        </w:rPr>
        <w:t xml:space="preserve"> </w:t>
      </w:r>
    </w:p>
    <w:p w14:paraId="530E58CB" w14:textId="77777777" w:rsidR="008F4835" w:rsidRPr="00FB564C" w:rsidRDefault="008F4835" w:rsidP="008F4835">
      <w:pPr>
        <w:pStyle w:val="ListParagraph"/>
        <w:rPr>
          <w:bCs/>
          <w:sz w:val="28"/>
          <w:szCs w:val="28"/>
        </w:rPr>
      </w:pPr>
    </w:p>
    <w:p w14:paraId="38303FFF" w14:textId="77777777" w:rsidR="00CF3DD6" w:rsidRPr="00FB564C" w:rsidRDefault="00CF3DD6" w:rsidP="008F4835">
      <w:pPr>
        <w:rPr>
          <w:b/>
          <w:sz w:val="28"/>
          <w:szCs w:val="28"/>
        </w:rPr>
      </w:pPr>
      <w:r w:rsidRPr="00FB564C">
        <w:rPr>
          <w:b/>
          <w:sz w:val="28"/>
          <w:szCs w:val="28"/>
        </w:rPr>
        <w:t>The inclusion of sand value</w:t>
      </w:r>
    </w:p>
    <w:p w14:paraId="2E13DF65" w14:textId="0E0FD54C" w:rsidR="00CF3DD6" w:rsidRPr="003877E2" w:rsidRDefault="003877E2" w:rsidP="003877E2">
      <w:pPr>
        <w:rPr>
          <w:sz w:val="28"/>
          <w:szCs w:val="28"/>
        </w:rPr>
      </w:pPr>
      <w:r w:rsidRPr="00FB564C">
        <w:rPr>
          <w:sz w:val="28"/>
          <w:szCs w:val="28"/>
        </w:rPr>
        <w:t>[72]</w:t>
      </w:r>
      <w:r w:rsidRPr="00FB564C">
        <w:rPr>
          <w:sz w:val="28"/>
          <w:szCs w:val="28"/>
        </w:rPr>
        <w:tab/>
      </w:r>
      <w:r w:rsidR="00CF3DD6" w:rsidRPr="003877E2">
        <w:rPr>
          <w:sz w:val="28"/>
          <w:szCs w:val="28"/>
        </w:rPr>
        <w:t xml:space="preserve">It is common cause that the properties </w:t>
      </w:r>
      <w:r w:rsidR="002204DB" w:rsidRPr="003877E2">
        <w:rPr>
          <w:sz w:val="28"/>
          <w:szCs w:val="28"/>
        </w:rPr>
        <w:t xml:space="preserve">contained </w:t>
      </w:r>
      <w:r w:rsidR="00CF3DD6" w:rsidRPr="003877E2">
        <w:rPr>
          <w:sz w:val="28"/>
          <w:szCs w:val="28"/>
        </w:rPr>
        <w:t xml:space="preserve">sand deposits on the land. These deposits would </w:t>
      </w:r>
      <w:r w:rsidR="00E51817" w:rsidRPr="003877E2">
        <w:rPr>
          <w:sz w:val="28"/>
          <w:szCs w:val="28"/>
        </w:rPr>
        <w:t xml:space="preserve">add </w:t>
      </w:r>
      <w:r w:rsidR="00CF3DD6" w:rsidRPr="003877E2">
        <w:rPr>
          <w:sz w:val="28"/>
          <w:szCs w:val="28"/>
        </w:rPr>
        <w:t xml:space="preserve">considerable value to the properties, if they were to be mined. The Rapicorp companies were not in possession of </w:t>
      </w:r>
      <w:r w:rsidR="00E51817" w:rsidRPr="003877E2">
        <w:rPr>
          <w:sz w:val="28"/>
          <w:szCs w:val="28"/>
        </w:rPr>
        <w:t>a</w:t>
      </w:r>
      <w:r w:rsidR="00CF3DD6" w:rsidRPr="003877E2">
        <w:rPr>
          <w:sz w:val="28"/>
          <w:szCs w:val="28"/>
        </w:rPr>
        <w:t xml:space="preserve"> mining licen</w:t>
      </w:r>
      <w:r w:rsidR="00E51817" w:rsidRPr="003877E2">
        <w:rPr>
          <w:sz w:val="28"/>
          <w:szCs w:val="28"/>
        </w:rPr>
        <w:t>c</w:t>
      </w:r>
      <w:r w:rsidR="00CF3DD6" w:rsidRPr="003877E2">
        <w:rPr>
          <w:sz w:val="28"/>
          <w:szCs w:val="28"/>
        </w:rPr>
        <w:t>e to exploit the sand at the relevant periods. Notwithstanding that, the appellants insisted that the sand deposits on the land had to form part of the quantification of the market value.</w:t>
      </w:r>
    </w:p>
    <w:p w14:paraId="4B6E03A7" w14:textId="77777777" w:rsidR="00CF3DD6" w:rsidRPr="00FB564C" w:rsidRDefault="00CF3DD6">
      <w:pPr>
        <w:pStyle w:val="ListParagraph"/>
        <w:rPr>
          <w:sz w:val="28"/>
          <w:szCs w:val="28"/>
        </w:rPr>
      </w:pPr>
    </w:p>
    <w:p w14:paraId="447256A4" w14:textId="45B532F9" w:rsidR="00CF3DD6" w:rsidRPr="003877E2" w:rsidRDefault="003877E2" w:rsidP="003877E2">
      <w:pPr>
        <w:tabs>
          <w:tab w:val="left" w:pos="0"/>
        </w:tabs>
        <w:rPr>
          <w:sz w:val="28"/>
          <w:szCs w:val="28"/>
        </w:rPr>
      </w:pPr>
      <w:r w:rsidRPr="00FB564C">
        <w:rPr>
          <w:sz w:val="28"/>
          <w:szCs w:val="28"/>
        </w:rPr>
        <w:t>[73]</w:t>
      </w:r>
      <w:r w:rsidRPr="00FB564C">
        <w:rPr>
          <w:sz w:val="28"/>
          <w:szCs w:val="28"/>
        </w:rPr>
        <w:tab/>
      </w:r>
      <w:r w:rsidR="00CF3DD6" w:rsidRPr="003877E2">
        <w:rPr>
          <w:sz w:val="28"/>
          <w:szCs w:val="28"/>
        </w:rPr>
        <w:t>Sand is classified as a ‘mineral’ for the purposes of the Mineral and Petroleum Resources Development Act 28 of 2002 (the MPRDA). Only a holder of a mining right may exploit mineral resources. In terms of s 3(1) of the MPRDA, the State is the custodian of mineral resources for the benefit of all South Africans. The State, acting through the Minister of Mineral</w:t>
      </w:r>
      <w:r w:rsidR="007C66D1" w:rsidRPr="003877E2">
        <w:rPr>
          <w:sz w:val="28"/>
          <w:szCs w:val="28"/>
        </w:rPr>
        <w:t xml:space="preserve"> Resources</w:t>
      </w:r>
      <w:r w:rsidR="00CF3DD6" w:rsidRPr="003877E2">
        <w:rPr>
          <w:sz w:val="28"/>
          <w:szCs w:val="28"/>
        </w:rPr>
        <w:t xml:space="preserve"> and Energy (the Minister)</w:t>
      </w:r>
      <w:r w:rsidR="00E51817" w:rsidRPr="003877E2">
        <w:rPr>
          <w:sz w:val="28"/>
          <w:szCs w:val="28"/>
        </w:rPr>
        <w:t>,</w:t>
      </w:r>
      <w:r w:rsidR="00CF3DD6" w:rsidRPr="003877E2">
        <w:rPr>
          <w:sz w:val="28"/>
          <w:szCs w:val="28"/>
        </w:rPr>
        <w:t xml:space="preserve"> may grant, issue, refuse, control, administer and manage any prospecting right and/or mining right (s 3(2)</w:t>
      </w:r>
      <w:r w:rsidR="00CF3DD6" w:rsidRPr="003877E2">
        <w:rPr>
          <w:i/>
          <w:iCs/>
          <w:sz w:val="28"/>
          <w:szCs w:val="28"/>
        </w:rPr>
        <w:t>(</w:t>
      </w:r>
      <w:r w:rsidR="00CF3DD6" w:rsidRPr="003877E2">
        <w:rPr>
          <w:i/>
          <w:sz w:val="28"/>
          <w:szCs w:val="28"/>
        </w:rPr>
        <w:t>a</w:t>
      </w:r>
      <w:r w:rsidR="00CF3DD6" w:rsidRPr="003877E2">
        <w:rPr>
          <w:i/>
          <w:iCs/>
          <w:sz w:val="28"/>
          <w:szCs w:val="28"/>
        </w:rPr>
        <w:t>)</w:t>
      </w:r>
      <w:r w:rsidR="00C6504C" w:rsidRPr="003877E2">
        <w:rPr>
          <w:sz w:val="28"/>
          <w:szCs w:val="28"/>
        </w:rPr>
        <w:t>)</w:t>
      </w:r>
      <w:r w:rsidR="00CF3DD6" w:rsidRPr="003877E2">
        <w:rPr>
          <w:sz w:val="28"/>
          <w:szCs w:val="28"/>
        </w:rPr>
        <w:t xml:space="preserve">. It was not known whether Rapicorp’s application to the Minister would </w:t>
      </w:r>
      <w:r w:rsidR="00E51817" w:rsidRPr="003877E2">
        <w:rPr>
          <w:sz w:val="28"/>
          <w:szCs w:val="28"/>
        </w:rPr>
        <w:t xml:space="preserve">have </w:t>
      </w:r>
      <w:r w:rsidR="00CF3DD6" w:rsidRPr="003877E2">
        <w:rPr>
          <w:sz w:val="28"/>
          <w:szCs w:val="28"/>
        </w:rPr>
        <w:t>be</w:t>
      </w:r>
      <w:r w:rsidR="00E51817" w:rsidRPr="003877E2">
        <w:rPr>
          <w:sz w:val="28"/>
          <w:szCs w:val="28"/>
        </w:rPr>
        <w:t>en</w:t>
      </w:r>
      <w:r w:rsidR="00CF3DD6" w:rsidRPr="003877E2">
        <w:rPr>
          <w:sz w:val="28"/>
          <w:szCs w:val="28"/>
        </w:rPr>
        <w:t xml:space="preserve"> successful. It might </w:t>
      </w:r>
      <w:r w:rsidR="00E51817" w:rsidRPr="003877E2">
        <w:rPr>
          <w:sz w:val="28"/>
          <w:szCs w:val="28"/>
        </w:rPr>
        <w:t xml:space="preserve">have </w:t>
      </w:r>
      <w:r w:rsidR="00CF3DD6" w:rsidRPr="003877E2">
        <w:rPr>
          <w:sz w:val="28"/>
          <w:szCs w:val="28"/>
        </w:rPr>
        <w:t>be</w:t>
      </w:r>
      <w:r w:rsidR="00E51817" w:rsidRPr="003877E2">
        <w:rPr>
          <w:sz w:val="28"/>
          <w:szCs w:val="28"/>
        </w:rPr>
        <w:t>en</w:t>
      </w:r>
      <w:r w:rsidR="00CF3DD6" w:rsidRPr="003877E2">
        <w:rPr>
          <w:sz w:val="28"/>
          <w:szCs w:val="28"/>
        </w:rPr>
        <w:t xml:space="preserve"> refused or granted with conditions.</w:t>
      </w:r>
      <w:r w:rsidR="00F1741C" w:rsidRPr="003877E2">
        <w:rPr>
          <w:sz w:val="28"/>
          <w:szCs w:val="28"/>
        </w:rPr>
        <w:t xml:space="preserve"> The requirements stipulated in s 23(1) of the MPRDA had to be fulfilled </w:t>
      </w:r>
      <w:r w:rsidR="00F1741C" w:rsidRPr="003877E2">
        <w:rPr>
          <w:sz w:val="28"/>
          <w:szCs w:val="28"/>
        </w:rPr>
        <w:lastRenderedPageBreak/>
        <w:t xml:space="preserve">for a mining right to be approved. It could not have been predicted whether Rapicorp would be granted a licence to mine, and if so, under which conditions. </w:t>
      </w:r>
    </w:p>
    <w:p w14:paraId="587FEA06" w14:textId="77777777" w:rsidR="009616DB" w:rsidRPr="00FB564C" w:rsidRDefault="009616DB">
      <w:pPr>
        <w:pStyle w:val="ListParagraph"/>
        <w:rPr>
          <w:sz w:val="28"/>
          <w:szCs w:val="28"/>
        </w:rPr>
      </w:pPr>
    </w:p>
    <w:p w14:paraId="3E41C5EA" w14:textId="1365C1BB" w:rsidR="009616DB" w:rsidRPr="003877E2" w:rsidRDefault="003877E2" w:rsidP="003877E2">
      <w:pPr>
        <w:tabs>
          <w:tab w:val="left" w:pos="0"/>
        </w:tabs>
        <w:rPr>
          <w:sz w:val="28"/>
          <w:szCs w:val="28"/>
        </w:rPr>
      </w:pPr>
      <w:r w:rsidRPr="00FB564C">
        <w:rPr>
          <w:sz w:val="28"/>
          <w:szCs w:val="28"/>
        </w:rPr>
        <w:t>[74]</w:t>
      </w:r>
      <w:r w:rsidRPr="00FB564C">
        <w:rPr>
          <w:sz w:val="28"/>
          <w:szCs w:val="28"/>
        </w:rPr>
        <w:tab/>
      </w:r>
      <w:r w:rsidR="00CF3DD6" w:rsidRPr="003877E2">
        <w:rPr>
          <w:sz w:val="28"/>
          <w:szCs w:val="28"/>
        </w:rPr>
        <w:t>For th</w:t>
      </w:r>
      <w:r w:rsidR="006F4C51" w:rsidRPr="003877E2">
        <w:rPr>
          <w:sz w:val="28"/>
          <w:szCs w:val="28"/>
        </w:rPr>
        <w:t>e</w:t>
      </w:r>
      <w:r w:rsidR="00CF3DD6" w:rsidRPr="003877E2">
        <w:rPr>
          <w:sz w:val="28"/>
          <w:szCs w:val="28"/>
        </w:rPr>
        <w:t>se reasons, no value could be attribut</w:t>
      </w:r>
      <w:r w:rsidR="00BB3F47" w:rsidRPr="003877E2">
        <w:rPr>
          <w:sz w:val="28"/>
          <w:szCs w:val="28"/>
        </w:rPr>
        <w:t>ed</w:t>
      </w:r>
      <w:r w:rsidR="00143B64" w:rsidRPr="003877E2">
        <w:rPr>
          <w:sz w:val="28"/>
          <w:szCs w:val="28"/>
        </w:rPr>
        <w:t xml:space="preserve"> </w:t>
      </w:r>
      <w:r w:rsidR="00CF3DD6" w:rsidRPr="003877E2">
        <w:rPr>
          <w:sz w:val="28"/>
          <w:szCs w:val="28"/>
        </w:rPr>
        <w:t xml:space="preserve">to the sand deposits and </w:t>
      </w:r>
      <w:r w:rsidR="00D954F3" w:rsidRPr="003877E2">
        <w:rPr>
          <w:sz w:val="28"/>
          <w:szCs w:val="28"/>
        </w:rPr>
        <w:t xml:space="preserve">for those to be </w:t>
      </w:r>
      <w:r w:rsidR="00CF3DD6" w:rsidRPr="003877E2">
        <w:rPr>
          <w:sz w:val="28"/>
          <w:szCs w:val="28"/>
        </w:rPr>
        <w:t xml:space="preserve">treated as a resource in Rapicorp’s hands, until </w:t>
      </w:r>
      <w:r w:rsidR="00D954F3" w:rsidRPr="003877E2">
        <w:rPr>
          <w:sz w:val="28"/>
          <w:szCs w:val="28"/>
        </w:rPr>
        <w:t xml:space="preserve">sand </w:t>
      </w:r>
      <w:r w:rsidR="00CF3DD6" w:rsidRPr="003877E2">
        <w:rPr>
          <w:sz w:val="28"/>
          <w:szCs w:val="28"/>
        </w:rPr>
        <w:t>could</w:t>
      </w:r>
      <w:r w:rsidR="009616DB" w:rsidRPr="003877E2">
        <w:rPr>
          <w:sz w:val="28"/>
          <w:szCs w:val="28"/>
        </w:rPr>
        <w:t xml:space="preserve"> be</w:t>
      </w:r>
      <w:r w:rsidR="00CF3DD6" w:rsidRPr="003877E2">
        <w:rPr>
          <w:sz w:val="28"/>
          <w:szCs w:val="28"/>
        </w:rPr>
        <w:t xml:space="preserve"> lawfully mine</w:t>
      </w:r>
      <w:r w:rsidR="00D954F3" w:rsidRPr="003877E2">
        <w:rPr>
          <w:sz w:val="28"/>
          <w:szCs w:val="28"/>
        </w:rPr>
        <w:t>d</w:t>
      </w:r>
      <w:r w:rsidR="00CF3DD6" w:rsidRPr="003877E2">
        <w:rPr>
          <w:sz w:val="28"/>
          <w:szCs w:val="28"/>
        </w:rPr>
        <w:t>. It follows</w:t>
      </w:r>
      <w:r w:rsidR="004021CA" w:rsidRPr="003877E2">
        <w:rPr>
          <w:sz w:val="28"/>
          <w:szCs w:val="28"/>
        </w:rPr>
        <w:t>,</w:t>
      </w:r>
      <w:r w:rsidR="00CF3DD6" w:rsidRPr="003877E2">
        <w:rPr>
          <w:sz w:val="28"/>
          <w:szCs w:val="28"/>
        </w:rPr>
        <w:t xml:space="preserve"> </w:t>
      </w:r>
      <w:r w:rsidR="004021CA" w:rsidRPr="003877E2">
        <w:rPr>
          <w:sz w:val="28"/>
          <w:szCs w:val="28"/>
        </w:rPr>
        <w:t>th</w:t>
      </w:r>
      <w:r w:rsidR="009616DB" w:rsidRPr="003877E2">
        <w:rPr>
          <w:sz w:val="28"/>
          <w:szCs w:val="28"/>
        </w:rPr>
        <w:t>erefore</w:t>
      </w:r>
      <w:r w:rsidR="004021CA" w:rsidRPr="003877E2">
        <w:rPr>
          <w:sz w:val="28"/>
          <w:szCs w:val="28"/>
        </w:rPr>
        <w:t>,</w:t>
      </w:r>
      <w:r w:rsidR="00CF3DD6" w:rsidRPr="003877E2">
        <w:rPr>
          <w:sz w:val="28"/>
          <w:szCs w:val="28"/>
        </w:rPr>
        <w:t xml:space="preserve"> that any mining undertaken by Rapicorp at the time of the share transactions would have been unlawful. Under those circumstances</w:t>
      </w:r>
      <w:r w:rsidR="004021CA" w:rsidRPr="003877E2">
        <w:rPr>
          <w:sz w:val="28"/>
          <w:szCs w:val="28"/>
        </w:rPr>
        <w:t>, sand</w:t>
      </w:r>
      <w:r w:rsidR="00CF3DD6" w:rsidRPr="003877E2">
        <w:rPr>
          <w:sz w:val="28"/>
          <w:szCs w:val="28"/>
        </w:rPr>
        <w:t xml:space="preserve"> could not have been </w:t>
      </w:r>
      <w:r w:rsidR="004021CA" w:rsidRPr="003877E2">
        <w:rPr>
          <w:sz w:val="28"/>
          <w:szCs w:val="28"/>
        </w:rPr>
        <w:t>rightfully included</w:t>
      </w:r>
      <w:r w:rsidR="00CF3DD6" w:rsidRPr="003877E2">
        <w:rPr>
          <w:sz w:val="28"/>
          <w:szCs w:val="28"/>
        </w:rPr>
        <w:t xml:space="preserve"> in the quantification of the value of the properties.</w:t>
      </w:r>
    </w:p>
    <w:p w14:paraId="7C5284C3" w14:textId="77777777" w:rsidR="00CF3DD6" w:rsidRPr="00FB564C" w:rsidRDefault="00CF3DD6" w:rsidP="008F4835">
      <w:pPr>
        <w:pStyle w:val="ListParagraph"/>
        <w:tabs>
          <w:tab w:val="left" w:pos="0"/>
        </w:tabs>
        <w:ind w:left="0"/>
        <w:rPr>
          <w:sz w:val="28"/>
          <w:szCs w:val="28"/>
        </w:rPr>
      </w:pPr>
    </w:p>
    <w:p w14:paraId="04BC161E" w14:textId="3A80DC01" w:rsidR="00CF3DD6" w:rsidRPr="003877E2" w:rsidRDefault="003877E2" w:rsidP="003877E2">
      <w:pPr>
        <w:tabs>
          <w:tab w:val="left" w:pos="0"/>
        </w:tabs>
        <w:rPr>
          <w:sz w:val="28"/>
          <w:szCs w:val="28"/>
        </w:rPr>
      </w:pPr>
      <w:r w:rsidRPr="00FB564C">
        <w:rPr>
          <w:sz w:val="28"/>
          <w:szCs w:val="28"/>
        </w:rPr>
        <w:t>[75]</w:t>
      </w:r>
      <w:r w:rsidRPr="00FB564C">
        <w:rPr>
          <w:sz w:val="28"/>
          <w:szCs w:val="28"/>
        </w:rPr>
        <w:tab/>
      </w:r>
      <w:r w:rsidR="00EA41DD" w:rsidRPr="003877E2">
        <w:rPr>
          <w:sz w:val="28"/>
          <w:szCs w:val="28"/>
        </w:rPr>
        <w:t>It follows that</w:t>
      </w:r>
      <w:r w:rsidR="00CF3DD6" w:rsidRPr="003877E2">
        <w:rPr>
          <w:sz w:val="28"/>
          <w:szCs w:val="28"/>
        </w:rPr>
        <w:t xml:space="preserve"> the high court erred by taking into account the sand value as a resource for the purposes of calculating the market value of the properties. </w:t>
      </w:r>
      <w:r w:rsidR="009616DB" w:rsidRPr="003877E2">
        <w:rPr>
          <w:sz w:val="28"/>
          <w:szCs w:val="28"/>
        </w:rPr>
        <w:t xml:space="preserve">This </w:t>
      </w:r>
      <w:r w:rsidR="00EA41DD" w:rsidRPr="003877E2">
        <w:rPr>
          <w:sz w:val="28"/>
          <w:szCs w:val="28"/>
        </w:rPr>
        <w:t xml:space="preserve">is </w:t>
      </w:r>
      <w:r w:rsidR="009616DB" w:rsidRPr="003877E2">
        <w:rPr>
          <w:sz w:val="28"/>
          <w:szCs w:val="28"/>
        </w:rPr>
        <w:t xml:space="preserve">a </w:t>
      </w:r>
      <w:r w:rsidR="00CF3DD6" w:rsidRPr="003877E2">
        <w:rPr>
          <w:sz w:val="28"/>
          <w:szCs w:val="28"/>
        </w:rPr>
        <w:t xml:space="preserve">permissible </w:t>
      </w:r>
      <w:r w:rsidR="009616DB" w:rsidRPr="003877E2">
        <w:rPr>
          <w:sz w:val="28"/>
          <w:szCs w:val="28"/>
        </w:rPr>
        <w:t xml:space="preserve">ground to </w:t>
      </w:r>
      <w:r w:rsidR="00CF3DD6" w:rsidRPr="003877E2">
        <w:rPr>
          <w:sz w:val="28"/>
          <w:szCs w:val="28"/>
        </w:rPr>
        <w:t xml:space="preserve">interfere with </w:t>
      </w:r>
      <w:r w:rsidR="009616DB" w:rsidRPr="003877E2">
        <w:rPr>
          <w:sz w:val="28"/>
          <w:szCs w:val="28"/>
        </w:rPr>
        <w:t>th</w:t>
      </w:r>
      <w:r w:rsidR="008265B3" w:rsidRPr="003877E2">
        <w:rPr>
          <w:sz w:val="28"/>
          <w:szCs w:val="28"/>
        </w:rPr>
        <w:t>at</w:t>
      </w:r>
      <w:r w:rsidR="009616DB" w:rsidRPr="003877E2">
        <w:rPr>
          <w:sz w:val="28"/>
          <w:szCs w:val="28"/>
        </w:rPr>
        <w:t xml:space="preserve"> </w:t>
      </w:r>
      <w:r w:rsidR="008265B3" w:rsidRPr="003877E2">
        <w:rPr>
          <w:sz w:val="28"/>
          <w:szCs w:val="28"/>
        </w:rPr>
        <w:t>finding of the court</w:t>
      </w:r>
      <w:r w:rsidR="00CF3DD6" w:rsidRPr="003877E2">
        <w:rPr>
          <w:sz w:val="28"/>
          <w:szCs w:val="28"/>
        </w:rPr>
        <w:t xml:space="preserve">. Based on the conclusion I have reached on this issue, it is unnecessary to consider </w:t>
      </w:r>
      <w:r w:rsidR="00525B3F" w:rsidRPr="003877E2">
        <w:rPr>
          <w:sz w:val="28"/>
          <w:szCs w:val="28"/>
        </w:rPr>
        <w:t xml:space="preserve">the </w:t>
      </w:r>
      <w:r w:rsidR="00CF3DD6" w:rsidRPr="003877E2">
        <w:rPr>
          <w:sz w:val="28"/>
          <w:szCs w:val="28"/>
        </w:rPr>
        <w:t xml:space="preserve">other reasons advanced by the Curator as to why the sand value should not have been so included. </w:t>
      </w:r>
    </w:p>
    <w:p w14:paraId="2B239884" w14:textId="77777777" w:rsidR="007C60D6" w:rsidRDefault="007C60D6" w:rsidP="005D6CED">
      <w:pPr>
        <w:rPr>
          <w:b/>
          <w:sz w:val="28"/>
          <w:szCs w:val="28"/>
        </w:rPr>
      </w:pPr>
    </w:p>
    <w:p w14:paraId="7CE256D6" w14:textId="273B5B20" w:rsidR="004F759B" w:rsidRPr="00FB564C" w:rsidRDefault="00C4777E">
      <w:pPr>
        <w:ind w:left="900" w:hanging="900"/>
        <w:rPr>
          <w:b/>
          <w:sz w:val="28"/>
          <w:szCs w:val="28"/>
        </w:rPr>
      </w:pPr>
      <w:r w:rsidRPr="00FB564C">
        <w:rPr>
          <w:b/>
          <w:sz w:val="28"/>
          <w:szCs w:val="28"/>
        </w:rPr>
        <w:t>The land value</w:t>
      </w:r>
    </w:p>
    <w:p w14:paraId="122A40AA" w14:textId="70D8ED6C" w:rsidR="00DD637C" w:rsidRPr="003877E2" w:rsidRDefault="003877E2" w:rsidP="003877E2">
      <w:pPr>
        <w:rPr>
          <w:sz w:val="28"/>
          <w:szCs w:val="28"/>
        </w:rPr>
      </w:pPr>
      <w:r w:rsidRPr="00FB564C">
        <w:rPr>
          <w:sz w:val="28"/>
          <w:szCs w:val="28"/>
        </w:rPr>
        <w:t>[76]</w:t>
      </w:r>
      <w:r w:rsidRPr="00FB564C">
        <w:rPr>
          <w:sz w:val="28"/>
          <w:szCs w:val="28"/>
        </w:rPr>
        <w:tab/>
      </w:r>
      <w:r w:rsidR="0072219B" w:rsidRPr="003877E2">
        <w:rPr>
          <w:sz w:val="28"/>
          <w:szCs w:val="28"/>
        </w:rPr>
        <w:t>The parties agreed that the variables relating to the land value are the market values on the land on the dates of the first, second and third share transactions of 2</w:t>
      </w:r>
      <w:r w:rsidR="003B21BA" w:rsidRPr="003877E2">
        <w:rPr>
          <w:sz w:val="28"/>
          <w:szCs w:val="28"/>
        </w:rPr>
        <w:t>3</w:t>
      </w:r>
      <w:r w:rsidR="0072219B" w:rsidRPr="003877E2">
        <w:rPr>
          <w:sz w:val="28"/>
          <w:szCs w:val="28"/>
        </w:rPr>
        <w:t xml:space="preserve"> April 2007, 23 August 2007 and 5 December 2007 respectively. The Curator contended that the market value is R160 million as per Veldman’s </w:t>
      </w:r>
      <w:r w:rsidR="008002F7" w:rsidRPr="003877E2">
        <w:rPr>
          <w:sz w:val="28"/>
          <w:szCs w:val="28"/>
        </w:rPr>
        <w:t>‘</w:t>
      </w:r>
      <w:r w:rsidR="0072219B" w:rsidRPr="003877E2">
        <w:rPr>
          <w:sz w:val="28"/>
          <w:szCs w:val="28"/>
        </w:rPr>
        <w:t>as is</w:t>
      </w:r>
      <w:r w:rsidR="008002F7" w:rsidRPr="003877E2">
        <w:rPr>
          <w:sz w:val="28"/>
          <w:szCs w:val="28"/>
        </w:rPr>
        <w:t>’</w:t>
      </w:r>
      <w:r w:rsidR="0072219B" w:rsidRPr="003877E2">
        <w:rPr>
          <w:sz w:val="28"/>
          <w:szCs w:val="28"/>
        </w:rPr>
        <w:t xml:space="preserve"> valuation. </w:t>
      </w:r>
      <w:r w:rsidR="00E76D69" w:rsidRPr="003877E2">
        <w:rPr>
          <w:sz w:val="28"/>
          <w:szCs w:val="28"/>
        </w:rPr>
        <w:t>The appellants contended that the market value should be the Margolius 31 December 2007 valuation of R211 million discounted to the date of transactions</w:t>
      </w:r>
      <w:r w:rsidR="00C4777E" w:rsidRPr="003877E2">
        <w:rPr>
          <w:sz w:val="28"/>
          <w:szCs w:val="28"/>
        </w:rPr>
        <w:t xml:space="preserve"> in respect of the share transactions</w:t>
      </w:r>
      <w:r w:rsidR="00E76D69" w:rsidRPr="003877E2">
        <w:rPr>
          <w:sz w:val="28"/>
          <w:szCs w:val="28"/>
        </w:rPr>
        <w:t xml:space="preserve">. The parties agreed that the land value for the </w:t>
      </w:r>
      <w:r w:rsidR="00E76D69" w:rsidRPr="003877E2">
        <w:rPr>
          <w:sz w:val="28"/>
          <w:szCs w:val="28"/>
        </w:rPr>
        <w:lastRenderedPageBreak/>
        <w:t>calculation of the NAV for the fourth transaction</w:t>
      </w:r>
      <w:r w:rsidR="006034D2" w:rsidRPr="003877E2">
        <w:rPr>
          <w:sz w:val="28"/>
          <w:szCs w:val="28"/>
        </w:rPr>
        <w:t xml:space="preserve"> of 29 April 2008</w:t>
      </w:r>
      <w:r w:rsidR="00E76D69" w:rsidRPr="003877E2">
        <w:rPr>
          <w:sz w:val="28"/>
          <w:szCs w:val="28"/>
        </w:rPr>
        <w:t xml:space="preserve"> is the Margolius 31 December 2007 valuation escalated to 5% per annum to the transaction date. </w:t>
      </w:r>
    </w:p>
    <w:p w14:paraId="79FF630A" w14:textId="77777777" w:rsidR="00AA675C" w:rsidRPr="00FB564C" w:rsidRDefault="00AA675C" w:rsidP="000557D0">
      <w:pPr>
        <w:pStyle w:val="ListParagraph"/>
        <w:ind w:left="0"/>
        <w:rPr>
          <w:sz w:val="28"/>
          <w:szCs w:val="28"/>
        </w:rPr>
      </w:pPr>
    </w:p>
    <w:p w14:paraId="55877A0E" w14:textId="0044F9B1" w:rsidR="00DD637C" w:rsidRPr="003877E2" w:rsidRDefault="003877E2" w:rsidP="003877E2">
      <w:pPr>
        <w:rPr>
          <w:sz w:val="28"/>
          <w:szCs w:val="28"/>
        </w:rPr>
      </w:pPr>
      <w:r w:rsidRPr="00FB564C">
        <w:rPr>
          <w:sz w:val="28"/>
          <w:szCs w:val="28"/>
        </w:rPr>
        <w:t>[77]</w:t>
      </w:r>
      <w:r w:rsidRPr="00FB564C">
        <w:rPr>
          <w:sz w:val="28"/>
          <w:szCs w:val="28"/>
        </w:rPr>
        <w:tab/>
      </w:r>
      <w:r w:rsidR="002D32C4" w:rsidRPr="003877E2">
        <w:rPr>
          <w:sz w:val="28"/>
          <w:szCs w:val="28"/>
        </w:rPr>
        <w:t xml:space="preserve">In his valuation dated 2 February 2007, </w:t>
      </w:r>
      <w:r w:rsidR="00AA675C" w:rsidRPr="003877E2">
        <w:rPr>
          <w:sz w:val="28"/>
          <w:szCs w:val="28"/>
        </w:rPr>
        <w:t>Veld</w:t>
      </w:r>
      <w:r w:rsidR="00091ED4" w:rsidRPr="003877E2">
        <w:rPr>
          <w:sz w:val="28"/>
          <w:szCs w:val="28"/>
        </w:rPr>
        <w:t>s</w:t>
      </w:r>
      <w:r w:rsidR="00AA675C" w:rsidRPr="003877E2">
        <w:rPr>
          <w:sz w:val="28"/>
          <w:szCs w:val="28"/>
        </w:rPr>
        <w:t xml:space="preserve">man utilised a ‘township development method’ to establish the most likely and best development that could take place on the property. Based on the identified potential of development </w:t>
      </w:r>
      <w:r w:rsidR="00BB3F47" w:rsidRPr="003877E2">
        <w:rPr>
          <w:sz w:val="28"/>
          <w:szCs w:val="28"/>
        </w:rPr>
        <w:t>(</w:t>
      </w:r>
      <w:r w:rsidR="00AA675C" w:rsidRPr="003877E2">
        <w:rPr>
          <w:sz w:val="28"/>
          <w:szCs w:val="28"/>
        </w:rPr>
        <w:t xml:space="preserve">subject to guidelines and regulations </w:t>
      </w:r>
      <w:r w:rsidR="00DD637C" w:rsidRPr="003877E2">
        <w:rPr>
          <w:sz w:val="28"/>
          <w:szCs w:val="28"/>
        </w:rPr>
        <w:t>to</w:t>
      </w:r>
      <w:r w:rsidR="00AA675C" w:rsidRPr="003877E2">
        <w:rPr>
          <w:sz w:val="28"/>
          <w:szCs w:val="28"/>
        </w:rPr>
        <w:t xml:space="preserve"> realise </w:t>
      </w:r>
      <w:r w:rsidR="00BB3F47" w:rsidRPr="003877E2">
        <w:rPr>
          <w:sz w:val="28"/>
          <w:szCs w:val="28"/>
        </w:rPr>
        <w:t xml:space="preserve">that </w:t>
      </w:r>
      <w:r w:rsidR="00AA675C" w:rsidRPr="003877E2">
        <w:rPr>
          <w:sz w:val="28"/>
          <w:szCs w:val="28"/>
        </w:rPr>
        <w:t>potential</w:t>
      </w:r>
      <w:r w:rsidR="00BB3F47" w:rsidRPr="003877E2">
        <w:rPr>
          <w:sz w:val="28"/>
          <w:szCs w:val="28"/>
        </w:rPr>
        <w:t>)</w:t>
      </w:r>
      <w:r w:rsidR="00AA675C" w:rsidRPr="003877E2">
        <w:rPr>
          <w:sz w:val="28"/>
          <w:szCs w:val="28"/>
        </w:rPr>
        <w:t xml:space="preserve"> Veld</w:t>
      </w:r>
      <w:r w:rsidR="00091ED4" w:rsidRPr="003877E2">
        <w:rPr>
          <w:sz w:val="28"/>
          <w:szCs w:val="28"/>
        </w:rPr>
        <w:t>s</w:t>
      </w:r>
      <w:r w:rsidR="00AA675C" w:rsidRPr="003877E2">
        <w:rPr>
          <w:sz w:val="28"/>
          <w:szCs w:val="28"/>
        </w:rPr>
        <w:t xml:space="preserve">man gave a rounded valuation figure of R260 million. In his executive summary, </w:t>
      </w:r>
      <w:r w:rsidR="00DD637C" w:rsidRPr="003877E2">
        <w:rPr>
          <w:sz w:val="28"/>
          <w:szCs w:val="28"/>
        </w:rPr>
        <w:t>he provided a further figure, stating</w:t>
      </w:r>
      <w:r w:rsidR="00AA675C" w:rsidRPr="003877E2">
        <w:rPr>
          <w:sz w:val="28"/>
          <w:szCs w:val="28"/>
        </w:rPr>
        <w:t xml:space="preserve"> that ‘[i]n its existing “Agricultural” state a valuation of R160,000,000 is deemed to be market related’</w:t>
      </w:r>
      <w:r w:rsidR="00D7664C" w:rsidRPr="003877E2">
        <w:rPr>
          <w:sz w:val="28"/>
          <w:szCs w:val="28"/>
        </w:rPr>
        <w:t>.</w:t>
      </w:r>
      <w:r w:rsidR="00AA675C" w:rsidRPr="003877E2">
        <w:rPr>
          <w:sz w:val="28"/>
          <w:szCs w:val="28"/>
        </w:rPr>
        <w:t xml:space="preserve"> </w:t>
      </w:r>
    </w:p>
    <w:p w14:paraId="49625C01" w14:textId="77777777" w:rsidR="00AA675C" w:rsidRPr="00FB564C" w:rsidRDefault="00AA675C" w:rsidP="000557D0">
      <w:pPr>
        <w:pStyle w:val="ListParagraph"/>
        <w:ind w:left="0"/>
        <w:rPr>
          <w:sz w:val="28"/>
          <w:szCs w:val="28"/>
        </w:rPr>
      </w:pPr>
    </w:p>
    <w:p w14:paraId="553B76C1" w14:textId="0B4460D2" w:rsidR="00F9330C" w:rsidRPr="00FB564C" w:rsidRDefault="003877E2" w:rsidP="003877E2">
      <w:r w:rsidRPr="00FB564C">
        <w:rPr>
          <w:sz w:val="28"/>
          <w:szCs w:val="28"/>
        </w:rPr>
        <w:t>[78]</w:t>
      </w:r>
      <w:r w:rsidRPr="00FB564C">
        <w:rPr>
          <w:sz w:val="28"/>
          <w:szCs w:val="28"/>
        </w:rPr>
        <w:tab/>
      </w:r>
      <w:r w:rsidR="00F9330C" w:rsidRPr="003877E2">
        <w:rPr>
          <w:sz w:val="28"/>
          <w:szCs w:val="28"/>
        </w:rPr>
        <w:t>T</w:t>
      </w:r>
      <w:r w:rsidR="004D180E" w:rsidRPr="003877E2">
        <w:rPr>
          <w:sz w:val="28"/>
          <w:szCs w:val="28"/>
        </w:rPr>
        <w:t xml:space="preserve">he high court found </w:t>
      </w:r>
      <w:r w:rsidR="00F9330C" w:rsidRPr="003877E2">
        <w:rPr>
          <w:sz w:val="28"/>
          <w:szCs w:val="28"/>
        </w:rPr>
        <w:t xml:space="preserve">that at the </w:t>
      </w:r>
      <w:r w:rsidR="001810A9" w:rsidRPr="003877E2">
        <w:rPr>
          <w:sz w:val="28"/>
          <w:szCs w:val="28"/>
        </w:rPr>
        <w:t xml:space="preserve">relevant </w:t>
      </w:r>
      <w:r w:rsidR="00F9330C" w:rsidRPr="003877E2">
        <w:rPr>
          <w:sz w:val="28"/>
          <w:szCs w:val="28"/>
        </w:rPr>
        <w:t xml:space="preserve">time, </w:t>
      </w:r>
      <w:r w:rsidR="004D180E" w:rsidRPr="003877E2">
        <w:rPr>
          <w:sz w:val="28"/>
          <w:szCs w:val="28"/>
        </w:rPr>
        <w:t xml:space="preserve">there was no development on the properties, and no clear view on the prospects of obtaining developmental rights. Therefore, </w:t>
      </w:r>
      <w:r w:rsidR="0099638E" w:rsidRPr="003877E2">
        <w:rPr>
          <w:sz w:val="28"/>
          <w:szCs w:val="28"/>
        </w:rPr>
        <w:t xml:space="preserve">the assumption upon which the </w:t>
      </w:r>
      <w:r w:rsidR="004D180E" w:rsidRPr="003877E2">
        <w:rPr>
          <w:sz w:val="28"/>
          <w:szCs w:val="28"/>
        </w:rPr>
        <w:t>valu</w:t>
      </w:r>
      <w:r w:rsidR="0099638E" w:rsidRPr="003877E2">
        <w:rPr>
          <w:sz w:val="28"/>
          <w:szCs w:val="28"/>
        </w:rPr>
        <w:t>ation</w:t>
      </w:r>
      <w:r w:rsidR="004D180E" w:rsidRPr="003877E2">
        <w:rPr>
          <w:sz w:val="28"/>
          <w:szCs w:val="28"/>
        </w:rPr>
        <w:t xml:space="preserve"> </w:t>
      </w:r>
      <w:r w:rsidR="0099638E" w:rsidRPr="003877E2">
        <w:rPr>
          <w:sz w:val="28"/>
          <w:szCs w:val="28"/>
        </w:rPr>
        <w:t xml:space="preserve">rested </w:t>
      </w:r>
      <w:r w:rsidR="004D180E" w:rsidRPr="003877E2">
        <w:rPr>
          <w:sz w:val="28"/>
          <w:szCs w:val="28"/>
        </w:rPr>
        <w:t>was entirely premature.</w:t>
      </w:r>
      <w:r w:rsidR="002D32C4" w:rsidRPr="003877E2">
        <w:rPr>
          <w:sz w:val="28"/>
          <w:szCs w:val="28"/>
        </w:rPr>
        <w:t xml:space="preserve"> It </w:t>
      </w:r>
      <w:r w:rsidR="004D180E" w:rsidRPr="003877E2">
        <w:rPr>
          <w:sz w:val="28"/>
          <w:szCs w:val="28"/>
        </w:rPr>
        <w:t>had reservations about the appellants’ reliance on Veldsman’s R260 million valuation. It questioned amongst other things ‘whether or not Veldsman</w:t>
      </w:r>
      <w:r w:rsidR="0099638E" w:rsidRPr="003877E2">
        <w:rPr>
          <w:sz w:val="28"/>
          <w:szCs w:val="28"/>
        </w:rPr>
        <w:t>[’s]</w:t>
      </w:r>
      <w:r w:rsidR="004D180E" w:rsidRPr="003877E2">
        <w:rPr>
          <w:sz w:val="28"/>
          <w:szCs w:val="28"/>
        </w:rPr>
        <w:t xml:space="preserve"> valuation of R260 million [was] sound in its factual and methodical assumptions and ultimately, its conclusions’</w:t>
      </w:r>
      <w:r w:rsidR="008002F7" w:rsidRPr="003877E2">
        <w:rPr>
          <w:sz w:val="28"/>
          <w:szCs w:val="28"/>
        </w:rPr>
        <w:t>.</w:t>
      </w:r>
      <w:r w:rsidR="004D180E" w:rsidRPr="003877E2">
        <w:rPr>
          <w:sz w:val="28"/>
          <w:szCs w:val="28"/>
        </w:rPr>
        <w:t xml:space="preserve"> </w:t>
      </w:r>
    </w:p>
    <w:p w14:paraId="6547B2A3" w14:textId="77777777" w:rsidR="00F9330C" w:rsidRPr="00FB564C" w:rsidRDefault="00F9330C">
      <w:pPr>
        <w:pStyle w:val="ListParagraph"/>
      </w:pPr>
    </w:p>
    <w:p w14:paraId="0A9CFFF8" w14:textId="0790F3E4" w:rsidR="004D180E" w:rsidRPr="003877E2" w:rsidRDefault="003877E2" w:rsidP="003877E2">
      <w:pPr>
        <w:rPr>
          <w:sz w:val="28"/>
          <w:szCs w:val="28"/>
        </w:rPr>
      </w:pPr>
      <w:r w:rsidRPr="00FB564C">
        <w:rPr>
          <w:sz w:val="28"/>
          <w:szCs w:val="28"/>
        </w:rPr>
        <w:t>[79]</w:t>
      </w:r>
      <w:r w:rsidRPr="00FB564C">
        <w:rPr>
          <w:sz w:val="28"/>
          <w:szCs w:val="28"/>
        </w:rPr>
        <w:tab/>
      </w:r>
      <w:r w:rsidR="004D180E" w:rsidRPr="003877E2">
        <w:rPr>
          <w:sz w:val="28"/>
          <w:szCs w:val="28"/>
        </w:rPr>
        <w:t>The high court noted that Veld</w:t>
      </w:r>
      <w:r w:rsidR="00B551A1" w:rsidRPr="003877E2">
        <w:rPr>
          <w:sz w:val="28"/>
          <w:szCs w:val="28"/>
        </w:rPr>
        <w:t>s</w:t>
      </w:r>
      <w:r w:rsidR="004D180E" w:rsidRPr="003877E2">
        <w:rPr>
          <w:sz w:val="28"/>
          <w:szCs w:val="28"/>
        </w:rPr>
        <w:t xml:space="preserve">man’s report lacked clarity as to what information led him to the township development method, ‘but it would appear that the information relates to the four comparable sales reflected therein. Without </w:t>
      </w:r>
      <w:r w:rsidR="002D32C4" w:rsidRPr="003877E2">
        <w:rPr>
          <w:sz w:val="28"/>
          <w:szCs w:val="28"/>
        </w:rPr>
        <w:t xml:space="preserve">the </w:t>
      </w:r>
      <w:r w:rsidR="004D180E" w:rsidRPr="003877E2">
        <w:rPr>
          <w:sz w:val="28"/>
          <w:szCs w:val="28"/>
        </w:rPr>
        <w:t>interrogation of his assumptions, it is difficult to make a finding as to whether they are logical or illogical or the weight that must be attached to the valuation</w:t>
      </w:r>
      <w:r w:rsidR="00F9330C" w:rsidRPr="003877E2">
        <w:rPr>
          <w:sz w:val="28"/>
          <w:szCs w:val="28"/>
        </w:rPr>
        <w:t>’</w:t>
      </w:r>
      <w:r w:rsidR="008002F7" w:rsidRPr="003877E2">
        <w:rPr>
          <w:sz w:val="28"/>
          <w:szCs w:val="28"/>
        </w:rPr>
        <w:t>.</w:t>
      </w:r>
      <w:r w:rsidR="004D180E" w:rsidRPr="003877E2">
        <w:rPr>
          <w:sz w:val="28"/>
          <w:szCs w:val="28"/>
        </w:rPr>
        <w:t xml:space="preserve"> These findings can</w:t>
      </w:r>
      <w:r w:rsidR="00871913" w:rsidRPr="003877E2">
        <w:rPr>
          <w:sz w:val="28"/>
          <w:szCs w:val="28"/>
        </w:rPr>
        <w:t xml:space="preserve"> also not be faulted</w:t>
      </w:r>
      <w:r w:rsidR="00F9330C" w:rsidRPr="003877E2">
        <w:rPr>
          <w:sz w:val="28"/>
          <w:szCs w:val="28"/>
        </w:rPr>
        <w:t xml:space="preserve">.  </w:t>
      </w:r>
    </w:p>
    <w:p w14:paraId="44147E06" w14:textId="77777777" w:rsidR="004D180E" w:rsidRPr="00FB564C" w:rsidRDefault="004D180E">
      <w:pPr>
        <w:rPr>
          <w:sz w:val="28"/>
          <w:szCs w:val="28"/>
        </w:rPr>
      </w:pPr>
    </w:p>
    <w:p w14:paraId="6133771B" w14:textId="5948BC02" w:rsidR="004D180E" w:rsidRPr="003877E2" w:rsidRDefault="003877E2" w:rsidP="003877E2">
      <w:pPr>
        <w:rPr>
          <w:sz w:val="28"/>
          <w:szCs w:val="28"/>
        </w:rPr>
      </w:pPr>
      <w:r w:rsidRPr="00FB564C">
        <w:rPr>
          <w:sz w:val="28"/>
          <w:szCs w:val="28"/>
        </w:rPr>
        <w:lastRenderedPageBreak/>
        <w:t>[80]</w:t>
      </w:r>
      <w:r w:rsidRPr="00FB564C">
        <w:rPr>
          <w:sz w:val="28"/>
          <w:szCs w:val="28"/>
        </w:rPr>
        <w:tab/>
      </w:r>
      <w:r w:rsidR="00F9330C" w:rsidRPr="003877E2">
        <w:rPr>
          <w:sz w:val="28"/>
          <w:szCs w:val="28"/>
        </w:rPr>
        <w:t>I</w:t>
      </w:r>
      <w:r w:rsidR="004D180E" w:rsidRPr="003877E2">
        <w:rPr>
          <w:sz w:val="28"/>
          <w:szCs w:val="28"/>
        </w:rPr>
        <w:t xml:space="preserve">t </w:t>
      </w:r>
      <w:r w:rsidR="00525B3F" w:rsidRPr="003877E2">
        <w:rPr>
          <w:sz w:val="28"/>
          <w:szCs w:val="28"/>
        </w:rPr>
        <w:t xml:space="preserve">is </w:t>
      </w:r>
      <w:r w:rsidR="004D180E" w:rsidRPr="003877E2">
        <w:rPr>
          <w:sz w:val="28"/>
          <w:szCs w:val="28"/>
        </w:rPr>
        <w:t xml:space="preserve">unclear what informed the choice of the higher value of R260 million when at the time, the prospects of development were still being investigated. Moreover, the ‘as is’ value of the properties which was based on the existing state of the properties and </w:t>
      </w:r>
      <w:r w:rsidR="00B551A1" w:rsidRPr="003877E2">
        <w:rPr>
          <w:sz w:val="28"/>
          <w:szCs w:val="28"/>
        </w:rPr>
        <w:t xml:space="preserve">which was </w:t>
      </w:r>
      <w:r w:rsidR="004D180E" w:rsidRPr="003877E2">
        <w:rPr>
          <w:sz w:val="28"/>
          <w:szCs w:val="28"/>
        </w:rPr>
        <w:t xml:space="preserve">a lot more certain, </w:t>
      </w:r>
      <w:r w:rsidR="00F9330C" w:rsidRPr="003877E2">
        <w:rPr>
          <w:sz w:val="28"/>
          <w:szCs w:val="28"/>
        </w:rPr>
        <w:t xml:space="preserve">had </w:t>
      </w:r>
      <w:r w:rsidR="004D180E" w:rsidRPr="003877E2">
        <w:rPr>
          <w:sz w:val="28"/>
          <w:szCs w:val="28"/>
        </w:rPr>
        <w:t>also</w:t>
      </w:r>
      <w:r w:rsidR="00F9330C" w:rsidRPr="003877E2">
        <w:rPr>
          <w:sz w:val="28"/>
          <w:szCs w:val="28"/>
        </w:rPr>
        <w:t xml:space="preserve"> been</w:t>
      </w:r>
      <w:r w:rsidR="004D180E" w:rsidRPr="003877E2">
        <w:rPr>
          <w:sz w:val="28"/>
          <w:szCs w:val="28"/>
        </w:rPr>
        <w:t xml:space="preserve"> provided. </w:t>
      </w:r>
    </w:p>
    <w:p w14:paraId="0E6D393A" w14:textId="77777777" w:rsidR="00871913" w:rsidRPr="00FB564C" w:rsidRDefault="00871913" w:rsidP="008F4835">
      <w:pPr>
        <w:pStyle w:val="ListParagraph"/>
        <w:ind w:left="0"/>
        <w:rPr>
          <w:sz w:val="28"/>
          <w:szCs w:val="28"/>
        </w:rPr>
      </w:pPr>
    </w:p>
    <w:p w14:paraId="0F392790" w14:textId="41B6F823" w:rsidR="004D180E" w:rsidRPr="003877E2" w:rsidRDefault="003877E2" w:rsidP="003877E2">
      <w:pPr>
        <w:rPr>
          <w:sz w:val="28"/>
          <w:szCs w:val="28"/>
        </w:rPr>
      </w:pPr>
      <w:r w:rsidRPr="00FB564C">
        <w:rPr>
          <w:sz w:val="28"/>
          <w:szCs w:val="28"/>
        </w:rPr>
        <w:t>[81]</w:t>
      </w:r>
      <w:r w:rsidRPr="00FB564C">
        <w:rPr>
          <w:sz w:val="28"/>
          <w:szCs w:val="28"/>
        </w:rPr>
        <w:tab/>
      </w:r>
      <w:r w:rsidR="004D180E" w:rsidRPr="003877E2">
        <w:rPr>
          <w:sz w:val="28"/>
          <w:szCs w:val="28"/>
        </w:rPr>
        <w:t>On appeal</w:t>
      </w:r>
      <w:r w:rsidR="0099638E" w:rsidRPr="003877E2">
        <w:rPr>
          <w:sz w:val="28"/>
          <w:szCs w:val="28"/>
        </w:rPr>
        <w:t>,</w:t>
      </w:r>
      <w:r w:rsidR="004D180E" w:rsidRPr="003877E2">
        <w:rPr>
          <w:sz w:val="28"/>
          <w:szCs w:val="28"/>
        </w:rPr>
        <w:t xml:space="preserve"> th</w:t>
      </w:r>
      <w:r w:rsidR="00FD59C1" w:rsidRPr="003877E2">
        <w:rPr>
          <w:sz w:val="28"/>
          <w:szCs w:val="28"/>
        </w:rPr>
        <w:t>e</w:t>
      </w:r>
      <w:r w:rsidR="004D180E" w:rsidRPr="003877E2">
        <w:rPr>
          <w:sz w:val="28"/>
          <w:szCs w:val="28"/>
        </w:rPr>
        <w:t xml:space="preserve"> appellants contended that the market value should be Margolius’ 31 December </w:t>
      </w:r>
      <w:r w:rsidR="004A4670" w:rsidRPr="003877E2">
        <w:rPr>
          <w:sz w:val="28"/>
          <w:szCs w:val="28"/>
        </w:rPr>
        <w:t xml:space="preserve">2007 </w:t>
      </w:r>
      <w:r w:rsidR="004D180E" w:rsidRPr="003877E2">
        <w:rPr>
          <w:sz w:val="28"/>
          <w:szCs w:val="28"/>
        </w:rPr>
        <w:t>value of R211 million. Margolius</w:t>
      </w:r>
      <w:r w:rsidR="00FD59C1" w:rsidRPr="003877E2">
        <w:rPr>
          <w:sz w:val="28"/>
          <w:szCs w:val="28"/>
        </w:rPr>
        <w:t>, however,</w:t>
      </w:r>
      <w:r w:rsidR="004D180E" w:rsidRPr="003877E2">
        <w:rPr>
          <w:sz w:val="28"/>
          <w:szCs w:val="28"/>
        </w:rPr>
        <w:t xml:space="preserve"> did not testify as to any earlier 2007 values. Therefore, the earliest point that the appellants could have theoretically begun to envisage development was 31 December 2007, when the preliminary studies were furnished by Olden. Even if that were so, the high court found ‘the properties had no development rights and Olden had no</w:t>
      </w:r>
      <w:r w:rsidR="007153BC" w:rsidRPr="003877E2">
        <w:rPr>
          <w:sz w:val="28"/>
          <w:szCs w:val="28"/>
        </w:rPr>
        <w:t>t</w:t>
      </w:r>
      <w:r w:rsidR="004D180E" w:rsidRPr="003877E2">
        <w:rPr>
          <w:sz w:val="28"/>
          <w:szCs w:val="28"/>
        </w:rPr>
        <w:t xml:space="preserve"> yet been able to express a clear view as to the prospects of obtaining those rights’</w:t>
      </w:r>
      <w:r w:rsidR="008002F7" w:rsidRPr="003877E2">
        <w:rPr>
          <w:sz w:val="28"/>
          <w:szCs w:val="28"/>
        </w:rPr>
        <w:t>.</w:t>
      </w:r>
      <w:r w:rsidR="004D180E" w:rsidRPr="003877E2">
        <w:rPr>
          <w:sz w:val="28"/>
          <w:szCs w:val="28"/>
        </w:rPr>
        <w:t xml:space="preserve"> </w:t>
      </w:r>
    </w:p>
    <w:p w14:paraId="1EAF695A" w14:textId="77777777" w:rsidR="004D180E" w:rsidRPr="00FB564C" w:rsidRDefault="004D180E">
      <w:pPr>
        <w:pStyle w:val="ListParagraph"/>
        <w:ind w:left="0"/>
        <w:rPr>
          <w:sz w:val="28"/>
          <w:szCs w:val="28"/>
        </w:rPr>
      </w:pPr>
    </w:p>
    <w:p w14:paraId="3EF7AA62" w14:textId="1B2F5FFB" w:rsidR="004D180E" w:rsidRPr="003877E2" w:rsidRDefault="003877E2" w:rsidP="003877E2">
      <w:pPr>
        <w:rPr>
          <w:sz w:val="28"/>
          <w:szCs w:val="28"/>
        </w:rPr>
      </w:pPr>
      <w:r w:rsidRPr="00FB564C">
        <w:rPr>
          <w:sz w:val="28"/>
          <w:szCs w:val="28"/>
        </w:rPr>
        <w:t>[82]</w:t>
      </w:r>
      <w:r w:rsidRPr="00FB564C">
        <w:rPr>
          <w:sz w:val="28"/>
          <w:szCs w:val="28"/>
        </w:rPr>
        <w:tab/>
      </w:r>
      <w:r w:rsidR="004D180E" w:rsidRPr="003877E2">
        <w:rPr>
          <w:sz w:val="28"/>
          <w:szCs w:val="28"/>
        </w:rPr>
        <w:t xml:space="preserve">What is more concerning, though, are the inherently contradictory </w:t>
      </w:r>
      <w:r w:rsidR="00614AC8" w:rsidRPr="003877E2">
        <w:rPr>
          <w:sz w:val="28"/>
          <w:szCs w:val="28"/>
        </w:rPr>
        <w:t xml:space="preserve">positions </w:t>
      </w:r>
      <w:r w:rsidR="004D180E" w:rsidRPr="003877E2">
        <w:rPr>
          <w:sz w:val="28"/>
          <w:szCs w:val="28"/>
        </w:rPr>
        <w:t>adopted by the appellants.</w:t>
      </w:r>
      <w:r w:rsidR="004A4670" w:rsidRPr="003877E2">
        <w:rPr>
          <w:sz w:val="28"/>
          <w:szCs w:val="28"/>
        </w:rPr>
        <w:t xml:space="preserve"> </w:t>
      </w:r>
      <w:r w:rsidR="001810A9" w:rsidRPr="003877E2">
        <w:rPr>
          <w:sz w:val="28"/>
          <w:szCs w:val="28"/>
        </w:rPr>
        <w:t>On the one hand</w:t>
      </w:r>
      <w:r w:rsidR="0099638E" w:rsidRPr="003877E2">
        <w:rPr>
          <w:sz w:val="28"/>
          <w:szCs w:val="28"/>
        </w:rPr>
        <w:t>,</w:t>
      </w:r>
      <w:r w:rsidR="004D180E" w:rsidRPr="003877E2">
        <w:rPr>
          <w:sz w:val="28"/>
          <w:szCs w:val="28"/>
        </w:rPr>
        <w:t xml:space="preserve"> the appellants argue that as at early 2007, it was clear that the properties presented a developmental opportunity</w:t>
      </w:r>
      <w:r w:rsidR="00CA58D7" w:rsidRPr="003877E2">
        <w:rPr>
          <w:sz w:val="28"/>
          <w:szCs w:val="28"/>
        </w:rPr>
        <w:t xml:space="preserve">. </w:t>
      </w:r>
      <w:r w:rsidR="001810A9" w:rsidRPr="003877E2">
        <w:rPr>
          <w:sz w:val="28"/>
          <w:szCs w:val="28"/>
        </w:rPr>
        <w:t xml:space="preserve">On the other, in response to the </w:t>
      </w:r>
      <w:r w:rsidR="004A4670" w:rsidRPr="003877E2">
        <w:rPr>
          <w:sz w:val="28"/>
          <w:szCs w:val="28"/>
        </w:rPr>
        <w:t>C</w:t>
      </w:r>
      <w:r w:rsidR="001810A9" w:rsidRPr="003877E2">
        <w:rPr>
          <w:sz w:val="28"/>
          <w:szCs w:val="28"/>
        </w:rPr>
        <w:t>urator’s claim that there had been a diversion of a corporate opportunity</w:t>
      </w:r>
      <w:r w:rsidR="008C333F" w:rsidRPr="003877E2">
        <w:rPr>
          <w:sz w:val="28"/>
          <w:szCs w:val="28"/>
        </w:rPr>
        <w:t>, the</w:t>
      </w:r>
      <w:r w:rsidR="001810A9" w:rsidRPr="003877E2">
        <w:rPr>
          <w:sz w:val="28"/>
          <w:szCs w:val="28"/>
        </w:rPr>
        <w:t xml:space="preserve"> appellants contended that </w:t>
      </w:r>
      <w:r w:rsidR="004D180E" w:rsidRPr="003877E2">
        <w:rPr>
          <w:sz w:val="28"/>
          <w:szCs w:val="28"/>
        </w:rPr>
        <w:t xml:space="preserve">the </w:t>
      </w:r>
      <w:r w:rsidR="001810A9" w:rsidRPr="003877E2">
        <w:rPr>
          <w:sz w:val="28"/>
          <w:szCs w:val="28"/>
        </w:rPr>
        <w:t xml:space="preserve">opportunity </w:t>
      </w:r>
      <w:r w:rsidR="004D180E" w:rsidRPr="003877E2">
        <w:rPr>
          <w:sz w:val="28"/>
          <w:szCs w:val="28"/>
        </w:rPr>
        <w:t>was still speculative and very risky for it to be made available to PIF.</w:t>
      </w:r>
      <w:r w:rsidR="00943F13" w:rsidRPr="003877E2">
        <w:rPr>
          <w:sz w:val="28"/>
          <w:szCs w:val="28"/>
        </w:rPr>
        <w:t xml:space="preserve"> </w:t>
      </w:r>
    </w:p>
    <w:p w14:paraId="5CEB8548" w14:textId="77777777" w:rsidR="00CA58D7" w:rsidRPr="00FB564C" w:rsidRDefault="00CA58D7">
      <w:pPr>
        <w:pStyle w:val="ListParagraph"/>
        <w:rPr>
          <w:sz w:val="28"/>
          <w:szCs w:val="28"/>
        </w:rPr>
      </w:pPr>
    </w:p>
    <w:p w14:paraId="3E503B8E" w14:textId="30BBD190" w:rsidR="002F584D" w:rsidRPr="003877E2" w:rsidRDefault="003877E2" w:rsidP="003877E2">
      <w:pPr>
        <w:rPr>
          <w:sz w:val="28"/>
          <w:szCs w:val="28"/>
        </w:rPr>
      </w:pPr>
      <w:r w:rsidRPr="00FB564C">
        <w:rPr>
          <w:sz w:val="28"/>
          <w:szCs w:val="28"/>
        </w:rPr>
        <w:t>[83]</w:t>
      </w:r>
      <w:r w:rsidRPr="00FB564C">
        <w:rPr>
          <w:sz w:val="28"/>
          <w:szCs w:val="28"/>
        </w:rPr>
        <w:tab/>
      </w:r>
      <w:r w:rsidR="002F584D" w:rsidRPr="003877E2">
        <w:rPr>
          <w:sz w:val="28"/>
          <w:szCs w:val="28"/>
        </w:rPr>
        <w:t>As the high court found, the appellants could not have relied on Veld</w:t>
      </w:r>
      <w:r w:rsidR="00B551A1" w:rsidRPr="003877E2">
        <w:rPr>
          <w:sz w:val="28"/>
          <w:szCs w:val="28"/>
        </w:rPr>
        <w:t>s</w:t>
      </w:r>
      <w:r w:rsidR="002F584D" w:rsidRPr="003877E2">
        <w:rPr>
          <w:sz w:val="28"/>
          <w:szCs w:val="28"/>
        </w:rPr>
        <w:t>man’s December 2007 valuation, which placed the value at R403</w:t>
      </w:r>
      <w:r w:rsidR="00614AC8" w:rsidRPr="003877E2">
        <w:rPr>
          <w:sz w:val="28"/>
          <w:szCs w:val="28"/>
        </w:rPr>
        <w:t> </w:t>
      </w:r>
      <w:r w:rsidR="002F584D" w:rsidRPr="003877E2">
        <w:rPr>
          <w:sz w:val="28"/>
          <w:szCs w:val="28"/>
        </w:rPr>
        <w:t xml:space="preserve">million, less than a year after his first valuation of R160 million ‘as is’ and R260 million (township development). This was also </w:t>
      </w:r>
      <w:r w:rsidR="00525B3F" w:rsidRPr="003877E2">
        <w:rPr>
          <w:sz w:val="28"/>
          <w:szCs w:val="28"/>
        </w:rPr>
        <w:t xml:space="preserve">significantly </w:t>
      </w:r>
      <w:r w:rsidR="002F584D" w:rsidRPr="003877E2">
        <w:rPr>
          <w:sz w:val="28"/>
          <w:szCs w:val="28"/>
        </w:rPr>
        <w:t>above Margolius’ R211 million valuation. Added to that was the inclusion of R99</w:t>
      </w:r>
      <w:r w:rsidR="00614AC8" w:rsidRPr="003877E2">
        <w:rPr>
          <w:sz w:val="28"/>
          <w:szCs w:val="28"/>
        </w:rPr>
        <w:t> </w:t>
      </w:r>
      <w:r w:rsidR="002F584D" w:rsidRPr="003877E2">
        <w:rPr>
          <w:sz w:val="28"/>
          <w:szCs w:val="28"/>
        </w:rPr>
        <w:t>million for sand value.</w:t>
      </w:r>
    </w:p>
    <w:p w14:paraId="27099B24" w14:textId="77777777" w:rsidR="002F584D" w:rsidRPr="00FB564C" w:rsidRDefault="002F584D">
      <w:pPr>
        <w:pStyle w:val="ListParagraph"/>
        <w:rPr>
          <w:sz w:val="28"/>
          <w:szCs w:val="28"/>
        </w:rPr>
      </w:pPr>
    </w:p>
    <w:p w14:paraId="0FAA02BA" w14:textId="668CE44F" w:rsidR="004D180E" w:rsidRPr="003877E2" w:rsidRDefault="003877E2" w:rsidP="003877E2">
      <w:pPr>
        <w:rPr>
          <w:sz w:val="28"/>
          <w:szCs w:val="28"/>
        </w:rPr>
      </w:pPr>
      <w:r w:rsidRPr="00FB564C">
        <w:rPr>
          <w:sz w:val="28"/>
          <w:szCs w:val="28"/>
        </w:rPr>
        <w:lastRenderedPageBreak/>
        <w:t>[84]</w:t>
      </w:r>
      <w:r w:rsidRPr="00FB564C">
        <w:rPr>
          <w:sz w:val="28"/>
          <w:szCs w:val="28"/>
        </w:rPr>
        <w:tab/>
      </w:r>
      <w:r w:rsidR="00F63BB4" w:rsidRPr="003877E2">
        <w:rPr>
          <w:sz w:val="28"/>
          <w:szCs w:val="28"/>
        </w:rPr>
        <w:t>T</w:t>
      </w:r>
      <w:r w:rsidR="0074687A" w:rsidRPr="003877E2">
        <w:rPr>
          <w:sz w:val="28"/>
          <w:szCs w:val="28"/>
        </w:rPr>
        <w:t xml:space="preserve">he high court’s findings that the correct value to be applied in the circumstances was Veldsman’s valuation of R160 </w:t>
      </w:r>
      <w:r w:rsidR="0090631D" w:rsidRPr="003877E2">
        <w:rPr>
          <w:sz w:val="28"/>
          <w:szCs w:val="28"/>
        </w:rPr>
        <w:t>million must</w:t>
      </w:r>
      <w:r w:rsidR="00B551A1" w:rsidRPr="003877E2">
        <w:rPr>
          <w:sz w:val="28"/>
          <w:szCs w:val="28"/>
        </w:rPr>
        <w:t xml:space="preserve"> be </w:t>
      </w:r>
      <w:r w:rsidR="0074687A" w:rsidRPr="003877E2">
        <w:rPr>
          <w:sz w:val="28"/>
          <w:szCs w:val="28"/>
        </w:rPr>
        <w:t>confirmed</w:t>
      </w:r>
      <w:r w:rsidR="008C333F" w:rsidRPr="003877E2">
        <w:rPr>
          <w:sz w:val="28"/>
          <w:szCs w:val="28"/>
        </w:rPr>
        <w:t>.</w:t>
      </w:r>
      <w:r w:rsidR="0090631D" w:rsidRPr="003877E2">
        <w:rPr>
          <w:sz w:val="28"/>
          <w:szCs w:val="28"/>
        </w:rPr>
        <w:t xml:space="preserve"> </w:t>
      </w:r>
      <w:r w:rsidR="008C333F" w:rsidRPr="003877E2">
        <w:rPr>
          <w:sz w:val="28"/>
          <w:szCs w:val="28"/>
        </w:rPr>
        <w:t>N</w:t>
      </w:r>
      <w:r w:rsidR="002060D9" w:rsidRPr="003877E2">
        <w:rPr>
          <w:sz w:val="28"/>
          <w:szCs w:val="28"/>
        </w:rPr>
        <w:t xml:space="preserve">o sand value is to be added.  </w:t>
      </w:r>
      <w:r w:rsidR="0074687A" w:rsidRPr="003877E2">
        <w:rPr>
          <w:sz w:val="28"/>
          <w:szCs w:val="28"/>
        </w:rPr>
        <w:t xml:space="preserve"> </w:t>
      </w:r>
    </w:p>
    <w:p w14:paraId="08376075" w14:textId="77777777" w:rsidR="004D180E" w:rsidRPr="00FB564C" w:rsidRDefault="004D180E">
      <w:pPr>
        <w:pStyle w:val="ListParagraph"/>
        <w:ind w:left="0"/>
        <w:rPr>
          <w:sz w:val="28"/>
          <w:szCs w:val="28"/>
        </w:rPr>
      </w:pPr>
    </w:p>
    <w:p w14:paraId="574851D4" w14:textId="4C0C23E3" w:rsidR="00416E32" w:rsidRPr="003877E2" w:rsidRDefault="003877E2" w:rsidP="003877E2">
      <w:pPr>
        <w:rPr>
          <w:sz w:val="28"/>
          <w:szCs w:val="28"/>
        </w:rPr>
      </w:pPr>
      <w:r w:rsidRPr="00FB564C">
        <w:rPr>
          <w:sz w:val="28"/>
          <w:szCs w:val="28"/>
        </w:rPr>
        <w:t>[85]</w:t>
      </w:r>
      <w:r w:rsidRPr="00FB564C">
        <w:rPr>
          <w:sz w:val="28"/>
          <w:szCs w:val="28"/>
        </w:rPr>
        <w:tab/>
      </w:r>
      <w:r w:rsidR="00F63BB4" w:rsidRPr="003877E2">
        <w:rPr>
          <w:sz w:val="28"/>
          <w:szCs w:val="28"/>
        </w:rPr>
        <w:t>T</w:t>
      </w:r>
      <w:r w:rsidR="004D180E" w:rsidRPr="003877E2">
        <w:rPr>
          <w:sz w:val="28"/>
          <w:szCs w:val="28"/>
        </w:rPr>
        <w:t xml:space="preserve">he parties agreed that the land value for the calculation of the NAV </w:t>
      </w:r>
      <w:r w:rsidR="00F63BB4" w:rsidRPr="003877E2">
        <w:rPr>
          <w:sz w:val="28"/>
          <w:szCs w:val="28"/>
        </w:rPr>
        <w:t xml:space="preserve">as at 31 December 2007 </w:t>
      </w:r>
      <w:r w:rsidR="0090631D" w:rsidRPr="003877E2">
        <w:rPr>
          <w:sz w:val="28"/>
          <w:szCs w:val="28"/>
        </w:rPr>
        <w:t>was Margolius’</w:t>
      </w:r>
      <w:r w:rsidR="004D180E" w:rsidRPr="003877E2">
        <w:rPr>
          <w:sz w:val="28"/>
          <w:szCs w:val="28"/>
        </w:rPr>
        <w:t xml:space="preserve"> valuation of R211 million, escalated by 5% per annum</w:t>
      </w:r>
      <w:r w:rsidR="00F63BB4" w:rsidRPr="003877E2">
        <w:rPr>
          <w:sz w:val="28"/>
          <w:szCs w:val="28"/>
        </w:rPr>
        <w:t xml:space="preserve"> thereafter</w:t>
      </w:r>
      <w:r w:rsidR="004D180E" w:rsidRPr="003877E2">
        <w:rPr>
          <w:sz w:val="28"/>
          <w:szCs w:val="28"/>
        </w:rPr>
        <w:t xml:space="preserve">. Based on the agreed method of calculation, the amount of overpayment in each case </w:t>
      </w:r>
      <w:r w:rsidR="00525B3F" w:rsidRPr="003877E2">
        <w:rPr>
          <w:sz w:val="28"/>
          <w:szCs w:val="28"/>
        </w:rPr>
        <w:t xml:space="preserve">should be </w:t>
      </w:r>
      <w:r w:rsidR="0099638E" w:rsidRPr="003877E2">
        <w:rPr>
          <w:sz w:val="28"/>
          <w:szCs w:val="28"/>
        </w:rPr>
        <w:t xml:space="preserve">capable of </w:t>
      </w:r>
      <w:r w:rsidR="00525B3F" w:rsidRPr="003877E2">
        <w:rPr>
          <w:sz w:val="28"/>
          <w:szCs w:val="28"/>
        </w:rPr>
        <w:t xml:space="preserve">easy </w:t>
      </w:r>
      <w:r w:rsidR="0099638E" w:rsidRPr="003877E2">
        <w:rPr>
          <w:sz w:val="28"/>
          <w:szCs w:val="28"/>
        </w:rPr>
        <w:t>quantification</w:t>
      </w:r>
      <w:r w:rsidR="004D180E" w:rsidRPr="003877E2">
        <w:rPr>
          <w:sz w:val="28"/>
          <w:szCs w:val="28"/>
        </w:rPr>
        <w:t>.</w:t>
      </w:r>
      <w:r w:rsidR="00881024" w:rsidRPr="003877E2">
        <w:rPr>
          <w:sz w:val="28"/>
          <w:szCs w:val="28"/>
        </w:rPr>
        <w:t xml:space="preserve"> </w:t>
      </w:r>
    </w:p>
    <w:p w14:paraId="6F0F7401" w14:textId="77777777" w:rsidR="00BE47FC" w:rsidRPr="00FB564C" w:rsidRDefault="00BE47FC">
      <w:pPr>
        <w:pStyle w:val="ListParagraph"/>
        <w:rPr>
          <w:sz w:val="28"/>
          <w:szCs w:val="28"/>
        </w:rPr>
      </w:pPr>
    </w:p>
    <w:p w14:paraId="67ADC80D" w14:textId="77777777" w:rsidR="00416E32" w:rsidRPr="00FB564C" w:rsidRDefault="00416E32">
      <w:pPr>
        <w:pStyle w:val="ListParagraph"/>
        <w:ind w:hanging="720"/>
        <w:rPr>
          <w:b/>
          <w:sz w:val="28"/>
          <w:szCs w:val="28"/>
        </w:rPr>
      </w:pPr>
      <w:r w:rsidRPr="00FB564C">
        <w:rPr>
          <w:b/>
          <w:sz w:val="28"/>
          <w:szCs w:val="28"/>
        </w:rPr>
        <w:t xml:space="preserve">Partial alternative claim to the first claim </w:t>
      </w:r>
    </w:p>
    <w:p w14:paraId="10E0868C" w14:textId="6C872732" w:rsidR="00416E32" w:rsidRPr="003877E2" w:rsidRDefault="003877E2" w:rsidP="003877E2">
      <w:pPr>
        <w:rPr>
          <w:sz w:val="28"/>
          <w:szCs w:val="28"/>
        </w:rPr>
      </w:pPr>
      <w:r w:rsidRPr="00FB564C">
        <w:rPr>
          <w:sz w:val="28"/>
          <w:szCs w:val="28"/>
        </w:rPr>
        <w:t>[86]</w:t>
      </w:r>
      <w:r w:rsidRPr="00FB564C">
        <w:rPr>
          <w:sz w:val="28"/>
          <w:szCs w:val="28"/>
        </w:rPr>
        <w:tab/>
      </w:r>
      <w:r w:rsidR="00416E32" w:rsidRPr="003877E2">
        <w:rPr>
          <w:sz w:val="28"/>
          <w:szCs w:val="28"/>
        </w:rPr>
        <w:t xml:space="preserve">The high court found all of the share transactions were tainted by breaches of fiduciary duties on the part of Oaker and the affected persons and that Oaker was manifestly in a conflicted position. I agree. </w:t>
      </w:r>
      <w:r w:rsidR="00F27CD3" w:rsidRPr="003877E2">
        <w:rPr>
          <w:sz w:val="28"/>
          <w:szCs w:val="28"/>
        </w:rPr>
        <w:t xml:space="preserve">Johnny was not a defendant in the </w:t>
      </w:r>
      <w:r w:rsidR="0048071A" w:rsidRPr="003877E2">
        <w:rPr>
          <w:sz w:val="28"/>
          <w:szCs w:val="28"/>
        </w:rPr>
        <w:t xml:space="preserve">diversion of a </w:t>
      </w:r>
      <w:r w:rsidR="00F27CD3" w:rsidRPr="003877E2">
        <w:rPr>
          <w:sz w:val="28"/>
          <w:szCs w:val="28"/>
        </w:rPr>
        <w:t xml:space="preserve">corporate opportunity claim, so this claim remains relevant in respect of it. Insofar as Johnny is liable, its liability would in effect be joint and several with that of the appellants in the </w:t>
      </w:r>
      <w:r w:rsidR="008C2D2F" w:rsidRPr="003877E2">
        <w:rPr>
          <w:sz w:val="28"/>
          <w:szCs w:val="28"/>
        </w:rPr>
        <w:t xml:space="preserve">diversion of a </w:t>
      </w:r>
      <w:r w:rsidR="00F27CD3" w:rsidRPr="003877E2">
        <w:rPr>
          <w:sz w:val="28"/>
          <w:szCs w:val="28"/>
        </w:rPr>
        <w:t>corporate opportunity claim</w:t>
      </w:r>
      <w:r w:rsidR="008C2D2F" w:rsidRPr="003877E2">
        <w:rPr>
          <w:sz w:val="28"/>
          <w:szCs w:val="28"/>
        </w:rPr>
        <w:t>,</w:t>
      </w:r>
      <w:r w:rsidR="00F27CD3" w:rsidRPr="003877E2">
        <w:rPr>
          <w:sz w:val="28"/>
          <w:szCs w:val="28"/>
        </w:rPr>
        <w:t xml:space="preserve"> ie payment by Johnny would reduce the liability of the other appellants under </w:t>
      </w:r>
      <w:r w:rsidR="00525B3F" w:rsidRPr="003877E2">
        <w:rPr>
          <w:sz w:val="28"/>
          <w:szCs w:val="28"/>
        </w:rPr>
        <w:t xml:space="preserve">that </w:t>
      </w:r>
      <w:r w:rsidR="00F27CD3" w:rsidRPr="003877E2">
        <w:rPr>
          <w:sz w:val="28"/>
          <w:szCs w:val="28"/>
        </w:rPr>
        <w:t xml:space="preserve">claim. </w:t>
      </w:r>
      <w:r w:rsidR="00416E32" w:rsidRPr="003877E2">
        <w:rPr>
          <w:sz w:val="28"/>
          <w:szCs w:val="28"/>
        </w:rPr>
        <w:t xml:space="preserve">Johnny is liable for having received payment for the share transactions from April 2007 to April 2008 paid by PIF </w:t>
      </w:r>
      <w:r w:rsidR="006631EA" w:rsidRPr="003877E2">
        <w:rPr>
          <w:sz w:val="28"/>
          <w:szCs w:val="28"/>
        </w:rPr>
        <w:t xml:space="preserve">in the amount of </w:t>
      </w:r>
      <w:r w:rsidR="00416E32" w:rsidRPr="003877E2">
        <w:rPr>
          <w:sz w:val="28"/>
          <w:szCs w:val="28"/>
        </w:rPr>
        <w:t xml:space="preserve">R105 076 644.06 including VAT (translated to the claimed amount of R94 550 025.94 exclusive of VAT) for its one-third shareholding in the Rapicorp companies. The Curator </w:t>
      </w:r>
      <w:r w:rsidR="00657A8E" w:rsidRPr="003877E2">
        <w:rPr>
          <w:sz w:val="28"/>
          <w:szCs w:val="28"/>
        </w:rPr>
        <w:t xml:space="preserve">should </w:t>
      </w:r>
      <w:r w:rsidR="00416E32" w:rsidRPr="003877E2">
        <w:rPr>
          <w:sz w:val="28"/>
          <w:szCs w:val="28"/>
        </w:rPr>
        <w:t xml:space="preserve">therefore </w:t>
      </w:r>
      <w:r w:rsidR="00657A8E" w:rsidRPr="003877E2">
        <w:rPr>
          <w:sz w:val="28"/>
          <w:szCs w:val="28"/>
        </w:rPr>
        <w:t xml:space="preserve">have </w:t>
      </w:r>
      <w:r w:rsidR="00416E32" w:rsidRPr="003877E2">
        <w:rPr>
          <w:sz w:val="28"/>
          <w:szCs w:val="28"/>
        </w:rPr>
        <w:t>succeed</w:t>
      </w:r>
      <w:r w:rsidR="00657A8E" w:rsidRPr="003877E2">
        <w:rPr>
          <w:sz w:val="28"/>
          <w:szCs w:val="28"/>
        </w:rPr>
        <w:t>ed</w:t>
      </w:r>
      <w:r w:rsidR="00416E32" w:rsidRPr="003877E2">
        <w:rPr>
          <w:sz w:val="28"/>
          <w:szCs w:val="28"/>
        </w:rPr>
        <w:t xml:space="preserve"> in </w:t>
      </w:r>
      <w:r w:rsidR="00657A8E" w:rsidRPr="003877E2">
        <w:rPr>
          <w:sz w:val="28"/>
          <w:szCs w:val="28"/>
        </w:rPr>
        <w:t xml:space="preserve">this </w:t>
      </w:r>
      <w:r w:rsidR="00416E32" w:rsidRPr="003877E2">
        <w:rPr>
          <w:sz w:val="28"/>
          <w:szCs w:val="28"/>
        </w:rPr>
        <w:t xml:space="preserve">claim.     </w:t>
      </w:r>
    </w:p>
    <w:p w14:paraId="1FFD165B" w14:textId="77777777" w:rsidR="00ED28E7" w:rsidRPr="00FB564C" w:rsidRDefault="00ED28E7">
      <w:pPr>
        <w:ind w:left="900" w:hanging="900"/>
        <w:rPr>
          <w:b/>
          <w:sz w:val="28"/>
          <w:szCs w:val="28"/>
        </w:rPr>
      </w:pPr>
    </w:p>
    <w:p w14:paraId="006EF30B" w14:textId="25614768" w:rsidR="007D1A39" w:rsidRPr="00FB564C" w:rsidRDefault="007432BF">
      <w:pPr>
        <w:ind w:left="900" w:hanging="900"/>
        <w:rPr>
          <w:b/>
          <w:sz w:val="28"/>
          <w:szCs w:val="28"/>
        </w:rPr>
      </w:pPr>
      <w:r w:rsidRPr="00FB564C">
        <w:rPr>
          <w:b/>
          <w:sz w:val="28"/>
          <w:szCs w:val="28"/>
        </w:rPr>
        <w:t>Excess</w:t>
      </w:r>
      <w:r w:rsidR="00657A8E" w:rsidRPr="00FB564C">
        <w:rPr>
          <w:b/>
          <w:sz w:val="28"/>
          <w:szCs w:val="28"/>
        </w:rPr>
        <w:t>ive</w:t>
      </w:r>
      <w:r w:rsidRPr="00FB564C">
        <w:rPr>
          <w:b/>
          <w:sz w:val="28"/>
          <w:szCs w:val="28"/>
        </w:rPr>
        <w:t xml:space="preserve"> m</w:t>
      </w:r>
      <w:r w:rsidR="007D1A39" w:rsidRPr="00FB564C">
        <w:rPr>
          <w:b/>
          <w:sz w:val="28"/>
          <w:szCs w:val="28"/>
        </w:rPr>
        <w:t>anagement and performance fees</w:t>
      </w:r>
    </w:p>
    <w:p w14:paraId="3B6E9EC0" w14:textId="79A451C5" w:rsidR="00A2616F" w:rsidRPr="003877E2" w:rsidRDefault="003877E2" w:rsidP="003877E2">
      <w:pPr>
        <w:rPr>
          <w:sz w:val="28"/>
          <w:szCs w:val="28"/>
        </w:rPr>
      </w:pPr>
      <w:r w:rsidRPr="00FB564C">
        <w:rPr>
          <w:sz w:val="28"/>
          <w:szCs w:val="28"/>
        </w:rPr>
        <w:t>[87]</w:t>
      </w:r>
      <w:r w:rsidRPr="00FB564C">
        <w:rPr>
          <w:sz w:val="28"/>
          <w:szCs w:val="28"/>
        </w:rPr>
        <w:tab/>
      </w:r>
      <w:r w:rsidR="007D1A39" w:rsidRPr="003877E2">
        <w:rPr>
          <w:sz w:val="28"/>
          <w:szCs w:val="28"/>
        </w:rPr>
        <w:t>As to this claim</w:t>
      </w:r>
      <w:r w:rsidR="003A3778" w:rsidRPr="003877E2">
        <w:rPr>
          <w:sz w:val="28"/>
          <w:szCs w:val="28"/>
        </w:rPr>
        <w:t>, t</w:t>
      </w:r>
      <w:r w:rsidR="007D1A39" w:rsidRPr="003877E2">
        <w:rPr>
          <w:sz w:val="28"/>
          <w:szCs w:val="28"/>
        </w:rPr>
        <w:t xml:space="preserve">he fees were determined by reference to the value of assets under RAM’s management. I have already dealt with the difficulties presented by </w:t>
      </w:r>
      <w:r w:rsidR="007D1A39" w:rsidRPr="003877E2">
        <w:rPr>
          <w:sz w:val="28"/>
          <w:szCs w:val="28"/>
        </w:rPr>
        <w:lastRenderedPageBreak/>
        <w:t>the appellants’ and RAM</w:t>
      </w:r>
      <w:r w:rsidR="00A2616F" w:rsidRPr="003877E2">
        <w:rPr>
          <w:sz w:val="28"/>
          <w:szCs w:val="28"/>
        </w:rPr>
        <w:t>’s</w:t>
      </w:r>
      <w:r w:rsidR="007D1A39" w:rsidRPr="003877E2">
        <w:rPr>
          <w:sz w:val="28"/>
          <w:szCs w:val="28"/>
        </w:rPr>
        <w:t xml:space="preserve"> reliance on Veld</w:t>
      </w:r>
      <w:r w:rsidR="00B21096" w:rsidRPr="003877E2">
        <w:rPr>
          <w:sz w:val="28"/>
          <w:szCs w:val="28"/>
        </w:rPr>
        <w:t>s</w:t>
      </w:r>
      <w:r w:rsidR="007D1A39" w:rsidRPr="003877E2">
        <w:rPr>
          <w:sz w:val="28"/>
          <w:szCs w:val="28"/>
        </w:rPr>
        <w:t>man’s 2007 valuations as well as the</w:t>
      </w:r>
      <w:r w:rsidR="005F758F" w:rsidRPr="003877E2">
        <w:rPr>
          <w:sz w:val="28"/>
          <w:szCs w:val="28"/>
        </w:rPr>
        <w:t xml:space="preserve"> high court’s</w:t>
      </w:r>
      <w:r w:rsidR="007D1A39" w:rsidRPr="003877E2">
        <w:rPr>
          <w:sz w:val="28"/>
          <w:szCs w:val="28"/>
        </w:rPr>
        <w:t xml:space="preserve"> </w:t>
      </w:r>
      <w:r w:rsidR="005F758F" w:rsidRPr="003877E2">
        <w:rPr>
          <w:sz w:val="28"/>
          <w:szCs w:val="28"/>
        </w:rPr>
        <w:t xml:space="preserve">erroneous inclusion </w:t>
      </w:r>
      <w:r w:rsidR="007D1A39" w:rsidRPr="003877E2">
        <w:rPr>
          <w:sz w:val="28"/>
          <w:szCs w:val="28"/>
        </w:rPr>
        <w:t>of the sand value</w:t>
      </w:r>
      <w:r w:rsidR="005F758F" w:rsidRPr="003877E2">
        <w:rPr>
          <w:sz w:val="28"/>
          <w:szCs w:val="28"/>
        </w:rPr>
        <w:t>.</w:t>
      </w:r>
    </w:p>
    <w:p w14:paraId="1DCCF69B" w14:textId="77777777" w:rsidR="00947F60" w:rsidRPr="00FB564C" w:rsidRDefault="00947F60" w:rsidP="008F4835">
      <w:pPr>
        <w:pStyle w:val="ListParagraph"/>
        <w:ind w:left="0"/>
        <w:rPr>
          <w:sz w:val="28"/>
          <w:szCs w:val="28"/>
        </w:rPr>
      </w:pPr>
    </w:p>
    <w:p w14:paraId="1B77F045" w14:textId="5F858275" w:rsidR="00F2274D" w:rsidRPr="003877E2" w:rsidRDefault="003877E2" w:rsidP="003877E2">
      <w:pPr>
        <w:rPr>
          <w:sz w:val="28"/>
          <w:szCs w:val="28"/>
        </w:rPr>
      </w:pPr>
      <w:r w:rsidRPr="00FB564C">
        <w:rPr>
          <w:sz w:val="28"/>
          <w:szCs w:val="28"/>
        </w:rPr>
        <w:t>[88]</w:t>
      </w:r>
      <w:r w:rsidRPr="00FB564C">
        <w:rPr>
          <w:sz w:val="28"/>
          <w:szCs w:val="28"/>
        </w:rPr>
        <w:tab/>
      </w:r>
      <w:r w:rsidR="00F81329" w:rsidRPr="003877E2">
        <w:rPr>
          <w:sz w:val="28"/>
          <w:szCs w:val="28"/>
        </w:rPr>
        <w:t>G</w:t>
      </w:r>
      <w:r w:rsidR="00B21096" w:rsidRPr="003877E2">
        <w:rPr>
          <w:sz w:val="28"/>
          <w:szCs w:val="28"/>
        </w:rPr>
        <w:t xml:space="preserve">iven their fiduciary responsibilities, </w:t>
      </w:r>
      <w:r w:rsidR="004F759B" w:rsidRPr="003877E2">
        <w:rPr>
          <w:sz w:val="28"/>
          <w:szCs w:val="28"/>
        </w:rPr>
        <w:t xml:space="preserve">the appellants </w:t>
      </w:r>
      <w:r w:rsidR="00F81329" w:rsidRPr="003877E2">
        <w:rPr>
          <w:sz w:val="28"/>
          <w:szCs w:val="28"/>
        </w:rPr>
        <w:t xml:space="preserve">could not </w:t>
      </w:r>
      <w:r w:rsidR="004F759B" w:rsidRPr="003877E2">
        <w:rPr>
          <w:sz w:val="28"/>
          <w:szCs w:val="28"/>
        </w:rPr>
        <w:t xml:space="preserve">escape liability by pointing to the acceptance of the values by </w:t>
      </w:r>
      <w:r w:rsidR="00A12212" w:rsidRPr="003877E2">
        <w:rPr>
          <w:sz w:val="28"/>
          <w:szCs w:val="28"/>
        </w:rPr>
        <w:t>auditors in</w:t>
      </w:r>
      <w:r w:rsidR="00B21096" w:rsidRPr="003877E2">
        <w:rPr>
          <w:sz w:val="28"/>
          <w:szCs w:val="28"/>
        </w:rPr>
        <w:t xml:space="preserve"> the </w:t>
      </w:r>
      <w:r w:rsidR="005F758F" w:rsidRPr="003877E2">
        <w:rPr>
          <w:sz w:val="28"/>
          <w:szCs w:val="28"/>
        </w:rPr>
        <w:t>annual financial statements</w:t>
      </w:r>
      <w:r w:rsidR="004F759B" w:rsidRPr="003877E2">
        <w:rPr>
          <w:sz w:val="28"/>
          <w:szCs w:val="28"/>
        </w:rPr>
        <w:t>. Grant Thornton</w:t>
      </w:r>
      <w:r w:rsidR="004A4670" w:rsidRPr="003877E2">
        <w:rPr>
          <w:sz w:val="28"/>
          <w:szCs w:val="28"/>
        </w:rPr>
        <w:t xml:space="preserve"> Cape Inc</w:t>
      </w:r>
      <w:r w:rsidR="0026182A" w:rsidRPr="003877E2">
        <w:rPr>
          <w:sz w:val="28"/>
          <w:szCs w:val="28"/>
        </w:rPr>
        <w:t xml:space="preserve"> (Grant Thornton)</w:t>
      </w:r>
      <w:r w:rsidR="004F759B" w:rsidRPr="003877E2">
        <w:rPr>
          <w:sz w:val="28"/>
          <w:szCs w:val="28"/>
        </w:rPr>
        <w:t xml:space="preserve"> and Alliott Andersen</w:t>
      </w:r>
      <w:r w:rsidR="0026182A" w:rsidRPr="003877E2">
        <w:rPr>
          <w:sz w:val="28"/>
          <w:szCs w:val="28"/>
        </w:rPr>
        <w:t xml:space="preserve"> Nell Inc (Alliott Andersen)’s</w:t>
      </w:r>
      <w:r w:rsidR="004F759B" w:rsidRPr="003877E2">
        <w:rPr>
          <w:sz w:val="28"/>
          <w:szCs w:val="28"/>
        </w:rPr>
        <w:t xml:space="preserve"> opinions were only requested </w:t>
      </w:r>
      <w:r w:rsidR="0069433F" w:rsidRPr="003877E2">
        <w:rPr>
          <w:sz w:val="28"/>
          <w:szCs w:val="28"/>
        </w:rPr>
        <w:t xml:space="preserve">in </w:t>
      </w:r>
      <w:r w:rsidR="004F759B" w:rsidRPr="003877E2">
        <w:rPr>
          <w:sz w:val="28"/>
          <w:szCs w:val="28"/>
        </w:rPr>
        <w:t xml:space="preserve">2011. Therefore, they could not have been relied on when decisions were made as to what valuations would be relied upon to calculate the values of the properties. </w:t>
      </w:r>
      <w:r w:rsidR="00B21096" w:rsidRPr="003877E2">
        <w:rPr>
          <w:sz w:val="28"/>
          <w:szCs w:val="28"/>
        </w:rPr>
        <w:t>In any event</w:t>
      </w:r>
      <w:r w:rsidR="00A12212" w:rsidRPr="003877E2">
        <w:rPr>
          <w:sz w:val="28"/>
          <w:szCs w:val="28"/>
        </w:rPr>
        <w:t>, those</w:t>
      </w:r>
      <w:r w:rsidR="00B21096" w:rsidRPr="003877E2">
        <w:rPr>
          <w:sz w:val="28"/>
          <w:szCs w:val="28"/>
        </w:rPr>
        <w:t xml:space="preserve"> </w:t>
      </w:r>
      <w:r w:rsidR="004F759B" w:rsidRPr="003877E2">
        <w:rPr>
          <w:sz w:val="28"/>
          <w:szCs w:val="28"/>
        </w:rPr>
        <w:t xml:space="preserve">opinions were not entirely </w:t>
      </w:r>
      <w:r w:rsidR="00A12212" w:rsidRPr="003877E2">
        <w:rPr>
          <w:sz w:val="28"/>
          <w:szCs w:val="28"/>
        </w:rPr>
        <w:t>accurate relative</w:t>
      </w:r>
      <w:r w:rsidR="00B21096" w:rsidRPr="003877E2">
        <w:rPr>
          <w:sz w:val="28"/>
          <w:szCs w:val="28"/>
        </w:rPr>
        <w:t xml:space="preserve"> </w:t>
      </w:r>
      <w:r w:rsidR="004F759B" w:rsidRPr="003877E2">
        <w:rPr>
          <w:sz w:val="28"/>
          <w:szCs w:val="28"/>
        </w:rPr>
        <w:t>to the facts</w:t>
      </w:r>
      <w:r w:rsidR="00DC6E78" w:rsidRPr="003877E2">
        <w:rPr>
          <w:sz w:val="28"/>
          <w:szCs w:val="28"/>
        </w:rPr>
        <w:t>. F</w:t>
      </w:r>
      <w:r w:rsidR="00233155" w:rsidRPr="003877E2">
        <w:rPr>
          <w:sz w:val="28"/>
          <w:szCs w:val="28"/>
        </w:rPr>
        <w:t xml:space="preserve">or </w:t>
      </w:r>
      <w:r w:rsidR="00DC6E78" w:rsidRPr="003877E2">
        <w:rPr>
          <w:sz w:val="28"/>
          <w:szCs w:val="28"/>
        </w:rPr>
        <w:t>example, a letter from Grant Thor</w:t>
      </w:r>
      <w:r w:rsidR="00CE7F44" w:rsidRPr="003877E2">
        <w:rPr>
          <w:sz w:val="28"/>
          <w:szCs w:val="28"/>
        </w:rPr>
        <w:t>n</w:t>
      </w:r>
      <w:r w:rsidR="00DC6E78" w:rsidRPr="003877E2">
        <w:rPr>
          <w:sz w:val="28"/>
          <w:szCs w:val="28"/>
        </w:rPr>
        <w:t xml:space="preserve">ton to </w:t>
      </w:r>
      <w:r w:rsidR="0026182A" w:rsidRPr="003877E2">
        <w:rPr>
          <w:sz w:val="28"/>
          <w:szCs w:val="28"/>
        </w:rPr>
        <w:t xml:space="preserve">the </w:t>
      </w:r>
      <w:r w:rsidR="00DC6E78" w:rsidRPr="003877E2">
        <w:rPr>
          <w:sz w:val="28"/>
          <w:szCs w:val="28"/>
        </w:rPr>
        <w:t xml:space="preserve">TDI trustees dated 5 October </w:t>
      </w:r>
      <w:r w:rsidR="00F81329" w:rsidRPr="003877E2">
        <w:rPr>
          <w:sz w:val="28"/>
          <w:szCs w:val="28"/>
        </w:rPr>
        <w:t>2011</w:t>
      </w:r>
      <w:r w:rsidR="00DC6E78" w:rsidRPr="003877E2">
        <w:rPr>
          <w:sz w:val="28"/>
          <w:szCs w:val="28"/>
        </w:rPr>
        <w:t xml:space="preserve"> state</w:t>
      </w:r>
      <w:r w:rsidR="00CE7F44" w:rsidRPr="003877E2">
        <w:rPr>
          <w:sz w:val="28"/>
          <w:szCs w:val="28"/>
        </w:rPr>
        <w:t>d</w:t>
      </w:r>
      <w:r w:rsidR="00DC6E78" w:rsidRPr="003877E2">
        <w:rPr>
          <w:sz w:val="28"/>
          <w:szCs w:val="28"/>
        </w:rPr>
        <w:t xml:space="preserve"> that ‘the company has not yet decided what it will do with the land’</w:t>
      </w:r>
      <w:r w:rsidR="004F759B" w:rsidRPr="003877E2">
        <w:rPr>
          <w:sz w:val="28"/>
          <w:szCs w:val="28"/>
        </w:rPr>
        <w:t>.</w:t>
      </w:r>
      <w:r w:rsidR="00DC6E78" w:rsidRPr="003877E2">
        <w:rPr>
          <w:sz w:val="28"/>
          <w:szCs w:val="28"/>
        </w:rPr>
        <w:t xml:space="preserve"> </w:t>
      </w:r>
      <w:r w:rsidR="00CE7F44" w:rsidRPr="003877E2">
        <w:rPr>
          <w:sz w:val="28"/>
          <w:szCs w:val="28"/>
        </w:rPr>
        <w:t>Also</w:t>
      </w:r>
      <w:r w:rsidR="00A12212" w:rsidRPr="003877E2">
        <w:rPr>
          <w:sz w:val="28"/>
          <w:szCs w:val="28"/>
        </w:rPr>
        <w:t>,</w:t>
      </w:r>
      <w:r w:rsidR="00CE7F44" w:rsidRPr="003877E2">
        <w:rPr>
          <w:sz w:val="28"/>
          <w:szCs w:val="28"/>
        </w:rPr>
        <w:t xml:space="preserve"> a letter from Alliott Anderse</w:t>
      </w:r>
      <w:r w:rsidR="005E6A07" w:rsidRPr="003877E2">
        <w:rPr>
          <w:sz w:val="28"/>
          <w:szCs w:val="28"/>
        </w:rPr>
        <w:t xml:space="preserve">n </w:t>
      </w:r>
      <w:r w:rsidR="00CE7F44" w:rsidRPr="003877E2">
        <w:rPr>
          <w:sz w:val="28"/>
          <w:szCs w:val="28"/>
        </w:rPr>
        <w:t xml:space="preserve">to the directors of Rapicorp 122, dated </w:t>
      </w:r>
      <w:r w:rsidR="0026182A" w:rsidRPr="003877E2">
        <w:rPr>
          <w:sz w:val="28"/>
          <w:szCs w:val="28"/>
        </w:rPr>
        <w:t xml:space="preserve">6 </w:t>
      </w:r>
      <w:r w:rsidR="00CE7F44" w:rsidRPr="003877E2">
        <w:rPr>
          <w:sz w:val="28"/>
          <w:szCs w:val="28"/>
        </w:rPr>
        <w:t xml:space="preserve">October 2011, indicated that sand deposits were held by Rapicorp 122 as an asset and that </w:t>
      </w:r>
      <w:r w:rsidR="00B21096" w:rsidRPr="003877E2">
        <w:rPr>
          <w:sz w:val="28"/>
          <w:szCs w:val="28"/>
        </w:rPr>
        <w:t xml:space="preserve">it </w:t>
      </w:r>
      <w:r w:rsidR="0069433F" w:rsidRPr="003877E2">
        <w:rPr>
          <w:sz w:val="28"/>
          <w:szCs w:val="28"/>
        </w:rPr>
        <w:t xml:space="preserve">was </w:t>
      </w:r>
      <w:r w:rsidR="00CE7F44" w:rsidRPr="003877E2">
        <w:rPr>
          <w:sz w:val="28"/>
          <w:szCs w:val="28"/>
        </w:rPr>
        <w:t xml:space="preserve">held as an investment property. </w:t>
      </w:r>
      <w:r w:rsidR="004F759B" w:rsidRPr="003877E2">
        <w:rPr>
          <w:sz w:val="28"/>
          <w:szCs w:val="28"/>
        </w:rPr>
        <w:t>There</w:t>
      </w:r>
      <w:r w:rsidR="004E6FD3" w:rsidRPr="003877E2">
        <w:rPr>
          <w:sz w:val="28"/>
          <w:szCs w:val="28"/>
        </w:rPr>
        <w:t xml:space="preserve"> is</w:t>
      </w:r>
      <w:r w:rsidR="004F759B" w:rsidRPr="003877E2">
        <w:rPr>
          <w:sz w:val="28"/>
          <w:szCs w:val="28"/>
        </w:rPr>
        <w:t xml:space="preserve"> accordingly no reason to interfere with the high court’s finding that RAM, Global Pact, Oaker, Clint and </w:t>
      </w:r>
      <w:r w:rsidR="004E6FD3" w:rsidRPr="003877E2">
        <w:rPr>
          <w:sz w:val="28"/>
          <w:szCs w:val="28"/>
        </w:rPr>
        <w:t>Pillay breached</w:t>
      </w:r>
      <w:r w:rsidR="004F759B" w:rsidRPr="003877E2">
        <w:rPr>
          <w:sz w:val="28"/>
          <w:szCs w:val="28"/>
        </w:rPr>
        <w:t xml:space="preserve"> their duties to PIF. </w:t>
      </w:r>
    </w:p>
    <w:p w14:paraId="63494D33" w14:textId="77777777" w:rsidR="00F2274D" w:rsidRPr="00FB564C" w:rsidRDefault="00F2274D">
      <w:pPr>
        <w:pStyle w:val="ListParagraph"/>
        <w:rPr>
          <w:sz w:val="28"/>
          <w:szCs w:val="28"/>
        </w:rPr>
      </w:pPr>
    </w:p>
    <w:p w14:paraId="0E2377F8" w14:textId="1D9BF4DA" w:rsidR="00015907" w:rsidRPr="003877E2" w:rsidRDefault="003877E2" w:rsidP="003877E2">
      <w:pPr>
        <w:rPr>
          <w:sz w:val="28"/>
          <w:szCs w:val="28"/>
        </w:rPr>
      </w:pPr>
      <w:r w:rsidRPr="00FB564C">
        <w:rPr>
          <w:sz w:val="28"/>
          <w:szCs w:val="28"/>
        </w:rPr>
        <w:t>[89]</w:t>
      </w:r>
      <w:r w:rsidRPr="00FB564C">
        <w:rPr>
          <w:sz w:val="28"/>
          <w:szCs w:val="28"/>
        </w:rPr>
        <w:tab/>
      </w:r>
      <w:r w:rsidR="00015907" w:rsidRPr="003877E2">
        <w:rPr>
          <w:sz w:val="28"/>
          <w:szCs w:val="28"/>
        </w:rPr>
        <w:t xml:space="preserve">The </w:t>
      </w:r>
      <w:r w:rsidR="009F68F2" w:rsidRPr="003877E2">
        <w:rPr>
          <w:sz w:val="28"/>
          <w:szCs w:val="28"/>
        </w:rPr>
        <w:t xml:space="preserve">last issue </w:t>
      </w:r>
      <w:r w:rsidR="007A3A6D" w:rsidRPr="003877E2">
        <w:rPr>
          <w:sz w:val="28"/>
          <w:szCs w:val="28"/>
        </w:rPr>
        <w:t>concerns whether</w:t>
      </w:r>
      <w:r w:rsidR="00657A8E" w:rsidRPr="003877E2">
        <w:rPr>
          <w:sz w:val="28"/>
          <w:szCs w:val="28"/>
        </w:rPr>
        <w:t xml:space="preserve"> </w:t>
      </w:r>
      <w:r w:rsidR="009F68F2" w:rsidRPr="003877E2">
        <w:rPr>
          <w:sz w:val="28"/>
          <w:szCs w:val="28"/>
        </w:rPr>
        <w:t>Johnny</w:t>
      </w:r>
      <w:r w:rsidR="00657A8E" w:rsidRPr="003877E2">
        <w:rPr>
          <w:sz w:val="28"/>
          <w:szCs w:val="28"/>
        </w:rPr>
        <w:t xml:space="preserve"> can be held liable in respect of this claim</w:t>
      </w:r>
      <w:r w:rsidR="009F68F2" w:rsidRPr="003877E2">
        <w:rPr>
          <w:sz w:val="28"/>
          <w:szCs w:val="28"/>
        </w:rPr>
        <w:t xml:space="preserve">, as </w:t>
      </w:r>
      <w:r w:rsidR="00657A8E" w:rsidRPr="003877E2">
        <w:rPr>
          <w:sz w:val="28"/>
          <w:szCs w:val="28"/>
        </w:rPr>
        <w:t xml:space="preserve">submitted </w:t>
      </w:r>
      <w:r w:rsidR="007A3A6D" w:rsidRPr="003877E2">
        <w:rPr>
          <w:sz w:val="28"/>
          <w:szCs w:val="28"/>
        </w:rPr>
        <w:t>by the</w:t>
      </w:r>
      <w:r w:rsidR="009F68F2" w:rsidRPr="003877E2">
        <w:rPr>
          <w:sz w:val="28"/>
          <w:szCs w:val="28"/>
        </w:rPr>
        <w:t xml:space="preserve"> Curator</w:t>
      </w:r>
      <w:r w:rsidR="00657A8E" w:rsidRPr="003877E2">
        <w:rPr>
          <w:sz w:val="28"/>
          <w:szCs w:val="28"/>
        </w:rPr>
        <w:t>.</w:t>
      </w:r>
      <w:r w:rsidR="00015907" w:rsidRPr="003877E2">
        <w:rPr>
          <w:sz w:val="28"/>
          <w:szCs w:val="28"/>
        </w:rPr>
        <w:t xml:space="preserve"> The </w:t>
      </w:r>
      <w:r w:rsidR="00657A8E" w:rsidRPr="003877E2">
        <w:rPr>
          <w:sz w:val="28"/>
          <w:szCs w:val="28"/>
        </w:rPr>
        <w:t xml:space="preserve">Curator submits </w:t>
      </w:r>
      <w:r w:rsidR="007A3A6D" w:rsidRPr="003877E2">
        <w:rPr>
          <w:sz w:val="28"/>
          <w:szCs w:val="28"/>
        </w:rPr>
        <w:t>that its</w:t>
      </w:r>
      <w:r w:rsidR="00657A8E" w:rsidRPr="003877E2">
        <w:rPr>
          <w:sz w:val="28"/>
          <w:szCs w:val="28"/>
        </w:rPr>
        <w:t xml:space="preserve"> liability stems from the fact that </w:t>
      </w:r>
      <w:r w:rsidR="00015907" w:rsidRPr="003877E2">
        <w:rPr>
          <w:sz w:val="28"/>
          <w:szCs w:val="28"/>
        </w:rPr>
        <w:t xml:space="preserve">it was the ultimate beneficiary of the excessive fees paid to RAM. </w:t>
      </w:r>
    </w:p>
    <w:p w14:paraId="01BE21CA" w14:textId="77777777" w:rsidR="008D46F7" w:rsidRPr="00FB564C" w:rsidRDefault="008D46F7">
      <w:pPr>
        <w:pStyle w:val="ListParagraph"/>
        <w:rPr>
          <w:sz w:val="28"/>
          <w:szCs w:val="28"/>
        </w:rPr>
      </w:pPr>
    </w:p>
    <w:p w14:paraId="7622FACD" w14:textId="6720B252" w:rsidR="008D46F7" w:rsidRPr="003877E2" w:rsidRDefault="003877E2" w:rsidP="003877E2">
      <w:pPr>
        <w:rPr>
          <w:sz w:val="28"/>
          <w:szCs w:val="28"/>
        </w:rPr>
      </w:pPr>
      <w:r w:rsidRPr="00FB564C">
        <w:rPr>
          <w:sz w:val="28"/>
          <w:szCs w:val="28"/>
        </w:rPr>
        <w:t>[90]</w:t>
      </w:r>
      <w:r w:rsidRPr="00FB564C">
        <w:rPr>
          <w:sz w:val="28"/>
          <w:szCs w:val="28"/>
        </w:rPr>
        <w:tab/>
      </w:r>
      <w:r w:rsidR="008D46F7" w:rsidRPr="003877E2">
        <w:rPr>
          <w:sz w:val="28"/>
          <w:szCs w:val="28"/>
        </w:rPr>
        <w:t xml:space="preserve">Johnny did not have a statutory or contractual fiduciary duty towards the PIF and TDI investors as the other appellants did. It also did not directly participate in the management </w:t>
      </w:r>
      <w:r w:rsidR="004E6FD3" w:rsidRPr="003877E2">
        <w:rPr>
          <w:sz w:val="28"/>
          <w:szCs w:val="28"/>
        </w:rPr>
        <w:t>and</w:t>
      </w:r>
      <w:r w:rsidR="008D46F7" w:rsidRPr="003877E2">
        <w:rPr>
          <w:sz w:val="28"/>
          <w:szCs w:val="28"/>
        </w:rPr>
        <w:t xml:space="preserve"> control of the trust assets. In the strict </w:t>
      </w:r>
      <w:r w:rsidR="004E6FD3" w:rsidRPr="003877E2">
        <w:rPr>
          <w:sz w:val="28"/>
          <w:szCs w:val="28"/>
        </w:rPr>
        <w:t>sense,</w:t>
      </w:r>
      <w:r w:rsidR="008D46F7" w:rsidRPr="003877E2">
        <w:rPr>
          <w:sz w:val="28"/>
          <w:szCs w:val="28"/>
        </w:rPr>
        <w:t xml:space="preserve"> it cannot be held to be in breach of any fiduciary and contractual duties.</w:t>
      </w:r>
    </w:p>
    <w:p w14:paraId="36FC8210" w14:textId="77777777" w:rsidR="00E04B91" w:rsidRPr="00FB564C" w:rsidRDefault="00E04B91">
      <w:pPr>
        <w:pStyle w:val="ListParagraph"/>
        <w:rPr>
          <w:sz w:val="28"/>
          <w:szCs w:val="28"/>
        </w:rPr>
      </w:pPr>
    </w:p>
    <w:p w14:paraId="10166679" w14:textId="2286DAE8" w:rsidR="00A81C18" w:rsidRPr="003877E2" w:rsidRDefault="003877E2" w:rsidP="003877E2">
      <w:pPr>
        <w:rPr>
          <w:sz w:val="28"/>
          <w:szCs w:val="28"/>
        </w:rPr>
      </w:pPr>
      <w:r w:rsidRPr="00FB564C">
        <w:rPr>
          <w:sz w:val="28"/>
          <w:szCs w:val="28"/>
        </w:rPr>
        <w:lastRenderedPageBreak/>
        <w:t>[91]</w:t>
      </w:r>
      <w:r w:rsidRPr="00FB564C">
        <w:rPr>
          <w:sz w:val="28"/>
          <w:szCs w:val="28"/>
        </w:rPr>
        <w:tab/>
      </w:r>
      <w:r w:rsidR="00E04B91" w:rsidRPr="003877E2">
        <w:rPr>
          <w:sz w:val="28"/>
          <w:szCs w:val="28"/>
        </w:rPr>
        <w:t xml:space="preserve">While the relationship between Johnny and the investment funds was statutorily and contractually </w:t>
      </w:r>
      <w:r w:rsidR="001456BA" w:rsidRPr="003877E2">
        <w:rPr>
          <w:sz w:val="28"/>
          <w:szCs w:val="28"/>
        </w:rPr>
        <w:t>removed</w:t>
      </w:r>
      <w:r w:rsidR="00E04B91" w:rsidRPr="003877E2">
        <w:rPr>
          <w:sz w:val="28"/>
          <w:szCs w:val="28"/>
        </w:rPr>
        <w:t xml:space="preserve">, it </w:t>
      </w:r>
      <w:r w:rsidR="001456BA" w:rsidRPr="003877E2">
        <w:rPr>
          <w:sz w:val="28"/>
          <w:szCs w:val="28"/>
        </w:rPr>
        <w:t xml:space="preserve">is apparent </w:t>
      </w:r>
      <w:r w:rsidR="00E04B91" w:rsidRPr="003877E2">
        <w:rPr>
          <w:sz w:val="28"/>
          <w:szCs w:val="28"/>
        </w:rPr>
        <w:t xml:space="preserve">from the assets that it accumulated during the relevant periods that it was </w:t>
      </w:r>
      <w:r w:rsidR="001456BA" w:rsidRPr="003877E2">
        <w:rPr>
          <w:sz w:val="28"/>
          <w:szCs w:val="28"/>
        </w:rPr>
        <w:t>one of the</w:t>
      </w:r>
      <w:r w:rsidR="00E04B91" w:rsidRPr="003877E2">
        <w:rPr>
          <w:sz w:val="28"/>
          <w:szCs w:val="28"/>
        </w:rPr>
        <w:t xml:space="preserve"> ultimate beneficiar</w:t>
      </w:r>
      <w:r w:rsidR="001456BA" w:rsidRPr="003877E2">
        <w:rPr>
          <w:sz w:val="28"/>
          <w:szCs w:val="28"/>
        </w:rPr>
        <w:t>ies of Oaker’s scheme.</w:t>
      </w:r>
      <w:r w:rsidR="0014078C" w:rsidRPr="003877E2">
        <w:rPr>
          <w:sz w:val="28"/>
          <w:szCs w:val="28"/>
        </w:rPr>
        <w:t xml:space="preserve"> </w:t>
      </w:r>
      <w:r w:rsidR="001456BA" w:rsidRPr="003877E2">
        <w:rPr>
          <w:sz w:val="28"/>
          <w:szCs w:val="28"/>
        </w:rPr>
        <w:t>It is not in dispute that m</w:t>
      </w:r>
      <w:r w:rsidR="00E04B91" w:rsidRPr="003877E2">
        <w:rPr>
          <w:sz w:val="28"/>
          <w:szCs w:val="28"/>
        </w:rPr>
        <w:t xml:space="preserve">onies </w:t>
      </w:r>
      <w:r w:rsidR="00A12212" w:rsidRPr="003877E2">
        <w:rPr>
          <w:sz w:val="28"/>
          <w:szCs w:val="28"/>
        </w:rPr>
        <w:t>were channelled</w:t>
      </w:r>
      <w:r w:rsidR="00E04B91" w:rsidRPr="003877E2">
        <w:rPr>
          <w:sz w:val="28"/>
          <w:szCs w:val="28"/>
        </w:rPr>
        <w:t xml:space="preserve"> to </w:t>
      </w:r>
      <w:r w:rsidR="006E5212" w:rsidRPr="003877E2">
        <w:rPr>
          <w:sz w:val="28"/>
          <w:szCs w:val="28"/>
        </w:rPr>
        <w:t xml:space="preserve">it </w:t>
      </w:r>
      <w:r w:rsidR="00E04B91" w:rsidRPr="003877E2">
        <w:rPr>
          <w:sz w:val="28"/>
          <w:szCs w:val="28"/>
        </w:rPr>
        <w:t xml:space="preserve">by way of dividends </w:t>
      </w:r>
      <w:r w:rsidR="004E6FD3" w:rsidRPr="003877E2">
        <w:rPr>
          <w:sz w:val="28"/>
          <w:szCs w:val="28"/>
        </w:rPr>
        <w:t xml:space="preserve">received </w:t>
      </w:r>
      <w:r w:rsidR="00E04B91" w:rsidRPr="003877E2">
        <w:rPr>
          <w:sz w:val="28"/>
          <w:szCs w:val="28"/>
        </w:rPr>
        <w:t>from RAM through RGH</w:t>
      </w:r>
      <w:r w:rsidR="00FF787E" w:rsidRPr="003877E2">
        <w:rPr>
          <w:sz w:val="28"/>
          <w:szCs w:val="28"/>
        </w:rPr>
        <w:t>.</w:t>
      </w:r>
    </w:p>
    <w:p w14:paraId="4665EE72" w14:textId="77777777" w:rsidR="00A81C18" w:rsidRPr="00FB564C" w:rsidRDefault="00A81C18">
      <w:pPr>
        <w:pStyle w:val="ListParagraph"/>
        <w:rPr>
          <w:sz w:val="28"/>
          <w:szCs w:val="28"/>
        </w:rPr>
      </w:pPr>
    </w:p>
    <w:p w14:paraId="4F7977FC" w14:textId="680FF136" w:rsidR="00E04B91" w:rsidRPr="003877E2" w:rsidRDefault="003877E2" w:rsidP="003877E2">
      <w:pPr>
        <w:rPr>
          <w:sz w:val="28"/>
          <w:szCs w:val="28"/>
        </w:rPr>
      </w:pPr>
      <w:r w:rsidRPr="00FB564C">
        <w:rPr>
          <w:sz w:val="28"/>
          <w:szCs w:val="28"/>
        </w:rPr>
        <w:t>[92]</w:t>
      </w:r>
      <w:r w:rsidRPr="00FB564C">
        <w:rPr>
          <w:sz w:val="28"/>
          <w:szCs w:val="28"/>
        </w:rPr>
        <w:tab/>
      </w:r>
      <w:r w:rsidR="00657A8E" w:rsidRPr="003877E2">
        <w:rPr>
          <w:sz w:val="28"/>
          <w:szCs w:val="28"/>
        </w:rPr>
        <w:t xml:space="preserve">The figures tell the story. </w:t>
      </w:r>
      <w:r w:rsidR="00A81C18" w:rsidRPr="003877E2">
        <w:rPr>
          <w:sz w:val="28"/>
          <w:szCs w:val="28"/>
        </w:rPr>
        <w:t>On 28 February 2007, Johnny had assets of approximately R2</w:t>
      </w:r>
      <w:r w:rsidR="009A7051" w:rsidRPr="003877E2">
        <w:rPr>
          <w:sz w:val="28"/>
          <w:szCs w:val="28"/>
        </w:rPr>
        <w:t>,</w:t>
      </w:r>
      <w:r w:rsidR="00A81C18" w:rsidRPr="003877E2">
        <w:rPr>
          <w:sz w:val="28"/>
          <w:szCs w:val="28"/>
        </w:rPr>
        <w:t>5 million. A year later, those had grown to an amount of approximately R84 million, with distributable reserves of R50</w:t>
      </w:r>
      <w:r w:rsidR="00A12212" w:rsidRPr="003877E2">
        <w:rPr>
          <w:sz w:val="28"/>
          <w:szCs w:val="28"/>
        </w:rPr>
        <w:t>,</w:t>
      </w:r>
      <w:r w:rsidR="00A81C18" w:rsidRPr="003877E2">
        <w:rPr>
          <w:sz w:val="28"/>
          <w:szCs w:val="28"/>
        </w:rPr>
        <w:t>5 million. Dividends received from RAM increased from R1 million in 2007 to R15 million in 2008</w:t>
      </w:r>
      <w:r w:rsidR="004E6FD3" w:rsidRPr="003877E2">
        <w:rPr>
          <w:sz w:val="28"/>
          <w:szCs w:val="28"/>
        </w:rPr>
        <w:t xml:space="preserve"> </w:t>
      </w:r>
      <w:r w:rsidR="001456BA" w:rsidRPr="003877E2">
        <w:rPr>
          <w:sz w:val="28"/>
          <w:szCs w:val="28"/>
        </w:rPr>
        <w:t>a</w:t>
      </w:r>
      <w:r w:rsidR="004E6FD3" w:rsidRPr="003877E2">
        <w:rPr>
          <w:sz w:val="28"/>
          <w:szCs w:val="28"/>
        </w:rPr>
        <w:t>nd</w:t>
      </w:r>
      <w:r w:rsidR="00A81C18" w:rsidRPr="003877E2">
        <w:rPr>
          <w:sz w:val="28"/>
          <w:szCs w:val="28"/>
        </w:rPr>
        <w:t xml:space="preserve"> a profit on disposal of investments being R40 232 475. </w:t>
      </w:r>
    </w:p>
    <w:p w14:paraId="01FCDFF5" w14:textId="77777777" w:rsidR="00C42AE0" w:rsidRPr="00FB564C" w:rsidRDefault="00C42AE0">
      <w:pPr>
        <w:pStyle w:val="ListParagraph"/>
        <w:rPr>
          <w:sz w:val="28"/>
          <w:szCs w:val="28"/>
        </w:rPr>
      </w:pPr>
    </w:p>
    <w:p w14:paraId="5D287293" w14:textId="5C9BAB41" w:rsidR="005819DE" w:rsidRPr="003877E2" w:rsidRDefault="003877E2" w:rsidP="003877E2">
      <w:pPr>
        <w:rPr>
          <w:sz w:val="28"/>
          <w:szCs w:val="28"/>
        </w:rPr>
      </w:pPr>
      <w:r w:rsidRPr="00FB564C">
        <w:rPr>
          <w:sz w:val="28"/>
          <w:szCs w:val="28"/>
        </w:rPr>
        <w:t>[93]</w:t>
      </w:r>
      <w:r w:rsidRPr="00FB564C">
        <w:rPr>
          <w:sz w:val="28"/>
          <w:szCs w:val="28"/>
        </w:rPr>
        <w:tab/>
      </w:r>
      <w:r w:rsidR="00C42AE0" w:rsidRPr="003877E2">
        <w:rPr>
          <w:sz w:val="28"/>
          <w:szCs w:val="28"/>
        </w:rPr>
        <w:t xml:space="preserve">Johnny’s assets increased to R113.5 million as at 28 February 2009. The profit on disposal of investment was R61.6 million. An allocation of that amount was made to the beneficiaries. </w:t>
      </w:r>
      <w:r w:rsidR="007376E8" w:rsidRPr="003877E2">
        <w:rPr>
          <w:sz w:val="28"/>
          <w:szCs w:val="28"/>
        </w:rPr>
        <w:t>Johnny’s</w:t>
      </w:r>
      <w:r w:rsidR="00C42AE0" w:rsidRPr="003877E2">
        <w:rPr>
          <w:sz w:val="28"/>
          <w:szCs w:val="28"/>
        </w:rPr>
        <w:t xml:space="preserve"> annual financial statements </w:t>
      </w:r>
      <w:r w:rsidR="007376E8" w:rsidRPr="003877E2">
        <w:rPr>
          <w:sz w:val="28"/>
          <w:szCs w:val="28"/>
        </w:rPr>
        <w:t xml:space="preserve">as at 28 February 2011 showed that </w:t>
      </w:r>
      <w:r w:rsidR="00776EC7" w:rsidRPr="003877E2">
        <w:rPr>
          <w:sz w:val="28"/>
          <w:szCs w:val="28"/>
        </w:rPr>
        <w:t xml:space="preserve">its </w:t>
      </w:r>
      <w:r w:rsidR="007376E8" w:rsidRPr="003877E2">
        <w:rPr>
          <w:sz w:val="28"/>
          <w:szCs w:val="28"/>
        </w:rPr>
        <w:t>assets significantly increased to about R251 million</w:t>
      </w:r>
      <w:r w:rsidR="00776EC7" w:rsidRPr="003877E2">
        <w:rPr>
          <w:sz w:val="28"/>
          <w:szCs w:val="28"/>
        </w:rPr>
        <w:t xml:space="preserve"> from </w:t>
      </w:r>
      <w:r w:rsidR="00850C3B" w:rsidRPr="003877E2">
        <w:rPr>
          <w:sz w:val="28"/>
          <w:szCs w:val="28"/>
        </w:rPr>
        <w:t>R</w:t>
      </w:r>
      <w:r w:rsidR="00776EC7" w:rsidRPr="003877E2">
        <w:rPr>
          <w:sz w:val="28"/>
          <w:szCs w:val="28"/>
        </w:rPr>
        <w:t>104 million in 2010</w:t>
      </w:r>
      <w:r w:rsidR="007376E8" w:rsidRPr="003877E2">
        <w:rPr>
          <w:sz w:val="28"/>
          <w:szCs w:val="28"/>
        </w:rPr>
        <w:t>. The income statement reflect</w:t>
      </w:r>
      <w:r w:rsidR="00B051D0" w:rsidRPr="003877E2">
        <w:rPr>
          <w:sz w:val="28"/>
          <w:szCs w:val="28"/>
        </w:rPr>
        <w:t>ed</w:t>
      </w:r>
      <w:r w:rsidR="007376E8" w:rsidRPr="003877E2">
        <w:rPr>
          <w:sz w:val="28"/>
          <w:szCs w:val="28"/>
        </w:rPr>
        <w:t xml:space="preserve"> an amount of R150 million </w:t>
      </w:r>
      <w:r w:rsidR="00776EC7" w:rsidRPr="003877E2">
        <w:rPr>
          <w:sz w:val="28"/>
          <w:szCs w:val="28"/>
        </w:rPr>
        <w:t xml:space="preserve">as </w:t>
      </w:r>
      <w:r w:rsidR="007376E8" w:rsidRPr="003877E2">
        <w:rPr>
          <w:sz w:val="28"/>
          <w:szCs w:val="28"/>
        </w:rPr>
        <w:t>‘</w:t>
      </w:r>
      <w:r w:rsidR="00776EC7" w:rsidRPr="003877E2">
        <w:rPr>
          <w:sz w:val="28"/>
          <w:szCs w:val="28"/>
        </w:rPr>
        <w:t xml:space="preserve">proceeds </w:t>
      </w:r>
      <w:r w:rsidR="007376E8" w:rsidRPr="003877E2">
        <w:rPr>
          <w:sz w:val="28"/>
          <w:szCs w:val="28"/>
        </w:rPr>
        <w:t>from cancellation of option’</w:t>
      </w:r>
      <w:r w:rsidR="00F1385D" w:rsidRPr="003877E2">
        <w:rPr>
          <w:sz w:val="28"/>
          <w:szCs w:val="28"/>
        </w:rPr>
        <w:t>.</w:t>
      </w:r>
      <w:r w:rsidR="007376E8" w:rsidRPr="003877E2">
        <w:rPr>
          <w:sz w:val="28"/>
          <w:szCs w:val="28"/>
        </w:rPr>
        <w:t xml:space="preserve"> An allocation was made to the beneficiaries in the same amount. </w:t>
      </w:r>
    </w:p>
    <w:p w14:paraId="73C05090" w14:textId="77777777" w:rsidR="005819DE" w:rsidRPr="00FB564C" w:rsidRDefault="005819DE">
      <w:pPr>
        <w:pStyle w:val="ListParagraph"/>
        <w:rPr>
          <w:sz w:val="28"/>
          <w:szCs w:val="28"/>
        </w:rPr>
      </w:pPr>
    </w:p>
    <w:p w14:paraId="21983D17" w14:textId="36FBC49A" w:rsidR="00403B47" w:rsidRPr="003877E2" w:rsidRDefault="003877E2" w:rsidP="003877E2">
      <w:pPr>
        <w:rPr>
          <w:sz w:val="28"/>
          <w:szCs w:val="28"/>
        </w:rPr>
      </w:pPr>
      <w:r w:rsidRPr="00FB564C">
        <w:rPr>
          <w:sz w:val="28"/>
          <w:szCs w:val="28"/>
        </w:rPr>
        <w:t>[94]</w:t>
      </w:r>
      <w:r w:rsidRPr="00FB564C">
        <w:rPr>
          <w:sz w:val="28"/>
          <w:szCs w:val="28"/>
        </w:rPr>
        <w:tab/>
      </w:r>
      <w:r w:rsidR="006631EA" w:rsidRPr="003877E2">
        <w:rPr>
          <w:sz w:val="28"/>
          <w:szCs w:val="28"/>
        </w:rPr>
        <w:t xml:space="preserve">It matters not that </w:t>
      </w:r>
      <w:r w:rsidR="004A7CB7" w:rsidRPr="003877E2">
        <w:rPr>
          <w:sz w:val="28"/>
          <w:szCs w:val="28"/>
        </w:rPr>
        <w:t>Johnny</w:t>
      </w:r>
      <w:r w:rsidR="005819DE" w:rsidRPr="003877E2">
        <w:rPr>
          <w:sz w:val="28"/>
          <w:szCs w:val="28"/>
        </w:rPr>
        <w:t xml:space="preserve"> did not directly have fiduciary responsibilities towards PIF and TDI and did not have a direct hand </w:t>
      </w:r>
      <w:r w:rsidR="001456BA" w:rsidRPr="003877E2">
        <w:rPr>
          <w:sz w:val="28"/>
          <w:szCs w:val="28"/>
        </w:rPr>
        <w:t xml:space="preserve">in </w:t>
      </w:r>
      <w:r w:rsidR="005819DE" w:rsidRPr="003877E2">
        <w:rPr>
          <w:sz w:val="28"/>
          <w:szCs w:val="28"/>
        </w:rPr>
        <w:t>managing a</w:t>
      </w:r>
      <w:r w:rsidR="00B051D0" w:rsidRPr="003877E2">
        <w:rPr>
          <w:sz w:val="28"/>
          <w:szCs w:val="28"/>
        </w:rPr>
        <w:t>nd</w:t>
      </w:r>
      <w:r w:rsidR="005819DE" w:rsidRPr="003877E2">
        <w:rPr>
          <w:sz w:val="28"/>
          <w:szCs w:val="28"/>
        </w:rPr>
        <w:t xml:space="preserve"> controlling RAM</w:t>
      </w:r>
      <w:r w:rsidR="006631EA" w:rsidRPr="003877E2">
        <w:rPr>
          <w:sz w:val="28"/>
          <w:szCs w:val="28"/>
        </w:rPr>
        <w:t>.</w:t>
      </w:r>
      <w:r w:rsidR="00523A49" w:rsidRPr="003877E2">
        <w:rPr>
          <w:sz w:val="28"/>
          <w:szCs w:val="28"/>
        </w:rPr>
        <w:t xml:space="preserve"> </w:t>
      </w:r>
      <w:r w:rsidR="006631EA" w:rsidRPr="003877E2">
        <w:rPr>
          <w:sz w:val="28"/>
          <w:szCs w:val="28"/>
        </w:rPr>
        <w:t xml:space="preserve">It </w:t>
      </w:r>
      <w:r w:rsidR="005819DE" w:rsidRPr="003877E2">
        <w:rPr>
          <w:sz w:val="28"/>
          <w:szCs w:val="28"/>
        </w:rPr>
        <w:t>is eviden</w:t>
      </w:r>
      <w:r w:rsidR="00776EC7" w:rsidRPr="003877E2">
        <w:rPr>
          <w:sz w:val="28"/>
          <w:szCs w:val="28"/>
        </w:rPr>
        <w:t>t</w:t>
      </w:r>
      <w:r w:rsidR="005819DE" w:rsidRPr="003877E2">
        <w:rPr>
          <w:sz w:val="28"/>
          <w:szCs w:val="28"/>
        </w:rPr>
        <w:t xml:space="preserve"> that it</w:t>
      </w:r>
      <w:r w:rsidR="005A7374" w:rsidRPr="003877E2">
        <w:rPr>
          <w:sz w:val="28"/>
          <w:szCs w:val="28"/>
        </w:rPr>
        <w:t xml:space="preserve"> was used as a conduit to</w:t>
      </w:r>
      <w:r w:rsidR="005819DE" w:rsidRPr="003877E2">
        <w:rPr>
          <w:sz w:val="28"/>
          <w:szCs w:val="28"/>
        </w:rPr>
        <w:t xml:space="preserve"> channel </w:t>
      </w:r>
      <w:r w:rsidR="005A7374" w:rsidRPr="003877E2">
        <w:rPr>
          <w:sz w:val="28"/>
          <w:szCs w:val="28"/>
        </w:rPr>
        <w:t>profit</w:t>
      </w:r>
      <w:r w:rsidR="005819DE" w:rsidRPr="003877E2">
        <w:rPr>
          <w:sz w:val="28"/>
          <w:szCs w:val="28"/>
        </w:rPr>
        <w:t>s made</w:t>
      </w:r>
      <w:r w:rsidR="005A7374" w:rsidRPr="003877E2">
        <w:rPr>
          <w:sz w:val="28"/>
          <w:szCs w:val="28"/>
        </w:rPr>
        <w:t xml:space="preserve"> from the scheme orchestrated by its trustee</w:t>
      </w:r>
      <w:r w:rsidR="001456BA" w:rsidRPr="003877E2">
        <w:rPr>
          <w:sz w:val="28"/>
          <w:szCs w:val="28"/>
        </w:rPr>
        <w:t>,</w:t>
      </w:r>
      <w:r w:rsidR="005A7374" w:rsidRPr="003877E2">
        <w:rPr>
          <w:sz w:val="28"/>
          <w:szCs w:val="28"/>
        </w:rPr>
        <w:t xml:space="preserve"> Oaker</w:t>
      </w:r>
      <w:r w:rsidR="001456BA" w:rsidRPr="003877E2">
        <w:rPr>
          <w:sz w:val="28"/>
          <w:szCs w:val="28"/>
        </w:rPr>
        <w:t>,</w:t>
      </w:r>
      <w:r w:rsidR="005A7374" w:rsidRPr="003877E2">
        <w:rPr>
          <w:sz w:val="28"/>
          <w:szCs w:val="28"/>
        </w:rPr>
        <w:t xml:space="preserve"> together with </w:t>
      </w:r>
      <w:r w:rsidR="00657A8E" w:rsidRPr="003877E2">
        <w:rPr>
          <w:sz w:val="28"/>
          <w:szCs w:val="28"/>
        </w:rPr>
        <w:t xml:space="preserve">the </w:t>
      </w:r>
      <w:r w:rsidR="005A7374" w:rsidRPr="003877E2">
        <w:rPr>
          <w:sz w:val="28"/>
          <w:szCs w:val="28"/>
        </w:rPr>
        <w:t xml:space="preserve">other </w:t>
      </w:r>
      <w:r w:rsidR="00755CAA" w:rsidRPr="003877E2">
        <w:rPr>
          <w:sz w:val="28"/>
          <w:szCs w:val="28"/>
        </w:rPr>
        <w:t>appellants</w:t>
      </w:r>
      <w:r w:rsidR="005A7374" w:rsidRPr="003877E2">
        <w:rPr>
          <w:sz w:val="28"/>
          <w:szCs w:val="28"/>
        </w:rPr>
        <w:t>,</w:t>
      </w:r>
      <w:r w:rsidR="005819DE" w:rsidRPr="003877E2">
        <w:rPr>
          <w:sz w:val="28"/>
          <w:szCs w:val="28"/>
        </w:rPr>
        <w:t xml:space="preserve"> which included the charging of inflated management fees and performance fees. It is irrelevant that Oaker was not </w:t>
      </w:r>
      <w:r w:rsidR="00755CAA" w:rsidRPr="003877E2">
        <w:rPr>
          <w:sz w:val="28"/>
          <w:szCs w:val="28"/>
        </w:rPr>
        <w:t xml:space="preserve">a </w:t>
      </w:r>
      <w:r w:rsidR="005819DE" w:rsidRPr="003877E2">
        <w:rPr>
          <w:sz w:val="28"/>
          <w:szCs w:val="28"/>
        </w:rPr>
        <w:t xml:space="preserve">beneficiary in Johnny. His family benefited. </w:t>
      </w:r>
      <w:r w:rsidR="009F68F2" w:rsidRPr="003877E2">
        <w:rPr>
          <w:sz w:val="28"/>
          <w:szCs w:val="28"/>
        </w:rPr>
        <w:t xml:space="preserve">The </w:t>
      </w:r>
      <w:r w:rsidR="009F68F2" w:rsidRPr="003877E2">
        <w:rPr>
          <w:sz w:val="28"/>
          <w:szCs w:val="28"/>
        </w:rPr>
        <w:lastRenderedPageBreak/>
        <w:t xml:space="preserve">breaches were aimed at ultimately enriching Johnny, which </w:t>
      </w:r>
      <w:r w:rsidR="00755CAA" w:rsidRPr="003877E2">
        <w:rPr>
          <w:sz w:val="28"/>
          <w:szCs w:val="28"/>
        </w:rPr>
        <w:t xml:space="preserve">to all intents and purposes operated </w:t>
      </w:r>
      <w:r w:rsidR="003C5B81" w:rsidRPr="003877E2">
        <w:rPr>
          <w:sz w:val="28"/>
          <w:szCs w:val="28"/>
        </w:rPr>
        <w:t>as Oaker’s</w:t>
      </w:r>
      <w:r w:rsidR="009F68F2" w:rsidRPr="003877E2">
        <w:rPr>
          <w:sz w:val="28"/>
          <w:szCs w:val="28"/>
        </w:rPr>
        <w:t xml:space="preserve"> alter ego. </w:t>
      </w:r>
      <w:r w:rsidR="005819DE" w:rsidRPr="003877E2">
        <w:rPr>
          <w:sz w:val="28"/>
          <w:szCs w:val="28"/>
        </w:rPr>
        <w:t>Accordingly,</w:t>
      </w:r>
      <w:r w:rsidR="005A7374" w:rsidRPr="003877E2">
        <w:rPr>
          <w:sz w:val="28"/>
          <w:szCs w:val="28"/>
        </w:rPr>
        <w:t xml:space="preserve"> </w:t>
      </w:r>
      <w:r w:rsidR="005819DE" w:rsidRPr="003877E2">
        <w:rPr>
          <w:sz w:val="28"/>
          <w:szCs w:val="28"/>
        </w:rPr>
        <w:t xml:space="preserve">it </w:t>
      </w:r>
      <w:r w:rsidR="004A7CB7" w:rsidRPr="003877E2">
        <w:rPr>
          <w:sz w:val="28"/>
          <w:szCs w:val="28"/>
        </w:rPr>
        <w:t xml:space="preserve">is </w:t>
      </w:r>
      <w:r w:rsidR="005819DE" w:rsidRPr="003877E2">
        <w:rPr>
          <w:sz w:val="28"/>
          <w:szCs w:val="28"/>
        </w:rPr>
        <w:t>befit</w:t>
      </w:r>
      <w:r w:rsidR="004A7CB7" w:rsidRPr="003877E2">
        <w:rPr>
          <w:sz w:val="28"/>
          <w:szCs w:val="28"/>
        </w:rPr>
        <w:t>ting</w:t>
      </w:r>
      <w:r w:rsidR="005819DE" w:rsidRPr="003877E2">
        <w:rPr>
          <w:sz w:val="28"/>
          <w:szCs w:val="28"/>
        </w:rPr>
        <w:t xml:space="preserve"> that </w:t>
      </w:r>
      <w:r w:rsidR="005A7374" w:rsidRPr="003877E2">
        <w:rPr>
          <w:sz w:val="28"/>
          <w:szCs w:val="28"/>
        </w:rPr>
        <w:t xml:space="preserve">Oaker </w:t>
      </w:r>
      <w:r w:rsidR="005819DE" w:rsidRPr="003877E2">
        <w:rPr>
          <w:sz w:val="28"/>
          <w:szCs w:val="28"/>
        </w:rPr>
        <w:t xml:space="preserve">and Johnny </w:t>
      </w:r>
      <w:r w:rsidR="005A7374" w:rsidRPr="003877E2">
        <w:rPr>
          <w:sz w:val="28"/>
          <w:szCs w:val="28"/>
        </w:rPr>
        <w:t xml:space="preserve">be ordered to disgorge the profits made from the investors’ funds, </w:t>
      </w:r>
      <w:r w:rsidR="004A7CB7" w:rsidRPr="003877E2">
        <w:rPr>
          <w:sz w:val="28"/>
          <w:szCs w:val="28"/>
        </w:rPr>
        <w:t xml:space="preserve">and </w:t>
      </w:r>
      <w:r w:rsidR="006631EA" w:rsidRPr="003877E2">
        <w:rPr>
          <w:sz w:val="28"/>
          <w:szCs w:val="28"/>
        </w:rPr>
        <w:t xml:space="preserve">that they </w:t>
      </w:r>
      <w:r w:rsidR="005A7374" w:rsidRPr="003877E2">
        <w:rPr>
          <w:sz w:val="28"/>
          <w:szCs w:val="28"/>
        </w:rPr>
        <w:t xml:space="preserve">be </w:t>
      </w:r>
      <w:r w:rsidR="006631EA" w:rsidRPr="003877E2">
        <w:rPr>
          <w:sz w:val="28"/>
          <w:szCs w:val="28"/>
        </w:rPr>
        <w:t xml:space="preserve">held </w:t>
      </w:r>
      <w:r w:rsidR="005A7374" w:rsidRPr="003877E2">
        <w:rPr>
          <w:sz w:val="28"/>
          <w:szCs w:val="28"/>
        </w:rPr>
        <w:t xml:space="preserve">jointly and severally </w:t>
      </w:r>
      <w:r w:rsidR="004A7CB7" w:rsidRPr="003877E2">
        <w:rPr>
          <w:sz w:val="28"/>
          <w:szCs w:val="28"/>
        </w:rPr>
        <w:t xml:space="preserve">liable to do so </w:t>
      </w:r>
      <w:r w:rsidR="005A7374" w:rsidRPr="003877E2">
        <w:rPr>
          <w:sz w:val="28"/>
          <w:szCs w:val="28"/>
        </w:rPr>
        <w:t xml:space="preserve">with RAM and </w:t>
      </w:r>
      <w:r w:rsidR="00B606A7" w:rsidRPr="003877E2">
        <w:rPr>
          <w:sz w:val="28"/>
          <w:szCs w:val="28"/>
        </w:rPr>
        <w:t xml:space="preserve">the </w:t>
      </w:r>
      <w:r w:rsidR="005A7374" w:rsidRPr="003877E2">
        <w:rPr>
          <w:sz w:val="28"/>
          <w:szCs w:val="28"/>
        </w:rPr>
        <w:t>other appellants.</w:t>
      </w:r>
      <w:r w:rsidR="009F68F2" w:rsidRPr="003877E2">
        <w:rPr>
          <w:sz w:val="28"/>
          <w:szCs w:val="28"/>
        </w:rPr>
        <w:t xml:space="preserve"> This </w:t>
      </w:r>
      <w:r w:rsidR="006631EA" w:rsidRPr="003877E2">
        <w:rPr>
          <w:sz w:val="28"/>
          <w:szCs w:val="28"/>
        </w:rPr>
        <w:t xml:space="preserve">has been </w:t>
      </w:r>
      <w:r w:rsidR="009F68F2" w:rsidRPr="003877E2">
        <w:rPr>
          <w:sz w:val="28"/>
          <w:szCs w:val="28"/>
        </w:rPr>
        <w:t xml:space="preserve">pleaded as an alternative to the other appellants’ and RAM’s liability. </w:t>
      </w:r>
    </w:p>
    <w:p w14:paraId="40F34BD6" w14:textId="77777777" w:rsidR="00852543" w:rsidRPr="00FB564C" w:rsidRDefault="00852543">
      <w:pPr>
        <w:rPr>
          <w:b/>
          <w:sz w:val="28"/>
          <w:szCs w:val="28"/>
        </w:rPr>
      </w:pPr>
    </w:p>
    <w:p w14:paraId="686C5EA4" w14:textId="05FE4055" w:rsidR="00C00E3A" w:rsidRPr="00FB564C" w:rsidRDefault="00B606A7">
      <w:pPr>
        <w:rPr>
          <w:b/>
          <w:sz w:val="28"/>
          <w:szCs w:val="28"/>
        </w:rPr>
      </w:pPr>
      <w:r w:rsidRPr="00FB564C">
        <w:rPr>
          <w:b/>
          <w:sz w:val="28"/>
          <w:szCs w:val="28"/>
        </w:rPr>
        <w:t>O</w:t>
      </w:r>
      <w:r w:rsidR="00C00E3A" w:rsidRPr="00FB564C">
        <w:rPr>
          <w:b/>
          <w:sz w:val="28"/>
          <w:szCs w:val="28"/>
        </w:rPr>
        <w:t xml:space="preserve">ther fees irregularly charged </w:t>
      </w:r>
    </w:p>
    <w:p w14:paraId="207797C4" w14:textId="515A95C2" w:rsidR="005E6A07" w:rsidRPr="003877E2" w:rsidRDefault="003877E2" w:rsidP="003877E2">
      <w:pPr>
        <w:rPr>
          <w:sz w:val="28"/>
          <w:szCs w:val="28"/>
        </w:rPr>
      </w:pPr>
      <w:r w:rsidRPr="00FB564C">
        <w:rPr>
          <w:sz w:val="28"/>
          <w:szCs w:val="28"/>
        </w:rPr>
        <w:t>[95]</w:t>
      </w:r>
      <w:r w:rsidRPr="00FB564C">
        <w:rPr>
          <w:sz w:val="28"/>
          <w:szCs w:val="28"/>
        </w:rPr>
        <w:tab/>
      </w:r>
      <w:r w:rsidR="00C00E3A" w:rsidRPr="003877E2">
        <w:rPr>
          <w:sz w:val="28"/>
          <w:szCs w:val="28"/>
        </w:rPr>
        <w:t>This claim is in respect of ‘other fees’ irregularly paid by TDI to RAM for services rendered between 2005 and 2010</w:t>
      </w:r>
      <w:r w:rsidR="006631EA" w:rsidRPr="003877E2">
        <w:rPr>
          <w:sz w:val="28"/>
          <w:szCs w:val="28"/>
        </w:rPr>
        <w:t>,</w:t>
      </w:r>
      <w:r w:rsidR="00101049" w:rsidRPr="003877E2">
        <w:rPr>
          <w:sz w:val="28"/>
          <w:szCs w:val="28"/>
        </w:rPr>
        <w:t xml:space="preserve"> which the</w:t>
      </w:r>
      <w:r w:rsidR="00C00E3A" w:rsidRPr="003877E2">
        <w:rPr>
          <w:sz w:val="28"/>
          <w:szCs w:val="28"/>
        </w:rPr>
        <w:t xml:space="preserve"> appellants contended </w:t>
      </w:r>
      <w:r w:rsidR="00101049" w:rsidRPr="003877E2">
        <w:rPr>
          <w:sz w:val="28"/>
          <w:szCs w:val="28"/>
        </w:rPr>
        <w:t xml:space="preserve">were </w:t>
      </w:r>
      <w:r w:rsidR="00755CAA" w:rsidRPr="003877E2">
        <w:rPr>
          <w:sz w:val="28"/>
          <w:szCs w:val="28"/>
        </w:rPr>
        <w:t xml:space="preserve">not </w:t>
      </w:r>
      <w:r w:rsidR="00C00E3A" w:rsidRPr="003877E2">
        <w:rPr>
          <w:sz w:val="28"/>
          <w:szCs w:val="28"/>
        </w:rPr>
        <w:t xml:space="preserve">permitted </w:t>
      </w:r>
      <w:r w:rsidR="00101049" w:rsidRPr="003877E2">
        <w:rPr>
          <w:sz w:val="28"/>
          <w:szCs w:val="28"/>
        </w:rPr>
        <w:t xml:space="preserve">by </w:t>
      </w:r>
      <w:r w:rsidR="00C00E3A" w:rsidRPr="003877E2">
        <w:rPr>
          <w:sz w:val="28"/>
          <w:szCs w:val="28"/>
        </w:rPr>
        <w:t xml:space="preserve">the </w:t>
      </w:r>
      <w:r w:rsidR="00031170" w:rsidRPr="003877E2">
        <w:rPr>
          <w:sz w:val="28"/>
          <w:szCs w:val="28"/>
        </w:rPr>
        <w:t xml:space="preserve">mandate </w:t>
      </w:r>
      <w:r w:rsidR="00C00E3A" w:rsidRPr="003877E2">
        <w:rPr>
          <w:sz w:val="28"/>
          <w:szCs w:val="28"/>
        </w:rPr>
        <w:t>agreement</w:t>
      </w:r>
      <w:r w:rsidR="00EF3983" w:rsidRPr="003877E2">
        <w:rPr>
          <w:sz w:val="28"/>
          <w:szCs w:val="28"/>
        </w:rPr>
        <w:t>s</w:t>
      </w:r>
      <w:r w:rsidR="00C00E3A" w:rsidRPr="003877E2">
        <w:rPr>
          <w:sz w:val="28"/>
          <w:szCs w:val="28"/>
        </w:rPr>
        <w:t xml:space="preserve">. </w:t>
      </w:r>
      <w:r w:rsidR="00AA4514" w:rsidRPr="003877E2">
        <w:rPr>
          <w:sz w:val="28"/>
          <w:szCs w:val="28"/>
        </w:rPr>
        <w:t>Clause 8 of the management agreement sets out the nature of the remuneration</w:t>
      </w:r>
      <w:r w:rsidR="00AD1B2A" w:rsidRPr="003877E2">
        <w:rPr>
          <w:sz w:val="28"/>
          <w:szCs w:val="28"/>
        </w:rPr>
        <w:t xml:space="preserve"> to which the fund manager is entitled for its administration and management of the fund.</w:t>
      </w:r>
      <w:r w:rsidR="00B051D0" w:rsidRPr="003877E2">
        <w:rPr>
          <w:sz w:val="28"/>
          <w:szCs w:val="28"/>
        </w:rPr>
        <w:t xml:space="preserve"> </w:t>
      </w:r>
    </w:p>
    <w:p w14:paraId="2705FA0B" w14:textId="77777777" w:rsidR="00A608B5" w:rsidRPr="00FB564C" w:rsidRDefault="00A608B5" w:rsidP="008F4835">
      <w:pPr>
        <w:pStyle w:val="ListParagraph"/>
        <w:ind w:left="0"/>
        <w:rPr>
          <w:sz w:val="28"/>
          <w:szCs w:val="28"/>
        </w:rPr>
      </w:pPr>
    </w:p>
    <w:p w14:paraId="2B56488C" w14:textId="568A4F98" w:rsidR="00031170" w:rsidRPr="003877E2" w:rsidRDefault="003877E2" w:rsidP="003877E2">
      <w:pPr>
        <w:rPr>
          <w:sz w:val="28"/>
          <w:szCs w:val="28"/>
        </w:rPr>
      </w:pPr>
      <w:r w:rsidRPr="00FB564C">
        <w:rPr>
          <w:sz w:val="28"/>
          <w:szCs w:val="28"/>
        </w:rPr>
        <w:t>[96]</w:t>
      </w:r>
      <w:r w:rsidRPr="00FB564C">
        <w:rPr>
          <w:sz w:val="28"/>
          <w:szCs w:val="28"/>
        </w:rPr>
        <w:tab/>
      </w:r>
      <w:r w:rsidR="00101049" w:rsidRPr="003877E2">
        <w:rPr>
          <w:sz w:val="28"/>
          <w:szCs w:val="28"/>
        </w:rPr>
        <w:t>The first payment relates to the amount of R820 800 for</w:t>
      </w:r>
      <w:r w:rsidR="00031170" w:rsidRPr="003877E2">
        <w:rPr>
          <w:sz w:val="28"/>
          <w:szCs w:val="28"/>
        </w:rPr>
        <w:t xml:space="preserve"> the</w:t>
      </w:r>
      <w:r w:rsidR="00101049" w:rsidRPr="003877E2">
        <w:rPr>
          <w:sz w:val="28"/>
          <w:szCs w:val="28"/>
        </w:rPr>
        <w:t xml:space="preserve"> screening</w:t>
      </w:r>
      <w:r w:rsidR="00031170" w:rsidRPr="003877E2">
        <w:rPr>
          <w:sz w:val="28"/>
          <w:szCs w:val="28"/>
        </w:rPr>
        <w:t xml:space="preserve"> and investigation of investment </w:t>
      </w:r>
      <w:r w:rsidR="005C556F" w:rsidRPr="003877E2">
        <w:rPr>
          <w:sz w:val="28"/>
          <w:szCs w:val="28"/>
        </w:rPr>
        <w:t>opportunities, which</w:t>
      </w:r>
      <w:r w:rsidR="00031170" w:rsidRPr="003877E2">
        <w:rPr>
          <w:sz w:val="28"/>
          <w:szCs w:val="28"/>
        </w:rPr>
        <w:t xml:space="preserve"> were ultimately not pursued (broken deal). </w:t>
      </w:r>
      <w:r w:rsidR="00B051D0" w:rsidRPr="003877E2">
        <w:rPr>
          <w:sz w:val="28"/>
          <w:szCs w:val="28"/>
        </w:rPr>
        <w:t>No a</w:t>
      </w:r>
      <w:r w:rsidR="00835138" w:rsidRPr="003877E2">
        <w:rPr>
          <w:sz w:val="28"/>
          <w:szCs w:val="28"/>
        </w:rPr>
        <w:t>rgument was pursued in relation to these fees, rightly so as th</w:t>
      </w:r>
      <w:r w:rsidR="005C556F" w:rsidRPr="003877E2">
        <w:rPr>
          <w:sz w:val="28"/>
          <w:szCs w:val="28"/>
        </w:rPr>
        <w:t xml:space="preserve">ere was no basis to charge for these services over and above the ordinary management fee under </w:t>
      </w:r>
      <w:r w:rsidR="003A2CE7" w:rsidRPr="003877E2">
        <w:rPr>
          <w:sz w:val="28"/>
          <w:szCs w:val="28"/>
        </w:rPr>
        <w:t xml:space="preserve">the </w:t>
      </w:r>
      <w:r w:rsidR="005C556F" w:rsidRPr="003877E2">
        <w:rPr>
          <w:sz w:val="28"/>
          <w:szCs w:val="28"/>
        </w:rPr>
        <w:t xml:space="preserve">management agreement.  </w:t>
      </w:r>
    </w:p>
    <w:p w14:paraId="2829E074" w14:textId="77777777" w:rsidR="00C00E3A" w:rsidRPr="00FB564C" w:rsidRDefault="00C00E3A">
      <w:pPr>
        <w:pStyle w:val="ListParagraph"/>
        <w:rPr>
          <w:sz w:val="28"/>
          <w:szCs w:val="28"/>
        </w:rPr>
      </w:pPr>
    </w:p>
    <w:p w14:paraId="69948174" w14:textId="43257E14" w:rsidR="008C6E2F" w:rsidRPr="003877E2" w:rsidRDefault="003877E2" w:rsidP="003877E2">
      <w:pPr>
        <w:rPr>
          <w:sz w:val="28"/>
          <w:szCs w:val="28"/>
        </w:rPr>
      </w:pPr>
      <w:r w:rsidRPr="00FB564C">
        <w:rPr>
          <w:sz w:val="28"/>
          <w:szCs w:val="28"/>
        </w:rPr>
        <w:t>[97]</w:t>
      </w:r>
      <w:r w:rsidRPr="00FB564C">
        <w:rPr>
          <w:sz w:val="28"/>
          <w:szCs w:val="28"/>
        </w:rPr>
        <w:tab/>
      </w:r>
      <w:r w:rsidR="004F759B" w:rsidRPr="003877E2">
        <w:rPr>
          <w:sz w:val="28"/>
          <w:szCs w:val="28"/>
        </w:rPr>
        <w:t>Other fees charged between January 2005 and April 2008</w:t>
      </w:r>
      <w:r w:rsidR="006631EA" w:rsidRPr="003877E2">
        <w:rPr>
          <w:sz w:val="28"/>
          <w:szCs w:val="28"/>
        </w:rPr>
        <w:t>,</w:t>
      </w:r>
      <w:r w:rsidR="004F759B" w:rsidRPr="003877E2">
        <w:rPr>
          <w:sz w:val="28"/>
          <w:szCs w:val="28"/>
        </w:rPr>
        <w:t xml:space="preserve"> in the amounts of</w:t>
      </w:r>
      <w:r w:rsidR="00AA4514" w:rsidRPr="003877E2">
        <w:rPr>
          <w:sz w:val="28"/>
          <w:szCs w:val="28"/>
        </w:rPr>
        <w:t xml:space="preserve"> R6 066</w:t>
      </w:r>
      <w:r w:rsidR="00D872D9" w:rsidRPr="003877E2">
        <w:rPr>
          <w:sz w:val="28"/>
          <w:szCs w:val="28"/>
        </w:rPr>
        <w:t> </w:t>
      </w:r>
      <w:r w:rsidR="00AA4514" w:rsidRPr="003877E2">
        <w:rPr>
          <w:sz w:val="28"/>
          <w:szCs w:val="28"/>
        </w:rPr>
        <w:t>225, R997 499.45 and R2 850</w:t>
      </w:r>
      <w:r w:rsidR="006631EA" w:rsidRPr="003877E2">
        <w:rPr>
          <w:sz w:val="28"/>
          <w:szCs w:val="28"/>
        </w:rPr>
        <w:t> </w:t>
      </w:r>
      <w:r w:rsidR="00AA4514" w:rsidRPr="003877E2">
        <w:rPr>
          <w:sz w:val="28"/>
          <w:szCs w:val="28"/>
        </w:rPr>
        <w:t>000</w:t>
      </w:r>
      <w:r w:rsidR="006631EA" w:rsidRPr="003877E2">
        <w:rPr>
          <w:sz w:val="28"/>
          <w:szCs w:val="28"/>
        </w:rPr>
        <w:t>,</w:t>
      </w:r>
      <w:r w:rsidR="00AA4514" w:rsidRPr="003877E2">
        <w:rPr>
          <w:sz w:val="28"/>
          <w:szCs w:val="28"/>
        </w:rPr>
        <w:t xml:space="preserve"> were</w:t>
      </w:r>
      <w:r w:rsidR="008C6E2F" w:rsidRPr="003877E2">
        <w:rPr>
          <w:sz w:val="28"/>
          <w:szCs w:val="28"/>
        </w:rPr>
        <w:t xml:space="preserve"> paid pursuant to separate mandates concluded between TDI and RAM relating to ‘potential investments’ by TDI.  </w:t>
      </w:r>
    </w:p>
    <w:p w14:paraId="01372BA4" w14:textId="77777777" w:rsidR="008C6E2F" w:rsidRPr="00FB564C" w:rsidRDefault="008C6E2F">
      <w:pPr>
        <w:pStyle w:val="ListParagraph"/>
        <w:rPr>
          <w:sz w:val="28"/>
          <w:szCs w:val="28"/>
        </w:rPr>
      </w:pPr>
    </w:p>
    <w:p w14:paraId="3C91E6A7" w14:textId="59DF9C61" w:rsidR="00AA4514" w:rsidRPr="003877E2" w:rsidRDefault="003877E2" w:rsidP="003877E2">
      <w:pPr>
        <w:rPr>
          <w:sz w:val="28"/>
          <w:szCs w:val="28"/>
        </w:rPr>
      </w:pPr>
      <w:r w:rsidRPr="00FB564C">
        <w:rPr>
          <w:sz w:val="28"/>
          <w:szCs w:val="28"/>
        </w:rPr>
        <w:t>[98]</w:t>
      </w:r>
      <w:r w:rsidRPr="00FB564C">
        <w:rPr>
          <w:sz w:val="28"/>
          <w:szCs w:val="28"/>
        </w:rPr>
        <w:tab/>
      </w:r>
      <w:r w:rsidR="008C6E2F" w:rsidRPr="003877E2">
        <w:rPr>
          <w:sz w:val="28"/>
          <w:szCs w:val="28"/>
        </w:rPr>
        <w:t>A</w:t>
      </w:r>
      <w:r w:rsidR="004F759B" w:rsidRPr="003877E2">
        <w:rPr>
          <w:sz w:val="28"/>
          <w:szCs w:val="28"/>
        </w:rPr>
        <w:t xml:space="preserve">ccording to the </w:t>
      </w:r>
      <w:r w:rsidR="008C6E2F" w:rsidRPr="003877E2">
        <w:rPr>
          <w:sz w:val="28"/>
          <w:szCs w:val="28"/>
        </w:rPr>
        <w:t>appellants, these fees</w:t>
      </w:r>
      <w:r w:rsidR="004F759B" w:rsidRPr="003877E2">
        <w:rPr>
          <w:sz w:val="28"/>
          <w:szCs w:val="28"/>
        </w:rPr>
        <w:t xml:space="preserve"> were to be regarded as ‘fund transaction expenditure</w:t>
      </w:r>
      <w:r w:rsidR="004875F6" w:rsidRPr="003877E2">
        <w:rPr>
          <w:sz w:val="28"/>
          <w:szCs w:val="28"/>
        </w:rPr>
        <w:t>’</w:t>
      </w:r>
      <w:r w:rsidR="004F759B" w:rsidRPr="003877E2">
        <w:rPr>
          <w:sz w:val="28"/>
          <w:szCs w:val="28"/>
        </w:rPr>
        <w:t xml:space="preserve"> in accordance with clause 8.1.4 of the management agreement. </w:t>
      </w:r>
      <w:r w:rsidR="00AA4514" w:rsidRPr="003877E2">
        <w:rPr>
          <w:sz w:val="28"/>
          <w:szCs w:val="28"/>
        </w:rPr>
        <w:t>Clause 8.1.4</w:t>
      </w:r>
      <w:r w:rsidR="00AD1B2A" w:rsidRPr="003877E2">
        <w:rPr>
          <w:sz w:val="28"/>
          <w:szCs w:val="28"/>
        </w:rPr>
        <w:t xml:space="preserve"> provides that ‘</w:t>
      </w:r>
      <w:r w:rsidR="00424E61" w:rsidRPr="003877E2">
        <w:rPr>
          <w:sz w:val="28"/>
          <w:szCs w:val="28"/>
        </w:rPr>
        <w:t>[</w:t>
      </w:r>
      <w:r w:rsidR="006631EA" w:rsidRPr="003877E2">
        <w:rPr>
          <w:sz w:val="28"/>
          <w:szCs w:val="28"/>
        </w:rPr>
        <w:t>.</w:t>
      </w:r>
      <w:r w:rsidR="00424E61" w:rsidRPr="003877E2">
        <w:rPr>
          <w:sz w:val="28"/>
          <w:szCs w:val="28"/>
        </w:rPr>
        <w:t xml:space="preserve">t]he trust shall be responsible for the </w:t>
      </w:r>
      <w:r w:rsidR="00424E61" w:rsidRPr="003877E2">
        <w:rPr>
          <w:sz w:val="28"/>
          <w:szCs w:val="28"/>
        </w:rPr>
        <w:lastRenderedPageBreak/>
        <w:t xml:space="preserve">payment of all </w:t>
      </w:r>
      <w:r w:rsidR="00424E61" w:rsidRPr="003877E2">
        <w:rPr>
          <w:i/>
          <w:sz w:val="28"/>
          <w:szCs w:val="28"/>
        </w:rPr>
        <w:t>expenditure incurred by the Fund manager</w:t>
      </w:r>
      <w:r w:rsidR="00424E61" w:rsidRPr="003877E2">
        <w:rPr>
          <w:sz w:val="28"/>
          <w:szCs w:val="28"/>
        </w:rPr>
        <w:t xml:space="preserve"> from time to time in relation to all Start Up Costs, Trust Organizational Expenditure</w:t>
      </w:r>
      <w:r w:rsidR="003E7071" w:rsidRPr="003877E2">
        <w:rPr>
          <w:sz w:val="28"/>
          <w:szCs w:val="28"/>
        </w:rPr>
        <w:t xml:space="preserve"> and Fund Transaction Expenditure’</w:t>
      </w:r>
      <w:r w:rsidR="004A2B50" w:rsidRPr="003877E2">
        <w:rPr>
          <w:sz w:val="28"/>
          <w:szCs w:val="28"/>
        </w:rPr>
        <w:t>.</w:t>
      </w:r>
      <w:r w:rsidR="00D872D9" w:rsidRPr="003877E2">
        <w:rPr>
          <w:sz w:val="28"/>
          <w:szCs w:val="28"/>
        </w:rPr>
        <w:t xml:space="preserve"> </w:t>
      </w:r>
    </w:p>
    <w:p w14:paraId="444A77B9" w14:textId="77777777" w:rsidR="00AA4514" w:rsidRPr="00FB564C" w:rsidRDefault="00AA4514">
      <w:pPr>
        <w:pStyle w:val="ListParagraph"/>
        <w:rPr>
          <w:sz w:val="28"/>
          <w:szCs w:val="28"/>
        </w:rPr>
      </w:pPr>
    </w:p>
    <w:p w14:paraId="6265F7B5" w14:textId="6996F44B" w:rsidR="006C02BA" w:rsidRPr="003877E2" w:rsidRDefault="003877E2" w:rsidP="003877E2">
      <w:pPr>
        <w:rPr>
          <w:sz w:val="28"/>
          <w:szCs w:val="28"/>
        </w:rPr>
      </w:pPr>
      <w:r w:rsidRPr="00FB564C">
        <w:rPr>
          <w:sz w:val="28"/>
          <w:szCs w:val="28"/>
        </w:rPr>
        <w:t>[99]</w:t>
      </w:r>
      <w:r w:rsidRPr="00FB564C">
        <w:rPr>
          <w:sz w:val="28"/>
          <w:szCs w:val="28"/>
        </w:rPr>
        <w:tab/>
      </w:r>
      <w:r w:rsidR="004F759B" w:rsidRPr="003877E2">
        <w:rPr>
          <w:sz w:val="28"/>
          <w:szCs w:val="28"/>
        </w:rPr>
        <w:t xml:space="preserve">Fund transaction expenditure </w:t>
      </w:r>
      <w:r w:rsidR="00AA4514" w:rsidRPr="003877E2">
        <w:rPr>
          <w:sz w:val="28"/>
          <w:szCs w:val="28"/>
        </w:rPr>
        <w:t xml:space="preserve">is </w:t>
      </w:r>
      <w:r w:rsidR="004F759B" w:rsidRPr="003877E2">
        <w:rPr>
          <w:sz w:val="28"/>
          <w:szCs w:val="28"/>
        </w:rPr>
        <w:t>defined</w:t>
      </w:r>
      <w:r w:rsidR="00D872D9" w:rsidRPr="003877E2">
        <w:rPr>
          <w:sz w:val="28"/>
          <w:szCs w:val="28"/>
        </w:rPr>
        <w:t xml:space="preserve"> as ‘[</w:t>
      </w:r>
      <w:r w:rsidR="00AA4514" w:rsidRPr="003877E2">
        <w:rPr>
          <w:sz w:val="28"/>
          <w:szCs w:val="28"/>
        </w:rPr>
        <w:t>i</w:t>
      </w:r>
      <w:r w:rsidR="00D872D9" w:rsidRPr="003877E2">
        <w:rPr>
          <w:sz w:val="28"/>
          <w:szCs w:val="28"/>
        </w:rPr>
        <w:t>]</w:t>
      </w:r>
      <w:r w:rsidR="00AA4514" w:rsidRPr="003877E2">
        <w:rPr>
          <w:sz w:val="28"/>
          <w:szCs w:val="28"/>
        </w:rPr>
        <w:t>n</w:t>
      </w:r>
      <w:r w:rsidR="00D872D9" w:rsidRPr="003877E2">
        <w:rPr>
          <w:sz w:val="28"/>
          <w:szCs w:val="28"/>
        </w:rPr>
        <w:t xml:space="preserve"> </w:t>
      </w:r>
      <w:r w:rsidR="004F759B" w:rsidRPr="003877E2">
        <w:rPr>
          <w:sz w:val="28"/>
          <w:szCs w:val="28"/>
        </w:rPr>
        <w:t>relation to every existing or prospective portfolio investment, all expenditure and disbursements relating thereto (inclusive of value added tax thereon)</w:t>
      </w:r>
      <w:r w:rsidR="00CF172E" w:rsidRPr="003877E2">
        <w:rPr>
          <w:sz w:val="28"/>
          <w:szCs w:val="28"/>
        </w:rPr>
        <w:t>’</w:t>
      </w:r>
      <w:r w:rsidR="004A2B50" w:rsidRPr="003877E2">
        <w:rPr>
          <w:sz w:val="28"/>
          <w:szCs w:val="28"/>
        </w:rPr>
        <w:t>.</w:t>
      </w:r>
      <w:r w:rsidR="00CF172E" w:rsidRPr="003877E2">
        <w:rPr>
          <w:sz w:val="28"/>
          <w:szCs w:val="28"/>
        </w:rPr>
        <w:t xml:space="preserve"> </w:t>
      </w:r>
      <w:r w:rsidR="004F759B" w:rsidRPr="003877E2">
        <w:rPr>
          <w:sz w:val="28"/>
          <w:szCs w:val="28"/>
        </w:rPr>
        <w:t>RAM describe</w:t>
      </w:r>
      <w:r w:rsidR="00FE1896" w:rsidRPr="003877E2">
        <w:rPr>
          <w:sz w:val="28"/>
          <w:szCs w:val="28"/>
        </w:rPr>
        <w:t>d the three</w:t>
      </w:r>
      <w:r w:rsidR="004F759B" w:rsidRPr="003877E2">
        <w:rPr>
          <w:sz w:val="28"/>
          <w:szCs w:val="28"/>
        </w:rPr>
        <w:t xml:space="preserve"> amounts in its invoicing as ‘corporate finance fees’</w:t>
      </w:r>
      <w:r w:rsidR="00FE1896" w:rsidRPr="003877E2">
        <w:rPr>
          <w:sz w:val="28"/>
          <w:szCs w:val="28"/>
        </w:rPr>
        <w:t xml:space="preserve">. </w:t>
      </w:r>
    </w:p>
    <w:p w14:paraId="4BD70992" w14:textId="77777777" w:rsidR="00F81329" w:rsidRPr="00FB564C" w:rsidRDefault="00F81329">
      <w:pPr>
        <w:pStyle w:val="ListParagraph"/>
        <w:rPr>
          <w:sz w:val="28"/>
          <w:szCs w:val="28"/>
        </w:rPr>
      </w:pPr>
    </w:p>
    <w:p w14:paraId="3CB51E1D" w14:textId="0CA754F0" w:rsidR="00E911F7" w:rsidRPr="003877E2" w:rsidRDefault="003877E2" w:rsidP="003877E2">
      <w:pPr>
        <w:rPr>
          <w:sz w:val="28"/>
          <w:szCs w:val="28"/>
        </w:rPr>
      </w:pPr>
      <w:r w:rsidRPr="00FB564C">
        <w:rPr>
          <w:sz w:val="28"/>
          <w:szCs w:val="28"/>
        </w:rPr>
        <w:t>[100]</w:t>
      </w:r>
      <w:r w:rsidRPr="00FB564C">
        <w:rPr>
          <w:sz w:val="28"/>
          <w:szCs w:val="28"/>
        </w:rPr>
        <w:tab/>
      </w:r>
      <w:r w:rsidR="008A5BDD" w:rsidRPr="003877E2">
        <w:rPr>
          <w:sz w:val="28"/>
          <w:szCs w:val="28"/>
        </w:rPr>
        <w:t>The high court found that professional services provided by RAM cannot be viewed as ‘expenditure incurred by the Fund Manager’</w:t>
      </w:r>
      <w:r w:rsidR="00C12C63" w:rsidRPr="003877E2">
        <w:rPr>
          <w:sz w:val="28"/>
          <w:szCs w:val="28"/>
        </w:rPr>
        <w:t xml:space="preserve"> because clause 31 of the Trust Deed provided for the reimbursement of the fund manager by TDI ‘to the extent </w:t>
      </w:r>
      <w:r w:rsidR="004A7CB7" w:rsidRPr="003877E2">
        <w:rPr>
          <w:sz w:val="28"/>
          <w:szCs w:val="28"/>
        </w:rPr>
        <w:t xml:space="preserve">[of] </w:t>
      </w:r>
      <w:r w:rsidR="00C12C63" w:rsidRPr="003877E2">
        <w:rPr>
          <w:sz w:val="28"/>
          <w:szCs w:val="28"/>
        </w:rPr>
        <w:t>any such costs and expenses paid by it’</w:t>
      </w:r>
      <w:r w:rsidR="00836695" w:rsidRPr="003877E2">
        <w:rPr>
          <w:sz w:val="28"/>
          <w:szCs w:val="28"/>
        </w:rPr>
        <w:t xml:space="preserve"> </w:t>
      </w:r>
      <w:r w:rsidR="00C12C63" w:rsidRPr="003877E2">
        <w:rPr>
          <w:sz w:val="28"/>
          <w:szCs w:val="28"/>
        </w:rPr>
        <w:t>and goes on to detail the out-of-pocket costs and expenses and third-party expenses in different categories. Any fees charged by the fund manager are excluded.</w:t>
      </w:r>
      <w:r w:rsidR="005B18DC" w:rsidRPr="003877E2">
        <w:rPr>
          <w:sz w:val="28"/>
          <w:szCs w:val="28"/>
        </w:rPr>
        <w:t xml:space="preserve"> This interpretation is in my view businesslike and reasonable</w:t>
      </w:r>
      <w:r w:rsidR="00F81329" w:rsidRPr="003877E2">
        <w:rPr>
          <w:sz w:val="28"/>
          <w:szCs w:val="28"/>
        </w:rPr>
        <w:t>.</w:t>
      </w:r>
    </w:p>
    <w:p w14:paraId="2B239C8C" w14:textId="77777777" w:rsidR="00F81329" w:rsidRPr="00FB564C" w:rsidRDefault="00F81329">
      <w:pPr>
        <w:pStyle w:val="ListParagraph"/>
        <w:rPr>
          <w:sz w:val="28"/>
          <w:szCs w:val="28"/>
        </w:rPr>
      </w:pPr>
    </w:p>
    <w:p w14:paraId="0B510233" w14:textId="6736C0B5" w:rsidR="008C6E2F" w:rsidRPr="003877E2" w:rsidRDefault="003877E2" w:rsidP="003877E2">
      <w:pPr>
        <w:rPr>
          <w:sz w:val="28"/>
          <w:szCs w:val="28"/>
        </w:rPr>
      </w:pPr>
      <w:r w:rsidRPr="00FB564C">
        <w:rPr>
          <w:sz w:val="28"/>
          <w:szCs w:val="28"/>
        </w:rPr>
        <w:t>[101]</w:t>
      </w:r>
      <w:r w:rsidRPr="00FB564C">
        <w:rPr>
          <w:sz w:val="28"/>
          <w:szCs w:val="28"/>
        </w:rPr>
        <w:tab/>
      </w:r>
      <w:r w:rsidR="00E911F7" w:rsidRPr="003877E2">
        <w:rPr>
          <w:sz w:val="28"/>
          <w:szCs w:val="28"/>
        </w:rPr>
        <w:t>The high court further found that clause 8.1.4 c</w:t>
      </w:r>
      <w:r w:rsidR="008C6E2F" w:rsidRPr="003877E2">
        <w:rPr>
          <w:sz w:val="28"/>
          <w:szCs w:val="28"/>
        </w:rPr>
        <w:t>ould not</w:t>
      </w:r>
      <w:r w:rsidR="00E911F7" w:rsidRPr="003877E2">
        <w:rPr>
          <w:sz w:val="28"/>
          <w:szCs w:val="28"/>
        </w:rPr>
        <w:t xml:space="preserve"> extend to professional fees charged by the fund manager</w:t>
      </w:r>
      <w:r w:rsidR="004A2B50" w:rsidRPr="003877E2">
        <w:rPr>
          <w:sz w:val="28"/>
          <w:szCs w:val="28"/>
        </w:rPr>
        <w:t>,</w:t>
      </w:r>
      <w:r w:rsidR="00E911F7" w:rsidRPr="003877E2">
        <w:rPr>
          <w:sz w:val="28"/>
          <w:szCs w:val="28"/>
        </w:rPr>
        <w:t xml:space="preserve"> as </w:t>
      </w:r>
      <w:r w:rsidR="008C6E2F" w:rsidRPr="003877E2">
        <w:rPr>
          <w:sz w:val="28"/>
          <w:szCs w:val="28"/>
        </w:rPr>
        <w:t xml:space="preserve">they were </w:t>
      </w:r>
      <w:r w:rsidR="00E911F7" w:rsidRPr="003877E2">
        <w:rPr>
          <w:sz w:val="28"/>
          <w:szCs w:val="28"/>
        </w:rPr>
        <w:t>not expenditure incurred by the fund manager</w:t>
      </w:r>
      <w:r w:rsidR="006631EA" w:rsidRPr="003877E2">
        <w:rPr>
          <w:sz w:val="28"/>
          <w:szCs w:val="28"/>
        </w:rPr>
        <w:t>,</w:t>
      </w:r>
      <w:r w:rsidR="00E911F7" w:rsidRPr="003877E2">
        <w:rPr>
          <w:sz w:val="28"/>
          <w:szCs w:val="28"/>
        </w:rPr>
        <w:t xml:space="preserve"> nor d</w:t>
      </w:r>
      <w:r w:rsidR="008C6E2F" w:rsidRPr="003877E2">
        <w:rPr>
          <w:sz w:val="28"/>
          <w:szCs w:val="28"/>
        </w:rPr>
        <w:t>id</w:t>
      </w:r>
      <w:r w:rsidR="00E911F7" w:rsidRPr="003877E2">
        <w:rPr>
          <w:sz w:val="28"/>
          <w:szCs w:val="28"/>
        </w:rPr>
        <w:t xml:space="preserve"> </w:t>
      </w:r>
      <w:r w:rsidR="008C6E2F" w:rsidRPr="003877E2">
        <w:rPr>
          <w:sz w:val="28"/>
          <w:szCs w:val="28"/>
        </w:rPr>
        <w:t>they</w:t>
      </w:r>
      <w:r w:rsidR="00E911F7" w:rsidRPr="003877E2">
        <w:rPr>
          <w:sz w:val="28"/>
          <w:szCs w:val="28"/>
        </w:rPr>
        <w:t xml:space="preserve"> fall under the ambit of fund transaction expenditure, which </w:t>
      </w:r>
      <w:r w:rsidR="008C6E2F" w:rsidRPr="003877E2">
        <w:rPr>
          <w:sz w:val="28"/>
          <w:szCs w:val="28"/>
        </w:rPr>
        <w:t>was</w:t>
      </w:r>
      <w:r w:rsidR="00E911F7" w:rsidRPr="003877E2">
        <w:rPr>
          <w:sz w:val="28"/>
          <w:szCs w:val="28"/>
        </w:rPr>
        <w:t xml:space="preserve"> limited to expenses and disbursements relating thereto.</w:t>
      </w:r>
      <w:r w:rsidR="008C6E2F" w:rsidRPr="003877E2">
        <w:rPr>
          <w:sz w:val="28"/>
          <w:szCs w:val="28"/>
        </w:rPr>
        <w:t xml:space="preserve"> </w:t>
      </w:r>
    </w:p>
    <w:p w14:paraId="3DCE12D4" w14:textId="77777777" w:rsidR="008C6E2F" w:rsidRPr="00FB564C" w:rsidRDefault="008C6E2F">
      <w:pPr>
        <w:pStyle w:val="ListParagraph"/>
        <w:rPr>
          <w:sz w:val="28"/>
          <w:szCs w:val="28"/>
        </w:rPr>
      </w:pPr>
    </w:p>
    <w:p w14:paraId="25B5209D" w14:textId="049F390E" w:rsidR="008A5BDD" w:rsidRPr="003877E2" w:rsidRDefault="003877E2" w:rsidP="003877E2">
      <w:pPr>
        <w:rPr>
          <w:sz w:val="28"/>
          <w:szCs w:val="28"/>
        </w:rPr>
      </w:pPr>
      <w:r w:rsidRPr="00FB564C">
        <w:rPr>
          <w:sz w:val="28"/>
          <w:szCs w:val="28"/>
        </w:rPr>
        <w:t>[102]</w:t>
      </w:r>
      <w:r w:rsidRPr="00FB564C">
        <w:rPr>
          <w:sz w:val="28"/>
          <w:szCs w:val="28"/>
        </w:rPr>
        <w:tab/>
      </w:r>
      <w:r w:rsidR="008C6E2F" w:rsidRPr="003877E2">
        <w:rPr>
          <w:sz w:val="28"/>
          <w:szCs w:val="28"/>
        </w:rPr>
        <w:t>T</w:t>
      </w:r>
      <w:r w:rsidR="00E911F7" w:rsidRPr="003877E2">
        <w:rPr>
          <w:sz w:val="28"/>
          <w:szCs w:val="28"/>
        </w:rPr>
        <w:t xml:space="preserve">he RAM fees could not be described as either expenses or disbursements incurred by RAM on behalf of TDI. Accordingly, such payments under the mandate agreements were not validly claimed from TDI under the management agreement. The court </w:t>
      </w:r>
      <w:r w:rsidR="00836695" w:rsidRPr="003877E2">
        <w:rPr>
          <w:sz w:val="28"/>
          <w:szCs w:val="28"/>
        </w:rPr>
        <w:t xml:space="preserve">further </w:t>
      </w:r>
      <w:r w:rsidR="00E911F7" w:rsidRPr="003877E2">
        <w:rPr>
          <w:sz w:val="28"/>
          <w:szCs w:val="28"/>
        </w:rPr>
        <w:t xml:space="preserve">found that in any event, even if it were wrong, those services fell </w:t>
      </w:r>
      <w:r w:rsidR="00E911F7" w:rsidRPr="003877E2">
        <w:rPr>
          <w:sz w:val="28"/>
          <w:szCs w:val="28"/>
        </w:rPr>
        <w:lastRenderedPageBreak/>
        <w:t xml:space="preserve">squarely </w:t>
      </w:r>
      <w:r w:rsidR="00836695" w:rsidRPr="003877E2">
        <w:rPr>
          <w:sz w:val="28"/>
          <w:szCs w:val="28"/>
        </w:rPr>
        <w:t xml:space="preserve">and </w:t>
      </w:r>
      <w:r w:rsidR="00E911F7" w:rsidRPr="003877E2">
        <w:rPr>
          <w:sz w:val="28"/>
          <w:szCs w:val="28"/>
        </w:rPr>
        <w:t xml:space="preserve">were largely within the standard fund management services covered by the management agreement or </w:t>
      </w:r>
      <w:r w:rsidR="008C6E2F" w:rsidRPr="003877E2">
        <w:rPr>
          <w:sz w:val="28"/>
          <w:szCs w:val="28"/>
        </w:rPr>
        <w:t xml:space="preserve">were </w:t>
      </w:r>
      <w:r w:rsidR="00E911F7" w:rsidRPr="003877E2">
        <w:rPr>
          <w:sz w:val="28"/>
          <w:szCs w:val="28"/>
        </w:rPr>
        <w:t>not services that were actually required to be performed in relation to the transactions in question</w:t>
      </w:r>
      <w:r w:rsidR="00F81329" w:rsidRPr="003877E2">
        <w:rPr>
          <w:sz w:val="28"/>
          <w:szCs w:val="28"/>
        </w:rPr>
        <w:t>.</w:t>
      </w:r>
    </w:p>
    <w:p w14:paraId="30B0F975" w14:textId="77777777" w:rsidR="008A5BDD" w:rsidRPr="00FB564C" w:rsidRDefault="008A5BDD">
      <w:pPr>
        <w:pStyle w:val="ListParagraph"/>
        <w:rPr>
          <w:sz w:val="28"/>
          <w:szCs w:val="28"/>
        </w:rPr>
      </w:pPr>
    </w:p>
    <w:p w14:paraId="2058A993" w14:textId="030AAB66" w:rsidR="004A44F6" w:rsidRPr="003877E2" w:rsidRDefault="003877E2" w:rsidP="003877E2">
      <w:pPr>
        <w:rPr>
          <w:sz w:val="28"/>
          <w:szCs w:val="28"/>
        </w:rPr>
      </w:pPr>
      <w:r w:rsidRPr="00FB564C">
        <w:rPr>
          <w:sz w:val="28"/>
          <w:szCs w:val="28"/>
        </w:rPr>
        <w:t>[103]</w:t>
      </w:r>
      <w:r w:rsidRPr="00FB564C">
        <w:rPr>
          <w:sz w:val="28"/>
          <w:szCs w:val="28"/>
        </w:rPr>
        <w:tab/>
      </w:r>
      <w:r w:rsidR="006C02BA" w:rsidRPr="003877E2">
        <w:rPr>
          <w:sz w:val="28"/>
          <w:szCs w:val="28"/>
        </w:rPr>
        <w:t>The high court</w:t>
      </w:r>
      <w:r w:rsidR="00E911F7" w:rsidRPr="003877E2">
        <w:rPr>
          <w:sz w:val="28"/>
          <w:szCs w:val="28"/>
        </w:rPr>
        <w:t>’s</w:t>
      </w:r>
      <w:r w:rsidR="006C02BA" w:rsidRPr="003877E2">
        <w:rPr>
          <w:sz w:val="28"/>
          <w:szCs w:val="28"/>
        </w:rPr>
        <w:t xml:space="preserve"> </w:t>
      </w:r>
      <w:r w:rsidR="00E911F7" w:rsidRPr="003877E2">
        <w:rPr>
          <w:sz w:val="28"/>
          <w:szCs w:val="28"/>
        </w:rPr>
        <w:t>interpretation is a sensible one</w:t>
      </w:r>
      <w:r w:rsidR="001A1221" w:rsidRPr="003877E2">
        <w:rPr>
          <w:sz w:val="28"/>
          <w:szCs w:val="28"/>
        </w:rPr>
        <w:t xml:space="preserve"> </w:t>
      </w:r>
      <w:r w:rsidR="00E911F7" w:rsidRPr="003877E2">
        <w:rPr>
          <w:sz w:val="28"/>
          <w:szCs w:val="28"/>
        </w:rPr>
        <w:t xml:space="preserve">and there is no reason to interfere </w:t>
      </w:r>
      <w:r w:rsidR="005C0510" w:rsidRPr="003877E2">
        <w:rPr>
          <w:sz w:val="28"/>
          <w:szCs w:val="28"/>
        </w:rPr>
        <w:t>with</w:t>
      </w:r>
      <w:r w:rsidR="00E911F7" w:rsidRPr="003877E2">
        <w:rPr>
          <w:sz w:val="28"/>
          <w:szCs w:val="28"/>
        </w:rPr>
        <w:t xml:space="preserve"> it. </w:t>
      </w:r>
      <w:r w:rsidR="005C0510" w:rsidRPr="003877E2">
        <w:rPr>
          <w:sz w:val="28"/>
          <w:szCs w:val="28"/>
        </w:rPr>
        <w:t>Furthermore, as the high court correctly found</w:t>
      </w:r>
      <w:r w:rsidR="00AD7DF0" w:rsidRPr="003877E2">
        <w:rPr>
          <w:sz w:val="28"/>
          <w:szCs w:val="28"/>
        </w:rPr>
        <w:t>, it was within RAM’s powers and obligations</w:t>
      </w:r>
      <w:r w:rsidR="00613272" w:rsidRPr="003877E2">
        <w:rPr>
          <w:sz w:val="28"/>
          <w:szCs w:val="28"/>
        </w:rPr>
        <w:t xml:space="preserve"> under the management agreement to ‘screen, select and investigate appropriate investment opportunities for the trust’. Oaker’s evidence was vague as to what was actually done </w:t>
      </w:r>
      <w:r w:rsidR="00755CAA" w:rsidRPr="003877E2">
        <w:rPr>
          <w:sz w:val="28"/>
          <w:szCs w:val="28"/>
        </w:rPr>
        <w:t xml:space="preserve">by </w:t>
      </w:r>
      <w:r w:rsidR="00613272" w:rsidRPr="003877E2">
        <w:rPr>
          <w:sz w:val="28"/>
          <w:szCs w:val="28"/>
        </w:rPr>
        <w:t xml:space="preserve">RAM </w:t>
      </w:r>
      <w:r w:rsidR="008B7869" w:rsidRPr="003877E2">
        <w:rPr>
          <w:sz w:val="28"/>
          <w:szCs w:val="28"/>
        </w:rPr>
        <w:t>in regard to</w:t>
      </w:r>
      <w:r w:rsidR="00613272" w:rsidRPr="003877E2">
        <w:rPr>
          <w:sz w:val="28"/>
          <w:szCs w:val="28"/>
        </w:rPr>
        <w:t xml:space="preserve"> these transactions. </w:t>
      </w:r>
    </w:p>
    <w:p w14:paraId="7B54232B" w14:textId="77777777" w:rsidR="00F81329" w:rsidRPr="00FB564C" w:rsidRDefault="00F81329">
      <w:pPr>
        <w:pStyle w:val="ListParagraph"/>
        <w:rPr>
          <w:sz w:val="28"/>
          <w:szCs w:val="28"/>
        </w:rPr>
      </w:pPr>
    </w:p>
    <w:p w14:paraId="046E3BE8" w14:textId="385845B6" w:rsidR="004A44F6" w:rsidRPr="003877E2" w:rsidRDefault="003877E2" w:rsidP="003877E2">
      <w:pPr>
        <w:rPr>
          <w:sz w:val="28"/>
          <w:szCs w:val="28"/>
        </w:rPr>
      </w:pPr>
      <w:r w:rsidRPr="00FB564C">
        <w:rPr>
          <w:sz w:val="28"/>
          <w:szCs w:val="28"/>
        </w:rPr>
        <w:t>[104]</w:t>
      </w:r>
      <w:r w:rsidRPr="00FB564C">
        <w:rPr>
          <w:sz w:val="28"/>
          <w:szCs w:val="28"/>
        </w:rPr>
        <w:tab/>
      </w:r>
      <w:r w:rsidR="008226DA" w:rsidRPr="003877E2">
        <w:rPr>
          <w:sz w:val="28"/>
          <w:szCs w:val="28"/>
        </w:rPr>
        <w:t xml:space="preserve">There was clearly no basis established for charging these additional fees. </w:t>
      </w:r>
      <w:r w:rsidR="004A44F6" w:rsidRPr="003877E2">
        <w:rPr>
          <w:sz w:val="28"/>
          <w:szCs w:val="28"/>
        </w:rPr>
        <w:t xml:space="preserve">The finding that </w:t>
      </w:r>
      <w:r w:rsidR="008226DA" w:rsidRPr="003877E2">
        <w:rPr>
          <w:sz w:val="28"/>
          <w:szCs w:val="28"/>
        </w:rPr>
        <w:t xml:space="preserve">these mandates </w:t>
      </w:r>
      <w:r w:rsidR="004A44F6" w:rsidRPr="003877E2">
        <w:rPr>
          <w:sz w:val="28"/>
          <w:szCs w:val="28"/>
        </w:rPr>
        <w:t>were designed to extract value for the benefit of RAM and</w:t>
      </w:r>
      <w:r w:rsidR="00755CAA" w:rsidRPr="003877E2">
        <w:rPr>
          <w:sz w:val="28"/>
          <w:szCs w:val="28"/>
        </w:rPr>
        <w:t>,</w:t>
      </w:r>
      <w:r w:rsidR="004A44F6" w:rsidRPr="003877E2">
        <w:rPr>
          <w:sz w:val="28"/>
          <w:szCs w:val="28"/>
        </w:rPr>
        <w:t xml:space="preserve"> </w:t>
      </w:r>
      <w:r w:rsidR="008226DA" w:rsidRPr="003877E2">
        <w:rPr>
          <w:sz w:val="28"/>
          <w:szCs w:val="28"/>
        </w:rPr>
        <w:t xml:space="preserve">in </w:t>
      </w:r>
      <w:r w:rsidR="004A44F6" w:rsidRPr="003877E2">
        <w:rPr>
          <w:sz w:val="28"/>
          <w:szCs w:val="28"/>
        </w:rPr>
        <w:t xml:space="preserve">the </w:t>
      </w:r>
      <w:r w:rsidR="008226DA" w:rsidRPr="003877E2">
        <w:rPr>
          <w:sz w:val="28"/>
          <w:szCs w:val="28"/>
        </w:rPr>
        <w:t>end</w:t>
      </w:r>
      <w:r w:rsidR="004A44F6" w:rsidRPr="003877E2">
        <w:rPr>
          <w:sz w:val="28"/>
          <w:szCs w:val="28"/>
        </w:rPr>
        <w:t xml:space="preserve"> Johnny</w:t>
      </w:r>
      <w:r w:rsidR="00755CAA" w:rsidRPr="003877E2">
        <w:rPr>
          <w:sz w:val="28"/>
          <w:szCs w:val="28"/>
        </w:rPr>
        <w:t>,</w:t>
      </w:r>
      <w:r w:rsidR="008226DA" w:rsidRPr="003877E2">
        <w:rPr>
          <w:sz w:val="28"/>
          <w:szCs w:val="28"/>
        </w:rPr>
        <w:t xml:space="preserve"> is</w:t>
      </w:r>
      <w:r w:rsidR="00836695" w:rsidRPr="003877E2">
        <w:rPr>
          <w:sz w:val="28"/>
          <w:szCs w:val="28"/>
        </w:rPr>
        <w:t xml:space="preserve"> inescapable</w:t>
      </w:r>
      <w:r w:rsidR="004A44F6" w:rsidRPr="003877E2">
        <w:rPr>
          <w:sz w:val="28"/>
          <w:szCs w:val="28"/>
        </w:rPr>
        <w:t>.</w:t>
      </w:r>
      <w:r w:rsidR="00D83EAB" w:rsidRPr="003877E2">
        <w:rPr>
          <w:sz w:val="28"/>
          <w:szCs w:val="28"/>
        </w:rPr>
        <w:t xml:space="preserve"> The high court correctly </w:t>
      </w:r>
      <w:r w:rsidR="008226DA" w:rsidRPr="003877E2">
        <w:rPr>
          <w:sz w:val="28"/>
          <w:szCs w:val="28"/>
        </w:rPr>
        <w:t>concluded that</w:t>
      </w:r>
      <w:r w:rsidR="00D83EAB" w:rsidRPr="003877E2">
        <w:rPr>
          <w:sz w:val="28"/>
          <w:szCs w:val="28"/>
        </w:rPr>
        <w:t xml:space="preserve"> the</w:t>
      </w:r>
      <w:r w:rsidR="001A1221" w:rsidRPr="003877E2">
        <w:rPr>
          <w:sz w:val="28"/>
          <w:szCs w:val="28"/>
        </w:rPr>
        <w:t>se</w:t>
      </w:r>
      <w:r w:rsidR="00D83EAB" w:rsidRPr="003877E2">
        <w:rPr>
          <w:sz w:val="28"/>
          <w:szCs w:val="28"/>
        </w:rPr>
        <w:t xml:space="preserve"> agreements </w:t>
      </w:r>
      <w:r w:rsidR="008226DA" w:rsidRPr="003877E2">
        <w:rPr>
          <w:sz w:val="28"/>
          <w:szCs w:val="28"/>
        </w:rPr>
        <w:t xml:space="preserve">were </w:t>
      </w:r>
      <w:r w:rsidR="00D83EAB" w:rsidRPr="003877E2">
        <w:rPr>
          <w:sz w:val="28"/>
          <w:szCs w:val="28"/>
        </w:rPr>
        <w:t>in breach</w:t>
      </w:r>
      <w:r w:rsidR="00835216" w:rsidRPr="003877E2">
        <w:rPr>
          <w:sz w:val="28"/>
          <w:szCs w:val="28"/>
        </w:rPr>
        <w:t xml:space="preserve"> of </w:t>
      </w:r>
      <w:r w:rsidR="001A1221" w:rsidRPr="003877E2">
        <w:rPr>
          <w:sz w:val="28"/>
          <w:szCs w:val="28"/>
        </w:rPr>
        <w:t xml:space="preserve">the appellants’ </w:t>
      </w:r>
      <w:r w:rsidR="00835216" w:rsidRPr="003877E2">
        <w:rPr>
          <w:sz w:val="28"/>
          <w:szCs w:val="28"/>
        </w:rPr>
        <w:t xml:space="preserve">fiduciary duties because they were disadvantageous to TDI and did not reflect an </w:t>
      </w:r>
      <w:r w:rsidR="008226DA" w:rsidRPr="003877E2">
        <w:rPr>
          <w:sz w:val="28"/>
          <w:szCs w:val="28"/>
        </w:rPr>
        <w:t>arm’s length</w:t>
      </w:r>
      <w:r w:rsidR="00835216" w:rsidRPr="003877E2">
        <w:rPr>
          <w:sz w:val="28"/>
          <w:szCs w:val="28"/>
        </w:rPr>
        <w:t xml:space="preserve"> fee. </w:t>
      </w:r>
    </w:p>
    <w:p w14:paraId="13FCDC0C" w14:textId="77777777" w:rsidR="004F6F89" w:rsidRPr="00FB564C" w:rsidRDefault="004F6F89">
      <w:pPr>
        <w:pStyle w:val="ListParagraph"/>
        <w:rPr>
          <w:sz w:val="28"/>
          <w:szCs w:val="28"/>
        </w:rPr>
      </w:pPr>
    </w:p>
    <w:p w14:paraId="669264A4" w14:textId="682EF498" w:rsidR="00C4790E" w:rsidRPr="003877E2" w:rsidRDefault="003877E2" w:rsidP="003877E2">
      <w:pPr>
        <w:rPr>
          <w:sz w:val="28"/>
          <w:szCs w:val="28"/>
        </w:rPr>
      </w:pPr>
      <w:r w:rsidRPr="00FB564C">
        <w:rPr>
          <w:sz w:val="28"/>
          <w:szCs w:val="28"/>
        </w:rPr>
        <w:t>[105]</w:t>
      </w:r>
      <w:r w:rsidRPr="00FB564C">
        <w:rPr>
          <w:sz w:val="28"/>
          <w:szCs w:val="28"/>
        </w:rPr>
        <w:tab/>
      </w:r>
      <w:r w:rsidR="004F759B" w:rsidRPr="003877E2">
        <w:rPr>
          <w:sz w:val="28"/>
          <w:szCs w:val="28"/>
        </w:rPr>
        <w:t xml:space="preserve">The </w:t>
      </w:r>
      <w:r w:rsidR="00A7069F" w:rsidRPr="003877E2">
        <w:rPr>
          <w:sz w:val="28"/>
          <w:szCs w:val="28"/>
        </w:rPr>
        <w:t>final</w:t>
      </w:r>
      <w:r w:rsidR="00C4790E" w:rsidRPr="003877E2">
        <w:rPr>
          <w:sz w:val="28"/>
          <w:szCs w:val="28"/>
        </w:rPr>
        <w:t xml:space="preserve"> </w:t>
      </w:r>
      <w:r w:rsidR="001A1221" w:rsidRPr="003877E2">
        <w:rPr>
          <w:sz w:val="28"/>
          <w:szCs w:val="28"/>
        </w:rPr>
        <w:t xml:space="preserve">amount </w:t>
      </w:r>
      <w:r w:rsidR="004F759B" w:rsidRPr="003877E2">
        <w:rPr>
          <w:sz w:val="28"/>
          <w:szCs w:val="28"/>
        </w:rPr>
        <w:t xml:space="preserve">of R11 400 000 </w:t>
      </w:r>
      <w:r w:rsidR="001A1221" w:rsidRPr="003877E2">
        <w:rPr>
          <w:sz w:val="28"/>
          <w:szCs w:val="28"/>
        </w:rPr>
        <w:t>was</w:t>
      </w:r>
      <w:r w:rsidR="000970B6" w:rsidRPr="003877E2">
        <w:rPr>
          <w:sz w:val="28"/>
          <w:szCs w:val="28"/>
        </w:rPr>
        <w:t xml:space="preserve"> </w:t>
      </w:r>
      <w:r w:rsidR="00C4790E" w:rsidRPr="003877E2">
        <w:rPr>
          <w:sz w:val="28"/>
          <w:szCs w:val="28"/>
        </w:rPr>
        <w:t xml:space="preserve">paid as </w:t>
      </w:r>
      <w:r w:rsidR="004F759B" w:rsidRPr="003877E2">
        <w:rPr>
          <w:sz w:val="28"/>
          <w:szCs w:val="28"/>
        </w:rPr>
        <w:t xml:space="preserve">a fee </w:t>
      </w:r>
      <w:r w:rsidR="00C4790E" w:rsidRPr="003877E2">
        <w:rPr>
          <w:sz w:val="28"/>
          <w:szCs w:val="28"/>
        </w:rPr>
        <w:t>for an alleged p</w:t>
      </w:r>
      <w:r w:rsidR="004F759B" w:rsidRPr="003877E2">
        <w:rPr>
          <w:sz w:val="28"/>
          <w:szCs w:val="28"/>
        </w:rPr>
        <w:t>roperty asset mandate concluded between RAM and the property</w:t>
      </w:r>
      <w:r w:rsidR="001456BA" w:rsidRPr="003877E2">
        <w:rPr>
          <w:sz w:val="28"/>
          <w:szCs w:val="28"/>
        </w:rPr>
        <w:t>-</w:t>
      </w:r>
      <w:r w:rsidR="004F759B" w:rsidRPr="003877E2">
        <w:rPr>
          <w:sz w:val="28"/>
          <w:szCs w:val="28"/>
        </w:rPr>
        <w:t>owning entities. TDI was not a party to the mandate. In terms of the mandate, Rapicorp 122, Rapicorp 12</w:t>
      </w:r>
      <w:r w:rsidR="00A7069F" w:rsidRPr="003877E2">
        <w:rPr>
          <w:sz w:val="28"/>
          <w:szCs w:val="28"/>
        </w:rPr>
        <w:t>3</w:t>
      </w:r>
      <w:r w:rsidR="004F759B" w:rsidRPr="003877E2">
        <w:rPr>
          <w:sz w:val="28"/>
          <w:szCs w:val="28"/>
        </w:rPr>
        <w:t xml:space="preserve"> and C-Max were responsible for paying the fee earned by RAM. </w:t>
      </w:r>
      <w:r w:rsidR="00C4790E" w:rsidRPr="003877E2">
        <w:rPr>
          <w:sz w:val="28"/>
          <w:szCs w:val="28"/>
        </w:rPr>
        <w:t>According to the appellants, t</w:t>
      </w:r>
      <w:r w:rsidR="004F759B" w:rsidRPr="003877E2">
        <w:rPr>
          <w:sz w:val="28"/>
          <w:szCs w:val="28"/>
        </w:rPr>
        <w:t xml:space="preserve">he fee was paid by TDI </w:t>
      </w:r>
      <w:r w:rsidR="00C4790E" w:rsidRPr="003877E2">
        <w:rPr>
          <w:sz w:val="28"/>
          <w:szCs w:val="28"/>
        </w:rPr>
        <w:t>a</w:t>
      </w:r>
      <w:r w:rsidR="004F759B" w:rsidRPr="003877E2">
        <w:rPr>
          <w:sz w:val="28"/>
          <w:szCs w:val="28"/>
        </w:rPr>
        <w:t>s the beneficial owner of the property</w:t>
      </w:r>
      <w:r w:rsidR="00755CAA" w:rsidRPr="003877E2">
        <w:rPr>
          <w:sz w:val="28"/>
          <w:szCs w:val="28"/>
        </w:rPr>
        <w:t>-</w:t>
      </w:r>
      <w:r w:rsidR="004F759B" w:rsidRPr="003877E2">
        <w:rPr>
          <w:sz w:val="28"/>
          <w:szCs w:val="28"/>
        </w:rPr>
        <w:t xml:space="preserve">owning entities. </w:t>
      </w:r>
    </w:p>
    <w:p w14:paraId="192BCED5" w14:textId="77777777" w:rsidR="00C4790E" w:rsidRPr="00FB564C" w:rsidRDefault="00C4790E">
      <w:pPr>
        <w:pStyle w:val="ListParagraph"/>
        <w:rPr>
          <w:sz w:val="28"/>
          <w:szCs w:val="28"/>
        </w:rPr>
      </w:pPr>
    </w:p>
    <w:p w14:paraId="40AA8065" w14:textId="5114E571" w:rsidR="001F270C" w:rsidRPr="003877E2" w:rsidRDefault="003877E2" w:rsidP="003877E2">
      <w:pPr>
        <w:rPr>
          <w:sz w:val="28"/>
          <w:szCs w:val="28"/>
        </w:rPr>
      </w:pPr>
      <w:r w:rsidRPr="00FB564C">
        <w:rPr>
          <w:sz w:val="28"/>
          <w:szCs w:val="28"/>
        </w:rPr>
        <w:t>[106]</w:t>
      </w:r>
      <w:r w:rsidRPr="00FB564C">
        <w:rPr>
          <w:sz w:val="28"/>
          <w:szCs w:val="28"/>
        </w:rPr>
        <w:tab/>
      </w:r>
      <w:r w:rsidR="00C4790E" w:rsidRPr="003877E2">
        <w:rPr>
          <w:sz w:val="28"/>
          <w:szCs w:val="28"/>
        </w:rPr>
        <w:t>T</w:t>
      </w:r>
      <w:r w:rsidR="004F759B" w:rsidRPr="003877E2">
        <w:rPr>
          <w:sz w:val="28"/>
          <w:szCs w:val="28"/>
        </w:rPr>
        <w:t>hese entities</w:t>
      </w:r>
      <w:r w:rsidR="00C4790E" w:rsidRPr="003877E2">
        <w:rPr>
          <w:sz w:val="28"/>
          <w:szCs w:val="28"/>
        </w:rPr>
        <w:t xml:space="preserve">, so it was contended, </w:t>
      </w:r>
      <w:r w:rsidR="004F759B" w:rsidRPr="003877E2">
        <w:rPr>
          <w:sz w:val="28"/>
          <w:szCs w:val="28"/>
        </w:rPr>
        <w:t xml:space="preserve">generated no income to pay their own expenses. TDI generally paid the expenses of its subsidiaries. </w:t>
      </w:r>
      <w:r w:rsidR="00755CAA" w:rsidRPr="003877E2">
        <w:rPr>
          <w:sz w:val="28"/>
          <w:szCs w:val="28"/>
        </w:rPr>
        <w:t>I</w:t>
      </w:r>
      <w:r w:rsidR="004F759B" w:rsidRPr="003877E2">
        <w:rPr>
          <w:sz w:val="28"/>
          <w:szCs w:val="28"/>
        </w:rPr>
        <w:t xml:space="preserve">n the books of Rapicorp 122, </w:t>
      </w:r>
      <w:r w:rsidR="00755CAA" w:rsidRPr="003877E2">
        <w:rPr>
          <w:sz w:val="28"/>
          <w:szCs w:val="28"/>
        </w:rPr>
        <w:t xml:space="preserve">this amount was </w:t>
      </w:r>
      <w:r w:rsidR="004F759B" w:rsidRPr="003877E2">
        <w:rPr>
          <w:sz w:val="28"/>
          <w:szCs w:val="28"/>
        </w:rPr>
        <w:t xml:space="preserve">dealt with as a loan from its shareholder. In PIF’s </w:t>
      </w:r>
      <w:r w:rsidR="004F759B" w:rsidRPr="003877E2">
        <w:rPr>
          <w:sz w:val="28"/>
          <w:szCs w:val="28"/>
        </w:rPr>
        <w:lastRenderedPageBreak/>
        <w:t>books it was reflected as a loan to a related party.</w:t>
      </w:r>
      <w:r w:rsidR="001F270C" w:rsidRPr="003877E2">
        <w:rPr>
          <w:sz w:val="28"/>
          <w:szCs w:val="28"/>
        </w:rPr>
        <w:t xml:space="preserve"> </w:t>
      </w:r>
      <w:r w:rsidR="004F759B" w:rsidRPr="003877E2">
        <w:rPr>
          <w:sz w:val="28"/>
          <w:szCs w:val="28"/>
        </w:rPr>
        <w:t>The appellants submit</w:t>
      </w:r>
      <w:r w:rsidR="00DD31B1" w:rsidRPr="003877E2">
        <w:rPr>
          <w:sz w:val="28"/>
          <w:szCs w:val="28"/>
        </w:rPr>
        <w:t>ted</w:t>
      </w:r>
      <w:r w:rsidR="004F759B" w:rsidRPr="003877E2">
        <w:rPr>
          <w:sz w:val="28"/>
          <w:szCs w:val="28"/>
        </w:rPr>
        <w:t xml:space="preserve"> that the </w:t>
      </w:r>
      <w:r w:rsidR="00C4790E" w:rsidRPr="003877E2">
        <w:rPr>
          <w:sz w:val="28"/>
          <w:szCs w:val="28"/>
        </w:rPr>
        <w:t>C</w:t>
      </w:r>
      <w:r w:rsidR="004F759B" w:rsidRPr="003877E2">
        <w:rPr>
          <w:sz w:val="28"/>
          <w:szCs w:val="28"/>
        </w:rPr>
        <w:t xml:space="preserve">urator’s </w:t>
      </w:r>
      <w:r w:rsidR="00C4790E" w:rsidRPr="003877E2">
        <w:rPr>
          <w:sz w:val="28"/>
          <w:szCs w:val="28"/>
        </w:rPr>
        <w:t xml:space="preserve">claim </w:t>
      </w:r>
      <w:r w:rsidR="004F759B" w:rsidRPr="003877E2">
        <w:rPr>
          <w:sz w:val="28"/>
          <w:szCs w:val="28"/>
        </w:rPr>
        <w:t>lies against Rapicorp 122</w:t>
      </w:r>
      <w:r w:rsidR="00755CAA" w:rsidRPr="003877E2">
        <w:rPr>
          <w:sz w:val="28"/>
          <w:szCs w:val="28"/>
        </w:rPr>
        <w:t>,</w:t>
      </w:r>
      <w:r w:rsidR="004F759B" w:rsidRPr="003877E2">
        <w:rPr>
          <w:sz w:val="28"/>
          <w:szCs w:val="28"/>
        </w:rPr>
        <w:t xml:space="preserve"> </w:t>
      </w:r>
      <w:r w:rsidR="00C4790E" w:rsidRPr="003877E2">
        <w:rPr>
          <w:sz w:val="28"/>
          <w:szCs w:val="28"/>
        </w:rPr>
        <w:t xml:space="preserve">on </w:t>
      </w:r>
      <w:r w:rsidR="004F759B" w:rsidRPr="003877E2">
        <w:rPr>
          <w:sz w:val="28"/>
          <w:szCs w:val="28"/>
        </w:rPr>
        <w:t>whose behalf the amount was paid</w:t>
      </w:r>
      <w:r w:rsidR="00755CAA" w:rsidRPr="003877E2">
        <w:rPr>
          <w:sz w:val="28"/>
          <w:szCs w:val="28"/>
        </w:rPr>
        <w:t>,</w:t>
      </w:r>
      <w:r w:rsidR="00C4790E" w:rsidRPr="003877E2">
        <w:rPr>
          <w:sz w:val="28"/>
          <w:szCs w:val="28"/>
        </w:rPr>
        <w:t xml:space="preserve"> and not against them</w:t>
      </w:r>
      <w:r w:rsidR="004F759B" w:rsidRPr="003877E2">
        <w:rPr>
          <w:sz w:val="28"/>
          <w:szCs w:val="28"/>
        </w:rPr>
        <w:t xml:space="preserve">. </w:t>
      </w:r>
    </w:p>
    <w:p w14:paraId="680C7350" w14:textId="77777777" w:rsidR="001F270C" w:rsidRPr="00FB564C" w:rsidRDefault="001F270C">
      <w:pPr>
        <w:pStyle w:val="ListParagraph"/>
        <w:rPr>
          <w:sz w:val="28"/>
          <w:szCs w:val="28"/>
        </w:rPr>
      </w:pPr>
    </w:p>
    <w:p w14:paraId="492DBC35" w14:textId="5C9C9BB9" w:rsidR="000E5091" w:rsidRPr="003877E2" w:rsidRDefault="003877E2" w:rsidP="003877E2">
      <w:pPr>
        <w:rPr>
          <w:sz w:val="28"/>
          <w:szCs w:val="28"/>
        </w:rPr>
      </w:pPr>
      <w:r w:rsidRPr="00FB564C">
        <w:rPr>
          <w:sz w:val="28"/>
          <w:szCs w:val="28"/>
        </w:rPr>
        <w:t>[107]</w:t>
      </w:r>
      <w:r w:rsidRPr="00FB564C">
        <w:rPr>
          <w:sz w:val="28"/>
          <w:szCs w:val="28"/>
        </w:rPr>
        <w:tab/>
      </w:r>
      <w:r w:rsidR="00C4790E" w:rsidRPr="003877E2">
        <w:rPr>
          <w:sz w:val="28"/>
          <w:szCs w:val="28"/>
        </w:rPr>
        <w:t>The appellants also contend</w:t>
      </w:r>
      <w:r w:rsidR="00DD31B1" w:rsidRPr="003877E2">
        <w:rPr>
          <w:sz w:val="28"/>
          <w:szCs w:val="28"/>
        </w:rPr>
        <w:t>ed</w:t>
      </w:r>
      <w:r w:rsidR="00C4790E" w:rsidRPr="003877E2">
        <w:rPr>
          <w:sz w:val="28"/>
          <w:szCs w:val="28"/>
        </w:rPr>
        <w:t xml:space="preserve"> that as</w:t>
      </w:r>
      <w:r w:rsidR="004F759B" w:rsidRPr="003877E2">
        <w:rPr>
          <w:sz w:val="28"/>
          <w:szCs w:val="28"/>
        </w:rPr>
        <w:t xml:space="preserve"> far as the Curator’s allegation that the property asset mandate was unenforceable or invalid, this is a </w:t>
      </w:r>
      <w:r w:rsidR="00120961" w:rsidRPr="003877E2">
        <w:rPr>
          <w:sz w:val="28"/>
          <w:szCs w:val="28"/>
        </w:rPr>
        <w:t>claim which</w:t>
      </w:r>
      <w:r w:rsidR="004F759B" w:rsidRPr="003877E2">
        <w:rPr>
          <w:sz w:val="28"/>
          <w:szCs w:val="28"/>
        </w:rPr>
        <w:t xml:space="preserve"> only the </w:t>
      </w:r>
      <w:r w:rsidR="001F270C" w:rsidRPr="003877E2">
        <w:rPr>
          <w:sz w:val="28"/>
          <w:szCs w:val="28"/>
        </w:rPr>
        <w:t xml:space="preserve">Rapicorp companies </w:t>
      </w:r>
      <w:r w:rsidR="004F759B" w:rsidRPr="003877E2">
        <w:rPr>
          <w:sz w:val="28"/>
          <w:szCs w:val="28"/>
        </w:rPr>
        <w:t>may raise against RAM.</w:t>
      </w:r>
      <w:r w:rsidR="00DD31B1" w:rsidRPr="003877E2">
        <w:rPr>
          <w:sz w:val="28"/>
          <w:szCs w:val="28"/>
        </w:rPr>
        <w:t xml:space="preserve"> Counsel for the appellants argued that this claim stands on a different footing </w:t>
      </w:r>
      <w:r w:rsidR="00372353" w:rsidRPr="003877E2">
        <w:rPr>
          <w:sz w:val="28"/>
          <w:szCs w:val="28"/>
        </w:rPr>
        <w:t xml:space="preserve">to the </w:t>
      </w:r>
      <w:r w:rsidR="00DD31B1" w:rsidRPr="003877E2">
        <w:rPr>
          <w:sz w:val="28"/>
          <w:szCs w:val="28"/>
        </w:rPr>
        <w:t xml:space="preserve">others </w:t>
      </w:r>
      <w:r w:rsidR="00952C69" w:rsidRPr="003877E2">
        <w:rPr>
          <w:sz w:val="28"/>
          <w:szCs w:val="28"/>
        </w:rPr>
        <w:t xml:space="preserve">in </w:t>
      </w:r>
      <w:r w:rsidR="00DD31B1" w:rsidRPr="003877E2">
        <w:rPr>
          <w:sz w:val="28"/>
          <w:szCs w:val="28"/>
        </w:rPr>
        <w:t xml:space="preserve">that the </w:t>
      </w:r>
      <w:r w:rsidR="001F270C" w:rsidRPr="003877E2">
        <w:rPr>
          <w:sz w:val="28"/>
          <w:szCs w:val="28"/>
        </w:rPr>
        <w:t>C</w:t>
      </w:r>
      <w:r w:rsidR="00DD31B1" w:rsidRPr="003877E2">
        <w:rPr>
          <w:sz w:val="28"/>
          <w:szCs w:val="28"/>
        </w:rPr>
        <w:t xml:space="preserve">urator is required to show that TDI suffered </w:t>
      </w:r>
      <w:r w:rsidR="001F270C" w:rsidRPr="003877E2">
        <w:rPr>
          <w:sz w:val="28"/>
          <w:szCs w:val="28"/>
        </w:rPr>
        <w:t xml:space="preserve">a </w:t>
      </w:r>
      <w:r w:rsidR="00DD31B1" w:rsidRPr="003877E2">
        <w:rPr>
          <w:sz w:val="28"/>
          <w:szCs w:val="28"/>
        </w:rPr>
        <w:t>loss and he ha</w:t>
      </w:r>
      <w:r w:rsidR="00585C12" w:rsidRPr="003877E2">
        <w:rPr>
          <w:sz w:val="28"/>
          <w:szCs w:val="28"/>
        </w:rPr>
        <w:t>s</w:t>
      </w:r>
      <w:r w:rsidR="00DD31B1" w:rsidRPr="003877E2">
        <w:rPr>
          <w:sz w:val="28"/>
          <w:szCs w:val="28"/>
        </w:rPr>
        <w:t xml:space="preserve"> not done so.</w:t>
      </w:r>
      <w:r w:rsidR="001F270C" w:rsidRPr="003877E2">
        <w:rPr>
          <w:sz w:val="28"/>
          <w:szCs w:val="28"/>
        </w:rPr>
        <w:t xml:space="preserve"> </w:t>
      </w:r>
    </w:p>
    <w:p w14:paraId="35DC04F6" w14:textId="77777777" w:rsidR="000E5091" w:rsidRPr="00FB564C" w:rsidRDefault="000E5091" w:rsidP="008F4835">
      <w:pPr>
        <w:pStyle w:val="ListParagraph"/>
        <w:rPr>
          <w:sz w:val="28"/>
          <w:szCs w:val="28"/>
        </w:rPr>
      </w:pPr>
    </w:p>
    <w:p w14:paraId="40B0AEFC" w14:textId="1DE133C7" w:rsidR="00DD31B1" w:rsidRPr="003877E2" w:rsidRDefault="003877E2" w:rsidP="003877E2">
      <w:pPr>
        <w:rPr>
          <w:sz w:val="28"/>
          <w:szCs w:val="28"/>
        </w:rPr>
      </w:pPr>
      <w:r w:rsidRPr="00FB564C">
        <w:rPr>
          <w:sz w:val="28"/>
          <w:szCs w:val="28"/>
        </w:rPr>
        <w:t>[108]</w:t>
      </w:r>
      <w:r w:rsidRPr="00FB564C">
        <w:rPr>
          <w:sz w:val="28"/>
          <w:szCs w:val="28"/>
        </w:rPr>
        <w:tab/>
      </w:r>
      <w:r w:rsidR="001F270C" w:rsidRPr="003877E2">
        <w:rPr>
          <w:sz w:val="28"/>
          <w:szCs w:val="28"/>
        </w:rPr>
        <w:t xml:space="preserve">During the argument, counsel for the </w:t>
      </w:r>
      <w:r w:rsidR="00120961" w:rsidRPr="003877E2">
        <w:rPr>
          <w:sz w:val="28"/>
          <w:szCs w:val="28"/>
        </w:rPr>
        <w:t>Curator appeared</w:t>
      </w:r>
      <w:r w:rsidR="00585C12" w:rsidRPr="003877E2">
        <w:rPr>
          <w:sz w:val="28"/>
          <w:szCs w:val="28"/>
        </w:rPr>
        <w:t xml:space="preserve"> </w:t>
      </w:r>
      <w:r w:rsidR="001F270C" w:rsidRPr="003877E2">
        <w:rPr>
          <w:sz w:val="28"/>
          <w:szCs w:val="28"/>
        </w:rPr>
        <w:t>to concede that this was not a good claim</w:t>
      </w:r>
      <w:r w:rsidR="00952C69" w:rsidRPr="003877E2">
        <w:rPr>
          <w:sz w:val="28"/>
          <w:szCs w:val="28"/>
        </w:rPr>
        <w:t xml:space="preserve"> for the Curator</w:t>
      </w:r>
      <w:r w:rsidR="009A7051" w:rsidRPr="003877E2">
        <w:rPr>
          <w:sz w:val="28"/>
          <w:szCs w:val="28"/>
        </w:rPr>
        <w:t xml:space="preserve">. </w:t>
      </w:r>
      <w:r w:rsidR="00585C12" w:rsidRPr="003877E2">
        <w:rPr>
          <w:sz w:val="28"/>
          <w:szCs w:val="28"/>
        </w:rPr>
        <w:t>T</w:t>
      </w:r>
      <w:r w:rsidR="000401FB" w:rsidRPr="003877E2">
        <w:rPr>
          <w:sz w:val="28"/>
          <w:szCs w:val="28"/>
        </w:rPr>
        <w:t>his claim</w:t>
      </w:r>
      <w:r w:rsidR="00585C12" w:rsidRPr="003877E2">
        <w:rPr>
          <w:sz w:val="28"/>
          <w:szCs w:val="28"/>
        </w:rPr>
        <w:t xml:space="preserve"> accordingly warrants no further consideration</w:t>
      </w:r>
      <w:r w:rsidR="000401FB" w:rsidRPr="003877E2">
        <w:rPr>
          <w:sz w:val="28"/>
          <w:szCs w:val="28"/>
        </w:rPr>
        <w:t>.</w:t>
      </w:r>
    </w:p>
    <w:p w14:paraId="5535DB1A" w14:textId="77777777" w:rsidR="00A7069F" w:rsidRPr="00FB564C" w:rsidRDefault="00A7069F">
      <w:pPr>
        <w:pStyle w:val="ListParagraph"/>
        <w:rPr>
          <w:sz w:val="28"/>
          <w:szCs w:val="28"/>
        </w:rPr>
      </w:pPr>
    </w:p>
    <w:p w14:paraId="0E236152" w14:textId="7DDD141C" w:rsidR="004F759B" w:rsidRPr="003877E2" w:rsidRDefault="003877E2" w:rsidP="003877E2">
      <w:pPr>
        <w:rPr>
          <w:sz w:val="28"/>
          <w:szCs w:val="28"/>
        </w:rPr>
      </w:pPr>
      <w:r w:rsidRPr="00FB564C">
        <w:rPr>
          <w:sz w:val="28"/>
          <w:szCs w:val="28"/>
        </w:rPr>
        <w:t>[109]</w:t>
      </w:r>
      <w:r w:rsidRPr="00FB564C">
        <w:rPr>
          <w:sz w:val="28"/>
          <w:szCs w:val="28"/>
        </w:rPr>
        <w:tab/>
      </w:r>
      <w:r w:rsidR="00487AC0" w:rsidRPr="003877E2">
        <w:rPr>
          <w:sz w:val="28"/>
          <w:szCs w:val="28"/>
        </w:rPr>
        <w:t xml:space="preserve">The </w:t>
      </w:r>
      <w:r w:rsidR="000C59AB" w:rsidRPr="003877E2">
        <w:rPr>
          <w:sz w:val="28"/>
          <w:szCs w:val="28"/>
        </w:rPr>
        <w:t>h</w:t>
      </w:r>
      <w:r w:rsidR="00487AC0" w:rsidRPr="003877E2">
        <w:rPr>
          <w:sz w:val="28"/>
          <w:szCs w:val="28"/>
        </w:rPr>
        <w:t xml:space="preserve">igh </w:t>
      </w:r>
      <w:r w:rsidR="000C59AB" w:rsidRPr="003877E2">
        <w:rPr>
          <w:sz w:val="28"/>
          <w:szCs w:val="28"/>
        </w:rPr>
        <w:t>c</w:t>
      </w:r>
      <w:r w:rsidR="00487AC0" w:rsidRPr="003877E2">
        <w:rPr>
          <w:sz w:val="28"/>
          <w:szCs w:val="28"/>
        </w:rPr>
        <w:t>ourt</w:t>
      </w:r>
      <w:r w:rsidR="001F270C" w:rsidRPr="003877E2">
        <w:rPr>
          <w:sz w:val="28"/>
          <w:szCs w:val="28"/>
        </w:rPr>
        <w:t xml:space="preserve"> </w:t>
      </w:r>
      <w:r w:rsidR="004875F6" w:rsidRPr="003877E2">
        <w:rPr>
          <w:sz w:val="28"/>
          <w:szCs w:val="28"/>
        </w:rPr>
        <w:t xml:space="preserve">ordered an </w:t>
      </w:r>
      <w:r w:rsidR="000C59AB" w:rsidRPr="003877E2">
        <w:rPr>
          <w:sz w:val="28"/>
          <w:szCs w:val="28"/>
        </w:rPr>
        <w:t xml:space="preserve">amount of </w:t>
      </w:r>
      <w:r w:rsidR="00487AC0" w:rsidRPr="003877E2">
        <w:rPr>
          <w:sz w:val="28"/>
          <w:szCs w:val="28"/>
        </w:rPr>
        <w:t>R22 274</w:t>
      </w:r>
      <w:r w:rsidR="001F270C" w:rsidRPr="003877E2">
        <w:rPr>
          <w:sz w:val="28"/>
          <w:szCs w:val="28"/>
        </w:rPr>
        <w:t> </w:t>
      </w:r>
      <w:r w:rsidR="00487AC0" w:rsidRPr="003877E2">
        <w:rPr>
          <w:sz w:val="28"/>
          <w:szCs w:val="28"/>
        </w:rPr>
        <w:t>884</w:t>
      </w:r>
      <w:r w:rsidR="001F270C" w:rsidRPr="003877E2">
        <w:rPr>
          <w:sz w:val="28"/>
          <w:szCs w:val="28"/>
        </w:rPr>
        <w:t xml:space="preserve">, </w:t>
      </w:r>
      <w:r w:rsidR="004875F6" w:rsidRPr="003877E2">
        <w:rPr>
          <w:sz w:val="28"/>
          <w:szCs w:val="28"/>
        </w:rPr>
        <w:t>for</w:t>
      </w:r>
      <w:r w:rsidR="001F270C" w:rsidRPr="003877E2">
        <w:rPr>
          <w:sz w:val="28"/>
          <w:szCs w:val="28"/>
        </w:rPr>
        <w:t xml:space="preserve"> the total claim</w:t>
      </w:r>
      <w:r w:rsidR="00487AC0" w:rsidRPr="003877E2">
        <w:rPr>
          <w:sz w:val="28"/>
          <w:szCs w:val="28"/>
        </w:rPr>
        <w:t xml:space="preserve">. </w:t>
      </w:r>
      <w:r w:rsidR="001F270C" w:rsidRPr="003877E2">
        <w:rPr>
          <w:sz w:val="28"/>
          <w:szCs w:val="28"/>
        </w:rPr>
        <w:t xml:space="preserve">It erroneously did not deduct the </w:t>
      </w:r>
      <w:r w:rsidR="0049003B" w:rsidRPr="003877E2">
        <w:rPr>
          <w:sz w:val="28"/>
          <w:szCs w:val="28"/>
        </w:rPr>
        <w:t xml:space="preserve">full </w:t>
      </w:r>
      <w:r w:rsidR="001F270C" w:rsidRPr="003877E2">
        <w:rPr>
          <w:sz w:val="28"/>
          <w:szCs w:val="28"/>
        </w:rPr>
        <w:t>amount of R1</w:t>
      </w:r>
      <w:r w:rsidR="004875F6" w:rsidRPr="003877E2">
        <w:rPr>
          <w:sz w:val="28"/>
          <w:szCs w:val="28"/>
        </w:rPr>
        <w:t xml:space="preserve"> </w:t>
      </w:r>
      <w:r w:rsidR="001F270C" w:rsidRPr="003877E2">
        <w:rPr>
          <w:sz w:val="28"/>
          <w:szCs w:val="28"/>
        </w:rPr>
        <w:t>078</w:t>
      </w:r>
      <w:r w:rsidR="00585C12" w:rsidRPr="003877E2">
        <w:rPr>
          <w:sz w:val="28"/>
          <w:szCs w:val="28"/>
        </w:rPr>
        <w:t> </w:t>
      </w:r>
      <w:r w:rsidR="001F270C" w:rsidRPr="003877E2">
        <w:rPr>
          <w:sz w:val="28"/>
          <w:szCs w:val="28"/>
        </w:rPr>
        <w:t>440</w:t>
      </w:r>
      <w:r w:rsidR="00585C12" w:rsidRPr="003877E2">
        <w:rPr>
          <w:sz w:val="28"/>
          <w:szCs w:val="28"/>
        </w:rPr>
        <w:t>,</w:t>
      </w:r>
      <w:r w:rsidR="001F270C" w:rsidRPr="003877E2">
        <w:rPr>
          <w:sz w:val="28"/>
          <w:szCs w:val="28"/>
        </w:rPr>
        <w:t xml:space="preserve"> which formed part of the original claim and which th</w:t>
      </w:r>
      <w:r w:rsidR="000C59AB" w:rsidRPr="003877E2">
        <w:rPr>
          <w:sz w:val="28"/>
          <w:szCs w:val="28"/>
        </w:rPr>
        <w:t>e</w:t>
      </w:r>
      <w:r w:rsidR="00487AC0" w:rsidRPr="003877E2">
        <w:rPr>
          <w:sz w:val="28"/>
          <w:szCs w:val="28"/>
        </w:rPr>
        <w:t xml:space="preserve"> </w:t>
      </w:r>
      <w:r w:rsidR="000C59AB" w:rsidRPr="003877E2">
        <w:rPr>
          <w:sz w:val="28"/>
          <w:szCs w:val="28"/>
        </w:rPr>
        <w:t>C</w:t>
      </w:r>
      <w:r w:rsidR="00487AC0" w:rsidRPr="003877E2">
        <w:rPr>
          <w:sz w:val="28"/>
          <w:szCs w:val="28"/>
        </w:rPr>
        <w:t>urator had disavowed</w:t>
      </w:r>
      <w:r w:rsidR="001F270C" w:rsidRPr="003877E2">
        <w:rPr>
          <w:sz w:val="28"/>
          <w:szCs w:val="28"/>
        </w:rPr>
        <w:t xml:space="preserve"> during the trial.</w:t>
      </w:r>
      <w:r w:rsidR="00546CD3" w:rsidRPr="003877E2">
        <w:rPr>
          <w:sz w:val="28"/>
          <w:szCs w:val="28"/>
        </w:rPr>
        <w:t xml:space="preserve"> </w:t>
      </w:r>
      <w:r w:rsidR="000C59AB" w:rsidRPr="003877E2">
        <w:rPr>
          <w:sz w:val="28"/>
          <w:szCs w:val="28"/>
        </w:rPr>
        <w:t xml:space="preserve">The high court order </w:t>
      </w:r>
      <w:r w:rsidR="004F759B" w:rsidRPr="003877E2">
        <w:rPr>
          <w:sz w:val="28"/>
          <w:szCs w:val="28"/>
        </w:rPr>
        <w:t xml:space="preserve">has to be adjusted </w:t>
      </w:r>
      <w:r w:rsidR="000C59AB" w:rsidRPr="003877E2">
        <w:rPr>
          <w:sz w:val="28"/>
          <w:szCs w:val="28"/>
        </w:rPr>
        <w:t>to reflect th</w:t>
      </w:r>
      <w:r w:rsidR="001F270C" w:rsidRPr="003877E2">
        <w:rPr>
          <w:sz w:val="28"/>
          <w:szCs w:val="28"/>
        </w:rPr>
        <w:t>is</w:t>
      </w:r>
      <w:r w:rsidR="000C59AB" w:rsidRPr="003877E2">
        <w:rPr>
          <w:sz w:val="28"/>
          <w:szCs w:val="28"/>
        </w:rPr>
        <w:t xml:space="preserve"> deduction as well as </w:t>
      </w:r>
      <w:r w:rsidR="004F759B" w:rsidRPr="003877E2">
        <w:rPr>
          <w:sz w:val="28"/>
          <w:szCs w:val="28"/>
        </w:rPr>
        <w:t>by removing</w:t>
      </w:r>
      <w:r w:rsidR="000C59AB" w:rsidRPr="003877E2">
        <w:rPr>
          <w:sz w:val="28"/>
          <w:szCs w:val="28"/>
        </w:rPr>
        <w:t xml:space="preserve"> the R11 m</w:t>
      </w:r>
      <w:r w:rsidR="001F270C" w:rsidRPr="003877E2">
        <w:rPr>
          <w:sz w:val="28"/>
          <w:szCs w:val="28"/>
        </w:rPr>
        <w:t>illion plus</w:t>
      </w:r>
      <w:r w:rsidR="000C59AB" w:rsidRPr="003877E2">
        <w:rPr>
          <w:sz w:val="28"/>
          <w:szCs w:val="28"/>
        </w:rPr>
        <w:t xml:space="preserve"> </w:t>
      </w:r>
      <w:r w:rsidR="004F759B" w:rsidRPr="003877E2">
        <w:rPr>
          <w:sz w:val="28"/>
          <w:szCs w:val="28"/>
        </w:rPr>
        <w:t>amount</w:t>
      </w:r>
      <w:r w:rsidR="000401FB" w:rsidRPr="003877E2">
        <w:rPr>
          <w:sz w:val="28"/>
          <w:szCs w:val="28"/>
        </w:rPr>
        <w:t xml:space="preserve">, discussed </w:t>
      </w:r>
      <w:r w:rsidR="00093CF5" w:rsidRPr="003877E2">
        <w:rPr>
          <w:sz w:val="28"/>
          <w:szCs w:val="28"/>
        </w:rPr>
        <w:t xml:space="preserve">in the </w:t>
      </w:r>
      <w:r w:rsidR="00403B47" w:rsidRPr="003877E2">
        <w:rPr>
          <w:sz w:val="28"/>
          <w:szCs w:val="28"/>
        </w:rPr>
        <w:t>preceding paragraph</w:t>
      </w:r>
      <w:r w:rsidR="000401FB" w:rsidRPr="003877E2">
        <w:rPr>
          <w:sz w:val="28"/>
          <w:szCs w:val="28"/>
        </w:rPr>
        <w:t xml:space="preserve">.  </w:t>
      </w:r>
    </w:p>
    <w:p w14:paraId="7E593757" w14:textId="77777777" w:rsidR="00F8754A" w:rsidRPr="00FB564C" w:rsidRDefault="00F8754A" w:rsidP="008F4835">
      <w:pPr>
        <w:pStyle w:val="ListParagraph"/>
        <w:ind w:left="0"/>
        <w:rPr>
          <w:sz w:val="28"/>
          <w:szCs w:val="28"/>
        </w:rPr>
      </w:pPr>
    </w:p>
    <w:p w14:paraId="3FACF96B" w14:textId="53A90BB5" w:rsidR="005E6A07" w:rsidRPr="003877E2" w:rsidRDefault="003877E2" w:rsidP="003877E2">
      <w:pPr>
        <w:rPr>
          <w:sz w:val="28"/>
          <w:szCs w:val="28"/>
        </w:rPr>
      </w:pPr>
      <w:r w:rsidRPr="00FB564C">
        <w:rPr>
          <w:sz w:val="28"/>
          <w:szCs w:val="28"/>
        </w:rPr>
        <w:t>[110]</w:t>
      </w:r>
      <w:r w:rsidRPr="00FB564C">
        <w:rPr>
          <w:sz w:val="28"/>
          <w:szCs w:val="28"/>
        </w:rPr>
        <w:tab/>
      </w:r>
      <w:r w:rsidR="00A75517" w:rsidRPr="003877E2">
        <w:rPr>
          <w:sz w:val="28"/>
          <w:szCs w:val="28"/>
        </w:rPr>
        <w:t xml:space="preserve">Insofar </w:t>
      </w:r>
      <w:r w:rsidR="00093CF5" w:rsidRPr="003877E2">
        <w:rPr>
          <w:sz w:val="28"/>
          <w:szCs w:val="28"/>
        </w:rPr>
        <w:t xml:space="preserve">as </w:t>
      </w:r>
      <w:r w:rsidR="00A75517" w:rsidRPr="003877E2">
        <w:rPr>
          <w:sz w:val="28"/>
          <w:szCs w:val="28"/>
        </w:rPr>
        <w:t xml:space="preserve">Johnny is </w:t>
      </w:r>
      <w:r w:rsidR="000401FB" w:rsidRPr="003877E2">
        <w:rPr>
          <w:sz w:val="28"/>
          <w:szCs w:val="28"/>
        </w:rPr>
        <w:t>concerned</w:t>
      </w:r>
      <w:r w:rsidR="00585C12" w:rsidRPr="003877E2">
        <w:rPr>
          <w:sz w:val="28"/>
          <w:szCs w:val="28"/>
        </w:rPr>
        <w:t>,</w:t>
      </w:r>
      <w:r w:rsidR="00A75517" w:rsidRPr="003877E2">
        <w:rPr>
          <w:sz w:val="28"/>
          <w:szCs w:val="28"/>
        </w:rPr>
        <w:t xml:space="preserve"> liability is extended to it on the same basis as found</w:t>
      </w:r>
      <w:r w:rsidR="000401FB" w:rsidRPr="003877E2">
        <w:rPr>
          <w:sz w:val="28"/>
          <w:szCs w:val="28"/>
        </w:rPr>
        <w:t xml:space="preserve"> in relation to the claim</w:t>
      </w:r>
      <w:r w:rsidR="00211F93" w:rsidRPr="003877E2">
        <w:rPr>
          <w:sz w:val="28"/>
          <w:szCs w:val="28"/>
        </w:rPr>
        <w:t xml:space="preserve"> in relation to management and performance fees</w:t>
      </w:r>
      <w:r w:rsidR="000401FB" w:rsidRPr="003877E2">
        <w:rPr>
          <w:sz w:val="28"/>
          <w:szCs w:val="28"/>
        </w:rPr>
        <w:t xml:space="preserve">. Pillay was excluded from liability in respect of </w:t>
      </w:r>
      <w:r w:rsidR="00093CF5" w:rsidRPr="003877E2">
        <w:rPr>
          <w:sz w:val="28"/>
          <w:szCs w:val="28"/>
        </w:rPr>
        <w:t>‘</w:t>
      </w:r>
      <w:r w:rsidR="000401FB" w:rsidRPr="003877E2">
        <w:rPr>
          <w:sz w:val="28"/>
          <w:szCs w:val="28"/>
        </w:rPr>
        <w:t>other fees</w:t>
      </w:r>
      <w:r w:rsidR="00093CF5" w:rsidRPr="003877E2">
        <w:rPr>
          <w:sz w:val="28"/>
          <w:szCs w:val="28"/>
        </w:rPr>
        <w:t>’</w:t>
      </w:r>
      <w:r w:rsidR="000401FB" w:rsidRPr="003877E2">
        <w:rPr>
          <w:sz w:val="28"/>
          <w:szCs w:val="28"/>
        </w:rPr>
        <w:t xml:space="preserve"> </w:t>
      </w:r>
      <w:r w:rsidR="00093CF5" w:rsidRPr="003877E2">
        <w:rPr>
          <w:sz w:val="28"/>
          <w:szCs w:val="28"/>
        </w:rPr>
        <w:t xml:space="preserve">paid </w:t>
      </w:r>
      <w:r w:rsidR="000401FB" w:rsidRPr="003877E2">
        <w:rPr>
          <w:sz w:val="28"/>
          <w:szCs w:val="28"/>
        </w:rPr>
        <w:t>prior to September 2007. At the hearing of the appeal, the Curator did not seem to quarrel with that.</w:t>
      </w:r>
    </w:p>
    <w:p w14:paraId="525191D6" w14:textId="77777777" w:rsidR="00ED28E7" w:rsidRPr="007914DB" w:rsidRDefault="00ED28E7">
      <w:pPr>
        <w:rPr>
          <w:bCs/>
          <w:sz w:val="28"/>
          <w:szCs w:val="28"/>
        </w:rPr>
      </w:pPr>
    </w:p>
    <w:p w14:paraId="752CB0E2" w14:textId="77777777" w:rsidR="005D6CED" w:rsidRPr="007914DB" w:rsidRDefault="005D6CED">
      <w:pPr>
        <w:rPr>
          <w:bCs/>
          <w:sz w:val="28"/>
          <w:szCs w:val="28"/>
        </w:rPr>
      </w:pPr>
    </w:p>
    <w:p w14:paraId="38DF26E4" w14:textId="01F5EB53" w:rsidR="004F759B" w:rsidRPr="00FB564C" w:rsidRDefault="00B606A7">
      <w:pPr>
        <w:rPr>
          <w:b/>
          <w:sz w:val="28"/>
          <w:szCs w:val="28"/>
        </w:rPr>
      </w:pPr>
      <w:r w:rsidRPr="00FB564C">
        <w:rPr>
          <w:b/>
          <w:sz w:val="28"/>
          <w:szCs w:val="28"/>
        </w:rPr>
        <w:lastRenderedPageBreak/>
        <w:t>T</w:t>
      </w:r>
      <w:r w:rsidR="004F759B" w:rsidRPr="00FB564C">
        <w:rPr>
          <w:b/>
          <w:sz w:val="28"/>
          <w:szCs w:val="28"/>
        </w:rPr>
        <w:t>he 20% action</w:t>
      </w:r>
      <w:r w:rsidR="00A75517" w:rsidRPr="00FB564C">
        <w:rPr>
          <w:b/>
          <w:sz w:val="28"/>
          <w:szCs w:val="28"/>
        </w:rPr>
        <w:t xml:space="preserve"> </w:t>
      </w:r>
    </w:p>
    <w:p w14:paraId="63E3D6B6" w14:textId="60C8DFB1" w:rsidR="005E6A07" w:rsidRPr="003877E2" w:rsidRDefault="003877E2" w:rsidP="003877E2">
      <w:pPr>
        <w:rPr>
          <w:sz w:val="28"/>
          <w:szCs w:val="28"/>
        </w:rPr>
      </w:pPr>
      <w:r w:rsidRPr="00FB564C">
        <w:rPr>
          <w:sz w:val="28"/>
          <w:szCs w:val="28"/>
        </w:rPr>
        <w:t>[111]</w:t>
      </w:r>
      <w:r w:rsidRPr="00FB564C">
        <w:rPr>
          <w:sz w:val="28"/>
          <w:szCs w:val="28"/>
        </w:rPr>
        <w:tab/>
      </w:r>
      <w:r w:rsidR="004F759B" w:rsidRPr="003877E2">
        <w:rPr>
          <w:sz w:val="28"/>
          <w:szCs w:val="28"/>
        </w:rPr>
        <w:t xml:space="preserve">This claim was directed at Johnny. </w:t>
      </w:r>
      <w:r w:rsidR="0068601A" w:rsidRPr="003877E2">
        <w:rPr>
          <w:sz w:val="28"/>
          <w:szCs w:val="28"/>
        </w:rPr>
        <w:t>In December 2007</w:t>
      </w:r>
      <w:r w:rsidR="00585C12" w:rsidRPr="003877E2">
        <w:rPr>
          <w:sz w:val="28"/>
          <w:szCs w:val="28"/>
        </w:rPr>
        <w:t>,</w:t>
      </w:r>
      <w:r w:rsidR="0068601A" w:rsidRPr="003877E2">
        <w:rPr>
          <w:sz w:val="28"/>
          <w:szCs w:val="28"/>
        </w:rPr>
        <w:t xml:space="preserve"> when Schuster and Merlot’s options to reacquire shares in Rapicorp 122</w:t>
      </w:r>
      <w:r w:rsidR="008370ED" w:rsidRPr="003877E2">
        <w:rPr>
          <w:sz w:val="28"/>
          <w:szCs w:val="28"/>
        </w:rPr>
        <w:t xml:space="preserve"> were</w:t>
      </w:r>
      <w:r w:rsidR="0068601A" w:rsidRPr="003877E2">
        <w:rPr>
          <w:sz w:val="28"/>
          <w:szCs w:val="28"/>
        </w:rPr>
        <w:t xml:space="preserve"> cancelled</w:t>
      </w:r>
      <w:r w:rsidR="00386EBD" w:rsidRPr="003877E2">
        <w:rPr>
          <w:sz w:val="28"/>
          <w:szCs w:val="28"/>
        </w:rPr>
        <w:t xml:space="preserve"> for no consideration, Johnny assumed that it then held 100% of the option </w:t>
      </w:r>
      <w:r w:rsidR="008370ED" w:rsidRPr="003877E2">
        <w:rPr>
          <w:sz w:val="28"/>
          <w:szCs w:val="28"/>
        </w:rPr>
        <w:t xml:space="preserve">to reacquire 54.35% of the PIF </w:t>
      </w:r>
      <w:r w:rsidR="00386EBD" w:rsidRPr="003877E2">
        <w:rPr>
          <w:sz w:val="28"/>
          <w:szCs w:val="28"/>
        </w:rPr>
        <w:t>shares.</w:t>
      </w:r>
      <w:r w:rsidR="008534B9" w:rsidRPr="003877E2">
        <w:rPr>
          <w:sz w:val="28"/>
          <w:szCs w:val="28"/>
        </w:rPr>
        <w:t xml:space="preserve"> </w:t>
      </w:r>
      <w:r w:rsidR="00093CF5" w:rsidRPr="003877E2">
        <w:rPr>
          <w:sz w:val="28"/>
          <w:szCs w:val="28"/>
        </w:rPr>
        <w:t xml:space="preserve">On 16 August 2010, six days before </w:t>
      </w:r>
      <w:r w:rsidR="008534B9" w:rsidRPr="003877E2">
        <w:rPr>
          <w:sz w:val="28"/>
          <w:szCs w:val="28"/>
        </w:rPr>
        <w:t>the option was to expire, ie on 22 August 2010, Johnny, Rapicorp 122 and PIF concluded a second option cancellation agreement</w:t>
      </w:r>
      <w:r w:rsidR="00093CF5" w:rsidRPr="003877E2">
        <w:rPr>
          <w:sz w:val="28"/>
          <w:szCs w:val="28"/>
        </w:rPr>
        <w:t>.</w:t>
      </w:r>
      <w:r w:rsidR="00386EBD" w:rsidRPr="003877E2">
        <w:rPr>
          <w:sz w:val="28"/>
          <w:szCs w:val="28"/>
        </w:rPr>
        <w:t xml:space="preserve"> </w:t>
      </w:r>
      <w:r w:rsidR="00093CF5" w:rsidRPr="003877E2">
        <w:rPr>
          <w:sz w:val="28"/>
          <w:szCs w:val="28"/>
        </w:rPr>
        <w:t>PIF</w:t>
      </w:r>
      <w:r w:rsidR="00386EBD" w:rsidRPr="003877E2">
        <w:rPr>
          <w:sz w:val="28"/>
          <w:szCs w:val="28"/>
        </w:rPr>
        <w:t xml:space="preserve"> agreed to pay Johnny R150 million plus VAT in consideration</w:t>
      </w:r>
      <w:r w:rsidR="00D22F3D" w:rsidRPr="003877E2">
        <w:rPr>
          <w:sz w:val="28"/>
          <w:szCs w:val="28"/>
        </w:rPr>
        <w:t xml:space="preserve"> for cancelling the option. In lieu of paying this amount, PIF transferred 20% of the shares in both Rapicorp companies to Johnny and created a loan account of R6</w:t>
      </w:r>
      <w:r w:rsidR="00585C12" w:rsidRPr="003877E2">
        <w:rPr>
          <w:sz w:val="28"/>
          <w:szCs w:val="28"/>
        </w:rPr>
        <w:t>,</w:t>
      </w:r>
      <w:r w:rsidR="00D22F3D" w:rsidRPr="003877E2">
        <w:rPr>
          <w:sz w:val="28"/>
          <w:szCs w:val="28"/>
        </w:rPr>
        <w:t>7</w:t>
      </w:r>
      <w:r w:rsidR="008370ED" w:rsidRPr="003877E2">
        <w:rPr>
          <w:sz w:val="28"/>
          <w:szCs w:val="28"/>
        </w:rPr>
        <w:t xml:space="preserve"> </w:t>
      </w:r>
      <w:r w:rsidR="00275F19" w:rsidRPr="003877E2">
        <w:rPr>
          <w:sz w:val="28"/>
          <w:szCs w:val="28"/>
        </w:rPr>
        <w:t>million</w:t>
      </w:r>
      <w:r w:rsidR="00D22F3D" w:rsidRPr="003877E2">
        <w:rPr>
          <w:sz w:val="28"/>
          <w:szCs w:val="28"/>
        </w:rPr>
        <w:t xml:space="preserve"> in Johnny’s favour. In reduction of the loan account, PIF paid R500 000 during February</w:t>
      </w:r>
      <w:r w:rsidR="00403B47" w:rsidRPr="003877E2">
        <w:rPr>
          <w:sz w:val="28"/>
          <w:szCs w:val="28"/>
        </w:rPr>
        <w:t xml:space="preserve"> 2012</w:t>
      </w:r>
      <w:r w:rsidR="00D22F3D" w:rsidRPr="003877E2">
        <w:rPr>
          <w:sz w:val="28"/>
          <w:szCs w:val="28"/>
        </w:rPr>
        <w:t xml:space="preserve"> and March 2012</w:t>
      </w:r>
      <w:r w:rsidR="00093CF5" w:rsidRPr="003877E2">
        <w:rPr>
          <w:sz w:val="28"/>
          <w:szCs w:val="28"/>
        </w:rPr>
        <w:t xml:space="preserve"> respectively</w:t>
      </w:r>
      <w:r w:rsidR="00D22F3D" w:rsidRPr="003877E2">
        <w:rPr>
          <w:sz w:val="28"/>
          <w:szCs w:val="28"/>
        </w:rPr>
        <w:t>.</w:t>
      </w:r>
    </w:p>
    <w:p w14:paraId="36B0F4CF" w14:textId="77777777" w:rsidR="007939CD" w:rsidRPr="00FB564C" w:rsidRDefault="007939CD" w:rsidP="00B67C18">
      <w:pPr>
        <w:pStyle w:val="ListParagraph"/>
        <w:ind w:left="0"/>
        <w:rPr>
          <w:sz w:val="28"/>
          <w:szCs w:val="28"/>
        </w:rPr>
      </w:pPr>
    </w:p>
    <w:p w14:paraId="3DAC8A3B" w14:textId="6A4066C1" w:rsidR="004F759B" w:rsidRPr="003877E2" w:rsidRDefault="003877E2" w:rsidP="003877E2">
      <w:pPr>
        <w:rPr>
          <w:sz w:val="28"/>
          <w:szCs w:val="28"/>
        </w:rPr>
      </w:pPr>
      <w:r w:rsidRPr="00FB564C">
        <w:rPr>
          <w:sz w:val="28"/>
          <w:szCs w:val="28"/>
        </w:rPr>
        <w:t>[112]</w:t>
      </w:r>
      <w:r w:rsidRPr="00FB564C">
        <w:rPr>
          <w:sz w:val="28"/>
          <w:szCs w:val="28"/>
        </w:rPr>
        <w:tab/>
      </w:r>
      <w:r w:rsidR="004F759B" w:rsidRPr="003877E2">
        <w:rPr>
          <w:sz w:val="28"/>
          <w:szCs w:val="28"/>
        </w:rPr>
        <w:t>In the circumstances, three issues arise: (a) whether Johnny had the financial resou</w:t>
      </w:r>
      <w:r w:rsidR="00C6691D" w:rsidRPr="003877E2">
        <w:rPr>
          <w:sz w:val="28"/>
          <w:szCs w:val="28"/>
        </w:rPr>
        <w:t>rces to exercise the option</w:t>
      </w:r>
      <w:r w:rsidR="00C2735C" w:rsidRPr="003877E2">
        <w:rPr>
          <w:sz w:val="28"/>
          <w:szCs w:val="28"/>
        </w:rPr>
        <w:t>;</w:t>
      </w:r>
      <w:r w:rsidR="00C6691D" w:rsidRPr="003877E2">
        <w:rPr>
          <w:sz w:val="28"/>
          <w:szCs w:val="28"/>
        </w:rPr>
        <w:t xml:space="preserve"> (b)</w:t>
      </w:r>
      <w:r w:rsidR="004F759B" w:rsidRPr="003877E2">
        <w:rPr>
          <w:sz w:val="28"/>
          <w:szCs w:val="28"/>
        </w:rPr>
        <w:t xml:space="preserve"> whether Johnny </w:t>
      </w:r>
      <w:r w:rsidR="00F64B79" w:rsidRPr="003877E2">
        <w:rPr>
          <w:sz w:val="28"/>
          <w:szCs w:val="28"/>
        </w:rPr>
        <w:t xml:space="preserve">had the </w:t>
      </w:r>
      <w:r w:rsidR="004F759B" w:rsidRPr="003877E2">
        <w:rPr>
          <w:sz w:val="28"/>
          <w:szCs w:val="28"/>
        </w:rPr>
        <w:t>intention to exercise the option</w:t>
      </w:r>
      <w:r w:rsidR="00275F19" w:rsidRPr="003877E2">
        <w:rPr>
          <w:sz w:val="28"/>
          <w:szCs w:val="28"/>
        </w:rPr>
        <w:t>; and</w:t>
      </w:r>
      <w:r w:rsidR="004F759B" w:rsidRPr="003877E2">
        <w:rPr>
          <w:sz w:val="28"/>
          <w:szCs w:val="28"/>
        </w:rPr>
        <w:t xml:space="preserve"> (c)</w:t>
      </w:r>
      <w:r w:rsidR="00275F19" w:rsidRPr="003877E2">
        <w:rPr>
          <w:sz w:val="28"/>
          <w:szCs w:val="28"/>
        </w:rPr>
        <w:t xml:space="preserve"> </w:t>
      </w:r>
      <w:r w:rsidR="004F759B" w:rsidRPr="003877E2">
        <w:rPr>
          <w:sz w:val="28"/>
          <w:szCs w:val="28"/>
        </w:rPr>
        <w:t>the value of the option. It is acknowledged by the appellants in the</w:t>
      </w:r>
      <w:r w:rsidR="00E7681C" w:rsidRPr="003877E2">
        <w:rPr>
          <w:sz w:val="28"/>
          <w:szCs w:val="28"/>
        </w:rPr>
        <w:t>ir</w:t>
      </w:r>
      <w:r w:rsidR="004F759B" w:rsidRPr="003877E2">
        <w:rPr>
          <w:sz w:val="28"/>
          <w:szCs w:val="28"/>
        </w:rPr>
        <w:t xml:space="preserve"> heads of argument that if Johnny lacked the resources or the intention to exercise the option, there was no legitimate reason for PIF to pay to cancel the option.</w:t>
      </w:r>
      <w:r w:rsidR="00450732" w:rsidRPr="003877E2">
        <w:rPr>
          <w:sz w:val="28"/>
          <w:szCs w:val="28"/>
        </w:rPr>
        <w:t xml:space="preserve"> </w:t>
      </w:r>
      <w:r w:rsidR="004F759B" w:rsidRPr="003877E2">
        <w:rPr>
          <w:sz w:val="28"/>
          <w:szCs w:val="28"/>
        </w:rPr>
        <w:t>In that event, if the finding of the Court is against the appellants on those two issues, it is not necessary to deal with th</w:t>
      </w:r>
      <w:r w:rsidR="00F64B79" w:rsidRPr="003877E2">
        <w:rPr>
          <w:sz w:val="28"/>
          <w:szCs w:val="28"/>
        </w:rPr>
        <w:t>e</w:t>
      </w:r>
      <w:r w:rsidR="004F759B" w:rsidRPr="003877E2">
        <w:rPr>
          <w:sz w:val="28"/>
          <w:szCs w:val="28"/>
        </w:rPr>
        <w:t xml:space="preserve"> issue of the value of the option.</w:t>
      </w:r>
    </w:p>
    <w:p w14:paraId="1F3FDBE4" w14:textId="77777777" w:rsidR="005E6A07" w:rsidRPr="00FB564C" w:rsidRDefault="005E6A07" w:rsidP="00B67C18">
      <w:pPr>
        <w:pStyle w:val="ListParagraph"/>
        <w:ind w:left="0"/>
        <w:rPr>
          <w:sz w:val="28"/>
          <w:szCs w:val="28"/>
        </w:rPr>
      </w:pPr>
    </w:p>
    <w:p w14:paraId="6FE3873A" w14:textId="5900C065" w:rsidR="004F759B" w:rsidRPr="003877E2" w:rsidRDefault="003877E2" w:rsidP="003877E2">
      <w:pPr>
        <w:rPr>
          <w:sz w:val="28"/>
          <w:szCs w:val="28"/>
        </w:rPr>
      </w:pPr>
      <w:r w:rsidRPr="00FB564C">
        <w:rPr>
          <w:sz w:val="28"/>
          <w:szCs w:val="28"/>
        </w:rPr>
        <w:t>[113]</w:t>
      </w:r>
      <w:r w:rsidRPr="00FB564C">
        <w:rPr>
          <w:sz w:val="28"/>
          <w:szCs w:val="28"/>
        </w:rPr>
        <w:tab/>
      </w:r>
      <w:r w:rsidR="004F759B" w:rsidRPr="003877E2">
        <w:rPr>
          <w:sz w:val="28"/>
          <w:szCs w:val="28"/>
        </w:rPr>
        <w:t>The high court found</w:t>
      </w:r>
      <w:r w:rsidR="00F64B79" w:rsidRPr="003877E2">
        <w:rPr>
          <w:sz w:val="28"/>
          <w:szCs w:val="28"/>
        </w:rPr>
        <w:t xml:space="preserve"> that</w:t>
      </w:r>
      <w:r w:rsidR="004F759B" w:rsidRPr="003877E2">
        <w:rPr>
          <w:sz w:val="28"/>
          <w:szCs w:val="28"/>
        </w:rPr>
        <w:t xml:space="preserve">, based on the evidence tendered, it had not been shown that Johnny at the relevant time possessed </w:t>
      </w:r>
      <w:r w:rsidR="00585C12" w:rsidRPr="003877E2">
        <w:rPr>
          <w:sz w:val="28"/>
          <w:szCs w:val="28"/>
        </w:rPr>
        <w:t xml:space="preserve">the </w:t>
      </w:r>
      <w:r w:rsidR="004F759B" w:rsidRPr="003877E2">
        <w:rPr>
          <w:sz w:val="28"/>
          <w:szCs w:val="28"/>
        </w:rPr>
        <w:t>financial resources to exercise the option</w:t>
      </w:r>
      <w:r w:rsidR="00F64B79" w:rsidRPr="003877E2">
        <w:rPr>
          <w:sz w:val="28"/>
          <w:szCs w:val="28"/>
        </w:rPr>
        <w:t>.</w:t>
      </w:r>
      <w:r w:rsidR="004F759B" w:rsidRPr="003877E2">
        <w:rPr>
          <w:sz w:val="28"/>
          <w:szCs w:val="28"/>
        </w:rPr>
        <w:t xml:space="preserve"> The only thing </w:t>
      </w:r>
      <w:r w:rsidR="00161782" w:rsidRPr="003877E2">
        <w:rPr>
          <w:sz w:val="28"/>
          <w:szCs w:val="28"/>
        </w:rPr>
        <w:t xml:space="preserve">that </w:t>
      </w:r>
      <w:r w:rsidR="004F759B" w:rsidRPr="003877E2">
        <w:rPr>
          <w:sz w:val="28"/>
          <w:szCs w:val="28"/>
        </w:rPr>
        <w:t>Oaker could</w:t>
      </w:r>
      <w:r w:rsidR="00F64B79" w:rsidRPr="003877E2">
        <w:rPr>
          <w:sz w:val="28"/>
          <w:szCs w:val="28"/>
        </w:rPr>
        <w:t xml:space="preserve"> </w:t>
      </w:r>
      <w:r w:rsidR="004F759B" w:rsidRPr="003877E2">
        <w:rPr>
          <w:sz w:val="28"/>
          <w:szCs w:val="28"/>
        </w:rPr>
        <w:t xml:space="preserve">say </w:t>
      </w:r>
      <w:r w:rsidR="00F64B79" w:rsidRPr="003877E2">
        <w:rPr>
          <w:sz w:val="28"/>
          <w:szCs w:val="28"/>
        </w:rPr>
        <w:t xml:space="preserve">in this regard </w:t>
      </w:r>
      <w:r w:rsidR="004F759B" w:rsidRPr="003877E2">
        <w:rPr>
          <w:sz w:val="28"/>
          <w:szCs w:val="28"/>
        </w:rPr>
        <w:t xml:space="preserve">was that he had </w:t>
      </w:r>
      <w:r w:rsidR="00F64B79" w:rsidRPr="003877E2">
        <w:rPr>
          <w:sz w:val="28"/>
          <w:szCs w:val="28"/>
        </w:rPr>
        <w:t xml:space="preserve">held </w:t>
      </w:r>
      <w:r w:rsidR="004F759B" w:rsidRPr="003877E2">
        <w:rPr>
          <w:sz w:val="28"/>
          <w:szCs w:val="28"/>
        </w:rPr>
        <w:t xml:space="preserve">discussions with financial institutions. </w:t>
      </w:r>
      <w:r w:rsidR="00581CEF" w:rsidRPr="003877E2">
        <w:rPr>
          <w:sz w:val="28"/>
          <w:szCs w:val="28"/>
        </w:rPr>
        <w:t>He provided no calculations or documentation to support this assertion</w:t>
      </w:r>
      <w:r w:rsidR="00E27A5D" w:rsidRPr="003877E2">
        <w:rPr>
          <w:sz w:val="28"/>
          <w:szCs w:val="28"/>
        </w:rPr>
        <w:t>.</w:t>
      </w:r>
      <w:r w:rsidR="00F64B79" w:rsidRPr="003877E2">
        <w:rPr>
          <w:sz w:val="28"/>
          <w:szCs w:val="28"/>
        </w:rPr>
        <w:t xml:space="preserve"> </w:t>
      </w:r>
      <w:r w:rsidR="00581CEF" w:rsidRPr="003877E2">
        <w:rPr>
          <w:sz w:val="28"/>
          <w:szCs w:val="28"/>
        </w:rPr>
        <w:t xml:space="preserve">Further no </w:t>
      </w:r>
      <w:r w:rsidR="004F759B" w:rsidRPr="003877E2">
        <w:rPr>
          <w:sz w:val="28"/>
          <w:szCs w:val="28"/>
        </w:rPr>
        <w:t xml:space="preserve">details </w:t>
      </w:r>
      <w:r w:rsidR="008534B9" w:rsidRPr="003877E2">
        <w:rPr>
          <w:sz w:val="28"/>
          <w:szCs w:val="28"/>
        </w:rPr>
        <w:t xml:space="preserve">as to </w:t>
      </w:r>
      <w:r w:rsidR="004F759B" w:rsidRPr="003877E2">
        <w:rPr>
          <w:sz w:val="28"/>
          <w:szCs w:val="28"/>
        </w:rPr>
        <w:t xml:space="preserve">what </w:t>
      </w:r>
      <w:r w:rsidR="00E61ECA" w:rsidRPr="003877E2">
        <w:rPr>
          <w:sz w:val="28"/>
          <w:szCs w:val="28"/>
        </w:rPr>
        <w:t>was</w:t>
      </w:r>
      <w:r w:rsidR="004F759B" w:rsidRPr="003877E2">
        <w:rPr>
          <w:sz w:val="28"/>
          <w:szCs w:val="28"/>
        </w:rPr>
        <w:t xml:space="preserve"> precisely discussed</w:t>
      </w:r>
      <w:r w:rsidR="00581CEF" w:rsidRPr="003877E2">
        <w:rPr>
          <w:sz w:val="28"/>
          <w:szCs w:val="28"/>
        </w:rPr>
        <w:t xml:space="preserve"> </w:t>
      </w:r>
      <w:r w:rsidR="008534B9" w:rsidRPr="003877E2">
        <w:rPr>
          <w:sz w:val="28"/>
          <w:szCs w:val="28"/>
        </w:rPr>
        <w:t xml:space="preserve">with the financial institutions </w:t>
      </w:r>
      <w:r w:rsidR="00581CEF" w:rsidRPr="003877E2">
        <w:rPr>
          <w:sz w:val="28"/>
          <w:szCs w:val="28"/>
        </w:rPr>
        <w:t>were given</w:t>
      </w:r>
      <w:r w:rsidR="004F759B" w:rsidRPr="003877E2">
        <w:rPr>
          <w:sz w:val="28"/>
          <w:szCs w:val="28"/>
        </w:rPr>
        <w:t xml:space="preserve">. </w:t>
      </w:r>
      <w:r w:rsidR="00585C12" w:rsidRPr="003877E2">
        <w:rPr>
          <w:sz w:val="28"/>
          <w:szCs w:val="28"/>
        </w:rPr>
        <w:t xml:space="preserve">There is no evidence of </w:t>
      </w:r>
      <w:r w:rsidR="00E27A5D" w:rsidRPr="003877E2">
        <w:rPr>
          <w:sz w:val="28"/>
          <w:szCs w:val="28"/>
        </w:rPr>
        <w:t>an</w:t>
      </w:r>
      <w:r w:rsidR="00585C12" w:rsidRPr="003877E2">
        <w:rPr>
          <w:sz w:val="28"/>
          <w:szCs w:val="28"/>
        </w:rPr>
        <w:t>y</w:t>
      </w:r>
      <w:r w:rsidR="00E27A5D" w:rsidRPr="003877E2">
        <w:rPr>
          <w:sz w:val="28"/>
          <w:szCs w:val="28"/>
        </w:rPr>
        <w:t xml:space="preserve"> </w:t>
      </w:r>
      <w:r w:rsidR="00E27A5D" w:rsidRPr="003877E2">
        <w:rPr>
          <w:sz w:val="28"/>
          <w:szCs w:val="28"/>
        </w:rPr>
        <w:lastRenderedPageBreak/>
        <w:t xml:space="preserve">application for finance </w:t>
      </w:r>
      <w:r w:rsidR="00585C12" w:rsidRPr="003877E2">
        <w:rPr>
          <w:sz w:val="28"/>
          <w:szCs w:val="28"/>
        </w:rPr>
        <w:t xml:space="preserve">having been made on behalf of </w:t>
      </w:r>
      <w:r w:rsidR="00C50A39" w:rsidRPr="003877E2">
        <w:rPr>
          <w:sz w:val="28"/>
          <w:szCs w:val="28"/>
        </w:rPr>
        <w:t xml:space="preserve">Johnny. </w:t>
      </w:r>
      <w:r w:rsidR="004F759B" w:rsidRPr="003877E2">
        <w:rPr>
          <w:sz w:val="28"/>
          <w:szCs w:val="28"/>
        </w:rPr>
        <w:t xml:space="preserve">The </w:t>
      </w:r>
      <w:r w:rsidR="00627200" w:rsidRPr="003877E2">
        <w:rPr>
          <w:sz w:val="28"/>
          <w:szCs w:val="28"/>
        </w:rPr>
        <w:t xml:space="preserve">high </w:t>
      </w:r>
      <w:r w:rsidR="004F759B" w:rsidRPr="003877E2">
        <w:rPr>
          <w:sz w:val="28"/>
          <w:szCs w:val="28"/>
        </w:rPr>
        <w:t>court concluded that ‘in the absence of the content of the discussions, it is</w:t>
      </w:r>
      <w:r w:rsidR="00C2735C" w:rsidRPr="003877E2">
        <w:rPr>
          <w:sz w:val="28"/>
          <w:szCs w:val="28"/>
        </w:rPr>
        <w:t xml:space="preserve"> </w:t>
      </w:r>
      <w:r w:rsidR="00161782" w:rsidRPr="003877E2">
        <w:rPr>
          <w:sz w:val="28"/>
          <w:szCs w:val="28"/>
        </w:rPr>
        <w:t>. . . d</w:t>
      </w:r>
      <w:r w:rsidR="004F759B" w:rsidRPr="003877E2">
        <w:rPr>
          <w:sz w:val="28"/>
          <w:szCs w:val="28"/>
        </w:rPr>
        <w:t xml:space="preserve">ifficult to discern whether those discussions yielded a basis upon which it can be said that Johnny was convincingly able to meet </w:t>
      </w:r>
      <w:r w:rsidR="00161782" w:rsidRPr="003877E2">
        <w:rPr>
          <w:sz w:val="28"/>
          <w:szCs w:val="28"/>
        </w:rPr>
        <w:t xml:space="preserve">the </w:t>
      </w:r>
      <w:r w:rsidR="004F759B" w:rsidRPr="003877E2">
        <w:rPr>
          <w:sz w:val="28"/>
          <w:szCs w:val="28"/>
        </w:rPr>
        <w:t>obligations of the option cancellation</w:t>
      </w:r>
      <w:r w:rsidR="00F64B79" w:rsidRPr="003877E2">
        <w:rPr>
          <w:sz w:val="28"/>
          <w:szCs w:val="28"/>
        </w:rPr>
        <w:t>’</w:t>
      </w:r>
      <w:r w:rsidR="00C2735C" w:rsidRPr="003877E2">
        <w:rPr>
          <w:sz w:val="28"/>
          <w:szCs w:val="28"/>
        </w:rPr>
        <w:t>.</w:t>
      </w:r>
      <w:r w:rsidR="00F64B79" w:rsidRPr="003877E2">
        <w:rPr>
          <w:sz w:val="28"/>
          <w:szCs w:val="28"/>
        </w:rPr>
        <w:t xml:space="preserve"> </w:t>
      </w:r>
      <w:r w:rsidR="00585C12" w:rsidRPr="003877E2">
        <w:rPr>
          <w:sz w:val="28"/>
          <w:szCs w:val="28"/>
        </w:rPr>
        <w:t xml:space="preserve">The high court accordingly rejected Oaker’s </w:t>
      </w:r>
      <w:r w:rsidR="00F64B79" w:rsidRPr="003877E2">
        <w:rPr>
          <w:sz w:val="28"/>
          <w:szCs w:val="28"/>
        </w:rPr>
        <w:t xml:space="preserve">evidence as </w:t>
      </w:r>
      <w:r w:rsidR="00627200" w:rsidRPr="003877E2">
        <w:rPr>
          <w:sz w:val="28"/>
          <w:szCs w:val="28"/>
        </w:rPr>
        <w:t xml:space="preserve">an </w:t>
      </w:r>
      <w:r w:rsidR="004F759B" w:rsidRPr="003877E2">
        <w:rPr>
          <w:sz w:val="28"/>
          <w:szCs w:val="28"/>
        </w:rPr>
        <w:t xml:space="preserve">afterthought </w:t>
      </w:r>
      <w:r w:rsidR="00F64B79" w:rsidRPr="003877E2">
        <w:rPr>
          <w:sz w:val="28"/>
          <w:szCs w:val="28"/>
        </w:rPr>
        <w:t xml:space="preserve">and </w:t>
      </w:r>
      <w:r w:rsidR="00627200" w:rsidRPr="003877E2">
        <w:rPr>
          <w:sz w:val="28"/>
          <w:szCs w:val="28"/>
        </w:rPr>
        <w:t xml:space="preserve">found </w:t>
      </w:r>
      <w:r w:rsidR="00161782" w:rsidRPr="003877E2">
        <w:rPr>
          <w:sz w:val="28"/>
          <w:szCs w:val="28"/>
        </w:rPr>
        <w:t xml:space="preserve">it </w:t>
      </w:r>
      <w:r w:rsidR="00627200" w:rsidRPr="003877E2">
        <w:rPr>
          <w:sz w:val="28"/>
          <w:szCs w:val="28"/>
        </w:rPr>
        <w:t xml:space="preserve">to be </w:t>
      </w:r>
      <w:r w:rsidR="00F64B79" w:rsidRPr="003877E2">
        <w:rPr>
          <w:sz w:val="28"/>
          <w:szCs w:val="28"/>
        </w:rPr>
        <w:t>u</w:t>
      </w:r>
      <w:r w:rsidR="004F759B" w:rsidRPr="003877E2">
        <w:rPr>
          <w:sz w:val="28"/>
          <w:szCs w:val="28"/>
        </w:rPr>
        <w:t xml:space="preserve">nreliable. </w:t>
      </w:r>
    </w:p>
    <w:p w14:paraId="06C7AE44" w14:textId="77777777" w:rsidR="004F759B" w:rsidRPr="00FB564C" w:rsidRDefault="004F759B">
      <w:pPr>
        <w:pStyle w:val="ListParagraph"/>
        <w:ind w:left="0"/>
        <w:rPr>
          <w:sz w:val="28"/>
          <w:szCs w:val="28"/>
        </w:rPr>
      </w:pPr>
    </w:p>
    <w:p w14:paraId="35751349" w14:textId="00A51105" w:rsidR="004F759B" w:rsidRPr="003877E2" w:rsidRDefault="003877E2" w:rsidP="003877E2">
      <w:pPr>
        <w:rPr>
          <w:sz w:val="28"/>
          <w:szCs w:val="28"/>
        </w:rPr>
      </w:pPr>
      <w:r w:rsidRPr="00FB564C">
        <w:rPr>
          <w:sz w:val="28"/>
          <w:szCs w:val="28"/>
        </w:rPr>
        <w:t>[114]</w:t>
      </w:r>
      <w:r w:rsidRPr="00FB564C">
        <w:rPr>
          <w:sz w:val="28"/>
          <w:szCs w:val="28"/>
        </w:rPr>
        <w:tab/>
      </w:r>
      <w:r w:rsidR="004F759B" w:rsidRPr="003877E2">
        <w:rPr>
          <w:sz w:val="28"/>
          <w:szCs w:val="28"/>
        </w:rPr>
        <w:t>The appellants</w:t>
      </w:r>
      <w:r w:rsidR="00AD2C66" w:rsidRPr="003877E2">
        <w:rPr>
          <w:sz w:val="28"/>
          <w:szCs w:val="28"/>
        </w:rPr>
        <w:t xml:space="preserve"> were found to have</w:t>
      </w:r>
      <w:r w:rsidR="004F759B" w:rsidRPr="003877E2">
        <w:rPr>
          <w:sz w:val="28"/>
          <w:szCs w:val="28"/>
        </w:rPr>
        <w:t xml:space="preserve"> misinformed the Financial Services Board and the Curator as to the circumstances under which Johnny came to be a 20% shareholder in the two Rapicorp companies</w:t>
      </w:r>
      <w:r w:rsidR="00AD2C66" w:rsidRPr="003877E2">
        <w:rPr>
          <w:sz w:val="28"/>
          <w:szCs w:val="28"/>
        </w:rPr>
        <w:t>. They were</w:t>
      </w:r>
      <w:r w:rsidR="004F759B" w:rsidRPr="003877E2">
        <w:rPr>
          <w:sz w:val="28"/>
          <w:szCs w:val="28"/>
        </w:rPr>
        <w:t xml:space="preserve"> found </w:t>
      </w:r>
      <w:r w:rsidR="00AD2C66" w:rsidRPr="003877E2">
        <w:rPr>
          <w:sz w:val="28"/>
          <w:szCs w:val="28"/>
        </w:rPr>
        <w:t xml:space="preserve">to have </w:t>
      </w:r>
      <w:r w:rsidR="004F759B" w:rsidRPr="003877E2">
        <w:rPr>
          <w:sz w:val="28"/>
          <w:szCs w:val="28"/>
        </w:rPr>
        <w:t>peddled</w:t>
      </w:r>
      <w:r w:rsidR="00AD2C66" w:rsidRPr="003877E2">
        <w:rPr>
          <w:sz w:val="28"/>
          <w:szCs w:val="28"/>
        </w:rPr>
        <w:t xml:space="preserve"> lies by trying to</w:t>
      </w:r>
      <w:r w:rsidR="004F759B" w:rsidRPr="003877E2">
        <w:rPr>
          <w:sz w:val="28"/>
          <w:szCs w:val="28"/>
        </w:rPr>
        <w:t xml:space="preserve"> cover the option cancellation </w:t>
      </w:r>
      <w:r w:rsidR="00AD2C66" w:rsidRPr="003877E2">
        <w:rPr>
          <w:sz w:val="28"/>
          <w:szCs w:val="28"/>
        </w:rPr>
        <w:t xml:space="preserve">and that in itself </w:t>
      </w:r>
      <w:r w:rsidR="004F759B" w:rsidRPr="003877E2">
        <w:rPr>
          <w:sz w:val="28"/>
          <w:szCs w:val="28"/>
        </w:rPr>
        <w:t>point</w:t>
      </w:r>
      <w:r w:rsidR="00AD2C66" w:rsidRPr="003877E2">
        <w:rPr>
          <w:sz w:val="28"/>
          <w:szCs w:val="28"/>
        </w:rPr>
        <w:t>ed</w:t>
      </w:r>
      <w:r w:rsidR="004F759B" w:rsidRPr="003877E2">
        <w:rPr>
          <w:sz w:val="28"/>
          <w:szCs w:val="28"/>
        </w:rPr>
        <w:t xml:space="preserve"> towards the fact that there was never any intention to exercise the option </w:t>
      </w:r>
      <w:r w:rsidR="00585C12" w:rsidRPr="003877E2">
        <w:rPr>
          <w:sz w:val="28"/>
          <w:szCs w:val="28"/>
        </w:rPr>
        <w:t xml:space="preserve">in </w:t>
      </w:r>
      <w:r w:rsidR="004F759B" w:rsidRPr="003877E2">
        <w:rPr>
          <w:sz w:val="28"/>
          <w:szCs w:val="28"/>
        </w:rPr>
        <w:t>the first place. The</w:t>
      </w:r>
      <w:r w:rsidR="00F97114" w:rsidRPr="003877E2">
        <w:rPr>
          <w:sz w:val="28"/>
          <w:szCs w:val="28"/>
        </w:rPr>
        <w:t>se findings are unchallenged and there is</w:t>
      </w:r>
      <w:r w:rsidR="004F759B" w:rsidRPr="003877E2">
        <w:rPr>
          <w:sz w:val="28"/>
          <w:szCs w:val="28"/>
        </w:rPr>
        <w:t xml:space="preserve"> no reason to interfere with</w:t>
      </w:r>
      <w:r w:rsidR="00F97114" w:rsidRPr="003877E2">
        <w:rPr>
          <w:sz w:val="28"/>
          <w:szCs w:val="28"/>
        </w:rPr>
        <w:t xml:space="preserve"> them</w:t>
      </w:r>
      <w:r w:rsidR="004F759B" w:rsidRPr="003877E2">
        <w:rPr>
          <w:sz w:val="28"/>
          <w:szCs w:val="28"/>
        </w:rPr>
        <w:t xml:space="preserve">. Furthermore, as the high court correctly found, Oaker, Clint and Pillay owed </w:t>
      </w:r>
      <w:r w:rsidR="00F36B63" w:rsidRPr="003877E2">
        <w:rPr>
          <w:sz w:val="28"/>
          <w:szCs w:val="28"/>
        </w:rPr>
        <w:t>PIF</w:t>
      </w:r>
      <w:r w:rsidR="007939CD" w:rsidRPr="003877E2">
        <w:rPr>
          <w:sz w:val="28"/>
          <w:szCs w:val="28"/>
        </w:rPr>
        <w:t xml:space="preserve"> a</w:t>
      </w:r>
      <w:r w:rsidR="004F759B" w:rsidRPr="003877E2">
        <w:rPr>
          <w:sz w:val="28"/>
          <w:szCs w:val="28"/>
        </w:rPr>
        <w:t xml:space="preserve"> fiduciary duty and acted in breach thereof.</w:t>
      </w:r>
      <w:r w:rsidR="007939CD" w:rsidRPr="003877E2">
        <w:rPr>
          <w:sz w:val="28"/>
          <w:szCs w:val="28"/>
        </w:rPr>
        <w:t xml:space="preserve"> </w:t>
      </w:r>
      <w:r w:rsidR="008534B9" w:rsidRPr="003877E2">
        <w:rPr>
          <w:sz w:val="28"/>
          <w:szCs w:val="28"/>
        </w:rPr>
        <w:t>The second option cancellation was</w:t>
      </w:r>
      <w:r w:rsidR="00A312CB" w:rsidRPr="003877E2">
        <w:rPr>
          <w:sz w:val="28"/>
          <w:szCs w:val="28"/>
        </w:rPr>
        <w:t xml:space="preserve"> baseless</w:t>
      </w:r>
      <w:r w:rsidR="008534B9" w:rsidRPr="003877E2">
        <w:rPr>
          <w:sz w:val="28"/>
          <w:szCs w:val="28"/>
        </w:rPr>
        <w:t>, the cancellation fee payment of R150 million illegitimate</w:t>
      </w:r>
      <w:r w:rsidR="00DA7FAC" w:rsidRPr="003877E2">
        <w:rPr>
          <w:sz w:val="28"/>
          <w:szCs w:val="28"/>
        </w:rPr>
        <w:t>,</w:t>
      </w:r>
      <w:r w:rsidR="008534B9" w:rsidRPr="003877E2">
        <w:rPr>
          <w:sz w:val="28"/>
          <w:szCs w:val="28"/>
        </w:rPr>
        <w:t xml:space="preserve"> and the</w:t>
      </w:r>
      <w:r w:rsidR="00A312CB" w:rsidRPr="003877E2">
        <w:rPr>
          <w:sz w:val="28"/>
          <w:szCs w:val="28"/>
        </w:rPr>
        <w:t xml:space="preserve"> creation</w:t>
      </w:r>
      <w:r w:rsidR="008534B9" w:rsidRPr="003877E2">
        <w:rPr>
          <w:sz w:val="28"/>
          <w:szCs w:val="28"/>
        </w:rPr>
        <w:t xml:space="preserve"> of the loan amount of R6</w:t>
      </w:r>
      <w:r w:rsidR="00F36B63" w:rsidRPr="003877E2">
        <w:rPr>
          <w:sz w:val="28"/>
          <w:szCs w:val="28"/>
        </w:rPr>
        <w:t>,7</w:t>
      </w:r>
      <w:r w:rsidR="008534B9" w:rsidRPr="003877E2">
        <w:rPr>
          <w:sz w:val="28"/>
          <w:szCs w:val="28"/>
        </w:rPr>
        <w:t xml:space="preserve"> million</w:t>
      </w:r>
      <w:r w:rsidR="00DA7FAC" w:rsidRPr="003877E2">
        <w:rPr>
          <w:sz w:val="28"/>
          <w:szCs w:val="28"/>
        </w:rPr>
        <w:t>,</w:t>
      </w:r>
      <w:r w:rsidR="008534B9" w:rsidRPr="003877E2">
        <w:rPr>
          <w:sz w:val="28"/>
          <w:szCs w:val="28"/>
        </w:rPr>
        <w:t xml:space="preserve"> unlawful. The high court was justified in nullifying the agreement</w:t>
      </w:r>
      <w:r w:rsidR="005E5E53" w:rsidRPr="003877E2">
        <w:rPr>
          <w:sz w:val="28"/>
          <w:szCs w:val="28"/>
        </w:rPr>
        <w:t>.</w:t>
      </w:r>
    </w:p>
    <w:p w14:paraId="6771B447" w14:textId="77777777" w:rsidR="004F759B" w:rsidRPr="00FB564C" w:rsidRDefault="004F759B">
      <w:pPr>
        <w:pStyle w:val="ListParagraph"/>
        <w:ind w:left="0"/>
        <w:rPr>
          <w:sz w:val="28"/>
          <w:szCs w:val="28"/>
        </w:rPr>
      </w:pPr>
    </w:p>
    <w:p w14:paraId="101E030E" w14:textId="40809E40" w:rsidR="004F759B" w:rsidRPr="003877E2" w:rsidRDefault="003877E2" w:rsidP="003877E2">
      <w:pPr>
        <w:rPr>
          <w:sz w:val="28"/>
          <w:szCs w:val="28"/>
        </w:rPr>
      </w:pPr>
      <w:r w:rsidRPr="00FB564C">
        <w:rPr>
          <w:sz w:val="28"/>
          <w:szCs w:val="28"/>
        </w:rPr>
        <w:t>[115]</w:t>
      </w:r>
      <w:r w:rsidRPr="00FB564C">
        <w:rPr>
          <w:sz w:val="28"/>
          <w:szCs w:val="28"/>
        </w:rPr>
        <w:tab/>
      </w:r>
      <w:r w:rsidR="007939CD" w:rsidRPr="003877E2">
        <w:rPr>
          <w:sz w:val="28"/>
          <w:szCs w:val="28"/>
        </w:rPr>
        <w:t xml:space="preserve">Both parties agreed that the </w:t>
      </w:r>
      <w:r w:rsidR="00342BAF" w:rsidRPr="003877E2">
        <w:rPr>
          <w:sz w:val="28"/>
          <w:szCs w:val="28"/>
        </w:rPr>
        <w:t xml:space="preserve">high </w:t>
      </w:r>
      <w:r w:rsidR="007939CD" w:rsidRPr="003877E2">
        <w:rPr>
          <w:sz w:val="28"/>
          <w:szCs w:val="28"/>
        </w:rPr>
        <w:t>court</w:t>
      </w:r>
      <w:r w:rsidR="00342BAF" w:rsidRPr="003877E2">
        <w:rPr>
          <w:sz w:val="28"/>
          <w:szCs w:val="28"/>
        </w:rPr>
        <w:t>’s</w:t>
      </w:r>
      <w:r w:rsidR="007939CD" w:rsidRPr="003877E2">
        <w:rPr>
          <w:sz w:val="28"/>
          <w:szCs w:val="28"/>
        </w:rPr>
        <w:t xml:space="preserve"> order was erroneous in that it </w:t>
      </w:r>
      <w:r w:rsidR="00F97114" w:rsidRPr="003877E2">
        <w:rPr>
          <w:sz w:val="28"/>
          <w:szCs w:val="28"/>
        </w:rPr>
        <w:t xml:space="preserve">granted </w:t>
      </w:r>
      <w:r w:rsidR="007939CD" w:rsidRPr="003877E2">
        <w:rPr>
          <w:sz w:val="28"/>
          <w:szCs w:val="28"/>
        </w:rPr>
        <w:t xml:space="preserve">relief directed at Oaker and Johnny to reimburse PIF for the value of the option instead of restoring PIF’s 100% shareholding </w:t>
      </w:r>
      <w:r w:rsidR="00F97114" w:rsidRPr="003877E2">
        <w:rPr>
          <w:sz w:val="28"/>
          <w:szCs w:val="28"/>
        </w:rPr>
        <w:t xml:space="preserve">in the </w:t>
      </w:r>
      <w:r w:rsidR="007939CD" w:rsidRPr="003877E2">
        <w:rPr>
          <w:sz w:val="28"/>
          <w:szCs w:val="28"/>
        </w:rPr>
        <w:t>Rapicorp companies</w:t>
      </w:r>
      <w:r w:rsidR="00F97114" w:rsidRPr="003877E2">
        <w:rPr>
          <w:sz w:val="28"/>
          <w:szCs w:val="28"/>
        </w:rPr>
        <w:t>.</w:t>
      </w:r>
      <w:r w:rsidR="007939CD" w:rsidRPr="003877E2">
        <w:rPr>
          <w:sz w:val="28"/>
          <w:szCs w:val="28"/>
        </w:rPr>
        <w:t xml:space="preserve"> </w:t>
      </w:r>
      <w:r w:rsidR="00D1682B" w:rsidRPr="003877E2">
        <w:rPr>
          <w:sz w:val="28"/>
          <w:szCs w:val="28"/>
        </w:rPr>
        <w:t xml:space="preserve">In the </w:t>
      </w:r>
      <w:r w:rsidR="00A312CB" w:rsidRPr="003877E2">
        <w:rPr>
          <w:sz w:val="28"/>
          <w:szCs w:val="28"/>
        </w:rPr>
        <w:t>circumstances,</w:t>
      </w:r>
      <w:r w:rsidR="007939CD" w:rsidRPr="003877E2">
        <w:rPr>
          <w:sz w:val="28"/>
          <w:szCs w:val="28"/>
        </w:rPr>
        <w:t xml:space="preserve"> the high court’s order must be rectified.</w:t>
      </w:r>
    </w:p>
    <w:p w14:paraId="2E0053AA" w14:textId="77777777" w:rsidR="00852543" w:rsidRDefault="00852543">
      <w:pPr>
        <w:pStyle w:val="ListParagraph"/>
        <w:ind w:left="0"/>
        <w:rPr>
          <w:bCs/>
          <w:sz w:val="28"/>
          <w:szCs w:val="28"/>
        </w:rPr>
      </w:pPr>
    </w:p>
    <w:p w14:paraId="3C059015" w14:textId="77777777" w:rsidR="005D6CED" w:rsidRDefault="005D6CED">
      <w:pPr>
        <w:pStyle w:val="ListParagraph"/>
        <w:ind w:left="0"/>
        <w:rPr>
          <w:bCs/>
          <w:sz w:val="28"/>
          <w:szCs w:val="28"/>
        </w:rPr>
      </w:pPr>
    </w:p>
    <w:p w14:paraId="7CC11164" w14:textId="77777777" w:rsidR="005D6CED" w:rsidRPr="00491F78" w:rsidRDefault="005D6CED">
      <w:pPr>
        <w:pStyle w:val="ListParagraph"/>
        <w:ind w:left="0"/>
        <w:rPr>
          <w:bCs/>
          <w:sz w:val="28"/>
          <w:szCs w:val="28"/>
        </w:rPr>
      </w:pPr>
    </w:p>
    <w:p w14:paraId="5E67E62A" w14:textId="78EC7EB9" w:rsidR="00B606A7" w:rsidRPr="00FB564C" w:rsidRDefault="00B606A7">
      <w:pPr>
        <w:pStyle w:val="ListParagraph"/>
        <w:ind w:left="0"/>
        <w:rPr>
          <w:b/>
          <w:sz w:val="28"/>
          <w:szCs w:val="28"/>
        </w:rPr>
      </w:pPr>
      <w:r w:rsidRPr="00FB564C">
        <w:rPr>
          <w:b/>
          <w:sz w:val="28"/>
          <w:szCs w:val="28"/>
        </w:rPr>
        <w:lastRenderedPageBreak/>
        <w:t>Cross</w:t>
      </w:r>
      <w:r w:rsidR="00C2735C" w:rsidRPr="00FB564C">
        <w:rPr>
          <w:b/>
          <w:sz w:val="28"/>
          <w:szCs w:val="28"/>
        </w:rPr>
        <w:t>-</w:t>
      </w:r>
      <w:r w:rsidRPr="00FB564C">
        <w:rPr>
          <w:b/>
          <w:sz w:val="28"/>
          <w:szCs w:val="28"/>
        </w:rPr>
        <w:t>appeal on interest</w:t>
      </w:r>
    </w:p>
    <w:p w14:paraId="1832EA85" w14:textId="6967059A" w:rsidR="00B606A7" w:rsidRPr="003877E2" w:rsidRDefault="003877E2" w:rsidP="003877E2">
      <w:pPr>
        <w:rPr>
          <w:sz w:val="28"/>
          <w:szCs w:val="28"/>
        </w:rPr>
      </w:pPr>
      <w:r w:rsidRPr="00FB564C">
        <w:rPr>
          <w:sz w:val="28"/>
          <w:szCs w:val="28"/>
        </w:rPr>
        <w:t>[116]</w:t>
      </w:r>
      <w:r w:rsidRPr="00FB564C">
        <w:rPr>
          <w:sz w:val="28"/>
          <w:szCs w:val="28"/>
        </w:rPr>
        <w:tab/>
      </w:r>
      <w:r w:rsidR="00A06F3C" w:rsidRPr="003877E2">
        <w:rPr>
          <w:sz w:val="28"/>
          <w:szCs w:val="28"/>
        </w:rPr>
        <w:t>The Curator rightly no longer pursues his cross-appeal in relation to the interest</w:t>
      </w:r>
      <w:r w:rsidR="00C2735C" w:rsidRPr="003877E2">
        <w:rPr>
          <w:sz w:val="28"/>
          <w:szCs w:val="28"/>
        </w:rPr>
        <w:t>,</w:t>
      </w:r>
      <w:r w:rsidR="00A06F3C" w:rsidRPr="003877E2">
        <w:rPr>
          <w:sz w:val="28"/>
          <w:szCs w:val="28"/>
        </w:rPr>
        <w:t xml:space="preserve"> as </w:t>
      </w:r>
      <w:r w:rsidR="00A312CB" w:rsidRPr="003877E2">
        <w:rPr>
          <w:sz w:val="28"/>
          <w:szCs w:val="28"/>
        </w:rPr>
        <w:t xml:space="preserve">the award thereof </w:t>
      </w:r>
      <w:r w:rsidR="00A06F3C" w:rsidRPr="003877E2">
        <w:rPr>
          <w:sz w:val="28"/>
          <w:szCs w:val="28"/>
        </w:rPr>
        <w:t xml:space="preserve">fell within the court’s discretion. The </w:t>
      </w:r>
      <w:r w:rsidR="00B606A7" w:rsidRPr="003877E2">
        <w:rPr>
          <w:sz w:val="28"/>
          <w:szCs w:val="28"/>
        </w:rPr>
        <w:t xml:space="preserve">high </w:t>
      </w:r>
      <w:r w:rsidR="00A06F3C" w:rsidRPr="003877E2">
        <w:rPr>
          <w:sz w:val="28"/>
          <w:szCs w:val="28"/>
        </w:rPr>
        <w:t xml:space="preserve">court ordered interest </w:t>
      </w:r>
      <w:r w:rsidR="00D1682B" w:rsidRPr="003877E2">
        <w:rPr>
          <w:sz w:val="28"/>
          <w:szCs w:val="28"/>
        </w:rPr>
        <w:t xml:space="preserve">to be </w:t>
      </w:r>
      <w:r w:rsidR="00A06F3C" w:rsidRPr="003877E2">
        <w:rPr>
          <w:sz w:val="28"/>
          <w:szCs w:val="28"/>
        </w:rPr>
        <w:t xml:space="preserve">calculated at 15.5% from the date of </w:t>
      </w:r>
      <w:r w:rsidR="00DA7FAC" w:rsidRPr="003877E2">
        <w:rPr>
          <w:sz w:val="28"/>
          <w:szCs w:val="28"/>
        </w:rPr>
        <w:t xml:space="preserve">the </w:t>
      </w:r>
      <w:r w:rsidR="00A06F3C" w:rsidRPr="003877E2">
        <w:rPr>
          <w:sz w:val="28"/>
          <w:szCs w:val="28"/>
        </w:rPr>
        <w:t>issue of the summons on 25 June 2014.</w:t>
      </w:r>
    </w:p>
    <w:p w14:paraId="7527B8BA" w14:textId="77777777" w:rsidR="00554041" w:rsidRPr="00491F78" w:rsidRDefault="00554041">
      <w:pPr>
        <w:rPr>
          <w:bCs/>
          <w:sz w:val="28"/>
          <w:szCs w:val="28"/>
        </w:rPr>
      </w:pPr>
    </w:p>
    <w:p w14:paraId="5D7699B8" w14:textId="69797FC6" w:rsidR="00B606A7" w:rsidRPr="00FB564C" w:rsidRDefault="00B606A7">
      <w:pPr>
        <w:rPr>
          <w:b/>
          <w:sz w:val="28"/>
          <w:szCs w:val="28"/>
        </w:rPr>
      </w:pPr>
      <w:r w:rsidRPr="00FB564C">
        <w:rPr>
          <w:b/>
          <w:sz w:val="28"/>
          <w:szCs w:val="28"/>
        </w:rPr>
        <w:t>Conclusion</w:t>
      </w:r>
    </w:p>
    <w:p w14:paraId="5FAF1F2A" w14:textId="14094BE9" w:rsidR="003F4037" w:rsidRPr="003877E2" w:rsidRDefault="003877E2" w:rsidP="003877E2">
      <w:pPr>
        <w:rPr>
          <w:sz w:val="28"/>
          <w:szCs w:val="28"/>
        </w:rPr>
      </w:pPr>
      <w:r w:rsidRPr="00FB564C">
        <w:rPr>
          <w:sz w:val="28"/>
          <w:szCs w:val="28"/>
        </w:rPr>
        <w:t>[117]</w:t>
      </w:r>
      <w:r w:rsidRPr="00FB564C">
        <w:rPr>
          <w:sz w:val="28"/>
          <w:szCs w:val="28"/>
        </w:rPr>
        <w:tab/>
      </w:r>
      <w:r w:rsidR="00EE67C3" w:rsidRPr="003877E2">
        <w:rPr>
          <w:sz w:val="28"/>
          <w:szCs w:val="28"/>
        </w:rPr>
        <w:t xml:space="preserve"> For all the </w:t>
      </w:r>
      <w:r w:rsidR="00B72B4A" w:rsidRPr="003877E2">
        <w:rPr>
          <w:sz w:val="28"/>
          <w:szCs w:val="28"/>
        </w:rPr>
        <w:t>reasons given in this judgment, the</w:t>
      </w:r>
      <w:r w:rsidR="00A06F3C" w:rsidRPr="003877E2">
        <w:rPr>
          <w:sz w:val="28"/>
          <w:szCs w:val="28"/>
        </w:rPr>
        <w:t xml:space="preserve"> appeal must fail and </w:t>
      </w:r>
      <w:r w:rsidR="00B72B4A" w:rsidRPr="003877E2">
        <w:rPr>
          <w:sz w:val="28"/>
          <w:szCs w:val="28"/>
        </w:rPr>
        <w:t xml:space="preserve">the </w:t>
      </w:r>
      <w:r w:rsidR="00A06F3C" w:rsidRPr="003877E2">
        <w:rPr>
          <w:sz w:val="28"/>
          <w:szCs w:val="28"/>
        </w:rPr>
        <w:t xml:space="preserve">cross-appeal succeed with the necessary adjustments having to be made </w:t>
      </w:r>
      <w:r w:rsidR="00DA7FAC" w:rsidRPr="003877E2">
        <w:rPr>
          <w:sz w:val="28"/>
          <w:szCs w:val="28"/>
        </w:rPr>
        <w:t xml:space="preserve">to </w:t>
      </w:r>
      <w:r w:rsidR="00A06F3C" w:rsidRPr="003877E2">
        <w:rPr>
          <w:sz w:val="28"/>
          <w:szCs w:val="28"/>
        </w:rPr>
        <w:t xml:space="preserve">the order. </w:t>
      </w:r>
      <w:r w:rsidR="003F4037" w:rsidRPr="003877E2">
        <w:rPr>
          <w:sz w:val="28"/>
          <w:szCs w:val="28"/>
        </w:rPr>
        <w:t>At the hearing of the appeal, counsel expressed confidence that to the extent that some of the claims still required to be finally quantified, that could be achieved by agreement. To the extent that such confidence may in time prove to have been misplaced, I propose to remit the matter to the high court so that failing agreement it can make those determinations in the light of this judgment. The order that issues will accordingly cater for that eventuality, should it arise.</w:t>
      </w:r>
      <w:r w:rsidR="00F9189C" w:rsidRPr="003877E2">
        <w:rPr>
          <w:sz w:val="28"/>
          <w:szCs w:val="28"/>
        </w:rPr>
        <w:t xml:space="preserve"> Moreover, given the inordinate passage of time</w:t>
      </w:r>
      <w:r w:rsidR="00514F78" w:rsidRPr="003877E2">
        <w:rPr>
          <w:sz w:val="28"/>
          <w:szCs w:val="28"/>
        </w:rPr>
        <w:t xml:space="preserve">, the fact that we are concerned with funds that belong </w:t>
      </w:r>
      <w:r w:rsidR="007A3A6D" w:rsidRPr="003877E2">
        <w:rPr>
          <w:sz w:val="28"/>
          <w:szCs w:val="28"/>
        </w:rPr>
        <w:t xml:space="preserve">to </w:t>
      </w:r>
      <w:r w:rsidR="00514F78" w:rsidRPr="003877E2">
        <w:rPr>
          <w:sz w:val="28"/>
          <w:szCs w:val="28"/>
        </w:rPr>
        <w:t>vulnerable workers</w:t>
      </w:r>
      <w:r w:rsidR="00F9189C" w:rsidRPr="003877E2">
        <w:rPr>
          <w:sz w:val="28"/>
          <w:szCs w:val="28"/>
        </w:rPr>
        <w:t xml:space="preserve"> and the obviously dilatory</w:t>
      </w:r>
      <w:r w:rsidR="00514F78" w:rsidRPr="003877E2">
        <w:rPr>
          <w:sz w:val="28"/>
          <w:szCs w:val="28"/>
        </w:rPr>
        <w:t xml:space="preserve"> conduct on the part of the appellants, it is necessary to direct that the various orders for payment shall be executable immediately upon delivery of this judgment. The order that issues will also cater for that. </w:t>
      </w:r>
      <w:r w:rsidR="00F9189C" w:rsidRPr="003877E2">
        <w:rPr>
          <w:sz w:val="28"/>
          <w:szCs w:val="28"/>
        </w:rPr>
        <w:t xml:space="preserve"> </w:t>
      </w:r>
      <w:r w:rsidR="003F4037" w:rsidRPr="003877E2">
        <w:rPr>
          <w:sz w:val="28"/>
          <w:szCs w:val="28"/>
        </w:rPr>
        <w:t xml:space="preserve"> </w:t>
      </w:r>
    </w:p>
    <w:p w14:paraId="4E82EE33" w14:textId="77777777" w:rsidR="00A06F3C" w:rsidRPr="00FB564C" w:rsidRDefault="00A06F3C">
      <w:pPr>
        <w:pStyle w:val="ListParagraph"/>
        <w:rPr>
          <w:sz w:val="28"/>
          <w:szCs w:val="28"/>
        </w:rPr>
      </w:pPr>
    </w:p>
    <w:p w14:paraId="0FF8E888" w14:textId="1A7E16E8" w:rsidR="00A06F3C" w:rsidRPr="003877E2" w:rsidRDefault="003877E2" w:rsidP="003877E2">
      <w:pPr>
        <w:rPr>
          <w:sz w:val="28"/>
          <w:szCs w:val="28"/>
        </w:rPr>
      </w:pPr>
      <w:r w:rsidRPr="00FB564C">
        <w:rPr>
          <w:sz w:val="28"/>
          <w:szCs w:val="28"/>
        </w:rPr>
        <w:t>[118]</w:t>
      </w:r>
      <w:r w:rsidRPr="00FB564C">
        <w:rPr>
          <w:sz w:val="28"/>
          <w:szCs w:val="28"/>
        </w:rPr>
        <w:tab/>
      </w:r>
      <w:r w:rsidR="00A06F3C" w:rsidRPr="003877E2">
        <w:rPr>
          <w:sz w:val="28"/>
          <w:szCs w:val="28"/>
        </w:rPr>
        <w:t xml:space="preserve">It remains to consider the issue of costs. </w:t>
      </w:r>
      <w:r w:rsidR="003F4037" w:rsidRPr="003877E2">
        <w:rPr>
          <w:sz w:val="28"/>
          <w:szCs w:val="28"/>
        </w:rPr>
        <w:t xml:space="preserve">In view of </w:t>
      </w:r>
      <w:r w:rsidR="009B759B" w:rsidRPr="003877E2">
        <w:rPr>
          <w:sz w:val="28"/>
          <w:szCs w:val="28"/>
        </w:rPr>
        <w:t xml:space="preserve">this Court’s findings in relation to </w:t>
      </w:r>
      <w:r w:rsidR="00E81A09" w:rsidRPr="003877E2">
        <w:rPr>
          <w:sz w:val="28"/>
          <w:szCs w:val="28"/>
        </w:rPr>
        <w:t>Clint</w:t>
      </w:r>
      <w:r w:rsidR="009B759B" w:rsidRPr="003877E2">
        <w:rPr>
          <w:sz w:val="28"/>
          <w:szCs w:val="28"/>
        </w:rPr>
        <w:t xml:space="preserve"> and Pillay’s liability, the high court’s order limiting their liability </w:t>
      </w:r>
      <w:r w:rsidR="00DA7FAC" w:rsidRPr="003877E2">
        <w:rPr>
          <w:sz w:val="28"/>
          <w:szCs w:val="28"/>
        </w:rPr>
        <w:t xml:space="preserve">for </w:t>
      </w:r>
      <w:r w:rsidR="009B759B" w:rsidRPr="003877E2">
        <w:rPr>
          <w:sz w:val="28"/>
          <w:szCs w:val="28"/>
        </w:rPr>
        <w:t xml:space="preserve">costs to </w:t>
      </w:r>
      <w:r w:rsidR="00342BAF" w:rsidRPr="003877E2">
        <w:rPr>
          <w:sz w:val="28"/>
          <w:szCs w:val="28"/>
        </w:rPr>
        <w:t>20%</w:t>
      </w:r>
      <w:r w:rsidR="009B759B" w:rsidRPr="003877E2">
        <w:rPr>
          <w:sz w:val="28"/>
          <w:szCs w:val="28"/>
        </w:rPr>
        <w:t xml:space="preserve"> must be adjusted</w:t>
      </w:r>
      <w:r w:rsidR="00342BAF" w:rsidRPr="003877E2">
        <w:rPr>
          <w:sz w:val="28"/>
          <w:szCs w:val="28"/>
        </w:rPr>
        <w:t>.</w:t>
      </w:r>
      <w:r w:rsidR="009B759B" w:rsidRPr="003877E2">
        <w:rPr>
          <w:sz w:val="28"/>
          <w:szCs w:val="28"/>
        </w:rPr>
        <w:t xml:space="preserve"> Secondly</w:t>
      </w:r>
      <w:r w:rsidR="00342BAF" w:rsidRPr="003877E2">
        <w:rPr>
          <w:sz w:val="28"/>
          <w:szCs w:val="28"/>
        </w:rPr>
        <w:t xml:space="preserve">, </w:t>
      </w:r>
      <w:r w:rsidR="003F4037" w:rsidRPr="003877E2">
        <w:rPr>
          <w:sz w:val="28"/>
          <w:szCs w:val="28"/>
        </w:rPr>
        <w:t>as not all the defendants in the action under case number 109</w:t>
      </w:r>
      <w:r w:rsidR="00D7021D" w:rsidRPr="003877E2">
        <w:rPr>
          <w:sz w:val="28"/>
          <w:szCs w:val="28"/>
        </w:rPr>
        <w:t>8</w:t>
      </w:r>
      <w:r w:rsidR="003F4037" w:rsidRPr="003877E2">
        <w:rPr>
          <w:sz w:val="28"/>
          <w:szCs w:val="28"/>
        </w:rPr>
        <w:t xml:space="preserve">4/2014 </w:t>
      </w:r>
      <w:r w:rsidR="009B759B" w:rsidRPr="003877E2">
        <w:rPr>
          <w:sz w:val="28"/>
          <w:szCs w:val="28"/>
        </w:rPr>
        <w:t>were parties in the action under case number 1534/</w:t>
      </w:r>
      <w:r w:rsidR="003F4037" w:rsidRPr="003877E2">
        <w:rPr>
          <w:sz w:val="28"/>
          <w:szCs w:val="28"/>
        </w:rPr>
        <w:t>2013,</w:t>
      </w:r>
      <w:r w:rsidR="00E81A09" w:rsidRPr="003877E2">
        <w:rPr>
          <w:sz w:val="28"/>
          <w:szCs w:val="28"/>
        </w:rPr>
        <w:t xml:space="preserve"> it is necessary to</w:t>
      </w:r>
      <w:r w:rsidR="009B759B" w:rsidRPr="003877E2">
        <w:rPr>
          <w:sz w:val="28"/>
          <w:szCs w:val="28"/>
        </w:rPr>
        <w:t xml:space="preserve"> </w:t>
      </w:r>
      <w:r w:rsidR="00F9189C" w:rsidRPr="003877E2">
        <w:rPr>
          <w:sz w:val="28"/>
          <w:szCs w:val="28"/>
        </w:rPr>
        <w:t xml:space="preserve">differentiate </w:t>
      </w:r>
      <w:r w:rsidR="003F4037" w:rsidRPr="003877E2">
        <w:rPr>
          <w:sz w:val="28"/>
          <w:szCs w:val="28"/>
        </w:rPr>
        <w:t xml:space="preserve">in respect of </w:t>
      </w:r>
      <w:r w:rsidR="00F9189C" w:rsidRPr="003877E2">
        <w:rPr>
          <w:sz w:val="28"/>
          <w:szCs w:val="28"/>
        </w:rPr>
        <w:t xml:space="preserve">the </w:t>
      </w:r>
      <w:r w:rsidR="009B759B" w:rsidRPr="003877E2">
        <w:rPr>
          <w:sz w:val="28"/>
          <w:szCs w:val="28"/>
        </w:rPr>
        <w:t>costs</w:t>
      </w:r>
      <w:r w:rsidR="00554041" w:rsidRPr="003877E2">
        <w:rPr>
          <w:sz w:val="28"/>
          <w:szCs w:val="28"/>
        </w:rPr>
        <w:t xml:space="preserve"> arising </w:t>
      </w:r>
      <w:r w:rsidR="009B759B" w:rsidRPr="003877E2">
        <w:rPr>
          <w:sz w:val="28"/>
          <w:szCs w:val="28"/>
        </w:rPr>
        <w:t xml:space="preserve">prior to the </w:t>
      </w:r>
      <w:r w:rsidR="009B759B" w:rsidRPr="003877E2">
        <w:rPr>
          <w:sz w:val="28"/>
          <w:szCs w:val="28"/>
        </w:rPr>
        <w:lastRenderedPageBreak/>
        <w:t>consolidation of the two actions</w:t>
      </w:r>
      <w:r w:rsidR="00F9189C" w:rsidRPr="003877E2">
        <w:rPr>
          <w:sz w:val="28"/>
          <w:szCs w:val="28"/>
        </w:rPr>
        <w:t xml:space="preserve"> an</w:t>
      </w:r>
      <w:r w:rsidR="00BE47FC" w:rsidRPr="003877E2">
        <w:rPr>
          <w:sz w:val="28"/>
          <w:szCs w:val="28"/>
        </w:rPr>
        <w:t>d</w:t>
      </w:r>
      <w:r w:rsidR="00F9189C" w:rsidRPr="003877E2">
        <w:rPr>
          <w:sz w:val="28"/>
          <w:szCs w:val="28"/>
        </w:rPr>
        <w:t xml:space="preserve"> those thereafter</w:t>
      </w:r>
      <w:r w:rsidR="009B759B" w:rsidRPr="003877E2">
        <w:rPr>
          <w:sz w:val="28"/>
          <w:szCs w:val="28"/>
        </w:rPr>
        <w:t xml:space="preserve">. </w:t>
      </w:r>
      <w:r w:rsidR="00A06F3C" w:rsidRPr="003877E2">
        <w:rPr>
          <w:sz w:val="28"/>
          <w:szCs w:val="28"/>
        </w:rPr>
        <w:t xml:space="preserve">Save </w:t>
      </w:r>
      <w:r w:rsidR="003F4037" w:rsidRPr="003877E2">
        <w:rPr>
          <w:sz w:val="28"/>
          <w:szCs w:val="28"/>
        </w:rPr>
        <w:t>for</w:t>
      </w:r>
      <w:r w:rsidR="00A06F3C" w:rsidRPr="003877E2">
        <w:rPr>
          <w:sz w:val="28"/>
          <w:szCs w:val="28"/>
        </w:rPr>
        <w:t xml:space="preserve"> </w:t>
      </w:r>
      <w:r w:rsidR="003F4037" w:rsidRPr="003877E2">
        <w:rPr>
          <w:sz w:val="28"/>
          <w:szCs w:val="28"/>
        </w:rPr>
        <w:t xml:space="preserve">those </w:t>
      </w:r>
      <w:r w:rsidR="00A06F3C" w:rsidRPr="003877E2">
        <w:rPr>
          <w:sz w:val="28"/>
          <w:szCs w:val="28"/>
        </w:rPr>
        <w:t>adjust</w:t>
      </w:r>
      <w:r w:rsidR="003F4037" w:rsidRPr="003877E2">
        <w:rPr>
          <w:sz w:val="28"/>
          <w:szCs w:val="28"/>
        </w:rPr>
        <w:t>ments</w:t>
      </w:r>
      <w:r w:rsidR="00A06F3C" w:rsidRPr="003877E2">
        <w:rPr>
          <w:sz w:val="28"/>
          <w:szCs w:val="28"/>
        </w:rPr>
        <w:t xml:space="preserve">, there is no reason to interfere with the high court’s discretion </w:t>
      </w:r>
      <w:r w:rsidR="003F4037" w:rsidRPr="003877E2">
        <w:rPr>
          <w:sz w:val="28"/>
          <w:szCs w:val="28"/>
        </w:rPr>
        <w:t xml:space="preserve">as </w:t>
      </w:r>
      <w:r w:rsidR="00A06F3C" w:rsidRPr="003877E2">
        <w:rPr>
          <w:sz w:val="28"/>
          <w:szCs w:val="28"/>
        </w:rPr>
        <w:t>regard</w:t>
      </w:r>
      <w:r w:rsidR="003F4037" w:rsidRPr="003877E2">
        <w:rPr>
          <w:sz w:val="28"/>
          <w:szCs w:val="28"/>
        </w:rPr>
        <w:t>s costs</w:t>
      </w:r>
      <w:r w:rsidR="00A06F3C" w:rsidRPr="003877E2">
        <w:rPr>
          <w:sz w:val="28"/>
          <w:szCs w:val="28"/>
        </w:rPr>
        <w:t>.</w:t>
      </w:r>
      <w:r w:rsidR="003F4037" w:rsidRPr="003877E2">
        <w:rPr>
          <w:sz w:val="28"/>
          <w:szCs w:val="28"/>
        </w:rPr>
        <w:t xml:space="preserve"> In particular, c</w:t>
      </w:r>
      <w:r w:rsidR="00A06F3C" w:rsidRPr="003877E2">
        <w:rPr>
          <w:sz w:val="28"/>
          <w:szCs w:val="28"/>
        </w:rPr>
        <w:t xml:space="preserve">osts </w:t>
      </w:r>
      <w:r w:rsidR="00585C12" w:rsidRPr="003877E2">
        <w:rPr>
          <w:sz w:val="28"/>
          <w:szCs w:val="28"/>
        </w:rPr>
        <w:t xml:space="preserve">of </w:t>
      </w:r>
      <w:r w:rsidR="00A06F3C" w:rsidRPr="003877E2">
        <w:rPr>
          <w:sz w:val="28"/>
          <w:szCs w:val="28"/>
        </w:rPr>
        <w:t>three counsel</w:t>
      </w:r>
      <w:r w:rsidR="00585C12" w:rsidRPr="003877E2">
        <w:rPr>
          <w:sz w:val="28"/>
          <w:szCs w:val="28"/>
        </w:rPr>
        <w:t>,</w:t>
      </w:r>
      <w:r w:rsidR="00A06F3C" w:rsidRPr="003877E2">
        <w:rPr>
          <w:sz w:val="28"/>
          <w:szCs w:val="28"/>
        </w:rPr>
        <w:t xml:space="preserve"> </w:t>
      </w:r>
      <w:r w:rsidR="00585C12" w:rsidRPr="003877E2">
        <w:rPr>
          <w:sz w:val="28"/>
          <w:szCs w:val="28"/>
        </w:rPr>
        <w:t xml:space="preserve">where so employed, </w:t>
      </w:r>
      <w:r w:rsidR="00A312CB" w:rsidRPr="003877E2">
        <w:rPr>
          <w:sz w:val="28"/>
          <w:szCs w:val="28"/>
        </w:rPr>
        <w:t xml:space="preserve">in the high court </w:t>
      </w:r>
      <w:r w:rsidR="00B72B4A" w:rsidRPr="003877E2">
        <w:rPr>
          <w:sz w:val="28"/>
          <w:szCs w:val="28"/>
        </w:rPr>
        <w:t>were justified,</w:t>
      </w:r>
      <w:r w:rsidR="00A06F3C" w:rsidRPr="003877E2">
        <w:rPr>
          <w:sz w:val="28"/>
          <w:szCs w:val="28"/>
        </w:rPr>
        <w:t xml:space="preserve"> as the matter is factually complex.</w:t>
      </w:r>
      <w:r w:rsidR="005E5E53" w:rsidRPr="003877E2">
        <w:rPr>
          <w:sz w:val="28"/>
          <w:szCs w:val="28"/>
        </w:rPr>
        <w:t xml:space="preserve"> </w:t>
      </w:r>
      <w:r w:rsidR="00A312CB" w:rsidRPr="003877E2">
        <w:rPr>
          <w:sz w:val="28"/>
          <w:szCs w:val="28"/>
        </w:rPr>
        <w:t xml:space="preserve"> </w:t>
      </w:r>
    </w:p>
    <w:p w14:paraId="71BBB188" w14:textId="77777777" w:rsidR="00342BAF" w:rsidRPr="00FB564C" w:rsidRDefault="00342BAF">
      <w:pPr>
        <w:pStyle w:val="ListParagraph"/>
        <w:rPr>
          <w:sz w:val="28"/>
          <w:szCs w:val="28"/>
        </w:rPr>
      </w:pPr>
    </w:p>
    <w:p w14:paraId="7C7DA55F" w14:textId="30DBC4FC" w:rsidR="00141184" w:rsidRPr="003877E2" w:rsidRDefault="003877E2" w:rsidP="003877E2">
      <w:pPr>
        <w:rPr>
          <w:sz w:val="28"/>
          <w:szCs w:val="28"/>
        </w:rPr>
      </w:pPr>
      <w:r w:rsidRPr="00FB564C">
        <w:rPr>
          <w:sz w:val="28"/>
          <w:szCs w:val="28"/>
        </w:rPr>
        <w:t>[119]</w:t>
      </w:r>
      <w:r w:rsidRPr="00FB564C">
        <w:rPr>
          <w:sz w:val="28"/>
          <w:szCs w:val="28"/>
        </w:rPr>
        <w:tab/>
      </w:r>
      <w:r w:rsidR="004F759B" w:rsidRPr="003877E2">
        <w:rPr>
          <w:sz w:val="28"/>
          <w:szCs w:val="28"/>
        </w:rPr>
        <w:t xml:space="preserve">Given the seriousness of the conduct of the appellants, which involved a pattern of self-enrichment at the expense of PIF and TDI and most importantly TDI’s beneficial owners, which had entrusted </w:t>
      </w:r>
      <w:r w:rsidR="00DA7FAC" w:rsidRPr="003877E2">
        <w:rPr>
          <w:sz w:val="28"/>
          <w:szCs w:val="28"/>
        </w:rPr>
        <w:t xml:space="preserve">to </w:t>
      </w:r>
      <w:r w:rsidR="004F759B" w:rsidRPr="003877E2">
        <w:rPr>
          <w:sz w:val="28"/>
          <w:szCs w:val="28"/>
        </w:rPr>
        <w:t xml:space="preserve">the appellants their invested funds, I direct that a copy of this judgment be forwarded to the </w:t>
      </w:r>
      <w:r w:rsidR="0072414D" w:rsidRPr="003877E2">
        <w:rPr>
          <w:sz w:val="28"/>
          <w:szCs w:val="28"/>
        </w:rPr>
        <w:t xml:space="preserve">National Commissioner of the </w:t>
      </w:r>
      <w:r w:rsidR="004F759B" w:rsidRPr="003877E2">
        <w:rPr>
          <w:sz w:val="28"/>
          <w:szCs w:val="28"/>
        </w:rPr>
        <w:t xml:space="preserve">South African Police Service </w:t>
      </w:r>
      <w:r w:rsidR="0072414D" w:rsidRPr="003877E2">
        <w:rPr>
          <w:sz w:val="28"/>
          <w:szCs w:val="28"/>
        </w:rPr>
        <w:t xml:space="preserve">and the National Director of </w:t>
      </w:r>
      <w:r w:rsidR="00161782" w:rsidRPr="003877E2">
        <w:rPr>
          <w:sz w:val="28"/>
          <w:szCs w:val="28"/>
        </w:rPr>
        <w:t xml:space="preserve">Public </w:t>
      </w:r>
      <w:r w:rsidR="0072414D" w:rsidRPr="003877E2">
        <w:rPr>
          <w:sz w:val="28"/>
          <w:szCs w:val="28"/>
        </w:rPr>
        <w:t xml:space="preserve">Prosecutions </w:t>
      </w:r>
      <w:r w:rsidR="004F759B" w:rsidRPr="003877E2">
        <w:rPr>
          <w:sz w:val="28"/>
          <w:szCs w:val="28"/>
        </w:rPr>
        <w:t xml:space="preserve">for investigation </w:t>
      </w:r>
      <w:r w:rsidR="0072414D" w:rsidRPr="003877E2">
        <w:rPr>
          <w:sz w:val="28"/>
          <w:szCs w:val="28"/>
        </w:rPr>
        <w:t xml:space="preserve">and, if so advised, prosecution.  </w:t>
      </w:r>
    </w:p>
    <w:p w14:paraId="2B97C3C8" w14:textId="77777777" w:rsidR="00141184" w:rsidRPr="00FB564C" w:rsidRDefault="00141184">
      <w:pPr>
        <w:pStyle w:val="ListParagraph"/>
        <w:rPr>
          <w:sz w:val="28"/>
          <w:szCs w:val="28"/>
        </w:rPr>
      </w:pPr>
    </w:p>
    <w:p w14:paraId="54F73A62" w14:textId="20E4A883" w:rsidR="00141184" w:rsidRPr="00FB564C" w:rsidRDefault="00C10DF5">
      <w:pPr>
        <w:rPr>
          <w:b/>
          <w:sz w:val="28"/>
          <w:szCs w:val="28"/>
        </w:rPr>
      </w:pPr>
      <w:r w:rsidRPr="00FB564C">
        <w:rPr>
          <w:b/>
          <w:sz w:val="28"/>
          <w:szCs w:val="28"/>
        </w:rPr>
        <w:t>Order</w:t>
      </w:r>
    </w:p>
    <w:p w14:paraId="720916DF" w14:textId="4F62AE6E" w:rsidR="008B0928" w:rsidRPr="003877E2" w:rsidRDefault="003877E2" w:rsidP="003877E2">
      <w:pPr>
        <w:rPr>
          <w:sz w:val="28"/>
          <w:szCs w:val="28"/>
        </w:rPr>
      </w:pPr>
      <w:r w:rsidRPr="00FB564C">
        <w:rPr>
          <w:sz w:val="28"/>
          <w:szCs w:val="28"/>
        </w:rPr>
        <w:t>[120]</w:t>
      </w:r>
      <w:r w:rsidRPr="00FB564C">
        <w:rPr>
          <w:sz w:val="28"/>
          <w:szCs w:val="28"/>
        </w:rPr>
        <w:tab/>
      </w:r>
      <w:r w:rsidR="004F759B" w:rsidRPr="003877E2">
        <w:rPr>
          <w:sz w:val="28"/>
          <w:szCs w:val="28"/>
        </w:rPr>
        <w:t>In the result, the following order is made:</w:t>
      </w:r>
    </w:p>
    <w:p w14:paraId="705B162E" w14:textId="00019994" w:rsidR="008B0928" w:rsidRPr="003877E2" w:rsidRDefault="003877E2" w:rsidP="003877E2">
      <w:pPr>
        <w:rPr>
          <w:sz w:val="28"/>
          <w:szCs w:val="28"/>
        </w:rPr>
      </w:pPr>
      <w:r w:rsidRPr="00FB564C">
        <w:rPr>
          <w:sz w:val="28"/>
          <w:szCs w:val="28"/>
        </w:rPr>
        <w:t>1</w:t>
      </w:r>
      <w:r w:rsidRPr="00FB564C">
        <w:rPr>
          <w:sz w:val="28"/>
          <w:szCs w:val="28"/>
        </w:rPr>
        <w:tab/>
      </w:r>
      <w:r w:rsidR="008B0928" w:rsidRPr="003877E2">
        <w:rPr>
          <w:sz w:val="28"/>
          <w:szCs w:val="28"/>
        </w:rPr>
        <w:t>Each of the two applications to stay the appeal and the cross-appeal is dismissed with costs</w:t>
      </w:r>
      <w:r w:rsidR="00FC6C11" w:rsidRPr="003877E2">
        <w:rPr>
          <w:sz w:val="28"/>
          <w:szCs w:val="28"/>
        </w:rPr>
        <w:t>,</w:t>
      </w:r>
      <w:r w:rsidR="008B0928" w:rsidRPr="003877E2">
        <w:rPr>
          <w:sz w:val="28"/>
          <w:szCs w:val="28"/>
        </w:rPr>
        <w:t xml:space="preserve"> including the costs of two counsel.</w:t>
      </w:r>
    </w:p>
    <w:p w14:paraId="716EC9BC" w14:textId="3605015A" w:rsidR="008B0928" w:rsidRPr="003877E2" w:rsidRDefault="003877E2" w:rsidP="003877E2">
      <w:pPr>
        <w:rPr>
          <w:sz w:val="28"/>
          <w:szCs w:val="28"/>
        </w:rPr>
      </w:pPr>
      <w:r w:rsidRPr="00FB564C">
        <w:rPr>
          <w:sz w:val="28"/>
          <w:szCs w:val="28"/>
        </w:rPr>
        <w:t>2</w:t>
      </w:r>
      <w:r w:rsidRPr="00FB564C">
        <w:rPr>
          <w:sz w:val="28"/>
          <w:szCs w:val="28"/>
        </w:rPr>
        <w:tab/>
      </w:r>
      <w:r w:rsidR="008B0928" w:rsidRPr="003877E2">
        <w:rPr>
          <w:sz w:val="28"/>
          <w:szCs w:val="28"/>
        </w:rPr>
        <w:t xml:space="preserve">The appeal is dismissed with costs, including the costs of two counsel, such costs to be paid jointly and severally by the appellants. </w:t>
      </w:r>
    </w:p>
    <w:p w14:paraId="423E2835" w14:textId="66537240" w:rsidR="008B0928" w:rsidRPr="003877E2" w:rsidRDefault="003877E2" w:rsidP="003877E2">
      <w:pPr>
        <w:rPr>
          <w:sz w:val="28"/>
          <w:szCs w:val="28"/>
        </w:rPr>
      </w:pPr>
      <w:r w:rsidRPr="00FB564C">
        <w:rPr>
          <w:sz w:val="28"/>
          <w:szCs w:val="28"/>
        </w:rPr>
        <w:t>3</w:t>
      </w:r>
      <w:r w:rsidRPr="00FB564C">
        <w:rPr>
          <w:sz w:val="28"/>
          <w:szCs w:val="28"/>
        </w:rPr>
        <w:tab/>
      </w:r>
      <w:r w:rsidR="008B0928" w:rsidRPr="003877E2">
        <w:rPr>
          <w:sz w:val="28"/>
          <w:szCs w:val="28"/>
        </w:rPr>
        <w:t>The cross-appeal is upheld with costs, including the cost</w:t>
      </w:r>
      <w:r w:rsidR="00FC6C11" w:rsidRPr="003877E2">
        <w:rPr>
          <w:sz w:val="28"/>
          <w:szCs w:val="28"/>
        </w:rPr>
        <w:t>s</w:t>
      </w:r>
      <w:r w:rsidR="008B0928" w:rsidRPr="003877E2">
        <w:rPr>
          <w:sz w:val="28"/>
          <w:szCs w:val="28"/>
        </w:rPr>
        <w:t xml:space="preserve"> of two counsel, such costs to be paid jointly and severally by the appellants. </w:t>
      </w:r>
    </w:p>
    <w:p w14:paraId="65995D48" w14:textId="618F7E83" w:rsidR="008B0928" w:rsidRPr="003877E2" w:rsidRDefault="003877E2" w:rsidP="003877E2">
      <w:pPr>
        <w:rPr>
          <w:sz w:val="28"/>
          <w:szCs w:val="28"/>
        </w:rPr>
      </w:pPr>
      <w:r w:rsidRPr="00FB564C">
        <w:rPr>
          <w:sz w:val="28"/>
          <w:szCs w:val="28"/>
        </w:rPr>
        <w:t>4</w:t>
      </w:r>
      <w:r w:rsidRPr="00FB564C">
        <w:rPr>
          <w:sz w:val="28"/>
          <w:szCs w:val="28"/>
        </w:rPr>
        <w:tab/>
      </w:r>
      <w:r w:rsidR="008B0928" w:rsidRPr="003877E2">
        <w:rPr>
          <w:sz w:val="28"/>
          <w:szCs w:val="28"/>
        </w:rPr>
        <w:t>The high court’s order is set aside and replaced with the following:</w:t>
      </w:r>
    </w:p>
    <w:p w14:paraId="479C7FCD" w14:textId="60EDC8A6" w:rsidR="008B0928" w:rsidRPr="00FB564C" w:rsidRDefault="008B0928">
      <w:pPr>
        <w:pStyle w:val="ListParagraph"/>
        <w:ind w:left="709"/>
        <w:rPr>
          <w:sz w:val="28"/>
          <w:szCs w:val="28"/>
        </w:rPr>
      </w:pPr>
      <w:r w:rsidRPr="00FB564C">
        <w:rPr>
          <w:sz w:val="28"/>
          <w:szCs w:val="28"/>
        </w:rPr>
        <w:t>‘1</w:t>
      </w:r>
      <w:r w:rsidRPr="00FB564C">
        <w:rPr>
          <w:sz w:val="28"/>
          <w:szCs w:val="28"/>
        </w:rPr>
        <w:tab/>
        <w:t xml:space="preserve">In respect of the claim for diversion of a corporate opportunity, the first, second, third and twelfth defendants in case number 10984/2014 are jointly and severally liable to the plaintiff for payment in the amount </w:t>
      </w:r>
      <w:r w:rsidR="00180613" w:rsidRPr="00FB564C">
        <w:rPr>
          <w:sz w:val="28"/>
          <w:szCs w:val="28"/>
        </w:rPr>
        <w:t xml:space="preserve">of </w:t>
      </w:r>
      <w:r w:rsidRPr="00FB564C">
        <w:rPr>
          <w:sz w:val="28"/>
          <w:szCs w:val="28"/>
        </w:rPr>
        <w:t>R232 622 338.96</w:t>
      </w:r>
      <w:r w:rsidR="00624C38" w:rsidRPr="00FB564C">
        <w:rPr>
          <w:sz w:val="28"/>
          <w:szCs w:val="28"/>
        </w:rPr>
        <w:t>,</w:t>
      </w:r>
      <w:r w:rsidRPr="00FB564C">
        <w:rPr>
          <w:sz w:val="28"/>
          <w:szCs w:val="28"/>
        </w:rPr>
        <w:t xml:space="preserve"> together with interest thereon at the rate of 15.5% per </w:t>
      </w:r>
      <w:r w:rsidRPr="00FB564C">
        <w:rPr>
          <w:sz w:val="28"/>
          <w:szCs w:val="28"/>
        </w:rPr>
        <w:lastRenderedPageBreak/>
        <w:t xml:space="preserve">annum from the date of the issue of summons on 25 June 2014 to date of payment. </w:t>
      </w:r>
    </w:p>
    <w:p w14:paraId="76E456A4" w14:textId="2789F055" w:rsidR="00183985" w:rsidRPr="003877E2" w:rsidRDefault="003877E2" w:rsidP="003877E2">
      <w:pPr>
        <w:ind w:left="709"/>
        <w:rPr>
          <w:sz w:val="28"/>
          <w:szCs w:val="28"/>
        </w:rPr>
      </w:pPr>
      <w:r w:rsidRPr="00FB564C">
        <w:rPr>
          <w:sz w:val="28"/>
          <w:szCs w:val="28"/>
        </w:rPr>
        <w:t>2</w:t>
      </w:r>
      <w:r w:rsidRPr="00FB564C">
        <w:rPr>
          <w:sz w:val="28"/>
          <w:szCs w:val="28"/>
        </w:rPr>
        <w:tab/>
      </w:r>
      <w:r w:rsidR="008B0928" w:rsidRPr="003877E2">
        <w:rPr>
          <w:sz w:val="28"/>
          <w:szCs w:val="28"/>
        </w:rPr>
        <w:t xml:space="preserve">It is declared that the fourth and fifth defendants in case number 10984/2014 are jointly and severally liable with the first, second, third and twelfth defendants for the aforesaid amount </w:t>
      </w:r>
      <w:r w:rsidR="00180613" w:rsidRPr="003877E2">
        <w:rPr>
          <w:sz w:val="28"/>
          <w:szCs w:val="28"/>
        </w:rPr>
        <w:t xml:space="preserve">of </w:t>
      </w:r>
      <w:r w:rsidR="008B0928" w:rsidRPr="003877E2">
        <w:rPr>
          <w:sz w:val="28"/>
          <w:szCs w:val="28"/>
        </w:rPr>
        <w:t>R232 622 338.96, to the extent of R94 550 025.96</w:t>
      </w:r>
      <w:r w:rsidR="00624C38" w:rsidRPr="003877E2">
        <w:rPr>
          <w:sz w:val="28"/>
          <w:szCs w:val="28"/>
        </w:rPr>
        <w:t>,</w:t>
      </w:r>
      <w:r w:rsidR="008B0928" w:rsidRPr="003877E2">
        <w:rPr>
          <w:sz w:val="28"/>
          <w:szCs w:val="28"/>
        </w:rPr>
        <w:t xml:space="preserve"> together with interest thereon at the rate of 15.5% per annum from the date of the issue of summons on 25 June 2014 to date of payment. </w:t>
      </w:r>
    </w:p>
    <w:p w14:paraId="085966B6" w14:textId="3467DB97" w:rsidR="00183985" w:rsidRPr="003877E2" w:rsidRDefault="003877E2" w:rsidP="003877E2">
      <w:pPr>
        <w:ind w:left="709"/>
        <w:rPr>
          <w:sz w:val="28"/>
          <w:szCs w:val="28"/>
        </w:rPr>
      </w:pPr>
      <w:r w:rsidRPr="00FB564C">
        <w:rPr>
          <w:sz w:val="28"/>
          <w:szCs w:val="28"/>
        </w:rPr>
        <w:t>3</w:t>
      </w:r>
      <w:r w:rsidRPr="00FB564C">
        <w:rPr>
          <w:sz w:val="28"/>
          <w:szCs w:val="28"/>
        </w:rPr>
        <w:tab/>
      </w:r>
      <w:r w:rsidR="008B0928" w:rsidRPr="003877E2">
        <w:rPr>
          <w:sz w:val="28"/>
          <w:szCs w:val="28"/>
        </w:rPr>
        <w:t xml:space="preserve">In respect of the claim for excessive management and performance fees, the first, second, third, twelfth and thirteenth defendants, and the fourth and fifth defendants, in case number 10984/2014 are held to be jointly and severally liable to the plaintiff for the payment of such amount as may be agreed between the parties or failing agreement, determined </w:t>
      </w:r>
      <w:r w:rsidR="00170004" w:rsidRPr="003877E2">
        <w:rPr>
          <w:sz w:val="28"/>
          <w:szCs w:val="28"/>
        </w:rPr>
        <w:t>t</w:t>
      </w:r>
      <w:r w:rsidR="008B0928" w:rsidRPr="003877E2">
        <w:rPr>
          <w:sz w:val="28"/>
          <w:szCs w:val="28"/>
        </w:rPr>
        <w:t xml:space="preserve">hereafter by the high court to be due, owing and payable together with interest </w:t>
      </w:r>
      <w:r w:rsidR="00170004" w:rsidRPr="003877E2">
        <w:rPr>
          <w:sz w:val="28"/>
          <w:szCs w:val="28"/>
        </w:rPr>
        <w:t>there</w:t>
      </w:r>
      <w:r w:rsidR="008B0928" w:rsidRPr="003877E2">
        <w:rPr>
          <w:sz w:val="28"/>
          <w:szCs w:val="28"/>
        </w:rPr>
        <w:t>on at the rate of 15.5% per annum from the date of the issue of summons on 25 June 2014 to date of payment.</w:t>
      </w:r>
    </w:p>
    <w:p w14:paraId="358D61D3" w14:textId="14B1050A" w:rsidR="00183985" w:rsidRPr="003877E2" w:rsidRDefault="003877E2" w:rsidP="003877E2">
      <w:pPr>
        <w:ind w:left="709"/>
        <w:rPr>
          <w:sz w:val="28"/>
          <w:szCs w:val="28"/>
        </w:rPr>
      </w:pPr>
      <w:r w:rsidRPr="00FB564C">
        <w:rPr>
          <w:sz w:val="28"/>
          <w:szCs w:val="28"/>
        </w:rPr>
        <w:t>4</w:t>
      </w:r>
      <w:r w:rsidRPr="00FB564C">
        <w:rPr>
          <w:sz w:val="28"/>
          <w:szCs w:val="28"/>
        </w:rPr>
        <w:tab/>
      </w:r>
      <w:r w:rsidR="008B0928" w:rsidRPr="003877E2">
        <w:rPr>
          <w:sz w:val="28"/>
          <w:szCs w:val="28"/>
        </w:rPr>
        <w:t xml:space="preserve">In respect of the claim for other fees irregularly charged, the first, second, third, twelfth and thirteenth defendants, and the fourth and fifth defendants, in case number 10984/2014 are jointly and severally liable to the plaintiff for payment of the amount of R10 734 524.45 together with interest </w:t>
      </w:r>
      <w:r w:rsidR="00170004" w:rsidRPr="003877E2">
        <w:rPr>
          <w:sz w:val="28"/>
          <w:szCs w:val="28"/>
        </w:rPr>
        <w:t>there</w:t>
      </w:r>
      <w:r w:rsidR="008B0928" w:rsidRPr="003877E2">
        <w:rPr>
          <w:sz w:val="28"/>
          <w:szCs w:val="28"/>
        </w:rPr>
        <w:t xml:space="preserve">on at the rate of 15.5% per annum from the date of </w:t>
      </w:r>
      <w:r w:rsidR="00170004" w:rsidRPr="003877E2">
        <w:rPr>
          <w:sz w:val="28"/>
          <w:szCs w:val="28"/>
        </w:rPr>
        <w:t xml:space="preserve">the </w:t>
      </w:r>
      <w:r w:rsidR="008B0928" w:rsidRPr="003877E2">
        <w:rPr>
          <w:sz w:val="28"/>
          <w:szCs w:val="28"/>
        </w:rPr>
        <w:t xml:space="preserve">issue of summons on 25 June 2014 to date of payment. The thirteenth defendant is excluded from any liability for fees paid prior to September 2007. </w:t>
      </w:r>
    </w:p>
    <w:p w14:paraId="1F61103D" w14:textId="7D6CDDB2" w:rsidR="00183985" w:rsidRPr="003877E2" w:rsidRDefault="003877E2" w:rsidP="003877E2">
      <w:pPr>
        <w:ind w:left="709"/>
        <w:rPr>
          <w:sz w:val="28"/>
          <w:szCs w:val="28"/>
        </w:rPr>
      </w:pPr>
      <w:r w:rsidRPr="00FB564C">
        <w:rPr>
          <w:sz w:val="28"/>
          <w:szCs w:val="28"/>
        </w:rPr>
        <w:t>5</w:t>
      </w:r>
      <w:r w:rsidRPr="00FB564C">
        <w:rPr>
          <w:sz w:val="28"/>
          <w:szCs w:val="28"/>
        </w:rPr>
        <w:tab/>
      </w:r>
      <w:r w:rsidR="008B0928" w:rsidRPr="003877E2">
        <w:rPr>
          <w:sz w:val="28"/>
          <w:szCs w:val="28"/>
        </w:rPr>
        <w:t xml:space="preserve">The second option cancellation agreement, the transfer of shares in Rapicorp 122 (Pty) Ltd and Rapicorp 123 (Pty) Ltd pursuant to that agreement, and the creation of a loan of R6 700 000 in favour of the fourth </w:t>
      </w:r>
      <w:r w:rsidR="008B0928" w:rsidRPr="003877E2">
        <w:rPr>
          <w:sz w:val="28"/>
          <w:szCs w:val="28"/>
        </w:rPr>
        <w:lastRenderedPageBreak/>
        <w:t xml:space="preserve">and fifth defendants are declared to be void </w:t>
      </w:r>
      <w:r w:rsidR="008B0928" w:rsidRPr="003877E2">
        <w:rPr>
          <w:i/>
          <w:iCs/>
          <w:sz w:val="28"/>
          <w:szCs w:val="28"/>
        </w:rPr>
        <w:t>ab origine</w:t>
      </w:r>
      <w:r w:rsidR="008B0928" w:rsidRPr="003877E2">
        <w:rPr>
          <w:sz w:val="28"/>
          <w:szCs w:val="28"/>
        </w:rPr>
        <w:t>, and the plaintiff is authorised to reverse the said loan account and alter the share register accordingly.</w:t>
      </w:r>
    </w:p>
    <w:p w14:paraId="29722CB0" w14:textId="05976664" w:rsidR="00183985" w:rsidRPr="003877E2" w:rsidRDefault="003877E2" w:rsidP="003877E2">
      <w:pPr>
        <w:ind w:left="709"/>
        <w:rPr>
          <w:sz w:val="28"/>
          <w:szCs w:val="28"/>
        </w:rPr>
      </w:pPr>
      <w:r w:rsidRPr="00FB564C">
        <w:rPr>
          <w:sz w:val="28"/>
          <w:szCs w:val="28"/>
        </w:rPr>
        <w:t>6</w:t>
      </w:r>
      <w:r w:rsidRPr="00FB564C">
        <w:rPr>
          <w:sz w:val="28"/>
          <w:szCs w:val="28"/>
        </w:rPr>
        <w:tab/>
      </w:r>
      <w:r w:rsidR="008B0928" w:rsidRPr="003877E2">
        <w:rPr>
          <w:sz w:val="28"/>
          <w:szCs w:val="28"/>
        </w:rPr>
        <w:t>The fourth and fifth defendants are liable for payment to the plaintiff in the amount of R500</w:t>
      </w:r>
      <w:r w:rsidR="00624C38" w:rsidRPr="003877E2">
        <w:rPr>
          <w:sz w:val="28"/>
          <w:szCs w:val="28"/>
        </w:rPr>
        <w:t> </w:t>
      </w:r>
      <w:r w:rsidR="008B0928" w:rsidRPr="003877E2">
        <w:rPr>
          <w:sz w:val="28"/>
          <w:szCs w:val="28"/>
        </w:rPr>
        <w:t>000</w:t>
      </w:r>
      <w:r w:rsidR="00624C38" w:rsidRPr="003877E2">
        <w:rPr>
          <w:sz w:val="28"/>
          <w:szCs w:val="28"/>
        </w:rPr>
        <w:t>,</w:t>
      </w:r>
      <w:r w:rsidR="008B0928" w:rsidRPr="003877E2">
        <w:rPr>
          <w:sz w:val="28"/>
          <w:szCs w:val="28"/>
        </w:rPr>
        <w:t xml:space="preserve"> together with interest thereon at the rate of 15.5% per annum from the date of the issue of summons on 25 June 2014 to date of payment.</w:t>
      </w:r>
    </w:p>
    <w:p w14:paraId="32C58DAE" w14:textId="6A0EA701" w:rsidR="008B0928" w:rsidRPr="00FB564C" w:rsidRDefault="00D3182F" w:rsidP="00C33B2E">
      <w:pPr>
        <w:pStyle w:val="ListParagraph"/>
        <w:ind w:left="709"/>
        <w:rPr>
          <w:sz w:val="28"/>
          <w:szCs w:val="28"/>
        </w:rPr>
      </w:pPr>
      <w:r w:rsidRPr="00FB564C">
        <w:rPr>
          <w:sz w:val="28"/>
          <w:szCs w:val="28"/>
        </w:rPr>
        <w:t>7</w:t>
      </w:r>
      <w:r w:rsidR="008B0928" w:rsidRPr="00FB564C">
        <w:rPr>
          <w:sz w:val="28"/>
          <w:szCs w:val="28"/>
        </w:rPr>
        <w:t xml:space="preserve">(a) </w:t>
      </w:r>
      <w:r w:rsidRPr="00FB564C">
        <w:rPr>
          <w:sz w:val="28"/>
          <w:szCs w:val="28"/>
        </w:rPr>
        <w:tab/>
      </w:r>
      <w:r w:rsidR="008B0928" w:rsidRPr="00FB564C">
        <w:rPr>
          <w:sz w:val="28"/>
          <w:szCs w:val="28"/>
        </w:rPr>
        <w:t>Regarding the costs incurred prior to the date upon which it was agreed that the actions under case number 109</w:t>
      </w:r>
      <w:r w:rsidR="00196FCB" w:rsidRPr="00FB564C">
        <w:rPr>
          <w:sz w:val="28"/>
          <w:szCs w:val="28"/>
        </w:rPr>
        <w:t>8</w:t>
      </w:r>
      <w:r w:rsidR="008B0928" w:rsidRPr="00FB564C">
        <w:rPr>
          <w:sz w:val="28"/>
          <w:szCs w:val="28"/>
        </w:rPr>
        <w:t>4/2014 and case number 1534/2013 be consolidated for the purposes of trial (the</w:t>
      </w:r>
      <w:r w:rsidR="00AC548D" w:rsidRPr="00FB564C">
        <w:rPr>
          <w:sz w:val="28"/>
          <w:szCs w:val="28"/>
        </w:rPr>
        <w:t> </w:t>
      </w:r>
      <w:r w:rsidR="008B0928" w:rsidRPr="00FB564C">
        <w:rPr>
          <w:sz w:val="28"/>
          <w:szCs w:val="28"/>
        </w:rPr>
        <w:t>consolidation date), the first, second, third, twelfth and thirteenth defendants, and the fourth and fifth defendants, in case number 109</w:t>
      </w:r>
      <w:r w:rsidR="00196FCB" w:rsidRPr="00FB564C">
        <w:rPr>
          <w:sz w:val="28"/>
          <w:szCs w:val="28"/>
        </w:rPr>
        <w:t>8</w:t>
      </w:r>
      <w:r w:rsidR="008B0928" w:rsidRPr="00FB564C">
        <w:rPr>
          <w:sz w:val="28"/>
          <w:szCs w:val="28"/>
        </w:rPr>
        <w:t>4/2014 shall be jointly and severally liable for the plaintiff’s costs in that action; and the first and third defendants, and the first defendant in his representative capacity with the second defendant, in case number 15</w:t>
      </w:r>
      <w:r w:rsidR="008562C7" w:rsidRPr="00FB564C">
        <w:rPr>
          <w:sz w:val="28"/>
          <w:szCs w:val="28"/>
        </w:rPr>
        <w:t>3</w:t>
      </w:r>
      <w:r w:rsidR="008B0928" w:rsidRPr="00FB564C">
        <w:rPr>
          <w:sz w:val="28"/>
          <w:szCs w:val="28"/>
        </w:rPr>
        <w:t xml:space="preserve">4/2013 shall be jointly and severally liable for the plaintiff’s costs in that action. </w:t>
      </w:r>
    </w:p>
    <w:p w14:paraId="5FD9151D" w14:textId="54405DF2" w:rsidR="008B0928" w:rsidRPr="00FB564C" w:rsidRDefault="008B0928">
      <w:pPr>
        <w:ind w:left="709"/>
        <w:rPr>
          <w:sz w:val="28"/>
          <w:szCs w:val="28"/>
        </w:rPr>
      </w:pPr>
      <w:r w:rsidRPr="00FB564C">
        <w:rPr>
          <w:sz w:val="28"/>
          <w:szCs w:val="28"/>
        </w:rPr>
        <w:t xml:space="preserve">(b) </w:t>
      </w:r>
      <w:r w:rsidR="00D3182F" w:rsidRPr="00FB564C">
        <w:rPr>
          <w:sz w:val="28"/>
          <w:szCs w:val="28"/>
        </w:rPr>
        <w:tab/>
      </w:r>
      <w:r w:rsidRPr="00FB564C">
        <w:rPr>
          <w:sz w:val="28"/>
          <w:szCs w:val="28"/>
        </w:rPr>
        <w:t xml:space="preserve">The costs incurred after the consolidation date shall be regarded as indivisible as between the two actions. </w:t>
      </w:r>
    </w:p>
    <w:p w14:paraId="260BEFA0" w14:textId="754A878F" w:rsidR="008B0928" w:rsidRPr="00FB564C" w:rsidRDefault="008B0928">
      <w:pPr>
        <w:ind w:left="709"/>
        <w:rPr>
          <w:sz w:val="28"/>
          <w:szCs w:val="28"/>
        </w:rPr>
      </w:pPr>
      <w:r w:rsidRPr="00FB564C">
        <w:rPr>
          <w:sz w:val="28"/>
          <w:szCs w:val="28"/>
        </w:rPr>
        <w:t xml:space="preserve">(c) </w:t>
      </w:r>
      <w:r w:rsidR="00D3182F" w:rsidRPr="00FB564C">
        <w:rPr>
          <w:sz w:val="28"/>
          <w:szCs w:val="28"/>
        </w:rPr>
        <w:tab/>
      </w:r>
      <w:r w:rsidRPr="00FB564C">
        <w:rPr>
          <w:sz w:val="28"/>
          <w:szCs w:val="28"/>
        </w:rPr>
        <w:t>The first, second, third, twelfth and thirteenth defendants, and the fourth and fifth defendants, in case number 109</w:t>
      </w:r>
      <w:r w:rsidR="00196FCB" w:rsidRPr="00FB564C">
        <w:rPr>
          <w:sz w:val="28"/>
          <w:szCs w:val="28"/>
        </w:rPr>
        <w:t>8</w:t>
      </w:r>
      <w:r w:rsidRPr="00FB564C">
        <w:rPr>
          <w:sz w:val="28"/>
          <w:szCs w:val="28"/>
        </w:rPr>
        <w:t xml:space="preserve">4/2014 are jointly and severally liable for the plaintiff’s costs incurred after the consolidation date, including the costs of three counsel where so employed. </w:t>
      </w:r>
    </w:p>
    <w:p w14:paraId="32F48ACB" w14:textId="46EADE15" w:rsidR="008B0928" w:rsidRPr="00FB564C" w:rsidRDefault="008B0928">
      <w:pPr>
        <w:ind w:left="709"/>
        <w:rPr>
          <w:sz w:val="28"/>
          <w:szCs w:val="28"/>
        </w:rPr>
      </w:pPr>
      <w:r w:rsidRPr="00FB564C">
        <w:rPr>
          <w:sz w:val="28"/>
          <w:szCs w:val="28"/>
        </w:rPr>
        <w:t xml:space="preserve">(d) </w:t>
      </w:r>
      <w:r w:rsidR="00D3182F" w:rsidRPr="00FB564C">
        <w:rPr>
          <w:sz w:val="28"/>
          <w:szCs w:val="28"/>
        </w:rPr>
        <w:tab/>
      </w:r>
      <w:r w:rsidRPr="00FB564C">
        <w:rPr>
          <w:sz w:val="28"/>
          <w:szCs w:val="28"/>
        </w:rPr>
        <w:t>Each party shall bear the costs of its own expert witnesses.’</w:t>
      </w:r>
    </w:p>
    <w:p w14:paraId="6A7D5407" w14:textId="3915D943" w:rsidR="008B0928" w:rsidRPr="003877E2" w:rsidRDefault="003877E2" w:rsidP="003877E2">
      <w:pPr>
        <w:tabs>
          <w:tab w:val="left" w:pos="0"/>
        </w:tabs>
        <w:rPr>
          <w:sz w:val="28"/>
          <w:szCs w:val="28"/>
        </w:rPr>
      </w:pPr>
      <w:r w:rsidRPr="00FB564C">
        <w:rPr>
          <w:sz w:val="28"/>
          <w:szCs w:val="28"/>
        </w:rPr>
        <w:t>5</w:t>
      </w:r>
      <w:r w:rsidRPr="00FB564C">
        <w:rPr>
          <w:sz w:val="28"/>
          <w:szCs w:val="28"/>
        </w:rPr>
        <w:tab/>
      </w:r>
      <w:r w:rsidR="008B0928" w:rsidRPr="003877E2">
        <w:rPr>
          <w:sz w:val="28"/>
          <w:szCs w:val="28"/>
        </w:rPr>
        <w:t>The orders for payment set out in paragraphs 1, 2, 4 and 6 of the judgment of the high court, as altered by this order, shall be executable immediately upon delivery of this judgment.</w:t>
      </w:r>
    </w:p>
    <w:p w14:paraId="59BBD440" w14:textId="10DEA7A2" w:rsidR="00183985" w:rsidRPr="003877E2" w:rsidRDefault="003877E2" w:rsidP="003877E2">
      <w:pPr>
        <w:tabs>
          <w:tab w:val="left" w:pos="0"/>
        </w:tabs>
        <w:rPr>
          <w:sz w:val="28"/>
          <w:szCs w:val="28"/>
        </w:rPr>
      </w:pPr>
      <w:r w:rsidRPr="00FB564C">
        <w:rPr>
          <w:sz w:val="28"/>
          <w:szCs w:val="28"/>
        </w:rPr>
        <w:lastRenderedPageBreak/>
        <w:t>6</w:t>
      </w:r>
      <w:r w:rsidRPr="00FB564C">
        <w:rPr>
          <w:sz w:val="28"/>
          <w:szCs w:val="28"/>
        </w:rPr>
        <w:tab/>
      </w:r>
      <w:r w:rsidR="008B0928" w:rsidRPr="003877E2">
        <w:rPr>
          <w:sz w:val="28"/>
          <w:szCs w:val="28"/>
        </w:rPr>
        <w:t>In respect of the claim for excessive payment of performance and management fees, the parties are directed to make further calculations, debate them, and apply to the high court for determination of them if agreement on the amount is not reached within 30 days of this order. The input into the calculations for land value shall be R160 million, or any lesser amount that might have been actually used at the material time, up to</w:t>
      </w:r>
      <w:r w:rsidR="009B55B6" w:rsidRPr="003877E2">
        <w:rPr>
          <w:sz w:val="28"/>
          <w:szCs w:val="28"/>
        </w:rPr>
        <w:t xml:space="preserve"> </w:t>
      </w:r>
      <w:r w:rsidR="008B0928" w:rsidRPr="003877E2">
        <w:rPr>
          <w:sz w:val="28"/>
          <w:szCs w:val="28"/>
        </w:rPr>
        <w:t>31 December 2007; and R211 million as at 31 December 2007, to be escalated at 5% per annum thereafter. No sand value shall be included in the calculations. No set off shall be allowed of instances of overcharging against any instance of undercharging.</w:t>
      </w:r>
    </w:p>
    <w:p w14:paraId="3148BA89" w14:textId="7B9F55EF" w:rsidR="00183985" w:rsidRPr="003877E2" w:rsidRDefault="003877E2" w:rsidP="003877E2">
      <w:pPr>
        <w:tabs>
          <w:tab w:val="left" w:pos="0"/>
        </w:tabs>
        <w:rPr>
          <w:sz w:val="28"/>
          <w:szCs w:val="28"/>
        </w:rPr>
      </w:pPr>
      <w:r w:rsidRPr="00FB564C">
        <w:rPr>
          <w:sz w:val="28"/>
          <w:szCs w:val="28"/>
        </w:rPr>
        <w:t>7</w:t>
      </w:r>
      <w:r w:rsidRPr="00FB564C">
        <w:rPr>
          <w:sz w:val="28"/>
          <w:szCs w:val="28"/>
        </w:rPr>
        <w:tab/>
      </w:r>
      <w:r w:rsidR="008B0928" w:rsidRPr="003877E2">
        <w:rPr>
          <w:sz w:val="28"/>
          <w:szCs w:val="28"/>
        </w:rPr>
        <w:t>The monetary claim for payment of excessive performance and management fees shall be executable upon the making of an order for such payment by the high court, whether it be for an agreed amount or one determined by the high court.</w:t>
      </w:r>
    </w:p>
    <w:p w14:paraId="58EE815F" w14:textId="783279F2" w:rsidR="00183985" w:rsidRPr="003877E2" w:rsidRDefault="003877E2" w:rsidP="003877E2">
      <w:pPr>
        <w:tabs>
          <w:tab w:val="left" w:pos="0"/>
        </w:tabs>
        <w:rPr>
          <w:sz w:val="28"/>
          <w:szCs w:val="28"/>
        </w:rPr>
      </w:pPr>
      <w:r w:rsidRPr="00FB564C">
        <w:rPr>
          <w:sz w:val="28"/>
          <w:szCs w:val="28"/>
        </w:rPr>
        <w:t>8</w:t>
      </w:r>
      <w:r w:rsidRPr="00FB564C">
        <w:rPr>
          <w:sz w:val="28"/>
          <w:szCs w:val="28"/>
        </w:rPr>
        <w:tab/>
      </w:r>
      <w:r w:rsidR="008B0928" w:rsidRPr="003877E2">
        <w:rPr>
          <w:sz w:val="28"/>
          <w:szCs w:val="28"/>
        </w:rPr>
        <w:t>The matter is remitted to the high court.</w:t>
      </w:r>
    </w:p>
    <w:p w14:paraId="1127A6DB" w14:textId="7FC9ACEA" w:rsidR="008B0928" w:rsidRPr="003877E2" w:rsidRDefault="003877E2" w:rsidP="003877E2">
      <w:pPr>
        <w:tabs>
          <w:tab w:val="left" w:pos="0"/>
        </w:tabs>
        <w:rPr>
          <w:sz w:val="28"/>
          <w:szCs w:val="28"/>
        </w:rPr>
      </w:pPr>
      <w:r w:rsidRPr="00FB564C">
        <w:rPr>
          <w:sz w:val="28"/>
          <w:szCs w:val="28"/>
        </w:rPr>
        <w:t>9</w:t>
      </w:r>
      <w:r w:rsidRPr="00FB564C">
        <w:rPr>
          <w:sz w:val="28"/>
          <w:szCs w:val="28"/>
        </w:rPr>
        <w:tab/>
      </w:r>
      <w:r w:rsidR="008B0928" w:rsidRPr="003877E2">
        <w:rPr>
          <w:sz w:val="28"/>
          <w:szCs w:val="28"/>
        </w:rPr>
        <w:t>The Registrar of this Court is directed to forward a copy of this judgment, accompanied by copies of the judgments of the high court</w:t>
      </w:r>
      <w:r w:rsidR="008B0928" w:rsidRPr="003877E2">
        <w:rPr>
          <w:i/>
          <w:sz w:val="28"/>
          <w:szCs w:val="28"/>
        </w:rPr>
        <w:t>,</w:t>
      </w:r>
      <w:r w:rsidR="008B0928" w:rsidRPr="003877E2">
        <w:rPr>
          <w:sz w:val="28"/>
          <w:szCs w:val="28"/>
        </w:rPr>
        <w:t xml:space="preserve"> to the National Commissioner of the South African Police Service and the National Director of Public Prosecutions for investigation and, if so advised, prosecution.</w:t>
      </w:r>
    </w:p>
    <w:p w14:paraId="68C73567" w14:textId="64FA2A46" w:rsidR="008B0928" w:rsidRPr="00FB564C" w:rsidRDefault="008B0928">
      <w:pPr>
        <w:pStyle w:val="ListParagraph"/>
        <w:ind w:left="0"/>
        <w:rPr>
          <w:sz w:val="28"/>
          <w:szCs w:val="28"/>
        </w:rPr>
      </w:pPr>
    </w:p>
    <w:p w14:paraId="6C34BA4F" w14:textId="77777777" w:rsidR="00B734D4" w:rsidRPr="00FB564C" w:rsidRDefault="00B734D4">
      <w:pPr>
        <w:pStyle w:val="ListParagraph"/>
        <w:ind w:left="0"/>
        <w:rPr>
          <w:sz w:val="28"/>
          <w:szCs w:val="28"/>
        </w:rPr>
      </w:pPr>
    </w:p>
    <w:p w14:paraId="3678F34D" w14:textId="77777777" w:rsidR="00774713" w:rsidRPr="00FB564C" w:rsidRDefault="00774713">
      <w:pPr>
        <w:tabs>
          <w:tab w:val="left" w:pos="0"/>
        </w:tabs>
        <w:jc w:val="right"/>
        <w:rPr>
          <w:sz w:val="28"/>
          <w:szCs w:val="28"/>
        </w:rPr>
      </w:pPr>
      <w:r w:rsidRPr="00FB564C">
        <w:rPr>
          <w:sz w:val="28"/>
          <w:szCs w:val="28"/>
        </w:rPr>
        <w:t>___________________________</w:t>
      </w:r>
    </w:p>
    <w:p w14:paraId="591A8EF0" w14:textId="77777777" w:rsidR="00774713" w:rsidRPr="00FB564C" w:rsidRDefault="00774713" w:rsidP="00C33B2E">
      <w:pPr>
        <w:ind w:firstLine="4860"/>
        <w:jc w:val="right"/>
        <w:rPr>
          <w:sz w:val="28"/>
          <w:szCs w:val="28"/>
        </w:rPr>
      </w:pPr>
      <w:r w:rsidRPr="00FB564C">
        <w:rPr>
          <w:sz w:val="28"/>
          <w:szCs w:val="28"/>
        </w:rPr>
        <w:tab/>
        <w:t>N P MABINDLA-BOQWANA</w:t>
      </w:r>
    </w:p>
    <w:p w14:paraId="6AEA6F57" w14:textId="77777777" w:rsidR="00774713" w:rsidRPr="00FB564C" w:rsidRDefault="00774713" w:rsidP="00C33B2E">
      <w:pPr>
        <w:ind w:firstLine="4860"/>
        <w:jc w:val="right"/>
        <w:rPr>
          <w:sz w:val="28"/>
          <w:szCs w:val="28"/>
        </w:rPr>
      </w:pPr>
      <w:r w:rsidRPr="00FB564C">
        <w:rPr>
          <w:sz w:val="28"/>
          <w:szCs w:val="28"/>
        </w:rPr>
        <w:tab/>
      </w:r>
      <w:r w:rsidRPr="00FB564C">
        <w:rPr>
          <w:sz w:val="28"/>
          <w:szCs w:val="28"/>
        </w:rPr>
        <w:tab/>
        <w:t xml:space="preserve">      JUDGE OF APPEAL</w:t>
      </w:r>
    </w:p>
    <w:p w14:paraId="44271486" w14:textId="77777777" w:rsidR="00B734D4" w:rsidRPr="00FB564C" w:rsidRDefault="00B734D4" w:rsidP="00C33B2E">
      <w:pPr>
        <w:jc w:val="left"/>
        <w:rPr>
          <w:sz w:val="28"/>
          <w:szCs w:val="28"/>
        </w:rPr>
      </w:pPr>
    </w:p>
    <w:p w14:paraId="2F4E0E0A" w14:textId="77777777" w:rsidR="00B734D4" w:rsidRPr="00FB564C" w:rsidRDefault="00B734D4" w:rsidP="00C33B2E">
      <w:pPr>
        <w:jc w:val="left"/>
        <w:rPr>
          <w:sz w:val="28"/>
          <w:szCs w:val="28"/>
        </w:rPr>
      </w:pPr>
    </w:p>
    <w:p w14:paraId="56582A3A" w14:textId="77777777" w:rsidR="00B734D4" w:rsidRPr="00FB564C" w:rsidRDefault="00B734D4" w:rsidP="00C33B2E">
      <w:pPr>
        <w:jc w:val="left"/>
        <w:rPr>
          <w:sz w:val="28"/>
          <w:szCs w:val="28"/>
        </w:rPr>
      </w:pPr>
    </w:p>
    <w:p w14:paraId="3C064CEB" w14:textId="77777777" w:rsidR="00C6691D" w:rsidRPr="00FB564C" w:rsidRDefault="00C6691D">
      <w:pPr>
        <w:spacing w:after="160" w:line="259" w:lineRule="auto"/>
        <w:jc w:val="left"/>
        <w:rPr>
          <w:sz w:val="28"/>
          <w:szCs w:val="28"/>
        </w:rPr>
      </w:pPr>
      <w:r w:rsidRPr="00FB564C">
        <w:rPr>
          <w:sz w:val="28"/>
          <w:szCs w:val="28"/>
        </w:rPr>
        <w:br w:type="page"/>
      </w:r>
    </w:p>
    <w:p w14:paraId="27B0864F" w14:textId="500723D6" w:rsidR="00774713" w:rsidRPr="00FB564C" w:rsidRDefault="00774713">
      <w:pPr>
        <w:rPr>
          <w:sz w:val="28"/>
          <w:szCs w:val="28"/>
        </w:rPr>
      </w:pPr>
      <w:r w:rsidRPr="00FB564C">
        <w:rPr>
          <w:sz w:val="28"/>
          <w:szCs w:val="28"/>
        </w:rPr>
        <w:lastRenderedPageBreak/>
        <w:t>A</w:t>
      </w:r>
      <w:r w:rsidR="00797274" w:rsidRPr="00FB564C">
        <w:rPr>
          <w:sz w:val="28"/>
          <w:szCs w:val="28"/>
        </w:rPr>
        <w:t>ppearances</w:t>
      </w:r>
    </w:p>
    <w:p w14:paraId="3A1D5D1E" w14:textId="77777777" w:rsidR="00774713" w:rsidRPr="00FB564C" w:rsidRDefault="00774713">
      <w:pPr>
        <w:rPr>
          <w:sz w:val="28"/>
          <w:szCs w:val="28"/>
        </w:rPr>
      </w:pPr>
    </w:p>
    <w:p w14:paraId="138A0844" w14:textId="77777777" w:rsidR="00697B51" w:rsidRPr="00FB564C" w:rsidRDefault="00697B51">
      <w:pPr>
        <w:rPr>
          <w:sz w:val="28"/>
          <w:szCs w:val="28"/>
        </w:rPr>
      </w:pPr>
      <w:r w:rsidRPr="00FB564C">
        <w:rPr>
          <w:sz w:val="28"/>
          <w:szCs w:val="28"/>
        </w:rPr>
        <w:t>In the application to stay</w:t>
      </w:r>
    </w:p>
    <w:p w14:paraId="316BCD4E" w14:textId="77777777" w:rsidR="0034538B" w:rsidRPr="00FB564C" w:rsidRDefault="0034538B">
      <w:pPr>
        <w:rPr>
          <w:sz w:val="28"/>
          <w:szCs w:val="28"/>
        </w:rPr>
      </w:pPr>
    </w:p>
    <w:p w14:paraId="0FAFF072" w14:textId="2947CA98" w:rsidR="0047659C" w:rsidRPr="00FB564C" w:rsidRDefault="00697B51">
      <w:pPr>
        <w:rPr>
          <w:sz w:val="28"/>
          <w:szCs w:val="28"/>
        </w:rPr>
      </w:pPr>
      <w:r w:rsidRPr="00FB564C">
        <w:rPr>
          <w:sz w:val="28"/>
          <w:szCs w:val="28"/>
        </w:rPr>
        <w:t xml:space="preserve">For </w:t>
      </w:r>
      <w:r w:rsidR="00797274" w:rsidRPr="00FB564C">
        <w:rPr>
          <w:sz w:val="28"/>
          <w:szCs w:val="28"/>
        </w:rPr>
        <w:t xml:space="preserve">the </w:t>
      </w:r>
      <w:r w:rsidRPr="00FB564C">
        <w:rPr>
          <w:sz w:val="28"/>
          <w:szCs w:val="28"/>
        </w:rPr>
        <w:t>applicant:</w:t>
      </w:r>
      <w:r w:rsidR="0047659C" w:rsidRPr="00FB564C">
        <w:rPr>
          <w:sz w:val="28"/>
          <w:szCs w:val="28"/>
        </w:rPr>
        <w:tab/>
      </w:r>
      <w:r w:rsidR="0047659C" w:rsidRPr="00FB564C">
        <w:rPr>
          <w:sz w:val="28"/>
          <w:szCs w:val="28"/>
        </w:rPr>
        <w:tab/>
      </w:r>
      <w:r w:rsidR="00B734D4" w:rsidRPr="00FB564C">
        <w:rPr>
          <w:sz w:val="28"/>
          <w:szCs w:val="28"/>
        </w:rPr>
        <w:tab/>
      </w:r>
      <w:r w:rsidR="0047659C" w:rsidRPr="00FB564C">
        <w:rPr>
          <w:sz w:val="28"/>
          <w:szCs w:val="28"/>
        </w:rPr>
        <w:t>J Dickerson SC and F Gordon-Turner</w:t>
      </w:r>
    </w:p>
    <w:p w14:paraId="6BA80759" w14:textId="3228D22B" w:rsidR="00697B51" w:rsidRPr="00FB564C" w:rsidRDefault="00B734D4" w:rsidP="000723CE">
      <w:pPr>
        <w:ind w:left="2160" w:firstLine="720"/>
        <w:rPr>
          <w:sz w:val="28"/>
          <w:szCs w:val="28"/>
        </w:rPr>
      </w:pPr>
      <w:r w:rsidRPr="00FB564C">
        <w:rPr>
          <w:sz w:val="28"/>
          <w:szCs w:val="28"/>
        </w:rPr>
        <w:tab/>
      </w:r>
      <w:r w:rsidR="000723CE" w:rsidRPr="00FB564C">
        <w:rPr>
          <w:sz w:val="28"/>
          <w:szCs w:val="28"/>
        </w:rPr>
        <w:t>Bradley</w:t>
      </w:r>
      <w:r w:rsidR="0047659C" w:rsidRPr="00FB564C">
        <w:rPr>
          <w:sz w:val="28"/>
          <w:szCs w:val="28"/>
        </w:rPr>
        <w:t xml:space="preserve"> Conradie Halton Cheadle, Cape Town</w:t>
      </w:r>
    </w:p>
    <w:p w14:paraId="282EDB8B" w14:textId="3011E475" w:rsidR="0047659C" w:rsidRPr="00FB564C" w:rsidRDefault="0047659C">
      <w:pPr>
        <w:rPr>
          <w:sz w:val="28"/>
          <w:szCs w:val="28"/>
        </w:rPr>
      </w:pPr>
      <w:r w:rsidRPr="00FB564C">
        <w:rPr>
          <w:sz w:val="28"/>
          <w:szCs w:val="28"/>
        </w:rPr>
        <w:tab/>
      </w:r>
      <w:r w:rsidRPr="00FB564C">
        <w:rPr>
          <w:sz w:val="28"/>
          <w:szCs w:val="28"/>
        </w:rPr>
        <w:tab/>
      </w:r>
      <w:r w:rsidRPr="00FB564C">
        <w:rPr>
          <w:sz w:val="28"/>
          <w:szCs w:val="28"/>
        </w:rPr>
        <w:tab/>
      </w:r>
      <w:r w:rsidRPr="00FB564C">
        <w:rPr>
          <w:sz w:val="28"/>
          <w:szCs w:val="28"/>
        </w:rPr>
        <w:tab/>
      </w:r>
      <w:r w:rsidR="00B734D4" w:rsidRPr="00FB564C">
        <w:rPr>
          <w:sz w:val="28"/>
          <w:szCs w:val="28"/>
        </w:rPr>
        <w:tab/>
      </w:r>
      <w:r w:rsidRPr="00FB564C">
        <w:rPr>
          <w:sz w:val="28"/>
          <w:szCs w:val="28"/>
        </w:rPr>
        <w:t>Claude Reid Attorneys, Bloemfontein</w:t>
      </w:r>
    </w:p>
    <w:p w14:paraId="28A920DD" w14:textId="77777777" w:rsidR="00697B51" w:rsidRPr="00FB564C" w:rsidRDefault="00697B51">
      <w:pPr>
        <w:rPr>
          <w:sz w:val="28"/>
          <w:szCs w:val="28"/>
        </w:rPr>
      </w:pPr>
    </w:p>
    <w:p w14:paraId="35CF16C7" w14:textId="77777777" w:rsidR="00797274" w:rsidRPr="00FB564C" w:rsidRDefault="00697B51">
      <w:pPr>
        <w:rPr>
          <w:sz w:val="28"/>
          <w:szCs w:val="28"/>
        </w:rPr>
      </w:pPr>
      <w:r w:rsidRPr="00FB564C">
        <w:rPr>
          <w:sz w:val="28"/>
          <w:szCs w:val="28"/>
        </w:rPr>
        <w:t xml:space="preserve">For </w:t>
      </w:r>
      <w:r w:rsidR="00797274" w:rsidRPr="00FB564C">
        <w:rPr>
          <w:sz w:val="28"/>
          <w:szCs w:val="28"/>
        </w:rPr>
        <w:t xml:space="preserve">the </w:t>
      </w:r>
      <w:r w:rsidR="00613C30" w:rsidRPr="00FB564C">
        <w:rPr>
          <w:sz w:val="28"/>
          <w:szCs w:val="28"/>
        </w:rPr>
        <w:t>first</w:t>
      </w:r>
      <w:r w:rsidR="00797274" w:rsidRPr="00FB564C">
        <w:rPr>
          <w:sz w:val="28"/>
          <w:szCs w:val="28"/>
        </w:rPr>
        <w:t xml:space="preserve"> and second</w:t>
      </w:r>
      <w:r w:rsidR="00613C30" w:rsidRPr="00FB564C">
        <w:rPr>
          <w:sz w:val="28"/>
          <w:szCs w:val="28"/>
        </w:rPr>
        <w:t xml:space="preserve"> </w:t>
      </w:r>
    </w:p>
    <w:p w14:paraId="7B5E8F0E" w14:textId="546C1CE2" w:rsidR="00697B51" w:rsidRPr="00FB564C" w:rsidRDefault="00697B51">
      <w:pPr>
        <w:rPr>
          <w:sz w:val="28"/>
          <w:szCs w:val="28"/>
        </w:rPr>
      </w:pPr>
      <w:r w:rsidRPr="00FB564C">
        <w:rPr>
          <w:sz w:val="28"/>
          <w:szCs w:val="28"/>
        </w:rPr>
        <w:t>respondent</w:t>
      </w:r>
      <w:r w:rsidR="00797274" w:rsidRPr="00FB564C">
        <w:rPr>
          <w:sz w:val="28"/>
          <w:szCs w:val="28"/>
        </w:rPr>
        <w:t>s</w:t>
      </w:r>
      <w:r w:rsidRPr="00FB564C">
        <w:rPr>
          <w:sz w:val="28"/>
          <w:szCs w:val="28"/>
        </w:rPr>
        <w:t>:</w:t>
      </w:r>
      <w:r w:rsidR="0047659C" w:rsidRPr="00FB564C">
        <w:rPr>
          <w:sz w:val="28"/>
          <w:szCs w:val="28"/>
        </w:rPr>
        <w:tab/>
      </w:r>
      <w:r w:rsidR="00797274" w:rsidRPr="00FB564C">
        <w:rPr>
          <w:sz w:val="28"/>
          <w:szCs w:val="28"/>
        </w:rPr>
        <w:tab/>
      </w:r>
      <w:r w:rsidR="00797274" w:rsidRPr="00FB564C">
        <w:rPr>
          <w:sz w:val="28"/>
          <w:szCs w:val="28"/>
        </w:rPr>
        <w:tab/>
      </w:r>
      <w:r w:rsidR="00B734D4" w:rsidRPr="00FB564C">
        <w:rPr>
          <w:sz w:val="28"/>
          <w:szCs w:val="28"/>
        </w:rPr>
        <w:tab/>
      </w:r>
      <w:r w:rsidR="0047659C" w:rsidRPr="00FB564C">
        <w:rPr>
          <w:sz w:val="28"/>
          <w:szCs w:val="28"/>
        </w:rPr>
        <w:t xml:space="preserve">E Fagan SC and M Janisch </w:t>
      </w:r>
      <w:r w:rsidR="000129DE">
        <w:rPr>
          <w:sz w:val="28"/>
          <w:szCs w:val="28"/>
        </w:rPr>
        <w:t>SC</w:t>
      </w:r>
    </w:p>
    <w:p w14:paraId="75A304F1" w14:textId="48E1EB6B" w:rsidR="0047659C" w:rsidRPr="00FB564C" w:rsidRDefault="0047659C">
      <w:pPr>
        <w:rPr>
          <w:bCs/>
          <w:sz w:val="28"/>
          <w:szCs w:val="28"/>
        </w:rPr>
      </w:pPr>
      <w:r w:rsidRPr="00FB564C">
        <w:rPr>
          <w:sz w:val="28"/>
          <w:szCs w:val="28"/>
        </w:rPr>
        <w:tab/>
      </w:r>
      <w:r w:rsidRPr="00FB564C">
        <w:rPr>
          <w:sz w:val="28"/>
          <w:szCs w:val="28"/>
        </w:rPr>
        <w:tab/>
      </w:r>
      <w:r w:rsidRPr="00FB564C">
        <w:rPr>
          <w:sz w:val="28"/>
          <w:szCs w:val="28"/>
        </w:rPr>
        <w:tab/>
      </w:r>
      <w:r w:rsidRPr="00FB564C">
        <w:rPr>
          <w:sz w:val="28"/>
          <w:szCs w:val="28"/>
        </w:rPr>
        <w:tab/>
      </w:r>
      <w:r w:rsidR="00B734D4" w:rsidRPr="00FB564C">
        <w:rPr>
          <w:sz w:val="28"/>
          <w:szCs w:val="28"/>
        </w:rPr>
        <w:tab/>
      </w:r>
      <w:r w:rsidRPr="00FB564C">
        <w:rPr>
          <w:bCs/>
          <w:sz w:val="28"/>
          <w:szCs w:val="28"/>
        </w:rPr>
        <w:t>Werksmans Attorneys, Stellenbosch</w:t>
      </w:r>
    </w:p>
    <w:p w14:paraId="0A01914F" w14:textId="09FFCCD4" w:rsidR="0047659C" w:rsidRPr="00FB564C" w:rsidRDefault="0047659C">
      <w:pPr>
        <w:rPr>
          <w:sz w:val="28"/>
          <w:szCs w:val="28"/>
        </w:rPr>
      </w:pPr>
      <w:r w:rsidRPr="00FB564C">
        <w:rPr>
          <w:bCs/>
          <w:sz w:val="28"/>
          <w:szCs w:val="28"/>
        </w:rPr>
        <w:tab/>
      </w:r>
      <w:r w:rsidRPr="00FB564C">
        <w:rPr>
          <w:bCs/>
          <w:sz w:val="28"/>
          <w:szCs w:val="28"/>
        </w:rPr>
        <w:tab/>
      </w:r>
      <w:r w:rsidRPr="00FB564C">
        <w:rPr>
          <w:bCs/>
          <w:sz w:val="28"/>
          <w:szCs w:val="28"/>
        </w:rPr>
        <w:tab/>
      </w:r>
      <w:r w:rsidRPr="00FB564C">
        <w:rPr>
          <w:bCs/>
          <w:sz w:val="28"/>
          <w:szCs w:val="28"/>
        </w:rPr>
        <w:tab/>
      </w:r>
      <w:r w:rsidR="00B734D4" w:rsidRPr="00FB564C">
        <w:rPr>
          <w:bCs/>
          <w:sz w:val="28"/>
          <w:szCs w:val="28"/>
        </w:rPr>
        <w:tab/>
      </w:r>
      <w:r w:rsidRPr="00FB564C">
        <w:rPr>
          <w:bCs/>
          <w:sz w:val="28"/>
          <w:szCs w:val="28"/>
        </w:rPr>
        <w:t xml:space="preserve">McIntyre </w:t>
      </w:r>
      <w:r w:rsidR="00797274" w:rsidRPr="00FB564C">
        <w:rPr>
          <w:bCs/>
          <w:sz w:val="28"/>
          <w:szCs w:val="28"/>
        </w:rPr>
        <w:t>V</w:t>
      </w:r>
      <w:r w:rsidRPr="00FB564C">
        <w:rPr>
          <w:bCs/>
          <w:sz w:val="28"/>
          <w:szCs w:val="28"/>
        </w:rPr>
        <w:t xml:space="preserve">an der Post Inc, Bloemfontein  </w:t>
      </w:r>
    </w:p>
    <w:p w14:paraId="79302BA2" w14:textId="77777777" w:rsidR="00613C30" w:rsidRPr="00FB564C" w:rsidRDefault="00613C30">
      <w:pPr>
        <w:rPr>
          <w:sz w:val="28"/>
          <w:szCs w:val="28"/>
        </w:rPr>
      </w:pPr>
    </w:p>
    <w:p w14:paraId="4806DEEF" w14:textId="7A4B73DB" w:rsidR="00697B51" w:rsidRPr="00FB564C" w:rsidRDefault="00697B51">
      <w:pPr>
        <w:rPr>
          <w:sz w:val="28"/>
          <w:szCs w:val="28"/>
        </w:rPr>
      </w:pPr>
      <w:r w:rsidRPr="00FB564C">
        <w:rPr>
          <w:sz w:val="28"/>
          <w:szCs w:val="28"/>
        </w:rPr>
        <w:t>In the appeal and cross</w:t>
      </w:r>
      <w:r w:rsidR="00797274" w:rsidRPr="00FB564C">
        <w:rPr>
          <w:sz w:val="28"/>
          <w:szCs w:val="28"/>
        </w:rPr>
        <w:t>-</w:t>
      </w:r>
      <w:r w:rsidRPr="00FB564C">
        <w:rPr>
          <w:sz w:val="28"/>
          <w:szCs w:val="28"/>
        </w:rPr>
        <w:t>appeal</w:t>
      </w:r>
    </w:p>
    <w:p w14:paraId="4AA3650B" w14:textId="77777777" w:rsidR="0034538B" w:rsidRPr="00FB564C" w:rsidRDefault="0034538B">
      <w:pPr>
        <w:rPr>
          <w:sz w:val="28"/>
          <w:szCs w:val="28"/>
        </w:rPr>
      </w:pPr>
    </w:p>
    <w:p w14:paraId="79683840" w14:textId="7CA654BF" w:rsidR="00774713" w:rsidRPr="00FB564C" w:rsidRDefault="00774713" w:rsidP="000723CE">
      <w:pPr>
        <w:rPr>
          <w:sz w:val="28"/>
          <w:szCs w:val="28"/>
        </w:rPr>
      </w:pPr>
      <w:r w:rsidRPr="00FB564C">
        <w:rPr>
          <w:sz w:val="28"/>
          <w:szCs w:val="28"/>
        </w:rPr>
        <w:t xml:space="preserve">For </w:t>
      </w:r>
      <w:r w:rsidR="00797274" w:rsidRPr="00FB564C">
        <w:rPr>
          <w:sz w:val="28"/>
          <w:szCs w:val="28"/>
        </w:rPr>
        <w:t xml:space="preserve">the </w:t>
      </w:r>
      <w:r w:rsidRPr="00FB564C">
        <w:rPr>
          <w:sz w:val="28"/>
          <w:szCs w:val="28"/>
        </w:rPr>
        <w:t>appellant</w:t>
      </w:r>
      <w:r w:rsidR="00697B51" w:rsidRPr="00FB564C">
        <w:rPr>
          <w:sz w:val="28"/>
          <w:szCs w:val="28"/>
        </w:rPr>
        <w:t>s</w:t>
      </w:r>
      <w:r w:rsidRPr="00FB564C">
        <w:rPr>
          <w:sz w:val="28"/>
          <w:szCs w:val="28"/>
        </w:rPr>
        <w:t xml:space="preserve">:               </w:t>
      </w:r>
      <w:r w:rsidR="00613C30" w:rsidRPr="00FB564C">
        <w:rPr>
          <w:sz w:val="28"/>
          <w:szCs w:val="28"/>
        </w:rPr>
        <w:t xml:space="preserve">  </w:t>
      </w:r>
      <w:r w:rsidR="00B734D4" w:rsidRPr="00FB564C">
        <w:rPr>
          <w:sz w:val="28"/>
          <w:szCs w:val="28"/>
        </w:rPr>
        <w:tab/>
      </w:r>
      <w:r w:rsidRPr="00FB564C">
        <w:rPr>
          <w:sz w:val="28"/>
          <w:szCs w:val="28"/>
        </w:rPr>
        <w:t>L A Rose Innes SC and D Goldberg</w:t>
      </w:r>
    </w:p>
    <w:p w14:paraId="2E42E69D" w14:textId="7A84E336" w:rsidR="00774713" w:rsidRPr="00FB564C" w:rsidRDefault="00774713">
      <w:pPr>
        <w:rPr>
          <w:sz w:val="28"/>
          <w:szCs w:val="28"/>
        </w:rPr>
      </w:pPr>
      <w:r w:rsidRPr="00FB564C">
        <w:rPr>
          <w:sz w:val="28"/>
          <w:szCs w:val="28"/>
        </w:rPr>
        <w:t>Instructed by:</w:t>
      </w:r>
      <w:r w:rsidRPr="00FB564C">
        <w:rPr>
          <w:sz w:val="28"/>
          <w:szCs w:val="28"/>
        </w:rPr>
        <w:tab/>
      </w:r>
      <w:r w:rsidRPr="00FB564C">
        <w:rPr>
          <w:sz w:val="28"/>
          <w:szCs w:val="28"/>
        </w:rPr>
        <w:tab/>
      </w:r>
      <w:bookmarkStart w:id="7" w:name="_Hlk133335373"/>
      <w:r w:rsidR="00B734D4" w:rsidRPr="00FB564C">
        <w:rPr>
          <w:sz w:val="28"/>
          <w:szCs w:val="28"/>
        </w:rPr>
        <w:tab/>
      </w:r>
      <w:r w:rsidRPr="00FB564C">
        <w:rPr>
          <w:sz w:val="28"/>
          <w:szCs w:val="28"/>
        </w:rPr>
        <w:t>Bra</w:t>
      </w:r>
      <w:r w:rsidR="00797274" w:rsidRPr="00FB564C">
        <w:rPr>
          <w:sz w:val="28"/>
          <w:szCs w:val="28"/>
        </w:rPr>
        <w:t>dley</w:t>
      </w:r>
      <w:r w:rsidRPr="00FB564C">
        <w:rPr>
          <w:sz w:val="28"/>
          <w:szCs w:val="28"/>
        </w:rPr>
        <w:t xml:space="preserve"> Conradie Halton Cheadle, Cape Town</w:t>
      </w:r>
      <w:bookmarkEnd w:id="7"/>
    </w:p>
    <w:p w14:paraId="5795D626" w14:textId="7E5EFB62" w:rsidR="00774713" w:rsidRPr="00FB564C" w:rsidRDefault="00774713" w:rsidP="000723CE">
      <w:pPr>
        <w:rPr>
          <w:bCs/>
          <w:sz w:val="28"/>
          <w:szCs w:val="28"/>
        </w:rPr>
      </w:pPr>
      <w:r w:rsidRPr="00FB564C">
        <w:rPr>
          <w:sz w:val="28"/>
          <w:szCs w:val="28"/>
        </w:rPr>
        <w:t xml:space="preserve">                                        </w:t>
      </w:r>
      <w:r w:rsidR="00B734D4" w:rsidRPr="00FB564C">
        <w:rPr>
          <w:sz w:val="28"/>
          <w:szCs w:val="28"/>
        </w:rPr>
        <w:tab/>
      </w:r>
      <w:r w:rsidRPr="00FB564C">
        <w:rPr>
          <w:sz w:val="28"/>
          <w:szCs w:val="28"/>
        </w:rPr>
        <w:t xml:space="preserve"> </w:t>
      </w:r>
      <w:bookmarkStart w:id="8" w:name="_Hlk133335401"/>
      <w:r w:rsidR="00B734D4" w:rsidRPr="00FB564C">
        <w:rPr>
          <w:sz w:val="28"/>
          <w:szCs w:val="28"/>
        </w:rPr>
        <w:tab/>
      </w:r>
      <w:r w:rsidRPr="00FB564C">
        <w:rPr>
          <w:sz w:val="28"/>
          <w:szCs w:val="28"/>
        </w:rPr>
        <w:t>Claude Reid Attorneys, Bloemfontein</w:t>
      </w:r>
      <w:bookmarkEnd w:id="8"/>
      <w:r w:rsidRPr="00FB564C">
        <w:rPr>
          <w:sz w:val="28"/>
          <w:szCs w:val="28"/>
        </w:rPr>
        <w:t xml:space="preserve">   </w:t>
      </w:r>
    </w:p>
    <w:p w14:paraId="2A4543BA" w14:textId="77777777" w:rsidR="00774713" w:rsidRPr="00FB564C" w:rsidRDefault="00774713">
      <w:pPr>
        <w:rPr>
          <w:bCs/>
          <w:sz w:val="28"/>
          <w:szCs w:val="28"/>
        </w:rPr>
      </w:pPr>
      <w:r w:rsidRPr="00FB564C">
        <w:rPr>
          <w:bCs/>
          <w:sz w:val="28"/>
          <w:szCs w:val="28"/>
        </w:rPr>
        <w:t xml:space="preserve">                </w:t>
      </w:r>
    </w:p>
    <w:p w14:paraId="3E43FAD5" w14:textId="24B52B95" w:rsidR="00774713" w:rsidRPr="00FB564C" w:rsidRDefault="00774713" w:rsidP="000723CE">
      <w:pPr>
        <w:rPr>
          <w:sz w:val="28"/>
          <w:szCs w:val="28"/>
        </w:rPr>
      </w:pPr>
      <w:r w:rsidRPr="00FB564C">
        <w:rPr>
          <w:sz w:val="28"/>
          <w:szCs w:val="28"/>
        </w:rPr>
        <w:t xml:space="preserve">For </w:t>
      </w:r>
      <w:r w:rsidR="00797274" w:rsidRPr="00FB564C">
        <w:rPr>
          <w:sz w:val="28"/>
          <w:szCs w:val="28"/>
        </w:rPr>
        <w:t xml:space="preserve">the </w:t>
      </w:r>
      <w:r w:rsidRPr="00FB564C">
        <w:rPr>
          <w:sz w:val="28"/>
          <w:szCs w:val="28"/>
        </w:rPr>
        <w:t xml:space="preserve">respondent:              </w:t>
      </w:r>
      <w:r w:rsidR="00613C30" w:rsidRPr="00FB564C">
        <w:rPr>
          <w:sz w:val="28"/>
          <w:szCs w:val="28"/>
        </w:rPr>
        <w:t xml:space="preserve">  </w:t>
      </w:r>
      <w:r w:rsidR="00B734D4" w:rsidRPr="00FB564C">
        <w:rPr>
          <w:sz w:val="28"/>
          <w:szCs w:val="28"/>
        </w:rPr>
        <w:tab/>
      </w:r>
      <w:r w:rsidRPr="00FB564C">
        <w:rPr>
          <w:sz w:val="28"/>
          <w:szCs w:val="28"/>
        </w:rPr>
        <w:t>E Fagan SC and M Janisch</w:t>
      </w:r>
      <w:r w:rsidR="000129DE">
        <w:rPr>
          <w:sz w:val="28"/>
          <w:szCs w:val="28"/>
        </w:rPr>
        <w:t xml:space="preserve"> SC</w:t>
      </w:r>
    </w:p>
    <w:p w14:paraId="50FA8310" w14:textId="0645F644" w:rsidR="00774713" w:rsidRPr="00FB564C" w:rsidRDefault="00774713" w:rsidP="000723CE">
      <w:pPr>
        <w:rPr>
          <w:bCs/>
          <w:sz w:val="28"/>
          <w:szCs w:val="28"/>
        </w:rPr>
      </w:pPr>
      <w:r w:rsidRPr="00FB564C">
        <w:rPr>
          <w:bCs/>
          <w:sz w:val="28"/>
          <w:szCs w:val="28"/>
        </w:rPr>
        <w:t xml:space="preserve">Instructed by:                  </w:t>
      </w:r>
      <w:r w:rsidR="00613C30" w:rsidRPr="00FB564C">
        <w:rPr>
          <w:bCs/>
          <w:sz w:val="28"/>
          <w:szCs w:val="28"/>
        </w:rPr>
        <w:t xml:space="preserve"> </w:t>
      </w:r>
      <w:r w:rsidR="00B734D4" w:rsidRPr="00FB564C">
        <w:rPr>
          <w:bCs/>
          <w:sz w:val="28"/>
          <w:szCs w:val="28"/>
        </w:rPr>
        <w:tab/>
      </w:r>
      <w:r w:rsidR="00B734D4" w:rsidRPr="00FB564C">
        <w:rPr>
          <w:bCs/>
          <w:sz w:val="28"/>
          <w:szCs w:val="28"/>
        </w:rPr>
        <w:tab/>
      </w:r>
      <w:r w:rsidRPr="00FB564C">
        <w:rPr>
          <w:bCs/>
          <w:sz w:val="28"/>
          <w:szCs w:val="28"/>
        </w:rPr>
        <w:t>Werksmans Attorneys, Stellenbosch</w:t>
      </w:r>
    </w:p>
    <w:p w14:paraId="7D2DA925" w14:textId="0940DB9B" w:rsidR="00774713" w:rsidRDefault="00774713">
      <w:pPr>
        <w:rPr>
          <w:bCs/>
          <w:sz w:val="28"/>
          <w:szCs w:val="28"/>
        </w:rPr>
      </w:pPr>
      <w:r w:rsidRPr="00FB564C">
        <w:rPr>
          <w:bCs/>
          <w:sz w:val="28"/>
          <w:szCs w:val="28"/>
        </w:rPr>
        <w:t xml:space="preserve">                                        </w:t>
      </w:r>
      <w:r w:rsidR="00613C30" w:rsidRPr="00FB564C">
        <w:rPr>
          <w:bCs/>
          <w:sz w:val="28"/>
          <w:szCs w:val="28"/>
        </w:rPr>
        <w:t xml:space="preserve"> </w:t>
      </w:r>
      <w:bookmarkStart w:id="9" w:name="_Hlk133335466"/>
      <w:r w:rsidR="00B734D4" w:rsidRPr="00FB564C">
        <w:rPr>
          <w:bCs/>
          <w:sz w:val="28"/>
          <w:szCs w:val="28"/>
        </w:rPr>
        <w:tab/>
      </w:r>
      <w:r w:rsidR="00B734D4" w:rsidRPr="00FB564C">
        <w:rPr>
          <w:bCs/>
          <w:sz w:val="28"/>
          <w:szCs w:val="28"/>
        </w:rPr>
        <w:tab/>
      </w:r>
      <w:r w:rsidRPr="00FB564C">
        <w:rPr>
          <w:bCs/>
          <w:sz w:val="28"/>
          <w:szCs w:val="28"/>
        </w:rPr>
        <w:t xml:space="preserve">McIntyre </w:t>
      </w:r>
      <w:r w:rsidR="00B734D4" w:rsidRPr="00FB564C">
        <w:rPr>
          <w:bCs/>
          <w:sz w:val="28"/>
          <w:szCs w:val="28"/>
        </w:rPr>
        <w:t>V</w:t>
      </w:r>
      <w:r w:rsidRPr="00FB564C">
        <w:rPr>
          <w:bCs/>
          <w:sz w:val="28"/>
          <w:szCs w:val="28"/>
        </w:rPr>
        <w:t>an der Post Inc, Bloemfontein</w:t>
      </w:r>
      <w:r w:rsidRPr="004B1700">
        <w:rPr>
          <w:bCs/>
          <w:sz w:val="28"/>
          <w:szCs w:val="28"/>
        </w:rPr>
        <w:t xml:space="preserve">  </w:t>
      </w:r>
      <w:bookmarkEnd w:id="9"/>
    </w:p>
    <w:p w14:paraId="78BCACEC" w14:textId="3211D3CD" w:rsidR="00E60856" w:rsidRPr="00B734D4" w:rsidRDefault="00E60856">
      <w:pPr>
        <w:rPr>
          <w:bCs/>
          <w:sz w:val="28"/>
          <w:szCs w:val="28"/>
        </w:rPr>
      </w:pPr>
    </w:p>
    <w:sectPr w:rsidR="00E60856" w:rsidRPr="00B734D4" w:rsidSect="000760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8862" w14:textId="77777777" w:rsidR="0048204B" w:rsidRDefault="0048204B" w:rsidP="00640455">
      <w:pPr>
        <w:spacing w:line="240" w:lineRule="auto"/>
      </w:pPr>
      <w:r>
        <w:separator/>
      </w:r>
    </w:p>
  </w:endnote>
  <w:endnote w:type="continuationSeparator" w:id="0">
    <w:p w14:paraId="295FC912" w14:textId="77777777" w:rsidR="0048204B" w:rsidRDefault="0048204B" w:rsidP="0064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BF61" w14:textId="77777777" w:rsidR="00B67C18" w:rsidRDefault="00B67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2187" w14:textId="77777777" w:rsidR="00B67C18" w:rsidRDefault="00B67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921C" w14:textId="77777777" w:rsidR="00B67C18" w:rsidRDefault="00B6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580B" w14:textId="77777777" w:rsidR="0048204B" w:rsidRDefault="0048204B" w:rsidP="00640455">
      <w:pPr>
        <w:spacing w:line="240" w:lineRule="auto"/>
      </w:pPr>
      <w:r>
        <w:separator/>
      </w:r>
    </w:p>
  </w:footnote>
  <w:footnote w:type="continuationSeparator" w:id="0">
    <w:p w14:paraId="5A0143A9" w14:textId="77777777" w:rsidR="0048204B" w:rsidRDefault="0048204B" w:rsidP="00640455">
      <w:pPr>
        <w:spacing w:line="240" w:lineRule="auto"/>
      </w:pPr>
      <w:r>
        <w:continuationSeparator/>
      </w:r>
    </w:p>
  </w:footnote>
  <w:footnote w:id="1">
    <w:p w14:paraId="1F158BA8" w14:textId="1835737F" w:rsidR="00B67C18" w:rsidRPr="002178F6" w:rsidRDefault="00B67C18">
      <w:pPr>
        <w:pStyle w:val="FootnoteText"/>
        <w:rPr>
          <w:lang w:val="en-US"/>
        </w:rPr>
      </w:pPr>
      <w:r>
        <w:rPr>
          <w:rStyle w:val="FootnoteReference"/>
        </w:rPr>
        <w:footnoteRef/>
      </w:r>
      <w:r>
        <w:t xml:space="preserve"> Section 5(1) </w:t>
      </w:r>
      <w:r w:rsidRPr="00F7100A">
        <w:t>of the Financial Institutions (Protection of Funds) Act 28 of 2001</w:t>
      </w:r>
      <w:r>
        <w:t xml:space="preserve"> provides that ‘[t]he registrar may, </w:t>
      </w:r>
      <w:r w:rsidRPr="00197B8F">
        <w:t xml:space="preserve">on an </w:t>
      </w:r>
      <w:r w:rsidRPr="00197B8F">
        <w:rPr>
          <w:i/>
          <w:iCs/>
        </w:rPr>
        <w:t>ex parte</w:t>
      </w:r>
      <w:r w:rsidRPr="00197B8F">
        <w:t xml:space="preserve"> basis</w:t>
      </w:r>
      <w:r>
        <w:t>, apply to a division of the High Court having jurisdiction for the appointment of a curator to take control of, and to manage the whole or any part of, the business of an institution’.</w:t>
      </w:r>
    </w:p>
  </w:footnote>
  <w:footnote w:id="2">
    <w:p w14:paraId="37702EC7" w14:textId="797CBBB3" w:rsidR="00B67C18" w:rsidRDefault="00B67C18" w:rsidP="005222F8">
      <w:pPr>
        <w:pStyle w:val="FootnoteText"/>
        <w:rPr>
          <w:lang w:val="en-US"/>
        </w:rPr>
      </w:pPr>
      <w:r w:rsidRPr="00100403">
        <w:rPr>
          <w:rStyle w:val="FootnoteReference"/>
        </w:rPr>
        <w:footnoteRef/>
      </w:r>
      <w:r w:rsidRPr="00100403">
        <w:t xml:space="preserve"> In terms of the Financial Advisory and Intermediary Services Act 37 of 2002, </w:t>
      </w:r>
      <w:r w:rsidRPr="00100403">
        <w:rPr>
          <w:lang w:val="en-US"/>
        </w:rPr>
        <w:t>‘key</w:t>
      </w:r>
      <w:r>
        <w:rPr>
          <w:lang w:val="en-US"/>
        </w:rPr>
        <w:t xml:space="preserve"> individual’ means ‘in relation to an authorised financial services provider, or a representative, carrying on business as –</w:t>
      </w:r>
    </w:p>
    <w:p w14:paraId="65BF485B" w14:textId="4A659B1B" w:rsidR="00B67C18" w:rsidRPr="006A5764" w:rsidRDefault="003877E2" w:rsidP="003877E2">
      <w:pPr>
        <w:pStyle w:val="FootnoteText"/>
        <w:rPr>
          <w:lang w:val="en-US"/>
        </w:rPr>
      </w:pPr>
      <w:r w:rsidRPr="006A5764">
        <w:rPr>
          <w:i/>
          <w:lang w:val="en-US"/>
        </w:rPr>
        <w:t>(a)</w:t>
      </w:r>
      <w:r w:rsidRPr="006A5764">
        <w:rPr>
          <w:i/>
          <w:lang w:val="en-US"/>
        </w:rPr>
        <w:tab/>
      </w:r>
      <w:r w:rsidR="00B67C18" w:rsidRPr="006A5764">
        <w:rPr>
          <w:lang w:val="en-US"/>
        </w:rPr>
        <w:t>a corporate or unincorporated body, a trust or a partnership, means any natural person responsible for managing or overseeing, either alone or together with other so responsible persons, the activities of the body, trust, or partnership relating to the rendering of any financial service; or</w:t>
      </w:r>
    </w:p>
    <w:p w14:paraId="7647B082" w14:textId="1DB1D5D9" w:rsidR="00B67C18" w:rsidRPr="004D087F" w:rsidRDefault="003877E2" w:rsidP="003877E2">
      <w:pPr>
        <w:pStyle w:val="FootnoteText"/>
        <w:rPr>
          <w:lang w:val="en-US"/>
        </w:rPr>
      </w:pPr>
      <w:r w:rsidRPr="004D087F">
        <w:rPr>
          <w:i/>
          <w:lang w:val="en-US"/>
        </w:rPr>
        <w:t>(b)</w:t>
      </w:r>
      <w:r w:rsidRPr="004D087F">
        <w:rPr>
          <w:i/>
          <w:lang w:val="en-US"/>
        </w:rPr>
        <w:tab/>
      </w:r>
      <w:r w:rsidR="00B67C18" w:rsidRPr="004D087F">
        <w:rPr>
          <w:lang w:val="en-US"/>
        </w:rPr>
        <w:t>a corporate body or trust, consisting of only one natural person as member, director, shareholder or trustee, means any natural person</w:t>
      </w:r>
      <w:r w:rsidR="00B67C18">
        <w:rPr>
          <w:lang w:val="en-US"/>
        </w:rPr>
        <w:t>.’</w:t>
      </w:r>
      <w:r w:rsidR="00B67C18" w:rsidRPr="004D087F">
        <w:rPr>
          <w:lang w:val="en-US"/>
        </w:rPr>
        <w:t xml:space="preserve">   </w:t>
      </w:r>
    </w:p>
  </w:footnote>
  <w:footnote w:id="3">
    <w:p w14:paraId="751ADAA3" w14:textId="038F9406" w:rsidR="00B67C18" w:rsidRPr="005461A9" w:rsidRDefault="00B67C18" w:rsidP="009B0E16">
      <w:pPr>
        <w:pStyle w:val="FootnoteText"/>
        <w:rPr>
          <w:lang w:val="en-US"/>
        </w:rPr>
      </w:pPr>
      <w:r>
        <w:rPr>
          <w:rStyle w:val="FootnoteReference"/>
        </w:rPr>
        <w:footnoteRef/>
      </w:r>
      <w:r>
        <w:t xml:space="preserve"> </w:t>
      </w:r>
      <w:r w:rsidRPr="00100403">
        <w:rPr>
          <w:i/>
        </w:rPr>
        <w:t>Beukes v Smith</w:t>
      </w:r>
      <w:r w:rsidRPr="00100403">
        <w:t xml:space="preserve"> [2019] ZASCA 48; 2020 (4) SA 51 (SCA) para 22. See also </w:t>
      </w:r>
      <w:r w:rsidRPr="00100403">
        <w:rPr>
          <w:i/>
        </w:rPr>
        <w:t>Santam Bpk v Biddulph</w:t>
      </w:r>
      <w:r w:rsidRPr="00100403">
        <w:t xml:space="preserve"> [2004] All SA 23 (SCA); 2004 (5) SA 586 (SCA) para 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38AF" w14:textId="60C46443" w:rsidR="00B67C18" w:rsidRDefault="00B67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2182CA" w14:textId="77777777" w:rsidR="00B67C18" w:rsidRDefault="00B67C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320924425"/>
      <w:docPartObj>
        <w:docPartGallery w:val="Page Numbers (Top of Page)"/>
        <w:docPartUnique/>
      </w:docPartObj>
    </w:sdtPr>
    <w:sdtEndPr>
      <w:rPr>
        <w:noProof/>
      </w:rPr>
    </w:sdtEndPr>
    <w:sdtContent>
      <w:p w14:paraId="2C4912DC" w14:textId="0DF83E12" w:rsidR="00B67C18" w:rsidRPr="0007605E" w:rsidRDefault="00B67C18">
        <w:pPr>
          <w:pStyle w:val="Header"/>
          <w:jc w:val="right"/>
          <w:rPr>
            <w:sz w:val="28"/>
            <w:szCs w:val="28"/>
          </w:rPr>
        </w:pPr>
        <w:r w:rsidRPr="0007605E">
          <w:rPr>
            <w:sz w:val="28"/>
            <w:szCs w:val="28"/>
          </w:rPr>
          <w:fldChar w:fldCharType="begin"/>
        </w:r>
        <w:r w:rsidRPr="008F4835">
          <w:rPr>
            <w:sz w:val="28"/>
            <w:szCs w:val="28"/>
          </w:rPr>
          <w:instrText xml:space="preserve"> PAGE   \* MERGEFORMAT </w:instrText>
        </w:r>
        <w:r w:rsidRPr="0007605E">
          <w:rPr>
            <w:sz w:val="28"/>
            <w:szCs w:val="28"/>
          </w:rPr>
          <w:fldChar w:fldCharType="separate"/>
        </w:r>
        <w:r w:rsidR="003877E2">
          <w:rPr>
            <w:noProof/>
            <w:sz w:val="28"/>
            <w:szCs w:val="28"/>
          </w:rPr>
          <w:t>3</w:t>
        </w:r>
        <w:r w:rsidRPr="0007605E">
          <w:rPr>
            <w:noProof/>
            <w:sz w:val="28"/>
            <w:szCs w:val="28"/>
          </w:rPr>
          <w:fldChar w:fldCharType="end"/>
        </w:r>
      </w:p>
    </w:sdtContent>
  </w:sdt>
  <w:p w14:paraId="0A654DD4" w14:textId="77777777" w:rsidR="00B67C18" w:rsidRPr="0007605E" w:rsidRDefault="00B67C18">
    <w:pPr>
      <w:pStyle w:val="Header"/>
      <w:ind w:right="360"/>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35714"/>
      <w:docPartObj>
        <w:docPartGallery w:val="Page Numbers (Top of Page)"/>
        <w:docPartUnique/>
      </w:docPartObj>
    </w:sdtPr>
    <w:sdtEndPr>
      <w:rPr>
        <w:noProof/>
      </w:rPr>
    </w:sdtEndPr>
    <w:sdtContent>
      <w:p w14:paraId="7A7CA050" w14:textId="77777777" w:rsidR="00B67C18" w:rsidRDefault="0048204B">
        <w:pPr>
          <w:pStyle w:val="Header"/>
          <w:jc w:val="right"/>
        </w:pPr>
      </w:p>
    </w:sdtContent>
  </w:sdt>
  <w:p w14:paraId="1A1F18C6" w14:textId="77777777" w:rsidR="00B67C18" w:rsidRDefault="00B67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E3E"/>
    <w:multiLevelType w:val="hybridMultilevel"/>
    <w:tmpl w:val="C78E1564"/>
    <w:lvl w:ilvl="0" w:tplc="1E480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54D1"/>
    <w:multiLevelType w:val="hybridMultilevel"/>
    <w:tmpl w:val="40707194"/>
    <w:lvl w:ilvl="0" w:tplc="B644F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7929"/>
    <w:multiLevelType w:val="hybridMultilevel"/>
    <w:tmpl w:val="F9502DE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1F22"/>
    <w:multiLevelType w:val="hybridMultilevel"/>
    <w:tmpl w:val="46581EC2"/>
    <w:lvl w:ilvl="0" w:tplc="FACC2D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5A42F1"/>
    <w:multiLevelType w:val="hybridMultilevel"/>
    <w:tmpl w:val="61BA8666"/>
    <w:lvl w:ilvl="0" w:tplc="70BE879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384E"/>
    <w:multiLevelType w:val="hybridMultilevel"/>
    <w:tmpl w:val="B2D87CA2"/>
    <w:lvl w:ilvl="0" w:tplc="B82C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265CB"/>
    <w:multiLevelType w:val="hybridMultilevel"/>
    <w:tmpl w:val="36B8A4A2"/>
    <w:lvl w:ilvl="0" w:tplc="5478FD32">
      <w:start w:val="3"/>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F421BD6"/>
    <w:multiLevelType w:val="hybridMultilevel"/>
    <w:tmpl w:val="977638D6"/>
    <w:lvl w:ilvl="0" w:tplc="FACC2D5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A39EE"/>
    <w:multiLevelType w:val="hybridMultilevel"/>
    <w:tmpl w:val="23BAF80A"/>
    <w:lvl w:ilvl="0" w:tplc="27D2FA32">
      <w:start w:val="5"/>
      <w:numFmt w:val="decimal"/>
      <w:lvlText w:val="%1"/>
      <w:lvlJc w:val="left"/>
      <w:pPr>
        <w:ind w:left="114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550F55"/>
    <w:multiLevelType w:val="hybridMultilevel"/>
    <w:tmpl w:val="0BD0A9C2"/>
    <w:lvl w:ilvl="0" w:tplc="5A96AF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60B2B"/>
    <w:multiLevelType w:val="hybridMultilevel"/>
    <w:tmpl w:val="C1C42D84"/>
    <w:lvl w:ilvl="0" w:tplc="FACC2D5C">
      <w:start w:val="1"/>
      <w:numFmt w:val="decimal"/>
      <w:lvlText w:val="%1"/>
      <w:lvlJc w:val="left"/>
      <w:pPr>
        <w:ind w:left="1146" w:hanging="360"/>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nsid w:val="1C0F2A81"/>
    <w:multiLevelType w:val="hybridMultilevel"/>
    <w:tmpl w:val="BA9EF4F6"/>
    <w:lvl w:ilvl="0" w:tplc="B644F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536CF"/>
    <w:multiLevelType w:val="hybridMultilevel"/>
    <w:tmpl w:val="1C88EFBA"/>
    <w:lvl w:ilvl="0" w:tplc="FACC2D5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85664"/>
    <w:multiLevelType w:val="hybridMultilevel"/>
    <w:tmpl w:val="137604C2"/>
    <w:lvl w:ilvl="0" w:tplc="FACC2D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BD4710"/>
    <w:multiLevelType w:val="hybridMultilevel"/>
    <w:tmpl w:val="0CDA7ED8"/>
    <w:lvl w:ilvl="0" w:tplc="40F8D0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11E56"/>
    <w:multiLevelType w:val="hybridMultilevel"/>
    <w:tmpl w:val="1010A792"/>
    <w:lvl w:ilvl="0" w:tplc="0D945110">
      <w:start w:val="1"/>
      <w:numFmt w:val="decimal"/>
      <w:lvlText w:val="%1"/>
      <w:lvlJc w:val="left"/>
      <w:pPr>
        <w:ind w:left="1146" w:hanging="360"/>
      </w:pPr>
      <w:rPr>
        <w:rFonts w:hint="default"/>
        <w:b w:val="0"/>
        <w:bCs/>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6">
    <w:nsid w:val="34C0697A"/>
    <w:multiLevelType w:val="hybridMultilevel"/>
    <w:tmpl w:val="CDACD8AE"/>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91A89"/>
    <w:multiLevelType w:val="hybridMultilevel"/>
    <w:tmpl w:val="4DC02C76"/>
    <w:lvl w:ilvl="0" w:tplc="B82CED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C90C3F"/>
    <w:multiLevelType w:val="hybridMultilevel"/>
    <w:tmpl w:val="1838963E"/>
    <w:lvl w:ilvl="0" w:tplc="11509542">
      <w:start w:val="1"/>
      <w:numFmt w:val="decimal"/>
      <w:lvlText w:val="[%1]"/>
      <w:lvlJc w:val="left"/>
      <w:pPr>
        <w:ind w:left="720"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66E28"/>
    <w:multiLevelType w:val="hybridMultilevel"/>
    <w:tmpl w:val="8278C684"/>
    <w:lvl w:ilvl="0" w:tplc="FACC2D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9278D7"/>
    <w:multiLevelType w:val="hybridMultilevel"/>
    <w:tmpl w:val="0D1EBC92"/>
    <w:lvl w:ilvl="0" w:tplc="FACC2D5C">
      <w:start w:val="1"/>
      <w:numFmt w:val="decimal"/>
      <w:lvlText w:val="%1"/>
      <w:lvlJc w:val="left"/>
      <w:pPr>
        <w:ind w:left="1146" w:hanging="360"/>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nsid w:val="49092950"/>
    <w:multiLevelType w:val="hybridMultilevel"/>
    <w:tmpl w:val="44E21CF8"/>
    <w:lvl w:ilvl="0" w:tplc="FACC2D5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A3B03F4"/>
    <w:multiLevelType w:val="hybridMultilevel"/>
    <w:tmpl w:val="BAACD13E"/>
    <w:lvl w:ilvl="0" w:tplc="21E6DF1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5D01DE"/>
    <w:multiLevelType w:val="hybridMultilevel"/>
    <w:tmpl w:val="A6162116"/>
    <w:lvl w:ilvl="0" w:tplc="B644F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D3520"/>
    <w:multiLevelType w:val="hybridMultilevel"/>
    <w:tmpl w:val="D820E802"/>
    <w:lvl w:ilvl="0" w:tplc="FACC2D5C">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582CC0"/>
    <w:multiLevelType w:val="hybridMultilevel"/>
    <w:tmpl w:val="69CAF444"/>
    <w:lvl w:ilvl="0" w:tplc="671065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5E6ACD"/>
    <w:multiLevelType w:val="hybridMultilevel"/>
    <w:tmpl w:val="AF84E68E"/>
    <w:lvl w:ilvl="0" w:tplc="BC6E48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5E49A7"/>
    <w:multiLevelType w:val="hybridMultilevel"/>
    <w:tmpl w:val="F3500898"/>
    <w:lvl w:ilvl="0" w:tplc="11509542">
      <w:start w:val="1"/>
      <w:numFmt w:val="decimal"/>
      <w:lvlText w:val="[%1]"/>
      <w:lvlJc w:val="left"/>
      <w:pPr>
        <w:ind w:left="720"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733AC"/>
    <w:multiLevelType w:val="hybridMultilevel"/>
    <w:tmpl w:val="32E4D24A"/>
    <w:lvl w:ilvl="0" w:tplc="F422519C">
      <w:start w:val="2"/>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703908BB"/>
    <w:multiLevelType w:val="hybridMultilevel"/>
    <w:tmpl w:val="2558075E"/>
    <w:lvl w:ilvl="0" w:tplc="F47CF91C">
      <w:start w:val="6"/>
      <w:numFmt w:val="decimal"/>
      <w:lvlText w:val="%1"/>
      <w:lvlJc w:val="left"/>
      <w:pPr>
        <w:ind w:left="1146" w:hanging="360"/>
      </w:pPr>
      <w:rPr>
        <w:rFonts w:hint="default"/>
        <w:sz w:val="2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7E54EE7"/>
    <w:multiLevelType w:val="hybridMultilevel"/>
    <w:tmpl w:val="50F66192"/>
    <w:lvl w:ilvl="0" w:tplc="B82C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91B95"/>
    <w:multiLevelType w:val="hybridMultilevel"/>
    <w:tmpl w:val="D44E6F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DCD0608"/>
    <w:multiLevelType w:val="hybridMultilevel"/>
    <w:tmpl w:val="FFCAB0B4"/>
    <w:lvl w:ilvl="0" w:tplc="FACC2D5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26"/>
  </w:num>
  <w:num w:numId="5">
    <w:abstractNumId w:val="30"/>
  </w:num>
  <w:num w:numId="6">
    <w:abstractNumId w:val="5"/>
  </w:num>
  <w:num w:numId="7">
    <w:abstractNumId w:val="18"/>
  </w:num>
  <w:num w:numId="8">
    <w:abstractNumId w:val="27"/>
  </w:num>
  <w:num w:numId="9">
    <w:abstractNumId w:val="7"/>
  </w:num>
  <w:num w:numId="10">
    <w:abstractNumId w:val="4"/>
  </w:num>
  <w:num w:numId="11">
    <w:abstractNumId w:val="23"/>
  </w:num>
  <w:num w:numId="12">
    <w:abstractNumId w:val="1"/>
  </w:num>
  <w:num w:numId="13">
    <w:abstractNumId w:val="11"/>
  </w:num>
  <w:num w:numId="14">
    <w:abstractNumId w:val="0"/>
  </w:num>
  <w:num w:numId="15">
    <w:abstractNumId w:val="15"/>
  </w:num>
  <w:num w:numId="16">
    <w:abstractNumId w:val="13"/>
  </w:num>
  <w:num w:numId="17">
    <w:abstractNumId w:val="20"/>
  </w:num>
  <w:num w:numId="18">
    <w:abstractNumId w:val="3"/>
  </w:num>
  <w:num w:numId="19">
    <w:abstractNumId w:val="10"/>
  </w:num>
  <w:num w:numId="20">
    <w:abstractNumId w:val="8"/>
  </w:num>
  <w:num w:numId="21">
    <w:abstractNumId w:val="29"/>
  </w:num>
  <w:num w:numId="22">
    <w:abstractNumId w:val="6"/>
  </w:num>
  <w:num w:numId="23">
    <w:abstractNumId w:val="21"/>
  </w:num>
  <w:num w:numId="24">
    <w:abstractNumId w:val="12"/>
  </w:num>
  <w:num w:numId="25">
    <w:abstractNumId w:val="32"/>
  </w:num>
  <w:num w:numId="26">
    <w:abstractNumId w:val="19"/>
  </w:num>
  <w:num w:numId="27">
    <w:abstractNumId w:val="22"/>
  </w:num>
  <w:num w:numId="28">
    <w:abstractNumId w:val="14"/>
  </w:num>
  <w:num w:numId="29">
    <w:abstractNumId w:val="31"/>
  </w:num>
  <w:num w:numId="30">
    <w:abstractNumId w:val="9"/>
  </w:num>
  <w:num w:numId="31">
    <w:abstractNumId w:val="25"/>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BACAF7-4487-4EA1-B22A-2439D788A738}"/>
    <w:docVar w:name="dgnword-eventsink" w:val="1167247448144"/>
  </w:docVars>
  <w:rsids>
    <w:rsidRoot w:val="00774713"/>
    <w:rsid w:val="000018A4"/>
    <w:rsid w:val="0000206E"/>
    <w:rsid w:val="00003A9B"/>
    <w:rsid w:val="000057FD"/>
    <w:rsid w:val="00006F2D"/>
    <w:rsid w:val="000126AA"/>
    <w:rsid w:val="000129DE"/>
    <w:rsid w:val="00015907"/>
    <w:rsid w:val="000209C4"/>
    <w:rsid w:val="000224B8"/>
    <w:rsid w:val="00025525"/>
    <w:rsid w:val="000267BF"/>
    <w:rsid w:val="000268C8"/>
    <w:rsid w:val="000309D3"/>
    <w:rsid w:val="00031170"/>
    <w:rsid w:val="000314DF"/>
    <w:rsid w:val="00037208"/>
    <w:rsid w:val="0003727F"/>
    <w:rsid w:val="00037B0B"/>
    <w:rsid w:val="000401C4"/>
    <w:rsid w:val="000401FB"/>
    <w:rsid w:val="00040823"/>
    <w:rsid w:val="00041130"/>
    <w:rsid w:val="0004348C"/>
    <w:rsid w:val="0004598B"/>
    <w:rsid w:val="00047D9D"/>
    <w:rsid w:val="0005008D"/>
    <w:rsid w:val="0005097E"/>
    <w:rsid w:val="00051185"/>
    <w:rsid w:val="0005278D"/>
    <w:rsid w:val="0005313A"/>
    <w:rsid w:val="000557D0"/>
    <w:rsid w:val="00056147"/>
    <w:rsid w:val="000567CB"/>
    <w:rsid w:val="00064269"/>
    <w:rsid w:val="00065D7B"/>
    <w:rsid w:val="0007238A"/>
    <w:rsid w:val="000723CE"/>
    <w:rsid w:val="0007477C"/>
    <w:rsid w:val="00075DDF"/>
    <w:rsid w:val="0007605E"/>
    <w:rsid w:val="00076CC6"/>
    <w:rsid w:val="00082804"/>
    <w:rsid w:val="00083830"/>
    <w:rsid w:val="00090161"/>
    <w:rsid w:val="00091ED4"/>
    <w:rsid w:val="000937A6"/>
    <w:rsid w:val="00093CF5"/>
    <w:rsid w:val="000969B4"/>
    <w:rsid w:val="000970B6"/>
    <w:rsid w:val="00097321"/>
    <w:rsid w:val="000A0CA3"/>
    <w:rsid w:val="000A40F2"/>
    <w:rsid w:val="000A4360"/>
    <w:rsid w:val="000A5CBB"/>
    <w:rsid w:val="000A6DFC"/>
    <w:rsid w:val="000A6E7F"/>
    <w:rsid w:val="000B18B7"/>
    <w:rsid w:val="000B3FCC"/>
    <w:rsid w:val="000C436D"/>
    <w:rsid w:val="000C49A9"/>
    <w:rsid w:val="000C59AB"/>
    <w:rsid w:val="000C64A4"/>
    <w:rsid w:val="000C6A9F"/>
    <w:rsid w:val="000D0804"/>
    <w:rsid w:val="000D1668"/>
    <w:rsid w:val="000D204C"/>
    <w:rsid w:val="000D4AB7"/>
    <w:rsid w:val="000D5197"/>
    <w:rsid w:val="000D5230"/>
    <w:rsid w:val="000D6685"/>
    <w:rsid w:val="000E0C1E"/>
    <w:rsid w:val="000E474E"/>
    <w:rsid w:val="000E5091"/>
    <w:rsid w:val="000E5B67"/>
    <w:rsid w:val="000E6C4A"/>
    <w:rsid w:val="000F0124"/>
    <w:rsid w:val="000F146D"/>
    <w:rsid w:val="000F1957"/>
    <w:rsid w:val="000F5E05"/>
    <w:rsid w:val="000F6037"/>
    <w:rsid w:val="00100403"/>
    <w:rsid w:val="00100FC3"/>
    <w:rsid w:val="00101049"/>
    <w:rsid w:val="00105071"/>
    <w:rsid w:val="00107566"/>
    <w:rsid w:val="001111C8"/>
    <w:rsid w:val="001118CF"/>
    <w:rsid w:val="00111CBA"/>
    <w:rsid w:val="00112794"/>
    <w:rsid w:val="00112DD4"/>
    <w:rsid w:val="0011302D"/>
    <w:rsid w:val="0011336B"/>
    <w:rsid w:val="00113AEC"/>
    <w:rsid w:val="00114EE0"/>
    <w:rsid w:val="001164A9"/>
    <w:rsid w:val="00120346"/>
    <w:rsid w:val="00120961"/>
    <w:rsid w:val="001248D0"/>
    <w:rsid w:val="00125BF5"/>
    <w:rsid w:val="00126660"/>
    <w:rsid w:val="00134DC9"/>
    <w:rsid w:val="00135469"/>
    <w:rsid w:val="001359D7"/>
    <w:rsid w:val="0013611B"/>
    <w:rsid w:val="0013796C"/>
    <w:rsid w:val="00137A4B"/>
    <w:rsid w:val="0014078C"/>
    <w:rsid w:val="00141184"/>
    <w:rsid w:val="0014308F"/>
    <w:rsid w:val="00143B64"/>
    <w:rsid w:val="00143E3C"/>
    <w:rsid w:val="0014461C"/>
    <w:rsid w:val="001456BA"/>
    <w:rsid w:val="001514BE"/>
    <w:rsid w:val="0015336C"/>
    <w:rsid w:val="00153E2D"/>
    <w:rsid w:val="001559FD"/>
    <w:rsid w:val="00156A21"/>
    <w:rsid w:val="00160218"/>
    <w:rsid w:val="001605DC"/>
    <w:rsid w:val="00160632"/>
    <w:rsid w:val="00161769"/>
    <w:rsid w:val="00161782"/>
    <w:rsid w:val="001622FA"/>
    <w:rsid w:val="001642F9"/>
    <w:rsid w:val="0016460B"/>
    <w:rsid w:val="001647B0"/>
    <w:rsid w:val="00166B42"/>
    <w:rsid w:val="00167AFA"/>
    <w:rsid w:val="00170004"/>
    <w:rsid w:val="00173D6C"/>
    <w:rsid w:val="00176543"/>
    <w:rsid w:val="00180502"/>
    <w:rsid w:val="00180613"/>
    <w:rsid w:val="001810A9"/>
    <w:rsid w:val="0018275D"/>
    <w:rsid w:val="00183985"/>
    <w:rsid w:val="00184375"/>
    <w:rsid w:val="001847A1"/>
    <w:rsid w:val="00184B39"/>
    <w:rsid w:val="00194F35"/>
    <w:rsid w:val="00196774"/>
    <w:rsid w:val="00196D8E"/>
    <w:rsid w:val="00196FCB"/>
    <w:rsid w:val="00197273"/>
    <w:rsid w:val="00197B8F"/>
    <w:rsid w:val="001A0B44"/>
    <w:rsid w:val="001A0BE0"/>
    <w:rsid w:val="001A1221"/>
    <w:rsid w:val="001A21D7"/>
    <w:rsid w:val="001A2323"/>
    <w:rsid w:val="001A5093"/>
    <w:rsid w:val="001A51C6"/>
    <w:rsid w:val="001A5235"/>
    <w:rsid w:val="001B0F70"/>
    <w:rsid w:val="001B3B79"/>
    <w:rsid w:val="001B52F3"/>
    <w:rsid w:val="001B577F"/>
    <w:rsid w:val="001B7157"/>
    <w:rsid w:val="001C1EE2"/>
    <w:rsid w:val="001C3850"/>
    <w:rsid w:val="001C6F30"/>
    <w:rsid w:val="001D0733"/>
    <w:rsid w:val="001D08B1"/>
    <w:rsid w:val="001D35AE"/>
    <w:rsid w:val="001D50DA"/>
    <w:rsid w:val="001D7BBE"/>
    <w:rsid w:val="001E2A31"/>
    <w:rsid w:val="001E327D"/>
    <w:rsid w:val="001E5313"/>
    <w:rsid w:val="001F1E71"/>
    <w:rsid w:val="001F270C"/>
    <w:rsid w:val="001F2D23"/>
    <w:rsid w:val="001F6C3C"/>
    <w:rsid w:val="001F6FAB"/>
    <w:rsid w:val="00201D24"/>
    <w:rsid w:val="0020586B"/>
    <w:rsid w:val="002060D9"/>
    <w:rsid w:val="00210D35"/>
    <w:rsid w:val="00211F93"/>
    <w:rsid w:val="0021468B"/>
    <w:rsid w:val="00215DC5"/>
    <w:rsid w:val="00215FB7"/>
    <w:rsid w:val="002178F6"/>
    <w:rsid w:val="002204DB"/>
    <w:rsid w:val="00221E8E"/>
    <w:rsid w:val="00222AA1"/>
    <w:rsid w:val="002261EC"/>
    <w:rsid w:val="00226B84"/>
    <w:rsid w:val="00233155"/>
    <w:rsid w:val="00233EB2"/>
    <w:rsid w:val="0023747F"/>
    <w:rsid w:val="00240DC9"/>
    <w:rsid w:val="00256C88"/>
    <w:rsid w:val="00257178"/>
    <w:rsid w:val="0026182A"/>
    <w:rsid w:val="00261D70"/>
    <w:rsid w:val="00263040"/>
    <w:rsid w:val="002642F8"/>
    <w:rsid w:val="002709E9"/>
    <w:rsid w:val="00271D90"/>
    <w:rsid w:val="00272EE4"/>
    <w:rsid w:val="00273207"/>
    <w:rsid w:val="0027351F"/>
    <w:rsid w:val="00273960"/>
    <w:rsid w:val="002757F7"/>
    <w:rsid w:val="00275F19"/>
    <w:rsid w:val="00276192"/>
    <w:rsid w:val="00280F23"/>
    <w:rsid w:val="00281149"/>
    <w:rsid w:val="00283C89"/>
    <w:rsid w:val="00286F4A"/>
    <w:rsid w:val="002870F3"/>
    <w:rsid w:val="00287956"/>
    <w:rsid w:val="00287BCB"/>
    <w:rsid w:val="0029096B"/>
    <w:rsid w:val="00292C96"/>
    <w:rsid w:val="002955FA"/>
    <w:rsid w:val="002967BC"/>
    <w:rsid w:val="00296911"/>
    <w:rsid w:val="002A08EF"/>
    <w:rsid w:val="002A1E35"/>
    <w:rsid w:val="002A235F"/>
    <w:rsid w:val="002A35D6"/>
    <w:rsid w:val="002A662B"/>
    <w:rsid w:val="002A6FEE"/>
    <w:rsid w:val="002B5F44"/>
    <w:rsid w:val="002B6ADA"/>
    <w:rsid w:val="002C2033"/>
    <w:rsid w:val="002C2F2F"/>
    <w:rsid w:val="002C7941"/>
    <w:rsid w:val="002C7FEE"/>
    <w:rsid w:val="002D1719"/>
    <w:rsid w:val="002D210D"/>
    <w:rsid w:val="002D32C4"/>
    <w:rsid w:val="002D331A"/>
    <w:rsid w:val="002D46A1"/>
    <w:rsid w:val="002D5195"/>
    <w:rsid w:val="002D70E1"/>
    <w:rsid w:val="002D73A1"/>
    <w:rsid w:val="002E4C42"/>
    <w:rsid w:val="002E7331"/>
    <w:rsid w:val="002F141A"/>
    <w:rsid w:val="002F1B09"/>
    <w:rsid w:val="002F2A80"/>
    <w:rsid w:val="002F3EB4"/>
    <w:rsid w:val="002F584D"/>
    <w:rsid w:val="002F6009"/>
    <w:rsid w:val="002F646A"/>
    <w:rsid w:val="002F781C"/>
    <w:rsid w:val="00301140"/>
    <w:rsid w:val="00301BD9"/>
    <w:rsid w:val="00307FA8"/>
    <w:rsid w:val="003105F5"/>
    <w:rsid w:val="00310AB6"/>
    <w:rsid w:val="0031256B"/>
    <w:rsid w:val="00315D03"/>
    <w:rsid w:val="00317B1C"/>
    <w:rsid w:val="00322092"/>
    <w:rsid w:val="00322BA6"/>
    <w:rsid w:val="003253B0"/>
    <w:rsid w:val="00325A23"/>
    <w:rsid w:val="003268A6"/>
    <w:rsid w:val="00327222"/>
    <w:rsid w:val="003318C9"/>
    <w:rsid w:val="00341B71"/>
    <w:rsid w:val="00342BAF"/>
    <w:rsid w:val="0034538B"/>
    <w:rsid w:val="00347A0B"/>
    <w:rsid w:val="0035289E"/>
    <w:rsid w:val="00352977"/>
    <w:rsid w:val="00355F16"/>
    <w:rsid w:val="00356ADB"/>
    <w:rsid w:val="00357399"/>
    <w:rsid w:val="0036010F"/>
    <w:rsid w:val="00370D42"/>
    <w:rsid w:val="00372353"/>
    <w:rsid w:val="003747E5"/>
    <w:rsid w:val="00374CEB"/>
    <w:rsid w:val="00382207"/>
    <w:rsid w:val="00382C4A"/>
    <w:rsid w:val="00382C4D"/>
    <w:rsid w:val="00383266"/>
    <w:rsid w:val="00386EBD"/>
    <w:rsid w:val="003877E2"/>
    <w:rsid w:val="003913B7"/>
    <w:rsid w:val="003955BA"/>
    <w:rsid w:val="003A2CE7"/>
    <w:rsid w:val="003A3778"/>
    <w:rsid w:val="003A3E7D"/>
    <w:rsid w:val="003A4EA7"/>
    <w:rsid w:val="003A5F3A"/>
    <w:rsid w:val="003A6A53"/>
    <w:rsid w:val="003B0FC7"/>
    <w:rsid w:val="003B21BA"/>
    <w:rsid w:val="003B7446"/>
    <w:rsid w:val="003B7650"/>
    <w:rsid w:val="003C0D37"/>
    <w:rsid w:val="003C10FB"/>
    <w:rsid w:val="003C5180"/>
    <w:rsid w:val="003C5B81"/>
    <w:rsid w:val="003C5EAB"/>
    <w:rsid w:val="003C7A04"/>
    <w:rsid w:val="003D0257"/>
    <w:rsid w:val="003D37DD"/>
    <w:rsid w:val="003E21A2"/>
    <w:rsid w:val="003E27C4"/>
    <w:rsid w:val="003E3E2B"/>
    <w:rsid w:val="003E4A7F"/>
    <w:rsid w:val="003E51CA"/>
    <w:rsid w:val="003E7071"/>
    <w:rsid w:val="003F06E3"/>
    <w:rsid w:val="003F4037"/>
    <w:rsid w:val="003F5B93"/>
    <w:rsid w:val="003F6CC7"/>
    <w:rsid w:val="004021CA"/>
    <w:rsid w:val="00403B47"/>
    <w:rsid w:val="00410BC2"/>
    <w:rsid w:val="00410D07"/>
    <w:rsid w:val="004123C7"/>
    <w:rsid w:val="00412A2B"/>
    <w:rsid w:val="00416E32"/>
    <w:rsid w:val="0042410D"/>
    <w:rsid w:val="00424E61"/>
    <w:rsid w:val="0042752C"/>
    <w:rsid w:val="00427536"/>
    <w:rsid w:val="00427CCB"/>
    <w:rsid w:val="004345B0"/>
    <w:rsid w:val="004372B8"/>
    <w:rsid w:val="00440CBB"/>
    <w:rsid w:val="00443FCC"/>
    <w:rsid w:val="00445755"/>
    <w:rsid w:val="00450149"/>
    <w:rsid w:val="00450732"/>
    <w:rsid w:val="004514F5"/>
    <w:rsid w:val="00451AF1"/>
    <w:rsid w:val="0045226F"/>
    <w:rsid w:val="00455004"/>
    <w:rsid w:val="00455CC5"/>
    <w:rsid w:val="004562C3"/>
    <w:rsid w:val="00457500"/>
    <w:rsid w:val="00457592"/>
    <w:rsid w:val="0046080B"/>
    <w:rsid w:val="00461C37"/>
    <w:rsid w:val="00464BFA"/>
    <w:rsid w:val="0046523D"/>
    <w:rsid w:val="0046666C"/>
    <w:rsid w:val="00470411"/>
    <w:rsid w:val="00470C3F"/>
    <w:rsid w:val="00470DA4"/>
    <w:rsid w:val="00470F77"/>
    <w:rsid w:val="00473381"/>
    <w:rsid w:val="00475B07"/>
    <w:rsid w:val="0047659C"/>
    <w:rsid w:val="0048071A"/>
    <w:rsid w:val="00480B8A"/>
    <w:rsid w:val="00481696"/>
    <w:rsid w:val="0048204B"/>
    <w:rsid w:val="00482419"/>
    <w:rsid w:val="00482DAF"/>
    <w:rsid w:val="00483C4C"/>
    <w:rsid w:val="00485896"/>
    <w:rsid w:val="00486824"/>
    <w:rsid w:val="004875F6"/>
    <w:rsid w:val="00487AC0"/>
    <w:rsid w:val="0049003B"/>
    <w:rsid w:val="00491C1C"/>
    <w:rsid w:val="00491F78"/>
    <w:rsid w:val="0049650F"/>
    <w:rsid w:val="00496BC7"/>
    <w:rsid w:val="004A2B50"/>
    <w:rsid w:val="004A3686"/>
    <w:rsid w:val="004A44F6"/>
    <w:rsid w:val="004A4670"/>
    <w:rsid w:val="004A7CB7"/>
    <w:rsid w:val="004B1700"/>
    <w:rsid w:val="004B1F16"/>
    <w:rsid w:val="004B25E4"/>
    <w:rsid w:val="004C0BC7"/>
    <w:rsid w:val="004C2BC7"/>
    <w:rsid w:val="004C50EA"/>
    <w:rsid w:val="004C70EF"/>
    <w:rsid w:val="004D087F"/>
    <w:rsid w:val="004D180E"/>
    <w:rsid w:val="004D21BE"/>
    <w:rsid w:val="004D2625"/>
    <w:rsid w:val="004D3717"/>
    <w:rsid w:val="004D406F"/>
    <w:rsid w:val="004D79C2"/>
    <w:rsid w:val="004E1D70"/>
    <w:rsid w:val="004E3D44"/>
    <w:rsid w:val="004E63B8"/>
    <w:rsid w:val="004E664E"/>
    <w:rsid w:val="004E680B"/>
    <w:rsid w:val="004E6FD3"/>
    <w:rsid w:val="004F0C02"/>
    <w:rsid w:val="004F2297"/>
    <w:rsid w:val="004F38B9"/>
    <w:rsid w:val="004F68E9"/>
    <w:rsid w:val="004F6F89"/>
    <w:rsid w:val="004F759B"/>
    <w:rsid w:val="0050093F"/>
    <w:rsid w:val="00500DED"/>
    <w:rsid w:val="005033A0"/>
    <w:rsid w:val="00504567"/>
    <w:rsid w:val="005049BF"/>
    <w:rsid w:val="00505C15"/>
    <w:rsid w:val="00506D6D"/>
    <w:rsid w:val="0050754E"/>
    <w:rsid w:val="005113E7"/>
    <w:rsid w:val="00513272"/>
    <w:rsid w:val="00513B7B"/>
    <w:rsid w:val="00514F78"/>
    <w:rsid w:val="00516FB7"/>
    <w:rsid w:val="00517347"/>
    <w:rsid w:val="005200FB"/>
    <w:rsid w:val="00521966"/>
    <w:rsid w:val="0052202C"/>
    <w:rsid w:val="005222F8"/>
    <w:rsid w:val="00523A49"/>
    <w:rsid w:val="005258B8"/>
    <w:rsid w:val="00525B3F"/>
    <w:rsid w:val="00527E2C"/>
    <w:rsid w:val="00537808"/>
    <w:rsid w:val="005413D7"/>
    <w:rsid w:val="0054372D"/>
    <w:rsid w:val="005461A9"/>
    <w:rsid w:val="00546C1F"/>
    <w:rsid w:val="00546C47"/>
    <w:rsid w:val="00546CD3"/>
    <w:rsid w:val="00550544"/>
    <w:rsid w:val="0055161A"/>
    <w:rsid w:val="00553771"/>
    <w:rsid w:val="00554041"/>
    <w:rsid w:val="00556788"/>
    <w:rsid w:val="00563CD2"/>
    <w:rsid w:val="005648D7"/>
    <w:rsid w:val="005665DC"/>
    <w:rsid w:val="00566838"/>
    <w:rsid w:val="00566FEB"/>
    <w:rsid w:val="00570982"/>
    <w:rsid w:val="005712FE"/>
    <w:rsid w:val="0057177F"/>
    <w:rsid w:val="005725F3"/>
    <w:rsid w:val="00574567"/>
    <w:rsid w:val="00574649"/>
    <w:rsid w:val="005769B1"/>
    <w:rsid w:val="005819DE"/>
    <w:rsid w:val="00581CEF"/>
    <w:rsid w:val="0058376C"/>
    <w:rsid w:val="0058472F"/>
    <w:rsid w:val="00584F8E"/>
    <w:rsid w:val="00585C12"/>
    <w:rsid w:val="0058700C"/>
    <w:rsid w:val="00587D3A"/>
    <w:rsid w:val="00590C3F"/>
    <w:rsid w:val="00591F98"/>
    <w:rsid w:val="005924AA"/>
    <w:rsid w:val="0059293F"/>
    <w:rsid w:val="00594569"/>
    <w:rsid w:val="0059529C"/>
    <w:rsid w:val="00597D49"/>
    <w:rsid w:val="005A4657"/>
    <w:rsid w:val="005A5004"/>
    <w:rsid w:val="005A653F"/>
    <w:rsid w:val="005A7374"/>
    <w:rsid w:val="005B18DC"/>
    <w:rsid w:val="005B2546"/>
    <w:rsid w:val="005B6401"/>
    <w:rsid w:val="005B6886"/>
    <w:rsid w:val="005B7A8B"/>
    <w:rsid w:val="005B7F22"/>
    <w:rsid w:val="005C0510"/>
    <w:rsid w:val="005C20FB"/>
    <w:rsid w:val="005C21E2"/>
    <w:rsid w:val="005C396E"/>
    <w:rsid w:val="005C3EA2"/>
    <w:rsid w:val="005C487F"/>
    <w:rsid w:val="005C556F"/>
    <w:rsid w:val="005C557C"/>
    <w:rsid w:val="005C6C47"/>
    <w:rsid w:val="005D22AB"/>
    <w:rsid w:val="005D403E"/>
    <w:rsid w:val="005D5B11"/>
    <w:rsid w:val="005D6CED"/>
    <w:rsid w:val="005D7F6B"/>
    <w:rsid w:val="005E5E53"/>
    <w:rsid w:val="005E67F7"/>
    <w:rsid w:val="005E6A07"/>
    <w:rsid w:val="005F10D2"/>
    <w:rsid w:val="005F35E9"/>
    <w:rsid w:val="005F3A10"/>
    <w:rsid w:val="005F3AFC"/>
    <w:rsid w:val="005F5638"/>
    <w:rsid w:val="005F758F"/>
    <w:rsid w:val="00601B39"/>
    <w:rsid w:val="00602D38"/>
    <w:rsid w:val="006034D2"/>
    <w:rsid w:val="00605835"/>
    <w:rsid w:val="0061253C"/>
    <w:rsid w:val="00613272"/>
    <w:rsid w:val="00613C30"/>
    <w:rsid w:val="00614AC8"/>
    <w:rsid w:val="0061580E"/>
    <w:rsid w:val="0061645E"/>
    <w:rsid w:val="00617953"/>
    <w:rsid w:val="00623A56"/>
    <w:rsid w:val="00623AEE"/>
    <w:rsid w:val="00624C38"/>
    <w:rsid w:val="00626287"/>
    <w:rsid w:val="00627200"/>
    <w:rsid w:val="00635A75"/>
    <w:rsid w:val="006400C9"/>
    <w:rsid w:val="00640455"/>
    <w:rsid w:val="006406ED"/>
    <w:rsid w:val="00641CA0"/>
    <w:rsid w:val="00644DE9"/>
    <w:rsid w:val="00650744"/>
    <w:rsid w:val="00652EA8"/>
    <w:rsid w:val="0065403F"/>
    <w:rsid w:val="00654AE5"/>
    <w:rsid w:val="00654FC5"/>
    <w:rsid w:val="00657A8E"/>
    <w:rsid w:val="00661373"/>
    <w:rsid w:val="006631EA"/>
    <w:rsid w:val="006649E5"/>
    <w:rsid w:val="00666052"/>
    <w:rsid w:val="006736C9"/>
    <w:rsid w:val="00673781"/>
    <w:rsid w:val="00675528"/>
    <w:rsid w:val="006759D4"/>
    <w:rsid w:val="00676455"/>
    <w:rsid w:val="006804B1"/>
    <w:rsid w:val="00681C9E"/>
    <w:rsid w:val="00682DD0"/>
    <w:rsid w:val="00683872"/>
    <w:rsid w:val="00683B6F"/>
    <w:rsid w:val="00685E22"/>
    <w:rsid w:val="0068601A"/>
    <w:rsid w:val="006907C5"/>
    <w:rsid w:val="0069132F"/>
    <w:rsid w:val="0069235C"/>
    <w:rsid w:val="0069433F"/>
    <w:rsid w:val="00694991"/>
    <w:rsid w:val="00696D24"/>
    <w:rsid w:val="00696DB5"/>
    <w:rsid w:val="00697B51"/>
    <w:rsid w:val="006A1182"/>
    <w:rsid w:val="006A254E"/>
    <w:rsid w:val="006A3DCC"/>
    <w:rsid w:val="006A4E97"/>
    <w:rsid w:val="006A5764"/>
    <w:rsid w:val="006A5FF5"/>
    <w:rsid w:val="006A705C"/>
    <w:rsid w:val="006A709D"/>
    <w:rsid w:val="006B2402"/>
    <w:rsid w:val="006B4364"/>
    <w:rsid w:val="006C02BA"/>
    <w:rsid w:val="006C138F"/>
    <w:rsid w:val="006C3464"/>
    <w:rsid w:val="006C3C18"/>
    <w:rsid w:val="006C4D15"/>
    <w:rsid w:val="006C6710"/>
    <w:rsid w:val="006D1982"/>
    <w:rsid w:val="006E2F5C"/>
    <w:rsid w:val="006E30FB"/>
    <w:rsid w:val="006E3D78"/>
    <w:rsid w:val="006E5212"/>
    <w:rsid w:val="006F1894"/>
    <w:rsid w:val="006F20E0"/>
    <w:rsid w:val="006F3C8B"/>
    <w:rsid w:val="006F4C51"/>
    <w:rsid w:val="006F6326"/>
    <w:rsid w:val="006F784A"/>
    <w:rsid w:val="006F7CC5"/>
    <w:rsid w:val="007037E8"/>
    <w:rsid w:val="00704D1F"/>
    <w:rsid w:val="00704E29"/>
    <w:rsid w:val="00705FF9"/>
    <w:rsid w:val="00710604"/>
    <w:rsid w:val="00710839"/>
    <w:rsid w:val="007121AC"/>
    <w:rsid w:val="007153BC"/>
    <w:rsid w:val="0071556A"/>
    <w:rsid w:val="00716897"/>
    <w:rsid w:val="007169D3"/>
    <w:rsid w:val="00716D25"/>
    <w:rsid w:val="00717AB4"/>
    <w:rsid w:val="00720B56"/>
    <w:rsid w:val="0072122F"/>
    <w:rsid w:val="007215D8"/>
    <w:rsid w:val="0072219B"/>
    <w:rsid w:val="00722E0F"/>
    <w:rsid w:val="0072414D"/>
    <w:rsid w:val="00724266"/>
    <w:rsid w:val="00724CCF"/>
    <w:rsid w:val="007268A9"/>
    <w:rsid w:val="00733FBD"/>
    <w:rsid w:val="007376E8"/>
    <w:rsid w:val="00737BDE"/>
    <w:rsid w:val="007432BF"/>
    <w:rsid w:val="00744EB7"/>
    <w:rsid w:val="007467B9"/>
    <w:rsid w:val="0074687A"/>
    <w:rsid w:val="00752AA3"/>
    <w:rsid w:val="00752F9B"/>
    <w:rsid w:val="0075368C"/>
    <w:rsid w:val="007543C0"/>
    <w:rsid w:val="00754635"/>
    <w:rsid w:val="007554DC"/>
    <w:rsid w:val="00755CAA"/>
    <w:rsid w:val="00755CBB"/>
    <w:rsid w:val="007577F5"/>
    <w:rsid w:val="00760827"/>
    <w:rsid w:val="00761025"/>
    <w:rsid w:val="00763EDA"/>
    <w:rsid w:val="00765568"/>
    <w:rsid w:val="007725A5"/>
    <w:rsid w:val="00773B54"/>
    <w:rsid w:val="00774713"/>
    <w:rsid w:val="007747E9"/>
    <w:rsid w:val="00774838"/>
    <w:rsid w:val="00775699"/>
    <w:rsid w:val="00776EC7"/>
    <w:rsid w:val="00780035"/>
    <w:rsid w:val="00780957"/>
    <w:rsid w:val="00784967"/>
    <w:rsid w:val="00785FE1"/>
    <w:rsid w:val="00787A51"/>
    <w:rsid w:val="007914DB"/>
    <w:rsid w:val="0079254C"/>
    <w:rsid w:val="007939CD"/>
    <w:rsid w:val="00793CC9"/>
    <w:rsid w:val="0079447C"/>
    <w:rsid w:val="007948B9"/>
    <w:rsid w:val="00797274"/>
    <w:rsid w:val="0079780E"/>
    <w:rsid w:val="007A0A8B"/>
    <w:rsid w:val="007A18AF"/>
    <w:rsid w:val="007A3211"/>
    <w:rsid w:val="007A38EF"/>
    <w:rsid w:val="007A3A6D"/>
    <w:rsid w:val="007A3BE8"/>
    <w:rsid w:val="007A7453"/>
    <w:rsid w:val="007B37FA"/>
    <w:rsid w:val="007B3F4D"/>
    <w:rsid w:val="007B4DB2"/>
    <w:rsid w:val="007B5800"/>
    <w:rsid w:val="007B69E9"/>
    <w:rsid w:val="007C010B"/>
    <w:rsid w:val="007C2B88"/>
    <w:rsid w:val="007C3942"/>
    <w:rsid w:val="007C60D6"/>
    <w:rsid w:val="007C6383"/>
    <w:rsid w:val="007C66D1"/>
    <w:rsid w:val="007C6CEF"/>
    <w:rsid w:val="007D1A39"/>
    <w:rsid w:val="007D1C81"/>
    <w:rsid w:val="007D4872"/>
    <w:rsid w:val="007D48B9"/>
    <w:rsid w:val="007D56ED"/>
    <w:rsid w:val="007D7A1D"/>
    <w:rsid w:val="007E050B"/>
    <w:rsid w:val="007E06F1"/>
    <w:rsid w:val="007E0FB0"/>
    <w:rsid w:val="007E42F8"/>
    <w:rsid w:val="007E497A"/>
    <w:rsid w:val="007E6405"/>
    <w:rsid w:val="007F0957"/>
    <w:rsid w:val="007F0E55"/>
    <w:rsid w:val="007F6A5A"/>
    <w:rsid w:val="008002F7"/>
    <w:rsid w:val="00802267"/>
    <w:rsid w:val="00802F87"/>
    <w:rsid w:val="00803C5D"/>
    <w:rsid w:val="008068B4"/>
    <w:rsid w:val="00811B7B"/>
    <w:rsid w:val="0081274E"/>
    <w:rsid w:val="0081365D"/>
    <w:rsid w:val="00813FA8"/>
    <w:rsid w:val="00814B34"/>
    <w:rsid w:val="0081606C"/>
    <w:rsid w:val="00816F1F"/>
    <w:rsid w:val="00817A12"/>
    <w:rsid w:val="008226DA"/>
    <w:rsid w:val="0082279A"/>
    <w:rsid w:val="0082299A"/>
    <w:rsid w:val="008265B3"/>
    <w:rsid w:val="00826AAB"/>
    <w:rsid w:val="008270F8"/>
    <w:rsid w:val="008306E3"/>
    <w:rsid w:val="00831F24"/>
    <w:rsid w:val="00835138"/>
    <w:rsid w:val="00835216"/>
    <w:rsid w:val="008354DE"/>
    <w:rsid w:val="00836695"/>
    <w:rsid w:val="008370ED"/>
    <w:rsid w:val="00850C3B"/>
    <w:rsid w:val="00852543"/>
    <w:rsid w:val="0085316A"/>
    <w:rsid w:val="00853206"/>
    <w:rsid w:val="008534B9"/>
    <w:rsid w:val="008548FD"/>
    <w:rsid w:val="00854E0F"/>
    <w:rsid w:val="00855367"/>
    <w:rsid w:val="008562C7"/>
    <w:rsid w:val="00856EC2"/>
    <w:rsid w:val="0086123A"/>
    <w:rsid w:val="00862004"/>
    <w:rsid w:val="00862009"/>
    <w:rsid w:val="00863A39"/>
    <w:rsid w:val="00863BB0"/>
    <w:rsid w:val="0086539E"/>
    <w:rsid w:val="00870189"/>
    <w:rsid w:val="00871913"/>
    <w:rsid w:val="00876D04"/>
    <w:rsid w:val="00877CB7"/>
    <w:rsid w:val="00881024"/>
    <w:rsid w:val="00882AB8"/>
    <w:rsid w:val="00882DEB"/>
    <w:rsid w:val="00883C5C"/>
    <w:rsid w:val="00885E1D"/>
    <w:rsid w:val="0088606D"/>
    <w:rsid w:val="008868B2"/>
    <w:rsid w:val="00886C45"/>
    <w:rsid w:val="008914EC"/>
    <w:rsid w:val="0089412B"/>
    <w:rsid w:val="00894296"/>
    <w:rsid w:val="00896BC0"/>
    <w:rsid w:val="0089718F"/>
    <w:rsid w:val="0089742E"/>
    <w:rsid w:val="008A15CB"/>
    <w:rsid w:val="008A1670"/>
    <w:rsid w:val="008A1DF5"/>
    <w:rsid w:val="008A2EA7"/>
    <w:rsid w:val="008A5BDD"/>
    <w:rsid w:val="008A5D7F"/>
    <w:rsid w:val="008B0928"/>
    <w:rsid w:val="008B1042"/>
    <w:rsid w:val="008B4433"/>
    <w:rsid w:val="008B6FF4"/>
    <w:rsid w:val="008B7869"/>
    <w:rsid w:val="008C0F4E"/>
    <w:rsid w:val="008C2D2F"/>
    <w:rsid w:val="008C333F"/>
    <w:rsid w:val="008C3D22"/>
    <w:rsid w:val="008C6AC2"/>
    <w:rsid w:val="008C6CBC"/>
    <w:rsid w:val="008C6E2F"/>
    <w:rsid w:val="008D05F6"/>
    <w:rsid w:val="008D46F7"/>
    <w:rsid w:val="008D4852"/>
    <w:rsid w:val="008D4F36"/>
    <w:rsid w:val="008D768A"/>
    <w:rsid w:val="008E00A7"/>
    <w:rsid w:val="008E2745"/>
    <w:rsid w:val="008E2FB7"/>
    <w:rsid w:val="008E5A53"/>
    <w:rsid w:val="008E5BDC"/>
    <w:rsid w:val="008E7853"/>
    <w:rsid w:val="008E79C9"/>
    <w:rsid w:val="008E7CDA"/>
    <w:rsid w:val="008F341A"/>
    <w:rsid w:val="008F4835"/>
    <w:rsid w:val="008F4E96"/>
    <w:rsid w:val="008F5AC7"/>
    <w:rsid w:val="008F7678"/>
    <w:rsid w:val="00902DC4"/>
    <w:rsid w:val="00903E78"/>
    <w:rsid w:val="0090631D"/>
    <w:rsid w:val="00906628"/>
    <w:rsid w:val="00907424"/>
    <w:rsid w:val="00910E75"/>
    <w:rsid w:val="009110A0"/>
    <w:rsid w:val="00912544"/>
    <w:rsid w:val="00915EDA"/>
    <w:rsid w:val="009178D3"/>
    <w:rsid w:val="00920359"/>
    <w:rsid w:val="00921415"/>
    <w:rsid w:val="00926634"/>
    <w:rsid w:val="00932E87"/>
    <w:rsid w:val="00935F1B"/>
    <w:rsid w:val="0093787C"/>
    <w:rsid w:val="009424C4"/>
    <w:rsid w:val="00942CEC"/>
    <w:rsid w:val="00943F13"/>
    <w:rsid w:val="00946030"/>
    <w:rsid w:val="0094689E"/>
    <w:rsid w:val="00947F60"/>
    <w:rsid w:val="009514AD"/>
    <w:rsid w:val="00952C69"/>
    <w:rsid w:val="0095602D"/>
    <w:rsid w:val="00956503"/>
    <w:rsid w:val="00956A26"/>
    <w:rsid w:val="00960A8C"/>
    <w:rsid w:val="009616DB"/>
    <w:rsid w:val="0096608A"/>
    <w:rsid w:val="00970041"/>
    <w:rsid w:val="009752FD"/>
    <w:rsid w:val="00976055"/>
    <w:rsid w:val="009802B4"/>
    <w:rsid w:val="009807B3"/>
    <w:rsid w:val="00981322"/>
    <w:rsid w:val="00984E53"/>
    <w:rsid w:val="00985903"/>
    <w:rsid w:val="009934A5"/>
    <w:rsid w:val="00995DD5"/>
    <w:rsid w:val="0099638E"/>
    <w:rsid w:val="009A0059"/>
    <w:rsid w:val="009A0575"/>
    <w:rsid w:val="009A2493"/>
    <w:rsid w:val="009A5807"/>
    <w:rsid w:val="009A6587"/>
    <w:rsid w:val="009A7051"/>
    <w:rsid w:val="009B0E16"/>
    <w:rsid w:val="009B55B6"/>
    <w:rsid w:val="009B6143"/>
    <w:rsid w:val="009B759B"/>
    <w:rsid w:val="009C097E"/>
    <w:rsid w:val="009C6F0F"/>
    <w:rsid w:val="009D2E96"/>
    <w:rsid w:val="009D31F8"/>
    <w:rsid w:val="009D39A4"/>
    <w:rsid w:val="009D4BB4"/>
    <w:rsid w:val="009D6FC4"/>
    <w:rsid w:val="009E41F0"/>
    <w:rsid w:val="009E4681"/>
    <w:rsid w:val="009F0445"/>
    <w:rsid w:val="009F68F2"/>
    <w:rsid w:val="00A00692"/>
    <w:rsid w:val="00A06F3C"/>
    <w:rsid w:val="00A10706"/>
    <w:rsid w:val="00A12212"/>
    <w:rsid w:val="00A16351"/>
    <w:rsid w:val="00A17672"/>
    <w:rsid w:val="00A22839"/>
    <w:rsid w:val="00A2308F"/>
    <w:rsid w:val="00A239F1"/>
    <w:rsid w:val="00A26120"/>
    <w:rsid w:val="00A2616F"/>
    <w:rsid w:val="00A30077"/>
    <w:rsid w:val="00A3112A"/>
    <w:rsid w:val="00A312CB"/>
    <w:rsid w:val="00A350F3"/>
    <w:rsid w:val="00A35E8D"/>
    <w:rsid w:val="00A37163"/>
    <w:rsid w:val="00A37D26"/>
    <w:rsid w:val="00A420FB"/>
    <w:rsid w:val="00A4406E"/>
    <w:rsid w:val="00A4436A"/>
    <w:rsid w:val="00A46430"/>
    <w:rsid w:val="00A46466"/>
    <w:rsid w:val="00A46B8E"/>
    <w:rsid w:val="00A50423"/>
    <w:rsid w:val="00A528BC"/>
    <w:rsid w:val="00A52CA8"/>
    <w:rsid w:val="00A608B5"/>
    <w:rsid w:val="00A62B74"/>
    <w:rsid w:val="00A645FC"/>
    <w:rsid w:val="00A65B70"/>
    <w:rsid w:val="00A669D4"/>
    <w:rsid w:val="00A67C67"/>
    <w:rsid w:val="00A7069F"/>
    <w:rsid w:val="00A711D2"/>
    <w:rsid w:val="00A71957"/>
    <w:rsid w:val="00A74996"/>
    <w:rsid w:val="00A75517"/>
    <w:rsid w:val="00A76671"/>
    <w:rsid w:val="00A81C18"/>
    <w:rsid w:val="00A834A6"/>
    <w:rsid w:val="00A84619"/>
    <w:rsid w:val="00A8527E"/>
    <w:rsid w:val="00A859B1"/>
    <w:rsid w:val="00A85DFB"/>
    <w:rsid w:val="00A86A51"/>
    <w:rsid w:val="00A907B2"/>
    <w:rsid w:val="00A92C26"/>
    <w:rsid w:val="00A93093"/>
    <w:rsid w:val="00A93B87"/>
    <w:rsid w:val="00A94BBA"/>
    <w:rsid w:val="00A94BCA"/>
    <w:rsid w:val="00A9635B"/>
    <w:rsid w:val="00A973CF"/>
    <w:rsid w:val="00AA05B7"/>
    <w:rsid w:val="00AA3F2D"/>
    <w:rsid w:val="00AA4514"/>
    <w:rsid w:val="00AA675C"/>
    <w:rsid w:val="00AB6556"/>
    <w:rsid w:val="00AC358C"/>
    <w:rsid w:val="00AC548D"/>
    <w:rsid w:val="00AD18A2"/>
    <w:rsid w:val="00AD1B2A"/>
    <w:rsid w:val="00AD2C66"/>
    <w:rsid w:val="00AD6966"/>
    <w:rsid w:val="00AD7DF0"/>
    <w:rsid w:val="00AE2A4C"/>
    <w:rsid w:val="00AE42AC"/>
    <w:rsid w:val="00AE4F1B"/>
    <w:rsid w:val="00AF2D6A"/>
    <w:rsid w:val="00AF42E9"/>
    <w:rsid w:val="00AF4E5E"/>
    <w:rsid w:val="00B014A5"/>
    <w:rsid w:val="00B0315D"/>
    <w:rsid w:val="00B03FF9"/>
    <w:rsid w:val="00B051D0"/>
    <w:rsid w:val="00B11B95"/>
    <w:rsid w:val="00B16CC2"/>
    <w:rsid w:val="00B17468"/>
    <w:rsid w:val="00B21096"/>
    <w:rsid w:val="00B234E5"/>
    <w:rsid w:val="00B27A96"/>
    <w:rsid w:val="00B33442"/>
    <w:rsid w:val="00B34215"/>
    <w:rsid w:val="00B36E20"/>
    <w:rsid w:val="00B41B46"/>
    <w:rsid w:val="00B41EBD"/>
    <w:rsid w:val="00B43C59"/>
    <w:rsid w:val="00B45989"/>
    <w:rsid w:val="00B4733C"/>
    <w:rsid w:val="00B476FE"/>
    <w:rsid w:val="00B5068A"/>
    <w:rsid w:val="00B509A9"/>
    <w:rsid w:val="00B551A1"/>
    <w:rsid w:val="00B57332"/>
    <w:rsid w:val="00B5763D"/>
    <w:rsid w:val="00B606A7"/>
    <w:rsid w:val="00B61624"/>
    <w:rsid w:val="00B61CF1"/>
    <w:rsid w:val="00B620F1"/>
    <w:rsid w:val="00B62B1F"/>
    <w:rsid w:val="00B64F85"/>
    <w:rsid w:val="00B67C18"/>
    <w:rsid w:val="00B70451"/>
    <w:rsid w:val="00B70A17"/>
    <w:rsid w:val="00B71CAD"/>
    <w:rsid w:val="00B72B4A"/>
    <w:rsid w:val="00B734D4"/>
    <w:rsid w:val="00B735EF"/>
    <w:rsid w:val="00B74D9C"/>
    <w:rsid w:val="00B753A8"/>
    <w:rsid w:val="00B82D65"/>
    <w:rsid w:val="00B83517"/>
    <w:rsid w:val="00B83726"/>
    <w:rsid w:val="00B90C9C"/>
    <w:rsid w:val="00B930D6"/>
    <w:rsid w:val="00B96468"/>
    <w:rsid w:val="00B97898"/>
    <w:rsid w:val="00B97B38"/>
    <w:rsid w:val="00BA1214"/>
    <w:rsid w:val="00BA2F59"/>
    <w:rsid w:val="00BA4E81"/>
    <w:rsid w:val="00BB1068"/>
    <w:rsid w:val="00BB3F47"/>
    <w:rsid w:val="00BB5982"/>
    <w:rsid w:val="00BB6320"/>
    <w:rsid w:val="00BC0B0A"/>
    <w:rsid w:val="00BC27BC"/>
    <w:rsid w:val="00BC29BD"/>
    <w:rsid w:val="00BC3F44"/>
    <w:rsid w:val="00BC6054"/>
    <w:rsid w:val="00BD0A50"/>
    <w:rsid w:val="00BD0CE3"/>
    <w:rsid w:val="00BD1EDF"/>
    <w:rsid w:val="00BD3431"/>
    <w:rsid w:val="00BD3E85"/>
    <w:rsid w:val="00BD4473"/>
    <w:rsid w:val="00BD6081"/>
    <w:rsid w:val="00BD62E9"/>
    <w:rsid w:val="00BD778D"/>
    <w:rsid w:val="00BE1B05"/>
    <w:rsid w:val="00BE294D"/>
    <w:rsid w:val="00BE2F47"/>
    <w:rsid w:val="00BE3044"/>
    <w:rsid w:val="00BE340F"/>
    <w:rsid w:val="00BE3758"/>
    <w:rsid w:val="00BE47FC"/>
    <w:rsid w:val="00BE5CA9"/>
    <w:rsid w:val="00BF104E"/>
    <w:rsid w:val="00BF36C9"/>
    <w:rsid w:val="00BF3D56"/>
    <w:rsid w:val="00BF4F4C"/>
    <w:rsid w:val="00C00E3A"/>
    <w:rsid w:val="00C02120"/>
    <w:rsid w:val="00C03B70"/>
    <w:rsid w:val="00C1098E"/>
    <w:rsid w:val="00C10DC6"/>
    <w:rsid w:val="00C10DF5"/>
    <w:rsid w:val="00C11A23"/>
    <w:rsid w:val="00C12C63"/>
    <w:rsid w:val="00C1489D"/>
    <w:rsid w:val="00C1775D"/>
    <w:rsid w:val="00C20CAE"/>
    <w:rsid w:val="00C224EA"/>
    <w:rsid w:val="00C24ED9"/>
    <w:rsid w:val="00C2735C"/>
    <w:rsid w:val="00C3063F"/>
    <w:rsid w:val="00C31373"/>
    <w:rsid w:val="00C33B2E"/>
    <w:rsid w:val="00C37ED8"/>
    <w:rsid w:val="00C41FD3"/>
    <w:rsid w:val="00C4213D"/>
    <w:rsid w:val="00C42AE0"/>
    <w:rsid w:val="00C43977"/>
    <w:rsid w:val="00C45F1D"/>
    <w:rsid w:val="00C4777E"/>
    <w:rsid w:val="00C4790E"/>
    <w:rsid w:val="00C50A39"/>
    <w:rsid w:val="00C51618"/>
    <w:rsid w:val="00C53D7B"/>
    <w:rsid w:val="00C565A4"/>
    <w:rsid w:val="00C57C8B"/>
    <w:rsid w:val="00C608DE"/>
    <w:rsid w:val="00C60F0C"/>
    <w:rsid w:val="00C61612"/>
    <w:rsid w:val="00C64609"/>
    <w:rsid w:val="00C6504C"/>
    <w:rsid w:val="00C6570C"/>
    <w:rsid w:val="00C6691D"/>
    <w:rsid w:val="00C72E82"/>
    <w:rsid w:val="00C755AF"/>
    <w:rsid w:val="00C7762F"/>
    <w:rsid w:val="00C804DD"/>
    <w:rsid w:val="00C84D9F"/>
    <w:rsid w:val="00C875AB"/>
    <w:rsid w:val="00C9050F"/>
    <w:rsid w:val="00C94378"/>
    <w:rsid w:val="00CA181D"/>
    <w:rsid w:val="00CA1EBA"/>
    <w:rsid w:val="00CA259C"/>
    <w:rsid w:val="00CA2913"/>
    <w:rsid w:val="00CA2A72"/>
    <w:rsid w:val="00CA4B26"/>
    <w:rsid w:val="00CA58D7"/>
    <w:rsid w:val="00CA7E85"/>
    <w:rsid w:val="00CB1B1D"/>
    <w:rsid w:val="00CB3AD4"/>
    <w:rsid w:val="00CB482F"/>
    <w:rsid w:val="00CB5FE3"/>
    <w:rsid w:val="00CC3C24"/>
    <w:rsid w:val="00CC3DD5"/>
    <w:rsid w:val="00CC4463"/>
    <w:rsid w:val="00CC496D"/>
    <w:rsid w:val="00CC5246"/>
    <w:rsid w:val="00CC6B5D"/>
    <w:rsid w:val="00CD4106"/>
    <w:rsid w:val="00CD4413"/>
    <w:rsid w:val="00CD6624"/>
    <w:rsid w:val="00CD690A"/>
    <w:rsid w:val="00CD6E3F"/>
    <w:rsid w:val="00CD776F"/>
    <w:rsid w:val="00CE06FD"/>
    <w:rsid w:val="00CE2115"/>
    <w:rsid w:val="00CE321E"/>
    <w:rsid w:val="00CE7C6B"/>
    <w:rsid w:val="00CE7F44"/>
    <w:rsid w:val="00CF030F"/>
    <w:rsid w:val="00CF172E"/>
    <w:rsid w:val="00CF3DD6"/>
    <w:rsid w:val="00CF69BA"/>
    <w:rsid w:val="00D04A6E"/>
    <w:rsid w:val="00D04B31"/>
    <w:rsid w:val="00D12394"/>
    <w:rsid w:val="00D128FB"/>
    <w:rsid w:val="00D12CBD"/>
    <w:rsid w:val="00D1366D"/>
    <w:rsid w:val="00D153B6"/>
    <w:rsid w:val="00D1682B"/>
    <w:rsid w:val="00D17ECF"/>
    <w:rsid w:val="00D220A5"/>
    <w:rsid w:val="00D22541"/>
    <w:rsid w:val="00D22CB4"/>
    <w:rsid w:val="00D22F3D"/>
    <w:rsid w:val="00D23C60"/>
    <w:rsid w:val="00D27149"/>
    <w:rsid w:val="00D3182F"/>
    <w:rsid w:val="00D36A8A"/>
    <w:rsid w:val="00D5016E"/>
    <w:rsid w:val="00D5328F"/>
    <w:rsid w:val="00D54E5B"/>
    <w:rsid w:val="00D555F2"/>
    <w:rsid w:val="00D63672"/>
    <w:rsid w:val="00D64438"/>
    <w:rsid w:val="00D7021D"/>
    <w:rsid w:val="00D70AF7"/>
    <w:rsid w:val="00D70F13"/>
    <w:rsid w:val="00D73213"/>
    <w:rsid w:val="00D7396F"/>
    <w:rsid w:val="00D74196"/>
    <w:rsid w:val="00D765F8"/>
    <w:rsid w:val="00D7664C"/>
    <w:rsid w:val="00D80A7A"/>
    <w:rsid w:val="00D80E70"/>
    <w:rsid w:val="00D81ABE"/>
    <w:rsid w:val="00D81C7E"/>
    <w:rsid w:val="00D83693"/>
    <w:rsid w:val="00D83E48"/>
    <w:rsid w:val="00D83EAB"/>
    <w:rsid w:val="00D83F82"/>
    <w:rsid w:val="00D84CE4"/>
    <w:rsid w:val="00D84E66"/>
    <w:rsid w:val="00D85E52"/>
    <w:rsid w:val="00D872D9"/>
    <w:rsid w:val="00D90649"/>
    <w:rsid w:val="00D93295"/>
    <w:rsid w:val="00D94097"/>
    <w:rsid w:val="00D954F3"/>
    <w:rsid w:val="00D971FF"/>
    <w:rsid w:val="00D972FE"/>
    <w:rsid w:val="00DA7357"/>
    <w:rsid w:val="00DA7FAC"/>
    <w:rsid w:val="00DA7FDD"/>
    <w:rsid w:val="00DB1EA8"/>
    <w:rsid w:val="00DB2945"/>
    <w:rsid w:val="00DB7848"/>
    <w:rsid w:val="00DC240C"/>
    <w:rsid w:val="00DC308A"/>
    <w:rsid w:val="00DC4053"/>
    <w:rsid w:val="00DC43BB"/>
    <w:rsid w:val="00DC4E7B"/>
    <w:rsid w:val="00DC51AC"/>
    <w:rsid w:val="00DC5240"/>
    <w:rsid w:val="00DC6E78"/>
    <w:rsid w:val="00DD0F91"/>
    <w:rsid w:val="00DD13A6"/>
    <w:rsid w:val="00DD31B1"/>
    <w:rsid w:val="00DD56C0"/>
    <w:rsid w:val="00DD637C"/>
    <w:rsid w:val="00DD6468"/>
    <w:rsid w:val="00DE097A"/>
    <w:rsid w:val="00DE38D9"/>
    <w:rsid w:val="00DE41DB"/>
    <w:rsid w:val="00DE54A8"/>
    <w:rsid w:val="00DF28BA"/>
    <w:rsid w:val="00DF3C83"/>
    <w:rsid w:val="00DF5EC8"/>
    <w:rsid w:val="00E00B14"/>
    <w:rsid w:val="00E0301B"/>
    <w:rsid w:val="00E04B91"/>
    <w:rsid w:val="00E052C1"/>
    <w:rsid w:val="00E072A5"/>
    <w:rsid w:val="00E078CF"/>
    <w:rsid w:val="00E10D4B"/>
    <w:rsid w:val="00E11677"/>
    <w:rsid w:val="00E117DE"/>
    <w:rsid w:val="00E118A5"/>
    <w:rsid w:val="00E121D2"/>
    <w:rsid w:val="00E13D08"/>
    <w:rsid w:val="00E14B78"/>
    <w:rsid w:val="00E16143"/>
    <w:rsid w:val="00E16797"/>
    <w:rsid w:val="00E21158"/>
    <w:rsid w:val="00E244E5"/>
    <w:rsid w:val="00E27A5D"/>
    <w:rsid w:val="00E30188"/>
    <w:rsid w:val="00E30DA3"/>
    <w:rsid w:val="00E40877"/>
    <w:rsid w:val="00E44CEA"/>
    <w:rsid w:val="00E51817"/>
    <w:rsid w:val="00E52B9D"/>
    <w:rsid w:val="00E5793D"/>
    <w:rsid w:val="00E601EC"/>
    <w:rsid w:val="00E60856"/>
    <w:rsid w:val="00E60E0F"/>
    <w:rsid w:val="00E61ECA"/>
    <w:rsid w:val="00E64312"/>
    <w:rsid w:val="00E653E9"/>
    <w:rsid w:val="00E7183E"/>
    <w:rsid w:val="00E7185D"/>
    <w:rsid w:val="00E71A2B"/>
    <w:rsid w:val="00E71D56"/>
    <w:rsid w:val="00E7681C"/>
    <w:rsid w:val="00E76D69"/>
    <w:rsid w:val="00E77AF4"/>
    <w:rsid w:val="00E80E25"/>
    <w:rsid w:val="00E81A09"/>
    <w:rsid w:val="00E84382"/>
    <w:rsid w:val="00E85516"/>
    <w:rsid w:val="00E85EE5"/>
    <w:rsid w:val="00E8773A"/>
    <w:rsid w:val="00E9038C"/>
    <w:rsid w:val="00E911F7"/>
    <w:rsid w:val="00E919FA"/>
    <w:rsid w:val="00E94386"/>
    <w:rsid w:val="00E95CAC"/>
    <w:rsid w:val="00E96968"/>
    <w:rsid w:val="00EA0D29"/>
    <w:rsid w:val="00EA2925"/>
    <w:rsid w:val="00EA2FA0"/>
    <w:rsid w:val="00EA3203"/>
    <w:rsid w:val="00EA41DD"/>
    <w:rsid w:val="00EA6928"/>
    <w:rsid w:val="00EB4525"/>
    <w:rsid w:val="00EB5A9E"/>
    <w:rsid w:val="00EC2C8A"/>
    <w:rsid w:val="00EC3F6A"/>
    <w:rsid w:val="00ED0020"/>
    <w:rsid w:val="00ED0681"/>
    <w:rsid w:val="00ED28E7"/>
    <w:rsid w:val="00ED30AB"/>
    <w:rsid w:val="00ED3613"/>
    <w:rsid w:val="00ED4A72"/>
    <w:rsid w:val="00ED53E3"/>
    <w:rsid w:val="00ED68A0"/>
    <w:rsid w:val="00ED7927"/>
    <w:rsid w:val="00EE0629"/>
    <w:rsid w:val="00EE1F82"/>
    <w:rsid w:val="00EE2BD7"/>
    <w:rsid w:val="00EE43C1"/>
    <w:rsid w:val="00EE4883"/>
    <w:rsid w:val="00EE5C02"/>
    <w:rsid w:val="00EE67C3"/>
    <w:rsid w:val="00EF04E1"/>
    <w:rsid w:val="00EF3983"/>
    <w:rsid w:val="00EF4EEA"/>
    <w:rsid w:val="00EF6BEC"/>
    <w:rsid w:val="00F01F55"/>
    <w:rsid w:val="00F025BF"/>
    <w:rsid w:val="00F0630F"/>
    <w:rsid w:val="00F06627"/>
    <w:rsid w:val="00F10A99"/>
    <w:rsid w:val="00F1385D"/>
    <w:rsid w:val="00F15DEE"/>
    <w:rsid w:val="00F16CD5"/>
    <w:rsid w:val="00F1741C"/>
    <w:rsid w:val="00F1747C"/>
    <w:rsid w:val="00F2274D"/>
    <w:rsid w:val="00F23250"/>
    <w:rsid w:val="00F252AE"/>
    <w:rsid w:val="00F26E50"/>
    <w:rsid w:val="00F27286"/>
    <w:rsid w:val="00F27CD3"/>
    <w:rsid w:val="00F31B4F"/>
    <w:rsid w:val="00F338B3"/>
    <w:rsid w:val="00F350DF"/>
    <w:rsid w:val="00F36B63"/>
    <w:rsid w:val="00F37E63"/>
    <w:rsid w:val="00F40B25"/>
    <w:rsid w:val="00F43048"/>
    <w:rsid w:val="00F43277"/>
    <w:rsid w:val="00F437F8"/>
    <w:rsid w:val="00F46D33"/>
    <w:rsid w:val="00F46E38"/>
    <w:rsid w:val="00F478AF"/>
    <w:rsid w:val="00F63BB4"/>
    <w:rsid w:val="00F6460A"/>
    <w:rsid w:val="00F64B79"/>
    <w:rsid w:val="00F67DD4"/>
    <w:rsid w:val="00F7100A"/>
    <w:rsid w:val="00F71B2D"/>
    <w:rsid w:val="00F74075"/>
    <w:rsid w:val="00F81329"/>
    <w:rsid w:val="00F8255C"/>
    <w:rsid w:val="00F85832"/>
    <w:rsid w:val="00F86FBC"/>
    <w:rsid w:val="00F8754A"/>
    <w:rsid w:val="00F87D60"/>
    <w:rsid w:val="00F9189C"/>
    <w:rsid w:val="00F91CB6"/>
    <w:rsid w:val="00F920E2"/>
    <w:rsid w:val="00F9330C"/>
    <w:rsid w:val="00F93DD4"/>
    <w:rsid w:val="00F94972"/>
    <w:rsid w:val="00F96A3B"/>
    <w:rsid w:val="00F97114"/>
    <w:rsid w:val="00F97687"/>
    <w:rsid w:val="00FA2572"/>
    <w:rsid w:val="00FA4619"/>
    <w:rsid w:val="00FA7DE3"/>
    <w:rsid w:val="00FB2815"/>
    <w:rsid w:val="00FB304A"/>
    <w:rsid w:val="00FB4F46"/>
    <w:rsid w:val="00FB5484"/>
    <w:rsid w:val="00FB564C"/>
    <w:rsid w:val="00FC1FF9"/>
    <w:rsid w:val="00FC4779"/>
    <w:rsid w:val="00FC5470"/>
    <w:rsid w:val="00FC614B"/>
    <w:rsid w:val="00FC6C11"/>
    <w:rsid w:val="00FD053C"/>
    <w:rsid w:val="00FD07F9"/>
    <w:rsid w:val="00FD1598"/>
    <w:rsid w:val="00FD168E"/>
    <w:rsid w:val="00FD4068"/>
    <w:rsid w:val="00FD59C1"/>
    <w:rsid w:val="00FD70EA"/>
    <w:rsid w:val="00FE1896"/>
    <w:rsid w:val="00FE5B8B"/>
    <w:rsid w:val="00FE6817"/>
    <w:rsid w:val="00FE7CBD"/>
    <w:rsid w:val="00FF21C6"/>
    <w:rsid w:val="00FF47FA"/>
    <w:rsid w:val="00FF7060"/>
    <w:rsid w:val="00FF7193"/>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DED7"/>
  <w15:chartTrackingRefBased/>
  <w15:docId w15:val="{F6DA97D7-CE95-438E-9B31-811871DB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13"/>
    <w:pPr>
      <w:spacing w:after="0" w:line="36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774713"/>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4713"/>
    <w:rPr>
      <w:rFonts w:ascii="Arial" w:eastAsia="Times New Roman" w:hAnsi="Arial" w:cs="Arial"/>
      <w:i/>
      <w:iCs/>
      <w:sz w:val="28"/>
      <w:szCs w:val="24"/>
      <w:lang w:val="en-GB"/>
    </w:rPr>
  </w:style>
  <w:style w:type="paragraph" w:styleId="Header">
    <w:name w:val="header"/>
    <w:basedOn w:val="Normal"/>
    <w:link w:val="HeaderChar"/>
    <w:uiPriority w:val="99"/>
    <w:rsid w:val="00774713"/>
    <w:pPr>
      <w:tabs>
        <w:tab w:val="center" w:pos="4153"/>
        <w:tab w:val="right" w:pos="8306"/>
      </w:tabs>
    </w:pPr>
  </w:style>
  <w:style w:type="character" w:customStyle="1" w:styleId="HeaderChar">
    <w:name w:val="Header Char"/>
    <w:basedOn w:val="DefaultParagraphFont"/>
    <w:link w:val="Header"/>
    <w:uiPriority w:val="99"/>
    <w:rsid w:val="00774713"/>
    <w:rPr>
      <w:rFonts w:ascii="Times New Roman" w:eastAsia="Times New Roman" w:hAnsi="Times New Roman" w:cs="Times New Roman"/>
      <w:sz w:val="24"/>
      <w:szCs w:val="24"/>
      <w:lang w:val="en-GB"/>
    </w:rPr>
  </w:style>
  <w:style w:type="character" w:styleId="PageNumber">
    <w:name w:val="page number"/>
    <w:basedOn w:val="DefaultParagraphFont"/>
    <w:rsid w:val="00774713"/>
    <w:rPr>
      <w:rFonts w:cs="Times New Roman"/>
    </w:rPr>
  </w:style>
  <w:style w:type="paragraph" w:styleId="ListParagraph">
    <w:name w:val="List Paragraph"/>
    <w:basedOn w:val="Normal"/>
    <w:uiPriority w:val="34"/>
    <w:qFormat/>
    <w:rsid w:val="00774713"/>
    <w:pPr>
      <w:ind w:left="720"/>
      <w:contextualSpacing/>
    </w:pPr>
  </w:style>
  <w:style w:type="paragraph" w:styleId="FootnoteText">
    <w:name w:val="footnote text"/>
    <w:basedOn w:val="Normal"/>
    <w:link w:val="FootnoteTextChar"/>
    <w:uiPriority w:val="99"/>
    <w:semiHidden/>
    <w:unhideWhenUsed/>
    <w:rsid w:val="00640455"/>
    <w:pPr>
      <w:spacing w:line="240" w:lineRule="auto"/>
    </w:pPr>
    <w:rPr>
      <w:sz w:val="20"/>
      <w:szCs w:val="20"/>
    </w:rPr>
  </w:style>
  <w:style w:type="character" w:customStyle="1" w:styleId="FootnoteTextChar">
    <w:name w:val="Footnote Text Char"/>
    <w:basedOn w:val="DefaultParagraphFont"/>
    <w:link w:val="FootnoteText"/>
    <w:uiPriority w:val="99"/>
    <w:semiHidden/>
    <w:rsid w:val="0064045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40455"/>
    <w:rPr>
      <w:vertAlign w:val="superscript"/>
    </w:rPr>
  </w:style>
  <w:style w:type="paragraph" w:styleId="BalloonText">
    <w:name w:val="Balloon Text"/>
    <w:basedOn w:val="Normal"/>
    <w:link w:val="BalloonTextChar"/>
    <w:uiPriority w:val="99"/>
    <w:semiHidden/>
    <w:unhideWhenUsed/>
    <w:rsid w:val="008A15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C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FB5484"/>
    <w:rPr>
      <w:sz w:val="16"/>
      <w:szCs w:val="16"/>
    </w:rPr>
  </w:style>
  <w:style w:type="paragraph" w:styleId="CommentText">
    <w:name w:val="annotation text"/>
    <w:basedOn w:val="Normal"/>
    <w:link w:val="CommentTextChar"/>
    <w:uiPriority w:val="99"/>
    <w:semiHidden/>
    <w:unhideWhenUsed/>
    <w:rsid w:val="00FB5484"/>
    <w:pPr>
      <w:spacing w:line="240" w:lineRule="auto"/>
    </w:pPr>
    <w:rPr>
      <w:sz w:val="20"/>
      <w:szCs w:val="20"/>
    </w:rPr>
  </w:style>
  <w:style w:type="character" w:customStyle="1" w:styleId="CommentTextChar">
    <w:name w:val="Comment Text Char"/>
    <w:basedOn w:val="DefaultParagraphFont"/>
    <w:link w:val="CommentText"/>
    <w:uiPriority w:val="99"/>
    <w:semiHidden/>
    <w:rsid w:val="00FB548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5484"/>
    <w:rPr>
      <w:b/>
      <w:bCs/>
    </w:rPr>
  </w:style>
  <w:style w:type="character" w:customStyle="1" w:styleId="CommentSubjectChar">
    <w:name w:val="Comment Subject Char"/>
    <w:basedOn w:val="CommentTextChar"/>
    <w:link w:val="CommentSubject"/>
    <w:uiPriority w:val="99"/>
    <w:semiHidden/>
    <w:rsid w:val="00FB5484"/>
    <w:rPr>
      <w:rFonts w:ascii="Times New Roman" w:eastAsia="Times New Roman" w:hAnsi="Times New Roman" w:cs="Times New Roman"/>
      <w:b/>
      <w:bCs/>
      <w:sz w:val="20"/>
      <w:szCs w:val="20"/>
      <w:lang w:val="en-GB"/>
    </w:rPr>
  </w:style>
  <w:style w:type="paragraph" w:styleId="Revision">
    <w:name w:val="Revision"/>
    <w:hidden/>
    <w:uiPriority w:val="99"/>
    <w:semiHidden/>
    <w:rsid w:val="004B1F16"/>
    <w:pPr>
      <w:spacing w:after="0" w:line="240" w:lineRule="auto"/>
    </w:pPr>
    <w:rPr>
      <w:rFonts w:ascii="Times New Roman" w:eastAsia="Times New Roman" w:hAnsi="Times New Roman" w:cs="Times New Roman"/>
      <w:sz w:val="24"/>
      <w:szCs w:val="24"/>
      <w:lang w:val="en-GB"/>
    </w:rPr>
  </w:style>
  <w:style w:type="character" w:customStyle="1" w:styleId="g1">
    <w:name w:val="g1"/>
    <w:basedOn w:val="DefaultParagraphFont"/>
    <w:rsid w:val="009B0E16"/>
  </w:style>
  <w:style w:type="character" w:styleId="Hyperlink">
    <w:name w:val="Hyperlink"/>
    <w:basedOn w:val="DefaultParagraphFont"/>
    <w:uiPriority w:val="99"/>
    <w:semiHidden/>
    <w:unhideWhenUsed/>
    <w:rsid w:val="009B0E16"/>
    <w:rPr>
      <w:color w:val="0000FF"/>
      <w:u w:val="single"/>
    </w:rPr>
  </w:style>
  <w:style w:type="paragraph" w:styleId="Footer">
    <w:name w:val="footer"/>
    <w:basedOn w:val="Normal"/>
    <w:link w:val="FooterChar"/>
    <w:uiPriority w:val="99"/>
    <w:unhideWhenUsed/>
    <w:rsid w:val="00E44CEA"/>
    <w:pPr>
      <w:tabs>
        <w:tab w:val="center" w:pos="4513"/>
        <w:tab w:val="right" w:pos="9026"/>
      </w:tabs>
      <w:spacing w:line="240" w:lineRule="auto"/>
    </w:pPr>
  </w:style>
  <w:style w:type="character" w:customStyle="1" w:styleId="FooterChar">
    <w:name w:val="Footer Char"/>
    <w:basedOn w:val="DefaultParagraphFont"/>
    <w:link w:val="Footer"/>
    <w:uiPriority w:val="99"/>
    <w:rsid w:val="00E44CE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93298">
      <w:bodyDiv w:val="1"/>
      <w:marLeft w:val="0"/>
      <w:marRight w:val="0"/>
      <w:marTop w:val="0"/>
      <w:marBottom w:val="0"/>
      <w:divBdr>
        <w:top w:val="none" w:sz="0" w:space="0" w:color="auto"/>
        <w:left w:val="none" w:sz="0" w:space="0" w:color="auto"/>
        <w:bottom w:val="none" w:sz="0" w:space="0" w:color="auto"/>
        <w:right w:val="none" w:sz="0" w:space="0" w:color="auto"/>
      </w:divBdr>
      <w:divsChild>
        <w:div w:id="588731101">
          <w:marLeft w:val="0"/>
          <w:marRight w:val="0"/>
          <w:marTop w:val="120"/>
          <w:marBottom w:val="0"/>
          <w:divBdr>
            <w:top w:val="none" w:sz="0" w:space="0" w:color="auto"/>
            <w:left w:val="none" w:sz="0" w:space="0" w:color="auto"/>
            <w:bottom w:val="none" w:sz="0" w:space="0" w:color="auto"/>
            <w:right w:val="none" w:sz="0" w:space="0" w:color="auto"/>
          </w:divBdr>
        </w:div>
        <w:div w:id="250508721">
          <w:marLeft w:val="0"/>
          <w:marRight w:val="0"/>
          <w:marTop w:val="240"/>
          <w:marBottom w:val="24"/>
          <w:divBdr>
            <w:top w:val="single" w:sz="8" w:space="2" w:color="000000"/>
            <w:left w:val="none" w:sz="0" w:space="0" w:color="auto"/>
            <w:bottom w:val="none" w:sz="0" w:space="0" w:color="auto"/>
            <w:right w:val="none" w:sz="0" w:space="0" w:color="auto"/>
          </w:divBdr>
        </w:div>
        <w:div w:id="1094935310">
          <w:marLeft w:val="0"/>
          <w:marRight w:val="0"/>
          <w:marTop w:val="120"/>
          <w:marBottom w:val="0"/>
          <w:divBdr>
            <w:top w:val="none" w:sz="0" w:space="0" w:color="auto"/>
            <w:left w:val="none" w:sz="0" w:space="0" w:color="auto"/>
            <w:bottom w:val="none" w:sz="0" w:space="0" w:color="auto"/>
            <w:right w:val="none" w:sz="0" w:space="0" w:color="auto"/>
          </w:divBdr>
        </w:div>
        <w:div w:id="8635898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D5D3-08E1-41DE-92F7-F8C08160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11720</Words>
  <Characters>66804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Mokone</cp:lastModifiedBy>
  <cp:revision>3</cp:revision>
  <cp:lastPrinted>2023-05-16T06:27:00Z</cp:lastPrinted>
  <dcterms:created xsi:type="dcterms:W3CDTF">2023-05-17T10:09:00Z</dcterms:created>
  <dcterms:modified xsi:type="dcterms:W3CDTF">2023-05-17T10:22:00Z</dcterms:modified>
</cp:coreProperties>
</file>