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EE4A7" w14:textId="1F3C1ECE" w:rsidR="00EA529D" w:rsidRPr="0057066C" w:rsidRDefault="006D3C64" w:rsidP="00E05157">
      <w:pPr>
        <w:rPr>
          <w:rFonts w:ascii="Arial" w:hAnsi="Arial" w:cs="Arial"/>
          <w:b/>
          <w:bCs/>
          <w:sz w:val="28"/>
          <w:szCs w:val="28"/>
        </w:rPr>
      </w:pPr>
      <w:bookmarkStart w:id="0" w:name="_GoBack"/>
      <w:bookmarkEnd w:id="0"/>
      <w:r w:rsidRPr="0057066C">
        <w:rPr>
          <w:rFonts w:ascii="Arial" w:hAnsi="Arial" w:cs="Arial"/>
          <w:noProof/>
          <w:sz w:val="28"/>
          <w:szCs w:val="28"/>
          <w:lang w:val="en-US"/>
        </w:rPr>
        <w:drawing>
          <wp:anchor distT="0" distB="0" distL="114300" distR="114300" simplePos="0" relativeHeight="251659264" behindDoc="0" locked="0" layoutInCell="1" allowOverlap="1" wp14:anchorId="6EECD1EA" wp14:editId="3C514278">
            <wp:simplePos x="0" y="0"/>
            <wp:positionH relativeFrom="column">
              <wp:posOffset>2552700</wp:posOffset>
            </wp:positionH>
            <wp:positionV relativeFrom="paragraph">
              <wp:posOffset>228600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r w:rsidR="00750305" w:rsidRPr="0057066C">
        <w:rPr>
          <w:rFonts w:ascii="Arial" w:hAnsi="Arial" w:cs="Arial"/>
          <w:sz w:val="28"/>
          <w:szCs w:val="28"/>
        </w:rPr>
        <w:tab/>
      </w:r>
      <w:r w:rsidR="00750305" w:rsidRPr="0057066C">
        <w:rPr>
          <w:rFonts w:ascii="Arial" w:hAnsi="Arial" w:cs="Arial"/>
          <w:sz w:val="28"/>
          <w:szCs w:val="28"/>
        </w:rPr>
        <w:tab/>
      </w:r>
    </w:p>
    <w:p w14:paraId="06D6A18E" w14:textId="2F3F01FD" w:rsidR="00EA529D" w:rsidRPr="0057066C" w:rsidRDefault="00EA529D" w:rsidP="00E05157">
      <w:pPr>
        <w:rPr>
          <w:rFonts w:ascii="Arial" w:hAnsi="Arial" w:cs="Arial"/>
          <w:b/>
          <w:bCs/>
          <w:sz w:val="28"/>
          <w:szCs w:val="28"/>
        </w:rPr>
      </w:pPr>
    </w:p>
    <w:p w14:paraId="7300719D" w14:textId="41AEFDB0" w:rsidR="00EA529D" w:rsidRPr="0057066C" w:rsidRDefault="00EA529D" w:rsidP="00E05157">
      <w:pPr>
        <w:rPr>
          <w:rFonts w:ascii="Arial" w:hAnsi="Arial" w:cs="Arial"/>
          <w:b/>
          <w:bCs/>
          <w:sz w:val="28"/>
          <w:szCs w:val="28"/>
        </w:rPr>
      </w:pPr>
    </w:p>
    <w:p w14:paraId="73139A9B" w14:textId="77777777" w:rsidR="00EA529D" w:rsidRPr="0057066C" w:rsidRDefault="00EA529D" w:rsidP="00E05157">
      <w:pPr>
        <w:spacing w:after="240"/>
        <w:rPr>
          <w:rFonts w:ascii="Arial" w:hAnsi="Arial" w:cs="Arial"/>
          <w:b/>
          <w:bCs/>
          <w:sz w:val="28"/>
          <w:szCs w:val="28"/>
        </w:rPr>
      </w:pPr>
    </w:p>
    <w:p w14:paraId="521F0ED7" w14:textId="77777777" w:rsidR="00EA529D" w:rsidRPr="0057066C" w:rsidRDefault="00EA529D" w:rsidP="00E05157">
      <w:pPr>
        <w:jc w:val="center"/>
        <w:rPr>
          <w:rFonts w:ascii="Arial" w:hAnsi="Arial" w:cs="Arial"/>
          <w:b/>
          <w:bCs/>
        </w:rPr>
      </w:pPr>
      <w:r w:rsidRPr="0057066C">
        <w:rPr>
          <w:rFonts w:ascii="Arial" w:hAnsi="Arial" w:cs="Arial"/>
          <w:b/>
          <w:bCs/>
        </w:rPr>
        <w:t>THE SUPREME COURT OF APPEAL OF SOUTH AFRICA</w:t>
      </w:r>
    </w:p>
    <w:p w14:paraId="03FF49E7" w14:textId="013DB158" w:rsidR="00EA529D" w:rsidRPr="0057066C" w:rsidRDefault="00EA529D" w:rsidP="00E05157">
      <w:pPr>
        <w:pStyle w:val="Heading3"/>
        <w:jc w:val="center"/>
        <w:rPr>
          <w:b/>
          <w:bCs/>
        </w:rPr>
      </w:pPr>
      <w:r w:rsidRPr="0057066C">
        <w:rPr>
          <w:b/>
          <w:i w:val="0"/>
          <w:sz w:val="24"/>
        </w:rPr>
        <w:t>JUDGMENT</w:t>
      </w:r>
      <w:r w:rsidRPr="0057066C">
        <w:tab/>
      </w:r>
    </w:p>
    <w:p w14:paraId="73C2CBC0" w14:textId="37631127" w:rsidR="00EA529D" w:rsidRPr="0057066C" w:rsidRDefault="0063488B" w:rsidP="00E05157">
      <w:pPr>
        <w:jc w:val="right"/>
        <w:rPr>
          <w:rFonts w:ascii="Arial" w:hAnsi="Arial" w:cs="Arial"/>
          <w:b/>
        </w:rPr>
      </w:pPr>
      <w:r w:rsidRPr="0057066C">
        <w:rPr>
          <w:rFonts w:ascii="Arial" w:hAnsi="Arial" w:cs="Arial"/>
          <w:b/>
        </w:rPr>
        <w:t>Reportable</w:t>
      </w:r>
    </w:p>
    <w:p w14:paraId="130F84BB" w14:textId="2B61C210" w:rsidR="00EA529D" w:rsidRPr="0057066C" w:rsidRDefault="00EA529D" w:rsidP="00E05157">
      <w:pPr>
        <w:jc w:val="right"/>
        <w:rPr>
          <w:rFonts w:ascii="Arial" w:hAnsi="Arial" w:cs="Arial"/>
        </w:rPr>
      </w:pPr>
      <w:r w:rsidRPr="0057066C">
        <w:rPr>
          <w:rFonts w:ascii="Arial" w:hAnsi="Arial" w:cs="Arial"/>
        </w:rPr>
        <w:t xml:space="preserve">Case no: </w:t>
      </w:r>
      <w:r w:rsidR="0012272E" w:rsidRPr="0057066C">
        <w:rPr>
          <w:rFonts w:ascii="Arial" w:hAnsi="Arial" w:cs="Arial"/>
        </w:rPr>
        <w:t>344/2022</w:t>
      </w:r>
    </w:p>
    <w:p w14:paraId="509083C2" w14:textId="77777777" w:rsidR="00EA529D" w:rsidRPr="0057066C" w:rsidRDefault="00EA529D" w:rsidP="00E05157">
      <w:pPr>
        <w:spacing w:after="120"/>
        <w:rPr>
          <w:rFonts w:ascii="Arial" w:hAnsi="Arial" w:cs="Arial"/>
        </w:rPr>
      </w:pPr>
      <w:r w:rsidRPr="0057066C">
        <w:rPr>
          <w:rFonts w:ascii="Arial" w:hAnsi="Arial" w:cs="Arial"/>
        </w:rPr>
        <w:t>In the matter between:</w:t>
      </w:r>
    </w:p>
    <w:p w14:paraId="6612104A" w14:textId="0602E1E0" w:rsidR="009E1FCA" w:rsidRDefault="0012272E" w:rsidP="00E05157">
      <w:pPr>
        <w:tabs>
          <w:tab w:val="left" w:pos="6663"/>
        </w:tabs>
        <w:spacing w:before="120" w:after="120"/>
        <w:rPr>
          <w:rFonts w:ascii="Arial" w:hAnsi="Arial" w:cs="Arial"/>
          <w:b/>
          <w:bCs/>
        </w:rPr>
      </w:pPr>
      <w:r w:rsidRPr="0057066C">
        <w:rPr>
          <w:rFonts w:ascii="Arial" w:hAnsi="Arial" w:cs="Arial"/>
          <w:b/>
          <w:bCs/>
        </w:rPr>
        <w:t>OUTDOOR INVESTMENT HOLDINGS (PTY) LTD</w:t>
      </w:r>
      <w:r w:rsidR="00F43C30" w:rsidRPr="0057066C">
        <w:rPr>
          <w:rFonts w:ascii="Arial" w:hAnsi="Arial" w:cs="Arial"/>
          <w:b/>
          <w:bCs/>
        </w:rPr>
        <w:tab/>
      </w:r>
      <w:r w:rsidR="003A238E">
        <w:rPr>
          <w:rFonts w:ascii="Arial" w:hAnsi="Arial" w:cs="Arial"/>
          <w:b/>
          <w:bCs/>
        </w:rPr>
        <w:t xml:space="preserve">       </w:t>
      </w:r>
      <w:r w:rsidR="000A6347" w:rsidRPr="0057066C">
        <w:rPr>
          <w:rFonts w:ascii="Arial" w:hAnsi="Arial" w:cs="Arial"/>
          <w:b/>
          <w:bCs/>
        </w:rPr>
        <w:t>FIRST APPELL</w:t>
      </w:r>
      <w:r w:rsidR="00F43C30" w:rsidRPr="0057066C">
        <w:rPr>
          <w:rFonts w:ascii="Arial" w:hAnsi="Arial" w:cs="Arial"/>
          <w:b/>
          <w:bCs/>
        </w:rPr>
        <w:t>ANT</w:t>
      </w:r>
    </w:p>
    <w:p w14:paraId="055967DB" w14:textId="723B05CB" w:rsidR="00EA529D" w:rsidRPr="0057066C" w:rsidRDefault="0012272E" w:rsidP="00E05157">
      <w:pPr>
        <w:tabs>
          <w:tab w:val="left" w:pos="6663"/>
        </w:tabs>
        <w:spacing w:before="120" w:after="120"/>
        <w:rPr>
          <w:rFonts w:ascii="Arial" w:hAnsi="Arial" w:cs="Arial"/>
          <w:b/>
        </w:rPr>
      </w:pPr>
      <w:r w:rsidRPr="0057066C">
        <w:rPr>
          <w:rFonts w:ascii="Arial" w:hAnsi="Arial" w:cs="Arial"/>
          <w:b/>
          <w:bCs/>
        </w:rPr>
        <w:t>INYATHI SPORTING SUPPLIES (PTY) LTD</w:t>
      </w:r>
      <w:r w:rsidR="006D3C64" w:rsidRPr="0057066C">
        <w:rPr>
          <w:rFonts w:ascii="Arial" w:hAnsi="Arial" w:cs="Arial"/>
          <w:b/>
          <w:bCs/>
        </w:rPr>
        <w:t xml:space="preserve">           </w:t>
      </w:r>
      <w:r w:rsidR="003A238E">
        <w:rPr>
          <w:rFonts w:ascii="Arial" w:hAnsi="Arial" w:cs="Arial"/>
          <w:b/>
          <w:bCs/>
        </w:rPr>
        <w:t xml:space="preserve">                    </w:t>
      </w:r>
      <w:r w:rsidR="00925C1F" w:rsidRPr="0057066C">
        <w:rPr>
          <w:rFonts w:ascii="Arial" w:hAnsi="Arial" w:cs="Arial"/>
          <w:b/>
          <w:bCs/>
        </w:rPr>
        <w:t xml:space="preserve">SECOND </w:t>
      </w:r>
      <w:r w:rsidR="00EA529D" w:rsidRPr="0057066C">
        <w:rPr>
          <w:rFonts w:ascii="Arial" w:hAnsi="Arial" w:cs="Arial"/>
          <w:b/>
          <w:bCs/>
        </w:rPr>
        <w:t>A</w:t>
      </w:r>
      <w:r w:rsidR="00EA529D" w:rsidRPr="0057066C">
        <w:rPr>
          <w:rFonts w:ascii="Arial" w:hAnsi="Arial" w:cs="Arial"/>
          <w:b/>
        </w:rPr>
        <w:t xml:space="preserve">PPELLANT                                                                       </w:t>
      </w:r>
    </w:p>
    <w:p w14:paraId="4D66DF96" w14:textId="7CB491E1" w:rsidR="00EA529D" w:rsidRPr="0057066C" w:rsidRDefault="00EA529D" w:rsidP="00E05157">
      <w:pPr>
        <w:spacing w:before="160" w:after="160"/>
        <w:rPr>
          <w:rFonts w:ascii="Arial" w:hAnsi="Arial" w:cs="Arial"/>
          <w:b/>
          <w:bCs/>
        </w:rPr>
      </w:pPr>
      <w:r w:rsidRPr="0057066C">
        <w:rPr>
          <w:rFonts w:ascii="Arial" w:hAnsi="Arial" w:cs="Arial"/>
        </w:rPr>
        <w:t>and</w:t>
      </w:r>
    </w:p>
    <w:p w14:paraId="451E940A" w14:textId="37A0103D" w:rsidR="00884663" w:rsidRDefault="00925C1F" w:rsidP="00E05157">
      <w:pPr>
        <w:spacing w:before="120" w:after="120"/>
        <w:rPr>
          <w:rFonts w:ascii="Arial" w:hAnsi="Arial" w:cs="Arial"/>
          <w:b/>
          <w:bCs/>
        </w:rPr>
      </w:pPr>
      <w:r w:rsidRPr="0057066C">
        <w:rPr>
          <w:rFonts w:ascii="Arial" w:hAnsi="Arial" w:cs="Arial"/>
          <w:b/>
          <w:bCs/>
        </w:rPr>
        <w:t xml:space="preserve">THE </w:t>
      </w:r>
      <w:r w:rsidR="0012272E" w:rsidRPr="0057066C">
        <w:rPr>
          <w:rFonts w:ascii="Arial" w:hAnsi="Arial" w:cs="Arial"/>
          <w:b/>
          <w:bCs/>
        </w:rPr>
        <w:t>MINISTER OF POLICE</w:t>
      </w:r>
      <w:r w:rsidR="00884663" w:rsidRPr="0057066C">
        <w:rPr>
          <w:rFonts w:ascii="Arial" w:hAnsi="Arial" w:cs="Arial"/>
          <w:b/>
          <w:bCs/>
        </w:rPr>
        <w:tab/>
      </w:r>
      <w:r w:rsidR="00884663" w:rsidRPr="0057066C">
        <w:rPr>
          <w:rFonts w:ascii="Arial" w:hAnsi="Arial" w:cs="Arial"/>
          <w:b/>
          <w:bCs/>
        </w:rPr>
        <w:tab/>
        <w:t xml:space="preserve">             </w:t>
      </w:r>
      <w:r w:rsidR="006D3C64" w:rsidRPr="0057066C">
        <w:rPr>
          <w:rFonts w:ascii="Arial" w:hAnsi="Arial" w:cs="Arial"/>
          <w:b/>
          <w:bCs/>
        </w:rPr>
        <w:t xml:space="preserve">        </w:t>
      </w:r>
      <w:r w:rsidR="003A238E">
        <w:rPr>
          <w:rFonts w:ascii="Arial" w:hAnsi="Arial" w:cs="Arial"/>
          <w:b/>
          <w:bCs/>
        </w:rPr>
        <w:t xml:space="preserve">                  </w:t>
      </w:r>
      <w:r w:rsidR="00884663" w:rsidRPr="0057066C">
        <w:rPr>
          <w:rFonts w:ascii="Arial" w:hAnsi="Arial" w:cs="Arial"/>
          <w:b/>
          <w:bCs/>
        </w:rPr>
        <w:t>FIRST RESPONDENT</w:t>
      </w:r>
    </w:p>
    <w:p w14:paraId="665E33BD" w14:textId="77777777" w:rsidR="0012272E" w:rsidRPr="0057066C" w:rsidRDefault="0012272E" w:rsidP="00E05157">
      <w:pPr>
        <w:rPr>
          <w:rFonts w:ascii="Arial" w:hAnsi="Arial" w:cs="Arial"/>
          <w:b/>
          <w:bCs/>
        </w:rPr>
      </w:pPr>
      <w:r w:rsidRPr="0057066C">
        <w:rPr>
          <w:rFonts w:ascii="Arial" w:hAnsi="Arial" w:cs="Arial"/>
          <w:b/>
          <w:bCs/>
        </w:rPr>
        <w:t xml:space="preserve">THE NATIONAL COMMISSIONER FOR THE </w:t>
      </w:r>
    </w:p>
    <w:p w14:paraId="7E9C67A9" w14:textId="129BC10A" w:rsidR="00EA529D" w:rsidRPr="0057066C" w:rsidRDefault="0012272E" w:rsidP="00E05157">
      <w:pPr>
        <w:rPr>
          <w:rFonts w:ascii="Arial" w:hAnsi="Arial" w:cs="Arial"/>
          <w:b/>
        </w:rPr>
      </w:pPr>
      <w:r w:rsidRPr="0057066C">
        <w:rPr>
          <w:rFonts w:ascii="Arial" w:hAnsi="Arial" w:cs="Arial"/>
          <w:b/>
          <w:bCs/>
        </w:rPr>
        <w:t>SOUTH</w:t>
      </w:r>
      <w:r w:rsidR="006D3C64" w:rsidRPr="0057066C">
        <w:rPr>
          <w:rFonts w:ascii="Arial" w:hAnsi="Arial" w:cs="Arial"/>
          <w:b/>
          <w:bCs/>
        </w:rPr>
        <w:t xml:space="preserve"> AFRICAN POLICE SERVICE</w:t>
      </w:r>
      <w:r w:rsidR="006D3C64" w:rsidRPr="0057066C">
        <w:rPr>
          <w:rFonts w:ascii="Arial" w:hAnsi="Arial" w:cs="Arial"/>
          <w:b/>
          <w:bCs/>
        </w:rPr>
        <w:tab/>
      </w:r>
      <w:r w:rsidR="006D3C64" w:rsidRPr="0057066C">
        <w:rPr>
          <w:rFonts w:ascii="Arial" w:hAnsi="Arial" w:cs="Arial"/>
          <w:b/>
          <w:bCs/>
        </w:rPr>
        <w:tab/>
        <w:t xml:space="preserve">      </w:t>
      </w:r>
      <w:r w:rsidR="003A238E">
        <w:rPr>
          <w:rFonts w:ascii="Arial" w:hAnsi="Arial" w:cs="Arial"/>
          <w:b/>
          <w:bCs/>
        </w:rPr>
        <w:t xml:space="preserve">                 </w:t>
      </w:r>
      <w:r w:rsidR="00884663" w:rsidRPr="0057066C">
        <w:rPr>
          <w:rFonts w:ascii="Arial" w:hAnsi="Arial" w:cs="Arial"/>
          <w:b/>
          <w:bCs/>
        </w:rPr>
        <w:t xml:space="preserve">SECOND </w:t>
      </w:r>
      <w:r w:rsidR="00EA529D" w:rsidRPr="0057066C">
        <w:rPr>
          <w:rFonts w:ascii="Arial" w:hAnsi="Arial" w:cs="Arial"/>
          <w:b/>
          <w:bCs/>
        </w:rPr>
        <w:t>R</w:t>
      </w:r>
      <w:r w:rsidR="00EA529D" w:rsidRPr="0057066C">
        <w:rPr>
          <w:rFonts w:ascii="Arial" w:hAnsi="Arial" w:cs="Arial"/>
          <w:b/>
        </w:rPr>
        <w:t>ESPONDENT</w:t>
      </w:r>
    </w:p>
    <w:p w14:paraId="5141CD5B" w14:textId="77777777" w:rsidR="00EA529D" w:rsidRPr="0057066C" w:rsidRDefault="00EA529D" w:rsidP="00E05157">
      <w:pPr>
        <w:tabs>
          <w:tab w:val="left" w:pos="5954"/>
        </w:tabs>
        <w:contextualSpacing/>
        <w:rPr>
          <w:rFonts w:ascii="Arial" w:hAnsi="Arial" w:cs="Arial"/>
          <w:b/>
        </w:rPr>
      </w:pPr>
    </w:p>
    <w:p w14:paraId="64700BC6" w14:textId="3CFDD373" w:rsidR="00EA529D" w:rsidRPr="0057066C" w:rsidRDefault="00EA529D" w:rsidP="00E05157">
      <w:pPr>
        <w:ind w:left="2160" w:hanging="2160"/>
        <w:rPr>
          <w:rFonts w:ascii="Arial" w:hAnsi="Arial" w:cs="Arial"/>
          <w:bCs/>
        </w:rPr>
      </w:pPr>
      <w:r w:rsidRPr="0057066C">
        <w:rPr>
          <w:rFonts w:ascii="Arial" w:hAnsi="Arial" w:cs="Arial"/>
          <w:b/>
          <w:bCs/>
        </w:rPr>
        <w:t>Neutral citation:</w:t>
      </w:r>
      <w:r w:rsidRPr="0057066C">
        <w:rPr>
          <w:rFonts w:ascii="Arial" w:hAnsi="Arial" w:cs="Arial"/>
          <w:b/>
          <w:bCs/>
        </w:rPr>
        <w:tab/>
      </w:r>
      <w:r w:rsidR="0012272E" w:rsidRPr="0057066C">
        <w:rPr>
          <w:rFonts w:ascii="Arial" w:hAnsi="Arial" w:cs="Arial"/>
          <w:i/>
          <w:iCs/>
        </w:rPr>
        <w:t>Outdoor Investment Holdings (Pty) Ltd</w:t>
      </w:r>
      <w:r w:rsidR="00925C1F" w:rsidRPr="0057066C">
        <w:rPr>
          <w:rFonts w:ascii="Arial" w:hAnsi="Arial" w:cs="Arial"/>
          <w:i/>
          <w:iCs/>
        </w:rPr>
        <w:t xml:space="preserve"> &amp; Another</w:t>
      </w:r>
      <w:r w:rsidRPr="0057066C">
        <w:rPr>
          <w:rFonts w:ascii="Arial" w:hAnsi="Arial" w:cs="Arial"/>
          <w:i/>
          <w:iCs/>
        </w:rPr>
        <w:t xml:space="preserve"> v </w:t>
      </w:r>
      <w:r w:rsidR="00925C1F" w:rsidRPr="0057066C">
        <w:rPr>
          <w:rFonts w:ascii="Arial" w:hAnsi="Arial" w:cs="Arial"/>
          <w:i/>
          <w:iCs/>
        </w:rPr>
        <w:t xml:space="preserve">The </w:t>
      </w:r>
      <w:r w:rsidR="0012272E" w:rsidRPr="0057066C">
        <w:rPr>
          <w:rFonts w:ascii="Arial" w:hAnsi="Arial" w:cs="Arial"/>
          <w:i/>
          <w:iCs/>
        </w:rPr>
        <w:t>Minister of Police</w:t>
      </w:r>
      <w:r w:rsidR="00884663" w:rsidRPr="0057066C">
        <w:rPr>
          <w:rFonts w:ascii="Arial" w:hAnsi="Arial" w:cs="Arial"/>
          <w:i/>
          <w:iCs/>
        </w:rPr>
        <w:t xml:space="preserve"> </w:t>
      </w:r>
      <w:r w:rsidR="00F43C30" w:rsidRPr="0057066C">
        <w:rPr>
          <w:rFonts w:ascii="Arial" w:hAnsi="Arial" w:cs="Arial"/>
          <w:i/>
          <w:iCs/>
        </w:rPr>
        <w:t>&amp;</w:t>
      </w:r>
      <w:r w:rsidR="00884663" w:rsidRPr="0057066C">
        <w:rPr>
          <w:rFonts w:ascii="Arial" w:hAnsi="Arial" w:cs="Arial"/>
          <w:i/>
          <w:iCs/>
        </w:rPr>
        <w:t xml:space="preserve"> </w:t>
      </w:r>
      <w:r w:rsidR="0012272E" w:rsidRPr="0057066C">
        <w:rPr>
          <w:rFonts w:ascii="Arial" w:hAnsi="Arial" w:cs="Arial"/>
          <w:i/>
          <w:iCs/>
        </w:rPr>
        <w:t>Another</w:t>
      </w:r>
      <w:r w:rsidR="00884663" w:rsidRPr="0057066C">
        <w:rPr>
          <w:rFonts w:ascii="Arial" w:hAnsi="Arial" w:cs="Arial"/>
          <w:i/>
          <w:iCs/>
        </w:rPr>
        <w:t xml:space="preserve"> </w:t>
      </w:r>
      <w:r w:rsidRPr="0057066C">
        <w:rPr>
          <w:rFonts w:ascii="Arial" w:hAnsi="Arial" w:cs="Arial"/>
          <w:bCs/>
        </w:rPr>
        <w:t xml:space="preserve">(Case </w:t>
      </w:r>
      <w:r w:rsidR="00C51FEB" w:rsidRPr="0057066C">
        <w:rPr>
          <w:rFonts w:ascii="Arial" w:hAnsi="Arial" w:cs="Arial"/>
          <w:bCs/>
        </w:rPr>
        <w:t>N</w:t>
      </w:r>
      <w:r w:rsidRPr="0057066C">
        <w:rPr>
          <w:rFonts w:ascii="Arial" w:hAnsi="Arial" w:cs="Arial"/>
          <w:bCs/>
        </w:rPr>
        <w:t xml:space="preserve">o </w:t>
      </w:r>
      <w:r w:rsidR="0012272E" w:rsidRPr="0057066C">
        <w:rPr>
          <w:rFonts w:ascii="Arial" w:hAnsi="Arial" w:cs="Arial"/>
          <w:bCs/>
        </w:rPr>
        <w:t>344/2022</w:t>
      </w:r>
      <w:r w:rsidRPr="0057066C">
        <w:rPr>
          <w:rFonts w:ascii="Arial" w:hAnsi="Arial" w:cs="Arial"/>
          <w:bCs/>
        </w:rPr>
        <w:t>) [202</w:t>
      </w:r>
      <w:r w:rsidR="00884663" w:rsidRPr="0057066C">
        <w:rPr>
          <w:rFonts w:ascii="Arial" w:hAnsi="Arial" w:cs="Arial"/>
          <w:bCs/>
        </w:rPr>
        <w:t>3</w:t>
      </w:r>
      <w:r w:rsidRPr="0057066C">
        <w:rPr>
          <w:rFonts w:ascii="Arial" w:hAnsi="Arial" w:cs="Arial"/>
          <w:bCs/>
        </w:rPr>
        <w:t xml:space="preserve">] ZASCA </w:t>
      </w:r>
      <w:r w:rsidR="00874CBA">
        <w:rPr>
          <w:rFonts w:ascii="Arial" w:hAnsi="Arial" w:cs="Arial"/>
          <w:bCs/>
        </w:rPr>
        <w:t>72</w:t>
      </w:r>
      <w:r w:rsidRPr="0057066C">
        <w:rPr>
          <w:rFonts w:ascii="Arial" w:hAnsi="Arial" w:cs="Arial"/>
          <w:bCs/>
        </w:rPr>
        <w:t xml:space="preserve"> (</w:t>
      </w:r>
      <w:r w:rsidR="00A761A7">
        <w:rPr>
          <w:rFonts w:ascii="Arial" w:hAnsi="Arial" w:cs="Arial"/>
          <w:bCs/>
        </w:rPr>
        <w:t xml:space="preserve">24 May </w:t>
      </w:r>
      <w:r w:rsidR="00884663" w:rsidRPr="0057066C">
        <w:rPr>
          <w:rFonts w:ascii="Arial" w:hAnsi="Arial" w:cs="Arial"/>
          <w:bCs/>
        </w:rPr>
        <w:t>2023</w:t>
      </w:r>
      <w:r w:rsidRPr="0057066C">
        <w:rPr>
          <w:rFonts w:ascii="Arial" w:hAnsi="Arial" w:cs="Arial"/>
          <w:bCs/>
        </w:rPr>
        <w:t>)</w:t>
      </w:r>
    </w:p>
    <w:p w14:paraId="3980A477" w14:textId="7C401380" w:rsidR="00EA529D" w:rsidRPr="0057066C" w:rsidRDefault="00EA529D" w:rsidP="00E05157">
      <w:pPr>
        <w:ind w:left="2160" w:hanging="2160"/>
        <w:rPr>
          <w:rFonts w:ascii="Arial" w:hAnsi="Arial" w:cs="Arial"/>
        </w:rPr>
      </w:pPr>
      <w:r w:rsidRPr="0057066C">
        <w:rPr>
          <w:rFonts w:ascii="Arial" w:hAnsi="Arial" w:cs="Arial"/>
          <w:b/>
          <w:bCs/>
        </w:rPr>
        <w:t>Coram:</w:t>
      </w:r>
      <w:r w:rsidRPr="0057066C">
        <w:rPr>
          <w:rFonts w:ascii="Arial" w:hAnsi="Arial" w:cs="Arial"/>
        </w:rPr>
        <w:tab/>
      </w:r>
      <w:r w:rsidR="006D0F36" w:rsidRPr="0057066C">
        <w:rPr>
          <w:rFonts w:ascii="Arial" w:hAnsi="Arial" w:cs="Arial"/>
          <w:bCs/>
        </w:rPr>
        <w:t>SALDULKER and CARELSE JJA and NHLANGULELA, KATHREE-SETILOANE and UNTERHALTER AJJ</w:t>
      </w:r>
      <w:r w:rsidR="00874CBA">
        <w:rPr>
          <w:rFonts w:ascii="Arial" w:hAnsi="Arial" w:cs="Arial"/>
          <w:bCs/>
        </w:rPr>
        <w:t>A</w:t>
      </w:r>
    </w:p>
    <w:p w14:paraId="17323489" w14:textId="3756856C" w:rsidR="00EA529D" w:rsidRPr="0057066C" w:rsidRDefault="00EA529D" w:rsidP="00E05157">
      <w:pPr>
        <w:rPr>
          <w:rFonts w:ascii="Arial" w:hAnsi="Arial" w:cs="Arial"/>
          <w:b/>
          <w:bCs/>
        </w:rPr>
      </w:pPr>
      <w:r w:rsidRPr="0057066C">
        <w:rPr>
          <w:rFonts w:ascii="Arial" w:hAnsi="Arial" w:cs="Arial"/>
          <w:b/>
          <w:bCs/>
        </w:rPr>
        <w:t>Heard</w:t>
      </w:r>
      <w:r w:rsidRPr="0057066C">
        <w:rPr>
          <w:rFonts w:ascii="Arial" w:hAnsi="Arial" w:cs="Arial"/>
        </w:rPr>
        <w:t>:</w:t>
      </w:r>
      <w:r w:rsidRPr="0057066C">
        <w:rPr>
          <w:rFonts w:ascii="Arial" w:hAnsi="Arial" w:cs="Arial"/>
        </w:rPr>
        <w:tab/>
      </w:r>
      <w:r w:rsidR="009627EF" w:rsidRPr="0057066C">
        <w:rPr>
          <w:rFonts w:ascii="Arial" w:hAnsi="Arial" w:cs="Arial"/>
        </w:rPr>
        <w:tab/>
      </w:r>
      <w:r w:rsidR="0012272E" w:rsidRPr="0057066C">
        <w:rPr>
          <w:rFonts w:ascii="Arial" w:hAnsi="Arial" w:cs="Arial"/>
        </w:rPr>
        <w:t>3</w:t>
      </w:r>
      <w:r w:rsidR="00DD044C" w:rsidRPr="0057066C">
        <w:rPr>
          <w:rFonts w:ascii="Arial" w:hAnsi="Arial" w:cs="Arial"/>
        </w:rPr>
        <w:t xml:space="preserve"> March 20</w:t>
      </w:r>
      <w:r w:rsidR="000B536D">
        <w:rPr>
          <w:rFonts w:ascii="Arial" w:hAnsi="Arial" w:cs="Arial"/>
        </w:rPr>
        <w:t>2</w:t>
      </w:r>
      <w:r w:rsidR="00DD044C" w:rsidRPr="0057066C">
        <w:rPr>
          <w:rFonts w:ascii="Arial" w:hAnsi="Arial" w:cs="Arial"/>
        </w:rPr>
        <w:t>3</w:t>
      </w:r>
    </w:p>
    <w:p w14:paraId="7C16344C" w14:textId="2227C0BA" w:rsidR="00EA529D" w:rsidRPr="0057066C" w:rsidRDefault="00EA529D" w:rsidP="00E05157">
      <w:pPr>
        <w:rPr>
          <w:rFonts w:ascii="Arial" w:hAnsi="Arial" w:cs="Arial"/>
          <w:b/>
          <w:bCs/>
        </w:rPr>
      </w:pPr>
      <w:r w:rsidRPr="0057066C">
        <w:rPr>
          <w:rFonts w:ascii="Arial" w:hAnsi="Arial" w:cs="Arial"/>
          <w:b/>
          <w:bCs/>
        </w:rPr>
        <w:t>Delivered</w:t>
      </w:r>
      <w:r w:rsidRPr="0057066C">
        <w:rPr>
          <w:rFonts w:ascii="Arial" w:hAnsi="Arial" w:cs="Arial"/>
        </w:rPr>
        <w:t>:</w:t>
      </w:r>
      <w:r w:rsidRPr="0057066C">
        <w:rPr>
          <w:rFonts w:ascii="Arial" w:hAnsi="Arial" w:cs="Arial"/>
        </w:rPr>
        <w:tab/>
      </w:r>
      <w:r w:rsidR="009627EF" w:rsidRPr="0057066C">
        <w:rPr>
          <w:rFonts w:ascii="Arial" w:hAnsi="Arial" w:cs="Arial"/>
        </w:rPr>
        <w:tab/>
      </w:r>
      <w:r w:rsidR="00874CBA">
        <w:rPr>
          <w:rFonts w:ascii="Arial" w:hAnsi="Arial" w:cs="Arial"/>
        </w:rPr>
        <w:t>24</w:t>
      </w:r>
      <w:r w:rsidR="00E44EC8" w:rsidRPr="0057066C">
        <w:rPr>
          <w:rFonts w:ascii="Arial" w:hAnsi="Arial" w:cs="Arial"/>
        </w:rPr>
        <w:t xml:space="preserve"> </w:t>
      </w:r>
      <w:r w:rsidR="000B536D">
        <w:rPr>
          <w:rFonts w:ascii="Arial" w:hAnsi="Arial" w:cs="Arial"/>
        </w:rPr>
        <w:t>May</w:t>
      </w:r>
      <w:r w:rsidR="00DD044C" w:rsidRPr="0057066C">
        <w:rPr>
          <w:rFonts w:ascii="Arial" w:hAnsi="Arial" w:cs="Arial"/>
        </w:rPr>
        <w:t xml:space="preserve"> </w:t>
      </w:r>
      <w:r w:rsidR="00E44EC8" w:rsidRPr="0057066C">
        <w:rPr>
          <w:rFonts w:ascii="Arial" w:hAnsi="Arial" w:cs="Arial"/>
        </w:rPr>
        <w:t>2023</w:t>
      </w:r>
    </w:p>
    <w:p w14:paraId="51225BA9" w14:textId="37F46F17" w:rsidR="004D1DDB" w:rsidRPr="0057066C" w:rsidRDefault="00750305" w:rsidP="00E05157">
      <w:pPr>
        <w:rPr>
          <w:rFonts w:ascii="Arial" w:hAnsi="Arial" w:cs="Arial"/>
          <w:b/>
          <w:bCs/>
          <w:lang w:val="en-US"/>
        </w:rPr>
      </w:pPr>
      <w:r w:rsidRPr="0057066C">
        <w:rPr>
          <w:rFonts w:ascii="Arial" w:hAnsi="Arial" w:cs="Arial"/>
          <w:b/>
          <w:bCs/>
        </w:rPr>
        <w:t>Summary:</w:t>
      </w:r>
      <w:r w:rsidR="004D1DDB" w:rsidRPr="0057066C">
        <w:rPr>
          <w:rFonts w:ascii="Arial" w:hAnsi="Arial" w:cs="Arial"/>
          <w:lang w:val="en-US"/>
        </w:rPr>
        <w:t xml:space="preserve"> Firearms Control Act 60 of 2000 (the </w:t>
      </w:r>
      <w:r w:rsidR="00001F69">
        <w:rPr>
          <w:rFonts w:ascii="Arial" w:hAnsi="Arial" w:cs="Arial"/>
          <w:lang w:val="en-US"/>
        </w:rPr>
        <w:t>FCA) – whether regulation</w:t>
      </w:r>
      <w:r w:rsidR="000B2017">
        <w:rPr>
          <w:rFonts w:ascii="Arial" w:hAnsi="Arial" w:cs="Arial"/>
          <w:lang w:val="en-US"/>
        </w:rPr>
        <w:t xml:space="preserve"> 67</w:t>
      </w:r>
      <w:r w:rsidR="004D1DDB" w:rsidRPr="0057066C">
        <w:rPr>
          <w:rFonts w:ascii="Arial" w:hAnsi="Arial" w:cs="Arial"/>
          <w:lang w:val="en-US"/>
        </w:rPr>
        <w:t xml:space="preserve"> </w:t>
      </w:r>
      <w:r w:rsidR="00821C43">
        <w:rPr>
          <w:rFonts w:ascii="Arial" w:hAnsi="Arial" w:cs="Arial"/>
          <w:lang w:val="en-US"/>
        </w:rPr>
        <w:t xml:space="preserve">of the Firearm Control Regulations </w:t>
      </w:r>
      <w:r w:rsidR="004D1DDB" w:rsidRPr="0057066C">
        <w:rPr>
          <w:rFonts w:ascii="Arial" w:hAnsi="Arial" w:cs="Arial"/>
          <w:lang w:val="en-US"/>
        </w:rPr>
        <w:t>entitle</w:t>
      </w:r>
      <w:r w:rsidR="00821C43">
        <w:rPr>
          <w:rFonts w:ascii="Arial" w:hAnsi="Arial" w:cs="Arial"/>
          <w:lang w:val="en-US"/>
        </w:rPr>
        <w:t>s</w:t>
      </w:r>
      <w:r w:rsidR="004D1DDB" w:rsidRPr="0057066C">
        <w:rPr>
          <w:rFonts w:ascii="Arial" w:hAnsi="Arial" w:cs="Arial"/>
          <w:lang w:val="en-US"/>
        </w:rPr>
        <w:t xml:space="preserve"> one </w:t>
      </w:r>
      <w:r w:rsidR="000B2017">
        <w:rPr>
          <w:rFonts w:ascii="Arial" w:hAnsi="Arial" w:cs="Arial"/>
          <w:lang w:val="en-US"/>
        </w:rPr>
        <w:t>firearms</w:t>
      </w:r>
      <w:r w:rsidR="000B536D">
        <w:rPr>
          <w:rFonts w:ascii="Arial" w:hAnsi="Arial" w:cs="Arial"/>
          <w:lang w:val="en-US"/>
        </w:rPr>
        <w:t>’</w:t>
      </w:r>
      <w:r w:rsidR="000B2017">
        <w:rPr>
          <w:rFonts w:ascii="Arial" w:hAnsi="Arial" w:cs="Arial"/>
          <w:lang w:val="en-US"/>
        </w:rPr>
        <w:t xml:space="preserve"> </w:t>
      </w:r>
      <w:r w:rsidR="004D1DDB" w:rsidRPr="0057066C">
        <w:rPr>
          <w:rFonts w:ascii="Arial" w:hAnsi="Arial" w:cs="Arial"/>
          <w:lang w:val="en-US"/>
        </w:rPr>
        <w:t xml:space="preserve">dealer to store firearms </w:t>
      </w:r>
      <w:r w:rsidR="000B2017">
        <w:rPr>
          <w:rFonts w:ascii="Arial" w:hAnsi="Arial" w:cs="Arial"/>
          <w:lang w:val="en-US"/>
        </w:rPr>
        <w:t>at its licensed premises on behalf of another firearms</w:t>
      </w:r>
      <w:r w:rsidR="000B536D">
        <w:rPr>
          <w:rFonts w:ascii="Arial" w:hAnsi="Arial" w:cs="Arial"/>
          <w:lang w:val="en-US"/>
        </w:rPr>
        <w:t>’</w:t>
      </w:r>
      <w:r w:rsidR="000B2017">
        <w:rPr>
          <w:rFonts w:ascii="Arial" w:hAnsi="Arial" w:cs="Arial"/>
          <w:lang w:val="en-US"/>
        </w:rPr>
        <w:t xml:space="preserve"> dealer </w:t>
      </w:r>
      <w:r w:rsidR="004D1DDB" w:rsidRPr="0057066C">
        <w:rPr>
          <w:rFonts w:ascii="Arial" w:hAnsi="Arial" w:cs="Arial"/>
          <w:lang w:val="en-US"/>
        </w:rPr>
        <w:t xml:space="preserve">– </w:t>
      </w:r>
      <w:r w:rsidR="000B2017">
        <w:rPr>
          <w:rFonts w:ascii="Arial" w:hAnsi="Arial" w:cs="Arial"/>
          <w:lang w:val="en-US"/>
        </w:rPr>
        <w:t>properly construed neither regulation 67 nor the FCA permits one dealer to provide storage for firearms to another dealer.</w:t>
      </w:r>
    </w:p>
    <w:p w14:paraId="792BDA94" w14:textId="6A252DE0" w:rsidR="00750305" w:rsidRPr="0057066C" w:rsidRDefault="00750305" w:rsidP="00E05157">
      <w:pPr>
        <w:pStyle w:val="Heading3"/>
        <w:spacing w:after="240"/>
        <w:rPr>
          <w:b/>
          <w:i w:val="0"/>
          <w:szCs w:val="28"/>
        </w:rPr>
      </w:pPr>
      <w:r w:rsidRPr="0057066C">
        <w:rPr>
          <w:b/>
          <w:i w:val="0"/>
          <w:szCs w:val="28"/>
        </w:rPr>
        <w:lastRenderedPageBreak/>
        <w:t>__________________________________</w:t>
      </w:r>
      <w:r w:rsidR="0057066C">
        <w:rPr>
          <w:b/>
          <w:i w:val="0"/>
          <w:szCs w:val="28"/>
        </w:rPr>
        <w:t>__________________________</w:t>
      </w:r>
    </w:p>
    <w:p w14:paraId="226D5122" w14:textId="77777777" w:rsidR="00750305" w:rsidRPr="0057066C" w:rsidRDefault="00750305" w:rsidP="00E05157">
      <w:pPr>
        <w:pStyle w:val="Heading3"/>
        <w:jc w:val="center"/>
        <w:rPr>
          <w:b/>
          <w:bCs/>
          <w:i w:val="0"/>
          <w:sz w:val="24"/>
        </w:rPr>
      </w:pPr>
      <w:r w:rsidRPr="0057066C">
        <w:rPr>
          <w:b/>
          <w:i w:val="0"/>
          <w:sz w:val="24"/>
        </w:rPr>
        <w:t>ORDER</w:t>
      </w:r>
    </w:p>
    <w:p w14:paraId="56CE5872" w14:textId="3C84F4E9" w:rsidR="00750305" w:rsidRPr="0057066C" w:rsidRDefault="00750305" w:rsidP="00E05157">
      <w:pPr>
        <w:rPr>
          <w:rFonts w:ascii="Arial" w:hAnsi="Arial" w:cs="Arial"/>
          <w:b/>
          <w:bCs/>
          <w:sz w:val="28"/>
          <w:szCs w:val="28"/>
        </w:rPr>
      </w:pPr>
      <w:r w:rsidRPr="0057066C">
        <w:rPr>
          <w:rFonts w:ascii="Arial" w:hAnsi="Arial" w:cs="Arial"/>
          <w:b/>
          <w:bCs/>
          <w:sz w:val="28"/>
          <w:szCs w:val="28"/>
        </w:rPr>
        <w:t>__________________________________</w:t>
      </w:r>
      <w:r w:rsidR="0057066C">
        <w:rPr>
          <w:rFonts w:ascii="Arial" w:hAnsi="Arial" w:cs="Arial"/>
          <w:b/>
          <w:bCs/>
          <w:sz w:val="28"/>
          <w:szCs w:val="28"/>
        </w:rPr>
        <w:t>__________________________</w:t>
      </w:r>
    </w:p>
    <w:p w14:paraId="3D40A90F" w14:textId="7C495E0B" w:rsidR="006915F6" w:rsidRPr="0057066C" w:rsidRDefault="00750305" w:rsidP="00E05157">
      <w:pPr>
        <w:rPr>
          <w:rFonts w:ascii="Arial" w:hAnsi="Arial" w:cs="Arial"/>
          <w:bCs/>
        </w:rPr>
      </w:pPr>
      <w:r w:rsidRPr="0057066C">
        <w:rPr>
          <w:rFonts w:ascii="Arial" w:hAnsi="Arial" w:cs="Arial"/>
          <w:b/>
          <w:bCs/>
        </w:rPr>
        <w:t>On appeal from:</w:t>
      </w:r>
      <w:r w:rsidRPr="0057066C">
        <w:rPr>
          <w:rFonts w:ascii="Arial" w:hAnsi="Arial" w:cs="Arial"/>
        </w:rPr>
        <w:t xml:space="preserve"> </w:t>
      </w:r>
      <w:r w:rsidR="0012272E" w:rsidRPr="0057066C">
        <w:rPr>
          <w:rFonts w:ascii="Arial" w:hAnsi="Arial" w:cs="Arial"/>
        </w:rPr>
        <w:t>Gauteng</w:t>
      </w:r>
      <w:r w:rsidRPr="0057066C">
        <w:rPr>
          <w:rFonts w:ascii="Arial" w:hAnsi="Arial" w:cs="Arial"/>
          <w:bCs/>
        </w:rPr>
        <w:t xml:space="preserve"> Divisio</w:t>
      </w:r>
      <w:r w:rsidR="00EF26CD" w:rsidRPr="0057066C">
        <w:rPr>
          <w:rFonts w:ascii="Arial" w:hAnsi="Arial" w:cs="Arial"/>
          <w:bCs/>
        </w:rPr>
        <w:t>n of the High Court,</w:t>
      </w:r>
      <w:r w:rsidR="00697039" w:rsidRPr="0057066C">
        <w:rPr>
          <w:rFonts w:ascii="Arial" w:hAnsi="Arial" w:cs="Arial"/>
          <w:bCs/>
        </w:rPr>
        <w:t xml:space="preserve"> </w:t>
      </w:r>
      <w:r w:rsidR="0012272E" w:rsidRPr="0057066C">
        <w:rPr>
          <w:rFonts w:ascii="Arial" w:hAnsi="Arial" w:cs="Arial"/>
          <w:bCs/>
        </w:rPr>
        <w:t>Pretoria</w:t>
      </w:r>
      <w:r w:rsidR="00697039" w:rsidRPr="0057066C">
        <w:rPr>
          <w:rFonts w:ascii="Arial" w:hAnsi="Arial" w:cs="Arial"/>
          <w:bCs/>
        </w:rPr>
        <w:t xml:space="preserve"> </w:t>
      </w:r>
      <w:r w:rsidR="00EF26CD" w:rsidRPr="0057066C">
        <w:rPr>
          <w:rFonts w:ascii="Arial" w:hAnsi="Arial" w:cs="Arial"/>
          <w:bCs/>
        </w:rPr>
        <w:t>(</w:t>
      </w:r>
      <w:r w:rsidR="0012272E" w:rsidRPr="0057066C">
        <w:rPr>
          <w:rFonts w:ascii="Arial" w:hAnsi="Arial" w:cs="Arial"/>
          <w:bCs/>
        </w:rPr>
        <w:t>Noncembu A</w:t>
      </w:r>
      <w:r w:rsidR="005865FC" w:rsidRPr="0057066C">
        <w:rPr>
          <w:rFonts w:ascii="Arial" w:hAnsi="Arial" w:cs="Arial"/>
          <w:bCs/>
        </w:rPr>
        <w:t>J</w:t>
      </w:r>
      <w:r w:rsidRPr="0057066C">
        <w:rPr>
          <w:rFonts w:ascii="Arial" w:hAnsi="Arial" w:cs="Arial"/>
          <w:bCs/>
        </w:rPr>
        <w:t>, sitting as court of first instance</w:t>
      </w:r>
      <w:r w:rsidR="00EF26CD" w:rsidRPr="0057066C">
        <w:rPr>
          <w:rFonts w:ascii="Arial" w:hAnsi="Arial" w:cs="Arial"/>
          <w:bCs/>
        </w:rPr>
        <w:t>)</w:t>
      </w:r>
      <w:r w:rsidRPr="0057066C">
        <w:rPr>
          <w:rFonts w:ascii="Arial" w:hAnsi="Arial" w:cs="Arial"/>
          <w:bCs/>
        </w:rPr>
        <w:t xml:space="preserve">: </w:t>
      </w:r>
    </w:p>
    <w:p w14:paraId="1A7F65F0" w14:textId="6D53A728" w:rsidR="006915F6" w:rsidRDefault="006915F6" w:rsidP="00E05157">
      <w:pPr>
        <w:rPr>
          <w:rFonts w:ascii="Arial" w:hAnsi="Arial" w:cs="Arial"/>
          <w:lang w:val="en-US"/>
        </w:rPr>
      </w:pPr>
      <w:r>
        <w:rPr>
          <w:rFonts w:ascii="Arial" w:hAnsi="Arial" w:cs="Arial"/>
          <w:lang w:val="en-US"/>
        </w:rPr>
        <w:t>T</w:t>
      </w:r>
      <w:r w:rsidRPr="0057066C">
        <w:rPr>
          <w:rFonts w:ascii="Arial" w:hAnsi="Arial" w:cs="Arial"/>
          <w:lang w:val="en-US"/>
        </w:rPr>
        <w:t>he appeal is dismissed with costs including those of two counsel.</w:t>
      </w:r>
    </w:p>
    <w:p w14:paraId="55ABCBF1" w14:textId="77777777" w:rsidR="00FF4AFF" w:rsidRPr="0057066C" w:rsidRDefault="00FF4AFF" w:rsidP="00E05157">
      <w:pPr>
        <w:rPr>
          <w:rFonts w:ascii="Arial" w:hAnsi="Arial" w:cs="Arial"/>
          <w:lang w:val="en-US"/>
        </w:rPr>
      </w:pPr>
    </w:p>
    <w:p w14:paraId="51436EB4" w14:textId="53CBDCD5" w:rsidR="00750305" w:rsidRPr="0057066C" w:rsidRDefault="00750305" w:rsidP="00E05157">
      <w:pPr>
        <w:pStyle w:val="ListParagraph"/>
        <w:spacing w:after="240"/>
        <w:ind w:left="0"/>
        <w:rPr>
          <w:rFonts w:ascii="Arial" w:hAnsi="Arial" w:cs="Arial"/>
          <w:b/>
          <w:bCs/>
          <w:sz w:val="28"/>
          <w:szCs w:val="28"/>
        </w:rPr>
      </w:pPr>
      <w:r w:rsidRPr="0057066C">
        <w:rPr>
          <w:rFonts w:ascii="Arial" w:hAnsi="Arial" w:cs="Arial"/>
          <w:b/>
          <w:bCs/>
          <w:sz w:val="28"/>
          <w:szCs w:val="28"/>
        </w:rPr>
        <w:t>__________________________________</w:t>
      </w:r>
      <w:r w:rsidR="0057066C">
        <w:rPr>
          <w:rFonts w:ascii="Arial" w:hAnsi="Arial" w:cs="Arial"/>
          <w:b/>
          <w:bCs/>
          <w:sz w:val="28"/>
          <w:szCs w:val="28"/>
        </w:rPr>
        <w:t>__________________________</w:t>
      </w:r>
    </w:p>
    <w:p w14:paraId="22FADE96" w14:textId="77777777" w:rsidR="00750305" w:rsidRPr="0057066C" w:rsidRDefault="00750305" w:rsidP="00E05157">
      <w:pPr>
        <w:pStyle w:val="Heading1"/>
        <w:jc w:val="center"/>
        <w:rPr>
          <w:sz w:val="24"/>
        </w:rPr>
      </w:pPr>
      <w:r w:rsidRPr="0057066C">
        <w:rPr>
          <w:sz w:val="24"/>
        </w:rPr>
        <w:t>JUDGMENT</w:t>
      </w:r>
    </w:p>
    <w:p w14:paraId="0D39E940" w14:textId="0BC6A25D" w:rsidR="00750305" w:rsidRPr="0057066C" w:rsidRDefault="00750305" w:rsidP="00E05157">
      <w:pPr>
        <w:rPr>
          <w:rFonts w:ascii="Arial" w:hAnsi="Arial" w:cs="Arial"/>
          <w:b/>
          <w:bCs/>
          <w:sz w:val="28"/>
          <w:szCs w:val="28"/>
        </w:rPr>
      </w:pPr>
      <w:r w:rsidRPr="0057066C">
        <w:rPr>
          <w:rFonts w:ascii="Arial" w:hAnsi="Arial" w:cs="Arial"/>
          <w:b/>
          <w:bCs/>
          <w:sz w:val="28"/>
          <w:szCs w:val="28"/>
        </w:rPr>
        <w:t>__________________________________</w:t>
      </w:r>
      <w:r w:rsidR="0057066C">
        <w:rPr>
          <w:rFonts w:ascii="Arial" w:hAnsi="Arial" w:cs="Arial"/>
          <w:b/>
          <w:bCs/>
          <w:sz w:val="28"/>
          <w:szCs w:val="28"/>
        </w:rPr>
        <w:t>__________________________</w:t>
      </w:r>
    </w:p>
    <w:p w14:paraId="4B1BBC11" w14:textId="4D671CEC" w:rsidR="0057066C" w:rsidRPr="003A238E" w:rsidRDefault="0057066C" w:rsidP="00E05157">
      <w:pPr>
        <w:rPr>
          <w:rFonts w:ascii="Arial" w:hAnsi="Arial" w:cs="Arial"/>
          <w:b/>
          <w:lang w:val="en-US"/>
        </w:rPr>
      </w:pPr>
      <w:r w:rsidRPr="003A238E">
        <w:rPr>
          <w:rFonts w:ascii="Arial" w:hAnsi="Arial" w:cs="Arial"/>
          <w:b/>
          <w:lang w:val="en-US"/>
        </w:rPr>
        <w:t>Kathree-Setiloane AJA (Saldulker</w:t>
      </w:r>
      <w:r w:rsidR="003A238E" w:rsidRPr="003A238E">
        <w:rPr>
          <w:rFonts w:ascii="Arial" w:hAnsi="Arial" w:cs="Arial"/>
          <w:b/>
          <w:lang w:val="en-US"/>
        </w:rPr>
        <w:t xml:space="preserve"> and</w:t>
      </w:r>
      <w:r w:rsidRPr="003A238E">
        <w:rPr>
          <w:rFonts w:ascii="Arial" w:hAnsi="Arial" w:cs="Arial"/>
          <w:b/>
          <w:lang w:val="en-US"/>
        </w:rPr>
        <w:t xml:space="preserve"> Carelse JJA and </w:t>
      </w:r>
      <w:r w:rsidR="000B2017">
        <w:rPr>
          <w:rFonts w:ascii="Arial" w:hAnsi="Arial" w:cs="Arial"/>
          <w:b/>
          <w:lang w:val="en-US"/>
        </w:rPr>
        <w:t xml:space="preserve">Nhlangulela and </w:t>
      </w:r>
      <w:r w:rsidRPr="003A238E">
        <w:rPr>
          <w:rFonts w:ascii="Arial" w:hAnsi="Arial" w:cs="Arial"/>
          <w:b/>
          <w:lang w:val="en-US"/>
        </w:rPr>
        <w:t>Unterhalter A</w:t>
      </w:r>
      <w:r w:rsidR="00E564FF">
        <w:rPr>
          <w:rFonts w:ascii="Arial" w:hAnsi="Arial" w:cs="Arial"/>
          <w:b/>
          <w:lang w:val="en-US"/>
        </w:rPr>
        <w:t>J</w:t>
      </w:r>
      <w:r w:rsidRPr="003A238E">
        <w:rPr>
          <w:rFonts w:ascii="Arial" w:hAnsi="Arial" w:cs="Arial"/>
          <w:b/>
          <w:lang w:val="en-US"/>
        </w:rPr>
        <w:t>JA)</w:t>
      </w:r>
      <w:r w:rsidR="003A238E">
        <w:rPr>
          <w:rFonts w:ascii="Arial" w:hAnsi="Arial" w:cs="Arial"/>
          <w:b/>
          <w:lang w:val="en-US"/>
        </w:rPr>
        <w:t xml:space="preserve"> concurring:</w:t>
      </w:r>
    </w:p>
    <w:p w14:paraId="020AB325" w14:textId="25922F9B" w:rsidR="0057066C" w:rsidRPr="0057066C" w:rsidRDefault="0057066C" w:rsidP="00E05157">
      <w:pPr>
        <w:rPr>
          <w:rFonts w:ascii="Arial" w:hAnsi="Arial" w:cs="Arial"/>
          <w:lang w:val="en-US"/>
        </w:rPr>
      </w:pPr>
      <w:r w:rsidRPr="0057066C">
        <w:rPr>
          <w:rFonts w:ascii="Arial" w:hAnsi="Arial" w:cs="Arial"/>
          <w:lang w:val="en-US"/>
        </w:rPr>
        <w:t>[1]</w:t>
      </w:r>
      <w:r w:rsidRPr="0057066C">
        <w:rPr>
          <w:rFonts w:ascii="Arial" w:hAnsi="Arial" w:cs="Arial"/>
          <w:lang w:val="en-US"/>
        </w:rPr>
        <w:tab/>
      </w:r>
      <w:r w:rsidR="00121D83">
        <w:rPr>
          <w:rFonts w:ascii="Arial" w:hAnsi="Arial" w:cs="Arial"/>
          <w:lang w:val="en-US"/>
        </w:rPr>
        <w:t>This appeal concerns the question of whether one firearms</w:t>
      </w:r>
      <w:r w:rsidR="007B412E">
        <w:rPr>
          <w:rFonts w:ascii="Arial" w:hAnsi="Arial" w:cs="Arial"/>
          <w:lang w:val="en-US"/>
        </w:rPr>
        <w:t>’</w:t>
      </w:r>
      <w:r w:rsidR="00121D83">
        <w:rPr>
          <w:rFonts w:ascii="Arial" w:hAnsi="Arial" w:cs="Arial"/>
          <w:lang w:val="en-US"/>
        </w:rPr>
        <w:t xml:space="preserve"> dealer licensed to trade in firearms and ammunition under </w:t>
      </w:r>
      <w:r w:rsidR="00121D83" w:rsidRPr="00121D83">
        <w:rPr>
          <w:rFonts w:ascii="Arial" w:hAnsi="Arial" w:cs="Arial"/>
          <w:lang w:val="en-US"/>
        </w:rPr>
        <w:t xml:space="preserve">the </w:t>
      </w:r>
      <w:r w:rsidRPr="00121D83">
        <w:rPr>
          <w:rFonts w:ascii="Arial" w:hAnsi="Arial" w:cs="Arial"/>
          <w:lang w:val="en-US"/>
        </w:rPr>
        <w:t>Firearms Control Act (FCA)</w:t>
      </w:r>
      <w:r w:rsidRPr="00121D83">
        <w:rPr>
          <w:rStyle w:val="FootnoteReference"/>
          <w:rFonts w:ascii="Arial" w:hAnsi="Arial" w:cs="Arial"/>
          <w:lang w:val="en-US"/>
        </w:rPr>
        <w:footnoteReference w:id="1"/>
      </w:r>
      <w:r w:rsidR="00121D83" w:rsidRPr="00121D83">
        <w:rPr>
          <w:rFonts w:ascii="Arial" w:hAnsi="Arial" w:cs="Arial"/>
          <w:lang w:val="en-US"/>
        </w:rPr>
        <w:t xml:space="preserve"> read with</w:t>
      </w:r>
      <w:r w:rsidRPr="00121D83">
        <w:rPr>
          <w:rFonts w:ascii="Arial" w:hAnsi="Arial" w:cs="Arial"/>
          <w:lang w:val="en-US"/>
        </w:rPr>
        <w:t xml:space="preserve"> the Firearm Control Regulations (the </w:t>
      </w:r>
      <w:r w:rsidR="0048501A">
        <w:rPr>
          <w:rFonts w:ascii="Arial" w:hAnsi="Arial" w:cs="Arial"/>
          <w:lang w:val="en-US"/>
        </w:rPr>
        <w:t>r</w:t>
      </w:r>
      <w:r w:rsidRPr="00121D83">
        <w:rPr>
          <w:rFonts w:ascii="Arial" w:hAnsi="Arial" w:cs="Arial"/>
          <w:lang w:val="en-US"/>
        </w:rPr>
        <w:t>egulations)</w:t>
      </w:r>
      <w:r w:rsidRPr="00121D83">
        <w:rPr>
          <w:rStyle w:val="FootnoteReference"/>
          <w:rFonts w:ascii="Arial" w:hAnsi="Arial" w:cs="Arial"/>
          <w:lang w:val="en-US"/>
        </w:rPr>
        <w:footnoteReference w:id="2"/>
      </w:r>
      <w:r w:rsidRPr="00121D83">
        <w:rPr>
          <w:rFonts w:ascii="Arial" w:hAnsi="Arial" w:cs="Arial"/>
          <w:lang w:val="en-US"/>
        </w:rPr>
        <w:t xml:space="preserve"> </w:t>
      </w:r>
      <w:r w:rsidR="00121D83">
        <w:rPr>
          <w:rFonts w:ascii="Arial" w:hAnsi="Arial" w:cs="Arial"/>
          <w:lang w:val="en-US"/>
        </w:rPr>
        <w:t>may store firearms on behalf of another licensed firearms</w:t>
      </w:r>
      <w:r w:rsidR="007D5F31">
        <w:rPr>
          <w:rFonts w:ascii="Arial" w:hAnsi="Arial" w:cs="Arial"/>
          <w:lang w:val="en-US"/>
        </w:rPr>
        <w:t>’</w:t>
      </w:r>
      <w:r w:rsidR="00121D83">
        <w:rPr>
          <w:rFonts w:ascii="Arial" w:hAnsi="Arial" w:cs="Arial"/>
          <w:lang w:val="en-US"/>
        </w:rPr>
        <w:t xml:space="preserve"> dealer.</w:t>
      </w:r>
    </w:p>
    <w:p w14:paraId="6F874A2F" w14:textId="77777777" w:rsidR="0057066C" w:rsidRPr="0057066C" w:rsidRDefault="0057066C" w:rsidP="00E05157">
      <w:pPr>
        <w:rPr>
          <w:rFonts w:ascii="Arial" w:hAnsi="Arial" w:cs="Arial"/>
          <w:lang w:val="en-US"/>
        </w:rPr>
      </w:pPr>
    </w:p>
    <w:p w14:paraId="3435F2AD" w14:textId="77777777" w:rsidR="0057066C" w:rsidRPr="0057066C" w:rsidRDefault="0057066C" w:rsidP="00E05157">
      <w:pPr>
        <w:rPr>
          <w:rFonts w:ascii="Arial" w:hAnsi="Arial" w:cs="Arial"/>
          <w:b/>
          <w:bCs/>
          <w:lang w:val="en-US"/>
        </w:rPr>
      </w:pPr>
      <w:r w:rsidRPr="0057066C">
        <w:rPr>
          <w:rFonts w:ascii="Arial" w:hAnsi="Arial" w:cs="Arial"/>
          <w:b/>
          <w:bCs/>
          <w:lang w:val="en-US"/>
        </w:rPr>
        <w:t>Background</w:t>
      </w:r>
    </w:p>
    <w:p w14:paraId="14AB9C29" w14:textId="77777777" w:rsidR="0057066C" w:rsidRPr="0057066C" w:rsidRDefault="0057066C" w:rsidP="00E05157">
      <w:pPr>
        <w:rPr>
          <w:rFonts w:ascii="Arial" w:hAnsi="Arial" w:cs="Arial"/>
          <w:lang w:val="en-US"/>
        </w:rPr>
      </w:pPr>
      <w:r w:rsidRPr="0057066C">
        <w:rPr>
          <w:rFonts w:ascii="Arial" w:hAnsi="Arial" w:cs="Arial"/>
          <w:lang w:val="en-US"/>
        </w:rPr>
        <w:t>[2]</w:t>
      </w:r>
      <w:r w:rsidRPr="0057066C">
        <w:rPr>
          <w:rFonts w:ascii="Arial" w:hAnsi="Arial" w:cs="Arial"/>
          <w:lang w:val="en-US"/>
        </w:rPr>
        <w:tab/>
        <w:t>The first appellant is Outdoor Investment Holdings (Pty) Ltd t/a Safari Outdoor (Safari Outdoor), and the second appellant is Inyathi Sporting Supplies (Pty) Ltd (Inyathi).</w:t>
      </w:r>
      <w:r w:rsidRPr="0057066C">
        <w:rPr>
          <w:rStyle w:val="FootnoteReference"/>
          <w:rFonts w:ascii="Arial" w:hAnsi="Arial" w:cs="Arial"/>
          <w:lang w:val="en-US"/>
        </w:rPr>
        <w:footnoteReference w:id="3"/>
      </w:r>
      <w:r w:rsidRPr="0057066C">
        <w:rPr>
          <w:rFonts w:ascii="Arial" w:hAnsi="Arial" w:cs="Arial"/>
          <w:lang w:val="en-US"/>
        </w:rPr>
        <w:t xml:space="preserve"> Each of them has been issued with dealer’s licences in terms of the FCA to trade in firearms and ammunition.</w:t>
      </w:r>
      <w:r w:rsidRPr="0057066C">
        <w:rPr>
          <w:rStyle w:val="FootnoteReference"/>
          <w:rFonts w:ascii="Arial" w:hAnsi="Arial" w:cs="Arial"/>
          <w:lang w:val="en-US"/>
        </w:rPr>
        <w:footnoteReference w:id="4"/>
      </w:r>
      <w:r w:rsidRPr="0057066C">
        <w:rPr>
          <w:rFonts w:ascii="Arial" w:hAnsi="Arial" w:cs="Arial"/>
          <w:lang w:val="en-US"/>
        </w:rPr>
        <w:t xml:space="preserve"> Safari Outdoor conducts the business of a retailer in firearms and ammunition. It has five branches situated in Johannesburg (Rivonia), Pretoria (Lynnwood), Stellenbosch (Koelenhof), the East Rand (Boksburg) and the West Rand (Krugersdorp). </w:t>
      </w:r>
    </w:p>
    <w:p w14:paraId="1692850C" w14:textId="77777777" w:rsidR="0057066C" w:rsidRPr="0057066C" w:rsidRDefault="0057066C" w:rsidP="00E05157">
      <w:pPr>
        <w:rPr>
          <w:rFonts w:ascii="Arial" w:hAnsi="Arial" w:cs="Arial"/>
          <w:lang w:val="en-US"/>
        </w:rPr>
      </w:pPr>
    </w:p>
    <w:p w14:paraId="0E06E106" w14:textId="77777777" w:rsidR="0057066C" w:rsidRPr="0057066C" w:rsidRDefault="0057066C" w:rsidP="00E05157">
      <w:pPr>
        <w:rPr>
          <w:rFonts w:ascii="Arial" w:hAnsi="Arial" w:cs="Arial"/>
          <w:lang w:val="en-US"/>
        </w:rPr>
      </w:pPr>
      <w:r w:rsidRPr="0057066C">
        <w:rPr>
          <w:rFonts w:ascii="Arial" w:hAnsi="Arial" w:cs="Arial"/>
          <w:lang w:val="en-US"/>
        </w:rPr>
        <w:lastRenderedPageBreak/>
        <w:t>[3]</w:t>
      </w:r>
      <w:r w:rsidRPr="0057066C">
        <w:rPr>
          <w:rFonts w:ascii="Arial" w:hAnsi="Arial" w:cs="Arial"/>
          <w:lang w:val="en-US"/>
        </w:rPr>
        <w:tab/>
        <w:t xml:space="preserve">Inyathi is a wholesaler in firearms and ammunition. A significant portion of the business of Inyathi is to provide storage facilities for firearms it sells to other retailers who are unable to take immediate delivery. </w:t>
      </w:r>
    </w:p>
    <w:p w14:paraId="38F3577B" w14:textId="77777777" w:rsidR="0057066C" w:rsidRPr="0057066C" w:rsidRDefault="0057066C" w:rsidP="00E05157">
      <w:pPr>
        <w:rPr>
          <w:rFonts w:ascii="Arial" w:hAnsi="Arial" w:cs="Arial"/>
          <w:lang w:val="en-US"/>
        </w:rPr>
      </w:pPr>
    </w:p>
    <w:p w14:paraId="6A6FDB47" w14:textId="62A1162D" w:rsidR="0057066C" w:rsidRPr="0057066C" w:rsidRDefault="0057066C" w:rsidP="00E05157">
      <w:pPr>
        <w:rPr>
          <w:rFonts w:ascii="Arial" w:hAnsi="Arial" w:cs="Arial"/>
          <w:lang w:val="en-US"/>
        </w:rPr>
      </w:pPr>
      <w:r w:rsidRPr="0057066C">
        <w:rPr>
          <w:rFonts w:ascii="Arial" w:hAnsi="Arial" w:cs="Arial"/>
          <w:lang w:val="en-US"/>
        </w:rPr>
        <w:t>[4]</w:t>
      </w:r>
      <w:r w:rsidRPr="0057066C">
        <w:rPr>
          <w:rFonts w:ascii="Arial" w:hAnsi="Arial" w:cs="Arial"/>
          <w:lang w:val="en-US"/>
        </w:rPr>
        <w:tab/>
        <w:t>When Safari Outdoor sells a firearm to a purchaser, the purchaser is required to apply for a licence to possess the firearm in terms of the FCA.</w:t>
      </w:r>
      <w:r w:rsidRPr="0057066C">
        <w:rPr>
          <w:rStyle w:val="FootnoteReference"/>
          <w:rFonts w:ascii="Arial" w:hAnsi="Arial" w:cs="Arial"/>
          <w:lang w:val="en-US"/>
        </w:rPr>
        <w:footnoteReference w:id="5"/>
      </w:r>
      <w:r w:rsidRPr="0057066C">
        <w:rPr>
          <w:rFonts w:ascii="Arial" w:hAnsi="Arial" w:cs="Arial"/>
          <w:lang w:val="en-US"/>
        </w:rPr>
        <w:t xml:space="preserve"> The purchaser cannot take delivery of the firearm until he or she has been issued with a licence to possess the firearm. Safari Outdoor is, therefore, required to store the firearm until this happens. In terms of the sale agreement which Safari Outdoor and the purchaser typically enter into, if the </w:t>
      </w:r>
      <w:r w:rsidR="007D5F31">
        <w:rPr>
          <w:rFonts w:ascii="Arial" w:hAnsi="Arial" w:cs="Arial"/>
          <w:lang w:val="en-US"/>
        </w:rPr>
        <w:t>purchaser</w:t>
      </w:r>
      <w:r w:rsidRPr="0057066C">
        <w:rPr>
          <w:rFonts w:ascii="Arial" w:hAnsi="Arial" w:cs="Arial"/>
          <w:lang w:val="en-US"/>
        </w:rPr>
        <w:t xml:space="preserve"> does not apply for a licence to possess the firearm as required under the FCA, he or she will be liable to pay a standard storage fee per month until the application is made. However, once the purchaser has applied for a licence to possess the firearm, Safari Outdoor will store the firearm free of char</w:t>
      </w:r>
      <w:r w:rsidR="005513CC">
        <w:rPr>
          <w:rFonts w:ascii="Arial" w:hAnsi="Arial" w:cs="Arial"/>
          <w:lang w:val="en-US"/>
        </w:rPr>
        <w:t xml:space="preserve">ge for a period of 12 months. </w:t>
      </w:r>
    </w:p>
    <w:p w14:paraId="603C2B93" w14:textId="77777777" w:rsidR="0057066C" w:rsidRPr="0057066C" w:rsidRDefault="0057066C" w:rsidP="00E05157">
      <w:pPr>
        <w:rPr>
          <w:rFonts w:ascii="Arial" w:hAnsi="Arial" w:cs="Arial"/>
          <w:lang w:val="en-US"/>
        </w:rPr>
      </w:pPr>
    </w:p>
    <w:p w14:paraId="7F609F1C" w14:textId="77A00397" w:rsidR="0057066C" w:rsidRPr="0057066C" w:rsidRDefault="0057066C" w:rsidP="00E05157">
      <w:pPr>
        <w:rPr>
          <w:rFonts w:ascii="Arial" w:hAnsi="Arial" w:cs="Arial"/>
          <w:lang w:val="en-US"/>
        </w:rPr>
      </w:pPr>
      <w:r w:rsidRPr="0057066C">
        <w:rPr>
          <w:rFonts w:ascii="Arial" w:hAnsi="Arial" w:cs="Arial"/>
          <w:lang w:val="en-US"/>
        </w:rPr>
        <w:t>[5]</w:t>
      </w:r>
      <w:r w:rsidRPr="0057066C">
        <w:rPr>
          <w:rFonts w:ascii="Arial" w:hAnsi="Arial" w:cs="Arial"/>
          <w:lang w:val="en-US"/>
        </w:rPr>
        <w:tab/>
        <w:t>Safari proffered 3 reasons, in its founding affidavit</w:t>
      </w:r>
      <w:r w:rsidR="004A3CC3">
        <w:rPr>
          <w:rFonts w:ascii="Arial" w:hAnsi="Arial" w:cs="Arial"/>
          <w:lang w:val="en-US"/>
        </w:rPr>
        <w:t>,</w:t>
      </w:r>
      <w:r w:rsidRPr="0057066C">
        <w:rPr>
          <w:rFonts w:ascii="Arial" w:hAnsi="Arial" w:cs="Arial"/>
          <w:lang w:val="en-US"/>
        </w:rPr>
        <w:t xml:space="preserve"> for storing firearms it sold at Inyathi’s storage facilities. These were that: (a) due to a backlog in the office of the National Commissioner of Police (National Commissioner),</w:t>
      </w:r>
      <w:r w:rsidRPr="0057066C">
        <w:rPr>
          <w:rStyle w:val="FootnoteReference"/>
          <w:rFonts w:ascii="Arial" w:hAnsi="Arial" w:cs="Arial"/>
          <w:lang w:val="en-US"/>
        </w:rPr>
        <w:footnoteReference w:id="6"/>
      </w:r>
      <w:r w:rsidRPr="0057066C">
        <w:rPr>
          <w:rFonts w:ascii="Arial" w:hAnsi="Arial" w:cs="Arial"/>
          <w:lang w:val="en-US"/>
        </w:rPr>
        <w:t xml:space="preserve"> at the time, it took anything between six to eighteen months to finalise a licence to possess a firearm; (b) as a result of the volume of firearms it sold to members of the public, it became ‘practically impossible’ to store all </w:t>
      </w:r>
      <w:r w:rsidR="0048501A">
        <w:rPr>
          <w:rFonts w:ascii="Arial" w:hAnsi="Arial" w:cs="Arial"/>
          <w:lang w:val="en-US"/>
        </w:rPr>
        <w:t xml:space="preserve">of </w:t>
      </w:r>
      <w:r w:rsidRPr="0057066C">
        <w:rPr>
          <w:rFonts w:ascii="Arial" w:hAnsi="Arial" w:cs="Arial"/>
          <w:lang w:val="en-US"/>
        </w:rPr>
        <w:t xml:space="preserve">them at its premises; and (c) storing these firearms at its premises (retail space) was significantly more expensive than storing them in </w:t>
      </w:r>
      <w:r w:rsidR="0048501A">
        <w:rPr>
          <w:rFonts w:ascii="Arial" w:hAnsi="Arial" w:cs="Arial"/>
          <w:lang w:val="en-US"/>
        </w:rPr>
        <w:t xml:space="preserve">Inyathi’s </w:t>
      </w:r>
      <w:r w:rsidRPr="0057066C">
        <w:rPr>
          <w:rFonts w:ascii="Arial" w:hAnsi="Arial" w:cs="Arial"/>
          <w:lang w:val="en-US"/>
        </w:rPr>
        <w:t xml:space="preserve">bulk storage facilities. </w:t>
      </w:r>
    </w:p>
    <w:p w14:paraId="38C4E6EA" w14:textId="77777777" w:rsidR="0057066C" w:rsidRPr="0057066C" w:rsidRDefault="0057066C" w:rsidP="00E05157">
      <w:pPr>
        <w:rPr>
          <w:rFonts w:ascii="Arial" w:hAnsi="Arial" w:cs="Arial"/>
          <w:lang w:val="en-US"/>
        </w:rPr>
      </w:pPr>
    </w:p>
    <w:p w14:paraId="74DB6EA7" w14:textId="50B6A94C" w:rsidR="0057066C" w:rsidRPr="0057066C" w:rsidRDefault="006F5A86" w:rsidP="00E05157">
      <w:pPr>
        <w:rPr>
          <w:rFonts w:ascii="Arial" w:hAnsi="Arial" w:cs="Arial"/>
          <w:lang w:val="en-US"/>
        </w:rPr>
      </w:pPr>
      <w:r>
        <w:rPr>
          <w:rFonts w:ascii="Arial" w:hAnsi="Arial" w:cs="Arial"/>
          <w:lang w:val="en-US"/>
        </w:rPr>
        <w:t>[6]</w:t>
      </w:r>
      <w:r>
        <w:rPr>
          <w:rFonts w:ascii="Arial" w:hAnsi="Arial" w:cs="Arial"/>
          <w:lang w:val="en-US"/>
        </w:rPr>
        <w:tab/>
        <w:t>When Safari Outdoor</w:t>
      </w:r>
      <w:r w:rsidR="0057066C" w:rsidRPr="0057066C">
        <w:rPr>
          <w:rFonts w:ascii="Arial" w:hAnsi="Arial" w:cs="Arial"/>
          <w:lang w:val="en-US"/>
        </w:rPr>
        <w:t xml:space="preserve"> receives its stock of firearms, each firearm is duly recorded in its firearm stock register in terms of s 39(3) of the FCA read with regulation 37 of the </w:t>
      </w:r>
      <w:r w:rsidR="0048501A">
        <w:rPr>
          <w:rFonts w:ascii="Arial" w:hAnsi="Arial" w:cs="Arial"/>
          <w:lang w:val="en-US"/>
        </w:rPr>
        <w:t>r</w:t>
      </w:r>
      <w:r w:rsidR="0057066C" w:rsidRPr="0057066C">
        <w:rPr>
          <w:rFonts w:ascii="Arial" w:hAnsi="Arial" w:cs="Arial"/>
          <w:lang w:val="en-US"/>
        </w:rPr>
        <w:t xml:space="preserve">egulations. I reference these provisions later in the judgment.  </w:t>
      </w:r>
    </w:p>
    <w:p w14:paraId="21310018" w14:textId="77777777" w:rsidR="0057066C" w:rsidRPr="0057066C" w:rsidRDefault="0057066C" w:rsidP="00E05157">
      <w:pPr>
        <w:rPr>
          <w:rFonts w:ascii="Arial" w:hAnsi="Arial" w:cs="Arial"/>
          <w:lang w:val="en-US"/>
        </w:rPr>
      </w:pPr>
    </w:p>
    <w:p w14:paraId="6FDD6345" w14:textId="25A9BBCB" w:rsidR="0057066C" w:rsidRPr="0057066C" w:rsidRDefault="0057066C" w:rsidP="00E05157">
      <w:pPr>
        <w:rPr>
          <w:rFonts w:ascii="Arial" w:hAnsi="Arial" w:cs="Arial"/>
          <w:lang w:val="en-US"/>
        </w:rPr>
      </w:pPr>
      <w:r w:rsidRPr="0057066C">
        <w:rPr>
          <w:rFonts w:ascii="Arial" w:hAnsi="Arial" w:cs="Arial"/>
          <w:lang w:val="en-US"/>
        </w:rPr>
        <w:lastRenderedPageBreak/>
        <w:t>[7]</w:t>
      </w:r>
      <w:r w:rsidRPr="0057066C">
        <w:rPr>
          <w:rFonts w:ascii="Arial" w:hAnsi="Arial" w:cs="Arial"/>
          <w:lang w:val="en-US"/>
        </w:rPr>
        <w:tab/>
        <w:t xml:space="preserve">A designated firearm officer (DFO), who is a representative of the Registrar of Firearms, regularly visits the respective business premises of Safari Outdoor and Inyathi. During one such visit at its Lynnwood Bridge branch, Safari Outdoor was, in essence, informed that it is impermissible for Inyathi to </w:t>
      </w:r>
      <w:r w:rsidR="004A3CC3">
        <w:rPr>
          <w:rFonts w:ascii="Arial" w:hAnsi="Arial" w:cs="Arial"/>
          <w:lang w:val="en-US"/>
        </w:rPr>
        <w:t xml:space="preserve">store </w:t>
      </w:r>
      <w:r w:rsidRPr="0057066C">
        <w:rPr>
          <w:rFonts w:ascii="Arial" w:hAnsi="Arial" w:cs="Arial"/>
          <w:lang w:val="en-US"/>
        </w:rPr>
        <w:t xml:space="preserve">firearms </w:t>
      </w:r>
      <w:r w:rsidR="004A3CC3">
        <w:rPr>
          <w:rFonts w:ascii="Arial" w:hAnsi="Arial" w:cs="Arial"/>
          <w:lang w:val="en-US"/>
        </w:rPr>
        <w:t>on behalf of</w:t>
      </w:r>
      <w:r w:rsidRPr="0057066C">
        <w:rPr>
          <w:rFonts w:ascii="Arial" w:hAnsi="Arial" w:cs="Arial"/>
          <w:lang w:val="en-US"/>
        </w:rPr>
        <w:t xml:space="preserve"> Safari Outdoor. </w:t>
      </w:r>
    </w:p>
    <w:p w14:paraId="1B364402" w14:textId="77777777" w:rsidR="0057066C" w:rsidRPr="0057066C" w:rsidRDefault="0057066C" w:rsidP="00E05157">
      <w:pPr>
        <w:rPr>
          <w:rFonts w:ascii="Arial" w:hAnsi="Arial" w:cs="Arial"/>
          <w:b/>
          <w:bCs/>
          <w:lang w:val="en-US"/>
        </w:rPr>
      </w:pPr>
    </w:p>
    <w:p w14:paraId="0BDBB09C" w14:textId="77777777" w:rsidR="0057066C" w:rsidRPr="0057066C" w:rsidRDefault="0057066C" w:rsidP="00E05157">
      <w:pPr>
        <w:rPr>
          <w:rFonts w:ascii="Arial" w:hAnsi="Arial" w:cs="Arial"/>
          <w:b/>
          <w:bCs/>
          <w:lang w:val="en-US"/>
        </w:rPr>
      </w:pPr>
      <w:r w:rsidRPr="0057066C">
        <w:rPr>
          <w:rFonts w:ascii="Arial" w:hAnsi="Arial" w:cs="Arial"/>
          <w:b/>
          <w:bCs/>
          <w:lang w:val="en-US"/>
        </w:rPr>
        <w:t xml:space="preserve">In the high court </w:t>
      </w:r>
    </w:p>
    <w:p w14:paraId="061306C6" w14:textId="23CCB664" w:rsidR="0057066C" w:rsidRPr="0057066C" w:rsidRDefault="0057066C" w:rsidP="00E05157">
      <w:pPr>
        <w:rPr>
          <w:rFonts w:ascii="Arial" w:hAnsi="Arial" w:cs="Arial"/>
          <w:lang w:val="en-US"/>
        </w:rPr>
      </w:pPr>
      <w:r w:rsidRPr="0057066C">
        <w:rPr>
          <w:rFonts w:ascii="Arial" w:hAnsi="Arial" w:cs="Arial"/>
          <w:lang w:val="en-US"/>
        </w:rPr>
        <w:t>[8]</w:t>
      </w:r>
      <w:r w:rsidRPr="0057066C">
        <w:rPr>
          <w:rFonts w:ascii="Arial" w:hAnsi="Arial" w:cs="Arial"/>
          <w:lang w:val="en-US"/>
        </w:rPr>
        <w:tab/>
        <w:t>The appellants, consequently, brought an application in the Gauteng Division of the High Court, Pretoria (</w:t>
      </w:r>
      <w:r w:rsidR="0035376A">
        <w:rPr>
          <w:rFonts w:ascii="Arial" w:hAnsi="Arial" w:cs="Arial"/>
          <w:lang w:val="en-US"/>
        </w:rPr>
        <w:t xml:space="preserve">the </w:t>
      </w:r>
      <w:r w:rsidRPr="0057066C">
        <w:rPr>
          <w:rFonts w:ascii="Arial" w:hAnsi="Arial" w:cs="Arial"/>
          <w:lang w:val="en-US"/>
        </w:rPr>
        <w:t>high court) seeking a declaratory order in the following terms:</w:t>
      </w:r>
    </w:p>
    <w:p w14:paraId="22F792F4" w14:textId="77777777" w:rsidR="0057066C" w:rsidRPr="0057066C" w:rsidRDefault="0057066C" w:rsidP="00E05157">
      <w:pPr>
        <w:rPr>
          <w:rFonts w:ascii="Arial" w:hAnsi="Arial" w:cs="Arial"/>
          <w:sz w:val="22"/>
          <w:lang w:val="en-US"/>
        </w:rPr>
      </w:pPr>
      <w:r w:rsidRPr="0057066C">
        <w:rPr>
          <w:rFonts w:ascii="Arial" w:hAnsi="Arial" w:cs="Arial"/>
          <w:sz w:val="22"/>
          <w:lang w:val="en-US"/>
        </w:rPr>
        <w:t>‘It is declared that [Safari Outdoor] is entitled to store firearms legally in its possession, in terms of Regulation 67 of the [Regulations, at the premises of [Inyathi]], provided that the removal of the firearms from the premises of [Safari Outdoor] were recorded in [Safari Outdoor’s] Firearm Stock Register and that the firearms stored at the premises of [Inyathi] be recorded in the Firearm Safe Custody Register of [Inyathi].’</w:t>
      </w:r>
    </w:p>
    <w:p w14:paraId="0ECD56E3" w14:textId="77777777" w:rsidR="0057066C" w:rsidRPr="0057066C" w:rsidRDefault="0057066C" w:rsidP="00E05157">
      <w:pPr>
        <w:rPr>
          <w:rFonts w:ascii="Arial" w:hAnsi="Arial" w:cs="Arial"/>
          <w:lang w:val="en-US"/>
        </w:rPr>
      </w:pPr>
    </w:p>
    <w:p w14:paraId="768AF770" w14:textId="7B960E85" w:rsidR="0057066C" w:rsidRPr="0057066C" w:rsidRDefault="0057066C" w:rsidP="00E05157">
      <w:pPr>
        <w:rPr>
          <w:rFonts w:ascii="Arial" w:hAnsi="Arial" w:cs="Arial"/>
          <w:lang w:val="en-US"/>
        </w:rPr>
      </w:pPr>
      <w:r w:rsidRPr="0057066C">
        <w:rPr>
          <w:rFonts w:ascii="Arial" w:hAnsi="Arial" w:cs="Arial"/>
          <w:lang w:val="en-US"/>
        </w:rPr>
        <w:t>[9]</w:t>
      </w:r>
      <w:r w:rsidRPr="0057066C">
        <w:rPr>
          <w:rFonts w:ascii="Arial" w:hAnsi="Arial" w:cs="Arial"/>
          <w:lang w:val="en-US"/>
        </w:rPr>
        <w:tab/>
        <w:t xml:space="preserve">The Police Commissioner (Registrar of Firearms) opposed the application on the basis that Inyathi is not legally entitled to provide storage for firearms </w:t>
      </w:r>
      <w:r w:rsidR="00A46A84">
        <w:rPr>
          <w:rFonts w:ascii="Arial" w:hAnsi="Arial" w:cs="Arial"/>
          <w:lang w:val="en-US"/>
        </w:rPr>
        <w:t>on behalf of</w:t>
      </w:r>
      <w:r w:rsidRPr="0057066C">
        <w:rPr>
          <w:rFonts w:ascii="Arial" w:hAnsi="Arial" w:cs="Arial"/>
          <w:lang w:val="en-US"/>
        </w:rPr>
        <w:t xml:space="preserve"> Safari Outdoor. The high court dismissed the application on the basis that the appellants had failed to make out a case for the declaratory relief sought. The appeal is before us with the leave of the high court. </w:t>
      </w:r>
    </w:p>
    <w:p w14:paraId="4C436DA3" w14:textId="77777777" w:rsidR="0057066C" w:rsidRPr="0057066C" w:rsidRDefault="0057066C" w:rsidP="00E05157">
      <w:pPr>
        <w:rPr>
          <w:rFonts w:ascii="Arial" w:hAnsi="Arial" w:cs="Arial"/>
          <w:lang w:val="en-US"/>
        </w:rPr>
      </w:pPr>
    </w:p>
    <w:p w14:paraId="51D1DA0F" w14:textId="0A89A2C0" w:rsidR="0057066C" w:rsidRPr="0057066C" w:rsidRDefault="0057066C" w:rsidP="00E05157">
      <w:pPr>
        <w:rPr>
          <w:rFonts w:ascii="Arial" w:hAnsi="Arial" w:cs="Arial"/>
          <w:b/>
          <w:bCs/>
          <w:lang w:val="en-US"/>
        </w:rPr>
      </w:pPr>
      <w:r w:rsidRPr="0057066C">
        <w:rPr>
          <w:rFonts w:ascii="Arial" w:hAnsi="Arial" w:cs="Arial"/>
          <w:b/>
          <w:bCs/>
          <w:lang w:val="en-US"/>
        </w:rPr>
        <w:t xml:space="preserve">The </w:t>
      </w:r>
      <w:r w:rsidR="0035376A">
        <w:rPr>
          <w:rFonts w:ascii="Arial" w:hAnsi="Arial" w:cs="Arial"/>
          <w:b/>
          <w:bCs/>
          <w:lang w:val="en-US"/>
        </w:rPr>
        <w:t>a</w:t>
      </w:r>
      <w:r w:rsidRPr="0057066C">
        <w:rPr>
          <w:rFonts w:ascii="Arial" w:hAnsi="Arial" w:cs="Arial"/>
          <w:b/>
          <w:bCs/>
          <w:lang w:val="en-US"/>
        </w:rPr>
        <w:t>ppeal</w:t>
      </w:r>
    </w:p>
    <w:p w14:paraId="7AA7551A" w14:textId="364E64FA" w:rsidR="0057066C" w:rsidRPr="0057066C" w:rsidRDefault="0057066C" w:rsidP="00E05157">
      <w:pPr>
        <w:rPr>
          <w:rFonts w:ascii="Arial" w:hAnsi="Arial" w:cs="Arial"/>
          <w:lang w:val="en-US"/>
        </w:rPr>
      </w:pPr>
      <w:r w:rsidRPr="0057066C">
        <w:rPr>
          <w:rFonts w:ascii="Arial" w:hAnsi="Arial" w:cs="Arial"/>
          <w:lang w:val="en-US"/>
        </w:rPr>
        <w:t>[10]</w:t>
      </w:r>
      <w:r w:rsidRPr="0057066C">
        <w:rPr>
          <w:rFonts w:ascii="Arial" w:hAnsi="Arial" w:cs="Arial"/>
          <w:lang w:val="en-US"/>
        </w:rPr>
        <w:tab/>
        <w:t xml:space="preserve">The question for determination is whether Inyathi may provide storage for firearms </w:t>
      </w:r>
      <w:r w:rsidR="00A46A84">
        <w:rPr>
          <w:rFonts w:ascii="Arial" w:hAnsi="Arial" w:cs="Arial"/>
          <w:lang w:val="en-US"/>
        </w:rPr>
        <w:t>on behalf of</w:t>
      </w:r>
      <w:r w:rsidRPr="0057066C">
        <w:rPr>
          <w:rFonts w:ascii="Arial" w:hAnsi="Arial" w:cs="Arial"/>
          <w:lang w:val="en-US"/>
        </w:rPr>
        <w:t xml:space="preserve"> Safari Outdoor. The appellant’s case is that, based on the ordinary grammatical meaning of the words in regulation 67(3) of the </w:t>
      </w:r>
      <w:r w:rsidR="0064751D">
        <w:rPr>
          <w:rFonts w:ascii="Arial" w:hAnsi="Arial" w:cs="Arial"/>
          <w:lang w:val="en-US"/>
        </w:rPr>
        <w:t>r</w:t>
      </w:r>
      <w:r w:rsidRPr="0057066C">
        <w:rPr>
          <w:rFonts w:ascii="Arial" w:hAnsi="Arial" w:cs="Arial"/>
          <w:lang w:val="en-US"/>
        </w:rPr>
        <w:t>egulations, a dealer may provide storage for firearms to another dealer, in the safe or strong</w:t>
      </w:r>
      <w:r w:rsidR="009B7353">
        <w:rPr>
          <w:rFonts w:ascii="Arial" w:hAnsi="Arial" w:cs="Arial"/>
          <w:lang w:val="en-US"/>
        </w:rPr>
        <w:t xml:space="preserve"> </w:t>
      </w:r>
      <w:r w:rsidRPr="0057066C">
        <w:rPr>
          <w:rFonts w:ascii="Arial" w:hAnsi="Arial" w:cs="Arial"/>
          <w:lang w:val="en-US"/>
        </w:rPr>
        <w:t>room speci</w:t>
      </w:r>
      <w:r w:rsidR="006F5A86">
        <w:rPr>
          <w:rFonts w:ascii="Arial" w:hAnsi="Arial" w:cs="Arial"/>
          <w:lang w:val="en-US"/>
        </w:rPr>
        <w:t xml:space="preserve">fied in the former’s licence. </w:t>
      </w:r>
      <w:r w:rsidRPr="0057066C">
        <w:rPr>
          <w:rFonts w:ascii="Arial" w:hAnsi="Arial" w:cs="Arial"/>
          <w:lang w:val="en-US"/>
        </w:rPr>
        <w:t>Regulation 67 provides:</w:t>
      </w:r>
    </w:p>
    <w:p w14:paraId="0078B69E" w14:textId="77777777" w:rsidR="0057066C" w:rsidRPr="0057066C" w:rsidRDefault="0057066C" w:rsidP="00E05157">
      <w:pPr>
        <w:rPr>
          <w:rFonts w:ascii="Arial" w:hAnsi="Arial" w:cs="Arial"/>
          <w:sz w:val="22"/>
          <w:lang w:val="en-US"/>
        </w:rPr>
      </w:pPr>
      <w:r w:rsidRPr="0057066C">
        <w:rPr>
          <w:rFonts w:ascii="Arial" w:hAnsi="Arial" w:cs="Arial"/>
          <w:sz w:val="22"/>
          <w:lang w:val="en-US"/>
        </w:rPr>
        <w:t>‘(1) Where a person provides storage facilities for firearms or ammunition to another person, such storage facilities must conform to the applicable requirements for a safe or strong room as set out in SABS Standard 953-1 or 953-2.</w:t>
      </w:r>
    </w:p>
    <w:p w14:paraId="32027BBA" w14:textId="46B7F1DD" w:rsidR="0057066C" w:rsidRPr="0057066C" w:rsidRDefault="0057066C" w:rsidP="00E05157">
      <w:pPr>
        <w:rPr>
          <w:rFonts w:ascii="Arial" w:hAnsi="Arial" w:cs="Arial"/>
          <w:sz w:val="22"/>
          <w:lang w:val="en-US"/>
        </w:rPr>
      </w:pPr>
      <w:r w:rsidRPr="0057066C">
        <w:rPr>
          <w:rFonts w:ascii="Arial" w:hAnsi="Arial" w:cs="Arial"/>
          <w:sz w:val="22"/>
          <w:lang w:val="en-US"/>
        </w:rPr>
        <w:t>(2)</w:t>
      </w:r>
      <w:r w:rsidR="0064751D">
        <w:rPr>
          <w:rFonts w:ascii="Arial" w:hAnsi="Arial" w:cs="Arial"/>
          <w:sz w:val="22"/>
          <w:lang w:val="en-US"/>
        </w:rPr>
        <w:t xml:space="preserve"> </w:t>
      </w:r>
      <w:r w:rsidRPr="0057066C">
        <w:rPr>
          <w:rFonts w:ascii="Arial" w:hAnsi="Arial" w:cs="Arial"/>
          <w:sz w:val="22"/>
          <w:lang w:val="en-US"/>
        </w:rPr>
        <w:t>Storage may only be provided to a person who may lawfully possess the firearm or ammunition.</w:t>
      </w:r>
    </w:p>
    <w:p w14:paraId="24516E7B" w14:textId="19C67458" w:rsidR="0057066C" w:rsidRPr="0057066C" w:rsidRDefault="0057066C" w:rsidP="00E05157">
      <w:pPr>
        <w:rPr>
          <w:rFonts w:ascii="Arial" w:hAnsi="Arial" w:cs="Arial"/>
          <w:sz w:val="22"/>
          <w:lang w:val="en-US"/>
        </w:rPr>
      </w:pPr>
      <w:r w:rsidRPr="0057066C">
        <w:rPr>
          <w:rFonts w:ascii="Arial" w:hAnsi="Arial" w:cs="Arial"/>
          <w:sz w:val="22"/>
          <w:lang w:val="en-US"/>
        </w:rPr>
        <w:lastRenderedPageBreak/>
        <w:t>(3)</w:t>
      </w:r>
      <w:r w:rsidR="0064751D">
        <w:rPr>
          <w:rFonts w:ascii="Arial" w:hAnsi="Arial" w:cs="Arial"/>
          <w:sz w:val="22"/>
          <w:lang w:val="en-US"/>
        </w:rPr>
        <w:t xml:space="preserve"> </w:t>
      </w:r>
      <w:r w:rsidRPr="0057066C">
        <w:rPr>
          <w:rFonts w:ascii="Arial" w:hAnsi="Arial" w:cs="Arial"/>
          <w:sz w:val="22"/>
          <w:lang w:val="en-US"/>
        </w:rPr>
        <w:t xml:space="preserve">a holder of a dealer or gunsmith’s license may provide storage for firearms and ammunition in the safe or strong room specified on the dealer’s or gunsmith’s licence. </w:t>
      </w:r>
    </w:p>
    <w:p w14:paraId="630836D7" w14:textId="6D6A0B43" w:rsidR="0057066C" w:rsidRPr="0057066C" w:rsidRDefault="0057066C" w:rsidP="00E05157">
      <w:pPr>
        <w:rPr>
          <w:rFonts w:ascii="Arial" w:hAnsi="Arial" w:cs="Arial"/>
          <w:sz w:val="22"/>
          <w:lang w:val="en-US"/>
        </w:rPr>
      </w:pPr>
      <w:r w:rsidRPr="0057066C">
        <w:rPr>
          <w:rFonts w:ascii="Arial" w:hAnsi="Arial" w:cs="Arial"/>
          <w:sz w:val="22"/>
          <w:lang w:val="en-US"/>
        </w:rPr>
        <w:t>(4)</w:t>
      </w:r>
      <w:r w:rsidR="0064751D">
        <w:rPr>
          <w:rFonts w:ascii="Arial" w:hAnsi="Arial" w:cs="Arial"/>
          <w:sz w:val="22"/>
          <w:lang w:val="en-US"/>
        </w:rPr>
        <w:t xml:space="preserve"> </w:t>
      </w:r>
      <w:r w:rsidRPr="0057066C">
        <w:rPr>
          <w:rFonts w:ascii="Arial" w:hAnsi="Arial" w:cs="Arial"/>
          <w:sz w:val="22"/>
          <w:lang w:val="en-US"/>
        </w:rPr>
        <w:t>during the storage of a firearm, it must be –</w:t>
      </w:r>
    </w:p>
    <w:p w14:paraId="4D2CC99B" w14:textId="45A8A7E1" w:rsidR="0057066C" w:rsidRPr="0057066C" w:rsidRDefault="0057066C" w:rsidP="00E05157">
      <w:pPr>
        <w:rPr>
          <w:rFonts w:ascii="Arial" w:hAnsi="Arial" w:cs="Arial"/>
          <w:sz w:val="22"/>
          <w:lang w:val="en-US"/>
        </w:rPr>
      </w:pPr>
      <w:r w:rsidRPr="00874CBA">
        <w:rPr>
          <w:rFonts w:ascii="Arial" w:hAnsi="Arial" w:cs="Arial"/>
          <w:i/>
          <w:sz w:val="22"/>
          <w:lang w:val="en-US"/>
        </w:rPr>
        <w:t>(a)</w:t>
      </w:r>
      <w:r w:rsidR="0064751D">
        <w:rPr>
          <w:rFonts w:ascii="Arial" w:hAnsi="Arial" w:cs="Arial"/>
          <w:sz w:val="22"/>
          <w:lang w:val="en-US"/>
        </w:rPr>
        <w:t xml:space="preserve"> </w:t>
      </w:r>
      <w:r w:rsidRPr="0057066C">
        <w:rPr>
          <w:rFonts w:ascii="Arial" w:hAnsi="Arial" w:cs="Arial"/>
          <w:sz w:val="22"/>
          <w:lang w:val="en-US"/>
        </w:rPr>
        <w:t>uploaded;</w:t>
      </w:r>
    </w:p>
    <w:p w14:paraId="4A3F2C41" w14:textId="3474927B" w:rsidR="0057066C" w:rsidRPr="0057066C" w:rsidRDefault="0057066C" w:rsidP="00E05157">
      <w:pPr>
        <w:rPr>
          <w:rFonts w:ascii="Arial" w:hAnsi="Arial" w:cs="Arial"/>
          <w:sz w:val="22"/>
          <w:lang w:val="en-US"/>
        </w:rPr>
      </w:pPr>
      <w:r w:rsidRPr="00874CBA">
        <w:rPr>
          <w:rFonts w:ascii="Arial" w:hAnsi="Arial" w:cs="Arial"/>
          <w:i/>
          <w:sz w:val="22"/>
          <w:lang w:val="en-US"/>
        </w:rPr>
        <w:t>(b)</w:t>
      </w:r>
      <w:r w:rsidR="0064751D">
        <w:rPr>
          <w:rFonts w:ascii="Arial" w:hAnsi="Arial" w:cs="Arial"/>
          <w:sz w:val="22"/>
          <w:lang w:val="en-US"/>
        </w:rPr>
        <w:t xml:space="preserve"> </w:t>
      </w:r>
      <w:r w:rsidRPr="0057066C">
        <w:rPr>
          <w:rFonts w:ascii="Arial" w:hAnsi="Arial" w:cs="Arial"/>
          <w:sz w:val="22"/>
          <w:lang w:val="en-US"/>
        </w:rPr>
        <w:t xml:space="preserve">not </w:t>
      </w:r>
      <w:r w:rsidR="00360ACE">
        <w:rPr>
          <w:rFonts w:ascii="Arial" w:hAnsi="Arial" w:cs="Arial"/>
          <w:sz w:val="22"/>
          <w:lang w:val="en-US"/>
        </w:rPr>
        <w:t>readily accessible to unauthoris</w:t>
      </w:r>
      <w:r w:rsidRPr="0057066C">
        <w:rPr>
          <w:rFonts w:ascii="Arial" w:hAnsi="Arial" w:cs="Arial"/>
          <w:sz w:val="22"/>
          <w:lang w:val="en-US"/>
        </w:rPr>
        <w:t>ed use;</w:t>
      </w:r>
    </w:p>
    <w:p w14:paraId="7491977F" w14:textId="433A617F" w:rsidR="0057066C" w:rsidRPr="0057066C" w:rsidRDefault="0057066C" w:rsidP="00E05157">
      <w:pPr>
        <w:rPr>
          <w:rFonts w:ascii="Arial" w:hAnsi="Arial" w:cs="Arial"/>
          <w:sz w:val="22"/>
          <w:lang w:val="en-US"/>
        </w:rPr>
      </w:pPr>
      <w:r w:rsidRPr="00874CBA">
        <w:rPr>
          <w:rFonts w:ascii="Arial" w:hAnsi="Arial" w:cs="Arial"/>
          <w:i/>
          <w:sz w:val="22"/>
          <w:lang w:val="en-US"/>
        </w:rPr>
        <w:t>(c)</w:t>
      </w:r>
      <w:r w:rsidRPr="0057066C">
        <w:rPr>
          <w:rFonts w:ascii="Arial" w:hAnsi="Arial" w:cs="Arial"/>
          <w:sz w:val="22"/>
          <w:lang w:val="en-US"/>
        </w:rPr>
        <w:t xml:space="preserve"> securely attached with a secure locking device to a non- portable structure in such a manner that it cannot readily be removed.’</w:t>
      </w:r>
    </w:p>
    <w:p w14:paraId="106DD3D5" w14:textId="77777777" w:rsidR="0057066C" w:rsidRPr="0057066C" w:rsidRDefault="0057066C" w:rsidP="00E05157">
      <w:pPr>
        <w:rPr>
          <w:rFonts w:ascii="Arial" w:hAnsi="Arial" w:cs="Arial"/>
          <w:lang w:val="en-US"/>
        </w:rPr>
      </w:pPr>
    </w:p>
    <w:p w14:paraId="60644D0C" w14:textId="05719110" w:rsidR="0057066C" w:rsidRPr="0057066C" w:rsidRDefault="0057066C" w:rsidP="00E05157">
      <w:pPr>
        <w:rPr>
          <w:rFonts w:ascii="Arial" w:hAnsi="Arial" w:cs="Arial"/>
          <w:i/>
          <w:iCs/>
          <w:lang w:val="en-US"/>
        </w:rPr>
      </w:pPr>
      <w:r w:rsidRPr="0057066C">
        <w:rPr>
          <w:rFonts w:ascii="Arial" w:hAnsi="Arial" w:cs="Arial"/>
          <w:lang w:val="en-US"/>
        </w:rPr>
        <w:t>[11]</w:t>
      </w:r>
      <w:r w:rsidRPr="0057066C">
        <w:rPr>
          <w:rFonts w:ascii="Arial" w:hAnsi="Arial" w:cs="Arial"/>
          <w:lang w:val="en-US"/>
        </w:rPr>
        <w:tab/>
        <w:t xml:space="preserve">Regulation 67 must be interpreted in the context of the FCA and the </w:t>
      </w:r>
      <w:r w:rsidR="0064751D">
        <w:rPr>
          <w:rFonts w:ascii="Arial" w:hAnsi="Arial" w:cs="Arial"/>
          <w:lang w:val="en-US"/>
        </w:rPr>
        <w:t>r</w:t>
      </w:r>
      <w:r w:rsidRPr="0057066C">
        <w:rPr>
          <w:rFonts w:ascii="Arial" w:hAnsi="Arial" w:cs="Arial"/>
          <w:lang w:val="en-US"/>
        </w:rPr>
        <w:t xml:space="preserve">egulations. The rules of interpretation, as pronounced by this </w:t>
      </w:r>
      <w:r w:rsidR="0064751D">
        <w:rPr>
          <w:rFonts w:ascii="Arial" w:hAnsi="Arial" w:cs="Arial"/>
          <w:lang w:val="en-US"/>
        </w:rPr>
        <w:t>C</w:t>
      </w:r>
      <w:r w:rsidRPr="0057066C">
        <w:rPr>
          <w:rFonts w:ascii="Arial" w:hAnsi="Arial" w:cs="Arial"/>
          <w:lang w:val="en-US"/>
        </w:rPr>
        <w:t xml:space="preserve">ourt in </w:t>
      </w:r>
      <w:r w:rsidRPr="0057066C">
        <w:rPr>
          <w:rFonts w:ascii="Arial" w:hAnsi="Arial" w:cs="Arial"/>
          <w:i/>
          <w:iCs/>
          <w:lang w:val="en-US"/>
        </w:rPr>
        <w:t>Natal Joint Municipal Pension Fund v Endumeni Municipality</w:t>
      </w:r>
      <w:r w:rsidRPr="0057066C">
        <w:rPr>
          <w:rStyle w:val="FootnoteReference"/>
          <w:rFonts w:ascii="Arial" w:hAnsi="Arial" w:cs="Arial"/>
          <w:lang w:val="en-US"/>
        </w:rPr>
        <w:footnoteReference w:id="7"/>
      </w:r>
      <w:r w:rsidRPr="0057066C">
        <w:rPr>
          <w:rFonts w:ascii="Arial" w:hAnsi="Arial" w:cs="Arial"/>
          <w:lang w:val="en-US"/>
        </w:rPr>
        <w:t xml:space="preserve"> for legislation and other documents, apply to the interpretation of the provisions of the FCA and the </w:t>
      </w:r>
      <w:r w:rsidR="0064751D">
        <w:rPr>
          <w:rFonts w:ascii="Arial" w:hAnsi="Arial" w:cs="Arial"/>
          <w:lang w:val="en-US"/>
        </w:rPr>
        <w:t>r</w:t>
      </w:r>
      <w:r w:rsidRPr="0057066C">
        <w:rPr>
          <w:rFonts w:ascii="Arial" w:hAnsi="Arial" w:cs="Arial"/>
          <w:lang w:val="en-US"/>
        </w:rPr>
        <w:t xml:space="preserve">egulations. </w:t>
      </w:r>
    </w:p>
    <w:p w14:paraId="02ECA7D2" w14:textId="77777777" w:rsidR="0057066C" w:rsidRPr="0057066C" w:rsidRDefault="0057066C" w:rsidP="00E05157">
      <w:pPr>
        <w:rPr>
          <w:rFonts w:ascii="Arial" w:hAnsi="Arial" w:cs="Arial"/>
          <w:lang w:val="en-US"/>
        </w:rPr>
      </w:pPr>
    </w:p>
    <w:p w14:paraId="4BEECA54" w14:textId="7D535617" w:rsidR="0057066C" w:rsidRPr="0057066C" w:rsidRDefault="0057066C" w:rsidP="00E05157">
      <w:pPr>
        <w:rPr>
          <w:rFonts w:ascii="Arial" w:hAnsi="Arial" w:cs="Arial"/>
          <w:lang w:val="en-US"/>
        </w:rPr>
      </w:pPr>
      <w:r w:rsidRPr="0057066C">
        <w:rPr>
          <w:rFonts w:ascii="Arial" w:hAnsi="Arial" w:cs="Arial"/>
          <w:lang w:val="en-US"/>
        </w:rPr>
        <w:t>[12]</w:t>
      </w:r>
      <w:r w:rsidRPr="0057066C">
        <w:rPr>
          <w:rFonts w:ascii="Arial" w:hAnsi="Arial" w:cs="Arial"/>
          <w:lang w:val="en-US"/>
        </w:rPr>
        <w:tab/>
        <w:t xml:space="preserve">Part 1, </w:t>
      </w:r>
      <w:r w:rsidR="0064751D">
        <w:rPr>
          <w:rFonts w:ascii="Arial" w:hAnsi="Arial" w:cs="Arial"/>
          <w:lang w:val="en-US"/>
        </w:rPr>
        <w:t>c</w:t>
      </w:r>
      <w:r w:rsidRPr="0057066C">
        <w:rPr>
          <w:rFonts w:ascii="Arial" w:hAnsi="Arial" w:cs="Arial"/>
          <w:lang w:val="en-US"/>
        </w:rPr>
        <w:t xml:space="preserve">hapter 7 of the FCA provides the framework for licences issued to, </w:t>
      </w:r>
      <w:r w:rsidRPr="0057066C">
        <w:rPr>
          <w:rFonts w:ascii="Arial" w:hAnsi="Arial" w:cs="Arial"/>
          <w:i/>
          <w:lang w:val="en-US"/>
        </w:rPr>
        <w:t>inter alia</w:t>
      </w:r>
      <w:r w:rsidRPr="0057066C">
        <w:rPr>
          <w:rFonts w:ascii="Arial" w:hAnsi="Arial" w:cs="Arial"/>
          <w:lang w:val="en-US"/>
        </w:rPr>
        <w:t xml:space="preserve">, dealers to trade in firearms and ammunition. Section 31 provides that no person may trade in any firearm, muzzle loading firearm or ammunition without a dealer’s licence. Section 32(1) provides that a dealer’s licence must be issued to a person who is a fit and proper person to trade in firearms and ammunition. Section 32(2) provides that any natural person who engages in trading on behalf of a dealer must hold a competency certificate to trade in firearms and ammunition. </w:t>
      </w:r>
    </w:p>
    <w:p w14:paraId="22D4C459" w14:textId="77777777" w:rsidR="0057066C" w:rsidRPr="0057066C" w:rsidRDefault="0057066C" w:rsidP="00E05157">
      <w:pPr>
        <w:rPr>
          <w:rFonts w:ascii="Arial" w:hAnsi="Arial" w:cs="Arial"/>
          <w:lang w:val="en-US"/>
        </w:rPr>
      </w:pPr>
    </w:p>
    <w:p w14:paraId="577D4DEB" w14:textId="6BF052C2" w:rsidR="0057066C" w:rsidRPr="0057066C" w:rsidRDefault="0057066C" w:rsidP="00E05157">
      <w:pPr>
        <w:rPr>
          <w:rFonts w:ascii="Arial" w:hAnsi="Arial" w:cs="Arial"/>
          <w:lang w:val="en-US"/>
        </w:rPr>
      </w:pPr>
      <w:r w:rsidRPr="0057066C">
        <w:rPr>
          <w:rFonts w:ascii="Arial" w:hAnsi="Arial" w:cs="Arial"/>
          <w:lang w:val="en-US"/>
        </w:rPr>
        <w:t>[13</w:t>
      </w:r>
      <w:r w:rsidR="00360ACE">
        <w:rPr>
          <w:rFonts w:ascii="Arial" w:hAnsi="Arial" w:cs="Arial"/>
          <w:lang w:val="en-US"/>
        </w:rPr>
        <w:t>]</w:t>
      </w:r>
      <w:r w:rsidR="00360ACE">
        <w:rPr>
          <w:rFonts w:ascii="Arial" w:hAnsi="Arial" w:cs="Arial"/>
          <w:lang w:val="en-US"/>
        </w:rPr>
        <w:tab/>
        <w:t>Section 33 of the FCA authoris</w:t>
      </w:r>
      <w:r w:rsidRPr="0057066C">
        <w:rPr>
          <w:rFonts w:ascii="Arial" w:hAnsi="Arial" w:cs="Arial"/>
          <w:lang w:val="en-US"/>
        </w:rPr>
        <w:t xml:space="preserve">es the Minister of Safety and Security to prescribe: </w:t>
      </w:r>
    </w:p>
    <w:p w14:paraId="7D230410" w14:textId="31BB17C9" w:rsidR="0057066C" w:rsidRPr="0057066C" w:rsidRDefault="0057066C" w:rsidP="00E05157">
      <w:pPr>
        <w:rPr>
          <w:rFonts w:ascii="Arial" w:hAnsi="Arial" w:cs="Arial"/>
          <w:lang w:val="en-US"/>
        </w:rPr>
      </w:pPr>
      <w:r w:rsidRPr="0057066C">
        <w:rPr>
          <w:rFonts w:ascii="Arial" w:hAnsi="Arial" w:cs="Arial"/>
          <w:lang w:val="en-US"/>
        </w:rPr>
        <w:t>(a) conditions in respect of the issue of a dealer’s licence which the Registrar of Firearms may impose on a dealer;</w:t>
      </w:r>
      <w:r w:rsidRPr="0057066C">
        <w:rPr>
          <w:rStyle w:val="FootnoteReference"/>
          <w:rFonts w:ascii="Arial" w:hAnsi="Arial" w:cs="Arial"/>
          <w:lang w:val="en-US"/>
        </w:rPr>
        <w:footnoteReference w:id="8"/>
      </w:r>
      <w:r w:rsidRPr="0057066C">
        <w:rPr>
          <w:rFonts w:ascii="Arial" w:hAnsi="Arial" w:cs="Arial"/>
          <w:lang w:val="en-US"/>
        </w:rPr>
        <w:t xml:space="preserve"> and (b) specifications in respect of the business premises of a dealer.</w:t>
      </w:r>
      <w:r w:rsidRPr="0057066C">
        <w:rPr>
          <w:rStyle w:val="FootnoteReference"/>
          <w:rFonts w:ascii="Arial" w:hAnsi="Arial" w:cs="Arial"/>
          <w:lang w:val="en-US"/>
        </w:rPr>
        <w:footnoteReference w:id="9"/>
      </w:r>
      <w:r w:rsidRPr="0057066C">
        <w:rPr>
          <w:rFonts w:ascii="Arial" w:hAnsi="Arial" w:cs="Arial"/>
          <w:lang w:val="en-US"/>
        </w:rPr>
        <w:t xml:space="preserve"> Section 34 of the FCA, in turn, provides that the dealer’s licence must: (a) specify the premises in respect of which the licence is issued; (b) specify the conditions contemplated in s 33; and (c) contain such other information as may be prescribed.</w:t>
      </w:r>
      <w:r w:rsidRPr="0057066C">
        <w:rPr>
          <w:rStyle w:val="FootnoteReference"/>
          <w:rFonts w:ascii="Arial" w:hAnsi="Arial" w:cs="Arial"/>
          <w:lang w:val="en-US"/>
        </w:rPr>
        <w:footnoteReference w:id="10"/>
      </w:r>
      <w:r w:rsidRPr="0057066C">
        <w:rPr>
          <w:rFonts w:ascii="Arial" w:hAnsi="Arial" w:cs="Arial"/>
          <w:lang w:val="en-US"/>
        </w:rPr>
        <w:t xml:space="preserve"> </w:t>
      </w:r>
    </w:p>
    <w:p w14:paraId="435FD5E5" w14:textId="77777777" w:rsidR="0057066C" w:rsidRPr="0057066C" w:rsidRDefault="0057066C" w:rsidP="00E05157">
      <w:pPr>
        <w:rPr>
          <w:rFonts w:ascii="Arial" w:hAnsi="Arial" w:cs="Arial"/>
          <w:lang w:val="en-US"/>
        </w:rPr>
      </w:pPr>
    </w:p>
    <w:p w14:paraId="4E9D843D" w14:textId="77777777" w:rsidR="0057066C" w:rsidRPr="0057066C" w:rsidRDefault="0057066C" w:rsidP="00E05157">
      <w:pPr>
        <w:rPr>
          <w:rFonts w:ascii="Arial" w:hAnsi="Arial" w:cs="Arial"/>
          <w:lang w:val="en-US"/>
        </w:rPr>
      </w:pPr>
      <w:r w:rsidRPr="0057066C">
        <w:rPr>
          <w:rFonts w:ascii="Arial" w:hAnsi="Arial" w:cs="Arial"/>
          <w:lang w:val="en-US"/>
        </w:rPr>
        <w:lastRenderedPageBreak/>
        <w:t>[14]</w:t>
      </w:r>
      <w:r w:rsidRPr="0057066C">
        <w:rPr>
          <w:rFonts w:ascii="Arial" w:hAnsi="Arial" w:cs="Arial"/>
          <w:lang w:val="en-US"/>
        </w:rPr>
        <w:tab/>
        <w:t>Section 39 stipulates the duties of a dealer. It provides:</w:t>
      </w:r>
    </w:p>
    <w:p w14:paraId="0BE6EE08" w14:textId="718C3AE8" w:rsidR="0057066C" w:rsidRPr="0057066C" w:rsidRDefault="0057066C" w:rsidP="00E05157">
      <w:pPr>
        <w:rPr>
          <w:rFonts w:ascii="Arial" w:hAnsi="Arial" w:cs="Arial"/>
          <w:sz w:val="22"/>
          <w:lang w:val="en-US"/>
        </w:rPr>
      </w:pPr>
      <w:r w:rsidRPr="0057066C">
        <w:rPr>
          <w:rFonts w:ascii="Arial" w:hAnsi="Arial" w:cs="Arial"/>
          <w:sz w:val="22"/>
          <w:lang w:val="en-US"/>
        </w:rPr>
        <w:t>‘(1)</w:t>
      </w:r>
      <w:r w:rsidR="0064751D">
        <w:rPr>
          <w:rFonts w:ascii="Arial" w:hAnsi="Arial" w:cs="Arial"/>
          <w:sz w:val="22"/>
          <w:lang w:val="en-US"/>
        </w:rPr>
        <w:t xml:space="preserve"> </w:t>
      </w:r>
      <w:r w:rsidRPr="0057066C">
        <w:rPr>
          <w:rFonts w:ascii="Arial" w:hAnsi="Arial" w:cs="Arial"/>
          <w:sz w:val="22"/>
          <w:lang w:val="en-US"/>
        </w:rPr>
        <w:t>A dealer may trade in firearms or ammunition only on premises specified in the dealer’s licence;</w:t>
      </w:r>
    </w:p>
    <w:p w14:paraId="35466287" w14:textId="2BBCBBA9" w:rsidR="0057066C" w:rsidRPr="0057066C" w:rsidRDefault="0057066C" w:rsidP="00E05157">
      <w:pPr>
        <w:rPr>
          <w:rFonts w:ascii="Arial" w:hAnsi="Arial" w:cs="Arial"/>
          <w:sz w:val="22"/>
          <w:lang w:val="en-US"/>
        </w:rPr>
      </w:pPr>
      <w:r w:rsidRPr="0057066C">
        <w:rPr>
          <w:rFonts w:ascii="Arial" w:hAnsi="Arial" w:cs="Arial"/>
          <w:sz w:val="22"/>
          <w:lang w:val="en-US"/>
        </w:rPr>
        <w:t>(2)</w:t>
      </w:r>
      <w:r w:rsidR="0064751D">
        <w:rPr>
          <w:rFonts w:ascii="Arial" w:hAnsi="Arial" w:cs="Arial"/>
          <w:sz w:val="22"/>
          <w:lang w:val="en-US"/>
        </w:rPr>
        <w:t xml:space="preserve"> </w:t>
      </w:r>
      <w:r w:rsidRPr="0057066C">
        <w:rPr>
          <w:rFonts w:ascii="Arial" w:hAnsi="Arial" w:cs="Arial"/>
          <w:sz w:val="22"/>
          <w:lang w:val="en-US"/>
        </w:rPr>
        <w:t>A dealer may not permit any person to trade in firearms or ammunition on his or her behalf unless the person is in possession of the appropriate competency certificate.</w:t>
      </w:r>
    </w:p>
    <w:p w14:paraId="683EA2AB" w14:textId="02781319" w:rsidR="0057066C" w:rsidRPr="0057066C" w:rsidRDefault="0057066C" w:rsidP="00E05157">
      <w:pPr>
        <w:rPr>
          <w:rFonts w:ascii="Arial" w:hAnsi="Arial" w:cs="Arial"/>
          <w:sz w:val="22"/>
          <w:lang w:val="en-US"/>
        </w:rPr>
      </w:pPr>
      <w:r w:rsidRPr="0057066C">
        <w:rPr>
          <w:rFonts w:ascii="Arial" w:hAnsi="Arial" w:cs="Arial"/>
          <w:sz w:val="22"/>
          <w:lang w:val="en-US"/>
        </w:rPr>
        <w:t>(3)</w:t>
      </w:r>
      <w:r w:rsidR="0064751D">
        <w:rPr>
          <w:rFonts w:ascii="Arial" w:hAnsi="Arial" w:cs="Arial"/>
          <w:sz w:val="22"/>
          <w:lang w:val="en-US"/>
        </w:rPr>
        <w:t xml:space="preserve"> </w:t>
      </w:r>
      <w:r w:rsidRPr="0057066C">
        <w:rPr>
          <w:rFonts w:ascii="Arial" w:hAnsi="Arial" w:cs="Arial"/>
          <w:sz w:val="22"/>
          <w:lang w:val="en-US"/>
        </w:rPr>
        <w:t>A dealer must keep such registers as may be prescribed and containing such information as may be prescribed at the premises specified in the dealer’s licence.</w:t>
      </w:r>
    </w:p>
    <w:p w14:paraId="45F35ADA" w14:textId="53814B3F" w:rsidR="0057066C" w:rsidRPr="0057066C" w:rsidRDefault="0057066C" w:rsidP="00E05157">
      <w:pPr>
        <w:rPr>
          <w:rFonts w:ascii="Arial" w:hAnsi="Arial" w:cs="Arial"/>
          <w:sz w:val="22"/>
          <w:lang w:val="en-US"/>
        </w:rPr>
      </w:pPr>
      <w:r w:rsidRPr="0057066C">
        <w:rPr>
          <w:rFonts w:ascii="Arial" w:hAnsi="Arial" w:cs="Arial"/>
          <w:sz w:val="22"/>
          <w:lang w:val="en-US"/>
        </w:rPr>
        <w:t>(4)</w:t>
      </w:r>
      <w:r w:rsidR="0064751D">
        <w:rPr>
          <w:rFonts w:ascii="Arial" w:hAnsi="Arial" w:cs="Arial"/>
          <w:sz w:val="22"/>
          <w:lang w:val="en-US"/>
        </w:rPr>
        <w:t xml:space="preserve"> </w:t>
      </w:r>
      <w:r w:rsidRPr="0057066C">
        <w:rPr>
          <w:rFonts w:ascii="Arial" w:hAnsi="Arial" w:cs="Arial"/>
          <w:sz w:val="22"/>
          <w:lang w:val="en-US"/>
        </w:rPr>
        <w:t>A dealer must keep his or her dealer’s licence on the premises specified in the licence.</w:t>
      </w:r>
    </w:p>
    <w:p w14:paraId="23F14A25" w14:textId="22308D54" w:rsidR="0057066C" w:rsidRPr="0057066C" w:rsidRDefault="0057066C" w:rsidP="00E05157">
      <w:pPr>
        <w:rPr>
          <w:rFonts w:ascii="Arial" w:hAnsi="Arial" w:cs="Arial"/>
          <w:sz w:val="22"/>
          <w:lang w:val="en-US"/>
        </w:rPr>
      </w:pPr>
      <w:r w:rsidRPr="0057066C">
        <w:rPr>
          <w:rFonts w:ascii="Arial" w:hAnsi="Arial" w:cs="Arial"/>
          <w:sz w:val="22"/>
          <w:lang w:val="en-US"/>
        </w:rPr>
        <w:t>(5) A dealer must, at the request of any police official, produce for inspection-</w:t>
      </w:r>
    </w:p>
    <w:p w14:paraId="7AB624F6" w14:textId="3BAA870A" w:rsidR="0057066C" w:rsidRPr="0057066C" w:rsidRDefault="0057066C" w:rsidP="00E05157">
      <w:pPr>
        <w:rPr>
          <w:rFonts w:ascii="Arial" w:hAnsi="Arial" w:cs="Arial"/>
          <w:sz w:val="22"/>
          <w:lang w:val="en-US"/>
        </w:rPr>
      </w:pPr>
      <w:r w:rsidRPr="0057066C">
        <w:rPr>
          <w:rFonts w:ascii="Arial" w:hAnsi="Arial" w:cs="Arial"/>
          <w:sz w:val="22"/>
          <w:lang w:val="en-US"/>
        </w:rPr>
        <w:t>(a) any firearms or ammunition that the dealer may have in stock;</w:t>
      </w:r>
    </w:p>
    <w:p w14:paraId="38B4E20F" w14:textId="180B54F7" w:rsidR="0057066C" w:rsidRPr="0057066C" w:rsidRDefault="0057066C" w:rsidP="00E05157">
      <w:pPr>
        <w:rPr>
          <w:rFonts w:ascii="Arial" w:hAnsi="Arial" w:cs="Arial"/>
          <w:sz w:val="22"/>
          <w:lang w:val="en-US"/>
        </w:rPr>
      </w:pPr>
      <w:r w:rsidRPr="0057066C">
        <w:rPr>
          <w:rFonts w:ascii="Arial" w:hAnsi="Arial" w:cs="Arial"/>
          <w:sz w:val="22"/>
          <w:lang w:val="en-US"/>
        </w:rPr>
        <w:t xml:space="preserve">(b) his or her dealer’s licence; and </w:t>
      </w:r>
    </w:p>
    <w:p w14:paraId="0E513A7C" w14:textId="05C74267" w:rsidR="0057066C" w:rsidRPr="0057066C" w:rsidRDefault="0057066C" w:rsidP="00E05157">
      <w:pPr>
        <w:rPr>
          <w:rFonts w:ascii="Arial" w:hAnsi="Arial" w:cs="Arial"/>
          <w:sz w:val="22"/>
          <w:lang w:val="en-US"/>
        </w:rPr>
      </w:pPr>
      <w:r w:rsidRPr="0057066C">
        <w:rPr>
          <w:rFonts w:ascii="Arial" w:hAnsi="Arial" w:cs="Arial"/>
          <w:sz w:val="22"/>
          <w:lang w:val="en-US"/>
        </w:rPr>
        <w:t>(c) any register or electronic data kept by the dealer in terms of Part 1 of this Chapter.</w:t>
      </w:r>
    </w:p>
    <w:p w14:paraId="5D3D6323" w14:textId="77777777" w:rsidR="0057066C" w:rsidRPr="0057066C" w:rsidRDefault="0057066C" w:rsidP="00E05157">
      <w:pPr>
        <w:rPr>
          <w:rFonts w:ascii="Arial" w:hAnsi="Arial" w:cs="Arial"/>
          <w:sz w:val="22"/>
          <w:lang w:val="en-US"/>
        </w:rPr>
      </w:pPr>
      <w:r w:rsidRPr="0057066C">
        <w:rPr>
          <w:rFonts w:ascii="Arial" w:hAnsi="Arial" w:cs="Arial"/>
          <w:sz w:val="22"/>
          <w:lang w:val="en-US"/>
        </w:rPr>
        <w:t>. . .</w:t>
      </w:r>
    </w:p>
    <w:p w14:paraId="1711297B" w14:textId="05EADFFF" w:rsidR="0057066C" w:rsidRPr="0057066C" w:rsidRDefault="0057066C" w:rsidP="00E05157">
      <w:pPr>
        <w:rPr>
          <w:rFonts w:ascii="Arial" w:hAnsi="Arial" w:cs="Arial"/>
          <w:sz w:val="22"/>
          <w:lang w:val="en-US"/>
        </w:rPr>
      </w:pPr>
      <w:r w:rsidRPr="0057066C">
        <w:rPr>
          <w:rFonts w:ascii="Arial" w:hAnsi="Arial" w:cs="Arial"/>
          <w:sz w:val="22"/>
          <w:lang w:val="en-US"/>
        </w:rPr>
        <w:t>(9)</w:t>
      </w:r>
      <w:r w:rsidR="0064751D">
        <w:rPr>
          <w:rFonts w:ascii="Arial" w:hAnsi="Arial" w:cs="Arial"/>
          <w:sz w:val="22"/>
          <w:lang w:val="en-US"/>
        </w:rPr>
        <w:t xml:space="preserve"> </w:t>
      </w:r>
      <w:r w:rsidRPr="0057066C">
        <w:rPr>
          <w:rFonts w:ascii="Arial" w:hAnsi="Arial" w:cs="Arial"/>
          <w:sz w:val="22"/>
          <w:lang w:val="en-US"/>
        </w:rPr>
        <w:t>A dealer must comply with any condition imposed under section 33 and specifications</w:t>
      </w:r>
      <w:r w:rsidR="0064751D">
        <w:rPr>
          <w:rFonts w:ascii="Arial" w:hAnsi="Arial" w:cs="Arial"/>
          <w:sz w:val="22"/>
          <w:lang w:val="en-US"/>
        </w:rPr>
        <w:t xml:space="preserve"> </w:t>
      </w:r>
      <w:r w:rsidRPr="0057066C">
        <w:rPr>
          <w:rFonts w:ascii="Arial" w:hAnsi="Arial" w:cs="Arial"/>
          <w:sz w:val="22"/>
          <w:lang w:val="en-US"/>
        </w:rPr>
        <w:t xml:space="preserve">prescribed under that section.’ </w:t>
      </w:r>
    </w:p>
    <w:p w14:paraId="08711F84" w14:textId="77777777" w:rsidR="0057066C" w:rsidRPr="0057066C" w:rsidRDefault="0057066C" w:rsidP="00E05157">
      <w:pPr>
        <w:rPr>
          <w:rFonts w:ascii="Arial" w:hAnsi="Arial" w:cs="Arial"/>
          <w:lang w:val="en-US"/>
        </w:rPr>
      </w:pPr>
    </w:p>
    <w:p w14:paraId="76D2B788" w14:textId="77777777" w:rsidR="0057066C" w:rsidRPr="0057066C" w:rsidRDefault="0057066C" w:rsidP="00E05157">
      <w:pPr>
        <w:rPr>
          <w:rFonts w:ascii="Arial" w:hAnsi="Arial" w:cs="Arial"/>
          <w:lang w:val="en-US"/>
        </w:rPr>
      </w:pPr>
      <w:r w:rsidRPr="0057066C">
        <w:rPr>
          <w:rFonts w:ascii="Arial" w:hAnsi="Arial" w:cs="Arial"/>
          <w:lang w:val="en-US"/>
        </w:rPr>
        <w:t>[15]</w:t>
      </w:r>
      <w:r w:rsidRPr="0057066C">
        <w:rPr>
          <w:rFonts w:ascii="Arial" w:hAnsi="Arial" w:cs="Arial"/>
          <w:lang w:val="en-US"/>
        </w:rPr>
        <w:tab/>
        <w:t>Chapter 9 of the FCA provides for the storage, transport and carrying of firearms and ammunition. Section 83, which is found in that chapter, provides that firearms and ammunition must be stored and transported in the prescribed manner. Section 145(1)</w:t>
      </w:r>
      <w:r w:rsidRPr="0057066C">
        <w:rPr>
          <w:rFonts w:ascii="Arial" w:hAnsi="Arial" w:cs="Arial"/>
          <w:i/>
          <w:iCs/>
          <w:lang w:val="en-US"/>
        </w:rPr>
        <w:t>(a)</w:t>
      </w:r>
      <w:r w:rsidRPr="0057066C">
        <w:rPr>
          <w:rFonts w:ascii="Arial" w:hAnsi="Arial" w:cs="Arial"/>
          <w:lang w:val="en-US"/>
        </w:rPr>
        <w:t xml:space="preserve"> of the FCA provides that the Minister of Safety and Security, may by notice in the Gazette, make regulations regarding, </w:t>
      </w:r>
      <w:r w:rsidRPr="0057066C">
        <w:rPr>
          <w:rFonts w:ascii="Arial" w:hAnsi="Arial" w:cs="Arial"/>
          <w:i/>
          <w:lang w:val="en-US"/>
        </w:rPr>
        <w:t>inter alia</w:t>
      </w:r>
      <w:r w:rsidRPr="0057066C">
        <w:rPr>
          <w:rFonts w:ascii="Arial" w:hAnsi="Arial" w:cs="Arial"/>
          <w:lang w:val="en-US"/>
        </w:rPr>
        <w:t>, anything that may or must be prescribed in terms of the FCA.</w:t>
      </w:r>
    </w:p>
    <w:p w14:paraId="0CD7DF89" w14:textId="77777777" w:rsidR="0057066C" w:rsidRPr="0057066C" w:rsidRDefault="0057066C" w:rsidP="00E05157">
      <w:pPr>
        <w:rPr>
          <w:rFonts w:ascii="Arial" w:hAnsi="Arial" w:cs="Arial"/>
          <w:b/>
          <w:bCs/>
          <w:u w:val="single"/>
          <w:lang w:val="en-US"/>
        </w:rPr>
      </w:pPr>
    </w:p>
    <w:p w14:paraId="50A73973" w14:textId="368A22DD" w:rsidR="0057066C" w:rsidRPr="0057066C" w:rsidRDefault="0057066C" w:rsidP="00E05157">
      <w:pPr>
        <w:rPr>
          <w:rFonts w:ascii="Arial" w:hAnsi="Arial" w:cs="Arial"/>
          <w:lang w:val="en-US"/>
        </w:rPr>
      </w:pPr>
      <w:r w:rsidRPr="0057066C">
        <w:rPr>
          <w:rFonts w:ascii="Arial" w:hAnsi="Arial" w:cs="Arial"/>
          <w:lang w:val="en-US"/>
        </w:rPr>
        <w:t>[16]</w:t>
      </w:r>
      <w:r w:rsidRPr="0057066C">
        <w:rPr>
          <w:rFonts w:ascii="Arial" w:hAnsi="Arial" w:cs="Arial"/>
          <w:lang w:val="en-US"/>
        </w:rPr>
        <w:tab/>
        <w:t xml:space="preserve">I now deal with the interpretation to be ascribed to regulation 67. The word ‘person’ in regulation 67 is neither defined in the </w:t>
      </w:r>
      <w:r w:rsidR="0064751D">
        <w:rPr>
          <w:rFonts w:ascii="Arial" w:hAnsi="Arial" w:cs="Arial"/>
          <w:lang w:val="en-US"/>
        </w:rPr>
        <w:t>r</w:t>
      </w:r>
      <w:r w:rsidRPr="0057066C">
        <w:rPr>
          <w:rFonts w:ascii="Arial" w:hAnsi="Arial" w:cs="Arial"/>
          <w:lang w:val="en-US"/>
        </w:rPr>
        <w:t>egulations nor in the FCA. The word ‘person’ in regulation 67(1) is, however, a reference to a holder of a dealer’s or gunsmith’s licence</w:t>
      </w:r>
      <w:r w:rsidR="00663A72">
        <w:rPr>
          <w:rFonts w:ascii="Arial" w:hAnsi="Arial" w:cs="Arial"/>
          <w:lang w:val="en-US"/>
        </w:rPr>
        <w:t>,</w:t>
      </w:r>
      <w:r w:rsidRPr="0057066C">
        <w:rPr>
          <w:rFonts w:ascii="Arial" w:hAnsi="Arial" w:cs="Arial"/>
          <w:lang w:val="en-US"/>
        </w:rPr>
        <w:t xml:space="preserve"> wh</w:t>
      </w:r>
      <w:r w:rsidR="00663A72">
        <w:rPr>
          <w:rFonts w:ascii="Arial" w:hAnsi="Arial" w:cs="Arial"/>
          <w:lang w:val="en-US"/>
        </w:rPr>
        <w:t>o</w:t>
      </w:r>
      <w:r w:rsidRPr="0057066C">
        <w:rPr>
          <w:rFonts w:ascii="Arial" w:hAnsi="Arial" w:cs="Arial"/>
          <w:lang w:val="en-US"/>
        </w:rPr>
        <w:t xml:space="preserve"> provides storage facilities for firearms and ammunition. This much is clear from regulation 67(3)</w:t>
      </w:r>
      <w:r w:rsidR="00663A72">
        <w:rPr>
          <w:rFonts w:ascii="Arial" w:hAnsi="Arial" w:cs="Arial"/>
          <w:lang w:val="en-US"/>
        </w:rPr>
        <w:t>,</w:t>
      </w:r>
      <w:r w:rsidRPr="0057066C">
        <w:rPr>
          <w:rFonts w:ascii="Arial" w:hAnsi="Arial" w:cs="Arial"/>
          <w:lang w:val="en-US"/>
        </w:rPr>
        <w:t xml:space="preserve"> which provides that a ‘holder of a dealer’s or gunsmith’s licence may provide storage for firearms and ammunition in the safe or strong room specified in the dealer’s or gunsmith’s licence’. In terms of regulation 67(3) ‘such storage facilities must conform to the applicable requirements for a safe or strong room as set out in the SAB Standard 953-1 or 953-2</w:t>
      </w:r>
      <w:r w:rsidR="009B7353">
        <w:rPr>
          <w:rFonts w:ascii="Arial" w:hAnsi="Arial" w:cs="Arial"/>
          <w:lang w:val="en-US"/>
        </w:rPr>
        <w:t>’</w:t>
      </w:r>
      <w:r w:rsidRPr="0057066C">
        <w:rPr>
          <w:rFonts w:ascii="Arial" w:hAnsi="Arial" w:cs="Arial"/>
          <w:lang w:val="en-US"/>
        </w:rPr>
        <w:t xml:space="preserve">. </w:t>
      </w:r>
    </w:p>
    <w:p w14:paraId="3A53D0D6" w14:textId="77777777" w:rsidR="0057066C" w:rsidRPr="0057066C" w:rsidRDefault="0057066C" w:rsidP="00E05157">
      <w:pPr>
        <w:rPr>
          <w:rFonts w:ascii="Arial" w:hAnsi="Arial" w:cs="Arial"/>
          <w:lang w:val="en-US"/>
        </w:rPr>
      </w:pPr>
    </w:p>
    <w:p w14:paraId="3C7F7656" w14:textId="0BF23EAA" w:rsidR="0057066C" w:rsidRPr="0057066C" w:rsidRDefault="0057066C" w:rsidP="00E05157">
      <w:pPr>
        <w:rPr>
          <w:rFonts w:ascii="Arial" w:hAnsi="Arial" w:cs="Arial"/>
          <w:lang w:val="en-US"/>
        </w:rPr>
      </w:pPr>
      <w:r w:rsidRPr="0057066C">
        <w:rPr>
          <w:rFonts w:ascii="Arial" w:hAnsi="Arial" w:cs="Arial"/>
          <w:lang w:val="en-US"/>
        </w:rPr>
        <w:t>[17]</w:t>
      </w:r>
      <w:r w:rsidRPr="0057066C">
        <w:rPr>
          <w:rFonts w:ascii="Arial" w:hAnsi="Arial" w:cs="Arial"/>
          <w:lang w:val="en-US"/>
        </w:rPr>
        <w:tab/>
        <w:t xml:space="preserve">The term ‘another person’ as used in regulation 67(1) is a reference to ‘a person who may lawfully possess the firearm or ammunition’ as contemplated in regulation 67(2) of the </w:t>
      </w:r>
      <w:r w:rsidR="00663A72">
        <w:rPr>
          <w:rFonts w:ascii="Arial" w:hAnsi="Arial" w:cs="Arial"/>
          <w:lang w:val="en-US"/>
        </w:rPr>
        <w:t>r</w:t>
      </w:r>
      <w:r w:rsidRPr="0057066C">
        <w:rPr>
          <w:rFonts w:ascii="Arial" w:hAnsi="Arial" w:cs="Arial"/>
          <w:lang w:val="en-US"/>
        </w:rPr>
        <w:t>egulations. This sub-regulation provides that ‘[s]torage may only be provided to a person who may lawfully possess the firearm and ammunition’. The appellants argue that bec</w:t>
      </w:r>
      <w:r w:rsidR="00360ACE">
        <w:rPr>
          <w:rFonts w:ascii="Arial" w:hAnsi="Arial" w:cs="Arial"/>
          <w:lang w:val="en-US"/>
        </w:rPr>
        <w:t>ause a dealer’s licence authoris</w:t>
      </w:r>
      <w:r w:rsidRPr="0057066C">
        <w:rPr>
          <w:rFonts w:ascii="Arial" w:hAnsi="Arial" w:cs="Arial"/>
          <w:lang w:val="en-US"/>
        </w:rPr>
        <w:t xml:space="preserve">es a dealer to possess firearms for </w:t>
      </w:r>
      <w:r w:rsidR="004068F5">
        <w:rPr>
          <w:rFonts w:ascii="Arial" w:hAnsi="Arial" w:cs="Arial"/>
          <w:lang w:val="en-US"/>
        </w:rPr>
        <w:t xml:space="preserve">the </w:t>
      </w:r>
      <w:r w:rsidRPr="0057066C">
        <w:rPr>
          <w:rFonts w:ascii="Arial" w:hAnsi="Arial" w:cs="Arial"/>
          <w:lang w:val="en-US"/>
        </w:rPr>
        <w:t xml:space="preserve">purposes of trading in them, the phrase ‘a person who may lawfully possess a firearm and ammunition’ in regulation 67(2) must be construed as including a holder of a dealer’s or gunsmith’s licence. They contend that on this construction, regulation 67 permits a holder of a dealer’s licence to provide storage facilities to another holder of a dealer’s licence. </w:t>
      </w:r>
    </w:p>
    <w:p w14:paraId="00EB9DDC" w14:textId="77777777" w:rsidR="0057066C" w:rsidRPr="0057066C" w:rsidRDefault="0057066C" w:rsidP="00E05157">
      <w:pPr>
        <w:rPr>
          <w:rFonts w:ascii="Arial" w:hAnsi="Arial" w:cs="Arial"/>
          <w:lang w:val="en-US"/>
        </w:rPr>
      </w:pPr>
    </w:p>
    <w:p w14:paraId="6A13A183" w14:textId="675ABFF8" w:rsidR="0057066C" w:rsidRPr="0057066C" w:rsidRDefault="0057066C" w:rsidP="00E05157">
      <w:pPr>
        <w:rPr>
          <w:rFonts w:ascii="Arial" w:hAnsi="Arial" w:cs="Arial"/>
          <w:lang w:val="en-US"/>
        </w:rPr>
      </w:pPr>
      <w:r w:rsidRPr="0057066C">
        <w:rPr>
          <w:rFonts w:ascii="Arial" w:hAnsi="Arial" w:cs="Arial"/>
          <w:lang w:val="en-US"/>
        </w:rPr>
        <w:t>[18]</w:t>
      </w:r>
      <w:r w:rsidRPr="0057066C">
        <w:rPr>
          <w:rFonts w:ascii="Arial" w:hAnsi="Arial" w:cs="Arial"/>
          <w:lang w:val="en-US"/>
        </w:rPr>
        <w:tab/>
        <w:t>Regulation 86 deals with the safe custody of firearms and ammunition by, on the one hand, dealers and gunsmiths and, on the other, an individual holder of a firearm licence, authori</w:t>
      </w:r>
      <w:r w:rsidR="00663A72">
        <w:rPr>
          <w:rFonts w:ascii="Arial" w:hAnsi="Arial" w:cs="Arial"/>
          <w:lang w:val="en-US"/>
        </w:rPr>
        <w:t>s</w:t>
      </w:r>
      <w:r w:rsidRPr="0057066C">
        <w:rPr>
          <w:rFonts w:ascii="Arial" w:hAnsi="Arial" w:cs="Arial"/>
          <w:lang w:val="en-US"/>
        </w:rPr>
        <w:t>ation or permit to possess a firearm. Regulations 86(1) and (2) provide:</w:t>
      </w:r>
    </w:p>
    <w:p w14:paraId="0E281F52" w14:textId="1E9FDF1A" w:rsidR="0057066C" w:rsidRPr="0057066C" w:rsidRDefault="0057066C" w:rsidP="00E05157">
      <w:pPr>
        <w:rPr>
          <w:rFonts w:ascii="Arial" w:hAnsi="Arial" w:cs="Arial"/>
          <w:sz w:val="22"/>
          <w:lang w:val="en-US"/>
        </w:rPr>
      </w:pPr>
      <w:r w:rsidRPr="0057066C">
        <w:rPr>
          <w:rFonts w:ascii="Arial" w:hAnsi="Arial" w:cs="Arial"/>
          <w:sz w:val="22"/>
          <w:lang w:val="en-US"/>
        </w:rPr>
        <w:t>‘(1)</w:t>
      </w:r>
      <w:r w:rsidR="00663A72">
        <w:rPr>
          <w:rFonts w:ascii="Arial" w:hAnsi="Arial" w:cs="Arial"/>
          <w:sz w:val="22"/>
          <w:lang w:val="en-US"/>
        </w:rPr>
        <w:t xml:space="preserve"> </w:t>
      </w:r>
      <w:r w:rsidRPr="0057066C">
        <w:rPr>
          <w:rFonts w:ascii="Arial" w:hAnsi="Arial" w:cs="Arial"/>
          <w:sz w:val="22"/>
          <w:lang w:val="en-US"/>
        </w:rPr>
        <w:t xml:space="preserve">When a firearm or muzzle loading firearm is not under the direct personal and physical control of a holder of a licence, authorisation or permit to possess the firearm or muzzle loading firearm, the firearm or muzzle loading firearm and its ammunition must be stored in a safe place or storeroom that conforms to the prescripts of SABS Standard 953-1 and 953-2, unless otherwise specifically provided in these regulations.  </w:t>
      </w:r>
    </w:p>
    <w:p w14:paraId="34464DFA" w14:textId="78EFA6A0" w:rsidR="0057066C" w:rsidRPr="0057066C" w:rsidRDefault="0057066C" w:rsidP="00E05157">
      <w:pPr>
        <w:rPr>
          <w:rFonts w:ascii="Arial" w:hAnsi="Arial" w:cs="Arial"/>
          <w:sz w:val="22"/>
          <w:lang w:val="en-US"/>
        </w:rPr>
      </w:pPr>
      <w:r w:rsidRPr="0057066C">
        <w:rPr>
          <w:rFonts w:ascii="Arial" w:hAnsi="Arial" w:cs="Arial"/>
          <w:sz w:val="22"/>
          <w:lang w:val="en-US"/>
        </w:rPr>
        <w:t>(2) Subject to regulation 36(2) a dealer or gunsmith must store firearms or muzzle loading firearms and ammunition in a safe or strong</w:t>
      </w:r>
      <w:r w:rsidR="009B7353">
        <w:rPr>
          <w:rFonts w:ascii="Arial" w:hAnsi="Arial" w:cs="Arial"/>
          <w:sz w:val="22"/>
          <w:lang w:val="en-US"/>
        </w:rPr>
        <w:t xml:space="preserve"> </w:t>
      </w:r>
      <w:r w:rsidRPr="0057066C">
        <w:rPr>
          <w:rFonts w:ascii="Arial" w:hAnsi="Arial" w:cs="Arial"/>
          <w:sz w:val="22"/>
          <w:lang w:val="en-US"/>
        </w:rPr>
        <w:t xml:space="preserve">room that conforms to the prescriptions of SABS Standard 953-1 and 953-2, at the place of business specified on the applicable licence, authorisation and permit, as the case may be.’ </w:t>
      </w:r>
    </w:p>
    <w:p w14:paraId="082A4AB6" w14:textId="77777777" w:rsidR="0057066C" w:rsidRPr="0057066C" w:rsidRDefault="0057066C" w:rsidP="00E05157">
      <w:pPr>
        <w:rPr>
          <w:rFonts w:ascii="Arial" w:hAnsi="Arial" w:cs="Arial"/>
          <w:lang w:val="en-US"/>
        </w:rPr>
      </w:pPr>
    </w:p>
    <w:p w14:paraId="5980E841" w14:textId="0801CD51" w:rsidR="0057066C" w:rsidRPr="0057066C" w:rsidRDefault="0057066C" w:rsidP="00E05157">
      <w:pPr>
        <w:rPr>
          <w:rFonts w:ascii="Arial" w:hAnsi="Arial" w:cs="Arial"/>
          <w:lang w:val="en-US"/>
        </w:rPr>
      </w:pPr>
      <w:r w:rsidRPr="0057066C">
        <w:rPr>
          <w:rFonts w:ascii="Arial" w:hAnsi="Arial" w:cs="Arial"/>
          <w:lang w:val="en-US"/>
        </w:rPr>
        <w:t>[19]</w:t>
      </w:r>
      <w:r w:rsidRPr="0057066C">
        <w:rPr>
          <w:rFonts w:ascii="Arial" w:hAnsi="Arial" w:cs="Arial"/>
          <w:lang w:val="en-US"/>
        </w:rPr>
        <w:tab/>
        <w:t xml:space="preserve">To interpret the words ‘a person who may lawfully possess the firearms and ammunition’ in regulation 67(2) </w:t>
      </w:r>
      <w:r w:rsidR="004068F5">
        <w:rPr>
          <w:rFonts w:ascii="Arial" w:hAnsi="Arial" w:cs="Arial"/>
          <w:lang w:val="en-US"/>
        </w:rPr>
        <w:t xml:space="preserve">so </w:t>
      </w:r>
      <w:r w:rsidRPr="0057066C">
        <w:rPr>
          <w:rFonts w:ascii="Arial" w:hAnsi="Arial" w:cs="Arial"/>
          <w:lang w:val="en-US"/>
        </w:rPr>
        <w:t xml:space="preserve">as </w:t>
      </w:r>
      <w:r w:rsidR="004068F5">
        <w:rPr>
          <w:rFonts w:ascii="Arial" w:hAnsi="Arial" w:cs="Arial"/>
          <w:lang w:val="en-US"/>
        </w:rPr>
        <w:t>to include</w:t>
      </w:r>
      <w:r w:rsidRPr="0057066C">
        <w:rPr>
          <w:rFonts w:ascii="Arial" w:hAnsi="Arial" w:cs="Arial"/>
          <w:lang w:val="en-US"/>
        </w:rPr>
        <w:t xml:space="preserve"> dealers, would be to contradict regulation 86(2)</w:t>
      </w:r>
      <w:r w:rsidR="00663A72">
        <w:rPr>
          <w:rFonts w:ascii="Arial" w:hAnsi="Arial" w:cs="Arial"/>
          <w:lang w:val="en-US"/>
        </w:rPr>
        <w:t>,</w:t>
      </w:r>
      <w:r w:rsidRPr="0057066C">
        <w:rPr>
          <w:rFonts w:ascii="Arial" w:hAnsi="Arial" w:cs="Arial"/>
          <w:lang w:val="en-US"/>
        </w:rPr>
        <w:t xml:space="preserve"> which expressly provides that a dealer or gunsmith must store, </w:t>
      </w:r>
      <w:r w:rsidRPr="0057066C">
        <w:rPr>
          <w:rFonts w:ascii="Arial" w:hAnsi="Arial" w:cs="Arial"/>
          <w:i/>
          <w:lang w:val="en-US"/>
        </w:rPr>
        <w:t>inter alia</w:t>
      </w:r>
      <w:r w:rsidRPr="0057066C">
        <w:rPr>
          <w:rFonts w:ascii="Arial" w:hAnsi="Arial" w:cs="Arial"/>
          <w:lang w:val="en-US"/>
        </w:rPr>
        <w:t>, firearms in a safe or strong</w:t>
      </w:r>
      <w:r w:rsidR="009B7353">
        <w:rPr>
          <w:rFonts w:ascii="Arial" w:hAnsi="Arial" w:cs="Arial"/>
          <w:lang w:val="en-US"/>
        </w:rPr>
        <w:t xml:space="preserve"> </w:t>
      </w:r>
      <w:r w:rsidRPr="0057066C">
        <w:rPr>
          <w:rFonts w:ascii="Arial" w:hAnsi="Arial" w:cs="Arial"/>
          <w:lang w:val="en-US"/>
        </w:rPr>
        <w:t>room</w:t>
      </w:r>
      <w:r w:rsidR="00663A72">
        <w:rPr>
          <w:rFonts w:ascii="Arial" w:hAnsi="Arial" w:cs="Arial"/>
          <w:lang w:val="en-US"/>
        </w:rPr>
        <w:t xml:space="preserve"> </w:t>
      </w:r>
      <w:r w:rsidRPr="0057066C">
        <w:rPr>
          <w:rFonts w:ascii="Arial" w:hAnsi="Arial" w:cs="Arial"/>
          <w:lang w:val="en-US"/>
        </w:rPr>
        <w:t>that conforms to the prescriptions of SABS Standard 953-1 and 953-2</w:t>
      </w:r>
      <w:r w:rsidR="00663A72">
        <w:rPr>
          <w:rFonts w:ascii="Arial" w:hAnsi="Arial" w:cs="Arial"/>
          <w:lang w:val="en-US"/>
        </w:rPr>
        <w:t xml:space="preserve"> </w:t>
      </w:r>
      <w:r w:rsidRPr="0057066C">
        <w:rPr>
          <w:rFonts w:ascii="Arial" w:hAnsi="Arial" w:cs="Arial"/>
          <w:lang w:val="en-US"/>
        </w:rPr>
        <w:t xml:space="preserve">at the place of business specified in the licence. This duty is peremptory and applies across the board to all dealers. </w:t>
      </w:r>
    </w:p>
    <w:p w14:paraId="415AF209" w14:textId="77777777" w:rsidR="0057066C" w:rsidRPr="0057066C" w:rsidRDefault="0057066C" w:rsidP="00E05157">
      <w:pPr>
        <w:rPr>
          <w:rFonts w:ascii="Arial" w:hAnsi="Arial" w:cs="Arial"/>
          <w:lang w:val="en-US"/>
        </w:rPr>
      </w:pPr>
    </w:p>
    <w:p w14:paraId="590416BD" w14:textId="11E4C053" w:rsidR="0057066C" w:rsidRPr="0057066C" w:rsidRDefault="0057066C" w:rsidP="00E05157">
      <w:pPr>
        <w:rPr>
          <w:rFonts w:ascii="Arial" w:hAnsi="Arial" w:cs="Arial"/>
          <w:lang w:val="en-US"/>
        </w:rPr>
      </w:pPr>
      <w:r w:rsidRPr="0057066C">
        <w:rPr>
          <w:rFonts w:ascii="Arial" w:hAnsi="Arial" w:cs="Arial"/>
          <w:lang w:val="en-US"/>
        </w:rPr>
        <w:lastRenderedPageBreak/>
        <w:t>[20]</w:t>
      </w:r>
      <w:r w:rsidRPr="0057066C">
        <w:rPr>
          <w:rFonts w:ascii="Arial" w:hAnsi="Arial" w:cs="Arial"/>
          <w:lang w:val="en-US"/>
        </w:rPr>
        <w:tab/>
        <w:t>In terms of regulation 86(2), there is a nexus between storage of the firearms and ammunition and the place of business specified on the dealer’s licence. This connection to the place of business specified in the dealer’s licence, is consistent with the provisions of s 39(1) of the FCA</w:t>
      </w:r>
      <w:r w:rsidR="007D254F">
        <w:rPr>
          <w:rFonts w:ascii="Arial" w:hAnsi="Arial" w:cs="Arial"/>
          <w:lang w:val="en-US"/>
        </w:rPr>
        <w:t>,</w:t>
      </w:r>
      <w:r w:rsidRPr="0057066C">
        <w:rPr>
          <w:rFonts w:ascii="Arial" w:hAnsi="Arial" w:cs="Arial"/>
          <w:lang w:val="en-US"/>
        </w:rPr>
        <w:t xml:space="preserve"> which provides that ‘[a] dealer may trade in firearms or ammunition only on premises specified in the dealer’s licence’. It is arguable that on the ordinary grammatical meaning of the word ‘trade’, it is limited to the activity of buying and selling firearms and ammunition. However, on a contextual interpretation that has regard to the provisions of the FCA, the business premises specified in the dealer’s licence is intrinsically connected to both the trade in, and storage of, firearms and ammunition by a dealer. Textual indicators in the FCA that confirm this connection are found in: </w:t>
      </w:r>
    </w:p>
    <w:p w14:paraId="0CE937D7" w14:textId="704A4045" w:rsidR="0057066C" w:rsidRPr="00874CBA" w:rsidRDefault="007D254F" w:rsidP="00E05157">
      <w:pPr>
        <w:rPr>
          <w:rFonts w:ascii="Arial" w:hAnsi="Arial" w:cs="Arial"/>
          <w:lang w:val="en-US"/>
        </w:rPr>
      </w:pPr>
      <w:r>
        <w:rPr>
          <w:rFonts w:ascii="Arial" w:hAnsi="Arial" w:cs="Arial"/>
          <w:lang w:val="en-US"/>
        </w:rPr>
        <w:t xml:space="preserve">(a) </w:t>
      </w:r>
      <w:r w:rsidR="0057066C" w:rsidRPr="00874CBA">
        <w:rPr>
          <w:rFonts w:ascii="Arial" w:hAnsi="Arial" w:cs="Arial"/>
          <w:lang w:val="en-US"/>
        </w:rPr>
        <w:t>section 33</w:t>
      </w:r>
      <w:r w:rsidR="0057066C" w:rsidRPr="00874CBA">
        <w:rPr>
          <w:rFonts w:ascii="Arial" w:hAnsi="Arial" w:cs="Arial"/>
          <w:i/>
          <w:iCs/>
          <w:lang w:val="en-US"/>
        </w:rPr>
        <w:t>(b)</w:t>
      </w:r>
      <w:r>
        <w:rPr>
          <w:rFonts w:ascii="Arial" w:hAnsi="Arial" w:cs="Arial"/>
          <w:i/>
          <w:iCs/>
          <w:lang w:val="en-US"/>
        </w:rPr>
        <w:t>,</w:t>
      </w:r>
      <w:r w:rsidR="0057066C" w:rsidRPr="00874CBA">
        <w:rPr>
          <w:rFonts w:ascii="Arial" w:hAnsi="Arial" w:cs="Arial"/>
          <w:lang w:val="en-US"/>
        </w:rPr>
        <w:t xml:space="preserve"> which provides that the Minister may prescribe ‘specifications in respect of the business premises of a dealer’; </w:t>
      </w:r>
    </w:p>
    <w:p w14:paraId="6A0FEB26" w14:textId="6B907F4A" w:rsidR="0057066C" w:rsidRPr="00874CBA" w:rsidRDefault="007D254F" w:rsidP="00E05157">
      <w:pPr>
        <w:rPr>
          <w:rFonts w:ascii="Arial" w:hAnsi="Arial" w:cs="Arial"/>
          <w:lang w:val="en-US"/>
        </w:rPr>
      </w:pPr>
      <w:r>
        <w:rPr>
          <w:rFonts w:ascii="Arial" w:hAnsi="Arial" w:cs="Arial"/>
          <w:lang w:val="en-US"/>
        </w:rPr>
        <w:t xml:space="preserve">(b) </w:t>
      </w:r>
      <w:r w:rsidR="0057066C" w:rsidRPr="00874CBA">
        <w:rPr>
          <w:rFonts w:ascii="Arial" w:hAnsi="Arial" w:cs="Arial"/>
          <w:lang w:val="en-US"/>
        </w:rPr>
        <w:t>section 34</w:t>
      </w:r>
      <w:r>
        <w:rPr>
          <w:rFonts w:ascii="Arial" w:hAnsi="Arial" w:cs="Arial"/>
          <w:lang w:val="en-US"/>
        </w:rPr>
        <w:t>,</w:t>
      </w:r>
      <w:r w:rsidR="0057066C" w:rsidRPr="00874CBA">
        <w:rPr>
          <w:rFonts w:ascii="Arial" w:hAnsi="Arial" w:cs="Arial"/>
          <w:lang w:val="en-US"/>
        </w:rPr>
        <w:t xml:space="preserve"> which provides that the dealer must specify the premises in respect of which the licence is issued; </w:t>
      </w:r>
    </w:p>
    <w:p w14:paraId="7FBD0BE9" w14:textId="21702D33" w:rsidR="0057066C" w:rsidRPr="00874CBA" w:rsidRDefault="007D254F" w:rsidP="00E05157">
      <w:pPr>
        <w:rPr>
          <w:rFonts w:ascii="Arial" w:hAnsi="Arial" w:cs="Arial"/>
          <w:lang w:val="en-US"/>
        </w:rPr>
      </w:pPr>
      <w:r>
        <w:rPr>
          <w:rFonts w:ascii="Arial" w:hAnsi="Arial" w:cs="Arial"/>
          <w:lang w:val="en-US"/>
        </w:rPr>
        <w:t xml:space="preserve">(c) </w:t>
      </w:r>
      <w:r w:rsidR="0057066C" w:rsidRPr="00874CBA">
        <w:rPr>
          <w:rFonts w:ascii="Arial" w:hAnsi="Arial" w:cs="Arial"/>
          <w:lang w:val="en-US"/>
        </w:rPr>
        <w:t>section 39(4)</w:t>
      </w:r>
      <w:r>
        <w:rPr>
          <w:rFonts w:ascii="Arial" w:hAnsi="Arial" w:cs="Arial"/>
          <w:lang w:val="en-US"/>
        </w:rPr>
        <w:t>,</w:t>
      </w:r>
      <w:r w:rsidR="0057066C" w:rsidRPr="00874CBA">
        <w:rPr>
          <w:rFonts w:ascii="Arial" w:hAnsi="Arial" w:cs="Arial"/>
          <w:lang w:val="en-US"/>
        </w:rPr>
        <w:t xml:space="preserve"> which provides that a dealer must keep such registers as prescribed and containing such information as prescribed at the premises specified in the licence; </w:t>
      </w:r>
    </w:p>
    <w:p w14:paraId="127ED432" w14:textId="6782C5FB" w:rsidR="0057066C" w:rsidRPr="00874CBA" w:rsidRDefault="007D254F" w:rsidP="00E05157">
      <w:pPr>
        <w:rPr>
          <w:rFonts w:ascii="Arial" w:hAnsi="Arial" w:cs="Arial"/>
          <w:lang w:val="en-US"/>
        </w:rPr>
      </w:pPr>
      <w:r>
        <w:rPr>
          <w:rFonts w:ascii="Arial" w:hAnsi="Arial" w:cs="Arial"/>
          <w:lang w:val="en-US"/>
        </w:rPr>
        <w:t xml:space="preserve">(d) </w:t>
      </w:r>
      <w:r w:rsidR="0057066C" w:rsidRPr="00874CBA">
        <w:rPr>
          <w:rFonts w:ascii="Arial" w:hAnsi="Arial" w:cs="Arial"/>
          <w:lang w:val="en-US"/>
        </w:rPr>
        <w:t>section 39(5)</w:t>
      </w:r>
      <w:r>
        <w:rPr>
          <w:rFonts w:ascii="Arial" w:hAnsi="Arial" w:cs="Arial"/>
          <w:lang w:val="en-US"/>
        </w:rPr>
        <w:t>,</w:t>
      </w:r>
      <w:r w:rsidR="0057066C" w:rsidRPr="00874CBA">
        <w:rPr>
          <w:rFonts w:ascii="Arial" w:hAnsi="Arial" w:cs="Arial"/>
          <w:lang w:val="en-US"/>
        </w:rPr>
        <w:t xml:space="preserve"> which provides that the dealer must keep his or her dealer’s licence at the premises specified in the licence;</w:t>
      </w:r>
    </w:p>
    <w:p w14:paraId="269F4108" w14:textId="1EF220D4" w:rsidR="0057066C" w:rsidRPr="00874CBA" w:rsidRDefault="007D254F" w:rsidP="00E05157">
      <w:pPr>
        <w:rPr>
          <w:rFonts w:ascii="Arial" w:hAnsi="Arial" w:cs="Arial"/>
          <w:lang w:val="en-US"/>
        </w:rPr>
      </w:pPr>
      <w:r>
        <w:rPr>
          <w:rFonts w:ascii="Arial" w:hAnsi="Arial" w:cs="Arial"/>
          <w:lang w:val="en-US"/>
        </w:rPr>
        <w:t xml:space="preserve">(e) </w:t>
      </w:r>
      <w:r w:rsidR="0057066C" w:rsidRPr="00874CBA">
        <w:rPr>
          <w:rFonts w:ascii="Arial" w:hAnsi="Arial" w:cs="Arial"/>
          <w:lang w:val="en-US"/>
        </w:rPr>
        <w:t>section 39(9)</w:t>
      </w:r>
      <w:r>
        <w:rPr>
          <w:rFonts w:ascii="Arial" w:hAnsi="Arial" w:cs="Arial"/>
          <w:lang w:val="en-US"/>
        </w:rPr>
        <w:t>,</w:t>
      </w:r>
      <w:r w:rsidR="0057066C" w:rsidRPr="00874CBA">
        <w:rPr>
          <w:rFonts w:ascii="Arial" w:hAnsi="Arial" w:cs="Arial"/>
          <w:lang w:val="en-US"/>
        </w:rPr>
        <w:t xml:space="preserve"> which makes it mandatory for a dealer to comply with any, condition (in the licence) imposed under s 33 and, specification prescribed under the section.  </w:t>
      </w:r>
    </w:p>
    <w:p w14:paraId="468E9298" w14:textId="77777777" w:rsidR="0057066C" w:rsidRPr="0057066C" w:rsidRDefault="0057066C" w:rsidP="00E05157">
      <w:pPr>
        <w:rPr>
          <w:rFonts w:ascii="Arial" w:hAnsi="Arial" w:cs="Arial"/>
          <w:lang w:val="en-US"/>
        </w:rPr>
      </w:pPr>
    </w:p>
    <w:p w14:paraId="669A9E05" w14:textId="482E610F" w:rsidR="0057066C" w:rsidRPr="0057066C" w:rsidRDefault="0057066C" w:rsidP="00E05157">
      <w:pPr>
        <w:rPr>
          <w:rFonts w:ascii="Arial" w:hAnsi="Arial" w:cs="Arial"/>
          <w:lang w:val="en-US"/>
        </w:rPr>
      </w:pPr>
      <w:r w:rsidRPr="0057066C">
        <w:rPr>
          <w:rFonts w:ascii="Arial" w:hAnsi="Arial" w:cs="Arial"/>
          <w:lang w:val="en-US"/>
        </w:rPr>
        <w:t>[21]</w:t>
      </w:r>
      <w:r w:rsidRPr="0057066C">
        <w:rPr>
          <w:rFonts w:ascii="Arial" w:hAnsi="Arial" w:cs="Arial"/>
          <w:lang w:val="en-US"/>
        </w:rPr>
        <w:tab/>
        <w:t>In relation to the storage of firearms and ammunitions, s 83 of the FCA provides that they must be stored and transported as prescribed. Prescribed means prescribed by regulations in terms of s 145 of FCA. Regulation 86(2) then connects the storage of firearms and ammunition to the place of business specified in the dealer’s licence. As indicated, this sub-regulation obliges a dealer to store firearms and ammunition in a prescribed safe or strong</w:t>
      </w:r>
      <w:r w:rsidR="009B7353">
        <w:rPr>
          <w:rFonts w:ascii="Arial" w:hAnsi="Arial" w:cs="Arial"/>
          <w:lang w:val="en-US"/>
        </w:rPr>
        <w:t xml:space="preserve"> </w:t>
      </w:r>
      <w:r w:rsidRPr="0057066C">
        <w:rPr>
          <w:rFonts w:ascii="Arial" w:hAnsi="Arial" w:cs="Arial"/>
          <w:lang w:val="en-US"/>
        </w:rPr>
        <w:t xml:space="preserve">room at the place of business specified in the licence. Thus, having regard to the peremptory nature of regulation 86(2), the phrase ‘may only be provided to a person who may lawfully possess the firearm or ammunition’ in regulation 67(2) must be construed as a reference to an individual holder of a licence, authorisation or permit to possess a firearm or ammunition. </w:t>
      </w:r>
    </w:p>
    <w:p w14:paraId="54AD069F" w14:textId="77777777" w:rsidR="0057066C" w:rsidRPr="0057066C" w:rsidRDefault="0057066C" w:rsidP="00E05157">
      <w:pPr>
        <w:rPr>
          <w:rFonts w:ascii="Arial" w:hAnsi="Arial" w:cs="Arial"/>
          <w:lang w:val="en-US"/>
        </w:rPr>
      </w:pPr>
    </w:p>
    <w:p w14:paraId="0CE3F5AE" w14:textId="2AD046A6" w:rsidR="0057066C" w:rsidRPr="0057066C" w:rsidRDefault="0057066C" w:rsidP="00E05157">
      <w:pPr>
        <w:rPr>
          <w:rFonts w:ascii="Arial" w:hAnsi="Arial" w:cs="Arial"/>
          <w:lang w:val="en-US"/>
        </w:rPr>
      </w:pPr>
      <w:r w:rsidRPr="0057066C">
        <w:rPr>
          <w:rFonts w:ascii="Arial" w:hAnsi="Arial" w:cs="Arial"/>
          <w:lang w:val="en-US"/>
        </w:rPr>
        <w:t>[22]</w:t>
      </w:r>
      <w:r w:rsidRPr="0057066C">
        <w:rPr>
          <w:rFonts w:ascii="Arial" w:hAnsi="Arial" w:cs="Arial"/>
          <w:lang w:val="en-US"/>
        </w:rPr>
        <w:tab/>
        <w:t>Regulations 86(1), 86(4)</w:t>
      </w:r>
      <w:r w:rsidRPr="0057066C">
        <w:rPr>
          <w:rFonts w:ascii="Arial" w:hAnsi="Arial" w:cs="Arial"/>
          <w:i/>
          <w:iCs/>
          <w:lang w:val="en-US"/>
        </w:rPr>
        <w:t>(a)-(f)</w:t>
      </w:r>
      <w:r w:rsidRPr="0057066C">
        <w:rPr>
          <w:rStyle w:val="FootnoteReference"/>
          <w:rFonts w:ascii="Arial" w:hAnsi="Arial" w:cs="Arial"/>
          <w:lang w:val="en-US"/>
        </w:rPr>
        <w:footnoteReference w:id="11"/>
      </w:r>
      <w:r w:rsidRPr="0057066C">
        <w:rPr>
          <w:rFonts w:ascii="Arial" w:hAnsi="Arial" w:cs="Arial"/>
          <w:lang w:val="en-US"/>
        </w:rPr>
        <w:t xml:space="preserve"> and 86(11)</w:t>
      </w:r>
      <w:r w:rsidRPr="0057066C">
        <w:rPr>
          <w:rFonts w:ascii="Arial" w:hAnsi="Arial" w:cs="Arial"/>
          <w:i/>
          <w:iCs/>
          <w:lang w:val="en-US"/>
        </w:rPr>
        <w:t>(b)</w:t>
      </w:r>
      <w:r w:rsidRPr="0057066C">
        <w:rPr>
          <w:rStyle w:val="FootnoteReference"/>
          <w:rFonts w:ascii="Arial" w:hAnsi="Arial" w:cs="Arial"/>
          <w:lang w:val="en-US"/>
        </w:rPr>
        <w:footnoteReference w:id="12"/>
      </w:r>
      <w:r w:rsidRPr="0057066C">
        <w:rPr>
          <w:rFonts w:ascii="Arial" w:hAnsi="Arial" w:cs="Arial"/>
          <w:lang w:val="en-US"/>
        </w:rPr>
        <w:t xml:space="preserve"> of the </w:t>
      </w:r>
      <w:r w:rsidR="007D254F">
        <w:rPr>
          <w:rFonts w:ascii="Arial" w:hAnsi="Arial" w:cs="Arial"/>
          <w:lang w:val="en-US"/>
        </w:rPr>
        <w:t>r</w:t>
      </w:r>
      <w:r w:rsidRPr="0057066C">
        <w:rPr>
          <w:rFonts w:ascii="Arial" w:hAnsi="Arial" w:cs="Arial"/>
          <w:lang w:val="en-US"/>
        </w:rPr>
        <w:t xml:space="preserve">egulations deal with the safe custody of, and access to, firearms in relation to an individual holder of a licence, </w:t>
      </w:r>
      <w:r w:rsidR="00360ACE">
        <w:rPr>
          <w:rFonts w:ascii="Arial" w:hAnsi="Arial" w:cs="Arial"/>
          <w:lang w:val="en-US"/>
        </w:rPr>
        <w:t>authoris</w:t>
      </w:r>
      <w:r w:rsidRPr="0057066C">
        <w:rPr>
          <w:rFonts w:ascii="Arial" w:hAnsi="Arial" w:cs="Arial"/>
          <w:lang w:val="en-US"/>
        </w:rPr>
        <w:t>ation or permit to possess a firearm or ammunition. These sub-regulations use the term ‘person who may lawfully possess a forearm, muzzle loading firearm or ammunition’ interchangeably wit</w:t>
      </w:r>
      <w:r w:rsidR="00360ACE">
        <w:rPr>
          <w:rFonts w:ascii="Arial" w:hAnsi="Arial" w:cs="Arial"/>
          <w:lang w:val="en-US"/>
        </w:rPr>
        <w:t>h ‘holder of a licence, authoris</w:t>
      </w:r>
      <w:r w:rsidRPr="0057066C">
        <w:rPr>
          <w:rFonts w:ascii="Arial" w:hAnsi="Arial" w:cs="Arial"/>
          <w:lang w:val="en-US"/>
        </w:rPr>
        <w:t xml:space="preserve">ation or permit to possess’ </w:t>
      </w:r>
      <w:r w:rsidRPr="0057066C">
        <w:rPr>
          <w:rFonts w:ascii="Arial" w:hAnsi="Arial" w:cs="Arial"/>
          <w:lang w:val="en-US"/>
        </w:rPr>
        <w:lastRenderedPageBreak/>
        <w:t>or ‘person who holds a licence to possess a firearm’. However, properly const</w:t>
      </w:r>
      <w:r w:rsidR="00360ACE">
        <w:rPr>
          <w:rFonts w:ascii="Arial" w:hAnsi="Arial" w:cs="Arial"/>
          <w:lang w:val="en-US"/>
        </w:rPr>
        <w:t>rued, each of these terms refer</w:t>
      </w:r>
      <w:r w:rsidRPr="0057066C">
        <w:rPr>
          <w:rFonts w:ascii="Arial" w:hAnsi="Arial" w:cs="Arial"/>
          <w:lang w:val="en-US"/>
        </w:rPr>
        <w:t xml:space="preserve"> to an individual holder of a licence to possess firearms or ammunition, as opposed to a holder of a</w:t>
      </w:r>
      <w:r w:rsidR="00360ACE">
        <w:rPr>
          <w:rFonts w:ascii="Arial" w:hAnsi="Arial" w:cs="Arial"/>
          <w:lang w:val="en-US"/>
        </w:rPr>
        <w:t xml:space="preserve"> dealer’s licence</w:t>
      </w:r>
      <w:r w:rsidR="009E1FCA">
        <w:rPr>
          <w:rFonts w:ascii="Arial" w:hAnsi="Arial" w:cs="Arial"/>
          <w:lang w:val="en-US"/>
        </w:rPr>
        <w:t>,</w:t>
      </w:r>
      <w:r w:rsidR="00360ACE">
        <w:rPr>
          <w:rFonts w:ascii="Arial" w:hAnsi="Arial" w:cs="Arial"/>
          <w:lang w:val="en-US"/>
        </w:rPr>
        <w:t xml:space="preserve"> which authoris</w:t>
      </w:r>
      <w:r w:rsidRPr="0057066C">
        <w:rPr>
          <w:rFonts w:ascii="Arial" w:hAnsi="Arial" w:cs="Arial"/>
          <w:lang w:val="en-US"/>
        </w:rPr>
        <w:t xml:space="preserve">es it to trade in firearms and ammunition. </w:t>
      </w:r>
    </w:p>
    <w:p w14:paraId="2054C79D" w14:textId="77777777" w:rsidR="0057066C" w:rsidRPr="0057066C" w:rsidRDefault="0057066C" w:rsidP="00E05157">
      <w:pPr>
        <w:rPr>
          <w:rFonts w:ascii="Arial" w:hAnsi="Arial" w:cs="Arial"/>
          <w:lang w:val="en-US"/>
        </w:rPr>
      </w:pPr>
    </w:p>
    <w:p w14:paraId="6F7A9CBC" w14:textId="2CB1C3F3" w:rsidR="0057066C" w:rsidRPr="0057066C" w:rsidRDefault="0057066C" w:rsidP="00E05157">
      <w:pPr>
        <w:rPr>
          <w:rFonts w:ascii="Arial" w:hAnsi="Arial" w:cs="Arial"/>
          <w:lang w:val="en-US"/>
        </w:rPr>
      </w:pPr>
      <w:r w:rsidRPr="0057066C">
        <w:rPr>
          <w:rFonts w:ascii="Arial" w:hAnsi="Arial" w:cs="Arial"/>
          <w:lang w:val="en-US"/>
        </w:rPr>
        <w:t>[23]</w:t>
      </w:r>
      <w:r w:rsidRPr="0057066C">
        <w:rPr>
          <w:rFonts w:ascii="Arial" w:hAnsi="Arial" w:cs="Arial"/>
          <w:lang w:val="en-US"/>
        </w:rPr>
        <w:tab/>
        <w:t xml:space="preserve">Notably, the FCA references a firearm’s dealer specifically as ‘a dealer’ or a ‘holder of a dealer’s licence’. As do the </w:t>
      </w:r>
      <w:r w:rsidR="009E1FCA">
        <w:rPr>
          <w:rFonts w:ascii="Arial" w:hAnsi="Arial" w:cs="Arial"/>
          <w:lang w:val="en-US"/>
        </w:rPr>
        <w:t>r</w:t>
      </w:r>
      <w:r w:rsidRPr="0057066C">
        <w:rPr>
          <w:rFonts w:ascii="Arial" w:hAnsi="Arial" w:cs="Arial"/>
          <w:lang w:val="en-US"/>
        </w:rPr>
        <w:t xml:space="preserve">egulations. This is a further textual indicator that the phrase ‘may only be provided to a person who may lawfully possess the firearm or ammunition’ in regulation 67 of the </w:t>
      </w:r>
      <w:r w:rsidR="009E1FCA">
        <w:rPr>
          <w:rFonts w:ascii="Arial" w:hAnsi="Arial" w:cs="Arial"/>
          <w:lang w:val="en-US"/>
        </w:rPr>
        <w:t>r</w:t>
      </w:r>
      <w:r w:rsidRPr="0057066C">
        <w:rPr>
          <w:rFonts w:ascii="Arial" w:hAnsi="Arial" w:cs="Arial"/>
          <w:lang w:val="en-US"/>
        </w:rPr>
        <w:t>egulations, is a reference to an individual holder of a licence, authorisation or permit to possess a firearm or ammunition, and not another dealer.</w:t>
      </w:r>
    </w:p>
    <w:p w14:paraId="4DDBDC2C" w14:textId="77777777" w:rsidR="0057066C" w:rsidRPr="0057066C" w:rsidRDefault="0057066C" w:rsidP="00E05157">
      <w:pPr>
        <w:rPr>
          <w:rFonts w:ascii="Arial" w:hAnsi="Arial" w:cs="Arial"/>
          <w:lang w:val="en-US"/>
        </w:rPr>
      </w:pPr>
    </w:p>
    <w:p w14:paraId="069A51D7" w14:textId="3DBBEB6C" w:rsidR="0057066C" w:rsidRPr="0057066C" w:rsidRDefault="0057066C" w:rsidP="00E05157">
      <w:pPr>
        <w:rPr>
          <w:rFonts w:ascii="Arial" w:hAnsi="Arial" w:cs="Arial"/>
          <w:lang w:val="en-US"/>
        </w:rPr>
      </w:pPr>
      <w:r w:rsidRPr="0057066C">
        <w:rPr>
          <w:rFonts w:ascii="Arial" w:hAnsi="Arial" w:cs="Arial"/>
          <w:lang w:val="en-US"/>
        </w:rPr>
        <w:t>[24]</w:t>
      </w:r>
      <w:r w:rsidRPr="0057066C">
        <w:rPr>
          <w:rFonts w:ascii="Arial" w:hAnsi="Arial" w:cs="Arial"/>
          <w:lang w:val="en-US"/>
        </w:rPr>
        <w:tab/>
        <w:t>By the same token, the words ‘on behalf of t</w:t>
      </w:r>
      <w:r w:rsidR="00E05157">
        <w:rPr>
          <w:rFonts w:ascii="Arial" w:hAnsi="Arial" w:cs="Arial"/>
          <w:lang w:val="en-US"/>
        </w:rPr>
        <w:t>he holder of a licence, authoris</w:t>
      </w:r>
      <w:r w:rsidRPr="0057066C">
        <w:rPr>
          <w:rFonts w:ascii="Arial" w:hAnsi="Arial" w:cs="Arial"/>
          <w:lang w:val="en-US"/>
        </w:rPr>
        <w:t xml:space="preserve">ation or permit’ in regulation 37 of the </w:t>
      </w:r>
      <w:r w:rsidR="009E1FCA">
        <w:rPr>
          <w:rFonts w:ascii="Arial" w:hAnsi="Arial" w:cs="Arial"/>
          <w:lang w:val="en-US"/>
        </w:rPr>
        <w:t>r</w:t>
      </w:r>
      <w:r w:rsidRPr="0057066C">
        <w:rPr>
          <w:rFonts w:ascii="Arial" w:hAnsi="Arial" w:cs="Arial"/>
          <w:lang w:val="en-US"/>
        </w:rPr>
        <w:t>egulations must also be construed as a reference to an individual holder of a licence, authori</w:t>
      </w:r>
      <w:r w:rsidR="009E1FCA">
        <w:rPr>
          <w:rFonts w:ascii="Arial" w:hAnsi="Arial" w:cs="Arial"/>
          <w:lang w:val="en-US"/>
        </w:rPr>
        <w:t>s</w:t>
      </w:r>
      <w:r w:rsidRPr="0057066C">
        <w:rPr>
          <w:rFonts w:ascii="Arial" w:hAnsi="Arial" w:cs="Arial"/>
          <w:lang w:val="en-US"/>
        </w:rPr>
        <w:t>ation or permit to possess a firearm or ammunition. Regulation 37 obliges a dealer to keep a Firearms Safe Custody Register of the firearms that the dealer receives on behalf of a holder of a licence, authori</w:t>
      </w:r>
      <w:r w:rsidR="009E1FCA">
        <w:rPr>
          <w:rFonts w:ascii="Arial" w:hAnsi="Arial" w:cs="Arial"/>
          <w:lang w:val="en-US"/>
        </w:rPr>
        <w:t>s</w:t>
      </w:r>
      <w:r w:rsidRPr="0057066C">
        <w:rPr>
          <w:rFonts w:ascii="Arial" w:hAnsi="Arial" w:cs="Arial"/>
          <w:lang w:val="en-US"/>
        </w:rPr>
        <w:t xml:space="preserve">ation or permit for the purposes of the safe custody or transfer of the firearms. In terms of regulation 67, a dealer may provide storage to this category of licence holder as prescribed in the </w:t>
      </w:r>
      <w:r w:rsidR="009E1FCA">
        <w:rPr>
          <w:rFonts w:ascii="Arial" w:hAnsi="Arial" w:cs="Arial"/>
          <w:lang w:val="en-US"/>
        </w:rPr>
        <w:t>r</w:t>
      </w:r>
      <w:r w:rsidRPr="0057066C">
        <w:rPr>
          <w:rFonts w:ascii="Arial" w:hAnsi="Arial" w:cs="Arial"/>
          <w:lang w:val="en-US"/>
        </w:rPr>
        <w:t xml:space="preserve">egulations. </w:t>
      </w:r>
    </w:p>
    <w:p w14:paraId="69424E04" w14:textId="0BF3FC1E" w:rsidR="0057066C" w:rsidRPr="0057066C" w:rsidRDefault="0057066C" w:rsidP="00E05157">
      <w:pPr>
        <w:rPr>
          <w:rFonts w:ascii="Arial" w:hAnsi="Arial" w:cs="Arial"/>
          <w:lang w:val="en-US"/>
        </w:rPr>
      </w:pPr>
    </w:p>
    <w:p w14:paraId="2FB7D009" w14:textId="624053F9" w:rsidR="0057066C" w:rsidRPr="0057066C" w:rsidRDefault="0057066C" w:rsidP="00E05157">
      <w:pPr>
        <w:rPr>
          <w:rFonts w:ascii="Arial" w:hAnsi="Arial" w:cs="Arial"/>
        </w:rPr>
      </w:pPr>
      <w:r w:rsidRPr="0057066C">
        <w:rPr>
          <w:rFonts w:ascii="Arial" w:hAnsi="Arial" w:cs="Arial"/>
          <w:lang w:val="en-US"/>
        </w:rPr>
        <w:t>[25]</w:t>
      </w:r>
      <w:r w:rsidRPr="0057066C">
        <w:rPr>
          <w:rFonts w:ascii="Arial" w:hAnsi="Arial" w:cs="Arial"/>
          <w:lang w:val="en-US"/>
        </w:rPr>
        <w:tab/>
        <w:t xml:space="preserve">The </w:t>
      </w:r>
      <w:r w:rsidR="009E1FCA">
        <w:rPr>
          <w:rFonts w:ascii="Arial" w:hAnsi="Arial" w:cs="Arial"/>
          <w:lang w:val="en-US"/>
        </w:rPr>
        <w:t>r</w:t>
      </w:r>
      <w:r w:rsidRPr="0057066C">
        <w:rPr>
          <w:rFonts w:ascii="Arial" w:hAnsi="Arial" w:cs="Arial"/>
          <w:lang w:val="en-US"/>
        </w:rPr>
        <w:t xml:space="preserve">egulations are subordinate legislation. </w:t>
      </w:r>
      <w:r w:rsidRPr="0057066C">
        <w:rPr>
          <w:rFonts w:ascii="Arial" w:hAnsi="Arial" w:cs="Arial"/>
        </w:rPr>
        <w:t xml:space="preserve">They are the consequence of a statutory power conferred, by virtue of s 145 of the FCA, on the Minister of Safety and Security to make regulations on matters relating to, </w:t>
      </w:r>
      <w:r w:rsidRPr="0057066C">
        <w:rPr>
          <w:rFonts w:ascii="Arial" w:hAnsi="Arial" w:cs="Arial"/>
          <w:i/>
        </w:rPr>
        <w:t>inter alia</w:t>
      </w:r>
      <w:r w:rsidRPr="0057066C">
        <w:rPr>
          <w:rFonts w:ascii="Arial" w:hAnsi="Arial" w:cs="Arial"/>
        </w:rPr>
        <w:t xml:space="preserve">, anything that may or must be prescribed in terms of the FCA. Although the </w:t>
      </w:r>
      <w:r w:rsidR="009E1FCA">
        <w:rPr>
          <w:rFonts w:ascii="Arial" w:hAnsi="Arial" w:cs="Arial"/>
        </w:rPr>
        <w:t>r</w:t>
      </w:r>
      <w:r w:rsidRPr="0057066C">
        <w:rPr>
          <w:rFonts w:ascii="Arial" w:hAnsi="Arial" w:cs="Arial"/>
        </w:rPr>
        <w:t xml:space="preserve">egulations are binding with the force of law, they cannot impose requirements that are additional to, or inconsistent with, the FCA. They also cannot circumscribe the ambit of the FCA or override its provisions. They remain subordinate to the FCA. </w:t>
      </w:r>
    </w:p>
    <w:p w14:paraId="39B4C848" w14:textId="77777777" w:rsidR="0057066C" w:rsidRPr="0057066C" w:rsidRDefault="0057066C" w:rsidP="00E05157">
      <w:pPr>
        <w:rPr>
          <w:rFonts w:ascii="Arial" w:hAnsi="Arial" w:cs="Arial"/>
        </w:rPr>
      </w:pPr>
    </w:p>
    <w:p w14:paraId="677431EB" w14:textId="77777777" w:rsidR="0057066C" w:rsidRPr="0057066C" w:rsidRDefault="0057066C" w:rsidP="00E05157">
      <w:pPr>
        <w:rPr>
          <w:rFonts w:ascii="Arial" w:hAnsi="Arial" w:cs="Arial"/>
          <w:lang w:val="en-US"/>
        </w:rPr>
      </w:pPr>
      <w:r w:rsidRPr="0057066C">
        <w:rPr>
          <w:rFonts w:ascii="Arial" w:hAnsi="Arial" w:cs="Arial"/>
        </w:rPr>
        <w:t>[26]</w:t>
      </w:r>
      <w:r w:rsidRPr="0057066C">
        <w:rPr>
          <w:rFonts w:ascii="Arial" w:hAnsi="Arial" w:cs="Arial"/>
        </w:rPr>
        <w:tab/>
        <w:t xml:space="preserve">Consequently, </w:t>
      </w:r>
      <w:r w:rsidRPr="0057066C">
        <w:rPr>
          <w:rFonts w:ascii="Arial" w:hAnsi="Arial" w:cs="Arial"/>
          <w:lang w:val="en-US"/>
        </w:rPr>
        <w:t xml:space="preserve">to interpret regulation 67 as permitting a dealer (as agent) to store firearms for another dealer, at its place of business specified in that dealer’s licence, will be inconsistent with the injunction in s 39(1) of the FCA that a dealer may trade in firearms </w:t>
      </w:r>
      <w:r w:rsidRPr="0057066C">
        <w:rPr>
          <w:rFonts w:ascii="Arial" w:hAnsi="Arial" w:cs="Arial"/>
          <w:lang w:val="en-US"/>
        </w:rPr>
        <w:lastRenderedPageBreak/>
        <w:t xml:space="preserve">and ammunition only on premises specified in the dealer’s licence. Significantly, counsel for the appellant accepted at the hearing of the appeal that storage of firearms form part of the trade in firearms as contemplated in s 39(1) of the FCA. </w:t>
      </w:r>
    </w:p>
    <w:p w14:paraId="6FABF450" w14:textId="77777777" w:rsidR="0057066C" w:rsidRPr="0057066C" w:rsidRDefault="0057066C" w:rsidP="00E05157">
      <w:pPr>
        <w:ind w:left="360"/>
        <w:rPr>
          <w:rFonts w:ascii="Arial" w:hAnsi="Arial" w:cs="Arial"/>
          <w:lang w:val="en-US"/>
        </w:rPr>
      </w:pPr>
    </w:p>
    <w:p w14:paraId="32C88924" w14:textId="722120F9" w:rsidR="0057066C" w:rsidRPr="0057066C" w:rsidRDefault="0057066C" w:rsidP="00E05157">
      <w:pPr>
        <w:rPr>
          <w:rFonts w:ascii="Arial" w:hAnsi="Arial" w:cs="Arial"/>
          <w:lang w:val="en-US"/>
        </w:rPr>
      </w:pPr>
      <w:r w:rsidRPr="0057066C">
        <w:rPr>
          <w:rFonts w:ascii="Arial" w:hAnsi="Arial" w:cs="Arial"/>
          <w:lang w:val="en-US"/>
        </w:rPr>
        <w:t>[27]</w:t>
      </w:r>
      <w:r w:rsidRPr="0057066C">
        <w:rPr>
          <w:rFonts w:ascii="Arial" w:hAnsi="Arial" w:cs="Arial"/>
          <w:lang w:val="en-US"/>
        </w:rPr>
        <w:tab/>
        <w:t xml:space="preserve">In sum, neither the FCA nor the </w:t>
      </w:r>
      <w:r w:rsidR="009E1FCA">
        <w:rPr>
          <w:rFonts w:ascii="Arial" w:hAnsi="Arial" w:cs="Arial"/>
          <w:lang w:val="en-US"/>
        </w:rPr>
        <w:t>r</w:t>
      </w:r>
      <w:r w:rsidRPr="0057066C">
        <w:rPr>
          <w:rFonts w:ascii="Arial" w:hAnsi="Arial" w:cs="Arial"/>
          <w:lang w:val="en-US"/>
        </w:rPr>
        <w:t xml:space="preserve">egulations permits a dealer to provide storage for firearms to another dealer. This interpretation of the FCA and the </w:t>
      </w:r>
      <w:r w:rsidR="009E1FCA">
        <w:rPr>
          <w:rFonts w:ascii="Arial" w:hAnsi="Arial" w:cs="Arial"/>
          <w:lang w:val="en-US"/>
        </w:rPr>
        <w:t>r</w:t>
      </w:r>
      <w:r w:rsidRPr="0057066C">
        <w:rPr>
          <w:rFonts w:ascii="Arial" w:hAnsi="Arial" w:cs="Arial"/>
          <w:lang w:val="en-US"/>
        </w:rPr>
        <w:t>egulations is consistent with the overall purpose of the FCA</w:t>
      </w:r>
      <w:r w:rsidR="009E1FCA">
        <w:rPr>
          <w:rFonts w:ascii="Arial" w:hAnsi="Arial" w:cs="Arial"/>
          <w:lang w:val="en-US"/>
        </w:rPr>
        <w:t>,</w:t>
      </w:r>
      <w:r w:rsidRPr="0057066C">
        <w:rPr>
          <w:rFonts w:ascii="Arial" w:hAnsi="Arial" w:cs="Arial"/>
          <w:lang w:val="en-US"/>
        </w:rPr>
        <w:t xml:space="preserve"> which is to establish a comprehensive and effective system of firearm control and management.</w:t>
      </w:r>
      <w:r w:rsidRPr="0057066C">
        <w:rPr>
          <w:rStyle w:val="FootnoteReference"/>
          <w:rFonts w:ascii="Arial" w:hAnsi="Arial" w:cs="Arial"/>
          <w:lang w:val="en-US"/>
        </w:rPr>
        <w:footnoteReference w:id="13"/>
      </w:r>
      <w:r w:rsidRPr="0057066C">
        <w:rPr>
          <w:rFonts w:ascii="Arial" w:hAnsi="Arial" w:cs="Arial"/>
          <w:lang w:val="en-US"/>
        </w:rPr>
        <w:t xml:space="preserve"> Accordingly, it is impermissible for Inyat</w:t>
      </w:r>
      <w:r w:rsidR="00A761A7">
        <w:rPr>
          <w:rFonts w:ascii="Arial" w:hAnsi="Arial" w:cs="Arial"/>
          <w:lang w:val="en-US"/>
        </w:rPr>
        <w:t>h</w:t>
      </w:r>
      <w:r w:rsidRPr="0057066C">
        <w:rPr>
          <w:rFonts w:ascii="Arial" w:hAnsi="Arial" w:cs="Arial"/>
          <w:lang w:val="en-US"/>
        </w:rPr>
        <w:t xml:space="preserve">i to provide storage for firearms </w:t>
      </w:r>
      <w:r w:rsidR="004068F5">
        <w:rPr>
          <w:rFonts w:ascii="Arial" w:hAnsi="Arial" w:cs="Arial"/>
          <w:lang w:val="en-US"/>
        </w:rPr>
        <w:t>on behalf of</w:t>
      </w:r>
      <w:r w:rsidRPr="0057066C">
        <w:rPr>
          <w:rFonts w:ascii="Arial" w:hAnsi="Arial" w:cs="Arial"/>
          <w:lang w:val="en-US"/>
        </w:rPr>
        <w:t xml:space="preserve"> Safari Outdoor as its agent.   </w:t>
      </w:r>
    </w:p>
    <w:p w14:paraId="5241E918" w14:textId="77777777" w:rsidR="0057066C" w:rsidRPr="0057066C" w:rsidRDefault="0057066C" w:rsidP="00E05157">
      <w:pPr>
        <w:rPr>
          <w:rFonts w:ascii="Arial" w:hAnsi="Arial" w:cs="Arial"/>
          <w:lang w:val="en-US"/>
        </w:rPr>
      </w:pPr>
    </w:p>
    <w:p w14:paraId="78B52C97" w14:textId="2A1BB922" w:rsidR="00360ACE" w:rsidRPr="003A238E" w:rsidRDefault="0057066C" w:rsidP="00E05157">
      <w:pPr>
        <w:rPr>
          <w:rFonts w:ascii="Arial" w:eastAsiaTheme="minorHAnsi" w:hAnsi="Arial" w:cs="Arial"/>
        </w:rPr>
      </w:pPr>
      <w:r w:rsidRPr="0057066C">
        <w:rPr>
          <w:rFonts w:ascii="Arial" w:hAnsi="Arial" w:cs="Arial"/>
          <w:lang w:val="en-US"/>
        </w:rPr>
        <w:t>[28]</w:t>
      </w:r>
      <w:r w:rsidRPr="0057066C">
        <w:rPr>
          <w:rFonts w:ascii="Arial" w:hAnsi="Arial" w:cs="Arial"/>
          <w:lang w:val="en-US"/>
        </w:rPr>
        <w:tab/>
      </w:r>
      <w:r w:rsidR="00360ACE" w:rsidRPr="003A238E">
        <w:rPr>
          <w:rFonts w:ascii="Arial" w:hAnsi="Arial" w:cs="Arial"/>
        </w:rPr>
        <w:t>In the result, the following order is made:</w:t>
      </w:r>
    </w:p>
    <w:p w14:paraId="4325F26E" w14:textId="3C4D4718" w:rsidR="00360ACE" w:rsidRPr="003A238E" w:rsidRDefault="00360ACE" w:rsidP="00E05157">
      <w:pPr>
        <w:tabs>
          <w:tab w:val="left" w:pos="284"/>
        </w:tabs>
        <w:spacing w:after="160"/>
        <w:contextualSpacing/>
        <w:rPr>
          <w:rFonts w:ascii="Arial" w:eastAsiaTheme="minorHAnsi" w:hAnsi="Arial" w:cs="Arial"/>
        </w:rPr>
      </w:pPr>
      <w:r w:rsidRPr="003A238E">
        <w:rPr>
          <w:rFonts w:ascii="Arial" w:eastAsiaTheme="minorHAnsi" w:hAnsi="Arial" w:cs="Arial"/>
        </w:rPr>
        <w:t xml:space="preserve">The appeal is </w:t>
      </w:r>
      <w:r>
        <w:rPr>
          <w:rFonts w:ascii="Arial" w:eastAsiaTheme="minorHAnsi" w:hAnsi="Arial" w:cs="Arial"/>
        </w:rPr>
        <w:t>dismissed</w:t>
      </w:r>
      <w:r w:rsidRPr="003A238E">
        <w:rPr>
          <w:rFonts w:ascii="Arial" w:eastAsiaTheme="minorHAnsi" w:hAnsi="Arial" w:cs="Arial"/>
        </w:rPr>
        <w:t xml:space="preserve"> with costs including </w:t>
      </w:r>
      <w:r>
        <w:rPr>
          <w:rFonts w:ascii="Arial" w:eastAsiaTheme="minorHAnsi" w:hAnsi="Arial" w:cs="Arial"/>
        </w:rPr>
        <w:t>those of</w:t>
      </w:r>
      <w:r w:rsidRPr="003A238E">
        <w:rPr>
          <w:rFonts w:ascii="Arial" w:eastAsiaTheme="minorHAnsi" w:hAnsi="Arial" w:cs="Arial"/>
        </w:rPr>
        <w:t xml:space="preserve"> </w:t>
      </w:r>
      <w:r>
        <w:rPr>
          <w:rFonts w:ascii="Arial" w:eastAsiaTheme="minorHAnsi" w:hAnsi="Arial" w:cs="Arial"/>
        </w:rPr>
        <w:t>two counsel.</w:t>
      </w:r>
    </w:p>
    <w:p w14:paraId="45980E57" w14:textId="48E78344" w:rsidR="0057066C" w:rsidRPr="0057066C" w:rsidRDefault="0057066C" w:rsidP="00E05157">
      <w:pPr>
        <w:rPr>
          <w:rFonts w:ascii="Arial" w:hAnsi="Arial" w:cs="Arial"/>
          <w:lang w:val="en-US"/>
        </w:rPr>
      </w:pPr>
      <w:r w:rsidRPr="0057066C">
        <w:rPr>
          <w:rFonts w:ascii="Arial" w:hAnsi="Arial" w:cs="Arial"/>
          <w:lang w:val="en-US"/>
        </w:rPr>
        <w:t xml:space="preserve"> </w:t>
      </w:r>
    </w:p>
    <w:p w14:paraId="756B0A86" w14:textId="77777777" w:rsidR="0057066C" w:rsidRPr="0057066C" w:rsidRDefault="0057066C" w:rsidP="00E05157">
      <w:pPr>
        <w:rPr>
          <w:rFonts w:ascii="Arial" w:hAnsi="Arial" w:cs="Arial"/>
          <w:lang w:val="en-US"/>
        </w:rPr>
      </w:pPr>
    </w:p>
    <w:p w14:paraId="26E05303" w14:textId="77777777" w:rsidR="006915F6" w:rsidRPr="003A238E" w:rsidRDefault="006915F6" w:rsidP="00E05157">
      <w:pPr>
        <w:pStyle w:val="ListParagraph"/>
        <w:ind w:left="0"/>
        <w:jc w:val="right"/>
        <w:rPr>
          <w:rFonts w:ascii="Arial" w:hAnsi="Arial" w:cs="Arial"/>
        </w:rPr>
      </w:pPr>
      <w:r w:rsidRPr="003A238E">
        <w:rPr>
          <w:rFonts w:ascii="Arial" w:hAnsi="Arial" w:cs="Arial"/>
        </w:rPr>
        <w:t>__________________________</w:t>
      </w:r>
    </w:p>
    <w:p w14:paraId="06DD506B" w14:textId="3967BACA" w:rsidR="006915F6" w:rsidRPr="003A238E" w:rsidRDefault="006915F6" w:rsidP="00E05157">
      <w:pPr>
        <w:pStyle w:val="ListParagraph"/>
        <w:ind w:left="0"/>
        <w:jc w:val="right"/>
        <w:rPr>
          <w:rFonts w:ascii="Arial" w:hAnsi="Arial" w:cs="Arial"/>
        </w:rPr>
      </w:pPr>
      <w:r>
        <w:rPr>
          <w:rFonts w:ascii="Arial" w:hAnsi="Arial" w:cs="Arial"/>
        </w:rPr>
        <w:t>F KATHREE-SETILOANE</w:t>
      </w:r>
    </w:p>
    <w:p w14:paraId="7362D76F" w14:textId="77777777" w:rsidR="006915F6" w:rsidRPr="003A238E" w:rsidRDefault="006915F6" w:rsidP="00E05157">
      <w:pPr>
        <w:jc w:val="right"/>
        <w:rPr>
          <w:rFonts w:ascii="Arial" w:hAnsi="Arial" w:cs="Arial"/>
        </w:rPr>
      </w:pPr>
      <w:r w:rsidRPr="003A238E">
        <w:rPr>
          <w:rFonts w:ascii="Arial" w:hAnsi="Arial" w:cs="Arial"/>
        </w:rPr>
        <w:t>ACTING JUDGE OF APPEAL</w:t>
      </w:r>
    </w:p>
    <w:p w14:paraId="577E19E4" w14:textId="77777777" w:rsidR="0057066C" w:rsidRPr="0057066C" w:rsidRDefault="0057066C" w:rsidP="00E05157">
      <w:pPr>
        <w:rPr>
          <w:rFonts w:ascii="Arial" w:hAnsi="Arial" w:cs="Arial"/>
          <w:b/>
          <w:sz w:val="28"/>
          <w:szCs w:val="28"/>
        </w:rPr>
      </w:pPr>
    </w:p>
    <w:p w14:paraId="4EA0146E" w14:textId="4E58BB95" w:rsidR="004212DC" w:rsidRPr="003A238E" w:rsidRDefault="004212DC" w:rsidP="00E05157">
      <w:pPr>
        <w:spacing w:before="240"/>
        <w:rPr>
          <w:rFonts w:ascii="Arial" w:hAnsi="Arial" w:cs="Arial"/>
        </w:rPr>
      </w:pPr>
      <w:r w:rsidRPr="003A238E">
        <w:rPr>
          <w:rFonts w:ascii="Arial" w:hAnsi="Arial" w:cs="Arial"/>
        </w:rPr>
        <w:br w:type="page"/>
      </w:r>
      <w:r w:rsidRPr="003A238E">
        <w:rPr>
          <w:rFonts w:ascii="Arial" w:hAnsi="Arial" w:cs="Arial"/>
        </w:rPr>
        <w:lastRenderedPageBreak/>
        <w:t xml:space="preserve">Appearances </w:t>
      </w:r>
    </w:p>
    <w:p w14:paraId="24724FD4" w14:textId="7E1AF49D" w:rsidR="004212DC" w:rsidRPr="003A238E" w:rsidRDefault="00DD044C" w:rsidP="00E05157">
      <w:pPr>
        <w:tabs>
          <w:tab w:val="left" w:pos="3544"/>
        </w:tabs>
        <w:spacing w:before="240"/>
        <w:rPr>
          <w:rFonts w:ascii="Arial" w:hAnsi="Arial" w:cs="Arial"/>
        </w:rPr>
      </w:pPr>
      <w:r w:rsidRPr="003A238E">
        <w:rPr>
          <w:rFonts w:ascii="Arial" w:hAnsi="Arial" w:cs="Arial"/>
        </w:rPr>
        <w:t>For appellants:</w:t>
      </w:r>
      <w:r w:rsidRPr="003A238E">
        <w:rPr>
          <w:rFonts w:ascii="Arial" w:hAnsi="Arial" w:cs="Arial"/>
        </w:rPr>
        <w:tab/>
      </w:r>
      <w:r w:rsidR="002A7AE4" w:rsidRPr="003A238E">
        <w:rPr>
          <w:rFonts w:ascii="Arial" w:hAnsi="Arial" w:cs="Arial"/>
        </w:rPr>
        <w:tab/>
      </w:r>
      <w:r w:rsidR="002A7AE4" w:rsidRPr="003A238E">
        <w:rPr>
          <w:rFonts w:ascii="Arial" w:hAnsi="Arial" w:cs="Arial"/>
        </w:rPr>
        <w:tab/>
      </w:r>
      <w:r w:rsidR="00023C2E" w:rsidRPr="003A238E">
        <w:rPr>
          <w:rFonts w:ascii="Arial" w:hAnsi="Arial" w:cs="Arial"/>
        </w:rPr>
        <w:tab/>
      </w:r>
      <w:r w:rsidR="006D0F36" w:rsidRPr="003A238E">
        <w:rPr>
          <w:rFonts w:ascii="Arial" w:hAnsi="Arial" w:cs="Arial"/>
        </w:rPr>
        <w:t xml:space="preserve">N G D Maritz SC </w:t>
      </w:r>
      <w:r w:rsidR="00023C2E" w:rsidRPr="003A238E">
        <w:rPr>
          <w:rFonts w:ascii="Arial" w:hAnsi="Arial" w:cs="Arial"/>
        </w:rPr>
        <w:t>and</w:t>
      </w:r>
      <w:r w:rsidR="006D0F36" w:rsidRPr="003A238E">
        <w:rPr>
          <w:rFonts w:ascii="Arial" w:hAnsi="Arial" w:cs="Arial"/>
        </w:rPr>
        <w:t xml:space="preserve"> A P </w:t>
      </w:r>
      <w:r w:rsidR="008F46ED" w:rsidRPr="003A238E">
        <w:rPr>
          <w:rFonts w:ascii="Arial" w:hAnsi="Arial" w:cs="Arial"/>
        </w:rPr>
        <w:t>J Els</w:t>
      </w:r>
    </w:p>
    <w:p w14:paraId="506D4C02" w14:textId="0C85D6AD" w:rsidR="004212DC" w:rsidRPr="003A238E" w:rsidRDefault="004212DC" w:rsidP="00E05157">
      <w:pPr>
        <w:ind w:left="3544" w:hanging="3544"/>
        <w:rPr>
          <w:rFonts w:ascii="Arial" w:hAnsi="Arial" w:cs="Arial"/>
          <w:bCs/>
        </w:rPr>
      </w:pPr>
      <w:r w:rsidRPr="003A238E">
        <w:rPr>
          <w:rFonts w:ascii="Arial" w:hAnsi="Arial" w:cs="Arial"/>
          <w:bCs/>
        </w:rPr>
        <w:t>Instructed by:</w:t>
      </w:r>
      <w:r w:rsidRPr="003A238E">
        <w:rPr>
          <w:rFonts w:ascii="Arial" w:hAnsi="Arial" w:cs="Arial"/>
          <w:bCs/>
        </w:rPr>
        <w:tab/>
      </w:r>
      <w:r w:rsidRPr="003A238E">
        <w:rPr>
          <w:rFonts w:ascii="Arial" w:hAnsi="Arial" w:cs="Arial"/>
          <w:bCs/>
        </w:rPr>
        <w:tab/>
      </w:r>
      <w:r w:rsidR="002A7AE4" w:rsidRPr="003A238E">
        <w:rPr>
          <w:rFonts w:ascii="Arial" w:hAnsi="Arial" w:cs="Arial"/>
          <w:bCs/>
        </w:rPr>
        <w:tab/>
      </w:r>
      <w:r w:rsidR="00023C2E" w:rsidRPr="003A238E">
        <w:rPr>
          <w:rFonts w:ascii="Arial" w:hAnsi="Arial" w:cs="Arial"/>
          <w:bCs/>
        </w:rPr>
        <w:tab/>
      </w:r>
      <w:r w:rsidR="006D0F36" w:rsidRPr="003A238E">
        <w:rPr>
          <w:rFonts w:ascii="Arial" w:hAnsi="Arial" w:cs="Arial"/>
          <w:bCs/>
        </w:rPr>
        <w:t>J</w:t>
      </w:r>
      <w:r w:rsidR="00023C2E" w:rsidRPr="003A238E">
        <w:rPr>
          <w:rFonts w:ascii="Arial" w:hAnsi="Arial" w:cs="Arial"/>
          <w:bCs/>
        </w:rPr>
        <w:t xml:space="preserve"> </w:t>
      </w:r>
      <w:r w:rsidR="006D0F36" w:rsidRPr="003A238E">
        <w:rPr>
          <w:rFonts w:ascii="Arial" w:hAnsi="Arial" w:cs="Arial"/>
          <w:bCs/>
        </w:rPr>
        <w:t>W Botes Incorporated, Pretoria</w:t>
      </w:r>
      <w:r w:rsidR="00AC7D6D" w:rsidRPr="003A238E">
        <w:rPr>
          <w:rFonts w:ascii="Arial" w:hAnsi="Arial" w:cs="Arial"/>
          <w:bCs/>
        </w:rPr>
        <w:t xml:space="preserve"> </w:t>
      </w:r>
    </w:p>
    <w:p w14:paraId="0C09DA52" w14:textId="0CD120EE" w:rsidR="004212DC" w:rsidRPr="003A238E" w:rsidRDefault="004212DC" w:rsidP="00E05157">
      <w:pPr>
        <w:rPr>
          <w:rFonts w:ascii="Arial" w:hAnsi="Arial" w:cs="Arial"/>
          <w:bCs/>
        </w:rPr>
      </w:pPr>
      <w:r w:rsidRPr="003A238E">
        <w:rPr>
          <w:rFonts w:ascii="Arial" w:hAnsi="Arial" w:cs="Arial"/>
          <w:bCs/>
        </w:rPr>
        <w:t xml:space="preserve">                                                   </w:t>
      </w:r>
      <w:r w:rsidR="002A7AE4" w:rsidRPr="003A238E">
        <w:rPr>
          <w:rFonts w:ascii="Arial" w:hAnsi="Arial" w:cs="Arial"/>
          <w:bCs/>
        </w:rPr>
        <w:tab/>
      </w:r>
      <w:r w:rsidR="002A7AE4" w:rsidRPr="003A238E">
        <w:rPr>
          <w:rFonts w:ascii="Arial" w:hAnsi="Arial" w:cs="Arial"/>
          <w:bCs/>
        </w:rPr>
        <w:tab/>
      </w:r>
      <w:r w:rsidR="00023C2E" w:rsidRPr="003A238E">
        <w:rPr>
          <w:rFonts w:ascii="Arial" w:hAnsi="Arial" w:cs="Arial"/>
          <w:bCs/>
        </w:rPr>
        <w:tab/>
      </w:r>
      <w:r w:rsidR="008F46ED" w:rsidRPr="003A238E">
        <w:rPr>
          <w:rFonts w:ascii="Arial" w:hAnsi="Arial" w:cs="Arial"/>
          <w:bCs/>
        </w:rPr>
        <w:t>Salley’s Attorneys</w:t>
      </w:r>
      <w:r w:rsidRPr="003A238E">
        <w:rPr>
          <w:rFonts w:ascii="Arial" w:hAnsi="Arial" w:cs="Arial"/>
          <w:bCs/>
        </w:rPr>
        <w:t>, Bloemfontein</w:t>
      </w:r>
    </w:p>
    <w:p w14:paraId="71093D59" w14:textId="77777777" w:rsidR="004212DC" w:rsidRPr="003A238E" w:rsidRDefault="004212DC" w:rsidP="00E05157">
      <w:pPr>
        <w:rPr>
          <w:rFonts w:ascii="Arial" w:hAnsi="Arial" w:cs="Arial"/>
          <w:bCs/>
        </w:rPr>
      </w:pPr>
    </w:p>
    <w:p w14:paraId="0A837D11" w14:textId="4DE8FEFC" w:rsidR="004212DC" w:rsidRPr="003A238E" w:rsidRDefault="004212DC" w:rsidP="00E05157">
      <w:pPr>
        <w:rPr>
          <w:rFonts w:ascii="Arial" w:hAnsi="Arial" w:cs="Arial"/>
        </w:rPr>
      </w:pPr>
      <w:r w:rsidRPr="003A238E">
        <w:rPr>
          <w:rFonts w:ascii="Arial" w:hAnsi="Arial" w:cs="Arial"/>
        </w:rPr>
        <w:t xml:space="preserve">For </w:t>
      </w:r>
      <w:r w:rsidR="009B6C64" w:rsidRPr="003A238E">
        <w:rPr>
          <w:rFonts w:ascii="Arial" w:hAnsi="Arial" w:cs="Arial"/>
        </w:rPr>
        <w:t>first</w:t>
      </w:r>
      <w:r w:rsidR="00DD044C" w:rsidRPr="003A238E">
        <w:rPr>
          <w:rFonts w:ascii="Arial" w:hAnsi="Arial" w:cs="Arial"/>
        </w:rPr>
        <w:t xml:space="preserve"> and second</w:t>
      </w:r>
      <w:r w:rsidR="009B6C64" w:rsidRPr="003A238E">
        <w:rPr>
          <w:rFonts w:ascii="Arial" w:hAnsi="Arial" w:cs="Arial"/>
        </w:rPr>
        <w:t xml:space="preserve"> respondent</w:t>
      </w:r>
      <w:r w:rsidR="00DD044C" w:rsidRPr="003A238E">
        <w:rPr>
          <w:rFonts w:ascii="Arial" w:hAnsi="Arial" w:cs="Arial"/>
        </w:rPr>
        <w:t>s</w:t>
      </w:r>
      <w:r w:rsidR="009B6C64" w:rsidRPr="003A238E">
        <w:rPr>
          <w:rFonts w:ascii="Arial" w:hAnsi="Arial" w:cs="Arial"/>
        </w:rPr>
        <w:t xml:space="preserve">: </w:t>
      </w:r>
      <w:r w:rsidR="009B6C64" w:rsidRPr="003A238E">
        <w:rPr>
          <w:rFonts w:ascii="Arial" w:hAnsi="Arial" w:cs="Arial"/>
        </w:rPr>
        <w:tab/>
      </w:r>
      <w:r w:rsidR="00023C2E" w:rsidRPr="003A238E">
        <w:rPr>
          <w:rFonts w:ascii="Arial" w:hAnsi="Arial" w:cs="Arial"/>
        </w:rPr>
        <w:tab/>
      </w:r>
      <w:r w:rsidR="008F46ED" w:rsidRPr="003A238E">
        <w:rPr>
          <w:rFonts w:ascii="Arial" w:hAnsi="Arial" w:cs="Arial"/>
        </w:rPr>
        <w:t>M V Magagane</w:t>
      </w:r>
      <w:r w:rsidRPr="003A238E">
        <w:rPr>
          <w:rFonts w:ascii="Arial" w:hAnsi="Arial" w:cs="Arial"/>
        </w:rPr>
        <w:tab/>
      </w:r>
    </w:p>
    <w:p w14:paraId="7161A0DB" w14:textId="7E8AF00C" w:rsidR="004212DC" w:rsidRPr="003A238E" w:rsidRDefault="004212DC" w:rsidP="00E05157">
      <w:pPr>
        <w:ind w:left="4320" w:hanging="4320"/>
        <w:rPr>
          <w:rFonts w:ascii="Arial" w:hAnsi="Arial" w:cs="Arial"/>
          <w:bCs/>
        </w:rPr>
      </w:pPr>
      <w:r w:rsidRPr="003A238E">
        <w:rPr>
          <w:rFonts w:ascii="Arial" w:hAnsi="Arial" w:cs="Arial"/>
          <w:bCs/>
        </w:rPr>
        <w:t xml:space="preserve">Instructed by:                             </w:t>
      </w:r>
      <w:r w:rsidR="00DD044C" w:rsidRPr="003A238E">
        <w:rPr>
          <w:rFonts w:ascii="Arial" w:hAnsi="Arial" w:cs="Arial"/>
          <w:bCs/>
        </w:rPr>
        <w:tab/>
      </w:r>
      <w:r w:rsidR="00023C2E" w:rsidRPr="003A238E">
        <w:rPr>
          <w:rFonts w:ascii="Arial" w:hAnsi="Arial" w:cs="Arial"/>
          <w:bCs/>
        </w:rPr>
        <w:tab/>
      </w:r>
      <w:r w:rsidR="00DD044C" w:rsidRPr="003A238E">
        <w:rPr>
          <w:rFonts w:ascii="Arial" w:hAnsi="Arial" w:cs="Arial"/>
          <w:bCs/>
        </w:rPr>
        <w:t xml:space="preserve">State </w:t>
      </w:r>
      <w:r w:rsidR="009B6C64" w:rsidRPr="003A238E">
        <w:rPr>
          <w:rFonts w:ascii="Arial" w:hAnsi="Arial" w:cs="Arial"/>
          <w:bCs/>
        </w:rPr>
        <w:t xml:space="preserve">Attorney, </w:t>
      </w:r>
      <w:r w:rsidR="008F46ED" w:rsidRPr="003A238E">
        <w:rPr>
          <w:rFonts w:ascii="Arial" w:hAnsi="Arial" w:cs="Arial"/>
          <w:bCs/>
        </w:rPr>
        <w:t>Pretoria</w:t>
      </w:r>
    </w:p>
    <w:p w14:paraId="4964EDCA" w14:textId="1D1A1434" w:rsidR="00D36233" w:rsidRPr="003A238E" w:rsidRDefault="004212DC" w:rsidP="00E05157">
      <w:pPr>
        <w:ind w:left="4320" w:hanging="4320"/>
        <w:rPr>
          <w:rFonts w:ascii="Arial" w:hAnsi="Arial" w:cs="Arial"/>
          <w:bCs/>
        </w:rPr>
      </w:pPr>
      <w:r w:rsidRPr="003A238E">
        <w:rPr>
          <w:rFonts w:ascii="Arial" w:hAnsi="Arial" w:cs="Arial"/>
          <w:bCs/>
        </w:rPr>
        <w:t xml:space="preserve">                                                  </w:t>
      </w:r>
      <w:r w:rsidR="00DD044C" w:rsidRPr="003A238E">
        <w:rPr>
          <w:rFonts w:ascii="Arial" w:hAnsi="Arial" w:cs="Arial"/>
          <w:bCs/>
        </w:rPr>
        <w:tab/>
      </w:r>
      <w:r w:rsidR="00023C2E" w:rsidRPr="003A238E">
        <w:rPr>
          <w:rFonts w:ascii="Arial" w:hAnsi="Arial" w:cs="Arial"/>
          <w:bCs/>
        </w:rPr>
        <w:tab/>
      </w:r>
      <w:r w:rsidR="00DD044C" w:rsidRPr="003A238E">
        <w:rPr>
          <w:rFonts w:ascii="Arial" w:hAnsi="Arial" w:cs="Arial"/>
          <w:bCs/>
        </w:rPr>
        <w:t>State Attorney</w:t>
      </w:r>
      <w:r w:rsidR="00E933B7" w:rsidRPr="003A238E">
        <w:rPr>
          <w:rFonts w:ascii="Arial" w:hAnsi="Arial" w:cs="Arial"/>
          <w:bCs/>
        </w:rPr>
        <w:t>,</w:t>
      </w:r>
      <w:r w:rsidRPr="003A238E">
        <w:rPr>
          <w:rFonts w:ascii="Arial" w:hAnsi="Arial" w:cs="Arial"/>
          <w:bCs/>
        </w:rPr>
        <w:t xml:space="preserve"> Bloemfontein</w:t>
      </w:r>
      <w:r w:rsidR="00023C2E" w:rsidRPr="003A238E">
        <w:rPr>
          <w:rFonts w:ascii="Arial" w:hAnsi="Arial" w:cs="Arial"/>
          <w:bCs/>
        </w:rPr>
        <w:t>.</w:t>
      </w:r>
    </w:p>
    <w:p w14:paraId="6CA36E4D" w14:textId="77777777" w:rsidR="00FD63D8" w:rsidRPr="003A238E" w:rsidRDefault="00FD63D8" w:rsidP="00E05157">
      <w:pPr>
        <w:ind w:left="4320" w:hanging="4320"/>
        <w:rPr>
          <w:rFonts w:ascii="Arial" w:hAnsi="Arial" w:cs="Arial"/>
          <w:bCs/>
        </w:rPr>
      </w:pPr>
    </w:p>
    <w:p w14:paraId="54CB7383" w14:textId="77777777" w:rsidR="00FD63D8" w:rsidRPr="003A238E" w:rsidRDefault="00FD63D8" w:rsidP="00E05157">
      <w:pPr>
        <w:ind w:left="4320" w:hanging="4320"/>
        <w:jc w:val="left"/>
        <w:rPr>
          <w:rFonts w:ascii="Arial" w:hAnsi="Arial" w:cs="Arial"/>
          <w:bCs/>
        </w:rPr>
      </w:pPr>
    </w:p>
    <w:sectPr w:rsidR="00FD63D8" w:rsidRPr="003A238E" w:rsidSect="00305BFE">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A169FB" w16cid:durableId="27D575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6A7C8" w14:textId="77777777" w:rsidR="00455177" w:rsidRDefault="00455177" w:rsidP="001F6B30">
      <w:pPr>
        <w:spacing w:line="240" w:lineRule="auto"/>
      </w:pPr>
      <w:r>
        <w:separator/>
      </w:r>
    </w:p>
  </w:endnote>
  <w:endnote w:type="continuationSeparator" w:id="0">
    <w:p w14:paraId="425F2CEA" w14:textId="77777777" w:rsidR="00455177" w:rsidRDefault="00455177" w:rsidP="001F6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D2E7F" w14:textId="77777777" w:rsidR="00455177" w:rsidRDefault="00455177" w:rsidP="001F6B30">
      <w:pPr>
        <w:spacing w:line="240" w:lineRule="auto"/>
      </w:pPr>
      <w:r>
        <w:separator/>
      </w:r>
    </w:p>
  </w:footnote>
  <w:footnote w:type="continuationSeparator" w:id="0">
    <w:p w14:paraId="14EF9C9A" w14:textId="77777777" w:rsidR="00455177" w:rsidRDefault="00455177" w:rsidP="001F6B30">
      <w:pPr>
        <w:spacing w:line="240" w:lineRule="auto"/>
      </w:pPr>
      <w:r>
        <w:continuationSeparator/>
      </w:r>
    </w:p>
  </w:footnote>
  <w:footnote w:id="1">
    <w:p w14:paraId="267FBE9A" w14:textId="77777777" w:rsidR="0057066C" w:rsidRPr="00831B72" w:rsidRDefault="0057066C" w:rsidP="00B237B4">
      <w:pPr>
        <w:pStyle w:val="FootnoteText"/>
        <w:jc w:val="both"/>
        <w:rPr>
          <w:lang w:val="en-US"/>
        </w:rPr>
      </w:pPr>
      <w:r w:rsidRPr="00831B72">
        <w:rPr>
          <w:rStyle w:val="FootnoteReference"/>
          <w:rFonts w:ascii="Arial" w:hAnsi="Arial" w:cs="Arial"/>
        </w:rPr>
        <w:footnoteRef/>
      </w:r>
      <w:r w:rsidRPr="00831B72">
        <w:rPr>
          <w:rFonts w:ascii="Arial" w:hAnsi="Arial" w:cs="Arial"/>
        </w:rPr>
        <w:t xml:space="preserve"> </w:t>
      </w:r>
      <w:r>
        <w:rPr>
          <w:rFonts w:ascii="Arial" w:hAnsi="Arial" w:cs="Arial"/>
        </w:rPr>
        <w:t>Firearms Control Act</w:t>
      </w:r>
      <w:r w:rsidRPr="00831B72">
        <w:rPr>
          <w:rFonts w:ascii="Arial" w:hAnsi="Arial" w:cs="Arial"/>
          <w:lang w:val="en-US"/>
        </w:rPr>
        <w:t xml:space="preserve"> 60 of 2000.</w:t>
      </w:r>
    </w:p>
  </w:footnote>
  <w:footnote w:id="2">
    <w:p w14:paraId="0DBFE09B" w14:textId="77777777" w:rsidR="0057066C" w:rsidRPr="00831B72" w:rsidRDefault="0057066C" w:rsidP="00B237B4">
      <w:pPr>
        <w:pStyle w:val="FootnoteText"/>
        <w:jc w:val="both"/>
        <w:rPr>
          <w:lang w:val="en-US"/>
        </w:rPr>
      </w:pPr>
      <w:r w:rsidRPr="00831B72">
        <w:rPr>
          <w:rStyle w:val="FootnoteReference"/>
          <w:rFonts w:ascii="Arial" w:hAnsi="Arial" w:cs="Arial"/>
        </w:rPr>
        <w:footnoteRef/>
      </w:r>
      <w:r w:rsidRPr="00831B72">
        <w:rPr>
          <w:rFonts w:ascii="Arial" w:hAnsi="Arial" w:cs="Arial"/>
        </w:rPr>
        <w:t xml:space="preserve"> </w:t>
      </w:r>
      <w:r>
        <w:rPr>
          <w:rFonts w:ascii="Arial" w:hAnsi="Arial" w:cs="Arial"/>
        </w:rPr>
        <w:t xml:space="preserve">As published in </w:t>
      </w:r>
      <w:r w:rsidRPr="003061C7">
        <w:rPr>
          <w:rFonts w:ascii="Arial" w:hAnsi="Arial" w:cs="Arial"/>
          <w:iCs/>
        </w:rPr>
        <w:t>GG 26156 GNR 345 of 26 March 2004.</w:t>
      </w:r>
    </w:p>
  </w:footnote>
  <w:footnote w:id="3">
    <w:p w14:paraId="151858CD" w14:textId="77777777" w:rsidR="0057066C" w:rsidRPr="003061C7" w:rsidRDefault="0057066C" w:rsidP="00B237B4">
      <w:pPr>
        <w:pStyle w:val="FootnoteText"/>
        <w:jc w:val="both"/>
        <w:rPr>
          <w:rFonts w:ascii="Arial" w:hAnsi="Arial" w:cs="Arial"/>
          <w:lang w:val="en-US"/>
        </w:rPr>
      </w:pPr>
      <w:r w:rsidRPr="003061C7">
        <w:rPr>
          <w:rStyle w:val="FootnoteReference"/>
          <w:rFonts w:ascii="Arial" w:hAnsi="Arial" w:cs="Arial"/>
        </w:rPr>
        <w:footnoteRef/>
      </w:r>
      <w:r w:rsidRPr="003061C7">
        <w:rPr>
          <w:rFonts w:ascii="Arial" w:hAnsi="Arial" w:cs="Arial"/>
        </w:rPr>
        <w:t xml:space="preserve"> </w:t>
      </w:r>
      <w:r w:rsidRPr="003061C7">
        <w:rPr>
          <w:rFonts w:ascii="Arial" w:hAnsi="Arial" w:cs="Arial"/>
          <w:lang w:val="en-US"/>
        </w:rPr>
        <w:t xml:space="preserve">Safari Outdoor and Inyathi are referred to collectively as </w:t>
      </w:r>
      <w:r>
        <w:rPr>
          <w:rFonts w:ascii="Arial" w:hAnsi="Arial" w:cs="Arial"/>
          <w:lang w:val="en-US"/>
        </w:rPr>
        <w:t>‘</w:t>
      </w:r>
      <w:r w:rsidRPr="003061C7">
        <w:rPr>
          <w:rFonts w:ascii="Arial" w:hAnsi="Arial" w:cs="Arial"/>
          <w:lang w:val="en-US"/>
        </w:rPr>
        <w:t>the appellants</w:t>
      </w:r>
      <w:r>
        <w:rPr>
          <w:rFonts w:ascii="Arial" w:hAnsi="Arial" w:cs="Arial"/>
          <w:lang w:val="en-US"/>
        </w:rPr>
        <w:t>’</w:t>
      </w:r>
      <w:r w:rsidRPr="003061C7">
        <w:rPr>
          <w:rFonts w:ascii="Arial" w:hAnsi="Arial" w:cs="Arial"/>
          <w:lang w:val="en-US"/>
        </w:rPr>
        <w:t xml:space="preserve"> in the judgment.  </w:t>
      </w:r>
    </w:p>
  </w:footnote>
  <w:footnote w:id="4">
    <w:p w14:paraId="621376AE" w14:textId="77777777" w:rsidR="0057066C" w:rsidRPr="003061C7" w:rsidRDefault="0057066C" w:rsidP="00B237B4">
      <w:pPr>
        <w:pStyle w:val="FootnoteText"/>
        <w:jc w:val="both"/>
        <w:rPr>
          <w:lang w:val="en-US"/>
        </w:rPr>
      </w:pPr>
      <w:r w:rsidRPr="00831B72">
        <w:rPr>
          <w:rStyle w:val="FootnoteReference"/>
          <w:rFonts w:ascii="Arial" w:hAnsi="Arial" w:cs="Arial"/>
        </w:rPr>
        <w:footnoteRef/>
      </w:r>
      <w:r w:rsidRPr="00831B72">
        <w:rPr>
          <w:rFonts w:ascii="Arial" w:hAnsi="Arial" w:cs="Arial"/>
        </w:rPr>
        <w:t xml:space="preserve"> Although</w:t>
      </w:r>
      <w:r>
        <w:t xml:space="preserve"> </w:t>
      </w:r>
      <w:r w:rsidRPr="003061C7">
        <w:rPr>
          <w:rFonts w:ascii="Arial" w:hAnsi="Arial" w:cs="Arial"/>
          <w:lang w:val="en-US"/>
        </w:rPr>
        <w:t>Safari Outdoor owns the total issued share capital of Inyathi</w:t>
      </w:r>
      <w:r>
        <w:rPr>
          <w:rFonts w:ascii="Arial" w:hAnsi="Arial" w:cs="Arial"/>
          <w:lang w:val="en-US"/>
        </w:rPr>
        <w:t>, they</w:t>
      </w:r>
      <w:r w:rsidRPr="003061C7">
        <w:rPr>
          <w:rFonts w:ascii="Arial" w:hAnsi="Arial" w:cs="Arial"/>
          <w:lang w:val="en-US"/>
        </w:rPr>
        <w:t xml:space="preserve"> operate their respective businesses separately and independently of each other.</w:t>
      </w:r>
    </w:p>
  </w:footnote>
  <w:footnote w:id="5">
    <w:p w14:paraId="1FBCD29F" w14:textId="77777777" w:rsidR="0057066C" w:rsidRPr="003061C7" w:rsidRDefault="0057066C" w:rsidP="00B237B4">
      <w:pPr>
        <w:pStyle w:val="FootnoteText"/>
        <w:jc w:val="both"/>
        <w:rPr>
          <w:rFonts w:ascii="Arial" w:hAnsi="Arial" w:cs="Arial"/>
          <w:lang w:val="en-US"/>
        </w:rPr>
      </w:pPr>
      <w:r w:rsidRPr="003061C7">
        <w:rPr>
          <w:rStyle w:val="FootnoteReference"/>
          <w:rFonts w:ascii="Arial" w:hAnsi="Arial" w:cs="Arial"/>
        </w:rPr>
        <w:footnoteRef/>
      </w:r>
      <w:r w:rsidRPr="003061C7">
        <w:rPr>
          <w:rFonts w:ascii="Arial" w:hAnsi="Arial" w:cs="Arial"/>
        </w:rPr>
        <w:t xml:space="preserve"> </w:t>
      </w:r>
      <w:r w:rsidRPr="003061C7">
        <w:rPr>
          <w:rFonts w:ascii="Arial" w:hAnsi="Arial" w:cs="Arial"/>
          <w:lang w:val="en-US"/>
        </w:rPr>
        <w:t xml:space="preserve">Before a person can apply for a licence to possess a firearm, that person must be in possession of a competency certificate as contemplated in s 10 of the FCA. </w:t>
      </w:r>
    </w:p>
  </w:footnote>
  <w:footnote w:id="6">
    <w:p w14:paraId="29E8D656" w14:textId="77777777" w:rsidR="0057066C" w:rsidRPr="00151E9E" w:rsidRDefault="0057066C" w:rsidP="00B237B4">
      <w:pPr>
        <w:pStyle w:val="FootnoteText"/>
        <w:jc w:val="both"/>
        <w:rPr>
          <w:lang w:val="en-US"/>
        </w:rPr>
      </w:pPr>
      <w:r w:rsidRPr="002F41D8">
        <w:rPr>
          <w:rStyle w:val="FootnoteReference"/>
          <w:rFonts w:ascii="Arial" w:hAnsi="Arial" w:cs="Arial"/>
        </w:rPr>
        <w:footnoteRef/>
      </w:r>
      <w:r w:rsidRPr="00151E9E">
        <w:rPr>
          <w:rFonts w:ascii="Arial" w:hAnsi="Arial" w:cs="Arial"/>
        </w:rPr>
        <w:t xml:space="preserve"> </w:t>
      </w:r>
      <w:r w:rsidRPr="00857AA1">
        <w:rPr>
          <w:rFonts w:ascii="Arial" w:hAnsi="Arial" w:cs="Arial"/>
          <w:lang w:val="en-US"/>
        </w:rPr>
        <w:t>The National Commissioner is the Registrar of Firearms in terms of s 123 of the FCA.</w:t>
      </w:r>
    </w:p>
  </w:footnote>
  <w:footnote w:id="7">
    <w:p w14:paraId="64735A09" w14:textId="77777777" w:rsidR="0057066C" w:rsidRPr="003061C7" w:rsidRDefault="0057066C" w:rsidP="00B237B4">
      <w:pPr>
        <w:pStyle w:val="FootnoteText"/>
        <w:jc w:val="both"/>
        <w:rPr>
          <w:rFonts w:ascii="Arial" w:hAnsi="Arial" w:cs="Arial"/>
          <w:lang w:val="en-US"/>
        </w:rPr>
      </w:pPr>
      <w:r w:rsidRPr="003061C7">
        <w:rPr>
          <w:rStyle w:val="FootnoteReference"/>
          <w:rFonts w:ascii="Arial" w:hAnsi="Arial" w:cs="Arial"/>
        </w:rPr>
        <w:footnoteRef/>
      </w:r>
      <w:r w:rsidRPr="003061C7">
        <w:rPr>
          <w:rFonts w:ascii="Arial" w:hAnsi="Arial" w:cs="Arial"/>
        </w:rPr>
        <w:t xml:space="preserve"> </w:t>
      </w:r>
      <w:r w:rsidRPr="003061C7">
        <w:rPr>
          <w:rFonts w:ascii="Arial" w:hAnsi="Arial" w:cs="Arial"/>
          <w:i/>
          <w:iCs/>
        </w:rPr>
        <w:t>Natal Joint Municipal Pension Fund v Endumeni Municipality</w:t>
      </w:r>
      <w:r w:rsidRPr="003061C7">
        <w:rPr>
          <w:rFonts w:ascii="Arial" w:hAnsi="Arial" w:cs="Arial"/>
          <w:lang w:val="en-US"/>
        </w:rPr>
        <w:t xml:space="preserve"> </w:t>
      </w:r>
      <w:r>
        <w:rPr>
          <w:rFonts w:ascii="Arial" w:hAnsi="Arial" w:cs="Arial"/>
          <w:lang w:val="en-US"/>
        </w:rPr>
        <w:t xml:space="preserve">[2012] ZASCA 13; </w:t>
      </w:r>
      <w:r w:rsidRPr="003061C7">
        <w:rPr>
          <w:rFonts w:ascii="Arial" w:hAnsi="Arial" w:cs="Arial"/>
          <w:lang w:val="en-US"/>
        </w:rPr>
        <w:t>2012 (4) SA 593 (SCA) at para 12</w:t>
      </w:r>
      <w:r>
        <w:rPr>
          <w:rFonts w:ascii="Arial" w:hAnsi="Arial" w:cs="Arial"/>
          <w:lang w:val="en-US"/>
        </w:rPr>
        <w:t>.</w:t>
      </w:r>
    </w:p>
  </w:footnote>
  <w:footnote w:id="8">
    <w:p w14:paraId="3851FF56" w14:textId="77777777" w:rsidR="0057066C" w:rsidRPr="003061C7" w:rsidRDefault="0057066C" w:rsidP="00B237B4">
      <w:pPr>
        <w:pStyle w:val="FootnoteText"/>
        <w:jc w:val="both"/>
        <w:rPr>
          <w:rFonts w:ascii="Arial" w:hAnsi="Arial" w:cs="Arial"/>
          <w:lang w:val="en-US"/>
        </w:rPr>
      </w:pPr>
      <w:r w:rsidRPr="003061C7">
        <w:rPr>
          <w:rStyle w:val="FootnoteReference"/>
          <w:rFonts w:ascii="Arial" w:hAnsi="Arial" w:cs="Arial"/>
        </w:rPr>
        <w:footnoteRef/>
      </w:r>
      <w:r w:rsidRPr="003061C7">
        <w:rPr>
          <w:rFonts w:ascii="Arial" w:hAnsi="Arial" w:cs="Arial"/>
        </w:rPr>
        <w:t xml:space="preserve"> </w:t>
      </w:r>
      <w:r w:rsidRPr="003061C7">
        <w:rPr>
          <w:rFonts w:ascii="Arial" w:hAnsi="Arial" w:cs="Arial"/>
          <w:lang w:val="en-US"/>
        </w:rPr>
        <w:t>Section 33</w:t>
      </w:r>
      <w:r w:rsidRPr="00F65E46">
        <w:rPr>
          <w:rFonts w:ascii="Arial" w:hAnsi="Arial" w:cs="Arial"/>
          <w:i/>
          <w:lang w:val="en-US"/>
        </w:rPr>
        <w:t>(a)</w:t>
      </w:r>
      <w:r w:rsidRPr="003061C7">
        <w:rPr>
          <w:rFonts w:ascii="Arial" w:hAnsi="Arial" w:cs="Arial"/>
          <w:lang w:val="en-US"/>
        </w:rPr>
        <w:t xml:space="preserve"> of the FCA. </w:t>
      </w:r>
    </w:p>
  </w:footnote>
  <w:footnote w:id="9">
    <w:p w14:paraId="3CBD4795" w14:textId="77777777" w:rsidR="0057066C" w:rsidRPr="003061C7" w:rsidRDefault="0057066C" w:rsidP="00B237B4">
      <w:pPr>
        <w:pStyle w:val="FootnoteText"/>
        <w:jc w:val="both"/>
        <w:rPr>
          <w:rFonts w:ascii="Arial" w:hAnsi="Arial" w:cs="Arial"/>
          <w:lang w:val="en-US"/>
        </w:rPr>
      </w:pPr>
      <w:r w:rsidRPr="003061C7">
        <w:rPr>
          <w:rStyle w:val="FootnoteReference"/>
          <w:rFonts w:ascii="Arial" w:hAnsi="Arial" w:cs="Arial"/>
        </w:rPr>
        <w:footnoteRef/>
      </w:r>
      <w:r w:rsidRPr="003061C7">
        <w:rPr>
          <w:rFonts w:ascii="Arial" w:hAnsi="Arial" w:cs="Arial"/>
        </w:rPr>
        <w:t xml:space="preserve"> </w:t>
      </w:r>
      <w:r w:rsidRPr="003061C7">
        <w:rPr>
          <w:rFonts w:ascii="Arial" w:hAnsi="Arial" w:cs="Arial"/>
          <w:lang w:val="en-US"/>
        </w:rPr>
        <w:t>Section 33</w:t>
      </w:r>
      <w:r w:rsidRPr="00F65E46">
        <w:rPr>
          <w:rFonts w:ascii="Arial" w:hAnsi="Arial" w:cs="Arial"/>
          <w:i/>
          <w:lang w:val="en-US"/>
        </w:rPr>
        <w:t>(b)</w:t>
      </w:r>
      <w:r w:rsidRPr="003061C7">
        <w:rPr>
          <w:rFonts w:ascii="Arial" w:hAnsi="Arial" w:cs="Arial"/>
          <w:lang w:val="en-US"/>
        </w:rPr>
        <w:t xml:space="preserve"> of the FCA. </w:t>
      </w:r>
    </w:p>
  </w:footnote>
  <w:footnote w:id="10">
    <w:p w14:paraId="446FE197" w14:textId="0EA89136" w:rsidR="0057066C" w:rsidRPr="003061C7" w:rsidRDefault="0057066C" w:rsidP="00B237B4">
      <w:pPr>
        <w:pStyle w:val="FootnoteText"/>
        <w:jc w:val="both"/>
        <w:rPr>
          <w:rFonts w:ascii="Arial" w:hAnsi="Arial" w:cs="Arial"/>
          <w:lang w:val="en-US"/>
        </w:rPr>
      </w:pPr>
      <w:r w:rsidRPr="003061C7">
        <w:rPr>
          <w:rStyle w:val="FootnoteReference"/>
          <w:rFonts w:ascii="Arial" w:hAnsi="Arial" w:cs="Arial"/>
        </w:rPr>
        <w:footnoteRef/>
      </w:r>
      <w:r w:rsidRPr="003061C7">
        <w:rPr>
          <w:rFonts w:ascii="Arial" w:hAnsi="Arial" w:cs="Arial"/>
        </w:rPr>
        <w:t xml:space="preserve"> </w:t>
      </w:r>
      <w:r w:rsidR="00F65E46">
        <w:rPr>
          <w:rFonts w:ascii="Arial" w:hAnsi="Arial" w:cs="Arial"/>
          <w:lang w:val="en-US"/>
        </w:rPr>
        <w:t>Sections 34</w:t>
      </w:r>
      <w:r w:rsidRPr="00F65E46">
        <w:rPr>
          <w:rFonts w:ascii="Arial" w:hAnsi="Arial" w:cs="Arial"/>
          <w:i/>
          <w:lang w:val="en-US"/>
        </w:rPr>
        <w:t>(a)</w:t>
      </w:r>
      <w:r>
        <w:rPr>
          <w:rFonts w:ascii="Arial" w:hAnsi="Arial" w:cs="Arial"/>
          <w:lang w:val="en-US"/>
        </w:rPr>
        <w:t>,</w:t>
      </w:r>
      <w:r w:rsidRPr="003061C7">
        <w:rPr>
          <w:rFonts w:ascii="Arial" w:hAnsi="Arial" w:cs="Arial"/>
          <w:lang w:val="en-US"/>
        </w:rPr>
        <w:t xml:space="preserve"> </w:t>
      </w:r>
      <w:r w:rsidRPr="00F65E46">
        <w:rPr>
          <w:rFonts w:ascii="Arial" w:hAnsi="Arial" w:cs="Arial"/>
          <w:i/>
          <w:lang w:val="en-US"/>
        </w:rPr>
        <w:t>(b)</w:t>
      </w:r>
      <w:r w:rsidRPr="003061C7">
        <w:rPr>
          <w:rFonts w:ascii="Arial" w:hAnsi="Arial" w:cs="Arial"/>
          <w:lang w:val="en-US"/>
        </w:rPr>
        <w:t xml:space="preserve"> and </w:t>
      </w:r>
      <w:r w:rsidRPr="00F65E46">
        <w:rPr>
          <w:rFonts w:ascii="Arial" w:hAnsi="Arial" w:cs="Arial"/>
          <w:i/>
          <w:lang w:val="en-US"/>
        </w:rPr>
        <w:t>(c)</w:t>
      </w:r>
      <w:r w:rsidRPr="003061C7">
        <w:rPr>
          <w:rFonts w:ascii="Arial" w:hAnsi="Arial" w:cs="Arial"/>
          <w:lang w:val="en-US"/>
        </w:rPr>
        <w:t xml:space="preserve"> of the FCA. </w:t>
      </w:r>
    </w:p>
  </w:footnote>
  <w:footnote w:id="11">
    <w:p w14:paraId="132E3C1E" w14:textId="77777777" w:rsidR="0057066C" w:rsidRPr="00B237B4" w:rsidRDefault="0057066C" w:rsidP="00B237B4">
      <w:pPr>
        <w:pStyle w:val="FootnoteText"/>
        <w:jc w:val="both"/>
        <w:rPr>
          <w:rFonts w:ascii="Arial" w:hAnsi="Arial" w:cs="Arial"/>
        </w:rPr>
      </w:pPr>
      <w:r w:rsidRPr="00B237B4">
        <w:rPr>
          <w:rStyle w:val="FootnoteReference"/>
          <w:rFonts w:ascii="Arial" w:hAnsi="Arial" w:cs="Arial"/>
        </w:rPr>
        <w:footnoteRef/>
      </w:r>
      <w:r w:rsidRPr="00B237B4">
        <w:rPr>
          <w:rFonts w:ascii="Arial" w:hAnsi="Arial" w:cs="Arial"/>
        </w:rPr>
        <w:t xml:space="preserve"> Regulations 86(4)</w:t>
      </w:r>
      <w:r w:rsidRPr="00B237B4">
        <w:rPr>
          <w:rFonts w:ascii="Arial" w:hAnsi="Arial" w:cs="Arial"/>
          <w:i/>
          <w:iCs/>
        </w:rPr>
        <w:t>(a)-(f)</w:t>
      </w:r>
      <w:r w:rsidRPr="00B237B4">
        <w:rPr>
          <w:rFonts w:ascii="Arial" w:hAnsi="Arial" w:cs="Arial"/>
        </w:rPr>
        <w:t xml:space="preserve"> provide:</w:t>
      </w:r>
    </w:p>
    <w:p w14:paraId="6FC511B4" w14:textId="049A039B" w:rsidR="0057066C" w:rsidRPr="00B237B4" w:rsidRDefault="0057066C" w:rsidP="00B237B4">
      <w:pPr>
        <w:rPr>
          <w:rFonts w:ascii="Arial" w:hAnsi="Arial" w:cs="Arial"/>
          <w:sz w:val="20"/>
          <w:szCs w:val="20"/>
        </w:rPr>
      </w:pPr>
      <w:r w:rsidRPr="00B237B4">
        <w:rPr>
          <w:rFonts w:ascii="Arial" w:hAnsi="Arial" w:cs="Arial"/>
          <w:i/>
          <w:iCs/>
          <w:sz w:val="20"/>
          <w:szCs w:val="20"/>
        </w:rPr>
        <w:t>(a)</w:t>
      </w:r>
      <w:r w:rsidRPr="00B237B4">
        <w:rPr>
          <w:rFonts w:ascii="Arial" w:hAnsi="Arial" w:cs="Arial"/>
          <w:sz w:val="20"/>
          <w:szCs w:val="20"/>
        </w:rPr>
        <w:t xml:space="preserve"> A person who holds a licence to possess a firearm or is a holder of a competency certificate in respect of a muzzle loading firearm, may store a firearm or muzzle loading firearm in respect of which he or she does not hold a licence or competency certificate, if - </w:t>
      </w:r>
    </w:p>
    <w:p w14:paraId="7645192E" w14:textId="2388F1E8" w:rsidR="0057066C" w:rsidRPr="00B237B4" w:rsidRDefault="0057066C" w:rsidP="00B237B4">
      <w:pPr>
        <w:ind w:left="709"/>
        <w:rPr>
          <w:rFonts w:ascii="Arial" w:hAnsi="Arial" w:cs="Arial"/>
          <w:sz w:val="20"/>
          <w:szCs w:val="20"/>
        </w:rPr>
      </w:pPr>
      <w:r w:rsidRPr="00B237B4">
        <w:rPr>
          <w:rFonts w:ascii="Arial" w:hAnsi="Arial" w:cs="Arial"/>
          <w:sz w:val="20"/>
          <w:szCs w:val="20"/>
        </w:rPr>
        <w:t>(i)</w:t>
      </w:r>
      <w:r w:rsidR="007D254F" w:rsidRPr="00B237B4">
        <w:rPr>
          <w:rFonts w:ascii="Arial" w:hAnsi="Arial" w:cs="Arial"/>
          <w:sz w:val="20"/>
          <w:szCs w:val="20"/>
        </w:rPr>
        <w:t xml:space="preserve"> </w:t>
      </w:r>
      <w:r w:rsidRPr="00B237B4">
        <w:rPr>
          <w:rFonts w:ascii="Arial" w:hAnsi="Arial" w:cs="Arial"/>
          <w:sz w:val="20"/>
          <w:szCs w:val="20"/>
        </w:rPr>
        <w:t xml:space="preserve">he or she is in possession of a written authorisation given by the person who holds a licence, permit or authorisation to possess that firearm or competency certificate in respect of a muzzle loading firearm and which authorisation is endorsed by a relevant Designated Firearms Officer; and </w:t>
      </w:r>
    </w:p>
    <w:p w14:paraId="53E3DE0A" w14:textId="57B50548" w:rsidR="0057066C" w:rsidRPr="00B237B4" w:rsidRDefault="0057066C" w:rsidP="00B237B4">
      <w:pPr>
        <w:ind w:left="709"/>
        <w:rPr>
          <w:rFonts w:ascii="Arial" w:hAnsi="Arial" w:cs="Arial"/>
          <w:sz w:val="20"/>
          <w:szCs w:val="20"/>
        </w:rPr>
      </w:pPr>
      <w:r w:rsidRPr="00B237B4">
        <w:rPr>
          <w:rFonts w:ascii="Arial" w:hAnsi="Arial" w:cs="Arial"/>
          <w:sz w:val="20"/>
          <w:szCs w:val="20"/>
        </w:rPr>
        <w:t>(ii)</w:t>
      </w:r>
      <w:r w:rsidR="007D254F" w:rsidRPr="00B237B4">
        <w:rPr>
          <w:rFonts w:ascii="Arial" w:hAnsi="Arial" w:cs="Arial"/>
          <w:sz w:val="20"/>
          <w:szCs w:val="20"/>
        </w:rPr>
        <w:t xml:space="preserve"> </w:t>
      </w:r>
      <w:r w:rsidRPr="00B237B4">
        <w:rPr>
          <w:rFonts w:ascii="Arial" w:hAnsi="Arial" w:cs="Arial"/>
          <w:sz w:val="20"/>
          <w:szCs w:val="20"/>
        </w:rPr>
        <w:t xml:space="preserve">the firearm or muzzle loading firearm is stored in a prescribed safe at the place mentioned in the authorisation contemplated in sub-paragraph (i). </w:t>
      </w:r>
    </w:p>
    <w:p w14:paraId="4C9C8825" w14:textId="3223686E" w:rsidR="0057066C" w:rsidRPr="00B237B4" w:rsidRDefault="0057066C" w:rsidP="00B237B4">
      <w:pPr>
        <w:rPr>
          <w:sz w:val="20"/>
          <w:szCs w:val="20"/>
          <w:lang w:val="en-US"/>
        </w:rPr>
      </w:pPr>
      <w:r w:rsidRPr="00B237B4">
        <w:rPr>
          <w:rFonts w:ascii="Arial" w:hAnsi="Arial" w:cs="Arial"/>
          <w:i/>
          <w:iCs/>
          <w:sz w:val="20"/>
          <w:szCs w:val="20"/>
        </w:rPr>
        <w:t>(b)</w:t>
      </w:r>
      <w:r w:rsidRPr="00B237B4">
        <w:rPr>
          <w:rFonts w:ascii="Arial" w:hAnsi="Arial" w:cs="Arial"/>
          <w:sz w:val="20"/>
          <w:szCs w:val="20"/>
        </w:rPr>
        <w:t xml:space="preserve"> Only the person who holds a licence, permit, or authorisation to possess the firearm or a competency certificate in respect of a muzzle loading firearm or permission contemplated in subparagraph (a)(i) may transport that firearm or muzzle loading firearm to and from the place where that firearm or muzzle loading firearm is to be stored in terms of paragraph (a) as authorised by the Registrar or Designated Firearms Officer. </w:t>
      </w:r>
    </w:p>
  </w:footnote>
  <w:footnote w:id="12">
    <w:p w14:paraId="2C1FCBA2" w14:textId="77777777" w:rsidR="0057066C" w:rsidRPr="00B237B4" w:rsidRDefault="0057066C" w:rsidP="00B237B4">
      <w:pPr>
        <w:pStyle w:val="FootnoteText"/>
        <w:jc w:val="both"/>
        <w:rPr>
          <w:rFonts w:ascii="Arial" w:hAnsi="Arial" w:cs="Arial"/>
          <w:lang w:val="en-US"/>
        </w:rPr>
      </w:pPr>
      <w:r w:rsidRPr="00B237B4">
        <w:rPr>
          <w:rStyle w:val="FootnoteReference"/>
          <w:rFonts w:ascii="Arial" w:hAnsi="Arial" w:cs="Arial"/>
        </w:rPr>
        <w:footnoteRef/>
      </w:r>
      <w:r w:rsidRPr="00B237B4">
        <w:rPr>
          <w:rFonts w:ascii="Arial" w:hAnsi="Arial" w:cs="Arial"/>
        </w:rPr>
        <w:t xml:space="preserve"> </w:t>
      </w:r>
      <w:r w:rsidRPr="00B237B4">
        <w:rPr>
          <w:rFonts w:ascii="Arial" w:hAnsi="Arial" w:cs="Arial"/>
          <w:lang w:val="en-US"/>
        </w:rPr>
        <w:t>Regulation 86(11)</w:t>
      </w:r>
      <w:r w:rsidRPr="00B237B4">
        <w:rPr>
          <w:rFonts w:ascii="Arial" w:hAnsi="Arial" w:cs="Arial"/>
          <w:i/>
          <w:iCs/>
          <w:lang w:val="en-US"/>
        </w:rPr>
        <w:t>(b)</w:t>
      </w:r>
      <w:r w:rsidRPr="00B237B4">
        <w:rPr>
          <w:rFonts w:ascii="Arial" w:hAnsi="Arial" w:cs="Arial"/>
          <w:lang w:val="en-US"/>
        </w:rPr>
        <w:t xml:space="preserve"> of the Regulations provides:</w:t>
      </w:r>
    </w:p>
    <w:p w14:paraId="5AD3D7AC" w14:textId="01A6F602" w:rsidR="0057066C" w:rsidRPr="00B237B4" w:rsidRDefault="0057066C" w:rsidP="00B237B4">
      <w:pPr>
        <w:ind w:hanging="11"/>
        <w:rPr>
          <w:rFonts w:ascii="Arial" w:hAnsi="Arial" w:cs="Arial"/>
          <w:sz w:val="20"/>
          <w:szCs w:val="20"/>
        </w:rPr>
      </w:pPr>
      <w:r w:rsidRPr="00B237B4">
        <w:rPr>
          <w:rFonts w:ascii="Arial" w:hAnsi="Arial" w:cs="Arial"/>
          <w:i/>
          <w:iCs/>
          <w:sz w:val="20"/>
          <w:szCs w:val="20"/>
        </w:rPr>
        <w:t>(b)</w:t>
      </w:r>
      <w:r w:rsidR="009E1FCA" w:rsidRPr="00B237B4">
        <w:rPr>
          <w:rFonts w:ascii="Arial" w:hAnsi="Arial" w:cs="Arial"/>
          <w:sz w:val="20"/>
          <w:szCs w:val="20"/>
        </w:rPr>
        <w:t xml:space="preserve"> </w:t>
      </w:r>
      <w:r w:rsidRPr="00B237B4">
        <w:rPr>
          <w:rFonts w:ascii="Arial" w:hAnsi="Arial" w:cs="Arial"/>
          <w:sz w:val="20"/>
          <w:szCs w:val="20"/>
        </w:rPr>
        <w:t>Any person who may lawfully possess a firearm, muzzle loading firearm or ammunition shall store these in a prescribed safe or strong</w:t>
      </w:r>
      <w:r w:rsidR="009B7353">
        <w:rPr>
          <w:rFonts w:ascii="Arial" w:hAnsi="Arial" w:cs="Arial"/>
          <w:sz w:val="20"/>
          <w:szCs w:val="20"/>
        </w:rPr>
        <w:t xml:space="preserve"> </w:t>
      </w:r>
      <w:r w:rsidRPr="00B237B4">
        <w:rPr>
          <w:rFonts w:ascii="Arial" w:hAnsi="Arial" w:cs="Arial"/>
          <w:sz w:val="20"/>
          <w:szCs w:val="20"/>
        </w:rPr>
        <w:t>room, to which he or she shall have at all time exclusive access or his or her presence and cooperation shall be a necessary prerequisite for access to the relevant firearm, muzzle loading firearm and ammunition unless-</w:t>
      </w:r>
    </w:p>
    <w:p w14:paraId="0C05C8D0" w14:textId="67AD22A9" w:rsidR="0057066C" w:rsidRPr="00B237B4" w:rsidRDefault="0057066C" w:rsidP="00B237B4">
      <w:pPr>
        <w:ind w:left="709"/>
        <w:rPr>
          <w:rFonts w:ascii="Arial" w:hAnsi="Arial" w:cs="Arial"/>
          <w:sz w:val="20"/>
          <w:szCs w:val="20"/>
        </w:rPr>
      </w:pPr>
      <w:r w:rsidRPr="00B237B4">
        <w:rPr>
          <w:rFonts w:ascii="Arial" w:hAnsi="Arial" w:cs="Arial"/>
          <w:sz w:val="20"/>
          <w:szCs w:val="20"/>
        </w:rPr>
        <w:t>(i)</w:t>
      </w:r>
      <w:r w:rsidR="007D254F" w:rsidRPr="00B237B4">
        <w:rPr>
          <w:rFonts w:ascii="Arial" w:hAnsi="Arial" w:cs="Arial"/>
          <w:sz w:val="20"/>
          <w:szCs w:val="20"/>
        </w:rPr>
        <w:t xml:space="preserve"> </w:t>
      </w:r>
      <w:r w:rsidRPr="00B237B4">
        <w:rPr>
          <w:rFonts w:ascii="Arial" w:hAnsi="Arial" w:cs="Arial"/>
          <w:sz w:val="20"/>
          <w:szCs w:val="20"/>
        </w:rPr>
        <w:t xml:space="preserve">the storage is undertaken by the holder of a dealer’s of gunsmith’s licence in which case the dealer or the dealer’s personnel with valid competency certificates, or the gunsmith may have access to the safe or strong-room; or </w:t>
      </w:r>
    </w:p>
    <w:p w14:paraId="54F5998B" w14:textId="7D386E62" w:rsidR="0057066C" w:rsidRPr="00B237B4" w:rsidRDefault="0057066C" w:rsidP="00B237B4">
      <w:pPr>
        <w:ind w:left="709"/>
        <w:rPr>
          <w:rFonts w:ascii="Arial" w:hAnsi="Arial" w:cs="Arial"/>
          <w:sz w:val="20"/>
          <w:szCs w:val="20"/>
        </w:rPr>
      </w:pPr>
      <w:r w:rsidRPr="00B237B4">
        <w:rPr>
          <w:rFonts w:ascii="Arial" w:hAnsi="Arial" w:cs="Arial"/>
          <w:sz w:val="20"/>
          <w:szCs w:val="20"/>
        </w:rPr>
        <w:t>(ii)</w:t>
      </w:r>
      <w:r w:rsidR="007D254F" w:rsidRPr="00B237B4">
        <w:rPr>
          <w:rFonts w:ascii="Arial" w:hAnsi="Arial" w:cs="Arial"/>
          <w:sz w:val="20"/>
          <w:szCs w:val="20"/>
        </w:rPr>
        <w:t xml:space="preserve"> </w:t>
      </w:r>
      <w:r w:rsidRPr="00B237B4">
        <w:rPr>
          <w:rFonts w:ascii="Arial" w:hAnsi="Arial" w:cs="Arial"/>
          <w:sz w:val="20"/>
          <w:szCs w:val="20"/>
        </w:rPr>
        <w:t>the firearm or muzzle loading firearm is temporarily stored in a safe or strong</w:t>
      </w:r>
      <w:r w:rsidR="009B7353">
        <w:rPr>
          <w:rFonts w:ascii="Arial" w:hAnsi="Arial" w:cs="Arial"/>
          <w:sz w:val="20"/>
          <w:szCs w:val="20"/>
        </w:rPr>
        <w:t xml:space="preserve"> </w:t>
      </w:r>
      <w:r w:rsidRPr="00B237B4">
        <w:rPr>
          <w:rFonts w:ascii="Arial" w:hAnsi="Arial" w:cs="Arial"/>
          <w:sz w:val="20"/>
          <w:szCs w:val="20"/>
        </w:rPr>
        <w:t>room that conforms to the prescripts of SABS Standard 953-1 and 953-2 or a lock-away safe, device, apparatus or instrument for the safe custody of a firearm that conforms to the prescripts of sub-regulation (12), that is under the control of a holder of a licence, authorisation, permit or competency certificate for a muzzle loading firearm issued in terms of this Act, the person storing the firearm or muzzle loading firearm must in writing notify the Designated Firearms Officer in whose area the firearm or muzzle loading firearm is temporarily stored.’</w:t>
      </w:r>
    </w:p>
    <w:p w14:paraId="6D105C5C" w14:textId="77777777" w:rsidR="0057066C" w:rsidRPr="00E8070D" w:rsidRDefault="0057066C" w:rsidP="0057066C">
      <w:pPr>
        <w:pStyle w:val="FootnoteText"/>
        <w:rPr>
          <w:rFonts w:ascii="Arial" w:hAnsi="Arial" w:cs="Arial"/>
          <w:lang w:val="en-US"/>
        </w:rPr>
      </w:pPr>
    </w:p>
  </w:footnote>
  <w:footnote w:id="13">
    <w:p w14:paraId="27B420B9" w14:textId="77777777" w:rsidR="0057066C" w:rsidRPr="003061C7" w:rsidRDefault="0057066C" w:rsidP="00B237B4">
      <w:pPr>
        <w:pStyle w:val="FootnoteText"/>
        <w:jc w:val="both"/>
        <w:rPr>
          <w:rFonts w:ascii="Arial" w:hAnsi="Arial" w:cs="Arial"/>
          <w:lang w:val="en-US"/>
        </w:rPr>
      </w:pPr>
      <w:r w:rsidRPr="003061C7">
        <w:rPr>
          <w:rStyle w:val="FootnoteReference"/>
          <w:rFonts w:ascii="Arial" w:hAnsi="Arial" w:cs="Arial"/>
        </w:rPr>
        <w:footnoteRef/>
      </w:r>
      <w:r w:rsidRPr="003061C7">
        <w:rPr>
          <w:rFonts w:ascii="Arial" w:hAnsi="Arial" w:cs="Arial"/>
        </w:rPr>
        <w:t xml:space="preserve"> </w:t>
      </w:r>
      <w:r w:rsidRPr="003061C7">
        <w:rPr>
          <w:rFonts w:ascii="Arial" w:hAnsi="Arial" w:cs="Arial"/>
          <w:lang w:val="en-US"/>
        </w:rPr>
        <w:t>Section 4 of the FCA provides:</w:t>
      </w:r>
    </w:p>
    <w:p w14:paraId="445810E1" w14:textId="77777777" w:rsidR="0057066C" w:rsidRPr="003061C7" w:rsidRDefault="0057066C" w:rsidP="00B237B4">
      <w:pPr>
        <w:pStyle w:val="FootnoteText"/>
        <w:jc w:val="both"/>
        <w:rPr>
          <w:rFonts w:ascii="Arial" w:hAnsi="Arial" w:cs="Arial"/>
          <w:lang w:val="en-US"/>
        </w:rPr>
      </w:pPr>
      <w:r w:rsidRPr="003061C7">
        <w:rPr>
          <w:rFonts w:ascii="Arial" w:hAnsi="Arial" w:cs="Arial"/>
          <w:lang w:val="en-US"/>
        </w:rPr>
        <w:t>‘The purpose of this Act is to –</w:t>
      </w:r>
    </w:p>
    <w:p w14:paraId="018C6002" w14:textId="5D67421C" w:rsidR="0057066C" w:rsidRPr="003753F1" w:rsidRDefault="009E1FCA" w:rsidP="00B237B4">
      <w:pPr>
        <w:pStyle w:val="FootnoteText"/>
        <w:jc w:val="both"/>
        <w:rPr>
          <w:rFonts w:ascii="Arial" w:hAnsi="Arial" w:cs="Arial"/>
          <w:lang w:val="en-US"/>
        </w:rPr>
      </w:pPr>
      <w:r>
        <w:rPr>
          <w:rFonts w:ascii="Arial" w:hAnsi="Arial" w:cs="Arial"/>
          <w:lang w:val="en-US"/>
        </w:rPr>
        <w:t xml:space="preserve">(a) </w:t>
      </w:r>
      <w:r w:rsidR="0057066C" w:rsidRPr="003753F1">
        <w:rPr>
          <w:rFonts w:ascii="Arial" w:hAnsi="Arial" w:cs="Arial"/>
          <w:lang w:val="en-US"/>
        </w:rPr>
        <w:t>enhance the constitutional rights to life and bodily integrity;</w:t>
      </w:r>
    </w:p>
    <w:p w14:paraId="014BDF28" w14:textId="56BF8354" w:rsidR="0057066C" w:rsidRPr="003753F1" w:rsidRDefault="009E1FCA" w:rsidP="00B237B4">
      <w:pPr>
        <w:pStyle w:val="FootnoteText"/>
        <w:jc w:val="both"/>
        <w:rPr>
          <w:rFonts w:ascii="Arial" w:hAnsi="Arial" w:cs="Arial"/>
          <w:lang w:val="en-US"/>
        </w:rPr>
      </w:pPr>
      <w:r>
        <w:rPr>
          <w:rFonts w:ascii="Arial" w:hAnsi="Arial" w:cs="Arial"/>
          <w:lang w:val="en-US"/>
        </w:rPr>
        <w:t xml:space="preserve">(b) </w:t>
      </w:r>
      <w:r w:rsidR="0057066C" w:rsidRPr="003753F1">
        <w:rPr>
          <w:rFonts w:ascii="Arial" w:hAnsi="Arial" w:cs="Arial"/>
          <w:lang w:val="en-US"/>
        </w:rPr>
        <w:t>prevent the proliferation of illegally possessed firearms and, by providing for the removal of those firearms from society and by improving control over legally possessed firearms, to prevent crime involving the use of firearms;</w:t>
      </w:r>
    </w:p>
    <w:p w14:paraId="56BCBE60" w14:textId="31149E95" w:rsidR="0057066C" w:rsidRPr="003753F1" w:rsidRDefault="009E1FCA" w:rsidP="00B237B4">
      <w:pPr>
        <w:pStyle w:val="FootnoteText"/>
        <w:jc w:val="both"/>
        <w:rPr>
          <w:rFonts w:ascii="Arial" w:hAnsi="Arial" w:cs="Arial"/>
          <w:lang w:val="en-US"/>
        </w:rPr>
      </w:pPr>
      <w:r>
        <w:rPr>
          <w:rFonts w:ascii="Arial" w:hAnsi="Arial" w:cs="Arial"/>
          <w:lang w:val="en-US"/>
        </w:rPr>
        <w:t xml:space="preserve">(c) </w:t>
      </w:r>
      <w:r w:rsidR="0057066C" w:rsidRPr="003753F1">
        <w:rPr>
          <w:rFonts w:ascii="Arial" w:hAnsi="Arial" w:cs="Arial"/>
          <w:lang w:val="en-US"/>
        </w:rPr>
        <w:t>enable the State to remove illegally possessed firearms from society, to control the supply, possession, safe storage, transfer, and use of firearms and to detect and punish the negligent or criminal use of firearms;</w:t>
      </w:r>
    </w:p>
    <w:p w14:paraId="21E03ABC" w14:textId="7C831724" w:rsidR="0057066C" w:rsidRPr="003753F1" w:rsidRDefault="009E1FCA" w:rsidP="00B237B4">
      <w:pPr>
        <w:pStyle w:val="FootnoteText"/>
        <w:jc w:val="both"/>
        <w:rPr>
          <w:rFonts w:ascii="Arial" w:hAnsi="Arial" w:cs="Arial"/>
          <w:lang w:val="en-US"/>
        </w:rPr>
      </w:pPr>
      <w:r>
        <w:rPr>
          <w:rFonts w:ascii="Arial" w:hAnsi="Arial" w:cs="Arial"/>
          <w:lang w:val="en-US"/>
        </w:rPr>
        <w:t xml:space="preserve">(d) </w:t>
      </w:r>
      <w:r w:rsidR="0057066C" w:rsidRPr="003753F1">
        <w:rPr>
          <w:rFonts w:ascii="Arial" w:hAnsi="Arial" w:cs="Arial"/>
          <w:lang w:val="en-US"/>
        </w:rPr>
        <w:t xml:space="preserve">establish a comprehensive and effective system of firearm control and management; and </w:t>
      </w:r>
    </w:p>
    <w:p w14:paraId="3239FEF6" w14:textId="6B447FEB" w:rsidR="0057066C" w:rsidRPr="003061C7" w:rsidRDefault="009E1FCA" w:rsidP="00B237B4">
      <w:pPr>
        <w:pStyle w:val="FootnoteText"/>
        <w:jc w:val="both"/>
        <w:rPr>
          <w:rFonts w:ascii="Arial" w:hAnsi="Arial" w:cs="Arial"/>
          <w:lang w:val="en-US"/>
        </w:rPr>
      </w:pPr>
      <w:r>
        <w:rPr>
          <w:rFonts w:ascii="Arial" w:hAnsi="Arial" w:cs="Arial"/>
          <w:lang w:val="en-US"/>
        </w:rPr>
        <w:t xml:space="preserve">(e) </w:t>
      </w:r>
      <w:r w:rsidR="0057066C" w:rsidRPr="003753F1">
        <w:rPr>
          <w:rFonts w:ascii="Arial" w:hAnsi="Arial" w:cs="Arial"/>
          <w:lang w:val="en-US"/>
        </w:rPr>
        <w:t>ensure the efficiency, monitoring and enforcement of legislation pertaining to the control of firearms.’</w:t>
      </w:r>
      <w:r w:rsidR="0057066C" w:rsidRPr="0060714F">
        <w:rPr>
          <w:rFonts w:ascii="Arial" w:hAnsi="Arial" w:cs="Arial"/>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414D7" w14:textId="77777777" w:rsidR="008F3C3B" w:rsidRDefault="008F3C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E05D37" w14:textId="77777777" w:rsidR="008F3C3B" w:rsidRDefault="008F3C3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7D146" w14:textId="77777777" w:rsidR="008F3C3B" w:rsidRDefault="008F3C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2895">
      <w:rPr>
        <w:rStyle w:val="PageNumber"/>
        <w:noProof/>
      </w:rPr>
      <w:t>2</w:t>
    </w:r>
    <w:r>
      <w:rPr>
        <w:rStyle w:val="PageNumber"/>
      </w:rPr>
      <w:fldChar w:fldCharType="end"/>
    </w:r>
  </w:p>
  <w:p w14:paraId="72145D24" w14:textId="77777777" w:rsidR="008F3C3B" w:rsidRDefault="008F3C3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7B5A"/>
    <w:multiLevelType w:val="hybridMultilevel"/>
    <w:tmpl w:val="975C2B0A"/>
    <w:lvl w:ilvl="0" w:tplc="58E01512">
      <w:start w:val="1"/>
      <w:numFmt w:val="low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A7A26"/>
    <w:multiLevelType w:val="hybridMultilevel"/>
    <w:tmpl w:val="71A6687C"/>
    <w:lvl w:ilvl="0" w:tplc="EA986A58">
      <w:start w:val="1"/>
      <w:numFmt w:val="decimal"/>
      <w:pStyle w:val="JUDGMENTNUMBERED"/>
      <w:lvlText w:val="[%1]"/>
      <w:lvlJc w:val="left"/>
      <w:pPr>
        <w:ind w:left="3200" w:hanging="3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42A3BA">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9FE7929"/>
    <w:multiLevelType w:val="hybridMultilevel"/>
    <w:tmpl w:val="CDACD8AE"/>
    <w:lvl w:ilvl="0" w:tplc="4A448992">
      <w:start w:val="1"/>
      <w:numFmt w:val="decimal"/>
      <w:lvlText w:val="[%1]"/>
      <w:lvlJc w:val="left"/>
      <w:pPr>
        <w:ind w:left="142"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7768F"/>
    <w:multiLevelType w:val="hybridMultilevel"/>
    <w:tmpl w:val="2AD6B586"/>
    <w:lvl w:ilvl="0" w:tplc="B94ACC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0799B"/>
    <w:multiLevelType w:val="hybridMultilevel"/>
    <w:tmpl w:val="602868E4"/>
    <w:lvl w:ilvl="0" w:tplc="2D7E889C">
      <w:start w:val="1"/>
      <w:numFmt w:val="decimal"/>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334349C"/>
    <w:multiLevelType w:val="hybridMultilevel"/>
    <w:tmpl w:val="C6343ACE"/>
    <w:lvl w:ilvl="0" w:tplc="F56A66DE">
      <w:start w:val="1"/>
      <w:numFmt w:val="lowerLetter"/>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29B260F"/>
    <w:multiLevelType w:val="hybridMultilevel"/>
    <w:tmpl w:val="4CD62B68"/>
    <w:lvl w:ilvl="0" w:tplc="223C9B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46A0B01"/>
    <w:multiLevelType w:val="hybridMultilevel"/>
    <w:tmpl w:val="83F4B762"/>
    <w:lvl w:ilvl="0" w:tplc="3AAEA5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AD66C63"/>
    <w:multiLevelType w:val="hybridMultilevel"/>
    <w:tmpl w:val="2196D10E"/>
    <w:lvl w:ilvl="0" w:tplc="45D8D5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5116539"/>
    <w:multiLevelType w:val="multilevel"/>
    <w:tmpl w:val="26EC764A"/>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A9868BA"/>
    <w:multiLevelType w:val="hybridMultilevel"/>
    <w:tmpl w:val="01C2E1F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DA37C83"/>
    <w:multiLevelType w:val="hybridMultilevel"/>
    <w:tmpl w:val="4732A338"/>
    <w:lvl w:ilvl="0" w:tplc="14181932">
      <w:start w:val="1"/>
      <w:numFmt w:val="decimal"/>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0E270D1"/>
    <w:multiLevelType w:val="hybridMultilevel"/>
    <w:tmpl w:val="663213CC"/>
    <w:lvl w:ilvl="0" w:tplc="9DA8DE3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723069E7"/>
    <w:multiLevelType w:val="multilevel"/>
    <w:tmpl w:val="5FC699A4"/>
    <w:lvl w:ilvl="0">
      <w:start w:val="49"/>
      <w:numFmt w:val="decimal"/>
      <w:lvlText w:val="%1"/>
      <w:lvlJc w:val="left"/>
      <w:pPr>
        <w:ind w:left="490" w:hanging="490"/>
      </w:pPr>
      <w:rPr>
        <w:rFonts w:hint="default"/>
      </w:rPr>
    </w:lvl>
    <w:lvl w:ilvl="1">
      <w:start w:val="1"/>
      <w:numFmt w:val="decimal"/>
      <w:lvlText w:val="%1.%2"/>
      <w:lvlJc w:val="left"/>
      <w:pPr>
        <w:ind w:left="850" w:hanging="4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72A43F3E"/>
    <w:multiLevelType w:val="multilevel"/>
    <w:tmpl w:val="F5A418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2"/>
  </w:num>
  <w:num w:numId="3">
    <w:abstractNumId w:val="9"/>
  </w:num>
  <w:num w:numId="4">
    <w:abstractNumId w:val="1"/>
  </w:num>
  <w:num w:numId="5">
    <w:abstractNumId w:val="10"/>
  </w:num>
  <w:num w:numId="6">
    <w:abstractNumId w:val="13"/>
  </w:num>
  <w:num w:numId="7">
    <w:abstractNumId w:val="1"/>
    <w:lvlOverride w:ilvl="0">
      <w:startOverride w:val="1"/>
    </w:lvlOverride>
  </w:num>
  <w:num w:numId="8">
    <w:abstractNumId w:val="11"/>
  </w:num>
  <w:num w:numId="9">
    <w:abstractNumId w:val="4"/>
  </w:num>
  <w:num w:numId="10">
    <w:abstractNumId w:val="14"/>
  </w:num>
  <w:num w:numId="11">
    <w:abstractNumId w:val="5"/>
  </w:num>
  <w:num w:numId="12">
    <w:abstractNumId w:val="8"/>
  </w:num>
  <w:num w:numId="13">
    <w:abstractNumId w:val="6"/>
  </w:num>
  <w:num w:numId="14">
    <w:abstractNumId w:val="7"/>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DC"/>
    <w:rsid w:val="00001BBE"/>
    <w:rsid w:val="00001F69"/>
    <w:rsid w:val="0000407E"/>
    <w:rsid w:val="00004E01"/>
    <w:rsid w:val="000125C0"/>
    <w:rsid w:val="00017688"/>
    <w:rsid w:val="00017F10"/>
    <w:rsid w:val="0002006C"/>
    <w:rsid w:val="00023C2E"/>
    <w:rsid w:val="00025101"/>
    <w:rsid w:val="000309F3"/>
    <w:rsid w:val="000329C0"/>
    <w:rsid w:val="00051DA6"/>
    <w:rsid w:val="000525AE"/>
    <w:rsid w:val="00055D63"/>
    <w:rsid w:val="00060155"/>
    <w:rsid w:val="0007233F"/>
    <w:rsid w:val="00077ADF"/>
    <w:rsid w:val="000812A5"/>
    <w:rsid w:val="00081E78"/>
    <w:rsid w:val="000972B8"/>
    <w:rsid w:val="000A5743"/>
    <w:rsid w:val="000A5D31"/>
    <w:rsid w:val="000A6347"/>
    <w:rsid w:val="000B2017"/>
    <w:rsid w:val="000B513F"/>
    <w:rsid w:val="000B536D"/>
    <w:rsid w:val="000B5EF9"/>
    <w:rsid w:val="000C4362"/>
    <w:rsid w:val="000C5FAA"/>
    <w:rsid w:val="000D6C54"/>
    <w:rsid w:val="000E0536"/>
    <w:rsid w:val="000E45AA"/>
    <w:rsid w:val="000E7C00"/>
    <w:rsid w:val="001002B9"/>
    <w:rsid w:val="00107E36"/>
    <w:rsid w:val="00112CB9"/>
    <w:rsid w:val="001161FC"/>
    <w:rsid w:val="001205B3"/>
    <w:rsid w:val="001215D7"/>
    <w:rsid w:val="00121D83"/>
    <w:rsid w:val="0012272E"/>
    <w:rsid w:val="00130165"/>
    <w:rsid w:val="001303EB"/>
    <w:rsid w:val="00145B4C"/>
    <w:rsid w:val="00150FE6"/>
    <w:rsid w:val="00151050"/>
    <w:rsid w:val="001522B4"/>
    <w:rsid w:val="00155599"/>
    <w:rsid w:val="00164BC1"/>
    <w:rsid w:val="001767EA"/>
    <w:rsid w:val="001929F5"/>
    <w:rsid w:val="001930BF"/>
    <w:rsid w:val="001B434B"/>
    <w:rsid w:val="001B70EF"/>
    <w:rsid w:val="001C0705"/>
    <w:rsid w:val="001C4732"/>
    <w:rsid w:val="001D1B4F"/>
    <w:rsid w:val="001D30BD"/>
    <w:rsid w:val="001D6A34"/>
    <w:rsid w:val="001E6CCE"/>
    <w:rsid w:val="001F33FC"/>
    <w:rsid w:val="001F41C4"/>
    <w:rsid w:val="001F6B30"/>
    <w:rsid w:val="00225AB5"/>
    <w:rsid w:val="00230F12"/>
    <w:rsid w:val="00234C6E"/>
    <w:rsid w:val="00241641"/>
    <w:rsid w:val="00253513"/>
    <w:rsid w:val="0025511F"/>
    <w:rsid w:val="0026063E"/>
    <w:rsid w:val="00266C47"/>
    <w:rsid w:val="00267C7A"/>
    <w:rsid w:val="002708D2"/>
    <w:rsid w:val="00277A76"/>
    <w:rsid w:val="00282435"/>
    <w:rsid w:val="00297A01"/>
    <w:rsid w:val="002A7AE4"/>
    <w:rsid w:val="002C4CAB"/>
    <w:rsid w:val="002D13FE"/>
    <w:rsid w:val="002D3E16"/>
    <w:rsid w:val="002D67CE"/>
    <w:rsid w:val="002F38E8"/>
    <w:rsid w:val="002F3ACD"/>
    <w:rsid w:val="002F7404"/>
    <w:rsid w:val="00305762"/>
    <w:rsid w:val="00305BFE"/>
    <w:rsid w:val="00307878"/>
    <w:rsid w:val="00324471"/>
    <w:rsid w:val="0032566E"/>
    <w:rsid w:val="003310B5"/>
    <w:rsid w:val="0033289C"/>
    <w:rsid w:val="00341D53"/>
    <w:rsid w:val="00350334"/>
    <w:rsid w:val="00352A4A"/>
    <w:rsid w:val="0035376A"/>
    <w:rsid w:val="00353837"/>
    <w:rsid w:val="00360ACE"/>
    <w:rsid w:val="00373C11"/>
    <w:rsid w:val="00380B58"/>
    <w:rsid w:val="00380FE8"/>
    <w:rsid w:val="003967B1"/>
    <w:rsid w:val="00397168"/>
    <w:rsid w:val="003972C0"/>
    <w:rsid w:val="003A1119"/>
    <w:rsid w:val="003A238E"/>
    <w:rsid w:val="003A35D6"/>
    <w:rsid w:val="003B33C8"/>
    <w:rsid w:val="003C0570"/>
    <w:rsid w:val="003C30EB"/>
    <w:rsid w:val="003C3D9F"/>
    <w:rsid w:val="003D6187"/>
    <w:rsid w:val="003D79FA"/>
    <w:rsid w:val="003E18BB"/>
    <w:rsid w:val="003E3AC6"/>
    <w:rsid w:val="003E3AFA"/>
    <w:rsid w:val="003E7F6F"/>
    <w:rsid w:val="003F0361"/>
    <w:rsid w:val="003F38A4"/>
    <w:rsid w:val="003F48ED"/>
    <w:rsid w:val="00405A0B"/>
    <w:rsid w:val="004068F5"/>
    <w:rsid w:val="00410589"/>
    <w:rsid w:val="00420273"/>
    <w:rsid w:val="004212DC"/>
    <w:rsid w:val="004307F2"/>
    <w:rsid w:val="004334F2"/>
    <w:rsid w:val="00436348"/>
    <w:rsid w:val="004436F5"/>
    <w:rsid w:val="00443805"/>
    <w:rsid w:val="004458E8"/>
    <w:rsid w:val="0045020D"/>
    <w:rsid w:val="00455177"/>
    <w:rsid w:val="004575A3"/>
    <w:rsid w:val="00465EDD"/>
    <w:rsid w:val="00467FFC"/>
    <w:rsid w:val="004708CC"/>
    <w:rsid w:val="004822A2"/>
    <w:rsid w:val="00483410"/>
    <w:rsid w:val="0048501A"/>
    <w:rsid w:val="00490CE3"/>
    <w:rsid w:val="004970A2"/>
    <w:rsid w:val="004A0E45"/>
    <w:rsid w:val="004A3CC3"/>
    <w:rsid w:val="004B2365"/>
    <w:rsid w:val="004C2DE9"/>
    <w:rsid w:val="004D19A7"/>
    <w:rsid w:val="004D1DDB"/>
    <w:rsid w:val="004D3D7C"/>
    <w:rsid w:val="004E34A4"/>
    <w:rsid w:val="004E6DE6"/>
    <w:rsid w:val="004F27D3"/>
    <w:rsid w:val="004F789F"/>
    <w:rsid w:val="005004DE"/>
    <w:rsid w:val="0050479C"/>
    <w:rsid w:val="0050508B"/>
    <w:rsid w:val="00520FDC"/>
    <w:rsid w:val="00534547"/>
    <w:rsid w:val="0053459B"/>
    <w:rsid w:val="005513CC"/>
    <w:rsid w:val="00555816"/>
    <w:rsid w:val="00555E9F"/>
    <w:rsid w:val="00561CE5"/>
    <w:rsid w:val="0057066C"/>
    <w:rsid w:val="0058466B"/>
    <w:rsid w:val="00584799"/>
    <w:rsid w:val="00584A9D"/>
    <w:rsid w:val="005865FC"/>
    <w:rsid w:val="005A1C2C"/>
    <w:rsid w:val="005A6F60"/>
    <w:rsid w:val="005B6438"/>
    <w:rsid w:val="005C3085"/>
    <w:rsid w:val="005C42F6"/>
    <w:rsid w:val="005C44C0"/>
    <w:rsid w:val="005D25F1"/>
    <w:rsid w:val="005E04A3"/>
    <w:rsid w:val="005E2207"/>
    <w:rsid w:val="005E5C31"/>
    <w:rsid w:val="005E6285"/>
    <w:rsid w:val="005E7668"/>
    <w:rsid w:val="00603EAF"/>
    <w:rsid w:val="0060760E"/>
    <w:rsid w:val="00615F18"/>
    <w:rsid w:val="006259B3"/>
    <w:rsid w:val="0063488B"/>
    <w:rsid w:val="0063506A"/>
    <w:rsid w:val="006356E1"/>
    <w:rsid w:val="00642C8F"/>
    <w:rsid w:val="00643D27"/>
    <w:rsid w:val="0064751D"/>
    <w:rsid w:val="00651733"/>
    <w:rsid w:val="0065220E"/>
    <w:rsid w:val="006535AB"/>
    <w:rsid w:val="006565CC"/>
    <w:rsid w:val="00657880"/>
    <w:rsid w:val="00663862"/>
    <w:rsid w:val="00663A72"/>
    <w:rsid w:val="00663FB0"/>
    <w:rsid w:val="00664639"/>
    <w:rsid w:val="006655D3"/>
    <w:rsid w:val="00676B8C"/>
    <w:rsid w:val="00676CB2"/>
    <w:rsid w:val="00676D8D"/>
    <w:rsid w:val="006877F6"/>
    <w:rsid w:val="00690C7D"/>
    <w:rsid w:val="006915F6"/>
    <w:rsid w:val="00697039"/>
    <w:rsid w:val="006A00F9"/>
    <w:rsid w:val="006A5A1F"/>
    <w:rsid w:val="006A6C80"/>
    <w:rsid w:val="006B5534"/>
    <w:rsid w:val="006B74B4"/>
    <w:rsid w:val="006C0893"/>
    <w:rsid w:val="006C39D4"/>
    <w:rsid w:val="006C3C99"/>
    <w:rsid w:val="006D0F36"/>
    <w:rsid w:val="006D2F92"/>
    <w:rsid w:val="006D3C64"/>
    <w:rsid w:val="006F4078"/>
    <w:rsid w:val="006F5A86"/>
    <w:rsid w:val="0070058D"/>
    <w:rsid w:val="00701C0F"/>
    <w:rsid w:val="00702C3E"/>
    <w:rsid w:val="007071C7"/>
    <w:rsid w:val="007141FE"/>
    <w:rsid w:val="0071440A"/>
    <w:rsid w:val="00715C00"/>
    <w:rsid w:val="007263C5"/>
    <w:rsid w:val="00731228"/>
    <w:rsid w:val="00731800"/>
    <w:rsid w:val="00733256"/>
    <w:rsid w:val="00733DE6"/>
    <w:rsid w:val="007356A8"/>
    <w:rsid w:val="00737D83"/>
    <w:rsid w:val="007453DD"/>
    <w:rsid w:val="007458F0"/>
    <w:rsid w:val="00750305"/>
    <w:rsid w:val="00755577"/>
    <w:rsid w:val="00755AB9"/>
    <w:rsid w:val="0076359F"/>
    <w:rsid w:val="007671E8"/>
    <w:rsid w:val="0076769E"/>
    <w:rsid w:val="00785784"/>
    <w:rsid w:val="0079041C"/>
    <w:rsid w:val="00791AEB"/>
    <w:rsid w:val="007941F5"/>
    <w:rsid w:val="007B36EA"/>
    <w:rsid w:val="007B3A7A"/>
    <w:rsid w:val="007B412E"/>
    <w:rsid w:val="007B50AA"/>
    <w:rsid w:val="007B6B29"/>
    <w:rsid w:val="007C556D"/>
    <w:rsid w:val="007D0811"/>
    <w:rsid w:val="007D254F"/>
    <w:rsid w:val="007D51E2"/>
    <w:rsid w:val="007D5F31"/>
    <w:rsid w:val="007D6621"/>
    <w:rsid w:val="007E1CC6"/>
    <w:rsid w:val="007E7BDA"/>
    <w:rsid w:val="007F194B"/>
    <w:rsid w:val="00800B9E"/>
    <w:rsid w:val="0080110F"/>
    <w:rsid w:val="0081398C"/>
    <w:rsid w:val="008177F1"/>
    <w:rsid w:val="00821C43"/>
    <w:rsid w:val="00822035"/>
    <w:rsid w:val="00830E81"/>
    <w:rsid w:val="008376F1"/>
    <w:rsid w:val="008424E2"/>
    <w:rsid w:val="00843225"/>
    <w:rsid w:val="00854B2C"/>
    <w:rsid w:val="00854C8B"/>
    <w:rsid w:val="008554D1"/>
    <w:rsid w:val="008557DD"/>
    <w:rsid w:val="00857F82"/>
    <w:rsid w:val="00862686"/>
    <w:rsid w:val="00863146"/>
    <w:rsid w:val="00870CC6"/>
    <w:rsid w:val="00872699"/>
    <w:rsid w:val="00874AE0"/>
    <w:rsid w:val="00874CBA"/>
    <w:rsid w:val="008825DD"/>
    <w:rsid w:val="008834A8"/>
    <w:rsid w:val="00883606"/>
    <w:rsid w:val="00884663"/>
    <w:rsid w:val="008926A9"/>
    <w:rsid w:val="0089388F"/>
    <w:rsid w:val="00895F2B"/>
    <w:rsid w:val="008966E7"/>
    <w:rsid w:val="008A3DB4"/>
    <w:rsid w:val="008B056E"/>
    <w:rsid w:val="008B07AB"/>
    <w:rsid w:val="008B4AE4"/>
    <w:rsid w:val="008B5018"/>
    <w:rsid w:val="008C018B"/>
    <w:rsid w:val="008C574C"/>
    <w:rsid w:val="008C7845"/>
    <w:rsid w:val="008D4ACA"/>
    <w:rsid w:val="008F11FB"/>
    <w:rsid w:val="008F3C3B"/>
    <w:rsid w:val="008F46ED"/>
    <w:rsid w:val="00904D9C"/>
    <w:rsid w:val="009124DB"/>
    <w:rsid w:val="0091453E"/>
    <w:rsid w:val="00915DE6"/>
    <w:rsid w:val="0091627E"/>
    <w:rsid w:val="00921B84"/>
    <w:rsid w:val="00925C1F"/>
    <w:rsid w:val="009564E6"/>
    <w:rsid w:val="009577C5"/>
    <w:rsid w:val="009611CA"/>
    <w:rsid w:val="009627EF"/>
    <w:rsid w:val="00963F98"/>
    <w:rsid w:val="00970499"/>
    <w:rsid w:val="00972FAA"/>
    <w:rsid w:val="009733B0"/>
    <w:rsid w:val="00973917"/>
    <w:rsid w:val="00974D5F"/>
    <w:rsid w:val="009A035B"/>
    <w:rsid w:val="009B6C64"/>
    <w:rsid w:val="009B7353"/>
    <w:rsid w:val="009C1611"/>
    <w:rsid w:val="009C32E9"/>
    <w:rsid w:val="009C7A96"/>
    <w:rsid w:val="009D1434"/>
    <w:rsid w:val="009D45D6"/>
    <w:rsid w:val="009E07DF"/>
    <w:rsid w:val="009E1FCA"/>
    <w:rsid w:val="009E2B62"/>
    <w:rsid w:val="009E3EBB"/>
    <w:rsid w:val="009F3C57"/>
    <w:rsid w:val="00A06AA1"/>
    <w:rsid w:val="00A10679"/>
    <w:rsid w:val="00A126AD"/>
    <w:rsid w:val="00A31A05"/>
    <w:rsid w:val="00A3393B"/>
    <w:rsid w:val="00A411F9"/>
    <w:rsid w:val="00A45C51"/>
    <w:rsid w:val="00A46A84"/>
    <w:rsid w:val="00A53AD9"/>
    <w:rsid w:val="00A5625F"/>
    <w:rsid w:val="00A6565D"/>
    <w:rsid w:val="00A733C0"/>
    <w:rsid w:val="00A761A7"/>
    <w:rsid w:val="00A80277"/>
    <w:rsid w:val="00A83C0D"/>
    <w:rsid w:val="00A84727"/>
    <w:rsid w:val="00A859CE"/>
    <w:rsid w:val="00A95F63"/>
    <w:rsid w:val="00AA7E29"/>
    <w:rsid w:val="00AB31E8"/>
    <w:rsid w:val="00AC4D16"/>
    <w:rsid w:val="00AC69C2"/>
    <w:rsid w:val="00AC7D6D"/>
    <w:rsid w:val="00AE2673"/>
    <w:rsid w:val="00AF3256"/>
    <w:rsid w:val="00AF380C"/>
    <w:rsid w:val="00AF40BA"/>
    <w:rsid w:val="00AF4FB9"/>
    <w:rsid w:val="00AF77EC"/>
    <w:rsid w:val="00B06C36"/>
    <w:rsid w:val="00B1614A"/>
    <w:rsid w:val="00B200A2"/>
    <w:rsid w:val="00B237B4"/>
    <w:rsid w:val="00B35685"/>
    <w:rsid w:val="00B37047"/>
    <w:rsid w:val="00B51A1E"/>
    <w:rsid w:val="00B563CC"/>
    <w:rsid w:val="00B56A86"/>
    <w:rsid w:val="00B57F59"/>
    <w:rsid w:val="00B73E8D"/>
    <w:rsid w:val="00B76803"/>
    <w:rsid w:val="00B82F41"/>
    <w:rsid w:val="00B846DD"/>
    <w:rsid w:val="00B909C5"/>
    <w:rsid w:val="00B91D0D"/>
    <w:rsid w:val="00BA1CB4"/>
    <w:rsid w:val="00BB33C6"/>
    <w:rsid w:val="00BB585C"/>
    <w:rsid w:val="00BC002D"/>
    <w:rsid w:val="00BC54B9"/>
    <w:rsid w:val="00BF25E4"/>
    <w:rsid w:val="00C040F8"/>
    <w:rsid w:val="00C05BEE"/>
    <w:rsid w:val="00C0701A"/>
    <w:rsid w:val="00C1596B"/>
    <w:rsid w:val="00C32C0C"/>
    <w:rsid w:val="00C348BA"/>
    <w:rsid w:val="00C43F6C"/>
    <w:rsid w:val="00C442E8"/>
    <w:rsid w:val="00C51FEB"/>
    <w:rsid w:val="00C564D5"/>
    <w:rsid w:val="00C565C7"/>
    <w:rsid w:val="00C61E6A"/>
    <w:rsid w:val="00C72F04"/>
    <w:rsid w:val="00C82C6D"/>
    <w:rsid w:val="00C85214"/>
    <w:rsid w:val="00C85224"/>
    <w:rsid w:val="00C85B64"/>
    <w:rsid w:val="00C87D53"/>
    <w:rsid w:val="00C93F26"/>
    <w:rsid w:val="00C95CC6"/>
    <w:rsid w:val="00CA2110"/>
    <w:rsid w:val="00CB08D3"/>
    <w:rsid w:val="00CB5A7F"/>
    <w:rsid w:val="00CB795E"/>
    <w:rsid w:val="00CC2895"/>
    <w:rsid w:val="00CD1585"/>
    <w:rsid w:val="00CD52CD"/>
    <w:rsid w:val="00CE458B"/>
    <w:rsid w:val="00D020EE"/>
    <w:rsid w:val="00D14AA8"/>
    <w:rsid w:val="00D273CF"/>
    <w:rsid w:val="00D27A6A"/>
    <w:rsid w:val="00D3186A"/>
    <w:rsid w:val="00D329AD"/>
    <w:rsid w:val="00D36233"/>
    <w:rsid w:val="00D41A02"/>
    <w:rsid w:val="00D436CC"/>
    <w:rsid w:val="00D526A0"/>
    <w:rsid w:val="00D543AC"/>
    <w:rsid w:val="00D56EF9"/>
    <w:rsid w:val="00D63AE7"/>
    <w:rsid w:val="00D67238"/>
    <w:rsid w:val="00D74901"/>
    <w:rsid w:val="00D80EDC"/>
    <w:rsid w:val="00D8661D"/>
    <w:rsid w:val="00DA4442"/>
    <w:rsid w:val="00DA52DD"/>
    <w:rsid w:val="00DA5DF6"/>
    <w:rsid w:val="00DA6EA2"/>
    <w:rsid w:val="00DB113E"/>
    <w:rsid w:val="00DB3BAA"/>
    <w:rsid w:val="00DC0245"/>
    <w:rsid w:val="00DD044C"/>
    <w:rsid w:val="00DD0F56"/>
    <w:rsid w:val="00DE646B"/>
    <w:rsid w:val="00DE77BC"/>
    <w:rsid w:val="00E01AE9"/>
    <w:rsid w:val="00E02474"/>
    <w:rsid w:val="00E04C2E"/>
    <w:rsid w:val="00E05157"/>
    <w:rsid w:val="00E15390"/>
    <w:rsid w:val="00E20BAC"/>
    <w:rsid w:val="00E265A2"/>
    <w:rsid w:val="00E3248C"/>
    <w:rsid w:val="00E41BFD"/>
    <w:rsid w:val="00E44EC8"/>
    <w:rsid w:val="00E44FA4"/>
    <w:rsid w:val="00E467E8"/>
    <w:rsid w:val="00E564FF"/>
    <w:rsid w:val="00E630B0"/>
    <w:rsid w:val="00E657B1"/>
    <w:rsid w:val="00E82FCC"/>
    <w:rsid w:val="00E84781"/>
    <w:rsid w:val="00E84C63"/>
    <w:rsid w:val="00E915D8"/>
    <w:rsid w:val="00E933B7"/>
    <w:rsid w:val="00E96942"/>
    <w:rsid w:val="00E976EE"/>
    <w:rsid w:val="00EA529D"/>
    <w:rsid w:val="00EB5AEB"/>
    <w:rsid w:val="00EE1433"/>
    <w:rsid w:val="00EE7F99"/>
    <w:rsid w:val="00EF26CD"/>
    <w:rsid w:val="00F02A1B"/>
    <w:rsid w:val="00F10963"/>
    <w:rsid w:val="00F13BEA"/>
    <w:rsid w:val="00F20D2D"/>
    <w:rsid w:val="00F249FA"/>
    <w:rsid w:val="00F31E36"/>
    <w:rsid w:val="00F33505"/>
    <w:rsid w:val="00F43C30"/>
    <w:rsid w:val="00F54EF9"/>
    <w:rsid w:val="00F55457"/>
    <w:rsid w:val="00F559D8"/>
    <w:rsid w:val="00F57AED"/>
    <w:rsid w:val="00F6472A"/>
    <w:rsid w:val="00F65E46"/>
    <w:rsid w:val="00F71DA2"/>
    <w:rsid w:val="00F7484F"/>
    <w:rsid w:val="00F770FA"/>
    <w:rsid w:val="00F82B97"/>
    <w:rsid w:val="00FA386E"/>
    <w:rsid w:val="00FA76CE"/>
    <w:rsid w:val="00FB228D"/>
    <w:rsid w:val="00FB4902"/>
    <w:rsid w:val="00FB79BF"/>
    <w:rsid w:val="00FC4B65"/>
    <w:rsid w:val="00FD450C"/>
    <w:rsid w:val="00FD58B8"/>
    <w:rsid w:val="00FD63D8"/>
    <w:rsid w:val="00FE2DB7"/>
    <w:rsid w:val="00FE3866"/>
    <w:rsid w:val="00FF4A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45C5"/>
  <w15:chartTrackingRefBased/>
  <w15:docId w15:val="{7154DD0B-DE10-4E2F-9BA8-B506CF5B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2DC"/>
    <w:pPr>
      <w:spacing w:after="0" w:line="36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12DC"/>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1930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212DC"/>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2DC"/>
    <w:rPr>
      <w:rFonts w:ascii="Arial" w:eastAsia="Times New Roman" w:hAnsi="Arial" w:cs="Arial"/>
      <w:b/>
      <w:bCs/>
      <w:sz w:val="28"/>
      <w:szCs w:val="24"/>
    </w:rPr>
  </w:style>
  <w:style w:type="character" w:customStyle="1" w:styleId="Heading3Char">
    <w:name w:val="Heading 3 Char"/>
    <w:basedOn w:val="DefaultParagraphFont"/>
    <w:link w:val="Heading3"/>
    <w:rsid w:val="004212DC"/>
    <w:rPr>
      <w:rFonts w:ascii="Arial" w:eastAsia="Times New Roman" w:hAnsi="Arial" w:cs="Arial"/>
      <w:i/>
      <w:iCs/>
      <w:sz w:val="28"/>
      <w:szCs w:val="24"/>
    </w:rPr>
  </w:style>
  <w:style w:type="paragraph" w:styleId="Header">
    <w:name w:val="header"/>
    <w:basedOn w:val="Normal"/>
    <w:link w:val="HeaderChar"/>
    <w:uiPriority w:val="99"/>
    <w:rsid w:val="004212DC"/>
    <w:pPr>
      <w:tabs>
        <w:tab w:val="center" w:pos="4153"/>
        <w:tab w:val="right" w:pos="8306"/>
      </w:tabs>
    </w:pPr>
  </w:style>
  <w:style w:type="character" w:customStyle="1" w:styleId="HeaderChar">
    <w:name w:val="Header Char"/>
    <w:basedOn w:val="DefaultParagraphFont"/>
    <w:link w:val="Header"/>
    <w:uiPriority w:val="99"/>
    <w:rsid w:val="004212DC"/>
    <w:rPr>
      <w:rFonts w:ascii="Times New Roman" w:eastAsia="Times New Roman" w:hAnsi="Times New Roman" w:cs="Times New Roman"/>
      <w:sz w:val="24"/>
      <w:szCs w:val="24"/>
    </w:rPr>
  </w:style>
  <w:style w:type="character" w:styleId="PageNumber">
    <w:name w:val="page number"/>
    <w:basedOn w:val="DefaultParagraphFont"/>
    <w:rsid w:val="004212DC"/>
    <w:rPr>
      <w:rFonts w:cs="Times New Roman"/>
    </w:rPr>
  </w:style>
  <w:style w:type="paragraph" w:styleId="ListParagraph">
    <w:name w:val="List Paragraph"/>
    <w:basedOn w:val="Normal"/>
    <w:uiPriority w:val="34"/>
    <w:qFormat/>
    <w:rsid w:val="004212DC"/>
    <w:pPr>
      <w:ind w:left="720"/>
      <w:contextualSpacing/>
    </w:pPr>
  </w:style>
  <w:style w:type="paragraph" w:styleId="NormalWeb">
    <w:name w:val="Normal (Web)"/>
    <w:basedOn w:val="Normal"/>
    <w:uiPriority w:val="99"/>
    <w:semiHidden/>
    <w:unhideWhenUsed/>
    <w:rsid w:val="004212DC"/>
    <w:pPr>
      <w:spacing w:before="100" w:beforeAutospacing="1" w:after="100" w:afterAutospacing="1" w:line="240" w:lineRule="auto"/>
      <w:jc w:val="left"/>
    </w:pPr>
    <w:rPr>
      <w:lang w:eastAsia="en-ZA"/>
    </w:rPr>
  </w:style>
  <w:style w:type="character" w:styleId="Strong">
    <w:name w:val="Strong"/>
    <w:basedOn w:val="DefaultParagraphFont"/>
    <w:uiPriority w:val="22"/>
    <w:qFormat/>
    <w:rsid w:val="004212DC"/>
    <w:rPr>
      <w:b/>
      <w:bCs/>
    </w:rPr>
  </w:style>
  <w:style w:type="paragraph" w:customStyle="1" w:styleId="JUDGMENTNUMBERED">
    <w:name w:val="JUDGMENT NUMBERED"/>
    <w:basedOn w:val="Normal"/>
    <w:next w:val="Normal"/>
    <w:qFormat/>
    <w:rsid w:val="004212DC"/>
    <w:pPr>
      <w:numPr>
        <w:numId w:val="4"/>
      </w:numPr>
      <w:ind w:left="0" w:firstLine="0"/>
    </w:pPr>
    <w:rPr>
      <w:rFonts w:ascii="Arial" w:eastAsia="Calibri" w:hAnsi="Arial"/>
      <w:color w:val="000000"/>
      <w:szCs w:val="22"/>
      <w14:scene3d>
        <w14:camera w14:prst="orthographicFront"/>
        <w14:lightRig w14:rig="threePt" w14:dir="t">
          <w14:rot w14:lat="0" w14:lon="0" w14:rev="0"/>
        </w14:lightRig>
      </w14:scene3d>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nhideWhenUsed/>
    <w:qFormat/>
    <w:rsid w:val="001F6B30"/>
    <w:pPr>
      <w:spacing w:line="240" w:lineRule="auto"/>
      <w:jc w:val="left"/>
    </w:pPr>
    <w:rPr>
      <w:rFonts w:asciiTheme="minorHAnsi" w:eastAsiaTheme="minorHAnsi" w:hAnsiTheme="minorHAnsi" w:cstheme="minorBidi"/>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rsid w:val="001F6B30"/>
    <w:rPr>
      <w:sz w:val="20"/>
      <w:szCs w:val="20"/>
    </w:rPr>
  </w:style>
  <w:style w:type="character" w:styleId="FootnoteReference">
    <w:name w:val="footnote reference"/>
    <w:aliases w:val="Footnote Reference + Superscript,Footnotes refss,Appel note de bas de page,Ref,de nota al pie,註腳內容,(NECG) Footnote Reference,Footnote symbol,Style 12,Footnote,Heading 6 Char1,do not use4 Char1,Footnote Reference1,Ref1,de nota al pie1"/>
    <w:basedOn w:val="DefaultParagraphFont"/>
    <w:unhideWhenUsed/>
    <w:qFormat/>
    <w:rsid w:val="001F6B30"/>
    <w:rPr>
      <w:vertAlign w:val="superscript"/>
    </w:rPr>
  </w:style>
  <w:style w:type="character" w:customStyle="1" w:styleId="Heading2Char">
    <w:name w:val="Heading 2 Char"/>
    <w:basedOn w:val="DefaultParagraphFont"/>
    <w:link w:val="Heading2"/>
    <w:uiPriority w:val="9"/>
    <w:semiHidden/>
    <w:rsid w:val="001930B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13B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E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F4078"/>
    <w:rPr>
      <w:sz w:val="16"/>
      <w:szCs w:val="16"/>
    </w:rPr>
  </w:style>
  <w:style w:type="paragraph" w:styleId="CommentText">
    <w:name w:val="annotation text"/>
    <w:basedOn w:val="Normal"/>
    <w:link w:val="CommentTextChar"/>
    <w:uiPriority w:val="99"/>
    <w:unhideWhenUsed/>
    <w:rsid w:val="006F4078"/>
    <w:pPr>
      <w:spacing w:line="240" w:lineRule="auto"/>
    </w:pPr>
    <w:rPr>
      <w:sz w:val="20"/>
      <w:szCs w:val="20"/>
    </w:rPr>
  </w:style>
  <w:style w:type="character" w:customStyle="1" w:styleId="CommentTextChar">
    <w:name w:val="Comment Text Char"/>
    <w:basedOn w:val="DefaultParagraphFont"/>
    <w:link w:val="CommentText"/>
    <w:uiPriority w:val="99"/>
    <w:rsid w:val="006F40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4078"/>
    <w:rPr>
      <w:b/>
      <w:bCs/>
    </w:rPr>
  </w:style>
  <w:style w:type="character" w:customStyle="1" w:styleId="CommentSubjectChar">
    <w:name w:val="Comment Subject Char"/>
    <w:basedOn w:val="CommentTextChar"/>
    <w:link w:val="CommentSubject"/>
    <w:uiPriority w:val="99"/>
    <w:semiHidden/>
    <w:rsid w:val="006F4078"/>
    <w:rPr>
      <w:rFonts w:ascii="Times New Roman" w:eastAsia="Times New Roman" w:hAnsi="Times New Roman" w:cs="Times New Roman"/>
      <w:b/>
      <w:bCs/>
      <w:sz w:val="20"/>
      <w:szCs w:val="20"/>
    </w:rPr>
  </w:style>
  <w:style w:type="paragraph" w:styleId="Revision">
    <w:name w:val="Revision"/>
    <w:hidden/>
    <w:uiPriority w:val="99"/>
    <w:semiHidden/>
    <w:rsid w:val="00D3623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3327">
      <w:bodyDiv w:val="1"/>
      <w:marLeft w:val="0"/>
      <w:marRight w:val="0"/>
      <w:marTop w:val="0"/>
      <w:marBottom w:val="0"/>
      <w:divBdr>
        <w:top w:val="none" w:sz="0" w:space="0" w:color="auto"/>
        <w:left w:val="none" w:sz="0" w:space="0" w:color="auto"/>
        <w:bottom w:val="none" w:sz="0" w:space="0" w:color="auto"/>
        <w:right w:val="none" w:sz="0" w:space="0" w:color="auto"/>
      </w:divBdr>
      <w:divsChild>
        <w:div w:id="721440896">
          <w:marLeft w:val="0"/>
          <w:marRight w:val="0"/>
          <w:marTop w:val="120"/>
          <w:marBottom w:val="0"/>
          <w:divBdr>
            <w:top w:val="none" w:sz="0" w:space="0" w:color="auto"/>
            <w:left w:val="none" w:sz="0" w:space="0" w:color="auto"/>
            <w:bottom w:val="none" w:sz="0" w:space="0" w:color="auto"/>
            <w:right w:val="none" w:sz="0" w:space="0" w:color="auto"/>
          </w:divBdr>
        </w:div>
        <w:div w:id="1344437810">
          <w:marLeft w:val="0"/>
          <w:marRight w:val="0"/>
          <w:marTop w:val="120"/>
          <w:marBottom w:val="0"/>
          <w:divBdr>
            <w:top w:val="none" w:sz="0" w:space="0" w:color="auto"/>
            <w:left w:val="none" w:sz="0" w:space="0" w:color="auto"/>
            <w:bottom w:val="none" w:sz="0" w:space="0" w:color="auto"/>
            <w:right w:val="none" w:sz="0" w:space="0" w:color="auto"/>
          </w:divBdr>
        </w:div>
        <w:div w:id="1639649430">
          <w:marLeft w:val="0"/>
          <w:marRight w:val="0"/>
          <w:marTop w:val="120"/>
          <w:marBottom w:val="0"/>
          <w:divBdr>
            <w:top w:val="none" w:sz="0" w:space="0" w:color="auto"/>
            <w:left w:val="none" w:sz="0" w:space="0" w:color="auto"/>
            <w:bottom w:val="none" w:sz="0" w:space="0" w:color="auto"/>
            <w:right w:val="none" w:sz="0" w:space="0" w:color="auto"/>
          </w:divBdr>
        </w:div>
        <w:div w:id="1773088952">
          <w:marLeft w:val="0"/>
          <w:marRight w:val="0"/>
          <w:marTop w:val="240"/>
          <w:marBottom w:val="24"/>
          <w:divBdr>
            <w:top w:val="single" w:sz="8" w:space="2" w:color="808080"/>
            <w:left w:val="none" w:sz="0" w:space="0" w:color="auto"/>
            <w:bottom w:val="none" w:sz="0" w:space="0" w:color="auto"/>
            <w:right w:val="none" w:sz="0" w:space="0" w:color="auto"/>
          </w:divBdr>
        </w:div>
        <w:div w:id="1832866371">
          <w:marLeft w:val="0"/>
          <w:marRight w:val="0"/>
          <w:marTop w:val="120"/>
          <w:marBottom w:val="0"/>
          <w:divBdr>
            <w:top w:val="none" w:sz="0" w:space="0" w:color="auto"/>
            <w:left w:val="none" w:sz="0" w:space="0" w:color="auto"/>
            <w:bottom w:val="none" w:sz="0" w:space="0" w:color="auto"/>
            <w:right w:val="none" w:sz="0" w:space="0" w:color="auto"/>
          </w:divBdr>
        </w:div>
      </w:divsChild>
    </w:div>
    <w:div w:id="743575301">
      <w:bodyDiv w:val="1"/>
      <w:marLeft w:val="0"/>
      <w:marRight w:val="0"/>
      <w:marTop w:val="0"/>
      <w:marBottom w:val="0"/>
      <w:divBdr>
        <w:top w:val="none" w:sz="0" w:space="0" w:color="auto"/>
        <w:left w:val="none" w:sz="0" w:space="0" w:color="auto"/>
        <w:bottom w:val="none" w:sz="0" w:space="0" w:color="auto"/>
        <w:right w:val="none" w:sz="0" w:space="0" w:color="auto"/>
      </w:divBdr>
    </w:div>
    <w:div w:id="860977808">
      <w:bodyDiv w:val="1"/>
      <w:marLeft w:val="0"/>
      <w:marRight w:val="0"/>
      <w:marTop w:val="0"/>
      <w:marBottom w:val="0"/>
      <w:divBdr>
        <w:top w:val="none" w:sz="0" w:space="0" w:color="auto"/>
        <w:left w:val="none" w:sz="0" w:space="0" w:color="auto"/>
        <w:bottom w:val="none" w:sz="0" w:space="0" w:color="auto"/>
        <w:right w:val="none" w:sz="0" w:space="0" w:color="auto"/>
      </w:divBdr>
    </w:div>
    <w:div w:id="1208645579">
      <w:bodyDiv w:val="1"/>
      <w:marLeft w:val="0"/>
      <w:marRight w:val="0"/>
      <w:marTop w:val="0"/>
      <w:marBottom w:val="0"/>
      <w:divBdr>
        <w:top w:val="none" w:sz="0" w:space="0" w:color="auto"/>
        <w:left w:val="none" w:sz="0" w:space="0" w:color="auto"/>
        <w:bottom w:val="none" w:sz="0" w:space="0" w:color="auto"/>
        <w:right w:val="none" w:sz="0" w:space="0" w:color="auto"/>
      </w:divBdr>
    </w:div>
    <w:div w:id="152725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0DDDD-2E74-49C6-8BBB-DC5CE758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2868</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Judge-Leonie Windell</dc:creator>
  <cp:keywords/>
  <dc:description/>
  <cp:lastModifiedBy>Mokone</cp:lastModifiedBy>
  <cp:revision>2</cp:revision>
  <cp:lastPrinted>2023-05-23T13:02:00Z</cp:lastPrinted>
  <dcterms:created xsi:type="dcterms:W3CDTF">2023-05-29T13:51:00Z</dcterms:created>
  <dcterms:modified xsi:type="dcterms:W3CDTF">2023-05-29T13:51:00Z</dcterms:modified>
</cp:coreProperties>
</file>