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86341" w14:textId="77777777" w:rsidR="00D139A3" w:rsidRPr="00970D60" w:rsidRDefault="00D139A3" w:rsidP="00D139A3">
      <w:pPr>
        <w:autoSpaceDE w:val="0"/>
        <w:autoSpaceDN w:val="0"/>
        <w:adjustRightInd w:val="0"/>
        <w:spacing w:after="0" w:line="360" w:lineRule="auto"/>
        <w:rPr>
          <w:rFonts w:eastAsia="Times New Roman" w:cs="Times New Roman"/>
          <w:sz w:val="28"/>
          <w:szCs w:val="28"/>
          <w:lang w:val="en-US"/>
        </w:rPr>
      </w:pPr>
      <w:bookmarkStart w:id="0" w:name="_GoBack"/>
      <w:bookmarkEnd w:id="0"/>
      <w:r w:rsidRPr="00970D60">
        <w:rPr>
          <w:noProof/>
          <w:lang w:val="en-US"/>
        </w:rPr>
        <w:drawing>
          <wp:anchor distT="0" distB="0" distL="114300" distR="114300" simplePos="0" relativeHeight="251659264" behindDoc="0" locked="0" layoutInCell="1" allowOverlap="1" wp14:anchorId="5C6618DF" wp14:editId="486DDA3B">
            <wp:simplePos x="0" y="0"/>
            <wp:positionH relativeFrom="column">
              <wp:posOffset>2628900</wp:posOffset>
            </wp:positionH>
            <wp:positionV relativeFrom="paragraph">
              <wp:posOffset>230505</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D54A0BC" w14:textId="77777777" w:rsidR="00D139A3" w:rsidRPr="00970D60" w:rsidRDefault="00D139A3" w:rsidP="00362FBC">
      <w:pPr>
        <w:spacing w:after="0" w:line="360" w:lineRule="auto"/>
        <w:jc w:val="both"/>
        <w:rPr>
          <w:rFonts w:eastAsia="Times New Roman" w:cs="Times New Roman"/>
          <w:sz w:val="28"/>
          <w:szCs w:val="28"/>
          <w:lang w:val="en-US"/>
        </w:rPr>
      </w:pPr>
    </w:p>
    <w:p w14:paraId="72A72A41" w14:textId="77777777" w:rsidR="00D139A3" w:rsidRPr="00970D60" w:rsidRDefault="00D139A3" w:rsidP="00362FBC">
      <w:pPr>
        <w:spacing w:after="0" w:line="360" w:lineRule="auto"/>
        <w:jc w:val="both"/>
        <w:rPr>
          <w:rFonts w:eastAsia="Times New Roman" w:cs="Times New Roman"/>
          <w:sz w:val="28"/>
          <w:szCs w:val="28"/>
          <w:lang w:val="en-US"/>
        </w:rPr>
      </w:pPr>
    </w:p>
    <w:p w14:paraId="3959D99C" w14:textId="77777777" w:rsidR="00856D23" w:rsidRPr="00970D60" w:rsidRDefault="00856D23" w:rsidP="00362FBC">
      <w:pPr>
        <w:spacing w:after="0" w:line="360" w:lineRule="auto"/>
        <w:jc w:val="both"/>
        <w:rPr>
          <w:rFonts w:eastAsia="Times New Roman" w:cs="Times New Roman"/>
          <w:sz w:val="28"/>
          <w:szCs w:val="28"/>
          <w:lang w:val="en-US"/>
        </w:rPr>
      </w:pPr>
    </w:p>
    <w:p w14:paraId="1677156B" w14:textId="77777777" w:rsidR="00D139A3" w:rsidRPr="00970D60" w:rsidRDefault="00D139A3" w:rsidP="00362FBC">
      <w:pPr>
        <w:autoSpaceDE w:val="0"/>
        <w:autoSpaceDN w:val="0"/>
        <w:adjustRightInd w:val="0"/>
        <w:spacing w:after="0" w:line="360" w:lineRule="auto"/>
        <w:jc w:val="center"/>
        <w:rPr>
          <w:rFonts w:eastAsia="Times New Roman" w:cs="Times New Roman"/>
          <w:b/>
          <w:bCs/>
          <w:sz w:val="28"/>
          <w:szCs w:val="28"/>
          <w:lang w:val="en-US"/>
        </w:rPr>
      </w:pPr>
      <w:r w:rsidRPr="00970D60">
        <w:rPr>
          <w:rFonts w:eastAsia="Times New Roman" w:cs="Times New Roman"/>
          <w:b/>
          <w:bCs/>
          <w:sz w:val="28"/>
          <w:szCs w:val="28"/>
          <w:lang w:val="en-US"/>
        </w:rPr>
        <w:t xml:space="preserve">     THE SUPREME COURT OF APPEAL OF SOUTH AFRICA</w:t>
      </w:r>
    </w:p>
    <w:p w14:paraId="717D6D4E" w14:textId="77777777" w:rsidR="00D139A3" w:rsidRPr="00970D60" w:rsidRDefault="00D139A3" w:rsidP="00362FBC">
      <w:pPr>
        <w:spacing w:after="0" w:line="360" w:lineRule="auto"/>
        <w:jc w:val="center"/>
        <w:rPr>
          <w:rFonts w:eastAsia="Times New Roman" w:cs="Times New Roman"/>
          <w:b/>
          <w:bCs/>
          <w:sz w:val="28"/>
          <w:szCs w:val="28"/>
          <w:lang w:val="en-GB" w:eastAsia="en-GB"/>
        </w:rPr>
      </w:pPr>
      <w:r w:rsidRPr="00970D60">
        <w:rPr>
          <w:rFonts w:eastAsia="Times New Roman" w:cs="Times New Roman"/>
          <w:b/>
          <w:bCs/>
          <w:sz w:val="28"/>
          <w:szCs w:val="28"/>
          <w:lang w:val="en-GB" w:eastAsia="en-GB"/>
        </w:rPr>
        <w:t>JUDGMENT</w:t>
      </w:r>
    </w:p>
    <w:p w14:paraId="73D73574" w14:textId="783EF8B5" w:rsidR="00D139A3" w:rsidRPr="00970D60" w:rsidRDefault="00D139A3" w:rsidP="00362FBC">
      <w:pPr>
        <w:spacing w:after="120" w:line="360" w:lineRule="auto"/>
        <w:jc w:val="right"/>
        <w:rPr>
          <w:rFonts w:eastAsia="Times New Roman" w:cs="Times New Roman"/>
          <w:b/>
          <w:bCs/>
          <w:sz w:val="28"/>
          <w:szCs w:val="28"/>
        </w:rPr>
      </w:pPr>
      <w:r w:rsidRPr="00970D60">
        <w:rPr>
          <w:rFonts w:eastAsia="Times New Roman" w:cs="Times New Roman"/>
          <w:b/>
          <w:sz w:val="28"/>
          <w:szCs w:val="28"/>
          <w:lang w:eastAsia="en-GB"/>
        </w:rPr>
        <w:t xml:space="preserve"> </w:t>
      </w:r>
      <w:r w:rsidR="008C560B">
        <w:rPr>
          <w:rFonts w:eastAsia="Times New Roman" w:cs="Times New Roman"/>
          <w:b/>
          <w:sz w:val="28"/>
          <w:szCs w:val="28"/>
          <w:lang w:eastAsia="en-GB"/>
        </w:rPr>
        <w:t>Not Reportable</w:t>
      </w:r>
    </w:p>
    <w:p w14:paraId="222AA78B" w14:textId="0E90B746" w:rsidR="00D139A3" w:rsidRPr="00970D60" w:rsidRDefault="00366509" w:rsidP="00362FBC">
      <w:pPr>
        <w:spacing w:after="0" w:line="360" w:lineRule="auto"/>
        <w:jc w:val="right"/>
        <w:rPr>
          <w:rFonts w:eastAsia="Times New Roman" w:cs="Times New Roman"/>
          <w:sz w:val="28"/>
          <w:szCs w:val="28"/>
          <w:lang w:eastAsia="en-GB"/>
        </w:rPr>
      </w:pPr>
      <w:r w:rsidRPr="00970D60">
        <w:rPr>
          <w:rFonts w:eastAsia="Times New Roman" w:cs="Times New Roman"/>
          <w:sz w:val="28"/>
          <w:szCs w:val="28"/>
          <w:lang w:val="en-GB" w:eastAsia="en-GB"/>
        </w:rPr>
        <w:t xml:space="preserve">Case No: </w:t>
      </w:r>
      <w:r w:rsidR="00E66A7B">
        <w:rPr>
          <w:rFonts w:eastAsia="Times New Roman" w:cs="Times New Roman"/>
          <w:sz w:val="28"/>
          <w:szCs w:val="28"/>
          <w:lang w:val="en-GB" w:eastAsia="en-GB"/>
        </w:rPr>
        <w:t>250</w:t>
      </w:r>
      <w:r w:rsidR="00545DAE">
        <w:rPr>
          <w:rFonts w:eastAsia="Times New Roman" w:cs="Times New Roman"/>
          <w:sz w:val="28"/>
          <w:szCs w:val="28"/>
          <w:lang w:val="en-GB" w:eastAsia="en-GB"/>
        </w:rPr>
        <w:t>/2022</w:t>
      </w:r>
    </w:p>
    <w:p w14:paraId="596A3179" w14:textId="77777777" w:rsidR="00D139A3" w:rsidRPr="00970D60" w:rsidRDefault="00D139A3" w:rsidP="00362FBC">
      <w:pPr>
        <w:spacing w:after="0" w:line="360" w:lineRule="auto"/>
        <w:jc w:val="right"/>
        <w:rPr>
          <w:rFonts w:eastAsia="Times New Roman" w:cs="Times New Roman"/>
          <w:sz w:val="28"/>
          <w:szCs w:val="28"/>
          <w:lang w:val="en-GB" w:eastAsia="en-GB"/>
        </w:rPr>
      </w:pPr>
    </w:p>
    <w:p w14:paraId="391F2191" w14:textId="7F9F2FA7" w:rsidR="00D139A3" w:rsidRPr="00970D60" w:rsidRDefault="00D139A3" w:rsidP="00652107">
      <w:pPr>
        <w:spacing w:before="120" w:after="120" w:line="360" w:lineRule="auto"/>
        <w:jc w:val="both"/>
        <w:rPr>
          <w:rFonts w:eastAsia="Times New Roman" w:cs="Times New Roman"/>
          <w:b/>
          <w:sz w:val="28"/>
          <w:szCs w:val="28"/>
          <w:lang w:val="en-GB" w:eastAsia="en-GB"/>
        </w:rPr>
      </w:pPr>
      <w:r w:rsidRPr="00970D60">
        <w:rPr>
          <w:rFonts w:eastAsia="Times New Roman" w:cs="Times New Roman"/>
          <w:sz w:val="28"/>
          <w:szCs w:val="28"/>
          <w:lang w:val="en-GB" w:eastAsia="en-GB"/>
        </w:rPr>
        <w:t>In the matter between:</w:t>
      </w:r>
    </w:p>
    <w:p w14:paraId="1C3FF4DE" w14:textId="18F407AA" w:rsidR="00E66A7B" w:rsidRDefault="00E66A7B" w:rsidP="00652107">
      <w:pPr>
        <w:tabs>
          <w:tab w:val="right" w:pos="9480"/>
        </w:tabs>
        <w:spacing w:after="0" w:line="240" w:lineRule="auto"/>
        <w:rPr>
          <w:rFonts w:eastAsia="Times New Roman" w:cs="Times New Roman"/>
          <w:b/>
          <w:sz w:val="28"/>
          <w:szCs w:val="28"/>
          <w:lang w:val="en-GB" w:eastAsia="en-GB"/>
        </w:rPr>
      </w:pPr>
      <w:r>
        <w:rPr>
          <w:rFonts w:eastAsia="Times New Roman" w:cs="Times New Roman"/>
          <w:b/>
          <w:sz w:val="28"/>
          <w:szCs w:val="28"/>
          <w:lang w:eastAsia="en-GB"/>
        </w:rPr>
        <w:t xml:space="preserve">DANIEL NEL PRETORIUS                                                       </w:t>
      </w:r>
      <w:r w:rsidR="00D139A3" w:rsidRPr="00970D60">
        <w:rPr>
          <w:rFonts w:eastAsia="Times New Roman" w:cs="Times New Roman"/>
          <w:b/>
          <w:sz w:val="28"/>
          <w:szCs w:val="28"/>
          <w:lang w:val="en-GB" w:eastAsia="en-GB"/>
        </w:rPr>
        <w:t>APPELLANT</w:t>
      </w:r>
    </w:p>
    <w:p w14:paraId="537538C1" w14:textId="64D6D11C" w:rsidR="00E66A7B" w:rsidRPr="00970D60" w:rsidRDefault="00E66A7B" w:rsidP="00652107">
      <w:pPr>
        <w:tabs>
          <w:tab w:val="right" w:pos="9480"/>
        </w:tabs>
        <w:spacing w:before="120" w:after="120" w:line="360" w:lineRule="auto"/>
        <w:jc w:val="both"/>
        <w:rPr>
          <w:rFonts w:eastAsia="Times New Roman" w:cs="Times New Roman"/>
          <w:bCs/>
          <w:sz w:val="28"/>
          <w:szCs w:val="28"/>
          <w:lang w:val="en-GB" w:eastAsia="en-GB"/>
        </w:rPr>
      </w:pPr>
      <w:r>
        <w:rPr>
          <w:rFonts w:eastAsia="Times New Roman" w:cs="Times New Roman"/>
          <w:bCs/>
          <w:sz w:val="28"/>
          <w:szCs w:val="28"/>
          <w:lang w:val="en-GB" w:eastAsia="en-GB"/>
        </w:rPr>
        <w:t>and</w:t>
      </w:r>
    </w:p>
    <w:p w14:paraId="40724758" w14:textId="65CA3E28" w:rsidR="00D139A3" w:rsidRDefault="00E66A7B" w:rsidP="00E66A7B">
      <w:pPr>
        <w:tabs>
          <w:tab w:val="left" w:pos="720"/>
          <w:tab w:val="right" w:pos="9498"/>
        </w:tabs>
        <w:spacing w:after="0" w:line="360" w:lineRule="auto"/>
        <w:jc w:val="both"/>
        <w:rPr>
          <w:rFonts w:eastAsia="Times New Roman" w:cs="Times New Roman"/>
          <w:b/>
          <w:sz w:val="28"/>
          <w:szCs w:val="28"/>
          <w:lang w:val="en-GB" w:eastAsia="en-GB"/>
        </w:rPr>
      </w:pPr>
      <w:r>
        <w:rPr>
          <w:rFonts w:eastAsia="Times New Roman" w:cs="Times New Roman"/>
          <w:b/>
          <w:sz w:val="28"/>
          <w:szCs w:val="28"/>
          <w:lang w:eastAsia="en-GB"/>
        </w:rPr>
        <w:t>AGRICULTURAL RESEARCH COUNCIL</w:t>
      </w:r>
      <w:r w:rsidR="00B55F85">
        <w:rPr>
          <w:rFonts w:eastAsia="Times New Roman" w:cs="Times New Roman"/>
          <w:b/>
          <w:sz w:val="28"/>
          <w:szCs w:val="28"/>
          <w:lang w:eastAsia="en-GB"/>
        </w:rPr>
        <w:t xml:space="preserve"> </w:t>
      </w:r>
      <w:r w:rsidR="00E36C67">
        <w:rPr>
          <w:rFonts w:eastAsia="Times New Roman" w:cs="Times New Roman"/>
          <w:b/>
          <w:sz w:val="28"/>
          <w:szCs w:val="28"/>
          <w:lang w:eastAsia="en-GB"/>
        </w:rPr>
        <w:t xml:space="preserve">           </w:t>
      </w:r>
      <w:r w:rsidR="00F308F4">
        <w:rPr>
          <w:rFonts w:eastAsia="Times New Roman" w:cs="Times New Roman"/>
          <w:b/>
          <w:sz w:val="28"/>
          <w:szCs w:val="28"/>
          <w:lang w:eastAsia="en-GB"/>
        </w:rPr>
        <w:t xml:space="preserve">       </w:t>
      </w:r>
      <w:r w:rsidR="008C560B">
        <w:rPr>
          <w:rFonts w:eastAsia="Times New Roman" w:cs="Times New Roman"/>
          <w:b/>
          <w:sz w:val="28"/>
          <w:szCs w:val="28"/>
          <w:lang w:eastAsia="en-GB"/>
        </w:rPr>
        <w:t xml:space="preserve">   </w:t>
      </w:r>
      <w:r>
        <w:rPr>
          <w:rFonts w:eastAsia="Times New Roman" w:cs="Times New Roman"/>
          <w:b/>
          <w:sz w:val="28"/>
          <w:szCs w:val="28"/>
          <w:lang w:eastAsia="en-GB"/>
        </w:rPr>
        <w:t xml:space="preserve">     </w:t>
      </w:r>
      <w:r w:rsidR="00D139A3" w:rsidRPr="00970D60">
        <w:rPr>
          <w:rFonts w:eastAsia="Times New Roman" w:cs="Times New Roman"/>
          <w:b/>
          <w:sz w:val="28"/>
          <w:szCs w:val="28"/>
          <w:lang w:val="en-GB" w:eastAsia="en-GB"/>
        </w:rPr>
        <w:t>RESPONDENT</w:t>
      </w:r>
    </w:p>
    <w:p w14:paraId="7B27CDFC" w14:textId="77777777" w:rsidR="00336A58" w:rsidRDefault="00336A58" w:rsidP="00362FBC">
      <w:pPr>
        <w:spacing w:after="0" w:line="360" w:lineRule="auto"/>
        <w:ind w:left="2160" w:hanging="2160"/>
        <w:jc w:val="both"/>
        <w:rPr>
          <w:rFonts w:eastAsia="Times New Roman" w:cs="Times New Roman"/>
          <w:b/>
          <w:bCs/>
          <w:sz w:val="28"/>
          <w:szCs w:val="28"/>
          <w:lang w:val="en-GB" w:eastAsia="en-GB"/>
        </w:rPr>
      </w:pPr>
    </w:p>
    <w:p w14:paraId="411646A4" w14:textId="642E234F" w:rsidR="00D139A3" w:rsidRPr="00970D60" w:rsidRDefault="00D139A3" w:rsidP="00362FBC">
      <w:pPr>
        <w:spacing w:after="0" w:line="360" w:lineRule="auto"/>
        <w:ind w:left="2160" w:hanging="2160"/>
        <w:jc w:val="both"/>
        <w:rPr>
          <w:rFonts w:eastAsia="Times New Roman" w:cs="Times New Roman"/>
          <w:b/>
          <w:bCs/>
          <w:sz w:val="28"/>
          <w:szCs w:val="28"/>
          <w:u w:val="single"/>
          <w:lang w:val="en-GB" w:eastAsia="en-GB"/>
        </w:rPr>
      </w:pPr>
      <w:r w:rsidRPr="00970D60">
        <w:rPr>
          <w:rFonts w:eastAsia="Times New Roman" w:cs="Times New Roman"/>
          <w:b/>
          <w:bCs/>
          <w:sz w:val="28"/>
          <w:szCs w:val="28"/>
          <w:lang w:val="en-GB" w:eastAsia="en-GB"/>
        </w:rPr>
        <w:t>Neutral citation:</w:t>
      </w:r>
      <w:r w:rsidRPr="00970D60">
        <w:rPr>
          <w:rFonts w:eastAsia="Times New Roman" w:cs="Times New Roman"/>
          <w:b/>
          <w:bCs/>
          <w:sz w:val="28"/>
          <w:szCs w:val="28"/>
          <w:lang w:val="en-GB" w:eastAsia="en-GB"/>
        </w:rPr>
        <w:tab/>
      </w:r>
      <w:r w:rsidR="00E66A7B">
        <w:rPr>
          <w:rFonts w:eastAsia="Times New Roman" w:cs="Times New Roman"/>
          <w:i/>
          <w:iCs/>
          <w:sz w:val="28"/>
          <w:szCs w:val="28"/>
          <w:lang w:eastAsia="en-GB"/>
        </w:rPr>
        <w:t>Pretorius v Agricultural Research Council</w:t>
      </w:r>
      <w:r w:rsidR="00712E70">
        <w:rPr>
          <w:rFonts w:eastAsia="Times New Roman" w:cs="Times New Roman"/>
          <w:bCs/>
          <w:i/>
          <w:sz w:val="28"/>
          <w:szCs w:val="28"/>
          <w:lang w:val="en-GB" w:eastAsia="en-GB"/>
        </w:rPr>
        <w:t xml:space="preserve"> </w:t>
      </w:r>
      <w:r w:rsidR="00836A9E" w:rsidRPr="00970D60">
        <w:rPr>
          <w:rFonts w:eastAsia="Times New Roman" w:cs="Times New Roman"/>
          <w:bCs/>
          <w:sz w:val="28"/>
          <w:szCs w:val="28"/>
          <w:lang w:val="en-GB" w:eastAsia="en-GB"/>
        </w:rPr>
        <w:t>(</w:t>
      </w:r>
      <w:r w:rsidR="00E66A7B">
        <w:rPr>
          <w:rFonts w:eastAsia="Times New Roman" w:cs="Times New Roman"/>
          <w:bCs/>
          <w:sz w:val="28"/>
          <w:szCs w:val="28"/>
          <w:lang w:val="en-GB" w:eastAsia="en-GB"/>
        </w:rPr>
        <w:t>C</w:t>
      </w:r>
      <w:r w:rsidR="00836A9E" w:rsidRPr="00970D60">
        <w:rPr>
          <w:rFonts w:eastAsia="Times New Roman" w:cs="Times New Roman"/>
          <w:bCs/>
          <w:sz w:val="28"/>
          <w:szCs w:val="28"/>
          <w:lang w:val="en-GB" w:eastAsia="en-GB"/>
        </w:rPr>
        <w:t xml:space="preserve">ase no </w:t>
      </w:r>
      <w:r w:rsidR="00E66A7B">
        <w:rPr>
          <w:rFonts w:eastAsia="Times New Roman" w:cs="Times New Roman"/>
          <w:bCs/>
          <w:sz w:val="28"/>
          <w:szCs w:val="28"/>
          <w:lang w:val="en-GB" w:eastAsia="en-GB"/>
        </w:rPr>
        <w:t>250</w:t>
      </w:r>
      <w:r w:rsidR="00712E70">
        <w:rPr>
          <w:rFonts w:eastAsia="Times New Roman" w:cs="Times New Roman"/>
          <w:bCs/>
          <w:sz w:val="28"/>
          <w:szCs w:val="28"/>
          <w:lang w:val="en-GB" w:eastAsia="en-GB"/>
        </w:rPr>
        <w:t>/2</w:t>
      </w:r>
      <w:r w:rsidR="007340B3">
        <w:rPr>
          <w:rFonts w:eastAsia="Times New Roman" w:cs="Times New Roman"/>
          <w:bCs/>
          <w:sz w:val="28"/>
          <w:szCs w:val="28"/>
          <w:lang w:val="en-GB" w:eastAsia="en-GB"/>
        </w:rPr>
        <w:t>2</w:t>
      </w:r>
      <w:r w:rsidRPr="00970D60">
        <w:rPr>
          <w:rFonts w:eastAsia="Times New Roman" w:cs="Times New Roman"/>
          <w:bCs/>
          <w:sz w:val="28"/>
          <w:szCs w:val="28"/>
          <w:lang w:val="en-GB" w:eastAsia="en-GB"/>
        </w:rPr>
        <w:t>)</w:t>
      </w:r>
      <w:r w:rsidRPr="00970D60">
        <w:rPr>
          <w:rFonts w:eastAsia="Times New Roman" w:cs="Times New Roman"/>
          <w:bCs/>
          <w:i/>
          <w:sz w:val="28"/>
          <w:szCs w:val="28"/>
          <w:lang w:val="en-GB" w:eastAsia="en-GB"/>
        </w:rPr>
        <w:t xml:space="preserve"> </w:t>
      </w:r>
      <w:r w:rsidRPr="00970D60">
        <w:rPr>
          <w:rFonts w:eastAsia="Times New Roman" w:cs="Times New Roman"/>
          <w:bCs/>
          <w:sz w:val="28"/>
          <w:szCs w:val="28"/>
          <w:lang w:val="en-GB" w:eastAsia="en-GB"/>
        </w:rPr>
        <w:t>[202</w:t>
      </w:r>
      <w:r w:rsidR="00432849">
        <w:rPr>
          <w:rFonts w:eastAsia="Times New Roman" w:cs="Times New Roman"/>
          <w:bCs/>
          <w:sz w:val="28"/>
          <w:szCs w:val="28"/>
          <w:lang w:val="en-GB" w:eastAsia="en-GB"/>
        </w:rPr>
        <w:t>3</w:t>
      </w:r>
      <w:r w:rsidRPr="00970D60">
        <w:rPr>
          <w:rFonts w:eastAsia="Times New Roman" w:cs="Times New Roman"/>
          <w:bCs/>
          <w:sz w:val="28"/>
          <w:szCs w:val="28"/>
          <w:lang w:val="en-GB" w:eastAsia="en-GB"/>
        </w:rPr>
        <w:t>] ZASCA</w:t>
      </w:r>
      <w:r w:rsidRPr="00970D60">
        <w:rPr>
          <w:rFonts w:eastAsia="Times New Roman" w:cs="Times New Roman"/>
          <w:bCs/>
          <w:i/>
          <w:sz w:val="28"/>
          <w:szCs w:val="28"/>
          <w:lang w:val="en-GB" w:eastAsia="en-GB"/>
        </w:rPr>
        <w:t xml:space="preserve"> </w:t>
      </w:r>
      <w:r w:rsidR="00900FDA">
        <w:rPr>
          <w:rFonts w:eastAsia="Times New Roman" w:cs="Times New Roman"/>
          <w:bCs/>
          <w:sz w:val="28"/>
          <w:szCs w:val="28"/>
          <w:lang w:eastAsia="en-GB"/>
        </w:rPr>
        <w:t>76</w:t>
      </w:r>
      <w:r w:rsidRPr="00970D60">
        <w:rPr>
          <w:rFonts w:eastAsia="Times New Roman" w:cs="Times New Roman"/>
          <w:bCs/>
          <w:sz w:val="28"/>
          <w:szCs w:val="28"/>
          <w:lang w:val="en-GB" w:eastAsia="en-GB"/>
        </w:rPr>
        <w:t xml:space="preserve"> (</w:t>
      </w:r>
      <w:r w:rsidR="00262A17">
        <w:rPr>
          <w:rFonts w:eastAsia="Times New Roman" w:cs="Times New Roman"/>
          <w:bCs/>
          <w:sz w:val="28"/>
          <w:szCs w:val="28"/>
          <w:lang w:eastAsia="en-GB"/>
        </w:rPr>
        <w:t>29 May</w:t>
      </w:r>
      <w:r w:rsidR="00432849">
        <w:rPr>
          <w:rFonts w:eastAsia="Times New Roman" w:cs="Times New Roman"/>
          <w:bCs/>
          <w:sz w:val="28"/>
          <w:szCs w:val="28"/>
          <w:lang w:eastAsia="en-GB"/>
        </w:rPr>
        <w:t xml:space="preserve"> 2023</w:t>
      </w:r>
      <w:r w:rsidRPr="00970D60">
        <w:rPr>
          <w:rFonts w:eastAsia="Times New Roman" w:cs="Times New Roman"/>
          <w:bCs/>
          <w:sz w:val="28"/>
          <w:szCs w:val="28"/>
          <w:lang w:val="en-GB" w:eastAsia="en-GB"/>
        </w:rPr>
        <w:t>)</w:t>
      </w:r>
      <w:r w:rsidRPr="00970D60">
        <w:rPr>
          <w:rFonts w:eastAsia="Times New Roman" w:cs="Times New Roman"/>
          <w:b/>
          <w:bCs/>
          <w:sz w:val="28"/>
          <w:szCs w:val="28"/>
          <w:u w:val="single"/>
          <w:lang w:val="en-GB" w:eastAsia="en-GB"/>
        </w:rPr>
        <w:t xml:space="preserve"> </w:t>
      </w:r>
    </w:p>
    <w:p w14:paraId="0EA0D26E" w14:textId="27B3BE46" w:rsidR="00D139A3" w:rsidRPr="00970D60" w:rsidRDefault="00D139A3" w:rsidP="00362FBC">
      <w:pPr>
        <w:spacing w:after="0" w:line="360" w:lineRule="auto"/>
        <w:ind w:left="2160" w:hanging="2160"/>
        <w:jc w:val="both"/>
        <w:rPr>
          <w:rFonts w:eastAsia="Times New Roman" w:cs="Times New Roman"/>
          <w:b/>
          <w:bCs/>
          <w:sz w:val="28"/>
          <w:szCs w:val="28"/>
          <w:u w:val="single"/>
          <w:lang w:val="en-GB" w:eastAsia="en-GB"/>
        </w:rPr>
      </w:pPr>
      <w:r w:rsidRPr="00970D60">
        <w:rPr>
          <w:rFonts w:eastAsia="Times New Roman" w:cs="Times New Roman"/>
          <w:b/>
          <w:bCs/>
          <w:sz w:val="28"/>
          <w:szCs w:val="28"/>
          <w:lang w:val="en-GB" w:eastAsia="en-GB"/>
        </w:rPr>
        <w:t>Coram:</w:t>
      </w:r>
      <w:r w:rsidRPr="00970D60">
        <w:rPr>
          <w:rFonts w:eastAsia="Times New Roman" w:cs="Times New Roman"/>
          <w:b/>
          <w:bCs/>
          <w:sz w:val="28"/>
          <w:szCs w:val="28"/>
          <w:lang w:val="en-GB" w:eastAsia="en-GB"/>
        </w:rPr>
        <w:tab/>
      </w:r>
      <w:r w:rsidR="00E66A7B">
        <w:rPr>
          <w:rFonts w:eastAsia="Times New Roman" w:cs="Times New Roman"/>
          <w:bCs/>
          <w:sz w:val="28"/>
          <w:szCs w:val="28"/>
          <w:lang w:val="en-GB" w:eastAsia="en-GB"/>
        </w:rPr>
        <w:t>SCHIPPERS, CARELSE, MABINDLA-BOQWANA, GOOSEN and MOLEFE JJA</w:t>
      </w:r>
    </w:p>
    <w:p w14:paraId="4AB57910" w14:textId="2020FC89" w:rsidR="00D139A3" w:rsidRPr="008C560B" w:rsidRDefault="009C279C" w:rsidP="00362FBC">
      <w:pPr>
        <w:spacing w:after="0" w:line="360" w:lineRule="auto"/>
        <w:jc w:val="both"/>
        <w:rPr>
          <w:rFonts w:eastAsia="Times New Roman" w:cs="Times New Roman"/>
          <w:bCs/>
          <w:sz w:val="28"/>
          <w:szCs w:val="28"/>
          <w:lang w:val="en-GB" w:eastAsia="en-GB"/>
        </w:rPr>
      </w:pPr>
      <w:r>
        <w:rPr>
          <w:rFonts w:eastAsia="Times New Roman" w:cs="Times New Roman"/>
          <w:b/>
          <w:bCs/>
          <w:sz w:val="28"/>
          <w:szCs w:val="28"/>
          <w:lang w:val="en-GB" w:eastAsia="en-GB"/>
        </w:rPr>
        <w:t>Heard:</w:t>
      </w:r>
      <w:r>
        <w:rPr>
          <w:rFonts w:eastAsia="Times New Roman" w:cs="Times New Roman"/>
          <w:b/>
          <w:bCs/>
          <w:sz w:val="28"/>
          <w:szCs w:val="28"/>
          <w:lang w:val="en-GB" w:eastAsia="en-GB"/>
        </w:rPr>
        <w:tab/>
      </w:r>
      <w:r w:rsidR="00E66A7B">
        <w:rPr>
          <w:rFonts w:eastAsia="Times New Roman" w:cs="Times New Roman"/>
          <w:bCs/>
          <w:sz w:val="28"/>
          <w:szCs w:val="28"/>
          <w:lang w:val="en-GB" w:eastAsia="en-GB"/>
        </w:rPr>
        <w:t>18 May</w:t>
      </w:r>
      <w:r w:rsidR="00432849">
        <w:rPr>
          <w:rFonts w:eastAsia="Times New Roman" w:cs="Times New Roman"/>
          <w:bCs/>
          <w:sz w:val="28"/>
          <w:szCs w:val="28"/>
          <w:lang w:val="en-GB" w:eastAsia="en-GB"/>
        </w:rPr>
        <w:t xml:space="preserve"> 2023</w:t>
      </w:r>
    </w:p>
    <w:p w14:paraId="2EF23002" w14:textId="56E378D2" w:rsidR="00D139A3" w:rsidRPr="00970D60" w:rsidRDefault="00D139A3" w:rsidP="00DD2C8C">
      <w:pPr>
        <w:spacing w:after="0" w:line="360" w:lineRule="auto"/>
        <w:jc w:val="both"/>
        <w:outlineLvl w:val="0"/>
        <w:rPr>
          <w:rFonts w:eastAsia="Times New Roman" w:cs="Times New Roman"/>
          <w:sz w:val="28"/>
          <w:szCs w:val="28"/>
          <w:lang w:val="en-US" w:eastAsia="en-ZA"/>
        </w:rPr>
      </w:pPr>
      <w:r w:rsidRPr="00970D60">
        <w:rPr>
          <w:rFonts w:eastAsia="Times New Roman" w:cs="Times New Roman"/>
          <w:b/>
          <w:bCs/>
          <w:sz w:val="28"/>
          <w:szCs w:val="28"/>
          <w:lang w:val="en-GB" w:eastAsia="en-GB"/>
        </w:rPr>
        <w:t>Delivered:</w:t>
      </w:r>
      <w:r w:rsidR="00DD2C8C">
        <w:rPr>
          <w:rFonts w:eastAsia="Times New Roman" w:cs="Times New Roman"/>
          <w:b/>
          <w:bCs/>
          <w:sz w:val="28"/>
          <w:szCs w:val="28"/>
          <w:lang w:val="en-GB" w:eastAsia="en-GB"/>
        </w:rPr>
        <w:tab/>
      </w:r>
      <w:r w:rsidR="00262A17">
        <w:rPr>
          <w:rFonts w:eastAsia="Times New Roman" w:cs="Times New Roman"/>
          <w:bCs/>
          <w:sz w:val="28"/>
          <w:szCs w:val="28"/>
          <w:lang w:val="en-GB" w:eastAsia="en-GB"/>
        </w:rPr>
        <w:t>29</w:t>
      </w:r>
      <w:r w:rsidR="008C73C7">
        <w:rPr>
          <w:rFonts w:eastAsia="Times New Roman" w:cs="Times New Roman"/>
          <w:bCs/>
          <w:sz w:val="28"/>
          <w:szCs w:val="28"/>
          <w:lang w:val="en-GB" w:eastAsia="en-GB"/>
        </w:rPr>
        <w:t xml:space="preserve"> May</w:t>
      </w:r>
      <w:r w:rsidR="00DD2C8C" w:rsidRPr="00DD2C8C">
        <w:rPr>
          <w:rFonts w:eastAsia="Times New Roman" w:cs="Times New Roman"/>
          <w:bCs/>
          <w:sz w:val="28"/>
          <w:szCs w:val="28"/>
          <w:lang w:val="en-GB" w:eastAsia="en-GB"/>
        </w:rPr>
        <w:t xml:space="preserve"> 202</w:t>
      </w:r>
      <w:r w:rsidR="00A453E1">
        <w:rPr>
          <w:rFonts w:eastAsia="Times New Roman" w:cs="Times New Roman"/>
          <w:bCs/>
          <w:sz w:val="28"/>
          <w:szCs w:val="28"/>
          <w:lang w:val="en-GB" w:eastAsia="en-GB"/>
        </w:rPr>
        <w:t>3</w:t>
      </w:r>
    </w:p>
    <w:p w14:paraId="1C28845C" w14:textId="40D75991" w:rsidR="00C521D4" w:rsidRPr="00751BBF" w:rsidRDefault="00D139A3" w:rsidP="00362FBC">
      <w:pPr>
        <w:spacing w:before="120" w:after="0" w:line="360" w:lineRule="auto"/>
        <w:jc w:val="both"/>
        <w:rPr>
          <w:rFonts w:eastAsia="Times New Roman" w:cs="Times New Roman"/>
          <w:sz w:val="28"/>
          <w:szCs w:val="28"/>
          <w:lang w:eastAsia="en-GB"/>
        </w:rPr>
      </w:pPr>
      <w:r w:rsidRPr="00970D60">
        <w:rPr>
          <w:rFonts w:eastAsia="Times New Roman" w:cs="Times New Roman"/>
          <w:b/>
          <w:sz w:val="28"/>
          <w:szCs w:val="28"/>
          <w:lang w:eastAsia="en-GB"/>
        </w:rPr>
        <w:t xml:space="preserve">Summary: </w:t>
      </w:r>
      <w:r w:rsidR="00751BBF">
        <w:rPr>
          <w:rFonts w:eastAsia="Times New Roman" w:cs="Times New Roman"/>
          <w:sz w:val="28"/>
          <w:szCs w:val="28"/>
          <w:lang w:eastAsia="en-GB"/>
        </w:rPr>
        <w:t xml:space="preserve">Law of contract – lease of farm – agreement allowing renewal </w:t>
      </w:r>
      <w:r w:rsidR="004741E6">
        <w:rPr>
          <w:rFonts w:eastAsia="Times New Roman" w:cs="Times New Roman"/>
          <w:sz w:val="28"/>
          <w:szCs w:val="28"/>
          <w:lang w:eastAsia="en-GB"/>
        </w:rPr>
        <w:t xml:space="preserve">provided </w:t>
      </w:r>
      <w:r w:rsidR="00E76C7C">
        <w:rPr>
          <w:rFonts w:eastAsia="Times New Roman" w:cs="Times New Roman"/>
          <w:sz w:val="28"/>
          <w:szCs w:val="28"/>
          <w:lang w:eastAsia="en-GB"/>
        </w:rPr>
        <w:t>lessee</w:t>
      </w:r>
      <w:r w:rsidR="00751BBF">
        <w:rPr>
          <w:rFonts w:eastAsia="Times New Roman" w:cs="Times New Roman"/>
          <w:sz w:val="28"/>
          <w:szCs w:val="28"/>
          <w:lang w:eastAsia="en-GB"/>
        </w:rPr>
        <w:t xml:space="preserve"> not in </w:t>
      </w:r>
      <w:r w:rsidR="00E76C7C">
        <w:rPr>
          <w:rFonts w:eastAsia="Times New Roman" w:cs="Times New Roman"/>
          <w:sz w:val="28"/>
          <w:szCs w:val="28"/>
          <w:lang w:eastAsia="en-GB"/>
        </w:rPr>
        <w:t xml:space="preserve">default </w:t>
      </w:r>
      <w:r w:rsidR="00751BBF">
        <w:rPr>
          <w:rFonts w:eastAsia="Times New Roman" w:cs="Times New Roman"/>
          <w:sz w:val="28"/>
          <w:szCs w:val="28"/>
          <w:lang w:eastAsia="en-GB"/>
        </w:rPr>
        <w:t xml:space="preserve">of its terms – </w:t>
      </w:r>
      <w:r w:rsidR="004741E6">
        <w:rPr>
          <w:rFonts w:eastAsia="Times New Roman" w:cs="Times New Roman"/>
          <w:sz w:val="28"/>
          <w:szCs w:val="28"/>
          <w:lang w:eastAsia="en-GB"/>
        </w:rPr>
        <w:t>purported renewa</w:t>
      </w:r>
      <w:r w:rsidR="00E76C7C">
        <w:rPr>
          <w:rFonts w:eastAsia="Times New Roman" w:cs="Times New Roman"/>
          <w:sz w:val="28"/>
          <w:szCs w:val="28"/>
          <w:lang w:eastAsia="en-GB"/>
        </w:rPr>
        <w:t xml:space="preserve">l by lessee whilst in default </w:t>
      </w:r>
      <w:r w:rsidR="004741E6">
        <w:rPr>
          <w:rFonts w:eastAsia="Times New Roman" w:cs="Times New Roman"/>
          <w:sz w:val="28"/>
          <w:szCs w:val="28"/>
          <w:lang w:eastAsia="en-GB"/>
        </w:rPr>
        <w:t xml:space="preserve">of </w:t>
      </w:r>
      <w:r w:rsidR="00E76C7C">
        <w:rPr>
          <w:rFonts w:eastAsia="Times New Roman" w:cs="Times New Roman"/>
          <w:sz w:val="28"/>
          <w:szCs w:val="28"/>
          <w:lang w:eastAsia="en-GB"/>
        </w:rPr>
        <w:t>obligations –</w:t>
      </w:r>
      <w:r w:rsidR="00CA15AE">
        <w:rPr>
          <w:rFonts w:eastAsia="Times New Roman" w:cs="Times New Roman"/>
          <w:sz w:val="28"/>
          <w:szCs w:val="28"/>
          <w:lang w:eastAsia="en-GB"/>
        </w:rPr>
        <w:t xml:space="preserve"> </w:t>
      </w:r>
      <w:r w:rsidR="00E76C7C">
        <w:rPr>
          <w:rFonts w:eastAsia="Times New Roman" w:cs="Times New Roman"/>
          <w:sz w:val="28"/>
          <w:szCs w:val="28"/>
          <w:lang w:eastAsia="en-GB"/>
        </w:rPr>
        <w:t xml:space="preserve">invalid </w:t>
      </w:r>
      <w:r w:rsidR="004741E6">
        <w:rPr>
          <w:rFonts w:eastAsia="Times New Roman" w:cs="Times New Roman"/>
          <w:sz w:val="28"/>
          <w:szCs w:val="28"/>
          <w:lang w:eastAsia="en-GB"/>
        </w:rPr>
        <w:t xml:space="preserve">– counterclaim for lost </w:t>
      </w:r>
      <w:r w:rsidR="007847BA">
        <w:rPr>
          <w:rFonts w:eastAsia="Times New Roman" w:cs="Times New Roman"/>
          <w:sz w:val="28"/>
          <w:szCs w:val="28"/>
          <w:lang w:eastAsia="en-GB"/>
        </w:rPr>
        <w:t xml:space="preserve">profits </w:t>
      </w:r>
      <w:r w:rsidR="00E76C7C">
        <w:rPr>
          <w:rFonts w:eastAsia="Times New Roman" w:cs="Times New Roman"/>
          <w:sz w:val="28"/>
          <w:szCs w:val="28"/>
          <w:lang w:eastAsia="en-GB"/>
        </w:rPr>
        <w:t xml:space="preserve">arising from sublease </w:t>
      </w:r>
      <w:r w:rsidR="007847BA">
        <w:rPr>
          <w:rFonts w:eastAsia="Times New Roman" w:cs="Times New Roman"/>
          <w:sz w:val="28"/>
          <w:szCs w:val="28"/>
          <w:lang w:eastAsia="en-GB"/>
        </w:rPr>
        <w:t xml:space="preserve">– </w:t>
      </w:r>
      <w:r w:rsidR="00E76C7C">
        <w:rPr>
          <w:rFonts w:eastAsia="Times New Roman" w:cs="Times New Roman"/>
          <w:sz w:val="28"/>
          <w:szCs w:val="28"/>
          <w:lang w:eastAsia="en-GB"/>
        </w:rPr>
        <w:t xml:space="preserve">unsustainable as purported renewal of agreement of no force or effect – lessee </w:t>
      </w:r>
      <w:r w:rsidR="00736522">
        <w:rPr>
          <w:rFonts w:eastAsia="Times New Roman" w:cs="Times New Roman"/>
          <w:sz w:val="28"/>
          <w:szCs w:val="28"/>
          <w:lang w:eastAsia="en-GB"/>
        </w:rPr>
        <w:t xml:space="preserve">issuing cheque for arrear rental – payment stopped – </w:t>
      </w:r>
      <w:r w:rsidR="00C4523A">
        <w:rPr>
          <w:rFonts w:eastAsia="Times New Roman" w:cs="Times New Roman"/>
          <w:sz w:val="28"/>
          <w:szCs w:val="28"/>
          <w:lang w:eastAsia="en-GB"/>
        </w:rPr>
        <w:t>claim on dishonoured cheque upheld</w:t>
      </w:r>
      <w:r w:rsidR="00736522">
        <w:rPr>
          <w:rFonts w:eastAsia="Times New Roman" w:cs="Times New Roman"/>
          <w:sz w:val="28"/>
          <w:szCs w:val="28"/>
          <w:lang w:eastAsia="en-GB"/>
        </w:rPr>
        <w:t>.</w:t>
      </w:r>
      <w:r w:rsidR="007847BA">
        <w:rPr>
          <w:rFonts w:eastAsia="Times New Roman" w:cs="Times New Roman"/>
          <w:sz w:val="28"/>
          <w:szCs w:val="28"/>
          <w:lang w:eastAsia="en-GB"/>
        </w:rPr>
        <w:t xml:space="preserve"> </w:t>
      </w:r>
    </w:p>
    <w:p w14:paraId="0B9CEF99" w14:textId="1A7CCDC8" w:rsidR="00A453E1" w:rsidRDefault="00A453E1" w:rsidP="00362FBC">
      <w:pPr>
        <w:spacing w:before="120" w:after="0" w:line="360" w:lineRule="auto"/>
        <w:jc w:val="both"/>
        <w:rPr>
          <w:rFonts w:eastAsia="Times New Roman" w:cs="Times New Roman"/>
          <w:b/>
          <w:sz w:val="28"/>
          <w:szCs w:val="28"/>
          <w:lang w:eastAsia="en-GB"/>
        </w:rPr>
      </w:pPr>
    </w:p>
    <w:p w14:paraId="354DE8A2" w14:textId="77777777" w:rsidR="00856D23" w:rsidRDefault="00856D23" w:rsidP="00362FBC">
      <w:pPr>
        <w:spacing w:before="120" w:after="0" w:line="360" w:lineRule="auto"/>
        <w:jc w:val="both"/>
        <w:rPr>
          <w:rFonts w:eastAsia="Times New Roman" w:cs="Times New Roman"/>
          <w:b/>
          <w:sz w:val="28"/>
          <w:szCs w:val="28"/>
          <w:lang w:eastAsia="en-GB"/>
        </w:rPr>
      </w:pPr>
    </w:p>
    <w:p w14:paraId="59FF2369" w14:textId="11737A88" w:rsidR="00712E70" w:rsidRDefault="00712E70" w:rsidP="00D36346">
      <w:pPr>
        <w:shd w:val="clear" w:color="auto" w:fill="FFFFFF"/>
        <w:tabs>
          <w:tab w:val="left" w:pos="900"/>
        </w:tabs>
        <w:spacing w:before="120" w:after="0" w:line="360" w:lineRule="auto"/>
        <w:jc w:val="center"/>
        <w:rPr>
          <w:rFonts w:eastAsia="Times New Roman" w:cs="Times New Roman"/>
          <w:b/>
          <w:bCs/>
          <w:sz w:val="28"/>
          <w:szCs w:val="28"/>
          <w:lang w:val="en-US"/>
        </w:rPr>
      </w:pPr>
      <w:r>
        <w:rPr>
          <w:rFonts w:eastAsia="Times New Roman" w:cs="Times New Roman"/>
          <w:b/>
          <w:bCs/>
          <w:sz w:val="28"/>
          <w:szCs w:val="28"/>
          <w:lang w:val="en-US"/>
        </w:rPr>
        <w:lastRenderedPageBreak/>
        <w:t>____________________________________________</w:t>
      </w:r>
      <w:r w:rsidR="00323365">
        <w:rPr>
          <w:rFonts w:eastAsia="Times New Roman" w:cs="Times New Roman"/>
          <w:b/>
          <w:bCs/>
          <w:sz w:val="28"/>
          <w:szCs w:val="28"/>
          <w:lang w:val="en-US"/>
        </w:rPr>
        <w:t>____________________</w:t>
      </w:r>
    </w:p>
    <w:p w14:paraId="2BFE52FB" w14:textId="77777777" w:rsidR="00D36346" w:rsidRDefault="00D36346" w:rsidP="00637BC4">
      <w:pPr>
        <w:shd w:val="clear" w:color="auto" w:fill="FFFFFF"/>
        <w:tabs>
          <w:tab w:val="left" w:pos="900"/>
        </w:tabs>
        <w:spacing w:before="120" w:after="0" w:line="276" w:lineRule="auto"/>
        <w:jc w:val="center"/>
        <w:rPr>
          <w:rFonts w:eastAsia="Times New Roman" w:cs="Times New Roman"/>
          <w:b/>
          <w:bCs/>
          <w:sz w:val="28"/>
          <w:szCs w:val="28"/>
          <w:lang w:val="en-US"/>
        </w:rPr>
      </w:pPr>
      <w:r w:rsidRPr="00970D60">
        <w:rPr>
          <w:rFonts w:eastAsia="Times New Roman" w:cs="Times New Roman"/>
          <w:b/>
          <w:bCs/>
          <w:sz w:val="28"/>
          <w:szCs w:val="28"/>
          <w:lang w:val="en-US"/>
        </w:rPr>
        <w:t>ORDER</w:t>
      </w:r>
    </w:p>
    <w:p w14:paraId="56C226DF" w14:textId="77777777" w:rsidR="00323365" w:rsidRPr="00970D60" w:rsidRDefault="00323365" w:rsidP="00637BC4">
      <w:pPr>
        <w:shd w:val="clear" w:color="auto" w:fill="FFFFFF"/>
        <w:tabs>
          <w:tab w:val="left" w:pos="900"/>
        </w:tabs>
        <w:spacing w:after="0" w:line="276" w:lineRule="auto"/>
        <w:jc w:val="center"/>
        <w:rPr>
          <w:rFonts w:eastAsia="Times New Roman" w:cs="Times New Roman"/>
          <w:b/>
          <w:bCs/>
          <w:sz w:val="28"/>
          <w:szCs w:val="28"/>
          <w:lang w:val="en-US"/>
        </w:rPr>
      </w:pPr>
      <w:r>
        <w:rPr>
          <w:rFonts w:eastAsia="Times New Roman" w:cs="Times New Roman"/>
          <w:b/>
          <w:bCs/>
          <w:sz w:val="28"/>
          <w:szCs w:val="28"/>
          <w:lang w:val="en-US"/>
        </w:rPr>
        <w:t>________________________________________________________________</w:t>
      </w:r>
    </w:p>
    <w:p w14:paraId="715A21FC" w14:textId="77777777" w:rsidR="00D36346" w:rsidRPr="00970D60" w:rsidRDefault="00D36346" w:rsidP="00D936AB">
      <w:pPr>
        <w:shd w:val="clear" w:color="auto" w:fill="FFFFFF"/>
        <w:tabs>
          <w:tab w:val="left" w:pos="900"/>
        </w:tabs>
        <w:spacing w:after="0" w:line="360" w:lineRule="auto"/>
        <w:jc w:val="both"/>
        <w:rPr>
          <w:rFonts w:eastAsia="Times New Roman" w:cs="Times New Roman"/>
          <w:b/>
          <w:bCs/>
          <w:sz w:val="28"/>
          <w:szCs w:val="28"/>
          <w:lang w:val="en-US"/>
        </w:rPr>
      </w:pPr>
    </w:p>
    <w:p w14:paraId="75FD4A3A" w14:textId="2093D942" w:rsidR="000F2A5C" w:rsidRDefault="00D36346" w:rsidP="00D36346">
      <w:pPr>
        <w:shd w:val="clear" w:color="auto" w:fill="FFFFFF"/>
        <w:tabs>
          <w:tab w:val="left" w:pos="900"/>
        </w:tabs>
        <w:spacing w:after="120" w:line="360" w:lineRule="auto"/>
        <w:jc w:val="both"/>
        <w:rPr>
          <w:rFonts w:eastAsia="Times New Roman" w:cs="Times New Roman"/>
          <w:bCs/>
          <w:sz w:val="28"/>
          <w:szCs w:val="28"/>
          <w:lang w:val="en-US"/>
        </w:rPr>
      </w:pPr>
      <w:r w:rsidRPr="00970D60">
        <w:rPr>
          <w:rFonts w:eastAsia="Times New Roman" w:cs="Times New Roman"/>
          <w:b/>
          <w:bCs/>
          <w:sz w:val="28"/>
          <w:szCs w:val="28"/>
          <w:lang w:val="en-US"/>
        </w:rPr>
        <w:t>On appeal from:</w:t>
      </w:r>
      <w:r w:rsidRPr="00970D60">
        <w:rPr>
          <w:rFonts w:eastAsia="Times New Roman" w:cs="Times New Roman"/>
          <w:bCs/>
          <w:sz w:val="28"/>
          <w:szCs w:val="28"/>
          <w:lang w:val="en-US"/>
        </w:rPr>
        <w:t xml:space="preserve"> </w:t>
      </w:r>
      <w:r w:rsidR="00647AB8">
        <w:rPr>
          <w:rFonts w:eastAsia="Times New Roman" w:cs="Times New Roman"/>
          <w:bCs/>
          <w:sz w:val="28"/>
          <w:szCs w:val="28"/>
          <w:lang w:val="en-US"/>
        </w:rPr>
        <w:t>Gauteng</w:t>
      </w:r>
      <w:r w:rsidRPr="00970D60">
        <w:rPr>
          <w:rFonts w:eastAsia="Times New Roman" w:cs="Times New Roman"/>
          <w:bCs/>
          <w:sz w:val="28"/>
          <w:szCs w:val="28"/>
          <w:lang w:val="en-US"/>
        </w:rPr>
        <w:t xml:space="preserve"> Division of the High Court, </w:t>
      </w:r>
      <w:r w:rsidR="00647AB8">
        <w:rPr>
          <w:rFonts w:eastAsia="Times New Roman" w:cs="Times New Roman"/>
          <w:bCs/>
          <w:sz w:val="28"/>
          <w:szCs w:val="28"/>
          <w:lang w:val="en-US"/>
        </w:rPr>
        <w:t>Pretoria</w:t>
      </w:r>
      <w:r w:rsidR="001552EC">
        <w:rPr>
          <w:rFonts w:eastAsia="Times New Roman" w:cs="Times New Roman"/>
          <w:bCs/>
          <w:sz w:val="28"/>
          <w:szCs w:val="28"/>
          <w:lang w:val="en-US"/>
        </w:rPr>
        <w:t xml:space="preserve"> (</w:t>
      </w:r>
      <w:r w:rsidR="00765569">
        <w:rPr>
          <w:rFonts w:eastAsia="Times New Roman" w:cs="Times New Roman"/>
          <w:bCs/>
          <w:sz w:val="28"/>
          <w:szCs w:val="28"/>
          <w:lang w:val="en-US"/>
        </w:rPr>
        <w:t>Louw J</w:t>
      </w:r>
      <w:r w:rsidR="005F5B42" w:rsidRPr="00970D60">
        <w:rPr>
          <w:rFonts w:eastAsia="Times New Roman" w:cs="Times New Roman"/>
          <w:bCs/>
          <w:sz w:val="28"/>
          <w:szCs w:val="28"/>
          <w:lang w:val="en-US"/>
        </w:rPr>
        <w:t xml:space="preserve"> </w:t>
      </w:r>
      <w:r w:rsidRPr="00970D60">
        <w:rPr>
          <w:rFonts w:eastAsia="Times New Roman" w:cs="Times New Roman"/>
          <w:bCs/>
          <w:sz w:val="28"/>
          <w:szCs w:val="28"/>
          <w:lang w:val="en-US"/>
        </w:rPr>
        <w:t>sitting as court of first instance):</w:t>
      </w:r>
    </w:p>
    <w:p w14:paraId="5542AD57" w14:textId="74820758" w:rsidR="00D35509" w:rsidRDefault="008C73C7" w:rsidP="00652107">
      <w:pPr>
        <w:shd w:val="clear" w:color="auto" w:fill="FFFFFF"/>
        <w:tabs>
          <w:tab w:val="left" w:pos="900"/>
        </w:tabs>
        <w:spacing w:after="0" w:line="360" w:lineRule="auto"/>
        <w:jc w:val="both"/>
        <w:rPr>
          <w:rFonts w:eastAsia="Times New Roman" w:cs="Times New Roman"/>
          <w:bCs/>
          <w:sz w:val="28"/>
          <w:szCs w:val="28"/>
          <w:lang w:val="en-US"/>
        </w:rPr>
      </w:pPr>
      <w:r>
        <w:rPr>
          <w:rFonts w:eastAsia="Times New Roman" w:cs="Times New Roman"/>
          <w:bCs/>
          <w:sz w:val="28"/>
          <w:szCs w:val="28"/>
          <w:lang w:val="en-US"/>
        </w:rPr>
        <w:t>The appeal is dismissed with costs, including the costs of two counsel</w:t>
      </w:r>
      <w:r w:rsidR="007D690E">
        <w:rPr>
          <w:rFonts w:eastAsia="Times New Roman" w:cs="Times New Roman"/>
          <w:bCs/>
          <w:sz w:val="28"/>
          <w:szCs w:val="28"/>
          <w:lang w:val="en-US"/>
        </w:rPr>
        <w:t>.</w:t>
      </w:r>
    </w:p>
    <w:p w14:paraId="7F802826" w14:textId="77777777" w:rsidR="00765569" w:rsidRDefault="00765569" w:rsidP="00652107">
      <w:pPr>
        <w:shd w:val="clear" w:color="auto" w:fill="FFFFFF"/>
        <w:tabs>
          <w:tab w:val="left" w:pos="900"/>
        </w:tabs>
        <w:spacing w:after="0" w:line="360" w:lineRule="auto"/>
        <w:jc w:val="both"/>
        <w:rPr>
          <w:rFonts w:eastAsia="Times New Roman" w:cs="Times New Roman"/>
          <w:bCs/>
          <w:sz w:val="28"/>
          <w:szCs w:val="28"/>
          <w:lang w:val="en-US"/>
        </w:rPr>
      </w:pPr>
    </w:p>
    <w:p w14:paraId="0E919EBD" w14:textId="45660B9A" w:rsidR="00507AB0" w:rsidRPr="00970D60" w:rsidRDefault="00323365" w:rsidP="002744EA">
      <w:pPr>
        <w:spacing w:line="360" w:lineRule="auto"/>
        <w:rPr>
          <w:rFonts w:eastAsia="Times New Roman" w:cs="Times New Roman"/>
          <w:sz w:val="28"/>
          <w:szCs w:val="28"/>
          <w:lang w:eastAsia="en-GB"/>
        </w:rPr>
      </w:pPr>
      <w:r>
        <w:rPr>
          <w:rFonts w:eastAsia="Times New Roman" w:cs="Times New Roman"/>
          <w:sz w:val="28"/>
          <w:szCs w:val="28"/>
          <w:lang w:eastAsia="en-GB"/>
        </w:rPr>
        <w:t>________________________________________________________________</w:t>
      </w:r>
    </w:p>
    <w:p w14:paraId="038371C2" w14:textId="77777777" w:rsidR="00507AB0" w:rsidRDefault="00507AB0" w:rsidP="00323365">
      <w:pPr>
        <w:shd w:val="clear" w:color="auto" w:fill="FFFFFF"/>
        <w:tabs>
          <w:tab w:val="left" w:pos="900"/>
        </w:tabs>
        <w:spacing w:before="120" w:after="0" w:line="276" w:lineRule="auto"/>
        <w:jc w:val="center"/>
        <w:rPr>
          <w:rFonts w:eastAsia="Times New Roman" w:cs="Times New Roman"/>
          <w:b/>
          <w:bCs/>
          <w:sz w:val="28"/>
          <w:szCs w:val="28"/>
          <w:lang w:val="en-US"/>
        </w:rPr>
      </w:pPr>
      <w:r w:rsidRPr="00970D60">
        <w:rPr>
          <w:rFonts w:eastAsia="Times New Roman" w:cs="Times New Roman"/>
          <w:b/>
          <w:bCs/>
          <w:sz w:val="28"/>
          <w:szCs w:val="28"/>
          <w:lang w:val="en-US"/>
        </w:rPr>
        <w:t>JUDGMENT</w:t>
      </w:r>
    </w:p>
    <w:p w14:paraId="64AFE2AF" w14:textId="77777777" w:rsidR="00323365" w:rsidRPr="00970D60" w:rsidRDefault="00323365" w:rsidP="00323365">
      <w:pPr>
        <w:shd w:val="clear" w:color="auto" w:fill="FFFFFF"/>
        <w:tabs>
          <w:tab w:val="left" w:pos="900"/>
        </w:tabs>
        <w:spacing w:after="0" w:line="360" w:lineRule="auto"/>
        <w:jc w:val="center"/>
        <w:rPr>
          <w:rFonts w:eastAsia="Times New Roman" w:cs="Times New Roman"/>
          <w:b/>
          <w:bCs/>
          <w:sz w:val="28"/>
          <w:szCs w:val="28"/>
          <w:lang w:val="en-US"/>
        </w:rPr>
      </w:pPr>
      <w:r>
        <w:rPr>
          <w:rFonts w:eastAsia="Times New Roman" w:cs="Times New Roman"/>
          <w:b/>
          <w:bCs/>
          <w:sz w:val="28"/>
          <w:szCs w:val="28"/>
          <w:lang w:val="en-US"/>
        </w:rPr>
        <w:t>________________________________________________________________</w:t>
      </w:r>
    </w:p>
    <w:p w14:paraId="4A985127" w14:textId="34FD756A" w:rsidR="000D2B94" w:rsidRDefault="00686B67" w:rsidP="000D2B94">
      <w:pPr>
        <w:spacing w:after="0" w:line="360" w:lineRule="auto"/>
        <w:jc w:val="both"/>
        <w:rPr>
          <w:rFonts w:cs="Times New Roman"/>
          <w:sz w:val="28"/>
          <w:szCs w:val="28"/>
        </w:rPr>
      </w:pPr>
      <w:r w:rsidRPr="00970D60">
        <w:rPr>
          <w:rFonts w:eastAsia="Times New Roman" w:cs="Times New Roman"/>
          <w:b/>
          <w:sz w:val="28"/>
          <w:szCs w:val="28"/>
          <w:lang w:val="en-GB"/>
        </w:rPr>
        <w:t xml:space="preserve">Schippers JA </w:t>
      </w:r>
      <w:r w:rsidR="008E126A" w:rsidRPr="00970D60">
        <w:rPr>
          <w:rFonts w:eastAsia="Times New Roman" w:cs="Times New Roman"/>
          <w:b/>
          <w:sz w:val="28"/>
          <w:szCs w:val="28"/>
          <w:lang w:val="en-GB"/>
        </w:rPr>
        <w:t>(</w:t>
      </w:r>
      <w:r w:rsidR="00D237D7">
        <w:rPr>
          <w:rFonts w:eastAsia="Times New Roman" w:cs="Times New Roman"/>
          <w:b/>
          <w:sz w:val="28"/>
          <w:szCs w:val="28"/>
          <w:lang w:val="en-GB"/>
        </w:rPr>
        <w:t xml:space="preserve">Carelse, Mabindla-Boqwana, Goosen and Molefe JJA </w:t>
      </w:r>
      <w:r w:rsidR="00703C4E">
        <w:rPr>
          <w:rFonts w:eastAsia="Times New Roman" w:cs="Times New Roman"/>
          <w:b/>
          <w:sz w:val="28"/>
          <w:szCs w:val="28"/>
          <w:lang w:val="en-GB"/>
        </w:rPr>
        <w:t>concurring</w:t>
      </w:r>
      <w:r w:rsidR="00801266" w:rsidRPr="00970D60">
        <w:rPr>
          <w:rFonts w:eastAsia="Times New Roman" w:cs="Times New Roman"/>
          <w:b/>
          <w:sz w:val="28"/>
          <w:szCs w:val="28"/>
          <w:lang w:val="en-GB"/>
        </w:rPr>
        <w:t>)</w:t>
      </w:r>
      <w:r w:rsidR="000D2B94" w:rsidRPr="00970D60">
        <w:rPr>
          <w:rFonts w:cs="Times New Roman"/>
          <w:sz w:val="28"/>
          <w:szCs w:val="28"/>
        </w:rPr>
        <w:t xml:space="preserve"> </w:t>
      </w:r>
    </w:p>
    <w:p w14:paraId="506E2F7E" w14:textId="77777777" w:rsidR="00C76ECD" w:rsidRDefault="00C76ECD" w:rsidP="000D2B94">
      <w:pPr>
        <w:spacing w:after="0" w:line="360" w:lineRule="auto"/>
        <w:jc w:val="both"/>
        <w:rPr>
          <w:rFonts w:cs="Times New Roman"/>
          <w:sz w:val="28"/>
          <w:szCs w:val="28"/>
        </w:rPr>
      </w:pPr>
    </w:p>
    <w:p w14:paraId="68B28408" w14:textId="59E588CC" w:rsidR="007E3E3C" w:rsidRDefault="007E3E3C" w:rsidP="007E3E3C">
      <w:pPr>
        <w:pStyle w:val="ListParagraph"/>
        <w:numPr>
          <w:ilvl w:val="0"/>
          <w:numId w:val="19"/>
        </w:numPr>
        <w:spacing w:after="0" w:line="360" w:lineRule="auto"/>
        <w:ind w:left="0" w:firstLine="0"/>
        <w:jc w:val="both"/>
        <w:rPr>
          <w:rFonts w:cs="Times New Roman"/>
          <w:sz w:val="28"/>
          <w:szCs w:val="28"/>
        </w:rPr>
      </w:pPr>
      <w:r w:rsidRPr="007E3E3C">
        <w:rPr>
          <w:rFonts w:cs="Times New Roman"/>
          <w:sz w:val="28"/>
          <w:szCs w:val="28"/>
        </w:rPr>
        <w:t>This is an appeal against an order of the Gauteng Division of the High Court, Pretoria (t</w:t>
      </w:r>
      <w:r w:rsidR="007C69AF">
        <w:rPr>
          <w:rFonts w:cs="Times New Roman"/>
          <w:sz w:val="28"/>
          <w:szCs w:val="28"/>
        </w:rPr>
        <w:t xml:space="preserve">he high court), directing </w:t>
      </w:r>
      <w:r w:rsidRPr="007E3E3C">
        <w:rPr>
          <w:rFonts w:cs="Times New Roman"/>
          <w:sz w:val="28"/>
          <w:szCs w:val="28"/>
        </w:rPr>
        <w:t>the appellant, Mr Daniel Nel Pre</w:t>
      </w:r>
      <w:r w:rsidR="007C69AF">
        <w:rPr>
          <w:rFonts w:cs="Times New Roman"/>
          <w:sz w:val="28"/>
          <w:szCs w:val="28"/>
        </w:rPr>
        <w:t>torius (the defendant), to pay the sum of R439 300.92</w:t>
      </w:r>
      <w:r w:rsidRPr="007E3E3C">
        <w:rPr>
          <w:rFonts w:cs="Times New Roman"/>
          <w:sz w:val="28"/>
          <w:szCs w:val="28"/>
        </w:rPr>
        <w:t xml:space="preserve"> together with interest and costs to the respondent, the Agricultural Research Council (the plaintiff)</w:t>
      </w:r>
      <w:r w:rsidR="00900BAF">
        <w:rPr>
          <w:rFonts w:cs="Times New Roman"/>
          <w:sz w:val="28"/>
          <w:szCs w:val="28"/>
        </w:rPr>
        <w:t>, in respect of arrear amounts owing under a lease agreement</w:t>
      </w:r>
      <w:r w:rsidR="007C69AF">
        <w:rPr>
          <w:rFonts w:cs="Times New Roman"/>
          <w:sz w:val="28"/>
          <w:szCs w:val="28"/>
        </w:rPr>
        <w:t xml:space="preserve">. The high court </w:t>
      </w:r>
      <w:r w:rsidR="007C69AF" w:rsidRPr="007E3E3C">
        <w:rPr>
          <w:rFonts w:cs="Times New Roman"/>
          <w:sz w:val="28"/>
          <w:szCs w:val="28"/>
        </w:rPr>
        <w:t>(Louw J)</w:t>
      </w:r>
      <w:r w:rsidR="008A416B">
        <w:rPr>
          <w:rFonts w:cs="Times New Roman"/>
          <w:sz w:val="28"/>
          <w:szCs w:val="28"/>
        </w:rPr>
        <w:t xml:space="preserve"> also </w:t>
      </w:r>
      <w:r w:rsidR="007C69AF">
        <w:rPr>
          <w:rFonts w:cs="Times New Roman"/>
          <w:sz w:val="28"/>
          <w:szCs w:val="28"/>
        </w:rPr>
        <w:t xml:space="preserve">dismissed the defendant’s </w:t>
      </w:r>
      <w:r w:rsidRPr="007E3E3C">
        <w:rPr>
          <w:rFonts w:cs="Times New Roman"/>
          <w:sz w:val="28"/>
          <w:szCs w:val="28"/>
        </w:rPr>
        <w:t>counterclaim for payment of R4</w:t>
      </w:r>
      <w:r w:rsidR="007C69AF">
        <w:rPr>
          <w:rFonts w:cs="Times New Roman"/>
          <w:sz w:val="28"/>
          <w:szCs w:val="28"/>
        </w:rPr>
        <w:t> </w:t>
      </w:r>
      <w:r w:rsidRPr="007E3E3C">
        <w:rPr>
          <w:rFonts w:cs="Times New Roman"/>
          <w:sz w:val="28"/>
          <w:szCs w:val="28"/>
        </w:rPr>
        <w:t>860</w:t>
      </w:r>
      <w:r w:rsidR="007C69AF">
        <w:rPr>
          <w:rFonts w:cs="Times New Roman"/>
          <w:sz w:val="28"/>
          <w:szCs w:val="28"/>
        </w:rPr>
        <w:t> </w:t>
      </w:r>
      <w:r w:rsidRPr="007E3E3C">
        <w:rPr>
          <w:rFonts w:cs="Times New Roman"/>
          <w:sz w:val="28"/>
          <w:szCs w:val="28"/>
        </w:rPr>
        <w:t xml:space="preserve">000 </w:t>
      </w:r>
      <w:r w:rsidR="00900BAF">
        <w:rPr>
          <w:rFonts w:cs="Times New Roman"/>
          <w:sz w:val="28"/>
          <w:szCs w:val="28"/>
        </w:rPr>
        <w:t xml:space="preserve">for lost profits, </w:t>
      </w:r>
      <w:r w:rsidR="007C69AF">
        <w:rPr>
          <w:rFonts w:cs="Times New Roman"/>
          <w:sz w:val="28"/>
          <w:szCs w:val="28"/>
        </w:rPr>
        <w:t xml:space="preserve">with costs. </w:t>
      </w:r>
      <w:r w:rsidRPr="007E3E3C">
        <w:rPr>
          <w:rFonts w:cs="Times New Roman"/>
          <w:sz w:val="28"/>
          <w:szCs w:val="28"/>
        </w:rPr>
        <w:t xml:space="preserve">The appeal is with </w:t>
      </w:r>
      <w:r w:rsidR="007C69AF">
        <w:rPr>
          <w:rFonts w:cs="Times New Roman"/>
          <w:sz w:val="28"/>
          <w:szCs w:val="28"/>
        </w:rPr>
        <w:t>its</w:t>
      </w:r>
      <w:r w:rsidRPr="007E3E3C">
        <w:rPr>
          <w:rFonts w:cs="Times New Roman"/>
          <w:sz w:val="28"/>
          <w:szCs w:val="28"/>
        </w:rPr>
        <w:t xml:space="preserve"> leave</w:t>
      </w:r>
      <w:r w:rsidR="007C69AF">
        <w:rPr>
          <w:rFonts w:cs="Times New Roman"/>
          <w:sz w:val="28"/>
          <w:szCs w:val="28"/>
        </w:rPr>
        <w:t>.</w:t>
      </w:r>
    </w:p>
    <w:p w14:paraId="2BF74FCA" w14:textId="77777777" w:rsidR="007E3E3C" w:rsidRDefault="007E3E3C" w:rsidP="007E3E3C">
      <w:pPr>
        <w:pStyle w:val="ListParagraph"/>
        <w:spacing w:after="0" w:line="360" w:lineRule="auto"/>
        <w:ind w:left="0"/>
        <w:jc w:val="both"/>
        <w:rPr>
          <w:rFonts w:cs="Times New Roman"/>
          <w:sz w:val="28"/>
          <w:szCs w:val="28"/>
        </w:rPr>
      </w:pPr>
    </w:p>
    <w:p w14:paraId="2A8A4745" w14:textId="56CB1867" w:rsidR="007C69AF" w:rsidRDefault="007E3E3C" w:rsidP="007C69AF">
      <w:pPr>
        <w:pStyle w:val="ListParagraph"/>
        <w:numPr>
          <w:ilvl w:val="0"/>
          <w:numId w:val="19"/>
        </w:numPr>
        <w:spacing w:after="0" w:line="360" w:lineRule="auto"/>
        <w:ind w:left="0" w:firstLine="0"/>
        <w:jc w:val="both"/>
        <w:rPr>
          <w:rFonts w:cs="Times New Roman"/>
          <w:sz w:val="28"/>
          <w:szCs w:val="28"/>
        </w:rPr>
      </w:pPr>
      <w:r w:rsidRPr="007E3E3C">
        <w:rPr>
          <w:rFonts w:cs="Times New Roman"/>
          <w:sz w:val="28"/>
          <w:szCs w:val="28"/>
        </w:rPr>
        <w:t>The basic facts are largely common ground and can be briefly stated. On 1</w:t>
      </w:r>
      <w:r w:rsidR="005569EE">
        <w:rPr>
          <w:rFonts w:cs="Times New Roman"/>
          <w:sz w:val="28"/>
          <w:szCs w:val="28"/>
        </w:rPr>
        <w:t> </w:t>
      </w:r>
      <w:r w:rsidRPr="007E3E3C">
        <w:rPr>
          <w:rFonts w:cs="Times New Roman"/>
          <w:sz w:val="28"/>
          <w:szCs w:val="28"/>
        </w:rPr>
        <w:t>August 2001 the parties concluded a written lease agreement in terms of which the plaintiff let a farm known as Plot 103, Kameeldrift, Pretoria (the property), to the defendant for a period of nine years and 11 months, w</w:t>
      </w:r>
      <w:r w:rsidR="00900BAF">
        <w:rPr>
          <w:rFonts w:cs="Times New Roman"/>
          <w:sz w:val="28"/>
          <w:szCs w:val="28"/>
        </w:rPr>
        <w:t>hich commenced on 1</w:t>
      </w:r>
      <w:r w:rsidR="008F1606">
        <w:rPr>
          <w:rFonts w:cs="Times New Roman"/>
          <w:sz w:val="28"/>
          <w:szCs w:val="28"/>
        </w:rPr>
        <w:t> </w:t>
      </w:r>
      <w:r w:rsidR="00900BAF">
        <w:rPr>
          <w:rFonts w:cs="Times New Roman"/>
          <w:sz w:val="28"/>
          <w:szCs w:val="28"/>
        </w:rPr>
        <w:t>August 20</w:t>
      </w:r>
      <w:r w:rsidR="009F34AC">
        <w:rPr>
          <w:rFonts w:cs="Times New Roman"/>
          <w:sz w:val="28"/>
          <w:szCs w:val="28"/>
        </w:rPr>
        <w:t>01</w:t>
      </w:r>
      <w:r w:rsidR="00900BAF">
        <w:rPr>
          <w:rFonts w:cs="Times New Roman"/>
          <w:sz w:val="28"/>
          <w:szCs w:val="28"/>
        </w:rPr>
        <w:t xml:space="preserve">, </w:t>
      </w:r>
      <w:r w:rsidRPr="007E3E3C">
        <w:rPr>
          <w:rFonts w:cs="Times New Roman"/>
          <w:sz w:val="28"/>
          <w:szCs w:val="28"/>
        </w:rPr>
        <w:t xml:space="preserve">terminating on 30 June 2011 (the initial agreement).  </w:t>
      </w:r>
    </w:p>
    <w:p w14:paraId="2FE0328E" w14:textId="77777777" w:rsidR="007C69AF" w:rsidRDefault="007C69AF" w:rsidP="007C69AF">
      <w:pPr>
        <w:pStyle w:val="ListParagraph"/>
        <w:spacing w:after="0" w:line="360" w:lineRule="auto"/>
        <w:ind w:left="0"/>
        <w:jc w:val="both"/>
        <w:rPr>
          <w:rFonts w:cs="Times New Roman"/>
          <w:sz w:val="28"/>
          <w:szCs w:val="28"/>
        </w:rPr>
      </w:pPr>
    </w:p>
    <w:p w14:paraId="176C1B44" w14:textId="5FCBE52E" w:rsidR="009426C8" w:rsidRDefault="007E3E3C" w:rsidP="009426C8">
      <w:pPr>
        <w:pStyle w:val="ListParagraph"/>
        <w:numPr>
          <w:ilvl w:val="0"/>
          <w:numId w:val="19"/>
        </w:numPr>
        <w:spacing w:after="0" w:line="360" w:lineRule="auto"/>
        <w:ind w:left="0" w:firstLine="0"/>
        <w:jc w:val="both"/>
        <w:rPr>
          <w:rFonts w:cs="Times New Roman"/>
          <w:sz w:val="28"/>
          <w:szCs w:val="28"/>
        </w:rPr>
      </w:pPr>
      <w:r w:rsidRPr="007C69AF">
        <w:rPr>
          <w:rFonts w:cs="Times New Roman"/>
          <w:sz w:val="28"/>
          <w:szCs w:val="28"/>
        </w:rPr>
        <w:lastRenderedPageBreak/>
        <w:t xml:space="preserve">The initial agreement contained the following terms. The defendant would be invoiced for rental </w:t>
      </w:r>
      <w:r w:rsidR="00853F1E">
        <w:rPr>
          <w:rFonts w:cs="Times New Roman"/>
          <w:sz w:val="28"/>
          <w:szCs w:val="28"/>
        </w:rPr>
        <w:t xml:space="preserve">(R350 per hectare per year with an annual escalation of 10% on the ground only) </w:t>
      </w:r>
      <w:r w:rsidRPr="007C69AF">
        <w:rPr>
          <w:rFonts w:cs="Times New Roman"/>
          <w:sz w:val="28"/>
          <w:szCs w:val="28"/>
        </w:rPr>
        <w:t>during March of every year</w:t>
      </w:r>
      <w:r w:rsidR="00853F1E">
        <w:rPr>
          <w:rFonts w:cs="Times New Roman"/>
          <w:sz w:val="28"/>
          <w:szCs w:val="28"/>
        </w:rPr>
        <w:t>,</w:t>
      </w:r>
      <w:r w:rsidRPr="007C69AF">
        <w:rPr>
          <w:rFonts w:cs="Times New Roman"/>
          <w:sz w:val="28"/>
          <w:szCs w:val="28"/>
        </w:rPr>
        <w:t xml:space="preserve"> ending </w:t>
      </w:r>
      <w:r w:rsidR="0080567D">
        <w:rPr>
          <w:rFonts w:cs="Times New Roman"/>
          <w:sz w:val="28"/>
          <w:szCs w:val="28"/>
        </w:rPr>
        <w:t xml:space="preserve">on </w:t>
      </w:r>
      <w:r w:rsidRPr="007C69AF">
        <w:rPr>
          <w:rFonts w:cs="Times New Roman"/>
          <w:sz w:val="28"/>
          <w:szCs w:val="28"/>
        </w:rPr>
        <w:t>31 March.</w:t>
      </w:r>
      <w:r w:rsidR="00853F1E">
        <w:rPr>
          <w:rFonts w:cs="Times New Roman"/>
          <w:sz w:val="28"/>
          <w:szCs w:val="28"/>
        </w:rPr>
        <w:t xml:space="preserve"> </w:t>
      </w:r>
      <w:r w:rsidR="00184075">
        <w:rPr>
          <w:rFonts w:cs="Times New Roman"/>
          <w:sz w:val="28"/>
          <w:szCs w:val="28"/>
        </w:rPr>
        <w:t xml:space="preserve">The rental </w:t>
      </w:r>
      <w:r w:rsidRPr="007C69AF">
        <w:rPr>
          <w:rFonts w:cs="Times New Roman"/>
          <w:sz w:val="28"/>
          <w:szCs w:val="28"/>
        </w:rPr>
        <w:t>invoice had to be paid by no later than 31 May of each year. Th</w:t>
      </w:r>
      <w:r w:rsidR="00660E96">
        <w:rPr>
          <w:rFonts w:cs="Times New Roman"/>
          <w:sz w:val="28"/>
          <w:szCs w:val="28"/>
        </w:rPr>
        <w:t xml:space="preserve">e defendant was given an option to </w:t>
      </w:r>
      <w:r w:rsidRPr="007C69AF">
        <w:rPr>
          <w:rFonts w:cs="Times New Roman"/>
          <w:sz w:val="28"/>
          <w:szCs w:val="28"/>
        </w:rPr>
        <w:t xml:space="preserve">renew the lease, subject to the express condition that the right of renewal could not be exercised while he was in breach or default of any of the terms of the agreement. </w:t>
      </w:r>
    </w:p>
    <w:p w14:paraId="37EA14B3" w14:textId="77777777" w:rsidR="009426C8" w:rsidRDefault="009426C8" w:rsidP="009426C8">
      <w:pPr>
        <w:pStyle w:val="ListParagraph"/>
        <w:spacing w:after="0" w:line="360" w:lineRule="auto"/>
        <w:ind w:left="0"/>
        <w:jc w:val="both"/>
        <w:rPr>
          <w:rFonts w:cs="Times New Roman"/>
          <w:sz w:val="28"/>
          <w:szCs w:val="28"/>
        </w:rPr>
      </w:pPr>
    </w:p>
    <w:p w14:paraId="7B07ABB0" w14:textId="312B96C3" w:rsidR="0080049C" w:rsidRDefault="008C73C7" w:rsidP="0080049C">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At first</w:t>
      </w:r>
      <w:r w:rsidR="007E3E3C" w:rsidRPr="009426C8">
        <w:rPr>
          <w:rFonts w:cs="Times New Roman"/>
          <w:sz w:val="28"/>
          <w:szCs w:val="28"/>
        </w:rPr>
        <w:t xml:space="preserve"> the rental was paid annually </w:t>
      </w:r>
      <w:r w:rsidR="003F6702">
        <w:rPr>
          <w:rFonts w:cs="Times New Roman"/>
          <w:sz w:val="28"/>
          <w:szCs w:val="28"/>
        </w:rPr>
        <w:t xml:space="preserve">in accordance with the </w:t>
      </w:r>
      <w:r w:rsidR="007E3E3C" w:rsidRPr="009426C8">
        <w:rPr>
          <w:rFonts w:cs="Times New Roman"/>
          <w:sz w:val="28"/>
          <w:szCs w:val="28"/>
        </w:rPr>
        <w:t>term</w:t>
      </w:r>
      <w:r w:rsidR="003F6702">
        <w:rPr>
          <w:rFonts w:cs="Times New Roman"/>
          <w:sz w:val="28"/>
          <w:szCs w:val="28"/>
        </w:rPr>
        <w:t>s</w:t>
      </w:r>
      <w:r w:rsidR="007E3E3C" w:rsidRPr="009426C8">
        <w:rPr>
          <w:rFonts w:cs="Times New Roman"/>
          <w:sz w:val="28"/>
          <w:szCs w:val="28"/>
        </w:rPr>
        <w:t xml:space="preserve"> of the initial agreement. </w:t>
      </w:r>
      <w:r w:rsidR="009426C8">
        <w:rPr>
          <w:rFonts w:cs="Times New Roman"/>
          <w:sz w:val="28"/>
          <w:szCs w:val="28"/>
        </w:rPr>
        <w:t>However, t</w:t>
      </w:r>
      <w:r w:rsidR="00997F23">
        <w:rPr>
          <w:rFonts w:cs="Times New Roman"/>
          <w:sz w:val="28"/>
          <w:szCs w:val="28"/>
        </w:rPr>
        <w:t>hat</w:t>
      </w:r>
      <w:r w:rsidR="007E3E3C" w:rsidRPr="009426C8">
        <w:rPr>
          <w:rFonts w:cs="Times New Roman"/>
          <w:sz w:val="28"/>
          <w:szCs w:val="28"/>
        </w:rPr>
        <w:t xml:space="preserve"> changed when the defendant </w:t>
      </w:r>
      <w:r w:rsidR="007572BB">
        <w:rPr>
          <w:rFonts w:cs="Times New Roman"/>
          <w:sz w:val="28"/>
          <w:szCs w:val="28"/>
        </w:rPr>
        <w:t>made arrangements</w:t>
      </w:r>
      <w:r w:rsidR="007E3E3C" w:rsidRPr="009426C8">
        <w:rPr>
          <w:rFonts w:cs="Times New Roman"/>
          <w:sz w:val="28"/>
          <w:szCs w:val="28"/>
        </w:rPr>
        <w:t xml:space="preserve"> with the plaintiff to make frequent payments during the course of the year, instead of pay</w:t>
      </w:r>
      <w:r w:rsidR="001D22AD">
        <w:rPr>
          <w:rFonts w:cs="Times New Roman"/>
          <w:sz w:val="28"/>
          <w:szCs w:val="28"/>
        </w:rPr>
        <w:t>ing an annual amount. T</w:t>
      </w:r>
      <w:r w:rsidR="007E3E3C" w:rsidRPr="009426C8">
        <w:rPr>
          <w:rFonts w:cs="Times New Roman"/>
          <w:sz w:val="28"/>
          <w:szCs w:val="28"/>
        </w:rPr>
        <w:t xml:space="preserve">he defendant fell into arrears with his payment obligations and on 13 October 2009, the outstanding balance owed to the plaintiff was </w:t>
      </w:r>
      <w:r w:rsidR="007E3E3C" w:rsidRPr="00BE6F30">
        <w:rPr>
          <w:rFonts w:cs="Times New Roman"/>
          <w:sz w:val="28"/>
          <w:szCs w:val="28"/>
        </w:rPr>
        <w:t>R206 219.43. Consequently</w:t>
      </w:r>
      <w:r w:rsidR="007E3E3C" w:rsidRPr="009426C8">
        <w:rPr>
          <w:rFonts w:cs="Times New Roman"/>
          <w:sz w:val="28"/>
          <w:szCs w:val="28"/>
        </w:rPr>
        <w:t>, the defendant signed an acknowledgement of debt (AOD) on 2 November 2009, in term</w:t>
      </w:r>
      <w:r w:rsidR="00CA15AE">
        <w:rPr>
          <w:rFonts w:cs="Times New Roman"/>
          <w:sz w:val="28"/>
          <w:szCs w:val="28"/>
        </w:rPr>
        <w:t>s of which he admitted</w:t>
      </w:r>
      <w:r w:rsidR="007E3E3C" w:rsidRPr="009426C8">
        <w:rPr>
          <w:rFonts w:cs="Times New Roman"/>
          <w:sz w:val="28"/>
          <w:szCs w:val="28"/>
        </w:rPr>
        <w:t xml:space="preserve"> that he was indebted to the plaintiff in respect of municipal</w:t>
      </w:r>
      <w:r w:rsidR="0080049C">
        <w:rPr>
          <w:rFonts w:cs="Times New Roman"/>
          <w:sz w:val="28"/>
          <w:szCs w:val="28"/>
        </w:rPr>
        <w:t xml:space="preserve"> services to</w:t>
      </w:r>
      <w:r w:rsidR="007E3E3C" w:rsidRPr="009426C8">
        <w:rPr>
          <w:rFonts w:cs="Times New Roman"/>
          <w:sz w:val="28"/>
          <w:szCs w:val="28"/>
        </w:rPr>
        <w:t xml:space="preserve"> the property in the sum of R206 219.43.</w:t>
      </w:r>
      <w:r w:rsidR="0080049C">
        <w:rPr>
          <w:rFonts w:cs="Times New Roman"/>
          <w:sz w:val="28"/>
          <w:szCs w:val="28"/>
        </w:rPr>
        <w:t xml:space="preserve"> The </w:t>
      </w:r>
      <w:r w:rsidR="007E3E3C" w:rsidRPr="009426C8">
        <w:rPr>
          <w:rFonts w:cs="Times New Roman"/>
          <w:sz w:val="28"/>
          <w:szCs w:val="28"/>
        </w:rPr>
        <w:t>defendant paid this amount in instalments to the plaintiff.</w:t>
      </w:r>
    </w:p>
    <w:p w14:paraId="49338D92" w14:textId="77777777" w:rsidR="0080049C" w:rsidRDefault="0080049C" w:rsidP="0080049C">
      <w:pPr>
        <w:pStyle w:val="ListParagraph"/>
        <w:spacing w:after="0" w:line="360" w:lineRule="auto"/>
        <w:ind w:left="0"/>
        <w:jc w:val="both"/>
        <w:rPr>
          <w:rFonts w:cs="Times New Roman"/>
          <w:sz w:val="28"/>
          <w:szCs w:val="28"/>
        </w:rPr>
      </w:pPr>
    </w:p>
    <w:p w14:paraId="02D3A558" w14:textId="3B2EF861" w:rsidR="0080049C" w:rsidRDefault="0080049C" w:rsidP="0080049C">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Subsequently</w:t>
      </w:r>
      <w:r w:rsidR="003F6702">
        <w:rPr>
          <w:rFonts w:cs="Times New Roman"/>
          <w:sz w:val="28"/>
          <w:szCs w:val="28"/>
        </w:rPr>
        <w:t>,</w:t>
      </w:r>
      <w:r>
        <w:rPr>
          <w:rFonts w:cs="Times New Roman"/>
          <w:sz w:val="28"/>
          <w:szCs w:val="28"/>
        </w:rPr>
        <w:t xml:space="preserve"> t</w:t>
      </w:r>
      <w:r w:rsidR="007E3E3C" w:rsidRPr="0080049C">
        <w:rPr>
          <w:rFonts w:cs="Times New Roman"/>
          <w:sz w:val="28"/>
          <w:szCs w:val="28"/>
        </w:rPr>
        <w:t xml:space="preserve">he defendant again fell into arrears with his payment obligations under the initial agreement. </w:t>
      </w:r>
      <w:r w:rsidR="007E3E3C" w:rsidRPr="00BE6F30">
        <w:rPr>
          <w:rFonts w:cs="Times New Roman"/>
          <w:sz w:val="28"/>
          <w:szCs w:val="28"/>
        </w:rPr>
        <w:t>On 15 October 2010</w:t>
      </w:r>
      <w:r w:rsidR="007E3E3C" w:rsidRPr="00F82402">
        <w:rPr>
          <w:rFonts w:cs="Times New Roman"/>
          <w:sz w:val="28"/>
          <w:szCs w:val="28"/>
        </w:rPr>
        <w:t xml:space="preserve"> he</w:t>
      </w:r>
      <w:r w:rsidR="007E3E3C" w:rsidRPr="0080049C">
        <w:rPr>
          <w:rFonts w:cs="Times New Roman"/>
          <w:sz w:val="28"/>
          <w:szCs w:val="28"/>
        </w:rPr>
        <w:t xml:space="preserve"> signed a second AOD in terms of which he acknowledged his indebtedness to the plaintiff in the amount </w:t>
      </w:r>
      <w:r w:rsidR="007E3E3C" w:rsidRPr="00BE6F30">
        <w:rPr>
          <w:rFonts w:cs="Times New Roman"/>
          <w:sz w:val="28"/>
          <w:szCs w:val="28"/>
        </w:rPr>
        <w:t xml:space="preserve">of R203 043.95, in </w:t>
      </w:r>
      <w:r w:rsidRPr="00F82402">
        <w:rPr>
          <w:rFonts w:cs="Times New Roman"/>
          <w:sz w:val="28"/>
          <w:szCs w:val="28"/>
        </w:rPr>
        <w:t>respect</w:t>
      </w:r>
      <w:r>
        <w:rPr>
          <w:rFonts w:cs="Times New Roman"/>
          <w:sz w:val="28"/>
          <w:szCs w:val="28"/>
        </w:rPr>
        <w:t xml:space="preserve"> of municipal </w:t>
      </w:r>
      <w:r w:rsidR="001D22AD">
        <w:rPr>
          <w:rFonts w:cs="Times New Roman"/>
          <w:sz w:val="28"/>
          <w:szCs w:val="28"/>
        </w:rPr>
        <w:t xml:space="preserve">charges </w:t>
      </w:r>
      <w:r w:rsidR="00FE6A1A">
        <w:rPr>
          <w:rFonts w:cs="Times New Roman"/>
          <w:sz w:val="28"/>
          <w:szCs w:val="28"/>
        </w:rPr>
        <w:t>(the second AOD)</w:t>
      </w:r>
      <w:r w:rsidR="004B4904">
        <w:rPr>
          <w:rFonts w:cs="Times New Roman"/>
          <w:sz w:val="28"/>
          <w:szCs w:val="28"/>
        </w:rPr>
        <w:t xml:space="preserve">. </w:t>
      </w:r>
      <w:r w:rsidR="001D22AD">
        <w:rPr>
          <w:rFonts w:cs="Times New Roman"/>
          <w:sz w:val="28"/>
          <w:szCs w:val="28"/>
        </w:rPr>
        <w:t xml:space="preserve">The defendant </w:t>
      </w:r>
      <w:r w:rsidR="004B4904">
        <w:rPr>
          <w:rFonts w:cs="Times New Roman"/>
          <w:sz w:val="28"/>
          <w:szCs w:val="28"/>
        </w:rPr>
        <w:t xml:space="preserve">undertook to pay this amount by way of a </w:t>
      </w:r>
      <w:r w:rsidR="007E3E3C" w:rsidRPr="0080049C">
        <w:rPr>
          <w:rFonts w:cs="Times New Roman"/>
          <w:sz w:val="28"/>
          <w:szCs w:val="28"/>
        </w:rPr>
        <w:t>minimum monthly instalment of R20 000 and to settle the outstanding balance by 31 March 2011. The first monthly instalment was payable by 25 November 2010 and each subsequent instalment had to be paid on or before the 25</w:t>
      </w:r>
      <w:r w:rsidR="007E3E3C" w:rsidRPr="0080049C">
        <w:rPr>
          <w:rFonts w:cs="Times New Roman"/>
          <w:sz w:val="28"/>
          <w:szCs w:val="28"/>
          <w:vertAlign w:val="superscript"/>
        </w:rPr>
        <w:t>th</w:t>
      </w:r>
      <w:r w:rsidR="007E3E3C" w:rsidRPr="0080049C">
        <w:rPr>
          <w:rFonts w:cs="Times New Roman"/>
          <w:sz w:val="28"/>
          <w:szCs w:val="28"/>
        </w:rPr>
        <w:t xml:space="preserve"> day of each succeeding month, until the arrears </w:t>
      </w:r>
      <w:r>
        <w:rPr>
          <w:rFonts w:cs="Times New Roman"/>
          <w:sz w:val="28"/>
          <w:szCs w:val="28"/>
        </w:rPr>
        <w:t>and interest were</w:t>
      </w:r>
      <w:r w:rsidR="003F6702">
        <w:rPr>
          <w:rFonts w:cs="Times New Roman"/>
          <w:sz w:val="28"/>
          <w:szCs w:val="28"/>
        </w:rPr>
        <w:t xml:space="preserve"> </w:t>
      </w:r>
      <w:r w:rsidR="007E3E3C" w:rsidRPr="0080049C">
        <w:rPr>
          <w:rFonts w:cs="Times New Roman"/>
          <w:sz w:val="28"/>
          <w:szCs w:val="28"/>
        </w:rPr>
        <w:t xml:space="preserve">paid. </w:t>
      </w:r>
    </w:p>
    <w:p w14:paraId="75B716C2" w14:textId="77777777" w:rsidR="0080049C" w:rsidRDefault="0080049C" w:rsidP="0080049C">
      <w:pPr>
        <w:pStyle w:val="ListParagraph"/>
        <w:spacing w:after="0" w:line="360" w:lineRule="auto"/>
        <w:ind w:left="0"/>
        <w:jc w:val="both"/>
        <w:rPr>
          <w:rFonts w:cs="Times New Roman"/>
          <w:sz w:val="28"/>
          <w:szCs w:val="28"/>
        </w:rPr>
      </w:pPr>
    </w:p>
    <w:p w14:paraId="3D896378" w14:textId="31B47F80" w:rsidR="009865E2" w:rsidRDefault="007E3E3C" w:rsidP="009865E2">
      <w:pPr>
        <w:pStyle w:val="ListParagraph"/>
        <w:numPr>
          <w:ilvl w:val="0"/>
          <w:numId w:val="19"/>
        </w:numPr>
        <w:spacing w:after="0" w:line="360" w:lineRule="auto"/>
        <w:ind w:left="0" w:firstLine="0"/>
        <w:jc w:val="both"/>
        <w:rPr>
          <w:rFonts w:cs="Times New Roman"/>
          <w:sz w:val="28"/>
          <w:szCs w:val="28"/>
        </w:rPr>
      </w:pPr>
      <w:r w:rsidRPr="0080049C">
        <w:rPr>
          <w:rFonts w:cs="Times New Roman"/>
          <w:sz w:val="28"/>
          <w:szCs w:val="28"/>
        </w:rPr>
        <w:lastRenderedPageBreak/>
        <w:t>On 25 November 2010, whilst in arrears with his obligations under the initial agreement, the defendant purported to exercise the option to renew that agreement in writing. The plaintiff therefore contended that the purported renewal was of no force and effect, and that the initial agreement came to an end by the effluxion of time on 30 June 2011.</w:t>
      </w:r>
    </w:p>
    <w:p w14:paraId="5317ECF9" w14:textId="77777777" w:rsidR="009865E2" w:rsidRDefault="009865E2" w:rsidP="009865E2">
      <w:pPr>
        <w:pStyle w:val="ListParagraph"/>
        <w:spacing w:after="0" w:line="360" w:lineRule="auto"/>
        <w:ind w:left="0"/>
        <w:jc w:val="both"/>
        <w:rPr>
          <w:rFonts w:cs="Times New Roman"/>
          <w:sz w:val="28"/>
          <w:szCs w:val="28"/>
        </w:rPr>
      </w:pPr>
    </w:p>
    <w:p w14:paraId="21B0D025" w14:textId="7382CB5A" w:rsidR="009865E2" w:rsidRDefault="00432839" w:rsidP="009865E2">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After 30 June 2011, the defendant </w:t>
      </w:r>
      <w:r w:rsidR="007E3E3C" w:rsidRPr="009865E2">
        <w:rPr>
          <w:rFonts w:cs="Times New Roman"/>
          <w:sz w:val="28"/>
          <w:szCs w:val="28"/>
        </w:rPr>
        <w:t xml:space="preserve">continued to occupy the property. The plaintiff’s case was that this occupation was in terms of a month-to-month agreement. The defendant denied this. He claimed that the initial agreement had been renewed and that he was entitled to occupy the property until 31 May 2021. </w:t>
      </w:r>
    </w:p>
    <w:p w14:paraId="369DA52A" w14:textId="77777777" w:rsidR="009865E2" w:rsidRDefault="009865E2" w:rsidP="009865E2">
      <w:pPr>
        <w:pStyle w:val="ListParagraph"/>
        <w:spacing w:after="0" w:line="360" w:lineRule="auto"/>
        <w:ind w:left="0"/>
        <w:jc w:val="both"/>
        <w:rPr>
          <w:rFonts w:cs="Times New Roman"/>
          <w:sz w:val="28"/>
          <w:szCs w:val="28"/>
        </w:rPr>
      </w:pPr>
    </w:p>
    <w:p w14:paraId="15E9DF14" w14:textId="61540E2D" w:rsidR="00796E9B" w:rsidRDefault="007E3E3C" w:rsidP="00796E9B">
      <w:pPr>
        <w:pStyle w:val="ListParagraph"/>
        <w:numPr>
          <w:ilvl w:val="0"/>
          <w:numId w:val="19"/>
        </w:numPr>
        <w:spacing w:after="0" w:line="360" w:lineRule="auto"/>
        <w:ind w:left="0" w:firstLine="0"/>
        <w:jc w:val="both"/>
        <w:rPr>
          <w:rFonts w:cs="Times New Roman"/>
          <w:sz w:val="28"/>
          <w:szCs w:val="28"/>
        </w:rPr>
      </w:pPr>
      <w:r w:rsidRPr="009865E2">
        <w:rPr>
          <w:rFonts w:cs="Times New Roman"/>
          <w:sz w:val="28"/>
          <w:szCs w:val="28"/>
        </w:rPr>
        <w:t>On 28 March 2014 the plaintiff’s attorneys informed the defendant that the plaintiff had cancelled the lease agreement, gave him notice to vacate the property by 30 July 2014,</w:t>
      </w:r>
      <w:r w:rsidR="00432839">
        <w:rPr>
          <w:rFonts w:cs="Times New Roman"/>
          <w:sz w:val="28"/>
          <w:szCs w:val="28"/>
        </w:rPr>
        <w:t xml:space="preserve"> and demanded payment of arrear amounts arising from his lease of the property </w:t>
      </w:r>
      <w:r w:rsidRPr="009865E2">
        <w:rPr>
          <w:rFonts w:cs="Times New Roman"/>
          <w:sz w:val="28"/>
          <w:szCs w:val="28"/>
        </w:rPr>
        <w:t>in the sum of R439 300.92. The defendant’s response to the termination notice was that it was a repudiation of the agreement</w:t>
      </w:r>
      <w:r w:rsidR="0014242D">
        <w:rPr>
          <w:rFonts w:cs="Times New Roman"/>
          <w:sz w:val="28"/>
          <w:szCs w:val="28"/>
        </w:rPr>
        <w:t>,</w:t>
      </w:r>
      <w:r w:rsidRPr="009865E2">
        <w:rPr>
          <w:rFonts w:cs="Times New Roman"/>
          <w:sz w:val="28"/>
          <w:szCs w:val="28"/>
        </w:rPr>
        <w:t xml:space="preserve"> which was not accepted, and he tendered payment of the arrears. On </w:t>
      </w:r>
      <w:r w:rsidRPr="00BE6F30">
        <w:rPr>
          <w:rFonts w:cs="Times New Roman"/>
          <w:sz w:val="28"/>
          <w:szCs w:val="28"/>
        </w:rPr>
        <w:t>20 June 2014</w:t>
      </w:r>
      <w:r w:rsidRPr="009865E2">
        <w:rPr>
          <w:rFonts w:cs="Times New Roman"/>
          <w:sz w:val="28"/>
          <w:szCs w:val="28"/>
        </w:rPr>
        <w:t xml:space="preserve"> the defendant issued the plaintiff with a cheque for the arrears in the sum of </w:t>
      </w:r>
      <w:r w:rsidRPr="00BE6F30">
        <w:rPr>
          <w:rFonts w:cs="Times New Roman"/>
          <w:sz w:val="28"/>
          <w:szCs w:val="28"/>
        </w:rPr>
        <w:t>R439 300.92.</w:t>
      </w:r>
      <w:r w:rsidRPr="009865E2">
        <w:rPr>
          <w:rFonts w:cs="Times New Roman"/>
          <w:sz w:val="28"/>
          <w:szCs w:val="28"/>
        </w:rPr>
        <w:t xml:space="preserve"> When the plaintiff presented the cheque for payment, </w:t>
      </w:r>
      <w:r w:rsidR="009865E2">
        <w:rPr>
          <w:rFonts w:cs="Times New Roman"/>
          <w:sz w:val="28"/>
          <w:szCs w:val="28"/>
        </w:rPr>
        <w:t>it was dishonoured – the defendant had stopped payment.</w:t>
      </w:r>
      <w:r w:rsidRPr="009865E2">
        <w:rPr>
          <w:rFonts w:cs="Times New Roman"/>
          <w:sz w:val="28"/>
          <w:szCs w:val="28"/>
        </w:rPr>
        <w:t xml:space="preserve"> </w:t>
      </w:r>
    </w:p>
    <w:p w14:paraId="6FFA2534" w14:textId="77777777" w:rsidR="00796E9B" w:rsidRDefault="00796E9B" w:rsidP="00796E9B">
      <w:pPr>
        <w:pStyle w:val="ListParagraph"/>
        <w:spacing w:after="0" w:line="360" w:lineRule="auto"/>
        <w:ind w:left="0"/>
        <w:jc w:val="both"/>
        <w:rPr>
          <w:rFonts w:cs="Times New Roman"/>
          <w:sz w:val="28"/>
          <w:szCs w:val="28"/>
        </w:rPr>
      </w:pPr>
    </w:p>
    <w:p w14:paraId="0C2B89C4" w14:textId="59FAFBDF" w:rsidR="00796E9B" w:rsidRDefault="007E3E3C" w:rsidP="00796E9B">
      <w:pPr>
        <w:pStyle w:val="ListParagraph"/>
        <w:numPr>
          <w:ilvl w:val="0"/>
          <w:numId w:val="19"/>
        </w:numPr>
        <w:spacing w:after="0" w:line="360" w:lineRule="auto"/>
        <w:ind w:left="0" w:firstLine="0"/>
        <w:jc w:val="both"/>
        <w:rPr>
          <w:rFonts w:cs="Times New Roman"/>
          <w:sz w:val="28"/>
          <w:szCs w:val="28"/>
        </w:rPr>
      </w:pPr>
      <w:r w:rsidRPr="00796E9B">
        <w:rPr>
          <w:rFonts w:cs="Times New Roman"/>
          <w:sz w:val="28"/>
          <w:szCs w:val="28"/>
        </w:rPr>
        <w:t xml:space="preserve">The plaintiff </w:t>
      </w:r>
      <w:r w:rsidR="00796E9B">
        <w:rPr>
          <w:rFonts w:cs="Times New Roman"/>
          <w:sz w:val="28"/>
          <w:szCs w:val="28"/>
        </w:rPr>
        <w:t xml:space="preserve">then </w:t>
      </w:r>
      <w:r w:rsidRPr="00796E9B">
        <w:rPr>
          <w:rFonts w:cs="Times New Roman"/>
          <w:sz w:val="28"/>
          <w:szCs w:val="28"/>
        </w:rPr>
        <w:t>sued the defendant in the high court for payment of arrear rental in the amo</w:t>
      </w:r>
      <w:r w:rsidR="00073DD0">
        <w:rPr>
          <w:rFonts w:cs="Times New Roman"/>
          <w:sz w:val="28"/>
          <w:szCs w:val="28"/>
        </w:rPr>
        <w:t xml:space="preserve">unt of R502 707.84, founded </w:t>
      </w:r>
      <w:r w:rsidR="0015616A">
        <w:rPr>
          <w:rFonts w:cs="Times New Roman"/>
          <w:sz w:val="28"/>
          <w:szCs w:val="28"/>
        </w:rPr>
        <w:t>on an</w:t>
      </w:r>
      <w:r w:rsidRPr="00796E9B">
        <w:rPr>
          <w:rFonts w:cs="Times New Roman"/>
          <w:sz w:val="28"/>
          <w:szCs w:val="28"/>
        </w:rPr>
        <w:t xml:space="preserve"> alleged month-to-month lease agreement; alternatively, for payment of R439 300.92 based on the dishonoured cheque. The defendant brought a counterclaim for payment of </w:t>
      </w:r>
      <w:r w:rsidR="007D690E">
        <w:rPr>
          <w:rFonts w:cs="Times New Roman"/>
          <w:sz w:val="28"/>
          <w:szCs w:val="28"/>
        </w:rPr>
        <w:t>R</w:t>
      </w:r>
      <w:r w:rsidRPr="00796E9B">
        <w:rPr>
          <w:rFonts w:cs="Times New Roman"/>
          <w:sz w:val="28"/>
          <w:szCs w:val="28"/>
        </w:rPr>
        <w:t xml:space="preserve">4 860 000 for lost profits, allegedly arising from an oral agreement </w:t>
      </w:r>
      <w:r w:rsidR="007D690E">
        <w:rPr>
          <w:rFonts w:cs="Times New Roman"/>
          <w:sz w:val="28"/>
          <w:szCs w:val="28"/>
        </w:rPr>
        <w:t xml:space="preserve">which he had </w:t>
      </w:r>
      <w:r w:rsidRPr="00796E9B">
        <w:rPr>
          <w:rFonts w:cs="Times New Roman"/>
          <w:sz w:val="28"/>
          <w:szCs w:val="28"/>
        </w:rPr>
        <w:t>entered into on 2</w:t>
      </w:r>
      <w:r w:rsidR="008C1CFB">
        <w:rPr>
          <w:rFonts w:cs="Times New Roman"/>
          <w:sz w:val="28"/>
          <w:szCs w:val="28"/>
        </w:rPr>
        <w:t> </w:t>
      </w:r>
      <w:r w:rsidRPr="00796E9B">
        <w:rPr>
          <w:rFonts w:cs="Times New Roman"/>
          <w:sz w:val="28"/>
          <w:szCs w:val="28"/>
        </w:rPr>
        <w:t>July 2012, to sublease the property to a third party</w:t>
      </w:r>
      <w:r w:rsidR="00434784">
        <w:rPr>
          <w:rFonts w:cs="Times New Roman"/>
          <w:sz w:val="28"/>
          <w:szCs w:val="28"/>
        </w:rPr>
        <w:t xml:space="preserve"> until 31 May 2021</w:t>
      </w:r>
      <w:r w:rsidRPr="00796E9B">
        <w:rPr>
          <w:rFonts w:cs="Times New Roman"/>
          <w:sz w:val="28"/>
          <w:szCs w:val="28"/>
        </w:rPr>
        <w:t xml:space="preserve">. The plaintiff raised a special plea of prescription </w:t>
      </w:r>
      <w:r w:rsidR="00CC48C6">
        <w:rPr>
          <w:rFonts w:cs="Times New Roman"/>
          <w:sz w:val="28"/>
          <w:szCs w:val="28"/>
        </w:rPr>
        <w:t xml:space="preserve">to the defendant’s counterclaim, </w:t>
      </w:r>
      <w:r w:rsidR="00CC48C6">
        <w:rPr>
          <w:rFonts w:cs="Times New Roman"/>
          <w:sz w:val="28"/>
          <w:szCs w:val="28"/>
        </w:rPr>
        <w:lastRenderedPageBreak/>
        <w:t>namely that</w:t>
      </w:r>
      <w:r w:rsidR="00073DD0">
        <w:rPr>
          <w:rFonts w:cs="Times New Roman"/>
          <w:sz w:val="28"/>
          <w:szCs w:val="28"/>
        </w:rPr>
        <w:t xml:space="preserve"> it was served more than three years after the date on which the claim arose.</w:t>
      </w:r>
      <w:r w:rsidRPr="00796E9B">
        <w:rPr>
          <w:rFonts w:cs="Times New Roman"/>
          <w:sz w:val="28"/>
          <w:szCs w:val="28"/>
        </w:rPr>
        <w:t xml:space="preserve"> </w:t>
      </w:r>
    </w:p>
    <w:p w14:paraId="2BE5CD14" w14:textId="77777777" w:rsidR="00073DD0" w:rsidRDefault="00073DD0" w:rsidP="00073DD0">
      <w:pPr>
        <w:pStyle w:val="ListParagraph"/>
        <w:spacing w:after="0" w:line="360" w:lineRule="auto"/>
        <w:ind w:left="0"/>
        <w:jc w:val="both"/>
        <w:rPr>
          <w:rFonts w:cs="Times New Roman"/>
          <w:sz w:val="28"/>
          <w:szCs w:val="28"/>
        </w:rPr>
      </w:pPr>
    </w:p>
    <w:p w14:paraId="052FBD9C" w14:textId="2A4FD934" w:rsidR="00E37064" w:rsidRDefault="007E3E3C" w:rsidP="0040669A">
      <w:pPr>
        <w:pStyle w:val="ListParagraph"/>
        <w:numPr>
          <w:ilvl w:val="0"/>
          <w:numId w:val="19"/>
        </w:numPr>
        <w:spacing w:after="0" w:line="360" w:lineRule="auto"/>
        <w:ind w:left="0" w:firstLine="0"/>
        <w:jc w:val="both"/>
        <w:rPr>
          <w:rFonts w:cs="Times New Roman"/>
          <w:sz w:val="28"/>
          <w:szCs w:val="28"/>
        </w:rPr>
      </w:pPr>
      <w:r w:rsidRPr="00796E9B">
        <w:rPr>
          <w:rFonts w:cs="Times New Roman"/>
          <w:sz w:val="28"/>
          <w:szCs w:val="28"/>
        </w:rPr>
        <w:t xml:space="preserve">The </w:t>
      </w:r>
      <w:r w:rsidR="006378BE">
        <w:rPr>
          <w:rFonts w:cs="Times New Roman"/>
          <w:sz w:val="28"/>
          <w:szCs w:val="28"/>
        </w:rPr>
        <w:t xml:space="preserve">high court decided the </w:t>
      </w:r>
      <w:r w:rsidR="002F0E32">
        <w:rPr>
          <w:rFonts w:cs="Times New Roman"/>
          <w:sz w:val="28"/>
          <w:szCs w:val="28"/>
        </w:rPr>
        <w:t>is</w:t>
      </w:r>
      <w:r w:rsidR="006378BE">
        <w:rPr>
          <w:rFonts w:cs="Times New Roman"/>
          <w:sz w:val="28"/>
          <w:szCs w:val="28"/>
        </w:rPr>
        <w:t xml:space="preserve">sue of prescription </w:t>
      </w:r>
      <w:r w:rsidR="002F0E32" w:rsidRPr="002F0E32">
        <w:rPr>
          <w:rFonts w:cs="Times New Roman"/>
          <w:i/>
          <w:sz w:val="28"/>
          <w:szCs w:val="28"/>
        </w:rPr>
        <w:t>in limine</w:t>
      </w:r>
      <w:r w:rsidR="00916CDF">
        <w:rPr>
          <w:rFonts w:cs="Times New Roman"/>
          <w:sz w:val="28"/>
          <w:szCs w:val="28"/>
        </w:rPr>
        <w:t xml:space="preserve">, </w:t>
      </w:r>
      <w:r w:rsidR="00916CDF" w:rsidRPr="0040669A">
        <w:rPr>
          <w:rFonts w:cs="Times New Roman"/>
          <w:sz w:val="28"/>
          <w:szCs w:val="28"/>
        </w:rPr>
        <w:t>on the assumption that the defendant had exercised his right to renew the lease in accordance with the terms of the initial agreement.</w:t>
      </w:r>
      <w:r w:rsidR="00916CDF">
        <w:rPr>
          <w:rFonts w:cs="Times New Roman"/>
          <w:sz w:val="28"/>
          <w:szCs w:val="28"/>
        </w:rPr>
        <w:t xml:space="preserve"> </w:t>
      </w:r>
      <w:r w:rsidR="006378BE">
        <w:rPr>
          <w:rFonts w:cs="Times New Roman"/>
          <w:sz w:val="28"/>
          <w:szCs w:val="28"/>
        </w:rPr>
        <w:t>Th</w:t>
      </w:r>
      <w:r w:rsidR="00916CDF" w:rsidRPr="00796E9B">
        <w:rPr>
          <w:rFonts w:cs="Times New Roman"/>
          <w:sz w:val="28"/>
          <w:szCs w:val="28"/>
        </w:rPr>
        <w:t>e plea of prescription</w:t>
      </w:r>
      <w:r w:rsidR="006378BE">
        <w:rPr>
          <w:rFonts w:cs="Times New Roman"/>
          <w:sz w:val="28"/>
          <w:szCs w:val="28"/>
        </w:rPr>
        <w:t xml:space="preserve"> was upheld</w:t>
      </w:r>
      <w:r w:rsidR="00916CDF">
        <w:rPr>
          <w:rFonts w:cs="Times New Roman"/>
          <w:sz w:val="28"/>
          <w:szCs w:val="28"/>
        </w:rPr>
        <w:t>.</w:t>
      </w:r>
      <w:r w:rsidR="00916CDF" w:rsidRPr="00796E9B">
        <w:rPr>
          <w:rFonts w:cs="Times New Roman"/>
          <w:sz w:val="28"/>
          <w:szCs w:val="28"/>
        </w:rPr>
        <w:t xml:space="preserve"> </w:t>
      </w:r>
      <w:r w:rsidR="006378BE">
        <w:rPr>
          <w:rFonts w:cs="Times New Roman"/>
          <w:sz w:val="28"/>
          <w:szCs w:val="28"/>
        </w:rPr>
        <w:t xml:space="preserve">The court </w:t>
      </w:r>
      <w:r w:rsidR="00916CDF" w:rsidRPr="0040669A">
        <w:rPr>
          <w:rFonts w:cs="Times New Roman"/>
          <w:sz w:val="28"/>
          <w:szCs w:val="28"/>
        </w:rPr>
        <w:t xml:space="preserve">found that prescription began to run </w:t>
      </w:r>
      <w:r w:rsidR="00916CDF" w:rsidRPr="00F82402">
        <w:rPr>
          <w:rFonts w:cs="Times New Roman"/>
          <w:sz w:val="28"/>
          <w:szCs w:val="28"/>
        </w:rPr>
        <w:t>on 28 March 2014</w:t>
      </w:r>
      <w:r w:rsidR="00916CDF">
        <w:rPr>
          <w:rFonts w:cs="Times New Roman"/>
          <w:sz w:val="28"/>
          <w:szCs w:val="28"/>
        </w:rPr>
        <w:t xml:space="preserve">, ie the date on which the plaintiff allegedly repudiated the </w:t>
      </w:r>
      <w:r w:rsidR="00916CDF" w:rsidRPr="0040669A">
        <w:rPr>
          <w:rFonts w:cs="Times New Roman"/>
          <w:sz w:val="28"/>
          <w:szCs w:val="28"/>
        </w:rPr>
        <w:t xml:space="preserve">agreement, and that </w:t>
      </w:r>
      <w:r w:rsidR="00916CDF">
        <w:rPr>
          <w:rFonts w:cs="Times New Roman"/>
          <w:sz w:val="28"/>
          <w:szCs w:val="28"/>
        </w:rPr>
        <w:t xml:space="preserve">a </w:t>
      </w:r>
      <w:r w:rsidR="00916CDF" w:rsidRPr="0040669A">
        <w:rPr>
          <w:rFonts w:cs="Times New Roman"/>
          <w:sz w:val="28"/>
          <w:szCs w:val="28"/>
        </w:rPr>
        <w:t xml:space="preserve">period of </w:t>
      </w:r>
      <w:r w:rsidR="00916CDF">
        <w:rPr>
          <w:rFonts w:cs="Times New Roman"/>
          <w:sz w:val="28"/>
          <w:szCs w:val="28"/>
        </w:rPr>
        <w:t>more than three years had elapse</w:t>
      </w:r>
      <w:r w:rsidR="00916CDF" w:rsidRPr="0040669A">
        <w:rPr>
          <w:rFonts w:cs="Times New Roman"/>
          <w:sz w:val="28"/>
          <w:szCs w:val="28"/>
        </w:rPr>
        <w:t xml:space="preserve">d before the defendant’s counterclaim was served on the plaintiff </w:t>
      </w:r>
      <w:r w:rsidR="00916CDF" w:rsidRPr="00F82402">
        <w:rPr>
          <w:rFonts w:cs="Times New Roman"/>
          <w:sz w:val="28"/>
          <w:szCs w:val="28"/>
        </w:rPr>
        <w:t>on 6 July 2017.</w:t>
      </w:r>
      <w:r w:rsidR="00916CDF">
        <w:rPr>
          <w:rFonts w:cs="Times New Roman"/>
          <w:sz w:val="28"/>
          <w:szCs w:val="28"/>
        </w:rPr>
        <w:t xml:space="preserve"> Consequently, the counterclaim was dismissed with costs.</w:t>
      </w:r>
      <w:r w:rsidR="002F0E32">
        <w:rPr>
          <w:rFonts w:cs="Times New Roman"/>
          <w:sz w:val="28"/>
          <w:szCs w:val="28"/>
        </w:rPr>
        <w:t xml:space="preserve"> </w:t>
      </w:r>
      <w:r w:rsidR="00916CDF">
        <w:rPr>
          <w:rFonts w:cs="Times New Roman"/>
          <w:sz w:val="28"/>
          <w:szCs w:val="28"/>
        </w:rPr>
        <w:t xml:space="preserve">The </w:t>
      </w:r>
      <w:r w:rsidRPr="00796E9B">
        <w:rPr>
          <w:rFonts w:cs="Times New Roman"/>
          <w:sz w:val="28"/>
          <w:szCs w:val="28"/>
        </w:rPr>
        <w:t>high court dismissed the plaintiff’s claim for arrear rental based on a month-</w:t>
      </w:r>
      <w:r w:rsidR="0015616A">
        <w:rPr>
          <w:rFonts w:cs="Times New Roman"/>
          <w:sz w:val="28"/>
          <w:szCs w:val="28"/>
        </w:rPr>
        <w:t>to-month agreement. T</w:t>
      </w:r>
      <w:r w:rsidRPr="00796E9B">
        <w:rPr>
          <w:rFonts w:cs="Times New Roman"/>
          <w:sz w:val="28"/>
          <w:szCs w:val="28"/>
        </w:rPr>
        <w:t>he alternative claim f</w:t>
      </w:r>
      <w:r w:rsidR="00073DD0">
        <w:rPr>
          <w:rFonts w:cs="Times New Roman"/>
          <w:sz w:val="28"/>
          <w:szCs w:val="28"/>
        </w:rPr>
        <w:t>or payment of R439 300.92</w:t>
      </w:r>
      <w:r w:rsidR="00CA15AE">
        <w:rPr>
          <w:rFonts w:cs="Times New Roman"/>
          <w:sz w:val="28"/>
          <w:szCs w:val="28"/>
        </w:rPr>
        <w:t>,</w:t>
      </w:r>
      <w:r w:rsidR="00073DD0">
        <w:rPr>
          <w:rFonts w:cs="Times New Roman"/>
          <w:sz w:val="28"/>
          <w:szCs w:val="28"/>
        </w:rPr>
        <w:t xml:space="preserve"> founded </w:t>
      </w:r>
      <w:r w:rsidRPr="00796E9B">
        <w:rPr>
          <w:rFonts w:cs="Times New Roman"/>
          <w:sz w:val="28"/>
          <w:szCs w:val="28"/>
        </w:rPr>
        <w:t>on th</w:t>
      </w:r>
      <w:r w:rsidR="0015616A">
        <w:rPr>
          <w:rFonts w:cs="Times New Roman"/>
          <w:sz w:val="28"/>
          <w:szCs w:val="28"/>
        </w:rPr>
        <w:t>e dishonoured cheque, succeeded</w:t>
      </w:r>
      <w:r w:rsidRPr="00796E9B">
        <w:rPr>
          <w:rFonts w:cs="Times New Roman"/>
          <w:sz w:val="28"/>
          <w:szCs w:val="28"/>
        </w:rPr>
        <w:t xml:space="preserve">. </w:t>
      </w:r>
    </w:p>
    <w:p w14:paraId="74F5985B" w14:textId="77777777" w:rsidR="00E37064" w:rsidRDefault="00E37064" w:rsidP="00E37064">
      <w:pPr>
        <w:pStyle w:val="ListParagraph"/>
        <w:spacing w:after="0" w:line="360" w:lineRule="auto"/>
        <w:ind w:left="0"/>
        <w:jc w:val="both"/>
        <w:rPr>
          <w:rFonts w:cs="Times New Roman"/>
          <w:sz w:val="28"/>
          <w:szCs w:val="28"/>
        </w:rPr>
      </w:pPr>
    </w:p>
    <w:p w14:paraId="6E0CF26C" w14:textId="0F531E9C" w:rsidR="003A1A9C" w:rsidRDefault="00E37064" w:rsidP="001153B0">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The main issue on </w:t>
      </w:r>
      <w:r w:rsidR="007E3E3C" w:rsidRPr="00796E9B">
        <w:rPr>
          <w:rFonts w:cs="Times New Roman"/>
          <w:sz w:val="28"/>
          <w:szCs w:val="28"/>
        </w:rPr>
        <w:t xml:space="preserve">appeal </w:t>
      </w:r>
      <w:r w:rsidR="00916CDF">
        <w:rPr>
          <w:rFonts w:cs="Times New Roman"/>
          <w:sz w:val="28"/>
          <w:szCs w:val="28"/>
        </w:rPr>
        <w:t>is the validity of the defendant’s purported renewal of the initial agreement on 25 November 2010.</w:t>
      </w:r>
      <w:r w:rsidR="006378BE">
        <w:rPr>
          <w:rFonts w:cs="Times New Roman"/>
          <w:sz w:val="28"/>
          <w:szCs w:val="28"/>
        </w:rPr>
        <w:t xml:space="preserve"> As already stated, </w:t>
      </w:r>
      <w:r w:rsidR="00D10BA2">
        <w:rPr>
          <w:rFonts w:cs="Times New Roman"/>
          <w:sz w:val="28"/>
          <w:szCs w:val="28"/>
        </w:rPr>
        <w:t>he</w:t>
      </w:r>
      <w:r w:rsidR="00073DD0">
        <w:rPr>
          <w:rFonts w:cs="Times New Roman"/>
          <w:sz w:val="28"/>
          <w:szCs w:val="28"/>
        </w:rPr>
        <w:t xml:space="preserve"> </w:t>
      </w:r>
      <w:r w:rsidR="006378BE">
        <w:rPr>
          <w:rFonts w:cs="Times New Roman"/>
          <w:sz w:val="28"/>
          <w:szCs w:val="28"/>
        </w:rPr>
        <w:t xml:space="preserve">was precluded </w:t>
      </w:r>
      <w:r w:rsidR="00073DD0">
        <w:rPr>
          <w:rFonts w:cs="Times New Roman"/>
          <w:sz w:val="28"/>
          <w:szCs w:val="28"/>
        </w:rPr>
        <w:t xml:space="preserve">from </w:t>
      </w:r>
      <w:r w:rsidR="001153B0">
        <w:rPr>
          <w:rFonts w:cs="Times New Roman"/>
          <w:sz w:val="28"/>
          <w:szCs w:val="28"/>
        </w:rPr>
        <w:t xml:space="preserve">exercising the option to renew the lease </w:t>
      </w:r>
      <w:r w:rsidR="00B32ECA">
        <w:rPr>
          <w:rFonts w:cs="Times New Roman"/>
          <w:sz w:val="28"/>
          <w:szCs w:val="28"/>
        </w:rPr>
        <w:t xml:space="preserve">if he was in breach or default of any of its terms. </w:t>
      </w:r>
      <w:r w:rsidR="003A1A9C">
        <w:rPr>
          <w:rFonts w:cs="Times New Roman"/>
          <w:sz w:val="28"/>
          <w:szCs w:val="28"/>
        </w:rPr>
        <w:t xml:space="preserve">When the defendant ostensibly exercised that right, he was in arrears with his payment obligations under the initial agreement. He signed the second AOD in </w:t>
      </w:r>
      <w:r w:rsidR="003A1A9C" w:rsidRPr="0080049C">
        <w:rPr>
          <w:rFonts w:cs="Times New Roman"/>
          <w:sz w:val="28"/>
          <w:szCs w:val="28"/>
        </w:rPr>
        <w:t xml:space="preserve">which he </w:t>
      </w:r>
      <w:r w:rsidR="003A1A9C">
        <w:rPr>
          <w:rFonts w:cs="Times New Roman"/>
          <w:sz w:val="28"/>
          <w:szCs w:val="28"/>
        </w:rPr>
        <w:t xml:space="preserve">accepted that he owed the plaintiff </w:t>
      </w:r>
      <w:r w:rsidR="003A1A9C" w:rsidRPr="0080049C">
        <w:rPr>
          <w:rFonts w:cs="Times New Roman"/>
          <w:sz w:val="28"/>
          <w:szCs w:val="28"/>
        </w:rPr>
        <w:t>R203</w:t>
      </w:r>
      <w:r w:rsidR="003A1A9C">
        <w:rPr>
          <w:rFonts w:cs="Times New Roman"/>
          <w:sz w:val="28"/>
          <w:szCs w:val="28"/>
        </w:rPr>
        <w:t> </w:t>
      </w:r>
      <w:r w:rsidR="003A1A9C" w:rsidRPr="0080049C">
        <w:rPr>
          <w:rFonts w:cs="Times New Roman"/>
          <w:sz w:val="28"/>
          <w:szCs w:val="28"/>
        </w:rPr>
        <w:t xml:space="preserve">043.95, </w:t>
      </w:r>
      <w:r w:rsidR="003A1A9C">
        <w:rPr>
          <w:rFonts w:cs="Times New Roman"/>
          <w:sz w:val="28"/>
          <w:szCs w:val="28"/>
        </w:rPr>
        <w:t xml:space="preserve">being arrears </w:t>
      </w:r>
      <w:r w:rsidR="003A1A9C" w:rsidRPr="0080049C">
        <w:rPr>
          <w:rFonts w:cs="Times New Roman"/>
          <w:sz w:val="28"/>
          <w:szCs w:val="28"/>
        </w:rPr>
        <w:t xml:space="preserve">in </w:t>
      </w:r>
      <w:r w:rsidR="003A1A9C">
        <w:rPr>
          <w:rFonts w:cs="Times New Roman"/>
          <w:sz w:val="28"/>
          <w:szCs w:val="28"/>
        </w:rPr>
        <w:t xml:space="preserve">respect of municipal charges. </w:t>
      </w:r>
    </w:p>
    <w:p w14:paraId="21E8F16F" w14:textId="77777777" w:rsidR="003A1A9C" w:rsidRDefault="003A1A9C" w:rsidP="003A1A9C">
      <w:pPr>
        <w:pStyle w:val="ListParagraph"/>
        <w:spacing w:after="0" w:line="360" w:lineRule="auto"/>
        <w:ind w:left="0"/>
        <w:jc w:val="both"/>
        <w:rPr>
          <w:rFonts w:cs="Times New Roman"/>
          <w:sz w:val="28"/>
          <w:szCs w:val="28"/>
        </w:rPr>
      </w:pPr>
    </w:p>
    <w:p w14:paraId="55FADB98" w14:textId="04B2F0E0" w:rsidR="001153B0" w:rsidRDefault="00EF53BC" w:rsidP="006E3FFC">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C</w:t>
      </w:r>
      <w:r w:rsidR="00D10BA2">
        <w:rPr>
          <w:rFonts w:cs="Times New Roman"/>
          <w:sz w:val="28"/>
          <w:szCs w:val="28"/>
        </w:rPr>
        <w:t xml:space="preserve">ounsel for the defendant </w:t>
      </w:r>
      <w:r w:rsidR="00CA15AE">
        <w:rPr>
          <w:rFonts w:cs="Times New Roman"/>
          <w:sz w:val="28"/>
          <w:szCs w:val="28"/>
        </w:rPr>
        <w:t xml:space="preserve">however </w:t>
      </w:r>
      <w:r w:rsidR="001153B0">
        <w:rPr>
          <w:rFonts w:cs="Times New Roman"/>
          <w:sz w:val="28"/>
          <w:szCs w:val="28"/>
        </w:rPr>
        <w:t xml:space="preserve">argued that </w:t>
      </w:r>
      <w:r w:rsidR="00431A81">
        <w:rPr>
          <w:rFonts w:cs="Times New Roman"/>
          <w:sz w:val="28"/>
          <w:szCs w:val="28"/>
        </w:rPr>
        <w:t xml:space="preserve">the option was validly exercised, </w:t>
      </w:r>
      <w:r w:rsidR="00D10BA2">
        <w:rPr>
          <w:rFonts w:cs="Times New Roman"/>
          <w:sz w:val="28"/>
          <w:szCs w:val="28"/>
        </w:rPr>
        <w:t>because he</w:t>
      </w:r>
      <w:r w:rsidR="001153B0">
        <w:rPr>
          <w:rFonts w:cs="Times New Roman"/>
          <w:sz w:val="28"/>
          <w:szCs w:val="28"/>
        </w:rPr>
        <w:t xml:space="preserve"> ‘was not in breach of the second AOD</w:t>
      </w:r>
      <w:r w:rsidR="00431A81">
        <w:rPr>
          <w:rFonts w:cs="Times New Roman"/>
          <w:sz w:val="28"/>
          <w:szCs w:val="28"/>
        </w:rPr>
        <w:t xml:space="preserve">’. </w:t>
      </w:r>
      <w:r w:rsidR="001153B0">
        <w:rPr>
          <w:rFonts w:cs="Times New Roman"/>
          <w:sz w:val="28"/>
          <w:szCs w:val="28"/>
        </w:rPr>
        <w:t xml:space="preserve">That AOD, so it was argued, ‘was a </w:t>
      </w:r>
      <w:r w:rsidR="001153B0" w:rsidRPr="00E50D50">
        <w:rPr>
          <w:rFonts w:cs="Times New Roman"/>
          <w:i/>
          <w:sz w:val="28"/>
          <w:szCs w:val="28"/>
        </w:rPr>
        <w:t>pactum non petendo</w:t>
      </w:r>
      <w:r w:rsidR="001153B0">
        <w:rPr>
          <w:rFonts w:cs="Times New Roman"/>
          <w:sz w:val="28"/>
          <w:szCs w:val="28"/>
        </w:rPr>
        <w:t xml:space="preserve"> in the form of a waiver of the plaintiff’s right to cancel the agreement’, and ‘an alteration of the defendant’s payment obligations’, which ‘constituted an amendment of the initial agreement’. </w:t>
      </w:r>
      <w:r w:rsidR="006E3FFC">
        <w:rPr>
          <w:rFonts w:cs="Times New Roman"/>
          <w:sz w:val="28"/>
          <w:szCs w:val="28"/>
        </w:rPr>
        <w:t xml:space="preserve">Then it was submitted that </w:t>
      </w:r>
      <w:r w:rsidR="006E3FFC" w:rsidRPr="00F752DF">
        <w:rPr>
          <w:rFonts w:cs="Times New Roman"/>
          <w:sz w:val="28"/>
          <w:szCs w:val="28"/>
        </w:rPr>
        <w:t>the AOD was ‘not merely a concession by the plaintiff to the defendant, but a waive</w:t>
      </w:r>
      <w:r w:rsidR="006E3FFC">
        <w:rPr>
          <w:rFonts w:cs="Times New Roman"/>
          <w:sz w:val="28"/>
          <w:szCs w:val="28"/>
        </w:rPr>
        <w:t xml:space="preserve">r that was contractual in form’. </w:t>
      </w:r>
    </w:p>
    <w:p w14:paraId="5E51A93F" w14:textId="63027AB0" w:rsidR="00564FD0" w:rsidRDefault="001153B0" w:rsidP="001153B0">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lastRenderedPageBreak/>
        <w:t xml:space="preserve">The argument is misconceived. First, </w:t>
      </w:r>
      <w:r w:rsidR="00EF53BC">
        <w:rPr>
          <w:rFonts w:cs="Times New Roman"/>
          <w:sz w:val="28"/>
          <w:szCs w:val="28"/>
        </w:rPr>
        <w:t>a</w:t>
      </w:r>
      <w:r>
        <w:rPr>
          <w:rFonts w:cs="Times New Roman"/>
          <w:sz w:val="28"/>
          <w:szCs w:val="28"/>
        </w:rPr>
        <w:t xml:space="preserve"> defence of waiver must be pleaded, which the defendant failed to do.</w:t>
      </w:r>
      <w:r>
        <w:rPr>
          <w:rStyle w:val="FootnoteReference"/>
          <w:rFonts w:cs="Times New Roman"/>
          <w:sz w:val="28"/>
          <w:szCs w:val="28"/>
        </w:rPr>
        <w:footnoteReference w:id="1"/>
      </w:r>
      <w:r>
        <w:rPr>
          <w:rFonts w:cs="Times New Roman"/>
          <w:sz w:val="28"/>
          <w:szCs w:val="28"/>
        </w:rPr>
        <w:t xml:space="preserve"> What is more, </w:t>
      </w:r>
      <w:r w:rsidR="00996AAC">
        <w:rPr>
          <w:rFonts w:cs="Times New Roman"/>
          <w:sz w:val="28"/>
          <w:szCs w:val="28"/>
        </w:rPr>
        <w:t xml:space="preserve">the party relying on the waiver of a contractual right </w:t>
      </w:r>
      <w:r w:rsidR="00000747">
        <w:rPr>
          <w:rFonts w:cs="Times New Roman"/>
          <w:sz w:val="28"/>
          <w:szCs w:val="28"/>
        </w:rPr>
        <w:t xml:space="preserve">bears </w:t>
      </w:r>
      <w:r>
        <w:rPr>
          <w:rFonts w:cs="Times New Roman"/>
          <w:sz w:val="28"/>
          <w:szCs w:val="28"/>
        </w:rPr>
        <w:t xml:space="preserve">the onus to allege and prove </w:t>
      </w:r>
      <w:r w:rsidR="00000747">
        <w:rPr>
          <w:rFonts w:cs="Times New Roman"/>
          <w:sz w:val="28"/>
          <w:szCs w:val="28"/>
        </w:rPr>
        <w:t xml:space="preserve">that the other party had full knowledge </w:t>
      </w:r>
      <w:r w:rsidR="007E7D96">
        <w:rPr>
          <w:rFonts w:cs="Times New Roman"/>
          <w:sz w:val="28"/>
          <w:szCs w:val="28"/>
        </w:rPr>
        <w:t xml:space="preserve">of that </w:t>
      </w:r>
      <w:r w:rsidR="00000747">
        <w:rPr>
          <w:rFonts w:cs="Times New Roman"/>
          <w:sz w:val="28"/>
          <w:szCs w:val="28"/>
        </w:rPr>
        <w:t xml:space="preserve">right when it allegedly abandoned </w:t>
      </w:r>
      <w:r w:rsidR="00996AAC">
        <w:rPr>
          <w:rFonts w:cs="Times New Roman"/>
          <w:sz w:val="28"/>
          <w:szCs w:val="28"/>
        </w:rPr>
        <w:t>it</w:t>
      </w:r>
      <w:r w:rsidR="00000747">
        <w:rPr>
          <w:rFonts w:cs="Times New Roman"/>
          <w:sz w:val="28"/>
          <w:szCs w:val="28"/>
        </w:rPr>
        <w:t>.</w:t>
      </w:r>
      <w:r>
        <w:rPr>
          <w:rStyle w:val="FootnoteReference"/>
          <w:rFonts w:cs="Times New Roman"/>
          <w:sz w:val="28"/>
          <w:szCs w:val="28"/>
        </w:rPr>
        <w:footnoteReference w:id="2"/>
      </w:r>
      <w:r>
        <w:rPr>
          <w:rFonts w:cs="Times New Roman"/>
          <w:sz w:val="28"/>
          <w:szCs w:val="28"/>
        </w:rPr>
        <w:t xml:space="preserve"> Clear </w:t>
      </w:r>
      <w:r w:rsidR="00564FD0">
        <w:rPr>
          <w:rFonts w:cs="Times New Roman"/>
          <w:sz w:val="28"/>
          <w:szCs w:val="28"/>
        </w:rPr>
        <w:t xml:space="preserve">proof </w:t>
      </w:r>
      <w:r>
        <w:rPr>
          <w:rFonts w:cs="Times New Roman"/>
          <w:sz w:val="28"/>
          <w:szCs w:val="28"/>
        </w:rPr>
        <w:t>of a waiver is required</w:t>
      </w:r>
      <w:r w:rsidR="00996AAC">
        <w:rPr>
          <w:rFonts w:cs="Times New Roman"/>
          <w:sz w:val="28"/>
          <w:szCs w:val="28"/>
        </w:rPr>
        <w:t xml:space="preserve">: </w:t>
      </w:r>
      <w:r w:rsidR="00564FD0">
        <w:rPr>
          <w:rFonts w:cs="Times New Roman"/>
          <w:sz w:val="28"/>
          <w:szCs w:val="28"/>
        </w:rPr>
        <w:t>it must be shown that the party alleged to have waived not only acted with full knowledge of its rights, but that its conduct is irreconcilable with the continued existence of such rights, or with the intention of enforcing them.</w:t>
      </w:r>
      <w:r>
        <w:rPr>
          <w:rStyle w:val="FootnoteReference"/>
          <w:rFonts w:cs="Times New Roman"/>
          <w:sz w:val="28"/>
          <w:szCs w:val="28"/>
        </w:rPr>
        <w:footnoteReference w:id="3"/>
      </w:r>
      <w:r>
        <w:rPr>
          <w:rFonts w:cs="Times New Roman"/>
          <w:sz w:val="28"/>
          <w:szCs w:val="28"/>
        </w:rPr>
        <w:t xml:space="preserve"> </w:t>
      </w:r>
      <w:r w:rsidR="00EF53BC">
        <w:rPr>
          <w:rFonts w:cs="Times New Roman"/>
          <w:sz w:val="28"/>
          <w:szCs w:val="28"/>
        </w:rPr>
        <w:t>The defendant neither alleged nor proved that the plaintiff had waived any right under the initial agreement.</w:t>
      </w:r>
    </w:p>
    <w:p w14:paraId="2BB70902" w14:textId="77777777" w:rsidR="00564FD0" w:rsidRDefault="00564FD0" w:rsidP="00564FD0">
      <w:pPr>
        <w:pStyle w:val="ListParagraph"/>
        <w:spacing w:after="0" w:line="360" w:lineRule="auto"/>
        <w:ind w:left="0"/>
        <w:jc w:val="both"/>
        <w:rPr>
          <w:rFonts w:cs="Times New Roman"/>
          <w:sz w:val="28"/>
          <w:szCs w:val="28"/>
        </w:rPr>
      </w:pPr>
    </w:p>
    <w:p w14:paraId="5EFDF96B" w14:textId="06D16FB4" w:rsidR="001153B0" w:rsidRDefault="001153B0" w:rsidP="001153B0">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Secondly, the argument that the second AOD amended the initial agreement is directly at odds with clause 24.1 of the agreement. It provided:</w:t>
      </w:r>
    </w:p>
    <w:p w14:paraId="50565816" w14:textId="77777777" w:rsidR="001153B0" w:rsidRPr="00523ECB" w:rsidRDefault="001153B0" w:rsidP="001153B0">
      <w:pPr>
        <w:pStyle w:val="ListParagraph"/>
        <w:spacing w:after="0" w:line="360" w:lineRule="auto"/>
        <w:ind w:left="0"/>
        <w:jc w:val="both"/>
        <w:rPr>
          <w:rFonts w:cs="Times New Roman"/>
          <w:sz w:val="24"/>
          <w:szCs w:val="24"/>
        </w:rPr>
      </w:pPr>
      <w:r w:rsidRPr="00523ECB">
        <w:rPr>
          <w:rFonts w:cs="Times New Roman"/>
          <w:sz w:val="24"/>
          <w:szCs w:val="24"/>
        </w:rPr>
        <w:t>‘24</w:t>
      </w:r>
      <w:r w:rsidRPr="00523ECB">
        <w:rPr>
          <w:rFonts w:cs="Times New Roman"/>
          <w:sz w:val="24"/>
          <w:szCs w:val="24"/>
        </w:rPr>
        <w:tab/>
      </w:r>
      <w:r w:rsidRPr="00523ECB">
        <w:rPr>
          <w:rFonts w:cs="Times New Roman"/>
          <w:b/>
          <w:sz w:val="24"/>
          <w:szCs w:val="24"/>
        </w:rPr>
        <w:t>Non-waiver</w:t>
      </w:r>
    </w:p>
    <w:p w14:paraId="3FE2B32B" w14:textId="6EE54125" w:rsidR="001153B0" w:rsidRDefault="001153B0" w:rsidP="00D10BA2">
      <w:pPr>
        <w:pStyle w:val="ListParagraph"/>
        <w:spacing w:after="0" w:line="360" w:lineRule="auto"/>
        <w:ind w:left="0"/>
        <w:jc w:val="both"/>
        <w:rPr>
          <w:rFonts w:cs="Times New Roman"/>
          <w:sz w:val="28"/>
          <w:szCs w:val="28"/>
        </w:rPr>
      </w:pPr>
      <w:r w:rsidRPr="00523ECB">
        <w:rPr>
          <w:rFonts w:cs="Times New Roman"/>
          <w:sz w:val="24"/>
          <w:szCs w:val="24"/>
        </w:rPr>
        <w:t>24.1</w:t>
      </w:r>
      <w:r w:rsidRPr="00523ECB">
        <w:rPr>
          <w:rFonts w:cs="Times New Roman"/>
          <w:sz w:val="24"/>
          <w:szCs w:val="24"/>
        </w:rPr>
        <w:tab/>
        <w:t xml:space="preserve">Neither party shall be regarded as having waived, or be precluded in any way from exercising, any right under or arising from this lease by reason of such party having at any time granted </w:t>
      </w:r>
      <w:r w:rsidRPr="00A96700">
        <w:rPr>
          <w:rFonts w:cs="Times New Roman"/>
          <w:sz w:val="24"/>
          <w:szCs w:val="24"/>
        </w:rPr>
        <w:t>an</w:t>
      </w:r>
      <w:r w:rsidR="003D1675" w:rsidRPr="00A96700">
        <w:rPr>
          <w:rFonts w:cs="Times New Roman"/>
          <w:sz w:val="24"/>
          <w:szCs w:val="24"/>
        </w:rPr>
        <w:t>y</w:t>
      </w:r>
      <w:r w:rsidRPr="00523ECB">
        <w:rPr>
          <w:rFonts w:cs="Times New Roman"/>
          <w:sz w:val="24"/>
          <w:szCs w:val="24"/>
        </w:rPr>
        <w:t xml:space="preserve"> extension of time for, or having shown any indulgence to, the other party with reference to any payment or performance hereunder, or having failed to enforce, or delayed in the enforcement of, any right of action against the other party.’</w:t>
      </w:r>
    </w:p>
    <w:p w14:paraId="77005920" w14:textId="77777777" w:rsidR="001153B0" w:rsidRDefault="001153B0" w:rsidP="001153B0">
      <w:pPr>
        <w:pStyle w:val="ListParagraph"/>
        <w:spacing w:after="0" w:line="360" w:lineRule="auto"/>
        <w:ind w:left="0"/>
        <w:jc w:val="both"/>
        <w:rPr>
          <w:rFonts w:cs="Times New Roman"/>
          <w:sz w:val="28"/>
          <w:szCs w:val="28"/>
        </w:rPr>
      </w:pPr>
    </w:p>
    <w:p w14:paraId="63681F07" w14:textId="032E528F" w:rsidR="001153B0" w:rsidRDefault="001153B0" w:rsidP="001153B0">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Thus, the initial agreement was not altered in any way by the execution of the second </w:t>
      </w:r>
      <w:r w:rsidR="00CA73E8">
        <w:rPr>
          <w:rFonts w:cs="Times New Roman"/>
          <w:sz w:val="28"/>
          <w:szCs w:val="28"/>
        </w:rPr>
        <w:t xml:space="preserve">AOD, which was nothing more than an indulgence granted to the defendant. </w:t>
      </w:r>
      <w:r>
        <w:rPr>
          <w:rFonts w:cs="Times New Roman"/>
          <w:sz w:val="28"/>
          <w:szCs w:val="28"/>
        </w:rPr>
        <w:t>In any event, the agreement contained a non-variation clause, designed to prevent informal or oral variations without a written agreement between the parties, and which eliminates any disagreement about whether any amendment to the initial agreement was concluded. Clause 23.1 provided that the lease ‘constitutes the entire agreement between the parties’. Clause 23.3 stated:</w:t>
      </w:r>
    </w:p>
    <w:p w14:paraId="3E067342" w14:textId="6C012126" w:rsidR="001153B0" w:rsidRDefault="001153B0" w:rsidP="001153B0">
      <w:pPr>
        <w:pStyle w:val="ListParagraph"/>
        <w:spacing w:after="0" w:line="360" w:lineRule="auto"/>
        <w:ind w:left="0"/>
        <w:jc w:val="both"/>
        <w:rPr>
          <w:rFonts w:cs="Times New Roman"/>
          <w:sz w:val="24"/>
          <w:szCs w:val="24"/>
        </w:rPr>
      </w:pPr>
      <w:r w:rsidRPr="00A13CD2">
        <w:rPr>
          <w:rFonts w:cs="Times New Roman"/>
          <w:sz w:val="24"/>
          <w:szCs w:val="24"/>
        </w:rPr>
        <w:lastRenderedPageBreak/>
        <w:t xml:space="preserve">‘No variation or consensual cancellation of this agreement shall </w:t>
      </w:r>
      <w:r w:rsidRPr="0018061B">
        <w:rPr>
          <w:rFonts w:cs="Times New Roman"/>
          <w:sz w:val="24"/>
          <w:szCs w:val="24"/>
        </w:rPr>
        <w:t xml:space="preserve">be </w:t>
      </w:r>
      <w:r w:rsidR="003D1675" w:rsidRPr="0018061B">
        <w:rPr>
          <w:rFonts w:cs="Times New Roman"/>
          <w:sz w:val="24"/>
          <w:szCs w:val="24"/>
        </w:rPr>
        <w:t xml:space="preserve">of </w:t>
      </w:r>
      <w:r w:rsidRPr="0018061B">
        <w:rPr>
          <w:rFonts w:cs="Times New Roman"/>
          <w:sz w:val="24"/>
          <w:szCs w:val="24"/>
        </w:rPr>
        <w:t>any</w:t>
      </w:r>
      <w:r w:rsidRPr="00A13CD2">
        <w:rPr>
          <w:rFonts w:cs="Times New Roman"/>
          <w:sz w:val="24"/>
          <w:szCs w:val="24"/>
        </w:rPr>
        <w:t xml:space="preserve"> force or effect unless reduced to writing and signed by both parties.’</w:t>
      </w:r>
      <w:r>
        <w:rPr>
          <w:rFonts w:cs="Times New Roman"/>
          <w:sz w:val="24"/>
          <w:szCs w:val="24"/>
        </w:rPr>
        <w:t xml:space="preserve"> </w:t>
      </w:r>
    </w:p>
    <w:p w14:paraId="7DCAE579" w14:textId="6665BC47" w:rsidR="001153B0" w:rsidRPr="001153B0" w:rsidRDefault="007E7D96" w:rsidP="001153B0">
      <w:pPr>
        <w:pStyle w:val="ListParagraph"/>
        <w:spacing w:after="0" w:line="360" w:lineRule="auto"/>
        <w:ind w:left="0"/>
        <w:jc w:val="both"/>
        <w:rPr>
          <w:rFonts w:cs="Times New Roman"/>
          <w:sz w:val="24"/>
          <w:szCs w:val="24"/>
        </w:rPr>
      </w:pPr>
      <w:r>
        <w:rPr>
          <w:rFonts w:cs="Times New Roman"/>
          <w:sz w:val="28"/>
          <w:szCs w:val="28"/>
        </w:rPr>
        <w:t>A clause such as this</w:t>
      </w:r>
      <w:r w:rsidR="001153B0">
        <w:rPr>
          <w:rFonts w:cs="Times New Roman"/>
          <w:sz w:val="28"/>
          <w:szCs w:val="28"/>
        </w:rPr>
        <w:t>, described as ‘the doctrine that contracting parties may validly agree in writing to an enumeration of their rights, duties and powers in relation to the subject-matter of a contract, which they may alter only by again resorting to writing’,</w:t>
      </w:r>
      <w:r w:rsidR="001153B0">
        <w:rPr>
          <w:rStyle w:val="FootnoteReference"/>
          <w:rFonts w:cs="Times New Roman"/>
          <w:sz w:val="28"/>
          <w:szCs w:val="28"/>
        </w:rPr>
        <w:footnoteReference w:id="4"/>
      </w:r>
      <w:r w:rsidR="001153B0">
        <w:rPr>
          <w:rFonts w:cs="Times New Roman"/>
          <w:sz w:val="28"/>
          <w:szCs w:val="28"/>
        </w:rPr>
        <w:t xml:space="preserve"> remains </w:t>
      </w:r>
      <w:r>
        <w:rPr>
          <w:rFonts w:cs="Times New Roman"/>
          <w:sz w:val="28"/>
          <w:szCs w:val="28"/>
        </w:rPr>
        <w:t>enforceable</w:t>
      </w:r>
      <w:r w:rsidR="001153B0">
        <w:rPr>
          <w:rFonts w:cs="Times New Roman"/>
          <w:sz w:val="28"/>
          <w:szCs w:val="28"/>
        </w:rPr>
        <w:t>.</w:t>
      </w:r>
      <w:r w:rsidR="001153B0">
        <w:rPr>
          <w:rStyle w:val="FootnoteReference"/>
          <w:rFonts w:cs="Times New Roman"/>
          <w:sz w:val="28"/>
          <w:szCs w:val="28"/>
        </w:rPr>
        <w:footnoteReference w:id="5"/>
      </w:r>
    </w:p>
    <w:p w14:paraId="11778AAD" w14:textId="7C0AEB7B" w:rsidR="003A1A9C" w:rsidRDefault="003A1A9C" w:rsidP="003A1A9C">
      <w:pPr>
        <w:pStyle w:val="ListParagraph"/>
        <w:spacing w:after="0" w:line="360" w:lineRule="auto"/>
        <w:ind w:left="0"/>
        <w:jc w:val="both"/>
        <w:rPr>
          <w:rFonts w:cs="Times New Roman"/>
          <w:sz w:val="28"/>
          <w:szCs w:val="28"/>
        </w:rPr>
      </w:pPr>
    </w:p>
    <w:p w14:paraId="14AE637F" w14:textId="12E90BD4" w:rsidR="001153B0" w:rsidRDefault="00665B1A" w:rsidP="0040669A">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The second AOD was the clearest admission by the defendant: (i) that he was in default of his obligations under the initial agreement; (ii) as to how the default arose; and (iii) of the steps taken to cure the default. The high court thus correctly found that the defendant was in default of his obligations under the initial agreement when he purported to exercise the option to extend the lease.</w:t>
      </w:r>
    </w:p>
    <w:p w14:paraId="543C52DB" w14:textId="77777777" w:rsidR="001153B0" w:rsidRDefault="001153B0" w:rsidP="00665B1A">
      <w:pPr>
        <w:pStyle w:val="ListParagraph"/>
        <w:spacing w:after="0" w:line="360" w:lineRule="auto"/>
        <w:ind w:left="0"/>
        <w:jc w:val="both"/>
        <w:rPr>
          <w:rFonts w:cs="Times New Roman"/>
          <w:sz w:val="28"/>
          <w:szCs w:val="28"/>
        </w:rPr>
      </w:pPr>
    </w:p>
    <w:p w14:paraId="31763F6E" w14:textId="4237DF10" w:rsidR="00E164C8" w:rsidRDefault="00665B1A" w:rsidP="00E164C8">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This finding ha</w:t>
      </w:r>
      <w:r w:rsidR="007523C7">
        <w:rPr>
          <w:rFonts w:cs="Times New Roman"/>
          <w:sz w:val="28"/>
          <w:szCs w:val="28"/>
        </w:rPr>
        <w:t>s four</w:t>
      </w:r>
      <w:r>
        <w:rPr>
          <w:rFonts w:cs="Times New Roman"/>
          <w:sz w:val="28"/>
          <w:szCs w:val="28"/>
        </w:rPr>
        <w:t xml:space="preserve"> consequences. The first is that on 2 July 2012, the defendant could not have entered into any sublease of the property </w:t>
      </w:r>
      <w:r w:rsidR="007E7D96">
        <w:rPr>
          <w:rFonts w:cs="Times New Roman"/>
          <w:sz w:val="28"/>
          <w:szCs w:val="28"/>
        </w:rPr>
        <w:t xml:space="preserve">until 31 May 2021, </w:t>
      </w:r>
      <w:r>
        <w:rPr>
          <w:rFonts w:cs="Times New Roman"/>
          <w:sz w:val="28"/>
          <w:szCs w:val="28"/>
        </w:rPr>
        <w:t>for the simple reason that he had no right to do so: the ma</w:t>
      </w:r>
      <w:r w:rsidR="001C7F09">
        <w:rPr>
          <w:rFonts w:cs="Times New Roman"/>
          <w:sz w:val="28"/>
          <w:szCs w:val="28"/>
        </w:rPr>
        <w:t>i</w:t>
      </w:r>
      <w:r>
        <w:rPr>
          <w:rFonts w:cs="Times New Roman"/>
          <w:sz w:val="28"/>
          <w:szCs w:val="28"/>
        </w:rPr>
        <w:t xml:space="preserve">n lease had not been extended. The second is that the </w:t>
      </w:r>
      <w:r w:rsidR="007E7D96">
        <w:rPr>
          <w:rFonts w:cs="Times New Roman"/>
          <w:sz w:val="28"/>
          <w:szCs w:val="28"/>
        </w:rPr>
        <w:t xml:space="preserve">foundation of </w:t>
      </w:r>
      <w:r w:rsidR="001C7F09">
        <w:rPr>
          <w:rFonts w:cs="Times New Roman"/>
          <w:sz w:val="28"/>
          <w:szCs w:val="28"/>
        </w:rPr>
        <w:t xml:space="preserve">the defendant’s </w:t>
      </w:r>
      <w:r>
        <w:rPr>
          <w:rFonts w:cs="Times New Roman"/>
          <w:sz w:val="28"/>
          <w:szCs w:val="28"/>
        </w:rPr>
        <w:t>counterclaim</w:t>
      </w:r>
      <w:r w:rsidR="001C7F09">
        <w:rPr>
          <w:rFonts w:cs="Times New Roman"/>
          <w:sz w:val="28"/>
          <w:szCs w:val="28"/>
        </w:rPr>
        <w:t xml:space="preserve"> has been destroyed.</w:t>
      </w:r>
      <w:r w:rsidR="00E164C8">
        <w:rPr>
          <w:rFonts w:cs="Times New Roman"/>
          <w:sz w:val="28"/>
          <w:szCs w:val="28"/>
        </w:rPr>
        <w:t xml:space="preserve"> The third is that the issue of prescription does not arise, and no more need be said about it. And the fourth </w:t>
      </w:r>
      <w:r w:rsidR="001C7F09">
        <w:rPr>
          <w:rFonts w:cs="Times New Roman"/>
          <w:sz w:val="28"/>
          <w:szCs w:val="28"/>
        </w:rPr>
        <w:t xml:space="preserve">is that the cheque which the defendant issued to the plaintiff for payment of </w:t>
      </w:r>
      <w:r w:rsidR="00C510D7">
        <w:rPr>
          <w:rFonts w:cs="Times New Roman"/>
          <w:sz w:val="28"/>
          <w:szCs w:val="28"/>
        </w:rPr>
        <w:t>arrear amounts</w:t>
      </w:r>
      <w:r w:rsidR="001C7F09">
        <w:rPr>
          <w:rFonts w:cs="Times New Roman"/>
          <w:sz w:val="28"/>
          <w:szCs w:val="28"/>
        </w:rPr>
        <w:t xml:space="preserve">, could never </w:t>
      </w:r>
      <w:r w:rsidR="00E164C8">
        <w:rPr>
          <w:rFonts w:cs="Times New Roman"/>
          <w:sz w:val="28"/>
          <w:szCs w:val="28"/>
        </w:rPr>
        <w:t xml:space="preserve">have been </w:t>
      </w:r>
      <w:r w:rsidR="001C7F09">
        <w:rPr>
          <w:rFonts w:cs="Times New Roman"/>
          <w:sz w:val="28"/>
          <w:szCs w:val="28"/>
        </w:rPr>
        <w:t>subject to</w:t>
      </w:r>
      <w:r w:rsidR="007523C7">
        <w:rPr>
          <w:rFonts w:cs="Times New Roman"/>
          <w:sz w:val="28"/>
          <w:szCs w:val="28"/>
        </w:rPr>
        <w:t xml:space="preserve"> the condition he purportedly imposed</w:t>
      </w:r>
      <w:r w:rsidR="00E164C8">
        <w:rPr>
          <w:rFonts w:cs="Times New Roman"/>
          <w:sz w:val="28"/>
          <w:szCs w:val="28"/>
        </w:rPr>
        <w:t xml:space="preserve"> –</w:t>
      </w:r>
      <w:r w:rsidR="003A1A9C">
        <w:rPr>
          <w:rFonts w:cs="Times New Roman"/>
          <w:sz w:val="28"/>
          <w:szCs w:val="28"/>
        </w:rPr>
        <w:t xml:space="preserve"> that the plaintiff </w:t>
      </w:r>
      <w:r w:rsidR="00C510D7">
        <w:rPr>
          <w:rFonts w:cs="Times New Roman"/>
          <w:sz w:val="28"/>
          <w:szCs w:val="28"/>
        </w:rPr>
        <w:t xml:space="preserve">should </w:t>
      </w:r>
      <w:r w:rsidR="00E164C8">
        <w:rPr>
          <w:rFonts w:cs="Times New Roman"/>
          <w:sz w:val="28"/>
          <w:szCs w:val="28"/>
        </w:rPr>
        <w:t xml:space="preserve">honour </w:t>
      </w:r>
      <w:r w:rsidR="00C510D7">
        <w:rPr>
          <w:rFonts w:cs="Times New Roman"/>
          <w:sz w:val="28"/>
          <w:szCs w:val="28"/>
        </w:rPr>
        <w:t>the terms of the initial agreement, which had expired on 30 June 2011 and was not validly renewed</w:t>
      </w:r>
      <w:r w:rsidR="00E164C8">
        <w:rPr>
          <w:rFonts w:cs="Times New Roman"/>
          <w:sz w:val="28"/>
          <w:szCs w:val="28"/>
        </w:rPr>
        <w:t>.</w:t>
      </w:r>
      <w:r w:rsidR="00C510D7">
        <w:rPr>
          <w:rFonts w:cs="Times New Roman"/>
          <w:sz w:val="28"/>
          <w:szCs w:val="28"/>
        </w:rPr>
        <w:t xml:space="preserve"> </w:t>
      </w:r>
    </w:p>
    <w:p w14:paraId="5C5EBD6A" w14:textId="77777777" w:rsidR="00E164C8" w:rsidRPr="00E164C8" w:rsidRDefault="00E164C8" w:rsidP="003A1A9C">
      <w:pPr>
        <w:pStyle w:val="ListParagraph"/>
        <w:spacing w:after="0" w:line="360" w:lineRule="auto"/>
        <w:ind w:left="0"/>
        <w:jc w:val="both"/>
        <w:rPr>
          <w:rFonts w:cs="Times New Roman"/>
          <w:sz w:val="28"/>
          <w:szCs w:val="28"/>
        </w:rPr>
      </w:pPr>
    </w:p>
    <w:p w14:paraId="6F2257EE" w14:textId="55F7DAD7" w:rsidR="001153B0" w:rsidRDefault="007E7D96" w:rsidP="00DE0D7B">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What remains is the </w:t>
      </w:r>
      <w:r w:rsidR="00DE0D7B">
        <w:rPr>
          <w:rFonts w:cs="Times New Roman"/>
          <w:sz w:val="28"/>
          <w:szCs w:val="28"/>
        </w:rPr>
        <w:t xml:space="preserve">plaintiff’s </w:t>
      </w:r>
      <w:r w:rsidR="00DE0D7B" w:rsidRPr="00196DDD">
        <w:rPr>
          <w:rFonts w:cs="Times New Roman"/>
          <w:sz w:val="28"/>
          <w:szCs w:val="28"/>
        </w:rPr>
        <w:t xml:space="preserve">alternative claim </w:t>
      </w:r>
      <w:r w:rsidR="00553AF6">
        <w:rPr>
          <w:rFonts w:cs="Times New Roman"/>
          <w:sz w:val="28"/>
          <w:szCs w:val="28"/>
        </w:rPr>
        <w:t xml:space="preserve">for payment of R439 300.92, </w:t>
      </w:r>
      <w:r w:rsidR="00DE0D7B" w:rsidRPr="00196DDD">
        <w:rPr>
          <w:rFonts w:cs="Times New Roman"/>
          <w:sz w:val="28"/>
          <w:szCs w:val="28"/>
        </w:rPr>
        <w:t>b</w:t>
      </w:r>
      <w:r w:rsidR="00DE0D7B">
        <w:rPr>
          <w:rFonts w:cs="Times New Roman"/>
          <w:sz w:val="28"/>
          <w:szCs w:val="28"/>
        </w:rPr>
        <w:t xml:space="preserve">ased on the dishonoured cheque. </w:t>
      </w:r>
      <w:r w:rsidR="003911FB">
        <w:rPr>
          <w:rFonts w:cs="Times New Roman"/>
          <w:sz w:val="28"/>
          <w:szCs w:val="28"/>
        </w:rPr>
        <w:t>T</w:t>
      </w:r>
      <w:r w:rsidR="00DE0D7B" w:rsidRPr="00196DDD">
        <w:rPr>
          <w:rFonts w:cs="Times New Roman"/>
          <w:sz w:val="28"/>
          <w:szCs w:val="28"/>
        </w:rPr>
        <w:t xml:space="preserve">he </w:t>
      </w:r>
      <w:r w:rsidR="00553AF6">
        <w:rPr>
          <w:rFonts w:cs="Times New Roman"/>
          <w:sz w:val="28"/>
          <w:szCs w:val="28"/>
        </w:rPr>
        <w:t xml:space="preserve">defence that </w:t>
      </w:r>
      <w:r w:rsidR="00DE0D7B" w:rsidRPr="00196DDD">
        <w:rPr>
          <w:rFonts w:cs="Times New Roman"/>
          <w:sz w:val="28"/>
          <w:szCs w:val="28"/>
        </w:rPr>
        <w:t xml:space="preserve">the </w:t>
      </w:r>
      <w:r w:rsidR="00C510D7">
        <w:rPr>
          <w:rFonts w:cs="Times New Roman"/>
          <w:sz w:val="28"/>
          <w:szCs w:val="28"/>
        </w:rPr>
        <w:t xml:space="preserve">cheque was issued subject to the condition that the plaintiff honours the terms of </w:t>
      </w:r>
      <w:r w:rsidR="003911FB">
        <w:rPr>
          <w:rFonts w:cs="Times New Roman"/>
          <w:sz w:val="28"/>
          <w:szCs w:val="28"/>
        </w:rPr>
        <w:t xml:space="preserve">the lease </w:t>
      </w:r>
      <w:r w:rsidR="003911FB">
        <w:rPr>
          <w:rFonts w:cs="Times New Roman"/>
          <w:sz w:val="28"/>
          <w:szCs w:val="28"/>
        </w:rPr>
        <w:lastRenderedPageBreak/>
        <w:t xml:space="preserve">agreement, and that it should not persist with its cancellation of the defendant’s lease and vacation of the property on 30 July 2014, falls away. </w:t>
      </w:r>
      <w:r w:rsidR="00085EDF">
        <w:rPr>
          <w:rFonts w:cs="Times New Roman"/>
          <w:sz w:val="28"/>
          <w:szCs w:val="28"/>
        </w:rPr>
        <w:t xml:space="preserve">The defendant’s counsel, relying on </w:t>
      </w:r>
      <w:r w:rsidR="00085EDF" w:rsidRPr="00085EDF">
        <w:rPr>
          <w:rFonts w:cs="Times New Roman"/>
          <w:i/>
          <w:sz w:val="28"/>
          <w:szCs w:val="28"/>
        </w:rPr>
        <w:t>Saambou-Nasionale Bouvereniging</w:t>
      </w:r>
      <w:r w:rsidR="00085EDF">
        <w:rPr>
          <w:rFonts w:cs="Times New Roman"/>
          <w:sz w:val="28"/>
          <w:szCs w:val="28"/>
        </w:rPr>
        <w:t>,</w:t>
      </w:r>
      <w:r w:rsidR="00085EDF">
        <w:rPr>
          <w:rStyle w:val="FootnoteReference"/>
          <w:rFonts w:cs="Times New Roman"/>
          <w:sz w:val="28"/>
          <w:szCs w:val="28"/>
        </w:rPr>
        <w:footnoteReference w:id="6"/>
      </w:r>
      <w:r w:rsidR="00085EDF">
        <w:rPr>
          <w:rFonts w:cs="Times New Roman"/>
          <w:sz w:val="28"/>
          <w:szCs w:val="28"/>
        </w:rPr>
        <w:t xml:space="preserve"> submitted that </w:t>
      </w:r>
      <w:r w:rsidR="00054429">
        <w:rPr>
          <w:rFonts w:cs="Times New Roman"/>
          <w:sz w:val="28"/>
          <w:szCs w:val="28"/>
        </w:rPr>
        <w:t xml:space="preserve">the </w:t>
      </w:r>
      <w:r w:rsidR="00085EDF">
        <w:rPr>
          <w:rFonts w:cs="Times New Roman"/>
          <w:sz w:val="28"/>
          <w:szCs w:val="28"/>
        </w:rPr>
        <w:t>claim based on the dishonoured cheque could not succeed</w:t>
      </w:r>
      <w:r w:rsidR="00DE0D7B" w:rsidRPr="00196DDD">
        <w:rPr>
          <w:rFonts w:cs="Times New Roman"/>
          <w:sz w:val="28"/>
          <w:szCs w:val="28"/>
        </w:rPr>
        <w:t xml:space="preserve"> because there was no underlying agree</w:t>
      </w:r>
      <w:r w:rsidR="00822DF5">
        <w:rPr>
          <w:rFonts w:cs="Times New Roman"/>
          <w:sz w:val="28"/>
          <w:szCs w:val="28"/>
        </w:rPr>
        <w:t>ment that justified its issue</w:t>
      </w:r>
      <w:r w:rsidR="00DE0D7B" w:rsidRPr="00196DDD">
        <w:rPr>
          <w:rFonts w:cs="Times New Roman"/>
          <w:sz w:val="28"/>
          <w:szCs w:val="28"/>
        </w:rPr>
        <w:t>.</w:t>
      </w:r>
    </w:p>
    <w:p w14:paraId="0921160C" w14:textId="77777777" w:rsidR="00085EDF" w:rsidRDefault="00085EDF" w:rsidP="00085EDF">
      <w:pPr>
        <w:pStyle w:val="ListParagraph"/>
        <w:spacing w:after="0" w:line="360" w:lineRule="auto"/>
        <w:ind w:left="0"/>
        <w:jc w:val="both"/>
        <w:rPr>
          <w:rFonts w:cs="Times New Roman"/>
          <w:sz w:val="28"/>
          <w:szCs w:val="28"/>
        </w:rPr>
      </w:pPr>
    </w:p>
    <w:p w14:paraId="547B9633" w14:textId="08F4C9EF" w:rsidR="0055302D" w:rsidRDefault="00872554" w:rsidP="0014242D">
      <w:pPr>
        <w:pStyle w:val="ListParagraph"/>
        <w:numPr>
          <w:ilvl w:val="0"/>
          <w:numId w:val="19"/>
        </w:numPr>
        <w:spacing w:after="0" w:line="360" w:lineRule="auto"/>
        <w:ind w:left="0" w:firstLine="0"/>
        <w:jc w:val="both"/>
        <w:rPr>
          <w:rFonts w:cs="Times New Roman"/>
          <w:sz w:val="28"/>
          <w:szCs w:val="28"/>
        </w:rPr>
      </w:pPr>
      <w:r w:rsidRPr="0014242D">
        <w:rPr>
          <w:rFonts w:cs="Times New Roman"/>
          <w:sz w:val="28"/>
          <w:szCs w:val="28"/>
        </w:rPr>
        <w:t xml:space="preserve">The submission however is unsustainable on the evidence and the law. As in the case of waiver, the defendant did not plead that there was no reasonable cause </w:t>
      </w:r>
      <w:r w:rsidR="00822DF5" w:rsidRPr="0014242D">
        <w:rPr>
          <w:rFonts w:cs="Times New Roman"/>
          <w:sz w:val="28"/>
          <w:szCs w:val="28"/>
        </w:rPr>
        <w:t xml:space="preserve">to issue </w:t>
      </w:r>
      <w:r w:rsidRPr="0014242D">
        <w:rPr>
          <w:rFonts w:cs="Times New Roman"/>
          <w:sz w:val="28"/>
          <w:szCs w:val="28"/>
        </w:rPr>
        <w:t>the cheque. On the contrary, he testified that</w:t>
      </w:r>
      <w:r w:rsidR="004248A4" w:rsidRPr="0014242D">
        <w:rPr>
          <w:rFonts w:cs="Times New Roman"/>
          <w:sz w:val="28"/>
          <w:szCs w:val="28"/>
        </w:rPr>
        <w:t xml:space="preserve"> as at 28 March 2014, his account</w:t>
      </w:r>
      <w:r w:rsidRPr="0014242D">
        <w:rPr>
          <w:rFonts w:cs="Times New Roman"/>
          <w:sz w:val="28"/>
          <w:szCs w:val="28"/>
        </w:rPr>
        <w:t xml:space="preserve"> </w:t>
      </w:r>
      <w:r w:rsidR="004248A4" w:rsidRPr="0014242D">
        <w:rPr>
          <w:rFonts w:cs="Times New Roman"/>
          <w:sz w:val="28"/>
          <w:szCs w:val="28"/>
        </w:rPr>
        <w:t xml:space="preserve">with the plaintiff was in debit in the sum of R439 300.92. He said that </w:t>
      </w:r>
      <w:r w:rsidRPr="0014242D">
        <w:rPr>
          <w:rFonts w:cs="Times New Roman"/>
          <w:sz w:val="28"/>
          <w:szCs w:val="28"/>
        </w:rPr>
        <w:t>he ‘was in arrears in an amount of R439 000 in terms of the extended lease agreement’</w:t>
      </w:r>
      <w:r w:rsidR="00E75C97" w:rsidRPr="0014242D">
        <w:rPr>
          <w:rFonts w:cs="Times New Roman"/>
          <w:sz w:val="28"/>
          <w:szCs w:val="28"/>
        </w:rPr>
        <w:t>,</w:t>
      </w:r>
      <w:r w:rsidR="002D2D81" w:rsidRPr="0014242D">
        <w:rPr>
          <w:rFonts w:cs="Times New Roman"/>
          <w:sz w:val="28"/>
          <w:szCs w:val="28"/>
        </w:rPr>
        <w:t xml:space="preserve"> and that he </w:t>
      </w:r>
      <w:r w:rsidR="00050DED" w:rsidRPr="0014242D">
        <w:rPr>
          <w:rFonts w:cs="Times New Roman"/>
          <w:sz w:val="28"/>
          <w:szCs w:val="28"/>
        </w:rPr>
        <w:t xml:space="preserve">had </w:t>
      </w:r>
      <w:r w:rsidR="002D2D81" w:rsidRPr="0014242D">
        <w:rPr>
          <w:rFonts w:cs="Times New Roman"/>
          <w:sz w:val="28"/>
          <w:szCs w:val="28"/>
        </w:rPr>
        <w:t xml:space="preserve">never denied that he owed the plaintiff money. </w:t>
      </w:r>
    </w:p>
    <w:p w14:paraId="53DCB5A1" w14:textId="77777777" w:rsidR="0014242D" w:rsidRPr="0014242D" w:rsidRDefault="0014242D" w:rsidP="0014242D">
      <w:pPr>
        <w:pStyle w:val="ListParagraph"/>
        <w:spacing w:after="0" w:line="360" w:lineRule="auto"/>
        <w:ind w:left="0"/>
        <w:jc w:val="both"/>
        <w:rPr>
          <w:rFonts w:cs="Times New Roman"/>
          <w:sz w:val="28"/>
          <w:szCs w:val="28"/>
        </w:rPr>
      </w:pPr>
    </w:p>
    <w:p w14:paraId="75C94EE8" w14:textId="5E57411D" w:rsidR="00C848BC" w:rsidRDefault="00085EDF" w:rsidP="0040669A">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w:t>
      </w:r>
      <w:r w:rsidR="00872554">
        <w:rPr>
          <w:rFonts w:cs="Times New Roman"/>
          <w:sz w:val="28"/>
          <w:szCs w:val="28"/>
        </w:rPr>
        <w:t xml:space="preserve">he </w:t>
      </w:r>
      <w:r w:rsidR="0055302D">
        <w:rPr>
          <w:rFonts w:cs="Times New Roman"/>
          <w:sz w:val="28"/>
          <w:szCs w:val="28"/>
        </w:rPr>
        <w:t xml:space="preserve">defendant’s </w:t>
      </w:r>
      <w:r w:rsidR="002D2D81">
        <w:rPr>
          <w:rFonts w:cs="Times New Roman"/>
          <w:sz w:val="28"/>
          <w:szCs w:val="28"/>
        </w:rPr>
        <w:t xml:space="preserve">reliance on </w:t>
      </w:r>
      <w:r w:rsidR="002D2D81" w:rsidRPr="00085EDF">
        <w:rPr>
          <w:rFonts w:cs="Times New Roman"/>
          <w:i/>
          <w:sz w:val="28"/>
          <w:szCs w:val="28"/>
        </w:rPr>
        <w:t>Saambou-Nasionale Bouvereniging</w:t>
      </w:r>
      <w:r w:rsidR="002D2D81">
        <w:rPr>
          <w:rFonts w:cs="Times New Roman"/>
          <w:sz w:val="28"/>
          <w:szCs w:val="28"/>
        </w:rPr>
        <w:t xml:space="preserve"> is misplaced.</w:t>
      </w:r>
      <w:r w:rsidR="0055302D">
        <w:rPr>
          <w:rFonts w:cs="Times New Roman"/>
          <w:sz w:val="28"/>
          <w:szCs w:val="28"/>
        </w:rPr>
        <w:t xml:space="preserve"> It </w:t>
      </w:r>
      <w:r w:rsidR="009B007B">
        <w:rPr>
          <w:rFonts w:cs="Times New Roman"/>
          <w:sz w:val="28"/>
          <w:szCs w:val="28"/>
        </w:rPr>
        <w:t>is authority for the propositi</w:t>
      </w:r>
      <w:r w:rsidR="00822DF5">
        <w:rPr>
          <w:rFonts w:cs="Times New Roman"/>
          <w:sz w:val="28"/>
          <w:szCs w:val="28"/>
        </w:rPr>
        <w:t xml:space="preserve">on that reasonable cause for the issue of a cheque exists where </w:t>
      </w:r>
      <w:r w:rsidR="009B007B">
        <w:rPr>
          <w:rFonts w:cs="Times New Roman"/>
          <w:sz w:val="28"/>
          <w:szCs w:val="28"/>
        </w:rPr>
        <w:t>the drawer and the</w:t>
      </w:r>
      <w:r w:rsidR="00B91E18">
        <w:rPr>
          <w:rFonts w:cs="Times New Roman"/>
          <w:sz w:val="28"/>
          <w:szCs w:val="28"/>
        </w:rPr>
        <w:t xml:space="preserve"> payee agree as to what the proceeds </w:t>
      </w:r>
      <w:r w:rsidR="00822DF5">
        <w:rPr>
          <w:rFonts w:cs="Times New Roman"/>
          <w:sz w:val="28"/>
          <w:szCs w:val="28"/>
        </w:rPr>
        <w:t xml:space="preserve">of the cheque </w:t>
      </w:r>
      <w:r w:rsidR="00B91E18">
        <w:rPr>
          <w:rFonts w:cs="Times New Roman"/>
          <w:sz w:val="28"/>
          <w:szCs w:val="28"/>
        </w:rPr>
        <w:t xml:space="preserve">are to be </w:t>
      </w:r>
      <w:r w:rsidR="00822DF5">
        <w:rPr>
          <w:rFonts w:cs="Times New Roman"/>
          <w:sz w:val="28"/>
          <w:szCs w:val="28"/>
        </w:rPr>
        <w:t>used for. By this agreement the bond between the negotiable instrument contract and the underlying relationship is established.</w:t>
      </w:r>
      <w:r w:rsidR="00822DF5">
        <w:rPr>
          <w:rStyle w:val="FootnoteReference"/>
          <w:rFonts w:cs="Times New Roman"/>
          <w:sz w:val="28"/>
          <w:szCs w:val="28"/>
        </w:rPr>
        <w:footnoteReference w:id="7"/>
      </w:r>
      <w:r w:rsidR="00822DF5">
        <w:rPr>
          <w:rFonts w:cs="Times New Roman"/>
          <w:sz w:val="28"/>
          <w:szCs w:val="28"/>
        </w:rPr>
        <w:t xml:space="preserve"> That is the case here: the parties agreed that the </w:t>
      </w:r>
      <w:r w:rsidR="00012C2F">
        <w:rPr>
          <w:rFonts w:cs="Times New Roman"/>
          <w:sz w:val="28"/>
          <w:szCs w:val="28"/>
        </w:rPr>
        <w:t xml:space="preserve">cheque for </w:t>
      </w:r>
      <w:r w:rsidR="0055302D" w:rsidRPr="00796E9B">
        <w:rPr>
          <w:rFonts w:cs="Times New Roman"/>
          <w:sz w:val="28"/>
          <w:szCs w:val="28"/>
        </w:rPr>
        <w:t>R439 300.92</w:t>
      </w:r>
      <w:r w:rsidR="0055302D">
        <w:rPr>
          <w:rFonts w:cs="Times New Roman"/>
          <w:sz w:val="28"/>
          <w:szCs w:val="28"/>
        </w:rPr>
        <w:t xml:space="preserve"> was in settlement of the defendant’s indebtedness arising from his lease of the property. It matters not that the plaintiff did not establish that his continued occupation was in terms of a month-to-month lease: the fact is that the defendant continued to lease the property after the initia</w:t>
      </w:r>
      <w:r w:rsidR="00050DED">
        <w:rPr>
          <w:rFonts w:cs="Times New Roman"/>
          <w:sz w:val="28"/>
          <w:szCs w:val="28"/>
        </w:rPr>
        <w:t xml:space="preserve">l agreement had come to an end, and he became indebted to the plaintiff in the amount of </w:t>
      </w:r>
      <w:r w:rsidR="00050DED" w:rsidRPr="00796E9B">
        <w:rPr>
          <w:rFonts w:cs="Times New Roman"/>
          <w:sz w:val="28"/>
          <w:szCs w:val="28"/>
        </w:rPr>
        <w:t>R439 300.92</w:t>
      </w:r>
      <w:r w:rsidR="00050DED">
        <w:rPr>
          <w:rFonts w:cs="Times New Roman"/>
          <w:sz w:val="28"/>
          <w:szCs w:val="28"/>
        </w:rPr>
        <w:t xml:space="preserve"> under that lease.</w:t>
      </w:r>
    </w:p>
    <w:p w14:paraId="348EBD82" w14:textId="77777777" w:rsidR="00997DC2" w:rsidRDefault="00997DC2" w:rsidP="00997DC2">
      <w:pPr>
        <w:pStyle w:val="ListParagraph"/>
        <w:spacing w:after="0" w:line="360" w:lineRule="auto"/>
        <w:ind w:left="0"/>
        <w:jc w:val="both"/>
        <w:rPr>
          <w:rFonts w:cs="Times New Roman"/>
          <w:sz w:val="28"/>
          <w:szCs w:val="28"/>
        </w:rPr>
      </w:pPr>
    </w:p>
    <w:p w14:paraId="211CFE6F" w14:textId="35ADC89E" w:rsidR="00012C2F" w:rsidRDefault="00012C2F" w:rsidP="0040669A">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The plaintiff established the requisites for its claim on the cheque in the sum of </w:t>
      </w:r>
      <w:r w:rsidRPr="00796E9B">
        <w:rPr>
          <w:rFonts w:cs="Times New Roman"/>
          <w:sz w:val="28"/>
          <w:szCs w:val="28"/>
        </w:rPr>
        <w:t>R439 300.92</w:t>
      </w:r>
      <w:r>
        <w:rPr>
          <w:rFonts w:cs="Times New Roman"/>
          <w:sz w:val="28"/>
          <w:szCs w:val="28"/>
        </w:rPr>
        <w:t xml:space="preserve">. A cheque is a bill payable on demand, which can be </w:t>
      </w:r>
      <w:r>
        <w:rPr>
          <w:rFonts w:cs="Times New Roman"/>
          <w:sz w:val="28"/>
          <w:szCs w:val="28"/>
        </w:rPr>
        <w:lastRenderedPageBreak/>
        <w:t>presented for payment on any date within a reasonable time after its issue.</w:t>
      </w:r>
      <w:r>
        <w:rPr>
          <w:rStyle w:val="FootnoteReference"/>
          <w:rFonts w:cs="Times New Roman"/>
          <w:sz w:val="28"/>
          <w:szCs w:val="28"/>
        </w:rPr>
        <w:footnoteReference w:id="8"/>
      </w:r>
      <w:r>
        <w:rPr>
          <w:rFonts w:cs="Times New Roman"/>
          <w:sz w:val="28"/>
          <w:szCs w:val="28"/>
        </w:rPr>
        <w:t xml:space="preserve"> The plaintiff was the legal holder of the cheque </w:t>
      </w:r>
      <w:r w:rsidR="00A03833">
        <w:rPr>
          <w:rFonts w:cs="Times New Roman"/>
          <w:sz w:val="28"/>
          <w:szCs w:val="28"/>
        </w:rPr>
        <w:t>signed by the defendant as drawer, as a result of which he incurred personal liability on the cheque.</w:t>
      </w:r>
      <w:r w:rsidR="003C6032">
        <w:rPr>
          <w:rStyle w:val="FootnoteReference"/>
          <w:rFonts w:cs="Times New Roman"/>
          <w:sz w:val="28"/>
          <w:szCs w:val="28"/>
        </w:rPr>
        <w:footnoteReference w:id="9"/>
      </w:r>
      <w:r w:rsidR="00A03833">
        <w:rPr>
          <w:rFonts w:cs="Times New Roman"/>
          <w:sz w:val="28"/>
          <w:szCs w:val="28"/>
        </w:rPr>
        <w:t xml:space="preserve"> </w:t>
      </w:r>
      <w:r>
        <w:rPr>
          <w:rFonts w:cs="Times New Roman"/>
          <w:sz w:val="28"/>
          <w:szCs w:val="28"/>
        </w:rPr>
        <w:t>It was presented for payment but dishonoured by non-payment. Notice of dishonour is dispensed with because the defendant countermanded payment.</w:t>
      </w:r>
      <w:r w:rsidR="00F216C1">
        <w:rPr>
          <w:rStyle w:val="FootnoteReference"/>
          <w:rFonts w:cs="Times New Roman"/>
          <w:sz w:val="28"/>
          <w:szCs w:val="28"/>
        </w:rPr>
        <w:footnoteReference w:id="10"/>
      </w:r>
      <w:r>
        <w:rPr>
          <w:rFonts w:cs="Times New Roman"/>
          <w:sz w:val="28"/>
          <w:szCs w:val="28"/>
        </w:rPr>
        <w:t xml:space="preserve"> </w:t>
      </w:r>
    </w:p>
    <w:p w14:paraId="1C186FE3" w14:textId="3E63CC6D" w:rsidR="004D554E" w:rsidRDefault="004D554E" w:rsidP="00012C2F">
      <w:pPr>
        <w:pStyle w:val="ListParagraph"/>
        <w:spacing w:after="0" w:line="360" w:lineRule="auto"/>
        <w:ind w:left="0"/>
        <w:jc w:val="both"/>
        <w:rPr>
          <w:rFonts w:cs="Times New Roman"/>
          <w:sz w:val="28"/>
          <w:szCs w:val="28"/>
        </w:rPr>
      </w:pPr>
    </w:p>
    <w:p w14:paraId="2097FF3C" w14:textId="250348D4" w:rsidR="00997DC2" w:rsidRDefault="005F53A7" w:rsidP="0040669A">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In the result</w:t>
      </w:r>
      <w:r w:rsidR="00900D1B">
        <w:rPr>
          <w:rFonts w:cs="Times New Roman"/>
          <w:sz w:val="28"/>
          <w:szCs w:val="28"/>
        </w:rPr>
        <w:t>,</w:t>
      </w:r>
      <w:r>
        <w:rPr>
          <w:rFonts w:cs="Times New Roman"/>
          <w:sz w:val="28"/>
          <w:szCs w:val="28"/>
        </w:rPr>
        <w:t xml:space="preserve"> the appeal is dismissed with costs, including the costs of two counsel. </w:t>
      </w:r>
    </w:p>
    <w:p w14:paraId="4A7A36D6" w14:textId="77777777" w:rsidR="002A4BF3" w:rsidRDefault="002A4BF3" w:rsidP="00C733F1">
      <w:pPr>
        <w:spacing w:after="0" w:line="360" w:lineRule="auto"/>
        <w:jc w:val="right"/>
        <w:rPr>
          <w:rFonts w:ascii="Arial" w:eastAsia="Times New Roman" w:hAnsi="Arial" w:cs="Arial"/>
          <w:sz w:val="24"/>
          <w:szCs w:val="24"/>
          <w:lang w:val="en-US" w:eastAsia="en-ZA"/>
        </w:rPr>
      </w:pPr>
    </w:p>
    <w:p w14:paraId="1635E42B" w14:textId="77777777" w:rsidR="002A4BF3" w:rsidRDefault="002A4BF3" w:rsidP="00C733F1">
      <w:pPr>
        <w:spacing w:after="0" w:line="360" w:lineRule="auto"/>
        <w:jc w:val="right"/>
        <w:rPr>
          <w:rFonts w:ascii="Arial" w:eastAsia="Times New Roman" w:hAnsi="Arial" w:cs="Arial"/>
          <w:sz w:val="24"/>
          <w:szCs w:val="24"/>
          <w:lang w:val="en-US" w:eastAsia="en-ZA"/>
        </w:rPr>
      </w:pPr>
    </w:p>
    <w:p w14:paraId="6873C2F1" w14:textId="77777777" w:rsidR="002A4BF3" w:rsidRDefault="002A4BF3" w:rsidP="00C733F1">
      <w:pPr>
        <w:spacing w:after="0" w:line="360" w:lineRule="auto"/>
        <w:jc w:val="right"/>
        <w:rPr>
          <w:rFonts w:ascii="Arial" w:eastAsia="Times New Roman" w:hAnsi="Arial" w:cs="Arial"/>
          <w:sz w:val="24"/>
          <w:szCs w:val="24"/>
          <w:lang w:val="en-US" w:eastAsia="en-ZA"/>
        </w:rPr>
      </w:pPr>
    </w:p>
    <w:p w14:paraId="74F1707D" w14:textId="77777777" w:rsidR="002A4BF3" w:rsidRDefault="002A4BF3" w:rsidP="00C733F1">
      <w:pPr>
        <w:spacing w:after="0" w:line="360" w:lineRule="auto"/>
        <w:jc w:val="right"/>
        <w:rPr>
          <w:rFonts w:ascii="Arial" w:eastAsia="Times New Roman" w:hAnsi="Arial" w:cs="Arial"/>
          <w:sz w:val="24"/>
          <w:szCs w:val="24"/>
          <w:lang w:val="en-US" w:eastAsia="en-ZA"/>
        </w:rPr>
      </w:pPr>
    </w:p>
    <w:p w14:paraId="33D38514" w14:textId="0253AAD2" w:rsidR="00296845" w:rsidRPr="00970D60" w:rsidRDefault="002A4BF3" w:rsidP="00C733F1">
      <w:pPr>
        <w:spacing w:after="0" w:line="360" w:lineRule="auto"/>
        <w:jc w:val="right"/>
        <w:rPr>
          <w:rFonts w:ascii="Arial" w:eastAsia="Times New Roman" w:hAnsi="Arial" w:cs="Arial"/>
          <w:sz w:val="24"/>
          <w:szCs w:val="24"/>
          <w:lang w:val="en-US" w:eastAsia="en-ZA"/>
        </w:rPr>
      </w:pPr>
      <w:r>
        <w:rPr>
          <w:rFonts w:ascii="Arial" w:eastAsia="Times New Roman" w:hAnsi="Arial" w:cs="Arial"/>
          <w:sz w:val="24"/>
          <w:szCs w:val="24"/>
          <w:lang w:val="en-US" w:eastAsia="en-ZA"/>
        </w:rPr>
        <w:t>_______</w:t>
      </w:r>
      <w:r w:rsidR="00C733F1" w:rsidRPr="00970D60">
        <w:rPr>
          <w:rFonts w:ascii="Arial" w:eastAsia="Times New Roman" w:hAnsi="Arial" w:cs="Arial"/>
          <w:sz w:val="24"/>
          <w:szCs w:val="24"/>
          <w:lang w:val="en-US" w:eastAsia="en-ZA"/>
        </w:rPr>
        <w:t>___________</w:t>
      </w:r>
    </w:p>
    <w:p w14:paraId="54A525E8" w14:textId="77777777" w:rsidR="00296845" w:rsidRPr="00970D60" w:rsidRDefault="00296845" w:rsidP="00C733F1">
      <w:pPr>
        <w:spacing w:after="0" w:line="360" w:lineRule="auto"/>
        <w:jc w:val="right"/>
        <w:rPr>
          <w:rFonts w:eastAsia="Times New Roman" w:cs="Times New Roman"/>
          <w:bCs/>
          <w:sz w:val="28"/>
          <w:szCs w:val="28"/>
          <w:lang w:val="en-US" w:eastAsia="en-ZA"/>
        </w:rPr>
      </w:pPr>
      <w:r w:rsidRPr="00970D60">
        <w:rPr>
          <w:rFonts w:eastAsia="Times New Roman" w:cs="Times New Roman"/>
          <w:bCs/>
          <w:sz w:val="28"/>
          <w:szCs w:val="28"/>
          <w:lang w:val="en-US" w:eastAsia="en-ZA"/>
        </w:rPr>
        <w:t>A SCHIPPERS</w:t>
      </w:r>
    </w:p>
    <w:p w14:paraId="5EAC26B9" w14:textId="77777777" w:rsidR="00296845" w:rsidRPr="00970D60" w:rsidRDefault="00296845" w:rsidP="00C733F1">
      <w:pPr>
        <w:spacing w:after="0" w:line="360" w:lineRule="auto"/>
        <w:jc w:val="right"/>
        <w:rPr>
          <w:rFonts w:eastAsia="Times New Roman" w:cs="Times New Roman"/>
          <w:sz w:val="28"/>
          <w:szCs w:val="28"/>
          <w:lang w:val="en-US" w:eastAsia="en-ZA"/>
        </w:rPr>
      </w:pPr>
      <w:r w:rsidRPr="00970D60">
        <w:rPr>
          <w:rFonts w:eastAsia="Times New Roman" w:cs="Times New Roman"/>
          <w:sz w:val="28"/>
          <w:szCs w:val="28"/>
          <w:lang w:val="en-US" w:eastAsia="en-ZA"/>
        </w:rPr>
        <w:t>JUDGE OF APPEAL</w:t>
      </w:r>
    </w:p>
    <w:p w14:paraId="65C4F21C" w14:textId="77777777" w:rsidR="00050DED" w:rsidRDefault="00050DED" w:rsidP="00C90B17">
      <w:pPr>
        <w:spacing w:after="0" w:line="360" w:lineRule="auto"/>
        <w:jc w:val="both"/>
        <w:rPr>
          <w:rFonts w:eastAsia="Times New Roman" w:cs="Times New Roman"/>
          <w:sz w:val="28"/>
          <w:szCs w:val="28"/>
          <w:lang w:val="en-GB" w:eastAsia="en-GB"/>
        </w:rPr>
      </w:pPr>
    </w:p>
    <w:p w14:paraId="6A4D033E" w14:textId="77777777" w:rsidR="00050DED" w:rsidRDefault="00050DED" w:rsidP="00C90B17">
      <w:pPr>
        <w:spacing w:after="0" w:line="360" w:lineRule="auto"/>
        <w:jc w:val="both"/>
        <w:rPr>
          <w:rFonts w:eastAsia="Times New Roman" w:cs="Times New Roman"/>
          <w:sz w:val="28"/>
          <w:szCs w:val="28"/>
          <w:lang w:val="en-GB" w:eastAsia="en-GB"/>
        </w:rPr>
      </w:pPr>
    </w:p>
    <w:p w14:paraId="02B2E47E" w14:textId="77777777" w:rsidR="00050DED" w:rsidRDefault="00050DED" w:rsidP="00C90B17">
      <w:pPr>
        <w:spacing w:after="0" w:line="360" w:lineRule="auto"/>
        <w:jc w:val="both"/>
        <w:rPr>
          <w:rFonts w:eastAsia="Times New Roman" w:cs="Times New Roman"/>
          <w:sz w:val="28"/>
          <w:szCs w:val="28"/>
          <w:lang w:val="en-GB" w:eastAsia="en-GB"/>
        </w:rPr>
      </w:pPr>
    </w:p>
    <w:p w14:paraId="26B9A0C4" w14:textId="77777777" w:rsidR="00050DED" w:rsidRDefault="00050DED" w:rsidP="00C90B17">
      <w:pPr>
        <w:spacing w:after="0" w:line="360" w:lineRule="auto"/>
        <w:jc w:val="both"/>
        <w:rPr>
          <w:rFonts w:eastAsia="Times New Roman" w:cs="Times New Roman"/>
          <w:sz w:val="28"/>
          <w:szCs w:val="28"/>
          <w:lang w:val="en-GB" w:eastAsia="en-GB"/>
        </w:rPr>
      </w:pPr>
    </w:p>
    <w:p w14:paraId="085A330F" w14:textId="77777777" w:rsidR="00050DED" w:rsidRDefault="00050DED" w:rsidP="00C90B17">
      <w:pPr>
        <w:spacing w:after="0" w:line="360" w:lineRule="auto"/>
        <w:jc w:val="both"/>
        <w:rPr>
          <w:rFonts w:eastAsia="Times New Roman" w:cs="Times New Roman"/>
          <w:sz w:val="28"/>
          <w:szCs w:val="28"/>
          <w:lang w:val="en-GB" w:eastAsia="en-GB"/>
        </w:rPr>
      </w:pPr>
    </w:p>
    <w:p w14:paraId="6F5727BB" w14:textId="77777777" w:rsidR="00050DED" w:rsidRDefault="00050DED" w:rsidP="00C90B17">
      <w:pPr>
        <w:spacing w:after="0" w:line="360" w:lineRule="auto"/>
        <w:jc w:val="both"/>
        <w:rPr>
          <w:rFonts w:eastAsia="Times New Roman" w:cs="Times New Roman"/>
          <w:sz w:val="28"/>
          <w:szCs w:val="28"/>
          <w:lang w:val="en-GB" w:eastAsia="en-GB"/>
        </w:rPr>
      </w:pPr>
    </w:p>
    <w:p w14:paraId="4C8D0EF3" w14:textId="77777777" w:rsidR="00050DED" w:rsidRDefault="00050DED" w:rsidP="00C90B17">
      <w:pPr>
        <w:spacing w:after="0" w:line="360" w:lineRule="auto"/>
        <w:jc w:val="both"/>
        <w:rPr>
          <w:rFonts w:eastAsia="Times New Roman" w:cs="Times New Roman"/>
          <w:sz w:val="28"/>
          <w:szCs w:val="28"/>
          <w:lang w:val="en-GB" w:eastAsia="en-GB"/>
        </w:rPr>
      </w:pPr>
    </w:p>
    <w:p w14:paraId="48DF896E" w14:textId="0A0DB566" w:rsidR="00900D1B" w:rsidRDefault="00900D1B">
      <w:pPr>
        <w:rPr>
          <w:rFonts w:eastAsia="Times New Roman" w:cs="Times New Roman"/>
          <w:sz w:val="28"/>
          <w:szCs w:val="28"/>
          <w:lang w:val="en-GB" w:eastAsia="en-GB"/>
        </w:rPr>
      </w:pPr>
      <w:r>
        <w:rPr>
          <w:rFonts w:eastAsia="Times New Roman" w:cs="Times New Roman"/>
          <w:sz w:val="28"/>
          <w:szCs w:val="28"/>
          <w:lang w:val="en-GB" w:eastAsia="en-GB"/>
        </w:rPr>
        <w:br w:type="page"/>
      </w:r>
    </w:p>
    <w:p w14:paraId="4AF4CF5D" w14:textId="77777777" w:rsidR="00050DED" w:rsidRDefault="00050DED" w:rsidP="00C90B17">
      <w:pPr>
        <w:spacing w:after="0" w:line="360" w:lineRule="auto"/>
        <w:jc w:val="both"/>
        <w:rPr>
          <w:rFonts w:eastAsia="Times New Roman" w:cs="Times New Roman"/>
          <w:sz w:val="28"/>
          <w:szCs w:val="28"/>
          <w:lang w:val="en-GB" w:eastAsia="en-GB"/>
        </w:rPr>
      </w:pPr>
    </w:p>
    <w:p w14:paraId="637D4675" w14:textId="77AC01A0" w:rsidR="00CA0DB8" w:rsidRPr="00970D60" w:rsidRDefault="008D6BB5" w:rsidP="00C90B17">
      <w:pPr>
        <w:spacing w:after="0" w:line="360" w:lineRule="auto"/>
        <w:jc w:val="both"/>
        <w:rPr>
          <w:rFonts w:eastAsia="Times New Roman" w:cs="Times New Roman"/>
          <w:sz w:val="28"/>
          <w:szCs w:val="28"/>
          <w:lang w:val="en-GB" w:eastAsia="en-ZA"/>
        </w:rPr>
      </w:pPr>
      <w:r>
        <w:rPr>
          <w:rFonts w:eastAsia="Times New Roman" w:cs="Times New Roman"/>
          <w:sz w:val="28"/>
          <w:szCs w:val="28"/>
          <w:lang w:val="en-GB" w:eastAsia="en-GB"/>
        </w:rPr>
        <w:t>A</w:t>
      </w:r>
      <w:r w:rsidR="00CA0DB8" w:rsidRPr="00970D60">
        <w:rPr>
          <w:rFonts w:eastAsia="Times New Roman" w:cs="Times New Roman"/>
          <w:sz w:val="28"/>
          <w:szCs w:val="28"/>
          <w:lang w:val="en-GB" w:eastAsia="en-GB"/>
        </w:rPr>
        <w:t>ppearances:</w:t>
      </w:r>
    </w:p>
    <w:p w14:paraId="5804D12A" w14:textId="77777777" w:rsidR="00CA0DB8" w:rsidRPr="00970D60" w:rsidRDefault="00CA0DB8" w:rsidP="00C90B17">
      <w:pPr>
        <w:spacing w:after="0" w:line="360" w:lineRule="auto"/>
        <w:jc w:val="both"/>
        <w:rPr>
          <w:rFonts w:eastAsia="Times New Roman" w:cs="Times New Roman"/>
          <w:sz w:val="28"/>
          <w:szCs w:val="28"/>
          <w:lang w:val="en-GB" w:eastAsia="en-GB"/>
        </w:rPr>
      </w:pPr>
    </w:p>
    <w:p w14:paraId="4BD93038" w14:textId="67EAC1D6" w:rsidR="00A11D12" w:rsidRPr="00A11D12" w:rsidRDefault="00CA0DB8" w:rsidP="00A11D12">
      <w:pPr>
        <w:spacing w:after="0" w:line="360" w:lineRule="auto"/>
        <w:contextualSpacing/>
        <w:jc w:val="both"/>
        <w:rPr>
          <w:rFonts w:cs="Times New Roman"/>
          <w:sz w:val="24"/>
          <w:szCs w:val="24"/>
        </w:rPr>
      </w:pPr>
      <w:r w:rsidRPr="00970D60">
        <w:rPr>
          <w:rFonts w:eastAsia="Times New Roman" w:cs="Times New Roman"/>
          <w:sz w:val="28"/>
          <w:szCs w:val="28"/>
          <w:lang w:val="en-GB" w:eastAsia="en-GB"/>
        </w:rPr>
        <w:t>For</w:t>
      </w:r>
      <w:r w:rsidR="004F6FA5">
        <w:rPr>
          <w:rFonts w:eastAsia="Times New Roman" w:cs="Times New Roman"/>
          <w:sz w:val="28"/>
          <w:szCs w:val="28"/>
          <w:lang w:val="en-GB" w:eastAsia="en-GB"/>
        </w:rPr>
        <w:t xml:space="preserve"> </w:t>
      </w:r>
      <w:r w:rsidR="003432BA" w:rsidRPr="00970D60">
        <w:rPr>
          <w:rFonts w:eastAsia="Times New Roman" w:cs="Times New Roman"/>
          <w:sz w:val="28"/>
          <w:szCs w:val="28"/>
          <w:lang w:val="en-GB" w:eastAsia="en-GB"/>
        </w:rPr>
        <w:t>appellant</w:t>
      </w:r>
      <w:r w:rsidRPr="00970D60">
        <w:rPr>
          <w:rFonts w:eastAsia="Times New Roman" w:cs="Times New Roman"/>
          <w:sz w:val="28"/>
          <w:szCs w:val="28"/>
          <w:lang w:val="en-GB" w:eastAsia="en-GB"/>
        </w:rPr>
        <w:t>:</w:t>
      </w:r>
      <w:r w:rsidR="000F06A2">
        <w:rPr>
          <w:rFonts w:eastAsia="Times New Roman" w:cs="Times New Roman"/>
          <w:sz w:val="28"/>
          <w:szCs w:val="28"/>
          <w:lang w:val="en-GB" w:eastAsia="en-GB"/>
        </w:rPr>
        <w:tab/>
      </w:r>
      <w:r w:rsidR="00A11D12">
        <w:rPr>
          <w:rFonts w:eastAsia="Times New Roman" w:cs="Times New Roman"/>
          <w:sz w:val="28"/>
          <w:szCs w:val="28"/>
          <w:lang w:val="en-GB" w:eastAsia="en-GB"/>
        </w:rPr>
        <w:tab/>
      </w:r>
      <w:r w:rsidR="00050DED">
        <w:rPr>
          <w:rFonts w:eastAsia="Times New Roman" w:cs="Times New Roman"/>
          <w:sz w:val="28"/>
          <w:szCs w:val="28"/>
          <w:lang w:val="en-GB" w:eastAsia="en-GB"/>
        </w:rPr>
        <w:t>A</w:t>
      </w:r>
      <w:r w:rsidR="00767B58">
        <w:rPr>
          <w:rFonts w:eastAsia="Times New Roman" w:cs="Times New Roman"/>
          <w:sz w:val="28"/>
          <w:szCs w:val="28"/>
          <w:lang w:val="en-GB" w:eastAsia="en-GB"/>
        </w:rPr>
        <w:t xml:space="preserve"> </w:t>
      </w:r>
      <w:r w:rsidR="00050DED">
        <w:rPr>
          <w:rFonts w:eastAsia="Times New Roman" w:cs="Times New Roman"/>
          <w:sz w:val="28"/>
          <w:szCs w:val="28"/>
          <w:lang w:val="en-GB" w:eastAsia="en-GB"/>
        </w:rPr>
        <w:t xml:space="preserve">B Rossouw SC </w:t>
      </w:r>
      <w:r w:rsidR="009677C7">
        <w:rPr>
          <w:rFonts w:eastAsia="Times New Roman" w:cs="Times New Roman"/>
          <w:sz w:val="28"/>
          <w:szCs w:val="28"/>
          <w:lang w:val="en-GB" w:eastAsia="en-GB"/>
        </w:rPr>
        <w:t xml:space="preserve">and </w:t>
      </w:r>
      <w:r w:rsidR="00767B58">
        <w:rPr>
          <w:rFonts w:eastAsia="Times New Roman" w:cs="Times New Roman"/>
          <w:sz w:val="28"/>
          <w:szCs w:val="28"/>
          <w:lang w:val="en-GB" w:eastAsia="en-GB"/>
        </w:rPr>
        <w:t>A P J Bouwer</w:t>
      </w:r>
      <w:r w:rsidR="00050DED">
        <w:rPr>
          <w:rFonts w:eastAsia="Times New Roman" w:cs="Times New Roman"/>
          <w:sz w:val="28"/>
          <w:szCs w:val="28"/>
          <w:lang w:val="en-GB" w:eastAsia="en-GB"/>
        </w:rPr>
        <w:t xml:space="preserve"> </w:t>
      </w:r>
    </w:p>
    <w:p w14:paraId="661BA6C3" w14:textId="1C07AEFF" w:rsidR="00CA0DB8" w:rsidRPr="00970D60" w:rsidRDefault="00CA0DB8" w:rsidP="004F6FA5">
      <w:pPr>
        <w:spacing w:after="0" w:line="360" w:lineRule="auto"/>
        <w:ind w:left="2880" w:hanging="2880"/>
        <w:jc w:val="both"/>
        <w:rPr>
          <w:rFonts w:eastAsia="Times New Roman" w:cs="Times New Roman"/>
          <w:sz w:val="28"/>
          <w:szCs w:val="28"/>
          <w:lang w:eastAsia="en-GB"/>
        </w:rPr>
      </w:pPr>
      <w:r w:rsidRPr="00970D60">
        <w:rPr>
          <w:rFonts w:eastAsia="Times New Roman" w:cs="Times New Roman"/>
          <w:sz w:val="28"/>
          <w:szCs w:val="28"/>
          <w:lang w:eastAsia="en-GB"/>
        </w:rPr>
        <w:t>I</w:t>
      </w:r>
      <w:r w:rsidR="00CA1420" w:rsidRPr="00970D60">
        <w:rPr>
          <w:rFonts w:eastAsia="Times New Roman" w:cs="Times New Roman"/>
          <w:sz w:val="28"/>
          <w:szCs w:val="28"/>
          <w:lang w:eastAsia="en-GB"/>
        </w:rPr>
        <w:t>nstructed by:</w:t>
      </w:r>
      <w:r w:rsidR="00C733F1" w:rsidRPr="00970D60">
        <w:rPr>
          <w:rFonts w:eastAsia="Times New Roman" w:cs="Times New Roman"/>
          <w:sz w:val="28"/>
          <w:szCs w:val="28"/>
          <w:lang w:eastAsia="en-GB"/>
        </w:rPr>
        <w:tab/>
      </w:r>
      <w:r w:rsidR="008A07F3">
        <w:rPr>
          <w:rFonts w:eastAsia="Times New Roman" w:cs="Times New Roman"/>
          <w:sz w:val="28"/>
          <w:szCs w:val="28"/>
          <w:lang w:eastAsia="en-GB"/>
        </w:rPr>
        <w:t>Mac</w:t>
      </w:r>
      <w:r w:rsidR="00436759">
        <w:rPr>
          <w:rFonts w:eastAsia="Times New Roman" w:cs="Times New Roman"/>
          <w:sz w:val="28"/>
          <w:szCs w:val="28"/>
          <w:lang w:eastAsia="en-GB"/>
        </w:rPr>
        <w:t>R</w:t>
      </w:r>
      <w:r w:rsidR="008A07F3">
        <w:rPr>
          <w:rFonts w:eastAsia="Times New Roman" w:cs="Times New Roman"/>
          <w:sz w:val="28"/>
          <w:szCs w:val="28"/>
          <w:lang w:eastAsia="en-GB"/>
        </w:rPr>
        <w:t>obert Attorneys, Pretoria</w:t>
      </w:r>
    </w:p>
    <w:p w14:paraId="4DD97F8C" w14:textId="49DE9B0E" w:rsidR="00CA0DB8" w:rsidRDefault="00C733F1"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eastAsia="en-GB"/>
        </w:rPr>
        <w:tab/>
      </w:r>
      <w:r w:rsidRPr="00970D60">
        <w:rPr>
          <w:rFonts w:eastAsia="Times New Roman" w:cs="Times New Roman"/>
          <w:sz w:val="28"/>
          <w:szCs w:val="28"/>
          <w:lang w:eastAsia="en-GB"/>
        </w:rPr>
        <w:tab/>
      </w:r>
      <w:r w:rsidRPr="00970D60">
        <w:rPr>
          <w:rFonts w:eastAsia="Times New Roman" w:cs="Times New Roman"/>
          <w:sz w:val="28"/>
          <w:szCs w:val="28"/>
          <w:lang w:eastAsia="en-GB"/>
        </w:rPr>
        <w:tab/>
      </w:r>
      <w:r w:rsidR="007A3DA8">
        <w:rPr>
          <w:rFonts w:eastAsia="Times New Roman" w:cs="Times New Roman"/>
          <w:sz w:val="28"/>
          <w:szCs w:val="28"/>
          <w:lang w:eastAsia="en-GB"/>
        </w:rPr>
        <w:tab/>
      </w:r>
      <w:r w:rsidR="008A07F3">
        <w:rPr>
          <w:rFonts w:eastAsia="Times New Roman" w:cs="Times New Roman"/>
          <w:sz w:val="28"/>
          <w:szCs w:val="28"/>
          <w:lang w:eastAsia="en-GB"/>
        </w:rPr>
        <w:t>Honey</w:t>
      </w:r>
      <w:r w:rsidR="008D6BB5">
        <w:rPr>
          <w:rFonts w:eastAsia="Times New Roman" w:cs="Times New Roman"/>
          <w:sz w:val="28"/>
          <w:szCs w:val="28"/>
          <w:lang w:eastAsia="en-GB"/>
        </w:rPr>
        <w:t xml:space="preserve"> Attorneys</w:t>
      </w:r>
      <w:r w:rsidR="00CA0DB8" w:rsidRPr="00970D60">
        <w:rPr>
          <w:rFonts w:eastAsia="Times New Roman" w:cs="Times New Roman"/>
          <w:sz w:val="28"/>
          <w:szCs w:val="28"/>
          <w:lang w:eastAsia="en-GB"/>
        </w:rPr>
        <w:t>, Bloemfontein</w:t>
      </w:r>
    </w:p>
    <w:p w14:paraId="2BFF0F9A" w14:textId="77777777" w:rsidR="00CA0DB8" w:rsidRPr="00970D60" w:rsidRDefault="00CA0DB8"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eastAsia="en-GB"/>
        </w:rPr>
        <w:t xml:space="preserve">                                     </w:t>
      </w:r>
    </w:p>
    <w:p w14:paraId="73065671" w14:textId="1895C386" w:rsidR="00A11D12" w:rsidRPr="00A11D12" w:rsidRDefault="00CA0DB8" w:rsidP="00A11D12">
      <w:pPr>
        <w:spacing w:after="0" w:line="360" w:lineRule="auto"/>
        <w:contextualSpacing/>
        <w:jc w:val="both"/>
        <w:rPr>
          <w:rFonts w:cs="Times New Roman"/>
          <w:sz w:val="24"/>
          <w:szCs w:val="24"/>
        </w:rPr>
      </w:pPr>
      <w:r w:rsidRPr="00970D60">
        <w:rPr>
          <w:rFonts w:eastAsia="Times New Roman" w:cs="Times New Roman"/>
          <w:sz w:val="28"/>
          <w:szCs w:val="28"/>
          <w:lang w:val="en-GB" w:eastAsia="en-GB"/>
        </w:rPr>
        <w:t>For</w:t>
      </w:r>
      <w:r w:rsidR="00E46F15">
        <w:rPr>
          <w:rFonts w:eastAsia="Times New Roman" w:cs="Times New Roman"/>
          <w:sz w:val="28"/>
          <w:szCs w:val="28"/>
          <w:lang w:val="en-GB" w:eastAsia="en-GB"/>
        </w:rPr>
        <w:t xml:space="preserve"> </w:t>
      </w:r>
      <w:r w:rsidR="00296845" w:rsidRPr="00970D60">
        <w:rPr>
          <w:rFonts w:eastAsia="Times New Roman" w:cs="Times New Roman"/>
          <w:sz w:val="28"/>
          <w:szCs w:val="28"/>
          <w:lang w:val="en-GB" w:eastAsia="en-GB"/>
        </w:rPr>
        <w:t>r</w:t>
      </w:r>
      <w:r w:rsidRPr="00970D60">
        <w:rPr>
          <w:rFonts w:eastAsia="Times New Roman" w:cs="Times New Roman"/>
          <w:sz w:val="28"/>
          <w:szCs w:val="28"/>
          <w:lang w:val="en-GB" w:eastAsia="en-GB"/>
        </w:rPr>
        <w:t>espondent:</w:t>
      </w:r>
      <w:r w:rsidR="00E46F15">
        <w:rPr>
          <w:rFonts w:eastAsia="Times New Roman" w:cs="Times New Roman"/>
          <w:sz w:val="28"/>
          <w:szCs w:val="28"/>
          <w:lang w:val="en-GB" w:eastAsia="en-GB"/>
        </w:rPr>
        <w:tab/>
      </w:r>
      <w:r w:rsidR="001959BD">
        <w:rPr>
          <w:rFonts w:eastAsia="Times New Roman" w:cs="Times New Roman"/>
          <w:sz w:val="28"/>
          <w:szCs w:val="28"/>
          <w:lang w:val="en-GB" w:eastAsia="en-GB"/>
        </w:rPr>
        <w:tab/>
      </w:r>
      <w:r w:rsidR="000775F1">
        <w:rPr>
          <w:rFonts w:eastAsia="Times New Roman" w:cs="Times New Roman"/>
          <w:sz w:val="28"/>
          <w:szCs w:val="28"/>
          <w:lang w:eastAsia="en-GB"/>
        </w:rPr>
        <w:t>B</w:t>
      </w:r>
      <w:r w:rsidR="00767B58">
        <w:rPr>
          <w:rFonts w:eastAsia="Times New Roman" w:cs="Times New Roman"/>
          <w:sz w:val="28"/>
          <w:szCs w:val="28"/>
          <w:lang w:eastAsia="en-GB"/>
        </w:rPr>
        <w:t xml:space="preserve"> </w:t>
      </w:r>
      <w:r w:rsidR="000775F1">
        <w:rPr>
          <w:rFonts w:eastAsia="Times New Roman" w:cs="Times New Roman"/>
          <w:sz w:val="28"/>
          <w:szCs w:val="28"/>
          <w:lang w:eastAsia="en-GB"/>
        </w:rPr>
        <w:t>L Manentsa and Z Ngakane</w:t>
      </w:r>
    </w:p>
    <w:p w14:paraId="552F228A" w14:textId="35742F3B" w:rsidR="00CA0DB8" w:rsidRPr="00970D60" w:rsidRDefault="00CA0DB8"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val="en-GB" w:eastAsia="en-GB"/>
        </w:rPr>
        <w:t>Instructed by:</w:t>
      </w:r>
      <w:r w:rsidRPr="00970D60">
        <w:rPr>
          <w:rFonts w:eastAsia="Times New Roman" w:cs="Times New Roman"/>
          <w:sz w:val="28"/>
          <w:szCs w:val="28"/>
          <w:lang w:val="en-GB" w:eastAsia="en-GB"/>
        </w:rPr>
        <w:tab/>
      </w:r>
      <w:r w:rsidR="00E46F15">
        <w:rPr>
          <w:rFonts w:eastAsia="Times New Roman" w:cs="Times New Roman"/>
          <w:sz w:val="28"/>
          <w:szCs w:val="28"/>
          <w:lang w:val="en-GB" w:eastAsia="en-GB"/>
        </w:rPr>
        <w:tab/>
      </w:r>
      <w:r w:rsidR="008A07F3">
        <w:rPr>
          <w:rFonts w:eastAsia="Times New Roman" w:cs="Times New Roman"/>
          <w:sz w:val="28"/>
          <w:szCs w:val="28"/>
          <w:lang w:eastAsia="en-GB"/>
        </w:rPr>
        <w:t>Adams &amp; Adams, Pretoria</w:t>
      </w:r>
    </w:p>
    <w:p w14:paraId="0C4CDAC8" w14:textId="6127AF9A" w:rsidR="00CA0DB8" w:rsidRDefault="00C733F1"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eastAsia="en-GB"/>
        </w:rPr>
        <w:tab/>
      </w:r>
      <w:r w:rsidRPr="00970D60">
        <w:rPr>
          <w:rFonts w:eastAsia="Times New Roman" w:cs="Times New Roman"/>
          <w:sz w:val="28"/>
          <w:szCs w:val="28"/>
          <w:lang w:eastAsia="en-GB"/>
        </w:rPr>
        <w:tab/>
      </w:r>
      <w:r w:rsidRPr="00970D60">
        <w:rPr>
          <w:rFonts w:eastAsia="Times New Roman" w:cs="Times New Roman"/>
          <w:sz w:val="28"/>
          <w:szCs w:val="28"/>
          <w:lang w:eastAsia="en-GB"/>
        </w:rPr>
        <w:tab/>
      </w:r>
      <w:r w:rsidR="00E46F15">
        <w:rPr>
          <w:rFonts w:eastAsia="Times New Roman" w:cs="Times New Roman"/>
          <w:sz w:val="28"/>
          <w:szCs w:val="28"/>
          <w:lang w:eastAsia="en-GB"/>
        </w:rPr>
        <w:t xml:space="preserve"> </w:t>
      </w:r>
      <w:r w:rsidR="00E46F15">
        <w:rPr>
          <w:rFonts w:eastAsia="Times New Roman" w:cs="Times New Roman"/>
          <w:sz w:val="28"/>
          <w:szCs w:val="28"/>
          <w:lang w:eastAsia="en-GB"/>
        </w:rPr>
        <w:tab/>
      </w:r>
      <w:r w:rsidR="008A07F3">
        <w:rPr>
          <w:rFonts w:eastAsia="Times New Roman" w:cs="Times New Roman"/>
          <w:sz w:val="28"/>
          <w:szCs w:val="28"/>
          <w:lang w:eastAsia="en-GB"/>
        </w:rPr>
        <w:t>Phatshoane Henney</w:t>
      </w:r>
      <w:r w:rsidR="00F809E2">
        <w:rPr>
          <w:rFonts w:eastAsia="Times New Roman" w:cs="Times New Roman"/>
          <w:sz w:val="28"/>
          <w:szCs w:val="28"/>
          <w:lang w:eastAsia="en-GB"/>
        </w:rPr>
        <w:t xml:space="preserve"> Attorneys</w:t>
      </w:r>
      <w:r w:rsidR="001959BD">
        <w:rPr>
          <w:rFonts w:eastAsia="Times New Roman" w:cs="Times New Roman"/>
          <w:sz w:val="28"/>
          <w:szCs w:val="28"/>
          <w:lang w:eastAsia="en-GB"/>
        </w:rPr>
        <w:t>,</w:t>
      </w:r>
      <w:r w:rsidR="00CA0DB8" w:rsidRPr="00970D60">
        <w:rPr>
          <w:rFonts w:eastAsia="Times New Roman" w:cs="Times New Roman"/>
          <w:sz w:val="28"/>
          <w:szCs w:val="28"/>
          <w:lang w:eastAsia="en-GB"/>
        </w:rPr>
        <w:t xml:space="preserve"> Bloemfo</w:t>
      </w:r>
      <w:r w:rsidR="001959BD">
        <w:rPr>
          <w:rFonts w:eastAsia="Times New Roman" w:cs="Times New Roman"/>
          <w:sz w:val="28"/>
          <w:szCs w:val="28"/>
          <w:lang w:eastAsia="en-GB"/>
        </w:rPr>
        <w:t>n</w:t>
      </w:r>
      <w:r w:rsidR="00CA0DB8" w:rsidRPr="00970D60">
        <w:rPr>
          <w:rFonts w:eastAsia="Times New Roman" w:cs="Times New Roman"/>
          <w:sz w:val="28"/>
          <w:szCs w:val="28"/>
          <w:lang w:eastAsia="en-GB"/>
        </w:rPr>
        <w:t>tein</w:t>
      </w:r>
    </w:p>
    <w:p w14:paraId="7B71EB8A" w14:textId="77777777" w:rsidR="00003FE0" w:rsidRDefault="00003FE0" w:rsidP="00C90B17">
      <w:pPr>
        <w:spacing w:after="0" w:line="360" w:lineRule="auto"/>
        <w:jc w:val="both"/>
        <w:rPr>
          <w:rFonts w:eastAsia="Times New Roman" w:cs="Times New Roman"/>
          <w:sz w:val="28"/>
          <w:szCs w:val="28"/>
          <w:lang w:eastAsia="en-GB"/>
        </w:rPr>
      </w:pPr>
    </w:p>
    <w:sectPr w:rsidR="00003FE0" w:rsidSect="00FA6203">
      <w:headerReference w:type="default" r:id="rId9"/>
      <w:footerReference w:type="default" r:id="rId10"/>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FBB2A" w14:textId="77777777" w:rsidR="00A156B4" w:rsidRDefault="00A156B4" w:rsidP="005F2683">
      <w:pPr>
        <w:spacing w:after="0" w:line="240" w:lineRule="auto"/>
      </w:pPr>
      <w:r>
        <w:separator/>
      </w:r>
    </w:p>
  </w:endnote>
  <w:endnote w:type="continuationSeparator" w:id="0">
    <w:p w14:paraId="2C7A65C5" w14:textId="77777777" w:rsidR="00A156B4" w:rsidRDefault="00A156B4" w:rsidP="005F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9FF4" w14:textId="77777777" w:rsidR="00822DF5" w:rsidRDefault="00822DF5" w:rsidP="005F2683">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AA6B0" w14:textId="77777777" w:rsidR="00A156B4" w:rsidRDefault="00A156B4" w:rsidP="005F2683">
      <w:pPr>
        <w:spacing w:after="0" w:line="240" w:lineRule="auto"/>
      </w:pPr>
      <w:r>
        <w:separator/>
      </w:r>
    </w:p>
  </w:footnote>
  <w:footnote w:type="continuationSeparator" w:id="0">
    <w:p w14:paraId="796771FF" w14:textId="77777777" w:rsidR="00A156B4" w:rsidRDefault="00A156B4" w:rsidP="005F2683">
      <w:pPr>
        <w:spacing w:after="0" w:line="240" w:lineRule="auto"/>
      </w:pPr>
      <w:r>
        <w:continuationSeparator/>
      </w:r>
    </w:p>
  </w:footnote>
  <w:footnote w:id="1">
    <w:p w14:paraId="3EB664C4" w14:textId="4E81D6EC" w:rsidR="00822DF5" w:rsidRDefault="00822DF5" w:rsidP="001153B0">
      <w:pPr>
        <w:pStyle w:val="FootnoteText"/>
        <w:jc w:val="both"/>
      </w:pPr>
      <w:r>
        <w:rPr>
          <w:rStyle w:val="FootnoteReference"/>
        </w:rPr>
        <w:footnoteRef/>
      </w:r>
      <w:r>
        <w:t xml:space="preserve"> </w:t>
      </w:r>
      <w:r w:rsidRPr="001A403F">
        <w:rPr>
          <w:i/>
        </w:rPr>
        <w:t xml:space="preserve">Montesse Township </w:t>
      </w:r>
      <w:r w:rsidR="00F92820">
        <w:rPr>
          <w:i/>
        </w:rPr>
        <w:t>and</w:t>
      </w:r>
      <w:r w:rsidRPr="001A403F">
        <w:rPr>
          <w:i/>
        </w:rPr>
        <w:t xml:space="preserve"> Investment Corp</w:t>
      </w:r>
      <w:r w:rsidR="00F92820">
        <w:rPr>
          <w:i/>
        </w:rPr>
        <w:t xml:space="preserve">oration </w:t>
      </w:r>
      <w:r w:rsidRPr="001A403F">
        <w:rPr>
          <w:i/>
        </w:rPr>
        <w:t>(Pty) Ltd</w:t>
      </w:r>
      <w:r w:rsidR="00F92820" w:rsidRPr="00F92820">
        <w:rPr>
          <w:i/>
        </w:rPr>
        <w:t xml:space="preserve"> </w:t>
      </w:r>
      <w:r w:rsidR="00F92820">
        <w:rPr>
          <w:i/>
        </w:rPr>
        <w:t>and Another</w:t>
      </w:r>
      <w:r w:rsidRPr="001A403F">
        <w:rPr>
          <w:i/>
        </w:rPr>
        <w:t xml:space="preserve"> v Gouws NO</w:t>
      </w:r>
      <w:r w:rsidR="00F92820">
        <w:rPr>
          <w:i/>
        </w:rPr>
        <w:t>, and Another</w:t>
      </w:r>
      <w:r>
        <w:t xml:space="preserve"> [1965] 4 All SA 285 (A)</w:t>
      </w:r>
      <w:r w:rsidR="000A3C56">
        <w:t>;</w:t>
      </w:r>
      <w:r>
        <w:t xml:space="preserve"> 1965 (4) SA 373 (A) at 381B-C. </w:t>
      </w:r>
    </w:p>
  </w:footnote>
  <w:footnote w:id="2">
    <w:p w14:paraId="3E009AE3" w14:textId="4583F875" w:rsidR="00822DF5" w:rsidRDefault="00822DF5" w:rsidP="001153B0">
      <w:pPr>
        <w:pStyle w:val="FootnoteText"/>
        <w:jc w:val="both"/>
      </w:pPr>
      <w:r>
        <w:rPr>
          <w:rStyle w:val="FootnoteReference"/>
        </w:rPr>
        <w:footnoteRef/>
      </w:r>
      <w:r>
        <w:t xml:space="preserve"> </w:t>
      </w:r>
      <w:r w:rsidRPr="00727BA1">
        <w:rPr>
          <w:i/>
        </w:rPr>
        <w:t>Feinstein v Niggli</w:t>
      </w:r>
      <w:r>
        <w:rPr>
          <w:i/>
        </w:rPr>
        <w:t xml:space="preserve"> and Another</w:t>
      </w:r>
      <w:r>
        <w:t xml:space="preserve"> [1981</w:t>
      </w:r>
      <w:r w:rsidR="00900D1B">
        <w:t>]</w:t>
      </w:r>
      <w:r>
        <w:t xml:space="preserve"> 2 All SA 92 (A)</w:t>
      </w:r>
      <w:r w:rsidR="000A3C56">
        <w:t xml:space="preserve">; </w:t>
      </w:r>
      <w:r>
        <w:t xml:space="preserve">1981 (2) SA 684 (A) at 698F; </w:t>
      </w:r>
      <w:r w:rsidRPr="00D9587D">
        <w:rPr>
          <w:i/>
        </w:rPr>
        <w:t>Borstlap v Spangenberg</w:t>
      </w:r>
      <w:r w:rsidR="004011AE">
        <w:rPr>
          <w:i/>
        </w:rPr>
        <w:t xml:space="preserve"> en Andere</w:t>
      </w:r>
      <w:r>
        <w:t xml:space="preserve"> [1974] 4 All SA 25 (A)</w:t>
      </w:r>
      <w:r w:rsidR="000A3C56">
        <w:t>;</w:t>
      </w:r>
      <w:r>
        <w:t xml:space="preserve"> 1974 (3) SA 695 (A) at 704E-H.</w:t>
      </w:r>
    </w:p>
  </w:footnote>
  <w:footnote w:id="3">
    <w:p w14:paraId="3842BC39" w14:textId="23DD5E6D" w:rsidR="00822DF5" w:rsidRDefault="00822DF5" w:rsidP="00564FD0">
      <w:pPr>
        <w:pStyle w:val="FootnoteText"/>
        <w:jc w:val="both"/>
      </w:pPr>
      <w:r>
        <w:rPr>
          <w:rStyle w:val="FootnoteReference"/>
        </w:rPr>
        <w:footnoteRef/>
      </w:r>
      <w:r>
        <w:t xml:space="preserve"> </w:t>
      </w:r>
      <w:r w:rsidRPr="00564FD0">
        <w:rPr>
          <w:i/>
        </w:rPr>
        <w:t>Borstlap</w:t>
      </w:r>
      <w:r>
        <w:t xml:space="preserve"> fn 2 at 704E-H; </w:t>
      </w:r>
      <w:r w:rsidRPr="00D9587D">
        <w:rPr>
          <w:i/>
        </w:rPr>
        <w:t>Road Accident Fund v Mothupi</w:t>
      </w:r>
      <w:r>
        <w:t xml:space="preserve"> [2000] 3 All SA 181 (A)</w:t>
      </w:r>
      <w:r w:rsidR="000A3C56">
        <w:t>;</w:t>
      </w:r>
      <w:r>
        <w:t xml:space="preserve"> 2000 (4) SA 38 (SCA) para</w:t>
      </w:r>
      <w:r w:rsidR="00A96700">
        <w:t> </w:t>
      </w:r>
      <w:r>
        <w:t>19.</w:t>
      </w:r>
    </w:p>
  </w:footnote>
  <w:footnote w:id="4">
    <w:p w14:paraId="733BB4AA" w14:textId="77777777" w:rsidR="00822DF5" w:rsidRDefault="00822DF5" w:rsidP="00E869C8">
      <w:pPr>
        <w:pStyle w:val="FootnoteText"/>
        <w:jc w:val="both"/>
      </w:pPr>
      <w:r>
        <w:rPr>
          <w:rStyle w:val="FootnoteReference"/>
        </w:rPr>
        <w:footnoteRef/>
      </w:r>
      <w:r>
        <w:t xml:space="preserve"> </w:t>
      </w:r>
      <w:r w:rsidRPr="00727BA1">
        <w:rPr>
          <w:i/>
        </w:rPr>
        <w:t>Brisley v Drotsky</w:t>
      </w:r>
      <w:r>
        <w:t xml:space="preserve"> 2002 (4) SA 1 (SCA) para 89 per Cameron JA; </w:t>
      </w:r>
      <w:r w:rsidRPr="00727BA1">
        <w:rPr>
          <w:i/>
        </w:rPr>
        <w:t>SA Sentrale Ko-Op Graanmaatskappy Bpk v Shifren en Andere</w:t>
      </w:r>
      <w:r>
        <w:t xml:space="preserve"> 1964 (4) SA 760 (A) at 767A-B.</w:t>
      </w:r>
    </w:p>
  </w:footnote>
  <w:footnote w:id="5">
    <w:p w14:paraId="548ED56B" w14:textId="4ADA7D5B" w:rsidR="00822DF5" w:rsidRDefault="00822DF5" w:rsidP="001153B0">
      <w:pPr>
        <w:pStyle w:val="FootnoteText"/>
      </w:pPr>
      <w:r>
        <w:rPr>
          <w:rStyle w:val="FootnoteReference"/>
        </w:rPr>
        <w:footnoteRef/>
      </w:r>
      <w:r>
        <w:t xml:space="preserve"> G</w:t>
      </w:r>
      <w:r w:rsidR="0067464A">
        <w:t xml:space="preserve"> </w:t>
      </w:r>
      <w:r>
        <w:t xml:space="preserve">B Bradfield </w:t>
      </w:r>
      <w:r w:rsidRPr="00A13CD2">
        <w:rPr>
          <w:i/>
        </w:rPr>
        <w:t>Christie’s Law of Contract in South Africa</w:t>
      </w:r>
      <w:r>
        <w:t xml:space="preserve"> 7 ed (2016) at 518.</w:t>
      </w:r>
    </w:p>
  </w:footnote>
  <w:footnote w:id="6">
    <w:p w14:paraId="2D3E026A" w14:textId="381DF8D6" w:rsidR="00822DF5" w:rsidRDefault="00822DF5">
      <w:pPr>
        <w:pStyle w:val="FootnoteText"/>
      </w:pPr>
      <w:r>
        <w:rPr>
          <w:rStyle w:val="FootnoteReference"/>
        </w:rPr>
        <w:footnoteRef/>
      </w:r>
      <w:r>
        <w:t xml:space="preserve"> </w:t>
      </w:r>
      <w:r w:rsidRPr="00085EDF">
        <w:rPr>
          <w:i/>
        </w:rPr>
        <w:t>Saambou-Nasionale Bouvereniging v Friedman</w:t>
      </w:r>
      <w:r>
        <w:t xml:space="preserve"> 1979 (3) SA 978 (A).</w:t>
      </w:r>
    </w:p>
  </w:footnote>
  <w:footnote w:id="7">
    <w:p w14:paraId="3D9AC38E" w14:textId="17BB772C" w:rsidR="00822DF5" w:rsidRPr="00822DF5" w:rsidRDefault="00822DF5">
      <w:pPr>
        <w:pStyle w:val="FootnoteText"/>
      </w:pPr>
      <w:r>
        <w:rPr>
          <w:rStyle w:val="FootnoteReference"/>
        </w:rPr>
        <w:footnoteRef/>
      </w:r>
      <w:r>
        <w:t xml:space="preserve"> </w:t>
      </w:r>
      <w:r w:rsidRPr="00085EDF">
        <w:rPr>
          <w:i/>
        </w:rPr>
        <w:t>Saambou-Nasionale Bouvereniging</w:t>
      </w:r>
      <w:r>
        <w:t xml:space="preserve"> fn 6 at 992G-H.</w:t>
      </w:r>
    </w:p>
  </w:footnote>
  <w:footnote w:id="8">
    <w:p w14:paraId="5AB2F934" w14:textId="45CBB0C1" w:rsidR="00012C2F" w:rsidRDefault="00012C2F" w:rsidP="002D14AC">
      <w:pPr>
        <w:pStyle w:val="FootnoteText"/>
        <w:jc w:val="both"/>
      </w:pPr>
      <w:r>
        <w:rPr>
          <w:rStyle w:val="FootnoteReference"/>
        </w:rPr>
        <w:footnoteRef/>
      </w:r>
      <w:r>
        <w:t xml:space="preserve"> </w:t>
      </w:r>
      <w:r w:rsidRPr="00012C2F">
        <w:rPr>
          <w:i/>
        </w:rPr>
        <w:t>Navidas</w:t>
      </w:r>
      <w:r w:rsidR="009677C7">
        <w:rPr>
          <w:i/>
        </w:rPr>
        <w:t xml:space="preserve"> (Pty) Ltd</w:t>
      </w:r>
      <w:r w:rsidRPr="00012C2F">
        <w:rPr>
          <w:i/>
        </w:rPr>
        <w:t xml:space="preserve"> v Essop</w:t>
      </w:r>
      <w:r w:rsidR="009677C7">
        <w:rPr>
          <w:i/>
        </w:rPr>
        <w:t xml:space="preserve">; Metha v Essop </w:t>
      </w:r>
      <w:r>
        <w:t>19</w:t>
      </w:r>
      <w:r w:rsidR="009677C7">
        <w:t>9</w:t>
      </w:r>
      <w:r w:rsidR="00A224D5">
        <w:t>4 (4) SA 141 (A) at 152E. Section</w:t>
      </w:r>
      <w:r>
        <w:t xml:space="preserve"> 43(2)</w:t>
      </w:r>
      <w:r w:rsidRPr="00012C2F">
        <w:rPr>
          <w:i/>
        </w:rPr>
        <w:t>(b)</w:t>
      </w:r>
      <w:r>
        <w:t xml:space="preserve"> of the B</w:t>
      </w:r>
      <w:r w:rsidR="008943F0">
        <w:t>ills of Exchange Act 34 of 1964 provides:</w:t>
      </w:r>
    </w:p>
    <w:p w14:paraId="1F93FCE3" w14:textId="77777777" w:rsidR="008943F0" w:rsidRDefault="008943F0" w:rsidP="002D14AC">
      <w:pPr>
        <w:spacing w:after="0" w:line="240" w:lineRule="auto"/>
        <w:jc w:val="both"/>
        <w:rPr>
          <w:rFonts w:eastAsia="Times New Roman" w:cs="Times New Roman"/>
          <w:color w:val="000000"/>
          <w:sz w:val="20"/>
          <w:szCs w:val="20"/>
          <w:lang w:eastAsia="en-ZA"/>
        </w:rPr>
      </w:pPr>
      <w:r w:rsidRPr="008943F0">
        <w:rPr>
          <w:rFonts w:cs="Times New Roman"/>
          <w:sz w:val="20"/>
          <w:szCs w:val="20"/>
        </w:rPr>
        <w:t>‘</w:t>
      </w:r>
      <w:r w:rsidRPr="008943F0">
        <w:rPr>
          <w:rFonts w:eastAsia="Times New Roman" w:cs="Times New Roman"/>
          <w:color w:val="000000"/>
          <w:sz w:val="20"/>
          <w:szCs w:val="20"/>
          <w:lang w:eastAsia="en-ZA"/>
        </w:rPr>
        <w:t>A bill is duly presented for payment if it is presented in accordance with the following rules, namely-</w:t>
      </w:r>
    </w:p>
    <w:p w14:paraId="66642ED0" w14:textId="4B32230F" w:rsidR="008943F0" w:rsidRDefault="008943F0" w:rsidP="002D14AC">
      <w:pPr>
        <w:spacing w:after="0" w:line="240" w:lineRule="auto"/>
        <w:jc w:val="both"/>
        <w:rPr>
          <w:rFonts w:eastAsia="Times New Roman" w:cs="Times New Roman"/>
          <w:color w:val="000000"/>
          <w:sz w:val="20"/>
          <w:szCs w:val="20"/>
          <w:lang w:eastAsia="en-ZA"/>
        </w:rPr>
      </w:pPr>
      <w:bookmarkStart w:id="1" w:name="0-0-0-93335"/>
      <w:bookmarkEnd w:id="1"/>
      <w:r w:rsidRPr="008943F0">
        <w:rPr>
          <w:rFonts w:eastAsia="Times New Roman" w:cs="Times New Roman"/>
          <w:i/>
          <w:iCs/>
          <w:color w:val="000000"/>
          <w:sz w:val="20"/>
          <w:szCs w:val="20"/>
          <w:lang w:eastAsia="en-ZA"/>
        </w:rPr>
        <w:t>. . .</w:t>
      </w:r>
    </w:p>
    <w:p w14:paraId="3248B3DB" w14:textId="14BF0F6F" w:rsidR="008943F0" w:rsidRDefault="008943F0" w:rsidP="002D14AC">
      <w:pPr>
        <w:spacing w:after="0" w:line="240" w:lineRule="auto"/>
        <w:jc w:val="both"/>
      </w:pPr>
      <w:bookmarkStart w:id="2" w:name="0-0-0-93337"/>
      <w:bookmarkEnd w:id="2"/>
      <w:r w:rsidRPr="008943F0">
        <w:rPr>
          <w:rFonts w:eastAsia="Times New Roman" w:cs="Times New Roman"/>
          <w:i/>
          <w:iCs/>
          <w:color w:val="000000"/>
          <w:sz w:val="20"/>
          <w:szCs w:val="20"/>
          <w:lang w:eastAsia="en-ZA"/>
        </w:rPr>
        <w:t>(b)</w:t>
      </w:r>
      <w:r w:rsidRPr="008943F0">
        <w:rPr>
          <w:rFonts w:eastAsia="Times New Roman" w:cs="Times New Roman"/>
          <w:color w:val="000000"/>
          <w:sz w:val="20"/>
          <w:szCs w:val="20"/>
          <w:lang w:eastAsia="en-ZA"/>
        </w:rPr>
        <w:t>   if the bill is payable on demand, presentment must, subject to the provisions of this Act, be made within a reasonable time, within the meaning of subsection (3), after its issue, in order to render the drawer liable, and within such a reasonable time after its endorsement, in order to render the indorser liable</w:t>
      </w:r>
      <w:r>
        <w:rPr>
          <w:rFonts w:eastAsia="Times New Roman" w:cs="Times New Roman"/>
          <w:color w:val="000000"/>
          <w:sz w:val="20"/>
          <w:szCs w:val="20"/>
          <w:lang w:eastAsia="en-ZA"/>
        </w:rPr>
        <w:t>.’</w:t>
      </w:r>
    </w:p>
  </w:footnote>
  <w:footnote w:id="9">
    <w:p w14:paraId="03051168" w14:textId="67D241AF" w:rsidR="003C6032" w:rsidRDefault="003C6032" w:rsidP="002D14AC">
      <w:pPr>
        <w:pStyle w:val="FootnoteText"/>
        <w:jc w:val="both"/>
      </w:pPr>
      <w:r>
        <w:rPr>
          <w:rStyle w:val="FootnoteReference"/>
        </w:rPr>
        <w:footnoteRef/>
      </w:r>
      <w:r>
        <w:t xml:space="preserve"> </w:t>
      </w:r>
      <w:r w:rsidRPr="003C6032">
        <w:rPr>
          <w:i/>
        </w:rPr>
        <w:t>Marshall</w:t>
      </w:r>
      <w:r w:rsidR="00A763A6">
        <w:rPr>
          <w:i/>
        </w:rPr>
        <w:t xml:space="preserve"> and Another</w:t>
      </w:r>
      <w:r w:rsidRPr="003C6032">
        <w:rPr>
          <w:i/>
        </w:rPr>
        <w:t xml:space="preserve"> v Bull Quip (Pty) Ltd</w:t>
      </w:r>
      <w:r>
        <w:t xml:space="preserve"> [1983] 1 All SA 96 (A)</w:t>
      </w:r>
      <w:r w:rsidR="00767B58">
        <w:t>;</w:t>
      </w:r>
      <w:r>
        <w:t xml:space="preserve"> 1983 (1) SA 23 (A) at </w:t>
      </w:r>
      <w:r w:rsidR="00A763A6">
        <w:t>28A</w:t>
      </w:r>
      <w:r>
        <w:t>.</w:t>
      </w:r>
    </w:p>
  </w:footnote>
  <w:footnote w:id="10">
    <w:p w14:paraId="0046A040" w14:textId="3D17E58A" w:rsidR="00F216C1" w:rsidRDefault="00F216C1" w:rsidP="002D14AC">
      <w:pPr>
        <w:pStyle w:val="FootnoteText"/>
        <w:jc w:val="both"/>
      </w:pPr>
      <w:r>
        <w:rPr>
          <w:rStyle w:val="FootnoteReference"/>
        </w:rPr>
        <w:footnoteRef/>
      </w:r>
      <w:r>
        <w:t xml:space="preserve"> </w:t>
      </w:r>
      <w:r w:rsidRPr="00767B58">
        <w:rPr>
          <w:i/>
        </w:rPr>
        <w:t>Braz v Afonso</w:t>
      </w:r>
      <w:r w:rsidR="0068330B">
        <w:rPr>
          <w:i/>
        </w:rPr>
        <w:t xml:space="preserve"> and Another</w:t>
      </w:r>
      <w:r>
        <w:t xml:space="preserve"> [1997] 4 All SA 428 (SCA)</w:t>
      </w:r>
      <w:r w:rsidR="00767B58">
        <w:t>;</w:t>
      </w:r>
      <w:r>
        <w:t xml:space="preserve"> 1998 (1) SA 573 (SCA) </w:t>
      </w:r>
      <w:r w:rsidR="006E6C9E">
        <w:t>at 579I</w:t>
      </w:r>
      <w:r w:rsidR="00F5649E">
        <w:t>-580C.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365401"/>
      <w:docPartObj>
        <w:docPartGallery w:val="Page Numbers (Top of Page)"/>
        <w:docPartUnique/>
      </w:docPartObj>
    </w:sdtPr>
    <w:sdtEndPr>
      <w:rPr>
        <w:noProof/>
      </w:rPr>
    </w:sdtEndPr>
    <w:sdtContent>
      <w:p w14:paraId="3EFC7C46" w14:textId="275D25A7" w:rsidR="00822DF5" w:rsidRDefault="00822DF5">
        <w:pPr>
          <w:pStyle w:val="Header"/>
          <w:jc w:val="right"/>
        </w:pPr>
        <w:r>
          <w:fldChar w:fldCharType="begin"/>
        </w:r>
        <w:r>
          <w:instrText xml:space="preserve"> PAGE   \* MERGEFORMAT </w:instrText>
        </w:r>
        <w:r>
          <w:fldChar w:fldCharType="separate"/>
        </w:r>
        <w:r w:rsidR="00314243">
          <w:rPr>
            <w:noProof/>
          </w:rPr>
          <w:t>2</w:t>
        </w:r>
        <w:r>
          <w:rPr>
            <w:noProof/>
          </w:rPr>
          <w:fldChar w:fldCharType="end"/>
        </w:r>
      </w:p>
    </w:sdtContent>
  </w:sdt>
  <w:p w14:paraId="77385A6D" w14:textId="77777777" w:rsidR="00822DF5" w:rsidRDefault="00822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1749"/>
    <w:multiLevelType w:val="hybridMultilevel"/>
    <w:tmpl w:val="1F5A345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E9B7973"/>
    <w:multiLevelType w:val="hybridMultilevel"/>
    <w:tmpl w:val="FC086D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B43926"/>
    <w:multiLevelType w:val="hybridMultilevel"/>
    <w:tmpl w:val="3DA6605A"/>
    <w:lvl w:ilvl="0" w:tplc="BC50E052">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116793"/>
    <w:multiLevelType w:val="hybridMultilevel"/>
    <w:tmpl w:val="5B4270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660263"/>
    <w:multiLevelType w:val="hybridMultilevel"/>
    <w:tmpl w:val="836AFC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255E49DC"/>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E976DE"/>
    <w:multiLevelType w:val="hybridMultilevel"/>
    <w:tmpl w:val="D93A0206"/>
    <w:lvl w:ilvl="0" w:tplc="21DA29D8">
      <w:start w:val="1"/>
      <w:numFmt w:val="decimal"/>
      <w:lvlText w:val="[%1]"/>
      <w:lvlJc w:val="left"/>
      <w:pPr>
        <w:ind w:left="720" w:hanging="360"/>
      </w:pPr>
      <w:rPr>
        <w:rFonts w:ascii="Times New Roman" w:hAnsi="Times New Roman" w:cs="Times New Roman" w:hint="default"/>
        <w:b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9B005B"/>
    <w:multiLevelType w:val="hybridMultilevel"/>
    <w:tmpl w:val="79AE954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39C1EC4"/>
    <w:multiLevelType w:val="hybridMultilevel"/>
    <w:tmpl w:val="E438F3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3E45EB0"/>
    <w:multiLevelType w:val="hybridMultilevel"/>
    <w:tmpl w:val="5A2016DC"/>
    <w:lvl w:ilvl="0" w:tplc="7D44F69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D64786F"/>
    <w:multiLevelType w:val="multilevel"/>
    <w:tmpl w:val="24C276FE"/>
    <w:lvl w:ilvl="0">
      <w:start w:val="1"/>
      <w:numFmt w:val="decimal"/>
      <w:lvlText w:val="%1."/>
      <w:lvlJc w:val="left"/>
      <w:pPr>
        <w:ind w:left="927" w:hanging="360"/>
      </w:pPr>
      <w:rPr>
        <w:rFonts w:ascii="Times New Roman" w:hAnsi="Times New Roman" w:cs="Times New Roman" w:hint="default"/>
        <w:b w:val="0"/>
        <w:sz w:val="28"/>
        <w:szCs w:val="28"/>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1">
    <w:nsid w:val="3FE158C4"/>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91025AD"/>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EC4047F"/>
    <w:multiLevelType w:val="hybridMultilevel"/>
    <w:tmpl w:val="3EF0DA48"/>
    <w:lvl w:ilvl="0" w:tplc="9420100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723152A"/>
    <w:multiLevelType w:val="multilevel"/>
    <w:tmpl w:val="3B7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C229FF"/>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02E6593"/>
    <w:multiLevelType w:val="hybridMultilevel"/>
    <w:tmpl w:val="0ECCEE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CC848CF"/>
    <w:multiLevelType w:val="hybridMultilevel"/>
    <w:tmpl w:val="46602D6C"/>
    <w:lvl w:ilvl="0" w:tplc="21DA29D8">
      <w:start w:val="1"/>
      <w:numFmt w:val="decimal"/>
      <w:lvlText w:val="[%1]"/>
      <w:lvlJc w:val="left"/>
      <w:pPr>
        <w:ind w:left="360" w:hanging="360"/>
      </w:pPr>
      <w:rPr>
        <w:rFonts w:ascii="Times New Roman" w:hAnsi="Times New Roman" w:cs="Times New Roman" w:hint="default"/>
        <w:b w:val="0"/>
        <w:sz w:val="28"/>
        <w:szCs w:val="28"/>
      </w:rPr>
    </w:lvl>
    <w:lvl w:ilvl="1" w:tplc="142070B0">
      <w:start w:val="1"/>
      <w:numFmt w:val="lowerLetter"/>
      <w:lvlText w:val="%2."/>
      <w:lvlJc w:val="left"/>
      <w:pPr>
        <w:ind w:left="1440" w:hanging="360"/>
      </w:pPr>
      <w:rPr>
        <w:sz w:val="24"/>
        <w:szCs w:val="24"/>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E35103C"/>
    <w:multiLevelType w:val="multilevel"/>
    <w:tmpl w:val="FE246B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4"/>
  </w:num>
  <w:num w:numId="6">
    <w:abstractNumId w:val="5"/>
  </w:num>
  <w:num w:numId="7">
    <w:abstractNumId w:val="11"/>
  </w:num>
  <w:num w:numId="8">
    <w:abstractNumId w:val="15"/>
  </w:num>
  <w:num w:numId="9">
    <w:abstractNumId w:val="12"/>
  </w:num>
  <w:num w:numId="10">
    <w:abstractNumId w:val="13"/>
  </w:num>
  <w:num w:numId="11">
    <w:abstractNumId w:val="17"/>
  </w:num>
  <w:num w:numId="12">
    <w:abstractNumId w:val="7"/>
  </w:num>
  <w:num w:numId="13">
    <w:abstractNumId w:val="8"/>
  </w:num>
  <w:num w:numId="14">
    <w:abstractNumId w:val="3"/>
  </w:num>
  <w:num w:numId="15">
    <w:abstractNumId w:val="16"/>
  </w:num>
  <w:num w:numId="16">
    <w:abstractNumId w:val="0"/>
  </w:num>
  <w:num w:numId="17">
    <w:abstractNumId w:val="1"/>
  </w:num>
  <w:num w:numId="18">
    <w:abstractNumId w:val="2"/>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9BCD28-DEEB-4879-BB75-003851B7E285}"/>
    <w:docVar w:name="dgnword-eventsink" w:val="2076925803216"/>
  </w:docVars>
  <w:rsids>
    <w:rsidRoot w:val="00ED59D4"/>
    <w:rsid w:val="00000747"/>
    <w:rsid w:val="00001961"/>
    <w:rsid w:val="00003B45"/>
    <w:rsid w:val="00003FE0"/>
    <w:rsid w:val="00004870"/>
    <w:rsid w:val="00004BC1"/>
    <w:rsid w:val="00006AB1"/>
    <w:rsid w:val="0001031D"/>
    <w:rsid w:val="00010ABE"/>
    <w:rsid w:val="00010F78"/>
    <w:rsid w:val="00011965"/>
    <w:rsid w:val="0001232E"/>
    <w:rsid w:val="000125F2"/>
    <w:rsid w:val="00012C2F"/>
    <w:rsid w:val="0001371E"/>
    <w:rsid w:val="00013FFB"/>
    <w:rsid w:val="00015275"/>
    <w:rsid w:val="00016C27"/>
    <w:rsid w:val="00020018"/>
    <w:rsid w:val="00021C7B"/>
    <w:rsid w:val="00021E0F"/>
    <w:rsid w:val="00022F70"/>
    <w:rsid w:val="00024440"/>
    <w:rsid w:val="00024B87"/>
    <w:rsid w:val="00025DE8"/>
    <w:rsid w:val="00025E85"/>
    <w:rsid w:val="00027050"/>
    <w:rsid w:val="0003041F"/>
    <w:rsid w:val="000307BF"/>
    <w:rsid w:val="00030D5D"/>
    <w:rsid w:val="00031345"/>
    <w:rsid w:val="000315C6"/>
    <w:rsid w:val="00033771"/>
    <w:rsid w:val="00033C48"/>
    <w:rsid w:val="00034B22"/>
    <w:rsid w:val="00034B71"/>
    <w:rsid w:val="000355AD"/>
    <w:rsid w:val="00040BA5"/>
    <w:rsid w:val="000425B9"/>
    <w:rsid w:val="00044265"/>
    <w:rsid w:val="000442E1"/>
    <w:rsid w:val="000464F4"/>
    <w:rsid w:val="0005043B"/>
    <w:rsid w:val="00050607"/>
    <w:rsid w:val="00050DED"/>
    <w:rsid w:val="00052946"/>
    <w:rsid w:val="00054429"/>
    <w:rsid w:val="00055A4C"/>
    <w:rsid w:val="00056A1E"/>
    <w:rsid w:val="00056B88"/>
    <w:rsid w:val="000579F8"/>
    <w:rsid w:val="00062F75"/>
    <w:rsid w:val="000638DF"/>
    <w:rsid w:val="0006665F"/>
    <w:rsid w:val="00072B46"/>
    <w:rsid w:val="00072FB2"/>
    <w:rsid w:val="00073AF8"/>
    <w:rsid w:val="00073DD0"/>
    <w:rsid w:val="00074910"/>
    <w:rsid w:val="000775F1"/>
    <w:rsid w:val="00080926"/>
    <w:rsid w:val="00083F39"/>
    <w:rsid w:val="00085EDF"/>
    <w:rsid w:val="00086487"/>
    <w:rsid w:val="000924F9"/>
    <w:rsid w:val="000952F3"/>
    <w:rsid w:val="00096988"/>
    <w:rsid w:val="000976A2"/>
    <w:rsid w:val="000A0323"/>
    <w:rsid w:val="000A13D8"/>
    <w:rsid w:val="000A1E2B"/>
    <w:rsid w:val="000A301C"/>
    <w:rsid w:val="000A3C56"/>
    <w:rsid w:val="000A52A2"/>
    <w:rsid w:val="000A5572"/>
    <w:rsid w:val="000A65A8"/>
    <w:rsid w:val="000A7E48"/>
    <w:rsid w:val="000B500E"/>
    <w:rsid w:val="000B569C"/>
    <w:rsid w:val="000B56B3"/>
    <w:rsid w:val="000B586F"/>
    <w:rsid w:val="000B5876"/>
    <w:rsid w:val="000B71B3"/>
    <w:rsid w:val="000C01CF"/>
    <w:rsid w:val="000C07F6"/>
    <w:rsid w:val="000C0928"/>
    <w:rsid w:val="000C1AB4"/>
    <w:rsid w:val="000C2357"/>
    <w:rsid w:val="000C38BC"/>
    <w:rsid w:val="000C5120"/>
    <w:rsid w:val="000C60BE"/>
    <w:rsid w:val="000C642A"/>
    <w:rsid w:val="000C685A"/>
    <w:rsid w:val="000C68B7"/>
    <w:rsid w:val="000D1F33"/>
    <w:rsid w:val="000D223C"/>
    <w:rsid w:val="000D2B94"/>
    <w:rsid w:val="000D3E4C"/>
    <w:rsid w:val="000D49B2"/>
    <w:rsid w:val="000D5B09"/>
    <w:rsid w:val="000D672F"/>
    <w:rsid w:val="000D6C21"/>
    <w:rsid w:val="000D6E17"/>
    <w:rsid w:val="000E0528"/>
    <w:rsid w:val="000E0D9D"/>
    <w:rsid w:val="000E14A6"/>
    <w:rsid w:val="000E264C"/>
    <w:rsid w:val="000E384A"/>
    <w:rsid w:val="000E3966"/>
    <w:rsid w:val="000E4EB6"/>
    <w:rsid w:val="000E79C9"/>
    <w:rsid w:val="000F06A2"/>
    <w:rsid w:val="000F1161"/>
    <w:rsid w:val="000F2A5C"/>
    <w:rsid w:val="000F3874"/>
    <w:rsid w:val="000F3E3E"/>
    <w:rsid w:val="000F4292"/>
    <w:rsid w:val="000F4B45"/>
    <w:rsid w:val="000F5E33"/>
    <w:rsid w:val="000F61EC"/>
    <w:rsid w:val="000F76C9"/>
    <w:rsid w:val="001015C0"/>
    <w:rsid w:val="00101EBF"/>
    <w:rsid w:val="00106D05"/>
    <w:rsid w:val="00107333"/>
    <w:rsid w:val="00107521"/>
    <w:rsid w:val="001124F8"/>
    <w:rsid w:val="001126EA"/>
    <w:rsid w:val="00112D44"/>
    <w:rsid w:val="001153B0"/>
    <w:rsid w:val="00115A21"/>
    <w:rsid w:val="00115F1A"/>
    <w:rsid w:val="001171FD"/>
    <w:rsid w:val="00122338"/>
    <w:rsid w:val="0012324B"/>
    <w:rsid w:val="001236A8"/>
    <w:rsid w:val="00126798"/>
    <w:rsid w:val="0013257F"/>
    <w:rsid w:val="001405D0"/>
    <w:rsid w:val="00140C04"/>
    <w:rsid w:val="00141763"/>
    <w:rsid w:val="001421E4"/>
    <w:rsid w:val="0014242D"/>
    <w:rsid w:val="0014245E"/>
    <w:rsid w:val="001434C5"/>
    <w:rsid w:val="00143D55"/>
    <w:rsid w:val="00144CCE"/>
    <w:rsid w:val="00146AB7"/>
    <w:rsid w:val="00147422"/>
    <w:rsid w:val="00147ADA"/>
    <w:rsid w:val="00150553"/>
    <w:rsid w:val="00152340"/>
    <w:rsid w:val="001552EC"/>
    <w:rsid w:val="0015542D"/>
    <w:rsid w:val="00155AD9"/>
    <w:rsid w:val="0015616A"/>
    <w:rsid w:val="001610FC"/>
    <w:rsid w:val="001624F5"/>
    <w:rsid w:val="001629A1"/>
    <w:rsid w:val="00162DB6"/>
    <w:rsid w:val="00163EDF"/>
    <w:rsid w:val="00164856"/>
    <w:rsid w:val="001653C0"/>
    <w:rsid w:val="00165874"/>
    <w:rsid w:val="001669FA"/>
    <w:rsid w:val="00170D7B"/>
    <w:rsid w:val="00171874"/>
    <w:rsid w:val="001718E2"/>
    <w:rsid w:val="00171CF4"/>
    <w:rsid w:val="00172994"/>
    <w:rsid w:val="00173D92"/>
    <w:rsid w:val="00174A24"/>
    <w:rsid w:val="001751EE"/>
    <w:rsid w:val="0017557F"/>
    <w:rsid w:val="001758AB"/>
    <w:rsid w:val="0018061B"/>
    <w:rsid w:val="00180C16"/>
    <w:rsid w:val="00182DEB"/>
    <w:rsid w:val="00182E4A"/>
    <w:rsid w:val="00182EF3"/>
    <w:rsid w:val="00184075"/>
    <w:rsid w:val="0018443B"/>
    <w:rsid w:val="00184C91"/>
    <w:rsid w:val="001850CE"/>
    <w:rsid w:val="00185182"/>
    <w:rsid w:val="00185823"/>
    <w:rsid w:val="001879F1"/>
    <w:rsid w:val="00187CB8"/>
    <w:rsid w:val="001902BE"/>
    <w:rsid w:val="00191EC4"/>
    <w:rsid w:val="00192683"/>
    <w:rsid w:val="001959BD"/>
    <w:rsid w:val="00195A18"/>
    <w:rsid w:val="0019615D"/>
    <w:rsid w:val="00196CBE"/>
    <w:rsid w:val="00196DDD"/>
    <w:rsid w:val="00197407"/>
    <w:rsid w:val="001A088F"/>
    <w:rsid w:val="001A0EEF"/>
    <w:rsid w:val="001A403F"/>
    <w:rsid w:val="001A4222"/>
    <w:rsid w:val="001A431E"/>
    <w:rsid w:val="001A5C98"/>
    <w:rsid w:val="001A674D"/>
    <w:rsid w:val="001A6962"/>
    <w:rsid w:val="001A726D"/>
    <w:rsid w:val="001B09F0"/>
    <w:rsid w:val="001B1B86"/>
    <w:rsid w:val="001B29C4"/>
    <w:rsid w:val="001B3C27"/>
    <w:rsid w:val="001B4153"/>
    <w:rsid w:val="001B4364"/>
    <w:rsid w:val="001B5871"/>
    <w:rsid w:val="001C1B83"/>
    <w:rsid w:val="001C1D4A"/>
    <w:rsid w:val="001C2274"/>
    <w:rsid w:val="001C2F3C"/>
    <w:rsid w:val="001C3510"/>
    <w:rsid w:val="001C391A"/>
    <w:rsid w:val="001C4327"/>
    <w:rsid w:val="001C70B1"/>
    <w:rsid w:val="001C74BC"/>
    <w:rsid w:val="001C7F09"/>
    <w:rsid w:val="001D1801"/>
    <w:rsid w:val="001D22AD"/>
    <w:rsid w:val="001D42FB"/>
    <w:rsid w:val="001D7BA7"/>
    <w:rsid w:val="001D7DC4"/>
    <w:rsid w:val="001E2D94"/>
    <w:rsid w:val="001E55DB"/>
    <w:rsid w:val="001E6D21"/>
    <w:rsid w:val="001F0F41"/>
    <w:rsid w:val="001F1014"/>
    <w:rsid w:val="001F18D2"/>
    <w:rsid w:val="001F4B27"/>
    <w:rsid w:val="001F66E5"/>
    <w:rsid w:val="001F69DC"/>
    <w:rsid w:val="00200F95"/>
    <w:rsid w:val="0020127B"/>
    <w:rsid w:val="0020235D"/>
    <w:rsid w:val="00202FD8"/>
    <w:rsid w:val="0020334F"/>
    <w:rsid w:val="00205D1E"/>
    <w:rsid w:val="002062F3"/>
    <w:rsid w:val="00207056"/>
    <w:rsid w:val="00207ECE"/>
    <w:rsid w:val="00207F66"/>
    <w:rsid w:val="0021005C"/>
    <w:rsid w:val="002104FE"/>
    <w:rsid w:val="00213468"/>
    <w:rsid w:val="00215B2D"/>
    <w:rsid w:val="00215B4E"/>
    <w:rsid w:val="0021603D"/>
    <w:rsid w:val="002171FD"/>
    <w:rsid w:val="0021778F"/>
    <w:rsid w:val="0022028C"/>
    <w:rsid w:val="0022555C"/>
    <w:rsid w:val="00225880"/>
    <w:rsid w:val="0022677B"/>
    <w:rsid w:val="0022739D"/>
    <w:rsid w:val="00227BDE"/>
    <w:rsid w:val="00230FA5"/>
    <w:rsid w:val="002318AD"/>
    <w:rsid w:val="00234AB7"/>
    <w:rsid w:val="002352EC"/>
    <w:rsid w:val="00240ECD"/>
    <w:rsid w:val="0024134A"/>
    <w:rsid w:val="00242ED0"/>
    <w:rsid w:val="00244B80"/>
    <w:rsid w:val="00245310"/>
    <w:rsid w:val="00246197"/>
    <w:rsid w:val="00247FCE"/>
    <w:rsid w:val="002515C1"/>
    <w:rsid w:val="00252299"/>
    <w:rsid w:val="002552D9"/>
    <w:rsid w:val="0025585A"/>
    <w:rsid w:val="00261C7D"/>
    <w:rsid w:val="002620B5"/>
    <w:rsid w:val="00262A17"/>
    <w:rsid w:val="00263BF9"/>
    <w:rsid w:val="00267F8E"/>
    <w:rsid w:val="002744EA"/>
    <w:rsid w:val="002759E2"/>
    <w:rsid w:val="0027657B"/>
    <w:rsid w:val="0027731C"/>
    <w:rsid w:val="00281012"/>
    <w:rsid w:val="002827B0"/>
    <w:rsid w:val="00282B97"/>
    <w:rsid w:val="00282CB1"/>
    <w:rsid w:val="00283BCC"/>
    <w:rsid w:val="002847FF"/>
    <w:rsid w:val="00284BDF"/>
    <w:rsid w:val="002856A4"/>
    <w:rsid w:val="0028663B"/>
    <w:rsid w:val="00290E05"/>
    <w:rsid w:val="0029276C"/>
    <w:rsid w:val="0029394E"/>
    <w:rsid w:val="0029467D"/>
    <w:rsid w:val="00296845"/>
    <w:rsid w:val="00296C5D"/>
    <w:rsid w:val="002A00DC"/>
    <w:rsid w:val="002A0A99"/>
    <w:rsid w:val="002A1884"/>
    <w:rsid w:val="002A4BF3"/>
    <w:rsid w:val="002A7D8B"/>
    <w:rsid w:val="002B0280"/>
    <w:rsid w:val="002B0BED"/>
    <w:rsid w:val="002B0FB0"/>
    <w:rsid w:val="002B4ACC"/>
    <w:rsid w:val="002B699B"/>
    <w:rsid w:val="002B7765"/>
    <w:rsid w:val="002C024E"/>
    <w:rsid w:val="002C3B7C"/>
    <w:rsid w:val="002C3F26"/>
    <w:rsid w:val="002C40E3"/>
    <w:rsid w:val="002C45A7"/>
    <w:rsid w:val="002C4A1A"/>
    <w:rsid w:val="002C6239"/>
    <w:rsid w:val="002C6494"/>
    <w:rsid w:val="002C7123"/>
    <w:rsid w:val="002C783B"/>
    <w:rsid w:val="002D14AC"/>
    <w:rsid w:val="002D19E6"/>
    <w:rsid w:val="002D2D81"/>
    <w:rsid w:val="002D3021"/>
    <w:rsid w:val="002D5CBA"/>
    <w:rsid w:val="002D6814"/>
    <w:rsid w:val="002D75B9"/>
    <w:rsid w:val="002E0176"/>
    <w:rsid w:val="002E277F"/>
    <w:rsid w:val="002E5504"/>
    <w:rsid w:val="002E5A16"/>
    <w:rsid w:val="002E5B7E"/>
    <w:rsid w:val="002E5F47"/>
    <w:rsid w:val="002F0B5D"/>
    <w:rsid w:val="002F0E32"/>
    <w:rsid w:val="002F1478"/>
    <w:rsid w:val="002F1D01"/>
    <w:rsid w:val="002F1DDF"/>
    <w:rsid w:val="002F25A6"/>
    <w:rsid w:val="002F2C16"/>
    <w:rsid w:val="002F31B7"/>
    <w:rsid w:val="002F5483"/>
    <w:rsid w:val="002F767A"/>
    <w:rsid w:val="003012E9"/>
    <w:rsid w:val="003023D0"/>
    <w:rsid w:val="003039F9"/>
    <w:rsid w:val="00304165"/>
    <w:rsid w:val="0030517F"/>
    <w:rsid w:val="003061AA"/>
    <w:rsid w:val="003101E7"/>
    <w:rsid w:val="00311D48"/>
    <w:rsid w:val="00312043"/>
    <w:rsid w:val="0031377E"/>
    <w:rsid w:val="00313E0F"/>
    <w:rsid w:val="00314243"/>
    <w:rsid w:val="0031768E"/>
    <w:rsid w:val="003177E6"/>
    <w:rsid w:val="0031790E"/>
    <w:rsid w:val="00320349"/>
    <w:rsid w:val="00320A58"/>
    <w:rsid w:val="003230BC"/>
    <w:rsid w:val="00323365"/>
    <w:rsid w:val="00325253"/>
    <w:rsid w:val="0032635E"/>
    <w:rsid w:val="00327020"/>
    <w:rsid w:val="00327AD4"/>
    <w:rsid w:val="003307B7"/>
    <w:rsid w:val="00331200"/>
    <w:rsid w:val="00332FB3"/>
    <w:rsid w:val="00333702"/>
    <w:rsid w:val="003339A4"/>
    <w:rsid w:val="00336A58"/>
    <w:rsid w:val="0033719D"/>
    <w:rsid w:val="00340137"/>
    <w:rsid w:val="003432BA"/>
    <w:rsid w:val="00343D2B"/>
    <w:rsid w:val="00344FEF"/>
    <w:rsid w:val="003451A5"/>
    <w:rsid w:val="003454B0"/>
    <w:rsid w:val="00347504"/>
    <w:rsid w:val="00350549"/>
    <w:rsid w:val="0035259C"/>
    <w:rsid w:val="00352C0E"/>
    <w:rsid w:val="0035382F"/>
    <w:rsid w:val="00353F17"/>
    <w:rsid w:val="003552C3"/>
    <w:rsid w:val="003553E1"/>
    <w:rsid w:val="00355EEE"/>
    <w:rsid w:val="00355F50"/>
    <w:rsid w:val="00356974"/>
    <w:rsid w:val="00357148"/>
    <w:rsid w:val="003606CB"/>
    <w:rsid w:val="00360D19"/>
    <w:rsid w:val="0036111A"/>
    <w:rsid w:val="0036296A"/>
    <w:rsid w:val="00362AFB"/>
    <w:rsid w:val="00362FBC"/>
    <w:rsid w:val="00363031"/>
    <w:rsid w:val="00364FE7"/>
    <w:rsid w:val="00366509"/>
    <w:rsid w:val="0036708E"/>
    <w:rsid w:val="00371276"/>
    <w:rsid w:val="00371AB9"/>
    <w:rsid w:val="0037315B"/>
    <w:rsid w:val="00373BA9"/>
    <w:rsid w:val="00374CF2"/>
    <w:rsid w:val="00375041"/>
    <w:rsid w:val="003754A4"/>
    <w:rsid w:val="00376620"/>
    <w:rsid w:val="00376FA2"/>
    <w:rsid w:val="003806A1"/>
    <w:rsid w:val="003810A9"/>
    <w:rsid w:val="00383AFA"/>
    <w:rsid w:val="0038533D"/>
    <w:rsid w:val="00385A75"/>
    <w:rsid w:val="00387647"/>
    <w:rsid w:val="00390338"/>
    <w:rsid w:val="003911FB"/>
    <w:rsid w:val="00391816"/>
    <w:rsid w:val="00394DA5"/>
    <w:rsid w:val="00395EA3"/>
    <w:rsid w:val="00396932"/>
    <w:rsid w:val="003970FC"/>
    <w:rsid w:val="003A1A9C"/>
    <w:rsid w:val="003A4DEF"/>
    <w:rsid w:val="003A5D8B"/>
    <w:rsid w:val="003A6D9E"/>
    <w:rsid w:val="003A6EC7"/>
    <w:rsid w:val="003B2402"/>
    <w:rsid w:val="003B2419"/>
    <w:rsid w:val="003B3CAA"/>
    <w:rsid w:val="003B3DA3"/>
    <w:rsid w:val="003B5EE7"/>
    <w:rsid w:val="003B5F65"/>
    <w:rsid w:val="003B73E9"/>
    <w:rsid w:val="003C0697"/>
    <w:rsid w:val="003C07C6"/>
    <w:rsid w:val="003C254F"/>
    <w:rsid w:val="003C27AB"/>
    <w:rsid w:val="003C2A4A"/>
    <w:rsid w:val="003C2FA8"/>
    <w:rsid w:val="003C4E9B"/>
    <w:rsid w:val="003C6032"/>
    <w:rsid w:val="003C7BA6"/>
    <w:rsid w:val="003D0312"/>
    <w:rsid w:val="003D07EB"/>
    <w:rsid w:val="003D1675"/>
    <w:rsid w:val="003D46F6"/>
    <w:rsid w:val="003D4CD9"/>
    <w:rsid w:val="003D5DF2"/>
    <w:rsid w:val="003D6E48"/>
    <w:rsid w:val="003E2878"/>
    <w:rsid w:val="003E2D01"/>
    <w:rsid w:val="003E411B"/>
    <w:rsid w:val="003E5187"/>
    <w:rsid w:val="003E59DE"/>
    <w:rsid w:val="003E72A7"/>
    <w:rsid w:val="003E75C1"/>
    <w:rsid w:val="003E7719"/>
    <w:rsid w:val="003E7E20"/>
    <w:rsid w:val="003F0019"/>
    <w:rsid w:val="003F287F"/>
    <w:rsid w:val="003F3E18"/>
    <w:rsid w:val="003F59E1"/>
    <w:rsid w:val="003F6702"/>
    <w:rsid w:val="003F6787"/>
    <w:rsid w:val="003F67D3"/>
    <w:rsid w:val="003F6A0C"/>
    <w:rsid w:val="004007DE"/>
    <w:rsid w:val="004009D1"/>
    <w:rsid w:val="004011AE"/>
    <w:rsid w:val="00402174"/>
    <w:rsid w:val="004040FC"/>
    <w:rsid w:val="00405CF8"/>
    <w:rsid w:val="0040669A"/>
    <w:rsid w:val="00406BE2"/>
    <w:rsid w:val="00406CDE"/>
    <w:rsid w:val="00407EC8"/>
    <w:rsid w:val="00407F6B"/>
    <w:rsid w:val="0041325F"/>
    <w:rsid w:val="0041448A"/>
    <w:rsid w:val="0041516C"/>
    <w:rsid w:val="004174B2"/>
    <w:rsid w:val="004178B2"/>
    <w:rsid w:val="004203FF"/>
    <w:rsid w:val="004248A4"/>
    <w:rsid w:val="004250B6"/>
    <w:rsid w:val="004269AF"/>
    <w:rsid w:val="0042737E"/>
    <w:rsid w:val="00427982"/>
    <w:rsid w:val="00431528"/>
    <w:rsid w:val="00431A81"/>
    <w:rsid w:val="00432839"/>
    <w:rsid w:val="00432849"/>
    <w:rsid w:val="004334CA"/>
    <w:rsid w:val="004334F1"/>
    <w:rsid w:val="00434784"/>
    <w:rsid w:val="0043523B"/>
    <w:rsid w:val="004356E9"/>
    <w:rsid w:val="00436759"/>
    <w:rsid w:val="00436E75"/>
    <w:rsid w:val="004374B0"/>
    <w:rsid w:val="00442E01"/>
    <w:rsid w:val="00445A3E"/>
    <w:rsid w:val="00446D63"/>
    <w:rsid w:val="00454FD7"/>
    <w:rsid w:val="004567C2"/>
    <w:rsid w:val="00456F4A"/>
    <w:rsid w:val="00460093"/>
    <w:rsid w:val="0046260A"/>
    <w:rsid w:val="00465B5B"/>
    <w:rsid w:val="00466B38"/>
    <w:rsid w:val="00471651"/>
    <w:rsid w:val="0047375E"/>
    <w:rsid w:val="004741E6"/>
    <w:rsid w:val="00474B08"/>
    <w:rsid w:val="00475739"/>
    <w:rsid w:val="00477CF4"/>
    <w:rsid w:val="00480AD9"/>
    <w:rsid w:val="00480F92"/>
    <w:rsid w:val="004811EA"/>
    <w:rsid w:val="0048167A"/>
    <w:rsid w:val="00487AEC"/>
    <w:rsid w:val="00487CD0"/>
    <w:rsid w:val="00490B94"/>
    <w:rsid w:val="004938EA"/>
    <w:rsid w:val="004944C4"/>
    <w:rsid w:val="00495F2F"/>
    <w:rsid w:val="00496033"/>
    <w:rsid w:val="004A0611"/>
    <w:rsid w:val="004A08E4"/>
    <w:rsid w:val="004A13F4"/>
    <w:rsid w:val="004A2B33"/>
    <w:rsid w:val="004A2C75"/>
    <w:rsid w:val="004A3C6D"/>
    <w:rsid w:val="004A57A1"/>
    <w:rsid w:val="004A7CB8"/>
    <w:rsid w:val="004B08D4"/>
    <w:rsid w:val="004B26FB"/>
    <w:rsid w:val="004B3106"/>
    <w:rsid w:val="004B4904"/>
    <w:rsid w:val="004B5168"/>
    <w:rsid w:val="004B5928"/>
    <w:rsid w:val="004B5CDF"/>
    <w:rsid w:val="004B72F8"/>
    <w:rsid w:val="004B782F"/>
    <w:rsid w:val="004B7CE4"/>
    <w:rsid w:val="004C1917"/>
    <w:rsid w:val="004C4659"/>
    <w:rsid w:val="004C6A9B"/>
    <w:rsid w:val="004D0297"/>
    <w:rsid w:val="004D1483"/>
    <w:rsid w:val="004D1D1C"/>
    <w:rsid w:val="004D293D"/>
    <w:rsid w:val="004D2C3F"/>
    <w:rsid w:val="004D2F15"/>
    <w:rsid w:val="004D304A"/>
    <w:rsid w:val="004D3A33"/>
    <w:rsid w:val="004D554E"/>
    <w:rsid w:val="004E13F2"/>
    <w:rsid w:val="004E1BDE"/>
    <w:rsid w:val="004E1D5A"/>
    <w:rsid w:val="004E2A4B"/>
    <w:rsid w:val="004E38CB"/>
    <w:rsid w:val="004E6A81"/>
    <w:rsid w:val="004E6BB9"/>
    <w:rsid w:val="004F0B22"/>
    <w:rsid w:val="004F1400"/>
    <w:rsid w:val="004F19CF"/>
    <w:rsid w:val="004F1BEC"/>
    <w:rsid w:val="004F206B"/>
    <w:rsid w:val="004F28AB"/>
    <w:rsid w:val="004F4172"/>
    <w:rsid w:val="004F4276"/>
    <w:rsid w:val="004F6235"/>
    <w:rsid w:val="004F6FA5"/>
    <w:rsid w:val="0050078E"/>
    <w:rsid w:val="00501A74"/>
    <w:rsid w:val="005032B2"/>
    <w:rsid w:val="00505361"/>
    <w:rsid w:val="0050542B"/>
    <w:rsid w:val="00505989"/>
    <w:rsid w:val="00505B2E"/>
    <w:rsid w:val="005072C7"/>
    <w:rsid w:val="00507AB0"/>
    <w:rsid w:val="00510865"/>
    <w:rsid w:val="0051105A"/>
    <w:rsid w:val="0051293E"/>
    <w:rsid w:val="00512CEC"/>
    <w:rsid w:val="00516234"/>
    <w:rsid w:val="005203E0"/>
    <w:rsid w:val="00520B14"/>
    <w:rsid w:val="005220EA"/>
    <w:rsid w:val="005224B2"/>
    <w:rsid w:val="00522720"/>
    <w:rsid w:val="005231F7"/>
    <w:rsid w:val="00523ECB"/>
    <w:rsid w:val="005267EB"/>
    <w:rsid w:val="0052719C"/>
    <w:rsid w:val="005303F9"/>
    <w:rsid w:val="00532451"/>
    <w:rsid w:val="005326C5"/>
    <w:rsid w:val="00533347"/>
    <w:rsid w:val="005341D7"/>
    <w:rsid w:val="00534D1F"/>
    <w:rsid w:val="00535367"/>
    <w:rsid w:val="005370D7"/>
    <w:rsid w:val="00537A95"/>
    <w:rsid w:val="00541330"/>
    <w:rsid w:val="00541698"/>
    <w:rsid w:val="005420BF"/>
    <w:rsid w:val="00543823"/>
    <w:rsid w:val="00543F12"/>
    <w:rsid w:val="0054415A"/>
    <w:rsid w:val="00545DAE"/>
    <w:rsid w:val="00550316"/>
    <w:rsid w:val="00550353"/>
    <w:rsid w:val="0055302D"/>
    <w:rsid w:val="00553AF6"/>
    <w:rsid w:val="00555F9F"/>
    <w:rsid w:val="005562E5"/>
    <w:rsid w:val="005569EE"/>
    <w:rsid w:val="005614C6"/>
    <w:rsid w:val="00562F56"/>
    <w:rsid w:val="0056400C"/>
    <w:rsid w:val="00564191"/>
    <w:rsid w:val="005645B5"/>
    <w:rsid w:val="00564925"/>
    <w:rsid w:val="00564FD0"/>
    <w:rsid w:val="005659A0"/>
    <w:rsid w:val="00566127"/>
    <w:rsid w:val="00570690"/>
    <w:rsid w:val="0057082C"/>
    <w:rsid w:val="005708B4"/>
    <w:rsid w:val="00571CD1"/>
    <w:rsid w:val="00573351"/>
    <w:rsid w:val="00576F36"/>
    <w:rsid w:val="00580EB2"/>
    <w:rsid w:val="0058196B"/>
    <w:rsid w:val="00583B4D"/>
    <w:rsid w:val="00583E4C"/>
    <w:rsid w:val="00585485"/>
    <w:rsid w:val="0058663A"/>
    <w:rsid w:val="00587122"/>
    <w:rsid w:val="005878E7"/>
    <w:rsid w:val="00591535"/>
    <w:rsid w:val="00592914"/>
    <w:rsid w:val="0059307A"/>
    <w:rsid w:val="00595612"/>
    <w:rsid w:val="00596AFA"/>
    <w:rsid w:val="005A0543"/>
    <w:rsid w:val="005A0626"/>
    <w:rsid w:val="005A1A56"/>
    <w:rsid w:val="005A2FA5"/>
    <w:rsid w:val="005A458B"/>
    <w:rsid w:val="005A6947"/>
    <w:rsid w:val="005B2485"/>
    <w:rsid w:val="005B42F2"/>
    <w:rsid w:val="005B6D38"/>
    <w:rsid w:val="005B7C1D"/>
    <w:rsid w:val="005C1336"/>
    <w:rsid w:val="005C1C4C"/>
    <w:rsid w:val="005C300E"/>
    <w:rsid w:val="005C4412"/>
    <w:rsid w:val="005C502D"/>
    <w:rsid w:val="005D09F0"/>
    <w:rsid w:val="005D2F32"/>
    <w:rsid w:val="005D3987"/>
    <w:rsid w:val="005D5BD5"/>
    <w:rsid w:val="005D65AA"/>
    <w:rsid w:val="005D75AC"/>
    <w:rsid w:val="005E149A"/>
    <w:rsid w:val="005E1919"/>
    <w:rsid w:val="005E3585"/>
    <w:rsid w:val="005E467D"/>
    <w:rsid w:val="005E4AD4"/>
    <w:rsid w:val="005E5537"/>
    <w:rsid w:val="005E583D"/>
    <w:rsid w:val="005E6210"/>
    <w:rsid w:val="005F2683"/>
    <w:rsid w:val="005F273A"/>
    <w:rsid w:val="005F3694"/>
    <w:rsid w:val="005F44BD"/>
    <w:rsid w:val="005F53A7"/>
    <w:rsid w:val="005F57A7"/>
    <w:rsid w:val="005F5B42"/>
    <w:rsid w:val="005F6BB9"/>
    <w:rsid w:val="005F712D"/>
    <w:rsid w:val="005F7CFE"/>
    <w:rsid w:val="0060010D"/>
    <w:rsid w:val="0060228C"/>
    <w:rsid w:val="006025AD"/>
    <w:rsid w:val="00602605"/>
    <w:rsid w:val="00603886"/>
    <w:rsid w:val="0060400B"/>
    <w:rsid w:val="00606115"/>
    <w:rsid w:val="00610B77"/>
    <w:rsid w:val="0061221C"/>
    <w:rsid w:val="00612B00"/>
    <w:rsid w:val="00612D7B"/>
    <w:rsid w:val="00614FE6"/>
    <w:rsid w:val="0061502E"/>
    <w:rsid w:val="00620BFD"/>
    <w:rsid w:val="00620C6E"/>
    <w:rsid w:val="00620D29"/>
    <w:rsid w:val="006217BD"/>
    <w:rsid w:val="0062203B"/>
    <w:rsid w:val="00624DF8"/>
    <w:rsid w:val="00625CBD"/>
    <w:rsid w:val="00627605"/>
    <w:rsid w:val="00630E43"/>
    <w:rsid w:val="006327BE"/>
    <w:rsid w:val="006339D0"/>
    <w:rsid w:val="00636F03"/>
    <w:rsid w:val="00637570"/>
    <w:rsid w:val="006378BE"/>
    <w:rsid w:val="00637BC4"/>
    <w:rsid w:val="006410C4"/>
    <w:rsid w:val="006412D0"/>
    <w:rsid w:val="00642387"/>
    <w:rsid w:val="00642B5F"/>
    <w:rsid w:val="0064655F"/>
    <w:rsid w:val="00647707"/>
    <w:rsid w:val="00647AB8"/>
    <w:rsid w:val="00650564"/>
    <w:rsid w:val="00650E4A"/>
    <w:rsid w:val="00652107"/>
    <w:rsid w:val="00652382"/>
    <w:rsid w:val="00652AA2"/>
    <w:rsid w:val="006536F7"/>
    <w:rsid w:val="00654F75"/>
    <w:rsid w:val="0065543C"/>
    <w:rsid w:val="006570E4"/>
    <w:rsid w:val="00657678"/>
    <w:rsid w:val="0066033C"/>
    <w:rsid w:val="00660E96"/>
    <w:rsid w:val="006610AB"/>
    <w:rsid w:val="006612C9"/>
    <w:rsid w:val="00663147"/>
    <w:rsid w:val="006636FD"/>
    <w:rsid w:val="00663733"/>
    <w:rsid w:val="006647EF"/>
    <w:rsid w:val="00665AA9"/>
    <w:rsid w:val="00665B1A"/>
    <w:rsid w:val="0066606C"/>
    <w:rsid w:val="00666682"/>
    <w:rsid w:val="006668DB"/>
    <w:rsid w:val="00667FBC"/>
    <w:rsid w:val="00670A3D"/>
    <w:rsid w:val="00671022"/>
    <w:rsid w:val="00672F85"/>
    <w:rsid w:val="00673350"/>
    <w:rsid w:val="00673E59"/>
    <w:rsid w:val="0067464A"/>
    <w:rsid w:val="00675BE0"/>
    <w:rsid w:val="00675D5A"/>
    <w:rsid w:val="00681214"/>
    <w:rsid w:val="0068129A"/>
    <w:rsid w:val="00682C14"/>
    <w:rsid w:val="0068330B"/>
    <w:rsid w:val="00683A03"/>
    <w:rsid w:val="00684519"/>
    <w:rsid w:val="00685FE5"/>
    <w:rsid w:val="00686B67"/>
    <w:rsid w:val="0069001E"/>
    <w:rsid w:val="00690FEB"/>
    <w:rsid w:val="00693E09"/>
    <w:rsid w:val="0069441D"/>
    <w:rsid w:val="00694843"/>
    <w:rsid w:val="00695D38"/>
    <w:rsid w:val="00696811"/>
    <w:rsid w:val="006969A5"/>
    <w:rsid w:val="006A0798"/>
    <w:rsid w:val="006A1E50"/>
    <w:rsid w:val="006A3120"/>
    <w:rsid w:val="006A3C45"/>
    <w:rsid w:val="006A46D1"/>
    <w:rsid w:val="006A4894"/>
    <w:rsid w:val="006A4CF1"/>
    <w:rsid w:val="006A5CD9"/>
    <w:rsid w:val="006A655E"/>
    <w:rsid w:val="006B0714"/>
    <w:rsid w:val="006B116E"/>
    <w:rsid w:val="006B11E0"/>
    <w:rsid w:val="006B2488"/>
    <w:rsid w:val="006B56CE"/>
    <w:rsid w:val="006B5981"/>
    <w:rsid w:val="006B6631"/>
    <w:rsid w:val="006C077D"/>
    <w:rsid w:val="006C12D6"/>
    <w:rsid w:val="006C18DD"/>
    <w:rsid w:val="006C2C66"/>
    <w:rsid w:val="006C494C"/>
    <w:rsid w:val="006C4B4D"/>
    <w:rsid w:val="006C4BC0"/>
    <w:rsid w:val="006C4D4C"/>
    <w:rsid w:val="006C56A7"/>
    <w:rsid w:val="006C6386"/>
    <w:rsid w:val="006D091A"/>
    <w:rsid w:val="006D0F04"/>
    <w:rsid w:val="006D109D"/>
    <w:rsid w:val="006D148B"/>
    <w:rsid w:val="006D3A0E"/>
    <w:rsid w:val="006D3AA2"/>
    <w:rsid w:val="006D41F0"/>
    <w:rsid w:val="006D421A"/>
    <w:rsid w:val="006D51D2"/>
    <w:rsid w:val="006D5B07"/>
    <w:rsid w:val="006D5B9D"/>
    <w:rsid w:val="006E049B"/>
    <w:rsid w:val="006E145C"/>
    <w:rsid w:val="006E212C"/>
    <w:rsid w:val="006E2938"/>
    <w:rsid w:val="006E3B8C"/>
    <w:rsid w:val="006E3F59"/>
    <w:rsid w:val="006E3FF0"/>
    <w:rsid w:val="006E3FFC"/>
    <w:rsid w:val="006E4B34"/>
    <w:rsid w:val="006E6152"/>
    <w:rsid w:val="006E6C9E"/>
    <w:rsid w:val="006F17D9"/>
    <w:rsid w:val="006F3684"/>
    <w:rsid w:val="006F38C2"/>
    <w:rsid w:val="006F547D"/>
    <w:rsid w:val="006F71F2"/>
    <w:rsid w:val="007010C7"/>
    <w:rsid w:val="00701333"/>
    <w:rsid w:val="00703C4E"/>
    <w:rsid w:val="00705097"/>
    <w:rsid w:val="007104D5"/>
    <w:rsid w:val="0071086B"/>
    <w:rsid w:val="00712240"/>
    <w:rsid w:val="00712E70"/>
    <w:rsid w:val="00713A3F"/>
    <w:rsid w:val="00714C8F"/>
    <w:rsid w:val="00717BE8"/>
    <w:rsid w:val="00721232"/>
    <w:rsid w:val="007216F0"/>
    <w:rsid w:val="00721BA2"/>
    <w:rsid w:val="007233E5"/>
    <w:rsid w:val="00724153"/>
    <w:rsid w:val="00724DB6"/>
    <w:rsid w:val="00727003"/>
    <w:rsid w:val="00727BA1"/>
    <w:rsid w:val="0073054F"/>
    <w:rsid w:val="007314F4"/>
    <w:rsid w:val="00731562"/>
    <w:rsid w:val="007319C1"/>
    <w:rsid w:val="00733694"/>
    <w:rsid w:val="0073406F"/>
    <w:rsid w:val="007340B3"/>
    <w:rsid w:val="007350A3"/>
    <w:rsid w:val="00736522"/>
    <w:rsid w:val="00736DB8"/>
    <w:rsid w:val="00743EF6"/>
    <w:rsid w:val="0074687B"/>
    <w:rsid w:val="00747E52"/>
    <w:rsid w:val="00747E5E"/>
    <w:rsid w:val="007505E2"/>
    <w:rsid w:val="0075148E"/>
    <w:rsid w:val="00751BBF"/>
    <w:rsid w:val="00752368"/>
    <w:rsid w:val="007523C7"/>
    <w:rsid w:val="00753114"/>
    <w:rsid w:val="00753893"/>
    <w:rsid w:val="007567DC"/>
    <w:rsid w:val="007572BB"/>
    <w:rsid w:val="00757BF9"/>
    <w:rsid w:val="0076040F"/>
    <w:rsid w:val="00760C86"/>
    <w:rsid w:val="007610E2"/>
    <w:rsid w:val="007625EA"/>
    <w:rsid w:val="00763599"/>
    <w:rsid w:val="00764599"/>
    <w:rsid w:val="00764B13"/>
    <w:rsid w:val="00765569"/>
    <w:rsid w:val="00765949"/>
    <w:rsid w:val="00765D5E"/>
    <w:rsid w:val="00767B58"/>
    <w:rsid w:val="00770337"/>
    <w:rsid w:val="007732D3"/>
    <w:rsid w:val="00774E8F"/>
    <w:rsid w:val="007750DC"/>
    <w:rsid w:val="0077748C"/>
    <w:rsid w:val="00781754"/>
    <w:rsid w:val="00782554"/>
    <w:rsid w:val="007842C6"/>
    <w:rsid w:val="007847BA"/>
    <w:rsid w:val="00784EC2"/>
    <w:rsid w:val="007850E6"/>
    <w:rsid w:val="00785CD0"/>
    <w:rsid w:val="0078631A"/>
    <w:rsid w:val="00787AF6"/>
    <w:rsid w:val="00790F0A"/>
    <w:rsid w:val="007926C1"/>
    <w:rsid w:val="00795D1C"/>
    <w:rsid w:val="00796028"/>
    <w:rsid w:val="00796D62"/>
    <w:rsid w:val="00796E9B"/>
    <w:rsid w:val="007A07FE"/>
    <w:rsid w:val="007A1330"/>
    <w:rsid w:val="007A1C74"/>
    <w:rsid w:val="007A2068"/>
    <w:rsid w:val="007A2F04"/>
    <w:rsid w:val="007A36CF"/>
    <w:rsid w:val="007A3DA8"/>
    <w:rsid w:val="007A3E7D"/>
    <w:rsid w:val="007B01B8"/>
    <w:rsid w:val="007B0600"/>
    <w:rsid w:val="007B3423"/>
    <w:rsid w:val="007B404E"/>
    <w:rsid w:val="007C1B77"/>
    <w:rsid w:val="007C29A5"/>
    <w:rsid w:val="007C5F51"/>
    <w:rsid w:val="007C69AF"/>
    <w:rsid w:val="007C6C1F"/>
    <w:rsid w:val="007C795E"/>
    <w:rsid w:val="007D1AFD"/>
    <w:rsid w:val="007D2358"/>
    <w:rsid w:val="007D3286"/>
    <w:rsid w:val="007D351F"/>
    <w:rsid w:val="007D4146"/>
    <w:rsid w:val="007D690E"/>
    <w:rsid w:val="007D6A2B"/>
    <w:rsid w:val="007D70BB"/>
    <w:rsid w:val="007D74C5"/>
    <w:rsid w:val="007D7559"/>
    <w:rsid w:val="007D7F71"/>
    <w:rsid w:val="007E0D61"/>
    <w:rsid w:val="007E2489"/>
    <w:rsid w:val="007E3E3C"/>
    <w:rsid w:val="007E76C0"/>
    <w:rsid w:val="007E7936"/>
    <w:rsid w:val="007E7D96"/>
    <w:rsid w:val="007F34CC"/>
    <w:rsid w:val="007F5643"/>
    <w:rsid w:val="007F6028"/>
    <w:rsid w:val="007F6B17"/>
    <w:rsid w:val="007F6C18"/>
    <w:rsid w:val="0080049C"/>
    <w:rsid w:val="00801266"/>
    <w:rsid w:val="00801903"/>
    <w:rsid w:val="00801B08"/>
    <w:rsid w:val="00801FBE"/>
    <w:rsid w:val="00802562"/>
    <w:rsid w:val="00803AF4"/>
    <w:rsid w:val="008041EA"/>
    <w:rsid w:val="0080567D"/>
    <w:rsid w:val="00805FE0"/>
    <w:rsid w:val="00810CC7"/>
    <w:rsid w:val="0081120B"/>
    <w:rsid w:val="00813255"/>
    <w:rsid w:val="0082087B"/>
    <w:rsid w:val="00820E24"/>
    <w:rsid w:val="00820E3B"/>
    <w:rsid w:val="00822DF5"/>
    <w:rsid w:val="0082390F"/>
    <w:rsid w:val="008251F9"/>
    <w:rsid w:val="008273F1"/>
    <w:rsid w:val="00830ABE"/>
    <w:rsid w:val="00830E52"/>
    <w:rsid w:val="008313DC"/>
    <w:rsid w:val="008324C1"/>
    <w:rsid w:val="0083258F"/>
    <w:rsid w:val="00836A9E"/>
    <w:rsid w:val="00836CCA"/>
    <w:rsid w:val="00837C1C"/>
    <w:rsid w:val="00840309"/>
    <w:rsid w:val="00840724"/>
    <w:rsid w:val="0084149A"/>
    <w:rsid w:val="0084446A"/>
    <w:rsid w:val="00844E96"/>
    <w:rsid w:val="00847A65"/>
    <w:rsid w:val="00847B45"/>
    <w:rsid w:val="00850D7A"/>
    <w:rsid w:val="00851AAF"/>
    <w:rsid w:val="00853F1E"/>
    <w:rsid w:val="00856D23"/>
    <w:rsid w:val="008578BC"/>
    <w:rsid w:val="0086030C"/>
    <w:rsid w:val="00860C0C"/>
    <w:rsid w:val="00860F9F"/>
    <w:rsid w:val="00861DFE"/>
    <w:rsid w:val="00862124"/>
    <w:rsid w:val="00866AC0"/>
    <w:rsid w:val="00870E3D"/>
    <w:rsid w:val="00872554"/>
    <w:rsid w:val="008727B8"/>
    <w:rsid w:val="008742BF"/>
    <w:rsid w:val="0087616E"/>
    <w:rsid w:val="008765D4"/>
    <w:rsid w:val="00877C56"/>
    <w:rsid w:val="0088073E"/>
    <w:rsid w:val="00882B48"/>
    <w:rsid w:val="00884EBF"/>
    <w:rsid w:val="00886467"/>
    <w:rsid w:val="008877CC"/>
    <w:rsid w:val="00890F32"/>
    <w:rsid w:val="008943F0"/>
    <w:rsid w:val="00894400"/>
    <w:rsid w:val="00894B8B"/>
    <w:rsid w:val="00897099"/>
    <w:rsid w:val="008974D5"/>
    <w:rsid w:val="00897C3F"/>
    <w:rsid w:val="008A07F3"/>
    <w:rsid w:val="008A092C"/>
    <w:rsid w:val="008A132B"/>
    <w:rsid w:val="008A2402"/>
    <w:rsid w:val="008A26EA"/>
    <w:rsid w:val="008A2728"/>
    <w:rsid w:val="008A3B99"/>
    <w:rsid w:val="008A416B"/>
    <w:rsid w:val="008A50A7"/>
    <w:rsid w:val="008A522A"/>
    <w:rsid w:val="008A524C"/>
    <w:rsid w:val="008A557F"/>
    <w:rsid w:val="008A66DD"/>
    <w:rsid w:val="008A677A"/>
    <w:rsid w:val="008A7186"/>
    <w:rsid w:val="008B034F"/>
    <w:rsid w:val="008B056D"/>
    <w:rsid w:val="008B09EC"/>
    <w:rsid w:val="008B1C85"/>
    <w:rsid w:val="008B1FC0"/>
    <w:rsid w:val="008B271E"/>
    <w:rsid w:val="008B5132"/>
    <w:rsid w:val="008B74DE"/>
    <w:rsid w:val="008C00F7"/>
    <w:rsid w:val="008C1864"/>
    <w:rsid w:val="008C1C29"/>
    <w:rsid w:val="008C1CFB"/>
    <w:rsid w:val="008C2A7C"/>
    <w:rsid w:val="008C44F5"/>
    <w:rsid w:val="008C560B"/>
    <w:rsid w:val="008C60E8"/>
    <w:rsid w:val="008C73C7"/>
    <w:rsid w:val="008D00C5"/>
    <w:rsid w:val="008D080C"/>
    <w:rsid w:val="008D0911"/>
    <w:rsid w:val="008D2064"/>
    <w:rsid w:val="008D2BCF"/>
    <w:rsid w:val="008D3185"/>
    <w:rsid w:val="008D357B"/>
    <w:rsid w:val="008D4C86"/>
    <w:rsid w:val="008D4E57"/>
    <w:rsid w:val="008D63E7"/>
    <w:rsid w:val="008D6877"/>
    <w:rsid w:val="008D6B37"/>
    <w:rsid w:val="008D6BB5"/>
    <w:rsid w:val="008E126A"/>
    <w:rsid w:val="008E1772"/>
    <w:rsid w:val="008E23B7"/>
    <w:rsid w:val="008E3DA4"/>
    <w:rsid w:val="008E576A"/>
    <w:rsid w:val="008E607F"/>
    <w:rsid w:val="008E7F1C"/>
    <w:rsid w:val="008F0AA6"/>
    <w:rsid w:val="008F1606"/>
    <w:rsid w:val="008F22FE"/>
    <w:rsid w:val="008F2B5D"/>
    <w:rsid w:val="008F4798"/>
    <w:rsid w:val="008F4D0A"/>
    <w:rsid w:val="00900480"/>
    <w:rsid w:val="00900BAF"/>
    <w:rsid w:val="00900D1B"/>
    <w:rsid w:val="00900FDA"/>
    <w:rsid w:val="009013D7"/>
    <w:rsid w:val="009016B1"/>
    <w:rsid w:val="009025BF"/>
    <w:rsid w:val="00902809"/>
    <w:rsid w:val="00902B1B"/>
    <w:rsid w:val="00904166"/>
    <w:rsid w:val="00906B28"/>
    <w:rsid w:val="0091016C"/>
    <w:rsid w:val="00910D79"/>
    <w:rsid w:val="00911507"/>
    <w:rsid w:val="009121AC"/>
    <w:rsid w:val="009141F3"/>
    <w:rsid w:val="00914200"/>
    <w:rsid w:val="0091544E"/>
    <w:rsid w:val="00916CDF"/>
    <w:rsid w:val="00920E49"/>
    <w:rsid w:val="00924B63"/>
    <w:rsid w:val="0092670A"/>
    <w:rsid w:val="0092711A"/>
    <w:rsid w:val="00930EBF"/>
    <w:rsid w:val="00930F49"/>
    <w:rsid w:val="00931B04"/>
    <w:rsid w:val="00932FD2"/>
    <w:rsid w:val="0093421D"/>
    <w:rsid w:val="009362EC"/>
    <w:rsid w:val="00937A8E"/>
    <w:rsid w:val="009406ED"/>
    <w:rsid w:val="009426C8"/>
    <w:rsid w:val="00942BA2"/>
    <w:rsid w:val="00943EE1"/>
    <w:rsid w:val="00947700"/>
    <w:rsid w:val="00951A3A"/>
    <w:rsid w:val="00952277"/>
    <w:rsid w:val="009528DC"/>
    <w:rsid w:val="00954F0E"/>
    <w:rsid w:val="00955757"/>
    <w:rsid w:val="0095599C"/>
    <w:rsid w:val="00956372"/>
    <w:rsid w:val="00957A0C"/>
    <w:rsid w:val="00960962"/>
    <w:rsid w:val="00960A76"/>
    <w:rsid w:val="00961D99"/>
    <w:rsid w:val="0096262E"/>
    <w:rsid w:val="0096276D"/>
    <w:rsid w:val="00963ABC"/>
    <w:rsid w:val="00964310"/>
    <w:rsid w:val="0096526C"/>
    <w:rsid w:val="00965E3D"/>
    <w:rsid w:val="0096705F"/>
    <w:rsid w:val="0096728E"/>
    <w:rsid w:val="00967320"/>
    <w:rsid w:val="009677C7"/>
    <w:rsid w:val="00970D26"/>
    <w:rsid w:val="00970D60"/>
    <w:rsid w:val="009715A3"/>
    <w:rsid w:val="00971ADD"/>
    <w:rsid w:val="00971C9A"/>
    <w:rsid w:val="0097227D"/>
    <w:rsid w:val="0097344A"/>
    <w:rsid w:val="00973B63"/>
    <w:rsid w:val="009741B4"/>
    <w:rsid w:val="00976010"/>
    <w:rsid w:val="009777FB"/>
    <w:rsid w:val="00977B55"/>
    <w:rsid w:val="00977BAA"/>
    <w:rsid w:val="00977E4A"/>
    <w:rsid w:val="00980F87"/>
    <w:rsid w:val="00981E4B"/>
    <w:rsid w:val="00982A8A"/>
    <w:rsid w:val="00984CE2"/>
    <w:rsid w:val="009850F7"/>
    <w:rsid w:val="009853C8"/>
    <w:rsid w:val="00985A9F"/>
    <w:rsid w:val="009865E2"/>
    <w:rsid w:val="0099042A"/>
    <w:rsid w:val="00990899"/>
    <w:rsid w:val="00991166"/>
    <w:rsid w:val="00991F3F"/>
    <w:rsid w:val="0099389A"/>
    <w:rsid w:val="00993B29"/>
    <w:rsid w:val="009956DE"/>
    <w:rsid w:val="00996AAC"/>
    <w:rsid w:val="00997DB4"/>
    <w:rsid w:val="00997DC2"/>
    <w:rsid w:val="00997F23"/>
    <w:rsid w:val="009A139D"/>
    <w:rsid w:val="009A152A"/>
    <w:rsid w:val="009A5C9A"/>
    <w:rsid w:val="009A5FDB"/>
    <w:rsid w:val="009A75FD"/>
    <w:rsid w:val="009A7A74"/>
    <w:rsid w:val="009B007B"/>
    <w:rsid w:val="009B0AEA"/>
    <w:rsid w:val="009B3465"/>
    <w:rsid w:val="009B4A5D"/>
    <w:rsid w:val="009B4C3E"/>
    <w:rsid w:val="009B503E"/>
    <w:rsid w:val="009B7516"/>
    <w:rsid w:val="009C279C"/>
    <w:rsid w:val="009C321F"/>
    <w:rsid w:val="009C376C"/>
    <w:rsid w:val="009C3DDF"/>
    <w:rsid w:val="009C45A6"/>
    <w:rsid w:val="009C5BD8"/>
    <w:rsid w:val="009C7024"/>
    <w:rsid w:val="009D05CB"/>
    <w:rsid w:val="009D24B3"/>
    <w:rsid w:val="009D3A36"/>
    <w:rsid w:val="009D4FC9"/>
    <w:rsid w:val="009D5D23"/>
    <w:rsid w:val="009E013A"/>
    <w:rsid w:val="009E192B"/>
    <w:rsid w:val="009E3817"/>
    <w:rsid w:val="009E39BA"/>
    <w:rsid w:val="009E4D18"/>
    <w:rsid w:val="009E4DBA"/>
    <w:rsid w:val="009E684B"/>
    <w:rsid w:val="009E6FDF"/>
    <w:rsid w:val="009F31B9"/>
    <w:rsid w:val="009F34AC"/>
    <w:rsid w:val="009F38FB"/>
    <w:rsid w:val="009F48E4"/>
    <w:rsid w:val="009F4BB9"/>
    <w:rsid w:val="009F5314"/>
    <w:rsid w:val="009F6694"/>
    <w:rsid w:val="009F7031"/>
    <w:rsid w:val="00A02286"/>
    <w:rsid w:val="00A03833"/>
    <w:rsid w:val="00A03D51"/>
    <w:rsid w:val="00A04E97"/>
    <w:rsid w:val="00A0529A"/>
    <w:rsid w:val="00A0631B"/>
    <w:rsid w:val="00A06E11"/>
    <w:rsid w:val="00A07353"/>
    <w:rsid w:val="00A07B50"/>
    <w:rsid w:val="00A07D9E"/>
    <w:rsid w:val="00A11D12"/>
    <w:rsid w:val="00A120B8"/>
    <w:rsid w:val="00A12D0A"/>
    <w:rsid w:val="00A132F1"/>
    <w:rsid w:val="00A13A12"/>
    <w:rsid w:val="00A13CD2"/>
    <w:rsid w:val="00A14E7C"/>
    <w:rsid w:val="00A156B4"/>
    <w:rsid w:val="00A20108"/>
    <w:rsid w:val="00A224D5"/>
    <w:rsid w:val="00A22A70"/>
    <w:rsid w:val="00A242AB"/>
    <w:rsid w:val="00A2466F"/>
    <w:rsid w:val="00A26015"/>
    <w:rsid w:val="00A30141"/>
    <w:rsid w:val="00A31626"/>
    <w:rsid w:val="00A33711"/>
    <w:rsid w:val="00A341DE"/>
    <w:rsid w:val="00A34994"/>
    <w:rsid w:val="00A35252"/>
    <w:rsid w:val="00A36AA1"/>
    <w:rsid w:val="00A40C94"/>
    <w:rsid w:val="00A453E1"/>
    <w:rsid w:val="00A457CA"/>
    <w:rsid w:val="00A471E2"/>
    <w:rsid w:val="00A4770B"/>
    <w:rsid w:val="00A50215"/>
    <w:rsid w:val="00A60D3C"/>
    <w:rsid w:val="00A63099"/>
    <w:rsid w:val="00A64449"/>
    <w:rsid w:val="00A6667A"/>
    <w:rsid w:val="00A67257"/>
    <w:rsid w:val="00A67E8C"/>
    <w:rsid w:val="00A704E2"/>
    <w:rsid w:val="00A70914"/>
    <w:rsid w:val="00A70917"/>
    <w:rsid w:val="00A712CB"/>
    <w:rsid w:val="00A71E63"/>
    <w:rsid w:val="00A725F3"/>
    <w:rsid w:val="00A739CA"/>
    <w:rsid w:val="00A763A6"/>
    <w:rsid w:val="00A766A0"/>
    <w:rsid w:val="00A811A5"/>
    <w:rsid w:val="00A81FB1"/>
    <w:rsid w:val="00A84093"/>
    <w:rsid w:val="00A85FD0"/>
    <w:rsid w:val="00A861BD"/>
    <w:rsid w:val="00A91AC5"/>
    <w:rsid w:val="00A921D8"/>
    <w:rsid w:val="00A92EA7"/>
    <w:rsid w:val="00A96382"/>
    <w:rsid w:val="00A96700"/>
    <w:rsid w:val="00A9689C"/>
    <w:rsid w:val="00A969DD"/>
    <w:rsid w:val="00AA0C01"/>
    <w:rsid w:val="00AA1980"/>
    <w:rsid w:val="00AA5B28"/>
    <w:rsid w:val="00AA67D0"/>
    <w:rsid w:val="00AA7126"/>
    <w:rsid w:val="00AA7C73"/>
    <w:rsid w:val="00AB0AE8"/>
    <w:rsid w:val="00AB1451"/>
    <w:rsid w:val="00AB2159"/>
    <w:rsid w:val="00AB21E8"/>
    <w:rsid w:val="00AB2DF4"/>
    <w:rsid w:val="00AB33DC"/>
    <w:rsid w:val="00AB39FB"/>
    <w:rsid w:val="00AB44DD"/>
    <w:rsid w:val="00AB6F30"/>
    <w:rsid w:val="00AB72C0"/>
    <w:rsid w:val="00AC16AC"/>
    <w:rsid w:val="00AC40F2"/>
    <w:rsid w:val="00AC4233"/>
    <w:rsid w:val="00AC4F68"/>
    <w:rsid w:val="00AC55CC"/>
    <w:rsid w:val="00AC74F6"/>
    <w:rsid w:val="00AC7B38"/>
    <w:rsid w:val="00AC7D8F"/>
    <w:rsid w:val="00AC7E61"/>
    <w:rsid w:val="00AD0661"/>
    <w:rsid w:val="00AD17EC"/>
    <w:rsid w:val="00AD1F8E"/>
    <w:rsid w:val="00AD585B"/>
    <w:rsid w:val="00AD727E"/>
    <w:rsid w:val="00AE220F"/>
    <w:rsid w:val="00AE365A"/>
    <w:rsid w:val="00AE3A02"/>
    <w:rsid w:val="00AF1E78"/>
    <w:rsid w:val="00AF1FB9"/>
    <w:rsid w:val="00AF2649"/>
    <w:rsid w:val="00AF288E"/>
    <w:rsid w:val="00AF3A00"/>
    <w:rsid w:val="00AF663D"/>
    <w:rsid w:val="00AF7F8A"/>
    <w:rsid w:val="00B003B8"/>
    <w:rsid w:val="00B018EC"/>
    <w:rsid w:val="00B037AC"/>
    <w:rsid w:val="00B047AC"/>
    <w:rsid w:val="00B04862"/>
    <w:rsid w:val="00B0500C"/>
    <w:rsid w:val="00B0642C"/>
    <w:rsid w:val="00B1055B"/>
    <w:rsid w:val="00B10BF6"/>
    <w:rsid w:val="00B10D81"/>
    <w:rsid w:val="00B10E4D"/>
    <w:rsid w:val="00B10E77"/>
    <w:rsid w:val="00B12B54"/>
    <w:rsid w:val="00B14507"/>
    <w:rsid w:val="00B16AD4"/>
    <w:rsid w:val="00B1767B"/>
    <w:rsid w:val="00B2007F"/>
    <w:rsid w:val="00B20958"/>
    <w:rsid w:val="00B2107C"/>
    <w:rsid w:val="00B2289D"/>
    <w:rsid w:val="00B230D3"/>
    <w:rsid w:val="00B234C6"/>
    <w:rsid w:val="00B24B7A"/>
    <w:rsid w:val="00B25D46"/>
    <w:rsid w:val="00B306B3"/>
    <w:rsid w:val="00B32EB7"/>
    <w:rsid w:val="00B32ECA"/>
    <w:rsid w:val="00B347B3"/>
    <w:rsid w:val="00B3745C"/>
    <w:rsid w:val="00B37A5E"/>
    <w:rsid w:val="00B40381"/>
    <w:rsid w:val="00B40E5F"/>
    <w:rsid w:val="00B47B23"/>
    <w:rsid w:val="00B51B22"/>
    <w:rsid w:val="00B549E0"/>
    <w:rsid w:val="00B552C7"/>
    <w:rsid w:val="00B55F85"/>
    <w:rsid w:val="00B570C3"/>
    <w:rsid w:val="00B5732A"/>
    <w:rsid w:val="00B60AA3"/>
    <w:rsid w:val="00B64153"/>
    <w:rsid w:val="00B6451E"/>
    <w:rsid w:val="00B65D52"/>
    <w:rsid w:val="00B67086"/>
    <w:rsid w:val="00B70D8B"/>
    <w:rsid w:val="00B72E65"/>
    <w:rsid w:val="00B72F0B"/>
    <w:rsid w:val="00B73A4E"/>
    <w:rsid w:val="00B7478A"/>
    <w:rsid w:val="00B74F9A"/>
    <w:rsid w:val="00B75875"/>
    <w:rsid w:val="00B77D99"/>
    <w:rsid w:val="00B801CD"/>
    <w:rsid w:val="00B8442A"/>
    <w:rsid w:val="00B85BB3"/>
    <w:rsid w:val="00B86907"/>
    <w:rsid w:val="00B91E18"/>
    <w:rsid w:val="00B9255C"/>
    <w:rsid w:val="00B92A12"/>
    <w:rsid w:val="00B92D88"/>
    <w:rsid w:val="00B95E24"/>
    <w:rsid w:val="00B96A84"/>
    <w:rsid w:val="00BA1596"/>
    <w:rsid w:val="00BA2EB3"/>
    <w:rsid w:val="00BB1B0B"/>
    <w:rsid w:val="00BB26B4"/>
    <w:rsid w:val="00BB2A9F"/>
    <w:rsid w:val="00BB312C"/>
    <w:rsid w:val="00BB342B"/>
    <w:rsid w:val="00BB3FF2"/>
    <w:rsid w:val="00BB4073"/>
    <w:rsid w:val="00BB4F5C"/>
    <w:rsid w:val="00BC1651"/>
    <w:rsid w:val="00BC25FA"/>
    <w:rsid w:val="00BC3782"/>
    <w:rsid w:val="00BC504C"/>
    <w:rsid w:val="00BC5803"/>
    <w:rsid w:val="00BC7962"/>
    <w:rsid w:val="00BC7AFA"/>
    <w:rsid w:val="00BD07AC"/>
    <w:rsid w:val="00BD0969"/>
    <w:rsid w:val="00BD215C"/>
    <w:rsid w:val="00BD27D9"/>
    <w:rsid w:val="00BD2883"/>
    <w:rsid w:val="00BD3A3F"/>
    <w:rsid w:val="00BD5036"/>
    <w:rsid w:val="00BD6068"/>
    <w:rsid w:val="00BE02F7"/>
    <w:rsid w:val="00BE09AC"/>
    <w:rsid w:val="00BE0C48"/>
    <w:rsid w:val="00BE2951"/>
    <w:rsid w:val="00BE2DFF"/>
    <w:rsid w:val="00BE375D"/>
    <w:rsid w:val="00BE4950"/>
    <w:rsid w:val="00BE5B15"/>
    <w:rsid w:val="00BE6F30"/>
    <w:rsid w:val="00BE7160"/>
    <w:rsid w:val="00BF1106"/>
    <w:rsid w:val="00BF1B33"/>
    <w:rsid w:val="00BF3F3B"/>
    <w:rsid w:val="00BF46D3"/>
    <w:rsid w:val="00BF5408"/>
    <w:rsid w:val="00BF6DC9"/>
    <w:rsid w:val="00BF6E34"/>
    <w:rsid w:val="00C003C6"/>
    <w:rsid w:val="00C01499"/>
    <w:rsid w:val="00C01B4A"/>
    <w:rsid w:val="00C02F00"/>
    <w:rsid w:val="00C03C5F"/>
    <w:rsid w:val="00C07BE8"/>
    <w:rsid w:val="00C124B5"/>
    <w:rsid w:val="00C14E0D"/>
    <w:rsid w:val="00C156E9"/>
    <w:rsid w:val="00C15A62"/>
    <w:rsid w:val="00C15E84"/>
    <w:rsid w:val="00C16B9F"/>
    <w:rsid w:val="00C16E26"/>
    <w:rsid w:val="00C17017"/>
    <w:rsid w:val="00C171EB"/>
    <w:rsid w:val="00C223F8"/>
    <w:rsid w:val="00C226EA"/>
    <w:rsid w:val="00C24B6A"/>
    <w:rsid w:val="00C24E0A"/>
    <w:rsid w:val="00C25493"/>
    <w:rsid w:val="00C2721B"/>
    <w:rsid w:val="00C27397"/>
    <w:rsid w:val="00C30E39"/>
    <w:rsid w:val="00C30FC8"/>
    <w:rsid w:val="00C32A18"/>
    <w:rsid w:val="00C3303B"/>
    <w:rsid w:val="00C340A6"/>
    <w:rsid w:val="00C34516"/>
    <w:rsid w:val="00C34B54"/>
    <w:rsid w:val="00C34DE4"/>
    <w:rsid w:val="00C37C22"/>
    <w:rsid w:val="00C41447"/>
    <w:rsid w:val="00C4207B"/>
    <w:rsid w:val="00C428DA"/>
    <w:rsid w:val="00C441B5"/>
    <w:rsid w:val="00C45163"/>
    <w:rsid w:val="00C4523A"/>
    <w:rsid w:val="00C467D3"/>
    <w:rsid w:val="00C46C39"/>
    <w:rsid w:val="00C46D14"/>
    <w:rsid w:val="00C50A99"/>
    <w:rsid w:val="00C50EC4"/>
    <w:rsid w:val="00C510D7"/>
    <w:rsid w:val="00C520D8"/>
    <w:rsid w:val="00C521D4"/>
    <w:rsid w:val="00C53BC2"/>
    <w:rsid w:val="00C54FE5"/>
    <w:rsid w:val="00C57922"/>
    <w:rsid w:val="00C60C0E"/>
    <w:rsid w:val="00C61FD9"/>
    <w:rsid w:val="00C67AC4"/>
    <w:rsid w:val="00C67F4B"/>
    <w:rsid w:val="00C704E3"/>
    <w:rsid w:val="00C72292"/>
    <w:rsid w:val="00C733F1"/>
    <w:rsid w:val="00C738DF"/>
    <w:rsid w:val="00C76ECD"/>
    <w:rsid w:val="00C772FB"/>
    <w:rsid w:val="00C8037E"/>
    <w:rsid w:val="00C80B9A"/>
    <w:rsid w:val="00C80C38"/>
    <w:rsid w:val="00C848BC"/>
    <w:rsid w:val="00C900B9"/>
    <w:rsid w:val="00C90B17"/>
    <w:rsid w:val="00C927F2"/>
    <w:rsid w:val="00C92B37"/>
    <w:rsid w:val="00C93821"/>
    <w:rsid w:val="00C95EA6"/>
    <w:rsid w:val="00C9678F"/>
    <w:rsid w:val="00CA0424"/>
    <w:rsid w:val="00CA0DB8"/>
    <w:rsid w:val="00CA124D"/>
    <w:rsid w:val="00CA1420"/>
    <w:rsid w:val="00CA15AE"/>
    <w:rsid w:val="00CA30E2"/>
    <w:rsid w:val="00CA3461"/>
    <w:rsid w:val="00CA352D"/>
    <w:rsid w:val="00CA3768"/>
    <w:rsid w:val="00CA3CE9"/>
    <w:rsid w:val="00CA42E8"/>
    <w:rsid w:val="00CA4BDD"/>
    <w:rsid w:val="00CA61C5"/>
    <w:rsid w:val="00CA6E72"/>
    <w:rsid w:val="00CA73E8"/>
    <w:rsid w:val="00CA7C15"/>
    <w:rsid w:val="00CB02E2"/>
    <w:rsid w:val="00CB1266"/>
    <w:rsid w:val="00CB3393"/>
    <w:rsid w:val="00CB6002"/>
    <w:rsid w:val="00CB6C5B"/>
    <w:rsid w:val="00CB6CA7"/>
    <w:rsid w:val="00CB742D"/>
    <w:rsid w:val="00CB7604"/>
    <w:rsid w:val="00CC0254"/>
    <w:rsid w:val="00CC02F4"/>
    <w:rsid w:val="00CC1351"/>
    <w:rsid w:val="00CC1FC6"/>
    <w:rsid w:val="00CC3694"/>
    <w:rsid w:val="00CC3797"/>
    <w:rsid w:val="00CC3C96"/>
    <w:rsid w:val="00CC48C6"/>
    <w:rsid w:val="00CC64D8"/>
    <w:rsid w:val="00CC6A92"/>
    <w:rsid w:val="00CC7112"/>
    <w:rsid w:val="00CC7519"/>
    <w:rsid w:val="00CC79E0"/>
    <w:rsid w:val="00CC7B44"/>
    <w:rsid w:val="00CD0C9A"/>
    <w:rsid w:val="00CD7957"/>
    <w:rsid w:val="00CE2FF3"/>
    <w:rsid w:val="00CE3276"/>
    <w:rsid w:val="00CE52F1"/>
    <w:rsid w:val="00CE7287"/>
    <w:rsid w:val="00CF12B3"/>
    <w:rsid w:val="00CF2C83"/>
    <w:rsid w:val="00CF3E6B"/>
    <w:rsid w:val="00CF5B4C"/>
    <w:rsid w:val="00CF6356"/>
    <w:rsid w:val="00D01EB8"/>
    <w:rsid w:val="00D04329"/>
    <w:rsid w:val="00D04CD9"/>
    <w:rsid w:val="00D0615A"/>
    <w:rsid w:val="00D10BA2"/>
    <w:rsid w:val="00D139A3"/>
    <w:rsid w:val="00D1414E"/>
    <w:rsid w:val="00D14D45"/>
    <w:rsid w:val="00D163B3"/>
    <w:rsid w:val="00D171D6"/>
    <w:rsid w:val="00D20AB3"/>
    <w:rsid w:val="00D23042"/>
    <w:rsid w:val="00D237D7"/>
    <w:rsid w:val="00D24097"/>
    <w:rsid w:val="00D245CD"/>
    <w:rsid w:val="00D24A90"/>
    <w:rsid w:val="00D257AB"/>
    <w:rsid w:val="00D25C6F"/>
    <w:rsid w:val="00D261B3"/>
    <w:rsid w:val="00D26E92"/>
    <w:rsid w:val="00D31866"/>
    <w:rsid w:val="00D31B8A"/>
    <w:rsid w:val="00D35234"/>
    <w:rsid w:val="00D3546B"/>
    <w:rsid w:val="00D35509"/>
    <w:rsid w:val="00D36346"/>
    <w:rsid w:val="00D4161D"/>
    <w:rsid w:val="00D41B1C"/>
    <w:rsid w:val="00D45F65"/>
    <w:rsid w:val="00D504E1"/>
    <w:rsid w:val="00D51169"/>
    <w:rsid w:val="00D5319E"/>
    <w:rsid w:val="00D56092"/>
    <w:rsid w:val="00D57686"/>
    <w:rsid w:val="00D57AAF"/>
    <w:rsid w:val="00D600C0"/>
    <w:rsid w:val="00D644AF"/>
    <w:rsid w:val="00D64785"/>
    <w:rsid w:val="00D64F7C"/>
    <w:rsid w:val="00D65290"/>
    <w:rsid w:val="00D65373"/>
    <w:rsid w:val="00D65C3B"/>
    <w:rsid w:val="00D66F8E"/>
    <w:rsid w:val="00D71E65"/>
    <w:rsid w:val="00D73AAB"/>
    <w:rsid w:val="00D74542"/>
    <w:rsid w:val="00D77CAB"/>
    <w:rsid w:val="00D808A3"/>
    <w:rsid w:val="00D808F3"/>
    <w:rsid w:val="00D81CFA"/>
    <w:rsid w:val="00D81D11"/>
    <w:rsid w:val="00D8238C"/>
    <w:rsid w:val="00D864C5"/>
    <w:rsid w:val="00D9059E"/>
    <w:rsid w:val="00D90AB1"/>
    <w:rsid w:val="00D91701"/>
    <w:rsid w:val="00D9299A"/>
    <w:rsid w:val="00D936AB"/>
    <w:rsid w:val="00D9562B"/>
    <w:rsid w:val="00D9587D"/>
    <w:rsid w:val="00D96750"/>
    <w:rsid w:val="00D9730F"/>
    <w:rsid w:val="00D977EA"/>
    <w:rsid w:val="00D9781C"/>
    <w:rsid w:val="00DA296E"/>
    <w:rsid w:val="00DA3074"/>
    <w:rsid w:val="00DA370B"/>
    <w:rsid w:val="00DA3996"/>
    <w:rsid w:val="00DA3F6A"/>
    <w:rsid w:val="00DA43F7"/>
    <w:rsid w:val="00DA7EBD"/>
    <w:rsid w:val="00DB005D"/>
    <w:rsid w:val="00DB33F2"/>
    <w:rsid w:val="00DB3F94"/>
    <w:rsid w:val="00DB44B3"/>
    <w:rsid w:val="00DB7AE3"/>
    <w:rsid w:val="00DC1ED8"/>
    <w:rsid w:val="00DC3CB3"/>
    <w:rsid w:val="00DC52E1"/>
    <w:rsid w:val="00DC6FE7"/>
    <w:rsid w:val="00DC7BEC"/>
    <w:rsid w:val="00DD0FAB"/>
    <w:rsid w:val="00DD23A6"/>
    <w:rsid w:val="00DD2C8C"/>
    <w:rsid w:val="00DD2C90"/>
    <w:rsid w:val="00DD323B"/>
    <w:rsid w:val="00DD5525"/>
    <w:rsid w:val="00DD5767"/>
    <w:rsid w:val="00DD5C29"/>
    <w:rsid w:val="00DD7706"/>
    <w:rsid w:val="00DD7A02"/>
    <w:rsid w:val="00DD7C2A"/>
    <w:rsid w:val="00DE0D7B"/>
    <w:rsid w:val="00DE0DA9"/>
    <w:rsid w:val="00DE183E"/>
    <w:rsid w:val="00DE2229"/>
    <w:rsid w:val="00DE3733"/>
    <w:rsid w:val="00DE39E0"/>
    <w:rsid w:val="00DE3A7A"/>
    <w:rsid w:val="00DE6C94"/>
    <w:rsid w:val="00DE76AB"/>
    <w:rsid w:val="00DF0605"/>
    <w:rsid w:val="00DF21D3"/>
    <w:rsid w:val="00DF45A6"/>
    <w:rsid w:val="00DF5942"/>
    <w:rsid w:val="00E0039E"/>
    <w:rsid w:val="00E00952"/>
    <w:rsid w:val="00E01B35"/>
    <w:rsid w:val="00E03803"/>
    <w:rsid w:val="00E04FD8"/>
    <w:rsid w:val="00E06716"/>
    <w:rsid w:val="00E07564"/>
    <w:rsid w:val="00E077D3"/>
    <w:rsid w:val="00E118DA"/>
    <w:rsid w:val="00E135DE"/>
    <w:rsid w:val="00E14381"/>
    <w:rsid w:val="00E15C6F"/>
    <w:rsid w:val="00E164C8"/>
    <w:rsid w:val="00E17BC0"/>
    <w:rsid w:val="00E223F1"/>
    <w:rsid w:val="00E243EE"/>
    <w:rsid w:val="00E24858"/>
    <w:rsid w:val="00E24D93"/>
    <w:rsid w:val="00E24FA6"/>
    <w:rsid w:val="00E264A9"/>
    <w:rsid w:val="00E305BD"/>
    <w:rsid w:val="00E31520"/>
    <w:rsid w:val="00E32B62"/>
    <w:rsid w:val="00E337ED"/>
    <w:rsid w:val="00E359E8"/>
    <w:rsid w:val="00E3619D"/>
    <w:rsid w:val="00E362A6"/>
    <w:rsid w:val="00E363DA"/>
    <w:rsid w:val="00E36BF6"/>
    <w:rsid w:val="00E36C67"/>
    <w:rsid w:val="00E37064"/>
    <w:rsid w:val="00E370DC"/>
    <w:rsid w:val="00E37D45"/>
    <w:rsid w:val="00E40139"/>
    <w:rsid w:val="00E41037"/>
    <w:rsid w:val="00E4346D"/>
    <w:rsid w:val="00E44571"/>
    <w:rsid w:val="00E4578C"/>
    <w:rsid w:val="00E46BC5"/>
    <w:rsid w:val="00E46F15"/>
    <w:rsid w:val="00E50CB9"/>
    <w:rsid w:val="00E50D50"/>
    <w:rsid w:val="00E52E9F"/>
    <w:rsid w:val="00E54B2D"/>
    <w:rsid w:val="00E55BFB"/>
    <w:rsid w:val="00E55E68"/>
    <w:rsid w:val="00E57B9C"/>
    <w:rsid w:val="00E61042"/>
    <w:rsid w:val="00E6465F"/>
    <w:rsid w:val="00E650D2"/>
    <w:rsid w:val="00E654A9"/>
    <w:rsid w:val="00E65AF8"/>
    <w:rsid w:val="00E66A7B"/>
    <w:rsid w:val="00E66AEA"/>
    <w:rsid w:val="00E66B00"/>
    <w:rsid w:val="00E67789"/>
    <w:rsid w:val="00E67B5C"/>
    <w:rsid w:val="00E67C5F"/>
    <w:rsid w:val="00E70B0B"/>
    <w:rsid w:val="00E71590"/>
    <w:rsid w:val="00E72837"/>
    <w:rsid w:val="00E75C97"/>
    <w:rsid w:val="00E76C7C"/>
    <w:rsid w:val="00E86363"/>
    <w:rsid w:val="00E869C8"/>
    <w:rsid w:val="00E86B78"/>
    <w:rsid w:val="00E90717"/>
    <w:rsid w:val="00E90803"/>
    <w:rsid w:val="00E90C8F"/>
    <w:rsid w:val="00E90ED7"/>
    <w:rsid w:val="00E90F9C"/>
    <w:rsid w:val="00E93EAC"/>
    <w:rsid w:val="00EA0054"/>
    <w:rsid w:val="00EA0672"/>
    <w:rsid w:val="00EA07DB"/>
    <w:rsid w:val="00EA0E09"/>
    <w:rsid w:val="00EA32D7"/>
    <w:rsid w:val="00EA457E"/>
    <w:rsid w:val="00EA4778"/>
    <w:rsid w:val="00EA479E"/>
    <w:rsid w:val="00EA53F1"/>
    <w:rsid w:val="00EA5DEF"/>
    <w:rsid w:val="00EB1C53"/>
    <w:rsid w:val="00EB3E37"/>
    <w:rsid w:val="00EB5734"/>
    <w:rsid w:val="00EB5C21"/>
    <w:rsid w:val="00EB71A6"/>
    <w:rsid w:val="00EC0339"/>
    <w:rsid w:val="00EC2450"/>
    <w:rsid w:val="00EC30A3"/>
    <w:rsid w:val="00EC3B6B"/>
    <w:rsid w:val="00EC413D"/>
    <w:rsid w:val="00EC42A0"/>
    <w:rsid w:val="00ED0045"/>
    <w:rsid w:val="00ED14EA"/>
    <w:rsid w:val="00ED250A"/>
    <w:rsid w:val="00ED3414"/>
    <w:rsid w:val="00ED3B93"/>
    <w:rsid w:val="00ED4A61"/>
    <w:rsid w:val="00ED4C88"/>
    <w:rsid w:val="00ED59D4"/>
    <w:rsid w:val="00ED664F"/>
    <w:rsid w:val="00ED716A"/>
    <w:rsid w:val="00EE0009"/>
    <w:rsid w:val="00EE10C1"/>
    <w:rsid w:val="00EF0AB5"/>
    <w:rsid w:val="00EF14D1"/>
    <w:rsid w:val="00EF15DB"/>
    <w:rsid w:val="00EF178A"/>
    <w:rsid w:val="00EF2300"/>
    <w:rsid w:val="00EF236E"/>
    <w:rsid w:val="00EF2538"/>
    <w:rsid w:val="00EF2E9E"/>
    <w:rsid w:val="00EF3208"/>
    <w:rsid w:val="00EF4347"/>
    <w:rsid w:val="00EF53BC"/>
    <w:rsid w:val="00EF695A"/>
    <w:rsid w:val="00F0180A"/>
    <w:rsid w:val="00F01850"/>
    <w:rsid w:val="00F02DD4"/>
    <w:rsid w:val="00F0339B"/>
    <w:rsid w:val="00F03AFB"/>
    <w:rsid w:val="00F04E8C"/>
    <w:rsid w:val="00F05099"/>
    <w:rsid w:val="00F05718"/>
    <w:rsid w:val="00F10735"/>
    <w:rsid w:val="00F126C3"/>
    <w:rsid w:val="00F12F4E"/>
    <w:rsid w:val="00F13120"/>
    <w:rsid w:val="00F13BDB"/>
    <w:rsid w:val="00F149EE"/>
    <w:rsid w:val="00F157D1"/>
    <w:rsid w:val="00F2028E"/>
    <w:rsid w:val="00F216C1"/>
    <w:rsid w:val="00F21B80"/>
    <w:rsid w:val="00F25069"/>
    <w:rsid w:val="00F25201"/>
    <w:rsid w:val="00F25370"/>
    <w:rsid w:val="00F2540C"/>
    <w:rsid w:val="00F25F24"/>
    <w:rsid w:val="00F308F4"/>
    <w:rsid w:val="00F31327"/>
    <w:rsid w:val="00F34E18"/>
    <w:rsid w:val="00F34EC2"/>
    <w:rsid w:val="00F365B3"/>
    <w:rsid w:val="00F376C0"/>
    <w:rsid w:val="00F40F48"/>
    <w:rsid w:val="00F420EB"/>
    <w:rsid w:val="00F4297F"/>
    <w:rsid w:val="00F4715A"/>
    <w:rsid w:val="00F51161"/>
    <w:rsid w:val="00F52D9B"/>
    <w:rsid w:val="00F53674"/>
    <w:rsid w:val="00F53864"/>
    <w:rsid w:val="00F53B62"/>
    <w:rsid w:val="00F53F95"/>
    <w:rsid w:val="00F557E0"/>
    <w:rsid w:val="00F55D34"/>
    <w:rsid w:val="00F5649E"/>
    <w:rsid w:val="00F60558"/>
    <w:rsid w:val="00F61800"/>
    <w:rsid w:val="00F61837"/>
    <w:rsid w:val="00F627B8"/>
    <w:rsid w:val="00F62822"/>
    <w:rsid w:val="00F63225"/>
    <w:rsid w:val="00F72BD3"/>
    <w:rsid w:val="00F73549"/>
    <w:rsid w:val="00F737C3"/>
    <w:rsid w:val="00F73A5F"/>
    <w:rsid w:val="00F73B2F"/>
    <w:rsid w:val="00F74588"/>
    <w:rsid w:val="00F752DF"/>
    <w:rsid w:val="00F75E17"/>
    <w:rsid w:val="00F76C3F"/>
    <w:rsid w:val="00F779F0"/>
    <w:rsid w:val="00F77EB8"/>
    <w:rsid w:val="00F809E2"/>
    <w:rsid w:val="00F81C98"/>
    <w:rsid w:val="00F81E5E"/>
    <w:rsid w:val="00F822CF"/>
    <w:rsid w:val="00F82402"/>
    <w:rsid w:val="00F83580"/>
    <w:rsid w:val="00F843D4"/>
    <w:rsid w:val="00F847D6"/>
    <w:rsid w:val="00F85EAE"/>
    <w:rsid w:val="00F865CE"/>
    <w:rsid w:val="00F867E0"/>
    <w:rsid w:val="00F877F9"/>
    <w:rsid w:val="00F90061"/>
    <w:rsid w:val="00F901C8"/>
    <w:rsid w:val="00F91D7E"/>
    <w:rsid w:val="00F92820"/>
    <w:rsid w:val="00F94C38"/>
    <w:rsid w:val="00F967D8"/>
    <w:rsid w:val="00F96962"/>
    <w:rsid w:val="00F9791A"/>
    <w:rsid w:val="00FA0D25"/>
    <w:rsid w:val="00FA1C7A"/>
    <w:rsid w:val="00FA1E8E"/>
    <w:rsid w:val="00FA4659"/>
    <w:rsid w:val="00FA5AF1"/>
    <w:rsid w:val="00FA6203"/>
    <w:rsid w:val="00FA7ECE"/>
    <w:rsid w:val="00FB04BC"/>
    <w:rsid w:val="00FB648B"/>
    <w:rsid w:val="00FB6D5A"/>
    <w:rsid w:val="00FB6D7E"/>
    <w:rsid w:val="00FC1016"/>
    <w:rsid w:val="00FC2AEA"/>
    <w:rsid w:val="00FC3BF6"/>
    <w:rsid w:val="00FC41FD"/>
    <w:rsid w:val="00FC56CC"/>
    <w:rsid w:val="00FC6ABA"/>
    <w:rsid w:val="00FC6AC3"/>
    <w:rsid w:val="00FC6B48"/>
    <w:rsid w:val="00FC7025"/>
    <w:rsid w:val="00FC7562"/>
    <w:rsid w:val="00FC7669"/>
    <w:rsid w:val="00FD01B6"/>
    <w:rsid w:val="00FD0B3E"/>
    <w:rsid w:val="00FD0F17"/>
    <w:rsid w:val="00FD1C13"/>
    <w:rsid w:val="00FD2913"/>
    <w:rsid w:val="00FD427E"/>
    <w:rsid w:val="00FD700D"/>
    <w:rsid w:val="00FD75C4"/>
    <w:rsid w:val="00FD7C0C"/>
    <w:rsid w:val="00FE461F"/>
    <w:rsid w:val="00FE48D3"/>
    <w:rsid w:val="00FE5944"/>
    <w:rsid w:val="00FE6A1A"/>
    <w:rsid w:val="00FE7742"/>
    <w:rsid w:val="00FE7A65"/>
    <w:rsid w:val="00FF08E6"/>
    <w:rsid w:val="00FF2A76"/>
    <w:rsid w:val="00FF5B07"/>
    <w:rsid w:val="00FF5E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3708"/>
  <w15:chartTrackingRefBased/>
  <w15:docId w15:val="{58CC8922-3FB6-454E-957C-C01CEEB7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108"/>
    <w:pPr>
      <w:spacing w:before="100" w:beforeAutospacing="1" w:after="100" w:afterAutospacing="1" w:line="240" w:lineRule="auto"/>
      <w:outlineLvl w:val="0"/>
    </w:pPr>
    <w:rPr>
      <w:rFonts w:eastAsia="Times New Roman" w:cs="Times New Roman"/>
      <w:b/>
      <w:bCs/>
      <w:kern w:val="36"/>
      <w:sz w:val="48"/>
      <w:szCs w:val="48"/>
      <w:lang w:eastAsia="en-ZA"/>
    </w:rPr>
  </w:style>
  <w:style w:type="paragraph" w:styleId="Heading2">
    <w:name w:val="heading 2"/>
    <w:basedOn w:val="Normal"/>
    <w:link w:val="Heading2Char"/>
    <w:uiPriority w:val="9"/>
    <w:qFormat/>
    <w:rsid w:val="00A20108"/>
    <w:pPr>
      <w:spacing w:before="100" w:beforeAutospacing="1" w:after="100" w:afterAutospacing="1" w:line="240" w:lineRule="auto"/>
      <w:outlineLvl w:val="1"/>
    </w:pPr>
    <w:rPr>
      <w:rFonts w:eastAsia="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83E4C"/>
    <w:pPr>
      <w:spacing w:before="100" w:beforeAutospacing="1" w:after="100" w:afterAutospacing="1" w:line="240" w:lineRule="auto"/>
    </w:pPr>
    <w:rPr>
      <w:rFonts w:eastAsia="Times New Roman" w:cs="Times New Roman"/>
      <w:sz w:val="24"/>
      <w:szCs w:val="24"/>
      <w:lang w:eastAsia="en-ZA"/>
    </w:rPr>
  </w:style>
  <w:style w:type="character" w:styleId="Hyperlink">
    <w:name w:val="Hyperlink"/>
    <w:basedOn w:val="DefaultParagraphFont"/>
    <w:uiPriority w:val="99"/>
    <w:unhideWhenUsed/>
    <w:rsid w:val="00583E4C"/>
    <w:rPr>
      <w:color w:val="0000FF"/>
      <w:u w:val="single"/>
    </w:rPr>
  </w:style>
  <w:style w:type="character" w:customStyle="1" w:styleId="Heading1Char">
    <w:name w:val="Heading 1 Char"/>
    <w:basedOn w:val="DefaultParagraphFont"/>
    <w:link w:val="Heading1"/>
    <w:uiPriority w:val="9"/>
    <w:rsid w:val="00A2010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A20108"/>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8A677A"/>
    <w:pPr>
      <w:spacing w:line="256" w:lineRule="auto"/>
      <w:ind w:left="720"/>
      <w:contextualSpacing/>
    </w:pPr>
  </w:style>
  <w:style w:type="character" w:styleId="CommentReference">
    <w:name w:val="annotation reference"/>
    <w:basedOn w:val="DefaultParagraphFont"/>
    <w:uiPriority w:val="99"/>
    <w:semiHidden/>
    <w:unhideWhenUsed/>
    <w:rsid w:val="008A677A"/>
    <w:rPr>
      <w:sz w:val="16"/>
      <w:szCs w:val="16"/>
    </w:rPr>
  </w:style>
  <w:style w:type="paragraph" w:styleId="CommentText">
    <w:name w:val="annotation text"/>
    <w:basedOn w:val="Normal"/>
    <w:link w:val="CommentTextChar"/>
    <w:uiPriority w:val="99"/>
    <w:unhideWhenUsed/>
    <w:rsid w:val="008A677A"/>
    <w:pPr>
      <w:spacing w:line="240" w:lineRule="auto"/>
    </w:pPr>
    <w:rPr>
      <w:sz w:val="20"/>
      <w:szCs w:val="20"/>
    </w:rPr>
  </w:style>
  <w:style w:type="character" w:customStyle="1" w:styleId="CommentTextChar">
    <w:name w:val="Comment Text Char"/>
    <w:basedOn w:val="DefaultParagraphFont"/>
    <w:link w:val="CommentText"/>
    <w:uiPriority w:val="99"/>
    <w:rsid w:val="008A677A"/>
    <w:rPr>
      <w:sz w:val="20"/>
      <w:szCs w:val="20"/>
    </w:rPr>
  </w:style>
  <w:style w:type="paragraph" w:styleId="BalloonText">
    <w:name w:val="Balloon Text"/>
    <w:basedOn w:val="Normal"/>
    <w:link w:val="BalloonTextChar"/>
    <w:uiPriority w:val="99"/>
    <w:semiHidden/>
    <w:unhideWhenUsed/>
    <w:rsid w:val="001B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53"/>
    <w:rPr>
      <w:rFonts w:ascii="Segoe UI" w:hAnsi="Segoe UI" w:cs="Segoe UI"/>
      <w:sz w:val="18"/>
      <w:szCs w:val="18"/>
    </w:rPr>
  </w:style>
  <w:style w:type="paragraph" w:styleId="NormalWeb">
    <w:name w:val="Normal (Web)"/>
    <w:basedOn w:val="Normal"/>
    <w:uiPriority w:val="99"/>
    <w:unhideWhenUsed/>
    <w:rsid w:val="00A35252"/>
    <w:pPr>
      <w:spacing w:before="100" w:beforeAutospacing="1" w:after="100" w:afterAutospacing="1" w:line="240" w:lineRule="auto"/>
    </w:pPr>
    <w:rPr>
      <w:rFonts w:eastAsia="Times New Roman" w:cs="Times New Roman"/>
      <w:sz w:val="24"/>
      <w:szCs w:val="24"/>
      <w:lang w:eastAsia="en-ZA"/>
    </w:rPr>
  </w:style>
  <w:style w:type="paragraph" w:styleId="Header">
    <w:name w:val="header"/>
    <w:basedOn w:val="Normal"/>
    <w:link w:val="HeaderChar"/>
    <w:uiPriority w:val="99"/>
    <w:unhideWhenUsed/>
    <w:rsid w:val="005F2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83"/>
  </w:style>
  <w:style w:type="paragraph" w:styleId="Footer">
    <w:name w:val="footer"/>
    <w:basedOn w:val="Normal"/>
    <w:link w:val="FooterChar"/>
    <w:uiPriority w:val="99"/>
    <w:unhideWhenUsed/>
    <w:rsid w:val="005F2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83"/>
  </w:style>
  <w:style w:type="character" w:customStyle="1" w:styleId="g1">
    <w:name w:val="g1"/>
    <w:basedOn w:val="DefaultParagraphFont"/>
    <w:rsid w:val="00E31520"/>
  </w:style>
  <w:style w:type="character" w:customStyle="1" w:styleId="fnotenum">
    <w:name w:val="fnotenum"/>
    <w:basedOn w:val="DefaultParagraphFont"/>
    <w:rsid w:val="00F843D4"/>
  </w:style>
  <w:style w:type="paragraph" w:styleId="FootnoteText">
    <w:name w:val="footnote text"/>
    <w:basedOn w:val="Normal"/>
    <w:link w:val="FootnoteTextChar"/>
    <w:uiPriority w:val="99"/>
    <w:semiHidden/>
    <w:unhideWhenUsed/>
    <w:rsid w:val="008D0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80C"/>
    <w:rPr>
      <w:sz w:val="20"/>
      <w:szCs w:val="20"/>
    </w:rPr>
  </w:style>
  <w:style w:type="character" w:styleId="FootnoteReference">
    <w:name w:val="footnote reference"/>
    <w:basedOn w:val="DefaultParagraphFont"/>
    <w:uiPriority w:val="99"/>
    <w:semiHidden/>
    <w:unhideWhenUsed/>
    <w:rsid w:val="008D080C"/>
    <w:rPr>
      <w:vertAlign w:val="superscript"/>
    </w:rPr>
  </w:style>
  <w:style w:type="paragraph" w:styleId="CommentSubject">
    <w:name w:val="annotation subject"/>
    <w:basedOn w:val="CommentText"/>
    <w:next w:val="CommentText"/>
    <w:link w:val="CommentSubjectChar"/>
    <w:uiPriority w:val="99"/>
    <w:semiHidden/>
    <w:unhideWhenUsed/>
    <w:rsid w:val="002F0B5D"/>
    <w:rPr>
      <w:b/>
      <w:bCs/>
    </w:rPr>
  </w:style>
  <w:style w:type="character" w:customStyle="1" w:styleId="CommentSubjectChar">
    <w:name w:val="Comment Subject Char"/>
    <w:basedOn w:val="CommentTextChar"/>
    <w:link w:val="CommentSubject"/>
    <w:uiPriority w:val="99"/>
    <w:semiHidden/>
    <w:rsid w:val="002F0B5D"/>
    <w:rPr>
      <w:b/>
      <w:bCs/>
      <w:sz w:val="20"/>
      <w:szCs w:val="20"/>
    </w:rPr>
  </w:style>
  <w:style w:type="paragraph" w:styleId="Revision">
    <w:name w:val="Revision"/>
    <w:hidden/>
    <w:uiPriority w:val="99"/>
    <w:semiHidden/>
    <w:rsid w:val="003D0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231948">
      <w:bodyDiv w:val="1"/>
      <w:marLeft w:val="0"/>
      <w:marRight w:val="0"/>
      <w:marTop w:val="0"/>
      <w:marBottom w:val="0"/>
      <w:divBdr>
        <w:top w:val="none" w:sz="0" w:space="0" w:color="auto"/>
        <w:left w:val="none" w:sz="0" w:space="0" w:color="auto"/>
        <w:bottom w:val="none" w:sz="0" w:space="0" w:color="auto"/>
        <w:right w:val="none" w:sz="0" w:space="0" w:color="auto"/>
      </w:divBdr>
    </w:div>
    <w:div w:id="645476649">
      <w:bodyDiv w:val="1"/>
      <w:marLeft w:val="0"/>
      <w:marRight w:val="0"/>
      <w:marTop w:val="0"/>
      <w:marBottom w:val="0"/>
      <w:divBdr>
        <w:top w:val="none" w:sz="0" w:space="0" w:color="auto"/>
        <w:left w:val="none" w:sz="0" w:space="0" w:color="auto"/>
        <w:bottom w:val="none" w:sz="0" w:space="0" w:color="auto"/>
        <w:right w:val="none" w:sz="0" w:space="0" w:color="auto"/>
      </w:divBdr>
    </w:div>
    <w:div w:id="942298306">
      <w:bodyDiv w:val="1"/>
      <w:marLeft w:val="0"/>
      <w:marRight w:val="0"/>
      <w:marTop w:val="0"/>
      <w:marBottom w:val="0"/>
      <w:divBdr>
        <w:top w:val="none" w:sz="0" w:space="0" w:color="auto"/>
        <w:left w:val="none" w:sz="0" w:space="0" w:color="auto"/>
        <w:bottom w:val="none" w:sz="0" w:space="0" w:color="auto"/>
        <w:right w:val="none" w:sz="0" w:space="0" w:color="auto"/>
      </w:divBdr>
    </w:div>
    <w:div w:id="947158749">
      <w:bodyDiv w:val="1"/>
      <w:marLeft w:val="0"/>
      <w:marRight w:val="0"/>
      <w:marTop w:val="0"/>
      <w:marBottom w:val="0"/>
      <w:divBdr>
        <w:top w:val="none" w:sz="0" w:space="0" w:color="auto"/>
        <w:left w:val="none" w:sz="0" w:space="0" w:color="auto"/>
        <w:bottom w:val="none" w:sz="0" w:space="0" w:color="auto"/>
        <w:right w:val="none" w:sz="0" w:space="0" w:color="auto"/>
      </w:divBdr>
    </w:div>
    <w:div w:id="992372062">
      <w:bodyDiv w:val="1"/>
      <w:marLeft w:val="0"/>
      <w:marRight w:val="0"/>
      <w:marTop w:val="0"/>
      <w:marBottom w:val="0"/>
      <w:divBdr>
        <w:top w:val="none" w:sz="0" w:space="0" w:color="auto"/>
        <w:left w:val="none" w:sz="0" w:space="0" w:color="auto"/>
        <w:bottom w:val="none" w:sz="0" w:space="0" w:color="auto"/>
        <w:right w:val="none" w:sz="0" w:space="0" w:color="auto"/>
      </w:divBdr>
    </w:div>
    <w:div w:id="1092386473">
      <w:bodyDiv w:val="1"/>
      <w:marLeft w:val="0"/>
      <w:marRight w:val="0"/>
      <w:marTop w:val="0"/>
      <w:marBottom w:val="0"/>
      <w:divBdr>
        <w:top w:val="none" w:sz="0" w:space="0" w:color="auto"/>
        <w:left w:val="none" w:sz="0" w:space="0" w:color="auto"/>
        <w:bottom w:val="none" w:sz="0" w:space="0" w:color="auto"/>
        <w:right w:val="none" w:sz="0" w:space="0" w:color="auto"/>
      </w:divBdr>
      <w:divsChild>
        <w:div w:id="392462316">
          <w:marLeft w:val="567"/>
          <w:marRight w:val="0"/>
          <w:marTop w:val="60"/>
          <w:marBottom w:val="0"/>
          <w:divBdr>
            <w:top w:val="none" w:sz="0" w:space="0" w:color="auto"/>
            <w:left w:val="none" w:sz="0" w:space="0" w:color="auto"/>
            <w:bottom w:val="none" w:sz="0" w:space="0" w:color="auto"/>
            <w:right w:val="none" w:sz="0" w:space="0" w:color="auto"/>
          </w:divBdr>
        </w:div>
        <w:div w:id="1613051238">
          <w:marLeft w:val="0"/>
          <w:marRight w:val="0"/>
          <w:marTop w:val="120"/>
          <w:marBottom w:val="0"/>
          <w:divBdr>
            <w:top w:val="none" w:sz="0" w:space="0" w:color="auto"/>
            <w:left w:val="none" w:sz="0" w:space="0" w:color="auto"/>
            <w:bottom w:val="none" w:sz="0" w:space="0" w:color="auto"/>
            <w:right w:val="none" w:sz="0" w:space="0" w:color="auto"/>
          </w:divBdr>
        </w:div>
      </w:divsChild>
    </w:div>
    <w:div w:id="1278367475">
      <w:bodyDiv w:val="1"/>
      <w:marLeft w:val="0"/>
      <w:marRight w:val="0"/>
      <w:marTop w:val="0"/>
      <w:marBottom w:val="0"/>
      <w:divBdr>
        <w:top w:val="none" w:sz="0" w:space="0" w:color="auto"/>
        <w:left w:val="none" w:sz="0" w:space="0" w:color="auto"/>
        <w:bottom w:val="none" w:sz="0" w:space="0" w:color="auto"/>
        <w:right w:val="none" w:sz="0" w:space="0" w:color="auto"/>
      </w:divBdr>
      <w:divsChild>
        <w:div w:id="113985789">
          <w:marLeft w:val="0"/>
          <w:marRight w:val="0"/>
          <w:marTop w:val="180"/>
          <w:marBottom w:val="60"/>
          <w:divBdr>
            <w:top w:val="single" w:sz="8" w:space="1" w:color="808080"/>
            <w:left w:val="none" w:sz="0" w:space="0" w:color="auto"/>
            <w:bottom w:val="none" w:sz="0" w:space="0" w:color="auto"/>
            <w:right w:val="none" w:sz="0" w:space="0" w:color="auto"/>
          </w:divBdr>
        </w:div>
        <w:div w:id="469633637">
          <w:marLeft w:val="0"/>
          <w:marRight w:val="0"/>
          <w:marTop w:val="180"/>
          <w:marBottom w:val="60"/>
          <w:divBdr>
            <w:top w:val="single" w:sz="8" w:space="1" w:color="808080"/>
            <w:left w:val="none" w:sz="0" w:space="0" w:color="auto"/>
            <w:bottom w:val="none" w:sz="0" w:space="0" w:color="auto"/>
            <w:right w:val="none" w:sz="0" w:space="0" w:color="auto"/>
          </w:divBdr>
        </w:div>
        <w:div w:id="599148755">
          <w:marLeft w:val="0"/>
          <w:marRight w:val="0"/>
          <w:marTop w:val="120"/>
          <w:marBottom w:val="0"/>
          <w:divBdr>
            <w:top w:val="none" w:sz="0" w:space="0" w:color="auto"/>
            <w:left w:val="none" w:sz="0" w:space="0" w:color="auto"/>
            <w:bottom w:val="none" w:sz="0" w:space="0" w:color="auto"/>
            <w:right w:val="none" w:sz="0" w:space="0" w:color="auto"/>
          </w:divBdr>
        </w:div>
        <w:div w:id="862672673">
          <w:marLeft w:val="0"/>
          <w:marRight w:val="0"/>
          <w:marTop w:val="120"/>
          <w:marBottom w:val="0"/>
          <w:divBdr>
            <w:top w:val="none" w:sz="0" w:space="0" w:color="auto"/>
            <w:left w:val="none" w:sz="0" w:space="0" w:color="auto"/>
            <w:bottom w:val="none" w:sz="0" w:space="0" w:color="auto"/>
            <w:right w:val="none" w:sz="0" w:space="0" w:color="auto"/>
          </w:divBdr>
        </w:div>
        <w:div w:id="1108500149">
          <w:marLeft w:val="0"/>
          <w:marRight w:val="0"/>
          <w:marTop w:val="180"/>
          <w:marBottom w:val="60"/>
          <w:divBdr>
            <w:top w:val="single" w:sz="8" w:space="1" w:color="808080"/>
            <w:left w:val="none" w:sz="0" w:space="0" w:color="auto"/>
            <w:bottom w:val="none" w:sz="0" w:space="0" w:color="auto"/>
            <w:right w:val="none" w:sz="0" w:space="0" w:color="auto"/>
          </w:divBdr>
        </w:div>
        <w:div w:id="1161430537">
          <w:marLeft w:val="0"/>
          <w:marRight w:val="0"/>
          <w:marTop w:val="120"/>
          <w:marBottom w:val="0"/>
          <w:divBdr>
            <w:top w:val="none" w:sz="0" w:space="0" w:color="auto"/>
            <w:left w:val="none" w:sz="0" w:space="0" w:color="auto"/>
            <w:bottom w:val="none" w:sz="0" w:space="0" w:color="auto"/>
            <w:right w:val="none" w:sz="0" w:space="0" w:color="auto"/>
          </w:divBdr>
        </w:div>
        <w:div w:id="1232891886">
          <w:marLeft w:val="0"/>
          <w:marRight w:val="0"/>
          <w:marTop w:val="180"/>
          <w:marBottom w:val="60"/>
          <w:divBdr>
            <w:top w:val="single" w:sz="8" w:space="1" w:color="808080"/>
            <w:left w:val="none" w:sz="0" w:space="0" w:color="auto"/>
            <w:bottom w:val="none" w:sz="0" w:space="0" w:color="auto"/>
            <w:right w:val="none" w:sz="0" w:space="0" w:color="auto"/>
          </w:divBdr>
        </w:div>
        <w:div w:id="1559122655">
          <w:marLeft w:val="0"/>
          <w:marRight w:val="0"/>
          <w:marTop w:val="120"/>
          <w:marBottom w:val="0"/>
          <w:divBdr>
            <w:top w:val="none" w:sz="0" w:space="0" w:color="auto"/>
            <w:left w:val="none" w:sz="0" w:space="0" w:color="auto"/>
            <w:bottom w:val="none" w:sz="0" w:space="0" w:color="auto"/>
            <w:right w:val="none" w:sz="0" w:space="0" w:color="auto"/>
          </w:divBdr>
        </w:div>
        <w:div w:id="1891112388">
          <w:marLeft w:val="0"/>
          <w:marRight w:val="0"/>
          <w:marTop w:val="120"/>
          <w:marBottom w:val="0"/>
          <w:divBdr>
            <w:top w:val="none" w:sz="0" w:space="0" w:color="auto"/>
            <w:left w:val="none" w:sz="0" w:space="0" w:color="auto"/>
            <w:bottom w:val="none" w:sz="0" w:space="0" w:color="auto"/>
            <w:right w:val="none" w:sz="0" w:space="0" w:color="auto"/>
          </w:divBdr>
        </w:div>
        <w:div w:id="1957985270">
          <w:marLeft w:val="0"/>
          <w:marRight w:val="0"/>
          <w:marTop w:val="120"/>
          <w:marBottom w:val="0"/>
          <w:divBdr>
            <w:top w:val="none" w:sz="0" w:space="0" w:color="auto"/>
            <w:left w:val="none" w:sz="0" w:space="0" w:color="auto"/>
            <w:bottom w:val="none" w:sz="0" w:space="0" w:color="auto"/>
            <w:right w:val="none" w:sz="0" w:space="0" w:color="auto"/>
          </w:divBdr>
        </w:div>
      </w:divsChild>
    </w:div>
    <w:div w:id="1692415321">
      <w:bodyDiv w:val="1"/>
      <w:marLeft w:val="0"/>
      <w:marRight w:val="0"/>
      <w:marTop w:val="0"/>
      <w:marBottom w:val="0"/>
      <w:divBdr>
        <w:top w:val="none" w:sz="0" w:space="0" w:color="auto"/>
        <w:left w:val="none" w:sz="0" w:space="0" w:color="auto"/>
        <w:bottom w:val="none" w:sz="0" w:space="0" w:color="auto"/>
        <w:right w:val="none" w:sz="0" w:space="0" w:color="auto"/>
      </w:divBdr>
    </w:div>
    <w:div w:id="1715158780">
      <w:bodyDiv w:val="1"/>
      <w:marLeft w:val="0"/>
      <w:marRight w:val="0"/>
      <w:marTop w:val="0"/>
      <w:marBottom w:val="0"/>
      <w:divBdr>
        <w:top w:val="none" w:sz="0" w:space="0" w:color="auto"/>
        <w:left w:val="none" w:sz="0" w:space="0" w:color="auto"/>
        <w:bottom w:val="none" w:sz="0" w:space="0" w:color="auto"/>
        <w:right w:val="none" w:sz="0" w:space="0" w:color="auto"/>
      </w:divBdr>
      <w:divsChild>
        <w:div w:id="1206019806">
          <w:marLeft w:val="567"/>
          <w:marRight w:val="0"/>
          <w:marTop w:val="40"/>
          <w:marBottom w:val="0"/>
          <w:divBdr>
            <w:top w:val="none" w:sz="0" w:space="0" w:color="auto"/>
            <w:left w:val="none" w:sz="0" w:space="0" w:color="auto"/>
            <w:bottom w:val="none" w:sz="0" w:space="0" w:color="auto"/>
            <w:right w:val="none" w:sz="0" w:space="0" w:color="auto"/>
          </w:divBdr>
        </w:div>
        <w:div w:id="1897735076">
          <w:marLeft w:val="567"/>
          <w:marRight w:val="0"/>
          <w:marTop w:val="40"/>
          <w:marBottom w:val="0"/>
          <w:divBdr>
            <w:top w:val="none" w:sz="0" w:space="0" w:color="auto"/>
            <w:left w:val="none" w:sz="0" w:space="0" w:color="auto"/>
            <w:bottom w:val="none" w:sz="0" w:space="0" w:color="auto"/>
            <w:right w:val="none" w:sz="0" w:space="0" w:color="auto"/>
          </w:divBdr>
        </w:div>
      </w:divsChild>
    </w:div>
    <w:div w:id="1716737585">
      <w:bodyDiv w:val="1"/>
      <w:marLeft w:val="0"/>
      <w:marRight w:val="0"/>
      <w:marTop w:val="0"/>
      <w:marBottom w:val="0"/>
      <w:divBdr>
        <w:top w:val="none" w:sz="0" w:space="0" w:color="auto"/>
        <w:left w:val="none" w:sz="0" w:space="0" w:color="auto"/>
        <w:bottom w:val="none" w:sz="0" w:space="0" w:color="auto"/>
        <w:right w:val="none" w:sz="0" w:space="0" w:color="auto"/>
      </w:divBdr>
    </w:div>
    <w:div w:id="1769808435">
      <w:bodyDiv w:val="1"/>
      <w:marLeft w:val="0"/>
      <w:marRight w:val="0"/>
      <w:marTop w:val="0"/>
      <w:marBottom w:val="0"/>
      <w:divBdr>
        <w:top w:val="none" w:sz="0" w:space="0" w:color="auto"/>
        <w:left w:val="none" w:sz="0" w:space="0" w:color="auto"/>
        <w:bottom w:val="none" w:sz="0" w:space="0" w:color="auto"/>
        <w:right w:val="none" w:sz="0" w:space="0" w:color="auto"/>
      </w:divBdr>
    </w:div>
    <w:div w:id="1846633599">
      <w:bodyDiv w:val="1"/>
      <w:marLeft w:val="0"/>
      <w:marRight w:val="0"/>
      <w:marTop w:val="0"/>
      <w:marBottom w:val="0"/>
      <w:divBdr>
        <w:top w:val="none" w:sz="0" w:space="0" w:color="auto"/>
        <w:left w:val="none" w:sz="0" w:space="0" w:color="auto"/>
        <w:bottom w:val="none" w:sz="0" w:space="0" w:color="auto"/>
        <w:right w:val="none" w:sz="0" w:space="0" w:color="auto"/>
      </w:divBdr>
    </w:div>
    <w:div w:id="1946304125">
      <w:bodyDiv w:val="1"/>
      <w:marLeft w:val="0"/>
      <w:marRight w:val="0"/>
      <w:marTop w:val="0"/>
      <w:marBottom w:val="0"/>
      <w:divBdr>
        <w:top w:val="none" w:sz="0" w:space="0" w:color="auto"/>
        <w:left w:val="none" w:sz="0" w:space="0" w:color="auto"/>
        <w:bottom w:val="none" w:sz="0" w:space="0" w:color="auto"/>
        <w:right w:val="none" w:sz="0" w:space="0" w:color="auto"/>
      </w:divBdr>
    </w:div>
    <w:div w:id="1991596858">
      <w:bodyDiv w:val="1"/>
      <w:marLeft w:val="0"/>
      <w:marRight w:val="0"/>
      <w:marTop w:val="0"/>
      <w:marBottom w:val="0"/>
      <w:divBdr>
        <w:top w:val="none" w:sz="0" w:space="0" w:color="auto"/>
        <w:left w:val="none" w:sz="0" w:space="0" w:color="auto"/>
        <w:bottom w:val="none" w:sz="0" w:space="0" w:color="auto"/>
        <w:right w:val="none" w:sz="0" w:space="0" w:color="auto"/>
      </w:divBdr>
      <w:divsChild>
        <w:div w:id="1050879912">
          <w:marLeft w:val="0"/>
          <w:marRight w:val="0"/>
          <w:marTop w:val="120"/>
          <w:marBottom w:val="0"/>
          <w:divBdr>
            <w:top w:val="none" w:sz="0" w:space="0" w:color="auto"/>
            <w:left w:val="none" w:sz="0" w:space="0" w:color="auto"/>
            <w:bottom w:val="none" w:sz="0" w:space="0" w:color="auto"/>
            <w:right w:val="none" w:sz="0" w:space="0" w:color="auto"/>
          </w:divBdr>
        </w:div>
        <w:div w:id="1632905901">
          <w:marLeft w:val="1134"/>
          <w:marRight w:val="0"/>
          <w:marTop w:val="60"/>
          <w:marBottom w:val="0"/>
          <w:divBdr>
            <w:top w:val="none" w:sz="0" w:space="0" w:color="auto"/>
            <w:left w:val="none" w:sz="0" w:space="0" w:color="auto"/>
            <w:bottom w:val="none" w:sz="0" w:space="0" w:color="auto"/>
            <w:right w:val="none" w:sz="0" w:space="0" w:color="auto"/>
          </w:divBdr>
        </w:div>
        <w:div w:id="1115713987">
          <w:marLeft w:val="1134"/>
          <w:marRight w:val="0"/>
          <w:marTop w:val="60"/>
          <w:marBottom w:val="0"/>
          <w:divBdr>
            <w:top w:val="none" w:sz="0" w:space="0" w:color="auto"/>
            <w:left w:val="none" w:sz="0" w:space="0" w:color="auto"/>
            <w:bottom w:val="none" w:sz="0" w:space="0" w:color="auto"/>
            <w:right w:val="none" w:sz="0" w:space="0" w:color="auto"/>
          </w:divBdr>
        </w:div>
      </w:divsChild>
    </w:div>
    <w:div w:id="2117870053">
      <w:bodyDiv w:val="1"/>
      <w:marLeft w:val="0"/>
      <w:marRight w:val="0"/>
      <w:marTop w:val="0"/>
      <w:marBottom w:val="0"/>
      <w:divBdr>
        <w:top w:val="none" w:sz="0" w:space="0" w:color="auto"/>
        <w:left w:val="none" w:sz="0" w:space="0" w:color="auto"/>
        <w:bottom w:val="none" w:sz="0" w:space="0" w:color="auto"/>
        <w:right w:val="none" w:sz="0" w:space="0" w:color="auto"/>
      </w:divBdr>
      <w:divsChild>
        <w:div w:id="97989449">
          <w:marLeft w:val="0"/>
          <w:marRight w:val="0"/>
          <w:marTop w:val="0"/>
          <w:marBottom w:val="0"/>
          <w:divBdr>
            <w:top w:val="none" w:sz="0" w:space="0" w:color="auto"/>
            <w:left w:val="none" w:sz="0" w:space="0" w:color="auto"/>
            <w:bottom w:val="none" w:sz="0" w:space="0" w:color="auto"/>
            <w:right w:val="none" w:sz="0" w:space="0" w:color="auto"/>
          </w:divBdr>
          <w:divsChild>
            <w:div w:id="63530481">
              <w:marLeft w:val="0"/>
              <w:marRight w:val="0"/>
              <w:marTop w:val="0"/>
              <w:marBottom w:val="0"/>
              <w:divBdr>
                <w:top w:val="none" w:sz="0" w:space="0" w:color="auto"/>
                <w:left w:val="none" w:sz="0" w:space="0" w:color="auto"/>
                <w:bottom w:val="none" w:sz="0" w:space="0" w:color="auto"/>
                <w:right w:val="none" w:sz="0" w:space="0" w:color="auto"/>
              </w:divBdr>
              <w:divsChild>
                <w:div w:id="580256121">
                  <w:marLeft w:val="0"/>
                  <w:marRight w:val="0"/>
                  <w:marTop w:val="0"/>
                  <w:marBottom w:val="0"/>
                  <w:divBdr>
                    <w:top w:val="none" w:sz="0" w:space="0" w:color="auto"/>
                    <w:left w:val="none" w:sz="0" w:space="0" w:color="auto"/>
                    <w:bottom w:val="none" w:sz="0" w:space="0" w:color="auto"/>
                    <w:right w:val="none" w:sz="0" w:space="0" w:color="auto"/>
                  </w:divBdr>
                  <w:divsChild>
                    <w:div w:id="149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3571">
          <w:marLeft w:val="0"/>
          <w:marRight w:val="0"/>
          <w:marTop w:val="0"/>
          <w:marBottom w:val="225"/>
          <w:divBdr>
            <w:top w:val="single" w:sz="24" w:space="0" w:color="auto"/>
            <w:left w:val="single" w:sz="24" w:space="0" w:color="auto"/>
            <w:bottom w:val="single" w:sz="36" w:space="0" w:color="003300"/>
            <w:right w:val="single" w:sz="24" w:space="0" w:color="auto"/>
          </w:divBdr>
          <w:divsChild>
            <w:div w:id="8451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75CB-03CA-4545-A771-BE871F02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Judge-Sulet Potterill</dc:creator>
  <cp:keywords/>
  <dc:description/>
  <cp:lastModifiedBy>Mokone</cp:lastModifiedBy>
  <cp:revision>2</cp:revision>
  <cp:lastPrinted>2023-05-24T08:05:00Z</cp:lastPrinted>
  <dcterms:created xsi:type="dcterms:W3CDTF">2023-05-30T08:40:00Z</dcterms:created>
  <dcterms:modified xsi:type="dcterms:W3CDTF">2023-05-30T08:40:00Z</dcterms:modified>
</cp:coreProperties>
</file>