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FE1" w:rsidRDefault="00CB5FE1" w:rsidP="00FE1D18">
      <w:pPr>
        <w:rPr>
          <w:rFonts w:ascii="Arial" w:eastAsia="Arial" w:hAnsi="Arial" w:cs="Arial"/>
          <w:sz w:val="28"/>
          <w:szCs w:val="28"/>
        </w:rPr>
      </w:pPr>
      <w:bookmarkStart w:id="0" w:name="_GoBack"/>
      <w:bookmarkEnd w:id="0"/>
    </w:p>
    <w:p w:rsidR="00CB5FE1" w:rsidRDefault="00CB5FE1" w:rsidP="00FE1D18">
      <w:pPr>
        <w:jc w:val="center"/>
        <w:rPr>
          <w:rFonts w:ascii="Arial" w:eastAsia="Arial" w:hAnsi="Arial" w:cs="Arial"/>
          <w:b/>
          <w:sz w:val="28"/>
          <w:szCs w:val="28"/>
        </w:rPr>
      </w:pPr>
    </w:p>
    <w:p w:rsidR="00CB5FE1" w:rsidRDefault="00CB5FE1">
      <w:pPr>
        <w:jc w:val="center"/>
        <w:rPr>
          <w:rFonts w:ascii="Arial" w:eastAsia="Arial" w:hAnsi="Arial" w:cs="Arial"/>
          <w:b/>
          <w:sz w:val="28"/>
          <w:szCs w:val="28"/>
        </w:rPr>
      </w:pPr>
    </w:p>
    <w:p w:rsidR="00CB5FE1" w:rsidRDefault="005005D6">
      <w:pPr>
        <w:jc w:val="center"/>
        <w:rPr>
          <w:rFonts w:ascii="Arial" w:eastAsia="Arial" w:hAnsi="Arial" w:cs="Arial"/>
          <w:b/>
          <w:sz w:val="28"/>
          <w:szCs w:val="28"/>
        </w:rPr>
      </w:pPr>
      <w:r>
        <w:rPr>
          <w:noProof/>
          <w:lang w:val="en-ZA"/>
        </w:rPr>
        <w:drawing>
          <wp:anchor distT="0" distB="0" distL="114300" distR="114300" simplePos="0" relativeHeight="251658240" behindDoc="0" locked="0" layoutInCell="1" hidden="0" allowOverlap="1" wp14:anchorId="048D400E" wp14:editId="39DEFC4E">
            <wp:simplePos x="0" y="0"/>
            <wp:positionH relativeFrom="column">
              <wp:posOffset>2465705</wp:posOffset>
            </wp:positionH>
            <wp:positionV relativeFrom="paragraph">
              <wp:posOffset>-683891</wp:posOffset>
            </wp:positionV>
            <wp:extent cx="800100" cy="914400"/>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800100" cy="914400"/>
                    </a:xfrm>
                    <a:prstGeom prst="rect">
                      <a:avLst/>
                    </a:prstGeom>
                    <a:ln/>
                  </pic:spPr>
                </pic:pic>
              </a:graphicData>
            </a:graphic>
          </wp:anchor>
        </w:drawing>
      </w:r>
    </w:p>
    <w:p w:rsidR="00CB5FE1" w:rsidRDefault="00CB5FE1">
      <w:pPr>
        <w:jc w:val="center"/>
        <w:rPr>
          <w:rFonts w:ascii="Arial" w:eastAsia="Arial" w:hAnsi="Arial" w:cs="Arial"/>
          <w:b/>
          <w:sz w:val="28"/>
          <w:szCs w:val="28"/>
        </w:rPr>
      </w:pPr>
    </w:p>
    <w:p w:rsidR="00CB5FE1" w:rsidRDefault="005005D6">
      <w:pPr>
        <w:jc w:val="center"/>
        <w:rPr>
          <w:rFonts w:ascii="Arial" w:eastAsia="Arial" w:hAnsi="Arial" w:cs="Arial"/>
          <w:b/>
        </w:rPr>
      </w:pPr>
      <w:r>
        <w:rPr>
          <w:rFonts w:ascii="Arial" w:eastAsia="Arial" w:hAnsi="Arial" w:cs="Arial"/>
          <w:b/>
        </w:rPr>
        <w:t>THE SUPREME COURT OF APPEAL OF SOUTH AFRICA</w:t>
      </w:r>
    </w:p>
    <w:p w:rsidR="00CB5FE1" w:rsidRDefault="005005D6">
      <w:pPr>
        <w:pStyle w:val="Heading3"/>
        <w:jc w:val="center"/>
        <w:rPr>
          <w:b/>
          <w:i w:val="0"/>
        </w:rPr>
      </w:pPr>
      <w:r>
        <w:rPr>
          <w:b/>
          <w:i w:val="0"/>
          <w:sz w:val="24"/>
        </w:rPr>
        <w:t>JUDGMENT</w:t>
      </w:r>
    </w:p>
    <w:p w:rsidR="00CB5FE1" w:rsidRDefault="00CB5FE1" w:rsidP="008008C2">
      <w:pPr>
        <w:jc w:val="left"/>
        <w:rPr>
          <w:rFonts w:ascii="Arial" w:eastAsia="Arial" w:hAnsi="Arial" w:cs="Arial"/>
          <w:b/>
        </w:rPr>
      </w:pPr>
    </w:p>
    <w:p w:rsidR="00CB5FE1" w:rsidRDefault="005072FA">
      <w:pPr>
        <w:jc w:val="right"/>
        <w:rPr>
          <w:rFonts w:ascii="Arial" w:eastAsia="Arial" w:hAnsi="Arial" w:cs="Arial"/>
          <w:b/>
        </w:rPr>
      </w:pPr>
      <w:r w:rsidRPr="00422E1A">
        <w:rPr>
          <w:rFonts w:ascii="Arial" w:eastAsia="Arial" w:hAnsi="Arial" w:cs="Arial"/>
          <w:b/>
        </w:rPr>
        <w:t>Reportable</w:t>
      </w:r>
    </w:p>
    <w:p w:rsidR="00415B08" w:rsidRDefault="00306737" w:rsidP="00415B08">
      <w:pPr>
        <w:jc w:val="right"/>
        <w:rPr>
          <w:rFonts w:ascii="Arial" w:eastAsia="Arial" w:hAnsi="Arial" w:cs="Arial"/>
        </w:rPr>
      </w:pPr>
      <w:r>
        <w:rPr>
          <w:rFonts w:ascii="Arial" w:eastAsia="Arial" w:hAnsi="Arial" w:cs="Arial"/>
        </w:rPr>
        <w:t xml:space="preserve">Case no: </w:t>
      </w:r>
      <w:r w:rsidR="00415B08">
        <w:rPr>
          <w:rFonts w:ascii="Arial" w:eastAsia="Arial" w:hAnsi="Arial" w:cs="Arial"/>
        </w:rPr>
        <w:t>425/2022</w:t>
      </w:r>
    </w:p>
    <w:p w:rsidR="00CB5FE1" w:rsidRDefault="005005D6" w:rsidP="00415B08">
      <w:pPr>
        <w:rPr>
          <w:rFonts w:ascii="Arial" w:eastAsia="Arial" w:hAnsi="Arial" w:cs="Arial"/>
        </w:rPr>
      </w:pPr>
      <w:r>
        <w:rPr>
          <w:rFonts w:ascii="Arial" w:eastAsia="Arial" w:hAnsi="Arial" w:cs="Arial"/>
        </w:rPr>
        <w:t>In the matter between:</w:t>
      </w:r>
    </w:p>
    <w:p w:rsidR="00CB5FE1" w:rsidRDefault="00CB5FE1">
      <w:pPr>
        <w:widowControl w:val="0"/>
        <w:tabs>
          <w:tab w:val="right" w:pos="9360"/>
        </w:tabs>
        <w:rPr>
          <w:rFonts w:ascii="Arial" w:eastAsia="Arial" w:hAnsi="Arial" w:cs="Arial"/>
          <w:b/>
        </w:rPr>
      </w:pPr>
    </w:p>
    <w:p w:rsidR="00306737" w:rsidRPr="00306737" w:rsidRDefault="00306737" w:rsidP="00306737">
      <w:pPr>
        <w:widowControl w:val="0"/>
        <w:tabs>
          <w:tab w:val="right" w:pos="9360"/>
        </w:tabs>
        <w:spacing w:after="120"/>
        <w:rPr>
          <w:rFonts w:ascii="Arial" w:eastAsia="Arial" w:hAnsi="Arial" w:cs="Arial"/>
          <w:b/>
        </w:rPr>
      </w:pPr>
      <w:r w:rsidRPr="00306737">
        <w:rPr>
          <w:rFonts w:ascii="Arial" w:eastAsia="Arial" w:hAnsi="Arial" w:cs="Arial"/>
          <w:b/>
        </w:rPr>
        <w:t xml:space="preserve">SIQALO FOODS (PTY) LTD </w:t>
      </w:r>
      <w:r w:rsidRPr="00306737">
        <w:rPr>
          <w:rFonts w:ascii="Arial" w:eastAsia="Arial" w:hAnsi="Arial" w:cs="Arial"/>
          <w:b/>
        </w:rPr>
        <w:tab/>
        <w:t xml:space="preserve"> APPELLANT</w:t>
      </w:r>
    </w:p>
    <w:p w:rsidR="00CB5FE1" w:rsidRDefault="00CB5FE1">
      <w:pPr>
        <w:widowControl w:val="0"/>
        <w:tabs>
          <w:tab w:val="right" w:pos="9360"/>
        </w:tabs>
        <w:rPr>
          <w:rFonts w:ascii="Arial" w:eastAsia="Arial" w:hAnsi="Arial" w:cs="Arial"/>
          <w:b/>
        </w:rPr>
      </w:pPr>
    </w:p>
    <w:p w:rsidR="00CB5FE1" w:rsidRDefault="00083808">
      <w:pPr>
        <w:widowControl w:val="0"/>
        <w:rPr>
          <w:rFonts w:ascii="Arial" w:eastAsia="Arial" w:hAnsi="Arial" w:cs="Arial"/>
        </w:rPr>
      </w:pPr>
      <w:r>
        <w:rPr>
          <w:rFonts w:ascii="Arial" w:eastAsia="Arial" w:hAnsi="Arial" w:cs="Arial"/>
        </w:rPr>
        <w:t>a</w:t>
      </w:r>
      <w:r w:rsidR="005005D6">
        <w:rPr>
          <w:rFonts w:ascii="Arial" w:eastAsia="Arial" w:hAnsi="Arial" w:cs="Arial"/>
        </w:rPr>
        <w:t>nd</w:t>
      </w:r>
    </w:p>
    <w:p w:rsidR="00083808" w:rsidRDefault="00083808">
      <w:pPr>
        <w:widowControl w:val="0"/>
        <w:rPr>
          <w:rFonts w:ascii="Arial" w:eastAsia="Arial" w:hAnsi="Arial" w:cs="Arial"/>
        </w:rPr>
      </w:pPr>
    </w:p>
    <w:p w:rsidR="00306737" w:rsidRPr="00306737" w:rsidRDefault="00306737" w:rsidP="00306737">
      <w:pPr>
        <w:widowControl w:val="0"/>
        <w:tabs>
          <w:tab w:val="right" w:pos="9360"/>
        </w:tabs>
        <w:spacing w:after="120"/>
        <w:rPr>
          <w:rFonts w:ascii="Arial" w:eastAsia="Arial" w:hAnsi="Arial" w:cs="Arial"/>
          <w:b/>
        </w:rPr>
      </w:pPr>
      <w:r w:rsidRPr="00306737">
        <w:rPr>
          <w:rFonts w:ascii="Arial" w:eastAsia="Arial" w:hAnsi="Arial" w:cs="Arial"/>
          <w:b/>
        </w:rPr>
        <w:t xml:space="preserve">CLOVER SA (PTY) LTD </w:t>
      </w:r>
      <w:r w:rsidRPr="00306737">
        <w:rPr>
          <w:rFonts w:ascii="Arial" w:eastAsia="Arial" w:hAnsi="Arial" w:cs="Arial"/>
          <w:b/>
        </w:rPr>
        <w:tab/>
        <w:t>RESPONDENT</w:t>
      </w:r>
    </w:p>
    <w:p w:rsidR="00CB5FE1" w:rsidRPr="00306737" w:rsidRDefault="00CB5FE1">
      <w:pPr>
        <w:widowControl w:val="0"/>
        <w:tabs>
          <w:tab w:val="right" w:pos="9360"/>
        </w:tabs>
        <w:rPr>
          <w:rFonts w:ascii="Arial" w:eastAsia="Arial" w:hAnsi="Arial" w:cs="Arial"/>
        </w:rPr>
      </w:pPr>
    </w:p>
    <w:p w:rsidR="00306737" w:rsidRPr="00306737" w:rsidRDefault="005005D6" w:rsidP="00306737">
      <w:pPr>
        <w:ind w:left="2160" w:hanging="2160"/>
        <w:rPr>
          <w:rFonts w:ascii="Arial" w:eastAsia="Arial" w:hAnsi="Arial" w:cs="Arial"/>
          <w:b/>
        </w:rPr>
      </w:pPr>
      <w:r>
        <w:rPr>
          <w:rFonts w:ascii="Arial" w:eastAsia="Arial" w:hAnsi="Arial" w:cs="Arial"/>
          <w:b/>
        </w:rPr>
        <w:t>Neutral citation:</w:t>
      </w:r>
      <w:r>
        <w:rPr>
          <w:rFonts w:ascii="Arial" w:eastAsia="Arial" w:hAnsi="Arial" w:cs="Arial"/>
          <w:b/>
        </w:rPr>
        <w:tab/>
      </w:r>
      <w:r w:rsidR="00306737" w:rsidRPr="00306737">
        <w:rPr>
          <w:rFonts w:ascii="Arial" w:eastAsia="Arial" w:hAnsi="Arial" w:cs="Arial"/>
          <w:i/>
        </w:rPr>
        <w:t xml:space="preserve">Siqalo Foods (Pty) Ltd v Clover SA (Pty) Ltd </w:t>
      </w:r>
      <w:r w:rsidR="00415B08">
        <w:rPr>
          <w:rFonts w:ascii="Arial" w:eastAsia="Arial" w:hAnsi="Arial" w:cs="Arial"/>
        </w:rPr>
        <w:t>(425</w:t>
      </w:r>
      <w:r w:rsidR="00415B08" w:rsidRPr="00306737">
        <w:rPr>
          <w:rFonts w:ascii="Arial" w:eastAsia="Arial" w:hAnsi="Arial" w:cs="Arial"/>
        </w:rPr>
        <w:t>/2022</w:t>
      </w:r>
      <w:r w:rsidR="00306737" w:rsidRPr="00306737">
        <w:rPr>
          <w:rFonts w:ascii="Arial" w:eastAsia="Arial" w:hAnsi="Arial" w:cs="Arial"/>
        </w:rPr>
        <w:t xml:space="preserve">) [2023] ZASCA </w:t>
      </w:r>
      <w:r w:rsidR="00E76199" w:rsidRPr="00E76199">
        <w:rPr>
          <w:rFonts w:ascii="Arial" w:eastAsia="Arial" w:hAnsi="Arial" w:cs="Arial"/>
        </w:rPr>
        <w:t>82</w:t>
      </w:r>
      <w:r w:rsidR="00306737" w:rsidRPr="00E76199">
        <w:rPr>
          <w:rFonts w:ascii="Arial" w:eastAsia="Arial" w:hAnsi="Arial" w:cs="Arial"/>
        </w:rPr>
        <w:t xml:space="preserve"> (</w:t>
      </w:r>
      <w:r w:rsidR="00422E1A" w:rsidRPr="00422E1A">
        <w:rPr>
          <w:rFonts w:ascii="Arial" w:eastAsia="Arial" w:hAnsi="Arial" w:cs="Arial"/>
        </w:rPr>
        <w:t xml:space="preserve">31 </w:t>
      </w:r>
      <w:r w:rsidR="00422E1A">
        <w:rPr>
          <w:rFonts w:ascii="Arial" w:eastAsia="Arial" w:hAnsi="Arial" w:cs="Arial"/>
        </w:rPr>
        <w:t>May</w:t>
      </w:r>
      <w:r w:rsidR="00306737" w:rsidRPr="00306737">
        <w:rPr>
          <w:rFonts w:ascii="Arial" w:eastAsia="Arial" w:hAnsi="Arial" w:cs="Arial"/>
        </w:rPr>
        <w:t xml:space="preserve"> 2023)</w:t>
      </w:r>
    </w:p>
    <w:p w:rsidR="00B9081B" w:rsidRPr="00306737" w:rsidRDefault="005005D6" w:rsidP="00B9081B">
      <w:pPr>
        <w:spacing w:before="240"/>
        <w:ind w:left="1440" w:hanging="1440"/>
        <w:rPr>
          <w:rFonts w:ascii="Arial" w:eastAsia="Arial" w:hAnsi="Arial" w:cs="Arial"/>
          <w:b/>
        </w:rPr>
      </w:pPr>
      <w:r>
        <w:rPr>
          <w:rFonts w:ascii="Arial" w:eastAsia="Arial" w:hAnsi="Arial" w:cs="Arial"/>
          <w:b/>
        </w:rPr>
        <w:t>Coram:</w:t>
      </w:r>
      <w:r w:rsidR="003B0548">
        <w:rPr>
          <w:rFonts w:ascii="Arial" w:eastAsia="Arial" w:hAnsi="Arial" w:cs="Arial"/>
        </w:rPr>
        <w:tab/>
      </w:r>
      <w:r w:rsidR="00B9081B" w:rsidRPr="00306737">
        <w:rPr>
          <w:rFonts w:ascii="Arial" w:eastAsia="Arial" w:hAnsi="Arial" w:cs="Arial"/>
        </w:rPr>
        <w:t>PONNAN</w:t>
      </w:r>
      <w:r w:rsidR="00B9081B">
        <w:rPr>
          <w:rFonts w:ascii="Arial" w:eastAsia="Arial" w:hAnsi="Arial" w:cs="Arial"/>
        </w:rPr>
        <w:t xml:space="preserve">, </w:t>
      </w:r>
      <w:r w:rsidR="00B9081B" w:rsidRPr="00306737">
        <w:rPr>
          <w:rFonts w:ascii="Arial" w:eastAsia="Arial" w:hAnsi="Arial" w:cs="Arial"/>
        </w:rPr>
        <w:t>CARELSE and MATOJANE</w:t>
      </w:r>
      <w:r w:rsidR="00B9081B" w:rsidRPr="00D6589E">
        <w:rPr>
          <w:rFonts w:ascii="Arial" w:eastAsia="Arial" w:hAnsi="Arial" w:cs="Arial"/>
        </w:rPr>
        <w:t xml:space="preserve"> </w:t>
      </w:r>
      <w:r w:rsidR="00B9081B" w:rsidRPr="00306737">
        <w:rPr>
          <w:rFonts w:ascii="Arial" w:eastAsia="Arial" w:hAnsi="Arial" w:cs="Arial"/>
        </w:rPr>
        <w:t>JJA</w:t>
      </w:r>
      <w:r w:rsidR="00B9081B">
        <w:rPr>
          <w:rFonts w:ascii="Arial" w:eastAsia="Arial" w:hAnsi="Arial" w:cs="Arial"/>
        </w:rPr>
        <w:t xml:space="preserve"> and</w:t>
      </w:r>
      <w:r w:rsidR="00B9081B" w:rsidRPr="00306737">
        <w:rPr>
          <w:rFonts w:ascii="Arial" w:eastAsia="Arial" w:hAnsi="Arial" w:cs="Arial"/>
        </w:rPr>
        <w:t xml:space="preserve"> DAFFUE and SIWENDU AJJA</w:t>
      </w:r>
    </w:p>
    <w:p w:rsidR="00306737" w:rsidRPr="00306737" w:rsidRDefault="005005D6" w:rsidP="00B9081B">
      <w:pPr>
        <w:ind w:left="1440" w:hanging="1440"/>
        <w:rPr>
          <w:rFonts w:ascii="Arial" w:eastAsia="Arial" w:hAnsi="Arial" w:cs="Arial"/>
          <w:b/>
        </w:rPr>
      </w:pPr>
      <w:r>
        <w:rPr>
          <w:rFonts w:ascii="Arial" w:eastAsia="Arial" w:hAnsi="Arial" w:cs="Arial"/>
          <w:b/>
        </w:rPr>
        <w:t>Heard</w:t>
      </w:r>
      <w:r w:rsidR="003B0548">
        <w:rPr>
          <w:rFonts w:ascii="Arial" w:eastAsia="Arial" w:hAnsi="Arial" w:cs="Arial"/>
        </w:rPr>
        <w:t>:</w:t>
      </w:r>
      <w:r w:rsidR="003B0548">
        <w:rPr>
          <w:rFonts w:ascii="Arial" w:eastAsia="Arial" w:hAnsi="Arial" w:cs="Arial"/>
        </w:rPr>
        <w:tab/>
      </w:r>
      <w:r w:rsidR="00306737" w:rsidRPr="00306737">
        <w:rPr>
          <w:rFonts w:ascii="Arial" w:eastAsia="Arial" w:hAnsi="Arial" w:cs="Arial"/>
        </w:rPr>
        <w:t>15 May 2023</w:t>
      </w:r>
    </w:p>
    <w:p w:rsidR="00306737" w:rsidRPr="00306737" w:rsidRDefault="005005D6" w:rsidP="00306737">
      <w:pPr>
        <w:rPr>
          <w:rFonts w:ascii="Arial" w:eastAsia="Arial" w:hAnsi="Arial" w:cs="Arial"/>
          <w:b/>
        </w:rPr>
      </w:pPr>
      <w:r w:rsidRPr="005D07C6">
        <w:rPr>
          <w:rFonts w:ascii="Arial" w:eastAsia="Arial" w:hAnsi="Arial" w:cs="Arial"/>
          <w:b/>
        </w:rPr>
        <w:t>Delivered</w:t>
      </w:r>
      <w:r w:rsidR="003B0548">
        <w:rPr>
          <w:rFonts w:ascii="Arial" w:eastAsia="Arial" w:hAnsi="Arial" w:cs="Arial"/>
        </w:rPr>
        <w:t>:</w:t>
      </w:r>
      <w:r w:rsidR="003B0548">
        <w:rPr>
          <w:rFonts w:ascii="Arial" w:eastAsia="Arial" w:hAnsi="Arial" w:cs="Arial"/>
        </w:rPr>
        <w:tab/>
      </w:r>
      <w:r w:rsidR="00422E1A" w:rsidRPr="00422E1A">
        <w:rPr>
          <w:rFonts w:ascii="Arial" w:eastAsia="Arial" w:hAnsi="Arial" w:cs="Arial"/>
        </w:rPr>
        <w:t>31 May</w:t>
      </w:r>
      <w:r w:rsidR="00306737" w:rsidRPr="00306737">
        <w:rPr>
          <w:rFonts w:ascii="Arial" w:eastAsia="Arial" w:hAnsi="Arial" w:cs="Arial"/>
        </w:rPr>
        <w:t xml:space="preserve"> 2023</w:t>
      </w:r>
    </w:p>
    <w:p w:rsidR="008121E4" w:rsidRPr="007124D6" w:rsidRDefault="005005D6" w:rsidP="007A6C23">
      <w:pPr>
        <w:rPr>
          <w:rFonts w:ascii="Arial" w:eastAsia="Arial" w:hAnsi="Arial" w:cs="Arial"/>
          <w:bCs/>
          <w:iCs/>
        </w:rPr>
      </w:pPr>
      <w:r w:rsidRPr="005D07C6">
        <w:rPr>
          <w:rFonts w:ascii="Arial" w:eastAsia="Arial" w:hAnsi="Arial" w:cs="Arial"/>
          <w:b/>
        </w:rPr>
        <w:t>Summary:</w:t>
      </w:r>
      <w:r w:rsidR="00306737">
        <w:rPr>
          <w:rFonts w:ascii="Arial" w:eastAsia="Arial" w:hAnsi="Arial" w:cs="Arial"/>
          <w:b/>
        </w:rPr>
        <w:tab/>
      </w:r>
      <w:r w:rsidR="00415B08">
        <w:rPr>
          <w:rFonts w:ascii="Arial" w:eastAsia="Arial" w:hAnsi="Arial" w:cs="Arial"/>
          <w:lang w:val="en-US" w:eastAsia="en-US"/>
        </w:rPr>
        <w:t>Agricultural Product</w:t>
      </w:r>
      <w:r w:rsidR="007124D6" w:rsidRPr="00306737">
        <w:rPr>
          <w:rFonts w:ascii="Arial" w:eastAsia="Arial" w:hAnsi="Arial" w:cs="Arial"/>
          <w:lang w:val="en-US" w:eastAsia="en-US"/>
        </w:rPr>
        <w:t xml:space="preserve"> Standards Act 119 of 1990</w:t>
      </w:r>
      <w:r w:rsidR="007124D6">
        <w:rPr>
          <w:rFonts w:ascii="Arial" w:eastAsia="Arial" w:hAnsi="Arial" w:cs="Arial"/>
          <w:lang w:val="en-US" w:eastAsia="en-US"/>
        </w:rPr>
        <w:t xml:space="preserve"> - </w:t>
      </w:r>
      <w:r w:rsidR="007124D6" w:rsidRPr="00306737">
        <w:rPr>
          <w:rFonts w:ascii="Arial" w:eastAsia="Arial" w:hAnsi="Arial" w:cs="Arial"/>
          <w:lang w:val="en-US" w:eastAsia="en-US"/>
        </w:rPr>
        <w:t>s 3 read with Regulations 2(1)</w:t>
      </w:r>
      <w:r w:rsidR="007124D6" w:rsidRPr="00306737">
        <w:rPr>
          <w:rFonts w:ascii="Arial" w:eastAsia="Arial" w:hAnsi="Arial" w:cs="Arial"/>
          <w:i/>
          <w:lang w:val="en-US" w:eastAsia="en-US"/>
        </w:rPr>
        <w:t>(d)</w:t>
      </w:r>
      <w:r w:rsidR="007124D6" w:rsidRPr="00306737">
        <w:rPr>
          <w:rFonts w:ascii="Arial" w:eastAsia="Arial" w:hAnsi="Arial" w:cs="Arial"/>
          <w:lang w:val="en-US" w:eastAsia="en-US"/>
        </w:rPr>
        <w:t xml:space="preserve"> and </w:t>
      </w:r>
      <w:r w:rsidR="007124D6" w:rsidRPr="00306737">
        <w:rPr>
          <w:rFonts w:ascii="Arial" w:eastAsia="Arial" w:hAnsi="Arial" w:cs="Arial"/>
          <w:i/>
          <w:lang w:val="en-US" w:eastAsia="en-US"/>
        </w:rPr>
        <w:t>(e)</w:t>
      </w:r>
      <w:r w:rsidR="007124D6" w:rsidRPr="00306737">
        <w:rPr>
          <w:rFonts w:ascii="Arial" w:eastAsia="Arial" w:hAnsi="Arial" w:cs="Arial"/>
          <w:lang w:val="en-US" w:eastAsia="en-US"/>
        </w:rPr>
        <w:t xml:space="preserve"> and 26(7)</w:t>
      </w:r>
      <w:r w:rsidR="007124D6" w:rsidRPr="00306737">
        <w:rPr>
          <w:rFonts w:ascii="Arial" w:eastAsia="Arial" w:hAnsi="Arial" w:cs="Arial"/>
          <w:i/>
          <w:lang w:val="en-US" w:eastAsia="en-US"/>
        </w:rPr>
        <w:t>(a)</w:t>
      </w:r>
      <w:r w:rsidR="007124D6">
        <w:rPr>
          <w:rFonts w:ascii="Arial" w:eastAsia="Arial" w:hAnsi="Arial" w:cs="Arial"/>
          <w:i/>
          <w:lang w:val="en-US" w:eastAsia="en-US"/>
        </w:rPr>
        <w:t xml:space="preserve"> </w:t>
      </w:r>
      <w:r w:rsidR="007124D6">
        <w:rPr>
          <w:rFonts w:ascii="Arial" w:eastAsia="Arial" w:hAnsi="Arial" w:cs="Arial"/>
          <w:iCs/>
          <w:lang w:val="en-US" w:eastAsia="en-US"/>
        </w:rPr>
        <w:t>-</w:t>
      </w:r>
      <w:r w:rsidR="007124D6">
        <w:rPr>
          <w:rFonts w:ascii="Arial" w:eastAsia="Arial" w:hAnsi="Arial" w:cs="Arial"/>
          <w:i/>
          <w:lang w:val="en-US" w:eastAsia="en-US"/>
        </w:rPr>
        <w:t xml:space="preserve"> </w:t>
      </w:r>
      <w:r w:rsidR="006029AB" w:rsidRPr="00306737">
        <w:rPr>
          <w:rFonts w:ascii="Arial" w:eastAsia="Arial" w:hAnsi="Arial" w:cs="Arial"/>
          <w:lang w:val="en-US" w:eastAsia="en-US"/>
        </w:rPr>
        <w:t xml:space="preserve">word or expression on a </w:t>
      </w:r>
      <w:r w:rsidR="006029AB">
        <w:rPr>
          <w:rFonts w:ascii="Arial" w:eastAsia="Arial" w:hAnsi="Arial" w:cs="Arial"/>
          <w:lang w:val="en-US" w:eastAsia="en-US"/>
        </w:rPr>
        <w:t xml:space="preserve">product </w:t>
      </w:r>
      <w:r w:rsidR="006029AB" w:rsidRPr="00306737">
        <w:rPr>
          <w:rFonts w:ascii="Arial" w:eastAsia="Arial" w:hAnsi="Arial" w:cs="Arial"/>
          <w:lang w:val="en-US" w:eastAsia="en-US"/>
        </w:rPr>
        <w:t xml:space="preserve">label may </w:t>
      </w:r>
      <w:r w:rsidR="006029AB">
        <w:rPr>
          <w:rFonts w:ascii="Arial" w:eastAsia="Arial" w:hAnsi="Arial" w:cs="Arial"/>
          <w:lang w:val="en-US" w:eastAsia="en-US"/>
        </w:rPr>
        <w:t xml:space="preserve">not </w:t>
      </w:r>
      <w:r w:rsidR="006029AB" w:rsidRPr="00306737">
        <w:rPr>
          <w:rFonts w:ascii="Arial" w:eastAsia="Arial" w:hAnsi="Arial" w:cs="Arial"/>
          <w:lang w:val="en-US" w:eastAsia="en-US"/>
        </w:rPr>
        <w:t>be bigger than the class designation unless it is a registered trade mark or trade name</w:t>
      </w:r>
      <w:r w:rsidR="006029AB">
        <w:rPr>
          <w:rFonts w:ascii="Arial" w:eastAsia="Arial" w:hAnsi="Arial" w:cs="Arial"/>
          <w:lang w:val="en-US" w:eastAsia="en-US"/>
        </w:rPr>
        <w:t xml:space="preserve"> - </w:t>
      </w:r>
      <w:r w:rsidR="007124D6" w:rsidRPr="00306737">
        <w:rPr>
          <w:rFonts w:ascii="Arial" w:eastAsia="Arial" w:hAnsi="Arial" w:cs="Arial"/>
          <w:lang w:val="en-US" w:eastAsia="en-US"/>
        </w:rPr>
        <w:t>s 6 read with Regulations 32(3)</w:t>
      </w:r>
      <w:r w:rsidR="007124D6" w:rsidRPr="00306737">
        <w:rPr>
          <w:rFonts w:ascii="Arial" w:eastAsia="Arial" w:hAnsi="Arial" w:cs="Arial"/>
          <w:i/>
          <w:lang w:val="en-US" w:eastAsia="en-US"/>
        </w:rPr>
        <w:t>(a)</w:t>
      </w:r>
      <w:r w:rsidR="007124D6" w:rsidRPr="00306737">
        <w:rPr>
          <w:rFonts w:ascii="Arial" w:eastAsia="Arial" w:hAnsi="Arial" w:cs="Arial"/>
          <w:lang w:val="en-US" w:eastAsia="en-US"/>
        </w:rPr>
        <w:t xml:space="preserve"> and 32(4)</w:t>
      </w:r>
      <w:r w:rsidR="006029AB">
        <w:rPr>
          <w:rFonts w:ascii="Arial" w:eastAsia="Arial" w:hAnsi="Arial" w:cs="Arial"/>
          <w:lang w:val="en-US" w:eastAsia="en-US"/>
        </w:rPr>
        <w:t xml:space="preserve"> - </w:t>
      </w:r>
      <w:r w:rsidR="006029AB" w:rsidRPr="00306737">
        <w:rPr>
          <w:rFonts w:ascii="Arial" w:eastAsia="Arial" w:hAnsi="Arial" w:cs="Arial"/>
          <w:lang w:val="en-US" w:eastAsia="en-US"/>
        </w:rPr>
        <w:t xml:space="preserve">use of mark that conveys or creates, or is likely to convey or create, a false or misleading impression as to the </w:t>
      </w:r>
      <w:r w:rsidR="00D648B7" w:rsidRPr="00422E1A">
        <w:rPr>
          <w:rFonts w:ascii="Arial" w:eastAsia="Arial" w:hAnsi="Arial" w:cs="Arial"/>
          <w:lang w:val="en-US" w:eastAsia="en-US"/>
        </w:rPr>
        <w:t xml:space="preserve">quality, </w:t>
      </w:r>
      <w:r w:rsidR="006029AB" w:rsidRPr="00422E1A">
        <w:rPr>
          <w:rFonts w:ascii="Arial" w:eastAsia="Arial" w:hAnsi="Arial" w:cs="Arial"/>
          <w:lang w:val="en-US" w:eastAsia="en-US"/>
        </w:rPr>
        <w:t>nature, class</w:t>
      </w:r>
      <w:r w:rsidR="00D648B7" w:rsidRPr="00422E1A">
        <w:rPr>
          <w:rFonts w:ascii="Arial" w:eastAsia="Arial" w:hAnsi="Arial" w:cs="Arial"/>
          <w:lang w:val="en-US" w:eastAsia="en-US"/>
        </w:rPr>
        <w:t>, origin or composition</w:t>
      </w:r>
      <w:r w:rsidR="006029AB" w:rsidRPr="00422E1A">
        <w:rPr>
          <w:rFonts w:ascii="Arial" w:eastAsia="Arial" w:hAnsi="Arial" w:cs="Arial"/>
          <w:lang w:val="en-US" w:eastAsia="en-US"/>
        </w:rPr>
        <w:t xml:space="preserve"> of a product</w:t>
      </w:r>
      <w:r w:rsidR="006029AB">
        <w:rPr>
          <w:rFonts w:ascii="Arial" w:eastAsia="Arial" w:hAnsi="Arial" w:cs="Arial"/>
          <w:lang w:val="en-US" w:eastAsia="en-US"/>
        </w:rPr>
        <w:t>.</w:t>
      </w:r>
    </w:p>
    <w:p w:rsidR="00B9081B" w:rsidRPr="003A025A" w:rsidRDefault="008121E4" w:rsidP="00B9081B">
      <w:pPr>
        <w:rPr>
          <w:rFonts w:eastAsia="Arial"/>
        </w:rPr>
      </w:pPr>
      <w:r>
        <w:rPr>
          <w:rFonts w:eastAsia="Arial"/>
        </w:rPr>
        <w:br w:type="page"/>
      </w:r>
      <w:r w:rsidR="00B9081B">
        <w:rPr>
          <w:rFonts w:ascii="Arial" w:eastAsia="Arial" w:hAnsi="Arial" w:cs="Arial"/>
          <w:b/>
        </w:rPr>
        <w:lastRenderedPageBreak/>
        <w:t>___________________________________________________________________</w:t>
      </w:r>
    </w:p>
    <w:p w:rsidR="00B9081B" w:rsidRDefault="00B9081B" w:rsidP="00B9081B">
      <w:pPr>
        <w:spacing w:line="276" w:lineRule="auto"/>
        <w:jc w:val="center"/>
        <w:rPr>
          <w:rFonts w:ascii="Arial" w:eastAsia="Arial" w:hAnsi="Arial" w:cs="Arial"/>
          <w:b/>
        </w:rPr>
      </w:pPr>
    </w:p>
    <w:p w:rsidR="00B9081B" w:rsidRDefault="00B9081B" w:rsidP="00B9081B">
      <w:pPr>
        <w:spacing w:line="276" w:lineRule="auto"/>
        <w:jc w:val="center"/>
        <w:rPr>
          <w:rFonts w:ascii="Arial" w:eastAsia="Arial" w:hAnsi="Arial" w:cs="Arial"/>
          <w:b/>
        </w:rPr>
      </w:pPr>
      <w:r>
        <w:rPr>
          <w:rFonts w:ascii="Arial" w:eastAsia="Arial" w:hAnsi="Arial" w:cs="Arial"/>
          <w:b/>
        </w:rPr>
        <w:t>ORDER</w:t>
      </w:r>
    </w:p>
    <w:p w:rsidR="00B9081B" w:rsidRDefault="00B9081B" w:rsidP="00B9081B">
      <w:pPr>
        <w:spacing w:line="276" w:lineRule="auto"/>
        <w:rPr>
          <w:rFonts w:ascii="Arial" w:eastAsia="Arial" w:hAnsi="Arial" w:cs="Arial"/>
          <w:b/>
        </w:rPr>
      </w:pPr>
      <w:r>
        <w:rPr>
          <w:rFonts w:ascii="Arial" w:eastAsia="Arial" w:hAnsi="Arial" w:cs="Arial"/>
          <w:b/>
        </w:rPr>
        <w:t>___________________________________________________________________</w:t>
      </w:r>
    </w:p>
    <w:p w:rsidR="00B9081B" w:rsidRPr="00D01FEF" w:rsidRDefault="00B9081B" w:rsidP="00B9081B">
      <w:pPr>
        <w:spacing w:before="240"/>
        <w:rPr>
          <w:rFonts w:ascii="Arial" w:hAnsi="Arial" w:cs="Arial"/>
        </w:rPr>
      </w:pPr>
      <w:r w:rsidRPr="00D01FEF">
        <w:rPr>
          <w:rFonts w:ascii="Arial" w:eastAsia="Arial" w:hAnsi="Arial" w:cs="Arial"/>
          <w:b/>
          <w:color w:val="000000"/>
        </w:rPr>
        <w:t>On appeal from:</w:t>
      </w:r>
      <w:r w:rsidRPr="00D01FEF">
        <w:rPr>
          <w:rFonts w:ascii="Arial" w:eastAsia="Arial" w:hAnsi="Arial" w:cs="Arial"/>
          <w:color w:val="000000"/>
        </w:rPr>
        <w:t xml:space="preserve"> </w:t>
      </w:r>
      <w:r w:rsidRPr="00D01FEF">
        <w:rPr>
          <w:rFonts w:ascii="Arial" w:hAnsi="Arial" w:cs="Arial"/>
        </w:rPr>
        <w:t>Gauteng Division of the High Court, Pretoria (Vuma AJ, sitting as court of first instance):</w:t>
      </w:r>
    </w:p>
    <w:p w:rsidR="00B9081B" w:rsidRPr="00D01FEF" w:rsidRDefault="00B9081B" w:rsidP="00B9081B">
      <w:pPr>
        <w:pBdr>
          <w:top w:val="nil"/>
          <w:left w:val="nil"/>
          <w:bottom w:val="nil"/>
          <w:right w:val="nil"/>
          <w:between w:val="nil"/>
        </w:pBdr>
        <w:spacing w:before="240"/>
        <w:rPr>
          <w:rFonts w:ascii="Arial" w:eastAsia="Arial" w:hAnsi="Arial" w:cs="Arial"/>
          <w:color w:val="000000"/>
        </w:rPr>
      </w:pPr>
      <w:r w:rsidRPr="00D01FEF">
        <w:rPr>
          <w:rFonts w:ascii="Arial" w:hAnsi="Arial" w:cs="Arial"/>
        </w:rPr>
        <w:t>The appeal is dismissed with costs, including those of two counsel.</w:t>
      </w:r>
    </w:p>
    <w:p w:rsidR="00B9081B" w:rsidRPr="00D01FEF" w:rsidRDefault="00B9081B" w:rsidP="00B9081B">
      <w:pPr>
        <w:pBdr>
          <w:top w:val="nil"/>
          <w:left w:val="nil"/>
          <w:bottom w:val="nil"/>
          <w:right w:val="nil"/>
          <w:between w:val="nil"/>
        </w:pBdr>
        <w:spacing w:line="276" w:lineRule="auto"/>
        <w:ind w:left="360" w:hanging="360"/>
        <w:rPr>
          <w:rFonts w:ascii="Arial" w:eastAsia="Arial" w:hAnsi="Arial" w:cs="Arial"/>
          <w:b/>
          <w:color w:val="000000"/>
        </w:rPr>
      </w:pPr>
      <w:r w:rsidRPr="00D01FEF">
        <w:rPr>
          <w:rFonts w:ascii="Arial" w:eastAsia="Arial" w:hAnsi="Arial" w:cs="Arial"/>
          <w:b/>
          <w:color w:val="000000"/>
        </w:rPr>
        <w:t>___________________________________________________________________</w:t>
      </w:r>
    </w:p>
    <w:p w:rsidR="00B9081B" w:rsidRPr="00D01FEF" w:rsidRDefault="00B9081B" w:rsidP="00B9081B">
      <w:pPr>
        <w:pBdr>
          <w:top w:val="nil"/>
          <w:left w:val="nil"/>
          <w:bottom w:val="nil"/>
          <w:right w:val="nil"/>
          <w:between w:val="nil"/>
        </w:pBdr>
        <w:spacing w:line="276" w:lineRule="auto"/>
        <w:ind w:left="360" w:hanging="360"/>
        <w:jc w:val="center"/>
        <w:rPr>
          <w:rFonts w:ascii="Arial" w:eastAsia="Arial" w:hAnsi="Arial" w:cs="Arial"/>
          <w:b/>
          <w:color w:val="000000"/>
        </w:rPr>
      </w:pPr>
    </w:p>
    <w:p w:rsidR="00B9081B" w:rsidRPr="00D01FEF" w:rsidRDefault="00B9081B" w:rsidP="00B9081B">
      <w:pPr>
        <w:pBdr>
          <w:top w:val="nil"/>
          <w:left w:val="nil"/>
          <w:bottom w:val="nil"/>
          <w:right w:val="nil"/>
          <w:between w:val="nil"/>
        </w:pBdr>
        <w:spacing w:line="276" w:lineRule="auto"/>
        <w:ind w:left="360" w:hanging="360"/>
        <w:jc w:val="center"/>
        <w:rPr>
          <w:rFonts w:ascii="Arial" w:eastAsia="Arial" w:hAnsi="Arial" w:cs="Arial"/>
          <w:b/>
          <w:color w:val="000000"/>
        </w:rPr>
      </w:pPr>
      <w:r w:rsidRPr="00D01FEF">
        <w:rPr>
          <w:rFonts w:ascii="Arial" w:eastAsia="Arial" w:hAnsi="Arial" w:cs="Arial"/>
          <w:b/>
          <w:color w:val="000000"/>
        </w:rPr>
        <w:t>JUDGMENT</w:t>
      </w:r>
    </w:p>
    <w:p w:rsidR="00B9081B" w:rsidRPr="00D01FEF" w:rsidRDefault="00B9081B" w:rsidP="00B9081B">
      <w:pPr>
        <w:pBdr>
          <w:top w:val="nil"/>
          <w:left w:val="nil"/>
          <w:bottom w:val="nil"/>
          <w:right w:val="nil"/>
          <w:between w:val="nil"/>
        </w:pBdr>
        <w:ind w:left="360" w:hanging="360"/>
        <w:rPr>
          <w:rFonts w:ascii="Arial" w:eastAsia="Arial" w:hAnsi="Arial" w:cs="Arial"/>
          <w:b/>
          <w:color w:val="000000"/>
        </w:rPr>
      </w:pPr>
      <w:r w:rsidRPr="00D01FEF">
        <w:rPr>
          <w:rFonts w:ascii="Arial" w:eastAsia="Arial" w:hAnsi="Arial" w:cs="Arial"/>
          <w:b/>
          <w:color w:val="000000"/>
        </w:rPr>
        <w:t>___________________________________________________________________</w:t>
      </w:r>
    </w:p>
    <w:p w:rsidR="00B9081B" w:rsidRPr="00D01FEF" w:rsidRDefault="00B9081B" w:rsidP="00B9081B">
      <w:pPr>
        <w:rPr>
          <w:rFonts w:ascii="Arial" w:eastAsia="Arial" w:hAnsi="Arial" w:cs="Arial"/>
          <w:b/>
        </w:rPr>
      </w:pPr>
      <w:r w:rsidRPr="00D01FEF">
        <w:rPr>
          <w:rFonts w:ascii="Arial" w:eastAsia="Arial" w:hAnsi="Arial" w:cs="Arial"/>
          <w:b/>
        </w:rPr>
        <w:t>Ponnan JA (</w:t>
      </w:r>
      <w:r w:rsidR="00481BAD">
        <w:rPr>
          <w:rFonts w:ascii="Arial" w:eastAsia="Arial" w:hAnsi="Arial" w:cs="Arial"/>
          <w:b/>
        </w:rPr>
        <w:t xml:space="preserve">Carelse and Motojane JJA and Daffue and Siwendu AJJA </w:t>
      </w:r>
      <w:r w:rsidRPr="00D01FEF">
        <w:rPr>
          <w:rFonts w:ascii="Arial" w:eastAsia="Arial" w:hAnsi="Arial" w:cs="Arial"/>
          <w:b/>
        </w:rPr>
        <w:t>concurring):</w:t>
      </w:r>
    </w:p>
    <w:p w:rsidR="00B9081B" w:rsidRPr="00D01FEF" w:rsidRDefault="00B9081B" w:rsidP="00B9081B">
      <w:pPr>
        <w:rPr>
          <w:rFonts w:ascii="Arial" w:eastAsia="Arial" w:hAnsi="Arial" w:cs="Arial"/>
          <w:u w:val="single"/>
        </w:rPr>
      </w:pPr>
    </w:p>
    <w:p w:rsidR="00B9081B" w:rsidRPr="00EE3815" w:rsidRDefault="00EE3815" w:rsidP="00EE3815">
      <w:pPr>
        <w:widowControl w:val="0"/>
        <w:autoSpaceDE w:val="0"/>
        <w:autoSpaceDN w:val="0"/>
        <w:rPr>
          <w:rFonts w:ascii="Arial" w:eastAsia="Arial" w:hAnsi="Arial" w:cs="Arial"/>
          <w:lang w:val="en-US" w:eastAsia="en-US"/>
        </w:rPr>
      </w:pPr>
      <w:r w:rsidRPr="00422E1A">
        <w:rPr>
          <w:rFonts w:ascii="Arial" w:eastAsia="Arial" w:hAnsi="Arial" w:cs="Arial"/>
          <w:lang w:val="en-US" w:eastAsia="en-US"/>
        </w:rPr>
        <w:t>[1]</w:t>
      </w:r>
      <w:r w:rsidRPr="00422E1A">
        <w:rPr>
          <w:rFonts w:ascii="Arial" w:eastAsia="Arial" w:hAnsi="Arial" w:cs="Arial"/>
          <w:lang w:val="en-US" w:eastAsia="en-US"/>
        </w:rPr>
        <w:tab/>
      </w:r>
      <w:r w:rsidR="00B9081B" w:rsidRPr="00EE3815">
        <w:rPr>
          <w:rFonts w:ascii="Arial" w:eastAsia="Arial" w:hAnsi="Arial" w:cs="Arial"/>
          <w:lang w:val="en-US" w:eastAsia="en-US"/>
        </w:rPr>
        <w:t>This appeal is concerned with the lawfulness of</w:t>
      </w:r>
      <w:r w:rsidR="00B418ED" w:rsidRPr="00EE3815">
        <w:rPr>
          <w:rFonts w:ascii="Arial" w:eastAsia="Arial" w:hAnsi="Arial" w:cs="Arial"/>
          <w:lang w:val="en-US" w:eastAsia="en-US"/>
        </w:rPr>
        <w:t>,</w:t>
      </w:r>
      <w:r w:rsidR="00B9081B" w:rsidRPr="00EE3815">
        <w:rPr>
          <w:rFonts w:ascii="Arial" w:eastAsia="Arial" w:hAnsi="Arial" w:cs="Arial"/>
          <w:lang w:val="en-US" w:eastAsia="en-US"/>
        </w:rPr>
        <w:t xml:space="preserve"> </w:t>
      </w:r>
      <w:r w:rsidR="00B418ED" w:rsidRPr="00EE3815">
        <w:rPr>
          <w:rFonts w:ascii="Arial" w:eastAsia="Arial" w:hAnsi="Arial" w:cs="Arial"/>
          <w:i/>
          <w:lang w:val="en-US" w:eastAsia="en-US"/>
        </w:rPr>
        <w:t>inter alia</w:t>
      </w:r>
      <w:r w:rsidR="00B418ED" w:rsidRPr="00EE3815">
        <w:rPr>
          <w:rFonts w:ascii="Arial" w:eastAsia="Arial" w:hAnsi="Arial" w:cs="Arial"/>
          <w:lang w:val="en-US" w:eastAsia="en-US"/>
        </w:rPr>
        <w:t xml:space="preserve">, the names, words, expressions or marks </w:t>
      </w:r>
      <w:r w:rsidR="00B9081B" w:rsidRPr="00EE3815">
        <w:rPr>
          <w:rFonts w:ascii="Arial" w:eastAsia="Arial" w:hAnsi="Arial" w:cs="Arial"/>
          <w:lang w:val="en-US" w:eastAsia="en-US"/>
        </w:rPr>
        <w:t>(the marks) depicted on the product container label (the product label) of the appellant’s STORK BUTTER SPREAD (the product).</w:t>
      </w:r>
    </w:p>
    <w:p w:rsidR="00B9081B" w:rsidRPr="00D01FEF" w:rsidRDefault="00B9081B" w:rsidP="00B9081B">
      <w:pPr>
        <w:pStyle w:val="ListParagraph"/>
        <w:widowControl w:val="0"/>
        <w:autoSpaceDE w:val="0"/>
        <w:autoSpaceDN w:val="0"/>
        <w:ind w:left="0"/>
        <w:rPr>
          <w:rFonts w:ascii="Arial" w:eastAsia="Arial" w:hAnsi="Arial" w:cs="Arial"/>
          <w:lang w:val="en-US" w:eastAsia="en-US"/>
        </w:rPr>
      </w:pPr>
    </w:p>
    <w:p w:rsidR="00B9081B" w:rsidRPr="00EE3815" w:rsidRDefault="00EE3815" w:rsidP="00EE3815">
      <w:pPr>
        <w:widowControl w:val="0"/>
        <w:autoSpaceDE w:val="0"/>
        <w:autoSpaceDN w:val="0"/>
        <w:rPr>
          <w:rFonts w:ascii="Arial" w:eastAsia="Arial" w:hAnsi="Arial" w:cs="Arial"/>
          <w:lang w:val="en-US" w:eastAsia="en-US"/>
        </w:rPr>
      </w:pPr>
      <w:r w:rsidRPr="00D01FEF">
        <w:rPr>
          <w:rFonts w:ascii="Arial" w:eastAsia="Arial" w:hAnsi="Arial" w:cs="Arial"/>
          <w:lang w:val="en-US" w:eastAsia="en-US"/>
        </w:rPr>
        <w:t>[2]</w:t>
      </w:r>
      <w:r w:rsidRPr="00D01FEF">
        <w:rPr>
          <w:rFonts w:ascii="Arial" w:eastAsia="Arial" w:hAnsi="Arial" w:cs="Arial"/>
          <w:lang w:val="en-US" w:eastAsia="en-US"/>
        </w:rPr>
        <w:tab/>
      </w:r>
      <w:r w:rsidR="00B9081B" w:rsidRPr="00EE3815">
        <w:rPr>
          <w:rFonts w:ascii="Arial" w:eastAsia="Arial" w:hAnsi="Arial" w:cs="Arial"/>
          <w:lang w:val="en-US" w:eastAsia="en-US"/>
        </w:rPr>
        <w:t xml:space="preserve">The appellant, Siqalo Foods (Pty) Ltd (or more accurately its predecessor), was incorporated and launched in 2018, when Remgro (Pty) Ltd completed its purchase of Unilever South Africa (Pty) Ltd’s margarine ‘spreads’ business. The appellant’s product line includes the STORK range consisting of, amongst others, the product. </w:t>
      </w:r>
    </w:p>
    <w:p w:rsidR="00B9081B" w:rsidRPr="00D01FEF" w:rsidRDefault="00B9081B" w:rsidP="00B9081B">
      <w:pPr>
        <w:rPr>
          <w:rFonts w:ascii="Arial" w:eastAsia="Arial" w:hAnsi="Arial" w:cs="Arial"/>
          <w:lang w:val="en-US" w:eastAsia="en-US"/>
        </w:rPr>
      </w:pPr>
    </w:p>
    <w:p w:rsidR="00B9081B" w:rsidRPr="00EE3815" w:rsidRDefault="00EE3815" w:rsidP="00EE3815">
      <w:pPr>
        <w:widowControl w:val="0"/>
        <w:autoSpaceDE w:val="0"/>
        <w:autoSpaceDN w:val="0"/>
        <w:rPr>
          <w:rFonts w:ascii="Arial" w:eastAsia="Arial" w:hAnsi="Arial" w:cs="Arial"/>
          <w:lang w:val="en-US" w:eastAsia="en-US"/>
        </w:rPr>
      </w:pPr>
      <w:r w:rsidRPr="00D01FEF">
        <w:rPr>
          <w:rFonts w:ascii="Arial" w:eastAsia="Arial" w:hAnsi="Arial" w:cs="Arial"/>
          <w:lang w:val="en-US" w:eastAsia="en-US"/>
        </w:rPr>
        <w:t>[3]</w:t>
      </w:r>
      <w:r w:rsidRPr="00D01FEF">
        <w:rPr>
          <w:rFonts w:ascii="Arial" w:eastAsia="Arial" w:hAnsi="Arial" w:cs="Arial"/>
          <w:lang w:val="en-US" w:eastAsia="en-US"/>
        </w:rPr>
        <w:tab/>
      </w:r>
      <w:r w:rsidR="00B9081B" w:rsidRPr="00EE3815">
        <w:rPr>
          <w:rFonts w:ascii="Arial" w:eastAsia="Arial" w:hAnsi="Arial" w:cs="Arial"/>
          <w:lang w:val="en-US" w:eastAsia="en-US"/>
        </w:rPr>
        <w:t xml:space="preserve">The respondent, Clover SA (Pty) Ltd, a wholly-owned subsidiary of the Clover Group, is a manufacturer, marketer and purveyor of branded foods and beverages. It manufactures and sells what is described as a modified butter product under its registered trade mark BUTRO, which has been in use since July 1985. </w:t>
      </w:r>
    </w:p>
    <w:p w:rsidR="00B9081B" w:rsidRPr="00D01FEF" w:rsidRDefault="00B9081B" w:rsidP="00B9081B">
      <w:pPr>
        <w:rPr>
          <w:rFonts w:ascii="Arial" w:eastAsia="Arial" w:hAnsi="Arial" w:cs="Arial"/>
          <w:lang w:val="en-US" w:eastAsia="en-US"/>
        </w:rPr>
      </w:pPr>
    </w:p>
    <w:p w:rsidR="00306737" w:rsidRPr="00EE3815" w:rsidRDefault="00EE3815" w:rsidP="00EE3815">
      <w:pPr>
        <w:widowControl w:val="0"/>
        <w:autoSpaceDE w:val="0"/>
        <w:autoSpaceDN w:val="0"/>
        <w:rPr>
          <w:rFonts w:ascii="Arial" w:eastAsia="Arial" w:hAnsi="Arial" w:cs="Arial"/>
          <w:lang w:val="en-US" w:eastAsia="en-US"/>
        </w:rPr>
      </w:pPr>
      <w:r w:rsidRPr="00481BAD">
        <w:rPr>
          <w:rFonts w:ascii="Arial" w:eastAsia="Arial" w:hAnsi="Arial" w:cs="Arial"/>
          <w:lang w:val="en-US" w:eastAsia="en-US"/>
        </w:rPr>
        <w:t>[4]</w:t>
      </w:r>
      <w:r w:rsidRPr="00481BAD">
        <w:rPr>
          <w:rFonts w:ascii="Arial" w:eastAsia="Arial" w:hAnsi="Arial" w:cs="Arial"/>
          <w:lang w:val="en-US" w:eastAsia="en-US"/>
        </w:rPr>
        <w:tab/>
      </w:r>
      <w:r w:rsidR="00B9081B" w:rsidRPr="00EE3815">
        <w:rPr>
          <w:rFonts w:ascii="Arial" w:eastAsia="Arial" w:hAnsi="Arial" w:cs="Arial"/>
          <w:lang w:val="en-US" w:eastAsia="en-US"/>
        </w:rPr>
        <w:t xml:space="preserve">The complaint of the respondent is that the appellant had commenced promoting, marketing, distributing and selling the product as a butter product, when it was in fact not such a product, but a modified butter product. The respondent objected to such trade by the appellant on the basis that the </w:t>
      </w:r>
      <w:r w:rsidR="00B418ED" w:rsidRPr="00EE3815">
        <w:rPr>
          <w:rFonts w:ascii="Arial" w:eastAsia="Arial" w:hAnsi="Arial" w:cs="Arial"/>
          <w:lang w:val="en-US" w:eastAsia="en-US"/>
        </w:rPr>
        <w:t xml:space="preserve">product </w:t>
      </w:r>
      <w:r w:rsidR="00B9081B" w:rsidRPr="00EE3815">
        <w:rPr>
          <w:rFonts w:ascii="Arial" w:eastAsia="Arial" w:hAnsi="Arial" w:cs="Arial"/>
          <w:lang w:val="en-US" w:eastAsia="en-US"/>
        </w:rPr>
        <w:t xml:space="preserve">label misrepresents the particular nature, substance, attributes, character and composition of the product, thereby misrepresenting modified butter as a butter product. </w:t>
      </w:r>
    </w:p>
    <w:p w:rsidR="00B9081B" w:rsidRPr="00EE3815" w:rsidRDefault="00EE3815" w:rsidP="00EE3815">
      <w:pPr>
        <w:widowControl w:val="0"/>
        <w:autoSpaceDE w:val="0"/>
        <w:autoSpaceDN w:val="0"/>
        <w:rPr>
          <w:rFonts w:ascii="Arial" w:eastAsia="Arial" w:hAnsi="Arial" w:cs="Arial"/>
          <w:lang w:val="en-US" w:eastAsia="en-US"/>
        </w:rPr>
      </w:pPr>
      <w:r w:rsidRPr="00D01FEF">
        <w:rPr>
          <w:rFonts w:ascii="Arial" w:eastAsia="Arial" w:hAnsi="Arial" w:cs="Arial"/>
          <w:lang w:val="en-US" w:eastAsia="en-US"/>
        </w:rPr>
        <w:lastRenderedPageBreak/>
        <w:t>[5]</w:t>
      </w:r>
      <w:r w:rsidRPr="00D01FEF">
        <w:rPr>
          <w:rFonts w:ascii="Arial" w:eastAsia="Arial" w:hAnsi="Arial" w:cs="Arial"/>
          <w:lang w:val="en-US" w:eastAsia="en-US"/>
        </w:rPr>
        <w:tab/>
      </w:r>
      <w:r w:rsidR="00B9081B" w:rsidRPr="00EE3815">
        <w:rPr>
          <w:rFonts w:ascii="Arial" w:eastAsia="Arial" w:hAnsi="Arial" w:cs="Arial"/>
          <w:lang w:val="en-US" w:eastAsia="en-US"/>
        </w:rPr>
        <w:t>The respondent’s case is that the marks on the product label are proscribed in at least two respects by the Agricultural Product Standards Act 119 of 1990 (the Act) and the relevant regulations published thereunder (the regulations).</w:t>
      </w:r>
      <w:r w:rsidR="00B9081B" w:rsidRPr="00D01FEF">
        <w:rPr>
          <w:rFonts w:eastAsia="Arial"/>
          <w:vertAlign w:val="superscript"/>
          <w:lang w:val="en-US" w:eastAsia="en-US"/>
        </w:rPr>
        <w:footnoteReference w:id="1"/>
      </w:r>
      <w:r w:rsidR="00B9081B" w:rsidRPr="00EE3815">
        <w:rPr>
          <w:rFonts w:ascii="Arial" w:eastAsia="Arial" w:hAnsi="Arial" w:cs="Arial"/>
          <w:lang w:val="en-US" w:eastAsia="en-US"/>
        </w:rPr>
        <w:t xml:space="preserve"> The first regulates and prescribes, amongst others, the size of the marks that may be imprinted on a product label or container (s 3 of the Act read with regulations 2(1)</w:t>
      </w:r>
      <w:r w:rsidR="00B9081B" w:rsidRPr="00EE3815">
        <w:rPr>
          <w:rFonts w:ascii="Arial" w:eastAsia="Arial" w:hAnsi="Arial" w:cs="Arial"/>
          <w:i/>
          <w:lang w:val="en-US" w:eastAsia="en-US"/>
        </w:rPr>
        <w:t>(d)</w:t>
      </w:r>
      <w:r w:rsidR="00B9081B" w:rsidRPr="00EE3815">
        <w:rPr>
          <w:rFonts w:ascii="Arial" w:eastAsia="Arial" w:hAnsi="Arial" w:cs="Arial"/>
          <w:lang w:val="en-US" w:eastAsia="en-US"/>
        </w:rPr>
        <w:t xml:space="preserve"> and </w:t>
      </w:r>
      <w:r w:rsidR="00B9081B" w:rsidRPr="00EE3815">
        <w:rPr>
          <w:rFonts w:ascii="Arial" w:eastAsia="Arial" w:hAnsi="Arial" w:cs="Arial"/>
          <w:i/>
          <w:lang w:val="en-US" w:eastAsia="en-US"/>
        </w:rPr>
        <w:t>(e)</w:t>
      </w:r>
      <w:r w:rsidR="00B9081B" w:rsidRPr="00EE3815">
        <w:rPr>
          <w:rFonts w:ascii="Arial" w:eastAsia="Arial" w:hAnsi="Arial" w:cs="Arial"/>
          <w:lang w:val="en-US" w:eastAsia="en-US"/>
        </w:rPr>
        <w:t xml:space="preserve"> and 26(7)</w:t>
      </w:r>
      <w:r w:rsidR="00B9081B" w:rsidRPr="00EE3815">
        <w:rPr>
          <w:rFonts w:ascii="Arial" w:eastAsia="Arial" w:hAnsi="Arial" w:cs="Arial"/>
          <w:i/>
          <w:lang w:val="en-US" w:eastAsia="en-US"/>
        </w:rPr>
        <w:t>(a)</w:t>
      </w:r>
      <w:r w:rsidR="00B9081B" w:rsidRPr="00EE3815">
        <w:rPr>
          <w:rFonts w:ascii="Arial" w:eastAsia="Arial" w:hAnsi="Arial" w:cs="Arial"/>
          <w:lang w:val="en-US" w:eastAsia="en-US"/>
        </w:rPr>
        <w:t>) and, the second prohibition forbids the use of any mark that conveys or creates, or is likely to convey or create, a false or misleading impression as to the nature, class or identity of a product (s 6 of the Act read with regulations 32(3)</w:t>
      </w:r>
      <w:r w:rsidR="00B9081B" w:rsidRPr="00EE3815">
        <w:rPr>
          <w:rFonts w:ascii="Arial" w:eastAsia="Arial" w:hAnsi="Arial" w:cs="Arial"/>
          <w:i/>
          <w:lang w:val="en-US" w:eastAsia="en-US"/>
        </w:rPr>
        <w:t>(a)</w:t>
      </w:r>
      <w:r w:rsidR="00B9081B" w:rsidRPr="00EE3815">
        <w:rPr>
          <w:rFonts w:ascii="Arial" w:eastAsia="Arial" w:hAnsi="Arial" w:cs="Arial"/>
          <w:lang w:val="en-US" w:eastAsia="en-US"/>
        </w:rPr>
        <w:t xml:space="preserve"> and 32(4)).</w:t>
      </w:r>
    </w:p>
    <w:p w:rsidR="00B9081B" w:rsidRPr="00D01FEF" w:rsidRDefault="00B9081B" w:rsidP="00B9081B">
      <w:pPr>
        <w:pStyle w:val="ListParagraph"/>
        <w:rPr>
          <w:rFonts w:ascii="Arial" w:eastAsia="Arial" w:hAnsi="Arial" w:cs="Arial"/>
          <w:lang w:val="en-US" w:eastAsia="en-US"/>
        </w:rPr>
      </w:pPr>
    </w:p>
    <w:p w:rsidR="00B9081B" w:rsidRPr="00EE3815" w:rsidRDefault="00EE3815" w:rsidP="00EE3815">
      <w:pPr>
        <w:widowControl w:val="0"/>
        <w:autoSpaceDE w:val="0"/>
        <w:autoSpaceDN w:val="0"/>
        <w:rPr>
          <w:rFonts w:ascii="Arial" w:eastAsia="Arial" w:hAnsi="Arial" w:cs="Arial"/>
          <w:lang w:val="en-US" w:eastAsia="en-US"/>
        </w:rPr>
      </w:pPr>
      <w:r w:rsidRPr="00D01FEF">
        <w:rPr>
          <w:rFonts w:ascii="Arial" w:eastAsia="Arial" w:hAnsi="Arial" w:cs="Arial"/>
          <w:lang w:val="en-US" w:eastAsia="en-US"/>
        </w:rPr>
        <w:t>[6]</w:t>
      </w:r>
      <w:r w:rsidRPr="00D01FEF">
        <w:rPr>
          <w:rFonts w:ascii="Arial" w:eastAsia="Arial" w:hAnsi="Arial" w:cs="Arial"/>
          <w:lang w:val="en-US" w:eastAsia="en-US"/>
        </w:rPr>
        <w:tab/>
      </w:r>
      <w:r w:rsidR="00B9081B" w:rsidRPr="00EE3815">
        <w:rPr>
          <w:rFonts w:ascii="Arial" w:eastAsia="Arial" w:hAnsi="Arial" w:cs="Arial"/>
          <w:lang w:val="en-US" w:eastAsia="en-US"/>
        </w:rPr>
        <w:t>The respondent accordingly applied on 5 March 2021 to the Gauteng Division of the High Court, Pretoria (the high court) to interdict and restrain the appellant from competing unlawfully with the respondent and trading in contravention of the Act and the Regulations. The application succeeded before Vuma AJ, who issued the following order on 12 November 2021:</w:t>
      </w:r>
    </w:p>
    <w:p w:rsidR="00B9081B" w:rsidRPr="00D01FEF" w:rsidRDefault="00B9081B" w:rsidP="00B9081B">
      <w:pPr>
        <w:widowControl w:val="0"/>
        <w:autoSpaceDE w:val="0"/>
        <w:autoSpaceDN w:val="0"/>
        <w:rPr>
          <w:rFonts w:ascii="Arial" w:eastAsia="Arial" w:hAnsi="Arial" w:cs="Arial"/>
          <w:sz w:val="22"/>
          <w:szCs w:val="22"/>
          <w:lang w:val="en-US" w:eastAsia="en-US"/>
        </w:rPr>
      </w:pPr>
      <w:r w:rsidRPr="00D01FEF">
        <w:rPr>
          <w:rFonts w:ascii="Arial" w:eastAsia="Arial" w:hAnsi="Arial" w:cs="Arial"/>
          <w:sz w:val="22"/>
          <w:szCs w:val="22"/>
          <w:lang w:val="en-US" w:eastAsia="en-US"/>
        </w:rPr>
        <w:t xml:space="preserve">‘1. </w:t>
      </w:r>
      <w:r w:rsidRPr="00D01FEF">
        <w:rPr>
          <w:rFonts w:ascii="Arial" w:eastAsia="Arial" w:hAnsi="Arial" w:cs="Arial"/>
          <w:sz w:val="22"/>
          <w:szCs w:val="22"/>
          <w:lang w:val="en-US" w:eastAsia="en-US"/>
        </w:rPr>
        <w:tab/>
        <w:t xml:space="preserve">That the Respondent is interdicted and restrained from:- </w:t>
      </w:r>
    </w:p>
    <w:p w:rsidR="00B9081B" w:rsidRPr="00D01FEF" w:rsidRDefault="00B9081B" w:rsidP="00B9081B">
      <w:pPr>
        <w:widowControl w:val="0"/>
        <w:autoSpaceDE w:val="0"/>
        <w:autoSpaceDN w:val="0"/>
        <w:rPr>
          <w:rFonts w:ascii="Arial" w:eastAsia="Arial" w:hAnsi="Arial" w:cs="Arial"/>
          <w:sz w:val="22"/>
          <w:szCs w:val="22"/>
          <w:lang w:val="en-US" w:eastAsia="en-US"/>
        </w:rPr>
      </w:pPr>
      <w:r w:rsidRPr="00D01FEF">
        <w:rPr>
          <w:rFonts w:ascii="Arial" w:eastAsia="Arial" w:hAnsi="Arial" w:cs="Arial"/>
          <w:sz w:val="22"/>
          <w:szCs w:val="22"/>
          <w:lang w:val="en-US" w:eastAsia="en-US"/>
        </w:rPr>
        <w:t xml:space="preserve">1.1 </w:t>
      </w:r>
      <w:r w:rsidRPr="00D01FEF">
        <w:rPr>
          <w:rFonts w:ascii="Arial" w:eastAsia="Arial" w:hAnsi="Arial" w:cs="Arial"/>
          <w:sz w:val="22"/>
          <w:szCs w:val="22"/>
          <w:lang w:val="en-US" w:eastAsia="en-US"/>
        </w:rPr>
        <w:tab/>
        <w:t>competing unlawfully with the Applicant by using, selling, offering for sale, promoting, advertising, delivering, marketing and/or in any way distributing for the purpose of sale, modified butter products in a container and/or any other packaging and wrapping material having a label imprinted thereon:-</w:t>
      </w:r>
    </w:p>
    <w:p w:rsidR="00B9081B" w:rsidRPr="00D01FEF" w:rsidRDefault="00B9081B" w:rsidP="00B9081B">
      <w:pPr>
        <w:widowControl w:val="0"/>
        <w:autoSpaceDE w:val="0"/>
        <w:autoSpaceDN w:val="0"/>
        <w:rPr>
          <w:rFonts w:ascii="Arial" w:eastAsia="Arial" w:hAnsi="Arial" w:cs="Arial"/>
          <w:sz w:val="22"/>
          <w:szCs w:val="22"/>
          <w:lang w:val="en-US" w:eastAsia="en-US"/>
        </w:rPr>
      </w:pPr>
      <w:r w:rsidRPr="00D01FEF">
        <w:rPr>
          <w:rFonts w:ascii="Arial" w:eastAsia="Arial" w:hAnsi="Arial" w:cs="Arial"/>
          <w:sz w:val="22"/>
          <w:szCs w:val="22"/>
          <w:lang w:val="en-US" w:eastAsia="en-US"/>
        </w:rPr>
        <w:t xml:space="preserve">1.1.1 </w:t>
      </w:r>
      <w:r w:rsidRPr="00D01FEF">
        <w:rPr>
          <w:rFonts w:ascii="Arial" w:eastAsia="Arial" w:hAnsi="Arial" w:cs="Arial"/>
          <w:sz w:val="22"/>
          <w:szCs w:val="22"/>
          <w:lang w:val="en-US" w:eastAsia="en-US"/>
        </w:rPr>
        <w:tab/>
        <w:t>as illustrated in the documents attached hereto as Annexures CF 2.1 – 2.6;</w:t>
      </w:r>
    </w:p>
    <w:p w:rsidR="00B9081B" w:rsidRPr="00D01FEF" w:rsidRDefault="00B9081B" w:rsidP="00B9081B">
      <w:pPr>
        <w:widowControl w:val="0"/>
        <w:autoSpaceDE w:val="0"/>
        <w:autoSpaceDN w:val="0"/>
        <w:rPr>
          <w:rFonts w:ascii="Arial" w:eastAsia="Arial" w:hAnsi="Arial" w:cs="Arial"/>
          <w:sz w:val="22"/>
          <w:szCs w:val="22"/>
          <w:lang w:val="en-US" w:eastAsia="en-US"/>
        </w:rPr>
      </w:pPr>
      <w:r w:rsidRPr="00D01FEF">
        <w:rPr>
          <w:rFonts w:ascii="Arial" w:eastAsia="Arial" w:hAnsi="Arial" w:cs="Arial"/>
          <w:sz w:val="22"/>
          <w:szCs w:val="22"/>
          <w:lang w:val="en-US" w:eastAsia="en-US"/>
        </w:rPr>
        <w:t xml:space="preserve">1.1.2 </w:t>
      </w:r>
      <w:r w:rsidRPr="00D01FEF">
        <w:rPr>
          <w:rFonts w:ascii="Arial" w:eastAsia="Arial" w:hAnsi="Arial" w:cs="Arial"/>
          <w:sz w:val="22"/>
          <w:szCs w:val="22"/>
          <w:lang w:val="en-US" w:eastAsia="en-US"/>
        </w:rPr>
        <w:tab/>
        <w:t>that is similar to the labels illustrated in Annexures CF 2.1 – 2.6;</w:t>
      </w:r>
    </w:p>
    <w:p w:rsidR="00B9081B" w:rsidRPr="00D01FEF" w:rsidRDefault="00B9081B" w:rsidP="00B9081B">
      <w:pPr>
        <w:widowControl w:val="0"/>
        <w:autoSpaceDE w:val="0"/>
        <w:autoSpaceDN w:val="0"/>
        <w:rPr>
          <w:rFonts w:ascii="Arial" w:eastAsia="Arial" w:hAnsi="Arial" w:cs="Arial"/>
          <w:sz w:val="22"/>
          <w:szCs w:val="22"/>
          <w:lang w:val="en-US" w:eastAsia="en-US"/>
        </w:rPr>
      </w:pPr>
      <w:r w:rsidRPr="00D01FEF">
        <w:rPr>
          <w:rFonts w:ascii="Arial" w:eastAsia="Arial" w:hAnsi="Arial" w:cs="Arial"/>
          <w:sz w:val="22"/>
          <w:szCs w:val="22"/>
          <w:lang w:val="en-US" w:eastAsia="en-US"/>
        </w:rPr>
        <w:t xml:space="preserve">1.1.3 </w:t>
      </w:r>
      <w:r w:rsidRPr="00D01FEF">
        <w:rPr>
          <w:rFonts w:ascii="Arial" w:eastAsia="Arial" w:hAnsi="Arial" w:cs="Arial"/>
          <w:sz w:val="22"/>
          <w:szCs w:val="22"/>
          <w:lang w:val="en-US" w:eastAsia="en-US"/>
        </w:rPr>
        <w:tab/>
        <w:t>in which the word “butter” appears as a dominant aspect or feature.</w:t>
      </w:r>
    </w:p>
    <w:p w:rsidR="00B9081B" w:rsidRPr="00D01FEF" w:rsidRDefault="00B9081B" w:rsidP="00B9081B">
      <w:pPr>
        <w:widowControl w:val="0"/>
        <w:autoSpaceDE w:val="0"/>
        <w:autoSpaceDN w:val="0"/>
        <w:rPr>
          <w:rFonts w:ascii="Arial" w:eastAsia="Arial" w:hAnsi="Arial" w:cs="Arial"/>
          <w:sz w:val="22"/>
          <w:szCs w:val="22"/>
          <w:lang w:val="en-US" w:eastAsia="en-US"/>
        </w:rPr>
      </w:pPr>
      <w:r w:rsidRPr="00D01FEF">
        <w:rPr>
          <w:rFonts w:ascii="Arial" w:eastAsia="Arial" w:hAnsi="Arial" w:cs="Arial"/>
          <w:sz w:val="22"/>
          <w:szCs w:val="22"/>
          <w:lang w:val="en-US" w:eastAsia="en-US"/>
        </w:rPr>
        <w:t xml:space="preserve">2. </w:t>
      </w:r>
      <w:r w:rsidRPr="00D01FEF">
        <w:rPr>
          <w:rFonts w:ascii="Arial" w:eastAsia="Arial" w:hAnsi="Arial" w:cs="Arial"/>
          <w:sz w:val="22"/>
          <w:szCs w:val="22"/>
          <w:lang w:val="en-US" w:eastAsia="en-US"/>
        </w:rPr>
        <w:tab/>
        <w:t>That the Respondent is interdicted and restrained from trading in contravention of section 3 and 6 of the Agricultural Product Standards Act, 119 of 1990, as read with Regulations 2, 3, 17, 18, 27 and 32 of the Regulations, GN R1510, published under that Act in Government Gazette 42850, dated 22 November 2019, by using, selling, offering for sale, promoting, advertising, delivering, marketing and/or in any way distributing for the purposes of sale, or offering for sale, modified butter products in a container and/or any other packaging and wrapping material having an offending label imprinted thereon.</w:t>
      </w:r>
    </w:p>
    <w:p w:rsidR="00B9081B" w:rsidRPr="00D01FEF" w:rsidRDefault="00B9081B" w:rsidP="00B9081B">
      <w:pPr>
        <w:widowControl w:val="0"/>
        <w:autoSpaceDE w:val="0"/>
        <w:autoSpaceDN w:val="0"/>
        <w:rPr>
          <w:rFonts w:ascii="Arial" w:eastAsia="Arial" w:hAnsi="Arial" w:cs="Arial"/>
          <w:sz w:val="22"/>
          <w:szCs w:val="22"/>
          <w:lang w:val="en-US" w:eastAsia="en-US"/>
        </w:rPr>
      </w:pPr>
      <w:r w:rsidRPr="00D01FEF">
        <w:rPr>
          <w:rFonts w:ascii="Arial" w:eastAsia="Arial" w:hAnsi="Arial" w:cs="Arial"/>
          <w:sz w:val="22"/>
          <w:szCs w:val="22"/>
          <w:lang w:val="en-US" w:eastAsia="en-US"/>
        </w:rPr>
        <w:t xml:space="preserve">3. </w:t>
      </w:r>
      <w:r w:rsidRPr="00D01FEF">
        <w:rPr>
          <w:rFonts w:ascii="Arial" w:eastAsia="Arial" w:hAnsi="Arial" w:cs="Arial"/>
          <w:sz w:val="22"/>
          <w:szCs w:val="22"/>
          <w:lang w:val="en-US" w:eastAsia="en-US"/>
        </w:rPr>
        <w:tab/>
        <w:t>The Respondent is ordered, within 7 (SEVEN) days</w:t>
      </w:r>
      <w:r w:rsidRPr="00D01FEF">
        <w:rPr>
          <w:rFonts w:ascii="Arial" w:eastAsia="Arial" w:hAnsi="Arial" w:cs="Arial"/>
          <w:b/>
          <w:sz w:val="22"/>
          <w:szCs w:val="22"/>
          <w:lang w:val="en-US" w:eastAsia="en-US"/>
        </w:rPr>
        <w:t xml:space="preserve"> </w:t>
      </w:r>
      <w:r w:rsidRPr="00D01FEF">
        <w:rPr>
          <w:rFonts w:ascii="Arial" w:eastAsia="Arial" w:hAnsi="Arial" w:cs="Arial"/>
          <w:sz w:val="22"/>
          <w:szCs w:val="22"/>
          <w:lang w:val="en-US" w:eastAsia="en-US"/>
        </w:rPr>
        <w:t>of this order, to: -</w:t>
      </w:r>
    </w:p>
    <w:p w:rsidR="00B9081B" w:rsidRPr="00D01FEF" w:rsidRDefault="00B9081B" w:rsidP="00B9081B">
      <w:pPr>
        <w:widowControl w:val="0"/>
        <w:autoSpaceDE w:val="0"/>
        <w:autoSpaceDN w:val="0"/>
        <w:rPr>
          <w:rFonts w:ascii="Arial" w:eastAsia="Arial" w:hAnsi="Arial" w:cs="Arial"/>
          <w:sz w:val="22"/>
          <w:szCs w:val="22"/>
          <w:lang w:val="en-US" w:eastAsia="en-US"/>
        </w:rPr>
      </w:pPr>
      <w:r w:rsidRPr="00D01FEF">
        <w:rPr>
          <w:rFonts w:ascii="Arial" w:eastAsia="Arial" w:hAnsi="Arial" w:cs="Arial"/>
          <w:sz w:val="22"/>
          <w:szCs w:val="22"/>
          <w:lang w:val="en-US" w:eastAsia="en-US"/>
        </w:rPr>
        <w:t xml:space="preserve">3.1. </w:t>
      </w:r>
      <w:r w:rsidRPr="00D01FEF">
        <w:rPr>
          <w:rFonts w:ascii="Arial" w:eastAsia="Arial" w:hAnsi="Arial" w:cs="Arial"/>
          <w:sz w:val="22"/>
          <w:szCs w:val="22"/>
          <w:lang w:val="en-US" w:eastAsia="en-US"/>
        </w:rPr>
        <w:tab/>
        <w:t xml:space="preserve">remove an offending label from all modified butter packaging and wrapping material, and modified butter marketing and promotional material in their possession or under their </w:t>
      </w:r>
      <w:r w:rsidRPr="00D01FEF">
        <w:rPr>
          <w:rFonts w:ascii="Arial" w:eastAsia="Arial" w:hAnsi="Arial" w:cs="Arial"/>
          <w:sz w:val="22"/>
          <w:szCs w:val="22"/>
          <w:lang w:val="en-US" w:eastAsia="en-US"/>
        </w:rPr>
        <w:lastRenderedPageBreak/>
        <w:t xml:space="preserve">control; and </w:t>
      </w:r>
    </w:p>
    <w:p w:rsidR="00B9081B" w:rsidRPr="00D01FEF" w:rsidRDefault="00B9081B" w:rsidP="00B9081B">
      <w:pPr>
        <w:widowControl w:val="0"/>
        <w:autoSpaceDE w:val="0"/>
        <w:autoSpaceDN w:val="0"/>
        <w:rPr>
          <w:rFonts w:ascii="Arial" w:eastAsia="Arial" w:hAnsi="Arial" w:cs="Arial"/>
          <w:sz w:val="22"/>
          <w:szCs w:val="22"/>
          <w:lang w:val="en-US" w:eastAsia="en-US"/>
        </w:rPr>
      </w:pPr>
      <w:r w:rsidRPr="00D01FEF">
        <w:rPr>
          <w:rFonts w:ascii="Arial" w:eastAsia="Arial" w:hAnsi="Arial" w:cs="Arial"/>
          <w:sz w:val="22"/>
          <w:szCs w:val="22"/>
          <w:lang w:val="en-US" w:eastAsia="en-US"/>
        </w:rPr>
        <w:t xml:space="preserve">3.2. </w:t>
      </w:r>
      <w:r w:rsidRPr="00D01FEF">
        <w:rPr>
          <w:rFonts w:ascii="Arial" w:eastAsia="Arial" w:hAnsi="Arial" w:cs="Arial"/>
          <w:sz w:val="22"/>
          <w:szCs w:val="22"/>
          <w:lang w:val="en-US" w:eastAsia="en-US"/>
        </w:rPr>
        <w:tab/>
        <w:t>where an offending label is incapable of being removed from such material, to destroy the material.</w:t>
      </w:r>
    </w:p>
    <w:p w:rsidR="00B9081B" w:rsidRPr="00D01FEF" w:rsidRDefault="00B9081B" w:rsidP="00B9081B">
      <w:pPr>
        <w:widowControl w:val="0"/>
        <w:autoSpaceDE w:val="0"/>
        <w:autoSpaceDN w:val="0"/>
        <w:rPr>
          <w:rFonts w:ascii="Arial" w:eastAsia="Arial" w:hAnsi="Arial" w:cs="Arial"/>
          <w:sz w:val="22"/>
          <w:szCs w:val="22"/>
          <w:lang w:val="en-US" w:eastAsia="en-US"/>
        </w:rPr>
      </w:pPr>
      <w:r w:rsidRPr="00D01FEF">
        <w:rPr>
          <w:rFonts w:ascii="Arial" w:eastAsia="Arial" w:hAnsi="Arial" w:cs="Arial"/>
          <w:sz w:val="22"/>
          <w:szCs w:val="22"/>
          <w:lang w:val="en-US" w:eastAsia="en-US"/>
        </w:rPr>
        <w:t xml:space="preserve">4. </w:t>
      </w:r>
      <w:r w:rsidRPr="00D01FEF">
        <w:rPr>
          <w:rFonts w:ascii="Arial" w:eastAsia="Arial" w:hAnsi="Arial" w:cs="Arial"/>
          <w:sz w:val="22"/>
          <w:szCs w:val="22"/>
          <w:lang w:val="en-US" w:eastAsia="en-US"/>
        </w:rPr>
        <w:tab/>
        <w:t>Costs of this application, including the cost consequent upon the employment of two counsel are awarded to the applicant.’</w:t>
      </w:r>
    </w:p>
    <w:p w:rsidR="00B9081B" w:rsidRPr="00D01FEF" w:rsidRDefault="00B9081B" w:rsidP="00B9081B">
      <w:pPr>
        <w:widowControl w:val="0"/>
        <w:autoSpaceDE w:val="0"/>
        <w:autoSpaceDN w:val="0"/>
        <w:rPr>
          <w:rFonts w:ascii="Arial" w:eastAsia="Arial" w:hAnsi="Arial" w:cs="Arial"/>
          <w:lang w:val="en-US" w:eastAsia="en-US"/>
        </w:rPr>
      </w:pPr>
      <w:r w:rsidRPr="00D01FEF">
        <w:rPr>
          <w:rFonts w:ascii="Arial" w:eastAsia="Arial" w:hAnsi="Arial" w:cs="Arial"/>
          <w:lang w:val="en-US" w:eastAsia="en-US"/>
        </w:rPr>
        <w:t>The appeal is with the leave of the high court.</w:t>
      </w:r>
    </w:p>
    <w:p w:rsidR="00B9081B" w:rsidRPr="00D01FEF" w:rsidRDefault="00B9081B" w:rsidP="00B9081B">
      <w:pPr>
        <w:widowControl w:val="0"/>
        <w:autoSpaceDE w:val="0"/>
        <w:autoSpaceDN w:val="0"/>
        <w:rPr>
          <w:rFonts w:ascii="Arial" w:eastAsia="Arial" w:hAnsi="Arial" w:cs="Arial"/>
          <w:lang w:val="en-US" w:eastAsia="en-US"/>
        </w:rPr>
      </w:pPr>
    </w:p>
    <w:p w:rsidR="00B9081B" w:rsidRPr="00EE3815" w:rsidRDefault="00EE3815" w:rsidP="00EE3815">
      <w:pPr>
        <w:widowControl w:val="0"/>
        <w:autoSpaceDE w:val="0"/>
        <w:autoSpaceDN w:val="0"/>
        <w:rPr>
          <w:rFonts w:ascii="Arial" w:eastAsia="Arial" w:hAnsi="Arial" w:cs="Arial"/>
          <w:lang w:val="en-US" w:eastAsia="en-US"/>
        </w:rPr>
      </w:pPr>
      <w:r w:rsidRPr="00D01FEF">
        <w:rPr>
          <w:rFonts w:ascii="Arial" w:eastAsia="Arial" w:hAnsi="Arial" w:cs="Arial"/>
          <w:lang w:val="en-US" w:eastAsia="en-US"/>
        </w:rPr>
        <w:t>[7]</w:t>
      </w:r>
      <w:r w:rsidRPr="00D01FEF">
        <w:rPr>
          <w:rFonts w:ascii="Arial" w:eastAsia="Arial" w:hAnsi="Arial" w:cs="Arial"/>
          <w:lang w:val="en-US" w:eastAsia="en-US"/>
        </w:rPr>
        <w:tab/>
      </w:r>
      <w:r w:rsidR="00B9081B" w:rsidRPr="00EE3815">
        <w:rPr>
          <w:rFonts w:ascii="Arial" w:eastAsia="Arial" w:hAnsi="Arial" w:cs="Arial"/>
          <w:lang w:val="en-US" w:eastAsia="en-US"/>
        </w:rPr>
        <w:t>It was common ground that the product is not butter, bu</w:t>
      </w:r>
      <w:r w:rsidR="0038313D" w:rsidRPr="00EE3815">
        <w:rPr>
          <w:rFonts w:ascii="Arial" w:eastAsia="Arial" w:hAnsi="Arial" w:cs="Arial"/>
          <w:lang w:val="en-US" w:eastAsia="en-US"/>
        </w:rPr>
        <w:t xml:space="preserve">t something entirely different – </w:t>
      </w:r>
      <w:r w:rsidR="00B9081B" w:rsidRPr="00EE3815">
        <w:rPr>
          <w:rFonts w:ascii="Arial" w:eastAsia="Arial" w:hAnsi="Arial" w:cs="Arial"/>
          <w:lang w:val="en-US" w:eastAsia="en-US"/>
        </w:rPr>
        <w:t>namely</w:t>
      </w:r>
      <w:r w:rsidR="0038313D" w:rsidRPr="00EE3815">
        <w:rPr>
          <w:rFonts w:ascii="Arial" w:eastAsia="Arial" w:hAnsi="Arial" w:cs="Arial"/>
          <w:lang w:val="en-US" w:eastAsia="en-US"/>
        </w:rPr>
        <w:t>,</w:t>
      </w:r>
      <w:r w:rsidR="00B9081B" w:rsidRPr="00EE3815">
        <w:rPr>
          <w:rFonts w:ascii="Arial" w:eastAsia="Arial" w:hAnsi="Arial" w:cs="Arial"/>
          <w:lang w:val="en-US" w:eastAsia="en-US"/>
        </w:rPr>
        <w:t xml:space="preserve"> a modified butter. Butter is a primary dairy product – a product derived from or manufactured solely from milk. It may not contain any animal, vegetable or marine fat.</w:t>
      </w:r>
      <w:r w:rsidR="00B9081B" w:rsidRPr="00D01FEF">
        <w:rPr>
          <w:rFonts w:eastAsia="Arial"/>
          <w:vertAlign w:val="superscript"/>
          <w:lang w:val="en-US" w:eastAsia="en-US"/>
        </w:rPr>
        <w:footnoteReference w:id="2"/>
      </w:r>
      <w:r w:rsidR="00B9081B" w:rsidRPr="00EE3815">
        <w:rPr>
          <w:rFonts w:ascii="Arial" w:eastAsia="Arial" w:hAnsi="Arial" w:cs="Arial"/>
          <w:lang w:val="en-US" w:eastAsia="en-US"/>
        </w:rPr>
        <w:t xml:space="preserve"> Butter is therefore ‘pure butter’. By contrast, modified butter merely has the general appearance of butter, but it is not pure butter. It i</w:t>
      </w:r>
      <w:r w:rsidR="0038313D" w:rsidRPr="00EE3815">
        <w:rPr>
          <w:rFonts w:ascii="Arial" w:eastAsia="Arial" w:hAnsi="Arial" w:cs="Arial"/>
          <w:lang w:val="en-US" w:eastAsia="en-US"/>
        </w:rPr>
        <w:t>s an imitation of butter. T</w:t>
      </w:r>
      <w:r w:rsidR="00B9081B" w:rsidRPr="00EE3815">
        <w:rPr>
          <w:rFonts w:ascii="Arial" w:eastAsia="Arial" w:hAnsi="Arial" w:cs="Arial"/>
          <w:lang w:val="en-US" w:eastAsia="en-US"/>
        </w:rPr>
        <w:t xml:space="preserve">he product comprises a blend of 62% plant oils (fats) and other ingredients, but only 38% primary dairy product. </w:t>
      </w:r>
    </w:p>
    <w:p w:rsidR="00B9081B" w:rsidRPr="00D01FEF" w:rsidRDefault="00B9081B" w:rsidP="00B9081B">
      <w:pPr>
        <w:pStyle w:val="ListParagraph"/>
        <w:widowControl w:val="0"/>
        <w:autoSpaceDE w:val="0"/>
        <w:autoSpaceDN w:val="0"/>
        <w:ind w:left="0"/>
        <w:rPr>
          <w:rFonts w:ascii="Arial" w:eastAsia="Arial" w:hAnsi="Arial" w:cs="Arial"/>
          <w:lang w:val="en-US" w:eastAsia="en-US"/>
        </w:rPr>
      </w:pPr>
    </w:p>
    <w:p w:rsidR="00B9081B" w:rsidRPr="00EE3815" w:rsidRDefault="00EE3815" w:rsidP="00EE3815">
      <w:pPr>
        <w:widowControl w:val="0"/>
        <w:autoSpaceDE w:val="0"/>
        <w:autoSpaceDN w:val="0"/>
        <w:rPr>
          <w:rFonts w:ascii="Arial" w:eastAsia="Arial" w:hAnsi="Arial" w:cs="Arial"/>
          <w:lang w:val="en-US" w:eastAsia="en-US"/>
        </w:rPr>
      </w:pPr>
      <w:r w:rsidRPr="00D01FEF">
        <w:rPr>
          <w:rFonts w:ascii="Arial" w:eastAsia="Arial" w:hAnsi="Arial" w:cs="Arial"/>
          <w:lang w:val="en-US" w:eastAsia="en-US"/>
        </w:rPr>
        <w:t>[8]</w:t>
      </w:r>
      <w:r w:rsidRPr="00D01FEF">
        <w:rPr>
          <w:rFonts w:ascii="Arial" w:eastAsia="Arial" w:hAnsi="Arial" w:cs="Arial"/>
          <w:lang w:val="en-US" w:eastAsia="en-US"/>
        </w:rPr>
        <w:tab/>
      </w:r>
      <w:r w:rsidR="00B9081B" w:rsidRPr="00EE3815">
        <w:rPr>
          <w:rFonts w:ascii="Arial" w:eastAsia="Arial" w:hAnsi="Arial" w:cs="Arial"/>
          <w:lang w:val="en-US" w:eastAsia="en-US"/>
        </w:rPr>
        <w:t xml:space="preserve">The product is as depicted here: </w:t>
      </w:r>
    </w:p>
    <w:p w:rsidR="00994EC3" w:rsidRPr="00D01FEF" w:rsidRDefault="00994EC3" w:rsidP="00B9081B">
      <w:pPr>
        <w:widowControl w:val="0"/>
        <w:autoSpaceDE w:val="0"/>
        <w:autoSpaceDN w:val="0"/>
        <w:rPr>
          <w:rFonts w:ascii="Arial" w:eastAsia="Arial" w:hAnsi="Arial" w:cs="Arial"/>
          <w:lang w:val="en-US" w:eastAsia="en-US"/>
        </w:rPr>
      </w:pPr>
      <w:r w:rsidRPr="00D01FEF">
        <w:rPr>
          <w:rFonts w:ascii="Arial" w:eastAsia="Arial" w:hAnsi="Arial" w:cs="Arial"/>
          <w:lang w:val="en-US" w:eastAsia="en-US"/>
        </w:rPr>
        <w:tab/>
      </w:r>
      <w:r w:rsidR="00986507" w:rsidRPr="00D01FEF">
        <w:rPr>
          <w:rFonts w:ascii="Arial" w:hAnsi="Arial" w:cs="Arial"/>
          <w:noProof/>
          <w:lang w:val="en-ZA"/>
        </w:rPr>
        <w:drawing>
          <wp:inline distT="0" distB="0" distL="0" distR="0" wp14:anchorId="0546EE67" wp14:editId="57E4462C">
            <wp:extent cx="4857750" cy="242948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17920" cy="2459582"/>
                    </a:xfrm>
                    <a:prstGeom prst="rect">
                      <a:avLst/>
                    </a:prstGeom>
                  </pic:spPr>
                </pic:pic>
              </a:graphicData>
            </a:graphic>
          </wp:inline>
        </w:drawing>
      </w:r>
      <w:r w:rsidR="00986507" w:rsidRPr="00D01FEF">
        <w:rPr>
          <w:rFonts w:ascii="Arial" w:eastAsia="Arial" w:hAnsi="Arial" w:cs="Arial"/>
          <w:lang w:val="en-US" w:eastAsia="en-US"/>
        </w:rPr>
        <w:tab/>
      </w:r>
    </w:p>
    <w:p w:rsidR="006029AB" w:rsidRPr="00D01FEF" w:rsidRDefault="006029AB" w:rsidP="00986507">
      <w:pPr>
        <w:widowControl w:val="0"/>
        <w:autoSpaceDE w:val="0"/>
        <w:autoSpaceDN w:val="0"/>
        <w:rPr>
          <w:rFonts w:ascii="Arial" w:eastAsia="Arial" w:hAnsi="Arial" w:cs="Arial"/>
          <w:lang w:val="en-US" w:eastAsia="en-US"/>
        </w:rPr>
      </w:pPr>
    </w:p>
    <w:p w:rsidR="00B9081B" w:rsidRPr="00EE3815" w:rsidRDefault="00EE3815" w:rsidP="00EE3815">
      <w:pPr>
        <w:widowControl w:val="0"/>
        <w:autoSpaceDE w:val="0"/>
        <w:autoSpaceDN w:val="0"/>
        <w:rPr>
          <w:rFonts w:ascii="Arial" w:eastAsia="Arial" w:hAnsi="Arial" w:cs="Arial"/>
          <w:lang w:val="en-US" w:eastAsia="en-US"/>
        </w:rPr>
      </w:pPr>
      <w:r w:rsidRPr="00D01FEF">
        <w:rPr>
          <w:rFonts w:ascii="Arial" w:eastAsia="Arial" w:hAnsi="Arial" w:cs="Arial"/>
          <w:lang w:val="en-US" w:eastAsia="en-US"/>
        </w:rPr>
        <w:t>[9]</w:t>
      </w:r>
      <w:r w:rsidRPr="00D01FEF">
        <w:rPr>
          <w:rFonts w:ascii="Arial" w:eastAsia="Arial" w:hAnsi="Arial" w:cs="Arial"/>
          <w:lang w:val="en-US" w:eastAsia="en-US"/>
        </w:rPr>
        <w:tab/>
      </w:r>
      <w:r w:rsidR="00B9081B" w:rsidRPr="00EE3815">
        <w:rPr>
          <w:rFonts w:ascii="Arial" w:eastAsia="Arial" w:hAnsi="Arial" w:cs="Arial"/>
          <w:lang w:val="en-US" w:eastAsia="en-US"/>
        </w:rPr>
        <w:t xml:space="preserve">Notably: (a) the word BUTTER is, when compared to all other words on the label, dimensionally oversized and, therefore, visually accentuated; (b) the word BUTTER is in bold blue font, capitalised and superimposed on a white letter-shadowed background, further enhancing its visual accentuation; (c) the appellant’s goods mark, </w:t>
      </w:r>
      <w:r w:rsidR="00B9081B" w:rsidRPr="00EE3815">
        <w:rPr>
          <w:rFonts w:ascii="Arial" w:eastAsia="Arial" w:hAnsi="Arial" w:cs="Arial"/>
          <w:lang w:val="en-US" w:eastAsia="en-US"/>
        </w:rPr>
        <w:lastRenderedPageBreak/>
        <w:t>STORK, which appears above the word BUTTE</w:t>
      </w:r>
      <w:r w:rsidR="00BF17C2" w:rsidRPr="00EE3815">
        <w:rPr>
          <w:rFonts w:ascii="Arial" w:eastAsia="Arial" w:hAnsi="Arial" w:cs="Arial"/>
          <w:lang w:val="en-US" w:eastAsia="en-US"/>
        </w:rPr>
        <w:t>R, is dimensionally of a much</w:t>
      </w:r>
      <w:r w:rsidR="00B9081B" w:rsidRPr="00EE3815">
        <w:rPr>
          <w:rFonts w:ascii="Arial" w:eastAsia="Arial" w:hAnsi="Arial" w:cs="Arial"/>
          <w:lang w:val="en-US" w:eastAsia="en-US"/>
        </w:rPr>
        <w:t xml:space="preserve"> smaller size when compared to both the words BUTTER and SPREAD – it is, by contrast, not superimposed on a white letter-shadowed background, thus, also further enhancing the visual accentuation of th</w:t>
      </w:r>
      <w:r w:rsidR="00BF17C2" w:rsidRPr="00EE3815">
        <w:rPr>
          <w:rFonts w:ascii="Arial" w:eastAsia="Arial" w:hAnsi="Arial" w:cs="Arial"/>
          <w:lang w:val="en-US" w:eastAsia="en-US"/>
        </w:rPr>
        <w:t>e word BUTTER on the</w:t>
      </w:r>
      <w:r w:rsidR="00B9081B" w:rsidRPr="00EE3815">
        <w:rPr>
          <w:rFonts w:ascii="Arial" w:eastAsia="Arial" w:hAnsi="Arial" w:cs="Arial"/>
          <w:lang w:val="en-US" w:eastAsia="en-US"/>
        </w:rPr>
        <w:t xml:space="preserve"> product label; (d) the words MODIFIED BUTTER</w:t>
      </w:r>
      <w:r w:rsidR="0038313D" w:rsidRPr="00EE3815">
        <w:rPr>
          <w:rFonts w:ascii="Arial" w:eastAsia="Arial" w:hAnsi="Arial" w:cs="Arial"/>
          <w:lang w:val="en-US" w:eastAsia="en-US"/>
        </w:rPr>
        <w:t>,</w:t>
      </w:r>
      <w:r w:rsidR="00B9081B" w:rsidRPr="00EE3815">
        <w:rPr>
          <w:rFonts w:ascii="Arial" w:eastAsia="Arial" w:hAnsi="Arial" w:cs="Arial"/>
          <w:lang w:val="en-US" w:eastAsia="en-US"/>
        </w:rPr>
        <w:t xml:space="preserve"> as it appears in the phrase MEDIUM FAT MODIFIED BUTTER SPREAD WITH SUNFLOWER AND PALM OILS, are not in bold and are much smaller dimensionally than the words BUTTER and SPREAD – that phrase appears in a condensed and neutral script and is imposed on a dominant colourful graphic;</w:t>
      </w:r>
      <w:r w:rsidR="00BF17C2" w:rsidRPr="00EE3815">
        <w:rPr>
          <w:rFonts w:ascii="Arial" w:eastAsia="Arial" w:hAnsi="Arial" w:cs="Arial"/>
          <w:lang w:val="en-US" w:eastAsia="en-US"/>
        </w:rPr>
        <w:t xml:space="preserve"> and,</w:t>
      </w:r>
      <w:r w:rsidR="00B9081B" w:rsidRPr="00EE3815">
        <w:rPr>
          <w:rFonts w:ascii="Arial" w:eastAsia="Arial" w:hAnsi="Arial" w:cs="Arial"/>
          <w:lang w:val="en-US" w:eastAsia="en-US"/>
        </w:rPr>
        <w:t xml:space="preserve"> (e) the words WITH SUNFLOWER AND PALM OILS, which define the composition of the product,</w:t>
      </w:r>
      <w:r w:rsidR="00B9081B" w:rsidRPr="00D01FEF">
        <w:rPr>
          <w:rFonts w:eastAsia="Arial"/>
          <w:vertAlign w:val="superscript"/>
          <w:lang w:val="en-US" w:eastAsia="en-US"/>
        </w:rPr>
        <w:footnoteReference w:id="3"/>
      </w:r>
      <w:r w:rsidR="00B9081B" w:rsidRPr="00EE3815">
        <w:rPr>
          <w:rFonts w:ascii="Arial" w:eastAsia="Arial" w:hAnsi="Arial" w:cs="Arial"/>
          <w:lang w:val="en-US" w:eastAsia="en-US"/>
        </w:rPr>
        <w:t xml:space="preserve"> are comparatively so small relative to the rest of the mark as to fade into obscurity. The cumulative consequence of all of these considerations is that they serve to under-accentuate the words MODIFIED BUTTER.</w:t>
      </w:r>
    </w:p>
    <w:p w:rsidR="00B9081B" w:rsidRPr="00D01FEF" w:rsidRDefault="00B9081B" w:rsidP="00B9081B">
      <w:pPr>
        <w:pStyle w:val="ListParagraph"/>
        <w:widowControl w:val="0"/>
        <w:autoSpaceDE w:val="0"/>
        <w:autoSpaceDN w:val="0"/>
        <w:ind w:left="0"/>
        <w:rPr>
          <w:rFonts w:ascii="Arial" w:eastAsia="Arial" w:hAnsi="Arial" w:cs="Arial"/>
          <w:lang w:val="en-US" w:eastAsia="en-US"/>
        </w:rPr>
      </w:pPr>
    </w:p>
    <w:p w:rsidR="00B9081B" w:rsidRPr="00EE3815" w:rsidRDefault="00EE3815" w:rsidP="00EE3815">
      <w:pPr>
        <w:widowControl w:val="0"/>
        <w:autoSpaceDE w:val="0"/>
        <w:autoSpaceDN w:val="0"/>
        <w:rPr>
          <w:rFonts w:ascii="Arial" w:eastAsia="Arial" w:hAnsi="Arial" w:cs="Arial"/>
          <w:lang w:val="en-US" w:eastAsia="en-US"/>
        </w:rPr>
      </w:pPr>
      <w:r w:rsidRPr="00D01FEF">
        <w:rPr>
          <w:rFonts w:ascii="Arial" w:eastAsia="Arial" w:hAnsi="Arial" w:cs="Arial"/>
          <w:lang w:val="en-US" w:eastAsia="en-US"/>
        </w:rPr>
        <w:t>[10]</w:t>
      </w:r>
      <w:r w:rsidRPr="00D01FEF">
        <w:rPr>
          <w:rFonts w:ascii="Arial" w:eastAsia="Arial" w:hAnsi="Arial" w:cs="Arial"/>
          <w:lang w:val="en-US" w:eastAsia="en-US"/>
        </w:rPr>
        <w:tab/>
      </w:r>
      <w:r w:rsidR="00B9081B" w:rsidRPr="00EE3815">
        <w:rPr>
          <w:rFonts w:ascii="Arial" w:eastAsia="Arial" w:hAnsi="Arial" w:cs="Arial"/>
          <w:lang w:val="en-US" w:eastAsia="en-US"/>
        </w:rPr>
        <w:t>The respondent accordingly contends that the product label, viewed as a whole, not only contravenes the statutory labelling prohibitions, but also misrepresents or is likely to create the misleading impression that the appellant’s modified butter product is in fact a butter product. The ineluctable conclusion, so the contention proceeds, is that the appellant’s product label was devised with exactly that misrepresentation and misleading impression in mind.</w:t>
      </w:r>
    </w:p>
    <w:p w:rsidR="00B9081B" w:rsidRPr="00D01FEF" w:rsidRDefault="00B9081B" w:rsidP="00B9081B">
      <w:pPr>
        <w:pStyle w:val="ListParagraph"/>
        <w:rPr>
          <w:rFonts w:ascii="Arial" w:eastAsia="Arial" w:hAnsi="Arial" w:cs="Arial"/>
          <w:lang w:val="en-US" w:eastAsia="en-US"/>
        </w:rPr>
      </w:pPr>
    </w:p>
    <w:p w:rsidR="00B9081B" w:rsidRPr="00EE3815" w:rsidRDefault="00EE3815" w:rsidP="00EE3815">
      <w:pPr>
        <w:widowControl w:val="0"/>
        <w:autoSpaceDE w:val="0"/>
        <w:autoSpaceDN w:val="0"/>
        <w:rPr>
          <w:rFonts w:ascii="Arial" w:eastAsia="Arial" w:hAnsi="Arial" w:cs="Arial"/>
          <w:lang w:val="en-US" w:eastAsia="en-US"/>
        </w:rPr>
      </w:pPr>
      <w:r w:rsidRPr="00D01FEF">
        <w:rPr>
          <w:rFonts w:ascii="Arial" w:eastAsia="Arial" w:hAnsi="Arial" w:cs="Arial"/>
          <w:lang w:val="en-US" w:eastAsia="en-US"/>
        </w:rPr>
        <w:t>[11]</w:t>
      </w:r>
      <w:r w:rsidRPr="00D01FEF">
        <w:rPr>
          <w:rFonts w:ascii="Arial" w:eastAsia="Arial" w:hAnsi="Arial" w:cs="Arial"/>
          <w:lang w:val="en-US" w:eastAsia="en-US"/>
        </w:rPr>
        <w:tab/>
      </w:r>
      <w:r w:rsidR="00B9081B" w:rsidRPr="00EE3815">
        <w:rPr>
          <w:rFonts w:ascii="Arial" w:eastAsia="Arial" w:hAnsi="Arial" w:cs="Arial"/>
          <w:lang w:val="en-US" w:eastAsia="en-US"/>
        </w:rPr>
        <w:t>Five questions arise for consideration: First, do the marks on the product label contravene the statutory labelling requirements? Second, does the appellant’s product label misrepresent, or is it likely to misrepresent and create a misleading impression regarding the respondent’s product</w:t>
      </w:r>
      <w:r w:rsidR="0038313D" w:rsidRPr="00EE3815">
        <w:rPr>
          <w:rFonts w:ascii="Arial" w:eastAsia="Arial" w:hAnsi="Arial" w:cs="Arial"/>
          <w:lang w:val="en-US" w:eastAsia="en-US"/>
        </w:rPr>
        <w:t>,</w:t>
      </w:r>
      <w:r w:rsidR="00B9081B" w:rsidRPr="00EE3815">
        <w:rPr>
          <w:rFonts w:ascii="Arial" w:eastAsia="Arial" w:hAnsi="Arial" w:cs="Arial"/>
          <w:lang w:val="en-US" w:eastAsia="en-US"/>
        </w:rPr>
        <w:t xml:space="preserve"> as a product of another nature,</w:t>
      </w:r>
      <w:r w:rsidR="00B418ED" w:rsidRPr="00EE3815">
        <w:rPr>
          <w:rFonts w:ascii="Arial" w:eastAsia="Arial" w:hAnsi="Arial" w:cs="Arial"/>
          <w:lang w:val="en-US" w:eastAsia="en-US"/>
        </w:rPr>
        <w:t xml:space="preserve"> composition,</w:t>
      </w:r>
      <w:r w:rsidR="00B9081B" w:rsidRPr="00EE3815">
        <w:rPr>
          <w:rFonts w:ascii="Arial" w:eastAsia="Arial" w:hAnsi="Arial" w:cs="Arial"/>
          <w:lang w:val="en-US" w:eastAsia="en-US"/>
        </w:rPr>
        <w:t xml:space="preserve"> class or identity? Third, if the appellant is found to trade in contravention of these statutory prohibitions, does that trade constitute unlawful competition? Fourth, did the respondent have an alternative remedy available to it in lieu of this application? Fifth, was the Minister of Agriculture, Land Reform and Rural Development (the Minister) a necessary party and should she have been joined as a party to the suit?   </w:t>
      </w:r>
    </w:p>
    <w:p w:rsidR="00B9081B" w:rsidRPr="00D01FEF" w:rsidRDefault="00B9081B" w:rsidP="00B9081B">
      <w:pPr>
        <w:widowControl w:val="0"/>
        <w:autoSpaceDE w:val="0"/>
        <w:autoSpaceDN w:val="0"/>
        <w:rPr>
          <w:rFonts w:ascii="Arial" w:eastAsia="Arial" w:hAnsi="Arial" w:cs="Arial"/>
          <w:i/>
          <w:iCs/>
          <w:lang w:val="en-US" w:eastAsia="en-US"/>
        </w:rPr>
      </w:pPr>
    </w:p>
    <w:p w:rsidR="00B9081B" w:rsidRPr="00D01FEF" w:rsidRDefault="00B9081B" w:rsidP="00B9081B">
      <w:pPr>
        <w:widowControl w:val="0"/>
        <w:autoSpaceDE w:val="0"/>
        <w:autoSpaceDN w:val="0"/>
        <w:rPr>
          <w:rFonts w:ascii="Arial" w:eastAsia="Arial" w:hAnsi="Arial" w:cs="Arial"/>
          <w:i/>
          <w:iCs/>
          <w:lang w:val="en-US" w:eastAsia="en-US"/>
        </w:rPr>
      </w:pPr>
      <w:r w:rsidRPr="00D01FEF">
        <w:rPr>
          <w:rFonts w:ascii="Arial" w:eastAsia="Arial" w:hAnsi="Arial" w:cs="Arial"/>
          <w:i/>
          <w:iCs/>
          <w:lang w:val="en-US" w:eastAsia="en-US"/>
        </w:rPr>
        <w:t>As to the first:</w:t>
      </w:r>
    </w:p>
    <w:p w:rsidR="00B9081B" w:rsidRPr="00EE3815" w:rsidRDefault="00EE3815" w:rsidP="00EE3815">
      <w:pPr>
        <w:widowControl w:val="0"/>
        <w:autoSpaceDE w:val="0"/>
        <w:autoSpaceDN w:val="0"/>
        <w:rPr>
          <w:rFonts w:ascii="Arial" w:eastAsia="Arial" w:hAnsi="Arial" w:cs="Arial"/>
          <w:lang w:val="en-US" w:eastAsia="en-US"/>
        </w:rPr>
      </w:pPr>
      <w:r w:rsidRPr="00D01FEF">
        <w:rPr>
          <w:rFonts w:ascii="Arial" w:eastAsia="Arial" w:hAnsi="Arial" w:cs="Arial"/>
          <w:lang w:val="en-US" w:eastAsia="en-US"/>
        </w:rPr>
        <w:t>[12]</w:t>
      </w:r>
      <w:r w:rsidRPr="00D01FEF">
        <w:rPr>
          <w:rFonts w:ascii="Arial" w:eastAsia="Arial" w:hAnsi="Arial" w:cs="Arial"/>
          <w:lang w:val="en-US" w:eastAsia="en-US"/>
        </w:rPr>
        <w:tab/>
      </w:r>
      <w:r w:rsidR="00B9081B" w:rsidRPr="00EE3815">
        <w:rPr>
          <w:rFonts w:ascii="Arial" w:eastAsia="Arial" w:hAnsi="Arial" w:cs="Arial"/>
          <w:lang w:val="en-US" w:eastAsia="en-US"/>
        </w:rPr>
        <w:t>Sections 3(1)</w:t>
      </w:r>
      <w:r w:rsidR="00B9081B" w:rsidRPr="00EE3815">
        <w:rPr>
          <w:rFonts w:ascii="Arial" w:eastAsia="Arial" w:hAnsi="Arial" w:cs="Arial"/>
          <w:i/>
          <w:lang w:val="en-US" w:eastAsia="en-US"/>
        </w:rPr>
        <w:t xml:space="preserve">(a)(iii) </w:t>
      </w:r>
      <w:r w:rsidR="00B9081B" w:rsidRPr="00EE3815">
        <w:rPr>
          <w:rFonts w:ascii="Arial" w:eastAsia="Arial" w:hAnsi="Arial" w:cs="Arial"/>
          <w:lang w:val="en-US" w:eastAsia="en-US"/>
        </w:rPr>
        <w:t xml:space="preserve">and </w:t>
      </w:r>
      <w:r w:rsidR="00B9081B" w:rsidRPr="00EE3815">
        <w:rPr>
          <w:rFonts w:ascii="Arial" w:eastAsia="Arial" w:hAnsi="Arial" w:cs="Arial"/>
          <w:i/>
          <w:lang w:val="en-US" w:eastAsia="en-US"/>
        </w:rPr>
        <w:t xml:space="preserve">(v) </w:t>
      </w:r>
      <w:r w:rsidR="00B9081B" w:rsidRPr="00EE3815">
        <w:rPr>
          <w:rFonts w:ascii="Arial" w:eastAsia="Arial" w:hAnsi="Arial" w:cs="Arial"/>
          <w:lang w:val="en-US" w:eastAsia="en-US"/>
        </w:rPr>
        <w:t xml:space="preserve">of the Act empower the Minister to prohibit the sale </w:t>
      </w:r>
      <w:r w:rsidR="00B9081B" w:rsidRPr="00EE3815">
        <w:rPr>
          <w:rFonts w:ascii="Arial" w:eastAsia="Arial" w:hAnsi="Arial" w:cs="Arial"/>
          <w:lang w:val="en-US" w:eastAsia="en-US"/>
        </w:rPr>
        <w:lastRenderedPageBreak/>
        <w:t>of a product, unless the labelling of that product complies with the prescribed requirements. In terms of regulation 2(1)</w:t>
      </w:r>
      <w:r w:rsidR="00B9081B" w:rsidRPr="00EE3815">
        <w:rPr>
          <w:rFonts w:ascii="Arial" w:eastAsia="Arial" w:hAnsi="Arial" w:cs="Arial"/>
          <w:i/>
          <w:lang w:val="en-US" w:eastAsia="en-US"/>
        </w:rPr>
        <w:t>(d)</w:t>
      </w:r>
      <w:r w:rsidR="00B9081B" w:rsidRPr="00EE3815">
        <w:rPr>
          <w:rFonts w:ascii="Arial" w:eastAsia="Arial" w:hAnsi="Arial" w:cs="Arial"/>
          <w:lang w:val="en-US" w:eastAsia="en-US"/>
        </w:rPr>
        <w:t>, ‘[n]o person shall sell a dairy product or an imitation dairy product in the Republic of South Africa . . . unless a container and outer container in which such product is packed, is marked with particulars and in a manner set out in regulations 26 to 31’. And, in terms of regulation 26(7)</w:t>
      </w:r>
      <w:r w:rsidR="00B9081B" w:rsidRPr="00EE3815">
        <w:rPr>
          <w:rFonts w:ascii="Arial" w:eastAsia="Arial" w:hAnsi="Arial" w:cs="Arial"/>
          <w:i/>
          <w:lang w:val="en-US" w:eastAsia="en-US"/>
        </w:rPr>
        <w:t>(a)</w:t>
      </w:r>
      <w:r w:rsidR="00B9081B" w:rsidRPr="00EE3815">
        <w:rPr>
          <w:rFonts w:ascii="Arial" w:eastAsia="Arial" w:hAnsi="Arial" w:cs="Arial"/>
          <w:lang w:val="en-US" w:eastAsia="en-US"/>
        </w:rPr>
        <w:t>, ‘[n]o word or expression [on a label] may be bigger than the class designation unless it is . . . a registered trade mark or trade name’.</w:t>
      </w:r>
    </w:p>
    <w:p w:rsidR="00B9081B" w:rsidRPr="00D01FEF" w:rsidRDefault="00B9081B" w:rsidP="00B9081B">
      <w:pPr>
        <w:pStyle w:val="ListParagraph"/>
        <w:widowControl w:val="0"/>
        <w:autoSpaceDE w:val="0"/>
        <w:autoSpaceDN w:val="0"/>
        <w:ind w:left="0"/>
        <w:rPr>
          <w:rFonts w:ascii="Arial" w:eastAsia="Arial" w:hAnsi="Arial" w:cs="Arial"/>
          <w:lang w:val="en-US" w:eastAsia="en-US"/>
        </w:rPr>
      </w:pPr>
    </w:p>
    <w:p w:rsidR="00B9081B" w:rsidRPr="00EE3815" w:rsidRDefault="00EE3815" w:rsidP="00EE3815">
      <w:pPr>
        <w:widowControl w:val="0"/>
        <w:autoSpaceDE w:val="0"/>
        <w:autoSpaceDN w:val="0"/>
        <w:rPr>
          <w:rFonts w:ascii="Arial" w:eastAsia="Arial" w:hAnsi="Arial" w:cs="Arial"/>
          <w:lang w:val="en-US" w:eastAsia="en-US"/>
        </w:rPr>
      </w:pPr>
      <w:r w:rsidRPr="00D01FEF">
        <w:rPr>
          <w:rFonts w:ascii="Arial" w:eastAsia="Arial" w:hAnsi="Arial" w:cs="Arial"/>
          <w:lang w:val="en-US" w:eastAsia="en-US"/>
        </w:rPr>
        <w:t>[13]</w:t>
      </w:r>
      <w:r w:rsidRPr="00D01FEF">
        <w:rPr>
          <w:rFonts w:ascii="Arial" w:eastAsia="Arial" w:hAnsi="Arial" w:cs="Arial"/>
          <w:lang w:val="en-US" w:eastAsia="en-US"/>
        </w:rPr>
        <w:tab/>
      </w:r>
      <w:r w:rsidR="00B9081B" w:rsidRPr="00EE3815">
        <w:rPr>
          <w:rFonts w:ascii="Arial" w:eastAsia="Arial" w:hAnsi="Arial" w:cs="Arial"/>
          <w:lang w:val="en-US" w:eastAsia="en-US"/>
        </w:rPr>
        <w:t xml:space="preserve">The regulations define: </w:t>
      </w:r>
    </w:p>
    <w:p w:rsidR="00B9081B" w:rsidRPr="00D01FEF" w:rsidRDefault="00EE3815" w:rsidP="00EE3815">
      <w:pPr>
        <w:widowControl w:val="0"/>
        <w:autoSpaceDE w:val="0"/>
        <w:autoSpaceDN w:val="0"/>
        <w:contextualSpacing/>
        <w:rPr>
          <w:rFonts w:ascii="Arial" w:eastAsia="Arial" w:hAnsi="Arial" w:cs="Arial"/>
          <w:lang w:val="en-US" w:eastAsia="en-US"/>
        </w:rPr>
      </w:pPr>
      <w:r w:rsidRPr="00D01FEF">
        <w:rPr>
          <w:rFonts w:ascii="Arial" w:eastAsia="Arial" w:hAnsi="Arial" w:cs="Arial"/>
          <w:lang w:val="en-US" w:eastAsia="en-US"/>
        </w:rPr>
        <w:t>(i)</w:t>
      </w:r>
      <w:r w:rsidRPr="00D01FEF">
        <w:rPr>
          <w:rFonts w:ascii="Arial" w:eastAsia="Arial" w:hAnsi="Arial" w:cs="Arial"/>
          <w:lang w:val="en-US" w:eastAsia="en-US"/>
        </w:rPr>
        <w:tab/>
      </w:r>
      <w:r w:rsidR="00B9081B" w:rsidRPr="00D01FEF">
        <w:rPr>
          <w:rFonts w:ascii="Arial" w:eastAsia="Arial" w:hAnsi="Arial" w:cs="Arial"/>
          <w:lang w:val="en-US" w:eastAsia="en-US"/>
        </w:rPr>
        <w:t xml:space="preserve">‘class designation’ as ‘the type of dairy product . . . as specified by these regulations’; </w:t>
      </w:r>
    </w:p>
    <w:p w:rsidR="00B9081B" w:rsidRPr="00D01FEF" w:rsidRDefault="00EE3815" w:rsidP="00EE3815">
      <w:pPr>
        <w:widowControl w:val="0"/>
        <w:autoSpaceDE w:val="0"/>
        <w:autoSpaceDN w:val="0"/>
        <w:contextualSpacing/>
        <w:rPr>
          <w:rFonts w:ascii="Arial" w:eastAsia="Arial" w:hAnsi="Arial" w:cs="Arial"/>
          <w:lang w:val="en-US" w:eastAsia="en-US"/>
        </w:rPr>
      </w:pPr>
      <w:r w:rsidRPr="00D01FEF">
        <w:rPr>
          <w:rFonts w:ascii="Arial" w:eastAsia="Arial" w:hAnsi="Arial" w:cs="Arial"/>
          <w:lang w:val="en-US" w:eastAsia="en-US"/>
        </w:rPr>
        <w:t>(ii)</w:t>
      </w:r>
      <w:r w:rsidRPr="00D01FEF">
        <w:rPr>
          <w:rFonts w:ascii="Arial" w:eastAsia="Arial" w:hAnsi="Arial" w:cs="Arial"/>
          <w:lang w:val="en-US" w:eastAsia="en-US"/>
        </w:rPr>
        <w:tab/>
      </w:r>
      <w:r w:rsidR="00B9081B" w:rsidRPr="00D01FEF">
        <w:rPr>
          <w:rFonts w:ascii="Arial" w:eastAsia="Arial" w:hAnsi="Arial" w:cs="Arial"/>
          <w:lang w:val="en-US" w:eastAsia="en-US"/>
        </w:rPr>
        <w:t xml:space="preserve">‘dairy product’ as ‘a primary dairy product, a composite dairy product or a modified dairy product’; </w:t>
      </w:r>
    </w:p>
    <w:p w:rsidR="00B9081B" w:rsidRPr="00D01FEF" w:rsidRDefault="00EE3815" w:rsidP="00EE3815">
      <w:pPr>
        <w:widowControl w:val="0"/>
        <w:autoSpaceDE w:val="0"/>
        <w:autoSpaceDN w:val="0"/>
        <w:contextualSpacing/>
        <w:rPr>
          <w:rFonts w:ascii="Arial" w:eastAsia="Arial" w:hAnsi="Arial" w:cs="Arial"/>
          <w:lang w:val="en-US" w:eastAsia="en-US"/>
        </w:rPr>
      </w:pPr>
      <w:r w:rsidRPr="00D01FEF">
        <w:rPr>
          <w:rFonts w:ascii="Arial" w:eastAsia="Arial" w:hAnsi="Arial" w:cs="Arial"/>
          <w:lang w:val="en-US" w:eastAsia="en-US"/>
        </w:rPr>
        <w:t>(iii)</w:t>
      </w:r>
      <w:r w:rsidRPr="00D01FEF">
        <w:rPr>
          <w:rFonts w:ascii="Arial" w:eastAsia="Arial" w:hAnsi="Arial" w:cs="Arial"/>
          <w:lang w:val="en-US" w:eastAsia="en-US"/>
        </w:rPr>
        <w:tab/>
      </w:r>
      <w:r w:rsidR="00B9081B" w:rsidRPr="00D01FEF">
        <w:rPr>
          <w:rFonts w:ascii="Arial" w:eastAsia="Arial" w:hAnsi="Arial" w:cs="Arial"/>
          <w:lang w:val="en-US" w:eastAsia="en-US"/>
        </w:rPr>
        <w:t xml:space="preserve">‘imitation dairy product’ as ‘any product other than a dairy product or a fat spread, that is of animal or plant origin and in general appearance, presentation and intended use corresponds to a dairy product’; </w:t>
      </w:r>
    </w:p>
    <w:p w:rsidR="00B9081B" w:rsidRPr="00D01FEF" w:rsidRDefault="00EE3815" w:rsidP="00EE3815">
      <w:pPr>
        <w:widowControl w:val="0"/>
        <w:autoSpaceDE w:val="0"/>
        <w:autoSpaceDN w:val="0"/>
        <w:contextualSpacing/>
        <w:rPr>
          <w:rFonts w:ascii="Arial" w:eastAsia="Arial" w:hAnsi="Arial" w:cs="Arial"/>
          <w:lang w:val="en-US" w:eastAsia="en-US"/>
        </w:rPr>
      </w:pPr>
      <w:r w:rsidRPr="00D01FEF">
        <w:rPr>
          <w:rFonts w:ascii="Arial" w:eastAsia="Arial" w:hAnsi="Arial" w:cs="Arial"/>
          <w:lang w:val="en-US" w:eastAsia="en-US"/>
        </w:rPr>
        <w:t>(iv)</w:t>
      </w:r>
      <w:r w:rsidRPr="00D01FEF">
        <w:rPr>
          <w:rFonts w:ascii="Arial" w:eastAsia="Arial" w:hAnsi="Arial" w:cs="Arial"/>
          <w:lang w:val="en-US" w:eastAsia="en-US"/>
        </w:rPr>
        <w:tab/>
      </w:r>
      <w:r w:rsidR="00B9081B" w:rsidRPr="00D01FEF">
        <w:rPr>
          <w:rFonts w:ascii="Arial" w:eastAsia="Arial" w:hAnsi="Arial" w:cs="Arial"/>
          <w:lang w:val="en-US" w:eastAsia="en-US"/>
        </w:rPr>
        <w:t xml:space="preserve">‘primary dairy product’ as ‘milk or a product that has been derived or manufactured solely from milk’; and </w:t>
      </w:r>
    </w:p>
    <w:p w:rsidR="00B9081B" w:rsidRPr="00D01FEF" w:rsidRDefault="00EE3815" w:rsidP="00EE3815">
      <w:pPr>
        <w:widowControl w:val="0"/>
        <w:autoSpaceDE w:val="0"/>
        <w:autoSpaceDN w:val="0"/>
        <w:contextualSpacing/>
        <w:rPr>
          <w:rFonts w:ascii="Arial" w:eastAsia="Arial" w:hAnsi="Arial" w:cs="Arial"/>
          <w:lang w:val="en-US" w:eastAsia="en-US"/>
        </w:rPr>
      </w:pPr>
      <w:r w:rsidRPr="00D01FEF">
        <w:rPr>
          <w:rFonts w:ascii="Arial" w:eastAsia="Arial" w:hAnsi="Arial" w:cs="Arial"/>
          <w:lang w:val="en-US" w:eastAsia="en-US"/>
        </w:rPr>
        <w:t>(v)</w:t>
      </w:r>
      <w:r w:rsidRPr="00D01FEF">
        <w:rPr>
          <w:rFonts w:ascii="Arial" w:eastAsia="Arial" w:hAnsi="Arial" w:cs="Arial"/>
          <w:lang w:val="en-US" w:eastAsia="en-US"/>
        </w:rPr>
        <w:tab/>
      </w:r>
      <w:r w:rsidR="00B9081B" w:rsidRPr="00D01FEF">
        <w:rPr>
          <w:rFonts w:ascii="Arial" w:eastAsia="Arial" w:hAnsi="Arial" w:cs="Arial"/>
          <w:lang w:val="en-US" w:eastAsia="en-US"/>
        </w:rPr>
        <w:t xml:space="preserve">‘modified dairy product’ as ‘a product that, in so far as it relates to general appearance, presentation and intended use, corresponds to a primary dairy product, and of which not more than 50 per cent of the fat content, protein content and/or carbohydrate content has respectively been obtained from a source other than a primary dairy product.’ </w:t>
      </w:r>
    </w:p>
    <w:p w:rsidR="00B9081B" w:rsidRPr="00D01FEF" w:rsidRDefault="00B9081B" w:rsidP="00B9081B">
      <w:pPr>
        <w:widowControl w:val="0"/>
        <w:autoSpaceDE w:val="0"/>
        <w:autoSpaceDN w:val="0"/>
        <w:rPr>
          <w:rFonts w:ascii="Arial" w:eastAsia="Arial" w:hAnsi="Arial" w:cs="Arial"/>
          <w:lang w:val="en-US" w:eastAsia="en-US"/>
        </w:rPr>
      </w:pPr>
    </w:p>
    <w:p w:rsidR="00B9081B" w:rsidRPr="00EE3815" w:rsidRDefault="00EE3815" w:rsidP="00EE3815">
      <w:pPr>
        <w:widowControl w:val="0"/>
        <w:autoSpaceDE w:val="0"/>
        <w:autoSpaceDN w:val="0"/>
        <w:rPr>
          <w:rFonts w:ascii="Arial" w:eastAsia="Arial" w:hAnsi="Arial" w:cs="Arial"/>
          <w:lang w:val="en-US" w:eastAsia="en-US"/>
        </w:rPr>
      </w:pPr>
      <w:r w:rsidRPr="00D01FEF">
        <w:rPr>
          <w:rFonts w:ascii="Arial" w:eastAsia="Arial" w:hAnsi="Arial" w:cs="Arial"/>
          <w:lang w:val="en-US" w:eastAsia="en-US"/>
        </w:rPr>
        <w:t>[14]</w:t>
      </w:r>
      <w:r w:rsidRPr="00D01FEF">
        <w:rPr>
          <w:rFonts w:ascii="Arial" w:eastAsia="Arial" w:hAnsi="Arial" w:cs="Arial"/>
          <w:lang w:val="en-US" w:eastAsia="en-US"/>
        </w:rPr>
        <w:tab/>
      </w:r>
      <w:r w:rsidR="00B9081B" w:rsidRPr="00EE3815">
        <w:rPr>
          <w:rFonts w:ascii="Arial" w:eastAsia="Arial" w:hAnsi="Arial" w:cs="Arial"/>
          <w:lang w:val="en-US" w:eastAsia="en-US"/>
        </w:rPr>
        <w:t>It is not in dispute that the class designation of the appellant’s product is ‘modified butter’, not ‘butter’, and the words STORK BUTTER SPREAD and the words BUTTER SPREAD, individually or compositely, are not registered trade marks. The appellant attempts to suggest that, where regulation 26(7)</w:t>
      </w:r>
      <w:r w:rsidR="00B9081B" w:rsidRPr="00EE3815">
        <w:rPr>
          <w:rFonts w:ascii="Arial" w:eastAsia="Arial" w:hAnsi="Arial" w:cs="Arial"/>
          <w:i/>
          <w:lang w:val="en-US" w:eastAsia="en-US"/>
        </w:rPr>
        <w:t xml:space="preserve">(a) </w:t>
      </w:r>
      <w:r w:rsidR="00B9081B" w:rsidRPr="00EE3815">
        <w:rPr>
          <w:rFonts w:ascii="Arial" w:eastAsia="Arial" w:hAnsi="Arial" w:cs="Arial"/>
          <w:lang w:val="en-US" w:eastAsia="en-US"/>
        </w:rPr>
        <w:t xml:space="preserve">speaks of ‘a registered trade mark or trade name’, it distinguishes between a registered trade mark, on the one hand, and a trade name, on the other. It accordingly contends that STORK BUTTER SPREAD is a trade name, not a registered trade mark. </w:t>
      </w:r>
    </w:p>
    <w:p w:rsidR="00B9081B" w:rsidRPr="00D01FEF" w:rsidRDefault="00B9081B" w:rsidP="00B9081B">
      <w:pPr>
        <w:pStyle w:val="ListParagraph"/>
        <w:widowControl w:val="0"/>
        <w:autoSpaceDE w:val="0"/>
        <w:autoSpaceDN w:val="0"/>
        <w:ind w:left="0"/>
        <w:rPr>
          <w:rFonts w:ascii="Arial" w:eastAsia="Arial" w:hAnsi="Arial" w:cs="Arial"/>
          <w:lang w:val="en-US" w:eastAsia="en-US"/>
        </w:rPr>
      </w:pPr>
    </w:p>
    <w:p w:rsidR="00B9081B" w:rsidRPr="00EE3815" w:rsidRDefault="00EE3815" w:rsidP="00EE3815">
      <w:pPr>
        <w:widowControl w:val="0"/>
        <w:autoSpaceDE w:val="0"/>
        <w:autoSpaceDN w:val="0"/>
        <w:rPr>
          <w:rFonts w:ascii="Arial" w:eastAsia="Arial" w:hAnsi="Arial" w:cs="Arial"/>
          <w:lang w:val="en-US" w:eastAsia="en-US"/>
        </w:rPr>
      </w:pPr>
      <w:r w:rsidRPr="00D01FEF">
        <w:rPr>
          <w:rFonts w:ascii="Arial" w:eastAsia="Arial" w:hAnsi="Arial" w:cs="Arial"/>
          <w:lang w:val="en-US" w:eastAsia="en-US"/>
        </w:rPr>
        <w:t>[15]</w:t>
      </w:r>
      <w:r w:rsidRPr="00D01FEF">
        <w:rPr>
          <w:rFonts w:ascii="Arial" w:eastAsia="Arial" w:hAnsi="Arial" w:cs="Arial"/>
          <w:lang w:val="en-US" w:eastAsia="en-US"/>
        </w:rPr>
        <w:tab/>
      </w:r>
      <w:r w:rsidR="00B9081B" w:rsidRPr="00EE3815">
        <w:rPr>
          <w:rFonts w:ascii="Arial" w:eastAsia="Arial" w:hAnsi="Arial" w:cs="Arial"/>
          <w:lang w:val="en-US" w:eastAsia="en-US"/>
        </w:rPr>
        <w:t xml:space="preserve">But, that contention is not supported by the evidence. First, the appellant had applied to register STORK BUTTER SPREAD as a trade mark for use in respect of </w:t>
      </w:r>
      <w:r w:rsidR="00B9081B" w:rsidRPr="00EE3815">
        <w:rPr>
          <w:rFonts w:ascii="Arial" w:eastAsia="Arial" w:hAnsi="Arial" w:cs="Arial"/>
          <w:lang w:val="en-US" w:eastAsia="en-US"/>
        </w:rPr>
        <w:lastRenderedPageBreak/>
        <w:t>certain goods, ie as a mark used ‘to indicate the origin of the goods in connection with which it is used’.</w:t>
      </w:r>
      <w:r w:rsidR="00B9081B" w:rsidRPr="00422E1A">
        <w:rPr>
          <w:rFonts w:eastAsia="Arial"/>
          <w:vertAlign w:val="superscript"/>
          <w:lang w:val="en-US" w:eastAsia="en-US"/>
        </w:rPr>
        <w:footnoteReference w:id="4"/>
      </w:r>
      <w:r w:rsidR="00B9081B" w:rsidRPr="00EE3815">
        <w:rPr>
          <w:rFonts w:ascii="Arial" w:eastAsia="Arial" w:hAnsi="Arial" w:cs="Arial"/>
          <w:lang w:val="en-US" w:eastAsia="en-US"/>
        </w:rPr>
        <w:t xml:space="preserve"> Second, in order to obtain a clearance for its product label, the appellant made a declaration to NejahMogul Technologies and Agric Services (NejahMogul) (the assignee appointed in terms</w:t>
      </w:r>
      <w:r w:rsidR="00BF17C2" w:rsidRPr="00EE3815">
        <w:rPr>
          <w:rFonts w:ascii="Arial" w:eastAsia="Arial" w:hAnsi="Arial" w:cs="Arial"/>
          <w:lang w:val="en-US" w:eastAsia="en-US"/>
        </w:rPr>
        <w:t xml:space="preserve"> of the r</w:t>
      </w:r>
      <w:r w:rsidR="00B9081B" w:rsidRPr="00EE3815">
        <w:rPr>
          <w:rFonts w:ascii="Arial" w:eastAsia="Arial" w:hAnsi="Arial" w:cs="Arial"/>
          <w:lang w:val="en-US" w:eastAsia="en-US"/>
        </w:rPr>
        <w:t xml:space="preserve">egulations as a product label compliance inspector) that STORK BUTTER SPREAD is a trade mark. Third, in response to the respondent’s demand </w:t>
      </w:r>
      <w:r w:rsidR="00AC1287" w:rsidRPr="00EE3815">
        <w:rPr>
          <w:rFonts w:ascii="Arial" w:eastAsia="Arial" w:hAnsi="Arial" w:cs="Arial"/>
          <w:lang w:val="en-US" w:eastAsia="en-US"/>
        </w:rPr>
        <w:t xml:space="preserve">issued </w:t>
      </w:r>
      <w:r w:rsidR="00B9081B" w:rsidRPr="00EE3815">
        <w:rPr>
          <w:rFonts w:ascii="Arial" w:eastAsia="Arial" w:hAnsi="Arial" w:cs="Arial"/>
          <w:lang w:val="en-US" w:eastAsia="en-US"/>
        </w:rPr>
        <w:t>before the launch of the application, the appellant’s attorney recorded that the ‘complaint is directed at our client’s STORK BUTTER SPREAD logo, which is a trade mark of our client. The trade mark complies with sub-regulation 26(7)</w:t>
      </w:r>
      <w:r w:rsidR="00B9081B" w:rsidRPr="00EE3815">
        <w:rPr>
          <w:rFonts w:ascii="Arial" w:eastAsia="Arial" w:hAnsi="Arial" w:cs="Arial"/>
          <w:i/>
          <w:lang w:val="en-US" w:eastAsia="en-US"/>
        </w:rPr>
        <w:t>(a)</w:t>
      </w:r>
      <w:r w:rsidR="00B9081B" w:rsidRPr="00EE3815">
        <w:rPr>
          <w:rFonts w:ascii="Arial" w:eastAsia="Arial" w:hAnsi="Arial" w:cs="Arial"/>
          <w:lang w:val="en-US" w:eastAsia="en-US"/>
        </w:rPr>
        <w:t xml:space="preserve"> of the Regulations’.</w:t>
      </w:r>
    </w:p>
    <w:p w:rsidR="00B9081B" w:rsidRPr="00D01FEF" w:rsidRDefault="00B9081B" w:rsidP="00B9081B">
      <w:pPr>
        <w:ind w:left="720"/>
        <w:contextualSpacing/>
        <w:rPr>
          <w:rFonts w:ascii="Arial" w:eastAsia="Arial" w:hAnsi="Arial" w:cs="Arial"/>
          <w:lang w:val="en-US" w:eastAsia="en-US"/>
        </w:rPr>
      </w:pPr>
    </w:p>
    <w:p w:rsidR="00B9081B" w:rsidRPr="00D01FEF" w:rsidRDefault="00EE3815" w:rsidP="00EE3815">
      <w:pPr>
        <w:widowControl w:val="0"/>
        <w:autoSpaceDE w:val="0"/>
        <w:autoSpaceDN w:val="0"/>
        <w:contextualSpacing/>
        <w:rPr>
          <w:rFonts w:ascii="Arial" w:eastAsia="Arial" w:hAnsi="Arial" w:cs="Arial"/>
          <w:lang w:val="en-US" w:eastAsia="en-US"/>
        </w:rPr>
      </w:pPr>
      <w:r w:rsidRPr="00D01FEF">
        <w:rPr>
          <w:rFonts w:ascii="Arial" w:eastAsia="Arial" w:hAnsi="Arial" w:cs="Arial"/>
          <w:lang w:val="en-US" w:eastAsia="en-US"/>
        </w:rPr>
        <w:t>[16]</w:t>
      </w:r>
      <w:r w:rsidRPr="00D01FEF">
        <w:rPr>
          <w:rFonts w:ascii="Arial" w:eastAsia="Arial" w:hAnsi="Arial" w:cs="Arial"/>
          <w:lang w:val="en-US" w:eastAsia="en-US"/>
        </w:rPr>
        <w:tab/>
      </w:r>
      <w:r w:rsidR="00B9081B" w:rsidRPr="00D01FEF">
        <w:rPr>
          <w:rFonts w:ascii="Arial" w:eastAsia="Arial" w:hAnsi="Arial" w:cs="Arial"/>
          <w:lang w:val="en-US" w:eastAsia="en-US"/>
        </w:rPr>
        <w:t xml:space="preserve">Thereafter, the appellant expressed the view in its answering affidavit, ‘[w]hether or not STORK BUTTER SPREAD is a registered trade mark is . . . wholly irrelevant’. Significantly, it did not state that STORK BUTTER SPREAD is its trade name. Then, after the respondent’s replying affidavit had been filed, the appellant proceeded (perhaps impermissibly so) to file a fourth affidavit, described as a ‘supplementary answering affidavit’ in which it said, ‘[f]or the avoidance of all doubt, I submit that “STORK BUTTER SPREAD” is utilised as a trade name’. But that submission, being just that, lacked a proper factual foundation. And, if anything, it was contradicted by what had gone before. </w:t>
      </w:r>
    </w:p>
    <w:p w:rsidR="00B9081B" w:rsidRPr="00D01FEF" w:rsidRDefault="00B9081B" w:rsidP="00B9081B">
      <w:pPr>
        <w:ind w:left="720"/>
        <w:contextualSpacing/>
        <w:rPr>
          <w:rFonts w:ascii="Arial" w:eastAsia="Arial" w:hAnsi="Arial" w:cs="Arial"/>
          <w:lang w:val="en-US" w:eastAsia="en-US"/>
        </w:rPr>
      </w:pPr>
    </w:p>
    <w:p w:rsidR="00B9081B" w:rsidRPr="00D01FEF" w:rsidRDefault="00EE3815" w:rsidP="00EE3815">
      <w:pPr>
        <w:widowControl w:val="0"/>
        <w:autoSpaceDE w:val="0"/>
        <w:autoSpaceDN w:val="0"/>
        <w:contextualSpacing/>
        <w:rPr>
          <w:rFonts w:ascii="Arial" w:eastAsia="Arial" w:hAnsi="Arial" w:cs="Arial"/>
          <w:lang w:val="en-US" w:eastAsia="en-US"/>
        </w:rPr>
      </w:pPr>
      <w:r w:rsidRPr="00D01FEF">
        <w:rPr>
          <w:rFonts w:ascii="Arial" w:eastAsia="Arial" w:hAnsi="Arial" w:cs="Arial"/>
          <w:lang w:val="en-US" w:eastAsia="en-US"/>
        </w:rPr>
        <w:t>[17]</w:t>
      </w:r>
      <w:r w:rsidRPr="00D01FEF">
        <w:rPr>
          <w:rFonts w:ascii="Arial" w:eastAsia="Arial" w:hAnsi="Arial" w:cs="Arial"/>
          <w:lang w:val="en-US" w:eastAsia="en-US"/>
        </w:rPr>
        <w:tab/>
      </w:r>
      <w:r w:rsidR="00B9081B" w:rsidRPr="00D01FEF">
        <w:rPr>
          <w:rFonts w:ascii="Arial" w:eastAsia="Arial" w:hAnsi="Arial" w:cs="Arial"/>
          <w:lang w:val="en-US" w:eastAsia="en-US"/>
        </w:rPr>
        <w:t>It is in this context that the appellant argues (relying solely on the fourth affidavit and completely ignoring what went before) that STORK BUTTER SPREAD is not a trade mark but a trade name and, therefore, that it does not run afoul of regulation 26(7)</w:t>
      </w:r>
      <w:r w:rsidR="00B9081B" w:rsidRPr="00D01FEF">
        <w:rPr>
          <w:rFonts w:ascii="Arial" w:eastAsia="Arial" w:hAnsi="Arial" w:cs="Arial"/>
          <w:i/>
          <w:lang w:val="en-US" w:eastAsia="en-US"/>
        </w:rPr>
        <w:t>(a)</w:t>
      </w:r>
      <w:r w:rsidR="00B9081B" w:rsidRPr="00D01FEF">
        <w:rPr>
          <w:rFonts w:ascii="Arial" w:eastAsia="Arial" w:hAnsi="Arial" w:cs="Arial"/>
          <w:lang w:val="en-US" w:eastAsia="en-US"/>
        </w:rPr>
        <w:t>.</w:t>
      </w:r>
      <w:r w:rsidR="00B9081B" w:rsidRPr="00D01FEF">
        <w:rPr>
          <w:rFonts w:ascii="Arial" w:eastAsia="Arial" w:hAnsi="Arial" w:cs="Arial"/>
          <w:sz w:val="22"/>
          <w:szCs w:val="22"/>
          <w:lang w:val="en-US" w:eastAsia="en-US"/>
        </w:rPr>
        <w:t xml:space="preserve"> </w:t>
      </w:r>
      <w:r w:rsidR="00B9081B" w:rsidRPr="00D01FEF">
        <w:rPr>
          <w:rFonts w:ascii="Arial" w:eastAsia="Arial" w:hAnsi="Arial" w:cs="Arial"/>
          <w:lang w:val="en-US" w:eastAsia="en-US"/>
        </w:rPr>
        <w:t xml:space="preserve">In that, the appellant should not be allowed to approbate and reprobate. Nor should it be permitted that easily to escape the consequences of the representations made by it. The appellant’s </w:t>
      </w:r>
      <w:r w:rsidR="006906CC" w:rsidRPr="00422E1A">
        <w:rPr>
          <w:rFonts w:ascii="Arial" w:eastAsia="Arial" w:hAnsi="Arial" w:cs="Arial"/>
          <w:i/>
          <w:lang w:val="en-US" w:eastAsia="en-US"/>
        </w:rPr>
        <w:t>volte-</w:t>
      </w:r>
      <w:r w:rsidR="00B9081B" w:rsidRPr="00422E1A">
        <w:rPr>
          <w:rFonts w:ascii="Arial" w:eastAsia="Arial" w:hAnsi="Arial" w:cs="Arial"/>
          <w:i/>
          <w:lang w:val="en-US" w:eastAsia="en-US"/>
        </w:rPr>
        <w:t>face</w:t>
      </w:r>
      <w:r w:rsidR="00B9081B" w:rsidRPr="00422E1A">
        <w:rPr>
          <w:rFonts w:ascii="Arial" w:eastAsia="Arial" w:hAnsi="Arial" w:cs="Arial"/>
          <w:lang w:val="en-US" w:eastAsia="en-US"/>
        </w:rPr>
        <w:t xml:space="preserve"> ought</w:t>
      </w:r>
      <w:r w:rsidR="00B9081B" w:rsidRPr="00D01FEF">
        <w:rPr>
          <w:rFonts w:ascii="Arial" w:eastAsia="Arial" w:hAnsi="Arial" w:cs="Arial"/>
          <w:lang w:val="en-US" w:eastAsia="en-US"/>
        </w:rPr>
        <w:t>, therefore, to be seen for what it is – a belated attempt to escape the reach of s 3 of the Act, as read with regulations 2(1)</w:t>
      </w:r>
      <w:r w:rsidR="00B9081B" w:rsidRPr="00D01FEF">
        <w:rPr>
          <w:rFonts w:ascii="Arial" w:eastAsia="Arial" w:hAnsi="Arial" w:cs="Arial"/>
          <w:i/>
          <w:lang w:val="en-US" w:eastAsia="en-US"/>
        </w:rPr>
        <w:t xml:space="preserve">(d) </w:t>
      </w:r>
      <w:r w:rsidR="00B9081B" w:rsidRPr="00D01FEF">
        <w:rPr>
          <w:rFonts w:ascii="Arial" w:eastAsia="Arial" w:hAnsi="Arial" w:cs="Arial"/>
          <w:lang w:val="en-US" w:eastAsia="en-US"/>
        </w:rPr>
        <w:t>and 26(7)</w:t>
      </w:r>
      <w:r w:rsidR="00B9081B" w:rsidRPr="00D01FEF">
        <w:rPr>
          <w:rFonts w:ascii="Arial" w:eastAsia="Arial" w:hAnsi="Arial" w:cs="Arial"/>
          <w:i/>
          <w:lang w:val="en-US" w:eastAsia="en-US"/>
        </w:rPr>
        <w:t>(a)</w:t>
      </w:r>
      <w:r w:rsidR="00B9081B" w:rsidRPr="00D01FEF">
        <w:rPr>
          <w:rFonts w:ascii="Arial" w:eastAsia="Arial" w:hAnsi="Arial" w:cs="Arial"/>
          <w:lang w:val="en-US" w:eastAsia="en-US"/>
        </w:rPr>
        <w:t>.</w:t>
      </w:r>
    </w:p>
    <w:p w:rsidR="00B9081B" w:rsidRPr="00D01FEF" w:rsidRDefault="00B9081B" w:rsidP="00B9081B">
      <w:pPr>
        <w:widowControl w:val="0"/>
        <w:autoSpaceDE w:val="0"/>
        <w:autoSpaceDN w:val="0"/>
        <w:rPr>
          <w:rFonts w:ascii="Arial" w:eastAsia="Arial" w:hAnsi="Arial" w:cs="Arial"/>
          <w:i/>
          <w:iCs/>
          <w:lang w:val="en-US" w:eastAsia="en-US"/>
        </w:rPr>
      </w:pPr>
    </w:p>
    <w:p w:rsidR="00B9081B" w:rsidRPr="00D01FEF" w:rsidRDefault="00B9081B" w:rsidP="00B9081B">
      <w:pPr>
        <w:widowControl w:val="0"/>
        <w:autoSpaceDE w:val="0"/>
        <w:autoSpaceDN w:val="0"/>
        <w:rPr>
          <w:rFonts w:ascii="Arial" w:eastAsia="Arial" w:hAnsi="Arial" w:cs="Arial"/>
          <w:i/>
          <w:iCs/>
          <w:lang w:val="en-US" w:eastAsia="en-US"/>
        </w:rPr>
      </w:pPr>
      <w:r w:rsidRPr="00D01FEF">
        <w:rPr>
          <w:rFonts w:ascii="Arial" w:eastAsia="Arial" w:hAnsi="Arial" w:cs="Arial"/>
          <w:i/>
          <w:iCs/>
          <w:lang w:val="en-US" w:eastAsia="en-US"/>
        </w:rPr>
        <w:t>As to the second:</w:t>
      </w:r>
    </w:p>
    <w:p w:rsidR="00431D0F" w:rsidRPr="00D01FEF" w:rsidRDefault="00431D0F" w:rsidP="00B9081B">
      <w:pPr>
        <w:widowControl w:val="0"/>
        <w:autoSpaceDE w:val="0"/>
        <w:autoSpaceDN w:val="0"/>
        <w:rPr>
          <w:rFonts w:ascii="Arial" w:eastAsia="Arial" w:hAnsi="Arial" w:cs="Arial"/>
          <w:lang w:val="en-US" w:eastAsia="en-US"/>
        </w:rPr>
      </w:pPr>
    </w:p>
    <w:p w:rsidR="00B9081B" w:rsidRPr="00EE3815" w:rsidRDefault="00EE3815" w:rsidP="00EE3815">
      <w:pPr>
        <w:widowControl w:val="0"/>
        <w:autoSpaceDE w:val="0"/>
        <w:autoSpaceDN w:val="0"/>
        <w:rPr>
          <w:rFonts w:ascii="Arial" w:eastAsia="Arial" w:hAnsi="Arial" w:cs="Arial"/>
          <w:lang w:val="en-US" w:eastAsia="en-US"/>
        </w:rPr>
      </w:pPr>
      <w:r w:rsidRPr="00D01FEF">
        <w:rPr>
          <w:rFonts w:ascii="Arial" w:eastAsia="Arial" w:hAnsi="Arial" w:cs="Arial"/>
          <w:lang w:val="en-US" w:eastAsia="en-US"/>
        </w:rPr>
        <w:lastRenderedPageBreak/>
        <w:t>[18]</w:t>
      </w:r>
      <w:r w:rsidRPr="00D01FEF">
        <w:rPr>
          <w:rFonts w:ascii="Arial" w:eastAsia="Arial" w:hAnsi="Arial" w:cs="Arial"/>
          <w:lang w:val="en-US" w:eastAsia="en-US"/>
        </w:rPr>
        <w:tab/>
      </w:r>
      <w:r w:rsidR="00B9081B" w:rsidRPr="00EE3815">
        <w:rPr>
          <w:rFonts w:ascii="Arial" w:eastAsia="Arial" w:hAnsi="Arial" w:cs="Arial"/>
          <w:lang w:val="en-US" w:eastAsia="en-US"/>
        </w:rPr>
        <w:t>Section 6 of the Act and regulations 32(3)</w:t>
      </w:r>
      <w:r w:rsidR="00B9081B" w:rsidRPr="00EE3815">
        <w:rPr>
          <w:rFonts w:ascii="Arial" w:eastAsia="Arial" w:hAnsi="Arial" w:cs="Arial"/>
          <w:i/>
          <w:lang w:val="en-US" w:eastAsia="en-US"/>
        </w:rPr>
        <w:t>(a)</w:t>
      </w:r>
      <w:r w:rsidR="00B9081B" w:rsidRPr="00D01FEF">
        <w:rPr>
          <w:rFonts w:eastAsia="Arial"/>
          <w:iCs/>
          <w:vertAlign w:val="superscript"/>
          <w:lang w:val="en-US" w:eastAsia="en-US"/>
        </w:rPr>
        <w:footnoteReference w:id="5"/>
      </w:r>
      <w:r w:rsidR="00B9081B" w:rsidRPr="00EE3815">
        <w:rPr>
          <w:rFonts w:ascii="Arial" w:eastAsia="Arial" w:hAnsi="Arial" w:cs="Arial"/>
          <w:i/>
          <w:lang w:val="en-US" w:eastAsia="en-US"/>
        </w:rPr>
        <w:t xml:space="preserve"> </w:t>
      </w:r>
      <w:r w:rsidR="00B9081B" w:rsidRPr="00EE3815">
        <w:rPr>
          <w:rFonts w:ascii="Arial" w:eastAsia="Arial" w:hAnsi="Arial" w:cs="Arial"/>
          <w:lang w:val="en-US" w:eastAsia="en-US"/>
        </w:rPr>
        <w:t>and 32(4)</w:t>
      </w:r>
      <w:r w:rsidR="00B9081B" w:rsidRPr="00D01FEF">
        <w:rPr>
          <w:rFonts w:eastAsia="Arial"/>
          <w:vertAlign w:val="superscript"/>
          <w:lang w:val="en-US" w:eastAsia="en-US"/>
        </w:rPr>
        <w:footnoteReference w:id="6"/>
      </w:r>
      <w:r w:rsidR="00B9081B" w:rsidRPr="00EE3815">
        <w:rPr>
          <w:rFonts w:ascii="Arial" w:eastAsia="Arial" w:hAnsi="Arial" w:cs="Arial"/>
          <w:lang w:val="en-US" w:eastAsia="en-US"/>
        </w:rPr>
        <w:t xml:space="preserve"> proscribe the use of any mark that conveys or creates, or is likely to convey or create, a false or misleading impression as to the nature, class or identity of a product.</w:t>
      </w:r>
      <w:r w:rsidR="00B9081B" w:rsidRPr="00D01FEF">
        <w:rPr>
          <w:rFonts w:eastAsia="Arial"/>
          <w:vertAlign w:val="superscript"/>
          <w:lang w:val="en-US" w:eastAsia="en-US"/>
        </w:rPr>
        <w:footnoteReference w:id="7"/>
      </w:r>
      <w:r w:rsidR="00B9081B" w:rsidRPr="00EE3815">
        <w:rPr>
          <w:rFonts w:ascii="Arial" w:eastAsia="Arial" w:hAnsi="Arial" w:cs="Arial"/>
          <w:lang w:val="en-US" w:eastAsia="en-US"/>
        </w:rPr>
        <w:t xml:space="preserve"> </w:t>
      </w:r>
    </w:p>
    <w:p w:rsidR="00B9081B" w:rsidRPr="00D01FEF" w:rsidRDefault="00B9081B" w:rsidP="00B9081B">
      <w:pPr>
        <w:pStyle w:val="ListParagraph"/>
        <w:widowControl w:val="0"/>
        <w:autoSpaceDE w:val="0"/>
        <w:autoSpaceDN w:val="0"/>
        <w:ind w:left="0"/>
        <w:rPr>
          <w:rFonts w:ascii="Arial" w:eastAsia="Arial" w:hAnsi="Arial" w:cs="Arial"/>
          <w:lang w:val="en-US" w:eastAsia="en-US"/>
        </w:rPr>
      </w:pPr>
    </w:p>
    <w:p w:rsidR="00B9081B" w:rsidRPr="00EE3815" w:rsidRDefault="00EE3815" w:rsidP="00EE3815">
      <w:pPr>
        <w:widowControl w:val="0"/>
        <w:autoSpaceDE w:val="0"/>
        <w:autoSpaceDN w:val="0"/>
        <w:rPr>
          <w:rFonts w:ascii="Arial" w:eastAsia="Arial" w:hAnsi="Arial" w:cs="Arial"/>
          <w:lang w:val="en-US" w:eastAsia="en-US"/>
        </w:rPr>
      </w:pPr>
      <w:r w:rsidRPr="00D01FEF">
        <w:rPr>
          <w:rFonts w:ascii="Arial" w:eastAsia="Arial" w:hAnsi="Arial" w:cs="Arial"/>
          <w:lang w:val="en-US" w:eastAsia="en-US"/>
        </w:rPr>
        <w:t>[19]</w:t>
      </w:r>
      <w:r w:rsidRPr="00D01FEF">
        <w:rPr>
          <w:rFonts w:ascii="Arial" w:eastAsia="Arial" w:hAnsi="Arial" w:cs="Arial"/>
          <w:lang w:val="en-US" w:eastAsia="en-US"/>
        </w:rPr>
        <w:tab/>
      </w:r>
      <w:r w:rsidR="00B9081B" w:rsidRPr="00EE3815">
        <w:rPr>
          <w:rFonts w:ascii="Arial" w:eastAsia="Arial" w:hAnsi="Arial" w:cs="Arial"/>
          <w:lang w:val="en-US" w:eastAsia="en-US"/>
        </w:rPr>
        <w:t>Both parties accepted that the test to determine whether the use of the marks would be likely to convey or create a false or misleading impression as to the nature, class or identity of a product is the same as the test applied by the courts to determine the likelihood of deception and/or confusion for the purposes of trade mark infringement as well as passing off. Where a court considers such likelihood, it must take ‘a commonsensical approach to the language on the labels . . . and to the visual impressions created by them in order to resolve . . . the particular issue between the parties’.</w:t>
      </w:r>
      <w:r w:rsidR="00B9081B" w:rsidRPr="00D01FEF">
        <w:rPr>
          <w:rStyle w:val="FootnoteReference"/>
          <w:rFonts w:ascii="Arial" w:eastAsia="Arial" w:hAnsi="Arial" w:cs="Arial"/>
          <w:lang w:val="en-US" w:eastAsia="en-US"/>
        </w:rPr>
        <w:footnoteReference w:id="8"/>
      </w:r>
      <w:r w:rsidR="00B9081B" w:rsidRPr="00EE3815">
        <w:rPr>
          <w:rFonts w:ascii="Arial" w:eastAsia="Arial" w:hAnsi="Arial" w:cs="Arial"/>
          <w:lang w:val="en-US" w:eastAsia="en-US"/>
        </w:rPr>
        <w:t xml:space="preserve"> </w:t>
      </w:r>
    </w:p>
    <w:p w:rsidR="00B9081B" w:rsidRPr="00D01FEF" w:rsidRDefault="00B9081B" w:rsidP="00B9081B">
      <w:pPr>
        <w:pStyle w:val="ListParagraph"/>
        <w:rPr>
          <w:rFonts w:ascii="Arial" w:eastAsia="Arial" w:hAnsi="Arial" w:cs="Arial"/>
          <w:lang w:val="en-US" w:eastAsia="en-US"/>
        </w:rPr>
      </w:pPr>
    </w:p>
    <w:p w:rsidR="00B9081B" w:rsidRPr="00EE3815" w:rsidRDefault="00EE3815" w:rsidP="00EE3815">
      <w:pPr>
        <w:widowControl w:val="0"/>
        <w:autoSpaceDE w:val="0"/>
        <w:autoSpaceDN w:val="0"/>
        <w:rPr>
          <w:rFonts w:ascii="Arial" w:eastAsia="Arial" w:hAnsi="Arial" w:cs="Arial"/>
          <w:lang w:val="en-US" w:eastAsia="en-US"/>
        </w:rPr>
      </w:pPr>
      <w:r w:rsidRPr="00D01FEF">
        <w:rPr>
          <w:rFonts w:ascii="Arial" w:eastAsia="Arial" w:hAnsi="Arial" w:cs="Arial"/>
          <w:lang w:val="en-US" w:eastAsia="en-US"/>
        </w:rPr>
        <w:t>[20]</w:t>
      </w:r>
      <w:r w:rsidRPr="00D01FEF">
        <w:rPr>
          <w:rFonts w:ascii="Arial" w:eastAsia="Arial" w:hAnsi="Arial" w:cs="Arial"/>
          <w:lang w:val="en-US" w:eastAsia="en-US"/>
        </w:rPr>
        <w:tab/>
      </w:r>
      <w:r w:rsidR="00B9081B" w:rsidRPr="00EE3815">
        <w:rPr>
          <w:rFonts w:ascii="Arial" w:eastAsia="Arial" w:hAnsi="Arial" w:cs="Arial"/>
          <w:lang w:val="en-US" w:eastAsia="en-US"/>
        </w:rPr>
        <w:t>In the course of the determination of a likelihood of deception and/or confusion, the commonsensical approach by a court is guided by the following principles. The first impression is usually determinative of the issue. A court does not have to peer too closely at the offending article to make the determination as to whether it is likely to mislead.</w:t>
      </w:r>
      <w:r w:rsidR="00B9081B" w:rsidRPr="00D01FEF">
        <w:rPr>
          <w:rFonts w:eastAsia="Arial"/>
          <w:vertAlign w:val="superscript"/>
          <w:lang w:val="en-US" w:eastAsia="en-US"/>
        </w:rPr>
        <w:footnoteReference w:id="9"/>
      </w:r>
      <w:r w:rsidR="00B9081B" w:rsidRPr="00EE3815">
        <w:rPr>
          <w:rFonts w:ascii="Arial" w:eastAsia="Arial" w:hAnsi="Arial" w:cs="Arial"/>
          <w:lang w:val="en-US" w:eastAsia="en-US"/>
        </w:rPr>
        <w:t xml:space="preserve"> The court should notionally </w:t>
      </w:r>
      <w:r w:rsidR="00AC211F" w:rsidRPr="00EE3815">
        <w:rPr>
          <w:rFonts w:ascii="Arial" w:eastAsia="Arial" w:hAnsi="Arial" w:cs="Arial"/>
          <w:lang w:val="en-US" w:eastAsia="en-US"/>
        </w:rPr>
        <w:t>transport itself from the court</w:t>
      </w:r>
      <w:r w:rsidR="00B9081B" w:rsidRPr="00EE3815">
        <w:rPr>
          <w:rFonts w:ascii="Arial" w:eastAsia="Arial" w:hAnsi="Arial" w:cs="Arial"/>
          <w:lang w:val="en-US" w:eastAsia="en-US"/>
        </w:rPr>
        <w:t>room to the marketplace and look at the article as it will be seen there by consumers.</w:t>
      </w:r>
      <w:r w:rsidR="00B9081B" w:rsidRPr="00D01FEF">
        <w:rPr>
          <w:rFonts w:eastAsia="Arial"/>
          <w:vertAlign w:val="superscript"/>
          <w:lang w:val="en-US" w:eastAsia="en-US"/>
        </w:rPr>
        <w:footnoteReference w:id="10"/>
      </w:r>
      <w:r w:rsidR="00B9081B" w:rsidRPr="00EE3815">
        <w:rPr>
          <w:rFonts w:ascii="Arial" w:eastAsia="Arial" w:hAnsi="Arial" w:cs="Arial"/>
          <w:lang w:val="en-US" w:eastAsia="en-US"/>
        </w:rPr>
        <w:t xml:space="preserve"> When considering the likelihood of deception and/or confusion, regard must be given to the </w:t>
      </w:r>
      <w:r w:rsidR="00B9081B" w:rsidRPr="00EE3815">
        <w:rPr>
          <w:rFonts w:ascii="Arial" w:eastAsia="Arial" w:hAnsi="Arial" w:cs="Arial"/>
          <w:lang w:val="en-US" w:eastAsia="en-US"/>
        </w:rPr>
        <w:lastRenderedPageBreak/>
        <w:t>role played by the dominant feature of the offending article,</w:t>
      </w:r>
      <w:r w:rsidR="00B9081B" w:rsidRPr="00D01FEF">
        <w:rPr>
          <w:rFonts w:eastAsia="Arial"/>
          <w:vertAlign w:val="superscript"/>
          <w:lang w:val="en-US" w:eastAsia="en-US"/>
        </w:rPr>
        <w:footnoteReference w:id="11"/>
      </w:r>
      <w:r w:rsidR="00B9081B" w:rsidRPr="00EE3815">
        <w:rPr>
          <w:rFonts w:ascii="Arial" w:eastAsia="Arial" w:hAnsi="Arial" w:cs="Arial"/>
          <w:lang w:val="en-US" w:eastAsia="en-US"/>
        </w:rPr>
        <w:t xml:space="preserve"> because consumers will be focused on that feature and will not necessarily be alerted to the fine points of distinction or definition in order to clear up confusion.</w:t>
      </w:r>
      <w:r w:rsidR="00B9081B" w:rsidRPr="00D01FEF">
        <w:rPr>
          <w:rFonts w:eastAsia="Arial"/>
          <w:vertAlign w:val="superscript"/>
          <w:lang w:val="en-US" w:eastAsia="en-US"/>
        </w:rPr>
        <w:footnoteReference w:id="12"/>
      </w:r>
      <w:r w:rsidR="00B9081B" w:rsidRPr="00EE3815">
        <w:rPr>
          <w:rFonts w:ascii="Arial" w:eastAsia="Arial" w:hAnsi="Arial" w:cs="Arial"/>
          <w:lang w:val="en-US" w:eastAsia="en-US"/>
        </w:rPr>
        <w:t xml:space="preserve"> The confusion experienced by consumers need also not be lasting – even if it lasts only for a ‘fraction of time’, it is sufficient to find a likelihood of confusion, albeit that the confusion might later be cleared up.</w:t>
      </w:r>
      <w:r w:rsidR="00B9081B" w:rsidRPr="00D01FEF">
        <w:rPr>
          <w:rFonts w:eastAsia="Arial"/>
          <w:vertAlign w:val="superscript"/>
          <w:lang w:val="en-US" w:eastAsia="en-US"/>
        </w:rPr>
        <w:footnoteReference w:id="13"/>
      </w:r>
      <w:r w:rsidR="00B9081B" w:rsidRPr="00EE3815">
        <w:rPr>
          <w:rFonts w:ascii="Arial" w:eastAsia="Arial" w:hAnsi="Arial" w:cs="Arial"/>
          <w:lang w:val="en-US" w:eastAsia="en-US"/>
        </w:rPr>
        <w:t xml:space="preserve"> </w:t>
      </w:r>
    </w:p>
    <w:p w:rsidR="00B9081B" w:rsidRPr="00D01FEF" w:rsidRDefault="00B9081B" w:rsidP="00B9081B">
      <w:pPr>
        <w:pStyle w:val="ListParagraph"/>
        <w:widowControl w:val="0"/>
        <w:autoSpaceDE w:val="0"/>
        <w:autoSpaceDN w:val="0"/>
        <w:ind w:left="0"/>
        <w:rPr>
          <w:rFonts w:ascii="Arial" w:eastAsia="Arial" w:hAnsi="Arial" w:cs="Arial"/>
          <w:lang w:val="en-US" w:eastAsia="en-US"/>
        </w:rPr>
      </w:pPr>
    </w:p>
    <w:p w:rsidR="00B9081B" w:rsidRPr="00EE3815" w:rsidRDefault="00EE3815" w:rsidP="00EE3815">
      <w:pPr>
        <w:widowControl w:val="0"/>
        <w:autoSpaceDE w:val="0"/>
        <w:autoSpaceDN w:val="0"/>
        <w:rPr>
          <w:rFonts w:ascii="Arial" w:eastAsia="Arial" w:hAnsi="Arial" w:cs="Arial"/>
          <w:lang w:val="en-US" w:eastAsia="en-US"/>
        </w:rPr>
      </w:pPr>
      <w:r w:rsidRPr="00D01FEF">
        <w:rPr>
          <w:rFonts w:ascii="Arial" w:eastAsia="Arial" w:hAnsi="Arial" w:cs="Arial"/>
          <w:lang w:val="en-US" w:eastAsia="en-US"/>
        </w:rPr>
        <w:t>[21]</w:t>
      </w:r>
      <w:r w:rsidRPr="00D01FEF">
        <w:rPr>
          <w:rFonts w:ascii="Arial" w:eastAsia="Arial" w:hAnsi="Arial" w:cs="Arial"/>
          <w:lang w:val="en-US" w:eastAsia="en-US"/>
        </w:rPr>
        <w:tab/>
      </w:r>
      <w:r w:rsidR="00B9081B" w:rsidRPr="00EE3815">
        <w:rPr>
          <w:rFonts w:ascii="Arial" w:eastAsia="Arial" w:hAnsi="Arial" w:cs="Arial"/>
          <w:lang w:val="en-US" w:eastAsia="en-US"/>
        </w:rPr>
        <w:t>I daresay that this issue can be satisfactorily resolved without having regard to the expert evidence adduced by the appellant, and thus without having to consider the validity of the objection to its admissibility. This, perhaps because the court need really go no further than take a commonsensical approach to the labels and to the visual impressions created by them in order to resolve the issue, without expert assistance.</w:t>
      </w:r>
      <w:r w:rsidR="00B9081B" w:rsidRPr="00D01FEF">
        <w:rPr>
          <w:rFonts w:eastAsia="Arial"/>
          <w:vertAlign w:val="superscript"/>
          <w:lang w:val="en-US" w:eastAsia="en-US"/>
        </w:rPr>
        <w:footnoteReference w:id="14"/>
      </w:r>
      <w:r w:rsidR="00B9081B" w:rsidRPr="00EE3815">
        <w:rPr>
          <w:rFonts w:ascii="Arial" w:eastAsia="Arial" w:hAnsi="Arial" w:cs="Arial"/>
          <w:lang w:val="en-US" w:eastAsia="en-US"/>
        </w:rPr>
        <w:t xml:space="preserve"> However, because of the store sought to be set by the appellants on the evidence, it may be as well to turn to a consideration of that evidence, namely the Melange Concept Development Research Proposal (the Melange Proposal), Visual Attention Service Shelf and Pack Testing Analysis (the VAS analysis) and Catalyst Research and Strategy Survey (the Survey). I do so</w:t>
      </w:r>
      <w:r w:rsidR="0038313D" w:rsidRPr="00EE3815">
        <w:rPr>
          <w:rFonts w:ascii="Arial" w:eastAsia="Arial" w:hAnsi="Arial" w:cs="Arial"/>
          <w:lang w:val="en-US" w:eastAsia="en-US"/>
        </w:rPr>
        <w:t>,</w:t>
      </w:r>
      <w:r w:rsidR="00B9081B" w:rsidRPr="00EE3815">
        <w:rPr>
          <w:rFonts w:ascii="Arial" w:eastAsia="Arial" w:hAnsi="Arial" w:cs="Arial"/>
          <w:lang w:val="en-US" w:eastAsia="en-US"/>
        </w:rPr>
        <w:t xml:space="preserve"> because as I shall endeavour to show in what follows, despite the appellant’s argument to the contrary, it seems inescapable from the evidence (such as it is) that the appellant may be ‘acting out a common charade . . . sailing as close to the wind . . . without brewing up a storm of deception’.</w:t>
      </w:r>
      <w:r w:rsidR="00B9081B" w:rsidRPr="00D01FEF">
        <w:rPr>
          <w:rFonts w:eastAsia="Arial"/>
          <w:vertAlign w:val="superscript"/>
          <w:lang w:val="en-US" w:eastAsia="en-US"/>
        </w:rPr>
        <w:footnoteReference w:id="15"/>
      </w:r>
      <w:r w:rsidR="00B9081B" w:rsidRPr="00EE3815">
        <w:rPr>
          <w:rFonts w:ascii="Arial" w:eastAsia="Arial" w:hAnsi="Arial" w:cs="Arial"/>
          <w:lang w:val="en-US" w:eastAsia="en-US"/>
        </w:rPr>
        <w:t xml:space="preserve">  </w:t>
      </w:r>
    </w:p>
    <w:p w:rsidR="00B9081B" w:rsidRPr="00D01FEF" w:rsidRDefault="00B9081B" w:rsidP="00B9081B">
      <w:pPr>
        <w:pStyle w:val="ListParagraph"/>
        <w:rPr>
          <w:rFonts w:ascii="Arial" w:eastAsia="Arial" w:hAnsi="Arial" w:cs="Arial"/>
          <w:lang w:val="en-US" w:eastAsia="en-US"/>
        </w:rPr>
      </w:pPr>
    </w:p>
    <w:p w:rsidR="0038313D" w:rsidRPr="00EE3815" w:rsidRDefault="00EE3815" w:rsidP="00EE3815">
      <w:pPr>
        <w:widowControl w:val="0"/>
        <w:autoSpaceDE w:val="0"/>
        <w:autoSpaceDN w:val="0"/>
        <w:rPr>
          <w:rFonts w:ascii="Arial" w:eastAsia="Arial" w:hAnsi="Arial" w:cs="Arial"/>
          <w:sz w:val="22"/>
          <w:szCs w:val="22"/>
          <w:lang w:val="en-US" w:eastAsia="en-US"/>
        </w:rPr>
      </w:pPr>
      <w:r w:rsidRPr="0038313D">
        <w:rPr>
          <w:rFonts w:ascii="Arial" w:eastAsia="Arial" w:hAnsi="Arial" w:cs="Arial"/>
          <w:lang w:val="en-US" w:eastAsia="en-US"/>
        </w:rPr>
        <w:t>[22]</w:t>
      </w:r>
      <w:r w:rsidRPr="0038313D">
        <w:rPr>
          <w:rFonts w:ascii="Arial" w:eastAsia="Arial" w:hAnsi="Arial" w:cs="Arial"/>
          <w:lang w:val="en-US" w:eastAsia="en-US"/>
        </w:rPr>
        <w:tab/>
      </w:r>
      <w:r w:rsidR="00364DA3" w:rsidRPr="00EE3815">
        <w:rPr>
          <w:rFonts w:ascii="Arial" w:eastAsia="Arial" w:hAnsi="Arial" w:cs="Arial"/>
          <w:lang w:val="en-US" w:eastAsia="en-US"/>
        </w:rPr>
        <w:t xml:space="preserve">In September 2019, the appellant commissioned qualitative consumer research on the intended label for the product (the Melange Proposal). According to the appellant, it then intended to use the sub-brand ‘Buttery’, instead of BUTTER SPREAD. When consumers were exposed to the initial label: </w:t>
      </w:r>
    </w:p>
    <w:p w:rsidR="00364DA3" w:rsidRPr="00D01FEF" w:rsidRDefault="00364DA3" w:rsidP="0038313D">
      <w:pPr>
        <w:pStyle w:val="ListParagraph"/>
        <w:widowControl w:val="0"/>
        <w:autoSpaceDE w:val="0"/>
        <w:autoSpaceDN w:val="0"/>
        <w:ind w:left="0"/>
        <w:rPr>
          <w:rFonts w:ascii="Arial" w:eastAsia="Arial" w:hAnsi="Arial" w:cs="Arial"/>
          <w:sz w:val="22"/>
          <w:szCs w:val="22"/>
          <w:lang w:val="en-US" w:eastAsia="en-US"/>
        </w:rPr>
      </w:pPr>
      <w:r w:rsidRPr="00D01FEF">
        <w:rPr>
          <w:rFonts w:ascii="Arial" w:eastAsia="Arial" w:hAnsi="Arial" w:cs="Arial"/>
          <w:sz w:val="22"/>
          <w:szCs w:val="22"/>
          <w:lang w:val="en-US" w:eastAsia="en-US"/>
        </w:rPr>
        <w:t xml:space="preserve">‘. . . [T]hey felt that the sub-brand name “Buttery” was misleading and confusing – it implied that the product is a “buttery-ish” product not actually a type of butter. Some consumers were </w:t>
      </w:r>
      <w:r w:rsidRPr="00D01FEF">
        <w:rPr>
          <w:rFonts w:ascii="Arial" w:eastAsia="Arial" w:hAnsi="Arial" w:cs="Arial"/>
          <w:sz w:val="22"/>
          <w:szCs w:val="22"/>
          <w:lang w:val="en-US" w:eastAsia="en-US"/>
        </w:rPr>
        <w:lastRenderedPageBreak/>
        <w:t xml:space="preserve">even of the view that the sub-brand “Buttery” created the impression that the product could be a margarine that has a butter flavour or texture.’ </w:t>
      </w:r>
    </w:p>
    <w:p w:rsidR="00B9081B" w:rsidRPr="00D01FEF" w:rsidRDefault="00B9081B" w:rsidP="00364DA3">
      <w:pPr>
        <w:pStyle w:val="ListParagraph"/>
        <w:widowControl w:val="0"/>
        <w:autoSpaceDE w:val="0"/>
        <w:autoSpaceDN w:val="0"/>
        <w:ind w:left="0"/>
        <w:rPr>
          <w:rFonts w:ascii="Arial" w:eastAsia="Arial" w:hAnsi="Arial" w:cs="Arial"/>
          <w:lang w:val="en-US" w:eastAsia="en-US"/>
        </w:rPr>
      </w:pPr>
      <w:r w:rsidRPr="00D01FEF">
        <w:rPr>
          <w:rFonts w:ascii="Arial" w:eastAsia="Arial" w:hAnsi="Arial" w:cs="Arial"/>
          <w:lang w:val="en-US" w:eastAsia="en-US"/>
        </w:rPr>
        <w:t xml:space="preserve">The initial concept was therefore revised to exclude ‘Buttery’ and insert ‘BUTTER SPREAD’ in its stead’. Further, so it was asserted: </w:t>
      </w:r>
    </w:p>
    <w:p w:rsidR="00B9081B" w:rsidRPr="00D01FEF" w:rsidRDefault="00B9081B" w:rsidP="00B9081B">
      <w:pPr>
        <w:widowControl w:val="0"/>
        <w:autoSpaceDE w:val="0"/>
        <w:autoSpaceDN w:val="0"/>
        <w:rPr>
          <w:rFonts w:ascii="Arial" w:eastAsia="Arial" w:hAnsi="Arial" w:cs="Arial"/>
          <w:sz w:val="22"/>
          <w:szCs w:val="22"/>
          <w:lang w:val="en-US" w:eastAsia="en-US"/>
        </w:rPr>
      </w:pPr>
      <w:r w:rsidRPr="00D01FEF">
        <w:rPr>
          <w:rFonts w:ascii="Arial" w:eastAsia="Arial" w:hAnsi="Arial" w:cs="Arial"/>
          <w:sz w:val="22"/>
          <w:szCs w:val="22"/>
          <w:lang w:val="en-US" w:eastAsia="en-US"/>
        </w:rPr>
        <w:t xml:space="preserve">‘Consumers unanimously preferred the revised version. This was because they were of the view that the label clearly communicated the nature of the product – a butter spread. </w:t>
      </w:r>
    </w:p>
    <w:p w:rsidR="00B9081B" w:rsidRPr="00D01FEF" w:rsidRDefault="00B9081B" w:rsidP="00B9081B">
      <w:pPr>
        <w:widowControl w:val="0"/>
        <w:autoSpaceDE w:val="0"/>
        <w:autoSpaceDN w:val="0"/>
        <w:rPr>
          <w:rFonts w:ascii="Arial" w:eastAsia="Arial" w:hAnsi="Arial" w:cs="Arial"/>
          <w:sz w:val="22"/>
          <w:szCs w:val="22"/>
          <w:lang w:val="en-US" w:eastAsia="en-US"/>
        </w:rPr>
      </w:pPr>
      <w:r w:rsidRPr="00D01FEF">
        <w:rPr>
          <w:rFonts w:ascii="Arial" w:eastAsia="Arial" w:hAnsi="Arial" w:cs="Arial"/>
          <w:sz w:val="22"/>
          <w:szCs w:val="22"/>
          <w:lang w:val="en-US" w:eastAsia="en-US"/>
        </w:rPr>
        <w:t>It was also emphasised that the use of the product descriptor “butter spread” needed to be bolder than normal on this new label, so as to clearly communicate the product contents and differentiate this pack from other STORK products.’</w:t>
      </w:r>
    </w:p>
    <w:p w:rsidR="00B9081B" w:rsidRPr="00D01FEF" w:rsidRDefault="00B9081B" w:rsidP="00B9081B">
      <w:pPr>
        <w:widowControl w:val="0"/>
        <w:autoSpaceDE w:val="0"/>
        <w:autoSpaceDN w:val="0"/>
        <w:rPr>
          <w:rFonts w:ascii="Arial" w:eastAsia="Arial" w:hAnsi="Arial" w:cs="Arial"/>
          <w:sz w:val="22"/>
          <w:szCs w:val="22"/>
          <w:lang w:val="en-US" w:eastAsia="en-US"/>
        </w:rPr>
      </w:pPr>
    </w:p>
    <w:p w:rsidR="00B9081B" w:rsidRPr="00EE3815" w:rsidRDefault="00EE3815" w:rsidP="00EE3815">
      <w:pPr>
        <w:widowControl w:val="0"/>
        <w:autoSpaceDE w:val="0"/>
        <w:autoSpaceDN w:val="0"/>
        <w:rPr>
          <w:rFonts w:ascii="Arial" w:eastAsia="Arial" w:hAnsi="Arial" w:cs="Arial"/>
          <w:sz w:val="22"/>
          <w:szCs w:val="22"/>
          <w:lang w:val="en-US" w:eastAsia="en-US"/>
        </w:rPr>
      </w:pPr>
      <w:r w:rsidRPr="00D01FEF">
        <w:rPr>
          <w:rFonts w:ascii="Arial" w:eastAsia="Arial" w:hAnsi="Arial" w:cs="Arial"/>
          <w:lang w:val="en-US" w:eastAsia="en-US"/>
        </w:rPr>
        <w:t>[23]</w:t>
      </w:r>
      <w:r w:rsidRPr="00D01FEF">
        <w:rPr>
          <w:rFonts w:ascii="Arial" w:eastAsia="Arial" w:hAnsi="Arial" w:cs="Arial"/>
          <w:lang w:val="en-US" w:eastAsia="en-US"/>
        </w:rPr>
        <w:tab/>
      </w:r>
      <w:r w:rsidR="00B9081B" w:rsidRPr="00EE3815">
        <w:rPr>
          <w:rFonts w:ascii="Arial" w:eastAsia="Arial" w:hAnsi="Arial" w:cs="Arial"/>
          <w:lang w:val="en-US" w:eastAsia="en-US"/>
        </w:rPr>
        <w:t xml:space="preserve">The Melange Proposal discloses the following consumer reactions and responses, namely that: (a) ‘butter spread’ is ‘a butter that is spreadable’; ‘a butter with oil/more cream/something added to make it softer’; and ‘definitely a type of butter’; (b) ‘butter spread’ communicated that the product was a spread made from butter as opposed to a margarine spread; (c) the product descriptor ‘butter spread’ needed to be bolder than normal so as to clearly communicate the product contents; and (d) when consumers are asked if the product is butter – they say yes, it is pure butter but with something added/removed to make it more spreadable. </w:t>
      </w:r>
    </w:p>
    <w:p w:rsidR="00B9081B" w:rsidRPr="00D01FEF" w:rsidRDefault="00B9081B" w:rsidP="00B9081B">
      <w:pPr>
        <w:pStyle w:val="ListParagraph"/>
        <w:widowControl w:val="0"/>
        <w:autoSpaceDE w:val="0"/>
        <w:autoSpaceDN w:val="0"/>
        <w:ind w:left="0"/>
        <w:rPr>
          <w:rFonts w:ascii="Arial" w:eastAsia="Arial" w:hAnsi="Arial" w:cs="Arial"/>
          <w:lang w:val="en-US" w:eastAsia="en-US"/>
        </w:rPr>
      </w:pPr>
    </w:p>
    <w:p w:rsidR="00B9081B" w:rsidRPr="00EE3815" w:rsidRDefault="00EE3815" w:rsidP="00EE3815">
      <w:pPr>
        <w:widowControl w:val="0"/>
        <w:autoSpaceDE w:val="0"/>
        <w:autoSpaceDN w:val="0"/>
        <w:rPr>
          <w:rFonts w:ascii="Arial" w:eastAsia="Arial" w:hAnsi="Arial" w:cs="Arial"/>
          <w:sz w:val="22"/>
          <w:szCs w:val="22"/>
          <w:lang w:val="en-US" w:eastAsia="en-US"/>
        </w:rPr>
      </w:pPr>
      <w:r w:rsidRPr="00D01FEF">
        <w:rPr>
          <w:rFonts w:ascii="Arial" w:eastAsia="Arial" w:hAnsi="Arial" w:cs="Arial"/>
          <w:lang w:val="en-US" w:eastAsia="en-US"/>
        </w:rPr>
        <w:t>[24]</w:t>
      </w:r>
      <w:r w:rsidRPr="00D01FEF">
        <w:rPr>
          <w:rFonts w:ascii="Arial" w:eastAsia="Arial" w:hAnsi="Arial" w:cs="Arial"/>
          <w:lang w:val="en-US" w:eastAsia="en-US"/>
        </w:rPr>
        <w:tab/>
      </w:r>
      <w:r w:rsidR="00B9081B" w:rsidRPr="00EE3815">
        <w:rPr>
          <w:rFonts w:ascii="Arial" w:eastAsia="Arial" w:hAnsi="Arial" w:cs="Arial"/>
          <w:lang w:val="en-US" w:eastAsia="en-US"/>
        </w:rPr>
        <w:t>What is clear from these responses is that consumers believed that Stork butter spread is ‘butter’ and ‘pure butter’. It is nowhere evident that any consumer had correctly identified the product as ‘modified butter’, despite the fact that the design label carried the phrase ‘medium fat modified butter spread’. But</w:t>
      </w:r>
      <w:r w:rsidR="0038313D" w:rsidRPr="00EE3815">
        <w:rPr>
          <w:rFonts w:ascii="Arial" w:eastAsia="Arial" w:hAnsi="Arial" w:cs="Arial"/>
          <w:lang w:val="en-US" w:eastAsia="en-US"/>
        </w:rPr>
        <w:t>,</w:t>
      </w:r>
      <w:r w:rsidR="00B9081B" w:rsidRPr="00EE3815">
        <w:rPr>
          <w:rFonts w:ascii="Arial" w:eastAsia="Arial" w:hAnsi="Arial" w:cs="Arial"/>
          <w:lang w:val="en-US" w:eastAsia="en-US"/>
        </w:rPr>
        <w:t xml:space="preserve"> that can only be because that product class description is, as suggested earlier, essentially invisible. This notwithstanding, the appellant accepted and implemented the Stork butter spread format recommendation and, in the event, the product came to be launched in its current packaging as ‘STORK BUTTER SPREAD’.</w:t>
      </w:r>
    </w:p>
    <w:p w:rsidR="00B9081B" w:rsidRPr="00D01FEF" w:rsidRDefault="00B9081B" w:rsidP="00B9081B">
      <w:pPr>
        <w:pStyle w:val="ListParagraph"/>
        <w:rPr>
          <w:rFonts w:ascii="Arial" w:eastAsia="Arial" w:hAnsi="Arial" w:cs="Arial"/>
          <w:lang w:val="en-US" w:eastAsia="en-US"/>
        </w:rPr>
      </w:pPr>
    </w:p>
    <w:p w:rsidR="00B9081B" w:rsidRPr="00EE3815" w:rsidRDefault="00EE3815" w:rsidP="00EE3815">
      <w:pPr>
        <w:widowControl w:val="0"/>
        <w:autoSpaceDE w:val="0"/>
        <w:autoSpaceDN w:val="0"/>
        <w:rPr>
          <w:rFonts w:ascii="Arial" w:eastAsia="Arial" w:hAnsi="Arial" w:cs="Arial"/>
          <w:sz w:val="22"/>
          <w:szCs w:val="22"/>
          <w:lang w:val="en-US" w:eastAsia="en-US"/>
        </w:rPr>
      </w:pPr>
      <w:r w:rsidRPr="00D01FEF">
        <w:rPr>
          <w:rFonts w:ascii="Arial" w:eastAsia="Arial" w:hAnsi="Arial" w:cs="Arial"/>
          <w:lang w:val="en-US" w:eastAsia="en-US"/>
        </w:rPr>
        <w:t>[25]</w:t>
      </w:r>
      <w:r w:rsidRPr="00D01FEF">
        <w:rPr>
          <w:rFonts w:ascii="Arial" w:eastAsia="Arial" w:hAnsi="Arial" w:cs="Arial"/>
          <w:lang w:val="en-US" w:eastAsia="en-US"/>
        </w:rPr>
        <w:tab/>
      </w:r>
      <w:r w:rsidR="00B9081B" w:rsidRPr="00EE3815">
        <w:rPr>
          <w:rFonts w:ascii="Arial" w:eastAsia="Arial" w:hAnsi="Arial" w:cs="Arial"/>
          <w:lang w:val="en-US" w:eastAsia="en-US"/>
        </w:rPr>
        <w:t xml:space="preserve">In July 2020, Barrows Design and Marketing (Pty) Ltd (Barrows) received instructions from the appellant to assess the effectiveness of the label, with particular emphasis on what was described as the ‘stand-out’ of the label. According to the evidence: </w:t>
      </w:r>
    </w:p>
    <w:p w:rsidR="00B9081B" w:rsidRPr="00D01FEF" w:rsidRDefault="00B9081B" w:rsidP="00B9081B">
      <w:pPr>
        <w:widowControl w:val="0"/>
        <w:autoSpaceDE w:val="0"/>
        <w:autoSpaceDN w:val="0"/>
        <w:rPr>
          <w:rFonts w:ascii="Arial" w:eastAsia="Arial" w:hAnsi="Arial" w:cs="Arial"/>
          <w:sz w:val="22"/>
          <w:szCs w:val="22"/>
          <w:lang w:val="en-US" w:eastAsia="en-US"/>
        </w:rPr>
      </w:pPr>
      <w:r w:rsidRPr="00D01FEF">
        <w:rPr>
          <w:rFonts w:ascii="Arial" w:eastAsia="Arial" w:hAnsi="Arial" w:cs="Arial"/>
          <w:sz w:val="22"/>
          <w:szCs w:val="22"/>
          <w:lang w:val="en-US" w:eastAsia="en-US"/>
        </w:rPr>
        <w:t xml:space="preserve">‘Barrows made use of Visual Attention Service (VAS), a web-based software tool that analyses designs and photos and predicts </w:t>
      </w:r>
      <w:r w:rsidRPr="00D07FB3">
        <w:rPr>
          <w:rFonts w:ascii="Arial" w:eastAsia="Arial" w:hAnsi="Arial" w:cs="Arial"/>
          <w:sz w:val="22"/>
          <w:szCs w:val="22"/>
          <w:lang w:val="en-US" w:eastAsia="en-US"/>
        </w:rPr>
        <w:t>5</w:t>
      </w:r>
      <w:r w:rsidRPr="00D01FEF">
        <w:rPr>
          <w:rFonts w:ascii="Arial" w:eastAsia="Arial" w:hAnsi="Arial" w:cs="Arial"/>
          <w:sz w:val="22"/>
          <w:szCs w:val="22"/>
          <w:lang w:val="en-US" w:eastAsia="en-US"/>
        </w:rPr>
        <w:t xml:space="preserve"> visual elements proven to attract human attention in the </w:t>
      </w:r>
      <w:r w:rsidRPr="00D01FEF">
        <w:rPr>
          <w:rFonts w:ascii="Arial" w:eastAsia="Arial" w:hAnsi="Arial" w:cs="Arial"/>
          <w:sz w:val="22"/>
          <w:szCs w:val="22"/>
          <w:lang w:val="en-US" w:eastAsia="en-US"/>
        </w:rPr>
        <w:lastRenderedPageBreak/>
        <w:t xml:space="preserve">first 3-5 seconds of viewing. It does this by using an algorithm to predict where people will look.’  </w:t>
      </w:r>
    </w:p>
    <w:p w:rsidR="00B9081B" w:rsidRPr="00D01FEF" w:rsidRDefault="00B9081B" w:rsidP="00B9081B">
      <w:pPr>
        <w:widowControl w:val="0"/>
        <w:autoSpaceDE w:val="0"/>
        <w:autoSpaceDN w:val="0"/>
        <w:rPr>
          <w:rFonts w:ascii="Arial" w:eastAsia="Arial" w:hAnsi="Arial" w:cs="Arial"/>
          <w:lang w:val="en-US" w:eastAsia="en-US"/>
        </w:rPr>
      </w:pPr>
    </w:p>
    <w:p w:rsidR="00B9081B" w:rsidRPr="00EE3815" w:rsidRDefault="00EE3815" w:rsidP="00EE3815">
      <w:pPr>
        <w:widowControl w:val="0"/>
        <w:autoSpaceDE w:val="0"/>
        <w:autoSpaceDN w:val="0"/>
        <w:rPr>
          <w:rFonts w:ascii="Arial" w:eastAsia="Arial" w:hAnsi="Arial" w:cs="Arial"/>
          <w:lang w:val="en-US" w:eastAsia="en-US"/>
        </w:rPr>
      </w:pPr>
      <w:r w:rsidRPr="00D01FEF">
        <w:rPr>
          <w:rFonts w:ascii="Arial" w:eastAsia="Arial" w:hAnsi="Arial" w:cs="Arial"/>
          <w:lang w:val="en-US" w:eastAsia="en-US"/>
        </w:rPr>
        <w:t>[26]</w:t>
      </w:r>
      <w:r w:rsidRPr="00D01FEF">
        <w:rPr>
          <w:rFonts w:ascii="Arial" w:eastAsia="Arial" w:hAnsi="Arial" w:cs="Arial"/>
          <w:lang w:val="en-US" w:eastAsia="en-US"/>
        </w:rPr>
        <w:tab/>
      </w:r>
      <w:r w:rsidR="00B9081B" w:rsidRPr="00EE3815">
        <w:rPr>
          <w:rFonts w:ascii="Arial" w:eastAsia="Arial" w:hAnsi="Arial" w:cs="Arial"/>
          <w:lang w:val="en-US" w:eastAsia="en-US"/>
        </w:rPr>
        <w:t>The conclusion, amongst others, was that the words ‘STORK BUTTER SPREAD’ would have an 83% overall probability of determining and dictating the visual fixation by a notional customer, over any other element of the label, ie t</w:t>
      </w:r>
      <w:r w:rsidR="00422E1A" w:rsidRPr="00EE3815">
        <w:rPr>
          <w:rFonts w:ascii="Arial" w:eastAsia="Arial" w:hAnsi="Arial" w:cs="Arial"/>
          <w:lang w:val="en-US" w:eastAsia="en-US"/>
        </w:rPr>
        <w:t>hat it would be likely to ‘grab</w:t>
      </w:r>
      <w:r w:rsidR="00B9081B" w:rsidRPr="00EE3815">
        <w:rPr>
          <w:rFonts w:ascii="Arial" w:eastAsia="Arial" w:hAnsi="Arial" w:cs="Arial"/>
          <w:lang w:val="en-US" w:eastAsia="en-US"/>
        </w:rPr>
        <w:t xml:space="preserve"> and hold</w:t>
      </w:r>
      <w:r w:rsidR="00422E1A" w:rsidRPr="00EE3815">
        <w:rPr>
          <w:rFonts w:ascii="Arial" w:eastAsia="Arial" w:hAnsi="Arial" w:cs="Arial"/>
          <w:lang w:val="en-US" w:eastAsia="en-US"/>
        </w:rPr>
        <w:t>’</w:t>
      </w:r>
      <w:r w:rsidR="00B9081B" w:rsidRPr="00EE3815">
        <w:rPr>
          <w:rFonts w:ascii="Arial" w:eastAsia="Arial" w:hAnsi="Arial" w:cs="Arial"/>
          <w:lang w:val="en-US" w:eastAsia="en-US"/>
        </w:rPr>
        <w:t xml:space="preserve"> the attention of a consumer in the first 3 to 5 seconds of viewing. The further conclusion from the VAS Analysis was that the phrase ‘MEDIUM FAT MODIFIED BUTTER SPREAD’, being the very feature that should have alerted the customer to the fact that the product is not pure butter but modified butter, would have a ‘very low probability of attention’. That very low probability, may well have been due to the significant under-accentuation of the class designation phrase in the product label.</w:t>
      </w:r>
    </w:p>
    <w:p w:rsidR="00B9081B" w:rsidRPr="00D01FEF" w:rsidRDefault="00B9081B" w:rsidP="00B9081B">
      <w:pPr>
        <w:pStyle w:val="ListParagraph"/>
        <w:widowControl w:val="0"/>
        <w:autoSpaceDE w:val="0"/>
        <w:autoSpaceDN w:val="0"/>
        <w:ind w:left="0"/>
        <w:rPr>
          <w:rFonts w:ascii="Arial" w:eastAsia="Arial" w:hAnsi="Arial" w:cs="Arial"/>
          <w:lang w:val="en-US" w:eastAsia="en-US"/>
        </w:rPr>
      </w:pPr>
    </w:p>
    <w:p w:rsidR="00B9081B" w:rsidRPr="00EE3815" w:rsidRDefault="00EE3815" w:rsidP="00EE3815">
      <w:pPr>
        <w:widowControl w:val="0"/>
        <w:autoSpaceDE w:val="0"/>
        <w:autoSpaceDN w:val="0"/>
        <w:rPr>
          <w:rFonts w:ascii="Arial" w:eastAsia="Arial" w:hAnsi="Arial" w:cs="Arial"/>
          <w:lang w:val="en-US" w:eastAsia="en-US"/>
        </w:rPr>
      </w:pPr>
      <w:r w:rsidRPr="00D01FEF">
        <w:rPr>
          <w:rFonts w:ascii="Arial" w:eastAsia="Arial" w:hAnsi="Arial" w:cs="Arial"/>
          <w:lang w:val="en-US" w:eastAsia="en-US"/>
        </w:rPr>
        <w:t>[27]</w:t>
      </w:r>
      <w:r w:rsidRPr="00D01FEF">
        <w:rPr>
          <w:rFonts w:ascii="Arial" w:eastAsia="Arial" w:hAnsi="Arial" w:cs="Arial"/>
          <w:lang w:val="en-US" w:eastAsia="en-US"/>
        </w:rPr>
        <w:tab/>
      </w:r>
      <w:r w:rsidR="00B9081B" w:rsidRPr="00EE3815">
        <w:rPr>
          <w:rFonts w:ascii="Arial" w:eastAsia="Arial" w:hAnsi="Arial" w:cs="Arial"/>
          <w:lang w:val="en-US" w:eastAsia="en-US"/>
        </w:rPr>
        <w:t>Given the methodological shortcomings, the appellant was constrained to accept in its answering affidavit that ‘VAS is not proven research’. The obvious lack of empirical cogency notwithstanding, the appellant then somewhat surprisingly added, ‘it is certainly an indicator to help guide design decisions . . .’. In those circumstances</w:t>
      </w:r>
      <w:r w:rsidR="006906CC" w:rsidRPr="00EE3815">
        <w:rPr>
          <w:rFonts w:ascii="Arial" w:eastAsia="Arial" w:hAnsi="Arial" w:cs="Arial"/>
          <w:lang w:val="en-US" w:eastAsia="en-US"/>
        </w:rPr>
        <w:t>,</w:t>
      </w:r>
      <w:r w:rsidR="00B9081B" w:rsidRPr="00EE3815">
        <w:rPr>
          <w:rFonts w:ascii="Arial" w:eastAsia="Arial" w:hAnsi="Arial" w:cs="Arial"/>
          <w:lang w:val="en-US" w:eastAsia="en-US"/>
        </w:rPr>
        <w:t xml:space="preserve"> there is much to be said for the argument that no regard should be had to that evidence. However, when the VAS Analysis, to the extent that reliance can be placed on it, is read together with the Melange Proposal, it is difficult to resist the suggestion that the product label was fashioned to focus consumer attention on the word ‘butter’. </w:t>
      </w:r>
    </w:p>
    <w:p w:rsidR="00B9081B" w:rsidRPr="00D01FEF" w:rsidRDefault="00B9081B" w:rsidP="00B9081B">
      <w:pPr>
        <w:pStyle w:val="ListParagraph"/>
        <w:rPr>
          <w:rFonts w:ascii="Arial" w:eastAsia="Arial" w:hAnsi="Arial" w:cs="Arial"/>
          <w:lang w:val="en-US" w:eastAsia="en-US"/>
        </w:rPr>
      </w:pPr>
    </w:p>
    <w:p w:rsidR="00B9081B" w:rsidRPr="00EE3815" w:rsidRDefault="00EE3815" w:rsidP="00EE3815">
      <w:pPr>
        <w:widowControl w:val="0"/>
        <w:autoSpaceDE w:val="0"/>
        <w:autoSpaceDN w:val="0"/>
        <w:rPr>
          <w:rFonts w:ascii="Arial" w:eastAsia="Arial" w:hAnsi="Arial" w:cs="Arial"/>
          <w:lang w:val="en-US" w:eastAsia="en-US"/>
        </w:rPr>
      </w:pPr>
      <w:r w:rsidRPr="00D01FEF">
        <w:rPr>
          <w:rFonts w:ascii="Arial" w:eastAsia="Arial" w:hAnsi="Arial" w:cs="Arial"/>
          <w:lang w:val="en-US" w:eastAsia="en-US"/>
        </w:rPr>
        <w:t>[28]</w:t>
      </w:r>
      <w:r w:rsidRPr="00D01FEF">
        <w:rPr>
          <w:rFonts w:ascii="Arial" w:eastAsia="Arial" w:hAnsi="Arial" w:cs="Arial"/>
          <w:lang w:val="en-US" w:eastAsia="en-US"/>
        </w:rPr>
        <w:tab/>
      </w:r>
      <w:r w:rsidR="00B9081B" w:rsidRPr="00EE3815">
        <w:rPr>
          <w:rFonts w:ascii="Arial" w:eastAsia="Arial" w:hAnsi="Arial" w:cs="Arial"/>
          <w:lang w:val="en-US" w:eastAsia="en-US"/>
        </w:rPr>
        <w:t>That leaves the Survey</w:t>
      </w:r>
      <w:r w:rsidR="0038313D" w:rsidRPr="00EE3815">
        <w:rPr>
          <w:rFonts w:ascii="Arial" w:eastAsia="Arial" w:hAnsi="Arial" w:cs="Arial"/>
          <w:lang w:val="en-US" w:eastAsia="en-US"/>
        </w:rPr>
        <w:t>: A</w:t>
      </w:r>
      <w:r w:rsidR="00B9081B" w:rsidRPr="00EE3815">
        <w:rPr>
          <w:rFonts w:ascii="Arial" w:eastAsia="Arial" w:hAnsi="Arial" w:cs="Arial"/>
          <w:lang w:val="en-US" w:eastAsia="en-US"/>
        </w:rPr>
        <w:t>s stated by Mr Michael Charnas, the Chief Executive Officer of Catalyst Research and Strategy (Pty) Ltd (Catalyst):</w:t>
      </w:r>
    </w:p>
    <w:p w:rsidR="00B9081B" w:rsidRPr="00D01FEF" w:rsidRDefault="00B9081B" w:rsidP="00B9081B">
      <w:pPr>
        <w:widowControl w:val="0"/>
        <w:autoSpaceDE w:val="0"/>
        <w:autoSpaceDN w:val="0"/>
        <w:rPr>
          <w:rFonts w:ascii="Arial" w:eastAsia="Arial" w:hAnsi="Arial" w:cs="Arial"/>
          <w:sz w:val="22"/>
          <w:szCs w:val="22"/>
          <w:lang w:val="en-US" w:eastAsia="en-US"/>
        </w:rPr>
      </w:pPr>
      <w:r w:rsidRPr="00D01FEF">
        <w:rPr>
          <w:rFonts w:ascii="Arial" w:eastAsia="Arial" w:hAnsi="Arial" w:cs="Arial"/>
          <w:sz w:val="22"/>
          <w:szCs w:val="22"/>
          <w:lang w:val="en-US" w:eastAsia="en-US"/>
        </w:rPr>
        <w:t>‘4.1.</w:t>
      </w:r>
      <w:r w:rsidRPr="00D01FEF">
        <w:rPr>
          <w:rFonts w:ascii="Arial" w:eastAsia="Arial" w:hAnsi="Arial" w:cs="Arial"/>
          <w:sz w:val="22"/>
          <w:szCs w:val="22"/>
          <w:lang w:val="en-US" w:eastAsia="en-US"/>
        </w:rPr>
        <w:tab/>
        <w:t>Catalyst has been engaged by the [appellant’s attorney] . . . to conduct market research to assist this honourable Court in determining, I am advised, the main issue in these proceedings regarding whether the [appellant’s] STORK BUTTER SPREAD product will be interpreted by consumers to be “pure” butter.</w:t>
      </w:r>
    </w:p>
    <w:p w:rsidR="00B9081B" w:rsidRPr="00D01FEF" w:rsidRDefault="00B9081B" w:rsidP="00B9081B">
      <w:pPr>
        <w:widowControl w:val="0"/>
        <w:autoSpaceDE w:val="0"/>
        <w:autoSpaceDN w:val="0"/>
        <w:rPr>
          <w:rFonts w:ascii="Arial" w:eastAsia="Arial" w:hAnsi="Arial" w:cs="Arial"/>
          <w:sz w:val="22"/>
          <w:szCs w:val="22"/>
          <w:lang w:val="en-US" w:eastAsia="en-US"/>
        </w:rPr>
      </w:pPr>
      <w:r w:rsidRPr="00D01FEF">
        <w:rPr>
          <w:rFonts w:ascii="Arial" w:eastAsia="Arial" w:hAnsi="Arial" w:cs="Arial"/>
          <w:sz w:val="22"/>
          <w:szCs w:val="22"/>
          <w:lang w:val="en-US" w:eastAsia="en-US"/>
        </w:rPr>
        <w:t>4.2.</w:t>
      </w:r>
      <w:r w:rsidRPr="00D01FEF">
        <w:rPr>
          <w:rFonts w:ascii="Arial" w:eastAsia="Arial" w:hAnsi="Arial" w:cs="Arial"/>
          <w:sz w:val="22"/>
          <w:szCs w:val="22"/>
          <w:lang w:val="en-US" w:eastAsia="en-US"/>
        </w:rPr>
        <w:tab/>
        <w:t xml:space="preserve">In order to test whether consumers will be confused into believing that the [appellant’s] STORK BUTTER SPREAD product will be understood to be “pure” butter, the [appellant] commissioned a market survey. This survey was titled the “Project Lard” survey and was conducted </w:t>
      </w:r>
      <w:r w:rsidRPr="00D07FB3">
        <w:rPr>
          <w:rFonts w:ascii="Arial" w:eastAsia="Arial" w:hAnsi="Arial" w:cs="Arial"/>
          <w:sz w:val="22"/>
          <w:szCs w:val="22"/>
          <w:lang w:val="en-US" w:eastAsia="en-US"/>
        </w:rPr>
        <w:t>during 1</w:t>
      </w:r>
      <w:r w:rsidRPr="00D01FEF">
        <w:rPr>
          <w:rFonts w:ascii="Arial" w:eastAsia="Arial" w:hAnsi="Arial" w:cs="Arial"/>
          <w:sz w:val="22"/>
          <w:szCs w:val="22"/>
          <w:lang w:val="en-US" w:eastAsia="en-US"/>
        </w:rPr>
        <w:t>2 to 17 March 2021.</w:t>
      </w:r>
    </w:p>
    <w:p w:rsidR="00B9081B" w:rsidRPr="00D01FEF" w:rsidRDefault="00B9081B" w:rsidP="00B9081B">
      <w:pPr>
        <w:widowControl w:val="0"/>
        <w:autoSpaceDE w:val="0"/>
        <w:autoSpaceDN w:val="0"/>
        <w:rPr>
          <w:rFonts w:ascii="Arial" w:eastAsia="Arial" w:hAnsi="Arial" w:cs="Arial"/>
          <w:sz w:val="22"/>
          <w:szCs w:val="22"/>
          <w:lang w:val="en-US" w:eastAsia="en-US"/>
        </w:rPr>
      </w:pPr>
      <w:r w:rsidRPr="00D01FEF">
        <w:rPr>
          <w:rFonts w:ascii="Arial" w:eastAsia="Arial" w:hAnsi="Arial" w:cs="Arial"/>
          <w:sz w:val="22"/>
          <w:szCs w:val="22"/>
          <w:lang w:val="en-US" w:eastAsia="en-US"/>
        </w:rPr>
        <w:t xml:space="preserve">. . . </w:t>
      </w:r>
    </w:p>
    <w:p w:rsidR="00364DA3" w:rsidRPr="00D01FEF" w:rsidRDefault="00364DA3" w:rsidP="00364DA3">
      <w:pPr>
        <w:widowControl w:val="0"/>
        <w:autoSpaceDE w:val="0"/>
        <w:autoSpaceDN w:val="0"/>
        <w:rPr>
          <w:rFonts w:ascii="Arial" w:eastAsia="Arial" w:hAnsi="Arial" w:cs="Arial"/>
          <w:sz w:val="22"/>
          <w:szCs w:val="22"/>
          <w:lang w:val="en-US" w:eastAsia="en-US"/>
        </w:rPr>
      </w:pPr>
      <w:r w:rsidRPr="00D01FEF">
        <w:rPr>
          <w:rFonts w:ascii="Arial" w:eastAsia="Arial" w:hAnsi="Arial" w:cs="Arial"/>
          <w:sz w:val="22"/>
          <w:szCs w:val="22"/>
          <w:lang w:val="en-US" w:eastAsia="en-US"/>
        </w:rPr>
        <w:t>Research method</w:t>
      </w:r>
    </w:p>
    <w:p w:rsidR="00364DA3" w:rsidRPr="00D01FEF" w:rsidRDefault="00364DA3" w:rsidP="00364DA3">
      <w:pPr>
        <w:widowControl w:val="0"/>
        <w:autoSpaceDE w:val="0"/>
        <w:autoSpaceDN w:val="0"/>
        <w:rPr>
          <w:rFonts w:ascii="Arial" w:eastAsia="Arial" w:hAnsi="Arial" w:cs="Arial"/>
          <w:sz w:val="22"/>
          <w:szCs w:val="22"/>
          <w:lang w:val="en-US" w:eastAsia="en-US"/>
        </w:rPr>
      </w:pPr>
      <w:r w:rsidRPr="00D01FEF">
        <w:rPr>
          <w:rFonts w:ascii="Arial" w:eastAsia="Arial" w:hAnsi="Arial" w:cs="Arial"/>
          <w:sz w:val="22"/>
          <w:szCs w:val="22"/>
          <w:lang w:val="en-US" w:eastAsia="en-US"/>
        </w:rPr>
        <w:lastRenderedPageBreak/>
        <w:t>4.4.</w:t>
      </w:r>
      <w:r w:rsidRPr="00D01FEF">
        <w:rPr>
          <w:rFonts w:ascii="Arial" w:eastAsia="Arial" w:hAnsi="Arial" w:cs="Arial"/>
          <w:sz w:val="22"/>
          <w:szCs w:val="22"/>
          <w:lang w:val="en-US" w:eastAsia="en-US"/>
        </w:rPr>
        <w:tab/>
        <w:t>The Project Lard Survey was conducted using an online panel survey and consisted of a panel of 36,000 panelists, who opted to fill in the survey were utilised.</w:t>
      </w:r>
    </w:p>
    <w:p w:rsidR="00364DA3" w:rsidRPr="00D01FEF" w:rsidRDefault="00364DA3" w:rsidP="00364DA3">
      <w:pPr>
        <w:widowControl w:val="0"/>
        <w:autoSpaceDE w:val="0"/>
        <w:autoSpaceDN w:val="0"/>
        <w:rPr>
          <w:rFonts w:ascii="Arial" w:eastAsia="Arial" w:hAnsi="Arial" w:cs="Arial"/>
          <w:sz w:val="22"/>
          <w:szCs w:val="22"/>
          <w:lang w:val="en-US" w:eastAsia="en-US"/>
        </w:rPr>
      </w:pPr>
      <w:r w:rsidRPr="00D01FEF">
        <w:rPr>
          <w:rFonts w:ascii="Arial" w:eastAsia="Arial" w:hAnsi="Arial" w:cs="Arial"/>
          <w:sz w:val="22"/>
          <w:szCs w:val="22"/>
          <w:lang w:val="en-US" w:eastAsia="en-US"/>
        </w:rPr>
        <w:t>The universe</w:t>
      </w:r>
    </w:p>
    <w:p w:rsidR="00364DA3" w:rsidRPr="00D01FEF" w:rsidRDefault="00364DA3" w:rsidP="00364DA3">
      <w:pPr>
        <w:widowControl w:val="0"/>
        <w:autoSpaceDE w:val="0"/>
        <w:autoSpaceDN w:val="0"/>
        <w:rPr>
          <w:rFonts w:ascii="Arial" w:eastAsia="Arial" w:hAnsi="Arial" w:cs="Arial"/>
          <w:sz w:val="22"/>
          <w:szCs w:val="22"/>
          <w:lang w:val="en-US" w:eastAsia="en-US"/>
        </w:rPr>
      </w:pPr>
      <w:r w:rsidRPr="00D01FEF">
        <w:rPr>
          <w:rFonts w:ascii="Arial" w:eastAsia="Arial" w:hAnsi="Arial" w:cs="Arial"/>
          <w:sz w:val="22"/>
          <w:szCs w:val="22"/>
          <w:lang w:val="en-US" w:eastAsia="en-US"/>
        </w:rPr>
        <w:t>4.5.</w:t>
      </w:r>
      <w:r w:rsidRPr="00D01FEF">
        <w:rPr>
          <w:rFonts w:ascii="Arial" w:eastAsia="Arial" w:hAnsi="Arial" w:cs="Arial"/>
          <w:sz w:val="22"/>
          <w:szCs w:val="22"/>
          <w:lang w:val="en-US" w:eastAsia="en-US"/>
        </w:rPr>
        <w:tab/>
        <w:t>The universe represented by Project Lard Survey included a spread of demographics across nine regions, all races, ages, genders and income levels.</w:t>
      </w:r>
    </w:p>
    <w:p w:rsidR="00364DA3" w:rsidRPr="00D01FEF" w:rsidRDefault="00364DA3" w:rsidP="00364DA3">
      <w:pPr>
        <w:widowControl w:val="0"/>
        <w:autoSpaceDE w:val="0"/>
        <w:autoSpaceDN w:val="0"/>
        <w:rPr>
          <w:rFonts w:ascii="Arial" w:eastAsia="Arial" w:hAnsi="Arial" w:cs="Arial"/>
          <w:sz w:val="22"/>
          <w:szCs w:val="22"/>
          <w:lang w:val="en-US" w:eastAsia="en-US"/>
        </w:rPr>
      </w:pPr>
      <w:r w:rsidRPr="00D01FEF">
        <w:rPr>
          <w:rFonts w:ascii="Arial" w:eastAsia="Arial" w:hAnsi="Arial" w:cs="Arial"/>
          <w:sz w:val="22"/>
          <w:szCs w:val="22"/>
          <w:lang w:val="en-US" w:eastAsia="en-US"/>
        </w:rPr>
        <w:t>4.6.</w:t>
      </w:r>
      <w:r w:rsidRPr="00D01FEF">
        <w:rPr>
          <w:rFonts w:ascii="Arial" w:eastAsia="Arial" w:hAnsi="Arial" w:cs="Arial"/>
          <w:sz w:val="22"/>
          <w:szCs w:val="22"/>
          <w:lang w:val="en-US" w:eastAsia="en-US"/>
        </w:rPr>
        <w:tab/>
        <w:t xml:space="preserve">However, the minimum earnings to a gross household had been restricted to an income of R15,000 per month (who are amongst the LSM 8 – 10 income category) given that this is calculated as the prime target market for butter and butter spread products. </w:t>
      </w:r>
    </w:p>
    <w:p w:rsidR="00364DA3" w:rsidRPr="00D01FEF" w:rsidRDefault="00364DA3" w:rsidP="00364DA3">
      <w:pPr>
        <w:widowControl w:val="0"/>
        <w:autoSpaceDE w:val="0"/>
        <w:autoSpaceDN w:val="0"/>
        <w:rPr>
          <w:rFonts w:ascii="Arial" w:eastAsia="Arial" w:hAnsi="Arial" w:cs="Arial"/>
          <w:sz w:val="22"/>
          <w:szCs w:val="22"/>
          <w:lang w:val="en-US" w:eastAsia="en-US"/>
        </w:rPr>
      </w:pPr>
      <w:r w:rsidRPr="00D01FEF">
        <w:rPr>
          <w:rFonts w:ascii="Arial" w:eastAsia="Arial" w:hAnsi="Arial" w:cs="Arial"/>
          <w:sz w:val="22"/>
          <w:szCs w:val="22"/>
          <w:lang w:val="en-US" w:eastAsia="en-US"/>
        </w:rPr>
        <w:t>Sample</w:t>
      </w:r>
    </w:p>
    <w:p w:rsidR="00364DA3" w:rsidRPr="00D01FEF" w:rsidRDefault="00364DA3" w:rsidP="00364DA3">
      <w:pPr>
        <w:widowControl w:val="0"/>
        <w:autoSpaceDE w:val="0"/>
        <w:autoSpaceDN w:val="0"/>
        <w:rPr>
          <w:rFonts w:ascii="Arial" w:eastAsia="Arial" w:hAnsi="Arial" w:cs="Arial"/>
          <w:sz w:val="22"/>
          <w:szCs w:val="22"/>
          <w:lang w:val="en-US" w:eastAsia="en-US"/>
        </w:rPr>
      </w:pPr>
      <w:r w:rsidRPr="00D01FEF">
        <w:rPr>
          <w:rFonts w:ascii="Arial" w:eastAsia="Arial" w:hAnsi="Arial" w:cs="Arial"/>
          <w:sz w:val="22"/>
          <w:szCs w:val="22"/>
          <w:lang w:val="en-US" w:eastAsia="en-US"/>
        </w:rPr>
        <w:t>4.7.</w:t>
      </w:r>
      <w:r w:rsidRPr="00D01FEF">
        <w:rPr>
          <w:rFonts w:ascii="Arial" w:eastAsia="Arial" w:hAnsi="Arial" w:cs="Arial"/>
          <w:sz w:val="22"/>
          <w:szCs w:val="22"/>
          <w:lang w:val="en-US" w:eastAsia="en-US"/>
        </w:rPr>
        <w:tab/>
        <w:t>In the survey, 914 respondents completed the survey. However, 459 respondents qualified as butter and/or butter spread users in the LSM 8 – 10 income category.</w:t>
      </w:r>
    </w:p>
    <w:p w:rsidR="00364DA3" w:rsidRPr="00D01FEF" w:rsidRDefault="00364DA3" w:rsidP="00364DA3">
      <w:pPr>
        <w:widowControl w:val="0"/>
        <w:autoSpaceDE w:val="0"/>
        <w:autoSpaceDN w:val="0"/>
        <w:rPr>
          <w:rFonts w:ascii="Arial" w:eastAsia="Arial" w:hAnsi="Arial" w:cs="Arial"/>
          <w:sz w:val="22"/>
          <w:szCs w:val="22"/>
          <w:lang w:val="en-US" w:eastAsia="en-US"/>
        </w:rPr>
      </w:pPr>
      <w:r w:rsidRPr="00D01FEF">
        <w:rPr>
          <w:rFonts w:ascii="Arial" w:eastAsia="Arial" w:hAnsi="Arial" w:cs="Arial"/>
          <w:sz w:val="22"/>
          <w:szCs w:val="22"/>
          <w:lang w:val="en-US" w:eastAsia="en-US"/>
        </w:rPr>
        <w:t>Questionnaire</w:t>
      </w:r>
    </w:p>
    <w:p w:rsidR="00364DA3" w:rsidRPr="00D01FEF" w:rsidRDefault="00364DA3" w:rsidP="00364DA3">
      <w:pPr>
        <w:widowControl w:val="0"/>
        <w:autoSpaceDE w:val="0"/>
        <w:autoSpaceDN w:val="0"/>
        <w:rPr>
          <w:rFonts w:ascii="Arial" w:eastAsia="Arial" w:hAnsi="Arial" w:cs="Arial"/>
          <w:sz w:val="22"/>
          <w:szCs w:val="22"/>
          <w:lang w:val="en-US" w:eastAsia="en-US"/>
        </w:rPr>
      </w:pPr>
      <w:r w:rsidRPr="00D01FEF">
        <w:rPr>
          <w:rFonts w:ascii="Arial" w:eastAsia="Arial" w:hAnsi="Arial" w:cs="Arial"/>
          <w:sz w:val="22"/>
          <w:szCs w:val="22"/>
          <w:lang w:val="en-US" w:eastAsia="en-US"/>
        </w:rPr>
        <w:t>4.8.</w:t>
      </w:r>
      <w:r w:rsidRPr="00D01FEF">
        <w:rPr>
          <w:rFonts w:ascii="Arial" w:eastAsia="Arial" w:hAnsi="Arial" w:cs="Arial"/>
          <w:sz w:val="22"/>
          <w:szCs w:val="22"/>
          <w:lang w:val="en-US" w:eastAsia="en-US"/>
        </w:rPr>
        <w:tab/>
        <w:t>Qualifying respondents were shown a various range of (pure) butter and modified butter products and asked to categorize each one as either:</w:t>
      </w:r>
    </w:p>
    <w:p w:rsidR="00364DA3" w:rsidRPr="00D01FEF" w:rsidRDefault="00364DA3" w:rsidP="00364DA3">
      <w:pPr>
        <w:widowControl w:val="0"/>
        <w:autoSpaceDE w:val="0"/>
        <w:autoSpaceDN w:val="0"/>
        <w:rPr>
          <w:rFonts w:ascii="Arial" w:eastAsia="Arial" w:hAnsi="Arial" w:cs="Arial"/>
          <w:sz w:val="22"/>
          <w:szCs w:val="22"/>
          <w:lang w:val="en-US" w:eastAsia="en-US"/>
        </w:rPr>
      </w:pPr>
      <w:r w:rsidRPr="00D01FEF">
        <w:rPr>
          <w:rFonts w:ascii="Arial" w:eastAsia="Arial" w:hAnsi="Arial" w:cs="Arial"/>
          <w:sz w:val="22"/>
          <w:szCs w:val="22"/>
          <w:lang w:val="en-US" w:eastAsia="en-US"/>
        </w:rPr>
        <w:t>4.8.1.</w:t>
      </w:r>
      <w:r w:rsidRPr="00D01FEF">
        <w:rPr>
          <w:rFonts w:ascii="Arial" w:eastAsia="Arial" w:hAnsi="Arial" w:cs="Arial"/>
          <w:sz w:val="22"/>
          <w:szCs w:val="22"/>
          <w:lang w:val="en-US" w:eastAsia="en-US"/>
        </w:rPr>
        <w:tab/>
        <w:t>Butter;</w:t>
      </w:r>
    </w:p>
    <w:p w:rsidR="00364DA3" w:rsidRPr="00D01FEF" w:rsidRDefault="00364DA3" w:rsidP="00364DA3">
      <w:pPr>
        <w:widowControl w:val="0"/>
        <w:autoSpaceDE w:val="0"/>
        <w:autoSpaceDN w:val="0"/>
        <w:rPr>
          <w:rFonts w:ascii="Arial" w:eastAsia="Arial" w:hAnsi="Arial" w:cs="Arial"/>
          <w:sz w:val="22"/>
          <w:szCs w:val="22"/>
          <w:lang w:val="en-US" w:eastAsia="en-US"/>
        </w:rPr>
      </w:pPr>
      <w:r w:rsidRPr="00D01FEF">
        <w:rPr>
          <w:rFonts w:ascii="Arial" w:eastAsia="Arial" w:hAnsi="Arial" w:cs="Arial"/>
          <w:sz w:val="22"/>
          <w:szCs w:val="22"/>
          <w:lang w:val="en-US" w:eastAsia="en-US"/>
        </w:rPr>
        <w:t>4.8.2.</w:t>
      </w:r>
      <w:r w:rsidRPr="00D01FEF">
        <w:rPr>
          <w:rFonts w:ascii="Arial" w:eastAsia="Arial" w:hAnsi="Arial" w:cs="Arial"/>
          <w:sz w:val="22"/>
          <w:szCs w:val="22"/>
          <w:lang w:val="en-US" w:eastAsia="en-US"/>
        </w:rPr>
        <w:tab/>
        <w:t>Butter spread;</w:t>
      </w:r>
    </w:p>
    <w:p w:rsidR="00364DA3" w:rsidRPr="00D01FEF" w:rsidRDefault="00364DA3" w:rsidP="00364DA3">
      <w:pPr>
        <w:widowControl w:val="0"/>
        <w:autoSpaceDE w:val="0"/>
        <w:autoSpaceDN w:val="0"/>
        <w:rPr>
          <w:rFonts w:ascii="Arial" w:eastAsia="Arial" w:hAnsi="Arial" w:cs="Arial"/>
          <w:sz w:val="22"/>
          <w:szCs w:val="22"/>
          <w:lang w:val="en-US" w:eastAsia="en-US"/>
        </w:rPr>
      </w:pPr>
      <w:r w:rsidRPr="00D01FEF">
        <w:rPr>
          <w:rFonts w:ascii="Arial" w:eastAsia="Arial" w:hAnsi="Arial" w:cs="Arial"/>
          <w:sz w:val="22"/>
          <w:szCs w:val="22"/>
          <w:lang w:val="en-US" w:eastAsia="en-US"/>
        </w:rPr>
        <w:t>4.8.3.</w:t>
      </w:r>
      <w:r w:rsidRPr="00D01FEF">
        <w:rPr>
          <w:rFonts w:ascii="Arial" w:eastAsia="Arial" w:hAnsi="Arial" w:cs="Arial"/>
          <w:sz w:val="22"/>
          <w:szCs w:val="22"/>
          <w:lang w:val="en-US" w:eastAsia="en-US"/>
        </w:rPr>
        <w:tab/>
        <w:t>Margarine;</w:t>
      </w:r>
    </w:p>
    <w:p w:rsidR="00364DA3" w:rsidRPr="00D01FEF" w:rsidRDefault="00364DA3" w:rsidP="00364DA3">
      <w:pPr>
        <w:widowControl w:val="0"/>
        <w:autoSpaceDE w:val="0"/>
        <w:autoSpaceDN w:val="0"/>
        <w:rPr>
          <w:rFonts w:ascii="Arial" w:eastAsia="Arial" w:hAnsi="Arial" w:cs="Arial"/>
          <w:sz w:val="22"/>
          <w:szCs w:val="22"/>
          <w:lang w:val="en-US" w:eastAsia="en-US"/>
        </w:rPr>
      </w:pPr>
      <w:r w:rsidRPr="00D01FEF">
        <w:rPr>
          <w:rFonts w:ascii="Arial" w:eastAsia="Arial" w:hAnsi="Arial" w:cs="Arial"/>
          <w:sz w:val="22"/>
          <w:szCs w:val="22"/>
          <w:lang w:val="en-US" w:eastAsia="en-US"/>
        </w:rPr>
        <w:t>4.8.4.</w:t>
      </w:r>
      <w:r w:rsidRPr="00D01FEF">
        <w:rPr>
          <w:rFonts w:ascii="Arial" w:eastAsia="Arial" w:hAnsi="Arial" w:cs="Arial"/>
          <w:sz w:val="22"/>
          <w:szCs w:val="22"/>
          <w:lang w:val="en-US" w:eastAsia="en-US"/>
        </w:rPr>
        <w:tab/>
        <w:t>None of the above;</w:t>
      </w:r>
    </w:p>
    <w:p w:rsidR="00364DA3" w:rsidRPr="00D01FEF" w:rsidRDefault="00364DA3" w:rsidP="00364DA3">
      <w:pPr>
        <w:widowControl w:val="0"/>
        <w:autoSpaceDE w:val="0"/>
        <w:autoSpaceDN w:val="0"/>
        <w:rPr>
          <w:rFonts w:ascii="Arial" w:eastAsia="Arial" w:hAnsi="Arial" w:cs="Arial"/>
          <w:sz w:val="22"/>
          <w:szCs w:val="22"/>
          <w:lang w:val="en-US" w:eastAsia="en-US"/>
        </w:rPr>
      </w:pPr>
      <w:r w:rsidRPr="00D01FEF">
        <w:rPr>
          <w:rFonts w:ascii="Arial" w:eastAsia="Arial" w:hAnsi="Arial" w:cs="Arial"/>
          <w:sz w:val="22"/>
          <w:szCs w:val="22"/>
          <w:lang w:val="en-US" w:eastAsia="en-US"/>
        </w:rPr>
        <w:t>4.8.5.</w:t>
      </w:r>
      <w:r w:rsidRPr="00D01FEF">
        <w:rPr>
          <w:rFonts w:ascii="Arial" w:eastAsia="Arial" w:hAnsi="Arial" w:cs="Arial"/>
          <w:sz w:val="22"/>
          <w:szCs w:val="22"/>
          <w:lang w:val="en-US" w:eastAsia="en-US"/>
        </w:rPr>
        <w:tab/>
        <w:t xml:space="preserve">Other – with a reason to be specified.’ </w:t>
      </w:r>
    </w:p>
    <w:p w:rsidR="00364DA3" w:rsidRPr="00D01FEF" w:rsidRDefault="00364DA3" w:rsidP="00364DA3">
      <w:pPr>
        <w:widowControl w:val="0"/>
        <w:autoSpaceDE w:val="0"/>
        <w:autoSpaceDN w:val="0"/>
        <w:rPr>
          <w:rFonts w:ascii="Arial" w:eastAsia="Arial" w:hAnsi="Arial" w:cs="Arial"/>
          <w:b/>
          <w:lang w:val="en-US" w:eastAsia="en-US"/>
        </w:rPr>
      </w:pPr>
    </w:p>
    <w:p w:rsidR="00364DA3" w:rsidRPr="00EE3815" w:rsidRDefault="00EE3815" w:rsidP="00EE3815">
      <w:pPr>
        <w:widowControl w:val="0"/>
        <w:autoSpaceDE w:val="0"/>
        <w:autoSpaceDN w:val="0"/>
        <w:rPr>
          <w:rFonts w:ascii="Arial" w:eastAsia="Arial" w:hAnsi="Arial" w:cs="Arial"/>
          <w:b/>
          <w:sz w:val="22"/>
          <w:szCs w:val="22"/>
          <w:lang w:val="en-US" w:eastAsia="en-US"/>
        </w:rPr>
      </w:pPr>
      <w:r w:rsidRPr="00D01FEF">
        <w:rPr>
          <w:rFonts w:ascii="Arial" w:eastAsia="Arial" w:hAnsi="Arial" w:cs="Arial"/>
          <w:lang w:val="en-US" w:eastAsia="en-US"/>
        </w:rPr>
        <w:t>[29]</w:t>
      </w:r>
      <w:r w:rsidRPr="00D01FEF">
        <w:rPr>
          <w:rFonts w:ascii="Arial" w:eastAsia="Arial" w:hAnsi="Arial" w:cs="Arial"/>
          <w:lang w:val="en-US" w:eastAsia="en-US"/>
        </w:rPr>
        <w:tab/>
      </w:r>
      <w:r w:rsidR="00364DA3" w:rsidRPr="00EE3815">
        <w:rPr>
          <w:rFonts w:ascii="Arial" w:eastAsia="Arial" w:hAnsi="Arial" w:cs="Arial"/>
          <w:lang w:val="en-US" w:eastAsia="en-US"/>
        </w:rPr>
        <w:t xml:space="preserve">The Survey, so it would seem, purports to do exactly what the court has to decide, namely whether a notional consumer would, or be likely to, confuse the appellant’s imitation butter product with a pure butter product. That aside, the conclusion reached appears to contradict the conclusion in the Melange Proposal, which found that consumers believed that the product is ‘butter’ or ‘pure butter’. For the purposes of the determination of a likelihood of confusion by a notional consumer in the notional marketplace, the methodology used in the Survey self-evidently fell short. One searches in vain for questions that seek to recreate and emulate the experience of a notional consumer in the notional marketplace. </w:t>
      </w:r>
    </w:p>
    <w:p w:rsidR="00364DA3" w:rsidRPr="00D01FEF" w:rsidRDefault="00364DA3" w:rsidP="00364DA3">
      <w:pPr>
        <w:pStyle w:val="ListParagraph"/>
        <w:widowControl w:val="0"/>
        <w:autoSpaceDE w:val="0"/>
        <w:autoSpaceDN w:val="0"/>
        <w:ind w:left="0"/>
        <w:rPr>
          <w:rFonts w:ascii="Arial" w:eastAsia="Arial" w:hAnsi="Arial" w:cs="Arial"/>
          <w:b/>
          <w:sz w:val="22"/>
          <w:szCs w:val="22"/>
          <w:lang w:val="en-US" w:eastAsia="en-US"/>
        </w:rPr>
      </w:pPr>
    </w:p>
    <w:p w:rsidR="00B9081B" w:rsidRPr="00EE3815" w:rsidRDefault="00EE3815" w:rsidP="00EE3815">
      <w:pPr>
        <w:widowControl w:val="0"/>
        <w:autoSpaceDE w:val="0"/>
        <w:autoSpaceDN w:val="0"/>
        <w:rPr>
          <w:rFonts w:ascii="Arial" w:eastAsia="Arial" w:hAnsi="Arial" w:cs="Arial"/>
          <w:b/>
          <w:sz w:val="22"/>
          <w:szCs w:val="22"/>
          <w:lang w:val="en-US" w:eastAsia="en-US"/>
        </w:rPr>
      </w:pPr>
      <w:r w:rsidRPr="00D01FEF">
        <w:rPr>
          <w:rFonts w:ascii="Arial" w:eastAsia="Arial" w:hAnsi="Arial" w:cs="Arial"/>
          <w:lang w:val="en-US" w:eastAsia="en-US"/>
        </w:rPr>
        <w:t>[30]</w:t>
      </w:r>
      <w:r w:rsidRPr="00D01FEF">
        <w:rPr>
          <w:rFonts w:ascii="Arial" w:eastAsia="Arial" w:hAnsi="Arial" w:cs="Arial"/>
          <w:lang w:val="en-US" w:eastAsia="en-US"/>
        </w:rPr>
        <w:tab/>
      </w:r>
      <w:r w:rsidR="00364DA3" w:rsidRPr="00EE3815">
        <w:rPr>
          <w:rFonts w:ascii="Arial" w:eastAsia="Arial" w:hAnsi="Arial" w:cs="Arial"/>
          <w:lang w:val="en-US" w:eastAsia="en-US"/>
        </w:rPr>
        <w:t xml:space="preserve">If anything, the Survey was ‘conducted under artificial conditions away from the </w:t>
      </w:r>
      <w:r w:rsidR="00B9081B" w:rsidRPr="00EE3815">
        <w:rPr>
          <w:rFonts w:ascii="Arial" w:eastAsia="Arial" w:hAnsi="Arial" w:cs="Arial"/>
          <w:lang w:val="en-US" w:eastAsia="en-US"/>
        </w:rPr>
        <w:t>trade’, which renders the Survey ‘less probative’ and unreliable.</w:t>
      </w:r>
      <w:r w:rsidR="00B9081B" w:rsidRPr="00D01FEF">
        <w:rPr>
          <w:rFonts w:eastAsia="Arial"/>
          <w:vertAlign w:val="superscript"/>
          <w:lang w:val="en-US" w:eastAsia="en-US"/>
        </w:rPr>
        <w:footnoteReference w:id="16"/>
      </w:r>
      <w:r w:rsidR="00B9081B" w:rsidRPr="00EE3815">
        <w:rPr>
          <w:rFonts w:ascii="Arial" w:eastAsia="Arial" w:hAnsi="Arial" w:cs="Arial"/>
          <w:lang w:val="en-US" w:eastAsia="en-US"/>
        </w:rPr>
        <w:t xml:space="preserve"> The participants comprised an ‘online internet panel’, not actual, potential or even notional consumers </w:t>
      </w:r>
      <w:r w:rsidR="00B9081B" w:rsidRPr="00EE3815">
        <w:rPr>
          <w:rFonts w:ascii="Arial" w:eastAsia="Arial" w:hAnsi="Arial" w:cs="Arial"/>
          <w:lang w:val="en-US" w:eastAsia="en-US"/>
        </w:rPr>
        <w:lastRenderedPageBreak/>
        <w:t>in a notional marketplace. They were required to complete an undisclosed internet-based questionnaire, the content of which was also undisclosed, all of which makes it impossible to properly assess both the efficacy and validity of the exercise. Labels were provided to the participants to study and consider before filling out the questionnaire. The Survey, therefore, utterly ignored the notional marketplace and the notional consumer, who would encounter the appellant’s product cheek by jowl with other products.</w:t>
      </w:r>
    </w:p>
    <w:p w:rsidR="00B9081B" w:rsidRPr="00D01FEF" w:rsidRDefault="00B9081B" w:rsidP="00B9081B">
      <w:pPr>
        <w:pStyle w:val="ListParagraph"/>
        <w:rPr>
          <w:rFonts w:ascii="Arial" w:eastAsia="Arial" w:hAnsi="Arial" w:cs="Arial"/>
          <w:b/>
          <w:lang w:val="en-US" w:eastAsia="en-US"/>
        </w:rPr>
      </w:pPr>
    </w:p>
    <w:p w:rsidR="00B9081B" w:rsidRPr="00D01FEF" w:rsidRDefault="00B9081B" w:rsidP="00B9081B">
      <w:pPr>
        <w:pStyle w:val="ListParagraph"/>
        <w:widowControl w:val="0"/>
        <w:autoSpaceDE w:val="0"/>
        <w:autoSpaceDN w:val="0"/>
        <w:ind w:left="0"/>
        <w:rPr>
          <w:rFonts w:ascii="Arial" w:eastAsia="Arial" w:hAnsi="Arial" w:cs="Arial"/>
          <w:b/>
          <w:sz w:val="22"/>
          <w:szCs w:val="22"/>
          <w:lang w:val="en-US" w:eastAsia="en-US"/>
        </w:rPr>
      </w:pPr>
      <w:r w:rsidRPr="00D01FEF">
        <w:rPr>
          <w:rFonts w:ascii="Arial" w:eastAsia="Arial" w:hAnsi="Arial" w:cs="Arial"/>
          <w:lang w:val="en-US" w:eastAsia="en-US"/>
        </w:rPr>
        <w:t>[31]</w:t>
      </w:r>
      <w:r w:rsidRPr="00D01FEF">
        <w:rPr>
          <w:rFonts w:ascii="Arial" w:eastAsia="Arial" w:hAnsi="Arial" w:cs="Arial"/>
          <w:lang w:val="en-US" w:eastAsia="en-US"/>
        </w:rPr>
        <w:tab/>
        <w:t>Somewhat alarmingly, the Survey, conducted during 12 to 17 March 2021, claimed that a considerable number of participants knew the appellant’s product, despite the fact that the product had only entered the market in limited volumes in certain undisclosed locations on the 1</w:t>
      </w:r>
      <w:r w:rsidRPr="00D01FEF">
        <w:rPr>
          <w:rFonts w:ascii="Arial" w:eastAsia="Arial" w:hAnsi="Arial" w:cs="Arial"/>
          <w:vertAlign w:val="superscript"/>
          <w:lang w:val="en-US" w:eastAsia="en-US"/>
        </w:rPr>
        <w:t>st</w:t>
      </w:r>
      <w:r w:rsidRPr="00D01FEF">
        <w:rPr>
          <w:rFonts w:ascii="Arial" w:eastAsia="Arial" w:hAnsi="Arial" w:cs="Arial"/>
          <w:lang w:val="en-US" w:eastAsia="en-US"/>
        </w:rPr>
        <w:t xml:space="preserve"> of that month. How such product recognition could occur in such a short period of time and with such limited market penetration, is not explained. </w:t>
      </w:r>
    </w:p>
    <w:p w:rsidR="00B9081B" w:rsidRPr="00D01FEF" w:rsidRDefault="00B9081B" w:rsidP="00B9081B">
      <w:pPr>
        <w:pStyle w:val="ListParagraph"/>
        <w:rPr>
          <w:rFonts w:ascii="Arial" w:eastAsia="Arial" w:hAnsi="Arial" w:cs="Arial"/>
          <w:lang w:val="en-US" w:eastAsia="en-US"/>
        </w:rPr>
      </w:pPr>
    </w:p>
    <w:p w:rsidR="00B9081B" w:rsidRPr="00D01FEF" w:rsidRDefault="00B9081B" w:rsidP="00B9081B">
      <w:pPr>
        <w:pStyle w:val="ListParagraph"/>
        <w:widowControl w:val="0"/>
        <w:autoSpaceDE w:val="0"/>
        <w:autoSpaceDN w:val="0"/>
        <w:ind w:left="0"/>
        <w:rPr>
          <w:rFonts w:ascii="Arial" w:eastAsia="Arial" w:hAnsi="Arial" w:cs="Arial"/>
          <w:lang w:val="en-US" w:eastAsia="en-US"/>
        </w:rPr>
      </w:pPr>
      <w:r w:rsidRPr="00D01FEF">
        <w:rPr>
          <w:rFonts w:ascii="Arial" w:eastAsia="Arial" w:hAnsi="Arial" w:cs="Arial"/>
          <w:lang w:val="en-US" w:eastAsia="en-US"/>
        </w:rPr>
        <w:t>[32]</w:t>
      </w:r>
      <w:r w:rsidRPr="00D01FEF">
        <w:rPr>
          <w:rFonts w:ascii="Arial" w:eastAsia="Arial" w:hAnsi="Arial" w:cs="Arial"/>
          <w:lang w:val="en-US" w:eastAsia="en-US"/>
        </w:rPr>
        <w:tab/>
        <w:t>Significantly, the Survey also apparently pointedly avoided the real question that ought to have been asked, namely</w:t>
      </w:r>
      <w:r w:rsidR="0038313D">
        <w:rPr>
          <w:rFonts w:ascii="Arial" w:eastAsia="Arial" w:hAnsi="Arial" w:cs="Arial"/>
          <w:lang w:val="en-US" w:eastAsia="en-US"/>
        </w:rPr>
        <w:t>,</w:t>
      </w:r>
      <w:r w:rsidRPr="00D01FEF">
        <w:rPr>
          <w:rFonts w:ascii="Arial" w:eastAsia="Arial" w:hAnsi="Arial" w:cs="Arial"/>
          <w:lang w:val="en-US" w:eastAsia="en-US"/>
        </w:rPr>
        <w:t xml:space="preserve"> whether any survey participant could correctly identify the appellant’s product as a modified or imitation butter. Nevertheless, it is significant that the Su</w:t>
      </w:r>
      <w:r w:rsidR="00BF17C2" w:rsidRPr="00D01FEF">
        <w:rPr>
          <w:rFonts w:ascii="Arial" w:eastAsia="Arial" w:hAnsi="Arial" w:cs="Arial"/>
          <w:lang w:val="en-US" w:eastAsia="en-US"/>
        </w:rPr>
        <w:t>rvey concluded</w:t>
      </w:r>
      <w:r w:rsidRPr="00D01FEF">
        <w:rPr>
          <w:rFonts w:ascii="Arial" w:eastAsia="Arial" w:hAnsi="Arial" w:cs="Arial"/>
          <w:lang w:val="en-US" w:eastAsia="en-US"/>
        </w:rPr>
        <w:t xml:space="preserve"> that a significant number of participants identified and categorised the product as ‘butter’ and ‘butter spread’. Only a mere 5% categorised the product as ‘margarine’ or ‘something else’. We are not told whether that something else is ‘modified butter’. But the fact that 94% of the participants identified the appellant’s product as butter and butter spread ought not to have come as a surprise. It had been predicted in the Melange Proposal that if the butter product descriptor on the label is made bolder so as to ‘grab and hold’ the consumer’s attention within the first few seconds, consumers would perceive the product’s content as ‘butter’ or ‘pure butter’.</w:t>
      </w:r>
    </w:p>
    <w:p w:rsidR="00B9081B" w:rsidRPr="00D01FEF" w:rsidRDefault="00B9081B" w:rsidP="00B9081B">
      <w:pPr>
        <w:pStyle w:val="ListParagraph"/>
        <w:widowControl w:val="0"/>
        <w:autoSpaceDE w:val="0"/>
        <w:autoSpaceDN w:val="0"/>
        <w:ind w:left="0"/>
        <w:rPr>
          <w:rFonts w:ascii="Arial" w:eastAsia="Arial" w:hAnsi="Arial" w:cs="Arial"/>
          <w:lang w:val="en-US" w:eastAsia="en-US"/>
        </w:rPr>
      </w:pPr>
    </w:p>
    <w:p w:rsidR="00B9081B" w:rsidRPr="00D01FEF" w:rsidRDefault="00B9081B" w:rsidP="00B9081B">
      <w:pPr>
        <w:pStyle w:val="ListParagraph"/>
        <w:widowControl w:val="0"/>
        <w:autoSpaceDE w:val="0"/>
        <w:autoSpaceDN w:val="0"/>
        <w:ind w:left="0"/>
        <w:rPr>
          <w:rFonts w:ascii="Arial" w:eastAsia="Arial" w:hAnsi="Arial" w:cs="Arial"/>
          <w:b/>
          <w:sz w:val="22"/>
          <w:szCs w:val="22"/>
          <w:lang w:val="en-US" w:eastAsia="en-US"/>
        </w:rPr>
      </w:pPr>
      <w:r w:rsidRPr="00D01FEF">
        <w:rPr>
          <w:rFonts w:ascii="Arial" w:eastAsia="Arial" w:hAnsi="Arial" w:cs="Arial"/>
          <w:lang w:val="en-US" w:eastAsia="en-US"/>
        </w:rPr>
        <w:t>[33]</w:t>
      </w:r>
      <w:r w:rsidRPr="00D01FEF">
        <w:rPr>
          <w:rFonts w:ascii="Arial" w:eastAsia="Arial" w:hAnsi="Arial" w:cs="Arial"/>
          <w:lang w:val="en-US" w:eastAsia="en-US"/>
        </w:rPr>
        <w:tab/>
        <w:t>It is so that although survey evidence is hearsay, it can be admitted as evidence in terms of the Law of Evidence Amendment Act 45 of 1988.</w:t>
      </w:r>
      <w:r w:rsidRPr="00D01FEF">
        <w:rPr>
          <w:rFonts w:ascii="Arial" w:eastAsia="Arial" w:hAnsi="Arial" w:cs="Arial"/>
          <w:vertAlign w:val="superscript"/>
          <w:lang w:val="en-US" w:eastAsia="en-US"/>
        </w:rPr>
        <w:footnoteReference w:id="17"/>
      </w:r>
      <w:r w:rsidRPr="00D01FEF">
        <w:rPr>
          <w:rFonts w:ascii="Arial" w:eastAsia="Arial" w:hAnsi="Arial" w:cs="Arial"/>
          <w:lang w:val="en-US" w:eastAsia="en-US"/>
        </w:rPr>
        <w:t xml:space="preserve"> However, even if survey opinions and conclusions are admitted into evidence, a court is at large to decline to </w:t>
      </w:r>
      <w:r w:rsidRPr="00D01FEF">
        <w:rPr>
          <w:rFonts w:ascii="Arial" w:eastAsia="Arial" w:hAnsi="Arial" w:cs="Arial"/>
          <w:lang w:val="en-US" w:eastAsia="en-US"/>
        </w:rPr>
        <w:lastRenderedPageBreak/>
        <w:t>accord the survey any evidentiary weight because the determination of a likelihood of deception and confusion is within the exclusive province of the court, and no court would surrender that determination to an expert.</w:t>
      </w:r>
      <w:r w:rsidRPr="00D01FEF">
        <w:rPr>
          <w:rFonts w:ascii="Arial" w:eastAsia="Arial" w:hAnsi="Arial" w:cs="Arial"/>
          <w:vertAlign w:val="superscript"/>
          <w:lang w:val="en-US" w:eastAsia="en-US"/>
        </w:rPr>
        <w:footnoteReference w:id="18"/>
      </w:r>
      <w:r w:rsidRPr="00D01FEF">
        <w:rPr>
          <w:rFonts w:ascii="Arial" w:eastAsia="Arial" w:hAnsi="Arial" w:cs="Arial"/>
          <w:lang w:val="en-US" w:eastAsia="en-US"/>
        </w:rPr>
        <w:t xml:space="preserve"> The inherent deficiencies in the Survey compounded, when read together with the articulated objectives, conclusions and recommendations in the Melange Proposal and the VAS Analysis, may well warrant rejection as unreliable. But, it is perhaps not necessary to go that far, because to the extent that reliance can be placed on that evidence, they appear to warrant the inference that the appellant had, in adopting the product label, acted out ‘a common charade’.</w:t>
      </w:r>
      <w:r w:rsidRPr="00D01FEF">
        <w:rPr>
          <w:rFonts w:ascii="Arial" w:eastAsia="Arial" w:hAnsi="Arial" w:cs="Arial"/>
          <w:vertAlign w:val="superscript"/>
          <w:lang w:val="en-US" w:eastAsia="en-US"/>
        </w:rPr>
        <w:footnoteReference w:id="19"/>
      </w:r>
      <w:r w:rsidRPr="00D01FEF">
        <w:rPr>
          <w:rFonts w:ascii="Arial" w:eastAsia="Arial" w:hAnsi="Arial" w:cs="Arial"/>
          <w:lang w:val="en-US" w:eastAsia="en-US"/>
        </w:rPr>
        <w:t xml:space="preserve"> </w:t>
      </w:r>
    </w:p>
    <w:p w:rsidR="00BF17C2" w:rsidRPr="00D01FEF" w:rsidRDefault="00BF17C2" w:rsidP="00B9081B">
      <w:pPr>
        <w:pStyle w:val="ListParagraph"/>
        <w:widowControl w:val="0"/>
        <w:autoSpaceDE w:val="0"/>
        <w:autoSpaceDN w:val="0"/>
        <w:ind w:left="0"/>
        <w:rPr>
          <w:rFonts w:ascii="Arial" w:eastAsia="Arial" w:hAnsi="Arial" w:cs="Arial"/>
          <w:lang w:val="en-US" w:eastAsia="en-US"/>
        </w:rPr>
      </w:pPr>
    </w:p>
    <w:p w:rsidR="00B9081B" w:rsidRPr="00D01FEF" w:rsidRDefault="00BF17C2" w:rsidP="00B9081B">
      <w:pPr>
        <w:pStyle w:val="ListParagraph"/>
        <w:widowControl w:val="0"/>
        <w:autoSpaceDE w:val="0"/>
        <w:autoSpaceDN w:val="0"/>
        <w:ind w:left="0"/>
        <w:rPr>
          <w:rFonts w:ascii="Arial" w:eastAsia="Arial" w:hAnsi="Arial" w:cs="Arial"/>
          <w:b/>
          <w:sz w:val="22"/>
          <w:szCs w:val="22"/>
          <w:lang w:val="en-US" w:eastAsia="en-US"/>
        </w:rPr>
      </w:pPr>
      <w:r w:rsidRPr="00D01FEF">
        <w:rPr>
          <w:rFonts w:ascii="Arial" w:eastAsia="Arial" w:hAnsi="Arial" w:cs="Arial"/>
          <w:lang w:val="en-US" w:eastAsia="en-US"/>
        </w:rPr>
        <w:t>[34]</w:t>
      </w:r>
      <w:r w:rsidRPr="00D01FEF">
        <w:rPr>
          <w:rFonts w:ascii="Arial" w:eastAsia="Arial" w:hAnsi="Arial" w:cs="Arial"/>
          <w:lang w:val="en-US" w:eastAsia="en-US"/>
        </w:rPr>
        <w:tab/>
      </w:r>
      <w:r w:rsidR="00B9081B" w:rsidRPr="00D01FEF">
        <w:rPr>
          <w:rFonts w:ascii="Arial" w:eastAsia="Arial" w:hAnsi="Arial" w:cs="Arial"/>
          <w:lang w:val="en-US" w:eastAsia="en-US"/>
        </w:rPr>
        <w:t>The evidence, such as it is, appears to support the conclusion that the label would, or at the very least would be likely to, convey or create a false or misleading impression as to the nature, class or identity of the appellant’s product. It also tends to support the suggestion that the label was designed so as to mislead the public into thinking that the product is a pure butter product.</w:t>
      </w:r>
      <w:r w:rsidR="00B9081B" w:rsidRPr="00D01FEF">
        <w:rPr>
          <w:rFonts w:ascii="Arial" w:eastAsia="Arial" w:hAnsi="Arial" w:cs="Arial"/>
          <w:vertAlign w:val="superscript"/>
          <w:lang w:val="en-US" w:eastAsia="en-US"/>
        </w:rPr>
        <w:footnoteReference w:id="20"/>
      </w:r>
    </w:p>
    <w:p w:rsidR="00B9081B" w:rsidRPr="00D01FEF" w:rsidRDefault="00B9081B" w:rsidP="00B9081B">
      <w:pPr>
        <w:pStyle w:val="ListParagraph"/>
        <w:rPr>
          <w:rFonts w:ascii="Arial" w:eastAsia="Arial" w:hAnsi="Arial" w:cs="Arial"/>
          <w:b/>
          <w:lang w:val="en-US" w:eastAsia="en-US"/>
        </w:rPr>
      </w:pPr>
    </w:p>
    <w:p w:rsidR="00B9081B" w:rsidRPr="00D01FEF" w:rsidRDefault="00D01FEF" w:rsidP="009707DC">
      <w:pPr>
        <w:widowControl w:val="0"/>
        <w:autoSpaceDE w:val="0"/>
        <w:autoSpaceDN w:val="0"/>
        <w:rPr>
          <w:rFonts w:ascii="Arial" w:eastAsia="Arial" w:hAnsi="Arial" w:cs="Arial"/>
          <w:b/>
          <w:sz w:val="22"/>
          <w:szCs w:val="22"/>
          <w:lang w:val="en-US" w:eastAsia="en-US"/>
        </w:rPr>
      </w:pPr>
      <w:r w:rsidRPr="00D01FEF">
        <w:rPr>
          <w:rFonts w:ascii="Arial" w:eastAsia="Arial" w:hAnsi="Arial" w:cs="Arial"/>
          <w:lang w:val="en-US" w:eastAsia="en-US"/>
        </w:rPr>
        <w:t>[35</w:t>
      </w:r>
      <w:r w:rsidR="009707DC" w:rsidRPr="00D01FEF">
        <w:rPr>
          <w:rFonts w:ascii="Arial" w:eastAsia="Arial" w:hAnsi="Arial" w:cs="Arial"/>
          <w:lang w:val="en-US" w:eastAsia="en-US"/>
        </w:rPr>
        <w:t>]</w:t>
      </w:r>
      <w:r w:rsidR="009707DC" w:rsidRPr="00D01FEF">
        <w:rPr>
          <w:rFonts w:ascii="Arial" w:eastAsia="Arial" w:hAnsi="Arial" w:cs="Arial"/>
          <w:lang w:val="en-US" w:eastAsia="en-US"/>
        </w:rPr>
        <w:tab/>
      </w:r>
      <w:r w:rsidR="00B9081B" w:rsidRPr="00D01FEF">
        <w:rPr>
          <w:rFonts w:ascii="Arial" w:eastAsia="Arial" w:hAnsi="Arial" w:cs="Arial"/>
          <w:lang w:val="en-US" w:eastAsia="en-US"/>
        </w:rPr>
        <w:t>As observed earlier, the word ‘butter’ is undeniably the dominant feature on the appellant’s product label and</w:t>
      </w:r>
      <w:r w:rsidR="0038313D">
        <w:rPr>
          <w:rFonts w:ascii="Arial" w:eastAsia="Arial" w:hAnsi="Arial" w:cs="Arial"/>
          <w:lang w:val="en-US" w:eastAsia="en-US"/>
        </w:rPr>
        <w:t>,</w:t>
      </w:r>
      <w:r w:rsidR="00B9081B" w:rsidRPr="00D01FEF">
        <w:rPr>
          <w:rFonts w:ascii="Arial" w:eastAsia="Arial" w:hAnsi="Arial" w:cs="Arial"/>
          <w:lang w:val="en-US" w:eastAsia="en-US"/>
        </w:rPr>
        <w:t xml:space="preserve"> the product class designation ‘modified butter’ in the phrase ‘medium fat modified butter spread with sunflower and palm oils’</w:t>
      </w:r>
      <w:r w:rsidR="0038313D">
        <w:rPr>
          <w:rFonts w:ascii="Arial" w:eastAsia="Arial" w:hAnsi="Arial" w:cs="Arial"/>
          <w:lang w:val="en-US" w:eastAsia="en-US"/>
        </w:rPr>
        <w:t>,</w:t>
      </w:r>
      <w:r w:rsidR="00B9081B" w:rsidRPr="00D01FEF">
        <w:rPr>
          <w:rFonts w:ascii="Arial" w:eastAsia="Arial" w:hAnsi="Arial" w:cs="Arial"/>
          <w:lang w:val="en-US" w:eastAsia="en-US"/>
        </w:rPr>
        <w:t xml:space="preserve"> is virtually invisible in the phrase (which itself is barely perceptible). It follows that the conclusion that the label is likely to convey or create a false or misleading impression as to the nature or class of the appellant’s product is inescapable – the peculiar get-up of the label will self-evidently </w:t>
      </w:r>
      <w:r w:rsidR="00BF17C2" w:rsidRPr="00D01FEF">
        <w:rPr>
          <w:rFonts w:ascii="Arial" w:eastAsia="Arial" w:hAnsi="Arial" w:cs="Arial"/>
          <w:lang w:val="en-US" w:eastAsia="en-US"/>
        </w:rPr>
        <w:t xml:space="preserve">(or at least be likely to) </w:t>
      </w:r>
      <w:r w:rsidR="00B9081B" w:rsidRPr="00D01FEF">
        <w:rPr>
          <w:rFonts w:ascii="Arial" w:eastAsia="Arial" w:hAnsi="Arial" w:cs="Arial"/>
          <w:lang w:val="en-US" w:eastAsia="en-US"/>
        </w:rPr>
        <w:t>deceive or confuse</w:t>
      </w:r>
      <w:r w:rsidR="00BF17C2" w:rsidRPr="00D01FEF">
        <w:rPr>
          <w:rFonts w:ascii="Arial" w:eastAsia="Arial" w:hAnsi="Arial" w:cs="Arial"/>
          <w:lang w:val="en-US" w:eastAsia="en-US"/>
        </w:rPr>
        <w:t xml:space="preserve"> </w:t>
      </w:r>
      <w:r w:rsidR="00B9081B" w:rsidRPr="00D01FEF">
        <w:rPr>
          <w:rFonts w:ascii="Arial" w:eastAsia="Arial" w:hAnsi="Arial" w:cs="Arial"/>
          <w:lang w:val="en-US" w:eastAsia="en-US"/>
        </w:rPr>
        <w:t>the notional consumer into believing that the product is a butter product.</w:t>
      </w:r>
    </w:p>
    <w:p w:rsidR="00B9081B" w:rsidRPr="00D01FEF" w:rsidRDefault="00B9081B" w:rsidP="00B9081B">
      <w:pPr>
        <w:pStyle w:val="ListParagraph"/>
        <w:rPr>
          <w:rFonts w:ascii="Arial" w:eastAsia="Arial" w:hAnsi="Arial" w:cs="Arial"/>
          <w:b/>
          <w:lang w:val="en-US" w:eastAsia="en-US"/>
        </w:rPr>
      </w:pPr>
    </w:p>
    <w:p w:rsidR="00B9081B" w:rsidRPr="00D01FEF" w:rsidRDefault="00B9081B" w:rsidP="00B9081B">
      <w:pPr>
        <w:widowControl w:val="0"/>
        <w:autoSpaceDE w:val="0"/>
        <w:autoSpaceDN w:val="0"/>
        <w:rPr>
          <w:rFonts w:ascii="Arial" w:eastAsia="Arial" w:hAnsi="Arial" w:cs="Arial"/>
          <w:i/>
          <w:iCs/>
          <w:lang w:val="en-US" w:eastAsia="en-US"/>
        </w:rPr>
      </w:pPr>
      <w:r w:rsidRPr="00D01FEF">
        <w:rPr>
          <w:rFonts w:ascii="Arial" w:eastAsia="Arial" w:hAnsi="Arial" w:cs="Arial"/>
          <w:i/>
          <w:iCs/>
          <w:lang w:val="en-US" w:eastAsia="en-US"/>
        </w:rPr>
        <w:t>As to the third:</w:t>
      </w:r>
    </w:p>
    <w:p w:rsidR="00B9081B" w:rsidRPr="00D01FEF" w:rsidRDefault="00D01FEF" w:rsidP="009707DC">
      <w:pPr>
        <w:widowControl w:val="0"/>
        <w:autoSpaceDE w:val="0"/>
        <w:autoSpaceDN w:val="0"/>
        <w:rPr>
          <w:rFonts w:ascii="Arial" w:eastAsia="Arial" w:hAnsi="Arial" w:cs="Arial"/>
          <w:b/>
          <w:sz w:val="22"/>
          <w:szCs w:val="22"/>
          <w:lang w:val="en-US" w:eastAsia="en-US"/>
        </w:rPr>
      </w:pPr>
      <w:r w:rsidRPr="00D01FEF">
        <w:rPr>
          <w:rFonts w:ascii="Arial" w:eastAsia="Arial" w:hAnsi="Arial" w:cs="Arial"/>
          <w:lang w:val="en-US" w:eastAsia="en-US"/>
        </w:rPr>
        <w:t>[36</w:t>
      </w:r>
      <w:r w:rsidR="009707DC" w:rsidRPr="00D01FEF">
        <w:rPr>
          <w:rFonts w:ascii="Arial" w:eastAsia="Arial" w:hAnsi="Arial" w:cs="Arial"/>
          <w:lang w:val="en-US" w:eastAsia="en-US"/>
        </w:rPr>
        <w:t>]</w:t>
      </w:r>
      <w:r w:rsidR="009707DC" w:rsidRPr="00D01FEF">
        <w:rPr>
          <w:rFonts w:ascii="Arial" w:eastAsia="Arial" w:hAnsi="Arial" w:cs="Arial"/>
          <w:lang w:val="en-US" w:eastAsia="en-US"/>
        </w:rPr>
        <w:tab/>
      </w:r>
      <w:r w:rsidR="00B9081B" w:rsidRPr="00D01FEF">
        <w:rPr>
          <w:rFonts w:ascii="Arial" w:eastAsia="Arial" w:hAnsi="Arial" w:cs="Arial"/>
          <w:lang w:val="en-US" w:eastAsia="en-US"/>
        </w:rPr>
        <w:t xml:space="preserve">It does not appear to be in dispute that if the appellant trades in contravention of a statutory prohibition, such trade would also constitute an actionable wrong under </w:t>
      </w:r>
      <w:r w:rsidR="00B9081B" w:rsidRPr="00D01FEF">
        <w:rPr>
          <w:rFonts w:ascii="Arial" w:eastAsia="Arial" w:hAnsi="Arial" w:cs="Arial"/>
          <w:lang w:val="en-US" w:eastAsia="en-US"/>
        </w:rPr>
        <w:lastRenderedPageBreak/>
        <w:t>the common law, namely unlawful competition</w:t>
      </w:r>
      <w:r w:rsidR="00B9081B" w:rsidRPr="00D01FEF">
        <w:rPr>
          <w:rFonts w:ascii="Arial" w:eastAsia="Arial" w:hAnsi="Arial" w:cs="Arial"/>
          <w:vertAlign w:val="superscript"/>
          <w:lang w:val="en-US" w:eastAsia="en-US"/>
        </w:rPr>
        <w:footnoteReference w:id="21"/>
      </w:r>
      <w:r w:rsidR="00B9081B" w:rsidRPr="00D01FEF">
        <w:rPr>
          <w:rFonts w:ascii="Arial" w:eastAsia="Arial" w:hAnsi="Arial" w:cs="Arial"/>
          <w:lang w:val="en-US" w:eastAsia="en-US"/>
        </w:rPr>
        <w:t xml:space="preserve"> (which is actionable even if the misrepresentation is innocent).</w:t>
      </w:r>
      <w:r w:rsidR="00B9081B" w:rsidRPr="00D01FEF">
        <w:rPr>
          <w:rFonts w:ascii="Arial" w:eastAsia="Arial" w:hAnsi="Arial" w:cs="Arial"/>
          <w:vertAlign w:val="superscript"/>
          <w:lang w:val="en-US" w:eastAsia="en-US"/>
        </w:rPr>
        <w:footnoteReference w:id="22"/>
      </w:r>
      <w:r w:rsidR="00B9081B" w:rsidRPr="00D01FEF">
        <w:rPr>
          <w:rFonts w:ascii="Arial" w:eastAsia="Arial" w:hAnsi="Arial" w:cs="Arial"/>
          <w:lang w:val="en-US" w:eastAsia="en-US"/>
        </w:rPr>
        <w:t xml:space="preserve"> On appeal, the appellant appears to have accepted that if it is found to trade in contravention of the statutory </w:t>
      </w:r>
      <w:r w:rsidR="00B9081B" w:rsidRPr="00422E1A">
        <w:rPr>
          <w:rFonts w:ascii="Arial" w:eastAsia="Arial" w:hAnsi="Arial" w:cs="Arial"/>
          <w:lang w:val="en-US" w:eastAsia="en-US"/>
        </w:rPr>
        <w:t>prohibitions</w:t>
      </w:r>
      <w:r w:rsidR="00B8068A" w:rsidRPr="00422E1A">
        <w:rPr>
          <w:rFonts w:ascii="Arial" w:eastAsia="Arial" w:hAnsi="Arial" w:cs="Arial"/>
          <w:lang w:val="en-US" w:eastAsia="en-US"/>
        </w:rPr>
        <w:t>,</w:t>
      </w:r>
      <w:r w:rsidR="00B9081B" w:rsidRPr="00422E1A">
        <w:rPr>
          <w:rFonts w:ascii="Arial" w:eastAsia="Arial" w:hAnsi="Arial" w:cs="Arial"/>
          <w:lang w:val="en-US" w:eastAsia="en-US"/>
        </w:rPr>
        <w:t xml:space="preserve"> then</w:t>
      </w:r>
      <w:r w:rsidR="00B9081B" w:rsidRPr="00D01FEF">
        <w:rPr>
          <w:rFonts w:ascii="Arial" w:eastAsia="Arial" w:hAnsi="Arial" w:cs="Arial"/>
          <w:lang w:val="en-US" w:eastAsia="en-US"/>
        </w:rPr>
        <w:t xml:space="preserve"> the respondent has proven unlawful competition and that the court </w:t>
      </w:r>
      <w:r w:rsidR="00B9081B" w:rsidRPr="00D01FEF">
        <w:rPr>
          <w:rFonts w:ascii="Arial" w:eastAsia="Arial" w:hAnsi="Arial" w:cs="Arial"/>
          <w:i/>
          <w:lang w:val="en-US" w:eastAsia="en-US"/>
        </w:rPr>
        <w:t>a quo</w:t>
      </w:r>
      <w:r w:rsidR="00B9081B" w:rsidRPr="00D01FEF">
        <w:rPr>
          <w:rFonts w:ascii="Arial" w:eastAsia="Arial" w:hAnsi="Arial" w:cs="Arial"/>
          <w:lang w:val="en-US" w:eastAsia="en-US"/>
        </w:rPr>
        <w:t xml:space="preserve"> was correct in so finding.</w:t>
      </w:r>
    </w:p>
    <w:p w:rsidR="00B9081B" w:rsidRPr="00D01FEF" w:rsidRDefault="00B9081B" w:rsidP="00B9081B">
      <w:pPr>
        <w:pStyle w:val="ListParagraph"/>
        <w:widowControl w:val="0"/>
        <w:autoSpaceDE w:val="0"/>
        <w:autoSpaceDN w:val="0"/>
        <w:ind w:left="0"/>
        <w:rPr>
          <w:rFonts w:ascii="Arial" w:eastAsia="Arial" w:hAnsi="Arial" w:cs="Arial"/>
          <w:b/>
          <w:lang w:val="en-US" w:eastAsia="en-US"/>
        </w:rPr>
      </w:pPr>
    </w:p>
    <w:p w:rsidR="00B9081B" w:rsidRPr="00D01FEF" w:rsidRDefault="00B9081B" w:rsidP="00B9081B">
      <w:pPr>
        <w:widowControl w:val="0"/>
        <w:autoSpaceDE w:val="0"/>
        <w:autoSpaceDN w:val="0"/>
        <w:rPr>
          <w:rFonts w:ascii="Arial" w:eastAsia="Arial" w:hAnsi="Arial" w:cs="Arial"/>
          <w:i/>
          <w:lang w:val="en-US" w:eastAsia="en-US"/>
        </w:rPr>
      </w:pPr>
      <w:r w:rsidRPr="00D01FEF">
        <w:rPr>
          <w:rFonts w:ascii="Arial" w:eastAsia="Arial" w:hAnsi="Arial" w:cs="Arial"/>
          <w:i/>
          <w:lang w:val="en-US" w:eastAsia="en-US"/>
        </w:rPr>
        <w:t>As to the fourth:</w:t>
      </w:r>
    </w:p>
    <w:p w:rsidR="00B9081B" w:rsidRPr="00D01FEF" w:rsidRDefault="00D01FEF" w:rsidP="009707DC">
      <w:pPr>
        <w:widowControl w:val="0"/>
        <w:autoSpaceDE w:val="0"/>
        <w:autoSpaceDN w:val="0"/>
        <w:rPr>
          <w:rFonts w:ascii="Arial" w:eastAsia="Arial" w:hAnsi="Arial" w:cs="Arial"/>
          <w:b/>
          <w:sz w:val="22"/>
          <w:szCs w:val="22"/>
          <w:lang w:val="en-US" w:eastAsia="en-US"/>
        </w:rPr>
      </w:pPr>
      <w:r w:rsidRPr="00D01FEF">
        <w:rPr>
          <w:rFonts w:ascii="Arial" w:eastAsia="Arial" w:hAnsi="Arial" w:cs="Arial"/>
          <w:lang w:val="en-US" w:eastAsia="en-US"/>
        </w:rPr>
        <w:t>[37</w:t>
      </w:r>
      <w:r w:rsidR="009707DC" w:rsidRPr="00D01FEF">
        <w:rPr>
          <w:rFonts w:ascii="Arial" w:eastAsia="Arial" w:hAnsi="Arial" w:cs="Arial"/>
          <w:lang w:val="en-US" w:eastAsia="en-US"/>
        </w:rPr>
        <w:t>]</w:t>
      </w:r>
      <w:r w:rsidR="009707DC" w:rsidRPr="00D01FEF">
        <w:rPr>
          <w:rFonts w:ascii="Arial" w:eastAsia="Arial" w:hAnsi="Arial" w:cs="Arial"/>
          <w:lang w:val="en-US" w:eastAsia="en-US"/>
        </w:rPr>
        <w:tab/>
      </w:r>
      <w:r w:rsidR="00B9081B" w:rsidRPr="00D01FEF">
        <w:rPr>
          <w:rFonts w:ascii="Arial" w:eastAsia="Arial" w:hAnsi="Arial" w:cs="Arial"/>
          <w:lang w:val="en-US" w:eastAsia="en-US"/>
        </w:rPr>
        <w:t>The appellant contends that the respondent had available to it an alternative remedy under the Act which, so the contention goes, should have been pursued instead of this application. On that score, s 3 of the Act, which states that the Minister may ‘prohibit the sale of a prescribed product’, has been invoked.</w:t>
      </w:r>
      <w:r w:rsidR="00B9081B" w:rsidRPr="00D01FEF">
        <w:rPr>
          <w:rFonts w:ascii="Arial" w:eastAsia="Arial" w:hAnsi="Arial" w:cs="Arial"/>
          <w:vertAlign w:val="superscript"/>
          <w:lang w:val="en-US" w:eastAsia="en-US"/>
        </w:rPr>
        <w:footnoteReference w:id="23"/>
      </w:r>
      <w:r w:rsidR="00B9081B" w:rsidRPr="00D01FEF">
        <w:rPr>
          <w:rFonts w:ascii="Arial" w:eastAsia="Arial" w:hAnsi="Arial" w:cs="Arial"/>
          <w:lang w:val="en-US" w:eastAsia="en-US"/>
        </w:rPr>
        <w:t xml:space="preserve"> However, why it is thought that s 3, which does no more than empower the Minister to take steps to ensure compliance with the Act, would avail the respondent in the present circumstances is far from clear. NejahMogul’s label clearance issued on 4 March 2020.</w:t>
      </w:r>
      <w:r w:rsidR="00B9081B" w:rsidRPr="00D01FEF">
        <w:rPr>
          <w:rFonts w:ascii="Arial" w:eastAsia="Arial" w:hAnsi="Arial" w:cs="Arial"/>
          <w:iCs/>
          <w:lang w:val="en-US" w:eastAsia="en-US"/>
        </w:rPr>
        <w:t xml:space="preserve"> The argument </w:t>
      </w:r>
      <w:r w:rsidR="00B9081B" w:rsidRPr="00D01FEF">
        <w:rPr>
          <w:rFonts w:ascii="Arial" w:eastAsia="Arial" w:hAnsi="Arial" w:cs="Arial"/>
          <w:lang w:val="en-US" w:eastAsia="en-US"/>
        </w:rPr>
        <w:t xml:space="preserve">that the respondent should have approached the Minister to prohibit the sale of the product despite the grant of the clearance may well be untenable. Moreover, the Act and the Regulations appear to make no provision for any such further approach. </w:t>
      </w:r>
    </w:p>
    <w:p w:rsidR="00B9081B" w:rsidRPr="00D01FEF" w:rsidRDefault="00B9081B" w:rsidP="00B9081B">
      <w:pPr>
        <w:pStyle w:val="ListParagraph"/>
        <w:widowControl w:val="0"/>
        <w:autoSpaceDE w:val="0"/>
        <w:autoSpaceDN w:val="0"/>
        <w:ind w:left="0"/>
        <w:rPr>
          <w:rFonts w:ascii="Arial" w:eastAsia="Arial" w:hAnsi="Arial" w:cs="Arial"/>
          <w:b/>
          <w:lang w:val="en-US" w:eastAsia="en-US"/>
        </w:rPr>
      </w:pPr>
    </w:p>
    <w:p w:rsidR="00364DA3" w:rsidRPr="00D01FEF" w:rsidRDefault="00D01FEF" w:rsidP="009707DC">
      <w:pPr>
        <w:widowControl w:val="0"/>
        <w:autoSpaceDE w:val="0"/>
        <w:autoSpaceDN w:val="0"/>
        <w:rPr>
          <w:rFonts w:ascii="Arial" w:eastAsia="Arial" w:hAnsi="Arial" w:cs="Arial"/>
          <w:b/>
          <w:sz w:val="22"/>
          <w:szCs w:val="22"/>
          <w:lang w:val="en-US" w:eastAsia="en-US"/>
        </w:rPr>
      </w:pPr>
      <w:r w:rsidRPr="00D01FEF">
        <w:rPr>
          <w:rFonts w:ascii="Arial" w:eastAsia="Arial" w:hAnsi="Arial" w:cs="Arial"/>
          <w:lang w:val="en-US" w:eastAsia="en-US"/>
        </w:rPr>
        <w:t>[38</w:t>
      </w:r>
      <w:r w:rsidR="009707DC" w:rsidRPr="00D01FEF">
        <w:rPr>
          <w:rFonts w:ascii="Arial" w:eastAsia="Arial" w:hAnsi="Arial" w:cs="Arial"/>
          <w:lang w:val="en-US" w:eastAsia="en-US"/>
        </w:rPr>
        <w:t>]</w:t>
      </w:r>
      <w:r w:rsidR="009707DC" w:rsidRPr="00D01FEF">
        <w:rPr>
          <w:rFonts w:ascii="Arial" w:eastAsia="Arial" w:hAnsi="Arial" w:cs="Arial"/>
          <w:lang w:val="en-US" w:eastAsia="en-US"/>
        </w:rPr>
        <w:tab/>
      </w:r>
      <w:r w:rsidR="00364DA3" w:rsidRPr="00D01FEF">
        <w:rPr>
          <w:rFonts w:ascii="Arial" w:eastAsia="Arial" w:hAnsi="Arial" w:cs="Arial"/>
          <w:lang w:val="en-US" w:eastAsia="en-US"/>
        </w:rPr>
        <w:t xml:space="preserve">In any event, s 3 of the Act falls far short of affording the respondent the remedy sought in this application, namely to interdict and restrain the appellant’s continuing unlawful conduct. As observed in </w:t>
      </w:r>
      <w:bookmarkStart w:id="1" w:name="_Hlk134344980"/>
      <w:r w:rsidR="00364DA3" w:rsidRPr="00D01FEF">
        <w:rPr>
          <w:rFonts w:ascii="Arial" w:eastAsia="Arial" w:hAnsi="Arial" w:cs="Arial"/>
          <w:i/>
          <w:lang w:val="en-US" w:eastAsia="en-US"/>
        </w:rPr>
        <w:t xml:space="preserve">Milestone Beverage CC and Others v The Scotch </w:t>
      </w:r>
      <w:r w:rsidR="00364DA3" w:rsidRPr="00D01FEF">
        <w:rPr>
          <w:rFonts w:ascii="Arial" w:eastAsia="Arial" w:hAnsi="Arial" w:cs="Arial"/>
          <w:i/>
          <w:lang w:val="en-US" w:eastAsia="en-US"/>
        </w:rPr>
        <w:lastRenderedPageBreak/>
        <w:t>Whisky Association and Others</w:t>
      </w:r>
      <w:bookmarkEnd w:id="1"/>
      <w:r w:rsidR="00364DA3" w:rsidRPr="00D01FEF">
        <w:rPr>
          <w:rStyle w:val="FootnoteReference"/>
          <w:rFonts w:ascii="Arial" w:eastAsia="Arial" w:hAnsi="Arial" w:cs="Arial"/>
          <w:lang w:val="en-US" w:eastAsia="en-US"/>
        </w:rPr>
        <w:footnoteReference w:id="24"/>
      </w:r>
      <w:r w:rsidR="00364DA3" w:rsidRPr="00D01FEF">
        <w:rPr>
          <w:rFonts w:ascii="Arial" w:eastAsia="Arial" w:hAnsi="Arial" w:cs="Arial"/>
          <w:lang w:val="en-US" w:eastAsia="en-US"/>
        </w:rPr>
        <w:t xml:space="preserve"> (</w:t>
      </w:r>
      <w:r w:rsidR="00364DA3" w:rsidRPr="00D01FEF">
        <w:rPr>
          <w:rFonts w:ascii="Arial" w:eastAsia="Arial" w:hAnsi="Arial" w:cs="Arial"/>
          <w:i/>
          <w:lang w:val="en-US" w:eastAsia="en-US"/>
        </w:rPr>
        <w:t>Milestone</w:t>
      </w:r>
      <w:r w:rsidR="00364DA3" w:rsidRPr="00D01FEF">
        <w:rPr>
          <w:rFonts w:ascii="Arial" w:eastAsia="Arial" w:hAnsi="Arial" w:cs="Arial"/>
          <w:lang w:val="en-US" w:eastAsia="en-US"/>
        </w:rPr>
        <w:t>)</w:t>
      </w:r>
      <w:r w:rsidR="00364DA3" w:rsidRPr="00D01FEF">
        <w:rPr>
          <w:rFonts w:ascii="Arial" w:eastAsia="Arial" w:hAnsi="Arial" w:cs="Arial"/>
          <w:i/>
          <w:lang w:val="en-US" w:eastAsia="en-US"/>
        </w:rPr>
        <w:t xml:space="preserve"> </w:t>
      </w:r>
      <w:r w:rsidR="00364DA3" w:rsidRPr="00D01FEF">
        <w:rPr>
          <w:rFonts w:ascii="Arial" w:eastAsia="Arial" w:hAnsi="Arial" w:cs="Arial"/>
          <w:lang w:val="en-US" w:eastAsia="en-US"/>
        </w:rPr>
        <w:t xml:space="preserve">(citing with approval the judgment of Trollip J in </w:t>
      </w:r>
      <w:r w:rsidR="00364DA3" w:rsidRPr="00D01FEF">
        <w:rPr>
          <w:rFonts w:ascii="Arial" w:eastAsia="Arial" w:hAnsi="Arial" w:cs="Arial"/>
          <w:i/>
          <w:lang w:val="en-US" w:eastAsia="en-US"/>
        </w:rPr>
        <w:t>Johannesburg City Council v Knoetze and Sons</w:t>
      </w:r>
      <w:r w:rsidR="00364DA3" w:rsidRPr="00D01FEF">
        <w:rPr>
          <w:rFonts w:ascii="Arial" w:eastAsia="Arial" w:hAnsi="Arial" w:cs="Arial"/>
          <w:iCs/>
          <w:vertAlign w:val="superscript"/>
          <w:lang w:val="en-US" w:eastAsia="en-US"/>
        </w:rPr>
        <w:footnoteReference w:id="25"/>
      </w:r>
      <w:r w:rsidR="00364DA3" w:rsidRPr="00D01FEF">
        <w:rPr>
          <w:rFonts w:ascii="Arial" w:eastAsia="Arial" w:hAnsi="Arial" w:cs="Arial"/>
          <w:iCs/>
          <w:lang w:val="en-US" w:eastAsia="en-US"/>
        </w:rPr>
        <w:t>)</w:t>
      </w:r>
      <w:r w:rsidR="00364DA3" w:rsidRPr="00D01FEF">
        <w:rPr>
          <w:rFonts w:ascii="Arial" w:eastAsia="Arial" w:hAnsi="Arial" w:cs="Arial"/>
          <w:lang w:val="en-US" w:eastAsia="en-US"/>
        </w:rPr>
        <w:t>:</w:t>
      </w:r>
    </w:p>
    <w:p w:rsidR="00364DA3" w:rsidRPr="00D01FEF" w:rsidRDefault="00364DA3" w:rsidP="00364DA3">
      <w:pPr>
        <w:widowControl w:val="0"/>
        <w:autoSpaceDE w:val="0"/>
        <w:autoSpaceDN w:val="0"/>
        <w:rPr>
          <w:rFonts w:ascii="Arial" w:eastAsia="Arial" w:hAnsi="Arial" w:cs="Arial"/>
          <w:sz w:val="22"/>
          <w:szCs w:val="22"/>
          <w:lang w:val="en-US" w:eastAsia="en-US"/>
        </w:rPr>
      </w:pPr>
      <w:r w:rsidRPr="00D01FEF">
        <w:rPr>
          <w:rFonts w:ascii="Arial" w:eastAsia="Arial" w:hAnsi="Arial" w:cs="Arial"/>
          <w:sz w:val="22"/>
          <w:szCs w:val="22"/>
          <w:lang w:val="en-US" w:eastAsia="en-US"/>
        </w:rPr>
        <w:t xml:space="preserve">‘. . . [T]he purpose of an interdict is to restrain future or continuing breaches of a statute, whereas the statutory remedy of prosecuting and punishing an offender relates to past breaches. Different considerations must therefore inevitably apply. </w:t>
      </w:r>
      <w:r w:rsidRPr="00180118">
        <w:rPr>
          <w:rFonts w:ascii="Arial" w:eastAsia="Arial" w:hAnsi="Arial" w:cs="Arial"/>
          <w:sz w:val="22"/>
          <w:szCs w:val="22"/>
          <w:lang w:val="en-US" w:eastAsia="en-US"/>
        </w:rPr>
        <w:t>For, while the</w:t>
      </w:r>
      <w:r w:rsidRPr="00D01FEF">
        <w:rPr>
          <w:rFonts w:ascii="Arial" w:eastAsia="Arial" w:hAnsi="Arial" w:cs="Arial"/>
          <w:sz w:val="22"/>
          <w:szCs w:val="22"/>
          <w:lang w:val="en-US" w:eastAsia="en-US"/>
        </w:rPr>
        <w:t xml:space="preserve"> statutory remedies might be adequate to deal with past breaches, the civil remedy of an interdict might be the only effective means of coping with future or continuing breaches.’</w:t>
      </w:r>
      <w:r w:rsidRPr="00D01FEF">
        <w:rPr>
          <w:rFonts w:ascii="Arial" w:eastAsia="Arial" w:hAnsi="Arial" w:cs="Arial"/>
          <w:iCs/>
          <w:sz w:val="22"/>
          <w:szCs w:val="22"/>
          <w:vertAlign w:val="superscript"/>
          <w:lang w:val="en-US" w:eastAsia="en-US"/>
        </w:rPr>
        <w:footnoteReference w:id="26"/>
      </w:r>
    </w:p>
    <w:p w:rsidR="00B9081B" w:rsidRPr="00D01FEF" w:rsidRDefault="00B9081B" w:rsidP="00364DA3">
      <w:pPr>
        <w:pStyle w:val="ListParagraph"/>
        <w:widowControl w:val="0"/>
        <w:autoSpaceDE w:val="0"/>
        <w:autoSpaceDN w:val="0"/>
        <w:ind w:left="0"/>
        <w:rPr>
          <w:rFonts w:ascii="Arial" w:eastAsia="Arial" w:hAnsi="Arial" w:cs="Arial"/>
          <w:lang w:val="en-US" w:eastAsia="en-US"/>
        </w:rPr>
      </w:pPr>
    </w:p>
    <w:p w:rsidR="00B9081B" w:rsidRPr="00D01FEF" w:rsidRDefault="00D01FEF" w:rsidP="009707DC">
      <w:pPr>
        <w:pStyle w:val="ListParagraph"/>
        <w:widowControl w:val="0"/>
        <w:autoSpaceDE w:val="0"/>
        <w:autoSpaceDN w:val="0"/>
        <w:ind w:left="0"/>
        <w:rPr>
          <w:rFonts w:ascii="Arial" w:eastAsia="Arial" w:hAnsi="Arial" w:cs="Arial"/>
          <w:sz w:val="22"/>
          <w:szCs w:val="22"/>
          <w:lang w:val="en-US" w:eastAsia="en-US"/>
        </w:rPr>
      </w:pPr>
      <w:r w:rsidRPr="00D01FEF">
        <w:rPr>
          <w:rFonts w:ascii="Arial" w:eastAsia="Arial" w:hAnsi="Arial" w:cs="Arial"/>
          <w:lang w:val="en-US" w:eastAsia="en-US"/>
        </w:rPr>
        <w:t>[39</w:t>
      </w:r>
      <w:r w:rsidR="009707DC" w:rsidRPr="00D01FEF">
        <w:rPr>
          <w:rFonts w:ascii="Arial" w:eastAsia="Arial" w:hAnsi="Arial" w:cs="Arial"/>
          <w:lang w:val="en-US" w:eastAsia="en-US"/>
        </w:rPr>
        <w:t>]</w:t>
      </w:r>
      <w:r w:rsidR="009707DC" w:rsidRPr="00D01FEF">
        <w:rPr>
          <w:rFonts w:ascii="Arial" w:eastAsia="Arial" w:hAnsi="Arial" w:cs="Arial"/>
          <w:lang w:val="en-US" w:eastAsia="en-US"/>
        </w:rPr>
        <w:tab/>
      </w:r>
      <w:r w:rsidR="00B9081B" w:rsidRPr="00D01FEF">
        <w:rPr>
          <w:rFonts w:ascii="Arial" w:eastAsia="Arial" w:hAnsi="Arial" w:cs="Arial"/>
          <w:lang w:val="en-US" w:eastAsia="en-US"/>
        </w:rPr>
        <w:t>The respondent’s case is that the Act and the Regulations make no provision for any form of relief even remotely similar to an interdict to restrain continuing unlawful competition in the form of trade in contravention of a statutory prohibition. But, even if there was a statutory remedy that could be invoked to address the unlawful competition (and there appears to be none)</w:t>
      </w:r>
      <w:r w:rsidR="0038313D">
        <w:rPr>
          <w:rFonts w:ascii="Arial" w:eastAsia="Arial" w:hAnsi="Arial" w:cs="Arial"/>
          <w:lang w:val="en-US" w:eastAsia="en-US"/>
        </w:rPr>
        <w:t>, then</w:t>
      </w:r>
      <w:r w:rsidR="00B9081B" w:rsidRPr="00D01FEF">
        <w:rPr>
          <w:rFonts w:ascii="Arial" w:eastAsia="Arial" w:hAnsi="Arial" w:cs="Arial"/>
          <w:lang w:val="en-US" w:eastAsia="en-US"/>
        </w:rPr>
        <w:t xml:space="preserve"> applying the dictum in </w:t>
      </w:r>
      <w:r w:rsidR="00B9081B" w:rsidRPr="00D01FEF">
        <w:rPr>
          <w:rFonts w:ascii="Arial" w:eastAsia="Arial" w:hAnsi="Arial" w:cs="Arial"/>
          <w:i/>
          <w:lang w:val="en-US" w:eastAsia="en-US"/>
        </w:rPr>
        <w:t>Milestone</w:t>
      </w:r>
      <w:r w:rsidR="00B9081B" w:rsidRPr="00D01FEF">
        <w:rPr>
          <w:rFonts w:ascii="Arial" w:eastAsia="Arial" w:hAnsi="Arial" w:cs="Arial"/>
          <w:lang w:val="en-US" w:eastAsia="en-US"/>
        </w:rPr>
        <w:t xml:space="preserve">, there is nothing that prevents the respondent from seeking an interdict in the high court. Nothing, therefore, precluded the respondent from seeking the remedy of an interdict for alleged trade in transgression of a statutory provision and, therefore, unlawful competition in the court </w:t>
      </w:r>
      <w:r w:rsidR="00B9081B" w:rsidRPr="00D01FEF">
        <w:rPr>
          <w:rFonts w:ascii="Arial" w:eastAsia="Arial" w:hAnsi="Arial" w:cs="Arial"/>
          <w:i/>
          <w:lang w:val="en-US" w:eastAsia="en-US"/>
        </w:rPr>
        <w:t>a quo</w:t>
      </w:r>
      <w:r w:rsidR="00B9081B" w:rsidRPr="00D01FEF">
        <w:rPr>
          <w:rFonts w:ascii="Arial" w:eastAsia="Arial" w:hAnsi="Arial" w:cs="Arial"/>
          <w:lang w:val="en-US" w:eastAsia="en-US"/>
        </w:rPr>
        <w:t>.</w:t>
      </w:r>
    </w:p>
    <w:p w:rsidR="00B9081B" w:rsidRPr="00D01FEF" w:rsidRDefault="00B9081B" w:rsidP="00B9081B">
      <w:pPr>
        <w:widowControl w:val="0"/>
        <w:autoSpaceDE w:val="0"/>
        <w:autoSpaceDN w:val="0"/>
        <w:rPr>
          <w:rFonts w:ascii="Arial" w:eastAsia="Arial" w:hAnsi="Arial" w:cs="Arial"/>
          <w:i/>
          <w:lang w:val="en-US" w:eastAsia="en-US"/>
        </w:rPr>
      </w:pPr>
    </w:p>
    <w:p w:rsidR="00B9081B" w:rsidRPr="00D01FEF" w:rsidRDefault="00B9081B" w:rsidP="00B9081B">
      <w:pPr>
        <w:widowControl w:val="0"/>
        <w:autoSpaceDE w:val="0"/>
        <w:autoSpaceDN w:val="0"/>
        <w:rPr>
          <w:rFonts w:ascii="Arial" w:eastAsia="Arial" w:hAnsi="Arial" w:cs="Arial"/>
          <w:i/>
          <w:lang w:val="en-US" w:eastAsia="en-US"/>
        </w:rPr>
      </w:pPr>
      <w:r w:rsidRPr="00D01FEF">
        <w:rPr>
          <w:rFonts w:ascii="Arial" w:eastAsia="Arial" w:hAnsi="Arial" w:cs="Arial"/>
          <w:i/>
          <w:lang w:val="en-US" w:eastAsia="en-US"/>
        </w:rPr>
        <w:t>As to the fifth:</w:t>
      </w:r>
    </w:p>
    <w:p w:rsidR="00364DA3" w:rsidRPr="00D01FEF" w:rsidRDefault="00D01FEF" w:rsidP="009707DC">
      <w:pPr>
        <w:widowControl w:val="0"/>
        <w:autoSpaceDE w:val="0"/>
        <w:autoSpaceDN w:val="0"/>
        <w:rPr>
          <w:rFonts w:ascii="Arial" w:eastAsia="Arial" w:hAnsi="Arial" w:cs="Arial"/>
          <w:sz w:val="22"/>
          <w:szCs w:val="22"/>
          <w:lang w:val="en-US" w:eastAsia="en-US"/>
        </w:rPr>
      </w:pPr>
      <w:r w:rsidRPr="00D01FEF">
        <w:rPr>
          <w:rFonts w:ascii="Arial" w:eastAsia="Arial" w:hAnsi="Arial" w:cs="Arial"/>
          <w:lang w:val="en-US" w:eastAsia="en-US"/>
        </w:rPr>
        <w:t>[40</w:t>
      </w:r>
      <w:r w:rsidR="009707DC" w:rsidRPr="00D01FEF">
        <w:rPr>
          <w:rFonts w:ascii="Arial" w:eastAsia="Arial" w:hAnsi="Arial" w:cs="Arial"/>
          <w:lang w:val="en-US" w:eastAsia="en-US"/>
        </w:rPr>
        <w:t>]</w:t>
      </w:r>
      <w:r w:rsidR="009707DC" w:rsidRPr="00D01FEF">
        <w:rPr>
          <w:rFonts w:ascii="Arial" w:eastAsia="Arial" w:hAnsi="Arial" w:cs="Arial"/>
          <w:lang w:val="en-US" w:eastAsia="en-US"/>
        </w:rPr>
        <w:tab/>
      </w:r>
      <w:r w:rsidR="00364DA3" w:rsidRPr="00D01FEF">
        <w:rPr>
          <w:rFonts w:ascii="Arial" w:eastAsia="Arial" w:hAnsi="Arial" w:cs="Arial"/>
          <w:lang w:val="en-US" w:eastAsia="en-US"/>
        </w:rPr>
        <w:t>In support of the contention that the Minister has a direct and substantial interest in the application and will be prejudicially affected by the relief sought,</w:t>
      </w:r>
      <w:r w:rsidR="00364DA3" w:rsidRPr="00D01FEF">
        <w:rPr>
          <w:rFonts w:ascii="Arial" w:eastAsia="Arial" w:hAnsi="Arial" w:cs="Arial"/>
          <w:vertAlign w:val="superscript"/>
          <w:lang w:val="en-US" w:eastAsia="en-US"/>
        </w:rPr>
        <w:footnoteReference w:id="27"/>
      </w:r>
      <w:r w:rsidR="00364DA3" w:rsidRPr="00D01FEF">
        <w:rPr>
          <w:rFonts w:ascii="Arial" w:eastAsia="Arial" w:hAnsi="Arial" w:cs="Arial"/>
          <w:lang w:val="en-US" w:eastAsia="en-US"/>
        </w:rPr>
        <w:t xml:space="preserve"> reliance is sought to be placed on </w:t>
      </w:r>
      <w:r w:rsidR="00364DA3" w:rsidRPr="00D01FEF">
        <w:rPr>
          <w:rFonts w:ascii="Arial" w:eastAsia="Arial" w:hAnsi="Arial" w:cs="Arial"/>
          <w:i/>
          <w:lang w:val="en-US" w:eastAsia="en-US"/>
        </w:rPr>
        <w:t xml:space="preserve">Esquire Electronics Ltd v Executive Video </w:t>
      </w:r>
      <w:r w:rsidR="00364DA3" w:rsidRPr="00D01FEF">
        <w:rPr>
          <w:rFonts w:ascii="Arial" w:eastAsia="Arial" w:hAnsi="Arial" w:cs="Arial"/>
          <w:lang w:val="en-US" w:eastAsia="en-US"/>
        </w:rPr>
        <w:t>(</w:t>
      </w:r>
      <w:r w:rsidR="00364DA3" w:rsidRPr="00D01FEF">
        <w:rPr>
          <w:rFonts w:ascii="Arial" w:eastAsia="Arial" w:hAnsi="Arial" w:cs="Arial"/>
          <w:i/>
          <w:lang w:val="en-US" w:eastAsia="en-US"/>
        </w:rPr>
        <w:t>Esquire</w:t>
      </w:r>
      <w:r w:rsidR="00364DA3" w:rsidRPr="00D01FEF">
        <w:rPr>
          <w:rFonts w:ascii="Arial" w:eastAsia="Arial" w:hAnsi="Arial" w:cs="Arial"/>
          <w:lang w:val="en-US" w:eastAsia="en-US"/>
        </w:rPr>
        <w:t>)</w:t>
      </w:r>
      <w:r w:rsidR="00364DA3" w:rsidRPr="00D01FEF">
        <w:rPr>
          <w:rFonts w:ascii="Arial" w:eastAsia="Arial" w:hAnsi="Arial" w:cs="Arial"/>
          <w:i/>
          <w:lang w:val="en-US" w:eastAsia="en-US"/>
        </w:rPr>
        <w:t>.</w:t>
      </w:r>
      <w:r w:rsidR="00364DA3" w:rsidRPr="00D01FEF">
        <w:rPr>
          <w:rFonts w:ascii="Arial" w:eastAsia="Arial" w:hAnsi="Arial" w:cs="Arial"/>
          <w:vertAlign w:val="superscript"/>
          <w:lang w:val="en-US" w:eastAsia="en-US"/>
        </w:rPr>
        <w:footnoteReference w:id="28"/>
      </w:r>
      <w:r w:rsidR="00364DA3" w:rsidRPr="00D01FEF">
        <w:rPr>
          <w:rFonts w:ascii="Arial" w:eastAsia="Arial" w:hAnsi="Arial" w:cs="Arial"/>
          <w:i/>
          <w:lang w:val="en-US" w:eastAsia="en-US"/>
        </w:rPr>
        <w:t xml:space="preserve"> </w:t>
      </w:r>
      <w:r w:rsidR="00BF17C2" w:rsidRPr="00D01FEF">
        <w:rPr>
          <w:rFonts w:ascii="Arial" w:eastAsia="Arial" w:hAnsi="Arial" w:cs="Arial"/>
          <w:lang w:val="en-US" w:eastAsia="en-US"/>
        </w:rPr>
        <w:t>However, as I see it</w:t>
      </w:r>
      <w:r w:rsidR="00364DA3" w:rsidRPr="00D01FEF">
        <w:rPr>
          <w:rFonts w:ascii="Arial" w:eastAsia="Arial" w:hAnsi="Arial" w:cs="Arial"/>
          <w:lang w:val="en-US" w:eastAsia="en-US"/>
        </w:rPr>
        <w:t xml:space="preserve">, such reliance is facile. The dictum relied upon by the appellant bears repeating: </w:t>
      </w:r>
    </w:p>
    <w:p w:rsidR="00364DA3" w:rsidRPr="00D01FEF" w:rsidRDefault="00364DA3" w:rsidP="00364DA3">
      <w:pPr>
        <w:widowControl w:val="0"/>
        <w:autoSpaceDE w:val="0"/>
        <w:autoSpaceDN w:val="0"/>
        <w:rPr>
          <w:rFonts w:ascii="Arial" w:eastAsia="Arial" w:hAnsi="Arial" w:cs="Arial"/>
          <w:sz w:val="22"/>
          <w:szCs w:val="22"/>
          <w:lang w:val="en-US" w:eastAsia="en-US"/>
        </w:rPr>
      </w:pPr>
      <w:r w:rsidRPr="00D01FEF">
        <w:rPr>
          <w:rFonts w:ascii="Arial" w:eastAsia="Arial" w:hAnsi="Arial" w:cs="Arial"/>
          <w:sz w:val="22"/>
          <w:szCs w:val="22"/>
          <w:lang w:val="en-US" w:eastAsia="en-US"/>
        </w:rPr>
        <w:lastRenderedPageBreak/>
        <w:t xml:space="preserve">‘In my opinion this point cannot properly be considered without the Registrar of Trade marks having been joined. A decision upholding the point might have far-reaching consequences, affecting the validity of numerous other trade marks in </w:t>
      </w:r>
      <w:r w:rsidRPr="00E07F66">
        <w:rPr>
          <w:rFonts w:ascii="Arial" w:eastAsia="Arial" w:hAnsi="Arial" w:cs="Arial"/>
          <w:sz w:val="22"/>
          <w:szCs w:val="22"/>
          <w:lang w:val="en-US" w:eastAsia="en-US"/>
        </w:rPr>
        <w:t>the register. More</w:t>
      </w:r>
      <w:r w:rsidR="00D36D11" w:rsidRPr="00E07F66">
        <w:rPr>
          <w:rFonts w:ascii="Arial" w:eastAsia="Arial" w:hAnsi="Arial" w:cs="Arial"/>
          <w:sz w:val="22"/>
          <w:szCs w:val="22"/>
          <w:lang w:val="en-US" w:eastAsia="en-US"/>
        </w:rPr>
        <w:t>-over, Regulation 4(4) provides that</w:t>
      </w:r>
      <w:r w:rsidRPr="00E07F66">
        <w:rPr>
          <w:rFonts w:ascii="Arial" w:eastAsia="Arial" w:hAnsi="Arial" w:cs="Arial"/>
          <w:sz w:val="22"/>
          <w:szCs w:val="22"/>
          <w:lang w:val="en-US" w:eastAsia="en-US"/>
        </w:rPr>
        <w:t xml:space="preserve"> if any doubt arises as to what class any particular description of goods or services</w:t>
      </w:r>
      <w:r w:rsidRPr="00D36D11">
        <w:rPr>
          <w:rFonts w:ascii="Arial" w:eastAsia="Arial" w:hAnsi="Arial" w:cs="Arial"/>
          <w:sz w:val="22"/>
          <w:szCs w:val="22"/>
          <w:lang w:val="en-US" w:eastAsia="en-US"/>
        </w:rPr>
        <w:t xml:space="preserve"> belongs to, the doubt shall be resolved by the Registrar. It is plain that the Registrar is directly and substantially interested in the point and that it should not be decided unless he is given an </w:t>
      </w:r>
      <w:r w:rsidRPr="00D01FEF">
        <w:rPr>
          <w:rFonts w:ascii="Arial" w:eastAsia="Arial" w:hAnsi="Arial" w:cs="Arial"/>
          <w:sz w:val="22"/>
          <w:szCs w:val="22"/>
          <w:lang w:val="en-US" w:eastAsia="en-US"/>
        </w:rPr>
        <w:t>opportunity of being heard.’</w:t>
      </w:r>
      <w:r w:rsidRPr="00D01FEF">
        <w:rPr>
          <w:rFonts w:ascii="Arial" w:eastAsia="Arial" w:hAnsi="Arial" w:cs="Arial"/>
          <w:sz w:val="22"/>
          <w:szCs w:val="22"/>
          <w:vertAlign w:val="superscript"/>
          <w:lang w:val="en-US" w:eastAsia="en-US"/>
        </w:rPr>
        <w:footnoteReference w:id="29"/>
      </w:r>
      <w:r w:rsidRPr="00D01FEF">
        <w:rPr>
          <w:rFonts w:ascii="Arial" w:eastAsia="Arial" w:hAnsi="Arial" w:cs="Arial"/>
          <w:sz w:val="22"/>
          <w:szCs w:val="22"/>
          <w:lang w:val="en-US" w:eastAsia="en-US"/>
        </w:rPr>
        <w:t xml:space="preserve"> </w:t>
      </w:r>
    </w:p>
    <w:p w:rsidR="00B9081B" w:rsidRPr="00D01FEF" w:rsidRDefault="00B9081B" w:rsidP="005C29CF">
      <w:pPr>
        <w:pStyle w:val="ListParagraph"/>
        <w:widowControl w:val="0"/>
        <w:autoSpaceDE w:val="0"/>
        <w:autoSpaceDN w:val="0"/>
        <w:ind w:left="0"/>
        <w:rPr>
          <w:rFonts w:ascii="Arial" w:eastAsia="Arial" w:hAnsi="Arial" w:cs="Arial"/>
          <w:lang w:val="en-US" w:eastAsia="en-US"/>
        </w:rPr>
      </w:pPr>
    </w:p>
    <w:p w:rsidR="00B9081B" w:rsidRPr="00D01FEF" w:rsidRDefault="00D01FEF" w:rsidP="009707DC">
      <w:pPr>
        <w:widowControl w:val="0"/>
        <w:autoSpaceDE w:val="0"/>
        <w:autoSpaceDN w:val="0"/>
        <w:rPr>
          <w:rFonts w:ascii="Arial" w:eastAsia="Arial" w:hAnsi="Arial" w:cs="Arial"/>
          <w:lang w:val="en-US" w:eastAsia="en-US"/>
        </w:rPr>
      </w:pPr>
      <w:r w:rsidRPr="00D01FEF">
        <w:rPr>
          <w:rFonts w:ascii="Arial" w:eastAsia="Arial" w:hAnsi="Arial" w:cs="Arial"/>
          <w:lang w:val="en-US" w:eastAsia="en-US"/>
        </w:rPr>
        <w:t>[41</w:t>
      </w:r>
      <w:r w:rsidR="009707DC" w:rsidRPr="00D01FEF">
        <w:rPr>
          <w:rFonts w:ascii="Arial" w:eastAsia="Arial" w:hAnsi="Arial" w:cs="Arial"/>
          <w:lang w:val="en-US" w:eastAsia="en-US"/>
        </w:rPr>
        <w:t>]</w:t>
      </w:r>
      <w:r w:rsidR="009707DC" w:rsidRPr="00D01FEF">
        <w:rPr>
          <w:rFonts w:ascii="Arial" w:eastAsia="Arial" w:hAnsi="Arial" w:cs="Arial"/>
          <w:lang w:val="en-US" w:eastAsia="en-US"/>
        </w:rPr>
        <w:tab/>
      </w:r>
      <w:r w:rsidR="00B9081B" w:rsidRPr="00D01FEF">
        <w:rPr>
          <w:rFonts w:ascii="Arial" w:eastAsia="Arial" w:hAnsi="Arial" w:cs="Arial"/>
          <w:lang w:val="en-US" w:eastAsia="en-US"/>
        </w:rPr>
        <w:t xml:space="preserve">The dictum underscores the fact that </w:t>
      </w:r>
      <w:r w:rsidR="00B9081B" w:rsidRPr="00D01FEF">
        <w:rPr>
          <w:rFonts w:ascii="Arial" w:eastAsia="Arial" w:hAnsi="Arial" w:cs="Arial"/>
          <w:i/>
          <w:lang w:val="en-US" w:eastAsia="en-US"/>
        </w:rPr>
        <w:t>Esquire</w:t>
      </w:r>
      <w:r w:rsidR="00B9081B" w:rsidRPr="00D01FEF">
        <w:rPr>
          <w:rFonts w:ascii="Arial" w:eastAsia="Arial" w:hAnsi="Arial" w:cs="Arial"/>
          <w:lang w:val="en-US" w:eastAsia="en-US"/>
        </w:rPr>
        <w:t xml:space="preserve"> differs </w:t>
      </w:r>
      <w:r w:rsidR="00B9081B" w:rsidRPr="00D01FEF">
        <w:rPr>
          <w:rFonts w:ascii="Arial" w:eastAsia="Arial" w:hAnsi="Arial" w:cs="Arial"/>
          <w:i/>
          <w:lang w:val="en-US" w:eastAsia="en-US"/>
        </w:rPr>
        <w:t>toto caelo</w:t>
      </w:r>
      <w:r w:rsidR="00B9081B" w:rsidRPr="00D01FEF">
        <w:rPr>
          <w:rFonts w:ascii="Arial" w:eastAsia="Arial" w:hAnsi="Arial" w:cs="Arial"/>
          <w:lang w:val="en-US" w:eastAsia="en-US"/>
        </w:rPr>
        <w:t xml:space="preserve"> from this case. The point under discussion in that matter</w:t>
      </w:r>
      <w:r w:rsidR="00B9081B" w:rsidRPr="00D01FEF">
        <w:rPr>
          <w:rFonts w:ascii="Arial" w:eastAsia="Arial" w:hAnsi="Arial" w:cs="Arial"/>
          <w:i/>
          <w:lang w:val="en-US" w:eastAsia="en-US"/>
        </w:rPr>
        <w:t xml:space="preserve"> </w:t>
      </w:r>
      <w:r w:rsidR="00B9081B" w:rsidRPr="00D01FEF">
        <w:rPr>
          <w:rFonts w:ascii="Arial" w:eastAsia="Arial" w:hAnsi="Arial" w:cs="Arial"/>
          <w:lang w:val="en-US" w:eastAsia="en-US"/>
        </w:rPr>
        <w:t>conceivably brought into question the validity of numerous other registered trade marks.</w:t>
      </w:r>
      <w:r w:rsidR="00B9081B" w:rsidRPr="00D01FEF">
        <w:rPr>
          <w:rFonts w:ascii="Arial" w:eastAsia="Arial" w:hAnsi="Arial" w:cs="Arial"/>
          <w:vertAlign w:val="superscript"/>
          <w:lang w:val="en-US" w:eastAsia="en-US"/>
        </w:rPr>
        <w:footnoteReference w:id="30"/>
      </w:r>
      <w:r w:rsidR="00B9081B" w:rsidRPr="00D01FEF">
        <w:rPr>
          <w:rFonts w:ascii="Arial" w:eastAsia="Arial" w:hAnsi="Arial" w:cs="Arial"/>
          <w:lang w:val="en-US" w:eastAsia="en-US"/>
        </w:rPr>
        <w:t xml:space="preserve"> The judgment in </w:t>
      </w:r>
      <w:r w:rsidR="00B9081B" w:rsidRPr="00D01FEF">
        <w:rPr>
          <w:rFonts w:ascii="Arial" w:eastAsia="Arial" w:hAnsi="Arial" w:cs="Arial"/>
          <w:i/>
          <w:lang w:val="en-US" w:eastAsia="en-US"/>
        </w:rPr>
        <w:t xml:space="preserve">Esquire </w:t>
      </w:r>
      <w:r w:rsidR="00CB24B3">
        <w:rPr>
          <w:rFonts w:ascii="Arial" w:eastAsia="Arial" w:hAnsi="Arial" w:cs="Arial"/>
          <w:lang w:val="en-US" w:eastAsia="en-US"/>
        </w:rPr>
        <w:t>was</w:t>
      </w:r>
      <w:r w:rsidR="00B9081B" w:rsidRPr="00D01FEF">
        <w:rPr>
          <w:rFonts w:ascii="Arial" w:eastAsia="Arial" w:hAnsi="Arial" w:cs="Arial"/>
          <w:lang w:val="en-US" w:eastAsia="en-US"/>
        </w:rPr>
        <w:t xml:space="preserve"> one </w:t>
      </w:r>
      <w:r w:rsidR="00B9081B" w:rsidRPr="00D01FEF">
        <w:rPr>
          <w:rFonts w:ascii="Arial" w:eastAsia="Arial" w:hAnsi="Arial" w:cs="Arial"/>
          <w:i/>
          <w:lang w:val="en-US" w:eastAsia="en-US"/>
        </w:rPr>
        <w:t xml:space="preserve">in rem </w:t>
      </w:r>
      <w:r w:rsidR="00B9081B" w:rsidRPr="00D01FEF">
        <w:rPr>
          <w:rFonts w:ascii="Arial" w:eastAsia="Arial" w:hAnsi="Arial" w:cs="Arial"/>
          <w:lang w:val="en-US" w:eastAsia="en-US"/>
        </w:rPr>
        <w:t>in that it affects a public register.</w:t>
      </w:r>
      <w:r w:rsidR="00B9081B" w:rsidRPr="00D01FEF">
        <w:rPr>
          <w:rFonts w:ascii="Arial" w:eastAsia="Arial" w:hAnsi="Arial" w:cs="Arial"/>
          <w:vertAlign w:val="superscript"/>
          <w:lang w:val="en-US" w:eastAsia="en-US"/>
        </w:rPr>
        <w:footnoteReference w:id="31"/>
      </w:r>
      <w:r w:rsidR="00B9081B" w:rsidRPr="00D01FEF">
        <w:rPr>
          <w:rFonts w:ascii="Arial" w:eastAsia="Arial" w:hAnsi="Arial" w:cs="Arial"/>
          <w:lang w:val="en-US" w:eastAsia="en-US"/>
        </w:rPr>
        <w:t xml:space="preserve"> </w:t>
      </w:r>
      <w:r w:rsidR="00B9081B" w:rsidRPr="00D01FEF">
        <w:rPr>
          <w:rFonts w:ascii="Arial" w:eastAsia="Arial" w:hAnsi="Arial" w:cs="Arial"/>
          <w:i/>
          <w:lang w:val="en-US" w:eastAsia="en-US"/>
        </w:rPr>
        <w:t>Esquire</w:t>
      </w:r>
      <w:r w:rsidR="00B9081B" w:rsidRPr="00D01FEF">
        <w:rPr>
          <w:rFonts w:ascii="Arial" w:eastAsia="Arial" w:hAnsi="Arial" w:cs="Arial"/>
          <w:lang w:val="en-US" w:eastAsia="en-US"/>
        </w:rPr>
        <w:t xml:space="preserve">, therefore, stated that the point could not properly be considered without the Registrar of Trade Marks (the Registrar) having been joined, because a decision on that point would bind the Registrar and could have far-reaching consequences for the validity of numerous other trade marks on the Trade Marks Register. In contrast, the </w:t>
      </w:r>
      <w:r w:rsidR="00B9081B" w:rsidRPr="00E07F66">
        <w:rPr>
          <w:rFonts w:ascii="Arial" w:eastAsia="Arial" w:hAnsi="Arial" w:cs="Arial"/>
          <w:lang w:val="en-US" w:eastAsia="en-US"/>
        </w:rPr>
        <w:t xml:space="preserve">relief sought by the respondent in this application affects and binds only the appellant and the respondent. It has no effect on, or consequence for the Minister, the Department or any other party. </w:t>
      </w:r>
      <w:r w:rsidR="00AC1287" w:rsidRPr="00E07F66">
        <w:rPr>
          <w:rFonts w:ascii="Arial" w:eastAsia="Arial" w:hAnsi="Arial" w:cs="Arial"/>
          <w:lang w:val="en-US" w:eastAsia="en-US"/>
        </w:rPr>
        <w:t>For the present, t</w:t>
      </w:r>
      <w:r w:rsidR="00B9081B" w:rsidRPr="00E07F66">
        <w:rPr>
          <w:rFonts w:ascii="Arial" w:eastAsia="Arial" w:hAnsi="Arial" w:cs="Arial"/>
          <w:lang w:val="en-US" w:eastAsia="en-US"/>
        </w:rPr>
        <w:t>he relief sought also has no effect on, or implications for</w:t>
      </w:r>
      <w:r w:rsidR="00B8068A" w:rsidRPr="00E07F66">
        <w:rPr>
          <w:rFonts w:ascii="Arial" w:eastAsia="Arial" w:hAnsi="Arial" w:cs="Arial"/>
          <w:lang w:val="en-US" w:eastAsia="en-US"/>
        </w:rPr>
        <w:t>,</w:t>
      </w:r>
      <w:r w:rsidR="00B9081B" w:rsidRPr="00E07F66">
        <w:rPr>
          <w:rFonts w:ascii="Arial" w:eastAsia="Arial" w:hAnsi="Arial" w:cs="Arial"/>
          <w:lang w:val="en-US" w:eastAsia="en-US"/>
        </w:rPr>
        <w:t xml:space="preserve"> the product label already approved by NejahMogul.</w:t>
      </w:r>
    </w:p>
    <w:p w:rsidR="00B9081B" w:rsidRPr="00D01FEF" w:rsidRDefault="00B9081B" w:rsidP="00B9081B">
      <w:pPr>
        <w:pStyle w:val="ListParagraph"/>
        <w:widowControl w:val="0"/>
        <w:autoSpaceDE w:val="0"/>
        <w:autoSpaceDN w:val="0"/>
        <w:ind w:left="0"/>
        <w:rPr>
          <w:rFonts w:ascii="Arial" w:eastAsia="Arial" w:hAnsi="Arial" w:cs="Arial"/>
          <w:lang w:val="en-US" w:eastAsia="en-US"/>
        </w:rPr>
      </w:pPr>
    </w:p>
    <w:p w:rsidR="00B9081B" w:rsidRPr="00D01FEF" w:rsidRDefault="00D01FEF" w:rsidP="00BF17C2">
      <w:pPr>
        <w:widowControl w:val="0"/>
        <w:autoSpaceDE w:val="0"/>
        <w:autoSpaceDN w:val="0"/>
        <w:rPr>
          <w:rFonts w:ascii="Arial" w:eastAsia="Arial" w:hAnsi="Arial" w:cs="Arial"/>
          <w:lang w:val="en-US" w:eastAsia="en-US"/>
        </w:rPr>
      </w:pPr>
      <w:r w:rsidRPr="00D01FEF">
        <w:rPr>
          <w:rFonts w:ascii="Arial" w:eastAsia="Arial" w:hAnsi="Arial" w:cs="Arial"/>
          <w:lang w:val="en-US" w:eastAsia="en-US"/>
        </w:rPr>
        <w:t>[42</w:t>
      </w:r>
      <w:r w:rsidR="005C29CF" w:rsidRPr="00D01FEF">
        <w:rPr>
          <w:rFonts w:ascii="Arial" w:eastAsia="Arial" w:hAnsi="Arial" w:cs="Arial"/>
          <w:lang w:val="en-US" w:eastAsia="en-US"/>
        </w:rPr>
        <w:t>]</w:t>
      </w:r>
      <w:r w:rsidR="005C29CF" w:rsidRPr="00D01FEF">
        <w:rPr>
          <w:rFonts w:ascii="Arial" w:eastAsia="Arial" w:hAnsi="Arial" w:cs="Arial"/>
          <w:lang w:val="en-US" w:eastAsia="en-US"/>
        </w:rPr>
        <w:tab/>
      </w:r>
      <w:r w:rsidR="00B9081B" w:rsidRPr="00D01FEF">
        <w:rPr>
          <w:rFonts w:ascii="Arial" w:eastAsia="Arial" w:hAnsi="Arial" w:cs="Arial"/>
          <w:lang w:val="en-US" w:eastAsia="en-US"/>
        </w:rPr>
        <w:t>The role and powers of the Registrar also differ fundamentally from that of the Minister. Contrasted with the Minister, the Registrar is a specialist in trade marks and related law who has, in terms of s 45(1) of the Trade Marks Act 194 of 1993 (Trade Marks Act), ‘all such powers and jurisdiction as are possessed by a single judge in a civil action before the Transvaal Provincial Division of the Supreme Court’. The Trade Marks Tribunal is furthermore a specialist tribunal especially created by the Trade Marks Act to hear and decide all statutory issues relating to trade marks. The provisions under consideration here do not create such a specialist tribunal to hear</w:t>
      </w:r>
      <w:r w:rsidR="00BF17C2" w:rsidRPr="00D01FEF">
        <w:rPr>
          <w:rFonts w:ascii="Arial" w:eastAsia="Arial" w:hAnsi="Arial" w:cs="Arial"/>
          <w:lang w:val="en-US" w:eastAsia="en-US"/>
        </w:rPr>
        <w:t xml:space="preserve"> </w:t>
      </w:r>
      <w:r w:rsidR="00B9081B" w:rsidRPr="00D01FEF">
        <w:rPr>
          <w:rFonts w:ascii="Arial" w:eastAsia="Arial" w:hAnsi="Arial" w:cs="Arial"/>
          <w:lang w:val="en-US" w:eastAsia="en-US"/>
        </w:rPr>
        <w:t xml:space="preserve">and decide issues relating to matters falling within the scope of the Act. The Minister and other functionaries, unlike the Registrar in </w:t>
      </w:r>
      <w:r w:rsidR="00B9081B" w:rsidRPr="00D01FEF">
        <w:rPr>
          <w:rFonts w:ascii="Arial" w:eastAsia="Arial" w:hAnsi="Arial" w:cs="Arial"/>
          <w:i/>
          <w:lang w:val="en-US" w:eastAsia="en-US"/>
        </w:rPr>
        <w:t>Esquire</w:t>
      </w:r>
      <w:r w:rsidR="00B9081B" w:rsidRPr="00D01FEF">
        <w:rPr>
          <w:rFonts w:ascii="Arial" w:eastAsia="Arial" w:hAnsi="Arial" w:cs="Arial"/>
          <w:lang w:val="en-US" w:eastAsia="en-US"/>
        </w:rPr>
        <w:t xml:space="preserve">, do not appear to have any </w:t>
      </w:r>
      <w:r w:rsidR="00B9081B" w:rsidRPr="00D01FEF">
        <w:rPr>
          <w:rFonts w:ascii="Arial" w:eastAsia="Arial" w:hAnsi="Arial" w:cs="Arial"/>
          <w:lang w:val="en-US" w:eastAsia="en-US"/>
        </w:rPr>
        <w:lastRenderedPageBreak/>
        <w:t xml:space="preserve">further role to play in this matter in relation to any of the orders sought by the respondent. It follows that, like the other grounds of appeal raised by the appellant, the non-joinder point must also fail. </w:t>
      </w:r>
    </w:p>
    <w:p w:rsidR="00B9081B" w:rsidRPr="00D01FEF" w:rsidRDefault="00B9081B" w:rsidP="00B9081B">
      <w:pPr>
        <w:pStyle w:val="ListParagraph"/>
        <w:rPr>
          <w:rFonts w:ascii="Arial" w:eastAsia="Arial" w:hAnsi="Arial" w:cs="Arial"/>
          <w:lang w:val="en-US" w:eastAsia="en-US"/>
        </w:rPr>
      </w:pPr>
    </w:p>
    <w:p w:rsidR="00B9081B" w:rsidRPr="00D01FEF" w:rsidRDefault="00D01FEF" w:rsidP="00B9081B">
      <w:pPr>
        <w:pStyle w:val="ListParagraph"/>
        <w:widowControl w:val="0"/>
        <w:autoSpaceDE w:val="0"/>
        <w:autoSpaceDN w:val="0"/>
        <w:ind w:left="0"/>
        <w:rPr>
          <w:rFonts w:ascii="Arial" w:eastAsia="Arial" w:hAnsi="Arial" w:cs="Arial"/>
          <w:lang w:val="en-US" w:eastAsia="en-US"/>
        </w:rPr>
      </w:pPr>
      <w:r w:rsidRPr="00D01FEF">
        <w:rPr>
          <w:rFonts w:ascii="Arial" w:eastAsia="Arial" w:hAnsi="Arial" w:cs="Arial"/>
          <w:lang w:val="en-US" w:eastAsia="en-US"/>
        </w:rPr>
        <w:t>[43</w:t>
      </w:r>
      <w:r w:rsidR="00B9081B" w:rsidRPr="00D01FEF">
        <w:rPr>
          <w:rFonts w:ascii="Arial" w:eastAsia="Arial" w:hAnsi="Arial" w:cs="Arial"/>
          <w:lang w:val="en-US" w:eastAsia="en-US"/>
        </w:rPr>
        <w:t>]</w:t>
      </w:r>
      <w:r w:rsidR="00B9081B" w:rsidRPr="00D01FEF">
        <w:rPr>
          <w:rFonts w:ascii="Arial" w:eastAsia="Arial" w:hAnsi="Arial" w:cs="Arial"/>
          <w:lang w:val="en-US" w:eastAsia="en-US"/>
        </w:rPr>
        <w:tab/>
        <w:t>In the result, the appeal falls to be dismissed with costs, such costs to include those of two counsel.</w:t>
      </w:r>
    </w:p>
    <w:p w:rsidR="00306737" w:rsidRPr="00D01FEF" w:rsidRDefault="00306737" w:rsidP="00306737">
      <w:pPr>
        <w:widowControl w:val="0"/>
        <w:autoSpaceDE w:val="0"/>
        <w:autoSpaceDN w:val="0"/>
        <w:spacing w:line="240" w:lineRule="auto"/>
        <w:rPr>
          <w:rFonts w:ascii="Arial" w:eastAsia="Arial" w:hAnsi="Arial" w:cs="Arial"/>
          <w:lang w:val="en-US" w:eastAsia="en-US"/>
        </w:rPr>
      </w:pPr>
    </w:p>
    <w:p w:rsidR="0035499A" w:rsidRPr="00D01FEF" w:rsidRDefault="0035499A" w:rsidP="005D07C6">
      <w:pPr>
        <w:rPr>
          <w:rFonts w:ascii="Arial" w:eastAsia="Arial" w:hAnsi="Arial" w:cs="Arial"/>
        </w:rPr>
      </w:pPr>
    </w:p>
    <w:p w:rsidR="00CB5FE1" w:rsidRPr="00D01FEF" w:rsidRDefault="005005D6" w:rsidP="005D07C6">
      <w:pPr>
        <w:jc w:val="right"/>
        <w:rPr>
          <w:rFonts w:ascii="Arial" w:eastAsia="Arial" w:hAnsi="Arial" w:cs="Arial"/>
        </w:rPr>
      </w:pPr>
      <w:r w:rsidRPr="00D01FEF">
        <w:rPr>
          <w:rFonts w:ascii="Arial" w:eastAsia="Arial" w:hAnsi="Arial" w:cs="Arial"/>
        </w:rPr>
        <w:tab/>
      </w:r>
      <w:r w:rsidRPr="00D01FEF">
        <w:rPr>
          <w:rFonts w:ascii="Arial" w:eastAsia="Arial" w:hAnsi="Arial" w:cs="Arial"/>
        </w:rPr>
        <w:tab/>
      </w:r>
      <w:r w:rsidRPr="00D01FEF">
        <w:rPr>
          <w:rFonts w:ascii="Arial" w:eastAsia="Arial" w:hAnsi="Arial" w:cs="Arial"/>
        </w:rPr>
        <w:tab/>
      </w:r>
      <w:r w:rsidRPr="00D01FEF">
        <w:rPr>
          <w:rFonts w:ascii="Arial" w:eastAsia="Arial" w:hAnsi="Arial" w:cs="Arial"/>
        </w:rPr>
        <w:tab/>
      </w:r>
      <w:r w:rsidRPr="00D01FEF">
        <w:rPr>
          <w:rFonts w:ascii="Arial" w:eastAsia="Arial" w:hAnsi="Arial" w:cs="Arial"/>
        </w:rPr>
        <w:tab/>
      </w:r>
      <w:r w:rsidRPr="00D01FEF">
        <w:rPr>
          <w:rFonts w:ascii="Arial" w:eastAsia="Arial" w:hAnsi="Arial" w:cs="Arial"/>
        </w:rPr>
        <w:tab/>
      </w:r>
      <w:r w:rsidRPr="00D01FEF">
        <w:rPr>
          <w:rFonts w:ascii="Arial" w:eastAsia="Arial" w:hAnsi="Arial" w:cs="Arial"/>
        </w:rPr>
        <w:tab/>
      </w:r>
      <w:r w:rsidRPr="00D01FEF">
        <w:rPr>
          <w:rFonts w:ascii="Arial" w:eastAsia="Arial" w:hAnsi="Arial" w:cs="Arial"/>
        </w:rPr>
        <w:tab/>
        <w:t>______________________</w:t>
      </w:r>
    </w:p>
    <w:p w:rsidR="00CB5FE1" w:rsidRPr="00D01FEF" w:rsidRDefault="003B0548" w:rsidP="005D07C6">
      <w:pPr>
        <w:jc w:val="right"/>
        <w:rPr>
          <w:rFonts w:ascii="Arial" w:eastAsia="Arial" w:hAnsi="Arial" w:cs="Arial"/>
        </w:rPr>
      </w:pPr>
      <w:r w:rsidRPr="00D01FEF">
        <w:rPr>
          <w:rFonts w:ascii="Arial" w:eastAsia="Arial" w:hAnsi="Arial" w:cs="Arial"/>
        </w:rPr>
        <w:t>V M PONNAN</w:t>
      </w:r>
    </w:p>
    <w:p w:rsidR="00CB5FE1" w:rsidRPr="00D01FEF" w:rsidRDefault="005005D6" w:rsidP="005D07C6">
      <w:pPr>
        <w:jc w:val="right"/>
        <w:rPr>
          <w:rFonts w:ascii="Arial" w:eastAsia="Arial" w:hAnsi="Arial" w:cs="Arial"/>
        </w:rPr>
      </w:pPr>
      <w:r w:rsidRPr="00D01FEF">
        <w:rPr>
          <w:rFonts w:ascii="Arial" w:eastAsia="Arial" w:hAnsi="Arial" w:cs="Arial"/>
        </w:rPr>
        <w:t>JUDGE OF APPEAL</w:t>
      </w:r>
    </w:p>
    <w:p w:rsidR="00306737" w:rsidRPr="00D01FEF" w:rsidRDefault="00306737" w:rsidP="00987F2D">
      <w:pPr>
        <w:rPr>
          <w:rFonts w:ascii="Arial" w:hAnsi="Arial" w:cs="Arial"/>
        </w:rPr>
      </w:pPr>
    </w:p>
    <w:p w:rsidR="00306737" w:rsidRPr="00D01FEF" w:rsidRDefault="00306737" w:rsidP="00987F2D">
      <w:pPr>
        <w:rPr>
          <w:rFonts w:ascii="Arial" w:hAnsi="Arial" w:cs="Arial"/>
        </w:rPr>
      </w:pPr>
      <w:r w:rsidRPr="00D01FEF">
        <w:rPr>
          <w:rFonts w:ascii="Arial" w:hAnsi="Arial" w:cs="Arial"/>
        </w:rPr>
        <w:br w:type="page"/>
      </w:r>
    </w:p>
    <w:p w:rsidR="00B9081B" w:rsidRPr="00BF1AF8" w:rsidRDefault="00B9081B" w:rsidP="00B9081B">
      <w:pPr>
        <w:rPr>
          <w:rFonts w:ascii="Arial" w:hAnsi="Arial" w:cs="Arial"/>
        </w:rPr>
      </w:pPr>
      <w:r w:rsidRPr="00BF1AF8">
        <w:rPr>
          <w:rFonts w:ascii="Arial" w:hAnsi="Arial" w:cs="Arial"/>
        </w:rPr>
        <w:lastRenderedPageBreak/>
        <w:t>Appearances</w:t>
      </w:r>
    </w:p>
    <w:p w:rsidR="00B9081B" w:rsidRPr="00BF1AF8" w:rsidRDefault="00B9081B" w:rsidP="00B9081B">
      <w:pPr>
        <w:rPr>
          <w:rFonts w:ascii="Arial" w:eastAsia="Arial" w:hAnsi="Arial" w:cs="Arial"/>
        </w:rPr>
      </w:pPr>
    </w:p>
    <w:p w:rsidR="00B9081B" w:rsidRPr="00BF1AF8" w:rsidRDefault="00B9081B" w:rsidP="00B9081B">
      <w:pPr>
        <w:tabs>
          <w:tab w:val="left" w:pos="3969"/>
        </w:tabs>
        <w:rPr>
          <w:rFonts w:ascii="Arial" w:eastAsia="Arial" w:hAnsi="Arial" w:cs="Arial"/>
        </w:rPr>
      </w:pPr>
      <w:r w:rsidRPr="00BF1AF8">
        <w:rPr>
          <w:rFonts w:ascii="Arial" w:eastAsia="Arial" w:hAnsi="Arial" w:cs="Arial"/>
        </w:rPr>
        <w:t>For the appellant:</w:t>
      </w:r>
      <w:r w:rsidRPr="00BF1AF8">
        <w:rPr>
          <w:rFonts w:ascii="Arial" w:eastAsia="Arial" w:hAnsi="Arial" w:cs="Arial"/>
        </w:rPr>
        <w:tab/>
        <w:t>R Michau SC with L Harilal</w:t>
      </w:r>
    </w:p>
    <w:p w:rsidR="00B9081B" w:rsidRPr="00BF1AF8" w:rsidRDefault="00B9081B" w:rsidP="00B9081B">
      <w:pPr>
        <w:tabs>
          <w:tab w:val="left" w:pos="3969"/>
        </w:tabs>
        <w:rPr>
          <w:rFonts w:ascii="Arial" w:eastAsia="Arial" w:hAnsi="Arial" w:cs="Arial"/>
        </w:rPr>
      </w:pPr>
      <w:r w:rsidRPr="00BF1AF8">
        <w:rPr>
          <w:rFonts w:ascii="Arial" w:eastAsia="Arial" w:hAnsi="Arial" w:cs="Arial"/>
        </w:rPr>
        <w:t xml:space="preserve">Instructed by: </w:t>
      </w:r>
      <w:r w:rsidRPr="00BF1AF8">
        <w:rPr>
          <w:rFonts w:ascii="Arial" w:eastAsia="Arial" w:hAnsi="Arial" w:cs="Arial"/>
        </w:rPr>
        <w:tab/>
        <w:t>Kisch Africa Inc, Pretoria</w:t>
      </w:r>
    </w:p>
    <w:p w:rsidR="00B9081B" w:rsidRPr="00BF1AF8" w:rsidRDefault="00B9081B" w:rsidP="00B9081B">
      <w:pPr>
        <w:tabs>
          <w:tab w:val="left" w:pos="3969"/>
        </w:tabs>
        <w:ind w:left="459" w:firstLine="1701"/>
        <w:rPr>
          <w:rFonts w:ascii="Arial" w:eastAsia="Arial" w:hAnsi="Arial" w:cs="Arial"/>
        </w:rPr>
      </w:pPr>
      <w:r w:rsidRPr="00BF1AF8">
        <w:rPr>
          <w:rFonts w:ascii="Arial" w:eastAsia="Arial" w:hAnsi="Arial" w:cs="Arial"/>
        </w:rPr>
        <w:tab/>
        <w:t>Phatshoane Henney Attorneys, Bloemfontein</w:t>
      </w:r>
    </w:p>
    <w:p w:rsidR="00B9081B" w:rsidRPr="00BF1AF8" w:rsidRDefault="00B9081B" w:rsidP="00B9081B">
      <w:pPr>
        <w:rPr>
          <w:rFonts w:ascii="Arial" w:eastAsia="Arial" w:hAnsi="Arial" w:cs="Arial"/>
        </w:rPr>
      </w:pPr>
    </w:p>
    <w:p w:rsidR="00B9081B" w:rsidRPr="00BF1AF8" w:rsidRDefault="0013442D" w:rsidP="00B9081B">
      <w:pPr>
        <w:tabs>
          <w:tab w:val="left" w:pos="3969"/>
        </w:tabs>
        <w:rPr>
          <w:rFonts w:ascii="Arial" w:eastAsia="Arial" w:hAnsi="Arial" w:cs="Arial"/>
        </w:rPr>
      </w:pPr>
      <w:r>
        <w:rPr>
          <w:rFonts w:ascii="Arial" w:eastAsia="Arial" w:hAnsi="Arial" w:cs="Arial"/>
        </w:rPr>
        <w:t>For the respondent:</w:t>
      </w:r>
      <w:r>
        <w:rPr>
          <w:rFonts w:ascii="Arial" w:eastAsia="Arial" w:hAnsi="Arial" w:cs="Arial"/>
        </w:rPr>
        <w:tab/>
      </w:r>
      <w:r w:rsidRPr="00E07F66">
        <w:rPr>
          <w:rFonts w:ascii="Arial" w:eastAsia="Arial" w:hAnsi="Arial" w:cs="Arial"/>
        </w:rPr>
        <w:t>AJ</w:t>
      </w:r>
      <w:r w:rsidR="00B9081B" w:rsidRPr="00E07F66">
        <w:rPr>
          <w:rFonts w:ascii="Arial" w:eastAsia="Arial" w:hAnsi="Arial" w:cs="Arial"/>
        </w:rPr>
        <w:t xml:space="preserve"> Bester</w:t>
      </w:r>
      <w:r w:rsidR="00B9081B" w:rsidRPr="00BF1AF8">
        <w:rPr>
          <w:rFonts w:ascii="Arial" w:eastAsia="Arial" w:hAnsi="Arial" w:cs="Arial"/>
        </w:rPr>
        <w:t xml:space="preserve"> SC with P Eilers</w:t>
      </w:r>
    </w:p>
    <w:p w:rsidR="00B9081B" w:rsidRPr="00BF1AF8" w:rsidRDefault="00B9081B" w:rsidP="00B9081B">
      <w:pPr>
        <w:tabs>
          <w:tab w:val="left" w:pos="3969"/>
        </w:tabs>
        <w:rPr>
          <w:rFonts w:ascii="Arial" w:eastAsia="Arial" w:hAnsi="Arial" w:cs="Arial"/>
        </w:rPr>
      </w:pPr>
      <w:r w:rsidRPr="00BF1AF8">
        <w:rPr>
          <w:rFonts w:ascii="Arial" w:eastAsia="Arial" w:hAnsi="Arial" w:cs="Arial"/>
        </w:rPr>
        <w:t>Instructed by:</w:t>
      </w:r>
      <w:r w:rsidRPr="00BF1AF8">
        <w:rPr>
          <w:rFonts w:ascii="Arial" w:eastAsia="Arial" w:hAnsi="Arial" w:cs="Arial"/>
        </w:rPr>
        <w:tab/>
        <w:t>Hahn &amp; Hahn Attorneys, Pretoria</w:t>
      </w:r>
    </w:p>
    <w:p w:rsidR="00B9081B" w:rsidRPr="00BF1AF8" w:rsidRDefault="00B9081B" w:rsidP="00B9081B">
      <w:pPr>
        <w:tabs>
          <w:tab w:val="left" w:pos="3969"/>
        </w:tabs>
        <w:rPr>
          <w:rFonts w:ascii="Arial" w:eastAsia="Arial" w:hAnsi="Arial" w:cs="Arial"/>
        </w:rPr>
      </w:pPr>
      <w:r w:rsidRPr="00BF1AF8">
        <w:rPr>
          <w:rFonts w:ascii="Arial" w:eastAsia="Arial" w:hAnsi="Arial" w:cs="Arial"/>
        </w:rPr>
        <w:tab/>
        <w:t xml:space="preserve">McIntyre </w:t>
      </w:r>
      <w:r>
        <w:rPr>
          <w:rFonts w:ascii="Arial" w:eastAsia="Arial" w:hAnsi="Arial" w:cs="Arial"/>
        </w:rPr>
        <w:t>V</w:t>
      </w:r>
      <w:r w:rsidRPr="00BF1AF8">
        <w:rPr>
          <w:rFonts w:ascii="Arial" w:eastAsia="Arial" w:hAnsi="Arial" w:cs="Arial"/>
        </w:rPr>
        <w:t>an der Post Inc, Bloemfontein</w:t>
      </w:r>
    </w:p>
    <w:p w:rsidR="00B9081B" w:rsidRPr="00BF1AF8" w:rsidRDefault="00B9081B" w:rsidP="00B9081B">
      <w:pPr>
        <w:rPr>
          <w:rFonts w:ascii="Arial" w:eastAsia="Arial" w:hAnsi="Arial" w:cs="Arial"/>
        </w:rPr>
      </w:pPr>
    </w:p>
    <w:p w:rsidR="00CB5FE1" w:rsidRPr="007A6C23" w:rsidRDefault="00CB5FE1" w:rsidP="00A87149">
      <w:pPr>
        <w:tabs>
          <w:tab w:val="left" w:pos="3969"/>
        </w:tabs>
        <w:rPr>
          <w:rFonts w:ascii="Arial" w:eastAsia="Arial" w:hAnsi="Arial" w:cs="Arial"/>
        </w:rPr>
      </w:pPr>
    </w:p>
    <w:p w:rsidR="00CB5FE1" w:rsidRPr="005D07C6" w:rsidRDefault="00CB5FE1" w:rsidP="005D07C6">
      <w:pPr>
        <w:tabs>
          <w:tab w:val="left" w:pos="3969"/>
        </w:tabs>
        <w:rPr>
          <w:rFonts w:ascii="Arial" w:eastAsia="Arial" w:hAnsi="Arial" w:cs="Arial"/>
        </w:rPr>
      </w:pPr>
    </w:p>
    <w:p w:rsidR="00CB5FE1" w:rsidRPr="005D07C6" w:rsidRDefault="00CB5FE1" w:rsidP="005D07C6">
      <w:pPr>
        <w:rPr>
          <w:rFonts w:ascii="Arial" w:eastAsia="Arial" w:hAnsi="Arial" w:cs="Arial"/>
        </w:rPr>
      </w:pPr>
    </w:p>
    <w:p w:rsidR="00CB5FE1" w:rsidRPr="005D07C6" w:rsidRDefault="00CB5FE1" w:rsidP="005D07C6">
      <w:pPr>
        <w:rPr>
          <w:rFonts w:ascii="Arial" w:eastAsia="Arial" w:hAnsi="Arial" w:cs="Arial"/>
        </w:rPr>
      </w:pPr>
    </w:p>
    <w:p w:rsidR="00CB5FE1" w:rsidRPr="005D07C6" w:rsidRDefault="005005D6" w:rsidP="005D07C6">
      <w:pPr>
        <w:rPr>
          <w:rFonts w:ascii="Arial" w:eastAsia="Arial" w:hAnsi="Arial" w:cs="Arial"/>
        </w:rPr>
      </w:pPr>
      <w:r w:rsidRPr="005D07C6">
        <w:rPr>
          <w:rFonts w:ascii="Arial" w:eastAsia="Arial" w:hAnsi="Arial" w:cs="Arial"/>
        </w:rPr>
        <w:t xml:space="preserve">             </w:t>
      </w:r>
    </w:p>
    <w:sectPr w:rsidR="00CB5FE1" w:rsidRPr="005D07C6">
      <w:headerReference w:type="default" r:id="rId11"/>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666" w:rsidRDefault="00A47666">
      <w:r>
        <w:separator/>
      </w:r>
    </w:p>
  </w:endnote>
  <w:endnote w:type="continuationSeparator" w:id="0">
    <w:p w:rsidR="00A47666" w:rsidRDefault="00A4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666" w:rsidRDefault="00A47666">
      <w:r>
        <w:separator/>
      </w:r>
    </w:p>
  </w:footnote>
  <w:footnote w:type="continuationSeparator" w:id="0">
    <w:p w:rsidR="00A47666" w:rsidRDefault="00A47666">
      <w:r>
        <w:continuationSeparator/>
      </w:r>
    </w:p>
  </w:footnote>
  <w:footnote w:id="1">
    <w:p w:rsidR="00B9081B" w:rsidRPr="00BF1AF8" w:rsidRDefault="00B9081B" w:rsidP="00B9081B">
      <w:pPr>
        <w:pStyle w:val="FootnoteText"/>
        <w:spacing w:line="240" w:lineRule="auto"/>
        <w:rPr>
          <w:rFonts w:ascii="Arial" w:hAnsi="Arial" w:cs="Arial"/>
        </w:rPr>
      </w:pPr>
      <w:r w:rsidRPr="00BF1AF8">
        <w:rPr>
          <w:rStyle w:val="FootnoteReference"/>
          <w:rFonts w:ascii="Arial" w:hAnsi="Arial" w:cs="Arial"/>
        </w:rPr>
        <w:footnoteRef/>
      </w:r>
      <w:r w:rsidRPr="00BF1AF8">
        <w:rPr>
          <w:rFonts w:ascii="Arial" w:hAnsi="Arial" w:cs="Arial"/>
        </w:rPr>
        <w:t xml:space="preserve"> </w:t>
      </w:r>
      <w:r>
        <w:rPr>
          <w:rFonts w:ascii="Arial" w:hAnsi="Arial" w:cs="Arial"/>
        </w:rPr>
        <w:t>‘</w:t>
      </w:r>
      <w:r w:rsidRPr="00275D05">
        <w:rPr>
          <w:rFonts w:ascii="Arial" w:hAnsi="Arial" w:cs="Arial"/>
        </w:rPr>
        <w:t>Regulations Relating to the Classification, Packing and Marking of Dairy Products and Imitation Dairy Products Intended for Sale in the Republic of South Africa</w:t>
      </w:r>
      <w:r>
        <w:rPr>
          <w:rFonts w:ascii="Arial" w:hAnsi="Arial" w:cs="Arial"/>
        </w:rPr>
        <w:t>,</w:t>
      </w:r>
      <w:r w:rsidRPr="00275D05">
        <w:rPr>
          <w:rFonts w:ascii="Arial" w:hAnsi="Arial" w:cs="Arial"/>
        </w:rPr>
        <w:t xml:space="preserve"> </w:t>
      </w:r>
      <w:r w:rsidRPr="00BF1AF8">
        <w:rPr>
          <w:rFonts w:ascii="Arial" w:hAnsi="Arial" w:cs="Arial"/>
        </w:rPr>
        <w:t xml:space="preserve">GN R1510, </w:t>
      </w:r>
      <w:r w:rsidRPr="00080414">
        <w:rPr>
          <w:rFonts w:ascii="Arial" w:hAnsi="Arial" w:cs="Arial"/>
          <w:i/>
        </w:rPr>
        <w:t>GG</w:t>
      </w:r>
      <w:r w:rsidRPr="00BF1AF8">
        <w:rPr>
          <w:rFonts w:ascii="Arial" w:hAnsi="Arial" w:cs="Arial"/>
        </w:rPr>
        <w:t xml:space="preserve"> 42850, 22 November 2019.</w:t>
      </w:r>
      <w:r>
        <w:rPr>
          <w:rFonts w:ascii="Arial" w:hAnsi="Arial" w:cs="Arial"/>
        </w:rPr>
        <w:t>’</w:t>
      </w:r>
    </w:p>
  </w:footnote>
  <w:footnote w:id="2">
    <w:p w:rsidR="00B9081B" w:rsidRPr="00BF1AF8" w:rsidRDefault="00B9081B" w:rsidP="00B9081B">
      <w:pPr>
        <w:pStyle w:val="FootnoteText"/>
        <w:spacing w:line="240" w:lineRule="auto"/>
        <w:rPr>
          <w:rFonts w:ascii="Arial" w:hAnsi="Arial" w:cs="Arial"/>
        </w:rPr>
      </w:pPr>
      <w:r w:rsidRPr="00BF1AF8">
        <w:rPr>
          <w:rStyle w:val="FootnoteReference"/>
          <w:rFonts w:ascii="Arial" w:hAnsi="Arial" w:cs="Arial"/>
        </w:rPr>
        <w:footnoteRef/>
      </w:r>
      <w:r w:rsidRPr="00BF1AF8">
        <w:rPr>
          <w:rFonts w:ascii="Arial" w:hAnsi="Arial" w:cs="Arial"/>
        </w:rPr>
        <w:t xml:space="preserve"> </w:t>
      </w:r>
      <w:r w:rsidR="0038313D">
        <w:rPr>
          <w:rFonts w:ascii="Arial" w:hAnsi="Arial" w:cs="Arial"/>
        </w:rPr>
        <w:t>See Regulation</w:t>
      </w:r>
      <w:r w:rsidRPr="00D56E7E">
        <w:rPr>
          <w:rFonts w:ascii="Arial" w:hAnsi="Arial" w:cs="Arial"/>
        </w:rPr>
        <w:t xml:space="preserve"> 17(1), which provides that</w:t>
      </w:r>
      <w:r w:rsidRPr="00BF1AF8">
        <w:rPr>
          <w:rFonts w:ascii="Arial" w:hAnsi="Arial" w:cs="Arial"/>
        </w:rPr>
        <w:t xml:space="preserve"> butter and cultured butter with or without added foodstuff shall be manufactured by churning or crystallisation of cream using the appropriate method; and not contain any animal fat, vegetable fat or marine fat.</w:t>
      </w:r>
    </w:p>
  </w:footnote>
  <w:footnote w:id="3">
    <w:p w:rsidR="00B9081B" w:rsidRPr="00BF1AF8" w:rsidRDefault="00B9081B" w:rsidP="00B9081B">
      <w:pPr>
        <w:pStyle w:val="FootnoteText"/>
        <w:spacing w:line="240" w:lineRule="auto"/>
        <w:rPr>
          <w:rFonts w:ascii="Arial" w:hAnsi="Arial" w:cs="Arial"/>
        </w:rPr>
      </w:pPr>
      <w:r w:rsidRPr="00BF1AF8">
        <w:rPr>
          <w:rStyle w:val="FootnoteReference"/>
          <w:rFonts w:ascii="Arial" w:hAnsi="Arial" w:cs="Arial"/>
        </w:rPr>
        <w:footnoteRef/>
      </w:r>
      <w:r w:rsidRPr="00BF1AF8">
        <w:rPr>
          <w:rFonts w:ascii="Arial" w:hAnsi="Arial" w:cs="Arial"/>
        </w:rPr>
        <w:t xml:space="preserve"> In other words, this phrase amounts to the product’s class designation.</w:t>
      </w:r>
    </w:p>
  </w:footnote>
  <w:footnote w:id="4">
    <w:p w:rsidR="00B9081B" w:rsidRPr="00BF1AF8" w:rsidRDefault="00B9081B" w:rsidP="00B9081B">
      <w:pPr>
        <w:pStyle w:val="FootnoteText"/>
        <w:spacing w:line="240" w:lineRule="auto"/>
        <w:rPr>
          <w:rFonts w:ascii="Arial" w:hAnsi="Arial" w:cs="Arial"/>
        </w:rPr>
      </w:pPr>
      <w:r w:rsidRPr="00BF1AF8">
        <w:rPr>
          <w:rStyle w:val="FootnoteReference"/>
          <w:rFonts w:ascii="Arial" w:hAnsi="Arial" w:cs="Arial"/>
        </w:rPr>
        <w:footnoteRef/>
      </w:r>
      <w:r w:rsidRPr="00BF1AF8">
        <w:rPr>
          <w:rFonts w:ascii="Arial" w:hAnsi="Arial" w:cs="Arial"/>
        </w:rPr>
        <w:t xml:space="preserve"> </w:t>
      </w:r>
      <w:r w:rsidRPr="00BF1AF8">
        <w:rPr>
          <w:rFonts w:ascii="Arial" w:hAnsi="Arial" w:cs="Arial"/>
          <w:i/>
        </w:rPr>
        <w:t xml:space="preserve">Cowbell AG v ICS </w:t>
      </w:r>
      <w:r>
        <w:rPr>
          <w:rFonts w:ascii="Arial" w:hAnsi="Arial" w:cs="Arial"/>
          <w:i/>
        </w:rPr>
        <w:t>H</w:t>
      </w:r>
      <w:r w:rsidRPr="00BF1AF8">
        <w:rPr>
          <w:rFonts w:ascii="Arial" w:hAnsi="Arial" w:cs="Arial"/>
          <w:i/>
        </w:rPr>
        <w:t xml:space="preserve">oldings Ltd </w:t>
      </w:r>
      <w:r w:rsidRPr="004356FA">
        <w:rPr>
          <w:rFonts w:ascii="Arial" w:hAnsi="Arial" w:cs="Arial"/>
        </w:rPr>
        <w:t>[2001] 4 All SA 242 (A)</w:t>
      </w:r>
      <w:r>
        <w:rPr>
          <w:rFonts w:ascii="Arial" w:hAnsi="Arial" w:cs="Arial"/>
        </w:rPr>
        <w:t>;</w:t>
      </w:r>
      <w:r w:rsidRPr="004356FA">
        <w:rPr>
          <w:rFonts w:ascii="Arial" w:hAnsi="Arial" w:cs="Arial"/>
        </w:rPr>
        <w:t xml:space="preserve"> </w:t>
      </w:r>
      <w:r w:rsidRPr="00BF1AF8">
        <w:rPr>
          <w:rFonts w:ascii="Arial" w:hAnsi="Arial" w:cs="Arial"/>
        </w:rPr>
        <w:t>2001 (3) SA 941 (SCA) para 10.</w:t>
      </w:r>
    </w:p>
  </w:footnote>
  <w:footnote w:id="5">
    <w:p w:rsidR="00B9081B" w:rsidRPr="00BF1AF8" w:rsidRDefault="00B9081B" w:rsidP="00B9081B">
      <w:pPr>
        <w:pStyle w:val="FootnoteText"/>
        <w:spacing w:line="240" w:lineRule="auto"/>
        <w:rPr>
          <w:rFonts w:ascii="Arial" w:hAnsi="Arial" w:cs="Arial"/>
        </w:rPr>
      </w:pPr>
      <w:r w:rsidRPr="00935F8E">
        <w:rPr>
          <w:rStyle w:val="FootnoteReference"/>
          <w:rFonts w:ascii="Arial" w:hAnsi="Arial" w:cs="Arial"/>
        </w:rPr>
        <w:footnoteRef/>
      </w:r>
      <w:r w:rsidRPr="00BF1AF8">
        <w:rPr>
          <w:rFonts w:ascii="Arial" w:hAnsi="Arial" w:cs="Arial"/>
        </w:rPr>
        <w:t xml:space="preserve"> Regulation 32(3)</w:t>
      </w:r>
      <w:r w:rsidRPr="00BF1AF8">
        <w:rPr>
          <w:rFonts w:ascii="Arial" w:hAnsi="Arial" w:cs="Arial"/>
          <w:i/>
        </w:rPr>
        <w:t xml:space="preserve">(a) </w:t>
      </w:r>
      <w:r w:rsidRPr="00BF1AF8">
        <w:rPr>
          <w:rFonts w:ascii="Arial" w:hAnsi="Arial" w:cs="Arial"/>
        </w:rPr>
        <w:t xml:space="preserve">states that </w:t>
      </w:r>
      <w:r w:rsidR="00D01FEF">
        <w:rPr>
          <w:rFonts w:ascii="Arial" w:hAnsi="Arial" w:cs="Arial"/>
        </w:rPr>
        <w:t>‘</w:t>
      </w:r>
      <w:r w:rsidRPr="00BF1AF8">
        <w:rPr>
          <w:rFonts w:ascii="Arial" w:hAnsi="Arial" w:cs="Arial"/>
        </w:rPr>
        <w:t>no word, mark, illustration, depiction or other method of expression that constitutes a misrepresentation or directly or by implication creates or may create a misleading impression regarding the quality, nature, class, origin or composition of a diary product or an imitation dairy product shall be marked on a container of such product</w:t>
      </w:r>
      <w:r w:rsidR="00D01FEF">
        <w:rPr>
          <w:rFonts w:ascii="Arial" w:hAnsi="Arial" w:cs="Arial"/>
        </w:rPr>
        <w:t>’</w:t>
      </w:r>
      <w:r w:rsidRPr="00BF1AF8">
        <w:rPr>
          <w:rFonts w:ascii="Arial" w:hAnsi="Arial" w:cs="Arial"/>
        </w:rPr>
        <w:t>.</w:t>
      </w:r>
    </w:p>
  </w:footnote>
  <w:footnote w:id="6">
    <w:p w:rsidR="00B9081B" w:rsidRPr="00BF1AF8" w:rsidRDefault="00B9081B" w:rsidP="00B9081B">
      <w:pPr>
        <w:pStyle w:val="FootnoteText"/>
        <w:spacing w:line="240" w:lineRule="auto"/>
        <w:rPr>
          <w:rFonts w:ascii="Arial" w:hAnsi="Arial" w:cs="Arial"/>
        </w:rPr>
      </w:pPr>
      <w:r w:rsidRPr="00935F8E">
        <w:rPr>
          <w:rStyle w:val="FootnoteReference"/>
          <w:rFonts w:ascii="Arial" w:hAnsi="Arial" w:cs="Arial"/>
        </w:rPr>
        <w:footnoteRef/>
      </w:r>
      <w:r w:rsidRPr="00935F8E">
        <w:rPr>
          <w:rFonts w:ascii="Arial" w:hAnsi="Arial" w:cs="Arial"/>
        </w:rPr>
        <w:t xml:space="preserve"> Regulation</w:t>
      </w:r>
      <w:r w:rsidRPr="00BF1AF8">
        <w:rPr>
          <w:rFonts w:ascii="Arial" w:hAnsi="Arial" w:cs="Arial"/>
        </w:rPr>
        <w:t xml:space="preserve"> 32(4) provides that </w:t>
      </w:r>
      <w:r w:rsidR="00D01FEF">
        <w:rPr>
          <w:rFonts w:ascii="Arial" w:hAnsi="Arial" w:cs="Arial"/>
        </w:rPr>
        <w:t>‘</w:t>
      </w:r>
      <w:r w:rsidRPr="00BF1AF8">
        <w:rPr>
          <w:rFonts w:ascii="Arial" w:hAnsi="Arial" w:cs="Arial"/>
        </w:rPr>
        <w:t>no registered trade mark or brand name which may possibly, directly or by implication, be misleading or create a false impression of the contents of a container or outer container containing a dairy product or an imitation dairy product, shall appear on such a container</w:t>
      </w:r>
      <w:r w:rsidR="00D01FEF">
        <w:rPr>
          <w:rFonts w:ascii="Arial" w:hAnsi="Arial" w:cs="Arial"/>
        </w:rPr>
        <w:t>’</w:t>
      </w:r>
      <w:r w:rsidRPr="00BF1AF8">
        <w:rPr>
          <w:rFonts w:ascii="Arial" w:hAnsi="Arial" w:cs="Arial"/>
        </w:rPr>
        <w:t xml:space="preserve">. </w:t>
      </w:r>
    </w:p>
  </w:footnote>
  <w:footnote w:id="7">
    <w:p w:rsidR="00B9081B" w:rsidRPr="00BF1AF8" w:rsidRDefault="00B9081B" w:rsidP="00B9081B">
      <w:pPr>
        <w:pStyle w:val="FootnoteText"/>
        <w:spacing w:line="240" w:lineRule="auto"/>
        <w:rPr>
          <w:rFonts w:ascii="Arial" w:hAnsi="Arial" w:cs="Arial"/>
        </w:rPr>
      </w:pPr>
      <w:r w:rsidRPr="00BF1AF8">
        <w:rPr>
          <w:rStyle w:val="FootnoteReference"/>
          <w:rFonts w:ascii="Arial" w:hAnsi="Arial" w:cs="Arial"/>
        </w:rPr>
        <w:footnoteRef/>
      </w:r>
      <w:r w:rsidRPr="00BF1AF8">
        <w:rPr>
          <w:rFonts w:ascii="Arial" w:hAnsi="Arial" w:cs="Arial"/>
        </w:rPr>
        <w:t xml:space="preserve"> Regulations 3 and 17 state that a product must be classified in accordance with specified classes and that butter may not contain </w:t>
      </w:r>
      <w:r>
        <w:rPr>
          <w:rFonts w:ascii="Arial" w:hAnsi="Arial" w:cs="Arial"/>
        </w:rPr>
        <w:t xml:space="preserve">‘any </w:t>
      </w:r>
      <w:r w:rsidRPr="00BF1AF8">
        <w:rPr>
          <w:rFonts w:ascii="Arial" w:hAnsi="Arial" w:cs="Arial"/>
        </w:rPr>
        <w:t>animal</w:t>
      </w:r>
      <w:r>
        <w:rPr>
          <w:rFonts w:ascii="Arial" w:hAnsi="Arial" w:cs="Arial"/>
        </w:rPr>
        <w:t xml:space="preserve"> fat</w:t>
      </w:r>
      <w:r w:rsidRPr="00BF1AF8">
        <w:rPr>
          <w:rFonts w:ascii="Arial" w:hAnsi="Arial" w:cs="Arial"/>
        </w:rPr>
        <w:t xml:space="preserve">, vegetable </w:t>
      </w:r>
      <w:r>
        <w:rPr>
          <w:rFonts w:ascii="Arial" w:hAnsi="Arial" w:cs="Arial"/>
        </w:rPr>
        <w:t xml:space="preserve">fat </w:t>
      </w:r>
      <w:r w:rsidRPr="00BF1AF8">
        <w:rPr>
          <w:rFonts w:ascii="Arial" w:hAnsi="Arial" w:cs="Arial"/>
        </w:rPr>
        <w:t>or marine fat</w:t>
      </w:r>
      <w:r>
        <w:rPr>
          <w:rFonts w:ascii="Arial" w:hAnsi="Arial" w:cs="Arial"/>
        </w:rPr>
        <w:t>’</w:t>
      </w:r>
      <w:r w:rsidRPr="00BF1AF8">
        <w:rPr>
          <w:rFonts w:ascii="Arial" w:hAnsi="Arial" w:cs="Arial"/>
        </w:rPr>
        <w:t>. It must follow that a label that represents ‘modified butter’ as ‘butter’ would also contravene the Regulations.</w:t>
      </w:r>
    </w:p>
  </w:footnote>
  <w:footnote w:id="8">
    <w:p w:rsidR="00B9081B" w:rsidRPr="004356FA" w:rsidRDefault="00B9081B" w:rsidP="00B9081B">
      <w:pPr>
        <w:pStyle w:val="FootnoteText"/>
        <w:spacing w:line="240" w:lineRule="auto"/>
        <w:rPr>
          <w:rFonts w:ascii="Arial" w:hAnsi="Arial" w:cs="Arial"/>
        </w:rPr>
      </w:pPr>
      <w:r w:rsidRPr="004356FA">
        <w:rPr>
          <w:rStyle w:val="FootnoteReference"/>
          <w:rFonts w:ascii="Arial" w:hAnsi="Arial" w:cs="Arial"/>
        </w:rPr>
        <w:footnoteRef/>
      </w:r>
      <w:r w:rsidRPr="004356FA">
        <w:rPr>
          <w:rFonts w:ascii="Arial" w:hAnsi="Arial" w:cs="Arial"/>
        </w:rPr>
        <w:t xml:space="preserve"> </w:t>
      </w:r>
      <w:r w:rsidRPr="004356FA">
        <w:rPr>
          <w:rFonts w:ascii="Arial" w:hAnsi="Arial" w:cs="Arial"/>
          <w:i/>
        </w:rPr>
        <w:t>William Grant and Sons Ltd and Another v Cape Wine and Distillers Ltd and Others</w:t>
      </w:r>
      <w:r w:rsidRPr="004356FA">
        <w:rPr>
          <w:rFonts w:ascii="Arial" w:hAnsi="Arial" w:cs="Arial"/>
        </w:rPr>
        <w:t xml:space="preserve"> [1990] 4 All SA 490 (C); 1990 (3) SA 897 (C) at </w:t>
      </w:r>
      <w:r>
        <w:rPr>
          <w:rFonts w:ascii="Arial" w:hAnsi="Arial" w:cs="Arial"/>
        </w:rPr>
        <w:t>913A-B</w:t>
      </w:r>
      <w:r w:rsidR="0038313D">
        <w:rPr>
          <w:rFonts w:ascii="Arial" w:hAnsi="Arial" w:cs="Arial"/>
        </w:rPr>
        <w:t xml:space="preserve"> (</w:t>
      </w:r>
      <w:r w:rsidR="0038313D">
        <w:rPr>
          <w:rFonts w:ascii="Arial" w:hAnsi="Arial" w:cs="Arial"/>
          <w:i/>
        </w:rPr>
        <w:t>William Grant</w:t>
      </w:r>
      <w:r w:rsidR="0038313D">
        <w:rPr>
          <w:rFonts w:ascii="Arial" w:hAnsi="Arial" w:cs="Arial"/>
        </w:rPr>
        <w:t>)</w:t>
      </w:r>
      <w:r>
        <w:rPr>
          <w:rFonts w:ascii="Arial" w:hAnsi="Arial" w:cs="Arial"/>
        </w:rPr>
        <w:t>.</w:t>
      </w:r>
    </w:p>
  </w:footnote>
  <w:footnote w:id="9">
    <w:p w:rsidR="00B9081B" w:rsidRPr="00BF1AF8" w:rsidRDefault="00B9081B" w:rsidP="00B9081B">
      <w:pPr>
        <w:pStyle w:val="FootnoteText"/>
        <w:spacing w:line="240" w:lineRule="auto"/>
        <w:rPr>
          <w:rFonts w:ascii="Arial" w:hAnsi="Arial" w:cs="Arial"/>
        </w:rPr>
      </w:pPr>
      <w:r w:rsidRPr="00BF1AF8">
        <w:rPr>
          <w:rStyle w:val="FootnoteReference"/>
          <w:rFonts w:ascii="Arial" w:hAnsi="Arial" w:cs="Arial"/>
        </w:rPr>
        <w:footnoteRef/>
      </w:r>
      <w:r w:rsidRPr="00BF1AF8">
        <w:rPr>
          <w:rFonts w:ascii="Arial" w:hAnsi="Arial" w:cs="Arial"/>
        </w:rPr>
        <w:t xml:space="preserve"> In the context of the determination of the likelihood of confusion and</w:t>
      </w:r>
      <w:r>
        <w:rPr>
          <w:rFonts w:ascii="Arial" w:hAnsi="Arial" w:cs="Arial"/>
        </w:rPr>
        <w:t>/or</w:t>
      </w:r>
      <w:r w:rsidRPr="00BF1AF8">
        <w:rPr>
          <w:rFonts w:ascii="Arial" w:hAnsi="Arial" w:cs="Arial"/>
        </w:rPr>
        <w:t xml:space="preserve"> deception in the trade mark infringement context, which approach equally applies here, see: </w:t>
      </w:r>
      <w:r w:rsidRPr="00BF1AF8">
        <w:rPr>
          <w:rFonts w:ascii="Arial" w:hAnsi="Arial" w:cs="Arial"/>
          <w:i/>
        </w:rPr>
        <w:t xml:space="preserve">Puma AG Rudolf Dassler Sport v Global Warming (Pty) Ltd </w:t>
      </w:r>
      <w:r w:rsidRPr="004356FA">
        <w:rPr>
          <w:rFonts w:ascii="Arial" w:hAnsi="Arial" w:cs="Arial"/>
        </w:rPr>
        <w:t>[2009] ZASCA 89;</w:t>
      </w:r>
      <w:r w:rsidRPr="000D0108">
        <w:rPr>
          <w:rFonts w:ascii="Arial" w:hAnsi="Arial" w:cs="Arial"/>
          <w:i/>
        </w:rPr>
        <w:t xml:space="preserve"> </w:t>
      </w:r>
      <w:r w:rsidRPr="004356FA">
        <w:rPr>
          <w:rFonts w:ascii="Arial" w:hAnsi="Arial" w:cs="Arial"/>
        </w:rPr>
        <w:t>[2010] 1 All SA 25 (SCA)</w:t>
      </w:r>
      <w:r>
        <w:rPr>
          <w:rFonts w:ascii="Arial" w:hAnsi="Arial" w:cs="Arial"/>
        </w:rPr>
        <w:t>;</w:t>
      </w:r>
      <w:r w:rsidRPr="004356FA">
        <w:rPr>
          <w:rFonts w:ascii="Arial" w:hAnsi="Arial" w:cs="Arial"/>
        </w:rPr>
        <w:t xml:space="preserve"> </w:t>
      </w:r>
      <w:r w:rsidRPr="00BF1AF8">
        <w:rPr>
          <w:rFonts w:ascii="Arial" w:hAnsi="Arial" w:cs="Arial"/>
        </w:rPr>
        <w:t>2010 (2) SA 600 (SCA) para 9: ‘</w:t>
      </w:r>
      <w:r>
        <w:rPr>
          <w:rFonts w:ascii="Arial" w:hAnsi="Arial" w:cs="Arial"/>
        </w:rPr>
        <w:t>. . .t</w:t>
      </w:r>
      <w:r w:rsidRPr="00BF1AF8">
        <w:rPr>
          <w:rFonts w:ascii="Arial" w:hAnsi="Arial" w:cs="Arial"/>
        </w:rPr>
        <w:t xml:space="preserve">he question of the likelihood of confusion or deception is a matter of first impression and </w:t>
      </w:r>
      <w:r>
        <w:rPr>
          <w:rFonts w:ascii="Arial" w:hAnsi="Arial" w:cs="Arial"/>
        </w:rPr>
        <w:t>that one should not</w:t>
      </w:r>
      <w:r w:rsidRPr="00BF1AF8">
        <w:rPr>
          <w:rFonts w:ascii="Arial" w:hAnsi="Arial" w:cs="Arial"/>
        </w:rPr>
        <w:t xml:space="preserve"> peer too closely at the registered mark and the alleged infringement to find similarities and differences’</w:t>
      </w:r>
      <w:r>
        <w:rPr>
          <w:rFonts w:ascii="Arial" w:hAnsi="Arial" w:cs="Arial"/>
        </w:rPr>
        <w:t>.</w:t>
      </w:r>
      <w:r w:rsidRPr="00BF1AF8">
        <w:rPr>
          <w:rFonts w:ascii="Arial" w:hAnsi="Arial" w:cs="Arial"/>
        </w:rPr>
        <w:t xml:space="preserve"> </w:t>
      </w:r>
      <w:r>
        <w:rPr>
          <w:rFonts w:ascii="Arial" w:hAnsi="Arial" w:cs="Arial"/>
        </w:rPr>
        <w:t xml:space="preserve">See also </w:t>
      </w:r>
      <w:r w:rsidRPr="00BF1AF8">
        <w:rPr>
          <w:rFonts w:ascii="Arial" w:hAnsi="Arial" w:cs="Arial"/>
          <w:i/>
        </w:rPr>
        <w:t xml:space="preserve">John Waddington Ltd v Arthur E Harris (Pty) Ltd </w:t>
      </w:r>
      <w:r w:rsidRPr="004356FA">
        <w:rPr>
          <w:rFonts w:ascii="Arial" w:hAnsi="Arial" w:cs="Arial"/>
        </w:rPr>
        <w:t>[1968] 3 All SA 360 (T)</w:t>
      </w:r>
      <w:r>
        <w:rPr>
          <w:rFonts w:ascii="Arial" w:hAnsi="Arial" w:cs="Arial"/>
        </w:rPr>
        <w:t>;</w:t>
      </w:r>
      <w:r w:rsidRPr="00287990">
        <w:rPr>
          <w:rFonts w:ascii="Arial" w:hAnsi="Arial" w:cs="Arial"/>
          <w:i/>
        </w:rPr>
        <w:t xml:space="preserve"> </w:t>
      </w:r>
      <w:r w:rsidRPr="00BF1AF8">
        <w:rPr>
          <w:rFonts w:ascii="Arial" w:hAnsi="Arial" w:cs="Arial"/>
        </w:rPr>
        <w:t>1968 (3) SA 405 (T) at 409D.</w:t>
      </w:r>
    </w:p>
  </w:footnote>
  <w:footnote w:id="10">
    <w:p w:rsidR="00B9081B" w:rsidRPr="00BF1AF8" w:rsidRDefault="00B9081B" w:rsidP="00B9081B">
      <w:pPr>
        <w:pStyle w:val="FootnoteText"/>
        <w:spacing w:line="240" w:lineRule="auto"/>
        <w:rPr>
          <w:rFonts w:ascii="Arial" w:hAnsi="Arial" w:cs="Arial"/>
        </w:rPr>
      </w:pPr>
      <w:r w:rsidRPr="00BF1AF8">
        <w:rPr>
          <w:rStyle w:val="FootnoteReference"/>
          <w:rFonts w:ascii="Arial" w:hAnsi="Arial" w:cs="Arial"/>
        </w:rPr>
        <w:footnoteRef/>
      </w:r>
      <w:r w:rsidRPr="00BF1AF8">
        <w:rPr>
          <w:rFonts w:ascii="Arial" w:hAnsi="Arial" w:cs="Arial"/>
        </w:rPr>
        <w:t xml:space="preserve"> </w:t>
      </w:r>
      <w:r w:rsidRPr="00BF1AF8">
        <w:rPr>
          <w:rFonts w:ascii="Arial" w:hAnsi="Arial" w:cs="Arial"/>
          <w:i/>
        </w:rPr>
        <w:t xml:space="preserve">Laboratoire Lachartre SA v Armour-Dial Inc </w:t>
      </w:r>
      <w:r w:rsidRPr="004356FA">
        <w:rPr>
          <w:rFonts w:ascii="Arial" w:hAnsi="Arial" w:cs="Arial"/>
        </w:rPr>
        <w:t>[1976] 3 All SA 88 (T)</w:t>
      </w:r>
      <w:r>
        <w:rPr>
          <w:rFonts w:ascii="Arial" w:hAnsi="Arial" w:cs="Arial"/>
        </w:rPr>
        <w:t>;</w:t>
      </w:r>
      <w:r w:rsidRPr="004356FA">
        <w:rPr>
          <w:rFonts w:ascii="Arial" w:hAnsi="Arial" w:cs="Arial"/>
        </w:rPr>
        <w:t xml:space="preserve"> </w:t>
      </w:r>
      <w:r w:rsidRPr="00BF1AF8">
        <w:rPr>
          <w:rFonts w:ascii="Arial" w:hAnsi="Arial" w:cs="Arial"/>
        </w:rPr>
        <w:t xml:space="preserve">1976 (2) SA 744 (T) at 746D; </w:t>
      </w:r>
      <w:r w:rsidRPr="00BF1AF8">
        <w:rPr>
          <w:rFonts w:ascii="Arial" w:hAnsi="Arial" w:cs="Arial"/>
          <w:i/>
        </w:rPr>
        <w:t xml:space="preserve">Plascon-Evans Paints Ltd v Van Riebeeck Paints (Pty) Ltd </w:t>
      </w:r>
      <w:r w:rsidRPr="004356FA">
        <w:rPr>
          <w:rFonts w:ascii="Arial" w:hAnsi="Arial" w:cs="Arial"/>
        </w:rPr>
        <w:t>[1984] 2 All SA 366 (A);</w:t>
      </w:r>
      <w:r w:rsidRPr="000D0108">
        <w:rPr>
          <w:rFonts w:ascii="Arial" w:hAnsi="Arial" w:cs="Arial"/>
          <w:i/>
        </w:rPr>
        <w:t xml:space="preserve"> </w:t>
      </w:r>
      <w:r w:rsidRPr="00BF1AF8">
        <w:rPr>
          <w:rFonts w:ascii="Arial" w:hAnsi="Arial" w:cs="Arial"/>
        </w:rPr>
        <w:t>1984 (3) SA 623 (A) at 642D-F</w:t>
      </w:r>
      <w:r w:rsidR="0038313D">
        <w:rPr>
          <w:rFonts w:ascii="Arial" w:hAnsi="Arial" w:cs="Arial"/>
        </w:rPr>
        <w:t xml:space="preserve"> (</w:t>
      </w:r>
      <w:r w:rsidR="0038313D">
        <w:rPr>
          <w:rFonts w:ascii="Arial" w:hAnsi="Arial" w:cs="Arial"/>
          <w:i/>
        </w:rPr>
        <w:t>Plascon-Evans</w:t>
      </w:r>
      <w:r w:rsidR="0038313D">
        <w:rPr>
          <w:rFonts w:ascii="Arial" w:hAnsi="Arial" w:cs="Arial"/>
        </w:rPr>
        <w:t>)</w:t>
      </w:r>
      <w:r w:rsidRPr="00BF1AF8">
        <w:rPr>
          <w:rFonts w:ascii="Arial" w:hAnsi="Arial" w:cs="Arial"/>
        </w:rPr>
        <w:t>.</w:t>
      </w:r>
    </w:p>
  </w:footnote>
  <w:footnote w:id="11">
    <w:p w:rsidR="00B9081B" w:rsidRPr="00BF1AF8" w:rsidRDefault="00B9081B" w:rsidP="00B9081B">
      <w:pPr>
        <w:pStyle w:val="FootnoteText"/>
        <w:spacing w:line="240" w:lineRule="auto"/>
        <w:rPr>
          <w:rFonts w:ascii="Arial" w:hAnsi="Arial" w:cs="Arial"/>
          <w:i/>
        </w:rPr>
      </w:pPr>
      <w:r w:rsidRPr="00BF1AF8">
        <w:rPr>
          <w:rStyle w:val="FootnoteReference"/>
          <w:rFonts w:ascii="Arial" w:hAnsi="Arial" w:cs="Arial"/>
        </w:rPr>
        <w:footnoteRef/>
      </w:r>
      <w:r w:rsidRPr="00BF1AF8">
        <w:rPr>
          <w:rFonts w:ascii="Arial" w:hAnsi="Arial" w:cs="Arial"/>
        </w:rPr>
        <w:t xml:space="preserve"> </w:t>
      </w:r>
      <w:r w:rsidRPr="00BF1AF8">
        <w:rPr>
          <w:rFonts w:ascii="Arial" w:hAnsi="Arial" w:cs="Arial"/>
          <w:i/>
        </w:rPr>
        <w:t xml:space="preserve">International Power Marketing (Pty) Ltd v Searles Industrials (Pty) Ltd </w:t>
      </w:r>
      <w:r w:rsidRPr="00BF1AF8">
        <w:rPr>
          <w:rFonts w:ascii="Arial" w:hAnsi="Arial" w:cs="Arial"/>
        </w:rPr>
        <w:t>1983 (4) SA 163 (T) at 168H</w:t>
      </w:r>
      <w:r>
        <w:rPr>
          <w:rFonts w:ascii="Arial" w:hAnsi="Arial" w:cs="Arial"/>
        </w:rPr>
        <w:t xml:space="preserve">; </w:t>
      </w:r>
      <w:r w:rsidRPr="00BE7D1F">
        <w:rPr>
          <w:rFonts w:ascii="Arial" w:hAnsi="Arial" w:cs="Arial"/>
          <w:bCs/>
          <w:i/>
          <w:lang w:val="en-ZA"/>
        </w:rPr>
        <w:t>Plascon</w:t>
      </w:r>
      <w:r w:rsidRPr="00BE7D1F">
        <w:rPr>
          <w:rFonts w:ascii="Arial" w:hAnsi="Arial" w:cs="Arial"/>
          <w:i/>
          <w:lang w:val="en-ZA"/>
        </w:rPr>
        <w:t>-</w:t>
      </w:r>
      <w:r w:rsidRPr="00BE7D1F">
        <w:rPr>
          <w:rFonts w:ascii="Arial" w:hAnsi="Arial" w:cs="Arial"/>
          <w:bCs/>
          <w:i/>
          <w:lang w:val="en-ZA"/>
        </w:rPr>
        <w:t>Evans</w:t>
      </w:r>
      <w:r w:rsidR="0038313D">
        <w:rPr>
          <w:rFonts w:ascii="Arial" w:hAnsi="Arial" w:cs="Arial"/>
          <w:i/>
          <w:lang w:val="en-ZA"/>
        </w:rPr>
        <w:t xml:space="preserve"> </w:t>
      </w:r>
      <w:r w:rsidR="0038313D">
        <w:rPr>
          <w:rFonts w:ascii="Arial" w:hAnsi="Arial" w:cs="Arial"/>
          <w:lang w:val="en-ZA"/>
        </w:rPr>
        <w:t xml:space="preserve">fn 10 above </w:t>
      </w:r>
      <w:r>
        <w:rPr>
          <w:rFonts w:ascii="Arial" w:hAnsi="Arial" w:cs="Arial"/>
          <w:lang w:val="en-US"/>
        </w:rPr>
        <w:t xml:space="preserve">at </w:t>
      </w:r>
      <w:r w:rsidRPr="00BE7D1F">
        <w:rPr>
          <w:rFonts w:ascii="Arial" w:hAnsi="Arial" w:cs="Arial"/>
          <w:lang w:val="en-US"/>
        </w:rPr>
        <w:t>641</w:t>
      </w:r>
      <w:r>
        <w:rPr>
          <w:rFonts w:ascii="Arial" w:hAnsi="Arial" w:cs="Arial"/>
          <w:lang w:val="en-US"/>
        </w:rPr>
        <w:t>C-</w:t>
      </w:r>
      <w:r w:rsidRPr="00BE7D1F">
        <w:rPr>
          <w:rFonts w:ascii="Arial" w:hAnsi="Arial" w:cs="Arial"/>
          <w:lang w:val="en-US"/>
        </w:rPr>
        <w:t>D</w:t>
      </w:r>
      <w:r>
        <w:rPr>
          <w:rFonts w:ascii="Arial" w:hAnsi="Arial" w:cs="Arial"/>
          <w:lang w:val="en-US"/>
        </w:rPr>
        <w:t>.</w:t>
      </w:r>
    </w:p>
  </w:footnote>
  <w:footnote w:id="12">
    <w:p w:rsidR="00B9081B" w:rsidRPr="00BF1AF8" w:rsidRDefault="00B9081B" w:rsidP="00B9081B">
      <w:pPr>
        <w:pStyle w:val="FootnoteText"/>
        <w:spacing w:line="240" w:lineRule="auto"/>
        <w:rPr>
          <w:rFonts w:ascii="Arial" w:hAnsi="Arial" w:cs="Arial"/>
        </w:rPr>
      </w:pPr>
      <w:r w:rsidRPr="00BF1AF8">
        <w:rPr>
          <w:rStyle w:val="FootnoteReference"/>
          <w:rFonts w:ascii="Arial" w:hAnsi="Arial" w:cs="Arial"/>
        </w:rPr>
        <w:footnoteRef/>
      </w:r>
      <w:r w:rsidRPr="00BF1AF8">
        <w:rPr>
          <w:rFonts w:ascii="Arial" w:hAnsi="Arial" w:cs="Arial"/>
        </w:rPr>
        <w:t xml:space="preserve"> </w:t>
      </w:r>
      <w:r w:rsidRPr="00BF1AF8">
        <w:rPr>
          <w:rFonts w:ascii="Arial" w:hAnsi="Arial" w:cs="Arial"/>
          <w:i/>
        </w:rPr>
        <w:t>Blue Lion Manuf</w:t>
      </w:r>
      <w:r>
        <w:rPr>
          <w:rFonts w:ascii="Arial" w:hAnsi="Arial" w:cs="Arial"/>
          <w:i/>
        </w:rPr>
        <w:t>a</w:t>
      </w:r>
      <w:r w:rsidRPr="00BF1AF8">
        <w:rPr>
          <w:rFonts w:ascii="Arial" w:hAnsi="Arial" w:cs="Arial"/>
          <w:i/>
        </w:rPr>
        <w:t xml:space="preserve">cturing (Pty) Ltd v National Brands Ltd </w:t>
      </w:r>
      <w:r w:rsidRPr="004356FA">
        <w:rPr>
          <w:rFonts w:ascii="Arial" w:hAnsi="Arial" w:cs="Arial"/>
        </w:rPr>
        <w:t>[2001] 4 All SA 235 (A);</w:t>
      </w:r>
      <w:r w:rsidRPr="002D6847">
        <w:rPr>
          <w:rFonts w:ascii="Arial" w:hAnsi="Arial" w:cs="Arial"/>
          <w:i/>
        </w:rPr>
        <w:t xml:space="preserve"> </w:t>
      </w:r>
      <w:r w:rsidRPr="00BF1AF8">
        <w:rPr>
          <w:rFonts w:ascii="Arial" w:hAnsi="Arial" w:cs="Arial"/>
        </w:rPr>
        <w:t xml:space="preserve">2001 (3) SA 884 (SCA) para 3. </w:t>
      </w:r>
    </w:p>
  </w:footnote>
  <w:footnote w:id="13">
    <w:p w:rsidR="00B9081B" w:rsidRPr="00BF1AF8" w:rsidRDefault="00B9081B" w:rsidP="00B9081B">
      <w:pPr>
        <w:pStyle w:val="FootnoteText"/>
        <w:spacing w:line="240" w:lineRule="auto"/>
        <w:rPr>
          <w:rFonts w:ascii="Arial" w:hAnsi="Arial" w:cs="Arial"/>
        </w:rPr>
      </w:pPr>
      <w:r w:rsidRPr="00BF1AF8">
        <w:rPr>
          <w:rStyle w:val="FootnoteReference"/>
          <w:rFonts w:ascii="Arial" w:hAnsi="Arial" w:cs="Arial"/>
        </w:rPr>
        <w:footnoteRef/>
      </w:r>
      <w:r w:rsidRPr="00BF1AF8">
        <w:rPr>
          <w:rFonts w:ascii="Arial" w:hAnsi="Arial" w:cs="Arial"/>
        </w:rPr>
        <w:t xml:space="preserve"> </w:t>
      </w:r>
      <w:r w:rsidRPr="00BF1AF8">
        <w:rPr>
          <w:rFonts w:ascii="Arial" w:hAnsi="Arial" w:cs="Arial"/>
          <w:i/>
        </w:rPr>
        <w:t xml:space="preserve">Orange Brand Services Ltd v Account Works Software (Pty) Ltd </w:t>
      </w:r>
      <w:r w:rsidRPr="004356FA">
        <w:rPr>
          <w:rFonts w:ascii="Arial" w:hAnsi="Arial" w:cs="Arial"/>
        </w:rPr>
        <w:t>[2013] ZASCA 158</w:t>
      </w:r>
      <w:r>
        <w:rPr>
          <w:rFonts w:ascii="Arial" w:hAnsi="Arial" w:cs="Arial"/>
        </w:rPr>
        <w:t xml:space="preserve"> (SCA);</w:t>
      </w:r>
      <w:r w:rsidRPr="002D6847">
        <w:rPr>
          <w:rFonts w:ascii="Arial" w:hAnsi="Arial" w:cs="Arial"/>
          <w:i/>
        </w:rPr>
        <w:t xml:space="preserve"> </w:t>
      </w:r>
      <w:r w:rsidRPr="00BF1AF8">
        <w:rPr>
          <w:rFonts w:ascii="Arial" w:hAnsi="Arial" w:cs="Arial"/>
        </w:rPr>
        <w:t xml:space="preserve">2013 BIP 313 (SCA) para 13; </w:t>
      </w:r>
      <w:r>
        <w:rPr>
          <w:rFonts w:ascii="Arial" w:hAnsi="Arial" w:cs="Arial"/>
        </w:rPr>
        <w:t>G C</w:t>
      </w:r>
      <w:r w:rsidRPr="00BF1AF8">
        <w:rPr>
          <w:rFonts w:ascii="Arial" w:hAnsi="Arial" w:cs="Arial"/>
        </w:rPr>
        <w:t xml:space="preserve"> Webster, N</w:t>
      </w:r>
      <w:r>
        <w:rPr>
          <w:rFonts w:ascii="Arial" w:hAnsi="Arial" w:cs="Arial"/>
        </w:rPr>
        <w:t xml:space="preserve"> </w:t>
      </w:r>
      <w:r w:rsidRPr="00BF1AF8">
        <w:rPr>
          <w:rFonts w:ascii="Arial" w:hAnsi="Arial" w:cs="Arial"/>
        </w:rPr>
        <w:t xml:space="preserve">S Page, </w:t>
      </w:r>
      <w:r>
        <w:rPr>
          <w:rFonts w:ascii="Arial" w:hAnsi="Arial" w:cs="Arial"/>
        </w:rPr>
        <w:t xml:space="preserve">C E Webster; </w:t>
      </w:r>
      <w:r w:rsidRPr="00BF1AF8">
        <w:rPr>
          <w:rFonts w:ascii="Arial" w:hAnsi="Arial" w:cs="Arial"/>
        </w:rPr>
        <w:t>G</w:t>
      </w:r>
      <w:r>
        <w:rPr>
          <w:rFonts w:ascii="Arial" w:hAnsi="Arial" w:cs="Arial"/>
        </w:rPr>
        <w:t xml:space="preserve"> </w:t>
      </w:r>
      <w:r w:rsidRPr="00BF1AF8">
        <w:rPr>
          <w:rFonts w:ascii="Arial" w:hAnsi="Arial" w:cs="Arial"/>
        </w:rPr>
        <w:t>E Morley</w:t>
      </w:r>
      <w:r>
        <w:rPr>
          <w:rFonts w:ascii="Arial" w:hAnsi="Arial" w:cs="Arial"/>
        </w:rPr>
        <w:t xml:space="preserve"> and I Joubert</w:t>
      </w:r>
      <w:r w:rsidRPr="00BF1AF8">
        <w:rPr>
          <w:rFonts w:ascii="Arial" w:hAnsi="Arial" w:cs="Arial"/>
        </w:rPr>
        <w:t xml:space="preserve"> </w:t>
      </w:r>
      <w:r>
        <w:rPr>
          <w:rFonts w:ascii="Arial" w:hAnsi="Arial" w:cs="Arial"/>
          <w:i/>
        </w:rPr>
        <w:t xml:space="preserve">Webster and Page </w:t>
      </w:r>
      <w:r w:rsidRPr="00BF1AF8">
        <w:rPr>
          <w:rFonts w:ascii="Arial" w:hAnsi="Arial" w:cs="Arial"/>
          <w:i/>
        </w:rPr>
        <w:t xml:space="preserve">South African Law of Trade Marks </w:t>
      </w:r>
      <w:r>
        <w:rPr>
          <w:rFonts w:ascii="Arial" w:hAnsi="Arial" w:cs="Arial"/>
        </w:rPr>
        <w:t>(2022</w:t>
      </w:r>
      <w:r w:rsidRPr="00BF1AF8">
        <w:rPr>
          <w:rFonts w:ascii="Arial" w:hAnsi="Arial" w:cs="Arial"/>
        </w:rPr>
        <w:t xml:space="preserve">) LexisNexis 4 ed </w:t>
      </w:r>
      <w:r>
        <w:rPr>
          <w:rFonts w:ascii="Arial" w:hAnsi="Arial" w:cs="Arial"/>
        </w:rPr>
        <w:t>SI 25</w:t>
      </w:r>
      <w:r w:rsidRPr="00BF1AF8">
        <w:rPr>
          <w:rFonts w:ascii="Arial" w:hAnsi="Arial" w:cs="Arial"/>
        </w:rPr>
        <w:t xml:space="preserve"> para 6.5.1</w:t>
      </w:r>
      <w:r w:rsidR="0038313D">
        <w:rPr>
          <w:rFonts w:ascii="Arial" w:hAnsi="Arial" w:cs="Arial"/>
        </w:rPr>
        <w:t xml:space="preserve"> (</w:t>
      </w:r>
      <w:r w:rsidR="0038313D">
        <w:rPr>
          <w:rFonts w:ascii="Arial" w:hAnsi="Arial" w:cs="Arial"/>
          <w:i/>
        </w:rPr>
        <w:t>Webster and Page</w:t>
      </w:r>
      <w:r w:rsidR="0038313D">
        <w:rPr>
          <w:rFonts w:ascii="Arial" w:hAnsi="Arial" w:cs="Arial"/>
        </w:rPr>
        <w:t>)</w:t>
      </w:r>
      <w:r w:rsidRPr="00BF1AF8">
        <w:rPr>
          <w:rFonts w:ascii="Arial" w:hAnsi="Arial" w:cs="Arial"/>
        </w:rPr>
        <w:t xml:space="preserve">. </w:t>
      </w:r>
    </w:p>
  </w:footnote>
  <w:footnote w:id="14">
    <w:p w:rsidR="00B9081B" w:rsidRPr="00BF1AF8" w:rsidRDefault="00B9081B" w:rsidP="00B9081B">
      <w:pPr>
        <w:pStyle w:val="FootnoteText"/>
        <w:spacing w:line="240" w:lineRule="auto"/>
        <w:rPr>
          <w:rFonts w:ascii="Arial" w:hAnsi="Arial" w:cs="Arial"/>
        </w:rPr>
      </w:pPr>
      <w:r w:rsidRPr="00BF1AF8">
        <w:rPr>
          <w:rStyle w:val="FootnoteReference"/>
          <w:rFonts w:ascii="Arial" w:hAnsi="Arial" w:cs="Arial"/>
        </w:rPr>
        <w:footnoteRef/>
      </w:r>
      <w:r w:rsidRPr="00BF1AF8">
        <w:rPr>
          <w:rFonts w:ascii="Arial" w:hAnsi="Arial" w:cs="Arial"/>
        </w:rPr>
        <w:t xml:space="preserve"> </w:t>
      </w:r>
      <w:r w:rsidR="0038313D">
        <w:rPr>
          <w:rFonts w:ascii="Arial" w:hAnsi="Arial" w:cs="Arial"/>
          <w:i/>
        </w:rPr>
        <w:t xml:space="preserve">William Grant </w:t>
      </w:r>
      <w:r w:rsidR="0038313D">
        <w:rPr>
          <w:rFonts w:ascii="Arial" w:hAnsi="Arial" w:cs="Arial"/>
        </w:rPr>
        <w:t xml:space="preserve">fn 8 above </w:t>
      </w:r>
      <w:r w:rsidRPr="00BF1AF8">
        <w:rPr>
          <w:rFonts w:ascii="Arial" w:hAnsi="Arial" w:cs="Arial"/>
        </w:rPr>
        <w:t>at 912I</w:t>
      </w:r>
      <w:r>
        <w:rPr>
          <w:rFonts w:ascii="Arial" w:hAnsi="Arial" w:cs="Arial"/>
        </w:rPr>
        <w:t>-</w:t>
      </w:r>
      <w:r w:rsidRPr="00BF1AF8">
        <w:rPr>
          <w:rFonts w:ascii="Arial" w:hAnsi="Arial" w:cs="Arial"/>
        </w:rPr>
        <w:t>913B.</w:t>
      </w:r>
    </w:p>
  </w:footnote>
  <w:footnote w:id="15">
    <w:p w:rsidR="00B9081B" w:rsidRPr="00BF1AF8" w:rsidRDefault="00B9081B" w:rsidP="00B9081B">
      <w:pPr>
        <w:pStyle w:val="FootnoteText"/>
        <w:spacing w:line="240" w:lineRule="auto"/>
        <w:rPr>
          <w:rFonts w:ascii="Arial" w:hAnsi="Arial" w:cs="Arial"/>
        </w:rPr>
      </w:pPr>
      <w:r w:rsidRPr="00BF1AF8">
        <w:rPr>
          <w:rStyle w:val="FootnoteReference"/>
          <w:rFonts w:ascii="Arial" w:hAnsi="Arial" w:cs="Arial"/>
        </w:rPr>
        <w:footnoteRef/>
      </w:r>
      <w:r w:rsidRPr="00BF1AF8">
        <w:rPr>
          <w:rFonts w:ascii="Arial" w:hAnsi="Arial" w:cs="Arial"/>
        </w:rPr>
        <w:t xml:space="preserve"> </w:t>
      </w:r>
      <w:r w:rsidRPr="00BF1AF8">
        <w:rPr>
          <w:rFonts w:ascii="Arial" w:hAnsi="Arial" w:cs="Arial"/>
          <w:i/>
        </w:rPr>
        <w:t xml:space="preserve">Red Bull GmbH v Rizo Investments (Pty) Ltd </w:t>
      </w:r>
      <w:r w:rsidRPr="00BF1AF8">
        <w:rPr>
          <w:rFonts w:ascii="Arial" w:hAnsi="Arial" w:cs="Arial"/>
        </w:rPr>
        <w:t>2002 BIP 319 (T) at 323F (</w:t>
      </w:r>
      <w:r w:rsidRPr="00BF1AF8">
        <w:rPr>
          <w:rFonts w:ascii="Arial" w:hAnsi="Arial" w:cs="Arial"/>
          <w:i/>
        </w:rPr>
        <w:t>Red Bull</w:t>
      </w:r>
      <w:r w:rsidRPr="00BF1AF8">
        <w:rPr>
          <w:rFonts w:ascii="Arial" w:hAnsi="Arial" w:cs="Arial"/>
        </w:rPr>
        <w:t>).</w:t>
      </w:r>
    </w:p>
  </w:footnote>
  <w:footnote w:id="16">
    <w:p w:rsidR="00B9081B" w:rsidRPr="00BF1AF8" w:rsidRDefault="00B9081B" w:rsidP="00B9081B">
      <w:pPr>
        <w:pStyle w:val="FootnoteText"/>
        <w:spacing w:line="240" w:lineRule="auto"/>
        <w:rPr>
          <w:rFonts w:ascii="Arial" w:hAnsi="Arial" w:cs="Arial"/>
        </w:rPr>
      </w:pPr>
      <w:r w:rsidRPr="00BF1AF8">
        <w:rPr>
          <w:rStyle w:val="FootnoteReference"/>
          <w:rFonts w:ascii="Arial" w:hAnsi="Arial" w:cs="Arial"/>
        </w:rPr>
        <w:footnoteRef/>
      </w:r>
      <w:r w:rsidRPr="00BF1AF8">
        <w:rPr>
          <w:rFonts w:ascii="Arial" w:hAnsi="Arial" w:cs="Arial"/>
        </w:rPr>
        <w:t xml:space="preserve"> </w:t>
      </w:r>
      <w:r w:rsidRPr="008E50BB">
        <w:rPr>
          <w:rFonts w:ascii="Arial" w:hAnsi="Arial" w:cs="Arial"/>
          <w:i/>
        </w:rPr>
        <w:t xml:space="preserve">Webster and Page </w:t>
      </w:r>
      <w:r w:rsidR="0038313D">
        <w:rPr>
          <w:rFonts w:ascii="Arial" w:hAnsi="Arial" w:cs="Arial"/>
        </w:rPr>
        <w:t xml:space="preserve">fn 13 above </w:t>
      </w:r>
      <w:r>
        <w:rPr>
          <w:rFonts w:ascii="Arial" w:hAnsi="Arial" w:cs="Arial"/>
        </w:rPr>
        <w:t>para 8.25</w:t>
      </w:r>
      <w:r w:rsidRPr="00197ADB">
        <w:rPr>
          <w:rFonts w:ascii="Arial" w:hAnsi="Arial" w:cs="Arial"/>
        </w:rPr>
        <w:t xml:space="preserve">, citing </w:t>
      </w:r>
      <w:r w:rsidRPr="00197ADB">
        <w:rPr>
          <w:rFonts w:ascii="Arial" w:hAnsi="Arial" w:cs="Arial"/>
          <w:i/>
        </w:rPr>
        <w:t xml:space="preserve">The European Limited v The Economist Newspapers Limited </w:t>
      </w:r>
      <w:r w:rsidRPr="00197ADB">
        <w:rPr>
          <w:rFonts w:ascii="Arial" w:hAnsi="Arial" w:cs="Arial"/>
        </w:rPr>
        <w:t>[1996] FSR 431.</w:t>
      </w:r>
    </w:p>
  </w:footnote>
  <w:footnote w:id="17">
    <w:p w:rsidR="00B9081B" w:rsidRPr="00BF1AF8" w:rsidRDefault="00B9081B" w:rsidP="00B9081B">
      <w:pPr>
        <w:pStyle w:val="FootnoteText"/>
        <w:spacing w:line="240" w:lineRule="auto"/>
        <w:rPr>
          <w:rFonts w:ascii="Arial" w:hAnsi="Arial" w:cs="Arial"/>
        </w:rPr>
      </w:pPr>
      <w:r w:rsidRPr="00BF1AF8">
        <w:rPr>
          <w:rStyle w:val="FootnoteReference"/>
          <w:rFonts w:ascii="Arial" w:hAnsi="Arial" w:cs="Arial"/>
        </w:rPr>
        <w:footnoteRef/>
      </w:r>
      <w:r w:rsidRPr="00BF1AF8">
        <w:rPr>
          <w:rFonts w:ascii="Arial" w:hAnsi="Arial" w:cs="Arial"/>
        </w:rPr>
        <w:t xml:space="preserve"> </w:t>
      </w:r>
      <w:r w:rsidRPr="00BF1AF8">
        <w:rPr>
          <w:rFonts w:ascii="Arial" w:hAnsi="Arial" w:cs="Arial"/>
          <w:i/>
        </w:rPr>
        <w:t>McDonald’s Corporation v Joburgers Drive-Inn Restaurant (Pty) Ltd and Another</w:t>
      </w:r>
      <w:r>
        <w:rPr>
          <w:rFonts w:ascii="Arial" w:hAnsi="Arial" w:cs="Arial"/>
          <w:i/>
        </w:rPr>
        <w:t xml:space="preserve">; </w:t>
      </w:r>
      <w:r w:rsidRPr="00BF1AF8">
        <w:rPr>
          <w:rFonts w:ascii="Arial" w:hAnsi="Arial" w:cs="Arial"/>
          <w:i/>
        </w:rPr>
        <w:t xml:space="preserve">McDonald’s Corporation </w:t>
      </w:r>
      <w:r>
        <w:rPr>
          <w:rFonts w:ascii="Arial" w:hAnsi="Arial" w:cs="Arial"/>
          <w:i/>
        </w:rPr>
        <w:t>v</w:t>
      </w:r>
      <w:r w:rsidRPr="00BF1AF8">
        <w:rPr>
          <w:rFonts w:ascii="Arial" w:hAnsi="Arial" w:cs="Arial"/>
          <w:i/>
        </w:rPr>
        <w:t xml:space="preserve"> Dax Prop CC and Another</w:t>
      </w:r>
      <w:r>
        <w:rPr>
          <w:rFonts w:ascii="Arial" w:hAnsi="Arial" w:cs="Arial"/>
        </w:rPr>
        <w:t>;</w:t>
      </w:r>
      <w:r w:rsidRPr="00BF1AF8">
        <w:rPr>
          <w:rFonts w:ascii="Arial" w:hAnsi="Arial" w:cs="Arial"/>
          <w:i/>
        </w:rPr>
        <w:t xml:space="preserve"> McDonald’s Corporation v Joburgers Drive-Inn Restaurant (Pty) Ltd and </w:t>
      </w:r>
      <w:r>
        <w:rPr>
          <w:rFonts w:ascii="Arial" w:hAnsi="Arial" w:cs="Arial"/>
          <w:i/>
        </w:rPr>
        <w:t xml:space="preserve">Another </w:t>
      </w:r>
      <w:r w:rsidRPr="008E50BB">
        <w:rPr>
          <w:rFonts w:ascii="Arial" w:hAnsi="Arial" w:cs="Arial"/>
        </w:rPr>
        <w:t>[1996] 4 All SA 1 (A)</w:t>
      </w:r>
      <w:r>
        <w:rPr>
          <w:rFonts w:ascii="Arial" w:hAnsi="Arial" w:cs="Arial"/>
        </w:rPr>
        <w:t>;</w:t>
      </w:r>
      <w:r w:rsidRPr="00C8205C" w:rsidDel="00C8205C">
        <w:rPr>
          <w:rFonts w:ascii="Arial" w:hAnsi="Arial" w:cs="Arial"/>
          <w:i/>
        </w:rPr>
        <w:t xml:space="preserve"> </w:t>
      </w:r>
      <w:r w:rsidRPr="00BF1AF8">
        <w:rPr>
          <w:rFonts w:ascii="Arial" w:hAnsi="Arial" w:cs="Arial"/>
        </w:rPr>
        <w:t>1997 (1) SA 1 (A) at 26A-B.</w:t>
      </w:r>
    </w:p>
  </w:footnote>
  <w:footnote w:id="18">
    <w:p w:rsidR="00B9081B" w:rsidRPr="00BF1AF8" w:rsidRDefault="00B9081B" w:rsidP="00B9081B">
      <w:pPr>
        <w:pStyle w:val="FootnoteText"/>
        <w:spacing w:line="240" w:lineRule="auto"/>
        <w:rPr>
          <w:rFonts w:ascii="Arial" w:hAnsi="Arial" w:cs="Arial"/>
        </w:rPr>
      </w:pPr>
      <w:r w:rsidRPr="00BF1AF8">
        <w:rPr>
          <w:rStyle w:val="FootnoteReference"/>
          <w:rFonts w:ascii="Arial" w:hAnsi="Arial" w:cs="Arial"/>
        </w:rPr>
        <w:footnoteRef/>
      </w:r>
      <w:r w:rsidRPr="00BF1AF8">
        <w:rPr>
          <w:rFonts w:ascii="Arial" w:hAnsi="Arial" w:cs="Arial"/>
        </w:rPr>
        <w:t xml:space="preserve"> </w:t>
      </w:r>
      <w:r w:rsidRPr="00BF1AF8">
        <w:rPr>
          <w:rFonts w:ascii="Arial" w:hAnsi="Arial" w:cs="Arial"/>
          <w:i/>
        </w:rPr>
        <w:t xml:space="preserve">South African Human Rights Commission obo South African Jewish Board of Deputies v Masuku and Another </w:t>
      </w:r>
      <w:r w:rsidRPr="008E50BB">
        <w:rPr>
          <w:rFonts w:ascii="Arial" w:hAnsi="Arial" w:cs="Arial"/>
        </w:rPr>
        <w:t>[2022] ZACC 5; 2022 (4) SA 1 (CC); 2022 (7) BCLR 850 (CC)</w:t>
      </w:r>
      <w:r>
        <w:rPr>
          <w:rFonts w:ascii="Arial" w:hAnsi="Arial" w:cs="Arial"/>
        </w:rPr>
        <w:t>;</w:t>
      </w:r>
      <w:r w:rsidRPr="008E50BB">
        <w:rPr>
          <w:rFonts w:ascii="Arial" w:hAnsi="Arial" w:cs="Arial"/>
        </w:rPr>
        <w:t xml:space="preserve"> </w:t>
      </w:r>
      <w:r w:rsidRPr="00BF1AF8">
        <w:rPr>
          <w:rFonts w:ascii="Arial" w:hAnsi="Arial" w:cs="Arial"/>
        </w:rPr>
        <w:t>2022 (4) SA 1 (CC) para 144</w:t>
      </w:r>
      <w:r>
        <w:rPr>
          <w:rFonts w:ascii="Arial" w:hAnsi="Arial" w:cs="Arial"/>
        </w:rPr>
        <w:t>-145</w:t>
      </w:r>
      <w:r w:rsidRPr="00BF1AF8">
        <w:rPr>
          <w:rFonts w:ascii="Arial" w:hAnsi="Arial" w:cs="Arial"/>
        </w:rPr>
        <w:t xml:space="preserve">; </w:t>
      </w:r>
      <w:r w:rsidRPr="00BF1AF8">
        <w:rPr>
          <w:rFonts w:ascii="Arial" w:hAnsi="Arial" w:cs="Arial"/>
          <w:i/>
        </w:rPr>
        <w:t xml:space="preserve">Gentiruco AG v </w:t>
      </w:r>
      <w:r>
        <w:rPr>
          <w:rFonts w:ascii="Arial" w:hAnsi="Arial" w:cs="Arial"/>
          <w:i/>
        </w:rPr>
        <w:t>F</w:t>
      </w:r>
      <w:r w:rsidRPr="00BF1AF8">
        <w:rPr>
          <w:rFonts w:ascii="Arial" w:hAnsi="Arial" w:cs="Arial"/>
          <w:i/>
        </w:rPr>
        <w:t xml:space="preserve">irestone SA (Pty) Ltd </w:t>
      </w:r>
      <w:r w:rsidRPr="008E50BB">
        <w:rPr>
          <w:rFonts w:ascii="Arial" w:hAnsi="Arial" w:cs="Arial"/>
        </w:rPr>
        <w:t xml:space="preserve">[1972] 1 All SA 201 (A); </w:t>
      </w:r>
      <w:r w:rsidRPr="00BF1AF8">
        <w:rPr>
          <w:rFonts w:ascii="Arial" w:hAnsi="Arial" w:cs="Arial"/>
        </w:rPr>
        <w:t xml:space="preserve">1972 (1) SA 589 (A) at 616H. </w:t>
      </w:r>
    </w:p>
  </w:footnote>
  <w:footnote w:id="19">
    <w:p w:rsidR="00B9081B" w:rsidRPr="00422E1A" w:rsidRDefault="00B9081B" w:rsidP="00B9081B">
      <w:pPr>
        <w:pStyle w:val="FootnoteText"/>
        <w:spacing w:line="240" w:lineRule="auto"/>
        <w:rPr>
          <w:rFonts w:ascii="Arial" w:hAnsi="Arial" w:cs="Arial"/>
          <w:i/>
        </w:rPr>
      </w:pPr>
      <w:r w:rsidRPr="00422E1A">
        <w:rPr>
          <w:rStyle w:val="FootnoteReference"/>
          <w:rFonts w:ascii="Arial" w:hAnsi="Arial" w:cs="Arial"/>
        </w:rPr>
        <w:footnoteRef/>
      </w:r>
      <w:r w:rsidRPr="00422E1A">
        <w:rPr>
          <w:rFonts w:ascii="Arial" w:hAnsi="Arial" w:cs="Arial"/>
        </w:rPr>
        <w:t xml:space="preserve"> </w:t>
      </w:r>
      <w:r w:rsidRPr="00422E1A">
        <w:rPr>
          <w:rFonts w:ascii="Arial" w:hAnsi="Arial" w:cs="Arial"/>
          <w:i/>
        </w:rPr>
        <w:t xml:space="preserve">Red Bull </w:t>
      </w:r>
      <w:r w:rsidR="00422E1A" w:rsidRPr="00422E1A">
        <w:rPr>
          <w:rFonts w:ascii="Arial" w:hAnsi="Arial" w:cs="Arial"/>
        </w:rPr>
        <w:t>fn 15</w:t>
      </w:r>
      <w:r w:rsidRPr="00422E1A">
        <w:rPr>
          <w:rFonts w:ascii="Arial" w:hAnsi="Arial" w:cs="Arial"/>
        </w:rPr>
        <w:t xml:space="preserve"> above</w:t>
      </w:r>
      <w:r w:rsidRPr="00422E1A">
        <w:rPr>
          <w:rFonts w:ascii="Arial" w:hAnsi="Arial" w:cs="Arial"/>
          <w:i/>
        </w:rPr>
        <w:t>.</w:t>
      </w:r>
    </w:p>
  </w:footnote>
  <w:footnote w:id="20">
    <w:p w:rsidR="00B9081B" w:rsidRPr="00BF1AF8" w:rsidRDefault="00B9081B" w:rsidP="00B9081B">
      <w:pPr>
        <w:pStyle w:val="FootnoteText"/>
        <w:spacing w:line="240" w:lineRule="auto"/>
        <w:rPr>
          <w:rFonts w:ascii="Arial" w:hAnsi="Arial" w:cs="Arial"/>
        </w:rPr>
      </w:pPr>
      <w:r w:rsidRPr="00422E1A">
        <w:rPr>
          <w:rStyle w:val="FootnoteReference"/>
          <w:rFonts w:ascii="Arial" w:hAnsi="Arial" w:cs="Arial"/>
        </w:rPr>
        <w:footnoteRef/>
      </w:r>
      <w:r w:rsidRPr="00422E1A">
        <w:rPr>
          <w:rFonts w:ascii="Arial" w:hAnsi="Arial" w:cs="Arial"/>
        </w:rPr>
        <w:t xml:space="preserve"> </w:t>
      </w:r>
      <w:r w:rsidR="00422E1A" w:rsidRPr="00422E1A">
        <w:rPr>
          <w:rFonts w:ascii="Arial" w:hAnsi="Arial" w:cs="Arial"/>
        </w:rPr>
        <w:t>Ibid</w:t>
      </w:r>
      <w:r w:rsidRPr="00422E1A">
        <w:rPr>
          <w:rFonts w:ascii="Arial" w:hAnsi="Arial" w:cs="Arial"/>
          <w:i/>
        </w:rPr>
        <w:t xml:space="preserve"> </w:t>
      </w:r>
      <w:r w:rsidRPr="00422E1A">
        <w:rPr>
          <w:rFonts w:ascii="Arial" w:hAnsi="Arial" w:cs="Arial"/>
        </w:rPr>
        <w:t>at 323F: ‘.</w:t>
      </w:r>
      <w:r w:rsidRPr="00BF1AF8">
        <w:rPr>
          <w:rFonts w:ascii="Arial" w:hAnsi="Arial" w:cs="Arial"/>
        </w:rPr>
        <w:t xml:space="preserve"> . . the irresistible and only reasonable inference from a comparison of the marks</w:t>
      </w:r>
      <w:r>
        <w:rPr>
          <w:rFonts w:ascii="Arial" w:hAnsi="Arial" w:cs="Arial"/>
        </w:rPr>
        <w:t xml:space="preserve"> </w:t>
      </w:r>
      <w:r w:rsidRPr="00BF1AF8">
        <w:rPr>
          <w:rFonts w:ascii="Arial" w:hAnsi="Arial" w:cs="Arial"/>
        </w:rPr>
        <w:t xml:space="preserve">. . . is that </w:t>
      </w:r>
      <w:r>
        <w:rPr>
          <w:rFonts w:ascii="Arial" w:hAnsi="Arial" w:cs="Arial"/>
        </w:rPr>
        <w:t xml:space="preserve">[the] </w:t>
      </w:r>
      <w:r w:rsidRPr="00BF1AF8">
        <w:rPr>
          <w:rFonts w:ascii="Arial" w:hAnsi="Arial" w:cs="Arial"/>
        </w:rPr>
        <w:t>respondent is acting out a common charade</w:t>
      </w:r>
      <w:r>
        <w:rPr>
          <w:rFonts w:ascii="Arial" w:hAnsi="Arial" w:cs="Arial"/>
        </w:rPr>
        <w:t xml:space="preserve"> </w:t>
      </w:r>
      <w:r w:rsidRPr="00BF1AF8">
        <w:rPr>
          <w:rFonts w:ascii="Arial" w:hAnsi="Arial" w:cs="Arial"/>
        </w:rPr>
        <w:t>. . . sailing as close to the wind</w:t>
      </w:r>
      <w:r>
        <w:rPr>
          <w:rFonts w:ascii="Arial" w:hAnsi="Arial" w:cs="Arial"/>
        </w:rPr>
        <w:t xml:space="preserve"> </w:t>
      </w:r>
      <w:r w:rsidRPr="00BF1AF8">
        <w:rPr>
          <w:rFonts w:ascii="Arial" w:hAnsi="Arial" w:cs="Arial"/>
        </w:rPr>
        <w:t xml:space="preserve">. . . without brewing up a storm of deception’. </w:t>
      </w:r>
    </w:p>
  </w:footnote>
  <w:footnote w:id="21">
    <w:p w:rsidR="00B9081B" w:rsidRPr="00BF1AF8" w:rsidRDefault="00B9081B" w:rsidP="00B9081B">
      <w:pPr>
        <w:pStyle w:val="FootnoteText"/>
        <w:spacing w:line="240" w:lineRule="auto"/>
        <w:rPr>
          <w:rFonts w:ascii="Arial" w:hAnsi="Arial" w:cs="Arial"/>
        </w:rPr>
      </w:pPr>
      <w:r w:rsidRPr="00BF1AF8">
        <w:rPr>
          <w:rStyle w:val="FootnoteReference"/>
          <w:rFonts w:ascii="Arial" w:hAnsi="Arial" w:cs="Arial"/>
        </w:rPr>
        <w:footnoteRef/>
      </w:r>
      <w:r w:rsidRPr="00BF1AF8">
        <w:rPr>
          <w:rFonts w:ascii="Arial" w:hAnsi="Arial" w:cs="Arial"/>
        </w:rPr>
        <w:t xml:space="preserve"> </w:t>
      </w:r>
      <w:r w:rsidR="00422E1A" w:rsidRPr="00BF1AF8">
        <w:rPr>
          <w:rFonts w:ascii="Arial" w:hAnsi="Arial" w:cs="Arial"/>
          <w:i/>
        </w:rPr>
        <w:t>Patz v Green</w:t>
      </w:r>
      <w:r w:rsidR="00422E1A">
        <w:rPr>
          <w:rFonts w:ascii="Arial" w:hAnsi="Arial" w:cs="Arial"/>
          <w:i/>
        </w:rPr>
        <w:t>e &amp; Co</w:t>
      </w:r>
      <w:r w:rsidR="00422E1A">
        <w:rPr>
          <w:rFonts w:ascii="Arial" w:hAnsi="Arial" w:cs="Arial"/>
        </w:rPr>
        <w:t xml:space="preserve"> 1907 TS 427; </w:t>
      </w:r>
      <w:r w:rsidRPr="00BF1AF8">
        <w:rPr>
          <w:rFonts w:ascii="Arial" w:hAnsi="Arial" w:cs="Arial"/>
          <w:i/>
        </w:rPr>
        <w:t xml:space="preserve">Pexmart CC and Others v H Mocke Construction (Pty) Ltd and Another </w:t>
      </w:r>
      <w:r w:rsidRPr="00BF1AF8">
        <w:rPr>
          <w:rFonts w:ascii="Arial" w:hAnsi="Arial" w:cs="Arial"/>
        </w:rPr>
        <w:t xml:space="preserve">[2018] ZASCA 175; </w:t>
      </w:r>
      <w:r w:rsidRPr="00995303">
        <w:rPr>
          <w:rFonts w:ascii="Arial" w:hAnsi="Arial" w:cs="Arial"/>
        </w:rPr>
        <w:t xml:space="preserve">[2019] 1 All SA 335 (SCA); </w:t>
      </w:r>
      <w:r w:rsidRPr="00BF1AF8">
        <w:rPr>
          <w:rFonts w:ascii="Arial" w:hAnsi="Arial" w:cs="Arial"/>
        </w:rPr>
        <w:t xml:space="preserve">2019 (3) SA 117 (SCA) paras 62 </w:t>
      </w:r>
      <w:r>
        <w:rPr>
          <w:rFonts w:ascii="Arial" w:hAnsi="Arial" w:cs="Arial"/>
        </w:rPr>
        <w:t>and</w:t>
      </w:r>
      <w:r w:rsidRPr="00BF1AF8">
        <w:rPr>
          <w:rFonts w:ascii="Arial" w:hAnsi="Arial" w:cs="Arial"/>
        </w:rPr>
        <w:t xml:space="preserve"> 63(a); </w:t>
      </w:r>
      <w:r w:rsidRPr="00BF1AF8">
        <w:rPr>
          <w:rFonts w:ascii="Arial" w:hAnsi="Arial" w:cs="Arial"/>
          <w:i/>
        </w:rPr>
        <w:t xml:space="preserve">Schultz v Butt </w:t>
      </w:r>
      <w:r w:rsidRPr="008E50BB">
        <w:rPr>
          <w:rFonts w:ascii="Arial" w:hAnsi="Arial" w:cs="Arial"/>
        </w:rPr>
        <w:t>[1986] 2 All SA 403 (A)</w:t>
      </w:r>
      <w:r>
        <w:rPr>
          <w:rFonts w:ascii="Arial" w:hAnsi="Arial" w:cs="Arial"/>
        </w:rPr>
        <w:t>;</w:t>
      </w:r>
      <w:r w:rsidRPr="008E50BB">
        <w:rPr>
          <w:rFonts w:ascii="Arial" w:hAnsi="Arial" w:cs="Arial"/>
        </w:rPr>
        <w:t xml:space="preserve"> </w:t>
      </w:r>
      <w:r w:rsidRPr="00BF1AF8">
        <w:rPr>
          <w:rFonts w:ascii="Arial" w:hAnsi="Arial" w:cs="Arial"/>
        </w:rPr>
        <w:t xml:space="preserve">1986 (3) SA 667 (A) at 678F-H; </w:t>
      </w:r>
      <w:r w:rsidRPr="00BF1AF8">
        <w:rPr>
          <w:rFonts w:ascii="Arial" w:hAnsi="Arial" w:cs="Arial"/>
          <w:i/>
        </w:rPr>
        <w:t xml:space="preserve">Long John International Ltd v Stellenbosch Wine Trust (Pty) Ltd </w:t>
      </w:r>
      <w:r w:rsidRPr="00BF1AF8">
        <w:rPr>
          <w:rFonts w:ascii="Arial" w:hAnsi="Arial" w:cs="Arial"/>
        </w:rPr>
        <w:t>1990 (4) SA 136 (D) at 143G-I;</w:t>
      </w:r>
      <w:r w:rsidRPr="00BF1AF8">
        <w:rPr>
          <w:rFonts w:ascii="Arial" w:hAnsi="Arial" w:cs="Arial"/>
          <w:i/>
        </w:rPr>
        <w:t xml:space="preserve"> Milestone Beverage CC and Others v The Scotch Whisky Association and Others </w:t>
      </w:r>
      <w:r w:rsidRPr="00BF1AF8">
        <w:rPr>
          <w:rFonts w:ascii="Arial" w:hAnsi="Arial" w:cs="Arial"/>
        </w:rPr>
        <w:t>[2020] ZASCA 105</w:t>
      </w:r>
      <w:r>
        <w:rPr>
          <w:rFonts w:ascii="Arial" w:hAnsi="Arial" w:cs="Arial"/>
        </w:rPr>
        <w:t>;</w:t>
      </w:r>
      <w:r w:rsidRPr="00995303">
        <w:rPr>
          <w:rFonts w:ascii="Arial" w:hAnsi="Arial" w:cs="Arial"/>
        </w:rPr>
        <w:t xml:space="preserve"> [2020] 4 All SA 335 (SCA); 2021 (2) SA 413 (SCA)</w:t>
      </w:r>
      <w:r w:rsidRPr="00BF1AF8">
        <w:rPr>
          <w:rFonts w:ascii="Arial" w:hAnsi="Arial" w:cs="Arial"/>
        </w:rPr>
        <w:t xml:space="preserve"> para 1</w:t>
      </w:r>
      <w:r>
        <w:rPr>
          <w:rFonts w:ascii="Arial" w:hAnsi="Arial" w:cs="Arial"/>
        </w:rPr>
        <w:t>6</w:t>
      </w:r>
      <w:r w:rsidR="00422E1A">
        <w:rPr>
          <w:rFonts w:ascii="Arial" w:hAnsi="Arial" w:cs="Arial"/>
        </w:rPr>
        <w:t xml:space="preserve"> (</w:t>
      </w:r>
      <w:r w:rsidR="00422E1A" w:rsidRPr="00BF1AF8">
        <w:rPr>
          <w:rFonts w:ascii="Arial" w:hAnsi="Arial" w:cs="Arial"/>
          <w:i/>
        </w:rPr>
        <w:t>Milestone</w:t>
      </w:r>
      <w:r w:rsidR="00422E1A">
        <w:rPr>
          <w:rFonts w:ascii="Arial" w:hAnsi="Arial" w:cs="Arial"/>
        </w:rPr>
        <w:t>)</w:t>
      </w:r>
      <w:r>
        <w:rPr>
          <w:rFonts w:ascii="Arial" w:hAnsi="Arial" w:cs="Arial"/>
        </w:rPr>
        <w:t>.</w:t>
      </w:r>
    </w:p>
  </w:footnote>
  <w:footnote w:id="22">
    <w:p w:rsidR="00B9081B" w:rsidRPr="00BF1AF8" w:rsidRDefault="00B9081B" w:rsidP="00B9081B">
      <w:pPr>
        <w:pStyle w:val="FootnoteText"/>
        <w:spacing w:line="240" w:lineRule="auto"/>
        <w:rPr>
          <w:rFonts w:ascii="Arial" w:hAnsi="Arial" w:cs="Arial"/>
        </w:rPr>
      </w:pPr>
      <w:r w:rsidRPr="00BF1AF8">
        <w:rPr>
          <w:rStyle w:val="FootnoteReference"/>
          <w:rFonts w:ascii="Arial" w:hAnsi="Arial" w:cs="Arial"/>
        </w:rPr>
        <w:footnoteRef/>
      </w:r>
      <w:r w:rsidRPr="00BF1AF8">
        <w:rPr>
          <w:rFonts w:ascii="Arial" w:hAnsi="Arial" w:cs="Arial"/>
        </w:rPr>
        <w:t xml:space="preserve"> </w:t>
      </w:r>
      <w:r w:rsidRPr="00BF1AF8">
        <w:rPr>
          <w:rFonts w:ascii="Arial" w:hAnsi="Arial" w:cs="Arial"/>
          <w:i/>
        </w:rPr>
        <w:t>Elida Gibbs (Pty) Ltd v Colgate</w:t>
      </w:r>
      <w:r>
        <w:rPr>
          <w:rFonts w:ascii="Arial" w:hAnsi="Arial" w:cs="Arial"/>
          <w:i/>
        </w:rPr>
        <w:t>-</w:t>
      </w:r>
      <w:r w:rsidRPr="00BF1AF8">
        <w:rPr>
          <w:rFonts w:ascii="Arial" w:hAnsi="Arial" w:cs="Arial"/>
          <w:i/>
        </w:rPr>
        <w:t>Palmolive (Pty) Ltd</w:t>
      </w:r>
      <w:r>
        <w:rPr>
          <w:rFonts w:ascii="Arial" w:hAnsi="Arial" w:cs="Arial"/>
          <w:i/>
        </w:rPr>
        <w:t xml:space="preserve"> (1)</w:t>
      </w:r>
      <w:r w:rsidRPr="00BF1AF8">
        <w:rPr>
          <w:rFonts w:ascii="Arial" w:hAnsi="Arial" w:cs="Arial"/>
          <w:i/>
        </w:rPr>
        <w:t xml:space="preserve"> </w:t>
      </w:r>
      <w:r>
        <w:rPr>
          <w:rFonts w:ascii="Arial" w:hAnsi="Arial" w:cs="Arial"/>
        </w:rPr>
        <w:t>[1988] 4 All SA 68</w:t>
      </w:r>
      <w:r w:rsidRPr="008E50BB">
        <w:rPr>
          <w:rFonts w:ascii="Arial" w:hAnsi="Arial" w:cs="Arial"/>
        </w:rPr>
        <w:t xml:space="preserve"> (W)</w:t>
      </w:r>
      <w:r>
        <w:rPr>
          <w:rFonts w:ascii="Arial" w:hAnsi="Arial" w:cs="Arial"/>
        </w:rPr>
        <w:t>;</w:t>
      </w:r>
      <w:r w:rsidRPr="008E50BB">
        <w:rPr>
          <w:rFonts w:ascii="Arial" w:hAnsi="Arial" w:cs="Arial"/>
        </w:rPr>
        <w:t xml:space="preserve"> </w:t>
      </w:r>
      <w:r w:rsidRPr="00BF1AF8">
        <w:rPr>
          <w:rFonts w:ascii="Arial" w:hAnsi="Arial" w:cs="Arial"/>
        </w:rPr>
        <w:t>1988 (2) SA 350 (W) at 358F-359A: ‘</w:t>
      </w:r>
      <w:r>
        <w:rPr>
          <w:rFonts w:ascii="Arial" w:hAnsi="Arial" w:cs="Arial"/>
        </w:rPr>
        <w:t>[w]</w:t>
      </w:r>
      <w:r w:rsidRPr="00BF1AF8">
        <w:rPr>
          <w:rFonts w:ascii="Arial" w:hAnsi="Arial" w:cs="Arial"/>
        </w:rPr>
        <w:t>here, however, a misstatement of fact relates to a fundamental or intrinsic quality of the wares to be sold, thereby providing the advertiser with a competitive advantage, a plaintiff should not be non-suited merely because the deception was innocent’</w:t>
      </w:r>
      <w:r>
        <w:rPr>
          <w:rFonts w:ascii="Arial" w:hAnsi="Arial" w:cs="Arial"/>
        </w:rPr>
        <w:t>.</w:t>
      </w:r>
    </w:p>
  </w:footnote>
  <w:footnote w:id="23">
    <w:p w:rsidR="00B9081B" w:rsidRPr="00BF1AF8" w:rsidRDefault="00B9081B" w:rsidP="00B9081B">
      <w:pPr>
        <w:pStyle w:val="FootnoteText"/>
        <w:spacing w:line="240" w:lineRule="auto"/>
        <w:rPr>
          <w:rFonts w:ascii="Arial" w:hAnsi="Arial" w:cs="Arial"/>
        </w:rPr>
      </w:pPr>
      <w:r w:rsidRPr="00197ADB">
        <w:rPr>
          <w:rStyle w:val="FootnoteReference"/>
          <w:rFonts w:ascii="Arial" w:hAnsi="Arial" w:cs="Arial"/>
        </w:rPr>
        <w:footnoteRef/>
      </w:r>
      <w:r w:rsidRPr="00197ADB">
        <w:rPr>
          <w:rFonts w:ascii="Arial" w:hAnsi="Arial" w:cs="Arial"/>
        </w:rPr>
        <w:t xml:space="preserve"> </w:t>
      </w:r>
      <w:r w:rsidRPr="00D96FF6">
        <w:rPr>
          <w:rFonts w:ascii="Arial" w:hAnsi="Arial" w:cs="Arial"/>
        </w:rPr>
        <w:t>Section 3(1) provides that the Minister may prohibit the sale of a prescribed product unless that product is sold according to the prescribed class or grade; unless that product complies with the prescribed standards regarding the quality thereof, or a class or grade thereof; unless the prescribed requirements in connection with the management control system, packaging, marking and labelling of that product are complied with; if that product contains a prescribed prohibited substance or does not contain a prescribed substance; and</w:t>
      </w:r>
      <w:r w:rsidRPr="00D96FF6">
        <w:t xml:space="preserve"> </w:t>
      </w:r>
      <w:r w:rsidRPr="00D96FF6">
        <w:rPr>
          <w:rFonts w:ascii="Arial" w:hAnsi="Arial" w:cs="Arial"/>
        </w:rPr>
        <w:t xml:space="preserve">unless that product is packed, marked and labelled in the prescribed manner or with the </w:t>
      </w:r>
      <w:r w:rsidR="00D96FF6" w:rsidRPr="00D96FF6">
        <w:rPr>
          <w:rFonts w:ascii="Arial" w:hAnsi="Arial" w:cs="Arial"/>
        </w:rPr>
        <w:t>prescribed particulars</w:t>
      </w:r>
      <w:r w:rsidRPr="00D96FF6">
        <w:rPr>
          <w:rFonts w:ascii="Arial" w:hAnsi="Arial" w:cs="Arial"/>
        </w:rPr>
        <w:t>.</w:t>
      </w:r>
    </w:p>
  </w:footnote>
  <w:footnote w:id="24">
    <w:p w:rsidR="00364DA3" w:rsidRPr="008E50BB" w:rsidRDefault="00364DA3" w:rsidP="00364DA3">
      <w:pPr>
        <w:pStyle w:val="FootnoteText"/>
        <w:spacing w:line="240" w:lineRule="auto"/>
        <w:rPr>
          <w:rFonts w:ascii="Arial" w:hAnsi="Arial" w:cs="Arial"/>
          <w:lang w:val="en-ZA"/>
        </w:rPr>
      </w:pPr>
      <w:r w:rsidRPr="008E50BB">
        <w:rPr>
          <w:rStyle w:val="FootnoteReference"/>
          <w:rFonts w:ascii="Arial" w:hAnsi="Arial" w:cs="Arial"/>
        </w:rPr>
        <w:footnoteRef/>
      </w:r>
      <w:r w:rsidRPr="008E50BB">
        <w:rPr>
          <w:rFonts w:ascii="Arial" w:hAnsi="Arial" w:cs="Arial"/>
        </w:rPr>
        <w:t xml:space="preserve"> </w:t>
      </w:r>
      <w:r w:rsidR="00E07F66">
        <w:rPr>
          <w:rFonts w:ascii="Arial" w:hAnsi="Arial" w:cs="Arial"/>
          <w:i/>
        </w:rPr>
        <w:t xml:space="preserve">Milestone </w:t>
      </w:r>
      <w:r w:rsidR="00E07F66">
        <w:rPr>
          <w:rFonts w:ascii="Arial" w:hAnsi="Arial" w:cs="Arial"/>
        </w:rPr>
        <w:t>fn 21 above</w:t>
      </w:r>
      <w:r w:rsidRPr="008E50BB">
        <w:rPr>
          <w:rFonts w:ascii="Arial" w:hAnsi="Arial" w:cs="Arial"/>
        </w:rPr>
        <w:t>.</w:t>
      </w:r>
    </w:p>
  </w:footnote>
  <w:footnote w:id="25">
    <w:p w:rsidR="00364DA3" w:rsidRPr="00BF1AF8" w:rsidRDefault="00364DA3" w:rsidP="00364DA3">
      <w:pPr>
        <w:pStyle w:val="FootnoteText"/>
        <w:spacing w:line="240" w:lineRule="auto"/>
        <w:rPr>
          <w:rFonts w:ascii="Arial" w:hAnsi="Arial" w:cs="Arial"/>
        </w:rPr>
      </w:pPr>
      <w:r w:rsidRPr="00BF1AF8">
        <w:rPr>
          <w:rStyle w:val="FootnoteReference"/>
          <w:rFonts w:ascii="Arial" w:hAnsi="Arial" w:cs="Arial"/>
        </w:rPr>
        <w:footnoteRef/>
      </w:r>
      <w:r w:rsidRPr="00BF1AF8">
        <w:rPr>
          <w:rFonts w:ascii="Arial" w:hAnsi="Arial" w:cs="Arial"/>
        </w:rPr>
        <w:t xml:space="preserve"> </w:t>
      </w:r>
      <w:r w:rsidRPr="00BF1AF8">
        <w:rPr>
          <w:rFonts w:ascii="Arial" w:hAnsi="Arial" w:cs="Arial"/>
          <w:i/>
        </w:rPr>
        <w:t xml:space="preserve">Johannesburg City Council v Knoetze and Sons </w:t>
      </w:r>
      <w:r w:rsidRPr="00BF1AF8">
        <w:rPr>
          <w:rFonts w:ascii="Arial" w:hAnsi="Arial" w:cs="Arial"/>
        </w:rPr>
        <w:t>1969 (2) SA 148 (W) at 150-155.</w:t>
      </w:r>
    </w:p>
  </w:footnote>
  <w:footnote w:id="26">
    <w:p w:rsidR="00364DA3" w:rsidRPr="00BF1AF8" w:rsidRDefault="00364DA3" w:rsidP="00364DA3">
      <w:pPr>
        <w:pStyle w:val="FootnoteText"/>
        <w:spacing w:line="240" w:lineRule="auto"/>
        <w:rPr>
          <w:rFonts w:ascii="Arial" w:hAnsi="Arial" w:cs="Arial"/>
        </w:rPr>
      </w:pPr>
      <w:r w:rsidRPr="00BF1AF8">
        <w:rPr>
          <w:rStyle w:val="FootnoteReference"/>
          <w:rFonts w:ascii="Arial" w:hAnsi="Arial" w:cs="Arial"/>
        </w:rPr>
        <w:footnoteRef/>
      </w:r>
      <w:r w:rsidRPr="00BF1AF8">
        <w:rPr>
          <w:rFonts w:ascii="Arial" w:hAnsi="Arial" w:cs="Arial"/>
        </w:rPr>
        <w:t xml:space="preserve"> </w:t>
      </w:r>
      <w:r w:rsidRPr="00BF1AF8">
        <w:rPr>
          <w:rFonts w:ascii="Arial" w:hAnsi="Arial" w:cs="Arial"/>
          <w:i/>
        </w:rPr>
        <w:t xml:space="preserve">Milestone </w:t>
      </w:r>
      <w:r w:rsidR="00E07F66">
        <w:rPr>
          <w:rFonts w:ascii="Arial" w:hAnsi="Arial" w:cs="Arial"/>
        </w:rPr>
        <w:t>fn 21</w:t>
      </w:r>
      <w:r>
        <w:rPr>
          <w:rFonts w:ascii="Arial" w:hAnsi="Arial" w:cs="Arial"/>
        </w:rPr>
        <w:t xml:space="preserve"> above </w:t>
      </w:r>
      <w:r w:rsidRPr="00BF1AF8">
        <w:rPr>
          <w:rFonts w:ascii="Arial" w:hAnsi="Arial" w:cs="Arial"/>
        </w:rPr>
        <w:t xml:space="preserve">para 53. </w:t>
      </w:r>
    </w:p>
  </w:footnote>
  <w:footnote w:id="27">
    <w:p w:rsidR="00364DA3" w:rsidRPr="00BF1AF8" w:rsidRDefault="00364DA3" w:rsidP="00364DA3">
      <w:pPr>
        <w:pStyle w:val="FootnoteText"/>
        <w:spacing w:line="240" w:lineRule="auto"/>
        <w:rPr>
          <w:rFonts w:ascii="Arial" w:hAnsi="Arial" w:cs="Arial"/>
        </w:rPr>
      </w:pPr>
      <w:r w:rsidRPr="00BF1AF8">
        <w:rPr>
          <w:rStyle w:val="FootnoteReference"/>
          <w:rFonts w:ascii="Arial" w:hAnsi="Arial" w:cs="Arial"/>
        </w:rPr>
        <w:footnoteRef/>
      </w:r>
      <w:r w:rsidRPr="00BF1AF8">
        <w:rPr>
          <w:rFonts w:ascii="Arial" w:hAnsi="Arial" w:cs="Arial"/>
        </w:rPr>
        <w:t xml:space="preserve"> As it was put in </w:t>
      </w:r>
      <w:r w:rsidRPr="00BF1AF8">
        <w:rPr>
          <w:rFonts w:ascii="Arial" w:hAnsi="Arial" w:cs="Arial"/>
          <w:i/>
        </w:rPr>
        <w:t>Judicial Service Commission</w:t>
      </w:r>
      <w:r>
        <w:rPr>
          <w:rFonts w:ascii="Arial" w:hAnsi="Arial" w:cs="Arial"/>
          <w:i/>
        </w:rPr>
        <w:t xml:space="preserve"> and Another</w:t>
      </w:r>
      <w:r w:rsidRPr="00BF1AF8">
        <w:rPr>
          <w:rFonts w:ascii="Arial" w:hAnsi="Arial" w:cs="Arial"/>
          <w:i/>
        </w:rPr>
        <w:t xml:space="preserve"> v Cape Bar Council</w:t>
      </w:r>
      <w:r>
        <w:rPr>
          <w:rFonts w:ascii="Arial" w:hAnsi="Arial" w:cs="Arial"/>
          <w:i/>
        </w:rPr>
        <w:t xml:space="preserve"> and Another</w:t>
      </w:r>
      <w:r>
        <w:rPr>
          <w:rFonts w:ascii="Arial" w:hAnsi="Arial" w:cs="Arial"/>
        </w:rPr>
        <w:t xml:space="preserve"> </w:t>
      </w:r>
      <w:r w:rsidRPr="00F7473A">
        <w:rPr>
          <w:rFonts w:ascii="Arial" w:hAnsi="Arial" w:cs="Arial"/>
        </w:rPr>
        <w:t>[20</w:t>
      </w:r>
      <w:r>
        <w:rPr>
          <w:rFonts w:ascii="Arial" w:hAnsi="Arial" w:cs="Arial"/>
        </w:rPr>
        <w:t>12] ZASCA 115;</w:t>
      </w:r>
      <w:r w:rsidRPr="00F7473A">
        <w:rPr>
          <w:rFonts w:ascii="Arial" w:hAnsi="Arial" w:cs="Arial"/>
        </w:rPr>
        <w:t xml:space="preserve"> [2013] 1 All SA 40 (SCA)</w:t>
      </w:r>
      <w:r>
        <w:rPr>
          <w:rFonts w:ascii="Arial" w:hAnsi="Arial" w:cs="Arial"/>
        </w:rPr>
        <w:t>;</w:t>
      </w:r>
      <w:r w:rsidRPr="00BF1AF8">
        <w:rPr>
          <w:rFonts w:ascii="Arial" w:hAnsi="Arial" w:cs="Arial"/>
          <w:i/>
        </w:rPr>
        <w:t xml:space="preserve"> </w:t>
      </w:r>
      <w:r w:rsidRPr="00BF1AF8">
        <w:rPr>
          <w:rFonts w:ascii="Arial" w:hAnsi="Arial" w:cs="Arial"/>
        </w:rPr>
        <w:t xml:space="preserve">2013 (1) SA 170 (SCA) para 12: </w:t>
      </w:r>
    </w:p>
    <w:p w:rsidR="00364DA3" w:rsidRPr="00BF1AF8" w:rsidRDefault="00364DA3" w:rsidP="00364DA3">
      <w:pPr>
        <w:pStyle w:val="FootnoteText"/>
        <w:spacing w:line="240" w:lineRule="auto"/>
        <w:rPr>
          <w:rFonts w:ascii="Arial" w:hAnsi="Arial" w:cs="Arial"/>
        </w:rPr>
      </w:pPr>
      <w:r w:rsidRPr="00BF1AF8">
        <w:rPr>
          <w:rFonts w:ascii="Arial" w:hAnsi="Arial" w:cs="Arial"/>
        </w:rPr>
        <w:t xml:space="preserve">‘It has by now become settled law that the joinder of a party is only required as a matter of necessity – as opposed to a matter of convenience – if that party has a direct and substantial interest which may be affected prejudicially by the judgment of the court in the proceedings concerned (see eg </w:t>
      </w:r>
      <w:r w:rsidRPr="00BF1AF8">
        <w:rPr>
          <w:rFonts w:ascii="Arial" w:hAnsi="Arial" w:cs="Arial"/>
          <w:i/>
        </w:rPr>
        <w:t>Bow</w:t>
      </w:r>
      <w:r>
        <w:rPr>
          <w:rFonts w:ascii="Arial" w:hAnsi="Arial" w:cs="Arial"/>
          <w:i/>
        </w:rPr>
        <w:t>r</w:t>
      </w:r>
      <w:r w:rsidRPr="00BF1AF8">
        <w:rPr>
          <w:rFonts w:ascii="Arial" w:hAnsi="Arial" w:cs="Arial"/>
          <w:i/>
        </w:rPr>
        <w:t xml:space="preserve">ing NO v Vrededorp Properties CC and Another </w:t>
      </w:r>
      <w:r w:rsidRPr="00BF1AF8">
        <w:rPr>
          <w:rFonts w:ascii="Arial" w:hAnsi="Arial" w:cs="Arial"/>
        </w:rPr>
        <w:t xml:space="preserve">2007 (5) SA 391 (SCA) para 21). The mere fact that a party may have an interest in the outcome of the litigation does not warrant a non-joinder plea. The right of a party to validly raise the objection that other parties should have been joined to the proceedings, has thus been held to be a limited one (see eg </w:t>
      </w:r>
      <w:r w:rsidRPr="00BF1AF8">
        <w:rPr>
          <w:rFonts w:ascii="Arial" w:hAnsi="Arial" w:cs="Arial"/>
          <w:i/>
        </w:rPr>
        <w:t xml:space="preserve">Burger v Rand Water Board and Another </w:t>
      </w:r>
      <w:r w:rsidRPr="00BF1AF8">
        <w:rPr>
          <w:rFonts w:ascii="Arial" w:hAnsi="Arial" w:cs="Arial"/>
        </w:rPr>
        <w:t xml:space="preserve">2007 (1) SA 30 (SCA) para 7; and Andries Charl Cilliers, Cheryl Loots and Hendrik Christoffel Nel </w:t>
      </w:r>
      <w:r w:rsidRPr="008E50BB">
        <w:rPr>
          <w:rFonts w:ascii="Arial" w:hAnsi="Arial" w:cs="Arial"/>
          <w:i/>
        </w:rPr>
        <w:t>Herbstein &amp; Van Winsen</w:t>
      </w:r>
      <w:r w:rsidRPr="00F7473A">
        <w:rPr>
          <w:rFonts w:ascii="Arial" w:hAnsi="Arial" w:cs="Arial"/>
          <w:i/>
        </w:rPr>
        <w:t xml:space="preserve"> </w:t>
      </w:r>
      <w:r w:rsidRPr="00BF1AF8">
        <w:rPr>
          <w:rFonts w:ascii="Arial" w:hAnsi="Arial" w:cs="Arial"/>
          <w:i/>
        </w:rPr>
        <w:t xml:space="preserve">The Civil Practice of the High Courts of South Africa </w:t>
      </w:r>
      <w:r w:rsidRPr="00BF1AF8">
        <w:rPr>
          <w:rFonts w:ascii="Arial" w:hAnsi="Arial" w:cs="Arial"/>
        </w:rPr>
        <w:t>5 ed vol 1 at 239 and the cases there cited).’</w:t>
      </w:r>
    </w:p>
  </w:footnote>
  <w:footnote w:id="28">
    <w:p w:rsidR="00364DA3" w:rsidRPr="00BF1AF8" w:rsidRDefault="00364DA3" w:rsidP="00364DA3">
      <w:pPr>
        <w:pStyle w:val="FootnoteText"/>
        <w:spacing w:line="240" w:lineRule="auto"/>
        <w:rPr>
          <w:rFonts w:ascii="Arial" w:hAnsi="Arial" w:cs="Arial"/>
        </w:rPr>
      </w:pPr>
      <w:r w:rsidRPr="00BF1AF8">
        <w:rPr>
          <w:rStyle w:val="FootnoteReference"/>
          <w:rFonts w:ascii="Arial" w:hAnsi="Arial" w:cs="Arial"/>
        </w:rPr>
        <w:footnoteRef/>
      </w:r>
      <w:r w:rsidRPr="00BF1AF8">
        <w:rPr>
          <w:rFonts w:ascii="Arial" w:hAnsi="Arial" w:cs="Arial"/>
        </w:rPr>
        <w:t xml:space="preserve"> </w:t>
      </w:r>
      <w:r w:rsidRPr="008E50BB">
        <w:rPr>
          <w:rFonts w:ascii="Arial" w:hAnsi="Arial" w:cs="Arial"/>
          <w:i/>
        </w:rPr>
        <w:t>Esquire Electronics Ltd v Executive Video</w:t>
      </w:r>
      <w:r w:rsidRPr="002537BC">
        <w:rPr>
          <w:rFonts w:ascii="Arial" w:hAnsi="Arial" w:cs="Arial"/>
        </w:rPr>
        <w:t xml:space="preserve"> [1986] 2 All SA 210 (A)</w:t>
      </w:r>
      <w:r>
        <w:rPr>
          <w:rFonts w:ascii="Arial" w:hAnsi="Arial" w:cs="Arial"/>
        </w:rPr>
        <w:t>;</w:t>
      </w:r>
      <w:r w:rsidRPr="002537BC">
        <w:rPr>
          <w:rFonts w:ascii="Arial" w:hAnsi="Arial" w:cs="Arial"/>
        </w:rPr>
        <w:t xml:space="preserve"> </w:t>
      </w:r>
      <w:r w:rsidRPr="00BF1AF8">
        <w:rPr>
          <w:rFonts w:ascii="Arial" w:hAnsi="Arial" w:cs="Arial"/>
        </w:rPr>
        <w:t>1986 (2) SA 576 (A).</w:t>
      </w:r>
    </w:p>
  </w:footnote>
  <w:footnote w:id="29">
    <w:p w:rsidR="00364DA3" w:rsidRPr="00BF1AF8" w:rsidRDefault="00364DA3" w:rsidP="00364DA3">
      <w:pPr>
        <w:pStyle w:val="FootnoteText"/>
        <w:spacing w:line="240" w:lineRule="auto"/>
        <w:rPr>
          <w:rFonts w:ascii="Arial" w:hAnsi="Arial" w:cs="Arial"/>
        </w:rPr>
      </w:pPr>
      <w:r w:rsidRPr="00BF1AF8">
        <w:rPr>
          <w:rStyle w:val="FootnoteReference"/>
          <w:rFonts w:ascii="Arial" w:hAnsi="Arial" w:cs="Arial"/>
        </w:rPr>
        <w:footnoteRef/>
      </w:r>
      <w:r w:rsidRPr="00BF1AF8">
        <w:rPr>
          <w:rFonts w:ascii="Arial" w:hAnsi="Arial" w:cs="Arial"/>
        </w:rPr>
        <w:t xml:space="preserve"> </w:t>
      </w:r>
      <w:r w:rsidR="00CB24B3">
        <w:rPr>
          <w:rFonts w:ascii="Arial" w:hAnsi="Arial" w:cs="Arial"/>
        </w:rPr>
        <w:t>Ibid a</w:t>
      </w:r>
      <w:r>
        <w:rPr>
          <w:rFonts w:ascii="Arial" w:hAnsi="Arial" w:cs="Arial"/>
        </w:rPr>
        <w:t xml:space="preserve">t </w:t>
      </w:r>
      <w:r w:rsidRPr="00BF1AF8">
        <w:rPr>
          <w:rFonts w:ascii="Arial" w:hAnsi="Arial" w:cs="Arial"/>
        </w:rPr>
        <w:t>590I-591A.</w:t>
      </w:r>
    </w:p>
  </w:footnote>
  <w:footnote w:id="30">
    <w:p w:rsidR="00B9081B" w:rsidRPr="00BF1AF8" w:rsidRDefault="00B9081B" w:rsidP="00B9081B">
      <w:pPr>
        <w:pStyle w:val="FootnoteText"/>
        <w:spacing w:line="240" w:lineRule="auto"/>
        <w:rPr>
          <w:rFonts w:ascii="Arial" w:hAnsi="Arial" w:cs="Arial"/>
        </w:rPr>
      </w:pPr>
      <w:r w:rsidRPr="00BF1AF8">
        <w:rPr>
          <w:rStyle w:val="FootnoteReference"/>
          <w:rFonts w:ascii="Arial" w:hAnsi="Arial" w:cs="Arial"/>
        </w:rPr>
        <w:footnoteRef/>
      </w:r>
      <w:r w:rsidRPr="00BF1AF8">
        <w:rPr>
          <w:rFonts w:ascii="Arial" w:hAnsi="Arial" w:cs="Arial"/>
        </w:rPr>
        <w:t xml:space="preserve"> </w:t>
      </w:r>
      <w:r w:rsidR="00CB24B3">
        <w:rPr>
          <w:rFonts w:ascii="Arial" w:hAnsi="Arial" w:cs="Arial"/>
        </w:rPr>
        <w:t>Ibid a</w:t>
      </w:r>
      <w:r>
        <w:rPr>
          <w:rFonts w:ascii="Arial" w:hAnsi="Arial" w:cs="Arial"/>
        </w:rPr>
        <w:t xml:space="preserve">t </w:t>
      </w:r>
      <w:r w:rsidRPr="00BF1AF8">
        <w:rPr>
          <w:rFonts w:ascii="Arial" w:hAnsi="Arial" w:cs="Arial"/>
        </w:rPr>
        <w:t>590H.</w:t>
      </w:r>
    </w:p>
  </w:footnote>
  <w:footnote w:id="31">
    <w:p w:rsidR="00B9081B" w:rsidRPr="00BF1AF8" w:rsidRDefault="00B9081B" w:rsidP="00B9081B">
      <w:pPr>
        <w:pStyle w:val="FootnoteText"/>
        <w:spacing w:line="240" w:lineRule="auto"/>
        <w:rPr>
          <w:rFonts w:ascii="Arial" w:hAnsi="Arial" w:cs="Arial"/>
        </w:rPr>
      </w:pPr>
      <w:r w:rsidRPr="00BF1AF8">
        <w:rPr>
          <w:rStyle w:val="FootnoteReference"/>
          <w:rFonts w:ascii="Arial" w:hAnsi="Arial" w:cs="Arial"/>
        </w:rPr>
        <w:footnoteRef/>
      </w:r>
      <w:r w:rsidRPr="00BF1AF8">
        <w:rPr>
          <w:rFonts w:ascii="Arial" w:hAnsi="Arial" w:cs="Arial"/>
        </w:rPr>
        <w:t xml:space="preserve"> </w:t>
      </w:r>
      <w:r w:rsidRPr="00BF1AF8">
        <w:rPr>
          <w:rFonts w:ascii="Arial" w:hAnsi="Arial" w:cs="Arial"/>
          <w:i/>
        </w:rPr>
        <w:t xml:space="preserve">The Gap Inc v Salt of the Earth Creations </w:t>
      </w:r>
      <w:r w:rsidRPr="00BF1AF8">
        <w:rPr>
          <w:rFonts w:ascii="Arial" w:hAnsi="Arial" w:cs="Arial"/>
        </w:rPr>
        <w:t xml:space="preserve">2012 (5) SA 259 (SCA) para 2.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AE0" w:rsidRPr="00BF17C2" w:rsidRDefault="00BB6AE0" w:rsidP="005E50C9">
    <w:pPr>
      <w:pBdr>
        <w:top w:val="nil"/>
        <w:left w:val="nil"/>
        <w:bottom w:val="nil"/>
        <w:right w:val="nil"/>
        <w:between w:val="nil"/>
      </w:pBdr>
      <w:tabs>
        <w:tab w:val="center" w:pos="4513"/>
        <w:tab w:val="right" w:pos="9026"/>
      </w:tabs>
      <w:jc w:val="right"/>
      <w:rPr>
        <w:rFonts w:ascii="Arial" w:hAnsi="Arial" w:cs="Arial"/>
        <w:color w:val="000000"/>
      </w:rPr>
    </w:pPr>
    <w:r w:rsidRPr="00BF17C2">
      <w:rPr>
        <w:rFonts w:ascii="Arial" w:hAnsi="Arial" w:cs="Arial"/>
        <w:color w:val="000000"/>
      </w:rPr>
      <w:fldChar w:fldCharType="begin"/>
    </w:r>
    <w:r w:rsidRPr="00BF17C2">
      <w:rPr>
        <w:rFonts w:ascii="Arial" w:hAnsi="Arial" w:cs="Arial"/>
        <w:color w:val="000000"/>
      </w:rPr>
      <w:instrText>PAGE</w:instrText>
    </w:r>
    <w:r w:rsidRPr="00BF17C2">
      <w:rPr>
        <w:rFonts w:ascii="Arial" w:hAnsi="Arial" w:cs="Arial"/>
        <w:color w:val="000000"/>
      </w:rPr>
      <w:fldChar w:fldCharType="separate"/>
    </w:r>
    <w:r w:rsidR="00EE3815">
      <w:rPr>
        <w:rFonts w:ascii="Arial" w:hAnsi="Arial" w:cs="Arial"/>
        <w:noProof/>
        <w:color w:val="000000"/>
      </w:rPr>
      <w:t>2</w:t>
    </w:r>
    <w:r w:rsidRPr="00BF17C2">
      <w:rPr>
        <w:rFonts w:ascii="Arial" w:hAnsi="Arial" w:cs="Arial"/>
        <w:color w:val="00000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2CC"/>
    <w:multiLevelType w:val="hybridMultilevel"/>
    <w:tmpl w:val="A4A4C9EE"/>
    <w:lvl w:ilvl="0" w:tplc="DF24089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2992760"/>
    <w:multiLevelType w:val="hybridMultilevel"/>
    <w:tmpl w:val="CEC85954"/>
    <w:lvl w:ilvl="0" w:tplc="CF5EC2DA">
      <w:start w:val="1"/>
      <w:numFmt w:val="decimal"/>
      <w:lvlText w:val="[%1]"/>
      <w:lvlJc w:val="left"/>
      <w:pPr>
        <w:ind w:left="644" w:hanging="360"/>
      </w:pPr>
      <w:rPr>
        <w:rFonts w:ascii="Arial" w:hAnsi="Arial" w:cs="Arial" w:hint="default"/>
        <w:b w:val="0"/>
        <w:i w:val="0"/>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C122304"/>
    <w:multiLevelType w:val="multilevel"/>
    <w:tmpl w:val="02A8621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E1"/>
    <w:rsid w:val="00001B2A"/>
    <w:rsid w:val="000056CC"/>
    <w:rsid w:val="00032707"/>
    <w:rsid w:val="00062786"/>
    <w:rsid w:val="00083808"/>
    <w:rsid w:val="00085856"/>
    <w:rsid w:val="0009292A"/>
    <w:rsid w:val="000A19BF"/>
    <w:rsid w:val="000B03EE"/>
    <w:rsid w:val="000B5D74"/>
    <w:rsid w:val="000B76EA"/>
    <w:rsid w:val="000C1357"/>
    <w:rsid w:val="000D68FF"/>
    <w:rsid w:val="000E1ECD"/>
    <w:rsid w:val="000E2959"/>
    <w:rsid w:val="000E4704"/>
    <w:rsid w:val="000E7553"/>
    <w:rsid w:val="0011088D"/>
    <w:rsid w:val="0013442D"/>
    <w:rsid w:val="001362C2"/>
    <w:rsid w:val="00140F09"/>
    <w:rsid w:val="00140F0D"/>
    <w:rsid w:val="0014713E"/>
    <w:rsid w:val="00160FB0"/>
    <w:rsid w:val="001754FA"/>
    <w:rsid w:val="00177F61"/>
    <w:rsid w:val="00180118"/>
    <w:rsid w:val="00187348"/>
    <w:rsid w:val="0019321F"/>
    <w:rsid w:val="00194D5A"/>
    <w:rsid w:val="001A5C74"/>
    <w:rsid w:val="001A7734"/>
    <w:rsid w:val="001C1610"/>
    <w:rsid w:val="001D32ED"/>
    <w:rsid w:val="001D3E79"/>
    <w:rsid w:val="001D45D1"/>
    <w:rsid w:val="001E0D88"/>
    <w:rsid w:val="002134D4"/>
    <w:rsid w:val="002201AE"/>
    <w:rsid w:val="0025458C"/>
    <w:rsid w:val="002558D0"/>
    <w:rsid w:val="0025623D"/>
    <w:rsid w:val="00291500"/>
    <w:rsid w:val="002948EF"/>
    <w:rsid w:val="002A0D92"/>
    <w:rsid w:val="002B6539"/>
    <w:rsid w:val="002E10CD"/>
    <w:rsid w:val="002F3CFC"/>
    <w:rsid w:val="002F4ADF"/>
    <w:rsid w:val="0030063A"/>
    <w:rsid w:val="00306737"/>
    <w:rsid w:val="00344EB3"/>
    <w:rsid w:val="00353FA5"/>
    <w:rsid w:val="0035499A"/>
    <w:rsid w:val="00356FC1"/>
    <w:rsid w:val="00364DA3"/>
    <w:rsid w:val="0038313D"/>
    <w:rsid w:val="003A025A"/>
    <w:rsid w:val="003A13AD"/>
    <w:rsid w:val="003A2314"/>
    <w:rsid w:val="003B0548"/>
    <w:rsid w:val="00401836"/>
    <w:rsid w:val="00415B08"/>
    <w:rsid w:val="00422E1A"/>
    <w:rsid w:val="0042367E"/>
    <w:rsid w:val="00423996"/>
    <w:rsid w:val="00431D0F"/>
    <w:rsid w:val="00445A48"/>
    <w:rsid w:val="00465FE3"/>
    <w:rsid w:val="00481BAD"/>
    <w:rsid w:val="004A0F2F"/>
    <w:rsid w:val="004D5094"/>
    <w:rsid w:val="004F6669"/>
    <w:rsid w:val="005005D6"/>
    <w:rsid w:val="005072FA"/>
    <w:rsid w:val="0052152E"/>
    <w:rsid w:val="00524552"/>
    <w:rsid w:val="005248AA"/>
    <w:rsid w:val="005255BD"/>
    <w:rsid w:val="005364DE"/>
    <w:rsid w:val="005573CB"/>
    <w:rsid w:val="00557A44"/>
    <w:rsid w:val="00584664"/>
    <w:rsid w:val="005906F8"/>
    <w:rsid w:val="00594913"/>
    <w:rsid w:val="005A7949"/>
    <w:rsid w:val="005B7911"/>
    <w:rsid w:val="005C0135"/>
    <w:rsid w:val="005C29CF"/>
    <w:rsid w:val="005D07C6"/>
    <w:rsid w:val="005D0F10"/>
    <w:rsid w:val="005D6D6F"/>
    <w:rsid w:val="005E50C9"/>
    <w:rsid w:val="006029AB"/>
    <w:rsid w:val="00625A9A"/>
    <w:rsid w:val="00651FC8"/>
    <w:rsid w:val="006572BA"/>
    <w:rsid w:val="006670A5"/>
    <w:rsid w:val="00671633"/>
    <w:rsid w:val="006906CC"/>
    <w:rsid w:val="00692B59"/>
    <w:rsid w:val="006B112F"/>
    <w:rsid w:val="006D5620"/>
    <w:rsid w:val="006D704B"/>
    <w:rsid w:val="00701EA2"/>
    <w:rsid w:val="00702030"/>
    <w:rsid w:val="007043AF"/>
    <w:rsid w:val="007124D6"/>
    <w:rsid w:val="0071739C"/>
    <w:rsid w:val="00732C8F"/>
    <w:rsid w:val="007659A4"/>
    <w:rsid w:val="00771DB3"/>
    <w:rsid w:val="00785CDF"/>
    <w:rsid w:val="007A6C23"/>
    <w:rsid w:val="007A72C1"/>
    <w:rsid w:val="007C7E28"/>
    <w:rsid w:val="007D1078"/>
    <w:rsid w:val="007D29FA"/>
    <w:rsid w:val="007E604F"/>
    <w:rsid w:val="008008C2"/>
    <w:rsid w:val="00807539"/>
    <w:rsid w:val="00807F69"/>
    <w:rsid w:val="008121E4"/>
    <w:rsid w:val="008226CF"/>
    <w:rsid w:val="008258D6"/>
    <w:rsid w:val="00837170"/>
    <w:rsid w:val="00846CDC"/>
    <w:rsid w:val="00884464"/>
    <w:rsid w:val="00886DB9"/>
    <w:rsid w:val="00891E23"/>
    <w:rsid w:val="00897F94"/>
    <w:rsid w:val="008B54CD"/>
    <w:rsid w:val="008C504C"/>
    <w:rsid w:val="008E0519"/>
    <w:rsid w:val="008E37D0"/>
    <w:rsid w:val="008E49D6"/>
    <w:rsid w:val="008F027C"/>
    <w:rsid w:val="00916ABA"/>
    <w:rsid w:val="00944D26"/>
    <w:rsid w:val="0094684B"/>
    <w:rsid w:val="00962A8D"/>
    <w:rsid w:val="00964692"/>
    <w:rsid w:val="009707DC"/>
    <w:rsid w:val="00973BE0"/>
    <w:rsid w:val="00977ABD"/>
    <w:rsid w:val="00986507"/>
    <w:rsid w:val="00987F2D"/>
    <w:rsid w:val="00994EC3"/>
    <w:rsid w:val="009A3651"/>
    <w:rsid w:val="009A68AE"/>
    <w:rsid w:val="009C1111"/>
    <w:rsid w:val="009C119D"/>
    <w:rsid w:val="009C6BE6"/>
    <w:rsid w:val="009D5095"/>
    <w:rsid w:val="00A06FBA"/>
    <w:rsid w:val="00A12E8A"/>
    <w:rsid w:val="00A17AD1"/>
    <w:rsid w:val="00A44DD4"/>
    <w:rsid w:val="00A47666"/>
    <w:rsid w:val="00A515E1"/>
    <w:rsid w:val="00A87149"/>
    <w:rsid w:val="00AA5579"/>
    <w:rsid w:val="00AC1287"/>
    <w:rsid w:val="00AC211F"/>
    <w:rsid w:val="00AF49F2"/>
    <w:rsid w:val="00B00502"/>
    <w:rsid w:val="00B01DB5"/>
    <w:rsid w:val="00B418ED"/>
    <w:rsid w:val="00B41B2A"/>
    <w:rsid w:val="00B70815"/>
    <w:rsid w:val="00B737C7"/>
    <w:rsid w:val="00B8068A"/>
    <w:rsid w:val="00B84604"/>
    <w:rsid w:val="00B904C7"/>
    <w:rsid w:val="00B9081B"/>
    <w:rsid w:val="00B93027"/>
    <w:rsid w:val="00BA0776"/>
    <w:rsid w:val="00BB3D0A"/>
    <w:rsid w:val="00BB6AE0"/>
    <w:rsid w:val="00BB7F65"/>
    <w:rsid w:val="00BC1FC8"/>
    <w:rsid w:val="00BE3DA1"/>
    <w:rsid w:val="00BF17C2"/>
    <w:rsid w:val="00C22A63"/>
    <w:rsid w:val="00C314BC"/>
    <w:rsid w:val="00C36B17"/>
    <w:rsid w:val="00C4005E"/>
    <w:rsid w:val="00C45213"/>
    <w:rsid w:val="00C47F96"/>
    <w:rsid w:val="00C52C7B"/>
    <w:rsid w:val="00C728E3"/>
    <w:rsid w:val="00CA3A36"/>
    <w:rsid w:val="00CA6DCC"/>
    <w:rsid w:val="00CA7B41"/>
    <w:rsid w:val="00CB24B3"/>
    <w:rsid w:val="00CB5FE1"/>
    <w:rsid w:val="00CC5D5C"/>
    <w:rsid w:val="00CC7F37"/>
    <w:rsid w:val="00CE1FD8"/>
    <w:rsid w:val="00CF6071"/>
    <w:rsid w:val="00D01FEF"/>
    <w:rsid w:val="00D06E73"/>
    <w:rsid w:val="00D07FB3"/>
    <w:rsid w:val="00D36D11"/>
    <w:rsid w:val="00D43265"/>
    <w:rsid w:val="00D56E7E"/>
    <w:rsid w:val="00D648B7"/>
    <w:rsid w:val="00D96FF6"/>
    <w:rsid w:val="00DA781B"/>
    <w:rsid w:val="00DB3B54"/>
    <w:rsid w:val="00DC092C"/>
    <w:rsid w:val="00DE5157"/>
    <w:rsid w:val="00E07F66"/>
    <w:rsid w:val="00E15190"/>
    <w:rsid w:val="00E30647"/>
    <w:rsid w:val="00E518C3"/>
    <w:rsid w:val="00E5564C"/>
    <w:rsid w:val="00E57859"/>
    <w:rsid w:val="00E67D5A"/>
    <w:rsid w:val="00E75DE4"/>
    <w:rsid w:val="00E76199"/>
    <w:rsid w:val="00E779ED"/>
    <w:rsid w:val="00E906F6"/>
    <w:rsid w:val="00E95915"/>
    <w:rsid w:val="00EB28E2"/>
    <w:rsid w:val="00EC13C7"/>
    <w:rsid w:val="00EE3815"/>
    <w:rsid w:val="00F26E2A"/>
    <w:rsid w:val="00F31EC4"/>
    <w:rsid w:val="00F32C0F"/>
    <w:rsid w:val="00F32D33"/>
    <w:rsid w:val="00F4598C"/>
    <w:rsid w:val="00F7476C"/>
    <w:rsid w:val="00FB0CAE"/>
    <w:rsid w:val="00FB78C4"/>
    <w:rsid w:val="00FE1D18"/>
    <w:rsid w:val="00FE3F9E"/>
    <w:rsid w:val="00FF4E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E93FC5-58A2-4A15-801A-B8468D49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ZA"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FD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qFormat/>
    <w:rsid w:val="00F17FD3"/>
    <w:pPr>
      <w:keepNext/>
      <w:outlineLvl w:val="2"/>
    </w:pPr>
    <w:rPr>
      <w:rFonts w:ascii="Arial" w:hAnsi="Arial" w:cs="Arial"/>
      <w:i/>
      <w:iCs/>
      <w:sz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3Char">
    <w:name w:val="Heading 3 Char"/>
    <w:basedOn w:val="DefaultParagraphFont"/>
    <w:link w:val="Heading3"/>
    <w:rsid w:val="00F17FD3"/>
    <w:rPr>
      <w:rFonts w:ascii="Arial" w:eastAsia="Times New Roman" w:hAnsi="Arial" w:cs="Arial"/>
      <w:i/>
      <w:iCs/>
      <w:sz w:val="28"/>
      <w:szCs w:val="24"/>
      <w:lang w:val="en-GB"/>
    </w:rPr>
  </w:style>
  <w:style w:type="paragraph" w:styleId="Header">
    <w:name w:val="header"/>
    <w:basedOn w:val="Normal"/>
    <w:link w:val="HeaderChar"/>
    <w:uiPriority w:val="99"/>
    <w:unhideWhenUsed/>
    <w:rsid w:val="005023EF"/>
    <w:pPr>
      <w:tabs>
        <w:tab w:val="center" w:pos="4513"/>
        <w:tab w:val="right" w:pos="9026"/>
      </w:tabs>
    </w:pPr>
  </w:style>
  <w:style w:type="character" w:customStyle="1" w:styleId="HeaderChar">
    <w:name w:val="Header Char"/>
    <w:basedOn w:val="DefaultParagraphFont"/>
    <w:link w:val="Header"/>
    <w:uiPriority w:val="99"/>
    <w:rsid w:val="005023E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023EF"/>
    <w:pPr>
      <w:tabs>
        <w:tab w:val="center" w:pos="4513"/>
        <w:tab w:val="right" w:pos="9026"/>
      </w:tabs>
    </w:pPr>
  </w:style>
  <w:style w:type="character" w:customStyle="1" w:styleId="FooterChar">
    <w:name w:val="Footer Char"/>
    <w:basedOn w:val="DefaultParagraphFont"/>
    <w:link w:val="Footer"/>
    <w:uiPriority w:val="99"/>
    <w:rsid w:val="005023EF"/>
    <w:rPr>
      <w:rFonts w:ascii="Times New Roman" w:eastAsia="Times New Roman" w:hAnsi="Times New Roman" w:cs="Times New Roman"/>
      <w:sz w:val="24"/>
      <w:szCs w:val="24"/>
      <w:lang w:val="en-GB"/>
    </w:rPr>
  </w:style>
  <w:style w:type="paragraph" w:styleId="ListBullet">
    <w:name w:val="List Bullet"/>
    <w:basedOn w:val="Normal"/>
    <w:uiPriority w:val="99"/>
    <w:unhideWhenUsed/>
    <w:rsid w:val="005023EF"/>
    <w:pPr>
      <w:numPr>
        <w:numId w:val="1"/>
      </w:numPr>
      <w:spacing w:after="160" w:line="259" w:lineRule="auto"/>
      <w:contextualSpacing/>
    </w:pPr>
    <w:rPr>
      <w:rFonts w:asciiTheme="minorHAnsi" w:eastAsiaTheme="minorHAnsi" w:hAnsiTheme="minorHAnsi" w:cstheme="minorBidi"/>
      <w:sz w:val="22"/>
      <w:szCs w:val="22"/>
      <w:lang w:val="en-ZA"/>
    </w:rPr>
  </w:style>
  <w:style w:type="paragraph" w:styleId="FootnoteText">
    <w:name w:val="footnote text"/>
    <w:basedOn w:val="Normal"/>
    <w:link w:val="FootnoteTextChar"/>
    <w:uiPriority w:val="99"/>
    <w:rsid w:val="000E3AE8"/>
    <w:rPr>
      <w:sz w:val="20"/>
      <w:szCs w:val="20"/>
    </w:rPr>
  </w:style>
  <w:style w:type="character" w:customStyle="1" w:styleId="FootnoteTextChar">
    <w:name w:val="Footnote Text Char"/>
    <w:basedOn w:val="DefaultParagraphFont"/>
    <w:link w:val="FootnoteText"/>
    <w:uiPriority w:val="99"/>
    <w:rsid w:val="000E3AE8"/>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0E3AE8"/>
    <w:rPr>
      <w:vertAlign w:val="superscript"/>
    </w:rPr>
  </w:style>
  <w:style w:type="paragraph" w:styleId="BalloonText">
    <w:name w:val="Balloon Text"/>
    <w:basedOn w:val="Normal"/>
    <w:link w:val="BalloonTextChar"/>
    <w:uiPriority w:val="99"/>
    <w:semiHidden/>
    <w:unhideWhenUsed/>
    <w:rsid w:val="00C84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CDE"/>
    <w:rPr>
      <w:rFonts w:ascii="Segoe UI" w:eastAsia="Times New Roman" w:hAnsi="Segoe UI" w:cs="Segoe UI"/>
      <w:sz w:val="18"/>
      <w:szCs w:val="18"/>
      <w:lang w:val="en-GB"/>
    </w:rPr>
  </w:style>
  <w:style w:type="paragraph" w:styleId="ListParagraph">
    <w:name w:val="List Paragraph"/>
    <w:basedOn w:val="Normal"/>
    <w:uiPriority w:val="34"/>
    <w:qFormat/>
    <w:rsid w:val="00D54FBE"/>
    <w:pPr>
      <w:ind w:left="720"/>
      <w:contextualSpacing/>
    </w:pPr>
  </w:style>
  <w:style w:type="paragraph" w:customStyle="1" w:styleId="lg-a-1">
    <w:name w:val="lg-a-1"/>
    <w:basedOn w:val="Normal"/>
    <w:rsid w:val="00F91ACE"/>
    <w:pPr>
      <w:spacing w:before="100" w:beforeAutospacing="1" w:after="100" w:afterAutospacing="1"/>
    </w:pPr>
    <w:rPr>
      <w:lang w:val="en-ZA" w:eastAsia="en-GB"/>
    </w:rPr>
  </w:style>
  <w:style w:type="character" w:styleId="Hyperlink">
    <w:name w:val="Hyperlink"/>
    <w:basedOn w:val="DefaultParagraphFont"/>
    <w:uiPriority w:val="99"/>
    <w:semiHidden/>
    <w:unhideWhenUsed/>
    <w:rsid w:val="00F91ACE"/>
    <w:rPr>
      <w:color w:val="0000FF"/>
      <w:u w:val="single"/>
    </w:rPr>
  </w:style>
  <w:style w:type="paragraph" w:customStyle="1" w:styleId="lg-i-a-1">
    <w:name w:val="lg-i-a-1"/>
    <w:basedOn w:val="Normal"/>
    <w:rsid w:val="00F91ACE"/>
    <w:pPr>
      <w:spacing w:before="100" w:beforeAutospacing="1" w:after="100" w:afterAutospacing="1"/>
    </w:pPr>
    <w:rPr>
      <w:lang w:val="en-ZA" w:eastAsia="en-GB"/>
    </w:rPr>
  </w:style>
  <w:style w:type="character" w:styleId="CommentReference">
    <w:name w:val="annotation reference"/>
    <w:basedOn w:val="DefaultParagraphFont"/>
    <w:uiPriority w:val="99"/>
    <w:semiHidden/>
    <w:unhideWhenUsed/>
    <w:rsid w:val="00846328"/>
    <w:rPr>
      <w:sz w:val="16"/>
      <w:szCs w:val="16"/>
    </w:rPr>
  </w:style>
  <w:style w:type="paragraph" w:styleId="CommentText">
    <w:name w:val="annotation text"/>
    <w:basedOn w:val="Normal"/>
    <w:link w:val="CommentTextChar"/>
    <w:uiPriority w:val="99"/>
    <w:unhideWhenUsed/>
    <w:rsid w:val="00846328"/>
    <w:rPr>
      <w:sz w:val="20"/>
      <w:szCs w:val="20"/>
    </w:rPr>
  </w:style>
  <w:style w:type="character" w:customStyle="1" w:styleId="CommentTextChar">
    <w:name w:val="Comment Text Char"/>
    <w:basedOn w:val="DefaultParagraphFont"/>
    <w:link w:val="CommentText"/>
    <w:uiPriority w:val="99"/>
    <w:rsid w:val="0084632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46328"/>
    <w:rPr>
      <w:b/>
      <w:bCs/>
    </w:rPr>
  </w:style>
  <w:style w:type="character" w:customStyle="1" w:styleId="CommentSubjectChar">
    <w:name w:val="Comment Subject Char"/>
    <w:basedOn w:val="CommentTextChar"/>
    <w:link w:val="CommentSubject"/>
    <w:uiPriority w:val="99"/>
    <w:semiHidden/>
    <w:rsid w:val="00846328"/>
    <w:rPr>
      <w:rFonts w:ascii="Times New Roman" w:eastAsia="Times New Roman" w:hAnsi="Times New Roman" w:cs="Times New Roman"/>
      <w:b/>
      <w:bCs/>
      <w:sz w:val="20"/>
      <w:szCs w:val="20"/>
      <w:lang w:val="en-GB"/>
    </w:rPr>
  </w:style>
  <w:style w:type="paragraph" w:styleId="Revision">
    <w:name w:val="Revision"/>
    <w:hidden/>
    <w:uiPriority w:val="99"/>
    <w:semiHidden/>
    <w:rsid w:val="006D25C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NpUwrH5XZSY7xupmdWXqXpa9JA==">AMUW2mXnahn5SnlqCdj5iD1h1exgqjs5vR5sg632sch3dXZlJnN3mbjIdPbvUmqJQ5qL0nfwPLB68IS2/mBjmr5GOYEIcfcZsCnQ52Ez9S0r4Nay6DBZtfo=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93B2737-AB54-4C18-A467-0834DA01D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5022</Words>
  <Characters>28632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Ester Botha</dc:creator>
  <cp:lastModifiedBy>Mary Bruce</cp:lastModifiedBy>
  <cp:revision>3</cp:revision>
  <cp:lastPrinted>2023-05-31T07:07:00Z</cp:lastPrinted>
  <dcterms:created xsi:type="dcterms:W3CDTF">2023-05-31T10:35:00Z</dcterms:created>
  <dcterms:modified xsi:type="dcterms:W3CDTF">2023-05-31T16:45:00Z</dcterms:modified>
</cp:coreProperties>
</file>