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3D59A" w14:textId="77777777" w:rsidR="00B71745" w:rsidRPr="00D16EE6" w:rsidRDefault="00B71745" w:rsidP="00CD12AF">
      <w:pPr>
        <w:rPr>
          <w:b/>
          <w:bCs/>
          <w:sz w:val="28"/>
          <w:szCs w:val="28"/>
        </w:rPr>
      </w:pPr>
      <w:r w:rsidRPr="00D16EE6">
        <w:rPr>
          <w:noProof/>
          <w:sz w:val="28"/>
          <w:szCs w:val="28"/>
          <w:lang w:val="en-US"/>
        </w:rPr>
        <w:drawing>
          <wp:anchor distT="0" distB="0" distL="114300" distR="114300" simplePos="0" relativeHeight="251659264" behindDoc="0" locked="0" layoutInCell="1" allowOverlap="1" wp14:anchorId="72A22725" wp14:editId="51C49B4B">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3C863981" w14:textId="77777777" w:rsidR="00CD12AF" w:rsidRPr="00D16EE6" w:rsidRDefault="00CD12AF" w:rsidP="00B71745">
      <w:pPr>
        <w:jc w:val="center"/>
        <w:rPr>
          <w:b/>
          <w:bCs/>
          <w:sz w:val="28"/>
          <w:szCs w:val="28"/>
        </w:rPr>
      </w:pPr>
    </w:p>
    <w:p w14:paraId="0458EB6D" w14:textId="77777777" w:rsidR="00CD12AF" w:rsidRPr="00D16EE6" w:rsidRDefault="00CD12AF" w:rsidP="00B71745">
      <w:pPr>
        <w:jc w:val="center"/>
        <w:rPr>
          <w:b/>
          <w:bCs/>
          <w:sz w:val="28"/>
          <w:szCs w:val="28"/>
        </w:rPr>
      </w:pPr>
    </w:p>
    <w:p w14:paraId="624C54BD" w14:textId="77777777" w:rsidR="00CD12AF" w:rsidRPr="00D16EE6" w:rsidRDefault="00CD12AF" w:rsidP="00B71745">
      <w:pPr>
        <w:jc w:val="center"/>
        <w:rPr>
          <w:b/>
          <w:bCs/>
          <w:sz w:val="16"/>
          <w:szCs w:val="16"/>
        </w:rPr>
      </w:pPr>
    </w:p>
    <w:p w14:paraId="255BD3F1" w14:textId="77777777" w:rsidR="00B71745" w:rsidRPr="00D16EE6" w:rsidRDefault="00B71745" w:rsidP="00CD12AF">
      <w:pPr>
        <w:jc w:val="center"/>
        <w:rPr>
          <w:b/>
          <w:bCs/>
          <w:sz w:val="28"/>
          <w:szCs w:val="28"/>
        </w:rPr>
      </w:pPr>
      <w:r w:rsidRPr="00D16EE6">
        <w:rPr>
          <w:b/>
          <w:bCs/>
          <w:sz w:val="28"/>
          <w:szCs w:val="28"/>
        </w:rPr>
        <w:t>THE SUPREME COURT OF APPEAL OF SOUTH AFRICA</w:t>
      </w:r>
    </w:p>
    <w:p w14:paraId="4EDE9300" w14:textId="77777777" w:rsidR="00B71745" w:rsidRPr="00D16EE6" w:rsidRDefault="00B71745" w:rsidP="00CD12AF">
      <w:pPr>
        <w:pStyle w:val="Heading3"/>
        <w:jc w:val="center"/>
        <w:rPr>
          <w:rFonts w:ascii="Times New Roman" w:hAnsi="Times New Roman" w:cs="Times New Roman"/>
          <w:b/>
          <w:i w:val="0"/>
          <w:szCs w:val="28"/>
        </w:rPr>
      </w:pPr>
      <w:r w:rsidRPr="00D16EE6">
        <w:rPr>
          <w:rFonts w:ascii="Times New Roman" w:hAnsi="Times New Roman" w:cs="Times New Roman"/>
          <w:b/>
          <w:i w:val="0"/>
          <w:szCs w:val="28"/>
        </w:rPr>
        <w:t>JUDGMENT</w:t>
      </w:r>
    </w:p>
    <w:p w14:paraId="4BBA47A8" w14:textId="23B71E7F" w:rsidR="00B71745" w:rsidRPr="00D16EE6" w:rsidRDefault="00B71745" w:rsidP="00B71745">
      <w:pPr>
        <w:spacing w:before="120"/>
        <w:jc w:val="right"/>
        <w:rPr>
          <w:b/>
          <w:sz w:val="28"/>
          <w:szCs w:val="28"/>
        </w:rPr>
      </w:pPr>
      <w:r w:rsidRPr="00D16EE6">
        <w:rPr>
          <w:b/>
          <w:sz w:val="28"/>
          <w:szCs w:val="28"/>
        </w:rPr>
        <w:t>Reportable</w:t>
      </w:r>
    </w:p>
    <w:p w14:paraId="445BDE02" w14:textId="77777777" w:rsidR="00B71745" w:rsidRPr="00D16EE6" w:rsidRDefault="00B71745" w:rsidP="00B71745">
      <w:pPr>
        <w:jc w:val="right"/>
        <w:rPr>
          <w:sz w:val="28"/>
          <w:szCs w:val="28"/>
        </w:rPr>
      </w:pPr>
      <w:r w:rsidRPr="00D16EE6">
        <w:rPr>
          <w:sz w:val="28"/>
          <w:szCs w:val="28"/>
        </w:rPr>
        <w:t>Case no: 365/2022</w:t>
      </w:r>
    </w:p>
    <w:p w14:paraId="1360D4BC" w14:textId="77777777" w:rsidR="00B71745" w:rsidRPr="00D16EE6" w:rsidRDefault="00B71745" w:rsidP="00B71745">
      <w:pPr>
        <w:jc w:val="right"/>
        <w:rPr>
          <w:sz w:val="16"/>
          <w:szCs w:val="16"/>
        </w:rPr>
      </w:pPr>
    </w:p>
    <w:p w14:paraId="04CDFA41" w14:textId="77777777" w:rsidR="00B71745" w:rsidRPr="00D16EE6" w:rsidRDefault="00B71745" w:rsidP="00B71745">
      <w:pPr>
        <w:spacing w:after="120"/>
        <w:rPr>
          <w:sz w:val="28"/>
          <w:szCs w:val="28"/>
        </w:rPr>
      </w:pPr>
      <w:r w:rsidRPr="00D16EE6">
        <w:rPr>
          <w:sz w:val="28"/>
          <w:szCs w:val="28"/>
        </w:rPr>
        <w:t>In the matter between:</w:t>
      </w:r>
    </w:p>
    <w:p w14:paraId="6D064DCD" w14:textId="77777777" w:rsidR="00B71745" w:rsidRPr="00D16EE6" w:rsidRDefault="00B71745" w:rsidP="00B71745">
      <w:pPr>
        <w:tabs>
          <w:tab w:val="right" w:pos="8640"/>
        </w:tabs>
        <w:spacing w:line="276" w:lineRule="auto"/>
        <w:rPr>
          <w:b/>
          <w:sz w:val="28"/>
          <w:szCs w:val="28"/>
        </w:rPr>
      </w:pPr>
      <w:r w:rsidRPr="00D16EE6">
        <w:rPr>
          <w:b/>
          <w:sz w:val="28"/>
          <w:szCs w:val="28"/>
        </w:rPr>
        <w:t xml:space="preserve">PUBLIC INVESTMENT CORPORATION </w:t>
      </w:r>
    </w:p>
    <w:p w14:paraId="25E3A889" w14:textId="77777777" w:rsidR="00B71745" w:rsidRPr="00D16EE6" w:rsidRDefault="00B71745" w:rsidP="00CD12AF">
      <w:pPr>
        <w:tabs>
          <w:tab w:val="right" w:pos="9356"/>
        </w:tabs>
        <w:spacing w:line="276" w:lineRule="auto"/>
        <w:rPr>
          <w:b/>
          <w:sz w:val="28"/>
          <w:szCs w:val="28"/>
        </w:rPr>
      </w:pPr>
      <w:r w:rsidRPr="00D16EE6">
        <w:rPr>
          <w:b/>
          <w:sz w:val="28"/>
          <w:szCs w:val="28"/>
        </w:rPr>
        <w:t xml:space="preserve">SOC LTD                                                                        </w:t>
      </w:r>
      <w:r w:rsidR="007A7E94" w:rsidRPr="00D16EE6">
        <w:rPr>
          <w:b/>
          <w:sz w:val="28"/>
          <w:szCs w:val="28"/>
        </w:rPr>
        <w:t xml:space="preserve"> </w:t>
      </w:r>
      <w:r w:rsidR="00CD12AF" w:rsidRPr="00D16EE6">
        <w:rPr>
          <w:b/>
          <w:sz w:val="28"/>
          <w:szCs w:val="28"/>
        </w:rPr>
        <w:tab/>
      </w:r>
      <w:r w:rsidRPr="00D16EE6">
        <w:rPr>
          <w:b/>
          <w:sz w:val="28"/>
          <w:szCs w:val="28"/>
        </w:rPr>
        <w:t>FIRST APPELLANT</w:t>
      </w:r>
    </w:p>
    <w:p w14:paraId="29C55B60" w14:textId="77777777" w:rsidR="00B71745" w:rsidRPr="00D16EE6" w:rsidRDefault="00B71745" w:rsidP="00B71745">
      <w:pPr>
        <w:tabs>
          <w:tab w:val="right" w:pos="8640"/>
        </w:tabs>
        <w:spacing w:line="276" w:lineRule="auto"/>
        <w:rPr>
          <w:b/>
          <w:sz w:val="28"/>
          <w:szCs w:val="28"/>
        </w:rPr>
      </w:pPr>
    </w:p>
    <w:p w14:paraId="134F2FEB" w14:textId="77777777" w:rsidR="00B71745" w:rsidRPr="00D16EE6" w:rsidRDefault="00B71745" w:rsidP="00B71745">
      <w:pPr>
        <w:tabs>
          <w:tab w:val="right" w:pos="8640"/>
        </w:tabs>
        <w:spacing w:line="276" w:lineRule="auto"/>
        <w:rPr>
          <w:b/>
          <w:sz w:val="28"/>
          <w:szCs w:val="28"/>
        </w:rPr>
      </w:pPr>
      <w:r w:rsidRPr="00D16EE6">
        <w:rPr>
          <w:b/>
          <w:sz w:val="28"/>
          <w:szCs w:val="28"/>
        </w:rPr>
        <w:t xml:space="preserve">GOVERNMENT EMPLOYEES </w:t>
      </w:r>
    </w:p>
    <w:p w14:paraId="5FEE0D21" w14:textId="77777777" w:rsidR="00B71745" w:rsidRPr="00D16EE6" w:rsidRDefault="00B71745" w:rsidP="00CD12AF">
      <w:pPr>
        <w:tabs>
          <w:tab w:val="right" w:pos="9356"/>
        </w:tabs>
        <w:spacing w:line="276" w:lineRule="auto"/>
        <w:rPr>
          <w:bCs/>
          <w:sz w:val="28"/>
          <w:szCs w:val="28"/>
        </w:rPr>
      </w:pPr>
      <w:r w:rsidRPr="00D16EE6">
        <w:rPr>
          <w:b/>
          <w:sz w:val="28"/>
          <w:szCs w:val="28"/>
        </w:rPr>
        <w:t xml:space="preserve">PENSION FUND                                                         </w:t>
      </w:r>
      <w:r w:rsidR="007A7E94" w:rsidRPr="00D16EE6">
        <w:rPr>
          <w:b/>
          <w:sz w:val="28"/>
          <w:szCs w:val="28"/>
        </w:rPr>
        <w:t xml:space="preserve"> </w:t>
      </w:r>
      <w:r w:rsidRPr="00D16EE6">
        <w:rPr>
          <w:b/>
          <w:sz w:val="28"/>
          <w:szCs w:val="28"/>
        </w:rPr>
        <w:t xml:space="preserve"> </w:t>
      </w:r>
      <w:r w:rsidR="00CD12AF" w:rsidRPr="00D16EE6">
        <w:rPr>
          <w:b/>
          <w:sz w:val="28"/>
          <w:szCs w:val="28"/>
        </w:rPr>
        <w:tab/>
      </w:r>
      <w:r w:rsidRPr="00D16EE6">
        <w:rPr>
          <w:b/>
          <w:sz w:val="28"/>
          <w:szCs w:val="28"/>
        </w:rPr>
        <w:t>SECOND APPELLANT</w:t>
      </w:r>
    </w:p>
    <w:p w14:paraId="4A7AA51F" w14:textId="77777777" w:rsidR="00B71745" w:rsidRPr="00D16EE6" w:rsidRDefault="00B71745" w:rsidP="00B71745">
      <w:pPr>
        <w:spacing w:line="276" w:lineRule="auto"/>
        <w:rPr>
          <w:b/>
          <w:sz w:val="28"/>
          <w:szCs w:val="28"/>
        </w:rPr>
      </w:pPr>
    </w:p>
    <w:p w14:paraId="5E1D72F2" w14:textId="77777777" w:rsidR="00B71745" w:rsidRPr="00D16EE6" w:rsidRDefault="00B71745" w:rsidP="00B71745">
      <w:pPr>
        <w:spacing w:line="276" w:lineRule="auto"/>
        <w:rPr>
          <w:sz w:val="28"/>
          <w:szCs w:val="28"/>
        </w:rPr>
      </w:pPr>
      <w:r w:rsidRPr="00D16EE6">
        <w:rPr>
          <w:sz w:val="28"/>
          <w:szCs w:val="28"/>
        </w:rPr>
        <w:t xml:space="preserve">and </w:t>
      </w:r>
    </w:p>
    <w:p w14:paraId="2ACFA234" w14:textId="77777777" w:rsidR="00B71745" w:rsidRPr="00D16EE6" w:rsidRDefault="00B71745" w:rsidP="00B71745">
      <w:pPr>
        <w:spacing w:line="276" w:lineRule="auto"/>
        <w:rPr>
          <w:b/>
          <w:sz w:val="28"/>
          <w:szCs w:val="28"/>
        </w:rPr>
      </w:pPr>
    </w:p>
    <w:p w14:paraId="7A8E7B21" w14:textId="77777777" w:rsidR="00B71745" w:rsidRPr="00D16EE6" w:rsidRDefault="00B71745" w:rsidP="00CD12AF">
      <w:pPr>
        <w:tabs>
          <w:tab w:val="right" w:pos="9356"/>
        </w:tabs>
        <w:spacing w:line="276" w:lineRule="auto"/>
        <w:rPr>
          <w:b/>
          <w:sz w:val="28"/>
          <w:szCs w:val="28"/>
        </w:rPr>
      </w:pPr>
      <w:r w:rsidRPr="00D16EE6">
        <w:rPr>
          <w:b/>
          <w:sz w:val="28"/>
          <w:szCs w:val="28"/>
        </w:rPr>
        <w:t xml:space="preserve">TRENCON CONSTRUCTION (PTY) LTD            </w:t>
      </w:r>
      <w:r w:rsidR="00CD12AF" w:rsidRPr="00D16EE6">
        <w:rPr>
          <w:b/>
          <w:sz w:val="28"/>
          <w:szCs w:val="28"/>
        </w:rPr>
        <w:tab/>
      </w:r>
      <w:r w:rsidRPr="00D16EE6">
        <w:rPr>
          <w:b/>
          <w:sz w:val="28"/>
          <w:szCs w:val="28"/>
        </w:rPr>
        <w:t>FIRST RESPONDENT</w:t>
      </w:r>
    </w:p>
    <w:p w14:paraId="4716A3D0" w14:textId="77777777" w:rsidR="00B71745" w:rsidRPr="00D16EE6" w:rsidRDefault="00B71745" w:rsidP="00B71745">
      <w:pPr>
        <w:spacing w:line="276" w:lineRule="auto"/>
        <w:rPr>
          <w:b/>
          <w:sz w:val="28"/>
          <w:szCs w:val="28"/>
        </w:rPr>
      </w:pPr>
    </w:p>
    <w:p w14:paraId="4A974219" w14:textId="77777777" w:rsidR="00B71745" w:rsidRPr="00D16EE6" w:rsidRDefault="00B71745" w:rsidP="00B71745">
      <w:pPr>
        <w:spacing w:line="276" w:lineRule="auto"/>
        <w:rPr>
          <w:b/>
          <w:sz w:val="28"/>
          <w:szCs w:val="28"/>
        </w:rPr>
      </w:pPr>
      <w:r w:rsidRPr="00D16EE6">
        <w:rPr>
          <w:b/>
          <w:sz w:val="28"/>
          <w:szCs w:val="28"/>
        </w:rPr>
        <w:t xml:space="preserve">GVK-SIYA ZAMA BUILDING </w:t>
      </w:r>
    </w:p>
    <w:p w14:paraId="27CF8343" w14:textId="77777777" w:rsidR="00B71745" w:rsidRPr="00D16EE6" w:rsidRDefault="00B71745" w:rsidP="00CD12AF">
      <w:pPr>
        <w:tabs>
          <w:tab w:val="right" w:pos="9356"/>
        </w:tabs>
        <w:spacing w:line="276" w:lineRule="auto"/>
        <w:rPr>
          <w:b/>
          <w:sz w:val="28"/>
          <w:szCs w:val="28"/>
        </w:rPr>
      </w:pPr>
      <w:r w:rsidRPr="00D16EE6">
        <w:rPr>
          <w:b/>
          <w:sz w:val="28"/>
          <w:szCs w:val="28"/>
        </w:rPr>
        <w:t>CONTRACTORS (PTY) LTD                                    SECOND RESPONDENT</w:t>
      </w:r>
    </w:p>
    <w:p w14:paraId="5EEB746F" w14:textId="77777777" w:rsidR="00B71745" w:rsidRPr="00D16EE6" w:rsidRDefault="00B71745" w:rsidP="00B71745">
      <w:pPr>
        <w:tabs>
          <w:tab w:val="right" w:pos="8640"/>
        </w:tabs>
        <w:rPr>
          <w:b/>
          <w:sz w:val="16"/>
          <w:szCs w:val="16"/>
        </w:rPr>
      </w:pPr>
    </w:p>
    <w:p w14:paraId="09DEB107" w14:textId="77777777" w:rsidR="00CD12AF" w:rsidRPr="00D16EE6" w:rsidRDefault="00CD12AF" w:rsidP="00B71745">
      <w:pPr>
        <w:tabs>
          <w:tab w:val="right" w:pos="8640"/>
        </w:tabs>
        <w:rPr>
          <w:b/>
          <w:sz w:val="16"/>
          <w:szCs w:val="16"/>
        </w:rPr>
      </w:pPr>
    </w:p>
    <w:p w14:paraId="3F39FFD5" w14:textId="4A5E9DB0" w:rsidR="00B71745" w:rsidRPr="00D16EE6" w:rsidRDefault="00B71745" w:rsidP="00CD12AF">
      <w:pPr>
        <w:ind w:left="2160" w:hanging="2160"/>
        <w:contextualSpacing/>
        <w:rPr>
          <w:bCs/>
          <w:sz w:val="28"/>
          <w:szCs w:val="28"/>
        </w:rPr>
      </w:pPr>
      <w:r w:rsidRPr="00D16EE6">
        <w:rPr>
          <w:b/>
          <w:bCs/>
          <w:sz w:val="28"/>
          <w:szCs w:val="28"/>
        </w:rPr>
        <w:t>Neutral citation:</w:t>
      </w:r>
      <w:r w:rsidRPr="00D16EE6">
        <w:rPr>
          <w:bCs/>
          <w:i/>
          <w:sz w:val="28"/>
          <w:szCs w:val="28"/>
        </w:rPr>
        <w:tab/>
        <w:t>PIC S</w:t>
      </w:r>
      <w:r w:rsidR="000374AF" w:rsidRPr="00D16EE6">
        <w:rPr>
          <w:bCs/>
          <w:i/>
          <w:sz w:val="28"/>
          <w:szCs w:val="28"/>
        </w:rPr>
        <w:t>OC</w:t>
      </w:r>
      <w:r w:rsidRPr="00D16EE6">
        <w:rPr>
          <w:bCs/>
          <w:i/>
          <w:sz w:val="28"/>
          <w:szCs w:val="28"/>
        </w:rPr>
        <w:t xml:space="preserve"> Ltd </w:t>
      </w:r>
      <w:r w:rsidR="000374AF" w:rsidRPr="00D16EE6">
        <w:rPr>
          <w:bCs/>
          <w:i/>
          <w:sz w:val="28"/>
          <w:szCs w:val="28"/>
        </w:rPr>
        <w:t>and</w:t>
      </w:r>
      <w:r w:rsidRPr="00D16EE6">
        <w:rPr>
          <w:bCs/>
          <w:i/>
          <w:sz w:val="28"/>
          <w:szCs w:val="28"/>
        </w:rPr>
        <w:t xml:space="preserve"> Another v Trencon Construction (Pty) Ltd</w:t>
      </w:r>
      <w:r w:rsidR="00E43A92" w:rsidRPr="00D16EE6">
        <w:rPr>
          <w:bCs/>
          <w:i/>
          <w:sz w:val="28"/>
          <w:szCs w:val="28"/>
        </w:rPr>
        <w:t xml:space="preserve"> </w:t>
      </w:r>
      <w:r w:rsidR="000374AF" w:rsidRPr="00D16EE6">
        <w:rPr>
          <w:bCs/>
          <w:i/>
          <w:sz w:val="28"/>
          <w:szCs w:val="28"/>
        </w:rPr>
        <w:t>and</w:t>
      </w:r>
      <w:r w:rsidR="00E43A92" w:rsidRPr="00D16EE6">
        <w:rPr>
          <w:bCs/>
          <w:i/>
          <w:sz w:val="28"/>
          <w:szCs w:val="28"/>
        </w:rPr>
        <w:t xml:space="preserve"> Another </w:t>
      </w:r>
      <w:r w:rsidRPr="00D16EE6">
        <w:rPr>
          <w:bCs/>
          <w:sz w:val="28"/>
          <w:szCs w:val="28"/>
        </w:rPr>
        <w:t>(365/2022) [202</w:t>
      </w:r>
      <w:r w:rsidR="003468E0">
        <w:rPr>
          <w:bCs/>
          <w:sz w:val="28"/>
          <w:szCs w:val="28"/>
        </w:rPr>
        <w:t>3</w:t>
      </w:r>
      <w:r w:rsidRPr="00D16EE6">
        <w:rPr>
          <w:bCs/>
          <w:sz w:val="28"/>
          <w:szCs w:val="28"/>
        </w:rPr>
        <w:t xml:space="preserve">] ZASCA </w:t>
      </w:r>
      <w:r w:rsidR="00B870EB" w:rsidRPr="00D16EE6">
        <w:rPr>
          <w:bCs/>
          <w:sz w:val="28"/>
          <w:szCs w:val="28"/>
        </w:rPr>
        <w:t>88</w:t>
      </w:r>
      <w:r w:rsidRPr="00D16EE6">
        <w:rPr>
          <w:bCs/>
          <w:sz w:val="28"/>
          <w:szCs w:val="28"/>
        </w:rPr>
        <w:t xml:space="preserve"> (</w:t>
      </w:r>
      <w:r w:rsidR="00B870EB" w:rsidRPr="00D16EE6">
        <w:rPr>
          <w:bCs/>
          <w:sz w:val="28"/>
          <w:szCs w:val="28"/>
        </w:rPr>
        <w:t>8 June 2023</w:t>
      </w:r>
      <w:r w:rsidRPr="00D16EE6">
        <w:rPr>
          <w:bCs/>
          <w:sz w:val="28"/>
          <w:szCs w:val="28"/>
        </w:rPr>
        <w:t>)</w:t>
      </w:r>
    </w:p>
    <w:p w14:paraId="2F186140" w14:textId="77777777" w:rsidR="00CD12AF" w:rsidRPr="00D16EE6" w:rsidRDefault="00CD12AF" w:rsidP="00CD12AF">
      <w:pPr>
        <w:ind w:left="2160" w:hanging="2160"/>
        <w:contextualSpacing/>
        <w:rPr>
          <w:bCs/>
          <w:sz w:val="16"/>
          <w:szCs w:val="16"/>
        </w:rPr>
      </w:pPr>
    </w:p>
    <w:p w14:paraId="5557AA0B" w14:textId="77777777" w:rsidR="00B71745" w:rsidRPr="00D16EE6" w:rsidRDefault="00B71745" w:rsidP="00CD12AF">
      <w:pPr>
        <w:ind w:left="1440" w:hanging="1440"/>
        <w:contextualSpacing/>
        <w:rPr>
          <w:sz w:val="28"/>
          <w:szCs w:val="28"/>
        </w:rPr>
      </w:pPr>
      <w:r w:rsidRPr="00D16EE6">
        <w:rPr>
          <w:b/>
          <w:bCs/>
          <w:sz w:val="28"/>
          <w:szCs w:val="28"/>
        </w:rPr>
        <w:t>Coram:</w:t>
      </w:r>
      <w:r w:rsidRPr="00D16EE6">
        <w:rPr>
          <w:sz w:val="28"/>
          <w:szCs w:val="28"/>
        </w:rPr>
        <w:tab/>
      </w:r>
      <w:bookmarkStart w:id="0" w:name="_Hlk136866099"/>
      <w:r w:rsidRPr="00D16EE6">
        <w:rPr>
          <w:sz w:val="28"/>
          <w:szCs w:val="28"/>
        </w:rPr>
        <w:t>PONNAN, NICHOLLS, GORVEN and MABINDLA-BOQWANA JJA and UNTERHALTER AJA</w:t>
      </w:r>
      <w:bookmarkEnd w:id="0"/>
    </w:p>
    <w:p w14:paraId="1F234103" w14:textId="77777777" w:rsidR="00CD12AF" w:rsidRPr="00D16EE6" w:rsidRDefault="00CD12AF" w:rsidP="00CD12AF">
      <w:pPr>
        <w:ind w:left="1440" w:hanging="1440"/>
        <w:contextualSpacing/>
        <w:rPr>
          <w:sz w:val="16"/>
          <w:szCs w:val="16"/>
        </w:rPr>
      </w:pPr>
    </w:p>
    <w:p w14:paraId="2681E1D7" w14:textId="77777777" w:rsidR="00B71745" w:rsidRPr="00D16EE6" w:rsidRDefault="00B71745" w:rsidP="00CD12AF">
      <w:pPr>
        <w:contextualSpacing/>
        <w:rPr>
          <w:b/>
          <w:bCs/>
          <w:sz w:val="28"/>
          <w:szCs w:val="28"/>
        </w:rPr>
      </w:pPr>
      <w:r w:rsidRPr="00D16EE6">
        <w:rPr>
          <w:b/>
          <w:bCs/>
          <w:sz w:val="28"/>
          <w:szCs w:val="28"/>
        </w:rPr>
        <w:t>Heard</w:t>
      </w:r>
      <w:r w:rsidRPr="00D16EE6">
        <w:rPr>
          <w:b/>
          <w:sz w:val="28"/>
          <w:szCs w:val="28"/>
        </w:rPr>
        <w:t>:</w:t>
      </w:r>
      <w:r w:rsidRPr="00D16EE6">
        <w:rPr>
          <w:sz w:val="28"/>
          <w:szCs w:val="28"/>
        </w:rPr>
        <w:tab/>
      </w:r>
      <w:r w:rsidR="00E43A92" w:rsidRPr="00D16EE6">
        <w:rPr>
          <w:sz w:val="28"/>
          <w:szCs w:val="28"/>
        </w:rPr>
        <w:t>4 May 2023</w:t>
      </w:r>
    </w:p>
    <w:p w14:paraId="5FC1AF19" w14:textId="3B8C8F4B" w:rsidR="00B71745" w:rsidRPr="00D16EE6" w:rsidRDefault="00B71745" w:rsidP="00CD12AF">
      <w:pPr>
        <w:contextualSpacing/>
        <w:rPr>
          <w:sz w:val="28"/>
          <w:szCs w:val="28"/>
        </w:rPr>
      </w:pPr>
      <w:r w:rsidRPr="00D16EE6">
        <w:rPr>
          <w:b/>
          <w:bCs/>
          <w:sz w:val="28"/>
          <w:szCs w:val="28"/>
        </w:rPr>
        <w:lastRenderedPageBreak/>
        <w:t>Delivered</w:t>
      </w:r>
      <w:r w:rsidRPr="00D16EE6">
        <w:rPr>
          <w:b/>
          <w:sz w:val="28"/>
          <w:szCs w:val="28"/>
        </w:rPr>
        <w:t>:</w:t>
      </w:r>
      <w:r w:rsidRPr="00D16EE6">
        <w:rPr>
          <w:sz w:val="28"/>
          <w:szCs w:val="28"/>
        </w:rPr>
        <w:tab/>
      </w:r>
      <w:r w:rsidR="00B870EB" w:rsidRPr="00D16EE6">
        <w:rPr>
          <w:sz w:val="28"/>
          <w:szCs w:val="28"/>
        </w:rPr>
        <w:t>This judgment was handed down electronically by circulation to the parties’ legal representatives by email, publication on the Supreme Court of Appeal website and release to SAFLII. The date and time for hand-down is deemed to be 11h00 on 8 June 2023.</w:t>
      </w:r>
    </w:p>
    <w:p w14:paraId="2467428D" w14:textId="77777777" w:rsidR="00CD12AF" w:rsidRPr="00D16EE6" w:rsidRDefault="00CD12AF" w:rsidP="00CD12AF">
      <w:pPr>
        <w:contextualSpacing/>
        <w:rPr>
          <w:sz w:val="16"/>
          <w:szCs w:val="16"/>
        </w:rPr>
      </w:pPr>
    </w:p>
    <w:p w14:paraId="2870E75A" w14:textId="77777777" w:rsidR="00253307" w:rsidRPr="00D16EE6" w:rsidRDefault="00B71745" w:rsidP="00B71745">
      <w:pPr>
        <w:contextualSpacing/>
        <w:rPr>
          <w:bCs/>
          <w:sz w:val="28"/>
          <w:szCs w:val="28"/>
        </w:rPr>
      </w:pPr>
      <w:r w:rsidRPr="00D16EE6">
        <w:rPr>
          <w:b/>
          <w:bCs/>
          <w:sz w:val="28"/>
          <w:szCs w:val="28"/>
        </w:rPr>
        <w:t>Summary:</w:t>
      </w:r>
      <w:r w:rsidR="007A7E94" w:rsidRPr="00D16EE6">
        <w:rPr>
          <w:b/>
          <w:bCs/>
          <w:sz w:val="28"/>
          <w:szCs w:val="28"/>
        </w:rPr>
        <w:tab/>
      </w:r>
      <w:r w:rsidR="00F5431B" w:rsidRPr="00D16EE6">
        <w:rPr>
          <w:bCs/>
          <w:sz w:val="28"/>
          <w:szCs w:val="28"/>
        </w:rPr>
        <w:t xml:space="preserve">Jurisdiction – power of court of appeal </w:t>
      </w:r>
      <w:r w:rsidR="000E2C9E" w:rsidRPr="00D16EE6">
        <w:rPr>
          <w:bCs/>
          <w:sz w:val="28"/>
          <w:szCs w:val="28"/>
        </w:rPr>
        <w:t xml:space="preserve">– </w:t>
      </w:r>
      <w:r w:rsidR="00253307" w:rsidRPr="00D16EE6">
        <w:rPr>
          <w:bCs/>
          <w:sz w:val="28"/>
          <w:szCs w:val="28"/>
        </w:rPr>
        <w:t xml:space="preserve">judgment sought to be appealed against a nullity – appeal court unable to exercise discretion when no dispute or </w:t>
      </w:r>
      <w:r w:rsidR="00253307" w:rsidRPr="00D16EE6">
        <w:rPr>
          <w:bCs/>
          <w:i/>
          <w:sz w:val="28"/>
          <w:szCs w:val="28"/>
        </w:rPr>
        <w:t>lis</w:t>
      </w:r>
      <w:r w:rsidR="00253307" w:rsidRPr="00D16EE6">
        <w:rPr>
          <w:bCs/>
          <w:sz w:val="28"/>
          <w:szCs w:val="28"/>
        </w:rPr>
        <w:t xml:space="preserve"> exists between the parties – matter struck from the roll.  </w:t>
      </w:r>
    </w:p>
    <w:p w14:paraId="0E683028" w14:textId="77777777" w:rsidR="007A7E94" w:rsidRPr="00D16EE6" w:rsidRDefault="007A7E94">
      <w:pPr>
        <w:spacing w:after="160" w:line="259" w:lineRule="auto"/>
        <w:jc w:val="left"/>
        <w:rPr>
          <w:bCs/>
          <w:sz w:val="28"/>
          <w:szCs w:val="28"/>
        </w:rPr>
      </w:pPr>
      <w:r w:rsidRPr="00D16EE6">
        <w:rPr>
          <w:bCs/>
          <w:sz w:val="28"/>
          <w:szCs w:val="28"/>
        </w:rPr>
        <w:br w:type="page"/>
      </w:r>
    </w:p>
    <w:p w14:paraId="4E0C1472" w14:textId="77777777" w:rsidR="00B71745" w:rsidRPr="00D16EE6" w:rsidRDefault="00B71745" w:rsidP="007A7E94">
      <w:pPr>
        <w:pBdr>
          <w:bottom w:val="single" w:sz="12" w:space="1" w:color="auto"/>
        </w:pBdr>
        <w:spacing w:line="240" w:lineRule="auto"/>
        <w:rPr>
          <w:sz w:val="28"/>
          <w:szCs w:val="28"/>
        </w:rPr>
      </w:pPr>
      <w:r w:rsidRPr="00D16EE6">
        <w:rPr>
          <w:noProof/>
          <w:lang w:val="en-US"/>
        </w:rPr>
        <w:lastRenderedPageBreak/>
        <mc:AlternateContent>
          <mc:Choice Requires="wps">
            <w:drawing>
              <wp:anchor distT="0" distB="0" distL="114300" distR="114300" simplePos="0" relativeHeight="251660288" behindDoc="0" locked="0" layoutInCell="1" allowOverlap="1" wp14:anchorId="7E8678F7" wp14:editId="07DB8B14">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4EBE57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40792FCF" w14:textId="77777777" w:rsidR="00B71745" w:rsidRPr="00D16EE6" w:rsidRDefault="00B71745" w:rsidP="00B71745">
      <w:pPr>
        <w:pStyle w:val="Heading3"/>
        <w:pBdr>
          <w:bottom w:val="single" w:sz="12" w:space="12" w:color="auto"/>
        </w:pBdr>
        <w:jc w:val="center"/>
        <w:rPr>
          <w:rFonts w:ascii="Times New Roman" w:hAnsi="Times New Roman" w:cs="Times New Roman"/>
          <w:b/>
          <w:i w:val="0"/>
          <w:szCs w:val="28"/>
        </w:rPr>
      </w:pPr>
    </w:p>
    <w:p w14:paraId="042BDC3D" w14:textId="77777777" w:rsidR="00B71745" w:rsidRPr="00D16EE6" w:rsidRDefault="00B71745" w:rsidP="00B71745">
      <w:pPr>
        <w:pStyle w:val="Heading3"/>
        <w:pBdr>
          <w:bottom w:val="single" w:sz="12" w:space="12" w:color="auto"/>
        </w:pBdr>
        <w:jc w:val="center"/>
        <w:rPr>
          <w:rFonts w:ascii="Times New Roman" w:hAnsi="Times New Roman" w:cs="Times New Roman"/>
          <w:b/>
          <w:i w:val="0"/>
          <w:szCs w:val="28"/>
        </w:rPr>
      </w:pPr>
      <w:r w:rsidRPr="00D16EE6">
        <w:rPr>
          <w:rFonts w:ascii="Times New Roman" w:hAnsi="Times New Roman" w:cs="Times New Roman"/>
          <w:b/>
          <w:i w:val="0"/>
          <w:szCs w:val="28"/>
        </w:rPr>
        <w:t>ORDER</w:t>
      </w:r>
    </w:p>
    <w:p w14:paraId="21ACC0F1" w14:textId="77777777" w:rsidR="00B71745" w:rsidRPr="00D16EE6" w:rsidRDefault="00B71745" w:rsidP="0072278E">
      <w:pPr>
        <w:spacing w:line="240" w:lineRule="auto"/>
        <w:rPr>
          <w:sz w:val="28"/>
          <w:szCs w:val="28"/>
        </w:rPr>
      </w:pPr>
    </w:p>
    <w:p w14:paraId="7B729A8A" w14:textId="77777777" w:rsidR="00B71745" w:rsidRPr="00D16EE6" w:rsidRDefault="00B71745" w:rsidP="00B71745">
      <w:pPr>
        <w:rPr>
          <w:bCs/>
          <w:sz w:val="28"/>
          <w:szCs w:val="28"/>
        </w:rPr>
      </w:pPr>
      <w:r w:rsidRPr="00D16EE6">
        <w:rPr>
          <w:b/>
          <w:bCs/>
          <w:sz w:val="28"/>
          <w:szCs w:val="28"/>
        </w:rPr>
        <w:t xml:space="preserve">On appeal from: </w:t>
      </w:r>
      <w:r w:rsidRPr="00D16EE6">
        <w:rPr>
          <w:bCs/>
          <w:sz w:val="28"/>
          <w:szCs w:val="28"/>
        </w:rPr>
        <w:t xml:space="preserve">Gauteng Division of the High Court, </w:t>
      </w:r>
      <w:r w:rsidR="00E43A92" w:rsidRPr="00D16EE6">
        <w:rPr>
          <w:bCs/>
          <w:sz w:val="28"/>
          <w:szCs w:val="28"/>
        </w:rPr>
        <w:t xml:space="preserve">Pretoria </w:t>
      </w:r>
      <w:r w:rsidRPr="00D16EE6">
        <w:rPr>
          <w:bCs/>
          <w:sz w:val="28"/>
          <w:szCs w:val="28"/>
        </w:rPr>
        <w:t>(</w:t>
      </w:r>
      <w:r w:rsidR="00E43A92" w:rsidRPr="00D16EE6">
        <w:rPr>
          <w:bCs/>
          <w:sz w:val="28"/>
          <w:szCs w:val="28"/>
        </w:rPr>
        <w:t>Neukircher J</w:t>
      </w:r>
      <w:r w:rsidRPr="00D16EE6">
        <w:rPr>
          <w:bCs/>
          <w:sz w:val="28"/>
          <w:szCs w:val="28"/>
        </w:rPr>
        <w:t xml:space="preserve">, sitting as court of first instance): </w:t>
      </w:r>
    </w:p>
    <w:p w14:paraId="769F9ACA" w14:textId="77777777" w:rsidR="00A465F9" w:rsidRPr="00D16EE6" w:rsidRDefault="00A465F9" w:rsidP="00A465F9">
      <w:pPr>
        <w:tabs>
          <w:tab w:val="left" w:pos="0"/>
        </w:tabs>
        <w:rPr>
          <w:sz w:val="28"/>
          <w:szCs w:val="28"/>
        </w:rPr>
      </w:pPr>
    </w:p>
    <w:p w14:paraId="64021E8F" w14:textId="77777777" w:rsidR="00A465F9" w:rsidRPr="00D16EE6" w:rsidRDefault="00A465F9" w:rsidP="00A465F9">
      <w:pPr>
        <w:tabs>
          <w:tab w:val="left" w:pos="0"/>
        </w:tabs>
        <w:rPr>
          <w:sz w:val="28"/>
          <w:szCs w:val="28"/>
        </w:rPr>
      </w:pPr>
      <w:r w:rsidRPr="00D16EE6">
        <w:rPr>
          <w:sz w:val="28"/>
          <w:szCs w:val="28"/>
        </w:rPr>
        <w:t>The matter is struck from the roll with each party to pay its own costs.</w:t>
      </w:r>
    </w:p>
    <w:p w14:paraId="405B326F" w14:textId="77777777" w:rsidR="00B71745" w:rsidRPr="00D16EE6" w:rsidRDefault="00B71745" w:rsidP="0072278E">
      <w:pPr>
        <w:pBdr>
          <w:bottom w:val="single" w:sz="12" w:space="1" w:color="auto"/>
        </w:pBdr>
        <w:spacing w:line="240" w:lineRule="auto"/>
        <w:rPr>
          <w:sz w:val="28"/>
          <w:szCs w:val="28"/>
        </w:rPr>
      </w:pPr>
      <w:r w:rsidRPr="00D16EE6">
        <w:rPr>
          <w:noProof/>
          <w:sz w:val="28"/>
          <w:szCs w:val="28"/>
          <w:lang w:val="en-US"/>
        </w:rPr>
        <mc:AlternateContent>
          <mc:Choice Requires="wps">
            <w:drawing>
              <wp:anchor distT="0" distB="0" distL="114300" distR="114300" simplePos="0" relativeHeight="251661312" behindDoc="0" locked="0" layoutInCell="1" allowOverlap="1" wp14:anchorId="0C732EBF" wp14:editId="39D51CDE">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2B34607"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05AAA80A" w14:textId="77777777" w:rsidR="00B71745" w:rsidRPr="00D16EE6" w:rsidRDefault="00B71745" w:rsidP="00B71745">
      <w:pPr>
        <w:pStyle w:val="Heading3"/>
        <w:pBdr>
          <w:bottom w:val="single" w:sz="12" w:space="12" w:color="auto"/>
        </w:pBdr>
        <w:jc w:val="center"/>
        <w:rPr>
          <w:rFonts w:ascii="Times New Roman" w:hAnsi="Times New Roman" w:cs="Times New Roman"/>
          <w:b/>
          <w:i w:val="0"/>
          <w:szCs w:val="28"/>
        </w:rPr>
      </w:pPr>
    </w:p>
    <w:p w14:paraId="7EFD47B1" w14:textId="77777777" w:rsidR="00B71745" w:rsidRPr="00D16EE6" w:rsidRDefault="00B71745" w:rsidP="00B71745">
      <w:pPr>
        <w:pStyle w:val="Heading3"/>
        <w:pBdr>
          <w:bottom w:val="single" w:sz="12" w:space="12" w:color="auto"/>
        </w:pBdr>
        <w:jc w:val="center"/>
      </w:pPr>
      <w:r w:rsidRPr="00D16EE6">
        <w:rPr>
          <w:rFonts w:ascii="Times New Roman" w:hAnsi="Times New Roman" w:cs="Times New Roman"/>
          <w:b/>
          <w:i w:val="0"/>
          <w:szCs w:val="28"/>
        </w:rPr>
        <w:t>JUDGMENT</w:t>
      </w:r>
    </w:p>
    <w:p w14:paraId="55B45D1E" w14:textId="727CC791" w:rsidR="00B71745" w:rsidRPr="00D16EE6" w:rsidRDefault="00B71745" w:rsidP="00B71745">
      <w:pPr>
        <w:spacing w:before="240"/>
        <w:rPr>
          <w:b/>
          <w:sz w:val="28"/>
          <w:szCs w:val="28"/>
        </w:rPr>
      </w:pPr>
      <w:r w:rsidRPr="00D16EE6">
        <w:rPr>
          <w:b/>
          <w:sz w:val="28"/>
          <w:szCs w:val="28"/>
        </w:rPr>
        <w:t>Mabindla-Boqwana JA (</w:t>
      </w:r>
      <w:r w:rsidR="003C2CD4" w:rsidRPr="00D16EE6">
        <w:rPr>
          <w:b/>
          <w:sz w:val="28"/>
          <w:szCs w:val="28"/>
        </w:rPr>
        <w:t>Ponnan, Nicholls and Gorven JJA and Unterhalter AJA</w:t>
      </w:r>
      <w:r w:rsidRPr="00D16EE6">
        <w:rPr>
          <w:b/>
          <w:sz w:val="28"/>
          <w:szCs w:val="28"/>
        </w:rPr>
        <w:t xml:space="preserve"> concurring)</w:t>
      </w:r>
      <w:r w:rsidR="008237F2" w:rsidRPr="00D16EE6">
        <w:rPr>
          <w:b/>
          <w:sz w:val="28"/>
          <w:szCs w:val="28"/>
        </w:rPr>
        <w:t>:</w:t>
      </w:r>
    </w:p>
    <w:p w14:paraId="03651FA5" w14:textId="77777777" w:rsidR="00A620FF" w:rsidRPr="00D16EE6" w:rsidRDefault="00A620FF" w:rsidP="00ED6DA6">
      <w:pPr>
        <w:rPr>
          <w:b/>
          <w:sz w:val="28"/>
          <w:szCs w:val="28"/>
        </w:rPr>
      </w:pPr>
    </w:p>
    <w:p w14:paraId="597BA4F4" w14:textId="4B1B81C5" w:rsidR="0071137B" w:rsidRPr="00D16EE6" w:rsidRDefault="00531B3A" w:rsidP="00531B3A">
      <w:pPr>
        <w:tabs>
          <w:tab w:val="left" w:pos="0"/>
        </w:tabs>
        <w:rPr>
          <w:sz w:val="28"/>
          <w:szCs w:val="28"/>
        </w:rPr>
      </w:pPr>
      <w:r w:rsidRPr="00D16EE6">
        <w:rPr>
          <w:sz w:val="28"/>
          <w:szCs w:val="28"/>
        </w:rPr>
        <w:t>[1</w:t>
      </w:r>
      <w:bookmarkStart w:id="1" w:name="_GoBack"/>
      <w:bookmarkEnd w:id="1"/>
      <w:r w:rsidRPr="00D16EE6">
        <w:rPr>
          <w:sz w:val="28"/>
          <w:szCs w:val="28"/>
        </w:rPr>
        <w:t>]</w:t>
      </w:r>
      <w:r w:rsidRPr="00D16EE6">
        <w:rPr>
          <w:sz w:val="28"/>
          <w:szCs w:val="28"/>
        </w:rPr>
        <w:tab/>
      </w:r>
      <w:r w:rsidR="003144EC" w:rsidRPr="00D16EE6">
        <w:rPr>
          <w:sz w:val="28"/>
          <w:szCs w:val="28"/>
        </w:rPr>
        <w:t xml:space="preserve">At the hearing of the appeal, </w:t>
      </w:r>
      <w:r w:rsidR="00A620FF" w:rsidRPr="00D16EE6">
        <w:rPr>
          <w:sz w:val="28"/>
          <w:szCs w:val="28"/>
        </w:rPr>
        <w:t>counsel for the parties were</w:t>
      </w:r>
      <w:r w:rsidR="00A448B7" w:rsidRPr="00D16EE6">
        <w:rPr>
          <w:sz w:val="28"/>
          <w:szCs w:val="28"/>
        </w:rPr>
        <w:t>,</w:t>
      </w:r>
      <w:r w:rsidR="00A620FF" w:rsidRPr="00D16EE6">
        <w:rPr>
          <w:sz w:val="28"/>
          <w:szCs w:val="28"/>
        </w:rPr>
        <w:t xml:space="preserve"> </w:t>
      </w:r>
      <w:r w:rsidR="003144EC" w:rsidRPr="00D16EE6">
        <w:rPr>
          <w:sz w:val="28"/>
          <w:szCs w:val="28"/>
        </w:rPr>
        <w:t xml:space="preserve">at the outset, </w:t>
      </w:r>
      <w:r w:rsidR="001C6552" w:rsidRPr="00D16EE6">
        <w:rPr>
          <w:sz w:val="28"/>
          <w:szCs w:val="28"/>
        </w:rPr>
        <w:t>required to</w:t>
      </w:r>
      <w:r w:rsidR="00A620FF" w:rsidRPr="00D16EE6">
        <w:rPr>
          <w:sz w:val="28"/>
          <w:szCs w:val="28"/>
        </w:rPr>
        <w:t xml:space="preserve"> address </w:t>
      </w:r>
      <w:r w:rsidR="003144EC" w:rsidRPr="00D16EE6">
        <w:rPr>
          <w:sz w:val="28"/>
          <w:szCs w:val="28"/>
        </w:rPr>
        <w:t xml:space="preserve">this Court as to </w:t>
      </w:r>
      <w:r w:rsidR="0071137B" w:rsidRPr="00D16EE6">
        <w:rPr>
          <w:sz w:val="28"/>
          <w:szCs w:val="28"/>
        </w:rPr>
        <w:t xml:space="preserve">whether </w:t>
      </w:r>
      <w:r w:rsidR="00C313A0" w:rsidRPr="00D16EE6">
        <w:rPr>
          <w:sz w:val="28"/>
          <w:szCs w:val="28"/>
        </w:rPr>
        <w:t xml:space="preserve">a </w:t>
      </w:r>
      <w:r w:rsidR="00EA200F" w:rsidRPr="00D16EE6">
        <w:rPr>
          <w:sz w:val="28"/>
          <w:szCs w:val="28"/>
        </w:rPr>
        <w:t xml:space="preserve">live </w:t>
      </w:r>
      <w:r w:rsidR="0071137B" w:rsidRPr="00D16EE6">
        <w:rPr>
          <w:sz w:val="28"/>
          <w:szCs w:val="28"/>
        </w:rPr>
        <w:t xml:space="preserve">dispute or </w:t>
      </w:r>
      <w:r w:rsidR="0071137B" w:rsidRPr="00D16EE6">
        <w:rPr>
          <w:i/>
          <w:sz w:val="28"/>
          <w:szCs w:val="28"/>
        </w:rPr>
        <w:t>lis</w:t>
      </w:r>
      <w:r w:rsidR="0071137B" w:rsidRPr="00D16EE6">
        <w:rPr>
          <w:sz w:val="28"/>
          <w:szCs w:val="28"/>
        </w:rPr>
        <w:t xml:space="preserve"> </w:t>
      </w:r>
      <w:r w:rsidR="00C313A0" w:rsidRPr="00D16EE6">
        <w:rPr>
          <w:sz w:val="28"/>
          <w:szCs w:val="28"/>
        </w:rPr>
        <w:t>exist</w:t>
      </w:r>
      <w:r w:rsidR="00A620FF" w:rsidRPr="00D16EE6">
        <w:rPr>
          <w:sz w:val="28"/>
          <w:szCs w:val="28"/>
        </w:rPr>
        <w:t>ed</w:t>
      </w:r>
      <w:r w:rsidR="00C313A0" w:rsidRPr="00D16EE6">
        <w:rPr>
          <w:sz w:val="28"/>
          <w:szCs w:val="28"/>
        </w:rPr>
        <w:t xml:space="preserve"> </w:t>
      </w:r>
      <w:r w:rsidR="0071137B" w:rsidRPr="00D16EE6">
        <w:rPr>
          <w:sz w:val="28"/>
          <w:szCs w:val="28"/>
        </w:rPr>
        <w:t>between the parties</w:t>
      </w:r>
      <w:r w:rsidR="0008193C" w:rsidRPr="00D16EE6">
        <w:rPr>
          <w:sz w:val="28"/>
          <w:szCs w:val="28"/>
        </w:rPr>
        <w:t>,</w:t>
      </w:r>
      <w:r w:rsidR="0071137B" w:rsidRPr="00D16EE6">
        <w:rPr>
          <w:sz w:val="28"/>
          <w:szCs w:val="28"/>
        </w:rPr>
        <w:t xml:space="preserve"> upon which this Court </w:t>
      </w:r>
      <w:r w:rsidR="0008193C" w:rsidRPr="00D16EE6">
        <w:rPr>
          <w:sz w:val="28"/>
          <w:szCs w:val="28"/>
        </w:rPr>
        <w:t>c</w:t>
      </w:r>
      <w:r w:rsidR="00A620FF" w:rsidRPr="00D16EE6">
        <w:rPr>
          <w:sz w:val="28"/>
          <w:szCs w:val="28"/>
        </w:rPr>
        <w:t>ould</w:t>
      </w:r>
      <w:r w:rsidR="00A374B5" w:rsidRPr="00D16EE6">
        <w:rPr>
          <w:sz w:val="28"/>
          <w:szCs w:val="28"/>
        </w:rPr>
        <w:t>,</w:t>
      </w:r>
      <w:r w:rsidR="0008193C" w:rsidRPr="00D16EE6">
        <w:rPr>
          <w:sz w:val="28"/>
          <w:szCs w:val="28"/>
        </w:rPr>
        <w:t xml:space="preserve"> </w:t>
      </w:r>
      <w:r w:rsidR="00EA200F" w:rsidRPr="00D16EE6">
        <w:rPr>
          <w:sz w:val="28"/>
          <w:szCs w:val="28"/>
        </w:rPr>
        <w:t xml:space="preserve">and therefore </w:t>
      </w:r>
      <w:r w:rsidR="0071137B" w:rsidRPr="00D16EE6">
        <w:rPr>
          <w:sz w:val="28"/>
          <w:szCs w:val="28"/>
        </w:rPr>
        <w:t>should</w:t>
      </w:r>
      <w:r w:rsidR="002D5EA4" w:rsidRPr="00D16EE6">
        <w:rPr>
          <w:sz w:val="28"/>
          <w:szCs w:val="28"/>
        </w:rPr>
        <w:t>,</w:t>
      </w:r>
      <w:r w:rsidR="0071137B" w:rsidRPr="00D16EE6">
        <w:rPr>
          <w:sz w:val="28"/>
          <w:szCs w:val="28"/>
        </w:rPr>
        <w:t xml:space="preserve"> exercise its appellate jurisdiction</w:t>
      </w:r>
      <w:r w:rsidR="0008193C" w:rsidRPr="00D16EE6">
        <w:rPr>
          <w:sz w:val="28"/>
          <w:szCs w:val="28"/>
        </w:rPr>
        <w:t>. This,</w:t>
      </w:r>
      <w:r w:rsidR="0071137B" w:rsidRPr="00D16EE6">
        <w:rPr>
          <w:sz w:val="28"/>
          <w:szCs w:val="28"/>
        </w:rPr>
        <w:t xml:space="preserve"> in circumstances where </w:t>
      </w:r>
      <w:r w:rsidR="009B4E5D" w:rsidRPr="00D16EE6">
        <w:rPr>
          <w:color w:val="000000" w:themeColor="text1"/>
          <w:sz w:val="28"/>
          <w:szCs w:val="28"/>
        </w:rPr>
        <w:t xml:space="preserve">the </w:t>
      </w:r>
      <w:r w:rsidR="00B5174C" w:rsidRPr="00D16EE6">
        <w:rPr>
          <w:color w:val="000000" w:themeColor="text1"/>
          <w:sz w:val="28"/>
          <w:szCs w:val="28"/>
        </w:rPr>
        <w:t xml:space="preserve">first </w:t>
      </w:r>
      <w:r w:rsidR="009B4E5D" w:rsidRPr="00D16EE6">
        <w:rPr>
          <w:color w:val="000000" w:themeColor="text1"/>
          <w:sz w:val="28"/>
          <w:szCs w:val="28"/>
        </w:rPr>
        <w:t>respondent, Trencon Construction (Pty) Ltd (Trencon)</w:t>
      </w:r>
      <w:r w:rsidR="008237F2" w:rsidRPr="00D16EE6">
        <w:rPr>
          <w:color w:val="000000" w:themeColor="text1"/>
          <w:sz w:val="28"/>
          <w:szCs w:val="28"/>
        </w:rPr>
        <w:t>,</w:t>
      </w:r>
      <w:r w:rsidR="009B4E5D" w:rsidRPr="00D16EE6">
        <w:rPr>
          <w:color w:val="000000" w:themeColor="text1"/>
          <w:sz w:val="28"/>
          <w:szCs w:val="28"/>
        </w:rPr>
        <w:t xml:space="preserve"> failed to obtain </w:t>
      </w:r>
      <w:r w:rsidR="0071137B" w:rsidRPr="00D16EE6">
        <w:rPr>
          <w:color w:val="000000" w:themeColor="text1"/>
          <w:sz w:val="28"/>
          <w:szCs w:val="28"/>
        </w:rPr>
        <w:t xml:space="preserve">leave to appeal </w:t>
      </w:r>
      <w:r w:rsidR="009B4E5D" w:rsidRPr="00D16EE6">
        <w:rPr>
          <w:color w:val="000000" w:themeColor="text1"/>
          <w:sz w:val="28"/>
          <w:szCs w:val="28"/>
        </w:rPr>
        <w:t>a</w:t>
      </w:r>
      <w:r w:rsidR="00B5174C" w:rsidRPr="00D16EE6">
        <w:rPr>
          <w:color w:val="000000" w:themeColor="text1"/>
          <w:sz w:val="28"/>
          <w:szCs w:val="28"/>
        </w:rPr>
        <w:t>gainst the</w:t>
      </w:r>
      <w:r w:rsidR="009B4E5D" w:rsidRPr="00D16EE6">
        <w:rPr>
          <w:color w:val="000000" w:themeColor="text1"/>
          <w:sz w:val="28"/>
          <w:szCs w:val="28"/>
        </w:rPr>
        <w:t xml:space="preserve"> </w:t>
      </w:r>
      <w:r w:rsidR="00C313A0" w:rsidRPr="00D16EE6">
        <w:rPr>
          <w:color w:val="000000" w:themeColor="text1"/>
          <w:sz w:val="28"/>
          <w:szCs w:val="28"/>
        </w:rPr>
        <w:t xml:space="preserve">dismissal of a </w:t>
      </w:r>
      <w:r w:rsidR="0071137B" w:rsidRPr="00D16EE6">
        <w:rPr>
          <w:color w:val="000000" w:themeColor="text1"/>
          <w:sz w:val="28"/>
          <w:szCs w:val="28"/>
        </w:rPr>
        <w:t>review application</w:t>
      </w:r>
      <w:r w:rsidR="00C313A0" w:rsidRPr="00D16EE6">
        <w:rPr>
          <w:color w:val="000000" w:themeColor="text1"/>
          <w:sz w:val="28"/>
          <w:szCs w:val="28"/>
        </w:rPr>
        <w:t xml:space="preserve"> </w:t>
      </w:r>
      <w:r w:rsidR="00EA200F" w:rsidRPr="00D16EE6">
        <w:rPr>
          <w:color w:val="000000" w:themeColor="text1"/>
          <w:sz w:val="28"/>
          <w:szCs w:val="28"/>
        </w:rPr>
        <w:t xml:space="preserve">brought by it </w:t>
      </w:r>
      <w:r w:rsidR="006157F3" w:rsidRPr="00D16EE6">
        <w:rPr>
          <w:color w:val="000000" w:themeColor="text1"/>
          <w:sz w:val="28"/>
          <w:szCs w:val="28"/>
        </w:rPr>
        <w:t>in</w:t>
      </w:r>
      <w:r w:rsidR="009B4E5D" w:rsidRPr="00D16EE6">
        <w:rPr>
          <w:color w:val="000000" w:themeColor="text1"/>
          <w:sz w:val="28"/>
          <w:szCs w:val="28"/>
        </w:rPr>
        <w:t xml:space="preserve"> </w:t>
      </w:r>
      <w:r w:rsidR="009B4E5D" w:rsidRPr="00D16EE6">
        <w:rPr>
          <w:sz w:val="28"/>
          <w:szCs w:val="28"/>
        </w:rPr>
        <w:t xml:space="preserve">the </w:t>
      </w:r>
      <w:r w:rsidR="009B4E5D" w:rsidRPr="00D16EE6">
        <w:rPr>
          <w:color w:val="000000" w:themeColor="text1"/>
          <w:sz w:val="28"/>
          <w:szCs w:val="28"/>
        </w:rPr>
        <w:t>Gauteng Division of the High Court, Pretoria (the high court)</w:t>
      </w:r>
      <w:r w:rsidR="00EA200F" w:rsidRPr="00D16EE6">
        <w:rPr>
          <w:color w:val="000000" w:themeColor="text1"/>
          <w:sz w:val="28"/>
          <w:szCs w:val="28"/>
        </w:rPr>
        <w:t>.</w:t>
      </w:r>
      <w:r w:rsidR="00127638" w:rsidRPr="00D16EE6">
        <w:rPr>
          <w:color w:val="000000" w:themeColor="text1"/>
          <w:sz w:val="28"/>
          <w:szCs w:val="28"/>
        </w:rPr>
        <w:t xml:space="preserve"> </w:t>
      </w:r>
      <w:r w:rsidR="00EA200F" w:rsidRPr="00D16EE6">
        <w:rPr>
          <w:sz w:val="28"/>
          <w:szCs w:val="28"/>
        </w:rPr>
        <w:t>T</w:t>
      </w:r>
      <w:r w:rsidR="006157F3" w:rsidRPr="00D16EE6">
        <w:rPr>
          <w:sz w:val="28"/>
          <w:szCs w:val="28"/>
        </w:rPr>
        <w:t>he</w:t>
      </w:r>
      <w:r w:rsidR="009B4E5D" w:rsidRPr="00D16EE6">
        <w:rPr>
          <w:color w:val="000000" w:themeColor="text1"/>
          <w:sz w:val="28"/>
          <w:szCs w:val="28"/>
        </w:rPr>
        <w:t xml:space="preserve"> high court </w:t>
      </w:r>
      <w:r w:rsidR="00EA200F" w:rsidRPr="00D16EE6">
        <w:rPr>
          <w:color w:val="000000" w:themeColor="text1"/>
          <w:sz w:val="28"/>
          <w:szCs w:val="28"/>
        </w:rPr>
        <w:t xml:space="preserve">did however </w:t>
      </w:r>
      <w:r w:rsidR="0071137B" w:rsidRPr="00D16EE6">
        <w:rPr>
          <w:color w:val="000000" w:themeColor="text1"/>
          <w:sz w:val="28"/>
          <w:szCs w:val="28"/>
        </w:rPr>
        <w:t>grant leave to appeal</w:t>
      </w:r>
      <w:r w:rsidR="004F6DDD" w:rsidRPr="00D16EE6">
        <w:rPr>
          <w:color w:val="000000" w:themeColor="text1"/>
          <w:sz w:val="28"/>
          <w:szCs w:val="28"/>
        </w:rPr>
        <w:t xml:space="preserve"> </w:t>
      </w:r>
      <w:r w:rsidR="00B5174C" w:rsidRPr="00D16EE6">
        <w:rPr>
          <w:color w:val="000000" w:themeColor="text1"/>
          <w:sz w:val="28"/>
          <w:szCs w:val="28"/>
        </w:rPr>
        <w:t>to the</w:t>
      </w:r>
      <w:r w:rsidR="00EA200F" w:rsidRPr="00D16EE6">
        <w:rPr>
          <w:color w:val="000000" w:themeColor="text1"/>
          <w:sz w:val="28"/>
          <w:szCs w:val="28"/>
        </w:rPr>
        <w:t xml:space="preserve"> respondents in that application, the</w:t>
      </w:r>
      <w:r w:rsidR="00B5174C" w:rsidRPr="00D16EE6">
        <w:rPr>
          <w:color w:val="000000" w:themeColor="text1"/>
          <w:sz w:val="28"/>
          <w:szCs w:val="28"/>
        </w:rPr>
        <w:t xml:space="preserve"> </w:t>
      </w:r>
      <w:r w:rsidR="00B5174C" w:rsidRPr="00D16EE6">
        <w:rPr>
          <w:sz w:val="28"/>
          <w:szCs w:val="28"/>
        </w:rPr>
        <w:t xml:space="preserve">first appellant, the </w:t>
      </w:r>
      <w:r w:rsidR="00B5174C" w:rsidRPr="00D16EE6">
        <w:rPr>
          <w:color w:val="000000" w:themeColor="text1"/>
          <w:sz w:val="28"/>
          <w:szCs w:val="28"/>
        </w:rPr>
        <w:t>Public Investment Corporation SOC Ltd (the PIC)</w:t>
      </w:r>
      <w:r w:rsidR="008237F2" w:rsidRPr="00D16EE6">
        <w:rPr>
          <w:color w:val="000000" w:themeColor="text1"/>
          <w:sz w:val="28"/>
          <w:szCs w:val="28"/>
        </w:rPr>
        <w:t>,</w:t>
      </w:r>
      <w:r w:rsidR="00B5174C" w:rsidRPr="00D16EE6">
        <w:rPr>
          <w:color w:val="000000" w:themeColor="text1"/>
          <w:sz w:val="28"/>
          <w:szCs w:val="28"/>
        </w:rPr>
        <w:t xml:space="preserve"> and the second appellant, the Government Employees Pension Fund (the GEPF)</w:t>
      </w:r>
      <w:r w:rsidR="004F6DDD" w:rsidRPr="00D16EE6">
        <w:rPr>
          <w:color w:val="000000" w:themeColor="text1"/>
          <w:sz w:val="28"/>
          <w:szCs w:val="28"/>
        </w:rPr>
        <w:t xml:space="preserve">, against an order </w:t>
      </w:r>
      <w:r w:rsidR="00EA200F" w:rsidRPr="00D16EE6">
        <w:rPr>
          <w:color w:val="000000" w:themeColor="text1"/>
          <w:sz w:val="28"/>
          <w:szCs w:val="28"/>
        </w:rPr>
        <w:t xml:space="preserve">that </w:t>
      </w:r>
      <w:r w:rsidR="004F6DDD" w:rsidRPr="00D16EE6">
        <w:rPr>
          <w:color w:val="000000" w:themeColor="text1"/>
          <w:sz w:val="28"/>
          <w:szCs w:val="28"/>
        </w:rPr>
        <w:t xml:space="preserve">it </w:t>
      </w:r>
      <w:r w:rsidR="00EA200F" w:rsidRPr="00D16EE6">
        <w:rPr>
          <w:color w:val="000000" w:themeColor="text1"/>
          <w:sz w:val="28"/>
          <w:szCs w:val="28"/>
        </w:rPr>
        <w:t xml:space="preserve">had issued </w:t>
      </w:r>
      <w:r w:rsidR="004F6DDD" w:rsidRPr="00D16EE6">
        <w:rPr>
          <w:color w:val="000000" w:themeColor="text1"/>
          <w:sz w:val="28"/>
          <w:szCs w:val="28"/>
        </w:rPr>
        <w:t xml:space="preserve">after it had </w:t>
      </w:r>
      <w:r w:rsidR="00EA200F" w:rsidRPr="00D16EE6">
        <w:rPr>
          <w:color w:val="000000" w:themeColor="text1"/>
          <w:sz w:val="28"/>
          <w:szCs w:val="28"/>
        </w:rPr>
        <w:t xml:space="preserve">already </w:t>
      </w:r>
      <w:r w:rsidR="004F6DDD" w:rsidRPr="00D16EE6">
        <w:rPr>
          <w:color w:val="000000" w:themeColor="text1"/>
          <w:sz w:val="28"/>
          <w:szCs w:val="28"/>
        </w:rPr>
        <w:t>finalised its judgment.</w:t>
      </w:r>
    </w:p>
    <w:p w14:paraId="7773FE54" w14:textId="77777777" w:rsidR="0008193C" w:rsidRPr="00D16EE6" w:rsidRDefault="0008193C" w:rsidP="00ED6DA6">
      <w:pPr>
        <w:tabs>
          <w:tab w:val="left" w:pos="0"/>
        </w:tabs>
        <w:rPr>
          <w:sz w:val="28"/>
          <w:szCs w:val="28"/>
        </w:rPr>
      </w:pPr>
    </w:p>
    <w:p w14:paraId="37F0C69D" w14:textId="4F4FFFF7" w:rsidR="00AD4CFE" w:rsidRPr="00D16EE6" w:rsidRDefault="00531B3A" w:rsidP="00531B3A">
      <w:pPr>
        <w:tabs>
          <w:tab w:val="left" w:pos="0"/>
        </w:tabs>
        <w:rPr>
          <w:sz w:val="28"/>
          <w:szCs w:val="28"/>
        </w:rPr>
      </w:pPr>
      <w:r w:rsidRPr="00D16EE6">
        <w:rPr>
          <w:sz w:val="28"/>
          <w:szCs w:val="28"/>
        </w:rPr>
        <w:lastRenderedPageBreak/>
        <w:t>[2]</w:t>
      </w:r>
      <w:r w:rsidRPr="00D16EE6">
        <w:rPr>
          <w:sz w:val="28"/>
          <w:szCs w:val="28"/>
        </w:rPr>
        <w:tab/>
      </w:r>
      <w:r w:rsidR="006157F3" w:rsidRPr="00D16EE6">
        <w:rPr>
          <w:color w:val="000000" w:themeColor="text1"/>
          <w:sz w:val="28"/>
          <w:szCs w:val="28"/>
        </w:rPr>
        <w:t xml:space="preserve">Trencon conducts </w:t>
      </w:r>
      <w:r w:rsidR="006157F3" w:rsidRPr="00D16EE6">
        <w:rPr>
          <w:sz w:val="28"/>
          <w:szCs w:val="28"/>
        </w:rPr>
        <w:t xml:space="preserve">business as a building and civil engineering contractor. </w:t>
      </w:r>
      <w:r w:rsidR="00AD6665" w:rsidRPr="00D16EE6">
        <w:rPr>
          <w:color w:val="000000" w:themeColor="text1"/>
          <w:sz w:val="28"/>
          <w:szCs w:val="28"/>
        </w:rPr>
        <w:t xml:space="preserve">The PIC is a corporation </w:t>
      </w:r>
      <w:r w:rsidR="00AD6665" w:rsidRPr="00D16EE6">
        <w:rPr>
          <w:sz w:val="28"/>
          <w:szCs w:val="28"/>
        </w:rPr>
        <w:t>established in terms of s 2 of the Public Investment Corporation Act 23 of 2004</w:t>
      </w:r>
      <w:r w:rsidR="0031518F" w:rsidRPr="00D16EE6">
        <w:rPr>
          <w:sz w:val="28"/>
          <w:szCs w:val="28"/>
        </w:rPr>
        <w:t>.</w:t>
      </w:r>
      <w:r w:rsidR="00AD4CFE" w:rsidRPr="00D16EE6">
        <w:rPr>
          <w:sz w:val="28"/>
          <w:szCs w:val="28"/>
        </w:rPr>
        <w:t xml:space="preserve"> </w:t>
      </w:r>
      <w:r w:rsidR="0031518F" w:rsidRPr="00D16EE6">
        <w:rPr>
          <w:sz w:val="28"/>
          <w:szCs w:val="28"/>
        </w:rPr>
        <w:t xml:space="preserve">It is </w:t>
      </w:r>
      <w:r w:rsidR="00AD6665" w:rsidRPr="00D16EE6">
        <w:rPr>
          <w:sz w:val="28"/>
          <w:szCs w:val="28"/>
        </w:rPr>
        <w:t>wholly owned by the State</w:t>
      </w:r>
      <w:r w:rsidR="0031518F" w:rsidRPr="00D16EE6">
        <w:rPr>
          <w:sz w:val="28"/>
          <w:szCs w:val="28"/>
        </w:rPr>
        <w:t>,</w:t>
      </w:r>
      <w:r w:rsidR="00AD6665" w:rsidRPr="00D16EE6">
        <w:rPr>
          <w:sz w:val="28"/>
          <w:szCs w:val="28"/>
        </w:rPr>
        <w:t xml:space="preserve"> with the Minister of Finance acting as a representative shareholder on behalf of the State.</w:t>
      </w:r>
      <w:r w:rsidR="00AD6665" w:rsidRPr="00D16EE6">
        <w:rPr>
          <w:rStyle w:val="FootnoteReference"/>
          <w:sz w:val="28"/>
          <w:szCs w:val="28"/>
        </w:rPr>
        <w:footnoteReference w:id="1"/>
      </w:r>
      <w:r w:rsidR="00AD6665" w:rsidRPr="00D16EE6">
        <w:rPr>
          <w:sz w:val="28"/>
          <w:szCs w:val="28"/>
        </w:rPr>
        <w:t xml:space="preserve"> It is also </w:t>
      </w:r>
      <w:r w:rsidR="00E74554" w:rsidRPr="00D16EE6">
        <w:rPr>
          <w:sz w:val="28"/>
          <w:szCs w:val="28"/>
        </w:rPr>
        <w:t>an authorised</w:t>
      </w:r>
      <w:r w:rsidR="00AD6665" w:rsidRPr="00D16EE6">
        <w:rPr>
          <w:sz w:val="28"/>
          <w:szCs w:val="28"/>
        </w:rPr>
        <w:t xml:space="preserve"> financial service</w:t>
      </w:r>
      <w:r w:rsidR="00E74554" w:rsidRPr="00D16EE6">
        <w:rPr>
          <w:sz w:val="28"/>
          <w:szCs w:val="28"/>
        </w:rPr>
        <w:t>s</w:t>
      </w:r>
      <w:r w:rsidR="00AD6665" w:rsidRPr="00D16EE6">
        <w:rPr>
          <w:sz w:val="28"/>
          <w:szCs w:val="28"/>
        </w:rPr>
        <w:t xml:space="preserve"> provider in terms of the Financial Advisory and Intermediary Services Act 37 of 2002 and conducts business as an asset management company. Its clients are mostly public sector entities, including the GEPF. </w:t>
      </w:r>
      <w:r w:rsidR="00AD4CFE" w:rsidRPr="00D16EE6">
        <w:rPr>
          <w:sz w:val="28"/>
          <w:szCs w:val="28"/>
        </w:rPr>
        <w:t xml:space="preserve">The </w:t>
      </w:r>
      <w:r w:rsidR="00AD4CFE" w:rsidRPr="00D16EE6">
        <w:rPr>
          <w:color w:val="000000" w:themeColor="text1"/>
          <w:sz w:val="28"/>
          <w:szCs w:val="28"/>
        </w:rPr>
        <w:t>GEPF</w:t>
      </w:r>
      <w:r w:rsidR="00AD4CFE" w:rsidRPr="00D16EE6">
        <w:rPr>
          <w:sz w:val="28"/>
          <w:szCs w:val="28"/>
        </w:rPr>
        <w:t>, established by s 3 of the Government Service Pension Act 57 of 1973 (since repealed),</w:t>
      </w:r>
      <w:r w:rsidR="00AD4CFE" w:rsidRPr="00D16EE6">
        <w:rPr>
          <w:color w:val="000000" w:themeColor="text1"/>
          <w:sz w:val="28"/>
          <w:szCs w:val="28"/>
        </w:rPr>
        <w:t xml:space="preserve"> is</w:t>
      </w:r>
      <w:r w:rsidR="00AD4CFE" w:rsidRPr="00D16EE6">
        <w:rPr>
          <w:sz w:val="28"/>
          <w:szCs w:val="28"/>
        </w:rPr>
        <w:t xml:space="preserve"> the largest pension fund in Africa. It</w:t>
      </w:r>
      <w:r w:rsidR="00937973" w:rsidRPr="00D16EE6">
        <w:rPr>
          <w:sz w:val="28"/>
          <w:szCs w:val="28"/>
        </w:rPr>
        <w:t xml:space="preserve"> </w:t>
      </w:r>
      <w:r w:rsidR="0031518F" w:rsidRPr="00D16EE6">
        <w:rPr>
          <w:sz w:val="28"/>
          <w:szCs w:val="28"/>
        </w:rPr>
        <w:t xml:space="preserve">is </w:t>
      </w:r>
      <w:r w:rsidR="00AD4CFE" w:rsidRPr="00D16EE6">
        <w:rPr>
          <w:sz w:val="28"/>
          <w:szCs w:val="28"/>
        </w:rPr>
        <w:t>regulated by the Government Employees Pension Law, 1996.</w:t>
      </w:r>
      <w:r w:rsidR="00AD4CFE" w:rsidRPr="00D16EE6">
        <w:rPr>
          <w:rStyle w:val="FootnoteReference"/>
          <w:sz w:val="28"/>
          <w:szCs w:val="28"/>
        </w:rPr>
        <w:footnoteReference w:id="2"/>
      </w:r>
      <w:r w:rsidR="00AD4CFE" w:rsidRPr="00D16EE6">
        <w:rPr>
          <w:sz w:val="28"/>
          <w:szCs w:val="28"/>
        </w:rPr>
        <w:t xml:space="preserve"> </w:t>
      </w:r>
    </w:p>
    <w:p w14:paraId="2B0056AB" w14:textId="77777777" w:rsidR="00AD4CFE" w:rsidRPr="00D16EE6" w:rsidRDefault="00AD4CFE" w:rsidP="00AD4CFE">
      <w:pPr>
        <w:tabs>
          <w:tab w:val="left" w:pos="0"/>
        </w:tabs>
        <w:rPr>
          <w:sz w:val="28"/>
          <w:szCs w:val="28"/>
        </w:rPr>
      </w:pPr>
    </w:p>
    <w:p w14:paraId="4709AB99" w14:textId="09C7C151" w:rsidR="00A448B7" w:rsidRPr="00D16EE6" w:rsidRDefault="00531B3A" w:rsidP="00531B3A">
      <w:pPr>
        <w:tabs>
          <w:tab w:val="left" w:pos="0"/>
        </w:tabs>
        <w:rPr>
          <w:sz w:val="28"/>
          <w:szCs w:val="28"/>
        </w:rPr>
      </w:pPr>
      <w:r w:rsidRPr="00D16EE6">
        <w:rPr>
          <w:sz w:val="28"/>
          <w:szCs w:val="28"/>
        </w:rPr>
        <w:t>[3]</w:t>
      </w:r>
      <w:r w:rsidRPr="00D16EE6">
        <w:rPr>
          <w:sz w:val="28"/>
          <w:szCs w:val="28"/>
        </w:rPr>
        <w:tab/>
      </w:r>
      <w:r w:rsidR="00F763D1" w:rsidRPr="00D16EE6">
        <w:rPr>
          <w:sz w:val="28"/>
          <w:szCs w:val="28"/>
        </w:rPr>
        <w:t>Trencon</w:t>
      </w:r>
      <w:r w:rsidR="00A448B7" w:rsidRPr="00D16EE6">
        <w:rPr>
          <w:sz w:val="28"/>
          <w:szCs w:val="28"/>
        </w:rPr>
        <w:t xml:space="preserve"> submitted a bid </w:t>
      </w:r>
      <w:r w:rsidR="0031518F" w:rsidRPr="00D16EE6">
        <w:rPr>
          <w:sz w:val="28"/>
          <w:szCs w:val="28"/>
        </w:rPr>
        <w:t>in response</w:t>
      </w:r>
      <w:r w:rsidR="00A448B7" w:rsidRPr="00D16EE6">
        <w:rPr>
          <w:sz w:val="28"/>
          <w:szCs w:val="28"/>
        </w:rPr>
        <w:t xml:space="preserve"> </w:t>
      </w:r>
      <w:r w:rsidR="0031518F" w:rsidRPr="00D16EE6">
        <w:rPr>
          <w:sz w:val="28"/>
          <w:szCs w:val="28"/>
        </w:rPr>
        <w:t xml:space="preserve">to </w:t>
      </w:r>
      <w:r w:rsidR="00A448B7" w:rsidRPr="00D16EE6">
        <w:rPr>
          <w:sz w:val="28"/>
          <w:szCs w:val="28"/>
        </w:rPr>
        <w:t>a</w:t>
      </w:r>
      <w:r w:rsidR="0031518F" w:rsidRPr="00D16EE6">
        <w:rPr>
          <w:sz w:val="28"/>
          <w:szCs w:val="28"/>
        </w:rPr>
        <w:t>n invitation</w:t>
      </w:r>
      <w:r w:rsidR="00A448B7" w:rsidRPr="00D16EE6">
        <w:rPr>
          <w:sz w:val="28"/>
          <w:szCs w:val="28"/>
        </w:rPr>
        <w:t xml:space="preserve"> advertised by the PIC on behalf of the GEPF in November 2019, </w:t>
      </w:r>
      <w:r w:rsidR="002D5EA4" w:rsidRPr="00D16EE6">
        <w:rPr>
          <w:sz w:val="28"/>
          <w:szCs w:val="28"/>
        </w:rPr>
        <w:t xml:space="preserve">to </w:t>
      </w:r>
      <w:r w:rsidR="00A448B7" w:rsidRPr="00D16EE6">
        <w:rPr>
          <w:color w:val="000000" w:themeColor="text1"/>
          <w:sz w:val="28"/>
          <w:szCs w:val="28"/>
        </w:rPr>
        <w:t xml:space="preserve">appoint a building contractor for a shopping centre in Pretoria (the tender). The tender was awarded to the second respondent, GVK-Siya Zama Building Contractors (Pty) Ltd (GVK). </w:t>
      </w:r>
      <w:r w:rsidR="00A448B7" w:rsidRPr="00D16EE6">
        <w:rPr>
          <w:sz w:val="28"/>
          <w:szCs w:val="28"/>
        </w:rPr>
        <w:t xml:space="preserve">After losing the tender, Trencon </w:t>
      </w:r>
      <w:r w:rsidR="00A448B7" w:rsidRPr="00D16EE6">
        <w:rPr>
          <w:color w:val="000000" w:themeColor="text1"/>
          <w:sz w:val="28"/>
          <w:szCs w:val="28"/>
        </w:rPr>
        <w:t xml:space="preserve">launched an application in the high court seeking to review and set aside the PIC’s decision to award the tender to GVK. It also sought a declaratory order that the </w:t>
      </w:r>
      <w:r w:rsidR="00A448B7" w:rsidRPr="00D16EE6">
        <w:rPr>
          <w:sz w:val="28"/>
          <w:szCs w:val="28"/>
        </w:rPr>
        <w:t>GEPF was an organ of state in terms s 239</w:t>
      </w:r>
      <w:r w:rsidR="00A448B7" w:rsidRPr="00D16EE6">
        <w:rPr>
          <w:i/>
          <w:iCs/>
          <w:sz w:val="28"/>
          <w:szCs w:val="28"/>
        </w:rPr>
        <w:t>(</w:t>
      </w:r>
      <w:r w:rsidR="00A448B7" w:rsidRPr="00D16EE6">
        <w:rPr>
          <w:i/>
          <w:sz w:val="28"/>
          <w:szCs w:val="28"/>
        </w:rPr>
        <w:t>b</w:t>
      </w:r>
      <w:r w:rsidR="00A448B7" w:rsidRPr="00D16EE6">
        <w:rPr>
          <w:i/>
          <w:iCs/>
          <w:sz w:val="28"/>
          <w:szCs w:val="28"/>
        </w:rPr>
        <w:t>)</w:t>
      </w:r>
      <w:r w:rsidR="00A448B7" w:rsidRPr="00D16EE6">
        <w:rPr>
          <w:sz w:val="28"/>
          <w:szCs w:val="28"/>
        </w:rPr>
        <w:t>(ii) of the Constitution. On 2 November 2021, the high court dismissed Trencon’s application.</w:t>
      </w:r>
    </w:p>
    <w:p w14:paraId="5908DF60" w14:textId="77777777" w:rsidR="00F763D1" w:rsidRPr="00D16EE6" w:rsidRDefault="00F763D1" w:rsidP="00F763D1">
      <w:pPr>
        <w:pStyle w:val="ListParagraph"/>
        <w:rPr>
          <w:sz w:val="28"/>
          <w:szCs w:val="28"/>
        </w:rPr>
      </w:pPr>
    </w:p>
    <w:p w14:paraId="446E5B10" w14:textId="154817DA" w:rsidR="00C408D1" w:rsidRPr="00531B3A" w:rsidRDefault="00531B3A" w:rsidP="00531B3A">
      <w:pPr>
        <w:tabs>
          <w:tab w:val="left" w:pos="0"/>
        </w:tabs>
        <w:rPr>
          <w:sz w:val="28"/>
          <w:szCs w:val="28"/>
        </w:rPr>
      </w:pPr>
      <w:r w:rsidRPr="00D16EE6">
        <w:rPr>
          <w:sz w:val="28"/>
          <w:szCs w:val="28"/>
        </w:rPr>
        <w:t>[4]</w:t>
      </w:r>
      <w:r w:rsidRPr="00D16EE6">
        <w:rPr>
          <w:sz w:val="28"/>
          <w:szCs w:val="28"/>
        </w:rPr>
        <w:tab/>
      </w:r>
      <w:r w:rsidR="00A448B7" w:rsidRPr="00531B3A">
        <w:rPr>
          <w:sz w:val="28"/>
          <w:szCs w:val="28"/>
        </w:rPr>
        <w:t>After the dismissal of its application</w:t>
      </w:r>
      <w:r w:rsidR="0031518F" w:rsidRPr="00531B3A">
        <w:rPr>
          <w:sz w:val="28"/>
          <w:szCs w:val="28"/>
        </w:rPr>
        <w:t>,</w:t>
      </w:r>
      <w:r w:rsidR="00A448B7" w:rsidRPr="00531B3A">
        <w:rPr>
          <w:sz w:val="28"/>
          <w:szCs w:val="28"/>
        </w:rPr>
        <w:t xml:space="preserve"> and o</w:t>
      </w:r>
      <w:r w:rsidR="00240ED0" w:rsidRPr="00531B3A">
        <w:rPr>
          <w:sz w:val="28"/>
          <w:szCs w:val="28"/>
        </w:rPr>
        <w:t>n 8 November 2021</w:t>
      </w:r>
      <w:r w:rsidR="00A611F7" w:rsidRPr="00531B3A">
        <w:rPr>
          <w:sz w:val="28"/>
          <w:szCs w:val="28"/>
        </w:rPr>
        <w:t>,</w:t>
      </w:r>
      <w:r w:rsidR="00240ED0" w:rsidRPr="00531B3A">
        <w:rPr>
          <w:sz w:val="28"/>
          <w:szCs w:val="28"/>
        </w:rPr>
        <w:t xml:space="preserve"> </w:t>
      </w:r>
      <w:r w:rsidR="00C408D1" w:rsidRPr="00531B3A">
        <w:rPr>
          <w:sz w:val="28"/>
          <w:szCs w:val="28"/>
        </w:rPr>
        <w:t xml:space="preserve">Trencon filed a notice in terms </w:t>
      </w:r>
      <w:r w:rsidR="00A611F7" w:rsidRPr="00531B3A">
        <w:rPr>
          <w:sz w:val="28"/>
          <w:szCs w:val="28"/>
        </w:rPr>
        <w:t xml:space="preserve">of </w:t>
      </w:r>
      <w:r w:rsidR="00C408D1" w:rsidRPr="00531B3A">
        <w:rPr>
          <w:sz w:val="28"/>
          <w:szCs w:val="28"/>
        </w:rPr>
        <w:t>rule 42(1)</w:t>
      </w:r>
      <w:r w:rsidR="00C408D1" w:rsidRPr="00531B3A">
        <w:rPr>
          <w:i/>
          <w:iCs/>
          <w:sz w:val="28"/>
          <w:szCs w:val="28"/>
        </w:rPr>
        <w:t>(</w:t>
      </w:r>
      <w:r w:rsidR="00C408D1" w:rsidRPr="00531B3A">
        <w:rPr>
          <w:i/>
          <w:sz w:val="28"/>
          <w:szCs w:val="28"/>
        </w:rPr>
        <w:t>b</w:t>
      </w:r>
      <w:r w:rsidR="00C408D1" w:rsidRPr="00531B3A">
        <w:rPr>
          <w:i/>
          <w:iCs/>
          <w:sz w:val="28"/>
          <w:szCs w:val="28"/>
        </w:rPr>
        <w:t>)</w:t>
      </w:r>
      <w:r w:rsidR="00C408D1" w:rsidRPr="00531B3A">
        <w:rPr>
          <w:sz w:val="28"/>
          <w:szCs w:val="28"/>
        </w:rPr>
        <w:t xml:space="preserve"> of the Uniform Rules of Court seeking an amendment </w:t>
      </w:r>
      <w:r w:rsidR="001553B9" w:rsidRPr="00531B3A">
        <w:rPr>
          <w:sz w:val="28"/>
          <w:szCs w:val="28"/>
        </w:rPr>
        <w:t xml:space="preserve">to </w:t>
      </w:r>
      <w:r w:rsidR="00C408D1" w:rsidRPr="00531B3A">
        <w:rPr>
          <w:sz w:val="28"/>
          <w:szCs w:val="28"/>
        </w:rPr>
        <w:t xml:space="preserve">the </w:t>
      </w:r>
      <w:r w:rsidR="00240ED0" w:rsidRPr="00531B3A">
        <w:rPr>
          <w:sz w:val="28"/>
          <w:szCs w:val="28"/>
        </w:rPr>
        <w:t xml:space="preserve">high court’s </w:t>
      </w:r>
      <w:r w:rsidR="00C408D1" w:rsidRPr="00531B3A">
        <w:rPr>
          <w:sz w:val="28"/>
          <w:szCs w:val="28"/>
        </w:rPr>
        <w:t xml:space="preserve">order </w:t>
      </w:r>
      <w:r w:rsidR="00240ED0" w:rsidRPr="00531B3A">
        <w:rPr>
          <w:sz w:val="28"/>
          <w:szCs w:val="28"/>
        </w:rPr>
        <w:t>in the following terms</w:t>
      </w:r>
      <w:r w:rsidR="00C408D1" w:rsidRPr="00531B3A">
        <w:rPr>
          <w:sz w:val="28"/>
          <w:szCs w:val="28"/>
        </w:rPr>
        <w:t>:</w:t>
      </w:r>
    </w:p>
    <w:p w14:paraId="58A851F2" w14:textId="77777777" w:rsidR="00C408D1" w:rsidRPr="00D16EE6" w:rsidRDefault="00C408D1" w:rsidP="00ED6DA6">
      <w:pPr>
        <w:tabs>
          <w:tab w:val="left" w:pos="0"/>
        </w:tabs>
      </w:pPr>
      <w:r w:rsidRPr="00D16EE6">
        <w:lastRenderedPageBreak/>
        <w:t xml:space="preserve">‘1. </w:t>
      </w:r>
      <w:r w:rsidR="00A611F7" w:rsidRPr="00D16EE6">
        <w:tab/>
      </w:r>
      <w:r w:rsidRPr="00D16EE6">
        <w:t>It is declared that the [GEPF] is an organ of state in terms of section 239</w:t>
      </w:r>
      <w:r w:rsidRPr="00D16EE6">
        <w:rPr>
          <w:i/>
          <w:iCs/>
        </w:rPr>
        <w:t>(b)</w:t>
      </w:r>
      <w:r w:rsidRPr="00D16EE6">
        <w:t>(ii) of the Constitution.</w:t>
      </w:r>
    </w:p>
    <w:p w14:paraId="4C5CA8A6" w14:textId="77777777" w:rsidR="00C408D1" w:rsidRPr="00D16EE6" w:rsidRDefault="00C408D1" w:rsidP="00ED6DA6">
      <w:pPr>
        <w:tabs>
          <w:tab w:val="left" w:pos="0"/>
        </w:tabs>
      </w:pPr>
      <w:r w:rsidRPr="00D16EE6">
        <w:t xml:space="preserve">2. </w:t>
      </w:r>
      <w:r w:rsidR="00A611F7" w:rsidRPr="00D16EE6">
        <w:tab/>
      </w:r>
      <w:r w:rsidRPr="00D16EE6">
        <w:t xml:space="preserve">Save for the aforesaid order, the application is dismissed.’ </w:t>
      </w:r>
    </w:p>
    <w:p w14:paraId="19BECC30" w14:textId="77777777" w:rsidR="00EA73FB" w:rsidRPr="00D16EE6" w:rsidRDefault="00EA73FB" w:rsidP="00ED6DA6">
      <w:pPr>
        <w:tabs>
          <w:tab w:val="left" w:pos="0"/>
        </w:tabs>
        <w:rPr>
          <w:sz w:val="28"/>
          <w:szCs w:val="28"/>
        </w:rPr>
      </w:pPr>
    </w:p>
    <w:p w14:paraId="47AC05C9" w14:textId="456B3106" w:rsidR="00EF503C" w:rsidRPr="00D16EE6" w:rsidRDefault="00531B3A" w:rsidP="00531B3A">
      <w:pPr>
        <w:tabs>
          <w:tab w:val="left" w:pos="0"/>
        </w:tabs>
        <w:rPr>
          <w:sz w:val="28"/>
          <w:szCs w:val="28"/>
        </w:rPr>
      </w:pPr>
      <w:r w:rsidRPr="00D16EE6">
        <w:rPr>
          <w:sz w:val="28"/>
          <w:szCs w:val="28"/>
        </w:rPr>
        <w:t>[5]</w:t>
      </w:r>
      <w:r w:rsidRPr="00D16EE6">
        <w:rPr>
          <w:sz w:val="28"/>
          <w:szCs w:val="28"/>
        </w:rPr>
        <w:tab/>
      </w:r>
      <w:r w:rsidR="00EF503C" w:rsidRPr="00D16EE6">
        <w:rPr>
          <w:sz w:val="28"/>
          <w:szCs w:val="28"/>
        </w:rPr>
        <w:t xml:space="preserve">The amendment </w:t>
      </w:r>
      <w:r w:rsidR="00240ED0" w:rsidRPr="00D16EE6">
        <w:rPr>
          <w:sz w:val="28"/>
          <w:szCs w:val="28"/>
        </w:rPr>
        <w:t xml:space="preserve">was </w:t>
      </w:r>
      <w:r w:rsidR="00EF503C" w:rsidRPr="00D16EE6">
        <w:rPr>
          <w:sz w:val="28"/>
          <w:szCs w:val="28"/>
        </w:rPr>
        <w:t xml:space="preserve">sought </w:t>
      </w:r>
      <w:r w:rsidR="00240ED0" w:rsidRPr="00D16EE6">
        <w:rPr>
          <w:sz w:val="28"/>
          <w:szCs w:val="28"/>
        </w:rPr>
        <w:t xml:space="preserve">on the basis </w:t>
      </w:r>
      <w:r w:rsidR="00EF503C" w:rsidRPr="00D16EE6">
        <w:rPr>
          <w:sz w:val="28"/>
          <w:szCs w:val="28"/>
        </w:rPr>
        <w:t xml:space="preserve">that the high court had </w:t>
      </w:r>
      <w:r w:rsidR="00656C0A" w:rsidRPr="00D16EE6">
        <w:rPr>
          <w:sz w:val="28"/>
          <w:szCs w:val="28"/>
        </w:rPr>
        <w:t xml:space="preserve">allegedly </w:t>
      </w:r>
      <w:r w:rsidR="00EF503C" w:rsidRPr="00D16EE6">
        <w:rPr>
          <w:sz w:val="28"/>
          <w:szCs w:val="28"/>
        </w:rPr>
        <w:t>committed an error or omission</w:t>
      </w:r>
      <w:r w:rsidR="00240ED0" w:rsidRPr="00D16EE6">
        <w:rPr>
          <w:sz w:val="28"/>
          <w:szCs w:val="28"/>
        </w:rPr>
        <w:t xml:space="preserve"> by </w:t>
      </w:r>
      <w:r w:rsidR="000B61A7" w:rsidRPr="00D16EE6">
        <w:rPr>
          <w:sz w:val="28"/>
          <w:szCs w:val="28"/>
        </w:rPr>
        <w:t>not pronouncing</w:t>
      </w:r>
      <w:r w:rsidR="001553B9" w:rsidRPr="00D16EE6">
        <w:rPr>
          <w:sz w:val="28"/>
          <w:szCs w:val="28"/>
        </w:rPr>
        <w:t xml:space="preserve"> </w:t>
      </w:r>
      <w:r w:rsidR="00240ED0" w:rsidRPr="00D16EE6">
        <w:rPr>
          <w:sz w:val="28"/>
          <w:szCs w:val="28"/>
        </w:rPr>
        <w:t>on the</w:t>
      </w:r>
      <w:r w:rsidR="00EF503C" w:rsidRPr="00D16EE6">
        <w:rPr>
          <w:sz w:val="28"/>
          <w:szCs w:val="28"/>
        </w:rPr>
        <w:t xml:space="preserve"> </w:t>
      </w:r>
      <w:r w:rsidR="00240ED0" w:rsidRPr="00D16EE6">
        <w:rPr>
          <w:sz w:val="28"/>
          <w:szCs w:val="28"/>
        </w:rPr>
        <w:t xml:space="preserve">declarator sought in </w:t>
      </w:r>
      <w:r w:rsidR="00EF503C" w:rsidRPr="00D16EE6">
        <w:rPr>
          <w:sz w:val="28"/>
          <w:szCs w:val="28"/>
        </w:rPr>
        <w:t>the notice of motion that the GEPF was an organ of state in terms s 239</w:t>
      </w:r>
      <w:r w:rsidR="00EF503C" w:rsidRPr="00D16EE6">
        <w:rPr>
          <w:i/>
          <w:iCs/>
          <w:sz w:val="28"/>
          <w:szCs w:val="28"/>
        </w:rPr>
        <w:t>(</w:t>
      </w:r>
      <w:r w:rsidR="00EF503C" w:rsidRPr="00D16EE6">
        <w:rPr>
          <w:i/>
          <w:sz w:val="28"/>
          <w:szCs w:val="28"/>
        </w:rPr>
        <w:t>b</w:t>
      </w:r>
      <w:r w:rsidR="00EF503C" w:rsidRPr="00D16EE6">
        <w:rPr>
          <w:i/>
          <w:iCs/>
          <w:sz w:val="28"/>
          <w:szCs w:val="28"/>
        </w:rPr>
        <w:t>)</w:t>
      </w:r>
      <w:r w:rsidR="00EF503C" w:rsidRPr="00D16EE6">
        <w:rPr>
          <w:sz w:val="28"/>
          <w:szCs w:val="28"/>
        </w:rPr>
        <w:t xml:space="preserve">(ii) of the Constitution. </w:t>
      </w:r>
      <w:r w:rsidR="00C42560" w:rsidRPr="00D16EE6">
        <w:rPr>
          <w:sz w:val="28"/>
          <w:szCs w:val="28"/>
        </w:rPr>
        <w:t>To</w:t>
      </w:r>
      <w:r w:rsidR="000B61A7" w:rsidRPr="00D16EE6">
        <w:rPr>
          <w:sz w:val="28"/>
          <w:szCs w:val="28"/>
        </w:rPr>
        <w:t xml:space="preserve"> </w:t>
      </w:r>
      <w:r w:rsidR="001553B9" w:rsidRPr="00D16EE6">
        <w:rPr>
          <w:sz w:val="28"/>
          <w:szCs w:val="28"/>
        </w:rPr>
        <w:t xml:space="preserve">support </w:t>
      </w:r>
      <w:r w:rsidR="00C42560" w:rsidRPr="00D16EE6">
        <w:rPr>
          <w:sz w:val="28"/>
          <w:szCs w:val="28"/>
        </w:rPr>
        <w:t>this application, T</w:t>
      </w:r>
      <w:r w:rsidR="00240ED0" w:rsidRPr="00D16EE6">
        <w:rPr>
          <w:sz w:val="28"/>
          <w:szCs w:val="28"/>
        </w:rPr>
        <w:t>rencon</w:t>
      </w:r>
      <w:r w:rsidR="001E031E" w:rsidRPr="00D16EE6">
        <w:rPr>
          <w:sz w:val="28"/>
          <w:szCs w:val="28"/>
        </w:rPr>
        <w:t xml:space="preserve"> </w:t>
      </w:r>
      <w:r w:rsidR="00C42560" w:rsidRPr="00D16EE6">
        <w:rPr>
          <w:sz w:val="28"/>
          <w:szCs w:val="28"/>
        </w:rPr>
        <w:t xml:space="preserve">relied on the following </w:t>
      </w:r>
      <w:r w:rsidR="001553B9" w:rsidRPr="00D16EE6">
        <w:rPr>
          <w:sz w:val="28"/>
          <w:szCs w:val="28"/>
        </w:rPr>
        <w:t xml:space="preserve">observation </w:t>
      </w:r>
      <w:r w:rsidR="00C42560" w:rsidRPr="00D16EE6">
        <w:rPr>
          <w:sz w:val="28"/>
          <w:szCs w:val="28"/>
        </w:rPr>
        <w:t xml:space="preserve">in the high court’s </w:t>
      </w:r>
      <w:r w:rsidR="001E031E" w:rsidRPr="00D16EE6">
        <w:rPr>
          <w:sz w:val="28"/>
          <w:szCs w:val="28"/>
        </w:rPr>
        <w:t>judgment</w:t>
      </w:r>
      <w:r w:rsidR="007265FA" w:rsidRPr="00D16EE6">
        <w:rPr>
          <w:sz w:val="28"/>
          <w:szCs w:val="28"/>
        </w:rPr>
        <w:t>:</w:t>
      </w:r>
    </w:p>
    <w:p w14:paraId="2D66BA46" w14:textId="642B235E" w:rsidR="00D37EEF" w:rsidRPr="00D16EE6" w:rsidRDefault="00D37EEF" w:rsidP="00ED6DA6">
      <w:pPr>
        <w:tabs>
          <w:tab w:val="left" w:pos="0"/>
        </w:tabs>
        <w:rPr>
          <w:sz w:val="28"/>
          <w:szCs w:val="28"/>
        </w:rPr>
      </w:pPr>
      <w:r w:rsidRPr="00D16EE6">
        <w:t xml:space="preserve">‘Therefore, in my view, in issuing this tender it cannot be said that the GEPF was performing a quintessentially domestic function. In my view both the function and power were public ones and this being so, the GEPF is an organ of state and the action of the award to GVK was an administrative one and reviewable under PAJA.’ </w:t>
      </w:r>
    </w:p>
    <w:p w14:paraId="5904E97E" w14:textId="77777777" w:rsidR="00D37EEF" w:rsidRPr="00D16EE6" w:rsidRDefault="00D37EEF" w:rsidP="00ED6DA6">
      <w:pPr>
        <w:tabs>
          <w:tab w:val="left" w:pos="0"/>
        </w:tabs>
        <w:rPr>
          <w:sz w:val="28"/>
          <w:szCs w:val="28"/>
        </w:rPr>
      </w:pPr>
    </w:p>
    <w:p w14:paraId="2C7E6D5A" w14:textId="0D926CF8" w:rsidR="00B476C8" w:rsidRPr="00D16EE6" w:rsidRDefault="00531B3A" w:rsidP="00531B3A">
      <w:pPr>
        <w:tabs>
          <w:tab w:val="left" w:pos="0"/>
        </w:tabs>
        <w:rPr>
          <w:sz w:val="28"/>
          <w:szCs w:val="28"/>
        </w:rPr>
      </w:pPr>
      <w:r w:rsidRPr="00D16EE6">
        <w:rPr>
          <w:sz w:val="28"/>
          <w:szCs w:val="28"/>
        </w:rPr>
        <w:t>[6]</w:t>
      </w:r>
      <w:r w:rsidRPr="00D16EE6">
        <w:rPr>
          <w:sz w:val="28"/>
          <w:szCs w:val="28"/>
        </w:rPr>
        <w:tab/>
      </w:r>
      <w:r w:rsidR="00C42560" w:rsidRPr="00D16EE6">
        <w:rPr>
          <w:sz w:val="28"/>
          <w:szCs w:val="28"/>
        </w:rPr>
        <w:t xml:space="preserve">It also </w:t>
      </w:r>
      <w:r w:rsidR="00D37EEF" w:rsidRPr="00D16EE6">
        <w:rPr>
          <w:sz w:val="28"/>
          <w:szCs w:val="28"/>
        </w:rPr>
        <w:t>contended</w:t>
      </w:r>
      <w:r w:rsidR="00B476C8" w:rsidRPr="00D16EE6">
        <w:rPr>
          <w:sz w:val="28"/>
          <w:szCs w:val="28"/>
        </w:rPr>
        <w:t xml:space="preserve"> </w:t>
      </w:r>
      <w:r w:rsidR="00D37EEF" w:rsidRPr="00D16EE6">
        <w:rPr>
          <w:sz w:val="28"/>
          <w:szCs w:val="28"/>
        </w:rPr>
        <w:t xml:space="preserve">that the </w:t>
      </w:r>
      <w:r w:rsidR="00B23355" w:rsidRPr="00D16EE6">
        <w:rPr>
          <w:sz w:val="28"/>
          <w:szCs w:val="28"/>
        </w:rPr>
        <w:t xml:space="preserve">high </w:t>
      </w:r>
      <w:r w:rsidR="00D37EEF" w:rsidRPr="00D16EE6">
        <w:rPr>
          <w:sz w:val="28"/>
          <w:szCs w:val="28"/>
        </w:rPr>
        <w:t>court had</w:t>
      </w:r>
      <w:r w:rsidR="00B476C8" w:rsidRPr="00D16EE6">
        <w:rPr>
          <w:sz w:val="28"/>
          <w:szCs w:val="28"/>
        </w:rPr>
        <w:t xml:space="preserve"> </w:t>
      </w:r>
      <w:r w:rsidR="00054551" w:rsidRPr="00D16EE6">
        <w:rPr>
          <w:sz w:val="28"/>
          <w:szCs w:val="28"/>
        </w:rPr>
        <w:t xml:space="preserve">in addition expressed </w:t>
      </w:r>
      <w:r w:rsidR="001553B9" w:rsidRPr="00D16EE6">
        <w:rPr>
          <w:sz w:val="28"/>
          <w:szCs w:val="28"/>
        </w:rPr>
        <w:t xml:space="preserve">the </w:t>
      </w:r>
      <w:r w:rsidR="00054551" w:rsidRPr="00D16EE6">
        <w:rPr>
          <w:sz w:val="28"/>
          <w:szCs w:val="28"/>
        </w:rPr>
        <w:t>view</w:t>
      </w:r>
      <w:r w:rsidR="002D5EA4" w:rsidRPr="00D16EE6">
        <w:rPr>
          <w:sz w:val="28"/>
          <w:szCs w:val="28"/>
        </w:rPr>
        <w:t>,</w:t>
      </w:r>
      <w:r w:rsidR="00054551" w:rsidRPr="00D16EE6">
        <w:rPr>
          <w:sz w:val="28"/>
          <w:szCs w:val="28"/>
        </w:rPr>
        <w:t xml:space="preserve"> in a </w:t>
      </w:r>
      <w:r w:rsidR="00D37EEF" w:rsidRPr="00D16EE6">
        <w:rPr>
          <w:sz w:val="28"/>
          <w:szCs w:val="28"/>
        </w:rPr>
        <w:t>footnote</w:t>
      </w:r>
      <w:r w:rsidR="002D5EA4" w:rsidRPr="00D16EE6">
        <w:rPr>
          <w:sz w:val="28"/>
          <w:szCs w:val="28"/>
        </w:rPr>
        <w:t>,</w:t>
      </w:r>
      <w:r w:rsidR="00D37EEF" w:rsidRPr="00D16EE6">
        <w:rPr>
          <w:sz w:val="28"/>
          <w:szCs w:val="28"/>
        </w:rPr>
        <w:t xml:space="preserve"> </w:t>
      </w:r>
      <w:r w:rsidR="00B476C8" w:rsidRPr="00D16EE6">
        <w:rPr>
          <w:sz w:val="28"/>
          <w:szCs w:val="28"/>
        </w:rPr>
        <w:t xml:space="preserve">that the </w:t>
      </w:r>
      <w:r w:rsidR="00D37EEF" w:rsidRPr="00D16EE6">
        <w:rPr>
          <w:sz w:val="28"/>
          <w:szCs w:val="28"/>
        </w:rPr>
        <w:t xml:space="preserve">declaratory relief </w:t>
      </w:r>
      <w:r w:rsidR="00B476C8" w:rsidRPr="00D16EE6">
        <w:rPr>
          <w:sz w:val="28"/>
          <w:szCs w:val="28"/>
        </w:rPr>
        <w:t>sought by Trencon</w:t>
      </w:r>
      <w:r w:rsidR="00054551" w:rsidRPr="00D16EE6">
        <w:rPr>
          <w:sz w:val="28"/>
          <w:szCs w:val="28"/>
        </w:rPr>
        <w:t xml:space="preserve"> ‘is</w:t>
      </w:r>
      <w:r w:rsidR="00B476C8" w:rsidRPr="00D16EE6">
        <w:rPr>
          <w:sz w:val="28"/>
          <w:szCs w:val="28"/>
        </w:rPr>
        <w:t xml:space="preserve"> </w:t>
      </w:r>
      <w:r w:rsidR="00DC1046" w:rsidRPr="00D16EE6">
        <w:rPr>
          <w:sz w:val="28"/>
          <w:szCs w:val="28"/>
        </w:rPr>
        <w:t xml:space="preserve">[not] </w:t>
      </w:r>
      <w:r w:rsidR="00D37EEF" w:rsidRPr="00D16EE6">
        <w:rPr>
          <w:sz w:val="28"/>
          <w:szCs w:val="28"/>
        </w:rPr>
        <w:t>overbroad</w:t>
      </w:r>
      <w:r w:rsidR="00B476C8" w:rsidRPr="00D16EE6">
        <w:rPr>
          <w:sz w:val="28"/>
          <w:szCs w:val="28"/>
        </w:rPr>
        <w:t xml:space="preserve"> and </w:t>
      </w:r>
      <w:r w:rsidR="00D37EEF" w:rsidRPr="00D16EE6">
        <w:rPr>
          <w:sz w:val="28"/>
          <w:szCs w:val="28"/>
        </w:rPr>
        <w:t xml:space="preserve">shall be limited to this application’. </w:t>
      </w:r>
      <w:r w:rsidR="00B476C8" w:rsidRPr="00D16EE6">
        <w:rPr>
          <w:sz w:val="28"/>
          <w:szCs w:val="28"/>
        </w:rPr>
        <w:t xml:space="preserve">The appellants </w:t>
      </w:r>
      <w:r w:rsidR="00B23355" w:rsidRPr="00D16EE6">
        <w:rPr>
          <w:sz w:val="28"/>
          <w:szCs w:val="28"/>
        </w:rPr>
        <w:t xml:space="preserve">did not oppose </w:t>
      </w:r>
      <w:r w:rsidR="001553B9" w:rsidRPr="00D16EE6">
        <w:rPr>
          <w:sz w:val="28"/>
          <w:szCs w:val="28"/>
        </w:rPr>
        <w:t xml:space="preserve">the application to </w:t>
      </w:r>
      <w:r w:rsidR="00F763D1" w:rsidRPr="00D16EE6">
        <w:rPr>
          <w:sz w:val="28"/>
          <w:szCs w:val="28"/>
        </w:rPr>
        <w:t>amend;</w:t>
      </w:r>
      <w:r w:rsidR="00B23355" w:rsidRPr="00D16EE6">
        <w:rPr>
          <w:sz w:val="28"/>
          <w:szCs w:val="28"/>
        </w:rPr>
        <w:t xml:space="preserve"> </w:t>
      </w:r>
      <w:r w:rsidR="00F763D1" w:rsidRPr="00D16EE6">
        <w:rPr>
          <w:sz w:val="28"/>
          <w:szCs w:val="28"/>
        </w:rPr>
        <w:t>instead,</w:t>
      </w:r>
      <w:r w:rsidR="00B23355" w:rsidRPr="00D16EE6">
        <w:rPr>
          <w:sz w:val="28"/>
          <w:szCs w:val="28"/>
        </w:rPr>
        <w:t xml:space="preserve"> they </w:t>
      </w:r>
      <w:r w:rsidR="001553B9" w:rsidRPr="00D16EE6">
        <w:rPr>
          <w:sz w:val="28"/>
          <w:szCs w:val="28"/>
        </w:rPr>
        <w:t xml:space="preserve">chose to abide </w:t>
      </w:r>
      <w:r w:rsidR="00B476C8" w:rsidRPr="00D16EE6">
        <w:rPr>
          <w:sz w:val="28"/>
          <w:szCs w:val="28"/>
        </w:rPr>
        <w:t xml:space="preserve">the </w:t>
      </w:r>
      <w:r w:rsidR="00B23355" w:rsidRPr="00D16EE6">
        <w:rPr>
          <w:sz w:val="28"/>
          <w:szCs w:val="28"/>
        </w:rPr>
        <w:t xml:space="preserve">high </w:t>
      </w:r>
      <w:r w:rsidR="00B476C8" w:rsidRPr="00D16EE6">
        <w:rPr>
          <w:sz w:val="28"/>
          <w:szCs w:val="28"/>
        </w:rPr>
        <w:t xml:space="preserve">court’s decision.  </w:t>
      </w:r>
    </w:p>
    <w:p w14:paraId="0935E2BA" w14:textId="77777777" w:rsidR="00D37EEF" w:rsidRPr="00D16EE6" w:rsidRDefault="00D37EEF" w:rsidP="00ED6DA6">
      <w:pPr>
        <w:tabs>
          <w:tab w:val="left" w:pos="0"/>
        </w:tabs>
        <w:rPr>
          <w:sz w:val="28"/>
          <w:szCs w:val="28"/>
        </w:rPr>
      </w:pPr>
    </w:p>
    <w:p w14:paraId="7347A28E" w14:textId="101B9792" w:rsidR="00BF3B94" w:rsidRPr="00D16EE6" w:rsidRDefault="00531B3A" w:rsidP="00531B3A">
      <w:pPr>
        <w:tabs>
          <w:tab w:val="left" w:pos="0"/>
        </w:tabs>
        <w:rPr>
          <w:sz w:val="28"/>
          <w:szCs w:val="28"/>
        </w:rPr>
      </w:pPr>
      <w:r w:rsidRPr="00D16EE6">
        <w:rPr>
          <w:sz w:val="28"/>
          <w:szCs w:val="28"/>
        </w:rPr>
        <w:t>[7]</w:t>
      </w:r>
      <w:r w:rsidRPr="00D16EE6">
        <w:rPr>
          <w:sz w:val="28"/>
          <w:szCs w:val="28"/>
        </w:rPr>
        <w:tab/>
      </w:r>
      <w:r w:rsidR="005E6197" w:rsidRPr="00D16EE6">
        <w:rPr>
          <w:sz w:val="28"/>
          <w:szCs w:val="28"/>
        </w:rPr>
        <w:t>On 22 November 2021, t</w:t>
      </w:r>
      <w:r w:rsidR="00D54846" w:rsidRPr="00D16EE6">
        <w:rPr>
          <w:sz w:val="28"/>
          <w:szCs w:val="28"/>
        </w:rPr>
        <w:t xml:space="preserve">he high court </w:t>
      </w:r>
      <w:r w:rsidR="001553B9" w:rsidRPr="00D16EE6">
        <w:rPr>
          <w:sz w:val="28"/>
          <w:szCs w:val="28"/>
        </w:rPr>
        <w:t xml:space="preserve">granted an </w:t>
      </w:r>
      <w:r w:rsidR="00D54846" w:rsidRPr="00D16EE6">
        <w:rPr>
          <w:sz w:val="28"/>
          <w:szCs w:val="28"/>
        </w:rPr>
        <w:t>amend</w:t>
      </w:r>
      <w:r w:rsidR="001553B9" w:rsidRPr="00D16EE6">
        <w:rPr>
          <w:sz w:val="28"/>
          <w:szCs w:val="28"/>
        </w:rPr>
        <w:t xml:space="preserve">ment of </w:t>
      </w:r>
      <w:r w:rsidR="00D54846" w:rsidRPr="00D16EE6">
        <w:rPr>
          <w:sz w:val="28"/>
          <w:szCs w:val="28"/>
        </w:rPr>
        <w:t xml:space="preserve">the order </w:t>
      </w:r>
      <w:r w:rsidR="001553B9" w:rsidRPr="00D16EE6">
        <w:rPr>
          <w:sz w:val="28"/>
          <w:szCs w:val="28"/>
        </w:rPr>
        <w:t xml:space="preserve">that </w:t>
      </w:r>
      <w:r w:rsidR="00D54846" w:rsidRPr="00D16EE6">
        <w:rPr>
          <w:sz w:val="28"/>
          <w:szCs w:val="28"/>
        </w:rPr>
        <w:t>it had given on 2</w:t>
      </w:r>
      <w:r w:rsidR="00F763D1" w:rsidRPr="00D16EE6">
        <w:rPr>
          <w:sz w:val="28"/>
          <w:szCs w:val="28"/>
        </w:rPr>
        <w:t> </w:t>
      </w:r>
      <w:r w:rsidR="00D54846" w:rsidRPr="00D16EE6">
        <w:rPr>
          <w:sz w:val="28"/>
          <w:szCs w:val="28"/>
        </w:rPr>
        <w:t>November 2021</w:t>
      </w:r>
      <w:r w:rsidR="00054551" w:rsidRPr="00D16EE6">
        <w:rPr>
          <w:sz w:val="28"/>
          <w:szCs w:val="28"/>
        </w:rPr>
        <w:t>,</w:t>
      </w:r>
      <w:r w:rsidR="00D54846" w:rsidRPr="00D16EE6">
        <w:rPr>
          <w:sz w:val="28"/>
          <w:szCs w:val="28"/>
        </w:rPr>
        <w:t xml:space="preserve"> </w:t>
      </w:r>
      <w:r w:rsidR="00054551" w:rsidRPr="00D16EE6">
        <w:rPr>
          <w:sz w:val="28"/>
          <w:szCs w:val="28"/>
        </w:rPr>
        <w:t xml:space="preserve">but </w:t>
      </w:r>
      <w:r w:rsidR="00D54846" w:rsidRPr="00D16EE6">
        <w:rPr>
          <w:sz w:val="28"/>
          <w:szCs w:val="28"/>
        </w:rPr>
        <w:t>not in the terms sought by Trencon</w:t>
      </w:r>
      <w:r w:rsidR="00465F14" w:rsidRPr="00D16EE6">
        <w:rPr>
          <w:sz w:val="28"/>
          <w:szCs w:val="28"/>
        </w:rPr>
        <w:t xml:space="preserve">. </w:t>
      </w:r>
      <w:r w:rsidR="001553B9" w:rsidRPr="00D16EE6">
        <w:rPr>
          <w:sz w:val="28"/>
          <w:szCs w:val="28"/>
        </w:rPr>
        <w:t>It issued the following order (the amended order):</w:t>
      </w:r>
    </w:p>
    <w:p w14:paraId="1E340924" w14:textId="77777777" w:rsidR="00D54846" w:rsidRPr="00D16EE6" w:rsidRDefault="00D54846" w:rsidP="00ED6DA6">
      <w:pPr>
        <w:tabs>
          <w:tab w:val="left" w:pos="0"/>
        </w:tabs>
      </w:pPr>
      <w:r w:rsidRPr="00D16EE6">
        <w:t xml:space="preserve">‘1 </w:t>
      </w:r>
      <w:r w:rsidR="00DC1046" w:rsidRPr="00D16EE6">
        <w:tab/>
      </w:r>
      <w:r w:rsidRPr="00D16EE6">
        <w:rPr>
          <w:i/>
        </w:rPr>
        <w:t>for purposes of the present application</w:t>
      </w:r>
      <w:r w:rsidRPr="00D16EE6">
        <w:t>, the second respondent</w:t>
      </w:r>
      <w:r w:rsidR="007A34BA" w:rsidRPr="00D16EE6">
        <w:t xml:space="preserve"> </w:t>
      </w:r>
      <w:r w:rsidR="00DB2FDD" w:rsidRPr="00D16EE6">
        <w:t>is an organ of state</w:t>
      </w:r>
      <w:r w:rsidR="00967584" w:rsidRPr="00D16EE6">
        <w:t xml:space="preserve"> in terms of section 239</w:t>
      </w:r>
      <w:r w:rsidR="00967584" w:rsidRPr="00D16EE6">
        <w:rPr>
          <w:i/>
        </w:rPr>
        <w:t>(b)</w:t>
      </w:r>
      <w:r w:rsidR="00967584" w:rsidRPr="00D16EE6">
        <w:t>(ii) of the Constitution.</w:t>
      </w:r>
    </w:p>
    <w:p w14:paraId="4D4F5EC1" w14:textId="32C2A879" w:rsidR="00967584" w:rsidRPr="00D16EE6" w:rsidRDefault="00967584" w:rsidP="00ED6DA6">
      <w:pPr>
        <w:tabs>
          <w:tab w:val="left" w:pos="0"/>
        </w:tabs>
        <w:rPr>
          <w:sz w:val="28"/>
          <w:szCs w:val="28"/>
        </w:rPr>
      </w:pPr>
      <w:r w:rsidRPr="00D16EE6">
        <w:t xml:space="preserve">2 </w:t>
      </w:r>
      <w:r w:rsidR="00DC1046" w:rsidRPr="00D16EE6">
        <w:tab/>
      </w:r>
      <w:r w:rsidRPr="00D16EE6">
        <w:t>save for the aforesaid order, the application is dismissed.’</w:t>
      </w:r>
      <w:r w:rsidR="002020B9" w:rsidRPr="00D16EE6">
        <w:t xml:space="preserve"> (</w:t>
      </w:r>
      <w:r w:rsidR="00263319" w:rsidRPr="00D16EE6">
        <w:t>My</w:t>
      </w:r>
      <w:r w:rsidR="002020B9" w:rsidRPr="00D16EE6">
        <w:t xml:space="preserve"> emphasis.)</w:t>
      </w:r>
      <w:r w:rsidR="00465F14" w:rsidRPr="00D16EE6">
        <w:rPr>
          <w:sz w:val="28"/>
          <w:szCs w:val="28"/>
        </w:rPr>
        <w:t xml:space="preserve"> </w:t>
      </w:r>
    </w:p>
    <w:p w14:paraId="70C60B70" w14:textId="77777777" w:rsidR="00656C0A" w:rsidRPr="00D16EE6" w:rsidRDefault="00656C0A" w:rsidP="00ED6DA6">
      <w:pPr>
        <w:tabs>
          <w:tab w:val="left" w:pos="0"/>
        </w:tabs>
      </w:pPr>
    </w:p>
    <w:p w14:paraId="78F2E02F" w14:textId="1CA8BB06" w:rsidR="00D54846" w:rsidRPr="00D16EE6" w:rsidRDefault="00531B3A" w:rsidP="00531B3A">
      <w:pPr>
        <w:tabs>
          <w:tab w:val="left" w:pos="0"/>
        </w:tabs>
        <w:rPr>
          <w:sz w:val="28"/>
          <w:szCs w:val="28"/>
        </w:rPr>
      </w:pPr>
      <w:r w:rsidRPr="00D16EE6">
        <w:rPr>
          <w:sz w:val="28"/>
          <w:szCs w:val="28"/>
        </w:rPr>
        <w:t>[8]</w:t>
      </w:r>
      <w:r w:rsidRPr="00D16EE6">
        <w:rPr>
          <w:sz w:val="28"/>
          <w:szCs w:val="28"/>
        </w:rPr>
        <w:tab/>
      </w:r>
      <w:r w:rsidR="00B23355" w:rsidRPr="00D16EE6">
        <w:rPr>
          <w:sz w:val="28"/>
          <w:szCs w:val="28"/>
        </w:rPr>
        <w:t>This</w:t>
      </w:r>
      <w:r w:rsidR="001D7999" w:rsidRPr="00D16EE6">
        <w:rPr>
          <w:sz w:val="28"/>
          <w:szCs w:val="28"/>
        </w:rPr>
        <w:t xml:space="preserve"> </w:t>
      </w:r>
      <w:r w:rsidR="00B23355" w:rsidRPr="00D16EE6">
        <w:rPr>
          <w:sz w:val="28"/>
          <w:szCs w:val="28"/>
        </w:rPr>
        <w:t>prompted the</w:t>
      </w:r>
      <w:r w:rsidR="005E6197" w:rsidRPr="00D16EE6">
        <w:rPr>
          <w:sz w:val="28"/>
          <w:szCs w:val="28"/>
        </w:rPr>
        <w:t xml:space="preserve"> appellants </w:t>
      </w:r>
      <w:r w:rsidR="00B23355" w:rsidRPr="00D16EE6">
        <w:rPr>
          <w:sz w:val="28"/>
          <w:szCs w:val="28"/>
        </w:rPr>
        <w:t xml:space="preserve">to file an application </w:t>
      </w:r>
      <w:r w:rsidR="005E6197" w:rsidRPr="00D16EE6">
        <w:rPr>
          <w:sz w:val="28"/>
          <w:szCs w:val="28"/>
        </w:rPr>
        <w:t>for leave to appeal against the amended order as well the high court’s failure</w:t>
      </w:r>
      <w:r w:rsidR="00E464FB" w:rsidRPr="00D16EE6">
        <w:rPr>
          <w:sz w:val="28"/>
          <w:szCs w:val="28"/>
        </w:rPr>
        <w:t xml:space="preserve"> to grant a costs order in their </w:t>
      </w:r>
      <w:r w:rsidR="00E464FB" w:rsidRPr="00D16EE6">
        <w:rPr>
          <w:sz w:val="28"/>
          <w:szCs w:val="28"/>
        </w:rPr>
        <w:lastRenderedPageBreak/>
        <w:t>favour</w:t>
      </w:r>
      <w:r w:rsidR="001D7999" w:rsidRPr="00D16EE6">
        <w:rPr>
          <w:sz w:val="28"/>
          <w:szCs w:val="28"/>
        </w:rPr>
        <w:t xml:space="preserve"> on 13 December 2021</w:t>
      </w:r>
      <w:r w:rsidR="00E464FB" w:rsidRPr="00D16EE6">
        <w:rPr>
          <w:sz w:val="28"/>
          <w:szCs w:val="28"/>
        </w:rPr>
        <w:t>.</w:t>
      </w:r>
      <w:r w:rsidR="008A0EF3" w:rsidRPr="00D16EE6">
        <w:rPr>
          <w:sz w:val="28"/>
          <w:szCs w:val="28"/>
        </w:rPr>
        <w:t xml:space="preserve"> </w:t>
      </w:r>
      <w:r w:rsidR="0065614C" w:rsidRPr="00D16EE6">
        <w:rPr>
          <w:sz w:val="28"/>
          <w:szCs w:val="28"/>
        </w:rPr>
        <w:t xml:space="preserve">On 31 January 2022, </w:t>
      </w:r>
      <w:r w:rsidR="008A0EF3" w:rsidRPr="00D16EE6">
        <w:rPr>
          <w:sz w:val="28"/>
          <w:szCs w:val="28"/>
        </w:rPr>
        <w:t>Trencon applied for leave to cross</w:t>
      </w:r>
      <w:r w:rsidR="00DC1046" w:rsidRPr="00D16EE6">
        <w:rPr>
          <w:sz w:val="28"/>
          <w:szCs w:val="28"/>
        </w:rPr>
        <w:t>-</w:t>
      </w:r>
      <w:r w:rsidR="008A0EF3" w:rsidRPr="00D16EE6">
        <w:rPr>
          <w:sz w:val="28"/>
          <w:szCs w:val="28"/>
        </w:rPr>
        <w:t>appeal against paragraph 2 of the amended order</w:t>
      </w:r>
      <w:r w:rsidR="002D5EA4" w:rsidRPr="00D16EE6">
        <w:rPr>
          <w:sz w:val="28"/>
          <w:szCs w:val="28"/>
        </w:rPr>
        <w:t>,</w:t>
      </w:r>
      <w:r w:rsidR="008A0EF3" w:rsidRPr="00D16EE6">
        <w:rPr>
          <w:sz w:val="28"/>
          <w:szCs w:val="28"/>
        </w:rPr>
        <w:t xml:space="preserve"> read with the original order</w:t>
      </w:r>
      <w:r w:rsidR="002D5EA4" w:rsidRPr="00D16EE6">
        <w:rPr>
          <w:sz w:val="28"/>
          <w:szCs w:val="28"/>
        </w:rPr>
        <w:t>,</w:t>
      </w:r>
      <w:r w:rsidR="008A0EF3" w:rsidRPr="00D16EE6">
        <w:rPr>
          <w:sz w:val="28"/>
          <w:szCs w:val="28"/>
        </w:rPr>
        <w:t xml:space="preserve"> dismissing the application</w:t>
      </w:r>
      <w:r w:rsidR="000B61A7" w:rsidRPr="00D16EE6">
        <w:rPr>
          <w:sz w:val="28"/>
          <w:szCs w:val="28"/>
        </w:rPr>
        <w:t xml:space="preserve"> </w:t>
      </w:r>
      <w:r w:rsidR="001553B9" w:rsidRPr="00D16EE6">
        <w:rPr>
          <w:sz w:val="28"/>
          <w:szCs w:val="28"/>
        </w:rPr>
        <w:t xml:space="preserve">as well as </w:t>
      </w:r>
      <w:r w:rsidR="0065614C" w:rsidRPr="00D16EE6">
        <w:rPr>
          <w:sz w:val="28"/>
          <w:szCs w:val="28"/>
        </w:rPr>
        <w:t xml:space="preserve">against </w:t>
      </w:r>
      <w:r w:rsidR="008A0EF3" w:rsidRPr="00D16EE6">
        <w:rPr>
          <w:sz w:val="28"/>
          <w:szCs w:val="28"/>
        </w:rPr>
        <w:t>the high court’s failure to grant costs in its favour.</w:t>
      </w:r>
      <w:r w:rsidR="00CC1E3F" w:rsidRPr="00D16EE6">
        <w:rPr>
          <w:sz w:val="28"/>
          <w:szCs w:val="28"/>
        </w:rPr>
        <w:t xml:space="preserve"> This application was accompanied by an application for condonation for the late filing of the application for leave to </w:t>
      </w:r>
      <w:r w:rsidR="00486A10" w:rsidRPr="00D16EE6">
        <w:rPr>
          <w:sz w:val="28"/>
          <w:szCs w:val="28"/>
        </w:rPr>
        <w:t>cross-</w:t>
      </w:r>
      <w:r w:rsidR="00CC1E3F" w:rsidRPr="00D16EE6">
        <w:rPr>
          <w:sz w:val="28"/>
          <w:szCs w:val="28"/>
        </w:rPr>
        <w:t>appeal.</w:t>
      </w:r>
    </w:p>
    <w:p w14:paraId="188F759F" w14:textId="77777777" w:rsidR="005A0CAA" w:rsidRPr="00D16EE6" w:rsidRDefault="005A0CAA" w:rsidP="00ED6DA6">
      <w:pPr>
        <w:tabs>
          <w:tab w:val="left" w:pos="0"/>
        </w:tabs>
        <w:rPr>
          <w:sz w:val="28"/>
          <w:szCs w:val="28"/>
        </w:rPr>
      </w:pPr>
    </w:p>
    <w:p w14:paraId="52A002B1" w14:textId="122B27F6" w:rsidR="00C91F02" w:rsidRPr="00D16EE6" w:rsidRDefault="00531B3A" w:rsidP="00531B3A">
      <w:pPr>
        <w:tabs>
          <w:tab w:val="left" w:pos="0"/>
        </w:tabs>
        <w:rPr>
          <w:color w:val="000000" w:themeColor="text1"/>
          <w:sz w:val="28"/>
          <w:szCs w:val="28"/>
        </w:rPr>
      </w:pPr>
      <w:r w:rsidRPr="00D16EE6">
        <w:rPr>
          <w:sz w:val="28"/>
          <w:szCs w:val="28"/>
        </w:rPr>
        <w:t>[9]</w:t>
      </w:r>
      <w:r w:rsidRPr="00D16EE6">
        <w:rPr>
          <w:sz w:val="28"/>
          <w:szCs w:val="28"/>
        </w:rPr>
        <w:tab/>
      </w:r>
      <w:r w:rsidR="00B21742" w:rsidRPr="00D16EE6">
        <w:rPr>
          <w:sz w:val="28"/>
          <w:szCs w:val="28"/>
        </w:rPr>
        <w:t xml:space="preserve">On 4 April </w:t>
      </w:r>
      <w:r w:rsidR="00FC7A40" w:rsidRPr="00D16EE6">
        <w:rPr>
          <w:sz w:val="28"/>
          <w:szCs w:val="28"/>
        </w:rPr>
        <w:t>2022,</w:t>
      </w:r>
      <w:r w:rsidR="00B21742" w:rsidRPr="00D16EE6">
        <w:rPr>
          <w:sz w:val="28"/>
          <w:szCs w:val="28"/>
        </w:rPr>
        <w:t xml:space="preserve"> the high court granted the appellants leave to appeal but dismissed Trencon’s application for condonation with costs. Before the hearing of the appeal, the </w:t>
      </w:r>
      <w:r w:rsidR="00FC7A40" w:rsidRPr="00D16EE6">
        <w:rPr>
          <w:sz w:val="28"/>
          <w:szCs w:val="28"/>
        </w:rPr>
        <w:t>R</w:t>
      </w:r>
      <w:r w:rsidR="000E5D45" w:rsidRPr="00D16EE6">
        <w:rPr>
          <w:sz w:val="28"/>
          <w:szCs w:val="28"/>
        </w:rPr>
        <w:t>egistrar</w:t>
      </w:r>
      <w:r w:rsidR="00FC7A40" w:rsidRPr="00D16EE6">
        <w:rPr>
          <w:sz w:val="28"/>
          <w:szCs w:val="28"/>
        </w:rPr>
        <w:t xml:space="preserve"> of this Court </w:t>
      </w:r>
      <w:r w:rsidR="00257594" w:rsidRPr="00D16EE6">
        <w:rPr>
          <w:sz w:val="28"/>
          <w:szCs w:val="28"/>
        </w:rPr>
        <w:t xml:space="preserve">was directed to </w:t>
      </w:r>
      <w:r w:rsidR="00FC7A40" w:rsidRPr="00D16EE6">
        <w:rPr>
          <w:sz w:val="28"/>
          <w:szCs w:val="28"/>
        </w:rPr>
        <w:t xml:space="preserve">dispatch the </w:t>
      </w:r>
      <w:r w:rsidR="000E5D45" w:rsidRPr="00D16EE6">
        <w:rPr>
          <w:sz w:val="28"/>
          <w:szCs w:val="28"/>
        </w:rPr>
        <w:t>following</w:t>
      </w:r>
      <w:r w:rsidR="00B21742" w:rsidRPr="00D16EE6">
        <w:rPr>
          <w:sz w:val="28"/>
          <w:szCs w:val="28"/>
        </w:rPr>
        <w:t xml:space="preserve"> note to the parties</w:t>
      </w:r>
      <w:r w:rsidR="00C91F02" w:rsidRPr="00D16EE6">
        <w:rPr>
          <w:sz w:val="28"/>
          <w:szCs w:val="28"/>
        </w:rPr>
        <w:t>:</w:t>
      </w:r>
    </w:p>
    <w:p w14:paraId="5F942767" w14:textId="77777777" w:rsidR="000E5D45" w:rsidRPr="00D16EE6" w:rsidRDefault="000E5D45" w:rsidP="00ED6DA6">
      <w:pPr>
        <w:shd w:val="clear" w:color="auto" w:fill="FFFFFF"/>
        <w:rPr>
          <w:lang w:val="en-US"/>
        </w:rPr>
      </w:pPr>
      <w:r w:rsidRPr="00D16EE6">
        <w:rPr>
          <w:lang w:val="en-US"/>
        </w:rPr>
        <w:t>‘In this matter, the high court: (a) dismissed Trencon’s review application; and, (b) ruled ‘</w:t>
      </w:r>
      <w:r w:rsidRPr="00D16EE6">
        <w:rPr>
          <w:i/>
          <w:lang w:val="en-US"/>
        </w:rPr>
        <w:t>for the purposes of the present application that the GEPF is an organ of state</w:t>
      </w:r>
      <w:r w:rsidRPr="00D16EE6">
        <w:rPr>
          <w:lang w:val="en-US"/>
        </w:rPr>
        <w:t xml:space="preserve">’. Trencon thereafter failed to obtain leave from the high court to appeal against (a), which means that this order is not open to reconsideration on appeal. Thus, even on the acceptance that the appeal by the PIC and GEPF is directed at (b), it will nonetheless be necessary, </w:t>
      </w:r>
      <w:r w:rsidRPr="00D16EE6">
        <w:rPr>
          <w:i/>
          <w:lang w:val="en-US"/>
        </w:rPr>
        <w:t>at the hearing of the appeal</w:t>
      </w:r>
      <w:r w:rsidRPr="00D16EE6">
        <w:rPr>
          <w:lang w:val="en-US"/>
        </w:rPr>
        <w:t>, for the parties to address the following:</w:t>
      </w:r>
    </w:p>
    <w:p w14:paraId="51B871DC" w14:textId="77777777" w:rsidR="000E5D45" w:rsidRPr="00D16EE6" w:rsidRDefault="000E5D45">
      <w:pPr>
        <w:shd w:val="clear" w:color="auto" w:fill="FFFFFF"/>
        <w:rPr>
          <w:lang w:val="en-US"/>
        </w:rPr>
      </w:pPr>
      <w:r w:rsidRPr="00D16EE6">
        <w:rPr>
          <w:lang w:val="en-US"/>
        </w:rPr>
        <w:t>Inasmuch as the final word has been spoken on the application, which is not susceptible to alteration on appeal:</w:t>
      </w:r>
    </w:p>
    <w:p w14:paraId="2BF4DDCA" w14:textId="01DCE433" w:rsidR="000E5D45" w:rsidRPr="00531B3A" w:rsidRDefault="00531B3A" w:rsidP="00531B3A">
      <w:pPr>
        <w:shd w:val="clear" w:color="auto" w:fill="FFFFFF"/>
        <w:rPr>
          <w:lang w:val="en-US"/>
        </w:rPr>
      </w:pPr>
      <w:r w:rsidRPr="00D16EE6">
        <w:rPr>
          <w:lang w:val="en-US"/>
        </w:rPr>
        <w:t>(i)</w:t>
      </w:r>
      <w:r w:rsidRPr="00D16EE6">
        <w:rPr>
          <w:lang w:val="en-US"/>
        </w:rPr>
        <w:tab/>
      </w:r>
      <w:r w:rsidR="000E5D45" w:rsidRPr="00531B3A">
        <w:rPr>
          <w:lang w:val="en-US"/>
        </w:rPr>
        <w:t xml:space="preserve">Is there still an existing dispute or </w:t>
      </w:r>
      <w:r w:rsidR="000E5D45" w:rsidRPr="00531B3A">
        <w:rPr>
          <w:i/>
          <w:lang w:val="en-US"/>
        </w:rPr>
        <w:t xml:space="preserve">lis </w:t>
      </w:r>
      <w:r w:rsidR="000E5D45" w:rsidRPr="00531B3A">
        <w:rPr>
          <w:lang w:val="en-US"/>
        </w:rPr>
        <w:t>between the parties upon which this court can and should exercise its appellate jurisdiction?</w:t>
      </w:r>
    </w:p>
    <w:p w14:paraId="6BED5231" w14:textId="2B531288" w:rsidR="000976EF" w:rsidRPr="00531B3A" w:rsidRDefault="00531B3A" w:rsidP="00531B3A">
      <w:pPr>
        <w:shd w:val="clear" w:color="auto" w:fill="FFFFFF"/>
        <w:rPr>
          <w:lang w:val="en-US"/>
        </w:rPr>
      </w:pPr>
      <w:r w:rsidRPr="00D16EE6">
        <w:rPr>
          <w:lang w:val="en-US"/>
        </w:rPr>
        <w:t>(ii)</w:t>
      </w:r>
      <w:r w:rsidRPr="00D16EE6">
        <w:rPr>
          <w:lang w:val="en-US"/>
        </w:rPr>
        <w:tab/>
      </w:r>
      <w:r w:rsidR="000E5D45" w:rsidRPr="00531B3A">
        <w:rPr>
          <w:lang w:val="en-US"/>
        </w:rPr>
        <w:t>Will any judgment that issues on appeal affect the rights and obligations of the parties </w:t>
      </w:r>
      <w:r w:rsidR="000E5D45" w:rsidRPr="00531B3A">
        <w:rPr>
          <w:i/>
          <w:iCs/>
          <w:lang w:val="en-US"/>
        </w:rPr>
        <w:t>inter</w:t>
      </w:r>
      <w:r w:rsidR="00C518E4" w:rsidRPr="00531B3A">
        <w:rPr>
          <w:i/>
          <w:iCs/>
          <w:lang w:val="en-US"/>
        </w:rPr>
        <w:t> </w:t>
      </w:r>
      <w:r w:rsidR="000E5D45" w:rsidRPr="00531B3A">
        <w:rPr>
          <w:i/>
          <w:iCs/>
          <w:lang w:val="en-US"/>
        </w:rPr>
        <w:t>se</w:t>
      </w:r>
      <w:r w:rsidR="000E5D45" w:rsidRPr="00531B3A">
        <w:rPr>
          <w:lang w:val="en-US"/>
        </w:rPr>
        <w:t> or have any practical effect or result as contemplated in s 16(2)</w:t>
      </w:r>
      <w:r w:rsidR="000E5D45" w:rsidRPr="00531B3A">
        <w:rPr>
          <w:i/>
          <w:iCs/>
          <w:lang w:val="en-US"/>
        </w:rPr>
        <w:t>(a)</w:t>
      </w:r>
      <w:r w:rsidR="000E5D45" w:rsidRPr="00531B3A">
        <w:rPr>
          <w:lang w:val="en-US"/>
        </w:rPr>
        <w:t>(i) of the Superior Courts Act 10 of 2013?’</w:t>
      </w:r>
      <w:r w:rsidR="000547A7" w:rsidRPr="00531B3A">
        <w:rPr>
          <w:rStyle w:val="FootnoteReference"/>
          <w:sz w:val="28"/>
          <w:szCs w:val="28"/>
        </w:rPr>
        <w:t xml:space="preserve"> </w:t>
      </w:r>
      <w:r w:rsidR="00263319" w:rsidRPr="00D16EE6">
        <w:t>(My emphasis.)</w:t>
      </w:r>
    </w:p>
    <w:p w14:paraId="0A770A67" w14:textId="77777777" w:rsidR="00D470AA" w:rsidRPr="00D16EE6" w:rsidRDefault="00D470AA" w:rsidP="00ED6DA6">
      <w:pPr>
        <w:tabs>
          <w:tab w:val="left" w:pos="0"/>
        </w:tabs>
        <w:rPr>
          <w:sz w:val="28"/>
          <w:szCs w:val="28"/>
          <w:lang w:val="en-US"/>
        </w:rPr>
      </w:pPr>
    </w:p>
    <w:p w14:paraId="13D6DAC7" w14:textId="3F310CC9" w:rsidR="00D470AA" w:rsidRPr="00D16EE6" w:rsidRDefault="00531B3A" w:rsidP="00531B3A">
      <w:pPr>
        <w:tabs>
          <w:tab w:val="left" w:pos="0"/>
        </w:tabs>
        <w:rPr>
          <w:color w:val="000000" w:themeColor="text1"/>
          <w:sz w:val="28"/>
          <w:szCs w:val="28"/>
        </w:rPr>
      </w:pPr>
      <w:r w:rsidRPr="00D16EE6">
        <w:rPr>
          <w:sz w:val="28"/>
          <w:szCs w:val="28"/>
        </w:rPr>
        <w:t>[10]</w:t>
      </w:r>
      <w:r w:rsidRPr="00D16EE6">
        <w:rPr>
          <w:sz w:val="28"/>
          <w:szCs w:val="28"/>
        </w:rPr>
        <w:tab/>
      </w:r>
      <w:r w:rsidR="00D470AA" w:rsidRPr="00D16EE6">
        <w:rPr>
          <w:sz w:val="28"/>
          <w:szCs w:val="28"/>
          <w:lang w:val="en-US"/>
        </w:rPr>
        <w:t>Section 16(2)</w:t>
      </w:r>
      <w:r w:rsidR="00D470AA" w:rsidRPr="00D16EE6">
        <w:rPr>
          <w:i/>
          <w:iCs/>
          <w:sz w:val="28"/>
          <w:szCs w:val="28"/>
          <w:lang w:val="en-US"/>
        </w:rPr>
        <w:t>(</w:t>
      </w:r>
      <w:r w:rsidR="00D470AA" w:rsidRPr="00D16EE6">
        <w:rPr>
          <w:i/>
          <w:sz w:val="28"/>
          <w:szCs w:val="28"/>
          <w:lang w:val="en-US"/>
        </w:rPr>
        <w:t>a</w:t>
      </w:r>
      <w:r w:rsidR="00D470AA" w:rsidRPr="00D16EE6">
        <w:rPr>
          <w:i/>
          <w:iCs/>
          <w:sz w:val="28"/>
          <w:szCs w:val="28"/>
          <w:lang w:val="en-US"/>
        </w:rPr>
        <w:t>)</w:t>
      </w:r>
      <w:r w:rsidR="00D470AA" w:rsidRPr="00D16EE6">
        <w:rPr>
          <w:sz w:val="28"/>
          <w:szCs w:val="28"/>
          <w:lang w:val="en-US"/>
        </w:rPr>
        <w:t>(i) of the Superior Courts Act 10 of 2013 (Superior Courts Act) provides that:</w:t>
      </w:r>
    </w:p>
    <w:p w14:paraId="3493B11A" w14:textId="77777777" w:rsidR="00D470AA" w:rsidRPr="00D16EE6" w:rsidRDefault="00D470AA" w:rsidP="00ED6DA6">
      <w:pPr>
        <w:tabs>
          <w:tab w:val="left" w:pos="0"/>
        </w:tabs>
        <w:rPr>
          <w:color w:val="000000" w:themeColor="text1"/>
        </w:rPr>
      </w:pPr>
      <w:r w:rsidRPr="00D16EE6">
        <w:rPr>
          <w:lang w:val="en-US"/>
        </w:rPr>
        <w:t>‘When at the hearing of an appeal the issues are of such a nature that the decision sought will have no practical effect or result, the appeal may be dismissed on this ground alone.’</w:t>
      </w:r>
    </w:p>
    <w:p w14:paraId="20FDFDC0" w14:textId="77777777" w:rsidR="00D470AA" w:rsidRPr="00D16EE6" w:rsidRDefault="00D470AA" w:rsidP="00ED6DA6">
      <w:pPr>
        <w:tabs>
          <w:tab w:val="left" w:pos="0"/>
        </w:tabs>
        <w:rPr>
          <w:color w:val="000000" w:themeColor="text1"/>
          <w:sz w:val="28"/>
          <w:szCs w:val="28"/>
        </w:rPr>
      </w:pPr>
    </w:p>
    <w:p w14:paraId="4AFC7748" w14:textId="20282570" w:rsidR="00E43A92" w:rsidRPr="00D16EE6" w:rsidRDefault="00531B3A" w:rsidP="00531B3A">
      <w:pPr>
        <w:tabs>
          <w:tab w:val="left" w:pos="0"/>
        </w:tabs>
        <w:rPr>
          <w:color w:val="000000" w:themeColor="text1"/>
          <w:sz w:val="28"/>
          <w:szCs w:val="28"/>
        </w:rPr>
      </w:pPr>
      <w:r w:rsidRPr="00D16EE6">
        <w:rPr>
          <w:sz w:val="28"/>
          <w:szCs w:val="28"/>
        </w:rPr>
        <w:t>[11]</w:t>
      </w:r>
      <w:r w:rsidRPr="00D16EE6">
        <w:rPr>
          <w:sz w:val="28"/>
          <w:szCs w:val="28"/>
        </w:rPr>
        <w:tab/>
      </w:r>
      <w:r w:rsidR="004633A4" w:rsidRPr="00D16EE6">
        <w:rPr>
          <w:sz w:val="28"/>
          <w:szCs w:val="28"/>
        </w:rPr>
        <w:t>Both parties filed supplementary heads</w:t>
      </w:r>
      <w:r w:rsidR="00CB3F0B" w:rsidRPr="00D16EE6">
        <w:rPr>
          <w:sz w:val="28"/>
          <w:szCs w:val="28"/>
        </w:rPr>
        <w:t xml:space="preserve"> of argument</w:t>
      </w:r>
      <w:r w:rsidR="000547A7" w:rsidRPr="00D16EE6">
        <w:rPr>
          <w:sz w:val="28"/>
          <w:szCs w:val="28"/>
        </w:rPr>
        <w:t xml:space="preserve"> in response to the </w:t>
      </w:r>
      <w:r w:rsidR="00257594" w:rsidRPr="00D16EE6">
        <w:rPr>
          <w:sz w:val="28"/>
          <w:szCs w:val="28"/>
        </w:rPr>
        <w:t xml:space="preserve">note from the </w:t>
      </w:r>
      <w:r w:rsidR="002020B9" w:rsidRPr="00D16EE6">
        <w:rPr>
          <w:sz w:val="28"/>
          <w:szCs w:val="28"/>
        </w:rPr>
        <w:t>R</w:t>
      </w:r>
      <w:r w:rsidR="000547A7" w:rsidRPr="00D16EE6">
        <w:rPr>
          <w:sz w:val="28"/>
          <w:szCs w:val="28"/>
        </w:rPr>
        <w:t>egistrar</w:t>
      </w:r>
      <w:r w:rsidR="00257594" w:rsidRPr="00D16EE6">
        <w:rPr>
          <w:sz w:val="28"/>
          <w:szCs w:val="28"/>
        </w:rPr>
        <w:t>.</w:t>
      </w:r>
      <w:r w:rsidR="000B61A7" w:rsidRPr="00D16EE6">
        <w:rPr>
          <w:sz w:val="28"/>
          <w:szCs w:val="28"/>
        </w:rPr>
        <w:t xml:space="preserve"> </w:t>
      </w:r>
      <w:r w:rsidR="00257594" w:rsidRPr="00D16EE6">
        <w:rPr>
          <w:sz w:val="28"/>
          <w:szCs w:val="28"/>
        </w:rPr>
        <w:t>T</w:t>
      </w:r>
      <w:r w:rsidR="000E5D45" w:rsidRPr="00D16EE6">
        <w:rPr>
          <w:sz w:val="28"/>
          <w:szCs w:val="28"/>
        </w:rPr>
        <w:t>he appellants contended that the legal question regarding the status of the GEPF arose independent</w:t>
      </w:r>
      <w:r w:rsidR="00257594" w:rsidRPr="00D16EE6">
        <w:rPr>
          <w:sz w:val="28"/>
          <w:szCs w:val="28"/>
        </w:rPr>
        <w:t>ly of</w:t>
      </w:r>
      <w:r w:rsidR="000E5D45" w:rsidRPr="00D16EE6">
        <w:rPr>
          <w:sz w:val="28"/>
          <w:szCs w:val="28"/>
        </w:rPr>
        <w:t xml:space="preserve"> the review </w:t>
      </w:r>
      <w:r w:rsidR="00257594" w:rsidRPr="00D16EE6">
        <w:rPr>
          <w:sz w:val="28"/>
          <w:szCs w:val="28"/>
        </w:rPr>
        <w:t xml:space="preserve">relief </w:t>
      </w:r>
      <w:r w:rsidR="000E5D45" w:rsidRPr="00D16EE6">
        <w:rPr>
          <w:sz w:val="28"/>
          <w:szCs w:val="28"/>
        </w:rPr>
        <w:t>claim</w:t>
      </w:r>
      <w:r w:rsidR="00257594" w:rsidRPr="00D16EE6">
        <w:rPr>
          <w:sz w:val="28"/>
          <w:szCs w:val="28"/>
        </w:rPr>
        <w:t>ed</w:t>
      </w:r>
      <w:r w:rsidR="000E5D45" w:rsidRPr="00D16EE6">
        <w:rPr>
          <w:sz w:val="28"/>
          <w:szCs w:val="28"/>
        </w:rPr>
        <w:t xml:space="preserve"> in the notice of motion. </w:t>
      </w:r>
      <w:r w:rsidR="00FC7A40" w:rsidRPr="00D16EE6">
        <w:rPr>
          <w:sz w:val="28"/>
          <w:szCs w:val="28"/>
        </w:rPr>
        <w:t>This</w:t>
      </w:r>
      <w:r w:rsidR="0065614C" w:rsidRPr="00D16EE6">
        <w:rPr>
          <w:sz w:val="28"/>
          <w:szCs w:val="28"/>
        </w:rPr>
        <w:t xml:space="preserve">, in </w:t>
      </w:r>
      <w:r w:rsidR="00402570" w:rsidRPr="00D16EE6">
        <w:rPr>
          <w:sz w:val="28"/>
          <w:szCs w:val="28"/>
        </w:rPr>
        <w:t>their</w:t>
      </w:r>
      <w:r w:rsidR="0065614C" w:rsidRPr="00D16EE6">
        <w:rPr>
          <w:sz w:val="28"/>
          <w:szCs w:val="28"/>
        </w:rPr>
        <w:t xml:space="preserve"> view, </w:t>
      </w:r>
      <w:r w:rsidR="00FC7A40" w:rsidRPr="00D16EE6">
        <w:rPr>
          <w:sz w:val="28"/>
          <w:szCs w:val="28"/>
        </w:rPr>
        <w:t>ha</w:t>
      </w:r>
      <w:r w:rsidR="0065614C" w:rsidRPr="00D16EE6">
        <w:rPr>
          <w:sz w:val="28"/>
          <w:szCs w:val="28"/>
        </w:rPr>
        <w:t>d</w:t>
      </w:r>
      <w:r w:rsidR="00FC7A40" w:rsidRPr="00D16EE6">
        <w:rPr>
          <w:sz w:val="28"/>
          <w:szCs w:val="28"/>
        </w:rPr>
        <w:t xml:space="preserve"> implications for the GEPF because it </w:t>
      </w:r>
      <w:r w:rsidR="0065614C" w:rsidRPr="00D16EE6">
        <w:rPr>
          <w:sz w:val="28"/>
          <w:szCs w:val="28"/>
        </w:rPr>
        <w:t xml:space="preserve">informed </w:t>
      </w:r>
      <w:r w:rsidR="00FC7A40" w:rsidRPr="00D16EE6">
        <w:rPr>
          <w:sz w:val="28"/>
          <w:szCs w:val="28"/>
        </w:rPr>
        <w:t xml:space="preserve">how it </w:t>
      </w:r>
      <w:r w:rsidR="00257594" w:rsidRPr="00D16EE6">
        <w:rPr>
          <w:sz w:val="28"/>
          <w:szCs w:val="28"/>
        </w:rPr>
        <w:t xml:space="preserve">had to </w:t>
      </w:r>
      <w:r w:rsidR="00FC7A40" w:rsidRPr="00D16EE6">
        <w:rPr>
          <w:sz w:val="28"/>
          <w:szCs w:val="28"/>
        </w:rPr>
        <w:t xml:space="preserve">conduct itself going forward. </w:t>
      </w:r>
      <w:r w:rsidR="00B92455" w:rsidRPr="00D16EE6">
        <w:rPr>
          <w:sz w:val="28"/>
          <w:szCs w:val="28"/>
        </w:rPr>
        <w:t xml:space="preserve">Therefore, a dispute still existed between the parties upon which this </w:t>
      </w:r>
      <w:r w:rsidR="00FC7A40" w:rsidRPr="00D16EE6">
        <w:rPr>
          <w:sz w:val="28"/>
          <w:szCs w:val="28"/>
        </w:rPr>
        <w:t>C</w:t>
      </w:r>
      <w:r w:rsidR="00B92455" w:rsidRPr="00D16EE6">
        <w:rPr>
          <w:sz w:val="28"/>
          <w:szCs w:val="28"/>
        </w:rPr>
        <w:t xml:space="preserve">ourt </w:t>
      </w:r>
      <w:r w:rsidR="00257594" w:rsidRPr="00D16EE6">
        <w:rPr>
          <w:sz w:val="28"/>
          <w:szCs w:val="28"/>
        </w:rPr>
        <w:t xml:space="preserve">was required to </w:t>
      </w:r>
      <w:r w:rsidR="00B92455" w:rsidRPr="00D16EE6">
        <w:rPr>
          <w:sz w:val="28"/>
          <w:szCs w:val="28"/>
        </w:rPr>
        <w:t xml:space="preserve">exercise its appellate jurisdiction. </w:t>
      </w:r>
    </w:p>
    <w:p w14:paraId="5278D867" w14:textId="77777777" w:rsidR="0065614C" w:rsidRPr="00D16EE6" w:rsidRDefault="0065614C" w:rsidP="00ED6DA6">
      <w:pPr>
        <w:tabs>
          <w:tab w:val="left" w:pos="0"/>
        </w:tabs>
        <w:rPr>
          <w:color w:val="000000" w:themeColor="text1"/>
          <w:sz w:val="28"/>
          <w:szCs w:val="28"/>
        </w:rPr>
      </w:pPr>
    </w:p>
    <w:p w14:paraId="0112B9B2" w14:textId="78CE5F3A" w:rsidR="00FC7A40" w:rsidRPr="00D16EE6" w:rsidRDefault="00531B3A" w:rsidP="00531B3A">
      <w:pPr>
        <w:tabs>
          <w:tab w:val="left" w:pos="0"/>
        </w:tabs>
        <w:rPr>
          <w:sz w:val="28"/>
          <w:szCs w:val="28"/>
        </w:rPr>
      </w:pPr>
      <w:r w:rsidRPr="00D16EE6">
        <w:rPr>
          <w:sz w:val="28"/>
          <w:szCs w:val="28"/>
        </w:rPr>
        <w:t>[12]</w:t>
      </w:r>
      <w:r w:rsidRPr="00D16EE6">
        <w:rPr>
          <w:sz w:val="28"/>
          <w:szCs w:val="28"/>
        </w:rPr>
        <w:tab/>
      </w:r>
      <w:r w:rsidR="003D0444" w:rsidRPr="00D16EE6">
        <w:rPr>
          <w:sz w:val="28"/>
          <w:szCs w:val="28"/>
        </w:rPr>
        <w:t xml:space="preserve">It is </w:t>
      </w:r>
      <w:r w:rsidR="00343DB2" w:rsidRPr="00D16EE6">
        <w:rPr>
          <w:sz w:val="28"/>
          <w:szCs w:val="28"/>
        </w:rPr>
        <w:t>well established</w:t>
      </w:r>
      <w:r w:rsidR="003D0444" w:rsidRPr="00D16EE6">
        <w:rPr>
          <w:sz w:val="28"/>
          <w:szCs w:val="28"/>
        </w:rPr>
        <w:t xml:space="preserve"> in our law that ‘o</w:t>
      </w:r>
      <w:r w:rsidR="000568E5" w:rsidRPr="00D16EE6">
        <w:rPr>
          <w:sz w:val="28"/>
          <w:szCs w:val="28"/>
        </w:rPr>
        <w:t xml:space="preserve">nce </w:t>
      </w:r>
      <w:r w:rsidR="00191FCE" w:rsidRPr="00D16EE6">
        <w:rPr>
          <w:sz w:val="28"/>
          <w:szCs w:val="28"/>
        </w:rPr>
        <w:t xml:space="preserve">a court has </w:t>
      </w:r>
      <w:r w:rsidR="00E84A7E" w:rsidRPr="00D16EE6">
        <w:rPr>
          <w:sz w:val="28"/>
          <w:szCs w:val="28"/>
        </w:rPr>
        <w:t xml:space="preserve">duly </w:t>
      </w:r>
      <w:r w:rsidR="00191FCE" w:rsidRPr="00D16EE6">
        <w:rPr>
          <w:sz w:val="28"/>
          <w:szCs w:val="28"/>
        </w:rPr>
        <w:t>pronounced a final judgment or order, it has itself no authority to correct, alter or supplement it</w:t>
      </w:r>
      <w:r w:rsidR="003D0444" w:rsidRPr="00D16EE6">
        <w:rPr>
          <w:sz w:val="28"/>
          <w:szCs w:val="28"/>
        </w:rPr>
        <w:t>.</w:t>
      </w:r>
      <w:r w:rsidR="00191FCE" w:rsidRPr="00D16EE6">
        <w:rPr>
          <w:sz w:val="28"/>
          <w:szCs w:val="28"/>
        </w:rPr>
        <w:t xml:space="preserve"> </w:t>
      </w:r>
      <w:r w:rsidR="003D0444" w:rsidRPr="00D16EE6">
        <w:rPr>
          <w:sz w:val="28"/>
          <w:szCs w:val="28"/>
        </w:rPr>
        <w:t>The reason is that it thereupon becomes </w:t>
      </w:r>
      <w:r w:rsidR="003D0444" w:rsidRPr="00D16EE6">
        <w:rPr>
          <w:i/>
          <w:iCs/>
          <w:sz w:val="28"/>
          <w:szCs w:val="28"/>
        </w:rPr>
        <w:t>functus officio</w:t>
      </w:r>
      <w:r w:rsidR="003D0444" w:rsidRPr="00D16EE6">
        <w:rPr>
          <w:sz w:val="28"/>
          <w:szCs w:val="28"/>
        </w:rPr>
        <w:t>: its jurisdiction in the case having been fully and finally exercised, its authority over the subject-matter has</w:t>
      </w:r>
      <w:r w:rsidR="00343DB2" w:rsidRPr="00D16EE6">
        <w:rPr>
          <w:sz w:val="28"/>
          <w:szCs w:val="28"/>
        </w:rPr>
        <w:t> ceased</w:t>
      </w:r>
      <w:r w:rsidR="003D0444" w:rsidRPr="00D16EE6">
        <w:rPr>
          <w:sz w:val="28"/>
          <w:szCs w:val="28"/>
        </w:rPr>
        <w:t>’</w:t>
      </w:r>
      <w:r w:rsidR="00E84A7E" w:rsidRPr="00D16EE6">
        <w:rPr>
          <w:sz w:val="28"/>
          <w:szCs w:val="28"/>
        </w:rPr>
        <w:t>.</w:t>
      </w:r>
      <w:r w:rsidR="00343DB2" w:rsidRPr="00D16EE6">
        <w:rPr>
          <w:rStyle w:val="FootnoteReference"/>
          <w:sz w:val="28"/>
          <w:szCs w:val="28"/>
        </w:rPr>
        <w:footnoteReference w:id="3"/>
      </w:r>
      <w:r w:rsidR="002A347E" w:rsidRPr="00D16EE6">
        <w:rPr>
          <w:sz w:val="28"/>
          <w:szCs w:val="28"/>
        </w:rPr>
        <w:t xml:space="preserve"> </w:t>
      </w:r>
    </w:p>
    <w:p w14:paraId="466A7FB6" w14:textId="77777777" w:rsidR="002A347E" w:rsidRPr="00D16EE6" w:rsidRDefault="002A347E" w:rsidP="00ED6DA6">
      <w:pPr>
        <w:pStyle w:val="ListParagraph"/>
        <w:rPr>
          <w:sz w:val="28"/>
          <w:szCs w:val="28"/>
        </w:rPr>
      </w:pPr>
    </w:p>
    <w:p w14:paraId="7EB23CBC" w14:textId="39AB399F" w:rsidR="003D504D" w:rsidRPr="00D16EE6" w:rsidRDefault="00531B3A" w:rsidP="00531B3A">
      <w:pPr>
        <w:tabs>
          <w:tab w:val="left" w:pos="0"/>
        </w:tabs>
        <w:rPr>
          <w:sz w:val="28"/>
          <w:szCs w:val="28"/>
        </w:rPr>
      </w:pPr>
      <w:r w:rsidRPr="00D16EE6">
        <w:rPr>
          <w:sz w:val="28"/>
          <w:szCs w:val="28"/>
        </w:rPr>
        <w:t>[13]</w:t>
      </w:r>
      <w:r w:rsidRPr="00D16EE6">
        <w:rPr>
          <w:sz w:val="28"/>
          <w:szCs w:val="28"/>
        </w:rPr>
        <w:tab/>
      </w:r>
      <w:r w:rsidR="002A347E" w:rsidRPr="00D16EE6">
        <w:rPr>
          <w:sz w:val="28"/>
          <w:szCs w:val="28"/>
        </w:rPr>
        <w:t xml:space="preserve">There are </w:t>
      </w:r>
      <w:r w:rsidR="002D5EA4" w:rsidRPr="00D16EE6">
        <w:rPr>
          <w:sz w:val="28"/>
          <w:szCs w:val="28"/>
        </w:rPr>
        <w:t xml:space="preserve">a </w:t>
      </w:r>
      <w:r w:rsidR="002A347E" w:rsidRPr="00D16EE6">
        <w:rPr>
          <w:sz w:val="28"/>
          <w:szCs w:val="28"/>
        </w:rPr>
        <w:t>few exceptions to this rule</w:t>
      </w:r>
      <w:r w:rsidR="000976EF" w:rsidRPr="00D16EE6">
        <w:rPr>
          <w:sz w:val="28"/>
          <w:szCs w:val="28"/>
        </w:rPr>
        <w:t>. A</w:t>
      </w:r>
      <w:r w:rsidR="006C6E54" w:rsidRPr="00D16EE6">
        <w:rPr>
          <w:sz w:val="28"/>
          <w:szCs w:val="28"/>
        </w:rPr>
        <w:t xml:space="preserve"> court may within the contemplation of rule 42,</w:t>
      </w:r>
      <w:r w:rsidR="000976EF" w:rsidRPr="00D16EE6">
        <w:rPr>
          <w:sz w:val="28"/>
          <w:szCs w:val="28"/>
        </w:rPr>
        <w:t xml:space="preserve"> for example</w:t>
      </w:r>
      <w:r w:rsidR="007941D4" w:rsidRPr="00D16EE6">
        <w:rPr>
          <w:sz w:val="28"/>
          <w:szCs w:val="28"/>
        </w:rPr>
        <w:t>,</w:t>
      </w:r>
      <w:r w:rsidR="006C6E54" w:rsidRPr="00D16EE6">
        <w:rPr>
          <w:sz w:val="28"/>
          <w:szCs w:val="28"/>
        </w:rPr>
        <w:t xml:space="preserve"> (a) clarify its judgment, if it is ambiguous or uncertain</w:t>
      </w:r>
      <w:r w:rsidR="00A30F7E" w:rsidRPr="00D16EE6">
        <w:rPr>
          <w:color w:val="000000"/>
          <w:sz w:val="28"/>
          <w:szCs w:val="28"/>
        </w:rPr>
        <w:t> to give effect to its true intention</w:t>
      </w:r>
      <w:r w:rsidR="007941D4" w:rsidRPr="00D16EE6">
        <w:rPr>
          <w:color w:val="000000"/>
          <w:sz w:val="28"/>
          <w:szCs w:val="28"/>
        </w:rPr>
        <w:t>,</w:t>
      </w:r>
      <w:r w:rsidR="00A30F7E" w:rsidRPr="00D16EE6">
        <w:rPr>
          <w:sz w:val="28"/>
          <w:szCs w:val="28"/>
        </w:rPr>
        <w:t xml:space="preserve"> </w:t>
      </w:r>
      <w:r w:rsidR="006C6E54" w:rsidRPr="00D16EE6">
        <w:rPr>
          <w:sz w:val="28"/>
          <w:szCs w:val="28"/>
        </w:rPr>
        <w:t>but it may not alter the sense and the substance of the judgment</w:t>
      </w:r>
      <w:r w:rsidR="007941D4" w:rsidRPr="00D16EE6">
        <w:rPr>
          <w:rStyle w:val="FootnoteReference"/>
          <w:sz w:val="28"/>
          <w:szCs w:val="28"/>
        </w:rPr>
        <w:footnoteReference w:id="4"/>
      </w:r>
      <w:r w:rsidR="007C5760" w:rsidRPr="00D16EE6">
        <w:rPr>
          <w:sz w:val="28"/>
          <w:szCs w:val="28"/>
        </w:rPr>
        <w:t xml:space="preserve"> or</w:t>
      </w:r>
      <w:r w:rsidR="006C6E54" w:rsidRPr="00D16EE6">
        <w:rPr>
          <w:sz w:val="28"/>
          <w:szCs w:val="28"/>
        </w:rPr>
        <w:t xml:space="preserve"> </w:t>
      </w:r>
      <w:r w:rsidR="007C5760" w:rsidRPr="00D16EE6">
        <w:rPr>
          <w:sz w:val="28"/>
          <w:szCs w:val="28"/>
        </w:rPr>
        <w:t xml:space="preserve">(b) correct a </w:t>
      </w:r>
      <w:r w:rsidR="007C5760" w:rsidRPr="00D16EE6">
        <w:rPr>
          <w:color w:val="000000"/>
          <w:sz w:val="28"/>
          <w:szCs w:val="28"/>
          <w:lang w:val="en-US"/>
        </w:rPr>
        <w:t>clerical, arithmetical or other error in it</w:t>
      </w:r>
      <w:r w:rsidR="00B970A1" w:rsidRPr="00D16EE6">
        <w:rPr>
          <w:color w:val="000000"/>
          <w:sz w:val="28"/>
          <w:szCs w:val="28"/>
          <w:lang w:val="en-US"/>
        </w:rPr>
        <w:t>s</w:t>
      </w:r>
      <w:r w:rsidR="007C5760" w:rsidRPr="00D16EE6">
        <w:rPr>
          <w:color w:val="000000"/>
          <w:sz w:val="28"/>
          <w:szCs w:val="28"/>
          <w:lang w:val="en-US"/>
        </w:rPr>
        <w:t xml:space="preserve"> judgment or order so as to give effect to its true intention</w:t>
      </w:r>
      <w:r w:rsidR="007C5760" w:rsidRPr="00D16EE6">
        <w:rPr>
          <w:rStyle w:val="FootnoteReference"/>
          <w:color w:val="000000"/>
          <w:sz w:val="28"/>
          <w:szCs w:val="28"/>
          <w:lang w:val="en-US"/>
        </w:rPr>
        <w:footnoteReference w:id="5"/>
      </w:r>
      <w:r w:rsidR="007C5760" w:rsidRPr="00D16EE6">
        <w:rPr>
          <w:color w:val="000000"/>
          <w:sz w:val="28"/>
          <w:szCs w:val="28"/>
          <w:lang w:val="en-US"/>
        </w:rPr>
        <w:t xml:space="preserve"> </w:t>
      </w:r>
      <w:r w:rsidR="000976EF" w:rsidRPr="00D16EE6">
        <w:rPr>
          <w:color w:val="000000"/>
          <w:sz w:val="28"/>
          <w:szCs w:val="28"/>
          <w:lang w:val="en-US"/>
        </w:rPr>
        <w:t xml:space="preserve">or (c) </w:t>
      </w:r>
      <w:r w:rsidR="00666ED2" w:rsidRPr="00D16EE6">
        <w:rPr>
          <w:color w:val="000000"/>
          <w:sz w:val="28"/>
          <w:szCs w:val="28"/>
          <w:lang w:val="en-US"/>
        </w:rPr>
        <w:t xml:space="preserve">supplement the judgment </w:t>
      </w:r>
      <w:r w:rsidR="007C5760" w:rsidRPr="00D16EE6">
        <w:rPr>
          <w:color w:val="000000"/>
          <w:sz w:val="28"/>
          <w:szCs w:val="28"/>
        </w:rPr>
        <w:t>in respect of</w:t>
      </w:r>
      <w:r w:rsidR="007C5760" w:rsidRPr="00D16EE6">
        <w:rPr>
          <w:rFonts w:ascii="Verdana" w:hAnsi="Verdana"/>
          <w:color w:val="000000"/>
          <w:sz w:val="20"/>
          <w:szCs w:val="20"/>
        </w:rPr>
        <w:t xml:space="preserve"> </w:t>
      </w:r>
      <w:r w:rsidR="007C5760" w:rsidRPr="00D16EE6">
        <w:rPr>
          <w:color w:val="000000"/>
          <w:sz w:val="28"/>
          <w:szCs w:val="28"/>
        </w:rPr>
        <w:t>accessory or consequential matters, such as costs and interest</w:t>
      </w:r>
      <w:r w:rsidR="004B651C" w:rsidRPr="00D16EE6">
        <w:rPr>
          <w:color w:val="000000"/>
          <w:sz w:val="28"/>
          <w:szCs w:val="28"/>
        </w:rPr>
        <w:t xml:space="preserve"> on a judgment debt</w:t>
      </w:r>
      <w:r w:rsidR="007C5760" w:rsidRPr="00D16EE6">
        <w:rPr>
          <w:color w:val="000000"/>
          <w:sz w:val="28"/>
          <w:szCs w:val="28"/>
        </w:rPr>
        <w:t>, it had overlooked</w:t>
      </w:r>
      <w:r w:rsidR="004B651C" w:rsidRPr="00D16EE6">
        <w:rPr>
          <w:color w:val="000000"/>
          <w:sz w:val="28"/>
          <w:szCs w:val="28"/>
        </w:rPr>
        <w:t xml:space="preserve"> or inadvertently omitted to grant</w:t>
      </w:r>
      <w:r w:rsidR="007C5760" w:rsidRPr="00D16EE6">
        <w:rPr>
          <w:color w:val="000000"/>
          <w:sz w:val="28"/>
          <w:szCs w:val="28"/>
        </w:rPr>
        <w:t>.</w:t>
      </w:r>
      <w:r w:rsidR="007C5760" w:rsidRPr="00D16EE6">
        <w:rPr>
          <w:rStyle w:val="FootnoteReference"/>
          <w:color w:val="000000"/>
          <w:sz w:val="28"/>
          <w:szCs w:val="28"/>
        </w:rPr>
        <w:footnoteReference w:id="6"/>
      </w:r>
      <w:r w:rsidR="007C5760" w:rsidRPr="00D16EE6">
        <w:rPr>
          <w:color w:val="000000"/>
          <w:sz w:val="28"/>
          <w:szCs w:val="28"/>
        </w:rPr>
        <w:t xml:space="preserve"> </w:t>
      </w:r>
      <w:r w:rsidR="00BA7054" w:rsidRPr="00D16EE6">
        <w:rPr>
          <w:color w:val="000000"/>
          <w:sz w:val="28"/>
          <w:szCs w:val="28"/>
        </w:rPr>
        <w:t xml:space="preserve">This does not equate to altering a definitive order once pronounced. </w:t>
      </w:r>
    </w:p>
    <w:p w14:paraId="16D0F8E0" w14:textId="77777777" w:rsidR="003D504D" w:rsidRPr="00D16EE6" w:rsidRDefault="003D504D" w:rsidP="00ED6DA6">
      <w:pPr>
        <w:pStyle w:val="ListParagraph"/>
        <w:rPr>
          <w:sz w:val="28"/>
          <w:szCs w:val="28"/>
        </w:rPr>
      </w:pPr>
    </w:p>
    <w:p w14:paraId="69E87786" w14:textId="57858E26" w:rsidR="00D470AA" w:rsidRPr="00D16EE6" w:rsidRDefault="00531B3A" w:rsidP="00531B3A">
      <w:pPr>
        <w:tabs>
          <w:tab w:val="left" w:pos="0"/>
        </w:tabs>
        <w:rPr>
          <w:sz w:val="28"/>
          <w:szCs w:val="28"/>
        </w:rPr>
      </w:pPr>
      <w:r w:rsidRPr="00D16EE6">
        <w:rPr>
          <w:sz w:val="28"/>
          <w:szCs w:val="28"/>
        </w:rPr>
        <w:lastRenderedPageBreak/>
        <w:t>[14]</w:t>
      </w:r>
      <w:r w:rsidRPr="00D16EE6">
        <w:rPr>
          <w:sz w:val="28"/>
          <w:szCs w:val="28"/>
        </w:rPr>
        <w:tab/>
      </w:r>
      <w:r w:rsidR="00EA0E3B" w:rsidRPr="00D16EE6">
        <w:rPr>
          <w:sz w:val="28"/>
          <w:szCs w:val="28"/>
        </w:rPr>
        <w:t xml:space="preserve">These exceptions were not applicable in </w:t>
      </w:r>
      <w:r w:rsidR="00257594" w:rsidRPr="00D16EE6">
        <w:rPr>
          <w:sz w:val="28"/>
          <w:szCs w:val="28"/>
        </w:rPr>
        <w:t xml:space="preserve">this </w:t>
      </w:r>
      <w:r w:rsidR="00EA0E3B" w:rsidRPr="00D16EE6">
        <w:rPr>
          <w:sz w:val="28"/>
          <w:szCs w:val="28"/>
        </w:rPr>
        <w:t>matter</w:t>
      </w:r>
      <w:r w:rsidR="00257594" w:rsidRPr="00D16EE6">
        <w:rPr>
          <w:sz w:val="28"/>
          <w:szCs w:val="28"/>
        </w:rPr>
        <w:t>.</w:t>
      </w:r>
      <w:r w:rsidR="00EA0E3B" w:rsidRPr="00D16EE6">
        <w:rPr>
          <w:sz w:val="28"/>
          <w:szCs w:val="28"/>
        </w:rPr>
        <w:t xml:space="preserve"> </w:t>
      </w:r>
      <w:r w:rsidR="00D470AA" w:rsidRPr="00D16EE6">
        <w:rPr>
          <w:sz w:val="28"/>
          <w:szCs w:val="28"/>
        </w:rPr>
        <w:t xml:space="preserve">The </w:t>
      </w:r>
      <w:r w:rsidR="002560D1" w:rsidRPr="00D16EE6">
        <w:rPr>
          <w:sz w:val="28"/>
          <w:szCs w:val="28"/>
        </w:rPr>
        <w:t xml:space="preserve">high </w:t>
      </w:r>
      <w:r w:rsidR="00D470AA" w:rsidRPr="00D16EE6">
        <w:rPr>
          <w:sz w:val="28"/>
          <w:szCs w:val="28"/>
        </w:rPr>
        <w:t>court</w:t>
      </w:r>
      <w:r w:rsidR="00257594" w:rsidRPr="00D16EE6">
        <w:rPr>
          <w:sz w:val="28"/>
          <w:szCs w:val="28"/>
        </w:rPr>
        <w:t xml:space="preserve"> dismissed the application</w:t>
      </w:r>
      <w:r w:rsidR="00845A23" w:rsidRPr="00D16EE6">
        <w:rPr>
          <w:sz w:val="28"/>
          <w:szCs w:val="28"/>
        </w:rPr>
        <w:t>.</w:t>
      </w:r>
      <w:r w:rsidR="00447FCA" w:rsidRPr="00D16EE6">
        <w:rPr>
          <w:sz w:val="28"/>
          <w:szCs w:val="28"/>
        </w:rPr>
        <w:t xml:space="preserve"> That </w:t>
      </w:r>
      <w:r w:rsidR="00D470AA" w:rsidRPr="00D16EE6">
        <w:rPr>
          <w:sz w:val="28"/>
          <w:szCs w:val="28"/>
        </w:rPr>
        <w:t>should have been</w:t>
      </w:r>
      <w:r w:rsidR="00447FCA" w:rsidRPr="00D16EE6">
        <w:rPr>
          <w:sz w:val="28"/>
          <w:szCs w:val="28"/>
        </w:rPr>
        <w:t xml:space="preserve"> the end of the matter. </w:t>
      </w:r>
      <w:r w:rsidR="00D470AA" w:rsidRPr="00D16EE6">
        <w:rPr>
          <w:sz w:val="28"/>
          <w:szCs w:val="28"/>
        </w:rPr>
        <w:t xml:space="preserve">The high court unfortunately did not engage with this issue. Nowhere did it deal with whether Trencon had brought itself within </w:t>
      </w:r>
      <w:r w:rsidR="00842ACC" w:rsidRPr="00D16EE6">
        <w:rPr>
          <w:sz w:val="28"/>
          <w:szCs w:val="28"/>
        </w:rPr>
        <w:t>r</w:t>
      </w:r>
      <w:r w:rsidR="00D470AA" w:rsidRPr="00D16EE6">
        <w:rPr>
          <w:sz w:val="28"/>
          <w:szCs w:val="28"/>
        </w:rPr>
        <w:t xml:space="preserve">ule 42. It gave no consideration </w:t>
      </w:r>
      <w:r w:rsidR="00257594" w:rsidRPr="00D16EE6">
        <w:rPr>
          <w:sz w:val="28"/>
          <w:szCs w:val="28"/>
        </w:rPr>
        <w:t xml:space="preserve">at all to the fact </w:t>
      </w:r>
      <w:r w:rsidR="00D470AA" w:rsidRPr="00D16EE6">
        <w:rPr>
          <w:sz w:val="28"/>
          <w:szCs w:val="28"/>
        </w:rPr>
        <w:t xml:space="preserve">that </w:t>
      </w:r>
      <w:r w:rsidR="00257594" w:rsidRPr="00D16EE6">
        <w:rPr>
          <w:sz w:val="28"/>
          <w:szCs w:val="28"/>
        </w:rPr>
        <w:t xml:space="preserve">having dismissed the application, </w:t>
      </w:r>
      <w:r w:rsidR="00D470AA" w:rsidRPr="00D16EE6">
        <w:rPr>
          <w:sz w:val="28"/>
          <w:szCs w:val="28"/>
        </w:rPr>
        <w:t xml:space="preserve">it may have been </w:t>
      </w:r>
      <w:r w:rsidR="00D470AA" w:rsidRPr="00D16EE6">
        <w:rPr>
          <w:i/>
          <w:sz w:val="28"/>
          <w:szCs w:val="28"/>
        </w:rPr>
        <w:t xml:space="preserve">functus </w:t>
      </w:r>
      <w:r w:rsidR="00ED6DA6" w:rsidRPr="00D16EE6">
        <w:rPr>
          <w:i/>
          <w:iCs/>
          <w:sz w:val="28"/>
          <w:szCs w:val="28"/>
        </w:rPr>
        <w:t>officio</w:t>
      </w:r>
      <w:r w:rsidR="00257594" w:rsidRPr="00D16EE6">
        <w:rPr>
          <w:sz w:val="28"/>
          <w:szCs w:val="28"/>
        </w:rPr>
        <w:t>.</w:t>
      </w:r>
    </w:p>
    <w:p w14:paraId="163E3AD4" w14:textId="77777777" w:rsidR="00D470AA" w:rsidRPr="00D16EE6" w:rsidRDefault="00D470AA" w:rsidP="00ED6DA6">
      <w:pPr>
        <w:pStyle w:val="ListParagraph"/>
        <w:rPr>
          <w:sz w:val="28"/>
          <w:szCs w:val="28"/>
        </w:rPr>
      </w:pPr>
    </w:p>
    <w:p w14:paraId="6C63A71D" w14:textId="16E48316" w:rsidR="00C861CD" w:rsidRPr="00D16EE6" w:rsidRDefault="00531B3A" w:rsidP="00531B3A">
      <w:pPr>
        <w:tabs>
          <w:tab w:val="left" w:pos="0"/>
        </w:tabs>
        <w:rPr>
          <w:sz w:val="28"/>
          <w:szCs w:val="28"/>
        </w:rPr>
      </w:pPr>
      <w:r w:rsidRPr="00D16EE6">
        <w:rPr>
          <w:sz w:val="28"/>
          <w:szCs w:val="28"/>
        </w:rPr>
        <w:t>[15]</w:t>
      </w:r>
      <w:r w:rsidRPr="00D16EE6">
        <w:rPr>
          <w:sz w:val="28"/>
          <w:szCs w:val="28"/>
        </w:rPr>
        <w:tab/>
      </w:r>
      <w:r w:rsidR="00AE717C" w:rsidRPr="00D16EE6">
        <w:rPr>
          <w:sz w:val="28"/>
          <w:szCs w:val="28"/>
        </w:rPr>
        <w:t xml:space="preserve">The question </w:t>
      </w:r>
      <w:r w:rsidR="00ED6DA6" w:rsidRPr="00D16EE6">
        <w:rPr>
          <w:sz w:val="28"/>
          <w:szCs w:val="28"/>
        </w:rPr>
        <w:t xml:space="preserve">of </w:t>
      </w:r>
      <w:r w:rsidR="00AE717C" w:rsidRPr="00D16EE6">
        <w:rPr>
          <w:sz w:val="28"/>
          <w:szCs w:val="28"/>
        </w:rPr>
        <w:t>w</w:t>
      </w:r>
      <w:r w:rsidR="00447FCA" w:rsidRPr="00D16EE6">
        <w:rPr>
          <w:sz w:val="28"/>
          <w:szCs w:val="28"/>
        </w:rPr>
        <w:t xml:space="preserve">hether the GEPF is an organ of state </w:t>
      </w:r>
      <w:r w:rsidR="002D5EA4" w:rsidRPr="00D16EE6">
        <w:rPr>
          <w:sz w:val="28"/>
          <w:szCs w:val="28"/>
        </w:rPr>
        <w:t>did not give rise to any</w:t>
      </w:r>
      <w:r w:rsidR="00447FCA" w:rsidRPr="00D16EE6">
        <w:rPr>
          <w:sz w:val="28"/>
          <w:szCs w:val="28"/>
        </w:rPr>
        <w:t xml:space="preserve"> self-standing relief. </w:t>
      </w:r>
      <w:r w:rsidR="00254CE1" w:rsidRPr="00D16EE6">
        <w:rPr>
          <w:sz w:val="28"/>
          <w:szCs w:val="28"/>
        </w:rPr>
        <w:t xml:space="preserve">On the application papers as originally framed, </w:t>
      </w:r>
      <w:r w:rsidR="002D5EA4" w:rsidRPr="00D16EE6">
        <w:rPr>
          <w:sz w:val="28"/>
          <w:szCs w:val="28"/>
        </w:rPr>
        <w:t xml:space="preserve">the resolution of this question </w:t>
      </w:r>
      <w:r w:rsidR="00447FCA" w:rsidRPr="00D16EE6">
        <w:rPr>
          <w:sz w:val="28"/>
          <w:szCs w:val="28"/>
        </w:rPr>
        <w:t xml:space="preserve">was a step </w:t>
      </w:r>
      <w:r w:rsidR="00257594" w:rsidRPr="00D16EE6">
        <w:rPr>
          <w:sz w:val="28"/>
          <w:szCs w:val="28"/>
        </w:rPr>
        <w:t xml:space="preserve">in </w:t>
      </w:r>
      <w:r w:rsidR="00447FCA" w:rsidRPr="00D16EE6">
        <w:rPr>
          <w:sz w:val="28"/>
          <w:szCs w:val="28"/>
        </w:rPr>
        <w:t>the determination of the review</w:t>
      </w:r>
      <w:r w:rsidR="00AE717C" w:rsidRPr="00D16EE6">
        <w:rPr>
          <w:sz w:val="28"/>
          <w:szCs w:val="28"/>
        </w:rPr>
        <w:t xml:space="preserve"> </w:t>
      </w:r>
      <w:r w:rsidR="00257594" w:rsidRPr="00D16EE6">
        <w:rPr>
          <w:sz w:val="28"/>
          <w:szCs w:val="28"/>
        </w:rPr>
        <w:t>application</w:t>
      </w:r>
      <w:r w:rsidR="00254CE1" w:rsidRPr="00D16EE6">
        <w:rPr>
          <w:sz w:val="28"/>
          <w:szCs w:val="28"/>
        </w:rPr>
        <w:t xml:space="preserve">. </w:t>
      </w:r>
      <w:r w:rsidR="000C74B0" w:rsidRPr="00D16EE6">
        <w:rPr>
          <w:sz w:val="28"/>
          <w:szCs w:val="28"/>
        </w:rPr>
        <w:t>Having dismissed the review, t</w:t>
      </w:r>
      <w:r w:rsidR="00AE717C" w:rsidRPr="00D16EE6">
        <w:rPr>
          <w:sz w:val="28"/>
          <w:szCs w:val="28"/>
        </w:rPr>
        <w:t xml:space="preserve">he </w:t>
      </w:r>
      <w:r w:rsidR="00ED6DA6" w:rsidRPr="00D16EE6">
        <w:rPr>
          <w:sz w:val="28"/>
          <w:szCs w:val="28"/>
        </w:rPr>
        <w:t xml:space="preserve">high </w:t>
      </w:r>
      <w:r w:rsidR="00AE717C" w:rsidRPr="00D16EE6">
        <w:rPr>
          <w:sz w:val="28"/>
          <w:szCs w:val="28"/>
        </w:rPr>
        <w:t>court</w:t>
      </w:r>
      <w:r w:rsidR="00D65CB2" w:rsidRPr="00D16EE6">
        <w:rPr>
          <w:sz w:val="28"/>
          <w:szCs w:val="28"/>
        </w:rPr>
        <w:t xml:space="preserve"> had no power</w:t>
      </w:r>
      <w:r w:rsidR="00AE717C" w:rsidRPr="00D16EE6">
        <w:rPr>
          <w:sz w:val="28"/>
          <w:szCs w:val="28"/>
        </w:rPr>
        <w:t xml:space="preserve"> </w:t>
      </w:r>
      <w:r w:rsidR="00D65CB2" w:rsidRPr="00D16EE6">
        <w:rPr>
          <w:sz w:val="28"/>
          <w:szCs w:val="28"/>
        </w:rPr>
        <w:t>to revisit</w:t>
      </w:r>
      <w:r w:rsidR="00AE717C" w:rsidRPr="00D16EE6">
        <w:rPr>
          <w:sz w:val="28"/>
          <w:szCs w:val="28"/>
        </w:rPr>
        <w:t xml:space="preserve"> that order</w:t>
      </w:r>
      <w:r w:rsidR="00D65CB2" w:rsidRPr="00D16EE6">
        <w:rPr>
          <w:sz w:val="28"/>
          <w:szCs w:val="28"/>
        </w:rPr>
        <w:t>.</w:t>
      </w:r>
      <w:r w:rsidR="00AE717C" w:rsidRPr="00D16EE6">
        <w:rPr>
          <w:sz w:val="28"/>
          <w:szCs w:val="28"/>
        </w:rPr>
        <w:t xml:space="preserve"> </w:t>
      </w:r>
      <w:r w:rsidR="009942E0" w:rsidRPr="00D16EE6">
        <w:rPr>
          <w:sz w:val="28"/>
          <w:szCs w:val="28"/>
        </w:rPr>
        <w:t>The</w:t>
      </w:r>
      <w:r w:rsidR="00DF021E" w:rsidRPr="00D16EE6">
        <w:rPr>
          <w:sz w:val="28"/>
          <w:szCs w:val="28"/>
        </w:rPr>
        <w:t xml:space="preserve"> amended </w:t>
      </w:r>
      <w:r w:rsidR="00D65CB2" w:rsidRPr="00D16EE6">
        <w:rPr>
          <w:sz w:val="28"/>
          <w:szCs w:val="28"/>
        </w:rPr>
        <w:t>order</w:t>
      </w:r>
      <w:r w:rsidR="00DF021E" w:rsidRPr="00D16EE6">
        <w:rPr>
          <w:sz w:val="28"/>
          <w:szCs w:val="28"/>
        </w:rPr>
        <w:t xml:space="preserve"> </w:t>
      </w:r>
      <w:r w:rsidR="00C861CD" w:rsidRPr="00D16EE6">
        <w:rPr>
          <w:sz w:val="28"/>
          <w:szCs w:val="28"/>
        </w:rPr>
        <w:t>was in effect a nullity</w:t>
      </w:r>
      <w:r w:rsidR="009E1446" w:rsidRPr="00D16EE6">
        <w:rPr>
          <w:sz w:val="28"/>
          <w:szCs w:val="28"/>
        </w:rPr>
        <w:t xml:space="preserve"> because it was made without jurisdiction by the court making it.</w:t>
      </w:r>
      <w:r w:rsidR="00D65CB2" w:rsidRPr="00D16EE6">
        <w:rPr>
          <w:rStyle w:val="FootnoteReference"/>
          <w:sz w:val="28"/>
          <w:szCs w:val="28"/>
        </w:rPr>
        <w:footnoteReference w:id="7"/>
      </w:r>
    </w:p>
    <w:p w14:paraId="460EE40B" w14:textId="77777777" w:rsidR="00C861CD" w:rsidRPr="00D16EE6" w:rsidRDefault="00C861CD" w:rsidP="00ED6DA6">
      <w:pPr>
        <w:pStyle w:val="ListParagraph"/>
        <w:rPr>
          <w:sz w:val="28"/>
          <w:szCs w:val="28"/>
        </w:rPr>
      </w:pPr>
    </w:p>
    <w:p w14:paraId="444F5209" w14:textId="45A99C78" w:rsidR="00EA0E3B" w:rsidRPr="00D16EE6" w:rsidRDefault="00531B3A" w:rsidP="00531B3A">
      <w:pPr>
        <w:tabs>
          <w:tab w:val="left" w:pos="0"/>
        </w:tabs>
        <w:rPr>
          <w:sz w:val="28"/>
          <w:szCs w:val="28"/>
        </w:rPr>
      </w:pPr>
      <w:r w:rsidRPr="00D16EE6">
        <w:rPr>
          <w:sz w:val="28"/>
          <w:szCs w:val="28"/>
        </w:rPr>
        <w:t>[16]</w:t>
      </w:r>
      <w:r w:rsidRPr="00D16EE6">
        <w:rPr>
          <w:sz w:val="28"/>
          <w:szCs w:val="28"/>
        </w:rPr>
        <w:tab/>
      </w:r>
      <w:r w:rsidR="002B6C38" w:rsidRPr="00D16EE6">
        <w:rPr>
          <w:sz w:val="28"/>
          <w:szCs w:val="28"/>
        </w:rPr>
        <w:t xml:space="preserve">In this case, </w:t>
      </w:r>
      <w:r w:rsidR="00845A23" w:rsidRPr="00D16EE6">
        <w:rPr>
          <w:sz w:val="28"/>
          <w:szCs w:val="28"/>
        </w:rPr>
        <w:t>Trencon unsuccessfully applied for leave to appeal th</w:t>
      </w:r>
      <w:r w:rsidR="009E1446" w:rsidRPr="00D16EE6">
        <w:rPr>
          <w:sz w:val="28"/>
          <w:szCs w:val="28"/>
        </w:rPr>
        <w:t>e dismissal of its application</w:t>
      </w:r>
      <w:r w:rsidR="00845A23" w:rsidRPr="00D16EE6">
        <w:rPr>
          <w:sz w:val="28"/>
          <w:szCs w:val="28"/>
        </w:rPr>
        <w:t>.</w:t>
      </w:r>
      <w:r w:rsidR="004633A4" w:rsidRPr="00D16EE6">
        <w:rPr>
          <w:sz w:val="28"/>
          <w:szCs w:val="28"/>
        </w:rPr>
        <w:t xml:space="preserve"> </w:t>
      </w:r>
      <w:r w:rsidR="00254CE1" w:rsidRPr="00D16EE6">
        <w:rPr>
          <w:sz w:val="28"/>
          <w:szCs w:val="28"/>
        </w:rPr>
        <w:t xml:space="preserve">Its remedy was to then petition this </w:t>
      </w:r>
      <w:r w:rsidR="000B61A7" w:rsidRPr="00D16EE6">
        <w:rPr>
          <w:sz w:val="28"/>
          <w:szCs w:val="28"/>
        </w:rPr>
        <w:t>C</w:t>
      </w:r>
      <w:r w:rsidR="00254CE1" w:rsidRPr="00D16EE6">
        <w:rPr>
          <w:sz w:val="28"/>
          <w:szCs w:val="28"/>
        </w:rPr>
        <w:t>ourt for leave to appeal. It did not do so. As the dismissal of the application by the high court was not open to correction on appeal, the final word h</w:t>
      </w:r>
      <w:r w:rsidR="000B61A7" w:rsidRPr="00D16EE6">
        <w:rPr>
          <w:sz w:val="28"/>
          <w:szCs w:val="28"/>
        </w:rPr>
        <w:t>a</w:t>
      </w:r>
      <w:r w:rsidR="00254CE1" w:rsidRPr="00D16EE6">
        <w:rPr>
          <w:sz w:val="28"/>
          <w:szCs w:val="28"/>
        </w:rPr>
        <w:t xml:space="preserve">d been spoken by that court. </w:t>
      </w:r>
      <w:r w:rsidR="002B6C38" w:rsidRPr="00D16EE6">
        <w:rPr>
          <w:sz w:val="28"/>
          <w:szCs w:val="28"/>
        </w:rPr>
        <w:t>L</w:t>
      </w:r>
      <w:r w:rsidR="00845A23" w:rsidRPr="00D16EE6">
        <w:rPr>
          <w:sz w:val="28"/>
          <w:szCs w:val="28"/>
        </w:rPr>
        <w:t>ogical</w:t>
      </w:r>
      <w:r w:rsidR="002B6C38" w:rsidRPr="00D16EE6">
        <w:rPr>
          <w:sz w:val="28"/>
          <w:szCs w:val="28"/>
        </w:rPr>
        <w:t>ly</w:t>
      </w:r>
      <w:r w:rsidR="00AA6F40" w:rsidRPr="00D16EE6">
        <w:rPr>
          <w:sz w:val="28"/>
          <w:szCs w:val="28"/>
        </w:rPr>
        <w:t>,</w:t>
      </w:r>
      <w:r w:rsidR="00845A23" w:rsidRPr="00D16EE6">
        <w:rPr>
          <w:sz w:val="28"/>
          <w:szCs w:val="28"/>
        </w:rPr>
        <w:t xml:space="preserve"> </w:t>
      </w:r>
      <w:r w:rsidR="002B6C38" w:rsidRPr="00D16EE6">
        <w:rPr>
          <w:sz w:val="28"/>
          <w:szCs w:val="28"/>
        </w:rPr>
        <w:t>the</w:t>
      </w:r>
      <w:r w:rsidR="00845A23" w:rsidRPr="00D16EE6">
        <w:rPr>
          <w:sz w:val="28"/>
          <w:szCs w:val="28"/>
        </w:rPr>
        <w:t xml:space="preserve"> </w:t>
      </w:r>
      <w:r w:rsidR="00845A23" w:rsidRPr="00D16EE6">
        <w:rPr>
          <w:color w:val="222222"/>
          <w:sz w:val="28"/>
          <w:szCs w:val="28"/>
          <w:lang w:val="en-US"/>
        </w:rPr>
        <w:t xml:space="preserve">dispute or </w:t>
      </w:r>
      <w:r w:rsidR="002B6C38" w:rsidRPr="00D16EE6">
        <w:rPr>
          <w:i/>
          <w:color w:val="222222"/>
          <w:sz w:val="28"/>
          <w:szCs w:val="28"/>
          <w:lang w:val="en-US"/>
        </w:rPr>
        <w:t xml:space="preserve">lis </w:t>
      </w:r>
      <w:r w:rsidR="002B6C38" w:rsidRPr="00D16EE6">
        <w:rPr>
          <w:color w:val="222222"/>
          <w:sz w:val="28"/>
          <w:szCs w:val="28"/>
          <w:lang w:val="en-US"/>
        </w:rPr>
        <w:t>between the parties no longer existed</w:t>
      </w:r>
      <w:r w:rsidR="002B6C38" w:rsidRPr="00D16EE6">
        <w:rPr>
          <w:i/>
          <w:color w:val="222222"/>
          <w:sz w:val="28"/>
          <w:szCs w:val="28"/>
          <w:lang w:val="en-US"/>
        </w:rPr>
        <w:t xml:space="preserve"> </w:t>
      </w:r>
      <w:r w:rsidR="00845A23" w:rsidRPr="00D16EE6">
        <w:rPr>
          <w:color w:val="222222"/>
          <w:sz w:val="28"/>
          <w:szCs w:val="28"/>
          <w:lang w:val="en-US"/>
        </w:rPr>
        <w:t xml:space="preserve">upon which this </w:t>
      </w:r>
      <w:r w:rsidR="00551ACA" w:rsidRPr="00D16EE6">
        <w:rPr>
          <w:color w:val="222222"/>
          <w:sz w:val="28"/>
          <w:szCs w:val="28"/>
          <w:lang w:val="en-US"/>
        </w:rPr>
        <w:t>C</w:t>
      </w:r>
      <w:r w:rsidR="00845A23" w:rsidRPr="00D16EE6">
        <w:rPr>
          <w:color w:val="222222"/>
          <w:sz w:val="28"/>
          <w:szCs w:val="28"/>
          <w:lang w:val="en-US"/>
        </w:rPr>
        <w:t>ourt c</w:t>
      </w:r>
      <w:r w:rsidR="009E1446" w:rsidRPr="00D16EE6">
        <w:rPr>
          <w:color w:val="222222"/>
          <w:sz w:val="28"/>
          <w:szCs w:val="28"/>
          <w:lang w:val="en-US"/>
        </w:rPr>
        <w:t>ould</w:t>
      </w:r>
      <w:r w:rsidR="00845A23" w:rsidRPr="00D16EE6">
        <w:rPr>
          <w:color w:val="222222"/>
          <w:sz w:val="28"/>
          <w:szCs w:val="28"/>
          <w:lang w:val="en-US"/>
        </w:rPr>
        <w:t xml:space="preserve"> and should exercise its appellate jurisdiction.</w:t>
      </w:r>
      <w:r w:rsidR="000976EF" w:rsidRPr="00D16EE6">
        <w:rPr>
          <w:rStyle w:val="FootnoteReference"/>
          <w:color w:val="222222"/>
          <w:sz w:val="28"/>
          <w:szCs w:val="28"/>
          <w:lang w:val="en-US"/>
        </w:rPr>
        <w:footnoteReference w:id="8"/>
      </w:r>
      <w:r w:rsidR="00845A23" w:rsidRPr="00D16EE6">
        <w:rPr>
          <w:sz w:val="28"/>
          <w:szCs w:val="28"/>
        </w:rPr>
        <w:t xml:space="preserve">  </w:t>
      </w:r>
    </w:p>
    <w:p w14:paraId="320B0D85" w14:textId="77777777" w:rsidR="00EA0E3B" w:rsidRPr="00D16EE6" w:rsidRDefault="00EA0E3B" w:rsidP="00ED6DA6">
      <w:pPr>
        <w:pStyle w:val="ListParagraph"/>
        <w:rPr>
          <w:sz w:val="28"/>
          <w:szCs w:val="28"/>
        </w:rPr>
      </w:pPr>
    </w:p>
    <w:p w14:paraId="6D127085" w14:textId="5D028B5F" w:rsidR="002B6C38" w:rsidRPr="00D16EE6" w:rsidRDefault="00531B3A" w:rsidP="00531B3A">
      <w:pPr>
        <w:tabs>
          <w:tab w:val="left" w:pos="0"/>
        </w:tabs>
        <w:rPr>
          <w:i/>
          <w:sz w:val="28"/>
          <w:szCs w:val="28"/>
        </w:rPr>
      </w:pPr>
      <w:r w:rsidRPr="00D16EE6">
        <w:rPr>
          <w:sz w:val="28"/>
          <w:szCs w:val="28"/>
        </w:rPr>
        <w:t>[17]</w:t>
      </w:r>
      <w:r w:rsidRPr="00D16EE6">
        <w:rPr>
          <w:sz w:val="28"/>
          <w:szCs w:val="28"/>
        </w:rPr>
        <w:tab/>
      </w:r>
      <w:r w:rsidR="002B6C38" w:rsidRPr="00D16EE6">
        <w:rPr>
          <w:sz w:val="28"/>
          <w:szCs w:val="28"/>
        </w:rPr>
        <w:t xml:space="preserve">The </w:t>
      </w:r>
      <w:r w:rsidR="004633A4" w:rsidRPr="00D16EE6">
        <w:rPr>
          <w:sz w:val="28"/>
          <w:szCs w:val="28"/>
        </w:rPr>
        <w:t xml:space="preserve">question </w:t>
      </w:r>
      <w:r w:rsidR="00AA6F40" w:rsidRPr="00D16EE6">
        <w:rPr>
          <w:sz w:val="28"/>
          <w:szCs w:val="28"/>
        </w:rPr>
        <w:t xml:space="preserve">of </w:t>
      </w:r>
      <w:r w:rsidR="002B6C38" w:rsidRPr="00D16EE6">
        <w:rPr>
          <w:sz w:val="28"/>
          <w:szCs w:val="28"/>
        </w:rPr>
        <w:t xml:space="preserve">whether this </w:t>
      </w:r>
      <w:r w:rsidR="009942E0" w:rsidRPr="00D16EE6">
        <w:rPr>
          <w:sz w:val="28"/>
          <w:szCs w:val="28"/>
        </w:rPr>
        <w:t>C</w:t>
      </w:r>
      <w:r w:rsidR="002B6C38" w:rsidRPr="00D16EE6">
        <w:rPr>
          <w:sz w:val="28"/>
          <w:szCs w:val="28"/>
        </w:rPr>
        <w:t xml:space="preserve">ourt </w:t>
      </w:r>
      <w:r w:rsidR="00254CE1" w:rsidRPr="00D16EE6">
        <w:rPr>
          <w:sz w:val="28"/>
          <w:szCs w:val="28"/>
        </w:rPr>
        <w:t xml:space="preserve">nonetheless </w:t>
      </w:r>
      <w:r w:rsidR="002B6C38" w:rsidRPr="00D16EE6">
        <w:rPr>
          <w:sz w:val="28"/>
          <w:szCs w:val="28"/>
        </w:rPr>
        <w:t xml:space="preserve">has </w:t>
      </w:r>
      <w:r w:rsidR="00254CE1" w:rsidRPr="00D16EE6">
        <w:rPr>
          <w:sz w:val="28"/>
          <w:szCs w:val="28"/>
        </w:rPr>
        <w:t xml:space="preserve">a </w:t>
      </w:r>
      <w:r w:rsidR="002B6C38" w:rsidRPr="00D16EE6">
        <w:rPr>
          <w:sz w:val="28"/>
          <w:szCs w:val="28"/>
        </w:rPr>
        <w:t xml:space="preserve">discretion to </w:t>
      </w:r>
      <w:r w:rsidR="00254CE1" w:rsidRPr="00D16EE6">
        <w:rPr>
          <w:sz w:val="28"/>
          <w:szCs w:val="28"/>
        </w:rPr>
        <w:t xml:space="preserve">entertain </w:t>
      </w:r>
      <w:r w:rsidR="002B6C38" w:rsidRPr="00D16EE6">
        <w:rPr>
          <w:sz w:val="28"/>
          <w:szCs w:val="28"/>
        </w:rPr>
        <w:t xml:space="preserve">the appeal therefore does not arise. As it was held by this Court in </w:t>
      </w:r>
      <w:r w:rsidR="002B6C38" w:rsidRPr="00D16EE6">
        <w:rPr>
          <w:i/>
          <w:sz w:val="28"/>
          <w:szCs w:val="28"/>
        </w:rPr>
        <w:t xml:space="preserve">Port Elizabeth </w:t>
      </w:r>
      <w:r w:rsidR="002B6C38" w:rsidRPr="00D16EE6">
        <w:rPr>
          <w:i/>
          <w:sz w:val="28"/>
          <w:szCs w:val="28"/>
        </w:rPr>
        <w:lastRenderedPageBreak/>
        <w:t>Municipality v Smit</w:t>
      </w:r>
      <w:r w:rsidR="00C547EB" w:rsidRPr="00D16EE6">
        <w:rPr>
          <w:sz w:val="28"/>
          <w:szCs w:val="28"/>
        </w:rPr>
        <w:t>,</w:t>
      </w:r>
      <w:r w:rsidR="004F6A35" w:rsidRPr="00D16EE6">
        <w:rPr>
          <w:rStyle w:val="FootnoteReference"/>
          <w:iCs/>
          <w:sz w:val="28"/>
          <w:szCs w:val="28"/>
        </w:rPr>
        <w:footnoteReference w:id="9"/>
      </w:r>
      <w:r w:rsidR="002B6C38" w:rsidRPr="00D16EE6">
        <w:rPr>
          <w:i/>
          <w:sz w:val="28"/>
          <w:szCs w:val="28"/>
        </w:rPr>
        <w:t xml:space="preserve"> </w:t>
      </w:r>
      <w:r w:rsidR="002B6C38" w:rsidRPr="00D16EE6">
        <w:rPr>
          <w:iCs/>
          <w:sz w:val="28"/>
          <w:szCs w:val="28"/>
        </w:rPr>
        <w:t>‘</w:t>
      </w:r>
      <w:r w:rsidR="002B6C38" w:rsidRPr="00D16EE6">
        <w:rPr>
          <w:sz w:val="28"/>
          <w:szCs w:val="28"/>
        </w:rPr>
        <w:t xml:space="preserve">[w]hen there is no longer any </w:t>
      </w:r>
      <w:r w:rsidR="002B6C38" w:rsidRPr="00D16EE6">
        <w:rPr>
          <w:i/>
          <w:sz w:val="28"/>
          <w:szCs w:val="28"/>
        </w:rPr>
        <w:t>issue</w:t>
      </w:r>
      <w:r w:rsidR="002B6C38" w:rsidRPr="00D16EE6">
        <w:rPr>
          <w:sz w:val="28"/>
          <w:szCs w:val="28"/>
        </w:rPr>
        <w:t xml:space="preserve"> between the parties, for instance because all issues that formerly existed were resolved by agreement, there is no “appeal” that this Court has any discretion or power to deal with’</w:t>
      </w:r>
      <w:r w:rsidR="00C547EB" w:rsidRPr="00D16EE6">
        <w:rPr>
          <w:sz w:val="28"/>
          <w:szCs w:val="28"/>
        </w:rPr>
        <w:t>.</w:t>
      </w:r>
      <w:r w:rsidR="002B6C38" w:rsidRPr="00D16EE6">
        <w:rPr>
          <w:sz w:val="28"/>
          <w:szCs w:val="28"/>
        </w:rPr>
        <w:t xml:space="preserve"> </w:t>
      </w:r>
      <w:r w:rsidR="004F6A35" w:rsidRPr="00D16EE6">
        <w:rPr>
          <w:sz w:val="28"/>
          <w:szCs w:val="28"/>
        </w:rPr>
        <w:t xml:space="preserve">This approach was endorsed </w:t>
      </w:r>
      <w:r w:rsidR="009461EB" w:rsidRPr="00D16EE6">
        <w:rPr>
          <w:sz w:val="28"/>
          <w:szCs w:val="28"/>
        </w:rPr>
        <w:t xml:space="preserve">in </w:t>
      </w:r>
      <w:r w:rsidR="009461EB" w:rsidRPr="00D16EE6">
        <w:rPr>
          <w:i/>
          <w:sz w:val="28"/>
          <w:szCs w:val="28"/>
        </w:rPr>
        <w:t>Legal-Aid South Africa v Magidiwana and Others</w:t>
      </w:r>
      <w:r w:rsidR="001C4D47" w:rsidRPr="00D16EE6">
        <w:rPr>
          <w:iCs/>
          <w:sz w:val="28"/>
          <w:szCs w:val="28"/>
        </w:rPr>
        <w:t>.</w:t>
      </w:r>
      <w:r w:rsidR="00CC529F" w:rsidRPr="00D16EE6">
        <w:rPr>
          <w:rStyle w:val="FootnoteReference"/>
          <w:iCs/>
          <w:sz w:val="28"/>
          <w:szCs w:val="28"/>
        </w:rPr>
        <w:footnoteReference w:id="10"/>
      </w:r>
    </w:p>
    <w:p w14:paraId="777389E9" w14:textId="77777777" w:rsidR="002B6C38" w:rsidRPr="00D16EE6" w:rsidRDefault="002B6C38" w:rsidP="00ED6DA6">
      <w:pPr>
        <w:pStyle w:val="ListParagraph"/>
        <w:rPr>
          <w:sz w:val="28"/>
          <w:szCs w:val="28"/>
        </w:rPr>
      </w:pPr>
    </w:p>
    <w:p w14:paraId="267EA98E" w14:textId="300F2A25" w:rsidR="00550504" w:rsidRPr="00D16EE6" w:rsidRDefault="00531B3A" w:rsidP="00531B3A">
      <w:pPr>
        <w:tabs>
          <w:tab w:val="left" w:pos="0"/>
        </w:tabs>
        <w:rPr>
          <w:sz w:val="28"/>
          <w:szCs w:val="28"/>
        </w:rPr>
      </w:pPr>
      <w:r w:rsidRPr="00D16EE6">
        <w:rPr>
          <w:sz w:val="28"/>
          <w:szCs w:val="28"/>
        </w:rPr>
        <w:t>[18]</w:t>
      </w:r>
      <w:r w:rsidRPr="00D16EE6">
        <w:rPr>
          <w:sz w:val="28"/>
          <w:szCs w:val="28"/>
        </w:rPr>
        <w:tab/>
      </w:r>
      <w:r w:rsidR="00EA1531" w:rsidRPr="00D16EE6">
        <w:rPr>
          <w:sz w:val="28"/>
          <w:szCs w:val="28"/>
        </w:rPr>
        <w:t xml:space="preserve">In any event, </w:t>
      </w:r>
      <w:r w:rsidR="000B61A7" w:rsidRPr="00D16EE6">
        <w:rPr>
          <w:sz w:val="28"/>
          <w:szCs w:val="28"/>
        </w:rPr>
        <w:t xml:space="preserve">the amended order </w:t>
      </w:r>
      <w:r w:rsidR="00CC529F" w:rsidRPr="00D16EE6">
        <w:rPr>
          <w:sz w:val="28"/>
          <w:szCs w:val="28"/>
        </w:rPr>
        <w:t>was</w:t>
      </w:r>
      <w:r w:rsidR="007F081A" w:rsidRPr="00D16EE6">
        <w:rPr>
          <w:sz w:val="28"/>
          <w:szCs w:val="28"/>
        </w:rPr>
        <w:t xml:space="preserve"> limited in scope. </w:t>
      </w:r>
      <w:r w:rsidR="00A5725F" w:rsidRPr="00D16EE6">
        <w:rPr>
          <w:sz w:val="28"/>
          <w:szCs w:val="28"/>
        </w:rPr>
        <w:t>The declaration that ‘the [GEPF] is an organ of state in terms of section 239</w:t>
      </w:r>
      <w:r w:rsidR="00A5725F" w:rsidRPr="00D16EE6">
        <w:rPr>
          <w:i/>
          <w:iCs/>
          <w:sz w:val="28"/>
          <w:szCs w:val="28"/>
        </w:rPr>
        <w:t>(</w:t>
      </w:r>
      <w:r w:rsidR="00A5725F" w:rsidRPr="00D16EE6">
        <w:rPr>
          <w:i/>
          <w:sz w:val="28"/>
          <w:szCs w:val="28"/>
        </w:rPr>
        <w:t>b</w:t>
      </w:r>
      <w:r w:rsidR="00A5725F" w:rsidRPr="00D16EE6">
        <w:rPr>
          <w:i/>
          <w:iCs/>
          <w:sz w:val="28"/>
          <w:szCs w:val="28"/>
        </w:rPr>
        <w:t>)</w:t>
      </w:r>
      <w:r w:rsidR="00A5725F" w:rsidRPr="00D16EE6">
        <w:rPr>
          <w:sz w:val="28"/>
          <w:szCs w:val="28"/>
        </w:rPr>
        <w:t xml:space="preserve">(ii) of the Constitution’ was subject to the qualifier </w:t>
      </w:r>
      <w:r w:rsidR="007F081A" w:rsidRPr="00D16EE6">
        <w:rPr>
          <w:sz w:val="28"/>
          <w:szCs w:val="28"/>
        </w:rPr>
        <w:t>‘</w:t>
      </w:r>
      <w:r w:rsidR="007F081A" w:rsidRPr="00D16EE6">
        <w:rPr>
          <w:i/>
          <w:sz w:val="28"/>
          <w:szCs w:val="28"/>
        </w:rPr>
        <w:t>for purposes of the present application</w:t>
      </w:r>
      <w:r w:rsidR="00A5725F" w:rsidRPr="00D16EE6">
        <w:rPr>
          <w:sz w:val="28"/>
          <w:szCs w:val="28"/>
        </w:rPr>
        <w:t>’</w:t>
      </w:r>
      <w:r w:rsidR="00CB37FF" w:rsidRPr="00D16EE6">
        <w:rPr>
          <w:sz w:val="28"/>
          <w:szCs w:val="28"/>
        </w:rPr>
        <w:t>.</w:t>
      </w:r>
      <w:r w:rsidR="005F3443" w:rsidRPr="00D16EE6">
        <w:rPr>
          <w:sz w:val="28"/>
          <w:szCs w:val="28"/>
        </w:rPr>
        <w:t xml:space="preserve"> </w:t>
      </w:r>
      <w:r w:rsidR="00CC529F" w:rsidRPr="00D16EE6">
        <w:rPr>
          <w:sz w:val="28"/>
          <w:szCs w:val="28"/>
        </w:rPr>
        <w:t>(My emphasis.)</w:t>
      </w:r>
      <w:r w:rsidR="00550504" w:rsidRPr="00D16EE6">
        <w:rPr>
          <w:sz w:val="28"/>
          <w:szCs w:val="28"/>
        </w:rPr>
        <w:t xml:space="preserve"> </w:t>
      </w:r>
    </w:p>
    <w:p w14:paraId="643B7471" w14:textId="77777777" w:rsidR="00550504" w:rsidRPr="00D16EE6" w:rsidRDefault="00550504" w:rsidP="00550504">
      <w:pPr>
        <w:pStyle w:val="ListParagraph"/>
        <w:rPr>
          <w:sz w:val="28"/>
          <w:szCs w:val="28"/>
        </w:rPr>
      </w:pPr>
    </w:p>
    <w:p w14:paraId="57EEF44E" w14:textId="264B4127" w:rsidR="00AD7D18" w:rsidRPr="00D16EE6" w:rsidRDefault="00531B3A" w:rsidP="00531B3A">
      <w:pPr>
        <w:tabs>
          <w:tab w:val="left" w:pos="0"/>
        </w:tabs>
        <w:rPr>
          <w:sz w:val="28"/>
          <w:szCs w:val="28"/>
        </w:rPr>
      </w:pPr>
      <w:r w:rsidRPr="00D16EE6">
        <w:rPr>
          <w:sz w:val="28"/>
          <w:szCs w:val="28"/>
        </w:rPr>
        <w:t>[19]</w:t>
      </w:r>
      <w:r w:rsidRPr="00D16EE6">
        <w:rPr>
          <w:sz w:val="28"/>
          <w:szCs w:val="28"/>
        </w:rPr>
        <w:tab/>
      </w:r>
      <w:r w:rsidR="005F3443" w:rsidRPr="00D16EE6">
        <w:rPr>
          <w:sz w:val="28"/>
          <w:szCs w:val="28"/>
        </w:rPr>
        <w:t>The</w:t>
      </w:r>
      <w:r w:rsidR="00CC529F" w:rsidRPr="00D16EE6">
        <w:rPr>
          <w:sz w:val="28"/>
          <w:szCs w:val="28"/>
        </w:rPr>
        <w:t xml:space="preserve"> expression</w:t>
      </w:r>
      <w:r w:rsidR="005F3443" w:rsidRPr="00D16EE6">
        <w:rPr>
          <w:sz w:val="28"/>
          <w:szCs w:val="28"/>
        </w:rPr>
        <w:t xml:space="preserve"> ‘present application’ in the amended order, </w:t>
      </w:r>
      <w:r w:rsidR="00CC529F" w:rsidRPr="00D16EE6">
        <w:rPr>
          <w:sz w:val="28"/>
          <w:szCs w:val="28"/>
        </w:rPr>
        <w:t>evidently</w:t>
      </w:r>
      <w:r w:rsidR="005F3443" w:rsidRPr="00D16EE6">
        <w:rPr>
          <w:sz w:val="28"/>
          <w:szCs w:val="28"/>
        </w:rPr>
        <w:t xml:space="preserve"> refer</w:t>
      </w:r>
      <w:r w:rsidR="00621A8E" w:rsidRPr="00D16EE6">
        <w:rPr>
          <w:sz w:val="28"/>
          <w:szCs w:val="28"/>
        </w:rPr>
        <w:t>red</w:t>
      </w:r>
      <w:r w:rsidR="005F3443" w:rsidRPr="00D16EE6">
        <w:rPr>
          <w:sz w:val="28"/>
          <w:szCs w:val="28"/>
        </w:rPr>
        <w:t xml:space="preserve"> to the application </w:t>
      </w:r>
      <w:r w:rsidR="00CC529F" w:rsidRPr="00D16EE6">
        <w:rPr>
          <w:sz w:val="28"/>
          <w:szCs w:val="28"/>
        </w:rPr>
        <w:t xml:space="preserve">brought by Trencon </w:t>
      </w:r>
      <w:r w:rsidR="005F3443" w:rsidRPr="00D16EE6">
        <w:rPr>
          <w:sz w:val="28"/>
          <w:szCs w:val="28"/>
        </w:rPr>
        <w:t>to review and set aside the decision to award the tender to GVK</w:t>
      </w:r>
      <w:r w:rsidR="00CC529F" w:rsidRPr="00D16EE6">
        <w:rPr>
          <w:sz w:val="28"/>
          <w:szCs w:val="28"/>
        </w:rPr>
        <w:t>. It</w:t>
      </w:r>
      <w:r w:rsidR="005F3443" w:rsidRPr="00D16EE6">
        <w:rPr>
          <w:sz w:val="28"/>
          <w:szCs w:val="28"/>
        </w:rPr>
        <w:t xml:space="preserve"> could not have any broad</w:t>
      </w:r>
      <w:r w:rsidR="00CC529F" w:rsidRPr="00D16EE6">
        <w:rPr>
          <w:sz w:val="28"/>
          <w:szCs w:val="28"/>
        </w:rPr>
        <w:t>er</w:t>
      </w:r>
      <w:r w:rsidR="005F3443" w:rsidRPr="00D16EE6">
        <w:rPr>
          <w:sz w:val="28"/>
          <w:szCs w:val="28"/>
        </w:rPr>
        <w:t xml:space="preserve"> application. </w:t>
      </w:r>
      <w:r w:rsidR="00A5725F" w:rsidRPr="00D16EE6">
        <w:rPr>
          <w:sz w:val="28"/>
          <w:szCs w:val="28"/>
        </w:rPr>
        <w:t xml:space="preserve">This means that </w:t>
      </w:r>
      <w:r w:rsidR="00C162C6" w:rsidRPr="00D16EE6">
        <w:rPr>
          <w:sz w:val="28"/>
          <w:szCs w:val="28"/>
        </w:rPr>
        <w:t xml:space="preserve">any order of this Court </w:t>
      </w:r>
      <w:r w:rsidR="00A5725F" w:rsidRPr="00D16EE6">
        <w:rPr>
          <w:sz w:val="28"/>
          <w:szCs w:val="28"/>
        </w:rPr>
        <w:t xml:space="preserve">on appeal </w:t>
      </w:r>
      <w:r w:rsidR="00C162C6" w:rsidRPr="00D16EE6">
        <w:rPr>
          <w:sz w:val="28"/>
          <w:szCs w:val="28"/>
        </w:rPr>
        <w:t>will have no practical effect</w:t>
      </w:r>
      <w:r w:rsidR="00F3413D" w:rsidRPr="00D16EE6">
        <w:rPr>
          <w:sz w:val="28"/>
          <w:szCs w:val="28"/>
        </w:rPr>
        <w:t xml:space="preserve"> or result</w:t>
      </w:r>
      <w:r w:rsidR="00A5725F" w:rsidRPr="00D16EE6">
        <w:rPr>
          <w:sz w:val="28"/>
          <w:szCs w:val="28"/>
        </w:rPr>
        <w:t xml:space="preserve"> beyond th</w:t>
      </w:r>
      <w:r w:rsidR="002D5EA4" w:rsidRPr="00D16EE6">
        <w:rPr>
          <w:sz w:val="28"/>
          <w:szCs w:val="28"/>
        </w:rPr>
        <w:t>e</w:t>
      </w:r>
      <w:r w:rsidR="00A5725F" w:rsidRPr="00D16EE6">
        <w:rPr>
          <w:sz w:val="28"/>
          <w:szCs w:val="28"/>
        </w:rPr>
        <w:t xml:space="preserve"> confines of this matter</w:t>
      </w:r>
      <w:r w:rsidR="00C162C6" w:rsidRPr="00D16EE6">
        <w:rPr>
          <w:sz w:val="28"/>
          <w:szCs w:val="28"/>
        </w:rPr>
        <w:t xml:space="preserve">. While the question </w:t>
      </w:r>
      <w:r w:rsidR="00CB37FF" w:rsidRPr="00D16EE6">
        <w:rPr>
          <w:sz w:val="28"/>
          <w:szCs w:val="28"/>
        </w:rPr>
        <w:t xml:space="preserve">of </w:t>
      </w:r>
      <w:r w:rsidR="00C162C6" w:rsidRPr="00D16EE6">
        <w:rPr>
          <w:sz w:val="28"/>
          <w:szCs w:val="28"/>
        </w:rPr>
        <w:t xml:space="preserve">whether the </w:t>
      </w:r>
      <w:r w:rsidR="00AD7D18" w:rsidRPr="00D16EE6">
        <w:rPr>
          <w:sz w:val="28"/>
          <w:szCs w:val="28"/>
        </w:rPr>
        <w:t>GEPF is</w:t>
      </w:r>
      <w:r w:rsidR="00C162C6" w:rsidRPr="00D16EE6">
        <w:rPr>
          <w:sz w:val="28"/>
          <w:szCs w:val="28"/>
        </w:rPr>
        <w:t xml:space="preserve"> an organ of state might be of importance to the appellants, the declarator</w:t>
      </w:r>
      <w:r w:rsidR="00AD7D18" w:rsidRPr="00D16EE6">
        <w:rPr>
          <w:sz w:val="28"/>
          <w:szCs w:val="28"/>
        </w:rPr>
        <w:t xml:space="preserve"> was </w:t>
      </w:r>
      <w:r w:rsidR="00C91D05" w:rsidRPr="00D16EE6">
        <w:rPr>
          <w:sz w:val="28"/>
          <w:szCs w:val="28"/>
        </w:rPr>
        <w:t xml:space="preserve">limited </w:t>
      </w:r>
      <w:r w:rsidR="00AD7D18" w:rsidRPr="00D16EE6">
        <w:rPr>
          <w:sz w:val="28"/>
          <w:szCs w:val="28"/>
        </w:rPr>
        <w:t xml:space="preserve">by the court to the specific circumstances of the review application between the parties and does not extend to all tender processes outside its reach. In the circumstances, there would </w:t>
      </w:r>
      <w:r w:rsidR="00A5725F" w:rsidRPr="00D16EE6">
        <w:rPr>
          <w:sz w:val="28"/>
          <w:szCs w:val="28"/>
        </w:rPr>
        <w:t xml:space="preserve">also </w:t>
      </w:r>
      <w:r w:rsidR="00AD7D18" w:rsidRPr="00D16EE6">
        <w:rPr>
          <w:sz w:val="28"/>
          <w:szCs w:val="28"/>
        </w:rPr>
        <w:t>be no reason for this Court to hear the appeal</w:t>
      </w:r>
      <w:r w:rsidR="004F0BF7" w:rsidRPr="00D16EE6">
        <w:rPr>
          <w:sz w:val="28"/>
          <w:szCs w:val="28"/>
        </w:rPr>
        <w:t xml:space="preserve"> as contemplated in s</w:t>
      </w:r>
      <w:r w:rsidR="006414B3" w:rsidRPr="00D16EE6">
        <w:rPr>
          <w:sz w:val="28"/>
          <w:szCs w:val="28"/>
        </w:rPr>
        <w:t> 1</w:t>
      </w:r>
      <w:r w:rsidR="004F0BF7" w:rsidRPr="00D16EE6">
        <w:rPr>
          <w:sz w:val="28"/>
          <w:szCs w:val="28"/>
        </w:rPr>
        <w:t>6(2)</w:t>
      </w:r>
      <w:r w:rsidR="004F0BF7" w:rsidRPr="00D16EE6">
        <w:rPr>
          <w:i/>
          <w:iCs/>
          <w:sz w:val="28"/>
          <w:szCs w:val="28"/>
        </w:rPr>
        <w:t>(</w:t>
      </w:r>
      <w:r w:rsidR="004F0BF7" w:rsidRPr="00D16EE6">
        <w:rPr>
          <w:i/>
          <w:sz w:val="28"/>
          <w:szCs w:val="28"/>
        </w:rPr>
        <w:t>a</w:t>
      </w:r>
      <w:r w:rsidR="004F0BF7" w:rsidRPr="00D16EE6">
        <w:rPr>
          <w:i/>
          <w:iCs/>
          <w:sz w:val="28"/>
          <w:szCs w:val="28"/>
        </w:rPr>
        <w:t>)</w:t>
      </w:r>
      <w:r w:rsidR="004F0BF7" w:rsidRPr="00D16EE6">
        <w:rPr>
          <w:sz w:val="28"/>
          <w:szCs w:val="28"/>
        </w:rPr>
        <w:t>(i) of the Superior Courts Act</w:t>
      </w:r>
      <w:r w:rsidR="00AD7D18" w:rsidRPr="00D16EE6">
        <w:rPr>
          <w:sz w:val="28"/>
          <w:szCs w:val="28"/>
        </w:rPr>
        <w:t xml:space="preserve">. </w:t>
      </w:r>
      <w:r w:rsidR="00510393" w:rsidRPr="00D16EE6">
        <w:rPr>
          <w:sz w:val="28"/>
          <w:szCs w:val="28"/>
        </w:rPr>
        <w:t xml:space="preserve">In the light of the findings in this judgment, there is no need to consider any other remedy, other than to strike the matter from the roll.  </w:t>
      </w:r>
    </w:p>
    <w:p w14:paraId="051F4BB3" w14:textId="77777777" w:rsidR="00AD7D18" w:rsidRPr="00D16EE6" w:rsidRDefault="00AD7D18" w:rsidP="00ED6DA6">
      <w:pPr>
        <w:pStyle w:val="ListParagraph"/>
        <w:rPr>
          <w:sz w:val="28"/>
          <w:szCs w:val="28"/>
        </w:rPr>
      </w:pPr>
    </w:p>
    <w:p w14:paraId="1CA7D311" w14:textId="7D259828" w:rsidR="008E7BD7" w:rsidRPr="00D16EE6" w:rsidRDefault="00531B3A" w:rsidP="00531B3A">
      <w:pPr>
        <w:tabs>
          <w:tab w:val="left" w:pos="0"/>
        </w:tabs>
        <w:rPr>
          <w:sz w:val="28"/>
          <w:szCs w:val="28"/>
        </w:rPr>
      </w:pPr>
      <w:r w:rsidRPr="00D16EE6">
        <w:rPr>
          <w:sz w:val="28"/>
          <w:szCs w:val="28"/>
        </w:rPr>
        <w:t>[20]</w:t>
      </w:r>
      <w:r w:rsidRPr="00D16EE6">
        <w:rPr>
          <w:sz w:val="28"/>
          <w:szCs w:val="28"/>
        </w:rPr>
        <w:tab/>
      </w:r>
      <w:r w:rsidR="00AD7D18" w:rsidRPr="00D16EE6">
        <w:rPr>
          <w:sz w:val="28"/>
          <w:szCs w:val="28"/>
        </w:rPr>
        <w:t>As to costs</w:t>
      </w:r>
      <w:r w:rsidR="002D50C3" w:rsidRPr="00D16EE6">
        <w:rPr>
          <w:sz w:val="28"/>
          <w:szCs w:val="28"/>
        </w:rPr>
        <w:t>,</w:t>
      </w:r>
      <w:r w:rsidR="00972A18" w:rsidRPr="00D16EE6">
        <w:rPr>
          <w:sz w:val="28"/>
          <w:szCs w:val="28"/>
        </w:rPr>
        <w:t xml:space="preserve"> Trencon asked for costs to be awarded in its favour because the appellants persisted with the appeal despite the note from th</w:t>
      </w:r>
      <w:r w:rsidR="00CB37FF" w:rsidRPr="00D16EE6">
        <w:rPr>
          <w:sz w:val="28"/>
          <w:szCs w:val="28"/>
        </w:rPr>
        <w:t>is</w:t>
      </w:r>
      <w:r w:rsidR="00972A18" w:rsidRPr="00D16EE6">
        <w:rPr>
          <w:sz w:val="28"/>
          <w:szCs w:val="28"/>
        </w:rPr>
        <w:t xml:space="preserve"> Court directing their attention </w:t>
      </w:r>
      <w:r w:rsidR="00C53A20" w:rsidRPr="00D16EE6">
        <w:rPr>
          <w:sz w:val="28"/>
          <w:szCs w:val="28"/>
        </w:rPr>
        <w:t xml:space="preserve">to </w:t>
      </w:r>
      <w:r w:rsidR="00011EBC" w:rsidRPr="00D16EE6">
        <w:rPr>
          <w:sz w:val="28"/>
          <w:szCs w:val="28"/>
        </w:rPr>
        <w:t>the preliminary</w:t>
      </w:r>
      <w:r w:rsidR="00C53A20" w:rsidRPr="00D16EE6">
        <w:rPr>
          <w:sz w:val="28"/>
          <w:szCs w:val="28"/>
        </w:rPr>
        <w:t xml:space="preserve"> issue. Before th</w:t>
      </w:r>
      <w:r w:rsidR="00972A18" w:rsidRPr="00D16EE6">
        <w:rPr>
          <w:sz w:val="28"/>
          <w:szCs w:val="28"/>
        </w:rPr>
        <w:t>is</w:t>
      </w:r>
      <w:r w:rsidR="00C53A20" w:rsidRPr="00D16EE6">
        <w:rPr>
          <w:sz w:val="28"/>
          <w:szCs w:val="28"/>
        </w:rPr>
        <w:t xml:space="preserve"> note</w:t>
      </w:r>
      <w:r w:rsidR="00CB37FF" w:rsidRPr="00D16EE6">
        <w:rPr>
          <w:sz w:val="28"/>
          <w:szCs w:val="28"/>
        </w:rPr>
        <w:t>,</w:t>
      </w:r>
      <w:r w:rsidR="00C53A20" w:rsidRPr="00D16EE6">
        <w:rPr>
          <w:sz w:val="28"/>
          <w:szCs w:val="28"/>
        </w:rPr>
        <w:t xml:space="preserve"> both </w:t>
      </w:r>
      <w:r w:rsidR="00972A18" w:rsidRPr="00D16EE6">
        <w:rPr>
          <w:sz w:val="28"/>
          <w:szCs w:val="28"/>
        </w:rPr>
        <w:t xml:space="preserve">parties </w:t>
      </w:r>
      <w:r w:rsidR="00C53A20" w:rsidRPr="00D16EE6">
        <w:rPr>
          <w:sz w:val="28"/>
          <w:szCs w:val="28"/>
        </w:rPr>
        <w:t xml:space="preserve">laboured under the </w:t>
      </w:r>
      <w:r w:rsidR="00C53A20" w:rsidRPr="00D16EE6">
        <w:rPr>
          <w:sz w:val="28"/>
          <w:szCs w:val="28"/>
        </w:rPr>
        <w:lastRenderedPageBreak/>
        <w:t xml:space="preserve">impression that </w:t>
      </w:r>
      <w:r w:rsidR="00011EBC" w:rsidRPr="00D16EE6">
        <w:rPr>
          <w:sz w:val="28"/>
          <w:szCs w:val="28"/>
        </w:rPr>
        <w:t>the amended order was validly obtained and</w:t>
      </w:r>
      <w:r w:rsidR="00972A18" w:rsidRPr="00D16EE6">
        <w:rPr>
          <w:sz w:val="28"/>
          <w:szCs w:val="28"/>
        </w:rPr>
        <w:t xml:space="preserve"> issued</w:t>
      </w:r>
      <w:r w:rsidR="00234EAE" w:rsidRPr="00D16EE6">
        <w:rPr>
          <w:sz w:val="28"/>
          <w:szCs w:val="28"/>
        </w:rPr>
        <w:t>,</w:t>
      </w:r>
      <w:r w:rsidR="00A5725F" w:rsidRPr="00D16EE6">
        <w:rPr>
          <w:sz w:val="28"/>
          <w:szCs w:val="28"/>
        </w:rPr>
        <w:t xml:space="preserve"> and susceptible to appeal</w:t>
      </w:r>
      <w:r w:rsidR="00011EBC" w:rsidRPr="00D16EE6">
        <w:rPr>
          <w:sz w:val="28"/>
          <w:szCs w:val="28"/>
        </w:rPr>
        <w:t xml:space="preserve">. </w:t>
      </w:r>
      <w:r w:rsidR="00625997" w:rsidRPr="00D16EE6">
        <w:rPr>
          <w:sz w:val="28"/>
          <w:szCs w:val="28"/>
        </w:rPr>
        <w:t xml:space="preserve">Neither party was blameless. The point held to be decisive was raised by the </w:t>
      </w:r>
      <w:r w:rsidR="00234EAE" w:rsidRPr="00D16EE6">
        <w:rPr>
          <w:sz w:val="28"/>
          <w:szCs w:val="28"/>
        </w:rPr>
        <w:t>C</w:t>
      </w:r>
      <w:r w:rsidR="00625997" w:rsidRPr="00D16EE6">
        <w:rPr>
          <w:sz w:val="28"/>
          <w:szCs w:val="28"/>
        </w:rPr>
        <w:t xml:space="preserve">ourt. There was no justification in either party having persisted in the matter. </w:t>
      </w:r>
      <w:r w:rsidR="0026692E" w:rsidRPr="00D16EE6">
        <w:rPr>
          <w:sz w:val="28"/>
          <w:szCs w:val="28"/>
        </w:rPr>
        <w:t>In th</w:t>
      </w:r>
      <w:r w:rsidR="00EE7EEA" w:rsidRPr="00D16EE6">
        <w:rPr>
          <w:sz w:val="28"/>
          <w:szCs w:val="28"/>
        </w:rPr>
        <w:t>e</w:t>
      </w:r>
      <w:r w:rsidR="0026692E" w:rsidRPr="00D16EE6">
        <w:rPr>
          <w:sz w:val="28"/>
          <w:szCs w:val="28"/>
        </w:rPr>
        <w:t xml:space="preserve">se circumstances, it is </w:t>
      </w:r>
      <w:r w:rsidR="00EE7EEA" w:rsidRPr="00D16EE6">
        <w:rPr>
          <w:sz w:val="28"/>
          <w:szCs w:val="28"/>
        </w:rPr>
        <w:t xml:space="preserve">appropriate </w:t>
      </w:r>
      <w:r w:rsidR="0026692E" w:rsidRPr="00D16EE6">
        <w:rPr>
          <w:sz w:val="28"/>
          <w:szCs w:val="28"/>
        </w:rPr>
        <w:t xml:space="preserve">to order each party to pay its own costs. </w:t>
      </w:r>
    </w:p>
    <w:p w14:paraId="6D590020" w14:textId="77777777" w:rsidR="00445E26" w:rsidRPr="00D16EE6" w:rsidRDefault="00445E26" w:rsidP="00ED6DA6">
      <w:pPr>
        <w:pStyle w:val="ListParagraph"/>
        <w:rPr>
          <w:sz w:val="28"/>
          <w:szCs w:val="28"/>
        </w:rPr>
      </w:pPr>
    </w:p>
    <w:p w14:paraId="0A66BA5F" w14:textId="2AAE55FD" w:rsidR="00EA0E3B" w:rsidRPr="00D16EE6" w:rsidRDefault="00531B3A" w:rsidP="00531B3A">
      <w:pPr>
        <w:tabs>
          <w:tab w:val="left" w:pos="0"/>
        </w:tabs>
        <w:rPr>
          <w:sz w:val="28"/>
          <w:szCs w:val="28"/>
        </w:rPr>
      </w:pPr>
      <w:r w:rsidRPr="00D16EE6">
        <w:rPr>
          <w:sz w:val="28"/>
          <w:szCs w:val="28"/>
        </w:rPr>
        <w:t>[21]</w:t>
      </w:r>
      <w:r w:rsidRPr="00D16EE6">
        <w:rPr>
          <w:sz w:val="28"/>
          <w:szCs w:val="28"/>
        </w:rPr>
        <w:tab/>
      </w:r>
      <w:r w:rsidR="00445E26" w:rsidRPr="00D16EE6">
        <w:rPr>
          <w:sz w:val="28"/>
          <w:szCs w:val="28"/>
        </w:rPr>
        <w:t xml:space="preserve">For </w:t>
      </w:r>
      <w:r w:rsidR="00625997" w:rsidRPr="00D16EE6">
        <w:rPr>
          <w:sz w:val="28"/>
          <w:szCs w:val="28"/>
        </w:rPr>
        <w:t xml:space="preserve">these </w:t>
      </w:r>
      <w:r w:rsidR="00A465F9" w:rsidRPr="00D16EE6">
        <w:rPr>
          <w:sz w:val="28"/>
          <w:szCs w:val="28"/>
        </w:rPr>
        <w:t>reasons, t</w:t>
      </w:r>
      <w:r w:rsidR="00445E26" w:rsidRPr="00D16EE6">
        <w:rPr>
          <w:sz w:val="28"/>
          <w:szCs w:val="28"/>
        </w:rPr>
        <w:t>he matter is struck from the roll</w:t>
      </w:r>
      <w:r w:rsidR="00A465F9" w:rsidRPr="00D16EE6">
        <w:rPr>
          <w:sz w:val="28"/>
          <w:szCs w:val="28"/>
        </w:rPr>
        <w:t xml:space="preserve"> with ea</w:t>
      </w:r>
      <w:r w:rsidR="00445E26" w:rsidRPr="00D16EE6">
        <w:rPr>
          <w:sz w:val="28"/>
          <w:szCs w:val="28"/>
        </w:rPr>
        <w:t>ch party to pay its own costs.</w:t>
      </w:r>
    </w:p>
    <w:p w14:paraId="220893F9" w14:textId="77777777" w:rsidR="00EA0E3B" w:rsidRPr="00D16EE6" w:rsidRDefault="00EA0E3B" w:rsidP="00ED6DA6">
      <w:pPr>
        <w:tabs>
          <w:tab w:val="left" w:pos="0"/>
        </w:tabs>
        <w:rPr>
          <w:sz w:val="28"/>
          <w:szCs w:val="28"/>
        </w:rPr>
      </w:pPr>
    </w:p>
    <w:p w14:paraId="3E21798B" w14:textId="77777777" w:rsidR="00EA0E3B" w:rsidRPr="00D16EE6" w:rsidRDefault="00EA0E3B" w:rsidP="00ED6DA6">
      <w:pPr>
        <w:tabs>
          <w:tab w:val="left" w:pos="0"/>
        </w:tabs>
        <w:rPr>
          <w:sz w:val="28"/>
          <w:szCs w:val="28"/>
        </w:rPr>
      </w:pPr>
    </w:p>
    <w:p w14:paraId="2540AB48" w14:textId="77777777" w:rsidR="00B71745" w:rsidRPr="00D16EE6" w:rsidRDefault="00B71745" w:rsidP="00ED6DA6">
      <w:pPr>
        <w:ind w:firstLine="4860"/>
        <w:jc w:val="right"/>
        <w:rPr>
          <w:sz w:val="28"/>
          <w:szCs w:val="28"/>
        </w:rPr>
      </w:pPr>
      <w:r w:rsidRPr="00D16EE6">
        <w:rPr>
          <w:sz w:val="28"/>
          <w:szCs w:val="28"/>
        </w:rPr>
        <w:t>_________________________</w:t>
      </w:r>
      <w:r w:rsidR="000539C9" w:rsidRPr="00D16EE6">
        <w:rPr>
          <w:sz w:val="28"/>
          <w:szCs w:val="28"/>
        </w:rPr>
        <w:t>__</w:t>
      </w:r>
    </w:p>
    <w:p w14:paraId="3CF79E35" w14:textId="77777777" w:rsidR="00B71745" w:rsidRPr="00D16EE6" w:rsidRDefault="00B71745" w:rsidP="00ED6DA6">
      <w:pPr>
        <w:ind w:firstLine="4860"/>
        <w:jc w:val="right"/>
        <w:rPr>
          <w:sz w:val="28"/>
          <w:szCs w:val="28"/>
        </w:rPr>
      </w:pPr>
      <w:r w:rsidRPr="00D16EE6">
        <w:rPr>
          <w:sz w:val="28"/>
          <w:szCs w:val="28"/>
        </w:rPr>
        <w:t>N P MABINDLA-BOQWANA</w:t>
      </w:r>
    </w:p>
    <w:p w14:paraId="027D21D0" w14:textId="77777777" w:rsidR="00B71745" w:rsidRPr="00D16EE6" w:rsidRDefault="00B71745" w:rsidP="00ED6DA6">
      <w:pPr>
        <w:ind w:firstLine="4860"/>
        <w:jc w:val="right"/>
        <w:rPr>
          <w:sz w:val="28"/>
          <w:szCs w:val="28"/>
        </w:rPr>
      </w:pPr>
      <w:r w:rsidRPr="00D16EE6">
        <w:rPr>
          <w:sz w:val="28"/>
          <w:szCs w:val="28"/>
        </w:rPr>
        <w:t>JUDGE OF APPEAL</w:t>
      </w:r>
    </w:p>
    <w:p w14:paraId="1586D1C7" w14:textId="77777777" w:rsidR="00B71745" w:rsidRPr="00D16EE6" w:rsidRDefault="000539C9" w:rsidP="00ED6DA6">
      <w:pPr>
        <w:jc w:val="left"/>
        <w:rPr>
          <w:sz w:val="28"/>
          <w:szCs w:val="28"/>
        </w:rPr>
      </w:pPr>
      <w:r w:rsidRPr="00D16EE6">
        <w:rPr>
          <w:sz w:val="28"/>
          <w:szCs w:val="28"/>
        </w:rPr>
        <w:br w:type="page"/>
      </w:r>
    </w:p>
    <w:p w14:paraId="702A6F06" w14:textId="77777777" w:rsidR="00B71745" w:rsidRPr="00D16EE6" w:rsidRDefault="00B71745" w:rsidP="00ED6DA6">
      <w:pPr>
        <w:rPr>
          <w:sz w:val="28"/>
          <w:szCs w:val="28"/>
        </w:rPr>
      </w:pPr>
      <w:r w:rsidRPr="00D16EE6">
        <w:rPr>
          <w:sz w:val="28"/>
          <w:szCs w:val="28"/>
        </w:rPr>
        <w:lastRenderedPageBreak/>
        <w:t>Appearances</w:t>
      </w:r>
    </w:p>
    <w:p w14:paraId="26F21EB6" w14:textId="77777777" w:rsidR="00B71745" w:rsidRPr="00D16EE6" w:rsidRDefault="00B71745" w:rsidP="00ED6DA6">
      <w:pPr>
        <w:rPr>
          <w:sz w:val="28"/>
          <w:szCs w:val="28"/>
        </w:rPr>
      </w:pPr>
    </w:p>
    <w:p w14:paraId="3190E464" w14:textId="77777777" w:rsidR="00B71745" w:rsidRPr="00D16EE6" w:rsidRDefault="00B71745" w:rsidP="00ED6DA6">
      <w:pPr>
        <w:rPr>
          <w:sz w:val="28"/>
          <w:szCs w:val="28"/>
        </w:rPr>
      </w:pPr>
      <w:r w:rsidRPr="00D16EE6">
        <w:rPr>
          <w:sz w:val="28"/>
          <w:szCs w:val="28"/>
        </w:rPr>
        <w:t>For</w:t>
      </w:r>
      <w:r w:rsidR="002B70D2" w:rsidRPr="00D16EE6">
        <w:rPr>
          <w:sz w:val="28"/>
          <w:szCs w:val="28"/>
        </w:rPr>
        <w:t xml:space="preserve"> the</w:t>
      </w:r>
      <w:r w:rsidRPr="00D16EE6">
        <w:rPr>
          <w:sz w:val="28"/>
          <w:szCs w:val="28"/>
        </w:rPr>
        <w:t xml:space="preserve"> app</w:t>
      </w:r>
      <w:r w:rsidR="00E43A92" w:rsidRPr="00D16EE6">
        <w:rPr>
          <w:sz w:val="28"/>
          <w:szCs w:val="28"/>
        </w:rPr>
        <w:t xml:space="preserve">ellants: </w:t>
      </w:r>
      <w:r w:rsidRPr="00D16EE6">
        <w:rPr>
          <w:sz w:val="28"/>
          <w:szCs w:val="28"/>
        </w:rPr>
        <w:tab/>
      </w:r>
      <w:r w:rsidRPr="00D16EE6">
        <w:rPr>
          <w:sz w:val="28"/>
          <w:szCs w:val="28"/>
        </w:rPr>
        <w:tab/>
      </w:r>
      <w:r w:rsidRPr="00D16EE6">
        <w:rPr>
          <w:sz w:val="28"/>
          <w:szCs w:val="28"/>
        </w:rPr>
        <w:tab/>
      </w:r>
      <w:r w:rsidR="00E43A92" w:rsidRPr="00D16EE6">
        <w:rPr>
          <w:sz w:val="28"/>
          <w:szCs w:val="28"/>
        </w:rPr>
        <w:t xml:space="preserve">K Pillay SC with C Tabata and M Dafel </w:t>
      </w:r>
    </w:p>
    <w:p w14:paraId="1E96939E" w14:textId="77777777" w:rsidR="00E43A92" w:rsidRPr="00D16EE6" w:rsidRDefault="00B71745" w:rsidP="00ED6DA6">
      <w:pPr>
        <w:rPr>
          <w:bCs/>
          <w:sz w:val="28"/>
          <w:szCs w:val="28"/>
        </w:rPr>
      </w:pPr>
      <w:r w:rsidRPr="00D16EE6">
        <w:rPr>
          <w:bCs/>
          <w:sz w:val="28"/>
          <w:szCs w:val="28"/>
        </w:rPr>
        <w:t>Instructed by:</w:t>
      </w:r>
      <w:r w:rsidRPr="00D16EE6">
        <w:rPr>
          <w:bCs/>
          <w:sz w:val="28"/>
          <w:szCs w:val="28"/>
        </w:rPr>
        <w:tab/>
      </w:r>
      <w:r w:rsidRPr="00D16EE6">
        <w:rPr>
          <w:bCs/>
          <w:sz w:val="28"/>
          <w:szCs w:val="28"/>
        </w:rPr>
        <w:tab/>
      </w:r>
      <w:r w:rsidRPr="00D16EE6">
        <w:rPr>
          <w:bCs/>
          <w:sz w:val="28"/>
          <w:szCs w:val="28"/>
        </w:rPr>
        <w:tab/>
      </w:r>
      <w:r w:rsidR="00E43A92" w:rsidRPr="00D16EE6">
        <w:rPr>
          <w:bCs/>
          <w:sz w:val="28"/>
          <w:szCs w:val="28"/>
        </w:rPr>
        <w:t>Bowman Gilfillan Inc, Sandton</w:t>
      </w:r>
    </w:p>
    <w:p w14:paraId="11A9CC39" w14:textId="77777777" w:rsidR="00B71745" w:rsidRPr="00D16EE6" w:rsidRDefault="00E43A92" w:rsidP="00ED6DA6">
      <w:pPr>
        <w:rPr>
          <w:bCs/>
          <w:sz w:val="28"/>
          <w:szCs w:val="28"/>
        </w:rPr>
      </w:pPr>
      <w:r w:rsidRPr="00D16EE6">
        <w:rPr>
          <w:bCs/>
          <w:sz w:val="28"/>
          <w:szCs w:val="28"/>
        </w:rPr>
        <w:t xml:space="preserve">                          </w:t>
      </w:r>
      <w:r w:rsidR="000539C9" w:rsidRPr="00D16EE6">
        <w:rPr>
          <w:sz w:val="28"/>
          <w:szCs w:val="28"/>
        </w:rPr>
        <w:tab/>
      </w:r>
      <w:r w:rsidR="000539C9" w:rsidRPr="00D16EE6">
        <w:rPr>
          <w:sz w:val="28"/>
          <w:szCs w:val="28"/>
        </w:rPr>
        <w:tab/>
      </w:r>
      <w:r w:rsidR="000539C9" w:rsidRPr="00D16EE6">
        <w:rPr>
          <w:sz w:val="28"/>
          <w:szCs w:val="28"/>
        </w:rPr>
        <w:tab/>
      </w:r>
      <w:r w:rsidRPr="00D16EE6">
        <w:rPr>
          <w:bCs/>
          <w:sz w:val="28"/>
          <w:szCs w:val="28"/>
        </w:rPr>
        <w:t xml:space="preserve">McIntire </w:t>
      </w:r>
      <w:r w:rsidR="002B70D2" w:rsidRPr="00D16EE6">
        <w:rPr>
          <w:bCs/>
          <w:sz w:val="28"/>
          <w:szCs w:val="28"/>
        </w:rPr>
        <w:t>V</w:t>
      </w:r>
      <w:r w:rsidRPr="00D16EE6">
        <w:rPr>
          <w:bCs/>
          <w:sz w:val="28"/>
          <w:szCs w:val="28"/>
        </w:rPr>
        <w:t>an der Post,</w:t>
      </w:r>
      <w:r w:rsidR="00B71745" w:rsidRPr="00D16EE6">
        <w:rPr>
          <w:bCs/>
          <w:sz w:val="28"/>
          <w:szCs w:val="28"/>
        </w:rPr>
        <w:t xml:space="preserve"> Bloemfontein</w:t>
      </w:r>
    </w:p>
    <w:p w14:paraId="3A0C668C" w14:textId="77777777" w:rsidR="00B71745" w:rsidRPr="00D16EE6" w:rsidRDefault="00B71745" w:rsidP="00ED6DA6">
      <w:pPr>
        <w:rPr>
          <w:bCs/>
          <w:sz w:val="28"/>
          <w:szCs w:val="28"/>
        </w:rPr>
      </w:pPr>
    </w:p>
    <w:p w14:paraId="08C6D969" w14:textId="77777777" w:rsidR="00B71745" w:rsidRPr="00D16EE6" w:rsidRDefault="00B71745" w:rsidP="00ED6DA6">
      <w:pPr>
        <w:rPr>
          <w:sz w:val="28"/>
          <w:szCs w:val="28"/>
        </w:rPr>
      </w:pPr>
      <w:r w:rsidRPr="00D16EE6">
        <w:rPr>
          <w:sz w:val="28"/>
          <w:szCs w:val="28"/>
        </w:rPr>
        <w:t xml:space="preserve">For </w:t>
      </w:r>
      <w:r w:rsidR="002B70D2" w:rsidRPr="00D16EE6">
        <w:rPr>
          <w:sz w:val="28"/>
          <w:szCs w:val="28"/>
        </w:rPr>
        <w:t xml:space="preserve">the </w:t>
      </w:r>
      <w:r w:rsidRPr="00D16EE6">
        <w:rPr>
          <w:sz w:val="28"/>
          <w:szCs w:val="28"/>
        </w:rPr>
        <w:t>first respondent:</w:t>
      </w:r>
      <w:r w:rsidRPr="00D16EE6">
        <w:rPr>
          <w:sz w:val="28"/>
          <w:szCs w:val="28"/>
        </w:rPr>
        <w:tab/>
      </w:r>
      <w:r w:rsidRPr="00D16EE6">
        <w:rPr>
          <w:sz w:val="28"/>
          <w:szCs w:val="28"/>
        </w:rPr>
        <w:tab/>
      </w:r>
      <w:r w:rsidR="00E43A92" w:rsidRPr="00D16EE6">
        <w:rPr>
          <w:sz w:val="28"/>
          <w:szCs w:val="28"/>
        </w:rPr>
        <w:t xml:space="preserve">M Chaskalson SC with S Pudifin-Jones  </w:t>
      </w:r>
    </w:p>
    <w:p w14:paraId="4F8F4EBC" w14:textId="77777777" w:rsidR="00B71745" w:rsidRPr="00D16EE6" w:rsidRDefault="00B71745" w:rsidP="00ED6DA6">
      <w:pPr>
        <w:rPr>
          <w:bCs/>
          <w:sz w:val="28"/>
          <w:szCs w:val="28"/>
        </w:rPr>
      </w:pPr>
      <w:r w:rsidRPr="00D16EE6">
        <w:rPr>
          <w:bCs/>
          <w:sz w:val="28"/>
          <w:szCs w:val="28"/>
        </w:rPr>
        <w:t>Instructed by:</w:t>
      </w:r>
      <w:r w:rsidRPr="00D16EE6">
        <w:rPr>
          <w:bCs/>
          <w:sz w:val="28"/>
          <w:szCs w:val="28"/>
        </w:rPr>
        <w:tab/>
      </w:r>
      <w:r w:rsidRPr="00D16EE6">
        <w:rPr>
          <w:bCs/>
          <w:sz w:val="28"/>
          <w:szCs w:val="28"/>
        </w:rPr>
        <w:tab/>
      </w:r>
      <w:r w:rsidRPr="00D16EE6">
        <w:rPr>
          <w:bCs/>
          <w:sz w:val="28"/>
          <w:szCs w:val="28"/>
        </w:rPr>
        <w:tab/>
      </w:r>
      <w:r w:rsidR="00E43A92" w:rsidRPr="00D16EE6">
        <w:rPr>
          <w:bCs/>
          <w:sz w:val="28"/>
          <w:szCs w:val="28"/>
        </w:rPr>
        <w:t>Joubert Galpin Sea</w:t>
      </w:r>
      <w:r w:rsidR="00C54DD9" w:rsidRPr="00D16EE6">
        <w:rPr>
          <w:bCs/>
          <w:sz w:val="28"/>
          <w:szCs w:val="28"/>
        </w:rPr>
        <w:t>r</w:t>
      </w:r>
      <w:r w:rsidR="00E43A92" w:rsidRPr="00D16EE6">
        <w:rPr>
          <w:bCs/>
          <w:sz w:val="28"/>
          <w:szCs w:val="28"/>
        </w:rPr>
        <w:t>le</w:t>
      </w:r>
      <w:r w:rsidRPr="00D16EE6">
        <w:rPr>
          <w:sz w:val="28"/>
          <w:szCs w:val="28"/>
        </w:rPr>
        <w:t xml:space="preserve">, </w:t>
      </w:r>
      <w:r w:rsidR="00E43A92" w:rsidRPr="00D16EE6">
        <w:rPr>
          <w:sz w:val="28"/>
          <w:szCs w:val="28"/>
        </w:rPr>
        <w:t>Gqeber</w:t>
      </w:r>
      <w:r w:rsidR="00C54DD9" w:rsidRPr="00D16EE6">
        <w:rPr>
          <w:sz w:val="28"/>
          <w:szCs w:val="28"/>
        </w:rPr>
        <w:t>h</w:t>
      </w:r>
      <w:r w:rsidR="00E43A92" w:rsidRPr="00D16EE6">
        <w:rPr>
          <w:sz w:val="28"/>
          <w:szCs w:val="28"/>
        </w:rPr>
        <w:t>a</w:t>
      </w:r>
    </w:p>
    <w:p w14:paraId="47CC67F9" w14:textId="05B75442" w:rsidR="00B71745" w:rsidRPr="00AF7B6B" w:rsidRDefault="00E43A92" w:rsidP="00ED6DA6">
      <w:pPr>
        <w:ind w:left="2880" w:firstLine="720"/>
        <w:rPr>
          <w:bCs/>
          <w:sz w:val="28"/>
          <w:szCs w:val="28"/>
        </w:rPr>
      </w:pPr>
      <w:r w:rsidRPr="00D16EE6">
        <w:rPr>
          <w:bCs/>
          <w:sz w:val="28"/>
          <w:szCs w:val="28"/>
        </w:rPr>
        <w:t>Honey Attorneys</w:t>
      </w:r>
      <w:r w:rsidR="002B70D2" w:rsidRPr="00D16EE6">
        <w:rPr>
          <w:bCs/>
          <w:sz w:val="28"/>
          <w:szCs w:val="28"/>
        </w:rPr>
        <w:t>, Bloemfontein</w:t>
      </w:r>
    </w:p>
    <w:p w14:paraId="07BDA7F5" w14:textId="77777777" w:rsidR="00B71745" w:rsidRPr="00B042BE" w:rsidRDefault="00B71745" w:rsidP="00ED6DA6">
      <w:pPr>
        <w:rPr>
          <w:sz w:val="28"/>
          <w:szCs w:val="28"/>
        </w:rPr>
      </w:pPr>
      <w:r w:rsidRPr="00B042BE">
        <w:rPr>
          <w:sz w:val="28"/>
          <w:szCs w:val="28"/>
        </w:rPr>
        <w:tab/>
      </w:r>
    </w:p>
    <w:p w14:paraId="11E11615" w14:textId="77777777" w:rsidR="00B71745" w:rsidRPr="00B042BE" w:rsidRDefault="00B71745" w:rsidP="00B71745">
      <w:pPr>
        <w:rPr>
          <w:sz w:val="28"/>
          <w:szCs w:val="28"/>
        </w:rPr>
      </w:pPr>
    </w:p>
    <w:p w14:paraId="0318E053" w14:textId="77777777" w:rsidR="00B71745" w:rsidRPr="00B042BE" w:rsidRDefault="00B71745" w:rsidP="00B71745">
      <w:pPr>
        <w:rPr>
          <w:sz w:val="28"/>
          <w:szCs w:val="28"/>
        </w:rPr>
      </w:pPr>
    </w:p>
    <w:p w14:paraId="6C628892" w14:textId="77777777" w:rsidR="00B71745" w:rsidRPr="00B042BE" w:rsidRDefault="00B71745" w:rsidP="00B71745"/>
    <w:p w14:paraId="1B1E40A1" w14:textId="77777777" w:rsidR="001D6FA1" w:rsidRDefault="001D6FA1"/>
    <w:sectPr w:rsidR="001D6FA1" w:rsidSect="00097205">
      <w:headerReference w:type="even" r:id="rId9"/>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6A5A" w14:textId="77777777" w:rsidR="0023326B" w:rsidRDefault="0023326B" w:rsidP="00B71745">
      <w:pPr>
        <w:spacing w:line="240" w:lineRule="auto"/>
      </w:pPr>
      <w:r>
        <w:separator/>
      </w:r>
    </w:p>
  </w:endnote>
  <w:endnote w:type="continuationSeparator" w:id="0">
    <w:p w14:paraId="501CBCC0" w14:textId="77777777" w:rsidR="0023326B" w:rsidRDefault="0023326B" w:rsidP="00B71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4D64" w14:textId="77777777" w:rsidR="0023326B" w:rsidRDefault="0023326B" w:rsidP="00B71745">
      <w:pPr>
        <w:spacing w:line="240" w:lineRule="auto"/>
      </w:pPr>
      <w:r>
        <w:separator/>
      </w:r>
    </w:p>
  </w:footnote>
  <w:footnote w:type="continuationSeparator" w:id="0">
    <w:p w14:paraId="64391C39" w14:textId="77777777" w:rsidR="0023326B" w:rsidRDefault="0023326B" w:rsidP="00B71745">
      <w:pPr>
        <w:spacing w:line="240" w:lineRule="auto"/>
      </w:pPr>
      <w:r>
        <w:continuationSeparator/>
      </w:r>
    </w:p>
  </w:footnote>
  <w:footnote w:id="1">
    <w:p w14:paraId="0430001E" w14:textId="77777777" w:rsidR="00DF021E" w:rsidRPr="0007466D" w:rsidRDefault="00DF021E" w:rsidP="00855B71">
      <w:pPr>
        <w:pStyle w:val="FootnoteText"/>
        <w:spacing w:line="240" w:lineRule="auto"/>
        <w:rPr>
          <w:lang w:val="en-US"/>
        </w:rPr>
      </w:pPr>
      <w:r>
        <w:rPr>
          <w:rStyle w:val="FootnoteReference"/>
        </w:rPr>
        <w:footnoteRef/>
      </w:r>
      <w:r>
        <w:t xml:space="preserve"> </w:t>
      </w:r>
      <w:r>
        <w:rPr>
          <w:lang w:val="en-US"/>
        </w:rPr>
        <w:t>Section 3 of the Public Investment Corporation Act 23 of 2004.</w:t>
      </w:r>
    </w:p>
  </w:footnote>
  <w:footnote w:id="2">
    <w:p w14:paraId="408133A6" w14:textId="77777777" w:rsidR="00AD4CFE" w:rsidRPr="00983C7D" w:rsidRDefault="00AD4CFE" w:rsidP="00AD4CFE">
      <w:pPr>
        <w:pStyle w:val="FootnoteText"/>
        <w:spacing w:line="240" w:lineRule="auto"/>
        <w:rPr>
          <w:lang w:val="en-US"/>
        </w:rPr>
      </w:pPr>
      <w:r>
        <w:rPr>
          <w:rStyle w:val="FootnoteReference"/>
        </w:rPr>
        <w:footnoteRef/>
      </w:r>
      <w:r>
        <w:t xml:space="preserve"> Section 2 of the Government Employees Pension Law, 1996</w:t>
      </w:r>
      <w:r w:rsidRPr="0025710C">
        <w:t xml:space="preserve"> (Proclamation 21 published in </w:t>
      </w:r>
      <w:r w:rsidRPr="00855B71">
        <w:rPr>
          <w:i/>
        </w:rPr>
        <w:t>Government Gazette</w:t>
      </w:r>
      <w:r w:rsidRPr="0025710C">
        <w:t xml:space="preserve"> 17135 of 19 April 1996)</w:t>
      </w:r>
      <w:r>
        <w:t xml:space="preserve">.  </w:t>
      </w:r>
      <w:r>
        <w:rPr>
          <w:lang w:val="en-US"/>
        </w:rPr>
        <w:t xml:space="preserve"> </w:t>
      </w:r>
    </w:p>
  </w:footnote>
  <w:footnote w:id="3">
    <w:p w14:paraId="37A73C59" w14:textId="77777777" w:rsidR="00DF021E" w:rsidRPr="00343DB2" w:rsidRDefault="00DF021E" w:rsidP="00855B71">
      <w:pPr>
        <w:pStyle w:val="FootnoteText"/>
        <w:spacing w:line="240" w:lineRule="auto"/>
        <w:rPr>
          <w:lang w:val="en-US"/>
        </w:rPr>
      </w:pPr>
      <w:r>
        <w:rPr>
          <w:rStyle w:val="FootnoteReference"/>
        </w:rPr>
        <w:footnoteRef/>
      </w:r>
      <w:r w:rsidR="0072278E">
        <w:rPr>
          <w:i/>
        </w:rPr>
        <w:t xml:space="preserve"> </w:t>
      </w:r>
      <w:r w:rsidRPr="00343DB2">
        <w:rPr>
          <w:i/>
        </w:rPr>
        <w:t>Firestone South Africa (Pty) Ltd v Genticuro AG</w:t>
      </w:r>
      <w:r>
        <w:t xml:space="preserve"> </w:t>
      </w:r>
      <w:r w:rsidR="009C40EB" w:rsidRPr="009C40EB">
        <w:t>[1977] 4 All SA 600 (A)</w:t>
      </w:r>
      <w:r w:rsidR="009C40EB">
        <w:t>;</w:t>
      </w:r>
      <w:r w:rsidR="009C40EB" w:rsidRPr="009C40EB">
        <w:t xml:space="preserve"> </w:t>
      </w:r>
      <w:r>
        <w:t xml:space="preserve">1977 (4) SA 298 (A) at 306F.  </w:t>
      </w:r>
    </w:p>
  </w:footnote>
  <w:footnote w:id="4">
    <w:p w14:paraId="25C30264" w14:textId="77777777" w:rsidR="007941D4" w:rsidRPr="006C6E54" w:rsidRDefault="007941D4">
      <w:pPr>
        <w:pStyle w:val="FootnoteText"/>
        <w:spacing w:line="240" w:lineRule="auto"/>
        <w:rPr>
          <w:lang w:val="en-US"/>
        </w:rPr>
      </w:pPr>
      <w:r>
        <w:rPr>
          <w:rStyle w:val="FootnoteReference"/>
        </w:rPr>
        <w:footnoteRef/>
      </w:r>
      <w:r>
        <w:t xml:space="preserve"> I</w:t>
      </w:r>
      <w:r>
        <w:rPr>
          <w:lang w:val="en-US"/>
        </w:rPr>
        <w:t>bid at 307A.</w:t>
      </w:r>
    </w:p>
  </w:footnote>
  <w:footnote w:id="5">
    <w:p w14:paraId="453F8AEC" w14:textId="77777777" w:rsidR="00DF021E" w:rsidRPr="007C5760" w:rsidRDefault="00DF021E" w:rsidP="00855B71">
      <w:pPr>
        <w:pStyle w:val="FootnoteText"/>
        <w:spacing w:line="240" w:lineRule="auto"/>
        <w:rPr>
          <w:lang w:val="en-US"/>
        </w:rPr>
      </w:pPr>
      <w:r>
        <w:rPr>
          <w:rStyle w:val="FootnoteReference"/>
        </w:rPr>
        <w:footnoteRef/>
      </w:r>
      <w:r>
        <w:t xml:space="preserve"> </w:t>
      </w:r>
      <w:r>
        <w:rPr>
          <w:lang w:val="en-US"/>
        </w:rPr>
        <w:t>Ibid at 307C.</w:t>
      </w:r>
    </w:p>
  </w:footnote>
  <w:footnote w:id="6">
    <w:p w14:paraId="31C15C59" w14:textId="77777777" w:rsidR="00DF021E" w:rsidRPr="007C5760" w:rsidRDefault="00DF021E" w:rsidP="00855B71">
      <w:pPr>
        <w:pStyle w:val="FootnoteText"/>
        <w:spacing w:line="240" w:lineRule="auto"/>
        <w:rPr>
          <w:lang w:val="en-US"/>
        </w:rPr>
      </w:pPr>
      <w:r>
        <w:rPr>
          <w:rStyle w:val="FootnoteReference"/>
        </w:rPr>
        <w:footnoteRef/>
      </w:r>
      <w:r>
        <w:t xml:space="preserve"> </w:t>
      </w:r>
      <w:r>
        <w:rPr>
          <w:lang w:val="en-US"/>
        </w:rPr>
        <w:t>Ibid at</w:t>
      </w:r>
      <w:r w:rsidR="00850595">
        <w:rPr>
          <w:lang w:val="en-US"/>
        </w:rPr>
        <w:t xml:space="preserve"> 306H.</w:t>
      </w:r>
    </w:p>
  </w:footnote>
  <w:footnote w:id="7">
    <w:p w14:paraId="6200894A" w14:textId="77777777" w:rsidR="00DF021E" w:rsidRPr="000539C9" w:rsidRDefault="00DF021E" w:rsidP="00855B71">
      <w:pPr>
        <w:pStyle w:val="FootnoteText"/>
        <w:spacing w:line="240" w:lineRule="auto"/>
        <w:rPr>
          <w:lang w:val="en-ZA"/>
        </w:rPr>
      </w:pPr>
      <w:r>
        <w:rPr>
          <w:rStyle w:val="FootnoteReference"/>
        </w:rPr>
        <w:footnoteRef/>
      </w:r>
      <w:r>
        <w:t xml:space="preserve"> </w:t>
      </w:r>
      <w:r w:rsidRPr="00D65CB2">
        <w:rPr>
          <w:i/>
        </w:rPr>
        <w:t>Master of the High Court (North Gauteng High Court, Pretoria) v Motala N</w:t>
      </w:r>
      <w:r w:rsidR="00ED6DA6">
        <w:rPr>
          <w:i/>
        </w:rPr>
        <w:t xml:space="preserve"> </w:t>
      </w:r>
      <w:r w:rsidRPr="00D65CB2">
        <w:rPr>
          <w:i/>
        </w:rPr>
        <w:t>O and Others</w:t>
      </w:r>
      <w:r>
        <w:t xml:space="preserve"> </w:t>
      </w:r>
      <w:r w:rsidR="000539C9" w:rsidRPr="000539C9">
        <w:rPr>
          <w:lang w:val="en-ZA"/>
        </w:rPr>
        <w:t>[2011] ZASCA 238; 2012 (3) SA 325</w:t>
      </w:r>
      <w:r>
        <w:t xml:space="preserve"> (SCA) paras 12 and 14. See also </w:t>
      </w:r>
      <w:r w:rsidRPr="009E1446">
        <w:rPr>
          <w:i/>
        </w:rPr>
        <w:t>Department of Transport and Others v Tasima (Pty) Ltd</w:t>
      </w:r>
      <w:r>
        <w:t xml:space="preserve"> </w:t>
      </w:r>
      <w:r w:rsidR="000539C9" w:rsidRPr="000539C9">
        <w:rPr>
          <w:lang w:val="en-ZA"/>
        </w:rPr>
        <w:t>[2016] ZACC 39;</w:t>
      </w:r>
      <w:r w:rsidR="000539C9">
        <w:rPr>
          <w:lang w:val="en-ZA"/>
        </w:rPr>
        <w:t xml:space="preserve"> </w:t>
      </w:r>
      <w:r w:rsidR="00ED6DA6" w:rsidRPr="00ED6DA6">
        <w:rPr>
          <w:lang w:val="en-ZA"/>
        </w:rPr>
        <w:t xml:space="preserve">2017 (1) BCLR 1 (CC); </w:t>
      </w:r>
      <w:r>
        <w:t>2017 (2) SA 622 (CC) para 197</w:t>
      </w:r>
      <w:r w:rsidR="00ED6DA6">
        <w:t>,</w:t>
      </w:r>
      <w:r>
        <w:t xml:space="preserve"> in which this principle was endorsed. </w:t>
      </w:r>
    </w:p>
  </w:footnote>
  <w:footnote w:id="8">
    <w:p w14:paraId="499FB63F" w14:textId="77777777" w:rsidR="00DF021E" w:rsidRPr="000976EF" w:rsidRDefault="00DF021E" w:rsidP="00855B71">
      <w:pPr>
        <w:pStyle w:val="FootnoteText"/>
        <w:spacing w:line="240" w:lineRule="auto"/>
        <w:rPr>
          <w:lang w:val="en-US"/>
        </w:rPr>
      </w:pPr>
      <w:r>
        <w:rPr>
          <w:rStyle w:val="FootnoteReference"/>
        </w:rPr>
        <w:footnoteRef/>
      </w:r>
      <w:r>
        <w:t xml:space="preserve"> </w:t>
      </w:r>
      <w:r w:rsidRPr="00551ACA">
        <w:rPr>
          <w:i/>
        </w:rPr>
        <w:t>Legal-Aid South Africa v Magidiwana and Others</w:t>
      </w:r>
      <w:r>
        <w:t xml:space="preserve"> [2014] ZASCA 141; </w:t>
      </w:r>
      <w:r w:rsidR="00AA6F40" w:rsidRPr="00AA6F40">
        <w:t>[2014] 4 All SA 570 (SCA)</w:t>
      </w:r>
      <w:r w:rsidR="00AA6F40">
        <w:t>;</w:t>
      </w:r>
      <w:r w:rsidR="00AA6F40" w:rsidRPr="00AA6F40">
        <w:t xml:space="preserve"> </w:t>
      </w:r>
      <w:r>
        <w:t xml:space="preserve">2015 (2) SA 568 </w:t>
      </w:r>
      <w:r w:rsidR="00AA6F40">
        <w:t>(</w:t>
      </w:r>
      <w:r>
        <w:t>SCA</w:t>
      </w:r>
      <w:r w:rsidR="00AA6F40">
        <w:t>)</w:t>
      </w:r>
      <w:r>
        <w:t xml:space="preserve"> para 22.  </w:t>
      </w:r>
    </w:p>
  </w:footnote>
  <w:footnote w:id="9">
    <w:p w14:paraId="0F1F6AFA" w14:textId="77777777" w:rsidR="004F6A35" w:rsidRPr="004F6A35" w:rsidRDefault="004F6A35" w:rsidP="00855B71">
      <w:pPr>
        <w:pStyle w:val="FootnoteText"/>
        <w:spacing w:line="240" w:lineRule="auto"/>
        <w:rPr>
          <w:lang w:val="en-US"/>
        </w:rPr>
      </w:pPr>
      <w:r>
        <w:rPr>
          <w:rStyle w:val="FootnoteReference"/>
        </w:rPr>
        <w:footnoteRef/>
      </w:r>
      <w:r>
        <w:t xml:space="preserve"> </w:t>
      </w:r>
      <w:r w:rsidRPr="004F6A35">
        <w:rPr>
          <w:i/>
        </w:rPr>
        <w:t>Port Elizabeth Municipality v Smit</w:t>
      </w:r>
      <w:r>
        <w:t xml:space="preserve"> </w:t>
      </w:r>
      <w:r w:rsidR="00C547EB" w:rsidRPr="00C547EB">
        <w:t>[2002] ZASCA 10</w:t>
      </w:r>
      <w:r w:rsidR="00C547EB">
        <w:t>;</w:t>
      </w:r>
      <w:r w:rsidR="00C547EB" w:rsidRPr="00C547EB">
        <w:t xml:space="preserve"> </w:t>
      </w:r>
      <w:r>
        <w:t xml:space="preserve">2002 (4) SA 241 (SCA) para 7. </w:t>
      </w:r>
    </w:p>
  </w:footnote>
  <w:footnote w:id="10">
    <w:p w14:paraId="4357B55D" w14:textId="77777777" w:rsidR="00CC529F" w:rsidRPr="00CC529F" w:rsidRDefault="00CC529F" w:rsidP="00855B71">
      <w:pPr>
        <w:pStyle w:val="FootnoteText"/>
        <w:spacing w:line="240" w:lineRule="auto"/>
        <w:rPr>
          <w:lang w:val="en-US"/>
        </w:rPr>
      </w:pPr>
      <w:r>
        <w:rPr>
          <w:rStyle w:val="FootnoteReference"/>
        </w:rPr>
        <w:footnoteRef/>
      </w:r>
      <w:r>
        <w:t xml:space="preserve"> </w:t>
      </w:r>
      <w:r w:rsidRPr="00CC529F">
        <w:rPr>
          <w:i/>
          <w:lang w:val="en-US"/>
        </w:rPr>
        <w:t>Magidiwana</w:t>
      </w:r>
      <w:r>
        <w:rPr>
          <w:lang w:val="en-US"/>
        </w:rPr>
        <w:t xml:space="preserve"> fn 8 </w:t>
      </w:r>
      <w:r w:rsidR="00AA6F40">
        <w:rPr>
          <w:lang w:val="en-US"/>
        </w:rPr>
        <w:t xml:space="preserve">above </w:t>
      </w:r>
      <w:r>
        <w:rPr>
          <w:lang w:val="en-US"/>
        </w:rPr>
        <w:t>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092E" w14:textId="77777777" w:rsidR="00DF021E" w:rsidRDefault="00DF0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78E">
      <w:rPr>
        <w:rStyle w:val="PageNumber"/>
        <w:noProof/>
      </w:rPr>
      <w:t>1</w:t>
    </w:r>
    <w:r>
      <w:rPr>
        <w:rStyle w:val="PageNumber"/>
      </w:rPr>
      <w:fldChar w:fldCharType="end"/>
    </w:r>
  </w:p>
  <w:p w14:paraId="534AEAE6" w14:textId="77777777" w:rsidR="00DF021E" w:rsidRDefault="00DF02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320924425"/>
      <w:docPartObj>
        <w:docPartGallery w:val="Page Numbers (Top of Page)"/>
        <w:docPartUnique/>
      </w:docPartObj>
    </w:sdtPr>
    <w:sdtEndPr>
      <w:rPr>
        <w:noProof/>
      </w:rPr>
    </w:sdtEndPr>
    <w:sdtContent>
      <w:p w14:paraId="4C0E598D" w14:textId="60AC84AC" w:rsidR="00DF021E" w:rsidRPr="00CD12AF" w:rsidRDefault="00DF021E">
        <w:pPr>
          <w:pStyle w:val="Header"/>
          <w:jc w:val="right"/>
          <w:rPr>
            <w:sz w:val="28"/>
            <w:szCs w:val="28"/>
          </w:rPr>
        </w:pPr>
        <w:r w:rsidRPr="00CD12AF">
          <w:rPr>
            <w:sz w:val="28"/>
            <w:szCs w:val="28"/>
          </w:rPr>
          <w:fldChar w:fldCharType="begin"/>
        </w:r>
        <w:r w:rsidRPr="00CD12AF">
          <w:rPr>
            <w:sz w:val="28"/>
            <w:szCs w:val="28"/>
          </w:rPr>
          <w:instrText xml:space="preserve"> PAGE   \* MERGEFORMAT </w:instrText>
        </w:r>
        <w:r w:rsidRPr="00CD12AF">
          <w:rPr>
            <w:sz w:val="28"/>
            <w:szCs w:val="28"/>
          </w:rPr>
          <w:fldChar w:fldCharType="separate"/>
        </w:r>
        <w:r w:rsidR="00531B3A">
          <w:rPr>
            <w:noProof/>
            <w:sz w:val="28"/>
            <w:szCs w:val="28"/>
          </w:rPr>
          <w:t>3</w:t>
        </w:r>
        <w:r w:rsidRPr="00CD12AF">
          <w:rPr>
            <w:noProof/>
            <w:sz w:val="28"/>
            <w:szCs w:val="28"/>
          </w:rPr>
          <w:fldChar w:fldCharType="end"/>
        </w:r>
      </w:p>
    </w:sdtContent>
  </w:sdt>
  <w:p w14:paraId="5D8E62A4" w14:textId="77777777" w:rsidR="00DF021E" w:rsidRPr="00CD12AF" w:rsidRDefault="00DF021E">
    <w:pPr>
      <w:pStyle w:val="Header"/>
      <w:ind w:right="360"/>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35714"/>
      <w:docPartObj>
        <w:docPartGallery w:val="Page Numbers (Top of Page)"/>
        <w:docPartUnique/>
      </w:docPartObj>
    </w:sdtPr>
    <w:sdtEndPr>
      <w:rPr>
        <w:noProof/>
      </w:rPr>
    </w:sdtEndPr>
    <w:sdtContent>
      <w:p w14:paraId="3BD3CE52" w14:textId="77777777" w:rsidR="00DF021E" w:rsidRDefault="0023326B">
        <w:pPr>
          <w:pStyle w:val="Header"/>
          <w:jc w:val="right"/>
        </w:pPr>
      </w:p>
    </w:sdtContent>
  </w:sdt>
  <w:p w14:paraId="479EFE33" w14:textId="77777777" w:rsidR="00DF021E" w:rsidRDefault="00DF0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127"/>
    <w:multiLevelType w:val="hybridMultilevel"/>
    <w:tmpl w:val="587C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7929"/>
    <w:multiLevelType w:val="hybridMultilevel"/>
    <w:tmpl w:val="FAA089E6"/>
    <w:lvl w:ilvl="0" w:tplc="CFBCD942">
      <w:start w:val="1"/>
      <w:numFmt w:val="decimal"/>
      <w:lvlText w:val="[%1]"/>
      <w:lvlJc w:val="left"/>
      <w:pPr>
        <w:ind w:left="450" w:firstLine="0"/>
      </w:pPr>
      <w:rPr>
        <w:rFonts w:ascii="Times New Roman" w:hAnsi="Times New Roman" w:cs="Times New Roman" w:hint="default"/>
        <w:b w:val="0"/>
        <w:bCs w:val="0"/>
        <w:i w:val="0"/>
        <w:i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D2ADA"/>
    <w:multiLevelType w:val="hybridMultilevel"/>
    <w:tmpl w:val="5B7E4F6E"/>
    <w:lvl w:ilvl="0" w:tplc="C48A84B2">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11C7A30"/>
    <w:multiLevelType w:val="hybridMultilevel"/>
    <w:tmpl w:val="C018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652CC"/>
    <w:multiLevelType w:val="hybridMultilevel"/>
    <w:tmpl w:val="52D4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C47C8"/>
    <w:multiLevelType w:val="hybridMultilevel"/>
    <w:tmpl w:val="23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4E60BA-FBB8-4AEE-B4F3-BFBF4F1A57E4}"/>
    <w:docVar w:name="dgnword-eventsink" w:val="1723276436624"/>
  </w:docVars>
  <w:rsids>
    <w:rsidRoot w:val="00B71745"/>
    <w:rsid w:val="000010F7"/>
    <w:rsid w:val="00011EBC"/>
    <w:rsid w:val="0002567A"/>
    <w:rsid w:val="00035BBC"/>
    <w:rsid w:val="000374AF"/>
    <w:rsid w:val="00046BDB"/>
    <w:rsid w:val="000539C9"/>
    <w:rsid w:val="00054551"/>
    <w:rsid w:val="000547A7"/>
    <w:rsid w:val="000568E5"/>
    <w:rsid w:val="0006523E"/>
    <w:rsid w:val="00070CC5"/>
    <w:rsid w:val="00073A41"/>
    <w:rsid w:val="0007466D"/>
    <w:rsid w:val="0008193C"/>
    <w:rsid w:val="0009265A"/>
    <w:rsid w:val="00097205"/>
    <w:rsid w:val="000976EF"/>
    <w:rsid w:val="00097906"/>
    <w:rsid w:val="00097A7F"/>
    <w:rsid w:val="000B61A7"/>
    <w:rsid w:val="000C10A0"/>
    <w:rsid w:val="000C74B0"/>
    <w:rsid w:val="000D542E"/>
    <w:rsid w:val="000E2C9E"/>
    <w:rsid w:val="000E5D45"/>
    <w:rsid w:val="000F7439"/>
    <w:rsid w:val="00103A7D"/>
    <w:rsid w:val="00104293"/>
    <w:rsid w:val="00104C5C"/>
    <w:rsid w:val="00124F11"/>
    <w:rsid w:val="00127638"/>
    <w:rsid w:val="00142D6F"/>
    <w:rsid w:val="00152D97"/>
    <w:rsid w:val="001553B9"/>
    <w:rsid w:val="00163582"/>
    <w:rsid w:val="001668CB"/>
    <w:rsid w:val="00166CCD"/>
    <w:rsid w:val="00171399"/>
    <w:rsid w:val="00173090"/>
    <w:rsid w:val="0019159A"/>
    <w:rsid w:val="00191FCE"/>
    <w:rsid w:val="001C4D47"/>
    <w:rsid w:val="001C6552"/>
    <w:rsid w:val="001D6FA1"/>
    <w:rsid w:val="001D7999"/>
    <w:rsid w:val="001E031E"/>
    <w:rsid w:val="00202077"/>
    <w:rsid w:val="002020B9"/>
    <w:rsid w:val="002021BC"/>
    <w:rsid w:val="0023326B"/>
    <w:rsid w:val="00234B7E"/>
    <w:rsid w:val="00234EAE"/>
    <w:rsid w:val="00236725"/>
    <w:rsid w:val="00236CAB"/>
    <w:rsid w:val="00240ED0"/>
    <w:rsid w:val="00242914"/>
    <w:rsid w:val="00243C93"/>
    <w:rsid w:val="00253307"/>
    <w:rsid w:val="00254CE1"/>
    <w:rsid w:val="002560D1"/>
    <w:rsid w:val="0025710C"/>
    <w:rsid w:val="00257594"/>
    <w:rsid w:val="00263319"/>
    <w:rsid w:val="0026692E"/>
    <w:rsid w:val="00285890"/>
    <w:rsid w:val="002A16D0"/>
    <w:rsid w:val="002A347E"/>
    <w:rsid w:val="002B2725"/>
    <w:rsid w:val="002B6C38"/>
    <w:rsid w:val="002B70D2"/>
    <w:rsid w:val="002D2A03"/>
    <w:rsid w:val="002D50C3"/>
    <w:rsid w:val="002D5EA4"/>
    <w:rsid w:val="002D6516"/>
    <w:rsid w:val="002F04E2"/>
    <w:rsid w:val="002F3E1D"/>
    <w:rsid w:val="003144EC"/>
    <w:rsid w:val="0031518F"/>
    <w:rsid w:val="00341AA4"/>
    <w:rsid w:val="00343DB2"/>
    <w:rsid w:val="003468E0"/>
    <w:rsid w:val="00355A75"/>
    <w:rsid w:val="00371999"/>
    <w:rsid w:val="003A12EA"/>
    <w:rsid w:val="003A20D2"/>
    <w:rsid w:val="003C2CD4"/>
    <w:rsid w:val="003D0444"/>
    <w:rsid w:val="003D3648"/>
    <w:rsid w:val="003D504D"/>
    <w:rsid w:val="003F4259"/>
    <w:rsid w:val="00402570"/>
    <w:rsid w:val="0042591D"/>
    <w:rsid w:val="00427DFD"/>
    <w:rsid w:val="00433332"/>
    <w:rsid w:val="00445E26"/>
    <w:rsid w:val="004468E4"/>
    <w:rsid w:val="00447FCA"/>
    <w:rsid w:val="004633A4"/>
    <w:rsid w:val="00465F14"/>
    <w:rsid w:val="00483A9D"/>
    <w:rsid w:val="00485E2F"/>
    <w:rsid w:val="00486A10"/>
    <w:rsid w:val="004B1CA9"/>
    <w:rsid w:val="004B651C"/>
    <w:rsid w:val="004C62C2"/>
    <w:rsid w:val="004F0BF7"/>
    <w:rsid w:val="004F6A35"/>
    <w:rsid w:val="004F6DDD"/>
    <w:rsid w:val="005076FF"/>
    <w:rsid w:val="00510393"/>
    <w:rsid w:val="00526166"/>
    <w:rsid w:val="00531B3A"/>
    <w:rsid w:val="0053497A"/>
    <w:rsid w:val="005418F0"/>
    <w:rsid w:val="00542C79"/>
    <w:rsid w:val="00550504"/>
    <w:rsid w:val="00551ACA"/>
    <w:rsid w:val="00551F8C"/>
    <w:rsid w:val="005600A2"/>
    <w:rsid w:val="00562779"/>
    <w:rsid w:val="00576BF2"/>
    <w:rsid w:val="0058274E"/>
    <w:rsid w:val="00590C9F"/>
    <w:rsid w:val="005A0CAA"/>
    <w:rsid w:val="005D4605"/>
    <w:rsid w:val="005E1BBE"/>
    <w:rsid w:val="005E6197"/>
    <w:rsid w:val="005F1B30"/>
    <w:rsid w:val="005F3443"/>
    <w:rsid w:val="00606D60"/>
    <w:rsid w:val="006157F3"/>
    <w:rsid w:val="00621A8E"/>
    <w:rsid w:val="00625997"/>
    <w:rsid w:val="006414B3"/>
    <w:rsid w:val="00654C51"/>
    <w:rsid w:val="0065614C"/>
    <w:rsid w:val="00656C0A"/>
    <w:rsid w:val="00661BB3"/>
    <w:rsid w:val="00666ED2"/>
    <w:rsid w:val="00671397"/>
    <w:rsid w:val="006C6E54"/>
    <w:rsid w:val="006F152D"/>
    <w:rsid w:val="0071137B"/>
    <w:rsid w:val="007143B7"/>
    <w:rsid w:val="0072278E"/>
    <w:rsid w:val="00722856"/>
    <w:rsid w:val="007265FA"/>
    <w:rsid w:val="00744ED7"/>
    <w:rsid w:val="0075756A"/>
    <w:rsid w:val="0076567D"/>
    <w:rsid w:val="00775792"/>
    <w:rsid w:val="00776D7A"/>
    <w:rsid w:val="00786B79"/>
    <w:rsid w:val="007911CF"/>
    <w:rsid w:val="007941D4"/>
    <w:rsid w:val="007A34BA"/>
    <w:rsid w:val="007A7249"/>
    <w:rsid w:val="007A7B47"/>
    <w:rsid w:val="007A7E94"/>
    <w:rsid w:val="007B6BB0"/>
    <w:rsid w:val="007C5760"/>
    <w:rsid w:val="007F081A"/>
    <w:rsid w:val="007F187D"/>
    <w:rsid w:val="00816E44"/>
    <w:rsid w:val="00821C32"/>
    <w:rsid w:val="008237F2"/>
    <w:rsid w:val="00827033"/>
    <w:rsid w:val="00842ACC"/>
    <w:rsid w:val="00845A23"/>
    <w:rsid w:val="00850595"/>
    <w:rsid w:val="008551FA"/>
    <w:rsid w:val="00855B71"/>
    <w:rsid w:val="00864EB3"/>
    <w:rsid w:val="008A0EF3"/>
    <w:rsid w:val="008B3D36"/>
    <w:rsid w:val="008C5834"/>
    <w:rsid w:val="008D0F9E"/>
    <w:rsid w:val="008E7BD7"/>
    <w:rsid w:val="00904787"/>
    <w:rsid w:val="00915010"/>
    <w:rsid w:val="00937973"/>
    <w:rsid w:val="009417F7"/>
    <w:rsid w:val="009461EB"/>
    <w:rsid w:val="0095348F"/>
    <w:rsid w:val="00956FCD"/>
    <w:rsid w:val="00962A3E"/>
    <w:rsid w:val="00967584"/>
    <w:rsid w:val="00972A18"/>
    <w:rsid w:val="0097414F"/>
    <w:rsid w:val="00982818"/>
    <w:rsid w:val="00983C7D"/>
    <w:rsid w:val="009864F9"/>
    <w:rsid w:val="009942E0"/>
    <w:rsid w:val="009B4E5D"/>
    <w:rsid w:val="009C40EB"/>
    <w:rsid w:val="009E1446"/>
    <w:rsid w:val="009F3E4F"/>
    <w:rsid w:val="00A06858"/>
    <w:rsid w:val="00A10F66"/>
    <w:rsid w:val="00A22397"/>
    <w:rsid w:val="00A2395B"/>
    <w:rsid w:val="00A27210"/>
    <w:rsid w:val="00A30F7E"/>
    <w:rsid w:val="00A374B5"/>
    <w:rsid w:val="00A448B7"/>
    <w:rsid w:val="00A465F9"/>
    <w:rsid w:val="00A47465"/>
    <w:rsid w:val="00A5725F"/>
    <w:rsid w:val="00A611F7"/>
    <w:rsid w:val="00A620FF"/>
    <w:rsid w:val="00AA6F40"/>
    <w:rsid w:val="00AA7A8C"/>
    <w:rsid w:val="00AD4B92"/>
    <w:rsid w:val="00AD4CFE"/>
    <w:rsid w:val="00AD6665"/>
    <w:rsid w:val="00AD7D18"/>
    <w:rsid w:val="00AE717C"/>
    <w:rsid w:val="00AE74EA"/>
    <w:rsid w:val="00B128B5"/>
    <w:rsid w:val="00B1516B"/>
    <w:rsid w:val="00B21742"/>
    <w:rsid w:val="00B23355"/>
    <w:rsid w:val="00B26C08"/>
    <w:rsid w:val="00B47496"/>
    <w:rsid w:val="00B476C8"/>
    <w:rsid w:val="00B5174C"/>
    <w:rsid w:val="00B641B0"/>
    <w:rsid w:val="00B71745"/>
    <w:rsid w:val="00B82533"/>
    <w:rsid w:val="00B870EB"/>
    <w:rsid w:val="00B92455"/>
    <w:rsid w:val="00B95C34"/>
    <w:rsid w:val="00B970A1"/>
    <w:rsid w:val="00BA7054"/>
    <w:rsid w:val="00BB53A4"/>
    <w:rsid w:val="00BF3B94"/>
    <w:rsid w:val="00C162C6"/>
    <w:rsid w:val="00C313A0"/>
    <w:rsid w:val="00C408D1"/>
    <w:rsid w:val="00C42560"/>
    <w:rsid w:val="00C518E4"/>
    <w:rsid w:val="00C53A20"/>
    <w:rsid w:val="00C547EB"/>
    <w:rsid w:val="00C54DD9"/>
    <w:rsid w:val="00C6098A"/>
    <w:rsid w:val="00C676E3"/>
    <w:rsid w:val="00C861CD"/>
    <w:rsid w:val="00C91D05"/>
    <w:rsid w:val="00C91F02"/>
    <w:rsid w:val="00C92522"/>
    <w:rsid w:val="00CB123B"/>
    <w:rsid w:val="00CB37FF"/>
    <w:rsid w:val="00CB3F0B"/>
    <w:rsid w:val="00CC1E3F"/>
    <w:rsid w:val="00CC529F"/>
    <w:rsid w:val="00CD12AF"/>
    <w:rsid w:val="00CE660D"/>
    <w:rsid w:val="00D073A0"/>
    <w:rsid w:val="00D07BBB"/>
    <w:rsid w:val="00D16EE6"/>
    <w:rsid w:val="00D20639"/>
    <w:rsid w:val="00D37522"/>
    <w:rsid w:val="00D37EEF"/>
    <w:rsid w:val="00D470AA"/>
    <w:rsid w:val="00D54846"/>
    <w:rsid w:val="00D65CB2"/>
    <w:rsid w:val="00D76205"/>
    <w:rsid w:val="00D81D7E"/>
    <w:rsid w:val="00DB02BE"/>
    <w:rsid w:val="00DB08D7"/>
    <w:rsid w:val="00DB2865"/>
    <w:rsid w:val="00DB2FDD"/>
    <w:rsid w:val="00DC1046"/>
    <w:rsid w:val="00DE4702"/>
    <w:rsid w:val="00DF021E"/>
    <w:rsid w:val="00E003BD"/>
    <w:rsid w:val="00E14FF6"/>
    <w:rsid w:val="00E35897"/>
    <w:rsid w:val="00E42785"/>
    <w:rsid w:val="00E43A92"/>
    <w:rsid w:val="00E464FB"/>
    <w:rsid w:val="00E475A2"/>
    <w:rsid w:val="00E52652"/>
    <w:rsid w:val="00E6006A"/>
    <w:rsid w:val="00E74554"/>
    <w:rsid w:val="00E84A7E"/>
    <w:rsid w:val="00E90C25"/>
    <w:rsid w:val="00E925D2"/>
    <w:rsid w:val="00EA0E3B"/>
    <w:rsid w:val="00EA1531"/>
    <w:rsid w:val="00EA200F"/>
    <w:rsid w:val="00EA73FB"/>
    <w:rsid w:val="00EB1A26"/>
    <w:rsid w:val="00EB4B58"/>
    <w:rsid w:val="00EB706F"/>
    <w:rsid w:val="00ED19CD"/>
    <w:rsid w:val="00ED6DA6"/>
    <w:rsid w:val="00EE7EEA"/>
    <w:rsid w:val="00EF503C"/>
    <w:rsid w:val="00F1114E"/>
    <w:rsid w:val="00F3413D"/>
    <w:rsid w:val="00F3452D"/>
    <w:rsid w:val="00F37220"/>
    <w:rsid w:val="00F404C2"/>
    <w:rsid w:val="00F420DA"/>
    <w:rsid w:val="00F5431B"/>
    <w:rsid w:val="00F6117B"/>
    <w:rsid w:val="00F6342A"/>
    <w:rsid w:val="00F65314"/>
    <w:rsid w:val="00F763D1"/>
    <w:rsid w:val="00FA1FC0"/>
    <w:rsid w:val="00FA250B"/>
    <w:rsid w:val="00FC273D"/>
    <w:rsid w:val="00FC4E63"/>
    <w:rsid w:val="00FC7A40"/>
    <w:rsid w:val="00FE0B23"/>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E19E"/>
  <w15:chartTrackingRefBased/>
  <w15:docId w15:val="{DBBA19CB-ACD6-40EA-AD1C-AFD4AD65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F9"/>
    <w:pPr>
      <w:spacing w:after="0" w:line="36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0539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71745"/>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745"/>
    <w:rPr>
      <w:rFonts w:ascii="Arial" w:eastAsia="Times New Roman" w:hAnsi="Arial" w:cs="Arial"/>
      <w:i/>
      <w:iCs/>
      <w:sz w:val="28"/>
      <w:szCs w:val="24"/>
      <w:lang w:val="en-GB"/>
    </w:rPr>
  </w:style>
  <w:style w:type="paragraph" w:styleId="Header">
    <w:name w:val="header"/>
    <w:basedOn w:val="Normal"/>
    <w:link w:val="HeaderChar"/>
    <w:uiPriority w:val="99"/>
    <w:rsid w:val="00B71745"/>
    <w:pPr>
      <w:tabs>
        <w:tab w:val="center" w:pos="4153"/>
        <w:tab w:val="right" w:pos="8306"/>
      </w:tabs>
    </w:pPr>
  </w:style>
  <w:style w:type="character" w:customStyle="1" w:styleId="HeaderChar">
    <w:name w:val="Header Char"/>
    <w:basedOn w:val="DefaultParagraphFont"/>
    <w:link w:val="Header"/>
    <w:uiPriority w:val="99"/>
    <w:rsid w:val="00B71745"/>
    <w:rPr>
      <w:rFonts w:ascii="Times New Roman" w:eastAsia="Times New Roman" w:hAnsi="Times New Roman" w:cs="Times New Roman"/>
      <w:sz w:val="24"/>
      <w:szCs w:val="24"/>
      <w:lang w:val="en-GB"/>
    </w:rPr>
  </w:style>
  <w:style w:type="character" w:styleId="PageNumber">
    <w:name w:val="page number"/>
    <w:basedOn w:val="DefaultParagraphFont"/>
    <w:rsid w:val="00B71745"/>
    <w:rPr>
      <w:rFonts w:cs="Times New Roman"/>
    </w:rPr>
  </w:style>
  <w:style w:type="paragraph" w:styleId="FootnoteText">
    <w:name w:val="footnote text"/>
    <w:basedOn w:val="Normal"/>
    <w:link w:val="FootnoteTextChar"/>
    <w:uiPriority w:val="99"/>
    <w:rsid w:val="00B71745"/>
    <w:rPr>
      <w:sz w:val="20"/>
      <w:szCs w:val="20"/>
    </w:rPr>
  </w:style>
  <w:style w:type="character" w:customStyle="1" w:styleId="FootnoteTextChar">
    <w:name w:val="Footnote Text Char"/>
    <w:basedOn w:val="DefaultParagraphFont"/>
    <w:link w:val="FootnoteText"/>
    <w:uiPriority w:val="99"/>
    <w:rsid w:val="00B7174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71745"/>
    <w:pPr>
      <w:ind w:left="720"/>
      <w:contextualSpacing/>
    </w:pPr>
  </w:style>
  <w:style w:type="character" w:styleId="FootnoteReference">
    <w:name w:val="footnote reference"/>
    <w:basedOn w:val="DefaultParagraphFont"/>
    <w:uiPriority w:val="99"/>
    <w:semiHidden/>
    <w:unhideWhenUsed/>
    <w:rsid w:val="00B71745"/>
    <w:rPr>
      <w:vertAlign w:val="superscript"/>
    </w:rPr>
  </w:style>
  <w:style w:type="character" w:customStyle="1" w:styleId="il">
    <w:name w:val="il"/>
    <w:basedOn w:val="DefaultParagraphFont"/>
    <w:rsid w:val="000E5D45"/>
  </w:style>
  <w:style w:type="paragraph" w:customStyle="1" w:styleId="m-7376826121613419991m-3922648306252693671msolistparagraph">
    <w:name w:val="m_-7376826121613419991m-3922648306252693671msolistparagraph"/>
    <w:basedOn w:val="Normal"/>
    <w:rsid w:val="000E5D45"/>
    <w:pPr>
      <w:spacing w:before="100" w:beforeAutospacing="1" w:after="100" w:afterAutospacing="1" w:line="240" w:lineRule="auto"/>
      <w:jc w:val="left"/>
    </w:pPr>
    <w:rPr>
      <w:lang w:val="en-US"/>
    </w:rPr>
  </w:style>
  <w:style w:type="character" w:customStyle="1" w:styleId="mc">
    <w:name w:val="mc"/>
    <w:basedOn w:val="DefaultParagraphFont"/>
    <w:rsid w:val="003D0444"/>
  </w:style>
  <w:style w:type="character" w:customStyle="1" w:styleId="Heading2Char">
    <w:name w:val="Heading 2 Char"/>
    <w:basedOn w:val="DefaultParagraphFont"/>
    <w:link w:val="Heading2"/>
    <w:uiPriority w:val="9"/>
    <w:semiHidden/>
    <w:rsid w:val="000539C9"/>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CD12AF"/>
    <w:pPr>
      <w:tabs>
        <w:tab w:val="center" w:pos="4513"/>
        <w:tab w:val="right" w:pos="9026"/>
      </w:tabs>
      <w:spacing w:line="240" w:lineRule="auto"/>
    </w:pPr>
  </w:style>
  <w:style w:type="character" w:customStyle="1" w:styleId="FooterChar">
    <w:name w:val="Footer Char"/>
    <w:basedOn w:val="DefaultParagraphFont"/>
    <w:link w:val="Footer"/>
    <w:uiPriority w:val="99"/>
    <w:rsid w:val="00CD12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941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D4"/>
    <w:rPr>
      <w:rFonts w:ascii="Segoe UI" w:eastAsia="Times New Roman" w:hAnsi="Segoe UI" w:cs="Segoe UI"/>
      <w:sz w:val="18"/>
      <w:szCs w:val="18"/>
      <w:lang w:val="en-GB"/>
    </w:rPr>
  </w:style>
  <w:style w:type="paragraph" w:styleId="Revision">
    <w:name w:val="Revision"/>
    <w:hidden/>
    <w:uiPriority w:val="99"/>
    <w:semiHidden/>
    <w:rsid w:val="00EA200F"/>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468E4"/>
    <w:rPr>
      <w:sz w:val="16"/>
      <w:szCs w:val="16"/>
    </w:rPr>
  </w:style>
  <w:style w:type="paragraph" w:styleId="CommentText">
    <w:name w:val="annotation text"/>
    <w:basedOn w:val="Normal"/>
    <w:link w:val="CommentTextChar"/>
    <w:uiPriority w:val="99"/>
    <w:unhideWhenUsed/>
    <w:rsid w:val="004468E4"/>
    <w:pPr>
      <w:spacing w:line="240" w:lineRule="auto"/>
    </w:pPr>
    <w:rPr>
      <w:sz w:val="20"/>
      <w:szCs w:val="20"/>
    </w:rPr>
  </w:style>
  <w:style w:type="character" w:customStyle="1" w:styleId="CommentTextChar">
    <w:name w:val="Comment Text Char"/>
    <w:basedOn w:val="DefaultParagraphFont"/>
    <w:link w:val="CommentText"/>
    <w:uiPriority w:val="99"/>
    <w:rsid w:val="004468E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68E4"/>
    <w:rPr>
      <w:b/>
      <w:bCs/>
    </w:rPr>
  </w:style>
  <w:style w:type="character" w:customStyle="1" w:styleId="CommentSubjectChar">
    <w:name w:val="Comment Subject Char"/>
    <w:basedOn w:val="CommentTextChar"/>
    <w:link w:val="CommentSubject"/>
    <w:uiPriority w:val="99"/>
    <w:semiHidden/>
    <w:rsid w:val="004468E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4983">
      <w:bodyDiv w:val="1"/>
      <w:marLeft w:val="0"/>
      <w:marRight w:val="0"/>
      <w:marTop w:val="0"/>
      <w:marBottom w:val="0"/>
      <w:divBdr>
        <w:top w:val="none" w:sz="0" w:space="0" w:color="auto"/>
        <w:left w:val="none" w:sz="0" w:space="0" w:color="auto"/>
        <w:bottom w:val="none" w:sz="0" w:space="0" w:color="auto"/>
        <w:right w:val="none" w:sz="0" w:space="0" w:color="auto"/>
      </w:divBdr>
      <w:divsChild>
        <w:div w:id="632711062">
          <w:marLeft w:val="0"/>
          <w:marRight w:val="0"/>
          <w:marTop w:val="120"/>
          <w:marBottom w:val="0"/>
          <w:divBdr>
            <w:top w:val="none" w:sz="0" w:space="0" w:color="auto"/>
            <w:left w:val="none" w:sz="0" w:space="0" w:color="auto"/>
            <w:bottom w:val="none" w:sz="0" w:space="0" w:color="auto"/>
            <w:right w:val="none" w:sz="0" w:space="0" w:color="auto"/>
          </w:divBdr>
        </w:div>
        <w:div w:id="505093177">
          <w:marLeft w:val="0"/>
          <w:marRight w:val="0"/>
          <w:marTop w:val="120"/>
          <w:marBottom w:val="0"/>
          <w:divBdr>
            <w:top w:val="none" w:sz="0" w:space="0" w:color="auto"/>
            <w:left w:val="none" w:sz="0" w:space="0" w:color="auto"/>
            <w:bottom w:val="none" w:sz="0" w:space="0" w:color="auto"/>
            <w:right w:val="none" w:sz="0" w:space="0" w:color="auto"/>
          </w:divBdr>
        </w:div>
        <w:div w:id="1348555860">
          <w:marLeft w:val="0"/>
          <w:marRight w:val="0"/>
          <w:marTop w:val="120"/>
          <w:marBottom w:val="0"/>
          <w:divBdr>
            <w:top w:val="none" w:sz="0" w:space="0" w:color="auto"/>
            <w:left w:val="none" w:sz="0" w:space="0" w:color="auto"/>
            <w:bottom w:val="none" w:sz="0" w:space="0" w:color="auto"/>
            <w:right w:val="none" w:sz="0" w:space="0" w:color="auto"/>
          </w:divBdr>
        </w:div>
        <w:div w:id="1267231700">
          <w:marLeft w:val="567"/>
          <w:marRight w:val="0"/>
          <w:marTop w:val="60"/>
          <w:marBottom w:val="0"/>
          <w:divBdr>
            <w:top w:val="none" w:sz="0" w:space="0" w:color="auto"/>
            <w:left w:val="none" w:sz="0" w:space="0" w:color="auto"/>
            <w:bottom w:val="none" w:sz="0" w:space="0" w:color="auto"/>
            <w:right w:val="none" w:sz="0" w:space="0" w:color="auto"/>
          </w:divBdr>
        </w:div>
        <w:div w:id="1083792767">
          <w:marLeft w:val="0"/>
          <w:marRight w:val="0"/>
          <w:marTop w:val="120"/>
          <w:marBottom w:val="0"/>
          <w:divBdr>
            <w:top w:val="none" w:sz="0" w:space="0" w:color="auto"/>
            <w:left w:val="none" w:sz="0" w:space="0" w:color="auto"/>
            <w:bottom w:val="none" w:sz="0" w:space="0" w:color="auto"/>
            <w:right w:val="none" w:sz="0" w:space="0" w:color="auto"/>
          </w:divBdr>
        </w:div>
      </w:divsChild>
    </w:div>
    <w:div w:id="552162652">
      <w:bodyDiv w:val="1"/>
      <w:marLeft w:val="0"/>
      <w:marRight w:val="0"/>
      <w:marTop w:val="0"/>
      <w:marBottom w:val="0"/>
      <w:divBdr>
        <w:top w:val="none" w:sz="0" w:space="0" w:color="auto"/>
        <w:left w:val="none" w:sz="0" w:space="0" w:color="auto"/>
        <w:bottom w:val="none" w:sz="0" w:space="0" w:color="auto"/>
        <w:right w:val="none" w:sz="0" w:space="0" w:color="auto"/>
      </w:divBdr>
    </w:div>
    <w:div w:id="1818721113">
      <w:bodyDiv w:val="1"/>
      <w:marLeft w:val="0"/>
      <w:marRight w:val="0"/>
      <w:marTop w:val="0"/>
      <w:marBottom w:val="0"/>
      <w:divBdr>
        <w:top w:val="none" w:sz="0" w:space="0" w:color="auto"/>
        <w:left w:val="none" w:sz="0" w:space="0" w:color="auto"/>
        <w:bottom w:val="none" w:sz="0" w:space="0" w:color="auto"/>
        <w:right w:val="none" w:sz="0" w:space="0" w:color="auto"/>
      </w:divBdr>
    </w:div>
    <w:div w:id="18827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18A9-1DEB-4235-A4AA-5E947A62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Mokone</cp:lastModifiedBy>
  <cp:revision>3</cp:revision>
  <cp:lastPrinted>2023-06-08T10:05:00Z</cp:lastPrinted>
  <dcterms:created xsi:type="dcterms:W3CDTF">2023-06-08T11:12:00Z</dcterms:created>
  <dcterms:modified xsi:type="dcterms:W3CDTF">2023-06-08T11:14:00Z</dcterms:modified>
</cp:coreProperties>
</file>