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16B9" w14:textId="397EB6B6" w:rsidR="002073C1" w:rsidRPr="00860603" w:rsidRDefault="002073C1" w:rsidP="00B05C8E">
      <w:pPr>
        <w:rPr>
          <w:rFonts w:ascii="Arial" w:hAnsi="Arial" w:cs="Arial"/>
          <w:b/>
          <w:bCs/>
          <w:sz w:val="24"/>
          <w:szCs w:val="24"/>
          <w:lang w:val="en-US"/>
        </w:rPr>
      </w:pPr>
      <w:bookmarkStart w:id="0" w:name="_GoBack"/>
      <w:bookmarkEnd w:id="0"/>
      <w:r w:rsidRPr="00860603">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860603" w:rsidRDefault="002073C1" w:rsidP="00B05C8E">
      <w:pPr>
        <w:rPr>
          <w:rFonts w:ascii="Arial" w:hAnsi="Arial" w:cs="Arial"/>
          <w:b/>
          <w:bCs/>
          <w:sz w:val="24"/>
          <w:szCs w:val="24"/>
          <w:lang w:val="en-US"/>
        </w:rPr>
      </w:pPr>
    </w:p>
    <w:p w14:paraId="4D28699F" w14:textId="77777777" w:rsidR="002073C1" w:rsidRPr="00860603" w:rsidRDefault="002073C1" w:rsidP="00B05C8E">
      <w:pPr>
        <w:jc w:val="center"/>
        <w:rPr>
          <w:rFonts w:ascii="Arial" w:hAnsi="Arial" w:cs="Arial"/>
          <w:b/>
          <w:bCs/>
          <w:sz w:val="24"/>
          <w:szCs w:val="24"/>
          <w:lang w:val="en-GB"/>
        </w:rPr>
      </w:pPr>
    </w:p>
    <w:p w14:paraId="3B5CF056" w14:textId="77777777" w:rsidR="00A17461" w:rsidRPr="00860603" w:rsidRDefault="00A17461" w:rsidP="00B05C8E">
      <w:pPr>
        <w:jc w:val="center"/>
        <w:rPr>
          <w:rFonts w:ascii="Arial" w:hAnsi="Arial" w:cs="Arial"/>
          <w:b/>
          <w:bCs/>
          <w:sz w:val="24"/>
          <w:szCs w:val="24"/>
          <w:lang w:val="en-GB"/>
        </w:rPr>
      </w:pPr>
    </w:p>
    <w:p w14:paraId="0A9BCFE6" w14:textId="77777777" w:rsidR="002073C1" w:rsidRPr="00860603" w:rsidRDefault="002073C1" w:rsidP="00320A23">
      <w:pPr>
        <w:spacing w:line="240" w:lineRule="auto"/>
        <w:jc w:val="center"/>
        <w:rPr>
          <w:rFonts w:ascii="Arial" w:hAnsi="Arial" w:cs="Arial"/>
          <w:b/>
          <w:bCs/>
          <w:sz w:val="24"/>
          <w:szCs w:val="24"/>
          <w:lang w:val="en-GB"/>
        </w:rPr>
      </w:pPr>
      <w:r w:rsidRPr="00860603">
        <w:rPr>
          <w:rFonts w:ascii="Arial" w:hAnsi="Arial" w:cs="Arial"/>
          <w:b/>
          <w:bCs/>
          <w:sz w:val="24"/>
          <w:szCs w:val="24"/>
          <w:lang w:val="en-GB"/>
        </w:rPr>
        <w:t>THE SUPREME COURT OF APPEAL OF SOUTH AFRICA</w:t>
      </w:r>
    </w:p>
    <w:p w14:paraId="168351F8" w14:textId="77777777" w:rsidR="002073C1" w:rsidRPr="00860603" w:rsidRDefault="002073C1" w:rsidP="00320A23">
      <w:pPr>
        <w:keepNext/>
        <w:spacing w:line="240" w:lineRule="auto"/>
        <w:jc w:val="center"/>
        <w:outlineLvl w:val="2"/>
        <w:rPr>
          <w:b/>
          <w:iCs/>
          <w:sz w:val="24"/>
          <w:szCs w:val="24"/>
          <w:lang w:val="en-GB"/>
        </w:rPr>
      </w:pPr>
      <w:r w:rsidRPr="00860603">
        <w:rPr>
          <w:rFonts w:ascii="Arial" w:hAnsi="Arial" w:cs="Arial"/>
          <w:b/>
          <w:iCs/>
          <w:sz w:val="24"/>
          <w:szCs w:val="24"/>
          <w:lang w:val="en-GB"/>
        </w:rPr>
        <w:t>JUDGMENT</w:t>
      </w:r>
    </w:p>
    <w:p w14:paraId="46EC5F66" w14:textId="77777777" w:rsidR="002073C1" w:rsidRPr="00860603" w:rsidRDefault="002073C1" w:rsidP="00320A23">
      <w:pPr>
        <w:spacing w:line="240" w:lineRule="auto"/>
        <w:rPr>
          <w:rFonts w:ascii="Arial" w:hAnsi="Arial" w:cs="Arial"/>
          <w:b/>
          <w:bCs/>
          <w:sz w:val="24"/>
          <w:szCs w:val="24"/>
          <w:lang w:val="en-US"/>
        </w:rPr>
      </w:pPr>
    </w:p>
    <w:p w14:paraId="7514B0C1" w14:textId="3B94000E" w:rsidR="002073C1" w:rsidRPr="00860603" w:rsidRDefault="00DC5FE6" w:rsidP="00320A23">
      <w:pPr>
        <w:spacing w:line="240" w:lineRule="auto"/>
        <w:jc w:val="right"/>
        <w:rPr>
          <w:rFonts w:ascii="Arial" w:hAnsi="Arial" w:cs="Arial"/>
          <w:b/>
          <w:bCs/>
          <w:sz w:val="24"/>
          <w:szCs w:val="24"/>
          <w:lang w:val="en-US"/>
        </w:rPr>
      </w:pPr>
      <w:r w:rsidRPr="00860603">
        <w:rPr>
          <w:rFonts w:ascii="Arial" w:hAnsi="Arial" w:cs="Arial"/>
          <w:b/>
          <w:bCs/>
          <w:sz w:val="24"/>
          <w:szCs w:val="24"/>
          <w:lang w:val="en-US"/>
        </w:rPr>
        <w:t xml:space="preserve"> </w:t>
      </w:r>
      <w:r w:rsidR="005D5D75" w:rsidRPr="00860603">
        <w:rPr>
          <w:rFonts w:ascii="Arial" w:hAnsi="Arial" w:cs="Arial"/>
          <w:b/>
          <w:bCs/>
          <w:sz w:val="24"/>
          <w:szCs w:val="24"/>
          <w:lang w:val="en-US"/>
        </w:rPr>
        <w:t>Reportable</w:t>
      </w:r>
      <w:r w:rsidR="002073C1" w:rsidRPr="00860603">
        <w:rPr>
          <w:rFonts w:ascii="Arial" w:hAnsi="Arial" w:cs="Arial"/>
          <w:b/>
          <w:bCs/>
          <w:sz w:val="24"/>
          <w:szCs w:val="24"/>
          <w:lang w:val="en-US"/>
        </w:rPr>
        <w:t xml:space="preserve"> </w:t>
      </w:r>
    </w:p>
    <w:p w14:paraId="35CDE11D" w14:textId="0ACA66D6" w:rsidR="002073C1" w:rsidRPr="00860603" w:rsidRDefault="002073C1" w:rsidP="00320A23">
      <w:pPr>
        <w:spacing w:line="240" w:lineRule="auto"/>
        <w:jc w:val="right"/>
        <w:rPr>
          <w:rFonts w:ascii="Arial" w:hAnsi="Arial" w:cs="Arial"/>
          <w:bCs/>
          <w:sz w:val="24"/>
          <w:szCs w:val="24"/>
          <w:lang w:val="en-US"/>
        </w:rPr>
      </w:pPr>
      <w:r w:rsidRPr="00860603">
        <w:rPr>
          <w:rFonts w:ascii="Arial" w:hAnsi="Arial" w:cs="Arial"/>
          <w:bCs/>
          <w:sz w:val="24"/>
          <w:szCs w:val="24"/>
          <w:lang w:val="en-US"/>
        </w:rPr>
        <w:t>Case no</w:t>
      </w:r>
      <w:r w:rsidR="006D42D1" w:rsidRPr="00860603">
        <w:rPr>
          <w:rFonts w:ascii="Arial" w:hAnsi="Arial" w:cs="Arial"/>
          <w:bCs/>
          <w:sz w:val="24"/>
          <w:szCs w:val="24"/>
          <w:lang w:val="en-US"/>
        </w:rPr>
        <w:t>:</w:t>
      </w:r>
      <w:r w:rsidRPr="00860603">
        <w:rPr>
          <w:rFonts w:ascii="Arial" w:hAnsi="Arial" w:cs="Arial"/>
          <w:bCs/>
          <w:sz w:val="24"/>
          <w:szCs w:val="24"/>
          <w:lang w:val="en-US"/>
        </w:rPr>
        <w:t xml:space="preserve"> </w:t>
      </w:r>
      <w:r w:rsidR="00B874DD" w:rsidRPr="00860603">
        <w:rPr>
          <w:rFonts w:ascii="Arial" w:hAnsi="Arial" w:cs="Arial"/>
          <w:bCs/>
          <w:sz w:val="24"/>
          <w:szCs w:val="24"/>
          <w:lang w:val="en-US"/>
        </w:rPr>
        <w:t>688/2016</w:t>
      </w:r>
    </w:p>
    <w:p w14:paraId="4D34399C" w14:textId="77777777" w:rsidR="00735CFE" w:rsidRPr="00860603" w:rsidRDefault="00735CFE" w:rsidP="00320A23">
      <w:pPr>
        <w:spacing w:line="240" w:lineRule="auto"/>
        <w:rPr>
          <w:rFonts w:ascii="Arial" w:hAnsi="Arial" w:cs="Arial"/>
          <w:bCs/>
          <w:sz w:val="24"/>
          <w:szCs w:val="24"/>
          <w:lang w:val="en-US"/>
        </w:rPr>
      </w:pPr>
    </w:p>
    <w:p w14:paraId="2E1D44B5" w14:textId="24367FFE" w:rsidR="00BD73E7" w:rsidRPr="00860603" w:rsidRDefault="00BD73E7" w:rsidP="00320A23">
      <w:pPr>
        <w:spacing w:line="240" w:lineRule="auto"/>
        <w:rPr>
          <w:rFonts w:ascii="Arial" w:hAnsi="Arial" w:cs="Arial"/>
          <w:bCs/>
          <w:sz w:val="24"/>
          <w:szCs w:val="24"/>
          <w:lang w:val="en-US"/>
        </w:rPr>
      </w:pPr>
      <w:r w:rsidRPr="00860603">
        <w:rPr>
          <w:rFonts w:ascii="Arial" w:hAnsi="Arial" w:cs="Arial"/>
          <w:bCs/>
          <w:sz w:val="24"/>
          <w:szCs w:val="24"/>
          <w:lang w:val="en-US"/>
        </w:rPr>
        <w:t>In the matter between:</w:t>
      </w:r>
    </w:p>
    <w:p w14:paraId="59D8F74F" w14:textId="14D0FA50" w:rsidR="00BD73E7" w:rsidRPr="00860603" w:rsidRDefault="00BD73E7" w:rsidP="00320A23">
      <w:pPr>
        <w:spacing w:line="240" w:lineRule="auto"/>
        <w:rPr>
          <w:rFonts w:ascii="Arial" w:hAnsi="Arial" w:cs="Arial"/>
          <w:b/>
          <w:bCs/>
          <w:sz w:val="24"/>
          <w:szCs w:val="24"/>
          <w:lang w:val="en-US"/>
        </w:rPr>
      </w:pPr>
    </w:p>
    <w:p w14:paraId="301F9DBD" w14:textId="7828BEA3" w:rsidR="00BD73E7" w:rsidRPr="00860603" w:rsidRDefault="00B874DD" w:rsidP="00320A23">
      <w:pPr>
        <w:spacing w:line="240" w:lineRule="auto"/>
        <w:ind w:right="-154"/>
        <w:jc w:val="left"/>
        <w:rPr>
          <w:rFonts w:ascii="Arial" w:hAnsi="Arial" w:cs="Arial"/>
          <w:b/>
          <w:bCs/>
          <w:sz w:val="24"/>
          <w:szCs w:val="24"/>
          <w:lang w:val="en-US"/>
        </w:rPr>
      </w:pPr>
      <w:r w:rsidRPr="00860603">
        <w:rPr>
          <w:rFonts w:ascii="Arial" w:hAnsi="Arial" w:cs="Arial"/>
          <w:b/>
          <w:bCs/>
          <w:sz w:val="24"/>
          <w:szCs w:val="24"/>
          <w:lang w:val="en-US"/>
        </w:rPr>
        <w:t>DRDGOLD LIMITED</w:t>
      </w:r>
      <w:r w:rsidR="00BF6110" w:rsidRPr="00860603">
        <w:rPr>
          <w:rFonts w:ascii="Arial" w:hAnsi="Arial" w:cs="Arial"/>
          <w:b/>
          <w:bCs/>
          <w:sz w:val="24"/>
          <w:szCs w:val="24"/>
          <w:lang w:val="en-US"/>
        </w:rPr>
        <w:tab/>
      </w:r>
      <w:r w:rsidR="00BF6110" w:rsidRPr="00860603">
        <w:rPr>
          <w:rFonts w:ascii="Arial" w:hAnsi="Arial" w:cs="Arial"/>
          <w:b/>
          <w:bCs/>
          <w:sz w:val="24"/>
          <w:szCs w:val="24"/>
          <w:lang w:val="en-US"/>
        </w:rPr>
        <w:tab/>
      </w:r>
      <w:r w:rsidR="00BF6110" w:rsidRPr="00860603">
        <w:rPr>
          <w:rFonts w:ascii="Arial" w:hAnsi="Arial" w:cs="Arial"/>
          <w:b/>
          <w:bCs/>
          <w:sz w:val="24"/>
          <w:szCs w:val="24"/>
          <w:lang w:val="en-US"/>
        </w:rPr>
        <w:tab/>
      </w:r>
      <w:r w:rsidR="00652842" w:rsidRPr="00860603">
        <w:rPr>
          <w:rFonts w:ascii="Arial" w:hAnsi="Arial" w:cs="Arial"/>
          <w:b/>
          <w:bCs/>
          <w:sz w:val="24"/>
          <w:szCs w:val="24"/>
          <w:lang w:val="en-US"/>
        </w:rPr>
        <w:t xml:space="preserve">     </w:t>
      </w:r>
      <w:r w:rsidRPr="00860603">
        <w:rPr>
          <w:rFonts w:ascii="Arial" w:hAnsi="Arial" w:cs="Arial"/>
          <w:b/>
          <w:bCs/>
          <w:sz w:val="24"/>
          <w:szCs w:val="24"/>
          <w:lang w:val="en-US"/>
        </w:rPr>
        <w:tab/>
      </w:r>
      <w:r w:rsidRPr="00860603">
        <w:rPr>
          <w:rFonts w:ascii="Arial" w:hAnsi="Arial" w:cs="Arial"/>
          <w:b/>
          <w:bCs/>
          <w:sz w:val="24"/>
          <w:szCs w:val="24"/>
          <w:lang w:val="en-US"/>
        </w:rPr>
        <w:tab/>
      </w:r>
      <w:r w:rsidRPr="00860603">
        <w:rPr>
          <w:rFonts w:ascii="Arial" w:hAnsi="Arial" w:cs="Arial"/>
          <w:b/>
          <w:bCs/>
          <w:sz w:val="24"/>
          <w:szCs w:val="24"/>
          <w:lang w:val="en-US"/>
        </w:rPr>
        <w:tab/>
        <w:t xml:space="preserve">     FIRST </w:t>
      </w:r>
      <w:r w:rsidR="00652842" w:rsidRPr="00860603">
        <w:rPr>
          <w:rFonts w:ascii="Arial" w:hAnsi="Arial" w:cs="Arial"/>
          <w:b/>
          <w:bCs/>
          <w:sz w:val="24"/>
          <w:szCs w:val="24"/>
          <w:lang w:val="en-US"/>
        </w:rPr>
        <w:t>APPELLANT</w:t>
      </w:r>
    </w:p>
    <w:p w14:paraId="4E267D75" w14:textId="77777777" w:rsidR="00B874DD" w:rsidRPr="00860603" w:rsidRDefault="00B874DD" w:rsidP="00320A23">
      <w:pPr>
        <w:spacing w:line="240" w:lineRule="auto"/>
        <w:ind w:right="-154"/>
        <w:rPr>
          <w:rFonts w:ascii="Arial" w:hAnsi="Arial" w:cs="Arial"/>
          <w:b/>
          <w:bCs/>
          <w:sz w:val="24"/>
          <w:szCs w:val="24"/>
          <w:lang w:val="en-US"/>
        </w:rPr>
      </w:pPr>
    </w:p>
    <w:p w14:paraId="35A7D04A" w14:textId="2AD753B2" w:rsidR="00B874DD" w:rsidRPr="00860603" w:rsidRDefault="00B874DD" w:rsidP="00320A23">
      <w:pPr>
        <w:spacing w:line="240" w:lineRule="auto"/>
        <w:ind w:right="-154"/>
        <w:rPr>
          <w:rFonts w:ascii="Arial" w:hAnsi="Arial" w:cs="Arial"/>
          <w:b/>
          <w:bCs/>
          <w:sz w:val="24"/>
          <w:szCs w:val="24"/>
          <w:lang w:val="en-US"/>
        </w:rPr>
      </w:pPr>
      <w:r w:rsidRPr="00860603">
        <w:rPr>
          <w:rFonts w:ascii="Arial" w:hAnsi="Arial" w:cs="Arial"/>
          <w:b/>
          <w:bCs/>
          <w:sz w:val="24"/>
          <w:szCs w:val="24"/>
          <w:lang w:val="en-US"/>
        </w:rPr>
        <w:t>EAST RAND PROPRIETARY MINES LIMITED</w:t>
      </w:r>
      <w:r w:rsidRPr="00860603">
        <w:rPr>
          <w:rFonts w:ascii="Arial" w:hAnsi="Arial" w:cs="Arial"/>
          <w:b/>
          <w:bCs/>
          <w:sz w:val="24"/>
          <w:szCs w:val="24"/>
          <w:lang w:val="en-US"/>
        </w:rPr>
        <w:tab/>
      </w:r>
      <w:r w:rsidRPr="00860603">
        <w:rPr>
          <w:rFonts w:ascii="Arial" w:hAnsi="Arial" w:cs="Arial"/>
          <w:b/>
          <w:bCs/>
          <w:sz w:val="24"/>
          <w:szCs w:val="24"/>
          <w:lang w:val="en-US"/>
        </w:rPr>
        <w:tab/>
        <w:t>SECOND APPELLANT</w:t>
      </w:r>
    </w:p>
    <w:p w14:paraId="723029CE" w14:textId="77777777" w:rsidR="00BF6110" w:rsidRPr="00860603" w:rsidRDefault="00BF6110" w:rsidP="00320A23">
      <w:pPr>
        <w:spacing w:line="240" w:lineRule="auto"/>
        <w:rPr>
          <w:rFonts w:ascii="Arial" w:hAnsi="Arial" w:cs="Arial"/>
          <w:b/>
          <w:bCs/>
          <w:sz w:val="24"/>
          <w:szCs w:val="24"/>
          <w:lang w:val="en-US"/>
        </w:rPr>
      </w:pPr>
    </w:p>
    <w:p w14:paraId="0A20A8DA" w14:textId="3A37193D" w:rsidR="00BD73E7" w:rsidRPr="00860603" w:rsidRDefault="00BD73E7" w:rsidP="00320A23">
      <w:pPr>
        <w:spacing w:line="240" w:lineRule="auto"/>
        <w:rPr>
          <w:rFonts w:ascii="Arial" w:hAnsi="Arial" w:cs="Arial"/>
          <w:bCs/>
          <w:sz w:val="24"/>
          <w:szCs w:val="24"/>
          <w:lang w:val="en-US"/>
        </w:rPr>
      </w:pPr>
      <w:r w:rsidRPr="00860603">
        <w:rPr>
          <w:rFonts w:ascii="Arial" w:hAnsi="Arial" w:cs="Arial"/>
          <w:bCs/>
          <w:sz w:val="24"/>
          <w:szCs w:val="24"/>
          <w:lang w:val="en-US"/>
        </w:rPr>
        <w:t>and</w:t>
      </w:r>
    </w:p>
    <w:p w14:paraId="2C082C12" w14:textId="6ED00223" w:rsidR="00BD73E7" w:rsidRPr="00860603" w:rsidRDefault="00BD73E7" w:rsidP="00320A23">
      <w:pPr>
        <w:spacing w:line="240" w:lineRule="auto"/>
        <w:rPr>
          <w:rFonts w:ascii="Arial" w:hAnsi="Arial" w:cs="Arial"/>
          <w:b/>
          <w:bCs/>
          <w:sz w:val="24"/>
          <w:szCs w:val="24"/>
          <w:lang w:val="en-US"/>
        </w:rPr>
      </w:pPr>
    </w:p>
    <w:p w14:paraId="4157C457" w14:textId="77777777" w:rsidR="00B874DD" w:rsidRPr="00860603" w:rsidRDefault="00B874DD" w:rsidP="00320A23">
      <w:pPr>
        <w:spacing w:line="240" w:lineRule="auto"/>
        <w:rPr>
          <w:rFonts w:ascii="Arial" w:hAnsi="Arial" w:cs="Arial"/>
          <w:b/>
          <w:bCs/>
          <w:sz w:val="24"/>
          <w:szCs w:val="24"/>
          <w:lang w:val="en-US"/>
        </w:rPr>
      </w:pPr>
      <w:r w:rsidRPr="00860603">
        <w:rPr>
          <w:rFonts w:ascii="Arial" w:hAnsi="Arial" w:cs="Arial"/>
          <w:b/>
          <w:bCs/>
          <w:sz w:val="24"/>
          <w:szCs w:val="24"/>
          <w:lang w:val="en-US"/>
        </w:rPr>
        <w:t xml:space="preserve">BONGANI NKALA AND </w:t>
      </w:r>
    </w:p>
    <w:p w14:paraId="02BD3B4D" w14:textId="6BAF0542" w:rsidR="00BD73E7" w:rsidRPr="00860603" w:rsidRDefault="00B874DD" w:rsidP="00320A23">
      <w:pPr>
        <w:spacing w:line="240" w:lineRule="auto"/>
        <w:jc w:val="left"/>
        <w:rPr>
          <w:rFonts w:ascii="Arial" w:hAnsi="Arial" w:cs="Arial"/>
          <w:b/>
          <w:bCs/>
          <w:sz w:val="24"/>
          <w:szCs w:val="24"/>
          <w:lang w:val="en-US"/>
        </w:rPr>
      </w:pPr>
      <w:r w:rsidRPr="00860603">
        <w:rPr>
          <w:rFonts w:ascii="Arial" w:hAnsi="Arial" w:cs="Arial"/>
          <w:b/>
          <w:bCs/>
          <w:sz w:val="24"/>
          <w:szCs w:val="24"/>
          <w:lang w:val="en-US"/>
        </w:rPr>
        <w:t>SIXTY</w:t>
      </w:r>
      <w:r w:rsidR="00082AE9" w:rsidRPr="00860603">
        <w:rPr>
          <w:rFonts w:ascii="Arial" w:hAnsi="Arial" w:cs="Arial"/>
          <w:b/>
          <w:bCs/>
          <w:sz w:val="24"/>
          <w:szCs w:val="24"/>
          <w:lang w:val="en-US"/>
        </w:rPr>
        <w:t xml:space="preserve"> </w:t>
      </w:r>
      <w:r w:rsidRPr="00860603">
        <w:rPr>
          <w:rFonts w:ascii="Arial" w:hAnsi="Arial" w:cs="Arial"/>
          <w:b/>
          <w:bCs/>
          <w:sz w:val="24"/>
          <w:szCs w:val="24"/>
          <w:lang w:val="en-US"/>
        </w:rPr>
        <w:t>EIGHT OTHERS</w:t>
      </w:r>
      <w:r w:rsidRPr="00860603">
        <w:rPr>
          <w:rFonts w:ascii="Arial" w:hAnsi="Arial" w:cs="Arial"/>
          <w:b/>
          <w:bCs/>
          <w:sz w:val="24"/>
          <w:szCs w:val="24"/>
          <w:lang w:val="en-US"/>
        </w:rPr>
        <w:tab/>
      </w:r>
      <w:r w:rsidRPr="00860603">
        <w:rPr>
          <w:rFonts w:ascii="Arial" w:hAnsi="Arial" w:cs="Arial"/>
          <w:b/>
          <w:bCs/>
          <w:sz w:val="24"/>
          <w:szCs w:val="24"/>
          <w:lang w:val="en-US"/>
        </w:rPr>
        <w:tab/>
      </w:r>
      <w:r w:rsidRPr="00860603">
        <w:rPr>
          <w:rFonts w:ascii="Arial" w:hAnsi="Arial" w:cs="Arial"/>
          <w:b/>
          <w:bCs/>
          <w:sz w:val="24"/>
          <w:szCs w:val="24"/>
          <w:lang w:val="en-US"/>
        </w:rPr>
        <w:tab/>
        <w:t xml:space="preserve">  FIRST TO SIXTY</w:t>
      </w:r>
      <w:r w:rsidR="00082AE9" w:rsidRPr="00860603">
        <w:rPr>
          <w:rFonts w:ascii="Arial" w:hAnsi="Arial" w:cs="Arial"/>
          <w:b/>
          <w:bCs/>
          <w:sz w:val="24"/>
          <w:szCs w:val="24"/>
          <w:lang w:val="en-US"/>
        </w:rPr>
        <w:t xml:space="preserve"> </w:t>
      </w:r>
      <w:r w:rsidRPr="00860603">
        <w:rPr>
          <w:rFonts w:ascii="Arial" w:hAnsi="Arial" w:cs="Arial"/>
          <w:b/>
          <w:bCs/>
          <w:sz w:val="24"/>
          <w:szCs w:val="24"/>
          <w:lang w:val="en-US"/>
        </w:rPr>
        <w:t>NINTH RESPONDENTS</w:t>
      </w:r>
    </w:p>
    <w:p w14:paraId="28BB1432" w14:textId="77777777" w:rsidR="00B874DD" w:rsidRPr="00860603" w:rsidRDefault="00B874DD" w:rsidP="00320A23">
      <w:pPr>
        <w:spacing w:line="240" w:lineRule="auto"/>
        <w:jc w:val="left"/>
        <w:rPr>
          <w:rFonts w:ascii="Arial" w:hAnsi="Arial" w:cs="Arial"/>
          <w:b/>
          <w:bCs/>
          <w:sz w:val="24"/>
          <w:szCs w:val="24"/>
          <w:lang w:val="en-US"/>
        </w:rPr>
      </w:pPr>
    </w:p>
    <w:p w14:paraId="616F1E2B" w14:textId="473F2692" w:rsidR="002073C1" w:rsidRPr="00860603" w:rsidRDefault="002073C1" w:rsidP="00320A23">
      <w:pPr>
        <w:ind w:left="2160" w:hanging="2160"/>
        <w:rPr>
          <w:rFonts w:ascii="Arial" w:hAnsi="Arial" w:cs="Arial"/>
          <w:sz w:val="24"/>
          <w:szCs w:val="24"/>
          <w:lang w:val="en-US"/>
        </w:rPr>
      </w:pPr>
      <w:r w:rsidRPr="00860603">
        <w:rPr>
          <w:rFonts w:ascii="Arial" w:hAnsi="Arial" w:cs="Arial"/>
          <w:b/>
          <w:bCs/>
          <w:sz w:val="24"/>
          <w:szCs w:val="24"/>
          <w:lang w:val="en-US"/>
        </w:rPr>
        <w:t>Neutral citation:</w:t>
      </w:r>
      <w:r w:rsidRPr="00860603">
        <w:rPr>
          <w:rFonts w:ascii="Arial" w:hAnsi="Arial" w:cs="Arial"/>
          <w:b/>
          <w:bCs/>
          <w:sz w:val="24"/>
          <w:szCs w:val="24"/>
          <w:lang w:val="en-US"/>
        </w:rPr>
        <w:tab/>
      </w:r>
      <w:r w:rsidR="00B874DD" w:rsidRPr="00860603">
        <w:rPr>
          <w:rFonts w:ascii="Arial" w:hAnsi="Arial" w:cs="Arial"/>
          <w:bCs/>
          <w:i/>
          <w:sz w:val="24"/>
          <w:szCs w:val="24"/>
          <w:lang w:val="en-US"/>
        </w:rPr>
        <w:t>DRDG</w:t>
      </w:r>
      <w:r w:rsidR="00B47D80" w:rsidRPr="00860603">
        <w:rPr>
          <w:rFonts w:ascii="Arial" w:hAnsi="Arial" w:cs="Arial"/>
          <w:bCs/>
          <w:i/>
          <w:sz w:val="24"/>
          <w:szCs w:val="24"/>
          <w:lang w:val="en-US"/>
        </w:rPr>
        <w:t>OLD</w:t>
      </w:r>
      <w:r w:rsidR="00B874DD" w:rsidRPr="00860603">
        <w:rPr>
          <w:rFonts w:ascii="Arial" w:hAnsi="Arial" w:cs="Arial"/>
          <w:bCs/>
          <w:i/>
          <w:sz w:val="24"/>
          <w:szCs w:val="24"/>
          <w:lang w:val="en-US"/>
        </w:rPr>
        <w:t xml:space="preserve"> Limited</w:t>
      </w:r>
      <w:r w:rsidR="00F826A7" w:rsidRPr="00860603">
        <w:rPr>
          <w:rFonts w:ascii="Arial" w:hAnsi="Arial" w:cs="Arial"/>
          <w:bCs/>
          <w:i/>
          <w:sz w:val="24"/>
          <w:szCs w:val="24"/>
          <w:lang w:val="en-US"/>
        </w:rPr>
        <w:t xml:space="preserve"> and </w:t>
      </w:r>
      <w:r w:rsidR="00B874DD" w:rsidRPr="00860603">
        <w:rPr>
          <w:rFonts w:ascii="Arial" w:hAnsi="Arial" w:cs="Arial"/>
          <w:bCs/>
          <w:i/>
          <w:sz w:val="24"/>
          <w:szCs w:val="24"/>
          <w:lang w:val="en-US"/>
        </w:rPr>
        <w:t>Another v Nkala and Others</w:t>
      </w:r>
      <w:r w:rsidRPr="00860603">
        <w:rPr>
          <w:rFonts w:ascii="Arial" w:hAnsi="Arial" w:cs="Arial"/>
          <w:i/>
          <w:iCs/>
          <w:sz w:val="24"/>
          <w:szCs w:val="24"/>
          <w:lang w:val="en-US"/>
        </w:rPr>
        <w:t xml:space="preserve"> </w:t>
      </w:r>
      <w:r w:rsidRPr="00860603">
        <w:rPr>
          <w:rFonts w:ascii="Arial" w:hAnsi="Arial" w:cs="Arial"/>
          <w:sz w:val="24"/>
          <w:szCs w:val="24"/>
          <w:lang w:val="en-US"/>
        </w:rPr>
        <w:t>(</w:t>
      </w:r>
      <w:r w:rsidR="00B874DD" w:rsidRPr="00860603">
        <w:rPr>
          <w:rFonts w:ascii="Arial" w:hAnsi="Arial" w:cs="Arial"/>
          <w:sz w:val="24"/>
          <w:szCs w:val="24"/>
          <w:lang w:val="en-US"/>
        </w:rPr>
        <w:t>688</w:t>
      </w:r>
      <w:r w:rsidR="00D05983" w:rsidRPr="00860603">
        <w:rPr>
          <w:rFonts w:ascii="Arial" w:hAnsi="Arial" w:cs="Arial"/>
          <w:sz w:val="24"/>
          <w:szCs w:val="24"/>
          <w:lang w:val="en-US"/>
        </w:rPr>
        <w:t>/</w:t>
      </w:r>
      <w:r w:rsidR="00B874DD" w:rsidRPr="00860603">
        <w:rPr>
          <w:rFonts w:ascii="Arial" w:hAnsi="Arial" w:cs="Arial"/>
          <w:sz w:val="24"/>
          <w:szCs w:val="24"/>
          <w:lang w:val="en-US"/>
        </w:rPr>
        <w:t>2016</w:t>
      </w:r>
      <w:r w:rsidRPr="00860603">
        <w:rPr>
          <w:rFonts w:ascii="Arial" w:hAnsi="Arial" w:cs="Arial"/>
          <w:sz w:val="24"/>
          <w:szCs w:val="24"/>
          <w:lang w:val="en-US"/>
        </w:rPr>
        <w:t>)</w:t>
      </w:r>
      <w:r w:rsidR="00B874DD" w:rsidRPr="00860603">
        <w:rPr>
          <w:rFonts w:ascii="Arial" w:hAnsi="Arial" w:cs="Arial"/>
          <w:sz w:val="24"/>
          <w:szCs w:val="24"/>
          <w:lang w:val="en-US"/>
        </w:rPr>
        <w:t xml:space="preserve"> [2023</w:t>
      </w:r>
      <w:r w:rsidR="006323AC" w:rsidRPr="00860603">
        <w:rPr>
          <w:rFonts w:ascii="Arial" w:hAnsi="Arial" w:cs="Arial"/>
          <w:sz w:val="24"/>
          <w:szCs w:val="24"/>
          <w:lang w:val="en-US"/>
        </w:rPr>
        <w:t xml:space="preserve">] ZASCA </w:t>
      </w:r>
      <w:r w:rsidR="00BD7150">
        <w:rPr>
          <w:rFonts w:ascii="Arial" w:hAnsi="Arial" w:cs="Arial"/>
          <w:sz w:val="24"/>
          <w:szCs w:val="24"/>
          <w:lang w:val="en-US"/>
        </w:rPr>
        <w:t>9</w:t>
      </w:r>
      <w:r w:rsidRPr="00860603">
        <w:rPr>
          <w:rFonts w:ascii="Arial" w:hAnsi="Arial" w:cs="Arial"/>
          <w:sz w:val="24"/>
          <w:szCs w:val="24"/>
          <w:lang w:val="en-US"/>
        </w:rPr>
        <w:t xml:space="preserve"> (</w:t>
      </w:r>
      <w:r w:rsidR="002065F4">
        <w:rPr>
          <w:rFonts w:ascii="Arial" w:hAnsi="Arial" w:cs="Arial"/>
          <w:sz w:val="24"/>
          <w:szCs w:val="24"/>
          <w:lang w:val="en-US"/>
        </w:rPr>
        <w:t>6 February</w:t>
      </w:r>
      <w:r w:rsidR="00B874DD" w:rsidRPr="00860603">
        <w:rPr>
          <w:rFonts w:ascii="Arial" w:hAnsi="Arial" w:cs="Arial"/>
          <w:sz w:val="24"/>
          <w:szCs w:val="24"/>
          <w:lang w:val="en-US"/>
        </w:rPr>
        <w:t xml:space="preserve"> 2023</w:t>
      </w:r>
      <w:r w:rsidRPr="00860603">
        <w:rPr>
          <w:rFonts w:ascii="Arial" w:hAnsi="Arial" w:cs="Arial"/>
          <w:sz w:val="24"/>
          <w:szCs w:val="24"/>
          <w:lang w:val="en-US"/>
        </w:rPr>
        <w:t>)</w:t>
      </w:r>
    </w:p>
    <w:p w14:paraId="3D84210D" w14:textId="1A349511" w:rsidR="002073C1" w:rsidRPr="00860603" w:rsidRDefault="002073C1" w:rsidP="00320A23">
      <w:pPr>
        <w:ind w:left="1440" w:hanging="1440"/>
        <w:rPr>
          <w:rFonts w:ascii="Arial" w:hAnsi="Arial" w:cs="Arial"/>
          <w:sz w:val="24"/>
          <w:szCs w:val="24"/>
          <w:lang w:val="en-US"/>
        </w:rPr>
      </w:pPr>
      <w:r w:rsidRPr="00860603">
        <w:rPr>
          <w:rFonts w:ascii="Arial" w:hAnsi="Arial" w:cs="Arial"/>
          <w:b/>
          <w:bCs/>
          <w:sz w:val="24"/>
          <w:szCs w:val="24"/>
          <w:lang w:val="en-US"/>
        </w:rPr>
        <w:t>Coram:</w:t>
      </w:r>
      <w:r w:rsidRPr="00860603">
        <w:rPr>
          <w:rFonts w:ascii="Arial" w:hAnsi="Arial" w:cs="Arial"/>
          <w:sz w:val="24"/>
          <w:szCs w:val="24"/>
          <w:lang w:val="en-US"/>
        </w:rPr>
        <w:tab/>
      </w:r>
      <w:r w:rsidR="00836AB5" w:rsidRPr="00860603">
        <w:rPr>
          <w:rFonts w:ascii="Arial" w:hAnsi="Arial" w:cs="Arial"/>
          <w:sz w:val="24"/>
          <w:szCs w:val="24"/>
          <w:lang w:val="en-US"/>
        </w:rPr>
        <w:t xml:space="preserve">PONNAN, VAN DER MERWE, MOLEMELA </w:t>
      </w:r>
      <w:r w:rsidR="00087951" w:rsidRPr="00860603">
        <w:rPr>
          <w:rFonts w:ascii="Arial" w:hAnsi="Arial" w:cs="Arial"/>
          <w:sz w:val="24"/>
          <w:szCs w:val="24"/>
          <w:lang w:val="en-US"/>
        </w:rPr>
        <w:t>and</w:t>
      </w:r>
      <w:r w:rsidR="00836AB5" w:rsidRPr="00860603">
        <w:rPr>
          <w:rFonts w:ascii="Arial" w:hAnsi="Arial" w:cs="Arial"/>
          <w:sz w:val="24"/>
          <w:szCs w:val="24"/>
          <w:lang w:val="en-US"/>
        </w:rPr>
        <w:t xml:space="preserve"> MOTHLE JJA </w:t>
      </w:r>
      <w:r w:rsidR="00087951" w:rsidRPr="00860603">
        <w:rPr>
          <w:rFonts w:ascii="Arial" w:hAnsi="Arial" w:cs="Arial"/>
          <w:sz w:val="24"/>
          <w:szCs w:val="24"/>
          <w:lang w:val="en-US"/>
        </w:rPr>
        <w:t xml:space="preserve">and </w:t>
      </w:r>
      <w:r w:rsidR="00836AB5" w:rsidRPr="00860603">
        <w:rPr>
          <w:rFonts w:ascii="Arial" w:hAnsi="Arial" w:cs="Arial"/>
          <w:sz w:val="24"/>
          <w:szCs w:val="24"/>
          <w:lang w:val="en-US"/>
        </w:rPr>
        <w:t>SALIE AJA</w:t>
      </w:r>
    </w:p>
    <w:p w14:paraId="1A1EE867" w14:textId="6BCAC31D" w:rsidR="002073C1" w:rsidRPr="00860603" w:rsidRDefault="002073C1" w:rsidP="00320A23">
      <w:pPr>
        <w:rPr>
          <w:rFonts w:ascii="Arial" w:hAnsi="Arial" w:cs="Arial"/>
          <w:sz w:val="24"/>
          <w:szCs w:val="24"/>
          <w:lang w:val="en-US"/>
        </w:rPr>
      </w:pPr>
      <w:r w:rsidRPr="00860603">
        <w:rPr>
          <w:rFonts w:ascii="Arial" w:hAnsi="Arial" w:cs="Arial"/>
          <w:b/>
          <w:bCs/>
          <w:sz w:val="24"/>
          <w:szCs w:val="24"/>
          <w:lang w:val="en-US"/>
        </w:rPr>
        <w:t>Heard:</w:t>
      </w:r>
      <w:r w:rsidRPr="00860603">
        <w:rPr>
          <w:rFonts w:ascii="Arial" w:hAnsi="Arial" w:cs="Arial"/>
          <w:b/>
          <w:bCs/>
          <w:sz w:val="24"/>
          <w:szCs w:val="24"/>
          <w:lang w:val="en-US"/>
        </w:rPr>
        <w:tab/>
      </w:r>
      <w:r w:rsidR="00836AB5" w:rsidRPr="00860603">
        <w:rPr>
          <w:rFonts w:ascii="Arial" w:hAnsi="Arial" w:cs="Arial"/>
          <w:sz w:val="24"/>
          <w:szCs w:val="24"/>
          <w:lang w:val="en-US"/>
        </w:rPr>
        <w:t>11 November</w:t>
      </w:r>
      <w:r w:rsidRPr="00860603">
        <w:rPr>
          <w:rFonts w:ascii="Arial" w:hAnsi="Arial" w:cs="Arial"/>
          <w:sz w:val="24"/>
          <w:szCs w:val="24"/>
          <w:lang w:val="en-US"/>
        </w:rPr>
        <w:t xml:space="preserve"> 2022</w:t>
      </w:r>
    </w:p>
    <w:p w14:paraId="25C42922" w14:textId="78118574" w:rsidR="007E373E" w:rsidRPr="001F03C2" w:rsidRDefault="002073C1" w:rsidP="00320A23">
      <w:pPr>
        <w:rPr>
          <w:rFonts w:ascii="Arial" w:hAnsi="Arial" w:cs="Arial"/>
          <w:sz w:val="24"/>
          <w:szCs w:val="24"/>
        </w:rPr>
      </w:pPr>
      <w:r w:rsidRPr="00860603">
        <w:rPr>
          <w:rFonts w:ascii="Arial" w:hAnsi="Arial" w:cs="Arial"/>
          <w:b/>
          <w:bCs/>
          <w:sz w:val="24"/>
          <w:szCs w:val="24"/>
          <w:lang w:val="en-US"/>
        </w:rPr>
        <w:t>Delivered:</w:t>
      </w:r>
      <w:r w:rsidRPr="00860603">
        <w:rPr>
          <w:rFonts w:ascii="Arial" w:hAnsi="Arial" w:cs="Arial"/>
          <w:b/>
          <w:bCs/>
          <w:sz w:val="24"/>
          <w:szCs w:val="24"/>
          <w:lang w:val="en-US"/>
        </w:rPr>
        <w:tab/>
      </w:r>
      <w:r w:rsidR="007E373E" w:rsidRPr="001F03C2">
        <w:rPr>
          <w:rFonts w:ascii="Arial" w:hAnsi="Arial" w:cs="Arial"/>
          <w:color w:val="242121"/>
          <w:sz w:val="24"/>
          <w:szCs w:val="24"/>
          <w:shd w:val="clear" w:color="auto" w:fill="FFFFFF"/>
        </w:rPr>
        <w:t>This judgment was handed down electronically by circulation to the parties’ representatives by email, publication on the Supreme Court of Appeal website and release to SAFLII. The date and time for hand-down is deemed to</w:t>
      </w:r>
      <w:r w:rsidR="007E373E">
        <w:rPr>
          <w:rFonts w:ascii="Arial" w:hAnsi="Arial" w:cs="Arial"/>
          <w:color w:val="242121"/>
          <w:sz w:val="24"/>
          <w:szCs w:val="24"/>
          <w:shd w:val="clear" w:color="auto" w:fill="FFFFFF"/>
        </w:rPr>
        <w:t xml:space="preserve"> be 11h00 am on 6 February 2023</w:t>
      </w:r>
      <w:r w:rsidR="007E373E" w:rsidRPr="001F03C2">
        <w:rPr>
          <w:rFonts w:ascii="Arial" w:hAnsi="Arial" w:cs="Arial"/>
          <w:color w:val="242121"/>
          <w:sz w:val="24"/>
          <w:szCs w:val="24"/>
          <w:shd w:val="clear" w:color="auto" w:fill="FFFFFF"/>
        </w:rPr>
        <w:t>.</w:t>
      </w:r>
    </w:p>
    <w:p w14:paraId="5B4DE4DD" w14:textId="0387490B" w:rsidR="00EB3142" w:rsidRDefault="002073C1" w:rsidP="00320A23">
      <w:pPr>
        <w:rPr>
          <w:rFonts w:ascii="Arial" w:hAnsi="Arial" w:cs="Arial"/>
          <w:sz w:val="24"/>
          <w:szCs w:val="24"/>
          <w:lang w:val="en-US"/>
        </w:rPr>
      </w:pPr>
      <w:r w:rsidRPr="00860603">
        <w:rPr>
          <w:rFonts w:ascii="Arial" w:hAnsi="Arial" w:cs="Arial"/>
          <w:b/>
          <w:bCs/>
          <w:sz w:val="24"/>
          <w:szCs w:val="24"/>
          <w:lang w:val="en-US"/>
        </w:rPr>
        <w:t>Summary:</w:t>
      </w:r>
      <w:r w:rsidRPr="00860603">
        <w:rPr>
          <w:rFonts w:ascii="Arial" w:hAnsi="Arial" w:cs="Arial"/>
          <w:sz w:val="24"/>
          <w:szCs w:val="24"/>
          <w:lang w:val="en-US"/>
        </w:rPr>
        <w:tab/>
      </w:r>
      <w:r w:rsidR="00E031EF" w:rsidRPr="00860603">
        <w:rPr>
          <w:rFonts w:ascii="Arial" w:hAnsi="Arial" w:cs="Arial"/>
          <w:sz w:val="24"/>
          <w:szCs w:val="24"/>
          <w:lang w:val="en-US"/>
        </w:rPr>
        <w:t xml:space="preserve">Appeal – jurisdiction of Supreme Court of Appeal to hear appeal from </w:t>
      </w:r>
      <w:r w:rsidR="001A0CAA" w:rsidRPr="00860603">
        <w:rPr>
          <w:rFonts w:ascii="Arial" w:hAnsi="Arial" w:cs="Arial"/>
          <w:sz w:val="24"/>
          <w:szCs w:val="24"/>
          <w:lang w:val="en-US"/>
        </w:rPr>
        <w:t>H</w:t>
      </w:r>
      <w:r w:rsidR="00E031EF" w:rsidRPr="00860603">
        <w:rPr>
          <w:rFonts w:ascii="Arial" w:hAnsi="Arial" w:cs="Arial"/>
          <w:sz w:val="24"/>
          <w:szCs w:val="24"/>
          <w:lang w:val="en-US"/>
        </w:rPr>
        <w:t xml:space="preserve">igh </w:t>
      </w:r>
      <w:r w:rsidR="001A0CAA" w:rsidRPr="00860603">
        <w:rPr>
          <w:rFonts w:ascii="Arial" w:hAnsi="Arial" w:cs="Arial"/>
          <w:sz w:val="24"/>
          <w:szCs w:val="24"/>
          <w:lang w:val="en-US"/>
        </w:rPr>
        <w:t>C</w:t>
      </w:r>
      <w:r w:rsidR="00E031EF" w:rsidRPr="00860603">
        <w:rPr>
          <w:rFonts w:ascii="Arial" w:hAnsi="Arial" w:cs="Arial"/>
          <w:sz w:val="24"/>
          <w:szCs w:val="24"/>
          <w:lang w:val="en-US"/>
        </w:rPr>
        <w:t>ourt sitting as court of first instance –</w:t>
      </w:r>
      <w:r w:rsidR="000D13CE" w:rsidRPr="00860603">
        <w:rPr>
          <w:rFonts w:ascii="Arial" w:hAnsi="Arial" w:cs="Arial"/>
          <w:sz w:val="24"/>
          <w:szCs w:val="24"/>
          <w:lang w:val="en-US"/>
        </w:rPr>
        <w:t xml:space="preserve"> </w:t>
      </w:r>
      <w:r w:rsidR="00E031EF" w:rsidRPr="00860603">
        <w:rPr>
          <w:rFonts w:ascii="Arial" w:hAnsi="Arial" w:cs="Arial"/>
          <w:sz w:val="24"/>
          <w:szCs w:val="24"/>
          <w:lang w:val="en-US"/>
        </w:rPr>
        <w:t xml:space="preserve">Section 16(1) of Superior Courts Act 10 of 2013 applicable – twofold jurisdictional requirements: that necessary leave to appeal was granted and that order sought to be </w:t>
      </w:r>
      <w:r w:rsidR="00A45409" w:rsidRPr="00860603">
        <w:rPr>
          <w:rFonts w:ascii="Arial" w:hAnsi="Arial" w:cs="Arial"/>
          <w:sz w:val="24"/>
          <w:szCs w:val="24"/>
          <w:lang w:val="en-US"/>
        </w:rPr>
        <w:t>challenged</w:t>
      </w:r>
      <w:r w:rsidR="00E031EF" w:rsidRPr="00860603">
        <w:rPr>
          <w:rFonts w:ascii="Arial" w:hAnsi="Arial" w:cs="Arial"/>
          <w:sz w:val="24"/>
          <w:szCs w:val="24"/>
          <w:lang w:val="en-US"/>
        </w:rPr>
        <w:t xml:space="preserve"> constitutes ‘decision’ – meaning of ‘decision’ in s 16(1) – same as ‘judgment or order’ under Supreme Court Act 59 of 1959 – </w:t>
      </w:r>
      <w:r w:rsidR="00A45409" w:rsidRPr="00860603">
        <w:rPr>
          <w:rFonts w:ascii="Arial" w:hAnsi="Arial" w:cs="Arial"/>
          <w:sz w:val="24"/>
          <w:szCs w:val="24"/>
          <w:lang w:val="en-US"/>
        </w:rPr>
        <w:t>order certifying</w:t>
      </w:r>
      <w:r w:rsidR="00E031EF" w:rsidRPr="00860603">
        <w:rPr>
          <w:rFonts w:ascii="Arial" w:hAnsi="Arial" w:cs="Arial"/>
          <w:sz w:val="24"/>
          <w:szCs w:val="24"/>
          <w:lang w:val="en-US"/>
        </w:rPr>
        <w:t xml:space="preserve"> class action </w:t>
      </w:r>
      <w:r w:rsidR="00A45409" w:rsidRPr="00860603">
        <w:rPr>
          <w:rFonts w:ascii="Arial" w:hAnsi="Arial" w:cs="Arial"/>
          <w:sz w:val="24"/>
          <w:szCs w:val="24"/>
          <w:lang w:val="en-US"/>
        </w:rPr>
        <w:t>and declarator</w:t>
      </w:r>
      <w:r w:rsidR="00E031EF" w:rsidRPr="00860603">
        <w:rPr>
          <w:rFonts w:ascii="Arial" w:hAnsi="Arial" w:cs="Arial"/>
          <w:sz w:val="24"/>
          <w:szCs w:val="24"/>
          <w:lang w:val="en-US"/>
        </w:rPr>
        <w:t xml:space="preserve"> in regard to transmissibility of claims for general damages</w:t>
      </w:r>
      <w:r w:rsidR="00B72373" w:rsidRPr="00860603">
        <w:rPr>
          <w:rFonts w:ascii="Arial" w:hAnsi="Arial" w:cs="Arial"/>
          <w:sz w:val="24"/>
          <w:szCs w:val="24"/>
          <w:lang w:val="en-US"/>
        </w:rPr>
        <w:t xml:space="preserve"> </w:t>
      </w:r>
      <w:r w:rsidR="00E031EF" w:rsidRPr="00860603">
        <w:rPr>
          <w:rFonts w:ascii="Arial" w:hAnsi="Arial" w:cs="Arial"/>
          <w:sz w:val="24"/>
          <w:szCs w:val="24"/>
          <w:lang w:val="en-US"/>
        </w:rPr>
        <w:t xml:space="preserve">– </w:t>
      </w:r>
      <w:r w:rsidR="00B72373" w:rsidRPr="00860603">
        <w:rPr>
          <w:rFonts w:ascii="Arial" w:hAnsi="Arial" w:cs="Arial"/>
          <w:sz w:val="24"/>
          <w:szCs w:val="24"/>
          <w:lang w:val="en-US"/>
        </w:rPr>
        <w:t xml:space="preserve">general attributes for appealability absent – interests of justice not qualifying orders as appealable decisions – </w:t>
      </w:r>
      <w:r w:rsidR="00E031EF" w:rsidRPr="00860603">
        <w:rPr>
          <w:rFonts w:ascii="Arial" w:hAnsi="Arial" w:cs="Arial"/>
          <w:sz w:val="24"/>
          <w:szCs w:val="24"/>
          <w:lang w:val="en-US"/>
        </w:rPr>
        <w:t xml:space="preserve">matter struck from roll. </w:t>
      </w:r>
    </w:p>
    <w:p w14:paraId="365FC9B4" w14:textId="77777777" w:rsidR="00863FFE" w:rsidRPr="00860603" w:rsidRDefault="00863FFE" w:rsidP="001E65A6">
      <w:pPr>
        <w:rPr>
          <w:rFonts w:ascii="Arial" w:hAnsi="Arial" w:cs="Arial"/>
          <w:sz w:val="24"/>
          <w:szCs w:val="24"/>
          <w:lang w:val="en-US"/>
        </w:rPr>
      </w:pPr>
    </w:p>
    <w:p w14:paraId="4EB4565B" w14:textId="77777777" w:rsidR="00431A4F" w:rsidRPr="00860603" w:rsidRDefault="00431A4F" w:rsidP="00B05C8E">
      <w:pPr>
        <w:pBdr>
          <w:bottom w:val="single" w:sz="12" w:space="1" w:color="auto"/>
        </w:pBdr>
        <w:rPr>
          <w:rFonts w:ascii="Arial" w:hAnsi="Arial" w:cs="Arial"/>
          <w:sz w:val="24"/>
          <w:szCs w:val="24"/>
          <w:lang w:val="en-US"/>
        </w:rPr>
      </w:pPr>
    </w:p>
    <w:p w14:paraId="08BBA34E" w14:textId="77777777" w:rsidR="002073C1" w:rsidRPr="00860603" w:rsidRDefault="002073C1" w:rsidP="00B05C8E">
      <w:pPr>
        <w:rPr>
          <w:rFonts w:ascii="Arial" w:hAnsi="Arial" w:cs="Arial"/>
          <w:b/>
          <w:bCs/>
          <w:sz w:val="24"/>
          <w:szCs w:val="24"/>
          <w:lang w:val="en-US"/>
        </w:rPr>
      </w:pPr>
    </w:p>
    <w:p w14:paraId="2174A860" w14:textId="77777777" w:rsidR="002073C1" w:rsidRPr="00860603" w:rsidRDefault="002073C1" w:rsidP="00B05C8E">
      <w:pPr>
        <w:jc w:val="center"/>
        <w:rPr>
          <w:rFonts w:ascii="Arial" w:hAnsi="Arial" w:cs="Arial"/>
          <w:b/>
          <w:bCs/>
          <w:sz w:val="24"/>
          <w:szCs w:val="24"/>
          <w:lang w:val="en-US"/>
        </w:rPr>
      </w:pPr>
      <w:r w:rsidRPr="00860603">
        <w:rPr>
          <w:rFonts w:ascii="Arial" w:hAnsi="Arial" w:cs="Arial"/>
          <w:b/>
          <w:bCs/>
          <w:sz w:val="24"/>
          <w:szCs w:val="24"/>
          <w:lang w:val="en-US"/>
        </w:rPr>
        <w:t>ORDER</w:t>
      </w:r>
    </w:p>
    <w:p w14:paraId="136C37D4" w14:textId="77777777" w:rsidR="002073C1" w:rsidRPr="00860603" w:rsidRDefault="002073C1" w:rsidP="00B05C8E">
      <w:pPr>
        <w:pBdr>
          <w:bottom w:val="single" w:sz="12" w:space="1" w:color="auto"/>
        </w:pBdr>
        <w:rPr>
          <w:rFonts w:ascii="Arial" w:hAnsi="Arial" w:cs="Arial"/>
          <w:b/>
          <w:bCs/>
          <w:sz w:val="24"/>
          <w:szCs w:val="24"/>
          <w:lang w:val="en-US"/>
        </w:rPr>
      </w:pPr>
    </w:p>
    <w:p w14:paraId="045CD2EE" w14:textId="102370EA" w:rsidR="00614F9D" w:rsidRPr="00860603" w:rsidRDefault="002073C1" w:rsidP="00B05C8E">
      <w:pPr>
        <w:rPr>
          <w:rFonts w:ascii="Arial" w:hAnsi="Arial" w:cs="Arial"/>
          <w:sz w:val="24"/>
          <w:szCs w:val="24"/>
          <w:lang w:val="en-US"/>
        </w:rPr>
      </w:pPr>
      <w:r w:rsidRPr="00860603">
        <w:rPr>
          <w:rFonts w:ascii="Arial" w:hAnsi="Arial" w:cs="Arial"/>
          <w:b/>
          <w:bCs/>
          <w:sz w:val="24"/>
          <w:szCs w:val="24"/>
          <w:lang w:val="en-US"/>
        </w:rPr>
        <w:t>On appeal from:</w:t>
      </w:r>
      <w:r w:rsidRPr="00860603">
        <w:rPr>
          <w:rFonts w:ascii="Arial" w:hAnsi="Arial" w:cs="Arial"/>
          <w:sz w:val="24"/>
          <w:szCs w:val="24"/>
          <w:lang w:val="en-US"/>
        </w:rPr>
        <w:t xml:space="preserve"> </w:t>
      </w:r>
      <w:r w:rsidR="00A46EF2" w:rsidRPr="00860603">
        <w:rPr>
          <w:rFonts w:ascii="Arial" w:hAnsi="Arial" w:cs="Arial"/>
          <w:sz w:val="24"/>
          <w:szCs w:val="24"/>
          <w:lang w:val="en-US"/>
        </w:rPr>
        <w:t xml:space="preserve">Gauteng Division </w:t>
      </w:r>
      <w:r w:rsidRPr="00860603">
        <w:rPr>
          <w:rFonts w:ascii="Arial" w:hAnsi="Arial" w:cs="Arial"/>
          <w:sz w:val="24"/>
          <w:szCs w:val="24"/>
          <w:lang w:val="en-US"/>
        </w:rPr>
        <w:t>of the High C</w:t>
      </w:r>
      <w:r w:rsidR="00A17461" w:rsidRPr="00860603">
        <w:rPr>
          <w:rFonts w:ascii="Arial" w:hAnsi="Arial" w:cs="Arial"/>
          <w:sz w:val="24"/>
          <w:szCs w:val="24"/>
          <w:lang w:val="en-US"/>
        </w:rPr>
        <w:t xml:space="preserve">ourt, </w:t>
      </w:r>
      <w:r w:rsidR="00785DB2" w:rsidRPr="00860603">
        <w:rPr>
          <w:rFonts w:ascii="Arial" w:hAnsi="Arial" w:cs="Arial"/>
          <w:sz w:val="24"/>
          <w:szCs w:val="24"/>
          <w:lang w:val="en-US"/>
        </w:rPr>
        <w:t>Johannesburg</w:t>
      </w:r>
      <w:r w:rsidR="00A17461" w:rsidRPr="00860603">
        <w:rPr>
          <w:rFonts w:ascii="Arial" w:hAnsi="Arial" w:cs="Arial"/>
          <w:sz w:val="24"/>
          <w:szCs w:val="24"/>
          <w:lang w:val="en-US"/>
        </w:rPr>
        <w:t xml:space="preserve"> (</w:t>
      </w:r>
      <w:r w:rsidR="00614F9D" w:rsidRPr="00860603">
        <w:rPr>
          <w:rFonts w:ascii="Arial" w:hAnsi="Arial" w:cs="Arial"/>
          <w:sz w:val="24"/>
          <w:szCs w:val="24"/>
          <w:lang w:val="en-US"/>
        </w:rPr>
        <w:t>Mojapelo</w:t>
      </w:r>
      <w:r w:rsidR="00933F5C" w:rsidRPr="00860603">
        <w:rPr>
          <w:rFonts w:ascii="Arial" w:hAnsi="Arial" w:cs="Arial"/>
          <w:sz w:val="24"/>
          <w:szCs w:val="24"/>
          <w:lang w:val="en-US"/>
        </w:rPr>
        <w:t xml:space="preserve"> </w:t>
      </w:r>
      <w:r w:rsidR="00614F9D" w:rsidRPr="00860603">
        <w:rPr>
          <w:rFonts w:ascii="Arial" w:hAnsi="Arial" w:cs="Arial"/>
          <w:sz w:val="24"/>
          <w:szCs w:val="24"/>
          <w:lang w:val="en-US"/>
        </w:rPr>
        <w:t>D</w:t>
      </w:r>
      <w:r w:rsidR="00933F5C" w:rsidRPr="00860603">
        <w:rPr>
          <w:rFonts w:ascii="Arial" w:hAnsi="Arial" w:cs="Arial"/>
          <w:sz w:val="24"/>
          <w:szCs w:val="24"/>
          <w:lang w:val="en-US"/>
        </w:rPr>
        <w:t>J</w:t>
      </w:r>
      <w:r w:rsidR="00614F9D" w:rsidRPr="00860603">
        <w:rPr>
          <w:rFonts w:ascii="Arial" w:hAnsi="Arial" w:cs="Arial"/>
          <w:sz w:val="24"/>
          <w:szCs w:val="24"/>
          <w:lang w:val="en-US"/>
        </w:rPr>
        <w:t>P and Vally and Windell JJ</w:t>
      </w:r>
      <w:r w:rsidR="00793984" w:rsidRPr="00860603">
        <w:rPr>
          <w:rFonts w:ascii="Arial" w:hAnsi="Arial" w:cs="Arial"/>
          <w:sz w:val="24"/>
          <w:szCs w:val="24"/>
          <w:lang w:val="en-US"/>
        </w:rPr>
        <w:t>,</w:t>
      </w:r>
      <w:r w:rsidR="00A17461" w:rsidRPr="00860603">
        <w:rPr>
          <w:rFonts w:ascii="Arial" w:hAnsi="Arial" w:cs="Arial"/>
          <w:sz w:val="24"/>
          <w:szCs w:val="24"/>
          <w:lang w:val="en-US"/>
        </w:rPr>
        <w:t xml:space="preserve"> </w:t>
      </w:r>
      <w:r w:rsidRPr="00860603">
        <w:rPr>
          <w:rFonts w:ascii="Arial" w:hAnsi="Arial" w:cs="Arial"/>
          <w:sz w:val="24"/>
          <w:szCs w:val="24"/>
          <w:lang w:val="en-US"/>
        </w:rPr>
        <w:t xml:space="preserve">sitting as court of </w:t>
      </w:r>
      <w:r w:rsidR="00D523FC" w:rsidRPr="00860603">
        <w:rPr>
          <w:rFonts w:ascii="Arial" w:hAnsi="Arial" w:cs="Arial"/>
          <w:sz w:val="24"/>
          <w:szCs w:val="24"/>
          <w:lang w:val="en-US"/>
        </w:rPr>
        <w:t>first instance</w:t>
      </w:r>
      <w:r w:rsidR="00E96FF5" w:rsidRPr="00860603">
        <w:rPr>
          <w:rFonts w:ascii="Arial" w:hAnsi="Arial" w:cs="Arial"/>
          <w:sz w:val="24"/>
          <w:szCs w:val="24"/>
          <w:lang w:val="en-US"/>
        </w:rPr>
        <w:t>)</w:t>
      </w:r>
      <w:r w:rsidR="006D42D1" w:rsidRPr="00860603">
        <w:rPr>
          <w:rFonts w:ascii="Arial" w:hAnsi="Arial" w:cs="Arial"/>
          <w:sz w:val="24"/>
          <w:szCs w:val="24"/>
          <w:lang w:val="en-US"/>
        </w:rPr>
        <w:t>:</w:t>
      </w:r>
    </w:p>
    <w:p w14:paraId="3AF9FBC1" w14:textId="1BADC2F3" w:rsidR="003515FB" w:rsidRPr="00860603" w:rsidRDefault="007245DB" w:rsidP="00B05C8E">
      <w:pPr>
        <w:rPr>
          <w:rFonts w:ascii="Arial" w:hAnsi="Arial" w:cs="Arial"/>
          <w:sz w:val="24"/>
          <w:szCs w:val="24"/>
          <w:lang w:val="en-US"/>
        </w:rPr>
      </w:pPr>
      <w:r w:rsidRPr="00860603">
        <w:rPr>
          <w:rFonts w:ascii="Arial" w:hAnsi="Arial" w:cs="Arial"/>
          <w:sz w:val="24"/>
          <w:szCs w:val="24"/>
          <w:lang w:val="en-US"/>
        </w:rPr>
        <w:t>The matter is struck from the roll with costs, including the costs of three counsel.</w:t>
      </w:r>
    </w:p>
    <w:p w14:paraId="5C4C2E5D" w14:textId="719B8BD6" w:rsidR="00BD73E7" w:rsidRPr="00860603" w:rsidRDefault="00BD73E7" w:rsidP="00B05C8E">
      <w:pPr>
        <w:pBdr>
          <w:bottom w:val="single" w:sz="12" w:space="1" w:color="auto"/>
        </w:pBdr>
        <w:rPr>
          <w:rFonts w:ascii="Arial" w:hAnsi="Arial" w:cs="Arial"/>
          <w:b/>
          <w:bCs/>
          <w:sz w:val="24"/>
          <w:szCs w:val="24"/>
          <w:lang w:val="en-US"/>
        </w:rPr>
      </w:pPr>
    </w:p>
    <w:p w14:paraId="3A504304" w14:textId="3427C965" w:rsidR="00BD73E7" w:rsidRPr="00860603" w:rsidRDefault="00BD73E7" w:rsidP="00B05C8E">
      <w:pPr>
        <w:rPr>
          <w:rFonts w:ascii="Arial" w:hAnsi="Arial" w:cs="Arial"/>
          <w:b/>
          <w:bCs/>
          <w:sz w:val="24"/>
          <w:szCs w:val="24"/>
          <w:lang w:val="en-US"/>
        </w:rPr>
      </w:pPr>
    </w:p>
    <w:p w14:paraId="7565F278" w14:textId="3AC295DB" w:rsidR="00BD73E7" w:rsidRPr="00860603" w:rsidRDefault="00BD73E7" w:rsidP="00B05C8E">
      <w:pPr>
        <w:jc w:val="center"/>
        <w:rPr>
          <w:rFonts w:ascii="Arial" w:hAnsi="Arial" w:cs="Arial"/>
          <w:b/>
          <w:bCs/>
          <w:sz w:val="24"/>
          <w:szCs w:val="24"/>
          <w:lang w:val="en-US"/>
        </w:rPr>
      </w:pPr>
      <w:r w:rsidRPr="00860603">
        <w:rPr>
          <w:rFonts w:ascii="Arial" w:hAnsi="Arial" w:cs="Arial"/>
          <w:b/>
          <w:bCs/>
          <w:sz w:val="24"/>
          <w:szCs w:val="24"/>
          <w:lang w:val="en-US"/>
        </w:rPr>
        <w:t>JUDGMENT</w:t>
      </w:r>
    </w:p>
    <w:p w14:paraId="55FBB5EB" w14:textId="347EDD86" w:rsidR="00BD73E7" w:rsidRPr="00860603" w:rsidRDefault="00BD73E7" w:rsidP="00B05C8E">
      <w:pPr>
        <w:pBdr>
          <w:bottom w:val="single" w:sz="12" w:space="1" w:color="auto"/>
        </w:pBdr>
        <w:rPr>
          <w:rFonts w:ascii="Arial" w:hAnsi="Arial" w:cs="Arial"/>
          <w:b/>
          <w:bCs/>
          <w:sz w:val="24"/>
          <w:szCs w:val="24"/>
          <w:lang w:val="en-US"/>
        </w:rPr>
      </w:pPr>
    </w:p>
    <w:p w14:paraId="1F06ECBC" w14:textId="33652ACC" w:rsidR="00BD73E7" w:rsidRPr="00860603" w:rsidRDefault="00785DB2" w:rsidP="00494104">
      <w:pPr>
        <w:spacing w:before="240"/>
        <w:rPr>
          <w:rFonts w:ascii="Arial" w:hAnsi="Arial" w:cs="Arial"/>
          <w:sz w:val="24"/>
          <w:szCs w:val="24"/>
          <w:lang w:val="en-US"/>
        </w:rPr>
      </w:pPr>
      <w:r w:rsidRPr="00860603">
        <w:rPr>
          <w:rFonts w:ascii="Arial" w:hAnsi="Arial" w:cs="Arial"/>
          <w:b/>
          <w:bCs/>
          <w:sz w:val="24"/>
          <w:szCs w:val="24"/>
          <w:lang w:val="en-US"/>
        </w:rPr>
        <w:t>Van der Merwe</w:t>
      </w:r>
      <w:r w:rsidR="00BD73E7" w:rsidRPr="00860603">
        <w:rPr>
          <w:rFonts w:ascii="Arial" w:hAnsi="Arial" w:cs="Arial"/>
          <w:b/>
          <w:bCs/>
          <w:sz w:val="24"/>
          <w:szCs w:val="24"/>
          <w:lang w:val="en-US"/>
        </w:rPr>
        <w:t xml:space="preserve"> JA (</w:t>
      </w:r>
      <w:r w:rsidR="00362AFC">
        <w:rPr>
          <w:rFonts w:ascii="Arial" w:hAnsi="Arial" w:cs="Arial"/>
          <w:b/>
          <w:bCs/>
          <w:sz w:val="24"/>
          <w:szCs w:val="24"/>
          <w:lang w:val="en-US"/>
        </w:rPr>
        <w:t xml:space="preserve">Ponnan, Molemela and Mothle JJA and Salie AJA </w:t>
      </w:r>
      <w:r w:rsidR="00BD73E7" w:rsidRPr="00860603">
        <w:rPr>
          <w:rFonts w:ascii="Arial" w:hAnsi="Arial" w:cs="Arial"/>
          <w:b/>
          <w:bCs/>
          <w:sz w:val="24"/>
          <w:szCs w:val="24"/>
          <w:lang w:val="en-US"/>
        </w:rPr>
        <w:t>concurring)</w:t>
      </w:r>
      <w:r w:rsidR="006D42D1" w:rsidRPr="00860603">
        <w:rPr>
          <w:rFonts w:ascii="Arial" w:hAnsi="Arial" w:cs="Arial"/>
          <w:b/>
          <w:bCs/>
          <w:sz w:val="24"/>
          <w:szCs w:val="24"/>
          <w:lang w:val="en-US"/>
        </w:rPr>
        <w:t>:</w:t>
      </w:r>
    </w:p>
    <w:p w14:paraId="5F66D5D6" w14:textId="21495AC3" w:rsidR="00EB3142" w:rsidRPr="00860603" w:rsidRDefault="00BD73E7" w:rsidP="00B05C8E">
      <w:pPr>
        <w:rPr>
          <w:rFonts w:ascii="Arial" w:hAnsi="Arial" w:cs="Arial"/>
          <w:sz w:val="24"/>
          <w:szCs w:val="24"/>
          <w:lang w:val="en-US"/>
        </w:rPr>
      </w:pPr>
      <w:r w:rsidRPr="00860603">
        <w:rPr>
          <w:rFonts w:ascii="Arial" w:hAnsi="Arial" w:cs="Arial"/>
          <w:sz w:val="24"/>
          <w:szCs w:val="24"/>
          <w:lang w:val="en-US"/>
        </w:rPr>
        <w:t>[1]</w:t>
      </w:r>
      <w:r w:rsidRPr="00860603">
        <w:rPr>
          <w:rFonts w:ascii="Arial" w:hAnsi="Arial" w:cs="Arial"/>
          <w:sz w:val="24"/>
          <w:szCs w:val="24"/>
          <w:lang w:val="en-US"/>
        </w:rPr>
        <w:tab/>
      </w:r>
      <w:r w:rsidR="00614F9D" w:rsidRPr="00860603">
        <w:rPr>
          <w:rFonts w:ascii="Arial" w:hAnsi="Arial" w:cs="Arial"/>
          <w:sz w:val="24"/>
          <w:szCs w:val="24"/>
          <w:lang w:val="en-US"/>
        </w:rPr>
        <w:t>In a consolidated application</w:t>
      </w:r>
      <w:r w:rsidR="00087951" w:rsidRPr="00860603">
        <w:rPr>
          <w:rFonts w:ascii="Arial" w:hAnsi="Arial" w:cs="Arial"/>
          <w:sz w:val="24"/>
          <w:szCs w:val="24"/>
          <w:lang w:val="en-US"/>
        </w:rPr>
        <w:t>,</w:t>
      </w:r>
      <w:r w:rsidR="00614F9D" w:rsidRPr="00860603">
        <w:rPr>
          <w:rFonts w:ascii="Arial" w:hAnsi="Arial" w:cs="Arial"/>
          <w:sz w:val="24"/>
          <w:szCs w:val="24"/>
          <w:lang w:val="en-US"/>
        </w:rPr>
        <w:t xml:space="preserve"> the respondents, acting as proposed class representatives, approached the Gauteng Division of the High Court, Johannesburg for the certification of a class action. I shall shortly describe the nature of the claims sought to </w:t>
      </w:r>
      <w:r w:rsidR="00D7015F" w:rsidRPr="00860603">
        <w:rPr>
          <w:rFonts w:ascii="Arial" w:hAnsi="Arial" w:cs="Arial"/>
          <w:sz w:val="24"/>
          <w:szCs w:val="24"/>
          <w:lang w:val="en-US"/>
        </w:rPr>
        <w:t xml:space="preserve">be </w:t>
      </w:r>
      <w:r w:rsidR="00614F9D" w:rsidRPr="00860603">
        <w:rPr>
          <w:rFonts w:ascii="Arial" w:hAnsi="Arial" w:cs="Arial"/>
          <w:sz w:val="24"/>
          <w:szCs w:val="24"/>
          <w:lang w:val="en-US"/>
        </w:rPr>
        <w:t>pursue</w:t>
      </w:r>
      <w:r w:rsidR="00D7015F" w:rsidRPr="00860603">
        <w:rPr>
          <w:rFonts w:ascii="Arial" w:hAnsi="Arial" w:cs="Arial"/>
          <w:sz w:val="24"/>
          <w:szCs w:val="24"/>
          <w:lang w:val="en-US"/>
        </w:rPr>
        <w:t>d</w:t>
      </w:r>
      <w:r w:rsidR="00614F9D" w:rsidRPr="00860603">
        <w:rPr>
          <w:rFonts w:ascii="Arial" w:hAnsi="Arial" w:cs="Arial"/>
          <w:sz w:val="24"/>
          <w:szCs w:val="24"/>
          <w:lang w:val="en-US"/>
        </w:rPr>
        <w:t xml:space="preserve"> under the class action. The respondents also sought a declaratory order in respect of the transmissibility of class action claims for general damages. The application was initially brought against no less than 32 respondents (the mining companies)</w:t>
      </w:r>
      <w:r w:rsidR="00C84381" w:rsidRPr="00860603">
        <w:rPr>
          <w:rFonts w:ascii="Arial" w:hAnsi="Arial" w:cs="Arial"/>
          <w:sz w:val="24"/>
          <w:szCs w:val="24"/>
          <w:lang w:val="en-US"/>
        </w:rPr>
        <w:t xml:space="preserve">, most of </w:t>
      </w:r>
      <w:r w:rsidR="00C70BBD" w:rsidRPr="00860603">
        <w:rPr>
          <w:rFonts w:ascii="Arial" w:hAnsi="Arial" w:cs="Arial"/>
          <w:sz w:val="24"/>
          <w:szCs w:val="24"/>
          <w:lang w:val="en-US"/>
        </w:rPr>
        <w:t>whom</w:t>
      </w:r>
      <w:r w:rsidR="00C84381" w:rsidRPr="00860603">
        <w:rPr>
          <w:rFonts w:ascii="Arial" w:hAnsi="Arial" w:cs="Arial"/>
          <w:sz w:val="24"/>
          <w:szCs w:val="24"/>
          <w:lang w:val="en-US"/>
        </w:rPr>
        <w:t xml:space="preserve"> opposed the relief claimed. </w:t>
      </w:r>
    </w:p>
    <w:p w14:paraId="230559AB" w14:textId="77777777" w:rsidR="005E64F9" w:rsidRPr="00860603" w:rsidRDefault="005E64F9" w:rsidP="00B05C8E">
      <w:pPr>
        <w:rPr>
          <w:rFonts w:ascii="Arial" w:hAnsi="Arial" w:cs="Arial"/>
          <w:sz w:val="24"/>
          <w:szCs w:val="24"/>
          <w:lang w:val="en-US"/>
        </w:rPr>
      </w:pPr>
    </w:p>
    <w:p w14:paraId="03634F13" w14:textId="60746DE4" w:rsidR="005E64F9" w:rsidRPr="00860603" w:rsidRDefault="005E64F9" w:rsidP="00B05C8E">
      <w:pPr>
        <w:rPr>
          <w:rFonts w:ascii="Arial" w:hAnsi="Arial" w:cs="Arial"/>
          <w:sz w:val="24"/>
          <w:szCs w:val="24"/>
          <w:lang w:val="en-US"/>
        </w:rPr>
      </w:pPr>
      <w:r w:rsidRPr="00860603">
        <w:rPr>
          <w:rFonts w:ascii="Arial" w:hAnsi="Arial" w:cs="Arial"/>
          <w:sz w:val="24"/>
          <w:szCs w:val="24"/>
          <w:lang w:val="en-US"/>
        </w:rPr>
        <w:t>[2]</w:t>
      </w:r>
      <w:r w:rsidRPr="00860603">
        <w:rPr>
          <w:rFonts w:ascii="Arial" w:hAnsi="Arial" w:cs="Arial"/>
          <w:sz w:val="24"/>
          <w:szCs w:val="24"/>
          <w:lang w:val="en-US"/>
        </w:rPr>
        <w:tab/>
      </w:r>
      <w:r w:rsidR="00B47D80" w:rsidRPr="00860603">
        <w:rPr>
          <w:rFonts w:ascii="Arial" w:hAnsi="Arial" w:cs="Arial"/>
          <w:sz w:val="24"/>
          <w:szCs w:val="24"/>
          <w:lang w:val="en-US"/>
        </w:rPr>
        <w:t>The matter came before a specially constituted court</w:t>
      </w:r>
      <w:r w:rsidR="00C70BBD" w:rsidRPr="00860603">
        <w:rPr>
          <w:rFonts w:ascii="Arial" w:hAnsi="Arial" w:cs="Arial"/>
          <w:sz w:val="24"/>
          <w:szCs w:val="24"/>
          <w:lang w:val="en-US"/>
        </w:rPr>
        <w:t xml:space="preserve"> of three judges</w:t>
      </w:r>
      <w:r w:rsidR="00B47D80" w:rsidRPr="00860603">
        <w:rPr>
          <w:rFonts w:ascii="Arial" w:hAnsi="Arial" w:cs="Arial"/>
          <w:sz w:val="24"/>
          <w:szCs w:val="24"/>
          <w:lang w:val="en-US"/>
        </w:rPr>
        <w:t xml:space="preserve"> (Mojapelo DJP, Vally J and Windell J), sitting as a court of first instance. It unanimously ordered the certification of the class action as claimed (the certification). </w:t>
      </w:r>
      <w:r w:rsidR="00C70BBD" w:rsidRPr="00860603">
        <w:rPr>
          <w:rFonts w:ascii="Arial" w:hAnsi="Arial" w:cs="Arial"/>
          <w:sz w:val="24"/>
          <w:szCs w:val="24"/>
          <w:lang w:val="en-US"/>
        </w:rPr>
        <w:t>The</w:t>
      </w:r>
      <w:r w:rsidR="00B47D80" w:rsidRPr="00860603">
        <w:rPr>
          <w:rFonts w:ascii="Arial" w:hAnsi="Arial" w:cs="Arial"/>
          <w:sz w:val="24"/>
          <w:szCs w:val="24"/>
          <w:lang w:val="en-US"/>
        </w:rPr>
        <w:t xml:space="preserve"> majority (Mojapelo DJP and Vally J) </w:t>
      </w:r>
      <w:r w:rsidR="00C70BBD" w:rsidRPr="00860603">
        <w:rPr>
          <w:rFonts w:ascii="Arial" w:hAnsi="Arial" w:cs="Arial"/>
          <w:sz w:val="24"/>
          <w:szCs w:val="24"/>
          <w:lang w:val="en-US"/>
        </w:rPr>
        <w:t>also</w:t>
      </w:r>
      <w:r w:rsidR="00B47D80" w:rsidRPr="00860603">
        <w:rPr>
          <w:rFonts w:ascii="Arial" w:hAnsi="Arial" w:cs="Arial"/>
          <w:sz w:val="24"/>
          <w:szCs w:val="24"/>
          <w:lang w:val="en-US"/>
        </w:rPr>
        <w:t xml:space="preserve"> granted a declaratory order (the declarator) that was not limited to class actions as the respondents had intended. The declarator purported to be of general application. According to her dissenting judgment on this issue, Windell J would have granted the declarator that the respondents had sought. Several of the mining companies applied for leave to appeal against the certification and the declarator. The court a quo granted them leave to appeal to this court against the declarator, but refused leave to appeal against the certification. Mainly because of the settlement agreement that I shall soon allude to, only the first appellant, DRDGOLD </w:t>
      </w:r>
      <w:r w:rsidR="00B47D80" w:rsidRPr="00860603">
        <w:rPr>
          <w:rFonts w:ascii="Arial" w:hAnsi="Arial" w:cs="Arial"/>
          <w:sz w:val="24"/>
          <w:szCs w:val="24"/>
          <w:lang w:val="en-US"/>
        </w:rPr>
        <w:lastRenderedPageBreak/>
        <w:t xml:space="preserve">Limited (DRD), and the second appellant, East Rand Proprietary Mines Limited (ERPM), prosecuted the appeal. This court granted leave to the appellants to appeal against the certification as well. </w:t>
      </w:r>
      <w:r w:rsidRPr="00860603">
        <w:rPr>
          <w:rFonts w:ascii="Arial" w:hAnsi="Arial" w:cs="Arial"/>
          <w:sz w:val="24"/>
          <w:szCs w:val="24"/>
          <w:lang w:val="en-US"/>
        </w:rPr>
        <w:t xml:space="preserve"> </w:t>
      </w:r>
    </w:p>
    <w:p w14:paraId="7C970A06" w14:textId="77777777" w:rsidR="005E64F9" w:rsidRPr="00860603" w:rsidRDefault="005E64F9" w:rsidP="00B05C8E">
      <w:pPr>
        <w:rPr>
          <w:rFonts w:ascii="Arial" w:hAnsi="Arial" w:cs="Arial"/>
          <w:sz w:val="24"/>
          <w:szCs w:val="24"/>
          <w:lang w:val="en-US"/>
        </w:rPr>
      </w:pPr>
    </w:p>
    <w:p w14:paraId="49688695" w14:textId="78DAE1CB" w:rsidR="005E64F9" w:rsidRPr="00860603" w:rsidRDefault="005E64F9" w:rsidP="00B05C8E">
      <w:pPr>
        <w:rPr>
          <w:rFonts w:ascii="Arial" w:hAnsi="Arial" w:cs="Arial"/>
          <w:sz w:val="24"/>
          <w:szCs w:val="24"/>
          <w:lang w:val="en-US"/>
        </w:rPr>
      </w:pPr>
      <w:r w:rsidRPr="00860603">
        <w:rPr>
          <w:rFonts w:ascii="Arial" w:hAnsi="Arial" w:cs="Arial"/>
          <w:sz w:val="24"/>
          <w:szCs w:val="24"/>
          <w:lang w:val="en-US"/>
        </w:rPr>
        <w:t>[3]</w:t>
      </w:r>
      <w:r w:rsidRPr="00860603">
        <w:rPr>
          <w:rFonts w:ascii="Arial" w:hAnsi="Arial" w:cs="Arial"/>
          <w:sz w:val="24"/>
          <w:szCs w:val="24"/>
          <w:lang w:val="en-US"/>
        </w:rPr>
        <w:tab/>
      </w:r>
      <w:r w:rsidR="008B7218" w:rsidRPr="00860603">
        <w:rPr>
          <w:rFonts w:ascii="Arial" w:hAnsi="Arial" w:cs="Arial"/>
          <w:sz w:val="24"/>
          <w:szCs w:val="24"/>
          <w:lang w:val="en-US"/>
        </w:rPr>
        <w:t>At the request of this court, the parties addressed us at the hearing</w:t>
      </w:r>
      <w:r w:rsidR="00073227" w:rsidRPr="00860603">
        <w:rPr>
          <w:rFonts w:ascii="Arial" w:hAnsi="Arial" w:cs="Arial"/>
          <w:sz w:val="24"/>
          <w:szCs w:val="24"/>
          <w:lang w:val="en-US"/>
        </w:rPr>
        <w:t xml:space="preserve"> on the appealability of both the certification and the declarator. For the reasons that follow, I have come to the conclusion that neither is appealable at this stage. In the result, this judgment deals only with the question of appealability. It does so against the following background.</w:t>
      </w:r>
    </w:p>
    <w:p w14:paraId="31A56368" w14:textId="77777777" w:rsidR="00073227" w:rsidRPr="00860603" w:rsidRDefault="00073227" w:rsidP="00B05C8E">
      <w:pPr>
        <w:rPr>
          <w:rFonts w:ascii="Arial" w:hAnsi="Arial" w:cs="Arial"/>
          <w:sz w:val="24"/>
          <w:szCs w:val="24"/>
          <w:lang w:val="en-US"/>
        </w:rPr>
      </w:pPr>
    </w:p>
    <w:p w14:paraId="1F8E4BCE" w14:textId="1AB6B248" w:rsidR="00073227" w:rsidRPr="00860603" w:rsidRDefault="00073227" w:rsidP="00B05C8E">
      <w:pPr>
        <w:rPr>
          <w:rFonts w:ascii="Arial" w:hAnsi="Arial" w:cs="Arial"/>
          <w:b/>
          <w:sz w:val="24"/>
          <w:szCs w:val="24"/>
          <w:lang w:val="en-US"/>
        </w:rPr>
      </w:pPr>
      <w:r w:rsidRPr="00860603">
        <w:rPr>
          <w:rFonts w:ascii="Arial" w:hAnsi="Arial" w:cs="Arial"/>
          <w:b/>
          <w:sz w:val="24"/>
          <w:szCs w:val="24"/>
          <w:lang w:val="en-US"/>
        </w:rPr>
        <w:t>Background</w:t>
      </w:r>
    </w:p>
    <w:p w14:paraId="0DE37284" w14:textId="7C27E5FF" w:rsidR="00544D74" w:rsidRPr="00860603" w:rsidRDefault="00544D74" w:rsidP="00B05C8E">
      <w:pPr>
        <w:rPr>
          <w:rFonts w:ascii="Arial" w:hAnsi="Arial" w:cs="Arial"/>
          <w:sz w:val="24"/>
          <w:szCs w:val="24"/>
          <w:lang w:val="en-US"/>
        </w:rPr>
      </w:pPr>
      <w:r w:rsidRPr="00860603">
        <w:rPr>
          <w:rFonts w:ascii="Arial" w:hAnsi="Arial" w:cs="Arial"/>
          <w:sz w:val="24"/>
          <w:szCs w:val="24"/>
          <w:lang w:val="en-US"/>
        </w:rPr>
        <w:t>[4]</w:t>
      </w:r>
      <w:r w:rsidRPr="00860603">
        <w:rPr>
          <w:rFonts w:ascii="Arial" w:hAnsi="Arial" w:cs="Arial"/>
          <w:sz w:val="24"/>
          <w:szCs w:val="24"/>
          <w:lang w:val="en-US"/>
        </w:rPr>
        <w:tab/>
      </w:r>
      <w:r w:rsidR="00842A00" w:rsidRPr="00860603">
        <w:rPr>
          <w:rFonts w:ascii="Arial" w:hAnsi="Arial" w:cs="Arial"/>
          <w:sz w:val="24"/>
          <w:szCs w:val="24"/>
          <w:lang w:val="en-US"/>
        </w:rPr>
        <w:t>It is common cause that over several decades many thousands of underground mineworkers in South African gold mines contracted silicosis and/or pulmonary tuberculosis (tuberculosis). The cause of silicosis is the inhalation of harmful quantities of silica dust. Silicosis is a painful, in</w:t>
      </w:r>
      <w:r w:rsidR="00EF265A" w:rsidRPr="00860603">
        <w:rPr>
          <w:rFonts w:ascii="Arial" w:hAnsi="Arial" w:cs="Arial"/>
          <w:sz w:val="24"/>
          <w:szCs w:val="24"/>
          <w:lang w:val="en-US"/>
        </w:rPr>
        <w:t>curable and progressive disease,</w:t>
      </w:r>
      <w:r w:rsidR="00842A00" w:rsidRPr="00860603">
        <w:rPr>
          <w:rFonts w:ascii="Arial" w:hAnsi="Arial" w:cs="Arial"/>
          <w:sz w:val="24"/>
          <w:szCs w:val="24"/>
          <w:lang w:val="en-US"/>
        </w:rPr>
        <w:t xml:space="preserve"> </w:t>
      </w:r>
      <w:r w:rsidR="00EF265A" w:rsidRPr="00860603">
        <w:rPr>
          <w:rFonts w:ascii="Arial" w:hAnsi="Arial" w:cs="Arial"/>
          <w:sz w:val="24"/>
          <w:szCs w:val="24"/>
          <w:lang w:val="en-US"/>
        </w:rPr>
        <w:t>often resulting in death.</w:t>
      </w:r>
      <w:r w:rsidR="00842A00" w:rsidRPr="00860603">
        <w:rPr>
          <w:rFonts w:ascii="Arial" w:hAnsi="Arial" w:cs="Arial"/>
          <w:sz w:val="24"/>
          <w:szCs w:val="24"/>
          <w:lang w:val="en-US"/>
        </w:rPr>
        <w:t xml:space="preserve"> Tuberculosis, on the other hand, is a treatable bacterial lung disease. The respondents contend, however, that exposure to excessive silica dust levels increases the risk of contracting tuberculosis. </w:t>
      </w:r>
    </w:p>
    <w:p w14:paraId="2CB55DC2" w14:textId="77777777" w:rsidR="00E309EE" w:rsidRPr="00860603" w:rsidRDefault="00E309EE" w:rsidP="00B05C8E">
      <w:pPr>
        <w:rPr>
          <w:rFonts w:ascii="Arial" w:hAnsi="Arial" w:cs="Arial"/>
          <w:sz w:val="24"/>
          <w:szCs w:val="24"/>
          <w:lang w:val="en-US"/>
        </w:rPr>
      </w:pPr>
    </w:p>
    <w:p w14:paraId="3BC36050" w14:textId="517AA5A0" w:rsidR="00E309EE" w:rsidRPr="00860603" w:rsidRDefault="00E309EE" w:rsidP="00B05C8E">
      <w:pPr>
        <w:rPr>
          <w:rFonts w:ascii="Arial" w:hAnsi="Arial" w:cs="Arial"/>
          <w:sz w:val="24"/>
          <w:szCs w:val="24"/>
          <w:lang w:val="en-US"/>
        </w:rPr>
      </w:pPr>
      <w:r w:rsidRPr="00860603">
        <w:rPr>
          <w:rFonts w:ascii="Arial" w:hAnsi="Arial" w:cs="Arial"/>
          <w:sz w:val="24"/>
          <w:szCs w:val="24"/>
          <w:lang w:val="en-US"/>
        </w:rPr>
        <w:t>[5]</w:t>
      </w:r>
      <w:r w:rsidRPr="00860603">
        <w:rPr>
          <w:rFonts w:ascii="Arial" w:hAnsi="Arial" w:cs="Arial"/>
          <w:sz w:val="24"/>
          <w:szCs w:val="24"/>
          <w:lang w:val="en-US"/>
        </w:rPr>
        <w:tab/>
      </w:r>
      <w:r w:rsidR="005C2F46" w:rsidRPr="00860603">
        <w:rPr>
          <w:rFonts w:ascii="Arial" w:hAnsi="Arial" w:cs="Arial"/>
          <w:sz w:val="24"/>
          <w:szCs w:val="24"/>
          <w:lang w:val="en-US"/>
        </w:rPr>
        <w:t xml:space="preserve">The mining companies represented virtually the entire goldmining industry in South Africa. They included so-called ‘parent companies’, that is, companies that were sought to be visited with liability because of their controlling </w:t>
      </w:r>
      <w:r w:rsidR="00841C54" w:rsidRPr="00860603">
        <w:rPr>
          <w:rFonts w:ascii="Arial" w:hAnsi="Arial" w:cs="Arial"/>
          <w:sz w:val="24"/>
          <w:szCs w:val="24"/>
          <w:lang w:val="en-US"/>
        </w:rPr>
        <w:t>interests in the operating mining companies. In the court a quo</w:t>
      </w:r>
      <w:r w:rsidR="00FB2E5D" w:rsidRPr="00860603">
        <w:rPr>
          <w:rFonts w:ascii="Arial" w:hAnsi="Arial" w:cs="Arial"/>
          <w:sz w:val="24"/>
          <w:szCs w:val="24"/>
          <w:lang w:val="en-US"/>
        </w:rPr>
        <w:t>,</w:t>
      </w:r>
      <w:r w:rsidR="00841C54" w:rsidRPr="00860603">
        <w:rPr>
          <w:rFonts w:ascii="Arial" w:hAnsi="Arial" w:cs="Arial"/>
          <w:sz w:val="24"/>
          <w:szCs w:val="24"/>
          <w:lang w:val="en-US"/>
        </w:rPr>
        <w:t xml:space="preserve"> the respondents presented prima facie evidence of prolonged industry-wide underground exposure of mineworkers (invariably male persons) to unhealthy levels of silica dust. They allege</w:t>
      </w:r>
      <w:r w:rsidR="00EC5F10" w:rsidRPr="00860603">
        <w:rPr>
          <w:rFonts w:ascii="Arial" w:hAnsi="Arial" w:cs="Arial"/>
          <w:sz w:val="24"/>
          <w:szCs w:val="24"/>
          <w:lang w:val="en-US"/>
        </w:rPr>
        <w:t>d</w:t>
      </w:r>
      <w:r w:rsidR="00841C54" w:rsidRPr="00860603">
        <w:rPr>
          <w:rFonts w:ascii="Arial" w:hAnsi="Arial" w:cs="Arial"/>
          <w:sz w:val="24"/>
          <w:szCs w:val="24"/>
          <w:lang w:val="en-US"/>
        </w:rPr>
        <w:t xml:space="preserve"> that the mining companies, acting in concert or </w:t>
      </w:r>
      <w:r w:rsidR="00EC5F10" w:rsidRPr="00860603">
        <w:rPr>
          <w:rFonts w:ascii="Arial" w:hAnsi="Arial" w:cs="Arial"/>
          <w:sz w:val="24"/>
          <w:szCs w:val="24"/>
          <w:lang w:val="en-US"/>
        </w:rPr>
        <w:t>independently in a</w:t>
      </w:r>
      <w:r w:rsidR="00841C54" w:rsidRPr="00860603">
        <w:rPr>
          <w:rFonts w:ascii="Arial" w:hAnsi="Arial" w:cs="Arial"/>
          <w:sz w:val="24"/>
          <w:szCs w:val="24"/>
          <w:lang w:val="en-US"/>
        </w:rPr>
        <w:t xml:space="preserve"> similar fashion, negligently and wrongfully failed</w:t>
      </w:r>
      <w:r w:rsidR="00623BCB" w:rsidRPr="00860603">
        <w:rPr>
          <w:rFonts w:ascii="Arial" w:hAnsi="Arial" w:cs="Arial"/>
          <w:sz w:val="24"/>
          <w:szCs w:val="24"/>
          <w:lang w:val="en-US"/>
        </w:rPr>
        <w:t xml:space="preserve"> on an industry-wide basis</w:t>
      </w:r>
      <w:r w:rsidR="00841C54" w:rsidRPr="00860603">
        <w:rPr>
          <w:rFonts w:ascii="Arial" w:hAnsi="Arial" w:cs="Arial"/>
          <w:sz w:val="24"/>
          <w:szCs w:val="24"/>
          <w:lang w:val="en-US"/>
        </w:rPr>
        <w:t xml:space="preserve"> to properly address this health hazard. Therefore, so the respondents said, every mineworker that had worked underground in a gold mine and thus contracted silicosis and/or tuberculosis – or his </w:t>
      </w:r>
      <w:r w:rsidR="00A127E5" w:rsidRPr="00860603">
        <w:rPr>
          <w:rFonts w:ascii="Arial" w:hAnsi="Arial" w:cs="Arial"/>
          <w:sz w:val="24"/>
          <w:szCs w:val="24"/>
          <w:lang w:val="en-US"/>
        </w:rPr>
        <w:t>dependa</w:t>
      </w:r>
      <w:r w:rsidR="00E323CB" w:rsidRPr="00860603">
        <w:rPr>
          <w:rFonts w:ascii="Arial" w:hAnsi="Arial" w:cs="Arial"/>
          <w:sz w:val="24"/>
          <w:szCs w:val="24"/>
          <w:lang w:val="en-US"/>
        </w:rPr>
        <w:t>nts</w:t>
      </w:r>
      <w:r w:rsidR="00AF5632" w:rsidRPr="00860603">
        <w:rPr>
          <w:rFonts w:ascii="Arial" w:hAnsi="Arial" w:cs="Arial"/>
          <w:sz w:val="24"/>
          <w:szCs w:val="24"/>
          <w:lang w:val="en-US"/>
        </w:rPr>
        <w:t xml:space="preserve"> – had</w:t>
      </w:r>
      <w:r w:rsidR="00841C54" w:rsidRPr="00860603">
        <w:rPr>
          <w:rFonts w:ascii="Arial" w:hAnsi="Arial" w:cs="Arial"/>
          <w:sz w:val="24"/>
          <w:szCs w:val="24"/>
          <w:lang w:val="en-US"/>
        </w:rPr>
        <w:t xml:space="preserve"> a delictual claim for damages against the mining company or companies for which he worked, as well as against the applicable ‘parent companies’. The respondents contended that the commonality</w:t>
      </w:r>
      <w:r w:rsidR="00E323CB" w:rsidRPr="00860603">
        <w:rPr>
          <w:rFonts w:ascii="Arial" w:hAnsi="Arial" w:cs="Arial"/>
          <w:sz w:val="24"/>
          <w:szCs w:val="24"/>
          <w:lang w:val="en-US"/>
        </w:rPr>
        <w:t xml:space="preserve"> between the claims of these claimants amply justified the certification of a class action. </w:t>
      </w:r>
    </w:p>
    <w:p w14:paraId="6DCF471F" w14:textId="77777777" w:rsidR="00E309EE" w:rsidRPr="00860603" w:rsidRDefault="00E309EE" w:rsidP="00B05C8E">
      <w:pPr>
        <w:rPr>
          <w:rFonts w:ascii="Arial" w:hAnsi="Arial" w:cs="Arial"/>
          <w:sz w:val="24"/>
          <w:szCs w:val="24"/>
          <w:lang w:val="en-US"/>
        </w:rPr>
      </w:pPr>
    </w:p>
    <w:p w14:paraId="1436C256" w14:textId="29CD10FC" w:rsidR="00DA05E7" w:rsidRPr="00860603" w:rsidRDefault="00E309EE" w:rsidP="00614F9D">
      <w:pPr>
        <w:rPr>
          <w:rFonts w:ascii="Arial" w:hAnsi="Arial" w:cs="Arial"/>
          <w:sz w:val="24"/>
          <w:szCs w:val="24"/>
          <w:lang w:val="en-US"/>
        </w:rPr>
      </w:pPr>
      <w:r w:rsidRPr="00860603">
        <w:rPr>
          <w:rFonts w:ascii="Arial" w:hAnsi="Arial" w:cs="Arial"/>
          <w:sz w:val="24"/>
          <w:szCs w:val="24"/>
          <w:lang w:val="en-US"/>
        </w:rPr>
        <w:lastRenderedPageBreak/>
        <w:t>[6]</w:t>
      </w:r>
      <w:r w:rsidRPr="00860603">
        <w:rPr>
          <w:rFonts w:ascii="Arial" w:hAnsi="Arial" w:cs="Arial"/>
          <w:sz w:val="24"/>
          <w:szCs w:val="24"/>
          <w:lang w:val="en-US"/>
        </w:rPr>
        <w:tab/>
      </w:r>
      <w:r w:rsidR="00100F63" w:rsidRPr="00860603">
        <w:rPr>
          <w:rFonts w:ascii="Arial" w:hAnsi="Arial" w:cs="Arial"/>
          <w:sz w:val="24"/>
          <w:szCs w:val="24"/>
          <w:lang w:val="en-US"/>
        </w:rPr>
        <w:t>On the strength of these contentions</w:t>
      </w:r>
      <w:r w:rsidR="007B3CB6" w:rsidRPr="00860603">
        <w:rPr>
          <w:rFonts w:ascii="Arial" w:hAnsi="Arial" w:cs="Arial"/>
          <w:sz w:val="24"/>
          <w:szCs w:val="24"/>
          <w:lang w:val="en-US"/>
        </w:rPr>
        <w:t>,</w:t>
      </w:r>
      <w:r w:rsidR="00100F63" w:rsidRPr="00860603">
        <w:rPr>
          <w:rFonts w:ascii="Arial" w:hAnsi="Arial" w:cs="Arial"/>
          <w:sz w:val="24"/>
          <w:szCs w:val="24"/>
          <w:lang w:val="en-US"/>
        </w:rPr>
        <w:t xml:space="preserve"> the respondent sought the certification of a class action against the mining companies in respect of two classes that would be determined in two </w:t>
      </w:r>
      <w:r w:rsidR="007B3CB6" w:rsidRPr="00860603">
        <w:rPr>
          <w:rFonts w:ascii="Arial" w:hAnsi="Arial" w:cs="Arial"/>
          <w:sz w:val="24"/>
          <w:szCs w:val="24"/>
          <w:lang w:val="en-US"/>
        </w:rPr>
        <w:t xml:space="preserve">separate </w:t>
      </w:r>
      <w:r w:rsidR="00100F63" w:rsidRPr="00860603">
        <w:rPr>
          <w:rFonts w:ascii="Arial" w:hAnsi="Arial" w:cs="Arial"/>
          <w:sz w:val="24"/>
          <w:szCs w:val="24"/>
          <w:lang w:val="en-US"/>
        </w:rPr>
        <w:t xml:space="preserve">stages. The two classes were described as a silicosis class and a tuberculosis class. The application </w:t>
      </w:r>
      <w:r w:rsidR="00CF4626" w:rsidRPr="00860603">
        <w:rPr>
          <w:rFonts w:ascii="Arial" w:hAnsi="Arial" w:cs="Arial"/>
          <w:sz w:val="24"/>
          <w:szCs w:val="24"/>
          <w:lang w:val="en-US"/>
        </w:rPr>
        <w:t>envisaged</w:t>
      </w:r>
      <w:r w:rsidR="00100F63" w:rsidRPr="00860603">
        <w:rPr>
          <w:rFonts w:ascii="Arial" w:hAnsi="Arial" w:cs="Arial"/>
          <w:sz w:val="24"/>
          <w:szCs w:val="24"/>
          <w:lang w:val="en-US"/>
        </w:rPr>
        <w:t xml:space="preserve"> that the common issues would be determined during the first stage and that the individual claims would be finali</w:t>
      </w:r>
      <w:r w:rsidR="00B0107E" w:rsidRPr="00860603">
        <w:rPr>
          <w:rFonts w:ascii="Arial" w:hAnsi="Arial" w:cs="Arial"/>
          <w:sz w:val="24"/>
          <w:szCs w:val="24"/>
          <w:lang w:val="en-US"/>
        </w:rPr>
        <w:t>s</w:t>
      </w:r>
      <w:r w:rsidR="00100F63" w:rsidRPr="00860603">
        <w:rPr>
          <w:rFonts w:ascii="Arial" w:hAnsi="Arial" w:cs="Arial"/>
          <w:sz w:val="24"/>
          <w:szCs w:val="24"/>
          <w:lang w:val="en-US"/>
        </w:rPr>
        <w:t xml:space="preserve">ed during the second stage. </w:t>
      </w:r>
    </w:p>
    <w:p w14:paraId="2E5ED6B1" w14:textId="77777777" w:rsidR="00E7164F" w:rsidRPr="00860603" w:rsidRDefault="00E7164F" w:rsidP="00B05C8E">
      <w:pPr>
        <w:rPr>
          <w:rFonts w:ascii="Arial" w:hAnsi="Arial" w:cs="Arial"/>
          <w:sz w:val="24"/>
          <w:szCs w:val="24"/>
          <w:lang w:val="en-US"/>
        </w:rPr>
      </w:pPr>
    </w:p>
    <w:p w14:paraId="671F9C3B" w14:textId="35CBE67A" w:rsidR="00E7164F" w:rsidRPr="00860603" w:rsidRDefault="00E7164F" w:rsidP="00B05C8E">
      <w:pPr>
        <w:rPr>
          <w:rFonts w:ascii="Arial" w:hAnsi="Arial" w:cs="Arial"/>
          <w:sz w:val="24"/>
          <w:szCs w:val="24"/>
          <w:lang w:val="en-US"/>
        </w:rPr>
      </w:pPr>
      <w:r w:rsidRPr="00860603">
        <w:rPr>
          <w:rFonts w:ascii="Arial" w:hAnsi="Arial" w:cs="Arial"/>
          <w:sz w:val="24"/>
          <w:szCs w:val="24"/>
          <w:lang w:val="en-US"/>
        </w:rPr>
        <w:t>[7]</w:t>
      </w:r>
      <w:r w:rsidRPr="00860603">
        <w:rPr>
          <w:rFonts w:ascii="Arial" w:hAnsi="Arial" w:cs="Arial"/>
          <w:sz w:val="24"/>
          <w:szCs w:val="24"/>
          <w:lang w:val="en-US"/>
        </w:rPr>
        <w:tab/>
      </w:r>
      <w:r w:rsidR="00100F63" w:rsidRPr="00860603">
        <w:rPr>
          <w:rFonts w:ascii="Arial" w:hAnsi="Arial" w:cs="Arial"/>
          <w:sz w:val="24"/>
          <w:szCs w:val="24"/>
          <w:lang w:val="en-US"/>
        </w:rPr>
        <w:t xml:space="preserve">As I have said, the court a quo granted the certification in the terms sought. In doing so, it exercised a strict or true discretion under s 173 of the Constitution. See </w:t>
      </w:r>
      <w:r w:rsidR="00100F63" w:rsidRPr="00860603">
        <w:rPr>
          <w:rFonts w:ascii="Arial" w:hAnsi="Arial" w:cs="Arial"/>
          <w:i/>
          <w:sz w:val="24"/>
          <w:szCs w:val="24"/>
          <w:lang w:val="en-US"/>
        </w:rPr>
        <w:t>Mukaddam v Pioneer Foods (Pty) Ltd &amp; Others</w:t>
      </w:r>
      <w:r w:rsidR="00100F63" w:rsidRPr="00860603">
        <w:rPr>
          <w:rFonts w:ascii="Arial" w:hAnsi="Arial" w:cs="Arial"/>
          <w:sz w:val="24"/>
          <w:szCs w:val="24"/>
          <w:lang w:val="en-US"/>
        </w:rPr>
        <w:t xml:space="preserve"> 2013 (5) SA 89 </w:t>
      </w:r>
      <w:r w:rsidR="00B0107E" w:rsidRPr="00860603">
        <w:rPr>
          <w:rFonts w:ascii="Arial" w:hAnsi="Arial" w:cs="Arial"/>
          <w:sz w:val="24"/>
          <w:szCs w:val="24"/>
          <w:lang w:val="en-US"/>
        </w:rPr>
        <w:t>(</w:t>
      </w:r>
      <w:r w:rsidR="00100F63" w:rsidRPr="00860603">
        <w:rPr>
          <w:rFonts w:ascii="Arial" w:hAnsi="Arial" w:cs="Arial"/>
          <w:sz w:val="24"/>
          <w:szCs w:val="24"/>
          <w:lang w:val="en-US"/>
        </w:rPr>
        <w:t>CC</w:t>
      </w:r>
      <w:r w:rsidR="00B0107E" w:rsidRPr="00860603">
        <w:rPr>
          <w:rFonts w:ascii="Arial" w:hAnsi="Arial" w:cs="Arial"/>
          <w:sz w:val="24"/>
          <w:szCs w:val="24"/>
          <w:lang w:val="en-US"/>
        </w:rPr>
        <w:t>)</w:t>
      </w:r>
      <w:r w:rsidR="00100F63" w:rsidRPr="00860603">
        <w:rPr>
          <w:rFonts w:ascii="Arial" w:hAnsi="Arial" w:cs="Arial"/>
          <w:sz w:val="24"/>
          <w:szCs w:val="24"/>
          <w:lang w:val="en-US"/>
        </w:rPr>
        <w:t xml:space="preserve"> paras 42-48.</w:t>
      </w:r>
      <w:r w:rsidR="002A1C91" w:rsidRPr="00860603">
        <w:rPr>
          <w:rFonts w:ascii="Arial" w:hAnsi="Arial" w:cs="Arial"/>
          <w:sz w:val="24"/>
          <w:szCs w:val="24"/>
          <w:lang w:val="en-US"/>
        </w:rPr>
        <w:t xml:space="preserve"> Paragraphs 1-5 of the certification read as follows: </w:t>
      </w:r>
    </w:p>
    <w:p w14:paraId="0D7DFF0B" w14:textId="06FCA78A" w:rsidR="00A61840" w:rsidRPr="00860603" w:rsidRDefault="00A61840" w:rsidP="00042563">
      <w:pPr>
        <w:tabs>
          <w:tab w:val="left" w:pos="709"/>
        </w:tabs>
        <w:rPr>
          <w:rFonts w:ascii="Arial" w:hAnsi="Arial" w:cs="Arial"/>
          <w:lang w:val="en-US"/>
        </w:rPr>
      </w:pPr>
      <w:r w:rsidRPr="00860603">
        <w:rPr>
          <w:rFonts w:ascii="Arial" w:hAnsi="Arial" w:cs="Arial"/>
          <w:lang w:val="en-US"/>
        </w:rPr>
        <w:t>‘1.</w:t>
      </w:r>
      <w:r w:rsidRPr="00860603">
        <w:rPr>
          <w:rFonts w:ascii="Arial" w:hAnsi="Arial" w:cs="Arial"/>
          <w:lang w:val="en-US"/>
        </w:rPr>
        <w:tab/>
        <w:t>It is declared that the following group of persons</w:t>
      </w:r>
      <w:r w:rsidR="00A127E5" w:rsidRPr="00860603">
        <w:rPr>
          <w:rFonts w:ascii="Arial" w:hAnsi="Arial" w:cs="Arial"/>
          <w:lang w:val="en-US"/>
        </w:rPr>
        <w:t xml:space="preserve"> constitute</w:t>
      </w:r>
      <w:r w:rsidR="006C4D10" w:rsidRPr="00860603">
        <w:rPr>
          <w:rFonts w:ascii="Arial" w:hAnsi="Arial" w:cs="Arial"/>
          <w:lang w:val="en-US"/>
        </w:rPr>
        <w:t>s</w:t>
      </w:r>
      <w:r w:rsidR="00A127E5" w:rsidRPr="00860603">
        <w:rPr>
          <w:rFonts w:ascii="Arial" w:hAnsi="Arial" w:cs="Arial"/>
          <w:lang w:val="en-US"/>
        </w:rPr>
        <w:t xml:space="preserve"> a class: </w:t>
      </w:r>
    </w:p>
    <w:p w14:paraId="19C7764C" w14:textId="7B992492" w:rsidR="00A127E5" w:rsidRPr="00D7118E" w:rsidRDefault="00D7118E" w:rsidP="00D7118E">
      <w:pPr>
        <w:ind w:left="1440" w:hanging="720"/>
        <w:rPr>
          <w:rFonts w:ascii="Arial" w:hAnsi="Arial" w:cs="Arial"/>
          <w:lang w:val="en-US"/>
        </w:rPr>
      </w:pPr>
      <w:r w:rsidRPr="00860603">
        <w:rPr>
          <w:rFonts w:ascii="Arial" w:hAnsi="Arial" w:cs="Arial"/>
          <w:lang w:val="en-US"/>
        </w:rPr>
        <w:t>1.1</w:t>
      </w:r>
      <w:r w:rsidRPr="00860603">
        <w:rPr>
          <w:rFonts w:ascii="Arial" w:hAnsi="Arial" w:cs="Arial"/>
          <w:lang w:val="en-US"/>
        </w:rPr>
        <w:tab/>
      </w:r>
      <w:r w:rsidR="00A127E5" w:rsidRPr="00D7118E">
        <w:rPr>
          <w:rFonts w:ascii="Arial" w:hAnsi="Arial" w:cs="Arial"/>
          <w:lang w:val="en-US"/>
        </w:rPr>
        <w:t>Current and former underground mineworkers who have contracted silicosis, and the dependants of underground mineworkers who died of silicosis (whether or not accompanied by any other disease)-</w:t>
      </w:r>
    </w:p>
    <w:p w14:paraId="700C9B86" w14:textId="519F0782" w:rsidR="00A127E5" w:rsidRPr="00D7118E" w:rsidRDefault="00D7118E" w:rsidP="00D7118E">
      <w:pPr>
        <w:ind w:left="2160" w:hanging="720"/>
        <w:rPr>
          <w:rFonts w:ascii="Arial" w:hAnsi="Arial" w:cs="Arial"/>
          <w:lang w:val="en-US"/>
        </w:rPr>
      </w:pPr>
      <w:r w:rsidRPr="00860603">
        <w:rPr>
          <w:rFonts w:ascii="Arial" w:hAnsi="Arial" w:cs="Arial"/>
          <w:lang w:val="en-US"/>
        </w:rPr>
        <w:t>1.1.1</w:t>
      </w:r>
      <w:r w:rsidRPr="00860603">
        <w:rPr>
          <w:rFonts w:ascii="Arial" w:hAnsi="Arial" w:cs="Arial"/>
          <w:lang w:val="en-US"/>
        </w:rPr>
        <w:tab/>
      </w:r>
      <w:r w:rsidR="00A127E5" w:rsidRPr="00D7118E">
        <w:rPr>
          <w:rFonts w:ascii="Arial" w:hAnsi="Arial" w:cs="Arial"/>
          <w:lang w:val="en-US"/>
        </w:rPr>
        <w:t xml:space="preserve">where such mineworkers work or have worked on one or more of the gold mines listed on the attached ‘Annexure A’, after 12 March 1965; </w:t>
      </w:r>
    </w:p>
    <w:p w14:paraId="3678C19F" w14:textId="1176186D" w:rsidR="00A127E5" w:rsidRPr="00D7118E" w:rsidRDefault="00D7118E" w:rsidP="00D7118E">
      <w:pPr>
        <w:ind w:left="2160" w:hanging="720"/>
        <w:rPr>
          <w:rFonts w:ascii="Arial" w:hAnsi="Arial" w:cs="Arial"/>
          <w:lang w:val="en-US"/>
        </w:rPr>
      </w:pPr>
      <w:r w:rsidRPr="00860603">
        <w:rPr>
          <w:rFonts w:ascii="Arial" w:hAnsi="Arial" w:cs="Arial"/>
          <w:lang w:val="en-US"/>
        </w:rPr>
        <w:t>1.1.2</w:t>
      </w:r>
      <w:r w:rsidRPr="00860603">
        <w:rPr>
          <w:rFonts w:ascii="Arial" w:hAnsi="Arial" w:cs="Arial"/>
          <w:lang w:val="en-US"/>
        </w:rPr>
        <w:tab/>
      </w:r>
      <w:r w:rsidR="00A127E5" w:rsidRPr="00D7118E">
        <w:rPr>
          <w:rFonts w:ascii="Arial" w:hAnsi="Arial" w:cs="Arial"/>
          <w:lang w:val="en-US"/>
        </w:rPr>
        <w:t xml:space="preserve">whose claims are not among the claims which, by agreement, are to be determined by arbitration in the matter of Blom and Others v Anglo American South Africa Limited; and </w:t>
      </w:r>
    </w:p>
    <w:p w14:paraId="78AC22F9" w14:textId="76CD31C1" w:rsidR="00A127E5" w:rsidRPr="00D7118E" w:rsidRDefault="00D7118E" w:rsidP="00D7118E">
      <w:pPr>
        <w:ind w:left="2160" w:hanging="720"/>
        <w:rPr>
          <w:rFonts w:ascii="Arial" w:hAnsi="Arial" w:cs="Arial"/>
          <w:lang w:val="en-US"/>
        </w:rPr>
      </w:pPr>
      <w:r w:rsidRPr="00860603">
        <w:rPr>
          <w:rFonts w:ascii="Arial" w:hAnsi="Arial" w:cs="Arial"/>
          <w:lang w:val="en-US"/>
        </w:rPr>
        <w:t>1.1.3</w:t>
      </w:r>
      <w:r w:rsidRPr="00860603">
        <w:rPr>
          <w:rFonts w:ascii="Arial" w:hAnsi="Arial" w:cs="Arial"/>
          <w:lang w:val="en-US"/>
        </w:rPr>
        <w:tab/>
      </w:r>
      <w:r w:rsidR="00A127E5" w:rsidRPr="00D7118E">
        <w:rPr>
          <w:rFonts w:ascii="Arial" w:hAnsi="Arial" w:cs="Arial"/>
          <w:lang w:val="en-US"/>
        </w:rPr>
        <w:t xml:space="preserve">who are not named plaintiffs in the action instituted in the United Kingdom against Anglo American South Africa Limited under case numbers HQ11X03245, HQ11X03246, HQ12X02667 and HQ12X05544 (the silicosis class). </w:t>
      </w:r>
    </w:p>
    <w:p w14:paraId="608AB37A" w14:textId="7F41BBE1" w:rsidR="00A127E5" w:rsidRPr="00860603" w:rsidRDefault="00A127E5" w:rsidP="00EB5DEA">
      <w:pPr>
        <w:tabs>
          <w:tab w:val="left" w:pos="567"/>
          <w:tab w:val="left" w:pos="709"/>
        </w:tabs>
        <w:rPr>
          <w:rFonts w:ascii="Arial" w:hAnsi="Arial" w:cs="Arial"/>
          <w:lang w:val="en-US"/>
        </w:rPr>
      </w:pPr>
      <w:r w:rsidRPr="00860603">
        <w:rPr>
          <w:rFonts w:ascii="Arial" w:hAnsi="Arial" w:cs="Arial"/>
          <w:lang w:val="en-US"/>
        </w:rPr>
        <w:t>2.</w:t>
      </w:r>
      <w:r w:rsidRPr="00860603">
        <w:rPr>
          <w:rFonts w:ascii="Arial" w:hAnsi="Arial" w:cs="Arial"/>
          <w:lang w:val="en-US"/>
        </w:rPr>
        <w:tab/>
      </w:r>
      <w:r w:rsidR="00042563" w:rsidRPr="00860603">
        <w:rPr>
          <w:rFonts w:ascii="Arial" w:hAnsi="Arial" w:cs="Arial"/>
          <w:lang w:val="en-US"/>
        </w:rPr>
        <w:tab/>
      </w:r>
      <w:r w:rsidRPr="00860603">
        <w:rPr>
          <w:rFonts w:ascii="Arial" w:hAnsi="Arial" w:cs="Arial"/>
          <w:lang w:val="en-US"/>
        </w:rPr>
        <w:t xml:space="preserve">It is declared that the following group of persons constitutes a class: </w:t>
      </w:r>
    </w:p>
    <w:p w14:paraId="307A6968" w14:textId="15A83BC9" w:rsidR="00042563" w:rsidRPr="00860603" w:rsidRDefault="00042563" w:rsidP="000910AA">
      <w:pPr>
        <w:tabs>
          <w:tab w:val="left" w:pos="567"/>
          <w:tab w:val="left" w:pos="709"/>
          <w:tab w:val="left" w:pos="1276"/>
        </w:tabs>
        <w:ind w:left="1440" w:hanging="1440"/>
        <w:rPr>
          <w:rFonts w:ascii="Arial" w:hAnsi="Arial" w:cs="Arial"/>
          <w:lang w:val="en-US"/>
        </w:rPr>
      </w:pPr>
      <w:r w:rsidRPr="00860603">
        <w:rPr>
          <w:rFonts w:ascii="Arial" w:hAnsi="Arial" w:cs="Arial"/>
          <w:lang w:val="en-US"/>
        </w:rPr>
        <w:tab/>
      </w:r>
      <w:r w:rsidRPr="00860603">
        <w:rPr>
          <w:rFonts w:ascii="Arial" w:hAnsi="Arial" w:cs="Arial"/>
          <w:lang w:val="en-US"/>
        </w:rPr>
        <w:tab/>
        <w:t>2.1</w:t>
      </w:r>
      <w:r w:rsidRPr="00860603">
        <w:rPr>
          <w:rFonts w:ascii="Arial" w:hAnsi="Arial" w:cs="Arial"/>
          <w:lang w:val="en-US"/>
        </w:rPr>
        <w:tab/>
      </w:r>
      <w:r w:rsidRPr="00860603">
        <w:rPr>
          <w:rFonts w:ascii="Arial" w:hAnsi="Arial" w:cs="Arial"/>
          <w:lang w:val="en-US"/>
        </w:rPr>
        <w:tab/>
        <w:t xml:space="preserve">Current and former underground mineworkers who have contracted pulmonary tuberculosis, and the dependants of deceased underground mineworkers who died of pulmonary tuberculosis (but excluding silico-tuberculosis), where such mineworkers work or have worked for at least two years on one or more of the gold mines listed on the attached “Annexure A” after 12 March 1965 (the pulmonary tuberculosis class). </w:t>
      </w:r>
    </w:p>
    <w:p w14:paraId="2E7FB02C" w14:textId="17D1921D" w:rsidR="00EB5DEA" w:rsidRPr="00860603" w:rsidRDefault="00EB5DEA" w:rsidP="00194114">
      <w:pPr>
        <w:tabs>
          <w:tab w:val="left" w:pos="567"/>
          <w:tab w:val="left" w:pos="709"/>
          <w:tab w:val="left" w:pos="1276"/>
        </w:tabs>
        <w:ind w:left="709" w:hanging="709"/>
        <w:rPr>
          <w:rFonts w:ascii="Arial" w:hAnsi="Arial" w:cs="Arial"/>
          <w:lang w:val="en-US"/>
        </w:rPr>
      </w:pPr>
      <w:r w:rsidRPr="00860603">
        <w:rPr>
          <w:rFonts w:ascii="Arial" w:hAnsi="Arial" w:cs="Arial"/>
          <w:lang w:val="en-US"/>
        </w:rPr>
        <w:t>3.</w:t>
      </w:r>
      <w:r w:rsidRPr="00860603">
        <w:rPr>
          <w:rFonts w:ascii="Arial" w:hAnsi="Arial" w:cs="Arial"/>
          <w:lang w:val="en-US"/>
        </w:rPr>
        <w:tab/>
      </w:r>
      <w:r w:rsidRPr="00860603">
        <w:rPr>
          <w:rFonts w:ascii="Arial" w:hAnsi="Arial" w:cs="Arial"/>
          <w:lang w:val="en-US"/>
        </w:rPr>
        <w:tab/>
        <w:t xml:space="preserve">The attorneys of record for the applicants are certified as the legal representatives of the members </w:t>
      </w:r>
      <w:r w:rsidR="00194114" w:rsidRPr="00860603">
        <w:rPr>
          <w:rFonts w:ascii="Arial" w:hAnsi="Arial" w:cs="Arial"/>
          <w:lang w:val="en-US"/>
        </w:rPr>
        <w:t xml:space="preserve">of the classes for the further conduct of the class action as follows: </w:t>
      </w:r>
    </w:p>
    <w:p w14:paraId="4E1B755A" w14:textId="39A41903" w:rsidR="00194114" w:rsidRPr="00860603" w:rsidRDefault="00194114" w:rsidP="00CF58A4">
      <w:pPr>
        <w:tabs>
          <w:tab w:val="left" w:pos="567"/>
          <w:tab w:val="left" w:pos="709"/>
          <w:tab w:val="left" w:pos="1276"/>
        </w:tabs>
        <w:ind w:left="1440" w:hanging="1440"/>
        <w:rPr>
          <w:rFonts w:ascii="Arial" w:hAnsi="Arial" w:cs="Arial"/>
          <w:lang w:val="en-US"/>
        </w:rPr>
      </w:pPr>
      <w:r w:rsidRPr="00860603">
        <w:rPr>
          <w:rFonts w:ascii="Arial" w:hAnsi="Arial" w:cs="Arial"/>
          <w:lang w:val="en-US"/>
        </w:rPr>
        <w:tab/>
      </w:r>
      <w:r w:rsidRPr="00860603">
        <w:rPr>
          <w:rFonts w:ascii="Arial" w:hAnsi="Arial" w:cs="Arial"/>
          <w:lang w:val="en-US"/>
        </w:rPr>
        <w:tab/>
        <w:t>3.1</w:t>
      </w:r>
      <w:r w:rsidRPr="00860603">
        <w:rPr>
          <w:rFonts w:ascii="Arial" w:hAnsi="Arial" w:cs="Arial"/>
          <w:lang w:val="en-US"/>
        </w:rPr>
        <w:tab/>
      </w:r>
      <w:r w:rsidRPr="00860603">
        <w:rPr>
          <w:rFonts w:ascii="Arial" w:hAnsi="Arial" w:cs="Arial"/>
          <w:lang w:val="en-US"/>
        </w:rPr>
        <w:tab/>
        <w:t>Abraham</w:t>
      </w:r>
      <w:r w:rsidR="00252BA2" w:rsidRPr="00860603">
        <w:rPr>
          <w:rFonts w:ascii="Arial" w:hAnsi="Arial" w:cs="Arial"/>
          <w:lang w:val="en-US"/>
        </w:rPr>
        <w:t xml:space="preserve"> Kiewitz Incorporated</w:t>
      </w:r>
      <w:r w:rsidR="00CF58A4" w:rsidRPr="00860603">
        <w:rPr>
          <w:rFonts w:ascii="Arial" w:hAnsi="Arial" w:cs="Arial"/>
          <w:lang w:val="en-US"/>
        </w:rPr>
        <w:t xml:space="preserve"> (Abrahams), Richard Spoor Inc. Attorneys (Spoor) and the Legal Resources Centre (LRC) are certified as the joint legal representatives of the members of the silicosis class; </w:t>
      </w:r>
    </w:p>
    <w:p w14:paraId="77A615ED" w14:textId="160856F6" w:rsidR="00CF58A4" w:rsidRPr="00860603" w:rsidRDefault="00CF58A4" w:rsidP="00AC362D">
      <w:pPr>
        <w:tabs>
          <w:tab w:val="left" w:pos="567"/>
          <w:tab w:val="left" w:pos="709"/>
          <w:tab w:val="left" w:pos="1276"/>
        </w:tabs>
        <w:ind w:left="1440" w:hanging="1440"/>
        <w:rPr>
          <w:rFonts w:ascii="Arial" w:hAnsi="Arial" w:cs="Arial"/>
          <w:lang w:val="en-US"/>
        </w:rPr>
      </w:pPr>
      <w:r w:rsidRPr="00860603">
        <w:rPr>
          <w:rFonts w:ascii="Arial" w:hAnsi="Arial" w:cs="Arial"/>
          <w:lang w:val="en-US"/>
        </w:rPr>
        <w:lastRenderedPageBreak/>
        <w:tab/>
      </w:r>
      <w:r w:rsidRPr="00860603">
        <w:rPr>
          <w:rFonts w:ascii="Arial" w:hAnsi="Arial" w:cs="Arial"/>
          <w:lang w:val="en-US"/>
        </w:rPr>
        <w:tab/>
        <w:t>3.2</w:t>
      </w:r>
      <w:r w:rsidRPr="00860603">
        <w:rPr>
          <w:rFonts w:ascii="Arial" w:hAnsi="Arial" w:cs="Arial"/>
          <w:lang w:val="en-US"/>
        </w:rPr>
        <w:tab/>
      </w:r>
      <w:r w:rsidRPr="00860603">
        <w:rPr>
          <w:rFonts w:ascii="Arial" w:hAnsi="Arial" w:cs="Arial"/>
          <w:lang w:val="en-US"/>
        </w:rPr>
        <w:tab/>
        <w:t>Abrahams is certified</w:t>
      </w:r>
      <w:r w:rsidR="00AC362D" w:rsidRPr="00860603">
        <w:rPr>
          <w:rFonts w:ascii="Arial" w:hAnsi="Arial" w:cs="Arial"/>
          <w:lang w:val="en-US"/>
        </w:rPr>
        <w:t xml:space="preserve"> as the legal representative of the members of the pulmonary tuberculosis class: and </w:t>
      </w:r>
    </w:p>
    <w:p w14:paraId="58FCD5CF" w14:textId="5817EE80" w:rsidR="00AC362D" w:rsidRPr="00860603" w:rsidRDefault="00AC362D" w:rsidP="00AC362D">
      <w:pPr>
        <w:tabs>
          <w:tab w:val="left" w:pos="567"/>
          <w:tab w:val="left" w:pos="709"/>
          <w:tab w:val="left" w:pos="1276"/>
        </w:tabs>
        <w:ind w:left="1440" w:hanging="1440"/>
        <w:rPr>
          <w:rFonts w:ascii="Arial" w:hAnsi="Arial" w:cs="Arial"/>
          <w:lang w:val="en-US"/>
        </w:rPr>
      </w:pPr>
      <w:r w:rsidRPr="00860603">
        <w:rPr>
          <w:rFonts w:ascii="Arial" w:hAnsi="Arial" w:cs="Arial"/>
          <w:lang w:val="en-US"/>
        </w:rPr>
        <w:tab/>
      </w:r>
      <w:r w:rsidRPr="00860603">
        <w:rPr>
          <w:rFonts w:ascii="Arial" w:hAnsi="Arial" w:cs="Arial"/>
          <w:lang w:val="en-US"/>
        </w:rPr>
        <w:tab/>
        <w:t>3.3</w:t>
      </w:r>
      <w:r w:rsidRPr="00860603">
        <w:rPr>
          <w:rFonts w:ascii="Arial" w:hAnsi="Arial" w:cs="Arial"/>
          <w:lang w:val="en-US"/>
        </w:rPr>
        <w:tab/>
      </w:r>
      <w:r w:rsidRPr="00860603">
        <w:rPr>
          <w:rFonts w:ascii="Arial" w:hAnsi="Arial" w:cs="Arial"/>
          <w:lang w:val="en-US"/>
        </w:rPr>
        <w:tab/>
        <w:t xml:space="preserve">The fee arrangements set out in annexures RS13 and RS21 to the replying affidavit of Richard Spoor are authorised in respect of the legal representative of the classes. </w:t>
      </w:r>
    </w:p>
    <w:p w14:paraId="29259A84" w14:textId="5DDF2140" w:rsidR="00AC362D" w:rsidRPr="00860603" w:rsidRDefault="00AC362D" w:rsidP="00AC362D">
      <w:pPr>
        <w:tabs>
          <w:tab w:val="left" w:pos="567"/>
          <w:tab w:val="left" w:pos="709"/>
          <w:tab w:val="left" w:pos="1276"/>
        </w:tabs>
        <w:ind w:left="709" w:hanging="709"/>
        <w:rPr>
          <w:rFonts w:ascii="Arial" w:hAnsi="Arial" w:cs="Arial"/>
          <w:lang w:val="en-US"/>
        </w:rPr>
      </w:pPr>
      <w:r w:rsidRPr="00860603">
        <w:rPr>
          <w:rFonts w:ascii="Arial" w:hAnsi="Arial" w:cs="Arial"/>
          <w:lang w:val="en-US"/>
        </w:rPr>
        <w:t>4.</w:t>
      </w:r>
      <w:r w:rsidRPr="00860603">
        <w:rPr>
          <w:rFonts w:ascii="Arial" w:hAnsi="Arial" w:cs="Arial"/>
          <w:lang w:val="en-US"/>
        </w:rPr>
        <w:tab/>
      </w:r>
      <w:r w:rsidRPr="00860603">
        <w:rPr>
          <w:rFonts w:ascii="Arial" w:hAnsi="Arial" w:cs="Arial"/>
          <w:lang w:val="en-US"/>
        </w:rPr>
        <w:tab/>
        <w:t xml:space="preserve">In the further conduct of these proceedings (the class action), the following applicants, whomever are surviving at the time of the class action, are granted leave to act as class representatives </w:t>
      </w:r>
      <w:r w:rsidR="007D3DA0" w:rsidRPr="00860603">
        <w:rPr>
          <w:rFonts w:ascii="Arial" w:hAnsi="Arial" w:cs="Arial"/>
          <w:lang w:val="en-US"/>
        </w:rPr>
        <w:t>–</w:t>
      </w:r>
      <w:r w:rsidRPr="00860603">
        <w:rPr>
          <w:rFonts w:ascii="Arial" w:hAnsi="Arial" w:cs="Arial"/>
          <w:lang w:val="en-US"/>
        </w:rPr>
        <w:t xml:space="preserve"> </w:t>
      </w:r>
    </w:p>
    <w:p w14:paraId="5CC57D0A" w14:textId="239A31A5" w:rsidR="007D3DA0" w:rsidRPr="00860603" w:rsidRDefault="007D3DA0" w:rsidP="0077217B">
      <w:pPr>
        <w:tabs>
          <w:tab w:val="left" w:pos="567"/>
          <w:tab w:val="left" w:pos="709"/>
          <w:tab w:val="left" w:pos="1276"/>
        </w:tabs>
        <w:ind w:left="1440" w:hanging="1440"/>
        <w:rPr>
          <w:rFonts w:ascii="Arial" w:hAnsi="Arial" w:cs="Arial"/>
          <w:lang w:val="en-US"/>
        </w:rPr>
      </w:pPr>
      <w:r w:rsidRPr="00860603">
        <w:rPr>
          <w:rFonts w:ascii="Arial" w:hAnsi="Arial" w:cs="Arial"/>
          <w:lang w:val="en-US"/>
        </w:rPr>
        <w:tab/>
      </w:r>
      <w:r w:rsidRPr="00860603">
        <w:rPr>
          <w:rFonts w:ascii="Arial" w:hAnsi="Arial" w:cs="Arial"/>
          <w:lang w:val="en-US"/>
        </w:rPr>
        <w:tab/>
        <w:t>4.1</w:t>
      </w:r>
      <w:r w:rsidRPr="00860603">
        <w:rPr>
          <w:rFonts w:ascii="Arial" w:hAnsi="Arial" w:cs="Arial"/>
          <w:lang w:val="en-US"/>
        </w:rPr>
        <w:tab/>
      </w:r>
      <w:r w:rsidRPr="00860603">
        <w:rPr>
          <w:rFonts w:ascii="Arial" w:hAnsi="Arial" w:cs="Arial"/>
          <w:lang w:val="en-US"/>
        </w:rPr>
        <w:tab/>
        <w:t>The first to fifty-second applicants are granted leave to act as representatives</w:t>
      </w:r>
      <w:r w:rsidR="0077217B" w:rsidRPr="00860603">
        <w:rPr>
          <w:rFonts w:ascii="Arial" w:hAnsi="Arial" w:cs="Arial"/>
          <w:lang w:val="en-US"/>
        </w:rPr>
        <w:t xml:space="preserve"> of the silicosis class of which they are members; </w:t>
      </w:r>
    </w:p>
    <w:p w14:paraId="6D6F5876" w14:textId="7EB1D7F7" w:rsidR="0077217B" w:rsidRPr="00860603" w:rsidRDefault="0077217B" w:rsidP="0077217B">
      <w:pPr>
        <w:tabs>
          <w:tab w:val="left" w:pos="567"/>
          <w:tab w:val="left" w:pos="709"/>
          <w:tab w:val="left" w:pos="1276"/>
        </w:tabs>
        <w:ind w:left="1440" w:hanging="1440"/>
        <w:rPr>
          <w:rFonts w:ascii="Arial" w:hAnsi="Arial" w:cs="Arial"/>
          <w:lang w:val="en-US"/>
        </w:rPr>
      </w:pPr>
      <w:r w:rsidRPr="00860603">
        <w:rPr>
          <w:rFonts w:ascii="Arial" w:hAnsi="Arial" w:cs="Arial"/>
          <w:lang w:val="en-US"/>
        </w:rPr>
        <w:tab/>
      </w:r>
      <w:r w:rsidRPr="00860603">
        <w:rPr>
          <w:rFonts w:ascii="Arial" w:hAnsi="Arial" w:cs="Arial"/>
          <w:lang w:val="en-US"/>
        </w:rPr>
        <w:tab/>
        <w:t>4.2</w:t>
      </w:r>
      <w:r w:rsidRPr="00860603">
        <w:rPr>
          <w:rFonts w:ascii="Arial" w:hAnsi="Arial" w:cs="Arial"/>
          <w:lang w:val="en-US"/>
        </w:rPr>
        <w:tab/>
      </w:r>
      <w:r w:rsidRPr="00860603">
        <w:rPr>
          <w:rFonts w:ascii="Arial" w:hAnsi="Arial" w:cs="Arial"/>
          <w:lang w:val="en-US"/>
        </w:rPr>
        <w:tab/>
        <w:t xml:space="preserve">The thirty-third, thirty-fifth, thirty-sixth and the fifty-third to sixty-ninth applicants are granted leave to act as representatives of the pulmonary tuberculosis class of which they are members (the class representatives). </w:t>
      </w:r>
    </w:p>
    <w:p w14:paraId="66B6E210" w14:textId="540B6F5D" w:rsidR="00D25266" w:rsidRPr="00860603" w:rsidRDefault="00D25266" w:rsidP="00A22C8D">
      <w:pPr>
        <w:tabs>
          <w:tab w:val="left" w:pos="567"/>
          <w:tab w:val="left" w:pos="709"/>
          <w:tab w:val="left" w:pos="1276"/>
        </w:tabs>
        <w:ind w:left="709" w:hanging="709"/>
        <w:rPr>
          <w:rFonts w:ascii="Arial" w:hAnsi="Arial" w:cs="Arial"/>
          <w:lang w:val="en-US"/>
        </w:rPr>
      </w:pPr>
      <w:r w:rsidRPr="00860603">
        <w:rPr>
          <w:rFonts w:ascii="Arial" w:hAnsi="Arial" w:cs="Arial"/>
          <w:lang w:val="en-US"/>
        </w:rPr>
        <w:t>5.</w:t>
      </w:r>
      <w:r w:rsidRPr="00860603">
        <w:rPr>
          <w:rFonts w:ascii="Arial" w:hAnsi="Arial" w:cs="Arial"/>
          <w:lang w:val="en-US"/>
        </w:rPr>
        <w:tab/>
      </w:r>
      <w:r w:rsidRPr="00860603">
        <w:rPr>
          <w:rFonts w:ascii="Arial" w:hAnsi="Arial" w:cs="Arial"/>
          <w:lang w:val="en-US"/>
        </w:rPr>
        <w:tab/>
        <w:t>It is declared that the class representatives in para 4 above have the requisite standing to bring the class action and to represent the members of the silicosis class and the pulmonary tuberculosis class in claim</w:t>
      </w:r>
      <w:r w:rsidR="00A22C8D" w:rsidRPr="00860603">
        <w:rPr>
          <w:rFonts w:ascii="Arial" w:hAnsi="Arial" w:cs="Arial"/>
          <w:lang w:val="en-US"/>
        </w:rPr>
        <w:t>s for damages.’</w:t>
      </w:r>
    </w:p>
    <w:p w14:paraId="7CEA2E8D" w14:textId="55BC17D4" w:rsidR="00377DA5" w:rsidRPr="00860603" w:rsidRDefault="00377DA5" w:rsidP="00A22C8D">
      <w:pPr>
        <w:tabs>
          <w:tab w:val="left" w:pos="567"/>
          <w:tab w:val="left" w:pos="709"/>
          <w:tab w:val="left" w:pos="1276"/>
        </w:tabs>
        <w:ind w:left="709" w:hanging="709"/>
        <w:rPr>
          <w:rFonts w:ascii="Arial" w:hAnsi="Arial" w:cs="Arial"/>
          <w:sz w:val="24"/>
          <w:szCs w:val="24"/>
          <w:lang w:val="en-US"/>
        </w:rPr>
      </w:pPr>
      <w:r w:rsidRPr="00860603">
        <w:rPr>
          <w:rFonts w:ascii="Arial" w:hAnsi="Arial" w:cs="Arial"/>
          <w:sz w:val="24"/>
          <w:szCs w:val="24"/>
          <w:lang w:val="en-US"/>
        </w:rPr>
        <w:t xml:space="preserve">The said Annexure A listed 82 mines. </w:t>
      </w:r>
    </w:p>
    <w:p w14:paraId="15F0F15B" w14:textId="77777777" w:rsidR="0018044B" w:rsidRPr="00860603" w:rsidRDefault="0018044B" w:rsidP="00B05C8E">
      <w:pPr>
        <w:rPr>
          <w:rFonts w:ascii="Arial" w:hAnsi="Arial" w:cs="Arial"/>
          <w:sz w:val="24"/>
          <w:szCs w:val="24"/>
          <w:lang w:val="en-US"/>
        </w:rPr>
      </w:pPr>
    </w:p>
    <w:p w14:paraId="5767DC1E" w14:textId="42697D67" w:rsidR="0018044B" w:rsidRPr="00860603" w:rsidRDefault="0018044B" w:rsidP="00B05C8E">
      <w:pPr>
        <w:rPr>
          <w:rFonts w:ascii="Arial" w:hAnsi="Arial" w:cs="Arial"/>
          <w:sz w:val="24"/>
          <w:szCs w:val="24"/>
          <w:lang w:val="en-US"/>
        </w:rPr>
      </w:pPr>
      <w:r w:rsidRPr="00860603">
        <w:rPr>
          <w:rFonts w:ascii="Arial" w:hAnsi="Arial" w:cs="Arial"/>
          <w:sz w:val="24"/>
          <w:szCs w:val="24"/>
          <w:lang w:val="en-US"/>
        </w:rPr>
        <w:t>[8]</w:t>
      </w:r>
      <w:r w:rsidRPr="00860603">
        <w:rPr>
          <w:rFonts w:ascii="Arial" w:hAnsi="Arial" w:cs="Arial"/>
          <w:sz w:val="24"/>
          <w:szCs w:val="24"/>
          <w:lang w:val="en-US"/>
        </w:rPr>
        <w:tab/>
      </w:r>
      <w:r w:rsidR="00377DA5" w:rsidRPr="00860603">
        <w:rPr>
          <w:rFonts w:ascii="Arial" w:hAnsi="Arial" w:cs="Arial"/>
          <w:sz w:val="24"/>
          <w:szCs w:val="24"/>
          <w:lang w:val="en-US"/>
        </w:rPr>
        <w:t xml:space="preserve">In para 6 (read with paras 7 and 11) of the order, the court gave extensive directions for giving notice of the class action to the members of the classes. Paragraphs 9 and 10 provided for </w:t>
      </w:r>
      <w:r w:rsidR="00CF4626" w:rsidRPr="00860603">
        <w:rPr>
          <w:rFonts w:ascii="Arial" w:hAnsi="Arial" w:cs="Arial"/>
          <w:sz w:val="24"/>
          <w:szCs w:val="24"/>
          <w:lang w:val="en-US"/>
        </w:rPr>
        <w:t>the election</w:t>
      </w:r>
      <w:r w:rsidR="00377DA5" w:rsidRPr="00860603">
        <w:rPr>
          <w:rFonts w:ascii="Arial" w:hAnsi="Arial" w:cs="Arial"/>
          <w:sz w:val="24"/>
          <w:szCs w:val="24"/>
          <w:lang w:val="en-US"/>
        </w:rPr>
        <w:t xml:space="preserve"> to ‘opt out’ or ‘opt in’, in these terms: </w:t>
      </w:r>
    </w:p>
    <w:p w14:paraId="31F22937" w14:textId="3C6057D1" w:rsidR="00A61255" w:rsidRPr="00860603" w:rsidRDefault="00A61255" w:rsidP="00B05C8E">
      <w:pPr>
        <w:rPr>
          <w:rFonts w:ascii="Arial" w:hAnsi="Arial" w:cs="Arial"/>
          <w:lang w:val="en-US"/>
        </w:rPr>
      </w:pPr>
      <w:r w:rsidRPr="00860603">
        <w:rPr>
          <w:rFonts w:ascii="Arial" w:hAnsi="Arial" w:cs="Arial"/>
          <w:lang w:val="en-US"/>
        </w:rPr>
        <w:t>‘9.</w:t>
      </w:r>
      <w:r w:rsidRPr="00860603">
        <w:rPr>
          <w:rFonts w:ascii="Arial" w:hAnsi="Arial" w:cs="Arial"/>
          <w:lang w:val="en-US"/>
        </w:rPr>
        <w:tab/>
        <w:t>It is ordered that the members of the classes will be bound by the judgment or judgments in the first stage of the class action against the mining companies, unless they give written notice to Abrahams, Spoor, or the LRC by 31 January 2017, that they wish to be excluded as members of any of the classes against each or any of the respondents.</w:t>
      </w:r>
    </w:p>
    <w:p w14:paraId="289A23E9" w14:textId="716EAD7E" w:rsidR="00A61255" w:rsidRPr="00860603" w:rsidRDefault="00A61255" w:rsidP="00B05C8E">
      <w:pPr>
        <w:rPr>
          <w:rFonts w:ascii="Arial" w:hAnsi="Arial" w:cs="Arial"/>
          <w:lang w:val="en-US"/>
        </w:rPr>
      </w:pPr>
      <w:r w:rsidRPr="00860603">
        <w:rPr>
          <w:rFonts w:ascii="Arial" w:hAnsi="Arial" w:cs="Arial"/>
          <w:lang w:val="en-US"/>
        </w:rPr>
        <w:t>10.</w:t>
      </w:r>
      <w:r w:rsidRPr="00860603">
        <w:rPr>
          <w:rFonts w:ascii="Arial" w:hAnsi="Arial" w:cs="Arial"/>
          <w:lang w:val="en-US"/>
        </w:rPr>
        <w:tab/>
        <w:t xml:space="preserve">It is ordered that: </w:t>
      </w:r>
    </w:p>
    <w:p w14:paraId="07C95DBA" w14:textId="577A6253" w:rsidR="00AB73DC" w:rsidRPr="00860603" w:rsidRDefault="00AB73DC" w:rsidP="00AB73DC">
      <w:pPr>
        <w:ind w:left="1440" w:hanging="720"/>
        <w:rPr>
          <w:rFonts w:ascii="Arial" w:hAnsi="Arial" w:cs="Arial"/>
          <w:lang w:val="en-US"/>
        </w:rPr>
      </w:pPr>
      <w:r w:rsidRPr="00860603">
        <w:rPr>
          <w:rFonts w:ascii="Arial" w:hAnsi="Arial" w:cs="Arial"/>
          <w:lang w:val="en-US"/>
        </w:rPr>
        <w:t>10.1</w:t>
      </w:r>
      <w:r w:rsidRPr="00860603">
        <w:rPr>
          <w:rFonts w:ascii="Arial" w:hAnsi="Arial" w:cs="Arial"/>
          <w:lang w:val="en-US"/>
        </w:rPr>
        <w:tab/>
        <w:t xml:space="preserve">upon conclusion of the first stage of the class action, the members of the silicosis class must give written notice to Abrahams, Spoor or the LRC by a date to be determined by the court at that time: </w:t>
      </w:r>
    </w:p>
    <w:p w14:paraId="4708F991" w14:textId="1ED2D089" w:rsidR="00AC4027" w:rsidRPr="00860603" w:rsidRDefault="00AC4027" w:rsidP="006D7BDE">
      <w:pPr>
        <w:ind w:left="2160" w:hanging="720"/>
        <w:rPr>
          <w:rFonts w:ascii="Arial" w:hAnsi="Arial" w:cs="Arial"/>
          <w:lang w:val="en-US"/>
        </w:rPr>
      </w:pPr>
      <w:r w:rsidRPr="00860603">
        <w:rPr>
          <w:rFonts w:ascii="Arial" w:hAnsi="Arial" w:cs="Arial"/>
          <w:lang w:val="en-US"/>
        </w:rPr>
        <w:t>10.1.1</w:t>
      </w:r>
      <w:r w:rsidRPr="00860603">
        <w:rPr>
          <w:rFonts w:ascii="Arial" w:hAnsi="Arial" w:cs="Arial"/>
          <w:lang w:val="en-US"/>
        </w:rPr>
        <w:tab/>
        <w:t xml:space="preserve">that they wish to opt in and be included as members of the silicosis class in the second stage of the class action; and </w:t>
      </w:r>
    </w:p>
    <w:p w14:paraId="5806D750" w14:textId="1896E3F9" w:rsidR="006D7BDE" w:rsidRPr="00860603" w:rsidRDefault="006D7BDE" w:rsidP="006D7BDE">
      <w:pPr>
        <w:ind w:left="2160" w:hanging="720"/>
        <w:rPr>
          <w:rFonts w:ascii="Arial" w:hAnsi="Arial" w:cs="Arial"/>
          <w:lang w:val="en-US"/>
        </w:rPr>
      </w:pPr>
      <w:r w:rsidRPr="00860603">
        <w:rPr>
          <w:rFonts w:ascii="Arial" w:hAnsi="Arial" w:cs="Arial"/>
          <w:lang w:val="en-US"/>
        </w:rPr>
        <w:t>10.1.2</w:t>
      </w:r>
      <w:r w:rsidRPr="00860603">
        <w:rPr>
          <w:rFonts w:ascii="Arial" w:hAnsi="Arial" w:cs="Arial"/>
          <w:lang w:val="en-US"/>
        </w:rPr>
        <w:tab/>
        <w:t xml:space="preserve">which respondent or respondents they seek to hold liable in the second stage of the class action. </w:t>
      </w:r>
    </w:p>
    <w:p w14:paraId="75610630" w14:textId="7B5A9D3D" w:rsidR="006D7BDE" w:rsidRPr="00860603" w:rsidRDefault="006D7BDE" w:rsidP="00AB73DC">
      <w:pPr>
        <w:ind w:left="1440" w:hanging="720"/>
        <w:rPr>
          <w:rFonts w:ascii="Arial" w:hAnsi="Arial" w:cs="Arial"/>
          <w:lang w:val="en-US"/>
        </w:rPr>
      </w:pPr>
      <w:r w:rsidRPr="00860603">
        <w:rPr>
          <w:rFonts w:ascii="Arial" w:hAnsi="Arial" w:cs="Arial"/>
          <w:lang w:val="en-US"/>
        </w:rPr>
        <w:t>10.2</w:t>
      </w:r>
      <w:r w:rsidRPr="00860603">
        <w:rPr>
          <w:rFonts w:ascii="Arial" w:hAnsi="Arial" w:cs="Arial"/>
          <w:lang w:val="en-US"/>
        </w:rPr>
        <w:tab/>
        <w:t xml:space="preserve">upon conclusion of the first stage of the class action, the members of the pulmonary tuberculosis class must give written notice to Abrahams by a date to be determined by the court at that time: </w:t>
      </w:r>
    </w:p>
    <w:p w14:paraId="5E4F14EF" w14:textId="547ADE91" w:rsidR="006D7BDE" w:rsidRPr="00860603" w:rsidRDefault="006D7BDE" w:rsidP="006D7BDE">
      <w:pPr>
        <w:ind w:left="2160" w:hanging="720"/>
        <w:rPr>
          <w:rFonts w:ascii="Arial" w:hAnsi="Arial" w:cs="Arial"/>
          <w:lang w:val="en-US"/>
        </w:rPr>
      </w:pPr>
      <w:r w:rsidRPr="00860603">
        <w:rPr>
          <w:rFonts w:ascii="Arial" w:hAnsi="Arial" w:cs="Arial"/>
          <w:lang w:val="en-US"/>
        </w:rPr>
        <w:lastRenderedPageBreak/>
        <w:t>10.2.1</w:t>
      </w:r>
      <w:r w:rsidRPr="00860603">
        <w:rPr>
          <w:rFonts w:ascii="Arial" w:hAnsi="Arial" w:cs="Arial"/>
          <w:lang w:val="en-US"/>
        </w:rPr>
        <w:tab/>
        <w:t>that they wish to opt in and be included as members of the pulmonary tuberculosis class in the second stage of the class action; and</w:t>
      </w:r>
    </w:p>
    <w:p w14:paraId="50793DE0" w14:textId="08B9521F" w:rsidR="006D7BDE" w:rsidRPr="00860603" w:rsidRDefault="006D7BDE" w:rsidP="006D7BDE">
      <w:pPr>
        <w:ind w:left="2160" w:hanging="720"/>
        <w:rPr>
          <w:rFonts w:ascii="Arial" w:hAnsi="Arial" w:cs="Arial"/>
          <w:lang w:val="en-US"/>
        </w:rPr>
      </w:pPr>
      <w:r w:rsidRPr="00860603">
        <w:rPr>
          <w:rFonts w:ascii="Arial" w:hAnsi="Arial" w:cs="Arial"/>
          <w:lang w:val="en-US"/>
        </w:rPr>
        <w:t>10.2.2</w:t>
      </w:r>
      <w:r w:rsidRPr="00860603">
        <w:rPr>
          <w:rFonts w:ascii="Arial" w:hAnsi="Arial" w:cs="Arial"/>
          <w:lang w:val="en-US"/>
        </w:rPr>
        <w:tab/>
        <w:t xml:space="preserve">which respondent or respondents they seek to hold liable in the second stage of the class action. </w:t>
      </w:r>
    </w:p>
    <w:p w14:paraId="02518D18" w14:textId="455073B9" w:rsidR="00DC418A" w:rsidRPr="00860603" w:rsidRDefault="00DC418A" w:rsidP="00DC418A">
      <w:pPr>
        <w:ind w:left="1440" w:hanging="720"/>
        <w:rPr>
          <w:rFonts w:ascii="Arial" w:hAnsi="Arial" w:cs="Arial"/>
          <w:lang w:val="en-US"/>
        </w:rPr>
      </w:pPr>
      <w:r w:rsidRPr="00860603">
        <w:rPr>
          <w:rFonts w:ascii="Arial" w:hAnsi="Arial" w:cs="Arial"/>
          <w:lang w:val="en-US"/>
        </w:rPr>
        <w:t>10.3</w:t>
      </w:r>
      <w:r w:rsidRPr="00860603">
        <w:rPr>
          <w:rFonts w:ascii="Arial" w:hAnsi="Arial" w:cs="Arial"/>
          <w:lang w:val="en-US"/>
        </w:rPr>
        <w:tab/>
        <w:t>only members who give such notice timeously will have the benefit of and be bound by the judgments in the second stage of the class action as against the respondent or respondents that are found to be liable to them.’</w:t>
      </w:r>
    </w:p>
    <w:p w14:paraId="0A88EA3B" w14:textId="77777777" w:rsidR="00377DA5" w:rsidRPr="00860603" w:rsidRDefault="00377DA5" w:rsidP="00B05C8E">
      <w:pPr>
        <w:rPr>
          <w:rFonts w:ascii="Arial" w:hAnsi="Arial" w:cs="Arial"/>
          <w:lang w:val="en-US"/>
        </w:rPr>
      </w:pPr>
    </w:p>
    <w:p w14:paraId="4838592B" w14:textId="6C030C58" w:rsidR="00CC3DF6" w:rsidRPr="00860603" w:rsidRDefault="0018044B" w:rsidP="00614F9D">
      <w:pPr>
        <w:rPr>
          <w:rFonts w:ascii="Arial" w:hAnsi="Arial" w:cs="Arial"/>
          <w:lang w:val="en-US"/>
        </w:rPr>
      </w:pPr>
      <w:r w:rsidRPr="00860603">
        <w:rPr>
          <w:rFonts w:ascii="Arial" w:hAnsi="Arial" w:cs="Arial"/>
          <w:sz w:val="24"/>
          <w:szCs w:val="24"/>
          <w:lang w:val="en-US"/>
        </w:rPr>
        <w:t>[9]</w:t>
      </w:r>
      <w:r w:rsidRPr="00860603">
        <w:rPr>
          <w:rFonts w:ascii="Arial" w:hAnsi="Arial" w:cs="Arial"/>
          <w:sz w:val="24"/>
          <w:szCs w:val="24"/>
          <w:lang w:val="en-US"/>
        </w:rPr>
        <w:tab/>
      </w:r>
      <w:r w:rsidR="00821A50" w:rsidRPr="00860603">
        <w:rPr>
          <w:rFonts w:ascii="Arial" w:hAnsi="Arial" w:cs="Arial"/>
          <w:sz w:val="24"/>
          <w:szCs w:val="24"/>
          <w:lang w:val="en-US"/>
        </w:rPr>
        <w:t xml:space="preserve">The effect of these provisions is as follows. Unless a claimant </w:t>
      </w:r>
      <w:r w:rsidR="000D2ACF" w:rsidRPr="00860603">
        <w:rPr>
          <w:rFonts w:ascii="Arial" w:hAnsi="Arial" w:cs="Arial"/>
          <w:sz w:val="24"/>
          <w:szCs w:val="24"/>
          <w:lang w:val="en-US"/>
        </w:rPr>
        <w:t>who</w:t>
      </w:r>
      <w:r w:rsidR="00821A50" w:rsidRPr="00860603">
        <w:rPr>
          <w:rFonts w:ascii="Arial" w:hAnsi="Arial" w:cs="Arial"/>
          <w:sz w:val="24"/>
          <w:szCs w:val="24"/>
          <w:lang w:val="en-US"/>
        </w:rPr>
        <w:t xml:space="preserve"> falls within the definition of one of the classes elects to ‘opt out’ in terms </w:t>
      </w:r>
      <w:r w:rsidR="000D2ACF" w:rsidRPr="00860603">
        <w:rPr>
          <w:rFonts w:ascii="Arial" w:hAnsi="Arial" w:cs="Arial"/>
          <w:sz w:val="24"/>
          <w:szCs w:val="24"/>
          <w:lang w:val="en-US"/>
        </w:rPr>
        <w:t xml:space="preserve">of </w:t>
      </w:r>
      <w:r w:rsidR="00821A50" w:rsidRPr="00860603">
        <w:rPr>
          <w:rFonts w:ascii="Arial" w:hAnsi="Arial" w:cs="Arial"/>
          <w:sz w:val="24"/>
          <w:szCs w:val="24"/>
          <w:lang w:val="en-US"/>
        </w:rPr>
        <w:t xml:space="preserve">para 9, he or she would be bound by any judgment in respect of the first stage. In order to have his or her individual claim determined during the second stage, a class member has to ‘opt in’ in terms of para 10. </w:t>
      </w:r>
    </w:p>
    <w:p w14:paraId="34C94F1C" w14:textId="77777777" w:rsidR="00AC6AA6" w:rsidRPr="00860603" w:rsidRDefault="00AC6AA6" w:rsidP="00B05C8E">
      <w:pPr>
        <w:rPr>
          <w:rFonts w:ascii="Arial" w:hAnsi="Arial" w:cs="Arial"/>
          <w:lang w:val="en-US"/>
        </w:rPr>
      </w:pPr>
    </w:p>
    <w:p w14:paraId="29ECB4BF" w14:textId="4306183A" w:rsidR="00AC6AA6" w:rsidRPr="00860603" w:rsidRDefault="00AC6AA6" w:rsidP="00614F9D">
      <w:pPr>
        <w:rPr>
          <w:rFonts w:ascii="Arial" w:hAnsi="Arial" w:cs="Arial"/>
          <w:sz w:val="24"/>
          <w:szCs w:val="24"/>
          <w:lang w:val="en-US"/>
        </w:rPr>
      </w:pPr>
      <w:r w:rsidRPr="00860603">
        <w:rPr>
          <w:rFonts w:ascii="Arial" w:hAnsi="Arial" w:cs="Arial"/>
          <w:sz w:val="24"/>
          <w:szCs w:val="24"/>
          <w:lang w:val="en-US"/>
        </w:rPr>
        <w:t>[10]</w:t>
      </w:r>
      <w:r w:rsidRPr="00860603">
        <w:rPr>
          <w:rFonts w:ascii="Arial" w:hAnsi="Arial" w:cs="Arial"/>
          <w:sz w:val="24"/>
          <w:szCs w:val="24"/>
          <w:lang w:val="en-US"/>
        </w:rPr>
        <w:tab/>
      </w:r>
      <w:r w:rsidR="00C33CE1" w:rsidRPr="00860603">
        <w:rPr>
          <w:rFonts w:ascii="Arial" w:hAnsi="Arial" w:cs="Arial"/>
          <w:sz w:val="24"/>
          <w:szCs w:val="24"/>
          <w:lang w:val="en-US"/>
        </w:rPr>
        <w:t xml:space="preserve">Our common law provides </w:t>
      </w:r>
      <w:r w:rsidR="005D76D3" w:rsidRPr="00860603">
        <w:rPr>
          <w:rFonts w:ascii="Arial" w:hAnsi="Arial" w:cs="Arial"/>
          <w:sz w:val="24"/>
          <w:szCs w:val="24"/>
          <w:lang w:val="en-US"/>
        </w:rPr>
        <w:t>that upon the death of a person</w:t>
      </w:r>
      <w:r w:rsidR="000D2ACF" w:rsidRPr="00860603">
        <w:rPr>
          <w:rFonts w:ascii="Arial" w:hAnsi="Arial" w:cs="Arial"/>
          <w:sz w:val="24"/>
          <w:szCs w:val="24"/>
          <w:lang w:val="en-US"/>
        </w:rPr>
        <w:t>,</w:t>
      </w:r>
      <w:r w:rsidR="00C33CE1" w:rsidRPr="00860603">
        <w:rPr>
          <w:rFonts w:ascii="Arial" w:hAnsi="Arial" w:cs="Arial"/>
          <w:sz w:val="24"/>
          <w:szCs w:val="24"/>
          <w:lang w:val="en-US"/>
        </w:rPr>
        <w:t xml:space="preserve"> a claim for patrimonial loss passes to the executor of the deceased</w:t>
      </w:r>
      <w:r w:rsidR="000D2ACF" w:rsidRPr="00860603">
        <w:rPr>
          <w:rFonts w:ascii="Arial" w:hAnsi="Arial" w:cs="Arial"/>
          <w:sz w:val="24"/>
          <w:szCs w:val="24"/>
          <w:lang w:val="en-US"/>
        </w:rPr>
        <w:t>’s estate</w:t>
      </w:r>
      <w:r w:rsidR="00C33CE1" w:rsidRPr="00860603">
        <w:rPr>
          <w:rFonts w:ascii="Arial" w:hAnsi="Arial" w:cs="Arial"/>
          <w:sz w:val="24"/>
          <w:szCs w:val="24"/>
          <w:lang w:val="en-US"/>
        </w:rPr>
        <w:t xml:space="preserve">. As a general rule, a claim for non-patrimonial loss (such as general damages for pain and suffering and loss of the amenities of life or damages for defamation), because of its personal nature, is not transmitted to the estate of the deceased. At least since the decision of </w:t>
      </w:r>
      <w:r w:rsidR="00C33CE1" w:rsidRPr="00860603">
        <w:rPr>
          <w:rFonts w:ascii="Arial" w:hAnsi="Arial" w:cs="Arial"/>
          <w:i/>
          <w:sz w:val="24"/>
          <w:szCs w:val="24"/>
          <w:lang w:val="en-US"/>
        </w:rPr>
        <w:t>Executors of Meyer v Gericke</w:t>
      </w:r>
      <w:r w:rsidR="00C33CE1" w:rsidRPr="00860603">
        <w:rPr>
          <w:rFonts w:ascii="Arial" w:hAnsi="Arial" w:cs="Arial"/>
          <w:sz w:val="24"/>
          <w:szCs w:val="24"/>
          <w:lang w:val="en-US"/>
        </w:rPr>
        <w:t xml:space="preserve"> </w:t>
      </w:r>
      <w:r w:rsidR="00563181" w:rsidRPr="00860603">
        <w:rPr>
          <w:rFonts w:ascii="Arial" w:hAnsi="Arial" w:cs="Arial"/>
          <w:sz w:val="24"/>
          <w:szCs w:val="24"/>
          <w:lang w:val="en-US"/>
        </w:rPr>
        <w:t>(</w:t>
      </w:r>
      <w:r w:rsidR="00C33CE1" w:rsidRPr="00860603">
        <w:rPr>
          <w:rFonts w:ascii="Arial" w:hAnsi="Arial" w:cs="Arial"/>
          <w:sz w:val="24"/>
          <w:szCs w:val="24"/>
          <w:lang w:val="en-US"/>
        </w:rPr>
        <w:t>1880</w:t>
      </w:r>
      <w:r w:rsidR="00563181" w:rsidRPr="00860603">
        <w:rPr>
          <w:rFonts w:ascii="Arial" w:hAnsi="Arial" w:cs="Arial"/>
          <w:sz w:val="24"/>
          <w:szCs w:val="24"/>
          <w:lang w:val="en-US"/>
        </w:rPr>
        <w:t>)</w:t>
      </w:r>
      <w:r w:rsidR="00C33CE1" w:rsidRPr="00860603">
        <w:rPr>
          <w:rFonts w:ascii="Arial" w:hAnsi="Arial" w:cs="Arial"/>
          <w:sz w:val="24"/>
          <w:szCs w:val="24"/>
          <w:lang w:val="en-US"/>
        </w:rPr>
        <w:t xml:space="preserve"> F 14 and consistently thereafter, however, our courts have recognised an </w:t>
      </w:r>
      <w:r w:rsidR="00D21B8E" w:rsidRPr="00860603">
        <w:rPr>
          <w:rFonts w:ascii="Arial" w:hAnsi="Arial" w:cs="Arial"/>
          <w:sz w:val="24"/>
          <w:szCs w:val="24"/>
          <w:lang w:val="en-US"/>
        </w:rPr>
        <w:t>exception</w:t>
      </w:r>
      <w:r w:rsidR="00C33CE1" w:rsidRPr="00860603">
        <w:rPr>
          <w:rFonts w:ascii="Arial" w:hAnsi="Arial" w:cs="Arial"/>
          <w:sz w:val="24"/>
          <w:szCs w:val="24"/>
          <w:lang w:val="en-US"/>
        </w:rPr>
        <w:t xml:space="preserve"> to </w:t>
      </w:r>
      <w:r w:rsidR="005507BA" w:rsidRPr="00860603">
        <w:rPr>
          <w:rFonts w:ascii="Arial" w:hAnsi="Arial" w:cs="Arial"/>
          <w:sz w:val="24"/>
          <w:szCs w:val="24"/>
          <w:lang w:val="en-US"/>
        </w:rPr>
        <w:t>that</w:t>
      </w:r>
      <w:r w:rsidR="00C33CE1" w:rsidRPr="00860603">
        <w:rPr>
          <w:rFonts w:ascii="Arial" w:hAnsi="Arial" w:cs="Arial"/>
          <w:sz w:val="24"/>
          <w:szCs w:val="24"/>
          <w:lang w:val="en-US"/>
        </w:rPr>
        <w:t xml:space="preserve"> general principle. The exception is that </w:t>
      </w:r>
      <w:r w:rsidR="005D76D3" w:rsidRPr="00860603">
        <w:rPr>
          <w:rFonts w:ascii="Arial" w:hAnsi="Arial" w:cs="Arial"/>
          <w:sz w:val="24"/>
          <w:szCs w:val="24"/>
          <w:lang w:val="en-US"/>
        </w:rPr>
        <w:t>a</w:t>
      </w:r>
      <w:r w:rsidR="00C33CE1" w:rsidRPr="00860603">
        <w:rPr>
          <w:rFonts w:ascii="Arial" w:hAnsi="Arial" w:cs="Arial"/>
          <w:sz w:val="24"/>
          <w:szCs w:val="24"/>
          <w:lang w:val="en-US"/>
        </w:rPr>
        <w:t xml:space="preserve"> claim for non-patrimonial d</w:t>
      </w:r>
      <w:r w:rsidR="005D76D3" w:rsidRPr="00860603">
        <w:rPr>
          <w:rFonts w:ascii="Arial" w:hAnsi="Arial" w:cs="Arial"/>
          <w:sz w:val="24"/>
          <w:szCs w:val="24"/>
          <w:lang w:val="en-US"/>
        </w:rPr>
        <w:t xml:space="preserve">amages that is the subject of a </w:t>
      </w:r>
      <w:r w:rsidR="00C33CE1" w:rsidRPr="00860603">
        <w:rPr>
          <w:rFonts w:ascii="Arial" w:hAnsi="Arial" w:cs="Arial"/>
          <w:sz w:val="24"/>
          <w:szCs w:val="24"/>
          <w:lang w:val="en-US"/>
        </w:rPr>
        <w:t xml:space="preserve">pending action, is transmitted to the estate of a deceased person if </w:t>
      </w:r>
      <w:r w:rsidR="00C33CE1" w:rsidRPr="00860603">
        <w:rPr>
          <w:rFonts w:ascii="Arial" w:hAnsi="Arial" w:cs="Arial"/>
          <w:i/>
          <w:sz w:val="24"/>
          <w:szCs w:val="24"/>
          <w:lang w:val="en-US"/>
        </w:rPr>
        <w:t>litis contestatio</w:t>
      </w:r>
      <w:r w:rsidR="00C33CE1" w:rsidRPr="00860603">
        <w:rPr>
          <w:rFonts w:ascii="Arial" w:hAnsi="Arial" w:cs="Arial"/>
          <w:sz w:val="24"/>
          <w:szCs w:val="24"/>
          <w:lang w:val="en-US"/>
        </w:rPr>
        <w:t xml:space="preserve"> </w:t>
      </w:r>
      <w:r w:rsidR="005507BA" w:rsidRPr="00860603">
        <w:rPr>
          <w:rFonts w:ascii="Arial" w:hAnsi="Arial" w:cs="Arial"/>
          <w:sz w:val="24"/>
          <w:szCs w:val="24"/>
          <w:lang w:val="en-US"/>
        </w:rPr>
        <w:t>has been</w:t>
      </w:r>
      <w:r w:rsidR="00C33CE1" w:rsidRPr="00860603">
        <w:rPr>
          <w:rFonts w:ascii="Arial" w:hAnsi="Arial" w:cs="Arial"/>
          <w:sz w:val="24"/>
          <w:szCs w:val="24"/>
          <w:lang w:val="en-US"/>
        </w:rPr>
        <w:t xml:space="preserve"> reached at the time of </w:t>
      </w:r>
      <w:r w:rsidR="00113479" w:rsidRPr="00860603">
        <w:rPr>
          <w:rFonts w:ascii="Arial" w:hAnsi="Arial" w:cs="Arial"/>
          <w:sz w:val="24"/>
          <w:szCs w:val="24"/>
          <w:lang w:val="en-US"/>
        </w:rPr>
        <w:t>his or her</w:t>
      </w:r>
      <w:r w:rsidR="00C33CE1" w:rsidRPr="00860603">
        <w:rPr>
          <w:rFonts w:ascii="Arial" w:hAnsi="Arial" w:cs="Arial"/>
          <w:sz w:val="24"/>
          <w:szCs w:val="24"/>
          <w:lang w:val="en-US"/>
        </w:rPr>
        <w:t xml:space="preserve"> death. </w:t>
      </w:r>
      <w:r w:rsidR="00C33CE1" w:rsidRPr="00860603">
        <w:rPr>
          <w:rFonts w:ascii="Arial" w:hAnsi="Arial" w:cs="Arial"/>
          <w:i/>
          <w:sz w:val="24"/>
          <w:szCs w:val="24"/>
          <w:lang w:val="en-US"/>
        </w:rPr>
        <w:t>Litis contestatio</w:t>
      </w:r>
      <w:r w:rsidR="00C33CE1" w:rsidRPr="00860603">
        <w:rPr>
          <w:rFonts w:ascii="Arial" w:hAnsi="Arial" w:cs="Arial"/>
          <w:sz w:val="24"/>
          <w:szCs w:val="24"/>
          <w:lang w:val="en-US"/>
        </w:rPr>
        <w:t xml:space="preserve"> is reached when the pleadings in an action are closed. As to this legal position, see </w:t>
      </w:r>
      <w:r w:rsidR="00C33CE1" w:rsidRPr="00860603">
        <w:rPr>
          <w:rFonts w:ascii="Arial" w:hAnsi="Arial" w:cs="Arial"/>
          <w:i/>
          <w:sz w:val="24"/>
          <w:szCs w:val="24"/>
          <w:lang w:val="en-US"/>
        </w:rPr>
        <w:t>Government of the Republic of South Africa v Ngubane</w:t>
      </w:r>
      <w:r w:rsidR="00C33CE1" w:rsidRPr="00860603">
        <w:rPr>
          <w:rFonts w:ascii="Arial" w:hAnsi="Arial" w:cs="Arial"/>
          <w:sz w:val="24"/>
          <w:szCs w:val="24"/>
          <w:lang w:val="en-US"/>
        </w:rPr>
        <w:t xml:space="preserve"> 1972 (</w:t>
      </w:r>
      <w:r w:rsidR="00905FC4" w:rsidRPr="00860603">
        <w:rPr>
          <w:rFonts w:ascii="Arial" w:hAnsi="Arial" w:cs="Arial"/>
          <w:sz w:val="24"/>
          <w:szCs w:val="24"/>
          <w:lang w:val="en-US"/>
        </w:rPr>
        <w:t>2</w:t>
      </w:r>
      <w:r w:rsidR="00C33CE1" w:rsidRPr="00860603">
        <w:rPr>
          <w:rFonts w:ascii="Arial" w:hAnsi="Arial" w:cs="Arial"/>
          <w:sz w:val="24"/>
          <w:szCs w:val="24"/>
          <w:lang w:val="en-US"/>
        </w:rPr>
        <w:t xml:space="preserve">) SA 610 </w:t>
      </w:r>
      <w:r w:rsidR="00905FC4" w:rsidRPr="00860603">
        <w:rPr>
          <w:rFonts w:ascii="Arial" w:hAnsi="Arial" w:cs="Arial"/>
          <w:sz w:val="24"/>
          <w:szCs w:val="24"/>
          <w:lang w:val="en-US"/>
        </w:rPr>
        <w:t>(</w:t>
      </w:r>
      <w:r w:rsidR="00C33CE1" w:rsidRPr="00860603">
        <w:rPr>
          <w:rFonts w:ascii="Arial" w:hAnsi="Arial" w:cs="Arial"/>
          <w:sz w:val="24"/>
          <w:szCs w:val="24"/>
          <w:lang w:val="en-US"/>
        </w:rPr>
        <w:t>AD</w:t>
      </w:r>
      <w:r w:rsidR="00905FC4" w:rsidRPr="00860603">
        <w:rPr>
          <w:rFonts w:ascii="Arial" w:hAnsi="Arial" w:cs="Arial"/>
          <w:sz w:val="24"/>
          <w:szCs w:val="24"/>
          <w:lang w:val="en-US"/>
        </w:rPr>
        <w:t>)</w:t>
      </w:r>
      <w:r w:rsidR="00C33CE1" w:rsidRPr="00860603">
        <w:rPr>
          <w:rFonts w:ascii="Arial" w:hAnsi="Arial" w:cs="Arial"/>
          <w:sz w:val="24"/>
          <w:szCs w:val="24"/>
          <w:lang w:val="en-US"/>
        </w:rPr>
        <w:t xml:space="preserve"> at 606G-H and 608D-H. </w:t>
      </w:r>
    </w:p>
    <w:p w14:paraId="28BA5E46" w14:textId="77777777" w:rsidR="002F1D71" w:rsidRPr="00860603" w:rsidRDefault="002F1D71" w:rsidP="00B05C8E">
      <w:pPr>
        <w:rPr>
          <w:rFonts w:ascii="Arial" w:hAnsi="Arial" w:cs="Arial"/>
          <w:sz w:val="24"/>
          <w:szCs w:val="24"/>
          <w:lang w:val="en-US"/>
        </w:rPr>
      </w:pPr>
    </w:p>
    <w:p w14:paraId="10BF7E05" w14:textId="02368965" w:rsidR="002F1D71" w:rsidRPr="00860603" w:rsidRDefault="002F1D71" w:rsidP="00B05C8E">
      <w:pPr>
        <w:rPr>
          <w:rFonts w:ascii="Arial" w:hAnsi="Arial" w:cs="Arial"/>
          <w:sz w:val="24"/>
          <w:szCs w:val="24"/>
          <w:lang w:val="en-US"/>
        </w:rPr>
      </w:pPr>
      <w:r w:rsidRPr="00860603">
        <w:rPr>
          <w:rFonts w:ascii="Arial" w:hAnsi="Arial" w:cs="Arial"/>
          <w:sz w:val="24"/>
          <w:szCs w:val="24"/>
          <w:lang w:val="en-US"/>
        </w:rPr>
        <w:t>[11]</w:t>
      </w:r>
      <w:r w:rsidR="00926202" w:rsidRPr="00860603">
        <w:rPr>
          <w:rFonts w:ascii="Arial" w:hAnsi="Arial" w:cs="Arial"/>
          <w:sz w:val="24"/>
          <w:szCs w:val="24"/>
          <w:lang w:val="en-US"/>
        </w:rPr>
        <w:tab/>
      </w:r>
      <w:r w:rsidR="007F0BFC" w:rsidRPr="00860603">
        <w:rPr>
          <w:rFonts w:ascii="Arial" w:hAnsi="Arial" w:cs="Arial"/>
          <w:sz w:val="24"/>
          <w:szCs w:val="24"/>
          <w:lang w:val="en-US"/>
        </w:rPr>
        <w:t>It was against this background that the respondents asked (in an amended notice of motion) for a declaratory order developing the law to provide that</w:t>
      </w:r>
      <w:r w:rsidR="00ED2692" w:rsidRPr="00860603">
        <w:rPr>
          <w:rFonts w:ascii="Arial" w:hAnsi="Arial" w:cs="Arial"/>
          <w:sz w:val="24"/>
          <w:szCs w:val="24"/>
          <w:lang w:val="en-US"/>
        </w:rPr>
        <w:t>,</w:t>
      </w:r>
      <w:r w:rsidR="007F0BFC" w:rsidRPr="00860603">
        <w:rPr>
          <w:rFonts w:ascii="Arial" w:hAnsi="Arial" w:cs="Arial"/>
          <w:sz w:val="24"/>
          <w:szCs w:val="24"/>
          <w:lang w:val="en-US"/>
        </w:rPr>
        <w:t xml:space="preserve"> in class actions, a claim for general damages of a class member that passed away after the institution of the certification application but before </w:t>
      </w:r>
      <w:r w:rsidR="007F0BFC" w:rsidRPr="00860603">
        <w:rPr>
          <w:rFonts w:ascii="Arial" w:hAnsi="Arial" w:cs="Arial"/>
          <w:i/>
          <w:sz w:val="24"/>
          <w:szCs w:val="24"/>
          <w:lang w:val="en-US"/>
        </w:rPr>
        <w:t>litis contestatio</w:t>
      </w:r>
      <w:r w:rsidR="007F0BFC" w:rsidRPr="00860603">
        <w:rPr>
          <w:rFonts w:ascii="Arial" w:hAnsi="Arial" w:cs="Arial"/>
          <w:sz w:val="24"/>
          <w:szCs w:val="24"/>
          <w:lang w:val="en-US"/>
        </w:rPr>
        <w:t xml:space="preserve">, is transmissible to his or her estate. As I have said, in making the declarator, the court a quo (by majority) </w:t>
      </w:r>
      <w:r w:rsidR="008D71E0" w:rsidRPr="00860603">
        <w:rPr>
          <w:rFonts w:ascii="Arial" w:hAnsi="Arial" w:cs="Arial"/>
          <w:sz w:val="24"/>
          <w:szCs w:val="24"/>
          <w:lang w:val="en-US"/>
        </w:rPr>
        <w:t>went beyond the order sought</w:t>
      </w:r>
      <w:r w:rsidR="007F0BFC" w:rsidRPr="00860603">
        <w:rPr>
          <w:rFonts w:ascii="Arial" w:hAnsi="Arial" w:cs="Arial"/>
          <w:sz w:val="24"/>
          <w:szCs w:val="24"/>
          <w:lang w:val="en-US"/>
        </w:rPr>
        <w:t xml:space="preserve">. The declarator reads: </w:t>
      </w:r>
    </w:p>
    <w:p w14:paraId="59EF3139" w14:textId="5CB73B1E" w:rsidR="00DB37B8" w:rsidRPr="00860603" w:rsidRDefault="00DB37B8" w:rsidP="00B05C8E">
      <w:pPr>
        <w:rPr>
          <w:rFonts w:ascii="Arial" w:hAnsi="Arial" w:cs="Arial"/>
          <w:lang w:val="en-US"/>
        </w:rPr>
      </w:pPr>
      <w:r w:rsidRPr="00860603">
        <w:rPr>
          <w:rFonts w:ascii="Arial" w:hAnsi="Arial" w:cs="Arial"/>
          <w:lang w:val="en-US"/>
        </w:rPr>
        <w:lastRenderedPageBreak/>
        <w:t>‘It is declared that any claimant, who has claimed for general damages, and who has died or dies prior to the finali</w:t>
      </w:r>
      <w:r w:rsidR="00905FC4" w:rsidRPr="00860603">
        <w:rPr>
          <w:rFonts w:ascii="Arial" w:hAnsi="Arial" w:cs="Arial"/>
          <w:lang w:val="en-US"/>
        </w:rPr>
        <w:t>s</w:t>
      </w:r>
      <w:r w:rsidRPr="00860603">
        <w:rPr>
          <w:rFonts w:ascii="Arial" w:hAnsi="Arial" w:cs="Arial"/>
          <w:lang w:val="en-US"/>
        </w:rPr>
        <w:t>ation of his case, will have such general damages transmissible to his estate, regardless of whether he has joined the class action or not. The claim of general damages in this case shall be transmissible from the date when the certification application was launched in August 2012.’</w:t>
      </w:r>
    </w:p>
    <w:p w14:paraId="79BEFDF2" w14:textId="6B486803" w:rsidR="00330D40" w:rsidRPr="00860603" w:rsidRDefault="00330D40" w:rsidP="00B05C8E">
      <w:pPr>
        <w:rPr>
          <w:rFonts w:ascii="Arial" w:hAnsi="Arial" w:cs="Arial"/>
          <w:sz w:val="24"/>
          <w:szCs w:val="24"/>
          <w:lang w:val="en-US"/>
        </w:rPr>
      </w:pPr>
      <w:r w:rsidRPr="00860603">
        <w:rPr>
          <w:rFonts w:ascii="Arial" w:hAnsi="Arial" w:cs="Arial"/>
          <w:sz w:val="24"/>
          <w:szCs w:val="24"/>
          <w:lang w:val="en-US"/>
        </w:rPr>
        <w:t>Before us the respondents indicated that their case remained that the development of the common law in this regard had to be confined to class actions.</w:t>
      </w:r>
    </w:p>
    <w:p w14:paraId="5145C7C1" w14:textId="77777777" w:rsidR="00926202" w:rsidRPr="00860603" w:rsidRDefault="00926202" w:rsidP="00B05C8E">
      <w:pPr>
        <w:rPr>
          <w:rFonts w:ascii="Arial" w:hAnsi="Arial" w:cs="Arial"/>
          <w:sz w:val="24"/>
          <w:szCs w:val="24"/>
          <w:lang w:val="en-US"/>
        </w:rPr>
      </w:pPr>
    </w:p>
    <w:p w14:paraId="7D0D0975" w14:textId="5C1348E9" w:rsidR="00926202" w:rsidRPr="00860603" w:rsidRDefault="00926202" w:rsidP="00B05C8E">
      <w:pPr>
        <w:rPr>
          <w:rFonts w:ascii="Arial" w:hAnsi="Arial" w:cs="Arial"/>
          <w:sz w:val="24"/>
          <w:szCs w:val="24"/>
          <w:lang w:val="en-US"/>
        </w:rPr>
      </w:pPr>
      <w:r w:rsidRPr="00860603">
        <w:rPr>
          <w:rFonts w:ascii="Arial" w:hAnsi="Arial" w:cs="Arial"/>
          <w:sz w:val="24"/>
          <w:szCs w:val="24"/>
          <w:lang w:val="en-US"/>
        </w:rPr>
        <w:t>[12]</w:t>
      </w:r>
      <w:r w:rsidRPr="00860603">
        <w:rPr>
          <w:rFonts w:ascii="Arial" w:hAnsi="Arial" w:cs="Arial"/>
          <w:sz w:val="24"/>
          <w:szCs w:val="24"/>
          <w:lang w:val="en-US"/>
        </w:rPr>
        <w:tab/>
      </w:r>
      <w:r w:rsidR="004E1CBF" w:rsidRPr="00860603">
        <w:rPr>
          <w:rFonts w:ascii="Arial" w:hAnsi="Arial" w:cs="Arial"/>
          <w:sz w:val="24"/>
          <w:szCs w:val="24"/>
          <w:lang w:val="en-US"/>
        </w:rPr>
        <w:t>The settlement agreement that I have referred to, was entered into during May 2018 and was finally approved by the court a quo on 26 July 2019 (as was required by para 13 of its order). It is not necessary to set out the provisions of this comprehensive agreement. What</w:t>
      </w:r>
      <w:r w:rsidR="00CC7198" w:rsidRPr="00860603">
        <w:rPr>
          <w:rFonts w:ascii="Arial" w:hAnsi="Arial" w:cs="Arial"/>
          <w:sz w:val="24"/>
          <w:szCs w:val="24"/>
          <w:lang w:val="en-US"/>
        </w:rPr>
        <w:t xml:space="preserve"> is necessary, however, is to describe the major impact of the settlement agreement on the certification. As a result, the certification stands only against six mining companies (the appellants and four others) and in respect of seven mines. Three of these four mining companies did not oppose the certification and the fourth, Randgold and Exploration Company Limited (Randgold) is sought to be held liable as a ‘parent company’. It should also be mentioned that the respondents withdrew all claims in respect of the tuberculosis class against the appellants. </w:t>
      </w:r>
      <w:r w:rsidR="00D60D4C" w:rsidRPr="00860603">
        <w:rPr>
          <w:rFonts w:ascii="Arial" w:hAnsi="Arial" w:cs="Arial"/>
          <w:sz w:val="24"/>
          <w:szCs w:val="24"/>
          <w:lang w:val="en-US"/>
        </w:rPr>
        <w:t>Thus, the</w:t>
      </w:r>
      <w:r w:rsidR="00CC7198" w:rsidRPr="00860603">
        <w:rPr>
          <w:rFonts w:ascii="Arial" w:hAnsi="Arial" w:cs="Arial"/>
          <w:sz w:val="24"/>
          <w:szCs w:val="24"/>
          <w:lang w:val="en-US"/>
        </w:rPr>
        <w:t xml:space="preserve"> certification applies to the appellants only in respect of the silicosis class. </w:t>
      </w:r>
    </w:p>
    <w:p w14:paraId="2FD31496" w14:textId="77777777" w:rsidR="00CC7198" w:rsidRPr="00860603" w:rsidRDefault="00CC7198" w:rsidP="00B05C8E">
      <w:pPr>
        <w:rPr>
          <w:rFonts w:ascii="Arial" w:hAnsi="Arial" w:cs="Arial"/>
          <w:sz w:val="24"/>
          <w:szCs w:val="24"/>
          <w:lang w:val="en-US"/>
        </w:rPr>
      </w:pPr>
    </w:p>
    <w:p w14:paraId="4FC987C5" w14:textId="5479FE28" w:rsidR="00CC7198" w:rsidRPr="00860603" w:rsidRDefault="00CC7198" w:rsidP="00B05C8E">
      <w:pPr>
        <w:rPr>
          <w:rFonts w:ascii="Arial" w:hAnsi="Arial" w:cs="Arial"/>
          <w:b/>
          <w:sz w:val="24"/>
          <w:szCs w:val="24"/>
          <w:lang w:val="en-US"/>
        </w:rPr>
      </w:pPr>
      <w:r w:rsidRPr="00860603">
        <w:rPr>
          <w:rFonts w:ascii="Arial" w:hAnsi="Arial" w:cs="Arial"/>
          <w:b/>
          <w:sz w:val="24"/>
          <w:szCs w:val="24"/>
          <w:lang w:val="en-US"/>
        </w:rPr>
        <w:t>Appealability: the law</w:t>
      </w:r>
    </w:p>
    <w:p w14:paraId="21761281" w14:textId="6259EC84" w:rsidR="005D244C" w:rsidRPr="00860603" w:rsidRDefault="00606CFE" w:rsidP="00614F9D">
      <w:pPr>
        <w:rPr>
          <w:rFonts w:ascii="Arial" w:hAnsi="Arial" w:cs="Arial"/>
          <w:lang w:val="en-US"/>
        </w:rPr>
      </w:pPr>
      <w:r w:rsidRPr="00860603">
        <w:rPr>
          <w:rFonts w:ascii="Arial" w:hAnsi="Arial" w:cs="Arial"/>
          <w:sz w:val="24"/>
          <w:szCs w:val="24"/>
          <w:lang w:val="en-US"/>
        </w:rPr>
        <w:t>[13]</w:t>
      </w:r>
      <w:r w:rsidRPr="00860603">
        <w:rPr>
          <w:rFonts w:ascii="Arial" w:hAnsi="Arial" w:cs="Arial"/>
          <w:sz w:val="24"/>
          <w:szCs w:val="24"/>
          <w:lang w:val="en-US"/>
        </w:rPr>
        <w:tab/>
      </w:r>
      <w:r w:rsidR="00D8646A" w:rsidRPr="00860603">
        <w:rPr>
          <w:rFonts w:ascii="Arial" w:hAnsi="Arial" w:cs="Arial"/>
          <w:sz w:val="24"/>
          <w:szCs w:val="24"/>
          <w:lang w:val="en-US"/>
        </w:rPr>
        <w:t xml:space="preserve">It is important to keep in mind that in the present context, appealability has to do with whether this court has jurisdiction to hear an appeal. See </w:t>
      </w:r>
      <w:r w:rsidR="00177693" w:rsidRPr="00860603">
        <w:rPr>
          <w:rFonts w:ascii="Arial" w:hAnsi="Arial" w:cs="Arial"/>
          <w:i/>
          <w:sz w:val="24"/>
          <w:szCs w:val="24"/>
          <w:lang w:val="en-US"/>
        </w:rPr>
        <w:t>S v</w:t>
      </w:r>
      <w:r w:rsidR="00177693" w:rsidRPr="00860603">
        <w:rPr>
          <w:rFonts w:ascii="Arial" w:hAnsi="Arial" w:cs="Arial"/>
          <w:sz w:val="24"/>
          <w:szCs w:val="24"/>
          <w:lang w:val="en-US"/>
        </w:rPr>
        <w:t xml:space="preserve"> </w:t>
      </w:r>
      <w:r w:rsidR="00D8646A" w:rsidRPr="00860603">
        <w:rPr>
          <w:rFonts w:ascii="Arial" w:hAnsi="Arial" w:cs="Arial"/>
          <w:i/>
          <w:sz w:val="24"/>
          <w:szCs w:val="24"/>
          <w:lang w:val="en-US"/>
        </w:rPr>
        <w:t>Western Areas Ltd and Others</w:t>
      </w:r>
      <w:r w:rsidR="004A6B6F" w:rsidRPr="00860603">
        <w:rPr>
          <w:rFonts w:ascii="Arial" w:hAnsi="Arial" w:cs="Arial"/>
          <w:i/>
          <w:sz w:val="24"/>
          <w:szCs w:val="24"/>
          <w:lang w:val="en-US"/>
        </w:rPr>
        <w:t xml:space="preserve"> </w:t>
      </w:r>
      <w:r w:rsidR="00D8646A" w:rsidRPr="00860603">
        <w:rPr>
          <w:rFonts w:ascii="Arial" w:hAnsi="Arial" w:cs="Arial"/>
          <w:sz w:val="24"/>
          <w:szCs w:val="24"/>
          <w:lang w:val="en-US"/>
        </w:rPr>
        <w:t xml:space="preserve">2005 (5) SA 214 </w:t>
      </w:r>
      <w:r w:rsidR="004A6B6F" w:rsidRPr="00860603">
        <w:rPr>
          <w:rFonts w:ascii="Arial" w:hAnsi="Arial" w:cs="Arial"/>
          <w:sz w:val="24"/>
          <w:szCs w:val="24"/>
          <w:lang w:val="en-US"/>
        </w:rPr>
        <w:t>(</w:t>
      </w:r>
      <w:r w:rsidR="00D8646A" w:rsidRPr="00860603">
        <w:rPr>
          <w:rFonts w:ascii="Arial" w:hAnsi="Arial" w:cs="Arial"/>
          <w:sz w:val="24"/>
          <w:szCs w:val="24"/>
          <w:lang w:val="en-US"/>
        </w:rPr>
        <w:t>SCA</w:t>
      </w:r>
      <w:r w:rsidR="004A6B6F" w:rsidRPr="00860603">
        <w:rPr>
          <w:rFonts w:ascii="Arial" w:hAnsi="Arial" w:cs="Arial"/>
          <w:sz w:val="24"/>
          <w:szCs w:val="24"/>
          <w:lang w:val="en-US"/>
        </w:rPr>
        <w:t>)</w:t>
      </w:r>
      <w:r w:rsidR="00D8646A" w:rsidRPr="00860603">
        <w:rPr>
          <w:rFonts w:ascii="Arial" w:hAnsi="Arial" w:cs="Arial"/>
          <w:sz w:val="24"/>
          <w:szCs w:val="24"/>
          <w:lang w:val="en-US"/>
        </w:rPr>
        <w:t xml:space="preserve">; [2005] 3 All SA 541 </w:t>
      </w:r>
      <w:r w:rsidR="004A6B6F" w:rsidRPr="00860603">
        <w:rPr>
          <w:rFonts w:ascii="Arial" w:hAnsi="Arial" w:cs="Arial"/>
          <w:sz w:val="24"/>
          <w:szCs w:val="24"/>
          <w:lang w:val="en-US"/>
        </w:rPr>
        <w:t>(</w:t>
      </w:r>
      <w:r w:rsidR="00D8646A" w:rsidRPr="00860603">
        <w:rPr>
          <w:rFonts w:ascii="Arial" w:hAnsi="Arial" w:cs="Arial"/>
          <w:sz w:val="24"/>
          <w:szCs w:val="24"/>
          <w:lang w:val="en-US"/>
        </w:rPr>
        <w:t>SCA</w:t>
      </w:r>
      <w:r w:rsidR="004A6B6F" w:rsidRPr="00860603">
        <w:rPr>
          <w:rFonts w:ascii="Arial" w:hAnsi="Arial" w:cs="Arial"/>
          <w:sz w:val="24"/>
          <w:szCs w:val="24"/>
          <w:lang w:val="en-US"/>
        </w:rPr>
        <w:t>)</w:t>
      </w:r>
      <w:r w:rsidR="00D8646A" w:rsidRPr="00860603">
        <w:rPr>
          <w:rFonts w:ascii="Arial" w:hAnsi="Arial" w:cs="Arial"/>
          <w:sz w:val="24"/>
          <w:szCs w:val="24"/>
          <w:lang w:val="en-US"/>
        </w:rPr>
        <w:t xml:space="preserve"> (</w:t>
      </w:r>
      <w:r w:rsidR="00D8646A" w:rsidRPr="00860603">
        <w:rPr>
          <w:rFonts w:ascii="Arial" w:hAnsi="Arial" w:cs="Arial"/>
          <w:i/>
          <w:sz w:val="24"/>
          <w:szCs w:val="24"/>
          <w:lang w:val="en-US"/>
        </w:rPr>
        <w:t>Western Areas</w:t>
      </w:r>
      <w:r w:rsidR="00D8646A" w:rsidRPr="00860603">
        <w:rPr>
          <w:rFonts w:ascii="Arial" w:hAnsi="Arial" w:cs="Arial"/>
          <w:sz w:val="24"/>
          <w:szCs w:val="24"/>
          <w:lang w:val="en-US"/>
        </w:rPr>
        <w:t xml:space="preserve">) para 6. This court has no original jurisdiction and its common law inherent power to regulate its own procedures – now </w:t>
      </w:r>
      <w:r w:rsidR="00FC62D9" w:rsidRPr="00860603">
        <w:rPr>
          <w:rFonts w:ascii="Arial" w:hAnsi="Arial" w:cs="Arial"/>
          <w:sz w:val="24"/>
          <w:szCs w:val="24"/>
          <w:lang w:val="en-US"/>
        </w:rPr>
        <w:t>entrenched</w:t>
      </w:r>
      <w:r w:rsidR="00D8646A" w:rsidRPr="00860603">
        <w:rPr>
          <w:rFonts w:ascii="Arial" w:hAnsi="Arial" w:cs="Arial"/>
          <w:sz w:val="24"/>
          <w:szCs w:val="24"/>
          <w:lang w:val="en-US"/>
        </w:rPr>
        <w:t xml:space="preserve"> in s 173 of the Constitution – does not clothe it with jurisdiction. </w:t>
      </w:r>
      <w:r w:rsidR="00FC62D9" w:rsidRPr="00860603">
        <w:rPr>
          <w:rFonts w:ascii="Arial" w:hAnsi="Arial" w:cs="Arial"/>
          <w:sz w:val="24"/>
          <w:szCs w:val="24"/>
          <w:lang w:val="en-US"/>
        </w:rPr>
        <w:t xml:space="preserve">See </w:t>
      </w:r>
      <w:r w:rsidR="00FC62D9" w:rsidRPr="00860603">
        <w:rPr>
          <w:rFonts w:ascii="Arial" w:hAnsi="Arial" w:cs="Arial"/>
          <w:i/>
          <w:sz w:val="24"/>
          <w:szCs w:val="24"/>
          <w:lang w:val="en-US"/>
        </w:rPr>
        <w:t>Moch v Nedtravel (Pty) Ltd t/a American Express Travel Service</w:t>
      </w:r>
      <w:r w:rsidR="00FC62D9" w:rsidRPr="00860603">
        <w:rPr>
          <w:rFonts w:ascii="Arial" w:hAnsi="Arial" w:cs="Arial"/>
          <w:sz w:val="24"/>
          <w:szCs w:val="24"/>
          <w:lang w:val="en-US"/>
        </w:rPr>
        <w:t xml:space="preserve"> 1996 (3) SA 1 </w:t>
      </w:r>
      <w:r w:rsidR="004A6B6F" w:rsidRPr="00860603">
        <w:rPr>
          <w:rFonts w:ascii="Arial" w:hAnsi="Arial" w:cs="Arial"/>
          <w:sz w:val="24"/>
          <w:szCs w:val="24"/>
          <w:lang w:val="en-US"/>
        </w:rPr>
        <w:t>(</w:t>
      </w:r>
      <w:r w:rsidR="00FC62D9" w:rsidRPr="00860603">
        <w:rPr>
          <w:rFonts w:ascii="Arial" w:hAnsi="Arial" w:cs="Arial"/>
          <w:sz w:val="24"/>
          <w:szCs w:val="24"/>
          <w:lang w:val="en-US"/>
        </w:rPr>
        <w:t>A</w:t>
      </w:r>
      <w:r w:rsidR="004A6B6F" w:rsidRPr="00860603">
        <w:rPr>
          <w:rFonts w:ascii="Arial" w:hAnsi="Arial" w:cs="Arial"/>
          <w:sz w:val="24"/>
          <w:szCs w:val="24"/>
          <w:lang w:val="en-US"/>
        </w:rPr>
        <w:t>)</w:t>
      </w:r>
      <w:r w:rsidR="00FC62D9" w:rsidRPr="00860603">
        <w:rPr>
          <w:rFonts w:ascii="Arial" w:hAnsi="Arial" w:cs="Arial"/>
          <w:sz w:val="24"/>
          <w:szCs w:val="24"/>
          <w:lang w:val="en-US"/>
        </w:rPr>
        <w:t xml:space="preserve"> (</w:t>
      </w:r>
      <w:r w:rsidR="00FC62D9" w:rsidRPr="00860603">
        <w:rPr>
          <w:rFonts w:ascii="Arial" w:hAnsi="Arial" w:cs="Arial"/>
          <w:i/>
          <w:sz w:val="24"/>
          <w:szCs w:val="24"/>
          <w:lang w:val="en-US"/>
        </w:rPr>
        <w:t>Moch</w:t>
      </w:r>
      <w:r w:rsidR="00FC62D9" w:rsidRPr="00860603">
        <w:rPr>
          <w:rFonts w:ascii="Arial" w:hAnsi="Arial" w:cs="Arial"/>
          <w:sz w:val="24"/>
          <w:szCs w:val="24"/>
          <w:lang w:val="en-US"/>
        </w:rPr>
        <w:t>)</w:t>
      </w:r>
      <w:r w:rsidR="001B018A" w:rsidRPr="00860603">
        <w:rPr>
          <w:rFonts w:ascii="Arial" w:hAnsi="Arial" w:cs="Arial"/>
          <w:sz w:val="24"/>
          <w:szCs w:val="24"/>
          <w:lang w:val="en-US"/>
        </w:rPr>
        <w:t xml:space="preserve"> at 7E-G and </w:t>
      </w:r>
      <w:r w:rsidR="001B018A" w:rsidRPr="00860603">
        <w:rPr>
          <w:rFonts w:ascii="Arial" w:hAnsi="Arial" w:cs="Arial"/>
          <w:i/>
          <w:sz w:val="24"/>
          <w:szCs w:val="24"/>
          <w:lang w:val="en-US"/>
        </w:rPr>
        <w:t xml:space="preserve">New Clicks South Africa (Pty) Ltd v Minister of Health &amp; Another </w:t>
      </w:r>
      <w:r w:rsidR="001B018A" w:rsidRPr="00860603">
        <w:rPr>
          <w:rFonts w:ascii="Arial" w:hAnsi="Arial" w:cs="Arial"/>
          <w:sz w:val="24"/>
          <w:szCs w:val="24"/>
          <w:lang w:val="en-US"/>
        </w:rPr>
        <w:t xml:space="preserve">2005 (3) SA 238 </w:t>
      </w:r>
      <w:r w:rsidR="00086BF9" w:rsidRPr="00860603">
        <w:rPr>
          <w:rFonts w:ascii="Arial" w:hAnsi="Arial" w:cs="Arial"/>
          <w:sz w:val="24"/>
          <w:szCs w:val="24"/>
          <w:lang w:val="en-US"/>
        </w:rPr>
        <w:t>(</w:t>
      </w:r>
      <w:r w:rsidR="001B018A" w:rsidRPr="00860603">
        <w:rPr>
          <w:rFonts w:ascii="Arial" w:hAnsi="Arial" w:cs="Arial"/>
          <w:sz w:val="24"/>
          <w:szCs w:val="24"/>
          <w:lang w:val="en-US"/>
        </w:rPr>
        <w:t>SCA</w:t>
      </w:r>
      <w:r w:rsidR="00086BF9" w:rsidRPr="00860603">
        <w:rPr>
          <w:rFonts w:ascii="Arial" w:hAnsi="Arial" w:cs="Arial"/>
          <w:sz w:val="24"/>
          <w:szCs w:val="24"/>
          <w:lang w:val="en-US"/>
        </w:rPr>
        <w:t>)</w:t>
      </w:r>
      <w:r w:rsidR="001B018A" w:rsidRPr="00860603">
        <w:rPr>
          <w:rFonts w:ascii="Arial" w:hAnsi="Arial" w:cs="Arial"/>
          <w:sz w:val="24"/>
          <w:szCs w:val="24"/>
          <w:lang w:val="en-US"/>
        </w:rPr>
        <w:t xml:space="preserve"> para 19. This court’s jurisdiction is derived only from the Constitution and statute. </w:t>
      </w:r>
    </w:p>
    <w:p w14:paraId="3D3A86DF" w14:textId="77777777" w:rsidR="00C763A3" w:rsidRPr="00860603" w:rsidRDefault="00C763A3" w:rsidP="00B05C8E">
      <w:pPr>
        <w:rPr>
          <w:rFonts w:ascii="Arial" w:hAnsi="Arial" w:cs="Arial"/>
          <w:lang w:val="en-US"/>
        </w:rPr>
      </w:pPr>
    </w:p>
    <w:p w14:paraId="0954F746" w14:textId="17E43061" w:rsidR="00C763A3" w:rsidRPr="00860603" w:rsidRDefault="00C763A3" w:rsidP="00B05C8E">
      <w:pPr>
        <w:rPr>
          <w:rFonts w:ascii="Arial" w:hAnsi="Arial" w:cs="Arial"/>
          <w:sz w:val="24"/>
          <w:szCs w:val="24"/>
          <w:lang w:val="en-US"/>
        </w:rPr>
      </w:pPr>
      <w:r w:rsidRPr="00860603">
        <w:rPr>
          <w:rFonts w:ascii="Arial" w:hAnsi="Arial" w:cs="Arial"/>
          <w:sz w:val="24"/>
          <w:szCs w:val="24"/>
          <w:lang w:val="en-US"/>
        </w:rPr>
        <w:t>[14]</w:t>
      </w:r>
      <w:r w:rsidRPr="00860603">
        <w:rPr>
          <w:rFonts w:ascii="Arial" w:hAnsi="Arial" w:cs="Arial"/>
          <w:sz w:val="24"/>
          <w:szCs w:val="24"/>
          <w:lang w:val="en-US"/>
        </w:rPr>
        <w:tab/>
      </w:r>
      <w:r w:rsidR="00175CD6" w:rsidRPr="00860603">
        <w:rPr>
          <w:rFonts w:ascii="Arial" w:hAnsi="Arial" w:cs="Arial"/>
          <w:sz w:val="24"/>
          <w:szCs w:val="24"/>
          <w:lang w:val="en-US"/>
        </w:rPr>
        <w:t xml:space="preserve">Section 168(3) of the Constitution provides: </w:t>
      </w:r>
    </w:p>
    <w:p w14:paraId="3E4F767C" w14:textId="503A233C" w:rsidR="00175CD6" w:rsidRPr="00860603" w:rsidRDefault="00175CD6" w:rsidP="00B05C8E">
      <w:pPr>
        <w:rPr>
          <w:rFonts w:ascii="Arial" w:hAnsi="Arial" w:cs="Arial"/>
          <w:lang w:val="en-US"/>
        </w:rPr>
      </w:pPr>
      <w:r w:rsidRPr="00860603">
        <w:rPr>
          <w:rFonts w:ascii="Arial" w:hAnsi="Arial" w:cs="Arial"/>
          <w:lang w:val="en-US"/>
        </w:rPr>
        <w:lastRenderedPageBreak/>
        <w:t>‘</w:t>
      </w:r>
      <w:r w:rsidRPr="00860603">
        <w:rPr>
          <w:rFonts w:ascii="Arial" w:hAnsi="Arial" w:cs="Arial"/>
          <w:i/>
          <w:lang w:val="en-US"/>
        </w:rPr>
        <w:t>(a)</w:t>
      </w:r>
      <w:r w:rsidRPr="00860603">
        <w:rPr>
          <w:rFonts w:ascii="Arial" w:hAnsi="Arial" w:cs="Arial"/>
          <w:lang w:val="en-US"/>
        </w:rPr>
        <w:tab/>
        <w:t>The Supreme Court of Appeal may decide appeals in any matter arising from the High Court of South Africa or a court of a status similar to the High Court of South Africa, except in respect of labour or competition matters to such extent as may be determined by an Act of Parliament.</w:t>
      </w:r>
    </w:p>
    <w:p w14:paraId="6166A543" w14:textId="549991F7" w:rsidR="00175CD6" w:rsidRPr="00860603" w:rsidRDefault="00175CD6" w:rsidP="00B05C8E">
      <w:pPr>
        <w:rPr>
          <w:rFonts w:ascii="Arial" w:hAnsi="Arial" w:cs="Arial"/>
          <w:lang w:val="en-US"/>
        </w:rPr>
      </w:pPr>
      <w:r w:rsidRPr="00860603">
        <w:rPr>
          <w:rFonts w:ascii="Arial" w:hAnsi="Arial" w:cs="Arial"/>
          <w:i/>
          <w:lang w:val="en-US"/>
        </w:rPr>
        <w:t>(b)</w:t>
      </w:r>
      <w:r w:rsidRPr="00860603">
        <w:rPr>
          <w:rFonts w:ascii="Arial" w:hAnsi="Arial" w:cs="Arial"/>
          <w:i/>
          <w:lang w:val="en-US"/>
        </w:rPr>
        <w:tab/>
      </w:r>
      <w:r w:rsidRPr="00860603">
        <w:rPr>
          <w:rFonts w:ascii="Arial" w:hAnsi="Arial" w:cs="Arial"/>
          <w:lang w:val="en-US"/>
        </w:rPr>
        <w:t xml:space="preserve">The Supreme Court of Appeal may decide only – </w:t>
      </w:r>
    </w:p>
    <w:p w14:paraId="2281A3AC" w14:textId="0CD6E2A0" w:rsidR="00175CD6" w:rsidRPr="00860603" w:rsidRDefault="00175CD6" w:rsidP="00B05C8E">
      <w:pPr>
        <w:rPr>
          <w:rFonts w:ascii="Arial" w:hAnsi="Arial" w:cs="Arial"/>
          <w:lang w:val="en-US"/>
        </w:rPr>
      </w:pPr>
      <w:r w:rsidRPr="00860603">
        <w:rPr>
          <w:rFonts w:ascii="Arial" w:hAnsi="Arial" w:cs="Arial"/>
          <w:lang w:val="en-US"/>
        </w:rPr>
        <w:t>(i)</w:t>
      </w:r>
      <w:r w:rsidRPr="00860603">
        <w:rPr>
          <w:rFonts w:ascii="Arial" w:hAnsi="Arial" w:cs="Arial"/>
          <w:lang w:val="en-US"/>
        </w:rPr>
        <w:tab/>
        <w:t xml:space="preserve">appeals; </w:t>
      </w:r>
    </w:p>
    <w:p w14:paraId="3111A43F" w14:textId="77B9F43D" w:rsidR="00175CD6" w:rsidRPr="00860603" w:rsidRDefault="00175CD6" w:rsidP="00B05C8E">
      <w:pPr>
        <w:rPr>
          <w:rFonts w:ascii="Arial" w:hAnsi="Arial" w:cs="Arial"/>
          <w:lang w:val="en-US"/>
        </w:rPr>
      </w:pPr>
      <w:r w:rsidRPr="00860603">
        <w:rPr>
          <w:rFonts w:ascii="Arial" w:hAnsi="Arial" w:cs="Arial"/>
          <w:lang w:val="en-US"/>
        </w:rPr>
        <w:t>(ii)</w:t>
      </w:r>
      <w:r w:rsidRPr="00860603">
        <w:rPr>
          <w:rFonts w:ascii="Arial" w:hAnsi="Arial" w:cs="Arial"/>
          <w:lang w:val="en-US"/>
        </w:rPr>
        <w:tab/>
        <w:t>issues connected with appeals; and</w:t>
      </w:r>
    </w:p>
    <w:p w14:paraId="5E0EC575" w14:textId="6D36E193" w:rsidR="00175CD6" w:rsidRPr="00860603" w:rsidRDefault="00175CD6" w:rsidP="00EB12F4">
      <w:pPr>
        <w:ind w:left="720" w:hanging="720"/>
        <w:rPr>
          <w:rFonts w:ascii="Arial" w:hAnsi="Arial" w:cs="Arial"/>
          <w:lang w:val="en-US"/>
        </w:rPr>
      </w:pPr>
      <w:r w:rsidRPr="00860603">
        <w:rPr>
          <w:rFonts w:ascii="Arial" w:hAnsi="Arial" w:cs="Arial"/>
          <w:lang w:val="en-US"/>
        </w:rPr>
        <w:t>(iii)</w:t>
      </w:r>
      <w:r w:rsidRPr="00860603">
        <w:rPr>
          <w:rFonts w:ascii="Arial" w:hAnsi="Arial" w:cs="Arial"/>
          <w:lang w:val="en-US"/>
        </w:rPr>
        <w:tab/>
        <w:t>any other matter that may be referred to it in circumstances defined by an Act of Parliament</w:t>
      </w:r>
      <w:r w:rsidR="00E9679B" w:rsidRPr="00860603">
        <w:rPr>
          <w:rFonts w:ascii="Arial" w:hAnsi="Arial" w:cs="Arial"/>
          <w:lang w:val="en-US"/>
        </w:rPr>
        <w:t>.</w:t>
      </w:r>
      <w:r w:rsidR="00A32E01" w:rsidRPr="00860603">
        <w:rPr>
          <w:rFonts w:ascii="Arial" w:hAnsi="Arial" w:cs="Arial"/>
          <w:lang w:val="en-US"/>
        </w:rPr>
        <w:t>’</w:t>
      </w:r>
    </w:p>
    <w:p w14:paraId="6D78A9EE" w14:textId="5A3E60A7" w:rsidR="00A32E01" w:rsidRPr="00860603" w:rsidRDefault="00A32E01" w:rsidP="00A32E01">
      <w:pPr>
        <w:rPr>
          <w:rFonts w:ascii="Arial" w:hAnsi="Arial" w:cs="Arial"/>
          <w:sz w:val="24"/>
          <w:szCs w:val="24"/>
          <w:lang w:val="en-US"/>
        </w:rPr>
      </w:pPr>
      <w:r w:rsidRPr="00860603">
        <w:rPr>
          <w:rFonts w:ascii="Arial" w:hAnsi="Arial" w:cs="Arial"/>
          <w:sz w:val="24"/>
          <w:szCs w:val="24"/>
          <w:lang w:val="en-US"/>
        </w:rPr>
        <w:t>In terms of s 171 of the Constitution</w:t>
      </w:r>
      <w:r w:rsidR="00CB0DD5" w:rsidRPr="00860603">
        <w:rPr>
          <w:rFonts w:ascii="Arial" w:hAnsi="Arial" w:cs="Arial"/>
          <w:sz w:val="24"/>
          <w:szCs w:val="24"/>
          <w:lang w:val="en-US"/>
        </w:rPr>
        <w:t>,</w:t>
      </w:r>
      <w:r w:rsidRPr="00860603">
        <w:rPr>
          <w:rFonts w:ascii="Arial" w:hAnsi="Arial" w:cs="Arial"/>
          <w:sz w:val="24"/>
          <w:szCs w:val="24"/>
          <w:lang w:val="en-US"/>
        </w:rPr>
        <w:t xml:space="preserve"> all courts function in terms of national legislation and their rules and procedures must be provided for in terms of national legislation. In </w:t>
      </w:r>
      <w:r w:rsidRPr="00860603">
        <w:rPr>
          <w:rFonts w:ascii="Arial" w:hAnsi="Arial" w:cs="Arial"/>
          <w:i/>
          <w:sz w:val="24"/>
          <w:szCs w:val="24"/>
          <w:lang w:val="en-US"/>
        </w:rPr>
        <w:t>Western Areas</w:t>
      </w:r>
      <w:r w:rsidRPr="00860603">
        <w:rPr>
          <w:rFonts w:ascii="Arial" w:hAnsi="Arial" w:cs="Arial"/>
          <w:sz w:val="24"/>
          <w:szCs w:val="24"/>
          <w:lang w:val="en-US"/>
        </w:rPr>
        <w:t xml:space="preserve"> para 16, Howie P explained that this meant that ‘</w:t>
      </w:r>
      <w:r w:rsidR="00086BF9" w:rsidRPr="00860603">
        <w:rPr>
          <w:rFonts w:ascii="Arial" w:hAnsi="Arial" w:cs="Arial"/>
          <w:sz w:val="24"/>
          <w:szCs w:val="24"/>
          <w:lang w:val="en-US"/>
        </w:rPr>
        <w:t xml:space="preserve">. . . </w:t>
      </w:r>
      <w:r w:rsidRPr="00860603">
        <w:rPr>
          <w:rFonts w:ascii="Arial" w:hAnsi="Arial" w:cs="Arial"/>
          <w:sz w:val="24"/>
          <w:szCs w:val="24"/>
          <w:lang w:val="en-US"/>
        </w:rPr>
        <w:t xml:space="preserve">one cannot look at s 168(3) alone because it does not bear on appealability. One has to look at s 171 of the Constitution and that leads one, </w:t>
      </w:r>
      <w:r w:rsidRPr="00860603">
        <w:rPr>
          <w:rFonts w:ascii="Arial" w:hAnsi="Arial" w:cs="Arial"/>
          <w:i/>
          <w:sz w:val="24"/>
          <w:szCs w:val="24"/>
          <w:lang w:val="en-US"/>
        </w:rPr>
        <w:t>inter alia</w:t>
      </w:r>
      <w:r w:rsidR="006D4EB9" w:rsidRPr="00860603">
        <w:rPr>
          <w:rFonts w:ascii="Arial" w:hAnsi="Arial" w:cs="Arial"/>
          <w:sz w:val="24"/>
          <w:szCs w:val="24"/>
          <w:lang w:val="en-US"/>
        </w:rPr>
        <w:t>,</w:t>
      </w:r>
      <w:r w:rsidRPr="00860603">
        <w:rPr>
          <w:rFonts w:ascii="Arial" w:hAnsi="Arial" w:cs="Arial"/>
          <w:sz w:val="24"/>
          <w:szCs w:val="24"/>
          <w:lang w:val="en-US"/>
        </w:rPr>
        <w:t xml:space="preserve"> to the Supreme Court Act’. </w:t>
      </w:r>
    </w:p>
    <w:p w14:paraId="432D68A5" w14:textId="77777777" w:rsidR="00656FB9" w:rsidRPr="00860603" w:rsidRDefault="00656FB9" w:rsidP="00B05C8E">
      <w:pPr>
        <w:rPr>
          <w:rFonts w:ascii="Arial" w:hAnsi="Arial" w:cs="Arial"/>
          <w:sz w:val="24"/>
          <w:szCs w:val="24"/>
          <w:lang w:val="en-US"/>
        </w:rPr>
      </w:pPr>
    </w:p>
    <w:p w14:paraId="0B138CBC" w14:textId="0972689A" w:rsidR="007C47B0" w:rsidRPr="00860603" w:rsidRDefault="00656FB9" w:rsidP="00614F9D">
      <w:pPr>
        <w:rPr>
          <w:rFonts w:ascii="Arial" w:hAnsi="Arial" w:cs="Arial"/>
          <w:lang w:val="en-US"/>
        </w:rPr>
      </w:pPr>
      <w:r w:rsidRPr="00860603">
        <w:rPr>
          <w:rFonts w:ascii="Arial" w:hAnsi="Arial" w:cs="Arial"/>
          <w:sz w:val="24"/>
          <w:szCs w:val="24"/>
          <w:lang w:val="en-US"/>
        </w:rPr>
        <w:t>[15]</w:t>
      </w:r>
      <w:r w:rsidRPr="00860603">
        <w:rPr>
          <w:rFonts w:ascii="Arial" w:hAnsi="Arial" w:cs="Arial"/>
          <w:sz w:val="24"/>
          <w:szCs w:val="24"/>
          <w:lang w:val="en-US"/>
        </w:rPr>
        <w:tab/>
      </w:r>
      <w:r w:rsidR="006D4EB9" w:rsidRPr="00860603">
        <w:rPr>
          <w:rFonts w:ascii="Arial" w:hAnsi="Arial" w:cs="Arial"/>
          <w:sz w:val="24"/>
          <w:szCs w:val="24"/>
          <w:lang w:val="en-US"/>
        </w:rPr>
        <w:t xml:space="preserve">The Superior Courts Act 10 of 2013 </w:t>
      </w:r>
      <w:r w:rsidR="00E25AF7" w:rsidRPr="00860603">
        <w:rPr>
          <w:rFonts w:ascii="Arial" w:hAnsi="Arial" w:cs="Arial"/>
          <w:sz w:val="24"/>
          <w:szCs w:val="24"/>
          <w:lang w:val="en-US"/>
        </w:rPr>
        <w:t xml:space="preserve">(the Superior Courts Act) </w:t>
      </w:r>
      <w:r w:rsidR="006D4EB9" w:rsidRPr="00860603">
        <w:rPr>
          <w:rFonts w:ascii="Arial" w:hAnsi="Arial" w:cs="Arial"/>
          <w:sz w:val="24"/>
          <w:szCs w:val="24"/>
          <w:lang w:val="en-US"/>
        </w:rPr>
        <w:t xml:space="preserve">repealed the Supreme Court Act 59 of 1959 with effect from 23 August 2013. All </w:t>
      </w:r>
      <w:r w:rsidR="00CB0DD5" w:rsidRPr="00860603">
        <w:rPr>
          <w:rFonts w:ascii="Arial" w:hAnsi="Arial" w:cs="Arial"/>
          <w:sz w:val="24"/>
          <w:szCs w:val="24"/>
          <w:lang w:val="en-US"/>
        </w:rPr>
        <w:t xml:space="preserve">of </w:t>
      </w:r>
      <w:r w:rsidR="006D4EB9" w:rsidRPr="00860603">
        <w:rPr>
          <w:rFonts w:ascii="Arial" w:hAnsi="Arial" w:cs="Arial"/>
          <w:sz w:val="24"/>
          <w:szCs w:val="24"/>
          <w:lang w:val="en-US"/>
        </w:rPr>
        <w:t>the applications that formed part of the consolidated application for certification were launched prior to the commencement of the Superior Courts Act. This raises the question whether the jurisdiction of this court to hear this matter remains to be determined under the repealed Supreme Court Ac</w:t>
      </w:r>
      <w:r w:rsidR="00AD7CBC" w:rsidRPr="00860603">
        <w:rPr>
          <w:rFonts w:ascii="Arial" w:hAnsi="Arial" w:cs="Arial"/>
          <w:sz w:val="24"/>
          <w:szCs w:val="24"/>
          <w:lang w:val="en-US"/>
        </w:rPr>
        <w:t>t</w:t>
      </w:r>
      <w:r w:rsidR="006D4EB9" w:rsidRPr="00860603">
        <w:rPr>
          <w:rFonts w:ascii="Arial" w:hAnsi="Arial" w:cs="Arial"/>
          <w:sz w:val="24"/>
          <w:szCs w:val="24"/>
          <w:lang w:val="en-US"/>
        </w:rPr>
        <w:t xml:space="preserve">. </w:t>
      </w:r>
      <w:r w:rsidR="00CB0DD5" w:rsidRPr="00860603">
        <w:rPr>
          <w:rFonts w:ascii="Arial" w:hAnsi="Arial" w:cs="Arial"/>
          <w:sz w:val="24"/>
          <w:szCs w:val="24"/>
          <w:lang w:val="en-US"/>
        </w:rPr>
        <w:t xml:space="preserve">As will soon become apparent, it would make no material difference whether the issue of appealability is determined under the Superior Courts Act or its predecessor. </w:t>
      </w:r>
    </w:p>
    <w:p w14:paraId="2F706F40" w14:textId="77777777" w:rsidR="007C47B0" w:rsidRPr="00860603" w:rsidRDefault="007C47B0" w:rsidP="00B05C8E">
      <w:pPr>
        <w:rPr>
          <w:rFonts w:ascii="Arial" w:hAnsi="Arial" w:cs="Arial"/>
          <w:lang w:val="en-US"/>
        </w:rPr>
      </w:pPr>
    </w:p>
    <w:p w14:paraId="5341ED14" w14:textId="4497D210" w:rsidR="007A5EF8" w:rsidRPr="00860603" w:rsidRDefault="00577673" w:rsidP="00B05C8E">
      <w:pPr>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1E6322" w:rsidRPr="00860603">
        <w:rPr>
          <w:rFonts w:ascii="Arial" w:hAnsi="Arial" w:cs="Arial"/>
          <w:sz w:val="24"/>
          <w:szCs w:val="24"/>
          <w:lang w:val="en-US"/>
        </w:rPr>
        <w:t>Section</w:t>
      </w:r>
      <w:r w:rsidR="00E71A73">
        <w:rPr>
          <w:rFonts w:ascii="Arial" w:hAnsi="Arial" w:cs="Arial"/>
          <w:sz w:val="24"/>
          <w:szCs w:val="24"/>
          <w:lang w:val="en-US"/>
        </w:rPr>
        <w:t xml:space="preserve"> </w:t>
      </w:r>
      <w:r w:rsidR="007A5EF8" w:rsidRPr="00860603">
        <w:rPr>
          <w:rFonts w:ascii="Arial" w:hAnsi="Arial" w:cs="Arial"/>
          <w:sz w:val="24"/>
          <w:szCs w:val="24"/>
          <w:lang w:val="en-US"/>
        </w:rPr>
        <w:t>16(1)</w:t>
      </w:r>
      <w:r w:rsidR="007A5EF8" w:rsidRPr="00860603">
        <w:rPr>
          <w:rFonts w:ascii="Arial" w:hAnsi="Arial" w:cs="Arial"/>
          <w:i/>
          <w:sz w:val="24"/>
          <w:szCs w:val="24"/>
          <w:lang w:val="en-US"/>
        </w:rPr>
        <w:t>(a)</w:t>
      </w:r>
      <w:r w:rsidR="007A5EF8" w:rsidRPr="00860603">
        <w:rPr>
          <w:rFonts w:ascii="Arial" w:hAnsi="Arial" w:cs="Arial"/>
          <w:sz w:val="24"/>
          <w:szCs w:val="24"/>
          <w:lang w:val="en-US"/>
        </w:rPr>
        <w:t xml:space="preserve"> of the Superior Courts Act provides: </w:t>
      </w:r>
    </w:p>
    <w:p w14:paraId="7D9D921C" w14:textId="633A7846" w:rsidR="006B000F" w:rsidRPr="00860603" w:rsidRDefault="006B000F" w:rsidP="00B05C8E">
      <w:pPr>
        <w:rPr>
          <w:rFonts w:ascii="Arial" w:hAnsi="Arial" w:cs="Arial"/>
          <w:lang w:val="en-US"/>
        </w:rPr>
      </w:pPr>
      <w:r w:rsidRPr="00860603">
        <w:rPr>
          <w:rFonts w:ascii="Arial" w:hAnsi="Arial" w:cs="Arial"/>
          <w:lang w:val="en-US"/>
        </w:rPr>
        <w:t>‘(1)</w:t>
      </w:r>
      <w:r w:rsidR="00B504C9" w:rsidRPr="00860603">
        <w:rPr>
          <w:rFonts w:ascii="Arial" w:hAnsi="Arial" w:cs="Arial"/>
          <w:lang w:val="en-US"/>
        </w:rPr>
        <w:t xml:space="preserve"> </w:t>
      </w:r>
      <w:r w:rsidRPr="00860603">
        <w:rPr>
          <w:rFonts w:ascii="Arial" w:hAnsi="Arial" w:cs="Arial"/>
          <w:lang w:val="en-US"/>
        </w:rPr>
        <w:t>Subject to section 15(1), the Constitution and any other law</w:t>
      </w:r>
      <w:r w:rsidR="00B504C9" w:rsidRPr="00860603">
        <w:rPr>
          <w:rFonts w:ascii="Arial" w:hAnsi="Arial" w:cs="Arial"/>
          <w:lang w:val="en-US"/>
        </w:rPr>
        <w:t xml:space="preserve"> - </w:t>
      </w:r>
    </w:p>
    <w:p w14:paraId="4897E0C8" w14:textId="44098D11" w:rsidR="009C11E0" w:rsidRPr="00860603" w:rsidRDefault="006B000F" w:rsidP="00B504C9">
      <w:pPr>
        <w:ind w:hanging="11"/>
        <w:rPr>
          <w:rFonts w:ascii="Arial" w:hAnsi="Arial" w:cs="Arial"/>
          <w:sz w:val="24"/>
          <w:szCs w:val="24"/>
          <w:lang w:val="en-US"/>
        </w:rPr>
      </w:pPr>
      <w:r w:rsidRPr="00860603">
        <w:rPr>
          <w:rFonts w:ascii="Arial" w:hAnsi="Arial" w:cs="Arial"/>
          <w:i/>
          <w:lang w:val="en-US"/>
        </w:rPr>
        <w:t>(a)</w:t>
      </w:r>
      <w:r w:rsidR="00B504C9" w:rsidRPr="00860603">
        <w:rPr>
          <w:rFonts w:ascii="Arial" w:hAnsi="Arial" w:cs="Arial"/>
          <w:i/>
          <w:lang w:val="en-US"/>
        </w:rPr>
        <w:t xml:space="preserve"> </w:t>
      </w:r>
      <w:r w:rsidRPr="00860603">
        <w:rPr>
          <w:rFonts w:ascii="Arial" w:hAnsi="Arial" w:cs="Arial"/>
          <w:lang w:val="en-US"/>
        </w:rPr>
        <w:t>an appeal against any decision of a Division as a court of first instance lies, upon leave having been granted</w:t>
      </w:r>
      <w:r w:rsidR="00B504C9" w:rsidRPr="00860603">
        <w:rPr>
          <w:rFonts w:ascii="Arial" w:hAnsi="Arial" w:cs="Arial"/>
          <w:sz w:val="24"/>
          <w:szCs w:val="24"/>
          <w:lang w:val="en-US"/>
        </w:rPr>
        <w:t xml:space="preserve"> – </w:t>
      </w:r>
    </w:p>
    <w:p w14:paraId="3C51D455" w14:textId="3D75AEC0" w:rsidR="006B000F" w:rsidRPr="00860603" w:rsidRDefault="006B000F" w:rsidP="00B504C9">
      <w:pPr>
        <w:ind w:left="720"/>
        <w:rPr>
          <w:rFonts w:ascii="Arial" w:hAnsi="Arial" w:cs="Arial"/>
          <w:lang w:val="en-US"/>
        </w:rPr>
      </w:pPr>
      <w:r w:rsidRPr="00860603">
        <w:rPr>
          <w:rFonts w:ascii="Arial" w:hAnsi="Arial" w:cs="Arial"/>
          <w:lang w:val="en-US"/>
        </w:rPr>
        <w:t>(i)</w:t>
      </w:r>
      <w:r w:rsidR="00B504C9" w:rsidRPr="00860603">
        <w:rPr>
          <w:rFonts w:ascii="Arial" w:hAnsi="Arial" w:cs="Arial"/>
          <w:lang w:val="en-US"/>
        </w:rPr>
        <w:t xml:space="preserve"> </w:t>
      </w:r>
      <w:r w:rsidRPr="00860603">
        <w:rPr>
          <w:rFonts w:ascii="Arial" w:hAnsi="Arial" w:cs="Arial"/>
          <w:lang w:val="en-US"/>
        </w:rPr>
        <w:t xml:space="preserve">if the court consisted of a single judge, either to the Supreme Court of Appeal or to a full court of that Division, depending on the direction issued in </w:t>
      </w:r>
      <w:r w:rsidR="00D02631" w:rsidRPr="00860603">
        <w:rPr>
          <w:rFonts w:ascii="Arial" w:hAnsi="Arial" w:cs="Arial"/>
          <w:lang w:val="en-US"/>
        </w:rPr>
        <w:t>terms of section 17(6); or</w:t>
      </w:r>
    </w:p>
    <w:p w14:paraId="66BB04FA" w14:textId="66BDD2F7" w:rsidR="00D02631" w:rsidRPr="00860603" w:rsidRDefault="00D02631" w:rsidP="006B000F">
      <w:pPr>
        <w:ind w:left="720" w:hanging="720"/>
        <w:rPr>
          <w:rFonts w:ascii="Arial" w:hAnsi="Arial" w:cs="Arial"/>
          <w:lang w:val="en-US"/>
        </w:rPr>
      </w:pPr>
      <w:r w:rsidRPr="00860603">
        <w:rPr>
          <w:rFonts w:ascii="Arial" w:hAnsi="Arial" w:cs="Arial"/>
          <w:lang w:val="en-US"/>
        </w:rPr>
        <w:tab/>
        <w:t>(ii)</w:t>
      </w:r>
      <w:r w:rsidR="00B504C9" w:rsidRPr="00860603">
        <w:rPr>
          <w:rFonts w:ascii="Arial" w:hAnsi="Arial" w:cs="Arial"/>
          <w:lang w:val="en-US"/>
        </w:rPr>
        <w:t xml:space="preserve"> </w:t>
      </w:r>
      <w:r w:rsidRPr="00860603">
        <w:rPr>
          <w:rFonts w:ascii="Arial" w:hAnsi="Arial" w:cs="Arial"/>
          <w:lang w:val="en-US"/>
        </w:rPr>
        <w:t>if the cour</w:t>
      </w:r>
      <w:r w:rsidR="006F0BFC" w:rsidRPr="00860603">
        <w:rPr>
          <w:rFonts w:ascii="Arial" w:hAnsi="Arial" w:cs="Arial"/>
          <w:lang w:val="en-US"/>
        </w:rPr>
        <w:t>t consisted of more than one judge, to the Supreme Court of Appeal.’</w:t>
      </w:r>
    </w:p>
    <w:p w14:paraId="796F9131" w14:textId="77777777" w:rsidR="00802BF7" w:rsidRPr="00860603" w:rsidRDefault="00802BF7" w:rsidP="00B05C8E">
      <w:pPr>
        <w:rPr>
          <w:rFonts w:ascii="Arial" w:hAnsi="Arial" w:cs="Arial"/>
          <w:sz w:val="24"/>
          <w:szCs w:val="24"/>
          <w:lang w:val="en-US"/>
        </w:rPr>
      </w:pPr>
    </w:p>
    <w:p w14:paraId="04520302" w14:textId="70C635FB" w:rsidR="00A16AC1" w:rsidRPr="00860603" w:rsidRDefault="00244C11" w:rsidP="00614F9D">
      <w:pPr>
        <w:rPr>
          <w:rFonts w:ascii="Arial" w:hAnsi="Arial" w:cs="Arial"/>
          <w:sz w:val="24"/>
          <w:szCs w:val="24"/>
          <w:lang w:val="en-US"/>
        </w:rPr>
      </w:pPr>
      <w:r>
        <w:rPr>
          <w:rFonts w:ascii="Arial" w:hAnsi="Arial" w:cs="Arial"/>
          <w:sz w:val="24"/>
          <w:szCs w:val="24"/>
          <w:lang w:val="en-US"/>
        </w:rPr>
        <w:t>[17</w:t>
      </w:r>
      <w:r w:rsidR="00802BF7" w:rsidRPr="00860603">
        <w:rPr>
          <w:rFonts w:ascii="Arial" w:hAnsi="Arial" w:cs="Arial"/>
          <w:sz w:val="24"/>
          <w:szCs w:val="24"/>
          <w:lang w:val="en-US"/>
        </w:rPr>
        <w:t>]</w:t>
      </w:r>
      <w:r w:rsidR="00802BF7" w:rsidRPr="00860603">
        <w:rPr>
          <w:rFonts w:ascii="Arial" w:hAnsi="Arial" w:cs="Arial"/>
          <w:sz w:val="24"/>
          <w:szCs w:val="24"/>
          <w:lang w:val="en-US"/>
        </w:rPr>
        <w:tab/>
      </w:r>
      <w:r w:rsidR="00DC67AD" w:rsidRPr="00860603">
        <w:rPr>
          <w:rFonts w:ascii="Arial" w:hAnsi="Arial" w:cs="Arial"/>
          <w:sz w:val="24"/>
          <w:szCs w:val="24"/>
          <w:lang w:val="en-US"/>
        </w:rPr>
        <w:t xml:space="preserve">Similar to the position under the Supreme Court Act, the jurisdictional requirements for a civil appeal from the </w:t>
      </w:r>
      <w:r w:rsidR="00206EB6" w:rsidRPr="00860603">
        <w:rPr>
          <w:rFonts w:ascii="Arial" w:hAnsi="Arial" w:cs="Arial"/>
          <w:sz w:val="24"/>
          <w:szCs w:val="24"/>
          <w:lang w:val="en-US"/>
        </w:rPr>
        <w:t>H</w:t>
      </w:r>
      <w:r w:rsidR="00DC67AD" w:rsidRPr="00860603">
        <w:rPr>
          <w:rFonts w:ascii="Arial" w:hAnsi="Arial" w:cs="Arial"/>
          <w:sz w:val="24"/>
          <w:szCs w:val="24"/>
          <w:lang w:val="en-US"/>
        </w:rPr>
        <w:t xml:space="preserve">igh </w:t>
      </w:r>
      <w:r w:rsidR="00206EB6" w:rsidRPr="00860603">
        <w:rPr>
          <w:rFonts w:ascii="Arial" w:hAnsi="Arial" w:cs="Arial"/>
          <w:sz w:val="24"/>
          <w:szCs w:val="24"/>
          <w:lang w:val="en-US"/>
        </w:rPr>
        <w:t>C</w:t>
      </w:r>
      <w:r w:rsidR="00DC67AD" w:rsidRPr="00860603">
        <w:rPr>
          <w:rFonts w:ascii="Arial" w:hAnsi="Arial" w:cs="Arial"/>
          <w:sz w:val="24"/>
          <w:szCs w:val="24"/>
          <w:lang w:val="en-US"/>
        </w:rPr>
        <w:t xml:space="preserve">ourt sitting as a court of first instance </w:t>
      </w:r>
      <w:r w:rsidR="00DC67AD" w:rsidRPr="00860603">
        <w:rPr>
          <w:rFonts w:ascii="Arial" w:hAnsi="Arial" w:cs="Arial"/>
          <w:sz w:val="24"/>
          <w:szCs w:val="24"/>
          <w:lang w:val="en-US"/>
        </w:rPr>
        <w:lastRenderedPageBreak/>
        <w:t xml:space="preserve">are twofold. See </w:t>
      </w:r>
      <w:r w:rsidR="00DC67AD" w:rsidRPr="00860603">
        <w:rPr>
          <w:rFonts w:ascii="Arial" w:hAnsi="Arial" w:cs="Arial"/>
          <w:i/>
          <w:sz w:val="24"/>
          <w:szCs w:val="24"/>
          <w:lang w:val="en-US"/>
        </w:rPr>
        <w:t>Zweni v Minister of Law and Order</w:t>
      </w:r>
      <w:r w:rsidR="00DC67AD" w:rsidRPr="00860603">
        <w:rPr>
          <w:rFonts w:ascii="Arial" w:hAnsi="Arial" w:cs="Arial"/>
          <w:sz w:val="24"/>
          <w:szCs w:val="24"/>
          <w:lang w:val="en-US"/>
        </w:rPr>
        <w:t xml:space="preserve"> 1993 (1) SA 523 </w:t>
      </w:r>
      <w:r w:rsidR="00B504C9" w:rsidRPr="00860603">
        <w:rPr>
          <w:rFonts w:ascii="Arial" w:hAnsi="Arial" w:cs="Arial"/>
          <w:sz w:val="24"/>
          <w:szCs w:val="24"/>
          <w:lang w:val="en-US"/>
        </w:rPr>
        <w:t>(</w:t>
      </w:r>
      <w:r w:rsidR="00DC67AD" w:rsidRPr="00860603">
        <w:rPr>
          <w:rFonts w:ascii="Arial" w:hAnsi="Arial" w:cs="Arial"/>
          <w:sz w:val="24"/>
          <w:szCs w:val="24"/>
          <w:lang w:val="en-US"/>
        </w:rPr>
        <w:t>A</w:t>
      </w:r>
      <w:r w:rsidR="00B504C9" w:rsidRPr="00860603">
        <w:rPr>
          <w:rFonts w:ascii="Arial" w:hAnsi="Arial" w:cs="Arial"/>
          <w:sz w:val="24"/>
          <w:szCs w:val="24"/>
          <w:lang w:val="en-US"/>
        </w:rPr>
        <w:t>)</w:t>
      </w:r>
      <w:r w:rsidR="00DC67AD" w:rsidRPr="00860603">
        <w:rPr>
          <w:rFonts w:ascii="Arial" w:hAnsi="Arial" w:cs="Arial"/>
          <w:sz w:val="24"/>
          <w:szCs w:val="24"/>
          <w:lang w:val="en-US"/>
        </w:rPr>
        <w:t xml:space="preserve"> (</w:t>
      </w:r>
      <w:r w:rsidR="00DC67AD" w:rsidRPr="00860603">
        <w:rPr>
          <w:rFonts w:ascii="Arial" w:hAnsi="Arial" w:cs="Arial"/>
          <w:i/>
          <w:sz w:val="24"/>
          <w:szCs w:val="24"/>
          <w:lang w:val="en-US"/>
        </w:rPr>
        <w:t>Zweni</w:t>
      </w:r>
      <w:r w:rsidR="00DC67AD" w:rsidRPr="00860603">
        <w:rPr>
          <w:rFonts w:ascii="Arial" w:hAnsi="Arial" w:cs="Arial"/>
          <w:sz w:val="24"/>
          <w:szCs w:val="24"/>
          <w:lang w:val="en-US"/>
        </w:rPr>
        <w:t xml:space="preserve">) at 531B-C. These are that: </w:t>
      </w:r>
    </w:p>
    <w:p w14:paraId="46F7BD69" w14:textId="69844E95" w:rsidR="00DC67AD" w:rsidRPr="00860603" w:rsidRDefault="00DC67AD" w:rsidP="00614F9D">
      <w:pPr>
        <w:rPr>
          <w:rFonts w:ascii="Arial" w:hAnsi="Arial" w:cs="Arial"/>
          <w:sz w:val="24"/>
          <w:szCs w:val="24"/>
          <w:lang w:val="en-US"/>
        </w:rPr>
      </w:pPr>
      <w:r w:rsidRPr="00860603">
        <w:rPr>
          <w:rFonts w:ascii="Arial" w:hAnsi="Arial" w:cs="Arial"/>
          <w:sz w:val="24"/>
          <w:szCs w:val="24"/>
          <w:lang w:val="en-US"/>
        </w:rPr>
        <w:t>(a)</w:t>
      </w:r>
      <w:r w:rsidR="00B504C9" w:rsidRPr="00860603">
        <w:rPr>
          <w:rFonts w:ascii="Arial" w:hAnsi="Arial" w:cs="Arial"/>
          <w:sz w:val="24"/>
          <w:szCs w:val="24"/>
          <w:lang w:val="en-US"/>
        </w:rPr>
        <w:t xml:space="preserve"> </w:t>
      </w:r>
      <w:r w:rsidRPr="00860603">
        <w:rPr>
          <w:rFonts w:ascii="Arial" w:hAnsi="Arial" w:cs="Arial"/>
          <w:sz w:val="24"/>
          <w:szCs w:val="24"/>
          <w:lang w:val="en-US"/>
        </w:rPr>
        <w:t xml:space="preserve">There is a ‘decision’ of the </w:t>
      </w:r>
      <w:r w:rsidR="00B504C9" w:rsidRPr="00860603">
        <w:rPr>
          <w:rFonts w:ascii="Arial" w:hAnsi="Arial" w:cs="Arial"/>
          <w:sz w:val="24"/>
          <w:szCs w:val="24"/>
          <w:lang w:val="en-US"/>
        </w:rPr>
        <w:t>hi</w:t>
      </w:r>
      <w:r w:rsidRPr="00860603">
        <w:rPr>
          <w:rFonts w:ascii="Arial" w:hAnsi="Arial" w:cs="Arial"/>
          <w:sz w:val="24"/>
          <w:szCs w:val="24"/>
          <w:lang w:val="en-US"/>
        </w:rPr>
        <w:t xml:space="preserve">gh </w:t>
      </w:r>
      <w:r w:rsidR="00B504C9" w:rsidRPr="00860603">
        <w:rPr>
          <w:rFonts w:ascii="Arial" w:hAnsi="Arial" w:cs="Arial"/>
          <w:sz w:val="24"/>
          <w:szCs w:val="24"/>
          <w:lang w:val="en-US"/>
        </w:rPr>
        <w:t>c</w:t>
      </w:r>
      <w:r w:rsidRPr="00860603">
        <w:rPr>
          <w:rFonts w:ascii="Arial" w:hAnsi="Arial" w:cs="Arial"/>
          <w:sz w:val="24"/>
          <w:szCs w:val="24"/>
          <w:lang w:val="en-US"/>
        </w:rPr>
        <w:t>ourt within the meaning of s 16(1)</w:t>
      </w:r>
      <w:r w:rsidRPr="00860603">
        <w:rPr>
          <w:rFonts w:ascii="Arial" w:hAnsi="Arial" w:cs="Arial"/>
          <w:i/>
          <w:sz w:val="24"/>
          <w:szCs w:val="24"/>
          <w:lang w:val="en-US"/>
        </w:rPr>
        <w:t>(a)</w:t>
      </w:r>
      <w:r w:rsidRPr="00860603">
        <w:rPr>
          <w:rFonts w:ascii="Arial" w:hAnsi="Arial" w:cs="Arial"/>
          <w:sz w:val="24"/>
          <w:szCs w:val="24"/>
          <w:lang w:val="en-US"/>
        </w:rPr>
        <w:t>; and</w:t>
      </w:r>
    </w:p>
    <w:p w14:paraId="0354C7A3" w14:textId="28091EFB" w:rsidR="00DC67AD" w:rsidRPr="00860603" w:rsidRDefault="00DC67AD" w:rsidP="00614F9D">
      <w:pPr>
        <w:rPr>
          <w:rFonts w:ascii="Arial" w:hAnsi="Arial" w:cs="Arial"/>
          <w:sz w:val="24"/>
          <w:szCs w:val="24"/>
          <w:lang w:val="en-US"/>
        </w:rPr>
      </w:pPr>
      <w:r w:rsidRPr="00860603">
        <w:rPr>
          <w:rFonts w:ascii="Arial" w:hAnsi="Arial" w:cs="Arial"/>
          <w:sz w:val="24"/>
          <w:szCs w:val="24"/>
          <w:lang w:val="en-US"/>
        </w:rPr>
        <w:t>(b)</w:t>
      </w:r>
      <w:r w:rsidR="00B504C9" w:rsidRPr="00860603">
        <w:rPr>
          <w:rFonts w:ascii="Arial" w:hAnsi="Arial" w:cs="Arial"/>
          <w:sz w:val="24"/>
          <w:szCs w:val="24"/>
          <w:lang w:val="en-US"/>
        </w:rPr>
        <w:t xml:space="preserve"> </w:t>
      </w:r>
      <w:r w:rsidRPr="00860603">
        <w:rPr>
          <w:rFonts w:ascii="Arial" w:hAnsi="Arial" w:cs="Arial"/>
          <w:sz w:val="24"/>
          <w:szCs w:val="24"/>
          <w:lang w:val="en-US"/>
        </w:rPr>
        <w:t xml:space="preserve">The required leave to appeal has been granted under s 17(2) by either the </w:t>
      </w:r>
      <w:r w:rsidR="00B504C9" w:rsidRPr="00860603">
        <w:rPr>
          <w:rFonts w:ascii="Arial" w:hAnsi="Arial" w:cs="Arial"/>
          <w:sz w:val="24"/>
          <w:szCs w:val="24"/>
          <w:lang w:val="en-US"/>
        </w:rPr>
        <w:t>h</w:t>
      </w:r>
      <w:r w:rsidRPr="00860603">
        <w:rPr>
          <w:rFonts w:ascii="Arial" w:hAnsi="Arial" w:cs="Arial"/>
          <w:sz w:val="24"/>
          <w:szCs w:val="24"/>
          <w:lang w:val="en-US"/>
        </w:rPr>
        <w:t xml:space="preserve">igh </w:t>
      </w:r>
      <w:r w:rsidR="00B504C9" w:rsidRPr="00860603">
        <w:rPr>
          <w:rFonts w:ascii="Arial" w:hAnsi="Arial" w:cs="Arial"/>
          <w:sz w:val="24"/>
          <w:szCs w:val="24"/>
          <w:lang w:val="en-US"/>
        </w:rPr>
        <w:t>c</w:t>
      </w:r>
      <w:r w:rsidRPr="00860603">
        <w:rPr>
          <w:rFonts w:ascii="Arial" w:hAnsi="Arial" w:cs="Arial"/>
          <w:sz w:val="24"/>
          <w:szCs w:val="24"/>
          <w:lang w:val="en-US"/>
        </w:rPr>
        <w:t xml:space="preserve">ourt or this court. </w:t>
      </w:r>
    </w:p>
    <w:p w14:paraId="68D20458" w14:textId="6003DAB5" w:rsidR="00DC67AD" w:rsidRPr="00860603" w:rsidRDefault="00DC67AD" w:rsidP="00614F9D">
      <w:pPr>
        <w:rPr>
          <w:rFonts w:ascii="Arial" w:hAnsi="Arial" w:cs="Arial"/>
        </w:rPr>
      </w:pPr>
      <w:r w:rsidRPr="00860603">
        <w:rPr>
          <w:rFonts w:ascii="Arial" w:hAnsi="Arial" w:cs="Arial"/>
          <w:sz w:val="24"/>
          <w:szCs w:val="24"/>
          <w:lang w:val="en-US"/>
        </w:rPr>
        <w:t xml:space="preserve">It goes without saying that both requirements must be present. See </w:t>
      </w:r>
      <w:r w:rsidRPr="00860603">
        <w:rPr>
          <w:rFonts w:ascii="Arial" w:hAnsi="Arial" w:cs="Arial"/>
          <w:i/>
          <w:sz w:val="24"/>
          <w:szCs w:val="24"/>
          <w:lang w:val="en-US"/>
        </w:rPr>
        <w:t xml:space="preserve">Cronshaw &amp; Another v </w:t>
      </w:r>
      <w:r w:rsidR="0014612A" w:rsidRPr="00860603">
        <w:rPr>
          <w:rFonts w:ascii="Arial" w:hAnsi="Arial" w:cs="Arial"/>
          <w:i/>
          <w:sz w:val="24"/>
          <w:szCs w:val="24"/>
          <w:lang w:val="en-US"/>
        </w:rPr>
        <w:t xml:space="preserve">Coin Security Group </w:t>
      </w:r>
      <w:r w:rsidRPr="00860603">
        <w:rPr>
          <w:rFonts w:ascii="Arial" w:hAnsi="Arial" w:cs="Arial"/>
          <w:i/>
          <w:sz w:val="24"/>
          <w:szCs w:val="24"/>
          <w:lang w:val="en-US"/>
        </w:rPr>
        <w:t>(Pty) Ltd</w:t>
      </w:r>
      <w:r w:rsidRPr="00860603">
        <w:rPr>
          <w:rFonts w:ascii="Arial" w:hAnsi="Arial" w:cs="Arial"/>
          <w:sz w:val="24"/>
          <w:szCs w:val="24"/>
          <w:lang w:val="en-US"/>
        </w:rPr>
        <w:t xml:space="preserve"> 1996 (3) SA 686 </w:t>
      </w:r>
      <w:r w:rsidR="0014612A" w:rsidRPr="00860603">
        <w:rPr>
          <w:rFonts w:ascii="Arial" w:hAnsi="Arial" w:cs="Arial"/>
          <w:sz w:val="24"/>
          <w:szCs w:val="24"/>
          <w:lang w:val="en-US"/>
        </w:rPr>
        <w:t>(</w:t>
      </w:r>
      <w:r w:rsidRPr="00860603">
        <w:rPr>
          <w:rFonts w:ascii="Arial" w:hAnsi="Arial" w:cs="Arial"/>
          <w:sz w:val="24"/>
          <w:szCs w:val="24"/>
          <w:lang w:val="en-US"/>
        </w:rPr>
        <w:t>A</w:t>
      </w:r>
      <w:r w:rsidR="0014612A" w:rsidRPr="00860603">
        <w:rPr>
          <w:rFonts w:ascii="Arial" w:hAnsi="Arial" w:cs="Arial"/>
          <w:sz w:val="24"/>
          <w:szCs w:val="24"/>
          <w:lang w:val="en-US"/>
        </w:rPr>
        <w:t>)</w:t>
      </w:r>
      <w:r w:rsidRPr="00860603">
        <w:rPr>
          <w:rFonts w:ascii="Arial" w:hAnsi="Arial" w:cs="Arial"/>
          <w:sz w:val="24"/>
          <w:szCs w:val="24"/>
          <w:lang w:val="en-US"/>
        </w:rPr>
        <w:t xml:space="preserve"> at 689C-D and </w:t>
      </w:r>
      <w:r w:rsidRPr="00860603">
        <w:rPr>
          <w:rFonts w:ascii="Arial" w:hAnsi="Arial" w:cs="Arial"/>
          <w:i/>
          <w:sz w:val="24"/>
          <w:szCs w:val="24"/>
          <w:lang w:val="en-US"/>
        </w:rPr>
        <w:t>National Director of Public Prosecutions v King</w:t>
      </w:r>
      <w:r w:rsidRPr="00860603">
        <w:rPr>
          <w:rFonts w:ascii="Arial" w:hAnsi="Arial" w:cs="Arial"/>
          <w:sz w:val="24"/>
          <w:szCs w:val="24"/>
          <w:lang w:val="en-US"/>
        </w:rPr>
        <w:t xml:space="preserve"> [2010] 3 All SA 304 </w:t>
      </w:r>
      <w:r w:rsidR="0014612A" w:rsidRPr="00860603">
        <w:rPr>
          <w:rFonts w:ascii="Arial" w:hAnsi="Arial" w:cs="Arial"/>
          <w:sz w:val="24"/>
          <w:szCs w:val="24"/>
          <w:lang w:val="en-US"/>
        </w:rPr>
        <w:t>(</w:t>
      </w:r>
      <w:r w:rsidRPr="00860603">
        <w:rPr>
          <w:rFonts w:ascii="Arial" w:hAnsi="Arial" w:cs="Arial"/>
          <w:sz w:val="24"/>
          <w:szCs w:val="24"/>
          <w:lang w:val="en-US"/>
        </w:rPr>
        <w:t>SCA</w:t>
      </w:r>
      <w:r w:rsidR="0014612A" w:rsidRPr="00860603">
        <w:rPr>
          <w:rFonts w:ascii="Arial" w:hAnsi="Arial" w:cs="Arial"/>
          <w:sz w:val="24"/>
          <w:szCs w:val="24"/>
          <w:lang w:val="en-US"/>
        </w:rPr>
        <w:t>)</w:t>
      </w:r>
      <w:r w:rsidRPr="00860603">
        <w:rPr>
          <w:rFonts w:ascii="Arial" w:hAnsi="Arial" w:cs="Arial"/>
          <w:sz w:val="24"/>
          <w:szCs w:val="24"/>
          <w:lang w:val="en-US"/>
        </w:rPr>
        <w:t xml:space="preserve">; 2010 (2) SACR 146 </w:t>
      </w:r>
      <w:r w:rsidR="0014612A" w:rsidRPr="00860603">
        <w:rPr>
          <w:rFonts w:ascii="Arial" w:hAnsi="Arial" w:cs="Arial"/>
          <w:sz w:val="24"/>
          <w:szCs w:val="24"/>
          <w:lang w:val="en-US"/>
        </w:rPr>
        <w:t>(</w:t>
      </w:r>
      <w:r w:rsidRPr="00860603">
        <w:rPr>
          <w:rFonts w:ascii="Arial" w:hAnsi="Arial" w:cs="Arial"/>
          <w:sz w:val="24"/>
          <w:szCs w:val="24"/>
          <w:lang w:val="en-US"/>
        </w:rPr>
        <w:t>SCA</w:t>
      </w:r>
      <w:r w:rsidR="0014612A" w:rsidRPr="00860603">
        <w:rPr>
          <w:rFonts w:ascii="Arial" w:hAnsi="Arial" w:cs="Arial"/>
          <w:sz w:val="24"/>
          <w:szCs w:val="24"/>
          <w:lang w:val="en-US"/>
        </w:rPr>
        <w:t>)</w:t>
      </w:r>
      <w:r w:rsidRPr="00860603">
        <w:rPr>
          <w:rFonts w:ascii="Arial" w:hAnsi="Arial" w:cs="Arial"/>
          <w:sz w:val="24"/>
          <w:szCs w:val="24"/>
          <w:lang w:val="en-US"/>
        </w:rPr>
        <w:t xml:space="preserve"> (</w:t>
      </w:r>
      <w:r w:rsidRPr="00860603">
        <w:rPr>
          <w:rFonts w:ascii="Arial" w:hAnsi="Arial" w:cs="Arial"/>
          <w:i/>
          <w:sz w:val="24"/>
          <w:szCs w:val="24"/>
          <w:lang w:val="en-US"/>
        </w:rPr>
        <w:t>King</w:t>
      </w:r>
      <w:r w:rsidRPr="00860603">
        <w:rPr>
          <w:rFonts w:ascii="Arial" w:hAnsi="Arial" w:cs="Arial"/>
          <w:sz w:val="24"/>
          <w:szCs w:val="24"/>
          <w:lang w:val="en-US"/>
        </w:rPr>
        <w:t>) para 40.</w:t>
      </w:r>
    </w:p>
    <w:p w14:paraId="1EFBA3DA" w14:textId="77777777" w:rsidR="008C3428" w:rsidRPr="00860603" w:rsidRDefault="008C3428" w:rsidP="00B05C8E">
      <w:pPr>
        <w:ind w:left="709" w:hanging="709"/>
        <w:rPr>
          <w:rFonts w:ascii="Arial" w:hAnsi="Arial" w:cs="Arial"/>
        </w:rPr>
      </w:pPr>
    </w:p>
    <w:p w14:paraId="36C99F90" w14:textId="6C5684A8" w:rsidR="008C3428" w:rsidRPr="00860603" w:rsidRDefault="009D428D" w:rsidP="005D0745">
      <w:pPr>
        <w:rPr>
          <w:rFonts w:ascii="Arial" w:hAnsi="Arial" w:cs="Arial"/>
          <w:sz w:val="24"/>
          <w:szCs w:val="24"/>
        </w:rPr>
      </w:pPr>
      <w:r>
        <w:rPr>
          <w:rFonts w:ascii="Arial" w:hAnsi="Arial" w:cs="Arial"/>
          <w:sz w:val="24"/>
          <w:szCs w:val="24"/>
        </w:rPr>
        <w:t>[</w:t>
      </w:r>
      <w:r w:rsidR="00244C11">
        <w:rPr>
          <w:rFonts w:ascii="Arial" w:hAnsi="Arial" w:cs="Arial"/>
          <w:sz w:val="24"/>
          <w:szCs w:val="24"/>
        </w:rPr>
        <w:t>18</w:t>
      </w:r>
      <w:r w:rsidR="008C3428" w:rsidRPr="00860603">
        <w:rPr>
          <w:rFonts w:ascii="Arial" w:hAnsi="Arial" w:cs="Arial"/>
          <w:sz w:val="24"/>
          <w:szCs w:val="24"/>
        </w:rPr>
        <w:t>]</w:t>
      </w:r>
      <w:r w:rsidR="008C3428" w:rsidRPr="00860603">
        <w:rPr>
          <w:rFonts w:ascii="Arial" w:hAnsi="Arial" w:cs="Arial"/>
          <w:sz w:val="24"/>
          <w:szCs w:val="24"/>
        </w:rPr>
        <w:tab/>
      </w:r>
      <w:r w:rsidR="00511C73" w:rsidRPr="00860603">
        <w:rPr>
          <w:rFonts w:ascii="Arial" w:hAnsi="Arial" w:cs="Arial"/>
          <w:sz w:val="24"/>
          <w:szCs w:val="24"/>
        </w:rPr>
        <w:t>It is convenient to commence with the second jurisdictional requirement. It is simply</w:t>
      </w:r>
      <w:r w:rsidR="003F1308" w:rsidRPr="00860603">
        <w:rPr>
          <w:rFonts w:ascii="Arial" w:hAnsi="Arial" w:cs="Arial"/>
          <w:sz w:val="24"/>
          <w:szCs w:val="24"/>
        </w:rPr>
        <w:t xml:space="preserve"> whether, as a fact, the necessary leave to appeal to this court has been granted. As Brand JA said in </w:t>
      </w:r>
      <w:r w:rsidR="003F1308" w:rsidRPr="00860603">
        <w:rPr>
          <w:rFonts w:ascii="Arial" w:hAnsi="Arial" w:cs="Arial"/>
          <w:i/>
          <w:sz w:val="24"/>
          <w:szCs w:val="24"/>
        </w:rPr>
        <w:t>Newlands Surgical Clinic (Pty) Ltd v Peninsula Eye Clinic (Pty) Ltd</w:t>
      </w:r>
      <w:r w:rsidR="003F1308" w:rsidRPr="00860603">
        <w:rPr>
          <w:rFonts w:ascii="Arial" w:hAnsi="Arial" w:cs="Arial"/>
          <w:sz w:val="24"/>
          <w:szCs w:val="24"/>
        </w:rPr>
        <w:t xml:space="preserve"> 2015 (4) SA 34 SCA</w:t>
      </w:r>
      <w:r w:rsidR="0014612A" w:rsidRPr="00860603">
        <w:rPr>
          <w:rFonts w:ascii="Arial" w:hAnsi="Arial" w:cs="Arial"/>
          <w:sz w:val="24"/>
          <w:szCs w:val="24"/>
        </w:rPr>
        <w:t xml:space="preserve">; [2015] 2 All SA 322 (SCA) </w:t>
      </w:r>
      <w:r w:rsidR="003F1308" w:rsidRPr="00860603">
        <w:rPr>
          <w:rFonts w:ascii="Arial" w:hAnsi="Arial" w:cs="Arial"/>
          <w:sz w:val="24"/>
          <w:szCs w:val="24"/>
        </w:rPr>
        <w:t xml:space="preserve">para 13: </w:t>
      </w:r>
    </w:p>
    <w:p w14:paraId="2F507E11" w14:textId="2D71962E" w:rsidR="003F1308" w:rsidRPr="00860603" w:rsidRDefault="003F1308" w:rsidP="005D0745">
      <w:pPr>
        <w:rPr>
          <w:rFonts w:ascii="Arial" w:hAnsi="Arial" w:cs="Arial"/>
        </w:rPr>
      </w:pPr>
      <w:r w:rsidRPr="00860603">
        <w:rPr>
          <w:rFonts w:ascii="Arial" w:hAnsi="Arial" w:cs="Arial"/>
        </w:rPr>
        <w:t xml:space="preserve">‘Leave to appeal therefore constitutes what has become known, particularly in </w:t>
      </w:r>
      <w:r w:rsidR="004D269D" w:rsidRPr="00860603">
        <w:rPr>
          <w:rFonts w:ascii="Arial" w:hAnsi="Arial" w:cs="Arial"/>
        </w:rPr>
        <w:t>administrative law</w:t>
      </w:r>
      <w:r w:rsidRPr="00860603">
        <w:rPr>
          <w:rFonts w:ascii="Arial" w:hAnsi="Arial" w:cs="Arial"/>
        </w:rPr>
        <w:t xml:space="preserve"> parlance, as a jurisdictional fact. Without the required leave, this court simply has no jurisdiction to entertain the dispute.’</w:t>
      </w:r>
    </w:p>
    <w:p w14:paraId="4CABB493" w14:textId="77777777" w:rsidR="008C3428" w:rsidRPr="00860603" w:rsidRDefault="008C3428" w:rsidP="005D0745">
      <w:pPr>
        <w:ind w:left="709" w:hanging="709"/>
        <w:rPr>
          <w:rFonts w:ascii="Arial" w:hAnsi="Arial" w:cs="Arial"/>
          <w:sz w:val="24"/>
          <w:szCs w:val="24"/>
        </w:rPr>
      </w:pPr>
    </w:p>
    <w:p w14:paraId="723B4A8F" w14:textId="0C042391" w:rsidR="008C3428" w:rsidRPr="00860603" w:rsidRDefault="00244C11" w:rsidP="00B05C8E">
      <w:pPr>
        <w:rPr>
          <w:rFonts w:ascii="Arial" w:hAnsi="Arial" w:cs="Arial"/>
          <w:sz w:val="24"/>
          <w:szCs w:val="24"/>
        </w:rPr>
      </w:pPr>
      <w:r>
        <w:rPr>
          <w:rFonts w:ascii="Arial" w:hAnsi="Arial" w:cs="Arial"/>
          <w:sz w:val="24"/>
          <w:szCs w:val="24"/>
        </w:rPr>
        <w:t>[19</w:t>
      </w:r>
      <w:r w:rsidR="008C3428" w:rsidRPr="00860603">
        <w:rPr>
          <w:rFonts w:ascii="Arial" w:hAnsi="Arial" w:cs="Arial"/>
          <w:sz w:val="24"/>
          <w:szCs w:val="24"/>
        </w:rPr>
        <w:t>]</w:t>
      </w:r>
      <w:r w:rsidR="008C3428" w:rsidRPr="00860603">
        <w:rPr>
          <w:rFonts w:ascii="Arial" w:hAnsi="Arial" w:cs="Arial"/>
          <w:sz w:val="24"/>
          <w:szCs w:val="24"/>
        </w:rPr>
        <w:tab/>
      </w:r>
      <w:r w:rsidR="003F1308" w:rsidRPr="00860603">
        <w:rPr>
          <w:rFonts w:ascii="Arial" w:hAnsi="Arial" w:cs="Arial"/>
          <w:sz w:val="24"/>
          <w:szCs w:val="24"/>
        </w:rPr>
        <w:t>What then, is a ‘decision’ contemplated in s 16(1)? To answer this question</w:t>
      </w:r>
      <w:r w:rsidR="00C368E9" w:rsidRPr="00860603">
        <w:rPr>
          <w:rFonts w:ascii="Arial" w:hAnsi="Arial" w:cs="Arial"/>
          <w:sz w:val="24"/>
          <w:szCs w:val="24"/>
        </w:rPr>
        <w:t>,</w:t>
      </w:r>
      <w:r w:rsidR="003F1308" w:rsidRPr="00860603">
        <w:rPr>
          <w:rFonts w:ascii="Arial" w:hAnsi="Arial" w:cs="Arial"/>
          <w:sz w:val="24"/>
          <w:szCs w:val="24"/>
        </w:rPr>
        <w:t xml:space="preserve"> one </w:t>
      </w:r>
      <w:r w:rsidR="00C368E9" w:rsidRPr="00860603">
        <w:rPr>
          <w:rFonts w:ascii="Arial" w:hAnsi="Arial" w:cs="Arial"/>
          <w:sz w:val="24"/>
          <w:szCs w:val="24"/>
        </w:rPr>
        <w:t>must</w:t>
      </w:r>
      <w:r w:rsidR="003F1308" w:rsidRPr="00860603">
        <w:rPr>
          <w:rFonts w:ascii="Arial" w:hAnsi="Arial" w:cs="Arial"/>
          <w:sz w:val="24"/>
          <w:szCs w:val="24"/>
        </w:rPr>
        <w:t xml:space="preserve"> examine the corresponding position under the Supreme Court Act. Section 20(1) thereof provided: </w:t>
      </w:r>
    </w:p>
    <w:p w14:paraId="1B4F9E28" w14:textId="31B00B73" w:rsidR="006F79A3" w:rsidRPr="00860603" w:rsidRDefault="006F79A3" w:rsidP="00B05C8E">
      <w:pPr>
        <w:rPr>
          <w:rFonts w:ascii="Arial" w:hAnsi="Arial" w:cs="Arial"/>
        </w:rPr>
      </w:pPr>
      <w:r w:rsidRPr="00860603">
        <w:rPr>
          <w:rFonts w:ascii="Arial" w:hAnsi="Arial" w:cs="Arial"/>
        </w:rPr>
        <w:t>‘An appeal from a judgment or order of the court of a provincial or local division in any civil proceedings or against any judgment or order of such a court given on appeal shall be heard by the appellate division or a full court as the case may be.’</w:t>
      </w:r>
    </w:p>
    <w:p w14:paraId="00838969" w14:textId="77777777" w:rsidR="00B378FF" w:rsidRPr="00860603" w:rsidRDefault="00B378FF" w:rsidP="00B05C8E">
      <w:pPr>
        <w:rPr>
          <w:rFonts w:ascii="Arial" w:hAnsi="Arial" w:cs="Arial"/>
          <w:sz w:val="24"/>
          <w:szCs w:val="24"/>
        </w:rPr>
      </w:pPr>
    </w:p>
    <w:p w14:paraId="2C2388AF" w14:textId="2EAB6792" w:rsidR="006F79A3" w:rsidRPr="00860603" w:rsidRDefault="00244C11" w:rsidP="00B05C8E">
      <w:pPr>
        <w:rPr>
          <w:rFonts w:ascii="Arial" w:hAnsi="Arial" w:cs="Arial"/>
          <w:sz w:val="24"/>
          <w:szCs w:val="24"/>
        </w:rPr>
      </w:pPr>
      <w:r>
        <w:rPr>
          <w:rFonts w:ascii="Arial" w:hAnsi="Arial" w:cs="Arial"/>
          <w:sz w:val="24"/>
          <w:szCs w:val="24"/>
        </w:rPr>
        <w:t>[20</w:t>
      </w:r>
      <w:r w:rsidR="002B2672" w:rsidRPr="00860603">
        <w:rPr>
          <w:rFonts w:ascii="Arial" w:hAnsi="Arial" w:cs="Arial"/>
          <w:sz w:val="24"/>
          <w:szCs w:val="24"/>
        </w:rPr>
        <w:t>]</w:t>
      </w:r>
      <w:r w:rsidR="002B2672" w:rsidRPr="00860603">
        <w:rPr>
          <w:rFonts w:ascii="Arial" w:hAnsi="Arial" w:cs="Arial"/>
          <w:sz w:val="24"/>
          <w:szCs w:val="24"/>
        </w:rPr>
        <w:tab/>
      </w:r>
      <w:r w:rsidR="009F7510" w:rsidRPr="00860603">
        <w:rPr>
          <w:rFonts w:ascii="Arial" w:hAnsi="Arial" w:cs="Arial"/>
          <w:sz w:val="24"/>
          <w:szCs w:val="24"/>
        </w:rPr>
        <w:t xml:space="preserve">In </w:t>
      </w:r>
      <w:r w:rsidR="009F7510" w:rsidRPr="00860603">
        <w:rPr>
          <w:rFonts w:ascii="Arial" w:hAnsi="Arial" w:cs="Arial"/>
          <w:i/>
          <w:sz w:val="24"/>
          <w:szCs w:val="24"/>
        </w:rPr>
        <w:t>Zweni</w:t>
      </w:r>
      <w:r w:rsidR="009F7510" w:rsidRPr="00860603">
        <w:rPr>
          <w:rFonts w:ascii="Arial" w:hAnsi="Arial" w:cs="Arial"/>
          <w:sz w:val="24"/>
          <w:szCs w:val="24"/>
        </w:rPr>
        <w:t xml:space="preserve"> this court considered s 20(1). At 532C-D Harms AJA explained: </w:t>
      </w:r>
    </w:p>
    <w:p w14:paraId="196C3271" w14:textId="2B190DC8" w:rsidR="009F7510" w:rsidRPr="00860603" w:rsidRDefault="009F7510" w:rsidP="00B05C8E">
      <w:pPr>
        <w:rPr>
          <w:rFonts w:ascii="Arial" w:hAnsi="Arial" w:cs="Arial"/>
        </w:rPr>
      </w:pPr>
      <w:r w:rsidRPr="00860603">
        <w:rPr>
          <w:rFonts w:ascii="Arial" w:hAnsi="Arial" w:cs="Arial"/>
        </w:rPr>
        <w:t>‘The expression “judgment or order” in s 20(1) of the Act has a special, almost technical, meaning; all decisions given in the course of the resolution of a dispute between litigants are not “judgments or orders”</w:t>
      </w:r>
      <w:r w:rsidR="00C33519" w:rsidRPr="00860603">
        <w:rPr>
          <w:rFonts w:ascii="Arial" w:hAnsi="Arial" w:cs="Arial"/>
        </w:rPr>
        <w:t xml:space="preserve"> . . ..</w:t>
      </w:r>
      <w:r w:rsidRPr="00860603">
        <w:rPr>
          <w:rFonts w:ascii="Arial" w:hAnsi="Arial" w:cs="Arial"/>
        </w:rPr>
        <w:t>’</w:t>
      </w:r>
    </w:p>
    <w:p w14:paraId="67639BCC" w14:textId="31A06276" w:rsidR="009F7510" w:rsidRPr="00860603" w:rsidRDefault="009F7510" w:rsidP="00B05C8E">
      <w:pPr>
        <w:rPr>
          <w:rFonts w:ascii="Arial" w:hAnsi="Arial" w:cs="Arial"/>
          <w:sz w:val="24"/>
          <w:szCs w:val="24"/>
        </w:rPr>
      </w:pPr>
      <w:r w:rsidRPr="00860603">
        <w:rPr>
          <w:rFonts w:ascii="Arial" w:hAnsi="Arial" w:cs="Arial"/>
          <w:sz w:val="24"/>
          <w:szCs w:val="24"/>
        </w:rPr>
        <w:t xml:space="preserve">He proceeded to say that in this context the word ‘judgment’ </w:t>
      </w:r>
      <w:r w:rsidR="00AA3D00" w:rsidRPr="00860603">
        <w:rPr>
          <w:rFonts w:ascii="Arial" w:hAnsi="Arial" w:cs="Arial"/>
          <w:sz w:val="24"/>
          <w:szCs w:val="24"/>
        </w:rPr>
        <w:t>might have</w:t>
      </w:r>
      <w:r w:rsidRPr="00860603">
        <w:rPr>
          <w:rFonts w:ascii="Arial" w:hAnsi="Arial" w:cs="Arial"/>
          <w:sz w:val="24"/>
          <w:szCs w:val="24"/>
        </w:rPr>
        <w:t xml:space="preserve"> two meanings. The first </w:t>
      </w:r>
      <w:r w:rsidR="00AA3D00" w:rsidRPr="00860603">
        <w:rPr>
          <w:rFonts w:ascii="Arial" w:hAnsi="Arial" w:cs="Arial"/>
          <w:sz w:val="24"/>
          <w:szCs w:val="24"/>
        </w:rPr>
        <w:t>was</w:t>
      </w:r>
      <w:r w:rsidRPr="00860603">
        <w:rPr>
          <w:rFonts w:ascii="Arial" w:hAnsi="Arial" w:cs="Arial"/>
          <w:sz w:val="24"/>
          <w:szCs w:val="24"/>
        </w:rPr>
        <w:t xml:space="preserve"> the reasoning of the court and the second its pronouncement on the relief claimed. He said that s 20(1) concerned only the second meaning.</w:t>
      </w:r>
      <w:r w:rsidR="00A35EFA" w:rsidRPr="00860603">
        <w:rPr>
          <w:rFonts w:ascii="Arial" w:hAnsi="Arial" w:cs="Arial"/>
          <w:sz w:val="24"/>
          <w:szCs w:val="24"/>
        </w:rPr>
        <w:t xml:space="preserve"> This wa</w:t>
      </w:r>
      <w:r w:rsidRPr="00860603">
        <w:rPr>
          <w:rFonts w:ascii="Arial" w:hAnsi="Arial" w:cs="Arial"/>
          <w:sz w:val="24"/>
          <w:szCs w:val="24"/>
        </w:rPr>
        <w:t xml:space="preserve">s in accordance with the trite principle that an appeal lies against an order and not against </w:t>
      </w:r>
      <w:r w:rsidRPr="00860603">
        <w:rPr>
          <w:rFonts w:ascii="Arial" w:hAnsi="Arial" w:cs="Arial"/>
          <w:sz w:val="24"/>
          <w:szCs w:val="24"/>
        </w:rPr>
        <w:lastRenderedPageBreak/>
        <w:t xml:space="preserve">the reasoning on which the order is based. Harms AJA famously concluded at 532I-533A: </w:t>
      </w:r>
    </w:p>
    <w:p w14:paraId="200C21EC" w14:textId="467DB298" w:rsidR="009F7510" w:rsidRPr="00860603" w:rsidRDefault="001A39DC" w:rsidP="00B05C8E">
      <w:pPr>
        <w:rPr>
          <w:rFonts w:ascii="Arial" w:hAnsi="Arial" w:cs="Arial"/>
        </w:rPr>
      </w:pPr>
      <w:r w:rsidRPr="00860603">
        <w:rPr>
          <w:rFonts w:ascii="Arial" w:hAnsi="Arial" w:cs="Arial"/>
        </w:rPr>
        <w:t xml:space="preserve">‘A “judgment or order” is a decision which, as a general principle, has three attributes, first, the decision must be final in effect and </w:t>
      </w:r>
      <w:r w:rsidR="00A0345E" w:rsidRPr="00860603">
        <w:rPr>
          <w:rFonts w:ascii="Arial" w:hAnsi="Arial" w:cs="Arial"/>
        </w:rPr>
        <w:t xml:space="preserve">not </w:t>
      </w:r>
      <w:r w:rsidRPr="00860603">
        <w:rPr>
          <w:rFonts w:ascii="Arial" w:hAnsi="Arial" w:cs="Arial"/>
        </w:rPr>
        <w:t xml:space="preserve">susceptible of alteration by the Court of first instance; second, it must </w:t>
      </w:r>
      <w:r w:rsidR="0067128B" w:rsidRPr="00860603">
        <w:rPr>
          <w:rFonts w:ascii="Arial" w:hAnsi="Arial" w:cs="Arial"/>
        </w:rPr>
        <w:t xml:space="preserve">be </w:t>
      </w:r>
      <w:r w:rsidRPr="00860603">
        <w:rPr>
          <w:rFonts w:ascii="Arial" w:hAnsi="Arial" w:cs="Arial"/>
        </w:rPr>
        <w:t xml:space="preserve">definitive of the rights of the parties; and, third, it must have the effect of disposing of at least a substantial portion of the relief claimed in the main proceedings.’ </w:t>
      </w:r>
    </w:p>
    <w:p w14:paraId="78322078" w14:textId="77777777" w:rsidR="002B2672" w:rsidRPr="00860603" w:rsidRDefault="002B2672" w:rsidP="00B05C8E">
      <w:pPr>
        <w:ind w:left="709" w:hanging="709"/>
        <w:rPr>
          <w:rFonts w:ascii="Arial" w:hAnsi="Arial" w:cs="Arial"/>
          <w:sz w:val="24"/>
          <w:szCs w:val="24"/>
        </w:rPr>
      </w:pPr>
    </w:p>
    <w:p w14:paraId="5EF768F2" w14:textId="26ED1B93" w:rsidR="00C5364C" w:rsidRPr="00860603" w:rsidRDefault="00244C11" w:rsidP="00B05C8E">
      <w:pPr>
        <w:rPr>
          <w:rFonts w:ascii="Arial" w:hAnsi="Arial" w:cs="Arial"/>
          <w:sz w:val="24"/>
          <w:szCs w:val="24"/>
        </w:rPr>
      </w:pPr>
      <w:r>
        <w:rPr>
          <w:rFonts w:ascii="Arial" w:hAnsi="Arial" w:cs="Arial"/>
          <w:sz w:val="24"/>
          <w:szCs w:val="24"/>
        </w:rPr>
        <w:t>[21</w:t>
      </w:r>
      <w:r w:rsidR="002B2672" w:rsidRPr="00860603">
        <w:rPr>
          <w:rFonts w:ascii="Arial" w:hAnsi="Arial" w:cs="Arial"/>
          <w:sz w:val="24"/>
          <w:szCs w:val="24"/>
        </w:rPr>
        <w:t>]</w:t>
      </w:r>
      <w:r w:rsidR="00F308C8" w:rsidRPr="00860603">
        <w:rPr>
          <w:rFonts w:ascii="Arial" w:hAnsi="Arial" w:cs="Arial"/>
          <w:sz w:val="24"/>
          <w:szCs w:val="24"/>
        </w:rPr>
        <w:tab/>
      </w:r>
      <w:r w:rsidR="00C5364C" w:rsidRPr="00860603">
        <w:rPr>
          <w:rFonts w:ascii="Arial" w:hAnsi="Arial" w:cs="Arial"/>
          <w:sz w:val="24"/>
          <w:szCs w:val="24"/>
        </w:rPr>
        <w:t xml:space="preserve"> </w:t>
      </w:r>
      <w:r w:rsidR="0067128B" w:rsidRPr="00860603">
        <w:rPr>
          <w:rFonts w:ascii="Arial" w:hAnsi="Arial" w:cs="Arial"/>
          <w:sz w:val="24"/>
          <w:szCs w:val="24"/>
        </w:rPr>
        <w:t xml:space="preserve">In </w:t>
      </w:r>
      <w:r w:rsidR="0067128B" w:rsidRPr="00860603">
        <w:rPr>
          <w:rFonts w:ascii="Arial" w:hAnsi="Arial" w:cs="Arial"/>
          <w:i/>
          <w:sz w:val="24"/>
          <w:szCs w:val="24"/>
        </w:rPr>
        <w:t>Zweni</w:t>
      </w:r>
      <w:r w:rsidR="0067128B" w:rsidRPr="00860603">
        <w:rPr>
          <w:rFonts w:ascii="Arial" w:hAnsi="Arial" w:cs="Arial"/>
          <w:sz w:val="24"/>
          <w:szCs w:val="24"/>
        </w:rPr>
        <w:t xml:space="preserve"> the court did not consider s 21(1) of the Supreme Court Act. It provided: </w:t>
      </w:r>
    </w:p>
    <w:p w14:paraId="4D2D86E6" w14:textId="50F4D4F4" w:rsidR="0067128B" w:rsidRPr="00860603" w:rsidRDefault="0067128B" w:rsidP="00B05C8E">
      <w:pPr>
        <w:rPr>
          <w:rFonts w:ascii="Arial" w:hAnsi="Arial" w:cs="Arial"/>
        </w:rPr>
      </w:pPr>
      <w:r w:rsidRPr="00860603">
        <w:rPr>
          <w:rFonts w:ascii="Arial" w:hAnsi="Arial" w:cs="Arial"/>
        </w:rPr>
        <w:t>‘In addition to any jurisdiction conferred upon it by this Act or any other law, the appellate division shall, subject to the provisions of this section and any other law, have jurisdiction to hear and determine an appeal from any decision of the court of a provincial or local division.’</w:t>
      </w:r>
    </w:p>
    <w:p w14:paraId="12880239" w14:textId="721AC458" w:rsidR="00FC624B" w:rsidRPr="00860603" w:rsidRDefault="00FC624B" w:rsidP="00B05C8E">
      <w:pPr>
        <w:rPr>
          <w:rFonts w:ascii="Arial" w:hAnsi="Arial" w:cs="Arial"/>
          <w:sz w:val="24"/>
          <w:szCs w:val="24"/>
        </w:rPr>
      </w:pPr>
      <w:r w:rsidRPr="00860603">
        <w:rPr>
          <w:rFonts w:ascii="Arial" w:hAnsi="Arial" w:cs="Arial"/>
          <w:sz w:val="24"/>
          <w:szCs w:val="24"/>
        </w:rPr>
        <w:t xml:space="preserve">This court, however, construed ‘decision’ in s 21(1) to have the same meaning as ‘judgment or order’ in s 20(1). See </w:t>
      </w:r>
      <w:r w:rsidRPr="00860603">
        <w:rPr>
          <w:rFonts w:ascii="Arial" w:hAnsi="Arial" w:cs="Arial"/>
          <w:i/>
          <w:sz w:val="24"/>
          <w:szCs w:val="24"/>
        </w:rPr>
        <w:t>Moch</w:t>
      </w:r>
      <w:r w:rsidRPr="00860603">
        <w:rPr>
          <w:rFonts w:ascii="Arial" w:hAnsi="Arial" w:cs="Arial"/>
          <w:sz w:val="24"/>
          <w:szCs w:val="24"/>
        </w:rPr>
        <w:t xml:space="preserve"> at 8B-D and cases cited there, as well as </w:t>
      </w:r>
      <w:r w:rsidRPr="00860603">
        <w:rPr>
          <w:rFonts w:ascii="Arial" w:hAnsi="Arial" w:cs="Arial"/>
          <w:i/>
          <w:sz w:val="24"/>
          <w:szCs w:val="24"/>
        </w:rPr>
        <w:t>Western Areas</w:t>
      </w:r>
      <w:r w:rsidRPr="00860603">
        <w:rPr>
          <w:rFonts w:ascii="Arial" w:hAnsi="Arial" w:cs="Arial"/>
          <w:sz w:val="24"/>
          <w:szCs w:val="24"/>
        </w:rPr>
        <w:t xml:space="preserve"> para 19.</w:t>
      </w:r>
    </w:p>
    <w:p w14:paraId="19C78737" w14:textId="77777777" w:rsidR="00C5364C" w:rsidRPr="00860603" w:rsidRDefault="00C5364C" w:rsidP="00B05C8E">
      <w:pPr>
        <w:ind w:left="709" w:hanging="709"/>
        <w:rPr>
          <w:rFonts w:ascii="Arial" w:hAnsi="Arial" w:cs="Arial"/>
          <w:sz w:val="24"/>
          <w:szCs w:val="24"/>
        </w:rPr>
      </w:pPr>
    </w:p>
    <w:p w14:paraId="0021E532" w14:textId="65FEFAAB" w:rsidR="00442B86" w:rsidRPr="00860603" w:rsidRDefault="00244C11" w:rsidP="00B05C8E">
      <w:pPr>
        <w:rPr>
          <w:rFonts w:ascii="Arial" w:hAnsi="Arial" w:cs="Arial"/>
          <w:sz w:val="24"/>
          <w:szCs w:val="24"/>
        </w:rPr>
      </w:pPr>
      <w:r>
        <w:rPr>
          <w:rFonts w:ascii="Arial" w:hAnsi="Arial" w:cs="Arial"/>
          <w:sz w:val="24"/>
          <w:szCs w:val="24"/>
        </w:rPr>
        <w:t>[22</w:t>
      </w:r>
      <w:r w:rsidR="00C5364C" w:rsidRPr="00860603">
        <w:rPr>
          <w:rFonts w:ascii="Arial" w:hAnsi="Arial" w:cs="Arial"/>
          <w:sz w:val="24"/>
          <w:szCs w:val="24"/>
        </w:rPr>
        <w:t>]</w:t>
      </w:r>
      <w:r w:rsidR="00C5364C" w:rsidRPr="00860603">
        <w:rPr>
          <w:rFonts w:ascii="Arial" w:hAnsi="Arial" w:cs="Arial"/>
          <w:sz w:val="24"/>
          <w:szCs w:val="24"/>
        </w:rPr>
        <w:tab/>
      </w:r>
      <w:r w:rsidR="009B04F3" w:rsidRPr="00860603">
        <w:rPr>
          <w:rFonts w:ascii="Arial" w:hAnsi="Arial" w:cs="Arial"/>
          <w:sz w:val="24"/>
          <w:szCs w:val="24"/>
        </w:rPr>
        <w:t xml:space="preserve">As is apparent from the exposition of the three </w:t>
      </w:r>
      <w:r w:rsidR="009B04F3" w:rsidRPr="00860603">
        <w:rPr>
          <w:rFonts w:ascii="Arial" w:hAnsi="Arial" w:cs="Arial"/>
          <w:i/>
          <w:sz w:val="24"/>
          <w:szCs w:val="24"/>
        </w:rPr>
        <w:t>Zweni</w:t>
      </w:r>
      <w:r w:rsidR="009B04F3" w:rsidRPr="00860603">
        <w:rPr>
          <w:rFonts w:ascii="Arial" w:hAnsi="Arial" w:cs="Arial"/>
          <w:sz w:val="24"/>
          <w:szCs w:val="24"/>
        </w:rPr>
        <w:t xml:space="preserve"> attributes itself, it did not purport to be exhaustive. This was emphasised in </w:t>
      </w:r>
      <w:r w:rsidR="009B04F3" w:rsidRPr="00860603">
        <w:rPr>
          <w:rFonts w:ascii="Arial" w:hAnsi="Arial" w:cs="Arial"/>
          <w:i/>
          <w:sz w:val="24"/>
          <w:szCs w:val="24"/>
        </w:rPr>
        <w:t>Moch</w:t>
      </w:r>
      <w:r w:rsidR="009B04F3" w:rsidRPr="00860603">
        <w:rPr>
          <w:rFonts w:ascii="Arial" w:hAnsi="Arial" w:cs="Arial"/>
          <w:sz w:val="24"/>
          <w:szCs w:val="24"/>
        </w:rPr>
        <w:t xml:space="preserve">, where Hefer JA considered the appealability of the dismissal of an application for recusal. He pointed out that should it be found that the judge ought to have recused himself, the entire proceedings before him had to be regarded as a nullity. He accordingly held (at 10C-11B) that although the decision did not have all the </w:t>
      </w:r>
      <w:r w:rsidR="009B04F3" w:rsidRPr="00860603">
        <w:rPr>
          <w:rFonts w:ascii="Arial" w:hAnsi="Arial" w:cs="Arial"/>
          <w:i/>
          <w:sz w:val="24"/>
          <w:szCs w:val="24"/>
        </w:rPr>
        <w:t>Zweni</w:t>
      </w:r>
      <w:r w:rsidR="009B04F3" w:rsidRPr="00860603">
        <w:rPr>
          <w:rFonts w:ascii="Arial" w:hAnsi="Arial" w:cs="Arial"/>
          <w:sz w:val="24"/>
          <w:szCs w:val="24"/>
        </w:rPr>
        <w:t xml:space="preserve"> attributes, it was nevertheless appealable because it had a final and definitive effect on the proceeding</w:t>
      </w:r>
      <w:r w:rsidR="00B05543" w:rsidRPr="00860603">
        <w:rPr>
          <w:rFonts w:ascii="Arial" w:hAnsi="Arial" w:cs="Arial"/>
          <w:sz w:val="24"/>
          <w:szCs w:val="24"/>
        </w:rPr>
        <w:t xml:space="preserve">s. Much the same approach was followed in </w:t>
      </w:r>
      <w:r w:rsidR="00B05543" w:rsidRPr="00860603">
        <w:rPr>
          <w:rFonts w:ascii="Arial" w:hAnsi="Arial" w:cs="Arial"/>
          <w:i/>
          <w:sz w:val="24"/>
          <w:szCs w:val="24"/>
        </w:rPr>
        <w:t>King</w:t>
      </w:r>
      <w:r w:rsidR="00B05543" w:rsidRPr="00860603">
        <w:rPr>
          <w:rFonts w:ascii="Arial" w:hAnsi="Arial" w:cs="Arial"/>
          <w:sz w:val="24"/>
          <w:szCs w:val="24"/>
        </w:rPr>
        <w:t xml:space="preserve"> paras 42 and 45. </w:t>
      </w:r>
    </w:p>
    <w:p w14:paraId="5417011C" w14:textId="77777777" w:rsidR="001C0D31" w:rsidRPr="00860603" w:rsidRDefault="001C0D31" w:rsidP="00B05C8E">
      <w:pPr>
        <w:ind w:left="709" w:hanging="709"/>
        <w:rPr>
          <w:rFonts w:ascii="Arial" w:hAnsi="Arial" w:cs="Arial"/>
          <w:sz w:val="24"/>
          <w:szCs w:val="24"/>
        </w:rPr>
      </w:pPr>
    </w:p>
    <w:p w14:paraId="39C0E85F" w14:textId="0CBFB62C" w:rsidR="001E274B" w:rsidRPr="00860603" w:rsidRDefault="00244C11" w:rsidP="00F609FC">
      <w:pPr>
        <w:rPr>
          <w:rFonts w:ascii="Arial" w:hAnsi="Arial" w:cs="Arial"/>
          <w:sz w:val="24"/>
          <w:szCs w:val="24"/>
        </w:rPr>
      </w:pPr>
      <w:r>
        <w:rPr>
          <w:rFonts w:ascii="Arial" w:hAnsi="Arial" w:cs="Arial"/>
          <w:sz w:val="24"/>
          <w:szCs w:val="24"/>
        </w:rPr>
        <w:t>[23</w:t>
      </w:r>
      <w:r w:rsidR="00442B86" w:rsidRPr="00860603">
        <w:rPr>
          <w:rFonts w:ascii="Arial" w:hAnsi="Arial" w:cs="Arial"/>
          <w:sz w:val="24"/>
          <w:szCs w:val="24"/>
        </w:rPr>
        <w:t>]</w:t>
      </w:r>
      <w:r w:rsidR="00442B86" w:rsidRPr="00860603">
        <w:rPr>
          <w:rFonts w:ascii="Arial" w:hAnsi="Arial" w:cs="Arial"/>
          <w:sz w:val="24"/>
          <w:szCs w:val="24"/>
        </w:rPr>
        <w:tab/>
      </w:r>
      <w:r w:rsidR="00F609FC" w:rsidRPr="00860603">
        <w:rPr>
          <w:rFonts w:ascii="Arial" w:hAnsi="Arial" w:cs="Arial"/>
          <w:sz w:val="24"/>
          <w:szCs w:val="24"/>
        </w:rPr>
        <w:t xml:space="preserve">In </w:t>
      </w:r>
      <w:r w:rsidR="00F609FC" w:rsidRPr="00860603">
        <w:rPr>
          <w:rFonts w:ascii="Arial" w:hAnsi="Arial" w:cs="Arial"/>
          <w:i/>
          <w:sz w:val="24"/>
          <w:szCs w:val="24"/>
        </w:rPr>
        <w:t>Western Areas</w:t>
      </w:r>
      <w:r w:rsidR="00F609FC" w:rsidRPr="00860603">
        <w:rPr>
          <w:rFonts w:ascii="Arial" w:hAnsi="Arial" w:cs="Arial"/>
          <w:sz w:val="24"/>
          <w:szCs w:val="24"/>
        </w:rPr>
        <w:t xml:space="preserve"> this court had occasion to consider the issue of appealability in accordance with the prescripts of s 39(2) of the Constitution. Howie P concluded as follows at para 28: </w:t>
      </w:r>
    </w:p>
    <w:p w14:paraId="2A64EE21" w14:textId="3BEF1284" w:rsidR="00F609FC" w:rsidRPr="00860603" w:rsidRDefault="00F609FC" w:rsidP="00F609FC">
      <w:pPr>
        <w:rPr>
          <w:rFonts w:ascii="Arial" w:hAnsi="Arial" w:cs="Arial"/>
        </w:rPr>
      </w:pPr>
      <w:r w:rsidRPr="00860603">
        <w:rPr>
          <w:rFonts w:ascii="Arial" w:hAnsi="Arial" w:cs="Arial"/>
        </w:rPr>
        <w:t xml:space="preserve">‘I am accordingly of the view that it would accord with the obligation imposed by s 39(2) of the Constitution to construe the word “decision” in s 21(1) of the Supreme Court Act to include a judicial pronouncement in criminal proceedings that is not appealable on the </w:t>
      </w:r>
      <w:r w:rsidRPr="00860603">
        <w:rPr>
          <w:rFonts w:ascii="Arial" w:hAnsi="Arial" w:cs="Arial"/>
          <w:i/>
        </w:rPr>
        <w:t>Zweni</w:t>
      </w:r>
      <w:r w:rsidRPr="00860603">
        <w:rPr>
          <w:rFonts w:ascii="Arial" w:hAnsi="Arial" w:cs="Arial"/>
        </w:rPr>
        <w:t xml:space="preserve"> test but one which the interests of justice require should nevertheless be subject to an appeal before termination of such proceedings. The scope which this extended meaning could have in civil </w:t>
      </w:r>
      <w:r w:rsidRPr="00860603">
        <w:rPr>
          <w:rFonts w:ascii="Arial" w:hAnsi="Arial" w:cs="Arial"/>
        </w:rPr>
        <w:lastRenderedPageBreak/>
        <w:t>proceedings is unnecessary to decide. It need hardly be said that what the interest</w:t>
      </w:r>
      <w:r w:rsidR="00B83CEE" w:rsidRPr="00860603">
        <w:rPr>
          <w:rFonts w:ascii="Arial" w:hAnsi="Arial" w:cs="Arial"/>
        </w:rPr>
        <w:t>s</w:t>
      </w:r>
      <w:r w:rsidRPr="00860603">
        <w:rPr>
          <w:rFonts w:ascii="Arial" w:hAnsi="Arial" w:cs="Arial"/>
        </w:rPr>
        <w:t xml:space="preserve"> of justice require depends on the facts of each particular case.’</w:t>
      </w:r>
    </w:p>
    <w:p w14:paraId="42E3506F" w14:textId="5F395848" w:rsidR="00F609FC" w:rsidRPr="00860603" w:rsidRDefault="00F609FC" w:rsidP="00F609FC">
      <w:pPr>
        <w:rPr>
          <w:rFonts w:ascii="Arial" w:hAnsi="Arial" w:cs="Arial"/>
          <w:sz w:val="24"/>
          <w:szCs w:val="24"/>
        </w:rPr>
      </w:pPr>
      <w:r w:rsidRPr="00860603">
        <w:rPr>
          <w:rFonts w:ascii="Arial" w:hAnsi="Arial" w:cs="Arial"/>
          <w:sz w:val="24"/>
          <w:szCs w:val="24"/>
        </w:rPr>
        <w:t xml:space="preserve">In </w:t>
      </w:r>
      <w:r w:rsidRPr="00860603">
        <w:rPr>
          <w:rFonts w:ascii="Arial" w:hAnsi="Arial" w:cs="Arial"/>
          <w:i/>
          <w:sz w:val="24"/>
          <w:szCs w:val="24"/>
        </w:rPr>
        <w:t>Philani-Ma</w:t>
      </w:r>
      <w:r w:rsidR="00A0345E" w:rsidRPr="00860603">
        <w:rPr>
          <w:rFonts w:ascii="Arial" w:hAnsi="Arial" w:cs="Arial"/>
          <w:i/>
          <w:sz w:val="24"/>
          <w:szCs w:val="24"/>
        </w:rPr>
        <w:t>-</w:t>
      </w:r>
      <w:r w:rsidRPr="00860603">
        <w:rPr>
          <w:rFonts w:ascii="Arial" w:hAnsi="Arial" w:cs="Arial"/>
          <w:i/>
          <w:sz w:val="24"/>
          <w:szCs w:val="24"/>
        </w:rPr>
        <w:t>Afrika &amp; Others v Mailula &amp; Others</w:t>
      </w:r>
      <w:r w:rsidRPr="00860603">
        <w:rPr>
          <w:rFonts w:ascii="Arial" w:hAnsi="Arial" w:cs="Arial"/>
          <w:sz w:val="24"/>
          <w:szCs w:val="24"/>
        </w:rPr>
        <w:t xml:space="preserve"> [2009] ZASCA 115; 2010 (2) SA 573 (SCA) para 20, this court further developed the law in this regard by applying the reasoning in </w:t>
      </w:r>
      <w:r w:rsidRPr="00860603">
        <w:rPr>
          <w:rFonts w:ascii="Arial" w:hAnsi="Arial" w:cs="Arial"/>
          <w:i/>
          <w:sz w:val="24"/>
          <w:szCs w:val="24"/>
        </w:rPr>
        <w:t>Western Areas</w:t>
      </w:r>
      <w:r w:rsidRPr="00860603">
        <w:rPr>
          <w:rFonts w:ascii="Arial" w:hAnsi="Arial" w:cs="Arial"/>
          <w:sz w:val="24"/>
          <w:szCs w:val="24"/>
        </w:rPr>
        <w:t xml:space="preserve"> to a civil matter. It said that ‘what is of paramount importance</w:t>
      </w:r>
      <w:r w:rsidR="00B83CEE" w:rsidRPr="00860603">
        <w:rPr>
          <w:rFonts w:ascii="Arial" w:hAnsi="Arial" w:cs="Arial"/>
          <w:sz w:val="24"/>
          <w:szCs w:val="24"/>
        </w:rPr>
        <w:t xml:space="preserve"> in deciding whether a judgment is appealable is the interests of justice’. </w:t>
      </w:r>
    </w:p>
    <w:p w14:paraId="155E39BF" w14:textId="77777777" w:rsidR="00B378FF" w:rsidRPr="00860603" w:rsidRDefault="00B378FF" w:rsidP="00B05C8E">
      <w:pPr>
        <w:rPr>
          <w:rFonts w:ascii="Arial" w:hAnsi="Arial" w:cs="Arial"/>
          <w:sz w:val="24"/>
          <w:szCs w:val="24"/>
        </w:rPr>
      </w:pPr>
    </w:p>
    <w:p w14:paraId="4488FED0" w14:textId="277F55FF" w:rsidR="001E274B" w:rsidRPr="00860603" w:rsidRDefault="00244C11" w:rsidP="00B05C8E">
      <w:pPr>
        <w:rPr>
          <w:rFonts w:ascii="Arial" w:hAnsi="Arial" w:cs="Arial"/>
          <w:sz w:val="24"/>
          <w:szCs w:val="24"/>
        </w:rPr>
      </w:pPr>
      <w:r>
        <w:rPr>
          <w:rFonts w:ascii="Arial" w:hAnsi="Arial" w:cs="Arial"/>
          <w:sz w:val="24"/>
          <w:szCs w:val="24"/>
        </w:rPr>
        <w:t>[24</w:t>
      </w:r>
      <w:r w:rsidR="001E274B" w:rsidRPr="00860603">
        <w:rPr>
          <w:rFonts w:ascii="Arial" w:hAnsi="Arial" w:cs="Arial"/>
          <w:sz w:val="24"/>
          <w:szCs w:val="24"/>
        </w:rPr>
        <w:t>]</w:t>
      </w:r>
      <w:r w:rsidR="001E274B" w:rsidRPr="00860603">
        <w:rPr>
          <w:rFonts w:ascii="Arial" w:hAnsi="Arial" w:cs="Arial"/>
          <w:sz w:val="24"/>
          <w:szCs w:val="24"/>
        </w:rPr>
        <w:tab/>
      </w:r>
      <w:r w:rsidR="00A45127" w:rsidRPr="00860603">
        <w:rPr>
          <w:rFonts w:ascii="Arial" w:hAnsi="Arial" w:cs="Arial"/>
          <w:sz w:val="24"/>
          <w:szCs w:val="24"/>
        </w:rPr>
        <w:t xml:space="preserve">Thus, the following legal position crystallised under the Supreme Court Act. An order that met the three </w:t>
      </w:r>
      <w:r w:rsidR="00A45127" w:rsidRPr="00860603">
        <w:rPr>
          <w:rFonts w:ascii="Arial" w:hAnsi="Arial" w:cs="Arial"/>
          <w:i/>
          <w:sz w:val="24"/>
          <w:szCs w:val="24"/>
        </w:rPr>
        <w:t>Zweni</w:t>
      </w:r>
      <w:r w:rsidR="00A45127" w:rsidRPr="00860603">
        <w:rPr>
          <w:rFonts w:ascii="Arial" w:hAnsi="Arial" w:cs="Arial"/>
          <w:sz w:val="24"/>
          <w:szCs w:val="24"/>
        </w:rPr>
        <w:t xml:space="preserve"> requirements would be an appealable decision. In accordance with the general rule against piecemeal entertainment of appeals, an order that did not have all the </w:t>
      </w:r>
      <w:r w:rsidR="00A45127" w:rsidRPr="00860603">
        <w:rPr>
          <w:rFonts w:ascii="Arial" w:hAnsi="Arial" w:cs="Arial"/>
          <w:i/>
          <w:sz w:val="24"/>
          <w:szCs w:val="24"/>
        </w:rPr>
        <w:t>Zweni</w:t>
      </w:r>
      <w:r w:rsidR="00A45127" w:rsidRPr="00860603">
        <w:rPr>
          <w:rFonts w:ascii="Arial" w:hAnsi="Arial" w:cs="Arial"/>
          <w:sz w:val="24"/>
          <w:szCs w:val="24"/>
        </w:rPr>
        <w:t xml:space="preserve"> attributes, would generally not be an appealable decision. Such an order would nevertheless qualify as an appealable decision if it had a final and definitive effect on the proceedings or if the interests of justice required it to be regarded as an appealable decision. </w:t>
      </w:r>
    </w:p>
    <w:p w14:paraId="5FF49876" w14:textId="77777777" w:rsidR="001E274B" w:rsidRPr="00860603" w:rsidRDefault="001E274B" w:rsidP="00B05C8E">
      <w:pPr>
        <w:rPr>
          <w:rFonts w:ascii="Arial" w:hAnsi="Arial" w:cs="Arial"/>
          <w:sz w:val="24"/>
          <w:szCs w:val="24"/>
        </w:rPr>
      </w:pPr>
    </w:p>
    <w:p w14:paraId="5569FB1C" w14:textId="7CFF6282" w:rsidR="001E274B" w:rsidRPr="00860603" w:rsidRDefault="00244C11" w:rsidP="00B05C8E">
      <w:pPr>
        <w:rPr>
          <w:rFonts w:ascii="Arial" w:hAnsi="Arial" w:cs="Arial"/>
          <w:sz w:val="24"/>
          <w:szCs w:val="24"/>
        </w:rPr>
      </w:pPr>
      <w:r>
        <w:rPr>
          <w:rFonts w:ascii="Arial" w:hAnsi="Arial" w:cs="Arial"/>
          <w:sz w:val="24"/>
          <w:szCs w:val="24"/>
        </w:rPr>
        <w:t>[25</w:t>
      </w:r>
      <w:r w:rsidR="001E274B" w:rsidRPr="00860603">
        <w:rPr>
          <w:rFonts w:ascii="Arial" w:hAnsi="Arial" w:cs="Arial"/>
          <w:sz w:val="24"/>
          <w:szCs w:val="24"/>
        </w:rPr>
        <w:t>]</w:t>
      </w:r>
      <w:r w:rsidR="001E274B" w:rsidRPr="00860603">
        <w:rPr>
          <w:rFonts w:ascii="Arial" w:hAnsi="Arial" w:cs="Arial"/>
          <w:sz w:val="24"/>
          <w:szCs w:val="24"/>
        </w:rPr>
        <w:tab/>
      </w:r>
      <w:r w:rsidR="001D3E42" w:rsidRPr="00860603">
        <w:rPr>
          <w:rFonts w:ascii="Arial" w:hAnsi="Arial" w:cs="Arial"/>
          <w:sz w:val="24"/>
          <w:szCs w:val="24"/>
        </w:rPr>
        <w:t>What the interests of justice required was not determined by a closed list of considerations and depended on the relevant facts and circumstances of each individual case. Nevertheless</w:t>
      </w:r>
      <w:r w:rsidR="00ED750C" w:rsidRPr="00860603">
        <w:rPr>
          <w:rFonts w:ascii="Arial" w:hAnsi="Arial" w:cs="Arial"/>
          <w:sz w:val="24"/>
          <w:szCs w:val="24"/>
        </w:rPr>
        <w:t>,</w:t>
      </w:r>
      <w:r w:rsidR="001D3E42" w:rsidRPr="00860603">
        <w:rPr>
          <w:rFonts w:ascii="Arial" w:hAnsi="Arial" w:cs="Arial"/>
          <w:sz w:val="24"/>
          <w:szCs w:val="24"/>
        </w:rPr>
        <w:t xml:space="preserve"> this court gave important guidance in this regard. In </w:t>
      </w:r>
      <w:r w:rsidR="001D3E42" w:rsidRPr="00860603">
        <w:rPr>
          <w:rFonts w:ascii="Arial" w:hAnsi="Arial" w:cs="Arial"/>
          <w:i/>
          <w:sz w:val="24"/>
          <w:szCs w:val="24"/>
        </w:rPr>
        <w:t>Beinash v Wixley</w:t>
      </w:r>
      <w:r w:rsidR="001D3E42" w:rsidRPr="00860603">
        <w:rPr>
          <w:rFonts w:ascii="Arial" w:hAnsi="Arial" w:cs="Arial"/>
          <w:sz w:val="24"/>
          <w:szCs w:val="24"/>
        </w:rPr>
        <w:t xml:space="preserve"> 1997 (3) SA 721 SCA; [1997] 2 All SA 241 SCA Mahomed CJ said (at 729H-730E):</w:t>
      </w:r>
    </w:p>
    <w:p w14:paraId="5EDF7F4D" w14:textId="73D8ADF8" w:rsidR="001D3E42" w:rsidRPr="00860603" w:rsidRDefault="009A0319" w:rsidP="00B05C8E">
      <w:pPr>
        <w:rPr>
          <w:rFonts w:ascii="Arial" w:hAnsi="Arial" w:cs="Arial"/>
        </w:rPr>
      </w:pPr>
      <w:r w:rsidRPr="00860603">
        <w:rPr>
          <w:rFonts w:ascii="Arial" w:hAnsi="Arial" w:cs="Arial"/>
        </w:rPr>
        <w:t>‘</w:t>
      </w:r>
      <w:r w:rsidR="00050A1F" w:rsidRPr="00860603">
        <w:rPr>
          <w:rFonts w:ascii="Arial" w:hAnsi="Arial" w:cs="Arial"/>
        </w:rPr>
        <w:t>There can be no doubt that the decision of the then Witwatersrand Local D</w:t>
      </w:r>
      <w:r w:rsidR="006C5BFB" w:rsidRPr="00860603">
        <w:rPr>
          <w:rFonts w:ascii="Arial" w:hAnsi="Arial" w:cs="Arial"/>
        </w:rPr>
        <w:t xml:space="preserve">ivision to set aside the impugned subpoena was a </w:t>
      </w:r>
      <w:r w:rsidR="00756F1B" w:rsidRPr="00860603">
        <w:rPr>
          <w:rFonts w:ascii="Arial" w:hAnsi="Arial" w:cs="Arial"/>
        </w:rPr>
        <w:t>“</w:t>
      </w:r>
      <w:r w:rsidR="006C5BFB" w:rsidRPr="00860603">
        <w:rPr>
          <w:rFonts w:ascii="Arial" w:hAnsi="Arial" w:cs="Arial"/>
        </w:rPr>
        <w:t>judgment or order</w:t>
      </w:r>
      <w:r w:rsidR="00756F1B" w:rsidRPr="00860603">
        <w:rPr>
          <w:rFonts w:ascii="Arial" w:hAnsi="Arial" w:cs="Arial"/>
        </w:rPr>
        <w:t xml:space="preserve">” </w:t>
      </w:r>
      <w:r w:rsidR="006C5BFB" w:rsidRPr="00860603">
        <w:rPr>
          <w:rFonts w:ascii="Arial" w:hAnsi="Arial" w:cs="Arial"/>
        </w:rPr>
        <w:t xml:space="preserve">in the </w:t>
      </w:r>
      <w:r w:rsidR="006C5BFB" w:rsidRPr="00860603">
        <w:rPr>
          <w:rFonts w:ascii="Arial" w:hAnsi="Arial" w:cs="Arial"/>
          <w:u w:val="single"/>
        </w:rPr>
        <w:t>ordinary</w:t>
      </w:r>
      <w:r w:rsidR="006C5BFB" w:rsidRPr="00860603">
        <w:rPr>
          <w:rFonts w:ascii="Arial" w:hAnsi="Arial" w:cs="Arial"/>
          <w:i/>
        </w:rPr>
        <w:t xml:space="preserve"> </w:t>
      </w:r>
      <w:r w:rsidR="006C5BFB" w:rsidRPr="00860603">
        <w:rPr>
          <w:rFonts w:ascii="Arial" w:hAnsi="Arial" w:cs="Arial"/>
        </w:rPr>
        <w:t xml:space="preserve">sense of the word which, if wrong, could be corrected on appeal. The real question is whether it can be corrected forthwith and independently of the outcome of the main proceedings or whether the appellant is constrained to await the outcome of the main proceedings before the decision can be attacked as one of the grounds of appeal – in which event the decision of the </w:t>
      </w:r>
      <w:r w:rsidR="00756F1B" w:rsidRPr="00860603">
        <w:rPr>
          <w:rFonts w:ascii="Arial" w:hAnsi="Arial" w:cs="Arial"/>
        </w:rPr>
        <w:t>c</w:t>
      </w:r>
      <w:r w:rsidR="006C5BFB" w:rsidRPr="00860603">
        <w:rPr>
          <w:rFonts w:ascii="Arial" w:hAnsi="Arial" w:cs="Arial"/>
        </w:rPr>
        <w:t xml:space="preserve">ourt </w:t>
      </w:r>
      <w:r w:rsidR="006C5BFB" w:rsidRPr="00860603">
        <w:rPr>
          <w:rFonts w:ascii="Arial" w:hAnsi="Arial" w:cs="Arial"/>
          <w:i/>
        </w:rPr>
        <w:t xml:space="preserve">a quo </w:t>
      </w:r>
      <w:r w:rsidR="006C5BFB" w:rsidRPr="00860603">
        <w:rPr>
          <w:rFonts w:ascii="Arial" w:hAnsi="Arial" w:cs="Arial"/>
        </w:rPr>
        <w:t xml:space="preserve">now under discussion would not be a </w:t>
      </w:r>
      <w:r w:rsidR="00756F1B" w:rsidRPr="00860603">
        <w:rPr>
          <w:rFonts w:ascii="Arial" w:hAnsi="Arial" w:cs="Arial"/>
        </w:rPr>
        <w:t>“</w:t>
      </w:r>
      <w:r w:rsidR="006C5BFB" w:rsidRPr="00860603">
        <w:rPr>
          <w:rFonts w:ascii="Arial" w:hAnsi="Arial" w:cs="Arial"/>
        </w:rPr>
        <w:t>judgment or order</w:t>
      </w:r>
      <w:r w:rsidR="00756F1B" w:rsidRPr="00860603">
        <w:rPr>
          <w:rFonts w:ascii="Arial" w:hAnsi="Arial" w:cs="Arial"/>
        </w:rPr>
        <w:t>”</w:t>
      </w:r>
      <w:r w:rsidR="006C5BFB" w:rsidRPr="00860603">
        <w:rPr>
          <w:rFonts w:ascii="Arial" w:hAnsi="Arial" w:cs="Arial"/>
        </w:rPr>
        <w:t xml:space="preserve"> in the </w:t>
      </w:r>
      <w:r w:rsidR="006C5BFB" w:rsidRPr="00860603">
        <w:rPr>
          <w:rFonts w:ascii="Arial" w:hAnsi="Arial" w:cs="Arial"/>
          <w:u w:val="single"/>
        </w:rPr>
        <w:t>technical</w:t>
      </w:r>
      <w:r w:rsidR="006C5BFB" w:rsidRPr="00860603">
        <w:rPr>
          <w:rFonts w:ascii="Arial" w:hAnsi="Arial" w:cs="Arial"/>
          <w:i/>
        </w:rPr>
        <w:t xml:space="preserve"> </w:t>
      </w:r>
      <w:r w:rsidR="006C5BFB" w:rsidRPr="00860603">
        <w:rPr>
          <w:rFonts w:ascii="Arial" w:hAnsi="Arial" w:cs="Arial"/>
        </w:rPr>
        <w:t xml:space="preserve">sense but a ruling. </w:t>
      </w:r>
    </w:p>
    <w:p w14:paraId="39EA354B" w14:textId="056FBDBA" w:rsidR="00996E7E" w:rsidRPr="00860603" w:rsidRDefault="006C5BFB" w:rsidP="00B05C8E">
      <w:pPr>
        <w:rPr>
          <w:rFonts w:ascii="Arial" w:hAnsi="Arial" w:cs="Arial"/>
        </w:rPr>
      </w:pPr>
      <w:r w:rsidRPr="00860603">
        <w:rPr>
          <w:rFonts w:ascii="Arial" w:hAnsi="Arial" w:cs="Arial"/>
        </w:rPr>
        <w:t xml:space="preserve">“The question which is generally asked . . . is whether the particular decision is appealable. Usually what is being asked relates to not whether the decision is </w:t>
      </w:r>
      <w:r w:rsidR="00996E7E" w:rsidRPr="00860603">
        <w:rPr>
          <w:rFonts w:ascii="Arial" w:hAnsi="Arial" w:cs="Arial"/>
        </w:rPr>
        <w:t xml:space="preserve">capable of being corrected by an appeal </w:t>
      </w:r>
      <w:r w:rsidR="00756F1B" w:rsidRPr="00860603">
        <w:rPr>
          <w:rFonts w:ascii="Arial" w:hAnsi="Arial" w:cs="Arial"/>
        </w:rPr>
        <w:t>c</w:t>
      </w:r>
      <w:r w:rsidR="00996E7E" w:rsidRPr="00860603">
        <w:rPr>
          <w:rFonts w:ascii="Arial" w:hAnsi="Arial" w:cs="Arial"/>
        </w:rPr>
        <w:t>ourt, but rather to the appropriate time for doing so. In effect the question is whether the particular decision may be placed before a Court of appeal in isolation, and before the proceedings have run their full course.”</w:t>
      </w:r>
      <w:r w:rsidR="00756F1B" w:rsidRPr="00860603">
        <w:rPr>
          <w:rFonts w:ascii="Arial" w:hAnsi="Arial" w:cs="Arial"/>
        </w:rPr>
        <w:t xml:space="preserve"> </w:t>
      </w:r>
      <w:r w:rsidR="00996E7E" w:rsidRPr="00860603">
        <w:rPr>
          <w:rFonts w:ascii="Arial" w:hAnsi="Arial" w:cs="Arial"/>
        </w:rPr>
        <w:t>(</w:t>
      </w:r>
      <w:r w:rsidR="00756F1B" w:rsidRPr="00860603">
        <w:rPr>
          <w:rFonts w:ascii="Arial" w:hAnsi="Arial" w:cs="Arial"/>
          <w:i/>
        </w:rPr>
        <w:t>p</w:t>
      </w:r>
      <w:r w:rsidR="00996E7E" w:rsidRPr="00860603">
        <w:rPr>
          <w:rFonts w:ascii="Arial" w:hAnsi="Arial" w:cs="Arial"/>
          <w:i/>
        </w:rPr>
        <w:t xml:space="preserve">er </w:t>
      </w:r>
      <w:r w:rsidR="00996E7E" w:rsidRPr="00860603">
        <w:rPr>
          <w:rFonts w:ascii="Arial" w:hAnsi="Arial" w:cs="Arial"/>
        </w:rPr>
        <w:t xml:space="preserve">Nugent J in </w:t>
      </w:r>
      <w:r w:rsidR="00996E7E" w:rsidRPr="00860603">
        <w:rPr>
          <w:rFonts w:ascii="Arial" w:hAnsi="Arial" w:cs="Arial"/>
          <w:i/>
        </w:rPr>
        <w:t>Liberty Life Association of Africa Ltd v Niselow</w:t>
      </w:r>
      <w:r w:rsidR="00996E7E" w:rsidRPr="00860603">
        <w:rPr>
          <w:rFonts w:ascii="Arial" w:hAnsi="Arial" w:cs="Arial"/>
        </w:rPr>
        <w:t xml:space="preserve"> (1996) 17 </w:t>
      </w:r>
      <w:r w:rsidR="00996E7E" w:rsidRPr="00860603">
        <w:rPr>
          <w:rFonts w:ascii="Arial" w:hAnsi="Arial" w:cs="Arial"/>
          <w:i/>
        </w:rPr>
        <w:t xml:space="preserve">ILJ </w:t>
      </w:r>
      <w:r w:rsidR="00996E7E" w:rsidRPr="00860603">
        <w:rPr>
          <w:rFonts w:ascii="Arial" w:hAnsi="Arial" w:cs="Arial"/>
        </w:rPr>
        <w:t>673 (LAC) at 676H.)</w:t>
      </w:r>
    </w:p>
    <w:p w14:paraId="3BC57D7C" w14:textId="2ACE2CC3" w:rsidR="00996E7E" w:rsidRPr="00860603" w:rsidRDefault="00996E7E" w:rsidP="00B05C8E">
      <w:pPr>
        <w:rPr>
          <w:rFonts w:ascii="Arial" w:hAnsi="Arial" w:cs="Arial"/>
        </w:rPr>
      </w:pPr>
      <w:r w:rsidRPr="00860603">
        <w:rPr>
          <w:rFonts w:ascii="Arial" w:hAnsi="Arial" w:cs="Arial"/>
        </w:rPr>
        <w:t>This problem often arises when one or other party seeks to appeal against some preliminary or interlocutory decision</w:t>
      </w:r>
      <w:r w:rsidR="00756F1B" w:rsidRPr="00860603">
        <w:rPr>
          <w:rFonts w:ascii="Arial" w:hAnsi="Arial" w:cs="Arial"/>
        </w:rPr>
        <w:t>,</w:t>
      </w:r>
      <w:r w:rsidRPr="00860603">
        <w:rPr>
          <w:rFonts w:ascii="Arial" w:hAnsi="Arial" w:cs="Arial"/>
        </w:rPr>
        <w:t xml:space="preserve"> which is made by a court before it has arrived at a final conclusion </w:t>
      </w:r>
      <w:r w:rsidRPr="00860603">
        <w:rPr>
          <w:rFonts w:ascii="Arial" w:hAnsi="Arial" w:cs="Arial"/>
        </w:rPr>
        <w:lastRenderedPageBreak/>
        <w:t xml:space="preserve">on the merits of the dispute between the parties. The approach of the </w:t>
      </w:r>
      <w:r w:rsidR="00756F1B" w:rsidRPr="00860603">
        <w:rPr>
          <w:rFonts w:ascii="Arial" w:hAnsi="Arial" w:cs="Arial"/>
        </w:rPr>
        <w:t>c</w:t>
      </w:r>
      <w:r w:rsidRPr="00860603">
        <w:rPr>
          <w:rFonts w:ascii="Arial" w:hAnsi="Arial" w:cs="Arial"/>
        </w:rPr>
        <w:t>ourt in such circumstances is a flexible approach. In the words of Harms AJA in Zweni v Minister of Law and Order</w:t>
      </w:r>
      <w:r w:rsidRPr="00860603">
        <w:rPr>
          <w:rFonts w:ascii="Arial" w:hAnsi="Arial" w:cs="Arial"/>
          <w:i/>
        </w:rPr>
        <w:t xml:space="preserve"> </w:t>
      </w:r>
      <w:r w:rsidRPr="00860603">
        <w:rPr>
          <w:rFonts w:ascii="Arial" w:hAnsi="Arial" w:cs="Arial"/>
        </w:rPr>
        <w:t>1993 (1) SA 523 (A) at 531J-532A:</w:t>
      </w:r>
    </w:p>
    <w:p w14:paraId="67DAFE4A" w14:textId="04EC5A05" w:rsidR="00996E7E" w:rsidRPr="00860603" w:rsidRDefault="00996E7E" w:rsidP="00B05C8E">
      <w:pPr>
        <w:rPr>
          <w:rFonts w:ascii="Arial" w:hAnsi="Arial" w:cs="Arial"/>
        </w:rPr>
      </w:pPr>
      <w:r w:rsidRPr="00860603">
        <w:rPr>
          <w:rFonts w:ascii="Arial" w:hAnsi="Arial" w:cs="Arial"/>
        </w:rPr>
        <w:t xml:space="preserve">“The emphasis is now rather on whether an appeal </w:t>
      </w:r>
      <w:r w:rsidR="00327428" w:rsidRPr="00860603">
        <w:rPr>
          <w:rFonts w:ascii="Arial" w:hAnsi="Arial" w:cs="Arial"/>
        </w:rPr>
        <w:t>will necessarily lead to a more expeditious and cost-effective final determination of the main dispute between the parties and, as such, will decisively contribute to its final solution.”</w:t>
      </w:r>
    </w:p>
    <w:p w14:paraId="7A462DD5" w14:textId="5CEE2C99" w:rsidR="00327428" w:rsidRPr="00860603" w:rsidRDefault="006D7808" w:rsidP="00B05C8E">
      <w:pPr>
        <w:rPr>
          <w:rFonts w:ascii="Arial" w:hAnsi="Arial" w:cs="Arial"/>
        </w:rPr>
      </w:pPr>
      <w:r w:rsidRPr="00860603">
        <w:rPr>
          <w:rFonts w:ascii="Arial" w:hAnsi="Arial" w:cs="Arial"/>
        </w:rPr>
        <w:t xml:space="preserve">What the </w:t>
      </w:r>
      <w:r w:rsidR="00F237D5" w:rsidRPr="00860603">
        <w:rPr>
          <w:rFonts w:ascii="Arial" w:hAnsi="Arial" w:cs="Arial"/>
        </w:rPr>
        <w:t>c</w:t>
      </w:r>
      <w:r w:rsidRPr="00860603">
        <w:rPr>
          <w:rFonts w:ascii="Arial" w:hAnsi="Arial" w:cs="Arial"/>
        </w:rPr>
        <w:t>ourt does is to have regard to all the relevant factors impacting on this issue. It asks whether the decision sought to be corrected would, if decided in a particular way, be decisive of the case as a whole or a substantial portion of the relief claimed, or whether such decision anticipates an issue to be determined in the main proceedings. The objective is to ascertain what course would best “bring about the just and expeditious decision of the major substantive dispute between the parties.’</w:t>
      </w:r>
    </w:p>
    <w:p w14:paraId="76109C4A" w14:textId="77777777" w:rsidR="003E3D0E" w:rsidRPr="00860603" w:rsidRDefault="003E3D0E" w:rsidP="00B05C8E">
      <w:pPr>
        <w:rPr>
          <w:rFonts w:ascii="Arial" w:hAnsi="Arial" w:cs="Arial"/>
          <w:sz w:val="24"/>
          <w:szCs w:val="24"/>
        </w:rPr>
      </w:pPr>
    </w:p>
    <w:p w14:paraId="7648B898" w14:textId="13F066D2" w:rsidR="003E3D0E" w:rsidRPr="00860603" w:rsidRDefault="009D428D" w:rsidP="00B05C8E">
      <w:pPr>
        <w:rPr>
          <w:rFonts w:ascii="Arial" w:hAnsi="Arial" w:cs="Arial"/>
          <w:sz w:val="24"/>
          <w:szCs w:val="24"/>
        </w:rPr>
      </w:pPr>
      <w:r>
        <w:rPr>
          <w:rFonts w:ascii="Arial" w:hAnsi="Arial" w:cs="Arial"/>
          <w:sz w:val="24"/>
          <w:szCs w:val="24"/>
        </w:rPr>
        <w:t>[2</w:t>
      </w:r>
      <w:r w:rsidR="00244C11">
        <w:rPr>
          <w:rFonts w:ascii="Arial" w:hAnsi="Arial" w:cs="Arial"/>
          <w:sz w:val="24"/>
          <w:szCs w:val="24"/>
        </w:rPr>
        <w:t>6</w:t>
      </w:r>
      <w:r w:rsidR="003E3D0E" w:rsidRPr="00860603">
        <w:rPr>
          <w:rFonts w:ascii="Arial" w:hAnsi="Arial" w:cs="Arial"/>
          <w:sz w:val="24"/>
          <w:szCs w:val="24"/>
        </w:rPr>
        <w:t>]</w:t>
      </w:r>
      <w:r w:rsidR="003E3D0E" w:rsidRPr="00860603">
        <w:rPr>
          <w:rFonts w:ascii="Arial" w:hAnsi="Arial" w:cs="Arial"/>
          <w:sz w:val="24"/>
          <w:szCs w:val="24"/>
        </w:rPr>
        <w:tab/>
      </w:r>
      <w:r w:rsidR="00D1411E" w:rsidRPr="00860603">
        <w:rPr>
          <w:rFonts w:ascii="Arial" w:hAnsi="Arial" w:cs="Arial"/>
          <w:sz w:val="24"/>
          <w:szCs w:val="24"/>
        </w:rPr>
        <w:t xml:space="preserve">In </w:t>
      </w:r>
      <w:r w:rsidR="00D1411E" w:rsidRPr="00860603">
        <w:rPr>
          <w:rFonts w:ascii="Arial" w:hAnsi="Arial" w:cs="Arial"/>
          <w:i/>
          <w:sz w:val="24"/>
          <w:szCs w:val="24"/>
        </w:rPr>
        <w:t>King</w:t>
      </w:r>
      <w:r w:rsidR="00D1411E" w:rsidRPr="00860603">
        <w:rPr>
          <w:rFonts w:ascii="Arial" w:hAnsi="Arial" w:cs="Arial"/>
          <w:sz w:val="24"/>
          <w:szCs w:val="24"/>
        </w:rPr>
        <w:t xml:space="preserve"> para 44 Harms DP quoted this passage with approval. And</w:t>
      </w:r>
      <w:r w:rsidR="005E7A9D" w:rsidRPr="00860603">
        <w:rPr>
          <w:rFonts w:ascii="Arial" w:hAnsi="Arial" w:cs="Arial"/>
          <w:sz w:val="24"/>
          <w:szCs w:val="24"/>
        </w:rPr>
        <w:t>,</w:t>
      </w:r>
      <w:r w:rsidR="00D1411E" w:rsidRPr="00860603">
        <w:rPr>
          <w:rFonts w:ascii="Arial" w:hAnsi="Arial" w:cs="Arial"/>
          <w:sz w:val="24"/>
          <w:szCs w:val="24"/>
        </w:rPr>
        <w:t xml:space="preserve"> in a separate judgment in </w:t>
      </w:r>
      <w:r w:rsidR="00D1411E" w:rsidRPr="00860603">
        <w:rPr>
          <w:rFonts w:ascii="Arial" w:hAnsi="Arial" w:cs="Arial"/>
          <w:i/>
          <w:sz w:val="24"/>
          <w:szCs w:val="24"/>
        </w:rPr>
        <w:t>K</w:t>
      </w:r>
      <w:r w:rsidR="000214A1" w:rsidRPr="00860603">
        <w:rPr>
          <w:rFonts w:ascii="Arial" w:hAnsi="Arial" w:cs="Arial"/>
          <w:i/>
          <w:sz w:val="24"/>
          <w:szCs w:val="24"/>
        </w:rPr>
        <w:t>ing</w:t>
      </w:r>
      <w:r w:rsidR="00D1411E" w:rsidRPr="00860603">
        <w:rPr>
          <w:rFonts w:ascii="Arial" w:hAnsi="Arial" w:cs="Arial"/>
          <w:sz w:val="24"/>
          <w:szCs w:val="24"/>
        </w:rPr>
        <w:t>, concurred in by all the members of the court, Nugent JA in paras 50-51 further propounded this ‘increasingly flexible and pragmatic</w:t>
      </w:r>
      <w:r w:rsidR="00C863EA" w:rsidRPr="00860603">
        <w:rPr>
          <w:rFonts w:ascii="Arial" w:hAnsi="Arial" w:cs="Arial"/>
          <w:sz w:val="24"/>
          <w:szCs w:val="24"/>
        </w:rPr>
        <w:t>’</w:t>
      </w:r>
      <w:r w:rsidR="00D1411E" w:rsidRPr="00860603">
        <w:rPr>
          <w:rFonts w:ascii="Arial" w:hAnsi="Arial" w:cs="Arial"/>
          <w:sz w:val="24"/>
          <w:szCs w:val="24"/>
        </w:rPr>
        <w:t xml:space="preserve"> approach. It was thus firmly established under the Supreme Court Act that whether an appeal would lead to a just and expeditious determination of the real or major dispute between the parties, was an important consideration in deciding whether an order was to be regarded as an appealable decision. </w:t>
      </w:r>
    </w:p>
    <w:p w14:paraId="795DAD87" w14:textId="77777777" w:rsidR="00AF78FD" w:rsidRPr="00860603" w:rsidRDefault="00AF78FD" w:rsidP="00B05C8E">
      <w:pPr>
        <w:rPr>
          <w:rFonts w:ascii="Arial" w:hAnsi="Arial" w:cs="Arial"/>
          <w:sz w:val="24"/>
          <w:szCs w:val="24"/>
        </w:rPr>
      </w:pPr>
    </w:p>
    <w:p w14:paraId="448BEAC9" w14:textId="4618E0B4" w:rsidR="00B05C8E" w:rsidRPr="00860603" w:rsidRDefault="009D428D" w:rsidP="00C048EE">
      <w:pPr>
        <w:rPr>
          <w:rFonts w:ascii="Arial" w:hAnsi="Arial" w:cs="Arial"/>
          <w:sz w:val="24"/>
          <w:szCs w:val="24"/>
        </w:rPr>
      </w:pPr>
      <w:r>
        <w:rPr>
          <w:rFonts w:ascii="Arial" w:hAnsi="Arial" w:cs="Arial"/>
          <w:sz w:val="24"/>
          <w:szCs w:val="24"/>
        </w:rPr>
        <w:t>[2</w:t>
      </w:r>
      <w:r w:rsidR="00244C11">
        <w:rPr>
          <w:rFonts w:ascii="Arial" w:hAnsi="Arial" w:cs="Arial"/>
          <w:sz w:val="24"/>
          <w:szCs w:val="24"/>
        </w:rPr>
        <w:t>7</w:t>
      </w:r>
      <w:r w:rsidR="00AF78FD" w:rsidRPr="00860603">
        <w:rPr>
          <w:rFonts w:ascii="Arial" w:hAnsi="Arial" w:cs="Arial"/>
          <w:sz w:val="24"/>
          <w:szCs w:val="24"/>
        </w:rPr>
        <w:t>]</w:t>
      </w:r>
      <w:r w:rsidR="00AF78FD" w:rsidRPr="00860603">
        <w:rPr>
          <w:rFonts w:ascii="Arial" w:hAnsi="Arial" w:cs="Arial"/>
          <w:sz w:val="24"/>
          <w:szCs w:val="24"/>
        </w:rPr>
        <w:tab/>
      </w:r>
      <w:r w:rsidR="000214A1" w:rsidRPr="00860603">
        <w:rPr>
          <w:rFonts w:ascii="Arial" w:hAnsi="Arial" w:cs="Arial"/>
          <w:sz w:val="24"/>
          <w:szCs w:val="24"/>
        </w:rPr>
        <w:t xml:space="preserve">In a number of decisions this court has held, directly or indirectly, that the meaning of ‘decision’ in s 16(1) of the Superior Courts Act is the same as </w:t>
      </w:r>
      <w:r w:rsidR="005E7A9D" w:rsidRPr="00860603">
        <w:rPr>
          <w:rFonts w:ascii="Arial" w:hAnsi="Arial" w:cs="Arial"/>
          <w:sz w:val="24"/>
          <w:szCs w:val="24"/>
        </w:rPr>
        <w:t>that</w:t>
      </w:r>
      <w:r w:rsidR="000214A1" w:rsidRPr="00860603">
        <w:rPr>
          <w:rFonts w:ascii="Arial" w:hAnsi="Arial" w:cs="Arial"/>
          <w:sz w:val="24"/>
          <w:szCs w:val="24"/>
        </w:rPr>
        <w:t xml:space="preserve"> of ‘judgment or order’ and ‘decision’ under the Supreme Court Act. See, for instance, </w:t>
      </w:r>
      <w:r w:rsidR="000214A1" w:rsidRPr="00860603">
        <w:rPr>
          <w:rFonts w:ascii="Arial" w:hAnsi="Arial" w:cs="Arial"/>
          <w:i/>
          <w:sz w:val="24"/>
          <w:szCs w:val="24"/>
        </w:rPr>
        <w:t>Nova Property Group Holdings</w:t>
      </w:r>
      <w:r w:rsidR="00C863EA" w:rsidRPr="00860603">
        <w:rPr>
          <w:rFonts w:ascii="Arial" w:hAnsi="Arial" w:cs="Arial"/>
          <w:i/>
          <w:sz w:val="24"/>
          <w:szCs w:val="24"/>
        </w:rPr>
        <w:t xml:space="preserve"> </w:t>
      </w:r>
      <w:r w:rsidR="000214A1" w:rsidRPr="00860603">
        <w:rPr>
          <w:rFonts w:ascii="Arial" w:hAnsi="Arial" w:cs="Arial"/>
          <w:i/>
          <w:sz w:val="24"/>
          <w:szCs w:val="24"/>
        </w:rPr>
        <w:t xml:space="preserve">&amp;v Cobbett </w:t>
      </w:r>
      <w:r w:rsidR="000214A1" w:rsidRPr="00860603">
        <w:rPr>
          <w:rFonts w:ascii="Arial" w:hAnsi="Arial" w:cs="Arial"/>
          <w:sz w:val="24"/>
          <w:szCs w:val="24"/>
        </w:rPr>
        <w:t xml:space="preserve">[2016] ZASCA 63; 2016 (4) SA 317 </w:t>
      </w:r>
      <w:r w:rsidR="00C863EA" w:rsidRPr="00860603">
        <w:rPr>
          <w:rFonts w:ascii="Arial" w:hAnsi="Arial" w:cs="Arial"/>
          <w:sz w:val="24"/>
          <w:szCs w:val="24"/>
        </w:rPr>
        <w:t>(</w:t>
      </w:r>
      <w:r w:rsidR="000214A1" w:rsidRPr="00860603">
        <w:rPr>
          <w:rFonts w:ascii="Arial" w:hAnsi="Arial" w:cs="Arial"/>
          <w:sz w:val="24"/>
          <w:szCs w:val="24"/>
        </w:rPr>
        <w:t>SCA</w:t>
      </w:r>
      <w:r w:rsidR="00C863EA" w:rsidRPr="00860603">
        <w:rPr>
          <w:rFonts w:ascii="Arial" w:hAnsi="Arial" w:cs="Arial"/>
          <w:sz w:val="24"/>
          <w:szCs w:val="24"/>
        </w:rPr>
        <w:t>)</w:t>
      </w:r>
      <w:r w:rsidR="000214A1" w:rsidRPr="00860603">
        <w:rPr>
          <w:rFonts w:ascii="Arial" w:hAnsi="Arial" w:cs="Arial"/>
          <w:sz w:val="24"/>
          <w:szCs w:val="24"/>
        </w:rPr>
        <w:t xml:space="preserve"> paras 8-9; </w:t>
      </w:r>
      <w:r w:rsidR="000214A1" w:rsidRPr="00860603">
        <w:rPr>
          <w:rFonts w:ascii="Arial" w:hAnsi="Arial" w:cs="Arial"/>
          <w:i/>
          <w:sz w:val="24"/>
          <w:szCs w:val="24"/>
        </w:rPr>
        <w:t xml:space="preserve">Firstrand Bank Limited t/a First National Bank v Makaleng </w:t>
      </w:r>
      <w:r w:rsidR="000214A1" w:rsidRPr="00860603">
        <w:rPr>
          <w:rFonts w:ascii="Arial" w:hAnsi="Arial" w:cs="Arial"/>
          <w:sz w:val="24"/>
          <w:szCs w:val="24"/>
        </w:rPr>
        <w:t xml:space="preserve">[2016] ZASCA 169 paras 10-15 and </w:t>
      </w:r>
      <w:r w:rsidR="000214A1" w:rsidRPr="00860603">
        <w:rPr>
          <w:rFonts w:ascii="Arial" w:hAnsi="Arial" w:cs="Arial"/>
          <w:i/>
          <w:sz w:val="24"/>
          <w:szCs w:val="24"/>
        </w:rPr>
        <w:t>Neo</w:t>
      </w:r>
      <w:r w:rsidR="00C863EA" w:rsidRPr="00860603">
        <w:rPr>
          <w:rFonts w:ascii="Arial" w:hAnsi="Arial" w:cs="Arial"/>
          <w:i/>
          <w:sz w:val="24"/>
          <w:szCs w:val="24"/>
        </w:rPr>
        <w:t>t</w:t>
      </w:r>
      <w:r w:rsidR="000214A1" w:rsidRPr="00860603">
        <w:rPr>
          <w:rFonts w:ascii="Arial" w:hAnsi="Arial" w:cs="Arial"/>
          <w:i/>
          <w:sz w:val="24"/>
          <w:szCs w:val="24"/>
        </w:rPr>
        <w:t>el (Pty) Ltd v Telkom SOC</w:t>
      </w:r>
      <w:r w:rsidR="00C863EA" w:rsidRPr="00860603">
        <w:rPr>
          <w:rFonts w:ascii="Arial" w:hAnsi="Arial" w:cs="Arial"/>
          <w:i/>
          <w:sz w:val="24"/>
          <w:szCs w:val="24"/>
        </w:rPr>
        <w:t xml:space="preserve"> &amp; Others</w:t>
      </w:r>
      <w:r w:rsidR="000214A1" w:rsidRPr="00860603">
        <w:rPr>
          <w:rFonts w:ascii="Arial" w:hAnsi="Arial" w:cs="Arial"/>
          <w:sz w:val="24"/>
          <w:szCs w:val="24"/>
        </w:rPr>
        <w:t xml:space="preserve"> [2017] ZASCA 47 paras 12-13. I have no doubt that these decisions were correctly decided on this point and added my voice thereto in </w:t>
      </w:r>
      <w:r w:rsidR="000214A1" w:rsidRPr="00860603">
        <w:rPr>
          <w:rFonts w:ascii="Arial" w:hAnsi="Arial" w:cs="Arial"/>
          <w:i/>
          <w:sz w:val="24"/>
          <w:szCs w:val="24"/>
        </w:rPr>
        <w:t xml:space="preserve">Van Huyssteen &amp; Others v Pepkor Speciality (Pty) Ltd &amp; Another </w:t>
      </w:r>
      <w:r w:rsidR="000214A1" w:rsidRPr="00860603">
        <w:rPr>
          <w:rFonts w:ascii="Arial" w:hAnsi="Arial" w:cs="Arial"/>
          <w:sz w:val="24"/>
          <w:szCs w:val="24"/>
        </w:rPr>
        <w:t xml:space="preserve">[2020] ZASCA 78 para 18. </w:t>
      </w:r>
      <w:r w:rsidR="005E7A9D" w:rsidRPr="00860603">
        <w:rPr>
          <w:rFonts w:ascii="Arial" w:hAnsi="Arial" w:cs="Arial"/>
          <w:sz w:val="24"/>
          <w:szCs w:val="24"/>
        </w:rPr>
        <w:t xml:space="preserve">See also </w:t>
      </w:r>
      <w:r w:rsidR="005E7A9D" w:rsidRPr="00860603">
        <w:rPr>
          <w:rFonts w:ascii="Arial" w:hAnsi="Arial" w:cs="Arial"/>
          <w:i/>
          <w:sz w:val="24"/>
          <w:szCs w:val="24"/>
        </w:rPr>
        <w:t>United Democratic Movement &amp; Another v Lebashe Investment Group (Pty) Ltd &amp; Others</w:t>
      </w:r>
      <w:r w:rsidR="005E7A9D" w:rsidRPr="00860603">
        <w:rPr>
          <w:rFonts w:ascii="Arial" w:hAnsi="Arial" w:cs="Arial"/>
          <w:sz w:val="24"/>
          <w:szCs w:val="24"/>
        </w:rPr>
        <w:t xml:space="preserve"> [2022] ZACC 34 para 45. </w:t>
      </w:r>
      <w:r w:rsidR="000214A1" w:rsidRPr="00860603">
        <w:rPr>
          <w:rFonts w:ascii="Arial" w:hAnsi="Arial" w:cs="Arial"/>
          <w:sz w:val="24"/>
          <w:szCs w:val="24"/>
        </w:rPr>
        <w:t xml:space="preserve">The legislature is presumed to know the law and gave no indication of an intention to depart from the well-established meaning of ‘decision’ in this context. I therefore conclude that the meaning of </w:t>
      </w:r>
      <w:r w:rsidR="00B62989" w:rsidRPr="00860603">
        <w:rPr>
          <w:rFonts w:ascii="Arial" w:hAnsi="Arial" w:cs="Arial"/>
          <w:sz w:val="24"/>
          <w:szCs w:val="24"/>
        </w:rPr>
        <w:t xml:space="preserve">‘decision’ in s 16(1) of the Superior Courts Act is the same as that of ‘decision’ and ‘judgment or order’ under the Supreme Court Act. </w:t>
      </w:r>
    </w:p>
    <w:p w14:paraId="0F6D0DA1" w14:textId="77777777" w:rsidR="00B05C8E" w:rsidRPr="00860603" w:rsidRDefault="00B05C8E" w:rsidP="00C048EE">
      <w:pPr>
        <w:rPr>
          <w:rFonts w:ascii="Arial" w:hAnsi="Arial" w:cs="Arial"/>
          <w:sz w:val="24"/>
          <w:szCs w:val="24"/>
        </w:rPr>
      </w:pPr>
    </w:p>
    <w:p w14:paraId="238267DA" w14:textId="67010489" w:rsidR="00E07170" w:rsidRPr="00860603" w:rsidRDefault="00244C11" w:rsidP="00614F9D">
      <w:pPr>
        <w:rPr>
          <w:rFonts w:ascii="Arial" w:hAnsi="Arial" w:cs="Arial"/>
          <w:sz w:val="24"/>
          <w:szCs w:val="24"/>
        </w:rPr>
      </w:pPr>
      <w:r>
        <w:rPr>
          <w:rFonts w:ascii="Arial" w:hAnsi="Arial" w:cs="Arial"/>
          <w:sz w:val="24"/>
          <w:szCs w:val="24"/>
        </w:rPr>
        <w:t>[28</w:t>
      </w:r>
      <w:r w:rsidR="00B05C8E" w:rsidRPr="00860603">
        <w:rPr>
          <w:rFonts w:ascii="Arial" w:hAnsi="Arial" w:cs="Arial"/>
          <w:sz w:val="24"/>
          <w:szCs w:val="24"/>
        </w:rPr>
        <w:t>]</w:t>
      </w:r>
      <w:r w:rsidR="00B05C8E" w:rsidRPr="00860603">
        <w:rPr>
          <w:rFonts w:ascii="Arial" w:hAnsi="Arial" w:cs="Arial"/>
          <w:sz w:val="24"/>
          <w:szCs w:val="24"/>
        </w:rPr>
        <w:tab/>
      </w:r>
      <w:r w:rsidR="007A4077" w:rsidRPr="00860603">
        <w:rPr>
          <w:rFonts w:ascii="Arial" w:hAnsi="Arial" w:cs="Arial"/>
          <w:sz w:val="24"/>
          <w:szCs w:val="24"/>
        </w:rPr>
        <w:t xml:space="preserve">There is one last matter that I need to mention under this heading. The Supreme Court Act did not enumerate the requirements for granting leave to appeal to this court. They were developed over time by the courts. In the case of </w:t>
      </w:r>
      <w:r w:rsidR="00206EB6" w:rsidRPr="00860603">
        <w:rPr>
          <w:rFonts w:ascii="Arial" w:hAnsi="Arial" w:cs="Arial"/>
          <w:sz w:val="24"/>
          <w:szCs w:val="24"/>
        </w:rPr>
        <w:t>the</w:t>
      </w:r>
      <w:r w:rsidR="007A4077" w:rsidRPr="00860603">
        <w:rPr>
          <w:rFonts w:ascii="Arial" w:hAnsi="Arial" w:cs="Arial"/>
          <w:sz w:val="24"/>
          <w:szCs w:val="24"/>
        </w:rPr>
        <w:t xml:space="preserve"> </w:t>
      </w:r>
      <w:r w:rsidR="00206EB6" w:rsidRPr="00860603">
        <w:rPr>
          <w:rFonts w:ascii="Arial" w:hAnsi="Arial" w:cs="Arial"/>
          <w:sz w:val="24"/>
          <w:szCs w:val="24"/>
        </w:rPr>
        <w:t>H</w:t>
      </w:r>
      <w:r w:rsidR="007A4077" w:rsidRPr="00860603">
        <w:rPr>
          <w:rFonts w:ascii="Arial" w:hAnsi="Arial" w:cs="Arial"/>
          <w:sz w:val="24"/>
          <w:szCs w:val="24"/>
        </w:rPr>
        <w:t xml:space="preserve">igh </w:t>
      </w:r>
      <w:r w:rsidR="00206EB6" w:rsidRPr="00860603">
        <w:rPr>
          <w:rFonts w:ascii="Arial" w:hAnsi="Arial" w:cs="Arial"/>
          <w:sz w:val="24"/>
          <w:szCs w:val="24"/>
        </w:rPr>
        <w:t>C</w:t>
      </w:r>
      <w:r w:rsidR="007A4077" w:rsidRPr="00860603">
        <w:rPr>
          <w:rFonts w:ascii="Arial" w:hAnsi="Arial" w:cs="Arial"/>
          <w:sz w:val="24"/>
          <w:szCs w:val="24"/>
        </w:rPr>
        <w:t xml:space="preserve">ourt sitting as a court of first instance, the principal requirement was, of course, a reasonable prospect of success on appeal. When the decision sought to be appealed against did not dispose of all the issues between the parties, there was an additional requirement. This was that ‘the appeal – if leave were given – would lead to a just and reasonably prompt </w:t>
      </w:r>
      <w:r w:rsidR="009553C0" w:rsidRPr="00860603">
        <w:rPr>
          <w:rFonts w:ascii="Arial" w:hAnsi="Arial" w:cs="Arial"/>
          <w:sz w:val="24"/>
          <w:szCs w:val="24"/>
        </w:rPr>
        <w:t>resolution</w:t>
      </w:r>
      <w:r w:rsidR="007A4077" w:rsidRPr="00860603">
        <w:rPr>
          <w:rFonts w:ascii="Arial" w:hAnsi="Arial" w:cs="Arial"/>
          <w:sz w:val="24"/>
          <w:szCs w:val="24"/>
        </w:rPr>
        <w:t xml:space="preserve"> of the real issue between the parties’. See </w:t>
      </w:r>
      <w:r w:rsidR="009553C0" w:rsidRPr="00860603">
        <w:rPr>
          <w:rFonts w:ascii="Arial" w:hAnsi="Arial" w:cs="Arial"/>
          <w:i/>
          <w:sz w:val="24"/>
          <w:szCs w:val="24"/>
        </w:rPr>
        <w:t>Zweni</w:t>
      </w:r>
      <w:r w:rsidR="009553C0" w:rsidRPr="00860603">
        <w:rPr>
          <w:rFonts w:ascii="Arial" w:hAnsi="Arial" w:cs="Arial"/>
          <w:sz w:val="24"/>
          <w:szCs w:val="24"/>
        </w:rPr>
        <w:t xml:space="preserve"> at 531D-E and </w:t>
      </w:r>
      <w:r w:rsidR="009553C0" w:rsidRPr="00860603">
        <w:rPr>
          <w:rFonts w:ascii="Arial" w:hAnsi="Arial" w:cs="Arial"/>
          <w:i/>
          <w:sz w:val="24"/>
          <w:szCs w:val="24"/>
        </w:rPr>
        <w:t>Smith v Kwanonqubela Town Council</w:t>
      </w:r>
      <w:r w:rsidR="009553C0" w:rsidRPr="00860603">
        <w:rPr>
          <w:rFonts w:ascii="Arial" w:hAnsi="Arial" w:cs="Arial"/>
          <w:sz w:val="24"/>
          <w:szCs w:val="24"/>
        </w:rPr>
        <w:t xml:space="preserve"> 1999 (4) SA 947 SCA para 16. </w:t>
      </w:r>
    </w:p>
    <w:p w14:paraId="3B64AAB8" w14:textId="77777777" w:rsidR="00E07170" w:rsidRPr="00860603" w:rsidRDefault="00E07170" w:rsidP="00614F9D">
      <w:pPr>
        <w:rPr>
          <w:rFonts w:ascii="Arial" w:hAnsi="Arial" w:cs="Arial"/>
          <w:sz w:val="24"/>
          <w:szCs w:val="24"/>
        </w:rPr>
      </w:pPr>
    </w:p>
    <w:p w14:paraId="27A3CEC4" w14:textId="0BF0D3B8" w:rsidR="00D839ED" w:rsidRPr="00860603" w:rsidRDefault="00244C11" w:rsidP="00614F9D">
      <w:pPr>
        <w:rPr>
          <w:rFonts w:ascii="Arial" w:hAnsi="Arial" w:cs="Arial"/>
          <w:sz w:val="24"/>
          <w:szCs w:val="24"/>
        </w:rPr>
      </w:pPr>
      <w:r>
        <w:rPr>
          <w:rFonts w:ascii="Arial" w:hAnsi="Arial" w:cs="Arial"/>
          <w:sz w:val="24"/>
          <w:szCs w:val="24"/>
        </w:rPr>
        <w:t>[29</w:t>
      </w:r>
      <w:r w:rsidR="00E07170" w:rsidRPr="00860603">
        <w:rPr>
          <w:rFonts w:ascii="Arial" w:hAnsi="Arial" w:cs="Arial"/>
          <w:sz w:val="24"/>
          <w:szCs w:val="24"/>
        </w:rPr>
        <w:t>]</w:t>
      </w:r>
      <w:r w:rsidR="00E07170" w:rsidRPr="00860603">
        <w:rPr>
          <w:rFonts w:ascii="Arial" w:hAnsi="Arial" w:cs="Arial"/>
          <w:sz w:val="24"/>
          <w:szCs w:val="24"/>
        </w:rPr>
        <w:tab/>
      </w:r>
      <w:r w:rsidR="009553C0" w:rsidRPr="00860603">
        <w:rPr>
          <w:rFonts w:ascii="Arial" w:hAnsi="Arial" w:cs="Arial"/>
          <w:sz w:val="24"/>
          <w:szCs w:val="24"/>
        </w:rPr>
        <w:t xml:space="preserve">These requirements for leave to appeal are now codified in s 17(1) of the Superior Courts Act. It reads: </w:t>
      </w:r>
    </w:p>
    <w:p w14:paraId="66192464" w14:textId="3F33D332" w:rsidR="009553C0" w:rsidRPr="00860603" w:rsidRDefault="009553C0" w:rsidP="00614F9D">
      <w:pPr>
        <w:rPr>
          <w:rFonts w:ascii="Arial" w:hAnsi="Arial" w:cs="Arial"/>
        </w:rPr>
      </w:pPr>
      <w:r w:rsidRPr="00860603">
        <w:rPr>
          <w:rFonts w:ascii="Arial" w:hAnsi="Arial" w:cs="Arial"/>
        </w:rPr>
        <w:t>‘</w:t>
      </w:r>
      <w:r w:rsidR="00FD4027" w:rsidRPr="00860603">
        <w:rPr>
          <w:rFonts w:ascii="Arial" w:hAnsi="Arial" w:cs="Arial"/>
        </w:rPr>
        <w:t>(1)</w:t>
      </w:r>
      <w:r w:rsidR="00C863EA" w:rsidRPr="00860603">
        <w:rPr>
          <w:rFonts w:ascii="Arial" w:hAnsi="Arial" w:cs="Arial"/>
        </w:rPr>
        <w:t xml:space="preserve"> </w:t>
      </w:r>
      <w:r w:rsidR="00FD4027" w:rsidRPr="00860603">
        <w:rPr>
          <w:rFonts w:ascii="Arial" w:hAnsi="Arial" w:cs="Arial"/>
        </w:rPr>
        <w:t xml:space="preserve">Leave to appeal may only be given where the judge or judges concerned are of the opinion that – </w:t>
      </w:r>
    </w:p>
    <w:p w14:paraId="5D5403A8" w14:textId="423A0D17" w:rsidR="00FD4027" w:rsidRPr="00860603" w:rsidRDefault="00FD4027" w:rsidP="00614F9D">
      <w:pPr>
        <w:rPr>
          <w:rFonts w:ascii="Arial" w:hAnsi="Arial" w:cs="Arial"/>
        </w:rPr>
      </w:pPr>
      <w:r w:rsidRPr="00860603">
        <w:rPr>
          <w:rFonts w:ascii="Arial" w:hAnsi="Arial" w:cs="Arial"/>
          <w:i/>
        </w:rPr>
        <w:t>(a)</w:t>
      </w:r>
      <w:r w:rsidRPr="00860603">
        <w:rPr>
          <w:rFonts w:ascii="Arial" w:hAnsi="Arial" w:cs="Arial"/>
          <w:i/>
        </w:rPr>
        <w:tab/>
      </w:r>
      <w:r w:rsidRPr="00860603">
        <w:rPr>
          <w:rFonts w:ascii="Arial" w:hAnsi="Arial" w:cs="Arial"/>
        </w:rPr>
        <w:t>(i)</w:t>
      </w:r>
      <w:r w:rsidR="002443ED" w:rsidRPr="00860603">
        <w:rPr>
          <w:rFonts w:ascii="Arial" w:hAnsi="Arial" w:cs="Arial"/>
        </w:rPr>
        <w:t xml:space="preserve"> </w:t>
      </w:r>
      <w:r w:rsidRPr="00860603">
        <w:rPr>
          <w:rFonts w:ascii="Arial" w:hAnsi="Arial" w:cs="Arial"/>
        </w:rPr>
        <w:t>the appeal would have a reasonable prospect of success; or</w:t>
      </w:r>
    </w:p>
    <w:p w14:paraId="55B5DE03" w14:textId="481502B9" w:rsidR="00FD4027" w:rsidRPr="00860603" w:rsidRDefault="00FD4027" w:rsidP="002443ED">
      <w:pPr>
        <w:ind w:left="709" w:firstLine="11"/>
        <w:rPr>
          <w:rFonts w:ascii="Arial" w:hAnsi="Arial" w:cs="Arial"/>
        </w:rPr>
      </w:pPr>
      <w:r w:rsidRPr="00860603">
        <w:rPr>
          <w:rFonts w:ascii="Arial" w:hAnsi="Arial" w:cs="Arial"/>
        </w:rPr>
        <w:t>(ii)</w:t>
      </w:r>
      <w:r w:rsidR="002443ED" w:rsidRPr="00860603">
        <w:rPr>
          <w:rFonts w:ascii="Arial" w:hAnsi="Arial" w:cs="Arial"/>
        </w:rPr>
        <w:t xml:space="preserve"> </w:t>
      </w:r>
      <w:r w:rsidRPr="00860603">
        <w:rPr>
          <w:rFonts w:ascii="Arial" w:hAnsi="Arial" w:cs="Arial"/>
        </w:rPr>
        <w:t xml:space="preserve">there is some other compelling reason why the appeal should be heard, including conflicting judgments on the matter under consideration; </w:t>
      </w:r>
    </w:p>
    <w:p w14:paraId="32D63475" w14:textId="6916451A" w:rsidR="00FD4027" w:rsidRPr="00860603" w:rsidRDefault="00FD4027" w:rsidP="00614F9D">
      <w:pPr>
        <w:rPr>
          <w:rFonts w:ascii="Arial" w:hAnsi="Arial" w:cs="Arial"/>
        </w:rPr>
      </w:pPr>
      <w:r w:rsidRPr="00860603">
        <w:rPr>
          <w:rFonts w:ascii="Arial" w:hAnsi="Arial" w:cs="Arial"/>
          <w:i/>
        </w:rPr>
        <w:t>(b)</w:t>
      </w:r>
      <w:r w:rsidR="002443ED" w:rsidRPr="00860603">
        <w:rPr>
          <w:rFonts w:ascii="Arial" w:hAnsi="Arial" w:cs="Arial"/>
          <w:i/>
        </w:rPr>
        <w:t xml:space="preserve"> </w:t>
      </w:r>
      <w:r w:rsidRPr="00860603">
        <w:rPr>
          <w:rFonts w:ascii="Arial" w:hAnsi="Arial" w:cs="Arial"/>
        </w:rPr>
        <w:t>the decision sought on appeal does not fall within the ambit of section 16(2)</w:t>
      </w:r>
      <w:r w:rsidRPr="00860603">
        <w:rPr>
          <w:rFonts w:ascii="Arial" w:hAnsi="Arial" w:cs="Arial"/>
          <w:i/>
        </w:rPr>
        <w:t>(a)</w:t>
      </w:r>
      <w:r w:rsidRPr="00860603">
        <w:rPr>
          <w:rFonts w:ascii="Arial" w:hAnsi="Arial" w:cs="Arial"/>
        </w:rPr>
        <w:t>; and</w:t>
      </w:r>
    </w:p>
    <w:p w14:paraId="3C45910C" w14:textId="1665E4BE" w:rsidR="00FD4027" w:rsidRPr="00860603" w:rsidRDefault="00FD4027" w:rsidP="002443ED">
      <w:pPr>
        <w:ind w:left="284" w:hanging="284"/>
        <w:rPr>
          <w:rFonts w:ascii="Arial" w:hAnsi="Arial" w:cs="Arial"/>
        </w:rPr>
      </w:pPr>
      <w:r w:rsidRPr="00860603">
        <w:rPr>
          <w:rFonts w:ascii="Arial" w:hAnsi="Arial" w:cs="Arial"/>
        </w:rPr>
        <w:t>(c)</w:t>
      </w:r>
      <w:r w:rsidR="002443ED" w:rsidRPr="00860603">
        <w:rPr>
          <w:rFonts w:ascii="Arial" w:hAnsi="Arial" w:cs="Arial"/>
        </w:rPr>
        <w:t xml:space="preserve"> </w:t>
      </w:r>
      <w:r w:rsidRPr="00860603">
        <w:rPr>
          <w:rFonts w:ascii="Arial" w:hAnsi="Arial" w:cs="Arial"/>
        </w:rPr>
        <w:t>where the decision sought to be appealed does not dispose of all the issues in the case, the appeal would lead to a just and prompt resolution of the real issues between the parties.’</w:t>
      </w:r>
    </w:p>
    <w:p w14:paraId="63F12D9F" w14:textId="77777777" w:rsidR="00F27C6B" w:rsidRPr="00860603" w:rsidRDefault="00F27C6B" w:rsidP="00C048EE">
      <w:pPr>
        <w:rPr>
          <w:rFonts w:ascii="Arial" w:hAnsi="Arial" w:cs="Arial"/>
        </w:rPr>
      </w:pPr>
    </w:p>
    <w:p w14:paraId="367019C9" w14:textId="0CC46B69" w:rsidR="00F27C6B" w:rsidRPr="00860603" w:rsidRDefault="00244C11" w:rsidP="00C048EE">
      <w:pPr>
        <w:rPr>
          <w:rFonts w:ascii="Arial" w:hAnsi="Arial" w:cs="Arial"/>
          <w:sz w:val="24"/>
          <w:szCs w:val="24"/>
        </w:rPr>
      </w:pPr>
      <w:r>
        <w:rPr>
          <w:rFonts w:ascii="Arial" w:hAnsi="Arial" w:cs="Arial"/>
          <w:sz w:val="24"/>
          <w:szCs w:val="24"/>
        </w:rPr>
        <w:t>[30</w:t>
      </w:r>
      <w:r w:rsidR="00F27C6B" w:rsidRPr="00860603">
        <w:rPr>
          <w:rFonts w:ascii="Arial" w:hAnsi="Arial" w:cs="Arial"/>
          <w:sz w:val="24"/>
          <w:szCs w:val="24"/>
        </w:rPr>
        <w:t>]</w:t>
      </w:r>
      <w:r w:rsidR="00881AEF" w:rsidRPr="00860603">
        <w:rPr>
          <w:rFonts w:ascii="Arial" w:hAnsi="Arial" w:cs="Arial"/>
          <w:sz w:val="24"/>
          <w:szCs w:val="24"/>
        </w:rPr>
        <w:tab/>
      </w:r>
      <w:r w:rsidR="00514CD2" w:rsidRPr="00860603">
        <w:rPr>
          <w:rFonts w:ascii="Arial" w:hAnsi="Arial" w:cs="Arial"/>
          <w:sz w:val="24"/>
          <w:szCs w:val="24"/>
        </w:rPr>
        <w:t>As I have demonstrated, the requirement in s 17(1)</w:t>
      </w:r>
      <w:r w:rsidR="00514CD2" w:rsidRPr="00860603">
        <w:rPr>
          <w:rFonts w:ascii="Arial" w:hAnsi="Arial" w:cs="Arial"/>
          <w:i/>
          <w:sz w:val="24"/>
          <w:szCs w:val="24"/>
        </w:rPr>
        <w:t>(c)</w:t>
      </w:r>
      <w:r w:rsidR="00514CD2" w:rsidRPr="00860603">
        <w:rPr>
          <w:rFonts w:ascii="Arial" w:hAnsi="Arial" w:cs="Arial"/>
          <w:sz w:val="24"/>
          <w:szCs w:val="24"/>
        </w:rPr>
        <w:t xml:space="preserve"> is also a consideration for the determination of whether it is in the interests of justice to regard an order as a ‘decision’ under s 16(1). This dual purpose has not always been clearly recognised or articulated. It is necessarily implicit in s 17(1) that the judge or judges concerned have to consider whether or not the order sought to be appealed against is appealable, that is whether it qualifies as a </w:t>
      </w:r>
      <w:r w:rsidR="008961BE" w:rsidRPr="00860603">
        <w:rPr>
          <w:rFonts w:ascii="Arial" w:hAnsi="Arial" w:cs="Arial"/>
          <w:sz w:val="24"/>
          <w:szCs w:val="24"/>
        </w:rPr>
        <w:t>‘decision’. Leave to appeal has</w:t>
      </w:r>
      <w:r w:rsidR="00514CD2" w:rsidRPr="00860603">
        <w:rPr>
          <w:rFonts w:ascii="Arial" w:hAnsi="Arial" w:cs="Arial"/>
          <w:sz w:val="24"/>
          <w:szCs w:val="24"/>
        </w:rPr>
        <w:t xml:space="preserve"> on numerous occasions been refused on this ground. The inclusion of s 17(1)</w:t>
      </w:r>
      <w:r w:rsidR="00514CD2" w:rsidRPr="00860603">
        <w:rPr>
          <w:rFonts w:ascii="Arial" w:hAnsi="Arial" w:cs="Arial"/>
          <w:i/>
          <w:sz w:val="24"/>
          <w:szCs w:val="24"/>
        </w:rPr>
        <w:t>(c)</w:t>
      </w:r>
      <w:r w:rsidR="00514CD2" w:rsidRPr="00860603">
        <w:rPr>
          <w:rFonts w:ascii="Arial" w:hAnsi="Arial" w:cs="Arial"/>
          <w:sz w:val="24"/>
          <w:szCs w:val="24"/>
        </w:rPr>
        <w:t xml:space="preserve"> as a leave to appeal requirement therefore fits into the picture. </w:t>
      </w:r>
    </w:p>
    <w:p w14:paraId="593FF8A0" w14:textId="77777777" w:rsidR="00514CD2" w:rsidRPr="00860603" w:rsidRDefault="00514CD2" w:rsidP="00C048EE">
      <w:pPr>
        <w:rPr>
          <w:rFonts w:ascii="Arial" w:hAnsi="Arial" w:cs="Arial"/>
          <w:sz w:val="24"/>
          <w:szCs w:val="24"/>
        </w:rPr>
      </w:pPr>
    </w:p>
    <w:p w14:paraId="0631F389" w14:textId="533073E7" w:rsidR="00514CD2" w:rsidRPr="00860603" w:rsidRDefault="00514CD2" w:rsidP="00C048EE">
      <w:pPr>
        <w:rPr>
          <w:rFonts w:ascii="Arial" w:hAnsi="Arial" w:cs="Arial"/>
          <w:b/>
          <w:sz w:val="24"/>
          <w:szCs w:val="24"/>
        </w:rPr>
      </w:pPr>
      <w:r w:rsidRPr="00860603">
        <w:rPr>
          <w:rFonts w:ascii="Arial" w:hAnsi="Arial" w:cs="Arial"/>
          <w:b/>
          <w:sz w:val="24"/>
          <w:szCs w:val="24"/>
        </w:rPr>
        <w:t>Jurisdiction in this matter</w:t>
      </w:r>
    </w:p>
    <w:p w14:paraId="09BF2E72" w14:textId="0DDBDC66" w:rsidR="00A87861" w:rsidRPr="00860603" w:rsidRDefault="00244C11" w:rsidP="00153AEB">
      <w:pPr>
        <w:pStyle w:val="CommentText"/>
        <w:spacing w:line="360" w:lineRule="auto"/>
        <w:rPr>
          <w:rFonts w:ascii="Arial" w:hAnsi="Arial" w:cs="Arial"/>
          <w:sz w:val="24"/>
          <w:szCs w:val="24"/>
        </w:rPr>
      </w:pPr>
      <w:r>
        <w:rPr>
          <w:rFonts w:ascii="Arial" w:hAnsi="Arial" w:cs="Arial"/>
          <w:sz w:val="24"/>
          <w:szCs w:val="24"/>
        </w:rPr>
        <w:t>[31</w:t>
      </w:r>
      <w:r w:rsidR="00881AEF" w:rsidRPr="00860603">
        <w:rPr>
          <w:rFonts w:ascii="Arial" w:hAnsi="Arial" w:cs="Arial"/>
          <w:sz w:val="24"/>
          <w:szCs w:val="24"/>
        </w:rPr>
        <w:t>]</w:t>
      </w:r>
      <w:r w:rsidR="00881AEF" w:rsidRPr="00860603">
        <w:rPr>
          <w:rFonts w:ascii="Arial" w:hAnsi="Arial" w:cs="Arial"/>
          <w:sz w:val="24"/>
          <w:szCs w:val="24"/>
        </w:rPr>
        <w:tab/>
      </w:r>
      <w:r w:rsidR="004F3427" w:rsidRPr="00860603">
        <w:rPr>
          <w:rFonts w:ascii="Arial" w:hAnsi="Arial" w:cs="Arial"/>
          <w:sz w:val="24"/>
          <w:szCs w:val="24"/>
        </w:rPr>
        <w:t xml:space="preserve">In essence, the certification is no more than a procedural device aimed at facilitating the determination of the class action. It has no final effect. The appellants </w:t>
      </w:r>
      <w:r w:rsidR="004F3427" w:rsidRPr="00860603">
        <w:rPr>
          <w:rFonts w:ascii="Arial" w:hAnsi="Arial" w:cs="Arial"/>
          <w:sz w:val="24"/>
          <w:szCs w:val="24"/>
        </w:rPr>
        <w:lastRenderedPageBreak/>
        <w:t xml:space="preserve">correctly accepted that it is susceptible to alteration by the court hearing the class action. The certification is in fact already in need of variation to make provision for the consequences of the settlement agreement. I venture to say that adjustability to meet the procedural challenges of a class action is an essential quality of a certification order. The certification is not definitive of any rights and does not dispose of any portion of the relief claimed in the main proceedings, that is, the class action. The certification therefore possesses none of the </w:t>
      </w:r>
      <w:r w:rsidR="004F3427" w:rsidRPr="00860603">
        <w:rPr>
          <w:rFonts w:ascii="Arial" w:hAnsi="Arial" w:cs="Arial"/>
          <w:i/>
          <w:sz w:val="24"/>
          <w:szCs w:val="24"/>
        </w:rPr>
        <w:t>Zweni</w:t>
      </w:r>
      <w:r w:rsidR="004F3427" w:rsidRPr="00860603">
        <w:rPr>
          <w:rFonts w:ascii="Arial" w:hAnsi="Arial" w:cs="Arial"/>
          <w:sz w:val="24"/>
          <w:szCs w:val="24"/>
        </w:rPr>
        <w:t xml:space="preserve"> attributes and has no final and definitive effect on the class action. </w:t>
      </w:r>
    </w:p>
    <w:p w14:paraId="53CF5CC1" w14:textId="77777777" w:rsidR="00A87861" w:rsidRPr="00860603" w:rsidRDefault="00A87861" w:rsidP="00A87861">
      <w:pPr>
        <w:rPr>
          <w:rFonts w:ascii="Arial" w:hAnsi="Arial" w:cs="Arial"/>
          <w:sz w:val="24"/>
          <w:szCs w:val="24"/>
        </w:rPr>
      </w:pPr>
    </w:p>
    <w:p w14:paraId="35584078" w14:textId="73F02D5E" w:rsidR="0025083A" w:rsidRPr="00860603" w:rsidRDefault="00244C11" w:rsidP="00A87861">
      <w:pPr>
        <w:rPr>
          <w:rFonts w:ascii="Arial" w:hAnsi="Arial" w:cs="Arial"/>
          <w:sz w:val="24"/>
          <w:szCs w:val="24"/>
        </w:rPr>
      </w:pPr>
      <w:r>
        <w:rPr>
          <w:rFonts w:ascii="Arial" w:hAnsi="Arial" w:cs="Arial"/>
          <w:sz w:val="24"/>
          <w:szCs w:val="24"/>
        </w:rPr>
        <w:t>[32</w:t>
      </w:r>
      <w:r w:rsidR="00A87861" w:rsidRPr="00860603">
        <w:rPr>
          <w:rFonts w:ascii="Arial" w:hAnsi="Arial" w:cs="Arial"/>
          <w:sz w:val="24"/>
          <w:szCs w:val="24"/>
        </w:rPr>
        <w:t>]</w:t>
      </w:r>
      <w:r w:rsidR="00A87861" w:rsidRPr="00860603">
        <w:rPr>
          <w:rFonts w:ascii="Arial" w:hAnsi="Arial" w:cs="Arial"/>
          <w:sz w:val="24"/>
          <w:szCs w:val="24"/>
        </w:rPr>
        <w:tab/>
      </w:r>
      <w:r w:rsidR="0025083A" w:rsidRPr="00860603">
        <w:rPr>
          <w:rFonts w:ascii="Arial" w:hAnsi="Arial" w:cs="Arial"/>
          <w:sz w:val="24"/>
          <w:szCs w:val="24"/>
        </w:rPr>
        <w:t>Consequently</w:t>
      </w:r>
      <w:r w:rsidR="008D6E29" w:rsidRPr="00860603">
        <w:rPr>
          <w:rFonts w:ascii="Arial" w:hAnsi="Arial" w:cs="Arial"/>
          <w:sz w:val="24"/>
          <w:szCs w:val="24"/>
        </w:rPr>
        <w:t>,</w:t>
      </w:r>
      <w:r w:rsidR="0025083A" w:rsidRPr="00860603">
        <w:rPr>
          <w:rFonts w:ascii="Arial" w:hAnsi="Arial" w:cs="Arial"/>
          <w:sz w:val="24"/>
          <w:szCs w:val="24"/>
        </w:rPr>
        <w:t xml:space="preserve"> the question is whether the interests of justice nevertheless qualify the certification as an appealable decision. As I understood it, the appellants’ contention was that should the certification not be set aside on appeal at this stage, their participation in the class action would cause them to suffer undue prejudice. </w:t>
      </w:r>
      <w:r w:rsidR="00D15BBB" w:rsidRPr="00860603">
        <w:rPr>
          <w:rFonts w:ascii="Arial" w:hAnsi="Arial" w:cs="Arial"/>
          <w:sz w:val="24"/>
          <w:szCs w:val="24"/>
        </w:rPr>
        <w:t xml:space="preserve">The basis of the submission was that the appellants would play only a small part in the class action. </w:t>
      </w:r>
      <w:r w:rsidR="0025083A" w:rsidRPr="00860603">
        <w:rPr>
          <w:rFonts w:ascii="Arial" w:hAnsi="Arial" w:cs="Arial"/>
          <w:sz w:val="24"/>
          <w:szCs w:val="24"/>
        </w:rPr>
        <w:t xml:space="preserve">In this regard the appellants particularly relied on the alleged impact of three factors. These were: </w:t>
      </w:r>
    </w:p>
    <w:p w14:paraId="5DDD3A7C" w14:textId="77666508" w:rsidR="00A87861" w:rsidRPr="00860603" w:rsidRDefault="0025083A" w:rsidP="002443ED">
      <w:pPr>
        <w:rPr>
          <w:rFonts w:ascii="Arial" w:hAnsi="Arial" w:cs="Arial"/>
          <w:sz w:val="24"/>
          <w:szCs w:val="24"/>
        </w:rPr>
      </w:pPr>
      <w:r w:rsidRPr="00860603">
        <w:rPr>
          <w:rFonts w:ascii="Arial" w:hAnsi="Arial" w:cs="Arial"/>
          <w:sz w:val="24"/>
          <w:szCs w:val="24"/>
        </w:rPr>
        <w:t xml:space="preserve">(a) the withdrawal of the tuberculosis class claims against the appellants, as well as that no ‘parent company’ liability lies against them; </w:t>
      </w:r>
    </w:p>
    <w:p w14:paraId="71FEA800" w14:textId="2E3ED520" w:rsidR="0025083A" w:rsidRPr="00860603" w:rsidRDefault="0025083A" w:rsidP="00A87861">
      <w:pPr>
        <w:rPr>
          <w:rFonts w:ascii="Arial" w:hAnsi="Arial" w:cs="Arial"/>
          <w:sz w:val="24"/>
          <w:szCs w:val="24"/>
        </w:rPr>
      </w:pPr>
      <w:r w:rsidRPr="00860603">
        <w:rPr>
          <w:rFonts w:ascii="Arial" w:hAnsi="Arial" w:cs="Arial"/>
          <w:sz w:val="24"/>
          <w:szCs w:val="24"/>
        </w:rPr>
        <w:t>(b)</w:t>
      </w:r>
      <w:r w:rsidR="002443ED" w:rsidRPr="00860603">
        <w:rPr>
          <w:rFonts w:ascii="Arial" w:hAnsi="Arial" w:cs="Arial"/>
          <w:sz w:val="24"/>
          <w:szCs w:val="24"/>
        </w:rPr>
        <w:t xml:space="preserve"> </w:t>
      </w:r>
      <w:r w:rsidRPr="00860603">
        <w:rPr>
          <w:rFonts w:ascii="Arial" w:hAnsi="Arial" w:cs="Arial"/>
          <w:sz w:val="24"/>
          <w:szCs w:val="24"/>
        </w:rPr>
        <w:t xml:space="preserve">the cessation of underground mining by DRD in 2000 and by ERPM in 2008; </w:t>
      </w:r>
    </w:p>
    <w:p w14:paraId="6EF2B0C6" w14:textId="3B82F1C9" w:rsidR="0025083A" w:rsidRPr="00860603" w:rsidRDefault="0025083A" w:rsidP="00A87861">
      <w:pPr>
        <w:rPr>
          <w:rFonts w:ascii="Arial" w:hAnsi="Arial" w:cs="Arial"/>
          <w:sz w:val="24"/>
          <w:szCs w:val="24"/>
        </w:rPr>
      </w:pPr>
      <w:r w:rsidRPr="00860603">
        <w:rPr>
          <w:rFonts w:ascii="Arial" w:hAnsi="Arial" w:cs="Arial"/>
          <w:sz w:val="24"/>
          <w:szCs w:val="24"/>
        </w:rPr>
        <w:t>(c)</w:t>
      </w:r>
      <w:r w:rsidR="002443ED" w:rsidRPr="00860603">
        <w:rPr>
          <w:rFonts w:ascii="Arial" w:hAnsi="Arial" w:cs="Arial"/>
          <w:sz w:val="24"/>
          <w:szCs w:val="24"/>
        </w:rPr>
        <w:t xml:space="preserve"> </w:t>
      </w:r>
      <w:r w:rsidRPr="00860603">
        <w:rPr>
          <w:rFonts w:ascii="Arial" w:hAnsi="Arial" w:cs="Arial"/>
          <w:sz w:val="24"/>
          <w:szCs w:val="24"/>
        </w:rPr>
        <w:t xml:space="preserve">the compromise of all creditors’ claims against ERPM in 2001. </w:t>
      </w:r>
    </w:p>
    <w:p w14:paraId="338635A3" w14:textId="77777777" w:rsidR="000A7F1A" w:rsidRPr="00860603" w:rsidRDefault="000A7F1A" w:rsidP="00A87861">
      <w:pPr>
        <w:rPr>
          <w:rFonts w:ascii="Arial" w:hAnsi="Arial" w:cs="Arial"/>
          <w:sz w:val="24"/>
          <w:szCs w:val="24"/>
        </w:rPr>
      </w:pPr>
    </w:p>
    <w:p w14:paraId="3EC48DF9" w14:textId="62B73BD3" w:rsidR="000A7F1A" w:rsidRPr="00860603" w:rsidRDefault="009D428D" w:rsidP="00A87861">
      <w:pPr>
        <w:rPr>
          <w:rFonts w:ascii="Arial" w:hAnsi="Arial" w:cs="Arial"/>
          <w:sz w:val="24"/>
          <w:szCs w:val="24"/>
        </w:rPr>
      </w:pPr>
      <w:r>
        <w:rPr>
          <w:rFonts w:ascii="Arial" w:hAnsi="Arial" w:cs="Arial"/>
          <w:sz w:val="24"/>
          <w:szCs w:val="24"/>
        </w:rPr>
        <w:t>[3</w:t>
      </w:r>
      <w:r w:rsidR="00244C11">
        <w:rPr>
          <w:rFonts w:ascii="Arial" w:hAnsi="Arial" w:cs="Arial"/>
          <w:sz w:val="24"/>
          <w:szCs w:val="24"/>
        </w:rPr>
        <w:t>3</w:t>
      </w:r>
      <w:r w:rsidR="000A7F1A" w:rsidRPr="00860603">
        <w:rPr>
          <w:rFonts w:ascii="Arial" w:hAnsi="Arial" w:cs="Arial"/>
          <w:sz w:val="24"/>
          <w:szCs w:val="24"/>
        </w:rPr>
        <w:t>]</w:t>
      </w:r>
      <w:r w:rsidR="000A7F1A" w:rsidRPr="00860603">
        <w:rPr>
          <w:rFonts w:ascii="Arial" w:hAnsi="Arial" w:cs="Arial"/>
          <w:sz w:val="24"/>
          <w:szCs w:val="24"/>
        </w:rPr>
        <w:tab/>
      </w:r>
      <w:r w:rsidR="00501044" w:rsidRPr="00860603">
        <w:rPr>
          <w:rFonts w:ascii="Arial" w:hAnsi="Arial" w:cs="Arial"/>
          <w:sz w:val="24"/>
          <w:szCs w:val="24"/>
        </w:rPr>
        <w:t xml:space="preserve">In respect of (a) the appellants complained of having to be part of a class action in respect of the tuberculosis class and ‘parent company’ liability, whilst they could have no liability in respect thereof. However, the trial court will have wide procedural options at its disposal, under the Uniform Rules and in the exercise of its </w:t>
      </w:r>
      <w:r w:rsidR="008D6E29" w:rsidRPr="00860603">
        <w:rPr>
          <w:rFonts w:ascii="Arial" w:hAnsi="Arial" w:cs="Arial"/>
          <w:sz w:val="24"/>
          <w:szCs w:val="24"/>
        </w:rPr>
        <w:t>inherent</w:t>
      </w:r>
      <w:r w:rsidR="00501044" w:rsidRPr="00860603">
        <w:rPr>
          <w:rFonts w:ascii="Arial" w:hAnsi="Arial" w:cs="Arial"/>
          <w:sz w:val="24"/>
          <w:szCs w:val="24"/>
        </w:rPr>
        <w:t xml:space="preserve"> power in terms of s 173 of the Constitution. It is clear from the evidence that there would be </w:t>
      </w:r>
      <w:r w:rsidR="008D6E29" w:rsidRPr="00860603">
        <w:rPr>
          <w:rFonts w:ascii="Arial" w:hAnsi="Arial" w:cs="Arial"/>
          <w:sz w:val="24"/>
          <w:szCs w:val="24"/>
        </w:rPr>
        <w:t xml:space="preserve">a </w:t>
      </w:r>
      <w:r w:rsidR="00501044" w:rsidRPr="00860603">
        <w:rPr>
          <w:rFonts w:ascii="Arial" w:hAnsi="Arial" w:cs="Arial"/>
          <w:sz w:val="24"/>
          <w:szCs w:val="24"/>
        </w:rPr>
        <w:t>significant overlap of the issues and evidence relating to the two classes and ‘parent company’</w:t>
      </w:r>
      <w:r w:rsidR="006D1A65" w:rsidRPr="00860603">
        <w:rPr>
          <w:rFonts w:ascii="Arial" w:hAnsi="Arial" w:cs="Arial"/>
          <w:sz w:val="24"/>
          <w:szCs w:val="24"/>
        </w:rPr>
        <w:t xml:space="preserve"> liability. But there is no reason why the appellants should </w:t>
      </w:r>
      <w:r w:rsidR="00140868" w:rsidRPr="00860603">
        <w:rPr>
          <w:rFonts w:ascii="Arial" w:hAnsi="Arial" w:cs="Arial"/>
          <w:sz w:val="24"/>
          <w:szCs w:val="24"/>
        </w:rPr>
        <w:t xml:space="preserve">be obliged to </w:t>
      </w:r>
      <w:r w:rsidR="006D1A65" w:rsidRPr="00860603">
        <w:rPr>
          <w:rFonts w:ascii="Arial" w:hAnsi="Arial" w:cs="Arial"/>
          <w:sz w:val="24"/>
          <w:szCs w:val="24"/>
        </w:rPr>
        <w:t>participate in a hearing of issues that related only to the tuberculosis class or ‘parent company’ liability. These issues could be separated in terms of Uniform Rule 33 and the appellants could be excused from attending the determination of such separated issues. The only remaining ‘parent company’ is Randgold and its assertion that it never had a controlling interest in a mining company could conveniently be determined separate</w:t>
      </w:r>
      <w:r w:rsidR="00D15BBB" w:rsidRPr="00860603">
        <w:rPr>
          <w:rFonts w:ascii="Arial" w:hAnsi="Arial" w:cs="Arial"/>
          <w:sz w:val="24"/>
          <w:szCs w:val="24"/>
        </w:rPr>
        <w:t>ly. The appellants’ complaint</w:t>
      </w:r>
      <w:r w:rsidR="006D1A65" w:rsidRPr="00860603">
        <w:rPr>
          <w:rFonts w:ascii="Arial" w:hAnsi="Arial" w:cs="Arial"/>
          <w:sz w:val="24"/>
          <w:szCs w:val="24"/>
        </w:rPr>
        <w:t xml:space="preserve"> </w:t>
      </w:r>
      <w:r w:rsidR="00731E2D" w:rsidRPr="00860603">
        <w:rPr>
          <w:rFonts w:ascii="Arial" w:hAnsi="Arial" w:cs="Arial"/>
          <w:sz w:val="24"/>
          <w:szCs w:val="24"/>
        </w:rPr>
        <w:t xml:space="preserve">of </w:t>
      </w:r>
      <w:r w:rsidR="006D1A65" w:rsidRPr="00860603">
        <w:rPr>
          <w:rFonts w:ascii="Arial" w:hAnsi="Arial" w:cs="Arial"/>
          <w:sz w:val="24"/>
          <w:szCs w:val="24"/>
        </w:rPr>
        <w:t xml:space="preserve">prejudice in this regard appears </w:t>
      </w:r>
      <w:r w:rsidR="006D1A65" w:rsidRPr="00860603">
        <w:rPr>
          <w:rFonts w:ascii="Arial" w:hAnsi="Arial" w:cs="Arial"/>
          <w:sz w:val="24"/>
          <w:szCs w:val="24"/>
        </w:rPr>
        <w:lastRenderedPageBreak/>
        <w:t xml:space="preserve">to be exaggerated and I am by no means satisfied that this factor favours a piecemeal appeal. </w:t>
      </w:r>
    </w:p>
    <w:p w14:paraId="6F30C5FB" w14:textId="77777777" w:rsidR="00512EC5" w:rsidRPr="00860603" w:rsidRDefault="00512EC5" w:rsidP="00A87861">
      <w:pPr>
        <w:rPr>
          <w:rFonts w:ascii="Arial" w:hAnsi="Arial" w:cs="Arial"/>
          <w:sz w:val="24"/>
          <w:szCs w:val="24"/>
        </w:rPr>
      </w:pPr>
    </w:p>
    <w:p w14:paraId="47D09193" w14:textId="61FF38E2" w:rsidR="00512EC5" w:rsidRPr="00860603" w:rsidRDefault="00244C11" w:rsidP="00A87861">
      <w:pPr>
        <w:rPr>
          <w:rFonts w:ascii="Arial" w:hAnsi="Arial" w:cs="Arial"/>
          <w:sz w:val="24"/>
          <w:szCs w:val="24"/>
        </w:rPr>
      </w:pPr>
      <w:r>
        <w:rPr>
          <w:rFonts w:ascii="Arial" w:hAnsi="Arial" w:cs="Arial"/>
          <w:sz w:val="24"/>
          <w:szCs w:val="24"/>
        </w:rPr>
        <w:t>[34</w:t>
      </w:r>
      <w:r w:rsidR="00512EC5" w:rsidRPr="00860603">
        <w:rPr>
          <w:rFonts w:ascii="Arial" w:hAnsi="Arial" w:cs="Arial"/>
          <w:sz w:val="24"/>
          <w:szCs w:val="24"/>
        </w:rPr>
        <w:t>]</w:t>
      </w:r>
      <w:r w:rsidR="00512EC5" w:rsidRPr="00860603">
        <w:rPr>
          <w:rFonts w:ascii="Arial" w:hAnsi="Arial" w:cs="Arial"/>
          <w:sz w:val="24"/>
          <w:szCs w:val="24"/>
        </w:rPr>
        <w:tab/>
      </w:r>
      <w:r w:rsidR="00203286" w:rsidRPr="00860603">
        <w:rPr>
          <w:rFonts w:ascii="Arial" w:hAnsi="Arial" w:cs="Arial"/>
          <w:sz w:val="24"/>
          <w:szCs w:val="24"/>
        </w:rPr>
        <w:t xml:space="preserve">Proposition (b) paints only part of the picture. By its own admission DRD was engaged in underground gold mining at: </w:t>
      </w:r>
      <w:r w:rsidR="00731E2D" w:rsidRPr="00860603">
        <w:rPr>
          <w:rFonts w:ascii="Arial" w:hAnsi="Arial" w:cs="Arial"/>
          <w:sz w:val="24"/>
          <w:szCs w:val="24"/>
        </w:rPr>
        <w:t xml:space="preserve">the </w:t>
      </w:r>
      <w:r w:rsidR="00203286" w:rsidRPr="00860603">
        <w:rPr>
          <w:rFonts w:ascii="Arial" w:hAnsi="Arial" w:cs="Arial"/>
          <w:sz w:val="24"/>
          <w:szCs w:val="24"/>
        </w:rPr>
        <w:t>Durban Roodepoort Deep Gold Mine from 1895 to 2000; the Buffelsfontein Gold Mine, which from 1999 included the Hart</w:t>
      </w:r>
      <w:r w:rsidR="00731E2D" w:rsidRPr="00860603">
        <w:rPr>
          <w:rFonts w:ascii="Arial" w:hAnsi="Arial" w:cs="Arial"/>
          <w:sz w:val="24"/>
          <w:szCs w:val="24"/>
        </w:rPr>
        <w:t>e</w:t>
      </w:r>
      <w:r w:rsidR="00203286" w:rsidRPr="00860603">
        <w:rPr>
          <w:rFonts w:ascii="Arial" w:hAnsi="Arial" w:cs="Arial"/>
          <w:sz w:val="24"/>
          <w:szCs w:val="24"/>
        </w:rPr>
        <w:t xml:space="preserve">beesfontein Gold Mine, from 1997 to 2005; and the Blyvooruitzicht Gold Mine, which had merged with the Doornfontein Gold Mine, from 1999 to 2012. ERPM was engaged in underground gold mining at the East Rand </w:t>
      </w:r>
      <w:r w:rsidR="00AA2C75" w:rsidRPr="00860603">
        <w:rPr>
          <w:rFonts w:ascii="Arial" w:hAnsi="Arial" w:cs="Arial"/>
          <w:sz w:val="24"/>
          <w:szCs w:val="24"/>
        </w:rPr>
        <w:t>Proprietary</w:t>
      </w:r>
      <w:r w:rsidR="00203286" w:rsidRPr="00860603">
        <w:rPr>
          <w:rFonts w:ascii="Arial" w:hAnsi="Arial" w:cs="Arial"/>
          <w:sz w:val="24"/>
          <w:szCs w:val="24"/>
        </w:rPr>
        <w:t xml:space="preserve"> Mine from 1965 to 2008. Subject to ERPM being unsuccessful in respect of (c), the participation of each</w:t>
      </w:r>
      <w:r w:rsidR="00AA2C75" w:rsidRPr="00860603">
        <w:rPr>
          <w:rFonts w:ascii="Arial" w:hAnsi="Arial" w:cs="Arial"/>
          <w:sz w:val="24"/>
          <w:szCs w:val="24"/>
        </w:rPr>
        <w:t xml:space="preserve"> of</w:t>
      </w:r>
      <w:r w:rsidR="00203286" w:rsidRPr="00860603">
        <w:rPr>
          <w:rFonts w:ascii="Arial" w:hAnsi="Arial" w:cs="Arial"/>
          <w:sz w:val="24"/>
          <w:szCs w:val="24"/>
        </w:rPr>
        <w:t xml:space="preserve"> the appellants in underground gold mining constitutes a significant portion of the ambit of the remaining class action. I fail to see how they could be materially prejudiced in this respect. </w:t>
      </w:r>
    </w:p>
    <w:p w14:paraId="2D19D77C" w14:textId="77777777" w:rsidR="00C26575" w:rsidRPr="00860603" w:rsidRDefault="00C26575" w:rsidP="00A87861">
      <w:pPr>
        <w:rPr>
          <w:rFonts w:ascii="Arial" w:hAnsi="Arial" w:cs="Arial"/>
          <w:sz w:val="24"/>
          <w:szCs w:val="24"/>
        </w:rPr>
      </w:pPr>
    </w:p>
    <w:p w14:paraId="08558C61" w14:textId="122DA9C8" w:rsidR="006501B4" w:rsidRPr="00860603" w:rsidRDefault="00244C11" w:rsidP="00B05C8E">
      <w:pPr>
        <w:rPr>
          <w:rFonts w:ascii="Arial" w:hAnsi="Arial" w:cs="Arial"/>
          <w:sz w:val="24"/>
          <w:szCs w:val="24"/>
          <w:lang w:val="en-US"/>
        </w:rPr>
      </w:pPr>
      <w:r>
        <w:rPr>
          <w:rFonts w:ascii="Arial" w:hAnsi="Arial" w:cs="Arial"/>
          <w:sz w:val="24"/>
          <w:szCs w:val="24"/>
        </w:rPr>
        <w:t>[35</w:t>
      </w:r>
      <w:r w:rsidR="00C26575" w:rsidRPr="00860603">
        <w:rPr>
          <w:rFonts w:ascii="Arial" w:hAnsi="Arial" w:cs="Arial"/>
          <w:sz w:val="24"/>
          <w:szCs w:val="24"/>
        </w:rPr>
        <w:t>]</w:t>
      </w:r>
      <w:r w:rsidR="00C26575" w:rsidRPr="00860603">
        <w:rPr>
          <w:rFonts w:ascii="Arial" w:hAnsi="Arial" w:cs="Arial"/>
          <w:sz w:val="24"/>
          <w:szCs w:val="24"/>
        </w:rPr>
        <w:tab/>
      </w:r>
      <w:r w:rsidR="009C7A29" w:rsidRPr="00860603">
        <w:rPr>
          <w:rFonts w:ascii="Arial" w:hAnsi="Arial" w:cs="Arial"/>
          <w:sz w:val="24"/>
          <w:szCs w:val="24"/>
          <w:lang w:val="en-US"/>
        </w:rPr>
        <w:t xml:space="preserve">In respect of (c) the facts are that ERPM was discharged from liquidation in consequence of a scheme of arrangement that was sanctioned by the </w:t>
      </w:r>
      <w:r w:rsidR="00D60E8E" w:rsidRPr="00860603">
        <w:rPr>
          <w:rFonts w:ascii="Arial" w:hAnsi="Arial" w:cs="Arial"/>
          <w:sz w:val="24"/>
          <w:szCs w:val="24"/>
          <w:lang w:val="en-US"/>
        </w:rPr>
        <w:t>H</w:t>
      </w:r>
      <w:r w:rsidR="009C7A29" w:rsidRPr="00860603">
        <w:rPr>
          <w:rFonts w:ascii="Arial" w:hAnsi="Arial" w:cs="Arial"/>
          <w:sz w:val="24"/>
          <w:szCs w:val="24"/>
          <w:lang w:val="en-US"/>
        </w:rPr>
        <w:t xml:space="preserve">igh </w:t>
      </w:r>
      <w:r w:rsidR="00D60E8E" w:rsidRPr="00860603">
        <w:rPr>
          <w:rFonts w:ascii="Arial" w:hAnsi="Arial" w:cs="Arial"/>
          <w:sz w:val="24"/>
          <w:szCs w:val="24"/>
          <w:lang w:val="en-US"/>
        </w:rPr>
        <w:t>C</w:t>
      </w:r>
      <w:r w:rsidR="009C7A29" w:rsidRPr="00860603">
        <w:rPr>
          <w:rFonts w:ascii="Arial" w:hAnsi="Arial" w:cs="Arial"/>
          <w:sz w:val="24"/>
          <w:szCs w:val="24"/>
          <w:lang w:val="en-US"/>
        </w:rPr>
        <w:t>ourt on 17 April 2001. ERPM contends that the scheme of arrangement had the effect of compromising the claims of all its creditors, existing or contingent. On this basis ERPM’</w:t>
      </w:r>
      <w:r w:rsidR="00AD7CE5" w:rsidRPr="00860603">
        <w:rPr>
          <w:rFonts w:ascii="Arial" w:hAnsi="Arial" w:cs="Arial"/>
          <w:sz w:val="24"/>
          <w:szCs w:val="24"/>
          <w:lang w:val="en-US"/>
        </w:rPr>
        <w:t>s</w:t>
      </w:r>
      <w:r w:rsidR="009C7A29" w:rsidRPr="00860603">
        <w:rPr>
          <w:rFonts w:ascii="Arial" w:hAnsi="Arial" w:cs="Arial"/>
          <w:sz w:val="24"/>
          <w:szCs w:val="24"/>
          <w:lang w:val="en-US"/>
        </w:rPr>
        <w:t xml:space="preserve"> case is that all silicosis class claims that arose before 17 April 2001 were compromised and thus extinguished. The responden</w:t>
      </w:r>
      <w:r w:rsidR="00B707CA" w:rsidRPr="00860603">
        <w:rPr>
          <w:rFonts w:ascii="Arial" w:hAnsi="Arial" w:cs="Arial"/>
          <w:sz w:val="24"/>
          <w:szCs w:val="24"/>
          <w:lang w:val="en-US"/>
        </w:rPr>
        <w:t>ts do not accept this and argue</w:t>
      </w:r>
      <w:r w:rsidR="009C7A29" w:rsidRPr="00860603">
        <w:rPr>
          <w:rFonts w:ascii="Arial" w:hAnsi="Arial" w:cs="Arial"/>
          <w:sz w:val="24"/>
          <w:szCs w:val="24"/>
          <w:lang w:val="en-US"/>
        </w:rPr>
        <w:t xml:space="preserve"> that it is a matter of complexity that </w:t>
      </w:r>
      <w:r w:rsidR="00B707CA" w:rsidRPr="00860603">
        <w:rPr>
          <w:rFonts w:ascii="Arial" w:hAnsi="Arial" w:cs="Arial"/>
          <w:sz w:val="24"/>
          <w:szCs w:val="24"/>
          <w:lang w:val="en-US"/>
        </w:rPr>
        <w:t>must</w:t>
      </w:r>
      <w:r w:rsidR="009C7A29" w:rsidRPr="00860603">
        <w:rPr>
          <w:rFonts w:ascii="Arial" w:hAnsi="Arial" w:cs="Arial"/>
          <w:sz w:val="24"/>
          <w:szCs w:val="24"/>
          <w:lang w:val="en-US"/>
        </w:rPr>
        <w:t xml:space="preserve"> be determined in the class action. This issue is</w:t>
      </w:r>
      <w:r w:rsidR="00B707CA" w:rsidRPr="00860603">
        <w:rPr>
          <w:rFonts w:ascii="Arial" w:hAnsi="Arial" w:cs="Arial"/>
          <w:sz w:val="24"/>
          <w:szCs w:val="24"/>
          <w:lang w:val="en-US"/>
        </w:rPr>
        <w:t>,</w:t>
      </w:r>
      <w:r w:rsidR="009C7A29" w:rsidRPr="00860603">
        <w:rPr>
          <w:rFonts w:ascii="Arial" w:hAnsi="Arial" w:cs="Arial"/>
          <w:sz w:val="24"/>
          <w:szCs w:val="24"/>
          <w:lang w:val="en-US"/>
        </w:rPr>
        <w:t xml:space="preserve"> in my view</w:t>
      </w:r>
      <w:r w:rsidR="00B707CA" w:rsidRPr="00860603">
        <w:rPr>
          <w:rFonts w:ascii="Arial" w:hAnsi="Arial" w:cs="Arial"/>
          <w:sz w:val="24"/>
          <w:szCs w:val="24"/>
          <w:lang w:val="en-US"/>
        </w:rPr>
        <w:t>,</w:t>
      </w:r>
      <w:r w:rsidR="009C7A29" w:rsidRPr="00860603">
        <w:rPr>
          <w:rFonts w:ascii="Arial" w:hAnsi="Arial" w:cs="Arial"/>
          <w:sz w:val="24"/>
          <w:szCs w:val="24"/>
          <w:lang w:val="en-US"/>
        </w:rPr>
        <w:t xml:space="preserve"> particularly suited for initial separate determination. If the issue is decided against</w:t>
      </w:r>
      <w:r w:rsidR="00F1444D" w:rsidRPr="00860603">
        <w:rPr>
          <w:rFonts w:ascii="Arial" w:hAnsi="Arial" w:cs="Arial"/>
          <w:sz w:val="24"/>
          <w:szCs w:val="24"/>
          <w:lang w:val="en-US"/>
        </w:rPr>
        <w:t xml:space="preserve"> ERPM, it would participate in a class action on the basis of its involvement in underground mining for more than 40 years up to 2008. And if it is successful on this point, its limited involvement in underground mining could be suitably managed at the trial. For these reasons I conclude that the certification is not appealable at this stage. </w:t>
      </w:r>
    </w:p>
    <w:p w14:paraId="1D77D8D9" w14:textId="77777777" w:rsidR="00AD7CE5" w:rsidRPr="00860603" w:rsidRDefault="00AD7CE5" w:rsidP="00B05C8E">
      <w:pPr>
        <w:rPr>
          <w:rFonts w:ascii="Arial" w:hAnsi="Arial" w:cs="Arial"/>
          <w:sz w:val="24"/>
          <w:szCs w:val="24"/>
          <w:lang w:val="en-US"/>
        </w:rPr>
      </w:pPr>
    </w:p>
    <w:p w14:paraId="19C6C8AA" w14:textId="65AA09A1" w:rsidR="00AD7CE5" w:rsidRPr="00860603" w:rsidRDefault="000C0C9E" w:rsidP="00B05C8E">
      <w:pPr>
        <w:rPr>
          <w:rFonts w:ascii="Arial" w:hAnsi="Arial" w:cs="Arial"/>
          <w:sz w:val="24"/>
          <w:szCs w:val="24"/>
          <w:lang w:val="en-US"/>
        </w:rPr>
      </w:pPr>
      <w:r w:rsidRPr="00860603">
        <w:rPr>
          <w:rFonts w:ascii="Arial" w:hAnsi="Arial" w:cs="Arial"/>
          <w:sz w:val="24"/>
          <w:szCs w:val="24"/>
          <w:lang w:val="en-US"/>
        </w:rPr>
        <w:t>[</w:t>
      </w:r>
      <w:r w:rsidR="00244C11">
        <w:rPr>
          <w:rFonts w:ascii="Arial" w:hAnsi="Arial" w:cs="Arial"/>
          <w:sz w:val="24"/>
          <w:szCs w:val="24"/>
          <w:lang w:val="en-US"/>
        </w:rPr>
        <w:t>36</w:t>
      </w:r>
      <w:r w:rsidR="00AD7CE5" w:rsidRPr="00860603">
        <w:rPr>
          <w:rFonts w:ascii="Arial" w:hAnsi="Arial" w:cs="Arial"/>
          <w:sz w:val="24"/>
          <w:szCs w:val="24"/>
          <w:lang w:val="en-US"/>
        </w:rPr>
        <w:t>]</w:t>
      </w:r>
      <w:r w:rsidR="00AD7CE5" w:rsidRPr="00860603">
        <w:rPr>
          <w:rFonts w:ascii="Arial" w:hAnsi="Arial" w:cs="Arial"/>
          <w:sz w:val="24"/>
          <w:szCs w:val="24"/>
          <w:lang w:val="en-US"/>
        </w:rPr>
        <w:tab/>
        <w:t>It remains to consider</w:t>
      </w:r>
      <w:r w:rsidR="00EF6181" w:rsidRPr="00860603">
        <w:rPr>
          <w:rFonts w:ascii="Arial" w:hAnsi="Arial" w:cs="Arial"/>
          <w:sz w:val="24"/>
          <w:szCs w:val="24"/>
          <w:lang w:val="en-US"/>
        </w:rPr>
        <w:t xml:space="preserve"> whether the declarator is a ‘decision’ under s 16(1). At first blush it may appear to be an appealable decision. But closer analysis reveals that that is not so. As I have demonstrated, claims by individual identified claimants will only be made in the second stage. Whilst the declarator may not be susceptible to alteration, it is not definitive of the rights of any existing claimant. It is certainly not </w:t>
      </w:r>
      <w:r w:rsidR="00EF6181" w:rsidRPr="00860603">
        <w:rPr>
          <w:rFonts w:ascii="Arial" w:hAnsi="Arial" w:cs="Arial"/>
          <w:sz w:val="24"/>
          <w:szCs w:val="24"/>
          <w:lang w:val="en-US"/>
        </w:rPr>
        <w:lastRenderedPageBreak/>
        <w:t xml:space="preserve">dispositive of any relief claimed in the class action. The declarator therefore </w:t>
      </w:r>
      <w:r w:rsidR="0020299D" w:rsidRPr="00860603">
        <w:rPr>
          <w:rFonts w:ascii="Arial" w:hAnsi="Arial" w:cs="Arial"/>
          <w:sz w:val="24"/>
          <w:szCs w:val="24"/>
          <w:lang w:val="en-US"/>
        </w:rPr>
        <w:t xml:space="preserve">is </w:t>
      </w:r>
      <w:r w:rsidR="00EF6181" w:rsidRPr="00860603">
        <w:rPr>
          <w:rFonts w:ascii="Arial" w:hAnsi="Arial" w:cs="Arial"/>
          <w:sz w:val="24"/>
          <w:szCs w:val="24"/>
          <w:lang w:val="en-US"/>
        </w:rPr>
        <w:t xml:space="preserve">also not an appealable decision under the </w:t>
      </w:r>
      <w:r w:rsidR="00EF6181" w:rsidRPr="00860603">
        <w:rPr>
          <w:rFonts w:ascii="Arial" w:hAnsi="Arial" w:cs="Arial"/>
          <w:i/>
          <w:sz w:val="24"/>
          <w:szCs w:val="24"/>
          <w:lang w:val="en-US"/>
        </w:rPr>
        <w:t>Zweni</w:t>
      </w:r>
      <w:r w:rsidR="00EF6181" w:rsidRPr="00860603">
        <w:rPr>
          <w:rFonts w:ascii="Arial" w:hAnsi="Arial" w:cs="Arial"/>
          <w:sz w:val="24"/>
          <w:szCs w:val="24"/>
          <w:lang w:val="en-US"/>
        </w:rPr>
        <w:t xml:space="preserve"> test.</w:t>
      </w:r>
    </w:p>
    <w:p w14:paraId="6FC0B43A" w14:textId="77777777" w:rsidR="00EF6181" w:rsidRPr="00860603" w:rsidRDefault="00EF6181" w:rsidP="00B05C8E">
      <w:pPr>
        <w:rPr>
          <w:rFonts w:ascii="Arial" w:hAnsi="Arial" w:cs="Arial"/>
          <w:sz w:val="24"/>
          <w:szCs w:val="24"/>
          <w:lang w:val="en-US"/>
        </w:rPr>
      </w:pPr>
    </w:p>
    <w:p w14:paraId="4ECF0769" w14:textId="086DF84F" w:rsidR="00EF6181" w:rsidRPr="00860603" w:rsidRDefault="00244C11" w:rsidP="00B05C8E">
      <w:pPr>
        <w:rPr>
          <w:rFonts w:ascii="Arial" w:hAnsi="Arial" w:cs="Arial"/>
          <w:sz w:val="24"/>
          <w:szCs w:val="24"/>
          <w:lang w:val="en-US"/>
        </w:rPr>
      </w:pPr>
      <w:r>
        <w:rPr>
          <w:rFonts w:ascii="Arial" w:hAnsi="Arial" w:cs="Arial"/>
          <w:sz w:val="24"/>
          <w:szCs w:val="24"/>
          <w:lang w:val="en-US"/>
        </w:rPr>
        <w:t>[37</w:t>
      </w:r>
      <w:r w:rsidR="00EF6181" w:rsidRPr="00860603">
        <w:rPr>
          <w:rFonts w:ascii="Arial" w:hAnsi="Arial" w:cs="Arial"/>
          <w:sz w:val="24"/>
          <w:szCs w:val="24"/>
          <w:lang w:val="en-US"/>
        </w:rPr>
        <w:t>]</w:t>
      </w:r>
      <w:r w:rsidR="00EF6181" w:rsidRPr="00860603">
        <w:rPr>
          <w:rFonts w:ascii="Arial" w:hAnsi="Arial" w:cs="Arial"/>
          <w:sz w:val="24"/>
          <w:szCs w:val="24"/>
          <w:lang w:val="en-US"/>
        </w:rPr>
        <w:tab/>
        <w:t xml:space="preserve">Once again, the question is whether the interests of justice qualify it as such. At the outset I have to say that the impact of the declarator on other matters should not concern us. Its legal sustainability may in due course be challenged there. Two main considerations convinced me that the interests of justice do not require that an appeal against the declarator be entertained at this stage. </w:t>
      </w:r>
      <w:r w:rsidR="00FA3E66" w:rsidRPr="00860603">
        <w:rPr>
          <w:rFonts w:ascii="Arial" w:hAnsi="Arial" w:cs="Arial"/>
          <w:sz w:val="24"/>
          <w:szCs w:val="24"/>
          <w:lang w:val="en-US"/>
        </w:rPr>
        <w:t xml:space="preserve">These considerations show that an appeal against the declarator would not lead to a just and expeditious decision of the main issues between the parties. </w:t>
      </w:r>
    </w:p>
    <w:p w14:paraId="22D08DA5" w14:textId="77777777" w:rsidR="005306FF" w:rsidRPr="00860603" w:rsidRDefault="005306FF" w:rsidP="00B05C8E">
      <w:pPr>
        <w:rPr>
          <w:rFonts w:ascii="Arial" w:hAnsi="Arial" w:cs="Arial"/>
          <w:sz w:val="24"/>
          <w:szCs w:val="24"/>
          <w:lang w:val="en-US"/>
        </w:rPr>
      </w:pPr>
    </w:p>
    <w:p w14:paraId="35D6C211" w14:textId="6FA9D5D8" w:rsidR="005306FF" w:rsidRPr="00860603" w:rsidRDefault="00244C11" w:rsidP="00B05C8E">
      <w:pPr>
        <w:rPr>
          <w:rFonts w:ascii="Arial" w:hAnsi="Arial" w:cs="Arial"/>
          <w:sz w:val="24"/>
          <w:szCs w:val="24"/>
          <w:lang w:val="en-US"/>
        </w:rPr>
      </w:pPr>
      <w:r>
        <w:rPr>
          <w:rFonts w:ascii="Arial" w:hAnsi="Arial" w:cs="Arial"/>
          <w:sz w:val="24"/>
          <w:szCs w:val="24"/>
          <w:lang w:val="en-US"/>
        </w:rPr>
        <w:t>[38</w:t>
      </w:r>
      <w:r w:rsidR="005306FF" w:rsidRPr="00860603">
        <w:rPr>
          <w:rFonts w:ascii="Arial" w:hAnsi="Arial" w:cs="Arial"/>
          <w:sz w:val="24"/>
          <w:szCs w:val="24"/>
          <w:lang w:val="en-US"/>
        </w:rPr>
        <w:t>]</w:t>
      </w:r>
      <w:r w:rsidR="005306FF" w:rsidRPr="00860603">
        <w:rPr>
          <w:rFonts w:ascii="Arial" w:hAnsi="Arial" w:cs="Arial"/>
          <w:sz w:val="24"/>
          <w:szCs w:val="24"/>
          <w:lang w:val="en-US"/>
        </w:rPr>
        <w:tab/>
        <w:t xml:space="preserve">The first consideration is that </w:t>
      </w:r>
      <w:r w:rsidR="008656DE" w:rsidRPr="00860603">
        <w:rPr>
          <w:rFonts w:ascii="Arial" w:hAnsi="Arial" w:cs="Arial"/>
          <w:sz w:val="24"/>
          <w:szCs w:val="24"/>
          <w:lang w:val="en-US"/>
        </w:rPr>
        <w:t xml:space="preserve">to a large extent </w:t>
      </w:r>
      <w:r w:rsidR="005306FF" w:rsidRPr="00860603">
        <w:rPr>
          <w:rFonts w:ascii="Arial" w:hAnsi="Arial" w:cs="Arial"/>
          <w:sz w:val="24"/>
          <w:szCs w:val="24"/>
          <w:lang w:val="en-US"/>
        </w:rPr>
        <w:t>the declarator ‘hangs in the air’ with regards to the class action. It will be recalled that it pertains to ‘any claimant who has claimed for general damages</w:t>
      </w:r>
      <w:r w:rsidR="008656DE" w:rsidRPr="00860603">
        <w:rPr>
          <w:rFonts w:ascii="Arial" w:hAnsi="Arial" w:cs="Arial"/>
          <w:sz w:val="24"/>
          <w:szCs w:val="24"/>
          <w:lang w:val="en-US"/>
        </w:rPr>
        <w:t>,</w:t>
      </w:r>
      <w:r w:rsidR="005306FF" w:rsidRPr="00860603">
        <w:rPr>
          <w:rFonts w:ascii="Arial" w:hAnsi="Arial" w:cs="Arial"/>
          <w:sz w:val="24"/>
          <w:szCs w:val="24"/>
          <w:lang w:val="en-US"/>
        </w:rPr>
        <w:t xml:space="preserve"> and who has died prior to the finalisation of </w:t>
      </w:r>
      <w:r w:rsidR="008E5CC0" w:rsidRPr="00860603">
        <w:rPr>
          <w:rFonts w:ascii="Arial" w:hAnsi="Arial" w:cs="Arial"/>
          <w:sz w:val="24"/>
          <w:szCs w:val="24"/>
          <w:lang w:val="en-US"/>
        </w:rPr>
        <w:t xml:space="preserve">his (sic) case’. As I have said, individual claims would only be brought by claimants that ‘opt in’ in respect of the second stage of the class action. Moreover, only then would it be determined against which mining company or companies a </w:t>
      </w:r>
      <w:r w:rsidR="008656DE" w:rsidRPr="00860603">
        <w:rPr>
          <w:rFonts w:ascii="Arial" w:hAnsi="Arial" w:cs="Arial"/>
          <w:sz w:val="24"/>
          <w:szCs w:val="24"/>
          <w:lang w:val="en-US"/>
        </w:rPr>
        <w:t xml:space="preserve">particular </w:t>
      </w:r>
      <w:r w:rsidR="008E5CC0" w:rsidRPr="00860603">
        <w:rPr>
          <w:rFonts w:ascii="Arial" w:hAnsi="Arial" w:cs="Arial"/>
          <w:sz w:val="24"/>
          <w:szCs w:val="24"/>
          <w:lang w:val="en-US"/>
        </w:rPr>
        <w:t>claim is made.</w:t>
      </w:r>
      <w:r w:rsidR="0020299D" w:rsidRPr="00860603">
        <w:rPr>
          <w:rFonts w:ascii="Arial" w:hAnsi="Arial" w:cs="Arial"/>
          <w:sz w:val="24"/>
          <w:szCs w:val="24"/>
          <w:lang w:val="en-US"/>
        </w:rPr>
        <w:t xml:space="preserve"> In the light hereof, the application of the vagu</w:t>
      </w:r>
      <w:r w:rsidR="00B30E83" w:rsidRPr="00860603">
        <w:rPr>
          <w:rFonts w:ascii="Arial" w:hAnsi="Arial" w:cs="Arial"/>
          <w:sz w:val="24"/>
          <w:szCs w:val="24"/>
          <w:lang w:val="en-US"/>
        </w:rPr>
        <w:t>e second part of the declarator –</w:t>
      </w:r>
      <w:r w:rsidR="0020299D" w:rsidRPr="00860603">
        <w:rPr>
          <w:rFonts w:ascii="Arial" w:hAnsi="Arial" w:cs="Arial"/>
          <w:sz w:val="24"/>
          <w:szCs w:val="24"/>
          <w:lang w:val="en-US"/>
        </w:rPr>
        <w:t xml:space="preserve"> that the claim for general damages in this case shall be transmissible from the date when the certification application was launched – appears to be </w:t>
      </w:r>
      <w:r w:rsidR="00B30E83" w:rsidRPr="00860603">
        <w:rPr>
          <w:rFonts w:ascii="Arial" w:hAnsi="Arial" w:cs="Arial"/>
          <w:sz w:val="24"/>
          <w:szCs w:val="24"/>
          <w:lang w:val="en-US"/>
        </w:rPr>
        <w:t>fraught</w:t>
      </w:r>
      <w:r w:rsidR="0020299D" w:rsidRPr="00860603">
        <w:rPr>
          <w:rFonts w:ascii="Arial" w:hAnsi="Arial" w:cs="Arial"/>
          <w:sz w:val="24"/>
          <w:szCs w:val="24"/>
          <w:lang w:val="en-US"/>
        </w:rPr>
        <w:t xml:space="preserve"> with difficulty.</w:t>
      </w:r>
      <w:r w:rsidR="008E5CC0" w:rsidRPr="00860603">
        <w:rPr>
          <w:rFonts w:ascii="Arial" w:hAnsi="Arial" w:cs="Arial"/>
          <w:sz w:val="24"/>
          <w:szCs w:val="24"/>
          <w:lang w:val="en-US"/>
        </w:rPr>
        <w:t xml:space="preserve"> In the result</w:t>
      </w:r>
      <w:r w:rsidR="000F5F24" w:rsidRPr="00860603">
        <w:rPr>
          <w:rFonts w:ascii="Arial" w:hAnsi="Arial" w:cs="Arial"/>
          <w:sz w:val="24"/>
          <w:szCs w:val="24"/>
          <w:lang w:val="en-US"/>
        </w:rPr>
        <w:t>,</w:t>
      </w:r>
      <w:r w:rsidR="008E5CC0" w:rsidRPr="00860603">
        <w:rPr>
          <w:rFonts w:ascii="Arial" w:hAnsi="Arial" w:cs="Arial"/>
          <w:sz w:val="24"/>
          <w:szCs w:val="24"/>
          <w:lang w:val="en-US"/>
        </w:rPr>
        <w:t xml:space="preserve"> there is considerable uncertainty as to the proper construction of the declarator </w:t>
      </w:r>
      <w:r w:rsidR="00B30E83" w:rsidRPr="00860603">
        <w:rPr>
          <w:rFonts w:ascii="Arial" w:hAnsi="Arial" w:cs="Arial"/>
          <w:sz w:val="24"/>
          <w:szCs w:val="24"/>
          <w:lang w:val="en-US"/>
        </w:rPr>
        <w:t>and</w:t>
      </w:r>
      <w:r w:rsidR="000F5F24" w:rsidRPr="00860603">
        <w:rPr>
          <w:rFonts w:ascii="Arial" w:hAnsi="Arial" w:cs="Arial"/>
          <w:sz w:val="24"/>
          <w:szCs w:val="24"/>
          <w:lang w:val="en-US"/>
        </w:rPr>
        <w:t xml:space="preserve"> its applicability. </w:t>
      </w:r>
      <w:r w:rsidR="008E5CC0" w:rsidRPr="00860603">
        <w:rPr>
          <w:rFonts w:ascii="Arial" w:hAnsi="Arial" w:cs="Arial"/>
          <w:sz w:val="24"/>
          <w:szCs w:val="24"/>
          <w:lang w:val="en-US"/>
        </w:rPr>
        <w:t>It follows that it may in due course be held that a claimant only ‘has claimed for general damages’</w:t>
      </w:r>
      <w:r w:rsidR="006355FB" w:rsidRPr="00860603">
        <w:rPr>
          <w:rFonts w:ascii="Arial" w:hAnsi="Arial" w:cs="Arial"/>
          <w:sz w:val="24"/>
          <w:szCs w:val="24"/>
          <w:lang w:val="en-US"/>
        </w:rPr>
        <w:t xml:space="preserve"> </w:t>
      </w:r>
      <w:r w:rsidR="008E5CC0" w:rsidRPr="00860603">
        <w:rPr>
          <w:rFonts w:ascii="Arial" w:hAnsi="Arial" w:cs="Arial"/>
          <w:sz w:val="24"/>
          <w:szCs w:val="24"/>
          <w:lang w:val="en-US"/>
        </w:rPr>
        <w:t>at the second stage. Consequently</w:t>
      </w:r>
      <w:r w:rsidR="00B30E83" w:rsidRPr="00860603">
        <w:rPr>
          <w:rFonts w:ascii="Arial" w:hAnsi="Arial" w:cs="Arial"/>
          <w:sz w:val="24"/>
          <w:szCs w:val="24"/>
          <w:lang w:val="en-US"/>
        </w:rPr>
        <w:t>, given the difficulties alluded to, it</w:t>
      </w:r>
      <w:r w:rsidR="008E5CC0" w:rsidRPr="00860603">
        <w:rPr>
          <w:rFonts w:ascii="Arial" w:hAnsi="Arial" w:cs="Arial"/>
          <w:sz w:val="24"/>
          <w:szCs w:val="24"/>
          <w:lang w:val="en-US"/>
        </w:rPr>
        <w:t xml:space="preserve"> is not inconceivable that the declarator may turn out to have no material impact. The nature and history of the matter indicate that this may also result from other causes, such as settlement. </w:t>
      </w:r>
    </w:p>
    <w:p w14:paraId="2750754D" w14:textId="77777777" w:rsidR="00E63422" w:rsidRPr="00860603" w:rsidRDefault="00E63422" w:rsidP="00B05C8E">
      <w:pPr>
        <w:rPr>
          <w:rFonts w:ascii="Arial" w:hAnsi="Arial" w:cs="Arial"/>
          <w:sz w:val="24"/>
          <w:szCs w:val="24"/>
          <w:lang w:val="en-US"/>
        </w:rPr>
      </w:pPr>
    </w:p>
    <w:p w14:paraId="54B0D7D9" w14:textId="2BC82DEE" w:rsidR="00E63422" w:rsidRPr="00860603" w:rsidRDefault="009D428D" w:rsidP="00B05C8E">
      <w:pPr>
        <w:rPr>
          <w:rFonts w:ascii="Arial" w:hAnsi="Arial" w:cs="Arial"/>
          <w:sz w:val="24"/>
          <w:szCs w:val="24"/>
          <w:lang w:val="en-US"/>
        </w:rPr>
      </w:pPr>
      <w:r>
        <w:rPr>
          <w:rFonts w:ascii="Arial" w:hAnsi="Arial" w:cs="Arial"/>
          <w:sz w:val="24"/>
          <w:szCs w:val="24"/>
          <w:lang w:val="en-US"/>
        </w:rPr>
        <w:t>[3</w:t>
      </w:r>
      <w:r w:rsidR="00244C11">
        <w:rPr>
          <w:rFonts w:ascii="Arial" w:hAnsi="Arial" w:cs="Arial"/>
          <w:sz w:val="24"/>
          <w:szCs w:val="24"/>
          <w:lang w:val="en-US"/>
        </w:rPr>
        <w:t>9</w:t>
      </w:r>
      <w:r w:rsidR="00E63422" w:rsidRPr="00860603">
        <w:rPr>
          <w:rFonts w:ascii="Arial" w:hAnsi="Arial" w:cs="Arial"/>
          <w:sz w:val="24"/>
          <w:szCs w:val="24"/>
          <w:lang w:val="en-US"/>
        </w:rPr>
        <w:t>]</w:t>
      </w:r>
      <w:r w:rsidR="00E63422" w:rsidRPr="00860603">
        <w:rPr>
          <w:rFonts w:ascii="Arial" w:hAnsi="Arial" w:cs="Arial"/>
          <w:sz w:val="24"/>
          <w:szCs w:val="24"/>
          <w:lang w:val="en-US"/>
        </w:rPr>
        <w:tab/>
        <w:t>The sec</w:t>
      </w:r>
      <w:r w:rsidR="008656DE" w:rsidRPr="00860603">
        <w:rPr>
          <w:rFonts w:ascii="Arial" w:hAnsi="Arial" w:cs="Arial"/>
          <w:sz w:val="24"/>
          <w:szCs w:val="24"/>
          <w:lang w:val="en-US"/>
        </w:rPr>
        <w:t>ond consideration is this. By and large</w:t>
      </w:r>
      <w:r w:rsidR="00E63422" w:rsidRPr="00860603">
        <w:rPr>
          <w:rFonts w:ascii="Arial" w:hAnsi="Arial" w:cs="Arial"/>
          <w:sz w:val="24"/>
          <w:szCs w:val="24"/>
          <w:lang w:val="en-US"/>
        </w:rPr>
        <w:t xml:space="preserve"> the potential class members are poor and vulnerable people. The consolidated application was launched more than ten years ago. Should we entertain an appeal against the declarator at this stage, there may be a further appeal, particularly if we should construe the declarator to the dissatisfaction of either the appellants or the respondent</w:t>
      </w:r>
      <w:r w:rsidR="008656DE" w:rsidRPr="00860603">
        <w:rPr>
          <w:rFonts w:ascii="Arial" w:hAnsi="Arial" w:cs="Arial"/>
          <w:sz w:val="24"/>
          <w:szCs w:val="24"/>
          <w:lang w:val="en-US"/>
        </w:rPr>
        <w:t>s. These processes may postpone</w:t>
      </w:r>
      <w:r w:rsidR="00E63422" w:rsidRPr="00860603">
        <w:rPr>
          <w:rFonts w:ascii="Arial" w:hAnsi="Arial" w:cs="Arial"/>
          <w:sz w:val="24"/>
          <w:szCs w:val="24"/>
          <w:lang w:val="en-US"/>
        </w:rPr>
        <w:t xml:space="preserve"> </w:t>
      </w:r>
      <w:r w:rsidR="00E63422" w:rsidRPr="00860603">
        <w:rPr>
          <w:rFonts w:ascii="Arial" w:hAnsi="Arial" w:cs="Arial"/>
          <w:i/>
          <w:sz w:val="24"/>
          <w:szCs w:val="24"/>
          <w:lang w:val="en-US"/>
        </w:rPr>
        <w:t>litis contestatio</w:t>
      </w:r>
      <w:r w:rsidR="00E63422" w:rsidRPr="00860603">
        <w:rPr>
          <w:rFonts w:ascii="Arial" w:hAnsi="Arial" w:cs="Arial"/>
          <w:sz w:val="24"/>
          <w:szCs w:val="24"/>
          <w:lang w:val="en-US"/>
        </w:rPr>
        <w:t xml:space="preserve"> in the class action, yet may culminate in a decision that </w:t>
      </w:r>
      <w:r w:rsidR="00E63422" w:rsidRPr="00860603">
        <w:rPr>
          <w:rFonts w:ascii="Arial" w:hAnsi="Arial" w:cs="Arial"/>
          <w:i/>
          <w:sz w:val="24"/>
          <w:szCs w:val="24"/>
          <w:lang w:val="en-US"/>
        </w:rPr>
        <w:t>litis contestatio</w:t>
      </w:r>
      <w:r w:rsidR="00E63422" w:rsidRPr="00860603">
        <w:rPr>
          <w:rFonts w:ascii="Arial" w:hAnsi="Arial" w:cs="Arial"/>
          <w:sz w:val="24"/>
          <w:szCs w:val="24"/>
          <w:lang w:val="en-US"/>
        </w:rPr>
        <w:t xml:space="preserve"> remains </w:t>
      </w:r>
      <w:r w:rsidR="002175E6" w:rsidRPr="00860603">
        <w:rPr>
          <w:rFonts w:ascii="Arial" w:hAnsi="Arial" w:cs="Arial"/>
          <w:sz w:val="24"/>
          <w:szCs w:val="24"/>
          <w:lang w:val="en-US"/>
        </w:rPr>
        <w:t>determinative</w:t>
      </w:r>
      <w:r w:rsidR="00E63422" w:rsidRPr="00860603">
        <w:rPr>
          <w:rFonts w:ascii="Arial" w:hAnsi="Arial" w:cs="Arial"/>
          <w:sz w:val="24"/>
          <w:szCs w:val="24"/>
          <w:lang w:val="en-US"/>
        </w:rPr>
        <w:t xml:space="preserve"> for the transmission of claims for non-patrimonial </w:t>
      </w:r>
      <w:r w:rsidR="00E63422" w:rsidRPr="00860603">
        <w:rPr>
          <w:rFonts w:ascii="Arial" w:hAnsi="Arial" w:cs="Arial"/>
          <w:sz w:val="24"/>
          <w:szCs w:val="24"/>
          <w:lang w:val="en-US"/>
        </w:rPr>
        <w:lastRenderedPageBreak/>
        <w:t xml:space="preserve">damages. </w:t>
      </w:r>
      <w:r w:rsidR="002175E6" w:rsidRPr="00860603">
        <w:rPr>
          <w:rFonts w:ascii="Arial" w:hAnsi="Arial" w:cs="Arial"/>
          <w:sz w:val="24"/>
          <w:szCs w:val="24"/>
          <w:lang w:val="en-US"/>
        </w:rPr>
        <w:t xml:space="preserve">That may cause the extinction of any number of claims for general damages of claimants that passed away before </w:t>
      </w:r>
      <w:r w:rsidR="002175E6" w:rsidRPr="00860603">
        <w:rPr>
          <w:rFonts w:ascii="Arial" w:hAnsi="Arial" w:cs="Arial"/>
          <w:i/>
          <w:sz w:val="24"/>
          <w:szCs w:val="24"/>
          <w:lang w:val="en-US"/>
        </w:rPr>
        <w:t>litis contestatio</w:t>
      </w:r>
      <w:r w:rsidR="002175E6" w:rsidRPr="00860603">
        <w:rPr>
          <w:rFonts w:ascii="Arial" w:hAnsi="Arial" w:cs="Arial"/>
          <w:sz w:val="24"/>
          <w:szCs w:val="24"/>
          <w:lang w:val="en-US"/>
        </w:rPr>
        <w:t>. For me</w:t>
      </w:r>
      <w:r w:rsidR="00AE0303" w:rsidRPr="00860603">
        <w:rPr>
          <w:rFonts w:ascii="Arial" w:hAnsi="Arial" w:cs="Arial"/>
          <w:sz w:val="24"/>
          <w:szCs w:val="24"/>
          <w:lang w:val="en-US"/>
        </w:rPr>
        <w:t>,</w:t>
      </w:r>
      <w:r w:rsidR="002175E6" w:rsidRPr="00860603">
        <w:rPr>
          <w:rFonts w:ascii="Arial" w:hAnsi="Arial" w:cs="Arial"/>
          <w:sz w:val="24"/>
          <w:szCs w:val="24"/>
          <w:lang w:val="en-US"/>
        </w:rPr>
        <w:t xml:space="preserve"> the overwhelming interests of justice consideration is that the finalisation of the class action should be expedited. In the result</w:t>
      </w:r>
      <w:r w:rsidR="000F5F24" w:rsidRPr="00860603">
        <w:rPr>
          <w:rFonts w:ascii="Arial" w:hAnsi="Arial" w:cs="Arial"/>
          <w:sz w:val="24"/>
          <w:szCs w:val="24"/>
          <w:lang w:val="en-US"/>
        </w:rPr>
        <w:t>,</w:t>
      </w:r>
      <w:r w:rsidR="002175E6" w:rsidRPr="00860603">
        <w:rPr>
          <w:rFonts w:ascii="Arial" w:hAnsi="Arial" w:cs="Arial"/>
          <w:sz w:val="24"/>
          <w:szCs w:val="24"/>
          <w:lang w:val="en-US"/>
        </w:rPr>
        <w:t xml:space="preserve"> the interests of justice do not qualify the declarator as an appealable decision. </w:t>
      </w:r>
    </w:p>
    <w:p w14:paraId="2DFB0CAD" w14:textId="77777777" w:rsidR="002175E6" w:rsidRPr="00860603" w:rsidRDefault="002175E6" w:rsidP="00B05C8E">
      <w:pPr>
        <w:rPr>
          <w:rFonts w:ascii="Arial" w:hAnsi="Arial" w:cs="Arial"/>
          <w:sz w:val="24"/>
          <w:szCs w:val="24"/>
          <w:lang w:val="en-US"/>
        </w:rPr>
      </w:pPr>
    </w:p>
    <w:p w14:paraId="1C7D4F6F" w14:textId="678FF45D" w:rsidR="002175E6" w:rsidRPr="00860603" w:rsidRDefault="00244C11" w:rsidP="00B05C8E">
      <w:pPr>
        <w:rPr>
          <w:rFonts w:ascii="Arial" w:hAnsi="Arial" w:cs="Arial"/>
          <w:sz w:val="24"/>
          <w:szCs w:val="24"/>
          <w:lang w:val="en-US"/>
        </w:rPr>
      </w:pPr>
      <w:r>
        <w:rPr>
          <w:rFonts w:ascii="Arial" w:hAnsi="Arial" w:cs="Arial"/>
          <w:sz w:val="24"/>
          <w:szCs w:val="24"/>
          <w:lang w:val="en-US"/>
        </w:rPr>
        <w:t>[40</w:t>
      </w:r>
      <w:r w:rsidR="002175E6" w:rsidRPr="00860603">
        <w:rPr>
          <w:rFonts w:ascii="Arial" w:hAnsi="Arial" w:cs="Arial"/>
          <w:sz w:val="24"/>
          <w:szCs w:val="24"/>
          <w:lang w:val="en-US"/>
        </w:rPr>
        <w:t>]</w:t>
      </w:r>
      <w:r w:rsidR="002175E6" w:rsidRPr="00860603">
        <w:rPr>
          <w:rFonts w:ascii="Arial" w:hAnsi="Arial" w:cs="Arial"/>
          <w:sz w:val="24"/>
          <w:szCs w:val="24"/>
          <w:lang w:val="en-US"/>
        </w:rPr>
        <w:tab/>
        <w:t>To conclude</w:t>
      </w:r>
      <w:r w:rsidR="00605E74" w:rsidRPr="00860603">
        <w:rPr>
          <w:rFonts w:ascii="Arial" w:hAnsi="Arial" w:cs="Arial"/>
          <w:sz w:val="24"/>
          <w:szCs w:val="24"/>
          <w:lang w:val="en-US"/>
        </w:rPr>
        <w:t xml:space="preserve">, neither the certification nor the declarator is a decision under s 16(1) of the Superior Courts Act. Even though leave to appeal against both was granted, this court lacks jurisdiction to entertain an appeal against the certification or the declarator. The matter should be struck from the roll with costs. The respondents employed two counsel in respect of the certification and three other counsel in respect of the declarator. The appellants made use of three counsel. I believe that it would be fair and just to direct the appellants to bear the costs of the employment of three counsel by the respondents. </w:t>
      </w:r>
    </w:p>
    <w:p w14:paraId="44B44D91" w14:textId="77777777" w:rsidR="00605E74" w:rsidRPr="00860603" w:rsidRDefault="00605E74" w:rsidP="00B05C8E">
      <w:pPr>
        <w:rPr>
          <w:rFonts w:ascii="Arial" w:hAnsi="Arial" w:cs="Arial"/>
          <w:sz w:val="24"/>
          <w:szCs w:val="24"/>
          <w:lang w:val="en-US"/>
        </w:rPr>
      </w:pPr>
    </w:p>
    <w:p w14:paraId="5410960E" w14:textId="147B1B49" w:rsidR="00605E74" w:rsidRPr="00860603" w:rsidRDefault="00244C11" w:rsidP="00B05C8E">
      <w:pPr>
        <w:rPr>
          <w:rFonts w:ascii="Arial" w:hAnsi="Arial" w:cs="Arial"/>
          <w:sz w:val="24"/>
          <w:szCs w:val="24"/>
          <w:lang w:val="en-US"/>
        </w:rPr>
      </w:pPr>
      <w:r>
        <w:rPr>
          <w:rFonts w:ascii="Arial" w:hAnsi="Arial" w:cs="Arial"/>
          <w:sz w:val="24"/>
          <w:szCs w:val="24"/>
          <w:lang w:val="en-US"/>
        </w:rPr>
        <w:t>[41</w:t>
      </w:r>
      <w:r w:rsidR="00605E74" w:rsidRPr="00860603">
        <w:rPr>
          <w:rFonts w:ascii="Arial" w:hAnsi="Arial" w:cs="Arial"/>
          <w:sz w:val="24"/>
          <w:szCs w:val="24"/>
          <w:lang w:val="en-US"/>
        </w:rPr>
        <w:t>]</w:t>
      </w:r>
      <w:r w:rsidR="00605E74" w:rsidRPr="00860603">
        <w:rPr>
          <w:rFonts w:ascii="Arial" w:hAnsi="Arial" w:cs="Arial"/>
          <w:sz w:val="24"/>
          <w:szCs w:val="24"/>
          <w:lang w:val="en-US"/>
        </w:rPr>
        <w:tab/>
        <w:t xml:space="preserve">The matter is struck from the roll with costs, including the costs of three counsel. </w:t>
      </w:r>
    </w:p>
    <w:p w14:paraId="366C2AF3" w14:textId="77777777" w:rsidR="003F72FA" w:rsidRPr="00860603" w:rsidRDefault="003F72FA" w:rsidP="00B05C8E">
      <w:pPr>
        <w:jc w:val="right"/>
        <w:rPr>
          <w:rFonts w:ascii="Arial" w:hAnsi="Arial" w:cs="Arial"/>
          <w:b/>
          <w:bCs/>
          <w:sz w:val="24"/>
          <w:szCs w:val="24"/>
          <w:lang w:val="en-US"/>
        </w:rPr>
      </w:pPr>
    </w:p>
    <w:p w14:paraId="376E450A" w14:textId="2A00F33E" w:rsidR="003F72FA" w:rsidRPr="00860603" w:rsidRDefault="003F72FA" w:rsidP="00B05C8E">
      <w:pPr>
        <w:jc w:val="right"/>
        <w:rPr>
          <w:rFonts w:ascii="Arial" w:hAnsi="Arial" w:cs="Arial"/>
          <w:b/>
          <w:bCs/>
          <w:sz w:val="24"/>
          <w:szCs w:val="24"/>
          <w:lang w:val="en-US"/>
        </w:rPr>
      </w:pPr>
    </w:p>
    <w:p w14:paraId="2A216621" w14:textId="12BF7467" w:rsidR="008423D2" w:rsidRPr="00860603" w:rsidRDefault="00412A78" w:rsidP="00B05C8E">
      <w:pPr>
        <w:jc w:val="right"/>
        <w:rPr>
          <w:rFonts w:ascii="Arial" w:hAnsi="Arial" w:cs="Arial"/>
          <w:bCs/>
          <w:sz w:val="24"/>
          <w:szCs w:val="24"/>
          <w:lang w:val="en-US"/>
        </w:rPr>
      </w:pPr>
      <w:r w:rsidRPr="00860603">
        <w:rPr>
          <w:rFonts w:ascii="Arial" w:hAnsi="Arial" w:cs="Arial"/>
          <w:bCs/>
          <w:sz w:val="24"/>
          <w:szCs w:val="24"/>
          <w:lang w:val="en-US"/>
        </w:rPr>
        <w:t>________________________</w:t>
      </w:r>
    </w:p>
    <w:p w14:paraId="5E57C8F8" w14:textId="2FEFCC0B" w:rsidR="008423D2" w:rsidRPr="00860603" w:rsidRDefault="00412A78" w:rsidP="00B05C8E">
      <w:pPr>
        <w:jc w:val="right"/>
        <w:rPr>
          <w:rFonts w:ascii="Arial" w:hAnsi="Arial" w:cs="Arial"/>
          <w:bCs/>
          <w:sz w:val="24"/>
          <w:szCs w:val="24"/>
          <w:lang w:val="en-US"/>
        </w:rPr>
      </w:pPr>
      <w:r w:rsidRPr="00860603">
        <w:rPr>
          <w:rFonts w:ascii="Arial" w:hAnsi="Arial" w:cs="Arial"/>
          <w:bCs/>
          <w:sz w:val="24"/>
          <w:szCs w:val="24"/>
          <w:lang w:val="en-US"/>
        </w:rPr>
        <w:t>C H G VAN DER MERWE</w:t>
      </w:r>
    </w:p>
    <w:p w14:paraId="68C5A8C9" w14:textId="314FBB91" w:rsidR="008423D2" w:rsidRPr="00860603" w:rsidRDefault="00412A78" w:rsidP="00B05C8E">
      <w:pPr>
        <w:jc w:val="right"/>
        <w:rPr>
          <w:rFonts w:ascii="Arial" w:hAnsi="Arial" w:cs="Arial"/>
          <w:sz w:val="24"/>
          <w:szCs w:val="24"/>
          <w:lang w:val="en-US"/>
        </w:rPr>
      </w:pPr>
      <w:r w:rsidRPr="00860603">
        <w:rPr>
          <w:rFonts w:ascii="Arial" w:hAnsi="Arial" w:cs="Arial"/>
          <w:bCs/>
          <w:sz w:val="24"/>
          <w:szCs w:val="24"/>
          <w:lang w:val="en-US"/>
        </w:rPr>
        <w:t>JUDGE OF APPEAL</w:t>
      </w:r>
    </w:p>
    <w:p w14:paraId="01E906EF" w14:textId="77777777" w:rsidR="008423D2" w:rsidRPr="00860603" w:rsidRDefault="008423D2" w:rsidP="00B05C8E">
      <w:pPr>
        <w:rPr>
          <w:rFonts w:ascii="Arial" w:hAnsi="Arial" w:cs="Arial"/>
          <w:sz w:val="24"/>
          <w:szCs w:val="24"/>
          <w:lang w:val="en-US"/>
        </w:rPr>
      </w:pPr>
    </w:p>
    <w:p w14:paraId="2C42D6A1" w14:textId="77777777" w:rsidR="00466565" w:rsidRPr="00860603" w:rsidRDefault="00466565" w:rsidP="00B05C8E">
      <w:pPr>
        <w:rPr>
          <w:rFonts w:ascii="Arial" w:hAnsi="Arial" w:cs="Arial"/>
          <w:sz w:val="24"/>
          <w:szCs w:val="24"/>
          <w:lang w:val="en-US"/>
        </w:rPr>
      </w:pPr>
    </w:p>
    <w:p w14:paraId="1B30B110" w14:textId="3C694023" w:rsidR="00636A3B" w:rsidRPr="00860603" w:rsidRDefault="00636A3B">
      <w:pPr>
        <w:rPr>
          <w:rFonts w:ascii="Arial" w:hAnsi="Arial" w:cs="Arial"/>
          <w:sz w:val="24"/>
          <w:szCs w:val="24"/>
          <w:lang w:val="en-US"/>
        </w:rPr>
      </w:pPr>
      <w:r w:rsidRPr="00860603">
        <w:rPr>
          <w:rFonts w:ascii="Arial" w:hAnsi="Arial" w:cs="Arial"/>
          <w:sz w:val="24"/>
          <w:szCs w:val="24"/>
          <w:lang w:val="en-US"/>
        </w:rPr>
        <w:br w:type="page"/>
      </w:r>
    </w:p>
    <w:p w14:paraId="7A20798A" w14:textId="77777777" w:rsidR="00466565" w:rsidRPr="00860603" w:rsidRDefault="00466565" w:rsidP="00B05C8E">
      <w:pPr>
        <w:rPr>
          <w:rFonts w:ascii="Arial" w:hAnsi="Arial" w:cs="Arial"/>
          <w:sz w:val="24"/>
          <w:szCs w:val="24"/>
          <w:lang w:val="en-US"/>
        </w:rPr>
      </w:pPr>
    </w:p>
    <w:p w14:paraId="2B480FBB" w14:textId="749B102E" w:rsidR="008423D2" w:rsidRPr="00860603" w:rsidRDefault="008423D2" w:rsidP="00B05C8E">
      <w:pPr>
        <w:rPr>
          <w:rFonts w:ascii="Arial" w:hAnsi="Arial" w:cs="Arial"/>
          <w:sz w:val="24"/>
          <w:szCs w:val="24"/>
          <w:lang w:val="en-US"/>
        </w:rPr>
      </w:pPr>
      <w:r w:rsidRPr="00860603">
        <w:rPr>
          <w:rFonts w:ascii="Arial" w:hAnsi="Arial" w:cs="Arial"/>
          <w:sz w:val="24"/>
          <w:szCs w:val="24"/>
          <w:lang w:val="en-US"/>
        </w:rPr>
        <w:t>A</w:t>
      </w:r>
      <w:r w:rsidR="00412A78" w:rsidRPr="00860603">
        <w:rPr>
          <w:rFonts w:ascii="Arial" w:hAnsi="Arial" w:cs="Arial"/>
          <w:sz w:val="24"/>
          <w:szCs w:val="24"/>
          <w:lang w:val="en-US"/>
        </w:rPr>
        <w:t>ppearances</w:t>
      </w:r>
    </w:p>
    <w:p w14:paraId="06903BBC" w14:textId="77777777" w:rsidR="008423D2" w:rsidRPr="00860603" w:rsidRDefault="008423D2" w:rsidP="00B05C8E">
      <w:pPr>
        <w:rPr>
          <w:rFonts w:ascii="Arial" w:hAnsi="Arial" w:cs="Arial"/>
          <w:sz w:val="24"/>
          <w:szCs w:val="24"/>
          <w:lang w:val="en-US"/>
        </w:rPr>
      </w:pPr>
    </w:p>
    <w:p w14:paraId="66505F5E" w14:textId="05F211B8" w:rsidR="008423D2" w:rsidRPr="00860603" w:rsidRDefault="008423D2" w:rsidP="00256F50">
      <w:pPr>
        <w:ind w:left="5040" w:hanging="5040"/>
        <w:rPr>
          <w:rFonts w:ascii="Arial" w:hAnsi="Arial" w:cs="Arial"/>
          <w:sz w:val="24"/>
          <w:szCs w:val="24"/>
          <w:lang w:val="en-US"/>
        </w:rPr>
      </w:pPr>
      <w:r w:rsidRPr="00860603">
        <w:rPr>
          <w:rFonts w:ascii="Arial" w:hAnsi="Arial" w:cs="Arial"/>
          <w:sz w:val="24"/>
          <w:szCs w:val="24"/>
          <w:lang w:val="en-US"/>
        </w:rPr>
        <w:t xml:space="preserve">For </w:t>
      </w:r>
      <w:r w:rsidR="00074E74" w:rsidRPr="00860603">
        <w:rPr>
          <w:rFonts w:ascii="Arial" w:hAnsi="Arial" w:cs="Arial"/>
          <w:sz w:val="24"/>
          <w:szCs w:val="24"/>
          <w:lang w:val="en-US"/>
        </w:rPr>
        <w:t>appellant</w:t>
      </w:r>
      <w:r w:rsidR="00BB1883" w:rsidRPr="00860603">
        <w:rPr>
          <w:rFonts w:ascii="Arial" w:hAnsi="Arial" w:cs="Arial"/>
          <w:sz w:val="24"/>
          <w:szCs w:val="24"/>
          <w:lang w:val="en-US"/>
        </w:rPr>
        <w:t>s</w:t>
      </w:r>
      <w:r w:rsidR="00256F50" w:rsidRPr="00860603">
        <w:rPr>
          <w:rFonts w:ascii="Arial" w:hAnsi="Arial" w:cs="Arial"/>
          <w:sz w:val="24"/>
          <w:szCs w:val="24"/>
          <w:lang w:val="en-US"/>
        </w:rPr>
        <w:t>:</w:t>
      </w:r>
      <w:r w:rsidR="00256F50" w:rsidRPr="00860603">
        <w:rPr>
          <w:rFonts w:ascii="Arial" w:hAnsi="Arial" w:cs="Arial"/>
          <w:sz w:val="24"/>
          <w:szCs w:val="24"/>
          <w:lang w:val="en-US"/>
        </w:rPr>
        <w:tab/>
        <w:t>B Leech SC</w:t>
      </w:r>
      <w:r w:rsidR="00191673" w:rsidRPr="00860603">
        <w:rPr>
          <w:rFonts w:ascii="Arial" w:hAnsi="Arial" w:cs="Arial"/>
          <w:sz w:val="24"/>
          <w:szCs w:val="24"/>
          <w:lang w:val="en-US"/>
        </w:rPr>
        <w:t xml:space="preserve"> with</w:t>
      </w:r>
      <w:r w:rsidR="00256F50" w:rsidRPr="00860603">
        <w:rPr>
          <w:rFonts w:ascii="Arial" w:hAnsi="Arial" w:cs="Arial"/>
          <w:sz w:val="24"/>
          <w:szCs w:val="24"/>
          <w:lang w:val="en-US"/>
        </w:rPr>
        <w:t xml:space="preserve"> M Wesley SC and R Carvalheira</w:t>
      </w:r>
    </w:p>
    <w:p w14:paraId="346786F5" w14:textId="56AD9FBA" w:rsidR="008423D2" w:rsidRPr="00860603" w:rsidRDefault="008423D2" w:rsidP="00B05C8E">
      <w:pPr>
        <w:ind w:left="5040" w:hanging="5040"/>
        <w:rPr>
          <w:rFonts w:ascii="Arial" w:hAnsi="Arial" w:cs="Arial"/>
          <w:sz w:val="24"/>
          <w:szCs w:val="24"/>
          <w:lang w:val="en-US"/>
        </w:rPr>
      </w:pPr>
      <w:r w:rsidRPr="00860603">
        <w:rPr>
          <w:rFonts w:ascii="Arial" w:hAnsi="Arial" w:cs="Arial"/>
          <w:sz w:val="24"/>
          <w:szCs w:val="24"/>
          <w:lang w:val="en-US"/>
        </w:rPr>
        <w:t>Instructed by:</w:t>
      </w:r>
      <w:r w:rsidRPr="00860603">
        <w:rPr>
          <w:rFonts w:ascii="Arial" w:hAnsi="Arial" w:cs="Arial"/>
          <w:sz w:val="24"/>
          <w:szCs w:val="24"/>
          <w:lang w:val="en-US"/>
        </w:rPr>
        <w:tab/>
      </w:r>
      <w:r w:rsidR="00CC2E0B" w:rsidRPr="00860603">
        <w:rPr>
          <w:rFonts w:ascii="Arial" w:hAnsi="Arial" w:cs="Arial"/>
          <w:sz w:val="24"/>
          <w:szCs w:val="24"/>
          <w:lang w:val="en-US"/>
        </w:rPr>
        <w:t>Malan Scholes Inc</w:t>
      </w:r>
      <w:r w:rsidRPr="00860603">
        <w:rPr>
          <w:rFonts w:ascii="Arial" w:hAnsi="Arial" w:cs="Arial"/>
          <w:sz w:val="24"/>
          <w:szCs w:val="24"/>
          <w:lang w:val="en-US"/>
        </w:rPr>
        <w:t>,</w:t>
      </w:r>
      <w:r w:rsidR="00CC2E0B" w:rsidRPr="00860603">
        <w:rPr>
          <w:rFonts w:ascii="Arial" w:hAnsi="Arial" w:cs="Arial"/>
          <w:sz w:val="24"/>
          <w:szCs w:val="24"/>
          <w:lang w:val="en-US"/>
        </w:rPr>
        <w:t xml:space="preserve"> Johannesburg</w:t>
      </w:r>
      <w:r w:rsidRPr="00860603">
        <w:rPr>
          <w:rFonts w:ascii="Arial" w:hAnsi="Arial" w:cs="Arial"/>
          <w:sz w:val="24"/>
          <w:szCs w:val="24"/>
          <w:lang w:val="en-US"/>
        </w:rPr>
        <w:t xml:space="preserve"> </w:t>
      </w:r>
    </w:p>
    <w:p w14:paraId="02B13315" w14:textId="70646101" w:rsidR="008423D2" w:rsidRPr="00860603" w:rsidRDefault="008423D2" w:rsidP="00B05C8E">
      <w:pPr>
        <w:ind w:left="5040" w:hanging="5040"/>
        <w:rPr>
          <w:rFonts w:ascii="Arial" w:hAnsi="Arial" w:cs="Arial"/>
          <w:sz w:val="24"/>
          <w:szCs w:val="24"/>
          <w:lang w:val="en-US"/>
        </w:rPr>
      </w:pPr>
      <w:r w:rsidRPr="00860603">
        <w:rPr>
          <w:rFonts w:ascii="Arial" w:hAnsi="Arial" w:cs="Arial"/>
          <w:sz w:val="24"/>
          <w:szCs w:val="24"/>
          <w:lang w:val="en-US"/>
        </w:rPr>
        <w:tab/>
      </w:r>
      <w:r w:rsidR="00CC2E0B" w:rsidRPr="00860603">
        <w:rPr>
          <w:rFonts w:ascii="Arial" w:hAnsi="Arial" w:cs="Arial"/>
          <w:sz w:val="24"/>
          <w:szCs w:val="24"/>
          <w:lang w:val="en-US"/>
        </w:rPr>
        <w:t>Claude Reid Attorneys</w:t>
      </w:r>
      <w:r w:rsidR="00074E74" w:rsidRPr="00860603">
        <w:rPr>
          <w:rFonts w:ascii="Arial" w:hAnsi="Arial" w:cs="Arial"/>
          <w:sz w:val="24"/>
          <w:szCs w:val="24"/>
          <w:lang w:val="en-US"/>
        </w:rPr>
        <w:t>,</w:t>
      </w:r>
      <w:r w:rsidR="00CC2E0B" w:rsidRPr="00860603">
        <w:rPr>
          <w:rFonts w:ascii="Arial" w:hAnsi="Arial" w:cs="Arial"/>
          <w:sz w:val="24"/>
          <w:szCs w:val="24"/>
          <w:lang w:val="en-US"/>
        </w:rPr>
        <w:t xml:space="preserve"> Bloemfontein</w:t>
      </w:r>
      <w:r w:rsidRPr="00860603">
        <w:rPr>
          <w:rFonts w:ascii="Arial" w:hAnsi="Arial" w:cs="Arial"/>
          <w:sz w:val="24"/>
          <w:szCs w:val="24"/>
          <w:lang w:val="en-US"/>
        </w:rPr>
        <w:t xml:space="preserve"> </w:t>
      </w:r>
    </w:p>
    <w:p w14:paraId="3A67D3A6" w14:textId="77777777" w:rsidR="00074E74" w:rsidRPr="00860603" w:rsidRDefault="00074E74" w:rsidP="00B05C8E">
      <w:pPr>
        <w:ind w:left="5040" w:hanging="5040"/>
        <w:rPr>
          <w:rFonts w:ascii="Arial" w:hAnsi="Arial" w:cs="Arial"/>
          <w:sz w:val="24"/>
          <w:szCs w:val="24"/>
          <w:lang w:val="en-US"/>
        </w:rPr>
      </w:pPr>
    </w:p>
    <w:p w14:paraId="6FFE7B5E" w14:textId="03C0A235" w:rsidR="003C6B32" w:rsidRPr="00860603" w:rsidRDefault="00074E74" w:rsidP="00B05C8E">
      <w:pPr>
        <w:ind w:left="5040" w:hanging="5040"/>
        <w:rPr>
          <w:rFonts w:ascii="Arial" w:hAnsi="Arial" w:cs="Arial"/>
          <w:sz w:val="24"/>
          <w:szCs w:val="24"/>
          <w:lang w:val="en-US"/>
        </w:rPr>
      </w:pPr>
      <w:r w:rsidRPr="00860603">
        <w:rPr>
          <w:rFonts w:ascii="Arial" w:hAnsi="Arial" w:cs="Arial"/>
          <w:sz w:val="24"/>
          <w:szCs w:val="24"/>
          <w:lang w:val="en-US"/>
        </w:rPr>
        <w:t xml:space="preserve">For </w:t>
      </w:r>
      <w:r w:rsidR="00DD4344" w:rsidRPr="00860603">
        <w:rPr>
          <w:rFonts w:ascii="Arial" w:hAnsi="Arial" w:cs="Arial"/>
          <w:sz w:val="24"/>
          <w:szCs w:val="24"/>
          <w:lang w:val="en-US"/>
        </w:rPr>
        <w:t>1</w:t>
      </w:r>
      <w:r w:rsidR="00DD4344" w:rsidRPr="00860603">
        <w:rPr>
          <w:rFonts w:ascii="Arial" w:hAnsi="Arial" w:cs="Arial"/>
          <w:sz w:val="24"/>
          <w:szCs w:val="24"/>
          <w:vertAlign w:val="superscript"/>
          <w:lang w:val="en-US"/>
        </w:rPr>
        <w:t>st</w:t>
      </w:r>
      <w:r w:rsidR="00DD4344" w:rsidRPr="00860603">
        <w:rPr>
          <w:rFonts w:ascii="Arial" w:hAnsi="Arial" w:cs="Arial"/>
          <w:sz w:val="24"/>
          <w:szCs w:val="24"/>
          <w:lang w:val="en-US"/>
        </w:rPr>
        <w:t xml:space="preserve"> – 30</w:t>
      </w:r>
      <w:r w:rsidR="00DD4344" w:rsidRPr="00860603">
        <w:rPr>
          <w:rFonts w:ascii="Arial" w:hAnsi="Arial" w:cs="Arial"/>
          <w:sz w:val="24"/>
          <w:szCs w:val="24"/>
          <w:vertAlign w:val="superscript"/>
          <w:lang w:val="en-US"/>
        </w:rPr>
        <w:t>th</w:t>
      </w:r>
      <w:r w:rsidR="00DD4344" w:rsidRPr="00860603">
        <w:rPr>
          <w:rFonts w:ascii="Arial" w:hAnsi="Arial" w:cs="Arial"/>
          <w:sz w:val="24"/>
          <w:szCs w:val="24"/>
          <w:lang w:val="en-US"/>
        </w:rPr>
        <w:t xml:space="preserve"> </w:t>
      </w:r>
      <w:r w:rsidR="006A7137" w:rsidRPr="00860603">
        <w:rPr>
          <w:rFonts w:ascii="Arial" w:hAnsi="Arial" w:cs="Arial"/>
          <w:sz w:val="24"/>
          <w:szCs w:val="24"/>
          <w:lang w:val="en-US"/>
        </w:rPr>
        <w:t>respondents</w:t>
      </w:r>
      <w:r w:rsidRPr="00860603">
        <w:rPr>
          <w:rFonts w:ascii="Arial" w:hAnsi="Arial" w:cs="Arial"/>
          <w:sz w:val="24"/>
          <w:szCs w:val="24"/>
          <w:lang w:val="en-US"/>
        </w:rPr>
        <w:t>:</w:t>
      </w:r>
      <w:r w:rsidRPr="00860603">
        <w:rPr>
          <w:rFonts w:ascii="Arial" w:hAnsi="Arial" w:cs="Arial"/>
          <w:sz w:val="24"/>
          <w:szCs w:val="24"/>
          <w:lang w:val="en-US"/>
        </w:rPr>
        <w:tab/>
      </w:r>
      <w:r w:rsidR="00256F50" w:rsidRPr="00860603">
        <w:rPr>
          <w:rFonts w:ascii="Arial" w:hAnsi="Arial" w:cs="Arial"/>
          <w:sz w:val="24"/>
          <w:szCs w:val="24"/>
          <w:lang w:val="en-US"/>
        </w:rPr>
        <w:t xml:space="preserve">A Dodson </w:t>
      </w:r>
      <w:r w:rsidR="00EB3142" w:rsidRPr="00860603">
        <w:rPr>
          <w:rFonts w:ascii="Arial" w:hAnsi="Arial" w:cs="Arial"/>
          <w:sz w:val="24"/>
          <w:szCs w:val="24"/>
          <w:lang w:val="en-US"/>
        </w:rPr>
        <w:t xml:space="preserve">SC </w:t>
      </w:r>
      <w:r w:rsidR="006D42D1" w:rsidRPr="00860603">
        <w:rPr>
          <w:rFonts w:ascii="Arial" w:hAnsi="Arial" w:cs="Arial"/>
          <w:sz w:val="24"/>
          <w:szCs w:val="24"/>
          <w:lang w:val="en-US"/>
        </w:rPr>
        <w:t>with</w:t>
      </w:r>
      <w:r w:rsidR="00256F50" w:rsidRPr="00860603">
        <w:rPr>
          <w:rFonts w:ascii="Arial" w:hAnsi="Arial" w:cs="Arial"/>
          <w:sz w:val="24"/>
          <w:szCs w:val="24"/>
          <w:lang w:val="en-US"/>
        </w:rPr>
        <w:t xml:space="preserve"> J Bleazard</w:t>
      </w:r>
    </w:p>
    <w:p w14:paraId="5ACFCA9F" w14:textId="088C2C9C" w:rsidR="00074E74" w:rsidRPr="00860603" w:rsidRDefault="00256F50" w:rsidP="003C6B32">
      <w:pPr>
        <w:ind w:left="5040"/>
        <w:rPr>
          <w:rFonts w:ascii="Arial" w:hAnsi="Arial" w:cs="Arial"/>
          <w:sz w:val="24"/>
          <w:szCs w:val="24"/>
          <w:lang w:val="en-US"/>
        </w:rPr>
      </w:pPr>
      <w:r w:rsidRPr="00860603">
        <w:rPr>
          <w:rFonts w:ascii="Arial" w:hAnsi="Arial" w:cs="Arial"/>
          <w:sz w:val="24"/>
          <w:szCs w:val="24"/>
          <w:lang w:val="en-US"/>
        </w:rPr>
        <w:t>G Marcus SC with E Webber and M Seme</w:t>
      </w:r>
    </w:p>
    <w:p w14:paraId="709D11D9" w14:textId="5ABBC92B" w:rsidR="00074E74" w:rsidRPr="00860603" w:rsidRDefault="00074E74" w:rsidP="00B05C8E">
      <w:pPr>
        <w:ind w:left="5040" w:hanging="5040"/>
        <w:rPr>
          <w:rFonts w:ascii="Arial" w:hAnsi="Arial" w:cs="Arial"/>
          <w:sz w:val="24"/>
          <w:szCs w:val="24"/>
          <w:lang w:val="en-US"/>
        </w:rPr>
      </w:pPr>
      <w:r w:rsidRPr="00860603">
        <w:rPr>
          <w:rFonts w:ascii="Arial" w:hAnsi="Arial" w:cs="Arial"/>
          <w:sz w:val="24"/>
          <w:szCs w:val="24"/>
          <w:lang w:val="en-US"/>
        </w:rPr>
        <w:t>Instructed by:</w:t>
      </w:r>
      <w:r w:rsidRPr="00860603">
        <w:rPr>
          <w:rFonts w:ascii="Arial" w:hAnsi="Arial" w:cs="Arial"/>
          <w:sz w:val="24"/>
          <w:szCs w:val="24"/>
          <w:lang w:val="en-US"/>
        </w:rPr>
        <w:tab/>
      </w:r>
      <w:r w:rsidR="00CC2E0B" w:rsidRPr="00860603">
        <w:rPr>
          <w:rFonts w:ascii="Arial" w:hAnsi="Arial" w:cs="Arial"/>
          <w:sz w:val="24"/>
          <w:szCs w:val="24"/>
          <w:lang w:val="en-US"/>
        </w:rPr>
        <w:t>Richard Spoor Inc</w:t>
      </w:r>
      <w:r w:rsidRPr="00860603">
        <w:rPr>
          <w:rFonts w:ascii="Arial" w:hAnsi="Arial" w:cs="Arial"/>
          <w:sz w:val="24"/>
          <w:szCs w:val="24"/>
          <w:lang w:val="en-US"/>
        </w:rPr>
        <w:t xml:space="preserve">, </w:t>
      </w:r>
      <w:r w:rsidR="00CC2E0B" w:rsidRPr="00860603">
        <w:rPr>
          <w:rFonts w:ascii="Arial" w:hAnsi="Arial" w:cs="Arial"/>
          <w:sz w:val="24"/>
          <w:szCs w:val="24"/>
          <w:lang w:val="en-US"/>
        </w:rPr>
        <w:t>Johannesburg</w:t>
      </w:r>
    </w:p>
    <w:p w14:paraId="54C294BD" w14:textId="04982163" w:rsidR="00074E74" w:rsidRPr="00860603" w:rsidRDefault="00074E74" w:rsidP="00B05C8E">
      <w:pPr>
        <w:ind w:left="5040" w:hanging="5040"/>
        <w:rPr>
          <w:rFonts w:ascii="Arial" w:hAnsi="Arial" w:cs="Arial"/>
          <w:sz w:val="24"/>
          <w:szCs w:val="24"/>
          <w:lang w:val="en-US"/>
        </w:rPr>
      </w:pPr>
      <w:r w:rsidRPr="00860603">
        <w:rPr>
          <w:rFonts w:ascii="Arial" w:hAnsi="Arial" w:cs="Arial"/>
          <w:sz w:val="24"/>
          <w:szCs w:val="24"/>
          <w:lang w:val="en-US"/>
        </w:rPr>
        <w:tab/>
      </w:r>
      <w:r w:rsidR="00CC2E0B" w:rsidRPr="00860603">
        <w:rPr>
          <w:rFonts w:ascii="Arial" w:hAnsi="Arial" w:cs="Arial"/>
          <w:sz w:val="24"/>
          <w:szCs w:val="24"/>
          <w:lang w:val="en-US"/>
        </w:rPr>
        <w:t>Honey Attorneys</w:t>
      </w:r>
      <w:r w:rsidR="00D715CC" w:rsidRPr="00860603">
        <w:rPr>
          <w:rFonts w:ascii="Arial" w:hAnsi="Arial" w:cs="Arial"/>
          <w:sz w:val="24"/>
          <w:szCs w:val="24"/>
          <w:lang w:val="en-US"/>
        </w:rPr>
        <w:t xml:space="preserve"> Inc</w:t>
      </w:r>
      <w:r w:rsidRPr="00860603">
        <w:rPr>
          <w:rFonts w:ascii="Arial" w:hAnsi="Arial" w:cs="Arial"/>
          <w:sz w:val="24"/>
          <w:szCs w:val="24"/>
          <w:lang w:val="en-US"/>
        </w:rPr>
        <w:t>, Bloemfontein</w:t>
      </w:r>
    </w:p>
    <w:p w14:paraId="3D505D5F" w14:textId="77777777" w:rsidR="00DD4344" w:rsidRPr="00860603" w:rsidRDefault="00DD4344" w:rsidP="001A0CAA">
      <w:pPr>
        <w:rPr>
          <w:rFonts w:ascii="Arial" w:hAnsi="Arial" w:cs="Arial"/>
          <w:sz w:val="24"/>
          <w:szCs w:val="24"/>
          <w:lang w:val="en-US"/>
        </w:rPr>
      </w:pPr>
    </w:p>
    <w:p w14:paraId="562523C9" w14:textId="12C26B91" w:rsidR="00DD4344" w:rsidRPr="00860603" w:rsidRDefault="00DD4344" w:rsidP="00DD4344">
      <w:pPr>
        <w:ind w:left="5040" w:hanging="5040"/>
        <w:rPr>
          <w:rFonts w:ascii="Arial" w:hAnsi="Arial" w:cs="Arial"/>
          <w:sz w:val="24"/>
          <w:szCs w:val="24"/>
          <w:lang w:val="en-US"/>
        </w:rPr>
      </w:pPr>
      <w:r w:rsidRPr="00860603">
        <w:rPr>
          <w:rFonts w:ascii="Arial" w:hAnsi="Arial" w:cs="Arial"/>
          <w:sz w:val="24"/>
          <w:szCs w:val="24"/>
          <w:lang w:val="en-US"/>
        </w:rPr>
        <w:t>For 31</w:t>
      </w:r>
      <w:r w:rsidRPr="00860603">
        <w:rPr>
          <w:rFonts w:ascii="Arial" w:hAnsi="Arial" w:cs="Arial"/>
          <w:sz w:val="24"/>
          <w:szCs w:val="24"/>
          <w:vertAlign w:val="superscript"/>
          <w:lang w:val="en-US"/>
        </w:rPr>
        <w:t>st</w:t>
      </w:r>
      <w:r w:rsidRPr="00860603">
        <w:rPr>
          <w:rFonts w:ascii="Arial" w:hAnsi="Arial" w:cs="Arial"/>
          <w:sz w:val="24"/>
          <w:szCs w:val="24"/>
          <w:lang w:val="en-US"/>
        </w:rPr>
        <w:t xml:space="preserve"> – 39</w:t>
      </w:r>
      <w:r w:rsidRPr="00860603">
        <w:rPr>
          <w:rFonts w:ascii="Arial" w:hAnsi="Arial" w:cs="Arial"/>
          <w:sz w:val="24"/>
          <w:szCs w:val="24"/>
          <w:vertAlign w:val="superscript"/>
          <w:lang w:val="en-US"/>
        </w:rPr>
        <w:t>th</w:t>
      </w:r>
      <w:r w:rsidRPr="00860603">
        <w:rPr>
          <w:rFonts w:ascii="Arial" w:hAnsi="Arial" w:cs="Arial"/>
          <w:sz w:val="24"/>
          <w:szCs w:val="24"/>
          <w:lang w:val="en-US"/>
        </w:rPr>
        <w:t xml:space="preserve"> and 53</w:t>
      </w:r>
      <w:r w:rsidRPr="00860603">
        <w:rPr>
          <w:rFonts w:ascii="Arial" w:hAnsi="Arial" w:cs="Arial"/>
          <w:sz w:val="24"/>
          <w:szCs w:val="24"/>
          <w:vertAlign w:val="superscript"/>
          <w:lang w:val="en-US"/>
        </w:rPr>
        <w:t>rd</w:t>
      </w:r>
      <w:r w:rsidRPr="00860603">
        <w:rPr>
          <w:rFonts w:ascii="Arial" w:hAnsi="Arial" w:cs="Arial"/>
          <w:sz w:val="24"/>
          <w:szCs w:val="24"/>
          <w:lang w:val="en-US"/>
        </w:rPr>
        <w:t xml:space="preserve"> – 69</w:t>
      </w:r>
      <w:r w:rsidRPr="00860603">
        <w:rPr>
          <w:rFonts w:ascii="Arial" w:hAnsi="Arial" w:cs="Arial"/>
          <w:sz w:val="24"/>
          <w:szCs w:val="24"/>
          <w:vertAlign w:val="superscript"/>
          <w:lang w:val="en-US"/>
        </w:rPr>
        <w:t>th</w:t>
      </w:r>
      <w:r w:rsidRPr="00860603">
        <w:rPr>
          <w:rFonts w:ascii="Arial" w:hAnsi="Arial" w:cs="Arial"/>
          <w:sz w:val="24"/>
          <w:szCs w:val="24"/>
          <w:lang w:val="en-US"/>
        </w:rPr>
        <w:t xml:space="preserve"> respondents:</w:t>
      </w:r>
      <w:r w:rsidRPr="00860603">
        <w:rPr>
          <w:rFonts w:ascii="Arial" w:hAnsi="Arial" w:cs="Arial"/>
          <w:sz w:val="24"/>
          <w:szCs w:val="24"/>
          <w:lang w:val="en-US"/>
        </w:rPr>
        <w:tab/>
        <w:t>A Dodson SC with J Bleazard</w:t>
      </w:r>
    </w:p>
    <w:p w14:paraId="69DACB0E" w14:textId="2B3A4698" w:rsidR="00DD4344" w:rsidRPr="00860603" w:rsidRDefault="00DD4344" w:rsidP="00DD4344">
      <w:pPr>
        <w:ind w:left="5040"/>
        <w:rPr>
          <w:rFonts w:ascii="Arial" w:hAnsi="Arial" w:cs="Arial"/>
          <w:sz w:val="24"/>
          <w:szCs w:val="24"/>
          <w:lang w:val="en-US"/>
        </w:rPr>
      </w:pPr>
      <w:r w:rsidRPr="00860603">
        <w:rPr>
          <w:rFonts w:ascii="Arial" w:hAnsi="Arial" w:cs="Arial"/>
          <w:sz w:val="24"/>
          <w:szCs w:val="24"/>
          <w:lang w:val="en-US"/>
        </w:rPr>
        <w:t>G Marcus SC with E Webber and M Seme</w:t>
      </w:r>
    </w:p>
    <w:p w14:paraId="09ACCDA7" w14:textId="4955B4A5" w:rsidR="00DD4344" w:rsidRPr="00860603" w:rsidRDefault="00DD4344" w:rsidP="00DD4344">
      <w:pPr>
        <w:ind w:left="5040" w:hanging="5040"/>
        <w:rPr>
          <w:rFonts w:ascii="Arial" w:hAnsi="Arial" w:cs="Arial"/>
          <w:sz w:val="24"/>
          <w:szCs w:val="24"/>
          <w:lang w:val="en-US"/>
        </w:rPr>
      </w:pPr>
      <w:r w:rsidRPr="00860603">
        <w:rPr>
          <w:rFonts w:ascii="Arial" w:hAnsi="Arial" w:cs="Arial"/>
          <w:sz w:val="24"/>
          <w:szCs w:val="24"/>
          <w:lang w:val="en-US"/>
        </w:rPr>
        <w:t>Instructed by:</w:t>
      </w:r>
      <w:r w:rsidRPr="00860603">
        <w:rPr>
          <w:rFonts w:ascii="Arial" w:hAnsi="Arial" w:cs="Arial"/>
          <w:sz w:val="24"/>
          <w:szCs w:val="24"/>
          <w:lang w:val="en-US"/>
        </w:rPr>
        <w:tab/>
        <w:t>Abraham</w:t>
      </w:r>
      <w:r w:rsidR="00D715CC" w:rsidRPr="00860603">
        <w:rPr>
          <w:rFonts w:ascii="Arial" w:hAnsi="Arial" w:cs="Arial"/>
          <w:sz w:val="24"/>
          <w:szCs w:val="24"/>
          <w:lang w:val="en-US"/>
        </w:rPr>
        <w:t>s</w:t>
      </w:r>
      <w:r w:rsidRPr="00860603">
        <w:rPr>
          <w:rFonts w:ascii="Arial" w:hAnsi="Arial" w:cs="Arial"/>
          <w:sz w:val="24"/>
          <w:szCs w:val="24"/>
          <w:lang w:val="en-US"/>
        </w:rPr>
        <w:t xml:space="preserve"> Kiewitz Inc, Belville</w:t>
      </w:r>
    </w:p>
    <w:p w14:paraId="455A32EB" w14:textId="75B2ECAA" w:rsidR="00DD4344" w:rsidRPr="00860603" w:rsidRDefault="00DD4344" w:rsidP="00DD4344">
      <w:pPr>
        <w:ind w:left="5040" w:hanging="5040"/>
        <w:rPr>
          <w:rFonts w:ascii="Arial" w:hAnsi="Arial" w:cs="Arial"/>
          <w:sz w:val="24"/>
          <w:szCs w:val="24"/>
          <w:lang w:val="en-US"/>
        </w:rPr>
      </w:pPr>
      <w:r w:rsidRPr="00860603">
        <w:rPr>
          <w:rFonts w:ascii="Arial" w:hAnsi="Arial" w:cs="Arial"/>
          <w:sz w:val="24"/>
          <w:szCs w:val="24"/>
          <w:lang w:val="en-US"/>
        </w:rPr>
        <w:tab/>
        <w:t>Honey Attorneys</w:t>
      </w:r>
      <w:r w:rsidR="00D715CC" w:rsidRPr="00860603">
        <w:rPr>
          <w:rFonts w:ascii="Arial" w:hAnsi="Arial" w:cs="Arial"/>
          <w:sz w:val="24"/>
          <w:szCs w:val="24"/>
          <w:lang w:val="en-US"/>
        </w:rPr>
        <w:t xml:space="preserve"> Inc</w:t>
      </w:r>
      <w:r w:rsidRPr="00860603">
        <w:rPr>
          <w:rFonts w:ascii="Arial" w:hAnsi="Arial" w:cs="Arial"/>
          <w:sz w:val="24"/>
          <w:szCs w:val="24"/>
          <w:lang w:val="en-US"/>
        </w:rPr>
        <w:t>, Bloemfontein</w:t>
      </w:r>
    </w:p>
    <w:p w14:paraId="43ADC6AA" w14:textId="77777777" w:rsidR="00F713FC" w:rsidRPr="00860603" w:rsidRDefault="00F713FC" w:rsidP="00DD4344">
      <w:pPr>
        <w:ind w:left="5040" w:hanging="5040"/>
        <w:rPr>
          <w:rFonts w:ascii="Arial" w:hAnsi="Arial" w:cs="Arial"/>
          <w:sz w:val="24"/>
          <w:szCs w:val="24"/>
          <w:lang w:val="en-US"/>
        </w:rPr>
      </w:pPr>
    </w:p>
    <w:p w14:paraId="51F79122" w14:textId="407A96E9" w:rsidR="00F713FC" w:rsidRPr="00860603" w:rsidRDefault="00F713FC" w:rsidP="00F713FC">
      <w:pPr>
        <w:ind w:left="5040" w:hanging="5040"/>
        <w:rPr>
          <w:rFonts w:ascii="Arial" w:hAnsi="Arial" w:cs="Arial"/>
          <w:sz w:val="24"/>
          <w:szCs w:val="24"/>
          <w:lang w:val="en-US"/>
        </w:rPr>
      </w:pPr>
      <w:r w:rsidRPr="00860603">
        <w:rPr>
          <w:rFonts w:ascii="Arial" w:hAnsi="Arial" w:cs="Arial"/>
          <w:sz w:val="24"/>
          <w:szCs w:val="24"/>
          <w:lang w:val="en-US"/>
        </w:rPr>
        <w:t>For 40</w:t>
      </w:r>
      <w:r w:rsidRPr="00860603">
        <w:rPr>
          <w:rFonts w:ascii="Arial" w:hAnsi="Arial" w:cs="Arial"/>
          <w:sz w:val="24"/>
          <w:szCs w:val="24"/>
          <w:vertAlign w:val="superscript"/>
          <w:lang w:val="en-US"/>
        </w:rPr>
        <w:t>th</w:t>
      </w:r>
      <w:r w:rsidRPr="00860603">
        <w:rPr>
          <w:rFonts w:ascii="Arial" w:hAnsi="Arial" w:cs="Arial"/>
          <w:sz w:val="24"/>
          <w:szCs w:val="24"/>
          <w:lang w:val="en-US"/>
        </w:rPr>
        <w:t xml:space="preserve"> – 52</w:t>
      </w:r>
      <w:r w:rsidRPr="00860603">
        <w:rPr>
          <w:rFonts w:ascii="Arial" w:hAnsi="Arial" w:cs="Arial"/>
          <w:sz w:val="24"/>
          <w:szCs w:val="24"/>
          <w:vertAlign w:val="superscript"/>
          <w:lang w:val="en-US"/>
        </w:rPr>
        <w:t>nd</w:t>
      </w:r>
      <w:r w:rsidRPr="00860603">
        <w:rPr>
          <w:rFonts w:ascii="Arial" w:hAnsi="Arial" w:cs="Arial"/>
          <w:sz w:val="24"/>
          <w:szCs w:val="24"/>
          <w:lang w:val="en-US"/>
        </w:rPr>
        <w:t xml:space="preserve"> respondents:</w:t>
      </w:r>
      <w:r w:rsidRPr="00860603">
        <w:rPr>
          <w:rFonts w:ascii="Arial" w:hAnsi="Arial" w:cs="Arial"/>
          <w:sz w:val="24"/>
          <w:szCs w:val="24"/>
          <w:lang w:val="en-US"/>
        </w:rPr>
        <w:tab/>
        <w:t>A Dodson SC with J Bleazard</w:t>
      </w:r>
    </w:p>
    <w:p w14:paraId="2187959A" w14:textId="1FD9C657" w:rsidR="00F713FC" w:rsidRPr="00860603" w:rsidRDefault="00F713FC" w:rsidP="00F713FC">
      <w:pPr>
        <w:ind w:left="5040"/>
        <w:rPr>
          <w:rFonts w:ascii="Arial" w:hAnsi="Arial" w:cs="Arial"/>
          <w:sz w:val="24"/>
          <w:szCs w:val="24"/>
          <w:lang w:val="en-US"/>
        </w:rPr>
      </w:pPr>
      <w:r w:rsidRPr="00860603">
        <w:rPr>
          <w:rFonts w:ascii="Arial" w:hAnsi="Arial" w:cs="Arial"/>
          <w:sz w:val="24"/>
          <w:szCs w:val="24"/>
          <w:lang w:val="en-US"/>
        </w:rPr>
        <w:t>G Marcus SC with E Webber and M Seme</w:t>
      </w:r>
    </w:p>
    <w:p w14:paraId="6982FD06" w14:textId="1C2D030A" w:rsidR="00F713FC" w:rsidRPr="00860603" w:rsidRDefault="00F713FC" w:rsidP="00F713FC">
      <w:pPr>
        <w:ind w:left="5040" w:hanging="5040"/>
        <w:rPr>
          <w:rFonts w:ascii="Arial" w:hAnsi="Arial" w:cs="Arial"/>
          <w:sz w:val="24"/>
          <w:szCs w:val="24"/>
          <w:lang w:val="en-US"/>
        </w:rPr>
      </w:pPr>
      <w:r w:rsidRPr="00860603">
        <w:rPr>
          <w:rFonts w:ascii="Arial" w:hAnsi="Arial" w:cs="Arial"/>
          <w:sz w:val="24"/>
          <w:szCs w:val="24"/>
          <w:lang w:val="en-US"/>
        </w:rPr>
        <w:t>Instructed by:</w:t>
      </w:r>
      <w:r w:rsidRPr="00860603">
        <w:rPr>
          <w:rFonts w:ascii="Arial" w:hAnsi="Arial" w:cs="Arial"/>
          <w:sz w:val="24"/>
          <w:szCs w:val="24"/>
          <w:lang w:val="en-US"/>
        </w:rPr>
        <w:tab/>
        <w:t>Legal Resources Centre, Johannesburg</w:t>
      </w:r>
    </w:p>
    <w:p w14:paraId="6131C557" w14:textId="7A30625C" w:rsidR="00F713FC" w:rsidRDefault="00F713FC" w:rsidP="00F713FC">
      <w:pPr>
        <w:ind w:left="5040" w:hanging="5040"/>
        <w:rPr>
          <w:rFonts w:ascii="Arial" w:hAnsi="Arial" w:cs="Arial"/>
          <w:sz w:val="24"/>
          <w:szCs w:val="24"/>
          <w:lang w:val="en-US"/>
        </w:rPr>
      </w:pPr>
      <w:r w:rsidRPr="00860603">
        <w:rPr>
          <w:rFonts w:ascii="Arial" w:hAnsi="Arial" w:cs="Arial"/>
          <w:sz w:val="24"/>
          <w:szCs w:val="24"/>
          <w:lang w:val="en-US"/>
        </w:rPr>
        <w:tab/>
        <w:t>Honey Attorneys</w:t>
      </w:r>
      <w:r w:rsidR="00D715CC" w:rsidRPr="00860603">
        <w:rPr>
          <w:rFonts w:ascii="Arial" w:hAnsi="Arial" w:cs="Arial"/>
          <w:sz w:val="24"/>
          <w:szCs w:val="24"/>
          <w:lang w:val="en-US"/>
        </w:rPr>
        <w:t xml:space="preserve"> Inc</w:t>
      </w:r>
      <w:r w:rsidRPr="00860603">
        <w:rPr>
          <w:rFonts w:ascii="Arial" w:hAnsi="Arial" w:cs="Arial"/>
          <w:sz w:val="24"/>
          <w:szCs w:val="24"/>
          <w:lang w:val="en-US"/>
        </w:rPr>
        <w:t>, Bloemfontein.</w:t>
      </w:r>
    </w:p>
    <w:p w14:paraId="485D6BA3" w14:textId="3F154356" w:rsidR="008423D2" w:rsidRDefault="008423D2" w:rsidP="001A0CAA">
      <w:pPr>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7042" w16cex:dateUtc="2023-02-0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82AAB" w16cid:durableId="278670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6EB7" w14:textId="77777777" w:rsidR="006554D9" w:rsidRDefault="006554D9" w:rsidP="007C4A7C">
      <w:pPr>
        <w:spacing w:line="240" w:lineRule="auto"/>
      </w:pPr>
      <w:r>
        <w:separator/>
      </w:r>
    </w:p>
  </w:endnote>
  <w:endnote w:type="continuationSeparator" w:id="0">
    <w:p w14:paraId="45E08C30" w14:textId="77777777" w:rsidR="006554D9" w:rsidRDefault="006554D9"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4091" w14:textId="77777777" w:rsidR="006554D9" w:rsidRDefault="006554D9" w:rsidP="007C4A7C">
      <w:pPr>
        <w:spacing w:line="240" w:lineRule="auto"/>
      </w:pPr>
      <w:r>
        <w:separator/>
      </w:r>
    </w:p>
  </w:footnote>
  <w:footnote w:type="continuationSeparator" w:id="0">
    <w:p w14:paraId="5521AA0A" w14:textId="77777777" w:rsidR="006554D9" w:rsidRDefault="006554D9" w:rsidP="007C4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4E8A2620" w:rsidR="006C5BFB" w:rsidRDefault="006C5BFB">
        <w:pPr>
          <w:pStyle w:val="Header"/>
          <w:jc w:val="right"/>
        </w:pPr>
        <w:r>
          <w:fldChar w:fldCharType="begin"/>
        </w:r>
        <w:r>
          <w:instrText xml:space="preserve"> PAGE   \* MERGEFORMAT </w:instrText>
        </w:r>
        <w:r>
          <w:fldChar w:fldCharType="separate"/>
        </w:r>
        <w:r w:rsidR="00D7118E">
          <w:rPr>
            <w:noProof/>
          </w:rPr>
          <w:t>18</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13B9A"/>
    <w:rsid w:val="000162D3"/>
    <w:rsid w:val="00016BBD"/>
    <w:rsid w:val="0001710F"/>
    <w:rsid w:val="0001772D"/>
    <w:rsid w:val="00020D0C"/>
    <w:rsid w:val="000214A1"/>
    <w:rsid w:val="00022F96"/>
    <w:rsid w:val="0004135F"/>
    <w:rsid w:val="00042563"/>
    <w:rsid w:val="00042F36"/>
    <w:rsid w:val="00044D61"/>
    <w:rsid w:val="00050A1F"/>
    <w:rsid w:val="00055942"/>
    <w:rsid w:val="00055F50"/>
    <w:rsid w:val="00060D6A"/>
    <w:rsid w:val="00073227"/>
    <w:rsid w:val="00074E74"/>
    <w:rsid w:val="00075874"/>
    <w:rsid w:val="0008018D"/>
    <w:rsid w:val="00081D01"/>
    <w:rsid w:val="00082AE9"/>
    <w:rsid w:val="00086BF9"/>
    <w:rsid w:val="00087951"/>
    <w:rsid w:val="000910AA"/>
    <w:rsid w:val="00092236"/>
    <w:rsid w:val="00095838"/>
    <w:rsid w:val="00097456"/>
    <w:rsid w:val="000A445C"/>
    <w:rsid w:val="000A4D06"/>
    <w:rsid w:val="000A66DB"/>
    <w:rsid w:val="000A6869"/>
    <w:rsid w:val="000A7F1A"/>
    <w:rsid w:val="000B7581"/>
    <w:rsid w:val="000C0C9E"/>
    <w:rsid w:val="000C5219"/>
    <w:rsid w:val="000D13CE"/>
    <w:rsid w:val="000D2ACF"/>
    <w:rsid w:val="000D6CCD"/>
    <w:rsid w:val="000E0A21"/>
    <w:rsid w:val="000F3913"/>
    <w:rsid w:val="000F5F24"/>
    <w:rsid w:val="000F62CE"/>
    <w:rsid w:val="000F76EF"/>
    <w:rsid w:val="00100F63"/>
    <w:rsid w:val="00101AA9"/>
    <w:rsid w:val="00101FE2"/>
    <w:rsid w:val="00104D6F"/>
    <w:rsid w:val="00107E3D"/>
    <w:rsid w:val="00113479"/>
    <w:rsid w:val="001169C1"/>
    <w:rsid w:val="00122DB9"/>
    <w:rsid w:val="00133ADF"/>
    <w:rsid w:val="0013530D"/>
    <w:rsid w:val="001372A2"/>
    <w:rsid w:val="001401DE"/>
    <w:rsid w:val="001403CA"/>
    <w:rsid w:val="00140868"/>
    <w:rsid w:val="0014294F"/>
    <w:rsid w:val="0014612A"/>
    <w:rsid w:val="00153767"/>
    <w:rsid w:val="00153AEB"/>
    <w:rsid w:val="00156D7A"/>
    <w:rsid w:val="00157959"/>
    <w:rsid w:val="00160C32"/>
    <w:rsid w:val="00161E17"/>
    <w:rsid w:val="00161EC3"/>
    <w:rsid w:val="00167D97"/>
    <w:rsid w:val="00175CD6"/>
    <w:rsid w:val="00177693"/>
    <w:rsid w:val="0018044B"/>
    <w:rsid w:val="001824D7"/>
    <w:rsid w:val="00183A66"/>
    <w:rsid w:val="00183D73"/>
    <w:rsid w:val="001849B3"/>
    <w:rsid w:val="00191673"/>
    <w:rsid w:val="00194114"/>
    <w:rsid w:val="001A0CAA"/>
    <w:rsid w:val="001A176C"/>
    <w:rsid w:val="001A39DC"/>
    <w:rsid w:val="001A6650"/>
    <w:rsid w:val="001A793F"/>
    <w:rsid w:val="001B018A"/>
    <w:rsid w:val="001C0D31"/>
    <w:rsid w:val="001C3191"/>
    <w:rsid w:val="001C4328"/>
    <w:rsid w:val="001C72CF"/>
    <w:rsid w:val="001D0F22"/>
    <w:rsid w:val="001D3E42"/>
    <w:rsid w:val="001D4C1B"/>
    <w:rsid w:val="001E22AA"/>
    <w:rsid w:val="001E274B"/>
    <w:rsid w:val="001E387D"/>
    <w:rsid w:val="001E59D4"/>
    <w:rsid w:val="001E60C9"/>
    <w:rsid w:val="001E6322"/>
    <w:rsid w:val="001E65A6"/>
    <w:rsid w:val="001E6D41"/>
    <w:rsid w:val="001E788F"/>
    <w:rsid w:val="001F0B10"/>
    <w:rsid w:val="00201CA8"/>
    <w:rsid w:val="0020299D"/>
    <w:rsid w:val="00203286"/>
    <w:rsid w:val="002038A1"/>
    <w:rsid w:val="002065F4"/>
    <w:rsid w:val="00206B7C"/>
    <w:rsid w:val="00206EB6"/>
    <w:rsid w:val="002073C1"/>
    <w:rsid w:val="002101C5"/>
    <w:rsid w:val="00210D3F"/>
    <w:rsid w:val="00214DC8"/>
    <w:rsid w:val="00216451"/>
    <w:rsid w:val="002175E6"/>
    <w:rsid w:val="00222DBE"/>
    <w:rsid w:val="002263EA"/>
    <w:rsid w:val="00226859"/>
    <w:rsid w:val="002316CD"/>
    <w:rsid w:val="00243D71"/>
    <w:rsid w:val="002443ED"/>
    <w:rsid w:val="00244C11"/>
    <w:rsid w:val="0025083A"/>
    <w:rsid w:val="00252BA2"/>
    <w:rsid w:val="002550DB"/>
    <w:rsid w:val="002552D0"/>
    <w:rsid w:val="00255382"/>
    <w:rsid w:val="00256F50"/>
    <w:rsid w:val="002604AD"/>
    <w:rsid w:val="0026544A"/>
    <w:rsid w:val="0026737C"/>
    <w:rsid w:val="0027171C"/>
    <w:rsid w:val="0028108E"/>
    <w:rsid w:val="002818B0"/>
    <w:rsid w:val="002962CC"/>
    <w:rsid w:val="002A1C91"/>
    <w:rsid w:val="002A458D"/>
    <w:rsid w:val="002B20B7"/>
    <w:rsid w:val="002B20CA"/>
    <w:rsid w:val="002B2672"/>
    <w:rsid w:val="002C0E38"/>
    <w:rsid w:val="002C4B7D"/>
    <w:rsid w:val="002C52CF"/>
    <w:rsid w:val="002C7E13"/>
    <w:rsid w:val="002D4ED7"/>
    <w:rsid w:val="002E15A6"/>
    <w:rsid w:val="002E6B94"/>
    <w:rsid w:val="002F0852"/>
    <w:rsid w:val="002F1D71"/>
    <w:rsid w:val="002F2F41"/>
    <w:rsid w:val="002F3686"/>
    <w:rsid w:val="002F424B"/>
    <w:rsid w:val="00310204"/>
    <w:rsid w:val="00315C1A"/>
    <w:rsid w:val="00320A23"/>
    <w:rsid w:val="003244D0"/>
    <w:rsid w:val="00326314"/>
    <w:rsid w:val="00327428"/>
    <w:rsid w:val="00330D40"/>
    <w:rsid w:val="003336C5"/>
    <w:rsid w:val="00342515"/>
    <w:rsid w:val="003446AE"/>
    <w:rsid w:val="00344C19"/>
    <w:rsid w:val="003510C0"/>
    <w:rsid w:val="003515FB"/>
    <w:rsid w:val="00351EB3"/>
    <w:rsid w:val="00361676"/>
    <w:rsid w:val="00361FB8"/>
    <w:rsid w:val="00362AFC"/>
    <w:rsid w:val="003721A6"/>
    <w:rsid w:val="00377DA5"/>
    <w:rsid w:val="0038418E"/>
    <w:rsid w:val="00391BCB"/>
    <w:rsid w:val="00394014"/>
    <w:rsid w:val="003965B9"/>
    <w:rsid w:val="003B6798"/>
    <w:rsid w:val="003C1D50"/>
    <w:rsid w:val="003C6B32"/>
    <w:rsid w:val="003D322D"/>
    <w:rsid w:val="003E3D0E"/>
    <w:rsid w:val="003E6EAA"/>
    <w:rsid w:val="003F00C5"/>
    <w:rsid w:val="003F1308"/>
    <w:rsid w:val="003F72FA"/>
    <w:rsid w:val="00407FF7"/>
    <w:rsid w:val="004124A8"/>
    <w:rsid w:val="00412A78"/>
    <w:rsid w:val="004166F2"/>
    <w:rsid w:val="00421B26"/>
    <w:rsid w:val="004276CB"/>
    <w:rsid w:val="00431A4F"/>
    <w:rsid w:val="00435CFD"/>
    <w:rsid w:val="004371C3"/>
    <w:rsid w:val="00437434"/>
    <w:rsid w:val="00442085"/>
    <w:rsid w:val="00442177"/>
    <w:rsid w:val="00442B86"/>
    <w:rsid w:val="00461EAD"/>
    <w:rsid w:val="00466565"/>
    <w:rsid w:val="0047051C"/>
    <w:rsid w:val="00471742"/>
    <w:rsid w:val="00473755"/>
    <w:rsid w:val="00474698"/>
    <w:rsid w:val="004778A2"/>
    <w:rsid w:val="004840FE"/>
    <w:rsid w:val="00494104"/>
    <w:rsid w:val="004A05B1"/>
    <w:rsid w:val="004A59AD"/>
    <w:rsid w:val="004A6B6F"/>
    <w:rsid w:val="004B1EBF"/>
    <w:rsid w:val="004B4F92"/>
    <w:rsid w:val="004B6074"/>
    <w:rsid w:val="004B6F1E"/>
    <w:rsid w:val="004C4A13"/>
    <w:rsid w:val="004D0C5E"/>
    <w:rsid w:val="004D269D"/>
    <w:rsid w:val="004D3309"/>
    <w:rsid w:val="004D70CF"/>
    <w:rsid w:val="004E1CBF"/>
    <w:rsid w:val="004F3427"/>
    <w:rsid w:val="00501044"/>
    <w:rsid w:val="00504028"/>
    <w:rsid w:val="005061EB"/>
    <w:rsid w:val="00511C73"/>
    <w:rsid w:val="0051217D"/>
    <w:rsid w:val="00512EC5"/>
    <w:rsid w:val="00514CD2"/>
    <w:rsid w:val="00517C9D"/>
    <w:rsid w:val="005222E3"/>
    <w:rsid w:val="00526AE4"/>
    <w:rsid w:val="00527F0C"/>
    <w:rsid w:val="005304C3"/>
    <w:rsid w:val="005306FF"/>
    <w:rsid w:val="00532734"/>
    <w:rsid w:val="005333D0"/>
    <w:rsid w:val="00544D74"/>
    <w:rsid w:val="00547406"/>
    <w:rsid w:val="005507BA"/>
    <w:rsid w:val="00550E03"/>
    <w:rsid w:val="00552BF9"/>
    <w:rsid w:val="00556F4B"/>
    <w:rsid w:val="00560E71"/>
    <w:rsid w:val="00563181"/>
    <w:rsid w:val="00565E90"/>
    <w:rsid w:val="00566F9F"/>
    <w:rsid w:val="005679E1"/>
    <w:rsid w:val="00571EDE"/>
    <w:rsid w:val="00577673"/>
    <w:rsid w:val="00582269"/>
    <w:rsid w:val="0058421F"/>
    <w:rsid w:val="00590A59"/>
    <w:rsid w:val="005A4366"/>
    <w:rsid w:val="005B5731"/>
    <w:rsid w:val="005C2F46"/>
    <w:rsid w:val="005C40AF"/>
    <w:rsid w:val="005C4D26"/>
    <w:rsid w:val="005C5EAA"/>
    <w:rsid w:val="005D0745"/>
    <w:rsid w:val="005D2419"/>
    <w:rsid w:val="005D244C"/>
    <w:rsid w:val="005D2B60"/>
    <w:rsid w:val="005D5D75"/>
    <w:rsid w:val="005D76D3"/>
    <w:rsid w:val="005E16A4"/>
    <w:rsid w:val="005E1825"/>
    <w:rsid w:val="005E64F9"/>
    <w:rsid w:val="005E7A9D"/>
    <w:rsid w:val="005F1A1C"/>
    <w:rsid w:val="00601E48"/>
    <w:rsid w:val="00605E74"/>
    <w:rsid w:val="00606CFE"/>
    <w:rsid w:val="006074A2"/>
    <w:rsid w:val="00613287"/>
    <w:rsid w:val="006148F4"/>
    <w:rsid w:val="00614F9D"/>
    <w:rsid w:val="00615537"/>
    <w:rsid w:val="00621169"/>
    <w:rsid w:val="00623BCB"/>
    <w:rsid w:val="0063106C"/>
    <w:rsid w:val="0063157A"/>
    <w:rsid w:val="006323AC"/>
    <w:rsid w:val="006324B4"/>
    <w:rsid w:val="006355FB"/>
    <w:rsid w:val="00636A3B"/>
    <w:rsid w:val="00637DFB"/>
    <w:rsid w:val="00637F4E"/>
    <w:rsid w:val="00645250"/>
    <w:rsid w:val="006501B4"/>
    <w:rsid w:val="006513A2"/>
    <w:rsid w:val="00652842"/>
    <w:rsid w:val="006554D9"/>
    <w:rsid w:val="00656FB9"/>
    <w:rsid w:val="00664A9C"/>
    <w:rsid w:val="00664F45"/>
    <w:rsid w:val="0067128B"/>
    <w:rsid w:val="00671AD4"/>
    <w:rsid w:val="00674220"/>
    <w:rsid w:val="0068772E"/>
    <w:rsid w:val="006952FA"/>
    <w:rsid w:val="0069783C"/>
    <w:rsid w:val="006A1B1C"/>
    <w:rsid w:val="006A2FBE"/>
    <w:rsid w:val="006A7137"/>
    <w:rsid w:val="006B000F"/>
    <w:rsid w:val="006B341A"/>
    <w:rsid w:val="006B64E1"/>
    <w:rsid w:val="006C18C1"/>
    <w:rsid w:val="006C4D10"/>
    <w:rsid w:val="006C5BFB"/>
    <w:rsid w:val="006C6499"/>
    <w:rsid w:val="006C7FEC"/>
    <w:rsid w:val="006D1A65"/>
    <w:rsid w:val="006D42D1"/>
    <w:rsid w:val="006D4EB9"/>
    <w:rsid w:val="006D60EB"/>
    <w:rsid w:val="006D7808"/>
    <w:rsid w:val="006D7BDE"/>
    <w:rsid w:val="006E7AE6"/>
    <w:rsid w:val="006F0BFC"/>
    <w:rsid w:val="006F0F41"/>
    <w:rsid w:val="006F3C39"/>
    <w:rsid w:val="006F68FA"/>
    <w:rsid w:val="006F79A3"/>
    <w:rsid w:val="006F7C59"/>
    <w:rsid w:val="00704186"/>
    <w:rsid w:val="00705B58"/>
    <w:rsid w:val="007142E1"/>
    <w:rsid w:val="007245DB"/>
    <w:rsid w:val="00731E2D"/>
    <w:rsid w:val="00735CFE"/>
    <w:rsid w:val="00735D4D"/>
    <w:rsid w:val="00736D02"/>
    <w:rsid w:val="00746BDA"/>
    <w:rsid w:val="00750FED"/>
    <w:rsid w:val="0075364F"/>
    <w:rsid w:val="00753800"/>
    <w:rsid w:val="00756F1B"/>
    <w:rsid w:val="00762BA6"/>
    <w:rsid w:val="00763BB2"/>
    <w:rsid w:val="00766432"/>
    <w:rsid w:val="0077217B"/>
    <w:rsid w:val="00774DE6"/>
    <w:rsid w:val="00775BDC"/>
    <w:rsid w:val="00777341"/>
    <w:rsid w:val="00780743"/>
    <w:rsid w:val="00782759"/>
    <w:rsid w:val="00785DB2"/>
    <w:rsid w:val="007924D9"/>
    <w:rsid w:val="00793313"/>
    <w:rsid w:val="00793984"/>
    <w:rsid w:val="007A4077"/>
    <w:rsid w:val="007A5EF8"/>
    <w:rsid w:val="007A699E"/>
    <w:rsid w:val="007B3CB6"/>
    <w:rsid w:val="007B781C"/>
    <w:rsid w:val="007C47B0"/>
    <w:rsid w:val="007C4A7C"/>
    <w:rsid w:val="007C69CC"/>
    <w:rsid w:val="007D3DA0"/>
    <w:rsid w:val="007D56BA"/>
    <w:rsid w:val="007D5938"/>
    <w:rsid w:val="007E2700"/>
    <w:rsid w:val="007E373E"/>
    <w:rsid w:val="007E3D5F"/>
    <w:rsid w:val="007E5A0E"/>
    <w:rsid w:val="007E6A7E"/>
    <w:rsid w:val="007F0BFC"/>
    <w:rsid w:val="007F0F47"/>
    <w:rsid w:val="007F1AE3"/>
    <w:rsid w:val="007F2290"/>
    <w:rsid w:val="007F2D79"/>
    <w:rsid w:val="007F4964"/>
    <w:rsid w:val="007F4D7D"/>
    <w:rsid w:val="007F5BE0"/>
    <w:rsid w:val="007F5C1E"/>
    <w:rsid w:val="00802BF7"/>
    <w:rsid w:val="00803BD7"/>
    <w:rsid w:val="00821A50"/>
    <w:rsid w:val="0082516A"/>
    <w:rsid w:val="00834C5F"/>
    <w:rsid w:val="00836AB5"/>
    <w:rsid w:val="00840B26"/>
    <w:rsid w:val="00841C54"/>
    <w:rsid w:val="008423D2"/>
    <w:rsid w:val="00842A00"/>
    <w:rsid w:val="008535F0"/>
    <w:rsid w:val="00860603"/>
    <w:rsid w:val="00863FFE"/>
    <w:rsid w:val="008656DE"/>
    <w:rsid w:val="0087287E"/>
    <w:rsid w:val="00873B15"/>
    <w:rsid w:val="00875EA3"/>
    <w:rsid w:val="00876379"/>
    <w:rsid w:val="00881AEF"/>
    <w:rsid w:val="00884ED3"/>
    <w:rsid w:val="008852A8"/>
    <w:rsid w:val="008956AB"/>
    <w:rsid w:val="008961BE"/>
    <w:rsid w:val="00897C8C"/>
    <w:rsid w:val="008A5AC1"/>
    <w:rsid w:val="008B18AC"/>
    <w:rsid w:val="008B4E75"/>
    <w:rsid w:val="008B7218"/>
    <w:rsid w:val="008C3428"/>
    <w:rsid w:val="008C50F9"/>
    <w:rsid w:val="008C5796"/>
    <w:rsid w:val="008D2A9B"/>
    <w:rsid w:val="008D67EE"/>
    <w:rsid w:val="008D6E29"/>
    <w:rsid w:val="008D71E0"/>
    <w:rsid w:val="008E0874"/>
    <w:rsid w:val="008E5CC0"/>
    <w:rsid w:val="008E7C0B"/>
    <w:rsid w:val="008F2528"/>
    <w:rsid w:val="008F6E7E"/>
    <w:rsid w:val="009012F2"/>
    <w:rsid w:val="00905FC4"/>
    <w:rsid w:val="00907EC7"/>
    <w:rsid w:val="00910D61"/>
    <w:rsid w:val="00923BB3"/>
    <w:rsid w:val="00926202"/>
    <w:rsid w:val="00931296"/>
    <w:rsid w:val="00933F5C"/>
    <w:rsid w:val="00935795"/>
    <w:rsid w:val="00945DA0"/>
    <w:rsid w:val="009549EF"/>
    <w:rsid w:val="009553C0"/>
    <w:rsid w:val="0095566F"/>
    <w:rsid w:val="009562EA"/>
    <w:rsid w:val="00960326"/>
    <w:rsid w:val="00962017"/>
    <w:rsid w:val="00965EE2"/>
    <w:rsid w:val="00971011"/>
    <w:rsid w:val="0097523A"/>
    <w:rsid w:val="00980E5C"/>
    <w:rsid w:val="00983DA8"/>
    <w:rsid w:val="009842D8"/>
    <w:rsid w:val="00996D1F"/>
    <w:rsid w:val="00996E7E"/>
    <w:rsid w:val="009A0319"/>
    <w:rsid w:val="009B04F3"/>
    <w:rsid w:val="009B3B10"/>
    <w:rsid w:val="009B3F6A"/>
    <w:rsid w:val="009B4AF8"/>
    <w:rsid w:val="009B4CFA"/>
    <w:rsid w:val="009C11E0"/>
    <w:rsid w:val="009C2713"/>
    <w:rsid w:val="009C7A29"/>
    <w:rsid w:val="009D2A04"/>
    <w:rsid w:val="009D428D"/>
    <w:rsid w:val="009D4485"/>
    <w:rsid w:val="009D6D51"/>
    <w:rsid w:val="009F340D"/>
    <w:rsid w:val="009F40CA"/>
    <w:rsid w:val="009F6672"/>
    <w:rsid w:val="009F7510"/>
    <w:rsid w:val="00A025D1"/>
    <w:rsid w:val="00A0345E"/>
    <w:rsid w:val="00A04E6C"/>
    <w:rsid w:val="00A127E5"/>
    <w:rsid w:val="00A148E4"/>
    <w:rsid w:val="00A16AC1"/>
    <w:rsid w:val="00A16ADA"/>
    <w:rsid w:val="00A17461"/>
    <w:rsid w:val="00A22C8D"/>
    <w:rsid w:val="00A23219"/>
    <w:rsid w:val="00A24F39"/>
    <w:rsid w:val="00A32E01"/>
    <w:rsid w:val="00A33326"/>
    <w:rsid w:val="00A35E7D"/>
    <w:rsid w:val="00A35EFA"/>
    <w:rsid w:val="00A45127"/>
    <w:rsid w:val="00A45409"/>
    <w:rsid w:val="00A46EF2"/>
    <w:rsid w:val="00A61255"/>
    <w:rsid w:val="00A61840"/>
    <w:rsid w:val="00A626CD"/>
    <w:rsid w:val="00A641C9"/>
    <w:rsid w:val="00A644A3"/>
    <w:rsid w:val="00A67741"/>
    <w:rsid w:val="00A71058"/>
    <w:rsid w:val="00A72CD9"/>
    <w:rsid w:val="00A77ADF"/>
    <w:rsid w:val="00A867BA"/>
    <w:rsid w:val="00A87861"/>
    <w:rsid w:val="00A91A88"/>
    <w:rsid w:val="00A93151"/>
    <w:rsid w:val="00A96832"/>
    <w:rsid w:val="00AA2C75"/>
    <w:rsid w:val="00AA3379"/>
    <w:rsid w:val="00AA3D00"/>
    <w:rsid w:val="00AB73DC"/>
    <w:rsid w:val="00AC2E24"/>
    <w:rsid w:val="00AC362D"/>
    <w:rsid w:val="00AC4027"/>
    <w:rsid w:val="00AC6AA6"/>
    <w:rsid w:val="00AD6C40"/>
    <w:rsid w:val="00AD7CBC"/>
    <w:rsid w:val="00AD7CE5"/>
    <w:rsid w:val="00AE0303"/>
    <w:rsid w:val="00AE059D"/>
    <w:rsid w:val="00AF5632"/>
    <w:rsid w:val="00AF78FD"/>
    <w:rsid w:val="00B0107E"/>
    <w:rsid w:val="00B05543"/>
    <w:rsid w:val="00B05C8E"/>
    <w:rsid w:val="00B06466"/>
    <w:rsid w:val="00B1591E"/>
    <w:rsid w:val="00B2551D"/>
    <w:rsid w:val="00B27B16"/>
    <w:rsid w:val="00B30E83"/>
    <w:rsid w:val="00B3173A"/>
    <w:rsid w:val="00B378FF"/>
    <w:rsid w:val="00B42E74"/>
    <w:rsid w:val="00B47D80"/>
    <w:rsid w:val="00B504C9"/>
    <w:rsid w:val="00B53135"/>
    <w:rsid w:val="00B61B67"/>
    <w:rsid w:val="00B61EF8"/>
    <w:rsid w:val="00B62989"/>
    <w:rsid w:val="00B63807"/>
    <w:rsid w:val="00B707CA"/>
    <w:rsid w:val="00B72373"/>
    <w:rsid w:val="00B76706"/>
    <w:rsid w:val="00B7722C"/>
    <w:rsid w:val="00B81743"/>
    <w:rsid w:val="00B8277C"/>
    <w:rsid w:val="00B83CEE"/>
    <w:rsid w:val="00B84981"/>
    <w:rsid w:val="00B85F5C"/>
    <w:rsid w:val="00B874DD"/>
    <w:rsid w:val="00B91DA9"/>
    <w:rsid w:val="00B942EA"/>
    <w:rsid w:val="00BA2749"/>
    <w:rsid w:val="00BB1883"/>
    <w:rsid w:val="00BB7AE7"/>
    <w:rsid w:val="00BC047B"/>
    <w:rsid w:val="00BC277D"/>
    <w:rsid w:val="00BC50CC"/>
    <w:rsid w:val="00BC5510"/>
    <w:rsid w:val="00BD0A88"/>
    <w:rsid w:val="00BD5FF4"/>
    <w:rsid w:val="00BD7150"/>
    <w:rsid w:val="00BD73E7"/>
    <w:rsid w:val="00BE26D8"/>
    <w:rsid w:val="00BF1FA9"/>
    <w:rsid w:val="00BF3D61"/>
    <w:rsid w:val="00BF5062"/>
    <w:rsid w:val="00BF5157"/>
    <w:rsid w:val="00BF6110"/>
    <w:rsid w:val="00C01794"/>
    <w:rsid w:val="00C048EE"/>
    <w:rsid w:val="00C05E32"/>
    <w:rsid w:val="00C06702"/>
    <w:rsid w:val="00C11CED"/>
    <w:rsid w:val="00C12EC2"/>
    <w:rsid w:val="00C17572"/>
    <w:rsid w:val="00C179AF"/>
    <w:rsid w:val="00C20478"/>
    <w:rsid w:val="00C22715"/>
    <w:rsid w:val="00C2374F"/>
    <w:rsid w:val="00C26575"/>
    <w:rsid w:val="00C27006"/>
    <w:rsid w:val="00C317C8"/>
    <w:rsid w:val="00C33519"/>
    <w:rsid w:val="00C33CE1"/>
    <w:rsid w:val="00C368E9"/>
    <w:rsid w:val="00C402F6"/>
    <w:rsid w:val="00C4154A"/>
    <w:rsid w:val="00C4204E"/>
    <w:rsid w:val="00C42192"/>
    <w:rsid w:val="00C44BFD"/>
    <w:rsid w:val="00C52982"/>
    <w:rsid w:val="00C5364C"/>
    <w:rsid w:val="00C5500C"/>
    <w:rsid w:val="00C56797"/>
    <w:rsid w:val="00C62795"/>
    <w:rsid w:val="00C65330"/>
    <w:rsid w:val="00C66982"/>
    <w:rsid w:val="00C66DE9"/>
    <w:rsid w:val="00C70BBD"/>
    <w:rsid w:val="00C73218"/>
    <w:rsid w:val="00C746C7"/>
    <w:rsid w:val="00C763A3"/>
    <w:rsid w:val="00C7798C"/>
    <w:rsid w:val="00C779A2"/>
    <w:rsid w:val="00C84381"/>
    <w:rsid w:val="00C863EA"/>
    <w:rsid w:val="00C9156A"/>
    <w:rsid w:val="00C92165"/>
    <w:rsid w:val="00C946E9"/>
    <w:rsid w:val="00C9652C"/>
    <w:rsid w:val="00CA1EEE"/>
    <w:rsid w:val="00CA2E30"/>
    <w:rsid w:val="00CA5E21"/>
    <w:rsid w:val="00CA6202"/>
    <w:rsid w:val="00CA7F05"/>
    <w:rsid w:val="00CB06F7"/>
    <w:rsid w:val="00CB0DD5"/>
    <w:rsid w:val="00CC2703"/>
    <w:rsid w:val="00CC2E0B"/>
    <w:rsid w:val="00CC3DF6"/>
    <w:rsid w:val="00CC3E29"/>
    <w:rsid w:val="00CC7198"/>
    <w:rsid w:val="00CD23F1"/>
    <w:rsid w:val="00CD2DD4"/>
    <w:rsid w:val="00CD50F8"/>
    <w:rsid w:val="00CE1299"/>
    <w:rsid w:val="00CE59A8"/>
    <w:rsid w:val="00CE6E34"/>
    <w:rsid w:val="00CF4626"/>
    <w:rsid w:val="00CF58A4"/>
    <w:rsid w:val="00CF74C4"/>
    <w:rsid w:val="00D02631"/>
    <w:rsid w:val="00D026D3"/>
    <w:rsid w:val="00D03EB1"/>
    <w:rsid w:val="00D044A1"/>
    <w:rsid w:val="00D05983"/>
    <w:rsid w:val="00D107F4"/>
    <w:rsid w:val="00D12391"/>
    <w:rsid w:val="00D1411E"/>
    <w:rsid w:val="00D15BBB"/>
    <w:rsid w:val="00D168CC"/>
    <w:rsid w:val="00D21B8E"/>
    <w:rsid w:val="00D25266"/>
    <w:rsid w:val="00D26847"/>
    <w:rsid w:val="00D31A4B"/>
    <w:rsid w:val="00D341FB"/>
    <w:rsid w:val="00D379C3"/>
    <w:rsid w:val="00D523FC"/>
    <w:rsid w:val="00D53E80"/>
    <w:rsid w:val="00D56031"/>
    <w:rsid w:val="00D56D98"/>
    <w:rsid w:val="00D60D4C"/>
    <w:rsid w:val="00D60E8E"/>
    <w:rsid w:val="00D6724C"/>
    <w:rsid w:val="00D7015F"/>
    <w:rsid w:val="00D7118E"/>
    <w:rsid w:val="00D715CC"/>
    <w:rsid w:val="00D71955"/>
    <w:rsid w:val="00D73493"/>
    <w:rsid w:val="00D75B17"/>
    <w:rsid w:val="00D80E77"/>
    <w:rsid w:val="00D80EC9"/>
    <w:rsid w:val="00D81280"/>
    <w:rsid w:val="00D839ED"/>
    <w:rsid w:val="00D86128"/>
    <w:rsid w:val="00D8646A"/>
    <w:rsid w:val="00D90AAB"/>
    <w:rsid w:val="00D91516"/>
    <w:rsid w:val="00D91FF4"/>
    <w:rsid w:val="00D97973"/>
    <w:rsid w:val="00DA05E7"/>
    <w:rsid w:val="00DB251B"/>
    <w:rsid w:val="00DB34CC"/>
    <w:rsid w:val="00DB37B8"/>
    <w:rsid w:val="00DB724A"/>
    <w:rsid w:val="00DC0205"/>
    <w:rsid w:val="00DC238A"/>
    <w:rsid w:val="00DC30F4"/>
    <w:rsid w:val="00DC418A"/>
    <w:rsid w:val="00DC5FE6"/>
    <w:rsid w:val="00DC67AD"/>
    <w:rsid w:val="00DC7BD7"/>
    <w:rsid w:val="00DD4344"/>
    <w:rsid w:val="00DD7BC7"/>
    <w:rsid w:val="00DF44F7"/>
    <w:rsid w:val="00DF465D"/>
    <w:rsid w:val="00DF5D0D"/>
    <w:rsid w:val="00E031EF"/>
    <w:rsid w:val="00E07170"/>
    <w:rsid w:val="00E24F71"/>
    <w:rsid w:val="00E25AF7"/>
    <w:rsid w:val="00E26452"/>
    <w:rsid w:val="00E267D0"/>
    <w:rsid w:val="00E309EE"/>
    <w:rsid w:val="00E323CB"/>
    <w:rsid w:val="00E32FA3"/>
    <w:rsid w:val="00E42985"/>
    <w:rsid w:val="00E433B4"/>
    <w:rsid w:val="00E45685"/>
    <w:rsid w:val="00E5344F"/>
    <w:rsid w:val="00E61B48"/>
    <w:rsid w:val="00E63422"/>
    <w:rsid w:val="00E66CF5"/>
    <w:rsid w:val="00E67087"/>
    <w:rsid w:val="00E7164F"/>
    <w:rsid w:val="00E71A73"/>
    <w:rsid w:val="00E74C11"/>
    <w:rsid w:val="00E91F81"/>
    <w:rsid w:val="00E94EE0"/>
    <w:rsid w:val="00E9679B"/>
    <w:rsid w:val="00E96FF5"/>
    <w:rsid w:val="00EA2724"/>
    <w:rsid w:val="00EA665D"/>
    <w:rsid w:val="00EB12F4"/>
    <w:rsid w:val="00EB3142"/>
    <w:rsid w:val="00EB3F6E"/>
    <w:rsid w:val="00EB5DEA"/>
    <w:rsid w:val="00EB6E78"/>
    <w:rsid w:val="00EC105F"/>
    <w:rsid w:val="00EC3914"/>
    <w:rsid w:val="00EC5F10"/>
    <w:rsid w:val="00ED2692"/>
    <w:rsid w:val="00ED750C"/>
    <w:rsid w:val="00EE5C1F"/>
    <w:rsid w:val="00EF0ED5"/>
    <w:rsid w:val="00EF265A"/>
    <w:rsid w:val="00EF3A95"/>
    <w:rsid w:val="00EF6181"/>
    <w:rsid w:val="00EF77EA"/>
    <w:rsid w:val="00F034A3"/>
    <w:rsid w:val="00F13E32"/>
    <w:rsid w:val="00F1444D"/>
    <w:rsid w:val="00F21C10"/>
    <w:rsid w:val="00F21F22"/>
    <w:rsid w:val="00F237D5"/>
    <w:rsid w:val="00F259F8"/>
    <w:rsid w:val="00F26C26"/>
    <w:rsid w:val="00F271C0"/>
    <w:rsid w:val="00F27C6B"/>
    <w:rsid w:val="00F308C8"/>
    <w:rsid w:val="00F320D6"/>
    <w:rsid w:val="00F41E8D"/>
    <w:rsid w:val="00F55541"/>
    <w:rsid w:val="00F575F7"/>
    <w:rsid w:val="00F609FC"/>
    <w:rsid w:val="00F636E9"/>
    <w:rsid w:val="00F65B11"/>
    <w:rsid w:val="00F66444"/>
    <w:rsid w:val="00F713FC"/>
    <w:rsid w:val="00F71F27"/>
    <w:rsid w:val="00F826A7"/>
    <w:rsid w:val="00F8284A"/>
    <w:rsid w:val="00F9619F"/>
    <w:rsid w:val="00F972EF"/>
    <w:rsid w:val="00FA3E66"/>
    <w:rsid w:val="00FA4142"/>
    <w:rsid w:val="00FB2E5D"/>
    <w:rsid w:val="00FB554C"/>
    <w:rsid w:val="00FC1C2D"/>
    <w:rsid w:val="00FC327F"/>
    <w:rsid w:val="00FC371E"/>
    <w:rsid w:val="00FC3FDB"/>
    <w:rsid w:val="00FC56AC"/>
    <w:rsid w:val="00FC5B6B"/>
    <w:rsid w:val="00FC624B"/>
    <w:rsid w:val="00FC62D9"/>
    <w:rsid w:val="00FD2EF2"/>
    <w:rsid w:val="00FD4027"/>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Revision">
    <w:name w:val="Revision"/>
    <w:hidden/>
    <w:uiPriority w:val="99"/>
    <w:semiHidden/>
    <w:rsid w:val="001E632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82B3-382F-43DE-805D-6B76350A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2</cp:revision>
  <cp:lastPrinted>2023-02-03T09:26:00Z</cp:lastPrinted>
  <dcterms:created xsi:type="dcterms:W3CDTF">2023-02-06T15:17:00Z</dcterms:created>
  <dcterms:modified xsi:type="dcterms:W3CDTF">2023-02-06T15:17:00Z</dcterms:modified>
</cp:coreProperties>
</file>