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8E64D" w14:textId="77777777" w:rsidR="00093030" w:rsidRPr="003663DA" w:rsidRDefault="00093030" w:rsidP="00C322F1">
      <w:pPr>
        <w:rPr>
          <w:b/>
          <w:bCs/>
          <w:sz w:val="28"/>
          <w:szCs w:val="28"/>
        </w:rPr>
      </w:pPr>
      <w:r w:rsidRPr="003663DA">
        <w:rPr>
          <w:sz w:val="28"/>
          <w:szCs w:val="28"/>
        </w:rPr>
        <w:tab/>
      </w:r>
      <w:r w:rsidRPr="003663DA">
        <w:rPr>
          <w:sz w:val="28"/>
          <w:szCs w:val="28"/>
        </w:rPr>
        <w:tab/>
      </w:r>
    </w:p>
    <w:p w14:paraId="1F57F4D0" w14:textId="77777777" w:rsidR="00093030" w:rsidRPr="003663DA" w:rsidRDefault="00093030" w:rsidP="006B106C">
      <w:pPr>
        <w:jc w:val="center"/>
        <w:rPr>
          <w:b/>
          <w:bCs/>
          <w:sz w:val="28"/>
          <w:szCs w:val="28"/>
        </w:rPr>
      </w:pPr>
    </w:p>
    <w:p w14:paraId="0C578511" w14:textId="77777777" w:rsidR="00093030" w:rsidRPr="003D540E" w:rsidRDefault="00093030" w:rsidP="006B106C">
      <w:pPr>
        <w:jc w:val="center"/>
        <w:rPr>
          <w:b/>
          <w:bCs/>
          <w:sz w:val="28"/>
          <w:szCs w:val="28"/>
        </w:rPr>
      </w:pPr>
      <w:r w:rsidRPr="003D540E">
        <w:rPr>
          <w:noProof/>
          <w:lang w:val="en-US"/>
        </w:rPr>
        <w:drawing>
          <wp:anchor distT="0" distB="0" distL="114300" distR="114300" simplePos="0" relativeHeight="251658240" behindDoc="0" locked="0" layoutInCell="1" allowOverlap="1" wp14:anchorId="35712AB7" wp14:editId="51807DC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49884D1" w14:textId="77777777" w:rsidR="00093030" w:rsidRPr="003D540E" w:rsidRDefault="00093030" w:rsidP="006B106C">
      <w:pPr>
        <w:jc w:val="center"/>
        <w:rPr>
          <w:b/>
          <w:bCs/>
          <w:sz w:val="28"/>
          <w:szCs w:val="28"/>
        </w:rPr>
      </w:pPr>
    </w:p>
    <w:p w14:paraId="3A2BFCC6" w14:textId="77777777" w:rsidR="00093030" w:rsidRPr="003D540E" w:rsidRDefault="00093030" w:rsidP="003A540B">
      <w:pPr>
        <w:jc w:val="center"/>
        <w:rPr>
          <w:b/>
          <w:bCs/>
          <w:sz w:val="28"/>
          <w:szCs w:val="28"/>
        </w:rPr>
      </w:pPr>
      <w:r w:rsidRPr="003D540E">
        <w:rPr>
          <w:b/>
          <w:bCs/>
          <w:sz w:val="28"/>
          <w:szCs w:val="28"/>
        </w:rPr>
        <w:t>THE SUPREME COURT OF APPEAL OF SOUTH AFRICA</w:t>
      </w:r>
    </w:p>
    <w:p w14:paraId="448D1045" w14:textId="77777777" w:rsidR="00093030" w:rsidRPr="003D540E" w:rsidRDefault="00093030" w:rsidP="003A540B">
      <w:pPr>
        <w:pStyle w:val="Heading3"/>
        <w:jc w:val="center"/>
        <w:rPr>
          <w:rFonts w:ascii="Times New Roman" w:hAnsi="Times New Roman" w:cs="Times New Roman"/>
          <w:b/>
          <w:i w:val="0"/>
          <w:szCs w:val="28"/>
        </w:rPr>
      </w:pPr>
      <w:r w:rsidRPr="003D540E">
        <w:rPr>
          <w:rFonts w:ascii="Times New Roman" w:hAnsi="Times New Roman" w:cs="Times New Roman"/>
          <w:b/>
          <w:i w:val="0"/>
          <w:szCs w:val="28"/>
        </w:rPr>
        <w:t>JUDGMENT</w:t>
      </w:r>
    </w:p>
    <w:p w14:paraId="72B606D2" w14:textId="77777777" w:rsidR="00093030" w:rsidRPr="003D540E" w:rsidRDefault="00093030" w:rsidP="007B36A8">
      <w:pPr>
        <w:rPr>
          <w:b/>
          <w:bCs/>
          <w:sz w:val="28"/>
          <w:szCs w:val="28"/>
        </w:rPr>
      </w:pPr>
      <w:r w:rsidRPr="003D540E">
        <w:rPr>
          <w:sz w:val="28"/>
          <w:szCs w:val="28"/>
        </w:rPr>
        <w:tab/>
      </w:r>
    </w:p>
    <w:p w14:paraId="4C30ABBC" w14:textId="4B425799" w:rsidR="00093030" w:rsidRPr="003D540E" w:rsidRDefault="005B02EE" w:rsidP="00BD21C5">
      <w:pPr>
        <w:ind w:right="4"/>
        <w:jc w:val="right"/>
        <w:rPr>
          <w:b/>
          <w:sz w:val="28"/>
          <w:szCs w:val="28"/>
        </w:rPr>
      </w:pPr>
      <w:r w:rsidRPr="003D540E">
        <w:rPr>
          <w:b/>
          <w:sz w:val="28"/>
          <w:szCs w:val="28"/>
        </w:rPr>
        <w:t>Reportable</w:t>
      </w:r>
    </w:p>
    <w:p w14:paraId="02393879" w14:textId="292C888A" w:rsidR="00093030" w:rsidRPr="003D540E" w:rsidRDefault="00093030" w:rsidP="00BD21C5">
      <w:pPr>
        <w:ind w:right="4"/>
        <w:jc w:val="right"/>
        <w:rPr>
          <w:sz w:val="28"/>
          <w:szCs w:val="28"/>
        </w:rPr>
      </w:pPr>
      <w:r w:rsidRPr="003D540E">
        <w:rPr>
          <w:sz w:val="28"/>
          <w:szCs w:val="28"/>
        </w:rPr>
        <w:t>Case no</w:t>
      </w:r>
      <w:r w:rsidR="00CC2514" w:rsidRPr="003D540E">
        <w:rPr>
          <w:sz w:val="28"/>
          <w:szCs w:val="28"/>
        </w:rPr>
        <w:t>s</w:t>
      </w:r>
      <w:r w:rsidRPr="003D540E">
        <w:rPr>
          <w:sz w:val="28"/>
          <w:szCs w:val="28"/>
        </w:rPr>
        <w:t xml:space="preserve">: </w:t>
      </w:r>
      <w:r w:rsidR="00DD66EE" w:rsidRPr="003D540E">
        <w:rPr>
          <w:sz w:val="28"/>
          <w:szCs w:val="28"/>
        </w:rPr>
        <w:t>309/2022 and 567</w:t>
      </w:r>
      <w:r w:rsidRPr="003D540E">
        <w:rPr>
          <w:sz w:val="28"/>
          <w:szCs w:val="28"/>
        </w:rPr>
        <w:t>/</w:t>
      </w:r>
      <w:r w:rsidR="00765E56" w:rsidRPr="003D540E">
        <w:rPr>
          <w:sz w:val="28"/>
          <w:szCs w:val="28"/>
        </w:rPr>
        <w:t>20</w:t>
      </w:r>
      <w:r w:rsidR="00320F36" w:rsidRPr="003D540E">
        <w:rPr>
          <w:sz w:val="28"/>
          <w:szCs w:val="28"/>
        </w:rPr>
        <w:t>2</w:t>
      </w:r>
      <w:r w:rsidR="00C27B88" w:rsidRPr="003D540E">
        <w:rPr>
          <w:sz w:val="28"/>
          <w:szCs w:val="28"/>
        </w:rPr>
        <w:t>2</w:t>
      </w:r>
    </w:p>
    <w:p w14:paraId="68382005" w14:textId="77777777" w:rsidR="00093030" w:rsidRPr="003D540E" w:rsidRDefault="00093030" w:rsidP="009B1973">
      <w:pPr>
        <w:spacing w:line="276" w:lineRule="auto"/>
        <w:rPr>
          <w:sz w:val="28"/>
          <w:szCs w:val="28"/>
        </w:rPr>
      </w:pPr>
    </w:p>
    <w:p w14:paraId="4C314426" w14:textId="77777777" w:rsidR="00D127D4" w:rsidRPr="003D540E" w:rsidRDefault="00093030" w:rsidP="006D1C7D">
      <w:pPr>
        <w:spacing w:line="276" w:lineRule="auto"/>
        <w:rPr>
          <w:sz w:val="28"/>
          <w:szCs w:val="28"/>
        </w:rPr>
      </w:pPr>
      <w:r w:rsidRPr="003D540E">
        <w:rPr>
          <w:sz w:val="28"/>
          <w:szCs w:val="28"/>
        </w:rPr>
        <w:t>In the matter between:</w:t>
      </w:r>
    </w:p>
    <w:p w14:paraId="1910389A" w14:textId="77777777" w:rsidR="00D54FD7" w:rsidRPr="003D540E" w:rsidRDefault="00D54FD7" w:rsidP="007B36A8">
      <w:pPr>
        <w:tabs>
          <w:tab w:val="left" w:pos="6663"/>
        </w:tabs>
        <w:spacing w:line="240" w:lineRule="auto"/>
        <w:ind w:right="4"/>
        <w:rPr>
          <w:b/>
          <w:sz w:val="28"/>
          <w:szCs w:val="28"/>
        </w:rPr>
      </w:pPr>
    </w:p>
    <w:p w14:paraId="1E583AC6" w14:textId="77777777" w:rsidR="00D54FD7" w:rsidRPr="003D540E" w:rsidRDefault="00BE0B97" w:rsidP="00BE0B97">
      <w:pPr>
        <w:tabs>
          <w:tab w:val="left" w:pos="7655"/>
        </w:tabs>
        <w:spacing w:line="240" w:lineRule="auto"/>
        <w:ind w:right="4"/>
        <w:rPr>
          <w:b/>
          <w:sz w:val="28"/>
          <w:szCs w:val="28"/>
        </w:rPr>
      </w:pPr>
      <w:r w:rsidRPr="003D540E">
        <w:rPr>
          <w:b/>
          <w:sz w:val="28"/>
          <w:szCs w:val="28"/>
        </w:rPr>
        <w:t>NATIONAL BRANDS LIMITED</w:t>
      </w:r>
      <w:r w:rsidRPr="003D540E">
        <w:rPr>
          <w:b/>
          <w:sz w:val="28"/>
          <w:szCs w:val="28"/>
        </w:rPr>
        <w:tab/>
      </w:r>
      <w:r w:rsidR="00D54FD7" w:rsidRPr="003D540E">
        <w:rPr>
          <w:b/>
          <w:sz w:val="28"/>
          <w:szCs w:val="28"/>
        </w:rPr>
        <w:t>APPELLANT</w:t>
      </w:r>
    </w:p>
    <w:p w14:paraId="39D374B4" w14:textId="77777777" w:rsidR="00D54FD7" w:rsidRPr="003D540E" w:rsidRDefault="00D54FD7" w:rsidP="007B36A8">
      <w:pPr>
        <w:tabs>
          <w:tab w:val="left" w:pos="6663"/>
        </w:tabs>
        <w:spacing w:line="240" w:lineRule="auto"/>
        <w:ind w:right="4"/>
        <w:rPr>
          <w:b/>
          <w:sz w:val="28"/>
          <w:szCs w:val="28"/>
        </w:rPr>
      </w:pPr>
    </w:p>
    <w:p w14:paraId="0030EEC4" w14:textId="77777777" w:rsidR="001967C8" w:rsidRPr="003D540E" w:rsidRDefault="00D127D4" w:rsidP="009B1973">
      <w:pPr>
        <w:spacing w:line="240" w:lineRule="auto"/>
        <w:rPr>
          <w:sz w:val="28"/>
          <w:szCs w:val="28"/>
        </w:rPr>
      </w:pPr>
      <w:r w:rsidRPr="003D540E">
        <w:rPr>
          <w:sz w:val="28"/>
          <w:szCs w:val="28"/>
        </w:rPr>
        <w:t>a</w:t>
      </w:r>
      <w:r w:rsidR="00093030" w:rsidRPr="003D540E">
        <w:rPr>
          <w:sz w:val="28"/>
          <w:szCs w:val="28"/>
        </w:rPr>
        <w:t>nd</w:t>
      </w:r>
    </w:p>
    <w:p w14:paraId="704492B7" w14:textId="77777777" w:rsidR="00B046D2" w:rsidRPr="003D540E" w:rsidRDefault="00B046D2" w:rsidP="009B1973">
      <w:pPr>
        <w:spacing w:line="240" w:lineRule="auto"/>
        <w:rPr>
          <w:b/>
          <w:bCs/>
          <w:sz w:val="28"/>
          <w:szCs w:val="28"/>
        </w:rPr>
      </w:pPr>
    </w:p>
    <w:p w14:paraId="11BD7B8F" w14:textId="77777777" w:rsidR="00C03F39" w:rsidRPr="003D540E" w:rsidRDefault="00BE0B97" w:rsidP="00BD21C5">
      <w:pPr>
        <w:spacing w:line="240" w:lineRule="auto"/>
        <w:ind w:right="4"/>
        <w:rPr>
          <w:b/>
          <w:bCs/>
          <w:sz w:val="28"/>
          <w:szCs w:val="28"/>
        </w:rPr>
      </w:pPr>
      <w:r w:rsidRPr="003D540E">
        <w:rPr>
          <w:b/>
          <w:bCs/>
          <w:sz w:val="28"/>
          <w:szCs w:val="28"/>
        </w:rPr>
        <w:t>CAPE COOKIES CC</w:t>
      </w:r>
      <w:r w:rsidR="00C72866" w:rsidRPr="003D540E">
        <w:rPr>
          <w:b/>
          <w:bCs/>
          <w:sz w:val="28"/>
          <w:szCs w:val="28"/>
        </w:rPr>
        <w:tab/>
      </w:r>
      <w:r w:rsidR="00C72866" w:rsidRPr="003D540E">
        <w:rPr>
          <w:b/>
          <w:bCs/>
          <w:sz w:val="28"/>
          <w:szCs w:val="28"/>
        </w:rPr>
        <w:tab/>
      </w:r>
      <w:r w:rsidR="00C72866" w:rsidRPr="003D540E">
        <w:rPr>
          <w:b/>
          <w:bCs/>
          <w:sz w:val="28"/>
          <w:szCs w:val="28"/>
        </w:rPr>
        <w:tab/>
      </w:r>
      <w:r w:rsidR="00167484" w:rsidRPr="003D540E">
        <w:rPr>
          <w:b/>
          <w:bCs/>
          <w:sz w:val="28"/>
          <w:szCs w:val="28"/>
        </w:rPr>
        <w:t xml:space="preserve">          </w:t>
      </w:r>
      <w:r w:rsidR="002624EC" w:rsidRPr="003D540E">
        <w:rPr>
          <w:b/>
          <w:bCs/>
          <w:sz w:val="28"/>
          <w:szCs w:val="28"/>
        </w:rPr>
        <w:tab/>
      </w:r>
      <w:r w:rsidR="00871146" w:rsidRPr="003D540E">
        <w:rPr>
          <w:b/>
          <w:bCs/>
          <w:sz w:val="28"/>
          <w:szCs w:val="28"/>
        </w:rPr>
        <w:t xml:space="preserve"> </w:t>
      </w:r>
      <w:r w:rsidR="00D54FD7" w:rsidRPr="003D540E">
        <w:rPr>
          <w:b/>
          <w:bCs/>
          <w:sz w:val="28"/>
          <w:szCs w:val="28"/>
        </w:rPr>
        <w:t xml:space="preserve">                   </w:t>
      </w:r>
      <w:r w:rsidR="00FA1BAD" w:rsidRPr="003D540E">
        <w:rPr>
          <w:b/>
          <w:bCs/>
          <w:sz w:val="28"/>
          <w:szCs w:val="28"/>
        </w:rPr>
        <w:t xml:space="preserve"> </w:t>
      </w:r>
      <w:r w:rsidR="00871146" w:rsidRPr="003D540E">
        <w:rPr>
          <w:b/>
          <w:bCs/>
          <w:sz w:val="28"/>
          <w:szCs w:val="28"/>
        </w:rPr>
        <w:t>FIRST</w:t>
      </w:r>
      <w:r w:rsidR="002624EC" w:rsidRPr="003D540E">
        <w:rPr>
          <w:b/>
          <w:bCs/>
          <w:sz w:val="28"/>
          <w:szCs w:val="28"/>
        </w:rPr>
        <w:t xml:space="preserve"> </w:t>
      </w:r>
      <w:r w:rsidR="00BE3B86" w:rsidRPr="003D540E">
        <w:rPr>
          <w:b/>
          <w:bCs/>
          <w:sz w:val="28"/>
          <w:szCs w:val="28"/>
        </w:rPr>
        <w:t>R</w:t>
      </w:r>
      <w:r w:rsidR="00093030" w:rsidRPr="003D540E">
        <w:rPr>
          <w:b/>
          <w:sz w:val="28"/>
          <w:szCs w:val="28"/>
        </w:rPr>
        <w:t>ESPONDENT</w:t>
      </w:r>
    </w:p>
    <w:p w14:paraId="2D39CF3A" w14:textId="77777777" w:rsidR="006844CB" w:rsidRPr="003D540E" w:rsidRDefault="006844CB" w:rsidP="009B1973">
      <w:pPr>
        <w:spacing w:line="240" w:lineRule="auto"/>
        <w:ind w:right="-180"/>
        <w:rPr>
          <w:b/>
          <w:sz w:val="28"/>
          <w:szCs w:val="28"/>
        </w:rPr>
      </w:pPr>
    </w:p>
    <w:p w14:paraId="1DCFB957" w14:textId="77777777" w:rsidR="006828A5" w:rsidRPr="003D540E" w:rsidRDefault="008B4167" w:rsidP="00CB62B9">
      <w:pPr>
        <w:spacing w:line="240" w:lineRule="auto"/>
        <w:ind w:right="4"/>
        <w:rPr>
          <w:b/>
          <w:sz w:val="28"/>
          <w:szCs w:val="28"/>
        </w:rPr>
      </w:pPr>
      <w:r w:rsidRPr="003D540E">
        <w:rPr>
          <w:b/>
          <w:sz w:val="28"/>
          <w:szCs w:val="28"/>
        </w:rPr>
        <w:t xml:space="preserve">THE REGISTRAR OF </w:t>
      </w:r>
    </w:p>
    <w:p w14:paraId="45060D35" w14:textId="77777777" w:rsidR="00871146" w:rsidRPr="003D540E" w:rsidRDefault="00FA1BAD" w:rsidP="00CB62B9">
      <w:pPr>
        <w:spacing w:line="240" w:lineRule="auto"/>
        <w:ind w:right="4"/>
        <w:rPr>
          <w:b/>
          <w:bCs/>
          <w:sz w:val="28"/>
          <w:szCs w:val="28"/>
        </w:rPr>
      </w:pPr>
      <w:r w:rsidRPr="003D540E">
        <w:rPr>
          <w:b/>
          <w:sz w:val="28"/>
          <w:szCs w:val="28"/>
        </w:rPr>
        <w:t>TRADE MARKS</w:t>
      </w:r>
      <w:r w:rsidR="00A81749" w:rsidRPr="003D540E">
        <w:rPr>
          <w:b/>
          <w:sz w:val="28"/>
          <w:szCs w:val="28"/>
        </w:rPr>
        <w:t xml:space="preserve"> </w:t>
      </w:r>
      <w:r w:rsidRPr="003D540E">
        <w:rPr>
          <w:b/>
          <w:sz w:val="28"/>
          <w:szCs w:val="28"/>
        </w:rPr>
        <w:tab/>
      </w:r>
      <w:r w:rsidR="00A81749" w:rsidRPr="003D540E">
        <w:rPr>
          <w:b/>
          <w:sz w:val="28"/>
          <w:szCs w:val="28"/>
        </w:rPr>
        <w:t xml:space="preserve">     </w:t>
      </w:r>
      <w:r w:rsidR="008B4167" w:rsidRPr="003D540E">
        <w:rPr>
          <w:b/>
          <w:sz w:val="28"/>
          <w:szCs w:val="28"/>
        </w:rPr>
        <w:t xml:space="preserve">   </w:t>
      </w:r>
      <w:r w:rsidR="006828A5" w:rsidRPr="003D540E">
        <w:rPr>
          <w:b/>
          <w:sz w:val="28"/>
          <w:szCs w:val="28"/>
        </w:rPr>
        <w:tab/>
      </w:r>
      <w:r w:rsidR="006828A5" w:rsidRPr="003D540E">
        <w:rPr>
          <w:b/>
          <w:sz w:val="28"/>
          <w:szCs w:val="28"/>
        </w:rPr>
        <w:tab/>
      </w:r>
      <w:r w:rsidR="006828A5" w:rsidRPr="003D540E">
        <w:rPr>
          <w:b/>
          <w:sz w:val="28"/>
          <w:szCs w:val="28"/>
        </w:rPr>
        <w:tab/>
      </w:r>
      <w:r w:rsidR="006828A5" w:rsidRPr="003D540E">
        <w:rPr>
          <w:b/>
          <w:sz w:val="28"/>
          <w:szCs w:val="28"/>
        </w:rPr>
        <w:tab/>
        <w:t xml:space="preserve">      </w:t>
      </w:r>
      <w:r w:rsidR="00A81749" w:rsidRPr="003D540E">
        <w:rPr>
          <w:b/>
          <w:sz w:val="28"/>
          <w:szCs w:val="28"/>
        </w:rPr>
        <w:t>SECOND RESPONDENT</w:t>
      </w:r>
    </w:p>
    <w:p w14:paraId="1435727D" w14:textId="77777777" w:rsidR="00DE2E23" w:rsidRPr="003D540E" w:rsidRDefault="00DE2E23" w:rsidP="009B1973">
      <w:pPr>
        <w:tabs>
          <w:tab w:val="left" w:pos="5954"/>
        </w:tabs>
        <w:spacing w:line="240" w:lineRule="auto"/>
        <w:contextualSpacing/>
        <w:rPr>
          <w:b/>
          <w:sz w:val="28"/>
          <w:szCs w:val="28"/>
        </w:rPr>
      </w:pPr>
    </w:p>
    <w:p w14:paraId="6175DCC8" w14:textId="6602D4DA" w:rsidR="00093030" w:rsidRPr="003D540E" w:rsidRDefault="00093030" w:rsidP="001D656C">
      <w:pPr>
        <w:ind w:left="2160" w:hanging="2160"/>
        <w:rPr>
          <w:bCs/>
          <w:iCs/>
          <w:sz w:val="28"/>
          <w:szCs w:val="28"/>
        </w:rPr>
      </w:pPr>
      <w:r w:rsidRPr="003D540E">
        <w:rPr>
          <w:b/>
          <w:bCs/>
          <w:sz w:val="28"/>
          <w:szCs w:val="28"/>
        </w:rPr>
        <w:t>Neutral citation:</w:t>
      </w:r>
      <w:r w:rsidRPr="003D540E">
        <w:rPr>
          <w:b/>
          <w:bCs/>
          <w:sz w:val="28"/>
          <w:szCs w:val="28"/>
        </w:rPr>
        <w:tab/>
      </w:r>
      <w:bookmarkStart w:id="0" w:name="_GoBack"/>
      <w:r w:rsidR="00FA1BAD" w:rsidRPr="003D540E">
        <w:rPr>
          <w:bCs/>
          <w:i/>
          <w:sz w:val="28"/>
          <w:szCs w:val="28"/>
        </w:rPr>
        <w:t>National Brands Limited</w:t>
      </w:r>
      <w:r w:rsidR="00870DC4" w:rsidRPr="003D540E">
        <w:rPr>
          <w:bCs/>
          <w:i/>
          <w:sz w:val="28"/>
          <w:szCs w:val="28"/>
        </w:rPr>
        <w:t xml:space="preserve"> </w:t>
      </w:r>
      <w:r w:rsidRPr="003D540E">
        <w:rPr>
          <w:bCs/>
          <w:i/>
          <w:sz w:val="28"/>
          <w:szCs w:val="28"/>
        </w:rPr>
        <w:t xml:space="preserve">v </w:t>
      </w:r>
      <w:r w:rsidR="00FA1BAD" w:rsidRPr="003D540E">
        <w:rPr>
          <w:bCs/>
          <w:i/>
          <w:sz w:val="28"/>
          <w:szCs w:val="28"/>
        </w:rPr>
        <w:t>Cape Cookies CC</w:t>
      </w:r>
      <w:r w:rsidR="00167484" w:rsidRPr="003D540E">
        <w:rPr>
          <w:bCs/>
          <w:i/>
          <w:sz w:val="28"/>
          <w:szCs w:val="28"/>
        </w:rPr>
        <w:t xml:space="preserve"> and Another</w:t>
      </w:r>
      <w:r w:rsidRPr="003D540E">
        <w:rPr>
          <w:bCs/>
          <w:i/>
          <w:sz w:val="28"/>
          <w:szCs w:val="28"/>
        </w:rPr>
        <w:t xml:space="preserve"> </w:t>
      </w:r>
      <w:bookmarkEnd w:id="0"/>
      <w:r w:rsidRPr="003D540E">
        <w:rPr>
          <w:bCs/>
          <w:sz w:val="28"/>
          <w:szCs w:val="28"/>
        </w:rPr>
        <w:t>(</w:t>
      </w:r>
      <w:r w:rsidR="001D656C" w:rsidRPr="003D540E">
        <w:rPr>
          <w:bCs/>
          <w:sz w:val="28"/>
          <w:szCs w:val="28"/>
        </w:rPr>
        <w:t>Case no</w:t>
      </w:r>
      <w:r w:rsidR="00CC6D41" w:rsidRPr="003D540E">
        <w:rPr>
          <w:bCs/>
          <w:sz w:val="28"/>
          <w:szCs w:val="28"/>
        </w:rPr>
        <w:t>s</w:t>
      </w:r>
      <w:r w:rsidR="001D656C" w:rsidRPr="003D540E">
        <w:rPr>
          <w:bCs/>
          <w:sz w:val="28"/>
          <w:szCs w:val="28"/>
        </w:rPr>
        <w:t xml:space="preserve">: </w:t>
      </w:r>
      <w:r w:rsidR="00DD66EE" w:rsidRPr="003D540E">
        <w:rPr>
          <w:sz w:val="28"/>
          <w:szCs w:val="28"/>
        </w:rPr>
        <w:t>309/2022 and 567/2022</w:t>
      </w:r>
      <w:r w:rsidRPr="003D540E">
        <w:rPr>
          <w:bCs/>
          <w:sz w:val="28"/>
          <w:szCs w:val="28"/>
        </w:rPr>
        <w:t>) [202</w:t>
      </w:r>
      <w:r w:rsidR="001C5E17" w:rsidRPr="003D540E">
        <w:rPr>
          <w:bCs/>
          <w:sz w:val="28"/>
          <w:szCs w:val="28"/>
        </w:rPr>
        <w:t>3</w:t>
      </w:r>
      <w:r w:rsidRPr="003D540E">
        <w:rPr>
          <w:bCs/>
          <w:sz w:val="28"/>
          <w:szCs w:val="28"/>
        </w:rPr>
        <w:t xml:space="preserve">] ZASCA </w:t>
      </w:r>
      <w:r w:rsidR="00C30F1A">
        <w:rPr>
          <w:bCs/>
          <w:sz w:val="28"/>
          <w:szCs w:val="28"/>
        </w:rPr>
        <w:t>93</w:t>
      </w:r>
      <w:r w:rsidR="00761D99" w:rsidRPr="003D540E">
        <w:rPr>
          <w:bCs/>
          <w:sz w:val="28"/>
          <w:szCs w:val="28"/>
        </w:rPr>
        <w:t xml:space="preserve"> </w:t>
      </w:r>
      <w:r w:rsidRPr="003D540E">
        <w:rPr>
          <w:bCs/>
          <w:sz w:val="28"/>
          <w:szCs w:val="28"/>
        </w:rPr>
        <w:t>(</w:t>
      </w:r>
      <w:r w:rsidR="00C91DC5">
        <w:rPr>
          <w:bCs/>
          <w:sz w:val="28"/>
          <w:szCs w:val="28"/>
        </w:rPr>
        <w:t>12</w:t>
      </w:r>
      <w:r w:rsidR="008053C1" w:rsidRPr="003D540E">
        <w:rPr>
          <w:bCs/>
          <w:sz w:val="28"/>
          <w:szCs w:val="28"/>
        </w:rPr>
        <w:t>June</w:t>
      </w:r>
      <w:r w:rsidR="00761D99" w:rsidRPr="003D540E">
        <w:rPr>
          <w:bCs/>
          <w:sz w:val="28"/>
          <w:szCs w:val="28"/>
        </w:rPr>
        <w:t xml:space="preserve"> 202</w:t>
      </w:r>
      <w:r w:rsidR="001C5E17" w:rsidRPr="003D540E">
        <w:rPr>
          <w:bCs/>
          <w:sz w:val="28"/>
          <w:szCs w:val="28"/>
        </w:rPr>
        <w:t>3</w:t>
      </w:r>
      <w:r w:rsidRPr="003D540E">
        <w:rPr>
          <w:bCs/>
          <w:sz w:val="28"/>
          <w:szCs w:val="28"/>
        </w:rPr>
        <w:t>)</w:t>
      </w:r>
    </w:p>
    <w:p w14:paraId="01A3C76A" w14:textId="77777777" w:rsidR="00093030" w:rsidRPr="003D540E" w:rsidRDefault="00093030">
      <w:pPr>
        <w:ind w:left="1440" w:hanging="1440"/>
        <w:rPr>
          <w:sz w:val="28"/>
          <w:szCs w:val="28"/>
        </w:rPr>
      </w:pPr>
      <w:r w:rsidRPr="003D540E">
        <w:rPr>
          <w:b/>
          <w:bCs/>
          <w:sz w:val="28"/>
          <w:szCs w:val="28"/>
        </w:rPr>
        <w:t>Coram:</w:t>
      </w:r>
      <w:r w:rsidRPr="003D540E">
        <w:rPr>
          <w:sz w:val="28"/>
          <w:szCs w:val="28"/>
        </w:rPr>
        <w:tab/>
      </w:r>
      <w:r w:rsidR="00B25807" w:rsidRPr="003D540E">
        <w:rPr>
          <w:sz w:val="28"/>
          <w:szCs w:val="28"/>
        </w:rPr>
        <w:t xml:space="preserve">PONNAN, </w:t>
      </w:r>
      <w:r w:rsidR="001F4DE7" w:rsidRPr="003D540E">
        <w:rPr>
          <w:bCs/>
          <w:sz w:val="28"/>
          <w:szCs w:val="28"/>
        </w:rPr>
        <w:t>GORVEN</w:t>
      </w:r>
      <w:r w:rsidR="00432B7D" w:rsidRPr="003D540E">
        <w:rPr>
          <w:bCs/>
          <w:sz w:val="28"/>
          <w:szCs w:val="28"/>
        </w:rPr>
        <w:t xml:space="preserve">, </w:t>
      </w:r>
      <w:r w:rsidR="00B25807" w:rsidRPr="003D540E">
        <w:rPr>
          <w:bCs/>
          <w:sz w:val="28"/>
          <w:szCs w:val="28"/>
        </w:rPr>
        <w:t>HUGHES</w:t>
      </w:r>
      <w:r w:rsidR="0094531E" w:rsidRPr="003D540E">
        <w:rPr>
          <w:bCs/>
          <w:sz w:val="28"/>
          <w:szCs w:val="28"/>
        </w:rPr>
        <w:t xml:space="preserve"> and</w:t>
      </w:r>
      <w:r w:rsidR="00432B7D" w:rsidRPr="003D540E">
        <w:rPr>
          <w:bCs/>
          <w:sz w:val="28"/>
          <w:szCs w:val="28"/>
        </w:rPr>
        <w:t xml:space="preserve"> GOOSEN</w:t>
      </w:r>
      <w:r w:rsidR="001F4DE7" w:rsidRPr="003D540E">
        <w:rPr>
          <w:bCs/>
          <w:sz w:val="28"/>
          <w:szCs w:val="28"/>
        </w:rPr>
        <w:t xml:space="preserve"> </w:t>
      </w:r>
      <w:r w:rsidR="0094531E" w:rsidRPr="003D540E">
        <w:rPr>
          <w:bCs/>
          <w:sz w:val="28"/>
          <w:szCs w:val="28"/>
        </w:rPr>
        <w:t>J</w:t>
      </w:r>
      <w:r w:rsidR="00CD1631" w:rsidRPr="003D540E">
        <w:rPr>
          <w:bCs/>
          <w:sz w:val="28"/>
          <w:szCs w:val="28"/>
        </w:rPr>
        <w:t>JA</w:t>
      </w:r>
      <w:r w:rsidR="00F54E7E" w:rsidRPr="003D540E">
        <w:rPr>
          <w:bCs/>
          <w:sz w:val="28"/>
          <w:szCs w:val="28"/>
        </w:rPr>
        <w:t xml:space="preserve"> and </w:t>
      </w:r>
      <w:r w:rsidR="0094531E" w:rsidRPr="003D540E">
        <w:rPr>
          <w:bCs/>
          <w:sz w:val="28"/>
          <w:szCs w:val="28"/>
        </w:rPr>
        <w:t>SIWENDU</w:t>
      </w:r>
      <w:r w:rsidR="003E346A" w:rsidRPr="003D540E">
        <w:rPr>
          <w:bCs/>
          <w:sz w:val="28"/>
          <w:szCs w:val="28"/>
        </w:rPr>
        <w:t> </w:t>
      </w:r>
      <w:r w:rsidR="00F54E7E" w:rsidRPr="003D540E">
        <w:rPr>
          <w:bCs/>
          <w:sz w:val="28"/>
          <w:szCs w:val="28"/>
        </w:rPr>
        <w:t>AJA</w:t>
      </w:r>
    </w:p>
    <w:p w14:paraId="0325F06C" w14:textId="77777777" w:rsidR="00D31511" w:rsidRPr="003D540E" w:rsidRDefault="00093030">
      <w:pPr>
        <w:rPr>
          <w:b/>
          <w:bCs/>
          <w:sz w:val="28"/>
          <w:szCs w:val="28"/>
        </w:rPr>
      </w:pPr>
      <w:r w:rsidRPr="003D540E">
        <w:rPr>
          <w:b/>
          <w:bCs/>
          <w:sz w:val="28"/>
          <w:szCs w:val="28"/>
        </w:rPr>
        <w:t>Heard</w:t>
      </w:r>
      <w:r w:rsidRPr="003D540E">
        <w:rPr>
          <w:sz w:val="28"/>
          <w:szCs w:val="28"/>
        </w:rPr>
        <w:t>:</w:t>
      </w:r>
      <w:r w:rsidRPr="003D540E">
        <w:rPr>
          <w:sz w:val="28"/>
          <w:szCs w:val="28"/>
        </w:rPr>
        <w:tab/>
      </w:r>
      <w:r w:rsidR="0094531E" w:rsidRPr="003D540E">
        <w:rPr>
          <w:sz w:val="28"/>
          <w:szCs w:val="28"/>
        </w:rPr>
        <w:t>17</w:t>
      </w:r>
      <w:r w:rsidR="00D65C48" w:rsidRPr="003D540E">
        <w:rPr>
          <w:sz w:val="28"/>
          <w:szCs w:val="28"/>
        </w:rPr>
        <w:t xml:space="preserve"> </w:t>
      </w:r>
      <w:r w:rsidR="003E346A" w:rsidRPr="003D540E">
        <w:rPr>
          <w:sz w:val="28"/>
          <w:szCs w:val="28"/>
        </w:rPr>
        <w:t>May</w:t>
      </w:r>
      <w:r w:rsidR="00A01D2A" w:rsidRPr="003D540E">
        <w:rPr>
          <w:sz w:val="28"/>
          <w:szCs w:val="28"/>
        </w:rPr>
        <w:t xml:space="preserve"> </w:t>
      </w:r>
      <w:r w:rsidRPr="003D540E">
        <w:rPr>
          <w:sz w:val="28"/>
          <w:szCs w:val="28"/>
        </w:rPr>
        <w:t>202</w:t>
      </w:r>
      <w:r w:rsidR="003E346A" w:rsidRPr="003D540E">
        <w:rPr>
          <w:sz w:val="28"/>
          <w:szCs w:val="28"/>
        </w:rPr>
        <w:t>3</w:t>
      </w:r>
      <w:r w:rsidRPr="003D540E">
        <w:rPr>
          <w:sz w:val="28"/>
          <w:szCs w:val="28"/>
        </w:rPr>
        <w:t xml:space="preserve"> </w:t>
      </w:r>
    </w:p>
    <w:p w14:paraId="61851A94" w14:textId="0E55523E" w:rsidR="00FE4AD4" w:rsidRPr="003D540E" w:rsidRDefault="00093030">
      <w:pPr>
        <w:rPr>
          <w:b/>
          <w:bCs/>
          <w:sz w:val="28"/>
          <w:szCs w:val="28"/>
        </w:rPr>
      </w:pPr>
      <w:r w:rsidRPr="003D540E">
        <w:rPr>
          <w:b/>
          <w:bCs/>
          <w:sz w:val="28"/>
          <w:szCs w:val="28"/>
        </w:rPr>
        <w:t>Delivered</w:t>
      </w:r>
      <w:r w:rsidRPr="003D540E">
        <w:rPr>
          <w:sz w:val="28"/>
          <w:szCs w:val="28"/>
        </w:rPr>
        <w:t>:</w:t>
      </w:r>
      <w:r w:rsidRPr="003D540E">
        <w:rPr>
          <w:sz w:val="28"/>
          <w:szCs w:val="28"/>
        </w:rPr>
        <w:tab/>
      </w:r>
      <w:r w:rsidR="00BA65B9" w:rsidRPr="003D540E">
        <w:rPr>
          <w:sz w:val="28"/>
          <w:szCs w:val="28"/>
        </w:rPr>
        <w:t xml:space="preserve">This judgment was handed down electronically by circulation to the parties’ legal representatives via e-mail, publication on the Supreme Court of Appeal website and released to SAFLII. The date and time for hand-down are deemed to be </w:t>
      </w:r>
      <w:r w:rsidR="00701C14">
        <w:rPr>
          <w:sz w:val="28"/>
          <w:szCs w:val="28"/>
        </w:rPr>
        <w:t>12</w:t>
      </w:r>
      <w:r w:rsidR="00BA65B9" w:rsidRPr="003D540E">
        <w:rPr>
          <w:sz w:val="28"/>
          <w:szCs w:val="28"/>
        </w:rPr>
        <w:t xml:space="preserve"> June 2023</w:t>
      </w:r>
      <w:r w:rsidR="004F645D" w:rsidRPr="003D540E">
        <w:rPr>
          <w:sz w:val="28"/>
          <w:szCs w:val="28"/>
        </w:rPr>
        <w:t xml:space="preserve"> at </w:t>
      </w:r>
      <w:r w:rsidR="00701C14">
        <w:rPr>
          <w:sz w:val="28"/>
          <w:szCs w:val="28"/>
        </w:rPr>
        <w:t>11h00</w:t>
      </w:r>
      <w:r w:rsidR="00BA65B9" w:rsidRPr="003D540E">
        <w:rPr>
          <w:sz w:val="28"/>
          <w:szCs w:val="28"/>
        </w:rPr>
        <w:t>.</w:t>
      </w:r>
    </w:p>
    <w:p w14:paraId="4A597FB5" w14:textId="77777777" w:rsidR="00034FD9" w:rsidRPr="003D540E" w:rsidRDefault="00093030">
      <w:pPr>
        <w:rPr>
          <w:sz w:val="28"/>
          <w:szCs w:val="28"/>
        </w:rPr>
      </w:pPr>
      <w:r w:rsidRPr="003D540E">
        <w:rPr>
          <w:b/>
          <w:bCs/>
          <w:sz w:val="28"/>
          <w:szCs w:val="28"/>
        </w:rPr>
        <w:lastRenderedPageBreak/>
        <w:t>Summary:</w:t>
      </w:r>
      <w:r w:rsidR="00C83F90" w:rsidRPr="003D540E">
        <w:rPr>
          <w:sz w:val="28"/>
          <w:szCs w:val="28"/>
        </w:rPr>
        <w:tab/>
      </w:r>
      <w:r w:rsidR="0094531E" w:rsidRPr="003D540E">
        <w:rPr>
          <w:sz w:val="28"/>
          <w:szCs w:val="28"/>
        </w:rPr>
        <w:t>Trade Marks</w:t>
      </w:r>
      <w:r w:rsidR="009A131B" w:rsidRPr="003D540E">
        <w:rPr>
          <w:sz w:val="28"/>
          <w:szCs w:val="28"/>
        </w:rPr>
        <w:t xml:space="preserve"> –</w:t>
      </w:r>
      <w:r w:rsidR="00D60F38" w:rsidRPr="003D540E">
        <w:rPr>
          <w:sz w:val="28"/>
          <w:szCs w:val="28"/>
        </w:rPr>
        <w:t xml:space="preserve"> </w:t>
      </w:r>
      <w:r w:rsidR="0094531E" w:rsidRPr="003D540E">
        <w:rPr>
          <w:sz w:val="28"/>
          <w:szCs w:val="28"/>
        </w:rPr>
        <w:t>opposition to registration</w:t>
      </w:r>
      <w:r w:rsidR="00083B51" w:rsidRPr="003D540E">
        <w:rPr>
          <w:sz w:val="28"/>
          <w:szCs w:val="28"/>
        </w:rPr>
        <w:t xml:space="preserve"> – </w:t>
      </w:r>
      <w:r w:rsidR="005319BE" w:rsidRPr="003D540E">
        <w:rPr>
          <w:sz w:val="28"/>
          <w:szCs w:val="28"/>
        </w:rPr>
        <w:t xml:space="preserve">section 10(17) of the Trade Marks Act </w:t>
      </w:r>
      <w:r w:rsidR="005319BE" w:rsidRPr="003D540E">
        <w:rPr>
          <w:bCs/>
          <w:sz w:val="28"/>
          <w:szCs w:val="28"/>
        </w:rPr>
        <w:t>194 of 1993</w:t>
      </w:r>
      <w:r w:rsidR="00704E73" w:rsidRPr="003D540E">
        <w:rPr>
          <w:bCs/>
          <w:sz w:val="28"/>
          <w:szCs w:val="28"/>
        </w:rPr>
        <w:t xml:space="preserve"> – test </w:t>
      </w:r>
      <w:r w:rsidR="00074A67" w:rsidRPr="003D540E">
        <w:rPr>
          <w:bCs/>
          <w:sz w:val="28"/>
          <w:szCs w:val="28"/>
        </w:rPr>
        <w:t>– applies to similar goods</w:t>
      </w:r>
      <w:r w:rsidR="00937EFA" w:rsidRPr="003D540E">
        <w:rPr>
          <w:bCs/>
          <w:sz w:val="28"/>
          <w:szCs w:val="28"/>
        </w:rPr>
        <w:t xml:space="preserve"> – </w:t>
      </w:r>
      <w:r w:rsidR="00072786" w:rsidRPr="003D540E">
        <w:rPr>
          <w:bCs/>
          <w:sz w:val="28"/>
          <w:szCs w:val="28"/>
        </w:rPr>
        <w:t>proof of actual detriment or advantage not required</w:t>
      </w:r>
      <w:r w:rsidR="00D51511" w:rsidRPr="003D540E">
        <w:rPr>
          <w:bCs/>
          <w:sz w:val="28"/>
          <w:szCs w:val="28"/>
        </w:rPr>
        <w:t xml:space="preserve"> – </w:t>
      </w:r>
      <w:r w:rsidR="00937EFA" w:rsidRPr="003D540E">
        <w:rPr>
          <w:bCs/>
          <w:sz w:val="28"/>
          <w:szCs w:val="28"/>
        </w:rPr>
        <w:t>opposition well-founded – registration refused.</w:t>
      </w:r>
      <w:r w:rsidR="00704E73" w:rsidRPr="003D540E">
        <w:rPr>
          <w:bCs/>
          <w:sz w:val="28"/>
          <w:szCs w:val="28"/>
        </w:rPr>
        <w:t xml:space="preserve"> </w:t>
      </w:r>
    </w:p>
    <w:p w14:paraId="66852F79" w14:textId="77777777" w:rsidR="008A1D81" w:rsidRPr="003D540E" w:rsidRDefault="0053011F">
      <w:pPr>
        <w:pStyle w:val="Heading3"/>
        <w:spacing w:after="240"/>
        <w:jc w:val="center"/>
        <w:rPr>
          <w:rFonts w:ascii="Times New Roman" w:hAnsi="Times New Roman" w:cs="Times New Roman"/>
          <w:b/>
          <w:i w:val="0"/>
          <w:szCs w:val="28"/>
        </w:rPr>
      </w:pPr>
      <w:r w:rsidRPr="003D540E">
        <w:rPr>
          <w:rFonts w:ascii="Times New Roman" w:hAnsi="Times New Roman" w:cs="Times New Roman"/>
          <w:b/>
          <w:i w:val="0"/>
          <w:szCs w:val="28"/>
        </w:rPr>
        <w:t>_____</w:t>
      </w:r>
      <w:r w:rsidR="008A1D81" w:rsidRPr="003D540E">
        <w:rPr>
          <w:rFonts w:ascii="Times New Roman" w:hAnsi="Times New Roman" w:cs="Times New Roman"/>
          <w:b/>
          <w:i w:val="0"/>
          <w:szCs w:val="28"/>
        </w:rPr>
        <w:t>_____________________________________________________________</w:t>
      </w:r>
    </w:p>
    <w:p w14:paraId="1E7B244E" w14:textId="77777777" w:rsidR="008A1D81" w:rsidRPr="003D540E" w:rsidRDefault="008A1D81">
      <w:pPr>
        <w:pStyle w:val="Heading3"/>
        <w:jc w:val="center"/>
        <w:rPr>
          <w:rFonts w:ascii="Times New Roman" w:hAnsi="Times New Roman" w:cs="Times New Roman"/>
          <w:b/>
          <w:bCs/>
          <w:i w:val="0"/>
          <w:szCs w:val="28"/>
        </w:rPr>
      </w:pPr>
      <w:r w:rsidRPr="003D540E">
        <w:rPr>
          <w:rFonts w:ascii="Times New Roman" w:hAnsi="Times New Roman" w:cs="Times New Roman"/>
          <w:b/>
          <w:i w:val="0"/>
          <w:szCs w:val="28"/>
        </w:rPr>
        <w:t>ORDER</w:t>
      </w:r>
    </w:p>
    <w:p w14:paraId="752C74A9" w14:textId="77777777" w:rsidR="008A1D81" w:rsidRPr="003D540E" w:rsidRDefault="00746627">
      <w:pPr>
        <w:rPr>
          <w:b/>
          <w:bCs/>
        </w:rPr>
      </w:pPr>
      <w:r w:rsidRPr="003D540E">
        <w:rPr>
          <w:b/>
          <w:bCs/>
        </w:rPr>
        <w:t>______</w:t>
      </w:r>
      <w:r w:rsidR="008A1D81" w:rsidRPr="003D540E">
        <w:rPr>
          <w:b/>
          <w:bCs/>
        </w:rPr>
        <w:t>________________________________________________________________________</w:t>
      </w:r>
    </w:p>
    <w:p w14:paraId="45847DAA" w14:textId="77777777" w:rsidR="007E44D7" w:rsidRPr="003D540E" w:rsidRDefault="00093030" w:rsidP="007E44D7">
      <w:pPr>
        <w:spacing w:before="240"/>
        <w:rPr>
          <w:bCs/>
          <w:sz w:val="28"/>
          <w:szCs w:val="28"/>
        </w:rPr>
      </w:pPr>
      <w:r w:rsidRPr="003D540E">
        <w:rPr>
          <w:b/>
          <w:bCs/>
          <w:sz w:val="28"/>
          <w:szCs w:val="28"/>
        </w:rPr>
        <w:t>On appeal from:</w:t>
      </w:r>
      <w:r w:rsidR="00332389" w:rsidRPr="003D540E">
        <w:rPr>
          <w:sz w:val="28"/>
          <w:szCs w:val="28"/>
        </w:rPr>
        <w:t xml:space="preserve"> </w:t>
      </w:r>
      <w:r w:rsidR="00490B64" w:rsidRPr="003D540E">
        <w:rPr>
          <w:sz w:val="28"/>
          <w:szCs w:val="28"/>
        </w:rPr>
        <w:t>Gauteng</w:t>
      </w:r>
      <w:r w:rsidRPr="003D540E">
        <w:rPr>
          <w:bCs/>
          <w:sz w:val="28"/>
          <w:szCs w:val="28"/>
        </w:rPr>
        <w:t xml:space="preserve"> Division of the High Court</w:t>
      </w:r>
      <w:r w:rsidR="00081A89" w:rsidRPr="003D540E">
        <w:rPr>
          <w:bCs/>
          <w:sz w:val="28"/>
          <w:szCs w:val="28"/>
        </w:rPr>
        <w:t xml:space="preserve">, </w:t>
      </w:r>
      <w:r w:rsidR="00F3644F" w:rsidRPr="003D540E">
        <w:rPr>
          <w:bCs/>
          <w:sz w:val="28"/>
          <w:szCs w:val="28"/>
        </w:rPr>
        <w:t>Pretoria</w:t>
      </w:r>
      <w:r w:rsidR="00414DF4" w:rsidRPr="003D540E">
        <w:rPr>
          <w:bCs/>
          <w:sz w:val="28"/>
          <w:szCs w:val="28"/>
        </w:rPr>
        <w:t xml:space="preserve"> </w:t>
      </w:r>
      <w:r w:rsidRPr="003D540E">
        <w:rPr>
          <w:bCs/>
          <w:sz w:val="28"/>
          <w:szCs w:val="28"/>
        </w:rPr>
        <w:t>(</w:t>
      </w:r>
      <w:r w:rsidR="00444552" w:rsidRPr="003D540E">
        <w:rPr>
          <w:bCs/>
          <w:sz w:val="28"/>
          <w:szCs w:val="28"/>
        </w:rPr>
        <w:t>Le Roux A</w:t>
      </w:r>
      <w:r w:rsidR="00C57586" w:rsidRPr="003D540E">
        <w:rPr>
          <w:bCs/>
          <w:sz w:val="28"/>
          <w:szCs w:val="28"/>
        </w:rPr>
        <w:t>J</w:t>
      </w:r>
      <w:r w:rsidR="00C83F90" w:rsidRPr="003D540E">
        <w:rPr>
          <w:bCs/>
          <w:sz w:val="28"/>
          <w:szCs w:val="28"/>
        </w:rPr>
        <w:t>,</w:t>
      </w:r>
      <w:r w:rsidR="004A546C" w:rsidRPr="003D540E">
        <w:rPr>
          <w:bCs/>
          <w:sz w:val="28"/>
          <w:szCs w:val="28"/>
        </w:rPr>
        <w:t xml:space="preserve"> </w:t>
      </w:r>
      <w:r w:rsidR="00E5435F" w:rsidRPr="003D540E">
        <w:rPr>
          <w:bCs/>
          <w:sz w:val="28"/>
          <w:szCs w:val="28"/>
        </w:rPr>
        <w:t>sitting as court of first instance</w:t>
      </w:r>
      <w:r w:rsidR="00A534A5" w:rsidRPr="003D540E">
        <w:rPr>
          <w:bCs/>
          <w:sz w:val="28"/>
          <w:szCs w:val="28"/>
        </w:rPr>
        <w:t>)</w:t>
      </w:r>
      <w:r w:rsidRPr="003D540E">
        <w:rPr>
          <w:bCs/>
          <w:sz w:val="28"/>
          <w:szCs w:val="28"/>
        </w:rPr>
        <w:t xml:space="preserve">: </w:t>
      </w:r>
    </w:p>
    <w:p w14:paraId="06D5CFC8" w14:textId="77777777" w:rsidR="00D901B2" w:rsidRPr="003D540E" w:rsidRDefault="00126D61" w:rsidP="00F57E09">
      <w:pPr>
        <w:rPr>
          <w:sz w:val="28"/>
          <w:szCs w:val="28"/>
        </w:rPr>
      </w:pPr>
      <w:r w:rsidRPr="003D540E">
        <w:rPr>
          <w:bCs/>
          <w:sz w:val="28"/>
          <w:szCs w:val="28"/>
        </w:rPr>
        <w:t>1</w:t>
      </w:r>
      <w:r w:rsidRPr="003D540E">
        <w:rPr>
          <w:bCs/>
          <w:sz w:val="28"/>
          <w:szCs w:val="28"/>
        </w:rPr>
        <w:tab/>
      </w:r>
      <w:r w:rsidR="00CC0444" w:rsidRPr="003D540E">
        <w:rPr>
          <w:bCs/>
          <w:sz w:val="28"/>
          <w:szCs w:val="28"/>
        </w:rPr>
        <w:t>T</w:t>
      </w:r>
      <w:r w:rsidR="00CC0444" w:rsidRPr="003D540E">
        <w:rPr>
          <w:sz w:val="28"/>
          <w:szCs w:val="28"/>
        </w:rPr>
        <w:t>he appeal is</w:t>
      </w:r>
      <w:r w:rsidR="00890F02" w:rsidRPr="003D540E">
        <w:rPr>
          <w:sz w:val="28"/>
          <w:szCs w:val="28"/>
        </w:rPr>
        <w:t xml:space="preserve"> </w:t>
      </w:r>
      <w:r w:rsidRPr="003D540E">
        <w:rPr>
          <w:sz w:val="28"/>
          <w:szCs w:val="28"/>
        </w:rPr>
        <w:t>upheld</w:t>
      </w:r>
      <w:r w:rsidR="001F485A" w:rsidRPr="003D540E">
        <w:rPr>
          <w:sz w:val="28"/>
          <w:szCs w:val="28"/>
        </w:rPr>
        <w:t xml:space="preserve"> </w:t>
      </w:r>
      <w:r w:rsidR="000E121F" w:rsidRPr="003D540E">
        <w:rPr>
          <w:sz w:val="28"/>
          <w:szCs w:val="28"/>
        </w:rPr>
        <w:t>with costs</w:t>
      </w:r>
      <w:r w:rsidR="00F3644F" w:rsidRPr="003D540E">
        <w:rPr>
          <w:sz w:val="28"/>
          <w:szCs w:val="28"/>
        </w:rPr>
        <w:t>, including those consequent on the employment of two counsel</w:t>
      </w:r>
      <w:r w:rsidR="000E121F" w:rsidRPr="003D540E">
        <w:rPr>
          <w:sz w:val="28"/>
          <w:szCs w:val="28"/>
        </w:rPr>
        <w:t>.</w:t>
      </w:r>
    </w:p>
    <w:p w14:paraId="5390EA25" w14:textId="77777777" w:rsidR="00246983" w:rsidRPr="003D540E" w:rsidRDefault="00246983" w:rsidP="00F57E09">
      <w:pPr>
        <w:rPr>
          <w:sz w:val="28"/>
          <w:szCs w:val="28"/>
        </w:rPr>
      </w:pPr>
      <w:r w:rsidRPr="003D540E">
        <w:rPr>
          <w:sz w:val="28"/>
          <w:szCs w:val="28"/>
        </w:rPr>
        <w:t>2</w:t>
      </w:r>
      <w:r w:rsidRPr="003D540E">
        <w:rPr>
          <w:sz w:val="28"/>
          <w:szCs w:val="28"/>
        </w:rPr>
        <w:tab/>
        <w:t>Cape Cookies CC is directed to pay the costs arising from the inclusion of the two supplementary volumes in the appeal record on the scale as between attorney and client.</w:t>
      </w:r>
    </w:p>
    <w:p w14:paraId="79737A02" w14:textId="77777777" w:rsidR="00246983" w:rsidRPr="003D540E" w:rsidRDefault="00246983" w:rsidP="00CE74CA">
      <w:pPr>
        <w:rPr>
          <w:sz w:val="28"/>
          <w:szCs w:val="28"/>
        </w:rPr>
      </w:pPr>
      <w:r w:rsidRPr="003D540E">
        <w:rPr>
          <w:sz w:val="28"/>
          <w:szCs w:val="28"/>
        </w:rPr>
        <w:t>3</w:t>
      </w:r>
      <w:r w:rsidRPr="003D540E">
        <w:rPr>
          <w:sz w:val="28"/>
          <w:szCs w:val="28"/>
        </w:rPr>
        <w:tab/>
        <w:t>The order of the high court is set aside and the following order substituted:</w:t>
      </w:r>
    </w:p>
    <w:p w14:paraId="5E1CA67F" w14:textId="7A17862E" w:rsidR="00246983" w:rsidRPr="003D540E" w:rsidRDefault="004E5970" w:rsidP="00A00D7D">
      <w:pPr>
        <w:ind w:left="720"/>
        <w:rPr>
          <w:sz w:val="28"/>
          <w:szCs w:val="28"/>
        </w:rPr>
      </w:pPr>
      <w:r w:rsidRPr="003D540E">
        <w:rPr>
          <w:sz w:val="28"/>
          <w:szCs w:val="28"/>
        </w:rPr>
        <w:t>‘</w:t>
      </w:r>
      <w:r w:rsidR="007F29DF" w:rsidRPr="003D540E">
        <w:rPr>
          <w:sz w:val="28"/>
          <w:szCs w:val="28"/>
        </w:rPr>
        <w:t>(</w:t>
      </w:r>
      <w:r w:rsidR="00246983" w:rsidRPr="003D540E">
        <w:rPr>
          <w:sz w:val="28"/>
          <w:szCs w:val="28"/>
        </w:rPr>
        <w:t>a)</w:t>
      </w:r>
      <w:r w:rsidR="00246983" w:rsidRPr="003D540E">
        <w:rPr>
          <w:sz w:val="28"/>
          <w:szCs w:val="28"/>
        </w:rPr>
        <w:tab/>
      </w:r>
      <w:r w:rsidR="00316573" w:rsidRPr="003D540E">
        <w:rPr>
          <w:sz w:val="28"/>
          <w:szCs w:val="28"/>
        </w:rPr>
        <w:t>The opposition to t</w:t>
      </w:r>
      <w:r w:rsidR="00246983" w:rsidRPr="003D540E">
        <w:rPr>
          <w:sz w:val="28"/>
          <w:szCs w:val="28"/>
        </w:rPr>
        <w:t xml:space="preserve">rade mark application </w:t>
      </w:r>
      <w:r w:rsidR="00646557" w:rsidRPr="003D540E">
        <w:rPr>
          <w:sz w:val="28"/>
          <w:szCs w:val="28"/>
        </w:rPr>
        <w:t>n</w:t>
      </w:r>
      <w:r w:rsidR="00246983" w:rsidRPr="003D540E">
        <w:rPr>
          <w:sz w:val="28"/>
          <w:szCs w:val="28"/>
        </w:rPr>
        <w:t xml:space="preserve">o. 2013/06837 in class 30 in the name of Cape Cookies CC </w:t>
      </w:r>
      <w:r w:rsidR="00316573" w:rsidRPr="003D540E">
        <w:rPr>
          <w:sz w:val="28"/>
          <w:szCs w:val="28"/>
        </w:rPr>
        <w:t xml:space="preserve">succeeds and the application for registration </w:t>
      </w:r>
      <w:r w:rsidR="00246983" w:rsidRPr="003D540E">
        <w:rPr>
          <w:sz w:val="28"/>
          <w:szCs w:val="28"/>
        </w:rPr>
        <w:t>is refused.</w:t>
      </w:r>
    </w:p>
    <w:p w14:paraId="0C2C3513" w14:textId="77777777" w:rsidR="00126D61" w:rsidRPr="003D540E" w:rsidRDefault="007F29DF" w:rsidP="00A00D7D">
      <w:pPr>
        <w:ind w:left="720"/>
        <w:rPr>
          <w:sz w:val="28"/>
          <w:szCs w:val="28"/>
        </w:rPr>
      </w:pPr>
      <w:r w:rsidRPr="003D540E">
        <w:rPr>
          <w:sz w:val="28"/>
          <w:szCs w:val="28"/>
        </w:rPr>
        <w:t>(</w:t>
      </w:r>
      <w:r w:rsidR="00246983" w:rsidRPr="003D540E">
        <w:rPr>
          <w:sz w:val="28"/>
          <w:szCs w:val="28"/>
        </w:rPr>
        <w:t>b)</w:t>
      </w:r>
      <w:r w:rsidR="00246983" w:rsidRPr="003D540E">
        <w:rPr>
          <w:sz w:val="28"/>
          <w:szCs w:val="28"/>
        </w:rPr>
        <w:tab/>
        <w:t>Cape Cookies CC is directed to pay the costs of the opposition proceedings, including those consequent on the employment of two counsel.</w:t>
      </w:r>
      <w:r w:rsidR="004E5970" w:rsidRPr="003D540E">
        <w:rPr>
          <w:sz w:val="28"/>
          <w:szCs w:val="28"/>
        </w:rPr>
        <w:t>’</w:t>
      </w:r>
    </w:p>
    <w:p w14:paraId="16FCD2B3" w14:textId="77777777" w:rsidR="00246983" w:rsidRDefault="00246983" w:rsidP="00246983">
      <w:pPr>
        <w:spacing w:before="240"/>
        <w:rPr>
          <w:sz w:val="28"/>
          <w:szCs w:val="28"/>
        </w:rPr>
      </w:pPr>
    </w:p>
    <w:p w14:paraId="6E27DEB5" w14:textId="77777777" w:rsidR="00A55A47" w:rsidRDefault="00A55A47" w:rsidP="00246983">
      <w:pPr>
        <w:spacing w:before="240"/>
        <w:rPr>
          <w:sz w:val="28"/>
          <w:szCs w:val="28"/>
        </w:rPr>
      </w:pPr>
    </w:p>
    <w:p w14:paraId="7A1C6A8F" w14:textId="77777777" w:rsidR="00A55A47" w:rsidRDefault="00A55A47" w:rsidP="00246983">
      <w:pPr>
        <w:spacing w:before="240"/>
        <w:rPr>
          <w:sz w:val="28"/>
          <w:szCs w:val="28"/>
        </w:rPr>
      </w:pPr>
    </w:p>
    <w:p w14:paraId="044030EC" w14:textId="77777777" w:rsidR="00A55A47" w:rsidRDefault="00A55A47" w:rsidP="00246983">
      <w:pPr>
        <w:spacing w:before="240"/>
        <w:rPr>
          <w:sz w:val="28"/>
          <w:szCs w:val="28"/>
        </w:rPr>
      </w:pPr>
    </w:p>
    <w:p w14:paraId="184C3F62" w14:textId="77777777" w:rsidR="00A55A47" w:rsidRDefault="00A55A47">
      <w:pPr>
        <w:pStyle w:val="ListParagraph"/>
        <w:spacing w:after="240"/>
        <w:ind w:left="0"/>
        <w:rPr>
          <w:b/>
          <w:bCs/>
          <w:sz w:val="28"/>
          <w:szCs w:val="28"/>
        </w:rPr>
      </w:pPr>
    </w:p>
    <w:p w14:paraId="7C2BEABA" w14:textId="4DD5A5F3" w:rsidR="008A1D81" w:rsidRPr="003D540E" w:rsidRDefault="00745D18">
      <w:pPr>
        <w:pStyle w:val="ListParagraph"/>
        <w:spacing w:after="240"/>
        <w:ind w:left="0"/>
        <w:rPr>
          <w:b/>
          <w:bCs/>
          <w:sz w:val="28"/>
          <w:szCs w:val="28"/>
        </w:rPr>
      </w:pPr>
      <w:r w:rsidRPr="003D540E">
        <w:rPr>
          <w:b/>
          <w:bCs/>
          <w:sz w:val="28"/>
          <w:szCs w:val="28"/>
        </w:rPr>
        <w:lastRenderedPageBreak/>
        <w:t>_____</w:t>
      </w:r>
      <w:r w:rsidR="008A1D81" w:rsidRPr="003D540E">
        <w:rPr>
          <w:b/>
          <w:bCs/>
          <w:sz w:val="28"/>
          <w:szCs w:val="28"/>
        </w:rPr>
        <w:t>_____________________________________________________________</w:t>
      </w:r>
    </w:p>
    <w:p w14:paraId="3BD8C946" w14:textId="77777777" w:rsidR="008A1D81" w:rsidRPr="003D540E" w:rsidRDefault="008A1D81">
      <w:pPr>
        <w:pStyle w:val="Heading1"/>
        <w:jc w:val="center"/>
        <w:rPr>
          <w:rFonts w:ascii="Times New Roman" w:hAnsi="Times New Roman" w:cs="Times New Roman"/>
          <w:szCs w:val="28"/>
        </w:rPr>
      </w:pPr>
      <w:r w:rsidRPr="003D540E">
        <w:rPr>
          <w:rFonts w:ascii="Times New Roman" w:hAnsi="Times New Roman" w:cs="Times New Roman"/>
          <w:szCs w:val="28"/>
        </w:rPr>
        <w:t>JUDGMENT</w:t>
      </w:r>
    </w:p>
    <w:p w14:paraId="06AE44E5" w14:textId="77777777" w:rsidR="008A1D81" w:rsidRPr="003D540E" w:rsidRDefault="00745D18">
      <w:pPr>
        <w:spacing w:after="240"/>
        <w:rPr>
          <w:b/>
          <w:bCs/>
          <w:sz w:val="28"/>
          <w:szCs w:val="28"/>
        </w:rPr>
      </w:pPr>
      <w:r w:rsidRPr="003D540E">
        <w:rPr>
          <w:b/>
          <w:bCs/>
          <w:sz w:val="28"/>
          <w:szCs w:val="28"/>
        </w:rPr>
        <w:t>_____</w:t>
      </w:r>
      <w:r w:rsidR="008A1D81" w:rsidRPr="003D540E">
        <w:rPr>
          <w:b/>
          <w:bCs/>
          <w:sz w:val="28"/>
          <w:szCs w:val="28"/>
        </w:rPr>
        <w:t>_____________________________________________________________</w:t>
      </w:r>
    </w:p>
    <w:p w14:paraId="6695BD16" w14:textId="2DB8A433" w:rsidR="00083490" w:rsidRDefault="00CB0375" w:rsidP="00E9175D">
      <w:pPr>
        <w:rPr>
          <w:b/>
          <w:sz w:val="28"/>
          <w:szCs w:val="28"/>
        </w:rPr>
      </w:pPr>
      <w:r w:rsidRPr="003D540E">
        <w:rPr>
          <w:b/>
          <w:sz w:val="28"/>
          <w:szCs w:val="28"/>
        </w:rPr>
        <w:t>Gorven</w:t>
      </w:r>
      <w:r w:rsidR="00093030" w:rsidRPr="003D540E">
        <w:rPr>
          <w:b/>
          <w:sz w:val="28"/>
          <w:szCs w:val="28"/>
        </w:rPr>
        <w:t xml:space="preserve"> JA (</w:t>
      </w:r>
      <w:r w:rsidR="006F1939" w:rsidRPr="003D540E">
        <w:rPr>
          <w:b/>
          <w:sz w:val="28"/>
          <w:szCs w:val="28"/>
        </w:rPr>
        <w:t xml:space="preserve">Ponnan, </w:t>
      </w:r>
      <w:r w:rsidR="008177A4" w:rsidRPr="003D540E">
        <w:rPr>
          <w:b/>
          <w:sz w:val="28"/>
          <w:szCs w:val="28"/>
        </w:rPr>
        <w:t xml:space="preserve">Hughes and </w:t>
      </w:r>
      <w:r w:rsidR="006F1939" w:rsidRPr="003D540E">
        <w:rPr>
          <w:b/>
          <w:sz w:val="28"/>
          <w:szCs w:val="28"/>
        </w:rPr>
        <w:t xml:space="preserve">Goosen </w:t>
      </w:r>
      <w:r w:rsidR="008177A4" w:rsidRPr="003D540E">
        <w:rPr>
          <w:b/>
          <w:sz w:val="28"/>
          <w:szCs w:val="28"/>
        </w:rPr>
        <w:t xml:space="preserve">JJA </w:t>
      </w:r>
      <w:r w:rsidR="006F1939" w:rsidRPr="003D540E">
        <w:rPr>
          <w:b/>
          <w:sz w:val="28"/>
          <w:szCs w:val="28"/>
        </w:rPr>
        <w:t xml:space="preserve">and </w:t>
      </w:r>
      <w:r w:rsidR="008177A4" w:rsidRPr="003D540E">
        <w:rPr>
          <w:b/>
          <w:sz w:val="28"/>
          <w:szCs w:val="28"/>
        </w:rPr>
        <w:t>Siwendu AJA</w:t>
      </w:r>
      <w:r w:rsidR="00635B6E" w:rsidRPr="003D540E">
        <w:rPr>
          <w:b/>
          <w:sz w:val="28"/>
          <w:szCs w:val="28"/>
        </w:rPr>
        <w:t xml:space="preserve"> </w:t>
      </w:r>
      <w:r w:rsidR="003342E3" w:rsidRPr="003D540E">
        <w:rPr>
          <w:b/>
          <w:sz w:val="28"/>
          <w:szCs w:val="28"/>
        </w:rPr>
        <w:t>co</w:t>
      </w:r>
      <w:r w:rsidR="00093030" w:rsidRPr="003D540E">
        <w:rPr>
          <w:b/>
          <w:sz w:val="28"/>
          <w:szCs w:val="28"/>
        </w:rPr>
        <w:t>ncurring)</w:t>
      </w:r>
    </w:p>
    <w:p w14:paraId="1F800A34" w14:textId="77777777" w:rsidR="00701C14" w:rsidRPr="003D540E" w:rsidRDefault="00701C14" w:rsidP="00E9175D">
      <w:pPr>
        <w:rPr>
          <w:b/>
          <w:sz w:val="28"/>
          <w:szCs w:val="28"/>
        </w:rPr>
      </w:pPr>
    </w:p>
    <w:p w14:paraId="738831AF" w14:textId="77777777" w:rsidR="00AE1B7E" w:rsidRPr="003D540E" w:rsidRDefault="007A1444" w:rsidP="00EF5F03">
      <w:pPr>
        <w:pStyle w:val="ListParagraph"/>
        <w:numPr>
          <w:ilvl w:val="0"/>
          <w:numId w:val="1"/>
        </w:numPr>
        <w:ind w:left="0"/>
        <w:rPr>
          <w:bCs/>
          <w:sz w:val="28"/>
          <w:szCs w:val="28"/>
        </w:rPr>
      </w:pPr>
      <w:r w:rsidRPr="003D540E">
        <w:rPr>
          <w:sz w:val="28"/>
          <w:szCs w:val="28"/>
        </w:rPr>
        <w:t>Th</w:t>
      </w:r>
      <w:r w:rsidR="00AE1B7E" w:rsidRPr="003D540E">
        <w:rPr>
          <w:sz w:val="28"/>
          <w:szCs w:val="28"/>
        </w:rPr>
        <w:t xml:space="preserve">e first respondent, Cape Cookies CC (Cape Cookies) applied to register the </w:t>
      </w:r>
      <w:r w:rsidR="008053C1" w:rsidRPr="003D540E">
        <w:rPr>
          <w:sz w:val="28"/>
          <w:szCs w:val="28"/>
        </w:rPr>
        <w:t xml:space="preserve">trade </w:t>
      </w:r>
      <w:r w:rsidR="00AE1B7E" w:rsidRPr="003D540E">
        <w:rPr>
          <w:sz w:val="28"/>
          <w:szCs w:val="28"/>
        </w:rPr>
        <w:t xml:space="preserve">mark SNACKCRAX </w:t>
      </w:r>
      <w:r w:rsidR="002B5B77" w:rsidRPr="003D540E">
        <w:rPr>
          <w:sz w:val="28"/>
          <w:szCs w:val="28"/>
        </w:rPr>
        <w:t>by way of</w:t>
      </w:r>
      <w:r w:rsidR="00AE1B7E" w:rsidRPr="003D540E">
        <w:rPr>
          <w:sz w:val="28"/>
          <w:szCs w:val="28"/>
        </w:rPr>
        <w:t xml:space="preserve"> </w:t>
      </w:r>
      <w:r w:rsidR="002B5B77" w:rsidRPr="003D540E">
        <w:rPr>
          <w:sz w:val="28"/>
          <w:szCs w:val="28"/>
        </w:rPr>
        <w:t xml:space="preserve">application </w:t>
      </w:r>
      <w:r w:rsidR="00646557" w:rsidRPr="003D540E">
        <w:rPr>
          <w:sz w:val="28"/>
          <w:szCs w:val="28"/>
        </w:rPr>
        <w:t>n</w:t>
      </w:r>
      <w:r w:rsidR="002B5B77" w:rsidRPr="003D540E">
        <w:rPr>
          <w:sz w:val="28"/>
          <w:szCs w:val="28"/>
        </w:rPr>
        <w:t xml:space="preserve">o. 2013/06837 </w:t>
      </w:r>
      <w:r w:rsidR="00646557" w:rsidRPr="003D540E">
        <w:rPr>
          <w:sz w:val="28"/>
          <w:szCs w:val="28"/>
        </w:rPr>
        <w:t xml:space="preserve">under </w:t>
      </w:r>
      <w:r w:rsidR="00AE1B7E" w:rsidRPr="003D540E">
        <w:rPr>
          <w:sz w:val="28"/>
          <w:szCs w:val="28"/>
        </w:rPr>
        <w:t xml:space="preserve">the </w:t>
      </w:r>
      <w:r w:rsidR="00AE1B7E" w:rsidRPr="003D540E">
        <w:rPr>
          <w:bCs/>
          <w:sz w:val="28"/>
          <w:szCs w:val="28"/>
        </w:rPr>
        <w:t xml:space="preserve">Trade Marks Act 194 of 1993 (the Act). </w:t>
      </w:r>
      <w:r w:rsidR="004E7487" w:rsidRPr="003D540E">
        <w:rPr>
          <w:bCs/>
          <w:sz w:val="28"/>
          <w:szCs w:val="28"/>
        </w:rPr>
        <w:t>P</w:t>
      </w:r>
      <w:r w:rsidR="00E225E7" w:rsidRPr="003D540E">
        <w:rPr>
          <w:bCs/>
          <w:sz w:val="28"/>
          <w:szCs w:val="28"/>
        </w:rPr>
        <w:t xml:space="preserve">ublication </w:t>
      </w:r>
      <w:r w:rsidR="00AE1B7E" w:rsidRPr="003D540E">
        <w:rPr>
          <w:bCs/>
          <w:sz w:val="28"/>
          <w:szCs w:val="28"/>
        </w:rPr>
        <w:t>took place on 28 May 2014. The registration was sought in the following specification in class 30:</w:t>
      </w:r>
    </w:p>
    <w:p w14:paraId="4AE6EAE7" w14:textId="77777777" w:rsidR="00AE1B7E" w:rsidRPr="003D540E" w:rsidRDefault="00AE1B7E" w:rsidP="00AE1B7E">
      <w:pPr>
        <w:rPr>
          <w:bCs/>
        </w:rPr>
      </w:pPr>
      <w:r w:rsidRPr="003D540E">
        <w:rPr>
          <w:bCs/>
        </w:rPr>
        <w:t>‘Coffee, tea, cocoa, sugar, rice, tapioca, sago, artificial coffee; flour and preparations made from cereals, bread, pastry and confectionery, ices; honey, treacle; yeast, baking-powder, salt, mustard, vinegar, sauces (condiments); spices; ice.’</w:t>
      </w:r>
    </w:p>
    <w:p w14:paraId="17CE8227" w14:textId="680BA314" w:rsidR="00AE1B7E" w:rsidRPr="003D540E" w:rsidRDefault="004E7487" w:rsidP="00AE1B7E">
      <w:pPr>
        <w:rPr>
          <w:sz w:val="28"/>
          <w:szCs w:val="28"/>
        </w:rPr>
      </w:pPr>
      <w:r w:rsidRPr="003D540E">
        <w:rPr>
          <w:sz w:val="28"/>
          <w:szCs w:val="28"/>
        </w:rPr>
        <w:t xml:space="preserve">It was common ground that these specifications covered savoury biscuits. </w:t>
      </w:r>
      <w:r w:rsidR="00AE1B7E" w:rsidRPr="003D540E">
        <w:rPr>
          <w:sz w:val="28"/>
          <w:szCs w:val="28"/>
        </w:rPr>
        <w:t xml:space="preserve">The </w:t>
      </w:r>
      <w:r w:rsidR="00C56700" w:rsidRPr="003D540E">
        <w:rPr>
          <w:sz w:val="28"/>
          <w:szCs w:val="28"/>
        </w:rPr>
        <w:t xml:space="preserve">application </w:t>
      </w:r>
      <w:r w:rsidRPr="003D540E">
        <w:rPr>
          <w:sz w:val="28"/>
          <w:szCs w:val="28"/>
        </w:rPr>
        <w:t xml:space="preserve"> </w:t>
      </w:r>
      <w:r w:rsidR="00316573" w:rsidRPr="003D540E">
        <w:rPr>
          <w:sz w:val="28"/>
          <w:szCs w:val="28"/>
        </w:rPr>
        <w:t xml:space="preserve">for registration was opposed by </w:t>
      </w:r>
      <w:r w:rsidRPr="003D540E">
        <w:rPr>
          <w:sz w:val="28"/>
          <w:szCs w:val="28"/>
        </w:rPr>
        <w:t>the appellant, National Brands Limited (National Brands)</w:t>
      </w:r>
      <w:r w:rsidR="00316573" w:rsidRPr="003D540E">
        <w:rPr>
          <w:sz w:val="28"/>
          <w:szCs w:val="28"/>
        </w:rPr>
        <w:t>,</w:t>
      </w:r>
      <w:r w:rsidR="000C7034" w:rsidRPr="003D540E">
        <w:rPr>
          <w:sz w:val="28"/>
          <w:szCs w:val="28"/>
        </w:rPr>
        <w:t xml:space="preserve"> </w:t>
      </w:r>
      <w:r w:rsidR="00316573" w:rsidRPr="003D540E">
        <w:rPr>
          <w:sz w:val="28"/>
          <w:szCs w:val="28"/>
        </w:rPr>
        <w:t xml:space="preserve">on </w:t>
      </w:r>
      <w:r w:rsidR="000C7034" w:rsidRPr="003D540E">
        <w:rPr>
          <w:sz w:val="28"/>
          <w:szCs w:val="28"/>
        </w:rPr>
        <w:t xml:space="preserve">one or more of </w:t>
      </w:r>
      <w:r w:rsidR="00AE1B7E" w:rsidRPr="003D540E">
        <w:rPr>
          <w:sz w:val="28"/>
          <w:szCs w:val="28"/>
        </w:rPr>
        <w:t>ss 10(4), 10(7), 10(12), 10(14) and 10(17) of the Act. As is customary</w:t>
      </w:r>
      <w:r w:rsidR="00E226EA" w:rsidRPr="003D540E">
        <w:rPr>
          <w:sz w:val="28"/>
          <w:szCs w:val="28"/>
        </w:rPr>
        <w:t xml:space="preserve">, </w:t>
      </w:r>
      <w:r w:rsidR="00AE1B7E" w:rsidRPr="003D540E">
        <w:rPr>
          <w:sz w:val="28"/>
          <w:szCs w:val="28"/>
        </w:rPr>
        <w:t>the Registrar of Trade Marks</w:t>
      </w:r>
      <w:r w:rsidRPr="003D540E">
        <w:rPr>
          <w:sz w:val="28"/>
          <w:szCs w:val="28"/>
        </w:rPr>
        <w:t xml:space="preserve">, </w:t>
      </w:r>
      <w:r w:rsidR="00316573" w:rsidRPr="003D540E">
        <w:rPr>
          <w:sz w:val="28"/>
          <w:szCs w:val="28"/>
        </w:rPr>
        <w:t xml:space="preserve">who was cited as </w:t>
      </w:r>
      <w:r w:rsidRPr="003D540E">
        <w:rPr>
          <w:sz w:val="28"/>
          <w:szCs w:val="28"/>
        </w:rPr>
        <w:t xml:space="preserve">the second respondent, </w:t>
      </w:r>
      <w:r w:rsidR="006F1241" w:rsidRPr="003D540E">
        <w:rPr>
          <w:sz w:val="28"/>
          <w:szCs w:val="28"/>
        </w:rPr>
        <w:t xml:space="preserve">elected to </w:t>
      </w:r>
      <w:r w:rsidR="00111AB4" w:rsidRPr="003D540E">
        <w:rPr>
          <w:sz w:val="28"/>
          <w:szCs w:val="28"/>
        </w:rPr>
        <w:t>abide the decision in both</w:t>
      </w:r>
      <w:r w:rsidR="004666A0" w:rsidRPr="003D540E">
        <w:rPr>
          <w:sz w:val="28"/>
          <w:szCs w:val="28"/>
        </w:rPr>
        <w:t xml:space="preserve"> the high court and in</w:t>
      </w:r>
      <w:r w:rsidR="00AE1B7E" w:rsidRPr="003D540E">
        <w:rPr>
          <w:sz w:val="28"/>
          <w:szCs w:val="28"/>
        </w:rPr>
        <w:t xml:space="preserve"> this </w:t>
      </w:r>
      <w:r w:rsidRPr="003D540E">
        <w:rPr>
          <w:sz w:val="28"/>
          <w:szCs w:val="28"/>
        </w:rPr>
        <w:t>court</w:t>
      </w:r>
      <w:r w:rsidR="00AE1B7E" w:rsidRPr="003D540E">
        <w:rPr>
          <w:sz w:val="28"/>
          <w:szCs w:val="28"/>
        </w:rPr>
        <w:t>.</w:t>
      </w:r>
    </w:p>
    <w:p w14:paraId="6863CAA9" w14:textId="77777777" w:rsidR="00126D61" w:rsidRPr="003D540E" w:rsidRDefault="00126D61" w:rsidP="00CE2B01">
      <w:pPr>
        <w:pStyle w:val="ListParagraph"/>
        <w:ind w:left="0"/>
        <w:rPr>
          <w:sz w:val="28"/>
          <w:szCs w:val="28"/>
        </w:rPr>
      </w:pPr>
    </w:p>
    <w:p w14:paraId="5762B3F3" w14:textId="77777777" w:rsidR="00EC6CC7" w:rsidRPr="003D540E" w:rsidRDefault="00EC6CC7" w:rsidP="00EC6CC7">
      <w:pPr>
        <w:pStyle w:val="ListParagraph"/>
        <w:numPr>
          <w:ilvl w:val="0"/>
          <w:numId w:val="1"/>
        </w:numPr>
        <w:ind w:left="0"/>
        <w:rPr>
          <w:sz w:val="28"/>
          <w:szCs w:val="28"/>
        </w:rPr>
      </w:pPr>
      <w:r w:rsidRPr="003D540E">
        <w:rPr>
          <w:sz w:val="28"/>
          <w:szCs w:val="28"/>
        </w:rPr>
        <w:t>National Brands is the proprietor in South Africa of the following registered marks:</w:t>
      </w:r>
    </w:p>
    <w:p w14:paraId="009E431A" w14:textId="77777777" w:rsidR="00EC6CC7" w:rsidRPr="003D540E" w:rsidRDefault="007F29DF" w:rsidP="00EC6CC7">
      <w:pPr>
        <w:rPr>
          <w:sz w:val="28"/>
          <w:szCs w:val="28"/>
        </w:rPr>
      </w:pPr>
      <w:r w:rsidRPr="003D540E">
        <w:rPr>
          <w:sz w:val="28"/>
          <w:szCs w:val="28"/>
        </w:rPr>
        <w:t>(</w:t>
      </w:r>
      <w:r w:rsidR="00EC6CC7" w:rsidRPr="003D540E">
        <w:rPr>
          <w:sz w:val="28"/>
          <w:szCs w:val="28"/>
        </w:rPr>
        <w:t>a)</w:t>
      </w:r>
      <w:r w:rsidR="00EC6CC7" w:rsidRPr="003D540E">
        <w:rPr>
          <w:sz w:val="28"/>
          <w:szCs w:val="28"/>
        </w:rPr>
        <w:tab/>
        <w:t>trade mark registration no. 1951/2139 SALTICRAX in class 30 in respect of ‘salt flavoured biscuits’, dating back to 1 August 1951 (the SALTICRAX registration);</w:t>
      </w:r>
    </w:p>
    <w:p w14:paraId="5280FD68" w14:textId="77777777" w:rsidR="00EC6CC7" w:rsidRPr="003D540E" w:rsidRDefault="007F29DF" w:rsidP="00EC6CC7">
      <w:pPr>
        <w:rPr>
          <w:sz w:val="28"/>
          <w:szCs w:val="28"/>
        </w:rPr>
      </w:pPr>
      <w:r w:rsidRPr="003D540E">
        <w:rPr>
          <w:sz w:val="28"/>
          <w:szCs w:val="28"/>
        </w:rPr>
        <w:t>(</w:t>
      </w:r>
      <w:r w:rsidR="00EC6CC7" w:rsidRPr="003D540E">
        <w:rPr>
          <w:sz w:val="28"/>
          <w:szCs w:val="28"/>
        </w:rPr>
        <w:t>b)</w:t>
      </w:r>
      <w:r w:rsidR="00EC6CC7" w:rsidRPr="003D540E">
        <w:rPr>
          <w:sz w:val="28"/>
          <w:szCs w:val="28"/>
        </w:rPr>
        <w:tab/>
        <w:t xml:space="preserve">trade mark registration no. B1985/03525 SNACKTIME in class 30 in respect of ‘flour and preparations made from cereals; bread, biscuits, cakes, pastry, </w:t>
      </w:r>
      <w:r w:rsidR="00EC6CC7" w:rsidRPr="003D540E">
        <w:rPr>
          <w:sz w:val="28"/>
          <w:szCs w:val="28"/>
        </w:rPr>
        <w:lastRenderedPageBreak/>
        <w:t>confectionery and bakery products of all kinds; yeast, baking powder’, dating back to 29 October 1986 (the SNACKTIME registration);</w:t>
      </w:r>
    </w:p>
    <w:p w14:paraId="39866B21" w14:textId="77777777" w:rsidR="00EC6CC7" w:rsidRPr="003D540E" w:rsidRDefault="007F29DF" w:rsidP="00EC6CC7">
      <w:pPr>
        <w:rPr>
          <w:bCs/>
          <w:sz w:val="28"/>
          <w:szCs w:val="28"/>
        </w:rPr>
      </w:pPr>
      <w:r w:rsidRPr="003D540E">
        <w:rPr>
          <w:sz w:val="28"/>
          <w:szCs w:val="28"/>
        </w:rPr>
        <w:t>(</w:t>
      </w:r>
      <w:r w:rsidR="00EC6CC7" w:rsidRPr="003D540E">
        <w:rPr>
          <w:sz w:val="28"/>
          <w:szCs w:val="28"/>
        </w:rPr>
        <w:t>c)</w:t>
      </w:r>
      <w:r w:rsidR="00EC6CC7" w:rsidRPr="003D540E">
        <w:rPr>
          <w:sz w:val="28"/>
          <w:szCs w:val="28"/>
        </w:rPr>
        <w:tab/>
        <w:t>trade mark registrations no. 2001/18858 VITASNACK and no. 2003/01759 VITASNACK WHOLEWHEAT CRISPS logo in class 30 in respect of ‘c</w:t>
      </w:r>
      <w:r w:rsidR="00EC6CC7" w:rsidRPr="003D540E">
        <w:rPr>
          <w:bCs/>
          <w:sz w:val="28"/>
          <w:szCs w:val="28"/>
        </w:rPr>
        <w:t>offee, tea, cocoa, sugar, rice, tapioca, sago, artificial coffee; flour and preparations made from cereals, bread, pastry and confectionery, ices; honey, treacle; yeast, baking-powder, salt, mustard, vinegar, sauces (condiments); spices; ice’ dating back to 2 November 2001 and 31 January 2003 respectively (the VITASNACK registration).</w:t>
      </w:r>
    </w:p>
    <w:p w14:paraId="74C8A8F4" w14:textId="77777777" w:rsidR="00126D61" w:rsidRPr="003D540E" w:rsidRDefault="00126D61" w:rsidP="00CE2B01">
      <w:pPr>
        <w:pStyle w:val="ListParagraph"/>
        <w:ind w:left="0"/>
        <w:rPr>
          <w:sz w:val="28"/>
          <w:szCs w:val="28"/>
        </w:rPr>
      </w:pPr>
    </w:p>
    <w:p w14:paraId="51067BEB" w14:textId="385CFEF1" w:rsidR="0017405B" w:rsidRPr="003D540E" w:rsidRDefault="0017405B" w:rsidP="009A32DC">
      <w:pPr>
        <w:pStyle w:val="ListParagraph"/>
        <w:numPr>
          <w:ilvl w:val="0"/>
          <w:numId w:val="1"/>
        </w:numPr>
        <w:ind w:left="0"/>
        <w:rPr>
          <w:sz w:val="28"/>
          <w:szCs w:val="28"/>
        </w:rPr>
      </w:pPr>
      <w:r w:rsidRPr="003D540E">
        <w:rPr>
          <w:sz w:val="28"/>
          <w:szCs w:val="28"/>
        </w:rPr>
        <w:t>Cape Cookies’ SNACK</w:t>
      </w:r>
      <w:r w:rsidR="003923C7" w:rsidRPr="003D540E">
        <w:rPr>
          <w:sz w:val="28"/>
          <w:szCs w:val="28"/>
        </w:rPr>
        <w:t>C</w:t>
      </w:r>
      <w:r w:rsidRPr="003D540E">
        <w:rPr>
          <w:sz w:val="28"/>
          <w:szCs w:val="28"/>
        </w:rPr>
        <w:t>RAX savoury biscuits have been on the market since August 2014 and are sold in competition with National Brands’ SALTICRAX savoury biscuits. In addition, Cape Cookies uses the VITACRAX mark</w:t>
      </w:r>
      <w:r w:rsidR="002F5DCA" w:rsidRPr="003D540E">
        <w:rPr>
          <w:sz w:val="28"/>
          <w:szCs w:val="28"/>
        </w:rPr>
        <w:t>, registered in 2009,</w:t>
      </w:r>
      <w:r w:rsidRPr="003D540E">
        <w:rPr>
          <w:sz w:val="28"/>
          <w:szCs w:val="28"/>
        </w:rPr>
        <w:t xml:space="preserve"> in relation to a crisp bread snack. National Brands </w:t>
      </w:r>
      <w:r w:rsidR="002463C6" w:rsidRPr="003D540E">
        <w:rPr>
          <w:sz w:val="28"/>
          <w:szCs w:val="28"/>
        </w:rPr>
        <w:t>has</w:t>
      </w:r>
      <w:r w:rsidRPr="003D540E">
        <w:rPr>
          <w:sz w:val="28"/>
          <w:szCs w:val="28"/>
        </w:rPr>
        <w:t xml:space="preserve"> sought </w:t>
      </w:r>
      <w:r w:rsidR="00670EA2" w:rsidRPr="003D540E">
        <w:rPr>
          <w:sz w:val="28"/>
          <w:szCs w:val="28"/>
        </w:rPr>
        <w:t>to</w:t>
      </w:r>
      <w:r w:rsidRPr="003D540E">
        <w:rPr>
          <w:sz w:val="28"/>
          <w:szCs w:val="28"/>
        </w:rPr>
        <w:t xml:space="preserve"> interdict th</w:t>
      </w:r>
      <w:r w:rsidR="001D3E53" w:rsidRPr="003D540E">
        <w:rPr>
          <w:sz w:val="28"/>
          <w:szCs w:val="28"/>
        </w:rPr>
        <w:t>at</w:t>
      </w:r>
      <w:r w:rsidRPr="003D540E">
        <w:rPr>
          <w:sz w:val="28"/>
          <w:szCs w:val="28"/>
        </w:rPr>
        <w:t xml:space="preserve"> use in the Western Cape Division of the High Court, Cape Town</w:t>
      </w:r>
      <w:r w:rsidR="002F5DCA" w:rsidRPr="003D540E">
        <w:rPr>
          <w:sz w:val="28"/>
          <w:szCs w:val="28"/>
        </w:rPr>
        <w:t xml:space="preserve"> </w:t>
      </w:r>
      <w:r w:rsidR="00665BA3" w:rsidRPr="003D540E">
        <w:rPr>
          <w:sz w:val="28"/>
          <w:szCs w:val="28"/>
        </w:rPr>
        <w:t>(the Cape litigation</w:t>
      </w:r>
      <w:r w:rsidR="0032684B" w:rsidRPr="003D540E">
        <w:rPr>
          <w:sz w:val="28"/>
          <w:szCs w:val="28"/>
        </w:rPr>
        <w:t>)</w:t>
      </w:r>
      <w:r w:rsidR="002463C6" w:rsidRPr="003D540E">
        <w:rPr>
          <w:sz w:val="28"/>
          <w:szCs w:val="28"/>
        </w:rPr>
        <w:t xml:space="preserve">. </w:t>
      </w:r>
      <w:r w:rsidRPr="003D540E">
        <w:rPr>
          <w:sz w:val="28"/>
          <w:szCs w:val="28"/>
        </w:rPr>
        <w:t>Th</w:t>
      </w:r>
      <w:r w:rsidR="001D3E53" w:rsidRPr="003D540E">
        <w:rPr>
          <w:sz w:val="28"/>
          <w:szCs w:val="28"/>
        </w:rPr>
        <w:t>e Cape litigation</w:t>
      </w:r>
      <w:r w:rsidRPr="003D540E">
        <w:rPr>
          <w:sz w:val="28"/>
          <w:szCs w:val="28"/>
        </w:rPr>
        <w:t xml:space="preserve"> </w:t>
      </w:r>
      <w:r w:rsidR="00FB4F8A" w:rsidRPr="003D540E">
        <w:rPr>
          <w:sz w:val="28"/>
          <w:szCs w:val="28"/>
        </w:rPr>
        <w:t>is still</w:t>
      </w:r>
      <w:r w:rsidRPr="003D540E">
        <w:rPr>
          <w:sz w:val="28"/>
          <w:szCs w:val="28"/>
        </w:rPr>
        <w:t xml:space="preserve"> pending.</w:t>
      </w:r>
      <w:r w:rsidR="000564B0" w:rsidRPr="003D540E">
        <w:t xml:space="preserve"> </w:t>
      </w:r>
    </w:p>
    <w:p w14:paraId="00CCDA24" w14:textId="77777777" w:rsidR="002463C6" w:rsidRPr="003D540E" w:rsidRDefault="002463C6" w:rsidP="002463C6">
      <w:pPr>
        <w:pStyle w:val="ListParagraph"/>
        <w:ind w:left="0"/>
        <w:rPr>
          <w:sz w:val="28"/>
          <w:szCs w:val="28"/>
        </w:rPr>
      </w:pPr>
    </w:p>
    <w:p w14:paraId="4DD93C8B" w14:textId="361D5B89" w:rsidR="003E3C13" w:rsidRPr="003D540E" w:rsidRDefault="003E3C13" w:rsidP="003E3C13">
      <w:pPr>
        <w:pStyle w:val="ListParagraph"/>
        <w:numPr>
          <w:ilvl w:val="0"/>
          <w:numId w:val="1"/>
        </w:numPr>
        <w:ind w:left="0"/>
        <w:rPr>
          <w:sz w:val="28"/>
          <w:szCs w:val="28"/>
        </w:rPr>
      </w:pPr>
      <w:r w:rsidRPr="003D540E">
        <w:rPr>
          <w:sz w:val="28"/>
          <w:szCs w:val="28"/>
        </w:rPr>
        <w:t xml:space="preserve">The </w:t>
      </w:r>
      <w:r w:rsidR="00A31E26" w:rsidRPr="003D540E">
        <w:rPr>
          <w:sz w:val="28"/>
          <w:szCs w:val="28"/>
        </w:rPr>
        <w:t>opposition proceedings</w:t>
      </w:r>
      <w:r w:rsidRPr="003D540E">
        <w:rPr>
          <w:sz w:val="28"/>
          <w:szCs w:val="28"/>
        </w:rPr>
        <w:t xml:space="preserve"> w</w:t>
      </w:r>
      <w:r w:rsidR="00A31E26" w:rsidRPr="003D540E">
        <w:rPr>
          <w:sz w:val="28"/>
          <w:szCs w:val="28"/>
        </w:rPr>
        <w:t>ere</w:t>
      </w:r>
      <w:r w:rsidRPr="003D540E">
        <w:rPr>
          <w:sz w:val="28"/>
          <w:szCs w:val="28"/>
        </w:rPr>
        <w:t xml:space="preserve"> heard in the high court by Le Roux AJ</w:t>
      </w:r>
      <w:r w:rsidR="00316573" w:rsidRPr="003D540E">
        <w:rPr>
          <w:sz w:val="28"/>
          <w:szCs w:val="28"/>
        </w:rPr>
        <w:t xml:space="preserve"> in the Gauteng Division of the High Court, Pretoria (the high court)</w:t>
      </w:r>
      <w:r w:rsidRPr="003D540E">
        <w:rPr>
          <w:sz w:val="28"/>
          <w:szCs w:val="28"/>
        </w:rPr>
        <w:t xml:space="preserve">, who </w:t>
      </w:r>
      <w:r w:rsidR="00316573" w:rsidRPr="003D540E">
        <w:rPr>
          <w:sz w:val="28"/>
          <w:szCs w:val="28"/>
        </w:rPr>
        <w:t xml:space="preserve">dismissed the opposition and </w:t>
      </w:r>
      <w:r w:rsidR="00F06D56" w:rsidRPr="003D540E">
        <w:rPr>
          <w:sz w:val="28"/>
          <w:szCs w:val="28"/>
        </w:rPr>
        <w:t>ordered</w:t>
      </w:r>
      <w:r w:rsidR="00736DAB" w:rsidRPr="003D540E">
        <w:rPr>
          <w:sz w:val="28"/>
          <w:szCs w:val="28"/>
        </w:rPr>
        <w:t xml:space="preserve"> that</w:t>
      </w:r>
      <w:r w:rsidR="008C6E40" w:rsidRPr="003D540E">
        <w:rPr>
          <w:sz w:val="28"/>
          <w:szCs w:val="28"/>
        </w:rPr>
        <w:t xml:space="preserve"> the </w:t>
      </w:r>
      <w:r w:rsidR="00500046" w:rsidRPr="003D540E">
        <w:rPr>
          <w:sz w:val="28"/>
          <w:szCs w:val="28"/>
        </w:rPr>
        <w:t>relevant trade</w:t>
      </w:r>
      <w:r w:rsidR="003923C7" w:rsidRPr="003D540E">
        <w:rPr>
          <w:sz w:val="28"/>
          <w:szCs w:val="28"/>
        </w:rPr>
        <w:t xml:space="preserve"> </w:t>
      </w:r>
      <w:r w:rsidR="00500046" w:rsidRPr="003D540E">
        <w:rPr>
          <w:sz w:val="28"/>
          <w:szCs w:val="28"/>
        </w:rPr>
        <w:t xml:space="preserve">mark </w:t>
      </w:r>
      <w:r w:rsidR="008C6E40" w:rsidRPr="003D540E">
        <w:rPr>
          <w:sz w:val="28"/>
          <w:szCs w:val="28"/>
        </w:rPr>
        <w:t xml:space="preserve">application </w:t>
      </w:r>
      <w:r w:rsidR="005F4E5E" w:rsidRPr="003D540E">
        <w:rPr>
          <w:sz w:val="28"/>
          <w:szCs w:val="28"/>
        </w:rPr>
        <w:t xml:space="preserve">must proceed to registration and </w:t>
      </w:r>
      <w:r w:rsidR="000A486E" w:rsidRPr="003D540E">
        <w:rPr>
          <w:sz w:val="28"/>
          <w:szCs w:val="28"/>
        </w:rPr>
        <w:t xml:space="preserve">directed </w:t>
      </w:r>
      <w:r w:rsidR="005F4E5E" w:rsidRPr="003D540E">
        <w:rPr>
          <w:sz w:val="28"/>
          <w:szCs w:val="28"/>
        </w:rPr>
        <w:t xml:space="preserve">the Registrar of Trade Marks </w:t>
      </w:r>
      <w:r w:rsidR="000A486E" w:rsidRPr="003D540E">
        <w:rPr>
          <w:sz w:val="28"/>
          <w:szCs w:val="28"/>
        </w:rPr>
        <w:t>t</w:t>
      </w:r>
      <w:r w:rsidR="005F4E5E" w:rsidRPr="003D540E">
        <w:rPr>
          <w:sz w:val="28"/>
          <w:szCs w:val="28"/>
        </w:rPr>
        <w:t xml:space="preserve">o register </w:t>
      </w:r>
      <w:r w:rsidR="00F144D5" w:rsidRPr="003D540E">
        <w:rPr>
          <w:sz w:val="28"/>
          <w:szCs w:val="28"/>
        </w:rPr>
        <w:t>i</w:t>
      </w:r>
      <w:r w:rsidR="005F4E5E" w:rsidRPr="003D540E">
        <w:rPr>
          <w:sz w:val="28"/>
          <w:szCs w:val="28"/>
        </w:rPr>
        <w:t>t.</w:t>
      </w:r>
      <w:r w:rsidR="00720694" w:rsidRPr="003D540E">
        <w:rPr>
          <w:sz w:val="28"/>
          <w:szCs w:val="28"/>
        </w:rPr>
        <w:t xml:space="preserve"> National Brands was ordered to pay the costs of the opposition proceedings.</w:t>
      </w:r>
      <w:r w:rsidRPr="003D540E">
        <w:rPr>
          <w:sz w:val="28"/>
          <w:szCs w:val="28"/>
        </w:rPr>
        <w:t xml:space="preserve"> </w:t>
      </w:r>
      <w:r w:rsidR="0008581E" w:rsidRPr="003D540E">
        <w:rPr>
          <w:sz w:val="28"/>
          <w:szCs w:val="28"/>
        </w:rPr>
        <w:t>T</w:t>
      </w:r>
      <w:r w:rsidRPr="003D540E">
        <w:rPr>
          <w:sz w:val="28"/>
          <w:szCs w:val="28"/>
        </w:rPr>
        <w:t>he</w:t>
      </w:r>
      <w:r w:rsidR="0008581E" w:rsidRPr="003D540E">
        <w:rPr>
          <w:sz w:val="28"/>
          <w:szCs w:val="28"/>
        </w:rPr>
        <w:t xml:space="preserve"> high court</w:t>
      </w:r>
      <w:r w:rsidRPr="003D540E">
        <w:rPr>
          <w:sz w:val="28"/>
          <w:szCs w:val="28"/>
        </w:rPr>
        <w:t xml:space="preserve"> granted leave to appeal on a limited basis but this </w:t>
      </w:r>
      <w:r w:rsidR="00C65573" w:rsidRPr="003D540E">
        <w:rPr>
          <w:sz w:val="28"/>
          <w:szCs w:val="28"/>
        </w:rPr>
        <w:t>c</w:t>
      </w:r>
      <w:r w:rsidRPr="003D540E">
        <w:rPr>
          <w:sz w:val="28"/>
          <w:szCs w:val="28"/>
        </w:rPr>
        <w:t>ourt granted leave on the balance of the grounds of opposition.</w:t>
      </w:r>
    </w:p>
    <w:p w14:paraId="21F47372" w14:textId="77777777" w:rsidR="00126D61" w:rsidRPr="003D540E" w:rsidRDefault="00126D61" w:rsidP="00CE2B01">
      <w:pPr>
        <w:pStyle w:val="ListParagraph"/>
        <w:ind w:left="0"/>
        <w:rPr>
          <w:sz w:val="28"/>
          <w:szCs w:val="28"/>
        </w:rPr>
      </w:pPr>
    </w:p>
    <w:p w14:paraId="39FD9E47" w14:textId="77777777" w:rsidR="00FA2990" w:rsidRPr="003D540E" w:rsidRDefault="002F69E1" w:rsidP="00FA2990">
      <w:pPr>
        <w:pStyle w:val="ListParagraph"/>
        <w:numPr>
          <w:ilvl w:val="0"/>
          <w:numId w:val="1"/>
        </w:numPr>
        <w:ind w:left="0"/>
        <w:rPr>
          <w:sz w:val="28"/>
          <w:szCs w:val="28"/>
        </w:rPr>
      </w:pPr>
      <w:r w:rsidRPr="003D540E">
        <w:rPr>
          <w:bCs/>
          <w:sz w:val="28"/>
          <w:szCs w:val="28"/>
        </w:rPr>
        <w:t>The opposition by National Brands was based on the following provisions of s </w:t>
      </w:r>
      <w:r w:rsidR="00FA2990" w:rsidRPr="003D540E">
        <w:rPr>
          <w:bCs/>
          <w:sz w:val="28"/>
          <w:szCs w:val="28"/>
        </w:rPr>
        <w:t>10 of the Act:</w:t>
      </w:r>
    </w:p>
    <w:p w14:paraId="51ADD6AB" w14:textId="77777777" w:rsidR="00FA2990" w:rsidRPr="003D540E" w:rsidRDefault="00FA2990" w:rsidP="00FA2990">
      <w:pPr>
        <w:rPr>
          <w:bCs/>
        </w:rPr>
      </w:pPr>
      <w:r w:rsidRPr="003D540E">
        <w:rPr>
          <w:bCs/>
        </w:rPr>
        <w:lastRenderedPageBreak/>
        <w:t>‘The following marks shall not be registered as trade marks or, if registered, shall, subject to the provisions of sections 3 and 70, be liable to be removed from the register:</w:t>
      </w:r>
    </w:p>
    <w:p w14:paraId="151145E6" w14:textId="77777777" w:rsidR="004448DF" w:rsidRPr="003D540E" w:rsidRDefault="004448DF" w:rsidP="00FA2990">
      <w:pPr>
        <w:rPr>
          <w:bCs/>
        </w:rPr>
      </w:pPr>
      <w:r w:rsidRPr="003D540E">
        <w:rPr>
          <w:bCs/>
        </w:rPr>
        <w:t xml:space="preserve">. . . </w:t>
      </w:r>
    </w:p>
    <w:p w14:paraId="52B351FC" w14:textId="77777777" w:rsidR="00FA2990" w:rsidRPr="003D540E" w:rsidRDefault="00FA2990" w:rsidP="00FA2990">
      <w:pPr>
        <w:rPr>
          <w:bCs/>
        </w:rPr>
      </w:pPr>
      <w:bookmarkStart w:id="1" w:name="0-0-0-591727"/>
      <w:bookmarkStart w:id="2" w:name="0-0-0-591743"/>
      <w:bookmarkEnd w:id="1"/>
      <w:bookmarkEnd w:id="2"/>
      <w:r w:rsidRPr="003D540E">
        <w:rPr>
          <w:bCs/>
        </w:rPr>
        <w:t>(4)   a mark in relation to which the applicant for registration has no </w:t>
      </w:r>
      <w:r w:rsidRPr="003D540E">
        <w:rPr>
          <w:bCs/>
          <w:i/>
          <w:iCs/>
        </w:rPr>
        <w:t>bona fide</w:t>
      </w:r>
      <w:r w:rsidRPr="003D540E">
        <w:rPr>
          <w:bCs/>
        </w:rPr>
        <w:t> intention of using it as a trade mark, either himself or through any person permitted or to be permitted by him to use the mark as contemplated by section 38;</w:t>
      </w:r>
    </w:p>
    <w:p w14:paraId="445D0AB0" w14:textId="77777777" w:rsidR="004448DF" w:rsidRPr="003D540E" w:rsidRDefault="004448DF" w:rsidP="00FA2990">
      <w:pPr>
        <w:rPr>
          <w:bCs/>
        </w:rPr>
      </w:pPr>
      <w:r w:rsidRPr="003D540E">
        <w:rPr>
          <w:bCs/>
        </w:rPr>
        <w:t>. . .</w:t>
      </w:r>
    </w:p>
    <w:p w14:paraId="406FC91F" w14:textId="77777777" w:rsidR="002F4F8A" w:rsidRPr="003D540E" w:rsidRDefault="002F4F8A" w:rsidP="002F4F8A">
      <w:pPr>
        <w:rPr>
          <w:bCs/>
        </w:rPr>
      </w:pPr>
      <w:bookmarkStart w:id="3" w:name="0-0-0-591775"/>
      <w:bookmarkEnd w:id="3"/>
      <w:r w:rsidRPr="003D540E">
        <w:rPr>
          <w:bCs/>
        </w:rPr>
        <w:t>(7)   a mark the application for registration of which was made </w:t>
      </w:r>
      <w:r w:rsidRPr="003D540E">
        <w:rPr>
          <w:bCs/>
          <w:i/>
          <w:iCs/>
        </w:rPr>
        <w:t>mala fide</w:t>
      </w:r>
      <w:r w:rsidRPr="003D540E">
        <w:rPr>
          <w:bCs/>
        </w:rPr>
        <w:t>;</w:t>
      </w:r>
    </w:p>
    <w:p w14:paraId="1B83732B" w14:textId="77777777" w:rsidR="004448DF" w:rsidRPr="003D540E" w:rsidRDefault="004448DF" w:rsidP="002F4F8A">
      <w:pPr>
        <w:rPr>
          <w:bCs/>
        </w:rPr>
      </w:pPr>
      <w:r w:rsidRPr="003D540E">
        <w:rPr>
          <w:bCs/>
        </w:rPr>
        <w:t>. . .</w:t>
      </w:r>
    </w:p>
    <w:p w14:paraId="1CE60859" w14:textId="77777777" w:rsidR="00FA2990" w:rsidRPr="003D540E" w:rsidRDefault="00FA2990" w:rsidP="00FA2990">
      <w:pPr>
        <w:rPr>
          <w:bCs/>
        </w:rPr>
      </w:pPr>
      <w:r w:rsidRPr="003D540E">
        <w:rPr>
          <w:bCs/>
        </w:rPr>
        <w:t>(12)   a mark which is inherently deceptive or the use of which would be likely to deceive or cause confusion, be contrary to law, be </w:t>
      </w:r>
      <w:r w:rsidRPr="003D540E">
        <w:rPr>
          <w:bCs/>
          <w:i/>
          <w:iCs/>
        </w:rPr>
        <w:t>contra bonos mores</w:t>
      </w:r>
      <w:r w:rsidRPr="003D540E">
        <w:rPr>
          <w:bCs/>
        </w:rPr>
        <w:t>, or be likely to give offence to any class of persons;</w:t>
      </w:r>
    </w:p>
    <w:p w14:paraId="3FDAFC00" w14:textId="77777777" w:rsidR="004448DF" w:rsidRPr="003D540E" w:rsidRDefault="004448DF" w:rsidP="00FA2990">
      <w:pPr>
        <w:rPr>
          <w:bCs/>
        </w:rPr>
      </w:pPr>
      <w:r w:rsidRPr="003D540E">
        <w:rPr>
          <w:bCs/>
        </w:rPr>
        <w:t>. . .</w:t>
      </w:r>
    </w:p>
    <w:p w14:paraId="4F025248" w14:textId="77777777" w:rsidR="00FA2990" w:rsidRPr="003D540E" w:rsidRDefault="00FA2990" w:rsidP="00FA2990">
      <w:pPr>
        <w:rPr>
          <w:bCs/>
        </w:rPr>
      </w:pPr>
      <w:bookmarkStart w:id="4" w:name="0-0-0-591781"/>
      <w:bookmarkEnd w:id="4"/>
      <w:r w:rsidRPr="003D540E">
        <w:rPr>
          <w:bCs/>
        </w:rPr>
        <w:t>(14)   subject to the provisions of section 14, a mark which is identical to a registered trade mark belonging to a different proprietor or so similar thereto that the use thereof in relation to goods or services in respect of which it is sought to be registered and which are the same as or similar to the goods or services in respect of which such trade mark is registered, would be likely to deceive or cause confusion, unless the proprietor of such trade mark consents to the registration of such mark;</w:t>
      </w:r>
    </w:p>
    <w:p w14:paraId="271B7C89" w14:textId="77777777" w:rsidR="004448DF" w:rsidRPr="003D540E" w:rsidRDefault="004448DF" w:rsidP="00FA2990">
      <w:pPr>
        <w:rPr>
          <w:bCs/>
        </w:rPr>
      </w:pPr>
      <w:r w:rsidRPr="003D540E">
        <w:rPr>
          <w:bCs/>
        </w:rPr>
        <w:t>. . .</w:t>
      </w:r>
    </w:p>
    <w:p w14:paraId="64854838" w14:textId="77777777" w:rsidR="00FA2990" w:rsidRPr="003D540E" w:rsidRDefault="00FA2990" w:rsidP="00FA2990">
      <w:pPr>
        <w:rPr>
          <w:bCs/>
        </w:rPr>
      </w:pPr>
      <w:bookmarkStart w:id="5" w:name="0-0-0-591789"/>
      <w:bookmarkEnd w:id="5"/>
      <w:r w:rsidRPr="003D540E">
        <w:rPr>
          <w:bCs/>
        </w:rPr>
        <w:t>(17)   a mark which is identical or similar to a trade mark which is already registered and which is well-known in the Republic, if the use of the mark sought to be registered would be likely to take unfair advantage of, or be detrimental to, the distinctive character or the repute of the registered trade mark, notwithstanding the absence of deception or confusion</w:t>
      </w:r>
      <w:r w:rsidR="00E4358E" w:rsidRPr="003D540E">
        <w:rPr>
          <w:bCs/>
        </w:rPr>
        <w:t xml:space="preserve"> . . .</w:t>
      </w:r>
      <w:r w:rsidRPr="003D540E">
        <w:rPr>
          <w:bCs/>
        </w:rPr>
        <w:t>’</w:t>
      </w:r>
      <w:r w:rsidR="008D658E" w:rsidRPr="003D540E">
        <w:rPr>
          <w:bCs/>
        </w:rPr>
        <w:t>.</w:t>
      </w:r>
    </w:p>
    <w:p w14:paraId="68306BE0" w14:textId="77777777" w:rsidR="00126D61" w:rsidRPr="003D540E" w:rsidRDefault="00126D61" w:rsidP="00CE2B01">
      <w:pPr>
        <w:pStyle w:val="ListParagraph"/>
        <w:ind w:left="0"/>
        <w:rPr>
          <w:sz w:val="28"/>
          <w:szCs w:val="28"/>
        </w:rPr>
      </w:pPr>
    </w:p>
    <w:p w14:paraId="24A760EB" w14:textId="3E8A8864" w:rsidR="00126D61" w:rsidRPr="003D540E" w:rsidRDefault="008A3820" w:rsidP="00B414B2">
      <w:pPr>
        <w:pStyle w:val="ListParagraph"/>
        <w:numPr>
          <w:ilvl w:val="0"/>
          <w:numId w:val="1"/>
        </w:numPr>
        <w:ind w:left="0"/>
        <w:rPr>
          <w:sz w:val="28"/>
          <w:szCs w:val="28"/>
        </w:rPr>
      </w:pPr>
      <w:r w:rsidRPr="003D540E">
        <w:rPr>
          <w:bCs/>
          <w:sz w:val="28"/>
          <w:szCs w:val="28"/>
        </w:rPr>
        <w:t xml:space="preserve">It is as well to </w:t>
      </w:r>
      <w:r w:rsidR="009C106F" w:rsidRPr="003D540E">
        <w:rPr>
          <w:bCs/>
          <w:sz w:val="28"/>
          <w:szCs w:val="28"/>
        </w:rPr>
        <w:t>reiterate</w:t>
      </w:r>
      <w:r w:rsidRPr="003D540E">
        <w:rPr>
          <w:bCs/>
          <w:sz w:val="28"/>
          <w:szCs w:val="28"/>
        </w:rPr>
        <w:t xml:space="preserve"> that</w:t>
      </w:r>
      <w:r w:rsidR="00031BED" w:rsidRPr="003D540E">
        <w:rPr>
          <w:bCs/>
          <w:sz w:val="28"/>
          <w:szCs w:val="28"/>
        </w:rPr>
        <w:t xml:space="preserve">, </w:t>
      </w:r>
      <w:r w:rsidR="00F21C2B" w:rsidRPr="003D540E">
        <w:rPr>
          <w:bCs/>
          <w:sz w:val="28"/>
          <w:szCs w:val="28"/>
        </w:rPr>
        <w:t xml:space="preserve">historically and primarily, </w:t>
      </w:r>
      <w:r w:rsidRPr="003D540E">
        <w:rPr>
          <w:bCs/>
          <w:sz w:val="28"/>
          <w:szCs w:val="28"/>
        </w:rPr>
        <w:t>a trade mark functions as a badge of origin of the goods offered.</w:t>
      </w:r>
      <w:r w:rsidRPr="003D540E">
        <w:rPr>
          <w:vertAlign w:val="superscript"/>
        </w:rPr>
        <w:footnoteReference w:id="2"/>
      </w:r>
      <w:r w:rsidRPr="003D540E">
        <w:rPr>
          <w:bCs/>
          <w:sz w:val="28"/>
          <w:szCs w:val="28"/>
        </w:rPr>
        <w:t xml:space="preserve"> </w:t>
      </w:r>
      <w:r w:rsidR="00794C26" w:rsidRPr="003D540E">
        <w:rPr>
          <w:bCs/>
          <w:sz w:val="28"/>
          <w:szCs w:val="28"/>
        </w:rPr>
        <w:t xml:space="preserve">This originates from the definition </w:t>
      </w:r>
      <w:r w:rsidR="00F144D5" w:rsidRPr="003D540E">
        <w:rPr>
          <w:bCs/>
          <w:sz w:val="28"/>
          <w:szCs w:val="28"/>
        </w:rPr>
        <w:t xml:space="preserve">of </w:t>
      </w:r>
      <w:r w:rsidR="00F144D5" w:rsidRPr="003D540E">
        <w:rPr>
          <w:bCs/>
          <w:sz w:val="28"/>
          <w:szCs w:val="28"/>
        </w:rPr>
        <w:lastRenderedPageBreak/>
        <w:t xml:space="preserve">‘trade mark’ </w:t>
      </w:r>
      <w:r w:rsidR="00794C26" w:rsidRPr="003D540E">
        <w:rPr>
          <w:bCs/>
          <w:sz w:val="28"/>
          <w:szCs w:val="28"/>
        </w:rPr>
        <w:t>in the Act.</w:t>
      </w:r>
      <w:r w:rsidR="00794C26" w:rsidRPr="003D540E">
        <w:rPr>
          <w:rStyle w:val="FootnoteReference"/>
          <w:bCs/>
          <w:sz w:val="28"/>
          <w:szCs w:val="28"/>
        </w:rPr>
        <w:footnoteReference w:id="3"/>
      </w:r>
      <w:r w:rsidR="00794C26" w:rsidRPr="003D540E">
        <w:rPr>
          <w:bCs/>
          <w:sz w:val="28"/>
          <w:szCs w:val="28"/>
        </w:rPr>
        <w:t xml:space="preserve"> </w:t>
      </w:r>
      <w:r w:rsidRPr="003D540E">
        <w:rPr>
          <w:bCs/>
          <w:sz w:val="28"/>
          <w:szCs w:val="28"/>
        </w:rPr>
        <w:t xml:space="preserve">It reassures persons seeing the mark that the proprietor is the source of those goods. A </w:t>
      </w:r>
      <w:r w:rsidR="00F144D5" w:rsidRPr="003D540E">
        <w:rPr>
          <w:bCs/>
          <w:sz w:val="28"/>
          <w:szCs w:val="28"/>
        </w:rPr>
        <w:t>registered trade</w:t>
      </w:r>
      <w:r w:rsidR="00955926" w:rsidRPr="003D540E">
        <w:rPr>
          <w:bCs/>
          <w:sz w:val="28"/>
          <w:szCs w:val="28"/>
        </w:rPr>
        <w:t xml:space="preserve"> </w:t>
      </w:r>
      <w:r w:rsidRPr="003D540E">
        <w:rPr>
          <w:bCs/>
          <w:sz w:val="28"/>
          <w:szCs w:val="28"/>
        </w:rPr>
        <w:t xml:space="preserve">mark constitutes a monopoly. That being the case, it must </w:t>
      </w:r>
      <w:r w:rsidR="00AB5555" w:rsidRPr="003D540E">
        <w:rPr>
          <w:bCs/>
          <w:sz w:val="28"/>
          <w:szCs w:val="28"/>
        </w:rPr>
        <w:t xml:space="preserve">not </w:t>
      </w:r>
      <w:r w:rsidRPr="003D540E">
        <w:rPr>
          <w:bCs/>
          <w:sz w:val="28"/>
          <w:szCs w:val="28"/>
        </w:rPr>
        <w:t>be interpreted</w:t>
      </w:r>
      <w:r w:rsidR="00AB5555" w:rsidRPr="003D540E">
        <w:rPr>
          <w:bCs/>
          <w:sz w:val="28"/>
          <w:szCs w:val="28"/>
        </w:rPr>
        <w:t xml:space="preserve"> in such a way as to </w:t>
      </w:r>
      <w:r w:rsidR="0010206C" w:rsidRPr="003D540E">
        <w:rPr>
          <w:bCs/>
          <w:sz w:val="28"/>
          <w:szCs w:val="28"/>
        </w:rPr>
        <w:t xml:space="preserve">impermissibly </w:t>
      </w:r>
      <w:r w:rsidR="00AB5555" w:rsidRPr="003D540E">
        <w:rPr>
          <w:bCs/>
          <w:sz w:val="28"/>
          <w:szCs w:val="28"/>
        </w:rPr>
        <w:t xml:space="preserve">widen </w:t>
      </w:r>
      <w:r w:rsidR="00394B0F" w:rsidRPr="003D540E">
        <w:rPr>
          <w:bCs/>
          <w:sz w:val="28"/>
          <w:szCs w:val="28"/>
        </w:rPr>
        <w:t>i</w:t>
      </w:r>
      <w:r w:rsidR="00AB5555" w:rsidRPr="003D540E">
        <w:rPr>
          <w:bCs/>
          <w:sz w:val="28"/>
          <w:szCs w:val="28"/>
        </w:rPr>
        <w:t>t</w:t>
      </w:r>
      <w:r w:rsidR="00394B0F" w:rsidRPr="003D540E">
        <w:rPr>
          <w:bCs/>
          <w:sz w:val="28"/>
          <w:szCs w:val="28"/>
        </w:rPr>
        <w:t>s</w:t>
      </w:r>
      <w:r w:rsidR="00AB5555" w:rsidRPr="003D540E">
        <w:rPr>
          <w:bCs/>
          <w:sz w:val="28"/>
          <w:szCs w:val="28"/>
        </w:rPr>
        <w:t xml:space="preserve"> scope</w:t>
      </w:r>
      <w:r w:rsidR="0010206C" w:rsidRPr="003D540E">
        <w:rPr>
          <w:bCs/>
          <w:sz w:val="28"/>
          <w:szCs w:val="28"/>
        </w:rPr>
        <w:t xml:space="preserve">. </w:t>
      </w:r>
      <w:r w:rsidR="006D402D" w:rsidRPr="003D540E">
        <w:rPr>
          <w:bCs/>
          <w:sz w:val="28"/>
          <w:szCs w:val="28"/>
        </w:rPr>
        <w:t xml:space="preserve">On the other hand, </w:t>
      </w:r>
      <w:r w:rsidR="00EA3BAD" w:rsidRPr="003D540E">
        <w:rPr>
          <w:bCs/>
          <w:sz w:val="28"/>
          <w:szCs w:val="28"/>
        </w:rPr>
        <w:t>the registration stage is aimed at ensuring the sanctity of the Trade</w:t>
      </w:r>
      <w:r w:rsidR="00955926" w:rsidRPr="003D540E">
        <w:rPr>
          <w:bCs/>
          <w:sz w:val="28"/>
          <w:szCs w:val="28"/>
        </w:rPr>
        <w:t xml:space="preserve"> M</w:t>
      </w:r>
      <w:r w:rsidR="00EA3BAD" w:rsidRPr="003D540E">
        <w:rPr>
          <w:bCs/>
          <w:sz w:val="28"/>
          <w:szCs w:val="28"/>
        </w:rPr>
        <w:t xml:space="preserve">ark </w:t>
      </w:r>
      <w:r w:rsidR="00735D8E" w:rsidRPr="003D540E">
        <w:rPr>
          <w:bCs/>
          <w:sz w:val="28"/>
          <w:szCs w:val="28"/>
        </w:rPr>
        <w:t>R</w:t>
      </w:r>
      <w:r w:rsidR="00EA3BAD" w:rsidRPr="003D540E">
        <w:rPr>
          <w:bCs/>
          <w:sz w:val="28"/>
          <w:szCs w:val="28"/>
        </w:rPr>
        <w:t>egister</w:t>
      </w:r>
      <w:r w:rsidR="00296CC6" w:rsidRPr="003D540E">
        <w:rPr>
          <w:bCs/>
          <w:sz w:val="28"/>
          <w:szCs w:val="28"/>
        </w:rPr>
        <w:t>, which</w:t>
      </w:r>
      <w:r w:rsidR="009C0FC9" w:rsidRPr="003D540E">
        <w:rPr>
          <w:bCs/>
          <w:sz w:val="28"/>
          <w:szCs w:val="28"/>
        </w:rPr>
        <w:t xml:space="preserve"> </w:t>
      </w:r>
      <w:r w:rsidR="00735D8E" w:rsidRPr="003D540E">
        <w:rPr>
          <w:bCs/>
          <w:sz w:val="28"/>
          <w:szCs w:val="28"/>
        </w:rPr>
        <w:t>should</w:t>
      </w:r>
      <w:r w:rsidR="009C0FC9" w:rsidRPr="003D540E">
        <w:rPr>
          <w:bCs/>
          <w:sz w:val="28"/>
          <w:szCs w:val="28"/>
        </w:rPr>
        <w:t xml:space="preserve"> </w:t>
      </w:r>
      <w:r w:rsidR="00296CC6" w:rsidRPr="003D540E">
        <w:rPr>
          <w:bCs/>
          <w:sz w:val="28"/>
          <w:szCs w:val="28"/>
        </w:rPr>
        <w:t>contain</w:t>
      </w:r>
      <w:r w:rsidR="009C0FC9" w:rsidRPr="003D540E">
        <w:rPr>
          <w:bCs/>
          <w:sz w:val="28"/>
          <w:szCs w:val="28"/>
        </w:rPr>
        <w:t xml:space="preserve"> only distinctive marks.</w:t>
      </w:r>
      <w:r w:rsidR="003F64B0" w:rsidRPr="003D540E">
        <w:rPr>
          <w:rStyle w:val="FootnoteReference"/>
          <w:bCs/>
          <w:sz w:val="28"/>
          <w:szCs w:val="28"/>
        </w:rPr>
        <w:footnoteReference w:id="4"/>
      </w:r>
      <w:r w:rsidR="00EA3BAD" w:rsidRPr="003D540E">
        <w:rPr>
          <w:bCs/>
          <w:sz w:val="28"/>
          <w:szCs w:val="28"/>
        </w:rPr>
        <w:t xml:space="preserve"> </w:t>
      </w:r>
      <w:r w:rsidRPr="003D540E">
        <w:rPr>
          <w:bCs/>
          <w:sz w:val="28"/>
          <w:szCs w:val="28"/>
        </w:rPr>
        <w:t xml:space="preserve">It is also worth noting that only one ground of opposition need </w:t>
      </w:r>
      <w:r w:rsidR="005D61C3" w:rsidRPr="003D540E">
        <w:rPr>
          <w:bCs/>
          <w:sz w:val="28"/>
          <w:szCs w:val="28"/>
        </w:rPr>
        <w:t xml:space="preserve">succeed </w:t>
      </w:r>
      <w:r w:rsidRPr="003D540E">
        <w:rPr>
          <w:bCs/>
          <w:sz w:val="28"/>
          <w:szCs w:val="28"/>
        </w:rPr>
        <w:t xml:space="preserve">for </w:t>
      </w:r>
      <w:r w:rsidR="002D3D31" w:rsidRPr="003D540E">
        <w:rPr>
          <w:bCs/>
          <w:sz w:val="28"/>
          <w:szCs w:val="28"/>
        </w:rPr>
        <w:t xml:space="preserve">registration to be </w:t>
      </w:r>
      <w:r w:rsidR="00F144D5" w:rsidRPr="003D540E">
        <w:rPr>
          <w:bCs/>
          <w:sz w:val="28"/>
          <w:szCs w:val="28"/>
        </w:rPr>
        <w:t xml:space="preserve">prohibited and the application </w:t>
      </w:r>
      <w:r w:rsidRPr="003D540E">
        <w:rPr>
          <w:bCs/>
          <w:sz w:val="28"/>
          <w:szCs w:val="28"/>
        </w:rPr>
        <w:t>dismiss</w:t>
      </w:r>
      <w:r w:rsidR="002D3D31" w:rsidRPr="003D540E">
        <w:rPr>
          <w:bCs/>
          <w:sz w:val="28"/>
          <w:szCs w:val="28"/>
        </w:rPr>
        <w:t>ed</w:t>
      </w:r>
      <w:r w:rsidRPr="003D540E">
        <w:rPr>
          <w:bCs/>
          <w:sz w:val="28"/>
          <w:szCs w:val="28"/>
        </w:rPr>
        <w:t>.</w:t>
      </w:r>
      <w:r w:rsidR="00B414B2" w:rsidRPr="003D540E">
        <w:rPr>
          <w:sz w:val="28"/>
          <w:szCs w:val="28"/>
        </w:rPr>
        <w:t xml:space="preserve"> </w:t>
      </w:r>
      <w:r w:rsidR="0071183C" w:rsidRPr="003D540E">
        <w:rPr>
          <w:bCs/>
          <w:sz w:val="28"/>
          <w:szCs w:val="28"/>
        </w:rPr>
        <w:t xml:space="preserve">There is an overall onus on the applicant for registration to satisfy the court that there is no </w:t>
      </w:r>
      <w:r w:rsidR="00626B01" w:rsidRPr="003D540E">
        <w:rPr>
          <w:bCs/>
          <w:sz w:val="28"/>
          <w:szCs w:val="28"/>
        </w:rPr>
        <w:t xml:space="preserve">bar to registration under the Act. </w:t>
      </w:r>
    </w:p>
    <w:p w14:paraId="443DEA77" w14:textId="77777777" w:rsidR="00F32FFD" w:rsidRPr="003D540E" w:rsidRDefault="00F32FFD" w:rsidP="00F32FFD">
      <w:pPr>
        <w:pStyle w:val="ListParagraph"/>
        <w:ind w:left="0"/>
        <w:rPr>
          <w:sz w:val="28"/>
          <w:szCs w:val="28"/>
        </w:rPr>
      </w:pPr>
    </w:p>
    <w:p w14:paraId="1658C1EE" w14:textId="77777777" w:rsidR="00F32FFD" w:rsidRPr="003D540E" w:rsidRDefault="00F32FFD" w:rsidP="0035563D">
      <w:pPr>
        <w:pStyle w:val="ListParagraph"/>
        <w:numPr>
          <w:ilvl w:val="0"/>
          <w:numId w:val="1"/>
        </w:numPr>
        <w:ind w:left="0"/>
        <w:rPr>
          <w:sz w:val="28"/>
          <w:szCs w:val="28"/>
        </w:rPr>
      </w:pPr>
      <w:r w:rsidRPr="003D540E">
        <w:rPr>
          <w:bCs/>
          <w:sz w:val="28"/>
          <w:szCs w:val="28"/>
        </w:rPr>
        <w:t xml:space="preserve">I </w:t>
      </w:r>
      <w:r w:rsidR="005330C9" w:rsidRPr="003D540E">
        <w:rPr>
          <w:bCs/>
          <w:sz w:val="28"/>
          <w:szCs w:val="28"/>
        </w:rPr>
        <w:t>turn to</w:t>
      </w:r>
      <w:r w:rsidRPr="003D540E">
        <w:rPr>
          <w:bCs/>
          <w:sz w:val="28"/>
          <w:szCs w:val="28"/>
        </w:rPr>
        <w:t xml:space="preserve"> the objection under s 10(17) </w:t>
      </w:r>
      <w:r w:rsidR="00BB33F4" w:rsidRPr="003D540E">
        <w:rPr>
          <w:bCs/>
          <w:sz w:val="28"/>
          <w:szCs w:val="28"/>
        </w:rPr>
        <w:t xml:space="preserve">of the Act </w:t>
      </w:r>
      <w:r w:rsidRPr="003D540E">
        <w:rPr>
          <w:bCs/>
          <w:sz w:val="28"/>
          <w:szCs w:val="28"/>
        </w:rPr>
        <w:t>which pr</w:t>
      </w:r>
      <w:r w:rsidR="00A56CB1" w:rsidRPr="003D540E">
        <w:rPr>
          <w:bCs/>
          <w:sz w:val="28"/>
          <w:szCs w:val="28"/>
        </w:rPr>
        <w:t>ecludes</w:t>
      </w:r>
      <w:r w:rsidRPr="003D540E">
        <w:rPr>
          <w:bCs/>
          <w:sz w:val="28"/>
          <w:szCs w:val="28"/>
        </w:rPr>
        <w:t xml:space="preserve"> registration of:</w:t>
      </w:r>
    </w:p>
    <w:p w14:paraId="6614941C" w14:textId="77777777" w:rsidR="00F32FFD" w:rsidRPr="003D540E" w:rsidRDefault="00F32FFD" w:rsidP="00F32FFD">
      <w:pPr>
        <w:pStyle w:val="ListParagraph"/>
        <w:ind w:left="0"/>
      </w:pPr>
      <w:r w:rsidRPr="003D540E">
        <w:t>‘</w:t>
      </w:r>
      <w:r w:rsidRPr="003D540E">
        <w:rPr>
          <w:bCs/>
        </w:rPr>
        <w:t>a mark which is identical or similar to a trade mark which is already registered and which is well-known in the Republic, if the use of the mark sought to be registered would be likely to take unfair advantage of, or be detrimental to, the distinctive character or the repute of the registered trade mark, notwithstanding the absence of deception or confusion . . .’.</w:t>
      </w:r>
    </w:p>
    <w:p w14:paraId="3E82EF68" w14:textId="77777777" w:rsidR="00F32FFD" w:rsidRPr="003D540E" w:rsidRDefault="000C27C4" w:rsidP="00F32FFD">
      <w:pPr>
        <w:pStyle w:val="ListParagraph"/>
        <w:ind w:left="0"/>
        <w:rPr>
          <w:sz w:val="28"/>
          <w:szCs w:val="28"/>
        </w:rPr>
      </w:pPr>
      <w:r w:rsidRPr="003D540E">
        <w:rPr>
          <w:bCs/>
          <w:sz w:val="28"/>
          <w:szCs w:val="28"/>
        </w:rPr>
        <w:t>Section 10(17) was introduced in 1997 a</w:t>
      </w:r>
      <w:r w:rsidR="00186F19" w:rsidRPr="003D540E">
        <w:rPr>
          <w:bCs/>
          <w:sz w:val="28"/>
          <w:szCs w:val="28"/>
        </w:rPr>
        <w:t>long with s </w:t>
      </w:r>
      <w:r w:rsidR="00F32FFD" w:rsidRPr="003D540E">
        <w:rPr>
          <w:bCs/>
          <w:sz w:val="28"/>
          <w:szCs w:val="28"/>
        </w:rPr>
        <w:t>34(1)</w:t>
      </w:r>
      <w:r w:rsidR="00F32FFD" w:rsidRPr="003D540E">
        <w:rPr>
          <w:bCs/>
          <w:i/>
          <w:iCs/>
          <w:sz w:val="28"/>
          <w:szCs w:val="28"/>
        </w:rPr>
        <w:t>(c)</w:t>
      </w:r>
      <w:r w:rsidR="00F32FFD" w:rsidRPr="003D540E">
        <w:rPr>
          <w:bCs/>
          <w:sz w:val="28"/>
          <w:szCs w:val="28"/>
        </w:rPr>
        <w:t xml:space="preserve"> of the Act</w:t>
      </w:r>
      <w:r w:rsidRPr="003D540E">
        <w:rPr>
          <w:bCs/>
          <w:sz w:val="28"/>
          <w:szCs w:val="28"/>
        </w:rPr>
        <w:t>,</w:t>
      </w:r>
      <w:r w:rsidR="00F32FFD" w:rsidRPr="003D540E">
        <w:rPr>
          <w:bCs/>
          <w:sz w:val="28"/>
          <w:szCs w:val="28"/>
        </w:rPr>
        <w:t xml:space="preserve"> which </w:t>
      </w:r>
      <w:r w:rsidRPr="003D540E">
        <w:rPr>
          <w:bCs/>
          <w:sz w:val="28"/>
          <w:szCs w:val="28"/>
        </w:rPr>
        <w:t xml:space="preserve">is the equivalent section </w:t>
      </w:r>
      <w:r w:rsidR="00F32FFD" w:rsidRPr="003D540E">
        <w:rPr>
          <w:bCs/>
          <w:sz w:val="28"/>
          <w:szCs w:val="28"/>
        </w:rPr>
        <w:t>deal</w:t>
      </w:r>
      <w:r w:rsidRPr="003D540E">
        <w:rPr>
          <w:bCs/>
          <w:sz w:val="28"/>
          <w:szCs w:val="28"/>
        </w:rPr>
        <w:t>ing</w:t>
      </w:r>
      <w:r w:rsidR="00F32FFD" w:rsidRPr="003D540E">
        <w:rPr>
          <w:bCs/>
          <w:sz w:val="28"/>
          <w:szCs w:val="28"/>
        </w:rPr>
        <w:t xml:space="preserve"> with infringement</w:t>
      </w:r>
      <w:r w:rsidR="00E514ED" w:rsidRPr="003D540E">
        <w:rPr>
          <w:bCs/>
          <w:sz w:val="28"/>
          <w:szCs w:val="28"/>
        </w:rPr>
        <w:t>, and provides</w:t>
      </w:r>
      <w:r w:rsidR="00F32FFD" w:rsidRPr="003D540E">
        <w:rPr>
          <w:bCs/>
          <w:sz w:val="28"/>
          <w:szCs w:val="28"/>
        </w:rPr>
        <w:t>:</w:t>
      </w:r>
    </w:p>
    <w:p w14:paraId="17A1EBE7" w14:textId="16D47EA9" w:rsidR="003D232C" w:rsidRPr="003D540E" w:rsidRDefault="00F32FFD" w:rsidP="00F32FFD">
      <w:pPr>
        <w:pStyle w:val="ListParagraph"/>
        <w:ind w:left="0"/>
      </w:pPr>
      <w:r w:rsidRPr="003D540E">
        <w:t>‘(1) The rights acquired by registration of a trade mark shall be infringed by</w:t>
      </w:r>
      <w:r w:rsidR="008F6A7E" w:rsidRPr="003D540E">
        <w:t xml:space="preserve"> </w:t>
      </w:r>
      <w:r w:rsidR="003D232C" w:rsidRPr="003D540E">
        <w:t>–</w:t>
      </w:r>
    </w:p>
    <w:p w14:paraId="3C98666B" w14:textId="77777777" w:rsidR="00F32FFD" w:rsidRPr="003D540E" w:rsidRDefault="00F32FFD" w:rsidP="00F32FFD">
      <w:pPr>
        <w:pStyle w:val="ListParagraph"/>
        <w:ind w:left="0"/>
      </w:pPr>
      <w:r w:rsidRPr="003D540E">
        <w:t> </w:t>
      </w:r>
      <w:bookmarkStart w:id="6" w:name="0-0-0-592033"/>
      <w:bookmarkEnd w:id="6"/>
      <w:r w:rsidRPr="003D540E">
        <w:t>. . .</w:t>
      </w:r>
    </w:p>
    <w:p w14:paraId="3D9DE89E" w14:textId="77777777" w:rsidR="00F32FFD" w:rsidRPr="003D540E" w:rsidRDefault="00F32FFD" w:rsidP="00F32FFD">
      <w:pPr>
        <w:pStyle w:val="ListParagraph"/>
        <w:ind w:left="0"/>
      </w:pPr>
      <w:bookmarkStart w:id="7" w:name="0-0-0-592041"/>
      <w:bookmarkEnd w:id="7"/>
      <w:r w:rsidRPr="003D540E">
        <w:t>   </w:t>
      </w:r>
      <w:r w:rsidRPr="003D540E">
        <w:rPr>
          <w:i/>
          <w:iCs/>
        </w:rPr>
        <w:t>(c)</w:t>
      </w:r>
      <w:r w:rsidRPr="003D540E">
        <w:t>   the unauthorized use in the course of trade in relation to any goods or services of a mark which is identical or similar to a trade mark registered, if such trade mark is well known in the Republic and the use of the said mark would be likely to take unfair advantage of, or be detrimental to, the distinctive character or the repute of the registered trade mark, notwithstanding the absence of confusion or deception . . .’.</w:t>
      </w:r>
    </w:p>
    <w:p w14:paraId="6DF1D5C1" w14:textId="14DD83E5" w:rsidR="00F32FFD" w:rsidRPr="003D540E" w:rsidRDefault="00036F89" w:rsidP="00F32FFD">
      <w:pPr>
        <w:pStyle w:val="ListParagraph"/>
        <w:ind w:left="0"/>
        <w:rPr>
          <w:sz w:val="28"/>
          <w:szCs w:val="28"/>
        </w:rPr>
      </w:pPr>
      <w:r w:rsidRPr="003D540E">
        <w:rPr>
          <w:sz w:val="28"/>
          <w:szCs w:val="28"/>
        </w:rPr>
        <w:lastRenderedPageBreak/>
        <w:t xml:space="preserve">These are known as </w:t>
      </w:r>
      <w:r w:rsidR="005D61C3" w:rsidRPr="003D540E">
        <w:rPr>
          <w:sz w:val="28"/>
          <w:szCs w:val="28"/>
        </w:rPr>
        <w:t xml:space="preserve">the </w:t>
      </w:r>
      <w:r w:rsidRPr="003D540E">
        <w:rPr>
          <w:sz w:val="28"/>
          <w:szCs w:val="28"/>
        </w:rPr>
        <w:t>‘anti-dilution</w:t>
      </w:r>
      <w:r w:rsidR="00970DAE" w:rsidRPr="003D540E">
        <w:rPr>
          <w:sz w:val="28"/>
          <w:szCs w:val="28"/>
        </w:rPr>
        <w:t>’ provisions</w:t>
      </w:r>
      <w:r w:rsidR="00AB35C4" w:rsidRPr="003D540E">
        <w:rPr>
          <w:sz w:val="28"/>
          <w:szCs w:val="28"/>
        </w:rPr>
        <w:t>.</w:t>
      </w:r>
    </w:p>
    <w:p w14:paraId="71A23D94" w14:textId="77777777" w:rsidR="00B414B2" w:rsidRPr="003D540E" w:rsidRDefault="00B414B2" w:rsidP="00B414B2">
      <w:pPr>
        <w:pStyle w:val="ListParagraph"/>
        <w:ind w:left="0"/>
        <w:rPr>
          <w:sz w:val="28"/>
          <w:szCs w:val="28"/>
        </w:rPr>
      </w:pPr>
    </w:p>
    <w:p w14:paraId="78214954" w14:textId="0667CED2" w:rsidR="00E84ECC" w:rsidRPr="003D540E" w:rsidRDefault="00E84ECC" w:rsidP="00E84ECC">
      <w:pPr>
        <w:pStyle w:val="ListParagraph"/>
        <w:numPr>
          <w:ilvl w:val="0"/>
          <w:numId w:val="1"/>
        </w:numPr>
        <w:ind w:left="0"/>
        <w:rPr>
          <w:sz w:val="28"/>
          <w:szCs w:val="28"/>
        </w:rPr>
      </w:pPr>
      <w:r w:rsidRPr="003D540E">
        <w:rPr>
          <w:sz w:val="28"/>
          <w:szCs w:val="28"/>
        </w:rPr>
        <w:t xml:space="preserve">We were not referred to any </w:t>
      </w:r>
      <w:r w:rsidR="005D61C3" w:rsidRPr="003D540E">
        <w:rPr>
          <w:sz w:val="28"/>
          <w:szCs w:val="28"/>
        </w:rPr>
        <w:t>authority</w:t>
      </w:r>
      <w:r w:rsidR="00A3061C" w:rsidRPr="003D540E">
        <w:rPr>
          <w:sz w:val="28"/>
          <w:szCs w:val="28"/>
        </w:rPr>
        <w:t xml:space="preserve">, </w:t>
      </w:r>
      <w:r w:rsidRPr="003D540E">
        <w:rPr>
          <w:sz w:val="28"/>
          <w:szCs w:val="28"/>
        </w:rPr>
        <w:t>which has dealt with the provisions of s 10(17) of the Act. Nor have I found any. There are a number of cases dealing with s 34(1)</w:t>
      </w:r>
      <w:r w:rsidRPr="003D540E">
        <w:rPr>
          <w:i/>
          <w:iCs/>
          <w:sz w:val="28"/>
          <w:szCs w:val="28"/>
        </w:rPr>
        <w:t>(c)</w:t>
      </w:r>
      <w:r w:rsidRPr="003D540E">
        <w:rPr>
          <w:sz w:val="28"/>
          <w:szCs w:val="28"/>
        </w:rPr>
        <w:t xml:space="preserve">. These afford some guidance </w:t>
      </w:r>
      <w:r w:rsidR="005D61C3" w:rsidRPr="003D540E">
        <w:rPr>
          <w:sz w:val="28"/>
          <w:szCs w:val="28"/>
        </w:rPr>
        <w:t xml:space="preserve">as far as the applicable principles are concerned </w:t>
      </w:r>
      <w:r w:rsidRPr="003D540E">
        <w:rPr>
          <w:sz w:val="28"/>
          <w:szCs w:val="28"/>
        </w:rPr>
        <w:t xml:space="preserve">but cannot be applied </w:t>
      </w:r>
      <w:r w:rsidR="00506172" w:rsidRPr="003D540E">
        <w:rPr>
          <w:sz w:val="28"/>
          <w:szCs w:val="28"/>
        </w:rPr>
        <w:t>without more</w:t>
      </w:r>
      <w:r w:rsidRPr="003D540E">
        <w:rPr>
          <w:sz w:val="28"/>
          <w:szCs w:val="28"/>
        </w:rPr>
        <w:t xml:space="preserve">, because the provisions are not entirely on all fours and since they relate to infringement whereas s 10(17) relates to </w:t>
      </w:r>
      <w:r w:rsidR="00506172" w:rsidRPr="003D540E">
        <w:rPr>
          <w:sz w:val="28"/>
          <w:szCs w:val="28"/>
        </w:rPr>
        <w:t xml:space="preserve">the </w:t>
      </w:r>
      <w:r w:rsidRPr="003D540E">
        <w:rPr>
          <w:sz w:val="28"/>
          <w:szCs w:val="28"/>
        </w:rPr>
        <w:t>registration</w:t>
      </w:r>
      <w:r w:rsidR="00506172" w:rsidRPr="003D540E">
        <w:rPr>
          <w:sz w:val="28"/>
          <w:szCs w:val="28"/>
        </w:rPr>
        <w:t xml:space="preserve"> stage</w:t>
      </w:r>
      <w:r w:rsidRPr="003D540E">
        <w:rPr>
          <w:sz w:val="28"/>
          <w:szCs w:val="28"/>
        </w:rPr>
        <w:t>.</w:t>
      </w:r>
      <w:r w:rsidR="005D61C3" w:rsidRPr="003D540E">
        <w:rPr>
          <w:sz w:val="28"/>
          <w:szCs w:val="28"/>
        </w:rPr>
        <w:t xml:space="preserve"> </w:t>
      </w:r>
      <w:r w:rsidR="00A3061C" w:rsidRPr="003D540E">
        <w:rPr>
          <w:sz w:val="28"/>
          <w:szCs w:val="28"/>
        </w:rPr>
        <w:t>What is more, the incidence of the onus in respect of each differs.</w:t>
      </w:r>
    </w:p>
    <w:p w14:paraId="30071161" w14:textId="77777777" w:rsidR="00E84ECC" w:rsidRPr="003D540E" w:rsidRDefault="00E84ECC" w:rsidP="00E84ECC">
      <w:pPr>
        <w:pStyle w:val="ListParagraph"/>
        <w:ind w:left="0"/>
        <w:rPr>
          <w:sz w:val="28"/>
          <w:szCs w:val="28"/>
        </w:rPr>
      </w:pPr>
    </w:p>
    <w:p w14:paraId="1A328571" w14:textId="5CC1B681" w:rsidR="00B414B2" w:rsidRPr="003D540E" w:rsidRDefault="00B414B2" w:rsidP="00B414B2">
      <w:pPr>
        <w:pStyle w:val="ListParagraph"/>
        <w:numPr>
          <w:ilvl w:val="0"/>
          <w:numId w:val="1"/>
        </w:numPr>
        <w:ind w:left="0"/>
        <w:rPr>
          <w:sz w:val="28"/>
          <w:szCs w:val="28"/>
        </w:rPr>
      </w:pPr>
      <w:r w:rsidRPr="003D540E">
        <w:rPr>
          <w:sz w:val="28"/>
          <w:szCs w:val="28"/>
        </w:rPr>
        <w:t xml:space="preserve">In </w:t>
      </w:r>
      <w:r w:rsidR="00DF2CC9" w:rsidRPr="003D540E">
        <w:rPr>
          <w:i/>
          <w:iCs/>
          <w:sz w:val="28"/>
          <w:szCs w:val="28"/>
        </w:rPr>
        <w:t>Laugh It Off Promotions CC v South African Breweries International (Finance) BV t/a SabMark International</w:t>
      </w:r>
      <w:r w:rsidR="005054BF" w:rsidRPr="003D540E">
        <w:rPr>
          <w:i/>
          <w:iCs/>
          <w:sz w:val="28"/>
          <w:szCs w:val="28"/>
        </w:rPr>
        <w:t xml:space="preserve"> </w:t>
      </w:r>
      <w:r w:rsidR="005054BF" w:rsidRPr="003D540E">
        <w:rPr>
          <w:sz w:val="28"/>
          <w:szCs w:val="28"/>
        </w:rPr>
        <w:t>(</w:t>
      </w:r>
      <w:r w:rsidR="005054BF" w:rsidRPr="003D540E">
        <w:rPr>
          <w:i/>
          <w:iCs/>
          <w:sz w:val="28"/>
          <w:szCs w:val="28"/>
        </w:rPr>
        <w:t xml:space="preserve">Laugh It Off </w:t>
      </w:r>
      <w:r w:rsidR="005054BF" w:rsidRPr="003D540E">
        <w:rPr>
          <w:sz w:val="28"/>
          <w:szCs w:val="28"/>
        </w:rPr>
        <w:t>SCA)</w:t>
      </w:r>
      <w:r w:rsidRPr="003D540E">
        <w:rPr>
          <w:sz w:val="28"/>
          <w:szCs w:val="28"/>
        </w:rPr>
        <w:t xml:space="preserve">, Harms JA </w:t>
      </w:r>
      <w:r w:rsidR="00E84ECC" w:rsidRPr="003D540E">
        <w:rPr>
          <w:sz w:val="28"/>
          <w:szCs w:val="28"/>
        </w:rPr>
        <w:t>listed</w:t>
      </w:r>
      <w:r w:rsidRPr="003D540E">
        <w:rPr>
          <w:sz w:val="28"/>
          <w:szCs w:val="28"/>
        </w:rPr>
        <w:t xml:space="preserve"> the requirements for </w:t>
      </w:r>
      <w:r w:rsidR="00641C3D" w:rsidRPr="003D540E">
        <w:rPr>
          <w:sz w:val="28"/>
          <w:szCs w:val="28"/>
        </w:rPr>
        <w:t xml:space="preserve">proceedings under </w:t>
      </w:r>
      <w:r w:rsidRPr="003D540E">
        <w:rPr>
          <w:sz w:val="28"/>
          <w:szCs w:val="28"/>
        </w:rPr>
        <w:t>s 34(1)</w:t>
      </w:r>
      <w:r w:rsidRPr="003D540E">
        <w:rPr>
          <w:i/>
          <w:iCs/>
          <w:sz w:val="28"/>
          <w:szCs w:val="28"/>
        </w:rPr>
        <w:t>(c)</w:t>
      </w:r>
      <w:r w:rsidRPr="003D540E">
        <w:rPr>
          <w:sz w:val="28"/>
          <w:szCs w:val="28"/>
        </w:rPr>
        <w:t>:</w:t>
      </w:r>
    </w:p>
    <w:p w14:paraId="1F35F34E" w14:textId="77777777" w:rsidR="00B414B2" w:rsidRPr="003D540E" w:rsidRDefault="00B414B2" w:rsidP="00B414B2">
      <w:pPr>
        <w:pStyle w:val="ListParagraph"/>
        <w:ind w:left="0"/>
      </w:pPr>
      <w:r w:rsidRPr="003D540E">
        <w:t>‘In order to establish infringement, the owner of the trademark must establish:</w:t>
      </w:r>
    </w:p>
    <w:p w14:paraId="73C3B41A" w14:textId="77777777" w:rsidR="00B414B2" w:rsidRPr="003D540E" w:rsidRDefault="00B414B2" w:rsidP="00B414B2">
      <w:pPr>
        <w:pStyle w:val="ListParagraph"/>
        <w:ind w:left="0"/>
      </w:pPr>
      <w:r w:rsidRPr="003D540E">
        <w:rPr>
          <w:i/>
          <w:iCs/>
        </w:rPr>
        <w:t>(a)</w:t>
      </w:r>
      <w:r w:rsidRPr="003D540E">
        <w:t>   the unauthorised use by the defendant of a mark</w:t>
      </w:r>
    </w:p>
    <w:p w14:paraId="35E12F33" w14:textId="77777777" w:rsidR="00B414B2" w:rsidRPr="003D540E" w:rsidRDefault="00B414B2" w:rsidP="00B414B2">
      <w:pPr>
        <w:pStyle w:val="ListParagraph"/>
        <w:ind w:left="0"/>
      </w:pPr>
      <w:r w:rsidRPr="003D540E">
        <w:rPr>
          <w:i/>
          <w:iCs/>
        </w:rPr>
        <w:t>(b)</w:t>
      </w:r>
      <w:r w:rsidRPr="003D540E">
        <w:t>   in the course of trade </w:t>
      </w:r>
    </w:p>
    <w:p w14:paraId="1ADC84C8" w14:textId="77777777" w:rsidR="00B414B2" w:rsidRPr="003D540E" w:rsidRDefault="00B414B2" w:rsidP="00B414B2">
      <w:pPr>
        <w:pStyle w:val="ListParagraph"/>
        <w:ind w:left="0"/>
      </w:pPr>
      <w:r w:rsidRPr="003D540E">
        <w:rPr>
          <w:i/>
          <w:iCs/>
        </w:rPr>
        <w:t>(c)</w:t>
      </w:r>
      <w:r w:rsidRPr="003D540E">
        <w:t>   in relation to any goods or services</w:t>
      </w:r>
    </w:p>
    <w:p w14:paraId="18DEAA8D" w14:textId="77777777" w:rsidR="00B414B2" w:rsidRPr="003D540E" w:rsidRDefault="00B414B2" w:rsidP="00B414B2">
      <w:pPr>
        <w:pStyle w:val="ListParagraph"/>
        <w:ind w:left="0"/>
      </w:pPr>
      <w:r w:rsidRPr="003D540E">
        <w:rPr>
          <w:i/>
          <w:iCs/>
        </w:rPr>
        <w:t>(d)</w:t>
      </w:r>
      <w:r w:rsidRPr="003D540E">
        <w:t>   the mark must be identical or similar to a registered trademark</w:t>
      </w:r>
    </w:p>
    <w:p w14:paraId="3141980C" w14:textId="77777777" w:rsidR="00B414B2" w:rsidRPr="003D540E" w:rsidRDefault="00B414B2" w:rsidP="00B414B2">
      <w:pPr>
        <w:pStyle w:val="ListParagraph"/>
        <w:ind w:left="0"/>
      </w:pPr>
      <w:r w:rsidRPr="003D540E">
        <w:rPr>
          <w:i/>
          <w:iCs/>
        </w:rPr>
        <w:t>(e)</w:t>
      </w:r>
      <w:r w:rsidRPr="003D540E">
        <w:t>   the trademark must be well known in the Republic, and</w:t>
      </w:r>
    </w:p>
    <w:p w14:paraId="3C72E05F" w14:textId="77777777" w:rsidR="00B414B2" w:rsidRPr="003D540E" w:rsidRDefault="00B414B2" w:rsidP="00B414B2">
      <w:pPr>
        <w:pStyle w:val="ListParagraph"/>
        <w:ind w:left="0"/>
      </w:pPr>
      <w:r w:rsidRPr="003D540E">
        <w:rPr>
          <w:i/>
          <w:iCs/>
        </w:rPr>
        <w:t>(f)</w:t>
      </w:r>
      <w:r w:rsidRPr="003D540E">
        <w:t>   the use of the defendant's mark would be likely to take unfair advantage of, or be detrimental to, the distinctive character or the repute of the registered trademark.’</w:t>
      </w:r>
      <w:r w:rsidRPr="003D540E">
        <w:rPr>
          <w:rStyle w:val="FootnoteReference"/>
        </w:rPr>
        <w:footnoteReference w:id="5"/>
      </w:r>
    </w:p>
    <w:p w14:paraId="1E167873" w14:textId="65DF9A71" w:rsidR="00DF2CC9" w:rsidRPr="003D540E" w:rsidRDefault="00B414B2" w:rsidP="00B414B2">
      <w:pPr>
        <w:pStyle w:val="ListParagraph"/>
        <w:ind w:left="0"/>
        <w:rPr>
          <w:sz w:val="28"/>
          <w:szCs w:val="28"/>
        </w:rPr>
      </w:pPr>
      <w:r w:rsidRPr="003D540E">
        <w:rPr>
          <w:sz w:val="28"/>
          <w:szCs w:val="28"/>
        </w:rPr>
        <w:t xml:space="preserve">Of these, the first three are </w:t>
      </w:r>
      <w:r w:rsidR="00F21EA4" w:rsidRPr="003D540E">
        <w:rPr>
          <w:sz w:val="28"/>
          <w:szCs w:val="28"/>
        </w:rPr>
        <w:t xml:space="preserve">not </w:t>
      </w:r>
      <w:r w:rsidR="00A3061C" w:rsidRPr="003D540E">
        <w:rPr>
          <w:sz w:val="28"/>
          <w:szCs w:val="28"/>
        </w:rPr>
        <w:t xml:space="preserve">in </w:t>
      </w:r>
      <w:r w:rsidRPr="003D540E">
        <w:rPr>
          <w:sz w:val="28"/>
          <w:szCs w:val="28"/>
        </w:rPr>
        <w:t xml:space="preserve">dispute. </w:t>
      </w:r>
    </w:p>
    <w:p w14:paraId="5F17A8BF" w14:textId="77777777" w:rsidR="00DF2CC9" w:rsidRPr="003D540E" w:rsidRDefault="00DF2CC9" w:rsidP="00DF2CC9">
      <w:pPr>
        <w:pStyle w:val="ListParagraph"/>
        <w:ind w:left="0"/>
        <w:rPr>
          <w:sz w:val="28"/>
          <w:szCs w:val="28"/>
        </w:rPr>
      </w:pPr>
    </w:p>
    <w:p w14:paraId="29B1807A" w14:textId="5CB14AA8" w:rsidR="00DF2CC9" w:rsidRPr="003D540E" w:rsidRDefault="00E72812" w:rsidP="00DF2CC9">
      <w:pPr>
        <w:pStyle w:val="ListParagraph"/>
        <w:numPr>
          <w:ilvl w:val="0"/>
          <w:numId w:val="1"/>
        </w:numPr>
        <w:ind w:left="0"/>
        <w:rPr>
          <w:sz w:val="28"/>
          <w:szCs w:val="28"/>
        </w:rPr>
      </w:pPr>
      <w:r w:rsidRPr="003D540E">
        <w:rPr>
          <w:bCs/>
          <w:sz w:val="28"/>
          <w:szCs w:val="28"/>
        </w:rPr>
        <w:lastRenderedPageBreak/>
        <w:t xml:space="preserve">I will turn to item </w:t>
      </w:r>
      <w:r w:rsidRPr="003D540E">
        <w:rPr>
          <w:bCs/>
          <w:i/>
          <w:iCs/>
          <w:sz w:val="28"/>
          <w:szCs w:val="28"/>
        </w:rPr>
        <w:t>(d)</w:t>
      </w:r>
      <w:r w:rsidRPr="003D540E">
        <w:rPr>
          <w:bCs/>
          <w:sz w:val="28"/>
          <w:szCs w:val="28"/>
        </w:rPr>
        <w:t xml:space="preserve"> presently. </w:t>
      </w:r>
      <w:r w:rsidR="00DF2CC9" w:rsidRPr="003D540E">
        <w:rPr>
          <w:bCs/>
          <w:sz w:val="28"/>
          <w:szCs w:val="28"/>
        </w:rPr>
        <w:t xml:space="preserve">In support of its contention that item </w:t>
      </w:r>
      <w:r w:rsidR="00DF2CC9" w:rsidRPr="003D540E">
        <w:rPr>
          <w:bCs/>
          <w:i/>
          <w:iCs/>
          <w:sz w:val="28"/>
          <w:szCs w:val="28"/>
        </w:rPr>
        <w:t>(e)</w:t>
      </w:r>
      <w:r w:rsidR="00DF2CC9" w:rsidRPr="003D540E">
        <w:rPr>
          <w:bCs/>
          <w:sz w:val="28"/>
          <w:szCs w:val="28"/>
        </w:rPr>
        <w:t xml:space="preserve"> was satisfied, National Brands made the point that, for a period of 58 years, it was the only proprietor of a mark </w:t>
      </w:r>
      <w:r w:rsidR="00641C3D" w:rsidRPr="003D540E">
        <w:rPr>
          <w:bCs/>
          <w:sz w:val="28"/>
          <w:szCs w:val="28"/>
        </w:rPr>
        <w:t xml:space="preserve">which </w:t>
      </w:r>
      <w:r w:rsidR="00DF2CC9" w:rsidRPr="003D540E">
        <w:rPr>
          <w:bCs/>
          <w:sz w:val="28"/>
          <w:szCs w:val="28"/>
        </w:rPr>
        <w:t>includ</w:t>
      </w:r>
      <w:r w:rsidR="00641C3D" w:rsidRPr="003D540E">
        <w:rPr>
          <w:bCs/>
          <w:sz w:val="28"/>
          <w:szCs w:val="28"/>
        </w:rPr>
        <w:t>ed</w:t>
      </w:r>
      <w:r w:rsidR="00DF2CC9" w:rsidRPr="003D540E">
        <w:rPr>
          <w:bCs/>
          <w:sz w:val="28"/>
          <w:szCs w:val="28"/>
        </w:rPr>
        <w:t xml:space="preserve"> </w:t>
      </w:r>
      <w:r w:rsidR="00A3061C" w:rsidRPr="003D540E">
        <w:rPr>
          <w:bCs/>
          <w:sz w:val="28"/>
          <w:szCs w:val="28"/>
        </w:rPr>
        <w:t>the expression ‘</w:t>
      </w:r>
      <w:r w:rsidR="00DF2CC9" w:rsidRPr="003D540E">
        <w:rPr>
          <w:bCs/>
          <w:sz w:val="28"/>
          <w:szCs w:val="28"/>
        </w:rPr>
        <w:t>CRAX</w:t>
      </w:r>
      <w:r w:rsidR="00A3061C" w:rsidRPr="003D540E">
        <w:rPr>
          <w:bCs/>
          <w:sz w:val="28"/>
          <w:szCs w:val="28"/>
        </w:rPr>
        <w:t>’ in any guise or form</w:t>
      </w:r>
      <w:r w:rsidR="00DF2CC9" w:rsidRPr="003D540E">
        <w:rPr>
          <w:bCs/>
          <w:sz w:val="28"/>
          <w:szCs w:val="28"/>
        </w:rPr>
        <w:t xml:space="preserve"> in class 30. At the time of the application</w:t>
      </w:r>
      <w:r w:rsidR="003A0BCF" w:rsidRPr="003D540E">
        <w:rPr>
          <w:bCs/>
          <w:sz w:val="28"/>
          <w:szCs w:val="28"/>
        </w:rPr>
        <w:t xml:space="preserve"> </w:t>
      </w:r>
      <w:r w:rsidR="00A3061C" w:rsidRPr="003D540E">
        <w:rPr>
          <w:bCs/>
          <w:sz w:val="28"/>
          <w:szCs w:val="28"/>
        </w:rPr>
        <w:t xml:space="preserve">by Cape Cookies </w:t>
      </w:r>
      <w:r w:rsidR="003A0BCF" w:rsidRPr="003D540E">
        <w:rPr>
          <w:bCs/>
          <w:sz w:val="28"/>
          <w:szCs w:val="28"/>
        </w:rPr>
        <w:t xml:space="preserve">for </w:t>
      </w:r>
      <w:r w:rsidR="00A3061C" w:rsidRPr="003D540E">
        <w:rPr>
          <w:bCs/>
          <w:sz w:val="28"/>
          <w:szCs w:val="28"/>
        </w:rPr>
        <w:t xml:space="preserve">the </w:t>
      </w:r>
      <w:r w:rsidR="003A0BCF" w:rsidRPr="003D540E">
        <w:rPr>
          <w:bCs/>
          <w:sz w:val="28"/>
          <w:szCs w:val="28"/>
        </w:rPr>
        <w:t>registration</w:t>
      </w:r>
      <w:r w:rsidR="00A3061C" w:rsidRPr="003D540E">
        <w:rPr>
          <w:bCs/>
          <w:sz w:val="28"/>
          <w:szCs w:val="28"/>
        </w:rPr>
        <w:t xml:space="preserve"> of SNACKCRAX</w:t>
      </w:r>
      <w:r w:rsidR="00DF2CC9" w:rsidRPr="003D540E">
        <w:rPr>
          <w:bCs/>
          <w:sz w:val="28"/>
          <w:szCs w:val="28"/>
        </w:rPr>
        <w:t>, there were three such marks appearing in the Trade Marks Register: SALTICRAX, Cape Cookies’ VITACRAX and trade mark registration no. 2009/24890</w:t>
      </w:r>
      <w:r w:rsidRPr="003D540E">
        <w:rPr>
          <w:bCs/>
          <w:sz w:val="28"/>
          <w:szCs w:val="28"/>
        </w:rPr>
        <w:t>,</w:t>
      </w:r>
      <w:r w:rsidR="00DF2CC9" w:rsidRPr="003D540E">
        <w:rPr>
          <w:bCs/>
          <w:sz w:val="28"/>
          <w:szCs w:val="28"/>
        </w:rPr>
        <w:t xml:space="preserve"> ETI CRAX</w:t>
      </w:r>
      <w:r w:rsidRPr="003D540E">
        <w:rPr>
          <w:bCs/>
          <w:sz w:val="28"/>
          <w:szCs w:val="28"/>
        </w:rPr>
        <w:t>,</w:t>
      </w:r>
      <w:r w:rsidR="00DF2CC9" w:rsidRPr="003D540E">
        <w:rPr>
          <w:bCs/>
          <w:sz w:val="28"/>
          <w:szCs w:val="28"/>
        </w:rPr>
        <w:t xml:space="preserve"> in the name of a third party who, when requested by National Brands to cancel the registration, did so. Cape Cookies were also requested to cancel the VITACRAX mark and refused, leading to the Cape </w:t>
      </w:r>
      <w:r w:rsidR="00B1496A" w:rsidRPr="003D540E">
        <w:rPr>
          <w:bCs/>
          <w:sz w:val="28"/>
          <w:szCs w:val="28"/>
        </w:rPr>
        <w:t>litigation</w:t>
      </w:r>
      <w:r w:rsidR="00DF2CC9" w:rsidRPr="003D540E">
        <w:rPr>
          <w:bCs/>
          <w:sz w:val="28"/>
          <w:szCs w:val="28"/>
        </w:rPr>
        <w:t>.</w:t>
      </w:r>
    </w:p>
    <w:p w14:paraId="199AA10A" w14:textId="77777777" w:rsidR="00DF2CC9" w:rsidRPr="003D540E" w:rsidRDefault="00DF2CC9" w:rsidP="00DF2CC9">
      <w:pPr>
        <w:pStyle w:val="ListParagraph"/>
        <w:ind w:left="0"/>
        <w:rPr>
          <w:sz w:val="28"/>
          <w:szCs w:val="28"/>
        </w:rPr>
      </w:pPr>
    </w:p>
    <w:p w14:paraId="5C20B281" w14:textId="77777777" w:rsidR="00DF2CC9" w:rsidRPr="003D540E" w:rsidRDefault="00DF2CC9" w:rsidP="00DF2CC9">
      <w:pPr>
        <w:pStyle w:val="ListParagraph"/>
        <w:numPr>
          <w:ilvl w:val="0"/>
          <w:numId w:val="1"/>
        </w:numPr>
        <w:ind w:left="0"/>
        <w:rPr>
          <w:sz w:val="28"/>
          <w:szCs w:val="28"/>
        </w:rPr>
      </w:pPr>
      <w:r w:rsidRPr="003D540E">
        <w:rPr>
          <w:bCs/>
          <w:sz w:val="28"/>
          <w:szCs w:val="28"/>
        </w:rPr>
        <w:t xml:space="preserve">National Brands gave detailed, unchallenged, evidence of the reputation and goodwill of the SALTICRAX brand. </w:t>
      </w:r>
      <w:r w:rsidR="00DD426D" w:rsidRPr="003D540E">
        <w:rPr>
          <w:bCs/>
          <w:sz w:val="28"/>
          <w:szCs w:val="28"/>
        </w:rPr>
        <w:t xml:space="preserve">It is sold through </w:t>
      </w:r>
      <w:r w:rsidR="00B1496A" w:rsidRPr="003D540E">
        <w:rPr>
          <w:bCs/>
          <w:sz w:val="28"/>
          <w:szCs w:val="28"/>
        </w:rPr>
        <w:t>more than</w:t>
      </w:r>
      <w:r w:rsidR="00CA582F" w:rsidRPr="003D540E">
        <w:rPr>
          <w:bCs/>
          <w:sz w:val="28"/>
          <w:szCs w:val="28"/>
        </w:rPr>
        <w:t xml:space="preserve"> 2095 </w:t>
      </w:r>
      <w:r w:rsidR="00DD426D" w:rsidRPr="003D540E">
        <w:rPr>
          <w:bCs/>
          <w:sz w:val="28"/>
          <w:szCs w:val="28"/>
        </w:rPr>
        <w:t xml:space="preserve">retail </w:t>
      </w:r>
      <w:r w:rsidR="00CA582F" w:rsidRPr="003D540E">
        <w:rPr>
          <w:bCs/>
          <w:sz w:val="28"/>
          <w:szCs w:val="28"/>
        </w:rPr>
        <w:t>stores</w:t>
      </w:r>
      <w:r w:rsidR="004150C9" w:rsidRPr="003D540E">
        <w:rPr>
          <w:bCs/>
          <w:sz w:val="28"/>
          <w:szCs w:val="28"/>
        </w:rPr>
        <w:t xml:space="preserve"> in South Africa. </w:t>
      </w:r>
      <w:r w:rsidR="00CB3CBC" w:rsidRPr="003D540E">
        <w:rPr>
          <w:bCs/>
          <w:sz w:val="28"/>
          <w:szCs w:val="28"/>
        </w:rPr>
        <w:t xml:space="preserve">It is also sold at </w:t>
      </w:r>
      <w:r w:rsidR="009B76AC" w:rsidRPr="003D540E">
        <w:rPr>
          <w:bCs/>
          <w:sz w:val="28"/>
          <w:szCs w:val="28"/>
        </w:rPr>
        <w:t>over</w:t>
      </w:r>
      <w:r w:rsidR="00CB3CBC" w:rsidRPr="003D540E">
        <w:rPr>
          <w:bCs/>
          <w:sz w:val="28"/>
          <w:szCs w:val="28"/>
        </w:rPr>
        <w:t xml:space="preserve"> 270</w:t>
      </w:r>
      <w:r w:rsidR="000E7130" w:rsidRPr="003D540E">
        <w:rPr>
          <w:bCs/>
          <w:sz w:val="28"/>
          <w:szCs w:val="28"/>
        </w:rPr>
        <w:t xml:space="preserve"> convenience stores located at </w:t>
      </w:r>
      <w:r w:rsidR="00B57957" w:rsidRPr="003D540E">
        <w:rPr>
          <w:bCs/>
          <w:sz w:val="28"/>
          <w:szCs w:val="28"/>
        </w:rPr>
        <w:t>the major South African fuel stations</w:t>
      </w:r>
      <w:r w:rsidR="00DD426D" w:rsidRPr="003D540E">
        <w:rPr>
          <w:bCs/>
          <w:sz w:val="28"/>
          <w:szCs w:val="28"/>
        </w:rPr>
        <w:t>. It is sold in at least ten countries in Africa</w:t>
      </w:r>
      <w:r w:rsidR="00951E7C" w:rsidRPr="003D540E">
        <w:rPr>
          <w:bCs/>
          <w:sz w:val="28"/>
          <w:szCs w:val="28"/>
        </w:rPr>
        <w:t xml:space="preserve"> as well as in the United Kingdom</w:t>
      </w:r>
      <w:r w:rsidR="00D21455" w:rsidRPr="003D540E">
        <w:rPr>
          <w:bCs/>
          <w:sz w:val="28"/>
          <w:szCs w:val="28"/>
        </w:rPr>
        <w:t>,</w:t>
      </w:r>
      <w:r w:rsidR="00951E7C" w:rsidRPr="003D540E">
        <w:rPr>
          <w:bCs/>
          <w:sz w:val="28"/>
          <w:szCs w:val="28"/>
        </w:rPr>
        <w:t xml:space="preserve"> the United States of America and </w:t>
      </w:r>
      <w:r w:rsidR="000E7130" w:rsidRPr="003D540E">
        <w:rPr>
          <w:bCs/>
          <w:sz w:val="28"/>
          <w:szCs w:val="28"/>
        </w:rPr>
        <w:t xml:space="preserve">Australia. </w:t>
      </w:r>
      <w:r w:rsidRPr="003D540E">
        <w:rPr>
          <w:bCs/>
          <w:sz w:val="28"/>
          <w:szCs w:val="28"/>
        </w:rPr>
        <w:t xml:space="preserve">Through its Snackworks division, </w:t>
      </w:r>
      <w:r w:rsidR="00D21455" w:rsidRPr="003D540E">
        <w:rPr>
          <w:bCs/>
          <w:sz w:val="28"/>
          <w:szCs w:val="28"/>
        </w:rPr>
        <w:t xml:space="preserve">National Brands </w:t>
      </w:r>
      <w:r w:rsidRPr="003D540E">
        <w:rPr>
          <w:bCs/>
          <w:sz w:val="28"/>
          <w:szCs w:val="28"/>
        </w:rPr>
        <w:t xml:space="preserve">held a total of 66.7 percent of the savoury biscuit market in 2012, with SALTICRAX biscuits </w:t>
      </w:r>
      <w:r w:rsidR="009B76AC" w:rsidRPr="003D540E">
        <w:rPr>
          <w:bCs/>
          <w:sz w:val="28"/>
          <w:szCs w:val="28"/>
        </w:rPr>
        <w:t xml:space="preserve">alone </w:t>
      </w:r>
      <w:r w:rsidRPr="003D540E">
        <w:rPr>
          <w:bCs/>
          <w:sz w:val="28"/>
          <w:szCs w:val="28"/>
        </w:rPr>
        <w:t xml:space="preserve">accounting for 14.8 percent. In 2013, the percentages were 66.2 and 14.9 and in 2014, they were 66.9 and 13.7 respectively. In addition, nett sales </w:t>
      </w:r>
      <w:r w:rsidR="001A40D6" w:rsidRPr="003D540E">
        <w:rPr>
          <w:bCs/>
          <w:sz w:val="28"/>
          <w:szCs w:val="28"/>
        </w:rPr>
        <w:t xml:space="preserve">of SALTICRAX </w:t>
      </w:r>
      <w:r w:rsidRPr="003D540E">
        <w:rPr>
          <w:bCs/>
          <w:sz w:val="28"/>
          <w:szCs w:val="28"/>
        </w:rPr>
        <w:t xml:space="preserve">for the period from </w:t>
      </w:r>
      <w:r w:rsidR="001A40D6" w:rsidRPr="003D540E">
        <w:rPr>
          <w:bCs/>
          <w:sz w:val="28"/>
          <w:szCs w:val="28"/>
        </w:rPr>
        <w:t>199</w:t>
      </w:r>
      <w:r w:rsidRPr="003D540E">
        <w:rPr>
          <w:bCs/>
          <w:sz w:val="28"/>
          <w:szCs w:val="28"/>
        </w:rPr>
        <w:t xml:space="preserve">9 to 2014 totalled </w:t>
      </w:r>
      <w:r w:rsidR="001A40D6" w:rsidRPr="003D540E">
        <w:rPr>
          <w:bCs/>
          <w:sz w:val="28"/>
          <w:szCs w:val="28"/>
        </w:rPr>
        <w:t xml:space="preserve">some </w:t>
      </w:r>
      <w:r w:rsidRPr="003D540E">
        <w:rPr>
          <w:bCs/>
          <w:sz w:val="28"/>
          <w:szCs w:val="28"/>
        </w:rPr>
        <w:t xml:space="preserve">R671 million. </w:t>
      </w:r>
      <w:r w:rsidR="001A40D6" w:rsidRPr="003D540E">
        <w:rPr>
          <w:bCs/>
          <w:sz w:val="28"/>
          <w:szCs w:val="28"/>
        </w:rPr>
        <w:t>Between</w:t>
      </w:r>
      <w:r w:rsidR="00263CB9" w:rsidRPr="003D540E">
        <w:rPr>
          <w:bCs/>
          <w:sz w:val="28"/>
          <w:szCs w:val="28"/>
        </w:rPr>
        <w:t xml:space="preserve"> 1994 and 2009, National Brands spent more than R11 million in advertising SALTICRAX.</w:t>
      </w:r>
    </w:p>
    <w:p w14:paraId="6D6CEFB4" w14:textId="77777777" w:rsidR="00DF2CC9" w:rsidRPr="003D540E" w:rsidRDefault="00DF2CC9" w:rsidP="00DF2CC9">
      <w:pPr>
        <w:pStyle w:val="ListParagraph"/>
        <w:ind w:left="0"/>
        <w:rPr>
          <w:sz w:val="28"/>
          <w:szCs w:val="28"/>
        </w:rPr>
      </w:pPr>
    </w:p>
    <w:p w14:paraId="0734BB5D" w14:textId="31E994AA" w:rsidR="00B414B2" w:rsidRPr="003D540E" w:rsidRDefault="00B414B2" w:rsidP="00B414B2">
      <w:pPr>
        <w:pStyle w:val="ListParagraph"/>
        <w:numPr>
          <w:ilvl w:val="0"/>
          <w:numId w:val="1"/>
        </w:numPr>
        <w:ind w:left="0"/>
        <w:rPr>
          <w:sz w:val="28"/>
          <w:szCs w:val="28"/>
        </w:rPr>
      </w:pPr>
      <w:r w:rsidRPr="003D540E">
        <w:rPr>
          <w:sz w:val="28"/>
          <w:szCs w:val="28"/>
        </w:rPr>
        <w:t xml:space="preserve">In argument it was conceded that the trademark SALTICRAX is well known in South Africa. </w:t>
      </w:r>
      <w:r w:rsidR="00DF2CC9" w:rsidRPr="003D540E">
        <w:rPr>
          <w:bCs/>
          <w:sz w:val="28"/>
          <w:szCs w:val="28"/>
        </w:rPr>
        <w:t xml:space="preserve">The high court </w:t>
      </w:r>
      <w:r w:rsidR="00CF7BA5" w:rsidRPr="003D540E">
        <w:rPr>
          <w:bCs/>
          <w:sz w:val="28"/>
          <w:szCs w:val="28"/>
        </w:rPr>
        <w:t>found</w:t>
      </w:r>
      <w:r w:rsidR="00DF2CC9" w:rsidRPr="003D540E">
        <w:rPr>
          <w:bCs/>
          <w:sz w:val="28"/>
          <w:szCs w:val="28"/>
        </w:rPr>
        <w:t xml:space="preserve"> that the SALTICRAX trade</w:t>
      </w:r>
      <w:r w:rsidR="00CF7BA5" w:rsidRPr="003D540E">
        <w:rPr>
          <w:bCs/>
          <w:sz w:val="28"/>
          <w:szCs w:val="28"/>
        </w:rPr>
        <w:t xml:space="preserve"> </w:t>
      </w:r>
      <w:r w:rsidR="00DF2CC9" w:rsidRPr="003D540E">
        <w:rPr>
          <w:bCs/>
          <w:sz w:val="28"/>
          <w:szCs w:val="28"/>
        </w:rPr>
        <w:t xml:space="preserve">mark enjoyed a significant reputation and goodwill. </w:t>
      </w:r>
      <w:r w:rsidR="00CF7BA5" w:rsidRPr="003D540E">
        <w:rPr>
          <w:bCs/>
          <w:sz w:val="28"/>
          <w:szCs w:val="28"/>
        </w:rPr>
        <w:t>T</w:t>
      </w:r>
      <w:r w:rsidR="00DF2CC9" w:rsidRPr="003D540E">
        <w:rPr>
          <w:bCs/>
          <w:sz w:val="28"/>
          <w:szCs w:val="28"/>
        </w:rPr>
        <w:t xml:space="preserve">his finding is now unchallenged. </w:t>
      </w:r>
      <w:r w:rsidR="00E72812" w:rsidRPr="003D540E">
        <w:rPr>
          <w:bCs/>
          <w:sz w:val="28"/>
          <w:szCs w:val="28"/>
        </w:rPr>
        <w:t xml:space="preserve">This means that like items </w:t>
      </w:r>
      <w:r w:rsidR="00E72812" w:rsidRPr="003D540E">
        <w:rPr>
          <w:bCs/>
          <w:i/>
          <w:iCs/>
          <w:sz w:val="28"/>
          <w:szCs w:val="28"/>
        </w:rPr>
        <w:t xml:space="preserve">(a) </w:t>
      </w:r>
      <w:r w:rsidR="00E72812" w:rsidRPr="003D540E">
        <w:rPr>
          <w:bCs/>
          <w:sz w:val="28"/>
          <w:szCs w:val="28"/>
        </w:rPr>
        <w:t xml:space="preserve">to </w:t>
      </w:r>
      <w:r w:rsidR="00E72812" w:rsidRPr="003D540E">
        <w:rPr>
          <w:bCs/>
          <w:i/>
          <w:iCs/>
          <w:sz w:val="28"/>
          <w:szCs w:val="28"/>
        </w:rPr>
        <w:t>(c)</w:t>
      </w:r>
      <w:r w:rsidR="00E72812" w:rsidRPr="003D540E">
        <w:rPr>
          <w:bCs/>
          <w:sz w:val="28"/>
          <w:szCs w:val="28"/>
        </w:rPr>
        <w:t xml:space="preserve">, item </w:t>
      </w:r>
      <w:r w:rsidR="00E72812" w:rsidRPr="003D540E">
        <w:rPr>
          <w:bCs/>
          <w:i/>
          <w:iCs/>
          <w:sz w:val="28"/>
          <w:szCs w:val="28"/>
        </w:rPr>
        <w:t xml:space="preserve">(e) </w:t>
      </w:r>
      <w:r w:rsidR="00E72812" w:rsidRPr="003D540E">
        <w:rPr>
          <w:bCs/>
          <w:sz w:val="28"/>
          <w:szCs w:val="28"/>
        </w:rPr>
        <w:t xml:space="preserve">has also been met. </w:t>
      </w:r>
      <w:r w:rsidRPr="003D540E">
        <w:rPr>
          <w:sz w:val="28"/>
          <w:szCs w:val="28"/>
        </w:rPr>
        <w:t xml:space="preserve">It is items </w:t>
      </w:r>
      <w:r w:rsidRPr="003D540E">
        <w:rPr>
          <w:i/>
          <w:iCs/>
          <w:sz w:val="28"/>
          <w:szCs w:val="28"/>
        </w:rPr>
        <w:t>(d)</w:t>
      </w:r>
      <w:r w:rsidRPr="003D540E">
        <w:rPr>
          <w:sz w:val="28"/>
          <w:szCs w:val="28"/>
        </w:rPr>
        <w:t xml:space="preserve"> and </w:t>
      </w:r>
      <w:r w:rsidRPr="003D540E">
        <w:rPr>
          <w:i/>
          <w:iCs/>
          <w:sz w:val="28"/>
          <w:szCs w:val="28"/>
        </w:rPr>
        <w:t>(f)</w:t>
      </w:r>
      <w:r w:rsidRPr="003D540E">
        <w:rPr>
          <w:sz w:val="28"/>
          <w:szCs w:val="28"/>
        </w:rPr>
        <w:t xml:space="preserve"> which must accordingly be considered.</w:t>
      </w:r>
    </w:p>
    <w:p w14:paraId="037D253D" w14:textId="3175A2B3" w:rsidR="00053A08" w:rsidRPr="003D540E" w:rsidRDefault="00FB6ECC" w:rsidP="00FB6ECC">
      <w:pPr>
        <w:pStyle w:val="ListParagraph"/>
        <w:numPr>
          <w:ilvl w:val="0"/>
          <w:numId w:val="1"/>
        </w:numPr>
        <w:ind w:left="0"/>
        <w:rPr>
          <w:sz w:val="28"/>
          <w:szCs w:val="28"/>
        </w:rPr>
      </w:pPr>
      <w:r w:rsidRPr="003D540E">
        <w:rPr>
          <w:bCs/>
          <w:sz w:val="28"/>
          <w:szCs w:val="28"/>
        </w:rPr>
        <w:lastRenderedPageBreak/>
        <w:t xml:space="preserve"> </w:t>
      </w:r>
      <w:r w:rsidR="00702084" w:rsidRPr="003D540E">
        <w:rPr>
          <w:bCs/>
          <w:sz w:val="28"/>
          <w:szCs w:val="28"/>
        </w:rPr>
        <w:t xml:space="preserve">Turning to item </w:t>
      </w:r>
      <w:r w:rsidR="00702084" w:rsidRPr="003D540E">
        <w:rPr>
          <w:bCs/>
          <w:i/>
          <w:iCs/>
          <w:sz w:val="28"/>
          <w:szCs w:val="28"/>
        </w:rPr>
        <w:t xml:space="preserve">(d). </w:t>
      </w:r>
      <w:r w:rsidRPr="003D540E">
        <w:rPr>
          <w:bCs/>
          <w:sz w:val="28"/>
          <w:szCs w:val="28"/>
        </w:rPr>
        <w:t xml:space="preserve">By introducing the anti-dilution provisions, </w:t>
      </w:r>
      <w:r w:rsidR="001E096E" w:rsidRPr="003D540E">
        <w:rPr>
          <w:bCs/>
          <w:sz w:val="28"/>
          <w:szCs w:val="28"/>
        </w:rPr>
        <w:t xml:space="preserve">it was recognised that protection should be extended </w:t>
      </w:r>
      <w:r w:rsidR="00277E9A" w:rsidRPr="003D540E">
        <w:rPr>
          <w:bCs/>
          <w:sz w:val="28"/>
          <w:szCs w:val="28"/>
        </w:rPr>
        <w:t xml:space="preserve">beyond </w:t>
      </w:r>
      <w:r w:rsidR="00E72812" w:rsidRPr="003D540E">
        <w:rPr>
          <w:bCs/>
          <w:sz w:val="28"/>
          <w:szCs w:val="28"/>
        </w:rPr>
        <w:t>merely ‘protecting the mark as a badge of origin.’</w:t>
      </w:r>
      <w:r w:rsidR="00E72812" w:rsidRPr="003D540E">
        <w:rPr>
          <w:vertAlign w:val="superscript"/>
        </w:rPr>
        <w:footnoteReference w:id="6"/>
      </w:r>
      <w:r w:rsidR="00277E9A" w:rsidRPr="003D540E">
        <w:rPr>
          <w:bCs/>
          <w:sz w:val="28"/>
          <w:szCs w:val="28"/>
        </w:rPr>
        <w:t xml:space="preserve"> </w:t>
      </w:r>
      <w:r w:rsidR="00436C42" w:rsidRPr="003D540E">
        <w:rPr>
          <w:bCs/>
          <w:sz w:val="28"/>
          <w:szCs w:val="28"/>
        </w:rPr>
        <w:t>I</w:t>
      </w:r>
      <w:r w:rsidR="00053A08" w:rsidRPr="003D540E">
        <w:rPr>
          <w:bCs/>
          <w:sz w:val="28"/>
          <w:szCs w:val="28"/>
        </w:rPr>
        <w:t xml:space="preserve">n </w:t>
      </w:r>
      <w:r w:rsidR="00222C02" w:rsidRPr="003D540E">
        <w:rPr>
          <w:bCs/>
          <w:i/>
          <w:sz w:val="28"/>
          <w:szCs w:val="28"/>
        </w:rPr>
        <w:t>National Brands Ltd v Blue Lion Manufacturing (Pty) Ltd</w:t>
      </w:r>
      <w:r w:rsidR="00222C02" w:rsidRPr="003D540E">
        <w:rPr>
          <w:bCs/>
          <w:sz w:val="28"/>
          <w:szCs w:val="28"/>
        </w:rPr>
        <w:t>,</w:t>
      </w:r>
      <w:r w:rsidR="00053A08" w:rsidRPr="003D540E">
        <w:rPr>
          <w:bCs/>
          <w:sz w:val="28"/>
          <w:szCs w:val="28"/>
        </w:rPr>
        <w:t xml:space="preserve"> </w:t>
      </w:r>
      <w:r w:rsidR="000826AD" w:rsidRPr="003D540E">
        <w:rPr>
          <w:bCs/>
          <w:sz w:val="28"/>
          <w:szCs w:val="28"/>
        </w:rPr>
        <w:t>this court</w:t>
      </w:r>
      <w:r w:rsidR="00436C42" w:rsidRPr="003D540E">
        <w:rPr>
          <w:bCs/>
          <w:sz w:val="28"/>
          <w:szCs w:val="28"/>
        </w:rPr>
        <w:t xml:space="preserve"> explained </w:t>
      </w:r>
      <w:r w:rsidR="00053A08" w:rsidRPr="003D540E">
        <w:rPr>
          <w:bCs/>
          <w:sz w:val="28"/>
          <w:szCs w:val="28"/>
        </w:rPr>
        <w:t>as regards s 34(1)</w:t>
      </w:r>
      <w:r w:rsidR="00053A08" w:rsidRPr="003D540E">
        <w:rPr>
          <w:bCs/>
          <w:i/>
          <w:iCs/>
          <w:sz w:val="28"/>
          <w:szCs w:val="28"/>
        </w:rPr>
        <w:t>(c)</w:t>
      </w:r>
      <w:r w:rsidR="00053A08" w:rsidRPr="003D540E">
        <w:rPr>
          <w:bCs/>
          <w:sz w:val="28"/>
          <w:szCs w:val="28"/>
        </w:rPr>
        <w:t xml:space="preserve"> of the Act:</w:t>
      </w:r>
    </w:p>
    <w:p w14:paraId="730A55D2" w14:textId="77777777" w:rsidR="00794C26" w:rsidRPr="003D540E" w:rsidRDefault="00053A08" w:rsidP="00794C26">
      <w:pPr>
        <w:pStyle w:val="ListParagraph"/>
        <w:ind w:left="0"/>
      </w:pPr>
      <w:r w:rsidRPr="003D540E">
        <w:t>‘Section 34(1)</w:t>
      </w:r>
      <w:r w:rsidRPr="003D540E">
        <w:rPr>
          <w:i/>
          <w:iCs/>
        </w:rPr>
        <w:t>(c)</w:t>
      </w:r>
      <w:r w:rsidRPr="003D540E">
        <w:t> introduces a new form of trade mark protection into our law, which aims to protect the commercial value that attaches to the reputation of a trade mark, rather than its capacity to distinguish the goods or services of the proprietor from those of others . . .</w:t>
      </w:r>
      <w:r w:rsidR="005656C1" w:rsidRPr="003D540E">
        <w:t>’.</w:t>
      </w:r>
      <w:r w:rsidR="00B3238F" w:rsidRPr="003D540E">
        <w:rPr>
          <w:rStyle w:val="FootnoteReference"/>
        </w:rPr>
        <w:footnoteReference w:id="7"/>
      </w:r>
    </w:p>
    <w:p w14:paraId="6E8B501F" w14:textId="0DE69A18" w:rsidR="00FB6ECC" w:rsidRPr="003D540E" w:rsidRDefault="006D57FD" w:rsidP="00794C26">
      <w:pPr>
        <w:pStyle w:val="ListParagraph"/>
        <w:ind w:left="0"/>
      </w:pPr>
      <w:r w:rsidRPr="003D540E">
        <w:rPr>
          <w:bCs/>
          <w:i/>
          <w:iCs/>
          <w:sz w:val="28"/>
          <w:szCs w:val="28"/>
        </w:rPr>
        <w:t>Verimark</w:t>
      </w:r>
      <w:r w:rsidR="00436C42" w:rsidRPr="003D540E">
        <w:rPr>
          <w:sz w:val="28"/>
          <w:szCs w:val="28"/>
        </w:rPr>
        <w:t xml:space="preserve"> expanded</w:t>
      </w:r>
      <w:r w:rsidR="00277E9A" w:rsidRPr="003D540E">
        <w:rPr>
          <w:bCs/>
          <w:sz w:val="28"/>
          <w:szCs w:val="28"/>
        </w:rPr>
        <w:t>:</w:t>
      </w:r>
      <w:r w:rsidR="001E096E" w:rsidRPr="003D540E">
        <w:rPr>
          <w:bCs/>
          <w:sz w:val="28"/>
          <w:szCs w:val="28"/>
        </w:rPr>
        <w:t xml:space="preserve"> </w:t>
      </w:r>
    </w:p>
    <w:p w14:paraId="718DB8C2" w14:textId="77777777" w:rsidR="00FB6ECC" w:rsidRPr="003D540E" w:rsidRDefault="00277E9A" w:rsidP="00FB6ECC">
      <w:pPr>
        <w:pStyle w:val="ListParagraph"/>
        <w:ind w:left="0"/>
      </w:pPr>
      <w:r w:rsidRPr="003D540E">
        <w:t>‘</w:t>
      </w:r>
      <w:r w:rsidR="00346BF5" w:rsidRPr="003D540E">
        <w:t xml:space="preserve">. . . </w:t>
      </w:r>
      <w:r w:rsidR="00A25C62" w:rsidRPr="003D540E">
        <w:t xml:space="preserve">the provision </w:t>
      </w:r>
      <w:r w:rsidR="00346BF5" w:rsidRPr="003D540E">
        <w:t>“</w:t>
      </w:r>
      <w:r w:rsidR="00A25C62" w:rsidRPr="003D540E">
        <w:t xml:space="preserve">aims at more than safeguarding a product's </w:t>
      </w:r>
      <w:r w:rsidR="008A618C" w:rsidRPr="003D540E">
        <w:t>‘</w:t>
      </w:r>
      <w:r w:rsidR="00A25C62" w:rsidRPr="003D540E">
        <w:t>badge of origin</w:t>
      </w:r>
      <w:r w:rsidR="008A618C" w:rsidRPr="003D540E">
        <w:t>’</w:t>
      </w:r>
      <w:r w:rsidR="00A25C62" w:rsidRPr="003D540E">
        <w:t xml:space="preserve"> or its </w:t>
      </w:r>
      <w:r w:rsidR="008A618C" w:rsidRPr="003D540E">
        <w:t>‘</w:t>
      </w:r>
      <w:r w:rsidR="00A25C62" w:rsidRPr="003D540E">
        <w:t>source-denoting function</w:t>
      </w:r>
      <w:r w:rsidR="008A618C" w:rsidRPr="003D540E">
        <w:t>’”</w:t>
      </w:r>
      <w:r w:rsidR="00A25C62" w:rsidRPr="003D540E">
        <w:t>.</w:t>
      </w:r>
      <w:bookmarkStart w:id="8" w:name="0-0-0-361375"/>
      <w:bookmarkEnd w:id="8"/>
      <w:r w:rsidR="00A25C62" w:rsidRPr="003D540E">
        <w:t xml:space="preserve"> It also protects the reputation, advertising value or selling power of a well-known mark.</w:t>
      </w:r>
      <w:r w:rsidR="008A618C" w:rsidRPr="003D540E">
        <w:t>’</w:t>
      </w:r>
      <w:r w:rsidR="008A618C" w:rsidRPr="003D540E">
        <w:rPr>
          <w:rStyle w:val="FootnoteReference"/>
        </w:rPr>
        <w:footnoteReference w:id="8"/>
      </w:r>
    </w:p>
    <w:p w14:paraId="64F5E249" w14:textId="77777777" w:rsidR="00947867" w:rsidRPr="003D540E" w:rsidRDefault="00947867" w:rsidP="00212B4E">
      <w:pPr>
        <w:pStyle w:val="ListParagraph"/>
        <w:ind w:left="0"/>
        <w:rPr>
          <w:sz w:val="28"/>
          <w:szCs w:val="28"/>
        </w:rPr>
      </w:pPr>
    </w:p>
    <w:p w14:paraId="47F6F571" w14:textId="055CC6BB" w:rsidR="000A1D3D" w:rsidRPr="003D540E" w:rsidRDefault="009F5A6F" w:rsidP="000A1D3D">
      <w:pPr>
        <w:pStyle w:val="ListParagraph"/>
        <w:numPr>
          <w:ilvl w:val="0"/>
          <w:numId w:val="1"/>
        </w:numPr>
        <w:ind w:left="0"/>
        <w:rPr>
          <w:sz w:val="28"/>
          <w:szCs w:val="28"/>
        </w:rPr>
      </w:pPr>
      <w:r w:rsidRPr="003D540E">
        <w:rPr>
          <w:sz w:val="28"/>
          <w:szCs w:val="28"/>
        </w:rPr>
        <w:t xml:space="preserve">The inclusion of anti-dilution provisions was prompted by developments elsewhere. </w:t>
      </w:r>
      <w:r w:rsidR="000A1D3D" w:rsidRPr="003D540E">
        <w:rPr>
          <w:sz w:val="28"/>
          <w:szCs w:val="28"/>
        </w:rPr>
        <w:t>In 19</w:t>
      </w:r>
      <w:r w:rsidRPr="003D540E">
        <w:rPr>
          <w:sz w:val="28"/>
          <w:szCs w:val="28"/>
        </w:rPr>
        <w:t>8</w:t>
      </w:r>
      <w:r w:rsidR="000A1D3D" w:rsidRPr="003D540E">
        <w:rPr>
          <w:sz w:val="28"/>
          <w:szCs w:val="28"/>
        </w:rPr>
        <w:t xml:space="preserve">8, the Council of the European Communities </w:t>
      </w:r>
      <w:r w:rsidR="00903D5E" w:rsidRPr="003D540E">
        <w:rPr>
          <w:sz w:val="28"/>
          <w:szCs w:val="28"/>
        </w:rPr>
        <w:t xml:space="preserve">(EC) </w:t>
      </w:r>
      <w:r w:rsidR="000A1D3D" w:rsidRPr="003D540E">
        <w:rPr>
          <w:sz w:val="28"/>
          <w:szCs w:val="28"/>
        </w:rPr>
        <w:t xml:space="preserve">agreed a </w:t>
      </w:r>
      <w:r w:rsidR="008B2A7C" w:rsidRPr="003D540E">
        <w:rPr>
          <w:sz w:val="28"/>
          <w:szCs w:val="28"/>
        </w:rPr>
        <w:t>D</w:t>
      </w:r>
      <w:r w:rsidR="000A1D3D" w:rsidRPr="003D540E">
        <w:rPr>
          <w:sz w:val="28"/>
          <w:szCs w:val="28"/>
        </w:rPr>
        <w:t xml:space="preserve">irective whose material terms in </w:t>
      </w:r>
      <w:r w:rsidR="008B2A7C" w:rsidRPr="003D540E">
        <w:rPr>
          <w:sz w:val="28"/>
          <w:szCs w:val="28"/>
        </w:rPr>
        <w:t>A</w:t>
      </w:r>
      <w:r w:rsidR="000A1D3D" w:rsidRPr="003D540E">
        <w:rPr>
          <w:sz w:val="28"/>
          <w:szCs w:val="28"/>
        </w:rPr>
        <w:t>rticle 5 provide:</w:t>
      </w:r>
    </w:p>
    <w:p w14:paraId="6832D19B" w14:textId="24D25F5B" w:rsidR="000A1D3D" w:rsidRPr="003D540E" w:rsidRDefault="000A1D3D" w:rsidP="000A1D3D">
      <w:r w:rsidRPr="003D540E">
        <w:t>‘2. Any Member State may also provide that the proprietor shall be entitled to prevent all third parties not having his consent from using in the course of trade any sign which is identical with, or similar to, the trade mark in relation to goods or services which are not similar to those for which the trademark is registered, where the latter has a reputation in the Member State and where use of that sign without due cause takes unfair advantage of, or is detrimental to, the distinctive character or the repute of the trade</w:t>
      </w:r>
      <w:r w:rsidR="005515D8" w:rsidRPr="003D540E">
        <w:t xml:space="preserve"> </w:t>
      </w:r>
      <w:r w:rsidRPr="003D540E">
        <w:t>mark.</w:t>
      </w:r>
    </w:p>
    <w:p w14:paraId="00A0142F" w14:textId="77777777" w:rsidR="000A1D3D" w:rsidRPr="003D540E" w:rsidRDefault="000A1D3D" w:rsidP="000A1D3D">
      <w:r w:rsidRPr="003D540E">
        <w:t>. . .  </w:t>
      </w:r>
    </w:p>
    <w:p w14:paraId="1832FFA1" w14:textId="77777777" w:rsidR="000A1D3D" w:rsidRPr="003D540E" w:rsidRDefault="000A1D3D" w:rsidP="000A1D3D">
      <w:r w:rsidRPr="003D540E">
        <w:t xml:space="preserve">5. Paragraphs 1 to 4 shall not affect provisions in any Member State relating to the protection against the use of a sign other than for the purposes of distinguishing goods or services, where use </w:t>
      </w:r>
      <w:r w:rsidRPr="003D540E">
        <w:lastRenderedPageBreak/>
        <w:t>of that sign without due cause takes unfair advantage of, or is detrimental to, the distinctive character or the repute of the trade mark.’</w:t>
      </w:r>
      <w:r w:rsidRPr="003D540E">
        <w:rPr>
          <w:rStyle w:val="FootnoteReference"/>
        </w:rPr>
        <w:footnoteReference w:id="9"/>
      </w:r>
    </w:p>
    <w:p w14:paraId="778591F0" w14:textId="11C8ED4E" w:rsidR="000A1D3D" w:rsidRPr="003D540E" w:rsidRDefault="00266D68" w:rsidP="000A1D3D">
      <w:pPr>
        <w:pStyle w:val="ListParagraph"/>
        <w:ind w:left="0"/>
        <w:rPr>
          <w:sz w:val="28"/>
          <w:szCs w:val="28"/>
        </w:rPr>
      </w:pPr>
      <w:r w:rsidRPr="003D540E">
        <w:rPr>
          <w:sz w:val="28"/>
          <w:szCs w:val="28"/>
        </w:rPr>
        <w:t>P</w:t>
      </w:r>
      <w:r w:rsidR="000A1D3D" w:rsidRPr="003D540E">
        <w:rPr>
          <w:sz w:val="28"/>
          <w:szCs w:val="28"/>
        </w:rPr>
        <w:t xml:space="preserve">aragraph 5 </w:t>
      </w:r>
      <w:r w:rsidR="000261B5" w:rsidRPr="003D540E">
        <w:rPr>
          <w:sz w:val="28"/>
          <w:szCs w:val="28"/>
        </w:rPr>
        <w:t xml:space="preserve">of </w:t>
      </w:r>
      <w:r w:rsidR="008B2A7C" w:rsidRPr="003D540E">
        <w:rPr>
          <w:sz w:val="28"/>
          <w:szCs w:val="28"/>
        </w:rPr>
        <w:t>A</w:t>
      </w:r>
      <w:r w:rsidR="00834670" w:rsidRPr="003D540E">
        <w:rPr>
          <w:sz w:val="28"/>
          <w:szCs w:val="28"/>
        </w:rPr>
        <w:t xml:space="preserve">rticle 5 </w:t>
      </w:r>
      <w:r w:rsidR="000A1D3D" w:rsidRPr="003D540E">
        <w:rPr>
          <w:sz w:val="28"/>
          <w:szCs w:val="28"/>
        </w:rPr>
        <w:t>omits the requirement of use on ‘goods or services which are not similar to those for which the trademark is registered’</w:t>
      </w:r>
      <w:r w:rsidR="009F5A6F" w:rsidRPr="003D540E">
        <w:rPr>
          <w:sz w:val="28"/>
          <w:szCs w:val="28"/>
        </w:rPr>
        <w:t xml:space="preserve"> </w:t>
      </w:r>
      <w:r w:rsidR="006F0B13" w:rsidRPr="003D540E">
        <w:rPr>
          <w:sz w:val="28"/>
          <w:szCs w:val="28"/>
        </w:rPr>
        <w:t>and that of</w:t>
      </w:r>
      <w:r w:rsidR="009F5A6F" w:rsidRPr="003D540E">
        <w:rPr>
          <w:sz w:val="28"/>
          <w:szCs w:val="28"/>
        </w:rPr>
        <w:t xml:space="preserve"> reputation</w:t>
      </w:r>
      <w:r w:rsidR="006B50E7" w:rsidRPr="003D540E">
        <w:rPr>
          <w:sz w:val="28"/>
          <w:szCs w:val="28"/>
        </w:rPr>
        <w:t xml:space="preserve"> </w:t>
      </w:r>
      <w:r w:rsidR="009F5A6F" w:rsidRPr="003D540E">
        <w:rPr>
          <w:sz w:val="28"/>
          <w:szCs w:val="28"/>
        </w:rPr>
        <w:t>in a Member State</w:t>
      </w:r>
      <w:r w:rsidR="000A1D3D" w:rsidRPr="003D540E">
        <w:rPr>
          <w:sz w:val="28"/>
          <w:szCs w:val="28"/>
        </w:rPr>
        <w:t>.</w:t>
      </w:r>
    </w:p>
    <w:p w14:paraId="1C6F43A5" w14:textId="77777777" w:rsidR="00C918BC" w:rsidRPr="00C918BC" w:rsidRDefault="00C918BC" w:rsidP="00C918BC">
      <w:pPr>
        <w:pStyle w:val="ListParagraph"/>
        <w:ind w:left="0"/>
      </w:pPr>
    </w:p>
    <w:p w14:paraId="5A3C9058" w14:textId="25E9FBD8" w:rsidR="000A1D3D" w:rsidRPr="003D540E" w:rsidRDefault="009F5A6F" w:rsidP="000A1D3D">
      <w:pPr>
        <w:pStyle w:val="ListParagraph"/>
        <w:numPr>
          <w:ilvl w:val="0"/>
          <w:numId w:val="1"/>
        </w:numPr>
        <w:ind w:left="0"/>
      </w:pPr>
      <w:r w:rsidRPr="003D540E">
        <w:rPr>
          <w:sz w:val="28"/>
          <w:szCs w:val="28"/>
        </w:rPr>
        <w:t>This prompted the production i</w:t>
      </w:r>
      <w:r w:rsidR="000A1D3D" w:rsidRPr="003D540E">
        <w:rPr>
          <w:sz w:val="28"/>
          <w:szCs w:val="28"/>
        </w:rPr>
        <w:t xml:space="preserve">n the United Kingdom </w:t>
      </w:r>
      <w:r w:rsidRPr="003D540E">
        <w:rPr>
          <w:sz w:val="28"/>
          <w:szCs w:val="28"/>
        </w:rPr>
        <w:t>of</w:t>
      </w:r>
      <w:r w:rsidR="000A1D3D" w:rsidRPr="003D540E">
        <w:rPr>
          <w:sz w:val="28"/>
          <w:szCs w:val="28"/>
        </w:rPr>
        <w:t xml:space="preserve"> a White Paper on the reform of Trade Mark law</w:t>
      </w:r>
      <w:r w:rsidRPr="003D540E">
        <w:rPr>
          <w:sz w:val="28"/>
          <w:szCs w:val="28"/>
        </w:rPr>
        <w:t xml:space="preserve"> in 1990</w:t>
      </w:r>
      <w:r w:rsidR="000A1D3D" w:rsidRPr="003D540E">
        <w:rPr>
          <w:sz w:val="28"/>
          <w:szCs w:val="28"/>
        </w:rPr>
        <w:t xml:space="preserve">. </w:t>
      </w:r>
      <w:r w:rsidRPr="003D540E">
        <w:rPr>
          <w:sz w:val="28"/>
          <w:szCs w:val="28"/>
        </w:rPr>
        <w:t xml:space="preserve">The UK then </w:t>
      </w:r>
      <w:r w:rsidR="000A1D3D" w:rsidRPr="003D540E">
        <w:rPr>
          <w:sz w:val="28"/>
          <w:szCs w:val="28"/>
        </w:rPr>
        <w:t>introduc</w:t>
      </w:r>
      <w:r w:rsidRPr="003D540E">
        <w:rPr>
          <w:sz w:val="28"/>
          <w:szCs w:val="28"/>
        </w:rPr>
        <w:t>ed its</w:t>
      </w:r>
      <w:r w:rsidR="000A1D3D" w:rsidRPr="003D540E">
        <w:rPr>
          <w:sz w:val="28"/>
          <w:szCs w:val="28"/>
        </w:rPr>
        <w:t xml:space="preserve"> anti-dilution provision</w:t>
      </w:r>
      <w:r w:rsidR="00266D68" w:rsidRPr="003D540E">
        <w:rPr>
          <w:sz w:val="28"/>
          <w:szCs w:val="28"/>
        </w:rPr>
        <w:t>s</w:t>
      </w:r>
      <w:r w:rsidR="000A1D3D" w:rsidRPr="003D540E">
        <w:rPr>
          <w:sz w:val="28"/>
          <w:szCs w:val="28"/>
        </w:rPr>
        <w:t xml:space="preserve"> </w:t>
      </w:r>
      <w:r w:rsidRPr="003D540E">
        <w:rPr>
          <w:sz w:val="28"/>
          <w:szCs w:val="28"/>
        </w:rPr>
        <w:t xml:space="preserve">in 1994 </w:t>
      </w:r>
      <w:r w:rsidR="000A1D3D" w:rsidRPr="003D540E">
        <w:rPr>
          <w:sz w:val="28"/>
          <w:szCs w:val="28"/>
        </w:rPr>
        <w:t>by way of s 10(3) of its Trade Marks Act:</w:t>
      </w:r>
    </w:p>
    <w:p w14:paraId="607A74A1" w14:textId="77777777" w:rsidR="000A1D3D" w:rsidRPr="003D540E" w:rsidRDefault="000A1D3D" w:rsidP="000A1D3D">
      <w:pPr>
        <w:pStyle w:val="ListParagraph"/>
        <w:ind w:left="0"/>
      </w:pPr>
      <w:r w:rsidRPr="003D540E">
        <w:t>‘A person infringes a registered trade mark if he uses in the course of trade a sign which – </w:t>
      </w:r>
    </w:p>
    <w:p w14:paraId="54D93D92" w14:textId="77777777" w:rsidR="000A1D3D" w:rsidRPr="003D540E" w:rsidRDefault="000A1D3D" w:rsidP="000A1D3D">
      <w:pPr>
        <w:pStyle w:val="ListParagraph"/>
        <w:ind w:left="0"/>
      </w:pPr>
      <w:r w:rsidRPr="003D540E">
        <w:rPr>
          <w:i/>
          <w:iCs/>
        </w:rPr>
        <w:t>(a)</w:t>
      </w:r>
      <w:r w:rsidRPr="003D540E">
        <w:t>   is identical with or similar to the trade mark, and</w:t>
      </w:r>
    </w:p>
    <w:p w14:paraId="2D1BF843" w14:textId="77777777" w:rsidR="000A1D3D" w:rsidRPr="003D540E" w:rsidRDefault="000A1D3D" w:rsidP="000A1D3D">
      <w:pPr>
        <w:pStyle w:val="ListParagraph"/>
        <w:ind w:left="0"/>
      </w:pPr>
      <w:r w:rsidRPr="003D540E">
        <w:rPr>
          <w:i/>
          <w:iCs/>
        </w:rPr>
        <w:t>(b)</w:t>
      </w:r>
      <w:r w:rsidRPr="003D540E">
        <w:t>   is used in relation to goods or services which are not similar to those for which the trade mark is registered, where the trade mark has a reputation in the United Kingdom and the use of the sign, being without due cause, takes unfair advantage of, or is detrimental to, the distinctive character or the repute of the trade mark.’</w:t>
      </w:r>
    </w:p>
    <w:p w14:paraId="250FDD3C" w14:textId="77777777" w:rsidR="000A1D3D" w:rsidRPr="003D540E" w:rsidRDefault="000A1D3D" w:rsidP="000A1D3D">
      <w:pPr>
        <w:pStyle w:val="ListParagraph"/>
        <w:ind w:left="0"/>
        <w:rPr>
          <w:sz w:val="28"/>
          <w:szCs w:val="28"/>
        </w:rPr>
      </w:pPr>
      <w:r w:rsidRPr="003D540E">
        <w:rPr>
          <w:sz w:val="28"/>
          <w:szCs w:val="28"/>
        </w:rPr>
        <w:t>As will be noted, this a</w:t>
      </w:r>
      <w:r w:rsidR="009F5A6F" w:rsidRPr="003D540E">
        <w:rPr>
          <w:sz w:val="28"/>
          <w:szCs w:val="28"/>
        </w:rPr>
        <w:t>ligns</w:t>
      </w:r>
      <w:r w:rsidRPr="003D540E">
        <w:rPr>
          <w:sz w:val="28"/>
          <w:szCs w:val="28"/>
        </w:rPr>
        <w:t xml:space="preserve"> with paragraph 2 of </w:t>
      </w:r>
      <w:r w:rsidR="006F0B13" w:rsidRPr="003D540E">
        <w:rPr>
          <w:sz w:val="28"/>
          <w:szCs w:val="28"/>
        </w:rPr>
        <w:t>A</w:t>
      </w:r>
      <w:r w:rsidRPr="003D540E">
        <w:rPr>
          <w:sz w:val="28"/>
          <w:szCs w:val="28"/>
        </w:rPr>
        <w:t xml:space="preserve">rticle 5 of the EC </w:t>
      </w:r>
      <w:r w:rsidR="006F0B13" w:rsidRPr="003D540E">
        <w:rPr>
          <w:sz w:val="28"/>
          <w:szCs w:val="28"/>
        </w:rPr>
        <w:t>D</w:t>
      </w:r>
      <w:r w:rsidRPr="003D540E">
        <w:rPr>
          <w:sz w:val="28"/>
          <w:szCs w:val="28"/>
        </w:rPr>
        <w:t>irective.</w:t>
      </w:r>
    </w:p>
    <w:p w14:paraId="6CA717CB" w14:textId="77777777" w:rsidR="000A1D3D" w:rsidRPr="003D540E" w:rsidRDefault="000A1D3D" w:rsidP="000A1D3D">
      <w:pPr>
        <w:pStyle w:val="ListParagraph"/>
        <w:ind w:left="0"/>
        <w:rPr>
          <w:sz w:val="28"/>
          <w:szCs w:val="28"/>
        </w:rPr>
      </w:pPr>
    </w:p>
    <w:p w14:paraId="6148AE25" w14:textId="77777777" w:rsidR="00FB328F" w:rsidRPr="003D540E" w:rsidRDefault="00FB328F" w:rsidP="00FB328F">
      <w:pPr>
        <w:pStyle w:val="ListParagraph"/>
        <w:numPr>
          <w:ilvl w:val="0"/>
          <w:numId w:val="1"/>
        </w:numPr>
        <w:ind w:left="0"/>
        <w:rPr>
          <w:sz w:val="28"/>
          <w:szCs w:val="28"/>
        </w:rPr>
      </w:pPr>
      <w:r w:rsidRPr="003D540E">
        <w:rPr>
          <w:sz w:val="28"/>
          <w:szCs w:val="28"/>
        </w:rPr>
        <w:t xml:space="preserve">As was explained by Harms JA in </w:t>
      </w:r>
      <w:bookmarkStart w:id="9" w:name="_Hlk136001991"/>
      <w:r w:rsidRPr="003D540E">
        <w:rPr>
          <w:i/>
          <w:iCs/>
          <w:sz w:val="28"/>
          <w:szCs w:val="28"/>
        </w:rPr>
        <w:t>Laugh It Off</w:t>
      </w:r>
      <w:bookmarkEnd w:id="9"/>
      <w:r w:rsidR="009F5A6F" w:rsidRPr="003D540E">
        <w:rPr>
          <w:sz w:val="28"/>
          <w:szCs w:val="28"/>
        </w:rPr>
        <w:t xml:space="preserve"> SCA</w:t>
      </w:r>
      <w:r w:rsidRPr="003D540E">
        <w:rPr>
          <w:sz w:val="28"/>
          <w:szCs w:val="28"/>
        </w:rPr>
        <w:t>:</w:t>
      </w:r>
    </w:p>
    <w:p w14:paraId="3C4DB4C2" w14:textId="77777777" w:rsidR="00FB328F" w:rsidRPr="003D540E" w:rsidRDefault="00FB328F" w:rsidP="00FB328F">
      <w:pPr>
        <w:pStyle w:val="ListParagraph"/>
        <w:ind w:left="0"/>
        <w:rPr>
          <w:sz w:val="28"/>
          <w:szCs w:val="28"/>
        </w:rPr>
      </w:pPr>
      <w:r w:rsidRPr="003D540E">
        <w:t>‘According to the 'Memorandum on the Objects of the Draft Trade Marks Bill' an object of our current Act, was to harmonise our law with that of the European Community, taking into account the said White Paper.’</w:t>
      </w:r>
      <w:r w:rsidRPr="003D540E">
        <w:rPr>
          <w:rStyle w:val="FootnoteReference"/>
          <w:sz w:val="28"/>
          <w:szCs w:val="28"/>
        </w:rPr>
        <w:footnoteReference w:id="10"/>
      </w:r>
    </w:p>
    <w:p w14:paraId="0C1C3EDC" w14:textId="77777777" w:rsidR="00947867" w:rsidRPr="003D540E" w:rsidRDefault="0016613F" w:rsidP="00947867">
      <w:pPr>
        <w:pStyle w:val="ListParagraph"/>
        <w:ind w:left="0"/>
        <w:rPr>
          <w:color w:val="000000"/>
          <w:lang w:eastAsia="en-ZA"/>
        </w:rPr>
      </w:pPr>
      <w:r w:rsidRPr="003D540E">
        <w:rPr>
          <w:sz w:val="28"/>
          <w:szCs w:val="28"/>
        </w:rPr>
        <w:t>Th</w:t>
      </w:r>
      <w:r w:rsidR="00762FDC" w:rsidRPr="003D540E">
        <w:rPr>
          <w:sz w:val="28"/>
          <w:szCs w:val="28"/>
        </w:rPr>
        <w:t>at memorandum l</w:t>
      </w:r>
      <w:r w:rsidRPr="003D540E">
        <w:rPr>
          <w:sz w:val="28"/>
          <w:szCs w:val="28"/>
        </w:rPr>
        <w:t>ed to the introduction in 1997 of the anti-dilution provisions in our Act</w:t>
      </w:r>
      <w:r w:rsidR="00762FDC" w:rsidRPr="003D540E">
        <w:rPr>
          <w:sz w:val="28"/>
          <w:szCs w:val="28"/>
        </w:rPr>
        <w:t>.</w:t>
      </w:r>
      <w:r w:rsidR="00947867" w:rsidRPr="003D540E">
        <w:rPr>
          <w:sz w:val="28"/>
          <w:szCs w:val="28"/>
        </w:rPr>
        <w:t xml:space="preserve"> The Constitutional Court approved the dictum in </w:t>
      </w:r>
      <w:r w:rsidR="00947867" w:rsidRPr="003D540E">
        <w:rPr>
          <w:i/>
          <w:iCs/>
          <w:color w:val="000000"/>
          <w:sz w:val="28"/>
          <w:szCs w:val="28"/>
          <w:lang w:eastAsia="en-ZA"/>
        </w:rPr>
        <w:t xml:space="preserve">Premier Brands UK Ltd v Typhoon </w:t>
      </w:r>
      <w:r w:rsidR="00947867" w:rsidRPr="003D540E">
        <w:rPr>
          <w:i/>
          <w:iCs/>
          <w:color w:val="000000"/>
          <w:sz w:val="28"/>
          <w:szCs w:val="28"/>
          <w:shd w:val="clear" w:color="auto" w:fill="FFFFFF" w:themeFill="background1"/>
          <w:lang w:eastAsia="en-ZA"/>
        </w:rPr>
        <w:t>Europe</w:t>
      </w:r>
      <w:r w:rsidR="00947867" w:rsidRPr="003D540E">
        <w:rPr>
          <w:color w:val="000000"/>
          <w:sz w:val="28"/>
          <w:szCs w:val="28"/>
          <w:shd w:val="clear" w:color="auto" w:fill="FFFFFF" w:themeFill="background1"/>
          <w:lang w:eastAsia="en-ZA"/>
        </w:rPr>
        <w:t> </w:t>
      </w:r>
      <w:r w:rsidR="00947867" w:rsidRPr="003D540E">
        <w:rPr>
          <w:i/>
          <w:iCs/>
          <w:color w:val="000000"/>
          <w:sz w:val="28"/>
          <w:szCs w:val="28"/>
          <w:shd w:val="clear" w:color="auto" w:fill="FFFFFF" w:themeFill="background1"/>
          <w:lang w:eastAsia="en-ZA"/>
        </w:rPr>
        <w:t>Ltd</w:t>
      </w:r>
      <w:bookmarkStart w:id="11" w:name="0-0-0-383723"/>
      <w:bookmarkEnd w:id="11"/>
      <w:r w:rsidR="00947867" w:rsidRPr="003D540E">
        <w:rPr>
          <w:color w:val="000000"/>
          <w:sz w:val="28"/>
          <w:szCs w:val="28"/>
          <w:lang w:eastAsia="en-ZA"/>
        </w:rPr>
        <w:t>,</w:t>
      </w:r>
      <w:r w:rsidR="00B15D7F" w:rsidRPr="003D540E">
        <w:rPr>
          <w:rStyle w:val="FootnoteReference"/>
          <w:color w:val="000000"/>
          <w:lang w:eastAsia="en-ZA"/>
        </w:rPr>
        <w:footnoteReference w:id="11"/>
      </w:r>
      <w:r w:rsidR="00947867" w:rsidRPr="003D540E">
        <w:rPr>
          <w:color w:val="000000"/>
          <w:sz w:val="28"/>
          <w:szCs w:val="28"/>
          <w:lang w:eastAsia="en-ZA"/>
        </w:rPr>
        <w:t xml:space="preserve"> concerning the provisions of s 10(3) of the UK Act:</w:t>
      </w:r>
    </w:p>
    <w:p w14:paraId="32A4433B" w14:textId="66743B3E" w:rsidR="00947867" w:rsidRPr="003D540E" w:rsidRDefault="00947867" w:rsidP="00947867">
      <w:pPr>
        <w:pStyle w:val="ListParagraph"/>
        <w:ind w:left="0"/>
      </w:pPr>
      <w:r w:rsidRPr="003D540E">
        <w:rPr>
          <w:color w:val="000000"/>
          <w:lang w:eastAsia="en-ZA"/>
        </w:rPr>
        <w:lastRenderedPageBreak/>
        <w:t>‘(T)he owner of . . . a distinctive mark has a legitimate interest in continuing to maintain the position of exclusivity he acquired through large expenditures of time and money and that everything which could impair the originality and distinctive character of his distinctive mark, as well as the advertising effectivene</w:t>
      </w:r>
      <w:r w:rsidRPr="003D540E">
        <w:rPr>
          <w:color w:val="000000"/>
          <w:shd w:val="clear" w:color="auto" w:fill="FFFFFF" w:themeFill="background1"/>
          <w:lang w:eastAsia="en-ZA"/>
        </w:rPr>
        <w:t>ss d</w:t>
      </w:r>
      <w:r w:rsidRPr="003D540E">
        <w:rPr>
          <w:color w:val="000000"/>
          <w:lang w:eastAsia="en-ZA"/>
        </w:rPr>
        <w:t>erived from its uniqueness, is to be avoided . . . Its basic purpose is not to prevent any form of confusion but to protect an acquired asset.’</w:t>
      </w:r>
      <w:r w:rsidR="00B15D7F" w:rsidRPr="003D540E">
        <w:rPr>
          <w:rStyle w:val="FootnoteReference"/>
          <w:sz w:val="28"/>
          <w:szCs w:val="28"/>
        </w:rPr>
        <w:footnoteReference w:id="12"/>
      </w:r>
    </w:p>
    <w:p w14:paraId="62B408F2" w14:textId="77777777" w:rsidR="00C34B14" w:rsidRPr="003D540E" w:rsidRDefault="0012128E" w:rsidP="0016613F">
      <w:pPr>
        <w:pStyle w:val="ListParagraph"/>
        <w:ind w:left="0"/>
        <w:rPr>
          <w:sz w:val="28"/>
          <w:szCs w:val="28"/>
        </w:rPr>
      </w:pPr>
      <w:r w:rsidRPr="003D540E">
        <w:rPr>
          <w:sz w:val="28"/>
          <w:szCs w:val="28"/>
        </w:rPr>
        <w:t>Moseneke</w:t>
      </w:r>
      <w:r w:rsidR="00947867" w:rsidRPr="003D540E">
        <w:rPr>
          <w:sz w:val="28"/>
          <w:szCs w:val="28"/>
        </w:rPr>
        <w:t xml:space="preserve"> </w:t>
      </w:r>
      <w:r w:rsidR="00B15D7F" w:rsidRPr="003D540E">
        <w:rPr>
          <w:sz w:val="28"/>
          <w:szCs w:val="28"/>
        </w:rPr>
        <w:t xml:space="preserve">J </w:t>
      </w:r>
      <w:r w:rsidR="00947867" w:rsidRPr="003D540E">
        <w:rPr>
          <w:sz w:val="28"/>
          <w:szCs w:val="28"/>
        </w:rPr>
        <w:t>went on to say</w:t>
      </w:r>
      <w:r w:rsidR="004D42D4" w:rsidRPr="003D540E">
        <w:rPr>
          <w:sz w:val="28"/>
          <w:szCs w:val="28"/>
        </w:rPr>
        <w:t xml:space="preserve"> of s 34(1)</w:t>
      </w:r>
      <w:r w:rsidR="004D42D4" w:rsidRPr="003D540E">
        <w:rPr>
          <w:i/>
          <w:iCs/>
          <w:sz w:val="28"/>
          <w:szCs w:val="28"/>
        </w:rPr>
        <w:t>(c)</w:t>
      </w:r>
      <w:r w:rsidR="004D42D4" w:rsidRPr="003D540E">
        <w:rPr>
          <w:sz w:val="28"/>
          <w:szCs w:val="28"/>
        </w:rPr>
        <w:t xml:space="preserve"> of the Act</w:t>
      </w:r>
      <w:r w:rsidR="00947867" w:rsidRPr="003D540E">
        <w:rPr>
          <w:sz w:val="28"/>
          <w:szCs w:val="28"/>
        </w:rPr>
        <w:t>:</w:t>
      </w:r>
    </w:p>
    <w:p w14:paraId="2FC815F0" w14:textId="7C4F3A97" w:rsidR="00947867" w:rsidRPr="003D540E" w:rsidRDefault="0012128E" w:rsidP="0016613F">
      <w:pPr>
        <w:pStyle w:val="ListParagraph"/>
        <w:ind w:left="0"/>
      </w:pPr>
      <w:r w:rsidRPr="003D540E">
        <w:t>‘Clearly, in our case too s 34(1)</w:t>
      </w:r>
      <w:r w:rsidRPr="003D540E">
        <w:rPr>
          <w:i/>
          <w:iCs/>
        </w:rPr>
        <w:t>(c)</w:t>
      </w:r>
      <w:r w:rsidRPr="003D540E">
        <w:t> serves a vital purpose in preserving trade and commercial interests of owners of trademarks which have a reputation. This it does by prohibiting use which,</w:t>
      </w:r>
      <w:r w:rsidR="00EC0132" w:rsidRPr="003D540E">
        <w:t xml:space="preserve"> </w:t>
      </w:r>
      <w:r w:rsidR="004D1BC7" w:rsidRPr="003D540E">
        <w:t>a</w:t>
      </w:r>
      <w:r w:rsidRPr="003D540E">
        <w:t>lthough it may not confuse or deceive, materially undermines the repute of well renowned trade</w:t>
      </w:r>
      <w:r w:rsidR="00EC0132" w:rsidRPr="003D540E">
        <w:t xml:space="preserve"> </w:t>
      </w:r>
      <w:r w:rsidRPr="003D540E">
        <w:t xml:space="preserve">marks ordinarily harnessed to sell goods and services. The </w:t>
      </w:r>
      <w:r w:rsidR="00717162" w:rsidRPr="003D540E">
        <w:t xml:space="preserve">. . . </w:t>
      </w:r>
      <w:r w:rsidRPr="003D540E">
        <w:t>section aims at more than safeguarding a product's “badge of origin”</w:t>
      </w:r>
      <w:r w:rsidR="008C2BE0" w:rsidRPr="003D540E">
        <w:t> </w:t>
      </w:r>
      <w:r w:rsidRPr="003D540E">
        <w:t>or its “source-denoting function”.</w:t>
      </w:r>
      <w:bookmarkStart w:id="12" w:name="0-0-0-383743"/>
      <w:bookmarkEnd w:id="12"/>
      <w:r w:rsidRPr="003D540E">
        <w:t xml:space="preserve"> The section strives to protect the unique identity and reputation of a registered trademark. Both of these attributes underpin the economic value that resides in the mark's advertising prowess or selling power. As it is often said the mark sells the goods and therefore its positive image or consumer appeal must be saved from ruin.’</w:t>
      </w:r>
      <w:r w:rsidR="00F4391F" w:rsidRPr="003D540E">
        <w:rPr>
          <w:rStyle w:val="FootnoteReference"/>
        </w:rPr>
        <w:footnoteReference w:id="13"/>
      </w:r>
    </w:p>
    <w:p w14:paraId="29FE72DA" w14:textId="77777777" w:rsidR="0016613F" w:rsidRPr="003D540E" w:rsidRDefault="0016613F" w:rsidP="0016613F">
      <w:pPr>
        <w:pStyle w:val="ListParagraph"/>
        <w:ind w:left="0"/>
        <w:rPr>
          <w:sz w:val="28"/>
          <w:szCs w:val="28"/>
        </w:rPr>
      </w:pPr>
    </w:p>
    <w:p w14:paraId="2188E6CB" w14:textId="54DCB2BA" w:rsidR="0016613F" w:rsidRPr="003D540E" w:rsidRDefault="0016613F" w:rsidP="0016613F">
      <w:pPr>
        <w:pStyle w:val="ListParagraph"/>
        <w:numPr>
          <w:ilvl w:val="0"/>
          <w:numId w:val="1"/>
        </w:numPr>
        <w:ind w:left="0"/>
        <w:rPr>
          <w:sz w:val="28"/>
          <w:szCs w:val="28"/>
        </w:rPr>
      </w:pPr>
      <w:r w:rsidRPr="003D540E">
        <w:rPr>
          <w:sz w:val="28"/>
          <w:szCs w:val="28"/>
        </w:rPr>
        <w:t>Cape Cookies submitted that the provisions of s 10(17) should not be regarded as a ‘fall-back’</w:t>
      </w:r>
      <w:r w:rsidR="005054BF" w:rsidRPr="003D540E">
        <w:rPr>
          <w:sz w:val="28"/>
          <w:szCs w:val="28"/>
        </w:rPr>
        <w:t>,</w:t>
      </w:r>
      <w:r w:rsidRPr="003D540E">
        <w:rPr>
          <w:sz w:val="28"/>
          <w:szCs w:val="28"/>
        </w:rPr>
        <w:t xml:space="preserve"> </w:t>
      </w:r>
      <w:r w:rsidR="005054BF" w:rsidRPr="003D540E">
        <w:rPr>
          <w:sz w:val="28"/>
          <w:szCs w:val="28"/>
        </w:rPr>
        <w:t xml:space="preserve">in the event of the other grounds </w:t>
      </w:r>
      <w:r w:rsidRPr="003D540E">
        <w:rPr>
          <w:sz w:val="28"/>
          <w:szCs w:val="28"/>
        </w:rPr>
        <w:t xml:space="preserve">of </w:t>
      </w:r>
      <w:r w:rsidR="005054BF" w:rsidRPr="003D540E">
        <w:rPr>
          <w:sz w:val="28"/>
          <w:szCs w:val="28"/>
        </w:rPr>
        <w:t>opposition i</w:t>
      </w:r>
      <w:r w:rsidR="003D37AB" w:rsidRPr="003D540E">
        <w:rPr>
          <w:sz w:val="28"/>
          <w:szCs w:val="28"/>
        </w:rPr>
        <w:t>n</w:t>
      </w:r>
      <w:r w:rsidR="005054BF" w:rsidRPr="003D540E">
        <w:rPr>
          <w:sz w:val="28"/>
          <w:szCs w:val="28"/>
        </w:rPr>
        <w:t xml:space="preserve"> </w:t>
      </w:r>
      <w:r w:rsidRPr="003D540E">
        <w:rPr>
          <w:sz w:val="28"/>
          <w:szCs w:val="28"/>
        </w:rPr>
        <w:t>s 10</w:t>
      </w:r>
      <w:r w:rsidR="005054BF" w:rsidRPr="003D540E">
        <w:rPr>
          <w:sz w:val="28"/>
          <w:szCs w:val="28"/>
        </w:rPr>
        <w:t xml:space="preserve"> not being met</w:t>
      </w:r>
      <w:r w:rsidRPr="003D540E">
        <w:rPr>
          <w:sz w:val="28"/>
          <w:szCs w:val="28"/>
        </w:rPr>
        <w:t xml:space="preserve">. </w:t>
      </w:r>
      <w:r w:rsidR="00B25E60" w:rsidRPr="003D540E">
        <w:rPr>
          <w:sz w:val="28"/>
          <w:szCs w:val="28"/>
        </w:rPr>
        <w:t>However, as mentioned,</w:t>
      </w:r>
      <w:r w:rsidRPr="003D540E">
        <w:rPr>
          <w:sz w:val="28"/>
          <w:szCs w:val="28"/>
        </w:rPr>
        <w:t xml:space="preserve"> each of the provisions of s 10 are </w:t>
      </w:r>
      <w:r w:rsidR="005054BF" w:rsidRPr="003D540E">
        <w:rPr>
          <w:sz w:val="28"/>
          <w:szCs w:val="28"/>
        </w:rPr>
        <w:t xml:space="preserve">self-standing grounds of opposition to </w:t>
      </w:r>
      <w:r w:rsidRPr="003D540E">
        <w:rPr>
          <w:sz w:val="28"/>
          <w:szCs w:val="28"/>
        </w:rPr>
        <w:t xml:space="preserve">registration. </w:t>
      </w:r>
      <w:r w:rsidR="00B25E60" w:rsidRPr="003D540E">
        <w:rPr>
          <w:sz w:val="28"/>
          <w:szCs w:val="28"/>
        </w:rPr>
        <w:t>I</w:t>
      </w:r>
      <w:r w:rsidRPr="003D540E">
        <w:rPr>
          <w:sz w:val="28"/>
          <w:szCs w:val="28"/>
        </w:rPr>
        <w:t xml:space="preserve">f any one of them </w:t>
      </w:r>
      <w:r w:rsidR="00D17784" w:rsidRPr="003D540E">
        <w:rPr>
          <w:sz w:val="28"/>
          <w:szCs w:val="28"/>
        </w:rPr>
        <w:t>is established</w:t>
      </w:r>
      <w:r w:rsidRPr="003D540E">
        <w:rPr>
          <w:sz w:val="28"/>
          <w:szCs w:val="28"/>
        </w:rPr>
        <w:t xml:space="preserve">, </w:t>
      </w:r>
      <w:r w:rsidR="005054BF" w:rsidRPr="003D540E">
        <w:rPr>
          <w:sz w:val="28"/>
          <w:szCs w:val="28"/>
        </w:rPr>
        <w:t xml:space="preserve">the opposition must succeed and </w:t>
      </w:r>
      <w:r w:rsidRPr="003D540E">
        <w:rPr>
          <w:sz w:val="28"/>
          <w:szCs w:val="28"/>
        </w:rPr>
        <w:t xml:space="preserve">the registration of the mark </w:t>
      </w:r>
      <w:r w:rsidR="005054BF" w:rsidRPr="003D540E">
        <w:rPr>
          <w:sz w:val="28"/>
          <w:szCs w:val="28"/>
        </w:rPr>
        <w:t xml:space="preserve">must </w:t>
      </w:r>
      <w:r w:rsidRPr="003D540E">
        <w:rPr>
          <w:sz w:val="28"/>
          <w:szCs w:val="28"/>
        </w:rPr>
        <w:t xml:space="preserve">be refused. </w:t>
      </w:r>
    </w:p>
    <w:p w14:paraId="1C0ACC2B" w14:textId="77777777" w:rsidR="00301ED7" w:rsidRPr="003D540E" w:rsidRDefault="00301ED7" w:rsidP="00C34B14">
      <w:pPr>
        <w:pStyle w:val="ListParagraph"/>
        <w:ind w:left="0"/>
        <w:rPr>
          <w:sz w:val="28"/>
          <w:szCs w:val="28"/>
        </w:rPr>
      </w:pPr>
    </w:p>
    <w:p w14:paraId="65475FF7" w14:textId="2C879C7E" w:rsidR="007B387F" w:rsidRPr="003D540E" w:rsidRDefault="00FA7A0B" w:rsidP="00F32FFD">
      <w:pPr>
        <w:pStyle w:val="ListParagraph"/>
        <w:numPr>
          <w:ilvl w:val="0"/>
          <w:numId w:val="1"/>
        </w:numPr>
        <w:ind w:left="0"/>
        <w:rPr>
          <w:sz w:val="28"/>
          <w:szCs w:val="28"/>
        </w:rPr>
      </w:pPr>
      <w:r w:rsidRPr="003D540E">
        <w:rPr>
          <w:sz w:val="28"/>
          <w:szCs w:val="28"/>
        </w:rPr>
        <w:t xml:space="preserve">Cape Cookies </w:t>
      </w:r>
      <w:r w:rsidR="00030B46" w:rsidRPr="003D540E">
        <w:rPr>
          <w:sz w:val="28"/>
          <w:szCs w:val="28"/>
        </w:rPr>
        <w:t xml:space="preserve">also </w:t>
      </w:r>
      <w:r w:rsidRPr="003D540E">
        <w:rPr>
          <w:sz w:val="28"/>
          <w:szCs w:val="28"/>
        </w:rPr>
        <w:t>submitted that</w:t>
      </w:r>
      <w:r w:rsidR="007570AB" w:rsidRPr="003D540E">
        <w:rPr>
          <w:sz w:val="28"/>
          <w:szCs w:val="28"/>
        </w:rPr>
        <w:t xml:space="preserve"> s 10(17) applies only to goods </w:t>
      </w:r>
      <w:r w:rsidR="005054BF" w:rsidRPr="003D540E">
        <w:rPr>
          <w:sz w:val="28"/>
          <w:szCs w:val="28"/>
        </w:rPr>
        <w:t xml:space="preserve">that are different </w:t>
      </w:r>
      <w:r w:rsidR="007570AB" w:rsidRPr="003D540E">
        <w:rPr>
          <w:sz w:val="28"/>
          <w:szCs w:val="28"/>
        </w:rPr>
        <w:t>t</w:t>
      </w:r>
      <w:r w:rsidR="00B25E60" w:rsidRPr="003D540E">
        <w:rPr>
          <w:sz w:val="28"/>
          <w:szCs w:val="28"/>
        </w:rPr>
        <w:t>o</w:t>
      </w:r>
      <w:r w:rsidR="007570AB" w:rsidRPr="003D540E">
        <w:rPr>
          <w:sz w:val="28"/>
          <w:szCs w:val="28"/>
        </w:rPr>
        <w:t xml:space="preserve"> those for which the mark had been registered. </w:t>
      </w:r>
      <w:r w:rsidR="00E830FF" w:rsidRPr="003D540E">
        <w:rPr>
          <w:sz w:val="28"/>
          <w:szCs w:val="28"/>
        </w:rPr>
        <w:t>As a result, s</w:t>
      </w:r>
      <w:r w:rsidR="007570AB" w:rsidRPr="003D540E">
        <w:rPr>
          <w:sz w:val="28"/>
          <w:szCs w:val="28"/>
        </w:rPr>
        <w:t xml:space="preserve">ince </w:t>
      </w:r>
      <w:r w:rsidR="00A365F6" w:rsidRPr="003D540E">
        <w:rPr>
          <w:sz w:val="28"/>
          <w:szCs w:val="28"/>
        </w:rPr>
        <w:t xml:space="preserve">both SALTICRAX and SNACKCRAX </w:t>
      </w:r>
      <w:r w:rsidR="004F0938" w:rsidRPr="003D540E">
        <w:rPr>
          <w:sz w:val="28"/>
          <w:szCs w:val="28"/>
        </w:rPr>
        <w:t>would cover</w:t>
      </w:r>
      <w:r w:rsidR="00A365F6" w:rsidRPr="003D540E">
        <w:rPr>
          <w:sz w:val="28"/>
          <w:szCs w:val="28"/>
        </w:rPr>
        <w:t xml:space="preserve"> savoury biscuits, National Brands was not entitled to rely on s 10(17) to resist registration. For this proposition, Cape </w:t>
      </w:r>
      <w:r w:rsidR="00A365F6" w:rsidRPr="003D540E">
        <w:rPr>
          <w:sz w:val="28"/>
          <w:szCs w:val="28"/>
        </w:rPr>
        <w:lastRenderedPageBreak/>
        <w:t>Cookies called in aid the</w:t>
      </w:r>
      <w:r w:rsidR="00983F13" w:rsidRPr="003D540E">
        <w:rPr>
          <w:sz w:val="28"/>
          <w:szCs w:val="28"/>
        </w:rPr>
        <w:t xml:space="preserve"> following </w:t>
      </w:r>
      <w:r w:rsidR="00983F13" w:rsidRPr="003D540E">
        <w:rPr>
          <w:i/>
          <w:iCs/>
          <w:sz w:val="28"/>
          <w:szCs w:val="28"/>
        </w:rPr>
        <w:t>dictum</w:t>
      </w:r>
      <w:r w:rsidR="00C36FED" w:rsidRPr="003D540E">
        <w:rPr>
          <w:sz w:val="28"/>
          <w:szCs w:val="28"/>
        </w:rPr>
        <w:t xml:space="preserve"> of Smit J in</w:t>
      </w:r>
      <w:r w:rsidR="00A365F6" w:rsidRPr="003D540E">
        <w:rPr>
          <w:sz w:val="28"/>
          <w:szCs w:val="28"/>
        </w:rPr>
        <w:t xml:space="preserve"> </w:t>
      </w:r>
      <w:bookmarkStart w:id="13" w:name="_Hlk135817161"/>
      <w:r w:rsidR="00C36FED" w:rsidRPr="003D540E">
        <w:rPr>
          <w:i/>
          <w:iCs/>
          <w:sz w:val="28"/>
          <w:szCs w:val="28"/>
        </w:rPr>
        <w:t>Triomed</w:t>
      </w:r>
      <w:bookmarkEnd w:id="13"/>
      <w:r w:rsidR="00C36FED" w:rsidRPr="003D540E">
        <w:rPr>
          <w:i/>
          <w:iCs/>
          <w:sz w:val="28"/>
          <w:szCs w:val="28"/>
        </w:rPr>
        <w:t xml:space="preserve"> (Pty) Ltd v Beecham Group plc and Others</w:t>
      </w:r>
      <w:r w:rsidR="00983F13" w:rsidRPr="003D540E">
        <w:rPr>
          <w:sz w:val="28"/>
          <w:szCs w:val="28"/>
        </w:rPr>
        <w:t>:</w:t>
      </w:r>
    </w:p>
    <w:p w14:paraId="7E397878" w14:textId="77777777" w:rsidR="00E44B04" w:rsidRPr="003D540E" w:rsidRDefault="00E44B04" w:rsidP="00E44B04">
      <w:pPr>
        <w:pStyle w:val="ListParagraph"/>
        <w:ind w:left="0"/>
      </w:pPr>
      <w:r w:rsidRPr="003D540E">
        <w:t>‘</w:t>
      </w:r>
      <w:r w:rsidR="007C7322" w:rsidRPr="003D540E">
        <w:t>It would appear, although not specifically stated in the section, that the purpose of the section is to prevent the use of a well-known mark in the Republic on goods other than those for which the mark is registered. It seems to me that this subsection is not intended to protect a proprietor who cannot prove the requirements of s 34(1)</w:t>
      </w:r>
      <w:r w:rsidR="007C7322" w:rsidRPr="003D540E">
        <w:rPr>
          <w:i/>
          <w:iCs/>
        </w:rPr>
        <w:t>(a)</w:t>
      </w:r>
      <w:r w:rsidR="007C7322" w:rsidRPr="003D540E">
        <w:t> or 34(1)</w:t>
      </w:r>
      <w:r w:rsidR="007C7322" w:rsidRPr="003D540E">
        <w:rPr>
          <w:i/>
          <w:iCs/>
        </w:rPr>
        <w:t>(b)</w:t>
      </w:r>
      <w:r w:rsidR="007C7322" w:rsidRPr="003D540E">
        <w:t> of the Act in respect of the same or similar goods, as those for which a trade mark is registered.’</w:t>
      </w:r>
      <w:r w:rsidRPr="003D540E">
        <w:rPr>
          <w:rStyle w:val="FootnoteReference"/>
        </w:rPr>
        <w:footnoteReference w:id="14"/>
      </w:r>
    </w:p>
    <w:p w14:paraId="7DCF8974" w14:textId="18896951" w:rsidR="006515C4" w:rsidRPr="003D540E" w:rsidRDefault="00EF3E09" w:rsidP="006515C4">
      <w:pPr>
        <w:pStyle w:val="ListParagraph"/>
        <w:ind w:left="0"/>
        <w:rPr>
          <w:sz w:val="28"/>
          <w:szCs w:val="28"/>
        </w:rPr>
      </w:pPr>
      <w:r w:rsidRPr="003D540E">
        <w:rPr>
          <w:sz w:val="28"/>
          <w:szCs w:val="28"/>
        </w:rPr>
        <w:t xml:space="preserve">This </w:t>
      </w:r>
      <w:r w:rsidR="004F0938" w:rsidRPr="003D540E">
        <w:rPr>
          <w:sz w:val="28"/>
          <w:szCs w:val="28"/>
        </w:rPr>
        <w:t>found</w:t>
      </w:r>
      <w:r w:rsidRPr="003D540E">
        <w:rPr>
          <w:sz w:val="28"/>
          <w:szCs w:val="28"/>
        </w:rPr>
        <w:t xml:space="preserve"> </w:t>
      </w:r>
      <w:r w:rsidR="00875601" w:rsidRPr="003D540E">
        <w:rPr>
          <w:sz w:val="28"/>
          <w:szCs w:val="28"/>
        </w:rPr>
        <w:t>support</w:t>
      </w:r>
      <w:r w:rsidRPr="003D540E">
        <w:rPr>
          <w:sz w:val="28"/>
          <w:szCs w:val="28"/>
        </w:rPr>
        <w:t xml:space="preserve"> </w:t>
      </w:r>
      <w:r w:rsidR="003D37AB" w:rsidRPr="003D540E">
        <w:rPr>
          <w:sz w:val="28"/>
          <w:szCs w:val="28"/>
        </w:rPr>
        <w:t>in</w:t>
      </w:r>
      <w:r w:rsidRPr="003D540E">
        <w:rPr>
          <w:sz w:val="28"/>
          <w:szCs w:val="28"/>
        </w:rPr>
        <w:t xml:space="preserve"> </w:t>
      </w:r>
      <w:r w:rsidR="00A6744E" w:rsidRPr="003D540E">
        <w:rPr>
          <w:i/>
          <w:iCs/>
          <w:sz w:val="28"/>
          <w:szCs w:val="28"/>
        </w:rPr>
        <w:t xml:space="preserve">Klimax Manufacturing Ltd and </w:t>
      </w:r>
      <w:r w:rsidR="008A615E" w:rsidRPr="003D540E">
        <w:rPr>
          <w:i/>
          <w:iCs/>
          <w:sz w:val="28"/>
          <w:szCs w:val="28"/>
        </w:rPr>
        <w:t>A</w:t>
      </w:r>
      <w:r w:rsidR="00A6744E" w:rsidRPr="003D540E">
        <w:rPr>
          <w:i/>
          <w:iCs/>
          <w:sz w:val="28"/>
          <w:szCs w:val="28"/>
        </w:rPr>
        <w:t xml:space="preserve">nother v Van Rensburg and </w:t>
      </w:r>
      <w:r w:rsidR="008A615E" w:rsidRPr="003D540E">
        <w:rPr>
          <w:i/>
          <w:iCs/>
          <w:sz w:val="28"/>
          <w:szCs w:val="28"/>
        </w:rPr>
        <w:t>A</w:t>
      </w:r>
      <w:r w:rsidR="00A6744E" w:rsidRPr="003D540E">
        <w:rPr>
          <w:i/>
          <w:iCs/>
          <w:sz w:val="28"/>
          <w:szCs w:val="28"/>
        </w:rPr>
        <w:t>nother</w:t>
      </w:r>
      <w:r w:rsidR="000D4CCF" w:rsidRPr="003D540E">
        <w:rPr>
          <w:sz w:val="28"/>
          <w:szCs w:val="28"/>
        </w:rPr>
        <w:t>.</w:t>
      </w:r>
      <w:r w:rsidR="000D4CCF" w:rsidRPr="003D540E">
        <w:rPr>
          <w:rStyle w:val="FootnoteReference"/>
          <w:sz w:val="28"/>
          <w:szCs w:val="28"/>
        </w:rPr>
        <w:footnoteReference w:id="15"/>
      </w:r>
      <w:r w:rsidR="000D4CCF" w:rsidRPr="003D540E">
        <w:rPr>
          <w:sz w:val="28"/>
          <w:szCs w:val="28"/>
        </w:rPr>
        <w:t xml:space="preserve"> </w:t>
      </w:r>
      <w:r w:rsidR="00C8387B" w:rsidRPr="003D540E">
        <w:rPr>
          <w:sz w:val="28"/>
          <w:szCs w:val="28"/>
        </w:rPr>
        <w:t>Neither matter</w:t>
      </w:r>
      <w:r w:rsidR="007F479A" w:rsidRPr="003D540E">
        <w:rPr>
          <w:sz w:val="28"/>
          <w:szCs w:val="28"/>
        </w:rPr>
        <w:t xml:space="preserve"> </w:t>
      </w:r>
      <w:r w:rsidR="000D4CCF" w:rsidRPr="003D540E">
        <w:rPr>
          <w:sz w:val="28"/>
          <w:szCs w:val="28"/>
        </w:rPr>
        <w:t xml:space="preserve">employed </w:t>
      </w:r>
      <w:r w:rsidR="00C8387B" w:rsidRPr="003D540E">
        <w:rPr>
          <w:sz w:val="28"/>
          <w:szCs w:val="28"/>
        </w:rPr>
        <w:t xml:space="preserve">any reasoning </w:t>
      </w:r>
      <w:r w:rsidR="000D4CCF" w:rsidRPr="003D540E">
        <w:rPr>
          <w:sz w:val="28"/>
          <w:szCs w:val="28"/>
        </w:rPr>
        <w:t>in arriving at that conclusion.</w:t>
      </w:r>
    </w:p>
    <w:p w14:paraId="1DD91CB5" w14:textId="77777777" w:rsidR="005656C1" w:rsidRPr="003D540E" w:rsidRDefault="005656C1" w:rsidP="005656C1">
      <w:pPr>
        <w:pStyle w:val="ListParagraph"/>
        <w:ind w:left="0"/>
        <w:rPr>
          <w:sz w:val="28"/>
          <w:szCs w:val="28"/>
        </w:rPr>
      </w:pPr>
    </w:p>
    <w:p w14:paraId="5AF9F598" w14:textId="7AF55FF3" w:rsidR="00ED441B" w:rsidRPr="003D540E" w:rsidRDefault="00B37C57" w:rsidP="00EC0132">
      <w:pPr>
        <w:pStyle w:val="ListParagraph"/>
        <w:numPr>
          <w:ilvl w:val="0"/>
          <w:numId w:val="1"/>
        </w:numPr>
        <w:ind w:left="0"/>
        <w:rPr>
          <w:sz w:val="28"/>
          <w:szCs w:val="28"/>
        </w:rPr>
      </w:pPr>
      <w:r w:rsidRPr="003D540E">
        <w:rPr>
          <w:sz w:val="28"/>
          <w:szCs w:val="28"/>
        </w:rPr>
        <w:t xml:space="preserve">There are a number of strong </w:t>
      </w:r>
      <w:r w:rsidR="00BC3DB2" w:rsidRPr="003D540E">
        <w:rPr>
          <w:sz w:val="28"/>
          <w:szCs w:val="28"/>
        </w:rPr>
        <w:t xml:space="preserve">indicators </w:t>
      </w:r>
      <w:r w:rsidRPr="003D540E">
        <w:rPr>
          <w:sz w:val="28"/>
          <w:szCs w:val="28"/>
        </w:rPr>
        <w:t xml:space="preserve">that this </w:t>
      </w:r>
      <w:r w:rsidR="00643CCB" w:rsidRPr="003D540E">
        <w:rPr>
          <w:i/>
          <w:iCs/>
          <w:sz w:val="28"/>
          <w:szCs w:val="28"/>
        </w:rPr>
        <w:t>dictum</w:t>
      </w:r>
      <w:r w:rsidR="00643CCB" w:rsidRPr="003D540E">
        <w:rPr>
          <w:sz w:val="28"/>
          <w:szCs w:val="28"/>
        </w:rPr>
        <w:t xml:space="preserve"> </w:t>
      </w:r>
      <w:r w:rsidR="005656C1" w:rsidRPr="003D540E">
        <w:rPr>
          <w:sz w:val="28"/>
          <w:szCs w:val="28"/>
        </w:rPr>
        <w:t xml:space="preserve">cannot be </w:t>
      </w:r>
      <w:r w:rsidR="00BC3DB2" w:rsidRPr="003D540E">
        <w:rPr>
          <w:sz w:val="28"/>
          <w:szCs w:val="28"/>
        </w:rPr>
        <w:t>supported</w:t>
      </w:r>
      <w:r w:rsidRPr="003D540E">
        <w:rPr>
          <w:sz w:val="28"/>
          <w:szCs w:val="28"/>
        </w:rPr>
        <w:t>.</w:t>
      </w:r>
      <w:r w:rsidR="007C2F8C" w:rsidRPr="003D540E">
        <w:rPr>
          <w:sz w:val="28"/>
          <w:szCs w:val="28"/>
        </w:rPr>
        <w:t xml:space="preserve"> </w:t>
      </w:r>
      <w:r w:rsidR="00944C6E" w:rsidRPr="003D540E">
        <w:rPr>
          <w:sz w:val="28"/>
          <w:szCs w:val="28"/>
        </w:rPr>
        <w:t xml:space="preserve">Firstly, the language of our anti-dilution provisions does not </w:t>
      </w:r>
      <w:r w:rsidR="008A615E" w:rsidRPr="003D540E">
        <w:rPr>
          <w:sz w:val="28"/>
          <w:szCs w:val="28"/>
        </w:rPr>
        <w:t xml:space="preserve">in terms </w:t>
      </w:r>
      <w:r w:rsidR="00944C6E" w:rsidRPr="003D540E">
        <w:rPr>
          <w:sz w:val="28"/>
          <w:szCs w:val="28"/>
        </w:rPr>
        <w:t xml:space="preserve">exclude similar goods and services. </w:t>
      </w:r>
      <w:r w:rsidR="007C2F8C" w:rsidRPr="003D540E">
        <w:rPr>
          <w:sz w:val="28"/>
          <w:szCs w:val="28"/>
        </w:rPr>
        <w:t xml:space="preserve">In the </w:t>
      </w:r>
      <w:r w:rsidR="00944C6E" w:rsidRPr="003D540E">
        <w:rPr>
          <w:sz w:val="28"/>
          <w:szCs w:val="28"/>
        </w:rPr>
        <w:t>second</w:t>
      </w:r>
      <w:r w:rsidR="007C2F8C" w:rsidRPr="003D540E">
        <w:rPr>
          <w:sz w:val="28"/>
          <w:szCs w:val="28"/>
        </w:rPr>
        <w:t xml:space="preserve"> place,</w:t>
      </w:r>
      <w:r w:rsidR="00263D58" w:rsidRPr="003D540E">
        <w:rPr>
          <w:sz w:val="28"/>
          <w:szCs w:val="28"/>
        </w:rPr>
        <w:t xml:space="preserve"> th</w:t>
      </w:r>
      <w:r w:rsidR="008A615E" w:rsidRPr="003D540E">
        <w:rPr>
          <w:sz w:val="28"/>
          <w:szCs w:val="28"/>
        </w:rPr>
        <w:t>e provision was adopted with</w:t>
      </w:r>
      <w:r w:rsidR="001218FF" w:rsidRPr="003D540E">
        <w:rPr>
          <w:sz w:val="28"/>
          <w:szCs w:val="28"/>
        </w:rPr>
        <w:t xml:space="preserve"> the stated purpose of align</w:t>
      </w:r>
      <w:r w:rsidR="008A615E" w:rsidRPr="003D540E">
        <w:rPr>
          <w:sz w:val="28"/>
          <w:szCs w:val="28"/>
        </w:rPr>
        <w:t>ing</w:t>
      </w:r>
      <w:r w:rsidR="001218FF" w:rsidRPr="003D540E">
        <w:rPr>
          <w:sz w:val="28"/>
          <w:szCs w:val="28"/>
        </w:rPr>
        <w:t xml:space="preserve"> our Act with </w:t>
      </w:r>
      <w:r w:rsidR="0096139A" w:rsidRPr="003D540E">
        <w:rPr>
          <w:sz w:val="28"/>
          <w:szCs w:val="28"/>
        </w:rPr>
        <w:t>provisions of the EC</w:t>
      </w:r>
      <w:r w:rsidR="00AE67D5" w:rsidRPr="003D540E">
        <w:rPr>
          <w:sz w:val="28"/>
          <w:szCs w:val="28"/>
        </w:rPr>
        <w:t xml:space="preserve"> and the UK White Paper</w:t>
      </w:r>
      <w:r w:rsidR="0096139A" w:rsidRPr="003D540E">
        <w:rPr>
          <w:sz w:val="28"/>
          <w:szCs w:val="28"/>
        </w:rPr>
        <w:t>. The</w:t>
      </w:r>
      <w:r w:rsidR="007730F8" w:rsidRPr="003D540E">
        <w:rPr>
          <w:sz w:val="28"/>
          <w:szCs w:val="28"/>
        </w:rPr>
        <w:t xml:space="preserve"> EC</w:t>
      </w:r>
      <w:r w:rsidR="0096139A" w:rsidRPr="003D540E">
        <w:rPr>
          <w:sz w:val="28"/>
          <w:szCs w:val="28"/>
        </w:rPr>
        <w:t xml:space="preserve"> </w:t>
      </w:r>
      <w:r w:rsidR="008A615E" w:rsidRPr="003D540E">
        <w:rPr>
          <w:sz w:val="28"/>
          <w:szCs w:val="28"/>
        </w:rPr>
        <w:t xml:space="preserve">provisions </w:t>
      </w:r>
      <w:r w:rsidR="0096139A" w:rsidRPr="003D540E">
        <w:rPr>
          <w:sz w:val="28"/>
          <w:szCs w:val="28"/>
        </w:rPr>
        <w:t xml:space="preserve">found expression in the </w:t>
      </w:r>
      <w:r w:rsidR="007730F8" w:rsidRPr="003D540E">
        <w:rPr>
          <w:sz w:val="28"/>
          <w:szCs w:val="28"/>
        </w:rPr>
        <w:t>D</w:t>
      </w:r>
      <w:r w:rsidR="0096139A" w:rsidRPr="003D540E">
        <w:rPr>
          <w:sz w:val="28"/>
          <w:szCs w:val="28"/>
        </w:rPr>
        <w:t>irective mentioned above.</w:t>
      </w:r>
      <w:r w:rsidR="00C00D50" w:rsidRPr="003D540E">
        <w:rPr>
          <w:sz w:val="28"/>
          <w:szCs w:val="28"/>
        </w:rPr>
        <w:t xml:space="preserve"> </w:t>
      </w:r>
      <w:r w:rsidR="008A615E" w:rsidRPr="003D540E">
        <w:rPr>
          <w:sz w:val="28"/>
          <w:szCs w:val="28"/>
        </w:rPr>
        <w:t>It</w:t>
      </w:r>
      <w:r w:rsidR="00C00D50" w:rsidRPr="003D540E">
        <w:rPr>
          <w:sz w:val="28"/>
          <w:szCs w:val="28"/>
        </w:rPr>
        <w:t xml:space="preserve"> allowed for at least two kinds of provisions: those which applied to non-similar goods or services and those</w:t>
      </w:r>
      <w:r w:rsidR="00A76E69" w:rsidRPr="003D540E">
        <w:rPr>
          <w:sz w:val="28"/>
          <w:szCs w:val="28"/>
        </w:rPr>
        <w:t xml:space="preserve"> which did not do so. The UK </w:t>
      </w:r>
      <w:r w:rsidR="002E2670" w:rsidRPr="003D540E">
        <w:rPr>
          <w:sz w:val="28"/>
          <w:szCs w:val="28"/>
        </w:rPr>
        <w:t xml:space="preserve">opted in s 10(3) </w:t>
      </w:r>
      <w:r w:rsidR="008A615E" w:rsidRPr="003D540E">
        <w:rPr>
          <w:sz w:val="28"/>
          <w:szCs w:val="28"/>
        </w:rPr>
        <w:t xml:space="preserve">of its Act </w:t>
      </w:r>
      <w:r w:rsidR="00AE67D5" w:rsidRPr="003D540E">
        <w:rPr>
          <w:sz w:val="28"/>
          <w:szCs w:val="28"/>
        </w:rPr>
        <w:t>to limit the provision to</w:t>
      </w:r>
      <w:r w:rsidR="002E2670" w:rsidRPr="003D540E">
        <w:rPr>
          <w:sz w:val="28"/>
          <w:szCs w:val="28"/>
        </w:rPr>
        <w:t xml:space="preserve"> non-similar goods and services. Our legislat</w:t>
      </w:r>
      <w:r w:rsidR="00480C41" w:rsidRPr="003D540E">
        <w:rPr>
          <w:sz w:val="28"/>
          <w:szCs w:val="28"/>
        </w:rPr>
        <w:t>ure, cogni</w:t>
      </w:r>
      <w:r w:rsidR="00890C94" w:rsidRPr="003D540E">
        <w:rPr>
          <w:sz w:val="28"/>
          <w:szCs w:val="28"/>
        </w:rPr>
        <w:t>s</w:t>
      </w:r>
      <w:r w:rsidR="00480C41" w:rsidRPr="003D540E">
        <w:rPr>
          <w:sz w:val="28"/>
          <w:szCs w:val="28"/>
        </w:rPr>
        <w:t xml:space="preserve">ant of both options </w:t>
      </w:r>
      <w:r w:rsidR="00A54CB8" w:rsidRPr="003D540E">
        <w:rPr>
          <w:sz w:val="28"/>
          <w:szCs w:val="28"/>
        </w:rPr>
        <w:t xml:space="preserve">in the Directive </w:t>
      </w:r>
      <w:r w:rsidR="00480C41" w:rsidRPr="003D540E">
        <w:rPr>
          <w:sz w:val="28"/>
          <w:szCs w:val="28"/>
        </w:rPr>
        <w:t xml:space="preserve">and the election </w:t>
      </w:r>
      <w:r w:rsidR="00BC3DB2" w:rsidRPr="003D540E">
        <w:rPr>
          <w:sz w:val="28"/>
          <w:szCs w:val="28"/>
        </w:rPr>
        <w:t xml:space="preserve">by </w:t>
      </w:r>
      <w:r w:rsidR="00480C41" w:rsidRPr="003D540E">
        <w:rPr>
          <w:sz w:val="28"/>
          <w:szCs w:val="28"/>
        </w:rPr>
        <w:t xml:space="preserve">the UK, </w:t>
      </w:r>
      <w:r w:rsidR="00AE67D5" w:rsidRPr="003D540E">
        <w:rPr>
          <w:sz w:val="28"/>
          <w:szCs w:val="28"/>
        </w:rPr>
        <w:t>chose</w:t>
      </w:r>
      <w:r w:rsidR="00890C94" w:rsidRPr="003D540E">
        <w:rPr>
          <w:sz w:val="28"/>
          <w:szCs w:val="28"/>
        </w:rPr>
        <w:t xml:space="preserve"> not to limit </w:t>
      </w:r>
      <w:r w:rsidR="00C663BD" w:rsidRPr="003D540E">
        <w:rPr>
          <w:sz w:val="28"/>
          <w:szCs w:val="28"/>
        </w:rPr>
        <w:t>the application</w:t>
      </w:r>
      <w:r w:rsidR="00A25F76">
        <w:rPr>
          <w:sz w:val="28"/>
          <w:szCs w:val="28"/>
        </w:rPr>
        <w:t xml:space="preserve"> </w:t>
      </w:r>
      <w:r w:rsidR="00C663BD" w:rsidRPr="003D540E">
        <w:rPr>
          <w:sz w:val="28"/>
          <w:szCs w:val="28"/>
        </w:rPr>
        <w:lastRenderedPageBreak/>
        <w:t xml:space="preserve">of our anti-dilution </w:t>
      </w:r>
      <w:r w:rsidR="00890C94" w:rsidRPr="003D540E">
        <w:rPr>
          <w:sz w:val="28"/>
          <w:szCs w:val="28"/>
        </w:rPr>
        <w:t>provision</w:t>
      </w:r>
      <w:r w:rsidR="00C663BD" w:rsidRPr="003D540E">
        <w:rPr>
          <w:sz w:val="28"/>
          <w:szCs w:val="28"/>
        </w:rPr>
        <w:t>s</w:t>
      </w:r>
      <w:r w:rsidR="00890C94" w:rsidRPr="003D540E">
        <w:rPr>
          <w:sz w:val="28"/>
          <w:szCs w:val="28"/>
        </w:rPr>
        <w:t xml:space="preserve"> to non-similar goods and services.</w:t>
      </w:r>
      <w:r w:rsidR="00B9576C" w:rsidRPr="003D540E">
        <w:rPr>
          <w:rStyle w:val="FootnoteReference"/>
          <w:sz w:val="28"/>
          <w:szCs w:val="28"/>
        </w:rPr>
        <w:footnoteReference w:id="16"/>
      </w:r>
      <w:r w:rsidR="00854EB8" w:rsidRPr="003D540E">
        <w:rPr>
          <w:sz w:val="28"/>
          <w:szCs w:val="28"/>
        </w:rPr>
        <w:t xml:space="preserve"> </w:t>
      </w:r>
      <w:r w:rsidR="00D87103" w:rsidRPr="003D540E">
        <w:rPr>
          <w:sz w:val="28"/>
          <w:szCs w:val="28"/>
        </w:rPr>
        <w:t>This has also been noted in some academic writing.</w:t>
      </w:r>
      <w:r w:rsidR="00D87103" w:rsidRPr="003D540E">
        <w:rPr>
          <w:rStyle w:val="FootnoteReference"/>
          <w:sz w:val="28"/>
          <w:szCs w:val="28"/>
        </w:rPr>
        <w:footnoteReference w:id="17"/>
      </w:r>
    </w:p>
    <w:p w14:paraId="4AB14AE5" w14:textId="77777777" w:rsidR="00EC0132" w:rsidRPr="003D540E" w:rsidRDefault="00EC0132" w:rsidP="00EC0132">
      <w:pPr>
        <w:pStyle w:val="ListParagraph"/>
        <w:ind w:left="0"/>
        <w:rPr>
          <w:sz w:val="28"/>
          <w:szCs w:val="28"/>
        </w:rPr>
      </w:pPr>
    </w:p>
    <w:p w14:paraId="7EFC8C5C" w14:textId="7DC24057" w:rsidR="009C59BB" w:rsidRPr="00067913" w:rsidRDefault="00030B46" w:rsidP="006515C4">
      <w:pPr>
        <w:pStyle w:val="ListParagraph"/>
        <w:numPr>
          <w:ilvl w:val="0"/>
          <w:numId w:val="1"/>
        </w:numPr>
        <w:ind w:left="0"/>
        <w:rPr>
          <w:sz w:val="28"/>
          <w:szCs w:val="28"/>
        </w:rPr>
      </w:pPr>
      <w:r w:rsidRPr="003D540E">
        <w:rPr>
          <w:sz w:val="28"/>
          <w:szCs w:val="28"/>
        </w:rPr>
        <w:t xml:space="preserve">In the </w:t>
      </w:r>
      <w:r w:rsidR="00FC40AA" w:rsidRPr="003D540E">
        <w:rPr>
          <w:sz w:val="28"/>
          <w:szCs w:val="28"/>
        </w:rPr>
        <w:t>third</w:t>
      </w:r>
      <w:r w:rsidRPr="003D540E">
        <w:rPr>
          <w:sz w:val="28"/>
          <w:szCs w:val="28"/>
        </w:rPr>
        <w:t xml:space="preserve"> place</w:t>
      </w:r>
      <w:r w:rsidR="00C663BD" w:rsidRPr="003D540E">
        <w:rPr>
          <w:sz w:val="28"/>
          <w:szCs w:val="28"/>
        </w:rPr>
        <w:t xml:space="preserve">, this </w:t>
      </w:r>
      <w:r w:rsidR="00B70CA4" w:rsidRPr="003D540E">
        <w:rPr>
          <w:sz w:val="28"/>
          <w:szCs w:val="28"/>
        </w:rPr>
        <w:t>c</w:t>
      </w:r>
      <w:r w:rsidR="00C663BD" w:rsidRPr="003D540E">
        <w:rPr>
          <w:sz w:val="28"/>
          <w:szCs w:val="28"/>
        </w:rPr>
        <w:t xml:space="preserve">ourt has </w:t>
      </w:r>
      <w:r w:rsidR="00723A6A" w:rsidRPr="003D540E">
        <w:rPr>
          <w:sz w:val="28"/>
          <w:szCs w:val="28"/>
        </w:rPr>
        <w:t>considered</w:t>
      </w:r>
      <w:r w:rsidR="008A615E" w:rsidRPr="003D540E">
        <w:rPr>
          <w:sz w:val="28"/>
          <w:szCs w:val="28"/>
        </w:rPr>
        <w:t xml:space="preserve"> </w:t>
      </w:r>
      <w:r w:rsidR="00C663BD" w:rsidRPr="003D540E">
        <w:rPr>
          <w:sz w:val="28"/>
          <w:szCs w:val="28"/>
        </w:rPr>
        <w:t>whether the provisions of s 34(1)</w:t>
      </w:r>
      <w:r w:rsidR="00C663BD" w:rsidRPr="003D540E">
        <w:rPr>
          <w:i/>
          <w:iCs/>
          <w:sz w:val="28"/>
          <w:szCs w:val="28"/>
        </w:rPr>
        <w:t>(c)</w:t>
      </w:r>
      <w:r w:rsidR="00C663BD" w:rsidRPr="003D540E">
        <w:rPr>
          <w:sz w:val="28"/>
          <w:szCs w:val="28"/>
        </w:rPr>
        <w:t xml:space="preserve"> apply to </w:t>
      </w:r>
      <w:r w:rsidR="00CD0711" w:rsidRPr="003D540E">
        <w:rPr>
          <w:sz w:val="28"/>
          <w:szCs w:val="28"/>
        </w:rPr>
        <w:t xml:space="preserve">alleged infringements without </w:t>
      </w:r>
      <w:r w:rsidR="00DF0649" w:rsidRPr="003D540E">
        <w:rPr>
          <w:sz w:val="28"/>
          <w:szCs w:val="28"/>
        </w:rPr>
        <w:t>limiting</w:t>
      </w:r>
      <w:r w:rsidR="00497CC3" w:rsidRPr="003D540E">
        <w:rPr>
          <w:sz w:val="28"/>
          <w:szCs w:val="28"/>
        </w:rPr>
        <w:t xml:space="preserve"> th</w:t>
      </w:r>
      <w:r w:rsidR="008A615E" w:rsidRPr="003D540E">
        <w:rPr>
          <w:sz w:val="28"/>
          <w:szCs w:val="28"/>
        </w:rPr>
        <w:t xml:space="preserve">e enquiry to non-similar </w:t>
      </w:r>
      <w:r w:rsidR="00CD0711" w:rsidRPr="003D540E">
        <w:rPr>
          <w:sz w:val="28"/>
          <w:szCs w:val="28"/>
        </w:rPr>
        <w:t>goods.</w:t>
      </w:r>
      <w:r w:rsidR="000D7707" w:rsidRPr="003D540E">
        <w:rPr>
          <w:sz w:val="28"/>
          <w:szCs w:val="28"/>
        </w:rPr>
        <w:t xml:space="preserve"> Some examples will suffice.</w:t>
      </w:r>
      <w:r w:rsidR="001A757B" w:rsidRPr="003D540E">
        <w:rPr>
          <w:sz w:val="28"/>
          <w:szCs w:val="28"/>
        </w:rPr>
        <w:t xml:space="preserve"> </w:t>
      </w:r>
      <w:r w:rsidR="001A757B" w:rsidRPr="003D540E">
        <w:rPr>
          <w:i/>
          <w:iCs/>
          <w:sz w:val="28"/>
          <w:szCs w:val="28"/>
        </w:rPr>
        <w:t>Bata Ltd v Face Fas</w:t>
      </w:r>
      <w:r w:rsidR="00E37A0D" w:rsidRPr="003D540E">
        <w:rPr>
          <w:i/>
          <w:iCs/>
          <w:sz w:val="28"/>
          <w:szCs w:val="28"/>
        </w:rPr>
        <w:t>hions</w:t>
      </w:r>
      <w:r w:rsidR="001A757B" w:rsidRPr="003D540E">
        <w:rPr>
          <w:i/>
          <w:iCs/>
          <w:sz w:val="28"/>
          <w:szCs w:val="28"/>
        </w:rPr>
        <w:t xml:space="preserve"> CC </w:t>
      </w:r>
      <w:r w:rsidR="00E37A0D" w:rsidRPr="003D540E">
        <w:rPr>
          <w:i/>
          <w:iCs/>
          <w:sz w:val="28"/>
          <w:szCs w:val="28"/>
        </w:rPr>
        <w:t xml:space="preserve">and </w:t>
      </w:r>
      <w:r w:rsidR="001A757B" w:rsidRPr="003D540E">
        <w:rPr>
          <w:i/>
          <w:iCs/>
          <w:sz w:val="28"/>
          <w:szCs w:val="28"/>
        </w:rPr>
        <w:t>A</w:t>
      </w:r>
      <w:r w:rsidR="00E37A0D" w:rsidRPr="003D540E">
        <w:rPr>
          <w:i/>
          <w:iCs/>
          <w:sz w:val="28"/>
          <w:szCs w:val="28"/>
        </w:rPr>
        <w:t>nother</w:t>
      </w:r>
      <w:r w:rsidR="00E37A0D" w:rsidRPr="003D540E">
        <w:rPr>
          <w:sz w:val="28"/>
          <w:szCs w:val="28"/>
        </w:rPr>
        <w:t>,</w:t>
      </w:r>
      <w:r w:rsidR="00E37A0D" w:rsidRPr="003D540E">
        <w:rPr>
          <w:rStyle w:val="FootnoteReference"/>
          <w:sz w:val="28"/>
          <w:szCs w:val="28"/>
        </w:rPr>
        <w:footnoteReference w:id="18"/>
      </w:r>
      <w:r w:rsidR="00797E6D" w:rsidRPr="003D540E">
        <w:rPr>
          <w:sz w:val="28"/>
          <w:szCs w:val="28"/>
        </w:rPr>
        <w:t xml:space="preserve"> </w:t>
      </w:r>
      <w:r w:rsidR="003812F2" w:rsidRPr="003D540E">
        <w:rPr>
          <w:sz w:val="28"/>
          <w:szCs w:val="28"/>
        </w:rPr>
        <w:t xml:space="preserve">was concerned with the infringement of the appellant’s trade mark in respect of footwear on the respondents’ clothing. </w:t>
      </w:r>
      <w:r w:rsidR="00392CC9" w:rsidRPr="003D540E">
        <w:rPr>
          <w:sz w:val="28"/>
          <w:szCs w:val="28"/>
        </w:rPr>
        <w:t>Consideration was given to the merits of a s 34(1)</w:t>
      </w:r>
      <w:r w:rsidR="00392CC9" w:rsidRPr="003D540E">
        <w:rPr>
          <w:i/>
          <w:iCs/>
          <w:sz w:val="28"/>
          <w:szCs w:val="28"/>
        </w:rPr>
        <w:t>(c)</w:t>
      </w:r>
      <w:r w:rsidR="00392CC9" w:rsidRPr="003D540E">
        <w:rPr>
          <w:sz w:val="28"/>
          <w:szCs w:val="28"/>
        </w:rPr>
        <w:t xml:space="preserve"> infringement</w:t>
      </w:r>
      <w:r w:rsidR="00E704B3" w:rsidRPr="003D540E">
        <w:rPr>
          <w:sz w:val="28"/>
          <w:szCs w:val="28"/>
        </w:rPr>
        <w:t xml:space="preserve"> claim</w:t>
      </w:r>
      <w:r w:rsidR="00392CC9" w:rsidRPr="003D540E">
        <w:rPr>
          <w:sz w:val="28"/>
          <w:szCs w:val="28"/>
        </w:rPr>
        <w:t>.</w:t>
      </w:r>
      <w:r w:rsidR="00241961" w:rsidRPr="003D540E">
        <w:rPr>
          <w:sz w:val="28"/>
          <w:szCs w:val="28"/>
        </w:rPr>
        <w:t xml:space="preserve"> Likewise, in </w:t>
      </w:r>
      <w:r w:rsidR="00241961" w:rsidRPr="003D540E">
        <w:rPr>
          <w:i/>
          <w:sz w:val="28"/>
          <w:szCs w:val="28"/>
          <w:lang w:val="pt-BR"/>
        </w:rPr>
        <w:t>Lucky Star Ltd v Lucky Brands (Pty) Ltd</w:t>
      </w:r>
      <w:r w:rsidR="00241961" w:rsidRPr="003D540E">
        <w:rPr>
          <w:sz w:val="28"/>
          <w:szCs w:val="28"/>
          <w:lang w:val="pt-BR"/>
        </w:rPr>
        <w:t>,</w:t>
      </w:r>
      <w:r w:rsidR="00946025" w:rsidRPr="003D540E">
        <w:rPr>
          <w:rStyle w:val="FootnoteReference"/>
          <w:sz w:val="28"/>
          <w:szCs w:val="28"/>
          <w:lang w:val="pt-BR"/>
        </w:rPr>
        <w:footnoteReference w:id="19"/>
      </w:r>
      <w:r w:rsidR="007C4823" w:rsidRPr="003D540E">
        <w:rPr>
          <w:sz w:val="28"/>
          <w:szCs w:val="28"/>
          <w:lang w:val="pt-BR"/>
        </w:rPr>
        <w:t xml:space="preserve"> both the LUCKY STAR mark and the LUCKY FISH AND CHIPS</w:t>
      </w:r>
      <w:r w:rsidR="00406B03" w:rsidRPr="003D540E">
        <w:rPr>
          <w:sz w:val="28"/>
          <w:szCs w:val="28"/>
          <w:lang w:val="pt-BR"/>
        </w:rPr>
        <w:t xml:space="preserve"> were used in relation to fish products</w:t>
      </w:r>
      <w:r w:rsidR="003812F2" w:rsidRPr="003D540E">
        <w:rPr>
          <w:sz w:val="28"/>
          <w:szCs w:val="28"/>
          <w:lang w:val="pt-BR"/>
        </w:rPr>
        <w:t>; the former in respect of canned fish and the latter, cooked fish and chips</w:t>
      </w:r>
      <w:r w:rsidR="00406B03" w:rsidRPr="003D540E">
        <w:rPr>
          <w:sz w:val="28"/>
          <w:szCs w:val="28"/>
          <w:lang w:val="pt-BR"/>
        </w:rPr>
        <w:t xml:space="preserve">. Once more, the merits of </w:t>
      </w:r>
      <w:r w:rsidR="008A615E" w:rsidRPr="003D540E">
        <w:rPr>
          <w:sz w:val="28"/>
          <w:szCs w:val="28"/>
          <w:lang w:val="pt-BR"/>
        </w:rPr>
        <w:t>alleged infringement</w:t>
      </w:r>
      <w:r w:rsidR="00406B03" w:rsidRPr="003D540E">
        <w:rPr>
          <w:sz w:val="28"/>
          <w:szCs w:val="28"/>
          <w:lang w:val="pt-BR"/>
        </w:rPr>
        <w:t xml:space="preserve"> under s 34(1)</w:t>
      </w:r>
      <w:r w:rsidR="00406B03" w:rsidRPr="003D540E">
        <w:rPr>
          <w:i/>
          <w:iCs/>
          <w:sz w:val="28"/>
          <w:szCs w:val="28"/>
          <w:lang w:val="pt-BR"/>
        </w:rPr>
        <w:t>(c)</w:t>
      </w:r>
      <w:r w:rsidR="005D7DB4" w:rsidRPr="003D540E">
        <w:rPr>
          <w:sz w:val="28"/>
          <w:szCs w:val="28"/>
          <w:lang w:val="pt-BR"/>
        </w:rPr>
        <w:t xml:space="preserve"> were considered.</w:t>
      </w:r>
      <w:r w:rsidR="00FB4FF9" w:rsidRPr="003D540E">
        <w:rPr>
          <w:sz w:val="28"/>
          <w:szCs w:val="28"/>
          <w:lang w:val="pt-BR"/>
        </w:rPr>
        <w:t xml:space="preserve"> </w:t>
      </w:r>
      <w:r w:rsidR="000F60D1" w:rsidRPr="003D540E">
        <w:rPr>
          <w:sz w:val="28"/>
          <w:szCs w:val="28"/>
          <w:lang w:val="pt-BR"/>
        </w:rPr>
        <w:t xml:space="preserve">Finally, in </w:t>
      </w:r>
      <w:r w:rsidR="00E32235" w:rsidRPr="003D540E">
        <w:rPr>
          <w:bCs/>
          <w:i/>
          <w:sz w:val="28"/>
          <w:szCs w:val="28"/>
          <w:lang w:val="en-GB"/>
        </w:rPr>
        <w:t>Yuppiechef Holdings (Pty) Ltd v Yuppie Gadgets Holdings (Pty) Ltd</w:t>
      </w:r>
      <w:r w:rsidR="00E32235" w:rsidRPr="003D540E">
        <w:rPr>
          <w:bCs/>
          <w:sz w:val="28"/>
          <w:szCs w:val="28"/>
          <w:lang w:val="en-GB"/>
        </w:rPr>
        <w:t>,</w:t>
      </w:r>
      <w:r w:rsidR="00E32235" w:rsidRPr="003D540E">
        <w:rPr>
          <w:rStyle w:val="FootnoteReference"/>
          <w:bCs/>
          <w:sz w:val="28"/>
          <w:szCs w:val="28"/>
          <w:lang w:val="en-GB"/>
        </w:rPr>
        <w:footnoteReference w:id="20"/>
      </w:r>
      <w:r w:rsidR="00E32235" w:rsidRPr="003D540E">
        <w:rPr>
          <w:bCs/>
          <w:sz w:val="28"/>
          <w:szCs w:val="28"/>
          <w:lang w:val="en-GB"/>
        </w:rPr>
        <w:t xml:space="preserve"> </w:t>
      </w:r>
      <w:r w:rsidR="008224DC" w:rsidRPr="003D540E">
        <w:rPr>
          <w:bCs/>
          <w:sz w:val="28"/>
          <w:szCs w:val="28"/>
          <w:lang w:val="en-GB"/>
        </w:rPr>
        <w:t>this court had to consider whether the respondent was infringing the appellant</w:t>
      </w:r>
      <w:r w:rsidR="001F7394" w:rsidRPr="003D540E">
        <w:rPr>
          <w:bCs/>
          <w:sz w:val="28"/>
          <w:szCs w:val="28"/>
          <w:lang w:val="en-GB"/>
        </w:rPr>
        <w:t>’</w:t>
      </w:r>
      <w:r w:rsidR="008224DC" w:rsidRPr="003D540E">
        <w:rPr>
          <w:bCs/>
          <w:sz w:val="28"/>
          <w:szCs w:val="28"/>
          <w:lang w:val="en-GB"/>
        </w:rPr>
        <w:t>s ‘</w:t>
      </w:r>
      <w:r w:rsidR="003C5200" w:rsidRPr="003D540E">
        <w:rPr>
          <w:bCs/>
          <w:sz w:val="28"/>
          <w:szCs w:val="28"/>
          <w:lang w:val="en-GB"/>
        </w:rPr>
        <w:t>YUPPIECHEF</w:t>
      </w:r>
      <w:r w:rsidR="008224DC" w:rsidRPr="003D540E">
        <w:rPr>
          <w:bCs/>
          <w:sz w:val="28"/>
          <w:szCs w:val="28"/>
          <w:lang w:val="en-GB"/>
        </w:rPr>
        <w:t xml:space="preserve">’ mark by using the unregistered mark ‘Yuppie Gadgets’ in respect of </w:t>
      </w:r>
      <w:r w:rsidR="005832FA" w:rsidRPr="003D540E">
        <w:rPr>
          <w:bCs/>
          <w:sz w:val="28"/>
          <w:szCs w:val="28"/>
          <w:lang w:val="en-GB"/>
        </w:rPr>
        <w:t>‘</w:t>
      </w:r>
      <w:r w:rsidR="0009210C" w:rsidRPr="003D540E">
        <w:rPr>
          <w:bCs/>
          <w:sz w:val="28"/>
          <w:szCs w:val="28"/>
          <w:lang w:val="en-GB"/>
        </w:rPr>
        <w:t>different types of kitchen equipment . . . as well as other items of household equipment’</w:t>
      </w:r>
      <w:r w:rsidR="008A615E" w:rsidRPr="003D540E">
        <w:rPr>
          <w:bCs/>
          <w:sz w:val="28"/>
          <w:szCs w:val="28"/>
          <w:lang w:val="en-GB"/>
        </w:rPr>
        <w:t xml:space="preserve">. </w:t>
      </w:r>
      <w:r w:rsidR="008224DC" w:rsidRPr="003D540E">
        <w:rPr>
          <w:bCs/>
          <w:sz w:val="28"/>
          <w:szCs w:val="28"/>
          <w:lang w:val="en-GB"/>
        </w:rPr>
        <w:t xml:space="preserve">Although in each matter the alleged claim of infringement </w:t>
      </w:r>
      <w:r w:rsidR="008224DC" w:rsidRPr="003D540E">
        <w:rPr>
          <w:bCs/>
          <w:sz w:val="28"/>
          <w:szCs w:val="28"/>
          <w:lang w:val="en-GB"/>
        </w:rPr>
        <w:lastRenderedPageBreak/>
        <w:t xml:space="preserve">failed, </w:t>
      </w:r>
      <w:r w:rsidR="00A26FD1" w:rsidRPr="003D540E">
        <w:rPr>
          <w:bCs/>
          <w:sz w:val="28"/>
          <w:szCs w:val="28"/>
          <w:lang w:val="en-GB"/>
        </w:rPr>
        <w:t xml:space="preserve">this court considered the </w:t>
      </w:r>
      <w:r w:rsidR="00B4799F" w:rsidRPr="003D540E">
        <w:rPr>
          <w:bCs/>
          <w:sz w:val="28"/>
          <w:szCs w:val="28"/>
          <w:lang w:val="en-GB"/>
        </w:rPr>
        <w:t xml:space="preserve">infringement claim </w:t>
      </w:r>
      <w:r w:rsidR="00A26FD1" w:rsidRPr="003D540E">
        <w:rPr>
          <w:bCs/>
          <w:sz w:val="28"/>
          <w:szCs w:val="28"/>
          <w:lang w:val="en-GB"/>
        </w:rPr>
        <w:t>on its merits</w:t>
      </w:r>
      <w:r w:rsidR="008224DC" w:rsidRPr="003D540E">
        <w:rPr>
          <w:bCs/>
          <w:sz w:val="28"/>
          <w:szCs w:val="28"/>
          <w:lang w:val="en-GB"/>
        </w:rPr>
        <w:t xml:space="preserve"> despite some overlap in the nature of the goods</w:t>
      </w:r>
      <w:r w:rsidR="00A26FD1" w:rsidRPr="003D540E">
        <w:rPr>
          <w:bCs/>
          <w:sz w:val="28"/>
          <w:szCs w:val="28"/>
          <w:lang w:val="en-GB"/>
        </w:rPr>
        <w:t>.</w:t>
      </w:r>
    </w:p>
    <w:p w14:paraId="202B49E3" w14:textId="77777777" w:rsidR="00067913" w:rsidRPr="003D540E" w:rsidRDefault="00067913" w:rsidP="00067913">
      <w:pPr>
        <w:pStyle w:val="ListParagraph"/>
        <w:ind w:left="0"/>
        <w:rPr>
          <w:sz w:val="28"/>
          <w:szCs w:val="28"/>
        </w:rPr>
      </w:pPr>
    </w:p>
    <w:p w14:paraId="0A86AF6D" w14:textId="4A69A96C" w:rsidR="00C663BD" w:rsidRPr="003D540E" w:rsidRDefault="00FC40AA" w:rsidP="00C1756E">
      <w:pPr>
        <w:pStyle w:val="ListParagraph"/>
        <w:numPr>
          <w:ilvl w:val="0"/>
          <w:numId w:val="1"/>
        </w:numPr>
        <w:ind w:left="0"/>
        <w:rPr>
          <w:sz w:val="28"/>
          <w:szCs w:val="28"/>
        </w:rPr>
      </w:pPr>
      <w:r w:rsidRPr="003D540E">
        <w:rPr>
          <w:sz w:val="28"/>
          <w:szCs w:val="28"/>
          <w:lang w:val="pt-BR"/>
        </w:rPr>
        <w:t xml:space="preserve">Finally, </w:t>
      </w:r>
      <w:r w:rsidR="006212C2" w:rsidRPr="003D540E">
        <w:rPr>
          <w:sz w:val="28"/>
          <w:szCs w:val="28"/>
          <w:lang w:val="pt-BR"/>
        </w:rPr>
        <w:t>certain</w:t>
      </w:r>
      <w:r w:rsidRPr="003D540E">
        <w:rPr>
          <w:sz w:val="28"/>
          <w:szCs w:val="28"/>
          <w:lang w:val="pt-BR"/>
        </w:rPr>
        <w:t xml:space="preserve"> </w:t>
      </w:r>
      <w:r w:rsidRPr="003D540E">
        <w:rPr>
          <w:i/>
          <w:iCs/>
          <w:sz w:val="28"/>
          <w:szCs w:val="28"/>
          <w:lang w:val="pt-BR"/>
        </w:rPr>
        <w:t>dicta</w:t>
      </w:r>
      <w:r w:rsidRPr="003D540E">
        <w:rPr>
          <w:sz w:val="28"/>
          <w:szCs w:val="28"/>
          <w:lang w:val="pt-BR"/>
        </w:rPr>
        <w:t xml:space="preserve"> of this court lend some support to an inclusive interpretation. </w:t>
      </w:r>
      <w:r w:rsidR="00FB4FF9" w:rsidRPr="003D540E">
        <w:rPr>
          <w:sz w:val="28"/>
          <w:szCs w:val="28"/>
          <w:lang w:val="pt-BR"/>
        </w:rPr>
        <w:t xml:space="preserve">In </w:t>
      </w:r>
      <w:r w:rsidR="00FB4FF9" w:rsidRPr="003D540E">
        <w:rPr>
          <w:i/>
          <w:iCs/>
          <w:sz w:val="28"/>
          <w:szCs w:val="28"/>
          <w:lang w:val="pt-BR"/>
        </w:rPr>
        <w:t>Verimark</w:t>
      </w:r>
      <w:r w:rsidR="00FB4FF9" w:rsidRPr="003D540E">
        <w:rPr>
          <w:sz w:val="28"/>
          <w:szCs w:val="28"/>
          <w:lang w:val="pt-BR"/>
        </w:rPr>
        <w:t>, the goods were dissimilar</w:t>
      </w:r>
      <w:r w:rsidR="009C59BB" w:rsidRPr="003D540E">
        <w:rPr>
          <w:sz w:val="28"/>
          <w:szCs w:val="28"/>
          <w:lang w:val="pt-BR"/>
        </w:rPr>
        <w:t xml:space="preserve">: one being a car and the other a car polish. Harms JA there said that </w:t>
      </w:r>
      <w:r w:rsidR="008A615E" w:rsidRPr="003D540E">
        <w:rPr>
          <w:sz w:val="28"/>
          <w:szCs w:val="28"/>
          <w:lang w:val="pt-BR"/>
        </w:rPr>
        <w:t>s 34(1)</w:t>
      </w:r>
      <w:r w:rsidR="008A615E" w:rsidRPr="003D540E">
        <w:rPr>
          <w:i/>
          <w:iCs/>
          <w:sz w:val="28"/>
          <w:szCs w:val="28"/>
          <w:lang w:val="pt-BR"/>
        </w:rPr>
        <w:t>(c)</w:t>
      </w:r>
      <w:r w:rsidR="009C59BB" w:rsidRPr="003D540E">
        <w:rPr>
          <w:sz w:val="28"/>
          <w:szCs w:val="28"/>
          <w:lang w:val="pt-BR"/>
        </w:rPr>
        <w:t xml:space="preserve"> applied to ‘any goods’</w:t>
      </w:r>
      <w:r w:rsidR="00FC6BC9" w:rsidRPr="003D540E">
        <w:rPr>
          <w:sz w:val="28"/>
          <w:szCs w:val="28"/>
          <w:lang w:val="pt-BR"/>
        </w:rPr>
        <w:t>.</w:t>
      </w:r>
      <w:r w:rsidR="00A26FD1" w:rsidRPr="003D540E">
        <w:rPr>
          <w:rStyle w:val="FootnoteReference"/>
          <w:sz w:val="28"/>
          <w:szCs w:val="28"/>
          <w:lang w:val="pt-BR"/>
        </w:rPr>
        <w:footnoteReference w:id="21"/>
      </w:r>
      <w:r w:rsidR="009C59BB" w:rsidRPr="003D540E">
        <w:rPr>
          <w:sz w:val="28"/>
          <w:szCs w:val="28"/>
          <w:lang w:val="pt-BR"/>
        </w:rPr>
        <w:t xml:space="preserve"> </w:t>
      </w:r>
      <w:r w:rsidR="00AA27F1" w:rsidRPr="003D540E">
        <w:rPr>
          <w:sz w:val="28"/>
          <w:szCs w:val="28"/>
          <w:lang w:val="pt-BR"/>
        </w:rPr>
        <w:t>Likewise</w:t>
      </w:r>
      <w:r w:rsidR="00FE7BF1" w:rsidRPr="003D540E">
        <w:rPr>
          <w:sz w:val="28"/>
          <w:szCs w:val="28"/>
          <w:lang w:val="pt-BR"/>
        </w:rPr>
        <w:t xml:space="preserve">, in </w:t>
      </w:r>
      <w:r w:rsidR="00FE7BF1" w:rsidRPr="003D540E">
        <w:rPr>
          <w:i/>
          <w:iCs/>
          <w:sz w:val="28"/>
          <w:szCs w:val="28"/>
        </w:rPr>
        <w:t>Laugh It Off</w:t>
      </w:r>
      <w:r w:rsidR="00FE7BF1" w:rsidRPr="003D540E">
        <w:rPr>
          <w:sz w:val="28"/>
          <w:szCs w:val="28"/>
        </w:rPr>
        <w:t xml:space="preserve"> SCA, </w:t>
      </w:r>
      <w:r w:rsidR="00FC6BC9" w:rsidRPr="003D540E">
        <w:rPr>
          <w:sz w:val="28"/>
          <w:szCs w:val="28"/>
        </w:rPr>
        <w:t>it was</w:t>
      </w:r>
      <w:r w:rsidR="00FE7BF1" w:rsidRPr="003D540E">
        <w:rPr>
          <w:sz w:val="28"/>
          <w:szCs w:val="28"/>
        </w:rPr>
        <w:t xml:space="preserve"> said</w:t>
      </w:r>
      <w:r w:rsidR="00FC6BC9" w:rsidRPr="003D540E">
        <w:rPr>
          <w:sz w:val="28"/>
          <w:szCs w:val="28"/>
        </w:rPr>
        <w:t xml:space="preserve"> that</w:t>
      </w:r>
      <w:r w:rsidR="00FE7BF1" w:rsidRPr="003D540E">
        <w:rPr>
          <w:sz w:val="28"/>
          <w:szCs w:val="28"/>
        </w:rPr>
        <w:t>, ‘</w:t>
      </w:r>
      <w:r w:rsidR="00897ED7" w:rsidRPr="003D540E">
        <w:rPr>
          <w:sz w:val="28"/>
          <w:szCs w:val="28"/>
        </w:rPr>
        <w:t>the defendant's use need not be in relation to </w:t>
      </w:r>
      <w:r w:rsidR="00897ED7" w:rsidRPr="003D540E">
        <w:rPr>
          <w:i/>
          <w:iCs/>
          <w:sz w:val="28"/>
          <w:szCs w:val="28"/>
        </w:rPr>
        <w:t>similar</w:t>
      </w:r>
      <w:r w:rsidR="00897ED7" w:rsidRPr="003D540E">
        <w:rPr>
          <w:sz w:val="28"/>
          <w:szCs w:val="28"/>
        </w:rPr>
        <w:t> goods or services’.</w:t>
      </w:r>
      <w:r w:rsidR="00897ED7" w:rsidRPr="003D540E">
        <w:rPr>
          <w:rStyle w:val="FootnoteReference"/>
          <w:sz w:val="28"/>
          <w:szCs w:val="28"/>
        </w:rPr>
        <w:footnoteReference w:id="22"/>
      </w:r>
      <w:r w:rsidR="00FC6BC9" w:rsidRPr="003D540E">
        <w:rPr>
          <w:sz w:val="28"/>
          <w:szCs w:val="28"/>
        </w:rPr>
        <w:t xml:space="preserve"> </w:t>
      </w:r>
      <w:r w:rsidR="00091964" w:rsidRPr="003D540E">
        <w:rPr>
          <w:sz w:val="28"/>
          <w:szCs w:val="28"/>
        </w:rPr>
        <w:t>I</w:t>
      </w:r>
      <w:r w:rsidR="00F75166" w:rsidRPr="003D540E">
        <w:rPr>
          <w:sz w:val="28"/>
          <w:szCs w:val="28"/>
        </w:rPr>
        <w:t xml:space="preserve">n </w:t>
      </w:r>
      <w:r w:rsidR="00F75166" w:rsidRPr="003D540E">
        <w:rPr>
          <w:i/>
          <w:iCs/>
          <w:sz w:val="28"/>
          <w:szCs w:val="28"/>
        </w:rPr>
        <w:t>National Brands v Blue Lion</w:t>
      </w:r>
      <w:r w:rsidR="00F75166" w:rsidRPr="003D540E">
        <w:rPr>
          <w:sz w:val="28"/>
          <w:szCs w:val="28"/>
        </w:rPr>
        <w:t>, this court held</w:t>
      </w:r>
      <w:r w:rsidR="005038D0" w:rsidRPr="003D540E">
        <w:rPr>
          <w:sz w:val="28"/>
          <w:szCs w:val="28"/>
        </w:rPr>
        <w:t>, ‘</w:t>
      </w:r>
      <w:r w:rsidR="00F75166" w:rsidRPr="003D540E">
        <w:rPr>
          <w:sz w:val="28"/>
          <w:szCs w:val="28"/>
        </w:rPr>
        <w:t>the nature of the goods or services in relation to which the offending mark is used is immaterial . . .’.</w:t>
      </w:r>
      <w:r w:rsidR="00F75166" w:rsidRPr="003D540E">
        <w:rPr>
          <w:rStyle w:val="FootnoteReference"/>
          <w:sz w:val="28"/>
          <w:szCs w:val="28"/>
        </w:rPr>
        <w:footnoteReference w:id="23"/>
      </w:r>
      <w:r w:rsidR="00F75166" w:rsidRPr="003D540E">
        <w:rPr>
          <w:sz w:val="28"/>
          <w:szCs w:val="28"/>
        </w:rPr>
        <w:t xml:space="preserve"> </w:t>
      </w:r>
      <w:r w:rsidR="00C30CC1" w:rsidRPr="003D540E">
        <w:rPr>
          <w:sz w:val="28"/>
          <w:szCs w:val="28"/>
        </w:rPr>
        <w:t xml:space="preserve">It must be pointed out however that </w:t>
      </w:r>
      <w:r w:rsidR="003B1DF9" w:rsidRPr="003D540E">
        <w:rPr>
          <w:sz w:val="28"/>
          <w:szCs w:val="28"/>
        </w:rPr>
        <w:t>in none of these matters was the nature of the goods placed in issue.</w:t>
      </w:r>
      <w:r w:rsidR="005F0B8C" w:rsidRPr="003D540E">
        <w:rPr>
          <w:sz w:val="28"/>
          <w:szCs w:val="28"/>
        </w:rPr>
        <w:t xml:space="preserve"> </w:t>
      </w:r>
      <w:r w:rsidR="00C30CC1" w:rsidRPr="003D540E">
        <w:rPr>
          <w:sz w:val="28"/>
          <w:szCs w:val="28"/>
        </w:rPr>
        <w:t xml:space="preserve">But, they all support the general acceptance </w:t>
      </w:r>
      <w:r w:rsidR="008B7411" w:rsidRPr="003D540E">
        <w:rPr>
          <w:sz w:val="28"/>
          <w:szCs w:val="28"/>
        </w:rPr>
        <w:t xml:space="preserve">of the notion </w:t>
      </w:r>
      <w:r w:rsidR="00C30CC1" w:rsidRPr="003D540E">
        <w:rPr>
          <w:sz w:val="28"/>
          <w:szCs w:val="28"/>
        </w:rPr>
        <w:t xml:space="preserve">that the provision applies to ‘any goods’. </w:t>
      </w:r>
    </w:p>
    <w:p w14:paraId="6C049BFF" w14:textId="77777777" w:rsidR="005656C1" w:rsidRPr="003D540E" w:rsidRDefault="005656C1" w:rsidP="0038526A">
      <w:pPr>
        <w:pStyle w:val="ListParagraph"/>
        <w:ind w:left="0"/>
        <w:rPr>
          <w:sz w:val="28"/>
          <w:szCs w:val="28"/>
        </w:rPr>
      </w:pPr>
    </w:p>
    <w:p w14:paraId="07E176B5" w14:textId="7B4EDD7A" w:rsidR="00F1609E" w:rsidRPr="003D540E" w:rsidRDefault="001858E2" w:rsidP="006515C4">
      <w:pPr>
        <w:pStyle w:val="ListParagraph"/>
        <w:numPr>
          <w:ilvl w:val="0"/>
          <w:numId w:val="1"/>
        </w:numPr>
        <w:ind w:left="0"/>
        <w:rPr>
          <w:sz w:val="28"/>
          <w:szCs w:val="28"/>
        </w:rPr>
      </w:pPr>
      <w:r w:rsidRPr="003D540E">
        <w:rPr>
          <w:sz w:val="28"/>
          <w:szCs w:val="28"/>
        </w:rPr>
        <w:t xml:space="preserve">For all of the above reasons, </w:t>
      </w:r>
      <w:r w:rsidR="0031212F" w:rsidRPr="003D540E">
        <w:rPr>
          <w:sz w:val="28"/>
          <w:szCs w:val="28"/>
        </w:rPr>
        <w:t>I conclude that s 10(17) is not limited to matters involving different goods or services to those covered by the registered trade</w:t>
      </w:r>
      <w:r w:rsidR="00C30CC1" w:rsidRPr="003D540E">
        <w:rPr>
          <w:sz w:val="28"/>
          <w:szCs w:val="28"/>
        </w:rPr>
        <w:t xml:space="preserve"> </w:t>
      </w:r>
      <w:r w:rsidR="0031212F" w:rsidRPr="003D540E">
        <w:rPr>
          <w:sz w:val="28"/>
          <w:szCs w:val="28"/>
        </w:rPr>
        <w:t>mark</w:t>
      </w:r>
      <w:r w:rsidRPr="003D540E">
        <w:rPr>
          <w:sz w:val="28"/>
          <w:szCs w:val="28"/>
        </w:rPr>
        <w:t xml:space="preserve">. </w:t>
      </w:r>
      <w:r w:rsidR="00114F78" w:rsidRPr="003D540E">
        <w:rPr>
          <w:sz w:val="28"/>
          <w:szCs w:val="28"/>
        </w:rPr>
        <w:t xml:space="preserve">Similar goods and services fall squarely within its ambit. </w:t>
      </w:r>
      <w:r w:rsidRPr="003D540E">
        <w:rPr>
          <w:sz w:val="28"/>
          <w:szCs w:val="28"/>
        </w:rPr>
        <w:t xml:space="preserve">The submission of Cape Cookies to </w:t>
      </w:r>
      <w:r w:rsidR="00C30CC1" w:rsidRPr="003D540E">
        <w:rPr>
          <w:sz w:val="28"/>
          <w:szCs w:val="28"/>
        </w:rPr>
        <w:t xml:space="preserve">the contrary </w:t>
      </w:r>
      <w:r w:rsidRPr="003D540E">
        <w:rPr>
          <w:sz w:val="28"/>
          <w:szCs w:val="28"/>
        </w:rPr>
        <w:t>effect</w:t>
      </w:r>
      <w:r w:rsidR="000744C6" w:rsidRPr="003D540E">
        <w:rPr>
          <w:sz w:val="28"/>
          <w:szCs w:val="28"/>
        </w:rPr>
        <w:t xml:space="preserve"> </w:t>
      </w:r>
      <w:r w:rsidR="00B62EB3" w:rsidRPr="003D540E">
        <w:rPr>
          <w:sz w:val="28"/>
          <w:szCs w:val="28"/>
        </w:rPr>
        <w:t>must be rejected</w:t>
      </w:r>
      <w:r w:rsidR="00114F78" w:rsidRPr="003D540E">
        <w:rPr>
          <w:sz w:val="28"/>
          <w:szCs w:val="28"/>
        </w:rPr>
        <w:t xml:space="preserve">, as must the </w:t>
      </w:r>
      <w:r w:rsidR="00114F78" w:rsidRPr="003D540E">
        <w:rPr>
          <w:i/>
          <w:iCs/>
          <w:sz w:val="28"/>
          <w:szCs w:val="28"/>
        </w:rPr>
        <w:t>dicta</w:t>
      </w:r>
      <w:r w:rsidR="00114F78" w:rsidRPr="003D540E">
        <w:rPr>
          <w:sz w:val="28"/>
          <w:szCs w:val="28"/>
        </w:rPr>
        <w:t xml:space="preserve"> in </w:t>
      </w:r>
      <w:r w:rsidR="00114F78" w:rsidRPr="003D540E">
        <w:rPr>
          <w:i/>
          <w:iCs/>
          <w:sz w:val="28"/>
          <w:szCs w:val="28"/>
        </w:rPr>
        <w:t>Triomed</w:t>
      </w:r>
      <w:r w:rsidR="00114F78" w:rsidRPr="003D540E">
        <w:rPr>
          <w:sz w:val="28"/>
          <w:szCs w:val="28"/>
        </w:rPr>
        <w:t xml:space="preserve"> Gauteng and </w:t>
      </w:r>
      <w:r w:rsidR="00114F78" w:rsidRPr="003D540E">
        <w:rPr>
          <w:i/>
          <w:iCs/>
          <w:sz w:val="28"/>
          <w:szCs w:val="28"/>
        </w:rPr>
        <w:t>Klimax</w:t>
      </w:r>
      <w:r w:rsidR="000744C6" w:rsidRPr="003D540E">
        <w:rPr>
          <w:sz w:val="28"/>
          <w:szCs w:val="28"/>
        </w:rPr>
        <w:t>.</w:t>
      </w:r>
    </w:p>
    <w:p w14:paraId="6F93B4F9" w14:textId="77777777" w:rsidR="00B62EB3" w:rsidRPr="003D540E" w:rsidRDefault="00B62EB3" w:rsidP="00B62EB3">
      <w:pPr>
        <w:pStyle w:val="ListParagraph"/>
        <w:ind w:left="0"/>
        <w:rPr>
          <w:sz w:val="28"/>
          <w:szCs w:val="28"/>
        </w:rPr>
      </w:pPr>
    </w:p>
    <w:p w14:paraId="1092AFA4" w14:textId="0F451745" w:rsidR="006C5E4F" w:rsidRDefault="006C5E4F" w:rsidP="006C5E4F">
      <w:pPr>
        <w:pStyle w:val="ListParagraph"/>
        <w:numPr>
          <w:ilvl w:val="0"/>
          <w:numId w:val="1"/>
        </w:numPr>
        <w:ind w:left="0"/>
        <w:rPr>
          <w:sz w:val="28"/>
          <w:szCs w:val="28"/>
        </w:rPr>
      </w:pPr>
      <w:r w:rsidRPr="003D540E">
        <w:rPr>
          <w:sz w:val="28"/>
          <w:szCs w:val="28"/>
        </w:rPr>
        <w:t>With that in mind, I turn to a comparison of the two marks. These are to be compared as they are without taking into account extraneous matter.</w:t>
      </w:r>
      <w:r w:rsidRPr="003D540E">
        <w:rPr>
          <w:rStyle w:val="FootnoteReference"/>
          <w:sz w:val="28"/>
          <w:szCs w:val="28"/>
        </w:rPr>
        <w:footnoteReference w:id="24"/>
      </w:r>
      <w:r w:rsidRPr="003D540E">
        <w:rPr>
          <w:sz w:val="28"/>
          <w:szCs w:val="28"/>
        </w:rPr>
        <w:t xml:space="preserve"> </w:t>
      </w:r>
      <w:r w:rsidR="00B36291" w:rsidRPr="003D540E">
        <w:rPr>
          <w:sz w:val="28"/>
          <w:szCs w:val="28"/>
        </w:rPr>
        <w:t>Special c</w:t>
      </w:r>
      <w:r w:rsidRPr="003D540E">
        <w:rPr>
          <w:sz w:val="28"/>
          <w:szCs w:val="28"/>
        </w:rPr>
        <w:t xml:space="preserve">are needs to be taken that only the marks are compared </w:t>
      </w:r>
      <w:r w:rsidR="00A66C1D" w:rsidRPr="003D540E">
        <w:rPr>
          <w:sz w:val="28"/>
          <w:szCs w:val="28"/>
        </w:rPr>
        <w:t xml:space="preserve">in matters </w:t>
      </w:r>
      <w:r w:rsidRPr="003D540E">
        <w:rPr>
          <w:sz w:val="28"/>
          <w:szCs w:val="28"/>
        </w:rPr>
        <w:t xml:space="preserve">where, as </w:t>
      </w:r>
      <w:r w:rsidR="00A66C1D" w:rsidRPr="003D540E">
        <w:rPr>
          <w:sz w:val="28"/>
          <w:szCs w:val="28"/>
        </w:rPr>
        <w:t>here</w:t>
      </w:r>
      <w:r w:rsidRPr="003D540E">
        <w:rPr>
          <w:sz w:val="28"/>
          <w:szCs w:val="28"/>
        </w:rPr>
        <w:t xml:space="preserve">, the </w:t>
      </w:r>
      <w:r w:rsidRPr="003D540E">
        <w:rPr>
          <w:sz w:val="28"/>
          <w:szCs w:val="28"/>
        </w:rPr>
        <w:lastRenderedPageBreak/>
        <w:t xml:space="preserve">getup on goods to which they relate has been </w:t>
      </w:r>
      <w:r w:rsidR="006911F3" w:rsidRPr="003D540E">
        <w:rPr>
          <w:sz w:val="28"/>
          <w:szCs w:val="28"/>
        </w:rPr>
        <w:t>extensively dealt with</w:t>
      </w:r>
      <w:r w:rsidRPr="003D540E">
        <w:rPr>
          <w:sz w:val="28"/>
          <w:szCs w:val="28"/>
        </w:rPr>
        <w:t xml:space="preserve"> in the papers.</w:t>
      </w:r>
      <w:r w:rsidRPr="003D540E">
        <w:rPr>
          <w:rStyle w:val="FootnoteReference"/>
          <w:sz w:val="28"/>
          <w:szCs w:val="28"/>
        </w:rPr>
        <w:footnoteReference w:id="25"/>
      </w:r>
      <w:r w:rsidRPr="003D540E">
        <w:rPr>
          <w:sz w:val="28"/>
          <w:szCs w:val="28"/>
        </w:rPr>
        <w:t xml:space="preserve"> I</w:t>
      </w:r>
      <w:r w:rsidRPr="003D540E">
        <w:rPr>
          <w:bCs/>
          <w:sz w:val="28"/>
          <w:szCs w:val="28"/>
        </w:rPr>
        <w:t xml:space="preserve">t has also been made clear that </w:t>
      </w:r>
      <w:r w:rsidRPr="003D540E">
        <w:rPr>
          <w:sz w:val="28"/>
          <w:szCs w:val="28"/>
        </w:rPr>
        <w:t>‘in opposition proceedings the question that falls to be decided is not how the parties use or intend to use their marks, but how they would be entitled to use them if both were to be registered’.</w:t>
      </w:r>
      <w:r w:rsidRPr="003D540E">
        <w:rPr>
          <w:rStyle w:val="FootnoteReference"/>
          <w:sz w:val="28"/>
          <w:szCs w:val="28"/>
        </w:rPr>
        <w:footnoteReference w:id="26"/>
      </w:r>
      <w:r w:rsidRPr="003D540E">
        <w:rPr>
          <w:sz w:val="28"/>
          <w:szCs w:val="28"/>
        </w:rPr>
        <w:t xml:space="preserve"> </w:t>
      </w:r>
    </w:p>
    <w:p w14:paraId="689A6CE2" w14:textId="77777777" w:rsidR="005C429D" w:rsidRPr="003D540E" w:rsidRDefault="005C429D" w:rsidP="005C429D">
      <w:pPr>
        <w:pStyle w:val="ListParagraph"/>
        <w:ind w:left="0"/>
        <w:rPr>
          <w:sz w:val="28"/>
          <w:szCs w:val="28"/>
        </w:rPr>
      </w:pPr>
    </w:p>
    <w:p w14:paraId="630E73E4" w14:textId="77777777" w:rsidR="000139F4" w:rsidRPr="003D540E" w:rsidRDefault="000139F4" w:rsidP="000139F4">
      <w:pPr>
        <w:pStyle w:val="ListParagraph"/>
        <w:numPr>
          <w:ilvl w:val="0"/>
          <w:numId w:val="1"/>
        </w:numPr>
        <w:ind w:left="0"/>
        <w:rPr>
          <w:sz w:val="28"/>
          <w:szCs w:val="28"/>
        </w:rPr>
      </w:pPr>
      <w:r w:rsidRPr="003D540E">
        <w:rPr>
          <w:sz w:val="28"/>
          <w:szCs w:val="28"/>
        </w:rPr>
        <w:t xml:space="preserve">With that as a backdrop, the long-accepted approach </w:t>
      </w:r>
      <w:r w:rsidR="00B36291" w:rsidRPr="003D540E">
        <w:rPr>
          <w:sz w:val="28"/>
          <w:szCs w:val="28"/>
        </w:rPr>
        <w:t xml:space="preserve">as to how to compare word marks </w:t>
      </w:r>
      <w:r w:rsidRPr="003D540E">
        <w:rPr>
          <w:sz w:val="28"/>
          <w:szCs w:val="28"/>
        </w:rPr>
        <w:t xml:space="preserve">must be </w:t>
      </w:r>
      <w:r w:rsidR="00187540" w:rsidRPr="003D540E">
        <w:rPr>
          <w:sz w:val="28"/>
          <w:szCs w:val="28"/>
        </w:rPr>
        <w:t>applied</w:t>
      </w:r>
      <w:r w:rsidRPr="003D540E">
        <w:rPr>
          <w:sz w:val="28"/>
          <w:szCs w:val="28"/>
        </w:rPr>
        <w:t>:</w:t>
      </w:r>
    </w:p>
    <w:p w14:paraId="3C80CD51" w14:textId="197CBF92" w:rsidR="000139F4" w:rsidRPr="003D540E" w:rsidRDefault="000139F4" w:rsidP="000139F4">
      <w:pPr>
        <w:pStyle w:val="ListParagraph"/>
        <w:ind w:left="0"/>
      </w:pPr>
      <w:r w:rsidRPr="003D540E">
        <w:t>‘You must take the two words. You must judge them both by their look and their sound. You must consider the goods to which they are to be applied. You must consider the nature and kind of customer who would be likely to buy those goods. In fact you must consider all the surrounding circumstances; and you must further consider what is likely to happen if each of those trade marks is used in a normal way as a trade mark for the goods of the respective owners of the marks.’</w:t>
      </w:r>
      <w:r w:rsidRPr="003D540E">
        <w:rPr>
          <w:rStyle w:val="FootnoteReference"/>
        </w:rPr>
        <w:footnoteReference w:id="27"/>
      </w:r>
    </w:p>
    <w:p w14:paraId="34516DF3" w14:textId="77777777" w:rsidR="00425F82" w:rsidRPr="003D540E" w:rsidRDefault="000139F4" w:rsidP="000139F4">
      <w:pPr>
        <w:pStyle w:val="ListParagraph"/>
        <w:ind w:left="0"/>
        <w:rPr>
          <w:sz w:val="28"/>
          <w:szCs w:val="28"/>
        </w:rPr>
      </w:pPr>
      <w:r w:rsidRPr="003D540E">
        <w:rPr>
          <w:bCs/>
          <w:sz w:val="28"/>
          <w:szCs w:val="28"/>
        </w:rPr>
        <w:t>In addition, ‘global appreciation of the visual, aural and conceptual similarity of the marks in question must be based on the overall impression given by the marks bearing in mind in particular the distinctive and dominant components.’</w:t>
      </w:r>
      <w:r w:rsidRPr="003D540E">
        <w:rPr>
          <w:rStyle w:val="FootnoteReference"/>
          <w:bCs/>
          <w:sz w:val="28"/>
          <w:szCs w:val="28"/>
        </w:rPr>
        <w:footnoteReference w:id="28"/>
      </w:r>
      <w:r w:rsidRPr="003D540E">
        <w:rPr>
          <w:bCs/>
          <w:sz w:val="28"/>
          <w:szCs w:val="28"/>
        </w:rPr>
        <w:t xml:space="preserve"> The</w:t>
      </w:r>
      <w:r w:rsidRPr="003D540E">
        <w:rPr>
          <w:bCs/>
          <w:sz w:val="28"/>
          <w:szCs w:val="28"/>
          <w:lang w:val="en-GB"/>
        </w:rPr>
        <w:t xml:space="preserve"> ‘value judgment is largely a matter of first impression and there should not be undue peering at the two marks to find similarities and differences.’</w:t>
      </w:r>
      <w:r w:rsidRPr="003D540E">
        <w:rPr>
          <w:rStyle w:val="FootnoteReference"/>
          <w:bCs/>
          <w:sz w:val="28"/>
          <w:szCs w:val="28"/>
        </w:rPr>
        <w:footnoteReference w:id="29"/>
      </w:r>
    </w:p>
    <w:p w14:paraId="32F3CEBB" w14:textId="77777777" w:rsidR="006E2E58" w:rsidRPr="003D540E" w:rsidRDefault="006E2E58" w:rsidP="00F7300D">
      <w:pPr>
        <w:pStyle w:val="ListParagraph"/>
        <w:ind w:left="0"/>
        <w:rPr>
          <w:sz w:val="28"/>
          <w:szCs w:val="28"/>
        </w:rPr>
      </w:pPr>
    </w:p>
    <w:p w14:paraId="4E4EB266" w14:textId="039F6B71" w:rsidR="006E2E58" w:rsidRDefault="006E2E58" w:rsidP="006E2E58">
      <w:pPr>
        <w:pStyle w:val="ListParagraph"/>
        <w:numPr>
          <w:ilvl w:val="0"/>
          <w:numId w:val="1"/>
        </w:numPr>
        <w:ind w:left="0"/>
        <w:rPr>
          <w:sz w:val="28"/>
          <w:szCs w:val="28"/>
        </w:rPr>
      </w:pPr>
      <w:r w:rsidRPr="003D540E">
        <w:rPr>
          <w:sz w:val="28"/>
          <w:szCs w:val="28"/>
        </w:rPr>
        <w:t xml:space="preserve">It </w:t>
      </w:r>
      <w:r w:rsidR="00177D77" w:rsidRPr="003D540E">
        <w:rPr>
          <w:sz w:val="28"/>
          <w:szCs w:val="28"/>
        </w:rPr>
        <w:t>hardly needs</w:t>
      </w:r>
      <w:r w:rsidRPr="003D540E">
        <w:rPr>
          <w:sz w:val="28"/>
          <w:szCs w:val="28"/>
        </w:rPr>
        <w:t xml:space="preserve"> saying that the marks are not identical.</w:t>
      </w:r>
      <w:r w:rsidR="00835FB1" w:rsidRPr="003D540E">
        <w:rPr>
          <w:sz w:val="28"/>
          <w:szCs w:val="28"/>
        </w:rPr>
        <w:t xml:space="preserve"> As was said in</w:t>
      </w:r>
      <w:r w:rsidR="00835FB1" w:rsidRPr="003D540E">
        <w:rPr>
          <w:rFonts w:ascii="Verdana" w:hAnsi="Verdana"/>
          <w:i/>
          <w:iCs/>
          <w:color w:val="000000"/>
          <w:sz w:val="20"/>
          <w:szCs w:val="20"/>
          <w:lang w:eastAsia="en-ZA"/>
        </w:rPr>
        <w:t xml:space="preserve"> </w:t>
      </w:r>
      <w:r w:rsidR="00835FB1" w:rsidRPr="003D540E">
        <w:rPr>
          <w:i/>
          <w:iCs/>
          <w:sz w:val="28"/>
          <w:szCs w:val="28"/>
        </w:rPr>
        <w:t>LTJ Diffusion SA v Sadas Vertbaudet SA</w:t>
      </w:r>
      <w:r w:rsidR="00835FB1" w:rsidRPr="003D540E">
        <w:rPr>
          <w:sz w:val="28"/>
          <w:szCs w:val="28"/>
        </w:rPr>
        <w:t>,</w:t>
      </w:r>
      <w:r w:rsidR="00630D3F" w:rsidRPr="003D540E">
        <w:rPr>
          <w:sz w:val="28"/>
          <w:szCs w:val="28"/>
        </w:rPr>
        <w:t xml:space="preserve"> </w:t>
      </w:r>
      <w:r w:rsidR="0029158F" w:rsidRPr="003D540E">
        <w:rPr>
          <w:sz w:val="28"/>
          <w:szCs w:val="28"/>
        </w:rPr>
        <w:t>‘</w:t>
      </w:r>
      <w:r w:rsidR="00EB37C1" w:rsidRPr="003D540E">
        <w:rPr>
          <w:sz w:val="28"/>
          <w:szCs w:val="28"/>
        </w:rPr>
        <w:t>[t]</w:t>
      </w:r>
      <w:r w:rsidR="0029158F" w:rsidRPr="003D540E">
        <w:rPr>
          <w:sz w:val="28"/>
          <w:szCs w:val="28"/>
        </w:rPr>
        <w:t>he very definition of identity implies that the two elements compared should be the same in all respects</w:t>
      </w:r>
      <w:r w:rsidR="00282EC5" w:rsidRPr="003D540E">
        <w:rPr>
          <w:sz w:val="28"/>
          <w:szCs w:val="28"/>
        </w:rPr>
        <w:t>’.</w:t>
      </w:r>
      <w:r w:rsidR="00282EC5" w:rsidRPr="003D540E">
        <w:rPr>
          <w:rStyle w:val="FootnoteReference"/>
          <w:sz w:val="28"/>
          <w:szCs w:val="28"/>
        </w:rPr>
        <w:footnoteReference w:id="30"/>
      </w:r>
      <w:r w:rsidRPr="003D540E">
        <w:rPr>
          <w:sz w:val="28"/>
          <w:szCs w:val="28"/>
        </w:rPr>
        <w:t xml:space="preserve"> </w:t>
      </w:r>
      <w:r w:rsidR="00CA51B1" w:rsidRPr="003D540E">
        <w:rPr>
          <w:sz w:val="28"/>
          <w:szCs w:val="28"/>
        </w:rPr>
        <w:t>Accordingly, i</w:t>
      </w:r>
      <w:r w:rsidRPr="003D540E">
        <w:rPr>
          <w:sz w:val="28"/>
          <w:szCs w:val="28"/>
        </w:rPr>
        <w:t xml:space="preserve">t is </w:t>
      </w:r>
      <w:r w:rsidRPr="003D540E">
        <w:rPr>
          <w:sz w:val="28"/>
          <w:szCs w:val="28"/>
        </w:rPr>
        <w:lastRenderedPageBreak/>
        <w:t>an evaluation for similarity which must be undertaken. Many of the cases conflate this enquiry with that of deception or confusion. Section 10(17) explicitly excludes deception or confusion as an element of the enquiry. I do not think it goes so far as to exclude the possibility that the mark</w:t>
      </w:r>
      <w:r w:rsidR="000404C9" w:rsidRPr="003D540E">
        <w:rPr>
          <w:sz w:val="28"/>
          <w:szCs w:val="28"/>
        </w:rPr>
        <w:t>s, albeit similar,</w:t>
      </w:r>
      <w:r w:rsidRPr="003D540E">
        <w:rPr>
          <w:sz w:val="28"/>
          <w:szCs w:val="28"/>
        </w:rPr>
        <w:t xml:space="preserve"> might also deceive or confuse. Simply put, the enquiry</w:t>
      </w:r>
      <w:r w:rsidR="00683034" w:rsidRPr="003D540E">
        <w:rPr>
          <w:sz w:val="28"/>
          <w:szCs w:val="28"/>
        </w:rPr>
        <w:t xml:space="preserve"> before us</w:t>
      </w:r>
      <w:r w:rsidR="00403BD5" w:rsidRPr="003D540E">
        <w:rPr>
          <w:sz w:val="28"/>
          <w:szCs w:val="28"/>
        </w:rPr>
        <w:t xml:space="preserve"> does not have to encompass that element</w:t>
      </w:r>
      <w:r w:rsidRPr="003D540E">
        <w:rPr>
          <w:sz w:val="28"/>
          <w:szCs w:val="28"/>
        </w:rPr>
        <w:t>.</w:t>
      </w:r>
      <w:r w:rsidRPr="003D540E">
        <w:rPr>
          <w:rStyle w:val="FootnoteReference"/>
          <w:sz w:val="28"/>
          <w:szCs w:val="28"/>
        </w:rPr>
        <w:footnoteReference w:id="31"/>
      </w:r>
      <w:r w:rsidRPr="003D540E">
        <w:rPr>
          <w:sz w:val="28"/>
          <w:szCs w:val="28"/>
        </w:rPr>
        <w:t xml:space="preserve"> </w:t>
      </w:r>
    </w:p>
    <w:p w14:paraId="15E97D1C" w14:textId="77777777" w:rsidR="00F53B4B" w:rsidRPr="003D540E" w:rsidRDefault="00F53B4B" w:rsidP="00F53B4B">
      <w:pPr>
        <w:pStyle w:val="ListParagraph"/>
        <w:ind w:left="0"/>
        <w:rPr>
          <w:sz w:val="28"/>
          <w:szCs w:val="28"/>
        </w:rPr>
      </w:pPr>
    </w:p>
    <w:p w14:paraId="082DD642" w14:textId="77777777" w:rsidR="00F32FFD" w:rsidRPr="003D540E" w:rsidRDefault="00F32FFD" w:rsidP="00F32FFD">
      <w:pPr>
        <w:pStyle w:val="ListParagraph"/>
        <w:numPr>
          <w:ilvl w:val="0"/>
          <w:numId w:val="1"/>
        </w:numPr>
        <w:ind w:left="0"/>
        <w:rPr>
          <w:sz w:val="28"/>
          <w:szCs w:val="28"/>
        </w:rPr>
      </w:pPr>
      <w:r w:rsidRPr="003D540E">
        <w:rPr>
          <w:sz w:val="28"/>
          <w:szCs w:val="28"/>
        </w:rPr>
        <w:t>The cases have recognised that the word ‘similarity’ introduce</w:t>
      </w:r>
      <w:r w:rsidR="00F304D4" w:rsidRPr="003D540E">
        <w:rPr>
          <w:sz w:val="28"/>
          <w:szCs w:val="28"/>
        </w:rPr>
        <w:t>s</w:t>
      </w:r>
      <w:r w:rsidRPr="003D540E">
        <w:rPr>
          <w:sz w:val="28"/>
          <w:szCs w:val="28"/>
        </w:rPr>
        <w:t xml:space="preserve"> </w:t>
      </w:r>
      <w:r w:rsidR="00A15D36" w:rsidRPr="003D540E">
        <w:rPr>
          <w:sz w:val="28"/>
          <w:szCs w:val="28"/>
        </w:rPr>
        <w:t xml:space="preserve">the notion of </w:t>
      </w:r>
      <w:r w:rsidRPr="003D540E">
        <w:rPr>
          <w:sz w:val="28"/>
          <w:szCs w:val="28"/>
        </w:rPr>
        <w:t>a continuum. In </w:t>
      </w:r>
      <w:r w:rsidRPr="003D540E">
        <w:rPr>
          <w:i/>
          <w:iCs/>
          <w:sz w:val="28"/>
          <w:szCs w:val="28"/>
        </w:rPr>
        <w:t>R v Revelas</w:t>
      </w:r>
      <w:r w:rsidRPr="003D540E">
        <w:rPr>
          <w:sz w:val="28"/>
          <w:szCs w:val="28"/>
        </w:rPr>
        <w:t>, Schreiner ACJ remarked that there are:</w:t>
      </w:r>
    </w:p>
    <w:p w14:paraId="61815F57" w14:textId="77777777" w:rsidR="00F32FFD" w:rsidRPr="003D540E" w:rsidRDefault="00F32FFD" w:rsidP="00F32FFD">
      <w:r w:rsidRPr="003D540E">
        <w:t>‘</w:t>
      </w:r>
      <w:r w:rsidR="00A15D36" w:rsidRPr="003D540E">
        <w:t xml:space="preserve">. . . </w:t>
      </w:r>
      <w:r w:rsidRPr="003D540E">
        <w:t>degrees of similarity or likeness, some approaching, and exceptionally perhaps even reaching, sameness, others amounting to no more than a slight resemblance. The similarity may be basic or superficial, general or specific.’</w:t>
      </w:r>
      <w:r w:rsidRPr="003D540E">
        <w:rPr>
          <w:rStyle w:val="FootnoteReference"/>
        </w:rPr>
        <w:footnoteReference w:id="32"/>
      </w:r>
    </w:p>
    <w:p w14:paraId="3B3383BE" w14:textId="77777777" w:rsidR="00F32FFD" w:rsidRPr="003D540E" w:rsidRDefault="00F304D4" w:rsidP="00F32FFD">
      <w:pPr>
        <w:pStyle w:val="ListParagraph"/>
        <w:ind w:left="0"/>
        <w:rPr>
          <w:sz w:val="28"/>
          <w:szCs w:val="28"/>
        </w:rPr>
      </w:pPr>
      <w:r w:rsidRPr="003D540E">
        <w:rPr>
          <w:sz w:val="28"/>
          <w:szCs w:val="28"/>
        </w:rPr>
        <w:t xml:space="preserve">Having mentioned this </w:t>
      </w:r>
      <w:r w:rsidRPr="003D540E">
        <w:rPr>
          <w:i/>
          <w:iCs/>
          <w:sz w:val="28"/>
          <w:szCs w:val="28"/>
        </w:rPr>
        <w:t>dictum</w:t>
      </w:r>
      <w:r w:rsidR="00D86DC3" w:rsidRPr="003D540E">
        <w:rPr>
          <w:sz w:val="28"/>
          <w:szCs w:val="28"/>
        </w:rPr>
        <w:t>, and i</w:t>
      </w:r>
      <w:r w:rsidR="00F32FFD" w:rsidRPr="003D540E">
        <w:rPr>
          <w:sz w:val="28"/>
          <w:szCs w:val="28"/>
        </w:rPr>
        <w:t xml:space="preserve">n the context of </w:t>
      </w:r>
      <w:r w:rsidR="00F53F98" w:rsidRPr="003D540E">
        <w:rPr>
          <w:sz w:val="28"/>
          <w:szCs w:val="28"/>
        </w:rPr>
        <w:t xml:space="preserve">the test for infringement under </w:t>
      </w:r>
      <w:r w:rsidR="00F32FFD" w:rsidRPr="003D540E">
        <w:rPr>
          <w:sz w:val="28"/>
          <w:szCs w:val="28"/>
        </w:rPr>
        <w:t>s 34(1)</w:t>
      </w:r>
      <w:r w:rsidR="00F32FFD" w:rsidRPr="003D540E">
        <w:rPr>
          <w:i/>
          <w:iCs/>
          <w:sz w:val="28"/>
          <w:szCs w:val="28"/>
        </w:rPr>
        <w:t>(c)</w:t>
      </w:r>
      <w:r w:rsidR="00D86DC3" w:rsidRPr="003D540E">
        <w:rPr>
          <w:sz w:val="28"/>
          <w:szCs w:val="28"/>
        </w:rPr>
        <w:t xml:space="preserve"> of the Act,</w:t>
      </w:r>
      <w:r w:rsidR="00F32FFD" w:rsidRPr="003D540E">
        <w:rPr>
          <w:sz w:val="28"/>
          <w:szCs w:val="28"/>
        </w:rPr>
        <w:t xml:space="preserve"> Melunsky AJA </w:t>
      </w:r>
      <w:r w:rsidR="006C7482" w:rsidRPr="003D540E">
        <w:rPr>
          <w:sz w:val="28"/>
          <w:szCs w:val="28"/>
        </w:rPr>
        <w:t>held</w:t>
      </w:r>
      <w:r w:rsidR="00F32FFD" w:rsidRPr="003D540E">
        <w:rPr>
          <w:sz w:val="28"/>
          <w:szCs w:val="28"/>
        </w:rPr>
        <w:t>:</w:t>
      </w:r>
    </w:p>
    <w:p w14:paraId="4251E285" w14:textId="77777777" w:rsidR="00F32FFD" w:rsidRPr="003D540E" w:rsidRDefault="00F32FFD" w:rsidP="00F32FFD">
      <w:pPr>
        <w:pStyle w:val="ListParagraph"/>
        <w:ind w:left="0"/>
      </w:pPr>
      <w:r w:rsidRPr="003D540E">
        <w:t>‘“Similar” must obviously be construed in the context in which it appears and, in my view, it should not be given too wide or extensive an interpretation for the purposes of s 34(1)</w:t>
      </w:r>
      <w:r w:rsidRPr="003D540E">
        <w:rPr>
          <w:i/>
          <w:iCs/>
        </w:rPr>
        <w:t>(c)</w:t>
      </w:r>
      <w:r w:rsidRPr="003D540E">
        <w:t xml:space="preserve">. The section, while seeking to preserve the reputation of a registered mark, introduces a new concept into South African law. If the word </w:t>
      </w:r>
      <w:r w:rsidR="00040B66" w:rsidRPr="003D540E">
        <w:t>“</w:t>
      </w:r>
      <w:r w:rsidRPr="003D540E">
        <w:t>similar</w:t>
      </w:r>
      <w:r w:rsidR="00040B66" w:rsidRPr="003D540E">
        <w:t>”</w:t>
      </w:r>
      <w:r w:rsidRPr="003D540E">
        <w:t xml:space="preserve"> is given too extensive an interpretation the section might have the effect of creating an unacceptable monopoly to the proprietor of a trade mark and thus unduly stultify freedom of trade. I doubt whether the Legislature could have intended such a result.’</w:t>
      </w:r>
      <w:r w:rsidR="00041C79" w:rsidRPr="003D540E">
        <w:rPr>
          <w:rStyle w:val="FootnoteReference"/>
        </w:rPr>
        <w:footnoteReference w:id="33"/>
      </w:r>
    </w:p>
    <w:p w14:paraId="5A6BE1A1" w14:textId="0AF2C9E7" w:rsidR="00F32FFD" w:rsidRPr="003D540E" w:rsidRDefault="008E7DD2" w:rsidP="00F32FFD">
      <w:pPr>
        <w:pStyle w:val="ListParagraph"/>
        <w:ind w:left="0"/>
        <w:rPr>
          <w:sz w:val="28"/>
          <w:szCs w:val="28"/>
        </w:rPr>
      </w:pPr>
      <w:r w:rsidRPr="003D540E">
        <w:rPr>
          <w:sz w:val="28"/>
          <w:szCs w:val="28"/>
        </w:rPr>
        <w:t xml:space="preserve">The need to guard against </w:t>
      </w:r>
      <w:r w:rsidR="000404C9" w:rsidRPr="003D540E">
        <w:rPr>
          <w:sz w:val="28"/>
          <w:szCs w:val="28"/>
        </w:rPr>
        <w:t xml:space="preserve">the </w:t>
      </w:r>
      <w:r w:rsidRPr="003D540E">
        <w:rPr>
          <w:sz w:val="28"/>
          <w:szCs w:val="28"/>
        </w:rPr>
        <w:t>impermissible broadening of a trade mark monopoly was succinctly stated</w:t>
      </w:r>
      <w:r w:rsidR="00EC7E4D" w:rsidRPr="003D540E">
        <w:rPr>
          <w:sz w:val="28"/>
          <w:szCs w:val="28"/>
        </w:rPr>
        <w:t xml:space="preserve"> in English law</w:t>
      </w:r>
      <w:r w:rsidR="00D022A3" w:rsidRPr="003D540E">
        <w:rPr>
          <w:sz w:val="28"/>
          <w:szCs w:val="28"/>
        </w:rPr>
        <w:t>:</w:t>
      </w:r>
    </w:p>
    <w:p w14:paraId="77BBCB1B" w14:textId="3D0DA814" w:rsidR="000C23CA" w:rsidRPr="003D540E" w:rsidRDefault="008B60E0" w:rsidP="000C23CA">
      <w:pPr>
        <w:pStyle w:val="ListParagraph"/>
        <w:ind w:left="0"/>
        <w:rPr>
          <w:bCs/>
          <w:sz w:val="28"/>
          <w:szCs w:val="28"/>
        </w:rPr>
      </w:pPr>
      <w:r w:rsidRPr="003D540E">
        <w:rPr>
          <w:bCs/>
        </w:rPr>
        <w:lastRenderedPageBreak/>
        <w:t>‘The attraction of a trade mark registration is that provided it is used and the fees are paid, it gives a perpetual monopoly. The problem is the same as the attraction</w:t>
      </w:r>
      <w:r w:rsidR="00AA381C" w:rsidRPr="003D540E">
        <w:rPr>
          <w:bCs/>
        </w:rPr>
        <w:t xml:space="preserve"> but</w:t>
      </w:r>
      <w:r w:rsidRPr="003D540E">
        <w:rPr>
          <w:bCs/>
        </w:rPr>
        <w:t xml:space="preserve"> from the other perspective. Unless the registration of trade marks is kept firmly in its proper sphere, it is capable of creating perpetual unjustified monopolies in areas it should not.’</w:t>
      </w:r>
      <w:r w:rsidR="00956CC5" w:rsidRPr="003D540E">
        <w:rPr>
          <w:rStyle w:val="FootnoteReference"/>
          <w:bCs/>
        </w:rPr>
        <w:footnoteReference w:id="34"/>
      </w:r>
    </w:p>
    <w:p w14:paraId="7A6BC10B" w14:textId="77777777" w:rsidR="00D022A3" w:rsidRPr="003D540E" w:rsidRDefault="00D022A3" w:rsidP="000C23CA">
      <w:pPr>
        <w:pStyle w:val="ListParagraph"/>
        <w:ind w:left="0"/>
        <w:rPr>
          <w:sz w:val="28"/>
          <w:szCs w:val="28"/>
        </w:rPr>
      </w:pPr>
    </w:p>
    <w:p w14:paraId="12D9B51D" w14:textId="7254F1FF" w:rsidR="00477785" w:rsidRPr="003D540E" w:rsidRDefault="001F67CD" w:rsidP="00FD1AAF">
      <w:pPr>
        <w:pStyle w:val="ListParagraph"/>
        <w:numPr>
          <w:ilvl w:val="0"/>
          <w:numId w:val="1"/>
        </w:numPr>
        <w:ind w:left="0"/>
        <w:rPr>
          <w:sz w:val="28"/>
          <w:szCs w:val="28"/>
        </w:rPr>
      </w:pPr>
      <w:r w:rsidRPr="003D540E">
        <w:rPr>
          <w:sz w:val="28"/>
          <w:szCs w:val="28"/>
        </w:rPr>
        <w:t>Using a</w:t>
      </w:r>
      <w:r w:rsidR="008B60E0" w:rsidRPr="003D540E">
        <w:rPr>
          <w:sz w:val="28"/>
          <w:szCs w:val="28"/>
        </w:rPr>
        <w:t xml:space="preserve"> dictionary definition of </w:t>
      </w:r>
      <w:r w:rsidRPr="003D540E">
        <w:rPr>
          <w:sz w:val="28"/>
          <w:szCs w:val="28"/>
        </w:rPr>
        <w:t>‘</w:t>
      </w:r>
      <w:r w:rsidR="008B60E0" w:rsidRPr="003D540E">
        <w:rPr>
          <w:sz w:val="28"/>
          <w:szCs w:val="28"/>
        </w:rPr>
        <w:t>similar</w:t>
      </w:r>
      <w:r w:rsidRPr="003D540E">
        <w:rPr>
          <w:sz w:val="28"/>
          <w:szCs w:val="28"/>
        </w:rPr>
        <w:t>’</w:t>
      </w:r>
      <w:r w:rsidR="008B60E0" w:rsidRPr="003D540E">
        <w:rPr>
          <w:sz w:val="28"/>
          <w:szCs w:val="28"/>
        </w:rPr>
        <w:t>, and in the light of the warnings of</w:t>
      </w:r>
      <w:r w:rsidR="00DA51DC" w:rsidRPr="003D540E">
        <w:rPr>
          <w:sz w:val="28"/>
          <w:szCs w:val="28"/>
        </w:rPr>
        <w:t xml:space="preserve"> </w:t>
      </w:r>
      <w:r w:rsidR="00610155" w:rsidRPr="003D540E">
        <w:rPr>
          <w:sz w:val="28"/>
          <w:szCs w:val="28"/>
        </w:rPr>
        <w:t>overbroad</w:t>
      </w:r>
      <w:r w:rsidR="00DA51DC" w:rsidRPr="003D540E">
        <w:rPr>
          <w:sz w:val="28"/>
          <w:szCs w:val="28"/>
        </w:rPr>
        <w:t xml:space="preserve"> monopolies,</w:t>
      </w:r>
      <w:r w:rsidR="008B60E0" w:rsidRPr="003D540E">
        <w:rPr>
          <w:sz w:val="28"/>
          <w:szCs w:val="28"/>
        </w:rPr>
        <w:t xml:space="preserve"> </w:t>
      </w:r>
      <w:r w:rsidR="000D76D6" w:rsidRPr="003D540E">
        <w:rPr>
          <w:sz w:val="28"/>
          <w:szCs w:val="28"/>
        </w:rPr>
        <w:t>Melunsky AJA</w:t>
      </w:r>
      <w:r w:rsidR="008B60E0" w:rsidRPr="003D540E">
        <w:rPr>
          <w:sz w:val="28"/>
          <w:szCs w:val="28"/>
        </w:rPr>
        <w:t xml:space="preserve"> concluded that it meant ‘having a marked resemblance or likeness’.</w:t>
      </w:r>
      <w:r w:rsidR="008B60E0" w:rsidRPr="003D540E">
        <w:rPr>
          <w:rStyle w:val="FootnoteReference"/>
          <w:sz w:val="28"/>
          <w:szCs w:val="28"/>
        </w:rPr>
        <w:footnoteReference w:id="35"/>
      </w:r>
      <w:r w:rsidR="008B60E0" w:rsidRPr="003D540E">
        <w:rPr>
          <w:sz w:val="28"/>
          <w:szCs w:val="28"/>
        </w:rPr>
        <w:t xml:space="preserve"> </w:t>
      </w:r>
      <w:r w:rsidR="00BD2FC4" w:rsidRPr="003D540E">
        <w:rPr>
          <w:sz w:val="28"/>
          <w:szCs w:val="28"/>
        </w:rPr>
        <w:t xml:space="preserve">This court </w:t>
      </w:r>
      <w:r w:rsidR="00896435" w:rsidRPr="003D540E">
        <w:rPr>
          <w:sz w:val="28"/>
          <w:szCs w:val="28"/>
        </w:rPr>
        <w:t xml:space="preserve">in turn </w:t>
      </w:r>
      <w:r w:rsidR="007C6749" w:rsidRPr="003D540E">
        <w:rPr>
          <w:sz w:val="28"/>
          <w:szCs w:val="28"/>
        </w:rPr>
        <w:t xml:space="preserve">explained </w:t>
      </w:r>
      <w:r w:rsidR="00BD2FC4" w:rsidRPr="003D540E">
        <w:rPr>
          <w:sz w:val="28"/>
          <w:szCs w:val="28"/>
        </w:rPr>
        <w:t xml:space="preserve">that </w:t>
      </w:r>
      <w:r w:rsidR="00501B5E" w:rsidRPr="003D540E">
        <w:rPr>
          <w:sz w:val="28"/>
          <w:szCs w:val="28"/>
        </w:rPr>
        <w:t>‘“</w:t>
      </w:r>
      <w:r w:rsidR="00BD2FC4" w:rsidRPr="003D540E">
        <w:rPr>
          <w:sz w:val="28"/>
          <w:szCs w:val="28"/>
        </w:rPr>
        <w:t>marked</w:t>
      </w:r>
      <w:r w:rsidR="00501B5E" w:rsidRPr="003D540E">
        <w:rPr>
          <w:sz w:val="28"/>
          <w:szCs w:val="28"/>
        </w:rPr>
        <w:t>”</w:t>
      </w:r>
      <w:r w:rsidR="00BD2FC4" w:rsidRPr="003D540E">
        <w:rPr>
          <w:sz w:val="28"/>
          <w:szCs w:val="28"/>
        </w:rPr>
        <w:t xml:space="preserve"> means </w:t>
      </w:r>
      <w:r w:rsidR="00501B5E" w:rsidRPr="003D540E">
        <w:rPr>
          <w:sz w:val="28"/>
          <w:szCs w:val="28"/>
        </w:rPr>
        <w:t>“</w:t>
      </w:r>
      <w:r w:rsidR="00BD2FC4" w:rsidRPr="003D540E">
        <w:rPr>
          <w:sz w:val="28"/>
          <w:szCs w:val="28"/>
        </w:rPr>
        <w:t>easy to recognise</w:t>
      </w:r>
      <w:r w:rsidR="00501B5E" w:rsidRPr="003D540E">
        <w:rPr>
          <w:sz w:val="28"/>
          <w:szCs w:val="28"/>
        </w:rPr>
        <w:t>”</w:t>
      </w:r>
      <w:r w:rsidR="001E549E" w:rsidRPr="003D540E">
        <w:rPr>
          <w:sz w:val="28"/>
          <w:szCs w:val="28"/>
        </w:rPr>
        <w:t>’</w:t>
      </w:r>
      <w:r w:rsidR="00501B5E" w:rsidRPr="003D540E">
        <w:rPr>
          <w:sz w:val="28"/>
          <w:szCs w:val="28"/>
        </w:rPr>
        <w:t>.</w:t>
      </w:r>
      <w:r w:rsidR="00501B5E" w:rsidRPr="003D540E">
        <w:rPr>
          <w:rStyle w:val="FootnoteReference"/>
          <w:sz w:val="28"/>
          <w:szCs w:val="28"/>
        </w:rPr>
        <w:footnoteReference w:id="36"/>
      </w:r>
      <w:r w:rsidR="00501B5E" w:rsidRPr="003D540E">
        <w:rPr>
          <w:sz w:val="28"/>
          <w:szCs w:val="28"/>
        </w:rPr>
        <w:t xml:space="preserve"> </w:t>
      </w:r>
      <w:r w:rsidR="00477785" w:rsidRPr="003D540E">
        <w:rPr>
          <w:sz w:val="28"/>
          <w:szCs w:val="28"/>
        </w:rPr>
        <w:t>The European Court of Justice assesses whether there is a link between the marks:</w:t>
      </w:r>
    </w:p>
    <w:p w14:paraId="4505E596" w14:textId="77777777" w:rsidR="00477785" w:rsidRPr="003D540E" w:rsidRDefault="00477785" w:rsidP="00477785">
      <w:pPr>
        <w:pStyle w:val="ListParagraph"/>
        <w:ind w:left="0"/>
      </w:pPr>
      <w:r w:rsidRPr="003D540E">
        <w:t>‘The types of injury referred to in Article 4(4)</w:t>
      </w:r>
      <w:r w:rsidRPr="003D540E">
        <w:rPr>
          <w:i/>
          <w:iCs/>
        </w:rPr>
        <w:t>(a)</w:t>
      </w:r>
      <w:r w:rsidRPr="003D540E">
        <w:t xml:space="preserve"> of the Directive, where they occur, are the consequence of a certain degree of similarity between the earlier and the marks, by virtue of which the relevant section of the public makes a connection between those two marks, that is to say, establishes a link between them even though it does not confuse them.’</w:t>
      </w:r>
      <w:r w:rsidRPr="003D540E">
        <w:rPr>
          <w:rStyle w:val="FootnoteReference"/>
        </w:rPr>
        <w:footnoteReference w:id="37"/>
      </w:r>
    </w:p>
    <w:p w14:paraId="0E459359" w14:textId="2E64C24D" w:rsidR="00477785" w:rsidRPr="003D540E" w:rsidRDefault="009B0D6C" w:rsidP="00477785">
      <w:pPr>
        <w:pStyle w:val="ListParagraph"/>
        <w:ind w:left="0"/>
        <w:rPr>
          <w:sz w:val="28"/>
          <w:szCs w:val="28"/>
        </w:rPr>
      </w:pPr>
      <w:r w:rsidRPr="003D540E">
        <w:rPr>
          <w:sz w:val="28"/>
          <w:szCs w:val="28"/>
        </w:rPr>
        <w:t>I agree with</w:t>
      </w:r>
      <w:r w:rsidR="00730D3E" w:rsidRPr="003D540E">
        <w:rPr>
          <w:sz w:val="28"/>
          <w:szCs w:val="28"/>
        </w:rPr>
        <w:t xml:space="preserve"> the academic comment that </w:t>
      </w:r>
      <w:r w:rsidR="00C628CB" w:rsidRPr="003D540E">
        <w:rPr>
          <w:sz w:val="28"/>
          <w:szCs w:val="28"/>
        </w:rPr>
        <w:t xml:space="preserve">the opposite extreme of virtual identity </w:t>
      </w:r>
      <w:r w:rsidR="00730D3E" w:rsidRPr="003D540E">
        <w:rPr>
          <w:sz w:val="28"/>
          <w:szCs w:val="28"/>
        </w:rPr>
        <w:t xml:space="preserve">should not </w:t>
      </w:r>
      <w:r w:rsidR="00C628CB" w:rsidRPr="003D540E">
        <w:rPr>
          <w:sz w:val="28"/>
          <w:szCs w:val="28"/>
        </w:rPr>
        <w:t>be</w:t>
      </w:r>
      <w:r w:rsidR="00730D3E" w:rsidRPr="003D540E">
        <w:rPr>
          <w:sz w:val="28"/>
          <w:szCs w:val="28"/>
        </w:rPr>
        <w:t xml:space="preserve"> requir</w:t>
      </w:r>
      <w:r w:rsidR="00C628CB" w:rsidRPr="003D540E">
        <w:rPr>
          <w:sz w:val="28"/>
          <w:szCs w:val="28"/>
        </w:rPr>
        <w:t>ed</w:t>
      </w:r>
      <w:r w:rsidR="00730D3E" w:rsidRPr="003D540E">
        <w:rPr>
          <w:sz w:val="28"/>
          <w:szCs w:val="28"/>
        </w:rPr>
        <w:t>.</w:t>
      </w:r>
      <w:r w:rsidR="00D53ACF" w:rsidRPr="003D540E">
        <w:rPr>
          <w:rStyle w:val="FootnoteReference"/>
          <w:sz w:val="28"/>
          <w:szCs w:val="28"/>
        </w:rPr>
        <w:footnoteReference w:id="38"/>
      </w:r>
      <w:r w:rsidR="00730D3E" w:rsidRPr="003D540E">
        <w:rPr>
          <w:sz w:val="28"/>
          <w:szCs w:val="28"/>
        </w:rPr>
        <w:t xml:space="preserve"> The test, in my view, is that </w:t>
      </w:r>
      <w:r w:rsidR="005842A6" w:rsidRPr="003D540E">
        <w:rPr>
          <w:sz w:val="28"/>
          <w:szCs w:val="28"/>
        </w:rPr>
        <w:t xml:space="preserve">the </w:t>
      </w:r>
      <w:r w:rsidR="007C6749" w:rsidRPr="003D540E">
        <w:rPr>
          <w:sz w:val="28"/>
          <w:szCs w:val="28"/>
        </w:rPr>
        <w:t>likeness in</w:t>
      </w:r>
      <w:r w:rsidR="005842A6" w:rsidRPr="003D540E">
        <w:rPr>
          <w:sz w:val="28"/>
          <w:szCs w:val="28"/>
        </w:rPr>
        <w:t xml:space="preserve"> the marks </w:t>
      </w:r>
      <w:r w:rsidR="002B370F" w:rsidRPr="003D540E">
        <w:rPr>
          <w:sz w:val="28"/>
          <w:szCs w:val="28"/>
        </w:rPr>
        <w:t xml:space="preserve">should be easy to recognise and that a connection will be made </w:t>
      </w:r>
      <w:r w:rsidR="005842A6" w:rsidRPr="003D540E">
        <w:rPr>
          <w:sz w:val="28"/>
          <w:szCs w:val="28"/>
        </w:rPr>
        <w:t xml:space="preserve">or a link </w:t>
      </w:r>
      <w:r w:rsidR="007C6749" w:rsidRPr="003D540E">
        <w:rPr>
          <w:sz w:val="28"/>
          <w:szCs w:val="28"/>
        </w:rPr>
        <w:t>established</w:t>
      </w:r>
      <w:r w:rsidR="005842A6" w:rsidRPr="003D540E">
        <w:rPr>
          <w:sz w:val="28"/>
          <w:szCs w:val="28"/>
        </w:rPr>
        <w:t xml:space="preserve"> </w:t>
      </w:r>
      <w:r w:rsidR="002B370F" w:rsidRPr="003D540E">
        <w:rPr>
          <w:sz w:val="28"/>
          <w:szCs w:val="28"/>
        </w:rPr>
        <w:t>between the</w:t>
      </w:r>
      <w:r w:rsidR="007C6749" w:rsidRPr="003D540E">
        <w:rPr>
          <w:sz w:val="28"/>
          <w:szCs w:val="28"/>
        </w:rPr>
        <w:t>m</w:t>
      </w:r>
      <w:r w:rsidR="002B370F" w:rsidRPr="003D540E">
        <w:rPr>
          <w:sz w:val="28"/>
          <w:szCs w:val="28"/>
        </w:rPr>
        <w:t>.</w:t>
      </w:r>
      <w:r w:rsidR="00C628CB" w:rsidRPr="003D540E">
        <w:rPr>
          <w:sz w:val="28"/>
          <w:szCs w:val="28"/>
        </w:rPr>
        <w:t xml:space="preserve"> This, of course, </w:t>
      </w:r>
      <w:r w:rsidR="00387180" w:rsidRPr="003D540E">
        <w:rPr>
          <w:sz w:val="28"/>
          <w:szCs w:val="28"/>
        </w:rPr>
        <w:t xml:space="preserve">gives </w:t>
      </w:r>
      <w:r w:rsidR="00BC7125" w:rsidRPr="003D540E">
        <w:rPr>
          <w:sz w:val="28"/>
          <w:szCs w:val="28"/>
        </w:rPr>
        <w:t xml:space="preserve">expression </w:t>
      </w:r>
      <w:r w:rsidR="00387180" w:rsidRPr="003D540E">
        <w:rPr>
          <w:sz w:val="28"/>
          <w:szCs w:val="28"/>
        </w:rPr>
        <w:t>to the approach</w:t>
      </w:r>
      <w:r w:rsidR="00695270" w:rsidRPr="003D540E">
        <w:rPr>
          <w:sz w:val="28"/>
          <w:szCs w:val="28"/>
        </w:rPr>
        <w:t xml:space="preserve"> </w:t>
      </w:r>
      <w:r w:rsidR="00387180" w:rsidRPr="003D540E">
        <w:rPr>
          <w:sz w:val="28"/>
          <w:szCs w:val="28"/>
        </w:rPr>
        <w:t xml:space="preserve">which </w:t>
      </w:r>
      <w:r w:rsidR="009E5EA8" w:rsidRPr="003D540E">
        <w:rPr>
          <w:sz w:val="28"/>
          <w:szCs w:val="28"/>
        </w:rPr>
        <w:t>recognises first impressions</w:t>
      </w:r>
      <w:r w:rsidR="00695270" w:rsidRPr="003D540E">
        <w:rPr>
          <w:sz w:val="28"/>
          <w:szCs w:val="28"/>
        </w:rPr>
        <w:t xml:space="preserve"> and imperfect recollection, and </w:t>
      </w:r>
      <w:r w:rsidR="00387180" w:rsidRPr="003D540E">
        <w:rPr>
          <w:sz w:val="28"/>
          <w:szCs w:val="28"/>
        </w:rPr>
        <w:t>eschews undue peering</w:t>
      </w:r>
      <w:r w:rsidR="00D53ACF" w:rsidRPr="003D540E">
        <w:rPr>
          <w:sz w:val="28"/>
          <w:szCs w:val="28"/>
        </w:rPr>
        <w:t>.</w:t>
      </w:r>
    </w:p>
    <w:p w14:paraId="15C91B09" w14:textId="77777777" w:rsidR="00C628CB" w:rsidRPr="003D540E" w:rsidRDefault="00C628CB" w:rsidP="00C628CB">
      <w:pPr>
        <w:pStyle w:val="ListParagraph"/>
        <w:ind w:left="0"/>
        <w:rPr>
          <w:sz w:val="28"/>
          <w:szCs w:val="28"/>
        </w:rPr>
      </w:pPr>
    </w:p>
    <w:p w14:paraId="3C12153A" w14:textId="64A1723E" w:rsidR="00B41F5D" w:rsidRPr="003D540E" w:rsidRDefault="00BC643A" w:rsidP="00FD1AAF">
      <w:pPr>
        <w:pStyle w:val="ListParagraph"/>
        <w:numPr>
          <w:ilvl w:val="0"/>
          <w:numId w:val="1"/>
        </w:numPr>
        <w:ind w:left="0"/>
        <w:rPr>
          <w:sz w:val="28"/>
          <w:szCs w:val="28"/>
        </w:rPr>
      </w:pPr>
      <w:r w:rsidRPr="003D540E">
        <w:rPr>
          <w:sz w:val="28"/>
          <w:szCs w:val="28"/>
        </w:rPr>
        <w:lastRenderedPageBreak/>
        <w:t xml:space="preserve">In assessing similarity, </w:t>
      </w:r>
      <w:r w:rsidR="00C77473" w:rsidRPr="003D540E">
        <w:rPr>
          <w:sz w:val="28"/>
          <w:szCs w:val="28"/>
        </w:rPr>
        <w:t>the courts have regard to a</w:t>
      </w:r>
      <w:r w:rsidR="00064123" w:rsidRPr="003D540E">
        <w:rPr>
          <w:sz w:val="28"/>
          <w:szCs w:val="28"/>
        </w:rPr>
        <w:t>ny</w:t>
      </w:r>
      <w:r w:rsidR="00C77473" w:rsidRPr="003D540E">
        <w:rPr>
          <w:sz w:val="28"/>
          <w:szCs w:val="28"/>
        </w:rPr>
        <w:t xml:space="preserve"> dominant feature</w:t>
      </w:r>
      <w:r w:rsidR="000767D4" w:rsidRPr="003D540E">
        <w:rPr>
          <w:sz w:val="28"/>
          <w:szCs w:val="28"/>
        </w:rPr>
        <w:t xml:space="preserve"> of the marks</w:t>
      </w:r>
      <w:r w:rsidR="00C77473" w:rsidRPr="003D540E">
        <w:rPr>
          <w:sz w:val="28"/>
          <w:szCs w:val="28"/>
        </w:rPr>
        <w:t xml:space="preserve">. </w:t>
      </w:r>
      <w:r w:rsidR="00B41F5D" w:rsidRPr="003D540E">
        <w:rPr>
          <w:sz w:val="28"/>
          <w:szCs w:val="28"/>
        </w:rPr>
        <w:t xml:space="preserve">In </w:t>
      </w:r>
      <w:r w:rsidR="00B41F5D" w:rsidRPr="003D540E">
        <w:rPr>
          <w:i/>
          <w:iCs/>
          <w:sz w:val="28"/>
          <w:szCs w:val="28"/>
        </w:rPr>
        <w:t>Plascon-Evans Paints Ltd v Van Riebeeck Paints (Pty) Ltd</w:t>
      </w:r>
      <w:r w:rsidR="00B41F5D" w:rsidRPr="003D540E">
        <w:rPr>
          <w:sz w:val="28"/>
          <w:szCs w:val="28"/>
        </w:rPr>
        <w:t>, Corbett JA said:</w:t>
      </w:r>
    </w:p>
    <w:p w14:paraId="0D834234" w14:textId="7E3A3563" w:rsidR="00B41F5D" w:rsidRPr="003D540E" w:rsidRDefault="00B41F5D" w:rsidP="00B41F5D">
      <w:pPr>
        <w:pStyle w:val="ListParagraph"/>
        <w:ind w:left="0"/>
      </w:pPr>
      <w:r w:rsidRPr="003D540E">
        <w:t>‘. . . if each of the marks contains a main or dominant feature or idea the likely impact on the mind of the customer must be taken into account.’</w:t>
      </w:r>
      <w:r w:rsidR="00E30941" w:rsidRPr="003D540E">
        <w:rPr>
          <w:rStyle w:val="FootnoteReference"/>
          <w:sz w:val="28"/>
          <w:szCs w:val="28"/>
        </w:rPr>
        <w:footnoteReference w:id="39"/>
      </w:r>
    </w:p>
    <w:p w14:paraId="1E32675F" w14:textId="30DF6F49" w:rsidR="004A6AC0" w:rsidRPr="003D540E" w:rsidRDefault="000767D4" w:rsidP="00B41F5D">
      <w:pPr>
        <w:pStyle w:val="ListParagraph"/>
        <w:ind w:left="0"/>
        <w:rPr>
          <w:sz w:val="28"/>
          <w:szCs w:val="28"/>
        </w:rPr>
      </w:pPr>
      <w:r w:rsidRPr="003D540E">
        <w:rPr>
          <w:sz w:val="28"/>
          <w:szCs w:val="28"/>
        </w:rPr>
        <w:t>Cl</w:t>
      </w:r>
      <w:r w:rsidR="009848FF" w:rsidRPr="003D540E">
        <w:rPr>
          <w:sz w:val="28"/>
          <w:szCs w:val="28"/>
        </w:rPr>
        <w:t xml:space="preserve">early, </w:t>
      </w:r>
      <w:r w:rsidRPr="003D540E">
        <w:rPr>
          <w:sz w:val="28"/>
          <w:szCs w:val="28"/>
        </w:rPr>
        <w:t xml:space="preserve">the dominant feature </w:t>
      </w:r>
      <w:r w:rsidR="009848FF" w:rsidRPr="003D540E">
        <w:rPr>
          <w:sz w:val="28"/>
          <w:szCs w:val="28"/>
        </w:rPr>
        <w:t>i</w:t>
      </w:r>
      <w:r w:rsidR="00291E0B" w:rsidRPr="003D540E">
        <w:rPr>
          <w:sz w:val="28"/>
          <w:szCs w:val="28"/>
        </w:rPr>
        <w:t>n the present matter i</w:t>
      </w:r>
      <w:r w:rsidR="009848FF" w:rsidRPr="003D540E">
        <w:rPr>
          <w:sz w:val="28"/>
          <w:szCs w:val="28"/>
        </w:rPr>
        <w:t xml:space="preserve">s the use </w:t>
      </w:r>
      <w:r w:rsidR="00C5310D" w:rsidRPr="003D540E">
        <w:rPr>
          <w:sz w:val="28"/>
          <w:szCs w:val="28"/>
        </w:rPr>
        <w:t xml:space="preserve">by both </w:t>
      </w:r>
      <w:r w:rsidR="009848FF" w:rsidRPr="003D540E">
        <w:rPr>
          <w:sz w:val="28"/>
          <w:szCs w:val="28"/>
        </w:rPr>
        <w:t xml:space="preserve">of the suffix CRAX. </w:t>
      </w:r>
      <w:r w:rsidR="005D4670" w:rsidRPr="003D540E">
        <w:rPr>
          <w:sz w:val="28"/>
          <w:szCs w:val="28"/>
        </w:rPr>
        <w:t xml:space="preserve">This is what would strike the mind of a customer. </w:t>
      </w:r>
      <w:r w:rsidRPr="003D540E">
        <w:rPr>
          <w:sz w:val="28"/>
          <w:szCs w:val="28"/>
        </w:rPr>
        <w:t>Cape Cookies contended that this was a descriptive word in common use</w:t>
      </w:r>
      <w:r w:rsidR="00261AD2" w:rsidRPr="003D540E">
        <w:rPr>
          <w:sz w:val="28"/>
          <w:szCs w:val="28"/>
        </w:rPr>
        <w:t xml:space="preserve"> rather than a </w:t>
      </w:r>
      <w:r w:rsidR="00097AA5" w:rsidRPr="003D540E">
        <w:rPr>
          <w:sz w:val="28"/>
          <w:szCs w:val="28"/>
        </w:rPr>
        <w:t xml:space="preserve">made-up, </w:t>
      </w:r>
      <w:r w:rsidR="00261AD2" w:rsidRPr="003D540E">
        <w:rPr>
          <w:sz w:val="28"/>
          <w:szCs w:val="28"/>
        </w:rPr>
        <w:t xml:space="preserve">distinctive one. It </w:t>
      </w:r>
      <w:r w:rsidR="00F32FFD" w:rsidRPr="003D540E">
        <w:rPr>
          <w:bCs/>
          <w:sz w:val="28"/>
          <w:szCs w:val="28"/>
        </w:rPr>
        <w:t>submitted that ‘both parties know and accept that CRAX is an abbreviation, or variation, of the word “CRACKERS”, which is an ordinary, descriptive, word</w:t>
      </w:r>
      <w:r w:rsidR="00CB4BA2" w:rsidRPr="003D540E">
        <w:rPr>
          <w:bCs/>
          <w:sz w:val="28"/>
          <w:szCs w:val="28"/>
        </w:rPr>
        <w:t>’</w:t>
      </w:r>
      <w:r w:rsidR="00F32FFD" w:rsidRPr="003D540E">
        <w:rPr>
          <w:bCs/>
          <w:sz w:val="28"/>
          <w:szCs w:val="28"/>
        </w:rPr>
        <w:t xml:space="preserve">. It sought support for this submission in the affidavit of National Brands where it </w:t>
      </w:r>
      <w:r w:rsidR="001A15E0" w:rsidRPr="003D540E">
        <w:rPr>
          <w:bCs/>
          <w:sz w:val="28"/>
          <w:szCs w:val="28"/>
        </w:rPr>
        <w:t xml:space="preserve">claimed </w:t>
      </w:r>
      <w:r w:rsidR="00F32FFD" w:rsidRPr="003D540E">
        <w:rPr>
          <w:bCs/>
          <w:sz w:val="28"/>
          <w:szCs w:val="28"/>
        </w:rPr>
        <w:t>that ‘“CRAX” was used instead of the descriptive word “crackers”’. But the opposite is true. National Brands argued for the distinctiveness of ‘CRAX’ over the non-distinctive and descriptive ‘</w:t>
      </w:r>
      <w:r w:rsidR="00CB529E" w:rsidRPr="003D540E">
        <w:rPr>
          <w:bCs/>
          <w:sz w:val="28"/>
          <w:szCs w:val="28"/>
        </w:rPr>
        <w:t>c</w:t>
      </w:r>
      <w:r w:rsidR="00F32FFD" w:rsidRPr="003D540E">
        <w:rPr>
          <w:bCs/>
          <w:sz w:val="28"/>
          <w:szCs w:val="28"/>
        </w:rPr>
        <w:t>rackers’.</w:t>
      </w:r>
    </w:p>
    <w:p w14:paraId="7DAAE54D" w14:textId="77777777" w:rsidR="0068203D" w:rsidRPr="003D540E" w:rsidRDefault="0068203D" w:rsidP="0068203D">
      <w:pPr>
        <w:pStyle w:val="ListParagraph"/>
        <w:ind w:left="0"/>
        <w:rPr>
          <w:sz w:val="28"/>
          <w:szCs w:val="28"/>
        </w:rPr>
      </w:pPr>
    </w:p>
    <w:p w14:paraId="797F5B3A" w14:textId="4726D449" w:rsidR="00140DBD" w:rsidRPr="003D540E" w:rsidRDefault="00F32FFD" w:rsidP="0068203D">
      <w:pPr>
        <w:pStyle w:val="ListParagraph"/>
        <w:numPr>
          <w:ilvl w:val="0"/>
          <w:numId w:val="1"/>
        </w:numPr>
        <w:ind w:left="0"/>
        <w:rPr>
          <w:sz w:val="28"/>
          <w:szCs w:val="28"/>
        </w:rPr>
      </w:pPr>
      <w:r w:rsidRPr="003D540E">
        <w:rPr>
          <w:bCs/>
          <w:sz w:val="28"/>
          <w:szCs w:val="28"/>
        </w:rPr>
        <w:t xml:space="preserve">Evidence of language </w:t>
      </w:r>
      <w:r w:rsidR="00DA51DC" w:rsidRPr="003D540E">
        <w:rPr>
          <w:bCs/>
          <w:sz w:val="28"/>
          <w:szCs w:val="28"/>
        </w:rPr>
        <w:t xml:space="preserve">usage </w:t>
      </w:r>
      <w:r w:rsidRPr="003D540E">
        <w:rPr>
          <w:bCs/>
          <w:sz w:val="28"/>
          <w:szCs w:val="28"/>
        </w:rPr>
        <w:t>must include dictionary use</w:t>
      </w:r>
      <w:r w:rsidR="00761B4E" w:rsidRPr="003D540E">
        <w:rPr>
          <w:bCs/>
          <w:sz w:val="28"/>
          <w:szCs w:val="28"/>
        </w:rPr>
        <w:t>, even though this is not decisive</w:t>
      </w:r>
      <w:r w:rsidRPr="003D540E">
        <w:rPr>
          <w:bCs/>
          <w:sz w:val="28"/>
          <w:szCs w:val="28"/>
        </w:rPr>
        <w:t xml:space="preserve">. </w:t>
      </w:r>
      <w:r w:rsidR="0071608B" w:rsidRPr="003D540E">
        <w:rPr>
          <w:bCs/>
          <w:sz w:val="28"/>
          <w:szCs w:val="28"/>
        </w:rPr>
        <w:t>T</w:t>
      </w:r>
      <w:r w:rsidRPr="003D540E">
        <w:rPr>
          <w:bCs/>
          <w:sz w:val="28"/>
          <w:szCs w:val="28"/>
        </w:rPr>
        <w:t xml:space="preserve">he Concise Oxford Dictionary does not list ‘crax’ or give it as a form of ‘cracker’ or ‘crackers’. The </w:t>
      </w:r>
      <w:r w:rsidR="0027592D" w:rsidRPr="003D540E">
        <w:rPr>
          <w:bCs/>
          <w:sz w:val="28"/>
          <w:szCs w:val="28"/>
        </w:rPr>
        <w:t>Merriam-</w:t>
      </w:r>
      <w:r w:rsidRPr="003D540E">
        <w:rPr>
          <w:bCs/>
          <w:sz w:val="28"/>
          <w:szCs w:val="28"/>
        </w:rPr>
        <w:t xml:space="preserve">Webster </w:t>
      </w:r>
      <w:r w:rsidR="0027592D" w:rsidRPr="003D540E">
        <w:rPr>
          <w:bCs/>
          <w:sz w:val="28"/>
          <w:szCs w:val="28"/>
        </w:rPr>
        <w:t xml:space="preserve">online </w:t>
      </w:r>
      <w:r w:rsidRPr="003D540E">
        <w:rPr>
          <w:bCs/>
          <w:sz w:val="28"/>
          <w:szCs w:val="28"/>
        </w:rPr>
        <w:t>dictionary defines ‘crax’ as ‘the type genus of Cracidae’.</w:t>
      </w:r>
      <w:r w:rsidRPr="003D540E">
        <w:rPr>
          <w:bCs/>
          <w:sz w:val="28"/>
          <w:szCs w:val="28"/>
          <w:vertAlign w:val="superscript"/>
        </w:rPr>
        <w:footnoteReference w:id="40"/>
      </w:r>
      <w:r w:rsidRPr="003D540E">
        <w:rPr>
          <w:bCs/>
          <w:sz w:val="28"/>
          <w:szCs w:val="28"/>
        </w:rPr>
        <w:t xml:space="preserve"> There is no mention of its being a shortened term </w:t>
      </w:r>
      <w:r w:rsidR="000404C9" w:rsidRPr="003D540E">
        <w:rPr>
          <w:bCs/>
          <w:sz w:val="28"/>
          <w:szCs w:val="28"/>
        </w:rPr>
        <w:t xml:space="preserve">or an abbreviation </w:t>
      </w:r>
      <w:r w:rsidR="00761B4E" w:rsidRPr="003D540E">
        <w:rPr>
          <w:bCs/>
          <w:sz w:val="28"/>
          <w:szCs w:val="28"/>
        </w:rPr>
        <w:t>for</w:t>
      </w:r>
      <w:r w:rsidRPr="003D540E">
        <w:rPr>
          <w:bCs/>
          <w:sz w:val="28"/>
          <w:szCs w:val="28"/>
        </w:rPr>
        <w:t xml:space="preserve"> ‘crackers’. The Online Cambridge Dictionary has no meaning for ‘crax’, simply listing similar words, the closest of which is ‘crack’.</w:t>
      </w:r>
      <w:r w:rsidRPr="003D540E">
        <w:rPr>
          <w:bCs/>
          <w:sz w:val="28"/>
          <w:szCs w:val="28"/>
          <w:vertAlign w:val="superscript"/>
        </w:rPr>
        <w:footnoteReference w:id="41"/>
      </w:r>
      <w:r w:rsidRPr="003D540E">
        <w:rPr>
          <w:bCs/>
          <w:sz w:val="28"/>
          <w:szCs w:val="28"/>
        </w:rPr>
        <w:t xml:space="preserve"> The Online Etymology Dictionary ha</w:t>
      </w:r>
      <w:r w:rsidR="00761B4E" w:rsidRPr="003D540E">
        <w:rPr>
          <w:bCs/>
          <w:sz w:val="28"/>
          <w:szCs w:val="28"/>
        </w:rPr>
        <w:t>s</w:t>
      </w:r>
      <w:r w:rsidRPr="003D540E">
        <w:rPr>
          <w:bCs/>
          <w:sz w:val="28"/>
          <w:szCs w:val="28"/>
        </w:rPr>
        <w:t xml:space="preserve"> no result for ‘crax’.</w:t>
      </w:r>
      <w:r w:rsidRPr="003D540E">
        <w:rPr>
          <w:bCs/>
          <w:sz w:val="28"/>
          <w:szCs w:val="28"/>
          <w:vertAlign w:val="superscript"/>
        </w:rPr>
        <w:footnoteReference w:id="42"/>
      </w:r>
      <w:r w:rsidR="00867F35" w:rsidRPr="003D540E">
        <w:rPr>
          <w:bCs/>
          <w:sz w:val="28"/>
          <w:szCs w:val="28"/>
        </w:rPr>
        <w:t xml:space="preserve"> </w:t>
      </w:r>
      <w:r w:rsidR="00110E0F" w:rsidRPr="003D540E">
        <w:rPr>
          <w:bCs/>
          <w:sz w:val="28"/>
          <w:szCs w:val="28"/>
        </w:rPr>
        <w:t>There is no basis for concluding that it is</w:t>
      </w:r>
      <w:r w:rsidR="009D45B9" w:rsidRPr="003D540E">
        <w:rPr>
          <w:bCs/>
          <w:sz w:val="28"/>
          <w:szCs w:val="28"/>
        </w:rPr>
        <w:t>, or was</w:t>
      </w:r>
      <w:r w:rsidR="006F4652" w:rsidRPr="003D540E">
        <w:rPr>
          <w:bCs/>
          <w:sz w:val="28"/>
          <w:szCs w:val="28"/>
        </w:rPr>
        <w:t>,</w:t>
      </w:r>
      <w:r w:rsidR="00110E0F" w:rsidRPr="003D540E">
        <w:rPr>
          <w:bCs/>
          <w:sz w:val="28"/>
          <w:szCs w:val="28"/>
        </w:rPr>
        <w:t xml:space="preserve"> a </w:t>
      </w:r>
      <w:r w:rsidR="00867F35" w:rsidRPr="003D540E">
        <w:rPr>
          <w:bCs/>
          <w:sz w:val="28"/>
          <w:szCs w:val="28"/>
        </w:rPr>
        <w:t>word in everyday use</w:t>
      </w:r>
      <w:r w:rsidR="00110E0F" w:rsidRPr="003D540E">
        <w:rPr>
          <w:bCs/>
          <w:sz w:val="28"/>
          <w:szCs w:val="28"/>
        </w:rPr>
        <w:t xml:space="preserve"> or is used as an abbreviation for crackers.</w:t>
      </w:r>
    </w:p>
    <w:p w14:paraId="6458AE18" w14:textId="37DFDF69" w:rsidR="0044210B" w:rsidRPr="003D540E" w:rsidRDefault="00EA0390" w:rsidP="0044210B">
      <w:pPr>
        <w:pStyle w:val="ListParagraph"/>
        <w:numPr>
          <w:ilvl w:val="0"/>
          <w:numId w:val="1"/>
        </w:numPr>
        <w:ind w:left="0"/>
        <w:rPr>
          <w:sz w:val="28"/>
          <w:szCs w:val="28"/>
        </w:rPr>
      </w:pPr>
      <w:r w:rsidRPr="003D540E">
        <w:rPr>
          <w:bCs/>
          <w:sz w:val="28"/>
          <w:szCs w:val="28"/>
        </w:rPr>
        <w:lastRenderedPageBreak/>
        <w:t>In support of its contention that ‘crax’</w:t>
      </w:r>
      <w:r w:rsidR="00A900F0" w:rsidRPr="003D540E">
        <w:rPr>
          <w:bCs/>
          <w:sz w:val="28"/>
          <w:szCs w:val="28"/>
        </w:rPr>
        <w:t xml:space="preserve"> was a commonly used word for ‘crackers’, </w:t>
      </w:r>
      <w:r w:rsidR="0044210B" w:rsidRPr="003D540E">
        <w:rPr>
          <w:bCs/>
          <w:sz w:val="28"/>
          <w:szCs w:val="28"/>
        </w:rPr>
        <w:t>Cape Cookies attempted to rely on averments in an affidavit delivered in th</w:t>
      </w:r>
      <w:r w:rsidR="005B43F4" w:rsidRPr="003D540E">
        <w:rPr>
          <w:bCs/>
          <w:sz w:val="28"/>
          <w:szCs w:val="28"/>
        </w:rPr>
        <w:t>e</w:t>
      </w:r>
      <w:r w:rsidR="0044210B" w:rsidRPr="003D540E">
        <w:rPr>
          <w:bCs/>
          <w:sz w:val="28"/>
          <w:szCs w:val="28"/>
        </w:rPr>
        <w:t xml:space="preserve"> Cape </w:t>
      </w:r>
      <w:r w:rsidR="005B43F4" w:rsidRPr="003D540E">
        <w:rPr>
          <w:bCs/>
          <w:sz w:val="28"/>
          <w:szCs w:val="28"/>
        </w:rPr>
        <w:t>litigation</w:t>
      </w:r>
      <w:r w:rsidR="0044210B" w:rsidRPr="003D540E">
        <w:rPr>
          <w:bCs/>
          <w:sz w:val="28"/>
          <w:szCs w:val="28"/>
        </w:rPr>
        <w:t xml:space="preserve">. National Brands submitted that the affidavit in question did not form part of the papers in the present matter. It had simply been added to the application papers without agreement or the leave of the high court. When pressed in argument, Cape Cookies was constrained to concede that this </w:t>
      </w:r>
      <w:r w:rsidR="00EE26E8" w:rsidRPr="003D540E">
        <w:rPr>
          <w:bCs/>
          <w:sz w:val="28"/>
          <w:szCs w:val="28"/>
        </w:rPr>
        <w:t>was</w:t>
      </w:r>
      <w:r w:rsidR="0044210B" w:rsidRPr="003D540E">
        <w:rPr>
          <w:bCs/>
          <w:sz w:val="28"/>
          <w:szCs w:val="28"/>
        </w:rPr>
        <w:t xml:space="preserve"> </w:t>
      </w:r>
      <w:r w:rsidR="00EE26E8" w:rsidRPr="003D540E">
        <w:rPr>
          <w:bCs/>
          <w:sz w:val="28"/>
          <w:szCs w:val="28"/>
        </w:rPr>
        <w:t>the case</w:t>
      </w:r>
      <w:r w:rsidR="0044210B" w:rsidRPr="003D540E">
        <w:rPr>
          <w:bCs/>
          <w:sz w:val="28"/>
          <w:szCs w:val="28"/>
        </w:rPr>
        <w:t xml:space="preserve"> and that the affidavit in question had not been properly introduced in evidence in the present matter. This means, of course, that it cannot be relied on.</w:t>
      </w:r>
      <w:r w:rsidR="005B43F4" w:rsidRPr="003D540E">
        <w:rPr>
          <w:bCs/>
          <w:sz w:val="28"/>
          <w:szCs w:val="28"/>
        </w:rPr>
        <w:t xml:space="preserve"> The costs arising from this action shall be dealt with later.</w:t>
      </w:r>
    </w:p>
    <w:p w14:paraId="391BB034" w14:textId="77777777" w:rsidR="0044210B" w:rsidRPr="003D540E" w:rsidRDefault="0044210B" w:rsidP="0044210B">
      <w:pPr>
        <w:pStyle w:val="ListParagraph"/>
        <w:ind w:left="0"/>
        <w:rPr>
          <w:sz w:val="28"/>
          <w:szCs w:val="28"/>
        </w:rPr>
      </w:pPr>
    </w:p>
    <w:p w14:paraId="15BCA900" w14:textId="0E820F18" w:rsidR="00477785" w:rsidRPr="003D540E" w:rsidRDefault="008E698A" w:rsidP="001B6B28">
      <w:pPr>
        <w:pStyle w:val="ListParagraph"/>
        <w:numPr>
          <w:ilvl w:val="0"/>
          <w:numId w:val="1"/>
        </w:numPr>
        <w:ind w:left="0"/>
        <w:rPr>
          <w:sz w:val="28"/>
          <w:szCs w:val="28"/>
        </w:rPr>
      </w:pPr>
      <w:r w:rsidRPr="003D540E">
        <w:rPr>
          <w:bCs/>
          <w:sz w:val="28"/>
          <w:szCs w:val="28"/>
        </w:rPr>
        <w:t xml:space="preserve">It must be recognised that the competing words are both </w:t>
      </w:r>
      <w:r w:rsidR="005E2479" w:rsidRPr="003D540E">
        <w:rPr>
          <w:bCs/>
          <w:sz w:val="28"/>
          <w:szCs w:val="28"/>
        </w:rPr>
        <w:t xml:space="preserve">composite word marks which include the suffix CRAX. CRAX has not been registered as a standalone mark. </w:t>
      </w:r>
      <w:r w:rsidR="00667A8D" w:rsidRPr="003D540E">
        <w:rPr>
          <w:bCs/>
          <w:sz w:val="28"/>
          <w:szCs w:val="28"/>
        </w:rPr>
        <w:t xml:space="preserve">The question is whether the </w:t>
      </w:r>
      <w:r w:rsidR="00857BF8" w:rsidRPr="003D540E">
        <w:rPr>
          <w:bCs/>
          <w:sz w:val="28"/>
          <w:szCs w:val="28"/>
        </w:rPr>
        <w:t xml:space="preserve">different prefixes achieve sufficient prominence to </w:t>
      </w:r>
      <w:r w:rsidR="003048F7" w:rsidRPr="003D540E">
        <w:rPr>
          <w:bCs/>
          <w:sz w:val="28"/>
          <w:szCs w:val="28"/>
        </w:rPr>
        <w:t>render SNACKCRAX dissimilar to SALTICRAX.</w:t>
      </w:r>
      <w:r w:rsidR="0069433F" w:rsidRPr="003D540E">
        <w:rPr>
          <w:bCs/>
          <w:sz w:val="28"/>
          <w:szCs w:val="28"/>
        </w:rPr>
        <w:t xml:space="preserve"> </w:t>
      </w:r>
      <w:r w:rsidR="00320253" w:rsidRPr="003D540E">
        <w:rPr>
          <w:bCs/>
          <w:sz w:val="28"/>
          <w:szCs w:val="28"/>
        </w:rPr>
        <w:t xml:space="preserve">Both </w:t>
      </w:r>
      <w:r w:rsidR="00052F11" w:rsidRPr="003D540E">
        <w:rPr>
          <w:bCs/>
          <w:sz w:val="28"/>
          <w:szCs w:val="28"/>
        </w:rPr>
        <w:t>prefixes are</w:t>
      </w:r>
      <w:r w:rsidR="00320253" w:rsidRPr="003D540E">
        <w:rPr>
          <w:bCs/>
          <w:sz w:val="28"/>
          <w:szCs w:val="28"/>
        </w:rPr>
        <w:t xml:space="preserve"> descriptive words and thus not distinctive.</w:t>
      </w:r>
      <w:r w:rsidR="009B1C41" w:rsidRPr="003D540E">
        <w:rPr>
          <w:bCs/>
          <w:sz w:val="28"/>
          <w:szCs w:val="28"/>
        </w:rPr>
        <w:t xml:space="preserve"> SALTI </w:t>
      </w:r>
      <w:r w:rsidR="008B7411" w:rsidRPr="003D540E">
        <w:rPr>
          <w:bCs/>
          <w:sz w:val="28"/>
          <w:szCs w:val="28"/>
        </w:rPr>
        <w:t xml:space="preserve">alludes to </w:t>
      </w:r>
      <w:r w:rsidR="009B1C41" w:rsidRPr="003D540E">
        <w:rPr>
          <w:bCs/>
          <w:sz w:val="28"/>
          <w:szCs w:val="28"/>
        </w:rPr>
        <w:t xml:space="preserve">taste and SNACK the </w:t>
      </w:r>
      <w:r w:rsidR="00052F11" w:rsidRPr="003D540E">
        <w:rPr>
          <w:bCs/>
          <w:sz w:val="28"/>
          <w:szCs w:val="28"/>
        </w:rPr>
        <w:t xml:space="preserve">envisaged </w:t>
      </w:r>
      <w:r w:rsidR="009B1C41" w:rsidRPr="003D540E">
        <w:rPr>
          <w:bCs/>
          <w:sz w:val="28"/>
          <w:szCs w:val="28"/>
        </w:rPr>
        <w:t xml:space="preserve">use for the biscuit. </w:t>
      </w:r>
      <w:r w:rsidR="001135FA" w:rsidRPr="003D540E">
        <w:rPr>
          <w:bCs/>
          <w:sz w:val="28"/>
          <w:szCs w:val="28"/>
        </w:rPr>
        <w:t xml:space="preserve">CRAX </w:t>
      </w:r>
      <w:r w:rsidR="00052F11" w:rsidRPr="003D540E">
        <w:rPr>
          <w:bCs/>
          <w:sz w:val="28"/>
          <w:szCs w:val="28"/>
        </w:rPr>
        <w:t>accordingly must be given</w:t>
      </w:r>
      <w:r w:rsidR="001135FA" w:rsidRPr="003D540E">
        <w:rPr>
          <w:bCs/>
          <w:sz w:val="28"/>
          <w:szCs w:val="28"/>
        </w:rPr>
        <w:t xml:space="preserve"> more prominence than was held to be the case in the </w:t>
      </w:r>
      <w:r w:rsidR="0069433F" w:rsidRPr="003D540E">
        <w:rPr>
          <w:bCs/>
          <w:sz w:val="28"/>
          <w:szCs w:val="28"/>
        </w:rPr>
        <w:t>word</w:t>
      </w:r>
      <w:r w:rsidR="00151627" w:rsidRPr="003D540E">
        <w:rPr>
          <w:bCs/>
          <w:sz w:val="28"/>
          <w:szCs w:val="28"/>
        </w:rPr>
        <w:t xml:space="preserve"> ‘Lucky’</w:t>
      </w:r>
      <w:r w:rsidR="001F1C50" w:rsidRPr="003D540E">
        <w:rPr>
          <w:bCs/>
          <w:sz w:val="28"/>
          <w:szCs w:val="28"/>
        </w:rPr>
        <w:t>,</w:t>
      </w:r>
      <w:r w:rsidR="00503931" w:rsidRPr="003D540E">
        <w:rPr>
          <w:rStyle w:val="FootnoteReference"/>
          <w:bCs/>
          <w:sz w:val="28"/>
          <w:szCs w:val="28"/>
        </w:rPr>
        <w:footnoteReference w:id="43"/>
      </w:r>
      <w:r w:rsidR="00151627" w:rsidRPr="003D540E">
        <w:rPr>
          <w:bCs/>
          <w:sz w:val="28"/>
          <w:szCs w:val="28"/>
        </w:rPr>
        <w:t xml:space="preserve"> the phonetical equivalent of the </w:t>
      </w:r>
      <w:r w:rsidR="00806CF4" w:rsidRPr="003D540E">
        <w:rPr>
          <w:bCs/>
          <w:sz w:val="28"/>
          <w:szCs w:val="28"/>
        </w:rPr>
        <w:t>commonly used</w:t>
      </w:r>
      <w:r w:rsidR="00151627" w:rsidRPr="003D540E">
        <w:rPr>
          <w:bCs/>
          <w:sz w:val="28"/>
          <w:szCs w:val="28"/>
        </w:rPr>
        <w:t xml:space="preserve"> word pepper in the mark PEPPA,</w:t>
      </w:r>
      <w:r w:rsidR="0097211A" w:rsidRPr="003D540E">
        <w:rPr>
          <w:rStyle w:val="FootnoteReference"/>
          <w:bCs/>
          <w:sz w:val="28"/>
          <w:szCs w:val="28"/>
        </w:rPr>
        <w:footnoteReference w:id="44"/>
      </w:r>
      <w:r w:rsidR="0013080D" w:rsidRPr="003D540E">
        <w:rPr>
          <w:bCs/>
          <w:sz w:val="28"/>
          <w:szCs w:val="28"/>
        </w:rPr>
        <w:t xml:space="preserve"> and</w:t>
      </w:r>
      <w:r w:rsidR="00151627" w:rsidRPr="003D540E">
        <w:rPr>
          <w:bCs/>
          <w:sz w:val="28"/>
          <w:szCs w:val="28"/>
        </w:rPr>
        <w:t xml:space="preserve"> </w:t>
      </w:r>
      <w:r w:rsidR="00477785" w:rsidRPr="003D540E">
        <w:rPr>
          <w:bCs/>
          <w:sz w:val="28"/>
          <w:szCs w:val="28"/>
        </w:rPr>
        <w:t>t</w:t>
      </w:r>
      <w:r w:rsidR="001F1C50" w:rsidRPr="003D540E">
        <w:rPr>
          <w:bCs/>
          <w:sz w:val="28"/>
          <w:szCs w:val="28"/>
        </w:rPr>
        <w:t>he common word</w:t>
      </w:r>
      <w:r w:rsidR="00477785" w:rsidRPr="003D540E">
        <w:rPr>
          <w:bCs/>
          <w:sz w:val="28"/>
          <w:szCs w:val="28"/>
        </w:rPr>
        <w:t>s</w:t>
      </w:r>
      <w:r w:rsidR="001F1C50" w:rsidRPr="003D540E">
        <w:rPr>
          <w:bCs/>
          <w:sz w:val="28"/>
          <w:szCs w:val="28"/>
        </w:rPr>
        <w:t xml:space="preserve"> ‘Power’</w:t>
      </w:r>
      <w:r w:rsidR="00477785" w:rsidRPr="003D540E">
        <w:rPr>
          <w:rStyle w:val="FootnoteReference"/>
          <w:bCs/>
          <w:sz w:val="28"/>
          <w:szCs w:val="28"/>
        </w:rPr>
        <w:footnoteReference w:id="45"/>
      </w:r>
      <w:r w:rsidR="00477785" w:rsidRPr="003D540E">
        <w:rPr>
          <w:bCs/>
          <w:sz w:val="28"/>
          <w:szCs w:val="28"/>
        </w:rPr>
        <w:t xml:space="preserve"> and ‘Yuppie’</w:t>
      </w:r>
      <w:r w:rsidR="001135FA" w:rsidRPr="003D540E">
        <w:rPr>
          <w:bCs/>
          <w:sz w:val="28"/>
          <w:szCs w:val="28"/>
        </w:rPr>
        <w:t>.</w:t>
      </w:r>
      <w:r w:rsidR="00477785" w:rsidRPr="003D540E">
        <w:rPr>
          <w:rStyle w:val="FootnoteReference"/>
          <w:bCs/>
          <w:sz w:val="28"/>
          <w:szCs w:val="28"/>
        </w:rPr>
        <w:footnoteReference w:id="46"/>
      </w:r>
      <w:r w:rsidR="001F1C50" w:rsidRPr="003D540E">
        <w:rPr>
          <w:bCs/>
          <w:sz w:val="28"/>
          <w:szCs w:val="28"/>
        </w:rPr>
        <w:t xml:space="preserve"> </w:t>
      </w:r>
      <w:r w:rsidR="00D03E73" w:rsidRPr="003D540E">
        <w:rPr>
          <w:bCs/>
          <w:sz w:val="28"/>
          <w:szCs w:val="28"/>
        </w:rPr>
        <w:t>All of these were held to be non-distinctive despite their being arguably the dominant element of th</w:t>
      </w:r>
      <w:r w:rsidR="004C6169" w:rsidRPr="003D540E">
        <w:rPr>
          <w:bCs/>
          <w:sz w:val="28"/>
          <w:szCs w:val="28"/>
        </w:rPr>
        <w:t>e composite marks in question.</w:t>
      </w:r>
      <w:r w:rsidR="004C6169" w:rsidRPr="003D540E">
        <w:rPr>
          <w:rStyle w:val="FootnoteReference"/>
          <w:bCs/>
          <w:sz w:val="28"/>
          <w:szCs w:val="28"/>
        </w:rPr>
        <w:footnoteReference w:id="47"/>
      </w:r>
      <w:r w:rsidR="004C6169" w:rsidRPr="003D540E">
        <w:rPr>
          <w:bCs/>
          <w:sz w:val="28"/>
          <w:szCs w:val="28"/>
        </w:rPr>
        <w:t xml:space="preserve"> </w:t>
      </w:r>
      <w:r w:rsidR="00503931" w:rsidRPr="003D540E">
        <w:rPr>
          <w:bCs/>
          <w:sz w:val="28"/>
          <w:szCs w:val="28"/>
        </w:rPr>
        <w:t xml:space="preserve">CRAX </w:t>
      </w:r>
      <w:r w:rsidR="00632F8A" w:rsidRPr="003D540E">
        <w:rPr>
          <w:bCs/>
          <w:sz w:val="28"/>
          <w:szCs w:val="28"/>
        </w:rPr>
        <w:t>a</w:t>
      </w:r>
      <w:r w:rsidR="00503931" w:rsidRPr="003D540E">
        <w:rPr>
          <w:bCs/>
          <w:sz w:val="28"/>
          <w:szCs w:val="28"/>
        </w:rPr>
        <w:t>s the dominant feature of the two words</w:t>
      </w:r>
      <w:r w:rsidR="009239F8" w:rsidRPr="003D540E">
        <w:rPr>
          <w:bCs/>
          <w:sz w:val="28"/>
          <w:szCs w:val="28"/>
        </w:rPr>
        <w:t xml:space="preserve"> is </w:t>
      </w:r>
      <w:r w:rsidR="00632F8A" w:rsidRPr="003D540E">
        <w:rPr>
          <w:bCs/>
          <w:sz w:val="28"/>
          <w:szCs w:val="28"/>
        </w:rPr>
        <w:t xml:space="preserve">a </w:t>
      </w:r>
      <w:r w:rsidR="009D16FD" w:rsidRPr="003D540E">
        <w:rPr>
          <w:bCs/>
          <w:sz w:val="28"/>
          <w:szCs w:val="28"/>
        </w:rPr>
        <w:t>coined</w:t>
      </w:r>
      <w:r w:rsidR="00632F8A" w:rsidRPr="003D540E">
        <w:rPr>
          <w:bCs/>
          <w:sz w:val="28"/>
          <w:szCs w:val="28"/>
        </w:rPr>
        <w:t xml:space="preserve"> word</w:t>
      </w:r>
      <w:r w:rsidR="00E80D46" w:rsidRPr="003D540E">
        <w:rPr>
          <w:bCs/>
          <w:sz w:val="28"/>
          <w:szCs w:val="28"/>
        </w:rPr>
        <w:t xml:space="preserve">, unlike the other example </w:t>
      </w:r>
      <w:r w:rsidR="00E80D46" w:rsidRPr="003D540E">
        <w:rPr>
          <w:bCs/>
          <w:sz w:val="28"/>
          <w:szCs w:val="28"/>
        </w:rPr>
        <w:lastRenderedPageBreak/>
        <w:t>cited</w:t>
      </w:r>
      <w:r w:rsidR="00503931" w:rsidRPr="003D540E">
        <w:rPr>
          <w:bCs/>
          <w:sz w:val="28"/>
          <w:szCs w:val="28"/>
        </w:rPr>
        <w:t xml:space="preserve">. </w:t>
      </w:r>
      <w:r w:rsidR="00407C54" w:rsidRPr="003D540E">
        <w:rPr>
          <w:bCs/>
          <w:sz w:val="28"/>
          <w:szCs w:val="28"/>
        </w:rPr>
        <w:t>It is therefore capable of distinguishing.</w:t>
      </w:r>
      <w:r w:rsidR="00561576" w:rsidRPr="003D540E">
        <w:rPr>
          <w:bCs/>
          <w:sz w:val="28"/>
          <w:szCs w:val="28"/>
        </w:rPr>
        <w:t xml:space="preserve"> </w:t>
      </w:r>
      <w:r w:rsidR="008F6C4C" w:rsidRPr="003D540E">
        <w:rPr>
          <w:bCs/>
          <w:sz w:val="28"/>
          <w:szCs w:val="28"/>
        </w:rPr>
        <w:t>In so far as the other</w:t>
      </w:r>
      <w:r w:rsidR="009D33DE" w:rsidRPr="003D540E">
        <w:rPr>
          <w:bCs/>
          <w:sz w:val="28"/>
          <w:szCs w:val="28"/>
        </w:rPr>
        <w:t>s</w:t>
      </w:r>
      <w:r w:rsidR="008F6C4C" w:rsidRPr="003D540E">
        <w:rPr>
          <w:bCs/>
          <w:sz w:val="28"/>
          <w:szCs w:val="28"/>
        </w:rPr>
        <w:t xml:space="preserve"> are concerned, it has come to be accepted that it is not the purpose of trade marks to enable people ‘to secure monopolies on the commons of the English language’</w:t>
      </w:r>
      <w:r w:rsidR="008F6C4C" w:rsidRPr="003D540E">
        <w:rPr>
          <w:rStyle w:val="FootnoteReference"/>
          <w:bCs/>
          <w:sz w:val="28"/>
          <w:szCs w:val="28"/>
        </w:rPr>
        <w:footnoteReference w:id="48"/>
      </w:r>
      <w:r w:rsidR="008F6C4C" w:rsidRPr="003D540E">
        <w:rPr>
          <w:bCs/>
          <w:sz w:val="28"/>
          <w:szCs w:val="28"/>
        </w:rPr>
        <w:t xml:space="preserve"> and that the phonetic equivalent of a non-distinctive word is itself non-distinctive.</w:t>
      </w:r>
      <w:r w:rsidR="008F6C4C" w:rsidRPr="003D540E">
        <w:rPr>
          <w:rStyle w:val="FootnoteReference"/>
          <w:bCs/>
          <w:sz w:val="28"/>
          <w:szCs w:val="28"/>
        </w:rPr>
        <w:footnoteReference w:id="49"/>
      </w:r>
      <w:r w:rsidR="008F6C4C" w:rsidRPr="003D540E">
        <w:rPr>
          <w:bCs/>
          <w:sz w:val="28"/>
          <w:szCs w:val="28"/>
        </w:rPr>
        <w:t xml:space="preserve"> </w:t>
      </w:r>
    </w:p>
    <w:p w14:paraId="610613AD" w14:textId="77777777" w:rsidR="0025010C" w:rsidRPr="003D540E" w:rsidRDefault="0025010C" w:rsidP="0025010C">
      <w:pPr>
        <w:pStyle w:val="ListParagraph"/>
        <w:ind w:left="0"/>
        <w:rPr>
          <w:sz w:val="28"/>
          <w:szCs w:val="28"/>
        </w:rPr>
      </w:pPr>
    </w:p>
    <w:p w14:paraId="01AC3328" w14:textId="4FAD5BE0" w:rsidR="0050052B" w:rsidRPr="003D540E" w:rsidRDefault="003404FD" w:rsidP="0050052B">
      <w:pPr>
        <w:pStyle w:val="ListParagraph"/>
        <w:numPr>
          <w:ilvl w:val="0"/>
          <w:numId w:val="1"/>
        </w:numPr>
        <w:ind w:left="0"/>
        <w:rPr>
          <w:sz w:val="28"/>
          <w:szCs w:val="28"/>
        </w:rPr>
      </w:pPr>
      <w:r w:rsidRPr="003D540E">
        <w:rPr>
          <w:bCs/>
          <w:sz w:val="28"/>
          <w:szCs w:val="28"/>
        </w:rPr>
        <w:t xml:space="preserve">It is worth mentioning some cases where comparisons of </w:t>
      </w:r>
      <w:r w:rsidR="00881FE6" w:rsidRPr="003D540E">
        <w:rPr>
          <w:bCs/>
          <w:sz w:val="28"/>
          <w:szCs w:val="28"/>
        </w:rPr>
        <w:t>words have been found to be similar</w:t>
      </w:r>
      <w:r w:rsidR="00B32129" w:rsidRPr="003D540E">
        <w:rPr>
          <w:bCs/>
          <w:sz w:val="28"/>
          <w:szCs w:val="28"/>
        </w:rPr>
        <w:t xml:space="preserve"> and registration </w:t>
      </w:r>
      <w:r w:rsidR="00D274DD" w:rsidRPr="003D540E">
        <w:rPr>
          <w:bCs/>
          <w:sz w:val="28"/>
          <w:szCs w:val="28"/>
        </w:rPr>
        <w:t>refused</w:t>
      </w:r>
      <w:r w:rsidR="00881FE6" w:rsidRPr="003D540E">
        <w:rPr>
          <w:bCs/>
          <w:sz w:val="28"/>
          <w:szCs w:val="28"/>
        </w:rPr>
        <w:t xml:space="preserve">. In </w:t>
      </w:r>
      <w:r w:rsidR="00701435" w:rsidRPr="003D540E">
        <w:rPr>
          <w:bCs/>
          <w:i/>
          <w:iCs/>
          <w:sz w:val="28"/>
          <w:szCs w:val="28"/>
        </w:rPr>
        <w:t>American Chewing Products Corporation v American Chicle Company</w:t>
      </w:r>
      <w:r w:rsidR="006768A2" w:rsidRPr="003D540E">
        <w:rPr>
          <w:bCs/>
          <w:sz w:val="28"/>
          <w:szCs w:val="28"/>
        </w:rPr>
        <w:t>,</w:t>
      </w:r>
      <w:r w:rsidR="006768A2" w:rsidRPr="003D540E">
        <w:rPr>
          <w:rStyle w:val="FootnoteReference"/>
          <w:bCs/>
          <w:sz w:val="28"/>
          <w:szCs w:val="28"/>
        </w:rPr>
        <w:footnoteReference w:id="50"/>
      </w:r>
      <w:r w:rsidR="006768A2" w:rsidRPr="003D540E">
        <w:rPr>
          <w:bCs/>
          <w:sz w:val="28"/>
          <w:szCs w:val="28"/>
        </w:rPr>
        <w:t xml:space="preserve"> this court upheld the opposition of </w:t>
      </w:r>
      <w:r w:rsidR="00B551F4" w:rsidRPr="003D540E">
        <w:rPr>
          <w:bCs/>
          <w:sz w:val="28"/>
          <w:szCs w:val="28"/>
        </w:rPr>
        <w:t>the proprietor of</w:t>
      </w:r>
      <w:r w:rsidR="00EA21C4" w:rsidRPr="003D540E">
        <w:rPr>
          <w:bCs/>
          <w:sz w:val="28"/>
          <w:szCs w:val="28"/>
        </w:rPr>
        <w:t xml:space="preserve"> a registered trademark </w:t>
      </w:r>
      <w:r w:rsidR="00B551F4" w:rsidRPr="003D540E">
        <w:rPr>
          <w:bCs/>
          <w:sz w:val="28"/>
          <w:szCs w:val="28"/>
        </w:rPr>
        <w:t xml:space="preserve">CHICLETS </w:t>
      </w:r>
      <w:r w:rsidR="00EA21C4" w:rsidRPr="003D540E">
        <w:rPr>
          <w:bCs/>
          <w:sz w:val="28"/>
          <w:szCs w:val="28"/>
        </w:rPr>
        <w:t xml:space="preserve">for chewing gum </w:t>
      </w:r>
      <w:r w:rsidR="00B551F4" w:rsidRPr="003D540E">
        <w:rPr>
          <w:bCs/>
          <w:sz w:val="28"/>
          <w:szCs w:val="28"/>
        </w:rPr>
        <w:t xml:space="preserve">to registration of </w:t>
      </w:r>
      <w:r w:rsidR="00EA21C4" w:rsidRPr="003D540E">
        <w:rPr>
          <w:bCs/>
          <w:sz w:val="28"/>
          <w:szCs w:val="28"/>
        </w:rPr>
        <w:t xml:space="preserve">Chicks for the same goods. </w:t>
      </w:r>
      <w:r w:rsidR="00D274DD" w:rsidRPr="003D540E">
        <w:rPr>
          <w:bCs/>
          <w:sz w:val="28"/>
          <w:szCs w:val="28"/>
        </w:rPr>
        <w:t xml:space="preserve">In </w:t>
      </w:r>
      <w:r w:rsidR="00946BC2" w:rsidRPr="003D540E">
        <w:rPr>
          <w:bCs/>
          <w:i/>
          <w:iCs/>
          <w:sz w:val="28"/>
          <w:szCs w:val="28"/>
        </w:rPr>
        <w:t>Century City Apartments Property Services CC and Another v Century City Property O</w:t>
      </w:r>
      <w:r w:rsidR="00567949" w:rsidRPr="003D540E">
        <w:rPr>
          <w:bCs/>
          <w:i/>
          <w:iCs/>
          <w:sz w:val="28"/>
          <w:szCs w:val="28"/>
        </w:rPr>
        <w:t>wners</w:t>
      </w:r>
      <w:r w:rsidR="00D52115" w:rsidRPr="003D540E">
        <w:rPr>
          <w:bCs/>
          <w:i/>
          <w:iCs/>
          <w:sz w:val="28"/>
          <w:szCs w:val="28"/>
        </w:rPr>
        <w:t>’</w:t>
      </w:r>
      <w:r w:rsidR="00946BC2" w:rsidRPr="003D540E">
        <w:rPr>
          <w:bCs/>
          <w:i/>
          <w:iCs/>
          <w:sz w:val="28"/>
          <w:szCs w:val="28"/>
        </w:rPr>
        <w:t xml:space="preserve"> A</w:t>
      </w:r>
      <w:r w:rsidR="00567949" w:rsidRPr="003D540E">
        <w:rPr>
          <w:bCs/>
          <w:i/>
          <w:iCs/>
          <w:sz w:val="28"/>
          <w:szCs w:val="28"/>
        </w:rPr>
        <w:t>ssociation</w:t>
      </w:r>
      <w:r w:rsidR="00CE016A" w:rsidRPr="003D540E">
        <w:rPr>
          <w:bCs/>
          <w:sz w:val="28"/>
          <w:szCs w:val="28"/>
        </w:rPr>
        <w:t xml:space="preserve">, this court held that, despite </w:t>
      </w:r>
      <w:r w:rsidR="00A07F28" w:rsidRPr="003D540E">
        <w:rPr>
          <w:bCs/>
          <w:sz w:val="28"/>
          <w:szCs w:val="28"/>
        </w:rPr>
        <w:t xml:space="preserve">the </w:t>
      </w:r>
      <w:r w:rsidR="00CE016A" w:rsidRPr="003D540E">
        <w:rPr>
          <w:bCs/>
          <w:sz w:val="28"/>
          <w:szCs w:val="28"/>
        </w:rPr>
        <w:t>addition</w:t>
      </w:r>
      <w:r w:rsidR="00A07F28" w:rsidRPr="003D540E">
        <w:rPr>
          <w:bCs/>
          <w:sz w:val="28"/>
          <w:szCs w:val="28"/>
        </w:rPr>
        <w:t xml:space="preserve"> of </w:t>
      </w:r>
      <w:r w:rsidR="00116E1D" w:rsidRPr="003D540E">
        <w:rPr>
          <w:bCs/>
          <w:sz w:val="28"/>
          <w:szCs w:val="28"/>
        </w:rPr>
        <w:t>the</w:t>
      </w:r>
      <w:r w:rsidR="00CE016A" w:rsidRPr="003D540E">
        <w:rPr>
          <w:bCs/>
          <w:sz w:val="28"/>
          <w:szCs w:val="28"/>
        </w:rPr>
        <w:t xml:space="preserve"> word</w:t>
      </w:r>
      <w:r w:rsidR="00116E1D" w:rsidRPr="003D540E">
        <w:rPr>
          <w:bCs/>
          <w:sz w:val="28"/>
          <w:szCs w:val="28"/>
        </w:rPr>
        <w:t xml:space="preserve"> ‘apartment’</w:t>
      </w:r>
      <w:r w:rsidR="00CE016A" w:rsidRPr="003D540E">
        <w:rPr>
          <w:bCs/>
          <w:sz w:val="28"/>
          <w:szCs w:val="28"/>
        </w:rPr>
        <w:t xml:space="preserve">, Century City Apartments was </w:t>
      </w:r>
      <w:r w:rsidR="007E7F55" w:rsidRPr="003D540E">
        <w:rPr>
          <w:bCs/>
          <w:sz w:val="28"/>
          <w:szCs w:val="28"/>
        </w:rPr>
        <w:t xml:space="preserve">not only </w:t>
      </w:r>
      <w:r w:rsidR="00A07F28" w:rsidRPr="003D540E">
        <w:rPr>
          <w:bCs/>
          <w:sz w:val="28"/>
          <w:szCs w:val="28"/>
        </w:rPr>
        <w:t>similar to Century City</w:t>
      </w:r>
      <w:r w:rsidR="007E7F55" w:rsidRPr="003D540E">
        <w:rPr>
          <w:bCs/>
          <w:sz w:val="28"/>
          <w:szCs w:val="28"/>
        </w:rPr>
        <w:t xml:space="preserve"> but confusingly so.</w:t>
      </w:r>
      <w:r w:rsidR="009F1B25" w:rsidRPr="003D540E">
        <w:rPr>
          <w:rStyle w:val="FootnoteReference"/>
          <w:bCs/>
          <w:sz w:val="28"/>
          <w:szCs w:val="28"/>
        </w:rPr>
        <w:footnoteReference w:id="51"/>
      </w:r>
      <w:r w:rsidR="00A55A3E" w:rsidRPr="003D540E">
        <w:rPr>
          <w:bCs/>
          <w:sz w:val="28"/>
          <w:szCs w:val="28"/>
        </w:rPr>
        <w:t xml:space="preserve"> </w:t>
      </w:r>
      <w:r w:rsidR="003B1220" w:rsidRPr="003D540E">
        <w:rPr>
          <w:bCs/>
          <w:sz w:val="28"/>
          <w:szCs w:val="28"/>
        </w:rPr>
        <w:t>I</w:t>
      </w:r>
      <w:r w:rsidR="00A55A3E" w:rsidRPr="003D540E">
        <w:rPr>
          <w:bCs/>
          <w:sz w:val="28"/>
          <w:szCs w:val="28"/>
        </w:rPr>
        <w:t xml:space="preserve">n </w:t>
      </w:r>
      <w:r w:rsidR="00B8471C" w:rsidRPr="003D540E">
        <w:rPr>
          <w:bCs/>
          <w:i/>
          <w:iCs/>
          <w:sz w:val="28"/>
          <w:szCs w:val="28"/>
        </w:rPr>
        <w:t>Orange Brand</w:t>
      </w:r>
      <w:r w:rsidR="00B8471C" w:rsidRPr="003D540E">
        <w:rPr>
          <w:bCs/>
          <w:sz w:val="28"/>
          <w:szCs w:val="28"/>
        </w:rPr>
        <w:t>,</w:t>
      </w:r>
      <w:r w:rsidR="00EC66D2" w:rsidRPr="003D540E">
        <w:rPr>
          <w:bCs/>
          <w:sz w:val="28"/>
          <w:szCs w:val="28"/>
        </w:rPr>
        <w:t xml:space="preserve"> the holder of the ORANGE trademark in the technology </w:t>
      </w:r>
      <w:r w:rsidR="008E0EA9" w:rsidRPr="003D540E">
        <w:rPr>
          <w:bCs/>
          <w:sz w:val="28"/>
          <w:szCs w:val="28"/>
        </w:rPr>
        <w:t xml:space="preserve">goods category was </w:t>
      </w:r>
      <w:r w:rsidR="00675230" w:rsidRPr="003D540E">
        <w:rPr>
          <w:bCs/>
          <w:sz w:val="28"/>
          <w:szCs w:val="28"/>
        </w:rPr>
        <w:t xml:space="preserve">held to be </w:t>
      </w:r>
      <w:r w:rsidR="008E0EA9" w:rsidRPr="003D540E">
        <w:rPr>
          <w:bCs/>
          <w:sz w:val="28"/>
          <w:szCs w:val="28"/>
        </w:rPr>
        <w:t>entitled to resist registration of ORANGEWORKS, despite the word ‘orange’ being in common use. This court explained</w:t>
      </w:r>
      <w:r w:rsidR="004E3820" w:rsidRPr="003D540E">
        <w:rPr>
          <w:bCs/>
          <w:sz w:val="28"/>
          <w:szCs w:val="28"/>
        </w:rPr>
        <w:t>:</w:t>
      </w:r>
    </w:p>
    <w:p w14:paraId="463323F4" w14:textId="77777777" w:rsidR="004E3820" w:rsidRPr="003D540E" w:rsidRDefault="004E3820" w:rsidP="004E3820">
      <w:pPr>
        <w:pStyle w:val="ListParagraph"/>
        <w:ind w:left="0"/>
      </w:pPr>
      <w:r w:rsidRPr="003D540E">
        <w:rPr>
          <w:bCs/>
        </w:rPr>
        <w:t>‘The suffix WORKS – a word that might at best suggest an imprecise metaphor – trails off considerably when the mark is expressed orally, is dominated visually by the distinctive ORANGE when written, and is entirely overshadowed by the unusual conceptual use of ORANGE in association with technology.’</w:t>
      </w:r>
      <w:r w:rsidRPr="003D540E">
        <w:rPr>
          <w:rStyle w:val="FootnoteReference"/>
          <w:bCs/>
        </w:rPr>
        <w:footnoteReference w:id="52"/>
      </w:r>
    </w:p>
    <w:p w14:paraId="32F717BE" w14:textId="77777777" w:rsidR="003B1220" w:rsidRPr="003D540E" w:rsidRDefault="0013080D" w:rsidP="00A11BD5">
      <w:pPr>
        <w:pStyle w:val="ListParagraph"/>
        <w:ind w:left="0"/>
        <w:rPr>
          <w:sz w:val="28"/>
          <w:szCs w:val="28"/>
        </w:rPr>
      </w:pPr>
      <w:r w:rsidRPr="003D540E">
        <w:rPr>
          <w:sz w:val="28"/>
          <w:szCs w:val="28"/>
        </w:rPr>
        <w:lastRenderedPageBreak/>
        <w:t xml:space="preserve">In the Court of Appeal in England, registration of ‘Alka-vescent’ was refused </w:t>
      </w:r>
      <w:r w:rsidR="000B1EB6" w:rsidRPr="003D540E">
        <w:rPr>
          <w:sz w:val="28"/>
          <w:szCs w:val="28"/>
        </w:rPr>
        <w:t xml:space="preserve">as being too similar </w:t>
      </w:r>
      <w:r w:rsidRPr="003D540E">
        <w:rPr>
          <w:sz w:val="28"/>
          <w:szCs w:val="28"/>
        </w:rPr>
        <w:t>where ‘Alka-Seltzer’ had been registered.</w:t>
      </w:r>
      <w:r w:rsidRPr="003D540E">
        <w:rPr>
          <w:rStyle w:val="FootnoteReference"/>
          <w:sz w:val="28"/>
          <w:szCs w:val="28"/>
        </w:rPr>
        <w:footnoteReference w:id="53"/>
      </w:r>
      <w:r w:rsidRPr="003D540E">
        <w:rPr>
          <w:sz w:val="28"/>
          <w:szCs w:val="28"/>
        </w:rPr>
        <w:t xml:space="preserve"> </w:t>
      </w:r>
      <w:r w:rsidR="003B1220" w:rsidRPr="003D540E">
        <w:rPr>
          <w:sz w:val="28"/>
          <w:szCs w:val="28"/>
        </w:rPr>
        <w:t xml:space="preserve">Finally, </w:t>
      </w:r>
      <w:r w:rsidR="00E076B1" w:rsidRPr="003D540E">
        <w:rPr>
          <w:sz w:val="28"/>
          <w:szCs w:val="28"/>
        </w:rPr>
        <w:t xml:space="preserve">in relation to prescribed medicines, </w:t>
      </w:r>
      <w:r w:rsidR="003B1220" w:rsidRPr="003D540E">
        <w:rPr>
          <w:sz w:val="28"/>
          <w:szCs w:val="28"/>
        </w:rPr>
        <w:t>this court held</w:t>
      </w:r>
      <w:r w:rsidR="00E076B1" w:rsidRPr="003D540E">
        <w:rPr>
          <w:sz w:val="28"/>
          <w:szCs w:val="28"/>
        </w:rPr>
        <w:t xml:space="preserve"> that </w:t>
      </w:r>
      <w:r w:rsidR="008103E4" w:rsidRPr="003D540E">
        <w:rPr>
          <w:sz w:val="28"/>
          <w:szCs w:val="28"/>
        </w:rPr>
        <w:t>ZEMAX and ZETOMAX were not only similar, but confusingly so for lay purchasers.</w:t>
      </w:r>
      <w:r w:rsidR="008103E4" w:rsidRPr="003D540E">
        <w:rPr>
          <w:rStyle w:val="FootnoteReference"/>
          <w:sz w:val="28"/>
          <w:szCs w:val="28"/>
        </w:rPr>
        <w:footnoteReference w:id="54"/>
      </w:r>
    </w:p>
    <w:p w14:paraId="4C56A52C" w14:textId="77777777" w:rsidR="008103E4" w:rsidRPr="003D540E" w:rsidRDefault="008103E4" w:rsidP="00A11BD5">
      <w:pPr>
        <w:pStyle w:val="ListParagraph"/>
        <w:ind w:left="0"/>
        <w:rPr>
          <w:sz w:val="28"/>
          <w:szCs w:val="28"/>
        </w:rPr>
      </w:pPr>
    </w:p>
    <w:p w14:paraId="4F9E8389" w14:textId="7FB1FFC2" w:rsidR="005B731F" w:rsidRPr="003D540E" w:rsidRDefault="00B94D7F" w:rsidP="00B85C24">
      <w:pPr>
        <w:pStyle w:val="ListParagraph"/>
        <w:numPr>
          <w:ilvl w:val="0"/>
          <w:numId w:val="1"/>
        </w:numPr>
        <w:ind w:left="0"/>
        <w:rPr>
          <w:sz w:val="28"/>
          <w:szCs w:val="28"/>
        </w:rPr>
      </w:pPr>
      <w:r w:rsidRPr="003D540E">
        <w:rPr>
          <w:sz w:val="28"/>
          <w:szCs w:val="28"/>
        </w:rPr>
        <w:t>T</w:t>
      </w:r>
      <w:r w:rsidR="003404FD" w:rsidRPr="003D540E">
        <w:rPr>
          <w:sz w:val="28"/>
          <w:szCs w:val="28"/>
        </w:rPr>
        <w:t>he suffix CRAX</w:t>
      </w:r>
      <w:r w:rsidR="004B1272" w:rsidRPr="003D540E">
        <w:rPr>
          <w:sz w:val="28"/>
          <w:szCs w:val="28"/>
        </w:rPr>
        <w:t xml:space="preserve"> is </w:t>
      </w:r>
      <w:r w:rsidR="000B27B7" w:rsidRPr="003D540E">
        <w:rPr>
          <w:sz w:val="28"/>
          <w:szCs w:val="28"/>
        </w:rPr>
        <w:t>a</w:t>
      </w:r>
      <w:r w:rsidR="004B1272" w:rsidRPr="003D540E">
        <w:rPr>
          <w:sz w:val="28"/>
          <w:szCs w:val="28"/>
        </w:rPr>
        <w:t xml:space="preserve"> distinctive feature of SALTICRAX,</w:t>
      </w:r>
      <w:r w:rsidR="003404FD" w:rsidRPr="003D540E">
        <w:rPr>
          <w:sz w:val="28"/>
          <w:szCs w:val="28"/>
        </w:rPr>
        <w:t xml:space="preserve"> as TWIST </w:t>
      </w:r>
      <w:r w:rsidR="000B27B7" w:rsidRPr="003D540E">
        <w:rPr>
          <w:sz w:val="28"/>
          <w:szCs w:val="28"/>
        </w:rPr>
        <w:t xml:space="preserve">was held to be </w:t>
      </w:r>
      <w:r w:rsidR="003404FD" w:rsidRPr="003D540E">
        <w:rPr>
          <w:sz w:val="28"/>
          <w:szCs w:val="28"/>
        </w:rPr>
        <w:t xml:space="preserve">in </w:t>
      </w:r>
      <w:r w:rsidR="003404FD" w:rsidRPr="003D540E">
        <w:rPr>
          <w:bCs/>
          <w:i/>
          <w:sz w:val="28"/>
          <w:szCs w:val="28"/>
        </w:rPr>
        <w:t>PepsiCo</w:t>
      </w:r>
      <w:r w:rsidR="003404FD" w:rsidRPr="003D540E">
        <w:rPr>
          <w:bCs/>
          <w:sz w:val="28"/>
          <w:szCs w:val="28"/>
        </w:rPr>
        <w:t>.</w:t>
      </w:r>
      <w:r w:rsidR="003404FD" w:rsidRPr="003D540E">
        <w:rPr>
          <w:rStyle w:val="FootnoteReference"/>
          <w:bCs/>
          <w:sz w:val="28"/>
          <w:szCs w:val="28"/>
        </w:rPr>
        <w:footnoteReference w:id="55"/>
      </w:r>
      <w:r w:rsidRPr="003D540E">
        <w:rPr>
          <w:bCs/>
          <w:sz w:val="28"/>
          <w:szCs w:val="28"/>
        </w:rPr>
        <w:t xml:space="preserve"> </w:t>
      </w:r>
      <w:r w:rsidR="002227C9" w:rsidRPr="003D540E">
        <w:rPr>
          <w:sz w:val="28"/>
          <w:szCs w:val="28"/>
        </w:rPr>
        <w:t xml:space="preserve">As was said in </w:t>
      </w:r>
      <w:r w:rsidR="00CC3B82" w:rsidRPr="003D540E">
        <w:rPr>
          <w:i/>
          <w:sz w:val="28"/>
          <w:szCs w:val="28"/>
        </w:rPr>
        <w:t>Distell Ltd v KZN Wines and Spirits CC</w:t>
      </w:r>
      <w:r w:rsidR="00CC3B82" w:rsidRPr="003D540E">
        <w:rPr>
          <w:sz w:val="28"/>
          <w:szCs w:val="28"/>
        </w:rPr>
        <w:t>,</w:t>
      </w:r>
      <w:r w:rsidR="00024885" w:rsidRPr="003D540E">
        <w:rPr>
          <w:sz w:val="28"/>
          <w:szCs w:val="28"/>
        </w:rPr>
        <w:t xml:space="preserve"> </w:t>
      </w:r>
      <w:r w:rsidR="002227C9" w:rsidRPr="003D540E">
        <w:rPr>
          <w:sz w:val="28"/>
          <w:szCs w:val="28"/>
        </w:rPr>
        <w:t>‘the visual, aural and conceptual similarities of the marks must be assessed by reference to the overall impressions created by the marks bearing in mind their distinctive and dominant components’</w:t>
      </w:r>
      <w:r w:rsidR="00024885" w:rsidRPr="003D540E">
        <w:rPr>
          <w:sz w:val="28"/>
          <w:szCs w:val="28"/>
        </w:rPr>
        <w:t>.</w:t>
      </w:r>
      <w:r w:rsidR="00024885" w:rsidRPr="003D540E">
        <w:rPr>
          <w:rStyle w:val="FootnoteReference"/>
          <w:sz w:val="28"/>
          <w:szCs w:val="28"/>
        </w:rPr>
        <w:footnoteReference w:id="56"/>
      </w:r>
      <w:r w:rsidR="00FC7DD0" w:rsidRPr="003D540E">
        <w:rPr>
          <w:bCs/>
          <w:sz w:val="28"/>
          <w:szCs w:val="28"/>
        </w:rPr>
        <w:t xml:space="preserve"> </w:t>
      </w:r>
      <w:r w:rsidR="00702084" w:rsidRPr="003D540E">
        <w:rPr>
          <w:bCs/>
          <w:sz w:val="28"/>
          <w:szCs w:val="28"/>
        </w:rPr>
        <w:t>Not only is t</w:t>
      </w:r>
      <w:r w:rsidR="00203C8E" w:rsidRPr="003D540E">
        <w:rPr>
          <w:bCs/>
          <w:sz w:val="28"/>
          <w:szCs w:val="28"/>
        </w:rPr>
        <w:t>he first letter of both an ‘S’</w:t>
      </w:r>
      <w:r w:rsidR="00702084" w:rsidRPr="003D540E">
        <w:rPr>
          <w:bCs/>
          <w:sz w:val="28"/>
          <w:szCs w:val="28"/>
        </w:rPr>
        <w:t>, but phonetically each commences with a strong ‘s’ sound</w:t>
      </w:r>
      <w:r w:rsidR="00203C8E" w:rsidRPr="003D540E">
        <w:rPr>
          <w:bCs/>
          <w:sz w:val="28"/>
          <w:szCs w:val="28"/>
        </w:rPr>
        <w:t xml:space="preserve">. </w:t>
      </w:r>
      <w:r w:rsidR="0073609E" w:rsidRPr="003D540E">
        <w:rPr>
          <w:bCs/>
          <w:sz w:val="28"/>
          <w:szCs w:val="28"/>
        </w:rPr>
        <w:t>It is well established that the first syllable of a word is important for distinction.</w:t>
      </w:r>
      <w:r w:rsidR="0073609E" w:rsidRPr="003D540E">
        <w:rPr>
          <w:rStyle w:val="FootnoteReference"/>
          <w:bCs/>
          <w:sz w:val="28"/>
          <w:szCs w:val="28"/>
        </w:rPr>
        <w:footnoteReference w:id="57"/>
      </w:r>
      <w:r w:rsidR="0073609E" w:rsidRPr="003D540E">
        <w:rPr>
          <w:bCs/>
          <w:sz w:val="28"/>
          <w:szCs w:val="28"/>
        </w:rPr>
        <w:t xml:space="preserve"> </w:t>
      </w:r>
      <w:r w:rsidR="00203C8E" w:rsidRPr="003D540E">
        <w:rPr>
          <w:bCs/>
          <w:sz w:val="28"/>
          <w:szCs w:val="28"/>
        </w:rPr>
        <w:t xml:space="preserve">Both are three syllables. When spoken, they sound the same, with the emphasis on ‘CRAX’. The difference, to the extent that there is any, lies in the middle syllable. </w:t>
      </w:r>
      <w:r w:rsidR="008B7411" w:rsidRPr="003D540E">
        <w:rPr>
          <w:bCs/>
          <w:sz w:val="28"/>
          <w:szCs w:val="28"/>
        </w:rPr>
        <w:t xml:space="preserve">But, that distinction fades into insignificance, against the backdrop of the overall impression created by the marks. </w:t>
      </w:r>
      <w:r w:rsidR="00A67155" w:rsidRPr="003D540E">
        <w:rPr>
          <w:bCs/>
          <w:sz w:val="28"/>
          <w:szCs w:val="28"/>
        </w:rPr>
        <w:t xml:space="preserve">Considered as wholes, </w:t>
      </w:r>
      <w:r w:rsidR="004A1E21" w:rsidRPr="003D540E">
        <w:rPr>
          <w:bCs/>
          <w:sz w:val="28"/>
          <w:szCs w:val="28"/>
        </w:rPr>
        <w:t xml:space="preserve">bearing in mind their dominant and distinctive features, </w:t>
      </w:r>
      <w:r w:rsidR="00A22D7A" w:rsidRPr="003D540E">
        <w:rPr>
          <w:bCs/>
          <w:sz w:val="28"/>
          <w:szCs w:val="28"/>
        </w:rPr>
        <w:t>SNACKCRAX</w:t>
      </w:r>
      <w:r w:rsidR="00EA1F7B" w:rsidRPr="003D540E">
        <w:rPr>
          <w:bCs/>
          <w:sz w:val="28"/>
          <w:szCs w:val="28"/>
        </w:rPr>
        <w:t xml:space="preserve"> must be considered to be similar</w:t>
      </w:r>
      <w:r w:rsidR="00A22D7A" w:rsidRPr="003D540E">
        <w:rPr>
          <w:bCs/>
          <w:sz w:val="28"/>
          <w:szCs w:val="28"/>
        </w:rPr>
        <w:t xml:space="preserve"> to SALTICRAX. </w:t>
      </w:r>
      <w:r w:rsidR="00315F28" w:rsidRPr="003D540E">
        <w:rPr>
          <w:bCs/>
          <w:sz w:val="28"/>
          <w:szCs w:val="28"/>
        </w:rPr>
        <w:t xml:space="preserve">I do not consider that the </w:t>
      </w:r>
      <w:r w:rsidR="00083297" w:rsidRPr="003D540E">
        <w:rPr>
          <w:bCs/>
          <w:sz w:val="28"/>
          <w:szCs w:val="28"/>
        </w:rPr>
        <w:t>prefix</w:t>
      </w:r>
      <w:r w:rsidR="00315F28" w:rsidRPr="003D540E">
        <w:rPr>
          <w:bCs/>
          <w:sz w:val="28"/>
          <w:szCs w:val="28"/>
        </w:rPr>
        <w:t xml:space="preserve"> SNACK serves to sufficiently distinguish SNACKCRAX from SALTICRAX</w:t>
      </w:r>
      <w:r w:rsidR="00B23650" w:rsidRPr="003D540E">
        <w:rPr>
          <w:bCs/>
          <w:sz w:val="28"/>
          <w:szCs w:val="28"/>
        </w:rPr>
        <w:t xml:space="preserve"> either visually or aurally. </w:t>
      </w:r>
      <w:r w:rsidR="008D160D" w:rsidRPr="003D540E">
        <w:rPr>
          <w:bCs/>
          <w:sz w:val="28"/>
          <w:szCs w:val="28"/>
        </w:rPr>
        <w:t>The conceptual similarities are</w:t>
      </w:r>
      <w:r w:rsidR="00320253" w:rsidRPr="003D540E">
        <w:rPr>
          <w:bCs/>
          <w:sz w:val="28"/>
          <w:szCs w:val="28"/>
        </w:rPr>
        <w:t xml:space="preserve"> </w:t>
      </w:r>
      <w:r w:rsidR="008D160D" w:rsidRPr="003D540E">
        <w:rPr>
          <w:bCs/>
          <w:sz w:val="28"/>
          <w:szCs w:val="28"/>
        </w:rPr>
        <w:t>clear.</w:t>
      </w:r>
      <w:r w:rsidR="00406312" w:rsidRPr="003D540E">
        <w:rPr>
          <w:bCs/>
          <w:sz w:val="28"/>
          <w:szCs w:val="28"/>
        </w:rPr>
        <w:t xml:space="preserve"> </w:t>
      </w:r>
    </w:p>
    <w:p w14:paraId="466149D9" w14:textId="77777777" w:rsidR="005B731F" w:rsidRPr="003D540E" w:rsidRDefault="005B731F" w:rsidP="005B731F">
      <w:pPr>
        <w:pStyle w:val="ListParagraph"/>
        <w:ind w:left="0"/>
        <w:rPr>
          <w:sz w:val="28"/>
          <w:szCs w:val="28"/>
        </w:rPr>
      </w:pPr>
    </w:p>
    <w:p w14:paraId="2D0D5094" w14:textId="050EBF57" w:rsidR="005A1595" w:rsidRPr="003D540E" w:rsidRDefault="005B731F" w:rsidP="005A1595">
      <w:pPr>
        <w:pStyle w:val="ListParagraph"/>
        <w:numPr>
          <w:ilvl w:val="0"/>
          <w:numId w:val="1"/>
        </w:numPr>
        <w:ind w:left="0"/>
        <w:rPr>
          <w:sz w:val="28"/>
          <w:szCs w:val="28"/>
        </w:rPr>
      </w:pPr>
      <w:r w:rsidRPr="003D540E">
        <w:rPr>
          <w:sz w:val="28"/>
          <w:szCs w:val="28"/>
        </w:rPr>
        <w:lastRenderedPageBreak/>
        <w:t>Of further significance is th</w:t>
      </w:r>
      <w:r w:rsidR="00D1402F" w:rsidRPr="003D540E">
        <w:rPr>
          <w:sz w:val="28"/>
          <w:szCs w:val="28"/>
        </w:rPr>
        <w:t>at</w:t>
      </w:r>
      <w:r w:rsidR="0038251C" w:rsidRPr="003D540E">
        <w:rPr>
          <w:sz w:val="28"/>
          <w:szCs w:val="28"/>
        </w:rPr>
        <w:t xml:space="preserve"> </w:t>
      </w:r>
      <w:r w:rsidR="00DA670A" w:rsidRPr="003D540E">
        <w:rPr>
          <w:sz w:val="28"/>
          <w:szCs w:val="28"/>
        </w:rPr>
        <w:t>the marks</w:t>
      </w:r>
      <w:r w:rsidR="0038251C" w:rsidRPr="003D540E">
        <w:rPr>
          <w:sz w:val="28"/>
          <w:szCs w:val="28"/>
        </w:rPr>
        <w:t xml:space="preserve"> at present, and if registered</w:t>
      </w:r>
      <w:r w:rsidR="008B7411" w:rsidRPr="003D540E">
        <w:rPr>
          <w:sz w:val="28"/>
          <w:szCs w:val="28"/>
        </w:rPr>
        <w:t>,</w:t>
      </w:r>
      <w:r w:rsidR="0038251C" w:rsidRPr="003D540E">
        <w:rPr>
          <w:sz w:val="28"/>
          <w:szCs w:val="28"/>
        </w:rPr>
        <w:t xml:space="preserve"> will be capable of being use</w:t>
      </w:r>
      <w:r w:rsidR="00DA670A" w:rsidRPr="003D540E">
        <w:rPr>
          <w:sz w:val="28"/>
          <w:szCs w:val="28"/>
        </w:rPr>
        <w:t xml:space="preserve">d </w:t>
      </w:r>
      <w:r w:rsidR="0038251C" w:rsidRPr="003D540E">
        <w:rPr>
          <w:sz w:val="28"/>
          <w:szCs w:val="28"/>
        </w:rPr>
        <w:t>on identical</w:t>
      </w:r>
      <w:r w:rsidR="00DA670A" w:rsidRPr="003D540E">
        <w:rPr>
          <w:sz w:val="28"/>
          <w:szCs w:val="28"/>
        </w:rPr>
        <w:t xml:space="preserve"> goods</w:t>
      </w:r>
      <w:r w:rsidR="0038251C" w:rsidRPr="003D540E">
        <w:rPr>
          <w:sz w:val="28"/>
          <w:szCs w:val="28"/>
        </w:rPr>
        <w:t>.</w:t>
      </w:r>
      <w:r w:rsidR="00345984" w:rsidRPr="003D540E">
        <w:rPr>
          <w:sz w:val="28"/>
          <w:szCs w:val="28"/>
        </w:rPr>
        <w:t xml:space="preserve"> </w:t>
      </w:r>
      <w:r w:rsidR="00FC7DD0" w:rsidRPr="003D540E">
        <w:rPr>
          <w:bCs/>
          <w:sz w:val="28"/>
          <w:szCs w:val="28"/>
        </w:rPr>
        <w:t>In my view,</w:t>
      </w:r>
      <w:r w:rsidR="00F85E5A" w:rsidRPr="003D540E">
        <w:rPr>
          <w:bCs/>
          <w:sz w:val="28"/>
          <w:szCs w:val="28"/>
        </w:rPr>
        <w:t xml:space="preserve"> the relevant </w:t>
      </w:r>
      <w:r w:rsidR="00702084" w:rsidRPr="003D540E">
        <w:rPr>
          <w:bCs/>
          <w:sz w:val="28"/>
          <w:szCs w:val="28"/>
        </w:rPr>
        <w:t xml:space="preserve">consumer </w:t>
      </w:r>
      <w:r w:rsidR="00326F2D" w:rsidRPr="003D540E">
        <w:rPr>
          <w:bCs/>
          <w:sz w:val="28"/>
          <w:szCs w:val="28"/>
        </w:rPr>
        <w:t xml:space="preserve">will make a connection </w:t>
      </w:r>
      <w:r w:rsidR="00EA465E" w:rsidRPr="003D540E">
        <w:rPr>
          <w:bCs/>
          <w:sz w:val="28"/>
          <w:szCs w:val="28"/>
        </w:rPr>
        <w:t xml:space="preserve">or </w:t>
      </w:r>
      <w:r w:rsidR="004549B6" w:rsidRPr="003D540E">
        <w:rPr>
          <w:bCs/>
          <w:sz w:val="28"/>
          <w:szCs w:val="28"/>
        </w:rPr>
        <w:t xml:space="preserve">discern a </w:t>
      </w:r>
      <w:r w:rsidR="00EA465E" w:rsidRPr="003D540E">
        <w:rPr>
          <w:bCs/>
          <w:sz w:val="28"/>
          <w:szCs w:val="28"/>
        </w:rPr>
        <w:t xml:space="preserve">link </w:t>
      </w:r>
      <w:r w:rsidR="00326F2D" w:rsidRPr="003D540E">
        <w:rPr>
          <w:bCs/>
          <w:sz w:val="28"/>
          <w:szCs w:val="28"/>
        </w:rPr>
        <w:t>between the two</w:t>
      </w:r>
      <w:r w:rsidR="00FD65E7" w:rsidRPr="003D540E">
        <w:rPr>
          <w:bCs/>
          <w:sz w:val="28"/>
          <w:szCs w:val="28"/>
        </w:rPr>
        <w:t xml:space="preserve">. </w:t>
      </w:r>
      <w:r w:rsidR="00AB3A10" w:rsidRPr="003D540E">
        <w:rPr>
          <w:bCs/>
          <w:sz w:val="28"/>
          <w:szCs w:val="28"/>
        </w:rPr>
        <w:t>In this regard, the Rus/Sanrus matter is instructive.</w:t>
      </w:r>
      <w:r w:rsidR="009F4FFD" w:rsidRPr="003D540E">
        <w:rPr>
          <w:rStyle w:val="FootnoteReference"/>
          <w:bCs/>
          <w:sz w:val="28"/>
          <w:szCs w:val="28"/>
        </w:rPr>
        <w:footnoteReference w:id="58"/>
      </w:r>
      <w:r w:rsidR="00AB3A10" w:rsidRPr="003D540E">
        <w:rPr>
          <w:bCs/>
          <w:sz w:val="28"/>
          <w:szCs w:val="28"/>
        </w:rPr>
        <w:t xml:space="preserve"> </w:t>
      </w:r>
      <w:r w:rsidR="00621475" w:rsidRPr="003D540E">
        <w:rPr>
          <w:bCs/>
          <w:sz w:val="28"/>
          <w:szCs w:val="28"/>
        </w:rPr>
        <w:t>In that case, the plaintiffs were the registered proprietors of a trademark consisting of the word Rus in respect of porcelain and earthenware</w:t>
      </w:r>
      <w:r w:rsidR="00352DAC" w:rsidRPr="003D540E">
        <w:rPr>
          <w:bCs/>
          <w:sz w:val="28"/>
          <w:szCs w:val="28"/>
        </w:rPr>
        <w:t xml:space="preserve">. They </w:t>
      </w:r>
      <w:r w:rsidR="00621475" w:rsidRPr="003D540E">
        <w:rPr>
          <w:bCs/>
          <w:sz w:val="28"/>
          <w:szCs w:val="28"/>
        </w:rPr>
        <w:t xml:space="preserve">brought proceedings for infringement and passing off against the defendants for use </w:t>
      </w:r>
      <w:r w:rsidR="00352DAC" w:rsidRPr="003D540E">
        <w:rPr>
          <w:bCs/>
          <w:sz w:val="28"/>
          <w:szCs w:val="28"/>
        </w:rPr>
        <w:t xml:space="preserve">of the word Sanrus </w:t>
      </w:r>
      <w:r w:rsidR="00621475" w:rsidRPr="003D540E">
        <w:rPr>
          <w:bCs/>
          <w:sz w:val="28"/>
          <w:szCs w:val="28"/>
        </w:rPr>
        <w:t>in respect of bricks.</w:t>
      </w:r>
      <w:r w:rsidR="00B8358E" w:rsidRPr="003D540E">
        <w:rPr>
          <w:bCs/>
          <w:sz w:val="28"/>
          <w:szCs w:val="28"/>
        </w:rPr>
        <w:t xml:space="preserve"> In that matter, Simonds J held that, due to its reputation</w:t>
      </w:r>
      <w:r w:rsidR="006C6550" w:rsidRPr="003D540E">
        <w:rPr>
          <w:bCs/>
          <w:sz w:val="28"/>
          <w:szCs w:val="28"/>
        </w:rPr>
        <w:t xml:space="preserve"> </w:t>
      </w:r>
      <w:r w:rsidR="005A1595" w:rsidRPr="003D540E">
        <w:rPr>
          <w:bCs/>
          <w:sz w:val="28"/>
          <w:szCs w:val="28"/>
        </w:rPr>
        <w:t xml:space="preserve">in the building trade </w:t>
      </w:r>
      <w:r w:rsidR="006C6550" w:rsidRPr="003D540E">
        <w:rPr>
          <w:bCs/>
          <w:sz w:val="28"/>
          <w:szCs w:val="28"/>
        </w:rPr>
        <w:t>and despite the words not being similar, a link would be made by a ‘person accustomed to deal in this class of material, that is to say an architect, builder or purveyor of builders’ materials</w:t>
      </w:r>
      <w:r w:rsidR="00347EC4" w:rsidRPr="003D540E">
        <w:rPr>
          <w:bCs/>
          <w:sz w:val="28"/>
          <w:szCs w:val="28"/>
        </w:rPr>
        <w:t>’.</w:t>
      </w:r>
      <w:r w:rsidR="002C10BB" w:rsidRPr="003D540E">
        <w:rPr>
          <w:bCs/>
          <w:sz w:val="28"/>
          <w:szCs w:val="28"/>
        </w:rPr>
        <w:t xml:space="preserve"> As such, Sanrus was </w:t>
      </w:r>
      <w:r w:rsidR="00E265B9" w:rsidRPr="003D540E">
        <w:rPr>
          <w:bCs/>
          <w:sz w:val="28"/>
          <w:szCs w:val="28"/>
        </w:rPr>
        <w:t>held</w:t>
      </w:r>
      <w:r w:rsidR="002C10BB" w:rsidRPr="003D540E">
        <w:rPr>
          <w:bCs/>
          <w:sz w:val="28"/>
          <w:szCs w:val="28"/>
        </w:rPr>
        <w:t xml:space="preserve"> to amount to an infringe</w:t>
      </w:r>
      <w:r w:rsidR="00F36059" w:rsidRPr="003D540E">
        <w:rPr>
          <w:bCs/>
          <w:sz w:val="28"/>
          <w:szCs w:val="28"/>
        </w:rPr>
        <w:t>ment of</w:t>
      </w:r>
      <w:r w:rsidR="002C10BB" w:rsidRPr="003D540E">
        <w:rPr>
          <w:bCs/>
          <w:sz w:val="28"/>
          <w:szCs w:val="28"/>
        </w:rPr>
        <w:t xml:space="preserve"> Rus.</w:t>
      </w:r>
      <w:r w:rsidR="00621475" w:rsidRPr="003D540E">
        <w:rPr>
          <w:bCs/>
          <w:sz w:val="28"/>
          <w:szCs w:val="28"/>
        </w:rPr>
        <w:t xml:space="preserve"> </w:t>
      </w:r>
      <w:r w:rsidR="006F6395" w:rsidRPr="003D540E">
        <w:rPr>
          <w:bCs/>
          <w:sz w:val="28"/>
          <w:szCs w:val="28"/>
        </w:rPr>
        <w:t xml:space="preserve">By analogy, it would seem reasonable to suppose that SNACKCRAX might be </w:t>
      </w:r>
      <w:r w:rsidR="0040339A" w:rsidRPr="003D540E">
        <w:rPr>
          <w:bCs/>
          <w:sz w:val="28"/>
          <w:szCs w:val="28"/>
        </w:rPr>
        <w:t>linked with,</w:t>
      </w:r>
      <w:r w:rsidR="006F6395" w:rsidRPr="003D540E">
        <w:rPr>
          <w:bCs/>
          <w:sz w:val="28"/>
          <w:szCs w:val="28"/>
        </w:rPr>
        <w:t xml:space="preserve"> </w:t>
      </w:r>
      <w:r w:rsidR="0040339A" w:rsidRPr="003D540E">
        <w:rPr>
          <w:bCs/>
          <w:sz w:val="28"/>
          <w:szCs w:val="28"/>
        </w:rPr>
        <w:t xml:space="preserve">and thus </w:t>
      </w:r>
      <w:r w:rsidR="00CD7E11" w:rsidRPr="003D540E">
        <w:rPr>
          <w:bCs/>
          <w:sz w:val="28"/>
          <w:szCs w:val="28"/>
        </w:rPr>
        <w:t xml:space="preserve">amount to </w:t>
      </w:r>
      <w:r w:rsidR="0040339A" w:rsidRPr="003D540E">
        <w:rPr>
          <w:bCs/>
          <w:sz w:val="28"/>
          <w:szCs w:val="28"/>
        </w:rPr>
        <w:t xml:space="preserve">an infringement of, </w:t>
      </w:r>
      <w:r w:rsidR="006F6395" w:rsidRPr="003D540E">
        <w:rPr>
          <w:bCs/>
          <w:sz w:val="28"/>
          <w:szCs w:val="28"/>
        </w:rPr>
        <w:t>SALTICRAX in the same way</w:t>
      </w:r>
      <w:r w:rsidR="00CD7E11" w:rsidRPr="003D540E">
        <w:rPr>
          <w:bCs/>
          <w:sz w:val="28"/>
          <w:szCs w:val="28"/>
        </w:rPr>
        <w:t>.</w:t>
      </w:r>
      <w:r w:rsidR="006F6395" w:rsidRPr="003D540E">
        <w:rPr>
          <w:bCs/>
          <w:sz w:val="28"/>
          <w:szCs w:val="28"/>
        </w:rPr>
        <w:t xml:space="preserve"> </w:t>
      </w:r>
    </w:p>
    <w:p w14:paraId="62E666BF" w14:textId="77777777" w:rsidR="005A1595" w:rsidRPr="003D540E" w:rsidRDefault="005A1595" w:rsidP="005A1595">
      <w:pPr>
        <w:pStyle w:val="ListParagraph"/>
        <w:ind w:left="0"/>
        <w:rPr>
          <w:sz w:val="28"/>
          <w:szCs w:val="28"/>
        </w:rPr>
      </w:pPr>
    </w:p>
    <w:p w14:paraId="330B57F6" w14:textId="1D7A1EB0" w:rsidR="0050052B" w:rsidRPr="003D540E" w:rsidRDefault="001212BE" w:rsidP="00350595">
      <w:pPr>
        <w:pStyle w:val="ListParagraph"/>
        <w:numPr>
          <w:ilvl w:val="0"/>
          <w:numId w:val="1"/>
        </w:numPr>
        <w:ind w:left="0"/>
        <w:rPr>
          <w:sz w:val="28"/>
          <w:szCs w:val="28"/>
        </w:rPr>
      </w:pPr>
      <w:r w:rsidRPr="003D540E">
        <w:rPr>
          <w:bCs/>
          <w:sz w:val="28"/>
          <w:szCs w:val="28"/>
        </w:rPr>
        <w:t>The test of an eas</w:t>
      </w:r>
      <w:r w:rsidR="002854FF" w:rsidRPr="003D540E">
        <w:rPr>
          <w:bCs/>
          <w:sz w:val="28"/>
          <w:szCs w:val="28"/>
        </w:rPr>
        <w:t>il</w:t>
      </w:r>
      <w:r w:rsidRPr="003D540E">
        <w:rPr>
          <w:bCs/>
          <w:sz w:val="28"/>
          <w:szCs w:val="28"/>
        </w:rPr>
        <w:t xml:space="preserve">y </w:t>
      </w:r>
      <w:r w:rsidR="002854FF" w:rsidRPr="003D540E">
        <w:rPr>
          <w:bCs/>
          <w:sz w:val="28"/>
          <w:szCs w:val="28"/>
        </w:rPr>
        <w:t>recognisable</w:t>
      </w:r>
      <w:r w:rsidRPr="003D540E">
        <w:rPr>
          <w:bCs/>
          <w:sz w:val="28"/>
          <w:szCs w:val="28"/>
        </w:rPr>
        <w:t xml:space="preserve"> similarity between the two </w:t>
      </w:r>
      <w:r w:rsidR="005A1595" w:rsidRPr="003D540E">
        <w:rPr>
          <w:bCs/>
          <w:sz w:val="28"/>
          <w:szCs w:val="28"/>
        </w:rPr>
        <w:t>marks</w:t>
      </w:r>
      <w:r w:rsidRPr="003D540E">
        <w:rPr>
          <w:bCs/>
          <w:sz w:val="28"/>
          <w:szCs w:val="28"/>
        </w:rPr>
        <w:t xml:space="preserve"> </w:t>
      </w:r>
      <w:r w:rsidR="004549B6" w:rsidRPr="003D540E">
        <w:rPr>
          <w:bCs/>
          <w:sz w:val="28"/>
          <w:szCs w:val="28"/>
        </w:rPr>
        <w:t>is</w:t>
      </w:r>
      <w:r w:rsidRPr="003D540E">
        <w:rPr>
          <w:bCs/>
          <w:sz w:val="28"/>
          <w:szCs w:val="28"/>
        </w:rPr>
        <w:t xml:space="preserve"> met. </w:t>
      </w:r>
      <w:r w:rsidR="00FD65E7" w:rsidRPr="003D540E">
        <w:rPr>
          <w:bCs/>
          <w:sz w:val="28"/>
          <w:szCs w:val="28"/>
        </w:rPr>
        <w:t>T</w:t>
      </w:r>
      <w:r w:rsidR="00FC7DD0" w:rsidRPr="003D540E">
        <w:rPr>
          <w:bCs/>
          <w:sz w:val="28"/>
          <w:szCs w:val="28"/>
        </w:rPr>
        <w:t xml:space="preserve">he </w:t>
      </w:r>
      <w:r w:rsidR="00AE2A9C" w:rsidRPr="003D540E">
        <w:rPr>
          <w:bCs/>
          <w:sz w:val="28"/>
          <w:szCs w:val="28"/>
        </w:rPr>
        <w:t>mark</w:t>
      </w:r>
      <w:r w:rsidR="00FC7DD0" w:rsidRPr="003D540E">
        <w:rPr>
          <w:bCs/>
          <w:sz w:val="28"/>
          <w:szCs w:val="28"/>
        </w:rPr>
        <w:t xml:space="preserve"> SNACKCRAX must</w:t>
      </w:r>
      <w:r w:rsidR="00FD65E7" w:rsidRPr="003D540E">
        <w:rPr>
          <w:bCs/>
          <w:sz w:val="28"/>
          <w:szCs w:val="28"/>
        </w:rPr>
        <w:t xml:space="preserve"> therefore</w:t>
      </w:r>
      <w:r w:rsidR="00FC7DD0" w:rsidRPr="003D540E">
        <w:rPr>
          <w:bCs/>
          <w:sz w:val="28"/>
          <w:szCs w:val="28"/>
        </w:rPr>
        <w:t xml:space="preserve"> be held to </w:t>
      </w:r>
      <w:r w:rsidR="004F37C8" w:rsidRPr="003D540E">
        <w:rPr>
          <w:bCs/>
          <w:sz w:val="28"/>
          <w:szCs w:val="28"/>
        </w:rPr>
        <w:t xml:space="preserve">be similar to SALTICRAX </w:t>
      </w:r>
      <w:r w:rsidR="00FC7DD0" w:rsidRPr="003D540E">
        <w:rPr>
          <w:bCs/>
          <w:sz w:val="28"/>
          <w:szCs w:val="28"/>
        </w:rPr>
        <w:t>for the purposes of s 10(17).</w:t>
      </w:r>
    </w:p>
    <w:p w14:paraId="553A3D13" w14:textId="77777777" w:rsidR="0050052B" w:rsidRPr="003D540E" w:rsidRDefault="0050052B" w:rsidP="0050052B">
      <w:pPr>
        <w:pStyle w:val="ListParagraph"/>
        <w:ind w:left="0"/>
        <w:rPr>
          <w:sz w:val="28"/>
          <w:szCs w:val="28"/>
        </w:rPr>
      </w:pPr>
    </w:p>
    <w:p w14:paraId="3645F166" w14:textId="65FDD9C9" w:rsidR="004D1BC9" w:rsidRPr="003D540E" w:rsidRDefault="00B922BF" w:rsidP="004C275A">
      <w:pPr>
        <w:pStyle w:val="ListParagraph"/>
        <w:numPr>
          <w:ilvl w:val="0"/>
          <w:numId w:val="1"/>
        </w:numPr>
        <w:ind w:left="0"/>
        <w:rPr>
          <w:sz w:val="28"/>
          <w:szCs w:val="28"/>
        </w:rPr>
      </w:pPr>
      <w:r w:rsidRPr="003D540E">
        <w:rPr>
          <w:bCs/>
          <w:sz w:val="28"/>
          <w:szCs w:val="28"/>
        </w:rPr>
        <w:t xml:space="preserve"> </w:t>
      </w:r>
      <w:r w:rsidR="00FE6118" w:rsidRPr="003D540E">
        <w:rPr>
          <w:bCs/>
          <w:sz w:val="28"/>
          <w:szCs w:val="28"/>
        </w:rPr>
        <w:t xml:space="preserve">Item </w:t>
      </w:r>
      <w:r w:rsidR="00FE6118" w:rsidRPr="003D540E">
        <w:rPr>
          <w:bCs/>
          <w:i/>
          <w:iCs/>
          <w:sz w:val="28"/>
          <w:szCs w:val="28"/>
        </w:rPr>
        <w:t xml:space="preserve">(f) </w:t>
      </w:r>
      <w:r w:rsidR="00FE6118" w:rsidRPr="003D540E">
        <w:rPr>
          <w:bCs/>
          <w:sz w:val="28"/>
          <w:szCs w:val="28"/>
        </w:rPr>
        <w:t xml:space="preserve">remains: </w:t>
      </w:r>
      <w:r w:rsidRPr="003D540E">
        <w:rPr>
          <w:bCs/>
          <w:sz w:val="28"/>
          <w:szCs w:val="28"/>
        </w:rPr>
        <w:t xml:space="preserve">This </w:t>
      </w:r>
      <w:r w:rsidR="00FE6118" w:rsidRPr="003D540E">
        <w:rPr>
          <w:bCs/>
          <w:sz w:val="28"/>
          <w:szCs w:val="28"/>
        </w:rPr>
        <w:t xml:space="preserve">pertains to </w:t>
      </w:r>
      <w:r w:rsidRPr="003D540E">
        <w:rPr>
          <w:bCs/>
          <w:sz w:val="28"/>
          <w:szCs w:val="28"/>
        </w:rPr>
        <w:t>whether</w:t>
      </w:r>
      <w:r w:rsidR="00FE6118" w:rsidRPr="003D540E">
        <w:rPr>
          <w:bCs/>
          <w:sz w:val="28"/>
          <w:szCs w:val="28"/>
        </w:rPr>
        <w:t xml:space="preserve">, as National Brands contends, </w:t>
      </w:r>
      <w:r w:rsidRPr="003D540E">
        <w:rPr>
          <w:bCs/>
          <w:sz w:val="28"/>
          <w:szCs w:val="28"/>
        </w:rPr>
        <w:t xml:space="preserve">it can be said that </w:t>
      </w:r>
      <w:r w:rsidR="00352794" w:rsidRPr="003D540E">
        <w:rPr>
          <w:bCs/>
          <w:sz w:val="28"/>
          <w:szCs w:val="28"/>
        </w:rPr>
        <w:t>‘the mark sought to be registered would be likely to take unfair advantage of, or be detrimental to, the distinctive character or the repute of the registered trade mark’.</w:t>
      </w:r>
      <w:r w:rsidR="00FF0FD8" w:rsidRPr="003D540E">
        <w:rPr>
          <w:bCs/>
          <w:sz w:val="28"/>
          <w:szCs w:val="28"/>
        </w:rPr>
        <w:t xml:space="preserve"> </w:t>
      </w:r>
      <w:r w:rsidR="004D1BC9" w:rsidRPr="003D540E">
        <w:rPr>
          <w:bCs/>
          <w:sz w:val="28"/>
          <w:szCs w:val="28"/>
        </w:rPr>
        <w:t xml:space="preserve"> </w:t>
      </w:r>
    </w:p>
    <w:p w14:paraId="344A9452" w14:textId="77777777" w:rsidR="007A721C" w:rsidRPr="003D540E" w:rsidRDefault="007A721C" w:rsidP="007A721C">
      <w:pPr>
        <w:pStyle w:val="ListParagraph"/>
        <w:ind w:left="0"/>
        <w:rPr>
          <w:sz w:val="28"/>
          <w:szCs w:val="28"/>
        </w:rPr>
      </w:pPr>
    </w:p>
    <w:p w14:paraId="2C28E575" w14:textId="77777777" w:rsidR="00737CD7" w:rsidRPr="003D540E" w:rsidRDefault="004D1BC9" w:rsidP="004C275A">
      <w:pPr>
        <w:pStyle w:val="ListParagraph"/>
        <w:numPr>
          <w:ilvl w:val="0"/>
          <w:numId w:val="1"/>
        </w:numPr>
        <w:ind w:left="0"/>
        <w:rPr>
          <w:sz w:val="28"/>
          <w:szCs w:val="28"/>
        </w:rPr>
      </w:pPr>
      <w:r w:rsidRPr="003D540E">
        <w:rPr>
          <w:sz w:val="28"/>
          <w:szCs w:val="28"/>
        </w:rPr>
        <w:t>It is</w:t>
      </w:r>
      <w:r w:rsidR="00E553EA" w:rsidRPr="003D540E">
        <w:rPr>
          <w:sz w:val="28"/>
          <w:szCs w:val="28"/>
        </w:rPr>
        <w:t xml:space="preserve"> note</w:t>
      </w:r>
      <w:r w:rsidRPr="003D540E">
        <w:rPr>
          <w:sz w:val="28"/>
          <w:szCs w:val="28"/>
        </w:rPr>
        <w:t>worthy</w:t>
      </w:r>
      <w:r w:rsidR="00394861" w:rsidRPr="003D540E">
        <w:rPr>
          <w:sz w:val="28"/>
          <w:szCs w:val="28"/>
        </w:rPr>
        <w:t xml:space="preserve"> that s 10(3) of</w:t>
      </w:r>
      <w:r w:rsidR="00E553EA" w:rsidRPr="003D540E">
        <w:rPr>
          <w:sz w:val="28"/>
          <w:szCs w:val="28"/>
        </w:rPr>
        <w:t xml:space="preserve"> the UK Act</w:t>
      </w:r>
      <w:r w:rsidR="003A07BD" w:rsidRPr="003D540E">
        <w:rPr>
          <w:sz w:val="28"/>
          <w:szCs w:val="28"/>
        </w:rPr>
        <w:t xml:space="preserve"> pro</w:t>
      </w:r>
      <w:r w:rsidR="00624162" w:rsidRPr="003D540E">
        <w:rPr>
          <w:sz w:val="28"/>
          <w:szCs w:val="28"/>
        </w:rPr>
        <w:t>scribes registration where</w:t>
      </w:r>
      <w:r w:rsidR="003A07BD" w:rsidRPr="003D540E">
        <w:rPr>
          <w:sz w:val="28"/>
          <w:szCs w:val="28"/>
        </w:rPr>
        <w:t xml:space="preserve">, ‘the use of the sign, being without due cause, takes unfair advantage of, or is detrimental </w:t>
      </w:r>
      <w:r w:rsidR="003A07BD" w:rsidRPr="003D540E">
        <w:rPr>
          <w:sz w:val="28"/>
          <w:szCs w:val="28"/>
        </w:rPr>
        <w:lastRenderedPageBreak/>
        <w:t>to, the distinctive character or the repute of the trade mark.’</w:t>
      </w:r>
      <w:r w:rsidR="00FF0FD8" w:rsidRPr="003D540E">
        <w:rPr>
          <w:sz w:val="28"/>
          <w:szCs w:val="28"/>
        </w:rPr>
        <w:t xml:space="preserve"> Our legislation </w:t>
      </w:r>
      <w:r w:rsidR="00394861" w:rsidRPr="003D540E">
        <w:rPr>
          <w:sz w:val="28"/>
          <w:szCs w:val="28"/>
        </w:rPr>
        <w:t xml:space="preserve">differs in </w:t>
      </w:r>
      <w:r w:rsidR="00FF0FD8" w:rsidRPr="003D540E">
        <w:rPr>
          <w:sz w:val="28"/>
          <w:szCs w:val="28"/>
        </w:rPr>
        <w:t>only requir</w:t>
      </w:r>
      <w:r w:rsidR="00394861" w:rsidRPr="003D540E">
        <w:rPr>
          <w:sz w:val="28"/>
          <w:szCs w:val="28"/>
        </w:rPr>
        <w:t>ing</w:t>
      </w:r>
      <w:r w:rsidR="00FF0FD8" w:rsidRPr="003D540E">
        <w:rPr>
          <w:sz w:val="28"/>
          <w:szCs w:val="28"/>
        </w:rPr>
        <w:t xml:space="preserve"> the mark to be likely to </w:t>
      </w:r>
      <w:r w:rsidR="00394861" w:rsidRPr="003D540E">
        <w:rPr>
          <w:sz w:val="28"/>
          <w:szCs w:val="28"/>
        </w:rPr>
        <w:t>do so.</w:t>
      </w:r>
      <w:r w:rsidR="00490B1F" w:rsidRPr="003D540E">
        <w:rPr>
          <w:sz w:val="28"/>
          <w:szCs w:val="28"/>
        </w:rPr>
        <w:t xml:space="preserve"> </w:t>
      </w:r>
      <w:r w:rsidR="00100DFD" w:rsidRPr="003D540E">
        <w:rPr>
          <w:bCs/>
          <w:sz w:val="28"/>
          <w:szCs w:val="28"/>
        </w:rPr>
        <w:t>This court has accepted that the word ‘likely’ in s 17 of the Act must be taken to mean a reasonable probability as opposed to a reasonable possibility.</w:t>
      </w:r>
      <w:r w:rsidR="00100DFD" w:rsidRPr="003D540E">
        <w:rPr>
          <w:rStyle w:val="FootnoteReference"/>
          <w:bCs/>
          <w:sz w:val="28"/>
          <w:szCs w:val="28"/>
        </w:rPr>
        <w:footnoteReference w:id="59"/>
      </w:r>
      <w:r w:rsidR="00100DFD" w:rsidRPr="003D540E">
        <w:rPr>
          <w:bCs/>
          <w:sz w:val="28"/>
          <w:szCs w:val="28"/>
        </w:rPr>
        <w:t xml:space="preserve"> That approach applies equally here. </w:t>
      </w:r>
      <w:r w:rsidR="004B657D" w:rsidRPr="003D540E">
        <w:rPr>
          <w:sz w:val="28"/>
          <w:szCs w:val="28"/>
        </w:rPr>
        <w:t xml:space="preserve">In </w:t>
      </w:r>
      <w:r w:rsidR="00737CD7" w:rsidRPr="003D540E">
        <w:rPr>
          <w:i/>
          <w:iCs/>
          <w:sz w:val="28"/>
          <w:szCs w:val="28"/>
        </w:rPr>
        <w:t>Verimark</w:t>
      </w:r>
      <w:r w:rsidR="00737CD7" w:rsidRPr="003D540E">
        <w:rPr>
          <w:sz w:val="28"/>
          <w:szCs w:val="28"/>
        </w:rPr>
        <w:t xml:space="preserve">, </w:t>
      </w:r>
      <w:r w:rsidR="00945B95" w:rsidRPr="003D540E">
        <w:rPr>
          <w:sz w:val="28"/>
          <w:szCs w:val="28"/>
        </w:rPr>
        <w:t>the following comments were said to be apposite to</w:t>
      </w:r>
      <w:r w:rsidR="003A3985" w:rsidRPr="003D540E">
        <w:rPr>
          <w:sz w:val="28"/>
          <w:szCs w:val="28"/>
        </w:rPr>
        <w:t xml:space="preserve"> s 34(1)</w:t>
      </w:r>
      <w:r w:rsidR="003A3985" w:rsidRPr="003D540E">
        <w:rPr>
          <w:i/>
          <w:iCs/>
          <w:sz w:val="28"/>
          <w:szCs w:val="28"/>
        </w:rPr>
        <w:t>(c)</w:t>
      </w:r>
      <w:r w:rsidR="00737CD7" w:rsidRPr="003D540E">
        <w:rPr>
          <w:sz w:val="28"/>
          <w:szCs w:val="28"/>
        </w:rPr>
        <w:t>:</w:t>
      </w:r>
    </w:p>
    <w:p w14:paraId="37F780E9" w14:textId="77777777" w:rsidR="00737CD7" w:rsidRPr="003D540E" w:rsidRDefault="004A0BCE" w:rsidP="00737CD7">
      <w:pPr>
        <w:pStyle w:val="ListParagraph"/>
        <w:ind w:left="0"/>
      </w:pPr>
      <w:r w:rsidRPr="003D540E">
        <w:t>‘. . . the unfair advantage or the detriment must be properly substantiated or established to the satisfaction of the Court: the Court must be satisfied by evidence of actual detriment, or of unfair advantage.’</w:t>
      </w:r>
      <w:r w:rsidR="00064AEE" w:rsidRPr="003D540E">
        <w:rPr>
          <w:rStyle w:val="FootnoteReference"/>
        </w:rPr>
        <w:footnoteReference w:id="60"/>
      </w:r>
    </w:p>
    <w:p w14:paraId="2D194875" w14:textId="611476E1" w:rsidR="00737CD7" w:rsidRDefault="00945B95" w:rsidP="00737CD7">
      <w:pPr>
        <w:pStyle w:val="ListParagraph"/>
        <w:ind w:left="0"/>
        <w:rPr>
          <w:sz w:val="28"/>
          <w:szCs w:val="28"/>
        </w:rPr>
      </w:pPr>
      <w:r w:rsidRPr="003D540E">
        <w:rPr>
          <w:sz w:val="28"/>
          <w:szCs w:val="28"/>
        </w:rPr>
        <w:t>These were, however, made in the context of the UK legislation which requires actual advantage or prejudice.</w:t>
      </w:r>
      <w:r w:rsidRPr="003D540E">
        <w:rPr>
          <w:rStyle w:val="FootnoteReference"/>
          <w:sz w:val="28"/>
          <w:szCs w:val="28"/>
        </w:rPr>
        <w:footnoteReference w:id="61"/>
      </w:r>
      <w:r w:rsidRPr="003D540E">
        <w:rPr>
          <w:sz w:val="28"/>
          <w:szCs w:val="28"/>
        </w:rPr>
        <w:t xml:space="preserve"> </w:t>
      </w:r>
      <w:r w:rsidR="00B613CF" w:rsidRPr="003D540E">
        <w:rPr>
          <w:sz w:val="28"/>
          <w:szCs w:val="28"/>
        </w:rPr>
        <w:t xml:space="preserve">They accordingly did not apply to </w:t>
      </w:r>
      <w:r w:rsidR="0085222C" w:rsidRPr="003D540E">
        <w:rPr>
          <w:sz w:val="28"/>
          <w:szCs w:val="28"/>
        </w:rPr>
        <w:t xml:space="preserve">the test that such advantage or detriment was likely. </w:t>
      </w:r>
      <w:r w:rsidR="00737CD7" w:rsidRPr="003D540E">
        <w:rPr>
          <w:sz w:val="28"/>
          <w:szCs w:val="28"/>
        </w:rPr>
        <w:t xml:space="preserve">However, in </w:t>
      </w:r>
      <w:r w:rsidR="005A6E17" w:rsidRPr="003D540E">
        <w:rPr>
          <w:sz w:val="28"/>
          <w:szCs w:val="28"/>
        </w:rPr>
        <w:t>a</w:t>
      </w:r>
      <w:r w:rsidR="00737CD7" w:rsidRPr="003D540E">
        <w:rPr>
          <w:sz w:val="28"/>
          <w:szCs w:val="28"/>
        </w:rPr>
        <w:t xml:space="preserve"> footnote</w:t>
      </w:r>
      <w:r w:rsidR="005A6E17" w:rsidRPr="003D540E">
        <w:rPr>
          <w:sz w:val="28"/>
          <w:szCs w:val="28"/>
        </w:rPr>
        <w:t xml:space="preserve"> to that </w:t>
      </w:r>
      <w:r w:rsidR="005A6E17" w:rsidRPr="003D540E">
        <w:rPr>
          <w:i/>
          <w:iCs/>
          <w:sz w:val="28"/>
          <w:szCs w:val="28"/>
        </w:rPr>
        <w:t>dictum</w:t>
      </w:r>
      <w:r w:rsidR="00737CD7" w:rsidRPr="003D540E">
        <w:rPr>
          <w:sz w:val="28"/>
          <w:szCs w:val="28"/>
        </w:rPr>
        <w:t xml:space="preserve">, </w:t>
      </w:r>
      <w:r w:rsidR="00B613CF" w:rsidRPr="003D540E">
        <w:rPr>
          <w:sz w:val="28"/>
          <w:szCs w:val="28"/>
        </w:rPr>
        <w:t>Harms JA</w:t>
      </w:r>
      <w:r w:rsidR="005C5258" w:rsidRPr="003D540E">
        <w:rPr>
          <w:sz w:val="28"/>
          <w:szCs w:val="28"/>
        </w:rPr>
        <w:t xml:space="preserve"> said that, ‘[d]epending on the primary facts these may be self-evident</w:t>
      </w:r>
      <w:r w:rsidR="00D52115" w:rsidRPr="003D540E">
        <w:rPr>
          <w:sz w:val="28"/>
          <w:szCs w:val="28"/>
        </w:rPr>
        <w:t>’</w:t>
      </w:r>
      <w:r w:rsidR="005C5258" w:rsidRPr="003D540E">
        <w:rPr>
          <w:sz w:val="28"/>
          <w:szCs w:val="28"/>
        </w:rPr>
        <w:t>.</w:t>
      </w:r>
      <w:r w:rsidR="005769C2" w:rsidRPr="003D540E">
        <w:rPr>
          <w:rStyle w:val="FootnoteReference"/>
          <w:sz w:val="28"/>
          <w:szCs w:val="28"/>
        </w:rPr>
        <w:footnoteReference w:id="62"/>
      </w:r>
    </w:p>
    <w:p w14:paraId="69218A79" w14:textId="77777777" w:rsidR="00BB0938" w:rsidRPr="003D540E" w:rsidRDefault="00BB0938" w:rsidP="00737CD7">
      <w:pPr>
        <w:pStyle w:val="ListParagraph"/>
        <w:ind w:left="0"/>
        <w:rPr>
          <w:sz w:val="28"/>
          <w:szCs w:val="28"/>
        </w:rPr>
      </w:pPr>
    </w:p>
    <w:p w14:paraId="2BA9D4B8" w14:textId="5FA3634F" w:rsidR="003E163E" w:rsidRPr="003D540E" w:rsidRDefault="00101887" w:rsidP="00B925FF">
      <w:pPr>
        <w:pStyle w:val="ListParagraph"/>
        <w:numPr>
          <w:ilvl w:val="0"/>
          <w:numId w:val="1"/>
        </w:numPr>
        <w:ind w:left="0"/>
        <w:rPr>
          <w:sz w:val="28"/>
          <w:szCs w:val="28"/>
        </w:rPr>
      </w:pPr>
      <w:r w:rsidRPr="003D540E">
        <w:rPr>
          <w:sz w:val="28"/>
          <w:szCs w:val="28"/>
        </w:rPr>
        <w:t>C</w:t>
      </w:r>
      <w:r w:rsidR="0096430C" w:rsidRPr="003D540E">
        <w:rPr>
          <w:sz w:val="28"/>
          <w:szCs w:val="28"/>
        </w:rPr>
        <w:t>oncrete evidence</w:t>
      </w:r>
      <w:r w:rsidR="00DD6910" w:rsidRPr="003D540E">
        <w:rPr>
          <w:sz w:val="28"/>
          <w:szCs w:val="28"/>
        </w:rPr>
        <w:t xml:space="preserve"> </w:t>
      </w:r>
      <w:r w:rsidR="00322616" w:rsidRPr="003D540E">
        <w:rPr>
          <w:sz w:val="28"/>
          <w:szCs w:val="28"/>
        </w:rPr>
        <w:t xml:space="preserve">of actual advantage or detriment </w:t>
      </w:r>
      <w:r w:rsidRPr="003D540E">
        <w:rPr>
          <w:sz w:val="28"/>
          <w:szCs w:val="28"/>
        </w:rPr>
        <w:t>is not</w:t>
      </w:r>
      <w:r w:rsidR="0090165D" w:rsidRPr="003D540E">
        <w:rPr>
          <w:sz w:val="28"/>
          <w:szCs w:val="28"/>
        </w:rPr>
        <w:t xml:space="preserve"> required</w:t>
      </w:r>
      <w:r w:rsidR="00DD6910" w:rsidRPr="003D540E">
        <w:rPr>
          <w:sz w:val="28"/>
          <w:szCs w:val="28"/>
        </w:rPr>
        <w:t xml:space="preserve"> </w:t>
      </w:r>
      <w:r w:rsidR="0081347B" w:rsidRPr="003D540E">
        <w:rPr>
          <w:sz w:val="28"/>
          <w:szCs w:val="28"/>
        </w:rPr>
        <w:t>under s 10(17)</w:t>
      </w:r>
      <w:r w:rsidR="0090165D" w:rsidRPr="003D540E">
        <w:rPr>
          <w:sz w:val="28"/>
          <w:szCs w:val="28"/>
        </w:rPr>
        <w:t xml:space="preserve">. </w:t>
      </w:r>
      <w:r w:rsidR="00201B05" w:rsidRPr="003D540E">
        <w:rPr>
          <w:sz w:val="28"/>
          <w:szCs w:val="28"/>
        </w:rPr>
        <w:t xml:space="preserve">Only a likelihood need be shown. </w:t>
      </w:r>
      <w:r w:rsidR="0016082E" w:rsidRPr="003D540E">
        <w:rPr>
          <w:sz w:val="28"/>
          <w:szCs w:val="28"/>
        </w:rPr>
        <w:t xml:space="preserve">It seems to me that a well-founded basis for why </w:t>
      </w:r>
      <w:r w:rsidR="00201B05" w:rsidRPr="003D540E">
        <w:rPr>
          <w:sz w:val="28"/>
          <w:szCs w:val="28"/>
        </w:rPr>
        <w:t xml:space="preserve">it would be likely that </w:t>
      </w:r>
      <w:r w:rsidR="0016082E" w:rsidRPr="003D540E">
        <w:rPr>
          <w:sz w:val="28"/>
          <w:szCs w:val="28"/>
        </w:rPr>
        <w:t>an unfair advantage would be gained if registration takes place suffice</w:t>
      </w:r>
      <w:r w:rsidR="00204F01" w:rsidRPr="003D540E">
        <w:rPr>
          <w:sz w:val="28"/>
          <w:szCs w:val="28"/>
        </w:rPr>
        <w:t>s</w:t>
      </w:r>
      <w:r w:rsidR="0016082E" w:rsidRPr="003D540E">
        <w:rPr>
          <w:sz w:val="28"/>
          <w:szCs w:val="28"/>
        </w:rPr>
        <w:t>. I agree that, as opposed to bare assertions, facts supporting such an inference must be put up.</w:t>
      </w:r>
      <w:r w:rsidR="0016082E" w:rsidRPr="003D540E">
        <w:rPr>
          <w:rStyle w:val="FootnoteReference"/>
          <w:sz w:val="28"/>
          <w:szCs w:val="28"/>
        </w:rPr>
        <w:footnoteReference w:id="63"/>
      </w:r>
      <w:r w:rsidR="0016082E" w:rsidRPr="003D540E">
        <w:rPr>
          <w:sz w:val="28"/>
          <w:szCs w:val="28"/>
        </w:rPr>
        <w:t xml:space="preserve"> </w:t>
      </w:r>
      <w:r w:rsidR="00BB7AE4" w:rsidRPr="003D540E">
        <w:rPr>
          <w:sz w:val="28"/>
          <w:szCs w:val="28"/>
        </w:rPr>
        <w:t xml:space="preserve">In </w:t>
      </w:r>
      <w:r w:rsidR="0081347B" w:rsidRPr="003D540E">
        <w:rPr>
          <w:sz w:val="28"/>
          <w:szCs w:val="28"/>
        </w:rPr>
        <w:t>any event,</w:t>
      </w:r>
      <w:r w:rsidR="00BB7AE4" w:rsidRPr="003D540E">
        <w:rPr>
          <w:sz w:val="28"/>
          <w:szCs w:val="28"/>
        </w:rPr>
        <w:t xml:space="preserve"> a</w:t>
      </w:r>
      <w:r w:rsidR="0090165D" w:rsidRPr="003D540E">
        <w:rPr>
          <w:sz w:val="28"/>
          <w:szCs w:val="28"/>
        </w:rPr>
        <w:t>t</w:t>
      </w:r>
      <w:r w:rsidR="00D654D8" w:rsidRPr="003D540E">
        <w:rPr>
          <w:sz w:val="28"/>
          <w:szCs w:val="28"/>
        </w:rPr>
        <w:t xml:space="preserve"> the time</w:t>
      </w:r>
      <w:r w:rsidR="008D560F" w:rsidRPr="003D540E">
        <w:rPr>
          <w:sz w:val="28"/>
          <w:szCs w:val="28"/>
        </w:rPr>
        <w:t xml:space="preserve"> </w:t>
      </w:r>
      <w:r w:rsidR="00FE6118" w:rsidRPr="003D540E">
        <w:rPr>
          <w:sz w:val="28"/>
          <w:szCs w:val="28"/>
        </w:rPr>
        <w:t xml:space="preserve">that </w:t>
      </w:r>
      <w:r w:rsidR="00BB7AE4" w:rsidRPr="003D540E">
        <w:rPr>
          <w:sz w:val="28"/>
          <w:szCs w:val="28"/>
        </w:rPr>
        <w:t>opposition</w:t>
      </w:r>
      <w:r w:rsidR="00B27EC5" w:rsidRPr="003D540E">
        <w:rPr>
          <w:sz w:val="28"/>
          <w:szCs w:val="28"/>
        </w:rPr>
        <w:t xml:space="preserve"> proceedings are launched</w:t>
      </w:r>
      <w:r w:rsidR="00D654D8" w:rsidRPr="003D540E">
        <w:rPr>
          <w:sz w:val="28"/>
          <w:szCs w:val="28"/>
        </w:rPr>
        <w:t xml:space="preserve">, </w:t>
      </w:r>
      <w:r w:rsidR="0016082E" w:rsidRPr="003D540E">
        <w:rPr>
          <w:sz w:val="28"/>
          <w:szCs w:val="28"/>
        </w:rPr>
        <w:t>concrete</w:t>
      </w:r>
      <w:r w:rsidR="001422BE" w:rsidRPr="003D540E">
        <w:rPr>
          <w:sz w:val="28"/>
          <w:szCs w:val="28"/>
        </w:rPr>
        <w:t xml:space="preserve"> </w:t>
      </w:r>
      <w:r w:rsidR="00D654D8" w:rsidRPr="003D540E">
        <w:rPr>
          <w:sz w:val="28"/>
          <w:szCs w:val="28"/>
        </w:rPr>
        <w:t xml:space="preserve">evidence </w:t>
      </w:r>
      <w:r w:rsidR="00B27EC5" w:rsidRPr="003D540E">
        <w:rPr>
          <w:sz w:val="28"/>
          <w:szCs w:val="28"/>
        </w:rPr>
        <w:t>may well not</w:t>
      </w:r>
      <w:r w:rsidR="00D654D8" w:rsidRPr="003D540E">
        <w:rPr>
          <w:sz w:val="28"/>
          <w:szCs w:val="28"/>
        </w:rPr>
        <w:t xml:space="preserve"> </w:t>
      </w:r>
      <w:r w:rsidR="00FE6118" w:rsidRPr="003D540E">
        <w:rPr>
          <w:sz w:val="28"/>
          <w:szCs w:val="28"/>
        </w:rPr>
        <w:t xml:space="preserve">yet </w:t>
      </w:r>
      <w:r w:rsidR="00D654D8" w:rsidRPr="003D540E">
        <w:rPr>
          <w:sz w:val="28"/>
          <w:szCs w:val="28"/>
        </w:rPr>
        <w:t>have emerged</w:t>
      </w:r>
      <w:r w:rsidR="00E27E54" w:rsidRPr="003D540E">
        <w:rPr>
          <w:sz w:val="28"/>
          <w:szCs w:val="28"/>
        </w:rPr>
        <w:t>.</w:t>
      </w:r>
    </w:p>
    <w:p w14:paraId="35F6480D" w14:textId="77777777" w:rsidR="00210A75" w:rsidRPr="003D540E" w:rsidRDefault="00210A75" w:rsidP="00210A75">
      <w:pPr>
        <w:pStyle w:val="ListParagraph"/>
        <w:ind w:left="0"/>
        <w:rPr>
          <w:sz w:val="28"/>
          <w:szCs w:val="28"/>
        </w:rPr>
      </w:pPr>
    </w:p>
    <w:p w14:paraId="662D0CC4" w14:textId="3408E6BD" w:rsidR="00255E85" w:rsidRPr="003D540E" w:rsidRDefault="00255E85" w:rsidP="00255E85">
      <w:pPr>
        <w:pStyle w:val="ListParagraph"/>
        <w:numPr>
          <w:ilvl w:val="0"/>
          <w:numId w:val="1"/>
        </w:numPr>
        <w:ind w:left="0"/>
        <w:rPr>
          <w:sz w:val="28"/>
          <w:szCs w:val="28"/>
        </w:rPr>
      </w:pPr>
      <w:r w:rsidRPr="003D540E">
        <w:rPr>
          <w:sz w:val="28"/>
          <w:szCs w:val="28"/>
        </w:rPr>
        <w:lastRenderedPageBreak/>
        <w:t xml:space="preserve">The Constitutional Court accepted as correct what was stated in </w:t>
      </w:r>
      <w:r w:rsidRPr="003D540E">
        <w:rPr>
          <w:i/>
          <w:iCs/>
          <w:sz w:val="28"/>
          <w:szCs w:val="28"/>
        </w:rPr>
        <w:t>Pfizer Ltd and Pfizer Incorporated v Eurofood Link (United Kingdom) Ltd</w:t>
      </w:r>
      <w:bookmarkStart w:id="22" w:name="0-0-0-383731"/>
      <w:bookmarkEnd w:id="22"/>
      <w:r w:rsidRPr="003D540E">
        <w:rPr>
          <w:sz w:val="28"/>
          <w:szCs w:val="28"/>
        </w:rPr>
        <w:t>,</w:t>
      </w:r>
      <w:r w:rsidR="00322BD8" w:rsidRPr="003D540E">
        <w:rPr>
          <w:rStyle w:val="FootnoteReference"/>
          <w:sz w:val="28"/>
          <w:szCs w:val="28"/>
        </w:rPr>
        <w:footnoteReference w:id="64"/>
      </w:r>
      <w:r w:rsidRPr="003D540E">
        <w:rPr>
          <w:sz w:val="28"/>
          <w:szCs w:val="28"/>
        </w:rPr>
        <w:t xml:space="preserve"> which said:</w:t>
      </w:r>
    </w:p>
    <w:p w14:paraId="694FB27D" w14:textId="1BD00704" w:rsidR="00255E85" w:rsidRPr="003D540E" w:rsidRDefault="00255E85" w:rsidP="00255E85">
      <w:r w:rsidRPr="003D540E">
        <w:t>‘The concept of ''unfair advantage'' requires an enquiry into the benefit to be gained by the defendant from the use of the mark complained of and the concept of ''detriment'' requires an enquiry into the goodwill accruing to the business in the goods sold under the trade</w:t>
      </w:r>
      <w:r w:rsidR="00322BD8" w:rsidRPr="003D540E">
        <w:t xml:space="preserve"> </w:t>
      </w:r>
      <w:r w:rsidRPr="003D540E">
        <w:t>mark</w:t>
      </w:r>
      <w:r w:rsidR="006B74B5" w:rsidRPr="003D540E">
        <w:t>.</w:t>
      </w:r>
      <w:r w:rsidRPr="003D540E">
        <w:t>’</w:t>
      </w:r>
      <w:r w:rsidR="00322BD8" w:rsidRPr="003D540E">
        <w:rPr>
          <w:rStyle w:val="FootnoteReference"/>
        </w:rPr>
        <w:footnoteReference w:id="65"/>
      </w:r>
    </w:p>
    <w:p w14:paraId="317F45D8" w14:textId="77777777" w:rsidR="00255E85" w:rsidRPr="003D540E" w:rsidRDefault="00487F22" w:rsidP="00255E85">
      <w:pPr>
        <w:pStyle w:val="ListParagraph"/>
        <w:ind w:left="0"/>
        <w:rPr>
          <w:sz w:val="28"/>
          <w:szCs w:val="28"/>
        </w:rPr>
      </w:pPr>
      <w:r w:rsidRPr="003D540E">
        <w:rPr>
          <w:sz w:val="28"/>
          <w:szCs w:val="28"/>
        </w:rPr>
        <w:t xml:space="preserve">The benefit which National Brands contends </w:t>
      </w:r>
      <w:r w:rsidR="00F26B91" w:rsidRPr="003D540E">
        <w:rPr>
          <w:sz w:val="28"/>
          <w:szCs w:val="28"/>
        </w:rPr>
        <w:t xml:space="preserve">Cape Cookies </w:t>
      </w:r>
      <w:r w:rsidRPr="003D540E">
        <w:rPr>
          <w:sz w:val="28"/>
          <w:szCs w:val="28"/>
        </w:rPr>
        <w:t xml:space="preserve">will </w:t>
      </w:r>
      <w:r w:rsidR="00404187" w:rsidRPr="003D540E">
        <w:rPr>
          <w:sz w:val="28"/>
          <w:szCs w:val="28"/>
        </w:rPr>
        <w:t xml:space="preserve">likely </w:t>
      </w:r>
      <w:r w:rsidRPr="003D540E">
        <w:rPr>
          <w:sz w:val="28"/>
          <w:szCs w:val="28"/>
        </w:rPr>
        <w:t>derive</w:t>
      </w:r>
      <w:r w:rsidR="00A322AC" w:rsidRPr="003D540E">
        <w:rPr>
          <w:sz w:val="28"/>
          <w:szCs w:val="28"/>
        </w:rPr>
        <w:t xml:space="preserve"> from the use of SNACKCRAX</w:t>
      </w:r>
      <w:r w:rsidRPr="003D540E">
        <w:rPr>
          <w:sz w:val="28"/>
          <w:szCs w:val="28"/>
        </w:rPr>
        <w:t xml:space="preserve"> must thus</w:t>
      </w:r>
      <w:r w:rsidR="001F653B" w:rsidRPr="003D540E">
        <w:rPr>
          <w:sz w:val="28"/>
          <w:szCs w:val="28"/>
        </w:rPr>
        <w:t xml:space="preserve"> be considered.</w:t>
      </w:r>
    </w:p>
    <w:p w14:paraId="7AA7408A" w14:textId="77777777" w:rsidR="00255E85" w:rsidRPr="003D540E" w:rsidRDefault="00255E85" w:rsidP="00255E85">
      <w:pPr>
        <w:pStyle w:val="ListParagraph"/>
        <w:ind w:left="0"/>
        <w:rPr>
          <w:sz w:val="28"/>
          <w:szCs w:val="28"/>
        </w:rPr>
      </w:pPr>
    </w:p>
    <w:p w14:paraId="7D63DC80" w14:textId="3932214F" w:rsidR="00CD5689" w:rsidRPr="003D540E" w:rsidRDefault="00E27E54" w:rsidP="00CD5689">
      <w:pPr>
        <w:pStyle w:val="ListParagraph"/>
        <w:numPr>
          <w:ilvl w:val="0"/>
          <w:numId w:val="1"/>
        </w:numPr>
        <w:ind w:left="0"/>
        <w:rPr>
          <w:sz w:val="28"/>
          <w:szCs w:val="28"/>
        </w:rPr>
      </w:pPr>
      <w:r w:rsidRPr="003D540E">
        <w:rPr>
          <w:bCs/>
          <w:sz w:val="28"/>
          <w:szCs w:val="28"/>
        </w:rPr>
        <w:t>National Brands</w:t>
      </w:r>
      <w:r w:rsidR="00CD5689" w:rsidRPr="003D540E">
        <w:rPr>
          <w:bCs/>
          <w:sz w:val="28"/>
          <w:szCs w:val="28"/>
        </w:rPr>
        <w:t xml:space="preserve"> submitted that Cape Cookies would </w:t>
      </w:r>
      <w:r w:rsidR="002F4A3D" w:rsidRPr="003D540E">
        <w:rPr>
          <w:bCs/>
          <w:sz w:val="28"/>
          <w:szCs w:val="28"/>
        </w:rPr>
        <w:t xml:space="preserve">be likely to </w:t>
      </w:r>
      <w:r w:rsidR="00CD5689" w:rsidRPr="003D540E">
        <w:rPr>
          <w:bCs/>
          <w:sz w:val="28"/>
          <w:szCs w:val="28"/>
        </w:rPr>
        <w:t xml:space="preserve">take unfair advantage of ‘the power of attraction, the prestige and repute’ of the SALTICRAX mark. </w:t>
      </w:r>
      <w:r w:rsidR="00AB3CCC" w:rsidRPr="003D540E">
        <w:rPr>
          <w:bCs/>
          <w:sz w:val="28"/>
          <w:szCs w:val="28"/>
        </w:rPr>
        <w:t xml:space="preserve">It submitted with some force that this had been built up over a considerable period </w:t>
      </w:r>
      <w:r w:rsidR="00604EE4" w:rsidRPr="003D540E">
        <w:rPr>
          <w:bCs/>
          <w:sz w:val="28"/>
          <w:szCs w:val="28"/>
        </w:rPr>
        <w:t xml:space="preserve">and with a considerable investment of money. </w:t>
      </w:r>
      <w:r w:rsidR="00CD5689" w:rsidRPr="003D540E">
        <w:rPr>
          <w:bCs/>
          <w:sz w:val="28"/>
          <w:szCs w:val="28"/>
        </w:rPr>
        <w:t xml:space="preserve">Cape Cookies </w:t>
      </w:r>
      <w:r w:rsidR="00604EE4" w:rsidRPr="003D540E">
        <w:rPr>
          <w:bCs/>
          <w:sz w:val="28"/>
          <w:szCs w:val="28"/>
        </w:rPr>
        <w:t xml:space="preserve">chose to go into direct </w:t>
      </w:r>
      <w:r w:rsidR="00CD5689" w:rsidRPr="003D540E">
        <w:rPr>
          <w:bCs/>
          <w:sz w:val="28"/>
          <w:szCs w:val="28"/>
        </w:rPr>
        <w:t xml:space="preserve">competition with </w:t>
      </w:r>
      <w:r w:rsidR="00604EE4" w:rsidRPr="003D540E">
        <w:rPr>
          <w:bCs/>
          <w:sz w:val="28"/>
          <w:szCs w:val="28"/>
        </w:rPr>
        <w:t>it</w:t>
      </w:r>
      <w:r w:rsidR="00CD5689" w:rsidRPr="003D540E">
        <w:rPr>
          <w:bCs/>
          <w:sz w:val="28"/>
          <w:szCs w:val="28"/>
        </w:rPr>
        <w:t xml:space="preserve">. </w:t>
      </w:r>
      <w:r w:rsidR="00604EE4" w:rsidRPr="003D540E">
        <w:rPr>
          <w:bCs/>
          <w:sz w:val="28"/>
          <w:szCs w:val="28"/>
        </w:rPr>
        <w:t>The use of the similar mark will enable</w:t>
      </w:r>
      <w:r w:rsidR="00CD5689" w:rsidRPr="003D540E">
        <w:rPr>
          <w:bCs/>
          <w:sz w:val="28"/>
          <w:szCs w:val="28"/>
        </w:rPr>
        <w:t xml:space="preserve"> Cape Cookies </w:t>
      </w:r>
      <w:r w:rsidR="00604EE4" w:rsidRPr="003D540E">
        <w:rPr>
          <w:bCs/>
          <w:sz w:val="28"/>
          <w:szCs w:val="28"/>
        </w:rPr>
        <w:t>to ‘ride on the coat</w:t>
      </w:r>
      <w:r w:rsidR="003D00C9" w:rsidRPr="003D540E">
        <w:rPr>
          <w:bCs/>
          <w:sz w:val="28"/>
          <w:szCs w:val="28"/>
        </w:rPr>
        <w:t xml:space="preserve"> </w:t>
      </w:r>
      <w:r w:rsidR="00604EE4" w:rsidRPr="003D540E">
        <w:rPr>
          <w:bCs/>
          <w:sz w:val="28"/>
          <w:szCs w:val="28"/>
        </w:rPr>
        <w:t>tails’ of National Brands</w:t>
      </w:r>
      <w:r w:rsidR="00074CC1" w:rsidRPr="003D540E">
        <w:rPr>
          <w:bCs/>
          <w:sz w:val="28"/>
          <w:szCs w:val="28"/>
        </w:rPr>
        <w:t xml:space="preserve"> </w:t>
      </w:r>
      <w:r w:rsidR="00B61773" w:rsidRPr="003D540E">
        <w:rPr>
          <w:bCs/>
          <w:sz w:val="28"/>
          <w:szCs w:val="28"/>
        </w:rPr>
        <w:t xml:space="preserve">as regards </w:t>
      </w:r>
      <w:r w:rsidR="00074CC1" w:rsidRPr="003D540E">
        <w:rPr>
          <w:bCs/>
          <w:sz w:val="28"/>
          <w:szCs w:val="28"/>
        </w:rPr>
        <w:t xml:space="preserve">the </w:t>
      </w:r>
      <w:r w:rsidR="00B61773" w:rsidRPr="003D540E">
        <w:rPr>
          <w:bCs/>
          <w:sz w:val="28"/>
          <w:szCs w:val="28"/>
        </w:rPr>
        <w:t>well-established</w:t>
      </w:r>
      <w:r w:rsidR="00074CC1" w:rsidRPr="003D540E">
        <w:rPr>
          <w:bCs/>
          <w:sz w:val="28"/>
          <w:szCs w:val="28"/>
        </w:rPr>
        <w:t xml:space="preserve"> SALTICRAX </w:t>
      </w:r>
      <w:r w:rsidR="00B61773" w:rsidRPr="003D540E">
        <w:rPr>
          <w:bCs/>
          <w:sz w:val="28"/>
          <w:szCs w:val="28"/>
        </w:rPr>
        <w:t xml:space="preserve">mark without </w:t>
      </w:r>
      <w:r w:rsidR="00DA5BCC" w:rsidRPr="003D540E">
        <w:rPr>
          <w:bCs/>
          <w:sz w:val="28"/>
          <w:szCs w:val="28"/>
        </w:rPr>
        <w:t xml:space="preserve">itself </w:t>
      </w:r>
      <w:r w:rsidR="00B61773" w:rsidRPr="003D540E">
        <w:rPr>
          <w:bCs/>
          <w:sz w:val="28"/>
          <w:szCs w:val="28"/>
        </w:rPr>
        <w:t xml:space="preserve">having to </w:t>
      </w:r>
      <w:r w:rsidR="00F0202E" w:rsidRPr="003D540E">
        <w:rPr>
          <w:bCs/>
          <w:sz w:val="28"/>
          <w:szCs w:val="28"/>
        </w:rPr>
        <w:t>expend time and money to achieve an equal</w:t>
      </w:r>
      <w:r w:rsidR="00B04C1C" w:rsidRPr="003D540E">
        <w:rPr>
          <w:bCs/>
          <w:sz w:val="28"/>
          <w:szCs w:val="28"/>
        </w:rPr>
        <w:t>ly</w:t>
      </w:r>
      <w:r w:rsidR="00F0202E" w:rsidRPr="003D540E">
        <w:rPr>
          <w:bCs/>
          <w:sz w:val="28"/>
          <w:szCs w:val="28"/>
        </w:rPr>
        <w:t xml:space="preserve"> competitive </w:t>
      </w:r>
      <w:r w:rsidR="00E723D3" w:rsidRPr="003D540E">
        <w:rPr>
          <w:bCs/>
          <w:sz w:val="28"/>
          <w:szCs w:val="28"/>
        </w:rPr>
        <w:t>position</w:t>
      </w:r>
      <w:r w:rsidR="00F0202E" w:rsidRPr="003D540E">
        <w:rPr>
          <w:bCs/>
          <w:sz w:val="28"/>
          <w:szCs w:val="28"/>
        </w:rPr>
        <w:t xml:space="preserve">. </w:t>
      </w:r>
      <w:r w:rsidR="00E8345A" w:rsidRPr="003D540E">
        <w:rPr>
          <w:bCs/>
          <w:sz w:val="28"/>
          <w:szCs w:val="28"/>
        </w:rPr>
        <w:t>It was submitted that this was why Cape Cookies chose a mark similar to SALTICRAX</w:t>
      </w:r>
      <w:r w:rsidR="00D871A2" w:rsidRPr="003D540E">
        <w:rPr>
          <w:bCs/>
          <w:sz w:val="28"/>
          <w:szCs w:val="28"/>
        </w:rPr>
        <w:t xml:space="preserve"> as opposed to a different mark under which it could</w:t>
      </w:r>
      <w:r w:rsidR="00980F2B" w:rsidRPr="003D540E">
        <w:rPr>
          <w:bCs/>
          <w:sz w:val="28"/>
          <w:szCs w:val="28"/>
        </w:rPr>
        <w:t xml:space="preserve"> have</w:t>
      </w:r>
      <w:r w:rsidR="00D871A2" w:rsidRPr="003D540E">
        <w:rPr>
          <w:bCs/>
          <w:sz w:val="28"/>
          <w:szCs w:val="28"/>
        </w:rPr>
        <w:t xml:space="preserve"> trade</w:t>
      </w:r>
      <w:r w:rsidR="00980F2B" w:rsidRPr="003D540E">
        <w:rPr>
          <w:bCs/>
          <w:sz w:val="28"/>
          <w:szCs w:val="28"/>
        </w:rPr>
        <w:t>d without that advantage</w:t>
      </w:r>
      <w:r w:rsidR="00D871A2" w:rsidRPr="003D540E">
        <w:rPr>
          <w:bCs/>
          <w:sz w:val="28"/>
          <w:szCs w:val="28"/>
        </w:rPr>
        <w:t>. Cape Cookies was challenged to produce its instructions to the advertising agency</w:t>
      </w:r>
      <w:r w:rsidR="00A96495" w:rsidRPr="003D540E">
        <w:rPr>
          <w:bCs/>
          <w:sz w:val="28"/>
          <w:szCs w:val="28"/>
        </w:rPr>
        <w:t xml:space="preserve"> so as to negat</w:t>
      </w:r>
      <w:r w:rsidR="0009556F" w:rsidRPr="003D540E">
        <w:rPr>
          <w:bCs/>
          <w:sz w:val="28"/>
          <w:szCs w:val="28"/>
        </w:rPr>
        <w:t>e</w:t>
      </w:r>
      <w:r w:rsidR="00A96495" w:rsidRPr="003D540E">
        <w:rPr>
          <w:bCs/>
          <w:sz w:val="28"/>
          <w:szCs w:val="28"/>
        </w:rPr>
        <w:t xml:space="preserve"> this inference but refused to do so on the grounds that they were confidential. </w:t>
      </w:r>
    </w:p>
    <w:p w14:paraId="7B0F09C4" w14:textId="77777777" w:rsidR="00DE2C11" w:rsidRPr="003D540E" w:rsidRDefault="00DE2C11" w:rsidP="00DE2C11">
      <w:pPr>
        <w:pStyle w:val="ListParagraph"/>
        <w:ind w:left="0"/>
        <w:rPr>
          <w:sz w:val="28"/>
          <w:szCs w:val="28"/>
        </w:rPr>
      </w:pPr>
    </w:p>
    <w:p w14:paraId="0AF69A5E" w14:textId="1D8862A8" w:rsidR="00C369E2" w:rsidRPr="003D540E" w:rsidRDefault="009273A7" w:rsidP="004B3741">
      <w:pPr>
        <w:pStyle w:val="ListParagraph"/>
        <w:numPr>
          <w:ilvl w:val="0"/>
          <w:numId w:val="1"/>
        </w:numPr>
        <w:ind w:left="0"/>
        <w:rPr>
          <w:sz w:val="28"/>
          <w:szCs w:val="28"/>
        </w:rPr>
      </w:pPr>
      <w:r w:rsidRPr="003D540E">
        <w:rPr>
          <w:bCs/>
          <w:sz w:val="28"/>
          <w:szCs w:val="28"/>
        </w:rPr>
        <w:t>I</w:t>
      </w:r>
      <w:r w:rsidRPr="003D540E">
        <w:rPr>
          <w:sz w:val="28"/>
          <w:szCs w:val="28"/>
        </w:rPr>
        <w:t xml:space="preserve">n my view, </w:t>
      </w:r>
      <w:r w:rsidR="006A45A3" w:rsidRPr="003D540E">
        <w:rPr>
          <w:sz w:val="28"/>
          <w:szCs w:val="28"/>
        </w:rPr>
        <w:t>National Brands went beyond simply parroting the provisions of the section.</w:t>
      </w:r>
      <w:r w:rsidR="00BC1BCA" w:rsidRPr="003D540E">
        <w:rPr>
          <w:sz w:val="28"/>
          <w:szCs w:val="28"/>
        </w:rPr>
        <w:t xml:space="preserve"> </w:t>
      </w:r>
      <w:r w:rsidR="002F14EC" w:rsidRPr="003D540E">
        <w:rPr>
          <w:sz w:val="28"/>
          <w:szCs w:val="28"/>
        </w:rPr>
        <w:t>The trademark SALTICRAX was registered in 19</w:t>
      </w:r>
      <w:r w:rsidR="008B4FE3" w:rsidRPr="003D540E">
        <w:rPr>
          <w:sz w:val="28"/>
          <w:szCs w:val="28"/>
        </w:rPr>
        <w:t xml:space="preserve">51. It was the only mark containing </w:t>
      </w:r>
      <w:r w:rsidR="007018DE" w:rsidRPr="003D540E">
        <w:rPr>
          <w:sz w:val="28"/>
          <w:szCs w:val="28"/>
        </w:rPr>
        <w:t>‘CRAX’ until 2009, when Cape Cookies registered the disputed VITACRAX mark.</w:t>
      </w:r>
      <w:r w:rsidR="00864D0A" w:rsidRPr="003D540E">
        <w:rPr>
          <w:sz w:val="28"/>
          <w:szCs w:val="28"/>
        </w:rPr>
        <w:t xml:space="preserve"> </w:t>
      </w:r>
      <w:r w:rsidR="00FD50C5" w:rsidRPr="003D540E">
        <w:rPr>
          <w:sz w:val="28"/>
          <w:szCs w:val="28"/>
        </w:rPr>
        <w:t>National Brands</w:t>
      </w:r>
      <w:r w:rsidR="001F4F5D" w:rsidRPr="003D540E">
        <w:rPr>
          <w:sz w:val="28"/>
          <w:szCs w:val="28"/>
        </w:rPr>
        <w:t xml:space="preserve"> spent more than R11 million </w:t>
      </w:r>
      <w:r w:rsidR="005430B2" w:rsidRPr="003D540E">
        <w:rPr>
          <w:sz w:val="28"/>
          <w:szCs w:val="28"/>
        </w:rPr>
        <w:t>i</w:t>
      </w:r>
      <w:r w:rsidR="001F4F5D" w:rsidRPr="003D540E">
        <w:rPr>
          <w:sz w:val="28"/>
          <w:szCs w:val="28"/>
        </w:rPr>
        <w:t>n advertising</w:t>
      </w:r>
      <w:r w:rsidR="005430B2" w:rsidRPr="003D540E">
        <w:rPr>
          <w:sz w:val="28"/>
          <w:szCs w:val="28"/>
        </w:rPr>
        <w:t xml:space="preserve"> </w:t>
      </w:r>
      <w:r w:rsidR="005430B2" w:rsidRPr="003D540E">
        <w:rPr>
          <w:sz w:val="28"/>
          <w:szCs w:val="28"/>
        </w:rPr>
        <w:lastRenderedPageBreak/>
        <w:t xml:space="preserve">SALTICRAX </w:t>
      </w:r>
      <w:r w:rsidR="00E532FD" w:rsidRPr="003D540E">
        <w:rPr>
          <w:sz w:val="28"/>
          <w:szCs w:val="28"/>
        </w:rPr>
        <w:t>over a 15</w:t>
      </w:r>
      <w:r w:rsidR="0009556F" w:rsidRPr="003D540E">
        <w:rPr>
          <w:sz w:val="28"/>
          <w:szCs w:val="28"/>
        </w:rPr>
        <w:t>-</w:t>
      </w:r>
      <w:r w:rsidR="00E532FD" w:rsidRPr="003D540E">
        <w:rPr>
          <w:sz w:val="28"/>
          <w:szCs w:val="28"/>
        </w:rPr>
        <w:t xml:space="preserve">year period </w:t>
      </w:r>
      <w:r w:rsidR="005430B2" w:rsidRPr="003D540E">
        <w:rPr>
          <w:sz w:val="28"/>
          <w:szCs w:val="28"/>
        </w:rPr>
        <w:t xml:space="preserve">and achieved strong market penetration over </w:t>
      </w:r>
      <w:r w:rsidR="00E532FD" w:rsidRPr="003D540E">
        <w:rPr>
          <w:sz w:val="28"/>
          <w:szCs w:val="28"/>
        </w:rPr>
        <w:t>many</w:t>
      </w:r>
      <w:r w:rsidR="005430B2" w:rsidRPr="003D540E">
        <w:rPr>
          <w:sz w:val="28"/>
          <w:szCs w:val="28"/>
        </w:rPr>
        <w:t xml:space="preserve"> years.</w:t>
      </w:r>
      <w:r w:rsidR="001F4F5D" w:rsidRPr="003D540E">
        <w:rPr>
          <w:sz w:val="28"/>
          <w:szCs w:val="28"/>
        </w:rPr>
        <w:t xml:space="preserve"> </w:t>
      </w:r>
      <w:r w:rsidR="00BC1BCA" w:rsidRPr="003D540E">
        <w:rPr>
          <w:sz w:val="28"/>
          <w:szCs w:val="28"/>
        </w:rPr>
        <w:t>T</w:t>
      </w:r>
      <w:r w:rsidR="00143038" w:rsidRPr="003D540E">
        <w:rPr>
          <w:bCs/>
          <w:sz w:val="28"/>
          <w:szCs w:val="28"/>
        </w:rPr>
        <w:t xml:space="preserve">he </w:t>
      </w:r>
      <w:r w:rsidR="00BF5C95" w:rsidRPr="003D540E">
        <w:rPr>
          <w:bCs/>
          <w:sz w:val="28"/>
          <w:szCs w:val="28"/>
        </w:rPr>
        <w:t>product</w:t>
      </w:r>
      <w:r w:rsidR="00864D0A" w:rsidRPr="003D540E">
        <w:rPr>
          <w:bCs/>
          <w:sz w:val="28"/>
          <w:szCs w:val="28"/>
        </w:rPr>
        <w:t>s</w:t>
      </w:r>
      <w:r w:rsidR="00143038" w:rsidRPr="003D540E">
        <w:rPr>
          <w:bCs/>
          <w:sz w:val="28"/>
          <w:szCs w:val="28"/>
        </w:rPr>
        <w:t xml:space="preserve"> </w:t>
      </w:r>
      <w:r w:rsidR="00BC1BCA" w:rsidRPr="003D540E">
        <w:rPr>
          <w:bCs/>
          <w:sz w:val="28"/>
          <w:szCs w:val="28"/>
        </w:rPr>
        <w:t xml:space="preserve">marketed </w:t>
      </w:r>
      <w:r w:rsidR="005430B2" w:rsidRPr="003D540E">
        <w:rPr>
          <w:bCs/>
          <w:sz w:val="28"/>
          <w:szCs w:val="28"/>
        </w:rPr>
        <w:t xml:space="preserve">under the </w:t>
      </w:r>
      <w:r w:rsidR="00BC1BCA" w:rsidRPr="003D540E">
        <w:rPr>
          <w:bCs/>
          <w:sz w:val="28"/>
          <w:szCs w:val="28"/>
        </w:rPr>
        <w:t xml:space="preserve">SNACKCRAX </w:t>
      </w:r>
      <w:r w:rsidR="005430B2" w:rsidRPr="003D540E">
        <w:rPr>
          <w:bCs/>
          <w:sz w:val="28"/>
          <w:szCs w:val="28"/>
        </w:rPr>
        <w:t xml:space="preserve">mark </w:t>
      </w:r>
      <w:r w:rsidR="00143038" w:rsidRPr="003D540E">
        <w:rPr>
          <w:bCs/>
          <w:sz w:val="28"/>
          <w:szCs w:val="28"/>
        </w:rPr>
        <w:t xml:space="preserve">are </w:t>
      </w:r>
      <w:r w:rsidR="00BF5C95" w:rsidRPr="003D540E">
        <w:rPr>
          <w:bCs/>
          <w:sz w:val="28"/>
          <w:szCs w:val="28"/>
        </w:rPr>
        <w:t xml:space="preserve">virtually </w:t>
      </w:r>
      <w:r w:rsidR="00143038" w:rsidRPr="003D540E">
        <w:rPr>
          <w:bCs/>
          <w:sz w:val="28"/>
          <w:szCs w:val="28"/>
        </w:rPr>
        <w:t>the same as SALTICRAX</w:t>
      </w:r>
      <w:r w:rsidR="00BF5C95" w:rsidRPr="003D540E">
        <w:rPr>
          <w:bCs/>
          <w:sz w:val="28"/>
          <w:szCs w:val="28"/>
        </w:rPr>
        <w:t xml:space="preserve"> biscuits</w:t>
      </w:r>
      <w:r w:rsidR="00143038" w:rsidRPr="003D540E">
        <w:rPr>
          <w:bCs/>
          <w:sz w:val="28"/>
          <w:szCs w:val="28"/>
        </w:rPr>
        <w:t>.</w:t>
      </w:r>
      <w:r w:rsidR="00F85831" w:rsidRPr="003D540E">
        <w:rPr>
          <w:bCs/>
          <w:sz w:val="28"/>
          <w:szCs w:val="28"/>
        </w:rPr>
        <w:t xml:space="preserve"> The significance of this is that Cape Cookies does not have to embark upon any marketing campaign of its own (and there is no evidence that it has thus far done so) to achieve market penetration, despite the fact that it will be trading in the same stores with a similar product and in the same consumer niche market. </w:t>
      </w:r>
      <w:r w:rsidR="00EF60C1" w:rsidRPr="003D540E">
        <w:rPr>
          <w:bCs/>
          <w:sz w:val="28"/>
          <w:szCs w:val="28"/>
        </w:rPr>
        <w:t xml:space="preserve"> </w:t>
      </w:r>
    </w:p>
    <w:p w14:paraId="62B66E08" w14:textId="77777777" w:rsidR="00F22638" w:rsidRPr="003D540E" w:rsidRDefault="00F22638" w:rsidP="00F22638">
      <w:pPr>
        <w:pStyle w:val="ListParagraph"/>
        <w:ind w:left="0"/>
        <w:rPr>
          <w:sz w:val="28"/>
          <w:szCs w:val="28"/>
        </w:rPr>
      </w:pPr>
    </w:p>
    <w:p w14:paraId="4AC710D3" w14:textId="6964FFCE" w:rsidR="002079B0" w:rsidRPr="003D540E" w:rsidRDefault="00AC22EA" w:rsidP="002079B0">
      <w:pPr>
        <w:pStyle w:val="ListParagraph"/>
        <w:numPr>
          <w:ilvl w:val="0"/>
          <w:numId w:val="1"/>
        </w:numPr>
        <w:ind w:left="0"/>
        <w:rPr>
          <w:sz w:val="28"/>
          <w:szCs w:val="28"/>
        </w:rPr>
      </w:pPr>
      <w:r w:rsidRPr="003D540E">
        <w:rPr>
          <w:sz w:val="28"/>
          <w:szCs w:val="28"/>
        </w:rPr>
        <w:t>In all the circumstances, I take the view that</w:t>
      </w:r>
      <w:r w:rsidR="009F7C77" w:rsidRPr="003D540E">
        <w:rPr>
          <w:sz w:val="28"/>
          <w:szCs w:val="28"/>
        </w:rPr>
        <w:t>, if registration w</w:t>
      </w:r>
      <w:r w:rsidR="009F6001" w:rsidRPr="003D540E">
        <w:rPr>
          <w:sz w:val="28"/>
          <w:szCs w:val="28"/>
        </w:rPr>
        <w:t>as</w:t>
      </w:r>
      <w:r w:rsidR="009F7C77" w:rsidRPr="003D540E">
        <w:rPr>
          <w:sz w:val="28"/>
          <w:szCs w:val="28"/>
        </w:rPr>
        <w:t xml:space="preserve"> to be allowed, </w:t>
      </w:r>
      <w:r w:rsidR="002A2A28" w:rsidRPr="003D540E">
        <w:rPr>
          <w:sz w:val="28"/>
          <w:szCs w:val="28"/>
        </w:rPr>
        <w:t>use of S</w:t>
      </w:r>
      <w:r w:rsidR="009037C0" w:rsidRPr="003D540E">
        <w:rPr>
          <w:sz w:val="28"/>
          <w:szCs w:val="28"/>
        </w:rPr>
        <w:t>NACK</w:t>
      </w:r>
      <w:r w:rsidR="00CC2BC6" w:rsidRPr="003D540E">
        <w:rPr>
          <w:sz w:val="28"/>
          <w:szCs w:val="28"/>
        </w:rPr>
        <w:t>CRAX</w:t>
      </w:r>
      <w:r w:rsidR="009037C0" w:rsidRPr="003D540E">
        <w:rPr>
          <w:sz w:val="28"/>
          <w:szCs w:val="28"/>
        </w:rPr>
        <w:t xml:space="preserve"> would </w:t>
      </w:r>
      <w:r w:rsidR="00026FC1" w:rsidRPr="003D540E">
        <w:rPr>
          <w:sz w:val="28"/>
          <w:szCs w:val="28"/>
        </w:rPr>
        <w:t>reasonably probably</w:t>
      </w:r>
      <w:r w:rsidR="00D14194" w:rsidRPr="003D540E">
        <w:rPr>
          <w:sz w:val="28"/>
          <w:szCs w:val="28"/>
        </w:rPr>
        <w:t>, or be likely to,</w:t>
      </w:r>
      <w:r w:rsidR="009037C0" w:rsidRPr="003D540E">
        <w:rPr>
          <w:sz w:val="28"/>
          <w:szCs w:val="28"/>
        </w:rPr>
        <w:t xml:space="preserve"> </w:t>
      </w:r>
      <w:r w:rsidR="002A2A28" w:rsidRPr="003D540E">
        <w:rPr>
          <w:sz w:val="28"/>
          <w:szCs w:val="28"/>
        </w:rPr>
        <w:t xml:space="preserve">take unfair advantage of the distinctive character or repute of </w:t>
      </w:r>
      <w:r w:rsidR="009037C0" w:rsidRPr="003D540E">
        <w:rPr>
          <w:sz w:val="28"/>
          <w:szCs w:val="28"/>
        </w:rPr>
        <w:t xml:space="preserve">SALTICRAX. </w:t>
      </w:r>
      <w:r w:rsidR="00490667" w:rsidRPr="003D540E">
        <w:rPr>
          <w:sz w:val="28"/>
          <w:szCs w:val="28"/>
        </w:rPr>
        <w:t xml:space="preserve">In the result, the case was made out that s 10(17) </w:t>
      </w:r>
      <w:r w:rsidR="00AD1D17" w:rsidRPr="003D540E">
        <w:rPr>
          <w:sz w:val="28"/>
          <w:szCs w:val="28"/>
        </w:rPr>
        <w:t>stands in the way of</w:t>
      </w:r>
      <w:r w:rsidR="00490667" w:rsidRPr="003D540E">
        <w:rPr>
          <w:sz w:val="28"/>
          <w:szCs w:val="28"/>
        </w:rPr>
        <w:t xml:space="preserve"> registration of the mark </w:t>
      </w:r>
      <w:r w:rsidR="00787FC5" w:rsidRPr="003D540E">
        <w:rPr>
          <w:sz w:val="28"/>
          <w:szCs w:val="28"/>
        </w:rPr>
        <w:t xml:space="preserve">applied for. </w:t>
      </w:r>
      <w:r w:rsidR="00C76FFB" w:rsidRPr="003D540E">
        <w:rPr>
          <w:sz w:val="28"/>
          <w:szCs w:val="28"/>
        </w:rPr>
        <w:t xml:space="preserve">In my view, the high court erred in dismissing the opposition to the registration application. </w:t>
      </w:r>
      <w:r w:rsidR="009F6001" w:rsidRPr="003D540E">
        <w:rPr>
          <w:sz w:val="28"/>
          <w:szCs w:val="28"/>
        </w:rPr>
        <w:t>I</w:t>
      </w:r>
      <w:r w:rsidR="00787FC5" w:rsidRPr="003D540E">
        <w:rPr>
          <w:sz w:val="28"/>
          <w:szCs w:val="28"/>
        </w:rPr>
        <w:t>t is</w:t>
      </w:r>
      <w:r w:rsidR="009F6001" w:rsidRPr="003D540E">
        <w:rPr>
          <w:sz w:val="28"/>
          <w:szCs w:val="28"/>
        </w:rPr>
        <w:t xml:space="preserve"> thus</w:t>
      </w:r>
      <w:r w:rsidR="00787FC5" w:rsidRPr="003D540E">
        <w:rPr>
          <w:sz w:val="28"/>
          <w:szCs w:val="28"/>
        </w:rPr>
        <w:t xml:space="preserve"> not necessary to consider the other grounds of opposition relied upon by National Brands.</w:t>
      </w:r>
    </w:p>
    <w:p w14:paraId="51DD47BE" w14:textId="77777777" w:rsidR="002079B0" w:rsidRPr="003D540E" w:rsidRDefault="002079B0" w:rsidP="002079B0">
      <w:pPr>
        <w:pStyle w:val="ListParagraph"/>
        <w:ind w:left="0"/>
        <w:rPr>
          <w:sz w:val="28"/>
          <w:szCs w:val="28"/>
        </w:rPr>
      </w:pPr>
    </w:p>
    <w:p w14:paraId="31161CBD" w14:textId="77777777" w:rsidR="00A45283" w:rsidRPr="003D540E" w:rsidRDefault="00A45283" w:rsidP="00A45283">
      <w:pPr>
        <w:pStyle w:val="ListParagraph"/>
        <w:numPr>
          <w:ilvl w:val="0"/>
          <w:numId w:val="1"/>
        </w:numPr>
        <w:ind w:left="0"/>
        <w:rPr>
          <w:sz w:val="28"/>
          <w:szCs w:val="28"/>
        </w:rPr>
      </w:pPr>
      <w:r w:rsidRPr="003D540E">
        <w:rPr>
          <w:bCs/>
          <w:sz w:val="28"/>
          <w:szCs w:val="28"/>
        </w:rPr>
        <w:t xml:space="preserve">As mentioned, Cape Cookies attempted to utilise an affidavit from the Cape </w:t>
      </w:r>
      <w:r w:rsidR="00B41041" w:rsidRPr="003D540E">
        <w:rPr>
          <w:bCs/>
          <w:sz w:val="28"/>
          <w:szCs w:val="28"/>
        </w:rPr>
        <w:t>litigation</w:t>
      </w:r>
      <w:r w:rsidRPr="003D540E">
        <w:rPr>
          <w:bCs/>
          <w:sz w:val="28"/>
          <w:szCs w:val="28"/>
        </w:rPr>
        <w:t xml:space="preserve"> when it did not form part of the present papers. Cape Cookies persuaded the Registrar of this </w:t>
      </w:r>
      <w:r w:rsidR="0029799C" w:rsidRPr="003D540E">
        <w:rPr>
          <w:bCs/>
          <w:sz w:val="28"/>
          <w:szCs w:val="28"/>
        </w:rPr>
        <w:t>c</w:t>
      </w:r>
      <w:r w:rsidRPr="003D540E">
        <w:rPr>
          <w:bCs/>
          <w:sz w:val="28"/>
          <w:szCs w:val="28"/>
        </w:rPr>
        <w:t xml:space="preserve">ourt to admit </w:t>
      </w:r>
      <w:r w:rsidR="00B41041" w:rsidRPr="003D540E">
        <w:rPr>
          <w:bCs/>
          <w:sz w:val="28"/>
          <w:szCs w:val="28"/>
        </w:rPr>
        <w:t xml:space="preserve">into the appeal record </w:t>
      </w:r>
      <w:r w:rsidRPr="003D540E">
        <w:rPr>
          <w:bCs/>
          <w:sz w:val="28"/>
          <w:szCs w:val="28"/>
        </w:rPr>
        <w:t xml:space="preserve">two additional volumes </w:t>
      </w:r>
      <w:r w:rsidR="002D5091" w:rsidRPr="003D540E">
        <w:rPr>
          <w:bCs/>
          <w:sz w:val="28"/>
          <w:szCs w:val="28"/>
        </w:rPr>
        <w:t>totalling 287 pages containing that affidavit</w:t>
      </w:r>
      <w:r w:rsidRPr="003D540E">
        <w:rPr>
          <w:bCs/>
          <w:sz w:val="28"/>
          <w:szCs w:val="28"/>
        </w:rPr>
        <w:t xml:space="preserve"> </w:t>
      </w:r>
      <w:r w:rsidR="00B514C8" w:rsidRPr="003D540E">
        <w:rPr>
          <w:bCs/>
          <w:sz w:val="28"/>
          <w:szCs w:val="28"/>
        </w:rPr>
        <w:t>in the face of</w:t>
      </w:r>
      <w:r w:rsidRPr="003D540E">
        <w:rPr>
          <w:bCs/>
          <w:sz w:val="28"/>
          <w:szCs w:val="28"/>
        </w:rPr>
        <w:t xml:space="preserve"> protest </w:t>
      </w:r>
      <w:r w:rsidR="00B514C8" w:rsidRPr="003D540E">
        <w:rPr>
          <w:bCs/>
          <w:sz w:val="28"/>
          <w:szCs w:val="28"/>
        </w:rPr>
        <w:t>by</w:t>
      </w:r>
      <w:r w:rsidRPr="003D540E">
        <w:rPr>
          <w:bCs/>
          <w:sz w:val="28"/>
          <w:szCs w:val="28"/>
        </w:rPr>
        <w:t xml:space="preserve"> National Brands. National Brands s</w:t>
      </w:r>
      <w:r w:rsidR="002D5091" w:rsidRPr="003D540E">
        <w:rPr>
          <w:bCs/>
          <w:sz w:val="28"/>
          <w:szCs w:val="28"/>
        </w:rPr>
        <w:t>ought</w:t>
      </w:r>
      <w:r w:rsidRPr="003D540E">
        <w:rPr>
          <w:bCs/>
          <w:sz w:val="28"/>
          <w:szCs w:val="28"/>
        </w:rPr>
        <w:t xml:space="preserve"> a punitive costs order against Cape Cookies for the inclusion of those volumes. </w:t>
      </w:r>
      <w:r w:rsidR="0029799C" w:rsidRPr="003D540E">
        <w:rPr>
          <w:bCs/>
          <w:sz w:val="28"/>
          <w:szCs w:val="28"/>
        </w:rPr>
        <w:t>It had</w:t>
      </w:r>
      <w:r w:rsidRPr="003D540E">
        <w:rPr>
          <w:bCs/>
          <w:sz w:val="28"/>
          <w:szCs w:val="28"/>
        </w:rPr>
        <w:t xml:space="preserve"> warned </w:t>
      </w:r>
      <w:r w:rsidR="0029799C" w:rsidRPr="003D540E">
        <w:rPr>
          <w:bCs/>
          <w:sz w:val="28"/>
          <w:szCs w:val="28"/>
        </w:rPr>
        <w:t>Cape Cookies</w:t>
      </w:r>
      <w:r w:rsidRPr="003D540E">
        <w:rPr>
          <w:bCs/>
          <w:sz w:val="28"/>
          <w:szCs w:val="28"/>
        </w:rPr>
        <w:t xml:space="preserve"> that a punitive costs order would be sought. Despite this, Cape Cookies </w:t>
      </w:r>
      <w:r w:rsidR="009514CE" w:rsidRPr="003D540E">
        <w:rPr>
          <w:bCs/>
          <w:sz w:val="28"/>
          <w:szCs w:val="28"/>
        </w:rPr>
        <w:t>pers</w:t>
      </w:r>
      <w:r w:rsidRPr="003D540E">
        <w:rPr>
          <w:bCs/>
          <w:sz w:val="28"/>
          <w:szCs w:val="28"/>
        </w:rPr>
        <w:t xml:space="preserve">isted. </w:t>
      </w:r>
      <w:r w:rsidR="009514CE" w:rsidRPr="003D540E">
        <w:rPr>
          <w:bCs/>
          <w:sz w:val="28"/>
          <w:szCs w:val="28"/>
        </w:rPr>
        <w:t xml:space="preserve">There was absolutely no basis on which Cape Cookies was entitled to include the volumes. </w:t>
      </w:r>
      <w:r w:rsidRPr="003D540E">
        <w:rPr>
          <w:bCs/>
          <w:sz w:val="28"/>
          <w:szCs w:val="28"/>
        </w:rPr>
        <w:t>I see no reason why Cape Cookies should not bear the costs arising from the inclusion of those volumes on an attorney and client scale.</w:t>
      </w:r>
    </w:p>
    <w:p w14:paraId="38595AE6" w14:textId="77777777" w:rsidR="00A45283" w:rsidRPr="003D540E" w:rsidRDefault="00A45283" w:rsidP="00A45283">
      <w:pPr>
        <w:pStyle w:val="ListParagraph"/>
        <w:ind w:left="0"/>
        <w:rPr>
          <w:sz w:val="28"/>
          <w:szCs w:val="28"/>
        </w:rPr>
      </w:pPr>
    </w:p>
    <w:p w14:paraId="5700F408" w14:textId="77777777" w:rsidR="00126D61" w:rsidRPr="003D540E" w:rsidRDefault="00787FC5">
      <w:pPr>
        <w:pStyle w:val="ListParagraph"/>
        <w:numPr>
          <w:ilvl w:val="0"/>
          <w:numId w:val="1"/>
        </w:numPr>
        <w:ind w:left="0"/>
        <w:rPr>
          <w:sz w:val="28"/>
          <w:szCs w:val="28"/>
        </w:rPr>
      </w:pPr>
      <w:r w:rsidRPr="003D540E">
        <w:rPr>
          <w:sz w:val="28"/>
          <w:szCs w:val="28"/>
        </w:rPr>
        <w:lastRenderedPageBreak/>
        <w:t>As regards the balance of the costs in the high court and on appeal, they should follow the result. Although Cape Cookies utilised the services of only one counsel, it raised no argument against the entitlement of National Brands to the costs of two counsel which, in my view, was warranted.</w:t>
      </w:r>
    </w:p>
    <w:p w14:paraId="5A9EC5E0" w14:textId="77777777" w:rsidR="00126D61" w:rsidRPr="003D540E" w:rsidRDefault="00126D61" w:rsidP="00126D61">
      <w:pPr>
        <w:pStyle w:val="ListParagraph"/>
        <w:ind w:left="0"/>
        <w:rPr>
          <w:sz w:val="28"/>
          <w:szCs w:val="28"/>
        </w:rPr>
      </w:pPr>
    </w:p>
    <w:p w14:paraId="1819FC97" w14:textId="77777777" w:rsidR="00F3644F" w:rsidRPr="003D540E" w:rsidRDefault="001007F1" w:rsidP="00090AAC">
      <w:pPr>
        <w:pStyle w:val="ListParagraph"/>
        <w:numPr>
          <w:ilvl w:val="0"/>
          <w:numId w:val="1"/>
        </w:numPr>
        <w:ind w:left="0"/>
        <w:rPr>
          <w:sz w:val="28"/>
          <w:szCs w:val="28"/>
        </w:rPr>
      </w:pPr>
      <w:r w:rsidRPr="003D540E">
        <w:rPr>
          <w:sz w:val="28"/>
          <w:szCs w:val="28"/>
        </w:rPr>
        <w:t>In the result</w:t>
      </w:r>
      <w:r w:rsidR="004F0B46" w:rsidRPr="003D540E">
        <w:rPr>
          <w:sz w:val="28"/>
          <w:szCs w:val="28"/>
        </w:rPr>
        <w:t xml:space="preserve">, </w:t>
      </w:r>
      <w:r w:rsidR="00F3644F" w:rsidRPr="003D540E">
        <w:rPr>
          <w:sz w:val="28"/>
          <w:szCs w:val="28"/>
        </w:rPr>
        <w:t>the following order issues:</w:t>
      </w:r>
    </w:p>
    <w:p w14:paraId="37FBFB02" w14:textId="77777777" w:rsidR="006D2450" w:rsidRPr="003D540E" w:rsidRDefault="00126D61" w:rsidP="00F3644F">
      <w:pPr>
        <w:pStyle w:val="ListParagraph"/>
        <w:ind w:left="0"/>
        <w:rPr>
          <w:sz w:val="28"/>
          <w:szCs w:val="28"/>
        </w:rPr>
      </w:pPr>
      <w:r w:rsidRPr="003D540E">
        <w:rPr>
          <w:bCs/>
          <w:sz w:val="28"/>
          <w:szCs w:val="28"/>
        </w:rPr>
        <w:t>1</w:t>
      </w:r>
      <w:r w:rsidRPr="003D540E">
        <w:rPr>
          <w:bCs/>
          <w:sz w:val="28"/>
          <w:szCs w:val="28"/>
        </w:rPr>
        <w:tab/>
      </w:r>
      <w:r w:rsidR="00AA34D8" w:rsidRPr="003D540E">
        <w:rPr>
          <w:bCs/>
          <w:sz w:val="28"/>
          <w:szCs w:val="28"/>
        </w:rPr>
        <w:t>T</w:t>
      </w:r>
      <w:r w:rsidR="00AA34D8" w:rsidRPr="003D540E">
        <w:rPr>
          <w:sz w:val="28"/>
          <w:szCs w:val="28"/>
        </w:rPr>
        <w:t xml:space="preserve">he appeal is </w:t>
      </w:r>
      <w:r w:rsidRPr="003D540E">
        <w:rPr>
          <w:sz w:val="28"/>
          <w:szCs w:val="28"/>
        </w:rPr>
        <w:t>upheld</w:t>
      </w:r>
      <w:r w:rsidR="00AA34D8" w:rsidRPr="003D540E">
        <w:rPr>
          <w:sz w:val="28"/>
          <w:szCs w:val="28"/>
        </w:rPr>
        <w:t xml:space="preserve"> with costs, including those consequent on the employment of two counsel.</w:t>
      </w:r>
    </w:p>
    <w:p w14:paraId="58D94082" w14:textId="77777777" w:rsidR="00711BE9" w:rsidRPr="003D540E" w:rsidRDefault="00711BE9" w:rsidP="00F3644F">
      <w:pPr>
        <w:pStyle w:val="ListParagraph"/>
        <w:ind w:left="0"/>
        <w:rPr>
          <w:sz w:val="28"/>
          <w:szCs w:val="28"/>
        </w:rPr>
      </w:pPr>
      <w:r w:rsidRPr="003D540E">
        <w:rPr>
          <w:sz w:val="28"/>
          <w:szCs w:val="28"/>
        </w:rPr>
        <w:t>2</w:t>
      </w:r>
      <w:r w:rsidRPr="003D540E">
        <w:rPr>
          <w:sz w:val="28"/>
          <w:szCs w:val="28"/>
        </w:rPr>
        <w:tab/>
      </w:r>
      <w:r w:rsidR="00E825B0" w:rsidRPr="003D540E">
        <w:rPr>
          <w:sz w:val="28"/>
          <w:szCs w:val="28"/>
        </w:rPr>
        <w:t>Cape Cookies CC is directed to pay t</w:t>
      </w:r>
      <w:r w:rsidRPr="003D540E">
        <w:rPr>
          <w:sz w:val="28"/>
          <w:szCs w:val="28"/>
        </w:rPr>
        <w:t xml:space="preserve">he costs arising from the inclusion of </w:t>
      </w:r>
      <w:r w:rsidR="00E825B0" w:rsidRPr="003D540E">
        <w:rPr>
          <w:sz w:val="28"/>
          <w:szCs w:val="28"/>
        </w:rPr>
        <w:t xml:space="preserve">the two supplementary volumes in the appeal record on </w:t>
      </w:r>
      <w:r w:rsidR="00246983" w:rsidRPr="003D540E">
        <w:rPr>
          <w:sz w:val="28"/>
          <w:szCs w:val="28"/>
        </w:rPr>
        <w:t>the</w:t>
      </w:r>
      <w:r w:rsidR="00E825B0" w:rsidRPr="003D540E">
        <w:rPr>
          <w:sz w:val="28"/>
          <w:szCs w:val="28"/>
        </w:rPr>
        <w:t xml:space="preserve"> scale as between attorney and client.</w:t>
      </w:r>
    </w:p>
    <w:p w14:paraId="218CB1B1" w14:textId="77777777" w:rsidR="00126D61" w:rsidRPr="003D540E" w:rsidRDefault="00246983" w:rsidP="00F3644F">
      <w:pPr>
        <w:pStyle w:val="ListParagraph"/>
        <w:ind w:left="0"/>
        <w:rPr>
          <w:sz w:val="28"/>
          <w:szCs w:val="28"/>
        </w:rPr>
      </w:pPr>
      <w:r w:rsidRPr="003D540E">
        <w:rPr>
          <w:sz w:val="28"/>
          <w:szCs w:val="28"/>
        </w:rPr>
        <w:t>3</w:t>
      </w:r>
      <w:r w:rsidR="00126D61" w:rsidRPr="003D540E">
        <w:rPr>
          <w:sz w:val="28"/>
          <w:szCs w:val="28"/>
        </w:rPr>
        <w:tab/>
        <w:t>The order of the high court is set aside and the following order substituted:</w:t>
      </w:r>
    </w:p>
    <w:p w14:paraId="610D6BA4" w14:textId="71174179" w:rsidR="00BB4F52" w:rsidRPr="003D540E" w:rsidRDefault="00BB4F52" w:rsidP="00BB4F52">
      <w:pPr>
        <w:pStyle w:val="ListParagraph"/>
        <w:ind w:left="709"/>
        <w:rPr>
          <w:sz w:val="28"/>
          <w:szCs w:val="28"/>
        </w:rPr>
      </w:pPr>
      <w:r w:rsidRPr="003D540E">
        <w:rPr>
          <w:sz w:val="28"/>
          <w:szCs w:val="28"/>
        </w:rPr>
        <w:t>‘(a)</w:t>
      </w:r>
      <w:r w:rsidRPr="003D540E">
        <w:rPr>
          <w:sz w:val="28"/>
          <w:szCs w:val="28"/>
        </w:rPr>
        <w:tab/>
        <w:t>The opposition to trade mark application no. 2013/06837 in class 30 in the name of Cape Cookies CC succeeds and the application for registration is refused.</w:t>
      </w:r>
    </w:p>
    <w:p w14:paraId="11042675" w14:textId="77777777" w:rsidR="00696C7F" w:rsidRPr="003D540E" w:rsidRDefault="00103714" w:rsidP="00210CDC">
      <w:pPr>
        <w:pStyle w:val="ListParagraph"/>
        <w:ind w:left="709"/>
        <w:rPr>
          <w:sz w:val="28"/>
          <w:szCs w:val="28"/>
        </w:rPr>
      </w:pPr>
      <w:r w:rsidRPr="003D540E">
        <w:rPr>
          <w:sz w:val="28"/>
          <w:szCs w:val="28"/>
        </w:rPr>
        <w:t>(</w:t>
      </w:r>
      <w:r w:rsidR="00696C7F" w:rsidRPr="003D540E">
        <w:rPr>
          <w:sz w:val="28"/>
          <w:szCs w:val="28"/>
        </w:rPr>
        <w:t>b)</w:t>
      </w:r>
      <w:r w:rsidR="00696C7F" w:rsidRPr="003D540E">
        <w:rPr>
          <w:sz w:val="28"/>
          <w:szCs w:val="28"/>
        </w:rPr>
        <w:tab/>
      </w:r>
      <w:r w:rsidR="00870BBF" w:rsidRPr="003D540E">
        <w:rPr>
          <w:sz w:val="28"/>
          <w:szCs w:val="28"/>
        </w:rPr>
        <w:t>Cape Cookies CC is directed to pay</w:t>
      </w:r>
      <w:r w:rsidR="006F175C" w:rsidRPr="003D540E">
        <w:rPr>
          <w:sz w:val="28"/>
          <w:szCs w:val="28"/>
        </w:rPr>
        <w:t xml:space="preserve"> the costs of the opposition proceedings, including those consequent on the employment of two counsel.</w:t>
      </w:r>
      <w:r w:rsidR="004E5970" w:rsidRPr="003D540E">
        <w:rPr>
          <w:sz w:val="28"/>
          <w:szCs w:val="28"/>
        </w:rPr>
        <w:t>’</w:t>
      </w:r>
    </w:p>
    <w:p w14:paraId="67441A63" w14:textId="555EE166" w:rsidR="001F18ED" w:rsidRPr="003D540E" w:rsidRDefault="001F18ED" w:rsidP="001F18ED">
      <w:pPr>
        <w:pStyle w:val="ListParagraph"/>
        <w:ind w:left="0"/>
        <w:rPr>
          <w:sz w:val="28"/>
          <w:szCs w:val="28"/>
        </w:rPr>
      </w:pPr>
    </w:p>
    <w:p w14:paraId="3AB53789" w14:textId="555F9D8B" w:rsidR="000E13E1" w:rsidRPr="003D540E" w:rsidRDefault="000E13E1" w:rsidP="001F18ED">
      <w:pPr>
        <w:pStyle w:val="ListParagraph"/>
        <w:ind w:left="0"/>
        <w:rPr>
          <w:sz w:val="28"/>
          <w:szCs w:val="28"/>
        </w:rPr>
      </w:pPr>
    </w:p>
    <w:p w14:paraId="55204801" w14:textId="6803232B" w:rsidR="000E13E1" w:rsidRPr="003D540E" w:rsidRDefault="000E13E1" w:rsidP="00CB387C">
      <w:pPr>
        <w:pStyle w:val="ListParagraph"/>
        <w:ind w:left="0"/>
        <w:jc w:val="right"/>
        <w:rPr>
          <w:sz w:val="28"/>
          <w:szCs w:val="28"/>
        </w:rPr>
      </w:pPr>
    </w:p>
    <w:p w14:paraId="4678FDB8" w14:textId="1D3D5A20" w:rsidR="00CB387C" w:rsidRDefault="00CB387C" w:rsidP="00CB387C">
      <w:pPr>
        <w:tabs>
          <w:tab w:val="left" w:pos="480"/>
        </w:tabs>
        <w:rPr>
          <w:sz w:val="28"/>
          <w:szCs w:val="28"/>
        </w:rPr>
      </w:pPr>
      <w:r>
        <w:rPr>
          <w:sz w:val="28"/>
          <w:szCs w:val="28"/>
        </w:rPr>
        <w:tab/>
      </w:r>
    </w:p>
    <w:p w14:paraId="527721E8" w14:textId="1521A30E" w:rsidR="00796962" w:rsidRPr="003D540E" w:rsidRDefault="00796962" w:rsidP="00BF643A">
      <w:pPr>
        <w:jc w:val="right"/>
        <w:rPr>
          <w:sz w:val="28"/>
          <w:szCs w:val="28"/>
        </w:rPr>
      </w:pPr>
      <w:r w:rsidRPr="003D540E">
        <w:rPr>
          <w:sz w:val="28"/>
          <w:szCs w:val="28"/>
        </w:rPr>
        <w:t>____________________</w:t>
      </w:r>
    </w:p>
    <w:p w14:paraId="3F5CAF6D" w14:textId="77777777" w:rsidR="00796962" w:rsidRPr="003D540E" w:rsidRDefault="00883DE2" w:rsidP="00BF643A">
      <w:pPr>
        <w:jc w:val="right"/>
        <w:rPr>
          <w:sz w:val="28"/>
          <w:szCs w:val="28"/>
        </w:rPr>
      </w:pPr>
      <w:r w:rsidRPr="003D540E">
        <w:rPr>
          <w:sz w:val="28"/>
          <w:szCs w:val="28"/>
        </w:rPr>
        <w:t xml:space="preserve"> T R </w:t>
      </w:r>
      <w:r w:rsidR="00796962" w:rsidRPr="003D540E">
        <w:rPr>
          <w:sz w:val="28"/>
          <w:szCs w:val="28"/>
        </w:rPr>
        <w:t>GORVEN</w:t>
      </w:r>
    </w:p>
    <w:p w14:paraId="61C2C2E2" w14:textId="77777777" w:rsidR="00F26434" w:rsidRPr="003D540E" w:rsidRDefault="00796962" w:rsidP="00AF4EF9">
      <w:pPr>
        <w:jc w:val="right"/>
        <w:rPr>
          <w:sz w:val="28"/>
          <w:szCs w:val="28"/>
        </w:rPr>
      </w:pPr>
      <w:r w:rsidRPr="003D540E">
        <w:rPr>
          <w:sz w:val="28"/>
          <w:szCs w:val="28"/>
        </w:rPr>
        <w:t>JUDGE OF APPEAL</w:t>
      </w:r>
    </w:p>
    <w:p w14:paraId="07BB5396" w14:textId="77777777" w:rsidR="00796962" w:rsidRPr="003D540E" w:rsidRDefault="00C55BC7">
      <w:pPr>
        <w:rPr>
          <w:sz w:val="28"/>
          <w:szCs w:val="28"/>
        </w:rPr>
      </w:pPr>
      <w:r w:rsidRPr="003D540E">
        <w:rPr>
          <w:sz w:val="28"/>
          <w:szCs w:val="28"/>
        </w:rPr>
        <w:br w:type="page"/>
      </w:r>
      <w:r w:rsidR="000D2758" w:rsidRPr="003D540E">
        <w:rPr>
          <w:sz w:val="28"/>
          <w:szCs w:val="28"/>
        </w:rPr>
        <w:lastRenderedPageBreak/>
        <w:t>A</w:t>
      </w:r>
      <w:r w:rsidR="00745E90" w:rsidRPr="003D540E">
        <w:rPr>
          <w:sz w:val="28"/>
          <w:szCs w:val="28"/>
        </w:rPr>
        <w:t>ppearances</w:t>
      </w:r>
      <w:r w:rsidR="000D2758" w:rsidRPr="003D540E">
        <w:rPr>
          <w:sz w:val="28"/>
          <w:szCs w:val="28"/>
        </w:rPr>
        <w:t xml:space="preserve"> </w:t>
      </w:r>
    </w:p>
    <w:p w14:paraId="38826228" w14:textId="77777777" w:rsidR="00796962" w:rsidRPr="003D540E" w:rsidRDefault="00796962">
      <w:pPr>
        <w:rPr>
          <w:sz w:val="28"/>
          <w:szCs w:val="28"/>
        </w:rPr>
      </w:pPr>
    </w:p>
    <w:p w14:paraId="7CFC6900" w14:textId="77777777" w:rsidR="00796962" w:rsidRPr="003D540E" w:rsidRDefault="00796962" w:rsidP="00435ECC">
      <w:pPr>
        <w:tabs>
          <w:tab w:val="left" w:pos="3544"/>
        </w:tabs>
        <w:rPr>
          <w:sz w:val="28"/>
          <w:szCs w:val="28"/>
        </w:rPr>
      </w:pPr>
      <w:r w:rsidRPr="003D540E">
        <w:rPr>
          <w:sz w:val="28"/>
          <w:szCs w:val="28"/>
        </w:rPr>
        <w:t>For appellant:</w:t>
      </w:r>
      <w:r w:rsidRPr="003D540E">
        <w:rPr>
          <w:sz w:val="28"/>
          <w:szCs w:val="28"/>
        </w:rPr>
        <w:tab/>
      </w:r>
      <w:r w:rsidR="00126D61" w:rsidRPr="003D540E">
        <w:rPr>
          <w:sz w:val="28"/>
          <w:szCs w:val="28"/>
        </w:rPr>
        <w:t>C</w:t>
      </w:r>
      <w:r w:rsidR="00DA4B1C" w:rsidRPr="003D540E">
        <w:rPr>
          <w:sz w:val="28"/>
          <w:szCs w:val="28"/>
        </w:rPr>
        <w:t xml:space="preserve"> </w:t>
      </w:r>
      <w:r w:rsidR="003662E9" w:rsidRPr="003D540E">
        <w:rPr>
          <w:sz w:val="28"/>
          <w:szCs w:val="28"/>
        </w:rPr>
        <w:t>E</w:t>
      </w:r>
      <w:r w:rsidR="00126D61" w:rsidRPr="003D540E">
        <w:rPr>
          <w:sz w:val="28"/>
          <w:szCs w:val="28"/>
        </w:rPr>
        <w:t xml:space="preserve"> Puckrin</w:t>
      </w:r>
      <w:r w:rsidR="00834E28" w:rsidRPr="003D540E">
        <w:rPr>
          <w:sz w:val="28"/>
          <w:szCs w:val="28"/>
        </w:rPr>
        <w:t xml:space="preserve"> SC</w:t>
      </w:r>
      <w:r w:rsidR="0004726D" w:rsidRPr="003D540E">
        <w:rPr>
          <w:sz w:val="28"/>
          <w:szCs w:val="28"/>
        </w:rPr>
        <w:t>, with</w:t>
      </w:r>
      <w:r w:rsidR="003662E9" w:rsidRPr="003D540E">
        <w:rPr>
          <w:sz w:val="28"/>
          <w:szCs w:val="28"/>
        </w:rPr>
        <w:t xml:space="preserve"> L</w:t>
      </w:r>
      <w:r w:rsidR="00DA4B1C" w:rsidRPr="003D540E">
        <w:rPr>
          <w:sz w:val="28"/>
          <w:szCs w:val="28"/>
        </w:rPr>
        <w:t xml:space="preserve"> </w:t>
      </w:r>
      <w:r w:rsidR="003662E9" w:rsidRPr="003D540E">
        <w:rPr>
          <w:sz w:val="28"/>
          <w:szCs w:val="28"/>
        </w:rPr>
        <w:t>G Kilmartin</w:t>
      </w:r>
      <w:r w:rsidR="0004726D" w:rsidRPr="003D540E">
        <w:rPr>
          <w:sz w:val="28"/>
          <w:szCs w:val="28"/>
        </w:rPr>
        <w:t xml:space="preserve"> </w:t>
      </w:r>
    </w:p>
    <w:p w14:paraId="7A552859" w14:textId="77777777" w:rsidR="00341250" w:rsidRPr="003D540E" w:rsidRDefault="00B45337" w:rsidP="00B45337">
      <w:pPr>
        <w:ind w:left="3544" w:hanging="3544"/>
        <w:rPr>
          <w:bCs/>
          <w:sz w:val="28"/>
          <w:szCs w:val="28"/>
        </w:rPr>
      </w:pPr>
      <w:r w:rsidRPr="003D540E">
        <w:rPr>
          <w:bCs/>
          <w:sz w:val="28"/>
          <w:szCs w:val="28"/>
        </w:rPr>
        <w:t>Instructed by:</w:t>
      </w:r>
      <w:r w:rsidRPr="003D540E">
        <w:rPr>
          <w:bCs/>
          <w:sz w:val="28"/>
          <w:szCs w:val="28"/>
        </w:rPr>
        <w:tab/>
      </w:r>
      <w:r w:rsidR="00290A44" w:rsidRPr="003D540E">
        <w:rPr>
          <w:bCs/>
          <w:sz w:val="28"/>
          <w:szCs w:val="28"/>
        </w:rPr>
        <w:t>Adams and Adams</w:t>
      </w:r>
      <w:r w:rsidR="005B3345" w:rsidRPr="003D540E">
        <w:rPr>
          <w:bCs/>
          <w:sz w:val="28"/>
          <w:szCs w:val="28"/>
        </w:rPr>
        <w:t xml:space="preserve">, </w:t>
      </w:r>
      <w:r w:rsidR="008B64F8" w:rsidRPr="003D540E">
        <w:rPr>
          <w:bCs/>
          <w:sz w:val="28"/>
          <w:szCs w:val="28"/>
        </w:rPr>
        <w:t>Pretoria</w:t>
      </w:r>
    </w:p>
    <w:p w14:paraId="2FF9C835" w14:textId="77777777" w:rsidR="00796962" w:rsidRPr="003D540E" w:rsidRDefault="001D783B" w:rsidP="00B45337">
      <w:pPr>
        <w:ind w:left="3544"/>
        <w:rPr>
          <w:bCs/>
          <w:sz w:val="28"/>
          <w:szCs w:val="28"/>
        </w:rPr>
      </w:pPr>
      <w:r w:rsidRPr="003D540E">
        <w:rPr>
          <w:bCs/>
          <w:sz w:val="28"/>
          <w:szCs w:val="28"/>
        </w:rPr>
        <w:t>Honey</w:t>
      </w:r>
      <w:r w:rsidR="002F60A7" w:rsidRPr="003D540E">
        <w:rPr>
          <w:bCs/>
          <w:sz w:val="28"/>
          <w:szCs w:val="28"/>
        </w:rPr>
        <w:t xml:space="preserve"> Attorneys, </w:t>
      </w:r>
      <w:r w:rsidR="00796962" w:rsidRPr="003D540E">
        <w:rPr>
          <w:bCs/>
          <w:sz w:val="28"/>
          <w:szCs w:val="28"/>
        </w:rPr>
        <w:t>Bloemfontein</w:t>
      </w:r>
    </w:p>
    <w:p w14:paraId="1C82660F" w14:textId="77777777" w:rsidR="00796962" w:rsidRPr="003D540E" w:rsidRDefault="00796962">
      <w:pPr>
        <w:rPr>
          <w:bCs/>
          <w:sz w:val="28"/>
          <w:szCs w:val="28"/>
        </w:rPr>
      </w:pPr>
    </w:p>
    <w:p w14:paraId="519207E4" w14:textId="77777777" w:rsidR="00796962" w:rsidRPr="003D540E" w:rsidRDefault="00796962">
      <w:pPr>
        <w:rPr>
          <w:sz w:val="28"/>
          <w:szCs w:val="28"/>
        </w:rPr>
      </w:pPr>
      <w:r w:rsidRPr="003D540E">
        <w:rPr>
          <w:sz w:val="28"/>
          <w:szCs w:val="28"/>
        </w:rPr>
        <w:t xml:space="preserve">For </w:t>
      </w:r>
      <w:r w:rsidR="008D0F4C" w:rsidRPr="003D540E">
        <w:rPr>
          <w:sz w:val="28"/>
          <w:szCs w:val="28"/>
        </w:rPr>
        <w:t xml:space="preserve">first </w:t>
      </w:r>
      <w:r w:rsidRPr="003D540E">
        <w:rPr>
          <w:sz w:val="28"/>
          <w:szCs w:val="28"/>
        </w:rPr>
        <w:t>respondent:</w:t>
      </w:r>
      <w:r w:rsidRPr="003D540E">
        <w:rPr>
          <w:sz w:val="28"/>
          <w:szCs w:val="28"/>
        </w:rPr>
        <w:tab/>
      </w:r>
      <w:r w:rsidR="00304B17" w:rsidRPr="003D540E">
        <w:rPr>
          <w:sz w:val="28"/>
          <w:szCs w:val="28"/>
        </w:rPr>
        <w:t xml:space="preserve">         </w:t>
      </w:r>
      <w:r w:rsidR="0009400D" w:rsidRPr="003D540E">
        <w:rPr>
          <w:sz w:val="28"/>
          <w:szCs w:val="28"/>
        </w:rPr>
        <w:t xml:space="preserve">M </w:t>
      </w:r>
      <w:r w:rsidR="00126D61" w:rsidRPr="003D540E">
        <w:rPr>
          <w:sz w:val="28"/>
          <w:szCs w:val="28"/>
        </w:rPr>
        <w:t>Seale</w:t>
      </w:r>
      <w:r w:rsidR="0009400D" w:rsidRPr="003D540E">
        <w:rPr>
          <w:sz w:val="28"/>
          <w:szCs w:val="28"/>
        </w:rPr>
        <w:t xml:space="preserve"> SC</w:t>
      </w:r>
    </w:p>
    <w:p w14:paraId="6A45A9BD" w14:textId="77777777" w:rsidR="001277F6" w:rsidRPr="003D540E" w:rsidRDefault="00B45337" w:rsidP="00B45337">
      <w:pPr>
        <w:ind w:left="3544" w:hanging="3544"/>
        <w:rPr>
          <w:bCs/>
          <w:sz w:val="28"/>
          <w:szCs w:val="28"/>
        </w:rPr>
      </w:pPr>
      <w:r w:rsidRPr="003D540E">
        <w:rPr>
          <w:bCs/>
          <w:sz w:val="28"/>
          <w:szCs w:val="28"/>
        </w:rPr>
        <w:t>Instructed by:</w:t>
      </w:r>
      <w:r w:rsidRPr="003D540E">
        <w:rPr>
          <w:bCs/>
          <w:sz w:val="28"/>
          <w:szCs w:val="28"/>
        </w:rPr>
        <w:tab/>
      </w:r>
      <w:r w:rsidR="003B5C19" w:rsidRPr="003D540E">
        <w:rPr>
          <w:bCs/>
          <w:sz w:val="28"/>
          <w:szCs w:val="28"/>
        </w:rPr>
        <w:t>Brian Bacon Incorporated</w:t>
      </w:r>
      <w:r w:rsidR="00796962" w:rsidRPr="003D540E">
        <w:rPr>
          <w:bCs/>
          <w:sz w:val="28"/>
          <w:szCs w:val="28"/>
        </w:rPr>
        <w:t>,</w:t>
      </w:r>
      <w:r w:rsidR="005B3345" w:rsidRPr="003D540E">
        <w:rPr>
          <w:bCs/>
          <w:sz w:val="28"/>
          <w:szCs w:val="28"/>
        </w:rPr>
        <w:t xml:space="preserve"> </w:t>
      </w:r>
      <w:r w:rsidR="003B5C19" w:rsidRPr="003D540E">
        <w:rPr>
          <w:bCs/>
          <w:sz w:val="28"/>
          <w:szCs w:val="28"/>
        </w:rPr>
        <w:t>Cape Town</w:t>
      </w:r>
    </w:p>
    <w:p w14:paraId="0D8DB7CA" w14:textId="77777777" w:rsidR="00796962" w:rsidRDefault="003B5C19" w:rsidP="00B45337">
      <w:pPr>
        <w:ind w:left="2824" w:firstLine="720"/>
        <w:rPr>
          <w:bCs/>
          <w:sz w:val="28"/>
          <w:szCs w:val="28"/>
        </w:rPr>
      </w:pPr>
      <w:r w:rsidRPr="003D540E">
        <w:rPr>
          <w:bCs/>
          <w:sz w:val="28"/>
          <w:szCs w:val="28"/>
        </w:rPr>
        <w:t>Webbers</w:t>
      </w:r>
      <w:r w:rsidR="001277F6" w:rsidRPr="003D540E">
        <w:rPr>
          <w:bCs/>
          <w:sz w:val="28"/>
          <w:szCs w:val="28"/>
        </w:rPr>
        <w:t xml:space="preserve"> Attorneys</w:t>
      </w:r>
      <w:r w:rsidR="005B3345" w:rsidRPr="003D540E">
        <w:rPr>
          <w:bCs/>
          <w:sz w:val="28"/>
          <w:szCs w:val="28"/>
        </w:rPr>
        <w:t xml:space="preserve">, </w:t>
      </w:r>
      <w:r w:rsidR="00EE3C39" w:rsidRPr="003D540E">
        <w:rPr>
          <w:bCs/>
          <w:sz w:val="28"/>
          <w:szCs w:val="28"/>
        </w:rPr>
        <w:t>Bloemfontein</w:t>
      </w:r>
      <w:r w:rsidR="00796962" w:rsidRPr="00614C00">
        <w:rPr>
          <w:bCs/>
          <w:sz w:val="28"/>
          <w:szCs w:val="28"/>
        </w:rPr>
        <w:t xml:space="preserve"> </w:t>
      </w:r>
    </w:p>
    <w:p w14:paraId="10D08B17" w14:textId="77777777" w:rsidR="008D0F4C" w:rsidRDefault="008D0F4C" w:rsidP="008D0F4C">
      <w:pPr>
        <w:rPr>
          <w:bCs/>
          <w:sz w:val="28"/>
          <w:szCs w:val="28"/>
        </w:rPr>
      </w:pPr>
    </w:p>
    <w:p w14:paraId="2B74A881" w14:textId="77777777" w:rsidR="00EA4575" w:rsidRDefault="00EA4575">
      <w:pPr>
        <w:rPr>
          <w:bCs/>
          <w:sz w:val="28"/>
          <w:szCs w:val="28"/>
        </w:rPr>
      </w:pPr>
    </w:p>
    <w:sectPr w:rsidR="00EA457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2EAB" w14:textId="77777777" w:rsidR="00E917A0" w:rsidRDefault="00E917A0">
      <w:r>
        <w:separator/>
      </w:r>
    </w:p>
  </w:endnote>
  <w:endnote w:type="continuationSeparator" w:id="0">
    <w:p w14:paraId="392947EB" w14:textId="77777777" w:rsidR="00E917A0" w:rsidRDefault="00E917A0">
      <w:r>
        <w:continuationSeparator/>
      </w:r>
    </w:p>
  </w:endnote>
  <w:endnote w:type="continuationNotice" w:id="1">
    <w:p w14:paraId="70EAC08A" w14:textId="77777777" w:rsidR="00E917A0" w:rsidRDefault="00E91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055A6" w14:textId="77777777" w:rsidR="00E917A0" w:rsidRDefault="00E917A0">
      <w:r>
        <w:separator/>
      </w:r>
    </w:p>
  </w:footnote>
  <w:footnote w:type="continuationSeparator" w:id="0">
    <w:p w14:paraId="5CCC7201" w14:textId="77777777" w:rsidR="00E917A0" w:rsidRDefault="00E917A0">
      <w:r>
        <w:continuationSeparator/>
      </w:r>
    </w:p>
  </w:footnote>
  <w:footnote w:type="continuationNotice" w:id="1">
    <w:p w14:paraId="3A265FEA" w14:textId="77777777" w:rsidR="00E917A0" w:rsidRDefault="00E917A0"/>
  </w:footnote>
  <w:footnote w:id="2">
    <w:p w14:paraId="1C8DA4C8" w14:textId="77777777" w:rsidR="008A3820" w:rsidRPr="005063D5" w:rsidRDefault="008A3820" w:rsidP="00FE4955">
      <w:pPr>
        <w:pStyle w:val="FootnoteText"/>
        <w:spacing w:line="240" w:lineRule="auto"/>
        <w:rPr>
          <w:lang w:val="en-US"/>
        </w:rPr>
      </w:pPr>
      <w:r>
        <w:rPr>
          <w:rStyle w:val="FootnoteReference"/>
        </w:rPr>
        <w:footnoteRef/>
      </w:r>
      <w:r>
        <w:t xml:space="preserve"> </w:t>
      </w:r>
      <w:r w:rsidRPr="00F46800">
        <w:rPr>
          <w:i/>
        </w:rPr>
        <w:t xml:space="preserve">Verimark (Pty) Ltd v BMW AG; BMW AG v Verimark (Pty) Ltd </w:t>
      </w:r>
      <w:r w:rsidRPr="00F46800">
        <w:t>[2007] ZASCA 53; 2007 (6) SA 263 (SCA)</w:t>
      </w:r>
      <w:r>
        <w:t xml:space="preserve"> </w:t>
      </w:r>
      <w:r w:rsidRPr="00F46800">
        <w:t>para 5</w:t>
      </w:r>
      <w:r w:rsidR="00DE07F3">
        <w:t xml:space="preserve"> (</w:t>
      </w:r>
      <w:r w:rsidR="00FE4955" w:rsidRPr="00F46800">
        <w:rPr>
          <w:i/>
        </w:rPr>
        <w:t>Verimark</w:t>
      </w:r>
      <w:r w:rsidR="00FE4955">
        <w:rPr>
          <w:i/>
        </w:rPr>
        <w:t>)</w:t>
      </w:r>
      <w:r w:rsidRPr="00F46800">
        <w:t>.</w:t>
      </w:r>
      <w:r w:rsidR="00F144D5">
        <w:t xml:space="preserve"> This applies also to services which are not relevant here.</w:t>
      </w:r>
    </w:p>
  </w:footnote>
  <w:footnote w:id="3">
    <w:p w14:paraId="00F75F9B" w14:textId="77777777" w:rsidR="00794C26" w:rsidRDefault="00794C26" w:rsidP="00794C26">
      <w:pPr>
        <w:pStyle w:val="FootnoteText"/>
        <w:spacing w:line="240" w:lineRule="auto"/>
      </w:pPr>
      <w:r>
        <w:rPr>
          <w:rStyle w:val="FootnoteReference"/>
        </w:rPr>
        <w:footnoteRef/>
      </w:r>
      <w:r>
        <w:t xml:space="preserve"> Apart from a non-applicable provision, ‘trade mark’ is defined as ‘</w:t>
      </w:r>
      <w:r w:rsidRPr="00EC3C95">
        <w:t>a mark used or proposed to be used by a person in relation to goods or services for the purpose of distinguishing the goods or services in relation to which the mark is used or proposed to be used from the same kind of goods or services connected in the course of trade with any other person</w:t>
      </w:r>
      <w:r>
        <w:t>’.</w:t>
      </w:r>
    </w:p>
  </w:footnote>
  <w:footnote w:id="4">
    <w:p w14:paraId="2D1B73B5" w14:textId="77777777" w:rsidR="003F64B0" w:rsidRDefault="003F64B0">
      <w:pPr>
        <w:pStyle w:val="FootnoteText"/>
      </w:pPr>
      <w:r>
        <w:rPr>
          <w:rStyle w:val="FootnoteReference"/>
        </w:rPr>
        <w:footnoteRef/>
      </w:r>
      <w:r>
        <w:t xml:space="preserve"> See s 9 of the Act.</w:t>
      </w:r>
    </w:p>
  </w:footnote>
  <w:footnote w:id="5">
    <w:p w14:paraId="1132BBA7" w14:textId="18B88B9F" w:rsidR="00B414B2" w:rsidRDefault="00B414B2" w:rsidP="00B414B2">
      <w:pPr>
        <w:pStyle w:val="FootnoteText"/>
        <w:spacing w:line="240" w:lineRule="auto"/>
      </w:pPr>
      <w:r>
        <w:rPr>
          <w:rStyle w:val="FootnoteReference"/>
        </w:rPr>
        <w:footnoteRef/>
      </w:r>
      <w:r>
        <w:t xml:space="preserve"> </w:t>
      </w:r>
      <w:r w:rsidR="00DF2CC9" w:rsidRPr="00DF2CC9">
        <w:rPr>
          <w:i/>
          <w:iCs/>
        </w:rPr>
        <w:t>Laugh It Off Promotions CC v South African Breweries International (Finance) BV t/a SabMark International</w:t>
      </w:r>
      <w:r w:rsidR="00DF2CC9" w:rsidRPr="00DF2CC9">
        <w:t xml:space="preserve"> </w:t>
      </w:r>
      <w:r w:rsidR="003D232C">
        <w:t xml:space="preserve">[2004] ZASCA 76; </w:t>
      </w:r>
      <w:r w:rsidR="00DF2CC9" w:rsidRPr="00DF2CC9">
        <w:t xml:space="preserve">2005 (2) SA 46 (SCA); [2004] 4 All SA 151 para </w:t>
      </w:r>
      <w:r w:rsidR="00DF2CC9">
        <w:t>20</w:t>
      </w:r>
      <w:r w:rsidR="00DF2CC9" w:rsidRPr="00DF2CC9">
        <w:t xml:space="preserve"> (</w:t>
      </w:r>
      <w:r w:rsidR="00DF2CC9" w:rsidRPr="00DF2CC9">
        <w:rPr>
          <w:i/>
          <w:iCs/>
        </w:rPr>
        <w:t>Laugh It Off</w:t>
      </w:r>
      <w:r w:rsidR="00DF2CC9" w:rsidRPr="00DF2CC9">
        <w:t xml:space="preserve"> SCA). This judgment was reversed on appeal by the Constitutional Court in </w:t>
      </w:r>
      <w:r w:rsidR="00DF2CC9" w:rsidRPr="00DF2CC9">
        <w:rPr>
          <w:i/>
          <w:iCs/>
        </w:rPr>
        <w:t>Laugh It Off Promotions CC v SAB International (Finance) BV t/a Sabmark International (Freedom of Expression Institute as Amicus Curiae)</w:t>
      </w:r>
      <w:r w:rsidR="00DF2CC9" w:rsidRPr="00DF2CC9">
        <w:t xml:space="preserve"> </w:t>
      </w:r>
      <w:r w:rsidR="003D232C">
        <w:t xml:space="preserve">[2005] ZACC 7; </w:t>
      </w:r>
      <w:r w:rsidR="00DF2CC9" w:rsidRPr="00DF2CC9">
        <w:t>2006 (1) SA 144 (CC); 2005 (8) BCLR 743 (</w:t>
      </w:r>
      <w:r w:rsidR="00DF2CC9" w:rsidRPr="00DF2CC9">
        <w:rPr>
          <w:i/>
          <w:iCs/>
        </w:rPr>
        <w:t>Laugh It Off</w:t>
      </w:r>
      <w:r w:rsidR="00DF2CC9" w:rsidRPr="00DF2CC9">
        <w:t xml:space="preserve"> CC) but this aspect was not departed from in that court.</w:t>
      </w:r>
    </w:p>
  </w:footnote>
  <w:footnote w:id="6">
    <w:p w14:paraId="66256CBD" w14:textId="77777777" w:rsidR="00E72812" w:rsidRPr="00412B36" w:rsidRDefault="00E72812" w:rsidP="00E72812">
      <w:pPr>
        <w:pStyle w:val="FootnoteText"/>
        <w:spacing w:line="240" w:lineRule="auto"/>
        <w:rPr>
          <w:iCs/>
          <w:lang w:val="en-US"/>
        </w:rPr>
      </w:pPr>
      <w:r>
        <w:rPr>
          <w:rStyle w:val="FootnoteReference"/>
        </w:rPr>
        <w:footnoteRef/>
      </w:r>
      <w:r>
        <w:t xml:space="preserve"> </w:t>
      </w:r>
      <w:r w:rsidRPr="00F46800">
        <w:rPr>
          <w:i/>
        </w:rPr>
        <w:t>Verimark</w:t>
      </w:r>
      <w:r>
        <w:rPr>
          <w:iCs/>
        </w:rPr>
        <w:t xml:space="preserve"> para 5.</w:t>
      </w:r>
    </w:p>
  </w:footnote>
  <w:footnote w:id="7">
    <w:p w14:paraId="0BD7EB96" w14:textId="77777777" w:rsidR="00B3238F" w:rsidRDefault="00B3238F" w:rsidP="002C2570">
      <w:pPr>
        <w:pStyle w:val="FootnoteText"/>
        <w:spacing w:line="240" w:lineRule="auto"/>
      </w:pPr>
      <w:r>
        <w:rPr>
          <w:rStyle w:val="FootnoteReference"/>
        </w:rPr>
        <w:footnoteRef/>
      </w:r>
      <w:r>
        <w:t xml:space="preserve"> </w:t>
      </w:r>
      <w:r w:rsidR="000976CD" w:rsidRPr="000976CD">
        <w:rPr>
          <w:i/>
        </w:rPr>
        <w:t xml:space="preserve">National Brands Ltd v Blue Lion Manufacturing (Pty) Ltd </w:t>
      </w:r>
      <w:r w:rsidR="000976CD" w:rsidRPr="000976CD">
        <w:t>2001 (3) SA 563 (SCA)</w:t>
      </w:r>
      <w:r w:rsidR="000976CD">
        <w:t xml:space="preserve"> (</w:t>
      </w:r>
      <w:r w:rsidR="00F75166">
        <w:rPr>
          <w:i/>
          <w:iCs/>
        </w:rPr>
        <w:t xml:space="preserve">National Brands v </w:t>
      </w:r>
      <w:r w:rsidR="00BD4954">
        <w:rPr>
          <w:i/>
          <w:iCs/>
        </w:rPr>
        <w:t>Blue Lion</w:t>
      </w:r>
      <w:r w:rsidR="000976CD">
        <w:t>)</w:t>
      </w:r>
      <w:r>
        <w:t xml:space="preserve"> para 11.</w:t>
      </w:r>
    </w:p>
  </w:footnote>
  <w:footnote w:id="8">
    <w:p w14:paraId="75758F70" w14:textId="77777777" w:rsidR="008A618C" w:rsidRDefault="008A618C" w:rsidP="002C2570">
      <w:pPr>
        <w:pStyle w:val="FootnoteText"/>
        <w:spacing w:line="240" w:lineRule="auto"/>
      </w:pPr>
      <w:r>
        <w:rPr>
          <w:rStyle w:val="FootnoteReference"/>
        </w:rPr>
        <w:footnoteRef/>
      </w:r>
      <w:r>
        <w:t xml:space="preserve"> </w:t>
      </w:r>
      <w:r w:rsidR="00641DD0" w:rsidRPr="00F46800">
        <w:rPr>
          <w:i/>
        </w:rPr>
        <w:t>Verimark</w:t>
      </w:r>
      <w:r>
        <w:t xml:space="preserve"> para 13.</w:t>
      </w:r>
    </w:p>
  </w:footnote>
  <w:footnote w:id="9">
    <w:p w14:paraId="3A0CB380" w14:textId="77777777" w:rsidR="000A1D3D" w:rsidRDefault="000A1D3D" w:rsidP="000A1D3D">
      <w:pPr>
        <w:pStyle w:val="FootnoteText"/>
        <w:spacing w:line="240" w:lineRule="auto"/>
      </w:pPr>
      <w:r>
        <w:rPr>
          <w:rStyle w:val="FootnoteReference"/>
        </w:rPr>
        <w:footnoteRef/>
      </w:r>
      <w:r>
        <w:t xml:space="preserve"> </w:t>
      </w:r>
      <w:r w:rsidRPr="00E03750">
        <w:t xml:space="preserve">First Council Directive 89/1988 of the Council of the European Communities </w:t>
      </w:r>
      <w:r w:rsidR="0081254B">
        <w:t>‘</w:t>
      </w:r>
      <w:r w:rsidRPr="00E03750">
        <w:t>To approximate the laws of the Member States relating to trademarks</w:t>
      </w:r>
      <w:r w:rsidR="0081254B">
        <w:t>’</w:t>
      </w:r>
      <w:r w:rsidRPr="00E03750">
        <w:t>. To be found at David Kitchin </w:t>
      </w:r>
      <w:r w:rsidRPr="00E03750">
        <w:rPr>
          <w:i/>
          <w:iCs/>
        </w:rPr>
        <w:t>et al Kerly's Law of Trade Marks and Trade Names</w:t>
      </w:r>
      <w:r w:rsidRPr="00E03750">
        <w:t> (13 ed) 1017.</w:t>
      </w:r>
    </w:p>
  </w:footnote>
  <w:footnote w:id="10">
    <w:p w14:paraId="144EFA10" w14:textId="65FA7CE7" w:rsidR="00FB328F" w:rsidRDefault="00FB328F" w:rsidP="00FB328F">
      <w:pPr>
        <w:pStyle w:val="FootnoteText"/>
        <w:spacing w:line="240" w:lineRule="auto"/>
      </w:pPr>
      <w:r>
        <w:rPr>
          <w:rStyle w:val="FootnoteReference"/>
        </w:rPr>
        <w:footnoteRef/>
      </w:r>
      <w:r>
        <w:t xml:space="preserve"> </w:t>
      </w:r>
      <w:bookmarkStart w:id="10" w:name="_Hlk136002075"/>
      <w:r w:rsidRPr="00B865D7">
        <w:rPr>
          <w:i/>
          <w:iCs/>
        </w:rPr>
        <w:t xml:space="preserve">Laugh It Off </w:t>
      </w:r>
      <w:r w:rsidR="002A5CE4">
        <w:t>SCA</w:t>
      </w:r>
      <w:r w:rsidR="00906BC5">
        <w:t xml:space="preserve"> para 18</w:t>
      </w:r>
      <w:r>
        <w:t>.</w:t>
      </w:r>
    </w:p>
    <w:bookmarkEnd w:id="10"/>
  </w:footnote>
  <w:footnote w:id="11">
    <w:p w14:paraId="34DBF302" w14:textId="3C55F4EA" w:rsidR="00B15D7F" w:rsidRDefault="00B15D7F" w:rsidP="00B15D7F">
      <w:pPr>
        <w:pStyle w:val="FootnoteText"/>
        <w:spacing w:line="240" w:lineRule="auto"/>
      </w:pPr>
      <w:r w:rsidRPr="002C6636">
        <w:rPr>
          <w:rStyle w:val="FootnoteReference"/>
        </w:rPr>
        <w:footnoteRef/>
      </w:r>
      <w:r w:rsidRPr="002C6636">
        <w:t xml:space="preserve"> </w:t>
      </w:r>
      <w:r w:rsidRPr="007B4F78">
        <w:rPr>
          <w:i/>
          <w:iCs/>
        </w:rPr>
        <w:t>Premier Brands UK Ltd v Typhoon Europe</w:t>
      </w:r>
      <w:r w:rsidRPr="007B4F78">
        <w:t> </w:t>
      </w:r>
      <w:r w:rsidRPr="007B4F78">
        <w:rPr>
          <w:i/>
          <w:iCs/>
        </w:rPr>
        <w:t>Ltd</w:t>
      </w:r>
      <w:r w:rsidRPr="007B4F78">
        <w:t xml:space="preserve"> </w:t>
      </w:r>
      <w:r>
        <w:t xml:space="preserve">[2000] </w:t>
      </w:r>
      <w:r w:rsidR="00871BDE">
        <w:t xml:space="preserve">EWHC 1557; [2000] </w:t>
      </w:r>
      <w:r>
        <w:t>FSR 767.</w:t>
      </w:r>
    </w:p>
  </w:footnote>
  <w:footnote w:id="12">
    <w:p w14:paraId="75065A3B" w14:textId="77777777" w:rsidR="00B15D7F" w:rsidRPr="00DA6CAF" w:rsidRDefault="00B15D7F" w:rsidP="00B15D7F">
      <w:pPr>
        <w:pStyle w:val="FootnoteText"/>
        <w:spacing w:line="240" w:lineRule="auto"/>
      </w:pPr>
      <w:r>
        <w:rPr>
          <w:rStyle w:val="FootnoteReference"/>
        </w:rPr>
        <w:footnoteRef/>
      </w:r>
      <w:r>
        <w:t xml:space="preserve"> </w:t>
      </w:r>
      <w:r>
        <w:rPr>
          <w:i/>
          <w:iCs/>
        </w:rPr>
        <w:t xml:space="preserve">Laugh It Off </w:t>
      </w:r>
      <w:r w:rsidRPr="002C6636">
        <w:t>CC</w:t>
      </w:r>
      <w:r>
        <w:t xml:space="preserve"> para 39.</w:t>
      </w:r>
    </w:p>
  </w:footnote>
  <w:footnote w:id="13">
    <w:p w14:paraId="0FC086B8" w14:textId="77777777" w:rsidR="00F4391F" w:rsidRDefault="00F4391F" w:rsidP="00464DFB">
      <w:pPr>
        <w:pStyle w:val="FootnoteText"/>
        <w:spacing w:line="240" w:lineRule="auto"/>
      </w:pPr>
      <w:r>
        <w:rPr>
          <w:rStyle w:val="FootnoteReference"/>
        </w:rPr>
        <w:footnoteRef/>
      </w:r>
      <w:r>
        <w:t xml:space="preserve"> </w:t>
      </w:r>
      <w:r w:rsidRPr="00F4391F">
        <w:rPr>
          <w:i/>
          <w:iCs/>
        </w:rPr>
        <w:t>Laugh It Off</w:t>
      </w:r>
      <w:r w:rsidRPr="00F4391F">
        <w:t xml:space="preserve"> CC para </w:t>
      </w:r>
      <w:r>
        <w:t>40.</w:t>
      </w:r>
    </w:p>
  </w:footnote>
  <w:footnote w:id="14">
    <w:p w14:paraId="67FCE8EE" w14:textId="0030D278" w:rsidR="00E44B04" w:rsidRDefault="00E44B04" w:rsidP="00464DFB">
      <w:pPr>
        <w:pStyle w:val="FootnoteText"/>
        <w:spacing w:line="240" w:lineRule="auto"/>
      </w:pPr>
      <w:r>
        <w:rPr>
          <w:rStyle w:val="FootnoteReference"/>
        </w:rPr>
        <w:footnoteRef/>
      </w:r>
      <w:r>
        <w:t xml:space="preserve"> </w:t>
      </w:r>
      <w:r w:rsidRPr="00E44B04">
        <w:rPr>
          <w:i/>
          <w:iCs/>
        </w:rPr>
        <w:t>Triomed (Pty) Ltd v Beecham Group plc and Others</w:t>
      </w:r>
      <w:r w:rsidRPr="00E44B04">
        <w:t> 2001 (2) SA 522 (T)</w:t>
      </w:r>
      <w:r>
        <w:t xml:space="preserve"> </w:t>
      </w:r>
      <w:r w:rsidR="007C7322">
        <w:t>at 555D-E</w:t>
      </w:r>
      <w:r w:rsidR="00587AC6">
        <w:t xml:space="preserve"> (</w:t>
      </w:r>
      <w:r w:rsidR="00587AC6" w:rsidRPr="00587AC6">
        <w:rPr>
          <w:i/>
          <w:iCs/>
        </w:rPr>
        <w:t>Triomed</w:t>
      </w:r>
      <w:r w:rsidR="00686447">
        <w:t xml:space="preserve"> Gauteng</w:t>
      </w:r>
      <w:r w:rsidR="00587AC6">
        <w:t>)</w:t>
      </w:r>
      <w:r w:rsidR="007C7322">
        <w:t>.</w:t>
      </w:r>
      <w:r>
        <w:t xml:space="preserve"> </w:t>
      </w:r>
      <w:r w:rsidR="00666D41">
        <w:t xml:space="preserve">It should be noted that </w:t>
      </w:r>
      <w:r w:rsidR="00666D41" w:rsidRPr="00666D41">
        <w:rPr>
          <w:i/>
          <w:iCs/>
        </w:rPr>
        <w:t>Triomed</w:t>
      </w:r>
      <w:r w:rsidR="00666D41" w:rsidRPr="00666D41">
        <w:t xml:space="preserve"> was upheld on appeal to this court</w:t>
      </w:r>
      <w:r w:rsidR="00C16F3C">
        <w:t xml:space="preserve"> in</w:t>
      </w:r>
      <w:r w:rsidR="00FC052B" w:rsidRPr="00FC052B">
        <w:t xml:space="preserve"> </w:t>
      </w:r>
      <w:r w:rsidR="00FC052B" w:rsidRPr="00380CD7">
        <w:rPr>
          <w:i/>
          <w:iCs/>
        </w:rPr>
        <w:t>B</w:t>
      </w:r>
      <w:r w:rsidR="008B782B" w:rsidRPr="00380CD7">
        <w:rPr>
          <w:i/>
          <w:iCs/>
        </w:rPr>
        <w:t>eecham</w:t>
      </w:r>
      <w:r w:rsidR="00FC052B" w:rsidRPr="00380CD7">
        <w:rPr>
          <w:i/>
          <w:iCs/>
        </w:rPr>
        <w:t xml:space="preserve"> G</w:t>
      </w:r>
      <w:r w:rsidR="008B782B" w:rsidRPr="00380CD7">
        <w:rPr>
          <w:i/>
          <w:iCs/>
        </w:rPr>
        <w:t>roup</w:t>
      </w:r>
      <w:r w:rsidR="00FC052B" w:rsidRPr="00380CD7">
        <w:rPr>
          <w:i/>
          <w:iCs/>
        </w:rPr>
        <w:t xml:space="preserve"> plc </w:t>
      </w:r>
      <w:r w:rsidR="008B782B" w:rsidRPr="00380CD7">
        <w:rPr>
          <w:i/>
          <w:iCs/>
        </w:rPr>
        <w:t>and</w:t>
      </w:r>
      <w:r w:rsidR="00FC052B" w:rsidRPr="00380CD7">
        <w:rPr>
          <w:i/>
          <w:iCs/>
        </w:rPr>
        <w:t xml:space="preserve"> A</w:t>
      </w:r>
      <w:r w:rsidR="008B782B" w:rsidRPr="00380CD7">
        <w:rPr>
          <w:i/>
          <w:iCs/>
        </w:rPr>
        <w:t>nother</w:t>
      </w:r>
      <w:r w:rsidR="00FC052B" w:rsidRPr="00380CD7">
        <w:rPr>
          <w:i/>
          <w:iCs/>
        </w:rPr>
        <w:t xml:space="preserve"> v T</w:t>
      </w:r>
      <w:r w:rsidR="008B782B" w:rsidRPr="00380CD7">
        <w:rPr>
          <w:i/>
          <w:iCs/>
        </w:rPr>
        <w:t>riomed</w:t>
      </w:r>
      <w:r w:rsidR="00FC052B" w:rsidRPr="00380CD7">
        <w:rPr>
          <w:i/>
          <w:iCs/>
        </w:rPr>
        <w:t xml:space="preserve"> (P</w:t>
      </w:r>
      <w:r w:rsidR="00380CD7" w:rsidRPr="00380CD7">
        <w:rPr>
          <w:i/>
          <w:iCs/>
        </w:rPr>
        <w:t>ty</w:t>
      </w:r>
      <w:r w:rsidR="00FC052B" w:rsidRPr="00380CD7">
        <w:rPr>
          <w:i/>
          <w:iCs/>
        </w:rPr>
        <w:t>) L</w:t>
      </w:r>
      <w:r w:rsidR="00380CD7" w:rsidRPr="00380CD7">
        <w:rPr>
          <w:i/>
          <w:iCs/>
        </w:rPr>
        <w:t>td</w:t>
      </w:r>
      <w:r w:rsidR="00FC052B" w:rsidRPr="00FC052B">
        <w:t xml:space="preserve"> </w:t>
      </w:r>
      <w:r w:rsidR="009770B5">
        <w:t xml:space="preserve">[2002] ZASCA 2002; </w:t>
      </w:r>
      <w:r w:rsidR="00FC052B" w:rsidRPr="00FC052B">
        <w:t>2003 (3) SA 639 (SCA)</w:t>
      </w:r>
      <w:r w:rsidR="009770B5">
        <w:t>; [2002] 4 All SA 193 (SCA)</w:t>
      </w:r>
      <w:r w:rsidR="00686447">
        <w:t xml:space="preserve"> (</w:t>
      </w:r>
      <w:r w:rsidR="00686447" w:rsidRPr="00686447">
        <w:rPr>
          <w:i/>
          <w:iCs/>
        </w:rPr>
        <w:t>Triomed</w:t>
      </w:r>
      <w:r w:rsidR="00686447">
        <w:t xml:space="preserve"> SCA)</w:t>
      </w:r>
      <w:r w:rsidR="00666D41" w:rsidRPr="00666D41">
        <w:t>. However, this court decided the case on a different point and did not deal with the dictum, saying</w:t>
      </w:r>
      <w:r w:rsidR="00A9066B">
        <w:t xml:space="preserve"> in para </w:t>
      </w:r>
      <w:r w:rsidR="00165305">
        <w:t>6</w:t>
      </w:r>
      <w:r w:rsidR="00666D41" w:rsidRPr="00666D41">
        <w:t xml:space="preserve">, ‘In view of my conclusion that the appeal stands to be dismissed, I do not intend to canvass the whole area as did the learned Judge, but my failure to deal with any particular issue should not be seen as either approval or disapproval of his judgment.’  </w:t>
      </w:r>
    </w:p>
  </w:footnote>
  <w:footnote w:id="15">
    <w:p w14:paraId="6C80D31E" w14:textId="696AF8D1" w:rsidR="000D4CCF" w:rsidRDefault="000D4CCF" w:rsidP="0096152E">
      <w:pPr>
        <w:pStyle w:val="FootnoteText"/>
        <w:spacing w:line="240" w:lineRule="auto"/>
      </w:pPr>
      <w:r>
        <w:rPr>
          <w:rStyle w:val="FootnoteReference"/>
        </w:rPr>
        <w:footnoteRef/>
      </w:r>
      <w:r>
        <w:t xml:space="preserve"> </w:t>
      </w:r>
      <w:r w:rsidRPr="000D4CCF">
        <w:rPr>
          <w:i/>
          <w:iCs/>
        </w:rPr>
        <w:t xml:space="preserve">Klimax Manufacturing Ltd and </w:t>
      </w:r>
      <w:r w:rsidR="008A615E">
        <w:rPr>
          <w:i/>
          <w:iCs/>
        </w:rPr>
        <w:t>A</w:t>
      </w:r>
      <w:r w:rsidRPr="000D4CCF">
        <w:rPr>
          <w:i/>
          <w:iCs/>
        </w:rPr>
        <w:t xml:space="preserve">nother v Van Rensburg and </w:t>
      </w:r>
      <w:r w:rsidR="008A615E">
        <w:rPr>
          <w:i/>
          <w:iCs/>
        </w:rPr>
        <w:t>A</w:t>
      </w:r>
      <w:r w:rsidRPr="000D4CCF">
        <w:rPr>
          <w:i/>
          <w:iCs/>
        </w:rPr>
        <w:t>nother</w:t>
      </w:r>
      <w:r w:rsidRPr="000D4CCF">
        <w:t xml:space="preserve"> [2004] 2 All SA 301 (O)</w:t>
      </w:r>
      <w:r w:rsidR="009770B5">
        <w:t>; 2005 (4) SA 445 (O) at 454G-H</w:t>
      </w:r>
      <w:r w:rsidR="00A54CB8">
        <w:t xml:space="preserve"> (</w:t>
      </w:r>
      <w:r w:rsidR="00A54CB8" w:rsidRPr="00A54CB8">
        <w:rPr>
          <w:i/>
          <w:iCs/>
        </w:rPr>
        <w:t>Klimax</w:t>
      </w:r>
      <w:r w:rsidR="00A54CB8">
        <w:t>)</w:t>
      </w:r>
      <w:r w:rsidR="00893430">
        <w:t>.</w:t>
      </w:r>
    </w:p>
  </w:footnote>
  <w:footnote w:id="16">
    <w:p w14:paraId="25300BE1" w14:textId="77777777" w:rsidR="00AE350F" w:rsidRDefault="00B9576C" w:rsidP="00C45F47">
      <w:pPr>
        <w:pStyle w:val="FootnoteText"/>
        <w:spacing w:line="240" w:lineRule="auto"/>
      </w:pPr>
      <w:r>
        <w:rPr>
          <w:rStyle w:val="FootnoteReference"/>
        </w:rPr>
        <w:footnoteRef/>
      </w:r>
      <w:r>
        <w:t xml:space="preserve"> </w:t>
      </w:r>
      <w:r w:rsidR="002A5CE4">
        <w:t>In</w:t>
      </w:r>
      <w:r w:rsidR="00D17AD7">
        <w:t xml:space="preserve"> </w:t>
      </w:r>
      <w:r w:rsidR="00D17AD7" w:rsidRPr="002A5CE4">
        <w:rPr>
          <w:i/>
          <w:iCs/>
        </w:rPr>
        <w:t>Laugh It Off</w:t>
      </w:r>
      <w:r w:rsidR="00D17AD7">
        <w:t xml:space="preserve"> CC, this difference </w:t>
      </w:r>
      <w:r w:rsidR="00E66BC2">
        <w:t xml:space="preserve">in our Act </w:t>
      </w:r>
      <w:r w:rsidR="00D17AD7">
        <w:t xml:space="preserve">was not material and not dealt with. There Moseneke </w:t>
      </w:r>
      <w:r w:rsidR="00B4799F">
        <w:t xml:space="preserve">J </w:t>
      </w:r>
      <w:r w:rsidR="00D17AD7">
        <w:t>commented</w:t>
      </w:r>
      <w:r w:rsidR="00DB4E1A">
        <w:t xml:space="preserve"> in para </w:t>
      </w:r>
      <w:r w:rsidR="00CB3B5A">
        <w:t xml:space="preserve">36 </w:t>
      </w:r>
      <w:r w:rsidR="00D17AD7">
        <w:t>that</w:t>
      </w:r>
      <w:r w:rsidR="00AE350F">
        <w:t>:</w:t>
      </w:r>
    </w:p>
    <w:p w14:paraId="3F447275" w14:textId="77777777" w:rsidR="00B9576C" w:rsidRDefault="001245B8" w:rsidP="00C45F47">
      <w:pPr>
        <w:pStyle w:val="FootnoteText"/>
        <w:spacing w:line="240" w:lineRule="auto"/>
      </w:pPr>
      <w:r>
        <w:t>‘</w:t>
      </w:r>
      <w:r w:rsidRPr="001245B8">
        <w:t>Provisions virtually identical in text and substance to our</w:t>
      </w:r>
      <w:r w:rsidR="00E66BC2">
        <w:t xml:space="preserve"> s </w:t>
      </w:r>
      <w:r w:rsidRPr="001245B8">
        <w:t>34(1)</w:t>
      </w:r>
      <w:r w:rsidRPr="001245B8">
        <w:rPr>
          <w:i/>
          <w:iCs/>
        </w:rPr>
        <w:t>(c)</w:t>
      </w:r>
      <w:r w:rsidRPr="001245B8">
        <w:t> are found in art 5(2) of the European Directive</w:t>
      </w:r>
      <w:bookmarkStart w:id="14" w:name="0-0-0-383695"/>
      <w:bookmarkEnd w:id="14"/>
      <w:r>
        <w:t xml:space="preserve"> </w:t>
      </w:r>
      <w:r w:rsidRPr="001245B8">
        <w:t>and s 10(3) of the 1994 United Kingdom Act.</w:t>
      </w:r>
      <w:bookmarkStart w:id="15" w:name="0-0-0-383699"/>
      <w:bookmarkEnd w:id="15"/>
      <w:r w:rsidRPr="001245B8">
        <w:t xml:space="preserve"> However, there is an important difference. The corresponding European Community and United Kingdom (UK) provisions require proof of </w:t>
      </w:r>
      <w:r w:rsidRPr="001245B8">
        <w:rPr>
          <w:i/>
          <w:iCs/>
        </w:rPr>
        <w:t>actual</w:t>
      </w:r>
      <w:r w:rsidRPr="001245B8">
        <w:t> detriment or unfair advantage.</w:t>
      </w:r>
      <w:bookmarkStart w:id="16" w:name="0-0-0-383703"/>
      <w:bookmarkEnd w:id="16"/>
      <w:r w:rsidRPr="001245B8">
        <w:t xml:space="preserve"> Our section requires a </w:t>
      </w:r>
      <w:r w:rsidRPr="001245B8">
        <w:rPr>
          <w:i/>
          <w:iCs/>
        </w:rPr>
        <w:t>likelihood</w:t>
      </w:r>
      <w:r w:rsidRPr="001245B8">
        <w:t> of unfair advantage or detriment.</w:t>
      </w:r>
      <w:r>
        <w:t>’</w:t>
      </w:r>
      <w:r w:rsidR="00B4799F">
        <w:t xml:space="preserve"> </w:t>
      </w:r>
      <w:r w:rsidR="00AC3E86">
        <w:t>Reference omitted.</w:t>
      </w:r>
    </w:p>
    <w:p w14:paraId="3FE7C36D" w14:textId="77777777" w:rsidR="001245B8" w:rsidRPr="00D17AD7" w:rsidRDefault="001245B8" w:rsidP="00C45F47">
      <w:pPr>
        <w:pStyle w:val="FootnoteText"/>
        <w:spacing w:line="240" w:lineRule="auto"/>
      </w:pPr>
      <w:r>
        <w:t>As will be seen, th</w:t>
      </w:r>
      <w:r w:rsidR="005F3932">
        <w:t>e difference identified by him</w:t>
      </w:r>
      <w:r>
        <w:t xml:space="preserve"> achieves some significance below.</w:t>
      </w:r>
    </w:p>
  </w:footnote>
  <w:footnote w:id="17">
    <w:p w14:paraId="39410D08" w14:textId="77777777" w:rsidR="00D87103" w:rsidRPr="00C45F47" w:rsidRDefault="00D87103" w:rsidP="00C45F47">
      <w:pPr>
        <w:pStyle w:val="FootnoteText"/>
        <w:spacing w:line="240" w:lineRule="auto"/>
      </w:pPr>
      <w:r>
        <w:rPr>
          <w:rStyle w:val="FootnoteReference"/>
        </w:rPr>
        <w:footnoteRef/>
      </w:r>
      <w:r>
        <w:t xml:space="preserve"> </w:t>
      </w:r>
      <w:r w:rsidR="00124CAC">
        <w:t xml:space="preserve">Roshana Kelbrick: </w:t>
      </w:r>
      <w:r w:rsidR="00124CAC">
        <w:rPr>
          <w:i/>
          <w:iCs/>
        </w:rPr>
        <w:t>The term ‘well-known’</w:t>
      </w:r>
      <w:r w:rsidR="004857F9">
        <w:rPr>
          <w:i/>
          <w:iCs/>
        </w:rPr>
        <w:t xml:space="preserve"> in South African trade-mark legislation: some comparable </w:t>
      </w:r>
      <w:r w:rsidR="004857F9" w:rsidRPr="00BB29A9">
        <w:rPr>
          <w:i/>
          <w:iCs/>
        </w:rPr>
        <w:t>interpretations</w:t>
      </w:r>
      <w:r w:rsidR="00C45F47" w:rsidRPr="00BB29A9">
        <w:t xml:space="preserve"> in </w:t>
      </w:r>
      <w:hyperlink r:id="rId1" w:history="1">
        <w:r w:rsidR="00C45F47" w:rsidRPr="00BB29A9">
          <w:rPr>
            <w:rStyle w:val="Hyperlink"/>
            <w:color w:val="auto"/>
            <w:u w:val="none"/>
          </w:rPr>
          <w:t>https://journals.co.za/doi/pdf/10.10520/AJA00104051_44</w:t>
        </w:r>
      </w:hyperlink>
      <w:r w:rsidR="00C45F47" w:rsidRPr="00BB29A9">
        <w:t xml:space="preserve">, p435 </w:t>
      </w:r>
      <w:r w:rsidR="00C45F47">
        <w:t>at p437. Accessed on 30</w:t>
      </w:r>
      <w:r w:rsidR="00BB29A9">
        <w:t> </w:t>
      </w:r>
      <w:r w:rsidR="00C45F47">
        <w:t>May 2023.</w:t>
      </w:r>
    </w:p>
  </w:footnote>
  <w:footnote w:id="18">
    <w:p w14:paraId="0F9DBCFB" w14:textId="77777777" w:rsidR="00E37A0D" w:rsidRDefault="00E37A0D" w:rsidP="00C45F47">
      <w:pPr>
        <w:pStyle w:val="FootnoteText"/>
        <w:spacing w:line="240" w:lineRule="auto"/>
      </w:pPr>
      <w:r>
        <w:rPr>
          <w:rStyle w:val="FootnoteReference"/>
        </w:rPr>
        <w:footnoteRef/>
      </w:r>
      <w:r>
        <w:t xml:space="preserve"> </w:t>
      </w:r>
      <w:r w:rsidRPr="00E37A0D">
        <w:rPr>
          <w:i/>
          <w:iCs/>
        </w:rPr>
        <w:t>Bata Ltd v Face Fashions CC and Another</w:t>
      </w:r>
      <w:r w:rsidRPr="00E37A0D">
        <w:t xml:space="preserve"> 2001 (1) SA 844 (SCA)</w:t>
      </w:r>
      <w:r w:rsidR="00285923">
        <w:t xml:space="preserve"> (</w:t>
      </w:r>
      <w:r w:rsidR="00285923" w:rsidRPr="00E37A0D">
        <w:rPr>
          <w:i/>
          <w:iCs/>
        </w:rPr>
        <w:t>Bata</w:t>
      </w:r>
      <w:r w:rsidR="00CE2AB1">
        <w:t>)</w:t>
      </w:r>
      <w:r w:rsidR="00797E6D">
        <w:t>.</w:t>
      </w:r>
    </w:p>
  </w:footnote>
  <w:footnote w:id="19">
    <w:p w14:paraId="3167B131" w14:textId="0562C1D6" w:rsidR="00946025" w:rsidRDefault="00946025" w:rsidP="00C45F47">
      <w:pPr>
        <w:pStyle w:val="FootnoteText"/>
        <w:spacing w:line="240" w:lineRule="auto"/>
      </w:pPr>
      <w:r>
        <w:rPr>
          <w:rStyle w:val="FootnoteReference"/>
        </w:rPr>
        <w:footnoteRef/>
      </w:r>
      <w:r>
        <w:t xml:space="preserve"> </w:t>
      </w:r>
      <w:r w:rsidRPr="00946025">
        <w:rPr>
          <w:i/>
          <w:lang w:val="pt-BR"/>
        </w:rPr>
        <w:t>Lucky Star Ltd v Lucky Brands (Pty) Ltd</w:t>
      </w:r>
      <w:r w:rsidRPr="00946025">
        <w:rPr>
          <w:lang w:val="pt-BR"/>
        </w:rPr>
        <w:t xml:space="preserve"> [2016] ZASCA 77</w:t>
      </w:r>
      <w:r w:rsidR="00335363">
        <w:rPr>
          <w:lang w:val="pt-BR"/>
        </w:rPr>
        <w:t>; 2017 (2) SA 588</w:t>
      </w:r>
      <w:r w:rsidR="00CE2AB1">
        <w:rPr>
          <w:lang w:val="pt-BR"/>
        </w:rPr>
        <w:t xml:space="preserve"> (</w:t>
      </w:r>
      <w:r w:rsidR="00CE2AB1" w:rsidRPr="00CE2AB1">
        <w:rPr>
          <w:i/>
          <w:iCs/>
          <w:lang w:val="pt-BR"/>
        </w:rPr>
        <w:t>Lucky Star</w:t>
      </w:r>
      <w:r w:rsidR="00CE2AB1">
        <w:rPr>
          <w:lang w:val="pt-BR"/>
        </w:rPr>
        <w:t>)</w:t>
      </w:r>
      <w:r w:rsidR="007C4823">
        <w:rPr>
          <w:lang w:val="pt-BR"/>
        </w:rPr>
        <w:t>.</w:t>
      </w:r>
    </w:p>
  </w:footnote>
  <w:footnote w:id="20">
    <w:p w14:paraId="72056DA1" w14:textId="77777777" w:rsidR="00E32235" w:rsidRDefault="00E32235" w:rsidP="00C45F47">
      <w:pPr>
        <w:pStyle w:val="FootnoteText"/>
        <w:spacing w:line="240" w:lineRule="auto"/>
      </w:pPr>
      <w:r>
        <w:rPr>
          <w:rStyle w:val="FootnoteReference"/>
        </w:rPr>
        <w:footnoteRef/>
      </w:r>
      <w:r>
        <w:t xml:space="preserve"> </w:t>
      </w:r>
      <w:r w:rsidRPr="00E32235">
        <w:rPr>
          <w:bCs/>
          <w:i/>
          <w:lang w:val="en-GB"/>
        </w:rPr>
        <w:t xml:space="preserve">Yuppiechef Holdings (Pty) Ltd v Yuppie Gadgets Holdings (Pty) Ltd </w:t>
      </w:r>
      <w:r w:rsidR="00AC3E86">
        <w:rPr>
          <w:bCs/>
          <w:iCs/>
          <w:lang w:val="en-GB"/>
        </w:rPr>
        <w:t>[</w:t>
      </w:r>
      <w:r w:rsidRPr="00E32235">
        <w:rPr>
          <w:bCs/>
          <w:lang w:val="en-GB"/>
        </w:rPr>
        <w:t>2016</w:t>
      </w:r>
      <w:r w:rsidR="00AC3E86">
        <w:rPr>
          <w:bCs/>
          <w:lang w:val="en-GB"/>
        </w:rPr>
        <w:t>]</w:t>
      </w:r>
      <w:r w:rsidRPr="00E32235">
        <w:rPr>
          <w:bCs/>
          <w:lang w:val="en-GB"/>
        </w:rPr>
        <w:t xml:space="preserve"> ZASCA 118</w:t>
      </w:r>
      <w:r w:rsidR="00CE2AB1">
        <w:rPr>
          <w:bCs/>
          <w:lang w:val="en-GB"/>
        </w:rPr>
        <w:t xml:space="preserve"> (</w:t>
      </w:r>
      <w:r w:rsidR="00CE2AB1" w:rsidRPr="00CE2AB1">
        <w:rPr>
          <w:bCs/>
          <w:i/>
          <w:iCs/>
          <w:lang w:val="en-GB"/>
        </w:rPr>
        <w:t>Yuppiechef</w:t>
      </w:r>
      <w:r w:rsidR="00CE2AB1">
        <w:rPr>
          <w:bCs/>
          <w:lang w:val="en-GB"/>
        </w:rPr>
        <w:t>)</w:t>
      </w:r>
      <w:r>
        <w:rPr>
          <w:bCs/>
          <w:lang w:val="en-GB"/>
        </w:rPr>
        <w:t>.</w:t>
      </w:r>
    </w:p>
  </w:footnote>
  <w:footnote w:id="21">
    <w:p w14:paraId="554BA89B" w14:textId="77777777" w:rsidR="00A26FD1" w:rsidRPr="00B15460" w:rsidRDefault="00A26FD1" w:rsidP="00F051C5">
      <w:pPr>
        <w:pStyle w:val="FootnoteText"/>
        <w:spacing w:line="240" w:lineRule="auto"/>
      </w:pPr>
      <w:r>
        <w:rPr>
          <w:rStyle w:val="FootnoteReference"/>
        </w:rPr>
        <w:footnoteRef/>
      </w:r>
      <w:r>
        <w:t xml:space="preserve"> </w:t>
      </w:r>
      <w:r>
        <w:rPr>
          <w:i/>
          <w:iCs/>
        </w:rPr>
        <w:t>Verimark</w:t>
      </w:r>
      <w:r w:rsidR="00B15460">
        <w:t xml:space="preserve"> para 11.</w:t>
      </w:r>
    </w:p>
  </w:footnote>
  <w:footnote w:id="22">
    <w:p w14:paraId="52902A88" w14:textId="77777777" w:rsidR="00897ED7" w:rsidRDefault="00897ED7" w:rsidP="00F051C5">
      <w:pPr>
        <w:pStyle w:val="FootnoteText"/>
        <w:spacing w:line="240" w:lineRule="auto"/>
      </w:pPr>
      <w:r>
        <w:rPr>
          <w:rStyle w:val="FootnoteReference"/>
        </w:rPr>
        <w:footnoteRef/>
      </w:r>
      <w:r>
        <w:t xml:space="preserve"> </w:t>
      </w:r>
      <w:bookmarkStart w:id="17" w:name="_Hlk135986856"/>
      <w:r w:rsidRPr="00897ED7">
        <w:rPr>
          <w:i/>
          <w:iCs/>
        </w:rPr>
        <w:t>Laugh It Off</w:t>
      </w:r>
      <w:r w:rsidRPr="00897ED7">
        <w:t xml:space="preserve"> SCA</w:t>
      </w:r>
      <w:bookmarkEnd w:id="17"/>
      <w:r>
        <w:t xml:space="preserve"> para </w:t>
      </w:r>
      <w:r w:rsidR="008770AF">
        <w:t>20.</w:t>
      </w:r>
      <w:r w:rsidR="003B1DF9">
        <w:t xml:space="preserve"> Emphasis in the original.</w:t>
      </w:r>
    </w:p>
  </w:footnote>
  <w:footnote w:id="23">
    <w:p w14:paraId="7FBC96A4" w14:textId="77777777" w:rsidR="00F75166" w:rsidRDefault="00F75166" w:rsidP="00F051C5">
      <w:pPr>
        <w:pStyle w:val="FootnoteText"/>
        <w:spacing w:line="240" w:lineRule="auto"/>
      </w:pPr>
      <w:r>
        <w:rPr>
          <w:rStyle w:val="FootnoteReference"/>
        </w:rPr>
        <w:footnoteRef/>
      </w:r>
      <w:r>
        <w:t xml:space="preserve"> </w:t>
      </w:r>
      <w:r w:rsidR="00F051C5" w:rsidRPr="00F051C5">
        <w:rPr>
          <w:i/>
          <w:iCs/>
        </w:rPr>
        <w:t>National Brands v Blue Lion</w:t>
      </w:r>
      <w:r w:rsidR="00F051C5" w:rsidRPr="00F051C5">
        <w:t xml:space="preserve"> </w:t>
      </w:r>
      <w:r>
        <w:t>para 11.</w:t>
      </w:r>
    </w:p>
  </w:footnote>
  <w:footnote w:id="24">
    <w:p w14:paraId="00EC1FB9" w14:textId="77777777" w:rsidR="006C5E4F" w:rsidRDefault="006C5E4F" w:rsidP="006C5E4F">
      <w:pPr>
        <w:pStyle w:val="FootnoteText"/>
        <w:spacing w:line="240" w:lineRule="auto"/>
      </w:pPr>
      <w:r>
        <w:rPr>
          <w:rStyle w:val="FootnoteReference"/>
        </w:rPr>
        <w:footnoteRef/>
      </w:r>
      <w:r>
        <w:rPr>
          <w:i/>
          <w:iCs/>
        </w:rPr>
        <w:t xml:space="preserve"> </w:t>
      </w:r>
      <w:r w:rsidRPr="004C62FC">
        <w:rPr>
          <w:i/>
          <w:iCs/>
        </w:rPr>
        <w:t>Tri-ang Pedigree (South Africa) (Pty) Ltd v Prima Toys (Pty) Ltd</w:t>
      </w:r>
      <w:r w:rsidRPr="004C62FC">
        <w:t> 1985 (1) SA 448 (A) at 468G</w:t>
      </w:r>
      <w:r>
        <w:t>–</w:t>
      </w:r>
      <w:r w:rsidRPr="004C62FC">
        <w:t>H</w:t>
      </w:r>
      <w:r>
        <w:t xml:space="preserve">. </w:t>
      </w:r>
    </w:p>
  </w:footnote>
  <w:footnote w:id="25">
    <w:p w14:paraId="7D899F58" w14:textId="77777777" w:rsidR="006C5E4F" w:rsidRDefault="006C5E4F" w:rsidP="006C5E4F">
      <w:pPr>
        <w:pStyle w:val="FootnoteText"/>
        <w:spacing w:line="240" w:lineRule="auto"/>
      </w:pPr>
      <w:r>
        <w:rPr>
          <w:rStyle w:val="FootnoteReference"/>
        </w:rPr>
        <w:footnoteRef/>
      </w:r>
      <w:r>
        <w:t xml:space="preserve"> </w:t>
      </w:r>
      <w:r w:rsidRPr="00F051C5">
        <w:rPr>
          <w:i/>
          <w:iCs/>
        </w:rPr>
        <w:t>National Brands v Blue Lion</w:t>
      </w:r>
      <w:r w:rsidRPr="00F051C5">
        <w:t xml:space="preserve"> </w:t>
      </w:r>
      <w:r>
        <w:t>para 7.</w:t>
      </w:r>
    </w:p>
  </w:footnote>
  <w:footnote w:id="26">
    <w:p w14:paraId="23B2FA71" w14:textId="77777777" w:rsidR="006C5E4F" w:rsidRDefault="006C5E4F" w:rsidP="006C5E4F">
      <w:pPr>
        <w:pStyle w:val="FootnoteText"/>
        <w:spacing w:line="240" w:lineRule="auto"/>
      </w:pPr>
      <w:r>
        <w:rPr>
          <w:rStyle w:val="FootnoteReference"/>
        </w:rPr>
        <w:footnoteRef/>
      </w:r>
      <w:r>
        <w:t xml:space="preserve"> </w:t>
      </w:r>
      <w:r w:rsidRPr="00911424">
        <w:rPr>
          <w:bCs/>
          <w:i/>
          <w:iCs/>
        </w:rPr>
        <w:t>Orange Brand Services Ltd v Account Works Software (Pty) Ltd</w:t>
      </w:r>
      <w:r w:rsidRPr="00911424">
        <w:rPr>
          <w:bCs/>
        </w:rPr>
        <w:t xml:space="preserve"> [2013] ZASCA 158</w:t>
      </w:r>
      <w:r>
        <w:rPr>
          <w:bCs/>
        </w:rPr>
        <w:t xml:space="preserve"> para 6</w:t>
      </w:r>
      <w:r w:rsidR="006911F3">
        <w:rPr>
          <w:bCs/>
        </w:rPr>
        <w:t xml:space="preserve"> (</w:t>
      </w:r>
      <w:r w:rsidR="006911F3" w:rsidRPr="006911F3">
        <w:rPr>
          <w:bCs/>
          <w:i/>
          <w:iCs/>
        </w:rPr>
        <w:t>Orange Brand</w:t>
      </w:r>
      <w:r w:rsidR="006911F3">
        <w:rPr>
          <w:bCs/>
        </w:rPr>
        <w:t>)</w:t>
      </w:r>
      <w:r>
        <w:rPr>
          <w:bCs/>
        </w:rPr>
        <w:t>.</w:t>
      </w:r>
    </w:p>
  </w:footnote>
  <w:footnote w:id="27">
    <w:p w14:paraId="243E8FA7" w14:textId="08B0A653" w:rsidR="000139F4" w:rsidRPr="005B1AD7" w:rsidRDefault="000139F4" w:rsidP="000139F4">
      <w:pPr>
        <w:pStyle w:val="FootnoteText"/>
        <w:spacing w:line="240" w:lineRule="auto"/>
      </w:pPr>
      <w:r>
        <w:rPr>
          <w:rStyle w:val="FootnoteReference"/>
        </w:rPr>
        <w:footnoteRef/>
      </w:r>
      <w:r>
        <w:t xml:space="preserve"> </w:t>
      </w:r>
      <w:r w:rsidR="00BA682B">
        <w:t xml:space="preserve">See ‘In the Matter of an Application by the Pianotist Company Ld. For the Registration of a Trade Mark’ (1906) </w:t>
      </w:r>
      <w:r w:rsidR="00BA682B">
        <w:rPr>
          <w:i/>
          <w:iCs/>
        </w:rPr>
        <w:t xml:space="preserve">Reports of Patent, Design and Trade Mark Cases </w:t>
      </w:r>
      <w:r w:rsidR="00BA682B">
        <w:t>vol 23(32) 774-778.</w:t>
      </w:r>
    </w:p>
  </w:footnote>
  <w:footnote w:id="28">
    <w:p w14:paraId="0F19C1E7" w14:textId="1B71DDB2" w:rsidR="000139F4" w:rsidRDefault="000139F4" w:rsidP="000139F4">
      <w:pPr>
        <w:pStyle w:val="FootnoteText"/>
        <w:spacing w:line="240" w:lineRule="auto"/>
      </w:pPr>
      <w:r>
        <w:rPr>
          <w:rStyle w:val="FootnoteReference"/>
        </w:rPr>
        <w:footnoteRef/>
      </w:r>
      <w:r>
        <w:t xml:space="preserve"> </w:t>
      </w:r>
      <w:r w:rsidR="00BA682B">
        <w:rPr>
          <w:i/>
          <w:iCs/>
        </w:rPr>
        <w:t>Orange Brand</w:t>
      </w:r>
      <w:r w:rsidR="00BA682B">
        <w:t xml:space="preserve"> </w:t>
      </w:r>
      <w:r>
        <w:t>para 14.</w:t>
      </w:r>
    </w:p>
  </w:footnote>
  <w:footnote w:id="29">
    <w:p w14:paraId="6A30724A" w14:textId="77777777" w:rsidR="000139F4" w:rsidRDefault="000139F4" w:rsidP="000139F4">
      <w:pPr>
        <w:pStyle w:val="FootnoteText"/>
        <w:spacing w:line="240" w:lineRule="auto"/>
      </w:pPr>
      <w:r>
        <w:rPr>
          <w:rStyle w:val="FootnoteReference"/>
        </w:rPr>
        <w:footnoteRef/>
      </w:r>
      <w:r>
        <w:t xml:space="preserve"> </w:t>
      </w:r>
      <w:r w:rsidRPr="00C83160">
        <w:rPr>
          <w:bCs/>
          <w:i/>
          <w:iCs/>
        </w:rPr>
        <w:t>Yuppiechef</w:t>
      </w:r>
      <w:r>
        <w:rPr>
          <w:bCs/>
        </w:rPr>
        <w:t xml:space="preserve"> para 26.</w:t>
      </w:r>
    </w:p>
  </w:footnote>
  <w:footnote w:id="30">
    <w:p w14:paraId="5F9D63A3" w14:textId="77777777" w:rsidR="00282EC5" w:rsidRDefault="00282EC5" w:rsidP="0097454E">
      <w:pPr>
        <w:pStyle w:val="FootnoteText"/>
        <w:spacing w:line="240" w:lineRule="auto"/>
      </w:pPr>
      <w:r>
        <w:rPr>
          <w:rStyle w:val="FootnoteReference"/>
        </w:rPr>
        <w:footnoteRef/>
      </w:r>
      <w:r>
        <w:t xml:space="preserve"> </w:t>
      </w:r>
      <w:r w:rsidRPr="00282EC5">
        <w:rPr>
          <w:i/>
          <w:iCs/>
        </w:rPr>
        <w:t>LTJ Diffusion SA v Sadas Vertbaudet SA</w:t>
      </w:r>
      <w:r w:rsidRPr="00282EC5">
        <w:t> [2003] ETMR 83 (European Trade Mark Reports) para 50</w:t>
      </w:r>
      <w:r>
        <w:t xml:space="preserve">. This dictum was approved in </w:t>
      </w:r>
      <w:r w:rsidR="003050AD" w:rsidRPr="0097454E">
        <w:rPr>
          <w:i/>
          <w:iCs/>
        </w:rPr>
        <w:t>Century City</w:t>
      </w:r>
      <w:r w:rsidR="003050AD">
        <w:t xml:space="preserve"> with the caveat that</w:t>
      </w:r>
      <w:r w:rsidR="0097454E">
        <w:t xml:space="preserve"> ‘minute and wholly insignificant differences’ should not be taken into account.</w:t>
      </w:r>
      <w:r w:rsidR="00CA51B1">
        <w:t xml:space="preserve"> </w:t>
      </w:r>
      <w:r w:rsidR="00CA51B1" w:rsidRPr="00CA51B1">
        <w:rPr>
          <w:i/>
          <w:iCs/>
        </w:rPr>
        <w:t>Century City</w:t>
      </w:r>
      <w:r w:rsidR="00CA51B1">
        <w:t xml:space="preserve"> para 12.</w:t>
      </w:r>
    </w:p>
  </w:footnote>
  <w:footnote w:id="31">
    <w:p w14:paraId="34044D7D" w14:textId="77777777" w:rsidR="006E2E58" w:rsidRDefault="006E2E58" w:rsidP="0097454E">
      <w:pPr>
        <w:pStyle w:val="FootnoteText"/>
        <w:spacing w:line="240" w:lineRule="auto"/>
      </w:pPr>
      <w:r>
        <w:rPr>
          <w:rStyle w:val="FootnoteReference"/>
        </w:rPr>
        <w:footnoteRef/>
      </w:r>
      <w:r>
        <w:t xml:space="preserve"> </w:t>
      </w:r>
      <w:r w:rsidR="00EC16AF">
        <w:t xml:space="preserve">Although it might arise in the future, </w:t>
      </w:r>
      <w:r>
        <w:t>I do not think it necessary to attempt</w:t>
      </w:r>
      <w:r w:rsidRPr="00B42E88">
        <w:t xml:space="preserve"> to resolve the ‘conundrum’ adverted to by Wallis JA</w:t>
      </w:r>
      <w:r w:rsidR="00EC16AF">
        <w:t xml:space="preserve"> in</w:t>
      </w:r>
      <w:r w:rsidRPr="00B42E88">
        <w:t xml:space="preserve"> </w:t>
      </w:r>
      <w:r w:rsidR="00EC16AF" w:rsidRPr="00B42E88">
        <w:rPr>
          <w:i/>
          <w:iCs/>
        </w:rPr>
        <w:t>Yuppiechef</w:t>
      </w:r>
      <w:r w:rsidR="00EC16AF">
        <w:t xml:space="preserve"> para 44 </w:t>
      </w:r>
      <w:r w:rsidRPr="00B42E88">
        <w:t xml:space="preserve">as to </w:t>
      </w:r>
      <w:r w:rsidR="00EC16AF">
        <w:t>the possibility</w:t>
      </w:r>
      <w:r w:rsidR="003A4F56">
        <w:t xml:space="preserve"> of a</w:t>
      </w:r>
      <w:r w:rsidRPr="00B42E88">
        <w:t xml:space="preserve"> mark be</w:t>
      </w:r>
      <w:r w:rsidR="003A4F56">
        <w:t>ing</w:t>
      </w:r>
      <w:r w:rsidRPr="00B42E88">
        <w:t xml:space="preserve"> similar but not deceiv</w:t>
      </w:r>
      <w:r w:rsidR="003A4F56">
        <w:t>ing</w:t>
      </w:r>
      <w:r w:rsidRPr="00B42E88">
        <w:t xml:space="preserve"> or confus</w:t>
      </w:r>
      <w:r w:rsidR="003A4F56">
        <w:t>ing</w:t>
      </w:r>
      <w:r w:rsidRPr="00B42E88">
        <w:t xml:space="preserve">. </w:t>
      </w:r>
    </w:p>
  </w:footnote>
  <w:footnote w:id="32">
    <w:p w14:paraId="241D961E" w14:textId="700F77D1" w:rsidR="00F32FFD" w:rsidRPr="00951604" w:rsidRDefault="00F32FFD" w:rsidP="0097454E">
      <w:pPr>
        <w:pStyle w:val="FootnoteText"/>
        <w:spacing w:line="240" w:lineRule="auto"/>
        <w:rPr>
          <w:i/>
          <w:iCs/>
        </w:rPr>
      </w:pPr>
      <w:r>
        <w:rPr>
          <w:rStyle w:val="FootnoteReference"/>
        </w:rPr>
        <w:footnoteRef/>
      </w:r>
      <w:r>
        <w:t xml:space="preserve"> </w:t>
      </w:r>
      <w:r w:rsidRPr="003E4111">
        <w:rPr>
          <w:i/>
          <w:iCs/>
        </w:rPr>
        <w:t>R v Revelas</w:t>
      </w:r>
      <w:r w:rsidRPr="003E4111">
        <w:t> 1959 (1) SA 75 (A) at 80B</w:t>
      </w:r>
      <w:r>
        <w:t>–</w:t>
      </w:r>
      <w:r w:rsidRPr="003E4111">
        <w:t>C</w:t>
      </w:r>
      <w:r>
        <w:t>.</w:t>
      </w:r>
    </w:p>
  </w:footnote>
  <w:footnote w:id="33">
    <w:p w14:paraId="1E14D158" w14:textId="77777777" w:rsidR="00041C79" w:rsidRPr="00AA381C" w:rsidRDefault="00041C79" w:rsidP="00956CC5">
      <w:pPr>
        <w:pStyle w:val="FootnoteText"/>
        <w:spacing w:line="240" w:lineRule="auto"/>
      </w:pPr>
      <w:r>
        <w:rPr>
          <w:rStyle w:val="FootnoteReference"/>
        </w:rPr>
        <w:footnoteRef/>
      </w:r>
      <w:r>
        <w:t xml:space="preserve"> </w:t>
      </w:r>
      <w:r w:rsidR="00B71767" w:rsidRPr="00AA381C">
        <w:rPr>
          <w:i/>
          <w:iCs/>
        </w:rPr>
        <w:t>Bata</w:t>
      </w:r>
      <w:r w:rsidR="00B71767" w:rsidRPr="00AA381C">
        <w:t xml:space="preserve"> para 14.</w:t>
      </w:r>
    </w:p>
  </w:footnote>
  <w:footnote w:id="34">
    <w:p w14:paraId="1FAFEBA5" w14:textId="541E2E45" w:rsidR="00956CC5" w:rsidRPr="00AA381C" w:rsidRDefault="00956CC5" w:rsidP="00956CC5">
      <w:pPr>
        <w:pStyle w:val="FootnoteText"/>
        <w:spacing w:line="240" w:lineRule="auto"/>
      </w:pPr>
      <w:r w:rsidRPr="0068203D">
        <w:rPr>
          <w:rStyle w:val="FootnoteReference"/>
        </w:rPr>
        <w:footnoteRef/>
      </w:r>
      <w:r w:rsidR="00AA381C" w:rsidRPr="0068203D">
        <w:t xml:space="preserve"> </w:t>
      </w:r>
      <w:r w:rsidR="00AA381C" w:rsidRPr="0068203D">
        <w:rPr>
          <w:i/>
          <w:iCs/>
          <w:color w:val="242121"/>
          <w:shd w:val="clear" w:color="auto" w:fill="FFFFFF"/>
        </w:rPr>
        <w:t>Société des Produits Nestlé SA v Cadbury UK Ltd</w:t>
      </w:r>
      <w:r w:rsidR="00AA381C">
        <w:rPr>
          <w:i/>
          <w:iCs/>
          <w:color w:val="242121"/>
          <w:shd w:val="clear" w:color="auto" w:fill="FFFFFF"/>
        </w:rPr>
        <w:t xml:space="preserve"> </w:t>
      </w:r>
      <w:r w:rsidR="00AA381C">
        <w:rPr>
          <w:color w:val="242121"/>
          <w:shd w:val="clear" w:color="auto" w:fill="FFFFFF"/>
        </w:rPr>
        <w:t>[2012] EWHC 2637 (Ch) para 20.</w:t>
      </w:r>
    </w:p>
  </w:footnote>
  <w:footnote w:id="35">
    <w:p w14:paraId="3AEFE824" w14:textId="77777777" w:rsidR="008B60E0" w:rsidRPr="00AA381C" w:rsidRDefault="008B60E0" w:rsidP="00464DFB">
      <w:pPr>
        <w:pStyle w:val="FootnoteText"/>
        <w:spacing w:line="240" w:lineRule="auto"/>
      </w:pPr>
      <w:r w:rsidRPr="00AA381C">
        <w:rPr>
          <w:rStyle w:val="FootnoteReference"/>
        </w:rPr>
        <w:footnoteRef/>
      </w:r>
      <w:r w:rsidRPr="00AA381C">
        <w:t xml:space="preserve"> </w:t>
      </w:r>
      <w:bookmarkStart w:id="18" w:name="_Hlk136236322"/>
      <w:r w:rsidR="000D76D6" w:rsidRPr="00AA381C">
        <w:rPr>
          <w:i/>
          <w:iCs/>
        </w:rPr>
        <w:t>Bata</w:t>
      </w:r>
      <w:bookmarkEnd w:id="18"/>
      <w:r w:rsidRPr="00AA381C">
        <w:t xml:space="preserve"> par 14.</w:t>
      </w:r>
    </w:p>
  </w:footnote>
  <w:footnote w:id="36">
    <w:p w14:paraId="20A986B2" w14:textId="77777777" w:rsidR="00501B5E" w:rsidRDefault="00501B5E" w:rsidP="00464DFB">
      <w:pPr>
        <w:pStyle w:val="FootnoteText"/>
        <w:spacing w:line="240" w:lineRule="auto"/>
      </w:pPr>
      <w:r>
        <w:rPr>
          <w:rStyle w:val="FootnoteReference"/>
        </w:rPr>
        <w:footnoteRef/>
      </w:r>
      <w:r>
        <w:t xml:space="preserve"> </w:t>
      </w:r>
      <w:r w:rsidRPr="00F051C5">
        <w:rPr>
          <w:i/>
          <w:iCs/>
        </w:rPr>
        <w:t>National Brands</w:t>
      </w:r>
      <w:r w:rsidR="00F051C5">
        <w:rPr>
          <w:i/>
          <w:iCs/>
        </w:rPr>
        <w:t xml:space="preserve"> v Blue Lion</w:t>
      </w:r>
      <w:r>
        <w:t xml:space="preserve"> para </w:t>
      </w:r>
      <w:r w:rsidR="001E549E">
        <w:t>12.</w:t>
      </w:r>
    </w:p>
  </w:footnote>
  <w:footnote w:id="37">
    <w:p w14:paraId="22A1176F" w14:textId="2B72B0C6" w:rsidR="00477785" w:rsidRDefault="00477785" w:rsidP="00464DFB">
      <w:pPr>
        <w:pStyle w:val="FootnoteText"/>
        <w:spacing w:line="240" w:lineRule="auto"/>
      </w:pPr>
      <w:r>
        <w:rPr>
          <w:rStyle w:val="FootnoteReference"/>
        </w:rPr>
        <w:footnoteRef/>
      </w:r>
      <w:r>
        <w:t xml:space="preserve"> </w:t>
      </w:r>
      <w:r w:rsidR="002C2899" w:rsidRPr="005F7A62">
        <w:rPr>
          <w:i/>
          <w:iCs/>
        </w:rPr>
        <w:t xml:space="preserve">Intel </w:t>
      </w:r>
      <w:r w:rsidR="002C2899">
        <w:rPr>
          <w:i/>
          <w:iCs/>
        </w:rPr>
        <w:t xml:space="preserve">Corporation Inc. </w:t>
      </w:r>
      <w:r w:rsidR="002C2899" w:rsidRPr="005F7A62">
        <w:rPr>
          <w:i/>
          <w:iCs/>
        </w:rPr>
        <w:t xml:space="preserve">v </w:t>
      </w:r>
      <w:r w:rsidR="002C2899">
        <w:rPr>
          <w:i/>
          <w:iCs/>
        </w:rPr>
        <w:t>CPM United Kingdom Ltd</w:t>
      </w:r>
      <w:r w:rsidR="002C2899">
        <w:t xml:space="preserve"> </w:t>
      </w:r>
      <w:r>
        <w:t>Case C-252/07</w:t>
      </w:r>
      <w:r w:rsidR="002C2899">
        <w:t xml:space="preserve"> </w:t>
      </w:r>
      <w:r w:rsidR="003D5BE3">
        <w:t xml:space="preserve">(ECJ) para 30. Cited in </w:t>
      </w:r>
      <w:r w:rsidR="003D5BE3" w:rsidRPr="0068203D">
        <w:rPr>
          <w:i/>
          <w:iCs/>
        </w:rPr>
        <w:t>Webster and Page</w:t>
      </w:r>
      <w:r w:rsidR="003D5BE3">
        <w:t>, issue 19, para 12.26, p12-55.</w:t>
      </w:r>
    </w:p>
  </w:footnote>
  <w:footnote w:id="38">
    <w:p w14:paraId="555A6CDC" w14:textId="095871EC" w:rsidR="00D53ACF" w:rsidRPr="00BE1EEE" w:rsidRDefault="00D53ACF" w:rsidP="00464DFB">
      <w:pPr>
        <w:pStyle w:val="FootnoteText"/>
        <w:spacing w:line="240" w:lineRule="auto"/>
      </w:pPr>
      <w:r>
        <w:rPr>
          <w:rStyle w:val="FootnoteReference"/>
        </w:rPr>
        <w:footnoteRef/>
      </w:r>
      <w:r>
        <w:t xml:space="preserve"> </w:t>
      </w:r>
      <w:bookmarkStart w:id="19" w:name="_Hlk136599310"/>
      <w:r w:rsidR="00694F37">
        <w:t>C Job</w:t>
      </w:r>
      <w:r w:rsidR="00AB23C8">
        <w:t>:</w:t>
      </w:r>
      <w:r w:rsidR="00694F37">
        <w:t xml:space="preserve"> ‘</w:t>
      </w:r>
      <w:r w:rsidR="00694F37">
        <w:rPr>
          <w:i/>
          <w:iCs/>
        </w:rPr>
        <w:t>The Value Judgment Conundrum: A critical review of recent trade mark appeal decisions</w:t>
      </w:r>
      <w:r w:rsidR="00BE1EEE">
        <w:t xml:space="preserve"> in </w:t>
      </w:r>
      <w:r w:rsidR="00C818C6">
        <w:t xml:space="preserve">South African Intellectual </w:t>
      </w:r>
      <w:r w:rsidR="00BE1EEE">
        <w:t>P</w:t>
      </w:r>
      <w:r w:rsidR="00C818C6">
        <w:t xml:space="preserve">roperty </w:t>
      </w:r>
      <w:r w:rsidR="00BE1EEE">
        <w:t>L</w:t>
      </w:r>
      <w:r w:rsidR="00C818C6">
        <w:t xml:space="preserve">aw </w:t>
      </w:r>
      <w:r w:rsidR="00BE1EEE">
        <w:t>J</w:t>
      </w:r>
      <w:r w:rsidR="00C818C6">
        <w:t>ournal</w:t>
      </w:r>
      <w:r w:rsidR="00BE1EEE">
        <w:t xml:space="preserve"> </w:t>
      </w:r>
      <w:r w:rsidR="00464DFB">
        <w:t>(2017) p</w:t>
      </w:r>
      <w:r w:rsidR="00BE1EEE">
        <w:t>202</w:t>
      </w:r>
      <w:r w:rsidR="004621AA">
        <w:t xml:space="preserve"> at </w:t>
      </w:r>
      <w:r w:rsidR="00464DFB">
        <w:t>p</w:t>
      </w:r>
      <w:r w:rsidR="004621AA">
        <w:t>213.</w:t>
      </w:r>
      <w:bookmarkEnd w:id="19"/>
    </w:p>
  </w:footnote>
  <w:footnote w:id="39">
    <w:p w14:paraId="2414CBEA" w14:textId="7FB036F5" w:rsidR="00E30941" w:rsidRDefault="00E30941" w:rsidP="00E30941">
      <w:pPr>
        <w:pStyle w:val="FootnoteText"/>
        <w:spacing w:line="240" w:lineRule="auto"/>
      </w:pPr>
      <w:r>
        <w:rPr>
          <w:rStyle w:val="FootnoteReference"/>
        </w:rPr>
        <w:footnoteRef/>
      </w:r>
      <w:r>
        <w:t xml:space="preserve"> </w:t>
      </w:r>
      <w:r>
        <w:rPr>
          <w:i/>
          <w:iCs/>
        </w:rPr>
        <w:t>Plascon-Evans Paints Ltd v Van Riebeeck Paints (Pty) Ltd</w:t>
      </w:r>
      <w:r>
        <w:t xml:space="preserve"> 1984 (3) SA 623 (A) at 641B-D</w:t>
      </w:r>
      <w:r w:rsidR="00E97F73">
        <w:t xml:space="preserve">. See also </w:t>
      </w:r>
      <w:r w:rsidRPr="00FB0EE7">
        <w:rPr>
          <w:bCs/>
          <w:i/>
        </w:rPr>
        <w:t xml:space="preserve">PepsiCo v Atlantic Industries </w:t>
      </w:r>
      <w:r w:rsidRPr="00FB0EE7">
        <w:rPr>
          <w:bCs/>
        </w:rPr>
        <w:t>[2017] ZASCA 109</w:t>
      </w:r>
      <w:r>
        <w:rPr>
          <w:bCs/>
        </w:rPr>
        <w:t xml:space="preserve"> para 20 (</w:t>
      </w:r>
      <w:r w:rsidRPr="00F10D9D">
        <w:rPr>
          <w:bCs/>
          <w:i/>
        </w:rPr>
        <w:t>PepsiCo</w:t>
      </w:r>
      <w:r>
        <w:rPr>
          <w:bCs/>
          <w:iCs/>
        </w:rPr>
        <w:t>)</w:t>
      </w:r>
      <w:r w:rsidRPr="00FB0EE7">
        <w:rPr>
          <w:bCs/>
        </w:rPr>
        <w:t>.</w:t>
      </w:r>
    </w:p>
  </w:footnote>
  <w:footnote w:id="40">
    <w:p w14:paraId="18B08596" w14:textId="00C8BCC5" w:rsidR="00F32FFD" w:rsidRPr="006E6371" w:rsidRDefault="00F32FFD" w:rsidP="00F051C5">
      <w:pPr>
        <w:pStyle w:val="FootnoteText"/>
        <w:spacing w:line="240" w:lineRule="auto"/>
      </w:pPr>
      <w:r w:rsidRPr="005D719C">
        <w:rPr>
          <w:rStyle w:val="FootnoteReference"/>
        </w:rPr>
        <w:footnoteRef/>
      </w:r>
      <w:r w:rsidRPr="005D719C">
        <w:t xml:space="preserve"> </w:t>
      </w:r>
      <w:r w:rsidR="00140DBD">
        <w:t>‘</w:t>
      </w:r>
      <w:r w:rsidRPr="005D719C">
        <w:t>Crax.</w:t>
      </w:r>
      <w:r w:rsidR="00140DBD">
        <w:t>’</w:t>
      </w:r>
      <w:r w:rsidRPr="005D719C">
        <w:t> </w:t>
      </w:r>
      <w:r w:rsidRPr="005D719C">
        <w:rPr>
          <w:i/>
          <w:iCs/>
        </w:rPr>
        <w:t>Merriam-Webster.com Dictionary</w:t>
      </w:r>
      <w:r w:rsidRPr="005D719C">
        <w:t>, Merriam-Webster, https://www.merriam-webster.com/dictionary/Crax.</w:t>
      </w:r>
      <w:r w:rsidRPr="00864918">
        <w:rPr>
          <w:u w:val="single"/>
        </w:rPr>
        <w:t xml:space="preserve"> </w:t>
      </w:r>
      <w:r w:rsidR="006E6371">
        <w:t xml:space="preserve">This is a species of long-legged bird. </w:t>
      </w:r>
      <w:r w:rsidRPr="006E6371">
        <w:t xml:space="preserve">Accessed </w:t>
      </w:r>
      <w:r w:rsidR="000D5E96" w:rsidRPr="006E6371">
        <w:t>25</w:t>
      </w:r>
      <w:r w:rsidRPr="006E6371">
        <w:t xml:space="preserve"> </w:t>
      </w:r>
      <w:r w:rsidR="000D5E96" w:rsidRPr="006E6371">
        <w:t>May</w:t>
      </w:r>
      <w:r w:rsidRPr="006E6371">
        <w:t xml:space="preserve"> 2023.</w:t>
      </w:r>
    </w:p>
  </w:footnote>
  <w:footnote w:id="41">
    <w:p w14:paraId="47017B72" w14:textId="77777777" w:rsidR="00F32FFD" w:rsidRPr="00EA0390" w:rsidRDefault="00F32FFD" w:rsidP="00F051C5">
      <w:pPr>
        <w:pStyle w:val="FootnoteText"/>
        <w:spacing w:line="240" w:lineRule="auto"/>
      </w:pPr>
      <w:r w:rsidRPr="00EA0390">
        <w:rPr>
          <w:rStyle w:val="FootnoteReference"/>
        </w:rPr>
        <w:footnoteRef/>
      </w:r>
      <w:r w:rsidRPr="00EA0390">
        <w:t xml:space="preserve"> </w:t>
      </w:r>
      <w:hyperlink r:id="rId2" w:history="1">
        <w:r w:rsidR="00DB4E1A" w:rsidRPr="00EA0390">
          <w:rPr>
            <w:rStyle w:val="Hyperlink"/>
            <w:color w:val="auto"/>
            <w:u w:val="none"/>
          </w:rPr>
          <w:t>https://dictionary.cambridge.org/spellcheck/english/?q=crax</w:t>
        </w:r>
      </w:hyperlink>
      <w:r w:rsidRPr="00EA0390">
        <w:t>.</w:t>
      </w:r>
      <w:r w:rsidR="00B359DA" w:rsidRPr="00EA0390">
        <w:t xml:space="preserve"> </w:t>
      </w:r>
      <w:r w:rsidRPr="00EA0390">
        <w:t xml:space="preserve"> Accessed </w:t>
      </w:r>
      <w:r w:rsidR="00B359DA" w:rsidRPr="00EA0390">
        <w:t>25</w:t>
      </w:r>
      <w:r w:rsidRPr="00EA0390">
        <w:t xml:space="preserve"> </w:t>
      </w:r>
      <w:r w:rsidR="00B359DA" w:rsidRPr="00EA0390">
        <w:t>May</w:t>
      </w:r>
      <w:r w:rsidRPr="00EA0390">
        <w:t xml:space="preserve"> 2023.</w:t>
      </w:r>
    </w:p>
  </w:footnote>
  <w:footnote w:id="42">
    <w:p w14:paraId="1EE9A7D9" w14:textId="77777777" w:rsidR="00F32FFD" w:rsidRPr="00EA0390" w:rsidRDefault="00F32FFD" w:rsidP="00F051C5">
      <w:pPr>
        <w:pStyle w:val="FootnoteText"/>
        <w:spacing w:line="240" w:lineRule="auto"/>
      </w:pPr>
      <w:r w:rsidRPr="00EA0390">
        <w:rPr>
          <w:rStyle w:val="FootnoteReference"/>
        </w:rPr>
        <w:footnoteRef/>
      </w:r>
      <w:r w:rsidRPr="00EA0390">
        <w:t xml:space="preserve"> </w:t>
      </w:r>
      <w:hyperlink r:id="rId3" w:history="1">
        <w:r w:rsidRPr="00EA0390">
          <w:rPr>
            <w:rStyle w:val="Hyperlink"/>
            <w:color w:val="auto"/>
            <w:u w:val="none"/>
          </w:rPr>
          <w:t>https://www.etymonline.com/search?q=crax</w:t>
        </w:r>
      </w:hyperlink>
      <w:r w:rsidRPr="00EA0390">
        <w:t xml:space="preserve">. Accessed </w:t>
      </w:r>
      <w:r w:rsidR="00D24AF1" w:rsidRPr="00EA0390">
        <w:t>25</w:t>
      </w:r>
      <w:r w:rsidRPr="00EA0390">
        <w:t xml:space="preserve"> </w:t>
      </w:r>
      <w:r w:rsidR="00D24AF1" w:rsidRPr="00EA0390">
        <w:t>May</w:t>
      </w:r>
      <w:r w:rsidRPr="00EA0390">
        <w:t> 2023.</w:t>
      </w:r>
    </w:p>
  </w:footnote>
  <w:footnote w:id="43">
    <w:p w14:paraId="04D8E4BC" w14:textId="77777777" w:rsidR="00503931" w:rsidRPr="00FD21E0" w:rsidRDefault="00503931" w:rsidP="002F7F8F">
      <w:pPr>
        <w:pStyle w:val="FootnoteText"/>
        <w:spacing w:line="240" w:lineRule="auto"/>
        <w:rPr>
          <w:iCs/>
        </w:rPr>
      </w:pPr>
      <w:r>
        <w:rPr>
          <w:rStyle w:val="FootnoteReference"/>
        </w:rPr>
        <w:footnoteRef/>
      </w:r>
      <w:r>
        <w:t xml:space="preserve"> As in </w:t>
      </w:r>
      <w:r w:rsidR="0097211A" w:rsidRPr="0097211A">
        <w:rPr>
          <w:i/>
          <w:lang w:val="pt-BR"/>
        </w:rPr>
        <w:t>Lucky Star</w:t>
      </w:r>
      <w:r w:rsidR="00FD21E0">
        <w:rPr>
          <w:iCs/>
          <w:lang w:val="pt-BR"/>
        </w:rPr>
        <w:t>.</w:t>
      </w:r>
    </w:p>
  </w:footnote>
  <w:footnote w:id="44">
    <w:p w14:paraId="0FCBBCEB" w14:textId="77777777" w:rsidR="0097211A" w:rsidRDefault="0097211A" w:rsidP="002F7F8F">
      <w:pPr>
        <w:pStyle w:val="FootnoteText"/>
        <w:spacing w:line="240" w:lineRule="auto"/>
      </w:pPr>
      <w:r>
        <w:rPr>
          <w:rStyle w:val="FootnoteReference"/>
        </w:rPr>
        <w:footnoteRef/>
      </w:r>
      <w:r>
        <w:t xml:space="preserve"> </w:t>
      </w:r>
      <w:r w:rsidR="00311AFB">
        <w:t xml:space="preserve">As in </w:t>
      </w:r>
      <w:r w:rsidR="00311AFB" w:rsidRPr="00311AFB">
        <w:rPr>
          <w:bCs/>
          <w:i/>
          <w:lang w:val="en-GB"/>
        </w:rPr>
        <w:t>Dinnermates (Tvl) CC v Piquante Brands International &amp; another</w:t>
      </w:r>
      <w:r w:rsidR="00311AFB" w:rsidRPr="00311AFB">
        <w:rPr>
          <w:bCs/>
          <w:lang w:val="en-GB"/>
        </w:rPr>
        <w:t xml:space="preserve"> [2018] ZASCA 43</w:t>
      </w:r>
      <w:r w:rsidR="00311AFB">
        <w:rPr>
          <w:bCs/>
          <w:lang w:val="en-GB"/>
        </w:rPr>
        <w:t>.</w:t>
      </w:r>
    </w:p>
  </w:footnote>
  <w:footnote w:id="45">
    <w:p w14:paraId="161B34D4" w14:textId="77777777" w:rsidR="00477785" w:rsidRPr="00477785" w:rsidRDefault="00477785" w:rsidP="002F7F8F">
      <w:pPr>
        <w:pStyle w:val="FootnoteText"/>
        <w:spacing w:line="240" w:lineRule="auto"/>
      </w:pPr>
      <w:r>
        <w:rPr>
          <w:rStyle w:val="FootnoteReference"/>
        </w:rPr>
        <w:footnoteRef/>
      </w:r>
      <w:r>
        <w:t xml:space="preserve"> As in </w:t>
      </w:r>
      <w:r w:rsidRPr="00477785">
        <w:rPr>
          <w:i/>
          <w:iCs/>
        </w:rPr>
        <w:t>Bata</w:t>
      </w:r>
      <w:r>
        <w:t>.</w:t>
      </w:r>
    </w:p>
  </w:footnote>
  <w:footnote w:id="46">
    <w:p w14:paraId="2CC657FF" w14:textId="77777777" w:rsidR="00477785" w:rsidRPr="00477785" w:rsidRDefault="00477785" w:rsidP="002F7F8F">
      <w:pPr>
        <w:pStyle w:val="FootnoteText"/>
        <w:spacing w:line="240" w:lineRule="auto"/>
      </w:pPr>
      <w:r>
        <w:rPr>
          <w:rStyle w:val="FootnoteReference"/>
        </w:rPr>
        <w:footnoteRef/>
      </w:r>
      <w:r>
        <w:t xml:space="preserve"> As in </w:t>
      </w:r>
      <w:r w:rsidRPr="00477785">
        <w:rPr>
          <w:i/>
          <w:iCs/>
        </w:rPr>
        <w:t>Yuppiechef</w:t>
      </w:r>
      <w:r>
        <w:t>.</w:t>
      </w:r>
    </w:p>
  </w:footnote>
  <w:footnote w:id="47">
    <w:p w14:paraId="22CAC60C" w14:textId="2AF35990" w:rsidR="004C6169" w:rsidRDefault="004C6169" w:rsidP="002F7F8F">
      <w:pPr>
        <w:pStyle w:val="FootnoteText"/>
        <w:spacing w:line="240" w:lineRule="auto"/>
      </w:pPr>
      <w:r>
        <w:rPr>
          <w:rStyle w:val="FootnoteReference"/>
        </w:rPr>
        <w:footnoteRef/>
      </w:r>
      <w:r>
        <w:t xml:space="preserve"> There has been criticism of </w:t>
      </w:r>
      <w:r w:rsidR="00CF5675">
        <w:t xml:space="preserve">some of </w:t>
      </w:r>
      <w:r>
        <w:t xml:space="preserve">these findings. See </w:t>
      </w:r>
      <w:r w:rsidR="00052F11">
        <w:t>C Job</w:t>
      </w:r>
      <w:r w:rsidR="004F2176">
        <w:t xml:space="preserve">: </w:t>
      </w:r>
      <w:r w:rsidR="004F2176" w:rsidRPr="004F2176">
        <w:t>‘</w:t>
      </w:r>
      <w:r w:rsidR="004F2176" w:rsidRPr="004F2176">
        <w:rPr>
          <w:i/>
          <w:iCs/>
        </w:rPr>
        <w:t>The Value Judgment Conundrum: A critical review of recent trade mark appeal decisions</w:t>
      </w:r>
      <w:r w:rsidR="004F2176" w:rsidRPr="004F2176">
        <w:t xml:space="preserve"> in South African Intellectual Property Law Journal (2017) p202 at </w:t>
      </w:r>
      <w:r w:rsidR="00F47569">
        <w:t>p</w:t>
      </w:r>
      <w:r w:rsidR="004F2176" w:rsidRPr="004F2176">
        <w:t>21</w:t>
      </w:r>
      <w:r w:rsidR="00F47569">
        <w:t>1-215</w:t>
      </w:r>
      <w:r w:rsidR="001957A9">
        <w:t xml:space="preserve">; Roshana Kelbrick and Coenraad Visser: </w:t>
      </w:r>
      <w:r w:rsidR="00AF1A30">
        <w:rPr>
          <w:i/>
          <w:iCs/>
        </w:rPr>
        <w:t>Intellectual Property Law</w:t>
      </w:r>
      <w:r w:rsidR="00AF1A30">
        <w:t xml:space="preserve"> in 2017 Annual Survey of South African Law</w:t>
      </w:r>
      <w:r w:rsidR="00425506">
        <w:t xml:space="preserve"> p658 at p</w:t>
      </w:r>
      <w:r w:rsidR="00437473">
        <w:t>670</w:t>
      </w:r>
      <w:r w:rsidR="004F2176" w:rsidRPr="004F2176">
        <w:t>.</w:t>
      </w:r>
    </w:p>
  </w:footnote>
  <w:footnote w:id="48">
    <w:p w14:paraId="6F9F098A" w14:textId="7BF8FEA6" w:rsidR="008F6C4C" w:rsidRPr="002F7F8F" w:rsidRDefault="008F6C4C" w:rsidP="002F7F8F">
      <w:pPr>
        <w:pStyle w:val="FootnoteText"/>
        <w:spacing w:line="240" w:lineRule="auto"/>
        <w:rPr>
          <w:lang w:val="en-US"/>
        </w:rPr>
      </w:pPr>
      <w:r>
        <w:rPr>
          <w:rStyle w:val="FootnoteReference"/>
        </w:rPr>
        <w:footnoteRef/>
      </w:r>
      <w:r>
        <w:t xml:space="preserve"> </w:t>
      </w:r>
      <w:r>
        <w:rPr>
          <w:i/>
          <w:iCs/>
        </w:rPr>
        <w:t xml:space="preserve">Yuppiechef </w:t>
      </w:r>
      <w:r>
        <w:t xml:space="preserve">para 38; </w:t>
      </w:r>
      <w:r w:rsidRPr="002F7F8F">
        <w:rPr>
          <w:i/>
          <w:iCs/>
        </w:rPr>
        <w:t>Quad Africa Energy (Pty) Ltd v The Sugarless Company (Pty) Ltd and Another</w:t>
      </w:r>
      <w:r w:rsidRPr="008F6C4C">
        <w:t xml:space="preserve"> [2020] ZASCA 37; [2020] 2 All SA 687 (SCA); 2020 (6) SA 90 (SCA); 2020 BIP 426 (SCA)</w:t>
      </w:r>
      <w:r>
        <w:t xml:space="preserve"> para 15.</w:t>
      </w:r>
    </w:p>
  </w:footnote>
  <w:footnote w:id="49">
    <w:p w14:paraId="7412DA5D" w14:textId="41B6C42D" w:rsidR="008F6C4C" w:rsidRPr="002F7F8F" w:rsidRDefault="008F6C4C" w:rsidP="002F7F8F">
      <w:pPr>
        <w:pStyle w:val="FootnoteText"/>
        <w:spacing w:line="240" w:lineRule="auto"/>
      </w:pPr>
      <w:r>
        <w:rPr>
          <w:rStyle w:val="FootnoteReference"/>
        </w:rPr>
        <w:footnoteRef/>
      </w:r>
      <w:r>
        <w:t xml:space="preserve"> </w:t>
      </w:r>
      <w:r w:rsidR="009D33DE">
        <w:rPr>
          <w:i/>
          <w:iCs/>
          <w:lang w:val="en-US"/>
        </w:rPr>
        <w:t xml:space="preserve">Cochrane Steel Products (Pty) Ltd v M-Systems Group </w:t>
      </w:r>
      <w:r w:rsidR="009D33DE">
        <w:rPr>
          <w:lang w:val="en-US"/>
        </w:rPr>
        <w:t>[2017] ZASCA 189 para 21.</w:t>
      </w:r>
    </w:p>
  </w:footnote>
  <w:footnote w:id="50">
    <w:p w14:paraId="502AA734" w14:textId="5F7CF2B6" w:rsidR="006768A2" w:rsidRDefault="006768A2" w:rsidP="007356C4">
      <w:pPr>
        <w:pStyle w:val="FootnoteText"/>
        <w:spacing w:line="240" w:lineRule="auto"/>
      </w:pPr>
      <w:r>
        <w:rPr>
          <w:rStyle w:val="FootnoteReference"/>
        </w:rPr>
        <w:footnoteRef/>
      </w:r>
      <w:r>
        <w:t xml:space="preserve"> </w:t>
      </w:r>
      <w:r w:rsidRPr="006768A2">
        <w:rPr>
          <w:bCs/>
          <w:i/>
          <w:iCs/>
        </w:rPr>
        <w:t>American Chewing Products Corporation v American Chicle Company</w:t>
      </w:r>
      <w:r w:rsidRPr="006768A2">
        <w:rPr>
          <w:bCs/>
        </w:rPr>
        <w:t xml:space="preserve"> 1948 (2) SA 736 (A)</w:t>
      </w:r>
      <w:r>
        <w:rPr>
          <w:bCs/>
        </w:rPr>
        <w:t>.</w:t>
      </w:r>
    </w:p>
  </w:footnote>
  <w:footnote w:id="51">
    <w:p w14:paraId="0F5D605E" w14:textId="39C32B11" w:rsidR="009F1B25" w:rsidRPr="0001125D" w:rsidRDefault="009F1B25" w:rsidP="007356C4">
      <w:pPr>
        <w:pStyle w:val="FootnoteText"/>
        <w:spacing w:line="240" w:lineRule="auto"/>
      </w:pPr>
      <w:r>
        <w:rPr>
          <w:rStyle w:val="FootnoteReference"/>
        </w:rPr>
        <w:footnoteRef/>
      </w:r>
      <w:r>
        <w:t xml:space="preserve"> </w:t>
      </w:r>
      <w:r w:rsidR="00567949" w:rsidRPr="00567949">
        <w:rPr>
          <w:bCs/>
          <w:i/>
          <w:iCs/>
        </w:rPr>
        <w:t>Century City Apartments Property Services CC and Another v Century City Property Owners' Association</w:t>
      </w:r>
      <w:r w:rsidR="0033138C">
        <w:rPr>
          <w:bCs/>
          <w:i/>
          <w:iCs/>
        </w:rPr>
        <w:t xml:space="preserve"> </w:t>
      </w:r>
      <w:r w:rsidR="0033138C">
        <w:rPr>
          <w:bCs/>
        </w:rPr>
        <w:t>[2009] ZASCA 157;</w:t>
      </w:r>
      <w:r w:rsidR="00567949" w:rsidRPr="00567949">
        <w:rPr>
          <w:bCs/>
        </w:rPr>
        <w:t xml:space="preserve"> </w:t>
      </w:r>
      <w:r w:rsidR="0001125D" w:rsidRPr="0001125D">
        <w:t>2010 (3) SA 1 (SCA)</w:t>
      </w:r>
      <w:r w:rsidR="0033138C">
        <w:t>; [2010] 2 All SA 409 (SCA)</w:t>
      </w:r>
      <w:r w:rsidR="0001125D">
        <w:t xml:space="preserve"> </w:t>
      </w:r>
      <w:r w:rsidR="00077397">
        <w:t>para 13.</w:t>
      </w:r>
    </w:p>
  </w:footnote>
  <w:footnote w:id="52">
    <w:p w14:paraId="0C46ADE6" w14:textId="77777777" w:rsidR="004E3820" w:rsidRDefault="004E3820" w:rsidP="007356C4">
      <w:pPr>
        <w:pStyle w:val="FootnoteText"/>
        <w:spacing w:line="240" w:lineRule="auto"/>
      </w:pPr>
      <w:r>
        <w:rPr>
          <w:rStyle w:val="FootnoteReference"/>
        </w:rPr>
        <w:footnoteRef/>
      </w:r>
      <w:r>
        <w:t xml:space="preserve"> </w:t>
      </w:r>
      <w:r w:rsidR="008E0EA9" w:rsidRPr="008E0EA9">
        <w:rPr>
          <w:bCs/>
          <w:i/>
          <w:iCs/>
        </w:rPr>
        <w:t>Orange</w:t>
      </w:r>
      <w:r w:rsidR="008E0EA9" w:rsidRPr="005A2126">
        <w:rPr>
          <w:bCs/>
          <w:i/>
          <w:iCs/>
        </w:rPr>
        <w:t xml:space="preserve"> Brand</w:t>
      </w:r>
      <w:r w:rsidR="005A2126">
        <w:rPr>
          <w:bCs/>
        </w:rPr>
        <w:t xml:space="preserve"> </w:t>
      </w:r>
      <w:r w:rsidR="00A96132" w:rsidRPr="005A2126">
        <w:t>para</w:t>
      </w:r>
      <w:r w:rsidR="00A96132">
        <w:t xml:space="preserve"> 16.</w:t>
      </w:r>
    </w:p>
  </w:footnote>
  <w:footnote w:id="53">
    <w:p w14:paraId="0E8A096E" w14:textId="44323D61" w:rsidR="0013080D" w:rsidRPr="0013080D" w:rsidRDefault="0013080D" w:rsidP="000D2C67">
      <w:pPr>
        <w:pStyle w:val="FootnoteText"/>
        <w:spacing w:line="240" w:lineRule="auto"/>
      </w:pPr>
      <w:r>
        <w:rPr>
          <w:rStyle w:val="FootnoteReference"/>
        </w:rPr>
        <w:footnoteRef/>
      </w:r>
      <w:r>
        <w:t xml:space="preserve"> </w:t>
      </w:r>
      <w:r>
        <w:rPr>
          <w:i/>
          <w:iCs/>
        </w:rPr>
        <w:t>Broadhead’s Applicati</w:t>
      </w:r>
      <w:r w:rsidRPr="00157E20">
        <w:rPr>
          <w:i/>
          <w:iCs/>
        </w:rPr>
        <w:t>on</w:t>
      </w:r>
      <w:r w:rsidRPr="001B4D96">
        <w:rPr>
          <w:i/>
          <w:iCs/>
        </w:rPr>
        <w:t xml:space="preserve"> </w:t>
      </w:r>
      <w:r w:rsidR="00157E20" w:rsidRPr="001B4D96">
        <w:rPr>
          <w:i/>
          <w:iCs/>
        </w:rPr>
        <w:t>for Registration of a Trade Mark</w:t>
      </w:r>
      <w:r w:rsidR="00157E20">
        <w:t xml:space="preserve"> </w:t>
      </w:r>
      <w:r>
        <w:t>(1950) 67</w:t>
      </w:r>
      <w:r w:rsidRPr="0013080D">
        <w:t xml:space="preserve"> </w:t>
      </w:r>
      <w:r>
        <w:t>RPC 209 at 217.</w:t>
      </w:r>
    </w:p>
  </w:footnote>
  <w:footnote w:id="54">
    <w:p w14:paraId="60986F44" w14:textId="541D7021" w:rsidR="008103E4" w:rsidRDefault="008103E4" w:rsidP="000D2C67">
      <w:pPr>
        <w:pStyle w:val="FootnoteText"/>
        <w:spacing w:line="240" w:lineRule="auto"/>
      </w:pPr>
      <w:r>
        <w:rPr>
          <w:rStyle w:val="FootnoteReference"/>
        </w:rPr>
        <w:footnoteRef/>
      </w:r>
      <w:r>
        <w:t xml:space="preserve"> </w:t>
      </w:r>
      <w:r w:rsidR="002E6744" w:rsidRPr="00C904F3">
        <w:rPr>
          <w:i/>
          <w:iCs/>
        </w:rPr>
        <w:t>A</w:t>
      </w:r>
      <w:r w:rsidR="002E6744" w:rsidRPr="008F2237">
        <w:rPr>
          <w:i/>
          <w:iCs/>
        </w:rPr>
        <w:t>dcock</w:t>
      </w:r>
      <w:r w:rsidR="002E6744" w:rsidRPr="00C904F3">
        <w:rPr>
          <w:i/>
          <w:iCs/>
        </w:rPr>
        <w:t xml:space="preserve"> I</w:t>
      </w:r>
      <w:r w:rsidR="002E6744" w:rsidRPr="008F2237">
        <w:rPr>
          <w:i/>
          <w:iCs/>
        </w:rPr>
        <w:t>ngram</w:t>
      </w:r>
      <w:r w:rsidR="002E6744" w:rsidRPr="00C904F3">
        <w:rPr>
          <w:i/>
          <w:iCs/>
        </w:rPr>
        <w:t xml:space="preserve"> I</w:t>
      </w:r>
      <w:r w:rsidR="002E6744" w:rsidRPr="008F2237">
        <w:rPr>
          <w:i/>
          <w:iCs/>
        </w:rPr>
        <w:t>ntellectual</w:t>
      </w:r>
      <w:r w:rsidR="002E6744" w:rsidRPr="00C904F3">
        <w:rPr>
          <w:i/>
          <w:iCs/>
        </w:rPr>
        <w:t xml:space="preserve"> P</w:t>
      </w:r>
      <w:r w:rsidR="002E6744" w:rsidRPr="008F2237">
        <w:rPr>
          <w:i/>
          <w:iCs/>
        </w:rPr>
        <w:t xml:space="preserve">roperty </w:t>
      </w:r>
      <w:r w:rsidR="002E6744" w:rsidRPr="00C904F3">
        <w:rPr>
          <w:i/>
          <w:iCs/>
        </w:rPr>
        <w:t>(P</w:t>
      </w:r>
      <w:r w:rsidR="008F2237" w:rsidRPr="008F2237">
        <w:rPr>
          <w:i/>
          <w:iCs/>
        </w:rPr>
        <w:t>ty</w:t>
      </w:r>
      <w:r w:rsidR="002E6744" w:rsidRPr="00C904F3">
        <w:rPr>
          <w:i/>
          <w:iCs/>
        </w:rPr>
        <w:t>) L</w:t>
      </w:r>
      <w:r w:rsidR="008F2237" w:rsidRPr="008F2237">
        <w:rPr>
          <w:i/>
          <w:iCs/>
        </w:rPr>
        <w:t>td</w:t>
      </w:r>
      <w:r w:rsidR="002E6744" w:rsidRPr="00C904F3">
        <w:rPr>
          <w:i/>
          <w:iCs/>
        </w:rPr>
        <w:t xml:space="preserve"> </w:t>
      </w:r>
      <w:r w:rsidR="008F2237" w:rsidRPr="008F2237">
        <w:rPr>
          <w:i/>
          <w:iCs/>
        </w:rPr>
        <w:t>and</w:t>
      </w:r>
      <w:r w:rsidR="002E6744" w:rsidRPr="00C904F3">
        <w:rPr>
          <w:i/>
          <w:iCs/>
        </w:rPr>
        <w:t xml:space="preserve"> A</w:t>
      </w:r>
      <w:r w:rsidR="008F2237" w:rsidRPr="008F2237">
        <w:rPr>
          <w:i/>
          <w:iCs/>
        </w:rPr>
        <w:t>nother</w:t>
      </w:r>
      <w:r w:rsidR="002E6744" w:rsidRPr="00C904F3">
        <w:rPr>
          <w:i/>
          <w:iCs/>
        </w:rPr>
        <w:t xml:space="preserve"> v C</w:t>
      </w:r>
      <w:r w:rsidR="00FD3C67">
        <w:rPr>
          <w:i/>
          <w:iCs/>
        </w:rPr>
        <w:t>ipla</w:t>
      </w:r>
      <w:r w:rsidR="002E6744" w:rsidRPr="00C904F3">
        <w:rPr>
          <w:i/>
          <w:iCs/>
        </w:rPr>
        <w:t xml:space="preserve"> M</w:t>
      </w:r>
      <w:r w:rsidR="008F2237" w:rsidRPr="008F2237">
        <w:rPr>
          <w:i/>
          <w:iCs/>
        </w:rPr>
        <w:t>edpro</w:t>
      </w:r>
      <w:r w:rsidR="002E6744" w:rsidRPr="00C904F3">
        <w:rPr>
          <w:i/>
          <w:iCs/>
        </w:rPr>
        <w:t xml:space="preserve"> (P</w:t>
      </w:r>
      <w:r w:rsidR="008F2237" w:rsidRPr="008F2237">
        <w:rPr>
          <w:i/>
          <w:iCs/>
        </w:rPr>
        <w:t>ty</w:t>
      </w:r>
      <w:r w:rsidR="002E6744" w:rsidRPr="00C904F3">
        <w:rPr>
          <w:i/>
          <w:iCs/>
        </w:rPr>
        <w:t>) L</w:t>
      </w:r>
      <w:r w:rsidR="008F2237" w:rsidRPr="008F2237">
        <w:rPr>
          <w:i/>
          <w:iCs/>
        </w:rPr>
        <w:t>td</w:t>
      </w:r>
      <w:r w:rsidR="002E6744" w:rsidRPr="00C904F3">
        <w:rPr>
          <w:i/>
          <w:iCs/>
        </w:rPr>
        <w:t xml:space="preserve"> </w:t>
      </w:r>
      <w:r w:rsidR="008F2237" w:rsidRPr="008F2237">
        <w:rPr>
          <w:i/>
          <w:iCs/>
        </w:rPr>
        <w:t>and</w:t>
      </w:r>
      <w:r w:rsidR="002E6744" w:rsidRPr="00C904F3">
        <w:rPr>
          <w:i/>
          <w:iCs/>
        </w:rPr>
        <w:t xml:space="preserve"> A</w:t>
      </w:r>
      <w:r w:rsidR="008F2237" w:rsidRPr="008F2237">
        <w:rPr>
          <w:i/>
          <w:iCs/>
        </w:rPr>
        <w:t>nother</w:t>
      </w:r>
      <w:r w:rsidR="002E6744" w:rsidRPr="00C904F3">
        <w:t xml:space="preserve"> </w:t>
      </w:r>
      <w:r w:rsidR="00157E20">
        <w:t xml:space="preserve">[2012] ZASCA 39; </w:t>
      </w:r>
      <w:r w:rsidR="002E6744" w:rsidRPr="00C904F3">
        <w:t>2012 (4) SA 238 (SCA</w:t>
      </w:r>
      <w:r w:rsidR="008F2237">
        <w:t>)</w:t>
      </w:r>
      <w:r w:rsidR="00157E20">
        <w:t>; [2012] 3 All SA 1 (SCA)</w:t>
      </w:r>
      <w:r w:rsidR="008F2237">
        <w:t xml:space="preserve"> para 31.</w:t>
      </w:r>
    </w:p>
  </w:footnote>
  <w:footnote w:id="55">
    <w:p w14:paraId="52F16748" w14:textId="77777777" w:rsidR="003404FD" w:rsidRDefault="003404FD" w:rsidP="000D2C67">
      <w:pPr>
        <w:pStyle w:val="FootnoteText"/>
        <w:spacing w:line="240" w:lineRule="auto"/>
      </w:pPr>
      <w:r>
        <w:rPr>
          <w:rStyle w:val="FootnoteReference"/>
        </w:rPr>
        <w:footnoteRef/>
      </w:r>
      <w:r>
        <w:t xml:space="preserve"> </w:t>
      </w:r>
      <w:bookmarkStart w:id="20" w:name="_Hlk135916378"/>
      <w:r w:rsidRPr="00684A8F">
        <w:rPr>
          <w:bCs/>
          <w:i/>
        </w:rPr>
        <w:t>PepsiCo</w:t>
      </w:r>
      <w:r w:rsidRPr="00684A8F">
        <w:rPr>
          <w:bCs/>
        </w:rPr>
        <w:t xml:space="preserve"> </w:t>
      </w:r>
      <w:r w:rsidR="00763261">
        <w:rPr>
          <w:bCs/>
        </w:rPr>
        <w:t>para</w:t>
      </w:r>
      <w:r w:rsidR="00E634EE">
        <w:rPr>
          <w:bCs/>
        </w:rPr>
        <w:t xml:space="preserve"> </w:t>
      </w:r>
      <w:r w:rsidR="00F1159C">
        <w:rPr>
          <w:bCs/>
        </w:rPr>
        <w:t>27</w:t>
      </w:r>
      <w:r>
        <w:rPr>
          <w:bCs/>
        </w:rPr>
        <w:t>.</w:t>
      </w:r>
      <w:bookmarkEnd w:id="20"/>
      <w:r w:rsidR="00F1159C">
        <w:rPr>
          <w:bCs/>
        </w:rPr>
        <w:t xml:space="preserve"> I am aware that the</w:t>
      </w:r>
      <w:r w:rsidR="004B1272">
        <w:rPr>
          <w:bCs/>
        </w:rPr>
        <w:t xml:space="preserve"> matters are not on all fours </w:t>
      </w:r>
      <w:r w:rsidR="00F1159C">
        <w:rPr>
          <w:bCs/>
        </w:rPr>
        <w:t xml:space="preserve">because TWIST was on the register. It is the prominence </w:t>
      </w:r>
      <w:r w:rsidR="004B1272">
        <w:rPr>
          <w:bCs/>
        </w:rPr>
        <w:t xml:space="preserve">of the distinctive feature </w:t>
      </w:r>
      <w:r w:rsidR="00F1159C">
        <w:rPr>
          <w:bCs/>
        </w:rPr>
        <w:t>that is similar.</w:t>
      </w:r>
    </w:p>
  </w:footnote>
  <w:footnote w:id="56">
    <w:p w14:paraId="12141E5C" w14:textId="77777777" w:rsidR="00024885" w:rsidRDefault="00024885" w:rsidP="000D2C67">
      <w:pPr>
        <w:pStyle w:val="FootnoteText"/>
        <w:spacing w:line="240" w:lineRule="auto"/>
      </w:pPr>
      <w:r>
        <w:rPr>
          <w:rStyle w:val="FootnoteReference"/>
        </w:rPr>
        <w:footnoteRef/>
      </w:r>
      <w:r>
        <w:t xml:space="preserve"> </w:t>
      </w:r>
      <w:r w:rsidRPr="00024885">
        <w:rPr>
          <w:i/>
        </w:rPr>
        <w:t xml:space="preserve">Distell Ltd v KZN Wines and Spirits CC </w:t>
      </w:r>
      <w:r w:rsidRPr="00024885">
        <w:t>[2016] ZASCA 18 para 10.</w:t>
      </w:r>
    </w:p>
  </w:footnote>
  <w:footnote w:id="57">
    <w:p w14:paraId="6AADBC6C" w14:textId="0D9BF73A" w:rsidR="0073609E" w:rsidRPr="0012038D" w:rsidRDefault="0073609E" w:rsidP="002B3AA7">
      <w:pPr>
        <w:pStyle w:val="FootnoteText"/>
        <w:spacing w:line="240" w:lineRule="auto"/>
      </w:pPr>
      <w:r>
        <w:rPr>
          <w:rStyle w:val="FootnoteReference"/>
        </w:rPr>
        <w:footnoteRef/>
      </w:r>
      <w:r>
        <w:t xml:space="preserve"> </w:t>
      </w:r>
      <w:r w:rsidRPr="0012038D">
        <w:rPr>
          <w:i/>
          <w:iCs/>
          <w:lang w:val="en-US"/>
        </w:rPr>
        <w:t xml:space="preserve">Tripcastroid </w:t>
      </w:r>
      <w:r w:rsidRPr="0012038D">
        <w:rPr>
          <w:lang w:val="en-US"/>
        </w:rPr>
        <w:t xml:space="preserve">[1925] RPC 264 cited in </w:t>
      </w:r>
      <w:r w:rsidRPr="0012038D">
        <w:rPr>
          <w:i/>
          <w:iCs/>
          <w:lang w:val="en-US"/>
        </w:rPr>
        <w:t xml:space="preserve">In the matter of </w:t>
      </w:r>
      <w:r w:rsidR="00216BCB" w:rsidRPr="0012038D">
        <w:rPr>
          <w:i/>
          <w:iCs/>
          <w:lang w:val="en-US"/>
        </w:rPr>
        <w:t>Trade Mark application m1553108 by Flexiform Business Furniture to Register the Mark Flexilink</w:t>
      </w:r>
      <w:r w:rsidR="0032358B" w:rsidRPr="0012038D">
        <w:rPr>
          <w:i/>
          <w:iCs/>
          <w:sz w:val="24"/>
          <w:szCs w:val="24"/>
          <w:lang w:val="en-US"/>
        </w:rPr>
        <w:t xml:space="preserve"> </w:t>
      </w:r>
      <w:r w:rsidR="0032358B" w:rsidRPr="0012038D">
        <w:rPr>
          <w:i/>
          <w:iCs/>
          <w:lang w:val="en-US"/>
        </w:rPr>
        <w:t>and In the matter of Opposition Thereto Under Opposition m 42604 by Wagon Storage Products Ltd  https://www.ipo.gov.uk/t-challenge-decision-results/o05399.pdf</w:t>
      </w:r>
      <w:r w:rsidR="00F6158E" w:rsidRPr="0012038D">
        <w:rPr>
          <w:lang w:val="en-US"/>
        </w:rPr>
        <w:t>.</w:t>
      </w:r>
      <w:r w:rsidR="00216BCB" w:rsidRPr="0012038D">
        <w:rPr>
          <w:i/>
          <w:iCs/>
          <w:lang w:val="en-US"/>
        </w:rPr>
        <w:t xml:space="preserve"> </w:t>
      </w:r>
      <w:r w:rsidR="0012038D">
        <w:rPr>
          <w:lang w:val="en-US"/>
        </w:rPr>
        <w:t>Accessed 6 June 2023.</w:t>
      </w:r>
    </w:p>
  </w:footnote>
  <w:footnote w:id="58">
    <w:p w14:paraId="5826750D" w14:textId="3CB79F27" w:rsidR="009F4FFD" w:rsidRDefault="009F4FFD" w:rsidP="00DA4A52">
      <w:pPr>
        <w:pStyle w:val="FootnoteText"/>
        <w:spacing w:line="240" w:lineRule="auto"/>
      </w:pPr>
      <w:r w:rsidRPr="0012038D">
        <w:rPr>
          <w:rStyle w:val="FootnoteReference"/>
        </w:rPr>
        <w:footnoteRef/>
      </w:r>
      <w:r w:rsidRPr="0012038D">
        <w:t xml:space="preserve"> </w:t>
      </w:r>
      <w:r w:rsidR="00DA4A52" w:rsidRPr="0012038D">
        <w:rPr>
          <w:i/>
          <w:iCs/>
          <w:lang w:val="en-US"/>
        </w:rPr>
        <w:t xml:space="preserve">Ravenhead Brick Co v Ruabon Brick &amp; Terra Cotta Co. Ltd </w:t>
      </w:r>
      <w:r w:rsidR="00DA4A52" w:rsidRPr="0012038D">
        <w:rPr>
          <w:lang w:val="en-US"/>
        </w:rPr>
        <w:t xml:space="preserve">[1937 RPC 341 also cited in </w:t>
      </w:r>
      <w:r w:rsidR="00DA4A52" w:rsidRPr="0012038D">
        <w:rPr>
          <w:i/>
          <w:iCs/>
          <w:lang w:val="en-US"/>
        </w:rPr>
        <w:t>Flexilink</w:t>
      </w:r>
      <w:r w:rsidR="00DA4A52" w:rsidRPr="0012038D">
        <w:rPr>
          <w:lang w:val="en-US"/>
        </w:rPr>
        <w:t xml:space="preserve"> fn 56 above.</w:t>
      </w:r>
    </w:p>
  </w:footnote>
  <w:footnote w:id="59">
    <w:p w14:paraId="28DD63CC" w14:textId="5B456562" w:rsidR="00100DFD" w:rsidRDefault="00100DFD" w:rsidP="00DA4A52">
      <w:pPr>
        <w:pStyle w:val="FootnoteText"/>
        <w:spacing w:line="240" w:lineRule="auto"/>
      </w:pPr>
      <w:r>
        <w:rPr>
          <w:rStyle w:val="FootnoteReference"/>
        </w:rPr>
        <w:footnoteRef/>
      </w:r>
      <w:r>
        <w:t xml:space="preserve"> </w:t>
      </w:r>
      <w:r w:rsidRPr="00487C18">
        <w:rPr>
          <w:i/>
          <w:iCs/>
        </w:rPr>
        <w:t>Cowbell AG v ICS Holdings Ltd</w:t>
      </w:r>
      <w:r w:rsidRPr="00487C18">
        <w:t xml:space="preserve"> </w:t>
      </w:r>
      <w:r w:rsidR="00E346AB">
        <w:t xml:space="preserve">[2001] ZASCA 18; </w:t>
      </w:r>
      <w:r w:rsidRPr="00487C18">
        <w:t>2001 (3) SA 941 (SCA)</w:t>
      </w:r>
      <w:r>
        <w:t xml:space="preserve">; </w:t>
      </w:r>
      <w:r w:rsidRPr="00487C18">
        <w:t>[2001] 4 All SA 242 para 10.</w:t>
      </w:r>
    </w:p>
  </w:footnote>
  <w:footnote w:id="60">
    <w:p w14:paraId="504A61AD" w14:textId="77777777" w:rsidR="00064AEE" w:rsidRDefault="00064AEE" w:rsidP="00B470F7">
      <w:pPr>
        <w:pStyle w:val="FootnoteText"/>
        <w:spacing w:line="240" w:lineRule="auto"/>
      </w:pPr>
      <w:r>
        <w:rPr>
          <w:rStyle w:val="FootnoteReference"/>
        </w:rPr>
        <w:footnoteRef/>
      </w:r>
      <w:r>
        <w:t xml:space="preserve"> </w:t>
      </w:r>
      <w:r w:rsidRPr="005A6E17">
        <w:rPr>
          <w:i/>
          <w:iCs/>
        </w:rPr>
        <w:t>Verimark</w:t>
      </w:r>
      <w:r>
        <w:t xml:space="preserve"> para</w:t>
      </w:r>
      <w:r w:rsidR="005A6E17">
        <w:t xml:space="preserve"> 14.</w:t>
      </w:r>
    </w:p>
  </w:footnote>
  <w:footnote w:id="61">
    <w:p w14:paraId="5091F826" w14:textId="13DB17FA" w:rsidR="00945B95" w:rsidRDefault="00945B95" w:rsidP="00EF2C09">
      <w:pPr>
        <w:pStyle w:val="FootnoteText"/>
        <w:spacing w:line="240" w:lineRule="auto"/>
      </w:pPr>
      <w:r>
        <w:rPr>
          <w:rStyle w:val="FootnoteReference"/>
        </w:rPr>
        <w:footnoteRef/>
      </w:r>
      <w:r>
        <w:t xml:space="preserve"> </w:t>
      </w:r>
      <w:r w:rsidR="00FD187C">
        <w:t xml:space="preserve">Ibid, </w:t>
      </w:r>
      <w:r>
        <w:t>Harms JA said:</w:t>
      </w:r>
    </w:p>
    <w:p w14:paraId="0AE99C87" w14:textId="77777777" w:rsidR="00945B95" w:rsidRDefault="00A32860" w:rsidP="00EF2C09">
      <w:pPr>
        <w:pStyle w:val="FootnoteText"/>
        <w:spacing w:line="240" w:lineRule="auto"/>
      </w:pPr>
      <w:r>
        <w:t>‘</w:t>
      </w:r>
      <w:r w:rsidR="00EF2C09" w:rsidRPr="00EF2C09">
        <w:t>The following points made by Lord Menzies with reference to a number of authorities are in this context apposite:</w:t>
      </w:r>
      <w:bookmarkStart w:id="21" w:name="0-0-0-361383"/>
      <w:bookmarkEnd w:id="21"/>
      <w:r w:rsidR="004E24BF">
        <w:t xml:space="preserve"> . . .</w:t>
      </w:r>
      <w:r w:rsidR="00EF2C09" w:rsidRPr="00EF2C09">
        <w:t xml:space="preserve"> that the unfair advantage or the detriment must be properly substantiated or established to the satisfaction of the Court: the Court must be satisfied by evidence of actual detriment, or of unfair advantage.</w:t>
      </w:r>
      <w:r w:rsidR="004E24BF">
        <w:t>’</w:t>
      </w:r>
    </w:p>
  </w:footnote>
  <w:footnote w:id="62">
    <w:p w14:paraId="3F26AEE6" w14:textId="77777777" w:rsidR="005769C2" w:rsidRPr="00360A6E" w:rsidRDefault="005769C2" w:rsidP="00EF2C09">
      <w:pPr>
        <w:pStyle w:val="FootnoteText"/>
        <w:spacing w:line="240" w:lineRule="auto"/>
      </w:pPr>
      <w:r>
        <w:rPr>
          <w:rStyle w:val="FootnoteReference"/>
        </w:rPr>
        <w:footnoteRef/>
      </w:r>
      <w:r>
        <w:t xml:space="preserve"> </w:t>
      </w:r>
      <w:r w:rsidR="00360A6E">
        <w:t>Footnote 21 of</w:t>
      </w:r>
      <w:r w:rsidR="00360A6E" w:rsidRPr="00360A6E">
        <w:t xml:space="preserve"> </w:t>
      </w:r>
      <w:r w:rsidR="00360A6E" w:rsidRPr="00360A6E">
        <w:rPr>
          <w:i/>
          <w:iCs/>
        </w:rPr>
        <w:t>Verimark</w:t>
      </w:r>
      <w:r w:rsidR="00360A6E">
        <w:t>.</w:t>
      </w:r>
    </w:p>
  </w:footnote>
  <w:footnote w:id="63">
    <w:p w14:paraId="4A108ED0" w14:textId="77777777" w:rsidR="0016082E" w:rsidRDefault="0016082E" w:rsidP="0016082E">
      <w:pPr>
        <w:pStyle w:val="FootnoteText"/>
        <w:spacing w:line="240" w:lineRule="auto"/>
      </w:pPr>
      <w:r>
        <w:rPr>
          <w:rStyle w:val="FootnoteReference"/>
        </w:rPr>
        <w:footnoteRef/>
      </w:r>
      <w:r>
        <w:t xml:space="preserve"> See </w:t>
      </w:r>
      <w:r w:rsidRPr="00360A6E">
        <w:rPr>
          <w:i/>
          <w:iCs/>
        </w:rPr>
        <w:t>Laugh It Off</w:t>
      </w:r>
      <w:r>
        <w:t xml:space="preserve"> CC para 54.</w:t>
      </w:r>
    </w:p>
  </w:footnote>
  <w:footnote w:id="64">
    <w:p w14:paraId="5488BF4B" w14:textId="3F0BE8DF" w:rsidR="00322BD8" w:rsidRDefault="00322BD8" w:rsidP="00210A75">
      <w:pPr>
        <w:pStyle w:val="FootnoteText"/>
        <w:spacing w:line="240" w:lineRule="auto"/>
      </w:pPr>
      <w:r>
        <w:rPr>
          <w:rStyle w:val="FootnoteReference"/>
        </w:rPr>
        <w:footnoteRef/>
      </w:r>
      <w:r>
        <w:t xml:space="preserve"> </w:t>
      </w:r>
      <w:r w:rsidRPr="00210A75">
        <w:rPr>
          <w:i/>
          <w:iCs/>
        </w:rPr>
        <w:t>Pfizer</w:t>
      </w:r>
      <w:r w:rsidR="00947D22">
        <w:rPr>
          <w:i/>
          <w:iCs/>
        </w:rPr>
        <w:t xml:space="preserve"> Ltd</w:t>
      </w:r>
      <w:r w:rsidRPr="00210A75">
        <w:rPr>
          <w:i/>
          <w:iCs/>
        </w:rPr>
        <w:t xml:space="preserve"> and Pfizer Incorporated v Eurofood Link (United Kingdom</w:t>
      </w:r>
      <w:r>
        <w:rPr>
          <w:i/>
          <w:iCs/>
        </w:rPr>
        <w:t>)</w:t>
      </w:r>
      <w:r w:rsidRPr="00210A75">
        <w:rPr>
          <w:i/>
          <w:iCs/>
        </w:rPr>
        <w:t xml:space="preserve"> Ltd</w:t>
      </w:r>
      <w:r>
        <w:t xml:space="preserve"> [2000] FSR 767.</w:t>
      </w:r>
    </w:p>
  </w:footnote>
  <w:footnote w:id="65">
    <w:p w14:paraId="286D332C" w14:textId="4436D8D7" w:rsidR="00322BD8" w:rsidRDefault="00322BD8" w:rsidP="00210A75">
      <w:pPr>
        <w:pStyle w:val="FootnoteText"/>
        <w:spacing w:line="240" w:lineRule="auto"/>
      </w:pPr>
      <w:r>
        <w:rPr>
          <w:rStyle w:val="FootnoteReference"/>
        </w:rPr>
        <w:footnoteRef/>
      </w:r>
      <w:r>
        <w:t xml:space="preserve"> </w:t>
      </w:r>
      <w:r w:rsidRPr="00210A75">
        <w:rPr>
          <w:i/>
          <w:iCs/>
        </w:rPr>
        <w:t>Laugh It Off</w:t>
      </w:r>
      <w:r>
        <w:t xml:space="preserve"> CC para 39</w:t>
      </w:r>
      <w:r w:rsidR="00210A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99CC" w14:textId="77777777"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7DC89" w14:textId="77777777" w:rsidR="00083490" w:rsidRDefault="00083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ABCE" w14:textId="3445DD85"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B32">
      <w:rPr>
        <w:rStyle w:val="PageNumber"/>
        <w:noProof/>
      </w:rPr>
      <w:t>2</w:t>
    </w:r>
    <w:r>
      <w:rPr>
        <w:rStyle w:val="PageNumber"/>
      </w:rPr>
      <w:fldChar w:fldCharType="end"/>
    </w:r>
  </w:p>
  <w:p w14:paraId="7E8BD5CC" w14:textId="77777777" w:rsidR="00083490" w:rsidRDefault="000834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FE7929"/>
    <w:multiLevelType w:val="hybridMultilevel"/>
    <w:tmpl w:val="D7DA6090"/>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3"/>
  </w:num>
  <w:num w:numId="3">
    <w:abstractNumId w:val="2"/>
  </w:num>
  <w:num w:numId="4">
    <w:abstractNumId w:val="9"/>
  </w:num>
  <w:num w:numId="5">
    <w:abstractNumId w:val="13"/>
  </w:num>
  <w:num w:numId="6">
    <w:abstractNumId w:val="17"/>
  </w:num>
  <w:num w:numId="7">
    <w:abstractNumId w:val="11"/>
  </w:num>
  <w:num w:numId="8">
    <w:abstractNumId w:val="21"/>
  </w:num>
  <w:num w:numId="9">
    <w:abstractNumId w:val="22"/>
  </w:num>
  <w:num w:numId="10">
    <w:abstractNumId w:val="7"/>
  </w:num>
  <w:num w:numId="11">
    <w:abstractNumId w:val="31"/>
  </w:num>
  <w:num w:numId="12">
    <w:abstractNumId w:val="18"/>
  </w:num>
  <w:num w:numId="13">
    <w:abstractNumId w:val="32"/>
  </w:num>
  <w:num w:numId="14">
    <w:abstractNumId w:val="36"/>
  </w:num>
  <w:num w:numId="15">
    <w:abstractNumId w:val="5"/>
  </w:num>
  <w:num w:numId="16">
    <w:abstractNumId w:val="19"/>
  </w:num>
  <w:num w:numId="17">
    <w:abstractNumId w:val="12"/>
  </w:num>
  <w:num w:numId="18">
    <w:abstractNumId w:val="27"/>
  </w:num>
  <w:num w:numId="19">
    <w:abstractNumId w:val="25"/>
  </w:num>
  <w:num w:numId="20">
    <w:abstractNumId w:val="28"/>
  </w:num>
  <w:num w:numId="21">
    <w:abstractNumId w:val="0"/>
  </w:num>
  <w:num w:numId="22">
    <w:abstractNumId w:val="35"/>
  </w:num>
  <w:num w:numId="23">
    <w:abstractNumId w:val="15"/>
  </w:num>
  <w:num w:numId="24">
    <w:abstractNumId w:val="4"/>
  </w:num>
  <w:num w:numId="25">
    <w:abstractNumId w:val="30"/>
  </w:num>
  <w:num w:numId="26">
    <w:abstractNumId w:val="29"/>
  </w:num>
  <w:num w:numId="27">
    <w:abstractNumId w:val="6"/>
  </w:num>
  <w:num w:numId="28">
    <w:abstractNumId w:val="23"/>
  </w:num>
  <w:num w:numId="29">
    <w:abstractNumId w:val="10"/>
  </w:num>
  <w:num w:numId="30">
    <w:abstractNumId w:val="3"/>
  </w:num>
  <w:num w:numId="31">
    <w:abstractNumId w:val="20"/>
  </w:num>
  <w:num w:numId="32">
    <w:abstractNumId w:val="14"/>
  </w:num>
  <w:num w:numId="33">
    <w:abstractNumId w:val="24"/>
  </w:num>
  <w:num w:numId="34">
    <w:abstractNumId w:val="34"/>
  </w:num>
  <w:num w:numId="35">
    <w:abstractNumId w:val="26"/>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2E0A"/>
    <w:rsid w:val="00003149"/>
    <w:rsid w:val="000035F0"/>
    <w:rsid w:val="00003B46"/>
    <w:rsid w:val="00004416"/>
    <w:rsid w:val="00004571"/>
    <w:rsid w:val="0000465C"/>
    <w:rsid w:val="00004956"/>
    <w:rsid w:val="00004CA7"/>
    <w:rsid w:val="00004FC6"/>
    <w:rsid w:val="00005BFB"/>
    <w:rsid w:val="00006091"/>
    <w:rsid w:val="0000656A"/>
    <w:rsid w:val="00006BB0"/>
    <w:rsid w:val="00006BC8"/>
    <w:rsid w:val="00007199"/>
    <w:rsid w:val="000073E1"/>
    <w:rsid w:val="000073E6"/>
    <w:rsid w:val="00007C99"/>
    <w:rsid w:val="00007DE2"/>
    <w:rsid w:val="00010647"/>
    <w:rsid w:val="000108BC"/>
    <w:rsid w:val="00010BBC"/>
    <w:rsid w:val="00010F72"/>
    <w:rsid w:val="0001125D"/>
    <w:rsid w:val="000113AF"/>
    <w:rsid w:val="000115EA"/>
    <w:rsid w:val="00011629"/>
    <w:rsid w:val="000117C2"/>
    <w:rsid w:val="00011A12"/>
    <w:rsid w:val="00011A40"/>
    <w:rsid w:val="00012D85"/>
    <w:rsid w:val="000132FC"/>
    <w:rsid w:val="000139F4"/>
    <w:rsid w:val="00013E9B"/>
    <w:rsid w:val="00014529"/>
    <w:rsid w:val="00014864"/>
    <w:rsid w:val="000154F3"/>
    <w:rsid w:val="00015578"/>
    <w:rsid w:val="0001558A"/>
    <w:rsid w:val="0001558F"/>
    <w:rsid w:val="0001559C"/>
    <w:rsid w:val="000161A5"/>
    <w:rsid w:val="00016368"/>
    <w:rsid w:val="00016F8C"/>
    <w:rsid w:val="000170C6"/>
    <w:rsid w:val="0001750E"/>
    <w:rsid w:val="0001771F"/>
    <w:rsid w:val="00017A7A"/>
    <w:rsid w:val="0002055D"/>
    <w:rsid w:val="0002068B"/>
    <w:rsid w:val="0002073D"/>
    <w:rsid w:val="00020C1A"/>
    <w:rsid w:val="0002185C"/>
    <w:rsid w:val="00022F32"/>
    <w:rsid w:val="00023823"/>
    <w:rsid w:val="00023A34"/>
    <w:rsid w:val="00023B13"/>
    <w:rsid w:val="00023E92"/>
    <w:rsid w:val="000241E9"/>
    <w:rsid w:val="000242CE"/>
    <w:rsid w:val="00024885"/>
    <w:rsid w:val="000248C7"/>
    <w:rsid w:val="000248D0"/>
    <w:rsid w:val="00024DB7"/>
    <w:rsid w:val="00024E4D"/>
    <w:rsid w:val="00024E84"/>
    <w:rsid w:val="00025133"/>
    <w:rsid w:val="000254E0"/>
    <w:rsid w:val="0002590B"/>
    <w:rsid w:val="00025F5C"/>
    <w:rsid w:val="00026197"/>
    <w:rsid w:val="000261B5"/>
    <w:rsid w:val="00026FC1"/>
    <w:rsid w:val="0002710E"/>
    <w:rsid w:val="00027466"/>
    <w:rsid w:val="00027632"/>
    <w:rsid w:val="0002772B"/>
    <w:rsid w:val="00027914"/>
    <w:rsid w:val="00027931"/>
    <w:rsid w:val="00027B17"/>
    <w:rsid w:val="00027C75"/>
    <w:rsid w:val="00027E77"/>
    <w:rsid w:val="00030360"/>
    <w:rsid w:val="0003041D"/>
    <w:rsid w:val="00030613"/>
    <w:rsid w:val="00030674"/>
    <w:rsid w:val="00030B46"/>
    <w:rsid w:val="00030F79"/>
    <w:rsid w:val="0003112D"/>
    <w:rsid w:val="000311E7"/>
    <w:rsid w:val="000313AF"/>
    <w:rsid w:val="00031871"/>
    <w:rsid w:val="00031BED"/>
    <w:rsid w:val="00031DBF"/>
    <w:rsid w:val="0003231E"/>
    <w:rsid w:val="0003233B"/>
    <w:rsid w:val="0003246A"/>
    <w:rsid w:val="00032BFE"/>
    <w:rsid w:val="00032E02"/>
    <w:rsid w:val="00033B50"/>
    <w:rsid w:val="000342AB"/>
    <w:rsid w:val="000344DB"/>
    <w:rsid w:val="00034DF5"/>
    <w:rsid w:val="00034FD9"/>
    <w:rsid w:val="00035B6C"/>
    <w:rsid w:val="000361E2"/>
    <w:rsid w:val="00036218"/>
    <w:rsid w:val="0003644F"/>
    <w:rsid w:val="00036F89"/>
    <w:rsid w:val="00036FD3"/>
    <w:rsid w:val="000378FC"/>
    <w:rsid w:val="00037A68"/>
    <w:rsid w:val="00037E25"/>
    <w:rsid w:val="000404C9"/>
    <w:rsid w:val="000409A4"/>
    <w:rsid w:val="00040A1A"/>
    <w:rsid w:val="00040B66"/>
    <w:rsid w:val="00040D26"/>
    <w:rsid w:val="00040E09"/>
    <w:rsid w:val="0004105A"/>
    <w:rsid w:val="000413FE"/>
    <w:rsid w:val="000416B5"/>
    <w:rsid w:val="000417D7"/>
    <w:rsid w:val="00041C79"/>
    <w:rsid w:val="0004224A"/>
    <w:rsid w:val="0004248F"/>
    <w:rsid w:val="0004250D"/>
    <w:rsid w:val="00042B11"/>
    <w:rsid w:val="00043435"/>
    <w:rsid w:val="00043FF4"/>
    <w:rsid w:val="00044627"/>
    <w:rsid w:val="00044628"/>
    <w:rsid w:val="0004498B"/>
    <w:rsid w:val="00044B43"/>
    <w:rsid w:val="00045D4F"/>
    <w:rsid w:val="00046548"/>
    <w:rsid w:val="000465B4"/>
    <w:rsid w:val="00046C7D"/>
    <w:rsid w:val="00046CD2"/>
    <w:rsid w:val="00046D6A"/>
    <w:rsid w:val="0004726D"/>
    <w:rsid w:val="00047451"/>
    <w:rsid w:val="000474FA"/>
    <w:rsid w:val="00047699"/>
    <w:rsid w:val="0004788F"/>
    <w:rsid w:val="00047A69"/>
    <w:rsid w:val="00047FB7"/>
    <w:rsid w:val="00050019"/>
    <w:rsid w:val="00050270"/>
    <w:rsid w:val="00050372"/>
    <w:rsid w:val="0005049C"/>
    <w:rsid w:val="00050C79"/>
    <w:rsid w:val="00050E88"/>
    <w:rsid w:val="00051538"/>
    <w:rsid w:val="00051E94"/>
    <w:rsid w:val="0005269A"/>
    <w:rsid w:val="00052F11"/>
    <w:rsid w:val="00053A08"/>
    <w:rsid w:val="00053B76"/>
    <w:rsid w:val="00053CD1"/>
    <w:rsid w:val="00053D0A"/>
    <w:rsid w:val="00053E85"/>
    <w:rsid w:val="00053FDF"/>
    <w:rsid w:val="00054217"/>
    <w:rsid w:val="00054487"/>
    <w:rsid w:val="000545D4"/>
    <w:rsid w:val="0005535D"/>
    <w:rsid w:val="0005559C"/>
    <w:rsid w:val="00055A4B"/>
    <w:rsid w:val="00055BE1"/>
    <w:rsid w:val="000564B0"/>
    <w:rsid w:val="00056669"/>
    <w:rsid w:val="00056FC7"/>
    <w:rsid w:val="000576DE"/>
    <w:rsid w:val="00057B05"/>
    <w:rsid w:val="00057B27"/>
    <w:rsid w:val="000603D7"/>
    <w:rsid w:val="0006044F"/>
    <w:rsid w:val="00060CCD"/>
    <w:rsid w:val="00061258"/>
    <w:rsid w:val="000615E9"/>
    <w:rsid w:val="000620AB"/>
    <w:rsid w:val="00062727"/>
    <w:rsid w:val="00062B38"/>
    <w:rsid w:val="0006320B"/>
    <w:rsid w:val="000634C7"/>
    <w:rsid w:val="00063AB7"/>
    <w:rsid w:val="000640FB"/>
    <w:rsid w:val="00064123"/>
    <w:rsid w:val="0006422E"/>
    <w:rsid w:val="00064AEE"/>
    <w:rsid w:val="00064E0C"/>
    <w:rsid w:val="00065A80"/>
    <w:rsid w:val="000668FB"/>
    <w:rsid w:val="00066D57"/>
    <w:rsid w:val="0006786B"/>
    <w:rsid w:val="00067913"/>
    <w:rsid w:val="000679AF"/>
    <w:rsid w:val="00067C90"/>
    <w:rsid w:val="00067E5F"/>
    <w:rsid w:val="00070637"/>
    <w:rsid w:val="0007074B"/>
    <w:rsid w:val="000708DD"/>
    <w:rsid w:val="0007138B"/>
    <w:rsid w:val="00071420"/>
    <w:rsid w:val="000716E0"/>
    <w:rsid w:val="00072059"/>
    <w:rsid w:val="00072786"/>
    <w:rsid w:val="00072BC2"/>
    <w:rsid w:val="00072C20"/>
    <w:rsid w:val="00072D04"/>
    <w:rsid w:val="00072E6E"/>
    <w:rsid w:val="000736B9"/>
    <w:rsid w:val="000744C6"/>
    <w:rsid w:val="00074A67"/>
    <w:rsid w:val="00074CC1"/>
    <w:rsid w:val="0007548B"/>
    <w:rsid w:val="00076181"/>
    <w:rsid w:val="00076231"/>
    <w:rsid w:val="000762F1"/>
    <w:rsid w:val="00076360"/>
    <w:rsid w:val="00076703"/>
    <w:rsid w:val="000767D4"/>
    <w:rsid w:val="00076A92"/>
    <w:rsid w:val="00076ED3"/>
    <w:rsid w:val="000771A6"/>
    <w:rsid w:val="000771BD"/>
    <w:rsid w:val="00077397"/>
    <w:rsid w:val="000777BC"/>
    <w:rsid w:val="000779EF"/>
    <w:rsid w:val="00077C4C"/>
    <w:rsid w:val="00077D6A"/>
    <w:rsid w:val="00077D8A"/>
    <w:rsid w:val="000803D5"/>
    <w:rsid w:val="00080643"/>
    <w:rsid w:val="00080786"/>
    <w:rsid w:val="000807AD"/>
    <w:rsid w:val="0008135D"/>
    <w:rsid w:val="00081470"/>
    <w:rsid w:val="000818EA"/>
    <w:rsid w:val="00081A89"/>
    <w:rsid w:val="000826AD"/>
    <w:rsid w:val="00082A3D"/>
    <w:rsid w:val="00082E7A"/>
    <w:rsid w:val="00083297"/>
    <w:rsid w:val="00083490"/>
    <w:rsid w:val="00083B51"/>
    <w:rsid w:val="00083B7B"/>
    <w:rsid w:val="00084154"/>
    <w:rsid w:val="00084427"/>
    <w:rsid w:val="000845D8"/>
    <w:rsid w:val="00084F06"/>
    <w:rsid w:val="0008581E"/>
    <w:rsid w:val="00085C34"/>
    <w:rsid w:val="000863B6"/>
    <w:rsid w:val="000863F6"/>
    <w:rsid w:val="0008646A"/>
    <w:rsid w:val="000866BB"/>
    <w:rsid w:val="000870A2"/>
    <w:rsid w:val="00087302"/>
    <w:rsid w:val="000875CB"/>
    <w:rsid w:val="000875F8"/>
    <w:rsid w:val="00087BAD"/>
    <w:rsid w:val="00087D0E"/>
    <w:rsid w:val="00087F86"/>
    <w:rsid w:val="0009022C"/>
    <w:rsid w:val="00090660"/>
    <w:rsid w:val="0009068D"/>
    <w:rsid w:val="000906C8"/>
    <w:rsid w:val="00090AAC"/>
    <w:rsid w:val="00090F1A"/>
    <w:rsid w:val="00091940"/>
    <w:rsid w:val="00091964"/>
    <w:rsid w:val="00091A6F"/>
    <w:rsid w:val="0009210C"/>
    <w:rsid w:val="00092377"/>
    <w:rsid w:val="0009259F"/>
    <w:rsid w:val="00092F87"/>
    <w:rsid w:val="00093030"/>
    <w:rsid w:val="000937F9"/>
    <w:rsid w:val="000939D6"/>
    <w:rsid w:val="00093A4D"/>
    <w:rsid w:val="0009400D"/>
    <w:rsid w:val="00094098"/>
    <w:rsid w:val="00094160"/>
    <w:rsid w:val="000944D5"/>
    <w:rsid w:val="0009458A"/>
    <w:rsid w:val="0009473F"/>
    <w:rsid w:val="00094EB8"/>
    <w:rsid w:val="00094EBE"/>
    <w:rsid w:val="0009556F"/>
    <w:rsid w:val="00095ABA"/>
    <w:rsid w:val="00095C60"/>
    <w:rsid w:val="00096286"/>
    <w:rsid w:val="000962BF"/>
    <w:rsid w:val="00096910"/>
    <w:rsid w:val="000974E5"/>
    <w:rsid w:val="000976CD"/>
    <w:rsid w:val="00097704"/>
    <w:rsid w:val="00097AA5"/>
    <w:rsid w:val="000A0346"/>
    <w:rsid w:val="000A089E"/>
    <w:rsid w:val="000A0A9E"/>
    <w:rsid w:val="000A0BFF"/>
    <w:rsid w:val="000A0C77"/>
    <w:rsid w:val="000A14FE"/>
    <w:rsid w:val="000A17A1"/>
    <w:rsid w:val="000A17B7"/>
    <w:rsid w:val="000A1916"/>
    <w:rsid w:val="000A1D3D"/>
    <w:rsid w:val="000A2157"/>
    <w:rsid w:val="000A252E"/>
    <w:rsid w:val="000A2E4C"/>
    <w:rsid w:val="000A3395"/>
    <w:rsid w:val="000A39F1"/>
    <w:rsid w:val="000A3D8E"/>
    <w:rsid w:val="000A3E1C"/>
    <w:rsid w:val="000A3E8C"/>
    <w:rsid w:val="000A4759"/>
    <w:rsid w:val="000A486E"/>
    <w:rsid w:val="000A50AB"/>
    <w:rsid w:val="000A54F3"/>
    <w:rsid w:val="000A5721"/>
    <w:rsid w:val="000A59D8"/>
    <w:rsid w:val="000A5C30"/>
    <w:rsid w:val="000A6340"/>
    <w:rsid w:val="000A6908"/>
    <w:rsid w:val="000A6E9D"/>
    <w:rsid w:val="000A70BC"/>
    <w:rsid w:val="000A756B"/>
    <w:rsid w:val="000A7807"/>
    <w:rsid w:val="000A7A80"/>
    <w:rsid w:val="000B00AB"/>
    <w:rsid w:val="000B02D3"/>
    <w:rsid w:val="000B0B45"/>
    <w:rsid w:val="000B0BC9"/>
    <w:rsid w:val="000B112C"/>
    <w:rsid w:val="000B12AA"/>
    <w:rsid w:val="000B1EB6"/>
    <w:rsid w:val="000B27B7"/>
    <w:rsid w:val="000B28AB"/>
    <w:rsid w:val="000B2C47"/>
    <w:rsid w:val="000B30EB"/>
    <w:rsid w:val="000B3E7B"/>
    <w:rsid w:val="000B3FD8"/>
    <w:rsid w:val="000B4386"/>
    <w:rsid w:val="000B507A"/>
    <w:rsid w:val="000B5162"/>
    <w:rsid w:val="000B6733"/>
    <w:rsid w:val="000B6773"/>
    <w:rsid w:val="000B6B9C"/>
    <w:rsid w:val="000B7381"/>
    <w:rsid w:val="000B7696"/>
    <w:rsid w:val="000B7734"/>
    <w:rsid w:val="000C02AF"/>
    <w:rsid w:val="000C076E"/>
    <w:rsid w:val="000C0A22"/>
    <w:rsid w:val="000C0DB9"/>
    <w:rsid w:val="000C10A2"/>
    <w:rsid w:val="000C13E7"/>
    <w:rsid w:val="000C1871"/>
    <w:rsid w:val="000C1BA8"/>
    <w:rsid w:val="000C1BF8"/>
    <w:rsid w:val="000C1F0C"/>
    <w:rsid w:val="000C21F6"/>
    <w:rsid w:val="000C23CA"/>
    <w:rsid w:val="000C23D0"/>
    <w:rsid w:val="000C2612"/>
    <w:rsid w:val="000C27C4"/>
    <w:rsid w:val="000C3A4F"/>
    <w:rsid w:val="000C3D6E"/>
    <w:rsid w:val="000C3DAA"/>
    <w:rsid w:val="000C3E95"/>
    <w:rsid w:val="000C4637"/>
    <w:rsid w:val="000C4905"/>
    <w:rsid w:val="000C4A67"/>
    <w:rsid w:val="000C4CB0"/>
    <w:rsid w:val="000C4D78"/>
    <w:rsid w:val="000C5451"/>
    <w:rsid w:val="000C59D7"/>
    <w:rsid w:val="000C631A"/>
    <w:rsid w:val="000C640E"/>
    <w:rsid w:val="000C6AD4"/>
    <w:rsid w:val="000C7034"/>
    <w:rsid w:val="000C7F6C"/>
    <w:rsid w:val="000C7FCB"/>
    <w:rsid w:val="000D0BA0"/>
    <w:rsid w:val="000D0E29"/>
    <w:rsid w:val="000D11A3"/>
    <w:rsid w:val="000D1911"/>
    <w:rsid w:val="000D230F"/>
    <w:rsid w:val="000D2758"/>
    <w:rsid w:val="000D2C0D"/>
    <w:rsid w:val="000D2C67"/>
    <w:rsid w:val="000D2DE9"/>
    <w:rsid w:val="000D352C"/>
    <w:rsid w:val="000D3A50"/>
    <w:rsid w:val="000D3C16"/>
    <w:rsid w:val="000D3C41"/>
    <w:rsid w:val="000D4029"/>
    <w:rsid w:val="000D42C4"/>
    <w:rsid w:val="000D4CCF"/>
    <w:rsid w:val="000D4D36"/>
    <w:rsid w:val="000D5021"/>
    <w:rsid w:val="000D511B"/>
    <w:rsid w:val="000D5948"/>
    <w:rsid w:val="000D5997"/>
    <w:rsid w:val="000D5E96"/>
    <w:rsid w:val="000D6867"/>
    <w:rsid w:val="000D6CC3"/>
    <w:rsid w:val="000D6EE2"/>
    <w:rsid w:val="000D76D6"/>
    <w:rsid w:val="000D7707"/>
    <w:rsid w:val="000D7B99"/>
    <w:rsid w:val="000D7C37"/>
    <w:rsid w:val="000D7C93"/>
    <w:rsid w:val="000D7D76"/>
    <w:rsid w:val="000D7FF9"/>
    <w:rsid w:val="000E0344"/>
    <w:rsid w:val="000E0CEA"/>
    <w:rsid w:val="000E0F82"/>
    <w:rsid w:val="000E121F"/>
    <w:rsid w:val="000E13E1"/>
    <w:rsid w:val="000E20AF"/>
    <w:rsid w:val="000E20B3"/>
    <w:rsid w:val="000E267F"/>
    <w:rsid w:val="000E2D57"/>
    <w:rsid w:val="000E2DAF"/>
    <w:rsid w:val="000E3560"/>
    <w:rsid w:val="000E459A"/>
    <w:rsid w:val="000E481D"/>
    <w:rsid w:val="000E48FF"/>
    <w:rsid w:val="000E49E4"/>
    <w:rsid w:val="000E4C4C"/>
    <w:rsid w:val="000E4DAC"/>
    <w:rsid w:val="000E5633"/>
    <w:rsid w:val="000E5C89"/>
    <w:rsid w:val="000E611B"/>
    <w:rsid w:val="000E62F0"/>
    <w:rsid w:val="000E693D"/>
    <w:rsid w:val="000E7130"/>
    <w:rsid w:val="000E71FB"/>
    <w:rsid w:val="000E77E6"/>
    <w:rsid w:val="000E7D79"/>
    <w:rsid w:val="000F0517"/>
    <w:rsid w:val="000F0609"/>
    <w:rsid w:val="000F082B"/>
    <w:rsid w:val="000F0A0C"/>
    <w:rsid w:val="000F0D97"/>
    <w:rsid w:val="000F0FEF"/>
    <w:rsid w:val="000F1190"/>
    <w:rsid w:val="000F15A5"/>
    <w:rsid w:val="000F1DBB"/>
    <w:rsid w:val="000F1F3D"/>
    <w:rsid w:val="000F215F"/>
    <w:rsid w:val="000F21D8"/>
    <w:rsid w:val="000F2A4B"/>
    <w:rsid w:val="000F2A71"/>
    <w:rsid w:val="000F3230"/>
    <w:rsid w:val="000F33F2"/>
    <w:rsid w:val="000F3491"/>
    <w:rsid w:val="000F412C"/>
    <w:rsid w:val="000F4265"/>
    <w:rsid w:val="000F489F"/>
    <w:rsid w:val="000F48BC"/>
    <w:rsid w:val="000F4B77"/>
    <w:rsid w:val="000F5208"/>
    <w:rsid w:val="000F53C2"/>
    <w:rsid w:val="000F597C"/>
    <w:rsid w:val="000F5FE3"/>
    <w:rsid w:val="000F6046"/>
    <w:rsid w:val="000F60D1"/>
    <w:rsid w:val="000F6183"/>
    <w:rsid w:val="000F670E"/>
    <w:rsid w:val="000F6BB3"/>
    <w:rsid w:val="000F7BAC"/>
    <w:rsid w:val="0010009D"/>
    <w:rsid w:val="0010052F"/>
    <w:rsid w:val="001007F1"/>
    <w:rsid w:val="00100AC6"/>
    <w:rsid w:val="00100DFD"/>
    <w:rsid w:val="0010182F"/>
    <w:rsid w:val="00101887"/>
    <w:rsid w:val="00101D5C"/>
    <w:rsid w:val="00101F50"/>
    <w:rsid w:val="0010206C"/>
    <w:rsid w:val="00102665"/>
    <w:rsid w:val="00102972"/>
    <w:rsid w:val="001029BC"/>
    <w:rsid w:val="00102B7F"/>
    <w:rsid w:val="00102F8D"/>
    <w:rsid w:val="00103714"/>
    <w:rsid w:val="00103716"/>
    <w:rsid w:val="00103E0C"/>
    <w:rsid w:val="00103F66"/>
    <w:rsid w:val="00104A9B"/>
    <w:rsid w:val="00104AAA"/>
    <w:rsid w:val="00105C49"/>
    <w:rsid w:val="00105CB5"/>
    <w:rsid w:val="001060F2"/>
    <w:rsid w:val="00106102"/>
    <w:rsid w:val="00106E0A"/>
    <w:rsid w:val="00106FC2"/>
    <w:rsid w:val="00107197"/>
    <w:rsid w:val="001074E1"/>
    <w:rsid w:val="00107512"/>
    <w:rsid w:val="00107558"/>
    <w:rsid w:val="00107884"/>
    <w:rsid w:val="00107AF2"/>
    <w:rsid w:val="00107E4F"/>
    <w:rsid w:val="00110024"/>
    <w:rsid w:val="001101DD"/>
    <w:rsid w:val="00110585"/>
    <w:rsid w:val="00110B99"/>
    <w:rsid w:val="00110E0F"/>
    <w:rsid w:val="00110EB2"/>
    <w:rsid w:val="00110F8C"/>
    <w:rsid w:val="00111092"/>
    <w:rsid w:val="0011146B"/>
    <w:rsid w:val="00111728"/>
    <w:rsid w:val="00111AB4"/>
    <w:rsid w:val="00112072"/>
    <w:rsid w:val="0011211A"/>
    <w:rsid w:val="00112303"/>
    <w:rsid w:val="00112FCE"/>
    <w:rsid w:val="001135FA"/>
    <w:rsid w:val="001139CF"/>
    <w:rsid w:val="00113CE9"/>
    <w:rsid w:val="00114132"/>
    <w:rsid w:val="001145E1"/>
    <w:rsid w:val="00114CC9"/>
    <w:rsid w:val="00114F52"/>
    <w:rsid w:val="00114F78"/>
    <w:rsid w:val="0011516A"/>
    <w:rsid w:val="001151E8"/>
    <w:rsid w:val="00115A79"/>
    <w:rsid w:val="00116347"/>
    <w:rsid w:val="00116CC6"/>
    <w:rsid w:val="00116E1D"/>
    <w:rsid w:val="00116E62"/>
    <w:rsid w:val="00116F71"/>
    <w:rsid w:val="00117578"/>
    <w:rsid w:val="00117854"/>
    <w:rsid w:val="001179CB"/>
    <w:rsid w:val="00117B08"/>
    <w:rsid w:val="00120067"/>
    <w:rsid w:val="00120114"/>
    <w:rsid w:val="0012038D"/>
    <w:rsid w:val="001208AD"/>
    <w:rsid w:val="001209DA"/>
    <w:rsid w:val="0012128E"/>
    <w:rsid w:val="001212BE"/>
    <w:rsid w:val="0012159F"/>
    <w:rsid w:val="001215C8"/>
    <w:rsid w:val="001218FF"/>
    <w:rsid w:val="0012213F"/>
    <w:rsid w:val="00122AC3"/>
    <w:rsid w:val="00122D84"/>
    <w:rsid w:val="00122F87"/>
    <w:rsid w:val="001232D5"/>
    <w:rsid w:val="00123576"/>
    <w:rsid w:val="00123870"/>
    <w:rsid w:val="00123C0B"/>
    <w:rsid w:val="00124018"/>
    <w:rsid w:val="00124130"/>
    <w:rsid w:val="001245B8"/>
    <w:rsid w:val="00124721"/>
    <w:rsid w:val="00124CAC"/>
    <w:rsid w:val="00125695"/>
    <w:rsid w:val="00125800"/>
    <w:rsid w:val="0012598A"/>
    <w:rsid w:val="001259B4"/>
    <w:rsid w:val="00125AF2"/>
    <w:rsid w:val="0012633E"/>
    <w:rsid w:val="001263E3"/>
    <w:rsid w:val="0012669A"/>
    <w:rsid w:val="00126C95"/>
    <w:rsid w:val="00126D61"/>
    <w:rsid w:val="00126ECF"/>
    <w:rsid w:val="0012734A"/>
    <w:rsid w:val="00127549"/>
    <w:rsid w:val="001277A6"/>
    <w:rsid w:val="001277F6"/>
    <w:rsid w:val="00127BC4"/>
    <w:rsid w:val="00130283"/>
    <w:rsid w:val="0013032C"/>
    <w:rsid w:val="001306FF"/>
    <w:rsid w:val="0013080D"/>
    <w:rsid w:val="00130AEE"/>
    <w:rsid w:val="00130E15"/>
    <w:rsid w:val="00130F98"/>
    <w:rsid w:val="00130FA8"/>
    <w:rsid w:val="0013184C"/>
    <w:rsid w:val="00131C54"/>
    <w:rsid w:val="0013231C"/>
    <w:rsid w:val="0013237D"/>
    <w:rsid w:val="00133379"/>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D38"/>
    <w:rsid w:val="00137E49"/>
    <w:rsid w:val="00137E94"/>
    <w:rsid w:val="0014003E"/>
    <w:rsid w:val="00140DBD"/>
    <w:rsid w:val="00141649"/>
    <w:rsid w:val="00141E35"/>
    <w:rsid w:val="001422BE"/>
    <w:rsid w:val="001425E3"/>
    <w:rsid w:val="00142A1F"/>
    <w:rsid w:val="00143038"/>
    <w:rsid w:val="0014380C"/>
    <w:rsid w:val="00144276"/>
    <w:rsid w:val="00144704"/>
    <w:rsid w:val="00144FAE"/>
    <w:rsid w:val="001450FD"/>
    <w:rsid w:val="00145444"/>
    <w:rsid w:val="00145464"/>
    <w:rsid w:val="00145782"/>
    <w:rsid w:val="00146051"/>
    <w:rsid w:val="00146172"/>
    <w:rsid w:val="001463FD"/>
    <w:rsid w:val="00146498"/>
    <w:rsid w:val="001464E4"/>
    <w:rsid w:val="001469DE"/>
    <w:rsid w:val="00147480"/>
    <w:rsid w:val="001476F3"/>
    <w:rsid w:val="0014773F"/>
    <w:rsid w:val="00147ACD"/>
    <w:rsid w:val="00147DCD"/>
    <w:rsid w:val="0015002B"/>
    <w:rsid w:val="001501BE"/>
    <w:rsid w:val="0015056E"/>
    <w:rsid w:val="00150C8C"/>
    <w:rsid w:val="00151627"/>
    <w:rsid w:val="0015171A"/>
    <w:rsid w:val="001517FC"/>
    <w:rsid w:val="00152613"/>
    <w:rsid w:val="00152BCF"/>
    <w:rsid w:val="00152C88"/>
    <w:rsid w:val="0015327E"/>
    <w:rsid w:val="001533FE"/>
    <w:rsid w:val="00153AFA"/>
    <w:rsid w:val="0015417D"/>
    <w:rsid w:val="001541B2"/>
    <w:rsid w:val="001544E6"/>
    <w:rsid w:val="0015487C"/>
    <w:rsid w:val="00154990"/>
    <w:rsid w:val="00155C0A"/>
    <w:rsid w:val="001563D4"/>
    <w:rsid w:val="0015641F"/>
    <w:rsid w:val="00156622"/>
    <w:rsid w:val="0015668E"/>
    <w:rsid w:val="001566AD"/>
    <w:rsid w:val="00156802"/>
    <w:rsid w:val="001568D1"/>
    <w:rsid w:val="00156E86"/>
    <w:rsid w:val="00156F06"/>
    <w:rsid w:val="0015750C"/>
    <w:rsid w:val="001578D9"/>
    <w:rsid w:val="00157BAF"/>
    <w:rsid w:val="00157E20"/>
    <w:rsid w:val="00160169"/>
    <w:rsid w:val="0016016E"/>
    <w:rsid w:val="0016082E"/>
    <w:rsid w:val="00160C03"/>
    <w:rsid w:val="00160F5F"/>
    <w:rsid w:val="001612C6"/>
    <w:rsid w:val="00161784"/>
    <w:rsid w:val="00161B7F"/>
    <w:rsid w:val="00161DD4"/>
    <w:rsid w:val="0016291D"/>
    <w:rsid w:val="00162C04"/>
    <w:rsid w:val="001630E2"/>
    <w:rsid w:val="00163451"/>
    <w:rsid w:val="00163812"/>
    <w:rsid w:val="00163AD3"/>
    <w:rsid w:val="00163B1E"/>
    <w:rsid w:val="001641F0"/>
    <w:rsid w:val="0016442A"/>
    <w:rsid w:val="001644A5"/>
    <w:rsid w:val="001646DB"/>
    <w:rsid w:val="00164826"/>
    <w:rsid w:val="001649F2"/>
    <w:rsid w:val="00164A51"/>
    <w:rsid w:val="00165305"/>
    <w:rsid w:val="00165EF9"/>
    <w:rsid w:val="0016613F"/>
    <w:rsid w:val="00166468"/>
    <w:rsid w:val="001665DE"/>
    <w:rsid w:val="00166935"/>
    <w:rsid w:val="00166A49"/>
    <w:rsid w:val="00166B27"/>
    <w:rsid w:val="00166CD3"/>
    <w:rsid w:val="00167484"/>
    <w:rsid w:val="00167AE7"/>
    <w:rsid w:val="00167D7F"/>
    <w:rsid w:val="0017029B"/>
    <w:rsid w:val="00170699"/>
    <w:rsid w:val="001708E5"/>
    <w:rsid w:val="00170AB8"/>
    <w:rsid w:val="00171117"/>
    <w:rsid w:val="0017154A"/>
    <w:rsid w:val="001715C3"/>
    <w:rsid w:val="001718F1"/>
    <w:rsid w:val="00171FDF"/>
    <w:rsid w:val="00172832"/>
    <w:rsid w:val="001734CE"/>
    <w:rsid w:val="00173A98"/>
    <w:rsid w:val="00173BD1"/>
    <w:rsid w:val="0017405B"/>
    <w:rsid w:val="00174498"/>
    <w:rsid w:val="00175C9F"/>
    <w:rsid w:val="00176275"/>
    <w:rsid w:val="001763EF"/>
    <w:rsid w:val="0017669F"/>
    <w:rsid w:val="001767D8"/>
    <w:rsid w:val="00176A46"/>
    <w:rsid w:val="00176E2F"/>
    <w:rsid w:val="00176EB8"/>
    <w:rsid w:val="0017765F"/>
    <w:rsid w:val="00177BAE"/>
    <w:rsid w:val="00177D77"/>
    <w:rsid w:val="00177FFC"/>
    <w:rsid w:val="0018052F"/>
    <w:rsid w:val="00180964"/>
    <w:rsid w:val="00180ED6"/>
    <w:rsid w:val="001811F8"/>
    <w:rsid w:val="00181A5B"/>
    <w:rsid w:val="00181DB6"/>
    <w:rsid w:val="00181F73"/>
    <w:rsid w:val="0018232D"/>
    <w:rsid w:val="00184639"/>
    <w:rsid w:val="00184D04"/>
    <w:rsid w:val="00184DAB"/>
    <w:rsid w:val="001858E2"/>
    <w:rsid w:val="00185944"/>
    <w:rsid w:val="00185C48"/>
    <w:rsid w:val="00186270"/>
    <w:rsid w:val="0018636D"/>
    <w:rsid w:val="00186DB3"/>
    <w:rsid w:val="00186F19"/>
    <w:rsid w:val="00187343"/>
    <w:rsid w:val="00187540"/>
    <w:rsid w:val="00187C4D"/>
    <w:rsid w:val="00187C62"/>
    <w:rsid w:val="00190783"/>
    <w:rsid w:val="00191007"/>
    <w:rsid w:val="001914EC"/>
    <w:rsid w:val="001916DC"/>
    <w:rsid w:val="00191A3D"/>
    <w:rsid w:val="00192790"/>
    <w:rsid w:val="00192B1A"/>
    <w:rsid w:val="00192CA6"/>
    <w:rsid w:val="00192DD0"/>
    <w:rsid w:val="0019352F"/>
    <w:rsid w:val="001935FC"/>
    <w:rsid w:val="00193749"/>
    <w:rsid w:val="001938C8"/>
    <w:rsid w:val="00193B69"/>
    <w:rsid w:val="0019447E"/>
    <w:rsid w:val="001946E2"/>
    <w:rsid w:val="001957A9"/>
    <w:rsid w:val="00196791"/>
    <w:rsid w:val="001967C8"/>
    <w:rsid w:val="00196C22"/>
    <w:rsid w:val="00197C0F"/>
    <w:rsid w:val="00197DAB"/>
    <w:rsid w:val="00197F99"/>
    <w:rsid w:val="001A0678"/>
    <w:rsid w:val="001A07AE"/>
    <w:rsid w:val="001A09F2"/>
    <w:rsid w:val="001A13E0"/>
    <w:rsid w:val="001A15E0"/>
    <w:rsid w:val="001A1985"/>
    <w:rsid w:val="001A1AAD"/>
    <w:rsid w:val="001A2392"/>
    <w:rsid w:val="001A253D"/>
    <w:rsid w:val="001A2601"/>
    <w:rsid w:val="001A2A1A"/>
    <w:rsid w:val="001A2A95"/>
    <w:rsid w:val="001A2E24"/>
    <w:rsid w:val="001A2EB9"/>
    <w:rsid w:val="001A35E0"/>
    <w:rsid w:val="001A3746"/>
    <w:rsid w:val="001A3E89"/>
    <w:rsid w:val="001A40D6"/>
    <w:rsid w:val="001A4330"/>
    <w:rsid w:val="001A4355"/>
    <w:rsid w:val="001A4741"/>
    <w:rsid w:val="001A4AB5"/>
    <w:rsid w:val="001A4F45"/>
    <w:rsid w:val="001A5297"/>
    <w:rsid w:val="001A5C69"/>
    <w:rsid w:val="001A6609"/>
    <w:rsid w:val="001A6B6D"/>
    <w:rsid w:val="001A6D17"/>
    <w:rsid w:val="001A6F5F"/>
    <w:rsid w:val="001A757B"/>
    <w:rsid w:val="001A7BB2"/>
    <w:rsid w:val="001A7DDE"/>
    <w:rsid w:val="001B04E8"/>
    <w:rsid w:val="001B06D3"/>
    <w:rsid w:val="001B0FB3"/>
    <w:rsid w:val="001B1981"/>
    <w:rsid w:val="001B1ED9"/>
    <w:rsid w:val="001B290C"/>
    <w:rsid w:val="001B345B"/>
    <w:rsid w:val="001B3CB4"/>
    <w:rsid w:val="001B4049"/>
    <w:rsid w:val="001B44DA"/>
    <w:rsid w:val="001B4D96"/>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015"/>
    <w:rsid w:val="001B7167"/>
    <w:rsid w:val="001B718A"/>
    <w:rsid w:val="001B74D5"/>
    <w:rsid w:val="001B7694"/>
    <w:rsid w:val="001B7F1F"/>
    <w:rsid w:val="001B7FA2"/>
    <w:rsid w:val="001C001E"/>
    <w:rsid w:val="001C0A9E"/>
    <w:rsid w:val="001C0D3C"/>
    <w:rsid w:val="001C1963"/>
    <w:rsid w:val="001C1ECE"/>
    <w:rsid w:val="001C1F25"/>
    <w:rsid w:val="001C20B0"/>
    <w:rsid w:val="001C38B6"/>
    <w:rsid w:val="001C3914"/>
    <w:rsid w:val="001C394D"/>
    <w:rsid w:val="001C39AC"/>
    <w:rsid w:val="001C3B2D"/>
    <w:rsid w:val="001C3D87"/>
    <w:rsid w:val="001C4213"/>
    <w:rsid w:val="001C4320"/>
    <w:rsid w:val="001C44AF"/>
    <w:rsid w:val="001C485E"/>
    <w:rsid w:val="001C54FE"/>
    <w:rsid w:val="001C5CC2"/>
    <w:rsid w:val="001C5E17"/>
    <w:rsid w:val="001C6616"/>
    <w:rsid w:val="001C66DF"/>
    <w:rsid w:val="001C7315"/>
    <w:rsid w:val="001C740F"/>
    <w:rsid w:val="001C75C5"/>
    <w:rsid w:val="001C78D0"/>
    <w:rsid w:val="001C7A3C"/>
    <w:rsid w:val="001C7BE4"/>
    <w:rsid w:val="001C7E89"/>
    <w:rsid w:val="001D0387"/>
    <w:rsid w:val="001D05F5"/>
    <w:rsid w:val="001D0EF4"/>
    <w:rsid w:val="001D10AA"/>
    <w:rsid w:val="001D1174"/>
    <w:rsid w:val="001D19AC"/>
    <w:rsid w:val="001D1B20"/>
    <w:rsid w:val="001D20CF"/>
    <w:rsid w:val="001D2324"/>
    <w:rsid w:val="001D2AE8"/>
    <w:rsid w:val="001D2B5F"/>
    <w:rsid w:val="001D2BB3"/>
    <w:rsid w:val="001D2E04"/>
    <w:rsid w:val="001D37F8"/>
    <w:rsid w:val="001D3AB1"/>
    <w:rsid w:val="001D3E53"/>
    <w:rsid w:val="001D419E"/>
    <w:rsid w:val="001D5002"/>
    <w:rsid w:val="001D5868"/>
    <w:rsid w:val="001D5CFA"/>
    <w:rsid w:val="001D5DAE"/>
    <w:rsid w:val="001D6443"/>
    <w:rsid w:val="001D64DD"/>
    <w:rsid w:val="001D656C"/>
    <w:rsid w:val="001D676D"/>
    <w:rsid w:val="001D724F"/>
    <w:rsid w:val="001D783B"/>
    <w:rsid w:val="001D7C12"/>
    <w:rsid w:val="001E0467"/>
    <w:rsid w:val="001E05A6"/>
    <w:rsid w:val="001E096E"/>
    <w:rsid w:val="001E0D02"/>
    <w:rsid w:val="001E1023"/>
    <w:rsid w:val="001E1B82"/>
    <w:rsid w:val="001E272D"/>
    <w:rsid w:val="001E2970"/>
    <w:rsid w:val="001E3070"/>
    <w:rsid w:val="001E3454"/>
    <w:rsid w:val="001E3B5B"/>
    <w:rsid w:val="001E4306"/>
    <w:rsid w:val="001E47CF"/>
    <w:rsid w:val="001E4EFC"/>
    <w:rsid w:val="001E549E"/>
    <w:rsid w:val="001E6411"/>
    <w:rsid w:val="001E6C11"/>
    <w:rsid w:val="001E7A2F"/>
    <w:rsid w:val="001E7AE4"/>
    <w:rsid w:val="001F0789"/>
    <w:rsid w:val="001F0C36"/>
    <w:rsid w:val="001F18ED"/>
    <w:rsid w:val="001F1C50"/>
    <w:rsid w:val="001F1C6B"/>
    <w:rsid w:val="001F1D8D"/>
    <w:rsid w:val="001F213E"/>
    <w:rsid w:val="001F2463"/>
    <w:rsid w:val="001F33B1"/>
    <w:rsid w:val="001F415D"/>
    <w:rsid w:val="001F445A"/>
    <w:rsid w:val="001F485A"/>
    <w:rsid w:val="001F4920"/>
    <w:rsid w:val="001F4DE7"/>
    <w:rsid w:val="001F4F5D"/>
    <w:rsid w:val="001F5253"/>
    <w:rsid w:val="001F5E60"/>
    <w:rsid w:val="001F6002"/>
    <w:rsid w:val="001F61D5"/>
    <w:rsid w:val="001F6443"/>
    <w:rsid w:val="001F653B"/>
    <w:rsid w:val="001F67CD"/>
    <w:rsid w:val="001F6E55"/>
    <w:rsid w:val="001F7224"/>
    <w:rsid w:val="001F7394"/>
    <w:rsid w:val="0020003E"/>
    <w:rsid w:val="002001F5"/>
    <w:rsid w:val="00200441"/>
    <w:rsid w:val="00200494"/>
    <w:rsid w:val="002012E8"/>
    <w:rsid w:val="00201336"/>
    <w:rsid w:val="00201B05"/>
    <w:rsid w:val="00202027"/>
    <w:rsid w:val="00202771"/>
    <w:rsid w:val="0020283C"/>
    <w:rsid w:val="00202E45"/>
    <w:rsid w:val="002038BF"/>
    <w:rsid w:val="00203C8E"/>
    <w:rsid w:val="002041E9"/>
    <w:rsid w:val="002045EA"/>
    <w:rsid w:val="00204B84"/>
    <w:rsid w:val="00204CA3"/>
    <w:rsid w:val="00204F01"/>
    <w:rsid w:val="00204FF3"/>
    <w:rsid w:val="00205833"/>
    <w:rsid w:val="00205C1E"/>
    <w:rsid w:val="00205D33"/>
    <w:rsid w:val="0020625D"/>
    <w:rsid w:val="0020688A"/>
    <w:rsid w:val="002069B2"/>
    <w:rsid w:val="00206A19"/>
    <w:rsid w:val="0020751C"/>
    <w:rsid w:val="00207689"/>
    <w:rsid w:val="002078E6"/>
    <w:rsid w:val="002079B0"/>
    <w:rsid w:val="00210177"/>
    <w:rsid w:val="0021044E"/>
    <w:rsid w:val="00210518"/>
    <w:rsid w:val="002107E2"/>
    <w:rsid w:val="00210A18"/>
    <w:rsid w:val="00210A75"/>
    <w:rsid w:val="00210CDC"/>
    <w:rsid w:val="00210D61"/>
    <w:rsid w:val="002110E5"/>
    <w:rsid w:val="0021127A"/>
    <w:rsid w:val="00211702"/>
    <w:rsid w:val="00211B83"/>
    <w:rsid w:val="00211DDD"/>
    <w:rsid w:val="00212654"/>
    <w:rsid w:val="002127B6"/>
    <w:rsid w:val="002127D1"/>
    <w:rsid w:val="0021290B"/>
    <w:rsid w:val="00212A8C"/>
    <w:rsid w:val="00212B4E"/>
    <w:rsid w:val="0021350F"/>
    <w:rsid w:val="002136C8"/>
    <w:rsid w:val="00214255"/>
    <w:rsid w:val="00214BFE"/>
    <w:rsid w:val="00214E8A"/>
    <w:rsid w:val="002159DA"/>
    <w:rsid w:val="00215C9F"/>
    <w:rsid w:val="00216020"/>
    <w:rsid w:val="002165C8"/>
    <w:rsid w:val="00216B0A"/>
    <w:rsid w:val="00216BCB"/>
    <w:rsid w:val="00216CE8"/>
    <w:rsid w:val="00216F2C"/>
    <w:rsid w:val="00216FAC"/>
    <w:rsid w:val="002171FC"/>
    <w:rsid w:val="002173CA"/>
    <w:rsid w:val="00217577"/>
    <w:rsid w:val="00220A6E"/>
    <w:rsid w:val="00221054"/>
    <w:rsid w:val="00221158"/>
    <w:rsid w:val="00221523"/>
    <w:rsid w:val="00221F31"/>
    <w:rsid w:val="0022223A"/>
    <w:rsid w:val="00222755"/>
    <w:rsid w:val="002227C9"/>
    <w:rsid w:val="00222C02"/>
    <w:rsid w:val="00222C17"/>
    <w:rsid w:val="0022330B"/>
    <w:rsid w:val="00223A94"/>
    <w:rsid w:val="002245DD"/>
    <w:rsid w:val="00225B13"/>
    <w:rsid w:val="00225C05"/>
    <w:rsid w:val="00225F22"/>
    <w:rsid w:val="00226354"/>
    <w:rsid w:val="00226AF2"/>
    <w:rsid w:val="00226D7A"/>
    <w:rsid w:val="00227148"/>
    <w:rsid w:val="002274D5"/>
    <w:rsid w:val="002275D9"/>
    <w:rsid w:val="00227D0A"/>
    <w:rsid w:val="0023088F"/>
    <w:rsid w:val="00230A89"/>
    <w:rsid w:val="0023111D"/>
    <w:rsid w:val="0023135A"/>
    <w:rsid w:val="00231C9E"/>
    <w:rsid w:val="00231FAC"/>
    <w:rsid w:val="00231FE5"/>
    <w:rsid w:val="002327B0"/>
    <w:rsid w:val="00233ADB"/>
    <w:rsid w:val="00233C03"/>
    <w:rsid w:val="00233DA8"/>
    <w:rsid w:val="00233FD6"/>
    <w:rsid w:val="0023417C"/>
    <w:rsid w:val="002341F2"/>
    <w:rsid w:val="00234373"/>
    <w:rsid w:val="00234790"/>
    <w:rsid w:val="002352E4"/>
    <w:rsid w:val="002372DB"/>
    <w:rsid w:val="00237731"/>
    <w:rsid w:val="00237C30"/>
    <w:rsid w:val="00237CF7"/>
    <w:rsid w:val="00240209"/>
    <w:rsid w:val="002404A8"/>
    <w:rsid w:val="002407E5"/>
    <w:rsid w:val="002416C8"/>
    <w:rsid w:val="002417B4"/>
    <w:rsid w:val="00241961"/>
    <w:rsid w:val="00241A94"/>
    <w:rsid w:val="00241ABA"/>
    <w:rsid w:val="00241E7A"/>
    <w:rsid w:val="00241EFD"/>
    <w:rsid w:val="00242293"/>
    <w:rsid w:val="002428DE"/>
    <w:rsid w:val="00242A9D"/>
    <w:rsid w:val="00243156"/>
    <w:rsid w:val="00243BA0"/>
    <w:rsid w:val="00243BBC"/>
    <w:rsid w:val="00244365"/>
    <w:rsid w:val="00244439"/>
    <w:rsid w:val="00244AB1"/>
    <w:rsid w:val="00245191"/>
    <w:rsid w:val="00245EF7"/>
    <w:rsid w:val="002463C6"/>
    <w:rsid w:val="002465CB"/>
    <w:rsid w:val="00246983"/>
    <w:rsid w:val="00246F91"/>
    <w:rsid w:val="00247BE5"/>
    <w:rsid w:val="0025010C"/>
    <w:rsid w:val="00250129"/>
    <w:rsid w:val="00250619"/>
    <w:rsid w:val="00250D6B"/>
    <w:rsid w:val="002511D0"/>
    <w:rsid w:val="00251872"/>
    <w:rsid w:val="002518F4"/>
    <w:rsid w:val="002520C3"/>
    <w:rsid w:val="002525C0"/>
    <w:rsid w:val="0025273E"/>
    <w:rsid w:val="00253A92"/>
    <w:rsid w:val="00253FC6"/>
    <w:rsid w:val="002548C7"/>
    <w:rsid w:val="00254BBC"/>
    <w:rsid w:val="00254CA5"/>
    <w:rsid w:val="00254DFE"/>
    <w:rsid w:val="00255174"/>
    <w:rsid w:val="00255548"/>
    <w:rsid w:val="00255792"/>
    <w:rsid w:val="00255849"/>
    <w:rsid w:val="00255E85"/>
    <w:rsid w:val="00256A36"/>
    <w:rsid w:val="00256DFD"/>
    <w:rsid w:val="0025713C"/>
    <w:rsid w:val="002573F9"/>
    <w:rsid w:val="002578FF"/>
    <w:rsid w:val="00257B89"/>
    <w:rsid w:val="00257E1D"/>
    <w:rsid w:val="00260697"/>
    <w:rsid w:val="00260826"/>
    <w:rsid w:val="00260A5B"/>
    <w:rsid w:val="00260C2E"/>
    <w:rsid w:val="00261163"/>
    <w:rsid w:val="0026141F"/>
    <w:rsid w:val="00261828"/>
    <w:rsid w:val="00261AD2"/>
    <w:rsid w:val="00261EEA"/>
    <w:rsid w:val="002624EC"/>
    <w:rsid w:val="00262564"/>
    <w:rsid w:val="00262EC5"/>
    <w:rsid w:val="00262FDA"/>
    <w:rsid w:val="00262FF3"/>
    <w:rsid w:val="00263239"/>
    <w:rsid w:val="002635EA"/>
    <w:rsid w:val="002637C3"/>
    <w:rsid w:val="0026391D"/>
    <w:rsid w:val="00263B7E"/>
    <w:rsid w:val="00263C2E"/>
    <w:rsid w:val="00263CB9"/>
    <w:rsid w:val="00263D03"/>
    <w:rsid w:val="00263D34"/>
    <w:rsid w:val="00263D58"/>
    <w:rsid w:val="002642BB"/>
    <w:rsid w:val="00264AB9"/>
    <w:rsid w:val="00265288"/>
    <w:rsid w:val="0026535A"/>
    <w:rsid w:val="002653D6"/>
    <w:rsid w:val="002659AA"/>
    <w:rsid w:val="00265BA9"/>
    <w:rsid w:val="00265FCD"/>
    <w:rsid w:val="0026620A"/>
    <w:rsid w:val="00266424"/>
    <w:rsid w:val="00266D68"/>
    <w:rsid w:val="00266E73"/>
    <w:rsid w:val="00267301"/>
    <w:rsid w:val="002674EB"/>
    <w:rsid w:val="0026796F"/>
    <w:rsid w:val="00270F6A"/>
    <w:rsid w:val="002711B1"/>
    <w:rsid w:val="0027136D"/>
    <w:rsid w:val="00271482"/>
    <w:rsid w:val="00271C29"/>
    <w:rsid w:val="00271E41"/>
    <w:rsid w:val="002720E8"/>
    <w:rsid w:val="00272176"/>
    <w:rsid w:val="002721DC"/>
    <w:rsid w:val="0027289C"/>
    <w:rsid w:val="002729A9"/>
    <w:rsid w:val="0027322A"/>
    <w:rsid w:val="002732A1"/>
    <w:rsid w:val="00273874"/>
    <w:rsid w:val="00273BA5"/>
    <w:rsid w:val="00273BE6"/>
    <w:rsid w:val="00273F4A"/>
    <w:rsid w:val="002740D5"/>
    <w:rsid w:val="00274DDA"/>
    <w:rsid w:val="0027529E"/>
    <w:rsid w:val="002755D9"/>
    <w:rsid w:val="00275754"/>
    <w:rsid w:val="002757B2"/>
    <w:rsid w:val="0027592D"/>
    <w:rsid w:val="00277203"/>
    <w:rsid w:val="002772B3"/>
    <w:rsid w:val="002772D4"/>
    <w:rsid w:val="00277E9A"/>
    <w:rsid w:val="00277FA0"/>
    <w:rsid w:val="002800AA"/>
    <w:rsid w:val="00280442"/>
    <w:rsid w:val="002809B8"/>
    <w:rsid w:val="00280AA2"/>
    <w:rsid w:val="0028173A"/>
    <w:rsid w:val="00281809"/>
    <w:rsid w:val="00281E47"/>
    <w:rsid w:val="00282904"/>
    <w:rsid w:val="00282EC5"/>
    <w:rsid w:val="00283A49"/>
    <w:rsid w:val="00283FED"/>
    <w:rsid w:val="00284273"/>
    <w:rsid w:val="00284923"/>
    <w:rsid w:val="00284A2A"/>
    <w:rsid w:val="00284C61"/>
    <w:rsid w:val="0028503A"/>
    <w:rsid w:val="002854FF"/>
    <w:rsid w:val="002856D5"/>
    <w:rsid w:val="00285923"/>
    <w:rsid w:val="00285C86"/>
    <w:rsid w:val="00286064"/>
    <w:rsid w:val="0028660C"/>
    <w:rsid w:val="00286B87"/>
    <w:rsid w:val="00286EDE"/>
    <w:rsid w:val="00287325"/>
    <w:rsid w:val="0028741B"/>
    <w:rsid w:val="002875EE"/>
    <w:rsid w:val="00290A44"/>
    <w:rsid w:val="00290B09"/>
    <w:rsid w:val="0029158F"/>
    <w:rsid w:val="002918BC"/>
    <w:rsid w:val="00291E0B"/>
    <w:rsid w:val="00292047"/>
    <w:rsid w:val="00292196"/>
    <w:rsid w:val="00292307"/>
    <w:rsid w:val="00292A03"/>
    <w:rsid w:val="00293032"/>
    <w:rsid w:val="00293B3C"/>
    <w:rsid w:val="00293C13"/>
    <w:rsid w:val="00294973"/>
    <w:rsid w:val="00295425"/>
    <w:rsid w:val="002956CC"/>
    <w:rsid w:val="00295753"/>
    <w:rsid w:val="0029595A"/>
    <w:rsid w:val="00296142"/>
    <w:rsid w:val="0029615D"/>
    <w:rsid w:val="002966B9"/>
    <w:rsid w:val="00296AF9"/>
    <w:rsid w:val="00296CC6"/>
    <w:rsid w:val="00296F4C"/>
    <w:rsid w:val="002972BB"/>
    <w:rsid w:val="00297525"/>
    <w:rsid w:val="0029799C"/>
    <w:rsid w:val="002A0077"/>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A28"/>
    <w:rsid w:val="002A2EC7"/>
    <w:rsid w:val="002A30D1"/>
    <w:rsid w:val="002A4C98"/>
    <w:rsid w:val="002A4E5B"/>
    <w:rsid w:val="002A4F29"/>
    <w:rsid w:val="002A5586"/>
    <w:rsid w:val="002A57A4"/>
    <w:rsid w:val="002A5A5A"/>
    <w:rsid w:val="002A5C14"/>
    <w:rsid w:val="002A5CC4"/>
    <w:rsid w:val="002A5CE4"/>
    <w:rsid w:val="002A733B"/>
    <w:rsid w:val="002A7E33"/>
    <w:rsid w:val="002A7E8A"/>
    <w:rsid w:val="002A7F73"/>
    <w:rsid w:val="002B0119"/>
    <w:rsid w:val="002B0398"/>
    <w:rsid w:val="002B0970"/>
    <w:rsid w:val="002B0A24"/>
    <w:rsid w:val="002B0C00"/>
    <w:rsid w:val="002B0E7A"/>
    <w:rsid w:val="002B11F7"/>
    <w:rsid w:val="002B1B6F"/>
    <w:rsid w:val="002B2412"/>
    <w:rsid w:val="002B370F"/>
    <w:rsid w:val="002B3AA7"/>
    <w:rsid w:val="002B3E05"/>
    <w:rsid w:val="002B46FD"/>
    <w:rsid w:val="002B4AE3"/>
    <w:rsid w:val="002B4C5C"/>
    <w:rsid w:val="002B4D0E"/>
    <w:rsid w:val="002B4E17"/>
    <w:rsid w:val="002B5153"/>
    <w:rsid w:val="002B5188"/>
    <w:rsid w:val="002B5309"/>
    <w:rsid w:val="002B591A"/>
    <w:rsid w:val="002B5B77"/>
    <w:rsid w:val="002B67AF"/>
    <w:rsid w:val="002B6988"/>
    <w:rsid w:val="002B6AAD"/>
    <w:rsid w:val="002B7042"/>
    <w:rsid w:val="002B74E4"/>
    <w:rsid w:val="002C04B3"/>
    <w:rsid w:val="002C04E4"/>
    <w:rsid w:val="002C091E"/>
    <w:rsid w:val="002C0D5A"/>
    <w:rsid w:val="002C10BB"/>
    <w:rsid w:val="002C15BC"/>
    <w:rsid w:val="002C1815"/>
    <w:rsid w:val="002C1CEC"/>
    <w:rsid w:val="002C1E92"/>
    <w:rsid w:val="002C22B5"/>
    <w:rsid w:val="002C22D1"/>
    <w:rsid w:val="002C2570"/>
    <w:rsid w:val="002C2899"/>
    <w:rsid w:val="002C31F4"/>
    <w:rsid w:val="002C3472"/>
    <w:rsid w:val="002C357C"/>
    <w:rsid w:val="002C41C8"/>
    <w:rsid w:val="002C42E9"/>
    <w:rsid w:val="002C4CFF"/>
    <w:rsid w:val="002C4E05"/>
    <w:rsid w:val="002C50B8"/>
    <w:rsid w:val="002C5699"/>
    <w:rsid w:val="002C6636"/>
    <w:rsid w:val="002C6743"/>
    <w:rsid w:val="002C6A8C"/>
    <w:rsid w:val="002C6D00"/>
    <w:rsid w:val="002C71F6"/>
    <w:rsid w:val="002C7D7B"/>
    <w:rsid w:val="002C7DFB"/>
    <w:rsid w:val="002C7EE7"/>
    <w:rsid w:val="002D0663"/>
    <w:rsid w:val="002D0E15"/>
    <w:rsid w:val="002D1494"/>
    <w:rsid w:val="002D1619"/>
    <w:rsid w:val="002D17B5"/>
    <w:rsid w:val="002D19B1"/>
    <w:rsid w:val="002D1CF9"/>
    <w:rsid w:val="002D2D95"/>
    <w:rsid w:val="002D3C62"/>
    <w:rsid w:val="002D3D31"/>
    <w:rsid w:val="002D40CE"/>
    <w:rsid w:val="002D4132"/>
    <w:rsid w:val="002D4414"/>
    <w:rsid w:val="002D44D9"/>
    <w:rsid w:val="002D44E7"/>
    <w:rsid w:val="002D5091"/>
    <w:rsid w:val="002D58E9"/>
    <w:rsid w:val="002D5EAA"/>
    <w:rsid w:val="002D65EA"/>
    <w:rsid w:val="002D6635"/>
    <w:rsid w:val="002D6AAF"/>
    <w:rsid w:val="002D7B9C"/>
    <w:rsid w:val="002E0469"/>
    <w:rsid w:val="002E04D3"/>
    <w:rsid w:val="002E08E3"/>
    <w:rsid w:val="002E0A63"/>
    <w:rsid w:val="002E0B01"/>
    <w:rsid w:val="002E1B5F"/>
    <w:rsid w:val="002E1FAC"/>
    <w:rsid w:val="002E22B7"/>
    <w:rsid w:val="002E2670"/>
    <w:rsid w:val="002E26C8"/>
    <w:rsid w:val="002E3025"/>
    <w:rsid w:val="002E313A"/>
    <w:rsid w:val="002E327C"/>
    <w:rsid w:val="002E3478"/>
    <w:rsid w:val="002E3C15"/>
    <w:rsid w:val="002E4342"/>
    <w:rsid w:val="002E452D"/>
    <w:rsid w:val="002E455E"/>
    <w:rsid w:val="002E4A38"/>
    <w:rsid w:val="002E4FB2"/>
    <w:rsid w:val="002E51C8"/>
    <w:rsid w:val="002E61DB"/>
    <w:rsid w:val="002E6744"/>
    <w:rsid w:val="002E6DFC"/>
    <w:rsid w:val="002E7141"/>
    <w:rsid w:val="002E7467"/>
    <w:rsid w:val="002E7573"/>
    <w:rsid w:val="002E772D"/>
    <w:rsid w:val="002E7943"/>
    <w:rsid w:val="002F0DA2"/>
    <w:rsid w:val="002F14EC"/>
    <w:rsid w:val="002F1B9B"/>
    <w:rsid w:val="002F2326"/>
    <w:rsid w:val="002F26A8"/>
    <w:rsid w:val="002F350D"/>
    <w:rsid w:val="002F3C61"/>
    <w:rsid w:val="002F3D27"/>
    <w:rsid w:val="002F4211"/>
    <w:rsid w:val="002F4A3D"/>
    <w:rsid w:val="002F4F8A"/>
    <w:rsid w:val="002F5029"/>
    <w:rsid w:val="002F5140"/>
    <w:rsid w:val="002F51F0"/>
    <w:rsid w:val="002F57D8"/>
    <w:rsid w:val="002F57D9"/>
    <w:rsid w:val="002F5D36"/>
    <w:rsid w:val="002F5DCA"/>
    <w:rsid w:val="002F6072"/>
    <w:rsid w:val="002F60A7"/>
    <w:rsid w:val="002F6149"/>
    <w:rsid w:val="002F6519"/>
    <w:rsid w:val="002F6676"/>
    <w:rsid w:val="002F668D"/>
    <w:rsid w:val="002F6906"/>
    <w:rsid w:val="002F69E1"/>
    <w:rsid w:val="002F6AC2"/>
    <w:rsid w:val="002F6DC4"/>
    <w:rsid w:val="002F716C"/>
    <w:rsid w:val="002F75DB"/>
    <w:rsid w:val="002F76B4"/>
    <w:rsid w:val="002F7A64"/>
    <w:rsid w:val="002F7F8F"/>
    <w:rsid w:val="00300173"/>
    <w:rsid w:val="0030027B"/>
    <w:rsid w:val="00301162"/>
    <w:rsid w:val="0030131B"/>
    <w:rsid w:val="0030168D"/>
    <w:rsid w:val="00301ED7"/>
    <w:rsid w:val="00302B7D"/>
    <w:rsid w:val="00302F41"/>
    <w:rsid w:val="00303549"/>
    <w:rsid w:val="00303662"/>
    <w:rsid w:val="003038DE"/>
    <w:rsid w:val="003039F5"/>
    <w:rsid w:val="00303C5E"/>
    <w:rsid w:val="00303E35"/>
    <w:rsid w:val="0030406F"/>
    <w:rsid w:val="003043EC"/>
    <w:rsid w:val="003044B6"/>
    <w:rsid w:val="003048F7"/>
    <w:rsid w:val="003049DB"/>
    <w:rsid w:val="00304B17"/>
    <w:rsid w:val="00304C3D"/>
    <w:rsid w:val="003050AD"/>
    <w:rsid w:val="00305499"/>
    <w:rsid w:val="003060F5"/>
    <w:rsid w:val="00306CCC"/>
    <w:rsid w:val="00307138"/>
    <w:rsid w:val="0030713F"/>
    <w:rsid w:val="0030751F"/>
    <w:rsid w:val="00307666"/>
    <w:rsid w:val="003077E1"/>
    <w:rsid w:val="00310048"/>
    <w:rsid w:val="003100AD"/>
    <w:rsid w:val="003106CA"/>
    <w:rsid w:val="00310C03"/>
    <w:rsid w:val="00310D42"/>
    <w:rsid w:val="00310F7F"/>
    <w:rsid w:val="00311113"/>
    <w:rsid w:val="00311AFB"/>
    <w:rsid w:val="0031212F"/>
    <w:rsid w:val="003128B0"/>
    <w:rsid w:val="003131A1"/>
    <w:rsid w:val="003133F4"/>
    <w:rsid w:val="00313833"/>
    <w:rsid w:val="003139F2"/>
    <w:rsid w:val="00313FF1"/>
    <w:rsid w:val="00314316"/>
    <w:rsid w:val="0031431B"/>
    <w:rsid w:val="00314405"/>
    <w:rsid w:val="00315257"/>
    <w:rsid w:val="003153DF"/>
    <w:rsid w:val="0031557F"/>
    <w:rsid w:val="00315F28"/>
    <w:rsid w:val="003160AC"/>
    <w:rsid w:val="00316254"/>
    <w:rsid w:val="003162F7"/>
    <w:rsid w:val="00316573"/>
    <w:rsid w:val="0031664A"/>
    <w:rsid w:val="00316998"/>
    <w:rsid w:val="003172C6"/>
    <w:rsid w:val="0031755C"/>
    <w:rsid w:val="0031774F"/>
    <w:rsid w:val="003178C4"/>
    <w:rsid w:val="00317A66"/>
    <w:rsid w:val="00320253"/>
    <w:rsid w:val="0032027C"/>
    <w:rsid w:val="00320330"/>
    <w:rsid w:val="0032038F"/>
    <w:rsid w:val="0032039D"/>
    <w:rsid w:val="00320788"/>
    <w:rsid w:val="00320B4C"/>
    <w:rsid w:val="00320CE3"/>
    <w:rsid w:val="00320F36"/>
    <w:rsid w:val="003211D2"/>
    <w:rsid w:val="00321262"/>
    <w:rsid w:val="003213A8"/>
    <w:rsid w:val="00321577"/>
    <w:rsid w:val="003218BC"/>
    <w:rsid w:val="00321BBD"/>
    <w:rsid w:val="00321C0D"/>
    <w:rsid w:val="003224CA"/>
    <w:rsid w:val="00322616"/>
    <w:rsid w:val="00322BD8"/>
    <w:rsid w:val="00322F87"/>
    <w:rsid w:val="003232B1"/>
    <w:rsid w:val="0032358B"/>
    <w:rsid w:val="00323E56"/>
    <w:rsid w:val="00324214"/>
    <w:rsid w:val="0032442C"/>
    <w:rsid w:val="0032458C"/>
    <w:rsid w:val="00324AF9"/>
    <w:rsid w:val="00325A75"/>
    <w:rsid w:val="00325A82"/>
    <w:rsid w:val="00325CFA"/>
    <w:rsid w:val="0032625E"/>
    <w:rsid w:val="0032684B"/>
    <w:rsid w:val="00326C56"/>
    <w:rsid w:val="00326E8E"/>
    <w:rsid w:val="00326F2D"/>
    <w:rsid w:val="00327204"/>
    <w:rsid w:val="003272E4"/>
    <w:rsid w:val="00330754"/>
    <w:rsid w:val="00330807"/>
    <w:rsid w:val="00330C1E"/>
    <w:rsid w:val="0033138C"/>
    <w:rsid w:val="003316BC"/>
    <w:rsid w:val="003316C0"/>
    <w:rsid w:val="003317DD"/>
    <w:rsid w:val="003317FB"/>
    <w:rsid w:val="003319F9"/>
    <w:rsid w:val="00332167"/>
    <w:rsid w:val="00332389"/>
    <w:rsid w:val="003323DC"/>
    <w:rsid w:val="00332408"/>
    <w:rsid w:val="003327AD"/>
    <w:rsid w:val="00332BFF"/>
    <w:rsid w:val="00332DDD"/>
    <w:rsid w:val="00333280"/>
    <w:rsid w:val="003332B9"/>
    <w:rsid w:val="003338F4"/>
    <w:rsid w:val="00333BA7"/>
    <w:rsid w:val="0033411B"/>
    <w:rsid w:val="00334137"/>
    <w:rsid w:val="003341CF"/>
    <w:rsid w:val="003342E3"/>
    <w:rsid w:val="00334BBE"/>
    <w:rsid w:val="003351CE"/>
    <w:rsid w:val="00335363"/>
    <w:rsid w:val="00335594"/>
    <w:rsid w:val="0033606B"/>
    <w:rsid w:val="003361B9"/>
    <w:rsid w:val="003363D3"/>
    <w:rsid w:val="0033714E"/>
    <w:rsid w:val="00337357"/>
    <w:rsid w:val="00337619"/>
    <w:rsid w:val="00337841"/>
    <w:rsid w:val="00337E98"/>
    <w:rsid w:val="003402F4"/>
    <w:rsid w:val="0034035A"/>
    <w:rsid w:val="0034049A"/>
    <w:rsid w:val="003404FD"/>
    <w:rsid w:val="00340F40"/>
    <w:rsid w:val="00341250"/>
    <w:rsid w:val="003415B6"/>
    <w:rsid w:val="00341ABF"/>
    <w:rsid w:val="003431EF"/>
    <w:rsid w:val="00343ED5"/>
    <w:rsid w:val="0034411C"/>
    <w:rsid w:val="0034434F"/>
    <w:rsid w:val="00344579"/>
    <w:rsid w:val="003449CC"/>
    <w:rsid w:val="00344AC6"/>
    <w:rsid w:val="00344BF6"/>
    <w:rsid w:val="00344D4B"/>
    <w:rsid w:val="00344FCE"/>
    <w:rsid w:val="00345162"/>
    <w:rsid w:val="00345549"/>
    <w:rsid w:val="0034556D"/>
    <w:rsid w:val="00345984"/>
    <w:rsid w:val="00346488"/>
    <w:rsid w:val="003465BF"/>
    <w:rsid w:val="00346BF5"/>
    <w:rsid w:val="00346E04"/>
    <w:rsid w:val="0034701E"/>
    <w:rsid w:val="00347061"/>
    <w:rsid w:val="003471A1"/>
    <w:rsid w:val="00347D22"/>
    <w:rsid w:val="00347D46"/>
    <w:rsid w:val="00347EC4"/>
    <w:rsid w:val="003509AF"/>
    <w:rsid w:val="00350AB9"/>
    <w:rsid w:val="0035106F"/>
    <w:rsid w:val="00351F5C"/>
    <w:rsid w:val="00351F88"/>
    <w:rsid w:val="00352634"/>
    <w:rsid w:val="0035264B"/>
    <w:rsid w:val="00352794"/>
    <w:rsid w:val="00352803"/>
    <w:rsid w:val="00352AA8"/>
    <w:rsid w:val="00352DAC"/>
    <w:rsid w:val="00353712"/>
    <w:rsid w:val="00353C80"/>
    <w:rsid w:val="00354D83"/>
    <w:rsid w:val="00355406"/>
    <w:rsid w:val="0035563D"/>
    <w:rsid w:val="00355787"/>
    <w:rsid w:val="00356171"/>
    <w:rsid w:val="00356A06"/>
    <w:rsid w:val="0035746D"/>
    <w:rsid w:val="0035799A"/>
    <w:rsid w:val="003602B2"/>
    <w:rsid w:val="0036046C"/>
    <w:rsid w:val="003606D8"/>
    <w:rsid w:val="00360921"/>
    <w:rsid w:val="00360A6E"/>
    <w:rsid w:val="00360E0D"/>
    <w:rsid w:val="00361767"/>
    <w:rsid w:val="003618D9"/>
    <w:rsid w:val="003619FE"/>
    <w:rsid w:val="00361E5D"/>
    <w:rsid w:val="003628A7"/>
    <w:rsid w:val="003629DB"/>
    <w:rsid w:val="0036337B"/>
    <w:rsid w:val="003634F3"/>
    <w:rsid w:val="003635CE"/>
    <w:rsid w:val="003636FA"/>
    <w:rsid w:val="0036376E"/>
    <w:rsid w:val="00363801"/>
    <w:rsid w:val="00363884"/>
    <w:rsid w:val="00363DFF"/>
    <w:rsid w:val="00363E10"/>
    <w:rsid w:val="00363E38"/>
    <w:rsid w:val="00364460"/>
    <w:rsid w:val="00364C58"/>
    <w:rsid w:val="00365184"/>
    <w:rsid w:val="00365B0F"/>
    <w:rsid w:val="0036610E"/>
    <w:rsid w:val="00366266"/>
    <w:rsid w:val="003662E9"/>
    <w:rsid w:val="003663AC"/>
    <w:rsid w:val="003663DA"/>
    <w:rsid w:val="003666C6"/>
    <w:rsid w:val="00366729"/>
    <w:rsid w:val="00366DA4"/>
    <w:rsid w:val="00366DFA"/>
    <w:rsid w:val="00367007"/>
    <w:rsid w:val="003674F8"/>
    <w:rsid w:val="003701BA"/>
    <w:rsid w:val="00370277"/>
    <w:rsid w:val="00370DC5"/>
    <w:rsid w:val="00370E68"/>
    <w:rsid w:val="00371148"/>
    <w:rsid w:val="00371C70"/>
    <w:rsid w:val="0037200E"/>
    <w:rsid w:val="00372AB3"/>
    <w:rsid w:val="00374134"/>
    <w:rsid w:val="00374283"/>
    <w:rsid w:val="0037434B"/>
    <w:rsid w:val="0037482B"/>
    <w:rsid w:val="00375FB3"/>
    <w:rsid w:val="003763F0"/>
    <w:rsid w:val="0037686C"/>
    <w:rsid w:val="00376E39"/>
    <w:rsid w:val="003771B9"/>
    <w:rsid w:val="00377374"/>
    <w:rsid w:val="00377AD4"/>
    <w:rsid w:val="00377D46"/>
    <w:rsid w:val="00377F02"/>
    <w:rsid w:val="00380A9E"/>
    <w:rsid w:val="00380CD7"/>
    <w:rsid w:val="00380E9D"/>
    <w:rsid w:val="00381045"/>
    <w:rsid w:val="003811DB"/>
    <w:rsid w:val="003812F2"/>
    <w:rsid w:val="0038132F"/>
    <w:rsid w:val="00381414"/>
    <w:rsid w:val="00381731"/>
    <w:rsid w:val="00381F47"/>
    <w:rsid w:val="003824EC"/>
    <w:rsid w:val="0038251C"/>
    <w:rsid w:val="00382A7E"/>
    <w:rsid w:val="00382A98"/>
    <w:rsid w:val="00382BA0"/>
    <w:rsid w:val="0038325D"/>
    <w:rsid w:val="00383601"/>
    <w:rsid w:val="00383D04"/>
    <w:rsid w:val="003848C6"/>
    <w:rsid w:val="0038507C"/>
    <w:rsid w:val="0038526A"/>
    <w:rsid w:val="00385AD6"/>
    <w:rsid w:val="00386297"/>
    <w:rsid w:val="0038630A"/>
    <w:rsid w:val="003869D9"/>
    <w:rsid w:val="00386C4F"/>
    <w:rsid w:val="00386C6B"/>
    <w:rsid w:val="00386EA2"/>
    <w:rsid w:val="00387033"/>
    <w:rsid w:val="00387038"/>
    <w:rsid w:val="00387180"/>
    <w:rsid w:val="00387217"/>
    <w:rsid w:val="003875E2"/>
    <w:rsid w:val="00387A5E"/>
    <w:rsid w:val="0039015F"/>
    <w:rsid w:val="00390E5C"/>
    <w:rsid w:val="00390FE9"/>
    <w:rsid w:val="003910BB"/>
    <w:rsid w:val="00391381"/>
    <w:rsid w:val="00391420"/>
    <w:rsid w:val="003914C4"/>
    <w:rsid w:val="00391757"/>
    <w:rsid w:val="00391B58"/>
    <w:rsid w:val="003923C7"/>
    <w:rsid w:val="00392C67"/>
    <w:rsid w:val="00392CC9"/>
    <w:rsid w:val="00392FDC"/>
    <w:rsid w:val="0039332C"/>
    <w:rsid w:val="00393CC7"/>
    <w:rsid w:val="00393D73"/>
    <w:rsid w:val="0039442F"/>
    <w:rsid w:val="00394861"/>
    <w:rsid w:val="00394B0F"/>
    <w:rsid w:val="00394CA7"/>
    <w:rsid w:val="0039507F"/>
    <w:rsid w:val="0039610A"/>
    <w:rsid w:val="003964F5"/>
    <w:rsid w:val="003965E9"/>
    <w:rsid w:val="00397470"/>
    <w:rsid w:val="00397BF4"/>
    <w:rsid w:val="00397C48"/>
    <w:rsid w:val="003A05CD"/>
    <w:rsid w:val="003A07BD"/>
    <w:rsid w:val="003A0BCF"/>
    <w:rsid w:val="003A0D2F"/>
    <w:rsid w:val="003A10CF"/>
    <w:rsid w:val="003A2678"/>
    <w:rsid w:val="003A26A5"/>
    <w:rsid w:val="003A2837"/>
    <w:rsid w:val="003A3158"/>
    <w:rsid w:val="003A36D6"/>
    <w:rsid w:val="003A3985"/>
    <w:rsid w:val="003A3B6D"/>
    <w:rsid w:val="003A4073"/>
    <w:rsid w:val="003A4F00"/>
    <w:rsid w:val="003A4F56"/>
    <w:rsid w:val="003A5208"/>
    <w:rsid w:val="003A540B"/>
    <w:rsid w:val="003A5701"/>
    <w:rsid w:val="003A59F9"/>
    <w:rsid w:val="003A5B2F"/>
    <w:rsid w:val="003A605D"/>
    <w:rsid w:val="003A682C"/>
    <w:rsid w:val="003A6BF8"/>
    <w:rsid w:val="003A7B2E"/>
    <w:rsid w:val="003A7B30"/>
    <w:rsid w:val="003A7D99"/>
    <w:rsid w:val="003A7F09"/>
    <w:rsid w:val="003B103A"/>
    <w:rsid w:val="003B1220"/>
    <w:rsid w:val="003B1B1C"/>
    <w:rsid w:val="003B1B98"/>
    <w:rsid w:val="003B1C15"/>
    <w:rsid w:val="003B1DF9"/>
    <w:rsid w:val="003B2015"/>
    <w:rsid w:val="003B2A59"/>
    <w:rsid w:val="003B2C18"/>
    <w:rsid w:val="003B2D92"/>
    <w:rsid w:val="003B2FEB"/>
    <w:rsid w:val="003B3DA2"/>
    <w:rsid w:val="003B4147"/>
    <w:rsid w:val="003B4210"/>
    <w:rsid w:val="003B49DD"/>
    <w:rsid w:val="003B4AB5"/>
    <w:rsid w:val="003B56BF"/>
    <w:rsid w:val="003B5AAC"/>
    <w:rsid w:val="003B5C19"/>
    <w:rsid w:val="003B5E03"/>
    <w:rsid w:val="003B63AA"/>
    <w:rsid w:val="003C0930"/>
    <w:rsid w:val="003C1086"/>
    <w:rsid w:val="003C12A5"/>
    <w:rsid w:val="003C15A1"/>
    <w:rsid w:val="003C16D1"/>
    <w:rsid w:val="003C17A5"/>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200"/>
    <w:rsid w:val="003C533C"/>
    <w:rsid w:val="003C5D57"/>
    <w:rsid w:val="003C602B"/>
    <w:rsid w:val="003C672D"/>
    <w:rsid w:val="003C6777"/>
    <w:rsid w:val="003C6E03"/>
    <w:rsid w:val="003C6EA3"/>
    <w:rsid w:val="003C7527"/>
    <w:rsid w:val="003C753E"/>
    <w:rsid w:val="003C79BD"/>
    <w:rsid w:val="003D00C9"/>
    <w:rsid w:val="003D0638"/>
    <w:rsid w:val="003D0B64"/>
    <w:rsid w:val="003D16C8"/>
    <w:rsid w:val="003D183A"/>
    <w:rsid w:val="003D1D5C"/>
    <w:rsid w:val="003D232C"/>
    <w:rsid w:val="003D2427"/>
    <w:rsid w:val="003D25CB"/>
    <w:rsid w:val="003D25D9"/>
    <w:rsid w:val="003D28A8"/>
    <w:rsid w:val="003D2E75"/>
    <w:rsid w:val="003D3638"/>
    <w:rsid w:val="003D37AB"/>
    <w:rsid w:val="003D3A92"/>
    <w:rsid w:val="003D3CFF"/>
    <w:rsid w:val="003D4480"/>
    <w:rsid w:val="003D540E"/>
    <w:rsid w:val="003D59BC"/>
    <w:rsid w:val="003D5A23"/>
    <w:rsid w:val="003D5BE3"/>
    <w:rsid w:val="003D644A"/>
    <w:rsid w:val="003D68C1"/>
    <w:rsid w:val="003D6A8E"/>
    <w:rsid w:val="003D7237"/>
    <w:rsid w:val="003D763C"/>
    <w:rsid w:val="003D780F"/>
    <w:rsid w:val="003D7C43"/>
    <w:rsid w:val="003E012B"/>
    <w:rsid w:val="003E0891"/>
    <w:rsid w:val="003E0A97"/>
    <w:rsid w:val="003E0D5A"/>
    <w:rsid w:val="003E0DBF"/>
    <w:rsid w:val="003E163E"/>
    <w:rsid w:val="003E17E9"/>
    <w:rsid w:val="003E2003"/>
    <w:rsid w:val="003E2152"/>
    <w:rsid w:val="003E27D4"/>
    <w:rsid w:val="003E28FA"/>
    <w:rsid w:val="003E30CD"/>
    <w:rsid w:val="003E33B8"/>
    <w:rsid w:val="003E346A"/>
    <w:rsid w:val="003E3C13"/>
    <w:rsid w:val="003E4111"/>
    <w:rsid w:val="003E464C"/>
    <w:rsid w:val="003E4654"/>
    <w:rsid w:val="003E4AA6"/>
    <w:rsid w:val="003E4AC7"/>
    <w:rsid w:val="003E4B87"/>
    <w:rsid w:val="003E4E66"/>
    <w:rsid w:val="003E50E9"/>
    <w:rsid w:val="003E580C"/>
    <w:rsid w:val="003E5D89"/>
    <w:rsid w:val="003E5F03"/>
    <w:rsid w:val="003E5FEE"/>
    <w:rsid w:val="003E6072"/>
    <w:rsid w:val="003E6135"/>
    <w:rsid w:val="003E6920"/>
    <w:rsid w:val="003E6E42"/>
    <w:rsid w:val="003E6F35"/>
    <w:rsid w:val="003E7193"/>
    <w:rsid w:val="003E73D4"/>
    <w:rsid w:val="003E7555"/>
    <w:rsid w:val="003E76A0"/>
    <w:rsid w:val="003E7A5F"/>
    <w:rsid w:val="003F1303"/>
    <w:rsid w:val="003F223F"/>
    <w:rsid w:val="003F2465"/>
    <w:rsid w:val="003F2B68"/>
    <w:rsid w:val="003F2F03"/>
    <w:rsid w:val="003F437C"/>
    <w:rsid w:val="003F4A1E"/>
    <w:rsid w:val="003F4E65"/>
    <w:rsid w:val="003F598E"/>
    <w:rsid w:val="003F5B79"/>
    <w:rsid w:val="003F5B9E"/>
    <w:rsid w:val="003F5CEB"/>
    <w:rsid w:val="003F63C7"/>
    <w:rsid w:val="003F64B0"/>
    <w:rsid w:val="003F67D8"/>
    <w:rsid w:val="003F6CDD"/>
    <w:rsid w:val="003F6D98"/>
    <w:rsid w:val="003F75B2"/>
    <w:rsid w:val="003F7B0C"/>
    <w:rsid w:val="00400090"/>
    <w:rsid w:val="00400C3D"/>
    <w:rsid w:val="0040119C"/>
    <w:rsid w:val="00401978"/>
    <w:rsid w:val="00401B97"/>
    <w:rsid w:val="00401D4B"/>
    <w:rsid w:val="00401DF6"/>
    <w:rsid w:val="00401EE8"/>
    <w:rsid w:val="00401FB2"/>
    <w:rsid w:val="00402183"/>
    <w:rsid w:val="00402EED"/>
    <w:rsid w:val="0040339A"/>
    <w:rsid w:val="00403818"/>
    <w:rsid w:val="00403BD5"/>
    <w:rsid w:val="00403F5C"/>
    <w:rsid w:val="0040400B"/>
    <w:rsid w:val="00404187"/>
    <w:rsid w:val="004048E6"/>
    <w:rsid w:val="004051AE"/>
    <w:rsid w:val="004052C6"/>
    <w:rsid w:val="00405DB6"/>
    <w:rsid w:val="0040621F"/>
    <w:rsid w:val="00406312"/>
    <w:rsid w:val="004063C0"/>
    <w:rsid w:val="00406B03"/>
    <w:rsid w:val="00406C64"/>
    <w:rsid w:val="00406E16"/>
    <w:rsid w:val="00407231"/>
    <w:rsid w:val="004074C0"/>
    <w:rsid w:val="00407C54"/>
    <w:rsid w:val="00407F66"/>
    <w:rsid w:val="0041014C"/>
    <w:rsid w:val="00410348"/>
    <w:rsid w:val="004106BD"/>
    <w:rsid w:val="00410C05"/>
    <w:rsid w:val="00411532"/>
    <w:rsid w:val="00411D64"/>
    <w:rsid w:val="0041205B"/>
    <w:rsid w:val="004121DD"/>
    <w:rsid w:val="0041246E"/>
    <w:rsid w:val="00412843"/>
    <w:rsid w:val="00412B36"/>
    <w:rsid w:val="00412B6D"/>
    <w:rsid w:val="00412E17"/>
    <w:rsid w:val="0041301F"/>
    <w:rsid w:val="004132EF"/>
    <w:rsid w:val="004134FD"/>
    <w:rsid w:val="0041366E"/>
    <w:rsid w:val="0041410B"/>
    <w:rsid w:val="004141BC"/>
    <w:rsid w:val="00414DF4"/>
    <w:rsid w:val="004150C9"/>
    <w:rsid w:val="004159A5"/>
    <w:rsid w:val="00415E09"/>
    <w:rsid w:val="0041632F"/>
    <w:rsid w:val="004164CF"/>
    <w:rsid w:val="00416689"/>
    <w:rsid w:val="00416A7D"/>
    <w:rsid w:val="00416B3E"/>
    <w:rsid w:val="00416C8F"/>
    <w:rsid w:val="00417373"/>
    <w:rsid w:val="0041744F"/>
    <w:rsid w:val="00417B9D"/>
    <w:rsid w:val="00417BEA"/>
    <w:rsid w:val="00417BF8"/>
    <w:rsid w:val="00417EA4"/>
    <w:rsid w:val="00420081"/>
    <w:rsid w:val="0042044E"/>
    <w:rsid w:val="00420667"/>
    <w:rsid w:val="00420823"/>
    <w:rsid w:val="0042089F"/>
    <w:rsid w:val="0042169D"/>
    <w:rsid w:val="00421A97"/>
    <w:rsid w:val="00422796"/>
    <w:rsid w:val="00422F8A"/>
    <w:rsid w:val="004231B3"/>
    <w:rsid w:val="004232B2"/>
    <w:rsid w:val="004239F1"/>
    <w:rsid w:val="00423AA5"/>
    <w:rsid w:val="00423B23"/>
    <w:rsid w:val="00423C82"/>
    <w:rsid w:val="004245D6"/>
    <w:rsid w:val="00424A21"/>
    <w:rsid w:val="00425506"/>
    <w:rsid w:val="004257B6"/>
    <w:rsid w:val="004257F8"/>
    <w:rsid w:val="00425880"/>
    <w:rsid w:val="00425D6B"/>
    <w:rsid w:val="00425EC4"/>
    <w:rsid w:val="00425F82"/>
    <w:rsid w:val="00426D49"/>
    <w:rsid w:val="0042763E"/>
    <w:rsid w:val="00427749"/>
    <w:rsid w:val="00427B92"/>
    <w:rsid w:val="004307CC"/>
    <w:rsid w:val="00430EB4"/>
    <w:rsid w:val="0043125E"/>
    <w:rsid w:val="004315AF"/>
    <w:rsid w:val="00431681"/>
    <w:rsid w:val="00431E22"/>
    <w:rsid w:val="004322E5"/>
    <w:rsid w:val="00432372"/>
    <w:rsid w:val="00432831"/>
    <w:rsid w:val="00432B7D"/>
    <w:rsid w:val="00432ECE"/>
    <w:rsid w:val="00433121"/>
    <w:rsid w:val="0043362B"/>
    <w:rsid w:val="004336A7"/>
    <w:rsid w:val="00433858"/>
    <w:rsid w:val="00433D79"/>
    <w:rsid w:val="004344A0"/>
    <w:rsid w:val="0043464E"/>
    <w:rsid w:val="0043533B"/>
    <w:rsid w:val="004355F9"/>
    <w:rsid w:val="00435B3F"/>
    <w:rsid w:val="00435ECC"/>
    <w:rsid w:val="00436157"/>
    <w:rsid w:val="004363D1"/>
    <w:rsid w:val="0043656E"/>
    <w:rsid w:val="004365AC"/>
    <w:rsid w:val="004365CB"/>
    <w:rsid w:val="00436C0D"/>
    <w:rsid w:val="00436C42"/>
    <w:rsid w:val="00437101"/>
    <w:rsid w:val="00437330"/>
    <w:rsid w:val="00437455"/>
    <w:rsid w:val="00437473"/>
    <w:rsid w:val="0043796C"/>
    <w:rsid w:val="00440166"/>
    <w:rsid w:val="004404F1"/>
    <w:rsid w:val="00440EE7"/>
    <w:rsid w:val="0044141F"/>
    <w:rsid w:val="00441814"/>
    <w:rsid w:val="00441D07"/>
    <w:rsid w:val="0044210B"/>
    <w:rsid w:val="004425B3"/>
    <w:rsid w:val="004425F1"/>
    <w:rsid w:val="00442820"/>
    <w:rsid w:val="0044323C"/>
    <w:rsid w:val="00443644"/>
    <w:rsid w:val="00443E86"/>
    <w:rsid w:val="0044427E"/>
    <w:rsid w:val="004444C1"/>
    <w:rsid w:val="00444552"/>
    <w:rsid w:val="004448DF"/>
    <w:rsid w:val="00444904"/>
    <w:rsid w:val="00444A3C"/>
    <w:rsid w:val="00444BEA"/>
    <w:rsid w:val="00444D4D"/>
    <w:rsid w:val="004456E1"/>
    <w:rsid w:val="00445850"/>
    <w:rsid w:val="00445A59"/>
    <w:rsid w:val="00446558"/>
    <w:rsid w:val="004466AA"/>
    <w:rsid w:val="00446D8F"/>
    <w:rsid w:val="00446FDB"/>
    <w:rsid w:val="004472CB"/>
    <w:rsid w:val="00447A86"/>
    <w:rsid w:val="00447AA5"/>
    <w:rsid w:val="00447D55"/>
    <w:rsid w:val="00450BF9"/>
    <w:rsid w:val="0045120F"/>
    <w:rsid w:val="00451A40"/>
    <w:rsid w:val="0045222E"/>
    <w:rsid w:val="0045326D"/>
    <w:rsid w:val="004534F7"/>
    <w:rsid w:val="00453814"/>
    <w:rsid w:val="00453F01"/>
    <w:rsid w:val="00453F38"/>
    <w:rsid w:val="004549B6"/>
    <w:rsid w:val="00454B3F"/>
    <w:rsid w:val="00454D69"/>
    <w:rsid w:val="00455216"/>
    <w:rsid w:val="004558F6"/>
    <w:rsid w:val="004559A3"/>
    <w:rsid w:val="00455C96"/>
    <w:rsid w:val="00456F76"/>
    <w:rsid w:val="0045779B"/>
    <w:rsid w:val="004577DB"/>
    <w:rsid w:val="00457859"/>
    <w:rsid w:val="00457B76"/>
    <w:rsid w:val="00457F59"/>
    <w:rsid w:val="00457FE1"/>
    <w:rsid w:val="004604EE"/>
    <w:rsid w:val="004605CB"/>
    <w:rsid w:val="00460670"/>
    <w:rsid w:val="00460A44"/>
    <w:rsid w:val="00460A84"/>
    <w:rsid w:val="00460DC2"/>
    <w:rsid w:val="00461B31"/>
    <w:rsid w:val="00461B82"/>
    <w:rsid w:val="00461BC1"/>
    <w:rsid w:val="00461EB5"/>
    <w:rsid w:val="00461F40"/>
    <w:rsid w:val="00462004"/>
    <w:rsid w:val="0046203E"/>
    <w:rsid w:val="00462130"/>
    <w:rsid w:val="004621AA"/>
    <w:rsid w:val="004626B0"/>
    <w:rsid w:val="00462FFE"/>
    <w:rsid w:val="00464205"/>
    <w:rsid w:val="0046463B"/>
    <w:rsid w:val="00464DFB"/>
    <w:rsid w:val="00464EA9"/>
    <w:rsid w:val="00464EED"/>
    <w:rsid w:val="004653D1"/>
    <w:rsid w:val="00465413"/>
    <w:rsid w:val="00465B99"/>
    <w:rsid w:val="004666A0"/>
    <w:rsid w:val="004667E3"/>
    <w:rsid w:val="00466D4D"/>
    <w:rsid w:val="00466F33"/>
    <w:rsid w:val="0046728A"/>
    <w:rsid w:val="00467513"/>
    <w:rsid w:val="0046760C"/>
    <w:rsid w:val="00467B40"/>
    <w:rsid w:val="00467C67"/>
    <w:rsid w:val="00467D1E"/>
    <w:rsid w:val="004701A1"/>
    <w:rsid w:val="004705A8"/>
    <w:rsid w:val="00470CF2"/>
    <w:rsid w:val="0047134E"/>
    <w:rsid w:val="004717ED"/>
    <w:rsid w:val="00471FA1"/>
    <w:rsid w:val="00472249"/>
    <w:rsid w:val="0047236E"/>
    <w:rsid w:val="004724E8"/>
    <w:rsid w:val="00472972"/>
    <w:rsid w:val="00472DB0"/>
    <w:rsid w:val="00473390"/>
    <w:rsid w:val="0047399F"/>
    <w:rsid w:val="00473DEB"/>
    <w:rsid w:val="00474176"/>
    <w:rsid w:val="004743B8"/>
    <w:rsid w:val="00474DA6"/>
    <w:rsid w:val="00474F47"/>
    <w:rsid w:val="00475203"/>
    <w:rsid w:val="00475A4F"/>
    <w:rsid w:val="00475C8A"/>
    <w:rsid w:val="004764C8"/>
    <w:rsid w:val="0047655C"/>
    <w:rsid w:val="004765C9"/>
    <w:rsid w:val="0047676D"/>
    <w:rsid w:val="00476BFC"/>
    <w:rsid w:val="00476D1E"/>
    <w:rsid w:val="004770B7"/>
    <w:rsid w:val="004770BA"/>
    <w:rsid w:val="00477427"/>
    <w:rsid w:val="00477785"/>
    <w:rsid w:val="00477FA1"/>
    <w:rsid w:val="00480C41"/>
    <w:rsid w:val="00481296"/>
    <w:rsid w:val="00481B70"/>
    <w:rsid w:val="00481C27"/>
    <w:rsid w:val="00481DD7"/>
    <w:rsid w:val="00482161"/>
    <w:rsid w:val="004822C1"/>
    <w:rsid w:val="00482DBF"/>
    <w:rsid w:val="00483254"/>
    <w:rsid w:val="00483B06"/>
    <w:rsid w:val="00483F5A"/>
    <w:rsid w:val="00484014"/>
    <w:rsid w:val="00484CFA"/>
    <w:rsid w:val="00485091"/>
    <w:rsid w:val="004850D2"/>
    <w:rsid w:val="004855E6"/>
    <w:rsid w:val="004857F9"/>
    <w:rsid w:val="004857FF"/>
    <w:rsid w:val="0048593E"/>
    <w:rsid w:val="00485ACC"/>
    <w:rsid w:val="00485DAE"/>
    <w:rsid w:val="00486444"/>
    <w:rsid w:val="004872CA"/>
    <w:rsid w:val="0048732F"/>
    <w:rsid w:val="00487624"/>
    <w:rsid w:val="004878DE"/>
    <w:rsid w:val="00487C18"/>
    <w:rsid w:val="00487F22"/>
    <w:rsid w:val="00487FFC"/>
    <w:rsid w:val="004900B0"/>
    <w:rsid w:val="00490667"/>
    <w:rsid w:val="004908A3"/>
    <w:rsid w:val="00490B1F"/>
    <w:rsid w:val="00490B64"/>
    <w:rsid w:val="00490B91"/>
    <w:rsid w:val="00491158"/>
    <w:rsid w:val="0049177E"/>
    <w:rsid w:val="00491ED8"/>
    <w:rsid w:val="004921E5"/>
    <w:rsid w:val="00492322"/>
    <w:rsid w:val="004925BB"/>
    <w:rsid w:val="0049295B"/>
    <w:rsid w:val="0049309E"/>
    <w:rsid w:val="00493332"/>
    <w:rsid w:val="0049337C"/>
    <w:rsid w:val="00493AA4"/>
    <w:rsid w:val="00493B96"/>
    <w:rsid w:val="00493CE0"/>
    <w:rsid w:val="00494213"/>
    <w:rsid w:val="0049425A"/>
    <w:rsid w:val="00494B71"/>
    <w:rsid w:val="00494D29"/>
    <w:rsid w:val="0049588F"/>
    <w:rsid w:val="0049677A"/>
    <w:rsid w:val="00497232"/>
    <w:rsid w:val="004973AA"/>
    <w:rsid w:val="00497BDB"/>
    <w:rsid w:val="00497CC3"/>
    <w:rsid w:val="00497D69"/>
    <w:rsid w:val="004A098F"/>
    <w:rsid w:val="004A0B9B"/>
    <w:rsid w:val="004A0BCE"/>
    <w:rsid w:val="004A0C7C"/>
    <w:rsid w:val="004A16FD"/>
    <w:rsid w:val="004A188C"/>
    <w:rsid w:val="004A1E21"/>
    <w:rsid w:val="004A225E"/>
    <w:rsid w:val="004A22DA"/>
    <w:rsid w:val="004A25A1"/>
    <w:rsid w:val="004A29D9"/>
    <w:rsid w:val="004A2AAE"/>
    <w:rsid w:val="004A2B06"/>
    <w:rsid w:val="004A2D43"/>
    <w:rsid w:val="004A35B4"/>
    <w:rsid w:val="004A4A51"/>
    <w:rsid w:val="004A546C"/>
    <w:rsid w:val="004A54D1"/>
    <w:rsid w:val="004A54EF"/>
    <w:rsid w:val="004A5DFF"/>
    <w:rsid w:val="004A63D0"/>
    <w:rsid w:val="004A680E"/>
    <w:rsid w:val="004A6963"/>
    <w:rsid w:val="004A6AC0"/>
    <w:rsid w:val="004A6FBB"/>
    <w:rsid w:val="004A73D7"/>
    <w:rsid w:val="004A7851"/>
    <w:rsid w:val="004B021B"/>
    <w:rsid w:val="004B0788"/>
    <w:rsid w:val="004B0919"/>
    <w:rsid w:val="004B0C95"/>
    <w:rsid w:val="004B0E84"/>
    <w:rsid w:val="004B0E87"/>
    <w:rsid w:val="004B0F0A"/>
    <w:rsid w:val="004B122B"/>
    <w:rsid w:val="004B1272"/>
    <w:rsid w:val="004B1D10"/>
    <w:rsid w:val="004B1FA4"/>
    <w:rsid w:val="004B2113"/>
    <w:rsid w:val="004B2AE4"/>
    <w:rsid w:val="004B2D89"/>
    <w:rsid w:val="004B36DA"/>
    <w:rsid w:val="004B3AD8"/>
    <w:rsid w:val="004B3B8D"/>
    <w:rsid w:val="004B46A2"/>
    <w:rsid w:val="004B5421"/>
    <w:rsid w:val="004B593C"/>
    <w:rsid w:val="004B5A25"/>
    <w:rsid w:val="004B5EA2"/>
    <w:rsid w:val="004B63EB"/>
    <w:rsid w:val="004B6527"/>
    <w:rsid w:val="004B657D"/>
    <w:rsid w:val="004B6A79"/>
    <w:rsid w:val="004B6FF4"/>
    <w:rsid w:val="004B707D"/>
    <w:rsid w:val="004B777A"/>
    <w:rsid w:val="004C0064"/>
    <w:rsid w:val="004C0482"/>
    <w:rsid w:val="004C09E6"/>
    <w:rsid w:val="004C0D22"/>
    <w:rsid w:val="004C0D92"/>
    <w:rsid w:val="004C132A"/>
    <w:rsid w:val="004C1499"/>
    <w:rsid w:val="004C1B1B"/>
    <w:rsid w:val="004C2032"/>
    <w:rsid w:val="004C20EE"/>
    <w:rsid w:val="004C2353"/>
    <w:rsid w:val="004C28F9"/>
    <w:rsid w:val="004C3747"/>
    <w:rsid w:val="004C3C64"/>
    <w:rsid w:val="004C3F7B"/>
    <w:rsid w:val="004C40D4"/>
    <w:rsid w:val="004C4759"/>
    <w:rsid w:val="004C5793"/>
    <w:rsid w:val="004C5ACD"/>
    <w:rsid w:val="004C6169"/>
    <w:rsid w:val="004C6A2A"/>
    <w:rsid w:val="004C70FF"/>
    <w:rsid w:val="004D0518"/>
    <w:rsid w:val="004D0974"/>
    <w:rsid w:val="004D0D00"/>
    <w:rsid w:val="004D1427"/>
    <w:rsid w:val="004D1628"/>
    <w:rsid w:val="004D18A6"/>
    <w:rsid w:val="004D1BC7"/>
    <w:rsid w:val="004D1BC9"/>
    <w:rsid w:val="004D2303"/>
    <w:rsid w:val="004D23E8"/>
    <w:rsid w:val="004D28F7"/>
    <w:rsid w:val="004D2C0D"/>
    <w:rsid w:val="004D2CD3"/>
    <w:rsid w:val="004D42D4"/>
    <w:rsid w:val="004D45A4"/>
    <w:rsid w:val="004D4B03"/>
    <w:rsid w:val="004D4B21"/>
    <w:rsid w:val="004D50F2"/>
    <w:rsid w:val="004D51EF"/>
    <w:rsid w:val="004D5892"/>
    <w:rsid w:val="004D5E65"/>
    <w:rsid w:val="004D5FD8"/>
    <w:rsid w:val="004D64BE"/>
    <w:rsid w:val="004D686C"/>
    <w:rsid w:val="004D6AD6"/>
    <w:rsid w:val="004D7086"/>
    <w:rsid w:val="004D7211"/>
    <w:rsid w:val="004D791B"/>
    <w:rsid w:val="004E1B11"/>
    <w:rsid w:val="004E22A5"/>
    <w:rsid w:val="004E24BF"/>
    <w:rsid w:val="004E2A10"/>
    <w:rsid w:val="004E2C12"/>
    <w:rsid w:val="004E2CAB"/>
    <w:rsid w:val="004E3820"/>
    <w:rsid w:val="004E395D"/>
    <w:rsid w:val="004E3AF2"/>
    <w:rsid w:val="004E3BAF"/>
    <w:rsid w:val="004E4425"/>
    <w:rsid w:val="004E44F3"/>
    <w:rsid w:val="004E4D65"/>
    <w:rsid w:val="004E522F"/>
    <w:rsid w:val="004E5547"/>
    <w:rsid w:val="004E5958"/>
    <w:rsid w:val="004E5970"/>
    <w:rsid w:val="004E5A3A"/>
    <w:rsid w:val="004E5A3D"/>
    <w:rsid w:val="004E5E18"/>
    <w:rsid w:val="004E6488"/>
    <w:rsid w:val="004E6700"/>
    <w:rsid w:val="004E6A01"/>
    <w:rsid w:val="004E6A82"/>
    <w:rsid w:val="004E7487"/>
    <w:rsid w:val="004E787B"/>
    <w:rsid w:val="004E78AE"/>
    <w:rsid w:val="004F05A0"/>
    <w:rsid w:val="004F0938"/>
    <w:rsid w:val="004F0B46"/>
    <w:rsid w:val="004F0CB9"/>
    <w:rsid w:val="004F0D46"/>
    <w:rsid w:val="004F0FDC"/>
    <w:rsid w:val="004F11EE"/>
    <w:rsid w:val="004F142E"/>
    <w:rsid w:val="004F163D"/>
    <w:rsid w:val="004F2176"/>
    <w:rsid w:val="004F2283"/>
    <w:rsid w:val="004F22E1"/>
    <w:rsid w:val="004F2542"/>
    <w:rsid w:val="004F25E1"/>
    <w:rsid w:val="004F3354"/>
    <w:rsid w:val="004F3645"/>
    <w:rsid w:val="004F37C8"/>
    <w:rsid w:val="004F3EAD"/>
    <w:rsid w:val="004F3FF8"/>
    <w:rsid w:val="004F446D"/>
    <w:rsid w:val="004F4543"/>
    <w:rsid w:val="004F4ADF"/>
    <w:rsid w:val="004F535F"/>
    <w:rsid w:val="004F536D"/>
    <w:rsid w:val="004F5A07"/>
    <w:rsid w:val="004F5CF1"/>
    <w:rsid w:val="004F62EC"/>
    <w:rsid w:val="004F645D"/>
    <w:rsid w:val="004F7450"/>
    <w:rsid w:val="004F7F50"/>
    <w:rsid w:val="00500046"/>
    <w:rsid w:val="0050052B"/>
    <w:rsid w:val="0050055B"/>
    <w:rsid w:val="00500EFF"/>
    <w:rsid w:val="00501058"/>
    <w:rsid w:val="005015B5"/>
    <w:rsid w:val="005018D3"/>
    <w:rsid w:val="00501B5E"/>
    <w:rsid w:val="00501CDD"/>
    <w:rsid w:val="005021EB"/>
    <w:rsid w:val="00502ADA"/>
    <w:rsid w:val="00502D75"/>
    <w:rsid w:val="005031BA"/>
    <w:rsid w:val="005038D0"/>
    <w:rsid w:val="00503931"/>
    <w:rsid w:val="00503D1E"/>
    <w:rsid w:val="00503F7D"/>
    <w:rsid w:val="005042F5"/>
    <w:rsid w:val="00504462"/>
    <w:rsid w:val="0050486B"/>
    <w:rsid w:val="00504960"/>
    <w:rsid w:val="00504CA1"/>
    <w:rsid w:val="005052CF"/>
    <w:rsid w:val="005054BF"/>
    <w:rsid w:val="0050580D"/>
    <w:rsid w:val="00505BE5"/>
    <w:rsid w:val="00505C8F"/>
    <w:rsid w:val="00506057"/>
    <w:rsid w:val="005060D4"/>
    <w:rsid w:val="00506172"/>
    <w:rsid w:val="005063D5"/>
    <w:rsid w:val="00506C3D"/>
    <w:rsid w:val="00506C79"/>
    <w:rsid w:val="00506F6F"/>
    <w:rsid w:val="005075BB"/>
    <w:rsid w:val="00507CFB"/>
    <w:rsid w:val="00510316"/>
    <w:rsid w:val="00510B67"/>
    <w:rsid w:val="0051107A"/>
    <w:rsid w:val="00511542"/>
    <w:rsid w:val="00511952"/>
    <w:rsid w:val="00512700"/>
    <w:rsid w:val="005127C1"/>
    <w:rsid w:val="00512971"/>
    <w:rsid w:val="005132AA"/>
    <w:rsid w:val="00513493"/>
    <w:rsid w:val="00513A26"/>
    <w:rsid w:val="00513C30"/>
    <w:rsid w:val="00513FD8"/>
    <w:rsid w:val="0051447B"/>
    <w:rsid w:val="005145D2"/>
    <w:rsid w:val="00514699"/>
    <w:rsid w:val="0051488D"/>
    <w:rsid w:val="00515204"/>
    <w:rsid w:val="0051582D"/>
    <w:rsid w:val="00515E18"/>
    <w:rsid w:val="00515FC7"/>
    <w:rsid w:val="00516408"/>
    <w:rsid w:val="00516C47"/>
    <w:rsid w:val="00516C6C"/>
    <w:rsid w:val="00517463"/>
    <w:rsid w:val="005179D9"/>
    <w:rsid w:val="00517FF3"/>
    <w:rsid w:val="00520440"/>
    <w:rsid w:val="005207E8"/>
    <w:rsid w:val="00520EA0"/>
    <w:rsid w:val="00520F8A"/>
    <w:rsid w:val="00521126"/>
    <w:rsid w:val="00521CF6"/>
    <w:rsid w:val="005224F3"/>
    <w:rsid w:val="00522525"/>
    <w:rsid w:val="005228D0"/>
    <w:rsid w:val="00522C72"/>
    <w:rsid w:val="00522D65"/>
    <w:rsid w:val="00523760"/>
    <w:rsid w:val="00523D54"/>
    <w:rsid w:val="00523E97"/>
    <w:rsid w:val="00523F1B"/>
    <w:rsid w:val="00524456"/>
    <w:rsid w:val="00524EC4"/>
    <w:rsid w:val="00525237"/>
    <w:rsid w:val="005259C0"/>
    <w:rsid w:val="00525C63"/>
    <w:rsid w:val="005268D1"/>
    <w:rsid w:val="00526951"/>
    <w:rsid w:val="0052716C"/>
    <w:rsid w:val="0052766D"/>
    <w:rsid w:val="0053011F"/>
    <w:rsid w:val="00530221"/>
    <w:rsid w:val="0053046B"/>
    <w:rsid w:val="00531501"/>
    <w:rsid w:val="005319BE"/>
    <w:rsid w:val="00531E70"/>
    <w:rsid w:val="005324BA"/>
    <w:rsid w:val="00532587"/>
    <w:rsid w:val="005326A9"/>
    <w:rsid w:val="00532A65"/>
    <w:rsid w:val="00532BFC"/>
    <w:rsid w:val="00532CEC"/>
    <w:rsid w:val="005330C9"/>
    <w:rsid w:val="00534015"/>
    <w:rsid w:val="00534200"/>
    <w:rsid w:val="005347E3"/>
    <w:rsid w:val="005349B5"/>
    <w:rsid w:val="00535042"/>
    <w:rsid w:val="0053520A"/>
    <w:rsid w:val="00535671"/>
    <w:rsid w:val="005358E1"/>
    <w:rsid w:val="005360EB"/>
    <w:rsid w:val="0053630A"/>
    <w:rsid w:val="00536A37"/>
    <w:rsid w:val="00537515"/>
    <w:rsid w:val="005377EA"/>
    <w:rsid w:val="005378DF"/>
    <w:rsid w:val="0053790D"/>
    <w:rsid w:val="00537B05"/>
    <w:rsid w:val="00540054"/>
    <w:rsid w:val="00540AB9"/>
    <w:rsid w:val="00541073"/>
    <w:rsid w:val="0054141C"/>
    <w:rsid w:val="005415E4"/>
    <w:rsid w:val="0054160C"/>
    <w:rsid w:val="00542414"/>
    <w:rsid w:val="00542A25"/>
    <w:rsid w:val="00542D88"/>
    <w:rsid w:val="00542EF8"/>
    <w:rsid w:val="005430B2"/>
    <w:rsid w:val="005433BF"/>
    <w:rsid w:val="005437FA"/>
    <w:rsid w:val="00544288"/>
    <w:rsid w:val="0054463C"/>
    <w:rsid w:val="0054484B"/>
    <w:rsid w:val="0054493E"/>
    <w:rsid w:val="00544C22"/>
    <w:rsid w:val="0054556B"/>
    <w:rsid w:val="00545B71"/>
    <w:rsid w:val="00545B89"/>
    <w:rsid w:val="00545CE8"/>
    <w:rsid w:val="00546793"/>
    <w:rsid w:val="00546B83"/>
    <w:rsid w:val="00546ED4"/>
    <w:rsid w:val="00546EEE"/>
    <w:rsid w:val="00547722"/>
    <w:rsid w:val="00547A5C"/>
    <w:rsid w:val="00547E82"/>
    <w:rsid w:val="00547F6C"/>
    <w:rsid w:val="0055067F"/>
    <w:rsid w:val="005515D8"/>
    <w:rsid w:val="00552EA8"/>
    <w:rsid w:val="00553293"/>
    <w:rsid w:val="0055373F"/>
    <w:rsid w:val="005537CF"/>
    <w:rsid w:val="00553B40"/>
    <w:rsid w:val="005540E9"/>
    <w:rsid w:val="005541BC"/>
    <w:rsid w:val="00555048"/>
    <w:rsid w:val="00556547"/>
    <w:rsid w:val="0055666F"/>
    <w:rsid w:val="005568DB"/>
    <w:rsid w:val="00556BE8"/>
    <w:rsid w:val="00556BED"/>
    <w:rsid w:val="00556D19"/>
    <w:rsid w:val="00557499"/>
    <w:rsid w:val="00560150"/>
    <w:rsid w:val="0056026A"/>
    <w:rsid w:val="00560295"/>
    <w:rsid w:val="00560E04"/>
    <w:rsid w:val="00561576"/>
    <w:rsid w:val="0056162C"/>
    <w:rsid w:val="00561715"/>
    <w:rsid w:val="00561841"/>
    <w:rsid w:val="005621FF"/>
    <w:rsid w:val="0056222F"/>
    <w:rsid w:val="005624E1"/>
    <w:rsid w:val="00562927"/>
    <w:rsid w:val="00563076"/>
    <w:rsid w:val="0056392E"/>
    <w:rsid w:val="00563AB4"/>
    <w:rsid w:val="00563C8D"/>
    <w:rsid w:val="00564039"/>
    <w:rsid w:val="005641DB"/>
    <w:rsid w:val="005647D6"/>
    <w:rsid w:val="00564849"/>
    <w:rsid w:val="00564C8A"/>
    <w:rsid w:val="005650FC"/>
    <w:rsid w:val="005651F3"/>
    <w:rsid w:val="005656C1"/>
    <w:rsid w:val="005656D9"/>
    <w:rsid w:val="00565B3D"/>
    <w:rsid w:val="00565BB8"/>
    <w:rsid w:val="00565C9A"/>
    <w:rsid w:val="00565E5D"/>
    <w:rsid w:val="00565F44"/>
    <w:rsid w:val="005662E5"/>
    <w:rsid w:val="0056691B"/>
    <w:rsid w:val="005670A6"/>
    <w:rsid w:val="00567564"/>
    <w:rsid w:val="00567716"/>
    <w:rsid w:val="00567949"/>
    <w:rsid w:val="00567951"/>
    <w:rsid w:val="00567B79"/>
    <w:rsid w:val="00567FDC"/>
    <w:rsid w:val="00570C81"/>
    <w:rsid w:val="00570D91"/>
    <w:rsid w:val="00571078"/>
    <w:rsid w:val="00571555"/>
    <w:rsid w:val="00571678"/>
    <w:rsid w:val="00571729"/>
    <w:rsid w:val="00572139"/>
    <w:rsid w:val="00572758"/>
    <w:rsid w:val="00572789"/>
    <w:rsid w:val="005730FB"/>
    <w:rsid w:val="0057342F"/>
    <w:rsid w:val="00573727"/>
    <w:rsid w:val="00573CFE"/>
    <w:rsid w:val="00574061"/>
    <w:rsid w:val="00574728"/>
    <w:rsid w:val="00574D5E"/>
    <w:rsid w:val="00574F17"/>
    <w:rsid w:val="00575263"/>
    <w:rsid w:val="005753EF"/>
    <w:rsid w:val="005759DE"/>
    <w:rsid w:val="00575FD5"/>
    <w:rsid w:val="00576130"/>
    <w:rsid w:val="005769C2"/>
    <w:rsid w:val="005769D5"/>
    <w:rsid w:val="00576EED"/>
    <w:rsid w:val="005774BA"/>
    <w:rsid w:val="00577B5D"/>
    <w:rsid w:val="005800DB"/>
    <w:rsid w:val="00580128"/>
    <w:rsid w:val="00580A8D"/>
    <w:rsid w:val="00580EF5"/>
    <w:rsid w:val="00581142"/>
    <w:rsid w:val="005811C7"/>
    <w:rsid w:val="005814F5"/>
    <w:rsid w:val="005822AA"/>
    <w:rsid w:val="00582C0E"/>
    <w:rsid w:val="005830AC"/>
    <w:rsid w:val="005832FA"/>
    <w:rsid w:val="005842A6"/>
    <w:rsid w:val="00584456"/>
    <w:rsid w:val="005844B3"/>
    <w:rsid w:val="005849DB"/>
    <w:rsid w:val="00584A8D"/>
    <w:rsid w:val="00584D37"/>
    <w:rsid w:val="00584D81"/>
    <w:rsid w:val="00584E8C"/>
    <w:rsid w:val="00584F3E"/>
    <w:rsid w:val="0058538F"/>
    <w:rsid w:val="00585445"/>
    <w:rsid w:val="005858BD"/>
    <w:rsid w:val="00585D39"/>
    <w:rsid w:val="00586087"/>
    <w:rsid w:val="005860E7"/>
    <w:rsid w:val="005860FE"/>
    <w:rsid w:val="00586A83"/>
    <w:rsid w:val="00586AB7"/>
    <w:rsid w:val="00587216"/>
    <w:rsid w:val="00587713"/>
    <w:rsid w:val="00587AC6"/>
    <w:rsid w:val="00587DFD"/>
    <w:rsid w:val="005900C3"/>
    <w:rsid w:val="005901C2"/>
    <w:rsid w:val="005905C5"/>
    <w:rsid w:val="00590C66"/>
    <w:rsid w:val="005912A6"/>
    <w:rsid w:val="00591471"/>
    <w:rsid w:val="00591A65"/>
    <w:rsid w:val="00591C32"/>
    <w:rsid w:val="00592737"/>
    <w:rsid w:val="00592D21"/>
    <w:rsid w:val="005933FC"/>
    <w:rsid w:val="00593CAF"/>
    <w:rsid w:val="005943DB"/>
    <w:rsid w:val="00594B85"/>
    <w:rsid w:val="00594DF3"/>
    <w:rsid w:val="00595254"/>
    <w:rsid w:val="00595B7C"/>
    <w:rsid w:val="00595CC3"/>
    <w:rsid w:val="00595F7F"/>
    <w:rsid w:val="005962B1"/>
    <w:rsid w:val="005969C3"/>
    <w:rsid w:val="00596A53"/>
    <w:rsid w:val="00596E42"/>
    <w:rsid w:val="00597531"/>
    <w:rsid w:val="0059797E"/>
    <w:rsid w:val="00597F4A"/>
    <w:rsid w:val="005A0865"/>
    <w:rsid w:val="005A0986"/>
    <w:rsid w:val="005A0C10"/>
    <w:rsid w:val="005A1066"/>
    <w:rsid w:val="005A1102"/>
    <w:rsid w:val="005A1595"/>
    <w:rsid w:val="005A1B4A"/>
    <w:rsid w:val="005A1B6F"/>
    <w:rsid w:val="005A1FA2"/>
    <w:rsid w:val="005A2126"/>
    <w:rsid w:val="005A27C2"/>
    <w:rsid w:val="005A2815"/>
    <w:rsid w:val="005A28EA"/>
    <w:rsid w:val="005A2DFC"/>
    <w:rsid w:val="005A3448"/>
    <w:rsid w:val="005A52C1"/>
    <w:rsid w:val="005A55CD"/>
    <w:rsid w:val="005A5A74"/>
    <w:rsid w:val="005A5DB6"/>
    <w:rsid w:val="005A61B8"/>
    <w:rsid w:val="005A6973"/>
    <w:rsid w:val="005A6A55"/>
    <w:rsid w:val="005A6E17"/>
    <w:rsid w:val="005B02EE"/>
    <w:rsid w:val="005B09D0"/>
    <w:rsid w:val="005B0DEF"/>
    <w:rsid w:val="005B1366"/>
    <w:rsid w:val="005B146C"/>
    <w:rsid w:val="005B1AD7"/>
    <w:rsid w:val="005B1C97"/>
    <w:rsid w:val="005B20CD"/>
    <w:rsid w:val="005B21EC"/>
    <w:rsid w:val="005B248B"/>
    <w:rsid w:val="005B2697"/>
    <w:rsid w:val="005B2746"/>
    <w:rsid w:val="005B2867"/>
    <w:rsid w:val="005B2B91"/>
    <w:rsid w:val="005B2FD1"/>
    <w:rsid w:val="005B3345"/>
    <w:rsid w:val="005B39A6"/>
    <w:rsid w:val="005B3F1D"/>
    <w:rsid w:val="005B4090"/>
    <w:rsid w:val="005B41AF"/>
    <w:rsid w:val="005B43F4"/>
    <w:rsid w:val="005B44DE"/>
    <w:rsid w:val="005B4855"/>
    <w:rsid w:val="005B49E1"/>
    <w:rsid w:val="005B4BAD"/>
    <w:rsid w:val="005B5554"/>
    <w:rsid w:val="005B5C45"/>
    <w:rsid w:val="005B6B58"/>
    <w:rsid w:val="005B731F"/>
    <w:rsid w:val="005B73C3"/>
    <w:rsid w:val="005B7875"/>
    <w:rsid w:val="005B7A88"/>
    <w:rsid w:val="005B7A9D"/>
    <w:rsid w:val="005B7D09"/>
    <w:rsid w:val="005C03EF"/>
    <w:rsid w:val="005C0690"/>
    <w:rsid w:val="005C0982"/>
    <w:rsid w:val="005C09FC"/>
    <w:rsid w:val="005C0EED"/>
    <w:rsid w:val="005C1CBD"/>
    <w:rsid w:val="005C1FFF"/>
    <w:rsid w:val="005C2924"/>
    <w:rsid w:val="005C2D95"/>
    <w:rsid w:val="005C35F7"/>
    <w:rsid w:val="005C3634"/>
    <w:rsid w:val="005C3944"/>
    <w:rsid w:val="005C4040"/>
    <w:rsid w:val="005C429D"/>
    <w:rsid w:val="005C4375"/>
    <w:rsid w:val="005C46CA"/>
    <w:rsid w:val="005C4C26"/>
    <w:rsid w:val="005C4C53"/>
    <w:rsid w:val="005C5258"/>
    <w:rsid w:val="005C582A"/>
    <w:rsid w:val="005C5FE4"/>
    <w:rsid w:val="005C621B"/>
    <w:rsid w:val="005C6A09"/>
    <w:rsid w:val="005C6F9D"/>
    <w:rsid w:val="005C7984"/>
    <w:rsid w:val="005C7CB7"/>
    <w:rsid w:val="005C7D9D"/>
    <w:rsid w:val="005D04F4"/>
    <w:rsid w:val="005D118D"/>
    <w:rsid w:val="005D143C"/>
    <w:rsid w:val="005D14B3"/>
    <w:rsid w:val="005D19E3"/>
    <w:rsid w:val="005D1D8D"/>
    <w:rsid w:val="005D1ECF"/>
    <w:rsid w:val="005D20F9"/>
    <w:rsid w:val="005D21A2"/>
    <w:rsid w:val="005D21A5"/>
    <w:rsid w:val="005D21C7"/>
    <w:rsid w:val="005D25EA"/>
    <w:rsid w:val="005D292B"/>
    <w:rsid w:val="005D2A7C"/>
    <w:rsid w:val="005D2FA2"/>
    <w:rsid w:val="005D3457"/>
    <w:rsid w:val="005D3C3D"/>
    <w:rsid w:val="005D3F9C"/>
    <w:rsid w:val="005D440A"/>
    <w:rsid w:val="005D44D9"/>
    <w:rsid w:val="005D4655"/>
    <w:rsid w:val="005D4670"/>
    <w:rsid w:val="005D48D5"/>
    <w:rsid w:val="005D4D13"/>
    <w:rsid w:val="005D4FF8"/>
    <w:rsid w:val="005D5B60"/>
    <w:rsid w:val="005D5C73"/>
    <w:rsid w:val="005D5CD3"/>
    <w:rsid w:val="005D6160"/>
    <w:rsid w:val="005D61C3"/>
    <w:rsid w:val="005D6290"/>
    <w:rsid w:val="005D6CC8"/>
    <w:rsid w:val="005D6D33"/>
    <w:rsid w:val="005D719C"/>
    <w:rsid w:val="005D72C8"/>
    <w:rsid w:val="005D7476"/>
    <w:rsid w:val="005D7759"/>
    <w:rsid w:val="005D7DB4"/>
    <w:rsid w:val="005D7E37"/>
    <w:rsid w:val="005D7F0C"/>
    <w:rsid w:val="005E02BD"/>
    <w:rsid w:val="005E0607"/>
    <w:rsid w:val="005E06C0"/>
    <w:rsid w:val="005E093E"/>
    <w:rsid w:val="005E1203"/>
    <w:rsid w:val="005E15F8"/>
    <w:rsid w:val="005E186B"/>
    <w:rsid w:val="005E1E2D"/>
    <w:rsid w:val="005E1E8E"/>
    <w:rsid w:val="005E2479"/>
    <w:rsid w:val="005E296A"/>
    <w:rsid w:val="005E2CF0"/>
    <w:rsid w:val="005E304B"/>
    <w:rsid w:val="005E36B9"/>
    <w:rsid w:val="005E3CB4"/>
    <w:rsid w:val="005E3FB6"/>
    <w:rsid w:val="005E4887"/>
    <w:rsid w:val="005E4E38"/>
    <w:rsid w:val="005E550A"/>
    <w:rsid w:val="005E5AB5"/>
    <w:rsid w:val="005E5C6C"/>
    <w:rsid w:val="005E6172"/>
    <w:rsid w:val="005E641A"/>
    <w:rsid w:val="005E6531"/>
    <w:rsid w:val="005E6668"/>
    <w:rsid w:val="005E68D3"/>
    <w:rsid w:val="005E72C7"/>
    <w:rsid w:val="005E7E56"/>
    <w:rsid w:val="005F003A"/>
    <w:rsid w:val="005F00B0"/>
    <w:rsid w:val="005F02DA"/>
    <w:rsid w:val="005F094F"/>
    <w:rsid w:val="005F0B8C"/>
    <w:rsid w:val="005F0F7D"/>
    <w:rsid w:val="005F12B3"/>
    <w:rsid w:val="005F13A3"/>
    <w:rsid w:val="005F14A1"/>
    <w:rsid w:val="005F15A5"/>
    <w:rsid w:val="005F1C1A"/>
    <w:rsid w:val="005F227D"/>
    <w:rsid w:val="005F2CFF"/>
    <w:rsid w:val="005F32DE"/>
    <w:rsid w:val="005F3932"/>
    <w:rsid w:val="005F3B75"/>
    <w:rsid w:val="005F4386"/>
    <w:rsid w:val="005F4AF7"/>
    <w:rsid w:val="005F4E5E"/>
    <w:rsid w:val="005F5039"/>
    <w:rsid w:val="005F5483"/>
    <w:rsid w:val="005F558E"/>
    <w:rsid w:val="005F64DB"/>
    <w:rsid w:val="005F6592"/>
    <w:rsid w:val="005F6611"/>
    <w:rsid w:val="005F7874"/>
    <w:rsid w:val="005F7F52"/>
    <w:rsid w:val="0060079A"/>
    <w:rsid w:val="00601523"/>
    <w:rsid w:val="00601741"/>
    <w:rsid w:val="006017D6"/>
    <w:rsid w:val="006019FB"/>
    <w:rsid w:val="00601BF5"/>
    <w:rsid w:val="006026B9"/>
    <w:rsid w:val="0060282A"/>
    <w:rsid w:val="00602856"/>
    <w:rsid w:val="00602900"/>
    <w:rsid w:val="006031B1"/>
    <w:rsid w:val="00603A4A"/>
    <w:rsid w:val="00603EB5"/>
    <w:rsid w:val="006046BA"/>
    <w:rsid w:val="00604A31"/>
    <w:rsid w:val="00604EB4"/>
    <w:rsid w:val="00604EE4"/>
    <w:rsid w:val="00604F18"/>
    <w:rsid w:val="00605440"/>
    <w:rsid w:val="006057B6"/>
    <w:rsid w:val="00605BD6"/>
    <w:rsid w:val="00606224"/>
    <w:rsid w:val="006066A4"/>
    <w:rsid w:val="006074CB"/>
    <w:rsid w:val="0060780E"/>
    <w:rsid w:val="00610155"/>
    <w:rsid w:val="00610B7B"/>
    <w:rsid w:val="006117EE"/>
    <w:rsid w:val="00611B0A"/>
    <w:rsid w:val="006124C2"/>
    <w:rsid w:val="006125A2"/>
    <w:rsid w:val="006126BB"/>
    <w:rsid w:val="006126BD"/>
    <w:rsid w:val="00612771"/>
    <w:rsid w:val="006130F6"/>
    <w:rsid w:val="006134BB"/>
    <w:rsid w:val="006134F8"/>
    <w:rsid w:val="00613D1F"/>
    <w:rsid w:val="00614019"/>
    <w:rsid w:val="00614415"/>
    <w:rsid w:val="00614A54"/>
    <w:rsid w:val="00614C00"/>
    <w:rsid w:val="00615800"/>
    <w:rsid w:val="0061684E"/>
    <w:rsid w:val="00617212"/>
    <w:rsid w:val="00617957"/>
    <w:rsid w:val="00617963"/>
    <w:rsid w:val="00620359"/>
    <w:rsid w:val="0062053D"/>
    <w:rsid w:val="00620880"/>
    <w:rsid w:val="006208FE"/>
    <w:rsid w:val="00620CF7"/>
    <w:rsid w:val="006212C2"/>
    <w:rsid w:val="00621475"/>
    <w:rsid w:val="0062179B"/>
    <w:rsid w:val="006217E0"/>
    <w:rsid w:val="006225D6"/>
    <w:rsid w:val="00622633"/>
    <w:rsid w:val="00622A57"/>
    <w:rsid w:val="00623136"/>
    <w:rsid w:val="006238FB"/>
    <w:rsid w:val="00623943"/>
    <w:rsid w:val="006239B6"/>
    <w:rsid w:val="0062410E"/>
    <w:rsid w:val="00624162"/>
    <w:rsid w:val="00624A64"/>
    <w:rsid w:val="00624AF3"/>
    <w:rsid w:val="00624C10"/>
    <w:rsid w:val="00624C74"/>
    <w:rsid w:val="00624EBA"/>
    <w:rsid w:val="0062587A"/>
    <w:rsid w:val="00625B45"/>
    <w:rsid w:val="00625BF0"/>
    <w:rsid w:val="00626B01"/>
    <w:rsid w:val="00626E65"/>
    <w:rsid w:val="0062724B"/>
    <w:rsid w:val="0062738A"/>
    <w:rsid w:val="00627B7F"/>
    <w:rsid w:val="00627F4A"/>
    <w:rsid w:val="00627F52"/>
    <w:rsid w:val="0063001E"/>
    <w:rsid w:val="0063095F"/>
    <w:rsid w:val="00630C39"/>
    <w:rsid w:val="00630D3F"/>
    <w:rsid w:val="00630F6C"/>
    <w:rsid w:val="006316BF"/>
    <w:rsid w:val="00631D76"/>
    <w:rsid w:val="00632039"/>
    <w:rsid w:val="00632311"/>
    <w:rsid w:val="0063248A"/>
    <w:rsid w:val="00632F8A"/>
    <w:rsid w:val="00632FE2"/>
    <w:rsid w:val="00633A91"/>
    <w:rsid w:val="00633AB3"/>
    <w:rsid w:val="00633B76"/>
    <w:rsid w:val="006342A6"/>
    <w:rsid w:val="0063444C"/>
    <w:rsid w:val="00634A6E"/>
    <w:rsid w:val="00634D2A"/>
    <w:rsid w:val="00635036"/>
    <w:rsid w:val="00635508"/>
    <w:rsid w:val="00635B6E"/>
    <w:rsid w:val="00636A20"/>
    <w:rsid w:val="00636A33"/>
    <w:rsid w:val="00637618"/>
    <w:rsid w:val="0063768F"/>
    <w:rsid w:val="00637733"/>
    <w:rsid w:val="00637FA1"/>
    <w:rsid w:val="00637FA9"/>
    <w:rsid w:val="006400B4"/>
    <w:rsid w:val="0064030B"/>
    <w:rsid w:val="00641BCC"/>
    <w:rsid w:val="00641C3D"/>
    <w:rsid w:val="00641DAD"/>
    <w:rsid w:val="00641DD0"/>
    <w:rsid w:val="00641FBF"/>
    <w:rsid w:val="006421EC"/>
    <w:rsid w:val="0064355A"/>
    <w:rsid w:val="00643C60"/>
    <w:rsid w:val="00643CCB"/>
    <w:rsid w:val="00644117"/>
    <w:rsid w:val="0064435F"/>
    <w:rsid w:val="00644542"/>
    <w:rsid w:val="00644ED3"/>
    <w:rsid w:val="006450F8"/>
    <w:rsid w:val="006451EA"/>
    <w:rsid w:val="00645EBC"/>
    <w:rsid w:val="006460B8"/>
    <w:rsid w:val="006463E7"/>
    <w:rsid w:val="00646557"/>
    <w:rsid w:val="0064672D"/>
    <w:rsid w:val="0064681A"/>
    <w:rsid w:val="006479A6"/>
    <w:rsid w:val="00647B3F"/>
    <w:rsid w:val="006509AE"/>
    <w:rsid w:val="0065136E"/>
    <w:rsid w:val="006515C4"/>
    <w:rsid w:val="006516B0"/>
    <w:rsid w:val="00651853"/>
    <w:rsid w:val="00651D07"/>
    <w:rsid w:val="00652194"/>
    <w:rsid w:val="0065266B"/>
    <w:rsid w:val="006529BD"/>
    <w:rsid w:val="00653801"/>
    <w:rsid w:val="00653BFD"/>
    <w:rsid w:val="006543BE"/>
    <w:rsid w:val="006547EA"/>
    <w:rsid w:val="00654AB6"/>
    <w:rsid w:val="00655487"/>
    <w:rsid w:val="0065556E"/>
    <w:rsid w:val="00655EE6"/>
    <w:rsid w:val="006561D8"/>
    <w:rsid w:val="00656268"/>
    <w:rsid w:val="00656398"/>
    <w:rsid w:val="006572FA"/>
    <w:rsid w:val="00657799"/>
    <w:rsid w:val="00657CDC"/>
    <w:rsid w:val="00660920"/>
    <w:rsid w:val="00660D3E"/>
    <w:rsid w:val="006617B7"/>
    <w:rsid w:val="00662B0E"/>
    <w:rsid w:val="00662BBF"/>
    <w:rsid w:val="00662CFA"/>
    <w:rsid w:val="00663275"/>
    <w:rsid w:val="00663490"/>
    <w:rsid w:val="00663B24"/>
    <w:rsid w:val="00664056"/>
    <w:rsid w:val="006650CE"/>
    <w:rsid w:val="006650E6"/>
    <w:rsid w:val="006654A8"/>
    <w:rsid w:val="006659DB"/>
    <w:rsid w:val="00665BA3"/>
    <w:rsid w:val="00665D2D"/>
    <w:rsid w:val="00665FB0"/>
    <w:rsid w:val="00666D41"/>
    <w:rsid w:val="0066766A"/>
    <w:rsid w:val="0066785B"/>
    <w:rsid w:val="00667A8D"/>
    <w:rsid w:val="00667C4F"/>
    <w:rsid w:val="00667D82"/>
    <w:rsid w:val="00667EFE"/>
    <w:rsid w:val="0067067F"/>
    <w:rsid w:val="00670B74"/>
    <w:rsid w:val="00670EA2"/>
    <w:rsid w:val="00671148"/>
    <w:rsid w:val="006713F4"/>
    <w:rsid w:val="00671D59"/>
    <w:rsid w:val="00671E1C"/>
    <w:rsid w:val="00671F3D"/>
    <w:rsid w:val="006720E5"/>
    <w:rsid w:val="0067317F"/>
    <w:rsid w:val="0067343D"/>
    <w:rsid w:val="00673C03"/>
    <w:rsid w:val="00673C4D"/>
    <w:rsid w:val="00673DE5"/>
    <w:rsid w:val="00674204"/>
    <w:rsid w:val="00675195"/>
    <w:rsid w:val="00675230"/>
    <w:rsid w:val="00675895"/>
    <w:rsid w:val="00675B38"/>
    <w:rsid w:val="006760EA"/>
    <w:rsid w:val="006768A2"/>
    <w:rsid w:val="00677377"/>
    <w:rsid w:val="00677F15"/>
    <w:rsid w:val="0068004A"/>
    <w:rsid w:val="00680C67"/>
    <w:rsid w:val="006811F9"/>
    <w:rsid w:val="0068181E"/>
    <w:rsid w:val="00681915"/>
    <w:rsid w:val="00681ABC"/>
    <w:rsid w:val="0068203D"/>
    <w:rsid w:val="00682356"/>
    <w:rsid w:val="006828A5"/>
    <w:rsid w:val="00682B0B"/>
    <w:rsid w:val="00682B8A"/>
    <w:rsid w:val="00682EEA"/>
    <w:rsid w:val="00682FFA"/>
    <w:rsid w:val="00683034"/>
    <w:rsid w:val="0068324C"/>
    <w:rsid w:val="00683E47"/>
    <w:rsid w:val="0068419A"/>
    <w:rsid w:val="006844CB"/>
    <w:rsid w:val="006844F2"/>
    <w:rsid w:val="00684659"/>
    <w:rsid w:val="00684876"/>
    <w:rsid w:val="006849B7"/>
    <w:rsid w:val="00684A8F"/>
    <w:rsid w:val="00684D62"/>
    <w:rsid w:val="00684F98"/>
    <w:rsid w:val="00685510"/>
    <w:rsid w:val="00685650"/>
    <w:rsid w:val="006857F2"/>
    <w:rsid w:val="00685982"/>
    <w:rsid w:val="00685BEC"/>
    <w:rsid w:val="00685DCD"/>
    <w:rsid w:val="00686271"/>
    <w:rsid w:val="00686377"/>
    <w:rsid w:val="00686447"/>
    <w:rsid w:val="00686682"/>
    <w:rsid w:val="006868F5"/>
    <w:rsid w:val="00686E0D"/>
    <w:rsid w:val="00686E2C"/>
    <w:rsid w:val="00686F4E"/>
    <w:rsid w:val="0068708D"/>
    <w:rsid w:val="006876AC"/>
    <w:rsid w:val="00687D5D"/>
    <w:rsid w:val="00687FD4"/>
    <w:rsid w:val="006902EC"/>
    <w:rsid w:val="00690803"/>
    <w:rsid w:val="00690AA1"/>
    <w:rsid w:val="006911F3"/>
    <w:rsid w:val="006915CA"/>
    <w:rsid w:val="006918B2"/>
    <w:rsid w:val="00691994"/>
    <w:rsid w:val="006924A8"/>
    <w:rsid w:val="00692A61"/>
    <w:rsid w:val="00692F0B"/>
    <w:rsid w:val="006930E5"/>
    <w:rsid w:val="0069350C"/>
    <w:rsid w:val="00693925"/>
    <w:rsid w:val="00693C3E"/>
    <w:rsid w:val="00694007"/>
    <w:rsid w:val="00694015"/>
    <w:rsid w:val="006942CE"/>
    <w:rsid w:val="0069433F"/>
    <w:rsid w:val="0069471A"/>
    <w:rsid w:val="00694990"/>
    <w:rsid w:val="00694E1C"/>
    <w:rsid w:val="00694F37"/>
    <w:rsid w:val="00695193"/>
    <w:rsid w:val="00695270"/>
    <w:rsid w:val="0069530F"/>
    <w:rsid w:val="006953AA"/>
    <w:rsid w:val="00695BFF"/>
    <w:rsid w:val="00695DA0"/>
    <w:rsid w:val="00695EA5"/>
    <w:rsid w:val="006961B4"/>
    <w:rsid w:val="00696441"/>
    <w:rsid w:val="00696538"/>
    <w:rsid w:val="00696719"/>
    <w:rsid w:val="00696B0C"/>
    <w:rsid w:val="00696C7F"/>
    <w:rsid w:val="00697185"/>
    <w:rsid w:val="0069758E"/>
    <w:rsid w:val="00697B0A"/>
    <w:rsid w:val="00697D82"/>
    <w:rsid w:val="006A00C9"/>
    <w:rsid w:val="006A0176"/>
    <w:rsid w:val="006A0641"/>
    <w:rsid w:val="006A0BEE"/>
    <w:rsid w:val="006A102D"/>
    <w:rsid w:val="006A14C8"/>
    <w:rsid w:val="006A1D98"/>
    <w:rsid w:val="006A1E68"/>
    <w:rsid w:val="006A2B26"/>
    <w:rsid w:val="006A344C"/>
    <w:rsid w:val="006A35AA"/>
    <w:rsid w:val="006A3856"/>
    <w:rsid w:val="006A3D5A"/>
    <w:rsid w:val="006A447B"/>
    <w:rsid w:val="006A45A3"/>
    <w:rsid w:val="006A4737"/>
    <w:rsid w:val="006A4947"/>
    <w:rsid w:val="006A4A1D"/>
    <w:rsid w:val="006A55A4"/>
    <w:rsid w:val="006A5658"/>
    <w:rsid w:val="006A586B"/>
    <w:rsid w:val="006A5AC6"/>
    <w:rsid w:val="006A5CD2"/>
    <w:rsid w:val="006A5CFC"/>
    <w:rsid w:val="006A6123"/>
    <w:rsid w:val="006A69E5"/>
    <w:rsid w:val="006A71F0"/>
    <w:rsid w:val="006A756D"/>
    <w:rsid w:val="006A7653"/>
    <w:rsid w:val="006A7BCB"/>
    <w:rsid w:val="006A7CC2"/>
    <w:rsid w:val="006A7F98"/>
    <w:rsid w:val="006B0BA8"/>
    <w:rsid w:val="006B0D53"/>
    <w:rsid w:val="006B0DEA"/>
    <w:rsid w:val="006B1046"/>
    <w:rsid w:val="006B106C"/>
    <w:rsid w:val="006B1492"/>
    <w:rsid w:val="006B14FA"/>
    <w:rsid w:val="006B23B2"/>
    <w:rsid w:val="006B2F97"/>
    <w:rsid w:val="006B2FEC"/>
    <w:rsid w:val="006B357F"/>
    <w:rsid w:val="006B39FD"/>
    <w:rsid w:val="006B3E8B"/>
    <w:rsid w:val="006B3FCD"/>
    <w:rsid w:val="006B480A"/>
    <w:rsid w:val="006B4926"/>
    <w:rsid w:val="006B50E7"/>
    <w:rsid w:val="006B535D"/>
    <w:rsid w:val="006B53E0"/>
    <w:rsid w:val="006B5473"/>
    <w:rsid w:val="006B57E0"/>
    <w:rsid w:val="006B5AC9"/>
    <w:rsid w:val="006B5B26"/>
    <w:rsid w:val="006B5D21"/>
    <w:rsid w:val="006B5D6A"/>
    <w:rsid w:val="006B5E03"/>
    <w:rsid w:val="006B637E"/>
    <w:rsid w:val="006B63C4"/>
    <w:rsid w:val="006B66A7"/>
    <w:rsid w:val="006B6A67"/>
    <w:rsid w:val="006B6CB4"/>
    <w:rsid w:val="006B6D61"/>
    <w:rsid w:val="006B74B5"/>
    <w:rsid w:val="006B7606"/>
    <w:rsid w:val="006B7781"/>
    <w:rsid w:val="006B780B"/>
    <w:rsid w:val="006B78FA"/>
    <w:rsid w:val="006B7C63"/>
    <w:rsid w:val="006C0398"/>
    <w:rsid w:val="006C0583"/>
    <w:rsid w:val="006C074C"/>
    <w:rsid w:val="006C12F8"/>
    <w:rsid w:val="006C1484"/>
    <w:rsid w:val="006C154A"/>
    <w:rsid w:val="006C1BA9"/>
    <w:rsid w:val="006C3129"/>
    <w:rsid w:val="006C3220"/>
    <w:rsid w:val="006C32D4"/>
    <w:rsid w:val="006C38AD"/>
    <w:rsid w:val="006C3AA3"/>
    <w:rsid w:val="006C3DBB"/>
    <w:rsid w:val="006C408A"/>
    <w:rsid w:val="006C4D6A"/>
    <w:rsid w:val="006C4E65"/>
    <w:rsid w:val="006C4F00"/>
    <w:rsid w:val="006C5100"/>
    <w:rsid w:val="006C5132"/>
    <w:rsid w:val="006C52F2"/>
    <w:rsid w:val="006C5332"/>
    <w:rsid w:val="006C55E1"/>
    <w:rsid w:val="006C5E4F"/>
    <w:rsid w:val="006C6550"/>
    <w:rsid w:val="006C673A"/>
    <w:rsid w:val="006C67C0"/>
    <w:rsid w:val="006C683E"/>
    <w:rsid w:val="006C724F"/>
    <w:rsid w:val="006C7482"/>
    <w:rsid w:val="006C7B9A"/>
    <w:rsid w:val="006C7C8F"/>
    <w:rsid w:val="006D0454"/>
    <w:rsid w:val="006D0AAE"/>
    <w:rsid w:val="006D1008"/>
    <w:rsid w:val="006D1868"/>
    <w:rsid w:val="006D1BEC"/>
    <w:rsid w:val="006D1C7D"/>
    <w:rsid w:val="006D20F7"/>
    <w:rsid w:val="006D236A"/>
    <w:rsid w:val="006D2450"/>
    <w:rsid w:val="006D24B7"/>
    <w:rsid w:val="006D264F"/>
    <w:rsid w:val="006D2CC8"/>
    <w:rsid w:val="006D346E"/>
    <w:rsid w:val="006D38F5"/>
    <w:rsid w:val="006D402D"/>
    <w:rsid w:val="006D46F9"/>
    <w:rsid w:val="006D4D21"/>
    <w:rsid w:val="006D4DF0"/>
    <w:rsid w:val="006D536A"/>
    <w:rsid w:val="006D57FD"/>
    <w:rsid w:val="006D59A6"/>
    <w:rsid w:val="006D5A3E"/>
    <w:rsid w:val="006D64EC"/>
    <w:rsid w:val="006D64FD"/>
    <w:rsid w:val="006D6620"/>
    <w:rsid w:val="006D667C"/>
    <w:rsid w:val="006D6930"/>
    <w:rsid w:val="006D69C7"/>
    <w:rsid w:val="006D6AE6"/>
    <w:rsid w:val="006D6DA7"/>
    <w:rsid w:val="006D6E2E"/>
    <w:rsid w:val="006D6F0D"/>
    <w:rsid w:val="006D7599"/>
    <w:rsid w:val="006D7605"/>
    <w:rsid w:val="006E0CF6"/>
    <w:rsid w:val="006E0E47"/>
    <w:rsid w:val="006E1511"/>
    <w:rsid w:val="006E1700"/>
    <w:rsid w:val="006E17F8"/>
    <w:rsid w:val="006E18AE"/>
    <w:rsid w:val="006E19BF"/>
    <w:rsid w:val="006E1B87"/>
    <w:rsid w:val="006E1D9E"/>
    <w:rsid w:val="006E22A0"/>
    <w:rsid w:val="006E25A8"/>
    <w:rsid w:val="006E2E58"/>
    <w:rsid w:val="006E2FCF"/>
    <w:rsid w:val="006E3928"/>
    <w:rsid w:val="006E50A9"/>
    <w:rsid w:val="006E5859"/>
    <w:rsid w:val="006E5D34"/>
    <w:rsid w:val="006E608A"/>
    <w:rsid w:val="006E6371"/>
    <w:rsid w:val="006E640B"/>
    <w:rsid w:val="006E6646"/>
    <w:rsid w:val="006E6933"/>
    <w:rsid w:val="006E7490"/>
    <w:rsid w:val="006F003B"/>
    <w:rsid w:val="006F0195"/>
    <w:rsid w:val="006F0B13"/>
    <w:rsid w:val="006F0DC0"/>
    <w:rsid w:val="006F1241"/>
    <w:rsid w:val="006F175C"/>
    <w:rsid w:val="006F1834"/>
    <w:rsid w:val="006F1939"/>
    <w:rsid w:val="006F1A20"/>
    <w:rsid w:val="006F1C33"/>
    <w:rsid w:val="006F1D90"/>
    <w:rsid w:val="006F2036"/>
    <w:rsid w:val="006F2A83"/>
    <w:rsid w:val="006F2B47"/>
    <w:rsid w:val="006F2D2D"/>
    <w:rsid w:val="006F30BF"/>
    <w:rsid w:val="006F310C"/>
    <w:rsid w:val="006F4652"/>
    <w:rsid w:val="006F474E"/>
    <w:rsid w:val="006F54A6"/>
    <w:rsid w:val="006F588C"/>
    <w:rsid w:val="006F592D"/>
    <w:rsid w:val="006F59FF"/>
    <w:rsid w:val="006F5B32"/>
    <w:rsid w:val="006F62C8"/>
    <w:rsid w:val="006F6395"/>
    <w:rsid w:val="006F6884"/>
    <w:rsid w:val="006F6B83"/>
    <w:rsid w:val="006F7213"/>
    <w:rsid w:val="006F7EF2"/>
    <w:rsid w:val="0070098B"/>
    <w:rsid w:val="00700BC0"/>
    <w:rsid w:val="00701278"/>
    <w:rsid w:val="00701435"/>
    <w:rsid w:val="007018DE"/>
    <w:rsid w:val="00701A9E"/>
    <w:rsid w:val="00701AFF"/>
    <w:rsid w:val="00701B63"/>
    <w:rsid w:val="00701C14"/>
    <w:rsid w:val="00701F70"/>
    <w:rsid w:val="00702084"/>
    <w:rsid w:val="00702C9A"/>
    <w:rsid w:val="00702F5D"/>
    <w:rsid w:val="00704C69"/>
    <w:rsid w:val="00704DE0"/>
    <w:rsid w:val="00704E73"/>
    <w:rsid w:val="0070500C"/>
    <w:rsid w:val="007058C4"/>
    <w:rsid w:val="00705D9C"/>
    <w:rsid w:val="00705E05"/>
    <w:rsid w:val="00706406"/>
    <w:rsid w:val="00706E05"/>
    <w:rsid w:val="00706E66"/>
    <w:rsid w:val="007070EE"/>
    <w:rsid w:val="00707176"/>
    <w:rsid w:val="00707C5B"/>
    <w:rsid w:val="00707E21"/>
    <w:rsid w:val="00710520"/>
    <w:rsid w:val="00710735"/>
    <w:rsid w:val="00711181"/>
    <w:rsid w:val="00711218"/>
    <w:rsid w:val="007114B2"/>
    <w:rsid w:val="007115EF"/>
    <w:rsid w:val="0071183C"/>
    <w:rsid w:val="007118F2"/>
    <w:rsid w:val="00711BAD"/>
    <w:rsid w:val="00711BE9"/>
    <w:rsid w:val="00711F2D"/>
    <w:rsid w:val="00712A01"/>
    <w:rsid w:val="00712F6E"/>
    <w:rsid w:val="00713111"/>
    <w:rsid w:val="00713A2E"/>
    <w:rsid w:val="007143DB"/>
    <w:rsid w:val="00714713"/>
    <w:rsid w:val="00714851"/>
    <w:rsid w:val="00715025"/>
    <w:rsid w:val="0071525D"/>
    <w:rsid w:val="007155E7"/>
    <w:rsid w:val="007157CA"/>
    <w:rsid w:val="00715833"/>
    <w:rsid w:val="00715ACA"/>
    <w:rsid w:val="0071608B"/>
    <w:rsid w:val="007164D8"/>
    <w:rsid w:val="007167D2"/>
    <w:rsid w:val="007168CE"/>
    <w:rsid w:val="00717162"/>
    <w:rsid w:val="00717636"/>
    <w:rsid w:val="007177BB"/>
    <w:rsid w:val="007177C1"/>
    <w:rsid w:val="007177CF"/>
    <w:rsid w:val="0071787C"/>
    <w:rsid w:val="00717996"/>
    <w:rsid w:val="00717A87"/>
    <w:rsid w:val="00720694"/>
    <w:rsid w:val="00720701"/>
    <w:rsid w:val="00720E3A"/>
    <w:rsid w:val="0072131D"/>
    <w:rsid w:val="00721501"/>
    <w:rsid w:val="007215B3"/>
    <w:rsid w:val="007218E7"/>
    <w:rsid w:val="00721DBE"/>
    <w:rsid w:val="00722142"/>
    <w:rsid w:val="0072286F"/>
    <w:rsid w:val="00722CE7"/>
    <w:rsid w:val="00722D58"/>
    <w:rsid w:val="00723195"/>
    <w:rsid w:val="00723A6A"/>
    <w:rsid w:val="007243AA"/>
    <w:rsid w:val="00724917"/>
    <w:rsid w:val="00724958"/>
    <w:rsid w:val="00724974"/>
    <w:rsid w:val="00724A34"/>
    <w:rsid w:val="00724E28"/>
    <w:rsid w:val="0072519F"/>
    <w:rsid w:val="00725F48"/>
    <w:rsid w:val="00726184"/>
    <w:rsid w:val="00726679"/>
    <w:rsid w:val="00726742"/>
    <w:rsid w:val="00727297"/>
    <w:rsid w:val="007272DB"/>
    <w:rsid w:val="007279D2"/>
    <w:rsid w:val="00727E08"/>
    <w:rsid w:val="00727F09"/>
    <w:rsid w:val="007300F6"/>
    <w:rsid w:val="00730209"/>
    <w:rsid w:val="00730B9B"/>
    <w:rsid w:val="00730C01"/>
    <w:rsid w:val="00730C74"/>
    <w:rsid w:val="00730D3E"/>
    <w:rsid w:val="00730FFE"/>
    <w:rsid w:val="007312C7"/>
    <w:rsid w:val="00731A19"/>
    <w:rsid w:val="00731CA8"/>
    <w:rsid w:val="007324CD"/>
    <w:rsid w:val="00732501"/>
    <w:rsid w:val="0073308C"/>
    <w:rsid w:val="007344D9"/>
    <w:rsid w:val="0073467D"/>
    <w:rsid w:val="007356C4"/>
    <w:rsid w:val="007357ED"/>
    <w:rsid w:val="00735D8E"/>
    <w:rsid w:val="0073609E"/>
    <w:rsid w:val="0073619C"/>
    <w:rsid w:val="00736DAB"/>
    <w:rsid w:val="00736FAC"/>
    <w:rsid w:val="00737618"/>
    <w:rsid w:val="007379BF"/>
    <w:rsid w:val="00737CD7"/>
    <w:rsid w:val="007409B3"/>
    <w:rsid w:val="00741416"/>
    <w:rsid w:val="007417C2"/>
    <w:rsid w:val="007418A8"/>
    <w:rsid w:val="00742248"/>
    <w:rsid w:val="0074249D"/>
    <w:rsid w:val="007425BC"/>
    <w:rsid w:val="00742A6A"/>
    <w:rsid w:val="00742F67"/>
    <w:rsid w:val="0074399B"/>
    <w:rsid w:val="0074473E"/>
    <w:rsid w:val="00744ABE"/>
    <w:rsid w:val="00744CFB"/>
    <w:rsid w:val="00744F3B"/>
    <w:rsid w:val="00744FAF"/>
    <w:rsid w:val="00745122"/>
    <w:rsid w:val="007458C6"/>
    <w:rsid w:val="0074591C"/>
    <w:rsid w:val="0074596B"/>
    <w:rsid w:val="00745D18"/>
    <w:rsid w:val="00745E90"/>
    <w:rsid w:val="007460CA"/>
    <w:rsid w:val="00746627"/>
    <w:rsid w:val="00746AA2"/>
    <w:rsid w:val="00746D7B"/>
    <w:rsid w:val="00746DC3"/>
    <w:rsid w:val="00746FCB"/>
    <w:rsid w:val="007470D8"/>
    <w:rsid w:val="007472C3"/>
    <w:rsid w:val="007472EB"/>
    <w:rsid w:val="00747C5D"/>
    <w:rsid w:val="00750477"/>
    <w:rsid w:val="007504A4"/>
    <w:rsid w:val="007507FA"/>
    <w:rsid w:val="007513FB"/>
    <w:rsid w:val="007516C9"/>
    <w:rsid w:val="00751AA7"/>
    <w:rsid w:val="00751C19"/>
    <w:rsid w:val="00751C5A"/>
    <w:rsid w:val="007521FA"/>
    <w:rsid w:val="0075250A"/>
    <w:rsid w:val="00753553"/>
    <w:rsid w:val="00753904"/>
    <w:rsid w:val="00753AA6"/>
    <w:rsid w:val="0075487D"/>
    <w:rsid w:val="00754C08"/>
    <w:rsid w:val="00754DC8"/>
    <w:rsid w:val="00755201"/>
    <w:rsid w:val="00755605"/>
    <w:rsid w:val="007557FC"/>
    <w:rsid w:val="00755B9F"/>
    <w:rsid w:val="00755D3C"/>
    <w:rsid w:val="00755E3A"/>
    <w:rsid w:val="00755E5B"/>
    <w:rsid w:val="0075617F"/>
    <w:rsid w:val="00756559"/>
    <w:rsid w:val="007567A9"/>
    <w:rsid w:val="00756920"/>
    <w:rsid w:val="00756F70"/>
    <w:rsid w:val="00756FAF"/>
    <w:rsid w:val="007570AB"/>
    <w:rsid w:val="007571DA"/>
    <w:rsid w:val="00757613"/>
    <w:rsid w:val="007576F2"/>
    <w:rsid w:val="00757C74"/>
    <w:rsid w:val="0076066E"/>
    <w:rsid w:val="007607C3"/>
    <w:rsid w:val="00760D5F"/>
    <w:rsid w:val="00760DA1"/>
    <w:rsid w:val="00760F74"/>
    <w:rsid w:val="00761008"/>
    <w:rsid w:val="007611FE"/>
    <w:rsid w:val="00761B4E"/>
    <w:rsid w:val="00761D5B"/>
    <w:rsid w:val="00761D99"/>
    <w:rsid w:val="00761E01"/>
    <w:rsid w:val="00761EC4"/>
    <w:rsid w:val="00762DF2"/>
    <w:rsid w:val="00762FDC"/>
    <w:rsid w:val="00763261"/>
    <w:rsid w:val="007638FE"/>
    <w:rsid w:val="007641D7"/>
    <w:rsid w:val="007651AF"/>
    <w:rsid w:val="007652D9"/>
    <w:rsid w:val="007653CA"/>
    <w:rsid w:val="00765692"/>
    <w:rsid w:val="007658BC"/>
    <w:rsid w:val="00765DBD"/>
    <w:rsid w:val="00765E42"/>
    <w:rsid w:val="00765E56"/>
    <w:rsid w:val="0076616D"/>
    <w:rsid w:val="00766401"/>
    <w:rsid w:val="00766DD3"/>
    <w:rsid w:val="007670DA"/>
    <w:rsid w:val="007679E3"/>
    <w:rsid w:val="00770241"/>
    <w:rsid w:val="007706BC"/>
    <w:rsid w:val="007716F1"/>
    <w:rsid w:val="00771B9D"/>
    <w:rsid w:val="00772C32"/>
    <w:rsid w:val="00772DB0"/>
    <w:rsid w:val="007730AB"/>
    <w:rsid w:val="007730F8"/>
    <w:rsid w:val="007733D3"/>
    <w:rsid w:val="00773DD2"/>
    <w:rsid w:val="007745C8"/>
    <w:rsid w:val="00774A30"/>
    <w:rsid w:val="00774B99"/>
    <w:rsid w:val="00775114"/>
    <w:rsid w:val="00775936"/>
    <w:rsid w:val="00775BED"/>
    <w:rsid w:val="00775CA7"/>
    <w:rsid w:val="0077664B"/>
    <w:rsid w:val="00776E4A"/>
    <w:rsid w:val="00777BBA"/>
    <w:rsid w:val="0078015A"/>
    <w:rsid w:val="00780806"/>
    <w:rsid w:val="00780967"/>
    <w:rsid w:val="00780CBB"/>
    <w:rsid w:val="00780F12"/>
    <w:rsid w:val="00782850"/>
    <w:rsid w:val="00782CB2"/>
    <w:rsid w:val="00782FA0"/>
    <w:rsid w:val="0078311A"/>
    <w:rsid w:val="00783572"/>
    <w:rsid w:val="007839DC"/>
    <w:rsid w:val="00783AE0"/>
    <w:rsid w:val="00783FD3"/>
    <w:rsid w:val="007844F7"/>
    <w:rsid w:val="00784743"/>
    <w:rsid w:val="007854C9"/>
    <w:rsid w:val="007856E5"/>
    <w:rsid w:val="00785B11"/>
    <w:rsid w:val="00785DDB"/>
    <w:rsid w:val="00786121"/>
    <w:rsid w:val="0078661A"/>
    <w:rsid w:val="00786746"/>
    <w:rsid w:val="00786795"/>
    <w:rsid w:val="00786875"/>
    <w:rsid w:val="00786961"/>
    <w:rsid w:val="00786A31"/>
    <w:rsid w:val="00786CE3"/>
    <w:rsid w:val="0078700A"/>
    <w:rsid w:val="007872D7"/>
    <w:rsid w:val="007875BE"/>
    <w:rsid w:val="00787678"/>
    <w:rsid w:val="00787797"/>
    <w:rsid w:val="00787E5E"/>
    <w:rsid w:val="00787FC5"/>
    <w:rsid w:val="0079006B"/>
    <w:rsid w:val="007905FD"/>
    <w:rsid w:val="00790D05"/>
    <w:rsid w:val="007910ED"/>
    <w:rsid w:val="00791DB8"/>
    <w:rsid w:val="00791EC0"/>
    <w:rsid w:val="00792399"/>
    <w:rsid w:val="007923A7"/>
    <w:rsid w:val="00792432"/>
    <w:rsid w:val="00792CEC"/>
    <w:rsid w:val="007938DA"/>
    <w:rsid w:val="00793A9D"/>
    <w:rsid w:val="00793E25"/>
    <w:rsid w:val="007941A3"/>
    <w:rsid w:val="0079453C"/>
    <w:rsid w:val="007945A1"/>
    <w:rsid w:val="00794C26"/>
    <w:rsid w:val="00794C89"/>
    <w:rsid w:val="00794E0A"/>
    <w:rsid w:val="0079583C"/>
    <w:rsid w:val="00795940"/>
    <w:rsid w:val="0079594C"/>
    <w:rsid w:val="00795E91"/>
    <w:rsid w:val="00796018"/>
    <w:rsid w:val="00796962"/>
    <w:rsid w:val="00796A92"/>
    <w:rsid w:val="00796ACD"/>
    <w:rsid w:val="00796C12"/>
    <w:rsid w:val="007970D1"/>
    <w:rsid w:val="007976BF"/>
    <w:rsid w:val="00797B63"/>
    <w:rsid w:val="00797D02"/>
    <w:rsid w:val="00797D2F"/>
    <w:rsid w:val="00797E6D"/>
    <w:rsid w:val="007A0026"/>
    <w:rsid w:val="007A00E9"/>
    <w:rsid w:val="007A05A8"/>
    <w:rsid w:val="007A0646"/>
    <w:rsid w:val="007A0A5A"/>
    <w:rsid w:val="007A0C9B"/>
    <w:rsid w:val="007A0F73"/>
    <w:rsid w:val="007A1358"/>
    <w:rsid w:val="007A1444"/>
    <w:rsid w:val="007A14B9"/>
    <w:rsid w:val="007A1F7F"/>
    <w:rsid w:val="007A22B0"/>
    <w:rsid w:val="007A338A"/>
    <w:rsid w:val="007A37C3"/>
    <w:rsid w:val="007A3B2D"/>
    <w:rsid w:val="007A3B3E"/>
    <w:rsid w:val="007A4160"/>
    <w:rsid w:val="007A42B2"/>
    <w:rsid w:val="007A4631"/>
    <w:rsid w:val="007A4D3A"/>
    <w:rsid w:val="007A508C"/>
    <w:rsid w:val="007A594C"/>
    <w:rsid w:val="007A5A0F"/>
    <w:rsid w:val="007A5F9B"/>
    <w:rsid w:val="007A6440"/>
    <w:rsid w:val="007A672B"/>
    <w:rsid w:val="007A6FCD"/>
    <w:rsid w:val="007A721C"/>
    <w:rsid w:val="007A7388"/>
    <w:rsid w:val="007A7538"/>
    <w:rsid w:val="007A7670"/>
    <w:rsid w:val="007B11C6"/>
    <w:rsid w:val="007B1A70"/>
    <w:rsid w:val="007B238A"/>
    <w:rsid w:val="007B23F2"/>
    <w:rsid w:val="007B2574"/>
    <w:rsid w:val="007B3174"/>
    <w:rsid w:val="007B36A8"/>
    <w:rsid w:val="007B3783"/>
    <w:rsid w:val="007B387F"/>
    <w:rsid w:val="007B3C34"/>
    <w:rsid w:val="007B40C0"/>
    <w:rsid w:val="007B4103"/>
    <w:rsid w:val="007B460D"/>
    <w:rsid w:val="007B4792"/>
    <w:rsid w:val="007B48CA"/>
    <w:rsid w:val="007B4964"/>
    <w:rsid w:val="007B4A68"/>
    <w:rsid w:val="007B4F78"/>
    <w:rsid w:val="007B5233"/>
    <w:rsid w:val="007B582D"/>
    <w:rsid w:val="007B5A10"/>
    <w:rsid w:val="007B5B24"/>
    <w:rsid w:val="007B5C3F"/>
    <w:rsid w:val="007B60D0"/>
    <w:rsid w:val="007B6A35"/>
    <w:rsid w:val="007B6A4F"/>
    <w:rsid w:val="007B6B26"/>
    <w:rsid w:val="007B6C00"/>
    <w:rsid w:val="007B7713"/>
    <w:rsid w:val="007B7965"/>
    <w:rsid w:val="007B7B4A"/>
    <w:rsid w:val="007B7F43"/>
    <w:rsid w:val="007B7F50"/>
    <w:rsid w:val="007C04E9"/>
    <w:rsid w:val="007C0AF3"/>
    <w:rsid w:val="007C16A8"/>
    <w:rsid w:val="007C190D"/>
    <w:rsid w:val="007C1996"/>
    <w:rsid w:val="007C1AB6"/>
    <w:rsid w:val="007C298A"/>
    <w:rsid w:val="007C2F8C"/>
    <w:rsid w:val="007C32AE"/>
    <w:rsid w:val="007C3532"/>
    <w:rsid w:val="007C378D"/>
    <w:rsid w:val="007C43CD"/>
    <w:rsid w:val="007C4823"/>
    <w:rsid w:val="007C56F1"/>
    <w:rsid w:val="007C57A7"/>
    <w:rsid w:val="007C60B7"/>
    <w:rsid w:val="007C6749"/>
    <w:rsid w:val="007C7220"/>
    <w:rsid w:val="007C7322"/>
    <w:rsid w:val="007C76BE"/>
    <w:rsid w:val="007C78B4"/>
    <w:rsid w:val="007D00E6"/>
    <w:rsid w:val="007D1614"/>
    <w:rsid w:val="007D161D"/>
    <w:rsid w:val="007D1997"/>
    <w:rsid w:val="007D1BBC"/>
    <w:rsid w:val="007D26FC"/>
    <w:rsid w:val="007D3567"/>
    <w:rsid w:val="007D360B"/>
    <w:rsid w:val="007D3DCD"/>
    <w:rsid w:val="007D4696"/>
    <w:rsid w:val="007D4810"/>
    <w:rsid w:val="007D4EA9"/>
    <w:rsid w:val="007D534E"/>
    <w:rsid w:val="007D55FF"/>
    <w:rsid w:val="007D585B"/>
    <w:rsid w:val="007D589C"/>
    <w:rsid w:val="007D5A5E"/>
    <w:rsid w:val="007D60C0"/>
    <w:rsid w:val="007D6584"/>
    <w:rsid w:val="007D692F"/>
    <w:rsid w:val="007D6F02"/>
    <w:rsid w:val="007D730B"/>
    <w:rsid w:val="007D7494"/>
    <w:rsid w:val="007D78B7"/>
    <w:rsid w:val="007D7D4B"/>
    <w:rsid w:val="007E03B7"/>
    <w:rsid w:val="007E095D"/>
    <w:rsid w:val="007E0C6F"/>
    <w:rsid w:val="007E1DB7"/>
    <w:rsid w:val="007E2205"/>
    <w:rsid w:val="007E22C0"/>
    <w:rsid w:val="007E2DAE"/>
    <w:rsid w:val="007E2F65"/>
    <w:rsid w:val="007E3010"/>
    <w:rsid w:val="007E333E"/>
    <w:rsid w:val="007E3A2C"/>
    <w:rsid w:val="007E44D7"/>
    <w:rsid w:val="007E4D7F"/>
    <w:rsid w:val="007E528C"/>
    <w:rsid w:val="007E54C4"/>
    <w:rsid w:val="007E54EC"/>
    <w:rsid w:val="007E5729"/>
    <w:rsid w:val="007E588F"/>
    <w:rsid w:val="007E5AA5"/>
    <w:rsid w:val="007E6063"/>
    <w:rsid w:val="007E6116"/>
    <w:rsid w:val="007E6668"/>
    <w:rsid w:val="007E7E83"/>
    <w:rsid w:val="007E7F55"/>
    <w:rsid w:val="007F01BA"/>
    <w:rsid w:val="007F0391"/>
    <w:rsid w:val="007F0D79"/>
    <w:rsid w:val="007F1AC2"/>
    <w:rsid w:val="007F20BB"/>
    <w:rsid w:val="007F218B"/>
    <w:rsid w:val="007F29DF"/>
    <w:rsid w:val="007F2C2C"/>
    <w:rsid w:val="007F3A04"/>
    <w:rsid w:val="007F4013"/>
    <w:rsid w:val="007F40DD"/>
    <w:rsid w:val="007F479A"/>
    <w:rsid w:val="007F59BC"/>
    <w:rsid w:val="007F5DC7"/>
    <w:rsid w:val="007F653B"/>
    <w:rsid w:val="007F6B99"/>
    <w:rsid w:val="007F6D11"/>
    <w:rsid w:val="007F758A"/>
    <w:rsid w:val="007F7A1A"/>
    <w:rsid w:val="007F7AE2"/>
    <w:rsid w:val="008000D6"/>
    <w:rsid w:val="008002D2"/>
    <w:rsid w:val="00800790"/>
    <w:rsid w:val="00800D49"/>
    <w:rsid w:val="00800E0A"/>
    <w:rsid w:val="0080132F"/>
    <w:rsid w:val="0080190E"/>
    <w:rsid w:val="00801F4B"/>
    <w:rsid w:val="008030F4"/>
    <w:rsid w:val="008033D8"/>
    <w:rsid w:val="00803FD2"/>
    <w:rsid w:val="008040F5"/>
    <w:rsid w:val="00804F7A"/>
    <w:rsid w:val="00805264"/>
    <w:rsid w:val="008053C1"/>
    <w:rsid w:val="00805488"/>
    <w:rsid w:val="0080570C"/>
    <w:rsid w:val="0080627F"/>
    <w:rsid w:val="00806494"/>
    <w:rsid w:val="008068CF"/>
    <w:rsid w:val="00806CF4"/>
    <w:rsid w:val="0080717D"/>
    <w:rsid w:val="00807497"/>
    <w:rsid w:val="00807B71"/>
    <w:rsid w:val="00810285"/>
    <w:rsid w:val="008103E4"/>
    <w:rsid w:val="00810D09"/>
    <w:rsid w:val="00810D2B"/>
    <w:rsid w:val="00811276"/>
    <w:rsid w:val="0081130F"/>
    <w:rsid w:val="008113DD"/>
    <w:rsid w:val="008115D0"/>
    <w:rsid w:val="00811E55"/>
    <w:rsid w:val="00811E9B"/>
    <w:rsid w:val="008120BB"/>
    <w:rsid w:val="0081254B"/>
    <w:rsid w:val="008132F4"/>
    <w:rsid w:val="0081334E"/>
    <w:rsid w:val="0081347B"/>
    <w:rsid w:val="00813795"/>
    <w:rsid w:val="00813E7E"/>
    <w:rsid w:val="0081547A"/>
    <w:rsid w:val="008154AC"/>
    <w:rsid w:val="00815628"/>
    <w:rsid w:val="0081572E"/>
    <w:rsid w:val="008158EA"/>
    <w:rsid w:val="00815C0A"/>
    <w:rsid w:val="00815E59"/>
    <w:rsid w:val="0081647C"/>
    <w:rsid w:val="008165D5"/>
    <w:rsid w:val="00816896"/>
    <w:rsid w:val="00816976"/>
    <w:rsid w:val="00817619"/>
    <w:rsid w:val="00817694"/>
    <w:rsid w:val="008177A4"/>
    <w:rsid w:val="008177CD"/>
    <w:rsid w:val="00817A9E"/>
    <w:rsid w:val="00817D49"/>
    <w:rsid w:val="00817EC6"/>
    <w:rsid w:val="008202E3"/>
    <w:rsid w:val="008204EE"/>
    <w:rsid w:val="00820FA7"/>
    <w:rsid w:val="00821188"/>
    <w:rsid w:val="00821ABD"/>
    <w:rsid w:val="00821B46"/>
    <w:rsid w:val="008222A5"/>
    <w:rsid w:val="00822349"/>
    <w:rsid w:val="008224DC"/>
    <w:rsid w:val="00822715"/>
    <w:rsid w:val="00822759"/>
    <w:rsid w:val="00822BA7"/>
    <w:rsid w:val="00822C1A"/>
    <w:rsid w:val="00822E50"/>
    <w:rsid w:val="00823620"/>
    <w:rsid w:val="008239DE"/>
    <w:rsid w:val="008239F3"/>
    <w:rsid w:val="00823C8E"/>
    <w:rsid w:val="00823F84"/>
    <w:rsid w:val="00824B1B"/>
    <w:rsid w:val="00824D5F"/>
    <w:rsid w:val="0082514E"/>
    <w:rsid w:val="0082555F"/>
    <w:rsid w:val="00825DD2"/>
    <w:rsid w:val="008261AA"/>
    <w:rsid w:val="00826348"/>
    <w:rsid w:val="008267F3"/>
    <w:rsid w:val="008269CF"/>
    <w:rsid w:val="00826D12"/>
    <w:rsid w:val="008272C3"/>
    <w:rsid w:val="00827F1B"/>
    <w:rsid w:val="008301CB"/>
    <w:rsid w:val="00830B84"/>
    <w:rsid w:val="00830E35"/>
    <w:rsid w:val="00830EAD"/>
    <w:rsid w:val="008312D9"/>
    <w:rsid w:val="00831705"/>
    <w:rsid w:val="00831C01"/>
    <w:rsid w:val="00831E0B"/>
    <w:rsid w:val="00832337"/>
    <w:rsid w:val="008324BD"/>
    <w:rsid w:val="00832928"/>
    <w:rsid w:val="008329DE"/>
    <w:rsid w:val="00832D11"/>
    <w:rsid w:val="00832EF6"/>
    <w:rsid w:val="008336A9"/>
    <w:rsid w:val="00833F2A"/>
    <w:rsid w:val="0083423D"/>
    <w:rsid w:val="0083459C"/>
    <w:rsid w:val="00834670"/>
    <w:rsid w:val="008347B9"/>
    <w:rsid w:val="008348C9"/>
    <w:rsid w:val="00834A62"/>
    <w:rsid w:val="00834E28"/>
    <w:rsid w:val="00835A2E"/>
    <w:rsid w:val="00835D4A"/>
    <w:rsid w:val="00835FB1"/>
    <w:rsid w:val="00836746"/>
    <w:rsid w:val="00836BA1"/>
    <w:rsid w:val="0083704D"/>
    <w:rsid w:val="008378D4"/>
    <w:rsid w:val="00840194"/>
    <w:rsid w:val="0084029F"/>
    <w:rsid w:val="008403A5"/>
    <w:rsid w:val="008406F2"/>
    <w:rsid w:val="00840847"/>
    <w:rsid w:val="0084099B"/>
    <w:rsid w:val="00840C50"/>
    <w:rsid w:val="00840FF1"/>
    <w:rsid w:val="008410EB"/>
    <w:rsid w:val="00841E3A"/>
    <w:rsid w:val="008426B7"/>
    <w:rsid w:val="0084276D"/>
    <w:rsid w:val="00842D2F"/>
    <w:rsid w:val="00842EA3"/>
    <w:rsid w:val="0084392B"/>
    <w:rsid w:val="00843B08"/>
    <w:rsid w:val="008445F4"/>
    <w:rsid w:val="00844798"/>
    <w:rsid w:val="00844A80"/>
    <w:rsid w:val="00844AA3"/>
    <w:rsid w:val="00844C31"/>
    <w:rsid w:val="00845033"/>
    <w:rsid w:val="008453C7"/>
    <w:rsid w:val="00845AA6"/>
    <w:rsid w:val="00845E45"/>
    <w:rsid w:val="0084600C"/>
    <w:rsid w:val="0084602F"/>
    <w:rsid w:val="0084631D"/>
    <w:rsid w:val="00846D14"/>
    <w:rsid w:val="00847009"/>
    <w:rsid w:val="008471EC"/>
    <w:rsid w:val="00847E08"/>
    <w:rsid w:val="00850111"/>
    <w:rsid w:val="008501B9"/>
    <w:rsid w:val="008503CE"/>
    <w:rsid w:val="008509A9"/>
    <w:rsid w:val="00850A99"/>
    <w:rsid w:val="00850C41"/>
    <w:rsid w:val="00851017"/>
    <w:rsid w:val="0085222C"/>
    <w:rsid w:val="00852415"/>
    <w:rsid w:val="00853388"/>
    <w:rsid w:val="008538A3"/>
    <w:rsid w:val="008539FC"/>
    <w:rsid w:val="008542D2"/>
    <w:rsid w:val="008544FE"/>
    <w:rsid w:val="00854B92"/>
    <w:rsid w:val="00854EB8"/>
    <w:rsid w:val="00855078"/>
    <w:rsid w:val="00855456"/>
    <w:rsid w:val="008567AC"/>
    <w:rsid w:val="00856A79"/>
    <w:rsid w:val="00856AEC"/>
    <w:rsid w:val="00856C69"/>
    <w:rsid w:val="00856D4C"/>
    <w:rsid w:val="00856F6D"/>
    <w:rsid w:val="008573C2"/>
    <w:rsid w:val="00857BF8"/>
    <w:rsid w:val="00857D3D"/>
    <w:rsid w:val="00857F0C"/>
    <w:rsid w:val="00860450"/>
    <w:rsid w:val="00860794"/>
    <w:rsid w:val="00862447"/>
    <w:rsid w:val="008624EA"/>
    <w:rsid w:val="00862688"/>
    <w:rsid w:val="008627A2"/>
    <w:rsid w:val="0086343A"/>
    <w:rsid w:val="008636AC"/>
    <w:rsid w:val="00863E68"/>
    <w:rsid w:val="00864512"/>
    <w:rsid w:val="00864836"/>
    <w:rsid w:val="00864918"/>
    <w:rsid w:val="0086493F"/>
    <w:rsid w:val="00864D0A"/>
    <w:rsid w:val="008650FF"/>
    <w:rsid w:val="00865261"/>
    <w:rsid w:val="008657BE"/>
    <w:rsid w:val="00865B97"/>
    <w:rsid w:val="00865DA0"/>
    <w:rsid w:val="00865DA5"/>
    <w:rsid w:val="00865DF9"/>
    <w:rsid w:val="00865E2B"/>
    <w:rsid w:val="0086615A"/>
    <w:rsid w:val="008664E4"/>
    <w:rsid w:val="00866EF9"/>
    <w:rsid w:val="008678E5"/>
    <w:rsid w:val="008679B3"/>
    <w:rsid w:val="00867F35"/>
    <w:rsid w:val="0087076C"/>
    <w:rsid w:val="00870BBF"/>
    <w:rsid w:val="00870C3E"/>
    <w:rsid w:val="00870DC4"/>
    <w:rsid w:val="00870F38"/>
    <w:rsid w:val="00870F9F"/>
    <w:rsid w:val="00871082"/>
    <w:rsid w:val="00871146"/>
    <w:rsid w:val="0087126A"/>
    <w:rsid w:val="0087168A"/>
    <w:rsid w:val="008716B3"/>
    <w:rsid w:val="00871BDE"/>
    <w:rsid w:val="0087247A"/>
    <w:rsid w:val="008724FC"/>
    <w:rsid w:val="00872B5B"/>
    <w:rsid w:val="00873646"/>
    <w:rsid w:val="00873AB8"/>
    <w:rsid w:val="008741A8"/>
    <w:rsid w:val="0087455D"/>
    <w:rsid w:val="00874D62"/>
    <w:rsid w:val="00875601"/>
    <w:rsid w:val="00875619"/>
    <w:rsid w:val="0087598F"/>
    <w:rsid w:val="00875BF9"/>
    <w:rsid w:val="00875E0B"/>
    <w:rsid w:val="008761AF"/>
    <w:rsid w:val="00876215"/>
    <w:rsid w:val="00876372"/>
    <w:rsid w:val="00876653"/>
    <w:rsid w:val="00876A16"/>
    <w:rsid w:val="008770AF"/>
    <w:rsid w:val="00880109"/>
    <w:rsid w:val="00880531"/>
    <w:rsid w:val="0088060D"/>
    <w:rsid w:val="00880B77"/>
    <w:rsid w:val="0088150C"/>
    <w:rsid w:val="00881903"/>
    <w:rsid w:val="00881BFF"/>
    <w:rsid w:val="00881FE6"/>
    <w:rsid w:val="0088206D"/>
    <w:rsid w:val="008820D1"/>
    <w:rsid w:val="00882651"/>
    <w:rsid w:val="0088319A"/>
    <w:rsid w:val="0088319B"/>
    <w:rsid w:val="00883480"/>
    <w:rsid w:val="0088372C"/>
    <w:rsid w:val="00883943"/>
    <w:rsid w:val="00883B50"/>
    <w:rsid w:val="00883DE2"/>
    <w:rsid w:val="00884323"/>
    <w:rsid w:val="00884A70"/>
    <w:rsid w:val="00884CDA"/>
    <w:rsid w:val="00885258"/>
    <w:rsid w:val="008857E8"/>
    <w:rsid w:val="00885EB4"/>
    <w:rsid w:val="008866D1"/>
    <w:rsid w:val="00886DEC"/>
    <w:rsid w:val="00886E85"/>
    <w:rsid w:val="00887243"/>
    <w:rsid w:val="008878C9"/>
    <w:rsid w:val="00887B76"/>
    <w:rsid w:val="00887F70"/>
    <w:rsid w:val="008902D1"/>
    <w:rsid w:val="0089067E"/>
    <w:rsid w:val="00890C94"/>
    <w:rsid w:val="00890E89"/>
    <w:rsid w:val="00890F02"/>
    <w:rsid w:val="008913C9"/>
    <w:rsid w:val="00891774"/>
    <w:rsid w:val="008918AE"/>
    <w:rsid w:val="00891C03"/>
    <w:rsid w:val="00891F6A"/>
    <w:rsid w:val="00891F7C"/>
    <w:rsid w:val="008928BC"/>
    <w:rsid w:val="00892D50"/>
    <w:rsid w:val="00893430"/>
    <w:rsid w:val="00893522"/>
    <w:rsid w:val="008938AB"/>
    <w:rsid w:val="00894122"/>
    <w:rsid w:val="008945A2"/>
    <w:rsid w:val="008945F6"/>
    <w:rsid w:val="008947CE"/>
    <w:rsid w:val="00894C49"/>
    <w:rsid w:val="00894D8C"/>
    <w:rsid w:val="008951C9"/>
    <w:rsid w:val="008952E9"/>
    <w:rsid w:val="008953CA"/>
    <w:rsid w:val="00895E9F"/>
    <w:rsid w:val="00895F00"/>
    <w:rsid w:val="008962CB"/>
    <w:rsid w:val="0089632C"/>
    <w:rsid w:val="00896353"/>
    <w:rsid w:val="00896435"/>
    <w:rsid w:val="00896B8A"/>
    <w:rsid w:val="00896FD5"/>
    <w:rsid w:val="008973B8"/>
    <w:rsid w:val="0089745A"/>
    <w:rsid w:val="008977C7"/>
    <w:rsid w:val="00897ED7"/>
    <w:rsid w:val="00897EFC"/>
    <w:rsid w:val="008A08AE"/>
    <w:rsid w:val="008A0915"/>
    <w:rsid w:val="008A0BC6"/>
    <w:rsid w:val="008A0D28"/>
    <w:rsid w:val="008A0F17"/>
    <w:rsid w:val="008A0FD4"/>
    <w:rsid w:val="008A1D31"/>
    <w:rsid w:val="008A1D81"/>
    <w:rsid w:val="008A1DE3"/>
    <w:rsid w:val="008A21C0"/>
    <w:rsid w:val="008A283F"/>
    <w:rsid w:val="008A2CFF"/>
    <w:rsid w:val="008A30B3"/>
    <w:rsid w:val="008A3820"/>
    <w:rsid w:val="008A3C2A"/>
    <w:rsid w:val="008A3CE6"/>
    <w:rsid w:val="008A3F4B"/>
    <w:rsid w:val="008A4601"/>
    <w:rsid w:val="008A4AEB"/>
    <w:rsid w:val="008A55A3"/>
    <w:rsid w:val="008A615E"/>
    <w:rsid w:val="008A618C"/>
    <w:rsid w:val="008A6D6A"/>
    <w:rsid w:val="008A722D"/>
    <w:rsid w:val="008A72EE"/>
    <w:rsid w:val="008A767D"/>
    <w:rsid w:val="008A76EF"/>
    <w:rsid w:val="008B0337"/>
    <w:rsid w:val="008B165D"/>
    <w:rsid w:val="008B1C7A"/>
    <w:rsid w:val="008B1D35"/>
    <w:rsid w:val="008B2640"/>
    <w:rsid w:val="008B29B1"/>
    <w:rsid w:val="008B2A7C"/>
    <w:rsid w:val="008B304D"/>
    <w:rsid w:val="008B375A"/>
    <w:rsid w:val="008B390F"/>
    <w:rsid w:val="008B3ACA"/>
    <w:rsid w:val="008B3D3A"/>
    <w:rsid w:val="008B4167"/>
    <w:rsid w:val="008B42A2"/>
    <w:rsid w:val="008B4BA8"/>
    <w:rsid w:val="008B4FE3"/>
    <w:rsid w:val="008B51A5"/>
    <w:rsid w:val="008B5D11"/>
    <w:rsid w:val="008B5DB4"/>
    <w:rsid w:val="008B60E0"/>
    <w:rsid w:val="008B64F8"/>
    <w:rsid w:val="008B699F"/>
    <w:rsid w:val="008B6D4E"/>
    <w:rsid w:val="008B7269"/>
    <w:rsid w:val="008B7411"/>
    <w:rsid w:val="008B7481"/>
    <w:rsid w:val="008B74D3"/>
    <w:rsid w:val="008B761A"/>
    <w:rsid w:val="008B782B"/>
    <w:rsid w:val="008B7CCD"/>
    <w:rsid w:val="008C0483"/>
    <w:rsid w:val="008C0B43"/>
    <w:rsid w:val="008C0D4D"/>
    <w:rsid w:val="008C1190"/>
    <w:rsid w:val="008C1364"/>
    <w:rsid w:val="008C15DF"/>
    <w:rsid w:val="008C1DED"/>
    <w:rsid w:val="008C205B"/>
    <w:rsid w:val="008C26B2"/>
    <w:rsid w:val="008C2BE0"/>
    <w:rsid w:val="008C3205"/>
    <w:rsid w:val="008C37E2"/>
    <w:rsid w:val="008C3BEF"/>
    <w:rsid w:val="008C3D69"/>
    <w:rsid w:val="008C4147"/>
    <w:rsid w:val="008C4658"/>
    <w:rsid w:val="008C474E"/>
    <w:rsid w:val="008C4BCF"/>
    <w:rsid w:val="008C5029"/>
    <w:rsid w:val="008C52E4"/>
    <w:rsid w:val="008C547C"/>
    <w:rsid w:val="008C68E6"/>
    <w:rsid w:val="008C6A62"/>
    <w:rsid w:val="008C6C2C"/>
    <w:rsid w:val="008C6E40"/>
    <w:rsid w:val="008D03A0"/>
    <w:rsid w:val="008D03CD"/>
    <w:rsid w:val="008D0F4C"/>
    <w:rsid w:val="008D1129"/>
    <w:rsid w:val="008D14BB"/>
    <w:rsid w:val="008D160D"/>
    <w:rsid w:val="008D174B"/>
    <w:rsid w:val="008D18C5"/>
    <w:rsid w:val="008D1BAD"/>
    <w:rsid w:val="008D1D48"/>
    <w:rsid w:val="008D2D1F"/>
    <w:rsid w:val="008D2E04"/>
    <w:rsid w:val="008D2E06"/>
    <w:rsid w:val="008D3045"/>
    <w:rsid w:val="008D372A"/>
    <w:rsid w:val="008D4B2E"/>
    <w:rsid w:val="008D53D5"/>
    <w:rsid w:val="008D55EE"/>
    <w:rsid w:val="008D560F"/>
    <w:rsid w:val="008D5723"/>
    <w:rsid w:val="008D583B"/>
    <w:rsid w:val="008D5A39"/>
    <w:rsid w:val="008D5EE2"/>
    <w:rsid w:val="008D6008"/>
    <w:rsid w:val="008D6055"/>
    <w:rsid w:val="008D658E"/>
    <w:rsid w:val="008D66F0"/>
    <w:rsid w:val="008D6D9B"/>
    <w:rsid w:val="008D7151"/>
    <w:rsid w:val="008D79AC"/>
    <w:rsid w:val="008E0131"/>
    <w:rsid w:val="008E0271"/>
    <w:rsid w:val="008E02FD"/>
    <w:rsid w:val="008E03D0"/>
    <w:rsid w:val="008E0604"/>
    <w:rsid w:val="008E07C7"/>
    <w:rsid w:val="008E0B9F"/>
    <w:rsid w:val="008E0EA9"/>
    <w:rsid w:val="008E1045"/>
    <w:rsid w:val="008E1087"/>
    <w:rsid w:val="008E1317"/>
    <w:rsid w:val="008E221E"/>
    <w:rsid w:val="008E2604"/>
    <w:rsid w:val="008E2C09"/>
    <w:rsid w:val="008E36A0"/>
    <w:rsid w:val="008E36BE"/>
    <w:rsid w:val="008E3C87"/>
    <w:rsid w:val="008E3F52"/>
    <w:rsid w:val="008E42F1"/>
    <w:rsid w:val="008E4796"/>
    <w:rsid w:val="008E56D5"/>
    <w:rsid w:val="008E5F68"/>
    <w:rsid w:val="008E6472"/>
    <w:rsid w:val="008E65E1"/>
    <w:rsid w:val="008E6799"/>
    <w:rsid w:val="008E698A"/>
    <w:rsid w:val="008E6A3F"/>
    <w:rsid w:val="008E6B18"/>
    <w:rsid w:val="008E6B50"/>
    <w:rsid w:val="008E70C1"/>
    <w:rsid w:val="008E79F2"/>
    <w:rsid w:val="008E7DD2"/>
    <w:rsid w:val="008F02E7"/>
    <w:rsid w:val="008F0AFD"/>
    <w:rsid w:val="008F0D04"/>
    <w:rsid w:val="008F110E"/>
    <w:rsid w:val="008F1304"/>
    <w:rsid w:val="008F1857"/>
    <w:rsid w:val="008F1F42"/>
    <w:rsid w:val="008F2237"/>
    <w:rsid w:val="008F2332"/>
    <w:rsid w:val="008F2B93"/>
    <w:rsid w:val="008F36F9"/>
    <w:rsid w:val="008F381E"/>
    <w:rsid w:val="008F3BAA"/>
    <w:rsid w:val="008F3E6A"/>
    <w:rsid w:val="008F3E9E"/>
    <w:rsid w:val="008F48CE"/>
    <w:rsid w:val="008F4D7D"/>
    <w:rsid w:val="008F5A5F"/>
    <w:rsid w:val="008F5C12"/>
    <w:rsid w:val="008F61A0"/>
    <w:rsid w:val="008F683A"/>
    <w:rsid w:val="008F6A7E"/>
    <w:rsid w:val="008F6AA1"/>
    <w:rsid w:val="008F6C4C"/>
    <w:rsid w:val="008F7803"/>
    <w:rsid w:val="008F7E2B"/>
    <w:rsid w:val="00900282"/>
    <w:rsid w:val="00900309"/>
    <w:rsid w:val="00900705"/>
    <w:rsid w:val="00901020"/>
    <w:rsid w:val="0090115A"/>
    <w:rsid w:val="00901283"/>
    <w:rsid w:val="0090165D"/>
    <w:rsid w:val="00901790"/>
    <w:rsid w:val="009018DD"/>
    <w:rsid w:val="00901CAE"/>
    <w:rsid w:val="00901F48"/>
    <w:rsid w:val="009020A6"/>
    <w:rsid w:val="00902342"/>
    <w:rsid w:val="009023A8"/>
    <w:rsid w:val="0090365E"/>
    <w:rsid w:val="009037C0"/>
    <w:rsid w:val="00903A95"/>
    <w:rsid w:val="00903D5E"/>
    <w:rsid w:val="00903F7A"/>
    <w:rsid w:val="0090423A"/>
    <w:rsid w:val="009044A9"/>
    <w:rsid w:val="009045DA"/>
    <w:rsid w:val="0090461C"/>
    <w:rsid w:val="00904D3F"/>
    <w:rsid w:val="00904F05"/>
    <w:rsid w:val="00905093"/>
    <w:rsid w:val="009054F6"/>
    <w:rsid w:val="0090639B"/>
    <w:rsid w:val="00906BC5"/>
    <w:rsid w:val="00906E1B"/>
    <w:rsid w:val="00907851"/>
    <w:rsid w:val="00907F6A"/>
    <w:rsid w:val="00910035"/>
    <w:rsid w:val="00910710"/>
    <w:rsid w:val="00911295"/>
    <w:rsid w:val="00911424"/>
    <w:rsid w:val="0091168C"/>
    <w:rsid w:val="009118AF"/>
    <w:rsid w:val="00911EB0"/>
    <w:rsid w:val="00912072"/>
    <w:rsid w:val="009121EB"/>
    <w:rsid w:val="00913212"/>
    <w:rsid w:val="00913463"/>
    <w:rsid w:val="00913645"/>
    <w:rsid w:val="00913766"/>
    <w:rsid w:val="00913840"/>
    <w:rsid w:val="009139D6"/>
    <w:rsid w:val="00914B43"/>
    <w:rsid w:val="00914BBE"/>
    <w:rsid w:val="009166F5"/>
    <w:rsid w:val="00916CF5"/>
    <w:rsid w:val="00917443"/>
    <w:rsid w:val="0091762C"/>
    <w:rsid w:val="009176CB"/>
    <w:rsid w:val="009179EF"/>
    <w:rsid w:val="00920BC2"/>
    <w:rsid w:val="00920FDF"/>
    <w:rsid w:val="00920FF0"/>
    <w:rsid w:val="009210C4"/>
    <w:rsid w:val="00921444"/>
    <w:rsid w:val="00921BDB"/>
    <w:rsid w:val="00921FBE"/>
    <w:rsid w:val="009223E6"/>
    <w:rsid w:val="009229FA"/>
    <w:rsid w:val="00922A62"/>
    <w:rsid w:val="00923583"/>
    <w:rsid w:val="009237B6"/>
    <w:rsid w:val="009239F8"/>
    <w:rsid w:val="00923F8C"/>
    <w:rsid w:val="009241AB"/>
    <w:rsid w:val="00924657"/>
    <w:rsid w:val="00924715"/>
    <w:rsid w:val="00924805"/>
    <w:rsid w:val="00924834"/>
    <w:rsid w:val="00924DF5"/>
    <w:rsid w:val="00925178"/>
    <w:rsid w:val="009251F7"/>
    <w:rsid w:val="009257B8"/>
    <w:rsid w:val="00925E35"/>
    <w:rsid w:val="00926E11"/>
    <w:rsid w:val="009273A7"/>
    <w:rsid w:val="00927979"/>
    <w:rsid w:val="00927B39"/>
    <w:rsid w:val="00927E1A"/>
    <w:rsid w:val="00927FFB"/>
    <w:rsid w:val="0093046D"/>
    <w:rsid w:val="009308C8"/>
    <w:rsid w:val="00930940"/>
    <w:rsid w:val="009310A5"/>
    <w:rsid w:val="00931317"/>
    <w:rsid w:val="009316AD"/>
    <w:rsid w:val="00931DBF"/>
    <w:rsid w:val="0093215B"/>
    <w:rsid w:val="009323A0"/>
    <w:rsid w:val="00932504"/>
    <w:rsid w:val="00933492"/>
    <w:rsid w:val="00933646"/>
    <w:rsid w:val="0093437F"/>
    <w:rsid w:val="009346A5"/>
    <w:rsid w:val="00934CFA"/>
    <w:rsid w:val="00934DBB"/>
    <w:rsid w:val="00934ED4"/>
    <w:rsid w:val="009351B4"/>
    <w:rsid w:val="009351B8"/>
    <w:rsid w:val="00935246"/>
    <w:rsid w:val="009352EF"/>
    <w:rsid w:val="009353E4"/>
    <w:rsid w:val="00935656"/>
    <w:rsid w:val="00936D9C"/>
    <w:rsid w:val="009377FE"/>
    <w:rsid w:val="00937EFA"/>
    <w:rsid w:val="009407C4"/>
    <w:rsid w:val="00940F1F"/>
    <w:rsid w:val="00941F8D"/>
    <w:rsid w:val="00942352"/>
    <w:rsid w:val="009429BF"/>
    <w:rsid w:val="009430C7"/>
    <w:rsid w:val="00943971"/>
    <w:rsid w:val="00943A5C"/>
    <w:rsid w:val="00943CF1"/>
    <w:rsid w:val="00944280"/>
    <w:rsid w:val="00944C57"/>
    <w:rsid w:val="00944C6E"/>
    <w:rsid w:val="0094531E"/>
    <w:rsid w:val="009456B0"/>
    <w:rsid w:val="00945776"/>
    <w:rsid w:val="00945B95"/>
    <w:rsid w:val="00945D37"/>
    <w:rsid w:val="00946025"/>
    <w:rsid w:val="009465B8"/>
    <w:rsid w:val="00946B55"/>
    <w:rsid w:val="00946BC2"/>
    <w:rsid w:val="00946C6C"/>
    <w:rsid w:val="00946FAE"/>
    <w:rsid w:val="00947401"/>
    <w:rsid w:val="00947867"/>
    <w:rsid w:val="00947C72"/>
    <w:rsid w:val="00947CD3"/>
    <w:rsid w:val="00947D22"/>
    <w:rsid w:val="00950487"/>
    <w:rsid w:val="00950643"/>
    <w:rsid w:val="009511B3"/>
    <w:rsid w:val="009514CE"/>
    <w:rsid w:val="00951604"/>
    <w:rsid w:val="009518DF"/>
    <w:rsid w:val="00951E7C"/>
    <w:rsid w:val="009520C5"/>
    <w:rsid w:val="009521E0"/>
    <w:rsid w:val="009523B2"/>
    <w:rsid w:val="00952B6B"/>
    <w:rsid w:val="00952B9A"/>
    <w:rsid w:val="009530B4"/>
    <w:rsid w:val="009531E2"/>
    <w:rsid w:val="00953207"/>
    <w:rsid w:val="00953770"/>
    <w:rsid w:val="00953E56"/>
    <w:rsid w:val="00953FE6"/>
    <w:rsid w:val="009542C4"/>
    <w:rsid w:val="009545F8"/>
    <w:rsid w:val="00954779"/>
    <w:rsid w:val="00954B54"/>
    <w:rsid w:val="00955926"/>
    <w:rsid w:val="00956664"/>
    <w:rsid w:val="00956CC5"/>
    <w:rsid w:val="0095710F"/>
    <w:rsid w:val="0095724A"/>
    <w:rsid w:val="00957744"/>
    <w:rsid w:val="00957A3D"/>
    <w:rsid w:val="00957A77"/>
    <w:rsid w:val="00957B15"/>
    <w:rsid w:val="00957E96"/>
    <w:rsid w:val="009602EE"/>
    <w:rsid w:val="009604A1"/>
    <w:rsid w:val="009606DB"/>
    <w:rsid w:val="0096074C"/>
    <w:rsid w:val="00960A59"/>
    <w:rsid w:val="00960DB5"/>
    <w:rsid w:val="00961341"/>
    <w:rsid w:val="0096139A"/>
    <w:rsid w:val="0096152E"/>
    <w:rsid w:val="009616E7"/>
    <w:rsid w:val="00962805"/>
    <w:rsid w:val="00962850"/>
    <w:rsid w:val="0096326C"/>
    <w:rsid w:val="0096392A"/>
    <w:rsid w:val="00963B40"/>
    <w:rsid w:val="00963D93"/>
    <w:rsid w:val="00963F2C"/>
    <w:rsid w:val="009642B5"/>
    <w:rsid w:val="0096430C"/>
    <w:rsid w:val="00965EF7"/>
    <w:rsid w:val="00965F95"/>
    <w:rsid w:val="00966944"/>
    <w:rsid w:val="00966BC8"/>
    <w:rsid w:val="00966F80"/>
    <w:rsid w:val="00967962"/>
    <w:rsid w:val="00970712"/>
    <w:rsid w:val="0097076B"/>
    <w:rsid w:val="009709EF"/>
    <w:rsid w:val="00970C28"/>
    <w:rsid w:val="00970DAE"/>
    <w:rsid w:val="00971298"/>
    <w:rsid w:val="0097211A"/>
    <w:rsid w:val="00972227"/>
    <w:rsid w:val="00972600"/>
    <w:rsid w:val="00972D19"/>
    <w:rsid w:val="00972F0E"/>
    <w:rsid w:val="00972F1E"/>
    <w:rsid w:val="009732E2"/>
    <w:rsid w:val="009733DB"/>
    <w:rsid w:val="009734CA"/>
    <w:rsid w:val="009735D1"/>
    <w:rsid w:val="00973A1E"/>
    <w:rsid w:val="00973A5A"/>
    <w:rsid w:val="0097454E"/>
    <w:rsid w:val="009765BC"/>
    <w:rsid w:val="009766E3"/>
    <w:rsid w:val="00976717"/>
    <w:rsid w:val="00976815"/>
    <w:rsid w:val="009769D3"/>
    <w:rsid w:val="009770B5"/>
    <w:rsid w:val="00977622"/>
    <w:rsid w:val="0097768C"/>
    <w:rsid w:val="009778B4"/>
    <w:rsid w:val="00977D70"/>
    <w:rsid w:val="00980188"/>
    <w:rsid w:val="0098023E"/>
    <w:rsid w:val="009802E2"/>
    <w:rsid w:val="00980789"/>
    <w:rsid w:val="00980B98"/>
    <w:rsid w:val="00980CC2"/>
    <w:rsid w:val="00980D9C"/>
    <w:rsid w:val="00980F2B"/>
    <w:rsid w:val="00981662"/>
    <w:rsid w:val="009819FF"/>
    <w:rsid w:val="0098233F"/>
    <w:rsid w:val="00982BD3"/>
    <w:rsid w:val="00982CA2"/>
    <w:rsid w:val="00982D17"/>
    <w:rsid w:val="0098301C"/>
    <w:rsid w:val="009831A3"/>
    <w:rsid w:val="00983A1D"/>
    <w:rsid w:val="00983CD0"/>
    <w:rsid w:val="00983F13"/>
    <w:rsid w:val="009844F1"/>
    <w:rsid w:val="009845A4"/>
    <w:rsid w:val="009847EC"/>
    <w:rsid w:val="009848FF"/>
    <w:rsid w:val="00984A0D"/>
    <w:rsid w:val="00984A89"/>
    <w:rsid w:val="009853FF"/>
    <w:rsid w:val="00985560"/>
    <w:rsid w:val="0098563A"/>
    <w:rsid w:val="009860F2"/>
    <w:rsid w:val="0098658B"/>
    <w:rsid w:val="009865B9"/>
    <w:rsid w:val="0098744F"/>
    <w:rsid w:val="00987F16"/>
    <w:rsid w:val="00990358"/>
    <w:rsid w:val="0099077E"/>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686D"/>
    <w:rsid w:val="00997AFD"/>
    <w:rsid w:val="00997BC2"/>
    <w:rsid w:val="00997D37"/>
    <w:rsid w:val="009A0480"/>
    <w:rsid w:val="009A089A"/>
    <w:rsid w:val="009A131B"/>
    <w:rsid w:val="009A1D61"/>
    <w:rsid w:val="009A20A3"/>
    <w:rsid w:val="009A2ABE"/>
    <w:rsid w:val="009A33F0"/>
    <w:rsid w:val="009A350F"/>
    <w:rsid w:val="009A3CE8"/>
    <w:rsid w:val="009A4326"/>
    <w:rsid w:val="009A45AB"/>
    <w:rsid w:val="009A47BD"/>
    <w:rsid w:val="009A4905"/>
    <w:rsid w:val="009A4DA8"/>
    <w:rsid w:val="009A53D2"/>
    <w:rsid w:val="009A54A3"/>
    <w:rsid w:val="009A56F3"/>
    <w:rsid w:val="009A5A8D"/>
    <w:rsid w:val="009A73FE"/>
    <w:rsid w:val="009A7BE2"/>
    <w:rsid w:val="009A7F6C"/>
    <w:rsid w:val="009B0503"/>
    <w:rsid w:val="009B08BA"/>
    <w:rsid w:val="009B0D6C"/>
    <w:rsid w:val="009B1113"/>
    <w:rsid w:val="009B1973"/>
    <w:rsid w:val="009B1AC0"/>
    <w:rsid w:val="009B1B74"/>
    <w:rsid w:val="009B1C41"/>
    <w:rsid w:val="009B2701"/>
    <w:rsid w:val="009B28B6"/>
    <w:rsid w:val="009B299B"/>
    <w:rsid w:val="009B29A8"/>
    <w:rsid w:val="009B36E2"/>
    <w:rsid w:val="009B39BA"/>
    <w:rsid w:val="009B3CA5"/>
    <w:rsid w:val="009B3E35"/>
    <w:rsid w:val="009B4BBB"/>
    <w:rsid w:val="009B52CE"/>
    <w:rsid w:val="009B5611"/>
    <w:rsid w:val="009B5902"/>
    <w:rsid w:val="009B6418"/>
    <w:rsid w:val="009B6DD9"/>
    <w:rsid w:val="009B6E92"/>
    <w:rsid w:val="009B6EE5"/>
    <w:rsid w:val="009B76AC"/>
    <w:rsid w:val="009B7CED"/>
    <w:rsid w:val="009C00AB"/>
    <w:rsid w:val="009C0AAF"/>
    <w:rsid w:val="009C0D1C"/>
    <w:rsid w:val="009C0FC9"/>
    <w:rsid w:val="009C106F"/>
    <w:rsid w:val="009C1438"/>
    <w:rsid w:val="009C155D"/>
    <w:rsid w:val="009C1C0A"/>
    <w:rsid w:val="009C1CF2"/>
    <w:rsid w:val="009C2423"/>
    <w:rsid w:val="009C251B"/>
    <w:rsid w:val="009C2CB6"/>
    <w:rsid w:val="009C36AC"/>
    <w:rsid w:val="009C3CEF"/>
    <w:rsid w:val="009C3F5F"/>
    <w:rsid w:val="009C45D7"/>
    <w:rsid w:val="009C47DE"/>
    <w:rsid w:val="009C4EE9"/>
    <w:rsid w:val="009C4F06"/>
    <w:rsid w:val="009C5143"/>
    <w:rsid w:val="009C526A"/>
    <w:rsid w:val="009C58E4"/>
    <w:rsid w:val="009C59BB"/>
    <w:rsid w:val="009C5ED7"/>
    <w:rsid w:val="009C6107"/>
    <w:rsid w:val="009C6D11"/>
    <w:rsid w:val="009C716E"/>
    <w:rsid w:val="009C7229"/>
    <w:rsid w:val="009C775F"/>
    <w:rsid w:val="009C7FDE"/>
    <w:rsid w:val="009D10F4"/>
    <w:rsid w:val="009D16FD"/>
    <w:rsid w:val="009D17B8"/>
    <w:rsid w:val="009D1F05"/>
    <w:rsid w:val="009D20C3"/>
    <w:rsid w:val="009D21D6"/>
    <w:rsid w:val="009D23F3"/>
    <w:rsid w:val="009D2554"/>
    <w:rsid w:val="009D2DDB"/>
    <w:rsid w:val="009D33DE"/>
    <w:rsid w:val="009D3851"/>
    <w:rsid w:val="009D41EE"/>
    <w:rsid w:val="009D45B9"/>
    <w:rsid w:val="009D4C34"/>
    <w:rsid w:val="009D50B5"/>
    <w:rsid w:val="009D50F4"/>
    <w:rsid w:val="009D5372"/>
    <w:rsid w:val="009D5516"/>
    <w:rsid w:val="009D580D"/>
    <w:rsid w:val="009D5D62"/>
    <w:rsid w:val="009D6384"/>
    <w:rsid w:val="009D7AC0"/>
    <w:rsid w:val="009D7B23"/>
    <w:rsid w:val="009D7D50"/>
    <w:rsid w:val="009D7F32"/>
    <w:rsid w:val="009E0977"/>
    <w:rsid w:val="009E0D82"/>
    <w:rsid w:val="009E1B69"/>
    <w:rsid w:val="009E2217"/>
    <w:rsid w:val="009E22F2"/>
    <w:rsid w:val="009E274B"/>
    <w:rsid w:val="009E2BFF"/>
    <w:rsid w:val="009E2D7F"/>
    <w:rsid w:val="009E2ED1"/>
    <w:rsid w:val="009E31F4"/>
    <w:rsid w:val="009E354A"/>
    <w:rsid w:val="009E4051"/>
    <w:rsid w:val="009E4AC6"/>
    <w:rsid w:val="009E4BFC"/>
    <w:rsid w:val="009E52D4"/>
    <w:rsid w:val="009E5A76"/>
    <w:rsid w:val="009E5EA8"/>
    <w:rsid w:val="009E5FD8"/>
    <w:rsid w:val="009E6167"/>
    <w:rsid w:val="009E6403"/>
    <w:rsid w:val="009E68D9"/>
    <w:rsid w:val="009E6C26"/>
    <w:rsid w:val="009E6CBC"/>
    <w:rsid w:val="009E6D4D"/>
    <w:rsid w:val="009E767F"/>
    <w:rsid w:val="009E7796"/>
    <w:rsid w:val="009E7DB1"/>
    <w:rsid w:val="009E7FE6"/>
    <w:rsid w:val="009F0129"/>
    <w:rsid w:val="009F0EC7"/>
    <w:rsid w:val="009F12B7"/>
    <w:rsid w:val="009F1475"/>
    <w:rsid w:val="009F1768"/>
    <w:rsid w:val="009F1B25"/>
    <w:rsid w:val="009F26EE"/>
    <w:rsid w:val="009F2E92"/>
    <w:rsid w:val="009F330E"/>
    <w:rsid w:val="009F3373"/>
    <w:rsid w:val="009F33B0"/>
    <w:rsid w:val="009F39A7"/>
    <w:rsid w:val="009F3B66"/>
    <w:rsid w:val="009F3F40"/>
    <w:rsid w:val="009F48B7"/>
    <w:rsid w:val="009F4C0A"/>
    <w:rsid w:val="009F4FFD"/>
    <w:rsid w:val="009F5058"/>
    <w:rsid w:val="009F59D6"/>
    <w:rsid w:val="009F5A6F"/>
    <w:rsid w:val="009F5DA9"/>
    <w:rsid w:val="009F6001"/>
    <w:rsid w:val="009F6265"/>
    <w:rsid w:val="009F6D43"/>
    <w:rsid w:val="009F761B"/>
    <w:rsid w:val="009F77CE"/>
    <w:rsid w:val="009F7C77"/>
    <w:rsid w:val="009F7E47"/>
    <w:rsid w:val="00A00041"/>
    <w:rsid w:val="00A004A2"/>
    <w:rsid w:val="00A0059E"/>
    <w:rsid w:val="00A0063A"/>
    <w:rsid w:val="00A00649"/>
    <w:rsid w:val="00A009E7"/>
    <w:rsid w:val="00A00BCB"/>
    <w:rsid w:val="00A00D7D"/>
    <w:rsid w:val="00A00DB3"/>
    <w:rsid w:val="00A011AF"/>
    <w:rsid w:val="00A014D9"/>
    <w:rsid w:val="00A015B6"/>
    <w:rsid w:val="00A01D2A"/>
    <w:rsid w:val="00A01DE6"/>
    <w:rsid w:val="00A020AB"/>
    <w:rsid w:val="00A02769"/>
    <w:rsid w:val="00A02CBC"/>
    <w:rsid w:val="00A0310F"/>
    <w:rsid w:val="00A031A8"/>
    <w:rsid w:val="00A031CF"/>
    <w:rsid w:val="00A0324E"/>
    <w:rsid w:val="00A032B2"/>
    <w:rsid w:val="00A034F3"/>
    <w:rsid w:val="00A036BC"/>
    <w:rsid w:val="00A03B69"/>
    <w:rsid w:val="00A03CCB"/>
    <w:rsid w:val="00A03DA0"/>
    <w:rsid w:val="00A03E7C"/>
    <w:rsid w:val="00A03F92"/>
    <w:rsid w:val="00A048A1"/>
    <w:rsid w:val="00A05447"/>
    <w:rsid w:val="00A056C4"/>
    <w:rsid w:val="00A059EB"/>
    <w:rsid w:val="00A05D10"/>
    <w:rsid w:val="00A05F6D"/>
    <w:rsid w:val="00A06897"/>
    <w:rsid w:val="00A06D56"/>
    <w:rsid w:val="00A06DD5"/>
    <w:rsid w:val="00A06F18"/>
    <w:rsid w:val="00A070EE"/>
    <w:rsid w:val="00A077D8"/>
    <w:rsid w:val="00A07E61"/>
    <w:rsid w:val="00A07EA3"/>
    <w:rsid w:val="00A07F28"/>
    <w:rsid w:val="00A10331"/>
    <w:rsid w:val="00A10352"/>
    <w:rsid w:val="00A10440"/>
    <w:rsid w:val="00A10521"/>
    <w:rsid w:val="00A10ACE"/>
    <w:rsid w:val="00A10B64"/>
    <w:rsid w:val="00A1185B"/>
    <w:rsid w:val="00A11A12"/>
    <w:rsid w:val="00A11BD5"/>
    <w:rsid w:val="00A12BAC"/>
    <w:rsid w:val="00A1317F"/>
    <w:rsid w:val="00A1325C"/>
    <w:rsid w:val="00A134B9"/>
    <w:rsid w:val="00A13AED"/>
    <w:rsid w:val="00A1497F"/>
    <w:rsid w:val="00A14A66"/>
    <w:rsid w:val="00A14AFE"/>
    <w:rsid w:val="00A14DCC"/>
    <w:rsid w:val="00A1503F"/>
    <w:rsid w:val="00A153E1"/>
    <w:rsid w:val="00A15462"/>
    <w:rsid w:val="00A15807"/>
    <w:rsid w:val="00A15AEF"/>
    <w:rsid w:val="00A15D36"/>
    <w:rsid w:val="00A15DFB"/>
    <w:rsid w:val="00A16628"/>
    <w:rsid w:val="00A1705D"/>
    <w:rsid w:val="00A1763F"/>
    <w:rsid w:val="00A20611"/>
    <w:rsid w:val="00A20632"/>
    <w:rsid w:val="00A20AEC"/>
    <w:rsid w:val="00A20ECD"/>
    <w:rsid w:val="00A212BD"/>
    <w:rsid w:val="00A214EB"/>
    <w:rsid w:val="00A21FF7"/>
    <w:rsid w:val="00A22D7A"/>
    <w:rsid w:val="00A230CC"/>
    <w:rsid w:val="00A231B4"/>
    <w:rsid w:val="00A23389"/>
    <w:rsid w:val="00A2391A"/>
    <w:rsid w:val="00A240C8"/>
    <w:rsid w:val="00A240E9"/>
    <w:rsid w:val="00A24404"/>
    <w:rsid w:val="00A2451D"/>
    <w:rsid w:val="00A24762"/>
    <w:rsid w:val="00A24A81"/>
    <w:rsid w:val="00A24CCD"/>
    <w:rsid w:val="00A24E96"/>
    <w:rsid w:val="00A2572A"/>
    <w:rsid w:val="00A25C62"/>
    <w:rsid w:val="00A25CC9"/>
    <w:rsid w:val="00A25F76"/>
    <w:rsid w:val="00A26370"/>
    <w:rsid w:val="00A26835"/>
    <w:rsid w:val="00A26ED8"/>
    <w:rsid w:val="00A26FD1"/>
    <w:rsid w:val="00A27355"/>
    <w:rsid w:val="00A27508"/>
    <w:rsid w:val="00A2792C"/>
    <w:rsid w:val="00A27E17"/>
    <w:rsid w:val="00A302ED"/>
    <w:rsid w:val="00A303E2"/>
    <w:rsid w:val="00A30496"/>
    <w:rsid w:val="00A3061C"/>
    <w:rsid w:val="00A313B6"/>
    <w:rsid w:val="00A31418"/>
    <w:rsid w:val="00A3165D"/>
    <w:rsid w:val="00A31737"/>
    <w:rsid w:val="00A31DDF"/>
    <w:rsid w:val="00A31E26"/>
    <w:rsid w:val="00A31E4F"/>
    <w:rsid w:val="00A322AC"/>
    <w:rsid w:val="00A32860"/>
    <w:rsid w:val="00A32B52"/>
    <w:rsid w:val="00A333AE"/>
    <w:rsid w:val="00A338E8"/>
    <w:rsid w:val="00A340FC"/>
    <w:rsid w:val="00A342C8"/>
    <w:rsid w:val="00A3473B"/>
    <w:rsid w:val="00A347D5"/>
    <w:rsid w:val="00A34E2F"/>
    <w:rsid w:val="00A35124"/>
    <w:rsid w:val="00A359B9"/>
    <w:rsid w:val="00A35E37"/>
    <w:rsid w:val="00A36377"/>
    <w:rsid w:val="00A365F6"/>
    <w:rsid w:val="00A3683E"/>
    <w:rsid w:val="00A368B1"/>
    <w:rsid w:val="00A36C7D"/>
    <w:rsid w:val="00A37492"/>
    <w:rsid w:val="00A376DE"/>
    <w:rsid w:val="00A4031C"/>
    <w:rsid w:val="00A4094B"/>
    <w:rsid w:val="00A40B4F"/>
    <w:rsid w:val="00A41301"/>
    <w:rsid w:val="00A41A7B"/>
    <w:rsid w:val="00A41C02"/>
    <w:rsid w:val="00A41E9F"/>
    <w:rsid w:val="00A41ED5"/>
    <w:rsid w:val="00A421F1"/>
    <w:rsid w:val="00A4241C"/>
    <w:rsid w:val="00A42730"/>
    <w:rsid w:val="00A42856"/>
    <w:rsid w:val="00A42B8D"/>
    <w:rsid w:val="00A43360"/>
    <w:rsid w:val="00A436E0"/>
    <w:rsid w:val="00A436E1"/>
    <w:rsid w:val="00A43E82"/>
    <w:rsid w:val="00A43E96"/>
    <w:rsid w:val="00A43F7B"/>
    <w:rsid w:val="00A44473"/>
    <w:rsid w:val="00A4468F"/>
    <w:rsid w:val="00A446B3"/>
    <w:rsid w:val="00A45283"/>
    <w:rsid w:val="00A464AC"/>
    <w:rsid w:val="00A46AA0"/>
    <w:rsid w:val="00A46EAE"/>
    <w:rsid w:val="00A470B1"/>
    <w:rsid w:val="00A471D3"/>
    <w:rsid w:val="00A47288"/>
    <w:rsid w:val="00A475E2"/>
    <w:rsid w:val="00A47682"/>
    <w:rsid w:val="00A47860"/>
    <w:rsid w:val="00A47CD3"/>
    <w:rsid w:val="00A47E3E"/>
    <w:rsid w:val="00A50A74"/>
    <w:rsid w:val="00A50D35"/>
    <w:rsid w:val="00A516CC"/>
    <w:rsid w:val="00A517F3"/>
    <w:rsid w:val="00A52120"/>
    <w:rsid w:val="00A52380"/>
    <w:rsid w:val="00A525F6"/>
    <w:rsid w:val="00A52A02"/>
    <w:rsid w:val="00A52A40"/>
    <w:rsid w:val="00A52D45"/>
    <w:rsid w:val="00A52DE3"/>
    <w:rsid w:val="00A52DFA"/>
    <w:rsid w:val="00A5337A"/>
    <w:rsid w:val="00A534A5"/>
    <w:rsid w:val="00A53544"/>
    <w:rsid w:val="00A537CE"/>
    <w:rsid w:val="00A53CF8"/>
    <w:rsid w:val="00A545C8"/>
    <w:rsid w:val="00A54B09"/>
    <w:rsid w:val="00A54CB8"/>
    <w:rsid w:val="00A55058"/>
    <w:rsid w:val="00A55074"/>
    <w:rsid w:val="00A55A3E"/>
    <w:rsid w:val="00A55A47"/>
    <w:rsid w:val="00A55C18"/>
    <w:rsid w:val="00A55D80"/>
    <w:rsid w:val="00A5623E"/>
    <w:rsid w:val="00A5638D"/>
    <w:rsid w:val="00A56C0C"/>
    <w:rsid w:val="00A56CB1"/>
    <w:rsid w:val="00A56CE9"/>
    <w:rsid w:val="00A579DC"/>
    <w:rsid w:val="00A608EC"/>
    <w:rsid w:val="00A60BF0"/>
    <w:rsid w:val="00A60CDA"/>
    <w:rsid w:val="00A60D2C"/>
    <w:rsid w:val="00A60E38"/>
    <w:rsid w:val="00A61455"/>
    <w:rsid w:val="00A61722"/>
    <w:rsid w:val="00A6192D"/>
    <w:rsid w:val="00A61955"/>
    <w:rsid w:val="00A61EE5"/>
    <w:rsid w:val="00A6209B"/>
    <w:rsid w:val="00A625C4"/>
    <w:rsid w:val="00A6289C"/>
    <w:rsid w:val="00A629E8"/>
    <w:rsid w:val="00A62AC7"/>
    <w:rsid w:val="00A62C1F"/>
    <w:rsid w:val="00A62DF3"/>
    <w:rsid w:val="00A6334E"/>
    <w:rsid w:val="00A6380C"/>
    <w:rsid w:val="00A63CDD"/>
    <w:rsid w:val="00A64127"/>
    <w:rsid w:val="00A6413E"/>
    <w:rsid w:val="00A6459E"/>
    <w:rsid w:val="00A649CA"/>
    <w:rsid w:val="00A64DD2"/>
    <w:rsid w:val="00A6619E"/>
    <w:rsid w:val="00A6626E"/>
    <w:rsid w:val="00A665D7"/>
    <w:rsid w:val="00A6661C"/>
    <w:rsid w:val="00A66C1D"/>
    <w:rsid w:val="00A66C2E"/>
    <w:rsid w:val="00A67155"/>
    <w:rsid w:val="00A6744E"/>
    <w:rsid w:val="00A67CA8"/>
    <w:rsid w:val="00A70859"/>
    <w:rsid w:val="00A7086D"/>
    <w:rsid w:val="00A71639"/>
    <w:rsid w:val="00A71E78"/>
    <w:rsid w:val="00A728EF"/>
    <w:rsid w:val="00A72B8E"/>
    <w:rsid w:val="00A72CC7"/>
    <w:rsid w:val="00A72F38"/>
    <w:rsid w:val="00A72FCB"/>
    <w:rsid w:val="00A7369E"/>
    <w:rsid w:val="00A73C97"/>
    <w:rsid w:val="00A73EA9"/>
    <w:rsid w:val="00A73F02"/>
    <w:rsid w:val="00A7465B"/>
    <w:rsid w:val="00A746BA"/>
    <w:rsid w:val="00A74BF5"/>
    <w:rsid w:val="00A74D46"/>
    <w:rsid w:val="00A76E69"/>
    <w:rsid w:val="00A76F26"/>
    <w:rsid w:val="00A77169"/>
    <w:rsid w:val="00A77B41"/>
    <w:rsid w:val="00A801C1"/>
    <w:rsid w:val="00A8079C"/>
    <w:rsid w:val="00A807B1"/>
    <w:rsid w:val="00A8094C"/>
    <w:rsid w:val="00A80DA5"/>
    <w:rsid w:val="00A81749"/>
    <w:rsid w:val="00A81A02"/>
    <w:rsid w:val="00A81AE0"/>
    <w:rsid w:val="00A81E3D"/>
    <w:rsid w:val="00A825A8"/>
    <w:rsid w:val="00A82613"/>
    <w:rsid w:val="00A82682"/>
    <w:rsid w:val="00A82AC5"/>
    <w:rsid w:val="00A834E6"/>
    <w:rsid w:val="00A8357F"/>
    <w:rsid w:val="00A8413B"/>
    <w:rsid w:val="00A845B7"/>
    <w:rsid w:val="00A84604"/>
    <w:rsid w:val="00A85AC7"/>
    <w:rsid w:val="00A8609C"/>
    <w:rsid w:val="00A860A4"/>
    <w:rsid w:val="00A86152"/>
    <w:rsid w:val="00A86B9D"/>
    <w:rsid w:val="00A86C6E"/>
    <w:rsid w:val="00A86ED2"/>
    <w:rsid w:val="00A87251"/>
    <w:rsid w:val="00A87521"/>
    <w:rsid w:val="00A87FDC"/>
    <w:rsid w:val="00A900F0"/>
    <w:rsid w:val="00A903C6"/>
    <w:rsid w:val="00A9066B"/>
    <w:rsid w:val="00A90CEF"/>
    <w:rsid w:val="00A91633"/>
    <w:rsid w:val="00A91727"/>
    <w:rsid w:val="00A919A1"/>
    <w:rsid w:val="00A91AFB"/>
    <w:rsid w:val="00A920C7"/>
    <w:rsid w:val="00A92682"/>
    <w:rsid w:val="00A9274D"/>
    <w:rsid w:val="00A92A58"/>
    <w:rsid w:val="00A92C0C"/>
    <w:rsid w:val="00A92F44"/>
    <w:rsid w:val="00A93C67"/>
    <w:rsid w:val="00A93EDB"/>
    <w:rsid w:val="00A9433A"/>
    <w:rsid w:val="00A94371"/>
    <w:rsid w:val="00A94727"/>
    <w:rsid w:val="00A96132"/>
    <w:rsid w:val="00A963B3"/>
    <w:rsid w:val="00A96495"/>
    <w:rsid w:val="00A96832"/>
    <w:rsid w:val="00A970A3"/>
    <w:rsid w:val="00A973BB"/>
    <w:rsid w:val="00AA004C"/>
    <w:rsid w:val="00AA05C0"/>
    <w:rsid w:val="00AA10D9"/>
    <w:rsid w:val="00AA18F0"/>
    <w:rsid w:val="00AA1CE1"/>
    <w:rsid w:val="00AA2541"/>
    <w:rsid w:val="00AA27F1"/>
    <w:rsid w:val="00AA2ED0"/>
    <w:rsid w:val="00AA34D8"/>
    <w:rsid w:val="00AA381C"/>
    <w:rsid w:val="00AA3C51"/>
    <w:rsid w:val="00AA3E9D"/>
    <w:rsid w:val="00AA408C"/>
    <w:rsid w:val="00AA40B1"/>
    <w:rsid w:val="00AA4200"/>
    <w:rsid w:val="00AA4944"/>
    <w:rsid w:val="00AA4F22"/>
    <w:rsid w:val="00AA576E"/>
    <w:rsid w:val="00AA580B"/>
    <w:rsid w:val="00AA58F2"/>
    <w:rsid w:val="00AA5957"/>
    <w:rsid w:val="00AA737C"/>
    <w:rsid w:val="00AA776E"/>
    <w:rsid w:val="00AA78B0"/>
    <w:rsid w:val="00AA7E8D"/>
    <w:rsid w:val="00AA7EFA"/>
    <w:rsid w:val="00AB04D1"/>
    <w:rsid w:val="00AB0703"/>
    <w:rsid w:val="00AB1B0B"/>
    <w:rsid w:val="00AB23C8"/>
    <w:rsid w:val="00AB26B2"/>
    <w:rsid w:val="00AB2816"/>
    <w:rsid w:val="00AB35C1"/>
    <w:rsid w:val="00AB35C4"/>
    <w:rsid w:val="00AB3A10"/>
    <w:rsid w:val="00AB3CCC"/>
    <w:rsid w:val="00AB4991"/>
    <w:rsid w:val="00AB4FBF"/>
    <w:rsid w:val="00AB5263"/>
    <w:rsid w:val="00AB5504"/>
    <w:rsid w:val="00AB5555"/>
    <w:rsid w:val="00AB5DD9"/>
    <w:rsid w:val="00AB62F5"/>
    <w:rsid w:val="00AB644B"/>
    <w:rsid w:val="00AB6534"/>
    <w:rsid w:val="00AB6E61"/>
    <w:rsid w:val="00AB73DC"/>
    <w:rsid w:val="00AB78AD"/>
    <w:rsid w:val="00AC033F"/>
    <w:rsid w:val="00AC0B13"/>
    <w:rsid w:val="00AC0B60"/>
    <w:rsid w:val="00AC0E43"/>
    <w:rsid w:val="00AC1B59"/>
    <w:rsid w:val="00AC22EA"/>
    <w:rsid w:val="00AC2893"/>
    <w:rsid w:val="00AC2E1E"/>
    <w:rsid w:val="00AC2E21"/>
    <w:rsid w:val="00AC2EE9"/>
    <w:rsid w:val="00AC2FCA"/>
    <w:rsid w:val="00AC30BC"/>
    <w:rsid w:val="00AC3268"/>
    <w:rsid w:val="00AC34F0"/>
    <w:rsid w:val="00AC3823"/>
    <w:rsid w:val="00AC3D04"/>
    <w:rsid w:val="00AC3E86"/>
    <w:rsid w:val="00AC40C9"/>
    <w:rsid w:val="00AC485E"/>
    <w:rsid w:val="00AC5109"/>
    <w:rsid w:val="00AC54E6"/>
    <w:rsid w:val="00AC5FC7"/>
    <w:rsid w:val="00AC666F"/>
    <w:rsid w:val="00AC675D"/>
    <w:rsid w:val="00AC6CBF"/>
    <w:rsid w:val="00AC7200"/>
    <w:rsid w:val="00AC74BB"/>
    <w:rsid w:val="00AC74EF"/>
    <w:rsid w:val="00AC79B2"/>
    <w:rsid w:val="00AC7CFC"/>
    <w:rsid w:val="00AC7E36"/>
    <w:rsid w:val="00AD0520"/>
    <w:rsid w:val="00AD0678"/>
    <w:rsid w:val="00AD08CA"/>
    <w:rsid w:val="00AD0BA7"/>
    <w:rsid w:val="00AD0E77"/>
    <w:rsid w:val="00AD15E4"/>
    <w:rsid w:val="00AD1A5B"/>
    <w:rsid w:val="00AD1D17"/>
    <w:rsid w:val="00AD2665"/>
    <w:rsid w:val="00AD2714"/>
    <w:rsid w:val="00AD29AC"/>
    <w:rsid w:val="00AD2E98"/>
    <w:rsid w:val="00AD2F83"/>
    <w:rsid w:val="00AD3BA0"/>
    <w:rsid w:val="00AD4D8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0D09"/>
    <w:rsid w:val="00AE1027"/>
    <w:rsid w:val="00AE13B8"/>
    <w:rsid w:val="00AE142B"/>
    <w:rsid w:val="00AE1B7E"/>
    <w:rsid w:val="00AE2A9C"/>
    <w:rsid w:val="00AE2D51"/>
    <w:rsid w:val="00AE2E39"/>
    <w:rsid w:val="00AE350F"/>
    <w:rsid w:val="00AE3551"/>
    <w:rsid w:val="00AE38E5"/>
    <w:rsid w:val="00AE434B"/>
    <w:rsid w:val="00AE443F"/>
    <w:rsid w:val="00AE4469"/>
    <w:rsid w:val="00AE49FE"/>
    <w:rsid w:val="00AE5723"/>
    <w:rsid w:val="00AE622E"/>
    <w:rsid w:val="00AE6248"/>
    <w:rsid w:val="00AE67D5"/>
    <w:rsid w:val="00AF00F6"/>
    <w:rsid w:val="00AF0811"/>
    <w:rsid w:val="00AF0AB5"/>
    <w:rsid w:val="00AF1A30"/>
    <w:rsid w:val="00AF1C8A"/>
    <w:rsid w:val="00AF28C3"/>
    <w:rsid w:val="00AF2B33"/>
    <w:rsid w:val="00AF357F"/>
    <w:rsid w:val="00AF38D3"/>
    <w:rsid w:val="00AF3B20"/>
    <w:rsid w:val="00AF3C2A"/>
    <w:rsid w:val="00AF3CBF"/>
    <w:rsid w:val="00AF41BF"/>
    <w:rsid w:val="00AF4655"/>
    <w:rsid w:val="00AF4EF9"/>
    <w:rsid w:val="00AF4F2A"/>
    <w:rsid w:val="00AF5072"/>
    <w:rsid w:val="00AF5218"/>
    <w:rsid w:val="00AF5599"/>
    <w:rsid w:val="00AF5630"/>
    <w:rsid w:val="00AF5792"/>
    <w:rsid w:val="00AF58DE"/>
    <w:rsid w:val="00AF6369"/>
    <w:rsid w:val="00AF6AA7"/>
    <w:rsid w:val="00AF739D"/>
    <w:rsid w:val="00AF76DE"/>
    <w:rsid w:val="00AF789F"/>
    <w:rsid w:val="00AF7C3B"/>
    <w:rsid w:val="00AF7CCF"/>
    <w:rsid w:val="00B000DE"/>
    <w:rsid w:val="00B0082E"/>
    <w:rsid w:val="00B0091A"/>
    <w:rsid w:val="00B00AFF"/>
    <w:rsid w:val="00B00B03"/>
    <w:rsid w:val="00B014D0"/>
    <w:rsid w:val="00B01C12"/>
    <w:rsid w:val="00B022D6"/>
    <w:rsid w:val="00B02EE8"/>
    <w:rsid w:val="00B02F07"/>
    <w:rsid w:val="00B03410"/>
    <w:rsid w:val="00B036FA"/>
    <w:rsid w:val="00B039DA"/>
    <w:rsid w:val="00B03B12"/>
    <w:rsid w:val="00B04473"/>
    <w:rsid w:val="00B046D2"/>
    <w:rsid w:val="00B04C1C"/>
    <w:rsid w:val="00B05647"/>
    <w:rsid w:val="00B06137"/>
    <w:rsid w:val="00B06808"/>
    <w:rsid w:val="00B07C93"/>
    <w:rsid w:val="00B07E6D"/>
    <w:rsid w:val="00B07E97"/>
    <w:rsid w:val="00B07F34"/>
    <w:rsid w:val="00B100CA"/>
    <w:rsid w:val="00B10317"/>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642"/>
    <w:rsid w:val="00B147A6"/>
    <w:rsid w:val="00B1496A"/>
    <w:rsid w:val="00B1500A"/>
    <w:rsid w:val="00B153DA"/>
    <w:rsid w:val="00B15460"/>
    <w:rsid w:val="00B15504"/>
    <w:rsid w:val="00B15D7F"/>
    <w:rsid w:val="00B15F0E"/>
    <w:rsid w:val="00B164A4"/>
    <w:rsid w:val="00B1669D"/>
    <w:rsid w:val="00B1673D"/>
    <w:rsid w:val="00B16DAD"/>
    <w:rsid w:val="00B170A9"/>
    <w:rsid w:val="00B17468"/>
    <w:rsid w:val="00B204CA"/>
    <w:rsid w:val="00B205BF"/>
    <w:rsid w:val="00B20882"/>
    <w:rsid w:val="00B20F3F"/>
    <w:rsid w:val="00B21927"/>
    <w:rsid w:val="00B21AF0"/>
    <w:rsid w:val="00B21B41"/>
    <w:rsid w:val="00B226F1"/>
    <w:rsid w:val="00B22F0C"/>
    <w:rsid w:val="00B2325D"/>
    <w:rsid w:val="00B23527"/>
    <w:rsid w:val="00B23650"/>
    <w:rsid w:val="00B23940"/>
    <w:rsid w:val="00B24277"/>
    <w:rsid w:val="00B24629"/>
    <w:rsid w:val="00B24D06"/>
    <w:rsid w:val="00B250CA"/>
    <w:rsid w:val="00B2519E"/>
    <w:rsid w:val="00B25792"/>
    <w:rsid w:val="00B25807"/>
    <w:rsid w:val="00B25E60"/>
    <w:rsid w:val="00B2602D"/>
    <w:rsid w:val="00B2636E"/>
    <w:rsid w:val="00B266F2"/>
    <w:rsid w:val="00B2724D"/>
    <w:rsid w:val="00B27EC5"/>
    <w:rsid w:val="00B3119E"/>
    <w:rsid w:val="00B3146A"/>
    <w:rsid w:val="00B31EA2"/>
    <w:rsid w:val="00B32107"/>
    <w:rsid w:val="00B32129"/>
    <w:rsid w:val="00B3238F"/>
    <w:rsid w:val="00B32431"/>
    <w:rsid w:val="00B32484"/>
    <w:rsid w:val="00B335B1"/>
    <w:rsid w:val="00B33971"/>
    <w:rsid w:val="00B340DD"/>
    <w:rsid w:val="00B34598"/>
    <w:rsid w:val="00B3556A"/>
    <w:rsid w:val="00B35709"/>
    <w:rsid w:val="00B359DA"/>
    <w:rsid w:val="00B36034"/>
    <w:rsid w:val="00B36291"/>
    <w:rsid w:val="00B36B6A"/>
    <w:rsid w:val="00B36D41"/>
    <w:rsid w:val="00B374CD"/>
    <w:rsid w:val="00B37610"/>
    <w:rsid w:val="00B37740"/>
    <w:rsid w:val="00B37ACB"/>
    <w:rsid w:val="00B37C57"/>
    <w:rsid w:val="00B37CC4"/>
    <w:rsid w:val="00B37DB2"/>
    <w:rsid w:val="00B40AAA"/>
    <w:rsid w:val="00B40EF0"/>
    <w:rsid w:val="00B41041"/>
    <w:rsid w:val="00B411EF"/>
    <w:rsid w:val="00B412D4"/>
    <w:rsid w:val="00B414B2"/>
    <w:rsid w:val="00B415CE"/>
    <w:rsid w:val="00B415E6"/>
    <w:rsid w:val="00B419CF"/>
    <w:rsid w:val="00B41F5D"/>
    <w:rsid w:val="00B42E88"/>
    <w:rsid w:val="00B4307B"/>
    <w:rsid w:val="00B437D7"/>
    <w:rsid w:val="00B44023"/>
    <w:rsid w:val="00B4454A"/>
    <w:rsid w:val="00B44B0C"/>
    <w:rsid w:val="00B44D91"/>
    <w:rsid w:val="00B45337"/>
    <w:rsid w:val="00B45492"/>
    <w:rsid w:val="00B454CF"/>
    <w:rsid w:val="00B454E4"/>
    <w:rsid w:val="00B45583"/>
    <w:rsid w:val="00B4577B"/>
    <w:rsid w:val="00B4584E"/>
    <w:rsid w:val="00B46293"/>
    <w:rsid w:val="00B4663F"/>
    <w:rsid w:val="00B466DE"/>
    <w:rsid w:val="00B470A1"/>
    <w:rsid w:val="00B470F7"/>
    <w:rsid w:val="00B472D4"/>
    <w:rsid w:val="00B47313"/>
    <w:rsid w:val="00B473A4"/>
    <w:rsid w:val="00B475FC"/>
    <w:rsid w:val="00B4799F"/>
    <w:rsid w:val="00B500C5"/>
    <w:rsid w:val="00B5049B"/>
    <w:rsid w:val="00B5089A"/>
    <w:rsid w:val="00B50AE2"/>
    <w:rsid w:val="00B50D4D"/>
    <w:rsid w:val="00B50E08"/>
    <w:rsid w:val="00B514C8"/>
    <w:rsid w:val="00B517A3"/>
    <w:rsid w:val="00B51943"/>
    <w:rsid w:val="00B51D15"/>
    <w:rsid w:val="00B51E20"/>
    <w:rsid w:val="00B52434"/>
    <w:rsid w:val="00B5280C"/>
    <w:rsid w:val="00B529B6"/>
    <w:rsid w:val="00B52BBB"/>
    <w:rsid w:val="00B5300D"/>
    <w:rsid w:val="00B5301C"/>
    <w:rsid w:val="00B53432"/>
    <w:rsid w:val="00B53733"/>
    <w:rsid w:val="00B538E7"/>
    <w:rsid w:val="00B53EEC"/>
    <w:rsid w:val="00B542FE"/>
    <w:rsid w:val="00B548C7"/>
    <w:rsid w:val="00B54CE4"/>
    <w:rsid w:val="00B54EA3"/>
    <w:rsid w:val="00B54FBE"/>
    <w:rsid w:val="00B550DF"/>
    <w:rsid w:val="00B551F4"/>
    <w:rsid w:val="00B55685"/>
    <w:rsid w:val="00B559DA"/>
    <w:rsid w:val="00B55FC9"/>
    <w:rsid w:val="00B56104"/>
    <w:rsid w:val="00B56260"/>
    <w:rsid w:val="00B569F7"/>
    <w:rsid w:val="00B56F83"/>
    <w:rsid w:val="00B57450"/>
    <w:rsid w:val="00B57957"/>
    <w:rsid w:val="00B57982"/>
    <w:rsid w:val="00B602BD"/>
    <w:rsid w:val="00B60443"/>
    <w:rsid w:val="00B608F4"/>
    <w:rsid w:val="00B6127B"/>
    <w:rsid w:val="00B613CF"/>
    <w:rsid w:val="00B61773"/>
    <w:rsid w:val="00B6178B"/>
    <w:rsid w:val="00B61799"/>
    <w:rsid w:val="00B617C2"/>
    <w:rsid w:val="00B61E3E"/>
    <w:rsid w:val="00B61EE3"/>
    <w:rsid w:val="00B62442"/>
    <w:rsid w:val="00B624A5"/>
    <w:rsid w:val="00B62EB3"/>
    <w:rsid w:val="00B62FC8"/>
    <w:rsid w:val="00B63B77"/>
    <w:rsid w:val="00B63C68"/>
    <w:rsid w:val="00B6457D"/>
    <w:rsid w:val="00B645E2"/>
    <w:rsid w:val="00B653C8"/>
    <w:rsid w:val="00B65973"/>
    <w:rsid w:val="00B65D13"/>
    <w:rsid w:val="00B6652B"/>
    <w:rsid w:val="00B666F4"/>
    <w:rsid w:val="00B67338"/>
    <w:rsid w:val="00B67A85"/>
    <w:rsid w:val="00B702CF"/>
    <w:rsid w:val="00B7068C"/>
    <w:rsid w:val="00B706D8"/>
    <w:rsid w:val="00B708D0"/>
    <w:rsid w:val="00B70CA4"/>
    <w:rsid w:val="00B70EDC"/>
    <w:rsid w:val="00B711BE"/>
    <w:rsid w:val="00B71456"/>
    <w:rsid w:val="00B715D6"/>
    <w:rsid w:val="00B71767"/>
    <w:rsid w:val="00B71922"/>
    <w:rsid w:val="00B719CA"/>
    <w:rsid w:val="00B71CE3"/>
    <w:rsid w:val="00B724CC"/>
    <w:rsid w:val="00B72CDF"/>
    <w:rsid w:val="00B72DCE"/>
    <w:rsid w:val="00B7365D"/>
    <w:rsid w:val="00B73C9E"/>
    <w:rsid w:val="00B7462A"/>
    <w:rsid w:val="00B74D7D"/>
    <w:rsid w:val="00B751BC"/>
    <w:rsid w:val="00B752E2"/>
    <w:rsid w:val="00B75A9F"/>
    <w:rsid w:val="00B76585"/>
    <w:rsid w:val="00B767F5"/>
    <w:rsid w:val="00B7685D"/>
    <w:rsid w:val="00B80211"/>
    <w:rsid w:val="00B8030B"/>
    <w:rsid w:val="00B803CF"/>
    <w:rsid w:val="00B803D0"/>
    <w:rsid w:val="00B804CC"/>
    <w:rsid w:val="00B80824"/>
    <w:rsid w:val="00B80D33"/>
    <w:rsid w:val="00B8100B"/>
    <w:rsid w:val="00B81208"/>
    <w:rsid w:val="00B81498"/>
    <w:rsid w:val="00B81616"/>
    <w:rsid w:val="00B81813"/>
    <w:rsid w:val="00B81B6F"/>
    <w:rsid w:val="00B82188"/>
    <w:rsid w:val="00B823BB"/>
    <w:rsid w:val="00B82C67"/>
    <w:rsid w:val="00B82E92"/>
    <w:rsid w:val="00B8341A"/>
    <w:rsid w:val="00B8358E"/>
    <w:rsid w:val="00B835F0"/>
    <w:rsid w:val="00B838AA"/>
    <w:rsid w:val="00B83C08"/>
    <w:rsid w:val="00B845C5"/>
    <w:rsid w:val="00B845E1"/>
    <w:rsid w:val="00B84628"/>
    <w:rsid w:val="00B8471C"/>
    <w:rsid w:val="00B84B6E"/>
    <w:rsid w:val="00B851A5"/>
    <w:rsid w:val="00B8529D"/>
    <w:rsid w:val="00B85DA1"/>
    <w:rsid w:val="00B8631E"/>
    <w:rsid w:val="00B865D7"/>
    <w:rsid w:val="00B87C14"/>
    <w:rsid w:val="00B87CFD"/>
    <w:rsid w:val="00B90F8F"/>
    <w:rsid w:val="00B91025"/>
    <w:rsid w:val="00B9110C"/>
    <w:rsid w:val="00B91651"/>
    <w:rsid w:val="00B922BF"/>
    <w:rsid w:val="00B92C49"/>
    <w:rsid w:val="00B93C31"/>
    <w:rsid w:val="00B93CDF"/>
    <w:rsid w:val="00B93E10"/>
    <w:rsid w:val="00B93E30"/>
    <w:rsid w:val="00B9408D"/>
    <w:rsid w:val="00B946CF"/>
    <w:rsid w:val="00B94804"/>
    <w:rsid w:val="00B94841"/>
    <w:rsid w:val="00B94905"/>
    <w:rsid w:val="00B94D7F"/>
    <w:rsid w:val="00B956AA"/>
    <w:rsid w:val="00B9576C"/>
    <w:rsid w:val="00B95B44"/>
    <w:rsid w:val="00B95E73"/>
    <w:rsid w:val="00B961C8"/>
    <w:rsid w:val="00B967E0"/>
    <w:rsid w:val="00B96E33"/>
    <w:rsid w:val="00B9743E"/>
    <w:rsid w:val="00BA055A"/>
    <w:rsid w:val="00BA0961"/>
    <w:rsid w:val="00BA0B28"/>
    <w:rsid w:val="00BA0F2D"/>
    <w:rsid w:val="00BA1204"/>
    <w:rsid w:val="00BA1852"/>
    <w:rsid w:val="00BA18DF"/>
    <w:rsid w:val="00BA1C92"/>
    <w:rsid w:val="00BA20B5"/>
    <w:rsid w:val="00BA29A9"/>
    <w:rsid w:val="00BA32E4"/>
    <w:rsid w:val="00BA34E5"/>
    <w:rsid w:val="00BA3517"/>
    <w:rsid w:val="00BA3C7A"/>
    <w:rsid w:val="00BA3D45"/>
    <w:rsid w:val="00BA426D"/>
    <w:rsid w:val="00BA48A5"/>
    <w:rsid w:val="00BA4EB4"/>
    <w:rsid w:val="00BA599B"/>
    <w:rsid w:val="00BA5D86"/>
    <w:rsid w:val="00BA5F80"/>
    <w:rsid w:val="00BA63F5"/>
    <w:rsid w:val="00BA6556"/>
    <w:rsid w:val="00BA65B9"/>
    <w:rsid w:val="00BA682B"/>
    <w:rsid w:val="00BA6855"/>
    <w:rsid w:val="00BA6AC1"/>
    <w:rsid w:val="00BA6F2A"/>
    <w:rsid w:val="00BA7178"/>
    <w:rsid w:val="00BA72A7"/>
    <w:rsid w:val="00BA7DD0"/>
    <w:rsid w:val="00BA7DF8"/>
    <w:rsid w:val="00BA7F33"/>
    <w:rsid w:val="00BA7FAB"/>
    <w:rsid w:val="00BB03C3"/>
    <w:rsid w:val="00BB0938"/>
    <w:rsid w:val="00BB0AA9"/>
    <w:rsid w:val="00BB0F56"/>
    <w:rsid w:val="00BB1093"/>
    <w:rsid w:val="00BB111F"/>
    <w:rsid w:val="00BB1284"/>
    <w:rsid w:val="00BB1812"/>
    <w:rsid w:val="00BB1842"/>
    <w:rsid w:val="00BB2642"/>
    <w:rsid w:val="00BB2869"/>
    <w:rsid w:val="00BB29A9"/>
    <w:rsid w:val="00BB2E55"/>
    <w:rsid w:val="00BB2EC9"/>
    <w:rsid w:val="00BB31A1"/>
    <w:rsid w:val="00BB3223"/>
    <w:rsid w:val="00BB33F4"/>
    <w:rsid w:val="00BB427A"/>
    <w:rsid w:val="00BB4DAA"/>
    <w:rsid w:val="00BB4E95"/>
    <w:rsid w:val="00BB4F52"/>
    <w:rsid w:val="00BB537C"/>
    <w:rsid w:val="00BB56D7"/>
    <w:rsid w:val="00BB5776"/>
    <w:rsid w:val="00BB5F14"/>
    <w:rsid w:val="00BB5FF9"/>
    <w:rsid w:val="00BB6314"/>
    <w:rsid w:val="00BB659B"/>
    <w:rsid w:val="00BB6B6F"/>
    <w:rsid w:val="00BB6BA4"/>
    <w:rsid w:val="00BB6BC6"/>
    <w:rsid w:val="00BB6E1C"/>
    <w:rsid w:val="00BB71BA"/>
    <w:rsid w:val="00BB7365"/>
    <w:rsid w:val="00BB7569"/>
    <w:rsid w:val="00BB7640"/>
    <w:rsid w:val="00BB7AE4"/>
    <w:rsid w:val="00BB7B12"/>
    <w:rsid w:val="00BB7F9A"/>
    <w:rsid w:val="00BC0077"/>
    <w:rsid w:val="00BC04EE"/>
    <w:rsid w:val="00BC14F5"/>
    <w:rsid w:val="00BC1BCA"/>
    <w:rsid w:val="00BC210D"/>
    <w:rsid w:val="00BC2E51"/>
    <w:rsid w:val="00BC3DB2"/>
    <w:rsid w:val="00BC5155"/>
    <w:rsid w:val="00BC587C"/>
    <w:rsid w:val="00BC643A"/>
    <w:rsid w:val="00BC6514"/>
    <w:rsid w:val="00BC69A2"/>
    <w:rsid w:val="00BC69D3"/>
    <w:rsid w:val="00BC6B41"/>
    <w:rsid w:val="00BC6B9E"/>
    <w:rsid w:val="00BC6C02"/>
    <w:rsid w:val="00BC6E5F"/>
    <w:rsid w:val="00BC7097"/>
    <w:rsid w:val="00BC7125"/>
    <w:rsid w:val="00BC73D6"/>
    <w:rsid w:val="00BC76BC"/>
    <w:rsid w:val="00BC794F"/>
    <w:rsid w:val="00BC7E61"/>
    <w:rsid w:val="00BD031D"/>
    <w:rsid w:val="00BD0E2C"/>
    <w:rsid w:val="00BD0F33"/>
    <w:rsid w:val="00BD138D"/>
    <w:rsid w:val="00BD15AD"/>
    <w:rsid w:val="00BD1BE4"/>
    <w:rsid w:val="00BD1D4F"/>
    <w:rsid w:val="00BD211D"/>
    <w:rsid w:val="00BD21C5"/>
    <w:rsid w:val="00BD22E6"/>
    <w:rsid w:val="00BD23D5"/>
    <w:rsid w:val="00BD2983"/>
    <w:rsid w:val="00BD2FC4"/>
    <w:rsid w:val="00BD4185"/>
    <w:rsid w:val="00BD446E"/>
    <w:rsid w:val="00BD45AE"/>
    <w:rsid w:val="00BD492A"/>
    <w:rsid w:val="00BD4954"/>
    <w:rsid w:val="00BD4BBB"/>
    <w:rsid w:val="00BD56CE"/>
    <w:rsid w:val="00BD57BF"/>
    <w:rsid w:val="00BD6418"/>
    <w:rsid w:val="00BD657D"/>
    <w:rsid w:val="00BD696F"/>
    <w:rsid w:val="00BD6B49"/>
    <w:rsid w:val="00BD6FFF"/>
    <w:rsid w:val="00BD7563"/>
    <w:rsid w:val="00BD7C98"/>
    <w:rsid w:val="00BD7D64"/>
    <w:rsid w:val="00BE00F5"/>
    <w:rsid w:val="00BE079A"/>
    <w:rsid w:val="00BE0B97"/>
    <w:rsid w:val="00BE0BD2"/>
    <w:rsid w:val="00BE0C3C"/>
    <w:rsid w:val="00BE1462"/>
    <w:rsid w:val="00BE1EEE"/>
    <w:rsid w:val="00BE2083"/>
    <w:rsid w:val="00BE22BF"/>
    <w:rsid w:val="00BE254F"/>
    <w:rsid w:val="00BE2983"/>
    <w:rsid w:val="00BE34D4"/>
    <w:rsid w:val="00BE3648"/>
    <w:rsid w:val="00BE36C9"/>
    <w:rsid w:val="00BE3B86"/>
    <w:rsid w:val="00BE41DD"/>
    <w:rsid w:val="00BE4600"/>
    <w:rsid w:val="00BE462F"/>
    <w:rsid w:val="00BE469D"/>
    <w:rsid w:val="00BE47F9"/>
    <w:rsid w:val="00BE4BC1"/>
    <w:rsid w:val="00BE4C38"/>
    <w:rsid w:val="00BE4C43"/>
    <w:rsid w:val="00BE5053"/>
    <w:rsid w:val="00BE5087"/>
    <w:rsid w:val="00BE5090"/>
    <w:rsid w:val="00BE51F2"/>
    <w:rsid w:val="00BE595A"/>
    <w:rsid w:val="00BE5969"/>
    <w:rsid w:val="00BE5EBD"/>
    <w:rsid w:val="00BE62F5"/>
    <w:rsid w:val="00BE7410"/>
    <w:rsid w:val="00BE7437"/>
    <w:rsid w:val="00BE7E0B"/>
    <w:rsid w:val="00BF0626"/>
    <w:rsid w:val="00BF0ABE"/>
    <w:rsid w:val="00BF1216"/>
    <w:rsid w:val="00BF19D7"/>
    <w:rsid w:val="00BF1A88"/>
    <w:rsid w:val="00BF1C6E"/>
    <w:rsid w:val="00BF1DCE"/>
    <w:rsid w:val="00BF1FBF"/>
    <w:rsid w:val="00BF21A5"/>
    <w:rsid w:val="00BF2257"/>
    <w:rsid w:val="00BF26A1"/>
    <w:rsid w:val="00BF29F9"/>
    <w:rsid w:val="00BF2F1B"/>
    <w:rsid w:val="00BF3146"/>
    <w:rsid w:val="00BF337B"/>
    <w:rsid w:val="00BF33F3"/>
    <w:rsid w:val="00BF357E"/>
    <w:rsid w:val="00BF3642"/>
    <w:rsid w:val="00BF389C"/>
    <w:rsid w:val="00BF38D1"/>
    <w:rsid w:val="00BF3BFB"/>
    <w:rsid w:val="00BF3E43"/>
    <w:rsid w:val="00BF428F"/>
    <w:rsid w:val="00BF4F10"/>
    <w:rsid w:val="00BF5C95"/>
    <w:rsid w:val="00BF5E22"/>
    <w:rsid w:val="00BF5F60"/>
    <w:rsid w:val="00BF643A"/>
    <w:rsid w:val="00BF6DF0"/>
    <w:rsid w:val="00BF7730"/>
    <w:rsid w:val="00BF7CD2"/>
    <w:rsid w:val="00C0021B"/>
    <w:rsid w:val="00C004FF"/>
    <w:rsid w:val="00C005DD"/>
    <w:rsid w:val="00C0067F"/>
    <w:rsid w:val="00C00D50"/>
    <w:rsid w:val="00C01232"/>
    <w:rsid w:val="00C012E8"/>
    <w:rsid w:val="00C02115"/>
    <w:rsid w:val="00C0227A"/>
    <w:rsid w:val="00C02298"/>
    <w:rsid w:val="00C026C1"/>
    <w:rsid w:val="00C027AC"/>
    <w:rsid w:val="00C035A5"/>
    <w:rsid w:val="00C038C7"/>
    <w:rsid w:val="00C039C2"/>
    <w:rsid w:val="00C03F39"/>
    <w:rsid w:val="00C04155"/>
    <w:rsid w:val="00C04349"/>
    <w:rsid w:val="00C0455F"/>
    <w:rsid w:val="00C0490E"/>
    <w:rsid w:val="00C04955"/>
    <w:rsid w:val="00C04D96"/>
    <w:rsid w:val="00C04F49"/>
    <w:rsid w:val="00C0581A"/>
    <w:rsid w:val="00C05AAC"/>
    <w:rsid w:val="00C05E7F"/>
    <w:rsid w:val="00C06054"/>
    <w:rsid w:val="00C06D13"/>
    <w:rsid w:val="00C07B8D"/>
    <w:rsid w:val="00C07EC8"/>
    <w:rsid w:val="00C1023E"/>
    <w:rsid w:val="00C1051F"/>
    <w:rsid w:val="00C10551"/>
    <w:rsid w:val="00C10809"/>
    <w:rsid w:val="00C10CAA"/>
    <w:rsid w:val="00C10FBA"/>
    <w:rsid w:val="00C1120E"/>
    <w:rsid w:val="00C115A0"/>
    <w:rsid w:val="00C12831"/>
    <w:rsid w:val="00C13AB6"/>
    <w:rsid w:val="00C13B4A"/>
    <w:rsid w:val="00C13EFB"/>
    <w:rsid w:val="00C14293"/>
    <w:rsid w:val="00C149A8"/>
    <w:rsid w:val="00C14FB3"/>
    <w:rsid w:val="00C1615A"/>
    <w:rsid w:val="00C16165"/>
    <w:rsid w:val="00C16AB2"/>
    <w:rsid w:val="00C16D8E"/>
    <w:rsid w:val="00C16F3C"/>
    <w:rsid w:val="00C16FB2"/>
    <w:rsid w:val="00C17270"/>
    <w:rsid w:val="00C17473"/>
    <w:rsid w:val="00C17988"/>
    <w:rsid w:val="00C17A9E"/>
    <w:rsid w:val="00C17B20"/>
    <w:rsid w:val="00C20894"/>
    <w:rsid w:val="00C20DE5"/>
    <w:rsid w:val="00C211BD"/>
    <w:rsid w:val="00C2154F"/>
    <w:rsid w:val="00C218E8"/>
    <w:rsid w:val="00C21A95"/>
    <w:rsid w:val="00C21E40"/>
    <w:rsid w:val="00C220BB"/>
    <w:rsid w:val="00C22CFF"/>
    <w:rsid w:val="00C23613"/>
    <w:rsid w:val="00C23C26"/>
    <w:rsid w:val="00C23E8A"/>
    <w:rsid w:val="00C2483C"/>
    <w:rsid w:val="00C24A68"/>
    <w:rsid w:val="00C24F25"/>
    <w:rsid w:val="00C25C85"/>
    <w:rsid w:val="00C26C0F"/>
    <w:rsid w:val="00C26C57"/>
    <w:rsid w:val="00C272A4"/>
    <w:rsid w:val="00C27481"/>
    <w:rsid w:val="00C27730"/>
    <w:rsid w:val="00C27736"/>
    <w:rsid w:val="00C279D5"/>
    <w:rsid w:val="00C27B88"/>
    <w:rsid w:val="00C30875"/>
    <w:rsid w:val="00C308D3"/>
    <w:rsid w:val="00C30CC1"/>
    <w:rsid w:val="00C30EAE"/>
    <w:rsid w:val="00C30F1A"/>
    <w:rsid w:val="00C3108B"/>
    <w:rsid w:val="00C31647"/>
    <w:rsid w:val="00C31FAD"/>
    <w:rsid w:val="00C322F1"/>
    <w:rsid w:val="00C33933"/>
    <w:rsid w:val="00C33C1F"/>
    <w:rsid w:val="00C33C89"/>
    <w:rsid w:val="00C33CD4"/>
    <w:rsid w:val="00C34495"/>
    <w:rsid w:val="00C34B14"/>
    <w:rsid w:val="00C35198"/>
    <w:rsid w:val="00C35B11"/>
    <w:rsid w:val="00C36673"/>
    <w:rsid w:val="00C369E2"/>
    <w:rsid w:val="00C36AEA"/>
    <w:rsid w:val="00C36FED"/>
    <w:rsid w:val="00C372C3"/>
    <w:rsid w:val="00C3785F"/>
    <w:rsid w:val="00C37A92"/>
    <w:rsid w:val="00C37E46"/>
    <w:rsid w:val="00C400B1"/>
    <w:rsid w:val="00C405BA"/>
    <w:rsid w:val="00C40CCA"/>
    <w:rsid w:val="00C41029"/>
    <w:rsid w:val="00C414C8"/>
    <w:rsid w:val="00C41568"/>
    <w:rsid w:val="00C41A4D"/>
    <w:rsid w:val="00C42F45"/>
    <w:rsid w:val="00C43268"/>
    <w:rsid w:val="00C43D3D"/>
    <w:rsid w:val="00C43D7C"/>
    <w:rsid w:val="00C4424B"/>
    <w:rsid w:val="00C44741"/>
    <w:rsid w:val="00C44B55"/>
    <w:rsid w:val="00C4533E"/>
    <w:rsid w:val="00C45713"/>
    <w:rsid w:val="00C45BBD"/>
    <w:rsid w:val="00C45ED3"/>
    <w:rsid w:val="00C45F47"/>
    <w:rsid w:val="00C46106"/>
    <w:rsid w:val="00C46709"/>
    <w:rsid w:val="00C46DBB"/>
    <w:rsid w:val="00C46DBF"/>
    <w:rsid w:val="00C46EDD"/>
    <w:rsid w:val="00C46F95"/>
    <w:rsid w:val="00C470AB"/>
    <w:rsid w:val="00C47118"/>
    <w:rsid w:val="00C476D4"/>
    <w:rsid w:val="00C47F0C"/>
    <w:rsid w:val="00C500C8"/>
    <w:rsid w:val="00C501DA"/>
    <w:rsid w:val="00C50698"/>
    <w:rsid w:val="00C50FE5"/>
    <w:rsid w:val="00C510B8"/>
    <w:rsid w:val="00C51484"/>
    <w:rsid w:val="00C51700"/>
    <w:rsid w:val="00C51874"/>
    <w:rsid w:val="00C51968"/>
    <w:rsid w:val="00C52354"/>
    <w:rsid w:val="00C52583"/>
    <w:rsid w:val="00C528B2"/>
    <w:rsid w:val="00C52D30"/>
    <w:rsid w:val="00C530B9"/>
    <w:rsid w:val="00C5310D"/>
    <w:rsid w:val="00C53D47"/>
    <w:rsid w:val="00C53F31"/>
    <w:rsid w:val="00C54D57"/>
    <w:rsid w:val="00C55180"/>
    <w:rsid w:val="00C5528E"/>
    <w:rsid w:val="00C55540"/>
    <w:rsid w:val="00C55712"/>
    <w:rsid w:val="00C55BC7"/>
    <w:rsid w:val="00C56591"/>
    <w:rsid w:val="00C56700"/>
    <w:rsid w:val="00C56B55"/>
    <w:rsid w:val="00C56B5F"/>
    <w:rsid w:val="00C56C37"/>
    <w:rsid w:val="00C57525"/>
    <w:rsid w:val="00C57586"/>
    <w:rsid w:val="00C57854"/>
    <w:rsid w:val="00C57ABC"/>
    <w:rsid w:val="00C57AC8"/>
    <w:rsid w:val="00C57ECF"/>
    <w:rsid w:val="00C57F17"/>
    <w:rsid w:val="00C604CC"/>
    <w:rsid w:val="00C608EA"/>
    <w:rsid w:val="00C60A2D"/>
    <w:rsid w:val="00C60DD0"/>
    <w:rsid w:val="00C612E0"/>
    <w:rsid w:val="00C612E6"/>
    <w:rsid w:val="00C6175D"/>
    <w:rsid w:val="00C61B03"/>
    <w:rsid w:val="00C62143"/>
    <w:rsid w:val="00C62173"/>
    <w:rsid w:val="00C627C7"/>
    <w:rsid w:val="00C628CB"/>
    <w:rsid w:val="00C62ACB"/>
    <w:rsid w:val="00C6339F"/>
    <w:rsid w:val="00C63497"/>
    <w:rsid w:val="00C6358A"/>
    <w:rsid w:val="00C63E6B"/>
    <w:rsid w:val="00C63FE4"/>
    <w:rsid w:val="00C64071"/>
    <w:rsid w:val="00C641BB"/>
    <w:rsid w:val="00C64343"/>
    <w:rsid w:val="00C648A0"/>
    <w:rsid w:val="00C64BD7"/>
    <w:rsid w:val="00C64D67"/>
    <w:rsid w:val="00C64F05"/>
    <w:rsid w:val="00C64FB7"/>
    <w:rsid w:val="00C653F5"/>
    <w:rsid w:val="00C65573"/>
    <w:rsid w:val="00C65653"/>
    <w:rsid w:val="00C65E02"/>
    <w:rsid w:val="00C65E4A"/>
    <w:rsid w:val="00C6624A"/>
    <w:rsid w:val="00C663BD"/>
    <w:rsid w:val="00C66475"/>
    <w:rsid w:val="00C665B9"/>
    <w:rsid w:val="00C676CE"/>
    <w:rsid w:val="00C703C7"/>
    <w:rsid w:val="00C7050F"/>
    <w:rsid w:val="00C72044"/>
    <w:rsid w:val="00C72685"/>
    <w:rsid w:val="00C72866"/>
    <w:rsid w:val="00C74006"/>
    <w:rsid w:val="00C7408D"/>
    <w:rsid w:val="00C74EE7"/>
    <w:rsid w:val="00C765AD"/>
    <w:rsid w:val="00C7697A"/>
    <w:rsid w:val="00C76FFB"/>
    <w:rsid w:val="00C77473"/>
    <w:rsid w:val="00C77747"/>
    <w:rsid w:val="00C7781D"/>
    <w:rsid w:val="00C7788B"/>
    <w:rsid w:val="00C779B6"/>
    <w:rsid w:val="00C80E9C"/>
    <w:rsid w:val="00C81343"/>
    <w:rsid w:val="00C81754"/>
    <w:rsid w:val="00C81787"/>
    <w:rsid w:val="00C817EC"/>
    <w:rsid w:val="00C818C6"/>
    <w:rsid w:val="00C8196A"/>
    <w:rsid w:val="00C819CC"/>
    <w:rsid w:val="00C81F7E"/>
    <w:rsid w:val="00C82BBF"/>
    <w:rsid w:val="00C833CE"/>
    <w:rsid w:val="00C8386A"/>
    <w:rsid w:val="00C8387B"/>
    <w:rsid w:val="00C83B0E"/>
    <w:rsid w:val="00C83F90"/>
    <w:rsid w:val="00C842AC"/>
    <w:rsid w:val="00C846F0"/>
    <w:rsid w:val="00C8478A"/>
    <w:rsid w:val="00C84ED1"/>
    <w:rsid w:val="00C85CE5"/>
    <w:rsid w:val="00C85D53"/>
    <w:rsid w:val="00C86A43"/>
    <w:rsid w:val="00C86F13"/>
    <w:rsid w:val="00C86FAC"/>
    <w:rsid w:val="00C8766D"/>
    <w:rsid w:val="00C87732"/>
    <w:rsid w:val="00C87EF1"/>
    <w:rsid w:val="00C87FC9"/>
    <w:rsid w:val="00C90076"/>
    <w:rsid w:val="00C900CB"/>
    <w:rsid w:val="00C9053C"/>
    <w:rsid w:val="00C9056A"/>
    <w:rsid w:val="00C91720"/>
    <w:rsid w:val="00C918BC"/>
    <w:rsid w:val="00C91CBD"/>
    <w:rsid w:val="00C91CEA"/>
    <w:rsid w:val="00C91DC5"/>
    <w:rsid w:val="00C9256C"/>
    <w:rsid w:val="00C925D3"/>
    <w:rsid w:val="00C9266B"/>
    <w:rsid w:val="00C92749"/>
    <w:rsid w:val="00C9285C"/>
    <w:rsid w:val="00C92E86"/>
    <w:rsid w:val="00C92EC0"/>
    <w:rsid w:val="00C92F6D"/>
    <w:rsid w:val="00C93285"/>
    <w:rsid w:val="00C933F5"/>
    <w:rsid w:val="00C93AE9"/>
    <w:rsid w:val="00C93DD9"/>
    <w:rsid w:val="00C945B7"/>
    <w:rsid w:val="00C945B9"/>
    <w:rsid w:val="00C945E4"/>
    <w:rsid w:val="00C94638"/>
    <w:rsid w:val="00C94A33"/>
    <w:rsid w:val="00C9526A"/>
    <w:rsid w:val="00C955FD"/>
    <w:rsid w:val="00C95666"/>
    <w:rsid w:val="00C9572E"/>
    <w:rsid w:val="00C9592B"/>
    <w:rsid w:val="00C95A01"/>
    <w:rsid w:val="00C95DD6"/>
    <w:rsid w:val="00C965E3"/>
    <w:rsid w:val="00C96781"/>
    <w:rsid w:val="00C973B7"/>
    <w:rsid w:val="00C9740A"/>
    <w:rsid w:val="00CA01F9"/>
    <w:rsid w:val="00CA04DD"/>
    <w:rsid w:val="00CA08B8"/>
    <w:rsid w:val="00CA101E"/>
    <w:rsid w:val="00CA1990"/>
    <w:rsid w:val="00CA27AD"/>
    <w:rsid w:val="00CA283C"/>
    <w:rsid w:val="00CA2A45"/>
    <w:rsid w:val="00CA2E5C"/>
    <w:rsid w:val="00CA3226"/>
    <w:rsid w:val="00CA3396"/>
    <w:rsid w:val="00CA3651"/>
    <w:rsid w:val="00CA392D"/>
    <w:rsid w:val="00CA3A71"/>
    <w:rsid w:val="00CA3DF9"/>
    <w:rsid w:val="00CA3E87"/>
    <w:rsid w:val="00CA4548"/>
    <w:rsid w:val="00CA4AD0"/>
    <w:rsid w:val="00CA4BEB"/>
    <w:rsid w:val="00CA5018"/>
    <w:rsid w:val="00CA51B1"/>
    <w:rsid w:val="00CA52AD"/>
    <w:rsid w:val="00CA582F"/>
    <w:rsid w:val="00CA63A4"/>
    <w:rsid w:val="00CA64F7"/>
    <w:rsid w:val="00CA66D5"/>
    <w:rsid w:val="00CA696B"/>
    <w:rsid w:val="00CA6B6A"/>
    <w:rsid w:val="00CA6C6B"/>
    <w:rsid w:val="00CA712F"/>
    <w:rsid w:val="00CA72A7"/>
    <w:rsid w:val="00CA777F"/>
    <w:rsid w:val="00CA7CA6"/>
    <w:rsid w:val="00CA7E63"/>
    <w:rsid w:val="00CA7F9A"/>
    <w:rsid w:val="00CB0375"/>
    <w:rsid w:val="00CB046B"/>
    <w:rsid w:val="00CB0A6F"/>
    <w:rsid w:val="00CB1281"/>
    <w:rsid w:val="00CB175A"/>
    <w:rsid w:val="00CB1B78"/>
    <w:rsid w:val="00CB1C13"/>
    <w:rsid w:val="00CB2235"/>
    <w:rsid w:val="00CB24B1"/>
    <w:rsid w:val="00CB272C"/>
    <w:rsid w:val="00CB31FD"/>
    <w:rsid w:val="00CB322C"/>
    <w:rsid w:val="00CB3684"/>
    <w:rsid w:val="00CB36C1"/>
    <w:rsid w:val="00CB387C"/>
    <w:rsid w:val="00CB3B5A"/>
    <w:rsid w:val="00CB3CBC"/>
    <w:rsid w:val="00CB4054"/>
    <w:rsid w:val="00CB4196"/>
    <w:rsid w:val="00CB4BA2"/>
    <w:rsid w:val="00CB4F59"/>
    <w:rsid w:val="00CB529E"/>
    <w:rsid w:val="00CB53F3"/>
    <w:rsid w:val="00CB546B"/>
    <w:rsid w:val="00CB57C1"/>
    <w:rsid w:val="00CB57D3"/>
    <w:rsid w:val="00CB5C31"/>
    <w:rsid w:val="00CB62B9"/>
    <w:rsid w:val="00CB65E2"/>
    <w:rsid w:val="00CB676C"/>
    <w:rsid w:val="00CB69A5"/>
    <w:rsid w:val="00CB7611"/>
    <w:rsid w:val="00CB7631"/>
    <w:rsid w:val="00CB76B5"/>
    <w:rsid w:val="00CB7983"/>
    <w:rsid w:val="00CB7C90"/>
    <w:rsid w:val="00CC0251"/>
    <w:rsid w:val="00CC0444"/>
    <w:rsid w:val="00CC0855"/>
    <w:rsid w:val="00CC0C8F"/>
    <w:rsid w:val="00CC0D8A"/>
    <w:rsid w:val="00CC0DC4"/>
    <w:rsid w:val="00CC1581"/>
    <w:rsid w:val="00CC19DB"/>
    <w:rsid w:val="00CC1A61"/>
    <w:rsid w:val="00CC1B6A"/>
    <w:rsid w:val="00CC2514"/>
    <w:rsid w:val="00CC2BC6"/>
    <w:rsid w:val="00CC322D"/>
    <w:rsid w:val="00CC34D1"/>
    <w:rsid w:val="00CC3618"/>
    <w:rsid w:val="00CC3B82"/>
    <w:rsid w:val="00CC41A8"/>
    <w:rsid w:val="00CC425B"/>
    <w:rsid w:val="00CC42B5"/>
    <w:rsid w:val="00CC46F7"/>
    <w:rsid w:val="00CC494B"/>
    <w:rsid w:val="00CC524B"/>
    <w:rsid w:val="00CC5434"/>
    <w:rsid w:val="00CC629F"/>
    <w:rsid w:val="00CC66A2"/>
    <w:rsid w:val="00CC6D0B"/>
    <w:rsid w:val="00CC6D41"/>
    <w:rsid w:val="00CC6F56"/>
    <w:rsid w:val="00CC7304"/>
    <w:rsid w:val="00CC79C0"/>
    <w:rsid w:val="00CC7B72"/>
    <w:rsid w:val="00CD01A8"/>
    <w:rsid w:val="00CD064A"/>
    <w:rsid w:val="00CD0665"/>
    <w:rsid w:val="00CD0711"/>
    <w:rsid w:val="00CD0936"/>
    <w:rsid w:val="00CD0A48"/>
    <w:rsid w:val="00CD0B22"/>
    <w:rsid w:val="00CD11E5"/>
    <w:rsid w:val="00CD124A"/>
    <w:rsid w:val="00CD1631"/>
    <w:rsid w:val="00CD1857"/>
    <w:rsid w:val="00CD2011"/>
    <w:rsid w:val="00CD20D7"/>
    <w:rsid w:val="00CD2407"/>
    <w:rsid w:val="00CD2559"/>
    <w:rsid w:val="00CD2792"/>
    <w:rsid w:val="00CD2CDE"/>
    <w:rsid w:val="00CD3F27"/>
    <w:rsid w:val="00CD43FE"/>
    <w:rsid w:val="00CD4666"/>
    <w:rsid w:val="00CD46A5"/>
    <w:rsid w:val="00CD4F4D"/>
    <w:rsid w:val="00CD4F64"/>
    <w:rsid w:val="00CD514F"/>
    <w:rsid w:val="00CD5689"/>
    <w:rsid w:val="00CD569F"/>
    <w:rsid w:val="00CD5B60"/>
    <w:rsid w:val="00CD5BE3"/>
    <w:rsid w:val="00CD5CB4"/>
    <w:rsid w:val="00CD5EA9"/>
    <w:rsid w:val="00CD5FCB"/>
    <w:rsid w:val="00CD60B0"/>
    <w:rsid w:val="00CD6999"/>
    <w:rsid w:val="00CD6A29"/>
    <w:rsid w:val="00CD77CB"/>
    <w:rsid w:val="00CD79E1"/>
    <w:rsid w:val="00CD7C86"/>
    <w:rsid w:val="00CD7CB4"/>
    <w:rsid w:val="00CD7DC0"/>
    <w:rsid w:val="00CD7E11"/>
    <w:rsid w:val="00CE016A"/>
    <w:rsid w:val="00CE01BA"/>
    <w:rsid w:val="00CE01BD"/>
    <w:rsid w:val="00CE029C"/>
    <w:rsid w:val="00CE07CA"/>
    <w:rsid w:val="00CE12C2"/>
    <w:rsid w:val="00CE1631"/>
    <w:rsid w:val="00CE1725"/>
    <w:rsid w:val="00CE1729"/>
    <w:rsid w:val="00CE1AA9"/>
    <w:rsid w:val="00CE1B71"/>
    <w:rsid w:val="00CE23CB"/>
    <w:rsid w:val="00CE2841"/>
    <w:rsid w:val="00CE2AB1"/>
    <w:rsid w:val="00CE2B01"/>
    <w:rsid w:val="00CE2B41"/>
    <w:rsid w:val="00CE2E25"/>
    <w:rsid w:val="00CE3216"/>
    <w:rsid w:val="00CE346E"/>
    <w:rsid w:val="00CE3F6F"/>
    <w:rsid w:val="00CE4206"/>
    <w:rsid w:val="00CE45ED"/>
    <w:rsid w:val="00CE49E2"/>
    <w:rsid w:val="00CE4F5A"/>
    <w:rsid w:val="00CE4F9E"/>
    <w:rsid w:val="00CE53FC"/>
    <w:rsid w:val="00CE5618"/>
    <w:rsid w:val="00CE56E1"/>
    <w:rsid w:val="00CE6132"/>
    <w:rsid w:val="00CE64D4"/>
    <w:rsid w:val="00CE6675"/>
    <w:rsid w:val="00CE6E1F"/>
    <w:rsid w:val="00CE7045"/>
    <w:rsid w:val="00CE728B"/>
    <w:rsid w:val="00CE74CA"/>
    <w:rsid w:val="00CE7A0F"/>
    <w:rsid w:val="00CE7E6A"/>
    <w:rsid w:val="00CF052E"/>
    <w:rsid w:val="00CF0EBE"/>
    <w:rsid w:val="00CF11F3"/>
    <w:rsid w:val="00CF1AE1"/>
    <w:rsid w:val="00CF20B7"/>
    <w:rsid w:val="00CF2443"/>
    <w:rsid w:val="00CF28C0"/>
    <w:rsid w:val="00CF2A8F"/>
    <w:rsid w:val="00CF2EF0"/>
    <w:rsid w:val="00CF3219"/>
    <w:rsid w:val="00CF3724"/>
    <w:rsid w:val="00CF421D"/>
    <w:rsid w:val="00CF4665"/>
    <w:rsid w:val="00CF485E"/>
    <w:rsid w:val="00CF4A2D"/>
    <w:rsid w:val="00CF4CEE"/>
    <w:rsid w:val="00CF4DD6"/>
    <w:rsid w:val="00CF4EE2"/>
    <w:rsid w:val="00CF514F"/>
    <w:rsid w:val="00CF5675"/>
    <w:rsid w:val="00CF64A4"/>
    <w:rsid w:val="00CF687C"/>
    <w:rsid w:val="00CF6C3F"/>
    <w:rsid w:val="00CF6FD8"/>
    <w:rsid w:val="00CF7088"/>
    <w:rsid w:val="00CF730A"/>
    <w:rsid w:val="00CF757A"/>
    <w:rsid w:val="00CF75BE"/>
    <w:rsid w:val="00CF789A"/>
    <w:rsid w:val="00CF7BA5"/>
    <w:rsid w:val="00CF7F13"/>
    <w:rsid w:val="00D003F1"/>
    <w:rsid w:val="00D00418"/>
    <w:rsid w:val="00D0055B"/>
    <w:rsid w:val="00D00C04"/>
    <w:rsid w:val="00D00EEB"/>
    <w:rsid w:val="00D016E0"/>
    <w:rsid w:val="00D01A64"/>
    <w:rsid w:val="00D021DD"/>
    <w:rsid w:val="00D022A3"/>
    <w:rsid w:val="00D022DC"/>
    <w:rsid w:val="00D02E5F"/>
    <w:rsid w:val="00D03767"/>
    <w:rsid w:val="00D03E73"/>
    <w:rsid w:val="00D042BE"/>
    <w:rsid w:val="00D04469"/>
    <w:rsid w:val="00D0531A"/>
    <w:rsid w:val="00D05439"/>
    <w:rsid w:val="00D0567F"/>
    <w:rsid w:val="00D060F2"/>
    <w:rsid w:val="00D066CC"/>
    <w:rsid w:val="00D067F3"/>
    <w:rsid w:val="00D06B84"/>
    <w:rsid w:val="00D073DA"/>
    <w:rsid w:val="00D0767F"/>
    <w:rsid w:val="00D076B6"/>
    <w:rsid w:val="00D076BF"/>
    <w:rsid w:val="00D07905"/>
    <w:rsid w:val="00D106F3"/>
    <w:rsid w:val="00D10F3F"/>
    <w:rsid w:val="00D10F4E"/>
    <w:rsid w:val="00D122FD"/>
    <w:rsid w:val="00D124A8"/>
    <w:rsid w:val="00D12713"/>
    <w:rsid w:val="00D127D4"/>
    <w:rsid w:val="00D1294F"/>
    <w:rsid w:val="00D12BA3"/>
    <w:rsid w:val="00D13032"/>
    <w:rsid w:val="00D1393C"/>
    <w:rsid w:val="00D13B14"/>
    <w:rsid w:val="00D13C93"/>
    <w:rsid w:val="00D1402F"/>
    <w:rsid w:val="00D14194"/>
    <w:rsid w:val="00D141C4"/>
    <w:rsid w:val="00D14816"/>
    <w:rsid w:val="00D14A5F"/>
    <w:rsid w:val="00D14B1C"/>
    <w:rsid w:val="00D14B52"/>
    <w:rsid w:val="00D15BFE"/>
    <w:rsid w:val="00D15D70"/>
    <w:rsid w:val="00D15D82"/>
    <w:rsid w:val="00D15DF4"/>
    <w:rsid w:val="00D15E94"/>
    <w:rsid w:val="00D16D5A"/>
    <w:rsid w:val="00D17784"/>
    <w:rsid w:val="00D17AD7"/>
    <w:rsid w:val="00D17C15"/>
    <w:rsid w:val="00D17D14"/>
    <w:rsid w:val="00D20024"/>
    <w:rsid w:val="00D21455"/>
    <w:rsid w:val="00D21779"/>
    <w:rsid w:val="00D21978"/>
    <w:rsid w:val="00D21EF8"/>
    <w:rsid w:val="00D22217"/>
    <w:rsid w:val="00D2250A"/>
    <w:rsid w:val="00D22B87"/>
    <w:rsid w:val="00D23614"/>
    <w:rsid w:val="00D2425E"/>
    <w:rsid w:val="00D2450A"/>
    <w:rsid w:val="00D24AF1"/>
    <w:rsid w:val="00D24B0D"/>
    <w:rsid w:val="00D25175"/>
    <w:rsid w:val="00D252A5"/>
    <w:rsid w:val="00D258B9"/>
    <w:rsid w:val="00D26377"/>
    <w:rsid w:val="00D26383"/>
    <w:rsid w:val="00D268D5"/>
    <w:rsid w:val="00D26F95"/>
    <w:rsid w:val="00D26FC5"/>
    <w:rsid w:val="00D274DD"/>
    <w:rsid w:val="00D275B4"/>
    <w:rsid w:val="00D27F15"/>
    <w:rsid w:val="00D30592"/>
    <w:rsid w:val="00D30C64"/>
    <w:rsid w:val="00D31055"/>
    <w:rsid w:val="00D31511"/>
    <w:rsid w:val="00D315C2"/>
    <w:rsid w:val="00D31ACC"/>
    <w:rsid w:val="00D3298F"/>
    <w:rsid w:val="00D32B18"/>
    <w:rsid w:val="00D32C90"/>
    <w:rsid w:val="00D32E11"/>
    <w:rsid w:val="00D33A88"/>
    <w:rsid w:val="00D33EBD"/>
    <w:rsid w:val="00D343D1"/>
    <w:rsid w:val="00D34A7A"/>
    <w:rsid w:val="00D34A92"/>
    <w:rsid w:val="00D34FA2"/>
    <w:rsid w:val="00D3508E"/>
    <w:rsid w:val="00D3550A"/>
    <w:rsid w:val="00D36F7D"/>
    <w:rsid w:val="00D371B6"/>
    <w:rsid w:val="00D37523"/>
    <w:rsid w:val="00D376BC"/>
    <w:rsid w:val="00D41223"/>
    <w:rsid w:val="00D412B5"/>
    <w:rsid w:val="00D416DE"/>
    <w:rsid w:val="00D41EBE"/>
    <w:rsid w:val="00D42912"/>
    <w:rsid w:val="00D43039"/>
    <w:rsid w:val="00D438B3"/>
    <w:rsid w:val="00D43A69"/>
    <w:rsid w:val="00D43D94"/>
    <w:rsid w:val="00D44A6B"/>
    <w:rsid w:val="00D44B24"/>
    <w:rsid w:val="00D44C5A"/>
    <w:rsid w:val="00D4529D"/>
    <w:rsid w:val="00D458FF"/>
    <w:rsid w:val="00D45ED5"/>
    <w:rsid w:val="00D46156"/>
    <w:rsid w:val="00D46301"/>
    <w:rsid w:val="00D46319"/>
    <w:rsid w:val="00D4643F"/>
    <w:rsid w:val="00D465CC"/>
    <w:rsid w:val="00D46787"/>
    <w:rsid w:val="00D471CB"/>
    <w:rsid w:val="00D47921"/>
    <w:rsid w:val="00D47A92"/>
    <w:rsid w:val="00D47B7B"/>
    <w:rsid w:val="00D50326"/>
    <w:rsid w:val="00D504C1"/>
    <w:rsid w:val="00D51190"/>
    <w:rsid w:val="00D51206"/>
    <w:rsid w:val="00D513CA"/>
    <w:rsid w:val="00D51511"/>
    <w:rsid w:val="00D51E08"/>
    <w:rsid w:val="00D51F7E"/>
    <w:rsid w:val="00D51FC6"/>
    <w:rsid w:val="00D52115"/>
    <w:rsid w:val="00D52F62"/>
    <w:rsid w:val="00D531FE"/>
    <w:rsid w:val="00D534CE"/>
    <w:rsid w:val="00D535AF"/>
    <w:rsid w:val="00D538E2"/>
    <w:rsid w:val="00D53ACF"/>
    <w:rsid w:val="00D53C5A"/>
    <w:rsid w:val="00D540BF"/>
    <w:rsid w:val="00D543C0"/>
    <w:rsid w:val="00D5447A"/>
    <w:rsid w:val="00D549FA"/>
    <w:rsid w:val="00D54FBE"/>
    <w:rsid w:val="00D54FD7"/>
    <w:rsid w:val="00D5590D"/>
    <w:rsid w:val="00D55E73"/>
    <w:rsid w:val="00D55FE7"/>
    <w:rsid w:val="00D56198"/>
    <w:rsid w:val="00D57038"/>
    <w:rsid w:val="00D57079"/>
    <w:rsid w:val="00D572C5"/>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2E68"/>
    <w:rsid w:val="00D6313A"/>
    <w:rsid w:val="00D634F5"/>
    <w:rsid w:val="00D63827"/>
    <w:rsid w:val="00D63C0E"/>
    <w:rsid w:val="00D63FD9"/>
    <w:rsid w:val="00D64384"/>
    <w:rsid w:val="00D647FF"/>
    <w:rsid w:val="00D64B3B"/>
    <w:rsid w:val="00D654D8"/>
    <w:rsid w:val="00D65C0C"/>
    <w:rsid w:val="00D65C48"/>
    <w:rsid w:val="00D65D9E"/>
    <w:rsid w:val="00D66013"/>
    <w:rsid w:val="00D6603C"/>
    <w:rsid w:val="00D66421"/>
    <w:rsid w:val="00D66802"/>
    <w:rsid w:val="00D66C4D"/>
    <w:rsid w:val="00D66F67"/>
    <w:rsid w:val="00D702CA"/>
    <w:rsid w:val="00D70409"/>
    <w:rsid w:val="00D70E1A"/>
    <w:rsid w:val="00D71659"/>
    <w:rsid w:val="00D71698"/>
    <w:rsid w:val="00D71734"/>
    <w:rsid w:val="00D717C9"/>
    <w:rsid w:val="00D7223B"/>
    <w:rsid w:val="00D727B6"/>
    <w:rsid w:val="00D72942"/>
    <w:rsid w:val="00D72A56"/>
    <w:rsid w:val="00D72D12"/>
    <w:rsid w:val="00D737BC"/>
    <w:rsid w:val="00D73A6C"/>
    <w:rsid w:val="00D74B42"/>
    <w:rsid w:val="00D74CC5"/>
    <w:rsid w:val="00D74D13"/>
    <w:rsid w:val="00D75599"/>
    <w:rsid w:val="00D75866"/>
    <w:rsid w:val="00D75D5D"/>
    <w:rsid w:val="00D7654C"/>
    <w:rsid w:val="00D76591"/>
    <w:rsid w:val="00D767BD"/>
    <w:rsid w:val="00D77005"/>
    <w:rsid w:val="00D77151"/>
    <w:rsid w:val="00D77171"/>
    <w:rsid w:val="00D77B8A"/>
    <w:rsid w:val="00D804D5"/>
    <w:rsid w:val="00D81227"/>
    <w:rsid w:val="00D8164A"/>
    <w:rsid w:val="00D816C1"/>
    <w:rsid w:val="00D82212"/>
    <w:rsid w:val="00D824DA"/>
    <w:rsid w:val="00D82A0D"/>
    <w:rsid w:val="00D82A75"/>
    <w:rsid w:val="00D82A8F"/>
    <w:rsid w:val="00D82D88"/>
    <w:rsid w:val="00D82E39"/>
    <w:rsid w:val="00D830A9"/>
    <w:rsid w:val="00D837E9"/>
    <w:rsid w:val="00D8407D"/>
    <w:rsid w:val="00D84843"/>
    <w:rsid w:val="00D84871"/>
    <w:rsid w:val="00D848E5"/>
    <w:rsid w:val="00D85312"/>
    <w:rsid w:val="00D8533A"/>
    <w:rsid w:val="00D857A4"/>
    <w:rsid w:val="00D85923"/>
    <w:rsid w:val="00D859B6"/>
    <w:rsid w:val="00D85B0E"/>
    <w:rsid w:val="00D85C3B"/>
    <w:rsid w:val="00D85FBE"/>
    <w:rsid w:val="00D86A49"/>
    <w:rsid w:val="00D86DC3"/>
    <w:rsid w:val="00D86EF8"/>
    <w:rsid w:val="00D86F36"/>
    <w:rsid w:val="00D86F6F"/>
    <w:rsid w:val="00D87103"/>
    <w:rsid w:val="00D871A2"/>
    <w:rsid w:val="00D87526"/>
    <w:rsid w:val="00D901B2"/>
    <w:rsid w:val="00D905AE"/>
    <w:rsid w:val="00D9094E"/>
    <w:rsid w:val="00D90AEA"/>
    <w:rsid w:val="00D90C52"/>
    <w:rsid w:val="00D91401"/>
    <w:rsid w:val="00D9156F"/>
    <w:rsid w:val="00D9221E"/>
    <w:rsid w:val="00D924FB"/>
    <w:rsid w:val="00D93744"/>
    <w:rsid w:val="00D937F5"/>
    <w:rsid w:val="00D939BB"/>
    <w:rsid w:val="00D93A3A"/>
    <w:rsid w:val="00D94D93"/>
    <w:rsid w:val="00D94E0C"/>
    <w:rsid w:val="00D95279"/>
    <w:rsid w:val="00D95EDB"/>
    <w:rsid w:val="00D9775A"/>
    <w:rsid w:val="00DA011C"/>
    <w:rsid w:val="00DA0D77"/>
    <w:rsid w:val="00DA15BC"/>
    <w:rsid w:val="00DA1871"/>
    <w:rsid w:val="00DA18A4"/>
    <w:rsid w:val="00DA19A4"/>
    <w:rsid w:val="00DA1B94"/>
    <w:rsid w:val="00DA207F"/>
    <w:rsid w:val="00DA25E6"/>
    <w:rsid w:val="00DA26B2"/>
    <w:rsid w:val="00DA2771"/>
    <w:rsid w:val="00DA2925"/>
    <w:rsid w:val="00DA32DA"/>
    <w:rsid w:val="00DA3B41"/>
    <w:rsid w:val="00DA3B9F"/>
    <w:rsid w:val="00DA4472"/>
    <w:rsid w:val="00DA45A2"/>
    <w:rsid w:val="00DA4875"/>
    <w:rsid w:val="00DA4A52"/>
    <w:rsid w:val="00DA4B1C"/>
    <w:rsid w:val="00DA4B96"/>
    <w:rsid w:val="00DA51DC"/>
    <w:rsid w:val="00DA5287"/>
    <w:rsid w:val="00DA54E6"/>
    <w:rsid w:val="00DA5847"/>
    <w:rsid w:val="00DA5A77"/>
    <w:rsid w:val="00DA5BCC"/>
    <w:rsid w:val="00DA6094"/>
    <w:rsid w:val="00DA636E"/>
    <w:rsid w:val="00DA670A"/>
    <w:rsid w:val="00DA68A3"/>
    <w:rsid w:val="00DA6C3D"/>
    <w:rsid w:val="00DA6CAF"/>
    <w:rsid w:val="00DA6FCF"/>
    <w:rsid w:val="00DA70F2"/>
    <w:rsid w:val="00DA7389"/>
    <w:rsid w:val="00DA75D0"/>
    <w:rsid w:val="00DA7B9A"/>
    <w:rsid w:val="00DA7E75"/>
    <w:rsid w:val="00DA7F70"/>
    <w:rsid w:val="00DB07B7"/>
    <w:rsid w:val="00DB07EF"/>
    <w:rsid w:val="00DB0BA6"/>
    <w:rsid w:val="00DB0DD7"/>
    <w:rsid w:val="00DB0FB3"/>
    <w:rsid w:val="00DB1B27"/>
    <w:rsid w:val="00DB1E59"/>
    <w:rsid w:val="00DB2378"/>
    <w:rsid w:val="00DB28D8"/>
    <w:rsid w:val="00DB2981"/>
    <w:rsid w:val="00DB2A59"/>
    <w:rsid w:val="00DB3492"/>
    <w:rsid w:val="00DB3BD5"/>
    <w:rsid w:val="00DB3D3A"/>
    <w:rsid w:val="00DB415C"/>
    <w:rsid w:val="00DB43A7"/>
    <w:rsid w:val="00DB4550"/>
    <w:rsid w:val="00DB4E1A"/>
    <w:rsid w:val="00DB4FC1"/>
    <w:rsid w:val="00DB5BE1"/>
    <w:rsid w:val="00DB6159"/>
    <w:rsid w:val="00DB63DB"/>
    <w:rsid w:val="00DB6514"/>
    <w:rsid w:val="00DB6847"/>
    <w:rsid w:val="00DB69FF"/>
    <w:rsid w:val="00DB6CF8"/>
    <w:rsid w:val="00DB73AF"/>
    <w:rsid w:val="00DB76E6"/>
    <w:rsid w:val="00DB7B2C"/>
    <w:rsid w:val="00DB7C53"/>
    <w:rsid w:val="00DB7C57"/>
    <w:rsid w:val="00DC01B5"/>
    <w:rsid w:val="00DC0211"/>
    <w:rsid w:val="00DC048F"/>
    <w:rsid w:val="00DC07A9"/>
    <w:rsid w:val="00DC0B47"/>
    <w:rsid w:val="00DC0E25"/>
    <w:rsid w:val="00DC13BA"/>
    <w:rsid w:val="00DC176D"/>
    <w:rsid w:val="00DC2626"/>
    <w:rsid w:val="00DC28A7"/>
    <w:rsid w:val="00DC373D"/>
    <w:rsid w:val="00DC3E25"/>
    <w:rsid w:val="00DC3EA9"/>
    <w:rsid w:val="00DC3FF2"/>
    <w:rsid w:val="00DC3FFC"/>
    <w:rsid w:val="00DC4D2D"/>
    <w:rsid w:val="00DC4DB3"/>
    <w:rsid w:val="00DC5359"/>
    <w:rsid w:val="00DC5702"/>
    <w:rsid w:val="00DC57F3"/>
    <w:rsid w:val="00DC5968"/>
    <w:rsid w:val="00DC5CD2"/>
    <w:rsid w:val="00DC60DA"/>
    <w:rsid w:val="00DC62A7"/>
    <w:rsid w:val="00DC64BD"/>
    <w:rsid w:val="00DC67E7"/>
    <w:rsid w:val="00DC6C40"/>
    <w:rsid w:val="00DC6DC7"/>
    <w:rsid w:val="00DD044F"/>
    <w:rsid w:val="00DD0783"/>
    <w:rsid w:val="00DD156B"/>
    <w:rsid w:val="00DD1E32"/>
    <w:rsid w:val="00DD273D"/>
    <w:rsid w:val="00DD27C5"/>
    <w:rsid w:val="00DD2B62"/>
    <w:rsid w:val="00DD2C60"/>
    <w:rsid w:val="00DD2FCD"/>
    <w:rsid w:val="00DD3531"/>
    <w:rsid w:val="00DD35B4"/>
    <w:rsid w:val="00DD426D"/>
    <w:rsid w:val="00DD4B0D"/>
    <w:rsid w:val="00DD4D05"/>
    <w:rsid w:val="00DD4E82"/>
    <w:rsid w:val="00DD57C8"/>
    <w:rsid w:val="00DD5F23"/>
    <w:rsid w:val="00DD651E"/>
    <w:rsid w:val="00DD66EE"/>
    <w:rsid w:val="00DD6910"/>
    <w:rsid w:val="00DD6E56"/>
    <w:rsid w:val="00DD6F48"/>
    <w:rsid w:val="00DD772B"/>
    <w:rsid w:val="00DE0102"/>
    <w:rsid w:val="00DE0535"/>
    <w:rsid w:val="00DE07F3"/>
    <w:rsid w:val="00DE13B5"/>
    <w:rsid w:val="00DE16E4"/>
    <w:rsid w:val="00DE181B"/>
    <w:rsid w:val="00DE23B8"/>
    <w:rsid w:val="00DE2934"/>
    <w:rsid w:val="00DE2C11"/>
    <w:rsid w:val="00DE2E23"/>
    <w:rsid w:val="00DE341C"/>
    <w:rsid w:val="00DE3437"/>
    <w:rsid w:val="00DE34ED"/>
    <w:rsid w:val="00DE352F"/>
    <w:rsid w:val="00DE3733"/>
    <w:rsid w:val="00DE3E9A"/>
    <w:rsid w:val="00DE40CE"/>
    <w:rsid w:val="00DE460E"/>
    <w:rsid w:val="00DE5480"/>
    <w:rsid w:val="00DE6012"/>
    <w:rsid w:val="00DE61A3"/>
    <w:rsid w:val="00DE6EC2"/>
    <w:rsid w:val="00DE7220"/>
    <w:rsid w:val="00DE7435"/>
    <w:rsid w:val="00DE7A3E"/>
    <w:rsid w:val="00DF04CB"/>
    <w:rsid w:val="00DF0649"/>
    <w:rsid w:val="00DF105D"/>
    <w:rsid w:val="00DF1785"/>
    <w:rsid w:val="00DF17CC"/>
    <w:rsid w:val="00DF1E16"/>
    <w:rsid w:val="00DF1F7E"/>
    <w:rsid w:val="00DF2294"/>
    <w:rsid w:val="00DF24A6"/>
    <w:rsid w:val="00DF287F"/>
    <w:rsid w:val="00DF2AC9"/>
    <w:rsid w:val="00DF2CC9"/>
    <w:rsid w:val="00DF2D83"/>
    <w:rsid w:val="00DF307A"/>
    <w:rsid w:val="00DF321B"/>
    <w:rsid w:val="00DF3AEE"/>
    <w:rsid w:val="00DF3D4F"/>
    <w:rsid w:val="00DF41D8"/>
    <w:rsid w:val="00DF49E7"/>
    <w:rsid w:val="00DF5821"/>
    <w:rsid w:val="00DF669B"/>
    <w:rsid w:val="00DF6B03"/>
    <w:rsid w:val="00DF6FD8"/>
    <w:rsid w:val="00DF7352"/>
    <w:rsid w:val="00DF7721"/>
    <w:rsid w:val="00E0019B"/>
    <w:rsid w:val="00E0019E"/>
    <w:rsid w:val="00E013A4"/>
    <w:rsid w:val="00E01401"/>
    <w:rsid w:val="00E01470"/>
    <w:rsid w:val="00E0187D"/>
    <w:rsid w:val="00E01893"/>
    <w:rsid w:val="00E01D9F"/>
    <w:rsid w:val="00E025AB"/>
    <w:rsid w:val="00E02F0B"/>
    <w:rsid w:val="00E03294"/>
    <w:rsid w:val="00E0334A"/>
    <w:rsid w:val="00E03607"/>
    <w:rsid w:val="00E03750"/>
    <w:rsid w:val="00E03D4D"/>
    <w:rsid w:val="00E03FA0"/>
    <w:rsid w:val="00E04292"/>
    <w:rsid w:val="00E0432E"/>
    <w:rsid w:val="00E045CE"/>
    <w:rsid w:val="00E04ED8"/>
    <w:rsid w:val="00E05316"/>
    <w:rsid w:val="00E054D0"/>
    <w:rsid w:val="00E054FC"/>
    <w:rsid w:val="00E059DC"/>
    <w:rsid w:val="00E060DB"/>
    <w:rsid w:val="00E06269"/>
    <w:rsid w:val="00E06545"/>
    <w:rsid w:val="00E06623"/>
    <w:rsid w:val="00E06854"/>
    <w:rsid w:val="00E069E0"/>
    <w:rsid w:val="00E06FCE"/>
    <w:rsid w:val="00E071C0"/>
    <w:rsid w:val="00E072F2"/>
    <w:rsid w:val="00E074A0"/>
    <w:rsid w:val="00E076B1"/>
    <w:rsid w:val="00E07857"/>
    <w:rsid w:val="00E0786F"/>
    <w:rsid w:val="00E07D23"/>
    <w:rsid w:val="00E109F5"/>
    <w:rsid w:val="00E117AA"/>
    <w:rsid w:val="00E118B6"/>
    <w:rsid w:val="00E11CCE"/>
    <w:rsid w:val="00E11D81"/>
    <w:rsid w:val="00E124E7"/>
    <w:rsid w:val="00E1265A"/>
    <w:rsid w:val="00E12780"/>
    <w:rsid w:val="00E130FC"/>
    <w:rsid w:val="00E13265"/>
    <w:rsid w:val="00E1381D"/>
    <w:rsid w:val="00E13825"/>
    <w:rsid w:val="00E1386B"/>
    <w:rsid w:val="00E13BDF"/>
    <w:rsid w:val="00E13CB5"/>
    <w:rsid w:val="00E140FB"/>
    <w:rsid w:val="00E144F8"/>
    <w:rsid w:val="00E14602"/>
    <w:rsid w:val="00E14CA3"/>
    <w:rsid w:val="00E1505A"/>
    <w:rsid w:val="00E1522E"/>
    <w:rsid w:val="00E1553C"/>
    <w:rsid w:val="00E1555D"/>
    <w:rsid w:val="00E1591F"/>
    <w:rsid w:val="00E15BF5"/>
    <w:rsid w:val="00E16367"/>
    <w:rsid w:val="00E16FC2"/>
    <w:rsid w:val="00E170D8"/>
    <w:rsid w:val="00E17593"/>
    <w:rsid w:val="00E179CB"/>
    <w:rsid w:val="00E17ABA"/>
    <w:rsid w:val="00E17D2D"/>
    <w:rsid w:val="00E20596"/>
    <w:rsid w:val="00E205C7"/>
    <w:rsid w:val="00E2097C"/>
    <w:rsid w:val="00E209E1"/>
    <w:rsid w:val="00E20BD5"/>
    <w:rsid w:val="00E2182C"/>
    <w:rsid w:val="00E21A12"/>
    <w:rsid w:val="00E21C52"/>
    <w:rsid w:val="00E21DFA"/>
    <w:rsid w:val="00E21E1A"/>
    <w:rsid w:val="00E21E94"/>
    <w:rsid w:val="00E22456"/>
    <w:rsid w:val="00E225E7"/>
    <w:rsid w:val="00E226EA"/>
    <w:rsid w:val="00E229F8"/>
    <w:rsid w:val="00E22CE0"/>
    <w:rsid w:val="00E22D4B"/>
    <w:rsid w:val="00E23CB3"/>
    <w:rsid w:val="00E245E6"/>
    <w:rsid w:val="00E24A5E"/>
    <w:rsid w:val="00E24D88"/>
    <w:rsid w:val="00E24DC8"/>
    <w:rsid w:val="00E24E59"/>
    <w:rsid w:val="00E2514E"/>
    <w:rsid w:val="00E256DD"/>
    <w:rsid w:val="00E25956"/>
    <w:rsid w:val="00E25F60"/>
    <w:rsid w:val="00E264C4"/>
    <w:rsid w:val="00E265B9"/>
    <w:rsid w:val="00E2665C"/>
    <w:rsid w:val="00E2682A"/>
    <w:rsid w:val="00E26C3E"/>
    <w:rsid w:val="00E26DB1"/>
    <w:rsid w:val="00E26F18"/>
    <w:rsid w:val="00E27061"/>
    <w:rsid w:val="00E276A3"/>
    <w:rsid w:val="00E27CDC"/>
    <w:rsid w:val="00E27E54"/>
    <w:rsid w:val="00E27FEF"/>
    <w:rsid w:val="00E30024"/>
    <w:rsid w:val="00E30195"/>
    <w:rsid w:val="00E30941"/>
    <w:rsid w:val="00E30B4A"/>
    <w:rsid w:val="00E30E86"/>
    <w:rsid w:val="00E310CC"/>
    <w:rsid w:val="00E31D60"/>
    <w:rsid w:val="00E31E85"/>
    <w:rsid w:val="00E31F3F"/>
    <w:rsid w:val="00E321CC"/>
    <w:rsid w:val="00E32235"/>
    <w:rsid w:val="00E3226F"/>
    <w:rsid w:val="00E3260A"/>
    <w:rsid w:val="00E32A30"/>
    <w:rsid w:val="00E32C70"/>
    <w:rsid w:val="00E32DD7"/>
    <w:rsid w:val="00E33099"/>
    <w:rsid w:val="00E33A07"/>
    <w:rsid w:val="00E33B8D"/>
    <w:rsid w:val="00E33DB5"/>
    <w:rsid w:val="00E33EAF"/>
    <w:rsid w:val="00E342B0"/>
    <w:rsid w:val="00E346AB"/>
    <w:rsid w:val="00E3651C"/>
    <w:rsid w:val="00E36858"/>
    <w:rsid w:val="00E36A11"/>
    <w:rsid w:val="00E36C01"/>
    <w:rsid w:val="00E36C41"/>
    <w:rsid w:val="00E36C8F"/>
    <w:rsid w:val="00E37A0D"/>
    <w:rsid w:val="00E40E76"/>
    <w:rsid w:val="00E41210"/>
    <w:rsid w:val="00E41432"/>
    <w:rsid w:val="00E41876"/>
    <w:rsid w:val="00E4199A"/>
    <w:rsid w:val="00E41B5D"/>
    <w:rsid w:val="00E420E2"/>
    <w:rsid w:val="00E423E6"/>
    <w:rsid w:val="00E42A97"/>
    <w:rsid w:val="00E43189"/>
    <w:rsid w:val="00E4358E"/>
    <w:rsid w:val="00E4397A"/>
    <w:rsid w:val="00E43A74"/>
    <w:rsid w:val="00E44A50"/>
    <w:rsid w:val="00E44B04"/>
    <w:rsid w:val="00E44BB3"/>
    <w:rsid w:val="00E44D62"/>
    <w:rsid w:val="00E45223"/>
    <w:rsid w:val="00E454A6"/>
    <w:rsid w:val="00E4550C"/>
    <w:rsid w:val="00E45BB2"/>
    <w:rsid w:val="00E45F42"/>
    <w:rsid w:val="00E46091"/>
    <w:rsid w:val="00E4677A"/>
    <w:rsid w:val="00E46BF0"/>
    <w:rsid w:val="00E47154"/>
    <w:rsid w:val="00E475D9"/>
    <w:rsid w:val="00E478AA"/>
    <w:rsid w:val="00E509D9"/>
    <w:rsid w:val="00E514ED"/>
    <w:rsid w:val="00E516D7"/>
    <w:rsid w:val="00E51AB8"/>
    <w:rsid w:val="00E51E68"/>
    <w:rsid w:val="00E51EDB"/>
    <w:rsid w:val="00E51FDA"/>
    <w:rsid w:val="00E52068"/>
    <w:rsid w:val="00E5277F"/>
    <w:rsid w:val="00E52A04"/>
    <w:rsid w:val="00E532FD"/>
    <w:rsid w:val="00E53C1A"/>
    <w:rsid w:val="00E53C68"/>
    <w:rsid w:val="00E53D05"/>
    <w:rsid w:val="00E53D27"/>
    <w:rsid w:val="00E5435F"/>
    <w:rsid w:val="00E54993"/>
    <w:rsid w:val="00E552B4"/>
    <w:rsid w:val="00E553EA"/>
    <w:rsid w:val="00E554F3"/>
    <w:rsid w:val="00E55970"/>
    <w:rsid w:val="00E56404"/>
    <w:rsid w:val="00E5700C"/>
    <w:rsid w:val="00E5788D"/>
    <w:rsid w:val="00E5788F"/>
    <w:rsid w:val="00E57A1F"/>
    <w:rsid w:val="00E57D06"/>
    <w:rsid w:val="00E57FAD"/>
    <w:rsid w:val="00E6003F"/>
    <w:rsid w:val="00E60537"/>
    <w:rsid w:val="00E60864"/>
    <w:rsid w:val="00E608CD"/>
    <w:rsid w:val="00E60EAA"/>
    <w:rsid w:val="00E61529"/>
    <w:rsid w:val="00E61A1D"/>
    <w:rsid w:val="00E61F6A"/>
    <w:rsid w:val="00E61FE9"/>
    <w:rsid w:val="00E6215B"/>
    <w:rsid w:val="00E6297A"/>
    <w:rsid w:val="00E62A65"/>
    <w:rsid w:val="00E634EE"/>
    <w:rsid w:val="00E636FB"/>
    <w:rsid w:val="00E645AB"/>
    <w:rsid w:val="00E64676"/>
    <w:rsid w:val="00E650EE"/>
    <w:rsid w:val="00E6545B"/>
    <w:rsid w:val="00E654B2"/>
    <w:rsid w:val="00E65858"/>
    <w:rsid w:val="00E65D23"/>
    <w:rsid w:val="00E661DE"/>
    <w:rsid w:val="00E6683E"/>
    <w:rsid w:val="00E66BC2"/>
    <w:rsid w:val="00E6741D"/>
    <w:rsid w:val="00E67C0C"/>
    <w:rsid w:val="00E70425"/>
    <w:rsid w:val="00E704B3"/>
    <w:rsid w:val="00E70773"/>
    <w:rsid w:val="00E70C0E"/>
    <w:rsid w:val="00E718F8"/>
    <w:rsid w:val="00E72252"/>
    <w:rsid w:val="00E723CF"/>
    <w:rsid w:val="00E723D0"/>
    <w:rsid w:val="00E723D3"/>
    <w:rsid w:val="00E72812"/>
    <w:rsid w:val="00E729B9"/>
    <w:rsid w:val="00E72AB7"/>
    <w:rsid w:val="00E72C7D"/>
    <w:rsid w:val="00E73820"/>
    <w:rsid w:val="00E73AF3"/>
    <w:rsid w:val="00E746CE"/>
    <w:rsid w:val="00E748BD"/>
    <w:rsid w:val="00E75025"/>
    <w:rsid w:val="00E7524B"/>
    <w:rsid w:val="00E7530C"/>
    <w:rsid w:val="00E75438"/>
    <w:rsid w:val="00E75731"/>
    <w:rsid w:val="00E75B24"/>
    <w:rsid w:val="00E75D93"/>
    <w:rsid w:val="00E76BD4"/>
    <w:rsid w:val="00E76BF3"/>
    <w:rsid w:val="00E76D01"/>
    <w:rsid w:val="00E77261"/>
    <w:rsid w:val="00E7737F"/>
    <w:rsid w:val="00E77EA8"/>
    <w:rsid w:val="00E80014"/>
    <w:rsid w:val="00E80D46"/>
    <w:rsid w:val="00E8170F"/>
    <w:rsid w:val="00E817A1"/>
    <w:rsid w:val="00E81CBF"/>
    <w:rsid w:val="00E82095"/>
    <w:rsid w:val="00E825B0"/>
    <w:rsid w:val="00E82C93"/>
    <w:rsid w:val="00E82EDF"/>
    <w:rsid w:val="00E830FF"/>
    <w:rsid w:val="00E831A0"/>
    <w:rsid w:val="00E83238"/>
    <w:rsid w:val="00E8345A"/>
    <w:rsid w:val="00E83893"/>
    <w:rsid w:val="00E83B90"/>
    <w:rsid w:val="00E846D0"/>
    <w:rsid w:val="00E84ECC"/>
    <w:rsid w:val="00E851A1"/>
    <w:rsid w:val="00E8530A"/>
    <w:rsid w:val="00E85F60"/>
    <w:rsid w:val="00E862BC"/>
    <w:rsid w:val="00E86992"/>
    <w:rsid w:val="00E8699D"/>
    <w:rsid w:val="00E86D87"/>
    <w:rsid w:val="00E86F75"/>
    <w:rsid w:val="00E87431"/>
    <w:rsid w:val="00E87D9C"/>
    <w:rsid w:val="00E9029E"/>
    <w:rsid w:val="00E915B1"/>
    <w:rsid w:val="00E9175D"/>
    <w:rsid w:val="00E917A0"/>
    <w:rsid w:val="00E918CC"/>
    <w:rsid w:val="00E91E7C"/>
    <w:rsid w:val="00E92194"/>
    <w:rsid w:val="00E9225D"/>
    <w:rsid w:val="00E92325"/>
    <w:rsid w:val="00E925B5"/>
    <w:rsid w:val="00E92E0E"/>
    <w:rsid w:val="00E92F63"/>
    <w:rsid w:val="00E93646"/>
    <w:rsid w:val="00E93911"/>
    <w:rsid w:val="00E93CAC"/>
    <w:rsid w:val="00E93F9F"/>
    <w:rsid w:val="00E944D7"/>
    <w:rsid w:val="00E946EE"/>
    <w:rsid w:val="00E949B3"/>
    <w:rsid w:val="00E94E77"/>
    <w:rsid w:val="00E95687"/>
    <w:rsid w:val="00E962BD"/>
    <w:rsid w:val="00E96831"/>
    <w:rsid w:val="00E968C7"/>
    <w:rsid w:val="00E97036"/>
    <w:rsid w:val="00E9708D"/>
    <w:rsid w:val="00E97381"/>
    <w:rsid w:val="00E974A6"/>
    <w:rsid w:val="00E97685"/>
    <w:rsid w:val="00E978A7"/>
    <w:rsid w:val="00E97F73"/>
    <w:rsid w:val="00EA034B"/>
    <w:rsid w:val="00EA0390"/>
    <w:rsid w:val="00EA06A8"/>
    <w:rsid w:val="00EA0F41"/>
    <w:rsid w:val="00EA0F84"/>
    <w:rsid w:val="00EA1077"/>
    <w:rsid w:val="00EA1404"/>
    <w:rsid w:val="00EA1F7B"/>
    <w:rsid w:val="00EA21C4"/>
    <w:rsid w:val="00EA235C"/>
    <w:rsid w:val="00EA254A"/>
    <w:rsid w:val="00EA2944"/>
    <w:rsid w:val="00EA2B00"/>
    <w:rsid w:val="00EA34A5"/>
    <w:rsid w:val="00EA3BAD"/>
    <w:rsid w:val="00EA3DC4"/>
    <w:rsid w:val="00EA4575"/>
    <w:rsid w:val="00EA465E"/>
    <w:rsid w:val="00EA4961"/>
    <w:rsid w:val="00EA56F2"/>
    <w:rsid w:val="00EA57C4"/>
    <w:rsid w:val="00EA59C4"/>
    <w:rsid w:val="00EA5BAF"/>
    <w:rsid w:val="00EA5E31"/>
    <w:rsid w:val="00EA602B"/>
    <w:rsid w:val="00EA63AB"/>
    <w:rsid w:val="00EA64FD"/>
    <w:rsid w:val="00EA69C9"/>
    <w:rsid w:val="00EA7284"/>
    <w:rsid w:val="00EA78A8"/>
    <w:rsid w:val="00EA7BCF"/>
    <w:rsid w:val="00EA7D1C"/>
    <w:rsid w:val="00EA7E44"/>
    <w:rsid w:val="00EA7ECE"/>
    <w:rsid w:val="00EB0437"/>
    <w:rsid w:val="00EB0751"/>
    <w:rsid w:val="00EB0CE2"/>
    <w:rsid w:val="00EB1131"/>
    <w:rsid w:val="00EB1257"/>
    <w:rsid w:val="00EB14B0"/>
    <w:rsid w:val="00EB18E6"/>
    <w:rsid w:val="00EB1B15"/>
    <w:rsid w:val="00EB1BAB"/>
    <w:rsid w:val="00EB1E16"/>
    <w:rsid w:val="00EB1F7F"/>
    <w:rsid w:val="00EB2EEF"/>
    <w:rsid w:val="00EB37C1"/>
    <w:rsid w:val="00EB422D"/>
    <w:rsid w:val="00EB45C2"/>
    <w:rsid w:val="00EB5595"/>
    <w:rsid w:val="00EB5D04"/>
    <w:rsid w:val="00EB5DA6"/>
    <w:rsid w:val="00EB5DD8"/>
    <w:rsid w:val="00EB5DDF"/>
    <w:rsid w:val="00EB6454"/>
    <w:rsid w:val="00EB677A"/>
    <w:rsid w:val="00EB712D"/>
    <w:rsid w:val="00EB7491"/>
    <w:rsid w:val="00EB7767"/>
    <w:rsid w:val="00EC0132"/>
    <w:rsid w:val="00EC1156"/>
    <w:rsid w:val="00EC15E5"/>
    <w:rsid w:val="00EC16AF"/>
    <w:rsid w:val="00EC1747"/>
    <w:rsid w:val="00EC1C37"/>
    <w:rsid w:val="00EC1DF0"/>
    <w:rsid w:val="00EC3027"/>
    <w:rsid w:val="00EC33DC"/>
    <w:rsid w:val="00EC35BB"/>
    <w:rsid w:val="00EC3C95"/>
    <w:rsid w:val="00EC3FD3"/>
    <w:rsid w:val="00EC4672"/>
    <w:rsid w:val="00EC489A"/>
    <w:rsid w:val="00EC50D8"/>
    <w:rsid w:val="00EC56B4"/>
    <w:rsid w:val="00EC5DEF"/>
    <w:rsid w:val="00EC61E4"/>
    <w:rsid w:val="00EC66D2"/>
    <w:rsid w:val="00EC6788"/>
    <w:rsid w:val="00EC6CC7"/>
    <w:rsid w:val="00EC6E79"/>
    <w:rsid w:val="00EC7163"/>
    <w:rsid w:val="00EC71B8"/>
    <w:rsid w:val="00EC7E4D"/>
    <w:rsid w:val="00ED055C"/>
    <w:rsid w:val="00ED0D10"/>
    <w:rsid w:val="00ED0DDE"/>
    <w:rsid w:val="00ED1359"/>
    <w:rsid w:val="00ED15F2"/>
    <w:rsid w:val="00ED1902"/>
    <w:rsid w:val="00ED2654"/>
    <w:rsid w:val="00ED275B"/>
    <w:rsid w:val="00ED28C4"/>
    <w:rsid w:val="00ED3093"/>
    <w:rsid w:val="00ED30C1"/>
    <w:rsid w:val="00ED328D"/>
    <w:rsid w:val="00ED383B"/>
    <w:rsid w:val="00ED3C20"/>
    <w:rsid w:val="00ED413F"/>
    <w:rsid w:val="00ED441B"/>
    <w:rsid w:val="00ED4B95"/>
    <w:rsid w:val="00ED4F3B"/>
    <w:rsid w:val="00ED51FD"/>
    <w:rsid w:val="00ED566F"/>
    <w:rsid w:val="00ED5B4D"/>
    <w:rsid w:val="00ED5D21"/>
    <w:rsid w:val="00ED5FD8"/>
    <w:rsid w:val="00ED6211"/>
    <w:rsid w:val="00ED6D77"/>
    <w:rsid w:val="00ED7840"/>
    <w:rsid w:val="00ED7A24"/>
    <w:rsid w:val="00EE0179"/>
    <w:rsid w:val="00EE06DD"/>
    <w:rsid w:val="00EE0D97"/>
    <w:rsid w:val="00EE0E99"/>
    <w:rsid w:val="00EE10FC"/>
    <w:rsid w:val="00EE119A"/>
    <w:rsid w:val="00EE189F"/>
    <w:rsid w:val="00EE24DA"/>
    <w:rsid w:val="00EE26E8"/>
    <w:rsid w:val="00EE27B8"/>
    <w:rsid w:val="00EE2B3D"/>
    <w:rsid w:val="00EE2BF1"/>
    <w:rsid w:val="00EE34D7"/>
    <w:rsid w:val="00EE3C39"/>
    <w:rsid w:val="00EE4506"/>
    <w:rsid w:val="00EE457A"/>
    <w:rsid w:val="00EE4AF0"/>
    <w:rsid w:val="00EE4C05"/>
    <w:rsid w:val="00EE53AE"/>
    <w:rsid w:val="00EE54CC"/>
    <w:rsid w:val="00EE56E1"/>
    <w:rsid w:val="00EE56F2"/>
    <w:rsid w:val="00EE6069"/>
    <w:rsid w:val="00EE616F"/>
    <w:rsid w:val="00EE627C"/>
    <w:rsid w:val="00EE62FC"/>
    <w:rsid w:val="00EE641D"/>
    <w:rsid w:val="00EE6A98"/>
    <w:rsid w:val="00EE6BED"/>
    <w:rsid w:val="00EE6EFA"/>
    <w:rsid w:val="00EE6F17"/>
    <w:rsid w:val="00EE7CFB"/>
    <w:rsid w:val="00EF040B"/>
    <w:rsid w:val="00EF10C8"/>
    <w:rsid w:val="00EF17FB"/>
    <w:rsid w:val="00EF18E0"/>
    <w:rsid w:val="00EF1E4E"/>
    <w:rsid w:val="00EF261C"/>
    <w:rsid w:val="00EF26D2"/>
    <w:rsid w:val="00EF28FE"/>
    <w:rsid w:val="00EF2C09"/>
    <w:rsid w:val="00EF301F"/>
    <w:rsid w:val="00EF30C8"/>
    <w:rsid w:val="00EF3B32"/>
    <w:rsid w:val="00EF3E09"/>
    <w:rsid w:val="00EF40F2"/>
    <w:rsid w:val="00EF44AD"/>
    <w:rsid w:val="00EF48EF"/>
    <w:rsid w:val="00EF4C2C"/>
    <w:rsid w:val="00EF5087"/>
    <w:rsid w:val="00EF56FA"/>
    <w:rsid w:val="00EF57B8"/>
    <w:rsid w:val="00EF59DE"/>
    <w:rsid w:val="00EF5DE5"/>
    <w:rsid w:val="00EF60BB"/>
    <w:rsid w:val="00EF60C1"/>
    <w:rsid w:val="00EF6846"/>
    <w:rsid w:val="00EF6E99"/>
    <w:rsid w:val="00EF71FF"/>
    <w:rsid w:val="00EF742C"/>
    <w:rsid w:val="00EF7608"/>
    <w:rsid w:val="00EF76D5"/>
    <w:rsid w:val="00EF7725"/>
    <w:rsid w:val="00EF7927"/>
    <w:rsid w:val="00F00005"/>
    <w:rsid w:val="00F001B2"/>
    <w:rsid w:val="00F004BD"/>
    <w:rsid w:val="00F0163F"/>
    <w:rsid w:val="00F01A1E"/>
    <w:rsid w:val="00F01E14"/>
    <w:rsid w:val="00F0202E"/>
    <w:rsid w:val="00F02180"/>
    <w:rsid w:val="00F021CE"/>
    <w:rsid w:val="00F028CE"/>
    <w:rsid w:val="00F02927"/>
    <w:rsid w:val="00F02DAE"/>
    <w:rsid w:val="00F036AC"/>
    <w:rsid w:val="00F03A12"/>
    <w:rsid w:val="00F03A40"/>
    <w:rsid w:val="00F041E5"/>
    <w:rsid w:val="00F0421E"/>
    <w:rsid w:val="00F044B6"/>
    <w:rsid w:val="00F04A9B"/>
    <w:rsid w:val="00F04D0B"/>
    <w:rsid w:val="00F050CF"/>
    <w:rsid w:val="00F051C5"/>
    <w:rsid w:val="00F05303"/>
    <w:rsid w:val="00F057E3"/>
    <w:rsid w:val="00F05C81"/>
    <w:rsid w:val="00F05E02"/>
    <w:rsid w:val="00F06D56"/>
    <w:rsid w:val="00F06D7B"/>
    <w:rsid w:val="00F06FA2"/>
    <w:rsid w:val="00F0717D"/>
    <w:rsid w:val="00F10D9D"/>
    <w:rsid w:val="00F1100B"/>
    <w:rsid w:val="00F11032"/>
    <w:rsid w:val="00F11384"/>
    <w:rsid w:val="00F114FB"/>
    <w:rsid w:val="00F1159C"/>
    <w:rsid w:val="00F11B47"/>
    <w:rsid w:val="00F1222C"/>
    <w:rsid w:val="00F12407"/>
    <w:rsid w:val="00F124B9"/>
    <w:rsid w:val="00F12F54"/>
    <w:rsid w:val="00F13147"/>
    <w:rsid w:val="00F131E8"/>
    <w:rsid w:val="00F13451"/>
    <w:rsid w:val="00F13659"/>
    <w:rsid w:val="00F1374E"/>
    <w:rsid w:val="00F144D5"/>
    <w:rsid w:val="00F14E32"/>
    <w:rsid w:val="00F154FB"/>
    <w:rsid w:val="00F156BE"/>
    <w:rsid w:val="00F15B20"/>
    <w:rsid w:val="00F1609E"/>
    <w:rsid w:val="00F1677F"/>
    <w:rsid w:val="00F16CD4"/>
    <w:rsid w:val="00F177AB"/>
    <w:rsid w:val="00F17CC8"/>
    <w:rsid w:val="00F17D0B"/>
    <w:rsid w:val="00F2033B"/>
    <w:rsid w:val="00F20F59"/>
    <w:rsid w:val="00F21C2B"/>
    <w:rsid w:val="00F21EA4"/>
    <w:rsid w:val="00F21F77"/>
    <w:rsid w:val="00F21FE8"/>
    <w:rsid w:val="00F22123"/>
    <w:rsid w:val="00F2212F"/>
    <w:rsid w:val="00F22446"/>
    <w:rsid w:val="00F22638"/>
    <w:rsid w:val="00F2273F"/>
    <w:rsid w:val="00F23425"/>
    <w:rsid w:val="00F242BD"/>
    <w:rsid w:val="00F24973"/>
    <w:rsid w:val="00F2497F"/>
    <w:rsid w:val="00F24EC9"/>
    <w:rsid w:val="00F24F4F"/>
    <w:rsid w:val="00F250CA"/>
    <w:rsid w:val="00F25AAD"/>
    <w:rsid w:val="00F25CE7"/>
    <w:rsid w:val="00F2616A"/>
    <w:rsid w:val="00F26434"/>
    <w:rsid w:val="00F26B91"/>
    <w:rsid w:val="00F27075"/>
    <w:rsid w:val="00F27168"/>
    <w:rsid w:val="00F2729C"/>
    <w:rsid w:val="00F27309"/>
    <w:rsid w:val="00F2738F"/>
    <w:rsid w:val="00F275F1"/>
    <w:rsid w:val="00F27B69"/>
    <w:rsid w:val="00F300A1"/>
    <w:rsid w:val="00F304D4"/>
    <w:rsid w:val="00F30576"/>
    <w:rsid w:val="00F309C4"/>
    <w:rsid w:val="00F311D0"/>
    <w:rsid w:val="00F31209"/>
    <w:rsid w:val="00F3191F"/>
    <w:rsid w:val="00F31D55"/>
    <w:rsid w:val="00F3222A"/>
    <w:rsid w:val="00F3243D"/>
    <w:rsid w:val="00F3258F"/>
    <w:rsid w:val="00F325DD"/>
    <w:rsid w:val="00F32689"/>
    <w:rsid w:val="00F32721"/>
    <w:rsid w:val="00F32A65"/>
    <w:rsid w:val="00F32FFD"/>
    <w:rsid w:val="00F333C5"/>
    <w:rsid w:val="00F33A56"/>
    <w:rsid w:val="00F33C68"/>
    <w:rsid w:val="00F3433F"/>
    <w:rsid w:val="00F3500B"/>
    <w:rsid w:val="00F351C1"/>
    <w:rsid w:val="00F35477"/>
    <w:rsid w:val="00F35DDA"/>
    <w:rsid w:val="00F35F84"/>
    <w:rsid w:val="00F36059"/>
    <w:rsid w:val="00F3644F"/>
    <w:rsid w:val="00F36516"/>
    <w:rsid w:val="00F36518"/>
    <w:rsid w:val="00F368B4"/>
    <w:rsid w:val="00F36B20"/>
    <w:rsid w:val="00F36C65"/>
    <w:rsid w:val="00F3755A"/>
    <w:rsid w:val="00F37729"/>
    <w:rsid w:val="00F3793E"/>
    <w:rsid w:val="00F37D11"/>
    <w:rsid w:val="00F37DC9"/>
    <w:rsid w:val="00F37F12"/>
    <w:rsid w:val="00F40390"/>
    <w:rsid w:val="00F40741"/>
    <w:rsid w:val="00F40DAE"/>
    <w:rsid w:val="00F41620"/>
    <w:rsid w:val="00F41911"/>
    <w:rsid w:val="00F41E48"/>
    <w:rsid w:val="00F42419"/>
    <w:rsid w:val="00F427B2"/>
    <w:rsid w:val="00F42B81"/>
    <w:rsid w:val="00F4325E"/>
    <w:rsid w:val="00F4391F"/>
    <w:rsid w:val="00F43BD5"/>
    <w:rsid w:val="00F441D2"/>
    <w:rsid w:val="00F4445C"/>
    <w:rsid w:val="00F4461D"/>
    <w:rsid w:val="00F449F3"/>
    <w:rsid w:val="00F44A9B"/>
    <w:rsid w:val="00F44C9F"/>
    <w:rsid w:val="00F44CEA"/>
    <w:rsid w:val="00F450BE"/>
    <w:rsid w:val="00F4547B"/>
    <w:rsid w:val="00F45687"/>
    <w:rsid w:val="00F46800"/>
    <w:rsid w:val="00F4680E"/>
    <w:rsid w:val="00F46899"/>
    <w:rsid w:val="00F46AA3"/>
    <w:rsid w:val="00F47434"/>
    <w:rsid w:val="00F47443"/>
    <w:rsid w:val="00F47569"/>
    <w:rsid w:val="00F47EC9"/>
    <w:rsid w:val="00F501F2"/>
    <w:rsid w:val="00F50601"/>
    <w:rsid w:val="00F50A2F"/>
    <w:rsid w:val="00F5117A"/>
    <w:rsid w:val="00F514FC"/>
    <w:rsid w:val="00F51529"/>
    <w:rsid w:val="00F51726"/>
    <w:rsid w:val="00F519FF"/>
    <w:rsid w:val="00F51F3F"/>
    <w:rsid w:val="00F52004"/>
    <w:rsid w:val="00F520F4"/>
    <w:rsid w:val="00F528B5"/>
    <w:rsid w:val="00F52EB1"/>
    <w:rsid w:val="00F53216"/>
    <w:rsid w:val="00F5330C"/>
    <w:rsid w:val="00F538CE"/>
    <w:rsid w:val="00F53932"/>
    <w:rsid w:val="00F53998"/>
    <w:rsid w:val="00F53B4B"/>
    <w:rsid w:val="00F53F98"/>
    <w:rsid w:val="00F54647"/>
    <w:rsid w:val="00F54E7E"/>
    <w:rsid w:val="00F5588E"/>
    <w:rsid w:val="00F56BE7"/>
    <w:rsid w:val="00F57582"/>
    <w:rsid w:val="00F57B6F"/>
    <w:rsid w:val="00F57E09"/>
    <w:rsid w:val="00F60283"/>
    <w:rsid w:val="00F60670"/>
    <w:rsid w:val="00F60B7A"/>
    <w:rsid w:val="00F60D34"/>
    <w:rsid w:val="00F6158E"/>
    <w:rsid w:val="00F633E8"/>
    <w:rsid w:val="00F638BB"/>
    <w:rsid w:val="00F64693"/>
    <w:rsid w:val="00F649BB"/>
    <w:rsid w:val="00F650A5"/>
    <w:rsid w:val="00F65492"/>
    <w:rsid w:val="00F657F4"/>
    <w:rsid w:val="00F65A6E"/>
    <w:rsid w:val="00F66251"/>
    <w:rsid w:val="00F66785"/>
    <w:rsid w:val="00F66948"/>
    <w:rsid w:val="00F669D3"/>
    <w:rsid w:val="00F66E63"/>
    <w:rsid w:val="00F675A1"/>
    <w:rsid w:val="00F67AED"/>
    <w:rsid w:val="00F67E2F"/>
    <w:rsid w:val="00F700F5"/>
    <w:rsid w:val="00F70CFD"/>
    <w:rsid w:val="00F70DBF"/>
    <w:rsid w:val="00F71A3A"/>
    <w:rsid w:val="00F725B4"/>
    <w:rsid w:val="00F72617"/>
    <w:rsid w:val="00F72709"/>
    <w:rsid w:val="00F7300D"/>
    <w:rsid w:val="00F73773"/>
    <w:rsid w:val="00F737E5"/>
    <w:rsid w:val="00F738A9"/>
    <w:rsid w:val="00F73F61"/>
    <w:rsid w:val="00F750B0"/>
    <w:rsid w:val="00F75166"/>
    <w:rsid w:val="00F757FF"/>
    <w:rsid w:val="00F760FF"/>
    <w:rsid w:val="00F7727B"/>
    <w:rsid w:val="00F77E8D"/>
    <w:rsid w:val="00F80322"/>
    <w:rsid w:val="00F80996"/>
    <w:rsid w:val="00F80D47"/>
    <w:rsid w:val="00F80EEC"/>
    <w:rsid w:val="00F81125"/>
    <w:rsid w:val="00F8164E"/>
    <w:rsid w:val="00F817C7"/>
    <w:rsid w:val="00F818A5"/>
    <w:rsid w:val="00F81CDB"/>
    <w:rsid w:val="00F81E85"/>
    <w:rsid w:val="00F8224F"/>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AA"/>
    <w:rsid w:val="00F853D2"/>
    <w:rsid w:val="00F8559F"/>
    <w:rsid w:val="00F85831"/>
    <w:rsid w:val="00F85E5A"/>
    <w:rsid w:val="00F8654A"/>
    <w:rsid w:val="00F869D0"/>
    <w:rsid w:val="00F86B2A"/>
    <w:rsid w:val="00F86C6F"/>
    <w:rsid w:val="00F86D96"/>
    <w:rsid w:val="00F86DC7"/>
    <w:rsid w:val="00F87066"/>
    <w:rsid w:val="00F87082"/>
    <w:rsid w:val="00F87127"/>
    <w:rsid w:val="00F875FA"/>
    <w:rsid w:val="00F879B8"/>
    <w:rsid w:val="00F87A33"/>
    <w:rsid w:val="00F87BF0"/>
    <w:rsid w:val="00F9012A"/>
    <w:rsid w:val="00F90DFF"/>
    <w:rsid w:val="00F90E68"/>
    <w:rsid w:val="00F90EFE"/>
    <w:rsid w:val="00F90F95"/>
    <w:rsid w:val="00F9125D"/>
    <w:rsid w:val="00F91746"/>
    <w:rsid w:val="00F91AB1"/>
    <w:rsid w:val="00F91BE7"/>
    <w:rsid w:val="00F92021"/>
    <w:rsid w:val="00F92031"/>
    <w:rsid w:val="00F9271F"/>
    <w:rsid w:val="00F929CB"/>
    <w:rsid w:val="00F929F7"/>
    <w:rsid w:val="00F92F22"/>
    <w:rsid w:val="00F93038"/>
    <w:rsid w:val="00F9303A"/>
    <w:rsid w:val="00F9473E"/>
    <w:rsid w:val="00F94887"/>
    <w:rsid w:val="00F94B84"/>
    <w:rsid w:val="00F96163"/>
    <w:rsid w:val="00F962FC"/>
    <w:rsid w:val="00F96611"/>
    <w:rsid w:val="00F96C8D"/>
    <w:rsid w:val="00F9710E"/>
    <w:rsid w:val="00F975DF"/>
    <w:rsid w:val="00FA0083"/>
    <w:rsid w:val="00FA0089"/>
    <w:rsid w:val="00FA01D8"/>
    <w:rsid w:val="00FA09B1"/>
    <w:rsid w:val="00FA1BAD"/>
    <w:rsid w:val="00FA1CA4"/>
    <w:rsid w:val="00FA2647"/>
    <w:rsid w:val="00FA2990"/>
    <w:rsid w:val="00FA3964"/>
    <w:rsid w:val="00FA3C2E"/>
    <w:rsid w:val="00FA3CB1"/>
    <w:rsid w:val="00FA43E0"/>
    <w:rsid w:val="00FA4966"/>
    <w:rsid w:val="00FA4E30"/>
    <w:rsid w:val="00FA5041"/>
    <w:rsid w:val="00FA5459"/>
    <w:rsid w:val="00FA558B"/>
    <w:rsid w:val="00FA58B3"/>
    <w:rsid w:val="00FA5CD4"/>
    <w:rsid w:val="00FA5DFA"/>
    <w:rsid w:val="00FA5E6A"/>
    <w:rsid w:val="00FA6049"/>
    <w:rsid w:val="00FA60EF"/>
    <w:rsid w:val="00FA6888"/>
    <w:rsid w:val="00FA7A0B"/>
    <w:rsid w:val="00FA7E4B"/>
    <w:rsid w:val="00FB04D9"/>
    <w:rsid w:val="00FB09AD"/>
    <w:rsid w:val="00FB0A45"/>
    <w:rsid w:val="00FB0E48"/>
    <w:rsid w:val="00FB0EE7"/>
    <w:rsid w:val="00FB0F4E"/>
    <w:rsid w:val="00FB10EE"/>
    <w:rsid w:val="00FB1282"/>
    <w:rsid w:val="00FB1631"/>
    <w:rsid w:val="00FB1BE1"/>
    <w:rsid w:val="00FB2B57"/>
    <w:rsid w:val="00FB2BEA"/>
    <w:rsid w:val="00FB2E6E"/>
    <w:rsid w:val="00FB328F"/>
    <w:rsid w:val="00FB329C"/>
    <w:rsid w:val="00FB3498"/>
    <w:rsid w:val="00FB4C8F"/>
    <w:rsid w:val="00FB4CF5"/>
    <w:rsid w:val="00FB4F8A"/>
    <w:rsid w:val="00FB4FF9"/>
    <w:rsid w:val="00FB528D"/>
    <w:rsid w:val="00FB58BC"/>
    <w:rsid w:val="00FB6318"/>
    <w:rsid w:val="00FB654C"/>
    <w:rsid w:val="00FB68CB"/>
    <w:rsid w:val="00FB6BE0"/>
    <w:rsid w:val="00FB6ECC"/>
    <w:rsid w:val="00FB79DB"/>
    <w:rsid w:val="00FB7FB8"/>
    <w:rsid w:val="00FC0235"/>
    <w:rsid w:val="00FC052B"/>
    <w:rsid w:val="00FC071F"/>
    <w:rsid w:val="00FC0F5B"/>
    <w:rsid w:val="00FC14F3"/>
    <w:rsid w:val="00FC168D"/>
    <w:rsid w:val="00FC1C01"/>
    <w:rsid w:val="00FC2075"/>
    <w:rsid w:val="00FC2ACA"/>
    <w:rsid w:val="00FC303E"/>
    <w:rsid w:val="00FC37F2"/>
    <w:rsid w:val="00FC3BEB"/>
    <w:rsid w:val="00FC40AA"/>
    <w:rsid w:val="00FC412E"/>
    <w:rsid w:val="00FC4210"/>
    <w:rsid w:val="00FC57A9"/>
    <w:rsid w:val="00FC5813"/>
    <w:rsid w:val="00FC6020"/>
    <w:rsid w:val="00FC63E8"/>
    <w:rsid w:val="00FC6BC9"/>
    <w:rsid w:val="00FC7008"/>
    <w:rsid w:val="00FC73CA"/>
    <w:rsid w:val="00FC752E"/>
    <w:rsid w:val="00FC7DD0"/>
    <w:rsid w:val="00FC7E57"/>
    <w:rsid w:val="00FC7E63"/>
    <w:rsid w:val="00FD06A2"/>
    <w:rsid w:val="00FD06AE"/>
    <w:rsid w:val="00FD0A65"/>
    <w:rsid w:val="00FD109C"/>
    <w:rsid w:val="00FD17E7"/>
    <w:rsid w:val="00FD187C"/>
    <w:rsid w:val="00FD1D5B"/>
    <w:rsid w:val="00FD1D88"/>
    <w:rsid w:val="00FD21E0"/>
    <w:rsid w:val="00FD31AA"/>
    <w:rsid w:val="00FD3551"/>
    <w:rsid w:val="00FD3A82"/>
    <w:rsid w:val="00FD3BC1"/>
    <w:rsid w:val="00FD3C67"/>
    <w:rsid w:val="00FD3E3F"/>
    <w:rsid w:val="00FD40E6"/>
    <w:rsid w:val="00FD4123"/>
    <w:rsid w:val="00FD4C1E"/>
    <w:rsid w:val="00FD4C1F"/>
    <w:rsid w:val="00FD4C47"/>
    <w:rsid w:val="00FD50C5"/>
    <w:rsid w:val="00FD5683"/>
    <w:rsid w:val="00FD65E7"/>
    <w:rsid w:val="00FD6CA5"/>
    <w:rsid w:val="00FD6E47"/>
    <w:rsid w:val="00FD714F"/>
    <w:rsid w:val="00FD74A7"/>
    <w:rsid w:val="00FD7518"/>
    <w:rsid w:val="00FD75FA"/>
    <w:rsid w:val="00FD7866"/>
    <w:rsid w:val="00FE003F"/>
    <w:rsid w:val="00FE024A"/>
    <w:rsid w:val="00FE0386"/>
    <w:rsid w:val="00FE051E"/>
    <w:rsid w:val="00FE058F"/>
    <w:rsid w:val="00FE060B"/>
    <w:rsid w:val="00FE0DEA"/>
    <w:rsid w:val="00FE0F72"/>
    <w:rsid w:val="00FE1099"/>
    <w:rsid w:val="00FE11D7"/>
    <w:rsid w:val="00FE1D19"/>
    <w:rsid w:val="00FE270E"/>
    <w:rsid w:val="00FE2822"/>
    <w:rsid w:val="00FE2F98"/>
    <w:rsid w:val="00FE3242"/>
    <w:rsid w:val="00FE38D5"/>
    <w:rsid w:val="00FE3BA2"/>
    <w:rsid w:val="00FE424E"/>
    <w:rsid w:val="00FE48DA"/>
    <w:rsid w:val="00FE4955"/>
    <w:rsid w:val="00FE4AD4"/>
    <w:rsid w:val="00FE536F"/>
    <w:rsid w:val="00FE5628"/>
    <w:rsid w:val="00FE5C3C"/>
    <w:rsid w:val="00FE6118"/>
    <w:rsid w:val="00FE6669"/>
    <w:rsid w:val="00FE6DEE"/>
    <w:rsid w:val="00FE7960"/>
    <w:rsid w:val="00FE7BF1"/>
    <w:rsid w:val="00FF032C"/>
    <w:rsid w:val="00FF03F2"/>
    <w:rsid w:val="00FF0554"/>
    <w:rsid w:val="00FF0845"/>
    <w:rsid w:val="00FF0FD8"/>
    <w:rsid w:val="00FF105A"/>
    <w:rsid w:val="00FF1588"/>
    <w:rsid w:val="00FF1797"/>
    <w:rsid w:val="00FF1DE6"/>
    <w:rsid w:val="00FF1EB9"/>
    <w:rsid w:val="00FF2900"/>
    <w:rsid w:val="00FF29C4"/>
    <w:rsid w:val="00FF32D7"/>
    <w:rsid w:val="00FF33DE"/>
    <w:rsid w:val="00FF44F5"/>
    <w:rsid w:val="00FF4832"/>
    <w:rsid w:val="00FF5022"/>
    <w:rsid w:val="00FF5244"/>
    <w:rsid w:val="00FF55C8"/>
    <w:rsid w:val="00FF55DF"/>
    <w:rsid w:val="00FF5A9E"/>
    <w:rsid w:val="00FF5CB8"/>
    <w:rsid w:val="00FF684F"/>
    <w:rsid w:val="00FF6DC9"/>
    <w:rsid w:val="00FF6E9D"/>
    <w:rsid w:val="00FF741E"/>
    <w:rsid w:val="00FF748F"/>
    <w:rsid w:val="00FF7582"/>
    <w:rsid w:val="00FF75BC"/>
    <w:rsid w:val="00FF7904"/>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FC4AF"/>
  <w15:docId w15:val="{FBEE3B90-8D6A-4523-AD41-D9B70A8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 w:type="character" w:customStyle="1" w:styleId="UnresolvedMention7">
    <w:name w:val="Unresolved Mention7"/>
    <w:basedOn w:val="DefaultParagraphFont"/>
    <w:uiPriority w:val="99"/>
    <w:semiHidden/>
    <w:unhideWhenUsed/>
    <w:rsid w:val="005F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3670">
      <w:bodyDiv w:val="1"/>
      <w:marLeft w:val="0"/>
      <w:marRight w:val="0"/>
      <w:marTop w:val="0"/>
      <w:marBottom w:val="0"/>
      <w:divBdr>
        <w:top w:val="none" w:sz="0" w:space="0" w:color="auto"/>
        <w:left w:val="none" w:sz="0" w:space="0" w:color="auto"/>
        <w:bottom w:val="none" w:sz="0" w:space="0" w:color="auto"/>
        <w:right w:val="none" w:sz="0" w:space="0" w:color="auto"/>
      </w:divBdr>
    </w:div>
    <w:div w:id="251428116">
      <w:bodyDiv w:val="1"/>
      <w:marLeft w:val="0"/>
      <w:marRight w:val="0"/>
      <w:marTop w:val="0"/>
      <w:marBottom w:val="0"/>
      <w:divBdr>
        <w:top w:val="none" w:sz="0" w:space="0" w:color="auto"/>
        <w:left w:val="none" w:sz="0" w:space="0" w:color="auto"/>
        <w:bottom w:val="none" w:sz="0" w:space="0" w:color="auto"/>
        <w:right w:val="none" w:sz="0" w:space="0" w:color="auto"/>
      </w:divBdr>
    </w:div>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191649078">
          <w:marLeft w:val="1134"/>
          <w:marRight w:val="0"/>
          <w:marTop w:val="60"/>
          <w:marBottom w:val="0"/>
          <w:divBdr>
            <w:top w:val="none" w:sz="0" w:space="0" w:color="auto"/>
            <w:left w:val="none" w:sz="0" w:space="0" w:color="auto"/>
            <w:bottom w:val="none" w:sz="0" w:space="0" w:color="auto"/>
            <w:right w:val="none" w:sz="0" w:space="0" w:color="auto"/>
          </w:divBdr>
        </w:div>
        <w:div w:id="346951066">
          <w:marLeft w:val="0"/>
          <w:marRight w:val="0"/>
          <w:marTop w:val="12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139227450">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2040667049">
          <w:marLeft w:val="0"/>
          <w:marRight w:val="0"/>
          <w:marTop w:val="12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58602072">
          <w:marLeft w:val="1134"/>
          <w:marRight w:val="0"/>
          <w:marTop w:val="60"/>
          <w:marBottom w:val="0"/>
          <w:divBdr>
            <w:top w:val="none" w:sz="0" w:space="0" w:color="auto"/>
            <w:left w:val="none" w:sz="0" w:space="0" w:color="auto"/>
            <w:bottom w:val="none" w:sz="0" w:space="0" w:color="auto"/>
            <w:right w:val="none" w:sz="0" w:space="0" w:color="auto"/>
          </w:divBdr>
        </w:div>
        <w:div w:id="604075299">
          <w:marLeft w:val="0"/>
          <w:marRight w:val="0"/>
          <w:marTop w:val="12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27799789">
      <w:bodyDiv w:val="1"/>
      <w:marLeft w:val="0"/>
      <w:marRight w:val="0"/>
      <w:marTop w:val="0"/>
      <w:marBottom w:val="0"/>
      <w:divBdr>
        <w:top w:val="none" w:sz="0" w:space="0" w:color="auto"/>
        <w:left w:val="none" w:sz="0" w:space="0" w:color="auto"/>
        <w:bottom w:val="none" w:sz="0" w:space="0" w:color="auto"/>
        <w:right w:val="none" w:sz="0" w:space="0" w:color="auto"/>
      </w:divBdr>
    </w:div>
    <w:div w:id="777875903">
      <w:bodyDiv w:val="1"/>
      <w:marLeft w:val="0"/>
      <w:marRight w:val="0"/>
      <w:marTop w:val="0"/>
      <w:marBottom w:val="0"/>
      <w:divBdr>
        <w:top w:val="none" w:sz="0" w:space="0" w:color="auto"/>
        <w:left w:val="none" w:sz="0" w:space="0" w:color="auto"/>
        <w:bottom w:val="none" w:sz="0" w:space="0" w:color="auto"/>
        <w:right w:val="none" w:sz="0" w:space="0" w:color="auto"/>
      </w:divBdr>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99976114">
          <w:marLeft w:val="1134"/>
          <w:marRight w:val="0"/>
          <w:marTop w:val="6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745909386">
          <w:marLeft w:val="0"/>
          <w:marRight w:val="0"/>
          <w:marTop w:val="12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360085840">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 w:id="1946035917">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5">
          <w:marLeft w:val="1134"/>
          <w:marRight w:val="0"/>
          <w:marTop w:val="6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1647080547">
          <w:marLeft w:val="0"/>
          <w:marRight w:val="0"/>
          <w:marTop w:val="12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1140461633">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1891185916">
      <w:bodyDiv w:val="1"/>
      <w:marLeft w:val="0"/>
      <w:marRight w:val="0"/>
      <w:marTop w:val="0"/>
      <w:marBottom w:val="0"/>
      <w:divBdr>
        <w:top w:val="none" w:sz="0" w:space="0" w:color="auto"/>
        <w:left w:val="none" w:sz="0" w:space="0" w:color="auto"/>
        <w:bottom w:val="none" w:sz="0" w:space="0" w:color="auto"/>
        <w:right w:val="none" w:sz="0" w:space="0" w:color="auto"/>
      </w:divBdr>
      <w:divsChild>
        <w:div w:id="1553807083">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tymonline.com/search?q=crax" TargetMode="External"/><Relationship Id="rId2" Type="http://schemas.openxmlformats.org/officeDocument/2006/relationships/hyperlink" Target="https://dictionary.cambridge.org/spellcheck/english/?q=crax" TargetMode="External"/><Relationship Id="rId1" Type="http://schemas.openxmlformats.org/officeDocument/2006/relationships/hyperlink" Target="https://journals.co.za/doi/pdf/10.10520/AJA00104051_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6826-2D95-4366-A551-4841670F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TGorven@gmail.com</dc:creator>
  <cp:keywords/>
  <dc:description/>
  <cp:lastModifiedBy>Mokone</cp:lastModifiedBy>
  <cp:revision>2</cp:revision>
  <cp:lastPrinted>2023-06-09T07:08:00Z</cp:lastPrinted>
  <dcterms:created xsi:type="dcterms:W3CDTF">2023-06-12T14:27:00Z</dcterms:created>
  <dcterms:modified xsi:type="dcterms:W3CDTF">2023-06-12T14:27:00Z</dcterms:modified>
</cp:coreProperties>
</file>