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D340B" w14:textId="77777777" w:rsidR="00AF18FD" w:rsidRDefault="00AF18FD" w:rsidP="00AF18FD">
      <w:pPr>
        <w:jc w:val="center"/>
        <w:rPr>
          <w:b/>
          <w:bCs/>
          <w:sz w:val="28"/>
          <w:szCs w:val="28"/>
        </w:rPr>
      </w:pPr>
    </w:p>
    <w:p w14:paraId="1C224BDC" w14:textId="77777777" w:rsidR="00AF18FD" w:rsidRDefault="00AF18FD" w:rsidP="00AF18FD">
      <w:pPr>
        <w:jc w:val="center"/>
        <w:rPr>
          <w:b/>
          <w:bCs/>
          <w:sz w:val="28"/>
          <w:szCs w:val="28"/>
        </w:rPr>
      </w:pPr>
      <w:r>
        <w:rPr>
          <w:noProof/>
          <w:lang w:val="en-US"/>
        </w:rPr>
        <w:drawing>
          <wp:anchor distT="0" distB="0" distL="114300" distR="114300" simplePos="0" relativeHeight="251659264" behindDoc="0" locked="0" layoutInCell="1" allowOverlap="1" wp14:anchorId="5F2CDA23" wp14:editId="56B96693">
            <wp:simplePos x="0" y="0"/>
            <wp:positionH relativeFrom="column">
              <wp:align>center</wp:align>
            </wp:positionH>
            <wp:positionV relativeFrom="paragraph">
              <wp:posOffset>-683895</wp:posOffset>
            </wp:positionV>
            <wp:extent cx="800100" cy="914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6AC503CC" w14:textId="77777777" w:rsidR="00AF18FD" w:rsidRDefault="00AF18FD" w:rsidP="00AF18FD">
      <w:pPr>
        <w:spacing w:line="360" w:lineRule="auto"/>
        <w:jc w:val="center"/>
        <w:rPr>
          <w:b/>
          <w:bCs/>
          <w:sz w:val="28"/>
          <w:szCs w:val="28"/>
        </w:rPr>
      </w:pPr>
    </w:p>
    <w:p w14:paraId="232F90E3" w14:textId="77777777" w:rsidR="00AF18FD" w:rsidRDefault="00AF18FD" w:rsidP="00AF18FD">
      <w:pPr>
        <w:spacing w:line="360" w:lineRule="auto"/>
        <w:jc w:val="center"/>
        <w:rPr>
          <w:b/>
          <w:bCs/>
          <w:sz w:val="28"/>
          <w:szCs w:val="28"/>
        </w:rPr>
      </w:pPr>
    </w:p>
    <w:p w14:paraId="72D61DF7" w14:textId="77777777" w:rsidR="00AF18FD" w:rsidRDefault="00AF18FD" w:rsidP="00AF18FD">
      <w:pPr>
        <w:spacing w:line="360" w:lineRule="auto"/>
        <w:jc w:val="center"/>
        <w:rPr>
          <w:b/>
          <w:bCs/>
          <w:sz w:val="28"/>
          <w:szCs w:val="28"/>
        </w:rPr>
      </w:pPr>
      <w:r>
        <w:rPr>
          <w:b/>
          <w:bCs/>
          <w:sz w:val="28"/>
          <w:szCs w:val="28"/>
        </w:rPr>
        <w:t>THE SUPREME COURT OF APPEAL OF SOUTH AFRICA</w:t>
      </w:r>
    </w:p>
    <w:p w14:paraId="1B489434" w14:textId="77777777" w:rsidR="00AF18FD" w:rsidRDefault="00AF18FD" w:rsidP="00AF18FD">
      <w:pPr>
        <w:pStyle w:val="Heading3"/>
        <w:jc w:val="center"/>
        <w:rPr>
          <w:rFonts w:ascii="Times New Roman" w:hAnsi="Times New Roman" w:cs="Times New Roman"/>
          <w:b/>
          <w:i w:val="0"/>
          <w:szCs w:val="28"/>
        </w:rPr>
      </w:pPr>
      <w:r>
        <w:rPr>
          <w:rFonts w:ascii="Times New Roman" w:hAnsi="Times New Roman" w:cs="Times New Roman"/>
          <w:b/>
          <w:i w:val="0"/>
          <w:szCs w:val="28"/>
        </w:rPr>
        <w:t>JUDGMENT</w:t>
      </w:r>
    </w:p>
    <w:p w14:paraId="4A6A51F3" w14:textId="77777777" w:rsidR="00AF18FD" w:rsidRDefault="00AF18FD" w:rsidP="00AF18FD">
      <w:pPr>
        <w:spacing w:line="360" w:lineRule="auto"/>
        <w:jc w:val="center"/>
        <w:rPr>
          <w:b/>
          <w:bCs/>
          <w:sz w:val="28"/>
          <w:szCs w:val="28"/>
        </w:rPr>
      </w:pPr>
      <w:r>
        <w:rPr>
          <w:sz w:val="28"/>
          <w:szCs w:val="28"/>
        </w:rPr>
        <w:tab/>
      </w:r>
    </w:p>
    <w:p w14:paraId="6BD6C6EB" w14:textId="185C3F71" w:rsidR="00AF18FD" w:rsidRDefault="00AF18FD" w:rsidP="00AF18FD">
      <w:pPr>
        <w:spacing w:line="360" w:lineRule="auto"/>
        <w:jc w:val="right"/>
        <w:rPr>
          <w:b/>
          <w:sz w:val="28"/>
          <w:szCs w:val="28"/>
        </w:rPr>
      </w:pPr>
      <w:r>
        <w:rPr>
          <w:b/>
          <w:sz w:val="28"/>
          <w:szCs w:val="28"/>
        </w:rPr>
        <w:t>Reportable</w:t>
      </w:r>
    </w:p>
    <w:p w14:paraId="299A17F0" w14:textId="77777777" w:rsidR="00AF18FD" w:rsidRDefault="00AF18FD" w:rsidP="00AF18FD">
      <w:pPr>
        <w:spacing w:line="360" w:lineRule="auto"/>
        <w:jc w:val="right"/>
        <w:rPr>
          <w:sz w:val="28"/>
          <w:szCs w:val="28"/>
        </w:rPr>
      </w:pPr>
      <w:r>
        <w:rPr>
          <w:sz w:val="28"/>
          <w:szCs w:val="28"/>
        </w:rPr>
        <w:t xml:space="preserve">Case no: </w:t>
      </w:r>
      <w:r w:rsidR="00FB7856">
        <w:rPr>
          <w:sz w:val="28"/>
          <w:szCs w:val="28"/>
        </w:rPr>
        <w:t>181</w:t>
      </w:r>
      <w:r>
        <w:rPr>
          <w:sz w:val="28"/>
          <w:szCs w:val="28"/>
        </w:rPr>
        <w:t>/2022</w:t>
      </w:r>
    </w:p>
    <w:p w14:paraId="179521B0" w14:textId="77777777" w:rsidR="00AF18FD" w:rsidRDefault="00AF18FD" w:rsidP="00AF18FD">
      <w:pPr>
        <w:spacing w:line="360" w:lineRule="auto"/>
        <w:rPr>
          <w:sz w:val="28"/>
          <w:szCs w:val="28"/>
        </w:rPr>
      </w:pPr>
    </w:p>
    <w:p w14:paraId="4F3A2C10" w14:textId="77777777" w:rsidR="00AF18FD" w:rsidRDefault="00AF18FD" w:rsidP="00AF18FD">
      <w:pPr>
        <w:spacing w:line="360" w:lineRule="auto"/>
        <w:rPr>
          <w:sz w:val="28"/>
          <w:szCs w:val="28"/>
        </w:rPr>
      </w:pPr>
      <w:r>
        <w:rPr>
          <w:sz w:val="28"/>
          <w:szCs w:val="28"/>
        </w:rPr>
        <w:t>In the matter between:</w:t>
      </w:r>
    </w:p>
    <w:p w14:paraId="05B93476" w14:textId="77777777" w:rsidR="00AF18FD" w:rsidRDefault="00AF18FD" w:rsidP="00AF18FD">
      <w:pPr>
        <w:spacing w:line="360" w:lineRule="auto"/>
        <w:rPr>
          <w:sz w:val="28"/>
          <w:szCs w:val="28"/>
        </w:rPr>
      </w:pPr>
    </w:p>
    <w:p w14:paraId="2D1E53C2" w14:textId="78487C09" w:rsidR="00AF18FD" w:rsidRDefault="00FB7856" w:rsidP="00AF18FD">
      <w:pPr>
        <w:spacing w:line="360" w:lineRule="auto"/>
        <w:rPr>
          <w:b/>
          <w:sz w:val="28"/>
          <w:szCs w:val="28"/>
        </w:rPr>
      </w:pPr>
      <w:r w:rsidRPr="004D6552">
        <w:rPr>
          <w:b/>
          <w:bCs/>
          <w:caps/>
          <w:sz w:val="28"/>
          <w:szCs w:val="28"/>
        </w:rPr>
        <w:t>Ethekwini Municipality</w:t>
      </w:r>
      <w:r w:rsidR="00AF18FD">
        <w:rPr>
          <w:b/>
          <w:bCs/>
          <w:sz w:val="28"/>
          <w:szCs w:val="28"/>
        </w:rPr>
        <w:tab/>
        <w:t xml:space="preserve">                           </w:t>
      </w:r>
      <w:r>
        <w:rPr>
          <w:b/>
          <w:bCs/>
          <w:sz w:val="28"/>
          <w:szCs w:val="28"/>
        </w:rPr>
        <w:tab/>
      </w:r>
      <w:r w:rsidR="00002917">
        <w:rPr>
          <w:b/>
          <w:bCs/>
          <w:sz w:val="28"/>
          <w:szCs w:val="28"/>
        </w:rPr>
        <w:t xml:space="preserve">      </w:t>
      </w:r>
      <w:r w:rsidR="00AF18FD">
        <w:rPr>
          <w:b/>
          <w:sz w:val="28"/>
          <w:szCs w:val="28"/>
        </w:rPr>
        <w:t>APPELLANT</w:t>
      </w:r>
    </w:p>
    <w:p w14:paraId="7F7FF87D" w14:textId="77777777" w:rsidR="00AF18FD" w:rsidRDefault="00AF18FD" w:rsidP="00AF18FD">
      <w:pPr>
        <w:spacing w:line="360" w:lineRule="auto"/>
        <w:rPr>
          <w:b/>
          <w:sz w:val="28"/>
          <w:szCs w:val="28"/>
        </w:rPr>
      </w:pPr>
    </w:p>
    <w:p w14:paraId="6B6CCA65" w14:textId="77777777" w:rsidR="00AF18FD" w:rsidRDefault="00AF18FD" w:rsidP="00AF18FD">
      <w:pPr>
        <w:spacing w:line="360" w:lineRule="auto"/>
        <w:rPr>
          <w:sz w:val="28"/>
          <w:szCs w:val="28"/>
        </w:rPr>
      </w:pPr>
      <w:r>
        <w:rPr>
          <w:sz w:val="28"/>
          <w:szCs w:val="28"/>
        </w:rPr>
        <w:t>and</w:t>
      </w:r>
    </w:p>
    <w:p w14:paraId="479D6F9D" w14:textId="77777777" w:rsidR="00AF18FD" w:rsidRDefault="00AF18FD" w:rsidP="00AF18FD">
      <w:pPr>
        <w:spacing w:line="360" w:lineRule="auto"/>
        <w:rPr>
          <w:sz w:val="28"/>
          <w:szCs w:val="28"/>
        </w:rPr>
      </w:pPr>
    </w:p>
    <w:p w14:paraId="7DCFBBAA" w14:textId="60EFD420" w:rsidR="00FB7856" w:rsidRDefault="00FB7856" w:rsidP="00AF18FD">
      <w:pPr>
        <w:spacing w:line="360" w:lineRule="auto"/>
        <w:rPr>
          <w:b/>
          <w:bCs/>
          <w:sz w:val="28"/>
          <w:szCs w:val="28"/>
        </w:rPr>
      </w:pPr>
      <w:bookmarkStart w:id="0" w:name="_Hlk129515791"/>
      <w:r>
        <w:rPr>
          <w:b/>
          <w:bCs/>
          <w:sz w:val="28"/>
          <w:szCs w:val="28"/>
        </w:rPr>
        <w:t>COOP</w:t>
      </w:r>
      <w:r w:rsidR="00002917">
        <w:rPr>
          <w:b/>
          <w:bCs/>
          <w:sz w:val="28"/>
          <w:szCs w:val="28"/>
        </w:rPr>
        <w:t xml:space="preserve">EPATIVA MURATORI &amp; CEMENTISTI - </w:t>
      </w:r>
    </w:p>
    <w:p w14:paraId="255F5C99" w14:textId="0FCB6C12" w:rsidR="00AF18FD" w:rsidRPr="00FB7856" w:rsidRDefault="00FB7856" w:rsidP="00FB7856">
      <w:pPr>
        <w:spacing w:line="360" w:lineRule="auto"/>
        <w:rPr>
          <w:b/>
          <w:sz w:val="28"/>
          <w:szCs w:val="28"/>
        </w:rPr>
      </w:pPr>
      <w:r w:rsidRPr="00FB7856">
        <w:rPr>
          <w:b/>
          <w:bCs/>
          <w:sz w:val="28"/>
          <w:szCs w:val="28"/>
        </w:rPr>
        <w:t>CMC DI RAVENNA</w:t>
      </w:r>
      <w:r>
        <w:rPr>
          <w:b/>
          <w:bCs/>
          <w:sz w:val="28"/>
          <w:szCs w:val="28"/>
        </w:rPr>
        <w:t xml:space="preserve"> SOCIETA COOPERATIVA</w:t>
      </w:r>
      <w:bookmarkEnd w:id="0"/>
      <w:r w:rsidR="00AF18FD" w:rsidRPr="00FB7856">
        <w:rPr>
          <w:b/>
          <w:bCs/>
          <w:sz w:val="28"/>
          <w:szCs w:val="28"/>
        </w:rPr>
        <w:tab/>
      </w:r>
      <w:r w:rsidR="00002917">
        <w:rPr>
          <w:b/>
          <w:bCs/>
          <w:sz w:val="28"/>
          <w:szCs w:val="28"/>
        </w:rPr>
        <w:t xml:space="preserve">   </w:t>
      </w:r>
      <w:r w:rsidR="00AF18FD" w:rsidRPr="00FB7856">
        <w:rPr>
          <w:b/>
          <w:sz w:val="28"/>
          <w:szCs w:val="28"/>
        </w:rPr>
        <w:t>RESPONDENT</w:t>
      </w:r>
    </w:p>
    <w:p w14:paraId="56702C87" w14:textId="77777777" w:rsidR="00AF18FD" w:rsidRDefault="00AF18FD" w:rsidP="00AF18FD">
      <w:pPr>
        <w:pStyle w:val="FootnoteText"/>
        <w:spacing w:line="360" w:lineRule="auto"/>
        <w:rPr>
          <w:sz w:val="28"/>
          <w:szCs w:val="28"/>
        </w:rPr>
      </w:pPr>
    </w:p>
    <w:p w14:paraId="286913CE" w14:textId="782513B2" w:rsidR="00AF18FD" w:rsidRPr="004D6552" w:rsidRDefault="00AF18FD" w:rsidP="002430D2">
      <w:pPr>
        <w:spacing w:line="360" w:lineRule="auto"/>
        <w:jc w:val="both"/>
        <w:rPr>
          <w:bCs/>
          <w:i/>
          <w:sz w:val="28"/>
          <w:szCs w:val="28"/>
        </w:rPr>
      </w:pPr>
      <w:r>
        <w:rPr>
          <w:b/>
          <w:bCs/>
          <w:sz w:val="28"/>
          <w:szCs w:val="28"/>
        </w:rPr>
        <w:t>Neutral citation:</w:t>
      </w:r>
      <w:r>
        <w:rPr>
          <w:b/>
          <w:bCs/>
          <w:sz w:val="28"/>
          <w:szCs w:val="28"/>
        </w:rPr>
        <w:tab/>
      </w:r>
      <w:r w:rsidR="004D6552" w:rsidRPr="000A2062">
        <w:rPr>
          <w:bCs/>
          <w:i/>
          <w:sz w:val="28"/>
          <w:szCs w:val="28"/>
        </w:rPr>
        <w:t>Ethekwini Municipality</w:t>
      </w:r>
      <w:r w:rsidR="004D6552">
        <w:rPr>
          <w:bCs/>
          <w:sz w:val="28"/>
          <w:szCs w:val="28"/>
        </w:rPr>
        <w:t xml:space="preserve"> v</w:t>
      </w:r>
      <w:r w:rsidR="004D6552">
        <w:rPr>
          <w:b/>
          <w:bCs/>
          <w:sz w:val="28"/>
          <w:szCs w:val="28"/>
        </w:rPr>
        <w:t xml:space="preserve"> </w:t>
      </w:r>
      <w:bookmarkStart w:id="1" w:name="_Hlk129533023"/>
      <w:r w:rsidR="00E70299" w:rsidRPr="00E70299">
        <w:rPr>
          <w:bCs/>
          <w:i/>
          <w:sz w:val="28"/>
          <w:szCs w:val="28"/>
        </w:rPr>
        <w:t>C</w:t>
      </w:r>
      <w:r w:rsidR="00E70299">
        <w:rPr>
          <w:bCs/>
          <w:i/>
          <w:sz w:val="28"/>
          <w:szCs w:val="28"/>
        </w:rPr>
        <w:t>ooperativa</w:t>
      </w:r>
      <w:r w:rsidR="00E70299" w:rsidRPr="00E70299">
        <w:rPr>
          <w:bCs/>
          <w:i/>
          <w:sz w:val="28"/>
          <w:szCs w:val="28"/>
        </w:rPr>
        <w:t xml:space="preserve"> M</w:t>
      </w:r>
      <w:r w:rsidR="00E70299">
        <w:rPr>
          <w:bCs/>
          <w:i/>
          <w:sz w:val="28"/>
          <w:szCs w:val="28"/>
        </w:rPr>
        <w:t>uratori</w:t>
      </w:r>
      <w:r w:rsidR="00E70299" w:rsidRPr="00E70299">
        <w:rPr>
          <w:bCs/>
          <w:i/>
          <w:sz w:val="28"/>
          <w:szCs w:val="28"/>
        </w:rPr>
        <w:t xml:space="preserve"> &amp; C</w:t>
      </w:r>
      <w:r w:rsidR="00E70299">
        <w:rPr>
          <w:bCs/>
          <w:i/>
          <w:sz w:val="28"/>
          <w:szCs w:val="28"/>
        </w:rPr>
        <w:t>ementisti</w:t>
      </w:r>
      <w:r w:rsidR="00E70299" w:rsidRPr="00E70299">
        <w:rPr>
          <w:bCs/>
          <w:i/>
          <w:sz w:val="28"/>
          <w:szCs w:val="28"/>
        </w:rPr>
        <w:t xml:space="preserve"> -</w:t>
      </w:r>
      <w:r w:rsidR="004D6552">
        <w:rPr>
          <w:bCs/>
          <w:i/>
          <w:sz w:val="28"/>
          <w:szCs w:val="28"/>
        </w:rPr>
        <w:t xml:space="preserve"> </w:t>
      </w:r>
      <w:r w:rsidR="00E70299" w:rsidRPr="00E70299">
        <w:rPr>
          <w:bCs/>
          <w:i/>
          <w:sz w:val="28"/>
          <w:szCs w:val="28"/>
        </w:rPr>
        <w:t xml:space="preserve">CMC </w:t>
      </w:r>
      <w:r w:rsidR="00E70299">
        <w:rPr>
          <w:bCs/>
          <w:i/>
          <w:sz w:val="28"/>
          <w:szCs w:val="28"/>
        </w:rPr>
        <w:t>di</w:t>
      </w:r>
      <w:r w:rsidR="00E70299" w:rsidRPr="00E70299">
        <w:rPr>
          <w:bCs/>
          <w:i/>
          <w:sz w:val="28"/>
          <w:szCs w:val="28"/>
        </w:rPr>
        <w:t xml:space="preserve"> R</w:t>
      </w:r>
      <w:r w:rsidR="00E70299">
        <w:rPr>
          <w:bCs/>
          <w:i/>
          <w:sz w:val="28"/>
          <w:szCs w:val="28"/>
        </w:rPr>
        <w:t>avenna</w:t>
      </w:r>
      <w:r w:rsidR="00E70299" w:rsidRPr="00E70299">
        <w:rPr>
          <w:bCs/>
          <w:i/>
          <w:sz w:val="28"/>
          <w:szCs w:val="28"/>
        </w:rPr>
        <w:t xml:space="preserve"> S</w:t>
      </w:r>
      <w:r w:rsidR="00E70299">
        <w:rPr>
          <w:bCs/>
          <w:i/>
          <w:sz w:val="28"/>
          <w:szCs w:val="28"/>
        </w:rPr>
        <w:t>ocieta</w:t>
      </w:r>
      <w:r w:rsidR="00E70299" w:rsidRPr="00E70299">
        <w:rPr>
          <w:bCs/>
          <w:i/>
          <w:sz w:val="28"/>
          <w:szCs w:val="28"/>
        </w:rPr>
        <w:t xml:space="preserve"> C</w:t>
      </w:r>
      <w:r w:rsidR="00E70299">
        <w:rPr>
          <w:bCs/>
          <w:i/>
          <w:sz w:val="28"/>
          <w:szCs w:val="28"/>
        </w:rPr>
        <w:t>ooperativa</w:t>
      </w:r>
      <w:r w:rsidR="00E70299" w:rsidRPr="002749AA">
        <w:rPr>
          <w:bCs/>
          <w:i/>
          <w:sz w:val="28"/>
          <w:szCs w:val="28"/>
        </w:rPr>
        <w:t xml:space="preserve"> </w:t>
      </w:r>
      <w:bookmarkEnd w:id="1"/>
      <w:r>
        <w:rPr>
          <w:bCs/>
          <w:sz w:val="28"/>
          <w:szCs w:val="28"/>
        </w:rPr>
        <w:t xml:space="preserve">(Case no </w:t>
      </w:r>
      <w:r w:rsidR="00E70299">
        <w:rPr>
          <w:bCs/>
          <w:sz w:val="28"/>
          <w:szCs w:val="28"/>
        </w:rPr>
        <w:t>181</w:t>
      </w:r>
      <w:r>
        <w:rPr>
          <w:bCs/>
          <w:sz w:val="28"/>
          <w:szCs w:val="28"/>
        </w:rPr>
        <w:t>/2022) [202</w:t>
      </w:r>
      <w:r w:rsidR="00E70299">
        <w:rPr>
          <w:bCs/>
          <w:sz w:val="28"/>
          <w:szCs w:val="28"/>
        </w:rPr>
        <w:t>3</w:t>
      </w:r>
      <w:r w:rsidR="00B26CEB">
        <w:rPr>
          <w:bCs/>
          <w:sz w:val="28"/>
          <w:szCs w:val="28"/>
        </w:rPr>
        <w:t>] ZASCA 95</w:t>
      </w:r>
      <w:r>
        <w:rPr>
          <w:bCs/>
          <w:sz w:val="28"/>
          <w:szCs w:val="28"/>
        </w:rPr>
        <w:t xml:space="preserve"> (</w:t>
      </w:r>
      <w:r w:rsidR="00C148B6">
        <w:rPr>
          <w:bCs/>
          <w:sz w:val="28"/>
          <w:szCs w:val="28"/>
        </w:rPr>
        <w:t>12 June</w:t>
      </w:r>
      <w:r w:rsidR="00B26CEB">
        <w:rPr>
          <w:bCs/>
          <w:sz w:val="28"/>
          <w:szCs w:val="28"/>
        </w:rPr>
        <w:t xml:space="preserve"> 2023</w:t>
      </w:r>
      <w:r>
        <w:rPr>
          <w:bCs/>
          <w:sz w:val="28"/>
          <w:szCs w:val="28"/>
        </w:rPr>
        <w:t>)</w:t>
      </w:r>
    </w:p>
    <w:p w14:paraId="62299ABA" w14:textId="77777777" w:rsidR="00AF18FD" w:rsidRDefault="00AF18FD" w:rsidP="00AF18FD">
      <w:pPr>
        <w:spacing w:line="360" w:lineRule="auto"/>
        <w:ind w:left="1440" w:hanging="1440"/>
        <w:jc w:val="both"/>
        <w:rPr>
          <w:b/>
          <w:bCs/>
          <w:i/>
          <w:iCs/>
          <w:sz w:val="28"/>
          <w:szCs w:val="28"/>
        </w:rPr>
      </w:pPr>
      <w:r>
        <w:rPr>
          <w:b/>
          <w:bCs/>
          <w:sz w:val="28"/>
          <w:szCs w:val="28"/>
        </w:rPr>
        <w:t>Coram:</w:t>
      </w:r>
      <w:r>
        <w:rPr>
          <w:sz w:val="28"/>
          <w:szCs w:val="28"/>
        </w:rPr>
        <w:tab/>
      </w:r>
      <w:bookmarkStart w:id="2" w:name="_Hlk129161140"/>
      <w:bookmarkStart w:id="3" w:name="_Hlk129516596"/>
      <w:r>
        <w:rPr>
          <w:sz w:val="28"/>
          <w:szCs w:val="28"/>
        </w:rPr>
        <w:t>VAN DER MERWE</w:t>
      </w:r>
      <w:r w:rsidR="00E70299">
        <w:rPr>
          <w:sz w:val="28"/>
          <w:szCs w:val="28"/>
        </w:rPr>
        <w:t>, MOCUMIE,</w:t>
      </w:r>
      <w:r>
        <w:rPr>
          <w:sz w:val="28"/>
          <w:szCs w:val="28"/>
        </w:rPr>
        <w:t xml:space="preserve"> </w:t>
      </w:r>
      <w:bookmarkEnd w:id="2"/>
      <w:r w:rsidR="00E70299">
        <w:rPr>
          <w:sz w:val="28"/>
          <w:szCs w:val="28"/>
        </w:rPr>
        <w:t xml:space="preserve">MATOJANE </w:t>
      </w:r>
      <w:r>
        <w:rPr>
          <w:sz w:val="28"/>
          <w:szCs w:val="28"/>
        </w:rPr>
        <w:t>and</w:t>
      </w:r>
      <w:r w:rsidR="00E70299">
        <w:rPr>
          <w:sz w:val="28"/>
          <w:szCs w:val="28"/>
        </w:rPr>
        <w:t xml:space="preserve"> WEINER JJA </w:t>
      </w:r>
      <w:bookmarkEnd w:id="3"/>
      <w:r w:rsidR="00E70299">
        <w:rPr>
          <w:sz w:val="28"/>
          <w:szCs w:val="28"/>
        </w:rPr>
        <w:t>and</w:t>
      </w:r>
      <w:r>
        <w:rPr>
          <w:sz w:val="28"/>
          <w:szCs w:val="28"/>
        </w:rPr>
        <w:t xml:space="preserve"> OLSEN AJA </w:t>
      </w:r>
    </w:p>
    <w:p w14:paraId="4DC06441" w14:textId="13C0EBFC" w:rsidR="00002917" w:rsidRPr="00002917" w:rsidRDefault="00AF18FD" w:rsidP="00AF18FD">
      <w:pPr>
        <w:spacing w:line="360" w:lineRule="auto"/>
        <w:rPr>
          <w:sz w:val="28"/>
          <w:szCs w:val="28"/>
        </w:rPr>
      </w:pPr>
      <w:r>
        <w:rPr>
          <w:b/>
          <w:bCs/>
          <w:sz w:val="28"/>
          <w:szCs w:val="28"/>
        </w:rPr>
        <w:t>Heard</w:t>
      </w:r>
      <w:r>
        <w:rPr>
          <w:sz w:val="28"/>
          <w:szCs w:val="28"/>
        </w:rPr>
        <w:t>:</w:t>
      </w:r>
      <w:r w:rsidR="00E70299">
        <w:rPr>
          <w:sz w:val="28"/>
          <w:szCs w:val="28"/>
        </w:rPr>
        <w:tab/>
        <w:t>10 March</w:t>
      </w:r>
      <w:r>
        <w:rPr>
          <w:sz w:val="28"/>
          <w:szCs w:val="28"/>
        </w:rPr>
        <w:t xml:space="preserve"> 2023 </w:t>
      </w:r>
    </w:p>
    <w:p w14:paraId="26F8D21F" w14:textId="0958C8A7" w:rsidR="001057FE" w:rsidRDefault="00AF18FD" w:rsidP="00002917">
      <w:pPr>
        <w:spacing w:line="360" w:lineRule="auto"/>
        <w:rPr>
          <w:sz w:val="28"/>
          <w:szCs w:val="28"/>
        </w:rPr>
      </w:pPr>
      <w:r>
        <w:rPr>
          <w:b/>
          <w:bCs/>
          <w:sz w:val="28"/>
          <w:szCs w:val="28"/>
        </w:rPr>
        <w:t>Delivered</w:t>
      </w:r>
      <w:r w:rsidR="00002917">
        <w:rPr>
          <w:sz w:val="28"/>
          <w:szCs w:val="28"/>
        </w:rPr>
        <w:t xml:space="preserve">:   </w:t>
      </w:r>
      <w:r w:rsidR="00002917" w:rsidRPr="00002917">
        <w:rPr>
          <w:sz w:val="28"/>
          <w:szCs w:val="28"/>
        </w:rPr>
        <w:t xml:space="preserve">This judgment was handed down electronically by circulation </w:t>
      </w:r>
      <w:r w:rsidR="00002917">
        <w:rPr>
          <w:sz w:val="28"/>
          <w:szCs w:val="28"/>
        </w:rPr>
        <w:t xml:space="preserve"> </w:t>
      </w:r>
      <w:r w:rsidR="00002917" w:rsidRPr="00002917">
        <w:rPr>
          <w:sz w:val="28"/>
          <w:szCs w:val="28"/>
        </w:rPr>
        <w:t>to    the parties’ representatives by email, publication on the</w:t>
      </w:r>
      <w:r w:rsidR="00002917">
        <w:rPr>
          <w:sz w:val="28"/>
          <w:szCs w:val="28"/>
        </w:rPr>
        <w:t xml:space="preserve"> </w:t>
      </w:r>
      <w:r w:rsidR="00002917" w:rsidRPr="00002917">
        <w:rPr>
          <w:sz w:val="28"/>
          <w:szCs w:val="28"/>
        </w:rPr>
        <w:t xml:space="preserve">Supreme Court </w:t>
      </w:r>
      <w:r w:rsidR="00002917" w:rsidRPr="00002917">
        <w:rPr>
          <w:sz w:val="28"/>
          <w:szCs w:val="28"/>
        </w:rPr>
        <w:lastRenderedPageBreak/>
        <w:t>of Appeal webs</w:t>
      </w:r>
      <w:r w:rsidR="00002917">
        <w:rPr>
          <w:sz w:val="28"/>
          <w:szCs w:val="28"/>
        </w:rPr>
        <w:t xml:space="preserve">ite, and release to SAFLII. The </w:t>
      </w:r>
      <w:r w:rsidR="00002917" w:rsidRPr="00002917">
        <w:rPr>
          <w:sz w:val="28"/>
          <w:szCs w:val="28"/>
        </w:rPr>
        <w:t xml:space="preserve">date for hand down is deemed to be </w:t>
      </w:r>
      <w:r w:rsidR="000C4CC0">
        <w:rPr>
          <w:sz w:val="28"/>
          <w:szCs w:val="28"/>
        </w:rPr>
        <w:t>1</w:t>
      </w:r>
      <w:r w:rsidR="00002917" w:rsidRPr="00002917">
        <w:rPr>
          <w:sz w:val="28"/>
          <w:szCs w:val="28"/>
        </w:rPr>
        <w:t>2 June 2023 at 11h00.</w:t>
      </w:r>
    </w:p>
    <w:p w14:paraId="52399F74" w14:textId="42DF1B3E" w:rsidR="00AF18FD" w:rsidRPr="001057FE" w:rsidRDefault="00AF18FD" w:rsidP="009A64CA">
      <w:pPr>
        <w:spacing w:line="360" w:lineRule="auto"/>
        <w:jc w:val="both"/>
        <w:rPr>
          <w:b/>
          <w:bCs/>
          <w:sz w:val="28"/>
          <w:szCs w:val="28"/>
        </w:rPr>
        <w:sectPr w:rsidR="00AF18FD" w:rsidRPr="001057FE" w:rsidSect="00084586">
          <w:headerReference w:type="even" r:id="rId9"/>
          <w:headerReference w:type="default" r:id="rId10"/>
          <w:pgSz w:w="12240" w:h="15840"/>
          <w:pgMar w:top="1440" w:right="1800" w:bottom="1440" w:left="1800" w:header="720" w:footer="720" w:gutter="0"/>
          <w:pgNumType w:start="1"/>
          <w:cols w:space="720"/>
          <w:titlePg/>
        </w:sectPr>
      </w:pPr>
      <w:r>
        <w:rPr>
          <w:b/>
          <w:bCs/>
          <w:sz w:val="28"/>
          <w:szCs w:val="28"/>
        </w:rPr>
        <w:t xml:space="preserve">Summary: </w:t>
      </w:r>
      <w:r w:rsidR="00641630">
        <w:rPr>
          <w:b/>
          <w:bCs/>
          <w:sz w:val="28"/>
          <w:szCs w:val="28"/>
        </w:rPr>
        <w:tab/>
      </w:r>
      <w:r w:rsidR="003A4268" w:rsidRPr="003E3556">
        <w:rPr>
          <w:bCs/>
          <w:sz w:val="28"/>
          <w:szCs w:val="28"/>
        </w:rPr>
        <w:t>Contract</w:t>
      </w:r>
      <w:r w:rsidR="003A4268">
        <w:rPr>
          <w:bCs/>
          <w:sz w:val="28"/>
          <w:szCs w:val="28"/>
        </w:rPr>
        <w:t xml:space="preserve"> </w:t>
      </w:r>
      <w:r w:rsidR="0089531D">
        <w:rPr>
          <w:bCs/>
          <w:sz w:val="28"/>
          <w:szCs w:val="28"/>
        </w:rPr>
        <w:t>–</w:t>
      </w:r>
      <w:r w:rsidR="003A4268">
        <w:rPr>
          <w:bCs/>
          <w:sz w:val="28"/>
          <w:szCs w:val="28"/>
        </w:rPr>
        <w:t xml:space="preserve"> </w:t>
      </w:r>
      <w:r w:rsidR="0089531D">
        <w:rPr>
          <w:bCs/>
          <w:sz w:val="28"/>
          <w:szCs w:val="28"/>
        </w:rPr>
        <w:t xml:space="preserve">decisions on </w:t>
      </w:r>
      <w:r w:rsidR="003A4268">
        <w:rPr>
          <w:bCs/>
          <w:sz w:val="28"/>
          <w:szCs w:val="28"/>
        </w:rPr>
        <w:t>a</w:t>
      </w:r>
      <w:r w:rsidR="00641630">
        <w:rPr>
          <w:bCs/>
          <w:sz w:val="28"/>
          <w:szCs w:val="28"/>
        </w:rPr>
        <w:t>djudication of disputes under construction contract – enforcement by  court – whether contrary to public policy</w:t>
      </w:r>
      <w:r w:rsidR="00F6453D">
        <w:rPr>
          <w:bCs/>
          <w:sz w:val="28"/>
          <w:szCs w:val="28"/>
        </w:rPr>
        <w:t xml:space="preserve"> </w:t>
      </w:r>
      <w:r w:rsidR="00641630">
        <w:rPr>
          <w:bCs/>
          <w:sz w:val="28"/>
          <w:szCs w:val="28"/>
        </w:rPr>
        <w:t xml:space="preserve">– specific performance </w:t>
      </w:r>
      <w:r w:rsidR="00F6453D">
        <w:rPr>
          <w:bCs/>
          <w:sz w:val="28"/>
          <w:szCs w:val="28"/>
        </w:rPr>
        <w:t>–</w:t>
      </w:r>
      <w:r w:rsidR="00641630">
        <w:rPr>
          <w:bCs/>
          <w:sz w:val="28"/>
          <w:szCs w:val="28"/>
        </w:rPr>
        <w:t xml:space="preserve"> whether judgment for payment of debt due under </w:t>
      </w:r>
      <w:r w:rsidR="00153D69">
        <w:rPr>
          <w:bCs/>
          <w:sz w:val="28"/>
          <w:szCs w:val="28"/>
        </w:rPr>
        <w:t>decisions</w:t>
      </w:r>
      <w:r w:rsidR="00641630">
        <w:rPr>
          <w:bCs/>
          <w:sz w:val="28"/>
          <w:szCs w:val="28"/>
        </w:rPr>
        <w:t xml:space="preserve"> is a discretionary remedy</w:t>
      </w:r>
      <w:r w:rsidR="0089531D">
        <w:rPr>
          <w:bCs/>
          <w:sz w:val="28"/>
          <w:szCs w:val="28"/>
        </w:rPr>
        <w:t>.</w:t>
      </w:r>
    </w:p>
    <w:p w14:paraId="07A6FE3C" w14:textId="77777777" w:rsidR="00AF18FD" w:rsidRDefault="00AF18FD" w:rsidP="00AF18FD">
      <w:pPr>
        <w:spacing w:line="360" w:lineRule="auto"/>
        <w:rPr>
          <w:b/>
          <w:bCs/>
          <w:sz w:val="28"/>
          <w:szCs w:val="28"/>
        </w:rPr>
      </w:pPr>
    </w:p>
    <w:p w14:paraId="2C73F626" w14:textId="77777777" w:rsidR="00AF18FD" w:rsidRDefault="00AF18FD" w:rsidP="00AF18FD">
      <w:pPr>
        <w:spacing w:line="360" w:lineRule="auto"/>
        <w:rPr>
          <w:sz w:val="28"/>
          <w:szCs w:val="28"/>
        </w:rPr>
      </w:pPr>
      <w:r>
        <w:rPr>
          <w:noProof/>
          <w:lang w:val="en-US"/>
        </w:rPr>
        <mc:AlternateContent>
          <mc:Choice Requires="wps">
            <w:drawing>
              <wp:anchor distT="0" distB="0" distL="114300" distR="114300" simplePos="0" relativeHeight="251660288" behindDoc="0" locked="0" layoutInCell="1" allowOverlap="1" wp14:anchorId="21A10AE4" wp14:editId="3A2B9F7A">
                <wp:simplePos x="0" y="0"/>
                <wp:positionH relativeFrom="column">
                  <wp:posOffset>0</wp:posOffset>
                </wp:positionH>
                <wp:positionV relativeFrom="paragraph">
                  <wp:posOffset>114300</wp:posOffset>
                </wp:positionV>
                <wp:extent cx="0" cy="0"/>
                <wp:effectExtent l="9525" t="9525" r="952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EF0129"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"/>
            </w:pict>
          </mc:Fallback>
        </mc:AlternateContent>
      </w:r>
      <w:r>
        <w:rPr>
          <w:noProof/>
          <w:lang w:val="en-US"/>
        </w:rPr>
        <mc:AlternateContent>
          <mc:Choice Requires="wps">
            <w:drawing>
              <wp:anchor distT="0" distB="0" distL="114300" distR="114300" simplePos="0" relativeHeight="251662336" behindDoc="0" locked="0" layoutInCell="1" allowOverlap="1" wp14:anchorId="3691CC36" wp14:editId="1253F2A3">
                <wp:simplePos x="0" y="0"/>
                <wp:positionH relativeFrom="column">
                  <wp:posOffset>0</wp:posOffset>
                </wp:positionH>
                <wp:positionV relativeFrom="paragraph">
                  <wp:posOffset>40005</wp:posOffset>
                </wp:positionV>
                <wp:extent cx="5257800" cy="0"/>
                <wp:effectExtent l="9525" t="11430" r="9525"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49142F"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1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qsy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"/>
            </w:pict>
          </mc:Fallback>
        </mc:AlternateContent>
      </w:r>
    </w:p>
    <w:p w14:paraId="77B6EC0A" w14:textId="77777777" w:rsidR="00AF18FD" w:rsidRDefault="00AF18FD" w:rsidP="00AF18FD">
      <w:pPr>
        <w:pStyle w:val="Heading3"/>
        <w:jc w:val="center"/>
        <w:rPr>
          <w:rFonts w:ascii="Times New Roman" w:hAnsi="Times New Roman" w:cs="Times New Roman"/>
          <w:b/>
          <w:i w:val="0"/>
          <w:szCs w:val="28"/>
        </w:rPr>
      </w:pPr>
      <w:r>
        <w:rPr>
          <w:rFonts w:ascii="Times New Roman" w:hAnsi="Times New Roman" w:cs="Times New Roman"/>
          <w:b/>
          <w:i w:val="0"/>
          <w:szCs w:val="28"/>
        </w:rPr>
        <w:t>ORDER</w:t>
      </w:r>
    </w:p>
    <w:p w14:paraId="3F8A2C7A" w14:textId="77777777" w:rsidR="00AF18FD" w:rsidRDefault="00AF18FD" w:rsidP="00AF18FD">
      <w:pPr>
        <w:spacing w:line="360" w:lineRule="auto"/>
        <w:rPr>
          <w:b/>
          <w:bCs/>
          <w:sz w:val="28"/>
          <w:szCs w:val="28"/>
        </w:rPr>
      </w:pPr>
      <w:r>
        <w:rPr>
          <w:noProof/>
          <w:lang w:val="en-US"/>
        </w:rPr>
        <mc:AlternateContent>
          <mc:Choice Requires="wps">
            <w:drawing>
              <wp:anchor distT="0" distB="0" distL="114300" distR="114300" simplePos="0" relativeHeight="251661312" behindDoc="0" locked="0" layoutInCell="1" allowOverlap="1" wp14:anchorId="3990017A" wp14:editId="649569E1">
                <wp:simplePos x="0" y="0"/>
                <wp:positionH relativeFrom="column">
                  <wp:posOffset>0</wp:posOffset>
                </wp:positionH>
                <wp:positionV relativeFrom="paragraph">
                  <wp:posOffset>96520</wp:posOffset>
                </wp:positionV>
                <wp:extent cx="5257800" cy="0"/>
                <wp:effectExtent l="952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8041EF"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41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SoBHA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"/>
            </w:pict>
          </mc:Fallback>
        </mc:AlternateContent>
      </w:r>
    </w:p>
    <w:p w14:paraId="32D90D14" w14:textId="2CE877C8" w:rsidR="00AF18FD" w:rsidRDefault="00AF18FD" w:rsidP="00AF18FD">
      <w:pPr>
        <w:spacing w:line="360" w:lineRule="auto"/>
        <w:jc w:val="both"/>
        <w:rPr>
          <w:b/>
          <w:bCs/>
          <w:sz w:val="28"/>
          <w:szCs w:val="28"/>
        </w:rPr>
      </w:pPr>
      <w:r>
        <w:rPr>
          <w:b/>
          <w:bCs/>
          <w:sz w:val="28"/>
          <w:szCs w:val="28"/>
        </w:rPr>
        <w:t>On appeal from:</w:t>
      </w:r>
      <w:r w:rsidR="00477DA5">
        <w:rPr>
          <w:b/>
          <w:bCs/>
          <w:sz w:val="28"/>
          <w:szCs w:val="28"/>
        </w:rPr>
        <w:t xml:space="preserve"> </w:t>
      </w:r>
      <w:r w:rsidR="00773587" w:rsidRPr="00773587">
        <w:rPr>
          <w:bCs/>
          <w:sz w:val="28"/>
          <w:szCs w:val="28"/>
        </w:rPr>
        <w:t>KwaZulu-Natal Division of the High Court, Durban</w:t>
      </w:r>
    </w:p>
    <w:p w14:paraId="4BD77A0D" w14:textId="6D47F704" w:rsidR="00773587" w:rsidRDefault="00773587" w:rsidP="00AF18FD">
      <w:pPr>
        <w:spacing w:line="360" w:lineRule="auto"/>
        <w:jc w:val="both"/>
        <w:rPr>
          <w:bCs/>
          <w:sz w:val="28"/>
          <w:szCs w:val="28"/>
        </w:rPr>
      </w:pPr>
      <w:r>
        <w:rPr>
          <w:bCs/>
          <w:sz w:val="28"/>
          <w:szCs w:val="28"/>
        </w:rPr>
        <w:t>(Lopes J sitting as</w:t>
      </w:r>
      <w:r w:rsidR="00477DA5">
        <w:rPr>
          <w:bCs/>
          <w:sz w:val="28"/>
          <w:szCs w:val="28"/>
        </w:rPr>
        <w:t xml:space="preserve"> </w:t>
      </w:r>
      <w:r w:rsidR="004676DC">
        <w:rPr>
          <w:bCs/>
          <w:sz w:val="28"/>
          <w:szCs w:val="28"/>
        </w:rPr>
        <w:t>c</w:t>
      </w:r>
      <w:r>
        <w:rPr>
          <w:bCs/>
          <w:sz w:val="28"/>
          <w:szCs w:val="28"/>
        </w:rPr>
        <w:t>ourt of first instance)</w:t>
      </w:r>
      <w:r w:rsidR="0089531D">
        <w:rPr>
          <w:bCs/>
          <w:sz w:val="28"/>
          <w:szCs w:val="28"/>
        </w:rPr>
        <w:t>:</w:t>
      </w:r>
    </w:p>
    <w:p w14:paraId="4BCE6C2B" w14:textId="7A08719F" w:rsidR="004D6552" w:rsidRDefault="004D6552" w:rsidP="00AF18FD">
      <w:pPr>
        <w:spacing w:line="360" w:lineRule="auto"/>
        <w:jc w:val="both"/>
        <w:rPr>
          <w:bCs/>
          <w:sz w:val="28"/>
          <w:szCs w:val="28"/>
        </w:rPr>
      </w:pPr>
    </w:p>
    <w:p w14:paraId="49189D0A" w14:textId="77777777" w:rsidR="00773587" w:rsidRDefault="00773587" w:rsidP="00AF18FD">
      <w:pPr>
        <w:spacing w:line="360" w:lineRule="auto"/>
        <w:jc w:val="both"/>
        <w:rPr>
          <w:bCs/>
          <w:sz w:val="28"/>
          <w:szCs w:val="28"/>
        </w:rPr>
      </w:pPr>
      <w:r>
        <w:rPr>
          <w:bCs/>
          <w:sz w:val="28"/>
          <w:szCs w:val="28"/>
        </w:rPr>
        <w:t>The appeal is dismissed with costs.</w:t>
      </w:r>
    </w:p>
    <w:p w14:paraId="504D664B" w14:textId="77777777" w:rsidR="00AF18FD" w:rsidRDefault="00AF18FD" w:rsidP="00AF18FD">
      <w:pPr>
        <w:spacing w:line="360" w:lineRule="auto"/>
        <w:rPr>
          <w:b/>
          <w:bCs/>
          <w:sz w:val="28"/>
          <w:szCs w:val="28"/>
        </w:rPr>
      </w:pPr>
      <w:r>
        <w:rPr>
          <w:noProof/>
          <w:lang w:val="en-US"/>
        </w:rPr>
        <mc:AlternateContent>
          <mc:Choice Requires="wps">
            <w:drawing>
              <wp:anchor distT="0" distB="0" distL="114300" distR="114300" simplePos="0" relativeHeight="251663360" behindDoc="0" locked="0" layoutInCell="1" allowOverlap="1" wp14:anchorId="530BBE4B" wp14:editId="0490301F">
                <wp:simplePos x="0" y="0"/>
                <wp:positionH relativeFrom="column">
                  <wp:posOffset>0</wp:posOffset>
                </wp:positionH>
                <wp:positionV relativeFrom="paragraph">
                  <wp:posOffset>59055</wp:posOffset>
                </wp:positionV>
                <wp:extent cx="5257800" cy="0"/>
                <wp:effectExtent l="9525" t="11430" r="952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290B9F"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5pt" to="414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OeAGw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"/>
            </w:pict>
          </mc:Fallback>
        </mc:AlternateContent>
      </w:r>
    </w:p>
    <w:p w14:paraId="445A2709" w14:textId="77777777" w:rsidR="00AF18FD" w:rsidRDefault="00AF18FD" w:rsidP="00AF18FD">
      <w:pPr>
        <w:pStyle w:val="Heading1"/>
        <w:jc w:val="center"/>
        <w:rPr>
          <w:rFonts w:ascii="Times New Roman" w:hAnsi="Times New Roman" w:cs="Times New Roman"/>
          <w:szCs w:val="28"/>
        </w:rPr>
      </w:pPr>
      <w:r>
        <w:rPr>
          <w:rFonts w:ascii="Times New Roman" w:hAnsi="Times New Roman" w:cs="Times New Roman"/>
          <w:szCs w:val="28"/>
        </w:rPr>
        <w:t>JUDGMENT</w:t>
      </w:r>
    </w:p>
    <w:p w14:paraId="51984B4D" w14:textId="77777777" w:rsidR="00AF18FD" w:rsidRDefault="00AF18FD" w:rsidP="00AF18FD">
      <w:pPr>
        <w:spacing w:line="360" w:lineRule="auto"/>
        <w:rPr>
          <w:sz w:val="28"/>
          <w:szCs w:val="28"/>
        </w:rPr>
      </w:pPr>
      <w:r>
        <w:rPr>
          <w:noProof/>
          <w:lang w:val="en-US"/>
        </w:rPr>
        <mc:AlternateContent>
          <mc:Choice Requires="wps">
            <w:drawing>
              <wp:anchor distT="0" distB="0" distL="114300" distR="114300" simplePos="0" relativeHeight="251664384" behindDoc="0" locked="0" layoutInCell="1" allowOverlap="1" wp14:anchorId="2A92C5D1" wp14:editId="5BBBB160">
                <wp:simplePos x="0" y="0"/>
                <wp:positionH relativeFrom="column">
                  <wp:posOffset>0</wp:posOffset>
                </wp:positionH>
                <wp:positionV relativeFrom="paragraph">
                  <wp:posOffset>140970</wp:posOffset>
                </wp:positionV>
                <wp:extent cx="5257800" cy="0"/>
                <wp:effectExtent l="9525" t="7620" r="952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FE8392"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pt" to="41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HZ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"/>
            </w:pict>
          </mc:Fallback>
        </mc:AlternateContent>
      </w:r>
    </w:p>
    <w:p w14:paraId="5A8DAA4E" w14:textId="77777777" w:rsidR="00AF18FD" w:rsidRPr="00773587" w:rsidRDefault="00AF18FD" w:rsidP="00AF18FD">
      <w:pPr>
        <w:spacing w:line="360" w:lineRule="auto"/>
        <w:rPr>
          <w:b/>
          <w:sz w:val="28"/>
          <w:szCs w:val="28"/>
        </w:rPr>
      </w:pPr>
      <w:r>
        <w:rPr>
          <w:b/>
          <w:sz w:val="28"/>
          <w:szCs w:val="28"/>
        </w:rPr>
        <w:t xml:space="preserve">Olsen AJA </w:t>
      </w:r>
      <w:r w:rsidR="00773587" w:rsidRPr="00773587">
        <w:rPr>
          <w:b/>
          <w:sz w:val="28"/>
          <w:szCs w:val="28"/>
        </w:rPr>
        <w:t>(V</w:t>
      </w:r>
      <w:r w:rsidR="00773587">
        <w:rPr>
          <w:b/>
          <w:sz w:val="28"/>
          <w:szCs w:val="28"/>
        </w:rPr>
        <w:t>an der Merwe</w:t>
      </w:r>
      <w:r w:rsidR="00773587" w:rsidRPr="00773587">
        <w:rPr>
          <w:b/>
          <w:sz w:val="28"/>
          <w:szCs w:val="28"/>
        </w:rPr>
        <w:t>, M</w:t>
      </w:r>
      <w:r w:rsidR="00773587">
        <w:rPr>
          <w:b/>
          <w:sz w:val="28"/>
          <w:szCs w:val="28"/>
        </w:rPr>
        <w:t>ocumie</w:t>
      </w:r>
      <w:r w:rsidR="00773587" w:rsidRPr="00773587">
        <w:rPr>
          <w:b/>
          <w:sz w:val="28"/>
          <w:szCs w:val="28"/>
        </w:rPr>
        <w:t>, M</w:t>
      </w:r>
      <w:r w:rsidR="00773587">
        <w:rPr>
          <w:b/>
          <w:sz w:val="28"/>
          <w:szCs w:val="28"/>
        </w:rPr>
        <w:t>atojane</w:t>
      </w:r>
      <w:r w:rsidR="00773587" w:rsidRPr="00773587">
        <w:rPr>
          <w:b/>
          <w:sz w:val="28"/>
          <w:szCs w:val="28"/>
        </w:rPr>
        <w:t xml:space="preserve"> and W</w:t>
      </w:r>
      <w:r w:rsidR="00773587">
        <w:rPr>
          <w:b/>
          <w:sz w:val="28"/>
          <w:szCs w:val="28"/>
        </w:rPr>
        <w:t>einer</w:t>
      </w:r>
      <w:r w:rsidR="00773587" w:rsidRPr="00773587">
        <w:rPr>
          <w:b/>
          <w:sz w:val="28"/>
          <w:szCs w:val="28"/>
        </w:rPr>
        <w:t xml:space="preserve"> JJA </w:t>
      </w:r>
      <w:r w:rsidRPr="00773587">
        <w:rPr>
          <w:b/>
          <w:sz w:val="28"/>
          <w:szCs w:val="28"/>
        </w:rPr>
        <w:t>concurring)</w:t>
      </w:r>
    </w:p>
    <w:p w14:paraId="07CB4A4E" w14:textId="77777777" w:rsidR="00AF18FD" w:rsidRDefault="00AF18FD" w:rsidP="00773587">
      <w:pPr>
        <w:spacing w:line="360" w:lineRule="auto"/>
        <w:jc w:val="both"/>
        <w:rPr>
          <w:sz w:val="28"/>
          <w:szCs w:val="28"/>
        </w:rPr>
      </w:pPr>
    </w:p>
    <w:p w14:paraId="1CEE4F41" w14:textId="77777777" w:rsidR="00773587" w:rsidRDefault="00773587" w:rsidP="00773587">
      <w:pPr>
        <w:spacing w:line="360" w:lineRule="auto"/>
        <w:jc w:val="both"/>
        <w:rPr>
          <w:sz w:val="28"/>
          <w:szCs w:val="28"/>
        </w:rPr>
      </w:pPr>
      <w:r>
        <w:rPr>
          <w:sz w:val="28"/>
          <w:szCs w:val="28"/>
        </w:rPr>
        <w:t>[1</w:t>
      </w:r>
      <w:bookmarkStart w:id="4" w:name="_GoBack"/>
      <w:bookmarkEnd w:id="4"/>
      <w:r>
        <w:rPr>
          <w:sz w:val="28"/>
          <w:szCs w:val="28"/>
        </w:rPr>
        <w:t>]</w:t>
      </w:r>
      <w:r>
        <w:rPr>
          <w:sz w:val="28"/>
          <w:szCs w:val="28"/>
        </w:rPr>
        <w:tab/>
      </w:r>
      <w:r w:rsidR="005A5E4F">
        <w:rPr>
          <w:sz w:val="28"/>
          <w:szCs w:val="28"/>
        </w:rPr>
        <w:t>Ethekwini Munic</w:t>
      </w:r>
      <w:r w:rsidR="00146F8D">
        <w:rPr>
          <w:sz w:val="28"/>
          <w:szCs w:val="28"/>
        </w:rPr>
        <w:t>ipality, the appellant before us, concluded a written contract with the respondent for the construction by the latter of the ‘C9-Cornubia interchange to Meridian Drive’. The form of contract employed by the parties was the ‘General Conditions of Contract for Construction Works (Second Edition, 2010)’.</w:t>
      </w:r>
      <w:r w:rsidR="00302448">
        <w:rPr>
          <w:sz w:val="28"/>
          <w:szCs w:val="28"/>
        </w:rPr>
        <w:t xml:space="preserve"> I will refer to the parties as they were in the contract, namely as ‘employer’ and ‘contractor’ respectively.</w:t>
      </w:r>
    </w:p>
    <w:p w14:paraId="7D633DF0" w14:textId="77777777" w:rsidR="00302448" w:rsidRDefault="00302448" w:rsidP="00773587">
      <w:pPr>
        <w:spacing w:line="360" w:lineRule="auto"/>
        <w:jc w:val="both"/>
        <w:rPr>
          <w:sz w:val="28"/>
          <w:szCs w:val="28"/>
        </w:rPr>
      </w:pPr>
    </w:p>
    <w:p w14:paraId="634C0B68" w14:textId="7CDC399A" w:rsidR="00105026" w:rsidRDefault="00302448" w:rsidP="00424C42">
      <w:pPr>
        <w:spacing w:line="360" w:lineRule="auto"/>
        <w:jc w:val="both"/>
        <w:rPr>
          <w:sz w:val="28"/>
          <w:szCs w:val="28"/>
        </w:rPr>
      </w:pPr>
      <w:r>
        <w:rPr>
          <w:sz w:val="28"/>
          <w:szCs w:val="28"/>
        </w:rPr>
        <w:t>[2]</w:t>
      </w:r>
      <w:r>
        <w:rPr>
          <w:sz w:val="28"/>
          <w:szCs w:val="28"/>
        </w:rPr>
        <w:tab/>
        <w:t xml:space="preserve">Something must be said at the outset about the identity of the respondent. The respondent was the applicant in the court </w:t>
      </w:r>
      <w:r w:rsidRPr="00302448">
        <w:rPr>
          <w:i/>
          <w:sz w:val="28"/>
          <w:szCs w:val="28"/>
        </w:rPr>
        <w:t>a quo</w:t>
      </w:r>
      <w:r>
        <w:rPr>
          <w:sz w:val="28"/>
          <w:szCs w:val="28"/>
        </w:rPr>
        <w:t xml:space="preserve"> where it was described as ‘CMC Di Ravenna South Africa Branch (in business rescue)’, a company registered under South African law as an external company. In later court documents </w:t>
      </w:r>
      <w:r w:rsidR="00C23F13">
        <w:rPr>
          <w:sz w:val="28"/>
          <w:szCs w:val="28"/>
        </w:rPr>
        <w:t xml:space="preserve">the </w:t>
      </w:r>
      <w:r>
        <w:rPr>
          <w:sz w:val="28"/>
          <w:szCs w:val="28"/>
        </w:rPr>
        <w:t>epithet</w:t>
      </w:r>
      <w:r w:rsidR="00C23F13">
        <w:rPr>
          <w:sz w:val="28"/>
          <w:szCs w:val="28"/>
        </w:rPr>
        <w:t xml:space="preserve"> ‘in business rescue’ became ‘in liquidation’. The employer raised an issue as to the </w:t>
      </w:r>
      <w:r w:rsidR="00C23F13">
        <w:rPr>
          <w:i/>
          <w:sz w:val="28"/>
          <w:szCs w:val="28"/>
        </w:rPr>
        <w:t>locus standi</w:t>
      </w:r>
      <w:r w:rsidR="00C23F13">
        <w:rPr>
          <w:sz w:val="28"/>
          <w:szCs w:val="28"/>
        </w:rPr>
        <w:t xml:space="preserve"> of the named party</w:t>
      </w:r>
      <w:r w:rsidR="00B077E2">
        <w:rPr>
          <w:sz w:val="28"/>
          <w:szCs w:val="28"/>
        </w:rPr>
        <w:t>.</w:t>
      </w:r>
      <w:r w:rsidR="00C23F13">
        <w:rPr>
          <w:sz w:val="28"/>
          <w:szCs w:val="28"/>
        </w:rPr>
        <w:t xml:space="preserve"> </w:t>
      </w:r>
      <w:r w:rsidR="00B077E2">
        <w:rPr>
          <w:sz w:val="28"/>
          <w:szCs w:val="28"/>
        </w:rPr>
        <w:t xml:space="preserve">In the result </w:t>
      </w:r>
      <w:r w:rsidR="00C23F13">
        <w:rPr>
          <w:sz w:val="28"/>
          <w:szCs w:val="28"/>
        </w:rPr>
        <w:t xml:space="preserve">an application for the amendment of the </w:t>
      </w:r>
      <w:r w:rsidR="00BD5EBC">
        <w:rPr>
          <w:sz w:val="28"/>
          <w:szCs w:val="28"/>
        </w:rPr>
        <w:t xml:space="preserve">contractor’s </w:t>
      </w:r>
      <w:r w:rsidR="00C23F13">
        <w:rPr>
          <w:sz w:val="28"/>
          <w:szCs w:val="28"/>
        </w:rPr>
        <w:t xml:space="preserve">name to </w:t>
      </w:r>
      <w:r w:rsidR="00C23F13" w:rsidRPr="00C23F13">
        <w:rPr>
          <w:i/>
          <w:sz w:val="28"/>
          <w:szCs w:val="28"/>
        </w:rPr>
        <w:t>‘</w:t>
      </w:r>
      <w:r w:rsidR="00C23F13" w:rsidRPr="00C23F13">
        <w:rPr>
          <w:bCs/>
          <w:sz w:val="28"/>
          <w:szCs w:val="28"/>
        </w:rPr>
        <w:t>Cooperativa Muratori &amp; Cementisti - CMC di Ravenna Societa Cooperativa’</w:t>
      </w:r>
      <w:r w:rsidR="00B077E2">
        <w:rPr>
          <w:sz w:val="28"/>
          <w:szCs w:val="28"/>
        </w:rPr>
        <w:t xml:space="preserve"> </w:t>
      </w:r>
      <w:r w:rsidR="00C23F13">
        <w:rPr>
          <w:sz w:val="28"/>
          <w:szCs w:val="28"/>
        </w:rPr>
        <w:t xml:space="preserve">was made and granted </w:t>
      </w:r>
      <w:r w:rsidR="00C23F13">
        <w:rPr>
          <w:sz w:val="28"/>
          <w:szCs w:val="28"/>
        </w:rPr>
        <w:lastRenderedPageBreak/>
        <w:t xml:space="preserve">without opposition. The case was argued before the court </w:t>
      </w:r>
      <w:r w:rsidR="00C23F13" w:rsidRPr="00C23F13">
        <w:rPr>
          <w:i/>
          <w:sz w:val="28"/>
          <w:szCs w:val="28"/>
        </w:rPr>
        <w:t>a quo</w:t>
      </w:r>
      <w:r w:rsidR="00C23F13">
        <w:rPr>
          <w:sz w:val="28"/>
          <w:szCs w:val="28"/>
        </w:rPr>
        <w:t xml:space="preserve">, and in this </w:t>
      </w:r>
      <w:r w:rsidR="001057FE">
        <w:rPr>
          <w:sz w:val="28"/>
          <w:szCs w:val="28"/>
        </w:rPr>
        <w:t>C</w:t>
      </w:r>
      <w:r w:rsidR="00C23F13">
        <w:rPr>
          <w:sz w:val="28"/>
          <w:szCs w:val="28"/>
        </w:rPr>
        <w:t>ourt, on the basis that the contract</w:t>
      </w:r>
      <w:r w:rsidR="00424C42">
        <w:rPr>
          <w:sz w:val="28"/>
          <w:szCs w:val="28"/>
        </w:rPr>
        <w:t>or</w:t>
      </w:r>
      <w:r w:rsidR="009D6766">
        <w:rPr>
          <w:sz w:val="28"/>
          <w:szCs w:val="28"/>
        </w:rPr>
        <w:t xml:space="preserve"> </w:t>
      </w:r>
      <w:r w:rsidR="00424C42">
        <w:rPr>
          <w:sz w:val="28"/>
          <w:szCs w:val="28"/>
        </w:rPr>
        <w:t>was the company bearing the amended name. It is an Italian company, registered as such in that country. For no disclosed reason the court papers which have been delivered since the amendment was granted continue to use the name in which the contractor was originally cited.</w:t>
      </w:r>
      <w:r w:rsidR="00477DA5">
        <w:rPr>
          <w:sz w:val="28"/>
          <w:szCs w:val="28"/>
        </w:rPr>
        <w:t xml:space="preserve"> </w:t>
      </w:r>
      <w:r w:rsidR="00424C42">
        <w:rPr>
          <w:sz w:val="28"/>
          <w:szCs w:val="28"/>
        </w:rPr>
        <w:t xml:space="preserve">This has been corrected in this judgment, </w:t>
      </w:r>
      <w:r w:rsidR="005A5A4B" w:rsidRPr="002430D2">
        <w:rPr>
          <w:i/>
          <w:iCs/>
          <w:sz w:val="28"/>
          <w:szCs w:val="28"/>
        </w:rPr>
        <w:t>inter alia</w:t>
      </w:r>
      <w:r w:rsidR="005A5A4B">
        <w:rPr>
          <w:sz w:val="28"/>
          <w:szCs w:val="28"/>
        </w:rPr>
        <w:t xml:space="preserve"> </w:t>
      </w:r>
      <w:r w:rsidR="00424C42">
        <w:rPr>
          <w:sz w:val="28"/>
          <w:szCs w:val="28"/>
        </w:rPr>
        <w:t>to avoid confusion</w:t>
      </w:r>
      <w:r w:rsidR="001057FE">
        <w:rPr>
          <w:sz w:val="28"/>
          <w:szCs w:val="28"/>
        </w:rPr>
        <w:t>, especially</w:t>
      </w:r>
      <w:r w:rsidR="00424C42">
        <w:rPr>
          <w:sz w:val="28"/>
          <w:szCs w:val="28"/>
        </w:rPr>
        <w:t xml:space="preserve"> in Italy</w:t>
      </w:r>
      <w:r w:rsidR="001057FE">
        <w:rPr>
          <w:sz w:val="28"/>
          <w:szCs w:val="28"/>
        </w:rPr>
        <w:t>,</w:t>
      </w:r>
      <w:r w:rsidR="00424C42">
        <w:rPr>
          <w:sz w:val="28"/>
          <w:szCs w:val="28"/>
        </w:rPr>
        <w:t xml:space="preserve"> where </w:t>
      </w:r>
      <w:r w:rsidR="001057FE">
        <w:rPr>
          <w:sz w:val="28"/>
          <w:szCs w:val="28"/>
        </w:rPr>
        <w:t xml:space="preserve">the use of </w:t>
      </w:r>
      <w:r w:rsidR="00424C42">
        <w:rPr>
          <w:sz w:val="28"/>
          <w:szCs w:val="28"/>
        </w:rPr>
        <w:t>the original incorrect citation may not be easily explained.</w:t>
      </w:r>
    </w:p>
    <w:p w14:paraId="775E9248" w14:textId="77777777" w:rsidR="00105026" w:rsidRDefault="00105026" w:rsidP="00424C42">
      <w:pPr>
        <w:spacing w:line="360" w:lineRule="auto"/>
        <w:jc w:val="both"/>
        <w:rPr>
          <w:sz w:val="28"/>
          <w:szCs w:val="28"/>
        </w:rPr>
      </w:pPr>
    </w:p>
    <w:p w14:paraId="021EDDE1" w14:textId="148C6211" w:rsidR="00D90C18" w:rsidRDefault="00105026" w:rsidP="00424C42">
      <w:pPr>
        <w:spacing w:line="360" w:lineRule="auto"/>
        <w:jc w:val="both"/>
        <w:rPr>
          <w:sz w:val="28"/>
          <w:szCs w:val="28"/>
        </w:rPr>
      </w:pPr>
      <w:r>
        <w:rPr>
          <w:sz w:val="28"/>
          <w:szCs w:val="28"/>
        </w:rPr>
        <w:t>[3]</w:t>
      </w:r>
      <w:r>
        <w:rPr>
          <w:sz w:val="28"/>
          <w:szCs w:val="28"/>
        </w:rPr>
        <w:tab/>
      </w:r>
      <w:r w:rsidR="00176285">
        <w:rPr>
          <w:sz w:val="28"/>
          <w:szCs w:val="28"/>
        </w:rPr>
        <w:t xml:space="preserve">The contract </w:t>
      </w:r>
      <w:r w:rsidR="00D90C18">
        <w:rPr>
          <w:sz w:val="28"/>
          <w:szCs w:val="28"/>
        </w:rPr>
        <w:t>between the parties was a fairly substantial one, judging from the figures mentioned in the papers. Expenditure on it exceeded R300 million. It was concluded in 2015, but cancelled by the contractor in December 2018.</w:t>
      </w:r>
      <w:r w:rsidR="00C23F13">
        <w:rPr>
          <w:sz w:val="28"/>
          <w:szCs w:val="28"/>
        </w:rPr>
        <w:t xml:space="preserve"> </w:t>
      </w:r>
      <w:r w:rsidR="00D90C18">
        <w:rPr>
          <w:sz w:val="28"/>
          <w:szCs w:val="28"/>
        </w:rPr>
        <w:t>The cancel</w:t>
      </w:r>
      <w:r w:rsidR="00B75D2E">
        <w:rPr>
          <w:sz w:val="28"/>
          <w:szCs w:val="28"/>
        </w:rPr>
        <w:t>lation of</w:t>
      </w:r>
      <w:r w:rsidR="00D90C18">
        <w:rPr>
          <w:sz w:val="28"/>
          <w:szCs w:val="28"/>
        </w:rPr>
        <w:t xml:space="preserve"> the agreement was not challenged by the employer.</w:t>
      </w:r>
    </w:p>
    <w:p w14:paraId="7532AED1" w14:textId="77777777" w:rsidR="00D90C18" w:rsidRDefault="00D90C18" w:rsidP="00424C42">
      <w:pPr>
        <w:spacing w:line="360" w:lineRule="auto"/>
        <w:jc w:val="both"/>
        <w:rPr>
          <w:sz w:val="28"/>
          <w:szCs w:val="28"/>
        </w:rPr>
      </w:pPr>
    </w:p>
    <w:p w14:paraId="34697CF8" w14:textId="79657A10" w:rsidR="00AF18FD" w:rsidRDefault="00D90C18" w:rsidP="00424C42">
      <w:pPr>
        <w:spacing w:line="360" w:lineRule="auto"/>
        <w:jc w:val="both"/>
        <w:rPr>
          <w:sz w:val="28"/>
          <w:szCs w:val="28"/>
        </w:rPr>
      </w:pPr>
      <w:r>
        <w:rPr>
          <w:sz w:val="28"/>
          <w:szCs w:val="28"/>
        </w:rPr>
        <w:t>[4]</w:t>
      </w:r>
      <w:r>
        <w:rPr>
          <w:sz w:val="28"/>
          <w:szCs w:val="28"/>
        </w:rPr>
        <w:tab/>
        <w:t xml:space="preserve">The contract allowed for the submission of unresolved disputes between the parties to </w:t>
      </w:r>
      <w:r w:rsidR="00647B54">
        <w:rPr>
          <w:sz w:val="28"/>
          <w:szCs w:val="28"/>
        </w:rPr>
        <w:t>a</w:t>
      </w:r>
      <w:r>
        <w:rPr>
          <w:sz w:val="28"/>
          <w:szCs w:val="28"/>
        </w:rPr>
        <w:t>djudication</w:t>
      </w:r>
      <w:r w:rsidR="00647B54">
        <w:rPr>
          <w:sz w:val="28"/>
          <w:szCs w:val="28"/>
        </w:rPr>
        <w:t>, a common feature of construction contracts.</w:t>
      </w:r>
      <w:r w:rsidR="00477DA5">
        <w:rPr>
          <w:sz w:val="28"/>
          <w:szCs w:val="28"/>
        </w:rPr>
        <w:t xml:space="preserve"> </w:t>
      </w:r>
      <w:r w:rsidR="00647B54">
        <w:rPr>
          <w:sz w:val="28"/>
          <w:szCs w:val="28"/>
        </w:rPr>
        <w:t>Three referrals to adjudication made by the contractor gave rise to the present litigation. The referrals were in each case to a Mr K B Spence</w:t>
      </w:r>
      <w:r w:rsidR="00B512DC">
        <w:rPr>
          <w:sz w:val="28"/>
          <w:szCs w:val="28"/>
        </w:rPr>
        <w:t>.</w:t>
      </w:r>
      <w:r w:rsidR="00647B54">
        <w:rPr>
          <w:sz w:val="28"/>
          <w:szCs w:val="28"/>
        </w:rPr>
        <w:t xml:space="preserve"> He delivered two decisions on 8 </w:t>
      </w:r>
      <w:r w:rsidR="00B512DC">
        <w:rPr>
          <w:sz w:val="28"/>
          <w:szCs w:val="28"/>
        </w:rPr>
        <w:t>A</w:t>
      </w:r>
      <w:r w:rsidR="00647B54">
        <w:rPr>
          <w:sz w:val="28"/>
          <w:szCs w:val="28"/>
        </w:rPr>
        <w:t>ugust 2019 and one on 10 August 2019</w:t>
      </w:r>
      <w:r w:rsidR="00B512DC">
        <w:rPr>
          <w:sz w:val="28"/>
          <w:szCs w:val="28"/>
        </w:rPr>
        <w:t xml:space="preserve">. The contentious elements of the </w:t>
      </w:r>
      <w:r w:rsidR="00153D69">
        <w:rPr>
          <w:sz w:val="28"/>
          <w:szCs w:val="28"/>
        </w:rPr>
        <w:t>decisions</w:t>
      </w:r>
      <w:r w:rsidR="00B512DC">
        <w:rPr>
          <w:sz w:val="28"/>
          <w:szCs w:val="28"/>
        </w:rPr>
        <w:t xml:space="preserve"> from the perspective of this litigation are the findings that the employer must pay </w:t>
      </w:r>
      <w:r w:rsidR="00FA4510">
        <w:rPr>
          <w:sz w:val="28"/>
          <w:szCs w:val="28"/>
        </w:rPr>
        <w:t>the contractor th</w:t>
      </w:r>
      <w:r w:rsidR="00B512DC">
        <w:rPr>
          <w:sz w:val="28"/>
          <w:szCs w:val="28"/>
        </w:rPr>
        <w:t>e sums of R2 049 130.48 and R8 129 492.42, together with interest thereon as stipulated in the contract.</w:t>
      </w:r>
    </w:p>
    <w:p w14:paraId="4DEBF602" w14:textId="77777777" w:rsidR="00B512DC" w:rsidRDefault="00B512DC" w:rsidP="00424C42">
      <w:pPr>
        <w:spacing w:line="360" w:lineRule="auto"/>
        <w:jc w:val="both"/>
        <w:rPr>
          <w:sz w:val="28"/>
          <w:szCs w:val="28"/>
        </w:rPr>
      </w:pPr>
    </w:p>
    <w:p w14:paraId="7049823D" w14:textId="7295F9A1" w:rsidR="00B512DC" w:rsidRDefault="00B512DC" w:rsidP="00424C42">
      <w:pPr>
        <w:spacing w:line="360" w:lineRule="auto"/>
        <w:jc w:val="both"/>
        <w:rPr>
          <w:sz w:val="28"/>
          <w:szCs w:val="28"/>
        </w:rPr>
      </w:pPr>
      <w:r>
        <w:rPr>
          <w:sz w:val="28"/>
          <w:szCs w:val="28"/>
        </w:rPr>
        <w:t>[5]</w:t>
      </w:r>
      <w:r>
        <w:rPr>
          <w:sz w:val="28"/>
          <w:szCs w:val="28"/>
        </w:rPr>
        <w:tab/>
        <w:t xml:space="preserve">The employer failed to comply with the decisions of the adjudicator. The contractor applied to the </w:t>
      </w:r>
      <w:r w:rsidR="004676DC">
        <w:rPr>
          <w:sz w:val="28"/>
          <w:szCs w:val="28"/>
        </w:rPr>
        <w:t>h</w:t>
      </w:r>
      <w:r>
        <w:rPr>
          <w:sz w:val="28"/>
          <w:szCs w:val="28"/>
        </w:rPr>
        <w:t xml:space="preserve">igh </w:t>
      </w:r>
      <w:r w:rsidR="004676DC">
        <w:rPr>
          <w:sz w:val="28"/>
          <w:szCs w:val="28"/>
        </w:rPr>
        <w:t>c</w:t>
      </w:r>
      <w:r>
        <w:rPr>
          <w:sz w:val="28"/>
          <w:szCs w:val="28"/>
        </w:rPr>
        <w:t>ourt for orders making the decisions orders of court, and for an order directing the employer to pay the amounts just mentioned to the contractor.</w:t>
      </w:r>
      <w:r w:rsidR="00FA4510">
        <w:rPr>
          <w:sz w:val="28"/>
          <w:szCs w:val="28"/>
        </w:rPr>
        <w:t xml:space="preserve"> The </w:t>
      </w:r>
      <w:r w:rsidR="004676DC">
        <w:rPr>
          <w:sz w:val="28"/>
          <w:szCs w:val="28"/>
        </w:rPr>
        <w:t>h</w:t>
      </w:r>
      <w:r w:rsidR="00FA4510">
        <w:rPr>
          <w:sz w:val="28"/>
          <w:szCs w:val="28"/>
        </w:rPr>
        <w:t xml:space="preserve">igh </w:t>
      </w:r>
      <w:r w:rsidR="004676DC">
        <w:rPr>
          <w:sz w:val="28"/>
          <w:szCs w:val="28"/>
        </w:rPr>
        <w:t>c</w:t>
      </w:r>
      <w:r w:rsidR="00FA4510">
        <w:rPr>
          <w:sz w:val="28"/>
          <w:szCs w:val="28"/>
        </w:rPr>
        <w:t xml:space="preserve">ourt granted that relief, and subsequently granted the employer leave to appeal to this </w:t>
      </w:r>
      <w:r w:rsidR="001057FE">
        <w:rPr>
          <w:sz w:val="28"/>
          <w:szCs w:val="28"/>
        </w:rPr>
        <w:t>C</w:t>
      </w:r>
      <w:r w:rsidR="00FA4510">
        <w:rPr>
          <w:sz w:val="28"/>
          <w:szCs w:val="28"/>
        </w:rPr>
        <w:t>ourt.</w:t>
      </w:r>
      <w:r>
        <w:rPr>
          <w:sz w:val="28"/>
          <w:szCs w:val="28"/>
        </w:rPr>
        <w:tab/>
      </w:r>
    </w:p>
    <w:p w14:paraId="4F16645B" w14:textId="77777777" w:rsidR="00D34CF2" w:rsidRDefault="00D34CF2" w:rsidP="00424C42">
      <w:pPr>
        <w:spacing w:line="360" w:lineRule="auto"/>
        <w:jc w:val="both"/>
        <w:rPr>
          <w:sz w:val="28"/>
          <w:szCs w:val="28"/>
        </w:rPr>
      </w:pPr>
    </w:p>
    <w:p w14:paraId="2914DD30" w14:textId="4FB0BB74" w:rsidR="00DF1263" w:rsidRDefault="00D34CF2" w:rsidP="00424C42">
      <w:pPr>
        <w:spacing w:line="360" w:lineRule="auto"/>
        <w:jc w:val="both"/>
        <w:rPr>
          <w:sz w:val="28"/>
          <w:szCs w:val="28"/>
        </w:rPr>
      </w:pPr>
      <w:r>
        <w:rPr>
          <w:sz w:val="28"/>
          <w:szCs w:val="28"/>
        </w:rPr>
        <w:lastRenderedPageBreak/>
        <w:t>[6]</w:t>
      </w:r>
      <w:r>
        <w:rPr>
          <w:sz w:val="28"/>
          <w:szCs w:val="28"/>
        </w:rPr>
        <w:tab/>
        <w:t xml:space="preserve">The validity of the referral to adjudication of the disputes is not challenged by the employer. The </w:t>
      </w:r>
      <w:r w:rsidR="00153D69">
        <w:rPr>
          <w:sz w:val="28"/>
          <w:szCs w:val="28"/>
        </w:rPr>
        <w:t>decisions of</w:t>
      </w:r>
      <w:r>
        <w:rPr>
          <w:sz w:val="28"/>
          <w:szCs w:val="28"/>
        </w:rPr>
        <w:t xml:space="preserve"> the adjudicator are not challenged on the basis that there was any deviation from what was required and permitted to be done by the adjudicator. The employer approached the case in the high court, and before this Court on appeal, on the basis that the </w:t>
      </w:r>
      <w:r w:rsidR="00153D69">
        <w:rPr>
          <w:sz w:val="28"/>
          <w:szCs w:val="28"/>
        </w:rPr>
        <w:t>decisions</w:t>
      </w:r>
      <w:r>
        <w:rPr>
          <w:sz w:val="28"/>
          <w:szCs w:val="28"/>
        </w:rPr>
        <w:t xml:space="preserve"> are legitimate</w:t>
      </w:r>
      <w:r w:rsidR="008C19FF">
        <w:rPr>
          <w:sz w:val="28"/>
          <w:szCs w:val="28"/>
        </w:rPr>
        <w:t>,</w:t>
      </w:r>
      <w:r>
        <w:rPr>
          <w:sz w:val="28"/>
          <w:szCs w:val="28"/>
        </w:rPr>
        <w:t xml:space="preserve"> but</w:t>
      </w:r>
      <w:r w:rsidR="008C19FF">
        <w:rPr>
          <w:sz w:val="28"/>
          <w:szCs w:val="28"/>
        </w:rPr>
        <w:t xml:space="preserve"> may</w:t>
      </w:r>
      <w:r>
        <w:rPr>
          <w:sz w:val="28"/>
          <w:szCs w:val="28"/>
        </w:rPr>
        <w:t xml:space="preserve"> nevert</w:t>
      </w:r>
      <w:r w:rsidR="00DF1263">
        <w:rPr>
          <w:sz w:val="28"/>
          <w:szCs w:val="28"/>
        </w:rPr>
        <w:t xml:space="preserve">heless </w:t>
      </w:r>
      <w:r w:rsidR="008C19FF">
        <w:rPr>
          <w:sz w:val="28"/>
          <w:szCs w:val="28"/>
        </w:rPr>
        <w:t>in due course be</w:t>
      </w:r>
      <w:r w:rsidR="00153D69">
        <w:rPr>
          <w:sz w:val="28"/>
          <w:szCs w:val="28"/>
        </w:rPr>
        <w:t xml:space="preserve"> revised</w:t>
      </w:r>
      <w:r w:rsidR="008C19FF">
        <w:rPr>
          <w:sz w:val="28"/>
          <w:szCs w:val="28"/>
        </w:rPr>
        <w:t xml:space="preserve"> </w:t>
      </w:r>
      <w:r w:rsidR="00DF1263">
        <w:rPr>
          <w:sz w:val="28"/>
          <w:szCs w:val="28"/>
        </w:rPr>
        <w:t>.</w:t>
      </w:r>
    </w:p>
    <w:p w14:paraId="20764405" w14:textId="77777777" w:rsidR="00DF1263" w:rsidRDefault="00DF1263" w:rsidP="00424C42">
      <w:pPr>
        <w:spacing w:line="360" w:lineRule="auto"/>
        <w:jc w:val="both"/>
        <w:rPr>
          <w:sz w:val="28"/>
          <w:szCs w:val="28"/>
        </w:rPr>
      </w:pPr>
    </w:p>
    <w:p w14:paraId="741C3587" w14:textId="77777777" w:rsidR="00DF1263" w:rsidRDefault="00DF1263" w:rsidP="00424C42">
      <w:pPr>
        <w:spacing w:line="360" w:lineRule="auto"/>
        <w:jc w:val="both"/>
        <w:rPr>
          <w:sz w:val="28"/>
          <w:szCs w:val="28"/>
        </w:rPr>
      </w:pPr>
      <w:r>
        <w:rPr>
          <w:sz w:val="28"/>
          <w:szCs w:val="28"/>
        </w:rPr>
        <w:t>[7]</w:t>
      </w:r>
      <w:r>
        <w:rPr>
          <w:sz w:val="28"/>
          <w:szCs w:val="28"/>
        </w:rPr>
        <w:tab/>
        <w:t>The provisions of the contract which operate in such circumstances are the following.</w:t>
      </w:r>
    </w:p>
    <w:p w14:paraId="793E6158" w14:textId="4508BD56" w:rsidR="00DF1263" w:rsidRPr="00DF1263" w:rsidRDefault="000658C2" w:rsidP="00424C42">
      <w:pPr>
        <w:spacing w:line="360" w:lineRule="auto"/>
        <w:jc w:val="both"/>
      </w:pPr>
      <w:r>
        <w:rPr>
          <w:sz w:val="28"/>
          <w:szCs w:val="28"/>
        </w:rPr>
        <w:t>‘</w:t>
      </w:r>
      <w:r w:rsidR="00DF1263" w:rsidRPr="00DF1263">
        <w:t>10.6.1</w:t>
      </w:r>
      <w:r w:rsidR="00DF1263" w:rsidRPr="00DF1263">
        <w:tab/>
        <w:t>Either party shall have the right to disagree with any decision of the Adjudication Board and refer the matter to arbitration or court proceedings, whichever is applicable in terms of the contract;</w:t>
      </w:r>
    </w:p>
    <w:p w14:paraId="69295CFC" w14:textId="77777777" w:rsidR="00DF1263" w:rsidRPr="00DF1263" w:rsidRDefault="00DF1263" w:rsidP="00424C42">
      <w:pPr>
        <w:spacing w:line="360" w:lineRule="auto"/>
        <w:jc w:val="both"/>
      </w:pPr>
      <w:r w:rsidRPr="00DF1263">
        <w:t>Provided that:</w:t>
      </w:r>
    </w:p>
    <w:p w14:paraId="416247E9" w14:textId="6E1119FE" w:rsidR="0047108E" w:rsidRDefault="00DF1263" w:rsidP="00DF1263">
      <w:pPr>
        <w:spacing w:line="360" w:lineRule="auto"/>
        <w:jc w:val="both"/>
        <w:rPr>
          <w:sz w:val="28"/>
        </w:rPr>
      </w:pPr>
      <w:r w:rsidRPr="00DF1263">
        <w:t>10.6.1</w:t>
      </w:r>
      <w:r w:rsidR="0047108E">
        <w:t>.</w:t>
      </w:r>
      <w:r w:rsidRPr="00DF1263">
        <w:t>1</w:t>
      </w:r>
      <w:r w:rsidR="000F6B86">
        <w:t xml:space="preserve"> </w:t>
      </w:r>
      <w:r w:rsidRPr="00DF1263">
        <w:t>The decision shall be binding on both parties unless and until it is revised by an arbitration award or court judgment, whichever is applicable in terms of the contract.</w:t>
      </w:r>
      <w:r w:rsidR="0005444E">
        <w:t>’</w:t>
      </w:r>
    </w:p>
    <w:p w14:paraId="726D7BB3" w14:textId="211F0602" w:rsidR="00DF1263" w:rsidRDefault="0047108E" w:rsidP="00DF1263">
      <w:pPr>
        <w:spacing w:line="360" w:lineRule="auto"/>
        <w:jc w:val="both"/>
        <w:rPr>
          <w:sz w:val="28"/>
        </w:rPr>
      </w:pPr>
      <w:r>
        <w:rPr>
          <w:sz w:val="28"/>
        </w:rPr>
        <w:t>A further proviso regulates the timing</w:t>
      </w:r>
      <w:r w:rsidR="005A5A4B">
        <w:rPr>
          <w:sz w:val="28"/>
        </w:rPr>
        <w:t xml:space="preserve"> and manner</w:t>
      </w:r>
      <w:r>
        <w:rPr>
          <w:sz w:val="28"/>
        </w:rPr>
        <w:t xml:space="preserve"> of notification of any dispute raised by </w:t>
      </w:r>
      <w:r w:rsidR="005A5A4B">
        <w:rPr>
          <w:sz w:val="28"/>
        </w:rPr>
        <w:t>a</w:t>
      </w:r>
      <w:r>
        <w:rPr>
          <w:sz w:val="28"/>
        </w:rPr>
        <w:t xml:space="preserve"> party</w:t>
      </w:r>
      <w:r w:rsidR="005A5A4B">
        <w:rPr>
          <w:sz w:val="28"/>
        </w:rPr>
        <w:t xml:space="preserve"> </w:t>
      </w:r>
      <w:r w:rsidR="008C19FF">
        <w:rPr>
          <w:sz w:val="28"/>
        </w:rPr>
        <w:t xml:space="preserve">with regard </w:t>
      </w:r>
      <w:r w:rsidR="005A5A4B">
        <w:rPr>
          <w:sz w:val="28"/>
        </w:rPr>
        <w:t>to the adjudicator’s decisions.</w:t>
      </w:r>
      <w:r>
        <w:rPr>
          <w:sz w:val="28"/>
        </w:rPr>
        <w:t xml:space="preserve"> Compliance with th</w:t>
      </w:r>
      <w:r w:rsidR="00AD7D1D">
        <w:rPr>
          <w:sz w:val="28"/>
        </w:rPr>
        <w:t>o</w:t>
      </w:r>
      <w:r>
        <w:rPr>
          <w:sz w:val="28"/>
        </w:rPr>
        <w:t xml:space="preserve">se provisions is </w:t>
      </w:r>
      <w:r w:rsidR="00AD7D1D">
        <w:rPr>
          <w:sz w:val="28"/>
        </w:rPr>
        <w:t xml:space="preserve">on the face of it </w:t>
      </w:r>
      <w:r>
        <w:rPr>
          <w:sz w:val="28"/>
        </w:rPr>
        <w:t xml:space="preserve">mandatory. The employer has notified the contractor that the </w:t>
      </w:r>
      <w:r w:rsidR="00153D69">
        <w:rPr>
          <w:sz w:val="28"/>
        </w:rPr>
        <w:t>decisions</w:t>
      </w:r>
      <w:r>
        <w:rPr>
          <w:sz w:val="28"/>
        </w:rPr>
        <w:t xml:space="preserve"> are disputed, and commenced action in the high court to have the</w:t>
      </w:r>
      <w:r w:rsidR="00153D69">
        <w:rPr>
          <w:sz w:val="28"/>
        </w:rPr>
        <w:t>m</w:t>
      </w:r>
      <w:r w:rsidR="00477DA5">
        <w:rPr>
          <w:sz w:val="28"/>
        </w:rPr>
        <w:t xml:space="preserve"> </w:t>
      </w:r>
      <w:r>
        <w:rPr>
          <w:sz w:val="28"/>
        </w:rPr>
        <w:t xml:space="preserve">revised. The contractor contends that the employer’s notification of the dispute was not in compliance with the provisions of the contract, as a result of which the adjudication </w:t>
      </w:r>
      <w:r w:rsidR="00153D69">
        <w:rPr>
          <w:sz w:val="28"/>
        </w:rPr>
        <w:t>decisions</w:t>
      </w:r>
      <w:r>
        <w:rPr>
          <w:sz w:val="28"/>
        </w:rPr>
        <w:t xml:space="preserve"> have become final.</w:t>
      </w:r>
      <w:r w:rsidR="00AD7D1D">
        <w:rPr>
          <w:sz w:val="28"/>
        </w:rPr>
        <w:t xml:space="preserve"> In the view </w:t>
      </w:r>
      <w:r w:rsidR="00C81970">
        <w:rPr>
          <w:sz w:val="28"/>
        </w:rPr>
        <w:t>I</w:t>
      </w:r>
      <w:r w:rsidR="00AD7D1D">
        <w:rPr>
          <w:sz w:val="28"/>
        </w:rPr>
        <w:t xml:space="preserve"> take of the matter there is no need for that issue to be decided in this appeal. </w:t>
      </w:r>
      <w:r w:rsidR="005A5A4B">
        <w:rPr>
          <w:sz w:val="28"/>
        </w:rPr>
        <w:t>We were advised during argument that the issue features in the pleadings in the action.</w:t>
      </w:r>
    </w:p>
    <w:p w14:paraId="6D2F7BDC" w14:textId="77777777" w:rsidR="00AD7D1D" w:rsidRDefault="00AD7D1D" w:rsidP="00DF1263">
      <w:pPr>
        <w:spacing w:line="360" w:lineRule="auto"/>
        <w:jc w:val="both"/>
        <w:rPr>
          <w:sz w:val="28"/>
        </w:rPr>
      </w:pPr>
    </w:p>
    <w:p w14:paraId="51AF8E3F" w14:textId="42773175" w:rsidR="00B4279D" w:rsidRDefault="00AD7D1D" w:rsidP="000658C2">
      <w:pPr>
        <w:tabs>
          <w:tab w:val="left" w:pos="795"/>
        </w:tabs>
        <w:spacing w:line="360" w:lineRule="auto"/>
        <w:jc w:val="both"/>
        <w:rPr>
          <w:sz w:val="28"/>
        </w:rPr>
      </w:pPr>
      <w:r>
        <w:rPr>
          <w:sz w:val="28"/>
        </w:rPr>
        <w:t>[8]</w:t>
      </w:r>
      <w:r w:rsidR="000658C2">
        <w:rPr>
          <w:sz w:val="28"/>
        </w:rPr>
        <w:tab/>
        <w:t xml:space="preserve">The employer accepts that in the ordinary course the fact that the </w:t>
      </w:r>
      <w:r w:rsidR="0075028A">
        <w:rPr>
          <w:sz w:val="28"/>
        </w:rPr>
        <w:t>decisions</w:t>
      </w:r>
      <w:r w:rsidR="000658C2">
        <w:rPr>
          <w:sz w:val="28"/>
        </w:rPr>
        <w:t xml:space="preserve"> are</w:t>
      </w:r>
      <w:r w:rsidR="0005444E">
        <w:rPr>
          <w:sz w:val="28"/>
        </w:rPr>
        <w:t xml:space="preserve"> binding on the parties, as they have been since they were made, </w:t>
      </w:r>
      <w:r w:rsidR="006547B1">
        <w:rPr>
          <w:sz w:val="28"/>
        </w:rPr>
        <w:t xml:space="preserve">means that </w:t>
      </w:r>
      <w:r w:rsidR="0005444E">
        <w:rPr>
          <w:sz w:val="28"/>
        </w:rPr>
        <w:t xml:space="preserve">the contractor would </w:t>
      </w:r>
      <w:r w:rsidR="008C19FF">
        <w:rPr>
          <w:sz w:val="28"/>
        </w:rPr>
        <w:t xml:space="preserve">ordinarily </w:t>
      </w:r>
      <w:r w:rsidR="0005444E">
        <w:rPr>
          <w:sz w:val="28"/>
        </w:rPr>
        <w:t xml:space="preserve">be entitled to its money now; which means that the order </w:t>
      </w:r>
      <w:r w:rsidR="00C81970">
        <w:rPr>
          <w:sz w:val="28"/>
        </w:rPr>
        <w:t>the contractor</w:t>
      </w:r>
      <w:r w:rsidR="0005444E">
        <w:rPr>
          <w:sz w:val="28"/>
        </w:rPr>
        <w:t xml:space="preserve"> sought</w:t>
      </w:r>
      <w:r w:rsidR="00B042F3">
        <w:rPr>
          <w:sz w:val="28"/>
        </w:rPr>
        <w:t xml:space="preserve"> in the high court</w:t>
      </w:r>
      <w:r w:rsidR="0005444E">
        <w:rPr>
          <w:sz w:val="28"/>
        </w:rPr>
        <w:t xml:space="preserve"> would have been properly </w:t>
      </w:r>
      <w:r w:rsidR="0005444E">
        <w:rPr>
          <w:sz w:val="28"/>
        </w:rPr>
        <w:lastRenderedPageBreak/>
        <w:t>granted.</w:t>
      </w:r>
      <w:r w:rsidR="00C81970">
        <w:rPr>
          <w:sz w:val="28"/>
        </w:rPr>
        <w:t xml:space="preserve"> But the employer contends that given the particular circumstances which prevail in this case</w:t>
      </w:r>
      <w:r w:rsidR="00576FD2">
        <w:rPr>
          <w:sz w:val="28"/>
        </w:rPr>
        <w:t>,</w:t>
      </w:r>
      <w:r w:rsidR="00C81970">
        <w:rPr>
          <w:sz w:val="28"/>
        </w:rPr>
        <w:t xml:space="preserve"> relief should not have been granted</w:t>
      </w:r>
      <w:r w:rsidR="00B042F3">
        <w:rPr>
          <w:sz w:val="28"/>
        </w:rPr>
        <w:t>.</w:t>
      </w:r>
    </w:p>
    <w:p w14:paraId="56F0F34F" w14:textId="77777777" w:rsidR="00B4279D" w:rsidRDefault="00B4279D" w:rsidP="000658C2">
      <w:pPr>
        <w:tabs>
          <w:tab w:val="left" w:pos="795"/>
        </w:tabs>
        <w:spacing w:line="360" w:lineRule="auto"/>
        <w:jc w:val="both"/>
        <w:rPr>
          <w:sz w:val="28"/>
        </w:rPr>
      </w:pPr>
    </w:p>
    <w:p w14:paraId="74B2F12B" w14:textId="373A85B3" w:rsidR="00AD7D1D" w:rsidRDefault="006A3081" w:rsidP="000658C2">
      <w:pPr>
        <w:tabs>
          <w:tab w:val="left" w:pos="795"/>
        </w:tabs>
        <w:spacing w:line="360" w:lineRule="auto"/>
        <w:jc w:val="both"/>
        <w:rPr>
          <w:sz w:val="28"/>
        </w:rPr>
      </w:pPr>
      <w:r>
        <w:rPr>
          <w:sz w:val="28"/>
        </w:rPr>
        <w:t>[9]</w:t>
      </w:r>
      <w:r>
        <w:rPr>
          <w:sz w:val="28"/>
        </w:rPr>
        <w:tab/>
      </w:r>
      <w:r w:rsidR="00324031">
        <w:rPr>
          <w:sz w:val="28"/>
        </w:rPr>
        <w:t>The business and affairs of the contractor are presently conducted</w:t>
      </w:r>
      <w:r w:rsidR="000658C2">
        <w:rPr>
          <w:sz w:val="28"/>
        </w:rPr>
        <w:t xml:space="preserve"> </w:t>
      </w:r>
      <w:r w:rsidR="00324031">
        <w:rPr>
          <w:sz w:val="28"/>
        </w:rPr>
        <w:t>subject to the provisions of a regime established under Italian law for the benefit of distressed companies and their creditors, and</w:t>
      </w:r>
      <w:r w:rsidR="00D620D9">
        <w:rPr>
          <w:sz w:val="28"/>
        </w:rPr>
        <w:t xml:space="preserve"> in this case</w:t>
      </w:r>
      <w:r w:rsidR="00324031">
        <w:rPr>
          <w:sz w:val="28"/>
        </w:rPr>
        <w:t xml:space="preserve"> imposed under that law by Italian </w:t>
      </w:r>
      <w:r w:rsidR="00BF4034">
        <w:rPr>
          <w:sz w:val="28"/>
        </w:rPr>
        <w:t>c</w:t>
      </w:r>
      <w:r w:rsidR="00324031">
        <w:rPr>
          <w:sz w:val="28"/>
        </w:rPr>
        <w:t>ourts on the application of the contractor. The regime is described in an affidavit of an Italian lawyer w</w:t>
      </w:r>
      <w:r w:rsidR="00D620D9">
        <w:rPr>
          <w:sz w:val="28"/>
        </w:rPr>
        <w:t>ho is a specialist in corporate bankruptcy law. His affidavit is not challenged. Under the regime to which the contractor is subjected</w:t>
      </w:r>
      <w:r w:rsidR="00576FD2">
        <w:rPr>
          <w:sz w:val="28"/>
        </w:rPr>
        <w:t>,</w:t>
      </w:r>
      <w:r w:rsidR="00D620D9">
        <w:rPr>
          <w:sz w:val="28"/>
        </w:rPr>
        <w:t xml:space="preserve"> the directors continue to perform their f</w:t>
      </w:r>
      <w:r w:rsidR="00136369">
        <w:rPr>
          <w:sz w:val="28"/>
        </w:rPr>
        <w:t>u</w:t>
      </w:r>
      <w:r w:rsidR="00D620D9">
        <w:rPr>
          <w:sz w:val="28"/>
        </w:rPr>
        <w:t>nctions as such</w:t>
      </w:r>
      <w:r w:rsidR="00136369">
        <w:rPr>
          <w:sz w:val="28"/>
        </w:rPr>
        <w:t xml:space="preserve">, with a specific emphasis on the recovery of what is owed to the company. The position appears </w:t>
      </w:r>
      <w:r w:rsidR="00CC7132">
        <w:rPr>
          <w:sz w:val="28"/>
        </w:rPr>
        <w:t xml:space="preserve">to </w:t>
      </w:r>
      <w:r w:rsidR="00136369">
        <w:rPr>
          <w:sz w:val="28"/>
        </w:rPr>
        <w:t>be that an arrangement with creditors with a view to achieving the long-term survival of the contractor is planned, but bankruptcy is clearly another potential outcome.</w:t>
      </w:r>
      <w:r w:rsidR="00324031">
        <w:rPr>
          <w:sz w:val="28"/>
        </w:rPr>
        <w:t xml:space="preserve"> </w:t>
      </w:r>
      <w:r w:rsidR="00136369">
        <w:rPr>
          <w:sz w:val="28"/>
        </w:rPr>
        <w:t xml:space="preserve">These facts or circumstances lie at the centre of the employer’s arguments, which rest </w:t>
      </w:r>
      <w:r w:rsidR="00DF2BD9">
        <w:rPr>
          <w:sz w:val="28"/>
        </w:rPr>
        <w:t xml:space="preserve">in the main </w:t>
      </w:r>
      <w:r w:rsidR="00136369">
        <w:rPr>
          <w:sz w:val="28"/>
        </w:rPr>
        <w:t xml:space="preserve">upon the proposition that there is a risk that if it pays in accordance with the adjudicator’s </w:t>
      </w:r>
      <w:r w:rsidR="0075028A">
        <w:rPr>
          <w:sz w:val="28"/>
        </w:rPr>
        <w:t>decisions</w:t>
      </w:r>
      <w:r w:rsidR="00136369">
        <w:rPr>
          <w:sz w:val="28"/>
        </w:rPr>
        <w:t>, and then succeeds in its action to have the awards overturned, it may not get its money back.</w:t>
      </w:r>
      <w:r w:rsidR="00523FCD">
        <w:rPr>
          <w:sz w:val="28"/>
        </w:rPr>
        <w:t xml:space="preserve"> This is not disputed by the contractor. The risk of liquidation occurring, according to the contractor’s reply, is ‘an unknown at this stage’.</w:t>
      </w:r>
    </w:p>
    <w:p w14:paraId="5BAEA198" w14:textId="77777777" w:rsidR="00523FCD" w:rsidRDefault="00523FCD" w:rsidP="000658C2">
      <w:pPr>
        <w:tabs>
          <w:tab w:val="left" w:pos="795"/>
        </w:tabs>
        <w:spacing w:line="360" w:lineRule="auto"/>
        <w:jc w:val="both"/>
        <w:rPr>
          <w:sz w:val="28"/>
        </w:rPr>
      </w:pPr>
    </w:p>
    <w:p w14:paraId="27F69909" w14:textId="0424FA43" w:rsidR="00495808" w:rsidRDefault="00523FCD" w:rsidP="000658C2">
      <w:pPr>
        <w:tabs>
          <w:tab w:val="left" w:pos="795"/>
        </w:tabs>
        <w:spacing w:line="360" w:lineRule="auto"/>
        <w:jc w:val="both"/>
        <w:rPr>
          <w:sz w:val="28"/>
        </w:rPr>
      </w:pPr>
      <w:r>
        <w:rPr>
          <w:sz w:val="28"/>
        </w:rPr>
        <w:t>[10]</w:t>
      </w:r>
      <w:r>
        <w:rPr>
          <w:sz w:val="28"/>
        </w:rPr>
        <w:tab/>
        <w:t xml:space="preserve">The employer argues that the high court had a discretion to exercise when asked to grant the money judgments, either because </w:t>
      </w:r>
      <w:r w:rsidR="007752FF">
        <w:rPr>
          <w:sz w:val="28"/>
        </w:rPr>
        <w:t xml:space="preserve">what the contractor asked for was an order for specific performance; or because </w:t>
      </w:r>
      <w:r w:rsidR="00CC7132">
        <w:rPr>
          <w:sz w:val="28"/>
        </w:rPr>
        <w:t>the</w:t>
      </w:r>
      <w:r w:rsidR="007752FF">
        <w:rPr>
          <w:sz w:val="28"/>
        </w:rPr>
        <w:t xml:space="preserve"> enforcement </w:t>
      </w:r>
      <w:r w:rsidR="00CC7132">
        <w:rPr>
          <w:sz w:val="28"/>
        </w:rPr>
        <w:t xml:space="preserve">of the </w:t>
      </w:r>
      <w:r w:rsidR="0075028A">
        <w:rPr>
          <w:sz w:val="28"/>
        </w:rPr>
        <w:t>decisions</w:t>
      </w:r>
      <w:r w:rsidR="00CC7132">
        <w:rPr>
          <w:sz w:val="28"/>
        </w:rPr>
        <w:t xml:space="preserve"> </w:t>
      </w:r>
      <w:r w:rsidR="007752FF">
        <w:rPr>
          <w:sz w:val="28"/>
        </w:rPr>
        <w:t>would in this case be contrary to public policy</w:t>
      </w:r>
      <w:r w:rsidR="009F3076">
        <w:rPr>
          <w:sz w:val="28"/>
        </w:rPr>
        <w:t>.</w:t>
      </w:r>
      <w:r w:rsidR="00F67E8D">
        <w:rPr>
          <w:sz w:val="28"/>
        </w:rPr>
        <w:t xml:space="preserve"> </w:t>
      </w:r>
      <w:r w:rsidR="0075028A">
        <w:rPr>
          <w:sz w:val="28"/>
        </w:rPr>
        <w:t>(</w:t>
      </w:r>
      <w:r w:rsidR="00F67E8D">
        <w:rPr>
          <w:sz w:val="28"/>
        </w:rPr>
        <w:t>A</w:t>
      </w:r>
      <w:r w:rsidR="0075028A">
        <w:rPr>
          <w:sz w:val="28"/>
        </w:rPr>
        <w:t xml:space="preserve"> contention that</w:t>
      </w:r>
      <w:r w:rsidR="00477DA5">
        <w:rPr>
          <w:sz w:val="28"/>
        </w:rPr>
        <w:t xml:space="preserve"> </w:t>
      </w:r>
      <w:r w:rsidR="00CC7132">
        <w:rPr>
          <w:sz w:val="28"/>
        </w:rPr>
        <w:t>a</w:t>
      </w:r>
      <w:r w:rsidR="007752FF">
        <w:rPr>
          <w:sz w:val="28"/>
        </w:rPr>
        <w:t xml:space="preserve"> discretion to stay execution </w:t>
      </w:r>
      <w:r w:rsidR="00CC7132">
        <w:rPr>
          <w:sz w:val="28"/>
        </w:rPr>
        <w:t xml:space="preserve">exists </w:t>
      </w:r>
      <w:r w:rsidR="007752FF">
        <w:rPr>
          <w:sz w:val="28"/>
        </w:rPr>
        <w:t>in</w:t>
      </w:r>
      <w:r w:rsidR="00CC7132">
        <w:rPr>
          <w:sz w:val="28"/>
        </w:rPr>
        <w:t xml:space="preserve"> terms of</w:t>
      </w:r>
      <w:r w:rsidR="007752FF">
        <w:rPr>
          <w:sz w:val="28"/>
        </w:rPr>
        <w:t xml:space="preserve"> rule 45A of the uniform rules was</w:t>
      </w:r>
      <w:r w:rsidR="0034474E">
        <w:rPr>
          <w:sz w:val="28"/>
        </w:rPr>
        <w:t xml:space="preserve"> rightly</w:t>
      </w:r>
      <w:r w:rsidR="007752FF">
        <w:rPr>
          <w:sz w:val="28"/>
        </w:rPr>
        <w:t xml:space="preserve"> not pressed before us, as no question of execution arises until after an order for</w:t>
      </w:r>
      <w:r w:rsidR="007752FF" w:rsidRPr="00CC7132">
        <w:rPr>
          <w:sz w:val="28"/>
        </w:rPr>
        <w:t xml:space="preserve"> payment</w:t>
      </w:r>
      <w:r w:rsidR="007752FF">
        <w:rPr>
          <w:sz w:val="28"/>
        </w:rPr>
        <w:t xml:space="preserve"> of money has been granted.</w:t>
      </w:r>
      <w:r w:rsidR="008D0278">
        <w:rPr>
          <w:sz w:val="28"/>
        </w:rPr>
        <w:t>) The proper exercise of that discretion, the employer argues, ought to have resulted in the dismissal of the application.</w:t>
      </w:r>
    </w:p>
    <w:p w14:paraId="1C26165E" w14:textId="7CF72036" w:rsidR="00495808" w:rsidRDefault="00495808" w:rsidP="000658C2">
      <w:pPr>
        <w:tabs>
          <w:tab w:val="left" w:pos="795"/>
        </w:tabs>
        <w:spacing w:line="360" w:lineRule="auto"/>
        <w:jc w:val="both"/>
        <w:rPr>
          <w:sz w:val="28"/>
        </w:rPr>
      </w:pPr>
      <w:r>
        <w:rPr>
          <w:sz w:val="28"/>
        </w:rPr>
        <w:lastRenderedPageBreak/>
        <w:t>[11]</w:t>
      </w:r>
      <w:r>
        <w:rPr>
          <w:sz w:val="28"/>
        </w:rPr>
        <w:tab/>
        <w:t>It is convenient first to deal with the contention that in the particular circumstances of this case</w:t>
      </w:r>
      <w:r w:rsidR="009E15B6">
        <w:rPr>
          <w:sz w:val="28"/>
        </w:rPr>
        <w:t>,</w:t>
      </w:r>
      <w:r>
        <w:rPr>
          <w:sz w:val="28"/>
        </w:rPr>
        <w:t xml:space="preserve"> the enforcement of the adjudication </w:t>
      </w:r>
      <w:r w:rsidR="00621BBA">
        <w:rPr>
          <w:sz w:val="28"/>
        </w:rPr>
        <w:t>decisions</w:t>
      </w:r>
      <w:r>
        <w:rPr>
          <w:sz w:val="28"/>
        </w:rPr>
        <w:t xml:space="preserve"> would </w:t>
      </w:r>
      <w:r w:rsidR="00DF2BD9">
        <w:rPr>
          <w:sz w:val="28"/>
        </w:rPr>
        <w:t xml:space="preserve">be contrary to </w:t>
      </w:r>
      <w:r>
        <w:rPr>
          <w:sz w:val="28"/>
        </w:rPr>
        <w:t>public policy.</w:t>
      </w:r>
      <w:r w:rsidR="00477DA5">
        <w:rPr>
          <w:sz w:val="28"/>
        </w:rPr>
        <w:t xml:space="preserve"> </w:t>
      </w:r>
      <w:r>
        <w:rPr>
          <w:sz w:val="28"/>
        </w:rPr>
        <w:t>The contractor disputes this contention.</w:t>
      </w:r>
      <w:r w:rsidR="00477DA5">
        <w:rPr>
          <w:sz w:val="28"/>
        </w:rPr>
        <w:t xml:space="preserve"> </w:t>
      </w:r>
      <w:r>
        <w:rPr>
          <w:sz w:val="28"/>
        </w:rPr>
        <w:t xml:space="preserve">It points out </w:t>
      </w:r>
      <w:r w:rsidR="00DF2BD9">
        <w:rPr>
          <w:sz w:val="28"/>
        </w:rPr>
        <w:t>th</w:t>
      </w:r>
      <w:r w:rsidR="009E15B6">
        <w:rPr>
          <w:sz w:val="28"/>
        </w:rPr>
        <w:t>at</w:t>
      </w:r>
      <w:r>
        <w:rPr>
          <w:sz w:val="28"/>
        </w:rPr>
        <w:t xml:space="preserve"> the parties willingly agreed to a process of adjudication for the </w:t>
      </w:r>
      <w:r w:rsidR="00DF2BD9">
        <w:rPr>
          <w:sz w:val="28"/>
        </w:rPr>
        <w:t>interim</w:t>
      </w:r>
      <w:r>
        <w:rPr>
          <w:sz w:val="28"/>
        </w:rPr>
        <w:t xml:space="preserve"> </w:t>
      </w:r>
      <w:r w:rsidR="00DF2BD9">
        <w:rPr>
          <w:sz w:val="28"/>
        </w:rPr>
        <w:t xml:space="preserve">and </w:t>
      </w:r>
      <w:r>
        <w:rPr>
          <w:sz w:val="28"/>
        </w:rPr>
        <w:t xml:space="preserve">preliminary resolution of disputes between them, the outcome of which would </w:t>
      </w:r>
      <w:r w:rsidR="00D6629F">
        <w:rPr>
          <w:sz w:val="28"/>
        </w:rPr>
        <w:t>affirm</w:t>
      </w:r>
      <w:r>
        <w:rPr>
          <w:sz w:val="28"/>
        </w:rPr>
        <w:t xml:space="preserve"> </w:t>
      </w:r>
      <w:r w:rsidR="00DF2BD9">
        <w:rPr>
          <w:sz w:val="28"/>
        </w:rPr>
        <w:t xml:space="preserve">or deny </w:t>
      </w:r>
      <w:r>
        <w:rPr>
          <w:sz w:val="28"/>
        </w:rPr>
        <w:t>the existence of immediately enforceable obligations.</w:t>
      </w:r>
      <w:r w:rsidR="00477DA5">
        <w:rPr>
          <w:sz w:val="28"/>
        </w:rPr>
        <w:t xml:space="preserve"> </w:t>
      </w:r>
      <w:r w:rsidR="00DF2BD9">
        <w:rPr>
          <w:sz w:val="28"/>
        </w:rPr>
        <w:t>Being</w:t>
      </w:r>
      <w:r>
        <w:rPr>
          <w:sz w:val="28"/>
        </w:rPr>
        <w:t xml:space="preserve"> the beneficiary of such obligations, and the employer having </w:t>
      </w:r>
      <w:r w:rsidR="00DF2BD9">
        <w:rPr>
          <w:sz w:val="28"/>
        </w:rPr>
        <w:t>failed</w:t>
      </w:r>
      <w:r>
        <w:rPr>
          <w:sz w:val="28"/>
        </w:rPr>
        <w:t xml:space="preserve"> to discharge the obligations, the contractor was entitled to approach the court for the relief which it sought in the </w:t>
      </w:r>
      <w:r w:rsidR="00DF2BD9">
        <w:rPr>
          <w:sz w:val="28"/>
        </w:rPr>
        <w:t>h</w:t>
      </w:r>
      <w:r>
        <w:rPr>
          <w:sz w:val="28"/>
        </w:rPr>
        <w:t xml:space="preserve">igh </w:t>
      </w:r>
      <w:r w:rsidR="00DF2BD9">
        <w:rPr>
          <w:sz w:val="28"/>
        </w:rPr>
        <w:t>c</w:t>
      </w:r>
      <w:r>
        <w:rPr>
          <w:sz w:val="28"/>
        </w:rPr>
        <w:t xml:space="preserve">ourt in order to secure the benefit of the provisions of </w:t>
      </w:r>
      <w:r w:rsidR="00DF2BD9">
        <w:rPr>
          <w:sz w:val="28"/>
        </w:rPr>
        <w:t xml:space="preserve">our law </w:t>
      </w:r>
      <w:r>
        <w:rPr>
          <w:sz w:val="28"/>
        </w:rPr>
        <w:t>relating to the enforcement of judgments of our court</w:t>
      </w:r>
      <w:r w:rsidR="001537FE">
        <w:rPr>
          <w:sz w:val="28"/>
        </w:rPr>
        <w:t>s</w:t>
      </w:r>
      <w:r>
        <w:rPr>
          <w:sz w:val="28"/>
        </w:rPr>
        <w:t>.</w:t>
      </w:r>
      <w:r w:rsidR="00477DA5">
        <w:rPr>
          <w:sz w:val="28"/>
        </w:rPr>
        <w:t xml:space="preserve"> </w:t>
      </w:r>
      <w:r>
        <w:rPr>
          <w:sz w:val="28"/>
        </w:rPr>
        <w:t xml:space="preserve">The </w:t>
      </w:r>
      <w:r w:rsidR="001537FE">
        <w:rPr>
          <w:sz w:val="28"/>
        </w:rPr>
        <w:t>h</w:t>
      </w:r>
      <w:r>
        <w:rPr>
          <w:sz w:val="28"/>
        </w:rPr>
        <w:t xml:space="preserve">igh </w:t>
      </w:r>
      <w:r w:rsidR="001537FE">
        <w:rPr>
          <w:sz w:val="28"/>
        </w:rPr>
        <w:t>c</w:t>
      </w:r>
      <w:r>
        <w:rPr>
          <w:sz w:val="28"/>
        </w:rPr>
        <w:t>ourt was relieved of the usual obligation of</w:t>
      </w:r>
      <w:r w:rsidR="00DF2BD9">
        <w:rPr>
          <w:sz w:val="28"/>
        </w:rPr>
        <w:t xml:space="preserve"> </w:t>
      </w:r>
      <w:r>
        <w:rPr>
          <w:sz w:val="28"/>
        </w:rPr>
        <w:t>establish</w:t>
      </w:r>
      <w:r w:rsidR="00DF2BD9">
        <w:rPr>
          <w:sz w:val="28"/>
        </w:rPr>
        <w:t xml:space="preserve">ing </w:t>
      </w:r>
      <w:r>
        <w:rPr>
          <w:sz w:val="28"/>
        </w:rPr>
        <w:t>the existence of the obligations in question.</w:t>
      </w:r>
      <w:r w:rsidR="00477DA5">
        <w:rPr>
          <w:sz w:val="28"/>
        </w:rPr>
        <w:t xml:space="preserve"> </w:t>
      </w:r>
      <w:r>
        <w:rPr>
          <w:sz w:val="28"/>
        </w:rPr>
        <w:t xml:space="preserve">That had already been </w:t>
      </w:r>
      <w:r w:rsidR="00DF2BD9">
        <w:rPr>
          <w:sz w:val="28"/>
        </w:rPr>
        <w:t xml:space="preserve">done through the process of adjudication </w:t>
      </w:r>
      <w:r>
        <w:rPr>
          <w:sz w:val="28"/>
        </w:rPr>
        <w:t>agreed upon by the parties in the contract.</w:t>
      </w:r>
      <w:r w:rsidR="009E15B6">
        <w:rPr>
          <w:rStyle w:val="FootnoteReference"/>
          <w:sz w:val="28"/>
        </w:rPr>
        <w:footnoteReference w:id="1"/>
      </w:r>
      <w:r>
        <w:rPr>
          <w:sz w:val="28"/>
        </w:rPr>
        <w:t xml:space="preserve"> </w:t>
      </w:r>
      <w:r w:rsidRPr="009C5CC1">
        <w:rPr>
          <w:sz w:val="28"/>
        </w:rPr>
        <w:t>All</w:t>
      </w:r>
      <w:r>
        <w:rPr>
          <w:sz w:val="28"/>
        </w:rPr>
        <w:t xml:space="preserve"> of this is common cause between the parties.</w:t>
      </w:r>
      <w:r w:rsidR="00477DA5">
        <w:rPr>
          <w:sz w:val="28"/>
        </w:rPr>
        <w:t xml:space="preserve"> </w:t>
      </w:r>
    </w:p>
    <w:p w14:paraId="3D4293BF" w14:textId="77777777" w:rsidR="007B4EE0" w:rsidRDefault="007B4EE0" w:rsidP="000658C2">
      <w:pPr>
        <w:tabs>
          <w:tab w:val="left" w:pos="795"/>
        </w:tabs>
        <w:spacing w:line="360" w:lineRule="auto"/>
        <w:jc w:val="both"/>
        <w:rPr>
          <w:sz w:val="28"/>
        </w:rPr>
      </w:pPr>
    </w:p>
    <w:p w14:paraId="5850A256" w14:textId="76B804E4" w:rsidR="002205BE" w:rsidRDefault="007B4EE0" w:rsidP="000658C2">
      <w:pPr>
        <w:tabs>
          <w:tab w:val="left" w:pos="795"/>
        </w:tabs>
        <w:spacing w:line="360" w:lineRule="auto"/>
        <w:jc w:val="both"/>
        <w:rPr>
          <w:sz w:val="28"/>
        </w:rPr>
      </w:pPr>
      <w:r>
        <w:rPr>
          <w:sz w:val="28"/>
        </w:rPr>
        <w:t>[12]</w:t>
      </w:r>
      <w:r>
        <w:rPr>
          <w:sz w:val="28"/>
        </w:rPr>
        <w:tab/>
        <w:t>The princip</w:t>
      </w:r>
      <w:r w:rsidR="009C5CC1">
        <w:rPr>
          <w:sz w:val="28"/>
        </w:rPr>
        <w:t>al</w:t>
      </w:r>
      <w:r>
        <w:rPr>
          <w:sz w:val="28"/>
        </w:rPr>
        <w:t xml:space="preserve"> </w:t>
      </w:r>
      <w:r w:rsidR="007952C9">
        <w:rPr>
          <w:sz w:val="28"/>
        </w:rPr>
        <w:t xml:space="preserve">authority relied upon by the employer in support of its contention that the orders granted by the </w:t>
      </w:r>
      <w:r w:rsidR="001537FE">
        <w:rPr>
          <w:sz w:val="28"/>
        </w:rPr>
        <w:t>h</w:t>
      </w:r>
      <w:r w:rsidR="007952C9">
        <w:rPr>
          <w:sz w:val="28"/>
        </w:rPr>
        <w:t xml:space="preserve">igh </w:t>
      </w:r>
      <w:r w:rsidR="001537FE">
        <w:rPr>
          <w:sz w:val="28"/>
        </w:rPr>
        <w:t>c</w:t>
      </w:r>
      <w:r w:rsidR="007952C9">
        <w:rPr>
          <w:sz w:val="28"/>
        </w:rPr>
        <w:t xml:space="preserve">ourt offend public policy is </w:t>
      </w:r>
      <w:r w:rsidR="007952C9" w:rsidRPr="007952C9">
        <w:rPr>
          <w:i/>
          <w:iCs/>
          <w:sz w:val="28"/>
        </w:rPr>
        <w:t>Beadica 231 CC and Others v Trustees</w:t>
      </w:r>
      <w:r w:rsidR="009D5469">
        <w:rPr>
          <w:i/>
          <w:iCs/>
          <w:sz w:val="28"/>
        </w:rPr>
        <w:t xml:space="preserve"> of the</w:t>
      </w:r>
      <w:r w:rsidR="007952C9" w:rsidRPr="007952C9">
        <w:rPr>
          <w:i/>
          <w:iCs/>
          <w:sz w:val="28"/>
        </w:rPr>
        <w:t xml:space="preserve"> Oregon Trust and Other</w:t>
      </w:r>
      <w:r w:rsidR="0069018D">
        <w:rPr>
          <w:i/>
          <w:iCs/>
          <w:sz w:val="28"/>
        </w:rPr>
        <w:t>s</w:t>
      </w:r>
      <w:r w:rsidR="00A10CA8">
        <w:rPr>
          <w:rStyle w:val="FootnoteReference"/>
          <w:i/>
          <w:iCs/>
          <w:sz w:val="28"/>
        </w:rPr>
        <w:footnoteReference w:id="2"/>
      </w:r>
      <w:r w:rsidR="007952C9">
        <w:rPr>
          <w:sz w:val="28"/>
        </w:rPr>
        <w:t xml:space="preserve"> </w:t>
      </w:r>
      <w:r w:rsidR="00DD7FE3">
        <w:rPr>
          <w:sz w:val="28"/>
        </w:rPr>
        <w:t>(</w:t>
      </w:r>
      <w:r w:rsidR="00DD7FE3">
        <w:rPr>
          <w:i/>
          <w:iCs/>
          <w:sz w:val="28"/>
        </w:rPr>
        <w:t>Beadica</w:t>
      </w:r>
      <w:r w:rsidR="00DD7FE3">
        <w:rPr>
          <w:sz w:val="28"/>
        </w:rPr>
        <w:t>)</w:t>
      </w:r>
      <w:r w:rsidR="007952C9">
        <w:rPr>
          <w:sz w:val="28"/>
        </w:rPr>
        <w:t>.</w:t>
      </w:r>
      <w:r w:rsidR="00477DA5">
        <w:rPr>
          <w:sz w:val="28"/>
        </w:rPr>
        <w:t xml:space="preserve"> </w:t>
      </w:r>
      <w:r w:rsidR="007952C9">
        <w:rPr>
          <w:sz w:val="28"/>
        </w:rPr>
        <w:t xml:space="preserve">The facts before the court in </w:t>
      </w:r>
      <w:r w:rsidR="007952C9">
        <w:rPr>
          <w:i/>
          <w:iCs/>
          <w:sz w:val="28"/>
        </w:rPr>
        <w:t>Beadica</w:t>
      </w:r>
      <w:r w:rsidR="007952C9">
        <w:rPr>
          <w:sz w:val="28"/>
        </w:rPr>
        <w:t xml:space="preserve"> bear no resemblance at all to those </w:t>
      </w:r>
      <w:r w:rsidR="002205BE">
        <w:rPr>
          <w:sz w:val="28"/>
        </w:rPr>
        <w:t>of this case</w:t>
      </w:r>
      <w:r w:rsidR="007952C9">
        <w:rPr>
          <w:sz w:val="28"/>
        </w:rPr>
        <w:t>.</w:t>
      </w:r>
      <w:r w:rsidR="00477DA5">
        <w:rPr>
          <w:sz w:val="28"/>
        </w:rPr>
        <w:t xml:space="preserve"> </w:t>
      </w:r>
      <w:r w:rsidR="007952C9">
        <w:rPr>
          <w:sz w:val="28"/>
        </w:rPr>
        <w:t>They did</w:t>
      </w:r>
      <w:r w:rsidR="00DD7FE3">
        <w:rPr>
          <w:sz w:val="28"/>
        </w:rPr>
        <w:t>,</w:t>
      </w:r>
      <w:r w:rsidR="007952C9">
        <w:rPr>
          <w:sz w:val="28"/>
        </w:rPr>
        <w:t xml:space="preserve"> however</w:t>
      </w:r>
      <w:r w:rsidR="00DD7FE3">
        <w:rPr>
          <w:sz w:val="28"/>
        </w:rPr>
        <w:t>,</w:t>
      </w:r>
      <w:r w:rsidR="007952C9">
        <w:rPr>
          <w:sz w:val="28"/>
        </w:rPr>
        <w:t xml:space="preserve"> afford an opportunity for the Constitutional Court to clarify the </w:t>
      </w:r>
      <w:r w:rsidR="002205BE">
        <w:rPr>
          <w:sz w:val="28"/>
        </w:rPr>
        <w:t>proper approach to</w:t>
      </w:r>
      <w:r w:rsidR="007952C9">
        <w:rPr>
          <w:sz w:val="28"/>
        </w:rPr>
        <w:t xml:space="preserve"> determining</w:t>
      </w:r>
      <w:r w:rsidR="00DD7FE3">
        <w:rPr>
          <w:sz w:val="28"/>
        </w:rPr>
        <w:t>:</w:t>
      </w:r>
    </w:p>
    <w:p w14:paraId="51990A61" w14:textId="77777777" w:rsidR="002205BE" w:rsidRDefault="002205BE" w:rsidP="000658C2">
      <w:pPr>
        <w:tabs>
          <w:tab w:val="left" w:pos="795"/>
        </w:tabs>
        <w:spacing w:line="360" w:lineRule="auto"/>
        <w:jc w:val="both"/>
        <w:rPr>
          <w:sz w:val="28"/>
        </w:rPr>
      </w:pPr>
      <w:r>
        <w:rPr>
          <w:sz w:val="28"/>
        </w:rPr>
        <w:t>(a)</w:t>
      </w:r>
      <w:r>
        <w:rPr>
          <w:sz w:val="28"/>
        </w:rPr>
        <w:tab/>
      </w:r>
      <w:r w:rsidR="007952C9">
        <w:rPr>
          <w:sz w:val="28"/>
        </w:rPr>
        <w:t xml:space="preserve"> whether contractual </w:t>
      </w:r>
      <w:r w:rsidR="009C5CC1">
        <w:rPr>
          <w:sz w:val="28"/>
        </w:rPr>
        <w:t>provisions</w:t>
      </w:r>
      <w:r w:rsidR="007952C9">
        <w:rPr>
          <w:sz w:val="28"/>
        </w:rPr>
        <w:t xml:space="preserve"> are</w:t>
      </w:r>
      <w:r w:rsidR="009C5CC1">
        <w:rPr>
          <w:sz w:val="28"/>
        </w:rPr>
        <w:t xml:space="preserve"> in themselves</w:t>
      </w:r>
      <w:r w:rsidR="007952C9">
        <w:rPr>
          <w:sz w:val="28"/>
        </w:rPr>
        <w:t xml:space="preserve"> </w:t>
      </w:r>
      <w:r>
        <w:rPr>
          <w:sz w:val="28"/>
        </w:rPr>
        <w:t xml:space="preserve">contrary to public policy and therefore </w:t>
      </w:r>
      <w:r w:rsidR="007952C9">
        <w:rPr>
          <w:sz w:val="28"/>
        </w:rPr>
        <w:t>un</w:t>
      </w:r>
      <w:r w:rsidR="009C5CC1">
        <w:rPr>
          <w:sz w:val="28"/>
        </w:rPr>
        <w:t>en</w:t>
      </w:r>
      <w:r w:rsidR="007952C9">
        <w:rPr>
          <w:sz w:val="28"/>
        </w:rPr>
        <w:t>forceable</w:t>
      </w:r>
      <w:r w:rsidR="009C5CC1">
        <w:rPr>
          <w:sz w:val="28"/>
        </w:rPr>
        <w:t>;</w:t>
      </w:r>
      <w:r w:rsidR="007952C9">
        <w:rPr>
          <w:sz w:val="28"/>
        </w:rPr>
        <w:t xml:space="preserve"> and</w:t>
      </w:r>
    </w:p>
    <w:p w14:paraId="5E480AB5" w14:textId="42700E27" w:rsidR="002205BE" w:rsidRDefault="002205BE" w:rsidP="000658C2">
      <w:pPr>
        <w:tabs>
          <w:tab w:val="left" w:pos="795"/>
        </w:tabs>
        <w:spacing w:line="360" w:lineRule="auto"/>
        <w:jc w:val="both"/>
        <w:rPr>
          <w:sz w:val="28"/>
        </w:rPr>
      </w:pPr>
      <w:r>
        <w:rPr>
          <w:sz w:val="28"/>
        </w:rPr>
        <w:t>(b)</w:t>
      </w:r>
      <w:r>
        <w:rPr>
          <w:sz w:val="28"/>
        </w:rPr>
        <w:tab/>
      </w:r>
      <w:r w:rsidR="007952C9">
        <w:rPr>
          <w:sz w:val="28"/>
        </w:rPr>
        <w:t xml:space="preserve"> </w:t>
      </w:r>
      <w:r w:rsidR="009C5CC1">
        <w:rPr>
          <w:sz w:val="28"/>
        </w:rPr>
        <w:t xml:space="preserve">when </w:t>
      </w:r>
      <w:r w:rsidR="007952C9">
        <w:rPr>
          <w:sz w:val="28"/>
        </w:rPr>
        <w:t>a term</w:t>
      </w:r>
      <w:r w:rsidR="009C5CC1">
        <w:rPr>
          <w:sz w:val="28"/>
        </w:rPr>
        <w:t xml:space="preserve"> </w:t>
      </w:r>
      <w:r w:rsidR="007952C9">
        <w:rPr>
          <w:sz w:val="28"/>
        </w:rPr>
        <w:t>itself</w:t>
      </w:r>
      <w:r w:rsidR="009C5CC1">
        <w:rPr>
          <w:sz w:val="28"/>
        </w:rPr>
        <w:t xml:space="preserve"> is</w:t>
      </w:r>
      <w:r w:rsidR="007952C9">
        <w:rPr>
          <w:sz w:val="28"/>
        </w:rPr>
        <w:t xml:space="preserve"> </w:t>
      </w:r>
      <w:r w:rsidR="009C5CC1">
        <w:rPr>
          <w:sz w:val="28"/>
        </w:rPr>
        <w:t>unobjectionable</w:t>
      </w:r>
      <w:r w:rsidR="007952C9">
        <w:rPr>
          <w:sz w:val="28"/>
        </w:rPr>
        <w:t xml:space="preserve">, </w:t>
      </w:r>
      <w:r>
        <w:rPr>
          <w:sz w:val="28"/>
        </w:rPr>
        <w:t xml:space="preserve">whether </w:t>
      </w:r>
      <w:r w:rsidR="007952C9">
        <w:rPr>
          <w:sz w:val="28"/>
        </w:rPr>
        <w:t>its enforcement in particular circumstances would be contrary to public policy.</w:t>
      </w:r>
    </w:p>
    <w:p w14:paraId="5D358DC1" w14:textId="5FDBCFCD" w:rsidR="007952C9" w:rsidRDefault="007952C9" w:rsidP="000658C2">
      <w:pPr>
        <w:tabs>
          <w:tab w:val="left" w:pos="795"/>
        </w:tabs>
        <w:spacing w:line="360" w:lineRule="auto"/>
        <w:jc w:val="both"/>
        <w:rPr>
          <w:sz w:val="28"/>
        </w:rPr>
      </w:pPr>
      <w:r>
        <w:rPr>
          <w:sz w:val="28"/>
        </w:rPr>
        <w:lastRenderedPageBreak/>
        <w:t xml:space="preserve">The employer’s case involves the second of these enquiries, there being no dispute over the proposition that the regime of adjudication established under the contract is not offensive to public policy.  </w:t>
      </w:r>
    </w:p>
    <w:p w14:paraId="1AB7862C" w14:textId="77777777" w:rsidR="007952C9" w:rsidRDefault="007952C9" w:rsidP="000658C2">
      <w:pPr>
        <w:tabs>
          <w:tab w:val="left" w:pos="795"/>
        </w:tabs>
        <w:spacing w:line="360" w:lineRule="auto"/>
        <w:jc w:val="both"/>
        <w:rPr>
          <w:sz w:val="28"/>
        </w:rPr>
      </w:pPr>
    </w:p>
    <w:p w14:paraId="5CB63EDE" w14:textId="3F974BB1" w:rsidR="00624DDC" w:rsidRDefault="007952C9" w:rsidP="000658C2">
      <w:pPr>
        <w:tabs>
          <w:tab w:val="left" w:pos="795"/>
        </w:tabs>
        <w:spacing w:line="360" w:lineRule="auto"/>
        <w:jc w:val="both"/>
        <w:rPr>
          <w:sz w:val="28"/>
        </w:rPr>
      </w:pPr>
      <w:r>
        <w:rPr>
          <w:sz w:val="28"/>
        </w:rPr>
        <w:t>[13]</w:t>
      </w:r>
      <w:r>
        <w:rPr>
          <w:sz w:val="28"/>
        </w:rPr>
        <w:tab/>
        <w:t xml:space="preserve">With specific reference to </w:t>
      </w:r>
      <w:r>
        <w:rPr>
          <w:i/>
          <w:iCs/>
          <w:sz w:val="28"/>
        </w:rPr>
        <w:t>Barkhuizen v Napier</w:t>
      </w:r>
      <w:r w:rsidR="00DD7FE3" w:rsidRPr="002430D2">
        <w:rPr>
          <w:rStyle w:val="FootnoteReference"/>
          <w:sz w:val="28"/>
        </w:rPr>
        <w:footnoteReference w:id="3"/>
      </w:r>
      <w:r w:rsidR="00DD7FE3">
        <w:rPr>
          <w:i/>
          <w:iCs/>
          <w:sz w:val="28"/>
        </w:rPr>
        <w:t xml:space="preserve"> </w:t>
      </w:r>
      <w:r>
        <w:rPr>
          <w:sz w:val="28"/>
        </w:rPr>
        <w:t xml:space="preserve">and </w:t>
      </w:r>
      <w:r>
        <w:rPr>
          <w:i/>
          <w:iCs/>
          <w:sz w:val="28"/>
        </w:rPr>
        <w:t>Botha and Another v Rich N.O. and Others</w:t>
      </w:r>
      <w:r w:rsidR="00DD7FE3" w:rsidRPr="002430D2">
        <w:rPr>
          <w:sz w:val="28"/>
        </w:rPr>
        <w:t>,</w:t>
      </w:r>
      <w:r w:rsidR="00DD7FE3" w:rsidRPr="002430D2">
        <w:rPr>
          <w:rStyle w:val="FootnoteReference"/>
          <w:sz w:val="28"/>
        </w:rPr>
        <w:footnoteReference w:id="4"/>
      </w:r>
      <w:r w:rsidR="00477DA5">
        <w:rPr>
          <w:sz w:val="28"/>
        </w:rPr>
        <w:t xml:space="preserve"> </w:t>
      </w:r>
      <w:r w:rsidR="001537FE">
        <w:rPr>
          <w:sz w:val="28"/>
        </w:rPr>
        <w:t>t</w:t>
      </w:r>
      <w:r w:rsidR="00284EB5">
        <w:rPr>
          <w:sz w:val="28"/>
        </w:rPr>
        <w:t xml:space="preserve">he majority judgment in </w:t>
      </w:r>
      <w:r w:rsidR="00284EB5">
        <w:rPr>
          <w:i/>
          <w:iCs/>
          <w:sz w:val="28"/>
        </w:rPr>
        <w:t>Beadica</w:t>
      </w:r>
      <w:r w:rsidR="00284EB5">
        <w:rPr>
          <w:sz w:val="28"/>
        </w:rPr>
        <w:t xml:space="preserve"> explained that the perce</w:t>
      </w:r>
      <w:r w:rsidR="002205BE">
        <w:rPr>
          <w:sz w:val="28"/>
        </w:rPr>
        <w:t xml:space="preserve">ption that there is a </w:t>
      </w:r>
      <w:r w:rsidR="00284EB5">
        <w:rPr>
          <w:sz w:val="28"/>
        </w:rPr>
        <w:t xml:space="preserve">divergence between the jurisprudence of the Constitution Court and this </w:t>
      </w:r>
      <w:r w:rsidR="002205BE">
        <w:rPr>
          <w:sz w:val="28"/>
        </w:rPr>
        <w:t>C</w:t>
      </w:r>
      <w:r w:rsidR="00284EB5">
        <w:rPr>
          <w:sz w:val="28"/>
        </w:rPr>
        <w:t xml:space="preserve">ourt on the subject of public policy in the contractual context is </w:t>
      </w:r>
      <w:r w:rsidR="000D3B86">
        <w:rPr>
          <w:sz w:val="28"/>
        </w:rPr>
        <w:t>misconceived</w:t>
      </w:r>
      <w:r w:rsidR="00284EB5">
        <w:rPr>
          <w:sz w:val="28"/>
        </w:rPr>
        <w:t>.</w:t>
      </w:r>
      <w:r w:rsidR="00477DA5">
        <w:rPr>
          <w:sz w:val="28"/>
        </w:rPr>
        <w:t xml:space="preserve"> </w:t>
      </w:r>
      <w:r w:rsidR="000D3B86">
        <w:rPr>
          <w:sz w:val="28"/>
        </w:rPr>
        <w:t>T</w:t>
      </w:r>
      <w:r w:rsidR="00624DDC">
        <w:rPr>
          <w:sz w:val="28"/>
        </w:rPr>
        <w:t>he judgment continue</w:t>
      </w:r>
      <w:r w:rsidR="001537FE">
        <w:rPr>
          <w:sz w:val="28"/>
        </w:rPr>
        <w:t>d</w:t>
      </w:r>
      <w:r w:rsidR="00DD7FE3">
        <w:rPr>
          <w:sz w:val="28"/>
        </w:rPr>
        <w:t xml:space="preserve">, </w:t>
      </w:r>
      <w:r w:rsidR="00624DDC">
        <w:rPr>
          <w:sz w:val="28"/>
        </w:rPr>
        <w:t>at para 80</w:t>
      </w:r>
      <w:r w:rsidR="00DD7FE3">
        <w:rPr>
          <w:sz w:val="28"/>
        </w:rPr>
        <w:t>,</w:t>
      </w:r>
      <w:r w:rsidR="00624DDC">
        <w:rPr>
          <w:sz w:val="28"/>
        </w:rPr>
        <w:t xml:space="preserve"> as follows</w:t>
      </w:r>
      <w:r w:rsidR="00DD7FE3">
        <w:rPr>
          <w:sz w:val="28"/>
        </w:rPr>
        <w:t>:</w:t>
      </w:r>
    </w:p>
    <w:p w14:paraId="6E590840" w14:textId="2A3FA07D" w:rsidR="00624DDC" w:rsidRDefault="00624DDC" w:rsidP="000658C2">
      <w:pPr>
        <w:tabs>
          <w:tab w:val="left" w:pos="795"/>
        </w:tabs>
        <w:spacing w:line="360" w:lineRule="auto"/>
        <w:jc w:val="both"/>
      </w:pPr>
      <w:r>
        <w:t>‘</w:t>
      </w:r>
      <w:r w:rsidR="000D3B86" w:rsidRPr="000D3B86">
        <w:rPr>
          <w:color w:val="000000"/>
        </w:rPr>
        <w:t xml:space="preserve">It emerges clearly from the discussion above that the divergence between the jurisprudence of this </w:t>
      </w:r>
      <w:r w:rsidR="00834284">
        <w:rPr>
          <w:color w:val="000000"/>
        </w:rPr>
        <w:t>C</w:t>
      </w:r>
      <w:r w:rsidR="000D3B86" w:rsidRPr="000D3B86">
        <w:rPr>
          <w:color w:val="000000"/>
        </w:rPr>
        <w:t xml:space="preserve">ourt and that of the Supreme Court of Appeal is more perceived than real. Our law has always, to a greater or lesser extent, recognised the role of equity (encompassing the notions of good faith, fairness and reasonableness) as a factor in assessing the terms and the enforcement of contracts. Indeed, it is clear that these values play a profound role in our law of contract under our new constitutional dispensation. However, a court may not refuse to enforce contractual terms on the basis that the enforcement would, in its subjective view, be unfair, unreasonable or unduly harsh. These abstract values have not been accorded autonomous, self-standing status as contractual requirements. Their application is mediated through the rules of contract law including the rule that a court may not enforce contractual terms where the term or its enforcement would be contrary to public policy. </w:t>
      </w:r>
      <w:bookmarkStart w:id="5" w:name="_Hlk133915090"/>
      <w:r w:rsidR="000D3B86" w:rsidRPr="000D3B86">
        <w:rPr>
          <w:color w:val="000000"/>
        </w:rPr>
        <w:t>It is only where a contractual term, or its enforcement, is so unfair, unreasonable or unjust that it is contrary to public policy that a court may refuse to enforce it</w:t>
      </w:r>
      <w:r w:rsidR="000D3B86">
        <w:rPr>
          <w:rFonts w:ascii="Verdana" w:hAnsi="Verdana"/>
          <w:color w:val="000000"/>
          <w:sz w:val="20"/>
          <w:szCs w:val="20"/>
        </w:rPr>
        <w:t>.</w:t>
      </w:r>
      <w:r w:rsidR="00C26103">
        <w:t>’</w:t>
      </w:r>
    </w:p>
    <w:bookmarkEnd w:id="5"/>
    <w:p w14:paraId="426AAC9C" w14:textId="77777777" w:rsidR="001A724C" w:rsidRDefault="001A724C" w:rsidP="000658C2">
      <w:pPr>
        <w:tabs>
          <w:tab w:val="left" w:pos="795"/>
        </w:tabs>
        <w:spacing w:line="360" w:lineRule="auto"/>
        <w:jc w:val="both"/>
        <w:rPr>
          <w:sz w:val="28"/>
          <w:szCs w:val="28"/>
        </w:rPr>
      </w:pPr>
    </w:p>
    <w:p w14:paraId="0C02FE1B" w14:textId="051BDBBC" w:rsidR="003F0EB6" w:rsidRDefault="001A724C" w:rsidP="000658C2">
      <w:pPr>
        <w:tabs>
          <w:tab w:val="left" w:pos="795"/>
        </w:tabs>
        <w:spacing w:line="360" w:lineRule="auto"/>
        <w:jc w:val="both"/>
        <w:rPr>
          <w:sz w:val="28"/>
          <w:szCs w:val="28"/>
        </w:rPr>
      </w:pPr>
      <w:r>
        <w:rPr>
          <w:sz w:val="28"/>
          <w:szCs w:val="28"/>
        </w:rPr>
        <w:t>[14]</w:t>
      </w:r>
      <w:r>
        <w:rPr>
          <w:sz w:val="28"/>
          <w:szCs w:val="28"/>
        </w:rPr>
        <w:tab/>
        <w:t xml:space="preserve">The central thesis of the employer’s argument is that this is a case </w:t>
      </w:r>
      <w:r w:rsidR="00CC2E9B">
        <w:rPr>
          <w:sz w:val="28"/>
          <w:szCs w:val="28"/>
        </w:rPr>
        <w:t xml:space="preserve">where the principle of </w:t>
      </w:r>
      <w:r w:rsidR="00CC2E9B">
        <w:rPr>
          <w:i/>
          <w:iCs/>
          <w:sz w:val="28"/>
          <w:szCs w:val="28"/>
        </w:rPr>
        <w:t>pacta sunt servanda</w:t>
      </w:r>
      <w:r w:rsidR="00CC2E9B">
        <w:rPr>
          <w:sz w:val="28"/>
          <w:szCs w:val="28"/>
        </w:rPr>
        <w:t xml:space="preserve"> (agreements are to be observed) should not apply.</w:t>
      </w:r>
      <w:r w:rsidR="00477DA5">
        <w:rPr>
          <w:sz w:val="28"/>
          <w:szCs w:val="28"/>
        </w:rPr>
        <w:t xml:space="preserve"> </w:t>
      </w:r>
      <w:r w:rsidR="00CC2E9B">
        <w:rPr>
          <w:sz w:val="28"/>
          <w:szCs w:val="28"/>
        </w:rPr>
        <w:t xml:space="preserve">However, </w:t>
      </w:r>
      <w:r w:rsidR="00CC2E9B">
        <w:rPr>
          <w:i/>
          <w:iCs/>
          <w:sz w:val="28"/>
          <w:szCs w:val="28"/>
        </w:rPr>
        <w:t>pacta sunt servanda</w:t>
      </w:r>
      <w:r w:rsidR="00CC2E9B">
        <w:rPr>
          <w:sz w:val="28"/>
          <w:szCs w:val="28"/>
        </w:rPr>
        <w:t xml:space="preserve"> is a central element </w:t>
      </w:r>
      <w:r w:rsidR="00575258">
        <w:rPr>
          <w:sz w:val="28"/>
          <w:szCs w:val="28"/>
        </w:rPr>
        <w:t>and feature</w:t>
      </w:r>
      <w:r w:rsidR="00CC2E9B">
        <w:rPr>
          <w:sz w:val="28"/>
          <w:szCs w:val="28"/>
        </w:rPr>
        <w:t xml:space="preserve"> of public policy.</w:t>
      </w:r>
      <w:r w:rsidR="00477DA5">
        <w:rPr>
          <w:sz w:val="28"/>
          <w:szCs w:val="28"/>
        </w:rPr>
        <w:t xml:space="preserve"> </w:t>
      </w:r>
      <w:r w:rsidR="003F0EB6">
        <w:rPr>
          <w:sz w:val="28"/>
          <w:szCs w:val="28"/>
        </w:rPr>
        <w:t xml:space="preserve">It was put this way in </w:t>
      </w:r>
      <w:r w:rsidR="003F0EB6">
        <w:rPr>
          <w:i/>
          <w:iCs/>
          <w:sz w:val="28"/>
          <w:szCs w:val="28"/>
        </w:rPr>
        <w:t>Beadica</w:t>
      </w:r>
      <w:r w:rsidR="009C1C89">
        <w:rPr>
          <w:i/>
          <w:iCs/>
          <w:sz w:val="28"/>
          <w:szCs w:val="28"/>
        </w:rPr>
        <w:t>.</w:t>
      </w:r>
      <w:r w:rsidR="003F0EB6">
        <w:rPr>
          <w:sz w:val="28"/>
          <w:szCs w:val="28"/>
        </w:rPr>
        <w:t xml:space="preserve"> </w:t>
      </w:r>
    </w:p>
    <w:p w14:paraId="14E1D69D" w14:textId="4FFB4A06" w:rsidR="003F0EB6" w:rsidRDefault="003F0EB6" w:rsidP="000658C2">
      <w:pPr>
        <w:tabs>
          <w:tab w:val="left" w:pos="795"/>
        </w:tabs>
        <w:spacing w:line="360" w:lineRule="auto"/>
        <w:jc w:val="both"/>
      </w:pPr>
      <w:r>
        <w:t>‘</w:t>
      </w:r>
      <w:r w:rsidR="000D3B86" w:rsidRPr="000D3B86">
        <w:rPr>
          <w:color w:val="000000"/>
        </w:rPr>
        <w:t>This court has emphasised that the principle of </w:t>
      </w:r>
      <w:r w:rsidR="000D3B86" w:rsidRPr="000D3B86">
        <w:rPr>
          <w:i/>
          <w:iCs/>
          <w:color w:val="000000"/>
        </w:rPr>
        <w:t>pacta sunt servanda</w:t>
      </w:r>
      <w:r w:rsidR="000D3B86" w:rsidRPr="000D3B86">
        <w:rPr>
          <w:color w:val="000000"/>
        </w:rPr>
        <w:t xml:space="preserve"> gives effect to the </w:t>
      </w:r>
      <w:r w:rsidR="009C1C89">
        <w:rPr>
          <w:color w:val="000000"/>
        </w:rPr>
        <w:t>“</w:t>
      </w:r>
      <w:r w:rsidR="000D3B86" w:rsidRPr="000D3B86">
        <w:rPr>
          <w:color w:val="000000"/>
        </w:rPr>
        <w:t>central constitutional values of freedom and dignity</w:t>
      </w:r>
      <w:r w:rsidR="009C1C89">
        <w:rPr>
          <w:color w:val="000000"/>
        </w:rPr>
        <w:t>”</w:t>
      </w:r>
      <w:r w:rsidR="000D3B86" w:rsidRPr="000D3B86">
        <w:rPr>
          <w:color w:val="000000"/>
        </w:rPr>
        <w:t>.</w:t>
      </w:r>
      <w:r w:rsidR="00477DA5">
        <w:rPr>
          <w:color w:val="000000"/>
        </w:rPr>
        <w:t xml:space="preserve"> </w:t>
      </w:r>
      <w:r w:rsidR="000D3B86" w:rsidRPr="000D3B86">
        <w:rPr>
          <w:color w:val="000000"/>
        </w:rPr>
        <w:t>It has further recognised that </w:t>
      </w:r>
      <w:r w:rsidR="000D3B86" w:rsidRPr="000D3B86">
        <w:rPr>
          <w:i/>
          <w:iCs/>
          <w:color w:val="000000"/>
        </w:rPr>
        <w:t>in general</w:t>
      </w:r>
      <w:r w:rsidR="000D3B86" w:rsidRPr="000D3B86">
        <w:rPr>
          <w:color w:val="000000"/>
        </w:rPr>
        <w:t xml:space="preserve"> public </w:t>
      </w:r>
      <w:r w:rsidR="000D3B86" w:rsidRPr="000D3B86">
        <w:rPr>
          <w:color w:val="000000"/>
        </w:rPr>
        <w:lastRenderedPageBreak/>
        <w:t>policy requires that contracting parties honour obligations that have been freely and voluntarily undertaken.</w:t>
      </w:r>
      <w:r w:rsidR="00477DA5">
        <w:rPr>
          <w:color w:val="000000"/>
        </w:rPr>
        <w:t xml:space="preserve"> </w:t>
      </w:r>
      <w:r w:rsidR="000D3B86" w:rsidRPr="000D3B86">
        <w:rPr>
          <w:i/>
          <w:iCs/>
          <w:color w:val="000000"/>
        </w:rPr>
        <w:t>Pacta sunt servanda</w:t>
      </w:r>
      <w:r w:rsidR="000D3B86" w:rsidRPr="000D3B86">
        <w:rPr>
          <w:color w:val="000000"/>
        </w:rPr>
        <w:t> is thus not a relic of our pre-constitutional common law. It continues to play a crucial role in the judicial control of contracts through the instrument of public policy, as it gives expression to central constitutional values</w:t>
      </w:r>
      <w:r w:rsidR="000D3B86">
        <w:rPr>
          <w:rFonts w:ascii="Verdana" w:hAnsi="Verdana"/>
          <w:color w:val="000000"/>
          <w:sz w:val="20"/>
          <w:szCs w:val="20"/>
        </w:rPr>
        <w:t>.</w:t>
      </w:r>
      <w:r>
        <w:t>’</w:t>
      </w:r>
      <w:r w:rsidR="009C1C89">
        <w:rPr>
          <w:rStyle w:val="FootnoteReference"/>
        </w:rPr>
        <w:footnoteReference w:id="5"/>
      </w:r>
      <w:r w:rsidR="0041098C">
        <w:t xml:space="preserve"> </w:t>
      </w:r>
      <w:r w:rsidR="0041098C">
        <w:rPr>
          <w:sz w:val="28"/>
          <w:szCs w:val="28"/>
        </w:rPr>
        <w:t>(Footnotes omitted.)</w:t>
      </w:r>
    </w:p>
    <w:p w14:paraId="769BD518" w14:textId="4F9D2747" w:rsidR="003F0EB6" w:rsidRDefault="003F0EB6" w:rsidP="000658C2">
      <w:pPr>
        <w:tabs>
          <w:tab w:val="left" w:pos="795"/>
        </w:tabs>
        <w:spacing w:line="360" w:lineRule="auto"/>
        <w:jc w:val="both"/>
        <w:rPr>
          <w:sz w:val="28"/>
          <w:szCs w:val="28"/>
        </w:rPr>
      </w:pPr>
      <w:r>
        <w:rPr>
          <w:sz w:val="28"/>
          <w:szCs w:val="28"/>
        </w:rPr>
        <w:t xml:space="preserve">As pointed out in </w:t>
      </w:r>
      <w:r>
        <w:rPr>
          <w:i/>
          <w:iCs/>
          <w:sz w:val="28"/>
          <w:szCs w:val="28"/>
        </w:rPr>
        <w:t>Beadica</w:t>
      </w:r>
      <w:r w:rsidR="00A346DD">
        <w:rPr>
          <w:i/>
          <w:iCs/>
          <w:sz w:val="28"/>
          <w:szCs w:val="28"/>
        </w:rPr>
        <w:t xml:space="preserve"> </w:t>
      </w:r>
      <w:r w:rsidR="00A346DD">
        <w:rPr>
          <w:sz w:val="28"/>
          <w:szCs w:val="28"/>
        </w:rPr>
        <w:t xml:space="preserve">that does not mean to say that </w:t>
      </w:r>
      <w:r w:rsidR="00A346DD">
        <w:rPr>
          <w:i/>
          <w:iCs/>
          <w:sz w:val="28"/>
          <w:szCs w:val="28"/>
        </w:rPr>
        <w:t>pacta sunt servanda</w:t>
      </w:r>
      <w:r w:rsidR="00A346DD">
        <w:rPr>
          <w:sz w:val="28"/>
          <w:szCs w:val="28"/>
        </w:rPr>
        <w:t xml:space="preserve"> is </w:t>
      </w:r>
      <w:r w:rsidR="0041098C">
        <w:rPr>
          <w:sz w:val="28"/>
          <w:szCs w:val="28"/>
        </w:rPr>
        <w:t>‘</w:t>
      </w:r>
      <w:r w:rsidR="00A346DD">
        <w:rPr>
          <w:sz w:val="28"/>
          <w:szCs w:val="28"/>
        </w:rPr>
        <w:t xml:space="preserve">the only, nor the most important principle informing </w:t>
      </w:r>
      <w:r w:rsidR="00575258">
        <w:rPr>
          <w:sz w:val="28"/>
          <w:szCs w:val="28"/>
        </w:rPr>
        <w:t>the</w:t>
      </w:r>
      <w:r w:rsidR="00A346DD">
        <w:rPr>
          <w:sz w:val="28"/>
          <w:szCs w:val="28"/>
        </w:rPr>
        <w:t xml:space="preserve"> judicial control of contracts. The requirements of public policy are informed by a wide range of constitutional values</w:t>
      </w:r>
      <w:r w:rsidR="0041098C">
        <w:rPr>
          <w:sz w:val="28"/>
          <w:szCs w:val="28"/>
        </w:rPr>
        <w:t>’</w:t>
      </w:r>
      <w:r w:rsidR="00A346DD">
        <w:rPr>
          <w:sz w:val="28"/>
          <w:szCs w:val="28"/>
        </w:rPr>
        <w:t>.</w:t>
      </w:r>
      <w:r w:rsidR="0041098C">
        <w:rPr>
          <w:rStyle w:val="FootnoteReference"/>
          <w:sz w:val="28"/>
          <w:szCs w:val="28"/>
        </w:rPr>
        <w:footnoteReference w:id="6"/>
      </w:r>
      <w:r w:rsidR="00A346DD">
        <w:rPr>
          <w:sz w:val="28"/>
          <w:szCs w:val="28"/>
        </w:rPr>
        <w:t xml:space="preserve"> </w:t>
      </w:r>
    </w:p>
    <w:p w14:paraId="5368C269" w14:textId="77777777" w:rsidR="00A346DD" w:rsidRDefault="00A346DD" w:rsidP="000658C2">
      <w:pPr>
        <w:tabs>
          <w:tab w:val="left" w:pos="795"/>
        </w:tabs>
        <w:spacing w:line="360" w:lineRule="auto"/>
        <w:jc w:val="both"/>
        <w:rPr>
          <w:sz w:val="28"/>
          <w:szCs w:val="28"/>
        </w:rPr>
      </w:pPr>
    </w:p>
    <w:p w14:paraId="473DF06C" w14:textId="18C46287" w:rsidR="00A346DD" w:rsidRDefault="00A346DD" w:rsidP="000658C2">
      <w:pPr>
        <w:tabs>
          <w:tab w:val="left" w:pos="795"/>
        </w:tabs>
        <w:spacing w:line="360" w:lineRule="auto"/>
        <w:jc w:val="both"/>
        <w:rPr>
          <w:sz w:val="28"/>
          <w:szCs w:val="28"/>
        </w:rPr>
      </w:pPr>
      <w:r>
        <w:rPr>
          <w:sz w:val="28"/>
          <w:szCs w:val="28"/>
        </w:rPr>
        <w:t>[15]</w:t>
      </w:r>
      <w:r>
        <w:rPr>
          <w:sz w:val="28"/>
          <w:szCs w:val="28"/>
        </w:rPr>
        <w:tab/>
      </w:r>
      <w:r w:rsidR="00D01016">
        <w:rPr>
          <w:sz w:val="28"/>
          <w:szCs w:val="28"/>
        </w:rPr>
        <w:t xml:space="preserve">The case for the employer has been presented upon the basis that </w:t>
      </w:r>
      <w:r w:rsidR="00D01016">
        <w:rPr>
          <w:i/>
          <w:iCs/>
          <w:sz w:val="28"/>
          <w:szCs w:val="28"/>
        </w:rPr>
        <w:t>Beadica</w:t>
      </w:r>
      <w:r w:rsidR="00D01016">
        <w:rPr>
          <w:sz w:val="28"/>
          <w:szCs w:val="28"/>
        </w:rPr>
        <w:t>, and the cases from which it stems, establish that, even in the case of a claim for payment of money</w:t>
      </w:r>
      <w:r w:rsidR="000F1A82">
        <w:rPr>
          <w:sz w:val="28"/>
          <w:szCs w:val="28"/>
        </w:rPr>
        <w:t xml:space="preserve"> due in terms of a contract</w:t>
      </w:r>
      <w:r w:rsidR="00D01016">
        <w:rPr>
          <w:sz w:val="28"/>
          <w:szCs w:val="28"/>
        </w:rPr>
        <w:t xml:space="preserve">, a court has a discretion to grant or refuse the remedy </w:t>
      </w:r>
      <w:r w:rsidR="00E62A3D">
        <w:rPr>
          <w:sz w:val="28"/>
          <w:szCs w:val="28"/>
        </w:rPr>
        <w:t>on public policy grounds</w:t>
      </w:r>
      <w:r w:rsidR="00D01016">
        <w:rPr>
          <w:sz w:val="28"/>
          <w:szCs w:val="28"/>
        </w:rPr>
        <w:t xml:space="preserve">. </w:t>
      </w:r>
      <w:r w:rsidR="00E62A3D">
        <w:rPr>
          <w:sz w:val="28"/>
          <w:szCs w:val="28"/>
        </w:rPr>
        <w:t>However</w:t>
      </w:r>
      <w:r w:rsidR="00163ED7">
        <w:rPr>
          <w:sz w:val="28"/>
          <w:szCs w:val="28"/>
        </w:rPr>
        <w:t>,</w:t>
      </w:r>
      <w:r w:rsidR="00E62A3D">
        <w:rPr>
          <w:sz w:val="28"/>
          <w:szCs w:val="28"/>
        </w:rPr>
        <w:t xml:space="preserve"> the enquiry is not directed at the exercise of a judicial discretion</w:t>
      </w:r>
      <w:r w:rsidR="00D01016">
        <w:rPr>
          <w:sz w:val="28"/>
          <w:szCs w:val="28"/>
        </w:rPr>
        <w:t>. The party resisting enforcement of such a contractual obligation</w:t>
      </w:r>
      <w:r w:rsidR="00575258">
        <w:rPr>
          <w:sz w:val="28"/>
          <w:szCs w:val="28"/>
        </w:rPr>
        <w:t xml:space="preserve"> on public policy grounds</w:t>
      </w:r>
      <w:r w:rsidR="00D01016">
        <w:rPr>
          <w:sz w:val="28"/>
          <w:szCs w:val="28"/>
        </w:rPr>
        <w:t xml:space="preserve"> has a duty to place the relevant facts before the court. It is for the court to decide whether</w:t>
      </w:r>
      <w:r w:rsidR="00575258" w:rsidRPr="00575258">
        <w:rPr>
          <w:sz w:val="28"/>
          <w:szCs w:val="28"/>
        </w:rPr>
        <w:t xml:space="preserve"> </w:t>
      </w:r>
      <w:r w:rsidR="00575258">
        <w:rPr>
          <w:sz w:val="28"/>
          <w:szCs w:val="28"/>
        </w:rPr>
        <w:t>on th</w:t>
      </w:r>
      <w:r w:rsidR="004853A9">
        <w:rPr>
          <w:sz w:val="28"/>
          <w:szCs w:val="28"/>
        </w:rPr>
        <w:t>e</w:t>
      </w:r>
      <w:r w:rsidR="00575258">
        <w:rPr>
          <w:sz w:val="28"/>
          <w:szCs w:val="28"/>
        </w:rPr>
        <w:t xml:space="preserve"> facts</w:t>
      </w:r>
      <w:r w:rsidR="00D01016">
        <w:rPr>
          <w:sz w:val="28"/>
          <w:szCs w:val="28"/>
        </w:rPr>
        <w:t xml:space="preserve"> the enforcement of the obligation would be contrary to public policy. </w:t>
      </w:r>
      <w:r w:rsidR="00575258">
        <w:rPr>
          <w:sz w:val="28"/>
          <w:szCs w:val="28"/>
        </w:rPr>
        <w:t>If t</w:t>
      </w:r>
      <w:r w:rsidR="00D01016">
        <w:rPr>
          <w:sz w:val="28"/>
          <w:szCs w:val="28"/>
        </w:rPr>
        <w:t>he answer is in the affirmative</w:t>
      </w:r>
      <w:r w:rsidR="00634482">
        <w:rPr>
          <w:sz w:val="28"/>
          <w:szCs w:val="28"/>
        </w:rPr>
        <w:t>,</w:t>
      </w:r>
      <w:r w:rsidR="00575258">
        <w:rPr>
          <w:sz w:val="28"/>
          <w:szCs w:val="28"/>
        </w:rPr>
        <w:t xml:space="preserve"> n</w:t>
      </w:r>
      <w:r w:rsidR="00D01016">
        <w:rPr>
          <w:sz w:val="28"/>
          <w:szCs w:val="28"/>
        </w:rPr>
        <w:t xml:space="preserve">o question of a discretion arises at all. Our courts </w:t>
      </w:r>
      <w:r w:rsidR="00575258">
        <w:rPr>
          <w:sz w:val="28"/>
          <w:szCs w:val="28"/>
        </w:rPr>
        <w:t>may not</w:t>
      </w:r>
      <w:r w:rsidR="00D01016">
        <w:rPr>
          <w:sz w:val="28"/>
          <w:szCs w:val="28"/>
        </w:rPr>
        <w:t xml:space="preserve"> </w:t>
      </w:r>
      <w:r w:rsidR="00621BBA">
        <w:rPr>
          <w:sz w:val="28"/>
          <w:szCs w:val="28"/>
        </w:rPr>
        <w:t>enforce contractual obligations when it would be</w:t>
      </w:r>
      <w:r w:rsidR="00D01016">
        <w:rPr>
          <w:sz w:val="28"/>
          <w:szCs w:val="28"/>
        </w:rPr>
        <w:t xml:space="preserve"> contrary to public policy</w:t>
      </w:r>
      <w:r w:rsidR="00F67E8D">
        <w:rPr>
          <w:sz w:val="28"/>
          <w:szCs w:val="28"/>
        </w:rPr>
        <w:t xml:space="preserve"> to do so</w:t>
      </w:r>
      <w:r w:rsidR="00D01016">
        <w:rPr>
          <w:sz w:val="28"/>
          <w:szCs w:val="28"/>
        </w:rPr>
        <w:t>.</w:t>
      </w:r>
      <w:r w:rsidR="00477DA5">
        <w:rPr>
          <w:sz w:val="28"/>
          <w:szCs w:val="28"/>
        </w:rPr>
        <w:t xml:space="preserve"> </w:t>
      </w:r>
      <w:r w:rsidR="00ED3D99">
        <w:rPr>
          <w:sz w:val="28"/>
          <w:szCs w:val="28"/>
        </w:rPr>
        <w:t xml:space="preserve"> </w:t>
      </w:r>
    </w:p>
    <w:p w14:paraId="63A8D5E1" w14:textId="77777777" w:rsidR="00ED3D99" w:rsidRDefault="00ED3D99" w:rsidP="000658C2">
      <w:pPr>
        <w:tabs>
          <w:tab w:val="left" w:pos="795"/>
        </w:tabs>
        <w:spacing w:line="360" w:lineRule="auto"/>
        <w:jc w:val="both"/>
        <w:rPr>
          <w:sz w:val="28"/>
          <w:szCs w:val="28"/>
        </w:rPr>
      </w:pPr>
    </w:p>
    <w:p w14:paraId="373568FA" w14:textId="234EAB52" w:rsidR="00ED3D99" w:rsidRDefault="00ED3D99" w:rsidP="000658C2">
      <w:pPr>
        <w:tabs>
          <w:tab w:val="left" w:pos="795"/>
        </w:tabs>
        <w:spacing w:line="360" w:lineRule="auto"/>
        <w:jc w:val="both"/>
        <w:rPr>
          <w:sz w:val="28"/>
          <w:szCs w:val="28"/>
        </w:rPr>
      </w:pPr>
      <w:r>
        <w:rPr>
          <w:sz w:val="28"/>
          <w:szCs w:val="28"/>
        </w:rPr>
        <w:t>[16]</w:t>
      </w:r>
      <w:r>
        <w:rPr>
          <w:sz w:val="28"/>
          <w:szCs w:val="28"/>
        </w:rPr>
        <w:tab/>
        <w:t>The employer has not established that the contractor is actually insolvent</w:t>
      </w:r>
      <w:r w:rsidR="00634482">
        <w:rPr>
          <w:sz w:val="28"/>
          <w:szCs w:val="28"/>
        </w:rPr>
        <w:t>,</w:t>
      </w:r>
      <w:r w:rsidR="008A6F06">
        <w:rPr>
          <w:sz w:val="28"/>
          <w:szCs w:val="28"/>
        </w:rPr>
        <w:t xml:space="preserve"> that is to say that its liabilities exceed its assets.</w:t>
      </w:r>
      <w:r w:rsidR="00477DA5">
        <w:rPr>
          <w:sz w:val="28"/>
          <w:szCs w:val="28"/>
        </w:rPr>
        <w:t xml:space="preserve"> </w:t>
      </w:r>
      <w:r w:rsidR="008A6F06">
        <w:rPr>
          <w:sz w:val="28"/>
          <w:szCs w:val="28"/>
        </w:rPr>
        <w:t>It is</w:t>
      </w:r>
      <w:r w:rsidR="00634482">
        <w:rPr>
          <w:sz w:val="28"/>
          <w:szCs w:val="28"/>
        </w:rPr>
        <w:t>,</w:t>
      </w:r>
      <w:r w:rsidR="008A6F06">
        <w:rPr>
          <w:sz w:val="28"/>
          <w:szCs w:val="28"/>
        </w:rPr>
        <w:t xml:space="preserve"> however</w:t>
      </w:r>
      <w:r w:rsidR="00634482">
        <w:rPr>
          <w:sz w:val="28"/>
          <w:szCs w:val="28"/>
        </w:rPr>
        <w:t>,</w:t>
      </w:r>
      <w:r w:rsidR="008A6F06">
        <w:rPr>
          <w:sz w:val="28"/>
          <w:szCs w:val="28"/>
        </w:rPr>
        <w:t xml:space="preserve"> undisputed that the contractor is financially distressed.</w:t>
      </w:r>
      <w:r w:rsidR="00477DA5">
        <w:rPr>
          <w:sz w:val="28"/>
          <w:szCs w:val="28"/>
        </w:rPr>
        <w:t xml:space="preserve"> </w:t>
      </w:r>
      <w:r w:rsidR="00EB7FAE">
        <w:rPr>
          <w:sz w:val="28"/>
          <w:szCs w:val="28"/>
        </w:rPr>
        <w:t>The cause, or the causes</w:t>
      </w:r>
      <w:r w:rsidR="005F3FF6">
        <w:rPr>
          <w:sz w:val="28"/>
          <w:szCs w:val="28"/>
        </w:rPr>
        <w:t>,</w:t>
      </w:r>
      <w:r w:rsidR="00EB7FAE">
        <w:rPr>
          <w:sz w:val="28"/>
          <w:szCs w:val="28"/>
        </w:rPr>
        <w:t xml:space="preserve"> of that condition are not apparent on the papers</w:t>
      </w:r>
      <w:r w:rsidR="00634482">
        <w:rPr>
          <w:sz w:val="28"/>
          <w:szCs w:val="28"/>
        </w:rPr>
        <w:t>; l</w:t>
      </w:r>
      <w:r w:rsidR="00EB7FAE">
        <w:rPr>
          <w:sz w:val="28"/>
          <w:szCs w:val="28"/>
        </w:rPr>
        <w:t>iquidation is a possibility.</w:t>
      </w:r>
      <w:r w:rsidR="00477DA5">
        <w:rPr>
          <w:sz w:val="28"/>
          <w:szCs w:val="28"/>
        </w:rPr>
        <w:t xml:space="preserve"> </w:t>
      </w:r>
      <w:r w:rsidR="00EB7FAE">
        <w:rPr>
          <w:sz w:val="28"/>
          <w:szCs w:val="28"/>
        </w:rPr>
        <w:t>All that can be said, and need be said, is what is conceded by the contractor</w:t>
      </w:r>
      <w:r w:rsidR="00634482">
        <w:rPr>
          <w:sz w:val="28"/>
          <w:szCs w:val="28"/>
        </w:rPr>
        <w:t>:</w:t>
      </w:r>
      <w:r w:rsidR="00EB7FAE">
        <w:rPr>
          <w:sz w:val="28"/>
          <w:szCs w:val="28"/>
        </w:rPr>
        <w:t xml:space="preserve"> </w:t>
      </w:r>
      <w:r w:rsidR="005F3FF6">
        <w:rPr>
          <w:sz w:val="28"/>
          <w:szCs w:val="28"/>
        </w:rPr>
        <w:t xml:space="preserve">that </w:t>
      </w:r>
      <w:r w:rsidR="00EB7FAE">
        <w:rPr>
          <w:sz w:val="28"/>
          <w:szCs w:val="28"/>
        </w:rPr>
        <w:t xml:space="preserve">there is a risk </w:t>
      </w:r>
      <w:r w:rsidR="005F3FF6">
        <w:rPr>
          <w:sz w:val="28"/>
          <w:szCs w:val="28"/>
        </w:rPr>
        <w:t>that</w:t>
      </w:r>
      <w:r w:rsidR="00EB7FAE">
        <w:rPr>
          <w:sz w:val="28"/>
          <w:szCs w:val="28"/>
        </w:rPr>
        <w:t xml:space="preserve"> if the employer discharges its payment obligations under the adjudication </w:t>
      </w:r>
      <w:r w:rsidR="00621BBA">
        <w:rPr>
          <w:sz w:val="28"/>
          <w:szCs w:val="28"/>
        </w:rPr>
        <w:t>decisions</w:t>
      </w:r>
      <w:r w:rsidR="00EB7FAE">
        <w:rPr>
          <w:sz w:val="28"/>
          <w:szCs w:val="28"/>
        </w:rPr>
        <w:t xml:space="preserve"> </w:t>
      </w:r>
      <w:r w:rsidR="00EB7FAE">
        <w:rPr>
          <w:sz w:val="28"/>
          <w:szCs w:val="28"/>
        </w:rPr>
        <w:lastRenderedPageBreak/>
        <w:t>and is successful in having them overturned, it will not be able to recover some or all of its money.</w:t>
      </w:r>
      <w:r w:rsidR="00477DA5">
        <w:rPr>
          <w:sz w:val="28"/>
          <w:szCs w:val="28"/>
        </w:rPr>
        <w:t xml:space="preserve"> </w:t>
      </w:r>
    </w:p>
    <w:p w14:paraId="53850886" w14:textId="77777777" w:rsidR="00EB7FAE" w:rsidRDefault="00EB7FAE" w:rsidP="000658C2">
      <w:pPr>
        <w:tabs>
          <w:tab w:val="left" w:pos="795"/>
        </w:tabs>
        <w:spacing w:line="360" w:lineRule="auto"/>
        <w:jc w:val="both"/>
        <w:rPr>
          <w:sz w:val="28"/>
          <w:szCs w:val="28"/>
        </w:rPr>
      </w:pPr>
    </w:p>
    <w:p w14:paraId="01246BE6" w14:textId="63E9B106" w:rsidR="005E4C99" w:rsidRPr="005E4C99" w:rsidRDefault="00EB7FAE" w:rsidP="000658C2">
      <w:pPr>
        <w:tabs>
          <w:tab w:val="left" w:pos="795"/>
        </w:tabs>
        <w:spacing w:line="360" w:lineRule="auto"/>
        <w:jc w:val="both"/>
        <w:rPr>
          <w:sz w:val="28"/>
          <w:szCs w:val="28"/>
        </w:rPr>
      </w:pPr>
      <w:r>
        <w:rPr>
          <w:sz w:val="28"/>
          <w:szCs w:val="28"/>
        </w:rPr>
        <w:t>[17]</w:t>
      </w:r>
      <w:r>
        <w:rPr>
          <w:sz w:val="28"/>
          <w:szCs w:val="28"/>
        </w:rPr>
        <w:tab/>
      </w:r>
      <w:r w:rsidR="005E4C99">
        <w:rPr>
          <w:sz w:val="28"/>
          <w:szCs w:val="28"/>
        </w:rPr>
        <w:t xml:space="preserve">The employer adds two considerations </w:t>
      </w:r>
      <w:r w:rsidR="005F3FF6">
        <w:rPr>
          <w:sz w:val="28"/>
          <w:szCs w:val="28"/>
        </w:rPr>
        <w:t>to</w:t>
      </w:r>
      <w:r w:rsidR="005E4C99">
        <w:rPr>
          <w:sz w:val="28"/>
          <w:szCs w:val="28"/>
        </w:rPr>
        <w:t xml:space="preserve"> its argument that public policy is offended by the notion that it should be subjected to the risk just described</w:t>
      </w:r>
      <w:r w:rsidR="00391090">
        <w:rPr>
          <w:sz w:val="28"/>
          <w:szCs w:val="28"/>
        </w:rPr>
        <w:t>:</w:t>
      </w:r>
      <w:r w:rsidR="00477DA5">
        <w:rPr>
          <w:sz w:val="28"/>
          <w:szCs w:val="28"/>
        </w:rPr>
        <w:t xml:space="preserve"> </w:t>
      </w:r>
    </w:p>
    <w:p w14:paraId="3DAA65B9" w14:textId="06897E64" w:rsidR="005E4C99" w:rsidRPr="002430D2" w:rsidRDefault="005E4C99" w:rsidP="002430D2">
      <w:pPr>
        <w:pStyle w:val="ListParagraph"/>
        <w:numPr>
          <w:ilvl w:val="0"/>
          <w:numId w:val="8"/>
        </w:numPr>
        <w:tabs>
          <w:tab w:val="left" w:pos="795"/>
        </w:tabs>
        <w:spacing w:line="360" w:lineRule="auto"/>
        <w:ind w:hanging="720"/>
        <w:jc w:val="both"/>
        <w:rPr>
          <w:sz w:val="28"/>
          <w:szCs w:val="28"/>
        </w:rPr>
      </w:pPr>
      <w:r>
        <w:rPr>
          <w:sz w:val="28"/>
          <w:szCs w:val="28"/>
        </w:rPr>
        <w:t>The first is that the contract had already been terminated at the time the adjudication took place, with the result that the monetary awards did not serve the purpose of ensuring an adequate cash flow for the contracto</w:t>
      </w:r>
      <w:r w:rsidR="005F3FF6">
        <w:rPr>
          <w:sz w:val="28"/>
          <w:szCs w:val="28"/>
        </w:rPr>
        <w:t>r, enabling it to continue with work.</w:t>
      </w:r>
      <w:r w:rsidR="00477DA5">
        <w:rPr>
          <w:sz w:val="28"/>
          <w:szCs w:val="28"/>
        </w:rPr>
        <w:t xml:space="preserve"> </w:t>
      </w:r>
    </w:p>
    <w:p w14:paraId="7CF72A57" w14:textId="6AA12FA7" w:rsidR="005E4C99" w:rsidRDefault="005E4C99" w:rsidP="005E4C99">
      <w:pPr>
        <w:pStyle w:val="ListParagraph"/>
        <w:numPr>
          <w:ilvl w:val="0"/>
          <w:numId w:val="8"/>
        </w:numPr>
        <w:tabs>
          <w:tab w:val="left" w:pos="795"/>
        </w:tabs>
        <w:spacing w:line="360" w:lineRule="auto"/>
        <w:ind w:hanging="720"/>
        <w:jc w:val="both"/>
        <w:rPr>
          <w:sz w:val="28"/>
          <w:szCs w:val="28"/>
        </w:rPr>
      </w:pPr>
      <w:r>
        <w:rPr>
          <w:sz w:val="28"/>
          <w:szCs w:val="28"/>
        </w:rPr>
        <w:t xml:space="preserve">Secondly, it is argued that </w:t>
      </w:r>
      <w:r w:rsidR="005A2EEF">
        <w:rPr>
          <w:sz w:val="28"/>
          <w:szCs w:val="28"/>
        </w:rPr>
        <w:t xml:space="preserve">it would not be appropriate </w:t>
      </w:r>
      <w:r w:rsidR="005F3FF6">
        <w:rPr>
          <w:sz w:val="28"/>
          <w:szCs w:val="28"/>
        </w:rPr>
        <w:t xml:space="preserve">for </w:t>
      </w:r>
      <w:r w:rsidR="00AC3A87">
        <w:rPr>
          <w:sz w:val="28"/>
          <w:szCs w:val="28"/>
        </w:rPr>
        <w:t xml:space="preserve">scarce </w:t>
      </w:r>
      <w:r w:rsidR="005A2EEF">
        <w:rPr>
          <w:sz w:val="28"/>
          <w:szCs w:val="28"/>
        </w:rPr>
        <w:t xml:space="preserve">public funds to be put at risk </w:t>
      </w:r>
      <w:r w:rsidR="005F3FF6">
        <w:rPr>
          <w:sz w:val="28"/>
          <w:szCs w:val="28"/>
        </w:rPr>
        <w:t>despite the provisions of the contract</w:t>
      </w:r>
      <w:r w:rsidR="005A2EEF">
        <w:rPr>
          <w:sz w:val="28"/>
          <w:szCs w:val="28"/>
        </w:rPr>
        <w:t>.</w:t>
      </w:r>
    </w:p>
    <w:p w14:paraId="14E83710" w14:textId="77777777" w:rsidR="005A2EEF" w:rsidRPr="005A2EEF" w:rsidRDefault="005A2EEF" w:rsidP="005A2EEF">
      <w:pPr>
        <w:pStyle w:val="ListParagraph"/>
        <w:rPr>
          <w:sz w:val="28"/>
          <w:szCs w:val="28"/>
        </w:rPr>
      </w:pPr>
    </w:p>
    <w:p w14:paraId="4EF5B814" w14:textId="137C3894" w:rsidR="00AC3A87" w:rsidRDefault="005A2EEF" w:rsidP="005A2EEF">
      <w:pPr>
        <w:tabs>
          <w:tab w:val="left" w:pos="795"/>
        </w:tabs>
        <w:spacing w:line="360" w:lineRule="auto"/>
        <w:jc w:val="both"/>
        <w:rPr>
          <w:sz w:val="28"/>
          <w:szCs w:val="28"/>
        </w:rPr>
      </w:pPr>
      <w:r>
        <w:rPr>
          <w:sz w:val="28"/>
          <w:szCs w:val="28"/>
        </w:rPr>
        <w:t>[18]</w:t>
      </w:r>
      <w:r>
        <w:rPr>
          <w:sz w:val="28"/>
          <w:szCs w:val="28"/>
        </w:rPr>
        <w:tab/>
        <w:t>As to the first of these considerations, it is answered in the contract itself.</w:t>
      </w:r>
      <w:r w:rsidR="00477DA5">
        <w:rPr>
          <w:sz w:val="28"/>
          <w:szCs w:val="28"/>
        </w:rPr>
        <w:t xml:space="preserve"> </w:t>
      </w:r>
      <w:r>
        <w:rPr>
          <w:sz w:val="28"/>
          <w:szCs w:val="28"/>
        </w:rPr>
        <w:t>The subject of termination of the contract is dealt with in clause 9.</w:t>
      </w:r>
      <w:r w:rsidR="00477DA5">
        <w:rPr>
          <w:sz w:val="28"/>
          <w:szCs w:val="28"/>
        </w:rPr>
        <w:t xml:space="preserve"> </w:t>
      </w:r>
      <w:r>
        <w:rPr>
          <w:sz w:val="28"/>
          <w:szCs w:val="28"/>
        </w:rPr>
        <w:t>The clause has three parts.</w:t>
      </w:r>
      <w:r w:rsidR="00477DA5">
        <w:rPr>
          <w:sz w:val="28"/>
          <w:szCs w:val="28"/>
        </w:rPr>
        <w:t xml:space="preserve"> </w:t>
      </w:r>
      <w:r>
        <w:rPr>
          <w:sz w:val="28"/>
          <w:szCs w:val="28"/>
        </w:rPr>
        <w:t xml:space="preserve">The first might be loosely described as being </w:t>
      </w:r>
      <w:r w:rsidR="005F3FF6">
        <w:rPr>
          <w:sz w:val="28"/>
          <w:szCs w:val="28"/>
        </w:rPr>
        <w:t>about</w:t>
      </w:r>
      <w:r>
        <w:rPr>
          <w:sz w:val="28"/>
          <w:szCs w:val="28"/>
        </w:rPr>
        <w:t xml:space="preserve"> termination when there is no fault.</w:t>
      </w:r>
      <w:r w:rsidR="00477DA5">
        <w:rPr>
          <w:sz w:val="28"/>
          <w:szCs w:val="28"/>
        </w:rPr>
        <w:t xml:space="preserve"> </w:t>
      </w:r>
      <w:r w:rsidR="00AC3A87">
        <w:rPr>
          <w:sz w:val="28"/>
          <w:szCs w:val="28"/>
        </w:rPr>
        <w:t xml:space="preserve">It deals with subjects such as the outbreak of war and </w:t>
      </w:r>
      <w:r w:rsidR="005F3FF6">
        <w:rPr>
          <w:sz w:val="28"/>
          <w:szCs w:val="28"/>
        </w:rPr>
        <w:t>s</w:t>
      </w:r>
      <w:r w:rsidR="00AC3A87">
        <w:rPr>
          <w:sz w:val="28"/>
          <w:szCs w:val="28"/>
        </w:rPr>
        <w:t xml:space="preserve">tates of </w:t>
      </w:r>
      <w:r w:rsidR="005F3FF6">
        <w:rPr>
          <w:sz w:val="28"/>
          <w:szCs w:val="28"/>
        </w:rPr>
        <w:t>e</w:t>
      </w:r>
      <w:r w:rsidR="00AC3A87">
        <w:rPr>
          <w:sz w:val="28"/>
          <w:szCs w:val="28"/>
        </w:rPr>
        <w:t>mergency.</w:t>
      </w:r>
      <w:r w:rsidR="00477DA5">
        <w:rPr>
          <w:sz w:val="28"/>
          <w:szCs w:val="28"/>
        </w:rPr>
        <w:t xml:space="preserve"> </w:t>
      </w:r>
      <w:r w:rsidR="00AC3A87">
        <w:rPr>
          <w:sz w:val="28"/>
          <w:szCs w:val="28"/>
        </w:rPr>
        <w:t>The second part deals with termination by the employer and is fault based.</w:t>
      </w:r>
      <w:r w:rsidR="00477DA5">
        <w:rPr>
          <w:sz w:val="28"/>
          <w:szCs w:val="28"/>
        </w:rPr>
        <w:t xml:space="preserve"> </w:t>
      </w:r>
      <w:r w:rsidR="00AC3A87">
        <w:rPr>
          <w:sz w:val="28"/>
          <w:szCs w:val="28"/>
        </w:rPr>
        <w:t>The third part deals with termination by the contractor.</w:t>
      </w:r>
      <w:r w:rsidR="00477DA5">
        <w:rPr>
          <w:sz w:val="28"/>
          <w:szCs w:val="28"/>
        </w:rPr>
        <w:t xml:space="preserve"> </w:t>
      </w:r>
      <w:r w:rsidR="00AC3A87">
        <w:rPr>
          <w:sz w:val="28"/>
          <w:szCs w:val="28"/>
        </w:rPr>
        <w:t>It is also fault based. Having set out in clause 9.3.1 the circumstances in which the contractor may cancel the contract, clause 9.3.2 provides as follows</w:t>
      </w:r>
      <w:r w:rsidR="00391090">
        <w:rPr>
          <w:sz w:val="28"/>
          <w:szCs w:val="28"/>
        </w:rPr>
        <w:t>:</w:t>
      </w:r>
    </w:p>
    <w:p w14:paraId="55342EE5" w14:textId="1D414596" w:rsidR="00AC3A87" w:rsidRDefault="00AC3A87" w:rsidP="005A2EEF">
      <w:pPr>
        <w:tabs>
          <w:tab w:val="left" w:pos="795"/>
        </w:tabs>
        <w:spacing w:line="360" w:lineRule="auto"/>
        <w:jc w:val="both"/>
      </w:pPr>
      <w:r>
        <w:t>‘9.3.2</w:t>
      </w:r>
      <w:r>
        <w:tab/>
        <w:t>Upon such termination</w:t>
      </w:r>
      <w:r w:rsidR="005F3FF6">
        <w:t>:</w:t>
      </w:r>
    </w:p>
    <w:p w14:paraId="492033C3" w14:textId="48F516F9" w:rsidR="00AC3A87" w:rsidRDefault="00AC3A87" w:rsidP="002430D2">
      <w:pPr>
        <w:spacing w:line="360" w:lineRule="auto"/>
        <w:jc w:val="both"/>
      </w:pPr>
      <w:r>
        <w:t>9.3.2.1</w:t>
      </w:r>
      <w:r>
        <w:tab/>
      </w:r>
      <w:r w:rsidR="00477DA5">
        <w:t xml:space="preserve"> </w:t>
      </w:r>
      <w:r>
        <w:t>All the provisions of the contract, including this clause, shall continue to apply for the purpose of:</w:t>
      </w:r>
    </w:p>
    <w:p w14:paraId="621B4B98" w14:textId="6D7257EB" w:rsidR="00AC3A87" w:rsidRDefault="00AC3A87" w:rsidP="00AC3A87">
      <w:pPr>
        <w:tabs>
          <w:tab w:val="left" w:pos="795"/>
        </w:tabs>
        <w:spacing w:line="360" w:lineRule="auto"/>
        <w:ind w:left="720" w:hanging="720"/>
        <w:jc w:val="both"/>
      </w:pPr>
      <w:r>
        <w:t>9.3.2.1.1</w:t>
      </w:r>
      <w:r w:rsidR="0084363F">
        <w:t xml:space="preserve"> </w:t>
      </w:r>
      <w:r>
        <w:t xml:space="preserve">resolving any dispute, and </w:t>
      </w:r>
    </w:p>
    <w:p w14:paraId="5137CD6A" w14:textId="16564E29" w:rsidR="00AC3A87" w:rsidRDefault="00AC3A87" w:rsidP="002430D2">
      <w:pPr>
        <w:tabs>
          <w:tab w:val="left" w:pos="795"/>
        </w:tabs>
        <w:spacing w:line="360" w:lineRule="auto"/>
        <w:jc w:val="both"/>
        <w:rPr>
          <w:sz w:val="28"/>
          <w:szCs w:val="28"/>
        </w:rPr>
      </w:pPr>
      <w:r>
        <w:t>9.3.2.1.2</w:t>
      </w:r>
      <w:r w:rsidR="0084363F">
        <w:t xml:space="preserve"> </w:t>
      </w:r>
      <w:r>
        <w:t>determining the amounts payable by either the employer or the contractor to the</w:t>
      </w:r>
      <w:r w:rsidR="005F3FF6">
        <w:t xml:space="preserve"> other</w:t>
      </w:r>
      <w:r w:rsidR="0084363F">
        <w:t xml:space="preserve"> </w:t>
      </w:r>
      <w:r>
        <w:t>of them.’</w:t>
      </w:r>
    </w:p>
    <w:p w14:paraId="2A2CEC61" w14:textId="0801477A" w:rsidR="00AC3A87" w:rsidRDefault="00AC3A87" w:rsidP="00020F35">
      <w:pPr>
        <w:tabs>
          <w:tab w:val="left" w:pos="795"/>
        </w:tabs>
        <w:spacing w:line="360" w:lineRule="auto"/>
        <w:jc w:val="both"/>
        <w:rPr>
          <w:sz w:val="28"/>
          <w:szCs w:val="28"/>
        </w:rPr>
      </w:pPr>
      <w:r>
        <w:rPr>
          <w:sz w:val="28"/>
          <w:szCs w:val="28"/>
        </w:rPr>
        <w:t xml:space="preserve">The employer’s argument </w:t>
      </w:r>
      <w:r w:rsidR="00020F35">
        <w:rPr>
          <w:sz w:val="28"/>
          <w:szCs w:val="28"/>
        </w:rPr>
        <w:t xml:space="preserve">ignores the </w:t>
      </w:r>
      <w:r w:rsidR="00621BBA">
        <w:rPr>
          <w:sz w:val="28"/>
          <w:szCs w:val="28"/>
        </w:rPr>
        <w:t>import</w:t>
      </w:r>
      <w:r w:rsidR="00020F35">
        <w:rPr>
          <w:sz w:val="28"/>
          <w:szCs w:val="28"/>
        </w:rPr>
        <w:t xml:space="preserve"> of clause 9.3.2.1.</w:t>
      </w:r>
      <w:r w:rsidR="00477DA5">
        <w:rPr>
          <w:sz w:val="28"/>
          <w:szCs w:val="28"/>
        </w:rPr>
        <w:t xml:space="preserve"> </w:t>
      </w:r>
      <w:r w:rsidR="00020F35">
        <w:rPr>
          <w:sz w:val="28"/>
          <w:szCs w:val="28"/>
        </w:rPr>
        <w:t>In my view</w:t>
      </w:r>
      <w:r w:rsidR="0084363F">
        <w:rPr>
          <w:sz w:val="28"/>
          <w:szCs w:val="28"/>
        </w:rPr>
        <w:t>,</w:t>
      </w:r>
      <w:r w:rsidR="00020F35">
        <w:rPr>
          <w:sz w:val="28"/>
          <w:szCs w:val="28"/>
        </w:rPr>
        <w:t xml:space="preserve"> the argument that </w:t>
      </w:r>
      <w:r w:rsidR="00CE13A2">
        <w:rPr>
          <w:sz w:val="28"/>
          <w:szCs w:val="28"/>
        </w:rPr>
        <w:t>cancellation of the contract bolsters the employer’s case concerning the risk of not recovering its money is without merit.</w:t>
      </w:r>
    </w:p>
    <w:p w14:paraId="07F43C28" w14:textId="77777777" w:rsidR="00CE13A2" w:rsidRDefault="00CE13A2" w:rsidP="00020F35">
      <w:pPr>
        <w:tabs>
          <w:tab w:val="left" w:pos="795"/>
        </w:tabs>
        <w:spacing w:line="360" w:lineRule="auto"/>
        <w:jc w:val="both"/>
        <w:rPr>
          <w:sz w:val="28"/>
          <w:szCs w:val="28"/>
        </w:rPr>
      </w:pPr>
    </w:p>
    <w:p w14:paraId="417D010C" w14:textId="45203344" w:rsidR="000A74E1" w:rsidRDefault="00CE13A2" w:rsidP="00020F35">
      <w:pPr>
        <w:tabs>
          <w:tab w:val="left" w:pos="795"/>
        </w:tabs>
        <w:spacing w:line="360" w:lineRule="auto"/>
        <w:jc w:val="both"/>
        <w:rPr>
          <w:sz w:val="28"/>
          <w:szCs w:val="28"/>
        </w:rPr>
      </w:pPr>
      <w:r>
        <w:rPr>
          <w:sz w:val="28"/>
          <w:szCs w:val="28"/>
        </w:rPr>
        <w:lastRenderedPageBreak/>
        <w:t>[19]</w:t>
      </w:r>
      <w:r>
        <w:rPr>
          <w:sz w:val="28"/>
          <w:szCs w:val="28"/>
        </w:rPr>
        <w:tab/>
      </w:r>
      <w:r w:rsidR="00DC3414">
        <w:rPr>
          <w:sz w:val="28"/>
          <w:szCs w:val="28"/>
        </w:rPr>
        <w:t xml:space="preserve">The second of the above additional considerations, namely </w:t>
      </w:r>
      <w:r w:rsidR="005B7CD5">
        <w:rPr>
          <w:sz w:val="28"/>
          <w:szCs w:val="28"/>
        </w:rPr>
        <w:t xml:space="preserve">that </w:t>
      </w:r>
      <w:r w:rsidR="00DC3414">
        <w:rPr>
          <w:sz w:val="28"/>
          <w:szCs w:val="28"/>
        </w:rPr>
        <w:t>it is public funds being put at risk, is equally unhelpful to the employer’s case.</w:t>
      </w:r>
      <w:r w:rsidR="00477DA5">
        <w:rPr>
          <w:sz w:val="28"/>
          <w:szCs w:val="28"/>
        </w:rPr>
        <w:t xml:space="preserve"> </w:t>
      </w:r>
      <w:r w:rsidR="00DC3414">
        <w:rPr>
          <w:sz w:val="28"/>
          <w:szCs w:val="28"/>
        </w:rPr>
        <w:t>The Constitutional Court ha</w:t>
      </w:r>
      <w:r w:rsidR="005B7CD5">
        <w:rPr>
          <w:sz w:val="28"/>
          <w:szCs w:val="28"/>
        </w:rPr>
        <w:t>d</w:t>
      </w:r>
      <w:r w:rsidR="00DC3414">
        <w:rPr>
          <w:sz w:val="28"/>
          <w:szCs w:val="28"/>
        </w:rPr>
        <w:t xml:space="preserve"> this to say in </w:t>
      </w:r>
      <w:r w:rsidR="00DC3414">
        <w:rPr>
          <w:i/>
          <w:iCs/>
          <w:sz w:val="28"/>
          <w:szCs w:val="28"/>
        </w:rPr>
        <w:t>Beadica</w:t>
      </w:r>
      <w:r w:rsidR="0084363F">
        <w:rPr>
          <w:sz w:val="28"/>
          <w:szCs w:val="28"/>
        </w:rPr>
        <w:t>:</w:t>
      </w:r>
    </w:p>
    <w:p w14:paraId="7637E3A4" w14:textId="7780CC71" w:rsidR="00A93657" w:rsidRDefault="000A74E1" w:rsidP="002430D2">
      <w:pPr>
        <w:spacing w:line="360" w:lineRule="auto"/>
        <w:jc w:val="both"/>
        <w:rPr>
          <w:sz w:val="28"/>
          <w:szCs w:val="28"/>
        </w:rPr>
      </w:pPr>
      <w:r w:rsidRPr="005B7CD5">
        <w:t>‘</w:t>
      </w:r>
      <w:r w:rsidR="005B7CD5" w:rsidRPr="005B7CD5">
        <w:rPr>
          <w:color w:val="000000"/>
        </w:rPr>
        <w:t>[84] Moreover, contractual relations are the bedrock of economic activity and our economic development is dependent, to a large extent, on the willingness of parties to enter into contractual relationships. If parties are confident that contracts that they enter into will be upheld, then they will be incentivised to contract with other parties for their mutual gain.</w:t>
      </w:r>
      <w:bookmarkStart w:id="6" w:name="0-0-0-84663"/>
      <w:bookmarkEnd w:id="6"/>
      <w:r w:rsidR="005B7CD5" w:rsidRPr="005B7CD5">
        <w:rPr>
          <w:color w:val="000000"/>
        </w:rPr>
        <w:t xml:space="preserve"> Without this confidence, the very motivation for social coordination is</w:t>
      </w:r>
      <w:r w:rsidR="009A2AF6">
        <w:rPr>
          <w:color w:val="000000"/>
          <w:lang w:val="en-US"/>
        </w:rPr>
        <w:t xml:space="preserve"> </w:t>
      </w:r>
      <w:r w:rsidR="005B7CD5" w:rsidRPr="005B7CD5">
        <w:rPr>
          <w:color w:val="000000"/>
        </w:rPr>
        <w:t>diminished. It is indeed crucial to economic development that individuals should be able to trust that all contracting parties will be bound by obligations willingly assumed.</w:t>
      </w:r>
      <w:r w:rsidRPr="005B7CD5">
        <w:t>’</w:t>
      </w:r>
      <w:r w:rsidR="0084363F">
        <w:rPr>
          <w:sz w:val="28"/>
          <w:szCs w:val="28"/>
        </w:rPr>
        <w:t xml:space="preserve"> </w:t>
      </w:r>
      <w:r w:rsidR="008B2FF0">
        <w:rPr>
          <w:sz w:val="28"/>
          <w:szCs w:val="28"/>
        </w:rPr>
        <w:t>(Footnotes omitted.)</w:t>
      </w:r>
    </w:p>
    <w:p w14:paraId="2B6262A2" w14:textId="232FF47A" w:rsidR="000A74E1" w:rsidRDefault="009A2AF6" w:rsidP="00020F35">
      <w:pPr>
        <w:tabs>
          <w:tab w:val="left" w:pos="795"/>
        </w:tabs>
        <w:spacing w:line="360" w:lineRule="auto"/>
        <w:jc w:val="both"/>
        <w:rPr>
          <w:sz w:val="28"/>
          <w:szCs w:val="28"/>
        </w:rPr>
      </w:pPr>
      <w:r>
        <w:rPr>
          <w:sz w:val="28"/>
          <w:szCs w:val="28"/>
        </w:rPr>
        <w:t>T</w:t>
      </w:r>
      <w:r w:rsidR="00C90C96">
        <w:rPr>
          <w:sz w:val="28"/>
          <w:szCs w:val="28"/>
        </w:rPr>
        <w:t xml:space="preserve">he employer asks us to privilege public funds </w:t>
      </w:r>
      <w:r w:rsidR="00825895">
        <w:rPr>
          <w:sz w:val="28"/>
          <w:szCs w:val="28"/>
        </w:rPr>
        <w:t>at</w:t>
      </w:r>
      <w:r w:rsidR="00324882">
        <w:rPr>
          <w:sz w:val="28"/>
          <w:szCs w:val="28"/>
        </w:rPr>
        <w:t xml:space="preserve"> the cost of private entities </w:t>
      </w:r>
      <w:r>
        <w:rPr>
          <w:sz w:val="28"/>
          <w:szCs w:val="28"/>
        </w:rPr>
        <w:t>which</w:t>
      </w:r>
      <w:r w:rsidR="00324882">
        <w:rPr>
          <w:sz w:val="28"/>
          <w:szCs w:val="28"/>
        </w:rPr>
        <w:t xml:space="preserve"> contract with public ones.</w:t>
      </w:r>
      <w:r w:rsidR="00477DA5">
        <w:rPr>
          <w:sz w:val="28"/>
          <w:szCs w:val="28"/>
        </w:rPr>
        <w:t xml:space="preserve"> </w:t>
      </w:r>
      <w:r w:rsidR="00324882">
        <w:rPr>
          <w:sz w:val="28"/>
          <w:szCs w:val="28"/>
        </w:rPr>
        <w:t>Whilst,</w:t>
      </w:r>
      <w:r w:rsidR="001C219E">
        <w:rPr>
          <w:sz w:val="28"/>
          <w:szCs w:val="28"/>
        </w:rPr>
        <w:t xml:space="preserve"> </w:t>
      </w:r>
      <w:r>
        <w:rPr>
          <w:sz w:val="28"/>
          <w:szCs w:val="28"/>
        </w:rPr>
        <w:t xml:space="preserve">given </w:t>
      </w:r>
      <w:r w:rsidR="00324882">
        <w:rPr>
          <w:sz w:val="28"/>
          <w:szCs w:val="28"/>
        </w:rPr>
        <w:t>the pro</w:t>
      </w:r>
      <w:r w:rsidR="001C219E">
        <w:rPr>
          <w:sz w:val="28"/>
          <w:szCs w:val="28"/>
        </w:rPr>
        <w:t xml:space="preserve">fit motive, such an approach </w:t>
      </w:r>
      <w:r w:rsidR="0045636F">
        <w:rPr>
          <w:sz w:val="28"/>
          <w:szCs w:val="28"/>
        </w:rPr>
        <w:t xml:space="preserve">may not entirely </w:t>
      </w:r>
      <w:r>
        <w:rPr>
          <w:sz w:val="28"/>
          <w:szCs w:val="28"/>
        </w:rPr>
        <w:t xml:space="preserve">disincentivise </w:t>
      </w:r>
      <w:r w:rsidR="0045636F">
        <w:rPr>
          <w:sz w:val="28"/>
          <w:szCs w:val="28"/>
        </w:rPr>
        <w:t xml:space="preserve">persons from contracting </w:t>
      </w:r>
      <w:r>
        <w:rPr>
          <w:sz w:val="28"/>
          <w:szCs w:val="28"/>
        </w:rPr>
        <w:t>with</w:t>
      </w:r>
      <w:r w:rsidR="0045636F">
        <w:rPr>
          <w:sz w:val="28"/>
          <w:szCs w:val="28"/>
        </w:rPr>
        <w:t xml:space="preserve"> public entities, it might reasonably be expected to incentivise the charging of a premium to public entities</w:t>
      </w:r>
      <w:r>
        <w:rPr>
          <w:sz w:val="28"/>
          <w:szCs w:val="28"/>
        </w:rPr>
        <w:t>,</w:t>
      </w:r>
      <w:r w:rsidR="0045636F">
        <w:rPr>
          <w:sz w:val="28"/>
          <w:szCs w:val="28"/>
        </w:rPr>
        <w:t xml:space="preserve"> to cover the risk </w:t>
      </w:r>
      <w:r>
        <w:rPr>
          <w:sz w:val="28"/>
          <w:szCs w:val="28"/>
        </w:rPr>
        <w:t xml:space="preserve">inherent in contracting with a party which may be </w:t>
      </w:r>
      <w:r w:rsidR="0045636F">
        <w:rPr>
          <w:sz w:val="28"/>
          <w:szCs w:val="28"/>
        </w:rPr>
        <w:t>afforded a privileged status by the courts</w:t>
      </w:r>
      <w:r>
        <w:rPr>
          <w:sz w:val="28"/>
          <w:szCs w:val="28"/>
        </w:rPr>
        <w:t xml:space="preserve"> in the adjudication of contractual disputes. </w:t>
      </w:r>
      <w:r w:rsidR="00825895">
        <w:rPr>
          <w:sz w:val="28"/>
          <w:szCs w:val="28"/>
        </w:rPr>
        <w:t>That cannot be in the public interest.</w:t>
      </w:r>
    </w:p>
    <w:p w14:paraId="14726AE6" w14:textId="77777777" w:rsidR="0045636F" w:rsidRDefault="0045636F" w:rsidP="00020F35">
      <w:pPr>
        <w:tabs>
          <w:tab w:val="left" w:pos="795"/>
        </w:tabs>
        <w:spacing w:line="360" w:lineRule="auto"/>
        <w:jc w:val="both"/>
        <w:rPr>
          <w:sz w:val="28"/>
          <w:szCs w:val="28"/>
        </w:rPr>
      </w:pPr>
    </w:p>
    <w:p w14:paraId="19C08587" w14:textId="25C08105" w:rsidR="0045636F" w:rsidRDefault="0045636F" w:rsidP="00020F35">
      <w:pPr>
        <w:tabs>
          <w:tab w:val="left" w:pos="795"/>
        </w:tabs>
        <w:spacing w:line="360" w:lineRule="auto"/>
        <w:jc w:val="both"/>
        <w:rPr>
          <w:sz w:val="28"/>
          <w:szCs w:val="28"/>
        </w:rPr>
      </w:pPr>
      <w:r>
        <w:rPr>
          <w:sz w:val="28"/>
          <w:szCs w:val="28"/>
        </w:rPr>
        <w:t>[20]</w:t>
      </w:r>
      <w:r>
        <w:rPr>
          <w:sz w:val="28"/>
          <w:szCs w:val="28"/>
        </w:rPr>
        <w:tab/>
        <w:t xml:space="preserve">In presenting the argument for the employer counsel was unable to move beyond </w:t>
      </w:r>
      <w:r w:rsidR="00C44559">
        <w:rPr>
          <w:sz w:val="28"/>
          <w:szCs w:val="28"/>
        </w:rPr>
        <w:t xml:space="preserve">the </w:t>
      </w:r>
      <w:r w:rsidR="00825895">
        <w:rPr>
          <w:sz w:val="28"/>
          <w:szCs w:val="28"/>
        </w:rPr>
        <w:t xml:space="preserve">mere </w:t>
      </w:r>
      <w:r w:rsidR="00C44559">
        <w:rPr>
          <w:sz w:val="28"/>
          <w:szCs w:val="28"/>
        </w:rPr>
        <w:t xml:space="preserve">assertion that granting the contractor its relief, as was done in the </w:t>
      </w:r>
      <w:r w:rsidR="00825895">
        <w:rPr>
          <w:sz w:val="28"/>
          <w:szCs w:val="28"/>
        </w:rPr>
        <w:t>h</w:t>
      </w:r>
      <w:r w:rsidR="00C44559">
        <w:rPr>
          <w:sz w:val="28"/>
          <w:szCs w:val="28"/>
        </w:rPr>
        <w:t xml:space="preserve">igh </w:t>
      </w:r>
      <w:r w:rsidR="00825895">
        <w:rPr>
          <w:sz w:val="28"/>
          <w:szCs w:val="28"/>
        </w:rPr>
        <w:t>c</w:t>
      </w:r>
      <w:r w:rsidR="00C44559">
        <w:rPr>
          <w:sz w:val="28"/>
          <w:szCs w:val="28"/>
        </w:rPr>
        <w:t>ourt, is contrary to public policy.</w:t>
      </w:r>
      <w:r w:rsidR="00477DA5">
        <w:rPr>
          <w:sz w:val="28"/>
          <w:szCs w:val="28"/>
        </w:rPr>
        <w:t xml:space="preserve"> </w:t>
      </w:r>
      <w:r w:rsidR="00C44559">
        <w:rPr>
          <w:sz w:val="28"/>
          <w:szCs w:val="28"/>
        </w:rPr>
        <w:t xml:space="preserve">The assertion amounts to the proposition that putting the employer at the risk complained of it is so unfair, so unreasonable and so inequitable </w:t>
      </w:r>
      <w:r w:rsidR="00E210FA">
        <w:rPr>
          <w:sz w:val="28"/>
          <w:szCs w:val="28"/>
        </w:rPr>
        <w:t>as to lead to the conclusion that to do so would be in conflict with public policy.</w:t>
      </w:r>
      <w:r w:rsidR="00477DA5">
        <w:rPr>
          <w:sz w:val="28"/>
          <w:szCs w:val="28"/>
        </w:rPr>
        <w:t xml:space="preserve"> </w:t>
      </w:r>
    </w:p>
    <w:p w14:paraId="708C3F07" w14:textId="77777777" w:rsidR="00E210FA" w:rsidRDefault="00E210FA" w:rsidP="00020F35">
      <w:pPr>
        <w:tabs>
          <w:tab w:val="left" w:pos="795"/>
        </w:tabs>
        <w:spacing w:line="360" w:lineRule="auto"/>
        <w:jc w:val="both"/>
        <w:rPr>
          <w:sz w:val="28"/>
          <w:szCs w:val="28"/>
        </w:rPr>
      </w:pPr>
    </w:p>
    <w:p w14:paraId="0D28C29A" w14:textId="70EBF849" w:rsidR="00E210FA" w:rsidRDefault="00E210FA" w:rsidP="00020F35">
      <w:pPr>
        <w:tabs>
          <w:tab w:val="left" w:pos="795"/>
        </w:tabs>
        <w:spacing w:line="360" w:lineRule="auto"/>
        <w:jc w:val="both"/>
        <w:rPr>
          <w:sz w:val="28"/>
          <w:szCs w:val="28"/>
        </w:rPr>
      </w:pPr>
      <w:r>
        <w:rPr>
          <w:sz w:val="28"/>
          <w:szCs w:val="28"/>
        </w:rPr>
        <w:t>[21]</w:t>
      </w:r>
      <w:r>
        <w:rPr>
          <w:sz w:val="28"/>
          <w:szCs w:val="28"/>
        </w:rPr>
        <w:tab/>
        <w:t>In my view</w:t>
      </w:r>
      <w:r w:rsidR="00391090">
        <w:rPr>
          <w:sz w:val="28"/>
          <w:szCs w:val="28"/>
        </w:rPr>
        <w:t>,</w:t>
      </w:r>
      <w:r>
        <w:rPr>
          <w:sz w:val="28"/>
          <w:szCs w:val="28"/>
        </w:rPr>
        <w:t xml:space="preserve"> a closer examination </w:t>
      </w:r>
      <w:r w:rsidR="00825895">
        <w:rPr>
          <w:sz w:val="28"/>
          <w:szCs w:val="28"/>
        </w:rPr>
        <w:t>of</w:t>
      </w:r>
      <w:r>
        <w:rPr>
          <w:sz w:val="28"/>
          <w:szCs w:val="28"/>
        </w:rPr>
        <w:t xml:space="preserve"> the situation leads to a contrary conclusion</w:t>
      </w:r>
      <w:r w:rsidR="00391090">
        <w:rPr>
          <w:sz w:val="28"/>
          <w:szCs w:val="28"/>
        </w:rPr>
        <w:t>:</w:t>
      </w:r>
      <w:r w:rsidR="00477DA5">
        <w:rPr>
          <w:sz w:val="28"/>
          <w:szCs w:val="28"/>
        </w:rPr>
        <w:t xml:space="preserve"> </w:t>
      </w:r>
    </w:p>
    <w:p w14:paraId="1FF8EFC3" w14:textId="27A10221" w:rsidR="00E210FA" w:rsidRPr="002430D2" w:rsidRDefault="00E210FA" w:rsidP="002430D2">
      <w:pPr>
        <w:pStyle w:val="ListParagraph"/>
        <w:numPr>
          <w:ilvl w:val="0"/>
          <w:numId w:val="9"/>
        </w:numPr>
        <w:tabs>
          <w:tab w:val="left" w:pos="795"/>
        </w:tabs>
        <w:spacing w:line="360" w:lineRule="auto"/>
        <w:ind w:hanging="720"/>
        <w:jc w:val="both"/>
        <w:rPr>
          <w:sz w:val="28"/>
          <w:szCs w:val="28"/>
        </w:rPr>
      </w:pPr>
      <w:r>
        <w:rPr>
          <w:sz w:val="28"/>
          <w:szCs w:val="28"/>
        </w:rPr>
        <w:t>We are not dealing with parties wh</w:t>
      </w:r>
      <w:r w:rsidR="00825895">
        <w:rPr>
          <w:sz w:val="28"/>
          <w:szCs w:val="28"/>
        </w:rPr>
        <w:t>ich</w:t>
      </w:r>
      <w:r>
        <w:rPr>
          <w:sz w:val="28"/>
          <w:szCs w:val="28"/>
        </w:rPr>
        <w:t xml:space="preserve"> concluded </w:t>
      </w:r>
      <w:r w:rsidR="00825895">
        <w:rPr>
          <w:sz w:val="28"/>
          <w:szCs w:val="28"/>
        </w:rPr>
        <w:t>a</w:t>
      </w:r>
      <w:r>
        <w:rPr>
          <w:sz w:val="28"/>
          <w:szCs w:val="28"/>
        </w:rPr>
        <w:t xml:space="preserve"> contract from unequal</w:t>
      </w:r>
      <w:r w:rsidR="00825895">
        <w:rPr>
          <w:sz w:val="28"/>
          <w:szCs w:val="28"/>
        </w:rPr>
        <w:t xml:space="preserve"> </w:t>
      </w:r>
      <w:r>
        <w:rPr>
          <w:sz w:val="28"/>
          <w:szCs w:val="28"/>
        </w:rPr>
        <w:t>bargaining positions.</w:t>
      </w:r>
    </w:p>
    <w:p w14:paraId="47B4E703" w14:textId="4F0467A0" w:rsidR="00E210FA" w:rsidRPr="002430D2" w:rsidRDefault="00E210FA" w:rsidP="002430D2">
      <w:pPr>
        <w:pStyle w:val="ListParagraph"/>
        <w:numPr>
          <w:ilvl w:val="0"/>
          <w:numId w:val="9"/>
        </w:numPr>
        <w:tabs>
          <w:tab w:val="left" w:pos="795"/>
        </w:tabs>
        <w:spacing w:line="360" w:lineRule="auto"/>
        <w:ind w:hanging="720"/>
        <w:jc w:val="both"/>
        <w:rPr>
          <w:sz w:val="28"/>
          <w:szCs w:val="28"/>
        </w:rPr>
      </w:pPr>
      <w:r>
        <w:rPr>
          <w:sz w:val="28"/>
          <w:szCs w:val="28"/>
        </w:rPr>
        <w:lastRenderedPageBreak/>
        <w:t>No constitutional values have been identified by the employer</w:t>
      </w:r>
      <w:r w:rsidR="00825895">
        <w:rPr>
          <w:sz w:val="28"/>
          <w:szCs w:val="28"/>
        </w:rPr>
        <w:t xml:space="preserve"> as</w:t>
      </w:r>
      <w:r>
        <w:rPr>
          <w:sz w:val="28"/>
          <w:szCs w:val="28"/>
        </w:rPr>
        <w:t xml:space="preserve"> implicated</w:t>
      </w:r>
      <w:r w:rsidR="00825895">
        <w:rPr>
          <w:sz w:val="28"/>
          <w:szCs w:val="28"/>
        </w:rPr>
        <w:t xml:space="preserve"> to its advantage</w:t>
      </w:r>
      <w:r>
        <w:rPr>
          <w:sz w:val="28"/>
          <w:szCs w:val="28"/>
        </w:rPr>
        <w:t xml:space="preserve"> in the consideration of public policy in this case.</w:t>
      </w:r>
      <w:r w:rsidR="00477DA5">
        <w:rPr>
          <w:sz w:val="28"/>
          <w:szCs w:val="28"/>
        </w:rPr>
        <w:t xml:space="preserve"> </w:t>
      </w:r>
      <w:r>
        <w:rPr>
          <w:sz w:val="28"/>
          <w:szCs w:val="28"/>
        </w:rPr>
        <w:t>On the contrary, it appears to me that the only constitutional values involved here are those which have been held to support the enforcement of contracts.</w:t>
      </w:r>
      <w:r w:rsidR="00391090">
        <w:rPr>
          <w:rStyle w:val="FootnoteReference"/>
          <w:sz w:val="28"/>
          <w:szCs w:val="28"/>
        </w:rPr>
        <w:footnoteReference w:id="7"/>
      </w:r>
      <w:r>
        <w:rPr>
          <w:sz w:val="28"/>
          <w:szCs w:val="28"/>
        </w:rPr>
        <w:t xml:space="preserve"> </w:t>
      </w:r>
    </w:p>
    <w:p w14:paraId="1B54BF20" w14:textId="1E86A62E" w:rsidR="000537EC" w:rsidRPr="002430D2" w:rsidRDefault="00E210FA" w:rsidP="002430D2">
      <w:pPr>
        <w:pStyle w:val="ListParagraph"/>
        <w:numPr>
          <w:ilvl w:val="0"/>
          <w:numId w:val="9"/>
        </w:numPr>
        <w:tabs>
          <w:tab w:val="left" w:pos="795"/>
        </w:tabs>
        <w:spacing w:line="360" w:lineRule="auto"/>
        <w:ind w:hanging="720"/>
        <w:jc w:val="both"/>
        <w:rPr>
          <w:sz w:val="28"/>
          <w:szCs w:val="28"/>
        </w:rPr>
      </w:pPr>
      <w:r>
        <w:rPr>
          <w:sz w:val="28"/>
          <w:szCs w:val="28"/>
        </w:rPr>
        <w:t xml:space="preserve">As to </w:t>
      </w:r>
      <w:r w:rsidR="00825895">
        <w:rPr>
          <w:sz w:val="28"/>
          <w:szCs w:val="28"/>
        </w:rPr>
        <w:t>equity,</w:t>
      </w:r>
      <w:r>
        <w:rPr>
          <w:sz w:val="28"/>
          <w:szCs w:val="28"/>
        </w:rPr>
        <w:t xml:space="preserve"> what is proposed by the employer is that it should be released from its existing contractual obligation to pay because there is a risk that it </w:t>
      </w:r>
      <w:r w:rsidR="00825895">
        <w:rPr>
          <w:sz w:val="28"/>
          <w:szCs w:val="28"/>
        </w:rPr>
        <w:t>may</w:t>
      </w:r>
      <w:r>
        <w:rPr>
          <w:sz w:val="28"/>
          <w:szCs w:val="28"/>
        </w:rPr>
        <w:t xml:space="preserve"> in due course acquire a right to payment which the contractor may be unable to </w:t>
      </w:r>
      <w:r w:rsidR="004748FD">
        <w:rPr>
          <w:sz w:val="28"/>
          <w:szCs w:val="28"/>
        </w:rPr>
        <w:t>meet</w:t>
      </w:r>
      <w:r>
        <w:rPr>
          <w:sz w:val="28"/>
          <w:szCs w:val="28"/>
        </w:rPr>
        <w:t>.</w:t>
      </w:r>
      <w:r w:rsidR="00477DA5">
        <w:rPr>
          <w:sz w:val="28"/>
          <w:szCs w:val="28"/>
        </w:rPr>
        <w:t xml:space="preserve"> </w:t>
      </w:r>
      <w:r>
        <w:rPr>
          <w:sz w:val="28"/>
          <w:szCs w:val="28"/>
        </w:rPr>
        <w:t xml:space="preserve">There is an imbalance in that contention favouring the employer at the expense of the contractor, which is not </w:t>
      </w:r>
      <w:r>
        <w:rPr>
          <w:i/>
          <w:iCs/>
          <w:sz w:val="28"/>
          <w:szCs w:val="28"/>
        </w:rPr>
        <w:t>prima facie</w:t>
      </w:r>
      <w:r>
        <w:rPr>
          <w:sz w:val="28"/>
          <w:szCs w:val="28"/>
        </w:rPr>
        <w:t xml:space="preserve"> equitable.</w:t>
      </w:r>
      <w:r w:rsidR="00477DA5">
        <w:rPr>
          <w:sz w:val="28"/>
          <w:szCs w:val="28"/>
        </w:rPr>
        <w:t xml:space="preserve"> </w:t>
      </w:r>
      <w:r>
        <w:rPr>
          <w:sz w:val="28"/>
          <w:szCs w:val="28"/>
        </w:rPr>
        <w:t xml:space="preserve">One must add to that the fact </w:t>
      </w:r>
      <w:r w:rsidR="000537EC">
        <w:rPr>
          <w:sz w:val="28"/>
          <w:szCs w:val="28"/>
        </w:rPr>
        <w:t>that the major money judgment sought and obtained by the contractor (payment of a little over R8 million) is in fact the sum of five monthly interim certificates duly issue</w:t>
      </w:r>
      <w:r w:rsidR="00825895">
        <w:rPr>
          <w:sz w:val="28"/>
          <w:szCs w:val="28"/>
        </w:rPr>
        <w:t>d</w:t>
      </w:r>
      <w:r w:rsidR="000537EC">
        <w:rPr>
          <w:sz w:val="28"/>
          <w:szCs w:val="28"/>
        </w:rPr>
        <w:t xml:space="preserve"> for payment by the employer to the contractor</w:t>
      </w:r>
      <w:r w:rsidR="00825895">
        <w:rPr>
          <w:sz w:val="28"/>
          <w:szCs w:val="28"/>
        </w:rPr>
        <w:t>,</w:t>
      </w:r>
      <w:r w:rsidR="000537EC">
        <w:rPr>
          <w:sz w:val="28"/>
          <w:szCs w:val="28"/>
        </w:rPr>
        <w:t xml:space="preserve"> which the employer refused to pay in breach of the contract.</w:t>
      </w:r>
      <w:r w:rsidR="00477DA5">
        <w:rPr>
          <w:sz w:val="28"/>
          <w:szCs w:val="28"/>
        </w:rPr>
        <w:t xml:space="preserve"> </w:t>
      </w:r>
      <w:r w:rsidR="00825895">
        <w:rPr>
          <w:sz w:val="28"/>
          <w:szCs w:val="28"/>
        </w:rPr>
        <w:t>The</w:t>
      </w:r>
      <w:r w:rsidR="000537EC">
        <w:rPr>
          <w:sz w:val="28"/>
          <w:szCs w:val="28"/>
        </w:rPr>
        <w:t xml:space="preserve"> certificates </w:t>
      </w:r>
      <w:r w:rsidR="00825895">
        <w:rPr>
          <w:sz w:val="28"/>
          <w:szCs w:val="28"/>
        </w:rPr>
        <w:t>all</w:t>
      </w:r>
      <w:r w:rsidR="000537EC">
        <w:rPr>
          <w:sz w:val="28"/>
          <w:szCs w:val="28"/>
        </w:rPr>
        <w:t xml:space="preserve"> predated the cancellation of the contract.</w:t>
      </w:r>
      <w:r w:rsidR="00825895">
        <w:rPr>
          <w:sz w:val="28"/>
          <w:szCs w:val="28"/>
        </w:rPr>
        <w:t xml:space="preserve"> </w:t>
      </w:r>
      <w:r w:rsidR="000537EC">
        <w:rPr>
          <w:sz w:val="28"/>
          <w:szCs w:val="28"/>
        </w:rPr>
        <w:t>According to the adjudicator’s report the contractor terminated the contract asserting that the non-payment of these interim certificates was a material breach of the contract.</w:t>
      </w:r>
      <w:r w:rsidR="00477DA5">
        <w:rPr>
          <w:sz w:val="28"/>
          <w:szCs w:val="28"/>
        </w:rPr>
        <w:t xml:space="preserve"> </w:t>
      </w:r>
    </w:p>
    <w:p w14:paraId="375A394B" w14:textId="341C02A1" w:rsidR="000537EC" w:rsidRPr="005C3F1C" w:rsidRDefault="004748FD" w:rsidP="00E210FA">
      <w:pPr>
        <w:pStyle w:val="ListParagraph"/>
        <w:numPr>
          <w:ilvl w:val="0"/>
          <w:numId w:val="9"/>
        </w:numPr>
        <w:tabs>
          <w:tab w:val="left" w:pos="795"/>
        </w:tabs>
        <w:spacing w:line="360" w:lineRule="auto"/>
        <w:ind w:hanging="720"/>
        <w:jc w:val="both"/>
        <w:rPr>
          <w:sz w:val="28"/>
          <w:szCs w:val="28"/>
        </w:rPr>
      </w:pPr>
      <w:r>
        <w:rPr>
          <w:sz w:val="28"/>
          <w:szCs w:val="28"/>
        </w:rPr>
        <w:t>The</w:t>
      </w:r>
      <w:r w:rsidR="00AD20BF">
        <w:rPr>
          <w:sz w:val="28"/>
          <w:szCs w:val="28"/>
        </w:rPr>
        <w:t xml:space="preserve"> availability of adjudication, notwithstanding the cancellation of the contract, has already been dealt with above.</w:t>
      </w:r>
      <w:r w:rsidR="0019712D">
        <w:rPr>
          <w:sz w:val="28"/>
          <w:szCs w:val="28"/>
        </w:rPr>
        <w:t xml:space="preserve"> The provision is </w:t>
      </w:r>
      <w:r w:rsidR="00C91680">
        <w:rPr>
          <w:sz w:val="28"/>
          <w:szCs w:val="28"/>
        </w:rPr>
        <w:t xml:space="preserve">itself </w:t>
      </w:r>
      <w:r w:rsidR="0019712D">
        <w:rPr>
          <w:sz w:val="28"/>
          <w:szCs w:val="28"/>
        </w:rPr>
        <w:t xml:space="preserve">not unreasonable. Bare reliance on </w:t>
      </w:r>
      <w:r w:rsidR="008B31BF">
        <w:rPr>
          <w:sz w:val="28"/>
          <w:szCs w:val="28"/>
        </w:rPr>
        <w:t>un</w:t>
      </w:r>
      <w:r w:rsidR="0019712D">
        <w:rPr>
          <w:sz w:val="28"/>
          <w:szCs w:val="28"/>
        </w:rPr>
        <w:t>reasonableness (or equity or fairness for that matter) is not sufficient to deny the relief the provision is intended to provide</w:t>
      </w:r>
      <w:r w:rsidR="00C91680">
        <w:rPr>
          <w:sz w:val="28"/>
          <w:szCs w:val="28"/>
        </w:rPr>
        <w:t xml:space="preserve">, even when peculiar circumstances have arisen which suggest that the operation of the provision may not be as equitable as might have been hoped. </w:t>
      </w:r>
      <w:r w:rsidR="008B31BF">
        <w:rPr>
          <w:sz w:val="28"/>
          <w:szCs w:val="28"/>
        </w:rPr>
        <w:t>Something more is required to engage</w:t>
      </w:r>
      <w:r w:rsidR="005A39CA">
        <w:rPr>
          <w:sz w:val="28"/>
          <w:szCs w:val="28"/>
        </w:rPr>
        <w:t xml:space="preserve"> public policy. Here the employer</w:t>
      </w:r>
      <w:r w:rsidR="00824DE7">
        <w:rPr>
          <w:sz w:val="28"/>
          <w:szCs w:val="28"/>
        </w:rPr>
        <w:t>,</w:t>
      </w:r>
      <w:r w:rsidR="005A39CA">
        <w:rPr>
          <w:sz w:val="28"/>
          <w:szCs w:val="28"/>
        </w:rPr>
        <w:t xml:space="preserve"> in fact</w:t>
      </w:r>
      <w:r w:rsidR="00824DE7">
        <w:rPr>
          <w:sz w:val="28"/>
          <w:szCs w:val="28"/>
        </w:rPr>
        <w:t>,</w:t>
      </w:r>
      <w:r w:rsidR="005A39CA">
        <w:rPr>
          <w:sz w:val="28"/>
          <w:szCs w:val="28"/>
        </w:rPr>
        <w:t xml:space="preserve"> does no more than invite this Court to reach and act on a subjective view that enforcing the awards would be unfair, unreasonable </w:t>
      </w:r>
      <w:r w:rsidR="005A39CA">
        <w:rPr>
          <w:sz w:val="28"/>
          <w:szCs w:val="28"/>
        </w:rPr>
        <w:lastRenderedPageBreak/>
        <w:t xml:space="preserve">and unduly harsh. However, </w:t>
      </w:r>
      <w:r w:rsidR="005A39CA" w:rsidRPr="005A39CA">
        <w:rPr>
          <w:sz w:val="28"/>
          <w:szCs w:val="28"/>
        </w:rPr>
        <w:t>‘</w:t>
      </w:r>
      <w:r w:rsidR="005A39CA">
        <w:rPr>
          <w:color w:val="000000"/>
          <w:sz w:val="28"/>
          <w:szCs w:val="28"/>
        </w:rPr>
        <w:t>[t]</w:t>
      </w:r>
      <w:r w:rsidR="005A39CA" w:rsidRPr="005A39CA">
        <w:rPr>
          <w:color w:val="000000"/>
          <w:sz w:val="28"/>
          <w:szCs w:val="28"/>
        </w:rPr>
        <w:t xml:space="preserve">he enforcement of contractual terms does not depend on an individual judge's sense of what fairness, reasonableness and justice require. To hold otherwise would be to make the enforcement of contractual terms dependent on the </w:t>
      </w:r>
      <w:r w:rsidR="005A39CA">
        <w:rPr>
          <w:color w:val="000000"/>
          <w:sz w:val="28"/>
          <w:szCs w:val="28"/>
        </w:rPr>
        <w:t>“</w:t>
      </w:r>
      <w:r w:rsidR="005A39CA" w:rsidRPr="005A39CA">
        <w:rPr>
          <w:color w:val="000000"/>
          <w:sz w:val="28"/>
          <w:szCs w:val="28"/>
        </w:rPr>
        <w:t>idiosyncratic inferences of a few judicial minds</w:t>
      </w:r>
      <w:r w:rsidR="005A39CA">
        <w:rPr>
          <w:color w:val="000000"/>
          <w:sz w:val="28"/>
          <w:szCs w:val="28"/>
        </w:rPr>
        <w:t>”</w:t>
      </w:r>
      <w:r w:rsidR="005C3F1C">
        <w:rPr>
          <w:color w:val="000000"/>
          <w:sz w:val="28"/>
          <w:szCs w:val="28"/>
        </w:rPr>
        <w:t>.’</w:t>
      </w:r>
      <w:r w:rsidR="00824DE7">
        <w:rPr>
          <w:rStyle w:val="FootnoteReference"/>
          <w:color w:val="000000"/>
          <w:sz w:val="28"/>
          <w:szCs w:val="28"/>
        </w:rPr>
        <w:footnoteReference w:id="8"/>
      </w:r>
    </w:p>
    <w:p w14:paraId="715266D1" w14:textId="5B703CE8" w:rsidR="00AD20BF" w:rsidRPr="002430D2" w:rsidRDefault="005C3F1C" w:rsidP="002430D2">
      <w:pPr>
        <w:pStyle w:val="ListParagraph"/>
        <w:numPr>
          <w:ilvl w:val="0"/>
          <w:numId w:val="9"/>
        </w:numPr>
        <w:tabs>
          <w:tab w:val="left" w:pos="795"/>
        </w:tabs>
        <w:spacing w:line="360" w:lineRule="auto"/>
        <w:ind w:hanging="720"/>
        <w:jc w:val="both"/>
        <w:rPr>
          <w:sz w:val="28"/>
          <w:szCs w:val="28"/>
        </w:rPr>
      </w:pPr>
      <w:r>
        <w:rPr>
          <w:sz w:val="28"/>
          <w:szCs w:val="28"/>
        </w:rPr>
        <w:t>As counsel for the contractor has correctly argued, the risk of insolvency, or of a contracting party falling into distressed financial circumstances, is a</w:t>
      </w:r>
      <w:r w:rsidR="009E268D">
        <w:rPr>
          <w:sz w:val="28"/>
          <w:szCs w:val="28"/>
        </w:rPr>
        <w:t>n ordinary</w:t>
      </w:r>
      <w:r>
        <w:rPr>
          <w:sz w:val="28"/>
          <w:szCs w:val="28"/>
        </w:rPr>
        <w:t xml:space="preserve"> commercial one.</w:t>
      </w:r>
      <w:r w:rsidR="00477DA5">
        <w:rPr>
          <w:sz w:val="28"/>
          <w:szCs w:val="28"/>
        </w:rPr>
        <w:t xml:space="preserve"> </w:t>
      </w:r>
      <w:r w:rsidR="00F7750F">
        <w:rPr>
          <w:sz w:val="28"/>
          <w:szCs w:val="28"/>
        </w:rPr>
        <w:t>The employer accepted this risk when it entered into the contract</w:t>
      </w:r>
      <w:r w:rsidR="009E268D">
        <w:rPr>
          <w:sz w:val="28"/>
          <w:szCs w:val="28"/>
        </w:rPr>
        <w:t xml:space="preserve"> with the contractor</w:t>
      </w:r>
      <w:r w:rsidR="00F7750F">
        <w:rPr>
          <w:sz w:val="28"/>
          <w:szCs w:val="28"/>
        </w:rPr>
        <w:t>, which is a</w:t>
      </w:r>
      <w:r w:rsidR="009E268D">
        <w:rPr>
          <w:sz w:val="28"/>
          <w:szCs w:val="28"/>
        </w:rPr>
        <w:t xml:space="preserve"> standard contract in the industry. Ultimately the employer seeks to be released from its obligation under the contract, simply because this risk may eventuate. Public policy clearly does not justify that.</w:t>
      </w:r>
    </w:p>
    <w:p w14:paraId="7E467DBB" w14:textId="4401E374" w:rsidR="00AD20BF" w:rsidRDefault="004748FD" w:rsidP="00E210FA">
      <w:pPr>
        <w:pStyle w:val="ListParagraph"/>
        <w:numPr>
          <w:ilvl w:val="0"/>
          <w:numId w:val="9"/>
        </w:numPr>
        <w:tabs>
          <w:tab w:val="left" w:pos="795"/>
        </w:tabs>
        <w:spacing w:line="360" w:lineRule="auto"/>
        <w:ind w:hanging="720"/>
        <w:jc w:val="both"/>
        <w:rPr>
          <w:sz w:val="28"/>
          <w:szCs w:val="28"/>
        </w:rPr>
      </w:pPr>
      <w:r>
        <w:rPr>
          <w:sz w:val="28"/>
          <w:szCs w:val="28"/>
        </w:rPr>
        <w:t xml:space="preserve">It cannot be overlooked </w:t>
      </w:r>
      <w:r w:rsidR="00AD20BF">
        <w:rPr>
          <w:sz w:val="28"/>
          <w:szCs w:val="28"/>
        </w:rPr>
        <w:t>that the only</w:t>
      </w:r>
      <w:r>
        <w:rPr>
          <w:sz w:val="28"/>
          <w:szCs w:val="28"/>
        </w:rPr>
        <w:t xml:space="preserve"> </w:t>
      </w:r>
      <w:r w:rsidR="00AD20BF">
        <w:rPr>
          <w:sz w:val="28"/>
          <w:szCs w:val="28"/>
        </w:rPr>
        <w:t>objective assessments of whether the money in question is owed</w:t>
      </w:r>
      <w:r w:rsidR="00461AEE">
        <w:rPr>
          <w:sz w:val="28"/>
          <w:szCs w:val="28"/>
        </w:rPr>
        <w:t xml:space="preserve"> by the employer</w:t>
      </w:r>
      <w:r w:rsidR="00AD20BF">
        <w:rPr>
          <w:sz w:val="28"/>
          <w:szCs w:val="28"/>
        </w:rPr>
        <w:t xml:space="preserve"> are to be found in the adjudicator’s reports and in the </w:t>
      </w:r>
      <w:r>
        <w:rPr>
          <w:sz w:val="28"/>
          <w:szCs w:val="28"/>
        </w:rPr>
        <w:t xml:space="preserve">payment </w:t>
      </w:r>
      <w:r w:rsidR="00AD20BF">
        <w:rPr>
          <w:sz w:val="28"/>
          <w:szCs w:val="28"/>
        </w:rPr>
        <w:t xml:space="preserve">certificates issued under the contract </w:t>
      </w:r>
      <w:r w:rsidR="0012465E">
        <w:rPr>
          <w:sz w:val="28"/>
          <w:szCs w:val="28"/>
        </w:rPr>
        <w:t>by the engineer acting as the employer’s agent.</w:t>
      </w:r>
    </w:p>
    <w:p w14:paraId="177FAFC3" w14:textId="77777777" w:rsidR="00D3269B" w:rsidRDefault="00D3269B" w:rsidP="00D3269B">
      <w:pPr>
        <w:pStyle w:val="ListParagraph"/>
        <w:tabs>
          <w:tab w:val="left" w:pos="795"/>
        </w:tabs>
        <w:spacing w:line="360" w:lineRule="auto"/>
        <w:jc w:val="both"/>
        <w:rPr>
          <w:sz w:val="28"/>
          <w:szCs w:val="28"/>
        </w:rPr>
      </w:pPr>
    </w:p>
    <w:p w14:paraId="4403582B" w14:textId="1E749E46" w:rsidR="00AD20BF" w:rsidRDefault="00D3269B" w:rsidP="00AD20BF">
      <w:pPr>
        <w:tabs>
          <w:tab w:val="left" w:pos="795"/>
        </w:tabs>
        <w:spacing w:line="360" w:lineRule="auto"/>
        <w:jc w:val="both"/>
        <w:rPr>
          <w:sz w:val="28"/>
          <w:szCs w:val="28"/>
        </w:rPr>
      </w:pPr>
      <w:r>
        <w:rPr>
          <w:sz w:val="28"/>
          <w:szCs w:val="28"/>
        </w:rPr>
        <w:t>[22]</w:t>
      </w:r>
      <w:r>
        <w:rPr>
          <w:sz w:val="28"/>
          <w:szCs w:val="28"/>
        </w:rPr>
        <w:tab/>
      </w:r>
      <w:r w:rsidR="00AD20BF">
        <w:rPr>
          <w:sz w:val="28"/>
          <w:szCs w:val="28"/>
        </w:rPr>
        <w:t xml:space="preserve">The argument that the order granted in the court </w:t>
      </w:r>
      <w:r w:rsidR="00AD20BF">
        <w:rPr>
          <w:i/>
          <w:iCs/>
          <w:sz w:val="28"/>
          <w:szCs w:val="28"/>
        </w:rPr>
        <w:t>a quo</w:t>
      </w:r>
      <w:r w:rsidR="00AD20BF">
        <w:rPr>
          <w:sz w:val="28"/>
          <w:szCs w:val="28"/>
        </w:rPr>
        <w:t xml:space="preserve"> is one which offends public policy must be rejected.</w:t>
      </w:r>
    </w:p>
    <w:p w14:paraId="346EE256" w14:textId="77777777" w:rsidR="00206677" w:rsidRDefault="00206677" w:rsidP="00AD20BF">
      <w:pPr>
        <w:tabs>
          <w:tab w:val="left" w:pos="795"/>
        </w:tabs>
        <w:spacing w:line="360" w:lineRule="auto"/>
        <w:jc w:val="both"/>
        <w:rPr>
          <w:sz w:val="28"/>
          <w:szCs w:val="28"/>
        </w:rPr>
      </w:pPr>
    </w:p>
    <w:p w14:paraId="089A1993" w14:textId="318801FB" w:rsidR="00856B66" w:rsidRPr="009E354F" w:rsidRDefault="00856B66" w:rsidP="00856B66">
      <w:pPr>
        <w:tabs>
          <w:tab w:val="left" w:pos="795"/>
        </w:tabs>
        <w:spacing w:line="360" w:lineRule="auto"/>
        <w:jc w:val="both"/>
        <w:rPr>
          <w:sz w:val="28"/>
          <w:szCs w:val="28"/>
        </w:rPr>
      </w:pPr>
      <w:r>
        <w:rPr>
          <w:sz w:val="28"/>
          <w:szCs w:val="28"/>
        </w:rPr>
        <w:t>[23]</w:t>
      </w:r>
      <w:r>
        <w:rPr>
          <w:sz w:val="28"/>
          <w:szCs w:val="28"/>
        </w:rPr>
        <w:tab/>
        <w:t xml:space="preserve">I turn to the argument advanced by the employer for the proposition that this case is one about specific performance, as a result of which the court has a discretion to grant or refuse it, as discussed and explained in </w:t>
      </w:r>
      <w:r>
        <w:rPr>
          <w:i/>
          <w:iCs/>
          <w:sz w:val="28"/>
          <w:szCs w:val="28"/>
        </w:rPr>
        <w:t>Haynes v Kingwilliamstown Municipality</w:t>
      </w:r>
      <w:r w:rsidR="00D05CC9" w:rsidRPr="002430D2">
        <w:rPr>
          <w:rStyle w:val="FootnoteReference"/>
          <w:sz w:val="28"/>
          <w:szCs w:val="28"/>
        </w:rPr>
        <w:footnoteReference w:id="9"/>
      </w:r>
      <w:r w:rsidR="00D05CC9">
        <w:rPr>
          <w:i/>
          <w:iCs/>
          <w:sz w:val="28"/>
          <w:szCs w:val="28"/>
        </w:rPr>
        <w:t xml:space="preserve"> </w:t>
      </w:r>
      <w:r w:rsidR="00D05CC9">
        <w:rPr>
          <w:sz w:val="28"/>
          <w:szCs w:val="28"/>
        </w:rPr>
        <w:t>(</w:t>
      </w:r>
      <w:r w:rsidR="00D05CC9" w:rsidRPr="002430D2">
        <w:rPr>
          <w:i/>
          <w:iCs/>
          <w:sz w:val="28"/>
          <w:szCs w:val="28"/>
        </w:rPr>
        <w:t>Haynes</w:t>
      </w:r>
      <w:r w:rsidR="00D05CC9">
        <w:rPr>
          <w:sz w:val="28"/>
          <w:szCs w:val="28"/>
        </w:rPr>
        <w:t>)</w:t>
      </w:r>
      <w:r>
        <w:rPr>
          <w:i/>
          <w:iCs/>
          <w:sz w:val="28"/>
          <w:szCs w:val="28"/>
        </w:rPr>
        <w:t xml:space="preserve"> </w:t>
      </w:r>
      <w:r>
        <w:rPr>
          <w:sz w:val="28"/>
          <w:szCs w:val="28"/>
        </w:rPr>
        <w:t xml:space="preserve"> and </w:t>
      </w:r>
      <w:r>
        <w:rPr>
          <w:i/>
          <w:iCs/>
          <w:sz w:val="28"/>
          <w:szCs w:val="28"/>
        </w:rPr>
        <w:t>Benson v SA Mutual Life Assurance Society</w:t>
      </w:r>
      <w:r w:rsidR="00D05CC9" w:rsidRPr="002430D2">
        <w:rPr>
          <w:rStyle w:val="FootnoteReference"/>
          <w:sz w:val="28"/>
          <w:szCs w:val="28"/>
        </w:rPr>
        <w:footnoteReference w:id="10"/>
      </w:r>
      <w:r w:rsidR="00ED6EDB">
        <w:rPr>
          <w:i/>
          <w:iCs/>
          <w:sz w:val="28"/>
          <w:szCs w:val="28"/>
        </w:rPr>
        <w:t xml:space="preserve"> </w:t>
      </w:r>
      <w:r w:rsidR="00ED6EDB">
        <w:rPr>
          <w:sz w:val="28"/>
          <w:szCs w:val="28"/>
        </w:rPr>
        <w:t>(</w:t>
      </w:r>
      <w:r w:rsidR="00ED6EDB" w:rsidRPr="002430D2">
        <w:rPr>
          <w:i/>
          <w:iCs/>
          <w:sz w:val="28"/>
          <w:szCs w:val="28"/>
        </w:rPr>
        <w:t>Benson</w:t>
      </w:r>
      <w:r w:rsidR="00ED6EDB">
        <w:rPr>
          <w:sz w:val="28"/>
          <w:szCs w:val="28"/>
        </w:rPr>
        <w:t>)</w:t>
      </w:r>
      <w:r w:rsidRPr="00B97F0C">
        <w:rPr>
          <w:sz w:val="28"/>
          <w:szCs w:val="28"/>
        </w:rPr>
        <w:t>.</w:t>
      </w:r>
      <w:r>
        <w:t xml:space="preserve"> </w:t>
      </w:r>
      <w:r w:rsidRPr="009E354F">
        <w:rPr>
          <w:sz w:val="28"/>
          <w:szCs w:val="28"/>
        </w:rPr>
        <w:t xml:space="preserve">The </w:t>
      </w:r>
      <w:r>
        <w:rPr>
          <w:sz w:val="28"/>
          <w:szCs w:val="28"/>
        </w:rPr>
        <w:t>f</w:t>
      </w:r>
      <w:r w:rsidRPr="009E354F">
        <w:rPr>
          <w:sz w:val="28"/>
          <w:szCs w:val="28"/>
        </w:rPr>
        <w:t>acts and circumstances</w:t>
      </w:r>
      <w:r>
        <w:rPr>
          <w:sz w:val="28"/>
          <w:szCs w:val="28"/>
        </w:rPr>
        <w:t xml:space="preserve"> relied upon by the employer </w:t>
      </w:r>
      <w:r w:rsidR="00353657">
        <w:rPr>
          <w:sz w:val="28"/>
          <w:szCs w:val="28"/>
        </w:rPr>
        <w:t xml:space="preserve">in this regard </w:t>
      </w:r>
      <w:r>
        <w:rPr>
          <w:sz w:val="28"/>
          <w:szCs w:val="28"/>
        </w:rPr>
        <w:t xml:space="preserve">are no different to those already discussed above. The </w:t>
      </w:r>
      <w:r>
        <w:rPr>
          <w:sz w:val="28"/>
          <w:szCs w:val="28"/>
        </w:rPr>
        <w:lastRenderedPageBreak/>
        <w:t>essence of the argument is that specific performance may be refused in the exercise of a judicial discretion when to grant it would cause unreasonable and undue hardship to be visited upon the person against whom it is sought to be enforced.</w:t>
      </w:r>
      <w:r w:rsidR="00ED6EDB">
        <w:rPr>
          <w:rStyle w:val="FootnoteReference"/>
          <w:sz w:val="28"/>
          <w:szCs w:val="28"/>
        </w:rPr>
        <w:footnoteReference w:id="11"/>
      </w:r>
      <w:r>
        <w:rPr>
          <w:sz w:val="28"/>
          <w:szCs w:val="28"/>
        </w:rPr>
        <w:t xml:space="preserve"> It is argued that this is such a case, despite the fact that the judgment sought by the contractor is for payment of a money debt presently due, owing and unconditionally payable, and despite the fact that there is no alternative or substitute relief which can be granted in such a case without the court in effect rewriting the contract to create one. The court is being asked to deny the only remedy available to the contractor, notwithstanding that the contractor’s right to the remedy has been established. </w:t>
      </w:r>
    </w:p>
    <w:p w14:paraId="1AD3D13B" w14:textId="77777777" w:rsidR="00856B66" w:rsidRPr="00531B90" w:rsidRDefault="00856B66" w:rsidP="00856B66">
      <w:pPr>
        <w:tabs>
          <w:tab w:val="left" w:pos="795"/>
        </w:tabs>
        <w:spacing w:line="360" w:lineRule="auto"/>
        <w:jc w:val="both"/>
        <w:rPr>
          <w:sz w:val="28"/>
          <w:szCs w:val="28"/>
        </w:rPr>
      </w:pPr>
    </w:p>
    <w:p w14:paraId="056E5392" w14:textId="59E4725C" w:rsidR="00856B66" w:rsidRDefault="00856B66" w:rsidP="00856B66">
      <w:pPr>
        <w:tabs>
          <w:tab w:val="left" w:pos="795"/>
        </w:tabs>
        <w:spacing w:line="360" w:lineRule="auto"/>
        <w:jc w:val="both"/>
        <w:rPr>
          <w:sz w:val="28"/>
          <w:szCs w:val="28"/>
        </w:rPr>
      </w:pPr>
      <w:r w:rsidRPr="00531B90">
        <w:rPr>
          <w:sz w:val="28"/>
          <w:szCs w:val="28"/>
        </w:rPr>
        <w:t>[24]</w:t>
      </w:r>
      <w:r w:rsidRPr="00531B90">
        <w:rPr>
          <w:sz w:val="28"/>
          <w:szCs w:val="28"/>
        </w:rPr>
        <w:tab/>
        <w:t>The parties agreed before the high court that there were three issues to be decided. The first was whether the order sought by the contractor was one for specific performance. The second was whether the court had a discretion to grant or refuse the order for the payment sought by the contractor</w:t>
      </w:r>
      <w:r w:rsidR="00ED6EDB">
        <w:rPr>
          <w:sz w:val="28"/>
          <w:szCs w:val="28"/>
        </w:rPr>
        <w:t>,</w:t>
      </w:r>
      <w:r w:rsidRPr="00531B90">
        <w:rPr>
          <w:sz w:val="28"/>
          <w:szCs w:val="28"/>
        </w:rPr>
        <w:t xml:space="preserve"> and </w:t>
      </w:r>
      <w:r>
        <w:rPr>
          <w:sz w:val="28"/>
          <w:szCs w:val="28"/>
        </w:rPr>
        <w:t>the third</w:t>
      </w:r>
      <w:r w:rsidR="00ED6EDB">
        <w:rPr>
          <w:sz w:val="28"/>
          <w:szCs w:val="28"/>
        </w:rPr>
        <w:t xml:space="preserve"> was</w:t>
      </w:r>
      <w:r>
        <w:rPr>
          <w:sz w:val="28"/>
          <w:szCs w:val="28"/>
        </w:rPr>
        <w:t xml:space="preserve"> </w:t>
      </w:r>
      <w:r w:rsidRPr="00531B90">
        <w:rPr>
          <w:sz w:val="28"/>
          <w:szCs w:val="28"/>
        </w:rPr>
        <w:t>whether that discretion (if it exist</w:t>
      </w:r>
      <w:r>
        <w:rPr>
          <w:sz w:val="28"/>
          <w:szCs w:val="28"/>
        </w:rPr>
        <w:t>s</w:t>
      </w:r>
      <w:r w:rsidRPr="00531B90">
        <w:rPr>
          <w:sz w:val="28"/>
          <w:szCs w:val="28"/>
        </w:rPr>
        <w:t>) dictated the grant or refusal of the relief.</w:t>
      </w:r>
      <w:r w:rsidR="00477DA5">
        <w:rPr>
          <w:sz w:val="28"/>
          <w:szCs w:val="28"/>
        </w:rPr>
        <w:t xml:space="preserve"> </w:t>
      </w:r>
      <w:r w:rsidRPr="00531B90">
        <w:rPr>
          <w:sz w:val="28"/>
          <w:szCs w:val="28"/>
        </w:rPr>
        <w:t>The</w:t>
      </w:r>
      <w:r>
        <w:rPr>
          <w:sz w:val="28"/>
          <w:szCs w:val="28"/>
        </w:rPr>
        <w:t>se questions were</w:t>
      </w:r>
      <w:r w:rsidRPr="00531B90">
        <w:rPr>
          <w:sz w:val="28"/>
          <w:szCs w:val="28"/>
        </w:rPr>
        <w:t xml:space="preserve"> answered </w:t>
      </w:r>
      <w:r>
        <w:rPr>
          <w:sz w:val="28"/>
          <w:szCs w:val="28"/>
        </w:rPr>
        <w:t xml:space="preserve">by the learned judge </w:t>
      </w:r>
      <w:r w:rsidRPr="00531B90">
        <w:rPr>
          <w:sz w:val="28"/>
          <w:szCs w:val="28"/>
        </w:rPr>
        <w:t>as follows.</w:t>
      </w:r>
    </w:p>
    <w:p w14:paraId="7488B6A4" w14:textId="77777777" w:rsidR="00856B66" w:rsidRDefault="00856B66" w:rsidP="00856B66">
      <w:pPr>
        <w:tabs>
          <w:tab w:val="left" w:pos="795"/>
        </w:tabs>
        <w:spacing w:line="360" w:lineRule="auto"/>
        <w:ind w:left="720" w:hanging="720"/>
        <w:jc w:val="both"/>
      </w:pPr>
      <w:r>
        <w:t>‘(a)</w:t>
      </w:r>
      <w:r>
        <w:tab/>
        <w:t xml:space="preserve">Inasmuch as specific performance is one of the remedies for breach of contract, which </w:t>
      </w:r>
    </w:p>
    <w:p w14:paraId="3BD3B108" w14:textId="77777777" w:rsidR="00856B66" w:rsidRDefault="00856B66" w:rsidP="00856B66">
      <w:pPr>
        <w:tabs>
          <w:tab w:val="left" w:pos="795"/>
        </w:tabs>
        <w:spacing w:line="360" w:lineRule="auto"/>
        <w:ind w:left="720" w:hanging="720"/>
        <w:jc w:val="both"/>
        <w:rPr>
          <w:i/>
          <w:iCs/>
        </w:rPr>
      </w:pPr>
      <w:r>
        <w:tab/>
        <w:t xml:space="preserve">includes orders both </w:t>
      </w:r>
      <w:bookmarkStart w:id="7" w:name="_Hlk133307528"/>
      <w:r>
        <w:rPr>
          <w:i/>
          <w:iCs/>
        </w:rPr>
        <w:t>ad factum praestandum</w:t>
      </w:r>
      <w:r>
        <w:t xml:space="preserve"> </w:t>
      </w:r>
      <w:bookmarkEnd w:id="7"/>
      <w:r>
        <w:t xml:space="preserve">(an order to perform a specific act) and </w:t>
      </w:r>
      <w:r>
        <w:rPr>
          <w:i/>
          <w:iCs/>
        </w:rPr>
        <w:t xml:space="preserve">ad </w:t>
      </w:r>
    </w:p>
    <w:p w14:paraId="433B58B2" w14:textId="77777777" w:rsidR="00856B66" w:rsidRDefault="00856B66" w:rsidP="00856B66">
      <w:pPr>
        <w:tabs>
          <w:tab w:val="left" w:pos="795"/>
        </w:tabs>
        <w:spacing w:line="360" w:lineRule="auto"/>
        <w:ind w:left="720" w:hanging="720"/>
        <w:jc w:val="both"/>
      </w:pPr>
      <w:r>
        <w:rPr>
          <w:i/>
          <w:iCs/>
        </w:rPr>
        <w:tab/>
        <w:t>pecuniam solvendum</w:t>
      </w:r>
      <w:r>
        <w:t xml:space="preserve"> (an order to pay money in performance of a party’s contractual </w:t>
      </w:r>
    </w:p>
    <w:p w14:paraId="19573C5F" w14:textId="2C041342" w:rsidR="00856B66" w:rsidRDefault="00856B66" w:rsidP="00ED6EDB">
      <w:pPr>
        <w:tabs>
          <w:tab w:val="left" w:pos="795"/>
        </w:tabs>
        <w:spacing w:line="360" w:lineRule="auto"/>
        <w:ind w:left="720" w:hanging="720"/>
        <w:jc w:val="both"/>
      </w:pPr>
      <w:r>
        <w:tab/>
        <w:t>obligations), the order prayed in the notice of motion is one for specific performance.</w:t>
      </w:r>
    </w:p>
    <w:p w14:paraId="0778A578" w14:textId="0CCB84BC" w:rsidR="00856B66" w:rsidRDefault="00856B66" w:rsidP="002430D2">
      <w:pPr>
        <w:tabs>
          <w:tab w:val="left" w:pos="795"/>
        </w:tabs>
        <w:spacing w:line="360" w:lineRule="auto"/>
        <w:ind w:left="720" w:hanging="720"/>
        <w:jc w:val="both"/>
      </w:pPr>
      <w:r>
        <w:t>(b)</w:t>
      </w:r>
      <w:r>
        <w:tab/>
        <w:t>I do not believe that I am entitled to exercise my discretion where no other remedy is sought, save payment of a contractual obligation, and where no other remedy is available to the applicant.</w:t>
      </w:r>
      <w:r w:rsidR="00477DA5">
        <w:t xml:space="preserve"> </w:t>
      </w:r>
    </w:p>
    <w:p w14:paraId="3A70A624" w14:textId="77777777" w:rsidR="00856B66" w:rsidRDefault="00856B66" w:rsidP="00856B66">
      <w:pPr>
        <w:pStyle w:val="ListParagraph"/>
        <w:numPr>
          <w:ilvl w:val="0"/>
          <w:numId w:val="8"/>
        </w:numPr>
        <w:spacing w:line="360" w:lineRule="auto"/>
        <w:ind w:hanging="720"/>
        <w:jc w:val="both"/>
      </w:pPr>
      <w:r>
        <w:t>Accordingly, I must grant the order sought.’</w:t>
      </w:r>
    </w:p>
    <w:p w14:paraId="0EA279BD" w14:textId="77777777" w:rsidR="00856B66" w:rsidRPr="007C5333" w:rsidRDefault="00856B66" w:rsidP="00856B66">
      <w:pPr>
        <w:spacing w:line="360" w:lineRule="auto"/>
        <w:jc w:val="both"/>
        <w:rPr>
          <w:sz w:val="28"/>
          <w:szCs w:val="28"/>
        </w:rPr>
      </w:pPr>
    </w:p>
    <w:p w14:paraId="0A250627" w14:textId="297C63BC" w:rsidR="00856B66" w:rsidRDefault="00856B66" w:rsidP="00856B66">
      <w:pPr>
        <w:spacing w:line="360" w:lineRule="auto"/>
        <w:jc w:val="both"/>
        <w:rPr>
          <w:sz w:val="28"/>
          <w:szCs w:val="28"/>
        </w:rPr>
      </w:pPr>
      <w:r w:rsidRPr="00ED0DF2">
        <w:rPr>
          <w:sz w:val="28"/>
          <w:szCs w:val="28"/>
        </w:rPr>
        <w:t>[2</w:t>
      </w:r>
      <w:r w:rsidR="0083404F">
        <w:rPr>
          <w:sz w:val="28"/>
          <w:szCs w:val="28"/>
        </w:rPr>
        <w:t>5</w:t>
      </w:r>
      <w:r w:rsidRPr="00ED0DF2">
        <w:rPr>
          <w:sz w:val="28"/>
          <w:szCs w:val="28"/>
        </w:rPr>
        <w:t>]</w:t>
      </w:r>
      <w:r>
        <w:rPr>
          <w:sz w:val="28"/>
          <w:szCs w:val="28"/>
        </w:rPr>
        <w:tab/>
        <w:t xml:space="preserve">The question which arises immediately is whether it is correct that the judge had a discretion to exercise at all. </w:t>
      </w:r>
      <w:r w:rsidRPr="00ED0DF2">
        <w:rPr>
          <w:sz w:val="28"/>
          <w:szCs w:val="28"/>
        </w:rPr>
        <w:t>In ordinary language</w:t>
      </w:r>
      <w:r w:rsidR="00ED6EDB">
        <w:rPr>
          <w:sz w:val="28"/>
          <w:szCs w:val="28"/>
        </w:rPr>
        <w:t>,</w:t>
      </w:r>
      <w:r w:rsidRPr="00ED0DF2">
        <w:rPr>
          <w:sz w:val="28"/>
          <w:szCs w:val="28"/>
        </w:rPr>
        <w:t xml:space="preserve"> one can </w:t>
      </w:r>
      <w:r w:rsidRPr="00ED0DF2">
        <w:rPr>
          <w:sz w:val="28"/>
          <w:szCs w:val="28"/>
        </w:rPr>
        <w:lastRenderedPageBreak/>
        <w:t>undoubtedly say that any order enforcing a specific obligation</w:t>
      </w:r>
      <w:r>
        <w:rPr>
          <w:sz w:val="28"/>
          <w:szCs w:val="28"/>
        </w:rPr>
        <w:t xml:space="preserve"> due</w:t>
      </w:r>
      <w:r w:rsidRPr="00ED0DF2">
        <w:rPr>
          <w:sz w:val="28"/>
          <w:szCs w:val="28"/>
        </w:rPr>
        <w:t xml:space="preserve"> to be performed in terms of a contract</w:t>
      </w:r>
      <w:r>
        <w:rPr>
          <w:sz w:val="28"/>
          <w:szCs w:val="28"/>
        </w:rPr>
        <w:t>, including one for the payment of money,</w:t>
      </w:r>
      <w:r w:rsidRPr="00ED0DF2">
        <w:rPr>
          <w:sz w:val="28"/>
          <w:szCs w:val="28"/>
        </w:rPr>
        <w:t xml:space="preserve"> is an order for specific performance.</w:t>
      </w:r>
      <w:r>
        <w:rPr>
          <w:sz w:val="28"/>
          <w:szCs w:val="28"/>
        </w:rPr>
        <w:t xml:space="preserve"> (I will refer to that sense of the term as ‘specific performance in the wide sense’.)</w:t>
      </w:r>
      <w:r w:rsidRPr="00ED0DF2">
        <w:rPr>
          <w:sz w:val="28"/>
          <w:szCs w:val="28"/>
        </w:rPr>
        <w:t xml:space="preserve"> </w:t>
      </w:r>
      <w:r>
        <w:rPr>
          <w:sz w:val="28"/>
          <w:szCs w:val="28"/>
        </w:rPr>
        <w:t xml:space="preserve">However, </w:t>
      </w:r>
      <w:r w:rsidRPr="00ED0DF2">
        <w:rPr>
          <w:sz w:val="28"/>
          <w:szCs w:val="28"/>
        </w:rPr>
        <w:t xml:space="preserve">that is not the sense in which the term has been used in our law consistently, judging from </w:t>
      </w:r>
      <w:r>
        <w:rPr>
          <w:sz w:val="28"/>
          <w:szCs w:val="28"/>
        </w:rPr>
        <w:t xml:space="preserve">reported </w:t>
      </w:r>
      <w:r w:rsidRPr="00ED0DF2">
        <w:rPr>
          <w:sz w:val="28"/>
          <w:szCs w:val="28"/>
        </w:rPr>
        <w:t xml:space="preserve">judgments, </w:t>
      </w:r>
      <w:r>
        <w:rPr>
          <w:sz w:val="28"/>
          <w:szCs w:val="28"/>
        </w:rPr>
        <w:t>since</w:t>
      </w:r>
      <w:r w:rsidRPr="00ED0DF2">
        <w:rPr>
          <w:sz w:val="28"/>
          <w:szCs w:val="28"/>
        </w:rPr>
        <w:t xml:space="preserve"> the </w:t>
      </w:r>
      <w:r>
        <w:rPr>
          <w:sz w:val="28"/>
          <w:szCs w:val="28"/>
        </w:rPr>
        <w:t>nineteenth</w:t>
      </w:r>
      <w:r w:rsidRPr="00ED0DF2">
        <w:rPr>
          <w:sz w:val="28"/>
          <w:szCs w:val="28"/>
        </w:rPr>
        <w:t xml:space="preserve"> century</w:t>
      </w:r>
      <w:r w:rsidR="00C12D35">
        <w:rPr>
          <w:sz w:val="28"/>
          <w:szCs w:val="28"/>
        </w:rPr>
        <w:t xml:space="preserve"> in the context of the discretion to</w:t>
      </w:r>
      <w:r w:rsidR="00014A67">
        <w:rPr>
          <w:sz w:val="28"/>
          <w:szCs w:val="28"/>
        </w:rPr>
        <w:t xml:space="preserve"> grant or</w:t>
      </w:r>
      <w:r w:rsidR="00C12D35">
        <w:rPr>
          <w:sz w:val="28"/>
          <w:szCs w:val="28"/>
        </w:rPr>
        <w:t xml:space="preserve"> refuse </w:t>
      </w:r>
      <w:r w:rsidR="00014A67">
        <w:rPr>
          <w:sz w:val="28"/>
          <w:szCs w:val="28"/>
        </w:rPr>
        <w:t xml:space="preserve">an order for </w:t>
      </w:r>
      <w:r w:rsidR="00C12D35">
        <w:rPr>
          <w:sz w:val="28"/>
          <w:szCs w:val="28"/>
        </w:rPr>
        <w:t>specific performance</w:t>
      </w:r>
      <w:r w:rsidRPr="00ED0DF2">
        <w:rPr>
          <w:sz w:val="28"/>
          <w:szCs w:val="28"/>
        </w:rPr>
        <w:t>. In th</w:t>
      </w:r>
      <w:r w:rsidR="00C12D35">
        <w:rPr>
          <w:sz w:val="28"/>
          <w:szCs w:val="28"/>
        </w:rPr>
        <w:t>is</w:t>
      </w:r>
      <w:r w:rsidRPr="00ED0DF2">
        <w:rPr>
          <w:sz w:val="28"/>
          <w:szCs w:val="28"/>
        </w:rPr>
        <w:t xml:space="preserve"> sense the term </w:t>
      </w:r>
      <w:r>
        <w:rPr>
          <w:sz w:val="28"/>
          <w:szCs w:val="28"/>
        </w:rPr>
        <w:t xml:space="preserve">is used to </w:t>
      </w:r>
      <w:r w:rsidRPr="00ED0DF2">
        <w:rPr>
          <w:sz w:val="28"/>
          <w:szCs w:val="28"/>
        </w:rPr>
        <w:t xml:space="preserve">denote </w:t>
      </w:r>
      <w:r>
        <w:rPr>
          <w:sz w:val="28"/>
          <w:szCs w:val="28"/>
        </w:rPr>
        <w:t>an order for the</w:t>
      </w:r>
      <w:r w:rsidRPr="00ED0DF2">
        <w:rPr>
          <w:sz w:val="28"/>
          <w:szCs w:val="28"/>
        </w:rPr>
        <w:t xml:space="preserve"> performance of a</w:t>
      </w:r>
      <w:r>
        <w:rPr>
          <w:sz w:val="28"/>
          <w:szCs w:val="28"/>
        </w:rPr>
        <w:t xml:space="preserve"> contractual</w:t>
      </w:r>
      <w:r w:rsidRPr="00ED0DF2">
        <w:rPr>
          <w:sz w:val="28"/>
          <w:szCs w:val="28"/>
        </w:rPr>
        <w:t xml:space="preserve"> obligation </w:t>
      </w:r>
      <w:r>
        <w:rPr>
          <w:sz w:val="28"/>
          <w:szCs w:val="28"/>
        </w:rPr>
        <w:t>to do something;</w:t>
      </w:r>
      <w:r w:rsidRPr="00ED0DF2">
        <w:rPr>
          <w:sz w:val="28"/>
          <w:szCs w:val="28"/>
        </w:rPr>
        <w:t xml:space="preserve"> </w:t>
      </w:r>
      <w:r>
        <w:rPr>
          <w:sz w:val="28"/>
          <w:szCs w:val="28"/>
        </w:rPr>
        <w:t xml:space="preserve">that is an order </w:t>
      </w:r>
      <w:r w:rsidRPr="00CD4809">
        <w:rPr>
          <w:sz w:val="28"/>
          <w:szCs w:val="28"/>
        </w:rPr>
        <w:t xml:space="preserve">of </w:t>
      </w:r>
      <w:r>
        <w:rPr>
          <w:sz w:val="28"/>
          <w:szCs w:val="28"/>
        </w:rPr>
        <w:t>‘</w:t>
      </w:r>
      <w:r w:rsidRPr="00CD4809">
        <w:rPr>
          <w:sz w:val="28"/>
          <w:szCs w:val="28"/>
        </w:rPr>
        <w:t xml:space="preserve">specific performance </w:t>
      </w:r>
      <w:r w:rsidRPr="00CD4809">
        <w:rPr>
          <w:i/>
          <w:iCs/>
          <w:sz w:val="28"/>
          <w:szCs w:val="28"/>
        </w:rPr>
        <w:t>ad faciendum</w:t>
      </w:r>
      <w:r>
        <w:rPr>
          <w:i/>
          <w:iCs/>
          <w:sz w:val="28"/>
          <w:szCs w:val="28"/>
        </w:rPr>
        <w:t>’</w:t>
      </w:r>
      <w:r w:rsidR="00600EE3" w:rsidRPr="002430D2">
        <w:rPr>
          <w:sz w:val="28"/>
          <w:szCs w:val="28"/>
        </w:rPr>
        <w:t>,</w:t>
      </w:r>
      <w:r w:rsidR="00600EE3" w:rsidRPr="002430D2">
        <w:rPr>
          <w:rStyle w:val="FootnoteReference"/>
          <w:sz w:val="28"/>
          <w:szCs w:val="28"/>
        </w:rPr>
        <w:footnoteReference w:id="12"/>
      </w:r>
      <w:r>
        <w:rPr>
          <w:sz w:val="28"/>
          <w:szCs w:val="28"/>
        </w:rPr>
        <w:t xml:space="preserve"> or more frequently, an order </w:t>
      </w:r>
      <w:r w:rsidRPr="00ED0DF2">
        <w:rPr>
          <w:i/>
          <w:iCs/>
          <w:sz w:val="28"/>
          <w:szCs w:val="28"/>
        </w:rPr>
        <w:t>ad factum praestandum</w:t>
      </w:r>
      <w:r>
        <w:rPr>
          <w:i/>
          <w:iCs/>
          <w:sz w:val="28"/>
          <w:szCs w:val="28"/>
        </w:rPr>
        <w:t>.</w:t>
      </w:r>
    </w:p>
    <w:p w14:paraId="4969CC60" w14:textId="77777777" w:rsidR="00856B66" w:rsidRDefault="00856B66" w:rsidP="00856B66">
      <w:pPr>
        <w:spacing w:line="360" w:lineRule="auto"/>
        <w:jc w:val="both"/>
        <w:rPr>
          <w:sz w:val="28"/>
          <w:szCs w:val="28"/>
        </w:rPr>
      </w:pPr>
    </w:p>
    <w:p w14:paraId="1070F3B8" w14:textId="2AC69486" w:rsidR="0002437C" w:rsidRDefault="00856B66" w:rsidP="00856B66">
      <w:pPr>
        <w:spacing w:line="360" w:lineRule="auto"/>
        <w:jc w:val="both"/>
        <w:rPr>
          <w:rFonts w:eastAsiaTheme="minorHAnsi"/>
          <w:bCs/>
          <w:color w:val="000000"/>
          <w:sz w:val="28"/>
          <w:szCs w:val="28"/>
          <w:shd w:val="clear" w:color="auto" w:fill="FFFFFF"/>
          <w:lang w:val="en-US"/>
        </w:rPr>
      </w:pPr>
      <w:r>
        <w:rPr>
          <w:sz w:val="28"/>
          <w:szCs w:val="28"/>
        </w:rPr>
        <w:t>[2</w:t>
      </w:r>
      <w:r w:rsidR="0083404F">
        <w:rPr>
          <w:sz w:val="28"/>
          <w:szCs w:val="28"/>
        </w:rPr>
        <w:t>6</w:t>
      </w:r>
      <w:r>
        <w:rPr>
          <w:sz w:val="28"/>
          <w:szCs w:val="28"/>
        </w:rPr>
        <w:t>]</w:t>
      </w:r>
      <w:r>
        <w:rPr>
          <w:sz w:val="28"/>
          <w:szCs w:val="28"/>
        </w:rPr>
        <w:tab/>
        <w:t xml:space="preserve"> When</w:t>
      </w:r>
      <w:r w:rsidR="00477DA5">
        <w:rPr>
          <w:sz w:val="28"/>
          <w:szCs w:val="28"/>
        </w:rPr>
        <w:t xml:space="preserve"> </w:t>
      </w:r>
      <w:r>
        <w:rPr>
          <w:sz w:val="28"/>
          <w:szCs w:val="28"/>
        </w:rPr>
        <w:t xml:space="preserve">the contract provides for the performance of an act by the guilty party, the innocent party may sue for performance of the act, seeking an order </w:t>
      </w:r>
      <w:r w:rsidRPr="00ED0DF2">
        <w:rPr>
          <w:i/>
          <w:iCs/>
          <w:sz w:val="28"/>
          <w:szCs w:val="28"/>
        </w:rPr>
        <w:t>ad factum praestandum</w:t>
      </w:r>
      <w:r>
        <w:rPr>
          <w:i/>
          <w:iCs/>
          <w:sz w:val="28"/>
          <w:szCs w:val="28"/>
        </w:rPr>
        <w:t>.</w:t>
      </w:r>
      <w:r>
        <w:rPr>
          <w:iCs/>
          <w:sz w:val="28"/>
          <w:szCs w:val="28"/>
        </w:rPr>
        <w:t xml:space="preserve"> A tender of payment of damages for non-performance of the act is not a defence to such a claim. The position is as set out in </w:t>
      </w:r>
      <w:bookmarkStart w:id="8" w:name="_Hlk135079708"/>
      <w:r w:rsidRPr="0036406A">
        <w:rPr>
          <w:rFonts w:eastAsiaTheme="minorHAnsi"/>
          <w:bCs/>
          <w:i/>
          <w:color w:val="000000"/>
          <w:sz w:val="28"/>
          <w:szCs w:val="28"/>
          <w:shd w:val="clear" w:color="auto" w:fill="FFFFFF"/>
          <w:lang w:val="en-US"/>
        </w:rPr>
        <w:t>Farmers' Co-Operative Society</w:t>
      </w:r>
      <w:r>
        <w:rPr>
          <w:rFonts w:eastAsiaTheme="minorHAnsi"/>
          <w:bCs/>
          <w:i/>
          <w:color w:val="000000"/>
          <w:sz w:val="28"/>
          <w:szCs w:val="28"/>
          <w:shd w:val="clear" w:color="auto" w:fill="FFFFFF"/>
          <w:lang w:val="en-US"/>
        </w:rPr>
        <w:t xml:space="preserve"> </w:t>
      </w:r>
      <w:bookmarkEnd w:id="8"/>
      <w:r w:rsidRPr="0036406A">
        <w:rPr>
          <w:rFonts w:eastAsiaTheme="minorHAnsi"/>
          <w:bCs/>
          <w:i/>
          <w:color w:val="000000"/>
          <w:sz w:val="28"/>
          <w:szCs w:val="28"/>
          <w:shd w:val="clear" w:color="auto" w:fill="FFFFFF"/>
          <w:lang w:val="en-US"/>
        </w:rPr>
        <w:t>v Berry</w:t>
      </w:r>
      <w:r w:rsidR="0002437C" w:rsidRPr="002430D2">
        <w:rPr>
          <w:rStyle w:val="FootnoteReference"/>
          <w:rFonts w:eastAsiaTheme="minorHAnsi"/>
          <w:bCs/>
          <w:iCs/>
          <w:color w:val="000000"/>
          <w:sz w:val="28"/>
          <w:szCs w:val="28"/>
          <w:shd w:val="clear" w:color="auto" w:fill="FFFFFF"/>
          <w:lang w:val="en-US"/>
        </w:rPr>
        <w:footnoteReference w:id="13"/>
      </w:r>
      <w:r w:rsidR="0002437C">
        <w:rPr>
          <w:rFonts w:eastAsiaTheme="minorHAnsi"/>
          <w:bCs/>
          <w:iCs/>
          <w:color w:val="000000"/>
          <w:sz w:val="28"/>
          <w:szCs w:val="28"/>
          <w:shd w:val="clear" w:color="auto" w:fill="FFFFFF"/>
          <w:lang w:val="en-US"/>
        </w:rPr>
        <w:t xml:space="preserve"> (</w:t>
      </w:r>
      <w:r w:rsidR="0002437C" w:rsidRPr="0036406A">
        <w:rPr>
          <w:rFonts w:eastAsiaTheme="minorHAnsi"/>
          <w:bCs/>
          <w:i/>
          <w:color w:val="000000"/>
          <w:sz w:val="28"/>
          <w:szCs w:val="28"/>
          <w:shd w:val="clear" w:color="auto" w:fill="FFFFFF"/>
          <w:lang w:val="en-US"/>
        </w:rPr>
        <w:t>Farmers' Co-Operative Society</w:t>
      </w:r>
      <w:r w:rsidR="0002437C" w:rsidRPr="002430D2">
        <w:rPr>
          <w:rFonts w:eastAsiaTheme="minorHAnsi"/>
          <w:bCs/>
          <w:iCs/>
          <w:color w:val="000000"/>
          <w:sz w:val="28"/>
          <w:szCs w:val="28"/>
          <w:shd w:val="clear" w:color="auto" w:fill="FFFFFF"/>
          <w:lang w:val="en-US"/>
        </w:rPr>
        <w:t>)</w:t>
      </w:r>
      <w:r w:rsidR="0002437C">
        <w:rPr>
          <w:rFonts w:eastAsiaTheme="minorHAnsi"/>
          <w:bCs/>
          <w:color w:val="000000"/>
          <w:sz w:val="28"/>
          <w:szCs w:val="28"/>
          <w:lang w:val="en-US"/>
        </w:rPr>
        <w:t>,</w:t>
      </w:r>
      <w:r>
        <w:rPr>
          <w:rFonts w:eastAsiaTheme="minorHAnsi"/>
          <w:bCs/>
          <w:color w:val="000000"/>
          <w:sz w:val="28"/>
          <w:szCs w:val="28"/>
          <w:shd w:val="clear" w:color="auto" w:fill="FFFFFF"/>
          <w:lang w:val="en-US"/>
        </w:rPr>
        <w:t xml:space="preserve"> a case in which an order </w:t>
      </w:r>
      <w:r w:rsidRPr="003B6A5C">
        <w:rPr>
          <w:rFonts w:eastAsiaTheme="minorHAnsi"/>
          <w:bCs/>
          <w:i/>
          <w:color w:val="000000"/>
          <w:sz w:val="28"/>
          <w:szCs w:val="28"/>
          <w:shd w:val="clear" w:color="auto" w:fill="FFFFFF"/>
          <w:lang w:val="en-US"/>
        </w:rPr>
        <w:t>ad factum praestandum</w:t>
      </w:r>
      <w:r>
        <w:rPr>
          <w:rFonts w:eastAsiaTheme="minorHAnsi"/>
          <w:bCs/>
          <w:color w:val="000000"/>
          <w:sz w:val="28"/>
          <w:szCs w:val="28"/>
          <w:shd w:val="clear" w:color="auto" w:fill="FFFFFF"/>
          <w:lang w:val="en-US"/>
        </w:rPr>
        <w:t xml:space="preserve"> was sought</w:t>
      </w:r>
      <w:r w:rsidR="0002437C">
        <w:rPr>
          <w:rFonts w:eastAsiaTheme="minorHAnsi"/>
          <w:bCs/>
          <w:color w:val="000000"/>
          <w:sz w:val="28"/>
          <w:szCs w:val="28"/>
          <w:shd w:val="clear" w:color="auto" w:fill="FFFFFF"/>
          <w:lang w:val="en-US"/>
        </w:rPr>
        <w:t>:</w:t>
      </w:r>
      <w:r>
        <w:rPr>
          <w:rFonts w:eastAsiaTheme="minorHAnsi"/>
          <w:bCs/>
          <w:color w:val="000000"/>
          <w:sz w:val="28"/>
          <w:szCs w:val="28"/>
          <w:shd w:val="clear" w:color="auto" w:fill="FFFFFF"/>
          <w:lang w:val="en-US"/>
        </w:rPr>
        <w:t xml:space="preserve"> </w:t>
      </w:r>
    </w:p>
    <w:p w14:paraId="73C48916" w14:textId="1F3C90E1" w:rsidR="00856B66" w:rsidRPr="003B6A5C" w:rsidRDefault="00856B66" w:rsidP="002430D2">
      <w:pPr>
        <w:spacing w:line="360" w:lineRule="auto"/>
        <w:jc w:val="both"/>
      </w:pPr>
      <w:r w:rsidRPr="003B6A5C">
        <w:rPr>
          <w:rFonts w:eastAsiaTheme="minorHAnsi"/>
          <w:b/>
          <w:bCs/>
          <w:shd w:val="clear" w:color="auto" w:fill="FFFFFF"/>
        </w:rPr>
        <w:t>‘</w:t>
      </w:r>
      <w:r w:rsidRPr="003B6A5C">
        <w:rPr>
          <w:i/>
          <w:iCs/>
        </w:rPr>
        <w:t>Prima facie </w:t>
      </w:r>
      <w:r w:rsidRPr="003B6A5C">
        <w:t>every party to a binding agreement who is ready to carry out his own obligation under it has a right to demand from the other party, so far as it is possible, a performance of his undertaking in terms of the contract. As remarked by KOTZE, C.J., in </w:t>
      </w:r>
      <w:r w:rsidRPr="003B6A5C">
        <w:rPr>
          <w:i/>
          <w:iCs/>
        </w:rPr>
        <w:t>Thompson v Pullinger </w:t>
      </w:r>
      <w:r w:rsidRPr="003B6A5C">
        <w:t>(1 O. R., at p. 301), "the right of a plaintiff to the specific performance of a contract where the defendant is in a position to do so is beyond all doubt." It is true that Courts will exercise a discretion in determining whether or not decrees of specific performance should be made. They will not of course, be issued where it is impossible for the defendant to comply with them. And there are many cases in which justice between the parties can be fully and conveniently done by an award of damages. But that is a different thing from saying that a defendant who has broken his undertaking has the option to purge his default by the payment of money. For in the words of </w:t>
      </w:r>
      <w:r w:rsidRPr="003B6A5C">
        <w:rPr>
          <w:i/>
          <w:iCs/>
        </w:rPr>
        <w:t>Storey </w:t>
      </w:r>
      <w:r w:rsidRPr="003B6A5C">
        <w:t>(</w:t>
      </w:r>
      <w:r w:rsidRPr="003B6A5C">
        <w:rPr>
          <w:i/>
          <w:iCs/>
        </w:rPr>
        <w:t>Equity Jurisprudence, </w:t>
      </w:r>
      <w:r w:rsidRPr="003B6A5C">
        <w:t xml:space="preserve">Sec. 717 (a)), "it is against conscience that a party should have a right of election whether he would perform his contract or only pay damages for </w:t>
      </w:r>
      <w:r w:rsidRPr="003B6A5C">
        <w:lastRenderedPageBreak/>
        <w:t>the breach of it." The election is rather with the injured party, subject to the discretion of the Court. Now it is not necessary for the purposes of this case to lay down any general rule as to when a Court will and when it will not decree the specific performance of a contract. Because it is clear that where, owing to the difficulty of assessing damages or otherwise, it is not possible to do justice by an order for the payment of money, and where it is in the power of a defendant to carry out his undertaking, then such a decree is the only appropriate remedy.</w:t>
      </w:r>
      <w:r>
        <w:t>’</w:t>
      </w:r>
      <w:r w:rsidR="0002437C">
        <w:rPr>
          <w:rStyle w:val="FootnoteReference"/>
        </w:rPr>
        <w:footnoteReference w:id="14"/>
      </w:r>
    </w:p>
    <w:p w14:paraId="55CC1697" w14:textId="77777777" w:rsidR="00856B66" w:rsidRPr="003B6A5C" w:rsidRDefault="00856B66" w:rsidP="00856B66">
      <w:pPr>
        <w:spacing w:line="360" w:lineRule="auto"/>
        <w:jc w:val="both"/>
        <w:rPr>
          <w:rFonts w:eastAsiaTheme="minorHAnsi"/>
          <w:b/>
          <w:bCs/>
          <w:color w:val="000000"/>
          <w:shd w:val="clear" w:color="auto" w:fill="FFFFFF"/>
          <w:lang w:val="en-US"/>
        </w:rPr>
      </w:pPr>
    </w:p>
    <w:p w14:paraId="0C59A5E7" w14:textId="0F168789" w:rsidR="00856B66" w:rsidRDefault="00856B66" w:rsidP="003E3556">
      <w:pPr>
        <w:spacing w:line="360" w:lineRule="auto"/>
        <w:jc w:val="both"/>
        <w:rPr>
          <w:sz w:val="28"/>
          <w:szCs w:val="28"/>
        </w:rPr>
      </w:pPr>
      <w:r>
        <w:rPr>
          <w:sz w:val="28"/>
          <w:szCs w:val="28"/>
        </w:rPr>
        <w:t>[2</w:t>
      </w:r>
      <w:r w:rsidR="0083404F">
        <w:rPr>
          <w:sz w:val="28"/>
          <w:szCs w:val="28"/>
        </w:rPr>
        <w:t>7</w:t>
      </w:r>
      <w:r>
        <w:rPr>
          <w:sz w:val="28"/>
          <w:szCs w:val="28"/>
        </w:rPr>
        <w:t>]</w:t>
      </w:r>
      <w:r>
        <w:rPr>
          <w:sz w:val="28"/>
          <w:szCs w:val="28"/>
        </w:rPr>
        <w:tab/>
        <w:t xml:space="preserve">One of the principles which emerges from </w:t>
      </w:r>
      <w:bookmarkStart w:id="9" w:name="_Hlk135080436"/>
      <w:r w:rsidRPr="0036406A">
        <w:rPr>
          <w:rFonts w:eastAsiaTheme="minorHAnsi"/>
          <w:bCs/>
          <w:i/>
          <w:color w:val="000000"/>
          <w:sz w:val="28"/>
          <w:szCs w:val="28"/>
          <w:shd w:val="clear" w:color="auto" w:fill="FFFFFF"/>
          <w:lang w:val="en-US"/>
        </w:rPr>
        <w:t>Farmers' Co-Operative Society</w:t>
      </w:r>
      <w:bookmarkEnd w:id="9"/>
      <w:r>
        <w:rPr>
          <w:rFonts w:eastAsiaTheme="minorHAnsi"/>
          <w:bCs/>
          <w:color w:val="000000"/>
          <w:sz w:val="28"/>
          <w:szCs w:val="28"/>
          <w:shd w:val="clear" w:color="auto" w:fill="FFFFFF"/>
          <w:lang w:val="en-US"/>
        </w:rPr>
        <w:t xml:space="preserve">, and equally from </w:t>
      </w:r>
      <w:r w:rsidRPr="002F6D4F">
        <w:rPr>
          <w:rFonts w:eastAsiaTheme="minorHAnsi"/>
          <w:bCs/>
          <w:i/>
          <w:color w:val="000000"/>
          <w:sz w:val="28"/>
          <w:szCs w:val="28"/>
          <w:shd w:val="clear" w:color="auto" w:fill="FFFFFF"/>
          <w:lang w:val="en-US"/>
        </w:rPr>
        <w:t>Haynes</w:t>
      </w:r>
      <w:r>
        <w:rPr>
          <w:rFonts w:eastAsiaTheme="minorHAnsi"/>
          <w:bCs/>
          <w:color w:val="000000"/>
          <w:sz w:val="28"/>
          <w:szCs w:val="28"/>
          <w:shd w:val="clear" w:color="auto" w:fill="FFFFFF"/>
          <w:lang w:val="en-US"/>
        </w:rPr>
        <w:t xml:space="preserve"> and </w:t>
      </w:r>
      <w:r w:rsidRPr="002F6D4F">
        <w:rPr>
          <w:rFonts w:eastAsiaTheme="minorHAnsi"/>
          <w:bCs/>
          <w:i/>
          <w:color w:val="000000"/>
          <w:sz w:val="28"/>
          <w:szCs w:val="28"/>
          <w:shd w:val="clear" w:color="auto" w:fill="FFFFFF"/>
          <w:lang w:val="en-US"/>
        </w:rPr>
        <w:t>Benson</w:t>
      </w:r>
      <w:r>
        <w:rPr>
          <w:rFonts w:eastAsiaTheme="minorHAnsi"/>
          <w:bCs/>
          <w:color w:val="000000"/>
          <w:sz w:val="28"/>
          <w:szCs w:val="28"/>
          <w:shd w:val="clear" w:color="auto" w:fill="FFFFFF"/>
          <w:lang w:val="en-US"/>
        </w:rPr>
        <w:t xml:space="preserve">, is that the discretion the court has to deny an order </w:t>
      </w:r>
      <w:r w:rsidRPr="002F6D4F">
        <w:rPr>
          <w:rFonts w:eastAsiaTheme="minorHAnsi"/>
          <w:bCs/>
          <w:i/>
          <w:color w:val="000000"/>
          <w:sz w:val="28"/>
          <w:szCs w:val="28"/>
          <w:shd w:val="clear" w:color="auto" w:fill="FFFFFF"/>
          <w:lang w:val="en-US"/>
        </w:rPr>
        <w:t>ad factum praestandum</w:t>
      </w:r>
      <w:r>
        <w:rPr>
          <w:rFonts w:eastAsiaTheme="minorHAnsi"/>
          <w:bCs/>
          <w:color w:val="000000"/>
          <w:sz w:val="28"/>
          <w:szCs w:val="28"/>
          <w:shd w:val="clear" w:color="auto" w:fill="FFFFFF"/>
          <w:lang w:val="en-US"/>
        </w:rPr>
        <w:t xml:space="preserve"> rests on the existence of a choice between two remedies. The one is to order performance. The other closes the door on enforcement of the acknowledged right to performance, on the basis that the remedy of damages for non-performance is available to the plaintiff.</w:t>
      </w:r>
      <w:r w:rsidR="00477DA5">
        <w:rPr>
          <w:rFonts w:eastAsiaTheme="minorHAnsi"/>
          <w:bCs/>
          <w:color w:val="000000"/>
          <w:sz w:val="28"/>
          <w:szCs w:val="28"/>
          <w:shd w:val="clear" w:color="auto" w:fill="FFFFFF"/>
          <w:lang w:val="en-US"/>
        </w:rPr>
        <w:t xml:space="preserve"> </w:t>
      </w:r>
    </w:p>
    <w:p w14:paraId="68C34750" w14:textId="77777777" w:rsidR="00856B66" w:rsidRDefault="00856B66" w:rsidP="00856B66">
      <w:pPr>
        <w:spacing w:line="360" w:lineRule="auto"/>
        <w:jc w:val="both"/>
        <w:rPr>
          <w:sz w:val="28"/>
          <w:szCs w:val="28"/>
        </w:rPr>
      </w:pPr>
    </w:p>
    <w:p w14:paraId="2693C32C" w14:textId="183FF0D2" w:rsidR="00856B66" w:rsidRDefault="00856B66" w:rsidP="00856B66">
      <w:pPr>
        <w:spacing w:line="360" w:lineRule="auto"/>
        <w:jc w:val="both"/>
        <w:rPr>
          <w:iCs/>
          <w:sz w:val="28"/>
          <w:szCs w:val="28"/>
        </w:rPr>
      </w:pPr>
      <w:r>
        <w:rPr>
          <w:sz w:val="28"/>
          <w:szCs w:val="28"/>
        </w:rPr>
        <w:t>[</w:t>
      </w:r>
      <w:r w:rsidR="0083404F">
        <w:rPr>
          <w:sz w:val="28"/>
          <w:szCs w:val="28"/>
        </w:rPr>
        <w:t>28</w:t>
      </w:r>
      <w:r>
        <w:rPr>
          <w:sz w:val="28"/>
          <w:szCs w:val="28"/>
        </w:rPr>
        <w:t>]</w:t>
      </w:r>
      <w:r>
        <w:rPr>
          <w:sz w:val="28"/>
          <w:szCs w:val="28"/>
        </w:rPr>
        <w:tab/>
        <w:t xml:space="preserve">From the first edition of RH Christie </w:t>
      </w:r>
      <w:r>
        <w:rPr>
          <w:i/>
          <w:sz w:val="28"/>
          <w:szCs w:val="28"/>
        </w:rPr>
        <w:t>The Law of Contract in South Africa</w:t>
      </w:r>
      <w:r>
        <w:rPr>
          <w:sz w:val="28"/>
          <w:szCs w:val="28"/>
        </w:rPr>
        <w:t xml:space="preserve"> (1981) at 505–510, to the current one, G</w:t>
      </w:r>
      <w:r w:rsidR="0051397C">
        <w:rPr>
          <w:sz w:val="28"/>
          <w:szCs w:val="28"/>
        </w:rPr>
        <w:t>B</w:t>
      </w:r>
      <w:r>
        <w:rPr>
          <w:sz w:val="28"/>
          <w:szCs w:val="28"/>
        </w:rPr>
        <w:t xml:space="preserve"> Bradfield </w:t>
      </w:r>
      <w:bookmarkStart w:id="10" w:name="_Hlk133843140"/>
      <w:r>
        <w:rPr>
          <w:i/>
          <w:sz w:val="28"/>
          <w:szCs w:val="28"/>
        </w:rPr>
        <w:t>Christie’s Law of Contract in South Africa</w:t>
      </w:r>
      <w:bookmarkEnd w:id="10"/>
      <w:r>
        <w:rPr>
          <w:sz w:val="28"/>
          <w:szCs w:val="28"/>
        </w:rPr>
        <w:t xml:space="preserve"> 8 ed at 14.2 (‘</w:t>
      </w:r>
      <w:r w:rsidRPr="00FA3F08">
        <w:rPr>
          <w:i/>
          <w:sz w:val="28"/>
          <w:szCs w:val="28"/>
        </w:rPr>
        <w:t>Christie</w:t>
      </w:r>
      <w:r>
        <w:rPr>
          <w:sz w:val="28"/>
          <w:szCs w:val="28"/>
        </w:rPr>
        <w:t xml:space="preserve">’), the learned authors have espoused the principle that an order enforcing a contractual obligation </w:t>
      </w:r>
      <w:bookmarkStart w:id="11" w:name="_Hlk133518250"/>
      <w:r w:rsidRPr="00ED0DF2">
        <w:rPr>
          <w:i/>
          <w:iCs/>
          <w:sz w:val="28"/>
          <w:szCs w:val="28"/>
        </w:rPr>
        <w:t>ad pecuniam solvendum</w:t>
      </w:r>
      <w:bookmarkEnd w:id="11"/>
      <w:r>
        <w:rPr>
          <w:sz w:val="28"/>
          <w:szCs w:val="28"/>
        </w:rPr>
        <w:t xml:space="preserve"> is as much an order for ‘specific performance’ as one enforcing a contractual obligation </w:t>
      </w:r>
      <w:r w:rsidRPr="00ED0DF2">
        <w:rPr>
          <w:i/>
          <w:iCs/>
          <w:sz w:val="28"/>
          <w:szCs w:val="28"/>
        </w:rPr>
        <w:t>ad factum praestandum</w:t>
      </w:r>
      <w:r>
        <w:rPr>
          <w:i/>
          <w:iCs/>
          <w:sz w:val="28"/>
          <w:szCs w:val="28"/>
        </w:rPr>
        <w:t>.</w:t>
      </w:r>
    </w:p>
    <w:p w14:paraId="0DB3332C" w14:textId="77777777" w:rsidR="00856B66" w:rsidRDefault="00856B66" w:rsidP="00856B66">
      <w:pPr>
        <w:spacing w:line="360" w:lineRule="auto"/>
        <w:jc w:val="both"/>
        <w:rPr>
          <w:iCs/>
          <w:sz w:val="28"/>
          <w:szCs w:val="28"/>
        </w:rPr>
      </w:pPr>
    </w:p>
    <w:p w14:paraId="2EBEDDB3" w14:textId="5826326D" w:rsidR="00856B66" w:rsidRPr="0055497F" w:rsidRDefault="00856B66" w:rsidP="00856B66">
      <w:pPr>
        <w:spacing w:line="360" w:lineRule="auto"/>
        <w:jc w:val="both"/>
        <w:rPr>
          <w:iCs/>
          <w:sz w:val="28"/>
          <w:szCs w:val="28"/>
        </w:rPr>
      </w:pPr>
      <w:r>
        <w:rPr>
          <w:iCs/>
          <w:sz w:val="28"/>
          <w:szCs w:val="28"/>
        </w:rPr>
        <w:t>[</w:t>
      </w:r>
      <w:r w:rsidR="0083404F">
        <w:rPr>
          <w:iCs/>
          <w:sz w:val="28"/>
          <w:szCs w:val="28"/>
        </w:rPr>
        <w:t>29</w:t>
      </w:r>
      <w:r>
        <w:rPr>
          <w:iCs/>
          <w:sz w:val="28"/>
          <w:szCs w:val="28"/>
        </w:rPr>
        <w:t>]</w:t>
      </w:r>
      <w:r>
        <w:rPr>
          <w:iCs/>
          <w:sz w:val="28"/>
          <w:szCs w:val="28"/>
        </w:rPr>
        <w:tab/>
        <w:t xml:space="preserve">In the first edition </w:t>
      </w:r>
      <w:r w:rsidRPr="00EC5327">
        <w:rPr>
          <w:i/>
          <w:iCs/>
          <w:sz w:val="28"/>
          <w:szCs w:val="28"/>
        </w:rPr>
        <w:t>Ras and Others v Simpson</w:t>
      </w:r>
      <w:r w:rsidR="00260D8F" w:rsidRPr="002430D2">
        <w:rPr>
          <w:rStyle w:val="FootnoteReference"/>
          <w:sz w:val="28"/>
          <w:szCs w:val="28"/>
        </w:rPr>
        <w:footnoteReference w:id="15"/>
      </w:r>
      <w:r>
        <w:rPr>
          <w:iCs/>
          <w:sz w:val="28"/>
          <w:szCs w:val="28"/>
        </w:rPr>
        <w:t xml:space="preserve"> was cited as authority for the proposition, and later </w:t>
      </w:r>
      <w:r>
        <w:rPr>
          <w:i/>
          <w:iCs/>
          <w:sz w:val="28"/>
          <w:szCs w:val="28"/>
        </w:rPr>
        <w:t>Leviseur &amp; Co</w:t>
      </w:r>
      <w:r w:rsidR="00260D8F">
        <w:rPr>
          <w:i/>
          <w:iCs/>
          <w:sz w:val="28"/>
          <w:szCs w:val="28"/>
        </w:rPr>
        <w:t>.</w:t>
      </w:r>
      <w:r>
        <w:rPr>
          <w:i/>
          <w:iCs/>
          <w:sz w:val="28"/>
          <w:szCs w:val="28"/>
        </w:rPr>
        <w:t xml:space="preserve"> v Highveld Supply Stores</w:t>
      </w:r>
      <w:r w:rsidR="00260D8F" w:rsidRPr="002430D2">
        <w:rPr>
          <w:rStyle w:val="FootnoteReference"/>
          <w:sz w:val="28"/>
          <w:szCs w:val="28"/>
        </w:rPr>
        <w:footnoteReference w:id="16"/>
      </w:r>
      <w:r>
        <w:rPr>
          <w:iCs/>
          <w:sz w:val="28"/>
          <w:szCs w:val="28"/>
        </w:rPr>
        <w:t xml:space="preserve"> was added. In my view the observations made in those judgments amounted to no more than that an order for the payment of a contractual debt amounted to specific performance in the wide sense</w:t>
      </w:r>
      <w:r w:rsidR="00F87758">
        <w:rPr>
          <w:iCs/>
          <w:sz w:val="28"/>
          <w:szCs w:val="28"/>
        </w:rPr>
        <w:t>,</w:t>
      </w:r>
      <w:r w:rsidR="0055497F">
        <w:rPr>
          <w:iCs/>
          <w:sz w:val="28"/>
          <w:szCs w:val="28"/>
        </w:rPr>
        <w:t xml:space="preserve"> and </w:t>
      </w:r>
      <w:r w:rsidR="00F87758">
        <w:rPr>
          <w:iCs/>
          <w:sz w:val="28"/>
          <w:szCs w:val="28"/>
        </w:rPr>
        <w:t xml:space="preserve">they </w:t>
      </w:r>
      <w:r w:rsidR="0055497F">
        <w:rPr>
          <w:iCs/>
          <w:sz w:val="28"/>
          <w:szCs w:val="28"/>
        </w:rPr>
        <w:t>may be accepted as far as they go</w:t>
      </w:r>
      <w:r>
        <w:rPr>
          <w:iCs/>
          <w:sz w:val="28"/>
          <w:szCs w:val="28"/>
        </w:rPr>
        <w:t xml:space="preserve">. </w:t>
      </w:r>
      <w:r>
        <w:rPr>
          <w:sz w:val="28"/>
          <w:szCs w:val="28"/>
        </w:rPr>
        <w:t xml:space="preserve">There was no issue in those cases as to whether the grant of a money judgment was a </w:t>
      </w:r>
      <w:r>
        <w:rPr>
          <w:sz w:val="28"/>
          <w:szCs w:val="28"/>
        </w:rPr>
        <w:lastRenderedPageBreak/>
        <w:t xml:space="preserve">discretionary remedy, nor any occasion to equate or contrast orders </w:t>
      </w:r>
      <w:r w:rsidRPr="00ED0DF2">
        <w:rPr>
          <w:i/>
          <w:iCs/>
          <w:sz w:val="28"/>
          <w:szCs w:val="28"/>
        </w:rPr>
        <w:t>ad factum praestandum</w:t>
      </w:r>
      <w:r>
        <w:rPr>
          <w:i/>
          <w:iCs/>
          <w:sz w:val="28"/>
          <w:szCs w:val="28"/>
        </w:rPr>
        <w:t xml:space="preserve"> </w:t>
      </w:r>
      <w:r>
        <w:rPr>
          <w:iCs/>
          <w:sz w:val="28"/>
          <w:szCs w:val="28"/>
        </w:rPr>
        <w:t xml:space="preserve">and </w:t>
      </w:r>
      <w:r w:rsidRPr="00ED0DF2">
        <w:rPr>
          <w:i/>
          <w:iCs/>
          <w:sz w:val="28"/>
          <w:szCs w:val="28"/>
        </w:rPr>
        <w:t>ad pecuniam solvendum</w:t>
      </w:r>
      <w:r>
        <w:rPr>
          <w:i/>
          <w:iCs/>
          <w:sz w:val="28"/>
          <w:szCs w:val="28"/>
        </w:rPr>
        <w:t>.</w:t>
      </w:r>
      <w:r w:rsidR="0055497F">
        <w:rPr>
          <w:i/>
          <w:iCs/>
          <w:sz w:val="28"/>
          <w:szCs w:val="28"/>
        </w:rPr>
        <w:t xml:space="preserve"> </w:t>
      </w:r>
      <w:r w:rsidR="0055497F">
        <w:rPr>
          <w:iCs/>
          <w:sz w:val="28"/>
          <w:szCs w:val="28"/>
        </w:rPr>
        <w:t>These judgments</w:t>
      </w:r>
      <w:r w:rsidR="007A7B2A">
        <w:rPr>
          <w:iCs/>
          <w:sz w:val="28"/>
          <w:szCs w:val="28"/>
        </w:rPr>
        <w:t>,</w:t>
      </w:r>
      <w:r w:rsidR="0055497F">
        <w:rPr>
          <w:iCs/>
          <w:sz w:val="28"/>
          <w:szCs w:val="28"/>
        </w:rPr>
        <w:t xml:space="preserve"> therefore</w:t>
      </w:r>
      <w:r w:rsidR="007A7B2A">
        <w:rPr>
          <w:iCs/>
          <w:sz w:val="28"/>
          <w:szCs w:val="28"/>
        </w:rPr>
        <w:t>,</w:t>
      </w:r>
      <w:r w:rsidR="0055497F">
        <w:rPr>
          <w:iCs/>
          <w:sz w:val="28"/>
          <w:szCs w:val="28"/>
        </w:rPr>
        <w:t xml:space="preserve"> do not provide an answer to the question whether a discretion to grant or refuse an order for specific performance arises when payment of a money debt is claimed.</w:t>
      </w:r>
    </w:p>
    <w:p w14:paraId="6B4BF723" w14:textId="77777777" w:rsidR="00856B66" w:rsidRDefault="00856B66" w:rsidP="00856B66">
      <w:pPr>
        <w:spacing w:line="360" w:lineRule="auto"/>
        <w:jc w:val="both"/>
        <w:rPr>
          <w:iCs/>
          <w:sz w:val="28"/>
          <w:szCs w:val="28"/>
        </w:rPr>
      </w:pPr>
    </w:p>
    <w:p w14:paraId="5C54F51F" w14:textId="133439E9" w:rsidR="00856B66" w:rsidRDefault="00856B66" w:rsidP="00856B66">
      <w:pPr>
        <w:spacing w:line="360" w:lineRule="auto"/>
        <w:jc w:val="both"/>
        <w:rPr>
          <w:sz w:val="28"/>
          <w:szCs w:val="28"/>
        </w:rPr>
      </w:pPr>
      <w:r>
        <w:rPr>
          <w:iCs/>
          <w:sz w:val="28"/>
          <w:szCs w:val="28"/>
        </w:rPr>
        <w:t>[3</w:t>
      </w:r>
      <w:r w:rsidR="0083404F">
        <w:rPr>
          <w:iCs/>
          <w:sz w:val="28"/>
          <w:szCs w:val="28"/>
        </w:rPr>
        <w:t>0</w:t>
      </w:r>
      <w:r>
        <w:rPr>
          <w:iCs/>
          <w:sz w:val="28"/>
          <w:szCs w:val="28"/>
        </w:rPr>
        <w:t>]</w:t>
      </w:r>
      <w:r>
        <w:rPr>
          <w:iCs/>
          <w:sz w:val="28"/>
          <w:szCs w:val="28"/>
        </w:rPr>
        <w:tab/>
      </w:r>
      <w:r w:rsidR="0051397C">
        <w:rPr>
          <w:iCs/>
          <w:sz w:val="28"/>
          <w:szCs w:val="28"/>
        </w:rPr>
        <w:t>It is</w:t>
      </w:r>
      <w:r w:rsidR="00D300A2">
        <w:rPr>
          <w:iCs/>
          <w:sz w:val="28"/>
          <w:szCs w:val="28"/>
        </w:rPr>
        <w:t xml:space="preserve"> not entirely clear what </w:t>
      </w:r>
      <w:r w:rsidR="00D300A2" w:rsidRPr="003E3556">
        <w:rPr>
          <w:i/>
          <w:iCs/>
          <w:sz w:val="28"/>
          <w:szCs w:val="28"/>
        </w:rPr>
        <w:t>Christie</w:t>
      </w:r>
      <w:r w:rsidR="008A43E4">
        <w:rPr>
          <w:iCs/>
          <w:sz w:val="28"/>
          <w:szCs w:val="28"/>
        </w:rPr>
        <w:t xml:space="preserve"> says in this regard at 658–659 of the 8</w:t>
      </w:r>
      <w:r w:rsidR="007A7B2A">
        <w:rPr>
          <w:iCs/>
          <w:sz w:val="28"/>
          <w:szCs w:val="28"/>
        </w:rPr>
        <w:t>th</w:t>
      </w:r>
      <w:r w:rsidR="008A43E4">
        <w:rPr>
          <w:iCs/>
          <w:sz w:val="28"/>
          <w:szCs w:val="28"/>
        </w:rPr>
        <w:t xml:space="preserve"> ed</w:t>
      </w:r>
      <w:r w:rsidR="007A7B2A">
        <w:rPr>
          <w:iCs/>
          <w:sz w:val="28"/>
          <w:szCs w:val="28"/>
        </w:rPr>
        <w:t>ition</w:t>
      </w:r>
      <w:r w:rsidR="008A43E4">
        <w:rPr>
          <w:iCs/>
          <w:sz w:val="28"/>
          <w:szCs w:val="28"/>
        </w:rPr>
        <w:t xml:space="preserve">. To the extent that the author could be understood as answering this question in the affirmative, it has to </w:t>
      </w:r>
      <w:r w:rsidR="00F03E5F">
        <w:rPr>
          <w:iCs/>
          <w:sz w:val="28"/>
          <w:szCs w:val="28"/>
        </w:rPr>
        <w:t xml:space="preserve">be </w:t>
      </w:r>
      <w:r w:rsidR="008A43E4">
        <w:rPr>
          <w:iCs/>
          <w:sz w:val="28"/>
          <w:szCs w:val="28"/>
        </w:rPr>
        <w:t>pointed out that none of the cases referred to in this regard provides authority for that proposition. These are</w:t>
      </w:r>
      <w:r w:rsidRPr="00800C48">
        <w:rPr>
          <w:sz w:val="28"/>
          <w:szCs w:val="28"/>
        </w:rPr>
        <w:t xml:space="preserve"> </w:t>
      </w:r>
      <w:r w:rsidRPr="00800C48">
        <w:rPr>
          <w:i/>
          <w:iCs/>
          <w:sz w:val="28"/>
          <w:szCs w:val="28"/>
        </w:rPr>
        <w:t>South African Harness Works v South African Publishers Ltd</w:t>
      </w:r>
      <w:r w:rsidR="007A7B2A" w:rsidRPr="002430D2">
        <w:rPr>
          <w:rStyle w:val="FootnoteReference"/>
          <w:sz w:val="28"/>
          <w:szCs w:val="28"/>
        </w:rPr>
        <w:footnoteReference w:id="17"/>
      </w:r>
      <w:r w:rsidR="00E31FE1">
        <w:rPr>
          <w:i/>
          <w:iCs/>
          <w:sz w:val="28"/>
          <w:szCs w:val="28"/>
        </w:rPr>
        <w:t xml:space="preserve"> </w:t>
      </w:r>
      <w:r w:rsidR="00E31FE1">
        <w:rPr>
          <w:sz w:val="28"/>
          <w:szCs w:val="28"/>
        </w:rPr>
        <w:t>(</w:t>
      </w:r>
      <w:r w:rsidR="00E31FE1" w:rsidRPr="005F7A62">
        <w:rPr>
          <w:i/>
          <w:iCs/>
          <w:sz w:val="28"/>
          <w:szCs w:val="28"/>
        </w:rPr>
        <w:t>Harness Works</w:t>
      </w:r>
      <w:r w:rsidR="00E31FE1">
        <w:rPr>
          <w:sz w:val="28"/>
          <w:szCs w:val="28"/>
        </w:rPr>
        <w:t>)</w:t>
      </w:r>
      <w:r w:rsidR="00E31FE1" w:rsidRPr="005F7A62">
        <w:rPr>
          <w:sz w:val="28"/>
          <w:szCs w:val="28"/>
        </w:rPr>
        <w:t>,</w:t>
      </w:r>
      <w:r w:rsidR="00E31FE1">
        <w:rPr>
          <w:sz w:val="28"/>
          <w:szCs w:val="28"/>
        </w:rPr>
        <w:t xml:space="preserve"> </w:t>
      </w:r>
      <w:r w:rsidRPr="00800C48">
        <w:rPr>
          <w:i/>
          <w:iCs/>
          <w:sz w:val="28"/>
          <w:szCs w:val="28"/>
        </w:rPr>
        <w:t>Industrial and Mercantile Corporation v Anastassiou Brothers</w:t>
      </w:r>
      <w:r w:rsidR="00E31FE1">
        <w:rPr>
          <w:i/>
          <w:iCs/>
          <w:sz w:val="28"/>
          <w:szCs w:val="28"/>
        </w:rPr>
        <w:t xml:space="preserve"> </w:t>
      </w:r>
      <w:r w:rsidR="00E31FE1">
        <w:rPr>
          <w:sz w:val="28"/>
          <w:szCs w:val="28"/>
        </w:rPr>
        <w:t>(</w:t>
      </w:r>
      <w:r w:rsidR="00E31FE1" w:rsidRPr="00800C48">
        <w:rPr>
          <w:i/>
          <w:iCs/>
          <w:sz w:val="28"/>
          <w:szCs w:val="28"/>
        </w:rPr>
        <w:t>Industrial and Mercantile Corporation</w:t>
      </w:r>
      <w:r w:rsidR="00E31FE1">
        <w:rPr>
          <w:sz w:val="28"/>
          <w:szCs w:val="28"/>
        </w:rPr>
        <w:t>)</w:t>
      </w:r>
      <w:r w:rsidR="007A7B2A" w:rsidRPr="002430D2">
        <w:rPr>
          <w:rStyle w:val="FootnoteReference"/>
          <w:sz w:val="28"/>
          <w:szCs w:val="28"/>
        </w:rPr>
        <w:footnoteReference w:id="18"/>
      </w:r>
      <w:r w:rsidR="00477DA5">
        <w:rPr>
          <w:sz w:val="28"/>
          <w:szCs w:val="28"/>
        </w:rPr>
        <w:t xml:space="preserve"> </w:t>
      </w:r>
      <w:r w:rsidRPr="00800C48">
        <w:rPr>
          <w:sz w:val="28"/>
          <w:szCs w:val="28"/>
        </w:rPr>
        <w:t xml:space="preserve">and </w:t>
      </w:r>
      <w:r w:rsidRPr="00800C48">
        <w:rPr>
          <w:i/>
          <w:iCs/>
          <w:sz w:val="28"/>
          <w:szCs w:val="28"/>
        </w:rPr>
        <w:t>Unibank Savings and Loans Limited v ABSA Bank Limited</w:t>
      </w:r>
      <w:r w:rsidR="00E31FE1">
        <w:rPr>
          <w:i/>
          <w:iCs/>
          <w:sz w:val="28"/>
          <w:szCs w:val="28"/>
        </w:rPr>
        <w:t xml:space="preserve"> </w:t>
      </w:r>
      <w:r w:rsidR="00E31FE1">
        <w:rPr>
          <w:sz w:val="28"/>
          <w:szCs w:val="28"/>
        </w:rPr>
        <w:t>(</w:t>
      </w:r>
      <w:r w:rsidR="00E31FE1" w:rsidRPr="00800C48">
        <w:rPr>
          <w:i/>
          <w:iCs/>
          <w:sz w:val="28"/>
          <w:szCs w:val="28"/>
        </w:rPr>
        <w:t>Unibank Savings and Loans</w:t>
      </w:r>
      <w:r w:rsidR="00E31FE1">
        <w:rPr>
          <w:sz w:val="28"/>
          <w:szCs w:val="28"/>
        </w:rPr>
        <w:t>).</w:t>
      </w:r>
      <w:r w:rsidR="007A7B2A" w:rsidRPr="002430D2">
        <w:rPr>
          <w:rStyle w:val="FootnoteReference"/>
          <w:sz w:val="28"/>
          <w:szCs w:val="28"/>
        </w:rPr>
        <w:footnoteReference w:id="19"/>
      </w:r>
      <w:r w:rsidRPr="00800C48">
        <w:rPr>
          <w:sz w:val="28"/>
          <w:szCs w:val="28"/>
        </w:rPr>
        <w:t xml:space="preserve"> </w:t>
      </w:r>
    </w:p>
    <w:p w14:paraId="424C8665" w14:textId="77777777" w:rsidR="00856B66" w:rsidRDefault="00856B66" w:rsidP="00856B66">
      <w:pPr>
        <w:spacing w:line="360" w:lineRule="auto"/>
        <w:jc w:val="both"/>
        <w:rPr>
          <w:sz w:val="28"/>
          <w:szCs w:val="28"/>
        </w:rPr>
      </w:pPr>
    </w:p>
    <w:p w14:paraId="0CCCAC42" w14:textId="1A0E77D9" w:rsidR="00856B66" w:rsidRPr="00800C48" w:rsidRDefault="00856B66" w:rsidP="00856B66">
      <w:pPr>
        <w:spacing w:line="360" w:lineRule="auto"/>
        <w:jc w:val="both"/>
        <w:rPr>
          <w:sz w:val="28"/>
          <w:szCs w:val="28"/>
        </w:rPr>
      </w:pPr>
      <w:r w:rsidRPr="00800C48">
        <w:rPr>
          <w:sz w:val="28"/>
          <w:szCs w:val="28"/>
        </w:rPr>
        <w:t>[</w:t>
      </w:r>
      <w:r>
        <w:rPr>
          <w:sz w:val="28"/>
          <w:szCs w:val="28"/>
        </w:rPr>
        <w:t>3</w:t>
      </w:r>
      <w:r w:rsidR="0083404F">
        <w:rPr>
          <w:sz w:val="28"/>
          <w:szCs w:val="28"/>
        </w:rPr>
        <w:t>1</w:t>
      </w:r>
      <w:r w:rsidRPr="00800C48">
        <w:rPr>
          <w:sz w:val="28"/>
          <w:szCs w:val="28"/>
        </w:rPr>
        <w:t>]</w:t>
      </w:r>
      <w:r w:rsidRPr="00800C48">
        <w:rPr>
          <w:sz w:val="28"/>
          <w:szCs w:val="28"/>
        </w:rPr>
        <w:tab/>
      </w:r>
      <w:r w:rsidR="00CD5360">
        <w:rPr>
          <w:sz w:val="28"/>
          <w:szCs w:val="28"/>
        </w:rPr>
        <w:t xml:space="preserve">As </w:t>
      </w:r>
      <w:r w:rsidR="00CD5360" w:rsidRPr="003E3556">
        <w:rPr>
          <w:i/>
          <w:sz w:val="28"/>
          <w:szCs w:val="28"/>
        </w:rPr>
        <w:t>Christie</w:t>
      </w:r>
      <w:r w:rsidR="00CD5360">
        <w:rPr>
          <w:sz w:val="28"/>
          <w:szCs w:val="28"/>
        </w:rPr>
        <w:t xml:space="preserve"> recognises</w:t>
      </w:r>
      <w:r w:rsidR="00144C3F">
        <w:rPr>
          <w:sz w:val="28"/>
          <w:szCs w:val="28"/>
        </w:rPr>
        <w:t>,</w:t>
      </w:r>
      <w:r w:rsidR="00CD5360">
        <w:rPr>
          <w:sz w:val="28"/>
          <w:szCs w:val="28"/>
        </w:rPr>
        <w:t xml:space="preserve"> t</w:t>
      </w:r>
      <w:r>
        <w:rPr>
          <w:sz w:val="28"/>
          <w:szCs w:val="28"/>
        </w:rPr>
        <w:t>he judgment in</w:t>
      </w:r>
      <w:r w:rsidRPr="00800C48">
        <w:rPr>
          <w:sz w:val="28"/>
          <w:szCs w:val="28"/>
        </w:rPr>
        <w:t xml:space="preserve"> </w:t>
      </w:r>
      <w:r w:rsidRPr="00800C48">
        <w:rPr>
          <w:i/>
          <w:iCs/>
          <w:sz w:val="28"/>
          <w:szCs w:val="28"/>
        </w:rPr>
        <w:t xml:space="preserve">Harness Works </w:t>
      </w:r>
      <w:r w:rsidRPr="00800C48">
        <w:rPr>
          <w:sz w:val="28"/>
          <w:szCs w:val="28"/>
        </w:rPr>
        <w:t>is devoid of any reference to the exercise of a judicial discretion</w:t>
      </w:r>
      <w:r>
        <w:rPr>
          <w:sz w:val="28"/>
          <w:szCs w:val="28"/>
        </w:rPr>
        <w:t xml:space="preserve"> or to ‘specific performance’.</w:t>
      </w:r>
      <w:r w:rsidRPr="00800C48">
        <w:rPr>
          <w:sz w:val="28"/>
          <w:szCs w:val="28"/>
        </w:rPr>
        <w:t xml:space="preserve"> It rests upon the erroneous proposition that a contracting party can bring a contract to an end by a unilateral act</w:t>
      </w:r>
      <w:r>
        <w:rPr>
          <w:sz w:val="28"/>
          <w:szCs w:val="28"/>
        </w:rPr>
        <w:t xml:space="preserve"> of</w:t>
      </w:r>
      <w:r w:rsidRPr="00800C48">
        <w:rPr>
          <w:sz w:val="28"/>
          <w:szCs w:val="28"/>
        </w:rPr>
        <w:t xml:space="preserve"> unlawful repudiation. The judgment</w:t>
      </w:r>
      <w:r>
        <w:rPr>
          <w:sz w:val="28"/>
          <w:szCs w:val="28"/>
        </w:rPr>
        <w:t xml:space="preserve"> is </w:t>
      </w:r>
      <w:r w:rsidRPr="00800C48">
        <w:rPr>
          <w:sz w:val="28"/>
          <w:szCs w:val="28"/>
        </w:rPr>
        <w:t xml:space="preserve">no authority for the proposition </w:t>
      </w:r>
      <w:r>
        <w:rPr>
          <w:sz w:val="28"/>
          <w:szCs w:val="28"/>
        </w:rPr>
        <w:t xml:space="preserve">that where </w:t>
      </w:r>
      <w:r w:rsidRPr="00800C48">
        <w:rPr>
          <w:sz w:val="28"/>
          <w:szCs w:val="28"/>
        </w:rPr>
        <w:t>a plaintiff seeks</w:t>
      </w:r>
      <w:r>
        <w:rPr>
          <w:sz w:val="28"/>
          <w:szCs w:val="28"/>
        </w:rPr>
        <w:t>,</w:t>
      </w:r>
      <w:r w:rsidRPr="00800C48">
        <w:rPr>
          <w:sz w:val="28"/>
          <w:szCs w:val="28"/>
        </w:rPr>
        <w:t xml:space="preserve"> and has established a right </w:t>
      </w:r>
      <w:r>
        <w:rPr>
          <w:sz w:val="28"/>
          <w:szCs w:val="28"/>
        </w:rPr>
        <w:t xml:space="preserve">under a contract </w:t>
      </w:r>
      <w:r w:rsidRPr="00800C48">
        <w:rPr>
          <w:sz w:val="28"/>
          <w:szCs w:val="28"/>
        </w:rPr>
        <w:t>to</w:t>
      </w:r>
      <w:r>
        <w:rPr>
          <w:sz w:val="28"/>
          <w:szCs w:val="28"/>
        </w:rPr>
        <w:t>,</w:t>
      </w:r>
      <w:r w:rsidRPr="00800C48">
        <w:rPr>
          <w:sz w:val="28"/>
          <w:szCs w:val="28"/>
        </w:rPr>
        <w:t xml:space="preserve"> a judgment sounding in money</w:t>
      </w:r>
      <w:r>
        <w:rPr>
          <w:sz w:val="28"/>
          <w:szCs w:val="28"/>
        </w:rPr>
        <w:t>,</w:t>
      </w:r>
      <w:r w:rsidRPr="00800C48">
        <w:rPr>
          <w:sz w:val="28"/>
          <w:szCs w:val="28"/>
        </w:rPr>
        <w:t xml:space="preserve"> the court has a discretion to refuse the remedy and insist </w:t>
      </w:r>
      <w:r>
        <w:rPr>
          <w:sz w:val="28"/>
          <w:szCs w:val="28"/>
        </w:rPr>
        <w:t xml:space="preserve">that </w:t>
      </w:r>
      <w:r w:rsidRPr="00800C48">
        <w:rPr>
          <w:sz w:val="28"/>
          <w:szCs w:val="28"/>
        </w:rPr>
        <w:t>the plaintiff be satisfied with damages.</w:t>
      </w:r>
      <w:r w:rsidR="00477DA5">
        <w:rPr>
          <w:sz w:val="28"/>
          <w:szCs w:val="28"/>
        </w:rPr>
        <w:t xml:space="preserve"> </w:t>
      </w:r>
    </w:p>
    <w:p w14:paraId="22F9121B" w14:textId="77777777" w:rsidR="00856B66" w:rsidRDefault="00856B66" w:rsidP="00856B66">
      <w:pPr>
        <w:spacing w:line="360" w:lineRule="auto"/>
        <w:jc w:val="both"/>
        <w:rPr>
          <w:sz w:val="28"/>
          <w:szCs w:val="28"/>
        </w:rPr>
      </w:pPr>
    </w:p>
    <w:p w14:paraId="48385D24" w14:textId="381874A8" w:rsidR="00856B66" w:rsidRDefault="00856B66" w:rsidP="00856B66">
      <w:pPr>
        <w:spacing w:line="360" w:lineRule="auto"/>
        <w:jc w:val="both"/>
        <w:rPr>
          <w:sz w:val="28"/>
          <w:szCs w:val="28"/>
        </w:rPr>
      </w:pPr>
      <w:r w:rsidRPr="00800C48">
        <w:rPr>
          <w:sz w:val="28"/>
          <w:szCs w:val="28"/>
        </w:rPr>
        <w:t xml:space="preserve"> [3</w:t>
      </w:r>
      <w:r w:rsidR="0083404F">
        <w:rPr>
          <w:sz w:val="28"/>
          <w:szCs w:val="28"/>
        </w:rPr>
        <w:t>2</w:t>
      </w:r>
      <w:r w:rsidRPr="00800C48">
        <w:rPr>
          <w:sz w:val="28"/>
          <w:szCs w:val="28"/>
        </w:rPr>
        <w:t>]</w:t>
      </w:r>
      <w:r>
        <w:rPr>
          <w:sz w:val="28"/>
          <w:szCs w:val="28"/>
        </w:rPr>
        <w:tab/>
      </w:r>
      <w:r w:rsidRPr="00800C48">
        <w:rPr>
          <w:i/>
          <w:iCs/>
          <w:sz w:val="28"/>
          <w:szCs w:val="28"/>
        </w:rPr>
        <w:t xml:space="preserve">Industrial and Mercantile Corporation </w:t>
      </w:r>
      <w:r w:rsidRPr="00800C48">
        <w:rPr>
          <w:sz w:val="28"/>
          <w:szCs w:val="28"/>
        </w:rPr>
        <w:t>involved a contract for the supply and installation of certain machinery and equipment for a shopkeeper at a fixed price.</w:t>
      </w:r>
      <w:r w:rsidR="00477DA5">
        <w:rPr>
          <w:sz w:val="28"/>
          <w:szCs w:val="28"/>
        </w:rPr>
        <w:t xml:space="preserve"> </w:t>
      </w:r>
      <w:r w:rsidRPr="00800C48">
        <w:rPr>
          <w:sz w:val="28"/>
          <w:szCs w:val="28"/>
        </w:rPr>
        <w:t xml:space="preserve">The </w:t>
      </w:r>
      <w:r>
        <w:rPr>
          <w:sz w:val="28"/>
          <w:szCs w:val="28"/>
        </w:rPr>
        <w:t xml:space="preserve">shopkeeper repudiated the contract, and the plaintiff sued for the price, tendering performance. The judgment was granted. </w:t>
      </w:r>
      <w:r w:rsidRPr="00800C48">
        <w:rPr>
          <w:sz w:val="28"/>
          <w:szCs w:val="28"/>
        </w:rPr>
        <w:t xml:space="preserve">The issue as to whether there </w:t>
      </w:r>
      <w:r w:rsidRPr="00800C48">
        <w:rPr>
          <w:sz w:val="28"/>
          <w:szCs w:val="28"/>
        </w:rPr>
        <w:lastRenderedPageBreak/>
        <w:t xml:space="preserve">was a discretion to refuse a judgment sounding in money was not raised. </w:t>
      </w:r>
      <w:r>
        <w:rPr>
          <w:sz w:val="28"/>
          <w:szCs w:val="28"/>
        </w:rPr>
        <w:t>What was raised belatedly was an argument that judgment for the price ‘against delivery and installation by the plaintiff’ should not be granted because of difficulties which might be experienced in determining whether the acts upon performance of which the money order was conditional had been performed.</w:t>
      </w:r>
      <w:r w:rsidR="00CD5360">
        <w:rPr>
          <w:sz w:val="28"/>
          <w:szCs w:val="28"/>
        </w:rPr>
        <w:t xml:space="preserve"> Ultimately this judgment says</w:t>
      </w:r>
      <w:r w:rsidR="00EF3106">
        <w:rPr>
          <w:sz w:val="28"/>
          <w:szCs w:val="28"/>
        </w:rPr>
        <w:t xml:space="preserve"> no more on this point than that the court should avoid becoming ‘supine and spineless in dealing with the offending contract breaker by giving him the benefit of paying damages rather than being compelled to perform that which he had undertaken to perform’</w:t>
      </w:r>
      <w:r w:rsidR="009B4D70">
        <w:rPr>
          <w:sz w:val="28"/>
          <w:szCs w:val="28"/>
        </w:rPr>
        <w:t>,</w:t>
      </w:r>
      <w:r w:rsidR="00EF3106">
        <w:rPr>
          <w:sz w:val="28"/>
          <w:szCs w:val="28"/>
        </w:rPr>
        <w:t xml:space="preserve"> and that the plaintiff was entitled to an order for specific performance. It cannot be said to have recognised a discretion to refuse specific performance of a claim </w:t>
      </w:r>
      <w:r w:rsidR="00EF3106" w:rsidRPr="003E3556">
        <w:rPr>
          <w:i/>
          <w:sz w:val="28"/>
          <w:szCs w:val="28"/>
        </w:rPr>
        <w:t>ad pecuniam solvendam</w:t>
      </w:r>
      <w:r w:rsidR="00EF3106">
        <w:rPr>
          <w:sz w:val="28"/>
          <w:szCs w:val="28"/>
        </w:rPr>
        <w:t>.</w:t>
      </w:r>
    </w:p>
    <w:p w14:paraId="1C45694F" w14:textId="77777777" w:rsidR="00856B66" w:rsidRPr="00800C48" w:rsidRDefault="00856B66" w:rsidP="00856B66">
      <w:pPr>
        <w:spacing w:line="360" w:lineRule="auto"/>
        <w:jc w:val="both"/>
        <w:rPr>
          <w:sz w:val="28"/>
          <w:szCs w:val="28"/>
        </w:rPr>
      </w:pPr>
    </w:p>
    <w:p w14:paraId="60D153C2" w14:textId="2533FBF6" w:rsidR="00856B66" w:rsidRDefault="00856B66" w:rsidP="00002917">
      <w:pPr>
        <w:tabs>
          <w:tab w:val="left" w:pos="795"/>
        </w:tabs>
        <w:spacing w:line="360" w:lineRule="auto"/>
        <w:ind w:hanging="720"/>
        <w:jc w:val="both"/>
        <w:rPr>
          <w:sz w:val="28"/>
          <w:szCs w:val="28"/>
        </w:rPr>
      </w:pPr>
      <w:r>
        <w:rPr>
          <w:sz w:val="28"/>
          <w:szCs w:val="28"/>
        </w:rPr>
        <w:tab/>
      </w:r>
      <w:r w:rsidRPr="00800C48">
        <w:rPr>
          <w:sz w:val="28"/>
          <w:szCs w:val="28"/>
        </w:rPr>
        <w:t>[</w:t>
      </w:r>
      <w:r>
        <w:rPr>
          <w:sz w:val="28"/>
          <w:szCs w:val="28"/>
        </w:rPr>
        <w:t>3</w:t>
      </w:r>
      <w:r w:rsidR="0083404F">
        <w:rPr>
          <w:sz w:val="28"/>
          <w:szCs w:val="28"/>
        </w:rPr>
        <w:t>3</w:t>
      </w:r>
      <w:r w:rsidRPr="00800C48">
        <w:rPr>
          <w:sz w:val="28"/>
          <w:szCs w:val="28"/>
        </w:rPr>
        <w:t>]</w:t>
      </w:r>
      <w:r>
        <w:rPr>
          <w:sz w:val="28"/>
          <w:szCs w:val="28"/>
        </w:rPr>
        <w:tab/>
      </w:r>
      <w:r w:rsidRPr="00800C48">
        <w:rPr>
          <w:sz w:val="28"/>
          <w:szCs w:val="28"/>
        </w:rPr>
        <w:t>The facts</w:t>
      </w:r>
      <w:r>
        <w:rPr>
          <w:sz w:val="28"/>
          <w:szCs w:val="28"/>
        </w:rPr>
        <w:t xml:space="preserve"> in </w:t>
      </w:r>
      <w:r w:rsidRPr="00800C48">
        <w:rPr>
          <w:i/>
          <w:iCs/>
          <w:sz w:val="28"/>
          <w:szCs w:val="28"/>
        </w:rPr>
        <w:t>Unibank Savings and Loans</w:t>
      </w:r>
      <w:r w:rsidRPr="00800C48">
        <w:rPr>
          <w:sz w:val="28"/>
          <w:szCs w:val="28"/>
        </w:rPr>
        <w:t xml:space="preserve">, simply stated, </w:t>
      </w:r>
      <w:r>
        <w:rPr>
          <w:sz w:val="28"/>
          <w:szCs w:val="28"/>
        </w:rPr>
        <w:t>were</w:t>
      </w:r>
      <w:r w:rsidRPr="00800C48">
        <w:rPr>
          <w:sz w:val="28"/>
          <w:szCs w:val="28"/>
        </w:rPr>
        <w:t xml:space="preserve"> the following.</w:t>
      </w:r>
      <w:r w:rsidR="00477DA5">
        <w:rPr>
          <w:sz w:val="28"/>
          <w:szCs w:val="28"/>
        </w:rPr>
        <w:t xml:space="preserve"> </w:t>
      </w:r>
      <w:r w:rsidRPr="00800C48">
        <w:rPr>
          <w:sz w:val="28"/>
          <w:szCs w:val="28"/>
        </w:rPr>
        <w:t xml:space="preserve">A contract was concluded between </w:t>
      </w:r>
      <w:r>
        <w:rPr>
          <w:sz w:val="28"/>
          <w:szCs w:val="28"/>
        </w:rPr>
        <w:t>ABSA Bank and Unibank in terms of which certain employees of ABSA would be seconded to Unibank for a fixed period.</w:t>
      </w:r>
      <w:r w:rsidR="00477DA5">
        <w:rPr>
          <w:sz w:val="28"/>
          <w:szCs w:val="28"/>
        </w:rPr>
        <w:t xml:space="preserve"> </w:t>
      </w:r>
      <w:r>
        <w:rPr>
          <w:sz w:val="28"/>
          <w:szCs w:val="28"/>
        </w:rPr>
        <w:t>ABSA would pay its employees so seconded, but Unibank would reimburse ABSA for that expenditure.</w:t>
      </w:r>
      <w:r w:rsidR="00477DA5">
        <w:rPr>
          <w:sz w:val="28"/>
          <w:szCs w:val="28"/>
        </w:rPr>
        <w:t xml:space="preserve"> </w:t>
      </w:r>
      <w:r>
        <w:rPr>
          <w:sz w:val="28"/>
          <w:szCs w:val="28"/>
        </w:rPr>
        <w:t>Unibank repudiated the contract.</w:t>
      </w:r>
      <w:r w:rsidR="00477DA5">
        <w:rPr>
          <w:sz w:val="28"/>
          <w:szCs w:val="28"/>
        </w:rPr>
        <w:t xml:space="preserve"> </w:t>
      </w:r>
      <w:r>
        <w:rPr>
          <w:sz w:val="28"/>
          <w:szCs w:val="28"/>
        </w:rPr>
        <w:t>ABSA refused to accept the repudiation and tendered the services of the employees.</w:t>
      </w:r>
      <w:r w:rsidR="00477DA5">
        <w:rPr>
          <w:sz w:val="28"/>
          <w:szCs w:val="28"/>
        </w:rPr>
        <w:t xml:space="preserve"> </w:t>
      </w:r>
      <w:r>
        <w:rPr>
          <w:sz w:val="28"/>
          <w:szCs w:val="28"/>
        </w:rPr>
        <w:t>After the relevant period of employment had passed ABSA sued for the reimbursement to which it was entitled in terms of the contract between the two parties.</w:t>
      </w:r>
      <w:r w:rsidR="00477DA5">
        <w:rPr>
          <w:sz w:val="28"/>
          <w:szCs w:val="28"/>
        </w:rPr>
        <w:t xml:space="preserve"> </w:t>
      </w:r>
      <w:r w:rsidR="00144C3F">
        <w:rPr>
          <w:sz w:val="28"/>
          <w:szCs w:val="28"/>
        </w:rPr>
        <w:t>The court of first instance granted the order sought. An appeal against that order was dismissed</w:t>
      </w:r>
      <w:r w:rsidR="00983E53">
        <w:rPr>
          <w:sz w:val="28"/>
          <w:szCs w:val="28"/>
        </w:rPr>
        <w:t xml:space="preserve"> by</w:t>
      </w:r>
      <w:r w:rsidR="009B4D70">
        <w:rPr>
          <w:sz w:val="28"/>
          <w:szCs w:val="28"/>
        </w:rPr>
        <w:t xml:space="preserve"> a</w:t>
      </w:r>
      <w:r w:rsidR="00983E53">
        <w:rPr>
          <w:sz w:val="28"/>
          <w:szCs w:val="28"/>
        </w:rPr>
        <w:t xml:space="preserve"> majority</w:t>
      </w:r>
      <w:r w:rsidR="00144C3F">
        <w:rPr>
          <w:sz w:val="28"/>
          <w:szCs w:val="28"/>
        </w:rPr>
        <w:t xml:space="preserve">. </w:t>
      </w:r>
      <w:r w:rsidR="00900EC1">
        <w:rPr>
          <w:sz w:val="28"/>
          <w:szCs w:val="28"/>
        </w:rPr>
        <w:t>T</w:t>
      </w:r>
      <w:r w:rsidR="00360AF6">
        <w:rPr>
          <w:sz w:val="28"/>
          <w:szCs w:val="28"/>
        </w:rPr>
        <w:t>he majority judgment</w:t>
      </w:r>
      <w:r w:rsidR="00900EC1">
        <w:rPr>
          <w:sz w:val="28"/>
          <w:szCs w:val="28"/>
        </w:rPr>
        <w:t xml:space="preserve"> (para 5)</w:t>
      </w:r>
      <w:r w:rsidR="00983E53">
        <w:rPr>
          <w:sz w:val="28"/>
          <w:szCs w:val="28"/>
        </w:rPr>
        <w:t xml:space="preserve"> indicates that it</w:t>
      </w:r>
      <w:r w:rsidR="00360AF6">
        <w:rPr>
          <w:sz w:val="28"/>
          <w:szCs w:val="28"/>
        </w:rPr>
        <w:t xml:space="preserve"> </w:t>
      </w:r>
      <w:r w:rsidR="00900EC1">
        <w:rPr>
          <w:sz w:val="28"/>
          <w:szCs w:val="28"/>
        </w:rPr>
        <w:t xml:space="preserve">dealt with the matter on the basis that ABSA’s claim was for the enforcement of the obligation to reimburse and the assumption that the difference between that and the enforcement of a contract of employment was immaterial. This </w:t>
      </w:r>
      <w:r w:rsidR="008621ED">
        <w:rPr>
          <w:sz w:val="28"/>
          <w:szCs w:val="28"/>
        </w:rPr>
        <w:t xml:space="preserve">at least </w:t>
      </w:r>
      <w:r w:rsidR="00900EC1">
        <w:rPr>
          <w:sz w:val="28"/>
          <w:szCs w:val="28"/>
        </w:rPr>
        <w:t>smacks of enforcement of an obligation to act</w:t>
      </w:r>
      <w:r w:rsidR="005E4A10">
        <w:rPr>
          <w:sz w:val="28"/>
          <w:szCs w:val="28"/>
        </w:rPr>
        <w:t>. In the circumstances the decision that there was no ground for interference with the exercise of the discretion of the court o</w:t>
      </w:r>
      <w:r w:rsidR="00273A7C">
        <w:rPr>
          <w:sz w:val="28"/>
          <w:szCs w:val="28"/>
        </w:rPr>
        <w:t>f first instance could hardly</w:t>
      </w:r>
      <w:r w:rsidR="005E4A10">
        <w:rPr>
          <w:sz w:val="28"/>
          <w:szCs w:val="28"/>
        </w:rPr>
        <w:t xml:space="preserve"> constitute</w:t>
      </w:r>
      <w:r w:rsidR="00900EC1">
        <w:rPr>
          <w:sz w:val="28"/>
          <w:szCs w:val="28"/>
        </w:rPr>
        <w:t xml:space="preserve"> authority for </w:t>
      </w:r>
      <w:r w:rsidR="005E4A10">
        <w:rPr>
          <w:sz w:val="28"/>
          <w:szCs w:val="28"/>
        </w:rPr>
        <w:t>the proposition under consideration.</w:t>
      </w:r>
      <w:r w:rsidR="00900EC1">
        <w:rPr>
          <w:sz w:val="28"/>
          <w:szCs w:val="28"/>
        </w:rPr>
        <w:t xml:space="preserve"> </w:t>
      </w:r>
    </w:p>
    <w:p w14:paraId="7A149BFA" w14:textId="38851BB5" w:rsidR="005E4A10" w:rsidRDefault="00856B66" w:rsidP="005E4A10">
      <w:pPr>
        <w:autoSpaceDE w:val="0"/>
        <w:autoSpaceDN w:val="0"/>
        <w:adjustRightInd w:val="0"/>
        <w:spacing w:line="360" w:lineRule="auto"/>
        <w:jc w:val="both"/>
        <w:rPr>
          <w:rFonts w:eastAsiaTheme="minorHAnsi"/>
          <w:bCs/>
          <w:sz w:val="28"/>
          <w:szCs w:val="28"/>
          <w:lang w:val="en-US"/>
        </w:rPr>
      </w:pPr>
      <w:r>
        <w:rPr>
          <w:sz w:val="28"/>
          <w:szCs w:val="28"/>
        </w:rPr>
        <w:lastRenderedPageBreak/>
        <w:t>[3</w:t>
      </w:r>
      <w:r w:rsidR="0083404F">
        <w:rPr>
          <w:sz w:val="28"/>
          <w:szCs w:val="28"/>
        </w:rPr>
        <w:t>4</w:t>
      </w:r>
      <w:r>
        <w:rPr>
          <w:sz w:val="28"/>
          <w:szCs w:val="28"/>
        </w:rPr>
        <w:t>]</w:t>
      </w:r>
      <w:r>
        <w:rPr>
          <w:sz w:val="28"/>
          <w:szCs w:val="28"/>
        </w:rPr>
        <w:tab/>
      </w:r>
      <w:bookmarkStart w:id="12" w:name="_Hlk135152932"/>
      <w:r w:rsidR="005E4A10">
        <w:rPr>
          <w:sz w:val="28"/>
          <w:szCs w:val="28"/>
        </w:rPr>
        <w:t>My research uncovered only one judgment that recognised a discretion to refuse an order for specific performance of a money claim, namely</w:t>
      </w:r>
      <w:r w:rsidR="00D300A2">
        <w:rPr>
          <w:sz w:val="28"/>
          <w:szCs w:val="28"/>
        </w:rPr>
        <w:t xml:space="preserve"> </w:t>
      </w:r>
      <w:r w:rsidR="00D300A2">
        <w:rPr>
          <w:rFonts w:eastAsiaTheme="minorHAnsi"/>
          <w:bCs/>
          <w:i/>
          <w:sz w:val="28"/>
          <w:szCs w:val="28"/>
          <w:lang w:val="en-US"/>
        </w:rPr>
        <w:t>Morettino v Italian Design Experience CC</w:t>
      </w:r>
      <w:r w:rsidR="00955341" w:rsidRPr="002430D2">
        <w:rPr>
          <w:rStyle w:val="FootnoteReference"/>
          <w:rFonts w:eastAsiaTheme="minorHAnsi"/>
          <w:bCs/>
          <w:iCs/>
          <w:sz w:val="28"/>
          <w:szCs w:val="28"/>
          <w:lang w:val="en-US"/>
        </w:rPr>
        <w:footnoteReference w:id="20"/>
      </w:r>
      <w:r w:rsidR="00955341">
        <w:rPr>
          <w:rFonts w:eastAsiaTheme="minorHAnsi"/>
          <w:bCs/>
          <w:i/>
          <w:sz w:val="28"/>
          <w:szCs w:val="28"/>
          <w:lang w:val="en-US"/>
        </w:rPr>
        <w:t xml:space="preserve"> </w:t>
      </w:r>
      <w:r w:rsidR="00955341" w:rsidRPr="002430D2">
        <w:rPr>
          <w:rFonts w:eastAsiaTheme="minorHAnsi"/>
          <w:bCs/>
          <w:iCs/>
          <w:sz w:val="28"/>
          <w:szCs w:val="28"/>
          <w:lang w:val="en-US"/>
        </w:rPr>
        <w:t>(</w:t>
      </w:r>
      <w:r w:rsidR="00955341">
        <w:rPr>
          <w:rFonts w:eastAsiaTheme="minorHAnsi"/>
          <w:bCs/>
          <w:i/>
          <w:sz w:val="28"/>
          <w:szCs w:val="28"/>
          <w:lang w:val="en-US"/>
        </w:rPr>
        <w:t>Morettino</w:t>
      </w:r>
      <w:r w:rsidR="00955341" w:rsidRPr="002430D2">
        <w:rPr>
          <w:rFonts w:eastAsiaTheme="minorHAnsi"/>
          <w:bCs/>
          <w:iCs/>
          <w:sz w:val="28"/>
          <w:szCs w:val="28"/>
          <w:lang w:val="en-US"/>
        </w:rPr>
        <w:t>)</w:t>
      </w:r>
      <w:r w:rsidR="00955341">
        <w:rPr>
          <w:rFonts w:eastAsiaTheme="minorHAnsi"/>
          <w:bCs/>
          <w:i/>
          <w:sz w:val="28"/>
          <w:szCs w:val="28"/>
          <w:lang w:val="en-US"/>
        </w:rPr>
        <w:t>.</w:t>
      </w:r>
      <w:r w:rsidR="005E4A10" w:rsidRPr="005E4A10">
        <w:rPr>
          <w:rFonts w:eastAsiaTheme="minorHAnsi"/>
          <w:bCs/>
          <w:i/>
          <w:sz w:val="28"/>
          <w:szCs w:val="28"/>
          <w:lang w:val="en-US"/>
        </w:rPr>
        <w:t xml:space="preserve"> </w:t>
      </w:r>
      <w:r w:rsidR="005E4A10">
        <w:rPr>
          <w:rFonts w:eastAsiaTheme="minorHAnsi"/>
          <w:bCs/>
          <w:i/>
          <w:sz w:val="28"/>
          <w:szCs w:val="28"/>
          <w:lang w:val="en-US"/>
        </w:rPr>
        <w:t xml:space="preserve">Morettino </w:t>
      </w:r>
      <w:r w:rsidR="005E4A10">
        <w:rPr>
          <w:rFonts w:eastAsiaTheme="minorHAnsi"/>
          <w:bCs/>
          <w:sz w:val="28"/>
          <w:szCs w:val="28"/>
          <w:lang w:val="en-US"/>
        </w:rPr>
        <w:t>involved a contract for the supply and installation of kitchen units by the plaintiff at a price of R120 000, an initial deposit of R60 000 being payable. A few weeks after having concluded that contract, and not yet having paid the deposit, the buyer (defendant) signed a contract with another supplier at a much lower price, and those units were installed. The defendant repudiated the agreement with the plaintiff which then sued for the deposit. Notwithstanding the finding that the contract remained in force, the appeal court nevertheless refused to allow the judgment for payment of the deposit granted by the trial court</w:t>
      </w:r>
      <w:r w:rsidR="00955341">
        <w:rPr>
          <w:rFonts w:eastAsiaTheme="minorHAnsi"/>
          <w:bCs/>
          <w:sz w:val="28"/>
          <w:szCs w:val="28"/>
          <w:lang w:val="en-US"/>
        </w:rPr>
        <w:t>,</w:t>
      </w:r>
      <w:r w:rsidR="005E4A10">
        <w:rPr>
          <w:rFonts w:eastAsiaTheme="minorHAnsi"/>
          <w:bCs/>
          <w:sz w:val="28"/>
          <w:szCs w:val="28"/>
          <w:lang w:val="en-US"/>
        </w:rPr>
        <w:t xml:space="preserve"> to stand. It held that the money claim was one for specific performance, and that the court could refuse it in the exercise of a discretion. The court upheld the appeal on the basis that the work to be done under the contract would involve the wasteful and unproductive use of resources on a facility for which the buyer no longer had any use. On the question as to whether the discretion existed, the learned judge referred to </w:t>
      </w:r>
      <w:r w:rsidR="005E4A10" w:rsidRPr="00B40F0A">
        <w:rPr>
          <w:rFonts w:eastAsiaTheme="minorHAnsi"/>
          <w:bCs/>
          <w:i/>
          <w:sz w:val="28"/>
          <w:szCs w:val="28"/>
          <w:lang w:val="en-US"/>
        </w:rPr>
        <w:t>Christie</w:t>
      </w:r>
      <w:r w:rsidR="005E4A10">
        <w:rPr>
          <w:rFonts w:eastAsiaTheme="minorHAnsi"/>
          <w:bCs/>
          <w:sz w:val="28"/>
          <w:szCs w:val="28"/>
          <w:lang w:val="en-US"/>
        </w:rPr>
        <w:t xml:space="preserve"> and the cases referred to there. For the reason</w:t>
      </w:r>
      <w:r w:rsidR="00983E53">
        <w:rPr>
          <w:rFonts w:eastAsiaTheme="minorHAnsi"/>
          <w:bCs/>
          <w:sz w:val="28"/>
          <w:szCs w:val="28"/>
          <w:lang w:val="en-US"/>
        </w:rPr>
        <w:t>s already mentioned</w:t>
      </w:r>
      <w:r w:rsidR="00955341">
        <w:rPr>
          <w:rFonts w:eastAsiaTheme="minorHAnsi"/>
          <w:bCs/>
          <w:sz w:val="28"/>
          <w:szCs w:val="28"/>
          <w:lang w:val="en-US"/>
        </w:rPr>
        <w:t>,</w:t>
      </w:r>
      <w:r w:rsidR="00983E53">
        <w:rPr>
          <w:rFonts w:eastAsiaTheme="minorHAnsi"/>
          <w:bCs/>
          <w:sz w:val="28"/>
          <w:szCs w:val="28"/>
          <w:lang w:val="en-US"/>
        </w:rPr>
        <w:t xml:space="preserve"> </w:t>
      </w:r>
      <w:r w:rsidR="00DD6B3B">
        <w:rPr>
          <w:rFonts w:eastAsiaTheme="minorHAnsi"/>
          <w:bCs/>
          <w:sz w:val="28"/>
          <w:szCs w:val="28"/>
          <w:lang w:val="en-US"/>
        </w:rPr>
        <w:t xml:space="preserve">they do not </w:t>
      </w:r>
      <w:r w:rsidR="006169A0">
        <w:rPr>
          <w:rFonts w:eastAsiaTheme="minorHAnsi"/>
          <w:bCs/>
          <w:sz w:val="28"/>
          <w:szCs w:val="28"/>
          <w:lang w:val="en-US"/>
        </w:rPr>
        <w:t>provide authority for such a discretion and this judgment should not be followed.</w:t>
      </w:r>
    </w:p>
    <w:bookmarkEnd w:id="12"/>
    <w:p w14:paraId="645D049F" w14:textId="77777777" w:rsidR="00856B66" w:rsidRDefault="00856B66" w:rsidP="00856B66">
      <w:pPr>
        <w:autoSpaceDE w:val="0"/>
        <w:autoSpaceDN w:val="0"/>
        <w:adjustRightInd w:val="0"/>
        <w:spacing w:line="360" w:lineRule="auto"/>
        <w:jc w:val="both"/>
        <w:rPr>
          <w:sz w:val="28"/>
          <w:szCs w:val="28"/>
        </w:rPr>
      </w:pPr>
    </w:p>
    <w:p w14:paraId="4B0A0EBB" w14:textId="22FEF201" w:rsidR="001B01AE" w:rsidRDefault="00856B66" w:rsidP="00856B66">
      <w:pPr>
        <w:autoSpaceDE w:val="0"/>
        <w:autoSpaceDN w:val="0"/>
        <w:adjustRightInd w:val="0"/>
        <w:spacing w:line="360" w:lineRule="auto"/>
        <w:jc w:val="both"/>
        <w:rPr>
          <w:sz w:val="28"/>
          <w:szCs w:val="28"/>
        </w:rPr>
      </w:pPr>
      <w:r>
        <w:rPr>
          <w:sz w:val="28"/>
          <w:szCs w:val="28"/>
        </w:rPr>
        <w:t>[</w:t>
      </w:r>
      <w:r w:rsidR="0083404F">
        <w:rPr>
          <w:sz w:val="28"/>
          <w:szCs w:val="28"/>
        </w:rPr>
        <w:t>35</w:t>
      </w:r>
      <w:r>
        <w:rPr>
          <w:sz w:val="28"/>
          <w:szCs w:val="28"/>
        </w:rPr>
        <w:t>]</w:t>
      </w:r>
      <w:r>
        <w:rPr>
          <w:sz w:val="28"/>
          <w:szCs w:val="28"/>
        </w:rPr>
        <w:tab/>
        <w:t>In my view the judgments discussed either offer no support, or are flawed authority, for the proposition that a court has a discretion to refuse judgment for payment of a contractual debt on the basis that such a claim is to be equated to a claim to enforce a contractual obligation to perform an act.</w:t>
      </w:r>
      <w:r w:rsidR="00955341">
        <w:rPr>
          <w:sz w:val="28"/>
          <w:szCs w:val="28"/>
        </w:rPr>
        <w:t xml:space="preserve"> </w:t>
      </w:r>
      <w:r w:rsidR="00652907">
        <w:rPr>
          <w:sz w:val="28"/>
          <w:szCs w:val="28"/>
        </w:rPr>
        <w:t>This Court has</w:t>
      </w:r>
      <w:r w:rsidR="00F03E5F">
        <w:rPr>
          <w:sz w:val="28"/>
          <w:szCs w:val="28"/>
        </w:rPr>
        <w:t>,</w:t>
      </w:r>
      <w:r w:rsidR="00652907">
        <w:rPr>
          <w:sz w:val="28"/>
          <w:szCs w:val="28"/>
        </w:rPr>
        <w:t xml:space="preserve"> for more than a century</w:t>
      </w:r>
      <w:r w:rsidR="00F03E5F">
        <w:rPr>
          <w:sz w:val="28"/>
          <w:szCs w:val="28"/>
        </w:rPr>
        <w:t>,</w:t>
      </w:r>
      <w:r w:rsidR="00652907">
        <w:rPr>
          <w:sz w:val="28"/>
          <w:szCs w:val="28"/>
        </w:rPr>
        <w:t xml:space="preserve"> laid down that the discretion to grant or refuse an order for specific performance arises when a claim </w:t>
      </w:r>
      <w:r w:rsidR="00652907" w:rsidRPr="003E3556">
        <w:rPr>
          <w:i/>
          <w:sz w:val="28"/>
          <w:szCs w:val="28"/>
        </w:rPr>
        <w:t>ad factum praestandum</w:t>
      </w:r>
      <w:r w:rsidR="00652907">
        <w:rPr>
          <w:sz w:val="28"/>
          <w:szCs w:val="28"/>
        </w:rPr>
        <w:t xml:space="preserve"> is made and an alternative of awarding damages is available. As I have demonstrated</w:t>
      </w:r>
      <w:r w:rsidR="001B01AE">
        <w:rPr>
          <w:sz w:val="28"/>
          <w:szCs w:val="28"/>
        </w:rPr>
        <w:t>,</w:t>
      </w:r>
      <w:r w:rsidR="00652907">
        <w:rPr>
          <w:sz w:val="28"/>
          <w:szCs w:val="28"/>
        </w:rPr>
        <w:t xml:space="preserve"> there is no authority to the contrary. </w:t>
      </w:r>
      <w:r w:rsidR="003A07CF">
        <w:rPr>
          <w:sz w:val="28"/>
          <w:szCs w:val="28"/>
        </w:rPr>
        <w:t xml:space="preserve">I need not consider whether an order for payment of a </w:t>
      </w:r>
      <w:r w:rsidR="003A07CF">
        <w:rPr>
          <w:sz w:val="28"/>
          <w:szCs w:val="28"/>
        </w:rPr>
        <w:lastRenderedPageBreak/>
        <w:t xml:space="preserve">contract price against performance of a plaintiff’s obligation </w:t>
      </w:r>
      <w:r w:rsidR="00DC61AD">
        <w:rPr>
          <w:sz w:val="28"/>
          <w:szCs w:val="28"/>
        </w:rPr>
        <w:t xml:space="preserve">to act, </w:t>
      </w:r>
      <w:r w:rsidR="003A07CF">
        <w:rPr>
          <w:sz w:val="28"/>
          <w:szCs w:val="28"/>
        </w:rPr>
        <w:t xml:space="preserve">could be classified as an order for the defendant to accept the performance and thus, in effect, an order </w:t>
      </w:r>
      <w:r w:rsidR="003A07CF" w:rsidRPr="003E3556">
        <w:rPr>
          <w:i/>
          <w:sz w:val="28"/>
          <w:szCs w:val="28"/>
        </w:rPr>
        <w:t>ad factum praestandum</w:t>
      </w:r>
      <w:r w:rsidR="003A07CF">
        <w:rPr>
          <w:sz w:val="28"/>
          <w:szCs w:val="28"/>
        </w:rPr>
        <w:t>.</w:t>
      </w:r>
      <w:r w:rsidR="00273A7C">
        <w:rPr>
          <w:sz w:val="28"/>
          <w:szCs w:val="28"/>
        </w:rPr>
        <w:t xml:space="preserve"> </w:t>
      </w:r>
      <w:r w:rsidR="00652907">
        <w:rPr>
          <w:sz w:val="28"/>
          <w:szCs w:val="28"/>
        </w:rPr>
        <w:t>We were not asked to develop</w:t>
      </w:r>
      <w:r w:rsidR="001B01AE">
        <w:rPr>
          <w:sz w:val="28"/>
          <w:szCs w:val="28"/>
        </w:rPr>
        <w:t xml:space="preserve"> the law by extending the discretion to the enforcement of all contractual obligations. For the reasons that follow I, in any event, do not perceive any</w:t>
      </w:r>
      <w:r w:rsidR="00DC1A08">
        <w:rPr>
          <w:sz w:val="28"/>
          <w:szCs w:val="28"/>
        </w:rPr>
        <w:t xml:space="preserve"> basis or</w:t>
      </w:r>
      <w:r w:rsidR="001B01AE">
        <w:rPr>
          <w:sz w:val="28"/>
          <w:szCs w:val="28"/>
        </w:rPr>
        <w:t xml:space="preserve"> need to do so.</w:t>
      </w:r>
      <w:r w:rsidR="00477DA5">
        <w:rPr>
          <w:sz w:val="28"/>
          <w:szCs w:val="28"/>
        </w:rPr>
        <w:t xml:space="preserve"> </w:t>
      </w:r>
    </w:p>
    <w:p w14:paraId="4B641E47" w14:textId="463A70E6" w:rsidR="006169A0" w:rsidRDefault="006169A0" w:rsidP="00856B66">
      <w:pPr>
        <w:autoSpaceDE w:val="0"/>
        <w:autoSpaceDN w:val="0"/>
        <w:adjustRightInd w:val="0"/>
        <w:spacing w:line="360" w:lineRule="auto"/>
        <w:jc w:val="both"/>
        <w:rPr>
          <w:sz w:val="28"/>
          <w:szCs w:val="28"/>
        </w:rPr>
      </w:pPr>
      <w:r>
        <w:rPr>
          <w:sz w:val="28"/>
          <w:szCs w:val="28"/>
        </w:rPr>
        <w:t xml:space="preserve"> </w:t>
      </w:r>
    </w:p>
    <w:p w14:paraId="63902406" w14:textId="06ACB4BE" w:rsidR="00856B66" w:rsidRDefault="001B01AE" w:rsidP="001B01AE">
      <w:pPr>
        <w:autoSpaceDE w:val="0"/>
        <w:autoSpaceDN w:val="0"/>
        <w:adjustRightInd w:val="0"/>
        <w:spacing w:line="360" w:lineRule="auto"/>
        <w:jc w:val="both"/>
        <w:rPr>
          <w:sz w:val="28"/>
          <w:szCs w:val="28"/>
        </w:rPr>
      </w:pPr>
      <w:r>
        <w:rPr>
          <w:sz w:val="28"/>
          <w:szCs w:val="28"/>
        </w:rPr>
        <w:t>[3</w:t>
      </w:r>
      <w:r w:rsidR="0083404F">
        <w:rPr>
          <w:sz w:val="28"/>
          <w:szCs w:val="28"/>
        </w:rPr>
        <w:t>7</w:t>
      </w:r>
      <w:r>
        <w:rPr>
          <w:sz w:val="28"/>
          <w:szCs w:val="28"/>
        </w:rPr>
        <w:t>]</w:t>
      </w:r>
      <w:r>
        <w:rPr>
          <w:sz w:val="28"/>
          <w:szCs w:val="28"/>
        </w:rPr>
        <w:tab/>
      </w:r>
      <w:r w:rsidRPr="00ED0DF2">
        <w:rPr>
          <w:sz w:val="28"/>
          <w:szCs w:val="28"/>
        </w:rPr>
        <w:t xml:space="preserve"> </w:t>
      </w:r>
      <w:r>
        <w:rPr>
          <w:sz w:val="28"/>
          <w:szCs w:val="28"/>
        </w:rPr>
        <w:t>A</w:t>
      </w:r>
      <w:r w:rsidRPr="00ED0DF2">
        <w:rPr>
          <w:sz w:val="28"/>
          <w:szCs w:val="28"/>
        </w:rPr>
        <w:t>n order to perform an act (</w:t>
      </w:r>
      <w:r w:rsidRPr="00ED0DF2">
        <w:rPr>
          <w:i/>
          <w:iCs/>
          <w:sz w:val="28"/>
          <w:szCs w:val="28"/>
        </w:rPr>
        <w:t>ad factum praestandum</w:t>
      </w:r>
      <w:r w:rsidRPr="00ED0DF2">
        <w:rPr>
          <w:sz w:val="28"/>
          <w:szCs w:val="28"/>
        </w:rPr>
        <w:t>) may prove difficult</w:t>
      </w:r>
      <w:r>
        <w:rPr>
          <w:sz w:val="28"/>
          <w:szCs w:val="28"/>
        </w:rPr>
        <w:t xml:space="preserve"> to enforce</w:t>
      </w:r>
      <w:r w:rsidRPr="00ED0DF2">
        <w:rPr>
          <w:sz w:val="28"/>
          <w:szCs w:val="28"/>
        </w:rPr>
        <w:t>.</w:t>
      </w:r>
      <w:r>
        <w:rPr>
          <w:sz w:val="28"/>
          <w:szCs w:val="28"/>
        </w:rPr>
        <w:t xml:space="preserve"> The spectre of </w:t>
      </w:r>
      <w:r w:rsidRPr="00ED0DF2">
        <w:rPr>
          <w:sz w:val="28"/>
          <w:szCs w:val="28"/>
        </w:rPr>
        <w:t xml:space="preserve">contempt </w:t>
      </w:r>
      <w:r>
        <w:rPr>
          <w:sz w:val="28"/>
          <w:szCs w:val="28"/>
        </w:rPr>
        <w:t>proceedings</w:t>
      </w:r>
      <w:r w:rsidRPr="00ED0DF2">
        <w:rPr>
          <w:sz w:val="28"/>
          <w:szCs w:val="28"/>
        </w:rPr>
        <w:t xml:space="preserve"> as a consequence of non-compliance with an order </w:t>
      </w:r>
      <w:r w:rsidRPr="00ED0DF2">
        <w:rPr>
          <w:i/>
          <w:iCs/>
          <w:sz w:val="28"/>
          <w:szCs w:val="28"/>
        </w:rPr>
        <w:t>ad factum praestandum</w:t>
      </w:r>
      <w:r w:rsidRPr="00ED0DF2">
        <w:rPr>
          <w:sz w:val="28"/>
          <w:szCs w:val="28"/>
        </w:rPr>
        <w:t xml:space="preserve"> hovers over proceedings in which a party seeks</w:t>
      </w:r>
      <w:r>
        <w:rPr>
          <w:sz w:val="28"/>
          <w:szCs w:val="28"/>
        </w:rPr>
        <w:t xml:space="preserve"> such</w:t>
      </w:r>
      <w:r w:rsidRPr="00ED0DF2">
        <w:rPr>
          <w:sz w:val="28"/>
          <w:szCs w:val="28"/>
        </w:rPr>
        <w:t xml:space="preserve"> an order which may have become </w:t>
      </w:r>
      <w:r>
        <w:rPr>
          <w:sz w:val="28"/>
          <w:szCs w:val="28"/>
        </w:rPr>
        <w:t xml:space="preserve">difficult to perform, or even </w:t>
      </w:r>
      <w:r w:rsidRPr="00ED0DF2">
        <w:rPr>
          <w:sz w:val="28"/>
          <w:szCs w:val="28"/>
        </w:rPr>
        <w:t xml:space="preserve">impossible </w:t>
      </w:r>
      <w:r>
        <w:rPr>
          <w:sz w:val="28"/>
          <w:szCs w:val="28"/>
        </w:rPr>
        <w:t>to</w:t>
      </w:r>
      <w:r w:rsidRPr="00ED0DF2">
        <w:rPr>
          <w:sz w:val="28"/>
          <w:szCs w:val="28"/>
        </w:rPr>
        <w:t xml:space="preserve"> perform, despite the fact that the obligation continues to subsist.</w:t>
      </w:r>
      <w:r w:rsidR="00477DA5">
        <w:rPr>
          <w:sz w:val="28"/>
          <w:szCs w:val="28"/>
        </w:rPr>
        <w:t xml:space="preserve"> </w:t>
      </w:r>
      <w:r>
        <w:rPr>
          <w:sz w:val="28"/>
          <w:szCs w:val="28"/>
        </w:rPr>
        <w:t>Those</w:t>
      </w:r>
      <w:r w:rsidRPr="00ED0DF2">
        <w:rPr>
          <w:sz w:val="28"/>
          <w:szCs w:val="28"/>
        </w:rPr>
        <w:t xml:space="preserve">, and </w:t>
      </w:r>
      <w:r>
        <w:rPr>
          <w:sz w:val="28"/>
          <w:szCs w:val="28"/>
        </w:rPr>
        <w:t xml:space="preserve">perhaps some of the </w:t>
      </w:r>
      <w:r w:rsidRPr="00ED0DF2">
        <w:rPr>
          <w:sz w:val="28"/>
          <w:szCs w:val="28"/>
        </w:rPr>
        <w:t xml:space="preserve">other considerations </w:t>
      </w:r>
      <w:r>
        <w:rPr>
          <w:sz w:val="28"/>
          <w:szCs w:val="28"/>
        </w:rPr>
        <w:t>of the type</w:t>
      </w:r>
      <w:r w:rsidRPr="00ED0DF2">
        <w:rPr>
          <w:sz w:val="28"/>
          <w:szCs w:val="28"/>
        </w:rPr>
        <w:t xml:space="preserve"> furnished as examples in </w:t>
      </w:r>
      <w:r w:rsidRPr="00ED0DF2">
        <w:rPr>
          <w:i/>
          <w:iCs/>
          <w:sz w:val="28"/>
          <w:szCs w:val="28"/>
        </w:rPr>
        <w:t>Haynes</w:t>
      </w:r>
      <w:r>
        <w:rPr>
          <w:sz w:val="28"/>
          <w:szCs w:val="28"/>
        </w:rPr>
        <w:t>,</w:t>
      </w:r>
      <w:r w:rsidR="003310D4">
        <w:rPr>
          <w:rStyle w:val="FootnoteReference"/>
          <w:sz w:val="28"/>
          <w:szCs w:val="28"/>
        </w:rPr>
        <w:footnoteReference w:id="21"/>
      </w:r>
      <w:r w:rsidRPr="00ED0DF2">
        <w:rPr>
          <w:sz w:val="28"/>
          <w:szCs w:val="28"/>
        </w:rPr>
        <w:t xml:space="preserve"> </w:t>
      </w:r>
      <w:r>
        <w:rPr>
          <w:sz w:val="28"/>
          <w:szCs w:val="28"/>
        </w:rPr>
        <w:t>are</w:t>
      </w:r>
      <w:r w:rsidRPr="00ED0DF2">
        <w:rPr>
          <w:sz w:val="28"/>
          <w:szCs w:val="28"/>
        </w:rPr>
        <w:t xml:space="preserve"> the origin</w:t>
      </w:r>
      <w:r>
        <w:rPr>
          <w:sz w:val="28"/>
          <w:szCs w:val="28"/>
        </w:rPr>
        <w:t xml:space="preserve"> of the principle in our law that, whilst a plaintiff has a right to claim specific performance of an act, as opposed to damages for non-performance, the court has a discretion in an appropriate case to refuse to enforce performance, leaving the plaintiff to claim damages for </w:t>
      </w:r>
      <w:r w:rsidR="003310D4">
        <w:rPr>
          <w:sz w:val="28"/>
          <w:szCs w:val="28"/>
        </w:rPr>
        <w:br/>
      </w:r>
      <w:r>
        <w:rPr>
          <w:sz w:val="28"/>
          <w:szCs w:val="28"/>
        </w:rPr>
        <w:t>non-performance. It is difficulties arising with respect to the order for performance of the act which generate the need for a discretion. No such difficulties arise in the case of money judgments.</w:t>
      </w:r>
    </w:p>
    <w:p w14:paraId="3741EECB" w14:textId="6E896CD6" w:rsidR="00A31AEF" w:rsidRDefault="00A31AEF" w:rsidP="001B01AE">
      <w:pPr>
        <w:autoSpaceDE w:val="0"/>
        <w:autoSpaceDN w:val="0"/>
        <w:adjustRightInd w:val="0"/>
        <w:spacing w:line="360" w:lineRule="auto"/>
        <w:jc w:val="both"/>
        <w:rPr>
          <w:sz w:val="28"/>
          <w:szCs w:val="28"/>
        </w:rPr>
      </w:pPr>
    </w:p>
    <w:p w14:paraId="292145EE" w14:textId="24DCDB0A" w:rsidR="00A31AEF" w:rsidRDefault="00A31AEF" w:rsidP="001B01AE">
      <w:pPr>
        <w:autoSpaceDE w:val="0"/>
        <w:autoSpaceDN w:val="0"/>
        <w:adjustRightInd w:val="0"/>
        <w:spacing w:line="360" w:lineRule="auto"/>
        <w:jc w:val="both"/>
        <w:rPr>
          <w:sz w:val="28"/>
          <w:szCs w:val="28"/>
        </w:rPr>
      </w:pPr>
      <w:r>
        <w:rPr>
          <w:sz w:val="28"/>
          <w:szCs w:val="28"/>
        </w:rPr>
        <w:t>[</w:t>
      </w:r>
      <w:r w:rsidR="0083404F">
        <w:rPr>
          <w:sz w:val="28"/>
          <w:szCs w:val="28"/>
        </w:rPr>
        <w:t>38</w:t>
      </w:r>
      <w:r>
        <w:rPr>
          <w:sz w:val="28"/>
          <w:szCs w:val="28"/>
        </w:rPr>
        <w:t>]</w:t>
      </w:r>
      <w:r w:rsidR="00477DA5">
        <w:rPr>
          <w:sz w:val="28"/>
          <w:szCs w:val="28"/>
        </w:rPr>
        <w:t xml:space="preserve"> </w:t>
      </w:r>
      <w:r>
        <w:rPr>
          <w:sz w:val="28"/>
          <w:szCs w:val="28"/>
        </w:rPr>
        <w:t xml:space="preserve">   </w:t>
      </w:r>
      <w:r w:rsidR="0083404F">
        <w:rPr>
          <w:sz w:val="28"/>
          <w:szCs w:val="28"/>
        </w:rPr>
        <w:t>The very essence of the strict or true discretion involved</w:t>
      </w:r>
      <w:r w:rsidR="00B94E10">
        <w:rPr>
          <w:sz w:val="28"/>
          <w:szCs w:val="28"/>
        </w:rPr>
        <w:t>,</w:t>
      </w:r>
      <w:r w:rsidR="0083404F">
        <w:rPr>
          <w:sz w:val="28"/>
          <w:szCs w:val="28"/>
        </w:rPr>
        <w:t xml:space="preserve"> is the choice b</w:t>
      </w:r>
      <w:r w:rsidR="00B94E10">
        <w:rPr>
          <w:sz w:val="28"/>
          <w:szCs w:val="28"/>
        </w:rPr>
        <w:t>etween permissible alternatives.</w:t>
      </w:r>
      <w:r w:rsidR="003310D4">
        <w:rPr>
          <w:rStyle w:val="FootnoteReference"/>
          <w:sz w:val="28"/>
          <w:szCs w:val="28"/>
        </w:rPr>
        <w:footnoteReference w:id="22"/>
      </w:r>
      <w:r w:rsidR="0083404F">
        <w:rPr>
          <w:sz w:val="28"/>
          <w:szCs w:val="28"/>
        </w:rPr>
        <w:t xml:space="preserve"> S</w:t>
      </w:r>
      <w:r w:rsidR="003A07CF">
        <w:rPr>
          <w:sz w:val="28"/>
          <w:szCs w:val="28"/>
        </w:rPr>
        <w:t xml:space="preserve">uch a discretion could not exist in the absence of a </w:t>
      </w:r>
      <w:r w:rsidR="0083404F">
        <w:rPr>
          <w:sz w:val="28"/>
          <w:szCs w:val="28"/>
        </w:rPr>
        <w:t>choice betwee</w:t>
      </w:r>
      <w:r w:rsidR="003A07CF">
        <w:rPr>
          <w:sz w:val="28"/>
          <w:szCs w:val="28"/>
        </w:rPr>
        <w:t xml:space="preserve">n alternatives. </w:t>
      </w:r>
      <w:r w:rsidR="00BA23E3">
        <w:rPr>
          <w:sz w:val="28"/>
          <w:szCs w:val="28"/>
        </w:rPr>
        <w:t xml:space="preserve">A claim for payment of money due under a contract has no alternative, and consequently generates no choice as to remedy which might engage the exercise of the court’s discretion, as is the case when the claim is for the performance of an act. That being the case, the grant of an order </w:t>
      </w:r>
      <w:r w:rsidR="00BA23E3" w:rsidRPr="00A63A3A">
        <w:rPr>
          <w:i/>
          <w:sz w:val="28"/>
          <w:szCs w:val="28"/>
        </w:rPr>
        <w:t>ad pecuniam solvendum</w:t>
      </w:r>
      <w:r w:rsidR="00BA23E3">
        <w:rPr>
          <w:sz w:val="28"/>
          <w:szCs w:val="28"/>
        </w:rPr>
        <w:t xml:space="preserve"> is not the product of the exercise of a discretion. </w:t>
      </w:r>
      <w:r w:rsidR="00BA23E3">
        <w:rPr>
          <w:sz w:val="28"/>
          <w:szCs w:val="28"/>
        </w:rPr>
        <w:lastRenderedPageBreak/>
        <w:t>Put otherwise, an order for payment of a contractual debt is not a discretionary remedy.</w:t>
      </w:r>
    </w:p>
    <w:p w14:paraId="36B4BD3E" w14:textId="77777777" w:rsidR="007E45D3" w:rsidRDefault="007E45D3" w:rsidP="001B01AE">
      <w:pPr>
        <w:autoSpaceDE w:val="0"/>
        <w:autoSpaceDN w:val="0"/>
        <w:adjustRightInd w:val="0"/>
        <w:spacing w:line="360" w:lineRule="auto"/>
        <w:jc w:val="both"/>
        <w:rPr>
          <w:sz w:val="28"/>
          <w:szCs w:val="28"/>
        </w:rPr>
      </w:pPr>
    </w:p>
    <w:p w14:paraId="684DE687" w14:textId="60323D42" w:rsidR="007E45D3" w:rsidRPr="00F836BA" w:rsidRDefault="007E45D3" w:rsidP="007E45D3">
      <w:pPr>
        <w:autoSpaceDE w:val="0"/>
        <w:autoSpaceDN w:val="0"/>
        <w:adjustRightInd w:val="0"/>
        <w:spacing w:line="360" w:lineRule="auto"/>
        <w:jc w:val="both"/>
        <w:rPr>
          <w:rFonts w:ascii="Verdana" w:eastAsiaTheme="minorHAnsi" w:hAnsi="Verdana" w:cs="Verdana"/>
          <w:color w:val="000000"/>
          <w:sz w:val="15"/>
          <w:szCs w:val="15"/>
          <w:lang w:val="en-US"/>
        </w:rPr>
      </w:pPr>
      <w:r>
        <w:rPr>
          <w:sz w:val="28"/>
          <w:szCs w:val="28"/>
        </w:rPr>
        <w:t>[39]</w:t>
      </w:r>
      <w:r>
        <w:rPr>
          <w:sz w:val="28"/>
          <w:szCs w:val="28"/>
        </w:rPr>
        <w:tab/>
        <w:t xml:space="preserve">It should be added that there is a resonance between the statement by Hefer JA in </w:t>
      </w:r>
      <w:r w:rsidRPr="00F1091B">
        <w:rPr>
          <w:i/>
          <w:sz w:val="28"/>
          <w:szCs w:val="28"/>
        </w:rPr>
        <w:t>Benson</w:t>
      </w:r>
      <w:r>
        <w:rPr>
          <w:sz w:val="28"/>
          <w:szCs w:val="28"/>
        </w:rPr>
        <w:t>, that ‘[a]nother principle is that the remedy of specific performance should always be granted or withheld in accordance with legal and public policy’,</w:t>
      </w:r>
      <w:r w:rsidR="003310D4">
        <w:rPr>
          <w:rStyle w:val="FootnoteReference"/>
          <w:sz w:val="28"/>
          <w:szCs w:val="28"/>
        </w:rPr>
        <w:footnoteReference w:id="23"/>
      </w:r>
      <w:r>
        <w:rPr>
          <w:sz w:val="28"/>
          <w:szCs w:val="28"/>
        </w:rPr>
        <w:t xml:space="preserve"> and the statement in </w:t>
      </w:r>
      <w:r w:rsidRPr="007A7299">
        <w:rPr>
          <w:i/>
          <w:sz w:val="28"/>
          <w:szCs w:val="28"/>
        </w:rPr>
        <w:t>Beadica</w:t>
      </w:r>
      <w:r>
        <w:rPr>
          <w:sz w:val="28"/>
          <w:szCs w:val="28"/>
        </w:rPr>
        <w:t xml:space="preserve"> that </w:t>
      </w:r>
      <w:r w:rsidRPr="007A7299">
        <w:rPr>
          <w:sz w:val="28"/>
          <w:szCs w:val="28"/>
        </w:rPr>
        <w:t>‘</w:t>
      </w:r>
      <w:r w:rsidRPr="007A7299">
        <w:rPr>
          <w:color w:val="000000"/>
          <w:sz w:val="28"/>
        </w:rPr>
        <w:t>[i]t is only where a contractual term, or its enforcement, is so unfair, unreasonable or unjust that it is contrary to public policy that a court may refuse to enforce it</w:t>
      </w:r>
      <w:r w:rsidRPr="007A7299">
        <w:rPr>
          <w:rFonts w:ascii="Verdana" w:hAnsi="Verdana"/>
          <w:color w:val="000000"/>
          <w:sz w:val="28"/>
          <w:szCs w:val="20"/>
        </w:rPr>
        <w:t>.</w:t>
      </w:r>
      <w:r w:rsidRPr="007A7299">
        <w:rPr>
          <w:sz w:val="28"/>
        </w:rPr>
        <w:t>’</w:t>
      </w:r>
      <w:r w:rsidR="003310D4">
        <w:rPr>
          <w:rStyle w:val="FootnoteReference"/>
          <w:sz w:val="28"/>
        </w:rPr>
        <w:footnoteReference w:id="24"/>
      </w:r>
      <w:r w:rsidR="00477DA5">
        <w:rPr>
          <w:sz w:val="28"/>
        </w:rPr>
        <w:t xml:space="preserve"> </w:t>
      </w:r>
      <w:r>
        <w:rPr>
          <w:sz w:val="28"/>
        </w:rPr>
        <w:t xml:space="preserve">Amongst the grounds listed in </w:t>
      </w:r>
      <w:r w:rsidRPr="00F836BA">
        <w:rPr>
          <w:i/>
          <w:sz w:val="28"/>
        </w:rPr>
        <w:t>Haynes</w:t>
      </w:r>
      <w:r>
        <w:rPr>
          <w:i/>
          <w:sz w:val="28"/>
        </w:rPr>
        <w:t xml:space="preserve"> </w:t>
      </w:r>
      <w:r>
        <w:rPr>
          <w:sz w:val="28"/>
        </w:rPr>
        <w:t xml:space="preserve">on which courts have in the past exercised a discretion to refuse orders </w:t>
      </w:r>
      <w:r w:rsidRPr="00F836BA">
        <w:rPr>
          <w:i/>
          <w:sz w:val="28"/>
        </w:rPr>
        <w:t>ad factum praestandum</w:t>
      </w:r>
      <w:r>
        <w:rPr>
          <w:sz w:val="28"/>
        </w:rPr>
        <w:t xml:space="preserve"> are these: </w:t>
      </w:r>
      <w:r>
        <w:rPr>
          <w:sz w:val="28"/>
          <w:szCs w:val="28"/>
        </w:rPr>
        <w:t xml:space="preserve">where damages would be adequate compensation; where enforcement would cause the defendant unreasonable hardship; where the contract itself is unreasonable; where the enforcement order would cause injustice or be inequitable. It is consistent with </w:t>
      </w:r>
      <w:r w:rsidRPr="007D0E94">
        <w:rPr>
          <w:i/>
          <w:sz w:val="28"/>
          <w:szCs w:val="28"/>
        </w:rPr>
        <w:t>Beadica</w:t>
      </w:r>
      <w:r>
        <w:rPr>
          <w:sz w:val="28"/>
          <w:szCs w:val="28"/>
        </w:rPr>
        <w:t xml:space="preserve"> and </w:t>
      </w:r>
      <w:r w:rsidRPr="007D0E94">
        <w:rPr>
          <w:i/>
          <w:sz w:val="28"/>
          <w:szCs w:val="28"/>
        </w:rPr>
        <w:t>Benson</w:t>
      </w:r>
      <w:r>
        <w:rPr>
          <w:sz w:val="28"/>
          <w:szCs w:val="28"/>
        </w:rPr>
        <w:t xml:space="preserve"> that pleas against enforcement of contractual obligations on such grounds must be founded on public policy, even when the obligation in question may be the performance of an act. </w:t>
      </w:r>
    </w:p>
    <w:p w14:paraId="057568E4" w14:textId="77777777" w:rsidR="00A31AEF" w:rsidRDefault="00A31AEF" w:rsidP="001B01AE">
      <w:pPr>
        <w:autoSpaceDE w:val="0"/>
        <w:autoSpaceDN w:val="0"/>
        <w:adjustRightInd w:val="0"/>
        <w:spacing w:line="360" w:lineRule="auto"/>
        <w:jc w:val="both"/>
        <w:rPr>
          <w:sz w:val="28"/>
          <w:szCs w:val="28"/>
        </w:rPr>
      </w:pPr>
    </w:p>
    <w:p w14:paraId="7482E204" w14:textId="2219D7A2" w:rsidR="00856B66" w:rsidRDefault="00A31AEF" w:rsidP="00856B66">
      <w:pPr>
        <w:spacing w:line="360" w:lineRule="auto"/>
        <w:jc w:val="both"/>
        <w:rPr>
          <w:sz w:val="28"/>
          <w:szCs w:val="28"/>
        </w:rPr>
      </w:pPr>
      <w:r>
        <w:rPr>
          <w:sz w:val="28"/>
          <w:szCs w:val="28"/>
        </w:rPr>
        <w:t>[</w:t>
      </w:r>
      <w:r w:rsidR="007E45D3">
        <w:rPr>
          <w:sz w:val="28"/>
          <w:szCs w:val="28"/>
        </w:rPr>
        <w:t>40</w:t>
      </w:r>
      <w:r>
        <w:rPr>
          <w:sz w:val="28"/>
          <w:szCs w:val="28"/>
        </w:rPr>
        <w:t xml:space="preserve">] </w:t>
      </w:r>
      <w:r>
        <w:rPr>
          <w:sz w:val="28"/>
          <w:szCs w:val="28"/>
        </w:rPr>
        <w:tab/>
        <w:t xml:space="preserve">Allowing courts a general discretion to refuse judgments for contractual money debts, perhaps ‘in the interests of justice’ or to ‘avoid undue hardship’, gets perilously close to rendering the </w:t>
      </w:r>
      <w:r w:rsidR="005C689B">
        <w:rPr>
          <w:sz w:val="28"/>
          <w:szCs w:val="28"/>
        </w:rPr>
        <w:t>simplest</w:t>
      </w:r>
      <w:r>
        <w:rPr>
          <w:sz w:val="28"/>
          <w:szCs w:val="28"/>
        </w:rPr>
        <w:t xml:space="preserve"> instances of judicial enforcement dependent </w:t>
      </w:r>
      <w:r w:rsidRPr="009E3CCD">
        <w:rPr>
          <w:rFonts w:eastAsiaTheme="minorHAnsi"/>
          <w:sz w:val="28"/>
          <w:szCs w:val="28"/>
          <w:lang w:val="en-US"/>
        </w:rPr>
        <w:t xml:space="preserve">on the </w:t>
      </w:r>
      <w:r>
        <w:rPr>
          <w:rFonts w:eastAsiaTheme="minorHAnsi"/>
          <w:sz w:val="28"/>
          <w:szCs w:val="28"/>
          <w:lang w:val="en-US"/>
        </w:rPr>
        <w:t>‘</w:t>
      </w:r>
      <w:r w:rsidRPr="009E3CCD">
        <w:rPr>
          <w:rFonts w:eastAsiaTheme="minorHAnsi"/>
          <w:sz w:val="28"/>
          <w:szCs w:val="28"/>
          <w:lang w:val="en-US"/>
        </w:rPr>
        <w:t>idiosyncratic</w:t>
      </w:r>
      <w:r>
        <w:rPr>
          <w:rFonts w:eastAsiaTheme="minorHAnsi"/>
          <w:sz w:val="28"/>
          <w:szCs w:val="28"/>
          <w:lang w:val="en-US"/>
        </w:rPr>
        <w:t xml:space="preserve"> </w:t>
      </w:r>
      <w:r w:rsidRPr="009E3CCD">
        <w:rPr>
          <w:rFonts w:eastAsiaTheme="minorHAnsi"/>
          <w:sz w:val="28"/>
          <w:szCs w:val="28"/>
          <w:lang w:val="en-US"/>
        </w:rPr>
        <w:t>inferences of a few judicial minds</w:t>
      </w:r>
      <w:r>
        <w:rPr>
          <w:rFonts w:eastAsiaTheme="minorHAnsi"/>
          <w:sz w:val="28"/>
          <w:szCs w:val="28"/>
          <w:lang w:val="en-US"/>
        </w:rPr>
        <w:t>’.</w:t>
      </w:r>
      <w:r w:rsidR="000B4B73">
        <w:rPr>
          <w:rStyle w:val="FootnoteReference"/>
          <w:rFonts w:eastAsiaTheme="minorHAnsi"/>
          <w:sz w:val="28"/>
          <w:szCs w:val="28"/>
          <w:lang w:val="en-US"/>
        </w:rPr>
        <w:footnoteReference w:id="25"/>
      </w:r>
      <w:r>
        <w:rPr>
          <w:rFonts w:eastAsiaTheme="minorHAnsi"/>
          <w:sz w:val="28"/>
          <w:szCs w:val="28"/>
          <w:lang w:val="en-US"/>
        </w:rPr>
        <w:t xml:space="preserve"> </w:t>
      </w:r>
      <w:r>
        <w:rPr>
          <w:sz w:val="28"/>
          <w:szCs w:val="28"/>
        </w:rPr>
        <w:t xml:space="preserve">The power of a court to refuse judgment for a money claim arising from contract, when to grant it would be contrary to public policy, is a sufficient brake on excesses. The ambit of that relief has been carefully delineated, as has its position under the Constitution. Allowing the courts to refuse such a judgment in the exercise of a </w:t>
      </w:r>
      <w:r>
        <w:rPr>
          <w:sz w:val="28"/>
          <w:szCs w:val="28"/>
        </w:rPr>
        <w:lastRenderedPageBreak/>
        <w:t xml:space="preserve">discretion may disturb the vital balance set in our public policy rules which are designed, </w:t>
      </w:r>
      <w:r w:rsidRPr="00FB148B">
        <w:rPr>
          <w:i/>
          <w:sz w:val="28"/>
          <w:szCs w:val="28"/>
        </w:rPr>
        <w:t>inter alia</w:t>
      </w:r>
      <w:r>
        <w:rPr>
          <w:i/>
          <w:sz w:val="28"/>
          <w:szCs w:val="28"/>
        </w:rPr>
        <w:t>,</w:t>
      </w:r>
      <w:r>
        <w:rPr>
          <w:sz w:val="28"/>
          <w:szCs w:val="28"/>
        </w:rPr>
        <w:t xml:space="preserve"> to ensure that the public interest in the values underlying the doctrine of </w:t>
      </w:r>
      <w:r>
        <w:rPr>
          <w:i/>
          <w:sz w:val="28"/>
          <w:szCs w:val="28"/>
        </w:rPr>
        <w:t>pacta sunt servanda</w:t>
      </w:r>
      <w:r>
        <w:rPr>
          <w:sz w:val="28"/>
          <w:szCs w:val="28"/>
        </w:rPr>
        <w:t xml:space="preserve"> are adequately served and protected.</w:t>
      </w:r>
    </w:p>
    <w:p w14:paraId="37EBB639" w14:textId="77777777" w:rsidR="00480AB8" w:rsidRDefault="00480AB8" w:rsidP="00856B66">
      <w:pPr>
        <w:spacing w:line="360" w:lineRule="auto"/>
        <w:jc w:val="both"/>
        <w:rPr>
          <w:sz w:val="28"/>
          <w:szCs w:val="28"/>
        </w:rPr>
      </w:pPr>
    </w:p>
    <w:p w14:paraId="2B929AFD" w14:textId="5472261C" w:rsidR="00856B66" w:rsidRDefault="00480AB8" w:rsidP="00856B66">
      <w:pPr>
        <w:spacing w:line="360" w:lineRule="auto"/>
        <w:jc w:val="both"/>
        <w:rPr>
          <w:sz w:val="28"/>
          <w:szCs w:val="28"/>
        </w:rPr>
      </w:pPr>
      <w:r>
        <w:rPr>
          <w:sz w:val="28"/>
          <w:szCs w:val="28"/>
        </w:rPr>
        <w:t>[</w:t>
      </w:r>
      <w:r w:rsidR="007E45D3">
        <w:rPr>
          <w:sz w:val="28"/>
          <w:szCs w:val="28"/>
        </w:rPr>
        <w:t>41</w:t>
      </w:r>
      <w:r>
        <w:rPr>
          <w:sz w:val="28"/>
          <w:szCs w:val="28"/>
        </w:rPr>
        <w:t>]</w:t>
      </w:r>
      <w:r>
        <w:rPr>
          <w:sz w:val="28"/>
          <w:szCs w:val="28"/>
        </w:rPr>
        <w:tab/>
        <w:t xml:space="preserve">I conclude that there is no merit in the employer’s argument that the contractor has made a claim for specific performance which engages the discretion which our courts have to grant or refuse such orders when the contractual obligation sought to be enforced is one </w:t>
      </w:r>
      <w:r>
        <w:rPr>
          <w:i/>
          <w:iCs/>
          <w:sz w:val="28"/>
          <w:szCs w:val="28"/>
        </w:rPr>
        <w:t>ad factum praestandum.</w:t>
      </w:r>
    </w:p>
    <w:p w14:paraId="3250AD95" w14:textId="77777777" w:rsidR="00856B66" w:rsidRDefault="00856B66" w:rsidP="00856B66">
      <w:pPr>
        <w:spacing w:line="360" w:lineRule="auto"/>
        <w:jc w:val="both"/>
        <w:rPr>
          <w:sz w:val="28"/>
          <w:szCs w:val="28"/>
        </w:rPr>
      </w:pPr>
    </w:p>
    <w:p w14:paraId="53A6EA8A" w14:textId="0344A7E6" w:rsidR="00856B66" w:rsidRDefault="00856B66" w:rsidP="00856B66">
      <w:pPr>
        <w:spacing w:line="360" w:lineRule="auto"/>
        <w:jc w:val="both"/>
        <w:rPr>
          <w:sz w:val="28"/>
          <w:szCs w:val="28"/>
        </w:rPr>
      </w:pPr>
      <w:r>
        <w:rPr>
          <w:sz w:val="28"/>
          <w:szCs w:val="28"/>
        </w:rPr>
        <w:t>[4</w:t>
      </w:r>
      <w:r w:rsidR="007E45D3">
        <w:rPr>
          <w:sz w:val="28"/>
          <w:szCs w:val="28"/>
        </w:rPr>
        <w:t>2</w:t>
      </w:r>
      <w:r>
        <w:rPr>
          <w:sz w:val="28"/>
          <w:szCs w:val="28"/>
        </w:rPr>
        <w:t>]</w:t>
      </w:r>
      <w:r>
        <w:rPr>
          <w:sz w:val="28"/>
          <w:szCs w:val="28"/>
        </w:rPr>
        <w:tab/>
        <w:t>Finally, counsel for the employer argued that the employer should have succeeded in the high court because the money claims which are the subject of the adjudication awards had been overtaken by subsequent certificates or a certificate issued by the engineers in terms of the contract.</w:t>
      </w:r>
      <w:r w:rsidR="00477DA5">
        <w:rPr>
          <w:sz w:val="28"/>
          <w:szCs w:val="28"/>
        </w:rPr>
        <w:t xml:space="preserve"> </w:t>
      </w:r>
      <w:r>
        <w:rPr>
          <w:sz w:val="28"/>
          <w:szCs w:val="28"/>
        </w:rPr>
        <w:t>The documents relied upon for this were put up with the employer’s answering affidavit.</w:t>
      </w:r>
      <w:r w:rsidR="00477DA5">
        <w:rPr>
          <w:sz w:val="28"/>
          <w:szCs w:val="28"/>
        </w:rPr>
        <w:t xml:space="preserve"> </w:t>
      </w:r>
      <w:r>
        <w:rPr>
          <w:sz w:val="28"/>
          <w:szCs w:val="28"/>
        </w:rPr>
        <w:t>A reading of those documents, insofar as they can be understood, does not generate a conclusion to the advantage of the employer.</w:t>
      </w:r>
      <w:r w:rsidR="00477DA5">
        <w:rPr>
          <w:sz w:val="28"/>
          <w:szCs w:val="28"/>
        </w:rPr>
        <w:t xml:space="preserve"> </w:t>
      </w:r>
      <w:r>
        <w:rPr>
          <w:sz w:val="28"/>
          <w:szCs w:val="28"/>
        </w:rPr>
        <w:t>The deponent to the answering affidavit has not explained how the documents should be read in order to generate the conclusion contended for, which appears to be in effect that set-off has occurred.</w:t>
      </w:r>
      <w:r w:rsidR="00477DA5">
        <w:rPr>
          <w:sz w:val="28"/>
          <w:szCs w:val="28"/>
        </w:rPr>
        <w:t xml:space="preserve"> </w:t>
      </w:r>
      <w:r>
        <w:rPr>
          <w:sz w:val="28"/>
          <w:szCs w:val="28"/>
        </w:rPr>
        <w:t xml:space="preserve">The alleged defence was inadequately pleaded by the employer in six lines of the affidavit which constitute no more than bare assertions. (In reply to these contentions of the employer the contractor has gone so far as to assert that on this issue the employer </w:t>
      </w:r>
      <w:r w:rsidR="00306DC4">
        <w:rPr>
          <w:sz w:val="28"/>
          <w:szCs w:val="28"/>
        </w:rPr>
        <w:t>‘</w:t>
      </w:r>
      <w:r>
        <w:rPr>
          <w:sz w:val="28"/>
          <w:szCs w:val="28"/>
        </w:rPr>
        <w:t>deliberately seeks to deceive</w:t>
      </w:r>
      <w:r w:rsidR="00306DC4">
        <w:rPr>
          <w:sz w:val="28"/>
          <w:szCs w:val="28"/>
        </w:rPr>
        <w:t>’</w:t>
      </w:r>
      <w:r>
        <w:rPr>
          <w:sz w:val="28"/>
          <w:szCs w:val="28"/>
        </w:rPr>
        <w:t xml:space="preserve"> the court.</w:t>
      </w:r>
      <w:r w:rsidR="00477DA5">
        <w:rPr>
          <w:sz w:val="28"/>
          <w:szCs w:val="28"/>
        </w:rPr>
        <w:t xml:space="preserve"> </w:t>
      </w:r>
      <w:r>
        <w:rPr>
          <w:sz w:val="28"/>
          <w:szCs w:val="28"/>
        </w:rPr>
        <w:t xml:space="preserve">No finding on that issue is necessary for the disposal of this appeal.) </w:t>
      </w:r>
    </w:p>
    <w:p w14:paraId="7BE9DB0C" w14:textId="77777777" w:rsidR="00492E04" w:rsidRDefault="00492E04" w:rsidP="00856B66">
      <w:pPr>
        <w:spacing w:line="360" w:lineRule="auto"/>
        <w:jc w:val="both"/>
        <w:rPr>
          <w:sz w:val="28"/>
          <w:szCs w:val="28"/>
        </w:rPr>
      </w:pPr>
    </w:p>
    <w:p w14:paraId="4580A240" w14:textId="5655DF50" w:rsidR="00856B66" w:rsidRDefault="00856B66" w:rsidP="00856B66">
      <w:pPr>
        <w:spacing w:line="360" w:lineRule="auto"/>
        <w:jc w:val="both"/>
        <w:rPr>
          <w:sz w:val="28"/>
          <w:szCs w:val="28"/>
        </w:rPr>
      </w:pPr>
      <w:r>
        <w:rPr>
          <w:sz w:val="28"/>
          <w:szCs w:val="28"/>
        </w:rPr>
        <w:t>[4</w:t>
      </w:r>
      <w:r w:rsidR="00002917">
        <w:rPr>
          <w:sz w:val="28"/>
          <w:szCs w:val="28"/>
        </w:rPr>
        <w:t>3</w:t>
      </w:r>
      <w:r>
        <w:rPr>
          <w:sz w:val="28"/>
          <w:szCs w:val="28"/>
        </w:rPr>
        <w:t>]</w:t>
      </w:r>
      <w:r>
        <w:rPr>
          <w:sz w:val="28"/>
          <w:szCs w:val="28"/>
        </w:rPr>
        <w:tab/>
        <w:t>In the circumstances</w:t>
      </w:r>
      <w:r w:rsidR="00306DC4">
        <w:rPr>
          <w:sz w:val="28"/>
          <w:szCs w:val="28"/>
        </w:rPr>
        <w:t>,</w:t>
      </w:r>
      <w:r>
        <w:rPr>
          <w:sz w:val="28"/>
          <w:szCs w:val="28"/>
        </w:rPr>
        <w:t xml:space="preserve"> the appeal is dismissed with costs.</w:t>
      </w:r>
    </w:p>
    <w:p w14:paraId="594C64A0" w14:textId="536B6BF6" w:rsidR="006E13C9" w:rsidRPr="00ED0DF2" w:rsidRDefault="000C4CC0" w:rsidP="000C4CC0">
      <w:pPr>
        <w:tabs>
          <w:tab w:val="left" w:pos="795"/>
        </w:tabs>
        <w:spacing w:line="360" w:lineRule="auto"/>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46451">
        <w:rPr>
          <w:sz w:val="28"/>
          <w:szCs w:val="28"/>
        </w:rPr>
        <w:tab/>
      </w:r>
    </w:p>
    <w:p w14:paraId="2009A92E" w14:textId="21673D3A" w:rsidR="000C4CC0" w:rsidRDefault="000C4CC0" w:rsidP="000C4CC0">
      <w:pPr>
        <w:jc w:val="right"/>
        <w:rPr>
          <w:sz w:val="28"/>
          <w:szCs w:val="28"/>
        </w:rPr>
      </w:pPr>
      <w:r>
        <w:rPr>
          <w:sz w:val="28"/>
          <w:szCs w:val="28"/>
        </w:rPr>
        <w:t>____________________</w:t>
      </w:r>
    </w:p>
    <w:p w14:paraId="5C611244" w14:textId="2DAC117E" w:rsidR="000C4CC0" w:rsidRDefault="00735B5B" w:rsidP="000C4CC0">
      <w:pPr>
        <w:jc w:val="right"/>
        <w:rPr>
          <w:sz w:val="28"/>
          <w:szCs w:val="28"/>
        </w:rPr>
      </w:pPr>
      <w:r w:rsidRPr="00ED0DF2">
        <w:rPr>
          <w:sz w:val="28"/>
          <w:szCs w:val="28"/>
        </w:rPr>
        <w:t xml:space="preserve">P J </w:t>
      </w:r>
      <w:r w:rsidR="00AF18FD" w:rsidRPr="00ED0DF2">
        <w:rPr>
          <w:sz w:val="28"/>
          <w:szCs w:val="28"/>
        </w:rPr>
        <w:t>OLSEN</w:t>
      </w:r>
    </w:p>
    <w:p w14:paraId="4F4328DD" w14:textId="1306967E" w:rsidR="00AF18FD" w:rsidRDefault="00AF18FD" w:rsidP="000C4CC0">
      <w:pPr>
        <w:jc w:val="right"/>
        <w:rPr>
          <w:sz w:val="28"/>
          <w:szCs w:val="28"/>
        </w:rPr>
      </w:pPr>
      <w:r w:rsidRPr="00ED0DF2">
        <w:rPr>
          <w:sz w:val="28"/>
          <w:szCs w:val="28"/>
        </w:rPr>
        <w:t>ACTING JUDGE OF APPEAL</w:t>
      </w:r>
    </w:p>
    <w:p w14:paraId="5B198CB0" w14:textId="77777777" w:rsidR="009440EC" w:rsidRDefault="009440EC" w:rsidP="000C4CC0">
      <w:pPr>
        <w:jc w:val="right"/>
        <w:rPr>
          <w:sz w:val="28"/>
          <w:szCs w:val="28"/>
        </w:rPr>
      </w:pPr>
    </w:p>
    <w:p w14:paraId="70746937" w14:textId="77777777" w:rsidR="00002917" w:rsidRPr="00002917" w:rsidRDefault="00002917" w:rsidP="00002917">
      <w:pPr>
        <w:spacing w:line="360" w:lineRule="auto"/>
        <w:rPr>
          <w:sz w:val="28"/>
          <w:szCs w:val="28"/>
        </w:rPr>
      </w:pPr>
      <w:r w:rsidRPr="00002917">
        <w:rPr>
          <w:sz w:val="28"/>
          <w:szCs w:val="28"/>
        </w:rPr>
        <w:lastRenderedPageBreak/>
        <w:t>Appearances:</w:t>
      </w:r>
    </w:p>
    <w:p w14:paraId="3CF56834" w14:textId="77777777" w:rsidR="00002917" w:rsidRPr="00002917" w:rsidRDefault="00002917" w:rsidP="00002917">
      <w:pPr>
        <w:spacing w:line="360" w:lineRule="auto"/>
        <w:rPr>
          <w:sz w:val="28"/>
          <w:szCs w:val="28"/>
        </w:rPr>
      </w:pPr>
    </w:p>
    <w:p w14:paraId="2DAB6B3C" w14:textId="77777777" w:rsidR="00002917" w:rsidRPr="00002917" w:rsidRDefault="00002917" w:rsidP="00002917">
      <w:pPr>
        <w:spacing w:line="360" w:lineRule="auto"/>
        <w:rPr>
          <w:sz w:val="28"/>
          <w:szCs w:val="28"/>
        </w:rPr>
      </w:pPr>
      <w:r w:rsidRPr="00002917">
        <w:rPr>
          <w:sz w:val="28"/>
          <w:szCs w:val="28"/>
        </w:rPr>
        <w:t>For appellant:</w:t>
      </w:r>
      <w:r w:rsidRPr="00002917">
        <w:rPr>
          <w:sz w:val="28"/>
          <w:szCs w:val="28"/>
        </w:rPr>
        <w:tab/>
        <w:t>Mr PJ Wallis SC</w:t>
      </w:r>
    </w:p>
    <w:p w14:paraId="243D9632" w14:textId="77777777" w:rsidR="00002917" w:rsidRPr="00002917" w:rsidRDefault="00002917" w:rsidP="00002917">
      <w:pPr>
        <w:spacing w:line="360" w:lineRule="auto"/>
        <w:rPr>
          <w:sz w:val="28"/>
          <w:szCs w:val="28"/>
        </w:rPr>
      </w:pPr>
      <w:r w:rsidRPr="00002917">
        <w:rPr>
          <w:sz w:val="28"/>
          <w:szCs w:val="28"/>
        </w:rPr>
        <w:tab/>
      </w:r>
      <w:r w:rsidRPr="00002917">
        <w:rPr>
          <w:sz w:val="28"/>
          <w:szCs w:val="28"/>
        </w:rPr>
        <w:tab/>
      </w:r>
      <w:r w:rsidRPr="00002917">
        <w:rPr>
          <w:sz w:val="28"/>
          <w:szCs w:val="28"/>
        </w:rPr>
        <w:tab/>
        <w:t>Ms SBR Lushaba</w:t>
      </w:r>
      <w:r w:rsidRPr="00002917">
        <w:rPr>
          <w:sz w:val="28"/>
          <w:szCs w:val="28"/>
        </w:rPr>
        <w:tab/>
      </w:r>
    </w:p>
    <w:p w14:paraId="69B7B4E2" w14:textId="77777777" w:rsidR="00002917" w:rsidRPr="00002917" w:rsidRDefault="00002917" w:rsidP="00002917">
      <w:pPr>
        <w:spacing w:line="360" w:lineRule="auto"/>
        <w:rPr>
          <w:sz w:val="28"/>
          <w:szCs w:val="28"/>
        </w:rPr>
      </w:pPr>
      <w:r w:rsidRPr="00002917">
        <w:rPr>
          <w:sz w:val="28"/>
          <w:szCs w:val="28"/>
        </w:rPr>
        <w:t xml:space="preserve">Instructed by: </w:t>
      </w:r>
      <w:r w:rsidRPr="00002917">
        <w:rPr>
          <w:sz w:val="28"/>
          <w:szCs w:val="28"/>
        </w:rPr>
        <w:tab/>
        <w:t>Strauss Daly Attorneys</w:t>
      </w:r>
    </w:p>
    <w:p w14:paraId="47A32F32" w14:textId="7C305048" w:rsidR="00002917" w:rsidRPr="00002917" w:rsidRDefault="00002917" w:rsidP="00002917">
      <w:pPr>
        <w:spacing w:line="360" w:lineRule="auto"/>
        <w:rPr>
          <w:sz w:val="28"/>
          <w:szCs w:val="28"/>
        </w:rPr>
      </w:pPr>
      <w:r>
        <w:rPr>
          <w:sz w:val="28"/>
          <w:szCs w:val="28"/>
        </w:rPr>
        <w:t xml:space="preserve">                              </w:t>
      </w:r>
      <w:r w:rsidRPr="00002917">
        <w:rPr>
          <w:sz w:val="28"/>
          <w:szCs w:val="28"/>
        </w:rPr>
        <w:t>Bloemfontein and Durban</w:t>
      </w:r>
    </w:p>
    <w:p w14:paraId="5A567CFC" w14:textId="77777777" w:rsidR="00002917" w:rsidRPr="00002917" w:rsidRDefault="00002917" w:rsidP="00002917">
      <w:pPr>
        <w:spacing w:line="360" w:lineRule="auto"/>
        <w:rPr>
          <w:sz w:val="28"/>
          <w:szCs w:val="28"/>
        </w:rPr>
      </w:pPr>
      <w:r w:rsidRPr="00002917">
        <w:rPr>
          <w:sz w:val="28"/>
          <w:szCs w:val="28"/>
        </w:rPr>
        <w:t xml:space="preserve"> </w:t>
      </w:r>
    </w:p>
    <w:p w14:paraId="4305B7FF" w14:textId="77777777" w:rsidR="00002917" w:rsidRPr="00002917" w:rsidRDefault="00002917" w:rsidP="00002917">
      <w:pPr>
        <w:spacing w:line="360" w:lineRule="auto"/>
        <w:rPr>
          <w:sz w:val="28"/>
          <w:szCs w:val="28"/>
        </w:rPr>
      </w:pPr>
      <w:r w:rsidRPr="00002917">
        <w:rPr>
          <w:sz w:val="28"/>
          <w:szCs w:val="28"/>
        </w:rPr>
        <w:t>For respondent:</w:t>
      </w:r>
      <w:r w:rsidRPr="00002917">
        <w:rPr>
          <w:sz w:val="28"/>
          <w:szCs w:val="28"/>
        </w:rPr>
        <w:tab/>
        <w:t>Mr BM Slon</w:t>
      </w:r>
      <w:r w:rsidRPr="00002917">
        <w:rPr>
          <w:sz w:val="28"/>
          <w:szCs w:val="28"/>
        </w:rPr>
        <w:tab/>
        <w:t xml:space="preserve"> </w:t>
      </w:r>
    </w:p>
    <w:p w14:paraId="72D44B48" w14:textId="6C0499FF" w:rsidR="00002917" w:rsidRPr="00002917" w:rsidRDefault="00002917" w:rsidP="00002917">
      <w:pPr>
        <w:spacing w:line="360" w:lineRule="auto"/>
        <w:rPr>
          <w:sz w:val="28"/>
          <w:szCs w:val="28"/>
        </w:rPr>
      </w:pPr>
      <w:r w:rsidRPr="00002917">
        <w:rPr>
          <w:sz w:val="28"/>
          <w:szCs w:val="28"/>
        </w:rPr>
        <w:t>Inst</w:t>
      </w:r>
      <w:r>
        <w:rPr>
          <w:sz w:val="28"/>
          <w:szCs w:val="28"/>
        </w:rPr>
        <w:t>ructed by:</w:t>
      </w:r>
      <w:r>
        <w:rPr>
          <w:sz w:val="28"/>
          <w:szCs w:val="28"/>
        </w:rPr>
        <w:tab/>
        <w:t xml:space="preserve">Nicqui Galaktiou Inc, </w:t>
      </w:r>
      <w:r w:rsidRPr="00002917">
        <w:rPr>
          <w:sz w:val="28"/>
          <w:szCs w:val="28"/>
        </w:rPr>
        <w:t>Johannesburg</w:t>
      </w:r>
    </w:p>
    <w:p w14:paraId="5E83848B" w14:textId="6DB6BE64" w:rsidR="00AF18FD" w:rsidRDefault="00002917" w:rsidP="00002917">
      <w:pPr>
        <w:spacing w:line="360" w:lineRule="auto"/>
        <w:ind w:left="1440" w:firstLine="720"/>
        <w:rPr>
          <w:sz w:val="28"/>
          <w:szCs w:val="28"/>
        </w:rPr>
      </w:pPr>
      <w:r w:rsidRPr="00002917">
        <w:rPr>
          <w:sz w:val="28"/>
          <w:szCs w:val="28"/>
        </w:rPr>
        <w:t>Claude Reid Inc</w:t>
      </w:r>
      <w:r>
        <w:rPr>
          <w:sz w:val="28"/>
          <w:szCs w:val="28"/>
        </w:rPr>
        <w:t xml:space="preserve">, </w:t>
      </w:r>
      <w:r w:rsidRPr="00002917">
        <w:rPr>
          <w:sz w:val="28"/>
          <w:szCs w:val="28"/>
        </w:rPr>
        <w:t>Bloemfontein.</w:t>
      </w:r>
    </w:p>
    <w:p w14:paraId="7680B5AA" w14:textId="77777777" w:rsidR="00AF18FD" w:rsidRDefault="00AF18FD" w:rsidP="00AF18FD">
      <w:pPr>
        <w:spacing w:line="360" w:lineRule="auto"/>
        <w:rPr>
          <w:sz w:val="28"/>
          <w:szCs w:val="28"/>
        </w:rPr>
      </w:pPr>
    </w:p>
    <w:p w14:paraId="42C62D8C" w14:textId="77777777" w:rsidR="00AF18FD" w:rsidRDefault="00AF18FD" w:rsidP="00AF18FD">
      <w:pPr>
        <w:spacing w:line="360" w:lineRule="auto"/>
        <w:rPr>
          <w:sz w:val="28"/>
          <w:szCs w:val="28"/>
        </w:rPr>
      </w:pPr>
    </w:p>
    <w:p w14:paraId="47CE3830" w14:textId="77777777" w:rsidR="00AF18FD" w:rsidRDefault="00AF18FD" w:rsidP="00AF18FD">
      <w:pPr>
        <w:spacing w:line="360" w:lineRule="auto"/>
        <w:rPr>
          <w:sz w:val="28"/>
          <w:szCs w:val="28"/>
        </w:rPr>
      </w:pPr>
    </w:p>
    <w:p w14:paraId="2D2CD47C" w14:textId="77777777" w:rsidR="00AF18FD" w:rsidRDefault="00AF18FD" w:rsidP="00AF18FD">
      <w:pPr>
        <w:spacing w:line="360" w:lineRule="auto"/>
        <w:rPr>
          <w:sz w:val="28"/>
          <w:szCs w:val="28"/>
        </w:rPr>
      </w:pPr>
    </w:p>
    <w:p w14:paraId="2BE06A7F" w14:textId="77777777" w:rsidR="00AF18FD" w:rsidRDefault="00AF18FD" w:rsidP="00AF18FD">
      <w:pPr>
        <w:spacing w:line="360" w:lineRule="auto"/>
        <w:rPr>
          <w:sz w:val="28"/>
          <w:szCs w:val="28"/>
        </w:rPr>
      </w:pPr>
    </w:p>
    <w:p w14:paraId="7A15459A" w14:textId="6484CAEC" w:rsidR="00306DC4" w:rsidRDefault="00306DC4">
      <w:pPr>
        <w:spacing w:after="160" w:line="259" w:lineRule="auto"/>
        <w:rPr>
          <w:sz w:val="28"/>
          <w:szCs w:val="28"/>
        </w:rPr>
      </w:pPr>
    </w:p>
    <w:sectPr w:rsidR="00306DC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03E4D" w16cex:dateUtc="2023-05-30T07:2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D8BFA" w14:textId="77777777" w:rsidR="00E512E6" w:rsidRDefault="00E512E6" w:rsidP="00C3593F">
      <w:r>
        <w:separator/>
      </w:r>
    </w:p>
  </w:endnote>
  <w:endnote w:type="continuationSeparator" w:id="0">
    <w:p w14:paraId="5D3DFCCB" w14:textId="77777777" w:rsidR="00E512E6" w:rsidRDefault="00E512E6" w:rsidP="00C35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B0D64" w14:textId="77777777" w:rsidR="00E512E6" w:rsidRDefault="00E512E6" w:rsidP="00C3593F">
      <w:r>
        <w:separator/>
      </w:r>
    </w:p>
  </w:footnote>
  <w:footnote w:type="continuationSeparator" w:id="0">
    <w:p w14:paraId="4B7642B5" w14:textId="77777777" w:rsidR="00E512E6" w:rsidRDefault="00E512E6" w:rsidP="00C3593F">
      <w:r>
        <w:continuationSeparator/>
      </w:r>
    </w:p>
  </w:footnote>
  <w:footnote w:id="1">
    <w:p w14:paraId="68A029BA" w14:textId="5F6557A0" w:rsidR="009E15B6" w:rsidRPr="002430D2" w:rsidRDefault="009E15B6">
      <w:pPr>
        <w:pStyle w:val="FootnoteText"/>
        <w:rPr>
          <w:lang w:val="en-ZA"/>
        </w:rPr>
      </w:pPr>
      <w:r w:rsidRPr="009E15B6">
        <w:rPr>
          <w:rStyle w:val="FootnoteReference"/>
        </w:rPr>
        <w:footnoteRef/>
      </w:r>
      <w:r w:rsidRPr="009E15B6">
        <w:t xml:space="preserve"> </w:t>
      </w:r>
      <w:r w:rsidRPr="002430D2">
        <w:rPr>
          <w:i/>
        </w:rPr>
        <w:t xml:space="preserve">Framatome v Eskom Holdings Soc Ltd </w:t>
      </w:r>
      <w:r>
        <w:rPr>
          <w:iCs/>
        </w:rPr>
        <w:t xml:space="preserve">[2021] ZASCA 132; </w:t>
      </w:r>
      <w:r w:rsidRPr="002430D2">
        <w:t>2022 (2) SA 395 (SCA) para 23;</w:t>
      </w:r>
      <w:r w:rsidR="00477DA5">
        <w:t xml:space="preserve"> </w:t>
      </w:r>
      <w:r w:rsidRPr="002430D2">
        <w:rPr>
          <w:i/>
        </w:rPr>
        <w:t xml:space="preserve">Murray &amp; Roberts Ltd v Alstom S&amp;E Africa (Pty) </w:t>
      </w:r>
      <w:r w:rsidRPr="002430D2">
        <w:rPr>
          <w:i/>
          <w:iCs/>
        </w:rPr>
        <w:t>Ltd</w:t>
      </w:r>
      <w:r w:rsidRPr="002430D2">
        <w:t xml:space="preserve"> </w:t>
      </w:r>
      <w:r w:rsidR="003A0275">
        <w:t xml:space="preserve">[2019] ZAGPJHC 300; [2019] 4 All SA 495 (GJ); </w:t>
      </w:r>
      <w:r w:rsidRPr="002430D2">
        <w:t>2020 (1) SA 204 (GJ) para 69.</w:t>
      </w:r>
    </w:p>
  </w:footnote>
  <w:footnote w:id="2">
    <w:p w14:paraId="63956429" w14:textId="4A6E4C03" w:rsidR="00A10CA8" w:rsidRPr="002430D2" w:rsidRDefault="00A10CA8" w:rsidP="00266D54">
      <w:pPr>
        <w:pStyle w:val="FootnoteText"/>
        <w:rPr>
          <w:lang w:val="en-ZA"/>
        </w:rPr>
      </w:pPr>
      <w:r w:rsidRPr="00A10CA8">
        <w:rPr>
          <w:rStyle w:val="FootnoteReference"/>
        </w:rPr>
        <w:footnoteRef/>
      </w:r>
      <w:r w:rsidRPr="00A10CA8">
        <w:t xml:space="preserve"> </w:t>
      </w:r>
      <w:r w:rsidRPr="002430D2">
        <w:rPr>
          <w:i/>
          <w:iCs/>
        </w:rPr>
        <w:t>Beadica 231 CC and Others v Trustees of the Oregon Trust and Others</w:t>
      </w:r>
      <w:r>
        <w:rPr>
          <w:i/>
          <w:iCs/>
        </w:rPr>
        <w:t xml:space="preserve"> </w:t>
      </w:r>
      <w:r w:rsidRPr="002430D2">
        <w:t>[2020] ZACC 13; 2020 (5) SA 247</w:t>
      </w:r>
      <w:r w:rsidR="0069018D">
        <w:t xml:space="preserve"> (CC)</w:t>
      </w:r>
      <w:r w:rsidRPr="002430D2">
        <w:t>; 2020 (9) BCLR 1098 (CC)</w:t>
      </w:r>
      <w:r w:rsidR="00306DC4">
        <w:t xml:space="preserve"> (</w:t>
      </w:r>
      <w:r w:rsidR="00306DC4" w:rsidRPr="002430D2">
        <w:rPr>
          <w:i/>
          <w:iCs/>
        </w:rPr>
        <w:t>Beadica</w:t>
      </w:r>
      <w:r w:rsidR="00306DC4">
        <w:t>)</w:t>
      </w:r>
      <w:r w:rsidRPr="002430D2">
        <w:t>.</w:t>
      </w:r>
    </w:p>
  </w:footnote>
  <w:footnote w:id="3">
    <w:p w14:paraId="6AB4BF86" w14:textId="5FB7A22F" w:rsidR="00DD7FE3" w:rsidRPr="002430D2" w:rsidRDefault="00DD7FE3">
      <w:pPr>
        <w:pStyle w:val="FootnoteText"/>
        <w:rPr>
          <w:lang w:val="en-ZA"/>
        </w:rPr>
      </w:pPr>
      <w:r>
        <w:rPr>
          <w:rStyle w:val="FootnoteReference"/>
        </w:rPr>
        <w:footnoteRef/>
      </w:r>
      <w:r>
        <w:t xml:space="preserve"> </w:t>
      </w:r>
      <w:r w:rsidRPr="002430D2">
        <w:rPr>
          <w:i/>
          <w:iCs/>
        </w:rPr>
        <w:t>Barkhuizen v Napier</w:t>
      </w:r>
      <w:r w:rsidRPr="00DD7FE3">
        <w:t xml:space="preserve"> </w:t>
      </w:r>
      <w:r w:rsidRPr="002430D2">
        <w:t>[2007] ZACC 5; 2007 (5) SA 223 (CC); 2007 (7) BCLR 691 (CC)</w:t>
      </w:r>
      <w:r w:rsidRPr="00DD7FE3">
        <w:t>.</w:t>
      </w:r>
    </w:p>
  </w:footnote>
  <w:footnote w:id="4">
    <w:p w14:paraId="710C200E" w14:textId="7373DBDB" w:rsidR="00DD7FE3" w:rsidRPr="002430D2" w:rsidRDefault="00DD7FE3">
      <w:pPr>
        <w:pStyle w:val="FootnoteText"/>
        <w:rPr>
          <w:lang w:val="en-ZA"/>
        </w:rPr>
      </w:pPr>
      <w:r w:rsidRPr="00DD7FE3">
        <w:rPr>
          <w:rStyle w:val="FootnoteReference"/>
        </w:rPr>
        <w:footnoteRef/>
      </w:r>
      <w:r w:rsidRPr="00DD7FE3">
        <w:t xml:space="preserve"> </w:t>
      </w:r>
      <w:r w:rsidRPr="002430D2">
        <w:rPr>
          <w:i/>
          <w:iCs/>
        </w:rPr>
        <w:t>Botha and Another v Rich N.O. and Others</w:t>
      </w:r>
      <w:r w:rsidRPr="002430D2">
        <w:t xml:space="preserve"> [2014] ZACC 11;</w:t>
      </w:r>
      <w:r w:rsidRPr="002430D2">
        <w:rPr>
          <w:i/>
          <w:iCs/>
        </w:rPr>
        <w:t xml:space="preserve"> </w:t>
      </w:r>
      <w:r w:rsidRPr="002430D2">
        <w:t>2014 (4) SA 124 (CC); 2014 (7) BCLR 741 (CC).</w:t>
      </w:r>
    </w:p>
  </w:footnote>
  <w:footnote w:id="5">
    <w:p w14:paraId="20F168A6" w14:textId="28C6E01E" w:rsidR="009C1C89" w:rsidRPr="002430D2" w:rsidRDefault="009C1C89">
      <w:pPr>
        <w:pStyle w:val="FootnoteText"/>
        <w:rPr>
          <w:lang w:val="en-ZA"/>
        </w:rPr>
      </w:pPr>
      <w:r>
        <w:rPr>
          <w:rStyle w:val="FootnoteReference"/>
        </w:rPr>
        <w:footnoteRef/>
      </w:r>
      <w:r>
        <w:t xml:space="preserve"> </w:t>
      </w:r>
      <w:r w:rsidRPr="005F7A62">
        <w:rPr>
          <w:i/>
          <w:iCs/>
          <w:lang w:val="en-ZA"/>
        </w:rPr>
        <w:t>Beadica</w:t>
      </w:r>
      <w:r>
        <w:rPr>
          <w:lang w:val="en-ZA"/>
        </w:rPr>
        <w:t xml:space="preserve"> para 83.</w:t>
      </w:r>
    </w:p>
  </w:footnote>
  <w:footnote w:id="6">
    <w:p w14:paraId="09504CE1" w14:textId="26100EA6" w:rsidR="0041098C" w:rsidRPr="002430D2" w:rsidRDefault="0041098C">
      <w:pPr>
        <w:pStyle w:val="FootnoteText"/>
        <w:rPr>
          <w:lang w:val="en-ZA"/>
        </w:rPr>
      </w:pPr>
      <w:r>
        <w:rPr>
          <w:rStyle w:val="FootnoteReference"/>
        </w:rPr>
        <w:footnoteRef/>
      </w:r>
      <w:r>
        <w:t xml:space="preserve"> </w:t>
      </w:r>
      <w:r w:rsidR="00306DC4" w:rsidRPr="002430D2">
        <w:rPr>
          <w:lang w:val="en-ZA"/>
        </w:rPr>
        <w:t>Ibid</w:t>
      </w:r>
      <w:r>
        <w:rPr>
          <w:lang w:val="en-ZA"/>
        </w:rPr>
        <w:t xml:space="preserve"> para 87.</w:t>
      </w:r>
    </w:p>
  </w:footnote>
  <w:footnote w:id="7">
    <w:p w14:paraId="493CEB35" w14:textId="26EFA078" w:rsidR="00391090" w:rsidRPr="002430D2" w:rsidRDefault="00391090">
      <w:pPr>
        <w:pStyle w:val="FootnoteText"/>
        <w:rPr>
          <w:lang w:val="en-ZA"/>
        </w:rPr>
      </w:pPr>
      <w:r>
        <w:rPr>
          <w:rStyle w:val="FootnoteReference"/>
        </w:rPr>
        <w:footnoteRef/>
      </w:r>
      <w:r>
        <w:t xml:space="preserve"> </w:t>
      </w:r>
      <w:r w:rsidR="00306DC4" w:rsidRPr="002430D2">
        <w:rPr>
          <w:iCs/>
        </w:rPr>
        <w:t>Ibid</w:t>
      </w:r>
      <w:r w:rsidRPr="002430D2">
        <w:t xml:space="preserve"> para 83.</w:t>
      </w:r>
    </w:p>
  </w:footnote>
  <w:footnote w:id="8">
    <w:p w14:paraId="19428895" w14:textId="35F32AA6" w:rsidR="00824DE7" w:rsidRPr="002430D2" w:rsidRDefault="00824DE7">
      <w:pPr>
        <w:pStyle w:val="FootnoteText"/>
        <w:rPr>
          <w:lang w:val="en-ZA"/>
        </w:rPr>
      </w:pPr>
      <w:r>
        <w:rPr>
          <w:rStyle w:val="FootnoteReference"/>
        </w:rPr>
        <w:footnoteRef/>
      </w:r>
      <w:r>
        <w:t xml:space="preserve"> </w:t>
      </w:r>
      <w:r w:rsidR="00306DC4">
        <w:rPr>
          <w:lang w:val="en-ZA"/>
        </w:rPr>
        <w:t>I</w:t>
      </w:r>
      <w:r w:rsidR="00306DC4" w:rsidRPr="002430D2">
        <w:rPr>
          <w:lang w:val="en-ZA"/>
        </w:rPr>
        <w:t>bid</w:t>
      </w:r>
      <w:r>
        <w:rPr>
          <w:lang w:val="en-ZA"/>
        </w:rPr>
        <w:t xml:space="preserve"> para 81.</w:t>
      </w:r>
    </w:p>
  </w:footnote>
  <w:footnote w:id="9">
    <w:p w14:paraId="4DF98FE7" w14:textId="145E3E28" w:rsidR="00D05CC9" w:rsidRPr="002430D2" w:rsidRDefault="00D05CC9">
      <w:pPr>
        <w:pStyle w:val="FootnoteText"/>
        <w:rPr>
          <w:lang w:val="en-ZA"/>
        </w:rPr>
      </w:pPr>
      <w:r w:rsidRPr="00D05CC9">
        <w:rPr>
          <w:rStyle w:val="FootnoteReference"/>
        </w:rPr>
        <w:footnoteRef/>
      </w:r>
      <w:r w:rsidRPr="00D05CC9">
        <w:t xml:space="preserve"> </w:t>
      </w:r>
      <w:r w:rsidRPr="002430D2">
        <w:rPr>
          <w:i/>
          <w:iCs/>
        </w:rPr>
        <w:t>Haynes v Kingwilliamstown Municipality</w:t>
      </w:r>
      <w:r w:rsidRPr="002430D2">
        <w:t xml:space="preserve"> 1951 (2) SA 371 (A).</w:t>
      </w:r>
    </w:p>
  </w:footnote>
  <w:footnote w:id="10">
    <w:p w14:paraId="23091D2C" w14:textId="336423F8" w:rsidR="00D05CC9" w:rsidRPr="002430D2" w:rsidRDefault="00D05CC9">
      <w:pPr>
        <w:pStyle w:val="FootnoteText"/>
        <w:rPr>
          <w:lang w:val="en-ZA"/>
        </w:rPr>
      </w:pPr>
      <w:r>
        <w:rPr>
          <w:rStyle w:val="FootnoteReference"/>
        </w:rPr>
        <w:footnoteRef/>
      </w:r>
      <w:r>
        <w:t xml:space="preserve"> </w:t>
      </w:r>
      <w:r w:rsidRPr="002430D2">
        <w:rPr>
          <w:i/>
          <w:iCs/>
        </w:rPr>
        <w:t xml:space="preserve">Benson v SA Mutual Life Assurance Society </w:t>
      </w:r>
      <w:r w:rsidRPr="002430D2">
        <w:t>1986 (1) SA 776 (A)</w:t>
      </w:r>
      <w:r w:rsidR="00ED6EDB">
        <w:t>.</w:t>
      </w:r>
    </w:p>
  </w:footnote>
  <w:footnote w:id="11">
    <w:p w14:paraId="0C898800" w14:textId="511B8111" w:rsidR="00ED6EDB" w:rsidRPr="002430D2" w:rsidRDefault="00ED6EDB">
      <w:pPr>
        <w:pStyle w:val="FootnoteText"/>
        <w:rPr>
          <w:lang w:val="en-ZA"/>
        </w:rPr>
      </w:pPr>
      <w:r>
        <w:rPr>
          <w:rStyle w:val="FootnoteReference"/>
        </w:rPr>
        <w:footnoteRef/>
      </w:r>
      <w:r>
        <w:t xml:space="preserve"> </w:t>
      </w:r>
      <w:r w:rsidRPr="002430D2">
        <w:rPr>
          <w:i/>
          <w:iCs/>
        </w:rPr>
        <w:t>Haynes</w:t>
      </w:r>
      <w:r>
        <w:t xml:space="preserve"> at 378H-379A.</w:t>
      </w:r>
    </w:p>
  </w:footnote>
  <w:footnote w:id="12">
    <w:p w14:paraId="57EF219B" w14:textId="5455E31A" w:rsidR="00600EE3" w:rsidRPr="002430D2" w:rsidRDefault="00600EE3">
      <w:pPr>
        <w:pStyle w:val="FootnoteText"/>
        <w:rPr>
          <w:lang w:val="en-ZA"/>
        </w:rPr>
      </w:pPr>
      <w:r>
        <w:rPr>
          <w:rStyle w:val="FootnoteReference"/>
        </w:rPr>
        <w:footnoteRef/>
      </w:r>
      <w:r>
        <w:t xml:space="preserve"> </w:t>
      </w:r>
      <w:r w:rsidRPr="002430D2">
        <w:rPr>
          <w:i/>
          <w:iCs/>
          <w:lang w:val="en-ZA"/>
        </w:rPr>
        <w:t>Schierhout v Minister of Justice</w:t>
      </w:r>
      <w:r>
        <w:rPr>
          <w:lang w:val="en-ZA"/>
        </w:rPr>
        <w:t xml:space="preserve"> 1926 AD 99 at 111.</w:t>
      </w:r>
    </w:p>
  </w:footnote>
  <w:footnote w:id="13">
    <w:p w14:paraId="5C8C2043" w14:textId="493F26FF" w:rsidR="0002437C" w:rsidRPr="002430D2" w:rsidRDefault="0002437C">
      <w:pPr>
        <w:pStyle w:val="FootnoteText"/>
        <w:rPr>
          <w:lang w:val="en-ZA"/>
        </w:rPr>
      </w:pPr>
      <w:r>
        <w:rPr>
          <w:rStyle w:val="FootnoteReference"/>
        </w:rPr>
        <w:footnoteRef/>
      </w:r>
      <w:r>
        <w:t xml:space="preserve"> </w:t>
      </w:r>
      <w:r w:rsidRPr="002430D2">
        <w:rPr>
          <w:i/>
          <w:iCs/>
        </w:rPr>
        <w:t>Farmer’s Co-operative Society v Berry</w:t>
      </w:r>
      <w:r>
        <w:t xml:space="preserve"> 1912 AD 343.</w:t>
      </w:r>
    </w:p>
  </w:footnote>
  <w:footnote w:id="14">
    <w:p w14:paraId="2143FF36" w14:textId="052CA799" w:rsidR="0002437C" w:rsidRPr="002430D2" w:rsidRDefault="0002437C">
      <w:pPr>
        <w:pStyle w:val="FootnoteText"/>
        <w:rPr>
          <w:lang w:val="en-ZA"/>
        </w:rPr>
      </w:pPr>
      <w:r>
        <w:rPr>
          <w:rStyle w:val="FootnoteReference"/>
        </w:rPr>
        <w:footnoteRef/>
      </w:r>
      <w:r>
        <w:t xml:space="preserve"> </w:t>
      </w:r>
      <w:r>
        <w:rPr>
          <w:lang w:val="en-ZA"/>
        </w:rPr>
        <w:t>Ibid at 350-351.</w:t>
      </w:r>
    </w:p>
  </w:footnote>
  <w:footnote w:id="15">
    <w:p w14:paraId="487D30CE" w14:textId="376283AA" w:rsidR="00260D8F" w:rsidRPr="002430D2" w:rsidRDefault="00260D8F">
      <w:pPr>
        <w:pStyle w:val="FootnoteText"/>
        <w:rPr>
          <w:lang w:val="en-ZA"/>
        </w:rPr>
      </w:pPr>
      <w:r>
        <w:rPr>
          <w:rStyle w:val="FootnoteReference"/>
        </w:rPr>
        <w:footnoteRef/>
      </w:r>
      <w:r>
        <w:t xml:space="preserve"> </w:t>
      </w:r>
      <w:r w:rsidRPr="002430D2">
        <w:rPr>
          <w:i/>
          <w:iCs/>
        </w:rPr>
        <w:t>Ras and Others v Simpson</w:t>
      </w:r>
      <w:r>
        <w:t xml:space="preserve"> 1904 TS 254.</w:t>
      </w:r>
    </w:p>
  </w:footnote>
  <w:footnote w:id="16">
    <w:p w14:paraId="45270135" w14:textId="28A30032" w:rsidR="00260D8F" w:rsidRPr="002430D2" w:rsidRDefault="00260D8F">
      <w:pPr>
        <w:pStyle w:val="FootnoteText"/>
        <w:rPr>
          <w:lang w:val="en-ZA"/>
        </w:rPr>
      </w:pPr>
      <w:r>
        <w:rPr>
          <w:rStyle w:val="FootnoteReference"/>
        </w:rPr>
        <w:footnoteRef/>
      </w:r>
      <w:r>
        <w:t xml:space="preserve"> </w:t>
      </w:r>
      <w:r w:rsidRPr="002430D2">
        <w:rPr>
          <w:i/>
          <w:iCs/>
          <w:lang w:val="en-ZA"/>
        </w:rPr>
        <w:t>Leviseur &amp; Co. v highveld Supply Stores</w:t>
      </w:r>
      <w:r>
        <w:rPr>
          <w:lang w:val="en-ZA"/>
        </w:rPr>
        <w:t xml:space="preserve"> 1922 OPD 233.</w:t>
      </w:r>
    </w:p>
  </w:footnote>
  <w:footnote w:id="17">
    <w:p w14:paraId="7DF43242" w14:textId="5B7F5ADF" w:rsidR="007A7B2A" w:rsidRPr="002430D2" w:rsidRDefault="007A7B2A">
      <w:pPr>
        <w:pStyle w:val="FootnoteText"/>
        <w:rPr>
          <w:lang w:val="en-ZA"/>
        </w:rPr>
      </w:pPr>
      <w:r w:rsidRPr="00E31FE1">
        <w:rPr>
          <w:rStyle w:val="FootnoteReference"/>
        </w:rPr>
        <w:footnoteRef/>
      </w:r>
      <w:r w:rsidRPr="00E31FE1">
        <w:t xml:space="preserve"> </w:t>
      </w:r>
      <w:r w:rsidRPr="002430D2">
        <w:rPr>
          <w:i/>
          <w:iCs/>
        </w:rPr>
        <w:t>South African Harness Works v South African Publishers Ltd</w:t>
      </w:r>
      <w:r w:rsidR="00E31FE1" w:rsidRPr="002430D2">
        <w:rPr>
          <w:i/>
          <w:iCs/>
        </w:rPr>
        <w:t xml:space="preserve"> </w:t>
      </w:r>
      <w:r w:rsidR="00E31FE1" w:rsidRPr="002430D2">
        <w:t>1915 CPD 43.</w:t>
      </w:r>
    </w:p>
  </w:footnote>
  <w:footnote w:id="18">
    <w:p w14:paraId="62E99090" w14:textId="2F8A91B9" w:rsidR="007A7B2A" w:rsidRPr="002430D2" w:rsidRDefault="007A7B2A">
      <w:pPr>
        <w:pStyle w:val="FootnoteText"/>
        <w:rPr>
          <w:lang w:val="en-ZA"/>
        </w:rPr>
      </w:pPr>
      <w:r w:rsidRPr="00E31FE1">
        <w:rPr>
          <w:rStyle w:val="FootnoteReference"/>
        </w:rPr>
        <w:footnoteRef/>
      </w:r>
      <w:r w:rsidRPr="00E31FE1">
        <w:t xml:space="preserve"> </w:t>
      </w:r>
      <w:r w:rsidRPr="002430D2">
        <w:rPr>
          <w:i/>
          <w:iCs/>
        </w:rPr>
        <w:t>Industrial and Mercantile Corporation v Anastassiou Brothers</w:t>
      </w:r>
      <w:r w:rsidR="00E31FE1">
        <w:rPr>
          <w:i/>
          <w:iCs/>
        </w:rPr>
        <w:t xml:space="preserve"> </w:t>
      </w:r>
      <w:r w:rsidR="00E31FE1">
        <w:t>1973 (2) SA 601 (W).</w:t>
      </w:r>
    </w:p>
  </w:footnote>
  <w:footnote w:id="19">
    <w:p w14:paraId="7632C9C9" w14:textId="08E4D21F" w:rsidR="007A7B2A" w:rsidRPr="002430D2" w:rsidRDefault="007A7B2A">
      <w:pPr>
        <w:pStyle w:val="FootnoteText"/>
        <w:rPr>
          <w:lang w:val="en-ZA"/>
        </w:rPr>
      </w:pPr>
      <w:r w:rsidRPr="00E31FE1">
        <w:rPr>
          <w:rStyle w:val="FootnoteReference"/>
        </w:rPr>
        <w:footnoteRef/>
      </w:r>
      <w:r w:rsidRPr="00E31FE1">
        <w:t xml:space="preserve"> </w:t>
      </w:r>
      <w:r w:rsidRPr="002430D2">
        <w:rPr>
          <w:i/>
          <w:iCs/>
        </w:rPr>
        <w:t>Unibank Savings and Loans Limited v ABSA Bank Limited</w:t>
      </w:r>
      <w:r w:rsidR="00E31FE1">
        <w:rPr>
          <w:i/>
          <w:iCs/>
        </w:rPr>
        <w:t xml:space="preserve"> </w:t>
      </w:r>
      <w:r w:rsidR="00E31FE1">
        <w:t>2000 (4) SA 191 (W).</w:t>
      </w:r>
    </w:p>
  </w:footnote>
  <w:footnote w:id="20">
    <w:p w14:paraId="493A91C1" w14:textId="517AD3A4" w:rsidR="00955341" w:rsidRPr="002430D2" w:rsidRDefault="00955341">
      <w:pPr>
        <w:pStyle w:val="FootnoteText"/>
        <w:rPr>
          <w:lang w:val="en-ZA"/>
        </w:rPr>
      </w:pPr>
      <w:r>
        <w:rPr>
          <w:rStyle w:val="FootnoteReference"/>
        </w:rPr>
        <w:footnoteRef/>
      </w:r>
      <w:r>
        <w:t xml:space="preserve"> </w:t>
      </w:r>
      <w:r w:rsidRPr="002430D2">
        <w:rPr>
          <w:i/>
          <w:iCs/>
          <w:lang w:val="en-ZA"/>
        </w:rPr>
        <w:t>Morettino v Italian Design Experience CC</w:t>
      </w:r>
      <w:r>
        <w:rPr>
          <w:lang w:val="en-ZA"/>
        </w:rPr>
        <w:t xml:space="preserve"> [2000] 4 All SA 158 (W).</w:t>
      </w:r>
    </w:p>
  </w:footnote>
  <w:footnote w:id="21">
    <w:p w14:paraId="528F2D73" w14:textId="5DD959F5" w:rsidR="003310D4" w:rsidRPr="002430D2" w:rsidRDefault="003310D4">
      <w:pPr>
        <w:pStyle w:val="FootnoteText"/>
        <w:rPr>
          <w:lang w:val="en-ZA"/>
        </w:rPr>
      </w:pPr>
      <w:r>
        <w:rPr>
          <w:rStyle w:val="FootnoteReference"/>
        </w:rPr>
        <w:footnoteRef/>
      </w:r>
      <w:r>
        <w:t xml:space="preserve"> </w:t>
      </w:r>
      <w:r>
        <w:rPr>
          <w:i/>
          <w:iCs/>
        </w:rPr>
        <w:t xml:space="preserve">Haynes </w:t>
      </w:r>
      <w:r w:rsidRPr="002430D2">
        <w:t>at 378H</w:t>
      </w:r>
      <w:r>
        <w:t>.</w:t>
      </w:r>
    </w:p>
  </w:footnote>
  <w:footnote w:id="22">
    <w:p w14:paraId="2C318207" w14:textId="51DD6066" w:rsidR="003310D4" w:rsidRPr="002430D2" w:rsidRDefault="003310D4">
      <w:pPr>
        <w:pStyle w:val="FootnoteText"/>
        <w:rPr>
          <w:lang w:val="en-ZA"/>
        </w:rPr>
      </w:pPr>
      <w:r>
        <w:rPr>
          <w:rStyle w:val="FootnoteReference"/>
        </w:rPr>
        <w:footnoteRef/>
      </w:r>
      <w:r>
        <w:t xml:space="preserve"> </w:t>
      </w:r>
      <w:r>
        <w:rPr>
          <w:i/>
          <w:iCs/>
          <w:lang w:val="en-ZA"/>
        </w:rPr>
        <w:t xml:space="preserve">Benson </w:t>
      </w:r>
      <w:r>
        <w:rPr>
          <w:lang w:val="en-ZA"/>
        </w:rPr>
        <w:t>at 781I-782A.</w:t>
      </w:r>
    </w:p>
  </w:footnote>
  <w:footnote w:id="23">
    <w:p w14:paraId="2BA57F12" w14:textId="481AC916" w:rsidR="003310D4" w:rsidRPr="002430D2" w:rsidRDefault="003310D4">
      <w:pPr>
        <w:pStyle w:val="FootnoteText"/>
        <w:rPr>
          <w:lang w:val="en-ZA"/>
        </w:rPr>
      </w:pPr>
      <w:r>
        <w:rPr>
          <w:rStyle w:val="FootnoteReference"/>
        </w:rPr>
        <w:footnoteRef/>
      </w:r>
      <w:r>
        <w:t xml:space="preserve"> </w:t>
      </w:r>
      <w:r w:rsidRPr="002430D2">
        <w:rPr>
          <w:i/>
          <w:iCs/>
          <w:lang w:val="en-ZA"/>
        </w:rPr>
        <w:t>Benson</w:t>
      </w:r>
      <w:r>
        <w:rPr>
          <w:lang w:val="en-ZA"/>
        </w:rPr>
        <w:t xml:space="preserve"> at 783D.</w:t>
      </w:r>
    </w:p>
  </w:footnote>
  <w:footnote w:id="24">
    <w:p w14:paraId="31D8BDEE" w14:textId="3184FBAA" w:rsidR="003310D4" w:rsidRPr="002430D2" w:rsidRDefault="003310D4">
      <w:pPr>
        <w:pStyle w:val="FootnoteText"/>
        <w:rPr>
          <w:lang w:val="en-ZA"/>
        </w:rPr>
      </w:pPr>
      <w:r>
        <w:rPr>
          <w:rStyle w:val="FootnoteReference"/>
        </w:rPr>
        <w:footnoteRef/>
      </w:r>
      <w:r>
        <w:t xml:space="preserve"> </w:t>
      </w:r>
      <w:r w:rsidRPr="002430D2">
        <w:rPr>
          <w:i/>
          <w:iCs/>
          <w:lang w:val="en-ZA"/>
        </w:rPr>
        <w:t>Beadica</w:t>
      </w:r>
      <w:r>
        <w:rPr>
          <w:lang w:val="en-ZA"/>
        </w:rPr>
        <w:t xml:space="preserve"> para 80.</w:t>
      </w:r>
    </w:p>
  </w:footnote>
  <w:footnote w:id="25">
    <w:p w14:paraId="72DA0933" w14:textId="1D817D67" w:rsidR="000B4B73" w:rsidRPr="002430D2" w:rsidRDefault="000B4B73">
      <w:pPr>
        <w:pStyle w:val="FootnoteText"/>
        <w:rPr>
          <w:lang w:val="en-ZA"/>
        </w:rPr>
      </w:pPr>
      <w:r>
        <w:rPr>
          <w:rStyle w:val="FootnoteReference"/>
        </w:rPr>
        <w:footnoteRef/>
      </w:r>
      <w:r>
        <w:t xml:space="preserve"> </w:t>
      </w:r>
      <w:r w:rsidRPr="002430D2">
        <w:rPr>
          <w:i/>
          <w:iCs/>
          <w:lang w:val="en-ZA"/>
        </w:rPr>
        <w:t>Beadica</w:t>
      </w:r>
      <w:r>
        <w:rPr>
          <w:lang w:val="en-ZA"/>
        </w:rPr>
        <w:t xml:space="preserve"> para 81; </w:t>
      </w:r>
      <w:r>
        <w:rPr>
          <w:i/>
          <w:iCs/>
          <w:lang w:val="en-ZA"/>
        </w:rPr>
        <w:t xml:space="preserve">Sasfin (Pty) Ltd v Beukes </w:t>
      </w:r>
      <w:r>
        <w:rPr>
          <w:lang w:val="en-ZA"/>
        </w:rPr>
        <w:t>[1988] ZASCA 94; [1989] 1 A</w:t>
      </w:r>
      <w:r w:rsidR="00306DC4">
        <w:rPr>
          <w:lang w:val="en-ZA"/>
        </w:rPr>
        <w:t>ll</w:t>
      </w:r>
      <w:r>
        <w:rPr>
          <w:lang w:val="en-ZA"/>
        </w:rPr>
        <w:t xml:space="preserve"> SA 347 (A); 1989 (1) SA 1 (A) at 9C-D</w:t>
      </w:r>
      <w:r w:rsidR="00306DC4">
        <w:rPr>
          <w:lang w:val="en-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57077772"/>
      <w:docPartObj>
        <w:docPartGallery w:val="Page Numbers (Top of Page)"/>
        <w:docPartUnique/>
      </w:docPartObj>
    </w:sdtPr>
    <w:sdtEndPr>
      <w:rPr>
        <w:rStyle w:val="PageNumber"/>
      </w:rPr>
    </w:sdtEndPr>
    <w:sdtContent>
      <w:p w14:paraId="2E4B9552" w14:textId="04A0C776" w:rsidR="00084586" w:rsidRDefault="00084586" w:rsidP="005C2FF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AE1440" w14:textId="77777777" w:rsidR="00084586" w:rsidRDefault="00084586" w:rsidP="0008458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36425"/>
      <w:docPartObj>
        <w:docPartGallery w:val="Page Numbers (Top of Page)"/>
        <w:docPartUnique/>
      </w:docPartObj>
    </w:sdtPr>
    <w:sdtEndPr>
      <w:rPr>
        <w:noProof/>
      </w:rPr>
    </w:sdtEndPr>
    <w:sdtContent>
      <w:p w14:paraId="10E297BD" w14:textId="44B6A816" w:rsidR="00266D54" w:rsidRDefault="00266D54">
        <w:pPr>
          <w:pStyle w:val="Header"/>
          <w:jc w:val="right"/>
        </w:pPr>
        <w:r>
          <w:fldChar w:fldCharType="begin"/>
        </w:r>
        <w:r>
          <w:instrText xml:space="preserve"> PAGE   \* MERGEFORMAT </w:instrText>
        </w:r>
        <w:r>
          <w:fldChar w:fldCharType="separate"/>
        </w:r>
        <w:r w:rsidR="004C62E5">
          <w:rPr>
            <w:noProof/>
          </w:rPr>
          <w:t>3</w:t>
        </w:r>
        <w:r>
          <w:rPr>
            <w:noProof/>
          </w:rPr>
          <w:fldChar w:fldCharType="end"/>
        </w:r>
      </w:p>
    </w:sdtContent>
  </w:sdt>
  <w:p w14:paraId="2D6606A8" w14:textId="77777777" w:rsidR="00CD5360" w:rsidRDefault="00CD53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E7929"/>
    <w:multiLevelType w:val="hybridMultilevel"/>
    <w:tmpl w:val="CDACD8AE"/>
    <w:lvl w:ilvl="0" w:tplc="4A448992">
      <w:start w:val="1"/>
      <w:numFmt w:val="decimal"/>
      <w:lvlText w:val="[%1]"/>
      <w:lvlJc w:val="left"/>
      <w:pPr>
        <w:ind w:left="0" w:firstLine="0"/>
      </w:pPr>
      <w:rPr>
        <w:rFonts w:ascii="Times New Roman" w:hAnsi="Times New Roman" w:cs="Times New Roman" w:hint="default"/>
        <w:b w:val="0"/>
        <w:bCs w:val="0"/>
        <w:i w:val="0"/>
        <w:iCs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6B7BFD"/>
    <w:multiLevelType w:val="hybridMultilevel"/>
    <w:tmpl w:val="A7AA924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5DC5C3E"/>
    <w:multiLevelType w:val="hybridMultilevel"/>
    <w:tmpl w:val="B8B817CE"/>
    <w:lvl w:ilvl="0" w:tplc="D28A9738">
      <w:start w:val="1"/>
      <w:numFmt w:val="lowerLetter"/>
      <w:lvlText w:val="(%1)"/>
      <w:lvlJc w:val="left"/>
      <w:pPr>
        <w:ind w:left="720" w:hanging="360"/>
      </w:pPr>
      <w:rPr>
        <w:rFonts w:hint="default"/>
        <w:sz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7EF55C7"/>
    <w:multiLevelType w:val="hybridMultilevel"/>
    <w:tmpl w:val="EB547CF0"/>
    <w:lvl w:ilvl="0" w:tplc="2BBEA5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7C462A"/>
    <w:multiLevelType w:val="hybridMultilevel"/>
    <w:tmpl w:val="1B04B3B2"/>
    <w:lvl w:ilvl="0" w:tplc="D28A9738">
      <w:start w:val="1"/>
      <w:numFmt w:val="lowerLetter"/>
      <w:lvlText w:val="(%1)"/>
      <w:lvlJc w:val="left"/>
      <w:pPr>
        <w:ind w:left="720" w:hanging="360"/>
      </w:pPr>
      <w:rPr>
        <w:rFonts w:hint="default"/>
        <w:sz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32C733B"/>
    <w:multiLevelType w:val="hybridMultilevel"/>
    <w:tmpl w:val="B5DC544A"/>
    <w:lvl w:ilvl="0" w:tplc="83DC15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125C4D"/>
    <w:multiLevelType w:val="hybridMultilevel"/>
    <w:tmpl w:val="72E8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AA4903"/>
    <w:multiLevelType w:val="hybridMultilevel"/>
    <w:tmpl w:val="A4AA76F0"/>
    <w:lvl w:ilvl="0" w:tplc="1C090017">
      <w:start w:val="4"/>
      <w:numFmt w:val="lowerLetter"/>
      <w:lvlText w:val="%1)"/>
      <w:lvlJc w:val="left"/>
      <w:pPr>
        <w:ind w:left="2858" w:hanging="360"/>
      </w:pPr>
      <w:rPr>
        <w:rFonts w:hint="default"/>
      </w:rPr>
    </w:lvl>
    <w:lvl w:ilvl="1" w:tplc="1C090019" w:tentative="1">
      <w:start w:val="1"/>
      <w:numFmt w:val="lowerLetter"/>
      <w:lvlText w:val="%2."/>
      <w:lvlJc w:val="left"/>
      <w:pPr>
        <w:ind w:left="3578" w:hanging="360"/>
      </w:pPr>
    </w:lvl>
    <w:lvl w:ilvl="2" w:tplc="1C09001B" w:tentative="1">
      <w:start w:val="1"/>
      <w:numFmt w:val="lowerRoman"/>
      <w:lvlText w:val="%3."/>
      <w:lvlJc w:val="right"/>
      <w:pPr>
        <w:ind w:left="4298" w:hanging="180"/>
      </w:pPr>
    </w:lvl>
    <w:lvl w:ilvl="3" w:tplc="1C09000F" w:tentative="1">
      <w:start w:val="1"/>
      <w:numFmt w:val="decimal"/>
      <w:lvlText w:val="%4."/>
      <w:lvlJc w:val="left"/>
      <w:pPr>
        <w:ind w:left="5018" w:hanging="360"/>
      </w:pPr>
    </w:lvl>
    <w:lvl w:ilvl="4" w:tplc="1C090019" w:tentative="1">
      <w:start w:val="1"/>
      <w:numFmt w:val="lowerLetter"/>
      <w:lvlText w:val="%5."/>
      <w:lvlJc w:val="left"/>
      <w:pPr>
        <w:ind w:left="5738" w:hanging="360"/>
      </w:pPr>
    </w:lvl>
    <w:lvl w:ilvl="5" w:tplc="1C09001B" w:tentative="1">
      <w:start w:val="1"/>
      <w:numFmt w:val="lowerRoman"/>
      <w:lvlText w:val="%6."/>
      <w:lvlJc w:val="right"/>
      <w:pPr>
        <w:ind w:left="6458" w:hanging="180"/>
      </w:pPr>
    </w:lvl>
    <w:lvl w:ilvl="6" w:tplc="1C09000F" w:tentative="1">
      <w:start w:val="1"/>
      <w:numFmt w:val="decimal"/>
      <w:lvlText w:val="%7."/>
      <w:lvlJc w:val="left"/>
      <w:pPr>
        <w:ind w:left="7178" w:hanging="360"/>
      </w:pPr>
    </w:lvl>
    <w:lvl w:ilvl="7" w:tplc="1C090019" w:tentative="1">
      <w:start w:val="1"/>
      <w:numFmt w:val="lowerLetter"/>
      <w:lvlText w:val="%8."/>
      <w:lvlJc w:val="left"/>
      <w:pPr>
        <w:ind w:left="7898" w:hanging="360"/>
      </w:pPr>
    </w:lvl>
    <w:lvl w:ilvl="8" w:tplc="1C09001B" w:tentative="1">
      <w:start w:val="1"/>
      <w:numFmt w:val="lowerRoman"/>
      <w:lvlText w:val="%9."/>
      <w:lvlJc w:val="right"/>
      <w:pPr>
        <w:ind w:left="8618" w:hanging="180"/>
      </w:pPr>
    </w:lvl>
  </w:abstractNum>
  <w:abstractNum w:abstractNumId="8">
    <w:nsid w:val="6E2F3DA3"/>
    <w:multiLevelType w:val="hybridMultilevel"/>
    <w:tmpl w:val="AC303B2C"/>
    <w:lvl w:ilvl="0" w:tplc="D28A9738">
      <w:start w:val="1"/>
      <w:numFmt w:val="lowerLetter"/>
      <w:lvlText w:val="(%1)"/>
      <w:lvlJc w:val="left"/>
      <w:pPr>
        <w:ind w:left="720" w:hanging="360"/>
      </w:pPr>
      <w:rPr>
        <w:rFonts w:hint="default"/>
        <w:sz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EE52590"/>
    <w:multiLevelType w:val="hybridMultilevel"/>
    <w:tmpl w:val="8D3CC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9D192D"/>
    <w:multiLevelType w:val="hybridMultilevel"/>
    <w:tmpl w:val="3662BCF2"/>
    <w:lvl w:ilvl="0" w:tplc="A19EAE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5"/>
  </w:num>
  <w:num w:numId="5">
    <w:abstractNumId w:val="3"/>
  </w:num>
  <w:num w:numId="6">
    <w:abstractNumId w:val="0"/>
  </w:num>
  <w:num w:numId="7">
    <w:abstractNumId w:val="6"/>
  </w:num>
  <w:num w:numId="8">
    <w:abstractNumId w:val="2"/>
  </w:num>
  <w:num w:numId="9">
    <w:abstractNumId w:val="10"/>
  </w:num>
  <w:num w:numId="10">
    <w:abstractNumId w:val="4"/>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8FD"/>
    <w:rsid w:val="0000222F"/>
    <w:rsid w:val="00002917"/>
    <w:rsid w:val="00014A67"/>
    <w:rsid w:val="00020F35"/>
    <w:rsid w:val="00022E63"/>
    <w:rsid w:val="0002437C"/>
    <w:rsid w:val="000317EB"/>
    <w:rsid w:val="000537EC"/>
    <w:rsid w:val="0005444E"/>
    <w:rsid w:val="000658C2"/>
    <w:rsid w:val="00065FF1"/>
    <w:rsid w:val="00077AD7"/>
    <w:rsid w:val="00081EC4"/>
    <w:rsid w:val="00084586"/>
    <w:rsid w:val="0008621D"/>
    <w:rsid w:val="00090648"/>
    <w:rsid w:val="000A2062"/>
    <w:rsid w:val="000A74E1"/>
    <w:rsid w:val="000B3E83"/>
    <w:rsid w:val="000B4B73"/>
    <w:rsid w:val="000C4CC0"/>
    <w:rsid w:val="000C7C39"/>
    <w:rsid w:val="000D3B86"/>
    <w:rsid w:val="000D7E6F"/>
    <w:rsid w:val="000E32B9"/>
    <w:rsid w:val="000F1A82"/>
    <w:rsid w:val="000F2996"/>
    <w:rsid w:val="000F503C"/>
    <w:rsid w:val="000F66AA"/>
    <w:rsid w:val="000F6B86"/>
    <w:rsid w:val="000F7DBF"/>
    <w:rsid w:val="00105026"/>
    <w:rsid w:val="001057FE"/>
    <w:rsid w:val="00113894"/>
    <w:rsid w:val="0012465E"/>
    <w:rsid w:val="001248DD"/>
    <w:rsid w:val="00136369"/>
    <w:rsid w:val="0014063B"/>
    <w:rsid w:val="00144C3F"/>
    <w:rsid w:val="00146F8D"/>
    <w:rsid w:val="001537FE"/>
    <w:rsid w:val="001538AF"/>
    <w:rsid w:val="00153D69"/>
    <w:rsid w:val="00155774"/>
    <w:rsid w:val="0016038E"/>
    <w:rsid w:val="00163ED7"/>
    <w:rsid w:val="00176285"/>
    <w:rsid w:val="0019712D"/>
    <w:rsid w:val="001A724C"/>
    <w:rsid w:val="001A7EE6"/>
    <w:rsid w:val="001B01AE"/>
    <w:rsid w:val="001B334A"/>
    <w:rsid w:val="001C219E"/>
    <w:rsid w:val="001E2B08"/>
    <w:rsid w:val="001E4376"/>
    <w:rsid w:val="001E6B2F"/>
    <w:rsid w:val="001F155D"/>
    <w:rsid w:val="00202EF3"/>
    <w:rsid w:val="002035A9"/>
    <w:rsid w:val="00205725"/>
    <w:rsid w:val="00206677"/>
    <w:rsid w:val="00210BD3"/>
    <w:rsid w:val="00215E66"/>
    <w:rsid w:val="002205BE"/>
    <w:rsid w:val="00242905"/>
    <w:rsid w:val="002430D2"/>
    <w:rsid w:val="00251E82"/>
    <w:rsid w:val="002541C8"/>
    <w:rsid w:val="00260D8F"/>
    <w:rsid w:val="00265893"/>
    <w:rsid w:val="00266D54"/>
    <w:rsid w:val="00273A7C"/>
    <w:rsid w:val="00281AAE"/>
    <w:rsid w:val="002827E3"/>
    <w:rsid w:val="00284022"/>
    <w:rsid w:val="00284EB5"/>
    <w:rsid w:val="00293FE6"/>
    <w:rsid w:val="002C3F52"/>
    <w:rsid w:val="002D65E9"/>
    <w:rsid w:val="002E5122"/>
    <w:rsid w:val="00302448"/>
    <w:rsid w:val="00306DC4"/>
    <w:rsid w:val="00312297"/>
    <w:rsid w:val="00324031"/>
    <w:rsid w:val="003240DE"/>
    <w:rsid w:val="00324882"/>
    <w:rsid w:val="003310D4"/>
    <w:rsid w:val="0034034B"/>
    <w:rsid w:val="003435F2"/>
    <w:rsid w:val="0034474E"/>
    <w:rsid w:val="00350E5D"/>
    <w:rsid w:val="00353657"/>
    <w:rsid w:val="00360AF6"/>
    <w:rsid w:val="003771B9"/>
    <w:rsid w:val="00381953"/>
    <w:rsid w:val="00386573"/>
    <w:rsid w:val="00390978"/>
    <w:rsid w:val="00391090"/>
    <w:rsid w:val="003A0275"/>
    <w:rsid w:val="003A07CF"/>
    <w:rsid w:val="003A4268"/>
    <w:rsid w:val="003A5EDE"/>
    <w:rsid w:val="003C2997"/>
    <w:rsid w:val="003C3D2C"/>
    <w:rsid w:val="003D114A"/>
    <w:rsid w:val="003E3556"/>
    <w:rsid w:val="003F0EB6"/>
    <w:rsid w:val="003F13AE"/>
    <w:rsid w:val="003F749C"/>
    <w:rsid w:val="0040596C"/>
    <w:rsid w:val="00406808"/>
    <w:rsid w:val="0041098C"/>
    <w:rsid w:val="00424C42"/>
    <w:rsid w:val="004539AB"/>
    <w:rsid w:val="0045636F"/>
    <w:rsid w:val="00457B87"/>
    <w:rsid w:val="00461AEE"/>
    <w:rsid w:val="004651C1"/>
    <w:rsid w:val="004676DC"/>
    <w:rsid w:val="00470994"/>
    <w:rsid w:val="0047108E"/>
    <w:rsid w:val="004748FD"/>
    <w:rsid w:val="00476132"/>
    <w:rsid w:val="00477DA5"/>
    <w:rsid w:val="00480AB8"/>
    <w:rsid w:val="004853A9"/>
    <w:rsid w:val="00492E04"/>
    <w:rsid w:val="00495808"/>
    <w:rsid w:val="004A4B04"/>
    <w:rsid w:val="004B4B21"/>
    <w:rsid w:val="004C62E5"/>
    <w:rsid w:val="004D6552"/>
    <w:rsid w:val="00503C24"/>
    <w:rsid w:val="00504AC9"/>
    <w:rsid w:val="005105D1"/>
    <w:rsid w:val="0051397C"/>
    <w:rsid w:val="00523FCD"/>
    <w:rsid w:val="00531B90"/>
    <w:rsid w:val="0053691E"/>
    <w:rsid w:val="00546451"/>
    <w:rsid w:val="0055497F"/>
    <w:rsid w:val="005647F2"/>
    <w:rsid w:val="00575258"/>
    <w:rsid w:val="00576198"/>
    <w:rsid w:val="00576FD2"/>
    <w:rsid w:val="00587A7B"/>
    <w:rsid w:val="005A095E"/>
    <w:rsid w:val="005A2EEF"/>
    <w:rsid w:val="005A39CA"/>
    <w:rsid w:val="005A5297"/>
    <w:rsid w:val="005A5A4B"/>
    <w:rsid w:val="005A5E4F"/>
    <w:rsid w:val="005B1205"/>
    <w:rsid w:val="005B24CB"/>
    <w:rsid w:val="005B37A4"/>
    <w:rsid w:val="005B7CD5"/>
    <w:rsid w:val="005C3F1C"/>
    <w:rsid w:val="005C689B"/>
    <w:rsid w:val="005E4A10"/>
    <w:rsid w:val="005E4C99"/>
    <w:rsid w:val="005E6E01"/>
    <w:rsid w:val="005F3FF6"/>
    <w:rsid w:val="00600EE3"/>
    <w:rsid w:val="00602A02"/>
    <w:rsid w:val="00615814"/>
    <w:rsid w:val="006169A0"/>
    <w:rsid w:val="00621BBA"/>
    <w:rsid w:val="00624DDC"/>
    <w:rsid w:val="006314C8"/>
    <w:rsid w:val="00634482"/>
    <w:rsid w:val="00641630"/>
    <w:rsid w:val="0064421A"/>
    <w:rsid w:val="006453C4"/>
    <w:rsid w:val="00647B54"/>
    <w:rsid w:val="00652907"/>
    <w:rsid w:val="006547B1"/>
    <w:rsid w:val="00663312"/>
    <w:rsid w:val="00665671"/>
    <w:rsid w:val="00671F3B"/>
    <w:rsid w:val="0067706B"/>
    <w:rsid w:val="0069018D"/>
    <w:rsid w:val="006A3081"/>
    <w:rsid w:val="006B1A30"/>
    <w:rsid w:val="006C1566"/>
    <w:rsid w:val="006C6570"/>
    <w:rsid w:val="006E13C9"/>
    <w:rsid w:val="007046CC"/>
    <w:rsid w:val="007107F5"/>
    <w:rsid w:val="007279F4"/>
    <w:rsid w:val="007337C9"/>
    <w:rsid w:val="00735B5B"/>
    <w:rsid w:val="0074562C"/>
    <w:rsid w:val="0075028A"/>
    <w:rsid w:val="00767C35"/>
    <w:rsid w:val="00773587"/>
    <w:rsid w:val="007752FF"/>
    <w:rsid w:val="007768F8"/>
    <w:rsid w:val="007769BE"/>
    <w:rsid w:val="0078442A"/>
    <w:rsid w:val="007952C9"/>
    <w:rsid w:val="007A1492"/>
    <w:rsid w:val="007A7299"/>
    <w:rsid w:val="007A7B2A"/>
    <w:rsid w:val="007B4EE0"/>
    <w:rsid w:val="007C3517"/>
    <w:rsid w:val="007C5333"/>
    <w:rsid w:val="007D33AD"/>
    <w:rsid w:val="007D6F3B"/>
    <w:rsid w:val="007E45D3"/>
    <w:rsid w:val="007F1143"/>
    <w:rsid w:val="007F3CED"/>
    <w:rsid w:val="00801B65"/>
    <w:rsid w:val="008215E3"/>
    <w:rsid w:val="00824DE7"/>
    <w:rsid w:val="00825839"/>
    <w:rsid w:val="00825895"/>
    <w:rsid w:val="0083404F"/>
    <w:rsid w:val="00834284"/>
    <w:rsid w:val="00835646"/>
    <w:rsid w:val="008365B4"/>
    <w:rsid w:val="0084363F"/>
    <w:rsid w:val="0084485B"/>
    <w:rsid w:val="00856B66"/>
    <w:rsid w:val="008621ED"/>
    <w:rsid w:val="008907DB"/>
    <w:rsid w:val="0089531D"/>
    <w:rsid w:val="008A43E4"/>
    <w:rsid w:val="008A6F06"/>
    <w:rsid w:val="008B2FF0"/>
    <w:rsid w:val="008B31BF"/>
    <w:rsid w:val="008B4FF6"/>
    <w:rsid w:val="008C19FF"/>
    <w:rsid w:val="008D0278"/>
    <w:rsid w:val="008D738D"/>
    <w:rsid w:val="008F0C43"/>
    <w:rsid w:val="00900EC1"/>
    <w:rsid w:val="00921427"/>
    <w:rsid w:val="009229C0"/>
    <w:rsid w:val="0093238A"/>
    <w:rsid w:val="009354AD"/>
    <w:rsid w:val="009440EC"/>
    <w:rsid w:val="00955341"/>
    <w:rsid w:val="009572A5"/>
    <w:rsid w:val="00962D5B"/>
    <w:rsid w:val="0096502A"/>
    <w:rsid w:val="00983E53"/>
    <w:rsid w:val="00987892"/>
    <w:rsid w:val="009952D8"/>
    <w:rsid w:val="009A2AF6"/>
    <w:rsid w:val="009A64CA"/>
    <w:rsid w:val="009B0C5F"/>
    <w:rsid w:val="009B4D70"/>
    <w:rsid w:val="009C1C89"/>
    <w:rsid w:val="009C5CC1"/>
    <w:rsid w:val="009D5469"/>
    <w:rsid w:val="009D6766"/>
    <w:rsid w:val="009E15B6"/>
    <w:rsid w:val="009E268D"/>
    <w:rsid w:val="009E354F"/>
    <w:rsid w:val="009E3CCD"/>
    <w:rsid w:val="009F2BDC"/>
    <w:rsid w:val="009F3076"/>
    <w:rsid w:val="00A10CA8"/>
    <w:rsid w:val="00A11080"/>
    <w:rsid w:val="00A1369D"/>
    <w:rsid w:val="00A16C32"/>
    <w:rsid w:val="00A313FF"/>
    <w:rsid w:val="00A31AEF"/>
    <w:rsid w:val="00A32533"/>
    <w:rsid w:val="00A346DD"/>
    <w:rsid w:val="00A35147"/>
    <w:rsid w:val="00A3528E"/>
    <w:rsid w:val="00A3607C"/>
    <w:rsid w:val="00A50A36"/>
    <w:rsid w:val="00A51272"/>
    <w:rsid w:val="00A53CF0"/>
    <w:rsid w:val="00A6364B"/>
    <w:rsid w:val="00A807A5"/>
    <w:rsid w:val="00A870D6"/>
    <w:rsid w:val="00A90ECD"/>
    <w:rsid w:val="00A93657"/>
    <w:rsid w:val="00A979A4"/>
    <w:rsid w:val="00AA5BD9"/>
    <w:rsid w:val="00AB5CFA"/>
    <w:rsid w:val="00AB6985"/>
    <w:rsid w:val="00AB6A86"/>
    <w:rsid w:val="00AC07E1"/>
    <w:rsid w:val="00AC3A87"/>
    <w:rsid w:val="00AD20BF"/>
    <w:rsid w:val="00AD7D1D"/>
    <w:rsid w:val="00AE6CA5"/>
    <w:rsid w:val="00AF18FD"/>
    <w:rsid w:val="00B03C20"/>
    <w:rsid w:val="00B042F3"/>
    <w:rsid w:val="00B077E2"/>
    <w:rsid w:val="00B146EA"/>
    <w:rsid w:val="00B26CEB"/>
    <w:rsid w:val="00B35DEE"/>
    <w:rsid w:val="00B40F0A"/>
    <w:rsid w:val="00B41043"/>
    <w:rsid w:val="00B414AE"/>
    <w:rsid w:val="00B4279D"/>
    <w:rsid w:val="00B512DC"/>
    <w:rsid w:val="00B533B6"/>
    <w:rsid w:val="00B5549B"/>
    <w:rsid w:val="00B63BB3"/>
    <w:rsid w:val="00B75D2E"/>
    <w:rsid w:val="00B81B67"/>
    <w:rsid w:val="00B83C76"/>
    <w:rsid w:val="00B8404A"/>
    <w:rsid w:val="00B87DB7"/>
    <w:rsid w:val="00B87EB4"/>
    <w:rsid w:val="00B92723"/>
    <w:rsid w:val="00B92E1E"/>
    <w:rsid w:val="00B94E10"/>
    <w:rsid w:val="00B97F0C"/>
    <w:rsid w:val="00BA23E3"/>
    <w:rsid w:val="00BA24B3"/>
    <w:rsid w:val="00BB2C1F"/>
    <w:rsid w:val="00BB6DC5"/>
    <w:rsid w:val="00BC41E4"/>
    <w:rsid w:val="00BD5EBC"/>
    <w:rsid w:val="00BE6B11"/>
    <w:rsid w:val="00BF4034"/>
    <w:rsid w:val="00BF61D4"/>
    <w:rsid w:val="00C10BE8"/>
    <w:rsid w:val="00C12C70"/>
    <w:rsid w:val="00C12D35"/>
    <w:rsid w:val="00C148B6"/>
    <w:rsid w:val="00C15B94"/>
    <w:rsid w:val="00C23F13"/>
    <w:rsid w:val="00C26103"/>
    <w:rsid w:val="00C35618"/>
    <w:rsid w:val="00C3593F"/>
    <w:rsid w:val="00C3595E"/>
    <w:rsid w:val="00C40D98"/>
    <w:rsid w:val="00C44559"/>
    <w:rsid w:val="00C47E00"/>
    <w:rsid w:val="00C52272"/>
    <w:rsid w:val="00C67AD9"/>
    <w:rsid w:val="00C70CF5"/>
    <w:rsid w:val="00C71F47"/>
    <w:rsid w:val="00C81970"/>
    <w:rsid w:val="00C838C6"/>
    <w:rsid w:val="00C8498D"/>
    <w:rsid w:val="00C90C96"/>
    <w:rsid w:val="00C91680"/>
    <w:rsid w:val="00C943F8"/>
    <w:rsid w:val="00CB6DAA"/>
    <w:rsid w:val="00CC2E9B"/>
    <w:rsid w:val="00CC50F8"/>
    <w:rsid w:val="00CC7132"/>
    <w:rsid w:val="00CC78E7"/>
    <w:rsid w:val="00CD5360"/>
    <w:rsid w:val="00CE13A2"/>
    <w:rsid w:val="00CE3F2F"/>
    <w:rsid w:val="00CE5DC0"/>
    <w:rsid w:val="00CF223F"/>
    <w:rsid w:val="00D007A6"/>
    <w:rsid w:val="00D01016"/>
    <w:rsid w:val="00D03FF3"/>
    <w:rsid w:val="00D05CC9"/>
    <w:rsid w:val="00D2414C"/>
    <w:rsid w:val="00D300A2"/>
    <w:rsid w:val="00D3269B"/>
    <w:rsid w:val="00D34CF2"/>
    <w:rsid w:val="00D45EDF"/>
    <w:rsid w:val="00D517C5"/>
    <w:rsid w:val="00D620D9"/>
    <w:rsid w:val="00D6629F"/>
    <w:rsid w:val="00D90C18"/>
    <w:rsid w:val="00DB6ACF"/>
    <w:rsid w:val="00DC1A08"/>
    <w:rsid w:val="00DC3414"/>
    <w:rsid w:val="00DC61AD"/>
    <w:rsid w:val="00DD4856"/>
    <w:rsid w:val="00DD6236"/>
    <w:rsid w:val="00DD6B3B"/>
    <w:rsid w:val="00DD7FE3"/>
    <w:rsid w:val="00DE1A63"/>
    <w:rsid w:val="00DF1263"/>
    <w:rsid w:val="00DF189E"/>
    <w:rsid w:val="00DF2BD9"/>
    <w:rsid w:val="00DF5BE7"/>
    <w:rsid w:val="00E00BFD"/>
    <w:rsid w:val="00E1370D"/>
    <w:rsid w:val="00E13E26"/>
    <w:rsid w:val="00E1646A"/>
    <w:rsid w:val="00E210FA"/>
    <w:rsid w:val="00E31FE1"/>
    <w:rsid w:val="00E512E6"/>
    <w:rsid w:val="00E52835"/>
    <w:rsid w:val="00E62A3D"/>
    <w:rsid w:val="00E70299"/>
    <w:rsid w:val="00E767F3"/>
    <w:rsid w:val="00E84520"/>
    <w:rsid w:val="00E87B01"/>
    <w:rsid w:val="00E93D32"/>
    <w:rsid w:val="00EA125C"/>
    <w:rsid w:val="00EA2339"/>
    <w:rsid w:val="00EA48F8"/>
    <w:rsid w:val="00EA5901"/>
    <w:rsid w:val="00EB5854"/>
    <w:rsid w:val="00EB7FAE"/>
    <w:rsid w:val="00EC1DB0"/>
    <w:rsid w:val="00EC5327"/>
    <w:rsid w:val="00EC6BC2"/>
    <w:rsid w:val="00ED0DF2"/>
    <w:rsid w:val="00ED18C5"/>
    <w:rsid w:val="00ED3D99"/>
    <w:rsid w:val="00ED6EDB"/>
    <w:rsid w:val="00EE1C01"/>
    <w:rsid w:val="00EF3106"/>
    <w:rsid w:val="00F03E5F"/>
    <w:rsid w:val="00F041E3"/>
    <w:rsid w:val="00F07611"/>
    <w:rsid w:val="00F1091B"/>
    <w:rsid w:val="00F13EF5"/>
    <w:rsid w:val="00F1451B"/>
    <w:rsid w:val="00F222C5"/>
    <w:rsid w:val="00F23599"/>
    <w:rsid w:val="00F3782D"/>
    <w:rsid w:val="00F44300"/>
    <w:rsid w:val="00F479EB"/>
    <w:rsid w:val="00F6001E"/>
    <w:rsid w:val="00F61CB6"/>
    <w:rsid w:val="00F63069"/>
    <w:rsid w:val="00F6453D"/>
    <w:rsid w:val="00F678FE"/>
    <w:rsid w:val="00F67E8D"/>
    <w:rsid w:val="00F71706"/>
    <w:rsid w:val="00F725D2"/>
    <w:rsid w:val="00F7750F"/>
    <w:rsid w:val="00F87758"/>
    <w:rsid w:val="00F937CF"/>
    <w:rsid w:val="00FA4510"/>
    <w:rsid w:val="00FB7856"/>
    <w:rsid w:val="00FE2587"/>
    <w:rsid w:val="00FE7BE7"/>
    <w:rsid w:val="00FF4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59763"/>
  <w15:chartTrackingRefBased/>
  <w15:docId w15:val="{32F66769-7A7A-46E3-9405-6C1988CB7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8F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F18FD"/>
    <w:pPr>
      <w:keepNext/>
      <w:spacing w:line="360" w:lineRule="auto"/>
      <w:outlineLvl w:val="0"/>
    </w:pPr>
    <w:rPr>
      <w:rFonts w:ascii="Arial" w:hAnsi="Arial" w:cs="Arial"/>
      <w:b/>
      <w:bCs/>
      <w:sz w:val="28"/>
    </w:rPr>
  </w:style>
  <w:style w:type="paragraph" w:styleId="Heading3">
    <w:name w:val="heading 3"/>
    <w:basedOn w:val="Normal"/>
    <w:next w:val="Normal"/>
    <w:link w:val="Heading3Char"/>
    <w:semiHidden/>
    <w:unhideWhenUsed/>
    <w:qFormat/>
    <w:rsid w:val="00AF18FD"/>
    <w:pPr>
      <w:keepNext/>
      <w:spacing w:line="360" w:lineRule="auto"/>
      <w:jc w:val="both"/>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18FD"/>
    <w:rPr>
      <w:rFonts w:ascii="Arial" w:eastAsia="Times New Roman" w:hAnsi="Arial" w:cs="Arial"/>
      <w:b/>
      <w:bCs/>
      <w:sz w:val="28"/>
      <w:szCs w:val="24"/>
      <w:lang w:val="en-GB"/>
    </w:rPr>
  </w:style>
  <w:style w:type="character" w:customStyle="1" w:styleId="Heading3Char">
    <w:name w:val="Heading 3 Char"/>
    <w:basedOn w:val="DefaultParagraphFont"/>
    <w:link w:val="Heading3"/>
    <w:semiHidden/>
    <w:rsid w:val="00AF18FD"/>
    <w:rPr>
      <w:rFonts w:ascii="Arial" w:eastAsia="Times New Roman" w:hAnsi="Arial" w:cs="Arial"/>
      <w:i/>
      <w:iCs/>
      <w:sz w:val="28"/>
      <w:szCs w:val="24"/>
      <w:lang w:val="en-GB"/>
    </w:rPr>
  </w:style>
  <w:style w:type="paragraph" w:styleId="FootnoteText">
    <w:name w:val="footnote text"/>
    <w:basedOn w:val="Normal"/>
    <w:link w:val="FootnoteTextChar"/>
    <w:uiPriority w:val="99"/>
    <w:semiHidden/>
    <w:unhideWhenUsed/>
    <w:rsid w:val="00AF18FD"/>
    <w:rPr>
      <w:sz w:val="20"/>
      <w:szCs w:val="20"/>
    </w:rPr>
  </w:style>
  <w:style w:type="character" w:customStyle="1" w:styleId="FootnoteTextChar">
    <w:name w:val="Footnote Text Char"/>
    <w:basedOn w:val="DefaultParagraphFont"/>
    <w:link w:val="FootnoteText"/>
    <w:uiPriority w:val="99"/>
    <w:semiHidden/>
    <w:rsid w:val="00AF18FD"/>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AF18FD"/>
    <w:pPr>
      <w:ind w:left="720"/>
      <w:contextualSpacing/>
    </w:pPr>
  </w:style>
  <w:style w:type="paragraph" w:styleId="BalloonText">
    <w:name w:val="Balloon Text"/>
    <w:basedOn w:val="Normal"/>
    <w:link w:val="BalloonTextChar"/>
    <w:uiPriority w:val="99"/>
    <w:semiHidden/>
    <w:unhideWhenUsed/>
    <w:rsid w:val="003D11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14A"/>
    <w:rPr>
      <w:rFonts w:ascii="Segoe UI" w:eastAsia="Times New Roman" w:hAnsi="Segoe UI" w:cs="Segoe UI"/>
      <w:sz w:val="18"/>
      <w:szCs w:val="18"/>
      <w:lang w:val="en-GB"/>
    </w:rPr>
  </w:style>
  <w:style w:type="character" w:customStyle="1" w:styleId="g1">
    <w:name w:val="g1"/>
    <w:basedOn w:val="DefaultParagraphFont"/>
    <w:rsid w:val="000D3B86"/>
  </w:style>
  <w:style w:type="character" w:styleId="Hyperlink">
    <w:name w:val="Hyperlink"/>
    <w:basedOn w:val="DefaultParagraphFont"/>
    <w:uiPriority w:val="99"/>
    <w:semiHidden/>
    <w:unhideWhenUsed/>
    <w:rsid w:val="000D3B86"/>
    <w:rPr>
      <w:color w:val="0000FF"/>
      <w:u w:val="single"/>
    </w:rPr>
  </w:style>
  <w:style w:type="paragraph" w:styleId="Header">
    <w:name w:val="header"/>
    <w:basedOn w:val="Normal"/>
    <w:link w:val="HeaderChar"/>
    <w:uiPriority w:val="99"/>
    <w:unhideWhenUsed/>
    <w:rsid w:val="00C3593F"/>
    <w:pPr>
      <w:tabs>
        <w:tab w:val="center" w:pos="4680"/>
        <w:tab w:val="right" w:pos="9360"/>
      </w:tabs>
    </w:pPr>
  </w:style>
  <w:style w:type="character" w:customStyle="1" w:styleId="HeaderChar">
    <w:name w:val="Header Char"/>
    <w:basedOn w:val="DefaultParagraphFont"/>
    <w:link w:val="Header"/>
    <w:uiPriority w:val="99"/>
    <w:rsid w:val="00C3593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C3593F"/>
    <w:pPr>
      <w:tabs>
        <w:tab w:val="center" w:pos="4680"/>
        <w:tab w:val="right" w:pos="9360"/>
      </w:tabs>
    </w:pPr>
  </w:style>
  <w:style w:type="character" w:customStyle="1" w:styleId="FooterChar">
    <w:name w:val="Footer Char"/>
    <w:basedOn w:val="DefaultParagraphFont"/>
    <w:link w:val="Footer"/>
    <w:uiPriority w:val="99"/>
    <w:rsid w:val="00C3593F"/>
    <w:rPr>
      <w:rFonts w:ascii="Times New Roman" w:eastAsia="Times New Roman" w:hAnsi="Times New Roman" w:cs="Times New Roman"/>
      <w:sz w:val="24"/>
      <w:szCs w:val="24"/>
      <w:lang w:val="en-GB"/>
    </w:rPr>
  </w:style>
  <w:style w:type="paragraph" w:customStyle="1" w:styleId="Normal1">
    <w:name w:val="Normal1"/>
    <w:basedOn w:val="Normal"/>
    <w:rsid w:val="00856B66"/>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621BBA"/>
    <w:rPr>
      <w:sz w:val="16"/>
      <w:szCs w:val="16"/>
    </w:rPr>
  </w:style>
  <w:style w:type="paragraph" w:styleId="CommentText">
    <w:name w:val="annotation text"/>
    <w:basedOn w:val="Normal"/>
    <w:link w:val="CommentTextChar"/>
    <w:uiPriority w:val="99"/>
    <w:semiHidden/>
    <w:unhideWhenUsed/>
    <w:rsid w:val="00621BBA"/>
    <w:rPr>
      <w:sz w:val="20"/>
      <w:szCs w:val="20"/>
    </w:rPr>
  </w:style>
  <w:style w:type="character" w:customStyle="1" w:styleId="CommentTextChar">
    <w:name w:val="Comment Text Char"/>
    <w:basedOn w:val="DefaultParagraphFont"/>
    <w:link w:val="CommentText"/>
    <w:uiPriority w:val="99"/>
    <w:semiHidden/>
    <w:rsid w:val="00621BB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21BBA"/>
    <w:rPr>
      <w:b/>
      <w:bCs/>
    </w:rPr>
  </w:style>
  <w:style w:type="character" w:customStyle="1" w:styleId="CommentSubjectChar">
    <w:name w:val="Comment Subject Char"/>
    <w:basedOn w:val="CommentTextChar"/>
    <w:link w:val="CommentSubject"/>
    <w:uiPriority w:val="99"/>
    <w:semiHidden/>
    <w:rsid w:val="00621BBA"/>
    <w:rPr>
      <w:rFonts w:ascii="Times New Roman" w:eastAsia="Times New Roman" w:hAnsi="Times New Roman" w:cs="Times New Roman"/>
      <w:b/>
      <w:bCs/>
      <w:sz w:val="20"/>
      <w:szCs w:val="20"/>
      <w:lang w:val="en-GB"/>
    </w:rPr>
  </w:style>
  <w:style w:type="paragraph" w:styleId="Revision">
    <w:name w:val="Revision"/>
    <w:hidden/>
    <w:uiPriority w:val="99"/>
    <w:semiHidden/>
    <w:rsid w:val="00EC1DB0"/>
    <w:pPr>
      <w:spacing w:after="0" w:line="240" w:lineRule="auto"/>
    </w:pPr>
    <w:rPr>
      <w:rFonts w:ascii="Times New Roman" w:eastAsia="Times New Roman" w:hAnsi="Times New Roman" w:cs="Times New Roman"/>
      <w:sz w:val="24"/>
      <w:szCs w:val="24"/>
      <w:lang w:val="en-GB"/>
    </w:rPr>
  </w:style>
  <w:style w:type="character" w:styleId="PageNumber">
    <w:name w:val="page number"/>
    <w:basedOn w:val="DefaultParagraphFont"/>
    <w:uiPriority w:val="99"/>
    <w:semiHidden/>
    <w:unhideWhenUsed/>
    <w:rsid w:val="00084586"/>
  </w:style>
  <w:style w:type="character" w:styleId="FootnoteReference">
    <w:name w:val="footnote reference"/>
    <w:basedOn w:val="DefaultParagraphFont"/>
    <w:uiPriority w:val="99"/>
    <w:semiHidden/>
    <w:unhideWhenUsed/>
    <w:rsid w:val="009E15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422911">
      <w:bodyDiv w:val="1"/>
      <w:marLeft w:val="0"/>
      <w:marRight w:val="0"/>
      <w:marTop w:val="0"/>
      <w:marBottom w:val="0"/>
      <w:divBdr>
        <w:top w:val="none" w:sz="0" w:space="0" w:color="auto"/>
        <w:left w:val="none" w:sz="0" w:space="0" w:color="auto"/>
        <w:bottom w:val="none" w:sz="0" w:space="0" w:color="auto"/>
        <w:right w:val="none" w:sz="0" w:space="0" w:color="auto"/>
      </w:divBdr>
      <w:divsChild>
        <w:div w:id="489054029">
          <w:marLeft w:val="0"/>
          <w:marRight w:val="0"/>
          <w:marTop w:val="120"/>
          <w:marBottom w:val="0"/>
          <w:divBdr>
            <w:top w:val="none" w:sz="0" w:space="0" w:color="auto"/>
            <w:left w:val="none" w:sz="0" w:space="0" w:color="auto"/>
            <w:bottom w:val="none" w:sz="0" w:space="0" w:color="auto"/>
            <w:right w:val="none" w:sz="0" w:space="0" w:color="auto"/>
          </w:divBdr>
        </w:div>
        <w:div w:id="1091000569">
          <w:marLeft w:val="0"/>
          <w:marRight w:val="0"/>
          <w:marTop w:val="240"/>
          <w:marBottom w:val="24"/>
          <w:divBdr>
            <w:top w:val="single" w:sz="8" w:space="2" w:color="808080"/>
            <w:left w:val="none" w:sz="0" w:space="0" w:color="auto"/>
            <w:bottom w:val="none" w:sz="0" w:space="0" w:color="auto"/>
            <w:right w:val="none" w:sz="0" w:space="0" w:color="auto"/>
          </w:divBdr>
        </w:div>
        <w:div w:id="1492478338">
          <w:marLeft w:val="0"/>
          <w:marRight w:val="0"/>
          <w:marTop w:val="120"/>
          <w:marBottom w:val="0"/>
          <w:divBdr>
            <w:top w:val="none" w:sz="0" w:space="0" w:color="auto"/>
            <w:left w:val="none" w:sz="0" w:space="0" w:color="auto"/>
            <w:bottom w:val="none" w:sz="0" w:space="0" w:color="auto"/>
            <w:right w:val="none" w:sz="0" w:space="0" w:color="auto"/>
          </w:divBdr>
        </w:div>
        <w:div w:id="98554917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51286-85E9-47DB-9C7D-221E2FF9F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5882</Words>
  <Characters>33531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Peter Olsen</dc:creator>
  <cp:keywords/>
  <dc:description/>
  <cp:lastModifiedBy>Mokone</cp:lastModifiedBy>
  <cp:revision>2</cp:revision>
  <cp:lastPrinted>2023-06-12T07:47:00Z</cp:lastPrinted>
  <dcterms:created xsi:type="dcterms:W3CDTF">2023-06-12T14:07:00Z</dcterms:created>
  <dcterms:modified xsi:type="dcterms:W3CDTF">2023-06-12T14:07:00Z</dcterms:modified>
</cp:coreProperties>
</file>