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5B" w:rsidRPr="0081291B" w:rsidRDefault="003E755B" w:rsidP="00031141">
      <w:pPr>
        <w:pStyle w:val="Pa3"/>
        <w:spacing w:line="360" w:lineRule="auto"/>
        <w:jc w:val="center"/>
        <w:rPr>
          <w:rStyle w:val="A0"/>
          <w:b w:val="0"/>
          <w:bCs w:val="0"/>
          <w:color w:val="auto"/>
          <w:sz w:val="24"/>
          <w:szCs w:val="24"/>
          <w:lang w:val="en-ZA"/>
        </w:rPr>
      </w:pPr>
      <w:bookmarkStart w:id="0" w:name="OLE_LINK1"/>
      <w:r w:rsidRPr="0081291B">
        <w:rPr>
          <w:rFonts w:cs="Arial"/>
          <w:noProof/>
        </w:rPr>
        <w:drawing>
          <wp:anchor distT="0" distB="0" distL="114300" distR="114300" simplePos="0" relativeHeight="251658240" behindDoc="0" locked="0" layoutInCell="1" allowOverlap="1" wp14:anchorId="227CB992" wp14:editId="25E7CEFD">
            <wp:simplePos x="0" y="0"/>
            <wp:positionH relativeFrom="margin">
              <wp:align>center</wp:align>
            </wp:positionH>
            <wp:positionV relativeFrom="paragraph">
              <wp:posOffset>0</wp:posOffset>
            </wp:positionV>
            <wp:extent cx="8001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anchor>
        </w:drawing>
      </w:r>
    </w:p>
    <w:p w:rsidR="003E755B" w:rsidRPr="0081291B" w:rsidRDefault="003E755B" w:rsidP="00031141">
      <w:pPr>
        <w:spacing w:line="360" w:lineRule="auto"/>
        <w:rPr>
          <w:sz w:val="24"/>
          <w:lang w:val="en-ZA"/>
        </w:rPr>
      </w:pPr>
    </w:p>
    <w:p w:rsidR="00031141" w:rsidRPr="0081291B" w:rsidRDefault="00031141" w:rsidP="00031141">
      <w:pPr>
        <w:pStyle w:val="Pa3"/>
        <w:spacing w:line="360" w:lineRule="auto"/>
        <w:jc w:val="center"/>
        <w:rPr>
          <w:rStyle w:val="A0"/>
          <w:bCs w:val="0"/>
          <w:color w:val="auto"/>
          <w:sz w:val="24"/>
          <w:szCs w:val="24"/>
          <w:lang w:val="en-ZA"/>
        </w:rPr>
      </w:pPr>
    </w:p>
    <w:p w:rsidR="00031141" w:rsidRPr="0081291B" w:rsidRDefault="00031141" w:rsidP="00031141">
      <w:pPr>
        <w:pStyle w:val="Pa3"/>
        <w:spacing w:line="360" w:lineRule="auto"/>
        <w:jc w:val="center"/>
        <w:rPr>
          <w:rStyle w:val="A0"/>
          <w:bCs w:val="0"/>
          <w:color w:val="auto"/>
          <w:sz w:val="24"/>
          <w:szCs w:val="24"/>
          <w:lang w:val="en-ZA"/>
        </w:rPr>
      </w:pPr>
    </w:p>
    <w:p w:rsidR="003E755B" w:rsidRPr="0081291B" w:rsidRDefault="003E755B" w:rsidP="00031141">
      <w:pPr>
        <w:pStyle w:val="Pa3"/>
        <w:spacing w:line="360" w:lineRule="auto"/>
        <w:jc w:val="center"/>
        <w:rPr>
          <w:rStyle w:val="A0"/>
          <w:color w:val="auto"/>
          <w:sz w:val="24"/>
          <w:szCs w:val="24"/>
          <w:lang w:val="en-ZA"/>
        </w:rPr>
      </w:pPr>
      <w:r w:rsidRPr="0081291B">
        <w:rPr>
          <w:rStyle w:val="A0"/>
          <w:bCs w:val="0"/>
          <w:color w:val="auto"/>
          <w:sz w:val="24"/>
          <w:szCs w:val="24"/>
          <w:lang w:val="en-ZA"/>
        </w:rPr>
        <w:t xml:space="preserve">THE SUPREME COURT OF APPEAL </w:t>
      </w:r>
      <w:r w:rsidRPr="0081291B">
        <w:rPr>
          <w:rStyle w:val="A0"/>
          <w:color w:val="auto"/>
          <w:sz w:val="24"/>
          <w:szCs w:val="24"/>
          <w:lang w:val="en-ZA"/>
        </w:rPr>
        <w:t xml:space="preserve">OF SOUTH AFRICA </w:t>
      </w:r>
    </w:p>
    <w:p w:rsidR="003E755B" w:rsidRPr="0081291B" w:rsidRDefault="003E755B" w:rsidP="00031141">
      <w:pPr>
        <w:spacing w:line="360" w:lineRule="auto"/>
        <w:jc w:val="center"/>
        <w:rPr>
          <w:sz w:val="24"/>
          <w:lang w:val="en-ZA"/>
        </w:rPr>
      </w:pPr>
      <w:r w:rsidRPr="0081291B">
        <w:rPr>
          <w:b/>
          <w:sz w:val="24"/>
          <w:lang w:val="en-ZA"/>
        </w:rPr>
        <w:t>JUDGMENT</w:t>
      </w:r>
    </w:p>
    <w:bookmarkEnd w:id="0"/>
    <w:p w:rsidR="00031141" w:rsidRPr="0081291B" w:rsidRDefault="00031141" w:rsidP="00031141">
      <w:pPr>
        <w:spacing w:line="360" w:lineRule="auto"/>
        <w:ind w:right="26"/>
        <w:jc w:val="right"/>
        <w:rPr>
          <w:b/>
          <w:bCs/>
          <w:sz w:val="24"/>
          <w:lang w:val="en-ZA"/>
        </w:rPr>
      </w:pPr>
    </w:p>
    <w:p w:rsidR="003E755B" w:rsidRPr="0081291B" w:rsidRDefault="003E755B" w:rsidP="00031141">
      <w:pPr>
        <w:spacing w:line="360" w:lineRule="auto"/>
        <w:ind w:right="26"/>
        <w:jc w:val="right"/>
        <w:rPr>
          <w:b/>
          <w:bCs/>
          <w:sz w:val="24"/>
          <w:lang w:val="en-ZA"/>
        </w:rPr>
      </w:pPr>
      <w:r w:rsidRPr="0081291B">
        <w:rPr>
          <w:b/>
          <w:bCs/>
          <w:sz w:val="24"/>
          <w:lang w:val="en-ZA"/>
        </w:rPr>
        <w:t>Reportable</w:t>
      </w:r>
    </w:p>
    <w:p w:rsidR="003E755B" w:rsidRPr="0081291B" w:rsidRDefault="003E755B" w:rsidP="00031141">
      <w:pPr>
        <w:widowControl w:val="0"/>
        <w:autoSpaceDE w:val="0"/>
        <w:autoSpaceDN w:val="0"/>
        <w:adjustRightInd w:val="0"/>
        <w:spacing w:line="360" w:lineRule="auto"/>
        <w:rPr>
          <w:b/>
          <w:sz w:val="24"/>
          <w:lang w:val="en-ZA"/>
        </w:rPr>
      </w:pPr>
    </w:p>
    <w:p w:rsidR="003E755B" w:rsidRPr="0081291B" w:rsidRDefault="003E755B" w:rsidP="00031141">
      <w:pPr>
        <w:spacing w:line="360" w:lineRule="auto"/>
        <w:ind w:right="26"/>
        <w:jc w:val="right"/>
        <w:rPr>
          <w:b/>
          <w:sz w:val="24"/>
          <w:lang w:val="en-ZA"/>
        </w:rPr>
      </w:pPr>
      <w:r w:rsidRPr="0081291B">
        <w:rPr>
          <w:b/>
          <w:sz w:val="24"/>
          <w:lang w:val="en-ZA"/>
        </w:rPr>
        <w:tab/>
      </w:r>
      <w:r w:rsidRPr="0081291B">
        <w:rPr>
          <w:sz w:val="24"/>
          <w:lang w:val="en-ZA"/>
        </w:rPr>
        <w:t xml:space="preserve">Case No: </w:t>
      </w:r>
      <w:r w:rsidR="0013148D" w:rsidRPr="00DE7321">
        <w:rPr>
          <w:sz w:val="24"/>
          <w:lang w:val="en-ZA"/>
        </w:rPr>
        <w:t>702</w:t>
      </w:r>
      <w:r w:rsidRPr="00DE7321">
        <w:rPr>
          <w:sz w:val="24"/>
          <w:lang w:val="en-ZA"/>
        </w:rPr>
        <w:t>/2022</w:t>
      </w:r>
    </w:p>
    <w:p w:rsidR="003E755B" w:rsidRPr="0081291B" w:rsidRDefault="003E755B" w:rsidP="00031141">
      <w:pPr>
        <w:spacing w:line="360" w:lineRule="auto"/>
        <w:ind w:right="-328"/>
        <w:jc w:val="both"/>
        <w:rPr>
          <w:bCs/>
          <w:sz w:val="24"/>
          <w:lang w:val="en-ZA"/>
        </w:rPr>
      </w:pPr>
    </w:p>
    <w:p w:rsidR="003E755B" w:rsidRPr="005424BF" w:rsidRDefault="003E755B" w:rsidP="00031141">
      <w:pPr>
        <w:spacing w:line="360" w:lineRule="auto"/>
        <w:ind w:right="-328"/>
        <w:jc w:val="both"/>
        <w:rPr>
          <w:bCs/>
          <w:sz w:val="24"/>
          <w:lang w:val="en-ZA"/>
        </w:rPr>
      </w:pPr>
      <w:r w:rsidRPr="005424BF">
        <w:rPr>
          <w:bCs/>
          <w:sz w:val="24"/>
          <w:lang w:val="en-ZA"/>
        </w:rPr>
        <w:t>In the matter between:</w:t>
      </w:r>
    </w:p>
    <w:p w:rsidR="003E755B" w:rsidRPr="005424BF" w:rsidRDefault="003E755B" w:rsidP="00031141">
      <w:pPr>
        <w:tabs>
          <w:tab w:val="right" w:pos="8900"/>
        </w:tabs>
        <w:spacing w:line="360" w:lineRule="auto"/>
        <w:ind w:right="-328"/>
        <w:jc w:val="both"/>
        <w:rPr>
          <w:bCs/>
          <w:sz w:val="24"/>
          <w:lang w:val="en-ZA"/>
        </w:rPr>
      </w:pPr>
    </w:p>
    <w:p w:rsidR="003E755B" w:rsidRPr="005424BF" w:rsidRDefault="0013148D" w:rsidP="00031141">
      <w:pPr>
        <w:tabs>
          <w:tab w:val="right" w:pos="9026"/>
        </w:tabs>
        <w:spacing w:line="360" w:lineRule="auto"/>
        <w:jc w:val="both"/>
        <w:rPr>
          <w:b/>
          <w:sz w:val="24"/>
          <w:lang w:val="en-ZA"/>
        </w:rPr>
      </w:pPr>
      <w:r w:rsidRPr="005424BF">
        <w:rPr>
          <w:b/>
          <w:bCs/>
          <w:sz w:val="24"/>
          <w:lang w:val="en-ZA"/>
        </w:rPr>
        <w:t>LEGAL PRACTITIONERS’ FIDELITY</w:t>
      </w:r>
      <w:r w:rsidR="00A032D9" w:rsidRPr="005424BF">
        <w:rPr>
          <w:b/>
          <w:bCs/>
          <w:sz w:val="24"/>
          <w:lang w:val="en-ZA"/>
        </w:rPr>
        <w:t xml:space="preserve"> FUND</w:t>
      </w:r>
      <w:r w:rsidR="003E755B" w:rsidRPr="005424BF">
        <w:rPr>
          <w:b/>
          <w:sz w:val="24"/>
          <w:lang w:val="en-ZA"/>
        </w:rPr>
        <w:tab/>
        <w:t>APPELLANT</w:t>
      </w:r>
    </w:p>
    <w:p w:rsidR="003E755B" w:rsidRPr="005424BF" w:rsidRDefault="003E755B" w:rsidP="00031141">
      <w:pPr>
        <w:tabs>
          <w:tab w:val="right" w:pos="9026"/>
        </w:tabs>
        <w:spacing w:line="360" w:lineRule="auto"/>
        <w:jc w:val="both"/>
        <w:rPr>
          <w:b/>
          <w:sz w:val="24"/>
          <w:lang w:val="en-ZA"/>
        </w:rPr>
      </w:pPr>
    </w:p>
    <w:p w:rsidR="003E755B" w:rsidRPr="005424BF" w:rsidRDefault="003E755B" w:rsidP="00031141">
      <w:pPr>
        <w:tabs>
          <w:tab w:val="right" w:pos="9026"/>
        </w:tabs>
        <w:spacing w:line="360" w:lineRule="auto"/>
        <w:jc w:val="both"/>
        <w:rPr>
          <w:sz w:val="24"/>
          <w:lang w:val="en-ZA"/>
        </w:rPr>
      </w:pPr>
      <w:r w:rsidRPr="005424BF">
        <w:rPr>
          <w:sz w:val="24"/>
          <w:lang w:val="en-ZA"/>
        </w:rPr>
        <w:t>and</w:t>
      </w:r>
    </w:p>
    <w:p w:rsidR="003E755B" w:rsidRPr="005424BF" w:rsidRDefault="003E755B" w:rsidP="00031141">
      <w:pPr>
        <w:tabs>
          <w:tab w:val="right" w:pos="9026"/>
        </w:tabs>
        <w:spacing w:line="360" w:lineRule="auto"/>
        <w:jc w:val="both"/>
        <w:rPr>
          <w:b/>
          <w:sz w:val="24"/>
          <w:lang w:val="en-ZA"/>
        </w:rPr>
      </w:pPr>
    </w:p>
    <w:p w:rsidR="003E755B" w:rsidRPr="005424BF" w:rsidRDefault="0013148D" w:rsidP="00031141">
      <w:pPr>
        <w:tabs>
          <w:tab w:val="right" w:pos="9026"/>
        </w:tabs>
        <w:spacing w:line="360" w:lineRule="auto"/>
        <w:jc w:val="both"/>
        <w:rPr>
          <w:b/>
          <w:sz w:val="24"/>
          <w:lang w:val="en-ZA"/>
        </w:rPr>
      </w:pPr>
      <w:r w:rsidRPr="005424BF">
        <w:rPr>
          <w:b/>
          <w:sz w:val="24"/>
          <w:lang w:val="en-ZA"/>
        </w:rPr>
        <w:t>GUILHERME CARLA MARSHALL</w:t>
      </w:r>
      <w:r w:rsidR="003E755B" w:rsidRPr="005424BF">
        <w:rPr>
          <w:b/>
          <w:sz w:val="24"/>
          <w:lang w:val="en-ZA"/>
        </w:rPr>
        <w:tab/>
        <w:t>RESPONDENT</w:t>
      </w:r>
    </w:p>
    <w:p w:rsidR="003E755B" w:rsidRPr="005424BF" w:rsidRDefault="003E755B" w:rsidP="00031141">
      <w:pPr>
        <w:tabs>
          <w:tab w:val="left" w:pos="-1440"/>
        </w:tabs>
        <w:spacing w:line="360" w:lineRule="auto"/>
        <w:ind w:right="-329"/>
        <w:jc w:val="both"/>
        <w:rPr>
          <w:bCs/>
          <w:sz w:val="24"/>
          <w:lang w:val="en-ZA"/>
        </w:rPr>
      </w:pPr>
    </w:p>
    <w:p w:rsidR="003E755B" w:rsidRPr="005424BF" w:rsidRDefault="003E755B" w:rsidP="00031141">
      <w:pPr>
        <w:spacing w:line="360" w:lineRule="auto"/>
        <w:ind w:left="2160" w:right="26" w:hanging="2160"/>
        <w:jc w:val="both"/>
        <w:rPr>
          <w:bCs/>
          <w:sz w:val="24"/>
          <w:lang w:val="en-ZA"/>
        </w:rPr>
      </w:pPr>
      <w:r w:rsidRPr="005424BF">
        <w:rPr>
          <w:b/>
          <w:bCs/>
          <w:sz w:val="24"/>
          <w:lang w:val="en-ZA"/>
        </w:rPr>
        <w:t>Neutral Citation:</w:t>
      </w:r>
      <w:r w:rsidRPr="005424BF">
        <w:rPr>
          <w:bCs/>
          <w:sz w:val="24"/>
          <w:lang w:val="en-ZA"/>
        </w:rPr>
        <w:tab/>
      </w:r>
      <w:r w:rsidR="0013148D" w:rsidRPr="005424BF">
        <w:rPr>
          <w:bCs/>
          <w:i/>
          <w:sz w:val="24"/>
          <w:lang w:val="en-ZA"/>
        </w:rPr>
        <w:t>Legal Practitioners’ Fidelity Fund</w:t>
      </w:r>
      <w:r w:rsidRPr="005424BF">
        <w:rPr>
          <w:bCs/>
          <w:i/>
          <w:sz w:val="24"/>
          <w:lang w:val="en-ZA"/>
        </w:rPr>
        <w:t xml:space="preserve"> v </w:t>
      </w:r>
      <w:r w:rsidR="0013148D" w:rsidRPr="005424BF">
        <w:rPr>
          <w:bCs/>
          <w:i/>
          <w:sz w:val="24"/>
          <w:lang w:val="en-ZA"/>
        </w:rPr>
        <w:t xml:space="preserve">Guilherme </w:t>
      </w:r>
      <w:r w:rsidRPr="005424BF">
        <w:rPr>
          <w:bCs/>
          <w:sz w:val="24"/>
          <w:lang w:val="en-ZA"/>
        </w:rPr>
        <w:t>(</w:t>
      </w:r>
      <w:r w:rsidR="0013148D" w:rsidRPr="005424BF">
        <w:rPr>
          <w:bCs/>
          <w:sz w:val="24"/>
          <w:lang w:val="en-ZA"/>
        </w:rPr>
        <w:t>702</w:t>
      </w:r>
      <w:r w:rsidRPr="005424BF">
        <w:rPr>
          <w:bCs/>
          <w:sz w:val="24"/>
          <w:lang w:val="en-ZA"/>
        </w:rPr>
        <w:t xml:space="preserve">/2022) [2023] ZASCA </w:t>
      </w:r>
      <w:r w:rsidR="001C0F0A">
        <w:rPr>
          <w:bCs/>
          <w:sz w:val="24"/>
          <w:lang w:val="en-ZA"/>
        </w:rPr>
        <w:t>96</w:t>
      </w:r>
      <w:r w:rsidR="0093660F">
        <w:rPr>
          <w:bCs/>
          <w:sz w:val="24"/>
          <w:lang w:val="en-ZA"/>
        </w:rPr>
        <w:t xml:space="preserve"> (</w:t>
      </w:r>
      <w:r w:rsidR="001C0F0A">
        <w:rPr>
          <w:bCs/>
          <w:sz w:val="24"/>
          <w:lang w:val="en-ZA"/>
        </w:rPr>
        <w:t>13</w:t>
      </w:r>
      <w:r w:rsidR="00415620" w:rsidRPr="005424BF">
        <w:rPr>
          <w:bCs/>
          <w:sz w:val="24"/>
          <w:lang w:val="en-ZA"/>
        </w:rPr>
        <w:t xml:space="preserve"> June</w:t>
      </w:r>
      <w:r w:rsidRPr="005424BF">
        <w:rPr>
          <w:bCs/>
          <w:sz w:val="24"/>
          <w:lang w:val="en-ZA"/>
        </w:rPr>
        <w:t xml:space="preserve"> 2023)</w:t>
      </w:r>
    </w:p>
    <w:p w:rsidR="003E755B" w:rsidRPr="005424BF" w:rsidRDefault="003E755B" w:rsidP="00031141">
      <w:pPr>
        <w:tabs>
          <w:tab w:val="left" w:pos="0"/>
        </w:tabs>
        <w:spacing w:line="360" w:lineRule="auto"/>
        <w:ind w:left="2160" w:right="28" w:hanging="2160"/>
        <w:jc w:val="both"/>
        <w:rPr>
          <w:bCs/>
          <w:sz w:val="24"/>
          <w:lang w:val="en-ZA"/>
        </w:rPr>
      </w:pPr>
      <w:r w:rsidRPr="005424BF">
        <w:rPr>
          <w:b/>
          <w:bCs/>
          <w:sz w:val="24"/>
          <w:lang w:val="en-ZA"/>
        </w:rPr>
        <w:t>Coram:</w:t>
      </w:r>
      <w:r w:rsidRPr="005424BF">
        <w:rPr>
          <w:bCs/>
          <w:sz w:val="24"/>
          <w:lang w:val="en-ZA"/>
        </w:rPr>
        <w:tab/>
      </w:r>
      <w:r w:rsidR="0013148D" w:rsidRPr="005424BF">
        <w:rPr>
          <w:bCs/>
          <w:sz w:val="24"/>
          <w:lang w:val="en-ZA"/>
        </w:rPr>
        <w:t>DAMBUZA ADP,</w:t>
      </w:r>
      <w:r w:rsidRPr="005424BF">
        <w:rPr>
          <w:bCs/>
          <w:sz w:val="24"/>
          <w:lang w:val="en-ZA"/>
        </w:rPr>
        <w:t xml:space="preserve"> </w:t>
      </w:r>
      <w:r w:rsidR="0013148D" w:rsidRPr="005424BF">
        <w:rPr>
          <w:bCs/>
          <w:sz w:val="24"/>
          <w:lang w:val="en-ZA"/>
        </w:rPr>
        <w:t xml:space="preserve">SALDULKER, MOTHLE </w:t>
      </w:r>
      <w:r w:rsidR="0079516A" w:rsidRPr="005424BF">
        <w:rPr>
          <w:bCs/>
          <w:sz w:val="24"/>
          <w:lang w:val="en-ZA"/>
        </w:rPr>
        <w:t>and</w:t>
      </w:r>
      <w:r w:rsidRPr="005424BF">
        <w:rPr>
          <w:bCs/>
          <w:sz w:val="24"/>
          <w:lang w:val="en-ZA"/>
        </w:rPr>
        <w:t xml:space="preserve"> </w:t>
      </w:r>
      <w:r w:rsidR="0013148D" w:rsidRPr="005424BF">
        <w:rPr>
          <w:bCs/>
          <w:sz w:val="24"/>
          <w:lang w:val="en-ZA"/>
        </w:rPr>
        <w:t>MATOJANE</w:t>
      </w:r>
      <w:r w:rsidRPr="005424BF">
        <w:rPr>
          <w:bCs/>
          <w:sz w:val="24"/>
          <w:lang w:val="en-ZA"/>
        </w:rPr>
        <w:t xml:space="preserve"> JJA and </w:t>
      </w:r>
      <w:r w:rsidR="0079516A" w:rsidRPr="005424BF">
        <w:rPr>
          <w:bCs/>
          <w:sz w:val="24"/>
          <w:lang w:val="en-ZA"/>
        </w:rPr>
        <w:t xml:space="preserve">DAFFUE </w:t>
      </w:r>
      <w:r w:rsidRPr="005424BF">
        <w:rPr>
          <w:bCs/>
          <w:sz w:val="24"/>
          <w:lang w:val="en-ZA"/>
        </w:rPr>
        <w:t>AJA</w:t>
      </w:r>
    </w:p>
    <w:p w:rsidR="003E755B" w:rsidRPr="005424BF" w:rsidRDefault="003E755B" w:rsidP="00031141">
      <w:pPr>
        <w:tabs>
          <w:tab w:val="left" w:pos="-1440"/>
        </w:tabs>
        <w:spacing w:line="360" w:lineRule="auto"/>
        <w:ind w:left="2160" w:right="-329" w:hanging="2160"/>
        <w:jc w:val="both"/>
        <w:rPr>
          <w:bCs/>
          <w:sz w:val="24"/>
          <w:lang w:val="en-ZA"/>
        </w:rPr>
      </w:pPr>
      <w:r w:rsidRPr="005424BF">
        <w:rPr>
          <w:b/>
          <w:bCs/>
          <w:sz w:val="24"/>
          <w:lang w:val="en-ZA"/>
        </w:rPr>
        <w:t>Heard:</w:t>
      </w:r>
      <w:r w:rsidRPr="005424BF">
        <w:rPr>
          <w:bCs/>
          <w:sz w:val="24"/>
          <w:lang w:val="en-ZA"/>
        </w:rPr>
        <w:tab/>
      </w:r>
      <w:r w:rsidR="00EF71CF" w:rsidRPr="005424BF">
        <w:rPr>
          <w:bCs/>
          <w:sz w:val="24"/>
          <w:lang w:val="en-ZA"/>
        </w:rPr>
        <w:t>18</w:t>
      </w:r>
      <w:r w:rsidRPr="005424BF">
        <w:rPr>
          <w:bCs/>
          <w:sz w:val="24"/>
          <w:lang w:val="en-ZA"/>
        </w:rPr>
        <w:t xml:space="preserve"> May 2023</w:t>
      </w:r>
    </w:p>
    <w:p w:rsidR="004A4115" w:rsidRPr="005424BF" w:rsidRDefault="004A4115" w:rsidP="000463C1">
      <w:pPr>
        <w:spacing w:line="360" w:lineRule="auto"/>
        <w:ind w:left="2127" w:hanging="2127"/>
        <w:jc w:val="both"/>
        <w:rPr>
          <w:sz w:val="24"/>
        </w:rPr>
      </w:pPr>
      <w:r w:rsidRPr="005424BF">
        <w:rPr>
          <w:b/>
          <w:bCs/>
          <w:color w:val="242121"/>
          <w:sz w:val="24"/>
          <w:shd w:val="clear" w:color="auto" w:fill="FFFFFF"/>
        </w:rPr>
        <w:t>Delivered:</w:t>
      </w:r>
      <w:r w:rsidRPr="005424BF">
        <w:rPr>
          <w:b/>
          <w:bCs/>
          <w:color w:val="242121"/>
          <w:sz w:val="24"/>
          <w:shd w:val="clear" w:color="auto" w:fill="FFFFFF"/>
        </w:rPr>
        <w:tab/>
      </w:r>
      <w:r w:rsidRPr="005424BF">
        <w:rPr>
          <w:color w:val="242121"/>
          <w:sz w:val="24"/>
          <w:shd w:val="clear" w:color="auto" w:fill="FFFFFF"/>
        </w:rPr>
        <w:t>This judgment was handed down el</w:t>
      </w:r>
      <w:r w:rsidR="0093660F">
        <w:rPr>
          <w:color w:val="242121"/>
          <w:sz w:val="24"/>
          <w:shd w:val="clear" w:color="auto" w:fill="FFFFFF"/>
        </w:rPr>
        <w:t>ectronically by circulation to </w:t>
      </w:r>
      <w:r w:rsidRPr="005424BF">
        <w:rPr>
          <w:color w:val="242121"/>
          <w:sz w:val="24"/>
          <w:shd w:val="clear" w:color="auto" w:fill="FFFFFF"/>
        </w:rPr>
        <w:t xml:space="preserve">the parties’ representatives by email, publication on the Supreme Court of Appeal website, and release to SAFLII. The date for hand down is deemed to be </w:t>
      </w:r>
      <w:r w:rsidR="0093660F">
        <w:rPr>
          <w:color w:val="242121"/>
          <w:sz w:val="24"/>
          <w:shd w:val="clear" w:color="auto" w:fill="FFFFFF"/>
        </w:rPr>
        <w:t>1</w:t>
      </w:r>
      <w:r w:rsidR="008634A9">
        <w:rPr>
          <w:color w:val="242121"/>
          <w:sz w:val="24"/>
          <w:shd w:val="clear" w:color="auto" w:fill="FFFFFF"/>
        </w:rPr>
        <w:t>3</w:t>
      </w:r>
      <w:r w:rsidR="0093660F">
        <w:rPr>
          <w:color w:val="242121"/>
          <w:sz w:val="24"/>
          <w:shd w:val="clear" w:color="auto" w:fill="FFFFFF"/>
        </w:rPr>
        <w:t xml:space="preserve"> </w:t>
      </w:r>
      <w:r w:rsidRPr="005424BF">
        <w:rPr>
          <w:color w:val="242121"/>
          <w:sz w:val="24"/>
          <w:shd w:val="clear" w:color="auto" w:fill="FFFFFF"/>
        </w:rPr>
        <w:t>June 2023 at 11h00.</w:t>
      </w:r>
    </w:p>
    <w:p w:rsidR="004A4115" w:rsidRPr="005424BF" w:rsidRDefault="004A4115" w:rsidP="00031141">
      <w:pPr>
        <w:tabs>
          <w:tab w:val="left" w:pos="-1440"/>
        </w:tabs>
        <w:spacing w:line="360" w:lineRule="auto"/>
        <w:ind w:right="-329"/>
        <w:jc w:val="both"/>
        <w:rPr>
          <w:b/>
          <w:bCs/>
          <w:sz w:val="24"/>
          <w:lang w:val="en-ZA"/>
        </w:rPr>
      </w:pPr>
    </w:p>
    <w:p w:rsidR="003E755B" w:rsidRPr="005424BF" w:rsidRDefault="003E755B" w:rsidP="00031141">
      <w:pPr>
        <w:tabs>
          <w:tab w:val="left" w:pos="-1440"/>
        </w:tabs>
        <w:spacing w:line="360" w:lineRule="auto"/>
        <w:ind w:right="-329"/>
        <w:jc w:val="both"/>
        <w:rPr>
          <w:bCs/>
          <w:sz w:val="24"/>
          <w:lang w:val="en-ZA"/>
        </w:rPr>
      </w:pPr>
      <w:r w:rsidRPr="005424BF">
        <w:rPr>
          <w:b/>
          <w:bCs/>
          <w:sz w:val="24"/>
          <w:lang w:val="en-ZA"/>
        </w:rPr>
        <w:t>Summary:</w:t>
      </w:r>
      <w:r w:rsidRPr="005424BF">
        <w:rPr>
          <w:bCs/>
          <w:sz w:val="24"/>
          <w:lang w:val="en-ZA"/>
        </w:rPr>
        <w:tab/>
      </w:r>
      <w:r w:rsidR="003D373B" w:rsidRPr="005424BF">
        <w:rPr>
          <w:bCs/>
          <w:sz w:val="24"/>
          <w:lang w:val="en-ZA"/>
        </w:rPr>
        <w:t>Claim against the Legal Practitioners</w:t>
      </w:r>
      <w:r w:rsidR="00DC5FCC" w:rsidRPr="005424BF">
        <w:rPr>
          <w:bCs/>
          <w:sz w:val="24"/>
          <w:lang w:val="en-ZA"/>
        </w:rPr>
        <w:t>’</w:t>
      </w:r>
      <w:r w:rsidR="003D373B" w:rsidRPr="005424BF">
        <w:rPr>
          <w:bCs/>
          <w:sz w:val="24"/>
          <w:lang w:val="en-ZA"/>
        </w:rPr>
        <w:t xml:space="preserve"> Fidelity Fund</w:t>
      </w:r>
      <w:r w:rsidR="003F0ACB" w:rsidRPr="005424BF">
        <w:rPr>
          <w:bCs/>
          <w:sz w:val="24"/>
          <w:lang w:val="en-ZA"/>
        </w:rPr>
        <w:t xml:space="preserve"> (</w:t>
      </w:r>
      <w:r w:rsidR="008D4E3D" w:rsidRPr="005424BF">
        <w:rPr>
          <w:bCs/>
          <w:sz w:val="24"/>
          <w:lang w:val="en-ZA"/>
        </w:rPr>
        <w:t>the Fund)</w:t>
      </w:r>
      <w:r w:rsidR="003D373B" w:rsidRPr="005424BF">
        <w:rPr>
          <w:bCs/>
          <w:sz w:val="24"/>
          <w:lang w:val="en-ZA"/>
        </w:rPr>
        <w:t xml:space="preserve"> – money paid into attorney’s trust account subsequently stolen – whether the money was entrusted as provided in section 26</w:t>
      </w:r>
      <w:r w:rsidR="003D373B" w:rsidRPr="005424BF">
        <w:rPr>
          <w:bCs/>
          <w:i/>
          <w:sz w:val="24"/>
          <w:lang w:val="en-ZA"/>
        </w:rPr>
        <w:t>(a)</w:t>
      </w:r>
      <w:r w:rsidR="003D373B" w:rsidRPr="005424BF">
        <w:rPr>
          <w:bCs/>
          <w:sz w:val="24"/>
          <w:lang w:val="en-ZA"/>
        </w:rPr>
        <w:t xml:space="preserve"> of the Attorneys Act 53 of 1979 – claim dismissed by the </w:t>
      </w:r>
      <w:r w:rsidR="009A4AC7" w:rsidRPr="005424BF">
        <w:rPr>
          <w:bCs/>
          <w:sz w:val="24"/>
          <w:lang w:val="en-ZA"/>
        </w:rPr>
        <w:t>F</w:t>
      </w:r>
      <w:r w:rsidR="003D373B" w:rsidRPr="005424BF">
        <w:rPr>
          <w:bCs/>
          <w:sz w:val="24"/>
          <w:lang w:val="en-ZA"/>
        </w:rPr>
        <w:t xml:space="preserve">und, but upheld by </w:t>
      </w:r>
      <w:r w:rsidR="009A4AC7" w:rsidRPr="005424BF">
        <w:rPr>
          <w:bCs/>
          <w:sz w:val="24"/>
          <w:lang w:val="en-ZA"/>
        </w:rPr>
        <w:t>the high court – appeal by the F</w:t>
      </w:r>
      <w:r w:rsidR="003D373B" w:rsidRPr="005424BF">
        <w:rPr>
          <w:bCs/>
          <w:sz w:val="24"/>
          <w:lang w:val="en-ZA"/>
        </w:rPr>
        <w:t>und dismissed.</w:t>
      </w:r>
    </w:p>
    <w:p w:rsidR="000463C1" w:rsidRPr="005424BF" w:rsidRDefault="000463C1" w:rsidP="00031141">
      <w:pPr>
        <w:tabs>
          <w:tab w:val="left" w:pos="-1440"/>
        </w:tabs>
        <w:spacing w:line="360" w:lineRule="auto"/>
        <w:ind w:right="-329"/>
        <w:jc w:val="both"/>
        <w:rPr>
          <w:sz w:val="24"/>
          <w:lang w:val="en-ZA"/>
        </w:rPr>
      </w:pPr>
    </w:p>
    <w:p w:rsidR="003E755B" w:rsidRPr="005424BF" w:rsidRDefault="003E755B" w:rsidP="00031141">
      <w:pPr>
        <w:ind w:right="-58"/>
        <w:jc w:val="both"/>
        <w:rPr>
          <w:bCs/>
          <w:sz w:val="24"/>
          <w:lang w:val="en-ZA"/>
        </w:rPr>
      </w:pPr>
      <w:r w:rsidRPr="005424BF">
        <w:rPr>
          <w:bCs/>
          <w:sz w:val="24"/>
          <w:lang w:val="en-ZA"/>
        </w:rPr>
        <w:lastRenderedPageBreak/>
        <w:t>______________________________________________________________</w:t>
      </w:r>
      <w:r w:rsidR="0013148D" w:rsidRPr="005424BF">
        <w:rPr>
          <w:bCs/>
          <w:sz w:val="24"/>
          <w:lang w:val="en-ZA"/>
        </w:rPr>
        <w:t>_____</w:t>
      </w:r>
    </w:p>
    <w:p w:rsidR="003E755B" w:rsidRPr="005424BF" w:rsidRDefault="003E755B" w:rsidP="00031141">
      <w:pPr>
        <w:ind w:left="720" w:right="26" w:hanging="720"/>
        <w:jc w:val="center"/>
        <w:rPr>
          <w:bCs/>
          <w:sz w:val="24"/>
          <w:lang w:val="en-ZA"/>
        </w:rPr>
      </w:pPr>
    </w:p>
    <w:p w:rsidR="003E755B" w:rsidRPr="005424BF" w:rsidRDefault="003E755B" w:rsidP="00031141">
      <w:pPr>
        <w:tabs>
          <w:tab w:val="right" w:pos="8197"/>
        </w:tabs>
        <w:ind w:left="720" w:right="26" w:hanging="720"/>
        <w:jc w:val="center"/>
        <w:rPr>
          <w:b/>
          <w:bCs/>
          <w:sz w:val="24"/>
          <w:lang w:val="en-ZA"/>
        </w:rPr>
      </w:pPr>
      <w:r w:rsidRPr="005424BF">
        <w:rPr>
          <w:b/>
          <w:bCs/>
          <w:sz w:val="24"/>
          <w:lang w:val="en-ZA"/>
        </w:rPr>
        <w:t>ORDER</w:t>
      </w:r>
    </w:p>
    <w:p w:rsidR="003E755B" w:rsidRPr="005424BF" w:rsidRDefault="003E755B" w:rsidP="00031141">
      <w:pPr>
        <w:ind w:right="26"/>
        <w:jc w:val="both"/>
        <w:rPr>
          <w:bCs/>
          <w:sz w:val="24"/>
          <w:lang w:val="en-ZA"/>
        </w:rPr>
      </w:pPr>
      <w:r w:rsidRPr="005424BF">
        <w:rPr>
          <w:bCs/>
          <w:sz w:val="24"/>
          <w:lang w:val="en-ZA"/>
        </w:rPr>
        <w:t>______________________________________________________________</w:t>
      </w:r>
      <w:r w:rsidR="0013148D" w:rsidRPr="005424BF">
        <w:rPr>
          <w:bCs/>
          <w:sz w:val="24"/>
          <w:lang w:val="en-ZA"/>
        </w:rPr>
        <w:t>_____</w:t>
      </w:r>
    </w:p>
    <w:p w:rsidR="003E755B" w:rsidRPr="005424BF" w:rsidRDefault="003E755B" w:rsidP="00031141">
      <w:pPr>
        <w:spacing w:line="360" w:lineRule="auto"/>
        <w:jc w:val="both"/>
        <w:rPr>
          <w:sz w:val="24"/>
          <w:lang w:val="en-ZA"/>
        </w:rPr>
      </w:pPr>
    </w:p>
    <w:p w:rsidR="003E755B" w:rsidRPr="005424BF" w:rsidRDefault="003E755B" w:rsidP="00031141">
      <w:pPr>
        <w:spacing w:line="360" w:lineRule="auto"/>
        <w:jc w:val="both"/>
        <w:rPr>
          <w:sz w:val="24"/>
          <w:lang w:val="en-ZA"/>
        </w:rPr>
      </w:pPr>
      <w:r w:rsidRPr="005424BF">
        <w:rPr>
          <w:b/>
          <w:sz w:val="24"/>
          <w:lang w:val="en-ZA"/>
        </w:rPr>
        <w:t>On appeal from</w:t>
      </w:r>
      <w:r w:rsidR="0041185D" w:rsidRPr="005424BF">
        <w:rPr>
          <w:sz w:val="24"/>
          <w:lang w:val="en-ZA"/>
        </w:rPr>
        <w:t xml:space="preserve">: The Western Cape </w:t>
      </w:r>
      <w:r w:rsidRPr="005424BF">
        <w:rPr>
          <w:sz w:val="24"/>
          <w:lang w:val="en-ZA"/>
        </w:rPr>
        <w:t xml:space="preserve">Division of the High Court, </w:t>
      </w:r>
      <w:r w:rsidR="0041185D" w:rsidRPr="005424BF">
        <w:rPr>
          <w:sz w:val="24"/>
          <w:lang w:val="en-ZA"/>
        </w:rPr>
        <w:t>(Savage and Kusevitsky</w:t>
      </w:r>
      <w:r w:rsidRPr="005424BF">
        <w:rPr>
          <w:sz w:val="24"/>
          <w:lang w:val="en-ZA"/>
        </w:rPr>
        <w:t xml:space="preserve"> J</w:t>
      </w:r>
      <w:r w:rsidR="0041185D" w:rsidRPr="005424BF">
        <w:rPr>
          <w:sz w:val="24"/>
          <w:lang w:val="en-ZA"/>
        </w:rPr>
        <w:t xml:space="preserve">J concurring and Ndita J dissenting, </w:t>
      </w:r>
      <w:r w:rsidRPr="005424BF">
        <w:rPr>
          <w:sz w:val="24"/>
          <w:lang w:val="en-ZA"/>
        </w:rPr>
        <w:t xml:space="preserve">sitting as </w:t>
      </w:r>
      <w:r w:rsidR="0041185D" w:rsidRPr="005424BF">
        <w:rPr>
          <w:sz w:val="24"/>
          <w:lang w:val="en-ZA"/>
        </w:rPr>
        <w:t xml:space="preserve">the full </w:t>
      </w:r>
      <w:r w:rsidRPr="005424BF">
        <w:rPr>
          <w:sz w:val="24"/>
          <w:lang w:val="en-ZA"/>
        </w:rPr>
        <w:t xml:space="preserve">court </w:t>
      </w:r>
      <w:r w:rsidR="0041185D" w:rsidRPr="005424BF">
        <w:rPr>
          <w:sz w:val="24"/>
          <w:lang w:val="en-ZA"/>
        </w:rPr>
        <w:t>on appeal</w:t>
      </w:r>
      <w:r w:rsidRPr="005424BF">
        <w:rPr>
          <w:sz w:val="24"/>
          <w:lang w:val="en-ZA"/>
        </w:rPr>
        <w:t>):</w:t>
      </w:r>
    </w:p>
    <w:p w:rsidR="0079543B" w:rsidRPr="005424BF" w:rsidRDefault="0079543B" w:rsidP="00031141">
      <w:pPr>
        <w:spacing w:line="360" w:lineRule="auto"/>
        <w:jc w:val="both"/>
        <w:rPr>
          <w:sz w:val="24"/>
          <w:lang w:val="en-ZA"/>
        </w:rPr>
      </w:pPr>
      <w:r w:rsidRPr="005424BF">
        <w:rPr>
          <w:sz w:val="24"/>
          <w:lang w:val="en-ZA"/>
        </w:rPr>
        <w:t>The appeal is dismissed with costs.</w:t>
      </w:r>
    </w:p>
    <w:p w:rsidR="003E755B" w:rsidRPr="005424BF" w:rsidRDefault="003E755B" w:rsidP="00031141">
      <w:pPr>
        <w:jc w:val="both"/>
        <w:rPr>
          <w:bCs/>
          <w:sz w:val="24"/>
          <w:lang w:val="en-ZA"/>
        </w:rPr>
      </w:pPr>
      <w:r w:rsidRPr="005424BF">
        <w:rPr>
          <w:bCs/>
          <w:sz w:val="24"/>
          <w:lang w:val="en-ZA"/>
        </w:rPr>
        <w:t>______________________________________________________________</w:t>
      </w:r>
      <w:r w:rsidR="0013148D" w:rsidRPr="005424BF">
        <w:rPr>
          <w:bCs/>
          <w:sz w:val="24"/>
          <w:lang w:val="en-ZA"/>
        </w:rPr>
        <w:t>_____</w:t>
      </w:r>
    </w:p>
    <w:p w:rsidR="003E755B" w:rsidRPr="005424BF" w:rsidRDefault="003E755B" w:rsidP="00031141">
      <w:pPr>
        <w:tabs>
          <w:tab w:val="right" w:pos="8197"/>
        </w:tabs>
        <w:ind w:left="720" w:right="26" w:hanging="720"/>
        <w:jc w:val="center"/>
        <w:rPr>
          <w:bCs/>
          <w:sz w:val="24"/>
          <w:lang w:val="en-ZA"/>
        </w:rPr>
      </w:pPr>
    </w:p>
    <w:p w:rsidR="003E755B" w:rsidRPr="005424BF" w:rsidRDefault="003E755B" w:rsidP="00031141">
      <w:pPr>
        <w:tabs>
          <w:tab w:val="right" w:pos="8197"/>
        </w:tabs>
        <w:ind w:left="720" w:right="26" w:hanging="720"/>
        <w:jc w:val="center"/>
        <w:rPr>
          <w:b/>
          <w:bCs/>
          <w:sz w:val="24"/>
          <w:lang w:val="en-ZA"/>
        </w:rPr>
      </w:pPr>
      <w:r w:rsidRPr="005424BF">
        <w:rPr>
          <w:b/>
          <w:bCs/>
          <w:sz w:val="24"/>
          <w:lang w:val="en-ZA"/>
        </w:rPr>
        <w:t>JUDGMENT</w:t>
      </w:r>
    </w:p>
    <w:p w:rsidR="003E755B" w:rsidRPr="005424BF" w:rsidRDefault="003E755B" w:rsidP="00031141">
      <w:pPr>
        <w:ind w:right="26"/>
        <w:jc w:val="both"/>
        <w:rPr>
          <w:bCs/>
          <w:sz w:val="24"/>
          <w:lang w:val="en-ZA"/>
        </w:rPr>
      </w:pPr>
      <w:r w:rsidRPr="005424BF">
        <w:rPr>
          <w:bCs/>
          <w:sz w:val="24"/>
          <w:lang w:val="en-ZA"/>
        </w:rPr>
        <w:t>______________________________________________________________</w:t>
      </w:r>
      <w:r w:rsidR="0013148D" w:rsidRPr="005424BF">
        <w:rPr>
          <w:bCs/>
          <w:sz w:val="24"/>
          <w:lang w:val="en-ZA"/>
        </w:rPr>
        <w:t>_____</w:t>
      </w:r>
    </w:p>
    <w:p w:rsidR="003E755B" w:rsidRPr="005424BF" w:rsidRDefault="003E755B" w:rsidP="00031141">
      <w:pPr>
        <w:tabs>
          <w:tab w:val="left" w:pos="-1440"/>
        </w:tabs>
        <w:spacing w:line="360" w:lineRule="auto"/>
        <w:ind w:right="-329"/>
        <w:jc w:val="both"/>
        <w:rPr>
          <w:sz w:val="24"/>
          <w:lang w:val="en-ZA"/>
        </w:rPr>
      </w:pPr>
    </w:p>
    <w:p w:rsidR="003E755B" w:rsidRPr="005424BF" w:rsidRDefault="003E755B" w:rsidP="00F67F8F">
      <w:pPr>
        <w:tabs>
          <w:tab w:val="left" w:pos="-1440"/>
        </w:tabs>
        <w:spacing w:line="360" w:lineRule="auto"/>
        <w:ind w:right="26"/>
        <w:jc w:val="both"/>
        <w:rPr>
          <w:b/>
          <w:sz w:val="24"/>
          <w:lang w:val="en-ZA"/>
        </w:rPr>
      </w:pPr>
      <w:r w:rsidRPr="005424BF">
        <w:rPr>
          <w:b/>
          <w:sz w:val="24"/>
          <w:lang w:val="en-ZA"/>
        </w:rPr>
        <w:t xml:space="preserve">Daffue AJA </w:t>
      </w:r>
      <w:r w:rsidR="00B3314F" w:rsidRPr="00B3314F">
        <w:rPr>
          <w:b/>
          <w:sz w:val="24"/>
          <w:lang w:val="en-ZA"/>
        </w:rPr>
        <w:t>(Dambuza ADP and Saldulker, Mothle and Matojane JJA concurring):</w:t>
      </w:r>
    </w:p>
    <w:p w:rsidR="00253BC0" w:rsidRPr="005424BF" w:rsidRDefault="00253BC0" w:rsidP="00F67F8F">
      <w:pPr>
        <w:tabs>
          <w:tab w:val="left" w:pos="-1440"/>
        </w:tabs>
        <w:spacing w:line="360" w:lineRule="auto"/>
        <w:ind w:right="26"/>
        <w:jc w:val="both"/>
        <w:rPr>
          <w:b/>
          <w:sz w:val="24"/>
          <w:lang w:val="en-ZA"/>
        </w:rPr>
      </w:pPr>
    </w:p>
    <w:p w:rsidR="00031141" w:rsidRPr="00785594" w:rsidRDefault="00253BC0" w:rsidP="00F67F8F">
      <w:pPr>
        <w:tabs>
          <w:tab w:val="left" w:pos="-1440"/>
        </w:tabs>
        <w:spacing w:line="360" w:lineRule="auto"/>
        <w:ind w:right="26"/>
        <w:jc w:val="both"/>
        <w:rPr>
          <w:b/>
          <w:sz w:val="24"/>
          <w:lang w:val="en-ZA"/>
        </w:rPr>
      </w:pPr>
      <w:r w:rsidRPr="005424BF">
        <w:rPr>
          <w:b/>
          <w:sz w:val="24"/>
          <w:lang w:val="en-ZA"/>
        </w:rPr>
        <w:t>Introduction</w:t>
      </w:r>
    </w:p>
    <w:p w:rsidR="00786528" w:rsidRPr="00272CD9" w:rsidRDefault="00272CD9" w:rsidP="00272CD9">
      <w:pPr>
        <w:spacing w:line="360" w:lineRule="auto"/>
        <w:ind w:right="26"/>
        <w:jc w:val="both"/>
        <w:rPr>
          <w:sz w:val="24"/>
          <w:lang w:val="en-ZA"/>
        </w:rPr>
      </w:pPr>
      <w:r w:rsidRPr="005424BF">
        <w:rPr>
          <w:sz w:val="24"/>
          <w:lang w:val="en-ZA"/>
        </w:rPr>
        <w:t>[1</w:t>
      </w:r>
      <w:bookmarkStart w:id="1" w:name="_GoBack"/>
      <w:bookmarkEnd w:id="1"/>
      <w:r w:rsidRPr="005424BF">
        <w:rPr>
          <w:sz w:val="24"/>
          <w:lang w:val="en-ZA"/>
        </w:rPr>
        <w:t>]</w:t>
      </w:r>
      <w:r w:rsidRPr="005424BF">
        <w:rPr>
          <w:sz w:val="24"/>
          <w:lang w:val="en-ZA"/>
        </w:rPr>
        <w:tab/>
      </w:r>
      <w:r w:rsidR="00680840" w:rsidRPr="00272CD9">
        <w:rPr>
          <w:sz w:val="24"/>
          <w:lang w:val="en-ZA"/>
        </w:rPr>
        <w:t xml:space="preserve">At the heart of this appeal is the nature of a payment into the trust account of an attorney who has been struck from the roll since then, but failed to account </w:t>
      </w:r>
      <w:r w:rsidR="00F876F1" w:rsidRPr="00272CD9">
        <w:rPr>
          <w:sz w:val="24"/>
          <w:lang w:val="en-ZA"/>
        </w:rPr>
        <w:t xml:space="preserve">fully for </w:t>
      </w:r>
      <w:r w:rsidR="00680840" w:rsidRPr="00272CD9">
        <w:rPr>
          <w:sz w:val="24"/>
          <w:lang w:val="en-ZA"/>
        </w:rPr>
        <w:t xml:space="preserve">the funds deposited into his trust account. </w:t>
      </w:r>
      <w:r w:rsidR="00F876F1" w:rsidRPr="00272CD9">
        <w:rPr>
          <w:sz w:val="24"/>
          <w:lang w:val="en-ZA"/>
        </w:rPr>
        <w:t xml:space="preserve">It is common cause that the attorney </w:t>
      </w:r>
      <w:r w:rsidR="00786528" w:rsidRPr="00272CD9">
        <w:rPr>
          <w:sz w:val="24"/>
          <w:lang w:val="en-ZA"/>
        </w:rPr>
        <w:t>misappropriated</w:t>
      </w:r>
      <w:r w:rsidR="00F876F1" w:rsidRPr="00272CD9">
        <w:rPr>
          <w:sz w:val="24"/>
          <w:lang w:val="en-ZA"/>
        </w:rPr>
        <w:t xml:space="preserve"> the money</w:t>
      </w:r>
      <w:r w:rsidR="00786528" w:rsidRPr="00272CD9">
        <w:rPr>
          <w:sz w:val="24"/>
          <w:lang w:val="en-ZA"/>
        </w:rPr>
        <w:t>. Ms Carla Marshall Guilherme</w:t>
      </w:r>
      <w:r w:rsidR="004A4115" w:rsidRPr="00272CD9">
        <w:rPr>
          <w:sz w:val="24"/>
          <w:lang w:val="en-ZA"/>
        </w:rPr>
        <w:t xml:space="preserve"> (Ms Guilherme)</w:t>
      </w:r>
      <w:r w:rsidR="00F876F1" w:rsidRPr="00272CD9">
        <w:rPr>
          <w:sz w:val="24"/>
          <w:lang w:val="en-ZA"/>
        </w:rPr>
        <w:t xml:space="preserve">, the respondent in the appeal before us, </w:t>
      </w:r>
      <w:r w:rsidR="00791E93" w:rsidRPr="00272CD9">
        <w:rPr>
          <w:sz w:val="24"/>
          <w:lang w:val="en-ZA"/>
        </w:rPr>
        <w:t>suffered a loss. She</w:t>
      </w:r>
      <w:r w:rsidR="00680840" w:rsidRPr="00272CD9">
        <w:rPr>
          <w:sz w:val="24"/>
          <w:lang w:val="en-ZA"/>
        </w:rPr>
        <w:t xml:space="preserve"> </w:t>
      </w:r>
      <w:r w:rsidR="00791E93" w:rsidRPr="00272CD9">
        <w:rPr>
          <w:sz w:val="24"/>
          <w:lang w:val="en-ZA"/>
        </w:rPr>
        <w:t xml:space="preserve">unsuccessfully </w:t>
      </w:r>
      <w:r w:rsidR="00680840" w:rsidRPr="00272CD9">
        <w:rPr>
          <w:sz w:val="24"/>
          <w:lang w:val="en-ZA"/>
        </w:rPr>
        <w:t>lodged a claim with the Legal Practitioners’ Fidelity Fund</w:t>
      </w:r>
      <w:r w:rsidR="008D4E3D" w:rsidRPr="00272CD9">
        <w:rPr>
          <w:sz w:val="24"/>
          <w:lang w:val="en-ZA"/>
        </w:rPr>
        <w:t xml:space="preserve"> (the Fund)</w:t>
      </w:r>
      <w:r w:rsidR="009F0F4D" w:rsidRPr="00272CD9">
        <w:rPr>
          <w:sz w:val="24"/>
          <w:lang w:val="en-ZA"/>
        </w:rPr>
        <w:t>, the appellant in this appeal,</w:t>
      </w:r>
      <w:r w:rsidR="00786528" w:rsidRPr="00272CD9">
        <w:rPr>
          <w:sz w:val="24"/>
          <w:lang w:val="en-ZA"/>
        </w:rPr>
        <w:t xml:space="preserve"> for payment of the </w:t>
      </w:r>
      <w:r w:rsidR="009F0F4D" w:rsidRPr="00272CD9">
        <w:rPr>
          <w:sz w:val="24"/>
          <w:lang w:val="en-ZA"/>
        </w:rPr>
        <w:t>misappropriated amount</w:t>
      </w:r>
      <w:r w:rsidR="00791E93" w:rsidRPr="00272CD9">
        <w:rPr>
          <w:sz w:val="24"/>
          <w:lang w:val="en-ZA"/>
        </w:rPr>
        <w:t xml:space="preserve"> whereupon litigation ensued.</w:t>
      </w:r>
      <w:r w:rsidR="00680840" w:rsidRPr="00272CD9">
        <w:rPr>
          <w:sz w:val="24"/>
          <w:lang w:val="en-ZA"/>
        </w:rPr>
        <w:t xml:space="preserve"> </w:t>
      </w:r>
    </w:p>
    <w:p w:rsidR="00CB23AF" w:rsidRPr="005424BF" w:rsidRDefault="00CB23AF" w:rsidP="00F67F8F">
      <w:pPr>
        <w:spacing w:line="360" w:lineRule="auto"/>
        <w:ind w:right="26"/>
        <w:jc w:val="both"/>
        <w:rPr>
          <w:b/>
          <w:sz w:val="24"/>
          <w:lang w:val="en-ZA"/>
        </w:rPr>
      </w:pPr>
    </w:p>
    <w:p w:rsidR="005971CD" w:rsidRPr="00785594" w:rsidRDefault="005971CD" w:rsidP="00785594">
      <w:pPr>
        <w:pStyle w:val="ListParagraph"/>
        <w:spacing w:line="360" w:lineRule="auto"/>
        <w:ind w:left="0" w:right="26"/>
        <w:jc w:val="both"/>
        <w:rPr>
          <w:b/>
          <w:sz w:val="24"/>
          <w:lang w:val="en-ZA"/>
        </w:rPr>
      </w:pPr>
      <w:r w:rsidRPr="005424BF">
        <w:rPr>
          <w:b/>
          <w:sz w:val="24"/>
          <w:lang w:val="en-ZA"/>
        </w:rPr>
        <w:t>Undisputed factual background</w:t>
      </w:r>
    </w:p>
    <w:p w:rsidR="005971CD" w:rsidRPr="00272CD9" w:rsidRDefault="00272CD9" w:rsidP="00272CD9">
      <w:pPr>
        <w:spacing w:line="360" w:lineRule="auto"/>
        <w:ind w:right="26"/>
        <w:jc w:val="both"/>
        <w:rPr>
          <w:sz w:val="24"/>
          <w:lang w:val="en-ZA"/>
        </w:rPr>
      </w:pPr>
      <w:r w:rsidRPr="005424BF">
        <w:rPr>
          <w:sz w:val="24"/>
          <w:lang w:val="en-ZA"/>
        </w:rPr>
        <w:t>[2]</w:t>
      </w:r>
      <w:r w:rsidRPr="005424BF">
        <w:rPr>
          <w:sz w:val="24"/>
          <w:lang w:val="en-ZA"/>
        </w:rPr>
        <w:tab/>
      </w:r>
      <w:r w:rsidR="005971CD" w:rsidRPr="00272CD9">
        <w:rPr>
          <w:sz w:val="24"/>
          <w:lang w:val="en-ZA"/>
        </w:rPr>
        <w:t>It is apposite to deal with the relevant factual background before considering the parties’ submissions. The following facts are common cause:</w:t>
      </w:r>
    </w:p>
    <w:p w:rsidR="005971CD" w:rsidRPr="005424BF" w:rsidRDefault="005971CD" w:rsidP="005971CD">
      <w:pPr>
        <w:pStyle w:val="ListParagraph"/>
        <w:spacing w:line="360" w:lineRule="auto"/>
        <w:ind w:left="0" w:right="26"/>
        <w:jc w:val="both"/>
        <w:rPr>
          <w:sz w:val="24"/>
          <w:lang w:val="en-ZA"/>
        </w:rPr>
      </w:pPr>
      <w:r w:rsidRPr="005424BF">
        <w:rPr>
          <w:sz w:val="24"/>
          <w:lang w:val="en-ZA"/>
        </w:rPr>
        <w:t>(a)</w:t>
      </w:r>
      <w:r w:rsidRPr="005424BF">
        <w:rPr>
          <w:sz w:val="24"/>
          <w:lang w:val="en-ZA"/>
        </w:rPr>
        <w:tab/>
        <w:t>Ms Guilherme was previously married to Mr Bradley Clem Bartie (the deceased) who committed suicide on 10 May 2012; his attorney, Mr Spencer was appointed executor of the insolvent deceased estate.</w:t>
      </w:r>
    </w:p>
    <w:p w:rsidR="005971CD" w:rsidRPr="005424BF" w:rsidRDefault="005971CD" w:rsidP="005971CD">
      <w:pPr>
        <w:spacing w:line="360" w:lineRule="auto"/>
        <w:ind w:right="26"/>
        <w:jc w:val="both"/>
        <w:rPr>
          <w:sz w:val="24"/>
          <w:lang w:val="en-ZA"/>
        </w:rPr>
      </w:pPr>
      <w:r w:rsidRPr="005424BF">
        <w:rPr>
          <w:sz w:val="24"/>
          <w:lang w:val="en-ZA"/>
        </w:rPr>
        <w:t>(b)</w:t>
      </w:r>
      <w:r w:rsidRPr="005424BF">
        <w:rPr>
          <w:sz w:val="24"/>
          <w:lang w:val="en-ZA"/>
        </w:rPr>
        <w:tab/>
        <w:t>Upon the death of the deceased Ms Guilherme became the sole beneficiary of the proceeds of a life policy in the amount of R5 000 000, of which she received an immediate cash payment of R50 000.</w:t>
      </w:r>
    </w:p>
    <w:p w:rsidR="005971CD" w:rsidRPr="005424BF" w:rsidRDefault="005971CD" w:rsidP="005971CD">
      <w:pPr>
        <w:spacing w:line="360" w:lineRule="auto"/>
        <w:ind w:right="26"/>
        <w:jc w:val="both"/>
        <w:rPr>
          <w:sz w:val="24"/>
          <w:lang w:val="en-ZA"/>
        </w:rPr>
      </w:pPr>
      <w:r w:rsidRPr="005424BF">
        <w:rPr>
          <w:sz w:val="24"/>
          <w:lang w:val="en-ZA"/>
        </w:rPr>
        <w:t>(c)</w:t>
      </w:r>
      <w:r w:rsidRPr="005424BF">
        <w:rPr>
          <w:sz w:val="24"/>
          <w:lang w:val="en-ZA"/>
        </w:rPr>
        <w:tab/>
        <w:t xml:space="preserve">The balance of the death benefit in the amount of R4 950 000 was initially paid into Ms Guilherme’s Nedbank account. Mr Spencer advised her to pay the money into </w:t>
      </w:r>
      <w:r w:rsidRPr="005424BF">
        <w:rPr>
          <w:sz w:val="24"/>
          <w:lang w:val="en-ZA"/>
        </w:rPr>
        <w:lastRenderedPageBreak/>
        <w:t>his trust account as these funds were at risk as a result of the deceased’s liabilities towards his creditors. Consequently, this amount was returned to the insurer and thereafter paid into a Capitec bank account which she had opened for that purpose, where after the full amount was transferred into Mr Spencer’s trust account on/or about 1 June 2012.</w:t>
      </w:r>
    </w:p>
    <w:p w:rsidR="005971CD" w:rsidRPr="005424BF" w:rsidRDefault="005971CD" w:rsidP="005971CD">
      <w:pPr>
        <w:spacing w:line="360" w:lineRule="auto"/>
        <w:ind w:right="26"/>
        <w:jc w:val="both"/>
        <w:rPr>
          <w:color w:val="FF0000"/>
          <w:sz w:val="24"/>
          <w:lang w:val="en-ZA"/>
        </w:rPr>
      </w:pPr>
      <w:r w:rsidRPr="005424BF">
        <w:rPr>
          <w:sz w:val="24"/>
          <w:lang w:val="en-ZA"/>
        </w:rPr>
        <w:t>(d)</w:t>
      </w:r>
      <w:r w:rsidRPr="005424BF">
        <w:rPr>
          <w:sz w:val="24"/>
          <w:lang w:val="en-ZA"/>
        </w:rPr>
        <w:tab/>
        <w:t>Ms Guilherme withdrew a total amount of R1.4 million over a period of time from Mr Spencer’s trust account. On 1 December 2016 Mr Spencer transferred R2</w:t>
      </w:r>
      <w:r w:rsidR="000463C1" w:rsidRPr="005424BF">
        <w:rPr>
          <w:sz w:val="24"/>
          <w:lang w:val="en-ZA"/>
        </w:rPr>
        <w:t> 750 </w:t>
      </w:r>
      <w:r w:rsidRPr="005424BF">
        <w:rPr>
          <w:sz w:val="24"/>
          <w:lang w:val="en-ZA"/>
        </w:rPr>
        <w:t>032.76 into her Nedbank account which she believed at that stage to be the full amount owing to her.</w:t>
      </w:r>
    </w:p>
    <w:p w:rsidR="005971CD" w:rsidRPr="005424BF" w:rsidRDefault="005971CD" w:rsidP="005971CD">
      <w:pPr>
        <w:spacing w:line="360" w:lineRule="auto"/>
        <w:ind w:right="26"/>
        <w:jc w:val="both"/>
        <w:rPr>
          <w:sz w:val="24"/>
          <w:lang w:val="en-ZA"/>
        </w:rPr>
      </w:pPr>
      <w:r w:rsidRPr="005424BF">
        <w:rPr>
          <w:sz w:val="24"/>
          <w:lang w:val="en-ZA"/>
        </w:rPr>
        <w:t>(e)</w:t>
      </w:r>
      <w:r w:rsidRPr="005424BF">
        <w:rPr>
          <w:sz w:val="24"/>
          <w:lang w:val="en-ZA"/>
        </w:rPr>
        <w:tab/>
        <w:t>Ms Guilherme became concerned with the ineffective manner in which Mr Spencer was dealing with her matter and his advice in respect of the litigation by the bank against her. She terminated his mandate and appointed a new attorney who investigated the matter and made a reconciliation of the money held by Mr Spencer and paid back to her. He discovered that an amount of R799 967.24 was still due to her.</w:t>
      </w:r>
    </w:p>
    <w:p w:rsidR="005971CD" w:rsidRPr="005424BF" w:rsidRDefault="005971CD" w:rsidP="005971CD">
      <w:pPr>
        <w:spacing w:line="360" w:lineRule="auto"/>
        <w:ind w:right="26"/>
        <w:jc w:val="both"/>
        <w:rPr>
          <w:sz w:val="24"/>
          <w:lang w:val="en-ZA"/>
        </w:rPr>
      </w:pPr>
      <w:r w:rsidRPr="005424BF">
        <w:rPr>
          <w:sz w:val="24"/>
          <w:lang w:val="en-ZA"/>
        </w:rPr>
        <w:t>(f)</w:t>
      </w:r>
      <w:r w:rsidRPr="005424BF">
        <w:rPr>
          <w:sz w:val="24"/>
          <w:lang w:val="en-ZA"/>
        </w:rPr>
        <w:tab/>
        <w:t xml:space="preserve">The new attorney further discovered that Mr Spencer had already been suspended from practice in April 2017 and eventually struck from the roll in November 2017. </w:t>
      </w:r>
    </w:p>
    <w:p w:rsidR="005971CD" w:rsidRPr="005424BF" w:rsidRDefault="005971CD" w:rsidP="005971CD">
      <w:pPr>
        <w:spacing w:line="360" w:lineRule="auto"/>
        <w:ind w:right="26"/>
        <w:jc w:val="both"/>
        <w:rPr>
          <w:sz w:val="24"/>
          <w:lang w:val="en-ZA"/>
        </w:rPr>
      </w:pPr>
      <w:r w:rsidRPr="005424BF">
        <w:rPr>
          <w:sz w:val="24"/>
          <w:lang w:val="en-ZA"/>
        </w:rPr>
        <w:t>(g)</w:t>
      </w:r>
      <w:r w:rsidRPr="005424BF">
        <w:rPr>
          <w:sz w:val="24"/>
          <w:lang w:val="en-ZA"/>
        </w:rPr>
        <w:tab/>
        <w:t>On receipt of a letter of demand addressed to him, Mr Spencer denied that any amount was still outstanding, but Ms Guilherme believed that he had stolen her money, an aspect which is not in dispute.</w:t>
      </w:r>
    </w:p>
    <w:p w:rsidR="005971CD" w:rsidRPr="005424BF" w:rsidRDefault="005971CD" w:rsidP="005971CD">
      <w:pPr>
        <w:spacing w:line="360" w:lineRule="auto"/>
        <w:ind w:right="26"/>
        <w:jc w:val="both"/>
        <w:rPr>
          <w:sz w:val="24"/>
          <w:lang w:val="en-ZA"/>
        </w:rPr>
      </w:pPr>
      <w:r w:rsidRPr="005424BF">
        <w:rPr>
          <w:sz w:val="24"/>
          <w:lang w:val="en-ZA"/>
        </w:rPr>
        <w:t>(h)</w:t>
      </w:r>
      <w:r w:rsidRPr="005424BF">
        <w:rPr>
          <w:sz w:val="24"/>
          <w:lang w:val="en-ZA"/>
        </w:rPr>
        <w:tab/>
        <w:t xml:space="preserve">A claim was submitted with the Fund on 13 September 2018 on behalf of Ms Guilherme, but eventually rejected on 15 July 2019 on the ground that there was no entrustment as contemplated in s 26 of the Attorneys Act. </w:t>
      </w:r>
    </w:p>
    <w:p w:rsidR="005971CD" w:rsidRPr="005424BF" w:rsidRDefault="005971CD" w:rsidP="005971CD">
      <w:pPr>
        <w:spacing w:line="360" w:lineRule="auto"/>
        <w:ind w:right="26"/>
        <w:jc w:val="both"/>
        <w:rPr>
          <w:sz w:val="24"/>
          <w:lang w:val="en-ZA"/>
        </w:rPr>
      </w:pPr>
      <w:r w:rsidRPr="005424BF">
        <w:rPr>
          <w:sz w:val="24"/>
          <w:lang w:val="en-ZA"/>
        </w:rPr>
        <w:t>(i)</w:t>
      </w:r>
      <w:r w:rsidRPr="005424BF">
        <w:rPr>
          <w:sz w:val="24"/>
          <w:lang w:val="en-ZA"/>
        </w:rPr>
        <w:tab/>
        <w:t xml:space="preserve">Ms Guilherme stated in her founding affidavit:  </w:t>
      </w:r>
    </w:p>
    <w:p w:rsidR="005971CD" w:rsidRPr="005424BF" w:rsidRDefault="005971CD" w:rsidP="005971CD">
      <w:pPr>
        <w:spacing w:line="360" w:lineRule="auto"/>
        <w:ind w:right="26"/>
        <w:jc w:val="both"/>
        <w:rPr>
          <w:sz w:val="22"/>
          <w:szCs w:val="22"/>
          <w:lang w:val="en-ZA"/>
        </w:rPr>
      </w:pPr>
      <w:r w:rsidRPr="005424BF">
        <w:rPr>
          <w:sz w:val="22"/>
          <w:szCs w:val="22"/>
          <w:lang w:val="en-ZA"/>
        </w:rPr>
        <w:t xml:space="preserve">‘I would never, under any circumstances, have paid the monies to </w:t>
      </w:r>
      <w:r w:rsidRPr="005424BF">
        <w:rPr>
          <w:sz w:val="24"/>
          <w:lang w:val="en-ZA"/>
        </w:rPr>
        <w:t>[Mr]</w:t>
      </w:r>
      <w:r w:rsidRPr="005424BF">
        <w:rPr>
          <w:sz w:val="22"/>
          <w:szCs w:val="22"/>
          <w:lang w:val="en-ZA"/>
        </w:rPr>
        <w:t xml:space="preserve"> Spencer for any other reason than that he as an attorney advised me to do so. I also felt comfortable because </w:t>
      </w:r>
      <w:r w:rsidRPr="005424BF">
        <w:rPr>
          <w:sz w:val="24"/>
          <w:szCs w:val="22"/>
          <w:lang w:val="en-ZA"/>
        </w:rPr>
        <w:t xml:space="preserve">[Mr] </w:t>
      </w:r>
      <w:r w:rsidRPr="005424BF">
        <w:rPr>
          <w:sz w:val="22"/>
          <w:szCs w:val="22"/>
          <w:lang w:val="en-ZA"/>
        </w:rPr>
        <w:t xml:space="preserve">Spencer was the executor of my late husband’s estate and the money was paid into </w:t>
      </w:r>
      <w:r w:rsidRPr="005424BF">
        <w:rPr>
          <w:sz w:val="24"/>
          <w:szCs w:val="22"/>
          <w:lang w:val="en-ZA"/>
        </w:rPr>
        <w:t xml:space="preserve">[Mr] </w:t>
      </w:r>
      <w:r w:rsidRPr="005424BF">
        <w:rPr>
          <w:sz w:val="22"/>
          <w:szCs w:val="22"/>
          <w:lang w:val="en-ZA"/>
        </w:rPr>
        <w:t xml:space="preserve">Spencer’s trust account. At no stage had I any reason, as a traumatised and grieving widow, not to trust </w:t>
      </w:r>
      <w:r w:rsidRPr="005424BF">
        <w:rPr>
          <w:sz w:val="24"/>
          <w:szCs w:val="22"/>
          <w:lang w:val="en-ZA"/>
        </w:rPr>
        <w:t xml:space="preserve">[Mr] </w:t>
      </w:r>
      <w:r w:rsidRPr="005424BF">
        <w:rPr>
          <w:sz w:val="22"/>
          <w:szCs w:val="22"/>
          <w:lang w:val="en-ZA"/>
        </w:rPr>
        <w:t xml:space="preserve">Spencer’. </w:t>
      </w:r>
    </w:p>
    <w:p w:rsidR="005971CD" w:rsidRPr="005424BF" w:rsidRDefault="005971CD" w:rsidP="005971CD">
      <w:pPr>
        <w:spacing w:line="360" w:lineRule="auto"/>
        <w:ind w:right="26"/>
        <w:jc w:val="both"/>
        <w:rPr>
          <w:sz w:val="24"/>
          <w:lang w:val="en-ZA"/>
        </w:rPr>
      </w:pPr>
      <w:r w:rsidRPr="005424BF">
        <w:rPr>
          <w:sz w:val="24"/>
          <w:lang w:val="en-ZA"/>
        </w:rPr>
        <w:t>This aspect was not disputed by the Fund. The Fund also did not dispute that Ms Guilherme believed that Mr Spencer was acting in her best interest.</w:t>
      </w:r>
    </w:p>
    <w:p w:rsidR="00392517" w:rsidRDefault="00392517" w:rsidP="00F67F8F">
      <w:pPr>
        <w:spacing w:line="360" w:lineRule="auto"/>
        <w:ind w:right="26"/>
        <w:jc w:val="both"/>
        <w:rPr>
          <w:b/>
          <w:sz w:val="24"/>
          <w:lang w:val="en-ZA"/>
        </w:rPr>
      </w:pPr>
    </w:p>
    <w:p w:rsidR="00392517" w:rsidRDefault="00392517" w:rsidP="00F67F8F">
      <w:pPr>
        <w:spacing w:line="360" w:lineRule="auto"/>
        <w:ind w:right="26"/>
        <w:jc w:val="both"/>
        <w:rPr>
          <w:b/>
          <w:sz w:val="24"/>
          <w:lang w:val="en-ZA"/>
        </w:rPr>
      </w:pPr>
    </w:p>
    <w:p w:rsidR="00CB23AF" w:rsidRDefault="00CB23AF" w:rsidP="00F67F8F">
      <w:pPr>
        <w:spacing w:line="360" w:lineRule="auto"/>
        <w:ind w:right="26"/>
        <w:jc w:val="both"/>
        <w:rPr>
          <w:b/>
          <w:sz w:val="24"/>
          <w:lang w:val="en-ZA"/>
        </w:rPr>
      </w:pPr>
      <w:r w:rsidRPr="005424BF">
        <w:rPr>
          <w:b/>
          <w:sz w:val="24"/>
          <w:lang w:val="en-ZA"/>
        </w:rPr>
        <w:lastRenderedPageBreak/>
        <w:t>Litigation history</w:t>
      </w:r>
    </w:p>
    <w:p w:rsidR="00CB23AF" w:rsidRPr="00272CD9" w:rsidRDefault="00272CD9" w:rsidP="00272CD9">
      <w:pPr>
        <w:spacing w:line="360" w:lineRule="auto"/>
        <w:ind w:right="26"/>
        <w:jc w:val="both"/>
        <w:rPr>
          <w:sz w:val="24"/>
          <w:lang w:val="en-ZA"/>
        </w:rPr>
      </w:pPr>
      <w:r w:rsidRPr="005424BF">
        <w:rPr>
          <w:sz w:val="24"/>
          <w:lang w:val="en-ZA"/>
        </w:rPr>
        <w:t>[3]</w:t>
      </w:r>
      <w:r w:rsidRPr="005424BF">
        <w:rPr>
          <w:sz w:val="24"/>
          <w:lang w:val="en-ZA"/>
        </w:rPr>
        <w:tab/>
      </w:r>
      <w:r w:rsidR="00EF71CF" w:rsidRPr="00272CD9">
        <w:rPr>
          <w:sz w:val="24"/>
          <w:lang w:val="en-ZA"/>
        </w:rPr>
        <w:t>On 17 November 2</w:t>
      </w:r>
      <w:r w:rsidR="00786528" w:rsidRPr="00272CD9">
        <w:rPr>
          <w:sz w:val="24"/>
          <w:lang w:val="en-ZA"/>
        </w:rPr>
        <w:t xml:space="preserve">020 </w:t>
      </w:r>
      <w:r w:rsidR="004A4115" w:rsidRPr="00272CD9">
        <w:rPr>
          <w:sz w:val="24"/>
          <w:lang w:val="en-ZA"/>
        </w:rPr>
        <w:t xml:space="preserve">the Western Cape Division </w:t>
      </w:r>
      <w:r w:rsidR="00786528" w:rsidRPr="00272CD9">
        <w:rPr>
          <w:sz w:val="24"/>
          <w:lang w:val="en-ZA"/>
        </w:rPr>
        <w:t>of the high c</w:t>
      </w:r>
      <w:r w:rsidR="00EF71CF" w:rsidRPr="00272CD9">
        <w:rPr>
          <w:sz w:val="24"/>
          <w:lang w:val="en-ZA"/>
        </w:rPr>
        <w:t xml:space="preserve">ourt found in favour </w:t>
      </w:r>
      <w:r w:rsidR="00786528" w:rsidRPr="00272CD9">
        <w:rPr>
          <w:sz w:val="24"/>
          <w:lang w:val="en-ZA"/>
        </w:rPr>
        <w:t xml:space="preserve">of </w:t>
      </w:r>
      <w:r w:rsidR="009F0F4D" w:rsidRPr="00272CD9">
        <w:rPr>
          <w:sz w:val="24"/>
          <w:lang w:val="en-ZA"/>
        </w:rPr>
        <w:t>Ms Guilherme</w:t>
      </w:r>
      <w:r w:rsidR="00EF71CF" w:rsidRPr="00272CD9">
        <w:rPr>
          <w:sz w:val="24"/>
          <w:lang w:val="en-ZA"/>
        </w:rPr>
        <w:t>, ordering the</w:t>
      </w:r>
      <w:r w:rsidR="00786528" w:rsidRPr="00272CD9">
        <w:rPr>
          <w:sz w:val="24"/>
          <w:lang w:val="en-ZA"/>
        </w:rPr>
        <w:t xml:space="preserve"> F</w:t>
      </w:r>
      <w:r w:rsidR="009F0F4D" w:rsidRPr="00272CD9">
        <w:rPr>
          <w:sz w:val="24"/>
          <w:lang w:val="en-ZA"/>
        </w:rPr>
        <w:t>und</w:t>
      </w:r>
      <w:r w:rsidR="006A41FE" w:rsidRPr="00272CD9">
        <w:rPr>
          <w:sz w:val="24"/>
          <w:lang w:val="en-ZA"/>
        </w:rPr>
        <w:t xml:space="preserve"> to pay to her the amount of </w:t>
      </w:r>
      <w:r w:rsidR="00FD13E9" w:rsidRPr="00272CD9">
        <w:rPr>
          <w:sz w:val="24"/>
          <w:lang w:val="en-ZA"/>
        </w:rPr>
        <w:t>R 799 </w:t>
      </w:r>
      <w:r w:rsidR="00EF71CF" w:rsidRPr="00272CD9">
        <w:rPr>
          <w:sz w:val="24"/>
          <w:lang w:val="en-ZA"/>
        </w:rPr>
        <w:t>9</w:t>
      </w:r>
      <w:r w:rsidR="006A41FE" w:rsidRPr="00272CD9">
        <w:rPr>
          <w:sz w:val="24"/>
          <w:lang w:val="en-ZA"/>
        </w:rPr>
        <w:t>67.24</w:t>
      </w:r>
      <w:r w:rsidR="00786528" w:rsidRPr="00272CD9">
        <w:rPr>
          <w:sz w:val="24"/>
          <w:lang w:val="en-ZA"/>
        </w:rPr>
        <w:t xml:space="preserve"> plus interest </w:t>
      </w:r>
      <w:r w:rsidR="00786528" w:rsidRPr="00272CD9">
        <w:rPr>
          <w:i/>
          <w:sz w:val="24"/>
          <w:lang w:val="en-ZA"/>
        </w:rPr>
        <w:t>a tempore morae</w:t>
      </w:r>
      <w:r w:rsidR="009F0F4D" w:rsidRPr="00272CD9">
        <w:rPr>
          <w:sz w:val="24"/>
          <w:lang w:val="en-ZA"/>
        </w:rPr>
        <w:t xml:space="preserve"> and the costs of the application</w:t>
      </w:r>
      <w:r w:rsidR="00786528" w:rsidRPr="00272CD9">
        <w:rPr>
          <w:sz w:val="24"/>
          <w:lang w:val="en-ZA"/>
        </w:rPr>
        <w:t xml:space="preserve">. </w:t>
      </w:r>
      <w:r w:rsidR="009F0F4D" w:rsidRPr="00272CD9">
        <w:rPr>
          <w:sz w:val="24"/>
          <w:lang w:val="en-ZA"/>
        </w:rPr>
        <w:t>It made a further order directing Ms Guilherme’s attorneys</w:t>
      </w:r>
      <w:r w:rsidR="00CB23AF" w:rsidRPr="00272CD9">
        <w:rPr>
          <w:sz w:val="24"/>
          <w:lang w:val="en-ZA"/>
        </w:rPr>
        <w:t xml:space="preserve"> to notify Standard Bank</w:t>
      </w:r>
      <w:r w:rsidR="002208B1" w:rsidRPr="00272CD9">
        <w:rPr>
          <w:sz w:val="24"/>
          <w:lang w:val="en-ZA"/>
        </w:rPr>
        <w:t xml:space="preserve"> (the bank)</w:t>
      </w:r>
      <w:r w:rsidR="00CB23AF" w:rsidRPr="00272CD9">
        <w:rPr>
          <w:sz w:val="24"/>
          <w:lang w:val="en-ZA"/>
        </w:rPr>
        <w:t xml:space="preserve"> upon receipt of payment from the Fund into their trust account. </w:t>
      </w:r>
      <w:r w:rsidR="00415620" w:rsidRPr="00272CD9">
        <w:rPr>
          <w:sz w:val="24"/>
          <w:lang w:val="en-ZA"/>
        </w:rPr>
        <w:t>The</w:t>
      </w:r>
      <w:r w:rsidR="00CB23AF" w:rsidRPr="00272CD9">
        <w:rPr>
          <w:sz w:val="24"/>
          <w:lang w:val="en-ZA"/>
        </w:rPr>
        <w:t xml:space="preserve"> </w:t>
      </w:r>
      <w:r w:rsidR="004A4115" w:rsidRPr="00272CD9">
        <w:rPr>
          <w:sz w:val="24"/>
          <w:lang w:val="en-ZA"/>
        </w:rPr>
        <w:t>b</w:t>
      </w:r>
      <w:r w:rsidR="00CB23AF" w:rsidRPr="00272CD9">
        <w:rPr>
          <w:sz w:val="24"/>
          <w:lang w:val="en-ZA"/>
        </w:rPr>
        <w:t>ank was a creditor of Ms Guilherme’s deceased husband and she allegedly stood surety for the debt. At the stage when the order was made</w:t>
      </w:r>
      <w:r w:rsidR="00E07A80" w:rsidRPr="00272CD9">
        <w:rPr>
          <w:sz w:val="24"/>
          <w:lang w:val="en-ZA"/>
        </w:rPr>
        <w:t>,</w:t>
      </w:r>
      <w:r w:rsidR="00CB23AF" w:rsidRPr="00272CD9">
        <w:rPr>
          <w:sz w:val="24"/>
          <w:lang w:val="en-ZA"/>
        </w:rPr>
        <w:t xml:space="preserve"> the litigation between the bank and Ms Guilherme was pending. </w:t>
      </w:r>
      <w:r w:rsidR="00786528" w:rsidRPr="00272CD9">
        <w:rPr>
          <w:sz w:val="24"/>
          <w:lang w:val="en-ZA"/>
        </w:rPr>
        <w:t xml:space="preserve">An application for leave </w:t>
      </w:r>
      <w:r w:rsidR="00DC5FCC" w:rsidRPr="00272CD9">
        <w:rPr>
          <w:sz w:val="24"/>
          <w:lang w:val="en-ZA"/>
        </w:rPr>
        <w:t xml:space="preserve">to appeal was dismissed by the </w:t>
      </w:r>
      <w:r w:rsidR="00786528" w:rsidRPr="00272CD9">
        <w:rPr>
          <w:sz w:val="24"/>
          <w:lang w:val="en-ZA"/>
        </w:rPr>
        <w:t>court</w:t>
      </w:r>
      <w:r w:rsidR="00DC5FCC" w:rsidRPr="00272CD9">
        <w:rPr>
          <w:sz w:val="24"/>
          <w:lang w:val="en-ZA"/>
        </w:rPr>
        <w:t xml:space="preserve"> of first instance</w:t>
      </w:r>
      <w:r w:rsidR="00786528" w:rsidRPr="00272CD9">
        <w:rPr>
          <w:sz w:val="24"/>
          <w:lang w:val="en-ZA"/>
        </w:rPr>
        <w:t xml:space="preserve">, but this Court granted leave to the appellant to appeal to the </w:t>
      </w:r>
      <w:r w:rsidR="009F0F4D" w:rsidRPr="00272CD9">
        <w:rPr>
          <w:sz w:val="24"/>
          <w:lang w:val="en-ZA"/>
        </w:rPr>
        <w:t>full court of the Western Cape D</w:t>
      </w:r>
      <w:r w:rsidR="00786528" w:rsidRPr="00272CD9">
        <w:rPr>
          <w:sz w:val="24"/>
          <w:lang w:val="en-ZA"/>
        </w:rPr>
        <w:t>ivision.</w:t>
      </w:r>
      <w:r w:rsidR="00CB23AF" w:rsidRPr="00272CD9">
        <w:rPr>
          <w:sz w:val="24"/>
          <w:lang w:val="en-ZA"/>
        </w:rPr>
        <w:t xml:space="preserve"> The full court in a majority judgment dismissed the appeal. Thereupon the Fund requested and obtained special leave to appeal to this Court.</w:t>
      </w:r>
    </w:p>
    <w:p w:rsidR="00A91171" w:rsidRPr="005424BF" w:rsidRDefault="00A91171" w:rsidP="00F67F8F">
      <w:pPr>
        <w:pStyle w:val="ListParagraph"/>
        <w:spacing w:line="360" w:lineRule="auto"/>
        <w:ind w:left="0" w:right="26"/>
        <w:jc w:val="both"/>
        <w:rPr>
          <w:sz w:val="24"/>
          <w:lang w:val="en-ZA"/>
        </w:rPr>
      </w:pPr>
    </w:p>
    <w:p w:rsidR="00CB23AF" w:rsidRPr="00785594" w:rsidRDefault="00A91171" w:rsidP="00785594">
      <w:pPr>
        <w:pStyle w:val="ListParagraph"/>
        <w:spacing w:line="360" w:lineRule="auto"/>
        <w:ind w:left="0" w:right="26"/>
        <w:jc w:val="both"/>
        <w:rPr>
          <w:b/>
          <w:sz w:val="24"/>
          <w:lang w:val="en-ZA"/>
        </w:rPr>
      </w:pPr>
      <w:r w:rsidRPr="005424BF">
        <w:rPr>
          <w:b/>
          <w:sz w:val="24"/>
          <w:lang w:val="en-ZA"/>
        </w:rPr>
        <w:t>Grounds of appeal</w:t>
      </w:r>
    </w:p>
    <w:p w:rsidR="00B213A9" w:rsidRPr="00272CD9" w:rsidRDefault="00272CD9" w:rsidP="00272CD9">
      <w:pPr>
        <w:spacing w:line="360" w:lineRule="auto"/>
        <w:ind w:right="26"/>
        <w:jc w:val="both"/>
        <w:rPr>
          <w:sz w:val="24"/>
          <w:lang w:val="en-ZA"/>
        </w:rPr>
      </w:pPr>
      <w:r w:rsidRPr="005424BF">
        <w:rPr>
          <w:sz w:val="24"/>
          <w:lang w:val="en-ZA"/>
        </w:rPr>
        <w:t>[4]</w:t>
      </w:r>
      <w:r w:rsidRPr="005424BF">
        <w:rPr>
          <w:sz w:val="24"/>
          <w:lang w:val="en-ZA"/>
        </w:rPr>
        <w:tab/>
      </w:r>
      <w:r w:rsidR="00DC5FCC" w:rsidRPr="00272CD9">
        <w:rPr>
          <w:sz w:val="24"/>
          <w:lang w:val="en-ZA"/>
        </w:rPr>
        <w:t xml:space="preserve">Several grounds of appeal have been raised. </w:t>
      </w:r>
      <w:r w:rsidR="00B213A9" w:rsidRPr="00272CD9">
        <w:rPr>
          <w:sz w:val="24"/>
          <w:lang w:val="en-ZA"/>
        </w:rPr>
        <w:t>The Fund submitted that payment by the respondent of her money to an attorney for safekeeping to hide it from the creditors of her late husband</w:t>
      </w:r>
      <w:r w:rsidR="00DC5FCC" w:rsidRPr="00272CD9">
        <w:rPr>
          <w:sz w:val="24"/>
          <w:lang w:val="en-ZA"/>
        </w:rPr>
        <w:t>’s estate</w:t>
      </w:r>
      <w:r w:rsidR="00B213A9" w:rsidRPr="00272CD9">
        <w:rPr>
          <w:sz w:val="24"/>
          <w:lang w:val="en-ZA"/>
        </w:rPr>
        <w:t xml:space="preserve"> did not constitute an entrustment for purposes of s 26 of the Attorneys Act 53 of 1979</w:t>
      </w:r>
      <w:r w:rsidR="00750A9A" w:rsidRPr="00272CD9">
        <w:rPr>
          <w:sz w:val="24"/>
          <w:lang w:val="en-ZA"/>
        </w:rPr>
        <w:t xml:space="preserve"> (the </w:t>
      </w:r>
      <w:r w:rsidR="006759F6" w:rsidRPr="00272CD9">
        <w:rPr>
          <w:sz w:val="24"/>
          <w:lang w:val="en-ZA"/>
        </w:rPr>
        <w:t xml:space="preserve">Attorneys </w:t>
      </w:r>
      <w:r w:rsidR="00DC5FCC" w:rsidRPr="00272CD9">
        <w:rPr>
          <w:sz w:val="24"/>
          <w:lang w:val="en-ZA"/>
        </w:rPr>
        <w:t>Act)</w:t>
      </w:r>
      <w:r w:rsidR="00B213A9" w:rsidRPr="00272CD9">
        <w:rPr>
          <w:sz w:val="24"/>
          <w:lang w:val="en-ZA"/>
        </w:rPr>
        <w:t xml:space="preserve">, but rather a deposit for </w:t>
      </w:r>
      <w:r w:rsidR="00DC5FCC" w:rsidRPr="00272CD9">
        <w:rPr>
          <w:sz w:val="24"/>
          <w:lang w:val="en-ZA"/>
        </w:rPr>
        <w:t>safekeeping. Also,</w:t>
      </w:r>
      <w:r w:rsidR="00B213A9" w:rsidRPr="00272CD9">
        <w:rPr>
          <w:sz w:val="24"/>
          <w:lang w:val="en-ZA"/>
        </w:rPr>
        <w:t xml:space="preserve"> Parliament could never have intended that payment of money into the trust account of an attorney</w:t>
      </w:r>
      <w:r w:rsidR="00750A9A" w:rsidRPr="00272CD9">
        <w:rPr>
          <w:sz w:val="24"/>
          <w:lang w:val="en-ZA"/>
        </w:rPr>
        <w:t xml:space="preserve"> </w:t>
      </w:r>
      <w:r w:rsidR="00B213A9" w:rsidRPr="00272CD9">
        <w:rPr>
          <w:sz w:val="24"/>
          <w:lang w:val="en-ZA"/>
        </w:rPr>
        <w:t xml:space="preserve">for such purpose would constitute an entrustment as </w:t>
      </w:r>
      <w:r w:rsidR="00750A9A" w:rsidRPr="00272CD9">
        <w:rPr>
          <w:sz w:val="24"/>
          <w:lang w:val="en-ZA"/>
        </w:rPr>
        <w:t>p</w:t>
      </w:r>
      <w:r w:rsidR="00DC5FCC" w:rsidRPr="00272CD9">
        <w:rPr>
          <w:sz w:val="24"/>
          <w:lang w:val="en-ZA"/>
        </w:rPr>
        <w:t>rovided for in s 26. Furthermore, entrustment entails</w:t>
      </w:r>
      <w:r w:rsidR="00750A9A" w:rsidRPr="00272CD9">
        <w:rPr>
          <w:sz w:val="24"/>
          <w:lang w:val="en-ZA"/>
        </w:rPr>
        <w:t xml:space="preserve"> that the attorney entrusted with the money is bound to hold it and pay it over </w:t>
      </w:r>
      <w:r w:rsidR="00B90483" w:rsidRPr="00272CD9">
        <w:rPr>
          <w:sz w:val="24"/>
          <w:lang w:val="en-ZA"/>
        </w:rPr>
        <w:t xml:space="preserve">(a) </w:t>
      </w:r>
      <w:r w:rsidR="00750A9A" w:rsidRPr="00272CD9">
        <w:rPr>
          <w:sz w:val="24"/>
          <w:lang w:val="en-ZA"/>
        </w:rPr>
        <w:t xml:space="preserve">to a third person </w:t>
      </w:r>
      <w:r w:rsidR="00B90483" w:rsidRPr="00272CD9">
        <w:rPr>
          <w:sz w:val="24"/>
          <w:lang w:val="en-ZA"/>
        </w:rPr>
        <w:t xml:space="preserve">(b) </w:t>
      </w:r>
      <w:r w:rsidR="00750A9A" w:rsidRPr="00272CD9">
        <w:rPr>
          <w:sz w:val="24"/>
          <w:lang w:val="en-ZA"/>
        </w:rPr>
        <w:t>upon fulfilment of a particular condition</w:t>
      </w:r>
      <w:r w:rsidR="00B90483" w:rsidRPr="00272CD9">
        <w:rPr>
          <w:sz w:val="24"/>
          <w:lang w:val="en-ZA"/>
        </w:rPr>
        <w:t>,</w:t>
      </w:r>
      <w:r w:rsidR="00750A9A" w:rsidRPr="00272CD9">
        <w:rPr>
          <w:sz w:val="24"/>
          <w:lang w:val="en-ZA"/>
        </w:rPr>
        <w:t xml:space="preserve"> or the occurrence of a particular event</w:t>
      </w:r>
      <w:r w:rsidR="00B90483" w:rsidRPr="00272CD9">
        <w:rPr>
          <w:sz w:val="24"/>
          <w:lang w:val="en-ZA"/>
        </w:rPr>
        <w:t>,</w:t>
      </w:r>
      <w:r w:rsidR="00750A9A" w:rsidRPr="00272CD9">
        <w:rPr>
          <w:sz w:val="24"/>
          <w:lang w:val="en-ZA"/>
        </w:rPr>
        <w:t xml:space="preserve"> or </w:t>
      </w:r>
      <w:r w:rsidR="00B90483" w:rsidRPr="00272CD9">
        <w:rPr>
          <w:sz w:val="24"/>
          <w:lang w:val="en-ZA"/>
        </w:rPr>
        <w:t xml:space="preserve">(c) </w:t>
      </w:r>
      <w:r w:rsidR="00750A9A" w:rsidRPr="00272CD9">
        <w:rPr>
          <w:sz w:val="24"/>
          <w:lang w:val="en-ZA"/>
        </w:rPr>
        <w:t>on the instruction of the depositor upon conclusion of a particular matter or transaction which is already in place or about to com</w:t>
      </w:r>
      <w:r w:rsidR="00DC5FCC" w:rsidRPr="00272CD9">
        <w:rPr>
          <w:sz w:val="24"/>
          <w:lang w:val="en-ZA"/>
        </w:rPr>
        <w:t>e into existence. Finally</w:t>
      </w:r>
      <w:r w:rsidR="00B8073F" w:rsidRPr="00272CD9">
        <w:rPr>
          <w:sz w:val="24"/>
          <w:lang w:val="en-ZA"/>
        </w:rPr>
        <w:t>, the appellant alleged that it</w:t>
      </w:r>
      <w:r w:rsidR="00750A9A" w:rsidRPr="00272CD9">
        <w:rPr>
          <w:sz w:val="24"/>
          <w:lang w:val="en-ZA"/>
        </w:rPr>
        <w:t xml:space="preserve"> </w:t>
      </w:r>
      <w:r w:rsidR="00DC5FCC" w:rsidRPr="00272CD9">
        <w:rPr>
          <w:sz w:val="24"/>
          <w:lang w:val="en-ZA"/>
        </w:rPr>
        <w:t>did not seek</w:t>
      </w:r>
      <w:r w:rsidR="00750A9A" w:rsidRPr="00272CD9">
        <w:rPr>
          <w:sz w:val="24"/>
          <w:lang w:val="en-ZA"/>
        </w:rPr>
        <w:t xml:space="preserve"> to import a further ‘element’ into the concept of entrustment</w:t>
      </w:r>
      <w:r w:rsidR="0087574E" w:rsidRPr="00272CD9">
        <w:rPr>
          <w:sz w:val="24"/>
          <w:lang w:val="en-ZA"/>
        </w:rPr>
        <w:t xml:space="preserve"> </w:t>
      </w:r>
      <w:r w:rsidR="00084125" w:rsidRPr="00272CD9">
        <w:rPr>
          <w:sz w:val="24"/>
          <w:lang w:val="en-ZA"/>
        </w:rPr>
        <w:t xml:space="preserve">and </w:t>
      </w:r>
      <w:r w:rsidR="0087574E" w:rsidRPr="00272CD9">
        <w:rPr>
          <w:sz w:val="24"/>
          <w:lang w:val="en-ZA"/>
        </w:rPr>
        <w:t xml:space="preserve">the court a quo </w:t>
      </w:r>
      <w:r w:rsidR="00084125" w:rsidRPr="00272CD9">
        <w:rPr>
          <w:sz w:val="24"/>
          <w:lang w:val="en-ZA"/>
        </w:rPr>
        <w:t>erred in this regard</w:t>
      </w:r>
      <w:r w:rsidR="00750A9A" w:rsidRPr="00272CD9">
        <w:rPr>
          <w:sz w:val="24"/>
          <w:lang w:val="en-ZA"/>
        </w:rPr>
        <w:t>.</w:t>
      </w:r>
    </w:p>
    <w:p w:rsidR="003E755B" w:rsidRPr="005424BF" w:rsidRDefault="003E755B" w:rsidP="00F67F8F">
      <w:pPr>
        <w:pStyle w:val="ListParagraph"/>
        <w:spacing w:line="360" w:lineRule="auto"/>
        <w:ind w:left="0" w:right="26"/>
        <w:jc w:val="both"/>
        <w:rPr>
          <w:sz w:val="24"/>
          <w:lang w:val="en-ZA"/>
        </w:rPr>
      </w:pPr>
    </w:p>
    <w:p w:rsidR="00517640" w:rsidRPr="00785594" w:rsidRDefault="00A91171" w:rsidP="00F67F8F">
      <w:pPr>
        <w:pStyle w:val="ListParagraph"/>
        <w:spacing w:line="360" w:lineRule="auto"/>
        <w:ind w:left="0" w:right="26"/>
        <w:jc w:val="both"/>
        <w:rPr>
          <w:b/>
          <w:sz w:val="24"/>
          <w:lang w:val="en-ZA"/>
        </w:rPr>
      </w:pPr>
      <w:r w:rsidRPr="005424BF">
        <w:rPr>
          <w:b/>
          <w:sz w:val="24"/>
          <w:lang w:val="en-ZA"/>
        </w:rPr>
        <w:t>Section 26 of the Attorneys Act</w:t>
      </w:r>
    </w:p>
    <w:p w:rsidR="007365B3" w:rsidRPr="00272CD9" w:rsidRDefault="00272CD9" w:rsidP="00272CD9">
      <w:pPr>
        <w:spacing w:line="360" w:lineRule="auto"/>
        <w:ind w:right="26"/>
        <w:jc w:val="both"/>
        <w:rPr>
          <w:sz w:val="24"/>
          <w:lang w:val="en-ZA"/>
        </w:rPr>
      </w:pPr>
      <w:r w:rsidRPr="005424BF">
        <w:rPr>
          <w:sz w:val="24"/>
          <w:lang w:val="en-ZA"/>
        </w:rPr>
        <w:t>[5]</w:t>
      </w:r>
      <w:r w:rsidRPr="005424BF">
        <w:rPr>
          <w:sz w:val="24"/>
          <w:lang w:val="en-ZA"/>
        </w:rPr>
        <w:tab/>
      </w:r>
      <w:r w:rsidR="00A91171" w:rsidRPr="00272CD9">
        <w:rPr>
          <w:sz w:val="24"/>
          <w:lang w:val="en-ZA"/>
        </w:rPr>
        <w:t>Ms Guilherme’s claim</w:t>
      </w:r>
      <w:r w:rsidR="00517640" w:rsidRPr="00272CD9">
        <w:rPr>
          <w:sz w:val="24"/>
          <w:lang w:val="en-ZA"/>
        </w:rPr>
        <w:t>, she being the successful plaintiff in the court</w:t>
      </w:r>
      <w:r w:rsidR="00817254" w:rsidRPr="00272CD9">
        <w:rPr>
          <w:sz w:val="24"/>
          <w:lang w:val="en-ZA"/>
        </w:rPr>
        <w:t xml:space="preserve"> of first instance</w:t>
      </w:r>
      <w:r w:rsidR="00517640" w:rsidRPr="00272CD9">
        <w:rPr>
          <w:sz w:val="24"/>
          <w:lang w:val="en-ZA"/>
        </w:rPr>
        <w:t>, was pre</w:t>
      </w:r>
      <w:r w:rsidR="00A91171" w:rsidRPr="00272CD9">
        <w:rPr>
          <w:sz w:val="24"/>
          <w:lang w:val="en-ZA"/>
        </w:rPr>
        <w:t>mised on s</w:t>
      </w:r>
      <w:r w:rsidR="00EA041E" w:rsidRPr="00272CD9">
        <w:rPr>
          <w:sz w:val="24"/>
          <w:lang w:val="en-ZA"/>
        </w:rPr>
        <w:t>ubsec</w:t>
      </w:r>
      <w:r w:rsidR="00A91171" w:rsidRPr="00272CD9">
        <w:rPr>
          <w:sz w:val="24"/>
          <w:lang w:val="en-ZA"/>
        </w:rPr>
        <w:t xml:space="preserve"> 26</w:t>
      </w:r>
      <w:r w:rsidR="00EA041E" w:rsidRPr="00272CD9">
        <w:rPr>
          <w:i/>
          <w:sz w:val="24"/>
          <w:lang w:val="en-ZA"/>
        </w:rPr>
        <w:t>(a)</w:t>
      </w:r>
      <w:r w:rsidR="00A91171" w:rsidRPr="00272CD9">
        <w:rPr>
          <w:i/>
          <w:sz w:val="24"/>
          <w:lang w:val="en-ZA"/>
        </w:rPr>
        <w:t xml:space="preserve"> </w:t>
      </w:r>
      <w:r w:rsidR="00A91171" w:rsidRPr="00272CD9">
        <w:rPr>
          <w:sz w:val="24"/>
          <w:lang w:val="en-ZA"/>
        </w:rPr>
        <w:t>of the Attorneys A</w:t>
      </w:r>
      <w:r w:rsidR="00517640" w:rsidRPr="00272CD9">
        <w:rPr>
          <w:sz w:val="24"/>
          <w:lang w:val="en-ZA"/>
        </w:rPr>
        <w:t xml:space="preserve">ct. It needs to be recorded that at the </w:t>
      </w:r>
      <w:r w:rsidR="007365B3" w:rsidRPr="00272CD9">
        <w:rPr>
          <w:sz w:val="24"/>
          <w:lang w:val="en-ZA"/>
        </w:rPr>
        <w:t>stage when</w:t>
      </w:r>
      <w:r w:rsidR="00517640" w:rsidRPr="00272CD9">
        <w:rPr>
          <w:sz w:val="24"/>
          <w:lang w:val="en-ZA"/>
        </w:rPr>
        <w:t xml:space="preserve"> the</w:t>
      </w:r>
      <w:r w:rsidR="007365B3" w:rsidRPr="00272CD9">
        <w:rPr>
          <w:sz w:val="24"/>
          <w:lang w:val="en-ZA"/>
        </w:rPr>
        <w:t xml:space="preserve"> action was instituted on 13 September 2018, the Legal Practice Act 28 of 201</w:t>
      </w:r>
      <w:r w:rsidR="00A91171" w:rsidRPr="00272CD9">
        <w:rPr>
          <w:sz w:val="24"/>
          <w:lang w:val="en-ZA"/>
        </w:rPr>
        <w:t>4 which repealed the Attorneys A</w:t>
      </w:r>
      <w:r w:rsidR="007365B3" w:rsidRPr="00272CD9">
        <w:rPr>
          <w:sz w:val="24"/>
          <w:lang w:val="en-ZA"/>
        </w:rPr>
        <w:t>ct was not yet applicable.</w:t>
      </w:r>
    </w:p>
    <w:p w:rsidR="007365B3" w:rsidRPr="005424BF" w:rsidRDefault="007365B3" w:rsidP="00F67F8F">
      <w:pPr>
        <w:pStyle w:val="ListParagraph"/>
        <w:spacing w:line="360" w:lineRule="auto"/>
        <w:ind w:left="0" w:right="26"/>
        <w:jc w:val="both"/>
        <w:rPr>
          <w:sz w:val="24"/>
          <w:lang w:val="en-ZA"/>
        </w:rPr>
      </w:pPr>
    </w:p>
    <w:p w:rsidR="00A27CA3" w:rsidRPr="00272CD9" w:rsidRDefault="00272CD9" w:rsidP="00272CD9">
      <w:pPr>
        <w:spacing w:line="360" w:lineRule="auto"/>
        <w:ind w:right="26"/>
        <w:jc w:val="both"/>
        <w:rPr>
          <w:sz w:val="24"/>
          <w:lang w:val="en-ZA"/>
        </w:rPr>
      </w:pPr>
      <w:r w:rsidRPr="005424BF">
        <w:rPr>
          <w:sz w:val="24"/>
          <w:lang w:val="en-ZA"/>
        </w:rPr>
        <w:lastRenderedPageBreak/>
        <w:t>[6]</w:t>
      </w:r>
      <w:r w:rsidRPr="005424BF">
        <w:rPr>
          <w:sz w:val="24"/>
          <w:lang w:val="en-ZA"/>
        </w:rPr>
        <w:tab/>
      </w:r>
      <w:r w:rsidR="006759F6" w:rsidRPr="00272CD9">
        <w:rPr>
          <w:sz w:val="24"/>
          <w:lang w:val="en-ZA"/>
        </w:rPr>
        <w:t xml:space="preserve">The heading of s 26 is significant, it being ‘Purpose of the fund.’ </w:t>
      </w:r>
      <w:r w:rsidR="007365B3" w:rsidRPr="00272CD9">
        <w:rPr>
          <w:sz w:val="24"/>
          <w:lang w:val="en-ZA"/>
        </w:rPr>
        <w:t>The relevant port</w:t>
      </w:r>
      <w:r w:rsidR="006759F6" w:rsidRPr="00272CD9">
        <w:rPr>
          <w:sz w:val="24"/>
          <w:lang w:val="en-ZA"/>
        </w:rPr>
        <w:t>ion of the section</w:t>
      </w:r>
      <w:r w:rsidR="007365B3" w:rsidRPr="00272CD9">
        <w:rPr>
          <w:sz w:val="24"/>
          <w:lang w:val="en-ZA"/>
        </w:rPr>
        <w:t xml:space="preserve">, before </w:t>
      </w:r>
      <w:r w:rsidR="00A91171" w:rsidRPr="00272CD9">
        <w:rPr>
          <w:sz w:val="24"/>
          <w:lang w:val="en-ZA"/>
        </w:rPr>
        <w:t>its repeal</w:t>
      </w:r>
      <w:r w:rsidR="00A27CA3" w:rsidRPr="00272CD9">
        <w:rPr>
          <w:sz w:val="24"/>
          <w:lang w:val="en-ZA"/>
        </w:rPr>
        <w:t xml:space="preserve"> stipulated as follows:</w:t>
      </w:r>
    </w:p>
    <w:p w:rsidR="00EA041E" w:rsidRPr="005424BF" w:rsidRDefault="00A27CA3" w:rsidP="00F67F8F">
      <w:pPr>
        <w:pStyle w:val="ListParagraph"/>
        <w:spacing w:line="360" w:lineRule="auto"/>
        <w:ind w:left="0" w:right="26"/>
        <w:jc w:val="both"/>
        <w:rPr>
          <w:sz w:val="22"/>
          <w:szCs w:val="22"/>
          <w:lang w:val="en-ZA"/>
        </w:rPr>
      </w:pPr>
      <w:r w:rsidRPr="005424BF">
        <w:rPr>
          <w:sz w:val="22"/>
          <w:szCs w:val="22"/>
          <w:lang w:val="en-ZA"/>
        </w:rPr>
        <w:t xml:space="preserve">‘Subject to the provisions of this Act, the fund shall be applied for the purpose of reimbursing persons who may suffer pecuniary loss as a result of </w:t>
      </w:r>
    </w:p>
    <w:p w:rsidR="00A27CA3" w:rsidRPr="005424BF" w:rsidRDefault="00EA041E" w:rsidP="00F67F8F">
      <w:pPr>
        <w:pStyle w:val="ListParagraph"/>
        <w:spacing w:line="360" w:lineRule="auto"/>
        <w:ind w:left="0" w:right="26"/>
        <w:jc w:val="both"/>
        <w:rPr>
          <w:sz w:val="22"/>
          <w:szCs w:val="22"/>
          <w:lang w:val="en-ZA"/>
        </w:rPr>
      </w:pPr>
      <w:r w:rsidRPr="005424BF">
        <w:rPr>
          <w:sz w:val="22"/>
          <w:szCs w:val="22"/>
          <w:lang w:val="en-ZA"/>
        </w:rPr>
        <w:t xml:space="preserve">(a) </w:t>
      </w:r>
      <w:r w:rsidR="00A27CA3" w:rsidRPr="005424BF">
        <w:rPr>
          <w:sz w:val="22"/>
          <w:szCs w:val="22"/>
          <w:lang w:val="en-ZA"/>
        </w:rPr>
        <w:t>theft committed</w:t>
      </w:r>
      <w:r w:rsidR="002B16AB" w:rsidRPr="005424BF">
        <w:rPr>
          <w:sz w:val="22"/>
          <w:szCs w:val="22"/>
          <w:lang w:val="en-ZA"/>
        </w:rPr>
        <w:t xml:space="preserve"> by a practising practitioner, </w:t>
      </w:r>
      <w:r w:rsidR="00A27CA3" w:rsidRPr="005424BF">
        <w:rPr>
          <w:sz w:val="22"/>
          <w:szCs w:val="22"/>
          <w:lang w:val="en-ZA"/>
        </w:rPr>
        <w:t>his clerk or employee, of any money or other property entrusted by or on behalf of such persons to him or to his clerk or employee in the course of his practice or while acting as executor or administrator in the estate of a deceased person or as a trustee in an insolvent estate or in any other similar capacity.'</w:t>
      </w:r>
    </w:p>
    <w:p w:rsidR="003C70A6" w:rsidRPr="005424BF" w:rsidRDefault="003C70A6" w:rsidP="00F67F8F">
      <w:pPr>
        <w:spacing w:line="360" w:lineRule="auto"/>
        <w:ind w:right="26"/>
        <w:jc w:val="both"/>
        <w:rPr>
          <w:sz w:val="24"/>
          <w:lang w:val="en-ZA"/>
        </w:rPr>
      </w:pPr>
    </w:p>
    <w:p w:rsidR="00750A9A" w:rsidRPr="00DD71A8" w:rsidRDefault="00862D15" w:rsidP="00F67F8F">
      <w:pPr>
        <w:spacing w:line="360" w:lineRule="auto"/>
        <w:ind w:right="26"/>
        <w:jc w:val="both"/>
        <w:rPr>
          <w:b/>
          <w:sz w:val="24"/>
          <w:lang w:val="en-ZA"/>
        </w:rPr>
      </w:pPr>
      <w:r w:rsidRPr="005424BF">
        <w:rPr>
          <w:b/>
          <w:sz w:val="24"/>
          <w:lang w:val="en-ZA"/>
        </w:rPr>
        <w:t>Evaluation of the parties’ submissions</w:t>
      </w:r>
    </w:p>
    <w:p w:rsidR="00750A9A" w:rsidRPr="00272CD9" w:rsidRDefault="00272CD9" w:rsidP="00272CD9">
      <w:pPr>
        <w:spacing w:line="360" w:lineRule="auto"/>
        <w:ind w:right="26"/>
        <w:jc w:val="both"/>
        <w:rPr>
          <w:sz w:val="24"/>
          <w:lang w:val="en-ZA"/>
        </w:rPr>
      </w:pPr>
      <w:r w:rsidRPr="005424BF">
        <w:rPr>
          <w:sz w:val="24"/>
          <w:lang w:val="en-ZA"/>
        </w:rPr>
        <w:t>[7]</w:t>
      </w:r>
      <w:r w:rsidRPr="005424BF">
        <w:rPr>
          <w:sz w:val="24"/>
          <w:lang w:val="en-ZA"/>
        </w:rPr>
        <w:tab/>
      </w:r>
      <w:r w:rsidR="00750A9A" w:rsidRPr="00272CD9">
        <w:rPr>
          <w:sz w:val="24"/>
          <w:lang w:val="en-ZA"/>
        </w:rPr>
        <w:t xml:space="preserve">The Fund’s main submission </w:t>
      </w:r>
      <w:r w:rsidR="006759F6" w:rsidRPr="00272CD9">
        <w:rPr>
          <w:sz w:val="24"/>
          <w:lang w:val="en-ZA"/>
        </w:rPr>
        <w:t xml:space="preserve">is </w:t>
      </w:r>
      <w:r w:rsidR="00750A9A" w:rsidRPr="00272CD9">
        <w:rPr>
          <w:sz w:val="24"/>
          <w:lang w:val="en-ZA"/>
        </w:rPr>
        <w:t>that the legal concepts of ‘deposit’ (</w:t>
      </w:r>
      <w:r w:rsidR="00750A9A" w:rsidRPr="00272CD9">
        <w:rPr>
          <w:i/>
          <w:sz w:val="24"/>
          <w:lang w:val="en-ZA"/>
        </w:rPr>
        <w:t>depositum</w:t>
      </w:r>
      <w:r w:rsidR="00750A9A" w:rsidRPr="00272CD9">
        <w:rPr>
          <w:sz w:val="24"/>
          <w:lang w:val="en-ZA"/>
        </w:rPr>
        <w:t>) on the one hand and ‘entrustment’ as contemplated in subsec 26</w:t>
      </w:r>
      <w:r w:rsidR="00750A9A" w:rsidRPr="00272CD9">
        <w:rPr>
          <w:i/>
          <w:sz w:val="24"/>
          <w:lang w:val="en-ZA"/>
        </w:rPr>
        <w:t xml:space="preserve">(a) </w:t>
      </w:r>
      <w:r w:rsidR="006759F6" w:rsidRPr="00272CD9">
        <w:rPr>
          <w:sz w:val="24"/>
          <w:lang w:val="en-ZA"/>
        </w:rPr>
        <w:t>of the Attorneys Act</w:t>
      </w:r>
      <w:r w:rsidR="00750A9A" w:rsidRPr="00272CD9">
        <w:rPr>
          <w:sz w:val="24"/>
          <w:lang w:val="en-ZA"/>
        </w:rPr>
        <w:t xml:space="preserve"> on the other are clearly separate and distinct from one another. A deposit (</w:t>
      </w:r>
      <w:r w:rsidR="00750A9A" w:rsidRPr="00272CD9">
        <w:rPr>
          <w:i/>
          <w:sz w:val="24"/>
          <w:lang w:val="en-ZA"/>
        </w:rPr>
        <w:t>depositum</w:t>
      </w:r>
      <w:r w:rsidR="00750A9A" w:rsidRPr="00272CD9">
        <w:rPr>
          <w:sz w:val="24"/>
          <w:lang w:val="en-ZA"/>
        </w:rPr>
        <w:t>), as alleged, is an agreement in terms wh</w:t>
      </w:r>
      <w:r w:rsidR="0053397C" w:rsidRPr="00272CD9">
        <w:rPr>
          <w:sz w:val="24"/>
          <w:lang w:val="en-ZA"/>
        </w:rPr>
        <w:t>ereof a thing is delivered for</w:t>
      </w:r>
      <w:r w:rsidR="00750A9A" w:rsidRPr="00272CD9">
        <w:rPr>
          <w:sz w:val="24"/>
          <w:lang w:val="en-ZA"/>
        </w:rPr>
        <w:t xml:space="preserve"> gratuitous safekeeping returnable on demand.</w:t>
      </w:r>
      <w:r w:rsidR="00750A9A" w:rsidRPr="005424BF">
        <w:rPr>
          <w:rStyle w:val="FootnoteReference"/>
          <w:sz w:val="24"/>
          <w:lang w:val="en-ZA"/>
        </w:rPr>
        <w:footnoteReference w:id="1"/>
      </w:r>
      <w:r w:rsidR="00750A9A" w:rsidRPr="00272CD9">
        <w:rPr>
          <w:sz w:val="24"/>
          <w:lang w:val="en-ZA"/>
        </w:rPr>
        <w:t xml:space="preserve"> </w:t>
      </w:r>
      <w:r w:rsidR="0053397C" w:rsidRPr="00272CD9">
        <w:rPr>
          <w:sz w:val="24"/>
          <w:lang w:val="en-ZA"/>
        </w:rPr>
        <w:t xml:space="preserve">(I point out in the next paragraph that this submission is based on an improper reading of the text.) </w:t>
      </w:r>
      <w:r w:rsidR="00750A9A" w:rsidRPr="00272CD9">
        <w:rPr>
          <w:sz w:val="24"/>
          <w:lang w:val="en-ZA"/>
        </w:rPr>
        <w:t>By contras</w:t>
      </w:r>
      <w:r w:rsidR="00E800B8" w:rsidRPr="00272CD9">
        <w:rPr>
          <w:sz w:val="24"/>
          <w:lang w:val="en-ZA"/>
        </w:rPr>
        <w:t xml:space="preserve">t, an entrustment comprises </w:t>
      </w:r>
      <w:r w:rsidR="00750A9A" w:rsidRPr="00272CD9">
        <w:rPr>
          <w:sz w:val="24"/>
          <w:lang w:val="en-ZA"/>
        </w:rPr>
        <w:t>(a) to place</w:t>
      </w:r>
      <w:r w:rsidR="00A12A1A" w:rsidRPr="00272CD9">
        <w:rPr>
          <w:sz w:val="24"/>
          <w:lang w:val="en-ZA"/>
        </w:rPr>
        <w:t xml:space="preserve"> in the possession of something and</w:t>
      </w:r>
      <w:r w:rsidR="00750A9A" w:rsidRPr="00272CD9">
        <w:rPr>
          <w:sz w:val="24"/>
          <w:lang w:val="en-ZA"/>
        </w:rPr>
        <w:t xml:space="preserve"> (b) subject to a trust</w:t>
      </w:r>
      <w:r w:rsidR="00A12A1A" w:rsidRPr="00272CD9">
        <w:rPr>
          <w:sz w:val="24"/>
          <w:lang w:val="en-ZA"/>
        </w:rPr>
        <w:t>, which connotes that the</w:t>
      </w:r>
      <w:r w:rsidR="00750A9A" w:rsidRPr="00272CD9">
        <w:rPr>
          <w:sz w:val="24"/>
          <w:lang w:val="en-ZA"/>
        </w:rPr>
        <w:t xml:space="preserve"> person entrusted is bound to deal with the property or money concerned for the benefit of others </w:t>
      </w:r>
      <w:r w:rsidR="00A12A1A" w:rsidRPr="00272CD9">
        <w:rPr>
          <w:sz w:val="24"/>
          <w:lang w:val="en-ZA"/>
        </w:rPr>
        <w:t xml:space="preserve">and that the trustee is bound to hold and apply the property for the benefit of some person or persons </w:t>
      </w:r>
      <w:r w:rsidR="00750A9A" w:rsidRPr="00272CD9">
        <w:rPr>
          <w:sz w:val="24"/>
          <w:lang w:val="en-ZA"/>
        </w:rPr>
        <w:t>or for the accomplishment of some special purpose.</w:t>
      </w:r>
      <w:r w:rsidR="002F5316" w:rsidRPr="00272CD9">
        <w:rPr>
          <w:sz w:val="24"/>
          <w:lang w:val="en-ZA"/>
        </w:rPr>
        <w:t xml:space="preserve"> </w:t>
      </w:r>
      <w:r w:rsidR="00260E9F" w:rsidRPr="00272CD9">
        <w:rPr>
          <w:sz w:val="24"/>
          <w:lang w:val="en-ZA"/>
        </w:rPr>
        <w:t xml:space="preserve">Counsel for </w:t>
      </w:r>
      <w:r w:rsidR="002F5316" w:rsidRPr="00272CD9">
        <w:rPr>
          <w:sz w:val="24"/>
          <w:lang w:val="en-ZA"/>
        </w:rPr>
        <w:t xml:space="preserve">the appellant also referred </w:t>
      </w:r>
      <w:r w:rsidR="002A5F59" w:rsidRPr="00272CD9">
        <w:rPr>
          <w:sz w:val="24"/>
          <w:lang w:val="en-ZA"/>
        </w:rPr>
        <w:t xml:space="preserve">to the combined effect of several judgments in support of his submission. </w:t>
      </w:r>
      <w:r w:rsidR="00295A63" w:rsidRPr="00272CD9">
        <w:rPr>
          <w:sz w:val="24"/>
          <w:lang w:val="en-ZA"/>
        </w:rPr>
        <w:t>As I shall show, his submission must be seen in proper perspective</w:t>
      </w:r>
      <w:r w:rsidR="0053397C" w:rsidRPr="00272CD9">
        <w:rPr>
          <w:sz w:val="24"/>
          <w:lang w:val="en-ZA"/>
        </w:rPr>
        <w:t xml:space="preserve">. These judgments are fact-based and do not entail </w:t>
      </w:r>
      <w:r w:rsidR="00295A63" w:rsidRPr="00272CD9">
        <w:rPr>
          <w:sz w:val="24"/>
          <w:lang w:val="en-ZA"/>
        </w:rPr>
        <w:t xml:space="preserve">that Ms </w:t>
      </w:r>
      <w:r w:rsidR="00370D4F" w:rsidRPr="00272CD9">
        <w:rPr>
          <w:sz w:val="24"/>
          <w:lang w:val="en-ZA"/>
        </w:rPr>
        <w:t>Guilherme’s version does not amount to an entrustment.</w:t>
      </w:r>
    </w:p>
    <w:p w:rsidR="00F876F1" w:rsidRPr="005424BF" w:rsidRDefault="00F876F1" w:rsidP="00F67F8F">
      <w:pPr>
        <w:pStyle w:val="ListParagraph"/>
        <w:spacing w:line="360" w:lineRule="auto"/>
        <w:ind w:left="0" w:right="26"/>
        <w:jc w:val="both"/>
        <w:rPr>
          <w:sz w:val="24"/>
          <w:lang w:val="en-ZA"/>
        </w:rPr>
      </w:pPr>
    </w:p>
    <w:p w:rsidR="0053397C" w:rsidRPr="00272CD9" w:rsidRDefault="00272CD9" w:rsidP="00272CD9">
      <w:pPr>
        <w:spacing w:line="360" w:lineRule="auto"/>
        <w:ind w:right="26"/>
        <w:jc w:val="both"/>
        <w:rPr>
          <w:sz w:val="24"/>
          <w:lang w:val="en-ZA"/>
        </w:rPr>
      </w:pPr>
      <w:r w:rsidRPr="005424BF">
        <w:rPr>
          <w:sz w:val="24"/>
          <w:lang w:val="en-ZA"/>
        </w:rPr>
        <w:t>[8]</w:t>
      </w:r>
      <w:r w:rsidRPr="005424BF">
        <w:rPr>
          <w:sz w:val="24"/>
          <w:lang w:val="en-ZA"/>
        </w:rPr>
        <w:tab/>
      </w:r>
      <w:r w:rsidR="0053397C" w:rsidRPr="00272CD9">
        <w:rPr>
          <w:sz w:val="24"/>
          <w:lang w:val="en-ZA"/>
        </w:rPr>
        <w:t>As mentioned in the previous paragraph, t</w:t>
      </w:r>
      <w:r w:rsidR="00750A9A" w:rsidRPr="00272CD9">
        <w:rPr>
          <w:sz w:val="24"/>
          <w:lang w:val="en-ZA"/>
        </w:rPr>
        <w:t xml:space="preserve">he Fund submitted that the payment into the attorney’s trust account was a </w:t>
      </w:r>
      <w:r w:rsidR="00750A9A" w:rsidRPr="00272CD9">
        <w:rPr>
          <w:i/>
          <w:sz w:val="24"/>
          <w:lang w:val="en-ZA"/>
        </w:rPr>
        <w:t>depositum</w:t>
      </w:r>
      <w:r w:rsidR="00B7077C" w:rsidRPr="00272CD9">
        <w:rPr>
          <w:sz w:val="24"/>
          <w:lang w:val="en-ZA"/>
        </w:rPr>
        <w:t xml:space="preserve">, ie a </w:t>
      </w:r>
      <w:r w:rsidR="00750A9A" w:rsidRPr="00272CD9">
        <w:rPr>
          <w:sz w:val="24"/>
          <w:lang w:val="en-ZA"/>
        </w:rPr>
        <w:t>deposit of monies into the attorney</w:t>
      </w:r>
      <w:r w:rsidR="006759F6" w:rsidRPr="00272CD9">
        <w:rPr>
          <w:sz w:val="24"/>
          <w:lang w:val="en-ZA"/>
        </w:rPr>
        <w:t>’</w:t>
      </w:r>
      <w:r w:rsidR="00750A9A" w:rsidRPr="00272CD9">
        <w:rPr>
          <w:sz w:val="24"/>
          <w:lang w:val="en-ZA"/>
        </w:rPr>
        <w:t xml:space="preserve">s trust account for safe-keeping and not an entrustment of such monies for the purposes of the Attorneys Act. It submitted that the monies were deposited for the purpose of hiding it from creditors </w:t>
      </w:r>
      <w:r w:rsidR="0053397C" w:rsidRPr="00272CD9">
        <w:rPr>
          <w:sz w:val="24"/>
          <w:lang w:val="en-ZA"/>
        </w:rPr>
        <w:t>of her deceased husband’s estate and</w:t>
      </w:r>
      <w:r w:rsidR="00750A9A" w:rsidRPr="00272CD9">
        <w:rPr>
          <w:sz w:val="24"/>
          <w:lang w:val="en-ZA"/>
        </w:rPr>
        <w:t xml:space="preserve"> could not be regarded as an entrustment that e</w:t>
      </w:r>
      <w:r w:rsidR="0053397C" w:rsidRPr="00272CD9">
        <w:rPr>
          <w:sz w:val="24"/>
          <w:lang w:val="en-ZA"/>
        </w:rPr>
        <w:t>njoys protection of trust money</w:t>
      </w:r>
      <w:r w:rsidR="00750A9A" w:rsidRPr="00272CD9">
        <w:rPr>
          <w:sz w:val="24"/>
          <w:lang w:val="en-ZA"/>
        </w:rPr>
        <w:t xml:space="preserve"> in accordance with the Attorneys Act.</w:t>
      </w:r>
      <w:r w:rsidR="0053397C" w:rsidRPr="00272CD9">
        <w:rPr>
          <w:sz w:val="24"/>
          <w:lang w:val="en-ZA"/>
        </w:rPr>
        <w:t xml:space="preserve"> T</w:t>
      </w:r>
      <w:r w:rsidR="00E800B8" w:rsidRPr="00272CD9">
        <w:rPr>
          <w:sz w:val="24"/>
          <w:lang w:val="en-ZA"/>
        </w:rPr>
        <w:t>he Fund</w:t>
      </w:r>
      <w:r w:rsidR="0053397C" w:rsidRPr="00272CD9">
        <w:rPr>
          <w:sz w:val="24"/>
          <w:lang w:val="en-ZA"/>
        </w:rPr>
        <w:t>’s counsel</w:t>
      </w:r>
      <w:r w:rsidR="00E800B8" w:rsidRPr="00272CD9">
        <w:rPr>
          <w:sz w:val="24"/>
          <w:lang w:val="en-ZA"/>
        </w:rPr>
        <w:t xml:space="preserve"> elected to re</w:t>
      </w:r>
      <w:r w:rsidR="0053397C" w:rsidRPr="00272CD9">
        <w:rPr>
          <w:sz w:val="24"/>
          <w:lang w:val="en-ZA"/>
        </w:rPr>
        <w:t>ly on a definition of</w:t>
      </w:r>
      <w:r w:rsidR="00B7077C" w:rsidRPr="00272CD9">
        <w:rPr>
          <w:sz w:val="24"/>
          <w:lang w:val="en-ZA"/>
        </w:rPr>
        <w:t xml:space="preserve"> </w:t>
      </w:r>
      <w:r w:rsidR="00C04ED2" w:rsidRPr="00272CD9">
        <w:rPr>
          <w:sz w:val="24"/>
          <w:lang w:val="en-ZA"/>
        </w:rPr>
        <w:t xml:space="preserve">‘deposit’ </w:t>
      </w:r>
      <w:r w:rsidR="00E800B8" w:rsidRPr="00272CD9">
        <w:rPr>
          <w:sz w:val="24"/>
          <w:lang w:val="en-ZA"/>
        </w:rPr>
        <w:t xml:space="preserve">in </w:t>
      </w:r>
      <w:r w:rsidR="00E800B8" w:rsidRPr="00272CD9">
        <w:rPr>
          <w:i/>
          <w:sz w:val="24"/>
          <w:lang w:val="en-ZA"/>
        </w:rPr>
        <w:lastRenderedPageBreak/>
        <w:t>Wille’s Principles of South African Law</w:t>
      </w:r>
      <w:r w:rsidR="00C04ED2" w:rsidRPr="00272CD9">
        <w:rPr>
          <w:i/>
          <w:sz w:val="24"/>
          <w:lang w:val="en-ZA"/>
        </w:rPr>
        <w:t xml:space="preserve">, </w:t>
      </w:r>
      <w:r w:rsidR="00C04ED2" w:rsidRPr="00272CD9">
        <w:rPr>
          <w:sz w:val="24"/>
          <w:lang w:val="en-ZA"/>
        </w:rPr>
        <w:t xml:space="preserve">but failed to quote the definition in proper context. The authors, relying on inter alia Grotius and Van der Linden and several other authorities, defined deposit as follows: </w:t>
      </w:r>
    </w:p>
    <w:p w:rsidR="0053397C" w:rsidRPr="005424BF" w:rsidRDefault="00C04ED2" w:rsidP="002C4669">
      <w:pPr>
        <w:pStyle w:val="ListParagraph"/>
        <w:spacing w:line="360" w:lineRule="auto"/>
        <w:ind w:left="0"/>
        <w:jc w:val="both"/>
        <w:rPr>
          <w:sz w:val="22"/>
          <w:szCs w:val="22"/>
          <w:lang w:val="en-ZA"/>
        </w:rPr>
      </w:pPr>
      <w:r w:rsidRPr="005424BF">
        <w:rPr>
          <w:sz w:val="22"/>
          <w:szCs w:val="22"/>
          <w:lang w:val="en-ZA"/>
        </w:rPr>
        <w:t>‘Deposit (depositum or beaergeving [in Afrikaans: bewaargewing]) is a contract in which one person (‘the depositor’) delivers to another (‘the depository’) a thing for safekeeping, either gratuitously or for reward, on the understanding that the id</w:t>
      </w:r>
      <w:r w:rsidR="00B7077C" w:rsidRPr="005424BF">
        <w:rPr>
          <w:sz w:val="22"/>
          <w:szCs w:val="22"/>
          <w:lang w:val="en-ZA"/>
        </w:rPr>
        <w:t xml:space="preserve">entical thing is to be returned </w:t>
      </w:r>
      <w:r w:rsidRPr="005424BF">
        <w:rPr>
          <w:sz w:val="22"/>
          <w:szCs w:val="22"/>
          <w:lang w:val="en-ZA"/>
        </w:rPr>
        <w:t>on demand in the same condition as received.</w:t>
      </w:r>
      <w:r w:rsidR="002C4669" w:rsidRPr="005424BF">
        <w:rPr>
          <w:sz w:val="22"/>
          <w:szCs w:val="22"/>
          <w:lang w:val="en-ZA"/>
        </w:rPr>
        <w:t>’</w:t>
      </w:r>
      <w:r w:rsidRPr="005424BF">
        <w:rPr>
          <w:rStyle w:val="FootnoteReference"/>
          <w:sz w:val="22"/>
          <w:szCs w:val="22"/>
          <w:lang w:val="en-ZA"/>
        </w:rPr>
        <w:footnoteReference w:id="2"/>
      </w:r>
      <w:r w:rsidRPr="005424BF">
        <w:rPr>
          <w:sz w:val="22"/>
          <w:szCs w:val="22"/>
          <w:lang w:val="en-ZA"/>
        </w:rPr>
        <w:t xml:space="preserve"> </w:t>
      </w:r>
    </w:p>
    <w:p w:rsidR="00E800B8" w:rsidRPr="005424BF" w:rsidRDefault="00C04ED2" w:rsidP="0053397C">
      <w:pPr>
        <w:pStyle w:val="ListParagraph"/>
        <w:spacing w:line="360" w:lineRule="auto"/>
        <w:ind w:left="0" w:right="26"/>
        <w:jc w:val="both"/>
        <w:rPr>
          <w:sz w:val="24"/>
          <w:lang w:val="en-ZA"/>
        </w:rPr>
      </w:pPr>
      <w:r w:rsidRPr="005424BF">
        <w:rPr>
          <w:sz w:val="24"/>
          <w:lang w:val="en-ZA"/>
        </w:rPr>
        <w:t>The author</w:t>
      </w:r>
      <w:r w:rsidR="0053397C" w:rsidRPr="005424BF">
        <w:rPr>
          <w:sz w:val="24"/>
          <w:lang w:val="en-ZA"/>
        </w:rPr>
        <w:t>s also</w:t>
      </w:r>
      <w:r w:rsidRPr="005424BF">
        <w:rPr>
          <w:sz w:val="24"/>
          <w:lang w:val="en-ZA"/>
        </w:rPr>
        <w:t xml:space="preserve"> state that the subject matter of the deposit is usually movable property, but may also be immovable property. This is far removed from money deposited into an attorney’s trust account</w:t>
      </w:r>
      <w:r w:rsidR="00D15694" w:rsidRPr="005424BF">
        <w:rPr>
          <w:sz w:val="24"/>
          <w:lang w:val="en-ZA"/>
        </w:rPr>
        <w:t>.</w:t>
      </w:r>
    </w:p>
    <w:p w:rsidR="00031141" w:rsidRPr="005424BF" w:rsidRDefault="00031141" w:rsidP="00F67F8F">
      <w:pPr>
        <w:pStyle w:val="ListParagraph"/>
        <w:spacing w:line="360" w:lineRule="auto"/>
        <w:ind w:left="0" w:right="26"/>
        <w:jc w:val="both"/>
        <w:rPr>
          <w:sz w:val="24"/>
          <w:lang w:val="en-ZA"/>
        </w:rPr>
      </w:pPr>
    </w:p>
    <w:p w:rsidR="008D011D" w:rsidRPr="00272CD9" w:rsidRDefault="00272CD9" w:rsidP="00272CD9">
      <w:pPr>
        <w:spacing w:line="360" w:lineRule="auto"/>
        <w:ind w:right="26"/>
        <w:jc w:val="both"/>
        <w:rPr>
          <w:sz w:val="24"/>
          <w:lang w:val="en-ZA"/>
        </w:rPr>
      </w:pPr>
      <w:r w:rsidRPr="005424BF">
        <w:rPr>
          <w:sz w:val="24"/>
          <w:lang w:val="en-ZA"/>
        </w:rPr>
        <w:t>[9]</w:t>
      </w:r>
      <w:r w:rsidRPr="005424BF">
        <w:rPr>
          <w:sz w:val="24"/>
          <w:lang w:val="en-ZA"/>
        </w:rPr>
        <w:tab/>
      </w:r>
      <w:r w:rsidR="005421D8" w:rsidRPr="00272CD9">
        <w:rPr>
          <w:sz w:val="24"/>
          <w:lang w:val="en-ZA"/>
        </w:rPr>
        <w:t>As often stated</w:t>
      </w:r>
      <w:r w:rsidR="00972C17" w:rsidRPr="00272CD9">
        <w:rPr>
          <w:sz w:val="24"/>
          <w:lang w:val="en-ZA"/>
        </w:rPr>
        <w:t xml:space="preserve"> a unitary exercise </w:t>
      </w:r>
      <w:r w:rsidR="005421D8" w:rsidRPr="00272CD9">
        <w:rPr>
          <w:sz w:val="24"/>
          <w:lang w:val="en-ZA"/>
        </w:rPr>
        <w:t>must be undertaken in the interpretation of contracts and legislation, taking into account</w:t>
      </w:r>
      <w:r w:rsidR="00972C17" w:rsidRPr="00272CD9">
        <w:rPr>
          <w:sz w:val="24"/>
          <w:lang w:val="en-ZA"/>
        </w:rPr>
        <w:t xml:space="preserve"> text, context and purpose.</w:t>
      </w:r>
      <w:r w:rsidR="00972C17" w:rsidRPr="005424BF">
        <w:rPr>
          <w:rStyle w:val="FootnoteReference"/>
          <w:sz w:val="24"/>
          <w:lang w:val="en-ZA"/>
        </w:rPr>
        <w:footnoteReference w:id="3"/>
      </w:r>
      <w:r w:rsidR="005421D8" w:rsidRPr="00272CD9">
        <w:rPr>
          <w:sz w:val="24"/>
          <w:lang w:val="en-ZA"/>
        </w:rPr>
        <w:t xml:space="preserve"> R</w:t>
      </w:r>
      <w:r w:rsidR="00972C17" w:rsidRPr="00272CD9">
        <w:rPr>
          <w:sz w:val="24"/>
          <w:lang w:val="en-ZA"/>
        </w:rPr>
        <w:t>ecourse to dicti</w:t>
      </w:r>
      <w:r w:rsidR="005421D8" w:rsidRPr="00272CD9">
        <w:rPr>
          <w:sz w:val="24"/>
          <w:lang w:val="en-ZA"/>
        </w:rPr>
        <w:t>onaries to establish the ordinary meaning of words is often a good starting point, but has its limitations. Different meanings are often recorded and this may give rise to further questions</w:t>
      </w:r>
      <w:r w:rsidR="00BB15E5" w:rsidRPr="00272CD9">
        <w:rPr>
          <w:sz w:val="24"/>
          <w:lang w:val="en-ZA"/>
        </w:rPr>
        <w:t xml:space="preserve"> and/or uncertainty. Litigants may selectively rely on a specific meaning that suits their case the best. </w:t>
      </w:r>
      <w:r w:rsidR="00B7077C" w:rsidRPr="00272CD9">
        <w:rPr>
          <w:sz w:val="24"/>
          <w:lang w:val="en-ZA"/>
        </w:rPr>
        <w:t xml:space="preserve">Having </w:t>
      </w:r>
      <w:r w:rsidR="00BB15E5" w:rsidRPr="00272CD9">
        <w:rPr>
          <w:sz w:val="24"/>
          <w:lang w:val="en-ZA"/>
        </w:rPr>
        <w:t>recognised the pitfalls</w:t>
      </w:r>
      <w:r w:rsidR="00791E93" w:rsidRPr="00272CD9">
        <w:rPr>
          <w:sz w:val="24"/>
          <w:lang w:val="en-ZA"/>
        </w:rPr>
        <w:t xml:space="preserve"> in </w:t>
      </w:r>
      <w:r w:rsidR="00B7077C" w:rsidRPr="00272CD9">
        <w:rPr>
          <w:sz w:val="24"/>
          <w:lang w:val="en-ZA"/>
        </w:rPr>
        <w:t>relying slavishly on dictionary meanings given to words, it is worthwhile to consider what</w:t>
      </w:r>
      <w:r w:rsidR="000B256D" w:rsidRPr="00272CD9">
        <w:rPr>
          <w:sz w:val="24"/>
          <w:lang w:val="en-ZA"/>
        </w:rPr>
        <w:t xml:space="preserve"> the dictionaries tell us about the wor</w:t>
      </w:r>
      <w:r w:rsidR="00B7077C" w:rsidRPr="00272CD9">
        <w:rPr>
          <w:sz w:val="24"/>
          <w:lang w:val="en-ZA"/>
        </w:rPr>
        <w:t>d ‘deposit’</w:t>
      </w:r>
      <w:r w:rsidR="000B256D" w:rsidRPr="00272CD9">
        <w:rPr>
          <w:sz w:val="24"/>
          <w:lang w:val="en-ZA"/>
        </w:rPr>
        <w:t xml:space="preserve"> </w:t>
      </w:r>
      <w:r w:rsidR="00B7077C" w:rsidRPr="00272CD9">
        <w:rPr>
          <w:sz w:val="24"/>
          <w:lang w:val="en-ZA"/>
        </w:rPr>
        <w:t xml:space="preserve">(in Latin </w:t>
      </w:r>
      <w:r w:rsidR="00B7077C" w:rsidRPr="00272CD9">
        <w:rPr>
          <w:i/>
          <w:sz w:val="24"/>
          <w:lang w:val="en-ZA"/>
        </w:rPr>
        <w:t>depositum</w:t>
      </w:r>
      <w:r w:rsidR="00B7077C" w:rsidRPr="00272CD9">
        <w:rPr>
          <w:sz w:val="24"/>
          <w:lang w:val="en-ZA"/>
        </w:rPr>
        <w:t>)</w:t>
      </w:r>
      <w:r w:rsidR="00BB15E5" w:rsidRPr="00272CD9">
        <w:rPr>
          <w:sz w:val="24"/>
          <w:lang w:val="en-ZA"/>
        </w:rPr>
        <w:t>.</w:t>
      </w:r>
      <w:r w:rsidR="000B256D" w:rsidRPr="00272CD9">
        <w:rPr>
          <w:sz w:val="24"/>
          <w:lang w:val="en-ZA"/>
        </w:rPr>
        <w:t xml:space="preserve"> The Shorter Oxford Dictionary provides three differen</w:t>
      </w:r>
      <w:r w:rsidR="00B7077C" w:rsidRPr="00272CD9">
        <w:rPr>
          <w:sz w:val="24"/>
          <w:lang w:val="en-ZA"/>
        </w:rPr>
        <w:t xml:space="preserve">t meanings. The first two </w:t>
      </w:r>
      <w:r w:rsidR="00292F84" w:rsidRPr="00272CD9">
        <w:rPr>
          <w:sz w:val="24"/>
          <w:lang w:val="en-ZA"/>
        </w:rPr>
        <w:t xml:space="preserve">are </w:t>
      </w:r>
      <w:r w:rsidR="000B256D" w:rsidRPr="00272CD9">
        <w:rPr>
          <w:sz w:val="24"/>
          <w:lang w:val="en-ZA"/>
        </w:rPr>
        <w:t xml:space="preserve">irrelevant in casu, whilst the third is ‘(t)o place in a repository; to commit to the charge of any one for safe keeping or as a pledge; </w:t>
      </w:r>
      <w:r w:rsidR="000B256D" w:rsidRPr="00272CD9">
        <w:rPr>
          <w:i/>
          <w:sz w:val="24"/>
          <w:lang w:val="en-ZA"/>
        </w:rPr>
        <w:t>spec</w:t>
      </w:r>
      <w:r w:rsidR="000B256D" w:rsidRPr="00272CD9">
        <w:rPr>
          <w:sz w:val="24"/>
          <w:lang w:val="en-ZA"/>
        </w:rPr>
        <w:t>, to place in a bank at interest.’ A ‘</w:t>
      </w:r>
      <w:r w:rsidR="000B256D" w:rsidRPr="00272CD9">
        <w:rPr>
          <w:i/>
          <w:sz w:val="24"/>
          <w:lang w:val="en-ZA"/>
        </w:rPr>
        <w:t>depositarius</w:t>
      </w:r>
      <w:r w:rsidR="000B256D" w:rsidRPr="00272CD9">
        <w:rPr>
          <w:sz w:val="24"/>
          <w:lang w:val="en-ZA"/>
        </w:rPr>
        <w:t xml:space="preserve">’ is according to the same dictionary ‘a person with whom anything is lodged in trust; a trustee; one to whom anything is committed or confided.’ </w:t>
      </w:r>
      <w:r w:rsidR="000B256D" w:rsidRPr="00272CD9">
        <w:rPr>
          <w:i/>
          <w:sz w:val="24"/>
          <w:lang w:val="en-ZA"/>
        </w:rPr>
        <w:t>Fowler’s Modern English Usage</w:t>
      </w:r>
      <w:r w:rsidR="000B256D" w:rsidRPr="00272CD9">
        <w:rPr>
          <w:sz w:val="24"/>
          <w:lang w:val="en-ZA"/>
        </w:rPr>
        <w:t xml:space="preserve"> defines a depository as ‘a person or authority to whom something is entrusted, a trustee.’</w:t>
      </w:r>
      <w:r w:rsidR="00DE3BE4" w:rsidRPr="00272CD9">
        <w:rPr>
          <w:sz w:val="24"/>
          <w:lang w:val="en-ZA"/>
        </w:rPr>
        <w:t xml:space="preserve"> If these various definitions are considered, there can be little doubt that the concepts of deposit and entrustment are not necessarily separate and distinct from one another as submitted on behalf of the appellant. The judgments referred to in the next paragraphs confirm that deposits of money into attorneys’ trust accounts are</w:t>
      </w:r>
      <w:r w:rsidR="00730EC5" w:rsidRPr="00272CD9">
        <w:rPr>
          <w:sz w:val="24"/>
          <w:lang w:val="en-ZA"/>
        </w:rPr>
        <w:t>,</w:t>
      </w:r>
      <w:r w:rsidR="00DE3BE4" w:rsidRPr="00272CD9">
        <w:rPr>
          <w:sz w:val="24"/>
          <w:lang w:val="en-ZA"/>
        </w:rPr>
        <w:t xml:space="preserve"> in appropriate circumstances</w:t>
      </w:r>
      <w:r w:rsidR="00730EC5" w:rsidRPr="00272CD9">
        <w:rPr>
          <w:sz w:val="24"/>
          <w:lang w:val="en-ZA"/>
        </w:rPr>
        <w:t>,</w:t>
      </w:r>
      <w:r w:rsidR="00DE3BE4" w:rsidRPr="00272CD9">
        <w:rPr>
          <w:sz w:val="24"/>
          <w:lang w:val="en-ZA"/>
        </w:rPr>
        <w:t xml:space="preserve"> akin to entrustment as provided for in subsec 26</w:t>
      </w:r>
      <w:r w:rsidR="00DE3BE4" w:rsidRPr="00272CD9">
        <w:rPr>
          <w:i/>
          <w:sz w:val="24"/>
          <w:lang w:val="en-ZA"/>
        </w:rPr>
        <w:t>(a)</w:t>
      </w:r>
      <w:r w:rsidR="00DE3BE4" w:rsidRPr="00272CD9">
        <w:rPr>
          <w:sz w:val="24"/>
          <w:lang w:val="en-ZA"/>
        </w:rPr>
        <w:t>.</w:t>
      </w:r>
    </w:p>
    <w:p w:rsidR="003F355D" w:rsidRPr="00272CD9" w:rsidRDefault="00272CD9" w:rsidP="00272CD9">
      <w:pPr>
        <w:spacing w:line="360" w:lineRule="auto"/>
        <w:ind w:right="26"/>
        <w:jc w:val="both"/>
        <w:rPr>
          <w:sz w:val="24"/>
          <w:lang w:val="en-ZA"/>
        </w:rPr>
      </w:pPr>
      <w:r w:rsidRPr="005424BF">
        <w:rPr>
          <w:sz w:val="24"/>
          <w:lang w:val="en-ZA"/>
        </w:rPr>
        <w:lastRenderedPageBreak/>
        <w:t>[10]</w:t>
      </w:r>
      <w:r w:rsidRPr="005424BF">
        <w:rPr>
          <w:sz w:val="24"/>
          <w:lang w:val="en-ZA"/>
        </w:rPr>
        <w:tab/>
      </w:r>
      <w:r w:rsidR="003F355D" w:rsidRPr="00272CD9">
        <w:rPr>
          <w:sz w:val="24"/>
          <w:lang w:val="en-ZA"/>
        </w:rPr>
        <w:t>I</w:t>
      </w:r>
      <w:r w:rsidR="00862D15" w:rsidRPr="00272CD9">
        <w:rPr>
          <w:sz w:val="24"/>
          <w:lang w:val="en-ZA"/>
        </w:rPr>
        <w:t xml:space="preserve">n </w:t>
      </w:r>
      <w:r w:rsidR="00862D15" w:rsidRPr="00272CD9">
        <w:rPr>
          <w:i/>
          <w:sz w:val="24"/>
          <w:lang w:val="en-ZA"/>
        </w:rPr>
        <w:t>Industrial and Commercial Factors</w:t>
      </w:r>
      <w:r w:rsidR="0039639B" w:rsidRPr="00272CD9">
        <w:rPr>
          <w:i/>
          <w:sz w:val="24"/>
          <w:lang w:val="en-ZA"/>
        </w:rPr>
        <w:t xml:space="preserve"> (Pty) Limited</w:t>
      </w:r>
      <w:r w:rsidR="00862D15" w:rsidRPr="00272CD9">
        <w:rPr>
          <w:i/>
          <w:sz w:val="24"/>
          <w:lang w:val="en-ZA"/>
        </w:rPr>
        <w:t xml:space="preserve"> v Attorneys Fidelity Fund</w:t>
      </w:r>
      <w:r w:rsidR="00BE1D8A" w:rsidRPr="00272CD9">
        <w:rPr>
          <w:i/>
          <w:sz w:val="24"/>
          <w:lang w:val="en-ZA"/>
        </w:rPr>
        <w:t xml:space="preserve"> Board of Control</w:t>
      </w:r>
      <w:r w:rsidR="00862D15" w:rsidRPr="005424BF">
        <w:rPr>
          <w:rStyle w:val="FootnoteReference"/>
          <w:sz w:val="24"/>
          <w:lang w:val="en-ZA"/>
        </w:rPr>
        <w:footnoteReference w:id="4"/>
      </w:r>
      <w:r w:rsidR="002E6295" w:rsidRPr="00272CD9">
        <w:rPr>
          <w:i/>
          <w:sz w:val="24"/>
          <w:lang w:val="en-ZA"/>
        </w:rPr>
        <w:t xml:space="preserve"> (ICF</w:t>
      </w:r>
      <w:r w:rsidR="003F355D" w:rsidRPr="00272CD9">
        <w:rPr>
          <w:i/>
          <w:sz w:val="24"/>
          <w:lang w:val="en-ZA"/>
        </w:rPr>
        <w:t>)</w:t>
      </w:r>
      <w:r w:rsidR="003F355D" w:rsidRPr="00272CD9">
        <w:rPr>
          <w:sz w:val="24"/>
          <w:lang w:val="en-ZA"/>
        </w:rPr>
        <w:t xml:space="preserve"> the attorney attended to a transfer of property on behalf of the seller. He arranged bridging finance in the course of his practice. The attorney devised a fraudulent scheme and pretended to the appellant that the seller needed bridging finance which was untrue. The appellant paid the money into the attorney’s trust account and the court held that it was done with the intention that the attorney would keep it for and on behalf of the seller who would instruct the attorney how to deal therewith. Instead the attorney stole the money. The court held that the money was entrusted to the attorney as is required by subsec 26</w:t>
      </w:r>
      <w:r w:rsidR="003F355D" w:rsidRPr="00272CD9">
        <w:rPr>
          <w:i/>
          <w:sz w:val="24"/>
          <w:lang w:val="en-ZA"/>
        </w:rPr>
        <w:t>(a)</w:t>
      </w:r>
      <w:r w:rsidR="003F355D" w:rsidRPr="00272CD9">
        <w:rPr>
          <w:sz w:val="24"/>
          <w:lang w:val="en-ZA"/>
        </w:rPr>
        <w:t xml:space="preserve"> and that the Attorneys Fidelity Fund should reimburse the appellant.</w:t>
      </w:r>
      <w:r w:rsidR="00C30858" w:rsidRPr="00272CD9">
        <w:rPr>
          <w:sz w:val="24"/>
          <w:lang w:val="en-ZA"/>
        </w:rPr>
        <w:t xml:space="preserve"> </w:t>
      </w:r>
      <w:r w:rsidR="003F355D" w:rsidRPr="00272CD9">
        <w:rPr>
          <w:sz w:val="24"/>
          <w:lang w:val="en-ZA"/>
        </w:rPr>
        <w:t>Grosskopf JA, writing for the majority</w:t>
      </w:r>
      <w:r w:rsidR="00C30858" w:rsidRPr="00272CD9">
        <w:rPr>
          <w:sz w:val="24"/>
          <w:lang w:val="en-ZA"/>
        </w:rPr>
        <w:t>,</w:t>
      </w:r>
      <w:r w:rsidR="003F355D" w:rsidRPr="00272CD9">
        <w:rPr>
          <w:sz w:val="24"/>
          <w:lang w:val="en-ZA"/>
        </w:rPr>
        <w:t xml:space="preserve"> dealt with the matter in some detail. I quote:</w:t>
      </w:r>
      <w:r w:rsidR="003F355D" w:rsidRPr="00272CD9">
        <w:rPr>
          <w:sz w:val="22"/>
          <w:szCs w:val="22"/>
          <w:lang w:val="en-ZA"/>
        </w:rPr>
        <w:t xml:space="preserve"> </w:t>
      </w:r>
    </w:p>
    <w:p w:rsidR="00253BC0" w:rsidRPr="005424BF" w:rsidRDefault="00D432F9" w:rsidP="00F67F8F">
      <w:pPr>
        <w:pStyle w:val="ListParagraph"/>
        <w:spacing w:line="360" w:lineRule="auto"/>
        <w:ind w:left="0" w:right="26"/>
        <w:jc w:val="both"/>
        <w:rPr>
          <w:sz w:val="22"/>
          <w:szCs w:val="22"/>
          <w:lang w:val="en-ZA"/>
        </w:rPr>
      </w:pPr>
      <w:r w:rsidRPr="005424BF">
        <w:rPr>
          <w:sz w:val="22"/>
          <w:szCs w:val="22"/>
          <w:lang w:val="en-ZA"/>
        </w:rPr>
        <w:t>‘After considering certain defin</w:t>
      </w:r>
      <w:r w:rsidR="00824672" w:rsidRPr="005424BF">
        <w:rPr>
          <w:sz w:val="22"/>
          <w:szCs w:val="22"/>
          <w:lang w:val="en-ZA"/>
        </w:rPr>
        <w:t>itions of the word ‘entrust’….</w:t>
      </w:r>
      <w:r w:rsidR="008F5048" w:rsidRPr="005424BF">
        <w:rPr>
          <w:i/>
          <w:sz w:val="22"/>
          <w:szCs w:val="22"/>
          <w:lang w:val="en-ZA"/>
        </w:rPr>
        <w:t xml:space="preserve"> </w:t>
      </w:r>
      <w:r w:rsidR="00DD7E61" w:rsidRPr="005424BF">
        <w:rPr>
          <w:sz w:val="22"/>
          <w:szCs w:val="22"/>
          <w:lang w:val="en-ZA"/>
        </w:rPr>
        <w:t>Nicholas J concluded as follows:</w:t>
      </w:r>
    </w:p>
    <w:p w:rsidR="00D432F9" w:rsidRPr="005424BF" w:rsidRDefault="00D432F9" w:rsidP="00F67F8F">
      <w:pPr>
        <w:pStyle w:val="ListParagraph"/>
        <w:spacing w:line="360" w:lineRule="auto"/>
        <w:ind w:left="0" w:right="26"/>
        <w:jc w:val="both"/>
        <w:rPr>
          <w:sz w:val="22"/>
          <w:szCs w:val="22"/>
          <w:lang w:val="en-ZA"/>
        </w:rPr>
      </w:pPr>
      <w:r w:rsidRPr="005424BF">
        <w:rPr>
          <w:sz w:val="22"/>
          <w:szCs w:val="22"/>
          <w:lang w:val="en-ZA"/>
        </w:rPr>
        <w:t>“</w:t>
      </w:r>
      <w:r w:rsidR="001D0733" w:rsidRPr="005424BF">
        <w:rPr>
          <w:sz w:val="22"/>
          <w:szCs w:val="22"/>
          <w:lang w:val="en-ZA"/>
        </w:rPr>
        <w:t xml:space="preserve">From these definitions it is plain that "to entrust" comprises two elements: (a) to place in the possession of something, (b) subject to a trust. As to the latter element, this connotes that the person entrusted is bound to deal with the property or money concerned for the benefit of others (cf Estate Kemp and Others v McDonald's Trustee 1915 AD 491 at 499). "(The trustee) is bound to hold and apply the property for the benefit of some person or persons or for the accomplishment of some </w:t>
      </w:r>
      <w:r w:rsidRPr="005424BF">
        <w:rPr>
          <w:sz w:val="22"/>
          <w:szCs w:val="22"/>
          <w:lang w:val="en-ZA"/>
        </w:rPr>
        <w:t>special purpose</w:t>
      </w:r>
      <w:r w:rsidR="00965B41" w:rsidRPr="005424BF">
        <w:rPr>
          <w:sz w:val="22"/>
          <w:szCs w:val="22"/>
          <w:lang w:val="en-ZA"/>
        </w:rPr>
        <w:t>.</w:t>
      </w:r>
      <w:r w:rsidRPr="005424BF">
        <w:rPr>
          <w:sz w:val="22"/>
          <w:szCs w:val="22"/>
          <w:lang w:val="en-ZA"/>
        </w:rPr>
        <w:t>"</w:t>
      </w:r>
    </w:p>
    <w:p w:rsidR="00824672" w:rsidRPr="005424BF" w:rsidRDefault="00D432F9" w:rsidP="00F67F8F">
      <w:pPr>
        <w:pStyle w:val="ListParagraph"/>
        <w:spacing w:line="360" w:lineRule="auto"/>
        <w:ind w:left="0" w:right="26"/>
        <w:jc w:val="both"/>
        <w:rPr>
          <w:sz w:val="22"/>
          <w:szCs w:val="22"/>
          <w:lang w:val="en-ZA"/>
        </w:rPr>
      </w:pPr>
      <w:r w:rsidRPr="005424BF">
        <w:rPr>
          <w:sz w:val="22"/>
          <w:szCs w:val="22"/>
          <w:lang w:val="en-ZA"/>
        </w:rPr>
        <w:t xml:space="preserve"> </w:t>
      </w:r>
      <w:r w:rsidR="001D0733" w:rsidRPr="005424BF">
        <w:rPr>
          <w:sz w:val="22"/>
          <w:szCs w:val="22"/>
          <w:lang w:val="en-ZA"/>
        </w:rPr>
        <w:t xml:space="preserve">I do not understand these passages, and similar remarks in the case of SVV Construction (Pty) Ltd v Attorneys, Notaries and Conveyancers Fidelity Guarantee Fund 1993 (2) SA 577 (C) at 589G, to convey that the liability of the Fidelity Fund is limited to those cases where the money or property concerned was impressed with a </w:t>
      </w:r>
      <w:r w:rsidR="001D0733" w:rsidRPr="005424BF">
        <w:rPr>
          <w:i/>
          <w:sz w:val="22"/>
          <w:szCs w:val="22"/>
          <w:lang w:val="en-ZA"/>
        </w:rPr>
        <w:t xml:space="preserve">trust in the technical legal sense </w:t>
      </w:r>
      <w:r w:rsidR="001D0733" w:rsidRPr="005424BF">
        <w:rPr>
          <w:sz w:val="22"/>
          <w:szCs w:val="22"/>
          <w:lang w:val="en-ZA"/>
        </w:rPr>
        <w:t>of the word.</w:t>
      </w:r>
      <w:r w:rsidR="00824672" w:rsidRPr="005424BF">
        <w:rPr>
          <w:sz w:val="22"/>
          <w:szCs w:val="22"/>
          <w:lang w:val="en-ZA"/>
        </w:rPr>
        <w:t>’</w:t>
      </w:r>
      <w:r w:rsidR="00421959" w:rsidRPr="005424BF">
        <w:rPr>
          <w:rStyle w:val="FootnoteReference"/>
          <w:sz w:val="22"/>
          <w:szCs w:val="22"/>
          <w:lang w:val="en-ZA"/>
        </w:rPr>
        <w:footnoteReference w:id="5"/>
      </w:r>
      <w:r w:rsidR="001D0733" w:rsidRPr="005424BF">
        <w:rPr>
          <w:sz w:val="22"/>
          <w:szCs w:val="22"/>
          <w:lang w:val="en-ZA"/>
        </w:rPr>
        <w:t xml:space="preserve"> </w:t>
      </w:r>
      <w:r w:rsidR="008D011D" w:rsidRPr="005424BF">
        <w:rPr>
          <w:sz w:val="24"/>
          <w:lang w:val="en-ZA"/>
        </w:rPr>
        <w:t>(</w:t>
      </w:r>
      <w:r w:rsidR="008D4E3D" w:rsidRPr="005424BF">
        <w:rPr>
          <w:sz w:val="24"/>
          <w:lang w:val="en-ZA"/>
        </w:rPr>
        <w:t>My</w:t>
      </w:r>
      <w:r w:rsidR="008D011D" w:rsidRPr="005424BF">
        <w:rPr>
          <w:sz w:val="24"/>
          <w:lang w:val="en-ZA"/>
        </w:rPr>
        <w:t xml:space="preserve"> emphasis</w:t>
      </w:r>
      <w:r w:rsidR="008D4E3D" w:rsidRPr="005424BF">
        <w:rPr>
          <w:sz w:val="24"/>
          <w:lang w:val="en-ZA"/>
        </w:rPr>
        <w:t>.</w:t>
      </w:r>
      <w:r w:rsidR="008D011D" w:rsidRPr="005424BF">
        <w:rPr>
          <w:sz w:val="24"/>
          <w:lang w:val="en-ZA"/>
        </w:rPr>
        <w:t>)</w:t>
      </w:r>
    </w:p>
    <w:p w:rsidR="001D0733" w:rsidRPr="005424BF" w:rsidRDefault="003F355D" w:rsidP="00F67F8F">
      <w:pPr>
        <w:pStyle w:val="ListParagraph"/>
        <w:spacing w:line="360" w:lineRule="auto"/>
        <w:ind w:left="0" w:right="26"/>
        <w:jc w:val="both"/>
        <w:rPr>
          <w:sz w:val="22"/>
          <w:szCs w:val="22"/>
          <w:lang w:val="en-ZA"/>
        </w:rPr>
      </w:pPr>
      <w:r w:rsidRPr="005424BF">
        <w:rPr>
          <w:sz w:val="24"/>
          <w:lang w:val="en-ZA"/>
        </w:rPr>
        <w:t>The learned judge</w:t>
      </w:r>
      <w:r w:rsidR="00824672" w:rsidRPr="005424BF">
        <w:rPr>
          <w:sz w:val="24"/>
          <w:lang w:val="en-ZA"/>
        </w:rPr>
        <w:t xml:space="preserve"> then dealt with the Afrikaans version of the section and the dictionary meaning of ‘toevertrou’ (entrust) and continued:</w:t>
      </w:r>
    </w:p>
    <w:p w:rsidR="001D0733" w:rsidRPr="005424BF" w:rsidRDefault="00824672" w:rsidP="00F67F8F">
      <w:pPr>
        <w:pStyle w:val="ListParagraph"/>
        <w:spacing w:line="360" w:lineRule="auto"/>
        <w:ind w:left="0" w:right="26"/>
        <w:jc w:val="both"/>
        <w:rPr>
          <w:sz w:val="22"/>
          <w:szCs w:val="22"/>
          <w:lang w:val="en-ZA"/>
        </w:rPr>
      </w:pPr>
      <w:r w:rsidRPr="005424BF">
        <w:rPr>
          <w:sz w:val="22"/>
          <w:szCs w:val="22"/>
          <w:lang w:val="en-ZA"/>
        </w:rPr>
        <w:t>‘</w:t>
      </w:r>
      <w:r w:rsidR="001D0733" w:rsidRPr="005424BF">
        <w:rPr>
          <w:sz w:val="22"/>
          <w:szCs w:val="22"/>
          <w:lang w:val="en-ZA"/>
        </w:rPr>
        <w:t>Had it been the intention of the Legislature to give 'entrust' the technical legal meaning of placing money or other property with an attorney subject to a trust, it would have used an expression such as 'in trust aan hom gegee' in the Afrikaans text of s 26(a). In view of the aforegoing I am satisfied that the appellant has shown a sufficient element of entrustment to bring it within the ambit of s 26(a).’</w:t>
      </w:r>
      <w:r w:rsidR="00122BD9" w:rsidRPr="005424BF">
        <w:rPr>
          <w:rStyle w:val="FootnoteReference"/>
          <w:sz w:val="22"/>
          <w:szCs w:val="22"/>
          <w:lang w:val="en-ZA"/>
        </w:rPr>
        <w:footnoteReference w:id="6"/>
      </w:r>
    </w:p>
    <w:p w:rsidR="001D0733" w:rsidRPr="005424BF" w:rsidRDefault="00824672" w:rsidP="00F67F8F">
      <w:pPr>
        <w:pStyle w:val="ListParagraph"/>
        <w:spacing w:line="360" w:lineRule="auto"/>
        <w:ind w:left="0" w:right="26"/>
        <w:jc w:val="both"/>
        <w:rPr>
          <w:sz w:val="24"/>
          <w:lang w:val="en-ZA"/>
        </w:rPr>
      </w:pPr>
      <w:r w:rsidRPr="005424BF">
        <w:rPr>
          <w:sz w:val="24"/>
          <w:lang w:val="en-ZA"/>
        </w:rPr>
        <w:t>Later on the learned judge</w:t>
      </w:r>
      <w:r w:rsidR="00D432F9" w:rsidRPr="005424BF">
        <w:rPr>
          <w:sz w:val="24"/>
          <w:lang w:val="en-ZA"/>
        </w:rPr>
        <w:t xml:space="preserve"> concluded:</w:t>
      </w:r>
    </w:p>
    <w:p w:rsidR="001D0733" w:rsidRPr="005424BF" w:rsidRDefault="001D0733" w:rsidP="00F67F8F">
      <w:pPr>
        <w:pStyle w:val="ListParagraph"/>
        <w:spacing w:line="360" w:lineRule="auto"/>
        <w:ind w:left="0" w:right="26"/>
        <w:jc w:val="both"/>
        <w:rPr>
          <w:sz w:val="22"/>
          <w:szCs w:val="22"/>
          <w:lang w:val="en-ZA"/>
        </w:rPr>
      </w:pPr>
      <w:r w:rsidRPr="005424BF">
        <w:rPr>
          <w:sz w:val="22"/>
          <w:szCs w:val="22"/>
          <w:lang w:val="en-ZA"/>
        </w:rPr>
        <w:t>‘In my judgment s 26(a) makes provision for reimbursement to either</w:t>
      </w:r>
    </w:p>
    <w:p w:rsidR="001D0733" w:rsidRPr="005424BF" w:rsidRDefault="001D0733" w:rsidP="00F67F8F">
      <w:pPr>
        <w:pStyle w:val="ListParagraph"/>
        <w:spacing w:line="360" w:lineRule="auto"/>
        <w:ind w:left="0" w:right="26"/>
        <w:jc w:val="both"/>
        <w:rPr>
          <w:sz w:val="22"/>
          <w:szCs w:val="22"/>
          <w:lang w:val="en-ZA"/>
        </w:rPr>
      </w:pPr>
      <w:r w:rsidRPr="005424BF">
        <w:rPr>
          <w:sz w:val="22"/>
          <w:szCs w:val="22"/>
          <w:lang w:val="en-ZA"/>
        </w:rPr>
        <w:lastRenderedPageBreak/>
        <w:t xml:space="preserve">(1) the person </w:t>
      </w:r>
      <w:r w:rsidRPr="005424BF">
        <w:rPr>
          <w:i/>
          <w:sz w:val="22"/>
          <w:szCs w:val="22"/>
          <w:lang w:val="en-ZA"/>
        </w:rPr>
        <w:t>by whom</w:t>
      </w:r>
      <w:r w:rsidRPr="005424BF">
        <w:rPr>
          <w:sz w:val="22"/>
          <w:szCs w:val="22"/>
          <w:lang w:val="en-ZA"/>
        </w:rPr>
        <w:t xml:space="preserve"> the money has been entrusted; or</w:t>
      </w:r>
    </w:p>
    <w:p w:rsidR="001D0733" w:rsidRPr="005424BF" w:rsidRDefault="001D0733" w:rsidP="00F67F8F">
      <w:pPr>
        <w:pStyle w:val="ListParagraph"/>
        <w:spacing w:line="360" w:lineRule="auto"/>
        <w:ind w:left="0" w:right="26"/>
        <w:jc w:val="both"/>
        <w:rPr>
          <w:sz w:val="22"/>
          <w:szCs w:val="22"/>
          <w:lang w:val="en-ZA"/>
        </w:rPr>
      </w:pPr>
      <w:r w:rsidRPr="005424BF">
        <w:rPr>
          <w:sz w:val="22"/>
          <w:szCs w:val="22"/>
          <w:lang w:val="en-ZA"/>
        </w:rPr>
        <w:t xml:space="preserve">(2) the person </w:t>
      </w:r>
      <w:r w:rsidRPr="005424BF">
        <w:rPr>
          <w:i/>
          <w:sz w:val="22"/>
          <w:szCs w:val="22"/>
          <w:lang w:val="en-ZA"/>
        </w:rPr>
        <w:t>on whose behalf</w:t>
      </w:r>
      <w:r w:rsidRPr="005424BF">
        <w:rPr>
          <w:sz w:val="22"/>
          <w:szCs w:val="22"/>
          <w:lang w:val="en-ZA"/>
        </w:rPr>
        <w:t xml:space="preserve"> the money has been entrusted;</w:t>
      </w:r>
    </w:p>
    <w:p w:rsidR="00F328A9" w:rsidRPr="005424BF" w:rsidRDefault="00F328A9" w:rsidP="00F67F8F">
      <w:pPr>
        <w:pStyle w:val="ListParagraph"/>
        <w:spacing w:line="360" w:lineRule="auto"/>
        <w:ind w:left="0" w:right="26"/>
        <w:jc w:val="both"/>
        <w:rPr>
          <w:sz w:val="24"/>
          <w:lang w:val="en-ZA"/>
        </w:rPr>
      </w:pPr>
      <w:r w:rsidRPr="005424BF">
        <w:rPr>
          <w:sz w:val="22"/>
          <w:szCs w:val="22"/>
          <w:lang w:val="en-ZA"/>
        </w:rPr>
        <w:t>provided that such person has suffered pecuniary loss.’</w:t>
      </w:r>
      <w:r w:rsidR="00122BD9" w:rsidRPr="005424BF">
        <w:rPr>
          <w:rStyle w:val="FootnoteReference"/>
          <w:sz w:val="22"/>
          <w:szCs w:val="22"/>
          <w:lang w:val="en-ZA"/>
        </w:rPr>
        <w:footnoteReference w:id="7"/>
      </w:r>
      <w:r w:rsidR="008D011D" w:rsidRPr="005424BF">
        <w:rPr>
          <w:sz w:val="22"/>
          <w:szCs w:val="22"/>
          <w:lang w:val="en-ZA"/>
        </w:rPr>
        <w:t xml:space="preserve"> </w:t>
      </w:r>
      <w:r w:rsidR="008D011D" w:rsidRPr="005424BF">
        <w:rPr>
          <w:sz w:val="24"/>
          <w:lang w:val="en-ZA"/>
        </w:rPr>
        <w:t>(</w:t>
      </w:r>
      <w:r w:rsidR="008D4E3D" w:rsidRPr="005424BF">
        <w:rPr>
          <w:sz w:val="24"/>
          <w:lang w:val="en-ZA"/>
        </w:rPr>
        <w:t>My</w:t>
      </w:r>
      <w:r w:rsidR="008D011D" w:rsidRPr="005424BF">
        <w:rPr>
          <w:sz w:val="24"/>
          <w:lang w:val="en-ZA"/>
        </w:rPr>
        <w:t xml:space="preserve"> emphasis</w:t>
      </w:r>
      <w:r w:rsidR="008D4E3D" w:rsidRPr="005424BF">
        <w:rPr>
          <w:sz w:val="24"/>
          <w:lang w:val="en-ZA"/>
        </w:rPr>
        <w:t>.</w:t>
      </w:r>
      <w:r w:rsidR="008D011D" w:rsidRPr="005424BF">
        <w:rPr>
          <w:sz w:val="24"/>
          <w:lang w:val="en-ZA"/>
        </w:rPr>
        <w:t>)</w:t>
      </w:r>
    </w:p>
    <w:p w:rsidR="008D011D" w:rsidRPr="005424BF" w:rsidRDefault="008D011D" w:rsidP="00F67F8F">
      <w:pPr>
        <w:pStyle w:val="ListParagraph"/>
        <w:spacing w:line="360" w:lineRule="auto"/>
        <w:ind w:left="0" w:right="26"/>
        <w:jc w:val="both"/>
        <w:rPr>
          <w:sz w:val="24"/>
          <w:lang w:val="en-ZA"/>
        </w:rPr>
      </w:pPr>
    </w:p>
    <w:p w:rsidR="006B0A40" w:rsidRPr="00272CD9" w:rsidRDefault="00272CD9" w:rsidP="00272CD9">
      <w:pPr>
        <w:spacing w:line="360" w:lineRule="auto"/>
        <w:ind w:right="26"/>
        <w:jc w:val="both"/>
        <w:rPr>
          <w:sz w:val="24"/>
          <w:lang w:val="en-ZA"/>
        </w:rPr>
      </w:pPr>
      <w:r w:rsidRPr="005424BF">
        <w:rPr>
          <w:sz w:val="24"/>
          <w:lang w:val="en-ZA"/>
        </w:rPr>
        <w:t>[11]</w:t>
      </w:r>
      <w:r w:rsidRPr="005424BF">
        <w:rPr>
          <w:sz w:val="24"/>
          <w:lang w:val="en-ZA"/>
        </w:rPr>
        <w:tab/>
      </w:r>
      <w:r w:rsidR="00C30858" w:rsidRPr="00272CD9">
        <w:rPr>
          <w:sz w:val="24"/>
          <w:lang w:val="en-ZA"/>
        </w:rPr>
        <w:t>In my view both courts a quo</w:t>
      </w:r>
      <w:r w:rsidR="003F355D" w:rsidRPr="00272CD9">
        <w:rPr>
          <w:sz w:val="24"/>
          <w:lang w:val="en-ZA"/>
        </w:rPr>
        <w:t xml:space="preserve"> </w:t>
      </w:r>
      <w:r w:rsidR="00961E31" w:rsidRPr="00272CD9">
        <w:rPr>
          <w:sz w:val="24"/>
          <w:lang w:val="en-ZA"/>
        </w:rPr>
        <w:t xml:space="preserve">correctly considered the </w:t>
      </w:r>
      <w:r w:rsidR="003F355D" w:rsidRPr="00272CD9">
        <w:rPr>
          <w:sz w:val="24"/>
          <w:lang w:val="en-ZA"/>
        </w:rPr>
        <w:t>case presented to it by Ms Guilherme</w:t>
      </w:r>
      <w:r w:rsidR="00C30858" w:rsidRPr="00272CD9">
        <w:rPr>
          <w:sz w:val="24"/>
          <w:lang w:val="en-ZA"/>
        </w:rPr>
        <w:t xml:space="preserve">. </w:t>
      </w:r>
      <w:r w:rsidR="006B6E97" w:rsidRPr="00272CD9">
        <w:rPr>
          <w:sz w:val="24"/>
          <w:lang w:val="en-ZA"/>
        </w:rPr>
        <w:t>T</w:t>
      </w:r>
      <w:r w:rsidR="00961E31" w:rsidRPr="00272CD9">
        <w:rPr>
          <w:sz w:val="24"/>
          <w:lang w:val="en-ZA"/>
        </w:rPr>
        <w:t xml:space="preserve">he court </w:t>
      </w:r>
      <w:r w:rsidR="006B6E97" w:rsidRPr="00272CD9">
        <w:rPr>
          <w:sz w:val="24"/>
          <w:lang w:val="en-ZA"/>
        </w:rPr>
        <w:t xml:space="preserve">of first instance </w:t>
      </w:r>
      <w:r w:rsidR="00961E31" w:rsidRPr="00272CD9">
        <w:rPr>
          <w:sz w:val="24"/>
          <w:lang w:val="en-ZA"/>
        </w:rPr>
        <w:t xml:space="preserve">came to the </w:t>
      </w:r>
      <w:r w:rsidR="001808F6" w:rsidRPr="00272CD9">
        <w:rPr>
          <w:sz w:val="24"/>
          <w:lang w:val="en-ZA"/>
        </w:rPr>
        <w:t xml:space="preserve">correct </w:t>
      </w:r>
      <w:r w:rsidR="00961E31" w:rsidRPr="00272CD9">
        <w:rPr>
          <w:sz w:val="24"/>
          <w:lang w:val="en-ZA"/>
        </w:rPr>
        <w:t>conclusi</w:t>
      </w:r>
      <w:r w:rsidR="001808F6" w:rsidRPr="00272CD9">
        <w:rPr>
          <w:sz w:val="24"/>
          <w:lang w:val="en-ZA"/>
        </w:rPr>
        <w:t>on that there was no merit in the submission, as allegedly contended by the Fund, that a third element was applicable in respect of entrustment.</w:t>
      </w:r>
      <w:r w:rsidR="00C30858" w:rsidRPr="00272CD9">
        <w:rPr>
          <w:sz w:val="24"/>
          <w:lang w:val="en-ZA"/>
        </w:rPr>
        <w:t xml:space="preserve"> </w:t>
      </w:r>
      <w:r w:rsidR="001808F6" w:rsidRPr="00272CD9">
        <w:rPr>
          <w:sz w:val="24"/>
          <w:lang w:val="en-ZA"/>
        </w:rPr>
        <w:t>The case law relied upon by the Fund and quoted</w:t>
      </w:r>
      <w:r w:rsidR="006B6E97" w:rsidRPr="00272CD9">
        <w:rPr>
          <w:sz w:val="24"/>
          <w:lang w:val="en-ZA"/>
        </w:rPr>
        <w:t xml:space="preserve"> in the judgment serves as proof</w:t>
      </w:r>
      <w:r w:rsidR="001808F6" w:rsidRPr="00272CD9">
        <w:rPr>
          <w:sz w:val="24"/>
          <w:lang w:val="en-ZA"/>
        </w:rPr>
        <w:t xml:space="preserve"> that two element</w:t>
      </w:r>
      <w:r w:rsidR="00C30858" w:rsidRPr="00272CD9">
        <w:rPr>
          <w:sz w:val="24"/>
          <w:lang w:val="en-ZA"/>
        </w:rPr>
        <w:t>s</w:t>
      </w:r>
      <w:r w:rsidR="001808F6" w:rsidRPr="00272CD9">
        <w:rPr>
          <w:sz w:val="24"/>
          <w:lang w:val="en-ZA"/>
        </w:rPr>
        <w:t xml:space="preserve"> are applicable, but that the second element </w:t>
      </w:r>
      <w:r w:rsidR="006B6E97" w:rsidRPr="00272CD9">
        <w:rPr>
          <w:sz w:val="24"/>
          <w:lang w:val="en-ZA"/>
        </w:rPr>
        <w:t>may have different purposes in mind</w:t>
      </w:r>
      <w:r w:rsidR="008D011D" w:rsidRPr="00272CD9">
        <w:rPr>
          <w:sz w:val="24"/>
          <w:lang w:val="en-ZA"/>
        </w:rPr>
        <w:t xml:space="preserve">. This is confirmed in </w:t>
      </w:r>
      <w:r w:rsidR="008D011D" w:rsidRPr="00272CD9">
        <w:rPr>
          <w:i/>
          <w:sz w:val="24"/>
          <w:lang w:val="en-ZA"/>
        </w:rPr>
        <w:t>ICF</w:t>
      </w:r>
      <w:r w:rsidR="006B6E97" w:rsidRPr="00272CD9">
        <w:rPr>
          <w:sz w:val="24"/>
          <w:lang w:val="en-ZA"/>
        </w:rPr>
        <w:t>, ie t</w:t>
      </w:r>
      <w:r w:rsidR="001808F6" w:rsidRPr="00272CD9">
        <w:rPr>
          <w:sz w:val="24"/>
          <w:lang w:val="en-ZA"/>
        </w:rPr>
        <w:t>he property or money entrusted is to be held and applied for the benefit of some person or persons or for the accomplishment of some special purpose.</w:t>
      </w:r>
      <w:r w:rsidR="006B6E97" w:rsidRPr="005424BF">
        <w:rPr>
          <w:rStyle w:val="FootnoteReference"/>
          <w:sz w:val="24"/>
          <w:lang w:val="en-ZA"/>
        </w:rPr>
        <w:footnoteReference w:id="8"/>
      </w:r>
      <w:r w:rsidR="006B6E97" w:rsidRPr="00272CD9">
        <w:rPr>
          <w:sz w:val="24"/>
          <w:lang w:val="en-ZA"/>
        </w:rPr>
        <w:t xml:space="preserve"> </w:t>
      </w:r>
      <w:r w:rsidR="006E4F00" w:rsidRPr="00272CD9">
        <w:rPr>
          <w:sz w:val="24"/>
          <w:lang w:val="en-ZA"/>
        </w:rPr>
        <w:t>The</w:t>
      </w:r>
      <w:r w:rsidR="002E6295" w:rsidRPr="00272CD9">
        <w:rPr>
          <w:sz w:val="24"/>
          <w:lang w:val="en-ZA"/>
        </w:rPr>
        <w:t xml:space="preserve"> majority of the full court </w:t>
      </w:r>
      <w:r w:rsidR="006B6E97" w:rsidRPr="00272CD9">
        <w:rPr>
          <w:sz w:val="24"/>
          <w:lang w:val="en-ZA"/>
        </w:rPr>
        <w:t xml:space="preserve">relied on </w:t>
      </w:r>
      <w:r w:rsidR="006B6E97" w:rsidRPr="00272CD9">
        <w:rPr>
          <w:i/>
          <w:sz w:val="24"/>
          <w:lang w:val="en-ZA"/>
        </w:rPr>
        <w:t>ICF</w:t>
      </w:r>
      <w:r w:rsidR="003F355D" w:rsidRPr="00272CD9">
        <w:rPr>
          <w:sz w:val="24"/>
          <w:lang w:val="en-ZA"/>
        </w:rPr>
        <w:t xml:space="preserve"> and </w:t>
      </w:r>
      <w:r w:rsidR="002E6295" w:rsidRPr="00272CD9">
        <w:rPr>
          <w:sz w:val="24"/>
          <w:lang w:val="en-ZA"/>
        </w:rPr>
        <w:t xml:space="preserve">came to the </w:t>
      </w:r>
      <w:r w:rsidR="006E4F00" w:rsidRPr="00272CD9">
        <w:rPr>
          <w:sz w:val="24"/>
          <w:lang w:val="en-ZA"/>
        </w:rPr>
        <w:t>correc</w:t>
      </w:r>
      <w:r w:rsidR="003F355D" w:rsidRPr="00272CD9">
        <w:rPr>
          <w:sz w:val="24"/>
          <w:lang w:val="en-ZA"/>
        </w:rPr>
        <w:t xml:space="preserve">t </w:t>
      </w:r>
      <w:r w:rsidR="0000073D" w:rsidRPr="00272CD9">
        <w:rPr>
          <w:sz w:val="24"/>
          <w:lang w:val="en-ZA"/>
        </w:rPr>
        <w:t>conclusion</w:t>
      </w:r>
      <w:r w:rsidR="006B6E97" w:rsidRPr="00272CD9">
        <w:rPr>
          <w:sz w:val="24"/>
          <w:lang w:val="en-ZA"/>
        </w:rPr>
        <w:t>, to wit</w:t>
      </w:r>
      <w:r w:rsidR="001048A0" w:rsidRPr="00272CD9">
        <w:rPr>
          <w:sz w:val="24"/>
          <w:lang w:val="en-ZA"/>
        </w:rPr>
        <w:t>:</w:t>
      </w:r>
    </w:p>
    <w:p w:rsidR="006E4F00" w:rsidRPr="005424BF" w:rsidRDefault="006B0A40" w:rsidP="00F67F8F">
      <w:pPr>
        <w:pStyle w:val="ListParagraph"/>
        <w:spacing w:line="360" w:lineRule="auto"/>
        <w:ind w:left="0" w:right="26"/>
        <w:jc w:val="both"/>
        <w:rPr>
          <w:sz w:val="22"/>
          <w:szCs w:val="22"/>
          <w:lang w:val="en-ZA"/>
        </w:rPr>
      </w:pPr>
      <w:r w:rsidRPr="005424BF">
        <w:rPr>
          <w:sz w:val="22"/>
          <w:szCs w:val="22"/>
          <w:lang w:val="en-ZA"/>
        </w:rPr>
        <w:t>‘I</w:t>
      </w:r>
      <w:r w:rsidR="006E4F00" w:rsidRPr="005424BF">
        <w:rPr>
          <w:sz w:val="22"/>
          <w:szCs w:val="22"/>
          <w:lang w:val="en-ZA"/>
        </w:rPr>
        <w:t xml:space="preserve">n light of </w:t>
      </w:r>
      <w:r w:rsidR="003F355D" w:rsidRPr="005424BF">
        <w:rPr>
          <w:sz w:val="22"/>
          <w:szCs w:val="22"/>
          <w:lang w:val="en-ZA"/>
        </w:rPr>
        <w:t>the decision in ICF</w:t>
      </w:r>
      <w:r w:rsidR="006E4F00" w:rsidRPr="005424BF">
        <w:rPr>
          <w:sz w:val="22"/>
          <w:szCs w:val="22"/>
          <w:lang w:val="en-ZA"/>
        </w:rPr>
        <w:t xml:space="preserve"> </w:t>
      </w:r>
      <w:r w:rsidRPr="005424BF">
        <w:rPr>
          <w:sz w:val="22"/>
          <w:szCs w:val="22"/>
          <w:lang w:val="en-ZA"/>
        </w:rPr>
        <w:t xml:space="preserve">it must follow that </w:t>
      </w:r>
      <w:r w:rsidR="006E4F00" w:rsidRPr="005424BF">
        <w:rPr>
          <w:sz w:val="22"/>
          <w:szCs w:val="22"/>
          <w:lang w:val="en-ZA"/>
        </w:rPr>
        <w:t>the concept</w:t>
      </w:r>
      <w:r w:rsidRPr="005424BF">
        <w:rPr>
          <w:sz w:val="22"/>
          <w:szCs w:val="22"/>
          <w:lang w:val="en-ZA"/>
        </w:rPr>
        <w:t xml:space="preserve"> of entrustment for purposes of </w:t>
      </w:r>
      <w:r w:rsidR="006E4F00" w:rsidRPr="005424BF">
        <w:rPr>
          <w:sz w:val="22"/>
          <w:szCs w:val="22"/>
          <w:lang w:val="en-ZA"/>
        </w:rPr>
        <w:t>s 26(a) does not connote that the person entrusted is bound to deal with the property or money concerned for the benefit of others, in the sense that it does not include monies deposited by a depositor such as the respondent who will provide instructions as to the application of such funds in trust in due course.’</w:t>
      </w:r>
    </w:p>
    <w:p w:rsidR="00096A73" w:rsidRPr="005424BF" w:rsidRDefault="00096A73" w:rsidP="00F67F8F">
      <w:pPr>
        <w:pStyle w:val="ListParagraph"/>
        <w:spacing w:line="360" w:lineRule="auto"/>
        <w:ind w:left="0" w:right="26"/>
        <w:jc w:val="both"/>
        <w:rPr>
          <w:sz w:val="22"/>
          <w:szCs w:val="22"/>
          <w:lang w:val="en-ZA"/>
        </w:rPr>
      </w:pPr>
    </w:p>
    <w:p w:rsidR="00C07753" w:rsidRPr="00272CD9" w:rsidRDefault="00272CD9" w:rsidP="00272CD9">
      <w:pPr>
        <w:spacing w:line="360" w:lineRule="auto"/>
        <w:ind w:right="26"/>
        <w:jc w:val="both"/>
        <w:rPr>
          <w:sz w:val="24"/>
          <w:lang w:val="en-ZA"/>
        </w:rPr>
      </w:pPr>
      <w:r w:rsidRPr="005424BF">
        <w:rPr>
          <w:sz w:val="24"/>
          <w:lang w:val="en-ZA"/>
        </w:rPr>
        <w:t>[12]</w:t>
      </w:r>
      <w:r w:rsidRPr="005424BF">
        <w:rPr>
          <w:sz w:val="24"/>
          <w:lang w:val="en-ZA"/>
        </w:rPr>
        <w:tab/>
      </w:r>
      <w:r w:rsidR="00694CF2" w:rsidRPr="00272CD9">
        <w:rPr>
          <w:sz w:val="24"/>
          <w:lang w:val="en-ZA"/>
        </w:rPr>
        <w:t xml:space="preserve">The full court </w:t>
      </w:r>
      <w:r w:rsidR="0000073D" w:rsidRPr="00272CD9">
        <w:rPr>
          <w:sz w:val="24"/>
          <w:lang w:val="en-ZA"/>
        </w:rPr>
        <w:t>distinguished</w:t>
      </w:r>
      <w:r w:rsidR="00694CF2" w:rsidRPr="00272CD9">
        <w:rPr>
          <w:sz w:val="24"/>
          <w:lang w:val="en-ZA"/>
        </w:rPr>
        <w:t xml:space="preserve"> the judgment of this Court in</w:t>
      </w:r>
      <w:r w:rsidR="00607F9D" w:rsidRPr="00272CD9">
        <w:rPr>
          <w:sz w:val="22"/>
          <w:szCs w:val="22"/>
          <w:lang w:val="en-ZA"/>
        </w:rPr>
        <w:t xml:space="preserve"> </w:t>
      </w:r>
      <w:r w:rsidR="00607F9D" w:rsidRPr="00272CD9">
        <w:rPr>
          <w:i/>
          <w:sz w:val="24"/>
          <w:lang w:val="en-ZA"/>
        </w:rPr>
        <w:t>Attorneys Fidelity Fund v Mettle Property Finance</w:t>
      </w:r>
      <w:r w:rsidR="00607F9D" w:rsidRPr="005424BF">
        <w:rPr>
          <w:rStyle w:val="FootnoteReference"/>
          <w:sz w:val="22"/>
          <w:szCs w:val="22"/>
          <w:lang w:val="en-ZA"/>
        </w:rPr>
        <w:footnoteReference w:id="9"/>
      </w:r>
      <w:r w:rsidR="00694CF2" w:rsidRPr="00272CD9">
        <w:rPr>
          <w:i/>
          <w:sz w:val="24"/>
          <w:lang w:val="en-ZA"/>
        </w:rPr>
        <w:t xml:space="preserve"> (Mettle), </w:t>
      </w:r>
      <w:r w:rsidR="00694CF2" w:rsidRPr="00272CD9">
        <w:rPr>
          <w:sz w:val="24"/>
          <w:lang w:val="en-ZA"/>
        </w:rPr>
        <w:t>followed in</w:t>
      </w:r>
      <w:r w:rsidR="00694CF2" w:rsidRPr="00272CD9">
        <w:rPr>
          <w:i/>
          <w:sz w:val="24"/>
          <w:lang w:val="en-ZA"/>
        </w:rPr>
        <w:t xml:space="preserve"> Attorneys Fidelity Fund v Injo</w:t>
      </w:r>
      <w:r w:rsidR="00694CF2" w:rsidRPr="005424BF">
        <w:rPr>
          <w:rStyle w:val="FootnoteReference"/>
          <w:sz w:val="24"/>
          <w:lang w:val="en-ZA"/>
        </w:rPr>
        <w:footnoteReference w:id="10"/>
      </w:r>
      <w:r w:rsidR="00535ED2" w:rsidRPr="00272CD9">
        <w:rPr>
          <w:i/>
          <w:sz w:val="24"/>
          <w:lang w:val="en-ZA"/>
        </w:rPr>
        <w:t>(Injo)</w:t>
      </w:r>
      <w:r w:rsidR="00694CF2" w:rsidRPr="00272CD9">
        <w:rPr>
          <w:sz w:val="24"/>
          <w:lang w:val="en-ZA"/>
        </w:rPr>
        <w:t xml:space="preserve"> </w:t>
      </w:r>
      <w:r w:rsidR="00272241" w:rsidRPr="00272CD9">
        <w:rPr>
          <w:sz w:val="24"/>
          <w:lang w:val="en-ZA"/>
        </w:rPr>
        <w:t>from the facts in this case.</w:t>
      </w:r>
      <w:r w:rsidR="00607F9D" w:rsidRPr="00272CD9">
        <w:rPr>
          <w:sz w:val="22"/>
          <w:szCs w:val="22"/>
          <w:lang w:val="en-ZA"/>
        </w:rPr>
        <w:t xml:space="preserve"> </w:t>
      </w:r>
      <w:r w:rsidR="00694CF2" w:rsidRPr="00272CD9">
        <w:rPr>
          <w:sz w:val="24"/>
          <w:lang w:val="en-ZA"/>
        </w:rPr>
        <w:t>In</w:t>
      </w:r>
      <w:r w:rsidR="00694CF2" w:rsidRPr="00272CD9">
        <w:rPr>
          <w:sz w:val="22"/>
          <w:szCs w:val="22"/>
          <w:lang w:val="en-ZA"/>
        </w:rPr>
        <w:t xml:space="preserve"> </w:t>
      </w:r>
      <w:r w:rsidR="00694CF2" w:rsidRPr="00272CD9">
        <w:rPr>
          <w:i/>
          <w:sz w:val="24"/>
          <w:lang w:val="en-ZA"/>
        </w:rPr>
        <w:t>Mettle</w:t>
      </w:r>
      <w:r w:rsidR="00694CF2" w:rsidRPr="00272CD9">
        <w:rPr>
          <w:sz w:val="22"/>
          <w:szCs w:val="22"/>
          <w:lang w:val="en-ZA"/>
        </w:rPr>
        <w:t xml:space="preserve"> </w:t>
      </w:r>
      <w:r w:rsidR="00694CF2" w:rsidRPr="00272CD9">
        <w:rPr>
          <w:sz w:val="24"/>
          <w:lang w:val="en-ZA"/>
        </w:rPr>
        <w:t>th</w:t>
      </w:r>
      <w:r w:rsidR="00C07753" w:rsidRPr="00272CD9">
        <w:rPr>
          <w:sz w:val="24"/>
          <w:lang w:val="en-ZA"/>
        </w:rPr>
        <w:t>is Court confirmed that where the</w:t>
      </w:r>
      <w:r w:rsidR="00694CF2" w:rsidRPr="00272CD9">
        <w:rPr>
          <w:sz w:val="24"/>
          <w:lang w:val="en-ZA"/>
        </w:rPr>
        <w:t xml:space="preserve"> attorney acted merely as a conduit in receiving money in</w:t>
      </w:r>
      <w:r w:rsidR="00C07753" w:rsidRPr="00272CD9">
        <w:rPr>
          <w:sz w:val="24"/>
          <w:lang w:val="en-ZA"/>
        </w:rPr>
        <w:t>to his</w:t>
      </w:r>
      <w:r w:rsidR="00694CF2" w:rsidRPr="00272CD9">
        <w:rPr>
          <w:sz w:val="24"/>
          <w:lang w:val="en-ZA"/>
        </w:rPr>
        <w:t xml:space="preserve"> trust account to be paid out </w:t>
      </w:r>
      <w:r w:rsidR="00CD4E1B" w:rsidRPr="00272CD9">
        <w:rPr>
          <w:sz w:val="24"/>
          <w:lang w:val="en-ZA"/>
        </w:rPr>
        <w:t>to another</w:t>
      </w:r>
      <w:r w:rsidR="00694CF2" w:rsidRPr="00272CD9">
        <w:rPr>
          <w:sz w:val="24"/>
          <w:lang w:val="en-ZA"/>
        </w:rPr>
        <w:t xml:space="preserve">, no entrustment arises. </w:t>
      </w:r>
      <w:r w:rsidR="0000073D" w:rsidRPr="00272CD9">
        <w:rPr>
          <w:sz w:val="24"/>
          <w:lang w:val="en-ZA"/>
        </w:rPr>
        <w:t>I quote</w:t>
      </w:r>
      <w:r w:rsidR="00C07753" w:rsidRPr="00272CD9">
        <w:rPr>
          <w:sz w:val="24"/>
          <w:lang w:val="en-ZA"/>
        </w:rPr>
        <w:t>:</w:t>
      </w:r>
      <w:r w:rsidR="00CD4E1B" w:rsidRPr="005424BF">
        <w:rPr>
          <w:rStyle w:val="FootnoteReference"/>
          <w:sz w:val="24"/>
          <w:lang w:val="en-ZA"/>
        </w:rPr>
        <w:footnoteReference w:id="11"/>
      </w:r>
      <w:r w:rsidR="00C07753" w:rsidRPr="00272CD9">
        <w:rPr>
          <w:sz w:val="24"/>
          <w:lang w:val="en-ZA"/>
        </w:rPr>
        <w:t xml:space="preserve"> </w:t>
      </w:r>
    </w:p>
    <w:p w:rsidR="00B225A2" w:rsidRPr="005424BF" w:rsidRDefault="00C07753" w:rsidP="00F67F8F">
      <w:pPr>
        <w:spacing w:line="360" w:lineRule="auto"/>
        <w:ind w:right="26"/>
        <w:jc w:val="both"/>
        <w:rPr>
          <w:sz w:val="22"/>
          <w:szCs w:val="22"/>
          <w:lang w:val="en-ZA" w:eastAsia="en-ZA"/>
        </w:rPr>
      </w:pPr>
      <w:r w:rsidRPr="005424BF">
        <w:rPr>
          <w:sz w:val="22"/>
          <w:szCs w:val="22"/>
          <w:lang w:val="en-ZA"/>
        </w:rPr>
        <w:t>‘</w:t>
      </w:r>
      <w:r w:rsidRPr="005424BF">
        <w:rPr>
          <w:sz w:val="22"/>
          <w:szCs w:val="22"/>
          <w:lang w:val="en-ZA" w:eastAsia="en-ZA"/>
        </w:rPr>
        <w:t xml:space="preserve">It follows that Mettle — in paying the initial purchase price in each transaction to Langerak as the representative of the mortgagor or seller from whom Mettle had purchased a loan claim or a seller's claim — was simply discharging its debt to such mortgagor or seller. The payment was unconditional and, the moment the initial purchase price was paid into Langerak's trust account in terms of the </w:t>
      </w:r>
      <w:r w:rsidR="00E86711" w:rsidRPr="005424BF">
        <w:rPr>
          <w:sz w:val="22"/>
          <w:szCs w:val="22"/>
          <w:lang w:val="en-ZA" w:eastAsia="en-ZA"/>
        </w:rPr>
        <w:t>M</w:t>
      </w:r>
      <w:r w:rsidRPr="005424BF">
        <w:rPr>
          <w:sz w:val="22"/>
          <w:szCs w:val="22"/>
          <w:lang w:val="en-ZA" w:eastAsia="en-ZA"/>
        </w:rPr>
        <w:t xml:space="preserve">aster </w:t>
      </w:r>
      <w:r w:rsidR="00E86711" w:rsidRPr="005424BF">
        <w:rPr>
          <w:sz w:val="22"/>
          <w:szCs w:val="22"/>
          <w:lang w:val="en-ZA" w:eastAsia="en-ZA"/>
        </w:rPr>
        <w:t>A</w:t>
      </w:r>
      <w:r w:rsidRPr="005424BF">
        <w:rPr>
          <w:sz w:val="22"/>
          <w:szCs w:val="22"/>
          <w:lang w:val="en-ZA" w:eastAsia="en-ZA"/>
        </w:rPr>
        <w:t>greement, Mettle's debt was discharged. Langerak was no more than a conduit for the money</w:t>
      </w:r>
      <w:r w:rsidR="00E86711" w:rsidRPr="005424BF">
        <w:rPr>
          <w:sz w:val="22"/>
          <w:szCs w:val="22"/>
          <w:lang w:val="en-ZA" w:eastAsia="en-ZA"/>
        </w:rPr>
        <w:t>. . .</w:t>
      </w:r>
    </w:p>
    <w:p w:rsidR="00C07753" w:rsidRPr="005424BF" w:rsidRDefault="00C07753" w:rsidP="00FC19CB">
      <w:pPr>
        <w:spacing w:line="360" w:lineRule="auto"/>
        <w:ind w:right="26"/>
        <w:jc w:val="both"/>
        <w:rPr>
          <w:sz w:val="22"/>
          <w:szCs w:val="22"/>
          <w:lang w:val="en-ZA" w:eastAsia="en-ZA"/>
        </w:rPr>
      </w:pPr>
      <w:r w:rsidRPr="005424BF">
        <w:rPr>
          <w:sz w:val="22"/>
          <w:szCs w:val="22"/>
          <w:lang w:val="en-ZA" w:eastAsia="en-ZA"/>
        </w:rPr>
        <w:lastRenderedPageBreak/>
        <w:t>This being so, there was no 'entrustment' of money by Mettle to Langerak. In the words of FH Grosskopf JA in the </w:t>
      </w:r>
      <w:r w:rsidRPr="005424BF">
        <w:rPr>
          <w:i/>
          <w:iCs/>
          <w:sz w:val="22"/>
          <w:szCs w:val="22"/>
          <w:lang w:val="en-ZA" w:eastAsia="en-ZA"/>
        </w:rPr>
        <w:t>Industrial and Commercial Factors</w:t>
      </w:r>
      <w:r w:rsidRPr="005424BF">
        <w:rPr>
          <w:sz w:val="22"/>
          <w:szCs w:val="22"/>
          <w:lang w:val="en-ZA" w:eastAsia="en-ZA"/>
        </w:rPr>
        <w:t> case</w:t>
      </w:r>
      <w:bookmarkStart w:id="2" w:name="0-0-0-267623"/>
      <w:bookmarkEnd w:id="2"/>
      <w:r w:rsidRPr="005424BF">
        <w:rPr>
          <w:sz w:val="22"/>
          <w:szCs w:val="22"/>
          <w:u w:val="single"/>
          <w:lang w:val="en-ZA" w:eastAsia="en-ZA"/>
        </w:rPr>
        <w:t>:</w:t>
      </w:r>
    </w:p>
    <w:p w:rsidR="00C07753" w:rsidRPr="005424BF" w:rsidRDefault="00535ED2" w:rsidP="00F67F8F">
      <w:pPr>
        <w:spacing w:line="360" w:lineRule="auto"/>
        <w:ind w:right="26"/>
        <w:jc w:val="both"/>
        <w:rPr>
          <w:sz w:val="22"/>
          <w:szCs w:val="22"/>
          <w:lang w:val="en-ZA" w:eastAsia="en-ZA"/>
        </w:rPr>
      </w:pPr>
      <w:r w:rsidRPr="005424BF">
        <w:rPr>
          <w:sz w:val="22"/>
          <w:szCs w:val="22"/>
          <w:lang w:val="en-ZA" w:eastAsia="en-ZA"/>
        </w:rPr>
        <w:t>“</w:t>
      </w:r>
      <w:r w:rsidR="00C07753" w:rsidRPr="005424BF">
        <w:rPr>
          <w:sz w:val="22"/>
          <w:szCs w:val="22"/>
          <w:lang w:val="en-ZA" w:eastAsia="en-ZA"/>
        </w:rPr>
        <w:t>Where money is paid into the trust account of an attorney it does not follow that such money is in fact trust money . . .If money is simply handed over to an attorney by a debtor who thereby wishes to discharge a debt, and the attorney has a mandate to receive it on behalf of the creditor, it may be difficult to establish an entrustment.</w:t>
      </w:r>
      <w:r w:rsidR="008D4E3D" w:rsidRPr="005424BF">
        <w:rPr>
          <w:sz w:val="22"/>
          <w:szCs w:val="22"/>
          <w:lang w:val="en-ZA" w:eastAsia="en-ZA"/>
        </w:rPr>
        <w:t>”’</w:t>
      </w:r>
      <w:bookmarkStart w:id="3" w:name="0-0-0-267627"/>
      <w:bookmarkEnd w:id="3"/>
    </w:p>
    <w:p w:rsidR="00C07753" w:rsidRPr="005424BF" w:rsidRDefault="00C07753" w:rsidP="00F67F8F">
      <w:pPr>
        <w:spacing w:line="360" w:lineRule="auto"/>
        <w:ind w:right="26"/>
        <w:jc w:val="both"/>
        <w:rPr>
          <w:sz w:val="22"/>
          <w:szCs w:val="22"/>
          <w:lang w:val="en-ZA" w:eastAsia="en-ZA"/>
        </w:rPr>
      </w:pPr>
    </w:p>
    <w:p w:rsidR="0028243E" w:rsidRPr="00272CD9" w:rsidRDefault="00272CD9" w:rsidP="00272CD9">
      <w:pPr>
        <w:spacing w:line="360" w:lineRule="auto"/>
        <w:ind w:right="26"/>
        <w:jc w:val="both"/>
        <w:rPr>
          <w:sz w:val="24"/>
          <w:lang w:val="en-ZA" w:eastAsia="en-ZA"/>
        </w:rPr>
      </w:pPr>
      <w:r w:rsidRPr="005424BF">
        <w:rPr>
          <w:sz w:val="24"/>
          <w:lang w:val="en-ZA" w:eastAsia="en-ZA"/>
        </w:rPr>
        <w:t>[13]</w:t>
      </w:r>
      <w:r w:rsidRPr="005424BF">
        <w:rPr>
          <w:sz w:val="24"/>
          <w:lang w:val="en-ZA" w:eastAsia="en-ZA"/>
        </w:rPr>
        <w:tab/>
      </w:r>
      <w:r w:rsidR="00694CF2" w:rsidRPr="00272CD9">
        <w:rPr>
          <w:sz w:val="24"/>
          <w:lang w:val="en-ZA" w:eastAsia="en-ZA"/>
        </w:rPr>
        <w:t xml:space="preserve">It </w:t>
      </w:r>
      <w:r w:rsidR="00803690" w:rsidRPr="00272CD9">
        <w:rPr>
          <w:sz w:val="24"/>
          <w:lang w:val="en-ZA" w:eastAsia="en-ZA"/>
        </w:rPr>
        <w:t>is reiterated that</w:t>
      </w:r>
      <w:r w:rsidR="00CD4E1B" w:rsidRPr="00272CD9">
        <w:rPr>
          <w:sz w:val="24"/>
          <w:lang w:val="en-ZA" w:eastAsia="en-ZA"/>
        </w:rPr>
        <w:t xml:space="preserve"> the second element of entrustment was absent in</w:t>
      </w:r>
      <w:r w:rsidR="00803690" w:rsidRPr="00272CD9">
        <w:rPr>
          <w:sz w:val="24"/>
          <w:lang w:val="en-ZA" w:eastAsia="en-ZA"/>
        </w:rPr>
        <w:t xml:space="preserve"> </w:t>
      </w:r>
      <w:r w:rsidR="00803690" w:rsidRPr="00272CD9">
        <w:rPr>
          <w:i/>
          <w:sz w:val="24"/>
          <w:lang w:val="en-ZA" w:eastAsia="en-ZA"/>
        </w:rPr>
        <w:t>Mettle</w:t>
      </w:r>
      <w:r w:rsidR="00CD4E1B" w:rsidRPr="00272CD9">
        <w:rPr>
          <w:i/>
          <w:sz w:val="24"/>
          <w:lang w:val="en-ZA" w:eastAsia="en-ZA"/>
        </w:rPr>
        <w:t xml:space="preserve"> </w:t>
      </w:r>
      <w:r w:rsidR="00CD4E1B" w:rsidRPr="00272CD9">
        <w:rPr>
          <w:sz w:val="24"/>
          <w:lang w:val="en-ZA" w:eastAsia="en-ZA"/>
        </w:rPr>
        <w:t xml:space="preserve">and </w:t>
      </w:r>
      <w:r w:rsidR="00CD4E1B" w:rsidRPr="00272CD9">
        <w:rPr>
          <w:i/>
          <w:sz w:val="24"/>
          <w:lang w:val="en-ZA" w:eastAsia="en-ZA"/>
        </w:rPr>
        <w:t>Injo.</w:t>
      </w:r>
      <w:r w:rsidR="00803690" w:rsidRPr="00272CD9">
        <w:rPr>
          <w:sz w:val="24"/>
          <w:lang w:val="en-ZA" w:eastAsia="en-ZA"/>
        </w:rPr>
        <w:t xml:space="preserve"> </w:t>
      </w:r>
      <w:r w:rsidR="00803690" w:rsidRPr="00272CD9">
        <w:rPr>
          <w:sz w:val="24"/>
          <w:lang w:val="en-ZA"/>
        </w:rPr>
        <w:t>The unique factual circumstances</w:t>
      </w:r>
      <w:r w:rsidR="00CD4E1B" w:rsidRPr="00272CD9">
        <w:rPr>
          <w:sz w:val="24"/>
          <w:lang w:val="en-ZA"/>
        </w:rPr>
        <w:t xml:space="preserve"> in the</w:t>
      </w:r>
      <w:r w:rsidR="00803690" w:rsidRPr="00272CD9">
        <w:rPr>
          <w:sz w:val="24"/>
          <w:lang w:val="en-ZA"/>
        </w:rPr>
        <w:t xml:space="preserve">se two cases distinguish them from the facts in casu. Here, Ms Guilherme acted on </w:t>
      </w:r>
      <w:r w:rsidR="00A13617" w:rsidRPr="00272CD9">
        <w:rPr>
          <w:sz w:val="24"/>
          <w:lang w:val="en-ZA"/>
        </w:rPr>
        <w:t xml:space="preserve">Mr </w:t>
      </w:r>
      <w:r w:rsidR="0000073D" w:rsidRPr="00272CD9">
        <w:rPr>
          <w:sz w:val="24"/>
          <w:lang w:val="en-ZA"/>
        </w:rPr>
        <w:t>Spencer’s</w:t>
      </w:r>
      <w:r w:rsidR="00803690" w:rsidRPr="00272CD9">
        <w:rPr>
          <w:sz w:val="24"/>
          <w:lang w:val="en-ZA"/>
        </w:rPr>
        <w:t xml:space="preserve"> advice. He was her deceased husband’s attorney and appointed </w:t>
      </w:r>
      <w:r w:rsidR="0000073D" w:rsidRPr="00272CD9">
        <w:rPr>
          <w:sz w:val="24"/>
          <w:lang w:val="en-ZA"/>
        </w:rPr>
        <w:t xml:space="preserve">as </w:t>
      </w:r>
      <w:r w:rsidR="00803690" w:rsidRPr="00272CD9">
        <w:rPr>
          <w:sz w:val="24"/>
          <w:lang w:val="en-ZA"/>
        </w:rPr>
        <w:t>executor of the insolvent deceased estate. He used his intimate knowledge to advise her. H</w:t>
      </w:r>
      <w:r w:rsidR="0000073D" w:rsidRPr="00272CD9">
        <w:rPr>
          <w:sz w:val="24"/>
          <w:lang w:val="en-ZA"/>
        </w:rPr>
        <w:t>er money was deposited into his</w:t>
      </w:r>
      <w:r w:rsidR="00AB24AA" w:rsidRPr="00272CD9">
        <w:rPr>
          <w:sz w:val="24"/>
          <w:lang w:val="en-ZA"/>
        </w:rPr>
        <w:t xml:space="preserve"> </w:t>
      </w:r>
      <w:r w:rsidR="00803690" w:rsidRPr="00272CD9">
        <w:rPr>
          <w:sz w:val="24"/>
          <w:lang w:val="en-ZA"/>
        </w:rPr>
        <w:t>trust accou</w:t>
      </w:r>
      <w:r w:rsidR="00AB24AA" w:rsidRPr="00272CD9">
        <w:rPr>
          <w:sz w:val="24"/>
          <w:lang w:val="en-ZA"/>
        </w:rPr>
        <w:t>nt in the course of hi</w:t>
      </w:r>
      <w:r w:rsidR="00803690" w:rsidRPr="00272CD9">
        <w:rPr>
          <w:sz w:val="24"/>
          <w:lang w:val="en-ZA"/>
        </w:rPr>
        <w:t>s practice to be held in trust for her until she ‘</w:t>
      </w:r>
      <w:r w:rsidR="00CD4E1B" w:rsidRPr="00272CD9">
        <w:rPr>
          <w:sz w:val="24"/>
          <w:lang w:val="en-ZA"/>
        </w:rPr>
        <w:t xml:space="preserve">was </w:t>
      </w:r>
      <w:r w:rsidR="00803690" w:rsidRPr="00272CD9">
        <w:rPr>
          <w:sz w:val="24"/>
          <w:lang w:val="en-ZA"/>
        </w:rPr>
        <w:t>required to withdraw monies</w:t>
      </w:r>
      <w:r w:rsidR="0000073D" w:rsidRPr="00272CD9">
        <w:rPr>
          <w:sz w:val="24"/>
          <w:lang w:val="en-ZA"/>
        </w:rPr>
        <w:t xml:space="preserve"> or when the estate was finalised</w:t>
      </w:r>
      <w:r w:rsidR="00803690" w:rsidRPr="00272CD9">
        <w:rPr>
          <w:sz w:val="24"/>
          <w:lang w:val="en-ZA"/>
        </w:rPr>
        <w:t>’</w:t>
      </w:r>
      <w:r w:rsidR="00535ED2" w:rsidRPr="00272CD9">
        <w:rPr>
          <w:sz w:val="24"/>
          <w:lang w:val="en-ZA"/>
        </w:rPr>
        <w:t>.</w:t>
      </w:r>
    </w:p>
    <w:p w:rsidR="00C24CBB" w:rsidRPr="005424BF" w:rsidRDefault="00C24CBB" w:rsidP="00C24CBB">
      <w:pPr>
        <w:spacing w:line="360" w:lineRule="auto"/>
        <w:ind w:right="26"/>
        <w:jc w:val="both"/>
        <w:rPr>
          <w:sz w:val="24"/>
          <w:lang w:val="en-ZA" w:eastAsia="en-ZA"/>
        </w:rPr>
      </w:pPr>
    </w:p>
    <w:p w:rsidR="00DE3BE4" w:rsidRPr="00272CD9" w:rsidRDefault="00272CD9" w:rsidP="00272CD9">
      <w:pPr>
        <w:spacing w:line="360" w:lineRule="auto"/>
        <w:ind w:right="26"/>
        <w:jc w:val="both"/>
        <w:rPr>
          <w:sz w:val="24"/>
          <w:lang w:val="en-ZA"/>
        </w:rPr>
      </w:pPr>
      <w:r w:rsidRPr="005424BF">
        <w:rPr>
          <w:sz w:val="24"/>
          <w:lang w:val="en-ZA"/>
        </w:rPr>
        <w:t>[14]</w:t>
      </w:r>
      <w:r w:rsidRPr="005424BF">
        <w:rPr>
          <w:sz w:val="24"/>
          <w:lang w:val="en-ZA"/>
        </w:rPr>
        <w:tab/>
      </w:r>
      <w:r w:rsidR="00DE3BE4" w:rsidRPr="00272CD9">
        <w:rPr>
          <w:sz w:val="24"/>
          <w:lang w:val="en-ZA"/>
        </w:rPr>
        <w:t xml:space="preserve">Grosskopff JA remarked in </w:t>
      </w:r>
      <w:r w:rsidR="00DE3BE4" w:rsidRPr="00272CD9">
        <w:rPr>
          <w:i/>
          <w:sz w:val="24"/>
          <w:lang w:val="en-ZA"/>
        </w:rPr>
        <w:t>ICF</w:t>
      </w:r>
      <w:r w:rsidR="00DE3BE4" w:rsidRPr="00272CD9">
        <w:rPr>
          <w:sz w:val="24"/>
          <w:lang w:val="en-ZA"/>
        </w:rPr>
        <w:t>, as quoted above, that the legislature did not have ‘a trust in the legal sense of the word’ in mind when s 26 was enacted. Even if one accepts for a moment the reliance on the principle applicable to trusts, the Fund’s argument must also fail. ‘Trust’ is defined as follows in the Trust Property Control Act 57 of 1988:</w:t>
      </w:r>
    </w:p>
    <w:p w:rsidR="00DE3BE4" w:rsidRPr="005424BF" w:rsidRDefault="00DE3BE4" w:rsidP="00DE3BE4">
      <w:pPr>
        <w:spacing w:line="360" w:lineRule="auto"/>
        <w:ind w:right="26"/>
        <w:jc w:val="both"/>
        <w:rPr>
          <w:sz w:val="22"/>
          <w:szCs w:val="22"/>
          <w:lang w:val="en-ZA"/>
        </w:rPr>
      </w:pPr>
      <w:r w:rsidRPr="005424BF">
        <w:rPr>
          <w:bCs/>
          <w:sz w:val="22"/>
          <w:szCs w:val="22"/>
          <w:lang w:val="en-ZA"/>
        </w:rPr>
        <w:t>‘</w:t>
      </w:r>
      <w:r w:rsidRPr="005424BF">
        <w:rPr>
          <w:b/>
          <w:bCs/>
          <w:sz w:val="22"/>
          <w:szCs w:val="22"/>
          <w:lang w:val="en-ZA"/>
        </w:rPr>
        <w:t>'trust'</w:t>
      </w:r>
      <w:r w:rsidRPr="005424BF">
        <w:rPr>
          <w:sz w:val="22"/>
          <w:szCs w:val="22"/>
          <w:lang w:val="en-ZA"/>
        </w:rPr>
        <w:t> means the arrangement through which the ownership in property of one person is by virtue of a trust instrument made over or bequeathed-</w:t>
      </w:r>
    </w:p>
    <w:p w:rsidR="00DE3BE4" w:rsidRPr="005424BF" w:rsidRDefault="00DE3BE4" w:rsidP="00DE3BE4">
      <w:pPr>
        <w:spacing w:line="360" w:lineRule="auto"/>
        <w:ind w:right="26"/>
        <w:jc w:val="both"/>
        <w:rPr>
          <w:sz w:val="22"/>
          <w:szCs w:val="22"/>
          <w:lang w:val="en-ZA"/>
        </w:rPr>
      </w:pPr>
      <w:bookmarkStart w:id="4" w:name="0-0-0-309453"/>
      <w:bookmarkEnd w:id="4"/>
      <w:r w:rsidRPr="005424BF">
        <w:rPr>
          <w:i/>
          <w:iCs/>
          <w:sz w:val="22"/>
          <w:szCs w:val="22"/>
          <w:lang w:val="en-ZA"/>
        </w:rPr>
        <w:t xml:space="preserve">(a) </w:t>
      </w:r>
      <w:r w:rsidRPr="005424BF">
        <w:rPr>
          <w:sz w:val="22"/>
          <w:szCs w:val="22"/>
          <w:lang w:val="en-ZA"/>
        </w:rPr>
        <w:t>to another person, the trustee, in whole or in part, to be administered or disposed of according to the provisions of the trust instrument for the benefit of the person or class of persons designated in the trust instrument or for the achievement of the object stated in the trust instrument; or</w:t>
      </w:r>
    </w:p>
    <w:p w:rsidR="00DE3BE4" w:rsidRPr="005424BF" w:rsidRDefault="00DE3BE4" w:rsidP="00DE3BE4">
      <w:pPr>
        <w:spacing w:line="360" w:lineRule="auto"/>
        <w:ind w:right="26"/>
        <w:jc w:val="both"/>
        <w:rPr>
          <w:sz w:val="22"/>
          <w:szCs w:val="22"/>
          <w:lang w:val="en-ZA"/>
        </w:rPr>
      </w:pPr>
      <w:bookmarkStart w:id="5" w:name="0-0-0-309455"/>
      <w:bookmarkEnd w:id="5"/>
      <w:r w:rsidRPr="005424BF">
        <w:rPr>
          <w:i/>
          <w:iCs/>
          <w:sz w:val="22"/>
          <w:szCs w:val="22"/>
          <w:lang w:val="en-ZA"/>
        </w:rPr>
        <w:t>(b)</w:t>
      </w:r>
      <w:r w:rsidRPr="005424BF">
        <w:rPr>
          <w:sz w:val="22"/>
          <w:szCs w:val="22"/>
          <w:lang w:val="en-ZA"/>
        </w:rPr>
        <w:t xml:space="preserve"> to the beneficiaries designated in the trust instrument, which property is placed under the control of another person, the trustee, to be administered or disposed of according to the provisions of the trust instrument for the benefit of the person or class of persons designated in the trust instrument or for the achievement of the object stated in the trust instrument,</w:t>
      </w:r>
    </w:p>
    <w:p w:rsidR="00DE3BE4" w:rsidRPr="005424BF" w:rsidRDefault="00DE3BE4" w:rsidP="00DE3BE4">
      <w:pPr>
        <w:spacing w:line="360" w:lineRule="auto"/>
        <w:ind w:right="26"/>
        <w:jc w:val="both"/>
        <w:rPr>
          <w:sz w:val="22"/>
          <w:szCs w:val="22"/>
          <w:lang w:val="en-ZA"/>
        </w:rPr>
      </w:pPr>
      <w:r w:rsidRPr="005424BF">
        <w:rPr>
          <w:sz w:val="22"/>
          <w:szCs w:val="22"/>
          <w:lang w:val="en-ZA"/>
        </w:rPr>
        <w:t>but does not include the case where the property of another is to be administered by any person as executor, tutor or curator in terms of the provisions of the Administration of Estates Act, 1965.’</w:t>
      </w:r>
      <w:r w:rsidR="0057579E" w:rsidRPr="005424BF">
        <w:rPr>
          <w:rStyle w:val="FootnoteReference"/>
          <w:sz w:val="22"/>
          <w:szCs w:val="22"/>
          <w:lang w:val="en-ZA"/>
        </w:rPr>
        <w:footnoteReference w:id="12"/>
      </w:r>
    </w:p>
    <w:p w:rsidR="00DE3BE4" w:rsidRPr="005424BF" w:rsidRDefault="00DE3BE4" w:rsidP="00DE3BE4">
      <w:pPr>
        <w:spacing w:line="360" w:lineRule="auto"/>
        <w:ind w:right="26"/>
        <w:jc w:val="both"/>
        <w:rPr>
          <w:sz w:val="24"/>
          <w:lang w:val="en-ZA"/>
        </w:rPr>
      </w:pPr>
    </w:p>
    <w:p w:rsidR="00DE3BE4" w:rsidRPr="00272CD9" w:rsidRDefault="00272CD9" w:rsidP="00272CD9">
      <w:pPr>
        <w:spacing w:line="360" w:lineRule="auto"/>
        <w:ind w:right="26"/>
        <w:jc w:val="both"/>
        <w:rPr>
          <w:sz w:val="24"/>
          <w:lang w:val="en-ZA"/>
        </w:rPr>
      </w:pPr>
      <w:r w:rsidRPr="005424BF">
        <w:rPr>
          <w:sz w:val="24"/>
          <w:lang w:val="en-ZA"/>
        </w:rPr>
        <w:lastRenderedPageBreak/>
        <w:t>[15]</w:t>
      </w:r>
      <w:r w:rsidRPr="005424BF">
        <w:rPr>
          <w:sz w:val="24"/>
          <w:lang w:val="en-ZA"/>
        </w:rPr>
        <w:tab/>
      </w:r>
      <w:r w:rsidR="00A13617" w:rsidRPr="00272CD9">
        <w:rPr>
          <w:sz w:val="24"/>
          <w:lang w:val="en-ZA"/>
        </w:rPr>
        <w:t xml:space="preserve">Mr </w:t>
      </w:r>
      <w:r w:rsidR="00DE3BE4" w:rsidRPr="00272CD9">
        <w:rPr>
          <w:sz w:val="24"/>
          <w:lang w:val="en-ZA"/>
        </w:rPr>
        <w:t xml:space="preserve">Spencer who received the money in trust could be equated to a trustee as the money had been placed under his control for the benefit of Ms Guilherme, the beneficiary. </w:t>
      </w:r>
      <w:r w:rsidR="00A13617" w:rsidRPr="00272CD9">
        <w:rPr>
          <w:sz w:val="24"/>
          <w:lang w:val="en-ZA"/>
        </w:rPr>
        <w:t xml:space="preserve">Mr </w:t>
      </w:r>
      <w:r w:rsidR="00DE3BE4" w:rsidRPr="00272CD9">
        <w:rPr>
          <w:sz w:val="24"/>
          <w:lang w:val="en-ZA"/>
        </w:rPr>
        <w:t xml:space="preserve">Spencer as trustee was subject to a fiduciary obligation. Every trust imports the element of holding or administering property in part for a person or object other than the trustee. Nothing prevented Ms Guilherme as the founder and depositor </w:t>
      </w:r>
      <w:r w:rsidR="001900DD" w:rsidRPr="00272CD9">
        <w:rPr>
          <w:sz w:val="24"/>
          <w:lang w:val="en-ZA"/>
        </w:rPr>
        <w:t xml:space="preserve">from </w:t>
      </w:r>
      <w:r w:rsidR="00DE3BE4" w:rsidRPr="00272CD9">
        <w:rPr>
          <w:sz w:val="24"/>
          <w:lang w:val="en-ZA"/>
        </w:rPr>
        <w:t>be</w:t>
      </w:r>
      <w:r w:rsidR="001900DD" w:rsidRPr="00272CD9">
        <w:rPr>
          <w:sz w:val="24"/>
          <w:lang w:val="en-ZA"/>
        </w:rPr>
        <w:t>ing</w:t>
      </w:r>
      <w:r w:rsidR="00DE3BE4" w:rsidRPr="00272CD9">
        <w:rPr>
          <w:sz w:val="24"/>
          <w:lang w:val="en-ZA"/>
        </w:rPr>
        <w:t xml:space="preserve"> a beneficiary, or indeed the sole beneficiary.</w:t>
      </w:r>
      <w:r w:rsidR="00DE3BE4" w:rsidRPr="005424BF">
        <w:rPr>
          <w:rStyle w:val="FootnoteReference"/>
          <w:sz w:val="24"/>
          <w:lang w:val="en-ZA"/>
        </w:rPr>
        <w:footnoteReference w:id="13"/>
      </w:r>
      <w:r w:rsidR="00DE3BE4" w:rsidRPr="00272CD9">
        <w:rPr>
          <w:sz w:val="24"/>
          <w:lang w:val="en-ZA"/>
        </w:rPr>
        <w:t xml:space="preserve"> Therefore, there is no legal basis on which it can be argued that Ms Guilherme as the depositor of the money to be kept in trust may not benefit. </w:t>
      </w:r>
      <w:r w:rsidR="001900DD" w:rsidRPr="00272CD9">
        <w:rPr>
          <w:sz w:val="24"/>
          <w:lang w:val="en-ZA"/>
        </w:rPr>
        <w:t>The</w:t>
      </w:r>
      <w:r w:rsidR="00DE3BE4" w:rsidRPr="00272CD9">
        <w:rPr>
          <w:sz w:val="24"/>
          <w:lang w:val="en-ZA"/>
        </w:rPr>
        <w:t xml:space="preserve"> submission </w:t>
      </w:r>
      <w:r w:rsidR="001900DD" w:rsidRPr="00272CD9">
        <w:rPr>
          <w:sz w:val="24"/>
          <w:lang w:val="en-ZA"/>
        </w:rPr>
        <w:t xml:space="preserve">made on behalf of the appellant </w:t>
      </w:r>
      <w:r w:rsidR="00DE3BE4" w:rsidRPr="00272CD9">
        <w:rPr>
          <w:sz w:val="24"/>
          <w:lang w:val="en-ZA"/>
        </w:rPr>
        <w:t>to the contrary has no legal foundation.</w:t>
      </w:r>
    </w:p>
    <w:p w:rsidR="000E126E" w:rsidRPr="005424BF" w:rsidRDefault="000E126E" w:rsidP="00F67F8F">
      <w:pPr>
        <w:pStyle w:val="ListParagraph"/>
        <w:spacing w:line="360" w:lineRule="auto"/>
        <w:ind w:left="0" w:right="26"/>
        <w:jc w:val="both"/>
        <w:rPr>
          <w:sz w:val="22"/>
          <w:szCs w:val="22"/>
          <w:lang w:val="en-ZA"/>
        </w:rPr>
      </w:pPr>
    </w:p>
    <w:p w:rsidR="00606F68" w:rsidRPr="00272CD9" w:rsidRDefault="00272CD9" w:rsidP="00272CD9">
      <w:pPr>
        <w:spacing w:line="360" w:lineRule="auto"/>
        <w:ind w:right="26"/>
        <w:jc w:val="both"/>
        <w:rPr>
          <w:sz w:val="24"/>
          <w:lang w:val="en-ZA"/>
        </w:rPr>
      </w:pPr>
      <w:r w:rsidRPr="005424BF">
        <w:rPr>
          <w:sz w:val="24"/>
          <w:lang w:val="en-ZA"/>
        </w:rPr>
        <w:t>[16]</w:t>
      </w:r>
      <w:r w:rsidRPr="005424BF">
        <w:rPr>
          <w:sz w:val="24"/>
          <w:lang w:val="en-ZA"/>
        </w:rPr>
        <w:tab/>
      </w:r>
      <w:r w:rsidR="00606F68" w:rsidRPr="00272CD9">
        <w:rPr>
          <w:sz w:val="24"/>
          <w:lang w:val="en-ZA"/>
        </w:rPr>
        <w:t xml:space="preserve">In </w:t>
      </w:r>
      <w:r w:rsidR="00606F68" w:rsidRPr="00272CD9">
        <w:rPr>
          <w:i/>
          <w:sz w:val="24"/>
          <w:lang w:val="en-ZA"/>
        </w:rPr>
        <w:t>Bic S</w:t>
      </w:r>
      <w:r w:rsidR="00914864" w:rsidRPr="00272CD9">
        <w:rPr>
          <w:i/>
          <w:sz w:val="24"/>
          <w:lang w:val="en-ZA"/>
        </w:rPr>
        <w:t>outhern Africa (Pty) Ltd</w:t>
      </w:r>
      <w:r w:rsidR="00606F68" w:rsidRPr="00272CD9">
        <w:rPr>
          <w:i/>
          <w:sz w:val="24"/>
          <w:lang w:val="en-ZA"/>
        </w:rPr>
        <w:t xml:space="preserve"> v Attorneys Fidelity Fund Board of Control</w:t>
      </w:r>
      <w:r w:rsidR="00606F68" w:rsidRPr="005424BF">
        <w:rPr>
          <w:rStyle w:val="FootnoteReference"/>
          <w:sz w:val="24"/>
          <w:lang w:val="en-ZA"/>
        </w:rPr>
        <w:footnoteReference w:id="14"/>
      </w:r>
      <w:r w:rsidR="00606F68" w:rsidRPr="00272CD9">
        <w:rPr>
          <w:i/>
          <w:sz w:val="24"/>
          <w:lang w:val="en-ZA"/>
        </w:rPr>
        <w:t xml:space="preserve"> </w:t>
      </w:r>
      <w:r w:rsidR="00606F68" w:rsidRPr="00272CD9">
        <w:rPr>
          <w:sz w:val="24"/>
          <w:lang w:val="en-ZA"/>
        </w:rPr>
        <w:t xml:space="preserve">the attorney failed to account to the client who had instructed him to invest the money in an interest-bearing account pending compliance with foreign exchange requirements. The money was not invested </w:t>
      </w:r>
      <w:r w:rsidR="00BB15E5" w:rsidRPr="00272CD9">
        <w:rPr>
          <w:sz w:val="24"/>
          <w:lang w:val="en-ZA"/>
        </w:rPr>
        <w:t xml:space="preserve">in accordance with the client’s express </w:t>
      </w:r>
      <w:r w:rsidR="00441719" w:rsidRPr="00272CD9">
        <w:rPr>
          <w:sz w:val="24"/>
          <w:lang w:val="en-ZA"/>
        </w:rPr>
        <w:t>instructions</w:t>
      </w:r>
      <w:r w:rsidR="00BB15E5" w:rsidRPr="00272CD9">
        <w:rPr>
          <w:sz w:val="24"/>
          <w:lang w:val="en-ZA"/>
        </w:rPr>
        <w:t xml:space="preserve"> </w:t>
      </w:r>
      <w:r w:rsidR="00606F68" w:rsidRPr="00272CD9">
        <w:rPr>
          <w:sz w:val="24"/>
          <w:lang w:val="en-ZA"/>
        </w:rPr>
        <w:t>as envisaged in subs</w:t>
      </w:r>
      <w:r w:rsidR="0000073D" w:rsidRPr="00272CD9">
        <w:rPr>
          <w:sz w:val="24"/>
          <w:lang w:val="en-ZA"/>
        </w:rPr>
        <w:t>e</w:t>
      </w:r>
      <w:r w:rsidR="00606F68" w:rsidRPr="00272CD9">
        <w:rPr>
          <w:sz w:val="24"/>
          <w:lang w:val="en-ZA"/>
        </w:rPr>
        <w:t>c 47(1)</w:t>
      </w:r>
      <w:r w:rsidR="00606F68" w:rsidRPr="00272CD9">
        <w:rPr>
          <w:i/>
          <w:sz w:val="24"/>
          <w:lang w:val="en-ZA"/>
        </w:rPr>
        <w:t xml:space="preserve">(g) </w:t>
      </w:r>
      <w:r w:rsidR="00606F68" w:rsidRPr="00272CD9">
        <w:rPr>
          <w:sz w:val="24"/>
          <w:lang w:val="en-ZA"/>
        </w:rPr>
        <w:t>of the Attorneys Act. The attorney fled and apparently left the country. The court held that the dealings were inextricably part of the attorney’s practice insofar as he had held himself out as an expert in the field of foreign exchange matters. The Fund was held liable for the client’s loss. This judgment supports Ms Guilherme’s case</w:t>
      </w:r>
      <w:r w:rsidR="00BB15E5" w:rsidRPr="00272CD9">
        <w:rPr>
          <w:sz w:val="24"/>
          <w:lang w:val="en-ZA"/>
        </w:rPr>
        <w:t xml:space="preserve"> and certainly not </w:t>
      </w:r>
      <w:r w:rsidR="0000073D" w:rsidRPr="00272CD9">
        <w:rPr>
          <w:sz w:val="24"/>
          <w:lang w:val="en-ZA"/>
        </w:rPr>
        <w:t>that of the Fund</w:t>
      </w:r>
      <w:r w:rsidR="00BB15E5" w:rsidRPr="00272CD9">
        <w:rPr>
          <w:sz w:val="24"/>
          <w:lang w:val="en-ZA"/>
        </w:rPr>
        <w:t xml:space="preserve"> as submitted on its behalf</w:t>
      </w:r>
      <w:r w:rsidR="00606F68" w:rsidRPr="00272CD9">
        <w:rPr>
          <w:sz w:val="24"/>
          <w:lang w:val="en-ZA"/>
        </w:rPr>
        <w:t xml:space="preserve">. A client would be entitled to deposit an amount into his/her attorney’s trust account before leaving the country for an extended overseas vacation with instructions to pay a specified amount </w:t>
      </w:r>
      <w:r w:rsidR="00BB15E5" w:rsidRPr="00272CD9">
        <w:rPr>
          <w:sz w:val="24"/>
          <w:lang w:val="en-ZA"/>
        </w:rPr>
        <w:t xml:space="preserve">every month </w:t>
      </w:r>
      <w:r w:rsidR="00606F68" w:rsidRPr="00272CD9">
        <w:rPr>
          <w:sz w:val="24"/>
          <w:lang w:val="en-ZA"/>
        </w:rPr>
        <w:t>into his/her bank account to ensure that debit orders charged against the account are met. This example is in line with what Ms Guilherm</w:t>
      </w:r>
      <w:r w:rsidR="0000073D" w:rsidRPr="00272CD9">
        <w:rPr>
          <w:sz w:val="24"/>
          <w:lang w:val="en-ZA"/>
        </w:rPr>
        <w:t xml:space="preserve">e did as advised by </w:t>
      </w:r>
      <w:r w:rsidR="00A13617" w:rsidRPr="00272CD9">
        <w:rPr>
          <w:sz w:val="24"/>
          <w:lang w:val="en-ZA"/>
        </w:rPr>
        <w:t xml:space="preserve">Mr </w:t>
      </w:r>
      <w:r w:rsidR="0000073D" w:rsidRPr="00272CD9">
        <w:rPr>
          <w:sz w:val="24"/>
          <w:lang w:val="en-ZA"/>
        </w:rPr>
        <w:t>Spencer</w:t>
      </w:r>
      <w:r w:rsidR="00606F68" w:rsidRPr="00272CD9">
        <w:rPr>
          <w:sz w:val="24"/>
          <w:lang w:val="en-ZA"/>
        </w:rPr>
        <w:t>.</w:t>
      </w:r>
      <w:r w:rsidR="007E2260" w:rsidRPr="00272CD9">
        <w:rPr>
          <w:sz w:val="24"/>
          <w:lang w:val="en-ZA"/>
        </w:rPr>
        <w:t xml:space="preserve"> </w:t>
      </w:r>
      <w:r w:rsidR="00B22476" w:rsidRPr="00272CD9">
        <w:rPr>
          <w:sz w:val="24"/>
          <w:lang w:val="en-ZA"/>
        </w:rPr>
        <w:t>Entrustment for the purpose of subsec 26</w:t>
      </w:r>
      <w:r w:rsidR="00B22476" w:rsidRPr="00272CD9">
        <w:rPr>
          <w:i/>
          <w:sz w:val="24"/>
          <w:lang w:val="en-ZA"/>
        </w:rPr>
        <w:t>(a)</w:t>
      </w:r>
      <w:r w:rsidR="00B22476" w:rsidRPr="00272CD9">
        <w:rPr>
          <w:sz w:val="24"/>
          <w:lang w:val="en-ZA"/>
        </w:rPr>
        <w:t xml:space="preserve"> must be seen as an attempt by the legislature to protect the person by whom or on whose behalf money was entrusted, that being the person who stan</w:t>
      </w:r>
      <w:r w:rsidR="001220BF" w:rsidRPr="00272CD9">
        <w:rPr>
          <w:sz w:val="24"/>
          <w:lang w:val="en-ZA"/>
        </w:rPr>
        <w:t>ds to suffer the pecuniary loss. The proceeds of the policy fell into Ms Guilherme’s own estate</w:t>
      </w:r>
      <w:r w:rsidR="00C24CBB" w:rsidRPr="00272CD9">
        <w:rPr>
          <w:sz w:val="24"/>
          <w:lang w:val="en-ZA"/>
        </w:rPr>
        <w:t>. She was the lawful recipient thereof and</w:t>
      </w:r>
      <w:r w:rsidR="001220BF" w:rsidRPr="00272CD9">
        <w:rPr>
          <w:sz w:val="24"/>
          <w:lang w:val="en-ZA"/>
        </w:rPr>
        <w:t xml:space="preserve"> at liberty to apply it in any way she wished and/or as advised.</w:t>
      </w:r>
    </w:p>
    <w:p w:rsidR="00606F68" w:rsidRPr="005424BF" w:rsidRDefault="00606F68" w:rsidP="00F67F8F">
      <w:pPr>
        <w:spacing w:line="360" w:lineRule="auto"/>
        <w:ind w:right="26"/>
        <w:jc w:val="both"/>
        <w:rPr>
          <w:sz w:val="24"/>
          <w:lang w:val="en-ZA"/>
        </w:rPr>
      </w:pPr>
    </w:p>
    <w:p w:rsidR="0028243E" w:rsidRPr="00272CD9" w:rsidRDefault="00272CD9" w:rsidP="00272CD9">
      <w:pPr>
        <w:spacing w:line="360" w:lineRule="auto"/>
        <w:ind w:right="26"/>
        <w:jc w:val="both"/>
        <w:rPr>
          <w:sz w:val="24"/>
          <w:lang w:val="en-ZA"/>
        </w:rPr>
      </w:pPr>
      <w:r w:rsidRPr="005424BF">
        <w:rPr>
          <w:sz w:val="24"/>
          <w:lang w:val="en-ZA"/>
        </w:rPr>
        <w:lastRenderedPageBreak/>
        <w:t>[17]</w:t>
      </w:r>
      <w:r w:rsidRPr="005424BF">
        <w:rPr>
          <w:sz w:val="24"/>
          <w:lang w:val="en-ZA"/>
        </w:rPr>
        <w:tab/>
      </w:r>
      <w:r w:rsidR="0028243E" w:rsidRPr="00272CD9">
        <w:rPr>
          <w:sz w:val="24"/>
          <w:lang w:val="en-ZA"/>
        </w:rPr>
        <w:t xml:space="preserve">In </w:t>
      </w:r>
      <w:r w:rsidR="0028243E" w:rsidRPr="00272CD9">
        <w:rPr>
          <w:i/>
          <w:sz w:val="24"/>
          <w:lang w:val="en-ZA"/>
        </w:rPr>
        <w:t>Du Preez and Others v Zwiegers</w:t>
      </w:r>
      <w:r w:rsidR="0028243E" w:rsidRPr="005424BF">
        <w:rPr>
          <w:rStyle w:val="FootnoteReference"/>
          <w:sz w:val="22"/>
          <w:szCs w:val="22"/>
          <w:lang w:val="en-ZA"/>
        </w:rPr>
        <w:footnoteReference w:id="15"/>
      </w:r>
      <w:r w:rsidR="00AA3D80" w:rsidRPr="00272CD9">
        <w:rPr>
          <w:sz w:val="24"/>
          <w:lang w:val="en-ZA"/>
        </w:rPr>
        <w:t xml:space="preserve"> </w:t>
      </w:r>
      <w:r w:rsidR="0028243E" w:rsidRPr="00272CD9">
        <w:rPr>
          <w:sz w:val="24"/>
          <w:lang w:val="en-ZA"/>
        </w:rPr>
        <w:t>this Court dealt with a delictual claim and the duty of an attorney where the depositor was not an existing client. The attorney was held liable in delict in circumstances where he negligently made payment without ascertaining what the depositor wanted done with the money. The Court stated the legal principle as follows:</w:t>
      </w:r>
    </w:p>
    <w:p w:rsidR="003C70A6" w:rsidRPr="005424BF" w:rsidRDefault="0028243E" w:rsidP="00F67F8F">
      <w:pPr>
        <w:pStyle w:val="ListParagraph"/>
        <w:spacing w:line="360" w:lineRule="auto"/>
        <w:ind w:left="0" w:right="26"/>
        <w:jc w:val="both"/>
        <w:rPr>
          <w:sz w:val="22"/>
          <w:szCs w:val="22"/>
          <w:lang w:val="en-ZA"/>
        </w:rPr>
      </w:pPr>
      <w:r w:rsidRPr="005424BF">
        <w:rPr>
          <w:sz w:val="22"/>
          <w:szCs w:val="22"/>
          <w:lang w:val="en-ZA"/>
        </w:rPr>
        <w:t>‘</w:t>
      </w:r>
      <w:r w:rsidR="000E126E" w:rsidRPr="005424BF">
        <w:rPr>
          <w:sz w:val="22"/>
          <w:szCs w:val="22"/>
          <w:lang w:val="en-ZA"/>
        </w:rPr>
        <w:t>It was also wrong, in my view, to hold, as a corollary, that it was up to the depositor to look after its own interests. Vis-à-vis the depositor the attorney is not just another member of the public who is entitled to expect fellow citizens to take reasonable care to protect their own interests. An attorney into whose trust account money is paid owes a duty to the depositor even if the depositor is not an existing client of the practice. That duty, at the risk of repetition, is to deal with the money in such a way that harm is not negligently caused, to the depositor among others.</w:t>
      </w:r>
      <w:r w:rsidRPr="005424BF">
        <w:rPr>
          <w:sz w:val="22"/>
          <w:szCs w:val="22"/>
          <w:lang w:val="en-ZA"/>
        </w:rPr>
        <w:t>’</w:t>
      </w:r>
      <w:r w:rsidR="00914864" w:rsidRPr="005424BF">
        <w:rPr>
          <w:rStyle w:val="FootnoteReference"/>
          <w:sz w:val="22"/>
          <w:szCs w:val="22"/>
          <w:lang w:val="en-ZA"/>
        </w:rPr>
        <w:footnoteReference w:id="16"/>
      </w:r>
    </w:p>
    <w:p w:rsidR="00AA3D80" w:rsidRPr="005424BF" w:rsidRDefault="00C24CBB" w:rsidP="00F67F8F">
      <w:pPr>
        <w:pStyle w:val="ListParagraph"/>
        <w:spacing w:line="360" w:lineRule="auto"/>
        <w:ind w:left="0" w:right="26"/>
        <w:jc w:val="both"/>
        <w:rPr>
          <w:sz w:val="24"/>
          <w:lang w:val="en-ZA"/>
        </w:rPr>
      </w:pPr>
      <w:r w:rsidRPr="005424BF">
        <w:rPr>
          <w:sz w:val="24"/>
          <w:lang w:val="en-ZA"/>
        </w:rPr>
        <w:t>The court of first instance</w:t>
      </w:r>
      <w:r w:rsidR="00AA3D80" w:rsidRPr="005424BF">
        <w:rPr>
          <w:sz w:val="24"/>
          <w:lang w:val="en-ZA"/>
        </w:rPr>
        <w:t xml:space="preserve"> referred to this dictum and concluded that money can be deposit</w:t>
      </w:r>
      <w:r w:rsidR="003F0ACB" w:rsidRPr="005424BF">
        <w:rPr>
          <w:sz w:val="24"/>
          <w:lang w:val="en-ZA"/>
        </w:rPr>
        <w:t>ed</w:t>
      </w:r>
      <w:r w:rsidR="00AA3D80" w:rsidRPr="005424BF">
        <w:rPr>
          <w:sz w:val="24"/>
          <w:lang w:val="en-ZA"/>
        </w:rPr>
        <w:t xml:space="preserve"> into an attorney’s trust account pending instructions while the depositor is not a client of the attorney. It held that such arrangement was not barred by law</w:t>
      </w:r>
      <w:r w:rsidR="00AB24AA" w:rsidRPr="005424BF">
        <w:rPr>
          <w:sz w:val="24"/>
          <w:lang w:val="en-ZA"/>
        </w:rPr>
        <w:t xml:space="preserve">. The full court </w:t>
      </w:r>
      <w:r w:rsidR="00AA3D80" w:rsidRPr="005424BF">
        <w:rPr>
          <w:sz w:val="24"/>
          <w:lang w:val="en-ZA"/>
        </w:rPr>
        <w:t xml:space="preserve">relied upon this same judgment in support of its finding that Ms Guilherme was entitled to rely on the professional advice of </w:t>
      </w:r>
      <w:r w:rsidR="00A13617" w:rsidRPr="005424BF">
        <w:rPr>
          <w:sz w:val="24"/>
          <w:lang w:val="en-ZA"/>
        </w:rPr>
        <w:t xml:space="preserve">Mr </w:t>
      </w:r>
      <w:r w:rsidRPr="005424BF">
        <w:rPr>
          <w:sz w:val="24"/>
          <w:lang w:val="en-ZA"/>
        </w:rPr>
        <w:t>Spencer</w:t>
      </w:r>
      <w:r w:rsidR="00D17BBA" w:rsidRPr="005424BF">
        <w:rPr>
          <w:sz w:val="24"/>
          <w:lang w:val="en-ZA"/>
        </w:rPr>
        <w:t xml:space="preserve"> to deposit the funds into his trust account</w:t>
      </w:r>
      <w:r w:rsidR="000503E9" w:rsidRPr="005424BF">
        <w:rPr>
          <w:sz w:val="24"/>
          <w:lang w:val="en-ZA"/>
        </w:rPr>
        <w:t>.</w:t>
      </w:r>
      <w:r w:rsidR="001900DD" w:rsidRPr="005424BF">
        <w:rPr>
          <w:sz w:val="24"/>
          <w:lang w:val="en-ZA"/>
        </w:rPr>
        <w:t xml:space="preserve"> </w:t>
      </w:r>
      <w:r w:rsidR="00F85784" w:rsidRPr="005424BF">
        <w:rPr>
          <w:sz w:val="24"/>
          <w:lang w:val="en-ZA"/>
        </w:rPr>
        <w:t>Ms Guilherme would be ent</w:t>
      </w:r>
      <w:r w:rsidRPr="005424BF">
        <w:rPr>
          <w:sz w:val="24"/>
          <w:lang w:val="en-ZA"/>
        </w:rPr>
        <w:t xml:space="preserve">itled to claim from </w:t>
      </w:r>
      <w:r w:rsidR="00A13617" w:rsidRPr="005424BF">
        <w:rPr>
          <w:sz w:val="24"/>
          <w:lang w:val="en-ZA"/>
        </w:rPr>
        <w:t xml:space="preserve">Mr </w:t>
      </w:r>
      <w:r w:rsidRPr="005424BF">
        <w:rPr>
          <w:sz w:val="24"/>
          <w:lang w:val="en-ZA"/>
        </w:rPr>
        <w:t>Spencer</w:t>
      </w:r>
      <w:r w:rsidR="001900DD" w:rsidRPr="005424BF">
        <w:rPr>
          <w:sz w:val="24"/>
          <w:lang w:val="en-ZA"/>
        </w:rPr>
        <w:t xml:space="preserve"> based on delict</w:t>
      </w:r>
      <w:r w:rsidR="00CE0B48" w:rsidRPr="005424BF">
        <w:rPr>
          <w:sz w:val="24"/>
          <w:lang w:val="en-ZA"/>
        </w:rPr>
        <w:t>,</w:t>
      </w:r>
      <w:r w:rsidR="00745A1A" w:rsidRPr="005424BF">
        <w:rPr>
          <w:sz w:val="24"/>
          <w:lang w:val="en-ZA"/>
        </w:rPr>
        <w:t xml:space="preserve"> </w:t>
      </w:r>
      <w:r w:rsidR="00CE0B48" w:rsidRPr="005424BF">
        <w:rPr>
          <w:sz w:val="24"/>
          <w:lang w:val="en-ZA"/>
        </w:rPr>
        <w:t>but</w:t>
      </w:r>
      <w:r w:rsidR="001900DD" w:rsidRPr="005424BF">
        <w:rPr>
          <w:sz w:val="24"/>
          <w:lang w:val="en-ZA"/>
        </w:rPr>
        <w:t xml:space="preserve"> </w:t>
      </w:r>
      <w:r w:rsidR="00F85784" w:rsidRPr="005424BF">
        <w:rPr>
          <w:sz w:val="24"/>
          <w:lang w:val="en-ZA"/>
        </w:rPr>
        <w:t>this does not affect her right to be reimbursed by the Fund for the loss suffered.</w:t>
      </w:r>
      <w:r w:rsidR="00AB24AA" w:rsidRPr="005424BF">
        <w:rPr>
          <w:sz w:val="24"/>
          <w:lang w:val="en-ZA"/>
        </w:rPr>
        <w:t xml:space="preserve"> </w:t>
      </w:r>
    </w:p>
    <w:p w:rsidR="006B0A40" w:rsidRPr="005424BF" w:rsidRDefault="006B0A40" w:rsidP="00F67F8F">
      <w:pPr>
        <w:pStyle w:val="ListParagraph"/>
        <w:spacing w:line="360" w:lineRule="auto"/>
        <w:ind w:left="0" w:right="26"/>
        <w:jc w:val="both"/>
        <w:rPr>
          <w:sz w:val="24"/>
          <w:lang w:val="en-ZA"/>
        </w:rPr>
      </w:pPr>
    </w:p>
    <w:p w:rsidR="00645C3B" w:rsidRPr="00272CD9" w:rsidRDefault="00272CD9" w:rsidP="00272CD9">
      <w:pPr>
        <w:spacing w:line="360" w:lineRule="auto"/>
        <w:ind w:right="26"/>
        <w:jc w:val="both"/>
        <w:rPr>
          <w:sz w:val="24"/>
          <w:lang w:val="en-ZA"/>
        </w:rPr>
      </w:pPr>
      <w:r w:rsidRPr="005424BF">
        <w:rPr>
          <w:sz w:val="24"/>
          <w:lang w:val="en-ZA"/>
        </w:rPr>
        <w:t>[18]</w:t>
      </w:r>
      <w:r w:rsidRPr="005424BF">
        <w:rPr>
          <w:sz w:val="24"/>
          <w:lang w:val="en-ZA"/>
        </w:rPr>
        <w:tab/>
      </w:r>
      <w:r w:rsidR="00C24CBB" w:rsidRPr="00272CD9">
        <w:rPr>
          <w:sz w:val="24"/>
          <w:lang w:val="en-ZA"/>
        </w:rPr>
        <w:t>The court of first instance</w:t>
      </w:r>
      <w:r w:rsidR="00645C3B" w:rsidRPr="00272CD9">
        <w:rPr>
          <w:sz w:val="24"/>
          <w:lang w:val="en-ZA"/>
        </w:rPr>
        <w:t xml:space="preserve"> was aware of the pending action instituted against Ms Guilherme as surety for the debt of her deceased husband. Therefore, it made a further order in terms whereof her attorneys were required to inform Standard Bank’s attorneys on receipt of the amount payable by the Fund. </w:t>
      </w:r>
      <w:r w:rsidR="00F876F1" w:rsidRPr="00272CD9">
        <w:rPr>
          <w:sz w:val="24"/>
          <w:lang w:val="en-ZA"/>
        </w:rPr>
        <w:t>The minority judgment</w:t>
      </w:r>
      <w:r w:rsidR="00645C3B" w:rsidRPr="00272CD9">
        <w:rPr>
          <w:sz w:val="24"/>
          <w:lang w:val="en-ZA"/>
        </w:rPr>
        <w:t xml:space="preserve"> held that it would be against public policy to allow Ms Guilherme to be reimbursed, the reason being that no entrustment occurred as the payment was made ‘to evade liabilities and creditors of the Respondent’s deceased’s husband’</w:t>
      </w:r>
      <w:r w:rsidR="003F0ACB" w:rsidRPr="00272CD9">
        <w:rPr>
          <w:sz w:val="24"/>
          <w:lang w:val="en-ZA"/>
        </w:rPr>
        <w:t>.</w:t>
      </w:r>
      <w:r w:rsidR="00645C3B" w:rsidRPr="00272CD9">
        <w:rPr>
          <w:sz w:val="24"/>
          <w:lang w:val="en-ZA"/>
        </w:rPr>
        <w:t xml:space="preserve"> It must be emphasised that Ms Guilherme was the beneficiary of a policy taken out on the life of her deceased husband. She was entitled to the proceeds that </w:t>
      </w:r>
      <w:r w:rsidR="00F876F1" w:rsidRPr="00272CD9">
        <w:rPr>
          <w:sz w:val="24"/>
          <w:lang w:val="en-ZA"/>
        </w:rPr>
        <w:t xml:space="preserve">became an asset in her estate. If the facts were different, there might have been room to agree with the minority judgment, but we are bound by the particular facts of this case. </w:t>
      </w:r>
      <w:r w:rsidR="00C24CBB" w:rsidRPr="00272CD9">
        <w:rPr>
          <w:sz w:val="24"/>
          <w:lang w:val="en-ZA"/>
        </w:rPr>
        <w:t xml:space="preserve">In the majority </w:t>
      </w:r>
      <w:r w:rsidR="00C24CBB" w:rsidRPr="00272CD9">
        <w:rPr>
          <w:sz w:val="24"/>
          <w:lang w:val="en-ZA"/>
        </w:rPr>
        <w:lastRenderedPageBreak/>
        <w:t>judgment this aspect was considered. It held</w:t>
      </w:r>
      <w:r w:rsidR="00F876F1" w:rsidRPr="00272CD9">
        <w:rPr>
          <w:sz w:val="24"/>
          <w:lang w:val="en-ZA"/>
        </w:rPr>
        <w:t xml:space="preserve"> that it ‘was not unlawful or contrary to public policy in light of the respondent’s version under oath that she would withdraw the money when required to do so, which could patently have included to pay any debtor in due course’</w:t>
      </w:r>
      <w:r w:rsidR="003F0ACB" w:rsidRPr="00272CD9">
        <w:rPr>
          <w:sz w:val="24"/>
          <w:lang w:val="en-ZA"/>
        </w:rPr>
        <w:t>.</w:t>
      </w:r>
      <w:r w:rsidR="00F876F1" w:rsidRPr="00272CD9">
        <w:rPr>
          <w:sz w:val="24"/>
          <w:lang w:val="en-ZA"/>
        </w:rPr>
        <w:t xml:space="preserve"> I agree.</w:t>
      </w:r>
      <w:r w:rsidR="007628BC" w:rsidRPr="00272CD9">
        <w:rPr>
          <w:sz w:val="24"/>
          <w:lang w:val="en-ZA"/>
        </w:rPr>
        <w:t xml:space="preserve"> Although there might have been a questionable motive, the Fund elected not to </w:t>
      </w:r>
      <w:r w:rsidR="00C24CBB" w:rsidRPr="00272CD9">
        <w:rPr>
          <w:sz w:val="24"/>
          <w:lang w:val="en-ZA"/>
        </w:rPr>
        <w:t xml:space="preserve">make </w:t>
      </w:r>
      <w:r w:rsidR="00951602" w:rsidRPr="00272CD9">
        <w:rPr>
          <w:sz w:val="24"/>
          <w:lang w:val="en-ZA"/>
        </w:rPr>
        <w:t xml:space="preserve">proper enquiries and present sufficient facts to show </w:t>
      </w:r>
      <w:r w:rsidR="00C24CBB" w:rsidRPr="00272CD9">
        <w:rPr>
          <w:sz w:val="24"/>
          <w:lang w:val="en-ZA"/>
        </w:rPr>
        <w:t>that Ms Guilherme participated in</w:t>
      </w:r>
      <w:r w:rsidR="00D77890" w:rsidRPr="00272CD9">
        <w:rPr>
          <w:sz w:val="24"/>
          <w:lang w:val="en-ZA"/>
        </w:rPr>
        <w:t xml:space="preserve"> a fraudulent scheme </w:t>
      </w:r>
      <w:r w:rsidR="009B4E34" w:rsidRPr="00272CD9">
        <w:rPr>
          <w:sz w:val="24"/>
          <w:lang w:val="en-ZA"/>
        </w:rPr>
        <w:t>to hide her assets from her creditors.</w:t>
      </w:r>
    </w:p>
    <w:p w:rsidR="009D0DAA" w:rsidRPr="005424BF" w:rsidRDefault="009D0DAA" w:rsidP="00F67F8F">
      <w:pPr>
        <w:spacing w:line="360" w:lineRule="auto"/>
        <w:ind w:right="26"/>
        <w:jc w:val="both"/>
        <w:rPr>
          <w:sz w:val="22"/>
          <w:szCs w:val="22"/>
          <w:lang w:val="en-ZA"/>
        </w:rPr>
      </w:pPr>
    </w:p>
    <w:p w:rsidR="00F67F8F" w:rsidRPr="00785594" w:rsidRDefault="00253BC0" w:rsidP="00F67F8F">
      <w:pPr>
        <w:pStyle w:val="ListParagraph"/>
        <w:spacing w:line="360" w:lineRule="auto"/>
        <w:ind w:left="0" w:right="26"/>
        <w:jc w:val="both"/>
        <w:rPr>
          <w:b/>
          <w:sz w:val="24"/>
          <w:lang w:val="en-ZA"/>
        </w:rPr>
      </w:pPr>
      <w:r w:rsidRPr="005424BF">
        <w:rPr>
          <w:b/>
          <w:sz w:val="24"/>
          <w:lang w:val="en-ZA"/>
        </w:rPr>
        <w:t>Conclusion</w:t>
      </w:r>
    </w:p>
    <w:p w:rsidR="00EA041E" w:rsidRPr="00272CD9" w:rsidRDefault="00272CD9" w:rsidP="00272CD9">
      <w:pPr>
        <w:spacing w:line="360" w:lineRule="auto"/>
        <w:ind w:right="26"/>
        <w:jc w:val="both"/>
        <w:rPr>
          <w:sz w:val="24"/>
          <w:lang w:val="en-ZA"/>
        </w:rPr>
      </w:pPr>
      <w:r w:rsidRPr="005424BF">
        <w:rPr>
          <w:sz w:val="24"/>
          <w:lang w:val="en-ZA"/>
        </w:rPr>
        <w:t>[19]</w:t>
      </w:r>
      <w:r w:rsidRPr="005424BF">
        <w:rPr>
          <w:sz w:val="24"/>
          <w:lang w:val="en-ZA"/>
        </w:rPr>
        <w:tab/>
      </w:r>
      <w:r w:rsidR="00F85784" w:rsidRPr="00272CD9">
        <w:rPr>
          <w:sz w:val="24"/>
          <w:lang w:val="en-ZA"/>
        </w:rPr>
        <w:t xml:space="preserve">I conclude that the </w:t>
      </w:r>
      <w:r w:rsidR="008A7217" w:rsidRPr="00272CD9">
        <w:rPr>
          <w:sz w:val="24"/>
          <w:lang w:val="en-ZA"/>
        </w:rPr>
        <w:t>Fund</w:t>
      </w:r>
      <w:r w:rsidR="00D17BBA" w:rsidRPr="00272CD9">
        <w:rPr>
          <w:sz w:val="24"/>
          <w:lang w:val="en-ZA"/>
        </w:rPr>
        <w:t xml:space="preserve"> was </w:t>
      </w:r>
      <w:r w:rsidR="008A7217" w:rsidRPr="00272CD9">
        <w:rPr>
          <w:sz w:val="24"/>
          <w:lang w:val="en-ZA"/>
        </w:rPr>
        <w:t xml:space="preserve">not </w:t>
      </w:r>
      <w:r w:rsidR="00D17BBA" w:rsidRPr="00272CD9">
        <w:rPr>
          <w:sz w:val="24"/>
          <w:lang w:val="en-ZA"/>
        </w:rPr>
        <w:t>entitled to reject Ms Guilherme’s cla</w:t>
      </w:r>
      <w:r w:rsidR="008A7217" w:rsidRPr="00272CD9">
        <w:rPr>
          <w:sz w:val="24"/>
          <w:lang w:val="en-ZA"/>
        </w:rPr>
        <w:t>im. H</w:t>
      </w:r>
      <w:r w:rsidR="0079543B" w:rsidRPr="00272CD9">
        <w:rPr>
          <w:sz w:val="24"/>
          <w:lang w:val="en-ZA"/>
        </w:rPr>
        <w:t xml:space="preserve">er money was </w:t>
      </w:r>
      <w:r w:rsidR="00C24CBB" w:rsidRPr="00272CD9">
        <w:rPr>
          <w:sz w:val="24"/>
          <w:lang w:val="en-ZA"/>
        </w:rPr>
        <w:t xml:space="preserve">entrusted to </w:t>
      </w:r>
      <w:r w:rsidR="00A13617" w:rsidRPr="00272CD9">
        <w:rPr>
          <w:sz w:val="24"/>
          <w:lang w:val="en-ZA"/>
        </w:rPr>
        <w:t xml:space="preserve">Mr </w:t>
      </w:r>
      <w:r w:rsidR="00C24CBB" w:rsidRPr="00272CD9">
        <w:rPr>
          <w:sz w:val="24"/>
          <w:lang w:val="en-ZA"/>
        </w:rPr>
        <w:t xml:space="preserve">Spencer </w:t>
      </w:r>
      <w:r w:rsidR="00D17BBA" w:rsidRPr="00272CD9">
        <w:rPr>
          <w:sz w:val="24"/>
          <w:lang w:val="en-ZA"/>
        </w:rPr>
        <w:t>in accordance with s</w:t>
      </w:r>
      <w:r w:rsidR="0079543B" w:rsidRPr="00272CD9">
        <w:rPr>
          <w:sz w:val="24"/>
          <w:lang w:val="en-ZA"/>
        </w:rPr>
        <w:t>ubsec 26</w:t>
      </w:r>
      <w:r w:rsidR="0079543B" w:rsidRPr="00272CD9">
        <w:rPr>
          <w:i/>
          <w:sz w:val="24"/>
          <w:lang w:val="en-ZA"/>
        </w:rPr>
        <w:t>(a</w:t>
      </w:r>
      <w:r w:rsidR="008A7217" w:rsidRPr="00272CD9">
        <w:rPr>
          <w:i/>
          <w:sz w:val="24"/>
          <w:lang w:val="en-ZA"/>
        </w:rPr>
        <w:t>)</w:t>
      </w:r>
      <w:r w:rsidR="0079543B" w:rsidRPr="00272CD9">
        <w:rPr>
          <w:sz w:val="24"/>
          <w:lang w:val="en-ZA"/>
        </w:rPr>
        <w:t xml:space="preserve">. She is </w:t>
      </w:r>
      <w:r w:rsidR="00D17BBA" w:rsidRPr="00272CD9">
        <w:rPr>
          <w:sz w:val="24"/>
          <w:lang w:val="en-ZA"/>
        </w:rPr>
        <w:t>entitled to be reimbursed for the loss suffered consequent upon the misappropriati</w:t>
      </w:r>
      <w:r w:rsidR="00EA041E" w:rsidRPr="00272CD9">
        <w:rPr>
          <w:sz w:val="24"/>
          <w:lang w:val="en-ZA"/>
        </w:rPr>
        <w:t>on of the funds by the attorney. Ther</w:t>
      </w:r>
      <w:r w:rsidR="0079543B" w:rsidRPr="00272CD9">
        <w:rPr>
          <w:sz w:val="24"/>
          <w:lang w:val="en-ZA"/>
        </w:rPr>
        <w:t>efore, the appeal should be dismissed</w:t>
      </w:r>
      <w:r w:rsidR="00EA041E" w:rsidRPr="00272CD9">
        <w:rPr>
          <w:sz w:val="24"/>
          <w:lang w:val="en-ZA"/>
        </w:rPr>
        <w:t xml:space="preserve"> wi</w:t>
      </w:r>
      <w:r w:rsidR="0079543B" w:rsidRPr="00272CD9">
        <w:rPr>
          <w:sz w:val="24"/>
          <w:lang w:val="en-ZA"/>
        </w:rPr>
        <w:t>th costs</w:t>
      </w:r>
      <w:r w:rsidR="00EA041E" w:rsidRPr="00272CD9">
        <w:rPr>
          <w:sz w:val="24"/>
          <w:lang w:val="en-ZA"/>
        </w:rPr>
        <w:t>.</w:t>
      </w:r>
    </w:p>
    <w:p w:rsidR="00253BC0" w:rsidRPr="005424BF" w:rsidRDefault="00253BC0" w:rsidP="00F67F8F">
      <w:pPr>
        <w:pStyle w:val="ListParagraph"/>
        <w:spacing w:line="360" w:lineRule="auto"/>
        <w:ind w:left="0" w:right="26"/>
        <w:jc w:val="both"/>
        <w:rPr>
          <w:sz w:val="24"/>
          <w:lang w:val="en-ZA"/>
        </w:rPr>
      </w:pPr>
    </w:p>
    <w:p w:rsidR="0079543B" w:rsidRPr="005424BF" w:rsidRDefault="00253BC0" w:rsidP="00F67F8F">
      <w:pPr>
        <w:pStyle w:val="ListParagraph"/>
        <w:spacing w:line="360" w:lineRule="auto"/>
        <w:ind w:left="0" w:right="26"/>
        <w:jc w:val="both"/>
        <w:rPr>
          <w:b/>
          <w:sz w:val="24"/>
          <w:lang w:val="en-ZA"/>
        </w:rPr>
      </w:pPr>
      <w:r w:rsidRPr="005424BF">
        <w:rPr>
          <w:b/>
          <w:sz w:val="24"/>
          <w:lang w:val="en-ZA"/>
        </w:rPr>
        <w:t>Order</w:t>
      </w:r>
    </w:p>
    <w:p w:rsidR="0079543B" w:rsidRPr="00272CD9" w:rsidRDefault="00272CD9" w:rsidP="00272CD9">
      <w:pPr>
        <w:spacing w:line="360" w:lineRule="auto"/>
        <w:ind w:right="26"/>
        <w:jc w:val="both"/>
        <w:rPr>
          <w:sz w:val="24"/>
          <w:lang w:val="en-ZA"/>
        </w:rPr>
      </w:pPr>
      <w:r w:rsidRPr="005424BF">
        <w:rPr>
          <w:sz w:val="24"/>
          <w:lang w:val="en-ZA"/>
        </w:rPr>
        <w:t>[20]</w:t>
      </w:r>
      <w:r w:rsidRPr="005424BF">
        <w:rPr>
          <w:sz w:val="24"/>
          <w:lang w:val="en-ZA"/>
        </w:rPr>
        <w:tab/>
      </w:r>
      <w:r w:rsidR="0079543B" w:rsidRPr="00272CD9">
        <w:rPr>
          <w:sz w:val="24"/>
          <w:lang w:val="en-ZA"/>
        </w:rPr>
        <w:t>The appeal is dismissed with costs</w:t>
      </w:r>
      <w:r w:rsidR="00F67F8F" w:rsidRPr="00272CD9">
        <w:rPr>
          <w:sz w:val="24"/>
          <w:lang w:val="en-ZA"/>
        </w:rPr>
        <w:t>.</w:t>
      </w:r>
    </w:p>
    <w:p w:rsidR="00253BC0" w:rsidRPr="005424BF" w:rsidRDefault="00253BC0" w:rsidP="00031141">
      <w:pPr>
        <w:widowControl w:val="0"/>
        <w:autoSpaceDE w:val="0"/>
        <w:autoSpaceDN w:val="0"/>
        <w:adjustRightInd w:val="0"/>
        <w:spacing w:line="360" w:lineRule="auto"/>
        <w:jc w:val="right"/>
        <w:rPr>
          <w:sz w:val="24"/>
          <w:lang w:val="en-ZA"/>
        </w:rPr>
      </w:pPr>
    </w:p>
    <w:p w:rsidR="00253BC0" w:rsidRPr="005424BF" w:rsidRDefault="00253BC0" w:rsidP="00031141">
      <w:pPr>
        <w:widowControl w:val="0"/>
        <w:autoSpaceDE w:val="0"/>
        <w:autoSpaceDN w:val="0"/>
        <w:adjustRightInd w:val="0"/>
        <w:spacing w:line="360" w:lineRule="auto"/>
        <w:jc w:val="right"/>
        <w:rPr>
          <w:sz w:val="24"/>
          <w:lang w:val="en-ZA"/>
        </w:rPr>
      </w:pPr>
    </w:p>
    <w:p w:rsidR="00253BC0" w:rsidRPr="005424BF" w:rsidRDefault="00253BC0" w:rsidP="00031141">
      <w:pPr>
        <w:widowControl w:val="0"/>
        <w:autoSpaceDE w:val="0"/>
        <w:autoSpaceDN w:val="0"/>
        <w:adjustRightInd w:val="0"/>
        <w:jc w:val="right"/>
        <w:rPr>
          <w:sz w:val="24"/>
          <w:lang w:val="en-ZA"/>
        </w:rPr>
      </w:pPr>
    </w:p>
    <w:p w:rsidR="003E755B" w:rsidRPr="005424BF" w:rsidRDefault="003E755B" w:rsidP="00031141">
      <w:pPr>
        <w:widowControl w:val="0"/>
        <w:autoSpaceDE w:val="0"/>
        <w:autoSpaceDN w:val="0"/>
        <w:adjustRightInd w:val="0"/>
        <w:jc w:val="right"/>
        <w:rPr>
          <w:sz w:val="24"/>
          <w:lang w:val="en-ZA"/>
        </w:rPr>
      </w:pPr>
      <w:r w:rsidRPr="005424BF">
        <w:rPr>
          <w:sz w:val="24"/>
          <w:lang w:val="en-ZA"/>
        </w:rPr>
        <w:t>________________________</w:t>
      </w:r>
    </w:p>
    <w:p w:rsidR="003E755B" w:rsidRPr="005424BF" w:rsidRDefault="003E755B" w:rsidP="00031141">
      <w:pPr>
        <w:widowControl w:val="0"/>
        <w:autoSpaceDE w:val="0"/>
        <w:autoSpaceDN w:val="0"/>
        <w:adjustRightInd w:val="0"/>
        <w:jc w:val="right"/>
        <w:rPr>
          <w:sz w:val="24"/>
          <w:lang w:val="en-ZA"/>
        </w:rPr>
      </w:pPr>
      <w:r w:rsidRPr="005424BF">
        <w:rPr>
          <w:sz w:val="24"/>
          <w:lang w:val="en-ZA"/>
        </w:rPr>
        <w:t>J P Daffue</w:t>
      </w:r>
    </w:p>
    <w:p w:rsidR="003E755B" w:rsidRPr="005424BF" w:rsidRDefault="003E755B" w:rsidP="00031141">
      <w:pPr>
        <w:widowControl w:val="0"/>
        <w:autoSpaceDE w:val="0"/>
        <w:autoSpaceDN w:val="0"/>
        <w:adjustRightInd w:val="0"/>
        <w:jc w:val="right"/>
        <w:rPr>
          <w:sz w:val="24"/>
          <w:lang w:val="en-ZA"/>
        </w:rPr>
      </w:pPr>
      <w:r w:rsidRPr="005424BF">
        <w:rPr>
          <w:sz w:val="24"/>
          <w:lang w:val="en-ZA"/>
        </w:rPr>
        <w:t>Acting Judge of Appeal</w:t>
      </w:r>
    </w:p>
    <w:p w:rsidR="003F0ACB" w:rsidRPr="005424BF" w:rsidRDefault="003F0ACB" w:rsidP="00031141">
      <w:pPr>
        <w:widowControl w:val="0"/>
        <w:autoSpaceDE w:val="0"/>
        <w:autoSpaceDN w:val="0"/>
        <w:adjustRightInd w:val="0"/>
        <w:rPr>
          <w:sz w:val="24"/>
          <w:lang w:val="en-ZA"/>
        </w:rPr>
      </w:pPr>
    </w:p>
    <w:p w:rsidR="006F7E8E" w:rsidRPr="005424BF" w:rsidRDefault="006F7E8E">
      <w:pPr>
        <w:spacing w:after="160" w:line="259" w:lineRule="auto"/>
        <w:rPr>
          <w:sz w:val="24"/>
          <w:lang w:val="en-ZA"/>
        </w:rPr>
      </w:pPr>
      <w:r w:rsidRPr="005424BF">
        <w:rPr>
          <w:sz w:val="24"/>
          <w:lang w:val="en-ZA"/>
        </w:rPr>
        <w:br w:type="page"/>
      </w:r>
    </w:p>
    <w:p w:rsidR="003F0ACB" w:rsidRPr="005424BF" w:rsidRDefault="003F0ACB" w:rsidP="00031141">
      <w:pPr>
        <w:widowControl w:val="0"/>
        <w:autoSpaceDE w:val="0"/>
        <w:autoSpaceDN w:val="0"/>
        <w:adjustRightInd w:val="0"/>
        <w:rPr>
          <w:sz w:val="24"/>
          <w:lang w:val="en-ZA"/>
        </w:rPr>
      </w:pPr>
    </w:p>
    <w:p w:rsidR="00F0133A" w:rsidRPr="005424BF" w:rsidRDefault="00F0133A" w:rsidP="00AF45EF">
      <w:pPr>
        <w:widowControl w:val="0"/>
        <w:autoSpaceDE w:val="0"/>
        <w:autoSpaceDN w:val="0"/>
        <w:adjustRightInd w:val="0"/>
        <w:spacing w:line="360" w:lineRule="auto"/>
        <w:rPr>
          <w:sz w:val="24"/>
          <w:lang w:val="en-ZA"/>
        </w:rPr>
      </w:pPr>
      <w:r w:rsidRPr="005424BF">
        <w:rPr>
          <w:sz w:val="24"/>
          <w:lang w:val="en-ZA"/>
        </w:rPr>
        <w:t>Appearances:</w:t>
      </w:r>
    </w:p>
    <w:p w:rsidR="00F0133A" w:rsidRPr="005424BF" w:rsidRDefault="00F0133A" w:rsidP="00AF45EF">
      <w:pPr>
        <w:widowControl w:val="0"/>
        <w:autoSpaceDE w:val="0"/>
        <w:autoSpaceDN w:val="0"/>
        <w:adjustRightInd w:val="0"/>
        <w:spacing w:line="360" w:lineRule="auto"/>
        <w:rPr>
          <w:sz w:val="24"/>
          <w:lang w:val="en-ZA"/>
        </w:rPr>
      </w:pPr>
    </w:p>
    <w:p w:rsidR="00F0133A" w:rsidRPr="005424BF" w:rsidRDefault="00F0133A" w:rsidP="00AF45EF">
      <w:pPr>
        <w:widowControl w:val="0"/>
        <w:tabs>
          <w:tab w:val="left" w:pos="2127"/>
        </w:tabs>
        <w:autoSpaceDE w:val="0"/>
        <w:autoSpaceDN w:val="0"/>
        <w:adjustRightInd w:val="0"/>
        <w:spacing w:line="360" w:lineRule="auto"/>
        <w:rPr>
          <w:sz w:val="24"/>
          <w:lang w:val="en-ZA"/>
        </w:rPr>
      </w:pPr>
      <w:r w:rsidRPr="005424BF">
        <w:rPr>
          <w:sz w:val="24"/>
          <w:lang w:val="en-ZA"/>
        </w:rPr>
        <w:t>For appellant:</w:t>
      </w:r>
      <w:r w:rsidRPr="005424BF">
        <w:rPr>
          <w:sz w:val="24"/>
          <w:lang w:val="en-ZA"/>
        </w:rPr>
        <w:tab/>
      </w:r>
      <w:r w:rsidR="004457F2" w:rsidRPr="005424BF">
        <w:rPr>
          <w:sz w:val="24"/>
          <w:lang w:val="en-ZA"/>
        </w:rPr>
        <w:t>G Oliver</w:t>
      </w:r>
    </w:p>
    <w:p w:rsidR="00257C96" w:rsidRDefault="00F0133A" w:rsidP="00AF45EF">
      <w:pPr>
        <w:widowControl w:val="0"/>
        <w:tabs>
          <w:tab w:val="left" w:pos="2127"/>
        </w:tabs>
        <w:autoSpaceDE w:val="0"/>
        <w:autoSpaceDN w:val="0"/>
        <w:adjustRightInd w:val="0"/>
        <w:spacing w:line="360" w:lineRule="auto"/>
        <w:rPr>
          <w:sz w:val="24"/>
          <w:lang w:val="en-ZA"/>
        </w:rPr>
      </w:pPr>
      <w:r w:rsidRPr="005424BF">
        <w:rPr>
          <w:sz w:val="24"/>
          <w:lang w:val="en-ZA"/>
        </w:rPr>
        <w:t>Instructed by:</w:t>
      </w:r>
      <w:r w:rsidRPr="005424BF">
        <w:rPr>
          <w:sz w:val="24"/>
          <w:lang w:val="en-ZA"/>
        </w:rPr>
        <w:tab/>
      </w:r>
      <w:r w:rsidR="00257C96">
        <w:rPr>
          <w:sz w:val="24"/>
          <w:lang w:val="en-ZA"/>
        </w:rPr>
        <w:t>Brendan Muller Inc, Cape Town</w:t>
      </w:r>
    </w:p>
    <w:p w:rsidR="00F0133A" w:rsidRPr="005424BF" w:rsidRDefault="00257C96" w:rsidP="00AF45EF">
      <w:pPr>
        <w:widowControl w:val="0"/>
        <w:tabs>
          <w:tab w:val="left" w:pos="2127"/>
        </w:tabs>
        <w:autoSpaceDE w:val="0"/>
        <w:autoSpaceDN w:val="0"/>
        <w:adjustRightInd w:val="0"/>
        <w:spacing w:line="360" w:lineRule="auto"/>
        <w:rPr>
          <w:sz w:val="24"/>
          <w:lang w:val="en-ZA"/>
        </w:rPr>
      </w:pPr>
      <w:r>
        <w:rPr>
          <w:sz w:val="24"/>
          <w:lang w:val="en-ZA"/>
        </w:rPr>
        <w:tab/>
      </w:r>
      <w:r w:rsidR="004457F2" w:rsidRPr="005424BF">
        <w:rPr>
          <w:sz w:val="24"/>
          <w:lang w:val="en-ZA"/>
        </w:rPr>
        <w:t>Van der Merwe &amp; Sorour</w:t>
      </w:r>
      <w:r w:rsidR="00F0133A" w:rsidRPr="005424BF">
        <w:rPr>
          <w:sz w:val="24"/>
          <w:lang w:val="en-ZA"/>
        </w:rPr>
        <w:t>,</w:t>
      </w:r>
      <w:r w:rsidR="00AF45EF" w:rsidRPr="005424BF">
        <w:rPr>
          <w:sz w:val="24"/>
          <w:lang w:val="en-ZA"/>
        </w:rPr>
        <w:t xml:space="preserve"> </w:t>
      </w:r>
      <w:r w:rsidR="00F0133A" w:rsidRPr="005424BF">
        <w:rPr>
          <w:sz w:val="24"/>
          <w:lang w:val="en-ZA"/>
        </w:rPr>
        <w:t>Bloemfontein</w:t>
      </w:r>
    </w:p>
    <w:p w:rsidR="00F0133A" w:rsidRPr="005424BF" w:rsidRDefault="00F0133A" w:rsidP="00AF45EF">
      <w:pPr>
        <w:widowControl w:val="0"/>
        <w:tabs>
          <w:tab w:val="left" w:pos="2127"/>
        </w:tabs>
        <w:autoSpaceDE w:val="0"/>
        <w:autoSpaceDN w:val="0"/>
        <w:adjustRightInd w:val="0"/>
        <w:spacing w:line="360" w:lineRule="auto"/>
        <w:rPr>
          <w:sz w:val="24"/>
          <w:lang w:val="en-ZA"/>
        </w:rPr>
      </w:pPr>
    </w:p>
    <w:p w:rsidR="00F0133A" w:rsidRPr="005424BF" w:rsidRDefault="00F0133A" w:rsidP="00AF45EF">
      <w:pPr>
        <w:widowControl w:val="0"/>
        <w:tabs>
          <w:tab w:val="left" w:pos="2127"/>
        </w:tabs>
        <w:autoSpaceDE w:val="0"/>
        <w:autoSpaceDN w:val="0"/>
        <w:adjustRightInd w:val="0"/>
        <w:spacing w:line="360" w:lineRule="auto"/>
        <w:rPr>
          <w:sz w:val="24"/>
          <w:lang w:val="en-ZA"/>
        </w:rPr>
      </w:pPr>
      <w:r w:rsidRPr="005424BF">
        <w:rPr>
          <w:sz w:val="24"/>
          <w:lang w:val="en-ZA"/>
        </w:rPr>
        <w:t>For respondent:</w:t>
      </w:r>
      <w:r w:rsidRPr="005424BF">
        <w:rPr>
          <w:sz w:val="24"/>
          <w:lang w:val="en-ZA"/>
        </w:rPr>
        <w:tab/>
      </w:r>
      <w:r w:rsidR="00A00223">
        <w:rPr>
          <w:sz w:val="24"/>
          <w:lang w:val="en-ZA"/>
        </w:rPr>
        <w:t xml:space="preserve">G </w:t>
      </w:r>
      <w:r w:rsidR="004457F2" w:rsidRPr="005424BF">
        <w:rPr>
          <w:sz w:val="24"/>
          <w:lang w:val="en-ZA"/>
        </w:rPr>
        <w:t>V</w:t>
      </w:r>
      <w:r w:rsidR="00A00223">
        <w:rPr>
          <w:sz w:val="24"/>
          <w:lang w:val="en-ZA"/>
        </w:rPr>
        <w:t>an</w:t>
      </w:r>
      <w:r w:rsidR="004457F2" w:rsidRPr="005424BF">
        <w:rPr>
          <w:sz w:val="24"/>
          <w:lang w:val="en-ZA"/>
        </w:rPr>
        <w:t xml:space="preserve"> R</w:t>
      </w:r>
      <w:r w:rsidR="00A00223">
        <w:rPr>
          <w:sz w:val="24"/>
          <w:lang w:val="en-ZA"/>
        </w:rPr>
        <w:t>hyn</w:t>
      </w:r>
      <w:r w:rsidR="004457F2" w:rsidRPr="005424BF">
        <w:rPr>
          <w:sz w:val="24"/>
          <w:lang w:val="en-ZA"/>
        </w:rPr>
        <w:t xml:space="preserve"> Fouche</w:t>
      </w:r>
    </w:p>
    <w:p w:rsidR="004457F2" w:rsidRPr="005424BF" w:rsidRDefault="00F0133A" w:rsidP="00AF45EF">
      <w:pPr>
        <w:widowControl w:val="0"/>
        <w:tabs>
          <w:tab w:val="left" w:pos="2127"/>
        </w:tabs>
        <w:autoSpaceDE w:val="0"/>
        <w:autoSpaceDN w:val="0"/>
        <w:adjustRightInd w:val="0"/>
        <w:spacing w:line="360" w:lineRule="auto"/>
        <w:rPr>
          <w:sz w:val="24"/>
          <w:lang w:val="en-ZA"/>
        </w:rPr>
      </w:pPr>
      <w:r w:rsidRPr="005424BF">
        <w:rPr>
          <w:sz w:val="24"/>
          <w:lang w:val="en-ZA"/>
        </w:rPr>
        <w:t>Instructed by:</w:t>
      </w:r>
      <w:r w:rsidRPr="005424BF">
        <w:rPr>
          <w:sz w:val="24"/>
          <w:lang w:val="en-ZA"/>
        </w:rPr>
        <w:tab/>
      </w:r>
      <w:r w:rsidR="004457F2" w:rsidRPr="005424BF">
        <w:rPr>
          <w:sz w:val="24"/>
          <w:lang w:val="en-ZA"/>
        </w:rPr>
        <w:t>David Bayliss Attorneys</w:t>
      </w:r>
      <w:r w:rsidR="00AF45EF" w:rsidRPr="005424BF">
        <w:rPr>
          <w:sz w:val="24"/>
          <w:lang w:val="en-ZA"/>
        </w:rPr>
        <w:t>, Johannesburg</w:t>
      </w:r>
    </w:p>
    <w:p w:rsidR="00F0133A" w:rsidRPr="0081291B" w:rsidRDefault="00F67F8F" w:rsidP="00AF45EF">
      <w:pPr>
        <w:widowControl w:val="0"/>
        <w:tabs>
          <w:tab w:val="left" w:pos="2127"/>
        </w:tabs>
        <w:autoSpaceDE w:val="0"/>
        <w:autoSpaceDN w:val="0"/>
        <w:adjustRightInd w:val="0"/>
        <w:spacing w:line="360" w:lineRule="auto"/>
        <w:rPr>
          <w:sz w:val="24"/>
          <w:lang w:val="en-ZA"/>
        </w:rPr>
      </w:pPr>
      <w:r w:rsidRPr="005424BF">
        <w:rPr>
          <w:sz w:val="24"/>
          <w:lang w:val="en-ZA"/>
        </w:rPr>
        <w:tab/>
      </w:r>
      <w:r w:rsidR="004457F2" w:rsidRPr="005424BF">
        <w:rPr>
          <w:sz w:val="24"/>
          <w:lang w:val="en-ZA"/>
        </w:rPr>
        <w:t>Symington &amp; De Kok,</w:t>
      </w:r>
      <w:r w:rsidR="00F0133A" w:rsidRPr="005424BF">
        <w:rPr>
          <w:sz w:val="24"/>
          <w:lang w:val="en-ZA"/>
        </w:rPr>
        <w:t xml:space="preserve"> Bloemfontein</w:t>
      </w:r>
    </w:p>
    <w:p w:rsidR="00467A7B" w:rsidRPr="0081291B" w:rsidRDefault="00467A7B" w:rsidP="00031141">
      <w:pPr>
        <w:rPr>
          <w:lang w:val="en-ZA"/>
        </w:rPr>
      </w:pPr>
    </w:p>
    <w:sectPr w:rsidR="00467A7B" w:rsidRPr="0081291B" w:rsidSect="000B61C4">
      <w:headerReference w:type="default" r:id="rId9"/>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D4" w:rsidRDefault="00EF69D4" w:rsidP="008A4A3A">
      <w:r>
        <w:separator/>
      </w:r>
    </w:p>
  </w:endnote>
  <w:endnote w:type="continuationSeparator" w:id="0">
    <w:p w:rsidR="00EF69D4" w:rsidRDefault="00EF69D4" w:rsidP="008A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D4" w:rsidRDefault="00EF69D4" w:rsidP="008A4A3A">
      <w:r>
        <w:separator/>
      </w:r>
    </w:p>
  </w:footnote>
  <w:footnote w:type="continuationSeparator" w:id="0">
    <w:p w:rsidR="00EF69D4" w:rsidRDefault="00EF69D4" w:rsidP="008A4A3A">
      <w:r>
        <w:continuationSeparator/>
      </w:r>
    </w:p>
  </w:footnote>
  <w:footnote w:id="1">
    <w:p w:rsidR="007E2682" w:rsidRPr="00340A42" w:rsidRDefault="007E2682" w:rsidP="00750A9A">
      <w:pPr>
        <w:pStyle w:val="FootnoteText"/>
        <w:rPr>
          <w:color w:val="FF0000"/>
          <w:lang w:val="en-ZA"/>
        </w:rPr>
      </w:pPr>
      <w:r w:rsidRPr="00031141">
        <w:rPr>
          <w:rStyle w:val="FootnoteReference"/>
        </w:rPr>
        <w:footnoteRef/>
      </w:r>
      <w:r w:rsidRPr="00031141">
        <w:t xml:space="preserve"> </w:t>
      </w:r>
      <w:r w:rsidRPr="00031141">
        <w:rPr>
          <w:lang w:val="en-ZA"/>
        </w:rPr>
        <w:t>F Du Bois et al</w:t>
      </w:r>
      <w:r w:rsidR="008B16C0">
        <w:rPr>
          <w:lang w:val="en-ZA"/>
        </w:rPr>
        <w:t xml:space="preserve"> </w:t>
      </w:r>
      <w:r w:rsidRPr="00340A42">
        <w:rPr>
          <w:i/>
          <w:lang w:val="en-ZA"/>
        </w:rPr>
        <w:t>Wille’s Principles of South African Law</w:t>
      </w:r>
      <w:r w:rsidRPr="00031141">
        <w:rPr>
          <w:lang w:val="en-ZA"/>
        </w:rPr>
        <w:t xml:space="preserve"> 9</w:t>
      </w:r>
      <w:r w:rsidR="008B16C0">
        <w:rPr>
          <w:lang w:val="en-ZA"/>
        </w:rPr>
        <w:t xml:space="preserve"> </w:t>
      </w:r>
      <w:r w:rsidRPr="00031141">
        <w:rPr>
          <w:lang w:val="en-ZA"/>
        </w:rPr>
        <w:t>ed</w:t>
      </w:r>
      <w:r w:rsidR="008B16C0">
        <w:rPr>
          <w:lang w:val="en-ZA"/>
        </w:rPr>
        <w:t xml:space="preserve"> (2007) at </w:t>
      </w:r>
      <w:r w:rsidRPr="00031141">
        <w:rPr>
          <w:lang w:val="en-ZA"/>
        </w:rPr>
        <w:t xml:space="preserve">962; </w:t>
      </w:r>
      <w:r w:rsidR="008B16C0">
        <w:rPr>
          <w:lang w:val="en-ZA"/>
        </w:rPr>
        <w:t xml:space="preserve">8 </w:t>
      </w:r>
      <w:r w:rsidRPr="00031141">
        <w:rPr>
          <w:lang w:val="en-ZA"/>
        </w:rPr>
        <w:t>L</w:t>
      </w:r>
      <w:r w:rsidR="008B16C0">
        <w:rPr>
          <w:lang w:val="en-ZA"/>
        </w:rPr>
        <w:t>awsa</w:t>
      </w:r>
      <w:r w:rsidRPr="00031141">
        <w:rPr>
          <w:lang w:val="en-ZA"/>
        </w:rPr>
        <w:t xml:space="preserve"> </w:t>
      </w:r>
      <w:r w:rsidR="00336320" w:rsidRPr="00031141">
        <w:rPr>
          <w:lang w:val="en-ZA"/>
        </w:rPr>
        <w:t>2</w:t>
      </w:r>
      <w:r w:rsidR="00336320">
        <w:rPr>
          <w:lang w:val="en-ZA"/>
        </w:rPr>
        <w:t xml:space="preserve"> </w:t>
      </w:r>
      <w:r w:rsidRPr="00031141">
        <w:rPr>
          <w:lang w:val="en-ZA"/>
        </w:rPr>
        <w:t xml:space="preserve">ed part </w:t>
      </w:r>
      <w:r w:rsidR="008B16C0">
        <w:rPr>
          <w:lang w:val="en-ZA"/>
        </w:rPr>
        <w:t xml:space="preserve">at </w:t>
      </w:r>
      <w:r w:rsidRPr="00031141">
        <w:rPr>
          <w:lang w:val="en-ZA"/>
        </w:rPr>
        <w:t>300.</w:t>
      </w:r>
    </w:p>
  </w:footnote>
  <w:footnote w:id="2">
    <w:p w:rsidR="007E2682" w:rsidRPr="00031141" w:rsidRDefault="007E2682" w:rsidP="00340A42">
      <w:pPr>
        <w:pStyle w:val="FootnoteText"/>
        <w:jc w:val="both"/>
        <w:rPr>
          <w:lang w:val="en-ZA"/>
        </w:rPr>
      </w:pPr>
      <w:r w:rsidRPr="00031141">
        <w:rPr>
          <w:rStyle w:val="FootnoteReference"/>
        </w:rPr>
        <w:footnoteRef/>
      </w:r>
      <w:r w:rsidRPr="00031141">
        <w:t xml:space="preserve"> </w:t>
      </w:r>
      <w:r w:rsidR="005B4E90">
        <w:t>L</w:t>
      </w:r>
      <w:r w:rsidR="005B4E90" w:rsidRPr="005B4E90">
        <w:t xml:space="preserve">oc cit </w:t>
      </w:r>
      <w:r w:rsidRPr="00031141">
        <w:rPr>
          <w:i/>
        </w:rPr>
        <w:t xml:space="preserve">Wille’s Principles of South African Law </w:t>
      </w:r>
      <w:r w:rsidR="005B4E90">
        <w:rPr>
          <w:lang w:val="en-ZA"/>
        </w:rPr>
        <w:t xml:space="preserve">at </w:t>
      </w:r>
      <w:r w:rsidRPr="00031141">
        <w:rPr>
          <w:lang w:val="en-ZA"/>
        </w:rPr>
        <w:t xml:space="preserve">962; </w:t>
      </w:r>
      <w:r w:rsidR="005B4E90">
        <w:rPr>
          <w:lang w:val="en-ZA"/>
        </w:rPr>
        <w:t xml:space="preserve">8 </w:t>
      </w:r>
      <w:r w:rsidRPr="00031141">
        <w:rPr>
          <w:lang w:val="en-ZA"/>
        </w:rPr>
        <w:t>L</w:t>
      </w:r>
      <w:r w:rsidR="005B4E90">
        <w:rPr>
          <w:lang w:val="en-ZA"/>
        </w:rPr>
        <w:t xml:space="preserve">awsa 2 ed </w:t>
      </w:r>
      <w:r w:rsidRPr="00031141">
        <w:rPr>
          <w:lang w:val="en-ZA"/>
        </w:rPr>
        <w:t>part 1</w:t>
      </w:r>
      <w:r w:rsidR="005B4E90">
        <w:rPr>
          <w:lang w:val="en-ZA"/>
        </w:rPr>
        <w:t xml:space="preserve"> at </w:t>
      </w:r>
      <w:r w:rsidRPr="00031141">
        <w:rPr>
          <w:lang w:val="en-ZA"/>
        </w:rPr>
        <w:t xml:space="preserve">300; </w:t>
      </w:r>
      <w:r w:rsidRPr="00031141">
        <w:rPr>
          <w:i/>
          <w:lang w:val="en-ZA"/>
        </w:rPr>
        <w:t xml:space="preserve">Price NO v Allied-JBS Building Society </w:t>
      </w:r>
      <w:r w:rsidRPr="00031141">
        <w:rPr>
          <w:lang w:val="en-ZA"/>
        </w:rPr>
        <w:t xml:space="preserve">1979 (2) SA 262 (E) </w:t>
      </w:r>
      <w:r w:rsidR="005B4E90">
        <w:rPr>
          <w:lang w:val="en-ZA"/>
        </w:rPr>
        <w:t xml:space="preserve">at </w:t>
      </w:r>
      <w:r w:rsidRPr="00031141">
        <w:rPr>
          <w:lang w:val="en-ZA"/>
        </w:rPr>
        <w:t>270B</w:t>
      </w:r>
      <w:r w:rsidR="005B4E90">
        <w:rPr>
          <w:lang w:val="en-ZA"/>
        </w:rPr>
        <w:t>-</w:t>
      </w:r>
      <w:r w:rsidRPr="00031141">
        <w:rPr>
          <w:lang w:val="en-ZA"/>
        </w:rPr>
        <w:t>C.</w:t>
      </w:r>
    </w:p>
  </w:footnote>
  <w:footnote w:id="3">
    <w:p w:rsidR="007E2682" w:rsidRPr="00340A42" w:rsidRDefault="007E2682" w:rsidP="00340A42">
      <w:pPr>
        <w:pStyle w:val="FootnoteText"/>
        <w:jc w:val="both"/>
        <w:rPr>
          <w:color w:val="FF0000"/>
          <w:lang w:val="en-US"/>
        </w:rPr>
      </w:pPr>
      <w:r w:rsidRPr="00031141">
        <w:rPr>
          <w:rStyle w:val="FootnoteReference"/>
        </w:rPr>
        <w:footnoteRef/>
      </w:r>
      <w:r w:rsidRPr="00031141">
        <w:t xml:space="preserve"> </w:t>
      </w:r>
      <w:r w:rsidRPr="00340A42">
        <w:rPr>
          <w:i/>
          <w:lang w:val="en-US"/>
        </w:rPr>
        <w:t>University of Johannesburg v Auckland Park Theological Seminary and Another</w:t>
      </w:r>
      <w:r w:rsidRPr="00031141">
        <w:rPr>
          <w:lang w:val="en-US"/>
        </w:rPr>
        <w:t xml:space="preserve"> [2021] ZACC 13, 2021 (6) SA 1 (CC) paras 65</w:t>
      </w:r>
      <w:r w:rsidR="0039639B">
        <w:rPr>
          <w:lang w:val="en-US"/>
        </w:rPr>
        <w:t xml:space="preserve"> and</w:t>
      </w:r>
      <w:r w:rsidRPr="00031141">
        <w:rPr>
          <w:lang w:val="en-US"/>
        </w:rPr>
        <w:t xml:space="preserve"> 66; </w:t>
      </w:r>
      <w:r w:rsidRPr="00031141">
        <w:rPr>
          <w:i/>
          <w:iCs/>
          <w:lang w:val="en-US"/>
        </w:rPr>
        <w:t>Capitec Bank Holdings L</w:t>
      </w:r>
      <w:r w:rsidR="0039639B">
        <w:rPr>
          <w:i/>
          <w:iCs/>
          <w:lang w:val="en-US"/>
        </w:rPr>
        <w:t>imited</w:t>
      </w:r>
      <w:r w:rsidRPr="00031141">
        <w:rPr>
          <w:i/>
          <w:iCs/>
          <w:lang w:val="en-US"/>
        </w:rPr>
        <w:t xml:space="preserve"> &amp; </w:t>
      </w:r>
      <w:r w:rsidR="0039639B">
        <w:rPr>
          <w:i/>
          <w:iCs/>
          <w:lang w:val="en-US"/>
        </w:rPr>
        <w:t>A</w:t>
      </w:r>
      <w:r w:rsidRPr="00031141">
        <w:rPr>
          <w:i/>
          <w:iCs/>
          <w:lang w:val="en-US"/>
        </w:rPr>
        <w:t xml:space="preserve">nother v Coral Lagoon Investments 194 (Pty) Ltd &amp; </w:t>
      </w:r>
      <w:r w:rsidR="0039639B">
        <w:rPr>
          <w:i/>
          <w:iCs/>
          <w:lang w:val="en-US"/>
        </w:rPr>
        <w:t>O</w:t>
      </w:r>
      <w:r w:rsidRPr="00031141">
        <w:rPr>
          <w:i/>
          <w:iCs/>
          <w:lang w:val="en-US"/>
        </w:rPr>
        <w:t xml:space="preserve">thers </w:t>
      </w:r>
      <w:r w:rsidRPr="00340A42">
        <w:rPr>
          <w:iCs/>
          <w:lang w:val="en-US"/>
        </w:rPr>
        <w:t xml:space="preserve">[2021] ZASCA 99, </w:t>
      </w:r>
      <w:r w:rsidRPr="0039639B">
        <w:rPr>
          <w:lang w:val="en-US"/>
        </w:rPr>
        <w:t>2022 (1) SA 100 (SCA) par 25.</w:t>
      </w:r>
    </w:p>
  </w:footnote>
  <w:footnote w:id="4">
    <w:p w:rsidR="007E2682" w:rsidRPr="00031141" w:rsidRDefault="007E2682" w:rsidP="00340A42">
      <w:pPr>
        <w:pStyle w:val="FootnoteText"/>
        <w:jc w:val="both"/>
        <w:rPr>
          <w:lang w:val="en-ZA"/>
        </w:rPr>
      </w:pPr>
      <w:r w:rsidRPr="00031141">
        <w:rPr>
          <w:rStyle w:val="FootnoteReference"/>
        </w:rPr>
        <w:footnoteRef/>
      </w:r>
      <w:r w:rsidRPr="00031141">
        <w:t xml:space="preserve"> </w:t>
      </w:r>
      <w:r w:rsidR="00BE1D8A" w:rsidRPr="00340A42">
        <w:rPr>
          <w:i/>
        </w:rPr>
        <w:t>Industrial and Commercial Factors (Pty) Limited v Attorneys Fidelity Fund Board of Control</w:t>
      </w:r>
      <w:r w:rsidR="00BE1D8A" w:rsidRPr="00BE1D8A">
        <w:t xml:space="preserve"> </w:t>
      </w:r>
      <w:r w:rsidRPr="00031141">
        <w:rPr>
          <w:lang w:val="en-ZA"/>
        </w:rPr>
        <w:t>1997 (1) SA 136 (</w:t>
      </w:r>
      <w:r w:rsidR="00BE1D8A">
        <w:rPr>
          <w:lang w:val="en-ZA"/>
        </w:rPr>
        <w:t>SCA)</w:t>
      </w:r>
      <w:r w:rsidRPr="00031141">
        <w:rPr>
          <w:lang w:val="en-ZA"/>
        </w:rPr>
        <w:t xml:space="preserve">. </w:t>
      </w:r>
    </w:p>
  </w:footnote>
  <w:footnote w:id="5">
    <w:p w:rsidR="00421959" w:rsidRPr="00340A42" w:rsidRDefault="00421959" w:rsidP="00340A42">
      <w:pPr>
        <w:pStyle w:val="FootnoteText"/>
        <w:jc w:val="both"/>
        <w:rPr>
          <w:lang w:val="en-ZA"/>
        </w:rPr>
      </w:pPr>
      <w:r>
        <w:rPr>
          <w:rStyle w:val="FootnoteReference"/>
        </w:rPr>
        <w:footnoteRef/>
      </w:r>
      <w:r>
        <w:t xml:space="preserve"> </w:t>
      </w:r>
      <w:r>
        <w:rPr>
          <w:lang w:val="en-ZA"/>
        </w:rPr>
        <w:t>Ibid at 144A-E.</w:t>
      </w:r>
    </w:p>
  </w:footnote>
  <w:footnote w:id="6">
    <w:p w:rsidR="00122BD9" w:rsidRPr="00340A42" w:rsidRDefault="00122BD9" w:rsidP="00340A42">
      <w:pPr>
        <w:pStyle w:val="FootnoteText"/>
        <w:jc w:val="both"/>
        <w:rPr>
          <w:lang w:val="en-ZA"/>
        </w:rPr>
      </w:pPr>
      <w:r>
        <w:rPr>
          <w:rStyle w:val="FootnoteReference"/>
        </w:rPr>
        <w:footnoteRef/>
      </w:r>
      <w:r>
        <w:t xml:space="preserve"> </w:t>
      </w:r>
      <w:r>
        <w:rPr>
          <w:lang w:val="en-ZA"/>
        </w:rPr>
        <w:t>Ibid at 144I-J.</w:t>
      </w:r>
    </w:p>
  </w:footnote>
  <w:footnote w:id="7">
    <w:p w:rsidR="00122BD9" w:rsidRPr="00340A42" w:rsidRDefault="00122BD9" w:rsidP="00340A42">
      <w:pPr>
        <w:pStyle w:val="FootnoteText"/>
        <w:jc w:val="both"/>
        <w:rPr>
          <w:lang w:val="en-ZA"/>
        </w:rPr>
      </w:pPr>
      <w:r>
        <w:rPr>
          <w:rStyle w:val="FootnoteReference"/>
        </w:rPr>
        <w:footnoteRef/>
      </w:r>
      <w:r>
        <w:t xml:space="preserve"> Ibid at 145E-F.</w:t>
      </w:r>
    </w:p>
  </w:footnote>
  <w:footnote w:id="8">
    <w:p w:rsidR="007E2682" w:rsidRPr="00031141" w:rsidRDefault="007E2682" w:rsidP="00340A42">
      <w:pPr>
        <w:pStyle w:val="FootnoteText"/>
        <w:jc w:val="both"/>
        <w:rPr>
          <w:lang w:val="en-ZA"/>
        </w:rPr>
      </w:pPr>
      <w:r w:rsidRPr="00031141">
        <w:rPr>
          <w:rStyle w:val="FootnoteReference"/>
        </w:rPr>
        <w:footnoteRef/>
      </w:r>
      <w:r w:rsidRPr="00031141">
        <w:t xml:space="preserve"> </w:t>
      </w:r>
      <w:r w:rsidRPr="00340A42">
        <w:rPr>
          <w:i/>
          <w:lang w:val="en-ZA"/>
        </w:rPr>
        <w:t>ICF</w:t>
      </w:r>
      <w:r w:rsidRPr="00031141">
        <w:rPr>
          <w:lang w:val="en-ZA"/>
        </w:rPr>
        <w:t xml:space="preserve"> loc cit at 144C.</w:t>
      </w:r>
    </w:p>
  </w:footnote>
  <w:footnote w:id="9">
    <w:p w:rsidR="007E2682" w:rsidRPr="00031141" w:rsidRDefault="007E2682" w:rsidP="00340A42">
      <w:pPr>
        <w:pStyle w:val="FootnoteText"/>
        <w:jc w:val="both"/>
        <w:rPr>
          <w:lang w:val="en-ZA"/>
        </w:rPr>
      </w:pPr>
      <w:r w:rsidRPr="00031141">
        <w:rPr>
          <w:rStyle w:val="FootnoteReference"/>
        </w:rPr>
        <w:footnoteRef/>
      </w:r>
      <w:r w:rsidRPr="00031141">
        <w:t xml:space="preserve"> </w:t>
      </w:r>
      <w:r w:rsidR="00272241" w:rsidRPr="00340A42">
        <w:rPr>
          <w:i/>
        </w:rPr>
        <w:t>Attorneys Fidelity Fund Board of Control v Mettle Property Finance (Pty) Ltd</w:t>
      </w:r>
      <w:r w:rsidR="00272241">
        <w:t xml:space="preserve"> ZASCA 133; </w:t>
      </w:r>
      <w:r w:rsidRPr="00031141">
        <w:rPr>
          <w:lang w:val="en-ZA"/>
        </w:rPr>
        <w:t>2012 (3) SA 611 (SCA).</w:t>
      </w:r>
    </w:p>
  </w:footnote>
  <w:footnote w:id="10">
    <w:p w:rsidR="007E2682" w:rsidRPr="00031141" w:rsidRDefault="007E2682" w:rsidP="00340A42">
      <w:pPr>
        <w:pStyle w:val="FootnoteText"/>
        <w:jc w:val="both"/>
        <w:rPr>
          <w:lang w:val="en-ZA"/>
        </w:rPr>
      </w:pPr>
      <w:r w:rsidRPr="00031141">
        <w:rPr>
          <w:rStyle w:val="FootnoteReference"/>
        </w:rPr>
        <w:footnoteRef/>
      </w:r>
      <w:r w:rsidRPr="00031141">
        <w:t xml:space="preserve"> </w:t>
      </w:r>
      <w:r w:rsidR="00272241">
        <w:t xml:space="preserve">Attorneys Fidelity Fund Board of Control v Injo Investments CC [2015] ZAWCHC 112; </w:t>
      </w:r>
      <w:r w:rsidRPr="00031141">
        <w:rPr>
          <w:lang w:val="en-ZA"/>
        </w:rPr>
        <w:t>2016 (3) SA 62 (WCC) par 32.</w:t>
      </w:r>
    </w:p>
  </w:footnote>
  <w:footnote w:id="11">
    <w:p w:rsidR="007E2682" w:rsidRPr="00031141" w:rsidRDefault="007E2682" w:rsidP="00340A42">
      <w:pPr>
        <w:pStyle w:val="FootnoteText"/>
        <w:jc w:val="both"/>
        <w:rPr>
          <w:lang w:val="en-ZA"/>
        </w:rPr>
      </w:pPr>
      <w:r w:rsidRPr="00031141">
        <w:rPr>
          <w:rStyle w:val="FootnoteReference"/>
        </w:rPr>
        <w:footnoteRef/>
      </w:r>
      <w:r w:rsidRPr="00031141">
        <w:t xml:space="preserve"> </w:t>
      </w:r>
      <w:r w:rsidRPr="00340A42">
        <w:rPr>
          <w:i/>
          <w:lang w:val="en-ZA"/>
        </w:rPr>
        <w:t>Mettle</w:t>
      </w:r>
      <w:r w:rsidRPr="00031141">
        <w:rPr>
          <w:lang w:val="en-ZA"/>
        </w:rPr>
        <w:t xml:space="preserve"> loc cit paras 15</w:t>
      </w:r>
      <w:r w:rsidR="004475D3">
        <w:rPr>
          <w:lang w:val="en-ZA"/>
        </w:rPr>
        <w:t>-</w:t>
      </w:r>
      <w:r w:rsidRPr="00031141">
        <w:rPr>
          <w:lang w:val="en-ZA"/>
        </w:rPr>
        <w:t>16.</w:t>
      </w:r>
    </w:p>
  </w:footnote>
  <w:footnote w:id="12">
    <w:p w:rsidR="0057579E" w:rsidRPr="00340A42" w:rsidRDefault="0057579E" w:rsidP="00340A42">
      <w:pPr>
        <w:pStyle w:val="FootnoteText"/>
        <w:jc w:val="both"/>
        <w:rPr>
          <w:lang w:val="en-ZA"/>
        </w:rPr>
      </w:pPr>
      <w:r>
        <w:rPr>
          <w:rStyle w:val="FootnoteReference"/>
        </w:rPr>
        <w:footnoteRef/>
      </w:r>
      <w:r>
        <w:t xml:space="preserve"> Section 1 of </w:t>
      </w:r>
      <w:r w:rsidRPr="0057579E">
        <w:t>Trust Property Control Act 57 of 1988</w:t>
      </w:r>
      <w:r>
        <w:t xml:space="preserve">. </w:t>
      </w:r>
    </w:p>
  </w:footnote>
  <w:footnote w:id="13">
    <w:p w:rsidR="00DE3BE4" w:rsidRPr="00031141" w:rsidRDefault="00DE3BE4" w:rsidP="00340A42">
      <w:pPr>
        <w:pStyle w:val="FootnoteText"/>
        <w:jc w:val="both"/>
        <w:rPr>
          <w:lang w:val="en-ZA"/>
        </w:rPr>
      </w:pPr>
      <w:r w:rsidRPr="00031141">
        <w:rPr>
          <w:rStyle w:val="FootnoteReference"/>
        </w:rPr>
        <w:footnoteRef/>
      </w:r>
      <w:r w:rsidRPr="00031141">
        <w:t xml:space="preserve"> </w:t>
      </w:r>
      <w:r w:rsidRPr="00031141">
        <w:rPr>
          <w:lang w:val="en-ZA"/>
        </w:rPr>
        <w:t xml:space="preserve">Cameron et al, </w:t>
      </w:r>
      <w:r w:rsidRPr="00340A42">
        <w:rPr>
          <w:i/>
          <w:lang w:val="en-ZA"/>
        </w:rPr>
        <w:t>Honore’s South African Law of Trusts</w:t>
      </w:r>
      <w:r w:rsidRPr="00031141">
        <w:rPr>
          <w:lang w:val="en-ZA"/>
        </w:rPr>
        <w:t xml:space="preserve"> 5 ed</w:t>
      </w:r>
      <w:r w:rsidR="00DC7E2A">
        <w:rPr>
          <w:lang w:val="en-ZA"/>
        </w:rPr>
        <w:t xml:space="preserve"> (2017) at </w:t>
      </w:r>
      <w:r w:rsidRPr="00031141">
        <w:rPr>
          <w:lang w:val="en-ZA"/>
        </w:rPr>
        <w:t>11.</w:t>
      </w:r>
    </w:p>
  </w:footnote>
  <w:footnote w:id="14">
    <w:p w:rsidR="007E2682" w:rsidRPr="00031141" w:rsidRDefault="007E2682" w:rsidP="00340A42">
      <w:pPr>
        <w:pStyle w:val="FootnoteText"/>
        <w:jc w:val="both"/>
        <w:rPr>
          <w:lang w:val="en-ZA"/>
        </w:rPr>
      </w:pPr>
      <w:r w:rsidRPr="00031141">
        <w:rPr>
          <w:rStyle w:val="FootnoteReference"/>
        </w:rPr>
        <w:footnoteRef/>
      </w:r>
      <w:r w:rsidRPr="00031141">
        <w:t xml:space="preserve"> </w:t>
      </w:r>
      <w:r w:rsidR="00914864" w:rsidRPr="00340A42">
        <w:rPr>
          <w:i/>
        </w:rPr>
        <w:t>Bic Southern Africa (Pty) Ltd v Attorneys Fidelity Fund Board of Control</w:t>
      </w:r>
      <w:r w:rsidR="00914864" w:rsidRPr="00914864">
        <w:t xml:space="preserve"> </w:t>
      </w:r>
      <w:r w:rsidRPr="00031141">
        <w:rPr>
          <w:lang w:val="en-ZA"/>
        </w:rPr>
        <w:t>2003 (6) SA 757 (</w:t>
      </w:r>
      <w:r w:rsidR="00914864">
        <w:rPr>
          <w:lang w:val="en-ZA"/>
        </w:rPr>
        <w:t>W</w:t>
      </w:r>
      <w:r w:rsidRPr="00031141">
        <w:rPr>
          <w:lang w:val="en-ZA"/>
        </w:rPr>
        <w:t>)</w:t>
      </w:r>
      <w:r w:rsidR="00DC7E2A">
        <w:rPr>
          <w:lang w:val="en-ZA"/>
        </w:rPr>
        <w:t>.</w:t>
      </w:r>
      <w:r w:rsidRPr="00031141">
        <w:rPr>
          <w:lang w:val="en-ZA"/>
        </w:rPr>
        <w:t xml:space="preserve"> </w:t>
      </w:r>
    </w:p>
  </w:footnote>
  <w:footnote w:id="15">
    <w:p w:rsidR="007E2682" w:rsidRPr="00031141" w:rsidRDefault="007E2682">
      <w:pPr>
        <w:pStyle w:val="FootnoteText"/>
        <w:rPr>
          <w:lang w:val="en-ZA"/>
        </w:rPr>
      </w:pPr>
      <w:r w:rsidRPr="00031141">
        <w:rPr>
          <w:rStyle w:val="FootnoteReference"/>
        </w:rPr>
        <w:footnoteRef/>
      </w:r>
      <w:r w:rsidRPr="00031141">
        <w:t xml:space="preserve"> </w:t>
      </w:r>
      <w:r w:rsidR="00914864" w:rsidRPr="00340A42">
        <w:rPr>
          <w:i/>
        </w:rPr>
        <w:t>Du Preez and Others v Zwiegers</w:t>
      </w:r>
      <w:r w:rsidR="00914864" w:rsidRPr="00914864">
        <w:t xml:space="preserve"> </w:t>
      </w:r>
      <w:r w:rsidRPr="00031141">
        <w:rPr>
          <w:lang w:val="en-ZA"/>
        </w:rPr>
        <w:t>2008 (</w:t>
      </w:r>
      <w:r w:rsidR="00914864">
        <w:rPr>
          <w:lang w:val="en-ZA"/>
        </w:rPr>
        <w:t>4</w:t>
      </w:r>
      <w:r w:rsidRPr="00031141">
        <w:rPr>
          <w:lang w:val="en-ZA"/>
        </w:rPr>
        <w:t>) SA 627 (SCA)</w:t>
      </w:r>
      <w:r w:rsidR="00914864">
        <w:rPr>
          <w:lang w:val="en-ZA"/>
        </w:rPr>
        <w:t>.</w:t>
      </w:r>
    </w:p>
  </w:footnote>
  <w:footnote w:id="16">
    <w:p w:rsidR="00914864" w:rsidRPr="00340A42" w:rsidRDefault="00914864">
      <w:pPr>
        <w:pStyle w:val="FootnoteText"/>
        <w:rPr>
          <w:lang w:val="en-ZA"/>
        </w:rPr>
      </w:pPr>
      <w:r>
        <w:rPr>
          <w:rStyle w:val="FootnoteReference"/>
        </w:rPr>
        <w:footnoteRef/>
      </w:r>
      <w:r>
        <w:t xml:space="preserve"> </w:t>
      </w:r>
      <w:r>
        <w:rPr>
          <w:lang w:val="en-ZA"/>
        </w:rPr>
        <w:t>Ibid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12265819"/>
      <w:docPartObj>
        <w:docPartGallery w:val="Page Numbers (Top of Page)"/>
        <w:docPartUnique/>
      </w:docPartObj>
    </w:sdtPr>
    <w:sdtEndPr>
      <w:rPr>
        <w:noProof/>
      </w:rPr>
    </w:sdtEndPr>
    <w:sdtContent>
      <w:p w:rsidR="000B61C4" w:rsidRPr="000B61C4" w:rsidRDefault="000B61C4" w:rsidP="000B61C4">
        <w:pPr>
          <w:pStyle w:val="Header"/>
          <w:jc w:val="right"/>
          <w:rPr>
            <w:sz w:val="20"/>
            <w:szCs w:val="20"/>
          </w:rPr>
        </w:pPr>
        <w:r w:rsidRPr="000B61C4">
          <w:rPr>
            <w:sz w:val="20"/>
            <w:szCs w:val="20"/>
          </w:rPr>
          <w:fldChar w:fldCharType="begin"/>
        </w:r>
        <w:r w:rsidRPr="000B61C4">
          <w:rPr>
            <w:sz w:val="20"/>
            <w:szCs w:val="20"/>
          </w:rPr>
          <w:instrText xml:space="preserve"> PAGE   \* MERGEFORMAT </w:instrText>
        </w:r>
        <w:r w:rsidRPr="000B61C4">
          <w:rPr>
            <w:sz w:val="20"/>
            <w:szCs w:val="20"/>
          </w:rPr>
          <w:fldChar w:fldCharType="separate"/>
        </w:r>
        <w:r w:rsidR="00272CD9">
          <w:rPr>
            <w:noProof/>
            <w:sz w:val="20"/>
            <w:szCs w:val="20"/>
          </w:rPr>
          <w:t>2</w:t>
        </w:r>
        <w:r w:rsidRPr="000B61C4">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35FEB"/>
    <w:multiLevelType w:val="hybridMultilevel"/>
    <w:tmpl w:val="2C285AD6"/>
    <w:lvl w:ilvl="0" w:tplc="32C65616">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4B7A0F"/>
    <w:multiLevelType w:val="hybridMultilevel"/>
    <w:tmpl w:val="E1701C3E"/>
    <w:lvl w:ilvl="0" w:tplc="32C65616">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6864A90"/>
    <w:multiLevelType w:val="hybridMultilevel"/>
    <w:tmpl w:val="77E2BE5A"/>
    <w:lvl w:ilvl="0" w:tplc="32C65616">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164269F"/>
    <w:multiLevelType w:val="hybridMultilevel"/>
    <w:tmpl w:val="8EE80364"/>
    <w:lvl w:ilvl="0" w:tplc="32C65616">
      <w:start w:val="1"/>
      <w:numFmt w:val="decimal"/>
      <w:lvlText w:val="[%1]"/>
      <w:lvlJc w:val="left"/>
      <w:pPr>
        <w:ind w:left="3905"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5B"/>
    <w:rsid w:val="0000073D"/>
    <w:rsid w:val="00014AC9"/>
    <w:rsid w:val="000275A0"/>
    <w:rsid w:val="00031141"/>
    <w:rsid w:val="0004420C"/>
    <w:rsid w:val="000463C1"/>
    <w:rsid w:val="000503E9"/>
    <w:rsid w:val="000577A9"/>
    <w:rsid w:val="00060E12"/>
    <w:rsid w:val="000633B0"/>
    <w:rsid w:val="00064C06"/>
    <w:rsid w:val="00084125"/>
    <w:rsid w:val="00085E26"/>
    <w:rsid w:val="00096A73"/>
    <w:rsid w:val="000B256D"/>
    <w:rsid w:val="000B418C"/>
    <w:rsid w:val="000B61C4"/>
    <w:rsid w:val="000D4AAB"/>
    <w:rsid w:val="000D7E77"/>
    <w:rsid w:val="000E126E"/>
    <w:rsid w:val="001048A0"/>
    <w:rsid w:val="001131F0"/>
    <w:rsid w:val="001220BF"/>
    <w:rsid w:val="00122BD9"/>
    <w:rsid w:val="00126D47"/>
    <w:rsid w:val="00130AFA"/>
    <w:rsid w:val="0013148D"/>
    <w:rsid w:val="00146A87"/>
    <w:rsid w:val="001505BF"/>
    <w:rsid w:val="001677C3"/>
    <w:rsid w:val="001808F6"/>
    <w:rsid w:val="0018348E"/>
    <w:rsid w:val="001900DD"/>
    <w:rsid w:val="00194216"/>
    <w:rsid w:val="001C0F0A"/>
    <w:rsid w:val="001C1206"/>
    <w:rsid w:val="001D0733"/>
    <w:rsid w:val="001F102F"/>
    <w:rsid w:val="001F2CAF"/>
    <w:rsid w:val="002208B1"/>
    <w:rsid w:val="00222BEF"/>
    <w:rsid w:val="002319C6"/>
    <w:rsid w:val="00232DD8"/>
    <w:rsid w:val="00234B31"/>
    <w:rsid w:val="00234BDA"/>
    <w:rsid w:val="002370C3"/>
    <w:rsid w:val="00246A8E"/>
    <w:rsid w:val="00253BC0"/>
    <w:rsid w:val="0025477C"/>
    <w:rsid w:val="00257A20"/>
    <w:rsid w:val="00257C96"/>
    <w:rsid w:val="00260E9F"/>
    <w:rsid w:val="00267DD5"/>
    <w:rsid w:val="00270ECB"/>
    <w:rsid w:val="00272241"/>
    <w:rsid w:val="00272CD9"/>
    <w:rsid w:val="002778EB"/>
    <w:rsid w:val="00281063"/>
    <w:rsid w:val="0028243E"/>
    <w:rsid w:val="00284860"/>
    <w:rsid w:val="00292F84"/>
    <w:rsid w:val="00295A63"/>
    <w:rsid w:val="002A5F59"/>
    <w:rsid w:val="002A6418"/>
    <w:rsid w:val="002B16AB"/>
    <w:rsid w:val="002C4669"/>
    <w:rsid w:val="002C7C8E"/>
    <w:rsid w:val="002D028B"/>
    <w:rsid w:val="002D6624"/>
    <w:rsid w:val="002E1E42"/>
    <w:rsid w:val="002E6295"/>
    <w:rsid w:val="002F13E1"/>
    <w:rsid w:val="002F5316"/>
    <w:rsid w:val="0032107B"/>
    <w:rsid w:val="00336320"/>
    <w:rsid w:val="00340A42"/>
    <w:rsid w:val="0036197E"/>
    <w:rsid w:val="0036388B"/>
    <w:rsid w:val="00370D4F"/>
    <w:rsid w:val="003762CE"/>
    <w:rsid w:val="0037674E"/>
    <w:rsid w:val="00380F5B"/>
    <w:rsid w:val="00392517"/>
    <w:rsid w:val="0039639B"/>
    <w:rsid w:val="00397137"/>
    <w:rsid w:val="003A08AD"/>
    <w:rsid w:val="003B461F"/>
    <w:rsid w:val="003C70A6"/>
    <w:rsid w:val="003D373B"/>
    <w:rsid w:val="003E4A2A"/>
    <w:rsid w:val="003E755B"/>
    <w:rsid w:val="003F0ACB"/>
    <w:rsid w:val="003F355D"/>
    <w:rsid w:val="0041185D"/>
    <w:rsid w:val="00415620"/>
    <w:rsid w:val="00421121"/>
    <w:rsid w:val="00421910"/>
    <w:rsid w:val="00421959"/>
    <w:rsid w:val="00434FBD"/>
    <w:rsid w:val="00441719"/>
    <w:rsid w:val="004457F2"/>
    <w:rsid w:val="004475D3"/>
    <w:rsid w:val="00451AF7"/>
    <w:rsid w:val="00455273"/>
    <w:rsid w:val="004569E3"/>
    <w:rsid w:val="00467A7B"/>
    <w:rsid w:val="00470682"/>
    <w:rsid w:val="004951DD"/>
    <w:rsid w:val="004A4115"/>
    <w:rsid w:val="004C60DF"/>
    <w:rsid w:val="004D2C5C"/>
    <w:rsid w:val="004E2CC5"/>
    <w:rsid w:val="005048DD"/>
    <w:rsid w:val="00517640"/>
    <w:rsid w:val="00525616"/>
    <w:rsid w:val="0053397C"/>
    <w:rsid w:val="00535ED2"/>
    <w:rsid w:val="005421D8"/>
    <w:rsid w:val="005424BF"/>
    <w:rsid w:val="0056306E"/>
    <w:rsid w:val="0057579E"/>
    <w:rsid w:val="00580870"/>
    <w:rsid w:val="005930FC"/>
    <w:rsid w:val="0059392E"/>
    <w:rsid w:val="005943B6"/>
    <w:rsid w:val="005971CD"/>
    <w:rsid w:val="005A212A"/>
    <w:rsid w:val="005A22FA"/>
    <w:rsid w:val="005A3E0F"/>
    <w:rsid w:val="005A6791"/>
    <w:rsid w:val="005B4E90"/>
    <w:rsid w:val="005B56A1"/>
    <w:rsid w:val="005B5E0C"/>
    <w:rsid w:val="005C5CE2"/>
    <w:rsid w:val="005E7C09"/>
    <w:rsid w:val="00606821"/>
    <w:rsid w:val="00606F68"/>
    <w:rsid w:val="00607F9D"/>
    <w:rsid w:val="00615B66"/>
    <w:rsid w:val="00622CF1"/>
    <w:rsid w:val="00644E2A"/>
    <w:rsid w:val="00645C3B"/>
    <w:rsid w:val="00673DFF"/>
    <w:rsid w:val="006759F6"/>
    <w:rsid w:val="00680840"/>
    <w:rsid w:val="00694CF2"/>
    <w:rsid w:val="006A41FE"/>
    <w:rsid w:val="006A5755"/>
    <w:rsid w:val="006B0A40"/>
    <w:rsid w:val="006B3018"/>
    <w:rsid w:val="006B6E97"/>
    <w:rsid w:val="006C5D09"/>
    <w:rsid w:val="006C733B"/>
    <w:rsid w:val="006E4F00"/>
    <w:rsid w:val="006F7E8E"/>
    <w:rsid w:val="00702792"/>
    <w:rsid w:val="00707CF8"/>
    <w:rsid w:val="00711601"/>
    <w:rsid w:val="00711EE5"/>
    <w:rsid w:val="00715AE3"/>
    <w:rsid w:val="00723A56"/>
    <w:rsid w:val="00730EC5"/>
    <w:rsid w:val="007365B3"/>
    <w:rsid w:val="00745A1A"/>
    <w:rsid w:val="00750A9A"/>
    <w:rsid w:val="007628BC"/>
    <w:rsid w:val="00765E8C"/>
    <w:rsid w:val="00767197"/>
    <w:rsid w:val="00780A40"/>
    <w:rsid w:val="00782913"/>
    <w:rsid w:val="007850D2"/>
    <w:rsid w:val="00785594"/>
    <w:rsid w:val="00786528"/>
    <w:rsid w:val="00791E93"/>
    <w:rsid w:val="0079516A"/>
    <w:rsid w:val="0079543B"/>
    <w:rsid w:val="007C4C89"/>
    <w:rsid w:val="007E2260"/>
    <w:rsid w:val="007E2682"/>
    <w:rsid w:val="007E624E"/>
    <w:rsid w:val="00803690"/>
    <w:rsid w:val="00803D6B"/>
    <w:rsid w:val="0080481F"/>
    <w:rsid w:val="0081291B"/>
    <w:rsid w:val="00817254"/>
    <w:rsid w:val="00824672"/>
    <w:rsid w:val="00824E3B"/>
    <w:rsid w:val="00826EE0"/>
    <w:rsid w:val="00827002"/>
    <w:rsid w:val="00845203"/>
    <w:rsid w:val="00856ECD"/>
    <w:rsid w:val="00862D15"/>
    <w:rsid w:val="008634A9"/>
    <w:rsid w:val="0087574E"/>
    <w:rsid w:val="008A4A3A"/>
    <w:rsid w:val="008A7217"/>
    <w:rsid w:val="008B16C0"/>
    <w:rsid w:val="008D011D"/>
    <w:rsid w:val="008D10E1"/>
    <w:rsid w:val="008D4E3D"/>
    <w:rsid w:val="008D62F6"/>
    <w:rsid w:val="008F1F0B"/>
    <w:rsid w:val="008F233C"/>
    <w:rsid w:val="008F5048"/>
    <w:rsid w:val="008F69F7"/>
    <w:rsid w:val="009031E7"/>
    <w:rsid w:val="00914864"/>
    <w:rsid w:val="0093660F"/>
    <w:rsid w:val="00946901"/>
    <w:rsid w:val="00951602"/>
    <w:rsid w:val="00961E31"/>
    <w:rsid w:val="00965B41"/>
    <w:rsid w:val="0097261F"/>
    <w:rsid w:val="00972C17"/>
    <w:rsid w:val="009859D8"/>
    <w:rsid w:val="009A0E42"/>
    <w:rsid w:val="009A4AC7"/>
    <w:rsid w:val="009B010B"/>
    <w:rsid w:val="009B2D45"/>
    <w:rsid w:val="009B4E34"/>
    <w:rsid w:val="009D0DAA"/>
    <w:rsid w:val="009D675D"/>
    <w:rsid w:val="009F0F4D"/>
    <w:rsid w:val="009F617B"/>
    <w:rsid w:val="00A00223"/>
    <w:rsid w:val="00A032D9"/>
    <w:rsid w:val="00A12A1A"/>
    <w:rsid w:val="00A12DBB"/>
    <w:rsid w:val="00A13617"/>
    <w:rsid w:val="00A21BF5"/>
    <w:rsid w:val="00A27CA3"/>
    <w:rsid w:val="00A30F52"/>
    <w:rsid w:val="00A3316F"/>
    <w:rsid w:val="00A8125B"/>
    <w:rsid w:val="00A90354"/>
    <w:rsid w:val="00A91171"/>
    <w:rsid w:val="00A93546"/>
    <w:rsid w:val="00AA3D80"/>
    <w:rsid w:val="00AA6436"/>
    <w:rsid w:val="00AA6DC2"/>
    <w:rsid w:val="00AB24AA"/>
    <w:rsid w:val="00AB4C79"/>
    <w:rsid w:val="00AE3FCA"/>
    <w:rsid w:val="00AE5921"/>
    <w:rsid w:val="00AF45EF"/>
    <w:rsid w:val="00AF65F0"/>
    <w:rsid w:val="00B073E2"/>
    <w:rsid w:val="00B115EE"/>
    <w:rsid w:val="00B213A9"/>
    <w:rsid w:val="00B22476"/>
    <w:rsid w:val="00B225A2"/>
    <w:rsid w:val="00B3314F"/>
    <w:rsid w:val="00B4664A"/>
    <w:rsid w:val="00B7077C"/>
    <w:rsid w:val="00B8073F"/>
    <w:rsid w:val="00B90483"/>
    <w:rsid w:val="00BB15E5"/>
    <w:rsid w:val="00BB53C6"/>
    <w:rsid w:val="00BD09B0"/>
    <w:rsid w:val="00BD25FE"/>
    <w:rsid w:val="00BD6AB3"/>
    <w:rsid w:val="00BE1D8A"/>
    <w:rsid w:val="00C04ED2"/>
    <w:rsid w:val="00C07753"/>
    <w:rsid w:val="00C10E95"/>
    <w:rsid w:val="00C1676E"/>
    <w:rsid w:val="00C23441"/>
    <w:rsid w:val="00C24CBB"/>
    <w:rsid w:val="00C257FD"/>
    <w:rsid w:val="00C30858"/>
    <w:rsid w:val="00C31C8F"/>
    <w:rsid w:val="00C41877"/>
    <w:rsid w:val="00C60399"/>
    <w:rsid w:val="00C71C0B"/>
    <w:rsid w:val="00C74C67"/>
    <w:rsid w:val="00CA3271"/>
    <w:rsid w:val="00CA7911"/>
    <w:rsid w:val="00CB23AF"/>
    <w:rsid w:val="00CB6770"/>
    <w:rsid w:val="00CC04BB"/>
    <w:rsid w:val="00CC1C9A"/>
    <w:rsid w:val="00CD1353"/>
    <w:rsid w:val="00CD4E1B"/>
    <w:rsid w:val="00CE0B48"/>
    <w:rsid w:val="00CE6B90"/>
    <w:rsid w:val="00CF4AA4"/>
    <w:rsid w:val="00D023B6"/>
    <w:rsid w:val="00D127AB"/>
    <w:rsid w:val="00D15694"/>
    <w:rsid w:val="00D17BBA"/>
    <w:rsid w:val="00D3359E"/>
    <w:rsid w:val="00D432F9"/>
    <w:rsid w:val="00D77890"/>
    <w:rsid w:val="00DB0D80"/>
    <w:rsid w:val="00DC5D6D"/>
    <w:rsid w:val="00DC5FCC"/>
    <w:rsid w:val="00DC77AA"/>
    <w:rsid w:val="00DC7E2A"/>
    <w:rsid w:val="00DD2AB9"/>
    <w:rsid w:val="00DD71A8"/>
    <w:rsid w:val="00DD7E61"/>
    <w:rsid w:val="00DE3BE4"/>
    <w:rsid w:val="00DE7321"/>
    <w:rsid w:val="00E04B8F"/>
    <w:rsid w:val="00E07A80"/>
    <w:rsid w:val="00E15D60"/>
    <w:rsid w:val="00E27678"/>
    <w:rsid w:val="00E43F85"/>
    <w:rsid w:val="00E44A26"/>
    <w:rsid w:val="00E645E8"/>
    <w:rsid w:val="00E66BCF"/>
    <w:rsid w:val="00E800B8"/>
    <w:rsid w:val="00E86711"/>
    <w:rsid w:val="00E93DA1"/>
    <w:rsid w:val="00EA041E"/>
    <w:rsid w:val="00ED3424"/>
    <w:rsid w:val="00EE47A4"/>
    <w:rsid w:val="00EE5181"/>
    <w:rsid w:val="00EF375C"/>
    <w:rsid w:val="00EF69D4"/>
    <w:rsid w:val="00EF71CF"/>
    <w:rsid w:val="00F0133A"/>
    <w:rsid w:val="00F07329"/>
    <w:rsid w:val="00F13247"/>
    <w:rsid w:val="00F247FB"/>
    <w:rsid w:val="00F26590"/>
    <w:rsid w:val="00F301FC"/>
    <w:rsid w:val="00F328A9"/>
    <w:rsid w:val="00F42BCE"/>
    <w:rsid w:val="00F517E6"/>
    <w:rsid w:val="00F67F8F"/>
    <w:rsid w:val="00F750F5"/>
    <w:rsid w:val="00F84DDD"/>
    <w:rsid w:val="00F85784"/>
    <w:rsid w:val="00F85F35"/>
    <w:rsid w:val="00F876F1"/>
    <w:rsid w:val="00FA7D3B"/>
    <w:rsid w:val="00FC19CB"/>
    <w:rsid w:val="00FD13E9"/>
    <w:rsid w:val="00FE35BC"/>
    <w:rsid w:val="00FE73AF"/>
    <w:rsid w:val="00FF18EF"/>
    <w:rsid w:val="00FF50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199CF-DE77-4E28-A16E-EEF19C9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5B"/>
    <w:pPr>
      <w:spacing w:after="0" w:line="240" w:lineRule="auto"/>
    </w:pPr>
    <w:rPr>
      <w:rFonts w:ascii="Arial" w:eastAsia="Times New Roman" w:hAnsi="Arial" w:cs="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rsid w:val="003E755B"/>
    <w:pPr>
      <w:autoSpaceDE w:val="0"/>
      <w:autoSpaceDN w:val="0"/>
      <w:adjustRightInd w:val="0"/>
      <w:spacing w:line="241" w:lineRule="atLeast"/>
    </w:pPr>
    <w:rPr>
      <w:rFonts w:cs="Times New Roman"/>
      <w:sz w:val="24"/>
      <w:lang w:val="en-US"/>
    </w:rPr>
  </w:style>
  <w:style w:type="character" w:customStyle="1" w:styleId="A0">
    <w:name w:val="A0"/>
    <w:rsid w:val="003E755B"/>
    <w:rPr>
      <w:rFonts w:cs="Arial"/>
      <w:b/>
      <w:bCs/>
      <w:color w:val="221E1F"/>
      <w:sz w:val="20"/>
      <w:szCs w:val="20"/>
    </w:rPr>
  </w:style>
  <w:style w:type="paragraph" w:styleId="ListParagraph">
    <w:name w:val="List Paragraph"/>
    <w:basedOn w:val="Normal"/>
    <w:uiPriority w:val="34"/>
    <w:qFormat/>
    <w:rsid w:val="003E755B"/>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8A4A3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8A4A3A"/>
    <w:rPr>
      <w:rFonts w:ascii="Arial" w:eastAsia="Times New Roman" w:hAnsi="Arial" w:cs="Arial"/>
      <w:sz w:val="20"/>
      <w:szCs w:val="20"/>
      <w:lang w:val="en-GB"/>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8A4A3A"/>
    <w:rPr>
      <w:vertAlign w:val="superscript"/>
    </w:rPr>
  </w:style>
  <w:style w:type="character" w:customStyle="1" w:styleId="mc">
    <w:name w:val="mc"/>
    <w:basedOn w:val="DefaultParagraphFont"/>
    <w:rsid w:val="0028243E"/>
  </w:style>
  <w:style w:type="character" w:customStyle="1" w:styleId="g1">
    <w:name w:val="g1"/>
    <w:basedOn w:val="DefaultParagraphFont"/>
    <w:rsid w:val="0028243E"/>
  </w:style>
  <w:style w:type="character" w:styleId="Hyperlink">
    <w:name w:val="Hyperlink"/>
    <w:basedOn w:val="DefaultParagraphFont"/>
    <w:uiPriority w:val="99"/>
    <w:semiHidden/>
    <w:unhideWhenUsed/>
    <w:rsid w:val="0028243E"/>
    <w:rPr>
      <w:color w:val="0000FF"/>
      <w:u w:val="single"/>
    </w:rPr>
  </w:style>
  <w:style w:type="paragraph" w:styleId="Header">
    <w:name w:val="header"/>
    <w:basedOn w:val="Normal"/>
    <w:link w:val="HeaderChar"/>
    <w:uiPriority w:val="99"/>
    <w:rsid w:val="00972C17"/>
    <w:pPr>
      <w:tabs>
        <w:tab w:val="center" w:pos="4153"/>
        <w:tab w:val="right" w:pos="8306"/>
      </w:tabs>
      <w:spacing w:line="360" w:lineRule="auto"/>
      <w:jc w:val="both"/>
    </w:pPr>
    <w:rPr>
      <w:rFonts w:ascii="Times New Roman" w:hAnsi="Times New Roman" w:cs="Times New Roman"/>
      <w:sz w:val="24"/>
      <w:lang w:val="en-ZA"/>
    </w:rPr>
  </w:style>
  <w:style w:type="character" w:customStyle="1" w:styleId="HeaderChar">
    <w:name w:val="Header Char"/>
    <w:basedOn w:val="DefaultParagraphFont"/>
    <w:link w:val="Header"/>
    <w:uiPriority w:val="99"/>
    <w:rsid w:val="00972C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61C4"/>
    <w:pPr>
      <w:tabs>
        <w:tab w:val="center" w:pos="4513"/>
        <w:tab w:val="right" w:pos="9026"/>
      </w:tabs>
    </w:pPr>
  </w:style>
  <w:style w:type="character" w:customStyle="1" w:styleId="FooterChar">
    <w:name w:val="Footer Char"/>
    <w:basedOn w:val="DefaultParagraphFont"/>
    <w:link w:val="Footer"/>
    <w:uiPriority w:val="99"/>
    <w:rsid w:val="000B61C4"/>
    <w:rPr>
      <w:rFonts w:ascii="Arial" w:eastAsia="Times New Roman" w:hAnsi="Arial" w:cs="Arial"/>
      <w:sz w:val="28"/>
      <w:szCs w:val="24"/>
      <w:lang w:val="en-GB"/>
    </w:rPr>
  </w:style>
  <w:style w:type="character" w:styleId="CommentReference">
    <w:name w:val="annotation reference"/>
    <w:basedOn w:val="DefaultParagraphFont"/>
    <w:uiPriority w:val="99"/>
    <w:semiHidden/>
    <w:unhideWhenUsed/>
    <w:rsid w:val="00234B31"/>
    <w:rPr>
      <w:sz w:val="16"/>
      <w:szCs w:val="16"/>
    </w:rPr>
  </w:style>
  <w:style w:type="paragraph" w:styleId="CommentText">
    <w:name w:val="annotation text"/>
    <w:basedOn w:val="Normal"/>
    <w:link w:val="CommentTextChar"/>
    <w:uiPriority w:val="99"/>
    <w:semiHidden/>
    <w:unhideWhenUsed/>
    <w:rsid w:val="00234B31"/>
    <w:rPr>
      <w:sz w:val="20"/>
      <w:szCs w:val="20"/>
    </w:rPr>
  </w:style>
  <w:style w:type="character" w:customStyle="1" w:styleId="CommentTextChar">
    <w:name w:val="Comment Text Char"/>
    <w:basedOn w:val="DefaultParagraphFont"/>
    <w:link w:val="CommentText"/>
    <w:uiPriority w:val="99"/>
    <w:semiHidden/>
    <w:rsid w:val="00234B31"/>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34B31"/>
    <w:rPr>
      <w:b/>
      <w:bCs/>
    </w:rPr>
  </w:style>
  <w:style w:type="character" w:customStyle="1" w:styleId="CommentSubjectChar">
    <w:name w:val="Comment Subject Char"/>
    <w:basedOn w:val="CommentTextChar"/>
    <w:link w:val="CommentSubject"/>
    <w:uiPriority w:val="99"/>
    <w:semiHidden/>
    <w:rsid w:val="00234B31"/>
    <w:rPr>
      <w:rFonts w:ascii="Arial" w:eastAsia="Times New Roman" w:hAnsi="Arial" w:cs="Arial"/>
      <w:b/>
      <w:bCs/>
      <w:sz w:val="20"/>
      <w:szCs w:val="20"/>
      <w:lang w:val="en-GB"/>
    </w:rPr>
  </w:style>
  <w:style w:type="paragraph" w:styleId="BalloonText">
    <w:name w:val="Balloon Text"/>
    <w:basedOn w:val="Normal"/>
    <w:link w:val="BalloonTextChar"/>
    <w:uiPriority w:val="99"/>
    <w:semiHidden/>
    <w:unhideWhenUsed/>
    <w:rsid w:val="00234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B3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8767">
      <w:bodyDiv w:val="1"/>
      <w:marLeft w:val="0"/>
      <w:marRight w:val="0"/>
      <w:marTop w:val="0"/>
      <w:marBottom w:val="0"/>
      <w:divBdr>
        <w:top w:val="none" w:sz="0" w:space="0" w:color="auto"/>
        <w:left w:val="none" w:sz="0" w:space="0" w:color="auto"/>
        <w:bottom w:val="none" w:sz="0" w:space="0" w:color="auto"/>
        <w:right w:val="none" w:sz="0" w:space="0" w:color="auto"/>
      </w:divBdr>
      <w:divsChild>
        <w:div w:id="70926955">
          <w:marLeft w:val="284"/>
          <w:marRight w:val="0"/>
          <w:marTop w:val="80"/>
          <w:marBottom w:val="0"/>
          <w:divBdr>
            <w:top w:val="none" w:sz="0" w:space="0" w:color="auto"/>
            <w:left w:val="none" w:sz="0" w:space="0" w:color="auto"/>
            <w:bottom w:val="none" w:sz="0" w:space="0" w:color="auto"/>
            <w:right w:val="none" w:sz="0" w:space="0" w:color="auto"/>
          </w:divBdr>
        </w:div>
        <w:div w:id="293756067">
          <w:marLeft w:val="1134"/>
          <w:marRight w:val="0"/>
          <w:marTop w:val="60"/>
          <w:marBottom w:val="0"/>
          <w:divBdr>
            <w:top w:val="none" w:sz="0" w:space="0" w:color="auto"/>
            <w:left w:val="none" w:sz="0" w:space="0" w:color="auto"/>
            <w:bottom w:val="none" w:sz="0" w:space="0" w:color="auto"/>
            <w:right w:val="none" w:sz="0" w:space="0" w:color="auto"/>
          </w:divBdr>
        </w:div>
        <w:div w:id="2069644209">
          <w:marLeft w:val="1134"/>
          <w:marRight w:val="0"/>
          <w:marTop w:val="60"/>
          <w:marBottom w:val="0"/>
          <w:divBdr>
            <w:top w:val="none" w:sz="0" w:space="0" w:color="auto"/>
            <w:left w:val="none" w:sz="0" w:space="0" w:color="auto"/>
            <w:bottom w:val="none" w:sz="0" w:space="0" w:color="auto"/>
            <w:right w:val="none" w:sz="0" w:space="0" w:color="auto"/>
          </w:divBdr>
        </w:div>
        <w:div w:id="55707562">
          <w:marLeft w:val="284"/>
          <w:marRight w:val="0"/>
          <w:marTop w:val="40"/>
          <w:marBottom w:val="0"/>
          <w:divBdr>
            <w:top w:val="none" w:sz="0" w:space="0" w:color="auto"/>
            <w:left w:val="none" w:sz="0" w:space="0" w:color="auto"/>
            <w:bottom w:val="none" w:sz="0" w:space="0" w:color="auto"/>
            <w:right w:val="none" w:sz="0" w:space="0" w:color="auto"/>
          </w:divBdr>
        </w:div>
      </w:divsChild>
    </w:div>
    <w:div w:id="342439320">
      <w:bodyDiv w:val="1"/>
      <w:marLeft w:val="0"/>
      <w:marRight w:val="0"/>
      <w:marTop w:val="0"/>
      <w:marBottom w:val="0"/>
      <w:divBdr>
        <w:top w:val="none" w:sz="0" w:space="0" w:color="auto"/>
        <w:left w:val="none" w:sz="0" w:space="0" w:color="auto"/>
        <w:bottom w:val="none" w:sz="0" w:space="0" w:color="auto"/>
        <w:right w:val="none" w:sz="0" w:space="0" w:color="auto"/>
      </w:divBdr>
      <w:divsChild>
        <w:div w:id="105196046">
          <w:marLeft w:val="0"/>
          <w:marRight w:val="0"/>
          <w:marTop w:val="120"/>
          <w:marBottom w:val="0"/>
          <w:divBdr>
            <w:top w:val="none" w:sz="0" w:space="0" w:color="auto"/>
            <w:left w:val="none" w:sz="0" w:space="0" w:color="auto"/>
            <w:bottom w:val="none" w:sz="0" w:space="0" w:color="auto"/>
            <w:right w:val="none" w:sz="0" w:space="0" w:color="auto"/>
          </w:divBdr>
        </w:div>
        <w:div w:id="1886677270">
          <w:marLeft w:val="0"/>
          <w:marRight w:val="0"/>
          <w:marTop w:val="120"/>
          <w:marBottom w:val="0"/>
          <w:divBdr>
            <w:top w:val="none" w:sz="0" w:space="0" w:color="auto"/>
            <w:left w:val="none" w:sz="0" w:space="0" w:color="auto"/>
            <w:bottom w:val="none" w:sz="0" w:space="0" w:color="auto"/>
            <w:right w:val="none" w:sz="0" w:space="0" w:color="auto"/>
          </w:divBdr>
        </w:div>
        <w:div w:id="196504656">
          <w:marLeft w:val="0"/>
          <w:marRight w:val="0"/>
          <w:marTop w:val="120"/>
          <w:marBottom w:val="0"/>
          <w:divBdr>
            <w:top w:val="none" w:sz="0" w:space="0" w:color="auto"/>
            <w:left w:val="none" w:sz="0" w:space="0" w:color="auto"/>
            <w:bottom w:val="none" w:sz="0" w:space="0" w:color="auto"/>
            <w:right w:val="none" w:sz="0" w:space="0" w:color="auto"/>
          </w:divBdr>
        </w:div>
        <w:div w:id="1588805603">
          <w:marLeft w:val="0"/>
          <w:marRight w:val="0"/>
          <w:marTop w:val="120"/>
          <w:marBottom w:val="0"/>
          <w:divBdr>
            <w:top w:val="none" w:sz="0" w:space="0" w:color="auto"/>
            <w:left w:val="none" w:sz="0" w:space="0" w:color="auto"/>
            <w:bottom w:val="none" w:sz="0" w:space="0" w:color="auto"/>
            <w:right w:val="none" w:sz="0" w:space="0" w:color="auto"/>
          </w:divBdr>
        </w:div>
        <w:div w:id="328484150">
          <w:marLeft w:val="0"/>
          <w:marRight w:val="0"/>
          <w:marTop w:val="120"/>
          <w:marBottom w:val="0"/>
          <w:divBdr>
            <w:top w:val="none" w:sz="0" w:space="0" w:color="auto"/>
            <w:left w:val="none" w:sz="0" w:space="0" w:color="auto"/>
            <w:bottom w:val="none" w:sz="0" w:space="0" w:color="auto"/>
            <w:right w:val="none" w:sz="0" w:space="0" w:color="auto"/>
          </w:divBdr>
        </w:div>
        <w:div w:id="1056587790">
          <w:marLeft w:val="0"/>
          <w:marRight w:val="0"/>
          <w:marTop w:val="120"/>
          <w:marBottom w:val="0"/>
          <w:divBdr>
            <w:top w:val="none" w:sz="0" w:space="0" w:color="auto"/>
            <w:left w:val="none" w:sz="0" w:space="0" w:color="auto"/>
            <w:bottom w:val="none" w:sz="0" w:space="0" w:color="auto"/>
            <w:right w:val="none" w:sz="0" w:space="0" w:color="auto"/>
          </w:divBdr>
        </w:div>
        <w:div w:id="1852068534">
          <w:marLeft w:val="0"/>
          <w:marRight w:val="0"/>
          <w:marTop w:val="240"/>
          <w:marBottom w:val="24"/>
          <w:divBdr>
            <w:top w:val="single" w:sz="8" w:space="2" w:color="808080"/>
            <w:left w:val="none" w:sz="0" w:space="0" w:color="auto"/>
            <w:bottom w:val="none" w:sz="0" w:space="0" w:color="auto"/>
            <w:right w:val="none" w:sz="0" w:space="0" w:color="auto"/>
          </w:divBdr>
        </w:div>
        <w:div w:id="922186280">
          <w:marLeft w:val="0"/>
          <w:marRight w:val="0"/>
          <w:marTop w:val="120"/>
          <w:marBottom w:val="0"/>
          <w:divBdr>
            <w:top w:val="none" w:sz="0" w:space="0" w:color="auto"/>
            <w:left w:val="none" w:sz="0" w:space="0" w:color="auto"/>
            <w:bottom w:val="none" w:sz="0" w:space="0" w:color="auto"/>
            <w:right w:val="none" w:sz="0" w:space="0" w:color="auto"/>
          </w:divBdr>
        </w:div>
        <w:div w:id="192422999">
          <w:marLeft w:val="0"/>
          <w:marRight w:val="0"/>
          <w:marTop w:val="120"/>
          <w:marBottom w:val="0"/>
          <w:divBdr>
            <w:top w:val="none" w:sz="0" w:space="0" w:color="auto"/>
            <w:left w:val="none" w:sz="0" w:space="0" w:color="auto"/>
            <w:bottom w:val="none" w:sz="0" w:space="0" w:color="auto"/>
            <w:right w:val="none" w:sz="0" w:space="0" w:color="auto"/>
          </w:divBdr>
        </w:div>
        <w:div w:id="575633607">
          <w:marLeft w:val="567"/>
          <w:marRight w:val="0"/>
          <w:marTop w:val="60"/>
          <w:marBottom w:val="0"/>
          <w:divBdr>
            <w:top w:val="none" w:sz="0" w:space="0" w:color="auto"/>
            <w:left w:val="none" w:sz="0" w:space="0" w:color="auto"/>
            <w:bottom w:val="none" w:sz="0" w:space="0" w:color="auto"/>
            <w:right w:val="none" w:sz="0" w:space="0" w:color="auto"/>
          </w:divBdr>
        </w:div>
        <w:div w:id="334964883">
          <w:marLeft w:val="0"/>
          <w:marRight w:val="0"/>
          <w:marTop w:val="120"/>
          <w:marBottom w:val="0"/>
          <w:divBdr>
            <w:top w:val="none" w:sz="0" w:space="0" w:color="auto"/>
            <w:left w:val="none" w:sz="0" w:space="0" w:color="auto"/>
            <w:bottom w:val="none" w:sz="0" w:space="0" w:color="auto"/>
            <w:right w:val="none" w:sz="0" w:space="0" w:color="auto"/>
          </w:divBdr>
        </w:div>
        <w:div w:id="565916585">
          <w:marLeft w:val="567"/>
          <w:marRight w:val="0"/>
          <w:marTop w:val="60"/>
          <w:marBottom w:val="0"/>
          <w:divBdr>
            <w:top w:val="none" w:sz="0" w:space="0" w:color="auto"/>
            <w:left w:val="none" w:sz="0" w:space="0" w:color="auto"/>
            <w:bottom w:val="none" w:sz="0" w:space="0" w:color="auto"/>
            <w:right w:val="none" w:sz="0" w:space="0" w:color="auto"/>
          </w:divBdr>
        </w:div>
        <w:div w:id="1590843720">
          <w:marLeft w:val="567"/>
          <w:marRight w:val="0"/>
          <w:marTop w:val="60"/>
          <w:marBottom w:val="0"/>
          <w:divBdr>
            <w:top w:val="none" w:sz="0" w:space="0" w:color="auto"/>
            <w:left w:val="none" w:sz="0" w:space="0" w:color="auto"/>
            <w:bottom w:val="none" w:sz="0" w:space="0" w:color="auto"/>
            <w:right w:val="none" w:sz="0" w:space="0" w:color="auto"/>
          </w:divBdr>
        </w:div>
        <w:div w:id="1308390585">
          <w:marLeft w:val="567"/>
          <w:marRight w:val="0"/>
          <w:marTop w:val="60"/>
          <w:marBottom w:val="0"/>
          <w:divBdr>
            <w:top w:val="none" w:sz="0" w:space="0" w:color="auto"/>
            <w:left w:val="none" w:sz="0" w:space="0" w:color="auto"/>
            <w:bottom w:val="none" w:sz="0" w:space="0" w:color="auto"/>
            <w:right w:val="none" w:sz="0" w:space="0" w:color="auto"/>
          </w:divBdr>
        </w:div>
        <w:div w:id="329064583">
          <w:marLeft w:val="1134"/>
          <w:marRight w:val="0"/>
          <w:marTop w:val="60"/>
          <w:marBottom w:val="0"/>
          <w:divBdr>
            <w:top w:val="none" w:sz="0" w:space="0" w:color="auto"/>
            <w:left w:val="none" w:sz="0" w:space="0" w:color="auto"/>
            <w:bottom w:val="none" w:sz="0" w:space="0" w:color="auto"/>
            <w:right w:val="none" w:sz="0" w:space="0" w:color="auto"/>
          </w:divBdr>
        </w:div>
        <w:div w:id="1523085716">
          <w:marLeft w:val="0"/>
          <w:marRight w:val="0"/>
          <w:marTop w:val="240"/>
          <w:marBottom w:val="24"/>
          <w:divBdr>
            <w:top w:val="single" w:sz="8" w:space="2" w:color="808080"/>
            <w:left w:val="none" w:sz="0" w:space="0" w:color="auto"/>
            <w:bottom w:val="none" w:sz="0" w:space="0" w:color="auto"/>
            <w:right w:val="none" w:sz="0" w:space="0" w:color="auto"/>
          </w:divBdr>
        </w:div>
        <w:div w:id="1712144724">
          <w:marLeft w:val="0"/>
          <w:marRight w:val="0"/>
          <w:marTop w:val="120"/>
          <w:marBottom w:val="0"/>
          <w:divBdr>
            <w:top w:val="none" w:sz="0" w:space="0" w:color="auto"/>
            <w:left w:val="none" w:sz="0" w:space="0" w:color="auto"/>
            <w:bottom w:val="none" w:sz="0" w:space="0" w:color="auto"/>
            <w:right w:val="none" w:sz="0" w:space="0" w:color="auto"/>
          </w:divBdr>
        </w:div>
        <w:div w:id="1357776615">
          <w:marLeft w:val="1134"/>
          <w:marRight w:val="0"/>
          <w:marTop w:val="60"/>
          <w:marBottom w:val="0"/>
          <w:divBdr>
            <w:top w:val="none" w:sz="0" w:space="0" w:color="auto"/>
            <w:left w:val="none" w:sz="0" w:space="0" w:color="auto"/>
            <w:bottom w:val="none" w:sz="0" w:space="0" w:color="auto"/>
            <w:right w:val="none" w:sz="0" w:space="0" w:color="auto"/>
          </w:divBdr>
        </w:div>
        <w:div w:id="1269695617">
          <w:marLeft w:val="567"/>
          <w:marRight w:val="0"/>
          <w:marTop w:val="60"/>
          <w:marBottom w:val="0"/>
          <w:divBdr>
            <w:top w:val="none" w:sz="0" w:space="0" w:color="auto"/>
            <w:left w:val="none" w:sz="0" w:space="0" w:color="auto"/>
            <w:bottom w:val="none" w:sz="0" w:space="0" w:color="auto"/>
            <w:right w:val="none" w:sz="0" w:space="0" w:color="auto"/>
          </w:divBdr>
        </w:div>
        <w:div w:id="1190683346">
          <w:marLeft w:val="567"/>
          <w:marRight w:val="0"/>
          <w:marTop w:val="60"/>
          <w:marBottom w:val="0"/>
          <w:divBdr>
            <w:top w:val="none" w:sz="0" w:space="0" w:color="auto"/>
            <w:left w:val="none" w:sz="0" w:space="0" w:color="auto"/>
            <w:bottom w:val="none" w:sz="0" w:space="0" w:color="auto"/>
            <w:right w:val="none" w:sz="0" w:space="0" w:color="auto"/>
          </w:divBdr>
        </w:div>
        <w:div w:id="1222792439">
          <w:marLeft w:val="0"/>
          <w:marRight w:val="0"/>
          <w:marTop w:val="120"/>
          <w:marBottom w:val="0"/>
          <w:divBdr>
            <w:top w:val="none" w:sz="0" w:space="0" w:color="auto"/>
            <w:left w:val="none" w:sz="0" w:space="0" w:color="auto"/>
            <w:bottom w:val="none" w:sz="0" w:space="0" w:color="auto"/>
            <w:right w:val="none" w:sz="0" w:space="0" w:color="auto"/>
          </w:divBdr>
        </w:div>
        <w:div w:id="1010646936">
          <w:marLeft w:val="0"/>
          <w:marRight w:val="0"/>
          <w:marTop w:val="120"/>
          <w:marBottom w:val="0"/>
          <w:divBdr>
            <w:top w:val="none" w:sz="0" w:space="0" w:color="auto"/>
            <w:left w:val="none" w:sz="0" w:space="0" w:color="auto"/>
            <w:bottom w:val="none" w:sz="0" w:space="0" w:color="auto"/>
            <w:right w:val="none" w:sz="0" w:space="0" w:color="auto"/>
          </w:divBdr>
        </w:div>
        <w:div w:id="1206913327">
          <w:marLeft w:val="0"/>
          <w:marRight w:val="0"/>
          <w:marTop w:val="120"/>
          <w:marBottom w:val="0"/>
          <w:divBdr>
            <w:top w:val="none" w:sz="0" w:space="0" w:color="auto"/>
            <w:left w:val="none" w:sz="0" w:space="0" w:color="auto"/>
            <w:bottom w:val="none" w:sz="0" w:space="0" w:color="auto"/>
            <w:right w:val="none" w:sz="0" w:space="0" w:color="auto"/>
          </w:divBdr>
        </w:div>
        <w:div w:id="1575814472">
          <w:marLeft w:val="0"/>
          <w:marRight w:val="0"/>
          <w:marTop w:val="120"/>
          <w:marBottom w:val="0"/>
          <w:divBdr>
            <w:top w:val="none" w:sz="0" w:space="0" w:color="auto"/>
            <w:left w:val="none" w:sz="0" w:space="0" w:color="auto"/>
            <w:bottom w:val="none" w:sz="0" w:space="0" w:color="auto"/>
            <w:right w:val="none" w:sz="0" w:space="0" w:color="auto"/>
          </w:divBdr>
        </w:div>
        <w:div w:id="307977061">
          <w:marLeft w:val="0"/>
          <w:marRight w:val="0"/>
          <w:marTop w:val="120"/>
          <w:marBottom w:val="0"/>
          <w:divBdr>
            <w:top w:val="none" w:sz="0" w:space="0" w:color="auto"/>
            <w:left w:val="none" w:sz="0" w:space="0" w:color="auto"/>
            <w:bottom w:val="none" w:sz="0" w:space="0" w:color="auto"/>
            <w:right w:val="none" w:sz="0" w:space="0" w:color="auto"/>
          </w:divBdr>
        </w:div>
        <w:div w:id="1483889702">
          <w:marLeft w:val="0"/>
          <w:marRight w:val="0"/>
          <w:marTop w:val="120"/>
          <w:marBottom w:val="0"/>
          <w:divBdr>
            <w:top w:val="none" w:sz="0" w:space="0" w:color="auto"/>
            <w:left w:val="none" w:sz="0" w:space="0" w:color="auto"/>
            <w:bottom w:val="none" w:sz="0" w:space="0" w:color="auto"/>
            <w:right w:val="none" w:sz="0" w:space="0" w:color="auto"/>
          </w:divBdr>
        </w:div>
        <w:div w:id="1166625969">
          <w:marLeft w:val="567"/>
          <w:marRight w:val="0"/>
          <w:marTop w:val="60"/>
          <w:marBottom w:val="0"/>
          <w:divBdr>
            <w:top w:val="none" w:sz="0" w:space="0" w:color="auto"/>
            <w:left w:val="none" w:sz="0" w:space="0" w:color="auto"/>
            <w:bottom w:val="none" w:sz="0" w:space="0" w:color="auto"/>
            <w:right w:val="none" w:sz="0" w:space="0" w:color="auto"/>
          </w:divBdr>
        </w:div>
        <w:div w:id="892959868">
          <w:marLeft w:val="567"/>
          <w:marRight w:val="0"/>
          <w:marTop w:val="60"/>
          <w:marBottom w:val="0"/>
          <w:divBdr>
            <w:top w:val="none" w:sz="0" w:space="0" w:color="auto"/>
            <w:left w:val="none" w:sz="0" w:space="0" w:color="auto"/>
            <w:bottom w:val="none" w:sz="0" w:space="0" w:color="auto"/>
            <w:right w:val="none" w:sz="0" w:space="0" w:color="auto"/>
          </w:divBdr>
        </w:div>
        <w:div w:id="1044644564">
          <w:marLeft w:val="1134"/>
          <w:marRight w:val="0"/>
          <w:marTop w:val="60"/>
          <w:marBottom w:val="0"/>
          <w:divBdr>
            <w:top w:val="none" w:sz="0" w:space="0" w:color="auto"/>
            <w:left w:val="none" w:sz="0" w:space="0" w:color="auto"/>
            <w:bottom w:val="none" w:sz="0" w:space="0" w:color="auto"/>
            <w:right w:val="none" w:sz="0" w:space="0" w:color="auto"/>
          </w:divBdr>
        </w:div>
      </w:divsChild>
    </w:div>
    <w:div w:id="359235402">
      <w:bodyDiv w:val="1"/>
      <w:marLeft w:val="0"/>
      <w:marRight w:val="0"/>
      <w:marTop w:val="0"/>
      <w:marBottom w:val="0"/>
      <w:divBdr>
        <w:top w:val="none" w:sz="0" w:space="0" w:color="auto"/>
        <w:left w:val="none" w:sz="0" w:space="0" w:color="auto"/>
        <w:bottom w:val="none" w:sz="0" w:space="0" w:color="auto"/>
        <w:right w:val="none" w:sz="0" w:space="0" w:color="auto"/>
      </w:divBdr>
      <w:divsChild>
        <w:div w:id="1979068539">
          <w:marLeft w:val="0"/>
          <w:marRight w:val="0"/>
          <w:marTop w:val="120"/>
          <w:marBottom w:val="0"/>
          <w:divBdr>
            <w:top w:val="none" w:sz="0" w:space="0" w:color="auto"/>
            <w:left w:val="none" w:sz="0" w:space="0" w:color="auto"/>
            <w:bottom w:val="none" w:sz="0" w:space="0" w:color="auto"/>
            <w:right w:val="none" w:sz="0" w:space="0" w:color="auto"/>
          </w:divBdr>
        </w:div>
        <w:div w:id="1874076486">
          <w:marLeft w:val="0"/>
          <w:marRight w:val="0"/>
          <w:marTop w:val="120"/>
          <w:marBottom w:val="0"/>
          <w:divBdr>
            <w:top w:val="none" w:sz="0" w:space="0" w:color="auto"/>
            <w:left w:val="none" w:sz="0" w:space="0" w:color="auto"/>
            <w:bottom w:val="none" w:sz="0" w:space="0" w:color="auto"/>
            <w:right w:val="none" w:sz="0" w:space="0" w:color="auto"/>
          </w:divBdr>
        </w:div>
        <w:div w:id="868176229">
          <w:marLeft w:val="0"/>
          <w:marRight w:val="0"/>
          <w:marTop w:val="240"/>
          <w:marBottom w:val="24"/>
          <w:divBdr>
            <w:top w:val="single" w:sz="8" w:space="2" w:color="808080"/>
            <w:left w:val="none" w:sz="0" w:space="0" w:color="auto"/>
            <w:bottom w:val="none" w:sz="0" w:space="0" w:color="auto"/>
            <w:right w:val="none" w:sz="0" w:space="0" w:color="auto"/>
          </w:divBdr>
        </w:div>
        <w:div w:id="692388306">
          <w:marLeft w:val="0"/>
          <w:marRight w:val="0"/>
          <w:marTop w:val="120"/>
          <w:marBottom w:val="0"/>
          <w:divBdr>
            <w:top w:val="none" w:sz="0" w:space="0" w:color="auto"/>
            <w:left w:val="none" w:sz="0" w:space="0" w:color="auto"/>
            <w:bottom w:val="none" w:sz="0" w:space="0" w:color="auto"/>
            <w:right w:val="none" w:sz="0" w:space="0" w:color="auto"/>
          </w:divBdr>
        </w:div>
        <w:div w:id="1654218020">
          <w:marLeft w:val="0"/>
          <w:marRight w:val="0"/>
          <w:marTop w:val="120"/>
          <w:marBottom w:val="0"/>
          <w:divBdr>
            <w:top w:val="none" w:sz="0" w:space="0" w:color="auto"/>
            <w:left w:val="none" w:sz="0" w:space="0" w:color="auto"/>
            <w:bottom w:val="none" w:sz="0" w:space="0" w:color="auto"/>
            <w:right w:val="none" w:sz="0" w:space="0" w:color="auto"/>
          </w:divBdr>
        </w:div>
        <w:div w:id="1247498890">
          <w:marLeft w:val="0"/>
          <w:marRight w:val="0"/>
          <w:marTop w:val="120"/>
          <w:marBottom w:val="0"/>
          <w:divBdr>
            <w:top w:val="none" w:sz="0" w:space="0" w:color="auto"/>
            <w:left w:val="none" w:sz="0" w:space="0" w:color="auto"/>
            <w:bottom w:val="none" w:sz="0" w:space="0" w:color="auto"/>
            <w:right w:val="none" w:sz="0" w:space="0" w:color="auto"/>
          </w:divBdr>
        </w:div>
        <w:div w:id="165100537">
          <w:marLeft w:val="0"/>
          <w:marRight w:val="0"/>
          <w:marTop w:val="120"/>
          <w:marBottom w:val="0"/>
          <w:divBdr>
            <w:top w:val="none" w:sz="0" w:space="0" w:color="auto"/>
            <w:left w:val="none" w:sz="0" w:space="0" w:color="auto"/>
            <w:bottom w:val="none" w:sz="0" w:space="0" w:color="auto"/>
            <w:right w:val="none" w:sz="0" w:space="0" w:color="auto"/>
          </w:divBdr>
        </w:div>
        <w:div w:id="1330056538">
          <w:marLeft w:val="0"/>
          <w:marRight w:val="0"/>
          <w:marTop w:val="120"/>
          <w:marBottom w:val="0"/>
          <w:divBdr>
            <w:top w:val="none" w:sz="0" w:space="0" w:color="auto"/>
            <w:left w:val="none" w:sz="0" w:space="0" w:color="auto"/>
            <w:bottom w:val="none" w:sz="0" w:space="0" w:color="auto"/>
            <w:right w:val="none" w:sz="0" w:space="0" w:color="auto"/>
          </w:divBdr>
        </w:div>
        <w:div w:id="1024404321">
          <w:marLeft w:val="0"/>
          <w:marRight w:val="0"/>
          <w:marTop w:val="120"/>
          <w:marBottom w:val="0"/>
          <w:divBdr>
            <w:top w:val="none" w:sz="0" w:space="0" w:color="auto"/>
            <w:left w:val="none" w:sz="0" w:space="0" w:color="auto"/>
            <w:bottom w:val="none" w:sz="0" w:space="0" w:color="auto"/>
            <w:right w:val="none" w:sz="0" w:space="0" w:color="auto"/>
          </w:divBdr>
        </w:div>
        <w:div w:id="781456936">
          <w:marLeft w:val="0"/>
          <w:marRight w:val="0"/>
          <w:marTop w:val="120"/>
          <w:marBottom w:val="0"/>
          <w:divBdr>
            <w:top w:val="none" w:sz="0" w:space="0" w:color="auto"/>
            <w:left w:val="none" w:sz="0" w:space="0" w:color="auto"/>
            <w:bottom w:val="none" w:sz="0" w:space="0" w:color="auto"/>
            <w:right w:val="none" w:sz="0" w:space="0" w:color="auto"/>
          </w:divBdr>
        </w:div>
        <w:div w:id="501747439">
          <w:marLeft w:val="0"/>
          <w:marRight w:val="0"/>
          <w:marTop w:val="120"/>
          <w:marBottom w:val="0"/>
          <w:divBdr>
            <w:top w:val="none" w:sz="0" w:space="0" w:color="auto"/>
            <w:left w:val="none" w:sz="0" w:space="0" w:color="auto"/>
            <w:bottom w:val="none" w:sz="0" w:space="0" w:color="auto"/>
            <w:right w:val="none" w:sz="0" w:space="0" w:color="auto"/>
          </w:divBdr>
        </w:div>
        <w:div w:id="1930963563">
          <w:marLeft w:val="0"/>
          <w:marRight w:val="0"/>
          <w:marTop w:val="120"/>
          <w:marBottom w:val="0"/>
          <w:divBdr>
            <w:top w:val="none" w:sz="0" w:space="0" w:color="auto"/>
            <w:left w:val="none" w:sz="0" w:space="0" w:color="auto"/>
            <w:bottom w:val="none" w:sz="0" w:space="0" w:color="auto"/>
            <w:right w:val="none" w:sz="0" w:space="0" w:color="auto"/>
          </w:divBdr>
        </w:div>
        <w:div w:id="1394885775">
          <w:marLeft w:val="0"/>
          <w:marRight w:val="0"/>
          <w:marTop w:val="120"/>
          <w:marBottom w:val="0"/>
          <w:divBdr>
            <w:top w:val="none" w:sz="0" w:space="0" w:color="auto"/>
            <w:left w:val="none" w:sz="0" w:space="0" w:color="auto"/>
            <w:bottom w:val="none" w:sz="0" w:space="0" w:color="auto"/>
            <w:right w:val="none" w:sz="0" w:space="0" w:color="auto"/>
          </w:divBdr>
        </w:div>
        <w:div w:id="1264193053">
          <w:marLeft w:val="0"/>
          <w:marRight w:val="0"/>
          <w:marTop w:val="240"/>
          <w:marBottom w:val="24"/>
          <w:divBdr>
            <w:top w:val="single" w:sz="8" w:space="2" w:color="808080"/>
            <w:left w:val="none" w:sz="0" w:space="0" w:color="auto"/>
            <w:bottom w:val="none" w:sz="0" w:space="0" w:color="auto"/>
            <w:right w:val="none" w:sz="0" w:space="0" w:color="auto"/>
          </w:divBdr>
        </w:div>
        <w:div w:id="202711349">
          <w:marLeft w:val="0"/>
          <w:marRight w:val="0"/>
          <w:marTop w:val="120"/>
          <w:marBottom w:val="0"/>
          <w:divBdr>
            <w:top w:val="none" w:sz="0" w:space="0" w:color="auto"/>
            <w:left w:val="none" w:sz="0" w:space="0" w:color="auto"/>
            <w:bottom w:val="none" w:sz="0" w:space="0" w:color="auto"/>
            <w:right w:val="none" w:sz="0" w:space="0" w:color="auto"/>
          </w:divBdr>
        </w:div>
        <w:div w:id="1980574731">
          <w:marLeft w:val="0"/>
          <w:marRight w:val="0"/>
          <w:marTop w:val="120"/>
          <w:marBottom w:val="0"/>
          <w:divBdr>
            <w:top w:val="none" w:sz="0" w:space="0" w:color="auto"/>
            <w:left w:val="none" w:sz="0" w:space="0" w:color="auto"/>
            <w:bottom w:val="none" w:sz="0" w:space="0" w:color="auto"/>
            <w:right w:val="none" w:sz="0" w:space="0" w:color="auto"/>
          </w:divBdr>
        </w:div>
        <w:div w:id="961233229">
          <w:marLeft w:val="0"/>
          <w:marRight w:val="0"/>
          <w:marTop w:val="120"/>
          <w:marBottom w:val="0"/>
          <w:divBdr>
            <w:top w:val="none" w:sz="0" w:space="0" w:color="auto"/>
            <w:left w:val="none" w:sz="0" w:space="0" w:color="auto"/>
            <w:bottom w:val="none" w:sz="0" w:space="0" w:color="auto"/>
            <w:right w:val="none" w:sz="0" w:space="0" w:color="auto"/>
          </w:divBdr>
        </w:div>
        <w:div w:id="1400245952">
          <w:marLeft w:val="0"/>
          <w:marRight w:val="0"/>
          <w:marTop w:val="120"/>
          <w:marBottom w:val="0"/>
          <w:divBdr>
            <w:top w:val="none" w:sz="0" w:space="0" w:color="auto"/>
            <w:left w:val="none" w:sz="0" w:space="0" w:color="auto"/>
            <w:bottom w:val="none" w:sz="0" w:space="0" w:color="auto"/>
            <w:right w:val="none" w:sz="0" w:space="0" w:color="auto"/>
          </w:divBdr>
        </w:div>
        <w:div w:id="1785616149">
          <w:marLeft w:val="0"/>
          <w:marRight w:val="0"/>
          <w:marTop w:val="120"/>
          <w:marBottom w:val="0"/>
          <w:divBdr>
            <w:top w:val="none" w:sz="0" w:space="0" w:color="auto"/>
            <w:left w:val="none" w:sz="0" w:space="0" w:color="auto"/>
            <w:bottom w:val="none" w:sz="0" w:space="0" w:color="auto"/>
            <w:right w:val="none" w:sz="0" w:space="0" w:color="auto"/>
          </w:divBdr>
        </w:div>
        <w:div w:id="1568609797">
          <w:marLeft w:val="0"/>
          <w:marRight w:val="0"/>
          <w:marTop w:val="120"/>
          <w:marBottom w:val="0"/>
          <w:divBdr>
            <w:top w:val="none" w:sz="0" w:space="0" w:color="auto"/>
            <w:left w:val="none" w:sz="0" w:space="0" w:color="auto"/>
            <w:bottom w:val="none" w:sz="0" w:space="0" w:color="auto"/>
            <w:right w:val="none" w:sz="0" w:space="0" w:color="auto"/>
          </w:divBdr>
        </w:div>
        <w:div w:id="1422027427">
          <w:marLeft w:val="0"/>
          <w:marRight w:val="0"/>
          <w:marTop w:val="120"/>
          <w:marBottom w:val="0"/>
          <w:divBdr>
            <w:top w:val="none" w:sz="0" w:space="0" w:color="auto"/>
            <w:left w:val="none" w:sz="0" w:space="0" w:color="auto"/>
            <w:bottom w:val="none" w:sz="0" w:space="0" w:color="auto"/>
            <w:right w:val="none" w:sz="0" w:space="0" w:color="auto"/>
          </w:divBdr>
        </w:div>
      </w:divsChild>
    </w:div>
    <w:div w:id="1819835024">
      <w:bodyDiv w:val="1"/>
      <w:marLeft w:val="0"/>
      <w:marRight w:val="0"/>
      <w:marTop w:val="0"/>
      <w:marBottom w:val="0"/>
      <w:divBdr>
        <w:top w:val="none" w:sz="0" w:space="0" w:color="auto"/>
        <w:left w:val="none" w:sz="0" w:space="0" w:color="auto"/>
        <w:bottom w:val="none" w:sz="0" w:space="0" w:color="auto"/>
        <w:right w:val="none" w:sz="0" w:space="0" w:color="auto"/>
      </w:divBdr>
      <w:divsChild>
        <w:div w:id="2061708168">
          <w:marLeft w:val="0"/>
          <w:marRight w:val="0"/>
          <w:marTop w:val="120"/>
          <w:marBottom w:val="0"/>
          <w:divBdr>
            <w:top w:val="none" w:sz="0" w:space="0" w:color="auto"/>
            <w:left w:val="none" w:sz="0" w:space="0" w:color="auto"/>
            <w:bottom w:val="none" w:sz="0" w:space="0" w:color="auto"/>
            <w:right w:val="none" w:sz="0" w:space="0" w:color="auto"/>
          </w:divBdr>
        </w:div>
        <w:div w:id="47733099">
          <w:marLeft w:val="0"/>
          <w:marRight w:val="0"/>
          <w:marTop w:val="120"/>
          <w:marBottom w:val="0"/>
          <w:divBdr>
            <w:top w:val="none" w:sz="0" w:space="0" w:color="auto"/>
            <w:left w:val="none" w:sz="0" w:space="0" w:color="auto"/>
            <w:bottom w:val="none" w:sz="0" w:space="0" w:color="auto"/>
            <w:right w:val="none" w:sz="0" w:space="0" w:color="auto"/>
          </w:divBdr>
        </w:div>
        <w:div w:id="302275420">
          <w:marLeft w:val="1134"/>
          <w:marRight w:val="0"/>
          <w:marTop w:val="60"/>
          <w:marBottom w:val="0"/>
          <w:divBdr>
            <w:top w:val="none" w:sz="0" w:space="0" w:color="auto"/>
            <w:left w:val="none" w:sz="0" w:space="0" w:color="auto"/>
            <w:bottom w:val="none" w:sz="0" w:space="0" w:color="auto"/>
            <w:right w:val="none" w:sz="0" w:space="0" w:color="auto"/>
          </w:divBdr>
        </w:div>
        <w:div w:id="182716853">
          <w:marLeft w:val="1134"/>
          <w:marRight w:val="0"/>
          <w:marTop w:val="60"/>
          <w:marBottom w:val="0"/>
          <w:divBdr>
            <w:top w:val="none" w:sz="0" w:space="0" w:color="auto"/>
            <w:left w:val="none" w:sz="0" w:space="0" w:color="auto"/>
            <w:bottom w:val="none" w:sz="0" w:space="0" w:color="auto"/>
            <w:right w:val="none" w:sz="0" w:space="0" w:color="auto"/>
          </w:divBdr>
        </w:div>
        <w:div w:id="1902206236">
          <w:marLeft w:val="0"/>
          <w:marRight w:val="0"/>
          <w:marTop w:val="120"/>
          <w:marBottom w:val="0"/>
          <w:divBdr>
            <w:top w:val="none" w:sz="0" w:space="0" w:color="auto"/>
            <w:left w:val="none" w:sz="0" w:space="0" w:color="auto"/>
            <w:bottom w:val="none" w:sz="0" w:space="0" w:color="auto"/>
            <w:right w:val="none" w:sz="0" w:space="0" w:color="auto"/>
          </w:divBdr>
        </w:div>
        <w:div w:id="609045696">
          <w:marLeft w:val="0"/>
          <w:marRight w:val="0"/>
          <w:marTop w:val="120"/>
          <w:marBottom w:val="0"/>
          <w:divBdr>
            <w:top w:val="none" w:sz="0" w:space="0" w:color="auto"/>
            <w:left w:val="none" w:sz="0" w:space="0" w:color="auto"/>
            <w:bottom w:val="none" w:sz="0" w:space="0" w:color="auto"/>
            <w:right w:val="none" w:sz="0" w:space="0" w:color="auto"/>
          </w:divBdr>
        </w:div>
        <w:div w:id="260527935">
          <w:marLeft w:val="0"/>
          <w:marRight w:val="0"/>
          <w:marTop w:val="120"/>
          <w:marBottom w:val="0"/>
          <w:divBdr>
            <w:top w:val="none" w:sz="0" w:space="0" w:color="auto"/>
            <w:left w:val="none" w:sz="0" w:space="0" w:color="auto"/>
            <w:bottom w:val="none" w:sz="0" w:space="0" w:color="auto"/>
            <w:right w:val="none" w:sz="0" w:space="0" w:color="auto"/>
          </w:divBdr>
        </w:div>
        <w:div w:id="1010138792">
          <w:marLeft w:val="567"/>
          <w:marRight w:val="0"/>
          <w:marTop w:val="60"/>
          <w:marBottom w:val="0"/>
          <w:divBdr>
            <w:top w:val="none" w:sz="0" w:space="0" w:color="auto"/>
            <w:left w:val="none" w:sz="0" w:space="0" w:color="auto"/>
            <w:bottom w:val="none" w:sz="0" w:space="0" w:color="auto"/>
            <w:right w:val="none" w:sz="0" w:space="0" w:color="auto"/>
          </w:divBdr>
        </w:div>
        <w:div w:id="617763629">
          <w:marLeft w:val="0"/>
          <w:marRight w:val="0"/>
          <w:marTop w:val="240"/>
          <w:marBottom w:val="24"/>
          <w:divBdr>
            <w:top w:val="single" w:sz="8" w:space="2" w:color="808080"/>
            <w:left w:val="none" w:sz="0" w:space="0" w:color="auto"/>
            <w:bottom w:val="none" w:sz="0" w:space="0" w:color="auto"/>
            <w:right w:val="none" w:sz="0" w:space="0" w:color="auto"/>
          </w:divBdr>
        </w:div>
        <w:div w:id="85344994">
          <w:marLeft w:val="0"/>
          <w:marRight w:val="0"/>
          <w:marTop w:val="120"/>
          <w:marBottom w:val="0"/>
          <w:divBdr>
            <w:top w:val="none" w:sz="0" w:space="0" w:color="auto"/>
            <w:left w:val="none" w:sz="0" w:space="0" w:color="auto"/>
            <w:bottom w:val="none" w:sz="0" w:space="0" w:color="auto"/>
            <w:right w:val="none" w:sz="0" w:space="0" w:color="auto"/>
          </w:divBdr>
        </w:div>
        <w:div w:id="1646010490">
          <w:marLeft w:val="0"/>
          <w:marRight w:val="0"/>
          <w:marTop w:val="120"/>
          <w:marBottom w:val="0"/>
          <w:divBdr>
            <w:top w:val="none" w:sz="0" w:space="0" w:color="auto"/>
            <w:left w:val="none" w:sz="0" w:space="0" w:color="auto"/>
            <w:bottom w:val="none" w:sz="0" w:space="0" w:color="auto"/>
            <w:right w:val="none" w:sz="0" w:space="0" w:color="auto"/>
          </w:divBdr>
        </w:div>
        <w:div w:id="11224958">
          <w:marLeft w:val="567"/>
          <w:marRight w:val="0"/>
          <w:marTop w:val="60"/>
          <w:marBottom w:val="0"/>
          <w:divBdr>
            <w:top w:val="none" w:sz="0" w:space="0" w:color="auto"/>
            <w:left w:val="none" w:sz="0" w:space="0" w:color="auto"/>
            <w:bottom w:val="none" w:sz="0" w:space="0" w:color="auto"/>
            <w:right w:val="none" w:sz="0" w:space="0" w:color="auto"/>
          </w:divBdr>
        </w:div>
        <w:div w:id="9297751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E596-EE78-4FA1-A4F5-B4E2731B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Sineliso Vilakazi (220020904)</dc:creator>
  <cp:keywords/>
  <dc:description/>
  <cp:lastModifiedBy>Mokone</cp:lastModifiedBy>
  <cp:revision>3</cp:revision>
  <cp:lastPrinted>2023-06-13T08:09:00Z</cp:lastPrinted>
  <dcterms:created xsi:type="dcterms:W3CDTF">2023-06-13T09:20:00Z</dcterms:created>
  <dcterms:modified xsi:type="dcterms:W3CDTF">2023-06-13T09:21:00Z</dcterms:modified>
</cp:coreProperties>
</file>