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FF20D" w14:textId="3AC95824" w:rsidR="008B223B" w:rsidRDefault="00322A94" w:rsidP="008121DC">
      <w:pPr>
        <w:rPr>
          <w:b/>
          <w:bCs/>
          <w:sz w:val="28"/>
          <w:szCs w:val="28"/>
        </w:rPr>
      </w:pPr>
      <w:bookmarkStart w:id="0" w:name="_GoBack"/>
      <w:bookmarkEnd w:id="0"/>
      <w:r>
        <w:tab/>
      </w:r>
      <w:r>
        <w:tab/>
      </w:r>
      <w:r>
        <w:tab/>
      </w:r>
    </w:p>
    <w:p w14:paraId="51F5A6AD" w14:textId="77777777" w:rsidR="008B223B" w:rsidRDefault="008B223B" w:rsidP="006E5258">
      <w:pPr>
        <w:jc w:val="center"/>
        <w:rPr>
          <w:b/>
          <w:bCs/>
          <w:sz w:val="28"/>
          <w:szCs w:val="28"/>
        </w:rPr>
      </w:pPr>
    </w:p>
    <w:p w14:paraId="58081F66" w14:textId="77777777" w:rsidR="008B223B" w:rsidRPr="007429EC" w:rsidRDefault="00322A94">
      <w:pPr>
        <w:jc w:val="center"/>
        <w:rPr>
          <w:b/>
          <w:bCs/>
          <w:sz w:val="28"/>
          <w:szCs w:val="28"/>
        </w:rPr>
      </w:pPr>
      <w:r w:rsidRPr="007429EC">
        <w:rPr>
          <w:noProof/>
          <w:lang w:val="en-US"/>
        </w:rPr>
        <w:drawing>
          <wp:anchor distT="0" distB="0" distL="114300" distR="114300" simplePos="0" relativeHeight="251659264" behindDoc="0" locked="0" layoutInCell="1" allowOverlap="1" wp14:anchorId="07E98AEB" wp14:editId="2582FD6A">
            <wp:simplePos x="0" y="0"/>
            <wp:positionH relativeFrom="page">
              <wp:align>center</wp:align>
            </wp:positionH>
            <wp:positionV relativeFrom="paragraph">
              <wp:posOffset>-683895</wp:posOffset>
            </wp:positionV>
            <wp:extent cx="799200" cy="914400"/>
            <wp:effectExtent l="0" t="0" r="127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9"/>
                    <a:stretch>
                      <a:fillRect/>
                    </a:stretch>
                  </pic:blipFill>
                  <pic:spPr>
                    <a:xfrm>
                      <a:off x="0" y="0"/>
                      <a:ext cx="799200" cy="914400"/>
                    </a:xfrm>
                    <a:prstGeom prst="rect">
                      <a:avLst/>
                    </a:prstGeom>
                    <a:noFill/>
                    <a:ln>
                      <a:noFill/>
                    </a:ln>
                  </pic:spPr>
                </pic:pic>
              </a:graphicData>
            </a:graphic>
            <wp14:sizeRelH relativeFrom="margin">
              <wp14:pctWidth>0</wp14:pctWidth>
            </wp14:sizeRelH>
          </wp:anchor>
        </w:drawing>
      </w:r>
    </w:p>
    <w:p w14:paraId="4AA9831E" w14:textId="77777777" w:rsidR="008B223B" w:rsidRPr="007429EC" w:rsidRDefault="008B223B">
      <w:pPr>
        <w:jc w:val="center"/>
        <w:rPr>
          <w:b/>
          <w:bCs/>
          <w:sz w:val="28"/>
          <w:szCs w:val="28"/>
        </w:rPr>
      </w:pPr>
    </w:p>
    <w:p w14:paraId="6417E16D" w14:textId="77777777" w:rsidR="008B223B" w:rsidRPr="007429EC" w:rsidRDefault="00322A94" w:rsidP="008121DC">
      <w:pPr>
        <w:jc w:val="center"/>
        <w:rPr>
          <w:b/>
          <w:bCs/>
          <w:sz w:val="28"/>
          <w:szCs w:val="28"/>
        </w:rPr>
      </w:pPr>
      <w:r w:rsidRPr="007429EC">
        <w:rPr>
          <w:b/>
          <w:bCs/>
          <w:sz w:val="28"/>
          <w:szCs w:val="28"/>
        </w:rPr>
        <w:t>THE SUPREME COURT OF APPEAL OF SOUTH AFRICA</w:t>
      </w:r>
    </w:p>
    <w:p w14:paraId="032FF00A" w14:textId="77777777" w:rsidR="008B223B" w:rsidRPr="007429EC" w:rsidRDefault="00322A94">
      <w:pPr>
        <w:pStyle w:val="Heading3"/>
        <w:jc w:val="center"/>
        <w:rPr>
          <w:rFonts w:ascii="Times New Roman" w:hAnsi="Times New Roman" w:cs="Times New Roman"/>
          <w:b/>
          <w:i w:val="0"/>
          <w:szCs w:val="28"/>
        </w:rPr>
      </w:pPr>
      <w:r w:rsidRPr="007429EC">
        <w:rPr>
          <w:rFonts w:ascii="Times New Roman" w:hAnsi="Times New Roman" w:cs="Times New Roman"/>
          <w:b/>
          <w:i w:val="0"/>
          <w:szCs w:val="28"/>
        </w:rPr>
        <w:t>JUDGMENT</w:t>
      </w:r>
    </w:p>
    <w:p w14:paraId="61185026" w14:textId="77777777" w:rsidR="008B223B" w:rsidRPr="007429EC" w:rsidRDefault="00322A94">
      <w:pPr>
        <w:jc w:val="center"/>
        <w:rPr>
          <w:b/>
          <w:bCs/>
          <w:sz w:val="28"/>
          <w:szCs w:val="28"/>
        </w:rPr>
      </w:pPr>
      <w:r w:rsidRPr="007429EC">
        <w:rPr>
          <w:sz w:val="28"/>
          <w:szCs w:val="28"/>
        </w:rPr>
        <w:tab/>
      </w:r>
    </w:p>
    <w:p w14:paraId="7CC7BB90" w14:textId="2498FD2D" w:rsidR="008B223B" w:rsidRPr="007429EC" w:rsidRDefault="007429EC" w:rsidP="008121DC">
      <w:pPr>
        <w:jc w:val="right"/>
        <w:rPr>
          <w:b/>
          <w:sz w:val="28"/>
          <w:szCs w:val="28"/>
        </w:rPr>
      </w:pPr>
      <w:r>
        <w:rPr>
          <w:b/>
          <w:sz w:val="28"/>
          <w:szCs w:val="28"/>
        </w:rPr>
        <w:t>Reportable</w:t>
      </w:r>
    </w:p>
    <w:p w14:paraId="15737A87" w14:textId="6422E5B6" w:rsidR="008B223B" w:rsidRPr="007429EC" w:rsidRDefault="000F7BBF">
      <w:pPr>
        <w:jc w:val="right"/>
        <w:rPr>
          <w:sz w:val="28"/>
          <w:szCs w:val="28"/>
          <w:lang w:val="en-ZA"/>
        </w:rPr>
      </w:pPr>
      <w:r w:rsidRPr="007429EC">
        <w:rPr>
          <w:sz w:val="28"/>
          <w:szCs w:val="28"/>
        </w:rPr>
        <w:t>Case N</w:t>
      </w:r>
      <w:r w:rsidR="00322A94" w:rsidRPr="007429EC">
        <w:rPr>
          <w:sz w:val="28"/>
          <w:szCs w:val="28"/>
        </w:rPr>
        <w:t xml:space="preserve">o: </w:t>
      </w:r>
      <w:r w:rsidR="00D90F90" w:rsidRPr="007429EC">
        <w:rPr>
          <w:sz w:val="28"/>
          <w:szCs w:val="28"/>
          <w:lang w:val="en-ZA"/>
        </w:rPr>
        <w:t>610/2021</w:t>
      </w:r>
    </w:p>
    <w:p w14:paraId="0A304039" w14:textId="77777777" w:rsidR="008B223B" w:rsidRPr="007429EC" w:rsidRDefault="00322A94" w:rsidP="00896C95">
      <w:pPr>
        <w:rPr>
          <w:sz w:val="28"/>
          <w:szCs w:val="28"/>
        </w:rPr>
      </w:pPr>
      <w:r w:rsidRPr="007429EC">
        <w:rPr>
          <w:sz w:val="28"/>
          <w:szCs w:val="28"/>
        </w:rPr>
        <w:t>In the matter between:</w:t>
      </w:r>
    </w:p>
    <w:p w14:paraId="643549E2" w14:textId="77777777" w:rsidR="009B7AEA" w:rsidRPr="007429EC" w:rsidRDefault="009B7AEA" w:rsidP="00896C95">
      <w:pPr>
        <w:rPr>
          <w:sz w:val="28"/>
          <w:szCs w:val="28"/>
        </w:rPr>
      </w:pPr>
    </w:p>
    <w:p w14:paraId="51C4C298" w14:textId="77777777" w:rsidR="00D90F90" w:rsidRPr="007429EC" w:rsidRDefault="00D90F90" w:rsidP="00290EDF">
      <w:pPr>
        <w:spacing w:line="312" w:lineRule="auto"/>
        <w:ind w:right="-180"/>
        <w:rPr>
          <w:b/>
          <w:bCs/>
          <w:sz w:val="28"/>
          <w:szCs w:val="28"/>
          <w:lang w:val="en-ZA"/>
        </w:rPr>
      </w:pPr>
      <w:r w:rsidRPr="007429EC">
        <w:rPr>
          <w:b/>
          <w:bCs/>
          <w:sz w:val="28"/>
          <w:szCs w:val="28"/>
          <w:lang w:val="en-ZA"/>
        </w:rPr>
        <w:t xml:space="preserve">MINISTER OF INTERNATIONAL </w:t>
      </w:r>
    </w:p>
    <w:p w14:paraId="787ABEBC" w14:textId="36C9604A" w:rsidR="008B223B" w:rsidRPr="007429EC" w:rsidRDefault="00D90F90" w:rsidP="00290EDF">
      <w:pPr>
        <w:spacing w:after="120" w:line="312" w:lineRule="auto"/>
        <w:ind w:right="-181"/>
        <w:rPr>
          <w:b/>
          <w:bCs/>
          <w:sz w:val="28"/>
          <w:szCs w:val="28"/>
        </w:rPr>
      </w:pPr>
      <w:r w:rsidRPr="007429EC">
        <w:rPr>
          <w:b/>
          <w:bCs/>
          <w:sz w:val="28"/>
          <w:szCs w:val="28"/>
          <w:lang w:val="en-ZA"/>
        </w:rPr>
        <w:t xml:space="preserve">RELATIONS </w:t>
      </w:r>
      <w:r w:rsidR="008422E7" w:rsidRPr="007429EC">
        <w:rPr>
          <w:b/>
          <w:bCs/>
          <w:sz w:val="28"/>
          <w:szCs w:val="28"/>
          <w:lang w:val="en-ZA"/>
        </w:rPr>
        <w:t>AND</w:t>
      </w:r>
      <w:r w:rsidRPr="007429EC">
        <w:rPr>
          <w:b/>
          <w:bCs/>
          <w:sz w:val="28"/>
          <w:szCs w:val="28"/>
          <w:lang w:val="en-ZA"/>
        </w:rPr>
        <w:t xml:space="preserve"> CO</w:t>
      </w:r>
      <w:r w:rsidR="00A84D93" w:rsidRPr="007429EC">
        <w:rPr>
          <w:b/>
          <w:bCs/>
          <w:sz w:val="28"/>
          <w:szCs w:val="28"/>
          <w:lang w:val="en-ZA"/>
        </w:rPr>
        <w:t>-</w:t>
      </w:r>
      <w:r w:rsidRPr="007429EC">
        <w:rPr>
          <w:b/>
          <w:bCs/>
          <w:sz w:val="28"/>
          <w:szCs w:val="28"/>
          <w:lang w:val="en-ZA"/>
        </w:rPr>
        <w:t>OPERATION</w:t>
      </w:r>
      <w:r w:rsidRPr="007429EC">
        <w:rPr>
          <w:b/>
          <w:bCs/>
          <w:sz w:val="28"/>
          <w:szCs w:val="28"/>
          <w:lang w:val="en-ZA"/>
        </w:rPr>
        <w:tab/>
      </w:r>
      <w:r w:rsidRPr="007429EC">
        <w:rPr>
          <w:b/>
          <w:bCs/>
          <w:sz w:val="28"/>
          <w:szCs w:val="28"/>
          <w:lang w:val="en-ZA"/>
        </w:rPr>
        <w:tab/>
      </w:r>
      <w:r w:rsidRPr="007429EC">
        <w:rPr>
          <w:b/>
          <w:bCs/>
          <w:sz w:val="28"/>
          <w:szCs w:val="28"/>
          <w:lang w:val="en-ZA"/>
        </w:rPr>
        <w:tab/>
        <w:t xml:space="preserve">      FIRST</w:t>
      </w:r>
      <w:r w:rsidR="001F1689" w:rsidRPr="007429EC">
        <w:rPr>
          <w:b/>
          <w:bCs/>
          <w:sz w:val="28"/>
          <w:szCs w:val="28"/>
          <w:lang w:val="en-ZA"/>
        </w:rPr>
        <w:t xml:space="preserve"> </w:t>
      </w:r>
      <w:r w:rsidR="00322A94" w:rsidRPr="007429EC">
        <w:rPr>
          <w:b/>
          <w:bCs/>
          <w:sz w:val="28"/>
          <w:szCs w:val="28"/>
        </w:rPr>
        <w:t>APPELLANT</w:t>
      </w:r>
    </w:p>
    <w:p w14:paraId="5841BEAF" w14:textId="341EEC44" w:rsidR="00D90F90" w:rsidRPr="007429EC" w:rsidRDefault="00A84D93" w:rsidP="00290EDF">
      <w:pPr>
        <w:spacing w:line="312" w:lineRule="auto"/>
        <w:ind w:right="-180"/>
        <w:rPr>
          <w:b/>
          <w:bCs/>
          <w:sz w:val="28"/>
          <w:szCs w:val="28"/>
        </w:rPr>
      </w:pPr>
      <w:r w:rsidRPr="007429EC">
        <w:rPr>
          <w:b/>
          <w:bCs/>
          <w:sz w:val="28"/>
          <w:szCs w:val="28"/>
        </w:rPr>
        <w:t>DIRECTOR-</w:t>
      </w:r>
      <w:r w:rsidR="00D90F90" w:rsidRPr="007429EC">
        <w:rPr>
          <w:b/>
          <w:bCs/>
          <w:sz w:val="28"/>
          <w:szCs w:val="28"/>
        </w:rPr>
        <w:t xml:space="preserve">GENERAL: </w:t>
      </w:r>
    </w:p>
    <w:p w14:paraId="58BA7E3F" w14:textId="77777777" w:rsidR="00D90F90" w:rsidRPr="007429EC" w:rsidRDefault="00D90F90" w:rsidP="00290EDF">
      <w:pPr>
        <w:spacing w:line="312" w:lineRule="auto"/>
        <w:ind w:right="-180"/>
        <w:rPr>
          <w:b/>
          <w:bCs/>
          <w:sz w:val="28"/>
          <w:szCs w:val="28"/>
        </w:rPr>
      </w:pPr>
      <w:r w:rsidRPr="007429EC">
        <w:rPr>
          <w:b/>
          <w:bCs/>
          <w:sz w:val="28"/>
          <w:szCs w:val="28"/>
        </w:rPr>
        <w:t xml:space="preserve">DEPARTMENT OF INTERNATIONAL </w:t>
      </w:r>
    </w:p>
    <w:p w14:paraId="2A2E7D04" w14:textId="215AB6CF" w:rsidR="00D90F90" w:rsidRPr="007429EC" w:rsidRDefault="00D90F90" w:rsidP="00290EDF">
      <w:pPr>
        <w:spacing w:after="120" w:line="312" w:lineRule="auto"/>
        <w:ind w:right="-181"/>
        <w:rPr>
          <w:b/>
          <w:bCs/>
          <w:sz w:val="28"/>
          <w:szCs w:val="28"/>
        </w:rPr>
      </w:pPr>
      <w:r w:rsidRPr="007429EC">
        <w:rPr>
          <w:b/>
          <w:bCs/>
          <w:sz w:val="28"/>
          <w:szCs w:val="28"/>
        </w:rPr>
        <w:t xml:space="preserve">RELATIONS </w:t>
      </w:r>
      <w:r w:rsidR="008422E7" w:rsidRPr="007429EC">
        <w:rPr>
          <w:b/>
          <w:bCs/>
          <w:sz w:val="28"/>
          <w:szCs w:val="28"/>
        </w:rPr>
        <w:t>AND</w:t>
      </w:r>
      <w:r w:rsidRPr="007429EC">
        <w:rPr>
          <w:b/>
          <w:bCs/>
          <w:sz w:val="28"/>
          <w:szCs w:val="28"/>
        </w:rPr>
        <w:t xml:space="preserve"> CO</w:t>
      </w:r>
      <w:r w:rsidR="00A84D93" w:rsidRPr="007429EC">
        <w:rPr>
          <w:b/>
          <w:bCs/>
          <w:sz w:val="28"/>
          <w:szCs w:val="28"/>
        </w:rPr>
        <w:t>-</w:t>
      </w:r>
      <w:r w:rsidRPr="007429EC">
        <w:rPr>
          <w:b/>
          <w:bCs/>
          <w:sz w:val="28"/>
          <w:szCs w:val="28"/>
        </w:rPr>
        <w:t>OPERATION</w:t>
      </w:r>
      <w:r w:rsidRPr="007429EC">
        <w:rPr>
          <w:b/>
          <w:bCs/>
          <w:sz w:val="28"/>
          <w:szCs w:val="28"/>
        </w:rPr>
        <w:tab/>
      </w:r>
      <w:r w:rsidRPr="007429EC">
        <w:rPr>
          <w:b/>
          <w:bCs/>
          <w:sz w:val="28"/>
          <w:szCs w:val="28"/>
        </w:rPr>
        <w:tab/>
      </w:r>
      <w:r w:rsidRPr="007429EC">
        <w:rPr>
          <w:b/>
          <w:bCs/>
          <w:sz w:val="28"/>
          <w:szCs w:val="28"/>
        </w:rPr>
        <w:tab/>
        <w:t>SECOND APPELLANT</w:t>
      </w:r>
    </w:p>
    <w:p w14:paraId="6C194795" w14:textId="37549582" w:rsidR="00D90F90" w:rsidRPr="007429EC" w:rsidRDefault="00D90F90" w:rsidP="00290EDF">
      <w:pPr>
        <w:spacing w:line="312" w:lineRule="auto"/>
        <w:ind w:right="-180"/>
        <w:rPr>
          <w:b/>
          <w:bCs/>
          <w:sz w:val="28"/>
          <w:szCs w:val="28"/>
        </w:rPr>
      </w:pPr>
      <w:r w:rsidRPr="007429EC">
        <w:rPr>
          <w:b/>
          <w:bCs/>
          <w:sz w:val="28"/>
          <w:szCs w:val="28"/>
        </w:rPr>
        <w:t>DEPARTMENT OF INTERNATIONAL</w:t>
      </w:r>
    </w:p>
    <w:p w14:paraId="20DC1D16" w14:textId="3023EF54" w:rsidR="00D90F90" w:rsidRPr="007429EC" w:rsidRDefault="00D90F90" w:rsidP="00290EDF">
      <w:pPr>
        <w:spacing w:line="312" w:lineRule="auto"/>
        <w:ind w:right="-180"/>
        <w:rPr>
          <w:b/>
          <w:bCs/>
          <w:sz w:val="28"/>
          <w:szCs w:val="28"/>
        </w:rPr>
      </w:pPr>
      <w:r w:rsidRPr="007429EC">
        <w:rPr>
          <w:b/>
          <w:bCs/>
          <w:sz w:val="28"/>
          <w:szCs w:val="28"/>
        </w:rPr>
        <w:t xml:space="preserve">RELATIONS </w:t>
      </w:r>
      <w:r w:rsidR="008422E7" w:rsidRPr="007429EC">
        <w:rPr>
          <w:b/>
          <w:bCs/>
          <w:sz w:val="28"/>
          <w:szCs w:val="28"/>
        </w:rPr>
        <w:t>AND</w:t>
      </w:r>
      <w:r w:rsidRPr="007429EC">
        <w:rPr>
          <w:b/>
          <w:bCs/>
          <w:sz w:val="28"/>
          <w:szCs w:val="28"/>
        </w:rPr>
        <w:t xml:space="preserve"> CO</w:t>
      </w:r>
      <w:r w:rsidR="00A84D93" w:rsidRPr="007429EC">
        <w:rPr>
          <w:b/>
          <w:bCs/>
          <w:sz w:val="28"/>
          <w:szCs w:val="28"/>
        </w:rPr>
        <w:t>-</w:t>
      </w:r>
      <w:r w:rsidRPr="007429EC">
        <w:rPr>
          <w:b/>
          <w:bCs/>
          <w:sz w:val="28"/>
          <w:szCs w:val="28"/>
        </w:rPr>
        <w:t>OPERATION</w:t>
      </w:r>
      <w:r w:rsidRPr="007429EC">
        <w:rPr>
          <w:b/>
          <w:bCs/>
          <w:sz w:val="28"/>
          <w:szCs w:val="28"/>
        </w:rPr>
        <w:tab/>
      </w:r>
      <w:r w:rsidRPr="007429EC">
        <w:rPr>
          <w:b/>
          <w:bCs/>
          <w:sz w:val="28"/>
          <w:szCs w:val="28"/>
        </w:rPr>
        <w:tab/>
      </w:r>
      <w:r w:rsidRPr="007429EC">
        <w:rPr>
          <w:b/>
          <w:bCs/>
          <w:sz w:val="28"/>
          <w:szCs w:val="28"/>
        </w:rPr>
        <w:tab/>
        <w:t xml:space="preserve">   THIRD APPELLANT</w:t>
      </w:r>
    </w:p>
    <w:p w14:paraId="2C26B688" w14:textId="77777777" w:rsidR="009B7AEA" w:rsidRPr="007429EC" w:rsidRDefault="009B7AEA" w:rsidP="00607DB2">
      <w:pPr>
        <w:spacing w:before="120" w:after="120" w:line="312" w:lineRule="auto"/>
        <w:rPr>
          <w:b/>
          <w:bCs/>
          <w:sz w:val="28"/>
          <w:szCs w:val="28"/>
        </w:rPr>
      </w:pPr>
    </w:p>
    <w:p w14:paraId="17F42577" w14:textId="3F55B8B9" w:rsidR="008B223B" w:rsidRPr="007429EC" w:rsidRDefault="009B7AEA" w:rsidP="00290EDF">
      <w:pPr>
        <w:spacing w:line="312" w:lineRule="auto"/>
        <w:rPr>
          <w:bCs/>
          <w:sz w:val="28"/>
          <w:szCs w:val="28"/>
        </w:rPr>
      </w:pPr>
      <w:r w:rsidRPr="007429EC">
        <w:rPr>
          <w:bCs/>
          <w:sz w:val="28"/>
          <w:szCs w:val="28"/>
        </w:rPr>
        <w:t>a</w:t>
      </w:r>
      <w:r w:rsidR="00322A94" w:rsidRPr="007429EC">
        <w:rPr>
          <w:bCs/>
          <w:sz w:val="28"/>
          <w:szCs w:val="28"/>
        </w:rPr>
        <w:t>nd</w:t>
      </w:r>
    </w:p>
    <w:p w14:paraId="6B605211" w14:textId="77777777" w:rsidR="009B7AEA" w:rsidRPr="007429EC" w:rsidRDefault="009B7AEA" w:rsidP="00607DB2">
      <w:pPr>
        <w:spacing w:before="120" w:after="120" w:line="312" w:lineRule="auto"/>
        <w:rPr>
          <w:bCs/>
          <w:sz w:val="28"/>
          <w:szCs w:val="28"/>
        </w:rPr>
      </w:pPr>
    </w:p>
    <w:p w14:paraId="5E1A92FA" w14:textId="3D6B1C88" w:rsidR="009B7AEA" w:rsidRPr="007429EC" w:rsidRDefault="00D90F90" w:rsidP="00290EDF">
      <w:pPr>
        <w:spacing w:line="312" w:lineRule="auto"/>
        <w:rPr>
          <w:b/>
          <w:bCs/>
          <w:sz w:val="28"/>
          <w:szCs w:val="28"/>
          <w:lang w:val="en-ZA"/>
        </w:rPr>
      </w:pPr>
      <w:r w:rsidRPr="007429EC">
        <w:rPr>
          <w:b/>
          <w:bCs/>
          <w:sz w:val="28"/>
          <w:szCs w:val="28"/>
          <w:lang w:val="en-ZA"/>
        </w:rPr>
        <w:t>SIMEKA GROUP (PTY) LTD</w:t>
      </w:r>
      <w:r w:rsidR="008121DC" w:rsidRPr="007429EC">
        <w:rPr>
          <w:b/>
          <w:bCs/>
          <w:sz w:val="28"/>
          <w:szCs w:val="28"/>
          <w:lang w:val="en-ZA"/>
        </w:rPr>
        <w:tab/>
      </w:r>
      <w:r w:rsidR="008121DC" w:rsidRPr="007429EC">
        <w:rPr>
          <w:b/>
          <w:bCs/>
          <w:sz w:val="28"/>
          <w:szCs w:val="28"/>
          <w:lang w:val="en-ZA"/>
        </w:rPr>
        <w:tab/>
      </w:r>
      <w:r w:rsidR="00A07C63" w:rsidRPr="007429EC">
        <w:rPr>
          <w:b/>
          <w:bCs/>
          <w:sz w:val="28"/>
          <w:szCs w:val="28"/>
        </w:rPr>
        <w:tab/>
      </w:r>
      <w:r w:rsidRPr="007429EC">
        <w:rPr>
          <w:b/>
          <w:bCs/>
          <w:sz w:val="28"/>
          <w:szCs w:val="28"/>
        </w:rPr>
        <w:t xml:space="preserve">         </w:t>
      </w:r>
      <w:r w:rsidR="009B7AEA" w:rsidRPr="007429EC">
        <w:rPr>
          <w:b/>
          <w:bCs/>
          <w:sz w:val="28"/>
          <w:szCs w:val="28"/>
        </w:rPr>
        <w:t xml:space="preserve">  </w:t>
      </w:r>
      <w:r w:rsidRPr="007429EC">
        <w:rPr>
          <w:b/>
          <w:bCs/>
          <w:sz w:val="28"/>
          <w:szCs w:val="28"/>
        </w:rPr>
        <w:t>FIRST</w:t>
      </w:r>
      <w:r w:rsidR="009B7AEA" w:rsidRPr="007429EC">
        <w:rPr>
          <w:b/>
          <w:bCs/>
          <w:sz w:val="28"/>
          <w:szCs w:val="28"/>
        </w:rPr>
        <w:t xml:space="preserve"> </w:t>
      </w:r>
      <w:r w:rsidR="00322A94" w:rsidRPr="007429EC">
        <w:rPr>
          <w:b/>
          <w:bCs/>
          <w:sz w:val="28"/>
          <w:szCs w:val="28"/>
        </w:rPr>
        <w:t>RESPONDENT</w:t>
      </w:r>
    </w:p>
    <w:p w14:paraId="1281FC56" w14:textId="48BBC7E7" w:rsidR="00D90F90" w:rsidRPr="007429EC" w:rsidRDefault="002D0125" w:rsidP="00290EDF">
      <w:pPr>
        <w:spacing w:line="312" w:lineRule="auto"/>
        <w:rPr>
          <w:b/>
          <w:bCs/>
          <w:sz w:val="28"/>
          <w:szCs w:val="28"/>
        </w:rPr>
      </w:pPr>
      <w:r w:rsidRPr="007429EC">
        <w:rPr>
          <w:b/>
          <w:bCs/>
          <w:sz w:val="28"/>
          <w:szCs w:val="28"/>
        </w:rPr>
        <w:t>REGIMENTS</w:t>
      </w:r>
      <w:r w:rsidR="00D90F90" w:rsidRPr="007429EC">
        <w:rPr>
          <w:b/>
          <w:bCs/>
          <w:sz w:val="28"/>
          <w:szCs w:val="28"/>
        </w:rPr>
        <w:t xml:space="preserve"> CAPITAL (PTY) LTD</w:t>
      </w:r>
      <w:r w:rsidR="008121DC" w:rsidRPr="007429EC">
        <w:rPr>
          <w:b/>
          <w:bCs/>
          <w:sz w:val="28"/>
          <w:szCs w:val="28"/>
        </w:rPr>
        <w:tab/>
      </w:r>
      <w:r w:rsidR="00D90F90" w:rsidRPr="007429EC">
        <w:rPr>
          <w:b/>
          <w:bCs/>
          <w:sz w:val="28"/>
          <w:szCs w:val="28"/>
        </w:rPr>
        <w:tab/>
        <w:t xml:space="preserve">      SECOND RESPONDENT</w:t>
      </w:r>
    </w:p>
    <w:p w14:paraId="3C0E40A2" w14:textId="73ADCA43" w:rsidR="00D90F90" w:rsidRPr="007429EC" w:rsidRDefault="00D90F90" w:rsidP="00290EDF">
      <w:pPr>
        <w:spacing w:line="312" w:lineRule="auto"/>
        <w:rPr>
          <w:b/>
          <w:bCs/>
          <w:sz w:val="28"/>
          <w:szCs w:val="28"/>
        </w:rPr>
      </w:pPr>
      <w:r w:rsidRPr="007429EC">
        <w:rPr>
          <w:b/>
          <w:bCs/>
          <w:sz w:val="28"/>
          <w:szCs w:val="28"/>
        </w:rPr>
        <w:t>LEMASCENE (PTY) LTD</w:t>
      </w:r>
      <w:r w:rsidR="008121DC" w:rsidRPr="007429EC">
        <w:rPr>
          <w:b/>
          <w:bCs/>
          <w:sz w:val="28"/>
          <w:szCs w:val="28"/>
        </w:rPr>
        <w:tab/>
      </w:r>
      <w:r w:rsidR="008121DC" w:rsidRPr="007429EC">
        <w:rPr>
          <w:b/>
          <w:bCs/>
          <w:sz w:val="28"/>
          <w:szCs w:val="28"/>
        </w:rPr>
        <w:tab/>
      </w:r>
      <w:r w:rsidR="008121DC" w:rsidRPr="007429EC">
        <w:rPr>
          <w:b/>
          <w:bCs/>
          <w:sz w:val="28"/>
          <w:szCs w:val="28"/>
        </w:rPr>
        <w:tab/>
      </w:r>
      <w:r w:rsidRPr="007429EC">
        <w:rPr>
          <w:b/>
          <w:bCs/>
          <w:sz w:val="28"/>
          <w:szCs w:val="28"/>
        </w:rPr>
        <w:tab/>
        <w:t xml:space="preserve">          THIRD RESPONDENT</w:t>
      </w:r>
    </w:p>
    <w:p w14:paraId="21CAC3BC" w14:textId="7588B4A5" w:rsidR="008D2692" w:rsidRPr="007429EC" w:rsidRDefault="008D2692" w:rsidP="00290EDF">
      <w:pPr>
        <w:spacing w:line="312" w:lineRule="auto"/>
        <w:rPr>
          <w:b/>
          <w:bCs/>
          <w:sz w:val="28"/>
          <w:szCs w:val="28"/>
        </w:rPr>
      </w:pPr>
      <w:r w:rsidRPr="007429EC">
        <w:rPr>
          <w:b/>
          <w:bCs/>
          <w:sz w:val="28"/>
          <w:szCs w:val="28"/>
        </w:rPr>
        <w:t>SERENDIPITY INVESTMENTS SA LLC</w:t>
      </w:r>
      <w:r w:rsidRPr="007429EC">
        <w:rPr>
          <w:b/>
          <w:bCs/>
          <w:sz w:val="28"/>
          <w:szCs w:val="28"/>
        </w:rPr>
        <w:tab/>
        <w:t xml:space="preserve">      FOURTH RESPONDENT</w:t>
      </w:r>
    </w:p>
    <w:p w14:paraId="3785B299" w14:textId="4D5049E4" w:rsidR="008D2692" w:rsidRPr="007429EC" w:rsidRDefault="008D2692" w:rsidP="00290EDF">
      <w:pPr>
        <w:spacing w:line="312" w:lineRule="auto"/>
        <w:rPr>
          <w:b/>
          <w:bCs/>
          <w:sz w:val="28"/>
          <w:szCs w:val="28"/>
        </w:rPr>
      </w:pPr>
      <w:r w:rsidRPr="007429EC">
        <w:rPr>
          <w:b/>
          <w:bCs/>
          <w:sz w:val="28"/>
          <w:szCs w:val="28"/>
        </w:rPr>
        <w:t>SIMEKA INVESTMENT GROUP (PTY) LTD</w:t>
      </w:r>
      <w:r w:rsidR="008121DC" w:rsidRPr="007429EC">
        <w:rPr>
          <w:b/>
          <w:bCs/>
          <w:sz w:val="28"/>
          <w:szCs w:val="28"/>
        </w:rPr>
        <w:tab/>
      </w:r>
      <w:r w:rsidRPr="007429EC">
        <w:rPr>
          <w:b/>
          <w:bCs/>
          <w:sz w:val="28"/>
          <w:szCs w:val="28"/>
        </w:rPr>
        <w:tab/>
        <w:t>FIFTH RESPONDENT</w:t>
      </w:r>
    </w:p>
    <w:p w14:paraId="277F9A45" w14:textId="3B25EDFD" w:rsidR="008B223B" w:rsidRPr="007429EC" w:rsidRDefault="008B223B" w:rsidP="00896C95">
      <w:pPr>
        <w:rPr>
          <w:b/>
          <w:bCs/>
          <w:sz w:val="28"/>
          <w:szCs w:val="28"/>
        </w:rPr>
      </w:pPr>
    </w:p>
    <w:p w14:paraId="654E1EB5" w14:textId="5F8B7C5B" w:rsidR="008B223B" w:rsidRPr="007429EC" w:rsidRDefault="00322A94" w:rsidP="00607DB2">
      <w:pPr>
        <w:ind w:left="2160" w:hanging="2160"/>
        <w:rPr>
          <w:sz w:val="28"/>
          <w:szCs w:val="28"/>
        </w:rPr>
      </w:pPr>
      <w:r w:rsidRPr="007429EC">
        <w:rPr>
          <w:b/>
          <w:bCs/>
          <w:sz w:val="28"/>
          <w:szCs w:val="28"/>
        </w:rPr>
        <w:lastRenderedPageBreak/>
        <w:t>Neutral citation:</w:t>
      </w:r>
      <w:r w:rsidRPr="007429EC">
        <w:rPr>
          <w:b/>
          <w:bCs/>
          <w:sz w:val="28"/>
          <w:szCs w:val="28"/>
        </w:rPr>
        <w:tab/>
      </w:r>
      <w:r w:rsidR="008D2692" w:rsidRPr="007429EC">
        <w:rPr>
          <w:bCs/>
          <w:i/>
          <w:sz w:val="28"/>
          <w:szCs w:val="28"/>
          <w:lang w:val="en-ZA"/>
        </w:rPr>
        <w:t>Minister of International Relations and Co-operation and Others v Simeka Group (Pty) Ltd and Others</w:t>
      </w:r>
      <w:r w:rsidR="00E61EEC" w:rsidRPr="007429EC">
        <w:rPr>
          <w:b/>
          <w:bCs/>
          <w:sz w:val="28"/>
          <w:szCs w:val="28"/>
        </w:rPr>
        <w:t xml:space="preserve"> </w:t>
      </w:r>
      <w:r w:rsidR="000F7BBF" w:rsidRPr="007429EC">
        <w:rPr>
          <w:bCs/>
          <w:sz w:val="28"/>
          <w:szCs w:val="28"/>
        </w:rPr>
        <w:t>(</w:t>
      </w:r>
      <w:r w:rsidR="008D2692" w:rsidRPr="007429EC">
        <w:rPr>
          <w:bCs/>
          <w:sz w:val="28"/>
          <w:szCs w:val="28"/>
          <w:lang w:val="en-ZA"/>
        </w:rPr>
        <w:t>610/2021</w:t>
      </w:r>
      <w:r w:rsidRPr="007429EC">
        <w:rPr>
          <w:bCs/>
          <w:sz w:val="28"/>
          <w:szCs w:val="28"/>
        </w:rPr>
        <w:t>) [202</w:t>
      </w:r>
      <w:r w:rsidR="00851231" w:rsidRPr="007429EC">
        <w:rPr>
          <w:bCs/>
          <w:sz w:val="28"/>
          <w:szCs w:val="28"/>
        </w:rPr>
        <w:t>3</w:t>
      </w:r>
      <w:r w:rsidRPr="007429EC">
        <w:rPr>
          <w:bCs/>
          <w:sz w:val="28"/>
          <w:szCs w:val="28"/>
        </w:rPr>
        <w:t xml:space="preserve">] ZASCA </w:t>
      </w:r>
      <w:r w:rsidR="00757539">
        <w:rPr>
          <w:bCs/>
          <w:sz w:val="28"/>
          <w:szCs w:val="28"/>
        </w:rPr>
        <w:t>98</w:t>
      </w:r>
      <w:r w:rsidRPr="007429EC">
        <w:rPr>
          <w:bCs/>
          <w:sz w:val="28"/>
          <w:szCs w:val="28"/>
        </w:rPr>
        <w:t xml:space="preserve"> (</w:t>
      </w:r>
      <w:r w:rsidR="00DB131F">
        <w:rPr>
          <w:bCs/>
          <w:sz w:val="28"/>
          <w:szCs w:val="28"/>
        </w:rPr>
        <w:t>14</w:t>
      </w:r>
      <w:r w:rsidR="002949B6" w:rsidRPr="007429EC">
        <w:rPr>
          <w:bCs/>
          <w:sz w:val="28"/>
          <w:szCs w:val="28"/>
        </w:rPr>
        <w:t xml:space="preserve"> </w:t>
      </w:r>
      <w:r w:rsidR="00A84D93" w:rsidRPr="007429EC">
        <w:rPr>
          <w:bCs/>
          <w:sz w:val="28"/>
          <w:szCs w:val="28"/>
        </w:rPr>
        <w:t>June</w:t>
      </w:r>
      <w:r w:rsidR="002949B6" w:rsidRPr="007429EC">
        <w:rPr>
          <w:bCs/>
          <w:sz w:val="28"/>
          <w:szCs w:val="28"/>
        </w:rPr>
        <w:t xml:space="preserve"> 202</w:t>
      </w:r>
      <w:r w:rsidR="00851231" w:rsidRPr="007429EC">
        <w:rPr>
          <w:bCs/>
          <w:sz w:val="28"/>
          <w:szCs w:val="28"/>
        </w:rPr>
        <w:t>3</w:t>
      </w:r>
      <w:r w:rsidRPr="007429EC">
        <w:rPr>
          <w:bCs/>
          <w:sz w:val="28"/>
          <w:szCs w:val="28"/>
        </w:rPr>
        <w:t>)</w:t>
      </w:r>
    </w:p>
    <w:p w14:paraId="00FCF733" w14:textId="26C681A2" w:rsidR="008B223B" w:rsidRPr="007429EC" w:rsidRDefault="00322A94" w:rsidP="00607DB2">
      <w:pPr>
        <w:ind w:left="1440" w:hanging="1440"/>
        <w:rPr>
          <w:sz w:val="28"/>
          <w:szCs w:val="28"/>
          <w:lang w:val="en-ZA"/>
        </w:rPr>
      </w:pPr>
      <w:r w:rsidRPr="007429EC">
        <w:rPr>
          <w:b/>
          <w:bCs/>
          <w:sz w:val="28"/>
          <w:szCs w:val="28"/>
        </w:rPr>
        <w:t>Coram:</w:t>
      </w:r>
      <w:r w:rsidR="00996D5D" w:rsidRPr="007429EC">
        <w:rPr>
          <w:sz w:val="28"/>
          <w:szCs w:val="28"/>
        </w:rPr>
        <w:tab/>
        <w:t xml:space="preserve">PETSE </w:t>
      </w:r>
      <w:r w:rsidR="008C5A05" w:rsidRPr="007429EC">
        <w:rPr>
          <w:sz w:val="28"/>
          <w:szCs w:val="28"/>
        </w:rPr>
        <w:t>DP</w:t>
      </w:r>
      <w:r w:rsidRPr="007429EC">
        <w:rPr>
          <w:sz w:val="28"/>
          <w:szCs w:val="28"/>
        </w:rPr>
        <w:t xml:space="preserve"> and </w:t>
      </w:r>
      <w:r w:rsidR="008C5A05" w:rsidRPr="007429EC">
        <w:rPr>
          <w:sz w:val="28"/>
          <w:szCs w:val="28"/>
          <w:lang w:val="en-ZA"/>
        </w:rPr>
        <w:t>MAKGOKA</w:t>
      </w:r>
      <w:r w:rsidR="00851231" w:rsidRPr="007429EC">
        <w:rPr>
          <w:sz w:val="28"/>
          <w:szCs w:val="28"/>
          <w:lang w:val="en-ZA"/>
        </w:rPr>
        <w:t xml:space="preserve"> and </w:t>
      </w:r>
      <w:r w:rsidR="008C5A05" w:rsidRPr="007429EC">
        <w:rPr>
          <w:sz w:val="28"/>
          <w:szCs w:val="28"/>
          <w:lang w:val="en-ZA"/>
        </w:rPr>
        <w:t>MOTHLE</w:t>
      </w:r>
      <w:r w:rsidR="00851231" w:rsidRPr="007429EC">
        <w:rPr>
          <w:sz w:val="28"/>
          <w:szCs w:val="28"/>
          <w:lang w:val="en-ZA"/>
        </w:rPr>
        <w:t xml:space="preserve"> JJA and </w:t>
      </w:r>
      <w:r w:rsidR="008C5A05" w:rsidRPr="007429EC">
        <w:rPr>
          <w:sz w:val="28"/>
          <w:szCs w:val="28"/>
          <w:lang w:val="en-ZA"/>
        </w:rPr>
        <w:t>KGOELE</w:t>
      </w:r>
      <w:r w:rsidR="00851231" w:rsidRPr="007429EC">
        <w:rPr>
          <w:sz w:val="28"/>
          <w:szCs w:val="28"/>
          <w:lang w:val="en-ZA"/>
        </w:rPr>
        <w:t xml:space="preserve"> and </w:t>
      </w:r>
      <w:r w:rsidR="008C5A05" w:rsidRPr="007429EC">
        <w:rPr>
          <w:sz w:val="28"/>
          <w:szCs w:val="28"/>
          <w:lang w:val="en-ZA"/>
        </w:rPr>
        <w:t>WINDELL</w:t>
      </w:r>
      <w:r w:rsidR="00851231" w:rsidRPr="007429EC">
        <w:rPr>
          <w:sz w:val="28"/>
          <w:szCs w:val="28"/>
          <w:lang w:val="en-ZA"/>
        </w:rPr>
        <w:t xml:space="preserve"> AJJA</w:t>
      </w:r>
    </w:p>
    <w:p w14:paraId="03A41328" w14:textId="0FA80DDC" w:rsidR="008B223B" w:rsidRPr="007429EC" w:rsidRDefault="00322A94" w:rsidP="00607DB2">
      <w:pPr>
        <w:rPr>
          <w:sz w:val="28"/>
          <w:szCs w:val="28"/>
          <w:lang w:val="en-ZA"/>
        </w:rPr>
      </w:pPr>
      <w:r w:rsidRPr="007429EC">
        <w:rPr>
          <w:b/>
          <w:bCs/>
          <w:sz w:val="28"/>
          <w:szCs w:val="28"/>
        </w:rPr>
        <w:t>Heard</w:t>
      </w:r>
      <w:r w:rsidRPr="007429EC">
        <w:rPr>
          <w:b/>
          <w:sz w:val="28"/>
          <w:szCs w:val="28"/>
        </w:rPr>
        <w:t>:</w:t>
      </w:r>
      <w:r w:rsidRPr="007429EC">
        <w:rPr>
          <w:sz w:val="28"/>
          <w:szCs w:val="28"/>
        </w:rPr>
        <w:tab/>
      </w:r>
      <w:r w:rsidR="008D2692" w:rsidRPr="007429EC">
        <w:rPr>
          <w:sz w:val="28"/>
          <w:szCs w:val="28"/>
          <w:lang w:val="en-ZA"/>
        </w:rPr>
        <w:t>16 August 2022</w:t>
      </w:r>
    </w:p>
    <w:p w14:paraId="6D35D6C6" w14:textId="6EB5003D" w:rsidR="00AE6F17" w:rsidRPr="007429EC" w:rsidRDefault="00322A94" w:rsidP="00607DB2">
      <w:pPr>
        <w:rPr>
          <w:sz w:val="28"/>
          <w:szCs w:val="28"/>
          <w:lang w:val="en-ZA"/>
        </w:rPr>
      </w:pPr>
      <w:r w:rsidRPr="007429EC">
        <w:rPr>
          <w:b/>
          <w:bCs/>
          <w:sz w:val="28"/>
          <w:szCs w:val="28"/>
        </w:rPr>
        <w:t>Delivered</w:t>
      </w:r>
      <w:r w:rsidRPr="007429EC">
        <w:rPr>
          <w:b/>
          <w:sz w:val="28"/>
          <w:szCs w:val="28"/>
        </w:rPr>
        <w:t>:</w:t>
      </w:r>
      <w:r w:rsidRPr="007429EC">
        <w:rPr>
          <w:sz w:val="28"/>
          <w:szCs w:val="28"/>
        </w:rPr>
        <w:tab/>
      </w:r>
      <w:r w:rsidR="00DB131F">
        <w:rPr>
          <w:sz w:val="28"/>
          <w:szCs w:val="28"/>
          <w:lang w:val="en-ZA"/>
        </w:rPr>
        <w:t>14</w:t>
      </w:r>
      <w:r w:rsidR="000F7BBF" w:rsidRPr="007429EC">
        <w:rPr>
          <w:sz w:val="28"/>
          <w:szCs w:val="28"/>
          <w:lang w:val="en-ZA"/>
        </w:rPr>
        <w:t xml:space="preserve"> </w:t>
      </w:r>
      <w:r w:rsidR="006F4697">
        <w:rPr>
          <w:sz w:val="28"/>
          <w:szCs w:val="28"/>
          <w:lang w:val="en-ZA"/>
        </w:rPr>
        <w:t>June</w:t>
      </w:r>
      <w:r w:rsidR="00AE6F17" w:rsidRPr="007429EC">
        <w:rPr>
          <w:sz w:val="28"/>
          <w:szCs w:val="28"/>
          <w:lang w:val="en-ZA"/>
        </w:rPr>
        <w:t xml:space="preserve"> 2023</w:t>
      </w:r>
    </w:p>
    <w:p w14:paraId="62FB14EF" w14:textId="41D0B514" w:rsidR="008B223B" w:rsidRPr="007429EC" w:rsidRDefault="008422E7" w:rsidP="00607DB2">
      <w:pPr>
        <w:rPr>
          <w:sz w:val="28"/>
          <w:szCs w:val="28"/>
          <w:lang w:val="en-ZA"/>
        </w:rPr>
      </w:pPr>
      <w:bookmarkStart w:id="1" w:name="_Hlk125451876"/>
      <w:r w:rsidRPr="007429EC">
        <w:rPr>
          <w:b/>
          <w:bCs/>
          <w:sz w:val="28"/>
          <w:szCs w:val="28"/>
        </w:rPr>
        <w:t>Summary:</w:t>
      </w:r>
      <w:r w:rsidRPr="007429EC">
        <w:rPr>
          <w:b/>
          <w:bCs/>
          <w:sz w:val="28"/>
          <w:szCs w:val="28"/>
        </w:rPr>
        <w:tab/>
      </w:r>
      <w:r w:rsidR="0041688F" w:rsidRPr="007429EC">
        <w:rPr>
          <w:sz w:val="28"/>
          <w:szCs w:val="28"/>
          <w:lang w:val="en-ZA"/>
        </w:rPr>
        <w:t xml:space="preserve">Constitutional and administrative law – procurement process – legality review – self-review by </w:t>
      </w:r>
      <w:r w:rsidR="0025450F" w:rsidRPr="007429EC">
        <w:rPr>
          <w:sz w:val="28"/>
          <w:szCs w:val="28"/>
          <w:lang w:val="en-ZA"/>
        </w:rPr>
        <w:t xml:space="preserve">an </w:t>
      </w:r>
      <w:r w:rsidR="0041688F" w:rsidRPr="007429EC">
        <w:rPr>
          <w:sz w:val="28"/>
          <w:szCs w:val="28"/>
          <w:lang w:val="en-ZA"/>
        </w:rPr>
        <w:t>organ of stat</w:t>
      </w:r>
      <w:r w:rsidR="00A4768D" w:rsidRPr="007429EC">
        <w:rPr>
          <w:sz w:val="28"/>
          <w:szCs w:val="28"/>
          <w:lang w:val="en-ZA"/>
        </w:rPr>
        <w:t>e</w:t>
      </w:r>
      <w:r w:rsidR="0041688F" w:rsidRPr="007429EC">
        <w:rPr>
          <w:sz w:val="28"/>
          <w:szCs w:val="28"/>
          <w:lang w:val="en-ZA"/>
        </w:rPr>
        <w:t xml:space="preserve"> – proper approach to establish whether irregularities occurred as a matter of fact –</w:t>
      </w:r>
      <w:r w:rsidR="00A84D93" w:rsidRPr="007429EC">
        <w:rPr>
          <w:sz w:val="28"/>
          <w:szCs w:val="28"/>
          <w:lang w:val="en-ZA"/>
        </w:rPr>
        <w:t xml:space="preserve"> </w:t>
      </w:r>
      <w:r w:rsidR="0041688F" w:rsidRPr="007429EC">
        <w:rPr>
          <w:sz w:val="28"/>
          <w:szCs w:val="28"/>
          <w:lang w:val="en-ZA"/>
        </w:rPr>
        <w:t>evaluation whether irregularities constitute tenable grounds of review – determination of whether there had been deviation from procurement prescripts and, if established, the materiality of such deviation from legal requirements of procurement process – determination of whether the manifest purpose sought to be served by the procurement process had been substantially accomplished.</w:t>
      </w:r>
    </w:p>
    <w:p w14:paraId="46164C9F" w14:textId="77777777" w:rsidR="0041688F" w:rsidRPr="007429EC" w:rsidRDefault="0041688F" w:rsidP="004D5C8A">
      <w:pPr>
        <w:rPr>
          <w:bCs/>
          <w:sz w:val="28"/>
          <w:szCs w:val="28"/>
          <w:lang w:val="en-ZA"/>
        </w:rPr>
      </w:pPr>
    </w:p>
    <w:p w14:paraId="213C976B" w14:textId="47F70E0B" w:rsidR="0041688F" w:rsidRPr="007429EC" w:rsidRDefault="0041688F" w:rsidP="004D5C8A">
      <w:pPr>
        <w:rPr>
          <w:bCs/>
          <w:sz w:val="28"/>
          <w:szCs w:val="28"/>
          <w:lang w:val="en-ZA"/>
        </w:rPr>
      </w:pPr>
      <w:r w:rsidRPr="007429EC">
        <w:rPr>
          <w:bCs/>
          <w:sz w:val="28"/>
          <w:szCs w:val="28"/>
          <w:lang w:val="en-ZA"/>
        </w:rPr>
        <w:t>Delay in instituting a legality review – whether delay unreasonable and if so</w:t>
      </w:r>
      <w:r w:rsidR="008422E7" w:rsidRPr="007429EC">
        <w:rPr>
          <w:bCs/>
          <w:sz w:val="28"/>
          <w:szCs w:val="28"/>
          <w:lang w:val="en-ZA"/>
        </w:rPr>
        <w:t>,</w:t>
      </w:r>
      <w:r w:rsidRPr="007429EC">
        <w:rPr>
          <w:bCs/>
          <w:sz w:val="28"/>
          <w:szCs w:val="28"/>
          <w:lang w:val="en-ZA"/>
        </w:rPr>
        <w:t xml:space="preserve"> whether delay should nevertheless be condoned – legality self-review not subject to strictures of s 7(1) of Promotion of Administrative Justice Act 3 of 2000 – nevertheless legality self-review required to be instituted without unreasonable delay – whether delay is unreasonable is </w:t>
      </w:r>
      <w:r w:rsidR="0025450F" w:rsidRPr="007429EC">
        <w:rPr>
          <w:bCs/>
          <w:sz w:val="28"/>
          <w:szCs w:val="28"/>
          <w:lang w:val="en-ZA"/>
        </w:rPr>
        <w:t xml:space="preserve">a </w:t>
      </w:r>
      <w:r w:rsidRPr="007429EC">
        <w:rPr>
          <w:bCs/>
          <w:sz w:val="28"/>
          <w:szCs w:val="28"/>
          <w:lang w:val="en-ZA"/>
        </w:rPr>
        <w:t>question of fact – whether unreasonable delay should be condoned entails a value judgment dictated by constitutional values.</w:t>
      </w:r>
    </w:p>
    <w:bookmarkEnd w:id="1"/>
    <w:p w14:paraId="6B3421F2" w14:textId="1BD10291" w:rsidR="008B223B" w:rsidRPr="007429EC" w:rsidRDefault="00322A94" w:rsidP="003758EC">
      <w:pPr>
        <w:pBdr>
          <w:bottom w:val="single" w:sz="12" w:space="1" w:color="auto"/>
        </w:pBdr>
      </w:pPr>
      <w:r w:rsidRPr="007429EC">
        <w:rPr>
          <w:bCs/>
          <w:sz w:val="28"/>
          <w:szCs w:val="28"/>
        </w:rPr>
        <w:br w:type="page"/>
      </w:r>
    </w:p>
    <w:p w14:paraId="7DE69F43" w14:textId="6373E2F2" w:rsidR="004B15BC" w:rsidRPr="007429EC" w:rsidRDefault="008C3D1B">
      <w:pPr>
        <w:contextualSpacing/>
        <w:rPr>
          <w:b/>
          <w:bCs/>
          <w:sz w:val="28"/>
          <w:szCs w:val="28"/>
        </w:rPr>
      </w:pPr>
      <w:r>
        <w:rPr>
          <w:b/>
          <w:bCs/>
          <w:sz w:val="28"/>
          <w:szCs w:val="28"/>
        </w:rPr>
        <w:lastRenderedPageBreak/>
        <w:pict w14:anchorId="3C65F3C0">
          <v:rect id="_x0000_i1025" style="width:468pt;height:1.5pt" o:hralign="center" o:hrstd="t" o:hrnoshade="t" o:hr="t" fillcolor="black [3213]" stroked="f"/>
        </w:pict>
      </w:r>
    </w:p>
    <w:p w14:paraId="6FD6392D" w14:textId="7B7CE02A" w:rsidR="004B15BC" w:rsidRPr="007429EC" w:rsidRDefault="004B15BC" w:rsidP="004B15BC">
      <w:pPr>
        <w:spacing w:before="120"/>
        <w:contextualSpacing/>
        <w:jc w:val="center"/>
        <w:rPr>
          <w:b/>
          <w:bCs/>
          <w:sz w:val="28"/>
          <w:szCs w:val="28"/>
        </w:rPr>
      </w:pPr>
      <w:r w:rsidRPr="007429EC">
        <w:rPr>
          <w:b/>
          <w:bCs/>
          <w:sz w:val="28"/>
          <w:szCs w:val="28"/>
        </w:rPr>
        <w:t>ORDER</w:t>
      </w:r>
    </w:p>
    <w:p w14:paraId="085C5655" w14:textId="5CED9E8F" w:rsidR="004B15BC" w:rsidRPr="007429EC" w:rsidRDefault="008C3D1B">
      <w:pPr>
        <w:contextualSpacing/>
        <w:rPr>
          <w:b/>
          <w:bCs/>
          <w:sz w:val="28"/>
          <w:szCs w:val="28"/>
        </w:rPr>
      </w:pPr>
      <w:r>
        <w:rPr>
          <w:b/>
          <w:bCs/>
          <w:sz w:val="28"/>
          <w:szCs w:val="28"/>
        </w:rPr>
        <w:pict w14:anchorId="372D38ED">
          <v:rect id="_x0000_i1026" style="width:468pt;height:1.5pt" o:hralign="center" o:hrstd="t" o:hrnoshade="t" o:hr="t" fillcolor="black [3213]" stroked="f"/>
        </w:pict>
      </w:r>
    </w:p>
    <w:p w14:paraId="2CF8E7F2" w14:textId="2D7447A2" w:rsidR="008B223B" w:rsidRPr="007429EC" w:rsidRDefault="00322A94">
      <w:pPr>
        <w:contextualSpacing/>
        <w:rPr>
          <w:bCs/>
          <w:sz w:val="28"/>
          <w:szCs w:val="28"/>
        </w:rPr>
      </w:pPr>
      <w:r w:rsidRPr="007429EC">
        <w:rPr>
          <w:b/>
          <w:bCs/>
          <w:sz w:val="28"/>
          <w:szCs w:val="28"/>
        </w:rPr>
        <w:t xml:space="preserve">On appeal from: </w:t>
      </w:r>
      <w:r w:rsidR="00E06AB8" w:rsidRPr="007429EC">
        <w:rPr>
          <w:bCs/>
          <w:sz w:val="28"/>
          <w:szCs w:val="28"/>
        </w:rPr>
        <w:t>Gauteng</w:t>
      </w:r>
      <w:r w:rsidR="00B855A7" w:rsidRPr="007429EC">
        <w:rPr>
          <w:bCs/>
          <w:sz w:val="28"/>
          <w:szCs w:val="28"/>
          <w:lang w:val="en-ZA"/>
        </w:rPr>
        <w:t xml:space="preserve"> Division</w:t>
      </w:r>
      <w:r w:rsidRPr="007429EC">
        <w:rPr>
          <w:bCs/>
          <w:sz w:val="28"/>
          <w:szCs w:val="28"/>
        </w:rPr>
        <w:t xml:space="preserve"> of the High Court, </w:t>
      </w:r>
      <w:r w:rsidR="0041688F" w:rsidRPr="007429EC">
        <w:rPr>
          <w:bCs/>
          <w:sz w:val="28"/>
          <w:szCs w:val="28"/>
          <w:lang w:val="en-ZA"/>
        </w:rPr>
        <w:t>Pretoria</w:t>
      </w:r>
      <w:r w:rsidRPr="007429EC">
        <w:rPr>
          <w:bCs/>
          <w:sz w:val="28"/>
          <w:szCs w:val="28"/>
          <w:lang w:val="en-ZA"/>
        </w:rPr>
        <w:t xml:space="preserve"> </w:t>
      </w:r>
      <w:r w:rsidRPr="007429EC">
        <w:rPr>
          <w:bCs/>
          <w:sz w:val="28"/>
          <w:szCs w:val="28"/>
        </w:rPr>
        <w:t>(</w:t>
      </w:r>
      <w:r w:rsidR="0041688F" w:rsidRPr="007429EC">
        <w:rPr>
          <w:bCs/>
          <w:sz w:val="28"/>
          <w:szCs w:val="28"/>
          <w:lang w:val="en-ZA"/>
        </w:rPr>
        <w:t>Hughes J</w:t>
      </w:r>
      <w:r w:rsidRPr="007429EC">
        <w:rPr>
          <w:bCs/>
          <w:sz w:val="28"/>
          <w:szCs w:val="28"/>
        </w:rPr>
        <w:t>, sitting as court of first instance):</w:t>
      </w:r>
    </w:p>
    <w:p w14:paraId="6E6AE69B" w14:textId="6A39768C" w:rsidR="00E06AB8" w:rsidRPr="007429EC" w:rsidRDefault="0041688F" w:rsidP="0041688F">
      <w:pPr>
        <w:rPr>
          <w:bCs/>
          <w:sz w:val="28"/>
          <w:szCs w:val="10"/>
        </w:rPr>
      </w:pPr>
      <w:r w:rsidRPr="007429EC">
        <w:rPr>
          <w:bCs/>
          <w:sz w:val="28"/>
          <w:szCs w:val="10"/>
        </w:rPr>
        <w:t>1</w:t>
      </w:r>
      <w:r w:rsidRPr="007429EC">
        <w:rPr>
          <w:bCs/>
          <w:sz w:val="28"/>
          <w:szCs w:val="10"/>
        </w:rPr>
        <w:tab/>
        <w:t>The appeal is upheld with costs, including the costs of two counsel.</w:t>
      </w:r>
    </w:p>
    <w:p w14:paraId="6AC49DF1" w14:textId="296BBB8D" w:rsidR="0041688F" w:rsidRPr="007429EC" w:rsidRDefault="0041688F" w:rsidP="0041688F">
      <w:pPr>
        <w:rPr>
          <w:sz w:val="28"/>
        </w:rPr>
      </w:pPr>
      <w:r w:rsidRPr="007429EC">
        <w:rPr>
          <w:sz w:val="28"/>
        </w:rPr>
        <w:t>2</w:t>
      </w:r>
      <w:r w:rsidRPr="007429EC">
        <w:rPr>
          <w:sz w:val="28"/>
        </w:rPr>
        <w:tab/>
        <w:t>The order of the high court is set aside and in its place is substituted the following order:</w:t>
      </w:r>
    </w:p>
    <w:p w14:paraId="3AFD7B30" w14:textId="097FFF77" w:rsidR="0041688F" w:rsidRPr="007429EC" w:rsidRDefault="003B6577" w:rsidP="008422E7">
      <w:pPr>
        <w:ind w:firstLine="720"/>
        <w:rPr>
          <w:sz w:val="28"/>
        </w:rPr>
      </w:pPr>
      <w:r w:rsidRPr="007429EC">
        <w:rPr>
          <w:sz w:val="28"/>
        </w:rPr>
        <w:t>'</w:t>
      </w:r>
      <w:r w:rsidR="0041688F" w:rsidRPr="007429EC">
        <w:rPr>
          <w:sz w:val="28"/>
        </w:rPr>
        <w:t>1</w:t>
      </w:r>
      <w:r w:rsidR="0041688F" w:rsidRPr="007429EC">
        <w:rPr>
          <w:sz w:val="28"/>
        </w:rPr>
        <w:tab/>
        <w:t xml:space="preserve">The late institution of the application for </w:t>
      </w:r>
      <w:r w:rsidR="00ED5831" w:rsidRPr="007429EC">
        <w:rPr>
          <w:sz w:val="28"/>
        </w:rPr>
        <w:t xml:space="preserve">a </w:t>
      </w:r>
      <w:r w:rsidR="0041688F" w:rsidRPr="007429EC">
        <w:rPr>
          <w:sz w:val="28"/>
        </w:rPr>
        <w:t>legal</w:t>
      </w:r>
      <w:r w:rsidR="00ED5831" w:rsidRPr="007429EC">
        <w:rPr>
          <w:sz w:val="28"/>
        </w:rPr>
        <w:t>ity</w:t>
      </w:r>
      <w:r w:rsidR="0041688F" w:rsidRPr="007429EC">
        <w:rPr>
          <w:sz w:val="28"/>
        </w:rPr>
        <w:t xml:space="preserve"> review is condoned.</w:t>
      </w:r>
    </w:p>
    <w:p w14:paraId="4E4840EF" w14:textId="7E8C8835" w:rsidR="0041688F" w:rsidRPr="007429EC" w:rsidRDefault="0041688F" w:rsidP="008422E7">
      <w:pPr>
        <w:ind w:left="720"/>
        <w:rPr>
          <w:sz w:val="28"/>
        </w:rPr>
      </w:pPr>
      <w:r w:rsidRPr="007429EC">
        <w:rPr>
          <w:sz w:val="28"/>
        </w:rPr>
        <w:t>2</w:t>
      </w:r>
      <w:r w:rsidRPr="007429EC">
        <w:rPr>
          <w:sz w:val="28"/>
        </w:rPr>
        <w:tab/>
      </w:r>
      <w:r w:rsidR="00ED5831" w:rsidRPr="007429EC">
        <w:rPr>
          <w:sz w:val="28"/>
        </w:rPr>
        <w:t>T</w:t>
      </w:r>
      <w:r w:rsidRPr="007429EC">
        <w:rPr>
          <w:sz w:val="28"/>
        </w:rPr>
        <w:t xml:space="preserve">he award of the tender for the appointment of a development partner for the design, construction, operation, maintenance and financing of a suitable and sustainable office and residential accommodation for South African diplomatic missions in Manhattan, New York City, New York pursuant to a request for proposal </w:t>
      </w:r>
      <w:r w:rsidR="00AF3848" w:rsidRPr="007429EC">
        <w:rPr>
          <w:sz w:val="28"/>
        </w:rPr>
        <w:t>(</w:t>
      </w:r>
      <w:r w:rsidRPr="007429EC">
        <w:rPr>
          <w:sz w:val="28"/>
        </w:rPr>
        <w:t>DIRCO 10/2015/16</w:t>
      </w:r>
      <w:r w:rsidR="00AF3848" w:rsidRPr="007429EC">
        <w:rPr>
          <w:sz w:val="28"/>
        </w:rPr>
        <w:t>)</w:t>
      </w:r>
      <w:r w:rsidRPr="007429EC">
        <w:rPr>
          <w:sz w:val="28"/>
        </w:rPr>
        <w:t xml:space="preserve"> to the joint venture comprising Simeka Group (Pty) Ltd and </w:t>
      </w:r>
      <w:r w:rsidR="002D0125" w:rsidRPr="007429EC">
        <w:rPr>
          <w:sz w:val="28"/>
        </w:rPr>
        <w:t>Regiments</w:t>
      </w:r>
      <w:r w:rsidRPr="007429EC">
        <w:rPr>
          <w:sz w:val="28"/>
        </w:rPr>
        <w:t xml:space="preserve"> Capital (Pty) Ltd </w:t>
      </w:r>
      <w:r w:rsidR="00ED5831" w:rsidRPr="007429EC">
        <w:rPr>
          <w:sz w:val="28"/>
        </w:rPr>
        <w:t>is declared</w:t>
      </w:r>
      <w:r w:rsidRPr="007429EC">
        <w:rPr>
          <w:sz w:val="28"/>
        </w:rPr>
        <w:t xml:space="preserve"> constitutionally invalid and therefore unlawful.</w:t>
      </w:r>
    </w:p>
    <w:p w14:paraId="379075A3" w14:textId="7EBF8F29" w:rsidR="0041688F" w:rsidRPr="007429EC" w:rsidRDefault="0041688F" w:rsidP="008422E7">
      <w:pPr>
        <w:ind w:left="720"/>
        <w:rPr>
          <w:sz w:val="28"/>
        </w:rPr>
      </w:pPr>
      <w:r w:rsidRPr="007429EC">
        <w:rPr>
          <w:sz w:val="28"/>
        </w:rPr>
        <w:t>3</w:t>
      </w:r>
      <w:r w:rsidRPr="007429EC">
        <w:rPr>
          <w:sz w:val="28"/>
        </w:rPr>
        <w:tab/>
      </w:r>
      <w:r w:rsidR="00AF3848" w:rsidRPr="007429EC">
        <w:rPr>
          <w:sz w:val="28"/>
        </w:rPr>
        <w:t xml:space="preserve">The </w:t>
      </w:r>
      <w:r w:rsidR="00A84D93" w:rsidRPr="007429EC">
        <w:rPr>
          <w:sz w:val="28"/>
        </w:rPr>
        <w:t xml:space="preserve">award of the </w:t>
      </w:r>
      <w:r w:rsidR="00AF3848" w:rsidRPr="007429EC">
        <w:rPr>
          <w:sz w:val="28"/>
        </w:rPr>
        <w:t>tender referred to in paragraph 2 of this order is reviewed and set aside.</w:t>
      </w:r>
    </w:p>
    <w:p w14:paraId="705247C5" w14:textId="77777777" w:rsidR="00ED5831" w:rsidRPr="007429EC" w:rsidRDefault="00AF3848" w:rsidP="008422E7">
      <w:pPr>
        <w:ind w:left="720"/>
        <w:rPr>
          <w:sz w:val="28"/>
        </w:rPr>
      </w:pPr>
      <w:r w:rsidRPr="007429EC">
        <w:rPr>
          <w:sz w:val="28"/>
        </w:rPr>
        <w:t>4</w:t>
      </w:r>
      <w:r w:rsidRPr="007429EC">
        <w:rPr>
          <w:sz w:val="28"/>
        </w:rPr>
        <w:tab/>
        <w:t>The Project Management Agreement concluded between the Department of International Relations and Cooperation and Lemascene (Pty) Ltd pursuant to the award of the tender is declared to be of no legal force and effect, reviewed and set aside.</w:t>
      </w:r>
    </w:p>
    <w:p w14:paraId="34851189" w14:textId="34A00FF0" w:rsidR="00AF3848" w:rsidRPr="007429EC" w:rsidRDefault="00ED5831" w:rsidP="008422E7">
      <w:pPr>
        <w:ind w:left="720"/>
        <w:rPr>
          <w:sz w:val="28"/>
        </w:rPr>
      </w:pPr>
      <w:r w:rsidRPr="007429EC">
        <w:rPr>
          <w:sz w:val="28"/>
        </w:rPr>
        <w:t>5</w:t>
      </w:r>
      <w:r w:rsidRPr="007429EC">
        <w:rPr>
          <w:sz w:val="28"/>
        </w:rPr>
        <w:tab/>
        <w:t>The respondents, jointly and severally, are ordered to pay the costs of this application, including the costs of two counsel where so employed.</w:t>
      </w:r>
      <w:r w:rsidR="003B6577" w:rsidRPr="007429EC">
        <w:rPr>
          <w:sz w:val="28"/>
        </w:rPr>
        <w:t>'</w:t>
      </w:r>
    </w:p>
    <w:p w14:paraId="65831DE6" w14:textId="721EEEC5" w:rsidR="00AF3848" w:rsidRPr="007429EC" w:rsidRDefault="00AF3848">
      <w:pPr>
        <w:rPr>
          <w:sz w:val="28"/>
        </w:rPr>
      </w:pPr>
      <w:r w:rsidRPr="007429EC">
        <w:rPr>
          <w:sz w:val="28"/>
        </w:rPr>
        <w:br w:type="page"/>
      </w:r>
    </w:p>
    <w:p w14:paraId="27429C7F" w14:textId="3CA0EAD7" w:rsidR="004B15BC" w:rsidRPr="007429EC" w:rsidRDefault="008C3D1B" w:rsidP="00F46591">
      <w:pPr>
        <w:spacing w:before="240"/>
        <w:rPr>
          <w:b/>
          <w:sz w:val="28"/>
          <w:szCs w:val="28"/>
          <w:lang w:val="en-ZA"/>
        </w:rPr>
      </w:pPr>
      <w:r>
        <w:rPr>
          <w:b/>
          <w:bCs/>
          <w:sz w:val="28"/>
          <w:szCs w:val="28"/>
        </w:rPr>
        <w:lastRenderedPageBreak/>
        <w:pict w14:anchorId="6EC953CE">
          <v:rect id="_x0000_i1027" style="width:468pt;height:1.5pt" o:hralign="center" o:hrstd="t" o:hrnoshade="t" o:hr="t" fillcolor="black [3213]" stroked="f"/>
        </w:pict>
      </w:r>
    </w:p>
    <w:p w14:paraId="417A6A16" w14:textId="2755866B" w:rsidR="004B15BC" w:rsidRPr="007429EC" w:rsidRDefault="004B15BC" w:rsidP="004B15BC">
      <w:pPr>
        <w:spacing w:before="120"/>
        <w:jc w:val="center"/>
        <w:rPr>
          <w:b/>
          <w:sz w:val="28"/>
          <w:szCs w:val="28"/>
          <w:lang w:val="en-ZA"/>
        </w:rPr>
      </w:pPr>
      <w:r w:rsidRPr="007429EC">
        <w:rPr>
          <w:b/>
          <w:sz w:val="28"/>
          <w:szCs w:val="28"/>
          <w:lang w:val="en-ZA"/>
        </w:rPr>
        <w:t>JUDGMENT</w:t>
      </w:r>
    </w:p>
    <w:p w14:paraId="33C88F24" w14:textId="1084A62E" w:rsidR="004B15BC" w:rsidRPr="007429EC" w:rsidRDefault="008C3D1B" w:rsidP="004B15BC">
      <w:pPr>
        <w:spacing w:before="120"/>
        <w:jc w:val="center"/>
        <w:rPr>
          <w:b/>
          <w:sz w:val="28"/>
          <w:szCs w:val="28"/>
          <w:lang w:val="en-ZA"/>
        </w:rPr>
      </w:pPr>
      <w:r>
        <w:rPr>
          <w:b/>
          <w:bCs/>
          <w:sz w:val="28"/>
          <w:szCs w:val="28"/>
        </w:rPr>
        <w:pict w14:anchorId="5A37249E">
          <v:rect id="_x0000_i1028" style="width:468pt;height:1.5pt" o:hralign="center" o:hrstd="t" o:hrnoshade="t" o:hr="t" fillcolor="black [3213]" stroked="f"/>
        </w:pict>
      </w:r>
    </w:p>
    <w:p w14:paraId="145BEF1E" w14:textId="7BE25020" w:rsidR="006E1492" w:rsidRPr="007429EC" w:rsidRDefault="000B2D41" w:rsidP="00A413F6">
      <w:pPr>
        <w:spacing w:after="240"/>
      </w:pPr>
      <w:r w:rsidRPr="007429EC">
        <w:rPr>
          <w:b/>
          <w:sz w:val="28"/>
          <w:szCs w:val="28"/>
          <w:lang w:val="en-ZA"/>
        </w:rPr>
        <w:t xml:space="preserve">Petse </w:t>
      </w:r>
      <w:r w:rsidR="00AF3848" w:rsidRPr="007429EC">
        <w:rPr>
          <w:b/>
          <w:sz w:val="28"/>
          <w:szCs w:val="28"/>
          <w:lang w:val="en-ZA"/>
        </w:rPr>
        <w:t>D</w:t>
      </w:r>
      <w:r w:rsidR="00322A94" w:rsidRPr="007429EC">
        <w:rPr>
          <w:b/>
          <w:sz w:val="28"/>
          <w:szCs w:val="28"/>
          <w:lang w:val="en-ZA"/>
        </w:rPr>
        <w:t>P</w:t>
      </w:r>
      <w:r w:rsidR="00FE76A3" w:rsidRPr="007429EC">
        <w:rPr>
          <w:b/>
          <w:sz w:val="28"/>
          <w:szCs w:val="28"/>
        </w:rPr>
        <w:t xml:space="preserve"> (</w:t>
      </w:r>
      <w:r w:rsidR="00DB131F" w:rsidRPr="00DB131F">
        <w:rPr>
          <w:b/>
          <w:sz w:val="28"/>
          <w:szCs w:val="28"/>
          <w:lang w:val="en-ZA"/>
        </w:rPr>
        <w:t>Makgoka and Mothle JJA and Kgoele and Windell AJJA</w:t>
      </w:r>
      <w:r w:rsidR="00AF3848" w:rsidRPr="007429EC">
        <w:rPr>
          <w:b/>
          <w:sz w:val="28"/>
          <w:szCs w:val="28"/>
        </w:rPr>
        <w:t xml:space="preserve"> </w:t>
      </w:r>
      <w:r w:rsidR="00322A94" w:rsidRPr="007429EC">
        <w:rPr>
          <w:b/>
          <w:sz w:val="28"/>
          <w:szCs w:val="28"/>
          <w:lang w:val="en-ZA"/>
        </w:rPr>
        <w:t>concurring</w:t>
      </w:r>
      <w:r w:rsidR="00322A94" w:rsidRPr="007429EC">
        <w:rPr>
          <w:b/>
          <w:sz w:val="28"/>
          <w:szCs w:val="28"/>
        </w:rPr>
        <w:t>)</w:t>
      </w:r>
      <w:r w:rsidR="00322A94" w:rsidRPr="007429EC">
        <w:rPr>
          <w:b/>
          <w:sz w:val="28"/>
          <w:szCs w:val="28"/>
          <w:lang w:val="en-ZA"/>
        </w:rPr>
        <w:t>:</w:t>
      </w:r>
    </w:p>
    <w:p w14:paraId="172138A3" w14:textId="2461BD05" w:rsidR="00E06AB8" w:rsidRPr="007429EC" w:rsidRDefault="00E06AB8" w:rsidP="00490E05">
      <w:pPr>
        <w:tabs>
          <w:tab w:val="left" w:pos="284"/>
        </w:tabs>
        <w:rPr>
          <w:sz w:val="28"/>
        </w:rPr>
      </w:pPr>
      <w:r w:rsidRPr="007429EC">
        <w:rPr>
          <w:b/>
          <w:sz w:val="28"/>
        </w:rPr>
        <w:t>Introduction</w:t>
      </w:r>
    </w:p>
    <w:p w14:paraId="5541D6AD" w14:textId="0608C335" w:rsidR="00333039" w:rsidRPr="007429EC" w:rsidRDefault="00AF3848" w:rsidP="00AF3848">
      <w:pPr>
        <w:tabs>
          <w:tab w:val="left" w:pos="284"/>
        </w:tabs>
        <w:rPr>
          <w:color w:val="242121"/>
          <w:sz w:val="28"/>
          <w:shd w:val="clear" w:color="auto" w:fill="FFFFFF"/>
          <w:lang w:val="en-ZA"/>
        </w:rPr>
      </w:pPr>
      <w:r w:rsidRPr="007429EC">
        <w:rPr>
          <w:color w:val="242121"/>
          <w:sz w:val="28"/>
          <w:shd w:val="clear" w:color="auto" w:fill="FFFFFF"/>
          <w:lang w:val="en-ZA"/>
        </w:rPr>
        <w:t>[1]</w:t>
      </w:r>
      <w:r w:rsidRPr="007429EC">
        <w:rPr>
          <w:color w:val="242121"/>
          <w:sz w:val="28"/>
          <w:shd w:val="clear" w:color="auto" w:fill="FFFFFF"/>
          <w:lang w:val="en-ZA"/>
        </w:rPr>
        <w:tab/>
        <w:t xml:space="preserve">Since the advent of our constitutional democracy, the procurement of goods and services by all organs of state must now comply with certain stringent constitutional and statutory procurement prescripts. The </w:t>
      </w:r>
      <w:r w:rsidRPr="007429EC">
        <w:rPr>
          <w:i/>
          <w:color w:val="242121"/>
          <w:sz w:val="28"/>
          <w:shd w:val="clear" w:color="auto" w:fill="FFFFFF"/>
          <w:lang w:val="en-ZA"/>
        </w:rPr>
        <w:t>fons et or</w:t>
      </w:r>
      <w:r w:rsidR="00A84AB5" w:rsidRPr="007429EC">
        <w:rPr>
          <w:i/>
          <w:color w:val="242121"/>
          <w:sz w:val="28"/>
          <w:shd w:val="clear" w:color="auto" w:fill="FFFFFF"/>
          <w:lang w:val="en-ZA"/>
        </w:rPr>
        <w:t>i</w:t>
      </w:r>
      <w:r w:rsidRPr="007429EC">
        <w:rPr>
          <w:i/>
          <w:color w:val="242121"/>
          <w:sz w:val="28"/>
          <w:shd w:val="clear" w:color="auto" w:fill="FFFFFF"/>
          <w:lang w:val="en-ZA"/>
        </w:rPr>
        <w:t>gine</w:t>
      </w:r>
      <w:r w:rsidRPr="007429EC">
        <w:rPr>
          <w:color w:val="242121"/>
          <w:sz w:val="28"/>
          <w:shd w:val="clear" w:color="auto" w:fill="FFFFFF"/>
          <w:lang w:val="en-ZA"/>
        </w:rPr>
        <w:t xml:space="preserve"> of those prescripts is s 217 of the Constitution.</w:t>
      </w:r>
      <w:r w:rsidRPr="007429EC">
        <w:rPr>
          <w:rStyle w:val="FootnoteReference"/>
          <w:color w:val="242121"/>
          <w:sz w:val="28"/>
          <w:shd w:val="clear" w:color="auto" w:fill="FFFFFF"/>
          <w:lang w:val="en-ZA"/>
        </w:rPr>
        <w:footnoteReference w:id="1"/>
      </w:r>
      <w:r w:rsidRPr="007429EC">
        <w:rPr>
          <w:color w:val="242121"/>
          <w:sz w:val="28"/>
          <w:shd w:val="clear" w:color="auto" w:fill="FFFFFF"/>
          <w:lang w:val="en-ZA"/>
        </w:rPr>
        <w:t xml:space="preserve"> Section 217(3), in particular, decrees that the State must provide legislative measures to give effect to the requirements of s 217(1) of the Constitution. As a result, </w:t>
      </w:r>
      <w:r w:rsidR="003464F8" w:rsidRPr="007429EC">
        <w:rPr>
          <w:color w:val="242121"/>
          <w:sz w:val="28"/>
          <w:shd w:val="clear" w:color="auto" w:fill="FFFFFF"/>
          <w:lang w:val="en-ZA"/>
        </w:rPr>
        <w:t>this</w:t>
      </w:r>
      <w:r w:rsidRPr="007429EC">
        <w:rPr>
          <w:color w:val="242121"/>
          <w:sz w:val="28"/>
          <w:shd w:val="clear" w:color="auto" w:fill="FFFFFF"/>
          <w:lang w:val="en-ZA"/>
        </w:rPr>
        <w:t xml:space="preserve"> </w:t>
      </w:r>
      <w:r w:rsidR="00ED5831" w:rsidRPr="007429EC">
        <w:rPr>
          <w:color w:val="242121"/>
          <w:sz w:val="28"/>
          <w:shd w:val="clear" w:color="auto" w:fill="FFFFFF"/>
          <w:lang w:val="en-ZA"/>
        </w:rPr>
        <w:t>c</w:t>
      </w:r>
      <w:r w:rsidRPr="007429EC">
        <w:rPr>
          <w:color w:val="242121"/>
          <w:sz w:val="28"/>
          <w:shd w:val="clear" w:color="auto" w:fill="FFFFFF"/>
          <w:lang w:val="en-ZA"/>
        </w:rPr>
        <w:t>onstitutional decree gave birth to two important pieces of legislation, the first being the Public Finance Management Act</w:t>
      </w:r>
      <w:r w:rsidRPr="007429EC">
        <w:rPr>
          <w:rStyle w:val="FootnoteReference"/>
          <w:color w:val="242121"/>
          <w:sz w:val="28"/>
          <w:shd w:val="clear" w:color="auto" w:fill="FFFFFF"/>
          <w:lang w:val="en-ZA"/>
        </w:rPr>
        <w:footnoteReference w:id="2"/>
      </w:r>
      <w:r w:rsidR="003464F8" w:rsidRPr="007429EC">
        <w:rPr>
          <w:color w:val="242121"/>
          <w:sz w:val="28"/>
          <w:shd w:val="clear" w:color="auto" w:fill="FFFFFF"/>
          <w:lang w:val="en-ZA"/>
        </w:rPr>
        <w:t xml:space="preserve"> and, </w:t>
      </w:r>
      <w:r w:rsidR="00D552DD" w:rsidRPr="007429EC">
        <w:rPr>
          <w:color w:val="242121"/>
          <w:sz w:val="28"/>
          <w:shd w:val="clear" w:color="auto" w:fill="FFFFFF"/>
          <w:lang w:val="en-ZA"/>
        </w:rPr>
        <w:t xml:space="preserve">the </w:t>
      </w:r>
      <w:r w:rsidR="003464F8" w:rsidRPr="007429EC">
        <w:rPr>
          <w:color w:val="242121"/>
          <w:sz w:val="28"/>
          <w:shd w:val="clear" w:color="auto" w:fill="FFFFFF"/>
          <w:lang w:val="en-ZA"/>
        </w:rPr>
        <w:t>second, the Preferential Procurement Policy Framework Act.</w:t>
      </w:r>
      <w:r w:rsidR="003464F8" w:rsidRPr="007429EC">
        <w:rPr>
          <w:rStyle w:val="FootnoteReference"/>
          <w:color w:val="242121"/>
          <w:sz w:val="28"/>
          <w:shd w:val="clear" w:color="auto" w:fill="FFFFFF"/>
          <w:lang w:val="en-ZA"/>
        </w:rPr>
        <w:footnoteReference w:id="3"/>
      </w:r>
      <w:r w:rsidR="003464F8" w:rsidRPr="007429EC">
        <w:rPr>
          <w:color w:val="242121"/>
          <w:sz w:val="28"/>
          <w:shd w:val="clear" w:color="auto" w:fill="FFFFFF"/>
          <w:lang w:val="en-ZA"/>
        </w:rPr>
        <w:t xml:space="preserve"> </w:t>
      </w:r>
    </w:p>
    <w:p w14:paraId="15008735" w14:textId="77777777" w:rsidR="003464F8" w:rsidRPr="007429EC" w:rsidRDefault="003464F8" w:rsidP="00AF3848">
      <w:pPr>
        <w:tabs>
          <w:tab w:val="left" w:pos="284"/>
        </w:tabs>
        <w:rPr>
          <w:color w:val="242121"/>
          <w:sz w:val="28"/>
          <w:shd w:val="clear" w:color="auto" w:fill="FFFFFF"/>
          <w:lang w:val="en-ZA"/>
        </w:rPr>
      </w:pPr>
    </w:p>
    <w:p w14:paraId="1F3A4666" w14:textId="6C071709" w:rsidR="003464F8" w:rsidRPr="007429EC" w:rsidRDefault="003464F8" w:rsidP="00AF3848">
      <w:pPr>
        <w:tabs>
          <w:tab w:val="left" w:pos="284"/>
        </w:tabs>
        <w:rPr>
          <w:color w:val="242121"/>
          <w:sz w:val="28"/>
          <w:shd w:val="clear" w:color="auto" w:fill="FFFFFF"/>
          <w:lang w:val="en-ZA"/>
        </w:rPr>
      </w:pPr>
      <w:r w:rsidRPr="007429EC">
        <w:rPr>
          <w:color w:val="242121"/>
          <w:sz w:val="28"/>
          <w:shd w:val="clear" w:color="auto" w:fill="FFFFFF"/>
          <w:lang w:val="en-ZA"/>
        </w:rPr>
        <w:t>[2]</w:t>
      </w:r>
      <w:r w:rsidRPr="007429EC">
        <w:rPr>
          <w:color w:val="242121"/>
          <w:sz w:val="28"/>
          <w:shd w:val="clear" w:color="auto" w:fill="FFFFFF"/>
          <w:lang w:val="en-ZA"/>
        </w:rPr>
        <w:tab/>
        <w:t>This appeal is one of</w:t>
      </w:r>
      <w:r w:rsidR="0025450F" w:rsidRPr="007429EC">
        <w:rPr>
          <w:color w:val="242121"/>
          <w:sz w:val="28"/>
          <w:shd w:val="clear" w:color="auto" w:fill="FFFFFF"/>
          <w:lang w:val="en-ZA"/>
        </w:rPr>
        <w:t xml:space="preserve"> the</w:t>
      </w:r>
      <w:r w:rsidRPr="007429EC">
        <w:rPr>
          <w:color w:val="242121"/>
          <w:sz w:val="28"/>
          <w:shd w:val="clear" w:color="auto" w:fill="FFFFFF"/>
          <w:lang w:val="en-ZA"/>
        </w:rPr>
        <w:t xml:space="preserve"> multiple cases, too many to enumerate, that have served before this Court since the advent of the constitutional order ushered in by the Constitution.</w:t>
      </w:r>
      <w:r w:rsidRPr="007429EC">
        <w:rPr>
          <w:rStyle w:val="FootnoteReference"/>
          <w:color w:val="242121"/>
          <w:sz w:val="28"/>
          <w:shd w:val="clear" w:color="auto" w:fill="FFFFFF"/>
          <w:lang w:val="en-ZA"/>
        </w:rPr>
        <w:footnoteReference w:id="4"/>
      </w:r>
      <w:r w:rsidR="00A84D93" w:rsidRPr="007429EC">
        <w:rPr>
          <w:color w:val="242121"/>
          <w:sz w:val="28"/>
          <w:shd w:val="clear" w:color="auto" w:fill="FFFFFF"/>
          <w:lang w:val="en-ZA"/>
        </w:rPr>
        <w:t xml:space="preserve"> The dispute in this appeal has</w:t>
      </w:r>
      <w:r w:rsidRPr="007429EC">
        <w:rPr>
          <w:color w:val="242121"/>
          <w:sz w:val="28"/>
          <w:shd w:val="clear" w:color="auto" w:fill="FFFFFF"/>
          <w:lang w:val="en-ZA"/>
        </w:rPr>
        <w:t xml:space="preserve"> its genesis in the award of a tender by the third appellant, the Department of International Relations and Cooperation (the Department)</w:t>
      </w:r>
      <w:r w:rsidR="007F28DA" w:rsidRPr="007429EC">
        <w:rPr>
          <w:color w:val="242121"/>
          <w:sz w:val="28"/>
          <w:shd w:val="clear" w:color="auto" w:fill="FFFFFF"/>
          <w:lang w:val="en-ZA"/>
        </w:rPr>
        <w:t>,</w:t>
      </w:r>
      <w:r w:rsidRPr="007429EC">
        <w:rPr>
          <w:color w:val="242121"/>
          <w:sz w:val="28"/>
          <w:shd w:val="clear" w:color="auto" w:fill="FFFFFF"/>
          <w:lang w:val="en-ZA"/>
        </w:rPr>
        <w:t xml:space="preserve"> to a joint venture comprising the first respondent, Simeka Group (Pty) Ltd (Simeka Group), and the second respondent, </w:t>
      </w:r>
      <w:r w:rsidR="002D0125" w:rsidRPr="007429EC">
        <w:rPr>
          <w:color w:val="242121"/>
          <w:sz w:val="28"/>
          <w:shd w:val="clear" w:color="auto" w:fill="FFFFFF"/>
          <w:lang w:val="en-ZA"/>
        </w:rPr>
        <w:t>Regiments</w:t>
      </w:r>
      <w:r w:rsidRPr="007429EC">
        <w:rPr>
          <w:color w:val="242121"/>
          <w:sz w:val="28"/>
          <w:shd w:val="clear" w:color="auto" w:fill="FFFFFF"/>
          <w:lang w:val="en-ZA"/>
        </w:rPr>
        <w:t xml:space="preserve"> Capital (Pty) Ltd (</w:t>
      </w:r>
      <w:r w:rsidR="002D0125" w:rsidRPr="007429EC">
        <w:rPr>
          <w:color w:val="242121"/>
          <w:sz w:val="28"/>
          <w:shd w:val="clear" w:color="auto" w:fill="FFFFFF"/>
          <w:lang w:val="en-ZA"/>
        </w:rPr>
        <w:t>Regiments</w:t>
      </w:r>
      <w:r w:rsidRPr="007429EC">
        <w:rPr>
          <w:color w:val="242121"/>
          <w:sz w:val="28"/>
          <w:shd w:val="clear" w:color="auto" w:fill="FFFFFF"/>
          <w:lang w:val="en-ZA"/>
        </w:rPr>
        <w:t xml:space="preserve"> Capital), on 17 May 2016.</w:t>
      </w:r>
    </w:p>
    <w:p w14:paraId="13E14FBE" w14:textId="670B9886" w:rsidR="003464F8" w:rsidRPr="007429EC" w:rsidRDefault="003464F8" w:rsidP="00AF3848">
      <w:pPr>
        <w:tabs>
          <w:tab w:val="left" w:pos="284"/>
        </w:tabs>
        <w:rPr>
          <w:color w:val="242121"/>
          <w:sz w:val="28"/>
          <w:shd w:val="clear" w:color="auto" w:fill="FFFFFF"/>
          <w:lang w:val="en-ZA"/>
        </w:rPr>
      </w:pPr>
      <w:r w:rsidRPr="007429EC">
        <w:rPr>
          <w:color w:val="242121"/>
          <w:sz w:val="28"/>
          <w:shd w:val="clear" w:color="auto" w:fill="FFFFFF"/>
          <w:lang w:val="en-ZA"/>
        </w:rPr>
        <w:lastRenderedPageBreak/>
        <w:t>[3]</w:t>
      </w:r>
      <w:r w:rsidRPr="007429EC">
        <w:rPr>
          <w:color w:val="242121"/>
          <w:sz w:val="28"/>
          <w:shd w:val="clear" w:color="auto" w:fill="FFFFFF"/>
          <w:lang w:val="en-ZA"/>
        </w:rPr>
        <w:tab/>
        <w:t>Briefly, the tender was for the appointment of a development partner for the design, construction, operation, maintenance and financing of a suitable and sustainable office and residential accommodation for South African diplomatic missions in Manhattan, New York City, New York in the United States of America</w:t>
      </w:r>
      <w:r w:rsidR="00A413F6" w:rsidRPr="007429EC">
        <w:rPr>
          <w:color w:val="242121"/>
          <w:sz w:val="28"/>
          <w:shd w:val="clear" w:color="auto" w:fill="FFFFFF"/>
          <w:lang w:val="en-ZA"/>
        </w:rPr>
        <w:t xml:space="preserve"> (the USA)</w:t>
      </w:r>
      <w:r w:rsidRPr="007429EC">
        <w:rPr>
          <w:color w:val="242121"/>
          <w:sz w:val="28"/>
          <w:shd w:val="clear" w:color="auto" w:fill="FFFFFF"/>
          <w:lang w:val="en-ZA"/>
        </w:rPr>
        <w:t xml:space="preserve">. The substantive question in this </w:t>
      </w:r>
      <w:r w:rsidR="00D552DD" w:rsidRPr="007429EC">
        <w:rPr>
          <w:color w:val="242121"/>
          <w:sz w:val="28"/>
          <w:shd w:val="clear" w:color="auto" w:fill="FFFFFF"/>
          <w:lang w:val="en-ZA"/>
        </w:rPr>
        <w:t xml:space="preserve">appeal </w:t>
      </w:r>
      <w:r w:rsidRPr="007429EC">
        <w:rPr>
          <w:color w:val="242121"/>
          <w:sz w:val="28"/>
          <w:shd w:val="clear" w:color="auto" w:fill="FFFFFF"/>
          <w:lang w:val="en-ZA"/>
        </w:rPr>
        <w:t xml:space="preserve">ultimately turns on whether the award of the tender to Simeka Group and </w:t>
      </w:r>
      <w:r w:rsidR="002D0125" w:rsidRPr="007429EC">
        <w:rPr>
          <w:color w:val="242121"/>
          <w:sz w:val="28"/>
          <w:shd w:val="clear" w:color="auto" w:fill="FFFFFF"/>
          <w:lang w:val="en-ZA"/>
        </w:rPr>
        <w:t>Regiments</w:t>
      </w:r>
      <w:r w:rsidRPr="007429EC">
        <w:rPr>
          <w:color w:val="242121"/>
          <w:sz w:val="28"/>
          <w:shd w:val="clear" w:color="auto" w:fill="FFFFFF"/>
          <w:lang w:val="en-ZA"/>
        </w:rPr>
        <w:t xml:space="preserve"> Capital as a </w:t>
      </w:r>
      <w:r w:rsidR="00A413F6" w:rsidRPr="007429EC">
        <w:rPr>
          <w:color w:val="242121"/>
          <w:sz w:val="28"/>
          <w:shd w:val="clear" w:color="auto" w:fill="FFFFFF"/>
          <w:lang w:val="en-ZA"/>
        </w:rPr>
        <w:t>j</w:t>
      </w:r>
      <w:r w:rsidRPr="007429EC">
        <w:rPr>
          <w:color w:val="242121"/>
          <w:sz w:val="28"/>
          <w:shd w:val="clear" w:color="auto" w:fill="FFFFFF"/>
          <w:lang w:val="en-ZA"/>
        </w:rPr>
        <w:t xml:space="preserve">oint </w:t>
      </w:r>
      <w:r w:rsidR="00A413F6" w:rsidRPr="007429EC">
        <w:rPr>
          <w:color w:val="242121"/>
          <w:sz w:val="28"/>
          <w:shd w:val="clear" w:color="auto" w:fill="FFFFFF"/>
          <w:lang w:val="en-ZA"/>
        </w:rPr>
        <w:t>v</w:t>
      </w:r>
      <w:r w:rsidRPr="007429EC">
        <w:rPr>
          <w:color w:val="242121"/>
          <w:sz w:val="28"/>
          <w:shd w:val="clear" w:color="auto" w:fill="FFFFFF"/>
          <w:lang w:val="en-ZA"/>
        </w:rPr>
        <w:t>enture by the Department was constitutionally valid. For convenience</w:t>
      </w:r>
      <w:r w:rsidR="00842313" w:rsidRPr="007429EC">
        <w:rPr>
          <w:color w:val="242121"/>
          <w:sz w:val="28"/>
          <w:shd w:val="clear" w:color="auto" w:fill="FFFFFF"/>
          <w:lang w:val="en-ZA"/>
        </w:rPr>
        <w:t xml:space="preserve">, Simeka Group and </w:t>
      </w:r>
      <w:r w:rsidR="002D0125" w:rsidRPr="007429EC">
        <w:rPr>
          <w:color w:val="242121"/>
          <w:sz w:val="28"/>
          <w:shd w:val="clear" w:color="auto" w:fill="FFFFFF"/>
          <w:lang w:val="en-ZA"/>
        </w:rPr>
        <w:t>Regiments</w:t>
      </w:r>
      <w:r w:rsidR="00842313" w:rsidRPr="007429EC">
        <w:rPr>
          <w:color w:val="242121"/>
          <w:sz w:val="28"/>
          <w:shd w:val="clear" w:color="auto" w:fill="FFFFFF"/>
          <w:lang w:val="en-ZA"/>
        </w:rPr>
        <w:t xml:space="preserve"> Capital shall be referred to collectively as the Joint Venture. </w:t>
      </w:r>
      <w:r w:rsidR="00A153DB" w:rsidRPr="007429EC">
        <w:rPr>
          <w:color w:val="242121"/>
          <w:sz w:val="28"/>
          <w:shd w:val="clear" w:color="auto" w:fill="FFFFFF"/>
          <w:lang w:val="en-ZA"/>
        </w:rPr>
        <w:t xml:space="preserve">As alluded to above, there is an </w:t>
      </w:r>
      <w:r w:rsidR="007F28DA" w:rsidRPr="007429EC">
        <w:rPr>
          <w:color w:val="242121"/>
          <w:sz w:val="28"/>
          <w:shd w:val="clear" w:color="auto" w:fill="FFFFFF"/>
          <w:lang w:val="en-ZA"/>
        </w:rPr>
        <w:t>ancillary</w:t>
      </w:r>
      <w:r w:rsidR="00A153DB" w:rsidRPr="007429EC">
        <w:rPr>
          <w:color w:val="242121"/>
          <w:sz w:val="28"/>
          <w:shd w:val="clear" w:color="auto" w:fill="FFFFFF"/>
          <w:lang w:val="en-ZA"/>
        </w:rPr>
        <w:t xml:space="preserve"> question that requires determination, namely whether there was an inordinate delay by the Department in instituting its legality review </w:t>
      </w:r>
      <w:r w:rsidR="00D552DD" w:rsidRPr="007429EC">
        <w:rPr>
          <w:color w:val="242121"/>
          <w:sz w:val="28"/>
          <w:shd w:val="clear" w:color="auto" w:fill="FFFFFF"/>
          <w:lang w:val="en-ZA"/>
        </w:rPr>
        <w:t xml:space="preserve">and, if so, whether such a delay </w:t>
      </w:r>
      <w:r w:rsidR="00A153DB" w:rsidRPr="007429EC">
        <w:rPr>
          <w:color w:val="242121"/>
          <w:sz w:val="28"/>
          <w:shd w:val="clear" w:color="auto" w:fill="FFFFFF"/>
          <w:lang w:val="en-ZA"/>
        </w:rPr>
        <w:t xml:space="preserve">is inexcusable. </w:t>
      </w:r>
    </w:p>
    <w:p w14:paraId="0CD7DEC4" w14:textId="77777777" w:rsidR="00507989" w:rsidRPr="007429EC" w:rsidRDefault="00507989" w:rsidP="00487D67">
      <w:pPr>
        <w:tabs>
          <w:tab w:val="left" w:pos="284"/>
        </w:tabs>
        <w:rPr>
          <w:color w:val="242121"/>
          <w:sz w:val="28"/>
          <w:shd w:val="clear" w:color="auto" w:fill="FFFFFF"/>
          <w:lang w:val="en-ZA"/>
        </w:rPr>
      </w:pPr>
    </w:p>
    <w:p w14:paraId="753B75A6" w14:textId="2BC01E95" w:rsidR="000C0E76" w:rsidRPr="007429EC" w:rsidRDefault="000C0E76" w:rsidP="00487D67">
      <w:pPr>
        <w:tabs>
          <w:tab w:val="left" w:pos="284"/>
        </w:tabs>
        <w:rPr>
          <w:color w:val="242121"/>
          <w:sz w:val="28"/>
          <w:shd w:val="clear" w:color="auto" w:fill="FFFFFF"/>
          <w:lang w:val="en-ZA"/>
        </w:rPr>
      </w:pPr>
      <w:r w:rsidRPr="007429EC">
        <w:rPr>
          <w:color w:val="242121"/>
          <w:sz w:val="28"/>
          <w:shd w:val="clear" w:color="auto" w:fill="FFFFFF"/>
          <w:lang w:val="en-ZA"/>
        </w:rPr>
        <w:t>[4]</w:t>
      </w:r>
      <w:r w:rsidRPr="007429EC">
        <w:rPr>
          <w:color w:val="242121"/>
          <w:sz w:val="28"/>
          <w:shd w:val="clear" w:color="auto" w:fill="FFFFFF"/>
          <w:lang w:val="en-ZA"/>
        </w:rPr>
        <w:tab/>
        <w:t>The Department, together with the first appellant, the Minister of International Relations (the Minister) and the</w:t>
      </w:r>
      <w:r w:rsidR="00F558BA" w:rsidRPr="007429EC">
        <w:rPr>
          <w:color w:val="242121"/>
          <w:sz w:val="28"/>
          <w:shd w:val="clear" w:color="auto" w:fill="FFFFFF"/>
          <w:lang w:val="en-ZA"/>
        </w:rPr>
        <w:t xml:space="preserve"> second appellant, the Director-</w:t>
      </w:r>
      <w:r w:rsidRPr="007429EC">
        <w:rPr>
          <w:color w:val="242121"/>
          <w:sz w:val="28"/>
          <w:shd w:val="clear" w:color="auto" w:fill="FFFFFF"/>
          <w:lang w:val="en-ZA"/>
        </w:rPr>
        <w:t xml:space="preserve">General </w:t>
      </w:r>
      <w:r w:rsidR="00F558BA" w:rsidRPr="007429EC">
        <w:rPr>
          <w:color w:val="242121"/>
          <w:sz w:val="28"/>
          <w:shd w:val="clear" w:color="auto" w:fill="FFFFFF"/>
          <w:lang w:val="en-ZA"/>
        </w:rPr>
        <w:t>of the Department (the Director-</w:t>
      </w:r>
      <w:r w:rsidRPr="007429EC">
        <w:rPr>
          <w:color w:val="242121"/>
          <w:sz w:val="28"/>
          <w:shd w:val="clear" w:color="auto" w:fill="FFFFFF"/>
          <w:lang w:val="en-ZA"/>
        </w:rPr>
        <w:t>General), as co-applicants in the Gauteng Division of the High Court, Pretoria (the high court) contend</w:t>
      </w:r>
      <w:r w:rsidR="00420957" w:rsidRPr="007429EC">
        <w:rPr>
          <w:color w:val="242121"/>
          <w:sz w:val="28"/>
          <w:shd w:val="clear" w:color="auto" w:fill="FFFFFF"/>
          <w:lang w:val="en-ZA"/>
        </w:rPr>
        <w:t>ed</w:t>
      </w:r>
      <w:r w:rsidRPr="007429EC">
        <w:rPr>
          <w:color w:val="242121"/>
          <w:sz w:val="28"/>
          <w:shd w:val="clear" w:color="auto" w:fill="FFFFFF"/>
          <w:lang w:val="en-ZA"/>
        </w:rPr>
        <w:t xml:space="preserve"> that the award of the tender to the Joint Venture was fraught with multiple material irregularities that rendered the award unconstitutional and unlawful. Consequently, they sought an order declaring the award </w:t>
      </w:r>
      <w:r w:rsidR="00D552DD" w:rsidRPr="007429EC">
        <w:rPr>
          <w:color w:val="242121"/>
          <w:sz w:val="28"/>
          <w:shd w:val="clear" w:color="auto" w:fill="FFFFFF"/>
          <w:lang w:val="en-ZA"/>
        </w:rPr>
        <w:t>constitutionally invalid and unlawful</w:t>
      </w:r>
      <w:r w:rsidRPr="007429EC">
        <w:rPr>
          <w:color w:val="242121"/>
          <w:sz w:val="28"/>
          <w:shd w:val="clear" w:color="auto" w:fill="FFFFFF"/>
          <w:lang w:val="en-ZA"/>
        </w:rPr>
        <w:t xml:space="preserve"> and, as a consequence, reviewing and setting it aside. </w:t>
      </w:r>
      <w:r w:rsidR="00376E4F" w:rsidRPr="007429EC">
        <w:rPr>
          <w:color w:val="242121"/>
          <w:sz w:val="28"/>
          <w:shd w:val="clear" w:color="auto" w:fill="FFFFFF"/>
          <w:lang w:val="en-ZA"/>
        </w:rPr>
        <w:t xml:space="preserve">Because of the identity of interest amongst the three parties, the Minister, </w:t>
      </w:r>
      <w:r w:rsidR="00420957" w:rsidRPr="007429EC">
        <w:rPr>
          <w:color w:val="242121"/>
          <w:sz w:val="28"/>
          <w:shd w:val="clear" w:color="auto" w:fill="FFFFFF"/>
          <w:lang w:val="en-ZA"/>
        </w:rPr>
        <w:t xml:space="preserve">the </w:t>
      </w:r>
      <w:r w:rsidR="00376E4F" w:rsidRPr="007429EC">
        <w:rPr>
          <w:color w:val="242121"/>
          <w:sz w:val="28"/>
          <w:shd w:val="clear" w:color="auto" w:fill="FFFFFF"/>
          <w:lang w:val="en-ZA"/>
        </w:rPr>
        <w:t>D</w:t>
      </w:r>
      <w:r w:rsidR="00EC6A61">
        <w:rPr>
          <w:color w:val="242121"/>
          <w:sz w:val="28"/>
          <w:shd w:val="clear" w:color="auto" w:fill="FFFFFF"/>
          <w:lang w:val="en-ZA"/>
        </w:rPr>
        <w:t>irector-</w:t>
      </w:r>
      <w:r w:rsidR="00376E4F" w:rsidRPr="007429EC">
        <w:rPr>
          <w:color w:val="242121"/>
          <w:sz w:val="28"/>
          <w:shd w:val="clear" w:color="auto" w:fill="FFFFFF"/>
          <w:lang w:val="en-ZA"/>
        </w:rPr>
        <w:t xml:space="preserve">General and the Department shall, for convenience, be referred to collectively as the </w:t>
      </w:r>
      <w:r w:rsidR="00D552DD" w:rsidRPr="007429EC">
        <w:rPr>
          <w:color w:val="242121"/>
          <w:sz w:val="28"/>
          <w:shd w:val="clear" w:color="auto" w:fill="FFFFFF"/>
          <w:lang w:val="en-ZA"/>
        </w:rPr>
        <w:t>g</w:t>
      </w:r>
      <w:r w:rsidR="00376E4F" w:rsidRPr="007429EC">
        <w:rPr>
          <w:color w:val="242121"/>
          <w:sz w:val="28"/>
          <w:shd w:val="clear" w:color="auto" w:fill="FFFFFF"/>
          <w:lang w:val="en-ZA"/>
        </w:rPr>
        <w:t xml:space="preserve">overnment parties. However, whenever the context dictates otherwise they will be identified by their individual appellations. </w:t>
      </w:r>
    </w:p>
    <w:p w14:paraId="4E4EB2D4" w14:textId="77777777" w:rsidR="000D277E" w:rsidRPr="007429EC" w:rsidRDefault="000D277E" w:rsidP="00487D67">
      <w:pPr>
        <w:tabs>
          <w:tab w:val="left" w:pos="284"/>
        </w:tabs>
        <w:rPr>
          <w:color w:val="242121"/>
          <w:sz w:val="28"/>
          <w:shd w:val="clear" w:color="auto" w:fill="FFFFFF"/>
          <w:lang w:val="en-ZA"/>
        </w:rPr>
      </w:pPr>
    </w:p>
    <w:p w14:paraId="3C2F609C" w14:textId="5A336F81" w:rsidR="000D277E" w:rsidRPr="007429EC" w:rsidRDefault="000D277E" w:rsidP="00487D67">
      <w:pPr>
        <w:tabs>
          <w:tab w:val="left" w:pos="284"/>
        </w:tabs>
        <w:rPr>
          <w:color w:val="242121"/>
          <w:sz w:val="28"/>
          <w:shd w:val="clear" w:color="auto" w:fill="FFFFFF"/>
          <w:lang w:val="en-ZA"/>
        </w:rPr>
      </w:pPr>
      <w:r w:rsidRPr="007429EC">
        <w:rPr>
          <w:color w:val="242121"/>
          <w:sz w:val="28"/>
          <w:shd w:val="clear" w:color="auto" w:fill="FFFFFF"/>
          <w:lang w:val="en-ZA"/>
        </w:rPr>
        <w:t>[5]</w:t>
      </w:r>
      <w:r w:rsidRPr="007429EC">
        <w:rPr>
          <w:color w:val="242121"/>
          <w:sz w:val="28"/>
          <w:shd w:val="clear" w:color="auto" w:fill="FFFFFF"/>
          <w:lang w:val="en-ZA"/>
        </w:rPr>
        <w:tab/>
        <w:t xml:space="preserve">The third respondent, Lemascene (Pty) Ltd (Lemascene), fourth respondent, Serendipity Investments SA LCC </w:t>
      </w:r>
      <w:r w:rsidR="00420957" w:rsidRPr="007429EC">
        <w:rPr>
          <w:color w:val="242121"/>
          <w:sz w:val="28"/>
          <w:shd w:val="clear" w:color="auto" w:fill="FFFFFF"/>
          <w:lang w:val="en-ZA"/>
        </w:rPr>
        <w:t xml:space="preserve">(Serendipity) </w:t>
      </w:r>
      <w:r w:rsidRPr="007429EC">
        <w:rPr>
          <w:color w:val="242121"/>
          <w:sz w:val="28"/>
          <w:shd w:val="clear" w:color="auto" w:fill="FFFFFF"/>
          <w:lang w:val="en-ZA"/>
        </w:rPr>
        <w:t>and fifth respondent</w:t>
      </w:r>
      <w:r w:rsidR="007F28DA" w:rsidRPr="007429EC">
        <w:rPr>
          <w:color w:val="242121"/>
          <w:sz w:val="28"/>
          <w:shd w:val="clear" w:color="auto" w:fill="FFFFFF"/>
          <w:lang w:val="en-ZA"/>
        </w:rPr>
        <w:t>,</w:t>
      </w:r>
      <w:r w:rsidRPr="007429EC">
        <w:rPr>
          <w:color w:val="242121"/>
          <w:sz w:val="28"/>
          <w:shd w:val="clear" w:color="auto" w:fill="FFFFFF"/>
          <w:lang w:val="en-ZA"/>
        </w:rPr>
        <w:t xml:space="preserve"> Simeka </w:t>
      </w:r>
      <w:r w:rsidRPr="007429EC">
        <w:rPr>
          <w:color w:val="242121"/>
          <w:sz w:val="28"/>
          <w:shd w:val="clear" w:color="auto" w:fill="FFFFFF"/>
          <w:lang w:val="en-ZA"/>
        </w:rPr>
        <w:lastRenderedPageBreak/>
        <w:t xml:space="preserve">Investment Group (Pty) Ltd (Simeka Investment), resisted the grant of the relief sought by the </w:t>
      </w:r>
      <w:r w:rsidR="00D552DD" w:rsidRPr="007429EC">
        <w:rPr>
          <w:color w:val="242121"/>
          <w:sz w:val="28"/>
          <w:shd w:val="clear" w:color="auto" w:fill="FFFFFF"/>
          <w:lang w:val="en-ZA"/>
        </w:rPr>
        <w:t>g</w:t>
      </w:r>
      <w:r w:rsidRPr="007429EC">
        <w:rPr>
          <w:color w:val="242121"/>
          <w:sz w:val="28"/>
          <w:shd w:val="clear" w:color="auto" w:fill="FFFFFF"/>
          <w:lang w:val="en-ZA"/>
        </w:rPr>
        <w:t>overnment parties.</w:t>
      </w:r>
    </w:p>
    <w:p w14:paraId="7A4CD4C4" w14:textId="77777777" w:rsidR="000D277E" w:rsidRPr="007429EC" w:rsidRDefault="000D277E" w:rsidP="00487D67">
      <w:pPr>
        <w:tabs>
          <w:tab w:val="left" w:pos="284"/>
        </w:tabs>
        <w:rPr>
          <w:color w:val="242121"/>
          <w:sz w:val="28"/>
          <w:shd w:val="clear" w:color="auto" w:fill="FFFFFF"/>
          <w:lang w:val="en-ZA"/>
        </w:rPr>
      </w:pPr>
    </w:p>
    <w:p w14:paraId="708B5ADC" w14:textId="5904679B" w:rsidR="000D277E" w:rsidRPr="007429EC" w:rsidRDefault="000D277E" w:rsidP="00487D67">
      <w:pPr>
        <w:tabs>
          <w:tab w:val="left" w:pos="284"/>
        </w:tabs>
        <w:rPr>
          <w:color w:val="242121"/>
          <w:sz w:val="28"/>
          <w:shd w:val="clear" w:color="auto" w:fill="FFFFFF"/>
          <w:lang w:val="en-ZA"/>
        </w:rPr>
      </w:pPr>
      <w:r w:rsidRPr="007429EC">
        <w:rPr>
          <w:color w:val="242121"/>
          <w:sz w:val="28"/>
          <w:shd w:val="clear" w:color="auto" w:fill="FFFFFF"/>
          <w:lang w:val="en-ZA"/>
        </w:rPr>
        <w:t>[6]</w:t>
      </w:r>
      <w:r w:rsidRPr="007429EC">
        <w:rPr>
          <w:color w:val="242121"/>
          <w:sz w:val="28"/>
          <w:shd w:val="clear" w:color="auto" w:fill="FFFFFF"/>
          <w:lang w:val="en-ZA"/>
        </w:rPr>
        <w:tab/>
        <w:t>I pause here to mention that L</w:t>
      </w:r>
      <w:r w:rsidR="00D37573" w:rsidRPr="007429EC">
        <w:rPr>
          <w:color w:val="242121"/>
          <w:sz w:val="28"/>
          <w:shd w:val="clear" w:color="auto" w:fill="FFFFFF"/>
          <w:lang w:val="en-ZA"/>
        </w:rPr>
        <w:t>e</w:t>
      </w:r>
      <w:r w:rsidRPr="007429EC">
        <w:rPr>
          <w:color w:val="242121"/>
          <w:sz w:val="28"/>
          <w:shd w:val="clear" w:color="auto" w:fill="FFFFFF"/>
          <w:lang w:val="en-ZA"/>
        </w:rPr>
        <w:t>mascene, which was specifically incorporated for this purpose was</w:t>
      </w:r>
      <w:r w:rsidR="00420957" w:rsidRPr="007429EC">
        <w:rPr>
          <w:color w:val="242121"/>
          <w:sz w:val="28"/>
          <w:shd w:val="clear" w:color="auto" w:fill="FFFFFF"/>
          <w:lang w:val="en-ZA"/>
        </w:rPr>
        <w:t>,</w:t>
      </w:r>
      <w:r w:rsidR="00D552DD" w:rsidRPr="007429EC">
        <w:rPr>
          <w:color w:val="242121"/>
          <w:sz w:val="28"/>
          <w:shd w:val="clear" w:color="auto" w:fill="FFFFFF"/>
          <w:lang w:val="en-ZA"/>
        </w:rPr>
        <w:t xml:space="preserve"> on the one hand</w:t>
      </w:r>
      <w:r w:rsidR="00420957" w:rsidRPr="007429EC">
        <w:rPr>
          <w:color w:val="242121"/>
          <w:sz w:val="28"/>
          <w:shd w:val="clear" w:color="auto" w:fill="FFFFFF"/>
          <w:lang w:val="en-ZA"/>
        </w:rPr>
        <w:t>,</w:t>
      </w:r>
      <w:r w:rsidRPr="007429EC">
        <w:rPr>
          <w:color w:val="242121"/>
          <w:sz w:val="28"/>
          <w:shd w:val="clear" w:color="auto" w:fill="FFFFFF"/>
          <w:lang w:val="en-ZA"/>
        </w:rPr>
        <w:t xml:space="preserve"> designed to implement the South African part of the project. On the other hand, Serendipity which is a company incorporated in the </w:t>
      </w:r>
      <w:r w:rsidR="00F558BA" w:rsidRPr="007429EC">
        <w:rPr>
          <w:color w:val="242121"/>
          <w:sz w:val="28"/>
          <w:shd w:val="clear" w:color="auto" w:fill="FFFFFF"/>
          <w:lang w:val="en-ZA"/>
        </w:rPr>
        <w:t>USA</w:t>
      </w:r>
      <w:r w:rsidRPr="007429EC">
        <w:rPr>
          <w:color w:val="242121"/>
          <w:sz w:val="28"/>
          <w:shd w:val="clear" w:color="auto" w:fill="FFFFFF"/>
          <w:lang w:val="en-ZA"/>
        </w:rPr>
        <w:t xml:space="preserve"> was established to carry out the </w:t>
      </w:r>
      <w:r w:rsidR="00F558BA" w:rsidRPr="007429EC">
        <w:rPr>
          <w:color w:val="242121"/>
          <w:sz w:val="28"/>
          <w:shd w:val="clear" w:color="auto" w:fill="FFFFFF"/>
          <w:lang w:val="en-ZA"/>
        </w:rPr>
        <w:t>USA's</w:t>
      </w:r>
      <w:r w:rsidRPr="007429EC">
        <w:rPr>
          <w:color w:val="242121"/>
          <w:sz w:val="28"/>
          <w:shd w:val="clear" w:color="auto" w:fill="FFFFFF"/>
          <w:lang w:val="en-ZA"/>
        </w:rPr>
        <w:t xml:space="preserve"> portion of the project. </w:t>
      </w:r>
    </w:p>
    <w:p w14:paraId="58E9180D" w14:textId="77777777" w:rsidR="000D277E" w:rsidRPr="007429EC" w:rsidRDefault="000D277E" w:rsidP="00487D67">
      <w:pPr>
        <w:tabs>
          <w:tab w:val="left" w:pos="284"/>
        </w:tabs>
        <w:rPr>
          <w:color w:val="242121"/>
          <w:sz w:val="28"/>
          <w:shd w:val="clear" w:color="auto" w:fill="FFFFFF"/>
          <w:lang w:val="en-ZA"/>
        </w:rPr>
      </w:pPr>
    </w:p>
    <w:p w14:paraId="71102844" w14:textId="36327FB8" w:rsidR="000D277E" w:rsidRPr="007429EC" w:rsidRDefault="000D277E" w:rsidP="00487D67">
      <w:pPr>
        <w:tabs>
          <w:tab w:val="left" w:pos="284"/>
        </w:tabs>
        <w:rPr>
          <w:color w:val="242121"/>
          <w:sz w:val="28"/>
          <w:shd w:val="clear" w:color="auto" w:fill="FFFFFF"/>
          <w:lang w:val="en-ZA"/>
        </w:rPr>
      </w:pPr>
      <w:r w:rsidRPr="007429EC">
        <w:rPr>
          <w:color w:val="242121"/>
          <w:sz w:val="28"/>
          <w:shd w:val="clear" w:color="auto" w:fill="FFFFFF"/>
          <w:lang w:val="en-ZA"/>
        </w:rPr>
        <w:t>[7]</w:t>
      </w:r>
      <w:r w:rsidRPr="007429EC">
        <w:rPr>
          <w:color w:val="242121"/>
          <w:sz w:val="28"/>
          <w:shd w:val="clear" w:color="auto" w:fill="FFFFFF"/>
          <w:lang w:val="en-ZA"/>
        </w:rPr>
        <w:tab/>
        <w:t xml:space="preserve">In the event, the high court (per Hughes J) held that the </w:t>
      </w:r>
      <w:r w:rsidR="00D552DD" w:rsidRPr="007429EC">
        <w:rPr>
          <w:color w:val="242121"/>
          <w:sz w:val="28"/>
          <w:shd w:val="clear" w:color="auto" w:fill="FFFFFF"/>
          <w:lang w:val="en-ZA"/>
        </w:rPr>
        <w:t>g</w:t>
      </w:r>
      <w:r w:rsidRPr="007429EC">
        <w:rPr>
          <w:color w:val="242121"/>
          <w:sz w:val="28"/>
          <w:shd w:val="clear" w:color="auto" w:fill="FFFFFF"/>
          <w:lang w:val="en-ZA"/>
        </w:rPr>
        <w:t>overnment parties</w:t>
      </w:r>
      <w:r w:rsidR="003B6577" w:rsidRPr="007429EC">
        <w:rPr>
          <w:color w:val="242121"/>
          <w:sz w:val="28"/>
          <w:shd w:val="clear" w:color="auto" w:fill="FFFFFF"/>
          <w:lang w:val="en-ZA"/>
        </w:rPr>
        <w:t>'</w:t>
      </w:r>
      <w:r w:rsidRPr="007429EC">
        <w:rPr>
          <w:color w:val="242121"/>
          <w:sz w:val="28"/>
          <w:shd w:val="clear" w:color="auto" w:fill="FFFFFF"/>
          <w:lang w:val="en-ZA"/>
        </w:rPr>
        <w:t xml:space="preserve"> delay in instituting the review proceedings was: (</w:t>
      </w:r>
      <w:r w:rsidR="00CD3BA1" w:rsidRPr="007429EC">
        <w:rPr>
          <w:color w:val="242121"/>
          <w:sz w:val="28"/>
          <w:shd w:val="clear" w:color="auto" w:fill="FFFFFF"/>
          <w:lang w:val="en-ZA"/>
        </w:rPr>
        <w:t>a</w:t>
      </w:r>
      <w:r w:rsidRPr="007429EC">
        <w:rPr>
          <w:color w:val="242121"/>
          <w:sz w:val="28"/>
          <w:shd w:val="clear" w:color="auto" w:fill="FFFFFF"/>
          <w:lang w:val="en-ZA"/>
        </w:rPr>
        <w:t>) inordinate; (</w:t>
      </w:r>
      <w:r w:rsidR="00CD3BA1" w:rsidRPr="007429EC">
        <w:rPr>
          <w:color w:val="242121"/>
          <w:sz w:val="28"/>
          <w:shd w:val="clear" w:color="auto" w:fill="FFFFFF"/>
          <w:lang w:val="en-ZA"/>
        </w:rPr>
        <w:t>b</w:t>
      </w:r>
      <w:r w:rsidRPr="007429EC">
        <w:rPr>
          <w:color w:val="242121"/>
          <w:sz w:val="28"/>
          <w:shd w:val="clear" w:color="auto" w:fill="FFFFFF"/>
          <w:lang w:val="en-ZA"/>
        </w:rPr>
        <w:t>) the explanation proffered for the delay was woefully inadequate; and (</w:t>
      </w:r>
      <w:r w:rsidR="00CD3BA1" w:rsidRPr="007429EC">
        <w:rPr>
          <w:color w:val="242121"/>
          <w:sz w:val="28"/>
          <w:shd w:val="clear" w:color="auto" w:fill="FFFFFF"/>
          <w:lang w:val="en-ZA"/>
        </w:rPr>
        <w:t>c</w:t>
      </w:r>
      <w:r w:rsidRPr="007429EC">
        <w:rPr>
          <w:color w:val="242121"/>
          <w:sz w:val="28"/>
          <w:shd w:val="clear" w:color="auto" w:fill="FFFFFF"/>
          <w:lang w:val="en-ZA"/>
        </w:rPr>
        <w:t xml:space="preserve">) the delay itself was unreasonable. Accordingly, the high court declined to condone the delay and thus dismissed the application with costs, including the costs of two counsel. Thus, the </w:t>
      </w:r>
      <w:r w:rsidR="00D552DD" w:rsidRPr="007429EC">
        <w:rPr>
          <w:color w:val="242121"/>
          <w:sz w:val="28"/>
          <w:shd w:val="clear" w:color="auto" w:fill="FFFFFF"/>
          <w:lang w:val="en-ZA"/>
        </w:rPr>
        <w:t>g</w:t>
      </w:r>
      <w:r w:rsidRPr="007429EC">
        <w:rPr>
          <w:color w:val="242121"/>
          <w:sz w:val="28"/>
          <w:shd w:val="clear" w:color="auto" w:fill="FFFFFF"/>
          <w:lang w:val="en-ZA"/>
        </w:rPr>
        <w:t xml:space="preserve">overnment parties were non-suited solely on the basis of delay. Indeed, the high court called into question the bona fides of the </w:t>
      </w:r>
      <w:r w:rsidR="00D552DD" w:rsidRPr="007429EC">
        <w:rPr>
          <w:color w:val="242121"/>
          <w:sz w:val="28"/>
          <w:shd w:val="clear" w:color="auto" w:fill="FFFFFF"/>
          <w:lang w:val="en-ZA"/>
        </w:rPr>
        <w:t>g</w:t>
      </w:r>
      <w:r w:rsidRPr="007429EC">
        <w:rPr>
          <w:color w:val="242121"/>
          <w:sz w:val="28"/>
          <w:shd w:val="clear" w:color="auto" w:fill="FFFFFF"/>
          <w:lang w:val="en-ZA"/>
        </w:rPr>
        <w:t xml:space="preserve">overnment parties in instituting their legality self-review, and opined that the institution of the review application was actuated by ulterior motives. </w:t>
      </w:r>
      <w:r w:rsidR="00CD3BA1" w:rsidRPr="007429EC">
        <w:rPr>
          <w:color w:val="242121"/>
          <w:sz w:val="28"/>
          <w:shd w:val="clear" w:color="auto" w:fill="FFFFFF"/>
          <w:lang w:val="en-ZA"/>
        </w:rPr>
        <w:t>It further held</w:t>
      </w:r>
      <w:r w:rsidRPr="007429EC">
        <w:rPr>
          <w:color w:val="242121"/>
          <w:sz w:val="28"/>
          <w:shd w:val="clear" w:color="auto" w:fill="FFFFFF"/>
          <w:lang w:val="en-ZA"/>
        </w:rPr>
        <w:t xml:space="preserve"> that the </w:t>
      </w:r>
      <w:r w:rsidR="003B6577" w:rsidRPr="007429EC">
        <w:rPr>
          <w:color w:val="242121"/>
          <w:sz w:val="28"/>
          <w:shd w:val="clear" w:color="auto" w:fill="FFFFFF"/>
          <w:lang w:val="en-ZA"/>
        </w:rPr>
        <w:t>'</w:t>
      </w:r>
      <w:r w:rsidRPr="007429EC">
        <w:rPr>
          <w:color w:val="242121"/>
          <w:sz w:val="28"/>
          <w:shd w:val="clear" w:color="auto" w:fill="FFFFFF"/>
          <w:lang w:val="en-ZA"/>
        </w:rPr>
        <w:t>Department [sought] to evade its constitutional obligation by way of a self-review</w:t>
      </w:r>
      <w:r w:rsidR="003B6577" w:rsidRPr="007429EC">
        <w:rPr>
          <w:color w:val="242121"/>
          <w:sz w:val="28"/>
          <w:shd w:val="clear" w:color="auto" w:fill="FFFFFF"/>
          <w:lang w:val="en-ZA"/>
        </w:rPr>
        <w:t>'</w:t>
      </w:r>
      <w:r w:rsidRPr="007429EC">
        <w:rPr>
          <w:color w:val="242121"/>
          <w:sz w:val="28"/>
          <w:shd w:val="clear" w:color="auto" w:fill="FFFFFF"/>
          <w:lang w:val="en-ZA"/>
        </w:rPr>
        <w:t xml:space="preserve"> in order </w:t>
      </w:r>
      <w:r w:rsidR="003B6577" w:rsidRPr="007429EC">
        <w:rPr>
          <w:color w:val="242121"/>
          <w:sz w:val="28"/>
          <w:shd w:val="clear" w:color="auto" w:fill="FFFFFF"/>
          <w:lang w:val="en-ZA"/>
        </w:rPr>
        <w:t>'</w:t>
      </w:r>
      <w:r w:rsidRPr="007429EC">
        <w:rPr>
          <w:color w:val="242121"/>
          <w:sz w:val="28"/>
          <w:shd w:val="clear" w:color="auto" w:fill="FFFFFF"/>
          <w:lang w:val="en-ZA"/>
        </w:rPr>
        <w:t>to avoid a declaration that [the Department] is responsible for fruitless and wasteful expenditure</w:t>
      </w:r>
      <w:r w:rsidR="003B6577" w:rsidRPr="007429EC">
        <w:rPr>
          <w:color w:val="242121"/>
          <w:sz w:val="28"/>
          <w:shd w:val="clear" w:color="auto" w:fill="FFFFFF"/>
          <w:lang w:val="en-ZA"/>
        </w:rPr>
        <w:t>'</w:t>
      </w:r>
      <w:r w:rsidRPr="007429EC">
        <w:rPr>
          <w:color w:val="242121"/>
          <w:sz w:val="28"/>
          <w:shd w:val="clear" w:color="auto" w:fill="FFFFFF"/>
          <w:lang w:val="en-ZA"/>
        </w:rPr>
        <w:t xml:space="preserve">. On 14 May 2021 the high court granted the </w:t>
      </w:r>
      <w:r w:rsidR="00D552DD" w:rsidRPr="007429EC">
        <w:rPr>
          <w:color w:val="242121"/>
          <w:sz w:val="28"/>
          <w:shd w:val="clear" w:color="auto" w:fill="FFFFFF"/>
          <w:lang w:val="en-ZA"/>
        </w:rPr>
        <w:t>g</w:t>
      </w:r>
      <w:r w:rsidRPr="007429EC">
        <w:rPr>
          <w:color w:val="242121"/>
          <w:sz w:val="28"/>
          <w:shd w:val="clear" w:color="auto" w:fill="FFFFFF"/>
          <w:lang w:val="en-ZA"/>
        </w:rPr>
        <w:t xml:space="preserve">overnment parties leave to appeal to this Court, hence the present appeal. </w:t>
      </w:r>
    </w:p>
    <w:p w14:paraId="0C4526C1" w14:textId="77777777" w:rsidR="000D277E" w:rsidRPr="007429EC" w:rsidRDefault="000D277E" w:rsidP="00487D67">
      <w:pPr>
        <w:tabs>
          <w:tab w:val="left" w:pos="284"/>
        </w:tabs>
        <w:rPr>
          <w:color w:val="242121"/>
          <w:sz w:val="28"/>
          <w:shd w:val="clear" w:color="auto" w:fill="FFFFFF"/>
          <w:lang w:val="en-ZA"/>
        </w:rPr>
      </w:pPr>
    </w:p>
    <w:p w14:paraId="73530F22" w14:textId="54787839" w:rsidR="000D277E" w:rsidRPr="007429EC" w:rsidRDefault="000D277E" w:rsidP="00487D67">
      <w:pPr>
        <w:tabs>
          <w:tab w:val="left" w:pos="284"/>
        </w:tabs>
        <w:rPr>
          <w:b/>
          <w:color w:val="242121"/>
          <w:sz w:val="28"/>
          <w:shd w:val="clear" w:color="auto" w:fill="FFFFFF"/>
          <w:lang w:val="en-ZA"/>
        </w:rPr>
      </w:pPr>
      <w:r w:rsidRPr="007429EC">
        <w:rPr>
          <w:b/>
          <w:color w:val="242121"/>
          <w:sz w:val="28"/>
          <w:shd w:val="clear" w:color="auto" w:fill="FFFFFF"/>
          <w:lang w:val="en-ZA"/>
        </w:rPr>
        <w:t>Factual background</w:t>
      </w:r>
    </w:p>
    <w:p w14:paraId="6EC1CC4B" w14:textId="77777777" w:rsidR="00560C2D" w:rsidRPr="007429EC" w:rsidRDefault="000D277E" w:rsidP="00487D67">
      <w:pPr>
        <w:tabs>
          <w:tab w:val="left" w:pos="284"/>
        </w:tabs>
        <w:rPr>
          <w:color w:val="242121"/>
          <w:sz w:val="28"/>
          <w:shd w:val="clear" w:color="auto" w:fill="FFFFFF"/>
          <w:lang w:val="en-ZA"/>
        </w:rPr>
      </w:pPr>
      <w:r w:rsidRPr="007429EC">
        <w:rPr>
          <w:color w:val="242121"/>
          <w:sz w:val="28"/>
          <w:shd w:val="clear" w:color="auto" w:fill="FFFFFF"/>
          <w:lang w:val="en-ZA"/>
        </w:rPr>
        <w:t>[8]</w:t>
      </w:r>
      <w:r w:rsidRPr="007429EC">
        <w:rPr>
          <w:color w:val="242121"/>
          <w:sz w:val="28"/>
          <w:shd w:val="clear" w:color="auto" w:fill="FFFFFF"/>
          <w:lang w:val="en-ZA"/>
        </w:rPr>
        <w:tab/>
        <w:t xml:space="preserve">As alluded to above, on </w:t>
      </w:r>
      <w:r w:rsidR="00CD3BA1" w:rsidRPr="007429EC">
        <w:rPr>
          <w:color w:val="242121"/>
          <w:sz w:val="28"/>
          <w:shd w:val="clear" w:color="auto" w:fill="FFFFFF"/>
          <w:lang w:val="en-ZA"/>
        </w:rPr>
        <w:t>4</w:t>
      </w:r>
      <w:r w:rsidRPr="007429EC">
        <w:rPr>
          <w:color w:val="242121"/>
          <w:sz w:val="28"/>
          <w:shd w:val="clear" w:color="auto" w:fill="FFFFFF"/>
          <w:lang w:val="en-ZA"/>
        </w:rPr>
        <w:t xml:space="preserve"> March 2016 the Department issued a Request for Proposals (the RFP</w:t>
      </w:r>
      <w:r w:rsidR="00D552DD" w:rsidRPr="007429EC">
        <w:rPr>
          <w:color w:val="242121"/>
          <w:sz w:val="28"/>
          <w:shd w:val="clear" w:color="auto" w:fill="FFFFFF"/>
          <w:lang w:val="en-ZA"/>
        </w:rPr>
        <w:t>s</w:t>
      </w:r>
      <w:r w:rsidRPr="007429EC">
        <w:rPr>
          <w:color w:val="242121"/>
          <w:sz w:val="28"/>
          <w:shd w:val="clear" w:color="auto" w:fill="FFFFFF"/>
          <w:lang w:val="en-ZA"/>
        </w:rPr>
        <w:t xml:space="preserve">) for the appointment of a development partner for the design, construction and financing of suitable and sustainable office and residential </w:t>
      </w:r>
      <w:r w:rsidRPr="007429EC">
        <w:rPr>
          <w:color w:val="242121"/>
          <w:sz w:val="28"/>
          <w:shd w:val="clear" w:color="auto" w:fill="FFFFFF"/>
          <w:lang w:val="en-ZA"/>
        </w:rPr>
        <w:lastRenderedPageBreak/>
        <w:t>accommodation for the South African diplomatic missions</w:t>
      </w:r>
      <w:r w:rsidR="00CD3BA1" w:rsidRPr="007429EC">
        <w:rPr>
          <w:color w:val="242121"/>
          <w:sz w:val="28"/>
          <w:shd w:val="clear" w:color="auto" w:fill="FFFFFF"/>
          <w:lang w:val="en-ZA"/>
        </w:rPr>
        <w:t xml:space="preserve"> in</w:t>
      </w:r>
      <w:r w:rsidRPr="007429EC">
        <w:rPr>
          <w:color w:val="242121"/>
          <w:sz w:val="28"/>
          <w:shd w:val="clear" w:color="auto" w:fill="FFFFFF"/>
          <w:lang w:val="en-ZA"/>
        </w:rPr>
        <w:t xml:space="preserve"> the USA</w:t>
      </w:r>
      <w:r w:rsidR="00560C2D" w:rsidRPr="007429EC">
        <w:rPr>
          <w:color w:val="242121"/>
          <w:sz w:val="28"/>
          <w:shd w:val="clear" w:color="auto" w:fill="FFFFFF"/>
          <w:lang w:val="en-ZA"/>
        </w:rPr>
        <w:t>. This was</w:t>
      </w:r>
      <w:r w:rsidRPr="007429EC">
        <w:rPr>
          <w:color w:val="242121"/>
          <w:sz w:val="28"/>
          <w:shd w:val="clear" w:color="auto" w:fill="FFFFFF"/>
          <w:lang w:val="en-ZA"/>
        </w:rPr>
        <w:t xml:space="preserve"> pursuant </w:t>
      </w:r>
      <w:r w:rsidR="00EA29D8" w:rsidRPr="007429EC">
        <w:rPr>
          <w:color w:val="242121"/>
          <w:sz w:val="28"/>
          <w:shd w:val="clear" w:color="auto" w:fill="FFFFFF"/>
          <w:lang w:val="en-ZA"/>
        </w:rPr>
        <w:t xml:space="preserve">to an advertisement placed by the Department in the Government Tender Bulletin requesting proposals. More specifically, the Department made it perfectly clear that it sought to enter into what it termed a </w:t>
      </w:r>
      <w:r w:rsidR="003B6577" w:rsidRPr="007429EC">
        <w:rPr>
          <w:color w:val="242121"/>
          <w:sz w:val="28"/>
          <w:shd w:val="clear" w:color="auto" w:fill="FFFFFF"/>
          <w:lang w:val="en-ZA"/>
        </w:rPr>
        <w:t>'</w:t>
      </w:r>
      <w:r w:rsidR="00EA29D8" w:rsidRPr="007429EC">
        <w:rPr>
          <w:color w:val="242121"/>
          <w:sz w:val="28"/>
          <w:shd w:val="clear" w:color="auto" w:fill="FFFFFF"/>
          <w:lang w:val="en-ZA"/>
        </w:rPr>
        <w:t>long term lease</w:t>
      </w:r>
      <w:r w:rsidR="003B6577" w:rsidRPr="007429EC">
        <w:rPr>
          <w:color w:val="242121"/>
          <w:sz w:val="28"/>
          <w:shd w:val="clear" w:color="auto" w:fill="FFFFFF"/>
          <w:lang w:val="en-ZA"/>
        </w:rPr>
        <w:t>'</w:t>
      </w:r>
      <w:r w:rsidR="00EA29D8" w:rsidRPr="007429EC">
        <w:rPr>
          <w:color w:val="242121"/>
          <w:sz w:val="28"/>
          <w:shd w:val="clear" w:color="auto" w:fill="FFFFFF"/>
          <w:lang w:val="en-ZA"/>
        </w:rPr>
        <w:t xml:space="preserve"> or, in the alternative, a </w:t>
      </w:r>
      <w:r w:rsidR="003B6577" w:rsidRPr="007429EC">
        <w:rPr>
          <w:color w:val="242121"/>
          <w:sz w:val="28"/>
          <w:shd w:val="clear" w:color="auto" w:fill="FFFFFF"/>
          <w:lang w:val="en-ZA"/>
        </w:rPr>
        <w:t>'</w:t>
      </w:r>
      <w:r w:rsidR="00EA29D8" w:rsidRPr="007429EC">
        <w:rPr>
          <w:color w:val="242121"/>
          <w:sz w:val="28"/>
          <w:shd w:val="clear" w:color="auto" w:fill="FFFFFF"/>
          <w:lang w:val="en-ZA"/>
        </w:rPr>
        <w:t>lease to buy property</w:t>
      </w:r>
      <w:r w:rsidR="003B6577" w:rsidRPr="007429EC">
        <w:rPr>
          <w:color w:val="242121"/>
          <w:sz w:val="28"/>
          <w:shd w:val="clear" w:color="auto" w:fill="FFFFFF"/>
          <w:lang w:val="en-ZA"/>
        </w:rPr>
        <w:t>'</w:t>
      </w:r>
      <w:r w:rsidR="00EA29D8" w:rsidRPr="007429EC">
        <w:rPr>
          <w:color w:val="242121"/>
          <w:sz w:val="28"/>
          <w:shd w:val="clear" w:color="auto" w:fill="FFFFFF"/>
          <w:lang w:val="en-ZA"/>
        </w:rPr>
        <w:t xml:space="preserve"> option</w:t>
      </w:r>
      <w:r w:rsidR="00560C2D" w:rsidRPr="007429EC">
        <w:rPr>
          <w:color w:val="242121"/>
          <w:sz w:val="28"/>
          <w:shd w:val="clear" w:color="auto" w:fill="FFFFFF"/>
          <w:lang w:val="en-ZA"/>
        </w:rPr>
        <w:t>,</w:t>
      </w:r>
      <w:r w:rsidR="00EA29D8" w:rsidRPr="007429EC">
        <w:rPr>
          <w:color w:val="242121"/>
          <w:sz w:val="28"/>
          <w:shd w:val="clear" w:color="auto" w:fill="FFFFFF"/>
          <w:lang w:val="en-ZA"/>
        </w:rPr>
        <w:t xml:space="preserve"> with a South African incorporated entity that had </w:t>
      </w:r>
      <w:r w:rsidR="003B6577" w:rsidRPr="007429EC">
        <w:rPr>
          <w:color w:val="242121"/>
          <w:sz w:val="28"/>
          <w:shd w:val="clear" w:color="auto" w:fill="FFFFFF"/>
          <w:lang w:val="en-ZA"/>
        </w:rPr>
        <w:t>'</w:t>
      </w:r>
      <w:r w:rsidR="00EA29D8" w:rsidRPr="007429EC">
        <w:rPr>
          <w:color w:val="242121"/>
          <w:sz w:val="28"/>
          <w:shd w:val="clear" w:color="auto" w:fill="FFFFFF"/>
          <w:lang w:val="en-ZA"/>
        </w:rPr>
        <w:t>presence or collaboration</w:t>
      </w:r>
      <w:r w:rsidR="003B6577" w:rsidRPr="007429EC">
        <w:rPr>
          <w:color w:val="242121"/>
          <w:sz w:val="28"/>
          <w:shd w:val="clear" w:color="auto" w:fill="FFFFFF"/>
          <w:lang w:val="en-ZA"/>
        </w:rPr>
        <w:t>'</w:t>
      </w:r>
      <w:r w:rsidR="00EA29D8" w:rsidRPr="007429EC">
        <w:rPr>
          <w:color w:val="242121"/>
          <w:sz w:val="28"/>
          <w:shd w:val="clear" w:color="auto" w:fill="FFFFFF"/>
          <w:lang w:val="en-ZA"/>
        </w:rPr>
        <w:t xml:space="preserve"> in New York and </w:t>
      </w:r>
      <w:r w:rsidR="003B6577" w:rsidRPr="007429EC">
        <w:rPr>
          <w:color w:val="242121"/>
          <w:sz w:val="28"/>
          <w:shd w:val="clear" w:color="auto" w:fill="FFFFFF"/>
          <w:lang w:val="en-ZA"/>
        </w:rPr>
        <w:t>'</w:t>
      </w:r>
      <w:r w:rsidR="00EA29D8" w:rsidRPr="007429EC">
        <w:rPr>
          <w:color w:val="242121"/>
          <w:sz w:val="28"/>
          <w:shd w:val="clear" w:color="auto" w:fill="FFFFFF"/>
          <w:lang w:val="en-ZA"/>
        </w:rPr>
        <w:t>able to finance, procure and maintain accommodation and act as landlord to the Government</w:t>
      </w:r>
      <w:r w:rsidR="003B6577" w:rsidRPr="007429EC">
        <w:rPr>
          <w:color w:val="242121"/>
          <w:sz w:val="28"/>
          <w:shd w:val="clear" w:color="auto" w:fill="FFFFFF"/>
          <w:lang w:val="en-ZA"/>
        </w:rPr>
        <w:t>'</w:t>
      </w:r>
      <w:r w:rsidR="00EA29D8" w:rsidRPr="007429EC">
        <w:rPr>
          <w:color w:val="242121"/>
          <w:sz w:val="28"/>
          <w:shd w:val="clear" w:color="auto" w:fill="FFFFFF"/>
          <w:lang w:val="en-ZA"/>
        </w:rPr>
        <w:t xml:space="preserve"> of the Republic of South Africa. </w:t>
      </w:r>
    </w:p>
    <w:p w14:paraId="47C2B06B" w14:textId="77777777" w:rsidR="00560C2D" w:rsidRPr="007429EC" w:rsidRDefault="00560C2D" w:rsidP="00487D67">
      <w:pPr>
        <w:tabs>
          <w:tab w:val="left" w:pos="284"/>
        </w:tabs>
        <w:rPr>
          <w:color w:val="242121"/>
          <w:sz w:val="28"/>
          <w:shd w:val="clear" w:color="auto" w:fill="FFFFFF"/>
          <w:lang w:val="en-ZA"/>
        </w:rPr>
      </w:pPr>
    </w:p>
    <w:p w14:paraId="10A16B19" w14:textId="158D30BA" w:rsidR="000D277E" w:rsidRPr="007429EC" w:rsidRDefault="00560C2D" w:rsidP="00487D67">
      <w:pPr>
        <w:tabs>
          <w:tab w:val="left" w:pos="284"/>
        </w:tabs>
        <w:rPr>
          <w:color w:val="242121"/>
          <w:sz w:val="28"/>
          <w:shd w:val="clear" w:color="auto" w:fill="FFFFFF"/>
          <w:lang w:val="en-ZA"/>
        </w:rPr>
      </w:pPr>
      <w:r w:rsidRPr="007429EC">
        <w:rPr>
          <w:color w:val="242121"/>
          <w:sz w:val="28"/>
          <w:shd w:val="clear" w:color="auto" w:fill="FFFFFF"/>
          <w:lang w:val="en-ZA"/>
        </w:rPr>
        <w:t>[9]</w:t>
      </w:r>
      <w:r w:rsidRPr="007429EC">
        <w:rPr>
          <w:color w:val="242121"/>
          <w:sz w:val="28"/>
          <w:shd w:val="clear" w:color="auto" w:fill="FFFFFF"/>
          <w:lang w:val="en-ZA"/>
        </w:rPr>
        <w:tab/>
      </w:r>
      <w:r w:rsidR="00EA29D8" w:rsidRPr="007429EC">
        <w:rPr>
          <w:color w:val="242121"/>
          <w:sz w:val="28"/>
          <w:shd w:val="clear" w:color="auto" w:fill="FFFFFF"/>
          <w:lang w:val="en-ZA"/>
        </w:rPr>
        <w:t xml:space="preserve">To achieve </w:t>
      </w:r>
      <w:r w:rsidRPr="007429EC">
        <w:rPr>
          <w:color w:val="242121"/>
          <w:sz w:val="28"/>
          <w:shd w:val="clear" w:color="auto" w:fill="FFFFFF"/>
          <w:lang w:val="en-ZA"/>
        </w:rPr>
        <w:t>the Department's</w:t>
      </w:r>
      <w:r w:rsidR="00EA29D8" w:rsidRPr="007429EC">
        <w:rPr>
          <w:color w:val="242121"/>
          <w:sz w:val="28"/>
          <w:shd w:val="clear" w:color="auto" w:fill="FFFFFF"/>
          <w:lang w:val="en-ZA"/>
        </w:rPr>
        <w:t xml:space="preserve"> objective, prospective bidders were explicitly requested to </w:t>
      </w:r>
      <w:r w:rsidR="003B6577" w:rsidRPr="007429EC">
        <w:rPr>
          <w:color w:val="242121"/>
          <w:sz w:val="28"/>
          <w:shd w:val="clear" w:color="auto" w:fill="FFFFFF"/>
          <w:lang w:val="en-ZA"/>
        </w:rPr>
        <w:t>'</w:t>
      </w:r>
      <w:r w:rsidR="00EA29D8" w:rsidRPr="007429EC">
        <w:rPr>
          <w:color w:val="242121"/>
          <w:sz w:val="28"/>
          <w:shd w:val="clear" w:color="auto" w:fill="FFFFFF"/>
          <w:lang w:val="en-ZA"/>
        </w:rPr>
        <w:t>identify and secure land</w:t>
      </w:r>
      <w:r w:rsidR="003B6577" w:rsidRPr="007429EC">
        <w:rPr>
          <w:color w:val="242121"/>
          <w:sz w:val="28"/>
          <w:shd w:val="clear" w:color="auto" w:fill="FFFFFF"/>
          <w:lang w:val="en-ZA"/>
        </w:rPr>
        <w:t>'</w:t>
      </w:r>
      <w:r w:rsidR="00EA29D8" w:rsidRPr="007429EC">
        <w:rPr>
          <w:color w:val="242121"/>
          <w:sz w:val="28"/>
          <w:shd w:val="clear" w:color="auto" w:fill="FFFFFF"/>
          <w:lang w:val="en-ZA"/>
        </w:rPr>
        <w:t xml:space="preserve"> – self-evidently in Manhattan, New York City – and to </w:t>
      </w:r>
      <w:r w:rsidR="003B6577" w:rsidRPr="007429EC">
        <w:rPr>
          <w:color w:val="242121"/>
          <w:sz w:val="28"/>
          <w:shd w:val="clear" w:color="auto" w:fill="FFFFFF"/>
          <w:lang w:val="en-ZA"/>
        </w:rPr>
        <w:t>'</w:t>
      </w:r>
      <w:r w:rsidR="00EA29D8" w:rsidRPr="007429EC">
        <w:rPr>
          <w:color w:val="242121"/>
          <w:sz w:val="28"/>
          <w:shd w:val="clear" w:color="auto" w:fill="FFFFFF"/>
          <w:lang w:val="en-ZA"/>
        </w:rPr>
        <w:t>design and develop or redevelop</w:t>
      </w:r>
      <w:r w:rsidR="003B6577" w:rsidRPr="007429EC">
        <w:rPr>
          <w:color w:val="242121"/>
          <w:sz w:val="28"/>
          <w:shd w:val="clear" w:color="auto" w:fill="FFFFFF"/>
          <w:lang w:val="en-ZA"/>
        </w:rPr>
        <w:t>'</w:t>
      </w:r>
      <w:r w:rsidR="00EA29D8" w:rsidRPr="007429EC">
        <w:rPr>
          <w:color w:val="242121"/>
          <w:sz w:val="28"/>
          <w:shd w:val="clear" w:color="auto" w:fill="FFFFFF"/>
          <w:lang w:val="en-ZA"/>
        </w:rPr>
        <w:t xml:space="preserve"> such land in accordance with the Department</w:t>
      </w:r>
      <w:r w:rsidR="003B6577" w:rsidRPr="007429EC">
        <w:rPr>
          <w:color w:val="242121"/>
          <w:sz w:val="28"/>
          <w:shd w:val="clear" w:color="auto" w:fill="FFFFFF"/>
          <w:lang w:val="en-ZA"/>
        </w:rPr>
        <w:t>'</w:t>
      </w:r>
      <w:r w:rsidR="00EA29D8" w:rsidRPr="007429EC">
        <w:rPr>
          <w:color w:val="242121"/>
          <w:sz w:val="28"/>
          <w:shd w:val="clear" w:color="auto" w:fill="FFFFFF"/>
          <w:lang w:val="en-ZA"/>
        </w:rPr>
        <w:t xml:space="preserve">s tender specifications. </w:t>
      </w:r>
      <w:r w:rsidR="00E85D81" w:rsidRPr="007429EC">
        <w:rPr>
          <w:color w:val="242121"/>
          <w:sz w:val="28"/>
          <w:shd w:val="clear" w:color="auto" w:fill="FFFFFF"/>
          <w:lang w:val="en-ZA"/>
        </w:rPr>
        <w:t>And</w:t>
      </w:r>
      <w:r w:rsidR="000B4C98" w:rsidRPr="007429EC">
        <w:rPr>
          <w:color w:val="242121"/>
          <w:sz w:val="28"/>
          <w:shd w:val="clear" w:color="auto" w:fill="FFFFFF"/>
          <w:lang w:val="en-ZA"/>
        </w:rPr>
        <w:t>,</w:t>
      </w:r>
      <w:r w:rsidR="00E85D81" w:rsidRPr="007429EC">
        <w:rPr>
          <w:color w:val="242121"/>
          <w:sz w:val="28"/>
          <w:shd w:val="clear" w:color="auto" w:fill="FFFFFF"/>
          <w:lang w:val="en-ZA"/>
        </w:rPr>
        <w:t xml:space="preserve"> beyond this point, the successful tenderer would be required to operate, manage and maintain the facilities. This entailed, as expressly required by the RFP</w:t>
      </w:r>
      <w:r w:rsidR="004B6D5A" w:rsidRPr="007429EC">
        <w:rPr>
          <w:color w:val="242121"/>
          <w:sz w:val="28"/>
          <w:shd w:val="clear" w:color="auto" w:fill="FFFFFF"/>
          <w:lang w:val="en-ZA"/>
        </w:rPr>
        <w:t>s</w:t>
      </w:r>
      <w:r w:rsidR="00E85D81" w:rsidRPr="007429EC">
        <w:rPr>
          <w:color w:val="242121"/>
          <w:sz w:val="28"/>
          <w:shd w:val="clear" w:color="auto" w:fill="FFFFFF"/>
          <w:lang w:val="en-ZA"/>
        </w:rPr>
        <w:t>, tha</w:t>
      </w:r>
      <w:r w:rsidR="0050228F" w:rsidRPr="007429EC">
        <w:rPr>
          <w:color w:val="242121"/>
          <w:sz w:val="28"/>
          <w:shd w:val="clear" w:color="auto" w:fill="FFFFFF"/>
          <w:lang w:val="en-ZA"/>
        </w:rPr>
        <w:t>t the successful tenderer</w:t>
      </w:r>
      <w:r w:rsidR="00E85D81" w:rsidRPr="007429EC">
        <w:rPr>
          <w:color w:val="242121"/>
          <w:sz w:val="28"/>
          <w:shd w:val="clear" w:color="auto" w:fill="FFFFFF"/>
          <w:lang w:val="en-ZA"/>
        </w:rPr>
        <w:t xml:space="preserve"> was expected to </w:t>
      </w:r>
      <w:r w:rsidR="003B6577" w:rsidRPr="007429EC">
        <w:rPr>
          <w:color w:val="242121"/>
          <w:sz w:val="28"/>
          <w:shd w:val="clear" w:color="auto" w:fill="FFFFFF"/>
          <w:lang w:val="en-ZA"/>
        </w:rPr>
        <w:t>'</w:t>
      </w:r>
      <w:r w:rsidR="00E85D81" w:rsidRPr="007429EC">
        <w:rPr>
          <w:color w:val="242121"/>
          <w:sz w:val="28"/>
          <w:shd w:val="clear" w:color="auto" w:fill="FFFFFF"/>
          <w:lang w:val="en-ZA"/>
        </w:rPr>
        <w:t>raise the required funding to finance both the capital and operational costs of acquiring and managing the facilities</w:t>
      </w:r>
      <w:r w:rsidR="003B6577" w:rsidRPr="007429EC">
        <w:rPr>
          <w:color w:val="242121"/>
          <w:sz w:val="28"/>
          <w:shd w:val="clear" w:color="auto" w:fill="FFFFFF"/>
          <w:lang w:val="en-ZA"/>
        </w:rPr>
        <w:t>'</w:t>
      </w:r>
      <w:r w:rsidR="00E85D81" w:rsidRPr="007429EC">
        <w:rPr>
          <w:color w:val="242121"/>
          <w:sz w:val="28"/>
          <w:shd w:val="clear" w:color="auto" w:fill="FFFFFF"/>
          <w:lang w:val="en-ZA"/>
        </w:rPr>
        <w:t xml:space="preserve"> for the beneficial use of the Department. </w:t>
      </w:r>
    </w:p>
    <w:p w14:paraId="6BAE02D1" w14:textId="77777777" w:rsidR="00E85D81" w:rsidRPr="007429EC" w:rsidRDefault="00E85D81" w:rsidP="00487D67">
      <w:pPr>
        <w:tabs>
          <w:tab w:val="left" w:pos="284"/>
        </w:tabs>
        <w:rPr>
          <w:color w:val="242121"/>
          <w:sz w:val="28"/>
          <w:shd w:val="clear" w:color="auto" w:fill="FFFFFF"/>
          <w:lang w:val="en-ZA"/>
        </w:rPr>
      </w:pPr>
    </w:p>
    <w:p w14:paraId="0C6342EA" w14:textId="28C79B06" w:rsidR="00E85D81" w:rsidRPr="007429EC" w:rsidRDefault="00E85D81" w:rsidP="00487D67">
      <w:pPr>
        <w:tabs>
          <w:tab w:val="left" w:pos="284"/>
        </w:tabs>
        <w:rPr>
          <w:color w:val="242121"/>
          <w:sz w:val="28"/>
          <w:shd w:val="clear" w:color="auto" w:fill="FFFFFF"/>
          <w:lang w:val="en-ZA"/>
        </w:rPr>
      </w:pPr>
      <w:r w:rsidRPr="007429EC">
        <w:rPr>
          <w:color w:val="242121"/>
          <w:sz w:val="28"/>
          <w:shd w:val="clear" w:color="auto" w:fill="FFFFFF"/>
          <w:lang w:val="en-ZA"/>
        </w:rPr>
        <w:t>[</w:t>
      </w:r>
      <w:r w:rsidR="00207808" w:rsidRPr="007429EC">
        <w:rPr>
          <w:color w:val="242121"/>
          <w:sz w:val="28"/>
          <w:shd w:val="clear" w:color="auto" w:fill="FFFFFF"/>
          <w:lang w:val="en-ZA"/>
        </w:rPr>
        <w:t>10</w:t>
      </w:r>
      <w:r w:rsidRPr="007429EC">
        <w:rPr>
          <w:color w:val="242121"/>
          <w:sz w:val="28"/>
          <w:shd w:val="clear" w:color="auto" w:fill="FFFFFF"/>
          <w:lang w:val="en-ZA"/>
        </w:rPr>
        <w:t>]</w:t>
      </w:r>
      <w:r w:rsidRPr="007429EC">
        <w:rPr>
          <w:color w:val="242121"/>
          <w:sz w:val="28"/>
          <w:shd w:val="clear" w:color="auto" w:fill="FFFFFF"/>
          <w:lang w:val="en-ZA"/>
        </w:rPr>
        <w:tab/>
        <w:t>The process for accepting any responsive bid entailed the following:</w:t>
      </w:r>
    </w:p>
    <w:p w14:paraId="41C97D47" w14:textId="43E59D51" w:rsidR="00E85D81" w:rsidRPr="007429EC" w:rsidRDefault="00E85D81" w:rsidP="00487D67">
      <w:pPr>
        <w:tabs>
          <w:tab w:val="left" w:pos="284"/>
        </w:tabs>
        <w:rPr>
          <w:color w:val="242121"/>
          <w:sz w:val="28"/>
          <w:shd w:val="clear" w:color="auto" w:fill="FFFFFF"/>
          <w:lang w:val="en-ZA"/>
        </w:rPr>
      </w:pPr>
      <w:r w:rsidRPr="007429EC">
        <w:rPr>
          <w:color w:val="242121"/>
          <w:sz w:val="28"/>
          <w:shd w:val="clear" w:color="auto" w:fill="FFFFFF"/>
          <w:lang w:val="en-ZA"/>
        </w:rPr>
        <w:t xml:space="preserve">(a) </w:t>
      </w:r>
      <w:r w:rsidR="000B4C98" w:rsidRPr="007429EC">
        <w:rPr>
          <w:color w:val="242121"/>
          <w:sz w:val="28"/>
          <w:shd w:val="clear" w:color="auto" w:fill="FFFFFF"/>
          <w:lang w:val="en-ZA"/>
        </w:rPr>
        <w:t xml:space="preserve">bids would be screened to determine whether they complied with the requirements of the RFPs, </w:t>
      </w:r>
      <w:r w:rsidR="00CD3BA1" w:rsidRPr="007429EC">
        <w:rPr>
          <w:color w:val="242121"/>
          <w:sz w:val="28"/>
          <w:shd w:val="clear" w:color="auto" w:fill="FFFFFF"/>
          <w:lang w:val="en-ZA"/>
        </w:rPr>
        <w:t>which, inter alia,</w:t>
      </w:r>
      <w:r w:rsidR="000B4C98" w:rsidRPr="007429EC">
        <w:rPr>
          <w:color w:val="242121"/>
          <w:sz w:val="28"/>
          <w:shd w:val="clear" w:color="auto" w:fill="FFFFFF"/>
          <w:lang w:val="en-ZA"/>
        </w:rPr>
        <w:t xml:space="preserve"> were:</w:t>
      </w:r>
    </w:p>
    <w:p w14:paraId="013028DA" w14:textId="7C1D6E15" w:rsidR="000B4C98" w:rsidRPr="007429EC" w:rsidRDefault="000B4C98" w:rsidP="00487D67">
      <w:pPr>
        <w:tabs>
          <w:tab w:val="left" w:pos="284"/>
        </w:tabs>
        <w:rPr>
          <w:color w:val="242121"/>
          <w:sz w:val="28"/>
          <w:shd w:val="clear" w:color="auto" w:fill="FFFFFF"/>
          <w:lang w:val="en-ZA"/>
        </w:rPr>
      </w:pPr>
      <w:r w:rsidRPr="007429EC">
        <w:rPr>
          <w:color w:val="242121"/>
          <w:sz w:val="28"/>
          <w:shd w:val="clear" w:color="auto" w:fill="FFFFFF"/>
          <w:lang w:val="en-ZA"/>
        </w:rPr>
        <w:t>(i) that each bidder should provide audited financial statements for the immediate past three years;</w:t>
      </w:r>
    </w:p>
    <w:p w14:paraId="786CAC5D" w14:textId="69D0D988" w:rsidR="000B4C98" w:rsidRPr="007429EC" w:rsidRDefault="000B4C98" w:rsidP="00487D67">
      <w:pPr>
        <w:tabs>
          <w:tab w:val="left" w:pos="284"/>
        </w:tabs>
        <w:rPr>
          <w:color w:val="242121"/>
          <w:sz w:val="28"/>
          <w:shd w:val="clear" w:color="auto" w:fill="FFFFFF"/>
          <w:lang w:val="en-ZA"/>
        </w:rPr>
      </w:pPr>
      <w:r w:rsidRPr="007429EC">
        <w:rPr>
          <w:color w:val="242121"/>
          <w:sz w:val="28"/>
          <w:shd w:val="clear" w:color="auto" w:fill="FFFFFF"/>
          <w:lang w:val="en-ZA"/>
        </w:rPr>
        <w:t>(ii) in the case of a Joint Venture or Consortium</w:t>
      </w:r>
      <w:r w:rsidR="009D3DB1" w:rsidRPr="007429EC">
        <w:rPr>
          <w:color w:val="242121"/>
          <w:sz w:val="28"/>
          <w:shd w:val="clear" w:color="auto" w:fill="FFFFFF"/>
          <w:lang w:val="en-ZA"/>
        </w:rPr>
        <w:t>,</w:t>
      </w:r>
      <w:r w:rsidRPr="007429EC">
        <w:rPr>
          <w:color w:val="242121"/>
          <w:sz w:val="28"/>
          <w:shd w:val="clear" w:color="auto" w:fill="FFFFFF"/>
          <w:lang w:val="en-ZA"/>
        </w:rPr>
        <w:t xml:space="preserve"> each one of the parties forming part of the Joint Venture or Consortium would be required to provide audited financial statements;</w:t>
      </w:r>
    </w:p>
    <w:p w14:paraId="14219468" w14:textId="77F9332D" w:rsidR="000B4C98" w:rsidRPr="007429EC" w:rsidRDefault="000B4C98" w:rsidP="00487D67">
      <w:pPr>
        <w:tabs>
          <w:tab w:val="left" w:pos="284"/>
        </w:tabs>
        <w:rPr>
          <w:color w:val="242121"/>
          <w:sz w:val="28"/>
          <w:shd w:val="clear" w:color="auto" w:fill="FFFFFF"/>
          <w:lang w:val="en-ZA"/>
        </w:rPr>
      </w:pPr>
      <w:r w:rsidRPr="007429EC">
        <w:rPr>
          <w:color w:val="242121"/>
          <w:sz w:val="28"/>
          <w:shd w:val="clear" w:color="auto" w:fill="FFFFFF"/>
          <w:lang w:val="en-ZA"/>
        </w:rPr>
        <w:lastRenderedPageBreak/>
        <w:t>(b) bidders were required to provide proof that they would be able to raise the required capital to fund the project;</w:t>
      </w:r>
    </w:p>
    <w:p w14:paraId="2C168BAD" w14:textId="63C5AA79" w:rsidR="000B4C98" w:rsidRPr="007429EC" w:rsidRDefault="000B4C98" w:rsidP="00487D67">
      <w:pPr>
        <w:tabs>
          <w:tab w:val="left" w:pos="284"/>
        </w:tabs>
        <w:rPr>
          <w:color w:val="242121"/>
          <w:sz w:val="28"/>
          <w:shd w:val="clear" w:color="auto" w:fill="FFFFFF"/>
          <w:lang w:val="en-ZA"/>
        </w:rPr>
      </w:pPr>
      <w:r w:rsidRPr="007429EC">
        <w:rPr>
          <w:color w:val="242121"/>
          <w:sz w:val="28"/>
          <w:shd w:val="clear" w:color="auto" w:fill="FFFFFF"/>
          <w:lang w:val="en-ZA"/>
        </w:rPr>
        <w:t xml:space="preserve">(c) as required by Treasury </w:t>
      </w:r>
      <w:r w:rsidR="006D235E">
        <w:rPr>
          <w:color w:val="242121"/>
          <w:sz w:val="28"/>
          <w:shd w:val="clear" w:color="auto" w:fill="FFFFFF"/>
          <w:lang w:val="en-ZA"/>
        </w:rPr>
        <w:t>R</w:t>
      </w:r>
      <w:r w:rsidRPr="007429EC">
        <w:rPr>
          <w:color w:val="242121"/>
          <w:sz w:val="28"/>
          <w:shd w:val="clear" w:color="auto" w:fill="FFFFFF"/>
          <w:lang w:val="en-ZA"/>
        </w:rPr>
        <w:t>egulations with respect to procurement of goods and services for organs of state, the bids would be evaluated by the Bid Evaluation Committee (BEC) and if they met the required threshold</w:t>
      </w:r>
      <w:r w:rsidR="009D3DB1" w:rsidRPr="007429EC">
        <w:rPr>
          <w:color w:val="242121"/>
          <w:sz w:val="28"/>
          <w:shd w:val="clear" w:color="auto" w:fill="FFFFFF"/>
          <w:lang w:val="en-ZA"/>
        </w:rPr>
        <w:t>,</w:t>
      </w:r>
      <w:r w:rsidRPr="007429EC">
        <w:rPr>
          <w:color w:val="242121"/>
          <w:sz w:val="28"/>
          <w:shd w:val="clear" w:color="auto" w:fill="FFFFFF"/>
          <w:lang w:val="en-ZA"/>
        </w:rPr>
        <w:t xml:space="preserve"> they would then proceed to the Bid Adjudication Committee (BAC) </w:t>
      </w:r>
      <w:r w:rsidR="009D3DB1" w:rsidRPr="007429EC">
        <w:rPr>
          <w:color w:val="242121"/>
          <w:sz w:val="28"/>
          <w:shd w:val="clear" w:color="auto" w:fill="FFFFFF"/>
          <w:lang w:val="en-ZA"/>
        </w:rPr>
        <w:t xml:space="preserve">which was </w:t>
      </w:r>
      <w:r w:rsidRPr="007429EC">
        <w:rPr>
          <w:color w:val="242121"/>
          <w:sz w:val="28"/>
          <w:shd w:val="clear" w:color="auto" w:fill="FFFFFF"/>
          <w:lang w:val="en-ZA"/>
        </w:rPr>
        <w:t>tasked with the responsibility of adjudicating the bids to determine if they met the requirements of the bid as required by the RFPs.</w:t>
      </w:r>
    </w:p>
    <w:p w14:paraId="79654FEA" w14:textId="77777777" w:rsidR="00E85D81" w:rsidRPr="007429EC" w:rsidRDefault="00E85D81" w:rsidP="00487D67">
      <w:pPr>
        <w:tabs>
          <w:tab w:val="left" w:pos="284"/>
        </w:tabs>
        <w:rPr>
          <w:color w:val="242121"/>
          <w:sz w:val="28"/>
          <w:shd w:val="clear" w:color="auto" w:fill="FFFFFF"/>
          <w:lang w:val="en-ZA"/>
        </w:rPr>
      </w:pPr>
    </w:p>
    <w:p w14:paraId="3EB7C569" w14:textId="7E6F5E9C" w:rsidR="00E85D81" w:rsidRPr="007429EC" w:rsidRDefault="00E85D81" w:rsidP="00487D67">
      <w:pPr>
        <w:tabs>
          <w:tab w:val="left" w:pos="284"/>
        </w:tabs>
        <w:rPr>
          <w:color w:val="242121"/>
          <w:sz w:val="28"/>
          <w:shd w:val="clear" w:color="auto" w:fill="FFFFFF"/>
          <w:lang w:val="en-ZA"/>
        </w:rPr>
      </w:pPr>
      <w:r w:rsidRPr="007429EC">
        <w:rPr>
          <w:color w:val="242121"/>
          <w:sz w:val="28"/>
          <w:shd w:val="clear" w:color="auto" w:fill="FFFFFF"/>
          <w:lang w:val="en-ZA"/>
        </w:rPr>
        <w:t>[</w:t>
      </w:r>
      <w:r w:rsidR="00207808" w:rsidRPr="007429EC">
        <w:rPr>
          <w:color w:val="242121"/>
          <w:sz w:val="28"/>
          <w:shd w:val="clear" w:color="auto" w:fill="FFFFFF"/>
          <w:lang w:val="en-ZA"/>
        </w:rPr>
        <w:t>11</w:t>
      </w:r>
      <w:r w:rsidRPr="007429EC">
        <w:rPr>
          <w:color w:val="242121"/>
          <w:sz w:val="28"/>
          <w:shd w:val="clear" w:color="auto" w:fill="FFFFFF"/>
          <w:lang w:val="en-ZA"/>
        </w:rPr>
        <w:t>]</w:t>
      </w:r>
      <w:r w:rsidRPr="007429EC">
        <w:rPr>
          <w:color w:val="242121"/>
          <w:sz w:val="28"/>
          <w:shd w:val="clear" w:color="auto" w:fill="FFFFFF"/>
          <w:lang w:val="en-ZA"/>
        </w:rPr>
        <w:tab/>
        <w:t>Presumably, because of the magnitude of the scope of the work required in terms of the RFP</w:t>
      </w:r>
      <w:r w:rsidR="004B6D5A" w:rsidRPr="007429EC">
        <w:rPr>
          <w:color w:val="242121"/>
          <w:sz w:val="28"/>
          <w:shd w:val="clear" w:color="auto" w:fill="FFFFFF"/>
          <w:lang w:val="en-ZA"/>
        </w:rPr>
        <w:t>s</w:t>
      </w:r>
      <w:r w:rsidRPr="007429EC">
        <w:rPr>
          <w:color w:val="242121"/>
          <w:sz w:val="28"/>
          <w:shd w:val="clear" w:color="auto" w:fill="FFFFFF"/>
          <w:lang w:val="en-ZA"/>
        </w:rPr>
        <w:t xml:space="preserve"> and the substantial financial injection that the project entailed, only two bids were received by the Department. The one bid was that of the Joint Venture whilst the other was received from a consortium comprising Lephuthing Investment CC and Menzibali Construction CC</w:t>
      </w:r>
      <w:r w:rsidR="009D3DB1" w:rsidRPr="007429EC">
        <w:rPr>
          <w:color w:val="242121"/>
          <w:sz w:val="28"/>
          <w:shd w:val="clear" w:color="auto" w:fill="FFFFFF"/>
          <w:lang w:val="en-ZA"/>
        </w:rPr>
        <w:t xml:space="preserve"> (Lephuthing/Menzibali Construction)</w:t>
      </w:r>
      <w:r w:rsidRPr="007429EC">
        <w:rPr>
          <w:color w:val="242121"/>
          <w:sz w:val="28"/>
          <w:shd w:val="clear" w:color="auto" w:fill="FFFFFF"/>
          <w:lang w:val="en-ZA"/>
        </w:rPr>
        <w:t xml:space="preserve">. On 16 May 2016, and after due consideration of the two competing bids received, the </w:t>
      </w:r>
      <w:r w:rsidR="0013689E" w:rsidRPr="007429EC">
        <w:rPr>
          <w:color w:val="242121"/>
          <w:sz w:val="28"/>
          <w:shd w:val="clear" w:color="auto" w:fill="FFFFFF"/>
          <w:lang w:val="en-ZA"/>
        </w:rPr>
        <w:t>BEC</w:t>
      </w:r>
      <w:r w:rsidR="00FD1F73" w:rsidRPr="007429EC">
        <w:rPr>
          <w:color w:val="242121"/>
          <w:sz w:val="28"/>
          <w:shd w:val="clear" w:color="auto" w:fill="FFFFFF"/>
          <w:lang w:val="en-ZA"/>
        </w:rPr>
        <w:t xml:space="preserve"> </w:t>
      </w:r>
      <w:r w:rsidRPr="007429EC">
        <w:rPr>
          <w:color w:val="242121"/>
          <w:sz w:val="28"/>
          <w:shd w:val="clear" w:color="auto" w:fill="FFFFFF"/>
          <w:lang w:val="en-ZA"/>
        </w:rPr>
        <w:t xml:space="preserve">concluded that the bid submitted by </w:t>
      </w:r>
      <w:r w:rsidR="009D3DB1" w:rsidRPr="007429EC">
        <w:rPr>
          <w:color w:val="242121"/>
          <w:sz w:val="28"/>
          <w:shd w:val="clear" w:color="auto" w:fill="FFFFFF"/>
          <w:lang w:val="en-ZA"/>
        </w:rPr>
        <w:t xml:space="preserve">Lephuthing/Menzibali Construction </w:t>
      </w:r>
      <w:r w:rsidRPr="007429EC">
        <w:rPr>
          <w:color w:val="242121"/>
          <w:sz w:val="28"/>
          <w:shd w:val="clear" w:color="auto" w:fill="FFFFFF"/>
          <w:lang w:val="en-ZA"/>
        </w:rPr>
        <w:t xml:space="preserve">was non-responsive. It was, as a result, disqualified. Instead, the </w:t>
      </w:r>
      <w:r w:rsidR="0013689E" w:rsidRPr="007429EC">
        <w:rPr>
          <w:color w:val="242121"/>
          <w:sz w:val="28"/>
          <w:shd w:val="clear" w:color="auto" w:fill="FFFFFF"/>
          <w:lang w:val="en-ZA"/>
        </w:rPr>
        <w:t>BEC</w:t>
      </w:r>
      <w:r w:rsidRPr="007429EC">
        <w:rPr>
          <w:color w:val="242121"/>
          <w:sz w:val="28"/>
          <w:shd w:val="clear" w:color="auto" w:fill="FFFFFF"/>
          <w:lang w:val="en-ZA"/>
        </w:rPr>
        <w:t xml:space="preserve"> recommended the bid submitted by the Joint Venture. It bears mentioning that the Lephuthing/Menzibali Construction consortium was disqualified solely on the basis that it had not submitted audited financial statements of the parties comprising the consortium. Curiously, the Joint Venture</w:t>
      </w:r>
      <w:r w:rsidR="00452E54" w:rsidRPr="007429EC">
        <w:rPr>
          <w:color w:val="242121"/>
          <w:sz w:val="28"/>
          <w:shd w:val="clear" w:color="auto" w:fill="FFFFFF"/>
          <w:lang w:val="en-ZA"/>
        </w:rPr>
        <w:t>,</w:t>
      </w:r>
      <w:r w:rsidRPr="007429EC">
        <w:rPr>
          <w:color w:val="242121"/>
          <w:sz w:val="28"/>
          <w:shd w:val="clear" w:color="auto" w:fill="FFFFFF"/>
          <w:lang w:val="en-ZA"/>
        </w:rPr>
        <w:t xml:space="preserve"> too</w:t>
      </w:r>
      <w:r w:rsidR="00452E54" w:rsidRPr="007429EC">
        <w:rPr>
          <w:color w:val="242121"/>
          <w:sz w:val="28"/>
          <w:shd w:val="clear" w:color="auto" w:fill="FFFFFF"/>
          <w:lang w:val="en-ZA"/>
        </w:rPr>
        <w:t>,</w:t>
      </w:r>
      <w:r w:rsidRPr="007429EC">
        <w:rPr>
          <w:color w:val="242121"/>
          <w:sz w:val="28"/>
          <w:shd w:val="clear" w:color="auto" w:fill="FFFFFF"/>
          <w:lang w:val="en-ZA"/>
        </w:rPr>
        <w:t xml:space="preserve"> failed to meet this express requirement of the RFP</w:t>
      </w:r>
      <w:r w:rsidR="004B6D5A" w:rsidRPr="007429EC">
        <w:rPr>
          <w:color w:val="242121"/>
          <w:sz w:val="28"/>
          <w:shd w:val="clear" w:color="auto" w:fill="FFFFFF"/>
          <w:lang w:val="en-ZA"/>
        </w:rPr>
        <w:t>s</w:t>
      </w:r>
      <w:r w:rsidRPr="007429EC">
        <w:rPr>
          <w:color w:val="242121"/>
          <w:sz w:val="28"/>
          <w:shd w:val="clear" w:color="auto" w:fill="FFFFFF"/>
          <w:lang w:val="en-ZA"/>
        </w:rPr>
        <w:t xml:space="preserve"> and yet it was allowed to proceed to the next stage of the process ostensibl</w:t>
      </w:r>
      <w:r w:rsidR="00DE27C3" w:rsidRPr="007429EC">
        <w:rPr>
          <w:color w:val="242121"/>
          <w:sz w:val="28"/>
          <w:shd w:val="clear" w:color="auto" w:fill="FFFFFF"/>
          <w:lang w:val="en-ZA"/>
        </w:rPr>
        <w:t>y</w:t>
      </w:r>
      <w:r w:rsidRPr="007429EC">
        <w:rPr>
          <w:color w:val="242121"/>
          <w:sz w:val="28"/>
          <w:shd w:val="clear" w:color="auto" w:fill="FFFFFF"/>
          <w:lang w:val="en-ZA"/>
        </w:rPr>
        <w:t xml:space="preserve"> because </w:t>
      </w:r>
      <w:r w:rsidR="0077673F" w:rsidRPr="007429EC">
        <w:rPr>
          <w:color w:val="242121"/>
          <w:sz w:val="28"/>
          <w:shd w:val="clear" w:color="auto" w:fill="FFFFFF"/>
          <w:lang w:val="en-ZA"/>
        </w:rPr>
        <w:t xml:space="preserve">the </w:t>
      </w:r>
      <w:r w:rsidR="0013689E" w:rsidRPr="007429EC">
        <w:rPr>
          <w:color w:val="242121"/>
          <w:sz w:val="28"/>
          <w:shd w:val="clear" w:color="auto" w:fill="FFFFFF"/>
          <w:lang w:val="en-ZA"/>
        </w:rPr>
        <w:t>BEC</w:t>
      </w:r>
      <w:r w:rsidR="0077673F" w:rsidRPr="007429EC">
        <w:rPr>
          <w:color w:val="242121"/>
          <w:sz w:val="28"/>
          <w:shd w:val="clear" w:color="auto" w:fill="FFFFFF"/>
          <w:lang w:val="en-ZA"/>
        </w:rPr>
        <w:t xml:space="preserve"> was satisfied with the Joint Venture</w:t>
      </w:r>
      <w:r w:rsidR="003B6577" w:rsidRPr="007429EC">
        <w:rPr>
          <w:color w:val="242121"/>
          <w:sz w:val="28"/>
          <w:shd w:val="clear" w:color="auto" w:fill="FFFFFF"/>
          <w:lang w:val="en-ZA"/>
        </w:rPr>
        <w:t>'</w:t>
      </w:r>
      <w:r w:rsidR="0077673F" w:rsidRPr="007429EC">
        <w:rPr>
          <w:color w:val="242121"/>
          <w:sz w:val="28"/>
          <w:shd w:val="clear" w:color="auto" w:fill="FFFFFF"/>
          <w:lang w:val="en-ZA"/>
        </w:rPr>
        <w:t xml:space="preserve">s proposal with reference to both its financial and capability attributes. I shall revert to this aspect later. </w:t>
      </w:r>
    </w:p>
    <w:p w14:paraId="1697949B" w14:textId="77777777" w:rsidR="0077673F" w:rsidRPr="007429EC" w:rsidRDefault="0077673F" w:rsidP="00487D67">
      <w:pPr>
        <w:tabs>
          <w:tab w:val="left" w:pos="284"/>
        </w:tabs>
        <w:rPr>
          <w:color w:val="242121"/>
          <w:sz w:val="28"/>
          <w:shd w:val="clear" w:color="auto" w:fill="FFFFFF"/>
          <w:lang w:val="en-ZA"/>
        </w:rPr>
      </w:pPr>
    </w:p>
    <w:p w14:paraId="60761D9E" w14:textId="7BB025D0" w:rsidR="0077673F" w:rsidRPr="007429EC" w:rsidRDefault="0077673F" w:rsidP="00487D67">
      <w:pPr>
        <w:tabs>
          <w:tab w:val="left" w:pos="284"/>
        </w:tabs>
        <w:rPr>
          <w:color w:val="242121"/>
          <w:sz w:val="28"/>
          <w:shd w:val="clear" w:color="auto" w:fill="FFFFFF"/>
          <w:lang w:val="en-ZA"/>
        </w:rPr>
      </w:pPr>
      <w:r w:rsidRPr="007429EC">
        <w:rPr>
          <w:color w:val="242121"/>
          <w:sz w:val="28"/>
          <w:shd w:val="clear" w:color="auto" w:fill="FFFFFF"/>
          <w:lang w:val="en-ZA"/>
        </w:rPr>
        <w:lastRenderedPageBreak/>
        <w:t>[</w:t>
      </w:r>
      <w:r w:rsidR="00207808" w:rsidRPr="007429EC">
        <w:rPr>
          <w:color w:val="242121"/>
          <w:sz w:val="28"/>
          <w:shd w:val="clear" w:color="auto" w:fill="FFFFFF"/>
          <w:lang w:val="en-ZA"/>
        </w:rPr>
        <w:t>12</w:t>
      </w:r>
      <w:r w:rsidRPr="007429EC">
        <w:rPr>
          <w:color w:val="242121"/>
          <w:sz w:val="28"/>
          <w:shd w:val="clear" w:color="auto" w:fill="FFFFFF"/>
          <w:lang w:val="en-ZA"/>
        </w:rPr>
        <w:t>]</w:t>
      </w:r>
      <w:r w:rsidRPr="007429EC">
        <w:rPr>
          <w:color w:val="242121"/>
          <w:sz w:val="28"/>
          <w:shd w:val="clear" w:color="auto" w:fill="FFFFFF"/>
          <w:lang w:val="en-ZA"/>
        </w:rPr>
        <w:tab/>
      </w:r>
      <w:r w:rsidR="005A3D6A" w:rsidRPr="007429EC">
        <w:rPr>
          <w:color w:val="242121"/>
          <w:sz w:val="28"/>
          <w:shd w:val="clear" w:color="auto" w:fill="FFFFFF"/>
          <w:lang w:val="en-ZA"/>
        </w:rPr>
        <w:t xml:space="preserve">As already </w:t>
      </w:r>
      <w:r w:rsidR="00452E54" w:rsidRPr="007429EC">
        <w:rPr>
          <w:color w:val="242121"/>
          <w:sz w:val="28"/>
          <w:shd w:val="clear" w:color="auto" w:fill="FFFFFF"/>
          <w:lang w:val="en-ZA"/>
        </w:rPr>
        <w:t>indicated</w:t>
      </w:r>
      <w:r w:rsidR="005A3D6A" w:rsidRPr="007429EC">
        <w:rPr>
          <w:color w:val="242121"/>
          <w:sz w:val="28"/>
          <w:shd w:val="clear" w:color="auto" w:fill="FFFFFF"/>
          <w:lang w:val="en-ZA"/>
        </w:rPr>
        <w:t xml:space="preserve"> above, the </w:t>
      </w:r>
      <w:r w:rsidR="0013689E" w:rsidRPr="007429EC">
        <w:rPr>
          <w:color w:val="242121"/>
          <w:sz w:val="28"/>
          <w:shd w:val="clear" w:color="auto" w:fill="FFFFFF"/>
          <w:lang w:val="en-ZA"/>
        </w:rPr>
        <w:t>BEC</w:t>
      </w:r>
      <w:r w:rsidR="00FD1F73" w:rsidRPr="007429EC">
        <w:rPr>
          <w:color w:val="242121"/>
          <w:sz w:val="28"/>
          <w:shd w:val="clear" w:color="auto" w:fill="FFFFFF"/>
          <w:lang w:val="en-ZA"/>
        </w:rPr>
        <w:t xml:space="preserve"> </w:t>
      </w:r>
      <w:r w:rsidR="005A3D6A" w:rsidRPr="007429EC">
        <w:rPr>
          <w:color w:val="242121"/>
          <w:sz w:val="28"/>
          <w:shd w:val="clear" w:color="auto" w:fill="FFFFFF"/>
          <w:lang w:val="en-ZA"/>
        </w:rPr>
        <w:t xml:space="preserve">recommended to the </w:t>
      </w:r>
      <w:r w:rsidR="0013689E" w:rsidRPr="007429EC">
        <w:rPr>
          <w:color w:val="242121"/>
          <w:sz w:val="28"/>
          <w:shd w:val="clear" w:color="auto" w:fill="FFFFFF"/>
          <w:lang w:val="en-ZA"/>
        </w:rPr>
        <w:t>BAC</w:t>
      </w:r>
      <w:r w:rsidR="00FD1F73" w:rsidRPr="007429EC">
        <w:rPr>
          <w:color w:val="242121"/>
          <w:sz w:val="28"/>
          <w:shd w:val="clear" w:color="auto" w:fill="FFFFFF"/>
          <w:lang w:val="en-ZA"/>
        </w:rPr>
        <w:t xml:space="preserve"> </w:t>
      </w:r>
      <w:r w:rsidR="005A3D6A" w:rsidRPr="007429EC">
        <w:rPr>
          <w:color w:val="242121"/>
          <w:sz w:val="28"/>
          <w:shd w:val="clear" w:color="auto" w:fill="FFFFFF"/>
          <w:lang w:val="en-ZA"/>
        </w:rPr>
        <w:t>that the Joint Venture be awarded the contract for the project envisaged in the RFP</w:t>
      </w:r>
      <w:r w:rsidR="004B6D5A" w:rsidRPr="007429EC">
        <w:rPr>
          <w:color w:val="242121"/>
          <w:sz w:val="28"/>
          <w:shd w:val="clear" w:color="auto" w:fill="FFFFFF"/>
          <w:lang w:val="en-ZA"/>
        </w:rPr>
        <w:t>s</w:t>
      </w:r>
      <w:r w:rsidR="005A3D6A" w:rsidRPr="007429EC">
        <w:rPr>
          <w:color w:val="242121"/>
          <w:sz w:val="28"/>
          <w:shd w:val="clear" w:color="auto" w:fill="FFFFFF"/>
          <w:lang w:val="en-ZA"/>
        </w:rPr>
        <w:t xml:space="preserve">. For its part, the </w:t>
      </w:r>
      <w:r w:rsidR="0013689E" w:rsidRPr="007429EC">
        <w:rPr>
          <w:color w:val="242121"/>
          <w:sz w:val="28"/>
          <w:shd w:val="clear" w:color="auto" w:fill="FFFFFF"/>
          <w:lang w:val="en-ZA"/>
        </w:rPr>
        <w:t>BAC</w:t>
      </w:r>
      <w:r w:rsidR="00FD1F73" w:rsidRPr="007429EC">
        <w:rPr>
          <w:color w:val="242121"/>
          <w:sz w:val="28"/>
          <w:shd w:val="clear" w:color="auto" w:fill="FFFFFF"/>
          <w:lang w:val="en-ZA"/>
        </w:rPr>
        <w:t xml:space="preserve"> </w:t>
      </w:r>
      <w:r w:rsidR="005A3D6A" w:rsidRPr="007429EC">
        <w:rPr>
          <w:color w:val="242121"/>
          <w:sz w:val="28"/>
          <w:shd w:val="clear" w:color="auto" w:fill="FFFFFF"/>
          <w:lang w:val="en-ZA"/>
        </w:rPr>
        <w:t xml:space="preserve">accepted the recommendation and, on 16 May 2016, forwarded its </w:t>
      </w:r>
      <w:r w:rsidR="00AE0208" w:rsidRPr="007429EC">
        <w:rPr>
          <w:color w:val="242121"/>
          <w:sz w:val="28"/>
          <w:shd w:val="clear" w:color="auto" w:fill="FFFFFF"/>
          <w:lang w:val="en-ZA"/>
        </w:rPr>
        <w:t xml:space="preserve">own </w:t>
      </w:r>
      <w:r w:rsidR="00560C2D" w:rsidRPr="007429EC">
        <w:rPr>
          <w:color w:val="242121"/>
          <w:sz w:val="28"/>
          <w:shd w:val="clear" w:color="auto" w:fill="FFFFFF"/>
          <w:lang w:val="en-ZA"/>
        </w:rPr>
        <w:t>recommendation to the Director-</w:t>
      </w:r>
      <w:r w:rsidR="005A3D6A" w:rsidRPr="007429EC">
        <w:rPr>
          <w:color w:val="242121"/>
          <w:sz w:val="28"/>
          <w:shd w:val="clear" w:color="auto" w:fill="FFFFFF"/>
          <w:lang w:val="en-ZA"/>
        </w:rPr>
        <w:t xml:space="preserve">General, further indicating that it </w:t>
      </w:r>
      <w:r w:rsidR="003B6577" w:rsidRPr="007429EC">
        <w:rPr>
          <w:color w:val="242121"/>
          <w:sz w:val="28"/>
          <w:shd w:val="clear" w:color="auto" w:fill="FFFFFF"/>
          <w:lang w:val="en-ZA"/>
        </w:rPr>
        <w:t>'</w:t>
      </w:r>
      <w:r w:rsidR="005A3D6A" w:rsidRPr="007429EC">
        <w:rPr>
          <w:color w:val="242121"/>
          <w:sz w:val="28"/>
          <w:shd w:val="clear" w:color="auto" w:fill="FFFFFF"/>
          <w:lang w:val="en-ZA"/>
        </w:rPr>
        <w:t>concurs with the recommendation</w:t>
      </w:r>
      <w:r w:rsidR="003B6577" w:rsidRPr="007429EC">
        <w:rPr>
          <w:color w:val="242121"/>
          <w:sz w:val="28"/>
          <w:shd w:val="clear" w:color="auto" w:fill="FFFFFF"/>
          <w:lang w:val="en-ZA"/>
        </w:rPr>
        <w:t>'</w:t>
      </w:r>
      <w:r w:rsidR="005A3D6A" w:rsidRPr="007429EC">
        <w:rPr>
          <w:color w:val="242121"/>
          <w:sz w:val="28"/>
          <w:shd w:val="clear" w:color="auto" w:fill="FFFFFF"/>
          <w:lang w:val="en-ZA"/>
        </w:rPr>
        <w:t xml:space="preserve"> of the </w:t>
      </w:r>
      <w:r w:rsidR="0013689E" w:rsidRPr="007429EC">
        <w:rPr>
          <w:color w:val="242121"/>
          <w:sz w:val="28"/>
          <w:shd w:val="clear" w:color="auto" w:fill="FFFFFF"/>
          <w:lang w:val="en-ZA"/>
        </w:rPr>
        <w:t>BEC</w:t>
      </w:r>
      <w:r w:rsidR="005A3D6A" w:rsidRPr="007429EC">
        <w:rPr>
          <w:color w:val="242121"/>
          <w:sz w:val="28"/>
          <w:shd w:val="clear" w:color="auto" w:fill="FFFFFF"/>
          <w:lang w:val="en-ZA"/>
        </w:rPr>
        <w:t xml:space="preserve">. </w:t>
      </w:r>
    </w:p>
    <w:p w14:paraId="0CD56B7A" w14:textId="77777777" w:rsidR="00FC317F" w:rsidRPr="007429EC" w:rsidRDefault="00FC317F" w:rsidP="00487D67">
      <w:pPr>
        <w:tabs>
          <w:tab w:val="left" w:pos="284"/>
        </w:tabs>
        <w:rPr>
          <w:color w:val="242121"/>
          <w:sz w:val="28"/>
          <w:shd w:val="clear" w:color="auto" w:fill="FFFFFF"/>
          <w:lang w:val="en-ZA"/>
        </w:rPr>
      </w:pPr>
    </w:p>
    <w:p w14:paraId="7288EA27" w14:textId="6B838FF6" w:rsidR="00FC317F" w:rsidRPr="007429EC" w:rsidRDefault="00FC317F" w:rsidP="00487D67">
      <w:pPr>
        <w:tabs>
          <w:tab w:val="left" w:pos="284"/>
        </w:tabs>
        <w:rPr>
          <w:color w:val="242121"/>
          <w:sz w:val="28"/>
          <w:shd w:val="clear" w:color="auto" w:fill="FFFFFF"/>
          <w:lang w:val="en-ZA"/>
        </w:rPr>
      </w:pPr>
      <w:r w:rsidRPr="007429EC">
        <w:rPr>
          <w:color w:val="242121"/>
          <w:sz w:val="28"/>
          <w:shd w:val="clear" w:color="auto" w:fill="FFFFFF"/>
          <w:lang w:val="en-ZA"/>
        </w:rPr>
        <w:t>[</w:t>
      </w:r>
      <w:r w:rsidR="00207808" w:rsidRPr="007429EC">
        <w:rPr>
          <w:color w:val="242121"/>
          <w:sz w:val="28"/>
          <w:shd w:val="clear" w:color="auto" w:fill="FFFFFF"/>
          <w:lang w:val="en-ZA"/>
        </w:rPr>
        <w:t>13</w:t>
      </w:r>
      <w:r w:rsidRPr="007429EC">
        <w:rPr>
          <w:color w:val="242121"/>
          <w:sz w:val="28"/>
          <w:shd w:val="clear" w:color="auto" w:fill="FFFFFF"/>
          <w:lang w:val="en-ZA"/>
        </w:rPr>
        <w:t>]</w:t>
      </w:r>
      <w:r w:rsidRPr="007429EC">
        <w:rPr>
          <w:color w:val="242121"/>
          <w:sz w:val="28"/>
          <w:shd w:val="clear" w:color="auto" w:fill="FFFFFF"/>
          <w:lang w:val="en-ZA"/>
        </w:rPr>
        <w:tab/>
        <w:t xml:space="preserve">In addition, the </w:t>
      </w:r>
      <w:r w:rsidR="0013689E" w:rsidRPr="007429EC">
        <w:rPr>
          <w:color w:val="242121"/>
          <w:sz w:val="28"/>
          <w:shd w:val="clear" w:color="auto" w:fill="FFFFFF"/>
          <w:lang w:val="en-ZA"/>
        </w:rPr>
        <w:t>BAC</w:t>
      </w:r>
      <w:r w:rsidR="00FD1F73" w:rsidRPr="007429EC">
        <w:rPr>
          <w:color w:val="242121"/>
          <w:sz w:val="28"/>
          <w:shd w:val="clear" w:color="auto" w:fill="FFFFFF"/>
          <w:lang w:val="en-ZA"/>
        </w:rPr>
        <w:t xml:space="preserve"> </w:t>
      </w:r>
      <w:r w:rsidRPr="007429EC">
        <w:rPr>
          <w:color w:val="242121"/>
          <w:sz w:val="28"/>
          <w:shd w:val="clear" w:color="auto" w:fill="FFFFFF"/>
          <w:lang w:val="en-ZA"/>
        </w:rPr>
        <w:t xml:space="preserve">recommended that </w:t>
      </w:r>
      <w:r w:rsidR="003B6577" w:rsidRPr="007429EC">
        <w:rPr>
          <w:color w:val="242121"/>
          <w:sz w:val="28"/>
          <w:shd w:val="clear" w:color="auto" w:fill="FFFFFF"/>
          <w:lang w:val="en-ZA"/>
        </w:rPr>
        <w:t>'</w:t>
      </w:r>
      <w:r w:rsidRPr="007429EC">
        <w:rPr>
          <w:color w:val="242121"/>
          <w:sz w:val="28"/>
          <w:shd w:val="clear" w:color="auto" w:fill="FFFFFF"/>
          <w:lang w:val="en-ZA"/>
        </w:rPr>
        <w:t xml:space="preserve">the Project Team travels to </w:t>
      </w:r>
      <w:r w:rsidR="00AE0208" w:rsidRPr="007429EC">
        <w:rPr>
          <w:color w:val="242121"/>
          <w:sz w:val="28"/>
          <w:shd w:val="clear" w:color="auto" w:fill="FFFFFF"/>
          <w:lang w:val="en-ZA"/>
        </w:rPr>
        <w:t>New York</w:t>
      </w:r>
      <w:r w:rsidRPr="007429EC">
        <w:rPr>
          <w:color w:val="242121"/>
          <w:sz w:val="28"/>
          <w:shd w:val="clear" w:color="auto" w:fill="FFFFFF"/>
          <w:lang w:val="en-ZA"/>
        </w:rPr>
        <w:t xml:space="preserve"> to conclude the selection process of the three (3) shortlisted site[s]; supported by the officials from the missions through site inspection</w:t>
      </w:r>
      <w:r w:rsidR="003B6577" w:rsidRPr="007429EC">
        <w:rPr>
          <w:color w:val="242121"/>
          <w:sz w:val="28"/>
          <w:shd w:val="clear" w:color="auto" w:fill="FFFFFF"/>
          <w:lang w:val="en-ZA"/>
        </w:rPr>
        <w:t>'</w:t>
      </w:r>
      <w:r w:rsidRPr="007429EC">
        <w:rPr>
          <w:color w:val="242121"/>
          <w:sz w:val="28"/>
          <w:shd w:val="clear" w:color="auto" w:fill="FFFFFF"/>
          <w:lang w:val="en-ZA"/>
        </w:rPr>
        <w:t>.</w:t>
      </w:r>
      <w:r w:rsidR="00560C2D" w:rsidRPr="007429EC">
        <w:rPr>
          <w:color w:val="242121"/>
          <w:sz w:val="28"/>
          <w:shd w:val="clear" w:color="auto" w:fill="FFFFFF"/>
          <w:lang w:val="en-ZA"/>
        </w:rPr>
        <w:t xml:space="preserve"> The Director-</w:t>
      </w:r>
      <w:r w:rsidR="00236E2C" w:rsidRPr="007429EC">
        <w:rPr>
          <w:color w:val="242121"/>
          <w:sz w:val="28"/>
          <w:shd w:val="clear" w:color="auto" w:fill="FFFFFF"/>
          <w:lang w:val="en-ZA"/>
        </w:rPr>
        <w:t xml:space="preserve">General accepted the recommendation and awarded the tender to </w:t>
      </w:r>
      <w:r w:rsidR="00852DC6" w:rsidRPr="007429EC">
        <w:rPr>
          <w:color w:val="242121"/>
          <w:sz w:val="28"/>
          <w:shd w:val="clear" w:color="auto" w:fill="FFFFFF"/>
          <w:lang w:val="en-ZA"/>
        </w:rPr>
        <w:t>the Joint Venture. Consequentl</w:t>
      </w:r>
      <w:r w:rsidR="000E113C">
        <w:rPr>
          <w:color w:val="242121"/>
          <w:sz w:val="28"/>
          <w:shd w:val="clear" w:color="auto" w:fill="FFFFFF"/>
          <w:lang w:val="en-ZA"/>
        </w:rPr>
        <w:t>y, on 17 May 2016, the Director-</w:t>
      </w:r>
      <w:r w:rsidR="00852DC6" w:rsidRPr="007429EC">
        <w:rPr>
          <w:color w:val="242121"/>
          <w:sz w:val="28"/>
          <w:shd w:val="clear" w:color="auto" w:fill="FFFFFF"/>
          <w:lang w:val="en-ZA"/>
        </w:rPr>
        <w:t xml:space="preserve">General wrote to the Joint Venture in accordance with a draft letter prepared for him by the </w:t>
      </w:r>
      <w:r w:rsidR="0013689E" w:rsidRPr="007429EC">
        <w:rPr>
          <w:color w:val="242121"/>
          <w:sz w:val="28"/>
          <w:shd w:val="clear" w:color="auto" w:fill="FFFFFF"/>
          <w:lang w:val="en-ZA"/>
        </w:rPr>
        <w:t>BAC</w:t>
      </w:r>
      <w:r w:rsidR="00FD1F73" w:rsidRPr="007429EC">
        <w:rPr>
          <w:color w:val="242121"/>
          <w:sz w:val="28"/>
          <w:shd w:val="clear" w:color="auto" w:fill="FFFFFF"/>
          <w:lang w:val="en-ZA"/>
        </w:rPr>
        <w:t xml:space="preserve"> </w:t>
      </w:r>
      <w:r w:rsidR="00852DC6" w:rsidRPr="007429EC">
        <w:rPr>
          <w:color w:val="242121"/>
          <w:sz w:val="28"/>
          <w:shd w:val="clear" w:color="auto" w:fill="FFFFFF"/>
          <w:lang w:val="en-ZA"/>
        </w:rPr>
        <w:t xml:space="preserve">– awarding the tender to the Joint Venture, advising the latter that it was appointed as </w:t>
      </w:r>
      <w:r w:rsidR="003B6577" w:rsidRPr="007429EC">
        <w:rPr>
          <w:color w:val="242121"/>
          <w:sz w:val="28"/>
          <w:shd w:val="clear" w:color="auto" w:fill="FFFFFF"/>
          <w:lang w:val="en-ZA"/>
        </w:rPr>
        <w:t>'</w:t>
      </w:r>
      <w:r w:rsidR="009949C4" w:rsidRPr="007429EC">
        <w:rPr>
          <w:color w:val="242121"/>
          <w:sz w:val="28"/>
          <w:shd w:val="clear" w:color="auto" w:fill="FFFFFF"/>
          <w:lang w:val="en-ZA"/>
        </w:rPr>
        <w:t>the preferred bidder for the</w:t>
      </w:r>
      <w:r w:rsidR="00207808" w:rsidRPr="007429EC">
        <w:rPr>
          <w:color w:val="242121"/>
          <w:sz w:val="28"/>
          <w:shd w:val="clear" w:color="auto" w:fill="FFFFFF"/>
          <w:lang w:val="en-ZA"/>
        </w:rPr>
        <w:t xml:space="preserve"> </w:t>
      </w:r>
      <w:r w:rsidR="00852DC6" w:rsidRPr="007429EC">
        <w:rPr>
          <w:color w:val="242121"/>
          <w:sz w:val="28"/>
          <w:shd w:val="clear" w:color="auto" w:fill="FFFFFF"/>
          <w:lang w:val="en-ZA"/>
        </w:rPr>
        <w:t>.</w:t>
      </w:r>
      <w:r w:rsidR="009949C4" w:rsidRPr="007429EC">
        <w:rPr>
          <w:color w:val="242121"/>
          <w:sz w:val="28"/>
          <w:shd w:val="clear" w:color="auto" w:fill="FFFFFF"/>
          <w:lang w:val="en-ZA"/>
        </w:rPr>
        <w:t>.</w:t>
      </w:r>
      <w:r w:rsidR="00852DC6" w:rsidRPr="007429EC">
        <w:rPr>
          <w:color w:val="242121"/>
          <w:sz w:val="28"/>
          <w:shd w:val="clear" w:color="auto" w:fill="FFFFFF"/>
          <w:lang w:val="en-ZA"/>
        </w:rPr>
        <w:t>.</w:t>
      </w:r>
      <w:r w:rsidR="00207808" w:rsidRPr="007429EC">
        <w:rPr>
          <w:color w:val="242121"/>
          <w:sz w:val="28"/>
          <w:shd w:val="clear" w:color="auto" w:fill="FFFFFF"/>
          <w:lang w:val="en-ZA"/>
        </w:rPr>
        <w:t xml:space="preserve"> </w:t>
      </w:r>
      <w:r w:rsidR="00852DC6" w:rsidRPr="007429EC">
        <w:rPr>
          <w:color w:val="242121"/>
          <w:sz w:val="28"/>
          <w:shd w:val="clear" w:color="auto" w:fill="FFFFFF"/>
          <w:lang w:val="en-ZA"/>
        </w:rPr>
        <w:t>project</w:t>
      </w:r>
      <w:r w:rsidR="003B6577" w:rsidRPr="007429EC">
        <w:rPr>
          <w:color w:val="242121"/>
          <w:sz w:val="28"/>
          <w:shd w:val="clear" w:color="auto" w:fill="FFFFFF"/>
          <w:lang w:val="en-ZA"/>
        </w:rPr>
        <w:t>'</w:t>
      </w:r>
      <w:r w:rsidR="00852DC6" w:rsidRPr="007429EC">
        <w:rPr>
          <w:color w:val="242121"/>
          <w:sz w:val="28"/>
          <w:shd w:val="clear" w:color="auto" w:fill="FFFFFF"/>
          <w:lang w:val="en-ZA"/>
        </w:rPr>
        <w:t>.</w:t>
      </w:r>
    </w:p>
    <w:p w14:paraId="20CC5A46" w14:textId="034511D7" w:rsidR="000805F7" w:rsidRPr="007429EC" w:rsidRDefault="000805F7" w:rsidP="009B273B">
      <w:pPr>
        <w:tabs>
          <w:tab w:val="left" w:pos="284"/>
        </w:tabs>
        <w:rPr>
          <w:color w:val="242121"/>
          <w:shd w:val="clear" w:color="auto" w:fill="FFFFFF"/>
          <w:lang w:val="en-ZA"/>
        </w:rPr>
      </w:pPr>
    </w:p>
    <w:p w14:paraId="454DDFAA" w14:textId="3BF22C80" w:rsidR="00962FD7" w:rsidRPr="007429EC" w:rsidRDefault="00962FD7" w:rsidP="00B224C9">
      <w:pPr>
        <w:rPr>
          <w:sz w:val="28"/>
          <w:szCs w:val="28"/>
        </w:rPr>
      </w:pPr>
      <w:r w:rsidRPr="007429EC">
        <w:rPr>
          <w:sz w:val="28"/>
          <w:szCs w:val="28"/>
        </w:rPr>
        <w:t>[</w:t>
      </w:r>
      <w:r w:rsidR="00207808" w:rsidRPr="007429EC">
        <w:rPr>
          <w:sz w:val="28"/>
          <w:szCs w:val="28"/>
        </w:rPr>
        <w:t>14</w:t>
      </w:r>
      <w:r w:rsidRPr="007429EC">
        <w:rPr>
          <w:sz w:val="28"/>
          <w:szCs w:val="28"/>
        </w:rPr>
        <w:t>]</w:t>
      </w:r>
      <w:r w:rsidRPr="007429EC">
        <w:rPr>
          <w:sz w:val="28"/>
          <w:szCs w:val="28"/>
        </w:rPr>
        <w:tab/>
        <w:t>It is apposite at this juncture to emphasise that the RFP</w:t>
      </w:r>
      <w:r w:rsidR="004B6D5A" w:rsidRPr="007429EC">
        <w:rPr>
          <w:sz w:val="28"/>
          <w:szCs w:val="28"/>
        </w:rPr>
        <w:t>s</w:t>
      </w:r>
      <w:r w:rsidRPr="007429EC">
        <w:rPr>
          <w:sz w:val="28"/>
          <w:szCs w:val="28"/>
        </w:rPr>
        <w:t xml:space="preserve"> made plain that the successful bidder was itself required to provide finance for the construction of the office and residential accommodation as stipulated in the RFP</w:t>
      </w:r>
      <w:r w:rsidR="004B6D5A" w:rsidRPr="007429EC">
        <w:rPr>
          <w:sz w:val="28"/>
          <w:szCs w:val="28"/>
        </w:rPr>
        <w:t>s</w:t>
      </w:r>
      <w:r w:rsidRPr="007429EC">
        <w:rPr>
          <w:sz w:val="28"/>
          <w:szCs w:val="28"/>
        </w:rPr>
        <w:t>. There was no doubt that the RFP</w:t>
      </w:r>
      <w:r w:rsidR="004B6D5A" w:rsidRPr="007429EC">
        <w:rPr>
          <w:sz w:val="28"/>
          <w:szCs w:val="28"/>
        </w:rPr>
        <w:t>s</w:t>
      </w:r>
      <w:r w:rsidRPr="007429EC">
        <w:rPr>
          <w:sz w:val="28"/>
          <w:szCs w:val="28"/>
        </w:rPr>
        <w:t xml:space="preserve"> contemplated that the Department would become purely a lessee either to hire the accommodation for the duration of the lease, alternatively, the Department would lease the accommodation with a view </w:t>
      </w:r>
      <w:r w:rsidR="009949C4" w:rsidRPr="007429EC">
        <w:rPr>
          <w:sz w:val="28"/>
          <w:szCs w:val="28"/>
        </w:rPr>
        <w:t>of</w:t>
      </w:r>
      <w:r w:rsidRPr="007429EC">
        <w:rPr>
          <w:sz w:val="28"/>
          <w:szCs w:val="28"/>
        </w:rPr>
        <w:t xml:space="preserve"> purchasing it when the lease </w:t>
      </w:r>
      <w:r w:rsidR="00452E54" w:rsidRPr="007429EC">
        <w:rPr>
          <w:sz w:val="28"/>
          <w:szCs w:val="28"/>
        </w:rPr>
        <w:t xml:space="preserve">ultimately </w:t>
      </w:r>
      <w:r w:rsidRPr="007429EC">
        <w:rPr>
          <w:sz w:val="28"/>
          <w:szCs w:val="28"/>
        </w:rPr>
        <w:t xml:space="preserve">terminated by effluxion of time. Accordingly, no capital outlay of whatever nature would be required from the Department. </w:t>
      </w:r>
      <w:r w:rsidR="00452E54" w:rsidRPr="007429EC">
        <w:rPr>
          <w:sz w:val="28"/>
          <w:szCs w:val="28"/>
        </w:rPr>
        <w:t>This is evident from the scope of the work spelt out in the RFPs that the successful tenderer would be required to provide.</w:t>
      </w:r>
    </w:p>
    <w:p w14:paraId="4182F9AE" w14:textId="77777777" w:rsidR="00962FD7" w:rsidRPr="007429EC" w:rsidRDefault="00962FD7" w:rsidP="00B224C9">
      <w:pPr>
        <w:rPr>
          <w:sz w:val="28"/>
          <w:szCs w:val="28"/>
        </w:rPr>
      </w:pPr>
    </w:p>
    <w:p w14:paraId="58B15FF3" w14:textId="2C514B07" w:rsidR="00962FD7" w:rsidRPr="007429EC" w:rsidRDefault="00962FD7" w:rsidP="00B224C9">
      <w:pPr>
        <w:rPr>
          <w:sz w:val="28"/>
          <w:szCs w:val="28"/>
        </w:rPr>
      </w:pPr>
      <w:r w:rsidRPr="007429EC">
        <w:rPr>
          <w:sz w:val="28"/>
          <w:szCs w:val="28"/>
        </w:rPr>
        <w:lastRenderedPageBreak/>
        <w:t>[</w:t>
      </w:r>
      <w:r w:rsidR="00207808" w:rsidRPr="007429EC">
        <w:rPr>
          <w:sz w:val="28"/>
          <w:szCs w:val="28"/>
        </w:rPr>
        <w:t>15</w:t>
      </w:r>
      <w:r w:rsidRPr="007429EC">
        <w:rPr>
          <w:sz w:val="28"/>
          <w:szCs w:val="28"/>
        </w:rPr>
        <w:t>]</w:t>
      </w:r>
      <w:r w:rsidRPr="007429EC">
        <w:rPr>
          <w:sz w:val="28"/>
          <w:szCs w:val="28"/>
        </w:rPr>
        <w:tab/>
        <w:t xml:space="preserve">Following the award of the tender, a </w:t>
      </w:r>
      <w:r w:rsidR="00FD1F73" w:rsidRPr="007429EC">
        <w:rPr>
          <w:sz w:val="28"/>
          <w:szCs w:val="28"/>
        </w:rPr>
        <w:t>S</w:t>
      </w:r>
      <w:r w:rsidRPr="007429EC">
        <w:rPr>
          <w:sz w:val="28"/>
          <w:szCs w:val="28"/>
        </w:rPr>
        <w:t xml:space="preserve">teering </w:t>
      </w:r>
      <w:r w:rsidR="00FD1F73" w:rsidRPr="007429EC">
        <w:rPr>
          <w:sz w:val="28"/>
          <w:szCs w:val="28"/>
        </w:rPr>
        <w:t>C</w:t>
      </w:r>
      <w:r w:rsidRPr="007429EC">
        <w:rPr>
          <w:sz w:val="28"/>
          <w:szCs w:val="28"/>
        </w:rPr>
        <w:t>ommittee</w:t>
      </w:r>
      <w:r w:rsidR="004D1D53" w:rsidRPr="007429EC">
        <w:rPr>
          <w:sz w:val="28"/>
          <w:szCs w:val="28"/>
        </w:rPr>
        <w:t xml:space="preserve"> was established</w:t>
      </w:r>
      <w:r w:rsidRPr="007429EC">
        <w:rPr>
          <w:sz w:val="28"/>
          <w:szCs w:val="28"/>
        </w:rPr>
        <w:t xml:space="preserve"> </w:t>
      </w:r>
      <w:r w:rsidR="00F0561C" w:rsidRPr="007429EC">
        <w:rPr>
          <w:sz w:val="28"/>
          <w:szCs w:val="28"/>
        </w:rPr>
        <w:t xml:space="preserve">comprising representatives of the Department, the Joint Venture and </w:t>
      </w:r>
      <w:r w:rsidR="0025450F" w:rsidRPr="007429EC">
        <w:rPr>
          <w:sz w:val="28"/>
          <w:szCs w:val="28"/>
        </w:rPr>
        <w:t xml:space="preserve">the </w:t>
      </w:r>
      <w:r w:rsidR="00F0561C" w:rsidRPr="007429EC">
        <w:rPr>
          <w:sz w:val="28"/>
          <w:szCs w:val="28"/>
        </w:rPr>
        <w:t>National Treasury</w:t>
      </w:r>
      <w:r w:rsidR="004D1D53" w:rsidRPr="007429EC">
        <w:rPr>
          <w:sz w:val="28"/>
          <w:szCs w:val="28"/>
        </w:rPr>
        <w:t xml:space="preserve"> and its</w:t>
      </w:r>
      <w:r w:rsidR="00F0561C" w:rsidRPr="007429EC">
        <w:rPr>
          <w:sz w:val="28"/>
          <w:szCs w:val="28"/>
        </w:rPr>
        <w:t xml:space="preserve"> primary objective was to monitor the implementation of the project</w:t>
      </w:r>
      <w:r w:rsidRPr="007429EC">
        <w:rPr>
          <w:sz w:val="28"/>
          <w:szCs w:val="28"/>
        </w:rPr>
        <w:t xml:space="preserve">. </w:t>
      </w:r>
      <w:r w:rsidR="00207808" w:rsidRPr="007429EC">
        <w:rPr>
          <w:sz w:val="28"/>
          <w:szCs w:val="28"/>
        </w:rPr>
        <w:t xml:space="preserve">Its chairperson was Ms Bernice Africa, the Department's Chief Director: Property and Facilities Management. </w:t>
      </w:r>
      <w:r w:rsidRPr="007429EC">
        <w:rPr>
          <w:sz w:val="28"/>
          <w:szCs w:val="28"/>
        </w:rPr>
        <w:t>The committee proposed</w:t>
      </w:r>
      <w:r w:rsidR="00D06895" w:rsidRPr="007429EC">
        <w:rPr>
          <w:sz w:val="28"/>
          <w:szCs w:val="28"/>
        </w:rPr>
        <w:t>, amongst other things,</w:t>
      </w:r>
      <w:r w:rsidRPr="007429EC">
        <w:rPr>
          <w:sz w:val="28"/>
          <w:szCs w:val="28"/>
        </w:rPr>
        <w:t xml:space="preserve"> that the envisaged lease agreement should constitute a finance lease. </w:t>
      </w:r>
      <w:r w:rsidR="008A3A64" w:rsidRPr="007429EC">
        <w:rPr>
          <w:sz w:val="28"/>
          <w:szCs w:val="28"/>
        </w:rPr>
        <w:t>In terms of s 76(3) of the Public Finance Management Act</w:t>
      </w:r>
      <w:r w:rsidR="00443987" w:rsidRPr="007429EC">
        <w:rPr>
          <w:sz w:val="28"/>
          <w:szCs w:val="28"/>
        </w:rPr>
        <w:t xml:space="preserve"> 1 of 1999</w:t>
      </w:r>
      <w:r w:rsidR="008A3A64" w:rsidRPr="007429EC">
        <w:rPr>
          <w:sz w:val="28"/>
          <w:szCs w:val="28"/>
        </w:rPr>
        <w:t xml:space="preserve"> (</w:t>
      </w:r>
      <w:r w:rsidR="00443987" w:rsidRPr="007429EC">
        <w:rPr>
          <w:sz w:val="28"/>
          <w:szCs w:val="28"/>
        </w:rPr>
        <w:t xml:space="preserve">the </w:t>
      </w:r>
      <w:r w:rsidR="008A3A64" w:rsidRPr="007429EC">
        <w:rPr>
          <w:sz w:val="28"/>
          <w:szCs w:val="28"/>
        </w:rPr>
        <w:t xml:space="preserve">PFMA) read with </w:t>
      </w:r>
      <w:r w:rsidR="00443987" w:rsidRPr="007429EC">
        <w:rPr>
          <w:sz w:val="28"/>
          <w:szCs w:val="28"/>
        </w:rPr>
        <w:t>R</w:t>
      </w:r>
      <w:r w:rsidR="008A3A64" w:rsidRPr="007429EC">
        <w:rPr>
          <w:sz w:val="28"/>
          <w:szCs w:val="28"/>
        </w:rPr>
        <w:t>egulations 13.2.4 and 16 of the Treasury Regulations</w:t>
      </w:r>
      <w:r w:rsidR="00443987" w:rsidRPr="007429EC">
        <w:rPr>
          <w:sz w:val="28"/>
          <w:szCs w:val="28"/>
        </w:rPr>
        <w:t>,</w:t>
      </w:r>
      <w:r w:rsidR="008A3A64" w:rsidRPr="007429EC">
        <w:rPr>
          <w:rStyle w:val="FootnoteReference"/>
          <w:sz w:val="28"/>
          <w:szCs w:val="28"/>
        </w:rPr>
        <w:footnoteReference w:id="5"/>
      </w:r>
      <w:r w:rsidR="008A3A64" w:rsidRPr="007429EC">
        <w:rPr>
          <w:sz w:val="28"/>
          <w:szCs w:val="28"/>
        </w:rPr>
        <w:t xml:space="preserve"> a finance lease require</w:t>
      </w:r>
      <w:r w:rsidR="00443987" w:rsidRPr="007429EC">
        <w:rPr>
          <w:sz w:val="28"/>
          <w:szCs w:val="28"/>
        </w:rPr>
        <w:t>s</w:t>
      </w:r>
      <w:r w:rsidR="008A3A64" w:rsidRPr="007429EC">
        <w:rPr>
          <w:sz w:val="28"/>
          <w:szCs w:val="28"/>
        </w:rPr>
        <w:t xml:space="preserve"> the approval of the National Treasury. The Treasury Regulations make provision for four categories of approval, namely Treasury Approval</w:t>
      </w:r>
      <w:r w:rsidR="00443987" w:rsidRPr="007429EC">
        <w:rPr>
          <w:sz w:val="28"/>
          <w:szCs w:val="28"/>
        </w:rPr>
        <w:t xml:space="preserve"> I</w:t>
      </w:r>
      <w:r w:rsidR="008A3A64" w:rsidRPr="007429EC">
        <w:rPr>
          <w:sz w:val="28"/>
          <w:szCs w:val="28"/>
        </w:rPr>
        <w:t xml:space="preserve"> (TA</w:t>
      </w:r>
      <w:r w:rsidR="00443987" w:rsidRPr="007429EC">
        <w:rPr>
          <w:sz w:val="28"/>
          <w:szCs w:val="28"/>
        </w:rPr>
        <w:t xml:space="preserve"> </w:t>
      </w:r>
      <w:r w:rsidR="00FD4B8D" w:rsidRPr="007429EC">
        <w:rPr>
          <w:sz w:val="28"/>
          <w:szCs w:val="28"/>
        </w:rPr>
        <w:t>I</w:t>
      </w:r>
      <w:r w:rsidR="00443987" w:rsidRPr="007429EC">
        <w:rPr>
          <w:sz w:val="28"/>
          <w:szCs w:val="28"/>
        </w:rPr>
        <w:t>)</w:t>
      </w:r>
      <w:r w:rsidR="008A3A64" w:rsidRPr="007429EC">
        <w:rPr>
          <w:sz w:val="28"/>
          <w:szCs w:val="28"/>
        </w:rPr>
        <w:t xml:space="preserve">; Treasury Approval </w:t>
      </w:r>
      <w:r w:rsidR="00443987" w:rsidRPr="007429EC">
        <w:rPr>
          <w:sz w:val="28"/>
          <w:szCs w:val="28"/>
        </w:rPr>
        <w:t xml:space="preserve">IIA </w:t>
      </w:r>
      <w:r w:rsidR="008A3A64" w:rsidRPr="007429EC">
        <w:rPr>
          <w:sz w:val="28"/>
          <w:szCs w:val="28"/>
        </w:rPr>
        <w:t xml:space="preserve">(TA </w:t>
      </w:r>
      <w:r w:rsidR="00FD4B8D" w:rsidRPr="007429EC">
        <w:rPr>
          <w:sz w:val="28"/>
          <w:szCs w:val="28"/>
        </w:rPr>
        <w:t>II</w:t>
      </w:r>
      <w:r w:rsidR="008A3A64" w:rsidRPr="007429EC">
        <w:rPr>
          <w:sz w:val="28"/>
          <w:szCs w:val="28"/>
        </w:rPr>
        <w:t>A</w:t>
      </w:r>
      <w:r w:rsidR="00443987" w:rsidRPr="007429EC">
        <w:rPr>
          <w:sz w:val="28"/>
          <w:szCs w:val="28"/>
        </w:rPr>
        <w:t>)</w:t>
      </w:r>
      <w:r w:rsidR="008A3A64" w:rsidRPr="007429EC">
        <w:rPr>
          <w:sz w:val="28"/>
          <w:szCs w:val="28"/>
        </w:rPr>
        <w:t xml:space="preserve">; Treasury Approval </w:t>
      </w:r>
      <w:r w:rsidR="00443987" w:rsidRPr="007429EC">
        <w:rPr>
          <w:sz w:val="28"/>
          <w:szCs w:val="28"/>
        </w:rPr>
        <w:t xml:space="preserve">IIB </w:t>
      </w:r>
      <w:r w:rsidR="008A3A64" w:rsidRPr="007429EC">
        <w:rPr>
          <w:sz w:val="28"/>
          <w:szCs w:val="28"/>
        </w:rPr>
        <w:t xml:space="preserve">(TA </w:t>
      </w:r>
      <w:r w:rsidR="00FD4B8D" w:rsidRPr="007429EC">
        <w:rPr>
          <w:sz w:val="28"/>
          <w:szCs w:val="28"/>
        </w:rPr>
        <w:t>II</w:t>
      </w:r>
      <w:r w:rsidR="008A3A64" w:rsidRPr="007429EC">
        <w:rPr>
          <w:sz w:val="28"/>
          <w:szCs w:val="28"/>
        </w:rPr>
        <w:t>B</w:t>
      </w:r>
      <w:r w:rsidR="00443987" w:rsidRPr="007429EC">
        <w:rPr>
          <w:sz w:val="28"/>
          <w:szCs w:val="28"/>
        </w:rPr>
        <w:t>)</w:t>
      </w:r>
      <w:r w:rsidR="008A3A64" w:rsidRPr="007429EC">
        <w:rPr>
          <w:sz w:val="28"/>
          <w:szCs w:val="28"/>
        </w:rPr>
        <w:t xml:space="preserve"> and Treasury Approval </w:t>
      </w:r>
      <w:r w:rsidR="00443987" w:rsidRPr="007429EC">
        <w:rPr>
          <w:sz w:val="28"/>
          <w:szCs w:val="28"/>
        </w:rPr>
        <w:t xml:space="preserve">III </w:t>
      </w:r>
      <w:r w:rsidR="008A3A64" w:rsidRPr="007429EC">
        <w:rPr>
          <w:sz w:val="28"/>
          <w:szCs w:val="28"/>
        </w:rPr>
        <w:t xml:space="preserve">(TA </w:t>
      </w:r>
      <w:r w:rsidR="00FD4B8D" w:rsidRPr="007429EC">
        <w:rPr>
          <w:sz w:val="28"/>
          <w:szCs w:val="28"/>
        </w:rPr>
        <w:t>III</w:t>
      </w:r>
      <w:r w:rsidR="00443987" w:rsidRPr="007429EC">
        <w:rPr>
          <w:sz w:val="28"/>
          <w:szCs w:val="28"/>
        </w:rPr>
        <w:t>)</w:t>
      </w:r>
      <w:r w:rsidR="008A3A64" w:rsidRPr="007429EC">
        <w:rPr>
          <w:sz w:val="28"/>
          <w:szCs w:val="28"/>
        </w:rPr>
        <w:t xml:space="preserve">. Upon being approached to grant the requisite approvals, </w:t>
      </w:r>
      <w:r w:rsidR="0025450F" w:rsidRPr="007429EC">
        <w:rPr>
          <w:sz w:val="28"/>
          <w:szCs w:val="28"/>
        </w:rPr>
        <w:t xml:space="preserve">the </w:t>
      </w:r>
      <w:r w:rsidR="008A3A64" w:rsidRPr="007429EC">
        <w:rPr>
          <w:sz w:val="28"/>
          <w:szCs w:val="28"/>
        </w:rPr>
        <w:t xml:space="preserve">National Treasury instead granted exemptions in relation to TA </w:t>
      </w:r>
      <w:r w:rsidR="00FD4B8D" w:rsidRPr="007429EC">
        <w:rPr>
          <w:sz w:val="28"/>
          <w:szCs w:val="28"/>
        </w:rPr>
        <w:t>I, TA IIA and TA II</w:t>
      </w:r>
      <w:r w:rsidR="008A3A64" w:rsidRPr="007429EC">
        <w:rPr>
          <w:sz w:val="28"/>
          <w:szCs w:val="28"/>
        </w:rPr>
        <w:t>B</w:t>
      </w:r>
      <w:r w:rsidR="00884AB3" w:rsidRPr="007429EC">
        <w:rPr>
          <w:sz w:val="28"/>
          <w:szCs w:val="28"/>
        </w:rPr>
        <w:t>,</w:t>
      </w:r>
      <w:r w:rsidR="008A3A64" w:rsidRPr="007429EC">
        <w:rPr>
          <w:sz w:val="28"/>
          <w:szCs w:val="28"/>
        </w:rPr>
        <w:t xml:space="preserve"> stating that the exemptions were granted by virtue of </w:t>
      </w:r>
      <w:r w:rsidR="003B6577" w:rsidRPr="007429EC">
        <w:rPr>
          <w:sz w:val="28"/>
          <w:szCs w:val="28"/>
        </w:rPr>
        <w:t>'</w:t>
      </w:r>
      <w:r w:rsidR="008A3A64" w:rsidRPr="007429EC">
        <w:rPr>
          <w:sz w:val="28"/>
          <w:szCs w:val="28"/>
        </w:rPr>
        <w:t>the developments that have already taken place</w:t>
      </w:r>
      <w:r w:rsidR="003B6577" w:rsidRPr="007429EC">
        <w:rPr>
          <w:sz w:val="28"/>
          <w:szCs w:val="28"/>
        </w:rPr>
        <w:t>'</w:t>
      </w:r>
      <w:r w:rsidR="008A3A64" w:rsidRPr="007429EC">
        <w:rPr>
          <w:sz w:val="28"/>
          <w:szCs w:val="28"/>
        </w:rPr>
        <w:t xml:space="preserve">. However, </w:t>
      </w:r>
      <w:r w:rsidR="006D235E">
        <w:rPr>
          <w:sz w:val="28"/>
          <w:szCs w:val="28"/>
        </w:rPr>
        <w:t xml:space="preserve">the </w:t>
      </w:r>
      <w:r w:rsidR="008A3A64" w:rsidRPr="007429EC">
        <w:rPr>
          <w:sz w:val="28"/>
          <w:szCs w:val="28"/>
        </w:rPr>
        <w:t xml:space="preserve">National Treasury insisted on due compliance with respect to TA </w:t>
      </w:r>
      <w:r w:rsidR="00FD4B8D" w:rsidRPr="007429EC">
        <w:rPr>
          <w:sz w:val="28"/>
          <w:szCs w:val="28"/>
        </w:rPr>
        <w:t>III</w:t>
      </w:r>
      <w:r w:rsidR="008A3A64" w:rsidRPr="007429EC">
        <w:rPr>
          <w:sz w:val="28"/>
          <w:szCs w:val="28"/>
        </w:rPr>
        <w:t xml:space="preserve">. To this end, </w:t>
      </w:r>
      <w:r w:rsidR="006D235E">
        <w:rPr>
          <w:sz w:val="28"/>
          <w:szCs w:val="28"/>
        </w:rPr>
        <w:t xml:space="preserve">the </w:t>
      </w:r>
      <w:r w:rsidR="008A3A64" w:rsidRPr="007429EC">
        <w:rPr>
          <w:sz w:val="28"/>
          <w:szCs w:val="28"/>
        </w:rPr>
        <w:t xml:space="preserve">National Treasury required that </w:t>
      </w:r>
      <w:r w:rsidR="00D12657" w:rsidRPr="007429EC">
        <w:rPr>
          <w:sz w:val="28"/>
          <w:szCs w:val="28"/>
        </w:rPr>
        <w:t xml:space="preserve">the Department submit </w:t>
      </w:r>
      <w:r w:rsidR="00B371F4" w:rsidRPr="007429EC">
        <w:rPr>
          <w:sz w:val="28"/>
          <w:szCs w:val="28"/>
        </w:rPr>
        <w:t>certain documentation, namely:</w:t>
      </w:r>
    </w:p>
    <w:p w14:paraId="004F9ED9" w14:textId="0DB55680" w:rsidR="00B371F4" w:rsidRPr="007429EC" w:rsidRDefault="00B371F4" w:rsidP="00B224C9">
      <w:pPr>
        <w:rPr>
          <w:sz w:val="28"/>
          <w:szCs w:val="28"/>
        </w:rPr>
      </w:pPr>
      <w:r w:rsidRPr="007429EC">
        <w:rPr>
          <w:sz w:val="28"/>
          <w:szCs w:val="28"/>
        </w:rPr>
        <w:t xml:space="preserve">(a) </w:t>
      </w:r>
      <w:r w:rsidR="00FC622C" w:rsidRPr="007429EC">
        <w:rPr>
          <w:sz w:val="28"/>
          <w:szCs w:val="28"/>
        </w:rPr>
        <w:t xml:space="preserve">the </w:t>
      </w:r>
      <w:r w:rsidRPr="007429EC">
        <w:rPr>
          <w:sz w:val="28"/>
          <w:szCs w:val="28"/>
        </w:rPr>
        <w:t xml:space="preserve">final draft </w:t>
      </w:r>
      <w:r w:rsidR="00541F0B" w:rsidRPr="007429EC">
        <w:rPr>
          <w:sz w:val="28"/>
          <w:szCs w:val="28"/>
        </w:rPr>
        <w:t>Public Private Partnership (</w:t>
      </w:r>
      <w:r w:rsidRPr="007429EC">
        <w:rPr>
          <w:sz w:val="28"/>
          <w:szCs w:val="28"/>
        </w:rPr>
        <w:t>PPP</w:t>
      </w:r>
      <w:r w:rsidR="00541F0B" w:rsidRPr="007429EC">
        <w:rPr>
          <w:sz w:val="28"/>
          <w:szCs w:val="28"/>
        </w:rPr>
        <w:t>)</w:t>
      </w:r>
      <w:r w:rsidRPr="007429EC">
        <w:rPr>
          <w:sz w:val="28"/>
          <w:szCs w:val="28"/>
        </w:rPr>
        <w:t xml:space="preserve"> agreement;</w:t>
      </w:r>
    </w:p>
    <w:p w14:paraId="19FC02FF" w14:textId="00C4138B" w:rsidR="00B371F4" w:rsidRPr="007429EC" w:rsidRDefault="00B371F4" w:rsidP="00B224C9">
      <w:pPr>
        <w:rPr>
          <w:sz w:val="28"/>
          <w:szCs w:val="28"/>
        </w:rPr>
      </w:pPr>
      <w:r w:rsidRPr="007429EC">
        <w:rPr>
          <w:sz w:val="28"/>
          <w:szCs w:val="28"/>
        </w:rPr>
        <w:t xml:space="preserve">(b) </w:t>
      </w:r>
      <w:r w:rsidR="00FC622C" w:rsidRPr="007429EC">
        <w:rPr>
          <w:sz w:val="28"/>
          <w:szCs w:val="28"/>
        </w:rPr>
        <w:t xml:space="preserve">the </w:t>
      </w:r>
      <w:r w:rsidRPr="007429EC">
        <w:rPr>
          <w:sz w:val="28"/>
          <w:szCs w:val="28"/>
        </w:rPr>
        <w:t>final draft nominee agreement;</w:t>
      </w:r>
    </w:p>
    <w:p w14:paraId="7D1F282E" w14:textId="7D2E60F5" w:rsidR="00B371F4" w:rsidRPr="007429EC" w:rsidRDefault="00B371F4" w:rsidP="00B224C9">
      <w:pPr>
        <w:rPr>
          <w:sz w:val="28"/>
          <w:szCs w:val="28"/>
        </w:rPr>
      </w:pPr>
      <w:r w:rsidRPr="007429EC">
        <w:rPr>
          <w:sz w:val="28"/>
          <w:szCs w:val="28"/>
        </w:rPr>
        <w:t xml:space="preserve">(c) </w:t>
      </w:r>
      <w:r w:rsidR="00FC622C" w:rsidRPr="007429EC">
        <w:rPr>
          <w:sz w:val="28"/>
          <w:szCs w:val="28"/>
        </w:rPr>
        <w:t xml:space="preserve">the </w:t>
      </w:r>
      <w:r w:rsidRPr="007429EC">
        <w:rPr>
          <w:sz w:val="28"/>
          <w:szCs w:val="28"/>
        </w:rPr>
        <w:t>final financial model, including detailed information on contingent liabilities and the impact of exchange rate movements on project cash-flows;</w:t>
      </w:r>
    </w:p>
    <w:p w14:paraId="5C0836EF" w14:textId="028F3571" w:rsidR="00B371F4" w:rsidRPr="007429EC" w:rsidRDefault="00B371F4" w:rsidP="00B224C9">
      <w:pPr>
        <w:rPr>
          <w:sz w:val="28"/>
          <w:szCs w:val="28"/>
        </w:rPr>
      </w:pPr>
      <w:r w:rsidRPr="007429EC">
        <w:rPr>
          <w:sz w:val="28"/>
          <w:szCs w:val="28"/>
        </w:rPr>
        <w:t xml:space="preserve">(d) </w:t>
      </w:r>
      <w:r w:rsidR="00FC622C" w:rsidRPr="007429EC">
        <w:rPr>
          <w:sz w:val="28"/>
          <w:szCs w:val="28"/>
        </w:rPr>
        <w:t xml:space="preserve">the </w:t>
      </w:r>
      <w:r w:rsidRPr="007429EC">
        <w:rPr>
          <w:sz w:val="28"/>
          <w:szCs w:val="28"/>
        </w:rPr>
        <w:t>PPP contract management plan;</w:t>
      </w:r>
      <w:r w:rsidR="00FC622C" w:rsidRPr="007429EC">
        <w:rPr>
          <w:sz w:val="28"/>
          <w:szCs w:val="28"/>
        </w:rPr>
        <w:t xml:space="preserve"> and</w:t>
      </w:r>
    </w:p>
    <w:p w14:paraId="740B32DD" w14:textId="372A5088" w:rsidR="00B371F4" w:rsidRPr="007429EC" w:rsidRDefault="00B371F4" w:rsidP="00B224C9">
      <w:pPr>
        <w:rPr>
          <w:sz w:val="28"/>
          <w:szCs w:val="28"/>
        </w:rPr>
      </w:pPr>
      <w:r w:rsidRPr="007429EC">
        <w:rPr>
          <w:sz w:val="28"/>
          <w:szCs w:val="28"/>
        </w:rPr>
        <w:t>(e) documents indicating the preferred bidder</w:t>
      </w:r>
      <w:r w:rsidR="003B6577" w:rsidRPr="007429EC">
        <w:rPr>
          <w:sz w:val="28"/>
          <w:szCs w:val="28"/>
        </w:rPr>
        <w:t>'</w:t>
      </w:r>
      <w:r w:rsidRPr="007429EC">
        <w:rPr>
          <w:sz w:val="28"/>
          <w:szCs w:val="28"/>
        </w:rPr>
        <w:t>s capacity and track record in the financing, design and construction of buildings (American company) and facilities management (South African company).</w:t>
      </w:r>
    </w:p>
    <w:p w14:paraId="7510D5E4" w14:textId="5599C20D" w:rsidR="00B371F4" w:rsidRPr="007429EC" w:rsidRDefault="00B371F4" w:rsidP="00B224C9">
      <w:pPr>
        <w:rPr>
          <w:sz w:val="28"/>
          <w:szCs w:val="28"/>
        </w:rPr>
      </w:pPr>
      <w:r w:rsidRPr="007429EC">
        <w:rPr>
          <w:sz w:val="28"/>
          <w:szCs w:val="28"/>
        </w:rPr>
        <w:lastRenderedPageBreak/>
        <w:t>[16]</w:t>
      </w:r>
      <w:r w:rsidRPr="007429EC">
        <w:rPr>
          <w:sz w:val="28"/>
          <w:szCs w:val="28"/>
        </w:rPr>
        <w:tab/>
      </w:r>
      <w:r w:rsidR="00A66B32" w:rsidRPr="007429EC">
        <w:rPr>
          <w:sz w:val="28"/>
          <w:szCs w:val="28"/>
        </w:rPr>
        <w:t xml:space="preserve">At </w:t>
      </w:r>
      <w:r w:rsidR="00207808" w:rsidRPr="007429EC">
        <w:rPr>
          <w:sz w:val="28"/>
          <w:szCs w:val="28"/>
        </w:rPr>
        <w:t>the</w:t>
      </w:r>
      <w:r w:rsidR="00A66B32" w:rsidRPr="007429EC">
        <w:rPr>
          <w:sz w:val="28"/>
          <w:szCs w:val="28"/>
        </w:rPr>
        <w:t xml:space="preserve"> first meeting</w:t>
      </w:r>
      <w:r w:rsidR="00207808" w:rsidRPr="007429EC">
        <w:rPr>
          <w:sz w:val="28"/>
          <w:szCs w:val="28"/>
        </w:rPr>
        <w:t xml:space="preserve"> of the Steering Committee</w:t>
      </w:r>
      <w:r w:rsidR="00A66B32" w:rsidRPr="007429EC">
        <w:rPr>
          <w:sz w:val="28"/>
          <w:szCs w:val="28"/>
        </w:rPr>
        <w:t xml:space="preserve"> held on 21 June 2016 attended by representatives from both Simeka Group and </w:t>
      </w:r>
      <w:r w:rsidR="002D0125" w:rsidRPr="007429EC">
        <w:rPr>
          <w:sz w:val="28"/>
          <w:szCs w:val="28"/>
        </w:rPr>
        <w:t>Regiments</w:t>
      </w:r>
      <w:r w:rsidR="00A66B32" w:rsidRPr="007429EC">
        <w:rPr>
          <w:sz w:val="28"/>
          <w:szCs w:val="28"/>
        </w:rPr>
        <w:t xml:space="preserve"> Capital on the one hand</w:t>
      </w:r>
      <w:r w:rsidR="00CE45D6" w:rsidRPr="007429EC">
        <w:rPr>
          <w:sz w:val="28"/>
          <w:szCs w:val="28"/>
        </w:rPr>
        <w:t>,</w:t>
      </w:r>
      <w:r w:rsidR="00A66B32" w:rsidRPr="007429EC">
        <w:rPr>
          <w:sz w:val="28"/>
          <w:szCs w:val="28"/>
        </w:rPr>
        <w:t xml:space="preserve"> and the Department on the other, it was</w:t>
      </w:r>
      <w:r w:rsidR="00F838A1" w:rsidRPr="007429EC">
        <w:rPr>
          <w:sz w:val="28"/>
          <w:szCs w:val="28"/>
        </w:rPr>
        <w:t>,</w:t>
      </w:r>
      <w:r w:rsidR="00A66B32" w:rsidRPr="007429EC">
        <w:rPr>
          <w:sz w:val="28"/>
          <w:szCs w:val="28"/>
        </w:rPr>
        <w:t xml:space="preserve"> inter alia</w:t>
      </w:r>
      <w:r w:rsidR="00F838A1" w:rsidRPr="007429EC">
        <w:rPr>
          <w:sz w:val="28"/>
          <w:szCs w:val="28"/>
        </w:rPr>
        <w:t>,</w:t>
      </w:r>
      <w:r w:rsidR="00A66B32" w:rsidRPr="007429EC">
        <w:rPr>
          <w:sz w:val="28"/>
          <w:szCs w:val="28"/>
        </w:rPr>
        <w:t xml:space="preserve"> agreed that:</w:t>
      </w:r>
    </w:p>
    <w:p w14:paraId="10B7451E" w14:textId="6E646805" w:rsidR="00A66B32" w:rsidRPr="007429EC" w:rsidRDefault="00CE45D6" w:rsidP="00CE45D6">
      <w:pPr>
        <w:rPr>
          <w:sz w:val="28"/>
          <w:szCs w:val="28"/>
        </w:rPr>
      </w:pPr>
      <w:r w:rsidRPr="007429EC">
        <w:rPr>
          <w:sz w:val="28"/>
          <w:szCs w:val="28"/>
        </w:rPr>
        <w:t xml:space="preserve">(a) </w:t>
      </w:r>
      <w:r w:rsidR="00A66B32" w:rsidRPr="007429EC">
        <w:rPr>
          <w:sz w:val="28"/>
          <w:szCs w:val="28"/>
        </w:rPr>
        <w:t xml:space="preserve">an offer to purchase the land had been </w:t>
      </w:r>
      <w:r w:rsidR="003B6577" w:rsidRPr="007429EC">
        <w:rPr>
          <w:sz w:val="28"/>
          <w:szCs w:val="28"/>
        </w:rPr>
        <w:t>'</w:t>
      </w:r>
      <w:r w:rsidR="00A66B32" w:rsidRPr="007429EC">
        <w:rPr>
          <w:sz w:val="28"/>
          <w:szCs w:val="28"/>
        </w:rPr>
        <w:t>verbally accepted by the current owners</w:t>
      </w:r>
      <w:r w:rsidR="003B6577" w:rsidRPr="007429EC">
        <w:rPr>
          <w:sz w:val="28"/>
          <w:szCs w:val="28"/>
        </w:rPr>
        <w:t>'</w:t>
      </w:r>
      <w:r w:rsidR="00A66B32" w:rsidRPr="007429EC">
        <w:rPr>
          <w:sz w:val="28"/>
          <w:szCs w:val="28"/>
        </w:rPr>
        <w:t xml:space="preserve"> and that it was envisaged that a written agreement should be concluded by 30 June 2016 with a deposit of US</w:t>
      </w:r>
      <w:r w:rsidR="008F7AC7" w:rsidRPr="007429EC">
        <w:rPr>
          <w:sz w:val="28"/>
          <w:szCs w:val="28"/>
        </w:rPr>
        <w:t xml:space="preserve"> $</w:t>
      </w:r>
      <w:r w:rsidR="00A66B32" w:rsidRPr="007429EC">
        <w:rPr>
          <w:sz w:val="28"/>
          <w:szCs w:val="28"/>
        </w:rPr>
        <w:t>1 million payable within 60 days thereafter;</w:t>
      </w:r>
    </w:p>
    <w:p w14:paraId="758BFBB4" w14:textId="3BD39382" w:rsidR="00A66B32" w:rsidRPr="007429EC" w:rsidRDefault="00CE45D6" w:rsidP="00CE45D6">
      <w:pPr>
        <w:rPr>
          <w:sz w:val="28"/>
          <w:szCs w:val="28"/>
        </w:rPr>
      </w:pPr>
      <w:r w:rsidRPr="007429EC">
        <w:rPr>
          <w:sz w:val="28"/>
          <w:szCs w:val="28"/>
        </w:rPr>
        <w:t xml:space="preserve">(b) </w:t>
      </w:r>
      <w:r w:rsidR="00A66B32" w:rsidRPr="007429EC">
        <w:rPr>
          <w:sz w:val="28"/>
          <w:szCs w:val="28"/>
        </w:rPr>
        <w:t>that the transaction had by then metamorphosised into a finance lease</w:t>
      </w:r>
      <w:r w:rsidR="000B7E1D" w:rsidRPr="007429EC">
        <w:rPr>
          <w:sz w:val="28"/>
          <w:szCs w:val="28"/>
        </w:rPr>
        <w:t xml:space="preserve"> and that the Department would consider contributing towards the purchase of the land;</w:t>
      </w:r>
    </w:p>
    <w:p w14:paraId="4897B0D4" w14:textId="25EC0323" w:rsidR="000B7E1D" w:rsidRPr="007429EC" w:rsidRDefault="00CE45D6" w:rsidP="00CE45D6">
      <w:pPr>
        <w:rPr>
          <w:sz w:val="28"/>
          <w:szCs w:val="28"/>
        </w:rPr>
      </w:pPr>
      <w:r w:rsidRPr="007429EC">
        <w:rPr>
          <w:sz w:val="28"/>
          <w:szCs w:val="28"/>
        </w:rPr>
        <w:t xml:space="preserve">(c) </w:t>
      </w:r>
      <w:r w:rsidR="000B7E1D" w:rsidRPr="007429EC">
        <w:rPr>
          <w:sz w:val="28"/>
          <w:szCs w:val="28"/>
        </w:rPr>
        <w:t xml:space="preserve">that Simeka Group would represent the Department </w:t>
      </w:r>
      <w:r w:rsidR="00FC622C" w:rsidRPr="007429EC">
        <w:rPr>
          <w:sz w:val="28"/>
          <w:szCs w:val="28"/>
        </w:rPr>
        <w:t>as the latter</w:t>
      </w:r>
      <w:r w:rsidR="003B6577" w:rsidRPr="007429EC">
        <w:rPr>
          <w:sz w:val="28"/>
          <w:szCs w:val="28"/>
        </w:rPr>
        <w:t>'</w:t>
      </w:r>
      <w:r w:rsidR="00FC622C" w:rsidRPr="007429EC">
        <w:rPr>
          <w:sz w:val="28"/>
          <w:szCs w:val="28"/>
        </w:rPr>
        <w:t xml:space="preserve">s agent </w:t>
      </w:r>
      <w:r w:rsidR="000B7E1D" w:rsidRPr="007429EC">
        <w:rPr>
          <w:sz w:val="28"/>
          <w:szCs w:val="28"/>
        </w:rPr>
        <w:t>in the acquisition of the land with the South African Government in effect becoming the purchaser of the land.</w:t>
      </w:r>
    </w:p>
    <w:p w14:paraId="35DF9F03" w14:textId="77777777" w:rsidR="000B7E1D" w:rsidRPr="007429EC" w:rsidRDefault="000B7E1D" w:rsidP="000B7E1D">
      <w:pPr>
        <w:rPr>
          <w:sz w:val="28"/>
          <w:szCs w:val="28"/>
        </w:rPr>
      </w:pPr>
    </w:p>
    <w:p w14:paraId="58634529" w14:textId="02663381" w:rsidR="000B7E1D" w:rsidRPr="007429EC" w:rsidRDefault="000B7E1D" w:rsidP="000B7E1D">
      <w:pPr>
        <w:rPr>
          <w:sz w:val="28"/>
          <w:szCs w:val="28"/>
        </w:rPr>
      </w:pPr>
      <w:r w:rsidRPr="007429EC">
        <w:rPr>
          <w:sz w:val="28"/>
          <w:szCs w:val="28"/>
        </w:rPr>
        <w:t>[17]</w:t>
      </w:r>
      <w:r w:rsidRPr="007429EC">
        <w:rPr>
          <w:sz w:val="28"/>
          <w:szCs w:val="28"/>
        </w:rPr>
        <w:tab/>
        <w:t>At its subsequent meeting held on 19 January 2017</w:t>
      </w:r>
      <w:r w:rsidR="00B3773D" w:rsidRPr="007429EC">
        <w:rPr>
          <w:sz w:val="28"/>
          <w:szCs w:val="28"/>
        </w:rPr>
        <w:t>,</w:t>
      </w:r>
      <w:r w:rsidRPr="007429EC">
        <w:rPr>
          <w:sz w:val="28"/>
          <w:szCs w:val="28"/>
        </w:rPr>
        <w:t xml:space="preserve"> the </w:t>
      </w:r>
      <w:r w:rsidR="00FD1F73" w:rsidRPr="007429EC">
        <w:rPr>
          <w:sz w:val="28"/>
          <w:szCs w:val="28"/>
        </w:rPr>
        <w:t xml:space="preserve">Steering Committee </w:t>
      </w:r>
      <w:r w:rsidRPr="007429EC">
        <w:rPr>
          <w:sz w:val="28"/>
          <w:szCs w:val="28"/>
        </w:rPr>
        <w:t xml:space="preserve">agreed that the </w:t>
      </w:r>
      <w:r w:rsidR="00207808" w:rsidRPr="007429EC">
        <w:rPr>
          <w:sz w:val="28"/>
          <w:szCs w:val="28"/>
        </w:rPr>
        <w:t>Department</w:t>
      </w:r>
      <w:r w:rsidRPr="007429EC">
        <w:rPr>
          <w:sz w:val="28"/>
          <w:szCs w:val="28"/>
        </w:rPr>
        <w:t xml:space="preserve"> would pay a non-refundable deposit of US</w:t>
      </w:r>
      <w:r w:rsidR="008F7AC7" w:rsidRPr="007429EC">
        <w:rPr>
          <w:sz w:val="28"/>
          <w:szCs w:val="28"/>
        </w:rPr>
        <w:t xml:space="preserve"> $</w:t>
      </w:r>
      <w:r w:rsidRPr="007429EC">
        <w:rPr>
          <w:sz w:val="28"/>
          <w:szCs w:val="28"/>
        </w:rPr>
        <w:t xml:space="preserve">60 million towards the acquisition of land for the project in terms of a Project Preparation Agreement </w:t>
      </w:r>
      <w:r w:rsidR="00207808" w:rsidRPr="007429EC">
        <w:rPr>
          <w:sz w:val="28"/>
          <w:szCs w:val="28"/>
        </w:rPr>
        <w:t xml:space="preserve">(the PPA) </w:t>
      </w:r>
      <w:r w:rsidRPr="007429EC">
        <w:rPr>
          <w:sz w:val="28"/>
          <w:szCs w:val="28"/>
        </w:rPr>
        <w:t>that was at that stage envisaged.</w:t>
      </w:r>
    </w:p>
    <w:p w14:paraId="43A0944D" w14:textId="77777777" w:rsidR="00207808" w:rsidRPr="007429EC" w:rsidRDefault="00207808" w:rsidP="000B7E1D">
      <w:pPr>
        <w:rPr>
          <w:sz w:val="28"/>
          <w:szCs w:val="28"/>
        </w:rPr>
      </w:pPr>
    </w:p>
    <w:p w14:paraId="510364EF" w14:textId="1A86E622" w:rsidR="000B7E1D" w:rsidRPr="007429EC" w:rsidRDefault="00CE2F86" w:rsidP="000B7E1D">
      <w:pPr>
        <w:rPr>
          <w:sz w:val="28"/>
          <w:szCs w:val="28"/>
        </w:rPr>
      </w:pPr>
      <w:r w:rsidRPr="007429EC">
        <w:rPr>
          <w:sz w:val="28"/>
          <w:szCs w:val="28"/>
        </w:rPr>
        <w:t>[18]</w:t>
      </w:r>
      <w:r w:rsidRPr="007429EC">
        <w:rPr>
          <w:sz w:val="28"/>
          <w:szCs w:val="28"/>
        </w:rPr>
        <w:tab/>
        <w:t xml:space="preserve">At this juncture two points of fundamental importance </w:t>
      </w:r>
      <w:r w:rsidR="00207808" w:rsidRPr="007429EC">
        <w:rPr>
          <w:sz w:val="28"/>
          <w:szCs w:val="28"/>
        </w:rPr>
        <w:t>should</w:t>
      </w:r>
      <w:r w:rsidRPr="007429EC">
        <w:rPr>
          <w:sz w:val="28"/>
          <w:szCs w:val="28"/>
        </w:rPr>
        <w:t xml:space="preserve"> be made. First, it was by now envisaged that the Department would finance both the acquisition of the land and the construction of the offices and residential accommodation. Second, this </w:t>
      </w:r>
      <w:r w:rsidR="00FC622C" w:rsidRPr="007429EC">
        <w:rPr>
          <w:sz w:val="28"/>
          <w:szCs w:val="28"/>
        </w:rPr>
        <w:t xml:space="preserve">development </w:t>
      </w:r>
      <w:r w:rsidRPr="007429EC">
        <w:rPr>
          <w:sz w:val="28"/>
          <w:szCs w:val="28"/>
        </w:rPr>
        <w:t>represented a radical departure from what the RFP</w:t>
      </w:r>
      <w:r w:rsidR="004B6D5A" w:rsidRPr="007429EC">
        <w:rPr>
          <w:sz w:val="28"/>
          <w:szCs w:val="28"/>
        </w:rPr>
        <w:t>s</w:t>
      </w:r>
      <w:r w:rsidRPr="007429EC">
        <w:rPr>
          <w:sz w:val="28"/>
          <w:szCs w:val="28"/>
        </w:rPr>
        <w:t xml:space="preserve"> had envisaged and required when the project went out on tender. As a rationale for this radical departure from what the RFP</w:t>
      </w:r>
      <w:r w:rsidR="004B6D5A" w:rsidRPr="007429EC">
        <w:rPr>
          <w:sz w:val="28"/>
          <w:szCs w:val="28"/>
        </w:rPr>
        <w:t>s</w:t>
      </w:r>
      <w:r w:rsidRPr="007429EC">
        <w:rPr>
          <w:sz w:val="28"/>
          <w:szCs w:val="28"/>
        </w:rPr>
        <w:t xml:space="preserve"> contemplated, it was explained that it would be best for the Government </w:t>
      </w:r>
      <w:r w:rsidR="003B6577" w:rsidRPr="007429EC">
        <w:rPr>
          <w:sz w:val="28"/>
          <w:szCs w:val="28"/>
        </w:rPr>
        <w:t>'</w:t>
      </w:r>
      <w:r w:rsidRPr="007429EC">
        <w:rPr>
          <w:sz w:val="28"/>
          <w:szCs w:val="28"/>
        </w:rPr>
        <w:t>to take title of the property for purposes of [diplomatic] immunities and privileges</w:t>
      </w:r>
      <w:r w:rsidR="003B6577" w:rsidRPr="007429EC">
        <w:rPr>
          <w:sz w:val="28"/>
          <w:szCs w:val="28"/>
        </w:rPr>
        <w:t>'</w:t>
      </w:r>
      <w:r w:rsidRPr="007429EC">
        <w:rPr>
          <w:sz w:val="28"/>
          <w:szCs w:val="28"/>
        </w:rPr>
        <w:t xml:space="preserve">. </w:t>
      </w:r>
      <w:r w:rsidR="00CF7A18" w:rsidRPr="007429EC">
        <w:rPr>
          <w:sz w:val="28"/>
          <w:szCs w:val="28"/>
        </w:rPr>
        <w:t xml:space="preserve">The </w:t>
      </w:r>
      <w:r w:rsidR="00FD1F73" w:rsidRPr="007429EC">
        <w:rPr>
          <w:sz w:val="28"/>
          <w:szCs w:val="28"/>
        </w:rPr>
        <w:t xml:space="preserve">Steering Committee </w:t>
      </w:r>
      <w:r w:rsidR="00CF7A18" w:rsidRPr="007429EC">
        <w:rPr>
          <w:sz w:val="28"/>
          <w:szCs w:val="28"/>
        </w:rPr>
        <w:t>further agreed that:</w:t>
      </w:r>
    </w:p>
    <w:p w14:paraId="071B7459" w14:textId="57664EF8" w:rsidR="00CF7A18" w:rsidRPr="007429EC" w:rsidRDefault="00A13658" w:rsidP="00A13658">
      <w:pPr>
        <w:rPr>
          <w:sz w:val="28"/>
          <w:szCs w:val="28"/>
        </w:rPr>
      </w:pPr>
      <w:r w:rsidRPr="007429EC">
        <w:rPr>
          <w:sz w:val="28"/>
          <w:szCs w:val="28"/>
        </w:rPr>
        <w:t xml:space="preserve">(a) </w:t>
      </w:r>
      <w:r w:rsidR="00207808" w:rsidRPr="007429EC">
        <w:rPr>
          <w:sz w:val="28"/>
          <w:szCs w:val="28"/>
        </w:rPr>
        <w:t>the</w:t>
      </w:r>
      <w:r w:rsidRPr="007429EC">
        <w:rPr>
          <w:sz w:val="28"/>
          <w:szCs w:val="28"/>
        </w:rPr>
        <w:t xml:space="preserve"> PPA </w:t>
      </w:r>
      <w:r w:rsidR="00CF7A18" w:rsidRPr="007429EC">
        <w:rPr>
          <w:sz w:val="28"/>
          <w:szCs w:val="28"/>
        </w:rPr>
        <w:t>should be submitted by 27 January 2017;</w:t>
      </w:r>
    </w:p>
    <w:p w14:paraId="5C725800" w14:textId="45B82382" w:rsidR="00CF7A18" w:rsidRPr="007429EC" w:rsidRDefault="00A13658" w:rsidP="00A13658">
      <w:pPr>
        <w:rPr>
          <w:sz w:val="28"/>
          <w:szCs w:val="28"/>
        </w:rPr>
      </w:pPr>
      <w:r w:rsidRPr="007429EC">
        <w:rPr>
          <w:sz w:val="28"/>
          <w:szCs w:val="28"/>
        </w:rPr>
        <w:lastRenderedPageBreak/>
        <w:t xml:space="preserve">(b) </w:t>
      </w:r>
      <w:r w:rsidR="00CF7A18" w:rsidRPr="007429EC">
        <w:rPr>
          <w:sz w:val="28"/>
          <w:szCs w:val="28"/>
        </w:rPr>
        <w:t xml:space="preserve">TA </w:t>
      </w:r>
      <w:r w:rsidR="00775252" w:rsidRPr="007429EC">
        <w:rPr>
          <w:sz w:val="28"/>
          <w:szCs w:val="28"/>
        </w:rPr>
        <w:t>III</w:t>
      </w:r>
      <w:r w:rsidR="00CF7A18" w:rsidRPr="007429EC">
        <w:rPr>
          <w:sz w:val="28"/>
          <w:szCs w:val="28"/>
        </w:rPr>
        <w:t xml:space="preserve"> application should be submitted to </w:t>
      </w:r>
      <w:r w:rsidR="006D235E">
        <w:rPr>
          <w:sz w:val="28"/>
          <w:szCs w:val="28"/>
        </w:rPr>
        <w:t xml:space="preserve">the </w:t>
      </w:r>
      <w:r w:rsidR="00CF7A18" w:rsidRPr="007429EC">
        <w:rPr>
          <w:sz w:val="28"/>
          <w:szCs w:val="28"/>
        </w:rPr>
        <w:t>National Treasury by 31 March 2017;</w:t>
      </w:r>
      <w:r w:rsidRPr="007429EC">
        <w:rPr>
          <w:sz w:val="28"/>
          <w:szCs w:val="28"/>
        </w:rPr>
        <w:t xml:space="preserve"> and</w:t>
      </w:r>
    </w:p>
    <w:p w14:paraId="00D84AC1" w14:textId="39DEBDF1" w:rsidR="00CF7A18" w:rsidRPr="007429EC" w:rsidRDefault="00A13658" w:rsidP="00A13658">
      <w:pPr>
        <w:rPr>
          <w:sz w:val="28"/>
          <w:szCs w:val="28"/>
        </w:rPr>
      </w:pPr>
      <w:r w:rsidRPr="007429EC">
        <w:rPr>
          <w:sz w:val="28"/>
          <w:szCs w:val="28"/>
        </w:rPr>
        <w:t xml:space="preserve">(c) </w:t>
      </w:r>
      <w:r w:rsidR="00CF7A18" w:rsidRPr="007429EC">
        <w:rPr>
          <w:sz w:val="28"/>
          <w:szCs w:val="28"/>
        </w:rPr>
        <w:t xml:space="preserve">the </w:t>
      </w:r>
      <w:r w:rsidR="003B6577" w:rsidRPr="007429EC">
        <w:rPr>
          <w:sz w:val="28"/>
          <w:szCs w:val="28"/>
        </w:rPr>
        <w:t>'</w:t>
      </w:r>
      <w:r w:rsidR="00CF7A18" w:rsidRPr="007429EC">
        <w:rPr>
          <w:sz w:val="28"/>
          <w:szCs w:val="28"/>
        </w:rPr>
        <w:t>targeted</w:t>
      </w:r>
      <w:r w:rsidR="003B6577" w:rsidRPr="007429EC">
        <w:rPr>
          <w:sz w:val="28"/>
          <w:szCs w:val="28"/>
        </w:rPr>
        <w:t>'</w:t>
      </w:r>
      <w:r w:rsidR="00CF7A18" w:rsidRPr="007429EC">
        <w:rPr>
          <w:sz w:val="28"/>
          <w:szCs w:val="28"/>
        </w:rPr>
        <w:t xml:space="preserve"> date for the TA </w:t>
      </w:r>
      <w:r w:rsidR="00775252" w:rsidRPr="007429EC">
        <w:rPr>
          <w:sz w:val="28"/>
          <w:szCs w:val="28"/>
        </w:rPr>
        <w:t>III</w:t>
      </w:r>
      <w:r w:rsidR="00CF7A18" w:rsidRPr="007429EC">
        <w:rPr>
          <w:sz w:val="28"/>
          <w:szCs w:val="28"/>
        </w:rPr>
        <w:t xml:space="preserve"> approval was 30 April 2017.</w:t>
      </w:r>
    </w:p>
    <w:p w14:paraId="13490E83" w14:textId="77777777" w:rsidR="00CF7A18" w:rsidRPr="007429EC" w:rsidRDefault="00CF7A18" w:rsidP="00CF7A18">
      <w:pPr>
        <w:rPr>
          <w:sz w:val="28"/>
          <w:szCs w:val="28"/>
        </w:rPr>
      </w:pPr>
    </w:p>
    <w:p w14:paraId="3D3C77C5" w14:textId="006DC875" w:rsidR="00CF7A18" w:rsidRPr="007429EC" w:rsidRDefault="00CF7A18" w:rsidP="00CF7A18">
      <w:pPr>
        <w:rPr>
          <w:sz w:val="28"/>
          <w:szCs w:val="28"/>
        </w:rPr>
      </w:pPr>
      <w:r w:rsidRPr="007429EC">
        <w:rPr>
          <w:sz w:val="28"/>
          <w:szCs w:val="28"/>
        </w:rPr>
        <w:t>[19]</w:t>
      </w:r>
      <w:r w:rsidRPr="007429EC">
        <w:rPr>
          <w:sz w:val="28"/>
          <w:szCs w:val="28"/>
        </w:rPr>
        <w:tab/>
        <w:t xml:space="preserve">What happened next was that on 25 March 2017 the Government, represented by the Department, on the one hand and Lemascene and </w:t>
      </w:r>
      <w:r w:rsidR="002D0125" w:rsidRPr="007429EC">
        <w:rPr>
          <w:sz w:val="28"/>
          <w:szCs w:val="28"/>
        </w:rPr>
        <w:t>Regiments</w:t>
      </w:r>
      <w:r w:rsidRPr="007429EC">
        <w:rPr>
          <w:sz w:val="28"/>
          <w:szCs w:val="28"/>
        </w:rPr>
        <w:t xml:space="preserve"> Capital on the other, concluded </w:t>
      </w:r>
      <w:r w:rsidR="00FC622C" w:rsidRPr="007429EC">
        <w:rPr>
          <w:sz w:val="28"/>
          <w:szCs w:val="28"/>
        </w:rPr>
        <w:t xml:space="preserve">the </w:t>
      </w:r>
      <w:r w:rsidRPr="007429EC">
        <w:rPr>
          <w:sz w:val="28"/>
          <w:szCs w:val="28"/>
        </w:rPr>
        <w:t>PPA.</w:t>
      </w:r>
      <w:r w:rsidR="00A13658" w:rsidRPr="007429EC">
        <w:rPr>
          <w:sz w:val="28"/>
          <w:szCs w:val="28"/>
        </w:rPr>
        <w:t xml:space="preserve"> </w:t>
      </w:r>
      <w:r w:rsidRPr="007429EC">
        <w:rPr>
          <w:sz w:val="28"/>
          <w:szCs w:val="28"/>
        </w:rPr>
        <w:t>In terms of clause 4.1 of the PPA</w:t>
      </w:r>
      <w:r w:rsidR="00FC622C" w:rsidRPr="007429EC">
        <w:rPr>
          <w:sz w:val="28"/>
          <w:szCs w:val="28"/>
        </w:rPr>
        <w:t>,</w:t>
      </w:r>
      <w:r w:rsidRPr="007429EC">
        <w:rPr>
          <w:sz w:val="28"/>
          <w:szCs w:val="28"/>
        </w:rPr>
        <w:t xml:space="preserve"> Lemascene would represent the Government and</w:t>
      </w:r>
      <w:r w:rsidR="00FC622C" w:rsidRPr="007429EC">
        <w:rPr>
          <w:sz w:val="28"/>
          <w:szCs w:val="28"/>
        </w:rPr>
        <w:t>,</w:t>
      </w:r>
      <w:r w:rsidRPr="007429EC">
        <w:rPr>
          <w:sz w:val="28"/>
          <w:szCs w:val="28"/>
        </w:rPr>
        <w:t xml:space="preserve"> as the latter</w:t>
      </w:r>
      <w:r w:rsidR="003B6577" w:rsidRPr="007429EC">
        <w:rPr>
          <w:sz w:val="28"/>
          <w:szCs w:val="28"/>
        </w:rPr>
        <w:t>'</w:t>
      </w:r>
      <w:r w:rsidRPr="007429EC">
        <w:rPr>
          <w:sz w:val="28"/>
          <w:szCs w:val="28"/>
        </w:rPr>
        <w:t xml:space="preserve">s </w:t>
      </w:r>
      <w:r w:rsidR="00F838A1" w:rsidRPr="007429EC">
        <w:rPr>
          <w:sz w:val="28"/>
          <w:szCs w:val="28"/>
        </w:rPr>
        <w:t>agent</w:t>
      </w:r>
      <w:r w:rsidR="00FC622C" w:rsidRPr="007429EC">
        <w:rPr>
          <w:sz w:val="28"/>
          <w:szCs w:val="28"/>
        </w:rPr>
        <w:t>,</w:t>
      </w:r>
      <w:r w:rsidR="00F838A1" w:rsidRPr="007429EC">
        <w:rPr>
          <w:sz w:val="28"/>
          <w:szCs w:val="28"/>
        </w:rPr>
        <w:t xml:space="preserve"> </w:t>
      </w:r>
      <w:r w:rsidRPr="007429EC">
        <w:rPr>
          <w:sz w:val="28"/>
          <w:szCs w:val="28"/>
        </w:rPr>
        <w:t xml:space="preserve">identify potential project sites and </w:t>
      </w:r>
      <w:r w:rsidR="003B6577" w:rsidRPr="007429EC">
        <w:rPr>
          <w:sz w:val="28"/>
          <w:szCs w:val="28"/>
        </w:rPr>
        <w:t>'</w:t>
      </w:r>
      <w:r w:rsidRPr="007429EC">
        <w:rPr>
          <w:sz w:val="28"/>
          <w:szCs w:val="28"/>
        </w:rPr>
        <w:t>enter into negotiations with owners [of land]</w:t>
      </w:r>
      <w:r w:rsidR="003B6577" w:rsidRPr="007429EC">
        <w:rPr>
          <w:sz w:val="28"/>
          <w:szCs w:val="28"/>
        </w:rPr>
        <w:t>'</w:t>
      </w:r>
      <w:r w:rsidRPr="007429EC">
        <w:rPr>
          <w:sz w:val="28"/>
          <w:szCs w:val="28"/>
        </w:rPr>
        <w:t xml:space="preserve"> and thereafter </w:t>
      </w:r>
      <w:r w:rsidR="003B6577" w:rsidRPr="007429EC">
        <w:rPr>
          <w:sz w:val="28"/>
          <w:szCs w:val="28"/>
        </w:rPr>
        <w:t>'</w:t>
      </w:r>
      <w:r w:rsidRPr="007429EC">
        <w:rPr>
          <w:sz w:val="28"/>
          <w:szCs w:val="28"/>
        </w:rPr>
        <w:t xml:space="preserve">present such </w:t>
      </w:r>
      <w:r w:rsidR="00A534CA" w:rsidRPr="007429EC">
        <w:rPr>
          <w:sz w:val="28"/>
          <w:szCs w:val="28"/>
        </w:rPr>
        <w:t>[</w:t>
      </w:r>
      <w:r w:rsidRPr="007429EC">
        <w:rPr>
          <w:sz w:val="28"/>
          <w:szCs w:val="28"/>
        </w:rPr>
        <w:t>p</w:t>
      </w:r>
      <w:r w:rsidR="00A534CA" w:rsidRPr="007429EC">
        <w:rPr>
          <w:sz w:val="28"/>
          <w:szCs w:val="28"/>
        </w:rPr>
        <w:t>]</w:t>
      </w:r>
      <w:r w:rsidRPr="007429EC">
        <w:rPr>
          <w:sz w:val="28"/>
          <w:szCs w:val="28"/>
        </w:rPr>
        <w:t xml:space="preserve">roject </w:t>
      </w:r>
      <w:r w:rsidR="00A534CA" w:rsidRPr="007429EC">
        <w:rPr>
          <w:sz w:val="28"/>
          <w:szCs w:val="28"/>
        </w:rPr>
        <w:t>[</w:t>
      </w:r>
      <w:r w:rsidRPr="007429EC">
        <w:rPr>
          <w:sz w:val="28"/>
          <w:szCs w:val="28"/>
        </w:rPr>
        <w:t>s</w:t>
      </w:r>
      <w:r w:rsidR="00A534CA" w:rsidRPr="007429EC">
        <w:rPr>
          <w:sz w:val="28"/>
          <w:szCs w:val="28"/>
        </w:rPr>
        <w:t>]</w:t>
      </w:r>
      <w:r w:rsidRPr="007429EC">
        <w:rPr>
          <w:sz w:val="28"/>
          <w:szCs w:val="28"/>
        </w:rPr>
        <w:t>ites in their order of priority to the Department</w:t>
      </w:r>
      <w:r w:rsidR="003B6577" w:rsidRPr="007429EC">
        <w:rPr>
          <w:sz w:val="28"/>
          <w:szCs w:val="28"/>
        </w:rPr>
        <w:t>'</w:t>
      </w:r>
      <w:r w:rsidRPr="007429EC">
        <w:rPr>
          <w:sz w:val="28"/>
          <w:szCs w:val="28"/>
        </w:rPr>
        <w:t xml:space="preserve"> for </w:t>
      </w:r>
      <w:r w:rsidR="00207808" w:rsidRPr="007429EC">
        <w:rPr>
          <w:sz w:val="28"/>
          <w:szCs w:val="28"/>
        </w:rPr>
        <w:t>it</w:t>
      </w:r>
      <w:r w:rsidRPr="007429EC">
        <w:rPr>
          <w:sz w:val="28"/>
          <w:szCs w:val="28"/>
        </w:rPr>
        <w:t xml:space="preserve"> to identify a preferred site of its choice. Following this, Lemascene would then </w:t>
      </w:r>
      <w:r w:rsidR="003B6577" w:rsidRPr="007429EC">
        <w:rPr>
          <w:sz w:val="28"/>
          <w:szCs w:val="28"/>
        </w:rPr>
        <w:t>'</w:t>
      </w:r>
      <w:r w:rsidRPr="007429EC">
        <w:rPr>
          <w:sz w:val="28"/>
          <w:szCs w:val="28"/>
        </w:rPr>
        <w:t>procure</w:t>
      </w:r>
      <w:r w:rsidR="00207808" w:rsidRPr="007429EC">
        <w:rPr>
          <w:sz w:val="28"/>
          <w:szCs w:val="28"/>
        </w:rPr>
        <w:t xml:space="preserve"> </w:t>
      </w:r>
      <w:r w:rsidRPr="007429EC">
        <w:rPr>
          <w:sz w:val="28"/>
          <w:szCs w:val="28"/>
        </w:rPr>
        <w:t>...</w:t>
      </w:r>
      <w:r w:rsidR="00207808" w:rsidRPr="007429EC">
        <w:rPr>
          <w:sz w:val="28"/>
          <w:szCs w:val="28"/>
        </w:rPr>
        <w:t xml:space="preserve"> </w:t>
      </w:r>
      <w:r w:rsidR="00A534CA" w:rsidRPr="007429EC">
        <w:rPr>
          <w:sz w:val="28"/>
          <w:szCs w:val="28"/>
        </w:rPr>
        <w:t>the Land Purchase Agreement</w:t>
      </w:r>
      <w:r w:rsidR="003B6577" w:rsidRPr="007429EC">
        <w:rPr>
          <w:sz w:val="28"/>
          <w:szCs w:val="28"/>
        </w:rPr>
        <w:t>'</w:t>
      </w:r>
      <w:r w:rsidRPr="007429EC">
        <w:rPr>
          <w:sz w:val="28"/>
          <w:szCs w:val="28"/>
        </w:rPr>
        <w:t xml:space="preserve"> to be concluded between L</w:t>
      </w:r>
      <w:r w:rsidR="00D37573" w:rsidRPr="007429EC">
        <w:rPr>
          <w:sz w:val="28"/>
          <w:szCs w:val="28"/>
        </w:rPr>
        <w:t>e</w:t>
      </w:r>
      <w:r w:rsidRPr="007429EC">
        <w:rPr>
          <w:sz w:val="28"/>
          <w:szCs w:val="28"/>
        </w:rPr>
        <w:t xml:space="preserve">mascene and Serendipity as agents for the Department. The PPA explicitly provided in clause 4.5 thereof that Lemascene </w:t>
      </w:r>
      <w:r w:rsidR="00D37573" w:rsidRPr="007429EC">
        <w:rPr>
          <w:sz w:val="28"/>
          <w:szCs w:val="28"/>
        </w:rPr>
        <w:t xml:space="preserve">and Serendipity </w:t>
      </w:r>
      <w:r w:rsidR="003B6577" w:rsidRPr="007429EC">
        <w:rPr>
          <w:sz w:val="28"/>
          <w:szCs w:val="28"/>
        </w:rPr>
        <w:t>'</w:t>
      </w:r>
      <w:r w:rsidR="00D37573" w:rsidRPr="007429EC">
        <w:rPr>
          <w:sz w:val="28"/>
          <w:szCs w:val="28"/>
        </w:rPr>
        <w:t xml:space="preserve">shall have no beneficial interest or rights nor assume any obligations in terms of or in the </w:t>
      </w:r>
      <w:r w:rsidR="00A534CA" w:rsidRPr="007429EC">
        <w:rPr>
          <w:sz w:val="28"/>
          <w:szCs w:val="28"/>
        </w:rPr>
        <w:t xml:space="preserve">Land Purchase Agreement </w:t>
      </w:r>
      <w:r w:rsidR="00D37573" w:rsidRPr="007429EC">
        <w:rPr>
          <w:sz w:val="28"/>
          <w:szCs w:val="28"/>
        </w:rPr>
        <w:t>or the chosen site</w:t>
      </w:r>
      <w:r w:rsidR="00207808" w:rsidRPr="007429EC">
        <w:rPr>
          <w:sz w:val="28"/>
          <w:szCs w:val="28"/>
        </w:rPr>
        <w:t> </w:t>
      </w:r>
      <w:r w:rsidR="00E100A1" w:rsidRPr="007429EC">
        <w:rPr>
          <w:sz w:val="28"/>
          <w:szCs w:val="28"/>
        </w:rPr>
        <w:t>... '</w:t>
      </w:r>
      <w:r w:rsidR="00D37573" w:rsidRPr="007429EC">
        <w:rPr>
          <w:sz w:val="28"/>
          <w:szCs w:val="28"/>
        </w:rPr>
        <w:t xml:space="preserve"> This meant that the </w:t>
      </w:r>
      <w:r w:rsidR="00B3273A" w:rsidRPr="007429EC">
        <w:rPr>
          <w:sz w:val="28"/>
          <w:szCs w:val="28"/>
        </w:rPr>
        <w:t xml:space="preserve">Department </w:t>
      </w:r>
      <w:r w:rsidR="00E100A1" w:rsidRPr="007429EC">
        <w:rPr>
          <w:sz w:val="28"/>
          <w:szCs w:val="28"/>
        </w:rPr>
        <w:t>would</w:t>
      </w:r>
      <w:r w:rsidR="00B3273A" w:rsidRPr="007429EC">
        <w:rPr>
          <w:sz w:val="28"/>
          <w:szCs w:val="28"/>
        </w:rPr>
        <w:t xml:space="preserve"> be the </w:t>
      </w:r>
      <w:r w:rsidR="00FC622C" w:rsidRPr="007429EC">
        <w:rPr>
          <w:sz w:val="28"/>
          <w:szCs w:val="28"/>
        </w:rPr>
        <w:t xml:space="preserve">sole </w:t>
      </w:r>
      <w:r w:rsidR="00B3273A" w:rsidRPr="007429EC">
        <w:rPr>
          <w:sz w:val="28"/>
          <w:szCs w:val="28"/>
        </w:rPr>
        <w:t xml:space="preserve">party </w:t>
      </w:r>
      <w:r w:rsidR="00E100A1" w:rsidRPr="007429EC">
        <w:rPr>
          <w:sz w:val="28"/>
          <w:szCs w:val="28"/>
        </w:rPr>
        <w:t>to</w:t>
      </w:r>
      <w:r w:rsidR="00B3273A" w:rsidRPr="007429EC">
        <w:rPr>
          <w:sz w:val="28"/>
          <w:szCs w:val="28"/>
        </w:rPr>
        <w:t xml:space="preserve"> purchase the land and generally fund the project. This was, of course, at variance with the explicit requirements of </w:t>
      </w:r>
      <w:r w:rsidR="00A435C9" w:rsidRPr="007429EC">
        <w:rPr>
          <w:sz w:val="28"/>
          <w:szCs w:val="28"/>
        </w:rPr>
        <w:t>the RFP</w:t>
      </w:r>
      <w:r w:rsidR="004B6D5A" w:rsidRPr="007429EC">
        <w:rPr>
          <w:sz w:val="28"/>
          <w:szCs w:val="28"/>
        </w:rPr>
        <w:t>s</w:t>
      </w:r>
      <w:r w:rsidR="00B3273A" w:rsidRPr="007429EC">
        <w:rPr>
          <w:sz w:val="28"/>
          <w:szCs w:val="28"/>
        </w:rPr>
        <w:t xml:space="preserve"> that provided that the successful tenderer would solely bear such an obligation. </w:t>
      </w:r>
    </w:p>
    <w:p w14:paraId="45C6439F" w14:textId="77777777" w:rsidR="00B3273A" w:rsidRPr="007429EC" w:rsidRDefault="00B3273A" w:rsidP="00CF7A18">
      <w:pPr>
        <w:rPr>
          <w:sz w:val="28"/>
          <w:szCs w:val="28"/>
        </w:rPr>
      </w:pPr>
    </w:p>
    <w:p w14:paraId="0FEFC67B" w14:textId="00146399" w:rsidR="00B3273A" w:rsidRPr="007429EC" w:rsidRDefault="00B3273A" w:rsidP="00CF7A18">
      <w:pPr>
        <w:rPr>
          <w:sz w:val="28"/>
          <w:szCs w:val="28"/>
        </w:rPr>
      </w:pPr>
      <w:r w:rsidRPr="007429EC">
        <w:rPr>
          <w:sz w:val="28"/>
          <w:szCs w:val="28"/>
        </w:rPr>
        <w:t>[</w:t>
      </w:r>
      <w:r w:rsidR="00A534CA" w:rsidRPr="007429EC">
        <w:rPr>
          <w:sz w:val="28"/>
          <w:szCs w:val="28"/>
        </w:rPr>
        <w:t>20</w:t>
      </w:r>
      <w:r w:rsidRPr="007429EC">
        <w:rPr>
          <w:sz w:val="28"/>
          <w:szCs w:val="28"/>
        </w:rPr>
        <w:t>]</w:t>
      </w:r>
      <w:r w:rsidRPr="007429EC">
        <w:rPr>
          <w:sz w:val="28"/>
          <w:szCs w:val="28"/>
        </w:rPr>
        <w:tab/>
        <w:t xml:space="preserve">Clause 7 of the PPA, inter alia, provided that </w:t>
      </w:r>
      <w:r w:rsidR="00A534CA" w:rsidRPr="007429EC">
        <w:rPr>
          <w:sz w:val="28"/>
          <w:szCs w:val="28"/>
        </w:rPr>
        <w:t>'[</w:t>
      </w:r>
      <w:r w:rsidRPr="007429EC">
        <w:rPr>
          <w:sz w:val="28"/>
          <w:szCs w:val="28"/>
        </w:rPr>
        <w:t>t</w:t>
      </w:r>
      <w:r w:rsidR="00A534CA" w:rsidRPr="007429EC">
        <w:rPr>
          <w:sz w:val="28"/>
          <w:szCs w:val="28"/>
        </w:rPr>
        <w:t>]</w:t>
      </w:r>
      <w:r w:rsidRPr="007429EC">
        <w:rPr>
          <w:sz w:val="28"/>
          <w:szCs w:val="28"/>
        </w:rPr>
        <w:t>he Department shall make an advance payment of US</w:t>
      </w:r>
      <w:r w:rsidR="006F5790">
        <w:rPr>
          <w:sz w:val="28"/>
          <w:szCs w:val="28"/>
        </w:rPr>
        <w:t>$</w:t>
      </w:r>
      <w:r w:rsidR="008F7AC7" w:rsidRPr="007429EC">
        <w:rPr>
          <w:sz w:val="28"/>
          <w:szCs w:val="28"/>
        </w:rPr>
        <w:t xml:space="preserve"> </w:t>
      </w:r>
      <w:r w:rsidRPr="007429EC">
        <w:rPr>
          <w:sz w:val="28"/>
          <w:szCs w:val="28"/>
        </w:rPr>
        <w:t xml:space="preserve">9 000 000.00 </w:t>
      </w:r>
      <w:r w:rsidR="00A534CA" w:rsidRPr="007429EC">
        <w:rPr>
          <w:sz w:val="28"/>
          <w:szCs w:val="28"/>
        </w:rPr>
        <w:t>(nine million U</w:t>
      </w:r>
      <w:r w:rsidR="00E100A1" w:rsidRPr="007429EC">
        <w:rPr>
          <w:sz w:val="28"/>
          <w:szCs w:val="28"/>
        </w:rPr>
        <w:t>S</w:t>
      </w:r>
      <w:r w:rsidR="00A534CA" w:rsidRPr="007429EC">
        <w:rPr>
          <w:sz w:val="28"/>
          <w:szCs w:val="28"/>
        </w:rPr>
        <w:t xml:space="preserve"> Dollars), representing</w:t>
      </w:r>
      <w:r w:rsidR="00207808" w:rsidRPr="007429EC">
        <w:rPr>
          <w:sz w:val="28"/>
          <w:szCs w:val="28"/>
        </w:rPr>
        <w:t xml:space="preserve"> </w:t>
      </w:r>
      <w:r w:rsidRPr="007429EC">
        <w:rPr>
          <w:sz w:val="28"/>
          <w:szCs w:val="28"/>
        </w:rPr>
        <w:t>...</w:t>
      </w:r>
      <w:r w:rsidR="00207808" w:rsidRPr="007429EC">
        <w:rPr>
          <w:sz w:val="28"/>
          <w:szCs w:val="28"/>
        </w:rPr>
        <w:t xml:space="preserve"> </w:t>
      </w:r>
      <w:r w:rsidRPr="007429EC">
        <w:rPr>
          <w:sz w:val="28"/>
          <w:szCs w:val="28"/>
        </w:rPr>
        <w:t>twenty per cent</w:t>
      </w:r>
      <w:r w:rsidR="00A534CA" w:rsidRPr="007429EC">
        <w:rPr>
          <w:sz w:val="28"/>
          <w:szCs w:val="28"/>
        </w:rPr>
        <w:t xml:space="preserve"> (20%)</w:t>
      </w:r>
      <w:r w:rsidRPr="007429EC">
        <w:rPr>
          <w:sz w:val="28"/>
          <w:szCs w:val="28"/>
        </w:rPr>
        <w:t xml:space="preserve"> of the purchase price</w:t>
      </w:r>
      <w:r w:rsidR="00A534CA" w:rsidRPr="007429EC">
        <w:rPr>
          <w:sz w:val="28"/>
          <w:szCs w:val="28"/>
        </w:rPr>
        <w:t xml:space="preserve"> of the Project Sites</w:t>
      </w:r>
      <w:r w:rsidR="00207808" w:rsidRPr="007429EC">
        <w:rPr>
          <w:sz w:val="28"/>
          <w:szCs w:val="28"/>
        </w:rPr>
        <w:t xml:space="preserve"> </w:t>
      </w:r>
      <w:r w:rsidR="00A534CA" w:rsidRPr="007429EC">
        <w:rPr>
          <w:sz w:val="28"/>
          <w:szCs w:val="28"/>
        </w:rPr>
        <w:t>...</w:t>
      </w:r>
      <w:r w:rsidR="00207808" w:rsidRPr="007429EC">
        <w:rPr>
          <w:sz w:val="28"/>
          <w:szCs w:val="28"/>
        </w:rPr>
        <w:t xml:space="preserve"> </w:t>
      </w:r>
      <w:r w:rsidRPr="007429EC">
        <w:rPr>
          <w:sz w:val="28"/>
          <w:szCs w:val="28"/>
        </w:rPr>
        <w:t xml:space="preserve">to Lemascene for the execution of the </w:t>
      </w:r>
      <w:r w:rsidR="00A534CA" w:rsidRPr="007429EC">
        <w:rPr>
          <w:sz w:val="28"/>
          <w:szCs w:val="28"/>
        </w:rPr>
        <w:t>Preparatory Work</w:t>
      </w:r>
      <w:r w:rsidR="003B6577" w:rsidRPr="007429EC">
        <w:rPr>
          <w:sz w:val="28"/>
          <w:szCs w:val="28"/>
        </w:rPr>
        <w:t>'</w:t>
      </w:r>
      <w:r w:rsidRPr="007429EC">
        <w:rPr>
          <w:sz w:val="28"/>
          <w:szCs w:val="28"/>
        </w:rPr>
        <w:t xml:space="preserve"> which is inclusive of the payment of a deposit of US</w:t>
      </w:r>
      <w:r w:rsidR="008F7AC7" w:rsidRPr="007429EC">
        <w:rPr>
          <w:sz w:val="28"/>
          <w:szCs w:val="28"/>
        </w:rPr>
        <w:t xml:space="preserve"> $</w:t>
      </w:r>
      <w:r w:rsidRPr="007429EC">
        <w:rPr>
          <w:sz w:val="28"/>
          <w:szCs w:val="28"/>
        </w:rPr>
        <w:t xml:space="preserve">5 million. It bears mentioning that the total purchase price of the property in </w:t>
      </w:r>
      <w:r w:rsidRPr="007429EC">
        <w:rPr>
          <w:sz w:val="28"/>
          <w:szCs w:val="28"/>
        </w:rPr>
        <w:lastRenderedPageBreak/>
        <w:t xml:space="preserve">terms of the agreement concluded on 29 June 2017 between Serendipity – in </w:t>
      </w:r>
      <w:r w:rsidR="00AE0208" w:rsidRPr="007429EC">
        <w:rPr>
          <w:sz w:val="28"/>
          <w:szCs w:val="28"/>
        </w:rPr>
        <w:t>its</w:t>
      </w:r>
      <w:r w:rsidRPr="007429EC">
        <w:rPr>
          <w:sz w:val="28"/>
          <w:szCs w:val="28"/>
        </w:rPr>
        <w:t xml:space="preserve"> representative capacity – and the land owners was US</w:t>
      </w:r>
      <w:r w:rsidR="008F7AC7" w:rsidRPr="007429EC">
        <w:rPr>
          <w:sz w:val="28"/>
          <w:szCs w:val="28"/>
        </w:rPr>
        <w:t xml:space="preserve"> $</w:t>
      </w:r>
      <w:r w:rsidRPr="007429EC">
        <w:rPr>
          <w:sz w:val="28"/>
          <w:szCs w:val="28"/>
        </w:rPr>
        <w:t xml:space="preserve">47 850 000. </w:t>
      </w:r>
    </w:p>
    <w:p w14:paraId="736B735A" w14:textId="77777777" w:rsidR="00B3273A" w:rsidRPr="007429EC" w:rsidRDefault="00B3273A" w:rsidP="00CF7A18">
      <w:pPr>
        <w:rPr>
          <w:sz w:val="28"/>
          <w:szCs w:val="28"/>
        </w:rPr>
      </w:pPr>
    </w:p>
    <w:p w14:paraId="2107D110" w14:textId="293D9510" w:rsidR="00B3273A" w:rsidRPr="007429EC" w:rsidRDefault="00B3273A" w:rsidP="00CF7A18">
      <w:pPr>
        <w:rPr>
          <w:sz w:val="28"/>
          <w:szCs w:val="28"/>
        </w:rPr>
      </w:pPr>
      <w:r w:rsidRPr="007429EC">
        <w:rPr>
          <w:sz w:val="28"/>
          <w:szCs w:val="28"/>
        </w:rPr>
        <w:t>[</w:t>
      </w:r>
      <w:r w:rsidR="00235287" w:rsidRPr="007429EC">
        <w:rPr>
          <w:sz w:val="28"/>
          <w:szCs w:val="28"/>
        </w:rPr>
        <w:t>21</w:t>
      </w:r>
      <w:r w:rsidRPr="007429EC">
        <w:rPr>
          <w:sz w:val="28"/>
          <w:szCs w:val="28"/>
        </w:rPr>
        <w:t>]</w:t>
      </w:r>
      <w:r w:rsidRPr="007429EC">
        <w:rPr>
          <w:sz w:val="28"/>
          <w:szCs w:val="28"/>
        </w:rPr>
        <w:tab/>
        <w:t>On 2</w:t>
      </w:r>
      <w:r w:rsidR="00A14122" w:rsidRPr="007429EC">
        <w:rPr>
          <w:sz w:val="28"/>
          <w:szCs w:val="28"/>
        </w:rPr>
        <w:t>9</w:t>
      </w:r>
      <w:r w:rsidRPr="007429EC">
        <w:rPr>
          <w:sz w:val="28"/>
          <w:szCs w:val="28"/>
        </w:rPr>
        <w:t xml:space="preserve"> August 2017</w:t>
      </w:r>
      <w:r w:rsidR="00AE0208" w:rsidRPr="007429EC">
        <w:rPr>
          <w:sz w:val="28"/>
          <w:szCs w:val="28"/>
        </w:rPr>
        <w:t>,</w:t>
      </w:r>
      <w:r w:rsidRPr="007429EC">
        <w:rPr>
          <w:sz w:val="28"/>
          <w:szCs w:val="28"/>
        </w:rPr>
        <w:t xml:space="preserve"> and as explicitly provided for in the PPA, the Department acting in collaboration with Lemascene</w:t>
      </w:r>
      <w:r w:rsidR="00235287" w:rsidRPr="007429EC">
        <w:rPr>
          <w:sz w:val="28"/>
          <w:szCs w:val="28"/>
        </w:rPr>
        <w:t>,</w:t>
      </w:r>
      <w:r w:rsidRPr="007429EC">
        <w:rPr>
          <w:sz w:val="28"/>
          <w:szCs w:val="28"/>
        </w:rPr>
        <w:t xml:space="preserve"> prepared a letter under the hand of </w:t>
      </w:r>
      <w:r w:rsidR="00E100A1" w:rsidRPr="007429EC">
        <w:rPr>
          <w:sz w:val="28"/>
          <w:szCs w:val="28"/>
        </w:rPr>
        <w:t>its then Director-</w:t>
      </w:r>
      <w:r w:rsidRPr="007429EC">
        <w:rPr>
          <w:sz w:val="28"/>
          <w:szCs w:val="28"/>
        </w:rPr>
        <w:t>General</w:t>
      </w:r>
      <w:r w:rsidR="00E100A1" w:rsidRPr="007429EC">
        <w:rPr>
          <w:sz w:val="28"/>
          <w:szCs w:val="28"/>
        </w:rPr>
        <w:t xml:space="preserve"> addressed</w:t>
      </w:r>
      <w:r w:rsidRPr="007429EC">
        <w:rPr>
          <w:sz w:val="28"/>
          <w:szCs w:val="28"/>
        </w:rPr>
        <w:t xml:space="preserve"> to </w:t>
      </w:r>
      <w:r w:rsidR="00E100A1" w:rsidRPr="007429EC">
        <w:rPr>
          <w:sz w:val="28"/>
          <w:szCs w:val="28"/>
        </w:rPr>
        <w:t xml:space="preserve">the </w:t>
      </w:r>
      <w:r w:rsidRPr="007429EC">
        <w:rPr>
          <w:sz w:val="28"/>
          <w:szCs w:val="28"/>
        </w:rPr>
        <w:t xml:space="preserve">National Treasury in terms of which an application was made for </w:t>
      </w:r>
      <w:r w:rsidR="00426332" w:rsidRPr="007429EC">
        <w:rPr>
          <w:sz w:val="28"/>
          <w:szCs w:val="28"/>
        </w:rPr>
        <w:t xml:space="preserve">the </w:t>
      </w:r>
      <w:r w:rsidRPr="007429EC">
        <w:rPr>
          <w:sz w:val="28"/>
          <w:szCs w:val="28"/>
        </w:rPr>
        <w:t xml:space="preserve">TA </w:t>
      </w:r>
      <w:r w:rsidR="00775252" w:rsidRPr="007429EC">
        <w:rPr>
          <w:sz w:val="28"/>
          <w:szCs w:val="28"/>
        </w:rPr>
        <w:t>III</w:t>
      </w:r>
      <w:r w:rsidR="00426332" w:rsidRPr="007429EC">
        <w:rPr>
          <w:sz w:val="28"/>
          <w:szCs w:val="28"/>
        </w:rPr>
        <w:t xml:space="preserve"> approval</w:t>
      </w:r>
      <w:r w:rsidRPr="007429EC">
        <w:rPr>
          <w:sz w:val="28"/>
          <w:szCs w:val="28"/>
        </w:rPr>
        <w:t xml:space="preserve">. In support of </w:t>
      </w:r>
      <w:r w:rsidR="00E100A1" w:rsidRPr="007429EC">
        <w:rPr>
          <w:sz w:val="28"/>
          <w:szCs w:val="28"/>
        </w:rPr>
        <w:t>its</w:t>
      </w:r>
      <w:r w:rsidRPr="007429EC">
        <w:rPr>
          <w:sz w:val="28"/>
          <w:szCs w:val="28"/>
        </w:rPr>
        <w:t xml:space="preserve"> application, the Department provided </w:t>
      </w:r>
      <w:r w:rsidR="00E100A1" w:rsidRPr="007429EC">
        <w:rPr>
          <w:sz w:val="28"/>
          <w:szCs w:val="28"/>
        </w:rPr>
        <w:t xml:space="preserve">the </w:t>
      </w:r>
      <w:r w:rsidRPr="007429EC">
        <w:rPr>
          <w:sz w:val="28"/>
          <w:szCs w:val="28"/>
        </w:rPr>
        <w:t xml:space="preserve">National Treasury with a report in terms of Treasury Regulation 16.5.6. </w:t>
      </w:r>
      <w:r w:rsidR="00107E7B" w:rsidRPr="007429EC">
        <w:rPr>
          <w:sz w:val="28"/>
          <w:szCs w:val="28"/>
        </w:rPr>
        <w:t xml:space="preserve">The Department also expressed its confidence as to the feasibility of the project as well as its </w:t>
      </w:r>
      <w:r w:rsidR="003B6577" w:rsidRPr="007429EC">
        <w:rPr>
          <w:sz w:val="28"/>
          <w:szCs w:val="28"/>
        </w:rPr>
        <w:t>'</w:t>
      </w:r>
      <w:r w:rsidR="00107E7B" w:rsidRPr="007429EC">
        <w:rPr>
          <w:sz w:val="28"/>
          <w:szCs w:val="28"/>
        </w:rPr>
        <w:t>strategic operational and financial benefits ownership</w:t>
      </w:r>
      <w:r w:rsidR="003B6577" w:rsidRPr="007429EC">
        <w:rPr>
          <w:sz w:val="28"/>
          <w:szCs w:val="28"/>
        </w:rPr>
        <w:t>'</w:t>
      </w:r>
      <w:r w:rsidR="00107E7B" w:rsidRPr="007429EC">
        <w:rPr>
          <w:sz w:val="28"/>
          <w:szCs w:val="28"/>
        </w:rPr>
        <w:t xml:space="preserve"> that it had </w:t>
      </w:r>
      <w:r w:rsidR="003B6577" w:rsidRPr="007429EC">
        <w:rPr>
          <w:sz w:val="28"/>
          <w:szCs w:val="28"/>
        </w:rPr>
        <w:t>'</w:t>
      </w:r>
      <w:r w:rsidR="00107E7B" w:rsidRPr="007429EC">
        <w:rPr>
          <w:sz w:val="28"/>
          <w:szCs w:val="28"/>
        </w:rPr>
        <w:t>interrogated thoroughly</w:t>
      </w:r>
      <w:r w:rsidR="003B6577" w:rsidRPr="007429EC">
        <w:rPr>
          <w:sz w:val="28"/>
          <w:szCs w:val="28"/>
        </w:rPr>
        <w:t>'</w:t>
      </w:r>
      <w:r w:rsidR="00235287" w:rsidRPr="007429EC">
        <w:rPr>
          <w:sz w:val="28"/>
          <w:szCs w:val="28"/>
        </w:rPr>
        <w:t>,</w:t>
      </w:r>
      <w:r w:rsidR="00107E7B" w:rsidRPr="007429EC">
        <w:rPr>
          <w:sz w:val="28"/>
          <w:szCs w:val="28"/>
        </w:rPr>
        <w:t xml:space="preserve"> emphasising that the project </w:t>
      </w:r>
      <w:r w:rsidR="003B6577" w:rsidRPr="007429EC">
        <w:rPr>
          <w:sz w:val="28"/>
          <w:szCs w:val="28"/>
        </w:rPr>
        <w:t>'</w:t>
      </w:r>
      <w:r w:rsidR="00107E7B" w:rsidRPr="007429EC">
        <w:rPr>
          <w:sz w:val="28"/>
          <w:szCs w:val="28"/>
        </w:rPr>
        <w:t>would provide value for money for [the] Government</w:t>
      </w:r>
      <w:r w:rsidR="003B6577" w:rsidRPr="007429EC">
        <w:rPr>
          <w:sz w:val="28"/>
          <w:szCs w:val="28"/>
        </w:rPr>
        <w:t>'</w:t>
      </w:r>
      <w:r w:rsidR="00107E7B" w:rsidRPr="007429EC">
        <w:rPr>
          <w:sz w:val="28"/>
          <w:szCs w:val="28"/>
        </w:rPr>
        <w:t xml:space="preserve">. The Department, being overly confident of the viability of the project, </w:t>
      </w:r>
      <w:r w:rsidR="00426332" w:rsidRPr="007429EC">
        <w:rPr>
          <w:sz w:val="28"/>
          <w:szCs w:val="28"/>
        </w:rPr>
        <w:t xml:space="preserve">proposed to </w:t>
      </w:r>
      <w:r w:rsidR="006F5790">
        <w:rPr>
          <w:sz w:val="28"/>
          <w:szCs w:val="28"/>
        </w:rPr>
        <w:t xml:space="preserve">the </w:t>
      </w:r>
      <w:r w:rsidR="00107E7B" w:rsidRPr="007429EC">
        <w:rPr>
          <w:sz w:val="28"/>
          <w:szCs w:val="28"/>
        </w:rPr>
        <w:t xml:space="preserve">National Treasury </w:t>
      </w:r>
      <w:r w:rsidR="00161E18" w:rsidRPr="007429EC">
        <w:rPr>
          <w:sz w:val="28"/>
          <w:szCs w:val="28"/>
        </w:rPr>
        <w:t xml:space="preserve">that it </w:t>
      </w:r>
      <w:r w:rsidR="003B6577" w:rsidRPr="007429EC">
        <w:rPr>
          <w:sz w:val="28"/>
          <w:szCs w:val="28"/>
        </w:rPr>
        <w:t>'</w:t>
      </w:r>
      <w:r w:rsidR="00161E18" w:rsidRPr="007429EC">
        <w:rPr>
          <w:sz w:val="28"/>
          <w:szCs w:val="28"/>
        </w:rPr>
        <w:t xml:space="preserve">be afforded the opportunity to present the project to the </w:t>
      </w:r>
      <w:r w:rsidR="0025450F" w:rsidRPr="007429EC">
        <w:rPr>
          <w:sz w:val="28"/>
          <w:szCs w:val="28"/>
        </w:rPr>
        <w:t xml:space="preserve">National </w:t>
      </w:r>
      <w:r w:rsidR="00161E18" w:rsidRPr="007429EC">
        <w:rPr>
          <w:sz w:val="28"/>
          <w:szCs w:val="28"/>
        </w:rPr>
        <w:t>Treasury colleagues on 11 September 2017</w:t>
      </w:r>
      <w:r w:rsidR="003B6577" w:rsidRPr="007429EC">
        <w:rPr>
          <w:sz w:val="28"/>
          <w:szCs w:val="28"/>
        </w:rPr>
        <w:t>'</w:t>
      </w:r>
      <w:r w:rsidR="00161E18" w:rsidRPr="007429EC">
        <w:rPr>
          <w:sz w:val="28"/>
          <w:szCs w:val="28"/>
        </w:rPr>
        <w:t>.</w:t>
      </w:r>
    </w:p>
    <w:p w14:paraId="70F357F9" w14:textId="77777777" w:rsidR="00161E18" w:rsidRPr="007429EC" w:rsidRDefault="00161E18" w:rsidP="00CF7A18">
      <w:pPr>
        <w:rPr>
          <w:sz w:val="28"/>
          <w:szCs w:val="28"/>
        </w:rPr>
      </w:pPr>
    </w:p>
    <w:p w14:paraId="4282E3A4" w14:textId="3A8C4E4C" w:rsidR="00161E18" w:rsidRPr="007429EC" w:rsidRDefault="00161E18" w:rsidP="00CF7A18">
      <w:pPr>
        <w:rPr>
          <w:sz w:val="28"/>
          <w:szCs w:val="28"/>
        </w:rPr>
      </w:pPr>
      <w:r w:rsidRPr="007429EC">
        <w:rPr>
          <w:sz w:val="28"/>
          <w:szCs w:val="28"/>
        </w:rPr>
        <w:t>[</w:t>
      </w:r>
      <w:r w:rsidR="00235287" w:rsidRPr="007429EC">
        <w:rPr>
          <w:sz w:val="28"/>
          <w:szCs w:val="28"/>
        </w:rPr>
        <w:t>22</w:t>
      </w:r>
      <w:r w:rsidRPr="007429EC">
        <w:rPr>
          <w:sz w:val="28"/>
          <w:szCs w:val="28"/>
        </w:rPr>
        <w:t>]</w:t>
      </w:r>
      <w:r w:rsidRPr="007429EC">
        <w:rPr>
          <w:sz w:val="28"/>
          <w:szCs w:val="28"/>
        </w:rPr>
        <w:tab/>
      </w:r>
      <w:r w:rsidR="00585164" w:rsidRPr="007429EC">
        <w:rPr>
          <w:sz w:val="28"/>
          <w:szCs w:val="28"/>
        </w:rPr>
        <w:t>But there was a new twist of events that ultimately scupper</w:t>
      </w:r>
      <w:r w:rsidR="00F81C86" w:rsidRPr="007429EC">
        <w:rPr>
          <w:sz w:val="28"/>
          <w:szCs w:val="28"/>
        </w:rPr>
        <w:t>ed</w:t>
      </w:r>
      <w:r w:rsidR="00585164" w:rsidRPr="007429EC">
        <w:rPr>
          <w:sz w:val="28"/>
          <w:szCs w:val="28"/>
        </w:rPr>
        <w:t xml:space="preserve"> the entire project. </w:t>
      </w:r>
      <w:r w:rsidR="00146342" w:rsidRPr="007429EC">
        <w:rPr>
          <w:sz w:val="28"/>
          <w:szCs w:val="28"/>
        </w:rPr>
        <w:t xml:space="preserve">In the wake of allegations that had enjoyed wide-spread publicity to the effect that a member of the Joint Venture, ie </w:t>
      </w:r>
      <w:r w:rsidR="002D0125" w:rsidRPr="007429EC">
        <w:rPr>
          <w:sz w:val="28"/>
          <w:szCs w:val="28"/>
        </w:rPr>
        <w:t>Regiments</w:t>
      </w:r>
      <w:r w:rsidR="00146342" w:rsidRPr="007429EC">
        <w:rPr>
          <w:sz w:val="28"/>
          <w:szCs w:val="28"/>
        </w:rPr>
        <w:t xml:space="preserve"> Capital, was associated with a </w:t>
      </w:r>
      <w:r w:rsidR="00067B96" w:rsidRPr="007429EC">
        <w:rPr>
          <w:sz w:val="28"/>
          <w:szCs w:val="28"/>
        </w:rPr>
        <w:t>notorious</w:t>
      </w:r>
      <w:r w:rsidR="00146342" w:rsidRPr="007429EC">
        <w:rPr>
          <w:sz w:val="28"/>
          <w:szCs w:val="28"/>
        </w:rPr>
        <w:t xml:space="preserve"> family perceived to have corruptly siphoned vast sums of money from the government and more especially from State-owned entities, </w:t>
      </w:r>
      <w:r w:rsidR="006F5790">
        <w:rPr>
          <w:sz w:val="28"/>
          <w:szCs w:val="28"/>
        </w:rPr>
        <w:t xml:space="preserve">the </w:t>
      </w:r>
      <w:r w:rsidR="00146342" w:rsidRPr="007429EC">
        <w:rPr>
          <w:sz w:val="28"/>
          <w:szCs w:val="28"/>
        </w:rPr>
        <w:t xml:space="preserve">National Treasury expressed </w:t>
      </w:r>
      <w:r w:rsidR="00AE0208" w:rsidRPr="007429EC">
        <w:rPr>
          <w:sz w:val="28"/>
          <w:szCs w:val="28"/>
        </w:rPr>
        <w:t>grave</w:t>
      </w:r>
      <w:r w:rsidR="00146342" w:rsidRPr="007429EC">
        <w:rPr>
          <w:sz w:val="28"/>
          <w:szCs w:val="28"/>
        </w:rPr>
        <w:t xml:space="preserve"> misgivings about </w:t>
      </w:r>
      <w:r w:rsidR="00585164" w:rsidRPr="007429EC">
        <w:rPr>
          <w:sz w:val="28"/>
          <w:szCs w:val="28"/>
        </w:rPr>
        <w:t xml:space="preserve">granting </w:t>
      </w:r>
      <w:r w:rsidR="00146342" w:rsidRPr="007429EC">
        <w:rPr>
          <w:sz w:val="28"/>
          <w:szCs w:val="28"/>
        </w:rPr>
        <w:t xml:space="preserve">the required TA </w:t>
      </w:r>
      <w:r w:rsidR="00775252" w:rsidRPr="007429EC">
        <w:rPr>
          <w:sz w:val="28"/>
          <w:szCs w:val="28"/>
        </w:rPr>
        <w:t>III</w:t>
      </w:r>
      <w:r w:rsidR="00585164" w:rsidRPr="007429EC">
        <w:rPr>
          <w:sz w:val="28"/>
          <w:szCs w:val="28"/>
        </w:rPr>
        <w:t xml:space="preserve"> approval</w:t>
      </w:r>
      <w:r w:rsidR="00146342" w:rsidRPr="007429EC">
        <w:rPr>
          <w:sz w:val="28"/>
          <w:szCs w:val="28"/>
        </w:rPr>
        <w:t>.</w:t>
      </w:r>
    </w:p>
    <w:p w14:paraId="68916438" w14:textId="77777777" w:rsidR="00146342" w:rsidRPr="007429EC" w:rsidRDefault="00146342" w:rsidP="00CF7A18">
      <w:pPr>
        <w:rPr>
          <w:sz w:val="28"/>
          <w:szCs w:val="28"/>
        </w:rPr>
      </w:pPr>
    </w:p>
    <w:p w14:paraId="27E39F26" w14:textId="33A485AA" w:rsidR="00146342" w:rsidRPr="007429EC" w:rsidRDefault="00146342" w:rsidP="00CF7A18">
      <w:pPr>
        <w:rPr>
          <w:sz w:val="28"/>
          <w:szCs w:val="28"/>
        </w:rPr>
      </w:pPr>
      <w:r w:rsidRPr="007429EC">
        <w:rPr>
          <w:sz w:val="28"/>
          <w:szCs w:val="28"/>
        </w:rPr>
        <w:t>[</w:t>
      </w:r>
      <w:r w:rsidR="00235287" w:rsidRPr="007429EC">
        <w:rPr>
          <w:sz w:val="28"/>
          <w:szCs w:val="28"/>
        </w:rPr>
        <w:t>23</w:t>
      </w:r>
      <w:r w:rsidRPr="007429EC">
        <w:rPr>
          <w:sz w:val="28"/>
          <w:szCs w:val="28"/>
        </w:rPr>
        <w:t>]</w:t>
      </w:r>
      <w:r w:rsidRPr="007429EC">
        <w:rPr>
          <w:sz w:val="28"/>
          <w:szCs w:val="28"/>
        </w:rPr>
        <w:tab/>
        <w:t xml:space="preserve">In order to circumvent and allay what by all accounts had become justifiable concerns raised by </w:t>
      </w:r>
      <w:r w:rsidR="006F5790">
        <w:rPr>
          <w:sz w:val="28"/>
          <w:szCs w:val="28"/>
        </w:rPr>
        <w:t xml:space="preserve">the </w:t>
      </w:r>
      <w:r w:rsidRPr="007429EC">
        <w:rPr>
          <w:sz w:val="28"/>
          <w:szCs w:val="28"/>
        </w:rPr>
        <w:t xml:space="preserve">National Treasury, Simeka Group wrote to the Department confirming that it had taken note of the </w:t>
      </w:r>
      <w:r w:rsidR="003B6577" w:rsidRPr="007429EC">
        <w:rPr>
          <w:sz w:val="28"/>
          <w:szCs w:val="28"/>
        </w:rPr>
        <w:t>'</w:t>
      </w:r>
      <w:r w:rsidRPr="007429EC">
        <w:rPr>
          <w:sz w:val="28"/>
          <w:szCs w:val="28"/>
        </w:rPr>
        <w:t xml:space="preserve">concerns raised by the National Treasury </w:t>
      </w:r>
      <w:r w:rsidRPr="007429EC">
        <w:rPr>
          <w:sz w:val="28"/>
          <w:szCs w:val="28"/>
        </w:rPr>
        <w:lastRenderedPageBreak/>
        <w:t>committee</w:t>
      </w:r>
      <w:r w:rsidR="003B6577" w:rsidRPr="007429EC">
        <w:rPr>
          <w:sz w:val="28"/>
          <w:szCs w:val="28"/>
        </w:rPr>
        <w:t>'</w:t>
      </w:r>
      <w:r w:rsidRPr="007429EC">
        <w:rPr>
          <w:sz w:val="28"/>
          <w:szCs w:val="28"/>
        </w:rPr>
        <w:t xml:space="preserve"> that had convened to consider </w:t>
      </w:r>
      <w:r w:rsidR="003B6577" w:rsidRPr="007429EC">
        <w:rPr>
          <w:sz w:val="28"/>
          <w:szCs w:val="28"/>
        </w:rPr>
        <w:t>'</w:t>
      </w:r>
      <w:r w:rsidRPr="007429EC">
        <w:rPr>
          <w:sz w:val="28"/>
          <w:szCs w:val="28"/>
        </w:rPr>
        <w:t xml:space="preserve">the TA </w:t>
      </w:r>
      <w:r w:rsidR="00775252" w:rsidRPr="007429EC">
        <w:rPr>
          <w:sz w:val="28"/>
          <w:szCs w:val="28"/>
        </w:rPr>
        <w:t>III</w:t>
      </w:r>
      <w:r w:rsidRPr="007429EC">
        <w:rPr>
          <w:sz w:val="28"/>
          <w:szCs w:val="28"/>
        </w:rPr>
        <w:t xml:space="preserve"> approval application of the project</w:t>
      </w:r>
      <w:r w:rsidR="003B6577" w:rsidRPr="007429EC">
        <w:rPr>
          <w:sz w:val="28"/>
          <w:szCs w:val="28"/>
        </w:rPr>
        <w:t>'</w:t>
      </w:r>
      <w:r w:rsidRPr="007429EC">
        <w:rPr>
          <w:sz w:val="28"/>
          <w:szCs w:val="28"/>
        </w:rPr>
        <w:t xml:space="preserve">. It then proposed that </w:t>
      </w:r>
      <w:r w:rsidR="002D0125" w:rsidRPr="007429EC">
        <w:rPr>
          <w:sz w:val="28"/>
          <w:szCs w:val="28"/>
        </w:rPr>
        <w:t>Regiments</w:t>
      </w:r>
      <w:r w:rsidRPr="007429EC">
        <w:rPr>
          <w:sz w:val="28"/>
          <w:szCs w:val="28"/>
        </w:rPr>
        <w:t xml:space="preserve"> </w:t>
      </w:r>
      <w:r w:rsidR="002D0125" w:rsidRPr="007429EC">
        <w:rPr>
          <w:sz w:val="28"/>
          <w:szCs w:val="28"/>
        </w:rPr>
        <w:t>Capital should withdraw from the Joint Venture so that Simeka Group could then proceed with the project on its own. This proposal found favour with the Department. Pursuant thereto Simeka Group, Regiments Capital, Lemascene and Serendipity concluded a termination agreement during December 2017 in terms of which Regiments Capital terminated the Joint Venture. Regiments Capital further undertook to, inter alia: (a) relinquish any and all of its rights, title and interest in the project;</w:t>
      </w:r>
      <w:r w:rsidR="00815DA9" w:rsidRPr="007429EC">
        <w:rPr>
          <w:sz w:val="28"/>
          <w:szCs w:val="28"/>
        </w:rPr>
        <w:t xml:space="preserve"> and</w:t>
      </w:r>
      <w:r w:rsidR="002D0125" w:rsidRPr="007429EC">
        <w:rPr>
          <w:sz w:val="28"/>
          <w:szCs w:val="28"/>
        </w:rPr>
        <w:t xml:space="preserve"> (b) irrevocably procure the resignation of directors nominated by it to the board of directors of Lemascene. </w:t>
      </w:r>
    </w:p>
    <w:p w14:paraId="25A2FB26" w14:textId="77777777" w:rsidR="00D603C1" w:rsidRPr="007429EC" w:rsidRDefault="00D603C1" w:rsidP="00CF7A18">
      <w:pPr>
        <w:rPr>
          <w:sz w:val="28"/>
          <w:szCs w:val="28"/>
        </w:rPr>
      </w:pPr>
    </w:p>
    <w:p w14:paraId="1E1F371B" w14:textId="0617344C" w:rsidR="00D603C1" w:rsidRPr="007429EC" w:rsidRDefault="00D603C1" w:rsidP="00CF7A18">
      <w:pPr>
        <w:rPr>
          <w:sz w:val="28"/>
          <w:szCs w:val="28"/>
        </w:rPr>
      </w:pPr>
      <w:r w:rsidRPr="007429EC">
        <w:rPr>
          <w:sz w:val="28"/>
          <w:szCs w:val="28"/>
        </w:rPr>
        <w:t>[</w:t>
      </w:r>
      <w:r w:rsidR="00235287" w:rsidRPr="007429EC">
        <w:rPr>
          <w:sz w:val="28"/>
          <w:szCs w:val="28"/>
        </w:rPr>
        <w:t>24</w:t>
      </w:r>
      <w:r w:rsidRPr="007429EC">
        <w:rPr>
          <w:sz w:val="28"/>
          <w:szCs w:val="28"/>
        </w:rPr>
        <w:t>]</w:t>
      </w:r>
      <w:r w:rsidRPr="007429EC">
        <w:rPr>
          <w:sz w:val="28"/>
          <w:szCs w:val="28"/>
        </w:rPr>
        <w:tab/>
        <w:t xml:space="preserve">Although the sole objective of the termination agreement was to enable Simeka Group, as an untainted entity, to proceed with the implementation of the project to its intended conclusion, </w:t>
      </w:r>
      <w:r w:rsidR="0003730B">
        <w:rPr>
          <w:sz w:val="28"/>
          <w:szCs w:val="28"/>
        </w:rPr>
        <w:t xml:space="preserve">the </w:t>
      </w:r>
      <w:r w:rsidRPr="007429EC">
        <w:rPr>
          <w:sz w:val="28"/>
          <w:szCs w:val="28"/>
        </w:rPr>
        <w:t xml:space="preserve">National Treasury was </w:t>
      </w:r>
      <w:r w:rsidR="00585164" w:rsidRPr="007429EC">
        <w:rPr>
          <w:sz w:val="28"/>
          <w:szCs w:val="28"/>
        </w:rPr>
        <w:t xml:space="preserve">still </w:t>
      </w:r>
      <w:r w:rsidRPr="007429EC">
        <w:rPr>
          <w:sz w:val="28"/>
          <w:szCs w:val="28"/>
        </w:rPr>
        <w:t xml:space="preserve">not convinced and, as a result, refused to grant TA </w:t>
      </w:r>
      <w:r w:rsidR="00775252" w:rsidRPr="007429EC">
        <w:rPr>
          <w:sz w:val="28"/>
          <w:szCs w:val="28"/>
        </w:rPr>
        <w:t>III</w:t>
      </w:r>
      <w:r w:rsidRPr="007429EC">
        <w:rPr>
          <w:sz w:val="28"/>
          <w:szCs w:val="28"/>
        </w:rPr>
        <w:t xml:space="preserve"> approval.</w:t>
      </w:r>
      <w:r w:rsidR="00235287" w:rsidRPr="007429EC">
        <w:rPr>
          <w:sz w:val="28"/>
          <w:szCs w:val="28"/>
        </w:rPr>
        <w:t xml:space="preserve"> </w:t>
      </w:r>
      <w:r w:rsidRPr="007429EC">
        <w:rPr>
          <w:sz w:val="28"/>
          <w:szCs w:val="28"/>
        </w:rPr>
        <w:t xml:space="preserve">The entrenched position taken by </w:t>
      </w:r>
      <w:r w:rsidR="0003730B">
        <w:rPr>
          <w:sz w:val="28"/>
          <w:szCs w:val="28"/>
        </w:rPr>
        <w:t xml:space="preserve">the </w:t>
      </w:r>
      <w:r w:rsidRPr="007429EC">
        <w:rPr>
          <w:sz w:val="28"/>
          <w:szCs w:val="28"/>
        </w:rPr>
        <w:t xml:space="preserve">National Treasury in refusing to grant </w:t>
      </w:r>
      <w:r w:rsidR="00585164" w:rsidRPr="007429EC">
        <w:rPr>
          <w:sz w:val="28"/>
          <w:szCs w:val="28"/>
        </w:rPr>
        <w:t xml:space="preserve">the </w:t>
      </w:r>
      <w:r w:rsidRPr="007429EC">
        <w:rPr>
          <w:sz w:val="28"/>
          <w:szCs w:val="28"/>
        </w:rPr>
        <w:t>TA </w:t>
      </w:r>
      <w:r w:rsidR="00775252" w:rsidRPr="007429EC">
        <w:rPr>
          <w:sz w:val="28"/>
          <w:szCs w:val="28"/>
        </w:rPr>
        <w:t>III</w:t>
      </w:r>
      <w:r w:rsidRPr="007429EC">
        <w:rPr>
          <w:sz w:val="28"/>
          <w:szCs w:val="28"/>
        </w:rPr>
        <w:t xml:space="preserve"> approval precipitated a crisis for both the Department and Simeka Group. In an endeavour to extricate itself from the resultant quagmire, the Department consulted the State Attorney who, on 29 June 2018, wrote to the attorneys representing the respondents indicating, inter alia, that the award of the tender to the Joint Venture was fraught with</w:t>
      </w:r>
      <w:r w:rsidR="00815DA9" w:rsidRPr="007429EC">
        <w:rPr>
          <w:sz w:val="28"/>
          <w:szCs w:val="28"/>
        </w:rPr>
        <w:t xml:space="preserve"> irredeemable</w:t>
      </w:r>
      <w:r w:rsidRPr="007429EC">
        <w:rPr>
          <w:sz w:val="28"/>
          <w:szCs w:val="28"/>
        </w:rPr>
        <w:t xml:space="preserve"> irregularities. Consequently, the Department</w:t>
      </w:r>
      <w:r w:rsidR="00815DA9" w:rsidRPr="007429EC">
        <w:rPr>
          <w:sz w:val="28"/>
          <w:szCs w:val="28"/>
        </w:rPr>
        <w:t xml:space="preserve"> went on to intimate that it</w:t>
      </w:r>
      <w:r w:rsidRPr="007429EC">
        <w:rPr>
          <w:sz w:val="28"/>
          <w:szCs w:val="28"/>
        </w:rPr>
        <w:t xml:space="preserve"> would bring a review application to the high court to have </w:t>
      </w:r>
      <w:r w:rsidR="00815DA9" w:rsidRPr="007429EC">
        <w:rPr>
          <w:sz w:val="28"/>
          <w:szCs w:val="28"/>
        </w:rPr>
        <w:t>the award of the tender to the Joint Venture</w:t>
      </w:r>
      <w:r w:rsidRPr="007429EC">
        <w:rPr>
          <w:sz w:val="28"/>
          <w:szCs w:val="28"/>
        </w:rPr>
        <w:t xml:space="preserve"> declared </w:t>
      </w:r>
      <w:r w:rsidR="00C11625" w:rsidRPr="007429EC">
        <w:rPr>
          <w:sz w:val="28"/>
          <w:szCs w:val="28"/>
        </w:rPr>
        <w:t xml:space="preserve">constitutionally invalid and unlawful. Some three months thereafter this litigation commenced. </w:t>
      </w:r>
    </w:p>
    <w:p w14:paraId="250411C4" w14:textId="77777777" w:rsidR="00C11625" w:rsidRPr="007429EC" w:rsidRDefault="00C11625" w:rsidP="00CF7A18">
      <w:pPr>
        <w:rPr>
          <w:sz w:val="28"/>
          <w:szCs w:val="28"/>
        </w:rPr>
      </w:pPr>
    </w:p>
    <w:p w14:paraId="7C0717C5" w14:textId="70A9B266" w:rsidR="00C11625" w:rsidRPr="007429EC" w:rsidRDefault="00C11625" w:rsidP="00CF7A18">
      <w:pPr>
        <w:rPr>
          <w:sz w:val="28"/>
          <w:szCs w:val="28"/>
        </w:rPr>
      </w:pPr>
      <w:r w:rsidRPr="007429EC">
        <w:rPr>
          <w:sz w:val="28"/>
          <w:szCs w:val="28"/>
        </w:rPr>
        <w:t>[</w:t>
      </w:r>
      <w:r w:rsidR="00235287" w:rsidRPr="007429EC">
        <w:rPr>
          <w:sz w:val="28"/>
          <w:szCs w:val="28"/>
        </w:rPr>
        <w:t>25</w:t>
      </w:r>
      <w:r w:rsidRPr="007429EC">
        <w:rPr>
          <w:sz w:val="28"/>
          <w:szCs w:val="28"/>
        </w:rPr>
        <w:t>]</w:t>
      </w:r>
      <w:r w:rsidRPr="007429EC">
        <w:rPr>
          <w:sz w:val="28"/>
          <w:szCs w:val="28"/>
        </w:rPr>
        <w:tab/>
        <w:t>On 10 October 2018</w:t>
      </w:r>
      <w:r w:rsidR="00235287" w:rsidRPr="007429EC">
        <w:rPr>
          <w:sz w:val="28"/>
          <w:szCs w:val="28"/>
        </w:rPr>
        <w:t>,</w:t>
      </w:r>
      <w:r w:rsidRPr="007429EC">
        <w:rPr>
          <w:sz w:val="28"/>
          <w:szCs w:val="28"/>
        </w:rPr>
        <w:t xml:space="preserve"> the </w:t>
      </w:r>
      <w:r w:rsidR="00D552DD" w:rsidRPr="007429EC">
        <w:rPr>
          <w:sz w:val="28"/>
          <w:szCs w:val="28"/>
        </w:rPr>
        <w:t>g</w:t>
      </w:r>
      <w:r w:rsidRPr="007429EC">
        <w:rPr>
          <w:sz w:val="28"/>
          <w:szCs w:val="28"/>
        </w:rPr>
        <w:t>overnment parties instituted review proceedings in the high court seeking the following relief:</w:t>
      </w:r>
    </w:p>
    <w:p w14:paraId="2EC226B4" w14:textId="3380B539" w:rsidR="00EC2818" w:rsidRPr="007429EC" w:rsidRDefault="003B6577" w:rsidP="00EC2818">
      <w:pPr>
        <w:ind w:left="720" w:hanging="720"/>
        <w:rPr>
          <w:szCs w:val="28"/>
        </w:rPr>
      </w:pPr>
      <w:r w:rsidRPr="007429EC">
        <w:rPr>
          <w:szCs w:val="28"/>
        </w:rPr>
        <w:lastRenderedPageBreak/>
        <w:t>'</w:t>
      </w:r>
      <w:r w:rsidR="00EC2818" w:rsidRPr="007429EC">
        <w:rPr>
          <w:szCs w:val="28"/>
        </w:rPr>
        <w:t>1</w:t>
      </w:r>
      <w:r w:rsidR="00EC2818" w:rsidRPr="007429EC">
        <w:rPr>
          <w:szCs w:val="28"/>
        </w:rPr>
        <w:tab/>
        <w:t>Declaring the award of the tender for the appointm</w:t>
      </w:r>
      <w:r w:rsidR="00235287" w:rsidRPr="007429EC">
        <w:rPr>
          <w:szCs w:val="28"/>
        </w:rPr>
        <w:t>ent of a development partner for</w:t>
      </w:r>
      <w:r w:rsidR="00EC2818" w:rsidRPr="007429EC">
        <w:rPr>
          <w:szCs w:val="28"/>
        </w:rPr>
        <w:t xml:space="preserve"> the design, construction, operation, maintenance and financing of a suitable and sustainable office and residentia1 accommodation for South African diplomatic missions in Manhattan, New York City, New York (DIRCO 10/2015/16) to the joint venture comprising the first and second respondents to be unlawful and / or unconstitutional and /or invalid;</w:t>
      </w:r>
    </w:p>
    <w:p w14:paraId="78228CDB" w14:textId="08B49144" w:rsidR="00EC2818" w:rsidRPr="007429EC" w:rsidRDefault="00EC2818" w:rsidP="00EC2818">
      <w:pPr>
        <w:ind w:left="720" w:hanging="720"/>
        <w:rPr>
          <w:szCs w:val="28"/>
        </w:rPr>
      </w:pPr>
      <w:r w:rsidRPr="007429EC">
        <w:rPr>
          <w:szCs w:val="28"/>
        </w:rPr>
        <w:t>2</w:t>
      </w:r>
      <w:r w:rsidRPr="007429EC">
        <w:rPr>
          <w:szCs w:val="28"/>
        </w:rPr>
        <w:tab/>
        <w:t>Setting aside the a</w:t>
      </w:r>
      <w:r w:rsidR="00235287" w:rsidRPr="007429EC">
        <w:rPr>
          <w:szCs w:val="28"/>
        </w:rPr>
        <w:t>ward of the aforesaid tender to</w:t>
      </w:r>
      <w:r w:rsidRPr="007429EC">
        <w:rPr>
          <w:szCs w:val="28"/>
        </w:rPr>
        <w:t xml:space="preserve"> the joint venture comprising the first and second respondents;</w:t>
      </w:r>
    </w:p>
    <w:p w14:paraId="721C232C" w14:textId="6FF5B12B" w:rsidR="00EC2818" w:rsidRPr="007429EC" w:rsidRDefault="00EC2818" w:rsidP="00EC2818">
      <w:pPr>
        <w:ind w:left="720" w:hanging="720"/>
        <w:rPr>
          <w:szCs w:val="28"/>
        </w:rPr>
      </w:pPr>
      <w:r w:rsidRPr="007429EC">
        <w:rPr>
          <w:szCs w:val="28"/>
        </w:rPr>
        <w:t>3</w:t>
      </w:r>
      <w:r w:rsidRPr="007429EC">
        <w:rPr>
          <w:szCs w:val="28"/>
        </w:rPr>
        <w:tab/>
        <w:t>Setting aside the Project Preparation Agreement concluded between the third applicant and the third respondent pursuant to the awarding of the tender to the first and second respondents;</w:t>
      </w:r>
    </w:p>
    <w:p w14:paraId="02002E00" w14:textId="395D4AFF" w:rsidR="00EC2818" w:rsidRPr="007429EC" w:rsidRDefault="00EC2818" w:rsidP="00EC2818">
      <w:pPr>
        <w:ind w:left="720" w:hanging="720"/>
        <w:rPr>
          <w:szCs w:val="28"/>
        </w:rPr>
      </w:pPr>
      <w:r w:rsidRPr="007429EC">
        <w:rPr>
          <w:szCs w:val="28"/>
        </w:rPr>
        <w:t>4</w:t>
      </w:r>
      <w:r w:rsidRPr="007429EC">
        <w:rPr>
          <w:szCs w:val="28"/>
        </w:rPr>
        <w:tab/>
        <w:t>Directing the first, second, third and / or fourth respondents to repay to the third applicant the Rand equivalent of US $9 million, together with interest thereon at the prescribed rate of interest calculated from the date of this order to date of payment.</w:t>
      </w:r>
      <w:r w:rsidR="003B6577" w:rsidRPr="007429EC">
        <w:rPr>
          <w:szCs w:val="28"/>
        </w:rPr>
        <w:t>'</w:t>
      </w:r>
    </w:p>
    <w:p w14:paraId="69C16755" w14:textId="483714DE" w:rsidR="00A66B32" w:rsidRPr="007429EC" w:rsidRDefault="00A67CF4" w:rsidP="00B224C9">
      <w:pPr>
        <w:rPr>
          <w:sz w:val="28"/>
          <w:szCs w:val="28"/>
        </w:rPr>
      </w:pPr>
      <w:r w:rsidRPr="007429EC">
        <w:rPr>
          <w:sz w:val="28"/>
          <w:szCs w:val="28"/>
        </w:rPr>
        <w:t>In this Court</w:t>
      </w:r>
      <w:r w:rsidR="00585164" w:rsidRPr="007429EC">
        <w:rPr>
          <w:sz w:val="28"/>
          <w:szCs w:val="28"/>
        </w:rPr>
        <w:t>,</w:t>
      </w:r>
      <w:r w:rsidRPr="007429EC">
        <w:rPr>
          <w:sz w:val="28"/>
          <w:szCs w:val="28"/>
        </w:rPr>
        <w:t xml:space="preserve"> as was the case in the high court, the relief sought in terms of paragraph 4 of the notice of motion was not pursued. Thus, nothing more need be said of this prayer.</w:t>
      </w:r>
    </w:p>
    <w:p w14:paraId="5834B3F4" w14:textId="77777777" w:rsidR="00815DA9" w:rsidRPr="007429EC" w:rsidRDefault="00815DA9" w:rsidP="00B224C9">
      <w:pPr>
        <w:rPr>
          <w:sz w:val="28"/>
          <w:szCs w:val="28"/>
        </w:rPr>
      </w:pPr>
    </w:p>
    <w:p w14:paraId="5F6AF2C2" w14:textId="10FC0A69" w:rsidR="00A67CF4" w:rsidRPr="007429EC" w:rsidRDefault="00A67CF4" w:rsidP="00B224C9">
      <w:pPr>
        <w:rPr>
          <w:sz w:val="28"/>
          <w:szCs w:val="28"/>
        </w:rPr>
      </w:pPr>
      <w:r w:rsidRPr="007429EC">
        <w:rPr>
          <w:sz w:val="28"/>
          <w:szCs w:val="28"/>
        </w:rPr>
        <w:t>[</w:t>
      </w:r>
      <w:r w:rsidR="00235287" w:rsidRPr="007429EC">
        <w:rPr>
          <w:sz w:val="28"/>
          <w:szCs w:val="28"/>
        </w:rPr>
        <w:t>26</w:t>
      </w:r>
      <w:r w:rsidRPr="007429EC">
        <w:rPr>
          <w:sz w:val="28"/>
          <w:szCs w:val="28"/>
        </w:rPr>
        <w:t>]</w:t>
      </w:r>
      <w:r w:rsidRPr="007429EC">
        <w:rPr>
          <w:sz w:val="28"/>
          <w:szCs w:val="28"/>
        </w:rPr>
        <w:tab/>
        <w:t xml:space="preserve">As </w:t>
      </w:r>
      <w:r w:rsidR="00585164" w:rsidRPr="007429EC">
        <w:rPr>
          <w:sz w:val="28"/>
          <w:szCs w:val="28"/>
        </w:rPr>
        <w:t>already mentioned</w:t>
      </w:r>
      <w:r w:rsidRPr="007429EC">
        <w:rPr>
          <w:sz w:val="28"/>
          <w:szCs w:val="28"/>
        </w:rPr>
        <w:t>, the review application failed before Hughes J who dismissed it solely on the basis of delay</w:t>
      </w:r>
      <w:r w:rsidR="00815DA9" w:rsidRPr="007429EC">
        <w:rPr>
          <w:sz w:val="28"/>
          <w:szCs w:val="28"/>
        </w:rPr>
        <w:t>.</w:t>
      </w:r>
      <w:r w:rsidRPr="007429EC">
        <w:rPr>
          <w:sz w:val="28"/>
          <w:szCs w:val="28"/>
        </w:rPr>
        <w:t xml:space="preserve"> Consequently, the high court did not enter into the substantive merits of the review. </w:t>
      </w:r>
    </w:p>
    <w:p w14:paraId="1171CBA5" w14:textId="77777777" w:rsidR="00A67CF4" w:rsidRPr="007429EC" w:rsidRDefault="00A67CF4" w:rsidP="00B224C9">
      <w:pPr>
        <w:rPr>
          <w:sz w:val="28"/>
          <w:szCs w:val="28"/>
        </w:rPr>
      </w:pPr>
    </w:p>
    <w:p w14:paraId="0201FD86" w14:textId="27991E43" w:rsidR="00A67CF4" w:rsidRPr="007429EC" w:rsidRDefault="00A67CF4" w:rsidP="00B224C9">
      <w:pPr>
        <w:rPr>
          <w:sz w:val="28"/>
          <w:szCs w:val="28"/>
        </w:rPr>
      </w:pPr>
      <w:r w:rsidRPr="007429EC">
        <w:rPr>
          <w:sz w:val="28"/>
          <w:szCs w:val="28"/>
        </w:rPr>
        <w:t>[</w:t>
      </w:r>
      <w:r w:rsidR="00235287" w:rsidRPr="007429EC">
        <w:rPr>
          <w:sz w:val="28"/>
          <w:szCs w:val="28"/>
        </w:rPr>
        <w:t>27</w:t>
      </w:r>
      <w:r w:rsidRPr="007429EC">
        <w:rPr>
          <w:sz w:val="28"/>
          <w:szCs w:val="28"/>
        </w:rPr>
        <w:t>]</w:t>
      </w:r>
      <w:r w:rsidRPr="007429EC">
        <w:rPr>
          <w:sz w:val="28"/>
          <w:szCs w:val="28"/>
        </w:rPr>
        <w:tab/>
        <w:t>It is timely at this juncture to observe that in it</w:t>
      </w:r>
      <w:r w:rsidR="008C7209" w:rsidRPr="007429EC">
        <w:rPr>
          <w:sz w:val="28"/>
          <w:szCs w:val="28"/>
        </w:rPr>
        <w:t>s</w:t>
      </w:r>
      <w:r w:rsidRPr="007429EC">
        <w:rPr>
          <w:sz w:val="28"/>
          <w:szCs w:val="28"/>
        </w:rPr>
        <w:t xml:space="preserve"> review</w:t>
      </w:r>
      <w:r w:rsidR="00235287" w:rsidRPr="007429EC">
        <w:rPr>
          <w:sz w:val="28"/>
          <w:szCs w:val="28"/>
        </w:rPr>
        <w:t>,</w:t>
      </w:r>
      <w:r w:rsidRPr="007429EC">
        <w:rPr>
          <w:sz w:val="28"/>
          <w:szCs w:val="28"/>
        </w:rPr>
        <w:t xml:space="preserve"> the </w:t>
      </w:r>
      <w:r w:rsidR="002F01BD" w:rsidRPr="007429EC">
        <w:rPr>
          <w:sz w:val="28"/>
          <w:szCs w:val="28"/>
        </w:rPr>
        <w:t>government parties</w:t>
      </w:r>
      <w:r w:rsidRPr="007429EC">
        <w:rPr>
          <w:sz w:val="28"/>
          <w:szCs w:val="28"/>
        </w:rPr>
        <w:t xml:space="preserve"> relied on a number of alleged irregularities in the tender process. In particular, </w:t>
      </w:r>
      <w:r w:rsidR="00235287" w:rsidRPr="007429EC">
        <w:rPr>
          <w:sz w:val="28"/>
          <w:szCs w:val="28"/>
        </w:rPr>
        <w:t>they</w:t>
      </w:r>
      <w:r w:rsidRPr="007429EC">
        <w:rPr>
          <w:sz w:val="28"/>
          <w:szCs w:val="28"/>
        </w:rPr>
        <w:t xml:space="preserve"> asserted that: </w:t>
      </w:r>
    </w:p>
    <w:p w14:paraId="559E21A0" w14:textId="2D7A8BB2" w:rsidR="00A67CF4" w:rsidRPr="007429EC" w:rsidRDefault="00A67CF4" w:rsidP="00B224C9">
      <w:pPr>
        <w:rPr>
          <w:sz w:val="28"/>
          <w:szCs w:val="28"/>
        </w:rPr>
      </w:pPr>
      <w:r w:rsidRPr="007429EC">
        <w:rPr>
          <w:sz w:val="28"/>
          <w:szCs w:val="28"/>
        </w:rPr>
        <w:t>(a) the two partie</w:t>
      </w:r>
      <w:r w:rsidR="00A435C9" w:rsidRPr="007429EC">
        <w:rPr>
          <w:sz w:val="28"/>
          <w:szCs w:val="28"/>
        </w:rPr>
        <w:t>s that had responded to the RFP</w:t>
      </w:r>
      <w:r w:rsidR="004B6D5A" w:rsidRPr="007429EC">
        <w:rPr>
          <w:sz w:val="28"/>
          <w:szCs w:val="28"/>
        </w:rPr>
        <w:t>s</w:t>
      </w:r>
      <w:r w:rsidRPr="007429EC">
        <w:rPr>
          <w:sz w:val="28"/>
          <w:szCs w:val="28"/>
        </w:rPr>
        <w:t xml:space="preserve"> were not treated equally in that Lephuthing/Menzibali Construction</w:t>
      </w:r>
      <w:r w:rsidR="003B6577" w:rsidRPr="007429EC">
        <w:rPr>
          <w:sz w:val="28"/>
          <w:szCs w:val="28"/>
        </w:rPr>
        <w:t>'</w:t>
      </w:r>
      <w:r w:rsidRPr="007429EC">
        <w:rPr>
          <w:sz w:val="28"/>
          <w:szCs w:val="28"/>
        </w:rPr>
        <w:t xml:space="preserve">s bid was disqualified because it had not provided the required audited financial statements whereas the Joint Venture was </w:t>
      </w:r>
      <w:r w:rsidRPr="007429EC">
        <w:rPr>
          <w:sz w:val="28"/>
          <w:szCs w:val="28"/>
        </w:rPr>
        <w:lastRenderedPageBreak/>
        <w:t xml:space="preserve">not, despite the fact that it too had failed to </w:t>
      </w:r>
      <w:r w:rsidR="00585164" w:rsidRPr="007429EC">
        <w:rPr>
          <w:sz w:val="28"/>
          <w:szCs w:val="28"/>
        </w:rPr>
        <w:t>provide the required audited financial statements</w:t>
      </w:r>
      <w:r w:rsidRPr="007429EC">
        <w:rPr>
          <w:sz w:val="28"/>
          <w:szCs w:val="28"/>
        </w:rPr>
        <w:t>;</w:t>
      </w:r>
    </w:p>
    <w:p w14:paraId="46244860" w14:textId="78F972CC" w:rsidR="00815DA9" w:rsidRPr="007429EC" w:rsidRDefault="00815DA9" w:rsidP="00B224C9">
      <w:pPr>
        <w:rPr>
          <w:sz w:val="28"/>
          <w:szCs w:val="28"/>
        </w:rPr>
      </w:pPr>
      <w:r w:rsidRPr="007429EC">
        <w:rPr>
          <w:sz w:val="28"/>
          <w:szCs w:val="28"/>
        </w:rPr>
        <w:t>(b) as for Regiments Capital as a party to the Joint Venture, no financial statements at all were provided;</w:t>
      </w:r>
    </w:p>
    <w:p w14:paraId="2126C72A" w14:textId="243E7F27" w:rsidR="00A67CF4" w:rsidRPr="007429EC" w:rsidRDefault="00A67CF4" w:rsidP="00B224C9">
      <w:pPr>
        <w:rPr>
          <w:sz w:val="28"/>
          <w:szCs w:val="28"/>
        </w:rPr>
      </w:pPr>
      <w:r w:rsidRPr="007429EC">
        <w:rPr>
          <w:sz w:val="28"/>
          <w:szCs w:val="28"/>
        </w:rPr>
        <w:t>(</w:t>
      </w:r>
      <w:r w:rsidR="00815DA9" w:rsidRPr="007429EC">
        <w:rPr>
          <w:sz w:val="28"/>
          <w:szCs w:val="28"/>
        </w:rPr>
        <w:t>c</w:t>
      </w:r>
      <w:r w:rsidRPr="007429EC">
        <w:rPr>
          <w:sz w:val="28"/>
          <w:szCs w:val="28"/>
        </w:rPr>
        <w:t xml:space="preserve">) both the </w:t>
      </w:r>
      <w:r w:rsidR="0013689E" w:rsidRPr="007429EC">
        <w:rPr>
          <w:sz w:val="28"/>
          <w:szCs w:val="28"/>
        </w:rPr>
        <w:t>BEC</w:t>
      </w:r>
      <w:r w:rsidR="00FD1F73" w:rsidRPr="007429EC">
        <w:rPr>
          <w:sz w:val="28"/>
          <w:szCs w:val="28"/>
        </w:rPr>
        <w:t xml:space="preserve"> </w:t>
      </w:r>
      <w:r w:rsidRPr="007429EC">
        <w:rPr>
          <w:sz w:val="28"/>
          <w:szCs w:val="28"/>
        </w:rPr>
        <w:t xml:space="preserve">and </w:t>
      </w:r>
      <w:r w:rsidR="0013689E" w:rsidRPr="007429EC">
        <w:rPr>
          <w:sz w:val="28"/>
          <w:szCs w:val="28"/>
        </w:rPr>
        <w:t>BAC</w:t>
      </w:r>
      <w:r w:rsidR="00FD1F73" w:rsidRPr="007429EC">
        <w:rPr>
          <w:sz w:val="28"/>
          <w:szCs w:val="28"/>
        </w:rPr>
        <w:t xml:space="preserve"> </w:t>
      </w:r>
      <w:r w:rsidRPr="007429EC">
        <w:rPr>
          <w:sz w:val="28"/>
          <w:szCs w:val="28"/>
        </w:rPr>
        <w:t>igno</w:t>
      </w:r>
      <w:r w:rsidR="00A435C9" w:rsidRPr="007429EC">
        <w:rPr>
          <w:sz w:val="28"/>
          <w:szCs w:val="28"/>
        </w:rPr>
        <w:t>red the requirements of the RFP</w:t>
      </w:r>
      <w:r w:rsidR="004B6D5A" w:rsidRPr="007429EC">
        <w:rPr>
          <w:sz w:val="28"/>
          <w:szCs w:val="28"/>
        </w:rPr>
        <w:t>s</w:t>
      </w:r>
      <w:r w:rsidRPr="007429EC">
        <w:rPr>
          <w:sz w:val="28"/>
          <w:szCs w:val="28"/>
        </w:rPr>
        <w:t xml:space="preserve"> in order to favour the Joint Venture;</w:t>
      </w:r>
    </w:p>
    <w:p w14:paraId="0CA0D10A" w14:textId="390519BC" w:rsidR="00815DA9" w:rsidRPr="007429EC" w:rsidRDefault="00815DA9" w:rsidP="00B224C9">
      <w:pPr>
        <w:rPr>
          <w:sz w:val="28"/>
          <w:szCs w:val="28"/>
        </w:rPr>
      </w:pPr>
      <w:r w:rsidRPr="007429EC">
        <w:rPr>
          <w:sz w:val="28"/>
          <w:szCs w:val="28"/>
        </w:rPr>
        <w:t>(d) the Joint Venture failed to meet the RFPs</w:t>
      </w:r>
      <w:r w:rsidR="003B6577" w:rsidRPr="007429EC">
        <w:rPr>
          <w:sz w:val="28"/>
          <w:szCs w:val="28"/>
        </w:rPr>
        <w:t>'</w:t>
      </w:r>
      <w:r w:rsidRPr="007429EC">
        <w:rPr>
          <w:sz w:val="28"/>
          <w:szCs w:val="28"/>
        </w:rPr>
        <w:t xml:space="preserve"> requirement to provide proof that it had the ability to raise the requisite funding for the project;</w:t>
      </w:r>
    </w:p>
    <w:p w14:paraId="5FCC2FA8" w14:textId="43017DCC" w:rsidR="00A67CF4" w:rsidRPr="007429EC" w:rsidRDefault="00A67CF4" w:rsidP="00B224C9">
      <w:pPr>
        <w:rPr>
          <w:sz w:val="28"/>
          <w:szCs w:val="28"/>
        </w:rPr>
      </w:pPr>
      <w:r w:rsidRPr="007429EC">
        <w:rPr>
          <w:sz w:val="28"/>
          <w:szCs w:val="28"/>
        </w:rPr>
        <w:t>(</w:t>
      </w:r>
      <w:r w:rsidR="00815DA9" w:rsidRPr="007429EC">
        <w:rPr>
          <w:sz w:val="28"/>
          <w:szCs w:val="28"/>
        </w:rPr>
        <w:t>e</w:t>
      </w:r>
      <w:r w:rsidRPr="007429EC">
        <w:rPr>
          <w:sz w:val="28"/>
          <w:szCs w:val="28"/>
        </w:rPr>
        <w:t xml:space="preserve">) once the tender was awarded to the Joint Venture, and pursuant to decisions taken by the Project Steering Committee, the Department was burdened with the obligation to fund the project whereas this should have been the sole </w:t>
      </w:r>
      <w:r w:rsidR="004164D5" w:rsidRPr="007429EC">
        <w:rPr>
          <w:sz w:val="28"/>
          <w:szCs w:val="28"/>
        </w:rPr>
        <w:t xml:space="preserve">responsibility of the Joint Venture </w:t>
      </w:r>
      <w:r w:rsidR="00A435C9" w:rsidRPr="007429EC">
        <w:rPr>
          <w:sz w:val="28"/>
          <w:szCs w:val="28"/>
        </w:rPr>
        <w:t xml:space="preserve">in compliance with </w:t>
      </w:r>
      <w:r w:rsidR="0082091A" w:rsidRPr="007429EC">
        <w:rPr>
          <w:sz w:val="28"/>
          <w:szCs w:val="28"/>
        </w:rPr>
        <w:t xml:space="preserve">both </w:t>
      </w:r>
      <w:r w:rsidR="00A435C9" w:rsidRPr="007429EC">
        <w:rPr>
          <w:sz w:val="28"/>
          <w:szCs w:val="28"/>
        </w:rPr>
        <w:t>the RFP</w:t>
      </w:r>
      <w:r w:rsidR="004B6D5A" w:rsidRPr="007429EC">
        <w:rPr>
          <w:sz w:val="28"/>
          <w:szCs w:val="28"/>
        </w:rPr>
        <w:t>s</w:t>
      </w:r>
      <w:r w:rsidR="004164D5" w:rsidRPr="007429EC">
        <w:rPr>
          <w:sz w:val="28"/>
          <w:szCs w:val="28"/>
        </w:rPr>
        <w:t xml:space="preserve"> and the contract concluded between the parties. </w:t>
      </w:r>
    </w:p>
    <w:p w14:paraId="1EC8BCEA" w14:textId="77777777" w:rsidR="0013689E" w:rsidRPr="007429EC" w:rsidRDefault="0013689E" w:rsidP="00B224C9">
      <w:pPr>
        <w:rPr>
          <w:sz w:val="28"/>
          <w:szCs w:val="28"/>
        </w:rPr>
      </w:pPr>
    </w:p>
    <w:p w14:paraId="7A9C897E" w14:textId="3B84D5CF" w:rsidR="001C382E" w:rsidRPr="007429EC" w:rsidRDefault="001C382E" w:rsidP="00B224C9">
      <w:pPr>
        <w:rPr>
          <w:b/>
          <w:sz w:val="28"/>
          <w:szCs w:val="28"/>
        </w:rPr>
      </w:pPr>
      <w:r w:rsidRPr="007429EC">
        <w:rPr>
          <w:b/>
          <w:sz w:val="28"/>
          <w:szCs w:val="28"/>
        </w:rPr>
        <w:t>Nature of the review</w:t>
      </w:r>
    </w:p>
    <w:p w14:paraId="4FF05B24" w14:textId="3AA8FD78" w:rsidR="00552932" w:rsidRPr="007429EC" w:rsidRDefault="00552932" w:rsidP="00B224C9">
      <w:pPr>
        <w:rPr>
          <w:sz w:val="28"/>
          <w:szCs w:val="28"/>
        </w:rPr>
      </w:pPr>
      <w:r w:rsidRPr="007429EC">
        <w:rPr>
          <w:sz w:val="28"/>
          <w:szCs w:val="28"/>
        </w:rPr>
        <w:t>[</w:t>
      </w:r>
      <w:r w:rsidR="00707D3D" w:rsidRPr="007429EC">
        <w:rPr>
          <w:sz w:val="28"/>
          <w:szCs w:val="28"/>
        </w:rPr>
        <w:t>28</w:t>
      </w:r>
      <w:r w:rsidRPr="007429EC">
        <w:rPr>
          <w:sz w:val="28"/>
          <w:szCs w:val="28"/>
        </w:rPr>
        <w:t>]</w:t>
      </w:r>
      <w:r w:rsidRPr="007429EC">
        <w:rPr>
          <w:sz w:val="28"/>
          <w:szCs w:val="28"/>
        </w:rPr>
        <w:tab/>
      </w:r>
      <w:r w:rsidR="001C382E" w:rsidRPr="007429EC">
        <w:rPr>
          <w:sz w:val="28"/>
          <w:szCs w:val="28"/>
        </w:rPr>
        <w:t xml:space="preserve">It </w:t>
      </w:r>
      <w:r w:rsidR="004F4193" w:rsidRPr="007429EC">
        <w:rPr>
          <w:sz w:val="28"/>
          <w:szCs w:val="28"/>
        </w:rPr>
        <w:t>is</w:t>
      </w:r>
      <w:r w:rsidR="001C382E" w:rsidRPr="007429EC">
        <w:rPr>
          <w:sz w:val="28"/>
          <w:szCs w:val="28"/>
        </w:rPr>
        <w:t xml:space="preserve"> helpful at this juncture to get one</w:t>
      </w:r>
      <w:r w:rsidR="004F4193" w:rsidRPr="007429EC">
        <w:rPr>
          <w:sz w:val="28"/>
          <w:szCs w:val="28"/>
        </w:rPr>
        <w:t xml:space="preserve"> uncontentious</w:t>
      </w:r>
      <w:r w:rsidR="001C382E" w:rsidRPr="007429EC">
        <w:rPr>
          <w:sz w:val="28"/>
          <w:szCs w:val="28"/>
        </w:rPr>
        <w:t xml:space="preserve"> preliminary issue out of the way. The logical point of departure in a matter such as this is to determine whether the review is one to be dealt with under</w:t>
      </w:r>
      <w:r w:rsidR="00707D3D" w:rsidRPr="007429EC">
        <w:rPr>
          <w:sz w:val="28"/>
          <w:szCs w:val="28"/>
        </w:rPr>
        <w:t xml:space="preserve"> the Promotion of Administrative Justice</w:t>
      </w:r>
      <w:r w:rsidR="001C382E" w:rsidRPr="007429EC">
        <w:rPr>
          <w:sz w:val="28"/>
          <w:szCs w:val="28"/>
        </w:rPr>
        <w:t xml:space="preserve"> Act 3 of 2000 (PAJA) or the principle of legality. I have above said </w:t>
      </w:r>
      <w:r w:rsidR="00585164" w:rsidRPr="007429EC">
        <w:rPr>
          <w:sz w:val="28"/>
          <w:szCs w:val="28"/>
        </w:rPr>
        <w:t xml:space="preserve">that </w:t>
      </w:r>
      <w:r w:rsidR="001C382E" w:rsidRPr="007429EC">
        <w:rPr>
          <w:sz w:val="28"/>
          <w:szCs w:val="28"/>
        </w:rPr>
        <w:t>the issue is</w:t>
      </w:r>
      <w:r w:rsidR="00585164" w:rsidRPr="007429EC">
        <w:rPr>
          <w:sz w:val="28"/>
          <w:szCs w:val="28"/>
        </w:rPr>
        <w:t>,</w:t>
      </w:r>
      <w:r w:rsidR="001C382E" w:rsidRPr="007429EC">
        <w:rPr>
          <w:sz w:val="28"/>
          <w:szCs w:val="28"/>
        </w:rPr>
        <w:t xml:space="preserve"> in the context of the facts of this case</w:t>
      </w:r>
      <w:r w:rsidR="00585164" w:rsidRPr="007429EC">
        <w:rPr>
          <w:sz w:val="28"/>
          <w:szCs w:val="28"/>
        </w:rPr>
        <w:t>, uncontentious</w:t>
      </w:r>
      <w:r w:rsidR="001C382E" w:rsidRPr="007429EC">
        <w:rPr>
          <w:sz w:val="28"/>
          <w:szCs w:val="28"/>
        </w:rPr>
        <w:t>. The parties are in agreement that this review falls to be dealt with under the principle of legality</w:t>
      </w:r>
      <w:r w:rsidR="00585164" w:rsidRPr="007429EC">
        <w:rPr>
          <w:sz w:val="28"/>
          <w:szCs w:val="28"/>
        </w:rPr>
        <w:t>,</w:t>
      </w:r>
      <w:r w:rsidR="00135A3F" w:rsidRPr="007429EC">
        <w:rPr>
          <w:rStyle w:val="FootnoteReference"/>
          <w:sz w:val="28"/>
          <w:szCs w:val="28"/>
        </w:rPr>
        <w:footnoteReference w:id="6"/>
      </w:r>
      <w:r w:rsidR="00585164" w:rsidRPr="007429EC">
        <w:rPr>
          <w:sz w:val="28"/>
          <w:szCs w:val="28"/>
        </w:rPr>
        <w:t xml:space="preserve"> since it is the Department that seeks to invalidate its own decision</w:t>
      </w:r>
      <w:r w:rsidR="001C382E" w:rsidRPr="007429EC">
        <w:rPr>
          <w:sz w:val="28"/>
          <w:szCs w:val="28"/>
        </w:rPr>
        <w:t xml:space="preserve">. </w:t>
      </w:r>
      <w:r w:rsidR="00135A3F" w:rsidRPr="007429EC">
        <w:rPr>
          <w:sz w:val="28"/>
          <w:szCs w:val="28"/>
        </w:rPr>
        <w:t xml:space="preserve">Whilst cognisant that </w:t>
      </w:r>
      <w:r w:rsidR="00135A3F" w:rsidRPr="007429EC">
        <w:rPr>
          <w:i/>
          <w:sz w:val="28"/>
          <w:szCs w:val="28"/>
        </w:rPr>
        <w:t>Gijima</w:t>
      </w:r>
      <w:r w:rsidR="00135A3F" w:rsidRPr="007429EC">
        <w:rPr>
          <w:sz w:val="28"/>
          <w:szCs w:val="28"/>
        </w:rPr>
        <w:t xml:space="preserve"> generated widespread interest amongst academic </w:t>
      </w:r>
      <w:r w:rsidR="00344607">
        <w:rPr>
          <w:sz w:val="28"/>
          <w:szCs w:val="28"/>
        </w:rPr>
        <w:t>commentators</w:t>
      </w:r>
      <w:r w:rsidR="00135A3F" w:rsidRPr="007429EC">
        <w:rPr>
          <w:sz w:val="28"/>
          <w:szCs w:val="28"/>
        </w:rPr>
        <w:t xml:space="preserve"> and even </w:t>
      </w:r>
      <w:r w:rsidR="00135A3F" w:rsidRPr="007429EC">
        <w:rPr>
          <w:sz w:val="28"/>
          <w:szCs w:val="28"/>
        </w:rPr>
        <w:lastRenderedPageBreak/>
        <w:t>attracted trenchant academic criticism, it is, however, not necessary for present purposes to say more on that score</w:t>
      </w:r>
      <w:r w:rsidR="00170E7A" w:rsidRPr="007429EC">
        <w:rPr>
          <w:sz w:val="28"/>
          <w:szCs w:val="28"/>
        </w:rPr>
        <w:t>.</w:t>
      </w:r>
      <w:r w:rsidR="00135A3F" w:rsidRPr="007429EC">
        <w:rPr>
          <w:rStyle w:val="FootnoteReference"/>
          <w:sz w:val="28"/>
          <w:szCs w:val="28"/>
        </w:rPr>
        <w:footnoteReference w:id="7"/>
      </w:r>
    </w:p>
    <w:p w14:paraId="799A4154" w14:textId="77777777" w:rsidR="001C382E" w:rsidRPr="007429EC" w:rsidRDefault="001C382E" w:rsidP="00B224C9">
      <w:pPr>
        <w:rPr>
          <w:sz w:val="28"/>
          <w:szCs w:val="28"/>
        </w:rPr>
      </w:pPr>
    </w:p>
    <w:p w14:paraId="0A609173" w14:textId="0E7BB3A4" w:rsidR="00707D3D" w:rsidRPr="007429EC" w:rsidRDefault="001C382E" w:rsidP="00B224C9">
      <w:pPr>
        <w:rPr>
          <w:sz w:val="28"/>
          <w:szCs w:val="28"/>
        </w:rPr>
      </w:pPr>
      <w:r w:rsidRPr="007429EC">
        <w:rPr>
          <w:sz w:val="28"/>
          <w:szCs w:val="28"/>
        </w:rPr>
        <w:t>[</w:t>
      </w:r>
      <w:r w:rsidR="00707D3D" w:rsidRPr="007429EC">
        <w:rPr>
          <w:sz w:val="28"/>
          <w:szCs w:val="28"/>
        </w:rPr>
        <w:t>29</w:t>
      </w:r>
      <w:r w:rsidRPr="007429EC">
        <w:rPr>
          <w:sz w:val="28"/>
          <w:szCs w:val="28"/>
        </w:rPr>
        <w:t>]</w:t>
      </w:r>
      <w:r w:rsidRPr="007429EC">
        <w:rPr>
          <w:sz w:val="28"/>
          <w:szCs w:val="28"/>
        </w:rPr>
        <w:tab/>
        <w:t xml:space="preserve">In </w:t>
      </w:r>
      <w:r w:rsidRPr="007429EC">
        <w:rPr>
          <w:i/>
          <w:sz w:val="28"/>
          <w:szCs w:val="28"/>
        </w:rPr>
        <w:t>Fedsure Life Assurance Ltd and Others v Greater Johannesburg Transitional Metropolitan Council and Others</w:t>
      </w:r>
      <w:r w:rsidR="00707D3D" w:rsidRPr="007429EC">
        <w:rPr>
          <w:sz w:val="28"/>
          <w:szCs w:val="28"/>
        </w:rPr>
        <w:t>,</w:t>
      </w:r>
      <w:r w:rsidRPr="007429EC">
        <w:rPr>
          <w:rStyle w:val="FootnoteReference"/>
          <w:sz w:val="28"/>
          <w:szCs w:val="28"/>
        </w:rPr>
        <w:footnoteReference w:id="8"/>
      </w:r>
      <w:r w:rsidRPr="007429EC">
        <w:rPr>
          <w:i/>
          <w:sz w:val="28"/>
          <w:szCs w:val="28"/>
        </w:rPr>
        <w:t xml:space="preserve"> </w:t>
      </w:r>
      <w:r w:rsidRPr="007429EC">
        <w:rPr>
          <w:sz w:val="28"/>
          <w:szCs w:val="28"/>
        </w:rPr>
        <w:t xml:space="preserve">the </w:t>
      </w:r>
      <w:r w:rsidR="0043743A" w:rsidRPr="007429EC">
        <w:rPr>
          <w:sz w:val="28"/>
          <w:szCs w:val="28"/>
        </w:rPr>
        <w:t>Constitutional Court said that</w:t>
      </w:r>
      <w:r w:rsidR="00707D3D" w:rsidRPr="007429EC">
        <w:rPr>
          <w:sz w:val="28"/>
          <w:szCs w:val="28"/>
        </w:rPr>
        <w:t>:</w:t>
      </w:r>
      <w:r w:rsidR="0043743A" w:rsidRPr="007429EC">
        <w:rPr>
          <w:sz w:val="28"/>
          <w:szCs w:val="28"/>
        </w:rPr>
        <w:t xml:space="preserve"> </w:t>
      </w:r>
      <w:r w:rsidR="003B6577" w:rsidRPr="007429EC">
        <w:rPr>
          <w:szCs w:val="28"/>
        </w:rPr>
        <w:t>'</w:t>
      </w:r>
      <w:r w:rsidR="00707D3D" w:rsidRPr="007429EC">
        <w:rPr>
          <w:szCs w:val="28"/>
        </w:rPr>
        <w:t>I</w:t>
      </w:r>
      <w:r w:rsidRPr="007429EC">
        <w:rPr>
          <w:szCs w:val="28"/>
        </w:rPr>
        <w:t xml:space="preserve">t seems central to the conception of our constitutional order that the </w:t>
      </w:r>
      <w:r w:rsidR="00703247" w:rsidRPr="007429EC">
        <w:rPr>
          <w:szCs w:val="28"/>
        </w:rPr>
        <w:t>legislature and the e</w:t>
      </w:r>
      <w:r w:rsidRPr="007429EC">
        <w:rPr>
          <w:szCs w:val="28"/>
        </w:rPr>
        <w:t>xecutive in every sphere are constrained by the principle that they may exercise no power and perform no function beyond that conferred upon them by the law</w:t>
      </w:r>
      <w:r w:rsidR="003B6577" w:rsidRPr="007429EC">
        <w:rPr>
          <w:szCs w:val="28"/>
        </w:rPr>
        <w:t>'</w:t>
      </w:r>
      <w:r w:rsidRPr="007429EC">
        <w:rPr>
          <w:szCs w:val="28"/>
        </w:rPr>
        <w:t>.</w:t>
      </w:r>
      <w:r w:rsidRPr="007429EC">
        <w:rPr>
          <w:rStyle w:val="FootnoteReference"/>
          <w:szCs w:val="28"/>
        </w:rPr>
        <w:footnoteReference w:id="9"/>
      </w:r>
      <w:r w:rsidRPr="007429EC">
        <w:rPr>
          <w:szCs w:val="28"/>
        </w:rPr>
        <w:t xml:space="preserve"> </w:t>
      </w:r>
    </w:p>
    <w:p w14:paraId="2DC936A4" w14:textId="7F1C6EA4" w:rsidR="001C382E" w:rsidRPr="007429EC" w:rsidRDefault="001C382E" w:rsidP="00B224C9">
      <w:pPr>
        <w:rPr>
          <w:sz w:val="28"/>
          <w:szCs w:val="28"/>
        </w:rPr>
      </w:pPr>
      <w:r w:rsidRPr="007429EC">
        <w:rPr>
          <w:sz w:val="28"/>
          <w:szCs w:val="28"/>
        </w:rPr>
        <w:t xml:space="preserve">The </w:t>
      </w:r>
      <w:r w:rsidR="00703247" w:rsidRPr="007429EC">
        <w:rPr>
          <w:sz w:val="28"/>
          <w:szCs w:val="28"/>
        </w:rPr>
        <w:t>Constitutional Co</w:t>
      </w:r>
      <w:r w:rsidRPr="007429EC">
        <w:rPr>
          <w:sz w:val="28"/>
          <w:szCs w:val="28"/>
        </w:rPr>
        <w:t>urt went on to elaborate that:</w:t>
      </w:r>
    </w:p>
    <w:p w14:paraId="4EA5EC4D" w14:textId="01718094" w:rsidR="008532CF" w:rsidRPr="007429EC" w:rsidRDefault="003B6577" w:rsidP="008532CF">
      <w:pPr>
        <w:rPr>
          <w:szCs w:val="28"/>
        </w:rPr>
      </w:pPr>
      <w:r w:rsidRPr="007429EC">
        <w:rPr>
          <w:szCs w:val="28"/>
        </w:rPr>
        <w:t>'</w:t>
      </w:r>
      <w:r w:rsidR="008532CF" w:rsidRPr="007429EC">
        <w:rPr>
          <w:szCs w:val="28"/>
        </w:rPr>
        <w:t xml:space="preserve">… a local government may only act within the powers lawfully conferred upon it. There is nothing startling in this proposition - it is a fundamental principle of the rule of law, recognised widely, that the exercise of public power is only legitimate where lawful. The rule of law – to the extent at least that it expresses this principle of legality – is generally understood to be a fundamental principle of constitutional law. This has been recognised in other jurisdictions. In </w:t>
      </w:r>
      <w:r w:rsidR="008532CF" w:rsidRPr="007429EC">
        <w:rPr>
          <w:i/>
          <w:szCs w:val="28"/>
        </w:rPr>
        <w:t>The Matter of a Reference by the Government in Council Concerning Certain Questions Relating to the Secession of Quebec from Canada</w:t>
      </w:r>
      <w:r w:rsidR="008532CF" w:rsidRPr="007429EC">
        <w:rPr>
          <w:szCs w:val="28"/>
        </w:rPr>
        <w:t xml:space="preserve"> the Supreme Court of Canada held that:</w:t>
      </w:r>
    </w:p>
    <w:p w14:paraId="76201A76" w14:textId="37C6C617" w:rsidR="001C382E" w:rsidRPr="007429EC" w:rsidRDefault="0043743A" w:rsidP="008532CF">
      <w:pPr>
        <w:rPr>
          <w:szCs w:val="28"/>
        </w:rPr>
      </w:pPr>
      <w:r w:rsidRPr="007429EC">
        <w:rPr>
          <w:szCs w:val="28"/>
        </w:rPr>
        <w:t>"</w:t>
      </w:r>
      <w:r w:rsidR="008532CF" w:rsidRPr="007429EC">
        <w:rPr>
          <w:szCs w:val="28"/>
        </w:rPr>
        <w:t>Simply put, the constitutionalism principle requires that all government action comply with the Constitution. The rule of law principle requires that all government action must comply with the law, including the Constitution. This Court has noted on several occasions that with the adoption of the Charter, the Canadian system of government was transformed to a significant extent from a system of Parliamentary supremacy to one of constitutional supremacy. The Constitution binds all governments, both federal and provincial, including the executive branch (</w:t>
      </w:r>
      <w:r w:rsidR="008532CF" w:rsidRPr="007429EC">
        <w:rPr>
          <w:i/>
          <w:szCs w:val="28"/>
        </w:rPr>
        <w:t>Operation Dismantle Inc. v. The Queen</w:t>
      </w:r>
      <w:r w:rsidR="008532CF" w:rsidRPr="007429EC">
        <w:rPr>
          <w:szCs w:val="28"/>
        </w:rPr>
        <w:t xml:space="preserve">, [1985] 1 S.C.R. 441, at p.455). They may not transgress its provisions: indeed, </w:t>
      </w:r>
      <w:r w:rsidR="008532CF" w:rsidRPr="007429EC">
        <w:rPr>
          <w:szCs w:val="28"/>
        </w:rPr>
        <w:lastRenderedPageBreak/>
        <w:t xml:space="preserve">their sole claim to exercise lawful authority rests in the powers allocated to them under the Constitution, and </w:t>
      </w:r>
      <w:r w:rsidR="00703247" w:rsidRPr="007429EC">
        <w:rPr>
          <w:szCs w:val="28"/>
        </w:rPr>
        <w:t>can come from no other source".</w:t>
      </w:r>
      <w:r w:rsidR="003B6577" w:rsidRPr="007429EC">
        <w:rPr>
          <w:szCs w:val="28"/>
        </w:rPr>
        <w:t>'</w:t>
      </w:r>
      <w:r w:rsidR="008532CF" w:rsidRPr="007429EC">
        <w:rPr>
          <w:rStyle w:val="FootnoteReference"/>
          <w:szCs w:val="28"/>
        </w:rPr>
        <w:footnoteReference w:id="10"/>
      </w:r>
      <w:r w:rsidR="008532CF" w:rsidRPr="007429EC">
        <w:rPr>
          <w:szCs w:val="28"/>
        </w:rPr>
        <w:t xml:space="preserve"> (Footnotes omitted.)</w:t>
      </w:r>
    </w:p>
    <w:p w14:paraId="0CDDBBF2" w14:textId="77777777" w:rsidR="008532CF" w:rsidRPr="007429EC" w:rsidRDefault="008532CF" w:rsidP="008532CF">
      <w:pPr>
        <w:rPr>
          <w:sz w:val="28"/>
          <w:szCs w:val="28"/>
        </w:rPr>
      </w:pPr>
    </w:p>
    <w:p w14:paraId="769A10FE" w14:textId="0EA587D9" w:rsidR="008532CF" w:rsidRPr="007429EC" w:rsidRDefault="008532CF" w:rsidP="008532CF">
      <w:pPr>
        <w:rPr>
          <w:sz w:val="28"/>
          <w:szCs w:val="28"/>
          <w:lang w:val="en-ZA"/>
        </w:rPr>
      </w:pPr>
      <w:r w:rsidRPr="007429EC">
        <w:rPr>
          <w:sz w:val="28"/>
          <w:szCs w:val="28"/>
        </w:rPr>
        <w:t>[3</w:t>
      </w:r>
      <w:r w:rsidR="00703247" w:rsidRPr="007429EC">
        <w:rPr>
          <w:sz w:val="28"/>
          <w:szCs w:val="28"/>
        </w:rPr>
        <w:t>0</w:t>
      </w:r>
      <w:r w:rsidRPr="007429EC">
        <w:rPr>
          <w:sz w:val="28"/>
          <w:szCs w:val="28"/>
        </w:rPr>
        <w:t>]</w:t>
      </w:r>
      <w:r w:rsidRPr="007429EC">
        <w:rPr>
          <w:sz w:val="28"/>
          <w:szCs w:val="28"/>
        </w:rPr>
        <w:tab/>
        <w:t xml:space="preserve">Almost two years later, in </w:t>
      </w:r>
      <w:r w:rsidRPr="007429EC">
        <w:rPr>
          <w:i/>
          <w:sz w:val="28"/>
          <w:szCs w:val="28"/>
        </w:rPr>
        <w:t>Pharmaceutical Manufacturers Association of South Africa and Another: In re Ex Parte President of the Republic of South Africa and Others</w:t>
      </w:r>
      <w:r w:rsidR="00703247" w:rsidRPr="007429EC">
        <w:rPr>
          <w:sz w:val="28"/>
          <w:szCs w:val="28"/>
        </w:rPr>
        <w:t>,</w:t>
      </w:r>
      <w:r w:rsidRPr="007429EC">
        <w:rPr>
          <w:rStyle w:val="FootnoteReference"/>
          <w:sz w:val="28"/>
          <w:szCs w:val="28"/>
        </w:rPr>
        <w:footnoteReference w:id="11"/>
      </w:r>
      <w:r w:rsidRPr="007429EC">
        <w:rPr>
          <w:i/>
          <w:sz w:val="28"/>
          <w:szCs w:val="28"/>
        </w:rPr>
        <w:t xml:space="preserve"> </w:t>
      </w:r>
      <w:r w:rsidRPr="007429EC">
        <w:rPr>
          <w:sz w:val="28"/>
          <w:szCs w:val="28"/>
          <w:lang w:val="en-ZA"/>
        </w:rPr>
        <w:t>the Constitutional Court explained tha</w:t>
      </w:r>
      <w:r w:rsidR="0043743A" w:rsidRPr="007429EC">
        <w:rPr>
          <w:sz w:val="28"/>
          <w:szCs w:val="28"/>
          <w:lang w:val="en-ZA"/>
        </w:rPr>
        <w:t xml:space="preserve">t the principle of legality is </w:t>
      </w:r>
      <w:r w:rsidR="003B6577" w:rsidRPr="007429EC">
        <w:rPr>
          <w:sz w:val="28"/>
          <w:szCs w:val="28"/>
          <w:lang w:val="en-ZA"/>
        </w:rPr>
        <w:t>'</w:t>
      </w:r>
      <w:r w:rsidR="0043743A" w:rsidRPr="007429EC">
        <w:rPr>
          <w:sz w:val="28"/>
          <w:szCs w:val="28"/>
          <w:lang w:val="en-ZA"/>
        </w:rPr>
        <w:t>an incident of the rule of law</w:t>
      </w:r>
      <w:r w:rsidR="003B6577" w:rsidRPr="007429EC">
        <w:rPr>
          <w:sz w:val="28"/>
          <w:szCs w:val="28"/>
          <w:lang w:val="en-ZA"/>
        </w:rPr>
        <w:t>'</w:t>
      </w:r>
      <w:r w:rsidRPr="007429EC">
        <w:rPr>
          <w:rStyle w:val="FootnoteReference"/>
          <w:sz w:val="28"/>
          <w:szCs w:val="28"/>
          <w:lang w:val="en-ZA"/>
        </w:rPr>
        <w:footnoteReference w:id="12"/>
      </w:r>
      <w:r w:rsidR="00C1132B" w:rsidRPr="007429EC">
        <w:rPr>
          <w:sz w:val="28"/>
          <w:szCs w:val="28"/>
          <w:lang w:val="en-ZA"/>
        </w:rPr>
        <w:t xml:space="preserve"> which is a founding value of the Constitution itself.</w:t>
      </w:r>
      <w:r w:rsidR="00C1132B" w:rsidRPr="007429EC">
        <w:rPr>
          <w:rStyle w:val="FootnoteReference"/>
          <w:sz w:val="28"/>
          <w:szCs w:val="28"/>
          <w:lang w:val="en-ZA"/>
        </w:rPr>
        <w:footnoteReference w:id="13"/>
      </w:r>
      <w:r w:rsidR="00C1132B" w:rsidRPr="007429EC">
        <w:rPr>
          <w:sz w:val="28"/>
          <w:szCs w:val="28"/>
          <w:lang w:val="en-ZA"/>
        </w:rPr>
        <w:t xml:space="preserve"> Ngcobo J further clarified the principle of legality in </w:t>
      </w:r>
      <w:r w:rsidR="00C1132B" w:rsidRPr="007429EC">
        <w:rPr>
          <w:i/>
          <w:sz w:val="28"/>
          <w:szCs w:val="28"/>
          <w:lang w:val="en-ZA"/>
        </w:rPr>
        <w:t>Affordable Medicines Trust and Others v Minister of Health and Another</w:t>
      </w:r>
      <w:r w:rsidR="00703247" w:rsidRPr="007429EC">
        <w:rPr>
          <w:sz w:val="28"/>
          <w:szCs w:val="28"/>
          <w:lang w:val="en-ZA"/>
        </w:rPr>
        <w:t>,</w:t>
      </w:r>
      <w:r w:rsidR="00C1132B" w:rsidRPr="007429EC">
        <w:rPr>
          <w:rStyle w:val="FootnoteReference"/>
          <w:sz w:val="28"/>
          <w:szCs w:val="28"/>
          <w:lang w:val="en-ZA"/>
        </w:rPr>
        <w:footnoteReference w:id="14"/>
      </w:r>
      <w:r w:rsidR="00C1132B" w:rsidRPr="007429EC">
        <w:rPr>
          <w:sz w:val="28"/>
          <w:szCs w:val="28"/>
          <w:lang w:val="en-ZA"/>
        </w:rPr>
        <w:t xml:space="preserve"> </w:t>
      </w:r>
      <w:r w:rsidR="00703247" w:rsidRPr="007429EC">
        <w:rPr>
          <w:sz w:val="28"/>
          <w:szCs w:val="28"/>
          <w:lang w:val="en-ZA"/>
        </w:rPr>
        <w:t>as follows</w:t>
      </w:r>
      <w:r w:rsidR="00C1132B" w:rsidRPr="007429EC">
        <w:rPr>
          <w:sz w:val="28"/>
          <w:szCs w:val="28"/>
          <w:lang w:val="en-ZA"/>
        </w:rPr>
        <w:t xml:space="preserve">: </w:t>
      </w:r>
    </w:p>
    <w:p w14:paraId="54804AFF" w14:textId="5BD0D78D" w:rsidR="00C1132B" w:rsidRPr="007429EC" w:rsidRDefault="003B6577" w:rsidP="008532CF">
      <w:pPr>
        <w:rPr>
          <w:szCs w:val="28"/>
          <w:lang w:val="en-ZA"/>
        </w:rPr>
      </w:pPr>
      <w:r w:rsidRPr="007429EC">
        <w:rPr>
          <w:szCs w:val="28"/>
          <w:lang w:val="en-ZA"/>
        </w:rPr>
        <w:t>'</w:t>
      </w:r>
      <w:r w:rsidR="00C1132B" w:rsidRPr="007429EC">
        <w:rPr>
          <w:szCs w:val="28"/>
          <w:lang w:val="en-ZA"/>
        </w:rPr>
        <w:t>The exercise of public power must therefore comply with the Constitution, which is the supreme law, and the doctrine of legality, which is part of that law. The doctrine of legality, which is an incident of the rule of law, is one of the constitutional controls through which the exercise of public power is</w:t>
      </w:r>
      <w:r w:rsidR="0043743A" w:rsidRPr="007429EC">
        <w:rPr>
          <w:szCs w:val="28"/>
          <w:lang w:val="en-ZA"/>
        </w:rPr>
        <w:t xml:space="preserve"> regulated by the Constitution.</w:t>
      </w:r>
      <w:r w:rsidRPr="007429EC">
        <w:rPr>
          <w:szCs w:val="28"/>
          <w:lang w:val="en-ZA"/>
        </w:rPr>
        <w:t>'</w:t>
      </w:r>
      <w:r w:rsidR="00C1132B" w:rsidRPr="007429EC">
        <w:rPr>
          <w:rStyle w:val="FootnoteReference"/>
          <w:szCs w:val="28"/>
          <w:lang w:val="en-ZA"/>
        </w:rPr>
        <w:footnoteReference w:id="15"/>
      </w:r>
    </w:p>
    <w:p w14:paraId="05694F86" w14:textId="77777777" w:rsidR="009007CD" w:rsidRPr="007429EC" w:rsidRDefault="009007CD" w:rsidP="008532CF">
      <w:pPr>
        <w:rPr>
          <w:szCs w:val="28"/>
          <w:lang w:val="en-ZA"/>
        </w:rPr>
      </w:pPr>
    </w:p>
    <w:p w14:paraId="4D5A839C" w14:textId="20CB8038" w:rsidR="00C1132B" w:rsidRPr="007429EC" w:rsidRDefault="00585164" w:rsidP="008532CF">
      <w:pPr>
        <w:rPr>
          <w:sz w:val="28"/>
          <w:szCs w:val="28"/>
          <w:lang w:val="en-ZA"/>
        </w:rPr>
      </w:pPr>
      <w:r w:rsidRPr="007429EC">
        <w:rPr>
          <w:sz w:val="28"/>
          <w:szCs w:val="28"/>
          <w:lang w:val="en-ZA"/>
        </w:rPr>
        <w:t>[</w:t>
      </w:r>
      <w:r w:rsidR="00703247" w:rsidRPr="007429EC">
        <w:rPr>
          <w:sz w:val="28"/>
          <w:szCs w:val="28"/>
          <w:lang w:val="en-ZA"/>
        </w:rPr>
        <w:t>31</w:t>
      </w:r>
      <w:r w:rsidRPr="007429EC">
        <w:rPr>
          <w:sz w:val="28"/>
          <w:szCs w:val="28"/>
          <w:lang w:val="en-ZA"/>
        </w:rPr>
        <w:t>]</w:t>
      </w:r>
      <w:r w:rsidRPr="007429EC">
        <w:rPr>
          <w:sz w:val="28"/>
          <w:szCs w:val="28"/>
          <w:lang w:val="en-ZA"/>
        </w:rPr>
        <w:tab/>
      </w:r>
      <w:r w:rsidR="00C1132B" w:rsidRPr="007429EC">
        <w:rPr>
          <w:sz w:val="28"/>
          <w:szCs w:val="28"/>
          <w:lang w:val="en-ZA"/>
        </w:rPr>
        <w:t xml:space="preserve">On this score, it is as well to remember that s 2 of the Constitution decrees that the Constitution is </w:t>
      </w:r>
      <w:r w:rsidR="003B6577" w:rsidRPr="007429EC">
        <w:rPr>
          <w:sz w:val="28"/>
          <w:szCs w:val="28"/>
          <w:lang w:val="en-ZA"/>
        </w:rPr>
        <w:t>'</w:t>
      </w:r>
      <w:r w:rsidR="00C1132B" w:rsidRPr="007429EC">
        <w:rPr>
          <w:sz w:val="28"/>
          <w:szCs w:val="28"/>
          <w:lang w:val="en-ZA"/>
        </w:rPr>
        <w:t>the supreme</w:t>
      </w:r>
      <w:r w:rsidR="0043743A" w:rsidRPr="007429EC">
        <w:rPr>
          <w:sz w:val="28"/>
          <w:szCs w:val="28"/>
          <w:lang w:val="en-ZA"/>
        </w:rPr>
        <w:t xml:space="preserve"> law of the Republic</w:t>
      </w:r>
      <w:r w:rsidR="003B6577" w:rsidRPr="007429EC">
        <w:rPr>
          <w:sz w:val="28"/>
          <w:szCs w:val="28"/>
          <w:lang w:val="en-ZA"/>
        </w:rPr>
        <w:t>'</w:t>
      </w:r>
      <w:r w:rsidR="0043743A" w:rsidRPr="007429EC">
        <w:rPr>
          <w:sz w:val="28"/>
          <w:szCs w:val="28"/>
          <w:lang w:val="en-ZA"/>
        </w:rPr>
        <w:t xml:space="preserve"> and that </w:t>
      </w:r>
      <w:r w:rsidR="003B6577" w:rsidRPr="007429EC">
        <w:rPr>
          <w:sz w:val="28"/>
          <w:szCs w:val="28"/>
          <w:lang w:val="en-ZA"/>
        </w:rPr>
        <w:t>'</w:t>
      </w:r>
      <w:r w:rsidR="00703247" w:rsidRPr="007429EC">
        <w:rPr>
          <w:sz w:val="28"/>
          <w:szCs w:val="28"/>
          <w:lang w:val="en-ZA"/>
        </w:rPr>
        <w:t>c</w:t>
      </w:r>
      <w:r w:rsidR="00C1132B" w:rsidRPr="007429EC">
        <w:rPr>
          <w:sz w:val="28"/>
          <w:szCs w:val="28"/>
          <w:lang w:val="en-ZA"/>
        </w:rPr>
        <w:t>onduct inconsistent with it is invalid. In that event, s 172(1)</w:t>
      </w:r>
      <w:r w:rsidR="00C1132B" w:rsidRPr="007429EC">
        <w:rPr>
          <w:i/>
          <w:sz w:val="28"/>
          <w:szCs w:val="28"/>
          <w:lang w:val="en-ZA"/>
        </w:rPr>
        <w:t>(a)</w:t>
      </w:r>
      <w:r w:rsidR="00C1132B" w:rsidRPr="007429EC">
        <w:rPr>
          <w:sz w:val="28"/>
          <w:szCs w:val="28"/>
          <w:lang w:val="en-ZA"/>
        </w:rPr>
        <w:t xml:space="preserve"> </w:t>
      </w:r>
      <w:r w:rsidR="00EE54BD" w:rsidRPr="007429EC">
        <w:rPr>
          <w:sz w:val="28"/>
          <w:szCs w:val="28"/>
          <w:lang w:val="en-ZA"/>
        </w:rPr>
        <w:t>of the Constitution enjoins the courts to declare any conduct inconsistent with it to be invalid. What is clear from this Constitutional imperative is that once a court has found that any conduct is, as a fact, inconsistent with the Constitution</w:t>
      </w:r>
      <w:r w:rsidR="00703247" w:rsidRPr="007429EC">
        <w:rPr>
          <w:sz w:val="28"/>
          <w:szCs w:val="28"/>
          <w:lang w:val="en-ZA"/>
        </w:rPr>
        <w:t>,</w:t>
      </w:r>
      <w:r w:rsidR="00EE54BD" w:rsidRPr="007429EC">
        <w:rPr>
          <w:sz w:val="28"/>
          <w:szCs w:val="28"/>
          <w:lang w:val="en-ZA"/>
        </w:rPr>
        <w:t xml:space="preserve"> such a court is obliged to declare it </w:t>
      </w:r>
      <w:r w:rsidR="00EE54BD" w:rsidRPr="007429EC">
        <w:rPr>
          <w:sz w:val="28"/>
          <w:szCs w:val="28"/>
          <w:lang w:val="en-ZA"/>
        </w:rPr>
        <w:lastRenderedPageBreak/>
        <w:t xml:space="preserve">invalid. It has no choice in the matter. It is therefore against this backdrop that the </w:t>
      </w:r>
      <w:r w:rsidR="003B3BBD" w:rsidRPr="007429EC">
        <w:rPr>
          <w:sz w:val="28"/>
          <w:szCs w:val="28"/>
          <w:lang w:val="en-ZA"/>
        </w:rPr>
        <w:t xml:space="preserve">application by the </w:t>
      </w:r>
      <w:r w:rsidR="00D552DD" w:rsidRPr="007429EC">
        <w:rPr>
          <w:sz w:val="28"/>
          <w:szCs w:val="28"/>
          <w:lang w:val="en-ZA"/>
        </w:rPr>
        <w:t>g</w:t>
      </w:r>
      <w:r w:rsidR="003B3BBD" w:rsidRPr="007429EC">
        <w:rPr>
          <w:sz w:val="28"/>
          <w:szCs w:val="28"/>
          <w:lang w:val="en-ZA"/>
        </w:rPr>
        <w:t>overnment parties in the high court seeking the review of the Department</w:t>
      </w:r>
      <w:r w:rsidR="003B6577" w:rsidRPr="007429EC">
        <w:rPr>
          <w:sz w:val="28"/>
          <w:szCs w:val="28"/>
          <w:lang w:val="en-ZA"/>
        </w:rPr>
        <w:t>'</w:t>
      </w:r>
      <w:r w:rsidR="003B3BBD" w:rsidRPr="007429EC">
        <w:rPr>
          <w:sz w:val="28"/>
          <w:szCs w:val="28"/>
          <w:lang w:val="en-ZA"/>
        </w:rPr>
        <w:t xml:space="preserve">s own decision in awarding the contract to the Joint Venture in the first place and the subsequent wholesale </w:t>
      </w:r>
      <w:r w:rsidRPr="007429EC">
        <w:rPr>
          <w:sz w:val="28"/>
          <w:szCs w:val="28"/>
          <w:lang w:val="en-ZA"/>
        </w:rPr>
        <w:t xml:space="preserve">variation </w:t>
      </w:r>
      <w:r w:rsidR="003B3BBD" w:rsidRPr="007429EC">
        <w:rPr>
          <w:sz w:val="28"/>
          <w:szCs w:val="28"/>
          <w:lang w:val="en-ZA"/>
        </w:rPr>
        <w:t>of the r</w:t>
      </w:r>
      <w:r w:rsidR="00A435C9" w:rsidRPr="007429EC">
        <w:rPr>
          <w:sz w:val="28"/>
          <w:szCs w:val="28"/>
          <w:lang w:val="en-ZA"/>
        </w:rPr>
        <w:t>equirements of the RFP</w:t>
      </w:r>
      <w:r w:rsidR="004B6D5A" w:rsidRPr="007429EC">
        <w:rPr>
          <w:sz w:val="28"/>
          <w:szCs w:val="28"/>
          <w:lang w:val="en-ZA"/>
        </w:rPr>
        <w:t>s</w:t>
      </w:r>
      <w:r w:rsidR="003B3BBD" w:rsidRPr="007429EC">
        <w:rPr>
          <w:sz w:val="28"/>
          <w:szCs w:val="28"/>
          <w:lang w:val="en-ZA"/>
        </w:rPr>
        <w:t xml:space="preserve"> by the </w:t>
      </w:r>
      <w:r w:rsidR="00FD1F73" w:rsidRPr="007429EC">
        <w:rPr>
          <w:sz w:val="28"/>
          <w:szCs w:val="28"/>
          <w:lang w:val="en-ZA"/>
        </w:rPr>
        <w:t>Steering Committee</w:t>
      </w:r>
      <w:r w:rsidRPr="007429EC">
        <w:rPr>
          <w:sz w:val="28"/>
          <w:szCs w:val="28"/>
          <w:lang w:val="en-ZA"/>
        </w:rPr>
        <w:t>,</w:t>
      </w:r>
      <w:r w:rsidR="003B3BBD" w:rsidRPr="007429EC">
        <w:rPr>
          <w:sz w:val="28"/>
          <w:szCs w:val="28"/>
          <w:lang w:val="en-ZA"/>
        </w:rPr>
        <w:t xml:space="preserve"> thereby relieving the Joint Venture of its contractual obligations</w:t>
      </w:r>
      <w:r w:rsidRPr="007429EC">
        <w:rPr>
          <w:sz w:val="28"/>
          <w:szCs w:val="28"/>
          <w:lang w:val="en-ZA"/>
        </w:rPr>
        <w:t>,</w:t>
      </w:r>
      <w:r w:rsidR="003B3BBD" w:rsidRPr="007429EC">
        <w:rPr>
          <w:sz w:val="28"/>
          <w:szCs w:val="28"/>
          <w:lang w:val="en-ZA"/>
        </w:rPr>
        <w:t xml:space="preserve"> fall</w:t>
      </w:r>
      <w:r w:rsidR="00703247" w:rsidRPr="007429EC">
        <w:rPr>
          <w:sz w:val="28"/>
          <w:szCs w:val="28"/>
          <w:lang w:val="en-ZA"/>
        </w:rPr>
        <w:t>s</w:t>
      </w:r>
      <w:r w:rsidR="003B3BBD" w:rsidRPr="007429EC">
        <w:rPr>
          <w:sz w:val="28"/>
          <w:szCs w:val="28"/>
          <w:lang w:val="en-ZA"/>
        </w:rPr>
        <w:t xml:space="preserve"> to be considered. </w:t>
      </w:r>
    </w:p>
    <w:p w14:paraId="64FD7FD3" w14:textId="77777777" w:rsidR="00C4691E" w:rsidRPr="007429EC" w:rsidRDefault="00C4691E" w:rsidP="008532CF">
      <w:pPr>
        <w:rPr>
          <w:sz w:val="28"/>
          <w:szCs w:val="28"/>
          <w:lang w:val="en-ZA"/>
        </w:rPr>
      </w:pPr>
    </w:p>
    <w:p w14:paraId="7E39A626" w14:textId="0350E14B" w:rsidR="003B3BBD" w:rsidRPr="007429EC" w:rsidRDefault="003B3BBD" w:rsidP="008532CF">
      <w:pPr>
        <w:rPr>
          <w:b/>
          <w:sz w:val="28"/>
          <w:szCs w:val="28"/>
          <w:lang w:val="en-ZA"/>
        </w:rPr>
      </w:pPr>
      <w:r w:rsidRPr="007429EC">
        <w:rPr>
          <w:b/>
          <w:sz w:val="28"/>
          <w:szCs w:val="28"/>
          <w:lang w:val="en-ZA"/>
        </w:rPr>
        <w:t>Brief contentions of the parties</w:t>
      </w:r>
    </w:p>
    <w:p w14:paraId="04A7FA64" w14:textId="433DF46B" w:rsidR="003B3BBD" w:rsidRPr="007429EC" w:rsidRDefault="003B3BBD" w:rsidP="008532CF">
      <w:pPr>
        <w:rPr>
          <w:sz w:val="28"/>
          <w:szCs w:val="28"/>
          <w:lang w:val="en-ZA"/>
        </w:rPr>
      </w:pPr>
      <w:r w:rsidRPr="007429EC">
        <w:rPr>
          <w:sz w:val="28"/>
          <w:szCs w:val="28"/>
          <w:lang w:val="en-ZA"/>
        </w:rPr>
        <w:t>[</w:t>
      </w:r>
      <w:r w:rsidR="00703247" w:rsidRPr="007429EC">
        <w:rPr>
          <w:sz w:val="28"/>
          <w:szCs w:val="28"/>
          <w:lang w:val="en-ZA"/>
        </w:rPr>
        <w:t>32</w:t>
      </w:r>
      <w:r w:rsidRPr="007429EC">
        <w:rPr>
          <w:sz w:val="28"/>
          <w:szCs w:val="28"/>
          <w:lang w:val="en-ZA"/>
        </w:rPr>
        <w:t>]</w:t>
      </w:r>
      <w:r w:rsidRPr="007429EC">
        <w:rPr>
          <w:sz w:val="28"/>
          <w:szCs w:val="28"/>
          <w:lang w:val="en-ZA"/>
        </w:rPr>
        <w:tab/>
        <w:t xml:space="preserve">In this Court, as in the high court, the overarching contentions of the </w:t>
      </w:r>
      <w:r w:rsidR="00D552DD" w:rsidRPr="007429EC">
        <w:rPr>
          <w:sz w:val="28"/>
          <w:szCs w:val="28"/>
          <w:lang w:val="en-ZA"/>
        </w:rPr>
        <w:t>g</w:t>
      </w:r>
      <w:r w:rsidR="002F01BD" w:rsidRPr="007429EC">
        <w:rPr>
          <w:sz w:val="28"/>
          <w:szCs w:val="28"/>
          <w:lang w:val="en-ZA"/>
        </w:rPr>
        <w:t>overnment p</w:t>
      </w:r>
      <w:r w:rsidRPr="007429EC">
        <w:rPr>
          <w:sz w:val="28"/>
          <w:szCs w:val="28"/>
          <w:lang w:val="en-ZA"/>
        </w:rPr>
        <w:t>arties is that the Joint Venture woefully failed to satisfy</w:t>
      </w:r>
      <w:r w:rsidR="0003730B">
        <w:rPr>
          <w:sz w:val="28"/>
          <w:szCs w:val="28"/>
          <w:lang w:val="en-ZA"/>
        </w:rPr>
        <w:t xml:space="preserve"> even</w:t>
      </w:r>
      <w:r w:rsidRPr="007429EC">
        <w:rPr>
          <w:sz w:val="28"/>
          <w:szCs w:val="28"/>
          <w:lang w:val="en-ZA"/>
        </w:rPr>
        <w:t xml:space="preserve"> the barest minimum of the</w:t>
      </w:r>
      <w:r w:rsidR="00A435C9" w:rsidRPr="007429EC">
        <w:rPr>
          <w:sz w:val="28"/>
          <w:szCs w:val="28"/>
          <w:lang w:val="en-ZA"/>
        </w:rPr>
        <w:t xml:space="preserve"> criteria prescribed by the RFP</w:t>
      </w:r>
      <w:r w:rsidR="004B6D5A" w:rsidRPr="007429EC">
        <w:rPr>
          <w:sz w:val="28"/>
          <w:szCs w:val="28"/>
          <w:lang w:val="en-ZA"/>
        </w:rPr>
        <w:t>s</w:t>
      </w:r>
      <w:r w:rsidRPr="007429EC">
        <w:rPr>
          <w:sz w:val="28"/>
          <w:szCs w:val="28"/>
          <w:lang w:val="en-ZA"/>
        </w:rPr>
        <w:t xml:space="preserve"> in that:</w:t>
      </w:r>
    </w:p>
    <w:p w14:paraId="7293376F" w14:textId="4992671E" w:rsidR="003B3BBD" w:rsidRPr="007429EC" w:rsidRDefault="003B3BBD" w:rsidP="008532CF">
      <w:pPr>
        <w:rPr>
          <w:sz w:val="28"/>
          <w:szCs w:val="28"/>
          <w:lang w:val="en-ZA"/>
        </w:rPr>
      </w:pPr>
      <w:r w:rsidRPr="007429EC">
        <w:rPr>
          <w:sz w:val="28"/>
          <w:szCs w:val="28"/>
          <w:lang w:val="en-ZA"/>
        </w:rPr>
        <w:t>(</w:t>
      </w:r>
      <w:r w:rsidR="00696237" w:rsidRPr="007429EC">
        <w:rPr>
          <w:sz w:val="28"/>
          <w:szCs w:val="28"/>
          <w:lang w:val="en-ZA"/>
        </w:rPr>
        <w:t>a</w:t>
      </w:r>
      <w:r w:rsidRPr="007429EC">
        <w:rPr>
          <w:sz w:val="28"/>
          <w:szCs w:val="28"/>
          <w:lang w:val="en-ZA"/>
        </w:rPr>
        <w:t xml:space="preserve">) the Joint Venture failed to submit audited financial statements for the </w:t>
      </w:r>
      <w:r w:rsidR="00585164" w:rsidRPr="007429EC">
        <w:rPr>
          <w:sz w:val="28"/>
          <w:szCs w:val="28"/>
          <w:lang w:val="en-ZA"/>
        </w:rPr>
        <w:t xml:space="preserve">three </w:t>
      </w:r>
      <w:r w:rsidRPr="007429EC">
        <w:rPr>
          <w:sz w:val="28"/>
          <w:szCs w:val="28"/>
          <w:lang w:val="en-ZA"/>
        </w:rPr>
        <w:t>years preceding the tender as required;</w:t>
      </w:r>
    </w:p>
    <w:p w14:paraId="4737BD2F" w14:textId="1C9C1487" w:rsidR="003B3BBD" w:rsidRPr="007429EC" w:rsidRDefault="003B3BBD" w:rsidP="008532CF">
      <w:pPr>
        <w:rPr>
          <w:sz w:val="28"/>
          <w:szCs w:val="28"/>
          <w:lang w:val="en-ZA"/>
        </w:rPr>
      </w:pPr>
      <w:r w:rsidRPr="007429EC">
        <w:rPr>
          <w:sz w:val="28"/>
          <w:szCs w:val="28"/>
          <w:lang w:val="en-ZA"/>
        </w:rPr>
        <w:t>(</w:t>
      </w:r>
      <w:r w:rsidR="00696237" w:rsidRPr="007429EC">
        <w:rPr>
          <w:sz w:val="28"/>
          <w:szCs w:val="28"/>
          <w:lang w:val="en-ZA"/>
        </w:rPr>
        <w:t>b</w:t>
      </w:r>
      <w:r w:rsidRPr="007429EC">
        <w:rPr>
          <w:sz w:val="28"/>
          <w:szCs w:val="28"/>
          <w:lang w:val="en-ZA"/>
        </w:rPr>
        <w:t xml:space="preserve">) that the bid documents were submitted solely in the name </w:t>
      </w:r>
      <w:r w:rsidR="00A435C9" w:rsidRPr="007429EC">
        <w:rPr>
          <w:sz w:val="28"/>
          <w:szCs w:val="28"/>
          <w:lang w:val="en-ZA"/>
        </w:rPr>
        <w:t>of Simeka Group whereas the RFP</w:t>
      </w:r>
      <w:r w:rsidR="004B6D5A" w:rsidRPr="007429EC">
        <w:rPr>
          <w:sz w:val="28"/>
          <w:szCs w:val="28"/>
          <w:lang w:val="en-ZA"/>
        </w:rPr>
        <w:t>s</w:t>
      </w:r>
      <w:r w:rsidRPr="007429EC">
        <w:rPr>
          <w:sz w:val="28"/>
          <w:szCs w:val="28"/>
          <w:lang w:val="en-ZA"/>
        </w:rPr>
        <w:t xml:space="preserve"> dictated that in the case of a joint venture</w:t>
      </w:r>
      <w:r w:rsidR="00696237" w:rsidRPr="007429EC">
        <w:rPr>
          <w:sz w:val="28"/>
          <w:szCs w:val="28"/>
          <w:lang w:val="en-ZA"/>
        </w:rPr>
        <w:t>,</w:t>
      </w:r>
      <w:r w:rsidRPr="007429EC">
        <w:rPr>
          <w:sz w:val="28"/>
          <w:szCs w:val="28"/>
          <w:lang w:val="en-ZA"/>
        </w:rPr>
        <w:t xml:space="preserve"> the parties to the joint venture ought to do so;</w:t>
      </w:r>
    </w:p>
    <w:p w14:paraId="4C8452A4" w14:textId="003A6017" w:rsidR="003B3BBD" w:rsidRPr="007429EC" w:rsidRDefault="003B3BBD" w:rsidP="008532CF">
      <w:pPr>
        <w:rPr>
          <w:sz w:val="28"/>
          <w:szCs w:val="28"/>
          <w:lang w:val="en-ZA"/>
        </w:rPr>
      </w:pPr>
      <w:r w:rsidRPr="007429EC">
        <w:rPr>
          <w:sz w:val="28"/>
          <w:szCs w:val="28"/>
          <w:lang w:val="en-ZA"/>
        </w:rPr>
        <w:t>(</w:t>
      </w:r>
      <w:r w:rsidR="00696237" w:rsidRPr="007429EC">
        <w:rPr>
          <w:sz w:val="28"/>
          <w:szCs w:val="28"/>
          <w:lang w:val="en-ZA"/>
        </w:rPr>
        <w:t>c</w:t>
      </w:r>
      <w:r w:rsidRPr="007429EC">
        <w:rPr>
          <w:sz w:val="28"/>
          <w:szCs w:val="28"/>
          <w:lang w:val="en-ZA"/>
        </w:rPr>
        <w:t>) the Joint Venture failed to provide proof of its abilit</w:t>
      </w:r>
      <w:r w:rsidR="00FD1236">
        <w:rPr>
          <w:sz w:val="28"/>
          <w:szCs w:val="28"/>
          <w:lang w:val="en-ZA"/>
        </w:rPr>
        <w:t>y</w:t>
      </w:r>
      <w:r w:rsidRPr="007429EC">
        <w:rPr>
          <w:sz w:val="28"/>
          <w:szCs w:val="28"/>
          <w:lang w:val="en-ZA"/>
        </w:rPr>
        <w:t xml:space="preserve"> to raise the requisite funding for the project and, instead, only submitted a letter that purported to prove the ability of Simeka Group and the </w:t>
      </w:r>
      <w:r w:rsidR="0043743A" w:rsidRPr="007429EC">
        <w:rPr>
          <w:sz w:val="28"/>
          <w:szCs w:val="28"/>
          <w:lang w:val="en-ZA"/>
        </w:rPr>
        <w:t>latter</w:t>
      </w:r>
      <w:r w:rsidR="003B6577" w:rsidRPr="007429EC">
        <w:rPr>
          <w:sz w:val="28"/>
          <w:szCs w:val="28"/>
          <w:lang w:val="en-ZA"/>
        </w:rPr>
        <w:t>'</w:t>
      </w:r>
      <w:r w:rsidR="0043743A" w:rsidRPr="007429EC">
        <w:rPr>
          <w:sz w:val="28"/>
          <w:szCs w:val="28"/>
          <w:lang w:val="en-ZA"/>
        </w:rPr>
        <w:t>s associate shareholders</w:t>
      </w:r>
      <w:r w:rsidRPr="007429EC">
        <w:rPr>
          <w:sz w:val="28"/>
          <w:szCs w:val="28"/>
          <w:lang w:val="en-ZA"/>
        </w:rPr>
        <w:t>; and</w:t>
      </w:r>
    </w:p>
    <w:p w14:paraId="414B286B" w14:textId="16EB8ACD" w:rsidR="003B3BBD" w:rsidRPr="007429EC" w:rsidRDefault="003B3BBD" w:rsidP="008532CF">
      <w:pPr>
        <w:rPr>
          <w:sz w:val="28"/>
          <w:szCs w:val="28"/>
          <w:lang w:val="en-ZA"/>
        </w:rPr>
      </w:pPr>
      <w:r w:rsidRPr="007429EC">
        <w:rPr>
          <w:sz w:val="28"/>
          <w:szCs w:val="28"/>
          <w:lang w:val="en-ZA"/>
        </w:rPr>
        <w:t>(</w:t>
      </w:r>
      <w:r w:rsidR="00696237" w:rsidRPr="007429EC">
        <w:rPr>
          <w:sz w:val="28"/>
          <w:szCs w:val="28"/>
          <w:lang w:val="en-ZA"/>
        </w:rPr>
        <w:t>d</w:t>
      </w:r>
      <w:r w:rsidRPr="007429EC">
        <w:rPr>
          <w:sz w:val="28"/>
          <w:szCs w:val="28"/>
          <w:lang w:val="en-ZA"/>
        </w:rPr>
        <w:t xml:space="preserve">) for what they were worth, the financial statements submitted by the Joint Venture, such as they were, revealed that the Joint Venture lacked the financial ability to perform the project. </w:t>
      </w:r>
    </w:p>
    <w:p w14:paraId="3143DF03" w14:textId="77777777" w:rsidR="003B3BBD" w:rsidRPr="007429EC" w:rsidRDefault="003B3BBD" w:rsidP="008532CF">
      <w:pPr>
        <w:rPr>
          <w:sz w:val="28"/>
          <w:szCs w:val="28"/>
          <w:lang w:val="en-ZA"/>
        </w:rPr>
      </w:pPr>
    </w:p>
    <w:p w14:paraId="13CF44D8" w14:textId="64E864A3" w:rsidR="003B3BBD" w:rsidRPr="007429EC" w:rsidRDefault="003B3BBD" w:rsidP="008532CF">
      <w:pPr>
        <w:rPr>
          <w:sz w:val="28"/>
          <w:szCs w:val="28"/>
          <w:lang w:val="en-ZA"/>
        </w:rPr>
      </w:pPr>
      <w:r w:rsidRPr="007429EC">
        <w:rPr>
          <w:sz w:val="28"/>
          <w:szCs w:val="28"/>
          <w:lang w:val="en-ZA"/>
        </w:rPr>
        <w:t>[</w:t>
      </w:r>
      <w:r w:rsidR="00A95263" w:rsidRPr="007429EC">
        <w:rPr>
          <w:sz w:val="28"/>
          <w:szCs w:val="28"/>
          <w:lang w:val="en-ZA"/>
        </w:rPr>
        <w:t>33</w:t>
      </w:r>
      <w:r w:rsidRPr="007429EC">
        <w:rPr>
          <w:sz w:val="28"/>
          <w:szCs w:val="28"/>
          <w:lang w:val="en-ZA"/>
        </w:rPr>
        <w:t>]</w:t>
      </w:r>
      <w:r w:rsidRPr="007429EC">
        <w:rPr>
          <w:sz w:val="28"/>
          <w:szCs w:val="28"/>
          <w:lang w:val="en-ZA"/>
        </w:rPr>
        <w:tab/>
        <w:t xml:space="preserve">Moreover, the </w:t>
      </w:r>
      <w:r w:rsidR="00D552DD" w:rsidRPr="007429EC">
        <w:rPr>
          <w:sz w:val="28"/>
          <w:szCs w:val="28"/>
          <w:lang w:val="en-ZA"/>
        </w:rPr>
        <w:t>g</w:t>
      </w:r>
      <w:r w:rsidRPr="007429EC">
        <w:rPr>
          <w:sz w:val="28"/>
          <w:szCs w:val="28"/>
          <w:lang w:val="en-ZA"/>
        </w:rPr>
        <w:t xml:space="preserve">overnment parties contended that the agreement concluded pursuant to the tender was a radical departure from what the </w:t>
      </w:r>
      <w:r w:rsidR="00A435C9" w:rsidRPr="007429EC">
        <w:rPr>
          <w:sz w:val="28"/>
          <w:szCs w:val="28"/>
          <w:lang w:val="en-ZA"/>
        </w:rPr>
        <w:t>RFP</w:t>
      </w:r>
      <w:r w:rsidR="004B6D5A" w:rsidRPr="007429EC">
        <w:rPr>
          <w:sz w:val="28"/>
          <w:szCs w:val="28"/>
          <w:lang w:val="en-ZA"/>
        </w:rPr>
        <w:t>s</w:t>
      </w:r>
      <w:r w:rsidR="00070472" w:rsidRPr="007429EC">
        <w:rPr>
          <w:sz w:val="28"/>
          <w:szCs w:val="28"/>
          <w:lang w:val="en-ZA"/>
        </w:rPr>
        <w:t xml:space="preserve"> had required</w:t>
      </w:r>
      <w:r w:rsidR="00585164" w:rsidRPr="007429EC">
        <w:rPr>
          <w:sz w:val="28"/>
          <w:szCs w:val="28"/>
          <w:lang w:val="en-ZA"/>
        </w:rPr>
        <w:t xml:space="preserve"> and envisaged</w:t>
      </w:r>
      <w:r w:rsidR="00070472" w:rsidRPr="007429EC">
        <w:rPr>
          <w:sz w:val="28"/>
          <w:szCs w:val="28"/>
          <w:lang w:val="en-ZA"/>
        </w:rPr>
        <w:t xml:space="preserve">. Insofar as </w:t>
      </w:r>
      <w:r w:rsidR="007276F9">
        <w:rPr>
          <w:sz w:val="28"/>
          <w:szCs w:val="28"/>
          <w:lang w:val="en-ZA"/>
        </w:rPr>
        <w:t xml:space="preserve">the </w:t>
      </w:r>
      <w:r w:rsidR="00070472" w:rsidRPr="007429EC">
        <w:rPr>
          <w:sz w:val="28"/>
          <w:szCs w:val="28"/>
          <w:lang w:val="en-ZA"/>
        </w:rPr>
        <w:t xml:space="preserve">delay </w:t>
      </w:r>
      <w:r w:rsidR="00585164" w:rsidRPr="007429EC">
        <w:rPr>
          <w:sz w:val="28"/>
          <w:szCs w:val="28"/>
          <w:lang w:val="en-ZA"/>
        </w:rPr>
        <w:t>in instituting the review proceedings is</w:t>
      </w:r>
      <w:r w:rsidR="00070472" w:rsidRPr="007429EC">
        <w:rPr>
          <w:sz w:val="28"/>
          <w:szCs w:val="28"/>
          <w:lang w:val="en-ZA"/>
        </w:rPr>
        <w:t xml:space="preserve"> concerned, </w:t>
      </w:r>
      <w:r w:rsidR="00070472" w:rsidRPr="007429EC">
        <w:rPr>
          <w:sz w:val="28"/>
          <w:szCs w:val="28"/>
          <w:lang w:val="en-ZA"/>
        </w:rPr>
        <w:lastRenderedPageBreak/>
        <w:t>upon which the review application faltered</w:t>
      </w:r>
      <w:r w:rsidR="00585164" w:rsidRPr="007429EC">
        <w:rPr>
          <w:sz w:val="28"/>
          <w:szCs w:val="28"/>
          <w:lang w:val="en-ZA"/>
        </w:rPr>
        <w:t xml:space="preserve"> in the high court</w:t>
      </w:r>
      <w:r w:rsidR="00070472" w:rsidRPr="007429EC">
        <w:rPr>
          <w:sz w:val="28"/>
          <w:szCs w:val="28"/>
          <w:lang w:val="en-ZA"/>
        </w:rPr>
        <w:t xml:space="preserve">, the </w:t>
      </w:r>
      <w:r w:rsidR="00173279" w:rsidRPr="007429EC">
        <w:rPr>
          <w:sz w:val="28"/>
          <w:szCs w:val="28"/>
          <w:lang w:val="en-ZA"/>
        </w:rPr>
        <w:t>edifice</w:t>
      </w:r>
      <w:r w:rsidR="00070472" w:rsidRPr="007429EC">
        <w:rPr>
          <w:sz w:val="28"/>
          <w:szCs w:val="28"/>
          <w:lang w:val="en-ZA"/>
        </w:rPr>
        <w:t xml:space="preserve"> of the </w:t>
      </w:r>
      <w:r w:rsidR="00D552DD" w:rsidRPr="007429EC">
        <w:rPr>
          <w:sz w:val="28"/>
          <w:szCs w:val="28"/>
          <w:lang w:val="en-ZA"/>
        </w:rPr>
        <w:t>g</w:t>
      </w:r>
      <w:r w:rsidR="00070472" w:rsidRPr="007429EC">
        <w:rPr>
          <w:sz w:val="28"/>
          <w:szCs w:val="28"/>
          <w:lang w:val="en-ZA"/>
        </w:rPr>
        <w:t>overnment parties</w:t>
      </w:r>
      <w:r w:rsidR="003B6577" w:rsidRPr="007429EC">
        <w:rPr>
          <w:sz w:val="28"/>
          <w:szCs w:val="28"/>
          <w:lang w:val="en-ZA"/>
        </w:rPr>
        <w:t>'</w:t>
      </w:r>
      <w:r w:rsidR="00070472" w:rsidRPr="007429EC">
        <w:rPr>
          <w:sz w:val="28"/>
          <w:szCs w:val="28"/>
          <w:lang w:val="en-ZA"/>
        </w:rPr>
        <w:t xml:space="preserve"> case </w:t>
      </w:r>
      <w:r w:rsidR="0043743A" w:rsidRPr="007429EC">
        <w:rPr>
          <w:sz w:val="28"/>
          <w:szCs w:val="28"/>
          <w:lang w:val="en-ZA"/>
        </w:rPr>
        <w:t>rested on three pillars</w:t>
      </w:r>
      <w:r w:rsidR="00070472" w:rsidRPr="007429EC">
        <w:rPr>
          <w:sz w:val="28"/>
          <w:szCs w:val="28"/>
          <w:lang w:val="en-ZA"/>
        </w:rPr>
        <w:t>. First</w:t>
      </w:r>
      <w:r w:rsidR="0011081A" w:rsidRPr="007429EC">
        <w:rPr>
          <w:sz w:val="28"/>
          <w:szCs w:val="28"/>
          <w:lang w:val="en-ZA"/>
        </w:rPr>
        <w:t>,</w:t>
      </w:r>
      <w:r w:rsidR="00070472" w:rsidRPr="007429EC">
        <w:rPr>
          <w:sz w:val="28"/>
          <w:szCs w:val="28"/>
          <w:lang w:val="en-ZA"/>
        </w:rPr>
        <w:t xml:space="preserve"> </w:t>
      </w:r>
      <w:r w:rsidR="00E84B5B" w:rsidRPr="007429EC">
        <w:rPr>
          <w:sz w:val="28"/>
          <w:szCs w:val="28"/>
          <w:lang w:val="en-ZA"/>
        </w:rPr>
        <w:t>it was argued that there was no delay, but if there was</w:t>
      </w:r>
      <w:r w:rsidR="0011081A" w:rsidRPr="007429EC">
        <w:rPr>
          <w:sz w:val="28"/>
          <w:szCs w:val="28"/>
          <w:lang w:val="en-ZA"/>
        </w:rPr>
        <w:t>,</w:t>
      </w:r>
      <w:r w:rsidR="00E84B5B" w:rsidRPr="007429EC">
        <w:rPr>
          <w:sz w:val="28"/>
          <w:szCs w:val="28"/>
          <w:lang w:val="en-ZA"/>
        </w:rPr>
        <w:t xml:space="preserve"> such delay was adequately explained</w:t>
      </w:r>
      <w:r w:rsidR="00A95263" w:rsidRPr="007429EC">
        <w:rPr>
          <w:sz w:val="28"/>
          <w:szCs w:val="28"/>
          <w:lang w:val="en-ZA"/>
        </w:rPr>
        <w:t>,</w:t>
      </w:r>
      <w:r w:rsidR="00E84B5B" w:rsidRPr="007429EC">
        <w:rPr>
          <w:sz w:val="28"/>
          <w:szCs w:val="28"/>
          <w:lang w:val="en-ZA"/>
        </w:rPr>
        <w:t xml:space="preserve"> and </w:t>
      </w:r>
      <w:r w:rsidR="0011081A" w:rsidRPr="007429EC">
        <w:rPr>
          <w:sz w:val="28"/>
          <w:szCs w:val="28"/>
          <w:lang w:val="en-ZA"/>
        </w:rPr>
        <w:t>in any event</w:t>
      </w:r>
      <w:r w:rsidR="00A95263" w:rsidRPr="007429EC">
        <w:rPr>
          <w:sz w:val="28"/>
          <w:szCs w:val="28"/>
          <w:lang w:val="en-ZA"/>
        </w:rPr>
        <w:t>,</w:t>
      </w:r>
      <w:r w:rsidR="0011081A" w:rsidRPr="007429EC">
        <w:rPr>
          <w:sz w:val="28"/>
          <w:szCs w:val="28"/>
          <w:lang w:val="en-ZA"/>
        </w:rPr>
        <w:t xml:space="preserve"> </w:t>
      </w:r>
      <w:r w:rsidR="00E84B5B" w:rsidRPr="007429EC">
        <w:rPr>
          <w:sz w:val="28"/>
          <w:szCs w:val="28"/>
          <w:lang w:val="en-ZA"/>
        </w:rPr>
        <w:t xml:space="preserve">not unreasonable. </w:t>
      </w:r>
      <w:r w:rsidR="00A95263" w:rsidRPr="007429EC">
        <w:rPr>
          <w:sz w:val="28"/>
          <w:szCs w:val="28"/>
          <w:lang w:val="en-ZA"/>
        </w:rPr>
        <w:t>In addition to this,</w:t>
      </w:r>
      <w:r w:rsidR="00E84B5B" w:rsidRPr="007429EC">
        <w:rPr>
          <w:sz w:val="28"/>
          <w:szCs w:val="28"/>
          <w:lang w:val="en-ZA"/>
        </w:rPr>
        <w:t xml:space="preserve"> </w:t>
      </w:r>
      <w:r w:rsidR="007276F9">
        <w:rPr>
          <w:sz w:val="28"/>
          <w:szCs w:val="28"/>
          <w:lang w:val="en-ZA"/>
        </w:rPr>
        <w:t xml:space="preserve">it was contended that </w:t>
      </w:r>
      <w:r w:rsidR="00E84B5B" w:rsidRPr="007429EC">
        <w:rPr>
          <w:sz w:val="28"/>
          <w:szCs w:val="28"/>
          <w:lang w:val="en-ZA"/>
        </w:rPr>
        <w:t>the high court</w:t>
      </w:r>
      <w:r w:rsidR="003B6577" w:rsidRPr="007429EC">
        <w:rPr>
          <w:sz w:val="28"/>
          <w:szCs w:val="28"/>
          <w:lang w:val="en-ZA"/>
        </w:rPr>
        <w:t>'</w:t>
      </w:r>
      <w:r w:rsidR="00E84B5B" w:rsidRPr="007429EC">
        <w:rPr>
          <w:sz w:val="28"/>
          <w:szCs w:val="28"/>
          <w:lang w:val="en-ZA"/>
        </w:rPr>
        <w:t xml:space="preserve">s decision to the contrary was due to a misconception of the true facts on its part. Lastly, the </w:t>
      </w:r>
      <w:r w:rsidR="00D552DD" w:rsidRPr="007429EC">
        <w:rPr>
          <w:sz w:val="28"/>
          <w:szCs w:val="28"/>
          <w:lang w:val="en-ZA"/>
        </w:rPr>
        <w:t>g</w:t>
      </w:r>
      <w:r w:rsidR="00E84B5B" w:rsidRPr="007429EC">
        <w:rPr>
          <w:sz w:val="28"/>
          <w:szCs w:val="28"/>
          <w:lang w:val="en-ZA"/>
        </w:rPr>
        <w:t>overnment parties submitted that the pervasive unlawfulness in the award of the tender in the first place and the subsequent conclusion of the PPA</w:t>
      </w:r>
      <w:r w:rsidR="00A95263" w:rsidRPr="007429EC">
        <w:rPr>
          <w:sz w:val="28"/>
          <w:szCs w:val="28"/>
          <w:lang w:val="en-ZA"/>
        </w:rPr>
        <w:t>,</w:t>
      </w:r>
      <w:r w:rsidR="00E84B5B" w:rsidRPr="007429EC">
        <w:rPr>
          <w:sz w:val="28"/>
          <w:szCs w:val="28"/>
          <w:lang w:val="en-ZA"/>
        </w:rPr>
        <w:t xml:space="preserve"> militated in favour of the delay being overlooked and for the review and setting aside of the award of the tender to follow as an inevitable consequence. </w:t>
      </w:r>
    </w:p>
    <w:p w14:paraId="2235A574" w14:textId="77777777" w:rsidR="00050890" w:rsidRPr="007429EC" w:rsidRDefault="00050890" w:rsidP="008532CF">
      <w:pPr>
        <w:rPr>
          <w:sz w:val="28"/>
          <w:szCs w:val="28"/>
          <w:lang w:val="en-ZA"/>
        </w:rPr>
      </w:pPr>
    </w:p>
    <w:p w14:paraId="7F192269" w14:textId="2A9235C0" w:rsidR="00050890" w:rsidRPr="007429EC" w:rsidRDefault="00050890" w:rsidP="008532CF">
      <w:pPr>
        <w:rPr>
          <w:sz w:val="28"/>
          <w:szCs w:val="28"/>
          <w:lang w:val="en-ZA"/>
        </w:rPr>
      </w:pPr>
      <w:r w:rsidRPr="007429EC">
        <w:rPr>
          <w:sz w:val="28"/>
          <w:szCs w:val="28"/>
          <w:lang w:val="en-ZA"/>
        </w:rPr>
        <w:t>[</w:t>
      </w:r>
      <w:r w:rsidR="004276FB" w:rsidRPr="007429EC">
        <w:rPr>
          <w:sz w:val="28"/>
          <w:szCs w:val="28"/>
          <w:lang w:val="en-ZA"/>
        </w:rPr>
        <w:t>34</w:t>
      </w:r>
      <w:r w:rsidRPr="007429EC">
        <w:rPr>
          <w:sz w:val="28"/>
          <w:szCs w:val="28"/>
          <w:lang w:val="en-ZA"/>
        </w:rPr>
        <w:t>]</w:t>
      </w:r>
      <w:r w:rsidRPr="007429EC">
        <w:rPr>
          <w:sz w:val="28"/>
          <w:szCs w:val="28"/>
          <w:lang w:val="en-ZA"/>
        </w:rPr>
        <w:tab/>
        <w:t xml:space="preserve">For its part, the Joint Venture contended that the non-suiting of the </w:t>
      </w:r>
      <w:r w:rsidR="00D552DD" w:rsidRPr="007429EC">
        <w:rPr>
          <w:sz w:val="28"/>
          <w:szCs w:val="28"/>
          <w:lang w:val="en-ZA"/>
        </w:rPr>
        <w:t>g</w:t>
      </w:r>
      <w:r w:rsidRPr="007429EC">
        <w:rPr>
          <w:sz w:val="28"/>
          <w:szCs w:val="28"/>
          <w:lang w:val="en-ZA"/>
        </w:rPr>
        <w:t>overnment parties solely on the basis</w:t>
      </w:r>
      <w:r w:rsidR="00CE6685" w:rsidRPr="007429EC">
        <w:rPr>
          <w:sz w:val="28"/>
          <w:szCs w:val="28"/>
          <w:lang w:val="en-ZA"/>
        </w:rPr>
        <w:t xml:space="preserve"> of</w:t>
      </w:r>
      <w:r w:rsidRPr="007429EC">
        <w:rPr>
          <w:sz w:val="28"/>
          <w:szCs w:val="28"/>
          <w:lang w:val="en-ZA"/>
        </w:rPr>
        <w:t xml:space="preserve"> delay is unassailable. With regard to the substantive merits of the review, the Joint Venture submitted that the contention that the </w:t>
      </w:r>
      <w:r w:rsidR="003B6577" w:rsidRPr="007429EC">
        <w:rPr>
          <w:sz w:val="28"/>
          <w:szCs w:val="28"/>
          <w:lang w:val="en-ZA"/>
        </w:rPr>
        <w:t>'</w:t>
      </w:r>
      <w:r w:rsidRPr="007429EC">
        <w:rPr>
          <w:sz w:val="28"/>
          <w:szCs w:val="28"/>
          <w:lang w:val="en-ZA"/>
        </w:rPr>
        <w:t>responsiveness criteria</w:t>
      </w:r>
      <w:r w:rsidR="003B6577" w:rsidRPr="007429EC">
        <w:rPr>
          <w:sz w:val="28"/>
          <w:szCs w:val="28"/>
          <w:lang w:val="en-ZA"/>
        </w:rPr>
        <w:t>'</w:t>
      </w:r>
      <w:r w:rsidRPr="007429EC">
        <w:rPr>
          <w:sz w:val="28"/>
          <w:szCs w:val="28"/>
          <w:lang w:val="en-ZA"/>
        </w:rPr>
        <w:t xml:space="preserve"> were not satisfied</w:t>
      </w:r>
      <w:r w:rsidR="0011081A" w:rsidRPr="007429EC">
        <w:rPr>
          <w:sz w:val="28"/>
          <w:szCs w:val="28"/>
          <w:lang w:val="en-ZA"/>
        </w:rPr>
        <w:t>,</w:t>
      </w:r>
      <w:r w:rsidRPr="007429EC">
        <w:rPr>
          <w:sz w:val="28"/>
          <w:szCs w:val="28"/>
          <w:lang w:val="en-ZA"/>
        </w:rPr>
        <w:t xml:space="preserve"> thus justifying the setting aside of the award on this basis</w:t>
      </w:r>
      <w:r w:rsidR="0011081A" w:rsidRPr="007429EC">
        <w:rPr>
          <w:sz w:val="28"/>
          <w:szCs w:val="28"/>
          <w:lang w:val="en-ZA"/>
        </w:rPr>
        <w:t>,</w:t>
      </w:r>
      <w:r w:rsidRPr="007429EC">
        <w:rPr>
          <w:sz w:val="28"/>
          <w:szCs w:val="28"/>
          <w:lang w:val="en-ZA"/>
        </w:rPr>
        <w:t xml:space="preserve"> </w:t>
      </w:r>
      <w:r w:rsidR="00F81C86" w:rsidRPr="007429EC">
        <w:rPr>
          <w:sz w:val="28"/>
          <w:szCs w:val="28"/>
          <w:lang w:val="en-ZA"/>
        </w:rPr>
        <w:t>has</w:t>
      </w:r>
      <w:r w:rsidRPr="007429EC">
        <w:rPr>
          <w:sz w:val="28"/>
          <w:szCs w:val="28"/>
          <w:lang w:val="en-ZA"/>
        </w:rPr>
        <w:t xml:space="preserve"> not been established on the papers. Counsel </w:t>
      </w:r>
      <w:r w:rsidR="00AE448F" w:rsidRPr="007429EC">
        <w:rPr>
          <w:sz w:val="28"/>
          <w:szCs w:val="28"/>
          <w:lang w:val="en-ZA"/>
        </w:rPr>
        <w:t>argued</w:t>
      </w:r>
      <w:r w:rsidRPr="007429EC">
        <w:rPr>
          <w:sz w:val="28"/>
          <w:szCs w:val="28"/>
          <w:lang w:val="en-ZA"/>
        </w:rPr>
        <w:t xml:space="preserve"> that eve</w:t>
      </w:r>
      <w:r w:rsidR="00084E33" w:rsidRPr="007429EC">
        <w:rPr>
          <w:sz w:val="28"/>
          <w:szCs w:val="28"/>
          <w:lang w:val="en-ZA"/>
        </w:rPr>
        <w:t>n if they were established, thes</w:t>
      </w:r>
      <w:r w:rsidRPr="007429EC">
        <w:rPr>
          <w:sz w:val="28"/>
          <w:szCs w:val="28"/>
          <w:lang w:val="en-ZA"/>
        </w:rPr>
        <w:t>e were neither material nor</w:t>
      </w:r>
      <w:r w:rsidR="0011081A" w:rsidRPr="007429EC">
        <w:rPr>
          <w:sz w:val="28"/>
          <w:szCs w:val="28"/>
          <w:lang w:val="en-ZA"/>
        </w:rPr>
        <w:t xml:space="preserve"> did they</w:t>
      </w:r>
      <w:r w:rsidRPr="007429EC">
        <w:rPr>
          <w:sz w:val="28"/>
          <w:szCs w:val="28"/>
          <w:lang w:val="en-ZA"/>
        </w:rPr>
        <w:t xml:space="preserve"> occasion any prejudice to the Department and therefore cannot provide a basis for the award of the tender to be set aside.</w:t>
      </w:r>
    </w:p>
    <w:p w14:paraId="31728D36" w14:textId="77777777" w:rsidR="00050890" w:rsidRPr="007429EC" w:rsidRDefault="00050890" w:rsidP="008532CF">
      <w:pPr>
        <w:rPr>
          <w:sz w:val="28"/>
          <w:szCs w:val="28"/>
          <w:lang w:val="en-ZA"/>
        </w:rPr>
      </w:pPr>
    </w:p>
    <w:p w14:paraId="2BA2F1C7" w14:textId="35B7A0FA" w:rsidR="00A73BC1" w:rsidRPr="007429EC" w:rsidRDefault="00050890" w:rsidP="008532CF">
      <w:pPr>
        <w:rPr>
          <w:sz w:val="28"/>
          <w:szCs w:val="28"/>
          <w:lang w:val="en-ZA"/>
        </w:rPr>
      </w:pPr>
      <w:r w:rsidRPr="007429EC">
        <w:rPr>
          <w:sz w:val="28"/>
          <w:szCs w:val="28"/>
          <w:lang w:val="en-ZA"/>
        </w:rPr>
        <w:t>[</w:t>
      </w:r>
      <w:r w:rsidR="0028224B" w:rsidRPr="007429EC">
        <w:rPr>
          <w:sz w:val="28"/>
          <w:szCs w:val="28"/>
          <w:lang w:val="en-ZA"/>
        </w:rPr>
        <w:t>35</w:t>
      </w:r>
      <w:r w:rsidRPr="007429EC">
        <w:rPr>
          <w:sz w:val="28"/>
          <w:szCs w:val="28"/>
          <w:lang w:val="en-ZA"/>
        </w:rPr>
        <w:t>]</w:t>
      </w:r>
      <w:r w:rsidRPr="007429EC">
        <w:rPr>
          <w:sz w:val="28"/>
          <w:szCs w:val="28"/>
          <w:lang w:val="en-ZA"/>
        </w:rPr>
        <w:tab/>
        <w:t xml:space="preserve">It was further submitted on behalf of the Joint Venture that the conclusion of the PPA bore no relevance to the award of the tender </w:t>
      </w:r>
      <w:r w:rsidR="0028224B" w:rsidRPr="007429EC">
        <w:rPr>
          <w:sz w:val="28"/>
          <w:szCs w:val="28"/>
          <w:lang w:val="en-ZA"/>
        </w:rPr>
        <w:t>a</w:t>
      </w:r>
      <w:r w:rsidRPr="007429EC">
        <w:rPr>
          <w:sz w:val="28"/>
          <w:szCs w:val="28"/>
          <w:lang w:val="en-ZA"/>
        </w:rPr>
        <w:t>nd that</w:t>
      </w:r>
      <w:r w:rsidR="0028224B" w:rsidRPr="007429EC">
        <w:rPr>
          <w:sz w:val="28"/>
          <w:szCs w:val="28"/>
          <w:lang w:val="en-ZA"/>
        </w:rPr>
        <w:t>,</w:t>
      </w:r>
      <w:r w:rsidRPr="007429EC">
        <w:rPr>
          <w:sz w:val="28"/>
          <w:szCs w:val="28"/>
          <w:lang w:val="en-ZA"/>
        </w:rPr>
        <w:t xml:space="preserve"> in any event</w:t>
      </w:r>
      <w:r w:rsidR="0028224B" w:rsidRPr="007429EC">
        <w:rPr>
          <w:sz w:val="28"/>
          <w:szCs w:val="28"/>
          <w:lang w:val="en-ZA"/>
        </w:rPr>
        <w:t>,</w:t>
      </w:r>
      <w:r w:rsidRPr="007429EC">
        <w:rPr>
          <w:sz w:val="28"/>
          <w:szCs w:val="28"/>
          <w:lang w:val="en-ZA"/>
        </w:rPr>
        <w:t xml:space="preserve"> the financial contribution by the Government to the acquisition of the land as envisaged in the PP</w:t>
      </w:r>
      <w:r w:rsidR="00A435C9" w:rsidRPr="007429EC">
        <w:rPr>
          <w:sz w:val="28"/>
          <w:szCs w:val="28"/>
          <w:lang w:val="en-ZA"/>
        </w:rPr>
        <w:t>A was not pr</w:t>
      </w:r>
      <w:r w:rsidR="0011081A" w:rsidRPr="007429EC">
        <w:rPr>
          <w:sz w:val="28"/>
          <w:szCs w:val="28"/>
          <w:lang w:val="en-ZA"/>
        </w:rPr>
        <w:t>o</w:t>
      </w:r>
      <w:r w:rsidR="00A435C9" w:rsidRPr="007429EC">
        <w:rPr>
          <w:sz w:val="28"/>
          <w:szCs w:val="28"/>
          <w:lang w:val="en-ZA"/>
        </w:rPr>
        <w:t>scribed by the RFP</w:t>
      </w:r>
      <w:r w:rsidR="004B6D5A" w:rsidRPr="007429EC">
        <w:rPr>
          <w:sz w:val="28"/>
          <w:szCs w:val="28"/>
          <w:lang w:val="en-ZA"/>
        </w:rPr>
        <w:t>s</w:t>
      </w:r>
      <w:r w:rsidRPr="007429EC">
        <w:rPr>
          <w:sz w:val="28"/>
          <w:szCs w:val="28"/>
          <w:lang w:val="en-ZA"/>
        </w:rPr>
        <w:t xml:space="preserve">. </w:t>
      </w:r>
      <w:r w:rsidR="00A73BC1" w:rsidRPr="007429EC">
        <w:rPr>
          <w:sz w:val="28"/>
          <w:szCs w:val="28"/>
          <w:lang w:val="en-ZA"/>
        </w:rPr>
        <w:t>Accordingly, this case requires this Court to determine first and foremost whether there was any non-compliance w</w:t>
      </w:r>
      <w:r w:rsidR="00A435C9" w:rsidRPr="007429EC">
        <w:rPr>
          <w:sz w:val="28"/>
          <w:szCs w:val="28"/>
          <w:lang w:val="en-ZA"/>
        </w:rPr>
        <w:t>ith the requirements of the RFP</w:t>
      </w:r>
      <w:r w:rsidR="004B6D5A" w:rsidRPr="007429EC">
        <w:rPr>
          <w:sz w:val="28"/>
          <w:szCs w:val="28"/>
          <w:lang w:val="en-ZA"/>
        </w:rPr>
        <w:t>s</w:t>
      </w:r>
      <w:r w:rsidR="00A73BC1" w:rsidRPr="007429EC">
        <w:rPr>
          <w:sz w:val="28"/>
          <w:szCs w:val="28"/>
          <w:lang w:val="en-ZA"/>
        </w:rPr>
        <w:t>. If so, whether</w:t>
      </w:r>
      <w:r w:rsidR="00BF0FFA" w:rsidRPr="007429EC">
        <w:rPr>
          <w:sz w:val="28"/>
          <w:szCs w:val="28"/>
          <w:lang w:val="en-ZA"/>
        </w:rPr>
        <w:t>, once established, such</w:t>
      </w:r>
      <w:r w:rsidR="00A73BC1" w:rsidRPr="007429EC">
        <w:rPr>
          <w:sz w:val="28"/>
          <w:szCs w:val="28"/>
          <w:lang w:val="en-ZA"/>
        </w:rPr>
        <w:t xml:space="preserve"> non-compliance with the tender requirements as required by the law was material. Of course, the </w:t>
      </w:r>
      <w:r w:rsidR="00A73BC1" w:rsidRPr="007429EC">
        <w:rPr>
          <w:sz w:val="28"/>
          <w:szCs w:val="28"/>
          <w:lang w:val="en-ZA"/>
        </w:rPr>
        <w:lastRenderedPageBreak/>
        <w:t>constitutional and legislative procurement framework and prescripts will be central to the determination of the dispute between the protagonists in this litigation.</w:t>
      </w:r>
    </w:p>
    <w:p w14:paraId="6CBE890F" w14:textId="77777777" w:rsidR="00A73BC1" w:rsidRPr="007429EC" w:rsidRDefault="00A73BC1" w:rsidP="008532CF">
      <w:pPr>
        <w:rPr>
          <w:sz w:val="28"/>
          <w:szCs w:val="28"/>
          <w:lang w:val="en-ZA"/>
        </w:rPr>
      </w:pPr>
    </w:p>
    <w:p w14:paraId="5A971E75" w14:textId="44AC8FA9" w:rsidR="00A73BC1" w:rsidRPr="007429EC" w:rsidRDefault="00A73BC1" w:rsidP="008532CF">
      <w:pPr>
        <w:rPr>
          <w:b/>
          <w:sz w:val="28"/>
          <w:szCs w:val="28"/>
          <w:lang w:val="en-ZA"/>
        </w:rPr>
      </w:pPr>
      <w:r w:rsidRPr="007429EC">
        <w:rPr>
          <w:b/>
          <w:sz w:val="28"/>
          <w:szCs w:val="28"/>
          <w:lang w:val="en-ZA"/>
        </w:rPr>
        <w:t>Constitutional framework</w:t>
      </w:r>
    </w:p>
    <w:p w14:paraId="76F92A23" w14:textId="4290BC5E" w:rsidR="00A73BC1" w:rsidRPr="007429EC" w:rsidRDefault="00A73BC1" w:rsidP="008532CF">
      <w:pPr>
        <w:rPr>
          <w:sz w:val="28"/>
          <w:szCs w:val="28"/>
          <w:lang w:val="en-ZA"/>
        </w:rPr>
      </w:pPr>
      <w:r w:rsidRPr="007429EC">
        <w:rPr>
          <w:sz w:val="28"/>
          <w:szCs w:val="28"/>
          <w:lang w:val="en-ZA"/>
        </w:rPr>
        <w:t>[</w:t>
      </w:r>
      <w:r w:rsidR="0028224B" w:rsidRPr="007429EC">
        <w:rPr>
          <w:sz w:val="28"/>
          <w:szCs w:val="28"/>
          <w:lang w:val="en-ZA"/>
        </w:rPr>
        <w:t>36</w:t>
      </w:r>
      <w:r w:rsidRPr="007429EC">
        <w:rPr>
          <w:sz w:val="28"/>
          <w:szCs w:val="28"/>
          <w:lang w:val="en-ZA"/>
        </w:rPr>
        <w:t>]</w:t>
      </w:r>
      <w:r w:rsidRPr="007429EC">
        <w:rPr>
          <w:sz w:val="28"/>
          <w:szCs w:val="28"/>
          <w:lang w:val="en-ZA"/>
        </w:rPr>
        <w:tab/>
      </w:r>
      <w:r w:rsidR="000707C5" w:rsidRPr="007429EC">
        <w:rPr>
          <w:sz w:val="28"/>
          <w:szCs w:val="28"/>
          <w:lang w:val="en-ZA"/>
        </w:rPr>
        <w:t xml:space="preserve">The logical point of departure in a case such as this </w:t>
      </w:r>
      <w:r w:rsidR="002A2F59" w:rsidRPr="007429EC">
        <w:rPr>
          <w:sz w:val="28"/>
          <w:szCs w:val="28"/>
          <w:lang w:val="en-ZA"/>
        </w:rPr>
        <w:t xml:space="preserve">is </w:t>
      </w:r>
      <w:r w:rsidR="000707C5" w:rsidRPr="007429EC">
        <w:rPr>
          <w:sz w:val="28"/>
          <w:szCs w:val="28"/>
          <w:lang w:val="en-ZA"/>
        </w:rPr>
        <w:t>of course s 217 of the Constitution itself. The section provides:</w:t>
      </w:r>
    </w:p>
    <w:p w14:paraId="35C4BC3E" w14:textId="466DF945" w:rsidR="007D7BF4" w:rsidRPr="007429EC" w:rsidRDefault="003B6577" w:rsidP="007D7BF4">
      <w:pPr>
        <w:ind w:left="720" w:hanging="720"/>
        <w:rPr>
          <w:szCs w:val="28"/>
          <w:lang w:val="en-ZA"/>
        </w:rPr>
      </w:pPr>
      <w:r w:rsidRPr="007429EC">
        <w:rPr>
          <w:szCs w:val="28"/>
          <w:lang w:val="en-ZA"/>
        </w:rPr>
        <w:t>'</w:t>
      </w:r>
      <w:r w:rsidR="007D7BF4" w:rsidRPr="007429EC">
        <w:rPr>
          <w:szCs w:val="28"/>
          <w:lang w:val="en-ZA"/>
        </w:rPr>
        <w:t>(1)</w:t>
      </w:r>
      <w:r w:rsidR="007D7BF4" w:rsidRPr="007429EC">
        <w:rPr>
          <w:szCs w:val="28"/>
          <w:lang w:val="en-ZA"/>
        </w:rPr>
        <w:tab/>
      </w:r>
      <w:r w:rsidR="000707C5" w:rsidRPr="007429EC">
        <w:rPr>
          <w:szCs w:val="28"/>
          <w:lang w:val="en-ZA"/>
        </w:rPr>
        <w:t>When an organ of state in the national, provincial or local sphere of government,</w:t>
      </w:r>
      <w:r w:rsidR="007D7BF4" w:rsidRPr="007429EC">
        <w:rPr>
          <w:szCs w:val="28"/>
          <w:lang w:val="en-ZA"/>
        </w:rPr>
        <w:t xml:space="preserve"> </w:t>
      </w:r>
      <w:r w:rsidR="000707C5" w:rsidRPr="007429EC">
        <w:rPr>
          <w:szCs w:val="28"/>
          <w:lang w:val="en-ZA"/>
        </w:rPr>
        <w:t>or any other institution identified in national legislation, contracts for goods</w:t>
      </w:r>
      <w:r w:rsidR="007D7BF4" w:rsidRPr="007429EC">
        <w:rPr>
          <w:szCs w:val="28"/>
          <w:lang w:val="en-ZA"/>
        </w:rPr>
        <w:t xml:space="preserve"> </w:t>
      </w:r>
      <w:r w:rsidR="000707C5" w:rsidRPr="007429EC">
        <w:rPr>
          <w:szCs w:val="28"/>
          <w:lang w:val="en-ZA"/>
        </w:rPr>
        <w:t>or services, it must do so in accordance with a system which is fair, equitable,</w:t>
      </w:r>
      <w:r w:rsidR="007D7BF4" w:rsidRPr="007429EC">
        <w:rPr>
          <w:szCs w:val="28"/>
          <w:lang w:val="en-ZA"/>
        </w:rPr>
        <w:t xml:space="preserve"> </w:t>
      </w:r>
      <w:r w:rsidR="000707C5" w:rsidRPr="007429EC">
        <w:rPr>
          <w:szCs w:val="28"/>
          <w:lang w:val="en-ZA"/>
        </w:rPr>
        <w:t>transparent, competitive and cost-eff</w:t>
      </w:r>
      <w:r w:rsidR="007D7BF4" w:rsidRPr="007429EC">
        <w:rPr>
          <w:szCs w:val="28"/>
          <w:lang w:val="en-ZA"/>
        </w:rPr>
        <w:t xml:space="preserve">ective. </w:t>
      </w:r>
    </w:p>
    <w:p w14:paraId="76344282" w14:textId="5C352F7F" w:rsidR="007D7BF4" w:rsidRPr="007429EC" w:rsidRDefault="007D7BF4" w:rsidP="007D7BF4">
      <w:pPr>
        <w:ind w:left="720" w:hanging="720"/>
        <w:rPr>
          <w:szCs w:val="28"/>
          <w:lang w:val="en-ZA"/>
        </w:rPr>
      </w:pPr>
      <w:r w:rsidRPr="007429EC">
        <w:rPr>
          <w:szCs w:val="28"/>
          <w:lang w:val="en-ZA"/>
        </w:rPr>
        <w:t>(2)</w:t>
      </w:r>
      <w:r w:rsidRPr="007429EC">
        <w:rPr>
          <w:szCs w:val="28"/>
          <w:lang w:val="en-ZA"/>
        </w:rPr>
        <w:tab/>
        <w:t>Subsection (1) does not prevent the organs of state or institutions referred to in that subsection from implementing a procurement policy providing for—</w:t>
      </w:r>
    </w:p>
    <w:p w14:paraId="4DE87BDF" w14:textId="77777777" w:rsidR="007D7BF4" w:rsidRPr="007429EC" w:rsidRDefault="007D7BF4" w:rsidP="007D7BF4">
      <w:pPr>
        <w:ind w:firstLine="720"/>
        <w:rPr>
          <w:szCs w:val="28"/>
          <w:lang w:val="en-ZA"/>
        </w:rPr>
      </w:pPr>
      <w:r w:rsidRPr="007429EC">
        <w:rPr>
          <w:szCs w:val="28"/>
          <w:lang w:val="en-ZA"/>
        </w:rPr>
        <w:t>(a) categories of preference in the allocation of contracts; and</w:t>
      </w:r>
    </w:p>
    <w:p w14:paraId="6EC768B5" w14:textId="4FC15935" w:rsidR="007D7BF4" w:rsidRPr="007429EC" w:rsidRDefault="007D7BF4" w:rsidP="007D7BF4">
      <w:pPr>
        <w:ind w:left="720"/>
        <w:rPr>
          <w:szCs w:val="28"/>
          <w:lang w:val="en-ZA"/>
        </w:rPr>
      </w:pPr>
      <w:r w:rsidRPr="007429EC">
        <w:rPr>
          <w:szCs w:val="28"/>
          <w:lang w:val="en-ZA"/>
        </w:rPr>
        <w:t>(b) the protection or advancement of persons, or categories of persons, disadvantaged by unfair discrimination.</w:t>
      </w:r>
    </w:p>
    <w:p w14:paraId="7C01D1C6" w14:textId="04DDED11" w:rsidR="000707C5" w:rsidRPr="007429EC" w:rsidRDefault="007D7BF4" w:rsidP="007D7BF4">
      <w:pPr>
        <w:ind w:left="720" w:hanging="720"/>
        <w:rPr>
          <w:szCs w:val="28"/>
          <w:lang w:val="en-ZA"/>
        </w:rPr>
      </w:pPr>
      <w:r w:rsidRPr="007429EC">
        <w:rPr>
          <w:szCs w:val="28"/>
          <w:lang w:val="en-ZA"/>
        </w:rPr>
        <w:t>(3)</w:t>
      </w:r>
      <w:r w:rsidRPr="007429EC">
        <w:rPr>
          <w:szCs w:val="28"/>
          <w:lang w:val="en-ZA"/>
        </w:rPr>
        <w:tab/>
        <w:t>National legislation must prescribe a framework within which the policy referred to in subs</w:t>
      </w:r>
      <w:r w:rsidR="0043743A" w:rsidRPr="007429EC">
        <w:rPr>
          <w:szCs w:val="28"/>
          <w:lang w:val="en-ZA"/>
        </w:rPr>
        <w:t>ection (2) must be implemented.</w:t>
      </w:r>
    </w:p>
    <w:p w14:paraId="03C4160A" w14:textId="77777777" w:rsidR="007D7BF4" w:rsidRPr="007429EC" w:rsidRDefault="007D7BF4" w:rsidP="000707C5">
      <w:pPr>
        <w:rPr>
          <w:sz w:val="28"/>
          <w:szCs w:val="28"/>
          <w:lang w:val="en-ZA"/>
        </w:rPr>
      </w:pPr>
    </w:p>
    <w:p w14:paraId="78B724F5" w14:textId="2211F52A" w:rsidR="007D7BF4" w:rsidRPr="007429EC" w:rsidRDefault="007D7BF4" w:rsidP="000707C5">
      <w:pPr>
        <w:rPr>
          <w:sz w:val="28"/>
          <w:szCs w:val="28"/>
          <w:lang w:val="en-ZA"/>
        </w:rPr>
      </w:pPr>
      <w:r w:rsidRPr="007429EC">
        <w:rPr>
          <w:b/>
          <w:sz w:val="28"/>
          <w:szCs w:val="28"/>
          <w:lang w:val="en-ZA"/>
        </w:rPr>
        <w:t>Statutory framework</w:t>
      </w:r>
    </w:p>
    <w:p w14:paraId="25F722A7" w14:textId="01C6011D" w:rsidR="007D7BF4" w:rsidRPr="007429EC" w:rsidRDefault="007D7BF4" w:rsidP="000707C5">
      <w:pPr>
        <w:rPr>
          <w:sz w:val="28"/>
          <w:szCs w:val="28"/>
          <w:lang w:val="en-ZA"/>
        </w:rPr>
      </w:pPr>
      <w:r w:rsidRPr="007429EC">
        <w:rPr>
          <w:sz w:val="28"/>
          <w:szCs w:val="28"/>
          <w:lang w:val="en-ZA"/>
        </w:rPr>
        <w:t>[</w:t>
      </w:r>
      <w:r w:rsidR="008C454C" w:rsidRPr="007429EC">
        <w:rPr>
          <w:sz w:val="28"/>
          <w:szCs w:val="28"/>
          <w:lang w:val="en-ZA"/>
        </w:rPr>
        <w:t>37</w:t>
      </w:r>
      <w:r w:rsidRPr="007429EC">
        <w:rPr>
          <w:sz w:val="28"/>
          <w:szCs w:val="28"/>
          <w:lang w:val="en-ZA"/>
        </w:rPr>
        <w:t>]</w:t>
      </w:r>
      <w:r w:rsidRPr="007429EC">
        <w:rPr>
          <w:sz w:val="28"/>
          <w:szCs w:val="28"/>
          <w:lang w:val="en-ZA"/>
        </w:rPr>
        <w:tab/>
      </w:r>
      <w:r w:rsidR="00C2492B" w:rsidRPr="007429EC">
        <w:rPr>
          <w:sz w:val="28"/>
          <w:szCs w:val="28"/>
          <w:lang w:val="en-ZA"/>
        </w:rPr>
        <w:t>The most relevant legislation in the context of the facts of this case is the PFMA</w:t>
      </w:r>
      <w:r w:rsidR="003F2120" w:rsidRPr="007429EC">
        <w:rPr>
          <w:sz w:val="28"/>
          <w:szCs w:val="28"/>
          <w:lang w:val="en-ZA"/>
        </w:rPr>
        <w:t>.</w:t>
      </w:r>
      <w:r w:rsidR="00C2492B" w:rsidRPr="007429EC">
        <w:rPr>
          <w:sz w:val="28"/>
          <w:szCs w:val="28"/>
          <w:lang w:val="en-ZA"/>
        </w:rPr>
        <w:t xml:space="preserve"> </w:t>
      </w:r>
      <w:r w:rsidR="003F2120" w:rsidRPr="007429EC">
        <w:rPr>
          <w:sz w:val="28"/>
          <w:szCs w:val="28"/>
          <w:lang w:val="en-ZA"/>
        </w:rPr>
        <w:t xml:space="preserve">According to its Preamble, </w:t>
      </w:r>
      <w:r w:rsidR="00317D0A" w:rsidRPr="007429EC">
        <w:rPr>
          <w:sz w:val="28"/>
          <w:szCs w:val="28"/>
          <w:lang w:val="en-ZA"/>
        </w:rPr>
        <w:t xml:space="preserve">the PFMA seeks, inter alia, to </w:t>
      </w:r>
      <w:r w:rsidR="003B6577" w:rsidRPr="007429EC">
        <w:rPr>
          <w:sz w:val="28"/>
          <w:szCs w:val="28"/>
          <w:lang w:val="en-ZA"/>
        </w:rPr>
        <w:t>'</w:t>
      </w:r>
      <w:r w:rsidR="003F2120" w:rsidRPr="007429EC">
        <w:rPr>
          <w:sz w:val="28"/>
          <w:szCs w:val="28"/>
          <w:lang w:val="en-ZA"/>
        </w:rPr>
        <w:t xml:space="preserve">regulate financial management in the national and provincial governments; to ensure that all revenue, expenditure, assets and liabilities of those governments are managed </w:t>
      </w:r>
      <w:r w:rsidR="00317D0A" w:rsidRPr="007429EC">
        <w:rPr>
          <w:sz w:val="28"/>
          <w:szCs w:val="28"/>
          <w:lang w:val="en-ZA"/>
        </w:rPr>
        <w:t>efficiently and effectively</w:t>
      </w:r>
      <w:r w:rsidR="003B6577" w:rsidRPr="007429EC">
        <w:rPr>
          <w:sz w:val="28"/>
          <w:szCs w:val="28"/>
          <w:lang w:val="en-ZA"/>
        </w:rPr>
        <w:t>'</w:t>
      </w:r>
      <w:r w:rsidR="00156805" w:rsidRPr="007429EC">
        <w:rPr>
          <w:sz w:val="28"/>
          <w:szCs w:val="28"/>
          <w:lang w:val="en-ZA"/>
        </w:rPr>
        <w:t xml:space="preserve">. The object of the PFMA is set out in s 2 thereof. It is </w:t>
      </w:r>
      <w:r w:rsidR="003B6577" w:rsidRPr="007429EC">
        <w:rPr>
          <w:sz w:val="28"/>
          <w:szCs w:val="28"/>
          <w:lang w:val="en-ZA"/>
        </w:rPr>
        <w:t>'</w:t>
      </w:r>
      <w:r w:rsidR="00156805" w:rsidRPr="007429EC">
        <w:rPr>
          <w:sz w:val="28"/>
          <w:szCs w:val="28"/>
          <w:lang w:val="en-ZA"/>
        </w:rPr>
        <w:t>to secure transparency, accountability, and sound management of revenue, expenditure, assets and liabilities of the institutions</w:t>
      </w:r>
      <w:r w:rsidR="00156805" w:rsidRPr="007429EC">
        <w:rPr>
          <w:rStyle w:val="FootnoteReference"/>
          <w:sz w:val="28"/>
          <w:szCs w:val="28"/>
          <w:lang w:val="en-ZA"/>
        </w:rPr>
        <w:footnoteReference w:id="16"/>
      </w:r>
      <w:r w:rsidR="00156805" w:rsidRPr="007429EC">
        <w:rPr>
          <w:sz w:val="28"/>
          <w:szCs w:val="28"/>
          <w:lang w:val="en-ZA"/>
        </w:rPr>
        <w:t xml:space="preserve"> to which [the PFMA] app</w:t>
      </w:r>
      <w:r w:rsidR="00317D0A" w:rsidRPr="007429EC">
        <w:rPr>
          <w:sz w:val="28"/>
          <w:szCs w:val="28"/>
          <w:lang w:val="en-ZA"/>
        </w:rPr>
        <w:t>lies</w:t>
      </w:r>
      <w:r w:rsidR="003B6577" w:rsidRPr="007429EC">
        <w:rPr>
          <w:sz w:val="28"/>
          <w:szCs w:val="28"/>
          <w:lang w:val="en-ZA"/>
        </w:rPr>
        <w:t>'</w:t>
      </w:r>
      <w:r w:rsidR="00156805" w:rsidRPr="007429EC">
        <w:rPr>
          <w:sz w:val="28"/>
          <w:szCs w:val="28"/>
          <w:lang w:val="en-ZA"/>
        </w:rPr>
        <w:t>. In addition</w:t>
      </w:r>
      <w:r w:rsidR="0011081A" w:rsidRPr="007429EC">
        <w:rPr>
          <w:sz w:val="28"/>
          <w:szCs w:val="28"/>
          <w:lang w:val="en-ZA"/>
        </w:rPr>
        <w:t>,</w:t>
      </w:r>
      <w:r w:rsidR="00156805" w:rsidRPr="007429EC">
        <w:rPr>
          <w:sz w:val="28"/>
          <w:szCs w:val="28"/>
          <w:lang w:val="en-ZA"/>
        </w:rPr>
        <w:t xml:space="preserve"> </w:t>
      </w:r>
      <w:r w:rsidR="00156805" w:rsidRPr="007429EC">
        <w:rPr>
          <w:sz w:val="28"/>
          <w:szCs w:val="28"/>
          <w:lang w:val="en-ZA"/>
        </w:rPr>
        <w:lastRenderedPageBreak/>
        <w:t>s</w:t>
      </w:r>
      <w:r w:rsidR="009E0161" w:rsidRPr="007429EC">
        <w:rPr>
          <w:sz w:val="28"/>
          <w:szCs w:val="28"/>
          <w:lang w:val="en-ZA"/>
        </w:rPr>
        <w:t> </w:t>
      </w:r>
      <w:r w:rsidR="00156805" w:rsidRPr="007429EC">
        <w:rPr>
          <w:sz w:val="28"/>
          <w:szCs w:val="28"/>
          <w:lang w:val="en-ZA"/>
        </w:rPr>
        <w:t>51(1)</w:t>
      </w:r>
      <w:r w:rsidR="00156805" w:rsidRPr="007429EC">
        <w:rPr>
          <w:i/>
          <w:sz w:val="28"/>
          <w:szCs w:val="28"/>
          <w:lang w:val="en-ZA"/>
        </w:rPr>
        <w:t>(a)</w:t>
      </w:r>
      <w:r w:rsidR="008E5523" w:rsidRPr="007429EC">
        <w:rPr>
          <w:sz w:val="28"/>
          <w:szCs w:val="28"/>
          <w:lang w:val="en-ZA"/>
        </w:rPr>
        <w:t>(iii)</w:t>
      </w:r>
      <w:r w:rsidR="00156805" w:rsidRPr="007429EC">
        <w:rPr>
          <w:sz w:val="28"/>
          <w:szCs w:val="28"/>
          <w:lang w:val="en-ZA"/>
        </w:rPr>
        <w:t xml:space="preserve"> of the PFMA requires that an accounting authority for a depar</w:t>
      </w:r>
      <w:r w:rsidR="00317D0A" w:rsidRPr="007429EC">
        <w:rPr>
          <w:sz w:val="28"/>
          <w:szCs w:val="28"/>
          <w:lang w:val="en-ZA"/>
        </w:rPr>
        <w:t xml:space="preserve">tment must ensure and maintain </w:t>
      </w:r>
      <w:r w:rsidR="003B6577" w:rsidRPr="007429EC">
        <w:rPr>
          <w:sz w:val="28"/>
          <w:szCs w:val="28"/>
          <w:lang w:val="en-ZA"/>
        </w:rPr>
        <w:t>'</w:t>
      </w:r>
      <w:r w:rsidR="00156805" w:rsidRPr="007429EC">
        <w:rPr>
          <w:sz w:val="28"/>
          <w:szCs w:val="28"/>
          <w:lang w:val="en-ZA"/>
        </w:rPr>
        <w:t>an appropriate procurement and provisioning system which is fair, equitable, transparent, co</w:t>
      </w:r>
      <w:r w:rsidR="008E5523" w:rsidRPr="007429EC">
        <w:rPr>
          <w:sz w:val="28"/>
          <w:szCs w:val="28"/>
          <w:lang w:val="en-ZA"/>
        </w:rPr>
        <w:t>mpetitive and cost effective'.</w:t>
      </w:r>
    </w:p>
    <w:p w14:paraId="4275EE20" w14:textId="77777777" w:rsidR="00C17DDC" w:rsidRPr="007429EC" w:rsidRDefault="00C17DDC" w:rsidP="000707C5">
      <w:pPr>
        <w:rPr>
          <w:sz w:val="28"/>
          <w:szCs w:val="28"/>
          <w:lang w:val="en-ZA"/>
        </w:rPr>
      </w:pPr>
    </w:p>
    <w:p w14:paraId="413D25F4" w14:textId="4B60E100" w:rsidR="00C17DDC" w:rsidRPr="007429EC" w:rsidRDefault="00C17DDC" w:rsidP="000707C5">
      <w:pPr>
        <w:rPr>
          <w:sz w:val="28"/>
          <w:szCs w:val="28"/>
          <w:lang w:val="en-ZA"/>
        </w:rPr>
      </w:pPr>
      <w:r w:rsidRPr="007429EC">
        <w:rPr>
          <w:b/>
          <w:sz w:val="28"/>
          <w:szCs w:val="28"/>
          <w:lang w:val="en-ZA"/>
        </w:rPr>
        <w:t>Legal approach</w:t>
      </w:r>
    </w:p>
    <w:p w14:paraId="1A96C6E7" w14:textId="70FC83E8" w:rsidR="00A70EB6" w:rsidRPr="007429EC" w:rsidRDefault="00C17DDC" w:rsidP="000707C5">
      <w:pPr>
        <w:rPr>
          <w:sz w:val="28"/>
          <w:szCs w:val="28"/>
          <w:lang w:val="en-ZA"/>
        </w:rPr>
      </w:pPr>
      <w:r w:rsidRPr="007429EC">
        <w:rPr>
          <w:sz w:val="28"/>
          <w:szCs w:val="28"/>
          <w:lang w:val="en-ZA"/>
        </w:rPr>
        <w:t>[</w:t>
      </w:r>
      <w:r w:rsidR="008E5523" w:rsidRPr="007429EC">
        <w:rPr>
          <w:sz w:val="28"/>
          <w:szCs w:val="28"/>
          <w:lang w:val="en-ZA"/>
        </w:rPr>
        <w:t>38</w:t>
      </w:r>
      <w:r w:rsidRPr="007429EC">
        <w:rPr>
          <w:sz w:val="28"/>
          <w:szCs w:val="28"/>
          <w:lang w:val="en-ZA"/>
        </w:rPr>
        <w:t>]</w:t>
      </w:r>
      <w:r w:rsidRPr="007429EC">
        <w:rPr>
          <w:sz w:val="28"/>
          <w:szCs w:val="28"/>
          <w:lang w:val="en-ZA"/>
        </w:rPr>
        <w:tab/>
        <w:t xml:space="preserve">It is apposite </w:t>
      </w:r>
      <w:r w:rsidR="00317D0A" w:rsidRPr="007429EC">
        <w:rPr>
          <w:sz w:val="28"/>
          <w:szCs w:val="28"/>
          <w:lang w:val="en-ZA"/>
        </w:rPr>
        <w:t xml:space="preserve">at this </w:t>
      </w:r>
      <w:r w:rsidR="008E5523" w:rsidRPr="007429EC">
        <w:rPr>
          <w:sz w:val="28"/>
          <w:szCs w:val="28"/>
          <w:lang w:val="en-ZA"/>
        </w:rPr>
        <w:t>juncture</w:t>
      </w:r>
      <w:r w:rsidR="00317D0A" w:rsidRPr="007429EC">
        <w:rPr>
          <w:sz w:val="28"/>
          <w:szCs w:val="28"/>
          <w:lang w:val="en-ZA"/>
        </w:rPr>
        <w:t xml:space="preserve"> </w:t>
      </w:r>
      <w:r w:rsidRPr="007429EC">
        <w:rPr>
          <w:sz w:val="28"/>
          <w:szCs w:val="28"/>
          <w:lang w:val="en-ZA"/>
        </w:rPr>
        <w:t xml:space="preserve">to say something about the proper approach to the role that procedural requirements play in procurement matters. In </w:t>
      </w:r>
      <w:r w:rsidRPr="007429EC">
        <w:rPr>
          <w:i/>
          <w:sz w:val="28"/>
          <w:szCs w:val="28"/>
          <w:lang w:val="en-ZA"/>
        </w:rPr>
        <w:t>Allpay Consolidated Investment Holdings (Pty) Ltd and Others v Chief Executive Officer of the South African Social Security Agency and Others</w:t>
      </w:r>
      <w:r w:rsidR="008E5523" w:rsidRPr="007429EC">
        <w:rPr>
          <w:sz w:val="28"/>
          <w:szCs w:val="28"/>
          <w:lang w:val="en-ZA"/>
        </w:rPr>
        <w:t>,</w:t>
      </w:r>
      <w:r w:rsidRPr="007429EC">
        <w:rPr>
          <w:rStyle w:val="FootnoteReference"/>
          <w:sz w:val="28"/>
          <w:szCs w:val="28"/>
          <w:lang w:val="en-ZA"/>
        </w:rPr>
        <w:footnoteReference w:id="17"/>
      </w:r>
      <w:r w:rsidR="00A70EB6" w:rsidRPr="007429EC">
        <w:rPr>
          <w:sz w:val="28"/>
          <w:szCs w:val="28"/>
          <w:lang w:val="en-ZA"/>
        </w:rPr>
        <w:t xml:space="preserve"> the Constitutional Court disapproved of this Court</w:t>
      </w:r>
      <w:r w:rsidR="003B6577" w:rsidRPr="007429EC">
        <w:rPr>
          <w:sz w:val="28"/>
          <w:szCs w:val="28"/>
          <w:lang w:val="en-ZA"/>
        </w:rPr>
        <w:t>'</w:t>
      </w:r>
      <w:r w:rsidR="00A70EB6" w:rsidRPr="007429EC">
        <w:rPr>
          <w:sz w:val="28"/>
          <w:szCs w:val="28"/>
          <w:lang w:val="en-ZA"/>
        </w:rPr>
        <w:t>s</w:t>
      </w:r>
      <w:r w:rsidR="0011081A" w:rsidRPr="007429EC">
        <w:rPr>
          <w:sz w:val="28"/>
          <w:szCs w:val="28"/>
          <w:lang w:val="en-ZA"/>
        </w:rPr>
        <w:t xml:space="preserve"> approach</w:t>
      </w:r>
      <w:r w:rsidR="00A70EB6" w:rsidRPr="007429EC">
        <w:rPr>
          <w:sz w:val="28"/>
          <w:szCs w:val="28"/>
          <w:lang w:val="en-ZA"/>
        </w:rPr>
        <w:t xml:space="preserve"> to procedural requirements when </w:t>
      </w:r>
      <w:r w:rsidR="00317D0A" w:rsidRPr="007429EC">
        <w:rPr>
          <w:sz w:val="28"/>
          <w:szCs w:val="28"/>
          <w:lang w:val="en-ZA"/>
        </w:rPr>
        <w:t>this Court</w:t>
      </w:r>
      <w:r w:rsidR="00A70EB6" w:rsidRPr="007429EC">
        <w:rPr>
          <w:sz w:val="28"/>
          <w:szCs w:val="28"/>
          <w:lang w:val="en-ZA"/>
        </w:rPr>
        <w:t xml:space="preserve"> opined that these </w:t>
      </w:r>
      <w:r w:rsidR="0011081A" w:rsidRPr="007429EC">
        <w:rPr>
          <w:sz w:val="28"/>
          <w:szCs w:val="28"/>
          <w:lang w:val="en-ZA"/>
        </w:rPr>
        <w:t>sh</w:t>
      </w:r>
      <w:r w:rsidR="00317D0A" w:rsidRPr="007429EC">
        <w:rPr>
          <w:sz w:val="28"/>
          <w:szCs w:val="28"/>
          <w:lang w:val="en-ZA"/>
        </w:rPr>
        <w:t xml:space="preserve">ould </w:t>
      </w:r>
      <w:r w:rsidR="003B6577" w:rsidRPr="007429EC">
        <w:rPr>
          <w:sz w:val="28"/>
          <w:szCs w:val="28"/>
          <w:lang w:val="en-ZA"/>
        </w:rPr>
        <w:t>'</w:t>
      </w:r>
      <w:r w:rsidR="00A70EB6" w:rsidRPr="007429EC">
        <w:rPr>
          <w:sz w:val="28"/>
          <w:szCs w:val="28"/>
          <w:lang w:val="en-ZA"/>
        </w:rPr>
        <w:t>not be considered on their own merits, but instead through the lens of the final outcome</w:t>
      </w:r>
      <w:r w:rsidR="003B6577" w:rsidRPr="007429EC">
        <w:rPr>
          <w:sz w:val="28"/>
          <w:szCs w:val="28"/>
          <w:lang w:val="en-ZA"/>
        </w:rPr>
        <w:t>'</w:t>
      </w:r>
      <w:r w:rsidR="00A70EB6" w:rsidRPr="007429EC">
        <w:rPr>
          <w:sz w:val="28"/>
          <w:szCs w:val="28"/>
          <w:lang w:val="en-ZA"/>
        </w:rPr>
        <w:t>.</w:t>
      </w:r>
      <w:r w:rsidR="00A70EB6" w:rsidRPr="007429EC">
        <w:rPr>
          <w:rStyle w:val="FootnoteReference"/>
          <w:sz w:val="28"/>
          <w:szCs w:val="28"/>
          <w:lang w:val="en-ZA"/>
        </w:rPr>
        <w:footnoteReference w:id="18"/>
      </w:r>
      <w:r w:rsidR="00A70EB6" w:rsidRPr="007429EC">
        <w:rPr>
          <w:sz w:val="28"/>
          <w:szCs w:val="28"/>
          <w:lang w:val="en-ZA"/>
        </w:rPr>
        <w:t xml:space="preserve"> The </w:t>
      </w:r>
      <w:r w:rsidR="0011081A" w:rsidRPr="007429EC">
        <w:rPr>
          <w:sz w:val="28"/>
          <w:szCs w:val="28"/>
          <w:lang w:val="en-ZA"/>
        </w:rPr>
        <w:t xml:space="preserve">Constitutional </w:t>
      </w:r>
      <w:r w:rsidR="00A70EB6" w:rsidRPr="007429EC">
        <w:rPr>
          <w:sz w:val="28"/>
          <w:szCs w:val="28"/>
          <w:lang w:val="en-ZA"/>
        </w:rPr>
        <w:t xml:space="preserve">Court cautioned that such an approach </w:t>
      </w:r>
      <w:r w:rsidR="003B6577" w:rsidRPr="007429EC">
        <w:rPr>
          <w:sz w:val="28"/>
          <w:szCs w:val="28"/>
          <w:lang w:val="en-ZA"/>
        </w:rPr>
        <w:t>'</w:t>
      </w:r>
      <w:r w:rsidR="00A70EB6" w:rsidRPr="007429EC">
        <w:rPr>
          <w:sz w:val="28"/>
          <w:szCs w:val="28"/>
          <w:lang w:val="en-ZA"/>
        </w:rPr>
        <w:t>conflates the different and separate questions of unlawfulness and remedy</w:t>
      </w:r>
      <w:r w:rsidR="003B6577" w:rsidRPr="007429EC">
        <w:rPr>
          <w:sz w:val="28"/>
          <w:szCs w:val="28"/>
          <w:lang w:val="en-ZA"/>
        </w:rPr>
        <w:t>'</w:t>
      </w:r>
      <w:r w:rsidR="00A70EB6" w:rsidRPr="007429EC">
        <w:rPr>
          <w:sz w:val="28"/>
          <w:szCs w:val="28"/>
          <w:lang w:val="en-ZA"/>
        </w:rPr>
        <w:t xml:space="preserve">. It emphasised that </w:t>
      </w:r>
      <w:r w:rsidR="003B6577" w:rsidRPr="007429EC">
        <w:rPr>
          <w:sz w:val="28"/>
          <w:szCs w:val="28"/>
          <w:lang w:val="en-ZA"/>
        </w:rPr>
        <w:t>'</w:t>
      </w:r>
      <w:r w:rsidR="00A70EB6" w:rsidRPr="007429EC">
        <w:rPr>
          <w:sz w:val="28"/>
          <w:szCs w:val="28"/>
          <w:lang w:val="en-ZA"/>
        </w:rPr>
        <w:t>[</w:t>
      </w:r>
      <w:r w:rsidR="008E5523" w:rsidRPr="007429EC">
        <w:rPr>
          <w:sz w:val="28"/>
          <w:szCs w:val="28"/>
          <w:lang w:val="en-ZA"/>
        </w:rPr>
        <w:t>i</w:t>
      </w:r>
      <w:r w:rsidR="00A70EB6" w:rsidRPr="007429EC">
        <w:rPr>
          <w:sz w:val="28"/>
          <w:szCs w:val="28"/>
          <w:lang w:val="en-ZA"/>
        </w:rPr>
        <w:t>]f the process leading to the bid</w:t>
      </w:r>
      <w:r w:rsidR="003B6577" w:rsidRPr="007429EC">
        <w:rPr>
          <w:sz w:val="28"/>
          <w:szCs w:val="28"/>
          <w:lang w:val="en-ZA"/>
        </w:rPr>
        <w:t>'</w:t>
      </w:r>
      <w:r w:rsidR="00A70EB6" w:rsidRPr="007429EC">
        <w:rPr>
          <w:sz w:val="28"/>
          <w:szCs w:val="28"/>
          <w:lang w:val="en-ZA"/>
        </w:rPr>
        <w:t>s success was compromised, it cannot be known with certainty what course the process might have taken had the procedural requirements been properly observed</w:t>
      </w:r>
      <w:r w:rsidR="003B6577" w:rsidRPr="007429EC">
        <w:rPr>
          <w:sz w:val="28"/>
          <w:szCs w:val="28"/>
          <w:lang w:val="en-ZA"/>
        </w:rPr>
        <w:t>'</w:t>
      </w:r>
      <w:r w:rsidR="003B76F6" w:rsidRPr="007429EC">
        <w:rPr>
          <w:sz w:val="28"/>
          <w:szCs w:val="28"/>
          <w:lang w:val="en-ZA"/>
        </w:rPr>
        <w:t>.</w:t>
      </w:r>
      <w:r w:rsidR="00A70EB6" w:rsidRPr="007429EC">
        <w:rPr>
          <w:rStyle w:val="FootnoteReference"/>
          <w:sz w:val="28"/>
          <w:szCs w:val="28"/>
          <w:lang w:val="en-ZA"/>
        </w:rPr>
        <w:footnoteReference w:id="19"/>
      </w:r>
      <w:r w:rsidR="003B76F6" w:rsidRPr="007429EC">
        <w:rPr>
          <w:sz w:val="28"/>
          <w:szCs w:val="28"/>
          <w:lang w:val="en-ZA"/>
        </w:rPr>
        <w:t xml:space="preserve"> This dictum assumes, in my view</w:t>
      </w:r>
      <w:r w:rsidR="0011081A" w:rsidRPr="007429EC">
        <w:rPr>
          <w:sz w:val="28"/>
          <w:szCs w:val="28"/>
          <w:lang w:val="en-ZA"/>
        </w:rPr>
        <w:t>,</w:t>
      </w:r>
      <w:r w:rsidR="003B76F6" w:rsidRPr="007429EC">
        <w:rPr>
          <w:sz w:val="28"/>
          <w:szCs w:val="28"/>
          <w:lang w:val="en-ZA"/>
        </w:rPr>
        <w:t xml:space="preserve"> significance in this case for reasons that will become apparent later. The </w:t>
      </w:r>
      <w:r w:rsidR="008E5523" w:rsidRPr="007429EC">
        <w:rPr>
          <w:sz w:val="28"/>
          <w:szCs w:val="28"/>
          <w:lang w:val="en-ZA"/>
        </w:rPr>
        <w:t xml:space="preserve">Constitutional </w:t>
      </w:r>
      <w:r w:rsidR="003B76F6" w:rsidRPr="007429EC">
        <w:rPr>
          <w:sz w:val="28"/>
          <w:szCs w:val="28"/>
          <w:lang w:val="en-ZA"/>
        </w:rPr>
        <w:t>Court went on to observe, with reference to international authority</w:t>
      </w:r>
      <w:r w:rsidR="00CC430D" w:rsidRPr="007429EC">
        <w:rPr>
          <w:sz w:val="28"/>
          <w:szCs w:val="28"/>
          <w:lang w:val="en-ZA"/>
        </w:rPr>
        <w:t>,</w:t>
      </w:r>
      <w:r w:rsidR="003B76F6" w:rsidRPr="007429EC">
        <w:rPr>
          <w:rStyle w:val="FootnoteReference"/>
          <w:sz w:val="28"/>
          <w:szCs w:val="28"/>
          <w:lang w:val="en-ZA"/>
        </w:rPr>
        <w:footnoteReference w:id="20"/>
      </w:r>
      <w:r w:rsidR="00CC430D" w:rsidRPr="007429EC">
        <w:rPr>
          <w:sz w:val="28"/>
          <w:szCs w:val="28"/>
          <w:lang w:val="en-ZA"/>
        </w:rPr>
        <w:t xml:space="preserve"> that </w:t>
      </w:r>
      <w:r w:rsidR="003B6577" w:rsidRPr="007429EC">
        <w:rPr>
          <w:sz w:val="28"/>
          <w:szCs w:val="28"/>
          <w:lang w:val="en-ZA"/>
        </w:rPr>
        <w:t>'</w:t>
      </w:r>
      <w:r w:rsidR="00CC430D" w:rsidRPr="007429EC">
        <w:rPr>
          <w:sz w:val="28"/>
          <w:szCs w:val="28"/>
          <w:lang w:val="en-ZA"/>
        </w:rPr>
        <w:t>deviations from fair process may themselves all too often be symptoms of corruption or malfeasance in the process</w:t>
      </w:r>
      <w:r w:rsidR="003B6577" w:rsidRPr="007429EC">
        <w:rPr>
          <w:sz w:val="28"/>
          <w:szCs w:val="28"/>
          <w:lang w:val="en-ZA"/>
        </w:rPr>
        <w:t>'</w:t>
      </w:r>
      <w:r w:rsidR="00CC430D" w:rsidRPr="007429EC">
        <w:rPr>
          <w:sz w:val="28"/>
          <w:szCs w:val="28"/>
          <w:lang w:val="en-ZA"/>
        </w:rPr>
        <w:t>.</w:t>
      </w:r>
      <w:r w:rsidR="006C129C" w:rsidRPr="007429EC">
        <w:rPr>
          <w:rStyle w:val="FootnoteReference"/>
          <w:sz w:val="28"/>
          <w:szCs w:val="28"/>
          <w:lang w:val="en-ZA"/>
        </w:rPr>
        <w:footnoteReference w:id="21"/>
      </w:r>
      <w:r w:rsidR="00CC430D" w:rsidRPr="007429EC">
        <w:rPr>
          <w:sz w:val="28"/>
          <w:szCs w:val="28"/>
          <w:lang w:val="en-ZA"/>
        </w:rPr>
        <w:t xml:space="preserve"> </w:t>
      </w:r>
      <w:r w:rsidR="00D05647" w:rsidRPr="007429EC">
        <w:rPr>
          <w:sz w:val="28"/>
          <w:szCs w:val="28"/>
          <w:lang w:val="en-ZA"/>
        </w:rPr>
        <w:t xml:space="preserve">The </w:t>
      </w:r>
      <w:r w:rsidR="006C129C" w:rsidRPr="007429EC">
        <w:rPr>
          <w:sz w:val="28"/>
          <w:szCs w:val="28"/>
          <w:lang w:val="en-ZA"/>
        </w:rPr>
        <w:t xml:space="preserve">Constitutional </w:t>
      </w:r>
      <w:r w:rsidR="00D05647" w:rsidRPr="007429EC">
        <w:rPr>
          <w:sz w:val="28"/>
          <w:szCs w:val="28"/>
          <w:lang w:val="en-ZA"/>
        </w:rPr>
        <w:t xml:space="preserve">Court </w:t>
      </w:r>
      <w:r w:rsidR="0011081A" w:rsidRPr="007429EC">
        <w:rPr>
          <w:sz w:val="28"/>
          <w:szCs w:val="28"/>
          <w:lang w:val="en-ZA"/>
        </w:rPr>
        <w:t>then proceeded</w:t>
      </w:r>
      <w:r w:rsidR="00D05647" w:rsidRPr="007429EC">
        <w:rPr>
          <w:sz w:val="28"/>
          <w:szCs w:val="28"/>
          <w:lang w:val="en-ZA"/>
        </w:rPr>
        <w:t xml:space="preserve"> to explain that insistence on compliance with process formalities served a three</w:t>
      </w:r>
      <w:r w:rsidR="00BF0FFA" w:rsidRPr="007429EC">
        <w:rPr>
          <w:sz w:val="28"/>
          <w:szCs w:val="28"/>
          <w:lang w:val="en-ZA"/>
        </w:rPr>
        <w:t>-</w:t>
      </w:r>
      <w:r w:rsidR="00D05647" w:rsidRPr="007429EC">
        <w:rPr>
          <w:sz w:val="28"/>
          <w:szCs w:val="28"/>
          <w:lang w:val="en-ZA"/>
        </w:rPr>
        <w:t xml:space="preserve">fold purpose, </w:t>
      </w:r>
      <w:r w:rsidR="00D05647" w:rsidRPr="007429EC">
        <w:rPr>
          <w:i/>
          <w:sz w:val="28"/>
          <w:szCs w:val="28"/>
          <w:lang w:val="en-ZA"/>
        </w:rPr>
        <w:t>viz</w:t>
      </w:r>
      <w:r w:rsidR="00D05647" w:rsidRPr="007429EC">
        <w:rPr>
          <w:sz w:val="28"/>
          <w:szCs w:val="28"/>
          <w:lang w:val="en-ZA"/>
        </w:rPr>
        <w:t>:</w:t>
      </w:r>
    </w:p>
    <w:p w14:paraId="75BB7540" w14:textId="66CF8138" w:rsidR="00D05647" w:rsidRPr="007429EC" w:rsidRDefault="00D05647" w:rsidP="000707C5">
      <w:pPr>
        <w:rPr>
          <w:sz w:val="28"/>
          <w:szCs w:val="28"/>
          <w:lang w:val="en-ZA"/>
        </w:rPr>
      </w:pPr>
      <w:r w:rsidRPr="007429EC">
        <w:rPr>
          <w:sz w:val="28"/>
          <w:szCs w:val="28"/>
          <w:lang w:val="en-ZA"/>
        </w:rPr>
        <w:lastRenderedPageBreak/>
        <w:t>(a) it ensures fairness to participants in the bid process;</w:t>
      </w:r>
    </w:p>
    <w:p w14:paraId="1D9135F4" w14:textId="2530A9F7" w:rsidR="00D05647" w:rsidRPr="007429EC" w:rsidRDefault="00D05647" w:rsidP="000707C5">
      <w:pPr>
        <w:rPr>
          <w:sz w:val="28"/>
          <w:szCs w:val="28"/>
          <w:lang w:val="en-ZA"/>
        </w:rPr>
      </w:pPr>
      <w:r w:rsidRPr="007429EC">
        <w:rPr>
          <w:sz w:val="28"/>
          <w:szCs w:val="28"/>
          <w:lang w:val="en-ZA"/>
        </w:rPr>
        <w:t>(b) it enhances the likelihood of efficiency and optimality in the outcome; and</w:t>
      </w:r>
    </w:p>
    <w:p w14:paraId="54A6FC7A" w14:textId="474E4154" w:rsidR="00D05647" w:rsidRPr="007429EC" w:rsidRDefault="00D05647" w:rsidP="000707C5">
      <w:pPr>
        <w:rPr>
          <w:sz w:val="28"/>
          <w:szCs w:val="28"/>
          <w:lang w:val="en-ZA"/>
        </w:rPr>
      </w:pPr>
      <w:r w:rsidRPr="007429EC">
        <w:rPr>
          <w:sz w:val="28"/>
          <w:szCs w:val="28"/>
          <w:lang w:val="en-ZA"/>
        </w:rPr>
        <w:t>(c) it serves as a guardian against a process skewed by corrupt influences.</w:t>
      </w:r>
      <w:r w:rsidR="006C129C" w:rsidRPr="007429EC">
        <w:rPr>
          <w:rStyle w:val="FootnoteReference"/>
          <w:sz w:val="28"/>
          <w:szCs w:val="28"/>
          <w:lang w:val="en-ZA"/>
        </w:rPr>
        <w:footnoteReference w:id="22"/>
      </w:r>
      <w:r w:rsidRPr="007429EC">
        <w:rPr>
          <w:sz w:val="28"/>
          <w:szCs w:val="28"/>
          <w:lang w:val="en-ZA"/>
        </w:rPr>
        <w:t xml:space="preserve"> </w:t>
      </w:r>
    </w:p>
    <w:p w14:paraId="181AECB9" w14:textId="77777777" w:rsidR="00B371F4" w:rsidRPr="007429EC" w:rsidRDefault="00B371F4" w:rsidP="00B224C9">
      <w:pPr>
        <w:rPr>
          <w:sz w:val="28"/>
          <w:szCs w:val="28"/>
        </w:rPr>
      </w:pPr>
    </w:p>
    <w:p w14:paraId="71FAD3CF" w14:textId="4F71D6C2" w:rsidR="00962FD7" w:rsidRPr="007429EC" w:rsidRDefault="0009094D" w:rsidP="00B224C9">
      <w:pPr>
        <w:rPr>
          <w:sz w:val="28"/>
          <w:szCs w:val="28"/>
        </w:rPr>
      </w:pPr>
      <w:r w:rsidRPr="007429EC">
        <w:rPr>
          <w:sz w:val="28"/>
          <w:szCs w:val="28"/>
        </w:rPr>
        <w:t>[</w:t>
      </w:r>
      <w:r w:rsidR="006C129C" w:rsidRPr="007429EC">
        <w:rPr>
          <w:sz w:val="28"/>
          <w:szCs w:val="28"/>
        </w:rPr>
        <w:t>39</w:t>
      </w:r>
      <w:r w:rsidRPr="007429EC">
        <w:rPr>
          <w:sz w:val="28"/>
          <w:szCs w:val="28"/>
        </w:rPr>
        <w:t>]</w:t>
      </w:r>
      <w:r w:rsidRPr="007429EC">
        <w:rPr>
          <w:sz w:val="28"/>
          <w:szCs w:val="28"/>
        </w:rPr>
        <w:tab/>
        <w:t>Insofar as the requirement of materiality is concerned, O</w:t>
      </w:r>
      <w:r w:rsidR="003B6577" w:rsidRPr="007429EC">
        <w:rPr>
          <w:sz w:val="28"/>
          <w:szCs w:val="28"/>
        </w:rPr>
        <w:t>'</w:t>
      </w:r>
      <w:r w:rsidRPr="007429EC">
        <w:rPr>
          <w:sz w:val="28"/>
          <w:szCs w:val="28"/>
        </w:rPr>
        <w:t>Regan J aptly captured the core of th</w:t>
      </w:r>
      <w:r w:rsidR="0011081A" w:rsidRPr="007429EC">
        <w:rPr>
          <w:sz w:val="28"/>
          <w:szCs w:val="28"/>
        </w:rPr>
        <w:t>i</w:t>
      </w:r>
      <w:r w:rsidRPr="007429EC">
        <w:rPr>
          <w:sz w:val="28"/>
          <w:szCs w:val="28"/>
        </w:rPr>
        <w:t xml:space="preserve">s requirement in </w:t>
      </w:r>
      <w:r w:rsidRPr="007429EC">
        <w:rPr>
          <w:i/>
          <w:sz w:val="28"/>
          <w:szCs w:val="28"/>
        </w:rPr>
        <w:t>African Christian Democratic Party v Electoral Commission and Others</w:t>
      </w:r>
      <w:r w:rsidRPr="007429EC">
        <w:rPr>
          <w:rStyle w:val="FootnoteReference"/>
          <w:sz w:val="28"/>
          <w:szCs w:val="28"/>
        </w:rPr>
        <w:footnoteReference w:id="23"/>
      </w:r>
      <w:r w:rsidRPr="007429EC">
        <w:rPr>
          <w:sz w:val="28"/>
          <w:szCs w:val="28"/>
        </w:rPr>
        <w:t xml:space="preserve"> when she said that in essence the question is </w:t>
      </w:r>
      <w:r w:rsidR="003B6577" w:rsidRPr="007429EC">
        <w:rPr>
          <w:sz w:val="28"/>
          <w:szCs w:val="28"/>
        </w:rPr>
        <w:t>'</w:t>
      </w:r>
      <w:r w:rsidRPr="007429EC">
        <w:rPr>
          <w:sz w:val="28"/>
          <w:szCs w:val="28"/>
        </w:rPr>
        <w:t>whether what the applicant did constituted compliance with the statutory provisions viewed in the light of their purpose</w:t>
      </w:r>
      <w:r w:rsidR="003B6577" w:rsidRPr="007429EC">
        <w:rPr>
          <w:sz w:val="28"/>
          <w:szCs w:val="28"/>
        </w:rPr>
        <w:t>'</w:t>
      </w:r>
      <w:r w:rsidRPr="007429EC">
        <w:rPr>
          <w:sz w:val="28"/>
          <w:szCs w:val="28"/>
        </w:rPr>
        <w:t>.</w:t>
      </w:r>
      <w:r w:rsidRPr="007429EC">
        <w:rPr>
          <w:rStyle w:val="FootnoteReference"/>
          <w:sz w:val="28"/>
          <w:szCs w:val="28"/>
        </w:rPr>
        <w:footnoteReference w:id="24"/>
      </w:r>
      <w:r w:rsidR="00C65AB0" w:rsidRPr="007429EC">
        <w:rPr>
          <w:sz w:val="28"/>
          <w:szCs w:val="28"/>
        </w:rPr>
        <w:t xml:space="preserve"> And, as already indicated above, the logical starting point in this enquiry is s 217 of the Constitution. On this score, what M</w:t>
      </w:r>
      <w:r w:rsidR="0011081A" w:rsidRPr="007429EC">
        <w:rPr>
          <w:sz w:val="28"/>
          <w:szCs w:val="28"/>
        </w:rPr>
        <w:t>o</w:t>
      </w:r>
      <w:r w:rsidR="00C65AB0" w:rsidRPr="007429EC">
        <w:rPr>
          <w:sz w:val="28"/>
          <w:szCs w:val="28"/>
        </w:rPr>
        <w:t xml:space="preserve">seneke DCJ said in </w:t>
      </w:r>
      <w:r w:rsidR="00C65AB0" w:rsidRPr="007429EC">
        <w:rPr>
          <w:i/>
          <w:sz w:val="28"/>
          <w:szCs w:val="28"/>
        </w:rPr>
        <w:t>Steenkamp NO v Provincial Tender Board of the Eastern Cape</w:t>
      </w:r>
      <w:r w:rsidR="006C129C" w:rsidRPr="007429EC">
        <w:rPr>
          <w:i/>
          <w:sz w:val="28"/>
          <w:szCs w:val="28"/>
        </w:rPr>
        <w:t xml:space="preserve"> </w:t>
      </w:r>
      <w:r w:rsidR="006C129C" w:rsidRPr="007429EC">
        <w:rPr>
          <w:sz w:val="28"/>
          <w:szCs w:val="28"/>
        </w:rPr>
        <w:t>(</w:t>
      </w:r>
      <w:r w:rsidR="006C129C" w:rsidRPr="007429EC">
        <w:rPr>
          <w:i/>
          <w:sz w:val="28"/>
          <w:szCs w:val="28"/>
        </w:rPr>
        <w:t>Steenkamp</w:t>
      </w:r>
      <w:r w:rsidR="006C129C" w:rsidRPr="007429EC">
        <w:rPr>
          <w:sz w:val="28"/>
          <w:szCs w:val="28"/>
        </w:rPr>
        <w:t>)</w:t>
      </w:r>
      <w:r w:rsidR="00C65AB0" w:rsidRPr="007429EC">
        <w:rPr>
          <w:rStyle w:val="FootnoteReference"/>
          <w:sz w:val="28"/>
          <w:szCs w:val="28"/>
        </w:rPr>
        <w:footnoteReference w:id="25"/>
      </w:r>
      <w:r w:rsidR="00C65AB0" w:rsidRPr="007429EC">
        <w:rPr>
          <w:sz w:val="28"/>
          <w:szCs w:val="28"/>
        </w:rPr>
        <w:t xml:space="preserve"> is instructive. The learned Deputy Chief Justice said:</w:t>
      </w:r>
    </w:p>
    <w:p w14:paraId="1DA8D234" w14:textId="0149BD89" w:rsidR="00C65AB0" w:rsidRPr="007429EC" w:rsidRDefault="003B6577" w:rsidP="00B224C9">
      <w:pPr>
        <w:rPr>
          <w:szCs w:val="28"/>
        </w:rPr>
      </w:pPr>
      <w:r w:rsidRPr="007429EC">
        <w:rPr>
          <w:szCs w:val="28"/>
        </w:rPr>
        <w:t>'</w:t>
      </w:r>
      <w:r w:rsidR="00C65AB0" w:rsidRPr="007429EC">
        <w:rPr>
          <w:szCs w:val="28"/>
        </w:rPr>
        <w:t>Section 217 of the Constitution is the source of the powers and function of a government tender board. It lays down that an organ of state in any of the three spheres of government, if authorised by law may contract for goods and services on behalf of government. However the tendering system it devises must be fair, equitable, transparent, competitive and cost-effective. This requirement must be understood together with the constitutional precepts on administrative justice in section 33 and the basic values governing public administration in section 195(1).</w:t>
      </w:r>
      <w:r w:rsidRPr="007429EC">
        <w:rPr>
          <w:szCs w:val="28"/>
        </w:rPr>
        <w:t>'</w:t>
      </w:r>
      <w:r w:rsidR="00C65AB0" w:rsidRPr="007429EC">
        <w:rPr>
          <w:rStyle w:val="FootnoteReference"/>
          <w:szCs w:val="28"/>
        </w:rPr>
        <w:footnoteReference w:id="26"/>
      </w:r>
    </w:p>
    <w:p w14:paraId="27325958" w14:textId="15CC28E5" w:rsidR="00C65AB0" w:rsidRPr="007429EC" w:rsidRDefault="00C65AB0" w:rsidP="00B224C9">
      <w:pPr>
        <w:rPr>
          <w:sz w:val="28"/>
          <w:szCs w:val="28"/>
        </w:rPr>
      </w:pPr>
      <w:r w:rsidRPr="007429EC">
        <w:rPr>
          <w:sz w:val="28"/>
          <w:szCs w:val="28"/>
        </w:rPr>
        <w:t xml:space="preserve">Hot on the heels of </w:t>
      </w:r>
      <w:r w:rsidRPr="007429EC">
        <w:rPr>
          <w:i/>
          <w:sz w:val="28"/>
          <w:szCs w:val="28"/>
        </w:rPr>
        <w:t>Steenkamp</w:t>
      </w:r>
      <w:r w:rsidR="006C129C" w:rsidRPr="007429EC">
        <w:rPr>
          <w:sz w:val="28"/>
          <w:szCs w:val="28"/>
        </w:rPr>
        <w:t>,</w:t>
      </w:r>
      <w:r w:rsidRPr="007429EC">
        <w:rPr>
          <w:i/>
          <w:sz w:val="28"/>
          <w:szCs w:val="28"/>
        </w:rPr>
        <w:t xml:space="preserve"> </w:t>
      </w:r>
      <w:r w:rsidRPr="007429EC">
        <w:rPr>
          <w:sz w:val="28"/>
          <w:szCs w:val="28"/>
        </w:rPr>
        <w:t xml:space="preserve">this Court explained this theme </w:t>
      </w:r>
      <w:r w:rsidR="00BF0FFA" w:rsidRPr="007429EC">
        <w:rPr>
          <w:sz w:val="28"/>
          <w:szCs w:val="28"/>
        </w:rPr>
        <w:t xml:space="preserve">in </w:t>
      </w:r>
      <w:r w:rsidR="00BF0FFA" w:rsidRPr="007429EC">
        <w:rPr>
          <w:i/>
          <w:sz w:val="28"/>
          <w:szCs w:val="28"/>
        </w:rPr>
        <w:t xml:space="preserve">Millennium Waste Management </w:t>
      </w:r>
      <w:r w:rsidR="00BF0FFA" w:rsidRPr="007429EC">
        <w:rPr>
          <w:sz w:val="28"/>
          <w:szCs w:val="28"/>
        </w:rPr>
        <w:t>as</w:t>
      </w:r>
      <w:r w:rsidR="00317D0A" w:rsidRPr="007429EC">
        <w:rPr>
          <w:sz w:val="28"/>
          <w:szCs w:val="28"/>
        </w:rPr>
        <w:t xml:space="preserve"> follows</w:t>
      </w:r>
      <w:r w:rsidRPr="007429EC">
        <w:rPr>
          <w:sz w:val="28"/>
          <w:szCs w:val="28"/>
        </w:rPr>
        <w:t>:</w:t>
      </w:r>
    </w:p>
    <w:p w14:paraId="16B46600" w14:textId="3B352C2E" w:rsidR="00C65AB0" w:rsidRPr="007429EC" w:rsidRDefault="003B6577" w:rsidP="00B224C9">
      <w:pPr>
        <w:rPr>
          <w:szCs w:val="28"/>
        </w:rPr>
      </w:pPr>
      <w:r w:rsidRPr="007429EC">
        <w:rPr>
          <w:szCs w:val="28"/>
        </w:rPr>
        <w:t>'</w:t>
      </w:r>
      <w:r w:rsidR="00C65AB0" w:rsidRPr="007429EC">
        <w:rPr>
          <w:szCs w:val="28"/>
        </w:rPr>
        <w:t xml:space="preserve">The final Constitution lays down minimum requirements for a valid tender process and contracts entered into following an award of tender to a successful tenderer (s217). The section requires that </w:t>
      </w:r>
      <w:r w:rsidR="00C65AB0" w:rsidRPr="007429EC">
        <w:rPr>
          <w:szCs w:val="28"/>
        </w:rPr>
        <w:lastRenderedPageBreak/>
        <w:t xml:space="preserve">the tender process, preceding the conclusion of contracts for the supply of goods and services, must be </w:t>
      </w:r>
      <w:r w:rsidR="00BF0FFA" w:rsidRPr="007429EC">
        <w:rPr>
          <w:szCs w:val="28"/>
        </w:rPr>
        <w:t>"</w:t>
      </w:r>
      <w:r w:rsidR="00C65AB0" w:rsidRPr="007429EC">
        <w:rPr>
          <w:szCs w:val="28"/>
        </w:rPr>
        <w:t>fair, equitable, transparent, competitive and cost-effective</w:t>
      </w:r>
      <w:r w:rsidR="00BF0FFA" w:rsidRPr="007429EC">
        <w:rPr>
          <w:szCs w:val="28"/>
        </w:rPr>
        <w:t>"</w:t>
      </w:r>
      <w:r w:rsidR="00C65AB0" w:rsidRPr="007429EC">
        <w:rPr>
          <w:szCs w:val="28"/>
        </w:rPr>
        <w:t>.</w:t>
      </w:r>
      <w:r w:rsidRPr="007429EC">
        <w:rPr>
          <w:szCs w:val="28"/>
        </w:rPr>
        <w:t>'</w:t>
      </w:r>
      <w:r w:rsidR="00C65AB0" w:rsidRPr="007429EC">
        <w:rPr>
          <w:rStyle w:val="FootnoteReference"/>
          <w:szCs w:val="28"/>
        </w:rPr>
        <w:footnoteReference w:id="27"/>
      </w:r>
      <w:r w:rsidR="00C65AB0" w:rsidRPr="007429EC">
        <w:rPr>
          <w:szCs w:val="28"/>
        </w:rPr>
        <w:t xml:space="preserve"> (Footnotes omitted.)</w:t>
      </w:r>
    </w:p>
    <w:p w14:paraId="6F1ED08D" w14:textId="77777777" w:rsidR="00C65AB0" w:rsidRPr="007429EC" w:rsidRDefault="00C65AB0" w:rsidP="00B224C9">
      <w:pPr>
        <w:rPr>
          <w:sz w:val="28"/>
          <w:szCs w:val="28"/>
        </w:rPr>
      </w:pPr>
    </w:p>
    <w:p w14:paraId="488BC048" w14:textId="2890D67C" w:rsidR="00C65AB0" w:rsidRPr="007429EC" w:rsidRDefault="00C65AB0" w:rsidP="00B224C9">
      <w:pPr>
        <w:rPr>
          <w:sz w:val="28"/>
          <w:szCs w:val="28"/>
        </w:rPr>
      </w:pPr>
      <w:r w:rsidRPr="007429EC">
        <w:rPr>
          <w:sz w:val="28"/>
          <w:szCs w:val="28"/>
        </w:rPr>
        <w:t>[</w:t>
      </w:r>
      <w:r w:rsidR="006B4138" w:rsidRPr="007429EC">
        <w:rPr>
          <w:sz w:val="28"/>
          <w:szCs w:val="28"/>
        </w:rPr>
        <w:t>40</w:t>
      </w:r>
      <w:r w:rsidRPr="007429EC">
        <w:rPr>
          <w:sz w:val="28"/>
          <w:szCs w:val="28"/>
        </w:rPr>
        <w:t>]</w:t>
      </w:r>
      <w:r w:rsidRPr="007429EC">
        <w:rPr>
          <w:sz w:val="28"/>
          <w:szCs w:val="28"/>
        </w:rPr>
        <w:tab/>
        <w:t xml:space="preserve">In similar vein, Schutz JA, in </w:t>
      </w:r>
      <w:r w:rsidR="00BF0FFA" w:rsidRPr="007429EC">
        <w:rPr>
          <w:sz w:val="28"/>
          <w:szCs w:val="28"/>
        </w:rPr>
        <w:t>emphasising</w:t>
      </w:r>
      <w:r w:rsidRPr="007429EC">
        <w:rPr>
          <w:sz w:val="28"/>
          <w:szCs w:val="28"/>
        </w:rPr>
        <w:t xml:space="preserve"> the importance of adhering to relevant legal prescripts, had occasion to o</w:t>
      </w:r>
      <w:r w:rsidR="00D22053" w:rsidRPr="007429EC">
        <w:rPr>
          <w:sz w:val="28"/>
          <w:szCs w:val="28"/>
        </w:rPr>
        <w:t xml:space="preserve">bserve in </w:t>
      </w:r>
      <w:r w:rsidR="00D22053" w:rsidRPr="007429EC">
        <w:rPr>
          <w:i/>
          <w:sz w:val="28"/>
          <w:szCs w:val="28"/>
        </w:rPr>
        <w:t>Premier of the Free State Provincial Government and Others v Firechem Free State (Pty) Ltd</w:t>
      </w:r>
      <w:r w:rsidR="0011081A" w:rsidRPr="007429EC">
        <w:rPr>
          <w:sz w:val="28"/>
          <w:szCs w:val="28"/>
        </w:rPr>
        <w:t xml:space="preserve"> </w:t>
      </w:r>
      <w:r w:rsidR="006B4138" w:rsidRPr="007429EC">
        <w:rPr>
          <w:sz w:val="28"/>
          <w:szCs w:val="28"/>
        </w:rPr>
        <w:t>(</w:t>
      </w:r>
      <w:r w:rsidR="006B4138" w:rsidRPr="007429EC">
        <w:rPr>
          <w:i/>
          <w:sz w:val="28"/>
          <w:szCs w:val="28"/>
        </w:rPr>
        <w:t>Firechem</w:t>
      </w:r>
      <w:r w:rsidR="006B4138" w:rsidRPr="007429EC">
        <w:rPr>
          <w:sz w:val="28"/>
          <w:szCs w:val="28"/>
        </w:rPr>
        <w:t xml:space="preserve">), </w:t>
      </w:r>
      <w:r w:rsidR="0011081A" w:rsidRPr="007429EC">
        <w:rPr>
          <w:sz w:val="28"/>
          <w:szCs w:val="28"/>
        </w:rPr>
        <w:t>that</w:t>
      </w:r>
      <w:r w:rsidR="00D22053" w:rsidRPr="007429EC">
        <w:rPr>
          <w:sz w:val="28"/>
          <w:szCs w:val="28"/>
        </w:rPr>
        <w:t>:</w:t>
      </w:r>
      <w:r w:rsidR="00D22053" w:rsidRPr="007429EC">
        <w:rPr>
          <w:rStyle w:val="FootnoteReference"/>
          <w:sz w:val="28"/>
          <w:szCs w:val="28"/>
        </w:rPr>
        <w:footnoteReference w:id="28"/>
      </w:r>
      <w:r w:rsidR="00D22053" w:rsidRPr="007429EC">
        <w:rPr>
          <w:sz w:val="28"/>
          <w:szCs w:val="28"/>
        </w:rPr>
        <w:t xml:space="preserve"> </w:t>
      </w:r>
    </w:p>
    <w:p w14:paraId="3E9CB206" w14:textId="186A5A2E" w:rsidR="00962FD7" w:rsidRPr="007429EC" w:rsidRDefault="003B6577" w:rsidP="00B224C9">
      <w:pPr>
        <w:rPr>
          <w:szCs w:val="28"/>
        </w:rPr>
      </w:pPr>
      <w:r w:rsidRPr="007429EC">
        <w:rPr>
          <w:szCs w:val="28"/>
        </w:rPr>
        <w:t>'</w:t>
      </w:r>
      <w:r w:rsidR="00D22053" w:rsidRPr="007429EC">
        <w:rPr>
          <w:szCs w:val="28"/>
        </w:rPr>
        <w:t>One of the requirements of such a procedure is that the body adjudging tenders be presented with comparable offers in order that its members should be able to compare. Another is that a tender should speak for itself. Its real import may not be tucked away, apart from its terms. Yet another requirement is that competitors should be treated equally, in the sense that they should all be entitled to tender for the same thing. Competiveness is not served by only one or some of the tenderers knowing what is the true subject of tender. One of the results of the adoption of a procedure such as Mr McNaught argues was followed is that one simply cannot say what tenders may or may not have been submitted, if it had been known generally that a fixed quantities contract for ten years for the original list of products, and some more, was on offer. That would deprive the public of the benefit of an open competitive process.</w:t>
      </w:r>
      <w:r w:rsidRPr="007429EC">
        <w:rPr>
          <w:szCs w:val="28"/>
        </w:rPr>
        <w:t>'</w:t>
      </w:r>
      <w:r w:rsidR="00D22053" w:rsidRPr="007429EC">
        <w:rPr>
          <w:rStyle w:val="FootnoteReference"/>
          <w:szCs w:val="28"/>
        </w:rPr>
        <w:footnoteReference w:id="29"/>
      </w:r>
    </w:p>
    <w:p w14:paraId="18BF03CB" w14:textId="77777777" w:rsidR="00D22053" w:rsidRPr="007429EC" w:rsidRDefault="00D22053" w:rsidP="00B224C9">
      <w:pPr>
        <w:rPr>
          <w:sz w:val="28"/>
          <w:szCs w:val="28"/>
        </w:rPr>
      </w:pPr>
    </w:p>
    <w:p w14:paraId="2C362F12" w14:textId="3D5FEB18" w:rsidR="00D22053" w:rsidRPr="007429EC" w:rsidRDefault="00D22053" w:rsidP="00B224C9">
      <w:pPr>
        <w:rPr>
          <w:sz w:val="28"/>
          <w:szCs w:val="28"/>
        </w:rPr>
      </w:pPr>
      <w:r w:rsidRPr="007429EC">
        <w:rPr>
          <w:sz w:val="28"/>
          <w:szCs w:val="28"/>
        </w:rPr>
        <w:t>[</w:t>
      </w:r>
      <w:r w:rsidR="006B4138" w:rsidRPr="007429EC">
        <w:rPr>
          <w:sz w:val="28"/>
          <w:szCs w:val="28"/>
        </w:rPr>
        <w:t>41</w:t>
      </w:r>
      <w:r w:rsidRPr="007429EC">
        <w:rPr>
          <w:sz w:val="28"/>
          <w:szCs w:val="28"/>
        </w:rPr>
        <w:t>]</w:t>
      </w:r>
      <w:r w:rsidRPr="007429EC">
        <w:rPr>
          <w:sz w:val="28"/>
          <w:szCs w:val="28"/>
        </w:rPr>
        <w:tab/>
        <w:t>Finally, it is necessary to make reference to the National Treasury Regulations issued in terms of s 76 of the PFMA</w:t>
      </w:r>
      <w:r w:rsidR="00317D0A" w:rsidRPr="007429EC">
        <w:rPr>
          <w:sz w:val="28"/>
          <w:szCs w:val="28"/>
        </w:rPr>
        <w:t>. The Treasury Regulations</w:t>
      </w:r>
      <w:r w:rsidRPr="007429EC">
        <w:rPr>
          <w:sz w:val="28"/>
          <w:szCs w:val="28"/>
        </w:rPr>
        <w:t xml:space="preserve"> place a high premium on the need to develop and implement an effective and efficient supply chain management system in regard to the procurement of goods and services. That system is required to be fair, equitable, transparent, competitive and cost-effective as decreed by s 217 of the Constitution. The learned author of </w:t>
      </w:r>
      <w:r w:rsidRPr="007429EC">
        <w:rPr>
          <w:i/>
          <w:sz w:val="28"/>
          <w:szCs w:val="28"/>
        </w:rPr>
        <w:t xml:space="preserve">The Law of Government </w:t>
      </w:r>
      <w:r w:rsidRPr="007429EC">
        <w:rPr>
          <w:i/>
          <w:sz w:val="28"/>
          <w:szCs w:val="28"/>
        </w:rPr>
        <w:lastRenderedPageBreak/>
        <w:t>Procurement in South Africa</w:t>
      </w:r>
      <w:r w:rsidRPr="007429EC">
        <w:rPr>
          <w:rStyle w:val="FootnoteReference"/>
          <w:sz w:val="28"/>
          <w:szCs w:val="28"/>
        </w:rPr>
        <w:footnoteReference w:id="30"/>
      </w:r>
      <w:r w:rsidRPr="007429EC">
        <w:rPr>
          <w:i/>
          <w:sz w:val="28"/>
          <w:szCs w:val="28"/>
        </w:rPr>
        <w:t xml:space="preserve"> </w:t>
      </w:r>
      <w:r w:rsidRPr="007429EC">
        <w:rPr>
          <w:sz w:val="28"/>
          <w:szCs w:val="28"/>
        </w:rPr>
        <w:t>says the following in regard to the underlying rationale for a competitive and fair procurement process:</w:t>
      </w:r>
    </w:p>
    <w:p w14:paraId="4615A205" w14:textId="771E87B7" w:rsidR="00D22053" w:rsidRPr="007429EC" w:rsidRDefault="003B6577" w:rsidP="00B224C9">
      <w:pPr>
        <w:rPr>
          <w:szCs w:val="28"/>
        </w:rPr>
      </w:pPr>
      <w:r w:rsidRPr="007429EC">
        <w:rPr>
          <w:szCs w:val="28"/>
        </w:rPr>
        <w:t>'</w:t>
      </w:r>
      <w:r w:rsidR="00780502" w:rsidRPr="007429EC">
        <w:rPr>
          <w:szCs w:val="28"/>
        </w:rPr>
        <w:t>One of the primary reasons for the express inclusion of the five principles in section 217(1) of the Constitution is to safeguard the integrity of the government procurement process. The inclusion of the principles, in addition to ensuring the prudent use of public resources, is aimed at preventing corruption.</w:t>
      </w:r>
      <w:r w:rsidRPr="007429EC">
        <w:rPr>
          <w:szCs w:val="28"/>
        </w:rPr>
        <w:t>'</w:t>
      </w:r>
      <w:r w:rsidR="00780502" w:rsidRPr="007429EC">
        <w:rPr>
          <w:rStyle w:val="FootnoteReference"/>
          <w:szCs w:val="28"/>
        </w:rPr>
        <w:footnoteReference w:id="31"/>
      </w:r>
    </w:p>
    <w:p w14:paraId="1C66538B" w14:textId="626AF810" w:rsidR="00962FD7" w:rsidRPr="007429EC" w:rsidRDefault="00962FD7" w:rsidP="00B224C9">
      <w:pPr>
        <w:rPr>
          <w:sz w:val="28"/>
          <w:szCs w:val="28"/>
        </w:rPr>
      </w:pPr>
    </w:p>
    <w:p w14:paraId="79801E3E" w14:textId="73E5AAD0" w:rsidR="00402FC3" w:rsidRPr="007429EC" w:rsidRDefault="00402FC3" w:rsidP="00B224C9">
      <w:pPr>
        <w:rPr>
          <w:sz w:val="28"/>
          <w:szCs w:val="28"/>
        </w:rPr>
      </w:pPr>
      <w:r w:rsidRPr="007429EC">
        <w:rPr>
          <w:sz w:val="28"/>
          <w:szCs w:val="28"/>
        </w:rPr>
        <w:t>[</w:t>
      </w:r>
      <w:r w:rsidR="00C77A1A" w:rsidRPr="007429EC">
        <w:rPr>
          <w:sz w:val="28"/>
          <w:szCs w:val="28"/>
        </w:rPr>
        <w:t>42</w:t>
      </w:r>
      <w:r w:rsidRPr="007429EC">
        <w:rPr>
          <w:sz w:val="28"/>
          <w:szCs w:val="28"/>
        </w:rPr>
        <w:t>]</w:t>
      </w:r>
      <w:r w:rsidRPr="007429EC">
        <w:rPr>
          <w:sz w:val="28"/>
          <w:szCs w:val="28"/>
        </w:rPr>
        <w:tab/>
        <w:t xml:space="preserve">Of fundamental importance in the context of the facts of this case is Treasury Regulation 16A which pertinently regulates supply chain management processes in relation to, inter alia, government departments. In </w:t>
      </w:r>
      <w:r w:rsidRPr="007429EC">
        <w:rPr>
          <w:i/>
          <w:sz w:val="28"/>
          <w:szCs w:val="28"/>
        </w:rPr>
        <w:t>Allpay Consolidated</w:t>
      </w:r>
      <w:r w:rsidR="00C77A1A" w:rsidRPr="007429EC">
        <w:rPr>
          <w:sz w:val="28"/>
          <w:szCs w:val="28"/>
        </w:rPr>
        <w:t>,</w:t>
      </w:r>
      <w:r w:rsidRPr="007429EC">
        <w:rPr>
          <w:i/>
          <w:sz w:val="28"/>
          <w:szCs w:val="28"/>
        </w:rPr>
        <w:t xml:space="preserve"> </w:t>
      </w:r>
      <w:r w:rsidRPr="007429EC">
        <w:rPr>
          <w:sz w:val="28"/>
          <w:szCs w:val="28"/>
        </w:rPr>
        <w:t xml:space="preserve">the Constitutional Court emphasised, albeit in a difference context, that </w:t>
      </w:r>
      <w:r w:rsidR="003B6577" w:rsidRPr="007429EC">
        <w:rPr>
          <w:sz w:val="28"/>
          <w:szCs w:val="28"/>
        </w:rPr>
        <w:t>'</w:t>
      </w:r>
      <w:r w:rsidRPr="007429EC">
        <w:rPr>
          <w:sz w:val="28"/>
          <w:szCs w:val="28"/>
        </w:rPr>
        <w:t xml:space="preserve">[t]he facts of each case will determine what any </w:t>
      </w:r>
      <w:r w:rsidR="006E4DCB" w:rsidRPr="007429EC">
        <w:rPr>
          <w:sz w:val="28"/>
          <w:szCs w:val="28"/>
        </w:rPr>
        <w:t>shortfall in the requirements of the procurement system – unfairness, inequity, lack of transparency, lack of competitiveness or cost-efficiency – may lead to…</w:t>
      </w:r>
      <w:r w:rsidR="003B6577" w:rsidRPr="007429EC">
        <w:rPr>
          <w:sz w:val="28"/>
          <w:szCs w:val="28"/>
        </w:rPr>
        <w:t>'</w:t>
      </w:r>
      <w:r w:rsidR="006E4DCB" w:rsidRPr="007429EC">
        <w:rPr>
          <w:sz w:val="28"/>
          <w:szCs w:val="28"/>
        </w:rPr>
        <w:t>.</w:t>
      </w:r>
      <w:r w:rsidR="006E4DCB" w:rsidRPr="007429EC">
        <w:rPr>
          <w:rStyle w:val="FootnoteReference"/>
          <w:sz w:val="28"/>
          <w:szCs w:val="28"/>
        </w:rPr>
        <w:footnoteReference w:id="32"/>
      </w:r>
      <w:r w:rsidR="006E4DCB" w:rsidRPr="007429EC">
        <w:rPr>
          <w:sz w:val="28"/>
          <w:szCs w:val="28"/>
        </w:rPr>
        <w:t xml:space="preserve"> As already indicated above, in awarding the tender and pursuant to which the Department concluded the contract and PPA with the Joint Venture, the Department was exercising public power. And as we are here dealing with</w:t>
      </w:r>
      <w:r w:rsidR="00C77A1A" w:rsidRPr="007429EC">
        <w:rPr>
          <w:sz w:val="28"/>
          <w:szCs w:val="28"/>
        </w:rPr>
        <w:t xml:space="preserve"> a self-review by a government d</w:t>
      </w:r>
      <w:r w:rsidR="006E4DCB" w:rsidRPr="007429EC">
        <w:rPr>
          <w:sz w:val="28"/>
          <w:szCs w:val="28"/>
        </w:rPr>
        <w:t xml:space="preserve">epartment, the principle of legality is the only permissible </w:t>
      </w:r>
      <w:r w:rsidR="0011081A" w:rsidRPr="007429EC">
        <w:rPr>
          <w:sz w:val="28"/>
          <w:szCs w:val="28"/>
        </w:rPr>
        <w:t xml:space="preserve">avenue </w:t>
      </w:r>
      <w:r w:rsidR="006E4DCB" w:rsidRPr="007429EC">
        <w:rPr>
          <w:sz w:val="28"/>
          <w:szCs w:val="28"/>
        </w:rPr>
        <w:t xml:space="preserve">through which the decisions at issue here may be reviewed. </w:t>
      </w:r>
      <w:r w:rsidR="00DD3E74" w:rsidRPr="007429EC">
        <w:rPr>
          <w:sz w:val="28"/>
          <w:szCs w:val="28"/>
        </w:rPr>
        <w:t xml:space="preserve">Accordingly, as Madlanga J and Pretorius AJ observed in </w:t>
      </w:r>
      <w:r w:rsidR="00DD3E74" w:rsidRPr="007429EC">
        <w:rPr>
          <w:i/>
          <w:sz w:val="28"/>
          <w:szCs w:val="28"/>
        </w:rPr>
        <w:t>State Information Technology Agency SOC Limited v Gijima Holdings (Pty) Limited</w:t>
      </w:r>
      <w:r w:rsidR="00C77A1A" w:rsidRPr="007429EC">
        <w:rPr>
          <w:i/>
          <w:sz w:val="28"/>
          <w:szCs w:val="28"/>
        </w:rPr>
        <w:t xml:space="preserve"> </w:t>
      </w:r>
      <w:r w:rsidR="00C77A1A" w:rsidRPr="007429EC">
        <w:rPr>
          <w:sz w:val="28"/>
          <w:szCs w:val="28"/>
        </w:rPr>
        <w:t>(</w:t>
      </w:r>
      <w:r w:rsidR="00C77A1A" w:rsidRPr="007429EC">
        <w:rPr>
          <w:i/>
          <w:sz w:val="28"/>
          <w:szCs w:val="28"/>
        </w:rPr>
        <w:t>Sita</w:t>
      </w:r>
      <w:r w:rsidR="00C77A1A" w:rsidRPr="007429EC">
        <w:rPr>
          <w:sz w:val="28"/>
          <w:szCs w:val="28"/>
        </w:rPr>
        <w:t>),</w:t>
      </w:r>
      <w:r w:rsidR="00DD3E74" w:rsidRPr="007429EC">
        <w:rPr>
          <w:rStyle w:val="FootnoteReference"/>
          <w:sz w:val="28"/>
          <w:szCs w:val="28"/>
        </w:rPr>
        <w:footnoteReference w:id="33"/>
      </w:r>
      <w:r w:rsidR="00DD3E74" w:rsidRPr="007429EC">
        <w:rPr>
          <w:sz w:val="28"/>
          <w:szCs w:val="28"/>
        </w:rPr>
        <w:t xml:space="preserve"> the pertinent question is:</w:t>
      </w:r>
    </w:p>
    <w:p w14:paraId="15E45800" w14:textId="67D6FFDB" w:rsidR="00DD3E74" w:rsidRPr="007429EC" w:rsidRDefault="003B6577" w:rsidP="00B224C9">
      <w:pPr>
        <w:rPr>
          <w:szCs w:val="28"/>
        </w:rPr>
      </w:pPr>
      <w:r w:rsidRPr="007429EC">
        <w:rPr>
          <w:szCs w:val="28"/>
        </w:rPr>
        <w:t>'</w:t>
      </w:r>
      <w:r w:rsidR="00DD3E74" w:rsidRPr="007429EC">
        <w:rPr>
          <w:szCs w:val="28"/>
        </w:rPr>
        <w:t>[d]id the award conform to legal prescripts? If it did, that is the end of the matter. If it did not, it may be reviewed and possibly set aside under legality review.</w:t>
      </w:r>
      <w:r w:rsidRPr="007429EC">
        <w:rPr>
          <w:szCs w:val="28"/>
        </w:rPr>
        <w:t>'</w:t>
      </w:r>
      <w:r w:rsidR="00DD3E74" w:rsidRPr="007429EC">
        <w:rPr>
          <w:rStyle w:val="FootnoteReference"/>
          <w:szCs w:val="28"/>
        </w:rPr>
        <w:footnoteReference w:id="34"/>
      </w:r>
    </w:p>
    <w:p w14:paraId="1D52E07C" w14:textId="7E19334B" w:rsidR="00DD3E74" w:rsidRPr="007429EC" w:rsidRDefault="00DD3E74" w:rsidP="00B224C9">
      <w:pPr>
        <w:rPr>
          <w:sz w:val="28"/>
          <w:szCs w:val="28"/>
        </w:rPr>
      </w:pPr>
      <w:r w:rsidRPr="007429EC">
        <w:rPr>
          <w:sz w:val="28"/>
          <w:szCs w:val="28"/>
        </w:rPr>
        <w:lastRenderedPageBreak/>
        <w:t>[</w:t>
      </w:r>
      <w:r w:rsidR="00B80CD9" w:rsidRPr="007429EC">
        <w:rPr>
          <w:sz w:val="28"/>
          <w:szCs w:val="28"/>
        </w:rPr>
        <w:t>43</w:t>
      </w:r>
      <w:r w:rsidRPr="007429EC">
        <w:rPr>
          <w:sz w:val="28"/>
          <w:szCs w:val="28"/>
        </w:rPr>
        <w:t>]</w:t>
      </w:r>
      <w:r w:rsidRPr="007429EC">
        <w:rPr>
          <w:sz w:val="28"/>
          <w:szCs w:val="28"/>
        </w:rPr>
        <w:tab/>
        <w:t xml:space="preserve">In this case there was no dispute that the process preceding the award of the tender did not accord with the dictates of s 217 of the Constitution. This is because the </w:t>
      </w:r>
      <w:r w:rsidR="0013689E" w:rsidRPr="007429EC">
        <w:rPr>
          <w:sz w:val="28"/>
          <w:szCs w:val="28"/>
        </w:rPr>
        <w:t>BEC</w:t>
      </w:r>
      <w:r w:rsidRPr="007429EC">
        <w:rPr>
          <w:sz w:val="28"/>
          <w:szCs w:val="28"/>
        </w:rPr>
        <w:t xml:space="preserve"> and the </w:t>
      </w:r>
      <w:r w:rsidR="0013689E" w:rsidRPr="007429EC">
        <w:rPr>
          <w:sz w:val="28"/>
          <w:szCs w:val="28"/>
        </w:rPr>
        <w:t>BAC</w:t>
      </w:r>
      <w:r w:rsidR="00BF0FFA" w:rsidRPr="007429EC">
        <w:rPr>
          <w:sz w:val="28"/>
          <w:szCs w:val="28"/>
        </w:rPr>
        <w:t>, both of which</w:t>
      </w:r>
      <w:r w:rsidRPr="007429EC">
        <w:rPr>
          <w:sz w:val="28"/>
          <w:szCs w:val="28"/>
        </w:rPr>
        <w:t xml:space="preserve"> were central to the ultimate award of the tender</w:t>
      </w:r>
      <w:r w:rsidR="00BF0FFA" w:rsidRPr="007429EC">
        <w:rPr>
          <w:sz w:val="28"/>
          <w:szCs w:val="28"/>
        </w:rPr>
        <w:t>,</w:t>
      </w:r>
      <w:r w:rsidRPr="007429EC">
        <w:rPr>
          <w:sz w:val="28"/>
          <w:szCs w:val="28"/>
        </w:rPr>
        <w:t xml:space="preserve"> </w:t>
      </w:r>
      <w:r w:rsidR="0011081A" w:rsidRPr="007429EC">
        <w:rPr>
          <w:sz w:val="28"/>
          <w:szCs w:val="28"/>
        </w:rPr>
        <w:t xml:space="preserve">failed </w:t>
      </w:r>
      <w:r w:rsidRPr="007429EC">
        <w:rPr>
          <w:sz w:val="28"/>
          <w:szCs w:val="28"/>
        </w:rPr>
        <w:t xml:space="preserve">at every turn in </w:t>
      </w:r>
      <w:r w:rsidR="00317D0A" w:rsidRPr="007429EC">
        <w:rPr>
          <w:sz w:val="28"/>
          <w:szCs w:val="28"/>
        </w:rPr>
        <w:t>conscientiously</w:t>
      </w:r>
      <w:r w:rsidRPr="007429EC">
        <w:rPr>
          <w:sz w:val="28"/>
          <w:szCs w:val="28"/>
        </w:rPr>
        <w:t xml:space="preserve"> discharging their constitutional and statutory responsibilities. This then raises the question as to whether the Department acted contrary to the dictates of the Constitution which is the supreme law in this country.</w:t>
      </w:r>
      <w:r w:rsidRPr="007429EC">
        <w:rPr>
          <w:rStyle w:val="FootnoteReference"/>
          <w:sz w:val="28"/>
          <w:szCs w:val="28"/>
        </w:rPr>
        <w:footnoteReference w:id="35"/>
      </w:r>
    </w:p>
    <w:p w14:paraId="6CE57B87" w14:textId="77777777" w:rsidR="00DD3E74" w:rsidRPr="007429EC" w:rsidRDefault="00DD3E74" w:rsidP="00B224C9">
      <w:pPr>
        <w:rPr>
          <w:sz w:val="28"/>
          <w:szCs w:val="28"/>
        </w:rPr>
      </w:pPr>
    </w:p>
    <w:p w14:paraId="3AC0EDD8" w14:textId="0FDCF942" w:rsidR="00DD3E74" w:rsidRPr="007429EC" w:rsidRDefault="00DD3E74" w:rsidP="00B224C9">
      <w:pPr>
        <w:rPr>
          <w:sz w:val="28"/>
          <w:szCs w:val="28"/>
        </w:rPr>
      </w:pPr>
      <w:r w:rsidRPr="007429EC">
        <w:rPr>
          <w:sz w:val="28"/>
          <w:szCs w:val="28"/>
        </w:rPr>
        <w:t>[</w:t>
      </w:r>
      <w:r w:rsidR="00CB7FAD" w:rsidRPr="007429EC">
        <w:rPr>
          <w:sz w:val="28"/>
          <w:szCs w:val="28"/>
        </w:rPr>
        <w:t>44</w:t>
      </w:r>
      <w:r w:rsidRPr="007429EC">
        <w:rPr>
          <w:sz w:val="28"/>
          <w:szCs w:val="28"/>
        </w:rPr>
        <w:t>]</w:t>
      </w:r>
      <w:r w:rsidRPr="007429EC">
        <w:rPr>
          <w:sz w:val="28"/>
          <w:szCs w:val="28"/>
        </w:rPr>
        <w:tab/>
        <w:t xml:space="preserve">Before us, lead counsel for the </w:t>
      </w:r>
      <w:r w:rsidR="00D552DD" w:rsidRPr="007429EC">
        <w:rPr>
          <w:sz w:val="28"/>
          <w:szCs w:val="28"/>
        </w:rPr>
        <w:t>g</w:t>
      </w:r>
      <w:r w:rsidRPr="007429EC">
        <w:rPr>
          <w:sz w:val="28"/>
          <w:szCs w:val="28"/>
        </w:rPr>
        <w:t>overnment parties address</w:t>
      </w:r>
      <w:r w:rsidR="00BF0FFA" w:rsidRPr="007429EC">
        <w:rPr>
          <w:sz w:val="28"/>
          <w:szCs w:val="28"/>
        </w:rPr>
        <w:t>ed</w:t>
      </w:r>
      <w:r w:rsidRPr="007429EC">
        <w:rPr>
          <w:sz w:val="28"/>
          <w:szCs w:val="28"/>
        </w:rPr>
        <w:t xml:space="preserve"> the substantive merits of the review first</w:t>
      </w:r>
      <w:r w:rsidR="00BF0FFA" w:rsidRPr="007429EC">
        <w:rPr>
          <w:sz w:val="28"/>
          <w:szCs w:val="28"/>
        </w:rPr>
        <w:t>,</w:t>
      </w:r>
      <w:r w:rsidRPr="007429EC">
        <w:rPr>
          <w:sz w:val="28"/>
          <w:szCs w:val="28"/>
        </w:rPr>
        <w:t xml:space="preserve"> and the issue of delay</w:t>
      </w:r>
      <w:r w:rsidR="00BF0FFA" w:rsidRPr="007429EC">
        <w:rPr>
          <w:sz w:val="28"/>
          <w:szCs w:val="28"/>
        </w:rPr>
        <w:t xml:space="preserve"> last</w:t>
      </w:r>
      <w:r w:rsidRPr="007429EC">
        <w:rPr>
          <w:sz w:val="28"/>
          <w:szCs w:val="28"/>
        </w:rPr>
        <w:t>. In this judgment</w:t>
      </w:r>
      <w:r w:rsidR="0011081A" w:rsidRPr="007429EC">
        <w:rPr>
          <w:sz w:val="28"/>
          <w:szCs w:val="28"/>
        </w:rPr>
        <w:t>,</w:t>
      </w:r>
      <w:r w:rsidRPr="007429EC">
        <w:rPr>
          <w:sz w:val="28"/>
          <w:szCs w:val="28"/>
        </w:rPr>
        <w:t xml:space="preserve"> I shall adopt the same approach.</w:t>
      </w:r>
      <w:r w:rsidR="0011081A" w:rsidRPr="007429EC">
        <w:rPr>
          <w:rStyle w:val="FootnoteReference"/>
          <w:sz w:val="28"/>
          <w:szCs w:val="28"/>
        </w:rPr>
        <w:footnoteReference w:id="36"/>
      </w:r>
    </w:p>
    <w:p w14:paraId="28B6C5EA" w14:textId="7A0F47D4" w:rsidR="00DD3E74" w:rsidRPr="007429EC" w:rsidRDefault="00DD3E74" w:rsidP="00B224C9">
      <w:pPr>
        <w:rPr>
          <w:sz w:val="28"/>
          <w:szCs w:val="28"/>
        </w:rPr>
      </w:pPr>
    </w:p>
    <w:p w14:paraId="6F84327A" w14:textId="116CA0F0" w:rsidR="007B12A8" w:rsidRPr="007429EC" w:rsidRDefault="007B12A8" w:rsidP="007B12A8">
      <w:pPr>
        <w:rPr>
          <w:sz w:val="28"/>
          <w:szCs w:val="28"/>
        </w:rPr>
      </w:pPr>
      <w:r w:rsidRPr="007429EC">
        <w:rPr>
          <w:sz w:val="28"/>
          <w:szCs w:val="28"/>
        </w:rPr>
        <w:t>[</w:t>
      </w:r>
      <w:r w:rsidR="00CB7FAD" w:rsidRPr="007429EC">
        <w:rPr>
          <w:sz w:val="28"/>
          <w:szCs w:val="28"/>
        </w:rPr>
        <w:t>45</w:t>
      </w:r>
      <w:r w:rsidRPr="007429EC">
        <w:rPr>
          <w:sz w:val="28"/>
          <w:szCs w:val="28"/>
        </w:rPr>
        <w:t>]</w:t>
      </w:r>
      <w:r w:rsidRPr="007429EC">
        <w:rPr>
          <w:sz w:val="28"/>
          <w:szCs w:val="28"/>
        </w:rPr>
        <w:tab/>
        <w:t>It is timely at this stage to address the substantive merits of the review itself. Two important points in this regard need to be emphasised. First, in a review of administrative action taken under the procurement process</w:t>
      </w:r>
      <w:r w:rsidR="00CB7FAD" w:rsidRPr="007429EC">
        <w:rPr>
          <w:sz w:val="28"/>
          <w:szCs w:val="28"/>
        </w:rPr>
        <w:t>,</w:t>
      </w:r>
      <w:r w:rsidRPr="007429EC">
        <w:rPr>
          <w:sz w:val="28"/>
          <w:szCs w:val="28"/>
        </w:rPr>
        <w:t xml:space="preserve"> courts are enjoined to assess the evidence that impugns the procurement process to establish whether such evidence justifies the conclusion that any one of the grounds of review has been established. And, as the Constitutional Court held in </w:t>
      </w:r>
      <w:r w:rsidRPr="007429EC">
        <w:rPr>
          <w:i/>
          <w:sz w:val="28"/>
          <w:szCs w:val="28"/>
        </w:rPr>
        <w:t>Allpay Consolidated</w:t>
      </w:r>
      <w:r w:rsidR="00FF022B" w:rsidRPr="007429EC">
        <w:rPr>
          <w:sz w:val="28"/>
          <w:szCs w:val="28"/>
        </w:rPr>
        <w:t>,</w:t>
      </w:r>
      <w:r w:rsidRPr="007429EC">
        <w:rPr>
          <w:sz w:val="28"/>
          <w:szCs w:val="28"/>
        </w:rPr>
        <w:t xml:space="preserve"> albeit in a different context, if the reviewing court finds that </w:t>
      </w:r>
      <w:r w:rsidR="003B6577" w:rsidRPr="007429EC">
        <w:rPr>
          <w:sz w:val="28"/>
          <w:szCs w:val="28"/>
        </w:rPr>
        <w:t>'</w:t>
      </w:r>
      <w:r w:rsidRPr="007429EC">
        <w:rPr>
          <w:sz w:val="28"/>
          <w:szCs w:val="28"/>
        </w:rPr>
        <w:t>there are valid grounds for review, it must declare the procurement process to be constitutionally invalid and set it aside.</w:t>
      </w:r>
      <w:r w:rsidR="003B6577" w:rsidRPr="007429EC">
        <w:rPr>
          <w:sz w:val="28"/>
          <w:szCs w:val="28"/>
        </w:rPr>
        <w:t>'</w:t>
      </w:r>
      <w:r w:rsidRPr="007429EC">
        <w:rPr>
          <w:rStyle w:val="FootnoteReference"/>
          <w:sz w:val="28"/>
          <w:szCs w:val="28"/>
        </w:rPr>
        <w:footnoteReference w:id="37"/>
      </w:r>
    </w:p>
    <w:p w14:paraId="3D915573" w14:textId="77777777" w:rsidR="007B12A8" w:rsidRPr="007429EC" w:rsidRDefault="007B12A8" w:rsidP="007B12A8">
      <w:pPr>
        <w:rPr>
          <w:sz w:val="28"/>
          <w:szCs w:val="28"/>
        </w:rPr>
      </w:pPr>
    </w:p>
    <w:p w14:paraId="0B88029C" w14:textId="3339ACCD" w:rsidR="007B12A8" w:rsidRPr="007429EC" w:rsidRDefault="007B12A8" w:rsidP="007B12A8">
      <w:pPr>
        <w:rPr>
          <w:sz w:val="28"/>
          <w:szCs w:val="28"/>
        </w:rPr>
      </w:pPr>
      <w:r w:rsidRPr="007429EC">
        <w:rPr>
          <w:sz w:val="28"/>
          <w:szCs w:val="28"/>
        </w:rPr>
        <w:t>[</w:t>
      </w:r>
      <w:r w:rsidR="00AD45E6" w:rsidRPr="007429EC">
        <w:rPr>
          <w:sz w:val="28"/>
          <w:szCs w:val="28"/>
        </w:rPr>
        <w:t>46</w:t>
      </w:r>
      <w:r w:rsidRPr="007429EC">
        <w:rPr>
          <w:sz w:val="28"/>
          <w:szCs w:val="28"/>
        </w:rPr>
        <w:t>]</w:t>
      </w:r>
      <w:r w:rsidRPr="007429EC">
        <w:rPr>
          <w:sz w:val="28"/>
          <w:szCs w:val="28"/>
        </w:rPr>
        <w:tab/>
        <w:t xml:space="preserve">What the Constitutional Court said in </w:t>
      </w:r>
      <w:r w:rsidRPr="007429EC">
        <w:rPr>
          <w:i/>
          <w:sz w:val="28"/>
          <w:szCs w:val="28"/>
        </w:rPr>
        <w:t>Allpay Consolidated</w:t>
      </w:r>
      <w:r w:rsidRPr="007429EC">
        <w:rPr>
          <w:sz w:val="28"/>
          <w:szCs w:val="28"/>
        </w:rPr>
        <w:t xml:space="preserve"> bears repeating. The </w:t>
      </w:r>
      <w:r w:rsidR="00AD45E6" w:rsidRPr="007429EC">
        <w:rPr>
          <w:sz w:val="28"/>
          <w:szCs w:val="28"/>
        </w:rPr>
        <w:t xml:space="preserve">Constitutional </w:t>
      </w:r>
      <w:r w:rsidRPr="007429EC">
        <w:rPr>
          <w:sz w:val="28"/>
          <w:szCs w:val="28"/>
        </w:rPr>
        <w:t>Court stated that:</w:t>
      </w:r>
    </w:p>
    <w:p w14:paraId="7BD8C860" w14:textId="19C88C02" w:rsidR="007B12A8" w:rsidRPr="007429EC" w:rsidRDefault="003B6577" w:rsidP="007B12A8">
      <w:pPr>
        <w:rPr>
          <w:szCs w:val="28"/>
        </w:rPr>
      </w:pPr>
      <w:r w:rsidRPr="007429EC">
        <w:rPr>
          <w:szCs w:val="28"/>
        </w:rPr>
        <w:lastRenderedPageBreak/>
        <w:t>'</w:t>
      </w:r>
      <w:r w:rsidR="007B12A8" w:rsidRPr="007429EC">
        <w:rPr>
          <w:szCs w:val="28"/>
        </w:rPr>
        <w:t>The materiality of irregularities is determined primarily by assessing whether the purposes the tender requirements serve have been substantively achieved.</w:t>
      </w:r>
      <w:r w:rsidRPr="007429EC">
        <w:rPr>
          <w:szCs w:val="28"/>
        </w:rPr>
        <w:t>'</w:t>
      </w:r>
      <w:r w:rsidR="007B12A8" w:rsidRPr="007429EC">
        <w:rPr>
          <w:rStyle w:val="FootnoteReference"/>
          <w:szCs w:val="28"/>
        </w:rPr>
        <w:footnoteReference w:id="38"/>
      </w:r>
    </w:p>
    <w:p w14:paraId="468C036F" w14:textId="77777777" w:rsidR="007B12A8" w:rsidRPr="007429EC" w:rsidRDefault="007B12A8" w:rsidP="007B12A8">
      <w:pPr>
        <w:rPr>
          <w:szCs w:val="28"/>
        </w:rPr>
      </w:pPr>
    </w:p>
    <w:p w14:paraId="046C9D35" w14:textId="51AD8B70" w:rsidR="007B12A8" w:rsidRPr="007429EC" w:rsidRDefault="007B12A8" w:rsidP="007B12A8">
      <w:pPr>
        <w:rPr>
          <w:sz w:val="28"/>
          <w:szCs w:val="28"/>
        </w:rPr>
      </w:pPr>
      <w:r w:rsidRPr="007429EC">
        <w:rPr>
          <w:sz w:val="28"/>
          <w:szCs w:val="28"/>
        </w:rPr>
        <w:t>[</w:t>
      </w:r>
      <w:r w:rsidR="007D5693" w:rsidRPr="007429EC">
        <w:rPr>
          <w:sz w:val="28"/>
          <w:szCs w:val="28"/>
        </w:rPr>
        <w:t>47</w:t>
      </w:r>
      <w:r w:rsidRPr="007429EC">
        <w:rPr>
          <w:sz w:val="28"/>
          <w:szCs w:val="28"/>
        </w:rPr>
        <w:t>]</w:t>
      </w:r>
      <w:r w:rsidRPr="007429EC">
        <w:rPr>
          <w:sz w:val="28"/>
          <w:szCs w:val="28"/>
        </w:rPr>
        <w:tab/>
        <w:t>In dealing with the substantive merits of the review itself, it will be helpful to set out again in broad terms what the RFPs required of prospective bidders for the tender under consideration in this case. The following represents the key components of the tender gleaned from the RFPs that were not met by the Joint Venture:</w:t>
      </w:r>
    </w:p>
    <w:p w14:paraId="55D7B299" w14:textId="2C6FB2A3" w:rsidR="007B12A8" w:rsidRPr="007429EC" w:rsidRDefault="007D5693" w:rsidP="007D5693">
      <w:pPr>
        <w:rPr>
          <w:sz w:val="28"/>
          <w:szCs w:val="28"/>
        </w:rPr>
      </w:pPr>
      <w:r w:rsidRPr="007429EC">
        <w:rPr>
          <w:sz w:val="28"/>
          <w:szCs w:val="28"/>
        </w:rPr>
        <w:t xml:space="preserve">(a) </w:t>
      </w:r>
      <w:r w:rsidR="007B12A8" w:rsidRPr="007429EC">
        <w:rPr>
          <w:sz w:val="28"/>
          <w:szCs w:val="28"/>
        </w:rPr>
        <w:t>bidders were required to submit audited financial statements for the three-year period preceding the tender;</w:t>
      </w:r>
    </w:p>
    <w:p w14:paraId="4EEB8833" w14:textId="69C68D28" w:rsidR="007B12A8" w:rsidRPr="007429EC" w:rsidRDefault="007D5693" w:rsidP="007D5693">
      <w:pPr>
        <w:rPr>
          <w:sz w:val="28"/>
          <w:szCs w:val="28"/>
        </w:rPr>
      </w:pPr>
      <w:r w:rsidRPr="007429EC">
        <w:rPr>
          <w:sz w:val="28"/>
          <w:szCs w:val="28"/>
        </w:rPr>
        <w:t xml:space="preserve">(b) </w:t>
      </w:r>
      <w:r w:rsidR="007B12A8" w:rsidRPr="007429EC">
        <w:rPr>
          <w:sz w:val="28"/>
          <w:szCs w:val="28"/>
        </w:rPr>
        <w:t>the successful bidder was required to acquire the land and provide office and residential accommodation at own cost;</w:t>
      </w:r>
    </w:p>
    <w:p w14:paraId="3CD4E697" w14:textId="56A6662B" w:rsidR="007B12A8" w:rsidRPr="007429EC" w:rsidRDefault="007D5693" w:rsidP="007D5693">
      <w:pPr>
        <w:rPr>
          <w:sz w:val="28"/>
          <w:szCs w:val="28"/>
        </w:rPr>
      </w:pPr>
      <w:r w:rsidRPr="007429EC">
        <w:rPr>
          <w:sz w:val="28"/>
          <w:szCs w:val="28"/>
        </w:rPr>
        <w:t xml:space="preserve">(c) </w:t>
      </w:r>
      <w:r w:rsidR="007B12A8" w:rsidRPr="007429EC">
        <w:rPr>
          <w:sz w:val="28"/>
          <w:szCs w:val="28"/>
        </w:rPr>
        <w:t>the prospective bidders were required to demonstrate that they had the requisite financial resources to undertake the project;</w:t>
      </w:r>
      <w:r w:rsidRPr="007429EC">
        <w:rPr>
          <w:sz w:val="28"/>
          <w:szCs w:val="28"/>
        </w:rPr>
        <w:t xml:space="preserve"> and</w:t>
      </w:r>
    </w:p>
    <w:p w14:paraId="4E9F156F" w14:textId="62EE6C2A" w:rsidR="007B12A8" w:rsidRPr="007429EC" w:rsidRDefault="007D5693" w:rsidP="007D5693">
      <w:pPr>
        <w:rPr>
          <w:sz w:val="28"/>
          <w:szCs w:val="28"/>
        </w:rPr>
      </w:pPr>
      <w:r w:rsidRPr="007429EC">
        <w:rPr>
          <w:sz w:val="28"/>
          <w:szCs w:val="28"/>
        </w:rPr>
        <w:t xml:space="preserve">(d) </w:t>
      </w:r>
      <w:r w:rsidR="007B12A8" w:rsidRPr="007429EC">
        <w:rPr>
          <w:sz w:val="28"/>
          <w:szCs w:val="28"/>
        </w:rPr>
        <w:t xml:space="preserve">where a bid is submitted by a consortium or joint venture, each member of the consortium or joint venture was required to submit audited financial statements for the three-year period preceding the bid. </w:t>
      </w:r>
    </w:p>
    <w:p w14:paraId="4806105A" w14:textId="77777777" w:rsidR="007B12A8" w:rsidRPr="007429EC" w:rsidRDefault="007B12A8" w:rsidP="007B12A8">
      <w:pPr>
        <w:rPr>
          <w:sz w:val="28"/>
          <w:szCs w:val="28"/>
        </w:rPr>
      </w:pPr>
    </w:p>
    <w:p w14:paraId="2BAE1C0C" w14:textId="7A430EC7" w:rsidR="007B12A8" w:rsidRPr="007429EC" w:rsidRDefault="007B12A8" w:rsidP="007B12A8">
      <w:pPr>
        <w:rPr>
          <w:sz w:val="28"/>
          <w:szCs w:val="28"/>
        </w:rPr>
      </w:pPr>
      <w:r w:rsidRPr="007429EC">
        <w:rPr>
          <w:sz w:val="28"/>
          <w:szCs w:val="28"/>
        </w:rPr>
        <w:t>[</w:t>
      </w:r>
      <w:r w:rsidR="007D5693" w:rsidRPr="007429EC">
        <w:rPr>
          <w:sz w:val="28"/>
          <w:szCs w:val="28"/>
        </w:rPr>
        <w:t>48</w:t>
      </w:r>
      <w:r w:rsidRPr="007429EC">
        <w:rPr>
          <w:sz w:val="28"/>
          <w:szCs w:val="28"/>
        </w:rPr>
        <w:t>]</w:t>
      </w:r>
      <w:r w:rsidRPr="007429EC">
        <w:rPr>
          <w:sz w:val="28"/>
          <w:szCs w:val="28"/>
        </w:rPr>
        <w:tab/>
        <w:t>As already indicated in paragraph 10 above, only two bids were received by the closing date. One of them was disqualified at the outset since it had not provided audited financial statements for the preceding three financial years as required. The remaining tender, submitted by the Joint Venture, was referred to the BEC for evaluation. Having considered the bid, the BEC recommended to the BAC that it ought to be accepted. For its part</w:t>
      </w:r>
      <w:r w:rsidR="00FF022B" w:rsidRPr="007429EC">
        <w:rPr>
          <w:sz w:val="28"/>
          <w:szCs w:val="28"/>
        </w:rPr>
        <w:t>,</w:t>
      </w:r>
      <w:r w:rsidRPr="007429EC">
        <w:rPr>
          <w:sz w:val="28"/>
          <w:szCs w:val="28"/>
        </w:rPr>
        <w:t xml:space="preserve"> the BAC</w:t>
      </w:r>
      <w:r w:rsidR="007D5693" w:rsidRPr="007429EC">
        <w:rPr>
          <w:sz w:val="28"/>
          <w:szCs w:val="28"/>
        </w:rPr>
        <w:t>,</w:t>
      </w:r>
      <w:r w:rsidRPr="007429EC">
        <w:rPr>
          <w:sz w:val="28"/>
          <w:szCs w:val="28"/>
        </w:rPr>
        <w:t xml:space="preserve"> in turn</w:t>
      </w:r>
      <w:r w:rsidR="007D5693" w:rsidRPr="007429EC">
        <w:rPr>
          <w:sz w:val="28"/>
          <w:szCs w:val="28"/>
        </w:rPr>
        <w:t>,</w:t>
      </w:r>
      <w:r w:rsidRPr="007429EC">
        <w:rPr>
          <w:sz w:val="28"/>
          <w:szCs w:val="28"/>
        </w:rPr>
        <w:t xml:space="preserve"> recommended to the Director</w:t>
      </w:r>
      <w:r w:rsidR="00BF0FFA" w:rsidRPr="007429EC">
        <w:rPr>
          <w:sz w:val="28"/>
          <w:szCs w:val="28"/>
        </w:rPr>
        <w:noBreakHyphen/>
      </w:r>
      <w:r w:rsidRPr="007429EC">
        <w:rPr>
          <w:sz w:val="28"/>
          <w:szCs w:val="28"/>
        </w:rPr>
        <w:t>General that the Simeka Group</w:t>
      </w:r>
      <w:r w:rsidR="003B6577" w:rsidRPr="007429EC">
        <w:rPr>
          <w:sz w:val="28"/>
          <w:szCs w:val="28"/>
        </w:rPr>
        <w:t>'</w:t>
      </w:r>
      <w:r w:rsidRPr="007429EC">
        <w:rPr>
          <w:sz w:val="28"/>
          <w:szCs w:val="28"/>
        </w:rPr>
        <w:t xml:space="preserve">s bid should be accepted. This </w:t>
      </w:r>
      <w:r w:rsidRPr="007429EC">
        <w:rPr>
          <w:sz w:val="28"/>
          <w:szCs w:val="28"/>
        </w:rPr>
        <w:lastRenderedPageBreak/>
        <w:t>recommendation</w:t>
      </w:r>
      <w:r w:rsidR="00337A05">
        <w:rPr>
          <w:sz w:val="28"/>
          <w:szCs w:val="28"/>
        </w:rPr>
        <w:t xml:space="preserve"> found favour with the Director-</w:t>
      </w:r>
      <w:r w:rsidRPr="007429EC">
        <w:rPr>
          <w:sz w:val="28"/>
          <w:szCs w:val="28"/>
        </w:rPr>
        <w:t>General who accepted it and thereafter concluded an agreement with Simeka Group.</w:t>
      </w:r>
    </w:p>
    <w:p w14:paraId="5176B98C" w14:textId="77777777" w:rsidR="007B12A8" w:rsidRPr="007429EC" w:rsidRDefault="007B12A8" w:rsidP="007B12A8">
      <w:pPr>
        <w:rPr>
          <w:sz w:val="28"/>
          <w:szCs w:val="28"/>
        </w:rPr>
      </w:pPr>
    </w:p>
    <w:p w14:paraId="52B90ABF" w14:textId="10025EFC" w:rsidR="007B12A8" w:rsidRPr="007429EC" w:rsidRDefault="007B12A8" w:rsidP="007B12A8">
      <w:pPr>
        <w:rPr>
          <w:sz w:val="28"/>
          <w:szCs w:val="28"/>
        </w:rPr>
      </w:pPr>
      <w:r w:rsidRPr="007429EC">
        <w:rPr>
          <w:sz w:val="28"/>
          <w:szCs w:val="28"/>
        </w:rPr>
        <w:t>[</w:t>
      </w:r>
      <w:r w:rsidR="000C23CA" w:rsidRPr="007429EC">
        <w:rPr>
          <w:sz w:val="28"/>
          <w:szCs w:val="28"/>
        </w:rPr>
        <w:t>49</w:t>
      </w:r>
      <w:r w:rsidRPr="007429EC">
        <w:rPr>
          <w:sz w:val="28"/>
          <w:szCs w:val="28"/>
        </w:rPr>
        <w:t>]</w:t>
      </w:r>
      <w:r w:rsidRPr="007429EC">
        <w:rPr>
          <w:sz w:val="28"/>
          <w:szCs w:val="28"/>
        </w:rPr>
        <w:tab/>
        <w:t>Against the foregoing backdrop, the complaints raised by the government parties will now be considered. In order to avoid prolixity, not all of the complaints raised against the award will be traversed in this judgment. This judgment will be confined to those complaints that either individually or cumulatively lead to one conclusion that the BEC or BAC or both deviated in material respects from the requirements of the RFPs.</w:t>
      </w:r>
    </w:p>
    <w:p w14:paraId="1FDE27E4" w14:textId="77777777" w:rsidR="007B12A8" w:rsidRPr="007429EC" w:rsidRDefault="007B12A8" w:rsidP="007B12A8">
      <w:pPr>
        <w:rPr>
          <w:sz w:val="28"/>
          <w:szCs w:val="28"/>
        </w:rPr>
      </w:pPr>
    </w:p>
    <w:p w14:paraId="28AD1BE3" w14:textId="77777777" w:rsidR="007B12A8" w:rsidRPr="007429EC" w:rsidRDefault="007B12A8" w:rsidP="007B12A8">
      <w:pPr>
        <w:rPr>
          <w:sz w:val="28"/>
          <w:szCs w:val="28"/>
        </w:rPr>
      </w:pPr>
      <w:r w:rsidRPr="007429EC">
        <w:rPr>
          <w:b/>
          <w:sz w:val="28"/>
          <w:szCs w:val="28"/>
        </w:rPr>
        <w:t>Failure to submit complete set of audited financial statements</w:t>
      </w:r>
    </w:p>
    <w:p w14:paraId="1413A6F0" w14:textId="3F156473" w:rsidR="007B12A8" w:rsidRPr="007429EC" w:rsidRDefault="007B12A8" w:rsidP="007B12A8">
      <w:pPr>
        <w:rPr>
          <w:sz w:val="28"/>
          <w:szCs w:val="28"/>
        </w:rPr>
      </w:pPr>
      <w:r w:rsidRPr="007429EC">
        <w:rPr>
          <w:sz w:val="28"/>
          <w:szCs w:val="28"/>
        </w:rPr>
        <w:t>[</w:t>
      </w:r>
      <w:r w:rsidR="00256C97" w:rsidRPr="007429EC">
        <w:rPr>
          <w:sz w:val="28"/>
          <w:szCs w:val="28"/>
        </w:rPr>
        <w:t>50</w:t>
      </w:r>
      <w:r w:rsidRPr="007429EC">
        <w:rPr>
          <w:sz w:val="28"/>
          <w:szCs w:val="28"/>
        </w:rPr>
        <w:t>]</w:t>
      </w:r>
      <w:r w:rsidRPr="007429EC">
        <w:rPr>
          <w:sz w:val="28"/>
          <w:szCs w:val="28"/>
        </w:rPr>
        <w:tab/>
        <w:t>Amongst the criteria stipulated in the RFPs, is that set out in clause 7.1.2. It required bidders who submit bids either as a consortium or joint venture, to submit audited financial statements for each member of the consortium or joint venture. Simeka Group does not have qualms with this criterion</w:t>
      </w:r>
      <w:r w:rsidR="00C03753" w:rsidRPr="007429EC">
        <w:rPr>
          <w:sz w:val="28"/>
          <w:szCs w:val="28"/>
        </w:rPr>
        <w:t>,</w:t>
      </w:r>
      <w:r w:rsidRPr="007429EC">
        <w:rPr>
          <w:sz w:val="28"/>
          <w:szCs w:val="28"/>
        </w:rPr>
        <w:t xml:space="preserve"> </w:t>
      </w:r>
      <w:r w:rsidR="00C03753" w:rsidRPr="007429EC">
        <w:rPr>
          <w:sz w:val="28"/>
          <w:szCs w:val="28"/>
        </w:rPr>
        <w:t>n</w:t>
      </w:r>
      <w:r w:rsidRPr="007429EC">
        <w:rPr>
          <w:sz w:val="28"/>
          <w:szCs w:val="28"/>
        </w:rPr>
        <w:t>or does it dispute that it failed to provide audited financial statements for the preceding three years. Simeka Group attributes its failure to do so to the fact that it was in the process of changing its auditors. The failure by Simeka Group to meet this requirement was heavily relied upon by the government parties both in the heads of argument and in oral argument before us.</w:t>
      </w:r>
    </w:p>
    <w:p w14:paraId="50F80600" w14:textId="77777777" w:rsidR="007B12A8" w:rsidRPr="007429EC" w:rsidRDefault="007B12A8" w:rsidP="007B12A8">
      <w:pPr>
        <w:rPr>
          <w:sz w:val="28"/>
          <w:szCs w:val="28"/>
        </w:rPr>
      </w:pPr>
    </w:p>
    <w:p w14:paraId="560B0C69" w14:textId="062FAF3C" w:rsidR="007B12A8" w:rsidRPr="007429EC" w:rsidRDefault="007B12A8" w:rsidP="007B12A8">
      <w:pPr>
        <w:rPr>
          <w:sz w:val="28"/>
          <w:szCs w:val="28"/>
        </w:rPr>
      </w:pPr>
      <w:r w:rsidRPr="007429EC">
        <w:rPr>
          <w:sz w:val="28"/>
          <w:szCs w:val="28"/>
        </w:rPr>
        <w:t>[</w:t>
      </w:r>
      <w:r w:rsidR="00C03753" w:rsidRPr="007429EC">
        <w:rPr>
          <w:sz w:val="28"/>
          <w:szCs w:val="28"/>
        </w:rPr>
        <w:t>51</w:t>
      </w:r>
      <w:r w:rsidRPr="007429EC">
        <w:rPr>
          <w:sz w:val="28"/>
          <w:szCs w:val="28"/>
        </w:rPr>
        <w:t>]</w:t>
      </w:r>
      <w:r w:rsidRPr="007429EC">
        <w:rPr>
          <w:sz w:val="28"/>
          <w:szCs w:val="28"/>
        </w:rPr>
        <w:tab/>
        <w:t xml:space="preserve">Whilst accepting that Simeka Group failed to submit audited financial statements, counsel for the respondents argued that the BEC required to evaluate the bid elected to overlook this requirement presumably because it </w:t>
      </w:r>
      <w:r w:rsidR="003B6577" w:rsidRPr="007429EC">
        <w:rPr>
          <w:sz w:val="28"/>
          <w:szCs w:val="28"/>
        </w:rPr>
        <w:t>'</w:t>
      </w:r>
      <w:r w:rsidRPr="007429EC">
        <w:rPr>
          <w:sz w:val="28"/>
          <w:szCs w:val="28"/>
        </w:rPr>
        <w:t>saw no difficulty with this requirement</w:t>
      </w:r>
      <w:r w:rsidR="003B6577" w:rsidRPr="007429EC">
        <w:rPr>
          <w:sz w:val="28"/>
          <w:szCs w:val="28"/>
        </w:rPr>
        <w:t>'</w:t>
      </w:r>
      <w:r w:rsidRPr="007429EC">
        <w:rPr>
          <w:sz w:val="28"/>
          <w:szCs w:val="28"/>
        </w:rPr>
        <w:t xml:space="preserve"> </w:t>
      </w:r>
      <w:r w:rsidR="00F21F35">
        <w:rPr>
          <w:sz w:val="28"/>
          <w:szCs w:val="28"/>
        </w:rPr>
        <w:t>for the reason that</w:t>
      </w:r>
      <w:r w:rsidRPr="007429EC">
        <w:rPr>
          <w:sz w:val="28"/>
          <w:szCs w:val="28"/>
        </w:rPr>
        <w:t xml:space="preserve"> it considered that the requirements of clause 7.1.2 had been satisfied. Instead the BEC </w:t>
      </w:r>
      <w:r w:rsidR="003B6577" w:rsidRPr="007429EC">
        <w:rPr>
          <w:sz w:val="28"/>
          <w:szCs w:val="28"/>
        </w:rPr>
        <w:t>'</w:t>
      </w:r>
      <w:r w:rsidRPr="007429EC">
        <w:rPr>
          <w:sz w:val="28"/>
          <w:szCs w:val="28"/>
        </w:rPr>
        <w:t>urged that the financial statements</w:t>
      </w:r>
      <w:r w:rsidR="00207808" w:rsidRPr="007429EC">
        <w:rPr>
          <w:sz w:val="28"/>
          <w:szCs w:val="28"/>
        </w:rPr>
        <w:t xml:space="preserve"> </w:t>
      </w:r>
      <w:r w:rsidRPr="007429EC">
        <w:rPr>
          <w:sz w:val="28"/>
          <w:szCs w:val="28"/>
        </w:rPr>
        <w:t>...</w:t>
      </w:r>
      <w:r w:rsidR="00207808" w:rsidRPr="007429EC">
        <w:rPr>
          <w:sz w:val="28"/>
          <w:szCs w:val="28"/>
        </w:rPr>
        <w:t xml:space="preserve"> </w:t>
      </w:r>
      <w:r w:rsidRPr="007429EC">
        <w:rPr>
          <w:sz w:val="28"/>
          <w:szCs w:val="28"/>
        </w:rPr>
        <w:t xml:space="preserve">must </w:t>
      </w:r>
      <w:r w:rsidRPr="007429EC">
        <w:rPr>
          <w:sz w:val="28"/>
          <w:szCs w:val="28"/>
        </w:rPr>
        <w:lastRenderedPageBreak/>
        <w:t>be forwarded to Internal Audit for [thorough investigation] of the financial position of the company</w:t>
      </w:r>
      <w:r w:rsidR="003B6577" w:rsidRPr="007429EC">
        <w:rPr>
          <w:sz w:val="28"/>
          <w:szCs w:val="28"/>
        </w:rPr>
        <w:t>'</w:t>
      </w:r>
      <w:r w:rsidRPr="007429EC">
        <w:rPr>
          <w:sz w:val="28"/>
          <w:szCs w:val="28"/>
        </w:rPr>
        <w:t xml:space="preserve">. Building on this, it was contended that the BEC must be taken to have either waived this requirement because the provisions of the RFPs permitted waiver, or, alternatively, decided to </w:t>
      </w:r>
      <w:r w:rsidR="003B6577" w:rsidRPr="007429EC">
        <w:rPr>
          <w:sz w:val="28"/>
          <w:szCs w:val="28"/>
        </w:rPr>
        <w:t>'</w:t>
      </w:r>
      <w:r w:rsidRPr="007429EC">
        <w:rPr>
          <w:sz w:val="28"/>
          <w:szCs w:val="28"/>
        </w:rPr>
        <w:t>prequalify the Simeka Group</w:t>
      </w:r>
      <w:r w:rsidR="003B6577" w:rsidRPr="007429EC">
        <w:rPr>
          <w:sz w:val="28"/>
          <w:szCs w:val="28"/>
        </w:rPr>
        <w:t>'</w:t>
      </w:r>
      <w:r w:rsidRPr="007429EC">
        <w:rPr>
          <w:sz w:val="28"/>
          <w:szCs w:val="28"/>
        </w:rPr>
        <w:t xml:space="preserve"> provided that its unaudited financial statements were </w:t>
      </w:r>
      <w:r w:rsidR="003B6577" w:rsidRPr="007429EC">
        <w:rPr>
          <w:sz w:val="28"/>
          <w:szCs w:val="28"/>
        </w:rPr>
        <w:t>'</w:t>
      </w:r>
      <w:r w:rsidRPr="007429EC">
        <w:rPr>
          <w:sz w:val="28"/>
          <w:szCs w:val="28"/>
        </w:rPr>
        <w:t>sent to Internal Audit for thorough investigation</w:t>
      </w:r>
      <w:r w:rsidR="003B6577" w:rsidRPr="007429EC">
        <w:rPr>
          <w:sz w:val="28"/>
          <w:szCs w:val="28"/>
        </w:rPr>
        <w:t>'</w:t>
      </w:r>
      <w:r w:rsidRPr="007429EC">
        <w:rPr>
          <w:sz w:val="28"/>
          <w:szCs w:val="28"/>
        </w:rPr>
        <w:t>.</w:t>
      </w:r>
    </w:p>
    <w:p w14:paraId="00E7ECE5" w14:textId="77777777" w:rsidR="007B12A8" w:rsidRPr="007429EC" w:rsidRDefault="007B12A8" w:rsidP="007B12A8">
      <w:pPr>
        <w:rPr>
          <w:sz w:val="28"/>
          <w:szCs w:val="28"/>
        </w:rPr>
      </w:pPr>
    </w:p>
    <w:p w14:paraId="5C77AB03" w14:textId="27304CC5" w:rsidR="007B12A8" w:rsidRPr="007429EC" w:rsidRDefault="007B12A8" w:rsidP="007B12A8">
      <w:pPr>
        <w:rPr>
          <w:sz w:val="28"/>
          <w:szCs w:val="28"/>
        </w:rPr>
      </w:pPr>
      <w:r w:rsidRPr="007429EC">
        <w:rPr>
          <w:sz w:val="28"/>
          <w:szCs w:val="28"/>
        </w:rPr>
        <w:t>[</w:t>
      </w:r>
      <w:r w:rsidR="001D1A14" w:rsidRPr="007429EC">
        <w:rPr>
          <w:sz w:val="28"/>
          <w:szCs w:val="28"/>
        </w:rPr>
        <w:t>52</w:t>
      </w:r>
      <w:r w:rsidRPr="007429EC">
        <w:rPr>
          <w:sz w:val="28"/>
          <w:szCs w:val="28"/>
        </w:rPr>
        <w:t>]</w:t>
      </w:r>
      <w:r w:rsidRPr="007429EC">
        <w:rPr>
          <w:sz w:val="28"/>
          <w:szCs w:val="28"/>
        </w:rPr>
        <w:tab/>
        <w:t xml:space="preserve">I do not think that the contentions advanced on behalf of the respondents can avail them. To uphold these contentions would undermine the letter and spirit of s 217 of the Constitution that seeks to ensure that the procurement of goods and services </w:t>
      </w:r>
      <w:r w:rsidR="00EB32BF" w:rsidRPr="007429EC">
        <w:rPr>
          <w:sz w:val="28"/>
          <w:szCs w:val="28"/>
        </w:rPr>
        <w:t>by</w:t>
      </w:r>
      <w:r w:rsidRPr="007429EC">
        <w:rPr>
          <w:sz w:val="28"/>
          <w:szCs w:val="28"/>
        </w:rPr>
        <w:t xml:space="preserve"> organs of state is </w:t>
      </w:r>
      <w:r w:rsidR="003B6577" w:rsidRPr="007429EC">
        <w:rPr>
          <w:sz w:val="28"/>
          <w:szCs w:val="28"/>
        </w:rPr>
        <w:t>'</w:t>
      </w:r>
      <w:r w:rsidRPr="007429EC">
        <w:rPr>
          <w:sz w:val="28"/>
          <w:szCs w:val="28"/>
        </w:rPr>
        <w:t>fair, equitable, transparent, competitive and cost-effective</w:t>
      </w:r>
      <w:r w:rsidR="003B6577" w:rsidRPr="007429EC">
        <w:rPr>
          <w:sz w:val="28"/>
          <w:szCs w:val="28"/>
        </w:rPr>
        <w:t>'</w:t>
      </w:r>
      <w:r w:rsidRPr="007429EC">
        <w:rPr>
          <w:sz w:val="28"/>
          <w:szCs w:val="28"/>
        </w:rPr>
        <w:t xml:space="preserve">. As the Constitutional Court aptly put it in </w:t>
      </w:r>
      <w:r w:rsidRPr="007429EC">
        <w:rPr>
          <w:i/>
          <w:sz w:val="28"/>
          <w:szCs w:val="28"/>
        </w:rPr>
        <w:t>Allpay Consolidated</w:t>
      </w:r>
      <w:r w:rsidRPr="007429EC">
        <w:rPr>
          <w:sz w:val="28"/>
          <w:szCs w:val="28"/>
        </w:rPr>
        <w:t>:</w:t>
      </w:r>
    </w:p>
    <w:p w14:paraId="75E8772B" w14:textId="3F31FB86" w:rsidR="007B12A8" w:rsidRPr="007429EC" w:rsidRDefault="003B6577" w:rsidP="007B12A8">
      <w:pPr>
        <w:rPr>
          <w:szCs w:val="28"/>
        </w:rPr>
      </w:pPr>
      <w:r w:rsidRPr="007429EC">
        <w:rPr>
          <w:szCs w:val="28"/>
        </w:rPr>
        <w:t>'</w:t>
      </w:r>
      <w:r w:rsidR="007B12A8" w:rsidRPr="007429EC">
        <w:rPr>
          <w:szCs w:val="28"/>
        </w:rPr>
        <w:t>Compliance with the requirements for a valid tender process, issued in accordance with the constitutional and legislative procurement framework, is thus legally required. These requirements are not merely internal prescripts that</w:t>
      </w:r>
      <w:r w:rsidR="00207808" w:rsidRPr="007429EC">
        <w:rPr>
          <w:szCs w:val="28"/>
        </w:rPr>
        <w:t xml:space="preserve"> </w:t>
      </w:r>
      <w:r w:rsidR="007B12A8" w:rsidRPr="007429EC">
        <w:rPr>
          <w:szCs w:val="28"/>
        </w:rPr>
        <w:t>...</w:t>
      </w:r>
      <w:r w:rsidR="00207808" w:rsidRPr="007429EC">
        <w:rPr>
          <w:szCs w:val="28"/>
        </w:rPr>
        <w:t xml:space="preserve"> </w:t>
      </w:r>
      <w:r w:rsidR="007B12A8" w:rsidRPr="007429EC">
        <w:rPr>
          <w:szCs w:val="28"/>
        </w:rPr>
        <w:t>may [be] disregard[ed] at whim. To hold otherwise would undermine the demands of equal treatment, transparency and efficiency under the Constitution.</w:t>
      </w:r>
      <w:r w:rsidRPr="007429EC">
        <w:rPr>
          <w:szCs w:val="28"/>
        </w:rPr>
        <w:t>'</w:t>
      </w:r>
      <w:r w:rsidR="007B12A8" w:rsidRPr="007429EC">
        <w:rPr>
          <w:rStyle w:val="FootnoteReference"/>
          <w:szCs w:val="28"/>
        </w:rPr>
        <w:footnoteReference w:id="39"/>
      </w:r>
    </w:p>
    <w:p w14:paraId="72309332" w14:textId="77777777" w:rsidR="007B12A8" w:rsidRPr="007429EC" w:rsidRDefault="007B12A8" w:rsidP="007B12A8">
      <w:pPr>
        <w:rPr>
          <w:sz w:val="28"/>
          <w:szCs w:val="28"/>
        </w:rPr>
      </w:pPr>
    </w:p>
    <w:p w14:paraId="4C8BD8A1" w14:textId="4D449CD4" w:rsidR="007B12A8" w:rsidRPr="007429EC" w:rsidRDefault="007B12A8" w:rsidP="007B12A8">
      <w:pPr>
        <w:rPr>
          <w:sz w:val="28"/>
          <w:szCs w:val="28"/>
        </w:rPr>
      </w:pPr>
      <w:r w:rsidRPr="007429EC">
        <w:rPr>
          <w:sz w:val="28"/>
          <w:szCs w:val="28"/>
        </w:rPr>
        <w:t>[</w:t>
      </w:r>
      <w:r w:rsidR="001D1A14" w:rsidRPr="007429EC">
        <w:rPr>
          <w:sz w:val="28"/>
          <w:szCs w:val="28"/>
        </w:rPr>
        <w:t>53</w:t>
      </w:r>
      <w:r w:rsidRPr="007429EC">
        <w:rPr>
          <w:sz w:val="28"/>
          <w:szCs w:val="28"/>
        </w:rPr>
        <w:t>]</w:t>
      </w:r>
      <w:r w:rsidRPr="007429EC">
        <w:rPr>
          <w:sz w:val="28"/>
          <w:szCs w:val="28"/>
        </w:rPr>
        <w:tab/>
        <w:t>In these circumstances counsel</w:t>
      </w:r>
      <w:r w:rsidR="003B6577" w:rsidRPr="007429EC">
        <w:rPr>
          <w:sz w:val="28"/>
          <w:szCs w:val="28"/>
        </w:rPr>
        <w:t>'</w:t>
      </w:r>
      <w:r w:rsidRPr="007429EC">
        <w:rPr>
          <w:sz w:val="28"/>
          <w:szCs w:val="28"/>
        </w:rPr>
        <w:t xml:space="preserve">s reliance on </w:t>
      </w:r>
      <w:r w:rsidRPr="007429EC">
        <w:rPr>
          <w:i/>
          <w:sz w:val="28"/>
          <w:szCs w:val="28"/>
        </w:rPr>
        <w:t>Airports Company South Africa v Tswelokgotso Trading Enterprises CC</w:t>
      </w:r>
      <w:r w:rsidR="004F35A6" w:rsidRPr="007429EC">
        <w:rPr>
          <w:i/>
          <w:sz w:val="28"/>
          <w:szCs w:val="28"/>
        </w:rPr>
        <w:t xml:space="preserve"> </w:t>
      </w:r>
      <w:r w:rsidR="004F35A6" w:rsidRPr="007429EC">
        <w:rPr>
          <w:sz w:val="28"/>
          <w:szCs w:val="28"/>
        </w:rPr>
        <w:t>(</w:t>
      </w:r>
      <w:r w:rsidR="004F35A6" w:rsidRPr="007429EC">
        <w:rPr>
          <w:i/>
          <w:sz w:val="28"/>
          <w:szCs w:val="28"/>
        </w:rPr>
        <w:t>Airports Company</w:t>
      </w:r>
      <w:r w:rsidR="004F35A6" w:rsidRPr="007429EC">
        <w:rPr>
          <w:sz w:val="28"/>
          <w:szCs w:val="28"/>
        </w:rPr>
        <w:t>)</w:t>
      </w:r>
      <w:r w:rsidRPr="007429EC">
        <w:rPr>
          <w:rStyle w:val="FootnoteReference"/>
          <w:sz w:val="28"/>
          <w:szCs w:val="28"/>
        </w:rPr>
        <w:footnoteReference w:id="40"/>
      </w:r>
      <w:r w:rsidRPr="007429EC">
        <w:rPr>
          <w:sz w:val="28"/>
          <w:szCs w:val="28"/>
        </w:rPr>
        <w:t xml:space="preserve"> does not assist the respondents. </w:t>
      </w:r>
      <w:r w:rsidRPr="007429EC">
        <w:rPr>
          <w:i/>
          <w:sz w:val="28"/>
          <w:szCs w:val="28"/>
        </w:rPr>
        <w:t>Airports Company</w:t>
      </w:r>
      <w:r w:rsidRPr="007429EC">
        <w:rPr>
          <w:sz w:val="28"/>
          <w:szCs w:val="28"/>
        </w:rPr>
        <w:t xml:space="preserve"> was concerned with an entirely different issue and the passage upon which counsel relied was made in the context of the facts of that case. Nor is it helpful for the respondents to invoke the case of </w:t>
      </w:r>
      <w:r w:rsidR="004F35A6" w:rsidRPr="007429EC">
        <w:rPr>
          <w:i/>
          <w:sz w:val="28"/>
          <w:szCs w:val="28"/>
        </w:rPr>
        <w:t xml:space="preserve">City of Cape Town v Aurecon South Africa (Pty) Ltd </w:t>
      </w:r>
      <w:r w:rsidR="004F35A6" w:rsidRPr="007429EC">
        <w:rPr>
          <w:sz w:val="28"/>
          <w:szCs w:val="28"/>
        </w:rPr>
        <w:t>(</w:t>
      </w:r>
      <w:r w:rsidR="004F35A6" w:rsidRPr="007429EC">
        <w:rPr>
          <w:i/>
          <w:sz w:val="28"/>
          <w:szCs w:val="28"/>
        </w:rPr>
        <w:t>Aurecon</w:t>
      </w:r>
      <w:r w:rsidR="004F35A6" w:rsidRPr="007429EC">
        <w:rPr>
          <w:sz w:val="28"/>
          <w:szCs w:val="28"/>
        </w:rPr>
        <w:t>)</w:t>
      </w:r>
      <w:r w:rsidR="004F35A6" w:rsidRPr="007429EC">
        <w:rPr>
          <w:i/>
          <w:sz w:val="28"/>
          <w:szCs w:val="28"/>
        </w:rPr>
        <w:t>.</w:t>
      </w:r>
      <w:r w:rsidRPr="007429EC">
        <w:rPr>
          <w:rStyle w:val="FootnoteReference"/>
          <w:sz w:val="28"/>
          <w:szCs w:val="28"/>
        </w:rPr>
        <w:footnoteReference w:id="41"/>
      </w:r>
      <w:r w:rsidRPr="007429EC">
        <w:rPr>
          <w:i/>
          <w:sz w:val="28"/>
          <w:szCs w:val="28"/>
        </w:rPr>
        <w:t xml:space="preserve"> </w:t>
      </w:r>
      <w:r w:rsidRPr="007429EC">
        <w:rPr>
          <w:sz w:val="28"/>
          <w:szCs w:val="28"/>
        </w:rPr>
        <w:t xml:space="preserve">What the Constitutional Court said in </w:t>
      </w:r>
      <w:r w:rsidRPr="007429EC">
        <w:rPr>
          <w:i/>
          <w:sz w:val="28"/>
          <w:szCs w:val="28"/>
        </w:rPr>
        <w:lastRenderedPageBreak/>
        <w:t>Aurecon</w:t>
      </w:r>
      <w:r w:rsidR="004F35A6" w:rsidRPr="007429EC">
        <w:rPr>
          <w:sz w:val="28"/>
          <w:szCs w:val="28"/>
        </w:rPr>
        <w:t>,</w:t>
      </w:r>
      <w:r w:rsidRPr="007429EC">
        <w:rPr>
          <w:rStyle w:val="FootnoteReference"/>
          <w:sz w:val="28"/>
          <w:szCs w:val="28"/>
        </w:rPr>
        <w:footnoteReference w:id="42"/>
      </w:r>
      <w:r w:rsidRPr="007429EC">
        <w:rPr>
          <w:i/>
          <w:sz w:val="28"/>
          <w:szCs w:val="28"/>
        </w:rPr>
        <w:t xml:space="preserve"> </w:t>
      </w:r>
      <w:r w:rsidRPr="007429EC">
        <w:rPr>
          <w:sz w:val="28"/>
          <w:szCs w:val="28"/>
        </w:rPr>
        <w:t>was in the context of determining the question whether the delay in instituting the review was unreasonable or not. And the</w:t>
      </w:r>
      <w:r w:rsidR="004F35A6" w:rsidRPr="007429EC">
        <w:rPr>
          <w:sz w:val="28"/>
          <w:szCs w:val="28"/>
        </w:rPr>
        <w:t xml:space="preserve"> Constitutional</w:t>
      </w:r>
      <w:r w:rsidRPr="007429EC">
        <w:rPr>
          <w:sz w:val="28"/>
          <w:szCs w:val="28"/>
        </w:rPr>
        <w:t xml:space="preserve"> Court there</w:t>
      </w:r>
      <w:r w:rsidR="009B4C82" w:rsidRPr="007429EC">
        <w:rPr>
          <w:sz w:val="28"/>
          <w:szCs w:val="28"/>
        </w:rPr>
        <w:t>,</w:t>
      </w:r>
      <w:r w:rsidRPr="007429EC">
        <w:rPr>
          <w:sz w:val="28"/>
          <w:szCs w:val="28"/>
        </w:rPr>
        <w:t xml:space="preserve"> said that since the BEC and BAC were domestic committees mandated by the City itself for purposes of the tender process their knowledge</w:t>
      </w:r>
      <w:r w:rsidR="00893FAB" w:rsidRPr="007429EC">
        <w:rPr>
          <w:sz w:val="28"/>
          <w:szCs w:val="28"/>
        </w:rPr>
        <w:t xml:space="preserve"> had to be imputed to the City.</w:t>
      </w:r>
      <w:r w:rsidR="00893FAB" w:rsidRPr="007429EC">
        <w:rPr>
          <w:rStyle w:val="FootnoteReference"/>
          <w:sz w:val="28"/>
          <w:szCs w:val="28"/>
        </w:rPr>
        <w:footnoteReference w:id="43"/>
      </w:r>
    </w:p>
    <w:p w14:paraId="2C026EE2" w14:textId="77777777" w:rsidR="007B12A8" w:rsidRPr="007429EC" w:rsidRDefault="007B12A8" w:rsidP="007B12A8">
      <w:pPr>
        <w:rPr>
          <w:sz w:val="28"/>
          <w:szCs w:val="28"/>
        </w:rPr>
      </w:pPr>
    </w:p>
    <w:p w14:paraId="74649822" w14:textId="664E13C8" w:rsidR="007B12A8" w:rsidRPr="007429EC" w:rsidRDefault="007B12A8" w:rsidP="007B12A8">
      <w:pPr>
        <w:rPr>
          <w:sz w:val="28"/>
          <w:szCs w:val="28"/>
        </w:rPr>
      </w:pPr>
      <w:r w:rsidRPr="007429EC">
        <w:rPr>
          <w:b/>
          <w:sz w:val="28"/>
          <w:szCs w:val="28"/>
        </w:rPr>
        <w:t xml:space="preserve">Failure to submit relevant documentation by </w:t>
      </w:r>
      <w:r w:rsidR="00F95615" w:rsidRPr="007429EC">
        <w:rPr>
          <w:b/>
          <w:sz w:val="28"/>
          <w:szCs w:val="28"/>
        </w:rPr>
        <w:t>each</w:t>
      </w:r>
      <w:r w:rsidRPr="007429EC">
        <w:rPr>
          <w:b/>
          <w:sz w:val="28"/>
          <w:szCs w:val="28"/>
        </w:rPr>
        <w:t xml:space="preserve"> member of the Joint Venture</w:t>
      </w:r>
    </w:p>
    <w:p w14:paraId="522D4DDB" w14:textId="44371582" w:rsidR="007B12A8" w:rsidRPr="007429EC" w:rsidRDefault="007B12A8" w:rsidP="007B12A8">
      <w:pPr>
        <w:rPr>
          <w:sz w:val="28"/>
          <w:szCs w:val="28"/>
        </w:rPr>
      </w:pPr>
      <w:r w:rsidRPr="007429EC">
        <w:rPr>
          <w:sz w:val="28"/>
          <w:szCs w:val="28"/>
        </w:rPr>
        <w:t>[</w:t>
      </w:r>
      <w:r w:rsidR="00893FAB" w:rsidRPr="007429EC">
        <w:rPr>
          <w:sz w:val="28"/>
          <w:szCs w:val="28"/>
        </w:rPr>
        <w:t>54</w:t>
      </w:r>
      <w:r w:rsidRPr="007429EC">
        <w:rPr>
          <w:sz w:val="28"/>
          <w:szCs w:val="28"/>
        </w:rPr>
        <w:t>]</w:t>
      </w:r>
      <w:r w:rsidRPr="007429EC">
        <w:rPr>
          <w:sz w:val="28"/>
          <w:szCs w:val="28"/>
        </w:rPr>
        <w:tab/>
        <w:t>The RFPs required, in terms of clause 7.1.3 thereof, that where a bid is submitted in the name of, for example, a Joint Venture</w:t>
      </w:r>
      <w:r w:rsidR="00F95615" w:rsidRPr="007429EC">
        <w:rPr>
          <w:sz w:val="28"/>
          <w:szCs w:val="28"/>
        </w:rPr>
        <w:t>,</w:t>
      </w:r>
      <w:r w:rsidRPr="007429EC">
        <w:rPr>
          <w:sz w:val="28"/>
          <w:szCs w:val="28"/>
        </w:rPr>
        <w:t xml:space="preserve"> the bid documents must be submitted in the name of all the parties to the joint venture. Here</w:t>
      </w:r>
      <w:r w:rsidR="002F726B" w:rsidRPr="007429EC">
        <w:rPr>
          <w:sz w:val="28"/>
          <w:szCs w:val="28"/>
        </w:rPr>
        <w:t>,</w:t>
      </w:r>
      <w:r w:rsidRPr="007429EC">
        <w:rPr>
          <w:sz w:val="28"/>
          <w:szCs w:val="28"/>
        </w:rPr>
        <w:t xml:space="preserve"> the crux of the complaint is that the bid documents were submitted in the name of Simeka Group only, excluding Regiments Capital that was said to be a party to the Joint Venture. In this case</w:t>
      </w:r>
      <w:r w:rsidR="002F726B" w:rsidRPr="007429EC">
        <w:rPr>
          <w:sz w:val="28"/>
          <w:szCs w:val="28"/>
        </w:rPr>
        <w:t>,</w:t>
      </w:r>
      <w:r w:rsidRPr="007429EC">
        <w:rPr>
          <w:sz w:val="28"/>
          <w:szCs w:val="28"/>
        </w:rPr>
        <w:t xml:space="preserve"> there is no dispute that the bid documents were in the name of Simeka Group only. The submissions advanced by the respondents in contesting this ground </w:t>
      </w:r>
      <w:r w:rsidR="00876ED7" w:rsidRPr="007429EC">
        <w:rPr>
          <w:sz w:val="28"/>
          <w:szCs w:val="28"/>
        </w:rPr>
        <w:t>are</w:t>
      </w:r>
      <w:r w:rsidRPr="007429EC">
        <w:rPr>
          <w:sz w:val="28"/>
          <w:szCs w:val="28"/>
        </w:rPr>
        <w:t xml:space="preserve"> multi-pronged. The first is that the Department itself had, in its letter of 26 April 2018 addressed to </w:t>
      </w:r>
      <w:r w:rsidR="006D235E">
        <w:rPr>
          <w:sz w:val="28"/>
          <w:szCs w:val="28"/>
        </w:rPr>
        <w:t xml:space="preserve">the </w:t>
      </w:r>
      <w:r w:rsidRPr="007429EC">
        <w:rPr>
          <w:sz w:val="28"/>
          <w:szCs w:val="28"/>
        </w:rPr>
        <w:t>National Treasury, effectively asserted that this ground lacked substance. It was therefore argued that the Department has not explained why it later changed tack in its review application and contend</w:t>
      </w:r>
      <w:r w:rsidR="002F726B" w:rsidRPr="007429EC">
        <w:rPr>
          <w:sz w:val="28"/>
          <w:szCs w:val="28"/>
        </w:rPr>
        <w:t>ed</w:t>
      </w:r>
      <w:r w:rsidRPr="007429EC">
        <w:rPr>
          <w:sz w:val="28"/>
          <w:szCs w:val="28"/>
        </w:rPr>
        <w:t xml:space="preserve"> that its acceptance of the bid documents of Simeka Group was an error without explaining how the error came about.</w:t>
      </w:r>
    </w:p>
    <w:p w14:paraId="2F10ADFD" w14:textId="77777777" w:rsidR="007B12A8" w:rsidRPr="007429EC" w:rsidRDefault="007B12A8" w:rsidP="007B12A8">
      <w:pPr>
        <w:rPr>
          <w:sz w:val="28"/>
          <w:szCs w:val="28"/>
        </w:rPr>
      </w:pPr>
    </w:p>
    <w:p w14:paraId="2DEF9E2D" w14:textId="4BAB8D3C" w:rsidR="007B12A8" w:rsidRPr="007429EC" w:rsidRDefault="007B12A8" w:rsidP="007B12A8">
      <w:pPr>
        <w:rPr>
          <w:sz w:val="28"/>
          <w:szCs w:val="28"/>
        </w:rPr>
      </w:pPr>
      <w:r w:rsidRPr="007429EC">
        <w:rPr>
          <w:sz w:val="28"/>
          <w:szCs w:val="28"/>
        </w:rPr>
        <w:t>[</w:t>
      </w:r>
      <w:r w:rsidR="002F726B" w:rsidRPr="007429EC">
        <w:rPr>
          <w:sz w:val="28"/>
          <w:szCs w:val="28"/>
        </w:rPr>
        <w:t>55</w:t>
      </w:r>
      <w:r w:rsidRPr="007429EC">
        <w:rPr>
          <w:sz w:val="28"/>
          <w:szCs w:val="28"/>
        </w:rPr>
        <w:t>]</w:t>
      </w:r>
      <w:r w:rsidRPr="007429EC">
        <w:rPr>
          <w:sz w:val="28"/>
          <w:szCs w:val="28"/>
        </w:rPr>
        <w:tab/>
        <w:t xml:space="preserve">Moreover, counsel for the respondents relied on </w:t>
      </w:r>
      <w:r w:rsidR="002F726B" w:rsidRPr="007429EC">
        <w:rPr>
          <w:i/>
          <w:sz w:val="28"/>
          <w:szCs w:val="28"/>
        </w:rPr>
        <w:t xml:space="preserve">Buffalo City Metropolitan Municipality v Asla Construction (Pty) Limited </w:t>
      </w:r>
      <w:r w:rsidR="002F726B" w:rsidRPr="007429EC">
        <w:rPr>
          <w:sz w:val="28"/>
          <w:szCs w:val="28"/>
        </w:rPr>
        <w:t>(</w:t>
      </w:r>
      <w:r w:rsidR="002F726B" w:rsidRPr="007429EC">
        <w:rPr>
          <w:i/>
          <w:sz w:val="28"/>
          <w:szCs w:val="28"/>
        </w:rPr>
        <w:t>Asla</w:t>
      </w:r>
      <w:r w:rsidR="002F726B" w:rsidRPr="007429EC">
        <w:rPr>
          <w:sz w:val="28"/>
          <w:szCs w:val="28"/>
        </w:rPr>
        <w:t>)</w:t>
      </w:r>
      <w:r w:rsidRPr="007429EC">
        <w:rPr>
          <w:rStyle w:val="FootnoteReference"/>
          <w:sz w:val="28"/>
          <w:szCs w:val="28"/>
        </w:rPr>
        <w:footnoteReference w:id="44"/>
      </w:r>
      <w:r w:rsidRPr="007429EC">
        <w:rPr>
          <w:i/>
          <w:sz w:val="28"/>
          <w:szCs w:val="28"/>
        </w:rPr>
        <w:t xml:space="preserve"> </w:t>
      </w:r>
      <w:r w:rsidRPr="007429EC">
        <w:rPr>
          <w:sz w:val="28"/>
          <w:szCs w:val="28"/>
        </w:rPr>
        <w:t xml:space="preserve">in which Cameron J in a </w:t>
      </w:r>
      <w:r w:rsidRPr="007429EC">
        <w:rPr>
          <w:sz w:val="28"/>
          <w:szCs w:val="28"/>
        </w:rPr>
        <w:lastRenderedPageBreak/>
        <w:t xml:space="preserve">minority judgment emphasised that courts </w:t>
      </w:r>
      <w:r w:rsidR="003B6577" w:rsidRPr="007429EC">
        <w:rPr>
          <w:sz w:val="28"/>
          <w:szCs w:val="28"/>
        </w:rPr>
        <w:t>'</w:t>
      </w:r>
      <w:r w:rsidRPr="007429EC">
        <w:rPr>
          <w:sz w:val="28"/>
          <w:szCs w:val="28"/>
        </w:rPr>
        <w:t>[s]hould be vigilant in ensuring that state self-review is not brought by state officials with a personal interest in evading the consequences of their prior decisions</w:t>
      </w:r>
      <w:r w:rsidR="003B6577" w:rsidRPr="007429EC">
        <w:rPr>
          <w:sz w:val="28"/>
          <w:szCs w:val="28"/>
        </w:rPr>
        <w:t>'</w:t>
      </w:r>
      <w:r w:rsidRPr="007429EC">
        <w:rPr>
          <w:sz w:val="28"/>
          <w:szCs w:val="28"/>
        </w:rPr>
        <w:t>.</w:t>
      </w:r>
      <w:r w:rsidRPr="007429EC">
        <w:rPr>
          <w:rStyle w:val="FootnoteReference"/>
          <w:sz w:val="28"/>
          <w:szCs w:val="28"/>
        </w:rPr>
        <w:footnoteReference w:id="45"/>
      </w:r>
      <w:r w:rsidRPr="007429EC">
        <w:rPr>
          <w:sz w:val="28"/>
          <w:szCs w:val="28"/>
        </w:rPr>
        <w:t xml:space="preserve"> I do not think that the respondents</w:t>
      </w:r>
      <w:r w:rsidR="003B6577" w:rsidRPr="007429EC">
        <w:rPr>
          <w:sz w:val="28"/>
          <w:szCs w:val="28"/>
        </w:rPr>
        <w:t>'</w:t>
      </w:r>
      <w:r w:rsidRPr="007429EC">
        <w:rPr>
          <w:sz w:val="28"/>
          <w:szCs w:val="28"/>
        </w:rPr>
        <w:t xml:space="preserve"> reliance on the remarks of Cameron J in </w:t>
      </w:r>
      <w:r w:rsidRPr="007429EC">
        <w:rPr>
          <w:i/>
          <w:sz w:val="28"/>
          <w:szCs w:val="28"/>
        </w:rPr>
        <w:t>Asla</w:t>
      </w:r>
      <w:r w:rsidRPr="007429EC">
        <w:rPr>
          <w:sz w:val="28"/>
          <w:szCs w:val="28"/>
        </w:rPr>
        <w:t xml:space="preserve"> is necessarily helpful for present purpose. What is clear from this passage is that Cameron J</w:t>
      </w:r>
      <w:r w:rsidR="003B6577" w:rsidRPr="007429EC">
        <w:rPr>
          <w:sz w:val="28"/>
          <w:szCs w:val="28"/>
        </w:rPr>
        <w:t>'</w:t>
      </w:r>
      <w:r w:rsidRPr="007429EC">
        <w:rPr>
          <w:sz w:val="28"/>
          <w:szCs w:val="28"/>
        </w:rPr>
        <w:t xml:space="preserve">s remarks were made in the context of determining whether an unreasonable delay ought to be overlooked. </w:t>
      </w:r>
      <w:r w:rsidR="00FD2785" w:rsidRPr="007429EC">
        <w:rPr>
          <w:sz w:val="28"/>
          <w:szCs w:val="28"/>
        </w:rPr>
        <w:t xml:space="preserve">What is of paramount importance is whether there is evidence that the state officials have brought the self-review application for ulterior motives. In this case the conspectus of the evidence, such as it emerged from the record, does not suggest that this is the position. </w:t>
      </w:r>
      <w:r w:rsidR="0038736A">
        <w:rPr>
          <w:sz w:val="28"/>
          <w:szCs w:val="28"/>
        </w:rPr>
        <w:t xml:space="preserve">Thus, the passage from </w:t>
      </w:r>
      <w:r w:rsidR="0038736A">
        <w:rPr>
          <w:i/>
          <w:sz w:val="28"/>
          <w:szCs w:val="28"/>
        </w:rPr>
        <w:t>Asla</w:t>
      </w:r>
      <w:r w:rsidR="0038736A">
        <w:rPr>
          <w:sz w:val="28"/>
          <w:szCs w:val="28"/>
        </w:rPr>
        <w:t xml:space="preserve"> seized upon by the respondents</w:t>
      </w:r>
      <w:r w:rsidRPr="007429EC">
        <w:rPr>
          <w:sz w:val="28"/>
          <w:szCs w:val="28"/>
        </w:rPr>
        <w:t xml:space="preserve"> finds no application in the present context where the issue has</w:t>
      </w:r>
      <w:r w:rsidR="00D527CF" w:rsidRPr="007429EC">
        <w:rPr>
          <w:sz w:val="28"/>
          <w:szCs w:val="28"/>
        </w:rPr>
        <w:t xml:space="preserve"> solely</w:t>
      </w:r>
      <w:r w:rsidR="002076CB">
        <w:rPr>
          <w:sz w:val="28"/>
          <w:szCs w:val="28"/>
        </w:rPr>
        <w:t xml:space="preserve"> to do with non</w:t>
      </w:r>
      <w:r w:rsidR="002076CB">
        <w:rPr>
          <w:sz w:val="28"/>
          <w:szCs w:val="28"/>
        </w:rPr>
        <w:noBreakHyphen/>
      </w:r>
      <w:r w:rsidRPr="007429EC">
        <w:rPr>
          <w:sz w:val="28"/>
          <w:szCs w:val="28"/>
        </w:rPr>
        <w:t xml:space="preserve">compliance with the requirements of the RFPs which is not in dispute. In </w:t>
      </w:r>
      <w:r w:rsidRPr="007429EC">
        <w:rPr>
          <w:i/>
          <w:sz w:val="28"/>
          <w:szCs w:val="28"/>
        </w:rPr>
        <w:t>Govan Mbeki Municipality v New Integrated Credit Solutions (Pty) Ltd</w:t>
      </w:r>
      <w:r w:rsidR="00D527CF" w:rsidRPr="007429EC">
        <w:rPr>
          <w:sz w:val="28"/>
          <w:szCs w:val="28"/>
        </w:rPr>
        <w:t>,</w:t>
      </w:r>
      <w:r w:rsidRPr="007429EC">
        <w:rPr>
          <w:rStyle w:val="FootnoteReference"/>
          <w:sz w:val="28"/>
          <w:szCs w:val="28"/>
        </w:rPr>
        <w:footnoteReference w:id="46"/>
      </w:r>
      <w:r w:rsidRPr="007429EC">
        <w:rPr>
          <w:i/>
          <w:sz w:val="28"/>
          <w:szCs w:val="28"/>
        </w:rPr>
        <w:t xml:space="preserve"> </w:t>
      </w:r>
      <w:r w:rsidRPr="007429EC">
        <w:rPr>
          <w:sz w:val="28"/>
          <w:szCs w:val="28"/>
        </w:rPr>
        <w:t xml:space="preserve">this Court was dealing with a similar situation when it stressed that the conduct of the officials who institute a legality review should be scrutinised to ensure that they do not unjustifiably claim high moral ground in circumstances where it is through their own malfeasance that the illegality complained of came about. </w:t>
      </w:r>
    </w:p>
    <w:p w14:paraId="5C93E0F7" w14:textId="77777777" w:rsidR="007B12A8" w:rsidRPr="007429EC" w:rsidRDefault="007B12A8" w:rsidP="007B12A8">
      <w:pPr>
        <w:rPr>
          <w:sz w:val="28"/>
          <w:szCs w:val="28"/>
        </w:rPr>
      </w:pPr>
    </w:p>
    <w:p w14:paraId="302A3B8C" w14:textId="109B4D04" w:rsidR="007B12A8" w:rsidRPr="007429EC" w:rsidRDefault="007B12A8" w:rsidP="007B12A8">
      <w:pPr>
        <w:rPr>
          <w:b/>
          <w:sz w:val="28"/>
          <w:szCs w:val="28"/>
        </w:rPr>
      </w:pPr>
      <w:r w:rsidRPr="007429EC">
        <w:rPr>
          <w:b/>
          <w:sz w:val="28"/>
          <w:szCs w:val="28"/>
        </w:rPr>
        <w:t>The Joint Venture</w:t>
      </w:r>
      <w:r w:rsidR="003B6577" w:rsidRPr="007429EC">
        <w:rPr>
          <w:b/>
          <w:sz w:val="28"/>
          <w:szCs w:val="28"/>
        </w:rPr>
        <w:t>'</w:t>
      </w:r>
      <w:r w:rsidRPr="007429EC">
        <w:rPr>
          <w:b/>
          <w:sz w:val="28"/>
          <w:szCs w:val="28"/>
        </w:rPr>
        <w:t>s ability to raise the required funding</w:t>
      </w:r>
    </w:p>
    <w:p w14:paraId="5F3B3F33" w14:textId="4EE674BA" w:rsidR="007B12A8" w:rsidRPr="007429EC" w:rsidRDefault="007B12A8" w:rsidP="007B12A8">
      <w:pPr>
        <w:rPr>
          <w:sz w:val="28"/>
          <w:szCs w:val="28"/>
        </w:rPr>
      </w:pPr>
      <w:r w:rsidRPr="007429EC">
        <w:rPr>
          <w:sz w:val="28"/>
          <w:szCs w:val="28"/>
        </w:rPr>
        <w:t>[</w:t>
      </w:r>
      <w:r w:rsidR="00D527CF" w:rsidRPr="007429EC">
        <w:rPr>
          <w:sz w:val="28"/>
          <w:szCs w:val="28"/>
        </w:rPr>
        <w:t>56</w:t>
      </w:r>
      <w:r w:rsidRPr="007429EC">
        <w:rPr>
          <w:sz w:val="28"/>
          <w:szCs w:val="28"/>
        </w:rPr>
        <w:t>]</w:t>
      </w:r>
      <w:r w:rsidRPr="007429EC">
        <w:rPr>
          <w:sz w:val="28"/>
          <w:szCs w:val="28"/>
        </w:rPr>
        <w:tab/>
        <w:t>Insofar as the Joint Venture</w:t>
      </w:r>
      <w:r w:rsidR="003B6577" w:rsidRPr="007429EC">
        <w:rPr>
          <w:sz w:val="28"/>
          <w:szCs w:val="28"/>
        </w:rPr>
        <w:t>'</w:t>
      </w:r>
      <w:r w:rsidRPr="007429EC">
        <w:rPr>
          <w:sz w:val="28"/>
          <w:szCs w:val="28"/>
        </w:rPr>
        <w:t xml:space="preserve">s ability to raise the required funding is concerned, the government parties invoked clause 7.1.6 of the RFPs. This clause stipulated, amongst others, that the </w:t>
      </w:r>
      <w:r w:rsidR="003B6577" w:rsidRPr="007429EC">
        <w:rPr>
          <w:sz w:val="28"/>
          <w:szCs w:val="28"/>
        </w:rPr>
        <w:t>'</w:t>
      </w:r>
      <w:r w:rsidRPr="007429EC">
        <w:rPr>
          <w:sz w:val="28"/>
          <w:szCs w:val="28"/>
        </w:rPr>
        <w:t>minimum requirements to be met by bidders in order to proceed to the next round of the evaluation process</w:t>
      </w:r>
      <w:r w:rsidR="003B6577" w:rsidRPr="007429EC">
        <w:rPr>
          <w:sz w:val="28"/>
          <w:szCs w:val="28"/>
        </w:rPr>
        <w:t>'</w:t>
      </w:r>
      <w:r w:rsidRPr="007429EC">
        <w:rPr>
          <w:sz w:val="28"/>
          <w:szCs w:val="28"/>
        </w:rPr>
        <w:t xml:space="preserve"> were </w:t>
      </w:r>
      <w:r w:rsidR="003B6577" w:rsidRPr="007429EC">
        <w:rPr>
          <w:sz w:val="28"/>
          <w:szCs w:val="28"/>
        </w:rPr>
        <w:t>'</w:t>
      </w:r>
      <w:r w:rsidRPr="007429EC">
        <w:rPr>
          <w:sz w:val="28"/>
          <w:szCs w:val="28"/>
        </w:rPr>
        <w:t>proven ability to raise the required funding in the form of a financial institution letter</w:t>
      </w:r>
      <w:r w:rsidR="003B6577" w:rsidRPr="007429EC">
        <w:rPr>
          <w:sz w:val="28"/>
          <w:szCs w:val="28"/>
        </w:rPr>
        <w:t>'</w:t>
      </w:r>
      <w:r w:rsidRPr="007429EC">
        <w:rPr>
          <w:sz w:val="28"/>
          <w:szCs w:val="28"/>
        </w:rPr>
        <w:t xml:space="preserve">. Allied to this clause are </w:t>
      </w:r>
      <w:r w:rsidRPr="007429EC">
        <w:rPr>
          <w:sz w:val="28"/>
          <w:szCs w:val="28"/>
        </w:rPr>
        <w:lastRenderedPageBreak/>
        <w:t xml:space="preserve">clause 2, Item 3 of clause 7.2.2 and clause 9.6.5. The latter clauses stipulated that the successful bidder must be </w:t>
      </w:r>
      <w:r w:rsidR="003B6577" w:rsidRPr="007429EC">
        <w:rPr>
          <w:sz w:val="28"/>
          <w:szCs w:val="28"/>
        </w:rPr>
        <w:t>'</w:t>
      </w:r>
      <w:r w:rsidRPr="007429EC">
        <w:rPr>
          <w:sz w:val="28"/>
          <w:szCs w:val="28"/>
        </w:rPr>
        <w:t xml:space="preserve">able to finance, procure and maintain, accommodation </w:t>
      </w:r>
      <w:r w:rsidR="00D527CF" w:rsidRPr="007429EC">
        <w:rPr>
          <w:sz w:val="28"/>
          <w:szCs w:val="28"/>
        </w:rPr>
        <w:t>and act as landlord to</w:t>
      </w:r>
      <w:r w:rsidRPr="007429EC">
        <w:rPr>
          <w:sz w:val="28"/>
          <w:szCs w:val="28"/>
        </w:rPr>
        <w:t xml:space="preserve"> the Government</w:t>
      </w:r>
      <w:r w:rsidR="00D527CF" w:rsidRPr="007429EC">
        <w:rPr>
          <w:sz w:val="28"/>
          <w:szCs w:val="28"/>
        </w:rPr>
        <w:t xml:space="preserve"> of the RSA'</w:t>
      </w:r>
      <w:r w:rsidRPr="007429EC">
        <w:rPr>
          <w:sz w:val="28"/>
          <w:szCs w:val="28"/>
        </w:rPr>
        <w:t xml:space="preserve"> and to </w:t>
      </w:r>
      <w:r w:rsidR="003B6577" w:rsidRPr="007429EC">
        <w:rPr>
          <w:sz w:val="28"/>
          <w:szCs w:val="28"/>
        </w:rPr>
        <w:t>'</w:t>
      </w:r>
      <w:r w:rsidRPr="007429EC">
        <w:rPr>
          <w:sz w:val="28"/>
          <w:szCs w:val="28"/>
        </w:rPr>
        <w:t xml:space="preserve">demonstrate </w:t>
      </w:r>
      <w:r w:rsidR="00D527CF" w:rsidRPr="007429EC">
        <w:rPr>
          <w:sz w:val="28"/>
          <w:szCs w:val="28"/>
        </w:rPr>
        <w:t xml:space="preserve">its </w:t>
      </w:r>
      <w:r w:rsidRPr="007429EC">
        <w:rPr>
          <w:sz w:val="28"/>
          <w:szCs w:val="28"/>
        </w:rPr>
        <w:t>ability to finance the property acquisition</w:t>
      </w:r>
      <w:r w:rsidR="00207808" w:rsidRPr="007429EC">
        <w:rPr>
          <w:sz w:val="28"/>
          <w:szCs w:val="28"/>
        </w:rPr>
        <w:t xml:space="preserve"> </w:t>
      </w:r>
      <w:r w:rsidRPr="007429EC">
        <w:rPr>
          <w:sz w:val="28"/>
          <w:szCs w:val="28"/>
        </w:rPr>
        <w:t>...</w:t>
      </w:r>
      <w:r w:rsidR="00207808" w:rsidRPr="007429EC">
        <w:rPr>
          <w:sz w:val="28"/>
          <w:szCs w:val="28"/>
        </w:rPr>
        <w:t xml:space="preserve"> </w:t>
      </w:r>
      <w:r w:rsidRPr="007429EC">
        <w:rPr>
          <w:sz w:val="28"/>
          <w:szCs w:val="28"/>
        </w:rPr>
        <w:t>at</w:t>
      </w:r>
      <w:r w:rsidR="00207808" w:rsidRPr="007429EC">
        <w:rPr>
          <w:sz w:val="28"/>
          <w:szCs w:val="28"/>
        </w:rPr>
        <w:t xml:space="preserve"> </w:t>
      </w:r>
      <w:r w:rsidRPr="007429EC">
        <w:rPr>
          <w:sz w:val="28"/>
          <w:szCs w:val="28"/>
        </w:rPr>
        <w:t>...</w:t>
      </w:r>
      <w:r w:rsidR="00207808" w:rsidRPr="007429EC">
        <w:rPr>
          <w:sz w:val="28"/>
          <w:szCs w:val="28"/>
        </w:rPr>
        <w:t xml:space="preserve"> </w:t>
      </w:r>
      <w:r w:rsidRPr="007429EC">
        <w:rPr>
          <w:sz w:val="28"/>
          <w:szCs w:val="28"/>
        </w:rPr>
        <w:t>own cost and risk</w:t>
      </w:r>
      <w:r w:rsidR="003B6577" w:rsidRPr="007429EC">
        <w:rPr>
          <w:sz w:val="28"/>
          <w:szCs w:val="28"/>
        </w:rPr>
        <w:t>'</w:t>
      </w:r>
      <w:r w:rsidRPr="007429EC">
        <w:rPr>
          <w:sz w:val="28"/>
          <w:szCs w:val="28"/>
        </w:rPr>
        <w:t xml:space="preserve"> respectively. To that end </w:t>
      </w:r>
      <w:r w:rsidR="003B6577" w:rsidRPr="007429EC">
        <w:rPr>
          <w:sz w:val="28"/>
          <w:szCs w:val="28"/>
        </w:rPr>
        <w:t>'</w:t>
      </w:r>
      <w:r w:rsidRPr="007429EC">
        <w:rPr>
          <w:sz w:val="28"/>
          <w:szCs w:val="28"/>
        </w:rPr>
        <w:t>the audited financial statements of the Bidders</w:t>
      </w:r>
      <w:r w:rsidR="003B6577" w:rsidRPr="007429EC">
        <w:rPr>
          <w:sz w:val="28"/>
          <w:szCs w:val="28"/>
        </w:rPr>
        <w:t>'</w:t>
      </w:r>
      <w:r w:rsidRPr="007429EC">
        <w:rPr>
          <w:sz w:val="28"/>
          <w:szCs w:val="28"/>
        </w:rPr>
        <w:t xml:space="preserve"> would be scrutinised. </w:t>
      </w:r>
    </w:p>
    <w:p w14:paraId="7EF48375" w14:textId="77777777" w:rsidR="007B12A8" w:rsidRPr="007429EC" w:rsidRDefault="007B12A8" w:rsidP="007B12A8">
      <w:pPr>
        <w:rPr>
          <w:sz w:val="28"/>
          <w:szCs w:val="28"/>
        </w:rPr>
      </w:pPr>
    </w:p>
    <w:p w14:paraId="056409FB" w14:textId="159EA07C" w:rsidR="007B12A8" w:rsidRPr="007429EC" w:rsidRDefault="007B12A8" w:rsidP="007B12A8">
      <w:pPr>
        <w:rPr>
          <w:sz w:val="28"/>
          <w:szCs w:val="28"/>
        </w:rPr>
      </w:pPr>
      <w:r w:rsidRPr="007429EC">
        <w:rPr>
          <w:sz w:val="28"/>
          <w:szCs w:val="28"/>
        </w:rPr>
        <w:t>[</w:t>
      </w:r>
      <w:r w:rsidR="00B30EFD" w:rsidRPr="007429EC">
        <w:rPr>
          <w:sz w:val="28"/>
          <w:szCs w:val="28"/>
        </w:rPr>
        <w:t>57</w:t>
      </w:r>
      <w:r w:rsidRPr="007429EC">
        <w:rPr>
          <w:sz w:val="28"/>
          <w:szCs w:val="28"/>
        </w:rPr>
        <w:t>]</w:t>
      </w:r>
      <w:r w:rsidRPr="007429EC">
        <w:rPr>
          <w:sz w:val="28"/>
          <w:szCs w:val="28"/>
        </w:rPr>
        <w:tab/>
        <w:t>The clauses to which reference has been made in the preceding paragraph were no doubt designed to serve at least three critical purposes. The purpose of clause 7.1.6 was to require the bidders to satisfy the Department by way of objectively verifiable information that the bidders had sufficient funds to deliver on what the RFPs contemplated</w:t>
      </w:r>
      <w:r w:rsidR="00B30EFD" w:rsidRPr="007429EC">
        <w:rPr>
          <w:sz w:val="28"/>
          <w:szCs w:val="28"/>
        </w:rPr>
        <w:t>, hence</w:t>
      </w:r>
      <w:r w:rsidRPr="007429EC">
        <w:rPr>
          <w:sz w:val="28"/>
          <w:szCs w:val="28"/>
        </w:rPr>
        <w:t xml:space="preserve"> bidders were required to demonstrate their ability to do so. Finally, bidders had to demonstrate their ability to raise the required funding by providing a letter from a financial institution to do so. The letter of 12 April 2016 submitted by the Joint Venture from Rand Merchant Bank (RMB) purport</w:t>
      </w:r>
      <w:r w:rsidR="008F4B7D" w:rsidRPr="007429EC">
        <w:rPr>
          <w:sz w:val="28"/>
          <w:szCs w:val="28"/>
        </w:rPr>
        <w:t>ed</w:t>
      </w:r>
      <w:r w:rsidRPr="007429EC">
        <w:rPr>
          <w:sz w:val="28"/>
          <w:szCs w:val="28"/>
        </w:rPr>
        <w:t xml:space="preserve"> to demonstrate the Joint Venture</w:t>
      </w:r>
      <w:r w:rsidR="003B6577" w:rsidRPr="007429EC">
        <w:rPr>
          <w:sz w:val="28"/>
          <w:szCs w:val="28"/>
        </w:rPr>
        <w:t>'</w:t>
      </w:r>
      <w:r w:rsidRPr="007429EC">
        <w:rPr>
          <w:sz w:val="28"/>
          <w:szCs w:val="28"/>
        </w:rPr>
        <w:t>s ability to raise the required funding</w:t>
      </w:r>
      <w:r w:rsidR="008F4B7D" w:rsidRPr="007429EC">
        <w:rPr>
          <w:sz w:val="28"/>
          <w:szCs w:val="28"/>
        </w:rPr>
        <w:t>.</w:t>
      </w:r>
      <w:r w:rsidRPr="007429EC">
        <w:rPr>
          <w:sz w:val="28"/>
          <w:szCs w:val="28"/>
        </w:rPr>
        <w:t xml:space="preserve"> </w:t>
      </w:r>
      <w:r w:rsidR="00E270A9" w:rsidRPr="007429EC">
        <w:rPr>
          <w:sz w:val="28"/>
          <w:szCs w:val="28"/>
        </w:rPr>
        <w:t xml:space="preserve">However, at best for the Joint Venture this letter </w:t>
      </w:r>
      <w:r w:rsidRPr="007429EC">
        <w:rPr>
          <w:sz w:val="28"/>
          <w:szCs w:val="28"/>
        </w:rPr>
        <w:t>confirmed only</w:t>
      </w:r>
      <w:r w:rsidR="00E270A9" w:rsidRPr="007429EC">
        <w:rPr>
          <w:sz w:val="28"/>
          <w:szCs w:val="28"/>
        </w:rPr>
        <w:t xml:space="preserve"> one thing, namely</w:t>
      </w:r>
      <w:r w:rsidRPr="007429EC">
        <w:rPr>
          <w:sz w:val="28"/>
          <w:szCs w:val="28"/>
        </w:rPr>
        <w:t xml:space="preserve"> that </w:t>
      </w:r>
      <w:r w:rsidR="003B6577" w:rsidRPr="007429EC">
        <w:rPr>
          <w:sz w:val="28"/>
          <w:szCs w:val="28"/>
        </w:rPr>
        <w:t>'</w:t>
      </w:r>
      <w:r w:rsidRPr="007429EC">
        <w:rPr>
          <w:sz w:val="28"/>
          <w:szCs w:val="28"/>
        </w:rPr>
        <w:t>Simeka and its shareholders</w:t>
      </w:r>
      <w:r w:rsidR="003B6577" w:rsidRPr="007429EC">
        <w:rPr>
          <w:sz w:val="28"/>
          <w:szCs w:val="28"/>
        </w:rPr>
        <w:t>'</w:t>
      </w:r>
      <w:r w:rsidRPr="007429EC">
        <w:rPr>
          <w:sz w:val="28"/>
          <w:szCs w:val="28"/>
        </w:rPr>
        <w:t xml:space="preserve"> were long-standing clients of the Firstrand Group and therefore </w:t>
      </w:r>
      <w:r w:rsidR="00737B96" w:rsidRPr="007429EC">
        <w:rPr>
          <w:sz w:val="28"/>
          <w:szCs w:val="28"/>
        </w:rPr>
        <w:t>RMB</w:t>
      </w:r>
      <w:r w:rsidRPr="007429EC">
        <w:rPr>
          <w:sz w:val="28"/>
          <w:szCs w:val="28"/>
        </w:rPr>
        <w:t xml:space="preserve"> expressed confidence in the ability of Simeka</w:t>
      </w:r>
      <w:r w:rsidR="003B6577" w:rsidRPr="007429EC">
        <w:rPr>
          <w:sz w:val="28"/>
          <w:szCs w:val="28"/>
        </w:rPr>
        <w:t>'</w:t>
      </w:r>
      <w:r w:rsidRPr="007429EC">
        <w:rPr>
          <w:sz w:val="28"/>
          <w:szCs w:val="28"/>
        </w:rPr>
        <w:t xml:space="preserve">s shareholders </w:t>
      </w:r>
      <w:r w:rsidR="003B6577" w:rsidRPr="007429EC">
        <w:rPr>
          <w:sz w:val="28"/>
          <w:szCs w:val="28"/>
        </w:rPr>
        <w:t>'</w:t>
      </w:r>
      <w:r w:rsidRPr="007429EC">
        <w:rPr>
          <w:sz w:val="28"/>
          <w:szCs w:val="28"/>
        </w:rPr>
        <w:t>to provide the requisite equity and deliver the project successfully</w:t>
      </w:r>
      <w:r w:rsidR="003B6577" w:rsidRPr="007429EC">
        <w:rPr>
          <w:sz w:val="28"/>
          <w:szCs w:val="28"/>
        </w:rPr>
        <w:t>'</w:t>
      </w:r>
      <w:r w:rsidRPr="007429EC">
        <w:rPr>
          <w:sz w:val="28"/>
          <w:szCs w:val="28"/>
        </w:rPr>
        <w:t xml:space="preserve">. </w:t>
      </w:r>
    </w:p>
    <w:p w14:paraId="69DF9A01" w14:textId="77777777" w:rsidR="007B12A8" w:rsidRPr="007429EC" w:rsidRDefault="007B12A8" w:rsidP="007B12A8">
      <w:pPr>
        <w:rPr>
          <w:sz w:val="28"/>
          <w:szCs w:val="28"/>
        </w:rPr>
      </w:pPr>
    </w:p>
    <w:p w14:paraId="4223FE91" w14:textId="6CCC3115" w:rsidR="007B12A8" w:rsidRPr="007429EC" w:rsidRDefault="007B12A8" w:rsidP="007B12A8">
      <w:pPr>
        <w:rPr>
          <w:i/>
          <w:sz w:val="28"/>
          <w:szCs w:val="28"/>
        </w:rPr>
      </w:pPr>
      <w:r w:rsidRPr="007429EC">
        <w:rPr>
          <w:sz w:val="28"/>
          <w:szCs w:val="28"/>
        </w:rPr>
        <w:t>[</w:t>
      </w:r>
      <w:r w:rsidR="00737B96" w:rsidRPr="007429EC">
        <w:rPr>
          <w:sz w:val="28"/>
          <w:szCs w:val="28"/>
        </w:rPr>
        <w:t>58</w:t>
      </w:r>
      <w:r w:rsidRPr="007429EC">
        <w:rPr>
          <w:sz w:val="28"/>
          <w:szCs w:val="28"/>
        </w:rPr>
        <w:t>]</w:t>
      </w:r>
      <w:r w:rsidRPr="007429EC">
        <w:rPr>
          <w:sz w:val="28"/>
          <w:szCs w:val="28"/>
        </w:rPr>
        <w:tab/>
        <w:t>The government parties contended that the shortcomings in the letter from RMB were palpable. First, the letter said nothing about the ability of the Joint Venture to raise the required funding. Second, on its fair reading, the letter did not purport to confirm that the Joint Venture had the ability to provide the requisite funding having regard to the fact that the project would cost in excess of US</w:t>
      </w:r>
      <w:r w:rsidR="00EE5FD6" w:rsidRPr="007429EC">
        <w:rPr>
          <w:sz w:val="28"/>
          <w:szCs w:val="28"/>
        </w:rPr>
        <w:t> </w:t>
      </w:r>
      <w:r w:rsidRPr="007429EC">
        <w:rPr>
          <w:sz w:val="28"/>
          <w:szCs w:val="28"/>
        </w:rPr>
        <w:t>$159</w:t>
      </w:r>
      <w:r w:rsidR="00EE5FD6" w:rsidRPr="007429EC">
        <w:rPr>
          <w:sz w:val="28"/>
          <w:szCs w:val="28"/>
        </w:rPr>
        <w:t> </w:t>
      </w:r>
      <w:r w:rsidRPr="007429EC">
        <w:rPr>
          <w:sz w:val="28"/>
          <w:szCs w:val="28"/>
        </w:rPr>
        <w:t xml:space="preserve">000 000. </w:t>
      </w:r>
      <w:r w:rsidR="00EE5FD6" w:rsidRPr="007429EC">
        <w:rPr>
          <w:sz w:val="28"/>
          <w:szCs w:val="28"/>
        </w:rPr>
        <w:t>M</w:t>
      </w:r>
      <w:r w:rsidRPr="007429EC">
        <w:rPr>
          <w:sz w:val="28"/>
          <w:szCs w:val="28"/>
        </w:rPr>
        <w:t xml:space="preserve">ore fundamentally, argued the government parties, the </w:t>
      </w:r>
      <w:r w:rsidRPr="007429EC">
        <w:rPr>
          <w:sz w:val="28"/>
          <w:szCs w:val="28"/>
        </w:rPr>
        <w:lastRenderedPageBreak/>
        <w:t xml:space="preserve">conclusion of the </w:t>
      </w:r>
      <w:r w:rsidR="00EE5FD6" w:rsidRPr="007429EC">
        <w:rPr>
          <w:sz w:val="28"/>
          <w:szCs w:val="28"/>
        </w:rPr>
        <w:t>PPA</w:t>
      </w:r>
      <w:r w:rsidRPr="007429EC">
        <w:rPr>
          <w:sz w:val="28"/>
          <w:szCs w:val="28"/>
        </w:rPr>
        <w:t xml:space="preserve"> represented a radical departure from what the RFPs had required. Consequently, there was in fact no competitive process, so the argument concluded. It was submitted that the terms of the </w:t>
      </w:r>
      <w:r w:rsidR="00EE5FD6" w:rsidRPr="007429EC">
        <w:rPr>
          <w:sz w:val="28"/>
          <w:szCs w:val="28"/>
        </w:rPr>
        <w:t>PPA</w:t>
      </w:r>
      <w:r w:rsidRPr="007429EC">
        <w:rPr>
          <w:sz w:val="28"/>
          <w:szCs w:val="28"/>
        </w:rPr>
        <w:t xml:space="preserve"> reinforced the notion that the Joint Venture lacked the ability to raise the required funding. It was therefore argued that the cumulative effect</w:t>
      </w:r>
      <w:r w:rsidR="005860B2">
        <w:rPr>
          <w:sz w:val="28"/>
          <w:szCs w:val="28"/>
        </w:rPr>
        <w:t xml:space="preserve"> of these</w:t>
      </w:r>
      <w:r w:rsidRPr="007429EC">
        <w:rPr>
          <w:sz w:val="28"/>
          <w:szCs w:val="28"/>
        </w:rPr>
        <w:t xml:space="preserve"> factors </w:t>
      </w:r>
      <w:r w:rsidR="005860B2">
        <w:rPr>
          <w:sz w:val="28"/>
          <w:szCs w:val="28"/>
        </w:rPr>
        <w:t>was</w:t>
      </w:r>
      <w:r w:rsidRPr="007429EC">
        <w:rPr>
          <w:sz w:val="28"/>
          <w:szCs w:val="28"/>
        </w:rPr>
        <w:t xml:space="preserve"> </w:t>
      </w:r>
      <w:r w:rsidR="00EE5FD6" w:rsidRPr="007429EC">
        <w:rPr>
          <w:sz w:val="28"/>
          <w:szCs w:val="28"/>
        </w:rPr>
        <w:t xml:space="preserve">that </w:t>
      </w:r>
      <w:r w:rsidRPr="007429EC">
        <w:rPr>
          <w:sz w:val="28"/>
          <w:szCs w:val="28"/>
        </w:rPr>
        <w:t xml:space="preserve">the public was deprived of the benefit of an open competitive process. In support of these contentions, the government parties called </w:t>
      </w:r>
      <w:r w:rsidR="007D0AAC" w:rsidRPr="007429EC">
        <w:rPr>
          <w:sz w:val="28"/>
          <w:szCs w:val="28"/>
        </w:rPr>
        <w:t>in</w:t>
      </w:r>
      <w:r w:rsidRPr="007429EC">
        <w:rPr>
          <w:sz w:val="28"/>
          <w:szCs w:val="28"/>
        </w:rPr>
        <w:t xml:space="preserve"> aid the decision of this Court in </w:t>
      </w:r>
      <w:r w:rsidRPr="007429EC">
        <w:rPr>
          <w:i/>
          <w:sz w:val="28"/>
          <w:szCs w:val="28"/>
        </w:rPr>
        <w:t>Firechem</w:t>
      </w:r>
      <w:r w:rsidRPr="007429EC">
        <w:rPr>
          <w:sz w:val="28"/>
          <w:szCs w:val="28"/>
        </w:rPr>
        <w:t>.</w:t>
      </w:r>
      <w:r w:rsidRPr="007429EC">
        <w:rPr>
          <w:rStyle w:val="FootnoteReference"/>
          <w:sz w:val="28"/>
          <w:szCs w:val="28"/>
        </w:rPr>
        <w:footnoteReference w:id="47"/>
      </w:r>
      <w:r w:rsidRPr="007429EC">
        <w:rPr>
          <w:i/>
          <w:sz w:val="28"/>
          <w:szCs w:val="28"/>
        </w:rPr>
        <w:t xml:space="preserve"> </w:t>
      </w:r>
    </w:p>
    <w:p w14:paraId="79E9D138" w14:textId="77777777" w:rsidR="007B12A8" w:rsidRPr="007429EC" w:rsidRDefault="007B12A8" w:rsidP="007B12A8">
      <w:pPr>
        <w:rPr>
          <w:i/>
          <w:sz w:val="28"/>
          <w:szCs w:val="28"/>
        </w:rPr>
      </w:pPr>
    </w:p>
    <w:p w14:paraId="1A0C5BAA" w14:textId="6262300C" w:rsidR="007B12A8" w:rsidRPr="007429EC" w:rsidRDefault="007B12A8" w:rsidP="007B12A8">
      <w:pPr>
        <w:rPr>
          <w:sz w:val="28"/>
          <w:szCs w:val="28"/>
        </w:rPr>
      </w:pPr>
      <w:r w:rsidRPr="007429EC">
        <w:rPr>
          <w:sz w:val="28"/>
          <w:szCs w:val="28"/>
        </w:rPr>
        <w:t>[</w:t>
      </w:r>
      <w:r w:rsidR="00EE5FD6" w:rsidRPr="007429EC">
        <w:rPr>
          <w:sz w:val="28"/>
          <w:szCs w:val="28"/>
        </w:rPr>
        <w:t>59</w:t>
      </w:r>
      <w:r w:rsidRPr="007429EC">
        <w:rPr>
          <w:sz w:val="28"/>
          <w:szCs w:val="28"/>
        </w:rPr>
        <w:t>]</w:t>
      </w:r>
      <w:r w:rsidRPr="007429EC">
        <w:rPr>
          <w:sz w:val="28"/>
          <w:szCs w:val="28"/>
        </w:rPr>
        <w:tab/>
        <w:t>The common thread running through the respondents</w:t>
      </w:r>
      <w:r w:rsidR="003B6577" w:rsidRPr="007429EC">
        <w:rPr>
          <w:sz w:val="28"/>
          <w:szCs w:val="28"/>
        </w:rPr>
        <w:t>'</w:t>
      </w:r>
      <w:r w:rsidRPr="007429EC">
        <w:rPr>
          <w:sz w:val="28"/>
          <w:szCs w:val="28"/>
        </w:rPr>
        <w:t xml:space="preserve"> counter argument is that none of the complaints raised by the government parties has merit. The broad stroke of the argument is that the BEC and BAC had both satisfied themselves that the requirements of the tender had been met. As to the letter from RMB, it was argued that it </w:t>
      </w:r>
      <w:r w:rsidR="003B6577" w:rsidRPr="007429EC">
        <w:rPr>
          <w:sz w:val="28"/>
          <w:szCs w:val="28"/>
        </w:rPr>
        <w:t>'</w:t>
      </w:r>
      <w:r w:rsidRPr="007429EC">
        <w:rPr>
          <w:sz w:val="28"/>
          <w:szCs w:val="28"/>
        </w:rPr>
        <w:t>confirm[ed] a number of things</w:t>
      </w:r>
      <w:r w:rsidR="003B6577" w:rsidRPr="007429EC">
        <w:rPr>
          <w:sz w:val="28"/>
          <w:szCs w:val="28"/>
        </w:rPr>
        <w:t>'</w:t>
      </w:r>
      <w:r w:rsidRPr="007429EC">
        <w:rPr>
          <w:sz w:val="28"/>
          <w:szCs w:val="28"/>
        </w:rPr>
        <w:t>, namely that: (</w:t>
      </w:r>
      <w:r w:rsidR="00EE5FD6" w:rsidRPr="007429EC">
        <w:rPr>
          <w:sz w:val="28"/>
          <w:szCs w:val="28"/>
        </w:rPr>
        <w:t>a</w:t>
      </w:r>
      <w:r w:rsidRPr="007429EC">
        <w:rPr>
          <w:sz w:val="28"/>
          <w:szCs w:val="28"/>
        </w:rPr>
        <w:t>) RMB stated its ability to fund the transaction; (</w:t>
      </w:r>
      <w:r w:rsidR="00EE5FD6" w:rsidRPr="007429EC">
        <w:rPr>
          <w:sz w:val="28"/>
          <w:szCs w:val="28"/>
        </w:rPr>
        <w:t>b</w:t>
      </w:r>
      <w:r w:rsidRPr="007429EC">
        <w:rPr>
          <w:sz w:val="28"/>
          <w:szCs w:val="28"/>
        </w:rPr>
        <w:t>) RMB was aware of the nature of the Project that it was willing to finance; (</w:t>
      </w:r>
      <w:r w:rsidR="00EE5FD6" w:rsidRPr="007429EC">
        <w:rPr>
          <w:sz w:val="28"/>
          <w:szCs w:val="28"/>
        </w:rPr>
        <w:t>c</w:t>
      </w:r>
      <w:r w:rsidRPr="007429EC">
        <w:rPr>
          <w:sz w:val="28"/>
          <w:szCs w:val="28"/>
        </w:rPr>
        <w:t>) it was aware that the Project involved Simeka and Regiments Capital as a joint venture; (</w:t>
      </w:r>
      <w:r w:rsidR="00EE5FD6" w:rsidRPr="007429EC">
        <w:rPr>
          <w:sz w:val="28"/>
          <w:szCs w:val="28"/>
        </w:rPr>
        <w:t>d</w:t>
      </w:r>
      <w:r w:rsidRPr="007429EC">
        <w:rPr>
          <w:sz w:val="28"/>
          <w:szCs w:val="28"/>
        </w:rPr>
        <w:t>) Serendipity had been incorporated; and (</w:t>
      </w:r>
      <w:r w:rsidR="00EE5FD6" w:rsidRPr="007429EC">
        <w:rPr>
          <w:sz w:val="28"/>
          <w:szCs w:val="28"/>
        </w:rPr>
        <w:t>e</w:t>
      </w:r>
      <w:r w:rsidRPr="007429EC">
        <w:rPr>
          <w:sz w:val="28"/>
          <w:szCs w:val="28"/>
        </w:rPr>
        <w:t xml:space="preserve">) it knew what was required in terms of funding. </w:t>
      </w:r>
    </w:p>
    <w:p w14:paraId="67254838" w14:textId="77777777" w:rsidR="007B12A8" w:rsidRPr="007429EC" w:rsidRDefault="007B12A8" w:rsidP="007B12A8">
      <w:pPr>
        <w:rPr>
          <w:sz w:val="28"/>
          <w:szCs w:val="28"/>
        </w:rPr>
      </w:pPr>
    </w:p>
    <w:p w14:paraId="1C5086C7" w14:textId="5EF44E02" w:rsidR="007B12A8" w:rsidRPr="007429EC" w:rsidRDefault="007B12A8" w:rsidP="007B12A8">
      <w:pPr>
        <w:rPr>
          <w:sz w:val="28"/>
          <w:szCs w:val="28"/>
        </w:rPr>
      </w:pPr>
      <w:r w:rsidRPr="007429EC">
        <w:rPr>
          <w:sz w:val="28"/>
          <w:szCs w:val="28"/>
        </w:rPr>
        <w:t>[</w:t>
      </w:r>
      <w:r w:rsidR="00EE5FD6" w:rsidRPr="007429EC">
        <w:rPr>
          <w:sz w:val="28"/>
          <w:szCs w:val="28"/>
        </w:rPr>
        <w:t>60</w:t>
      </w:r>
      <w:r w:rsidRPr="007429EC">
        <w:rPr>
          <w:sz w:val="28"/>
          <w:szCs w:val="28"/>
        </w:rPr>
        <w:t>]</w:t>
      </w:r>
      <w:r w:rsidRPr="007429EC">
        <w:rPr>
          <w:sz w:val="28"/>
          <w:szCs w:val="28"/>
        </w:rPr>
        <w:tab/>
      </w:r>
      <w:r w:rsidR="00EE5FD6" w:rsidRPr="007429EC">
        <w:rPr>
          <w:sz w:val="28"/>
          <w:szCs w:val="28"/>
        </w:rPr>
        <w:t>However,</w:t>
      </w:r>
      <w:r w:rsidRPr="007429EC">
        <w:rPr>
          <w:sz w:val="28"/>
          <w:szCs w:val="28"/>
        </w:rPr>
        <w:t xml:space="preserve"> what is beyond question is that the RMB</w:t>
      </w:r>
      <w:r w:rsidR="003B6577" w:rsidRPr="007429EC">
        <w:rPr>
          <w:sz w:val="28"/>
          <w:szCs w:val="28"/>
        </w:rPr>
        <w:t>'</w:t>
      </w:r>
      <w:r w:rsidRPr="007429EC">
        <w:rPr>
          <w:sz w:val="28"/>
          <w:szCs w:val="28"/>
        </w:rPr>
        <w:t>s letter did not explicitly state that Simeka</w:t>
      </w:r>
      <w:r w:rsidR="00EE5FD6" w:rsidRPr="007429EC">
        <w:rPr>
          <w:sz w:val="28"/>
          <w:szCs w:val="28"/>
        </w:rPr>
        <w:t xml:space="preserve"> Group</w:t>
      </w:r>
      <w:r w:rsidRPr="007429EC">
        <w:rPr>
          <w:sz w:val="28"/>
          <w:szCs w:val="28"/>
        </w:rPr>
        <w:t xml:space="preserve"> and Regiments Capital, as parties to the Joint Venture, individually had the requisite ability to raise the required capital. The RFPs required bidders themselves to demonstrate their ability to fund the project and not, as has been seen in this case, the ability of RMB to fund the project. Differently put, the ability required by the RFPs is that of the Joint Venture and not RMB.</w:t>
      </w:r>
    </w:p>
    <w:p w14:paraId="584F527D" w14:textId="77777777" w:rsidR="007B12A8" w:rsidRPr="007429EC" w:rsidRDefault="007B12A8" w:rsidP="007B12A8">
      <w:pPr>
        <w:rPr>
          <w:szCs w:val="28"/>
        </w:rPr>
      </w:pPr>
    </w:p>
    <w:p w14:paraId="072E035D" w14:textId="77777777" w:rsidR="00E57F81" w:rsidRPr="007429EC" w:rsidRDefault="007B12A8" w:rsidP="007B12A8">
      <w:pPr>
        <w:rPr>
          <w:sz w:val="28"/>
          <w:szCs w:val="28"/>
        </w:rPr>
      </w:pPr>
      <w:r w:rsidRPr="007429EC">
        <w:rPr>
          <w:sz w:val="28"/>
          <w:szCs w:val="28"/>
        </w:rPr>
        <w:lastRenderedPageBreak/>
        <w:t>[</w:t>
      </w:r>
      <w:r w:rsidR="00EE5FD6" w:rsidRPr="007429EC">
        <w:rPr>
          <w:sz w:val="28"/>
          <w:szCs w:val="28"/>
        </w:rPr>
        <w:t>61</w:t>
      </w:r>
      <w:r w:rsidRPr="007429EC">
        <w:rPr>
          <w:sz w:val="28"/>
          <w:szCs w:val="28"/>
        </w:rPr>
        <w:t>]</w:t>
      </w:r>
      <w:r w:rsidRPr="007429EC">
        <w:rPr>
          <w:sz w:val="28"/>
          <w:szCs w:val="28"/>
        </w:rPr>
        <w:tab/>
        <w:t xml:space="preserve">As is invariably the case when it comes to procurement of goods and services by organs of state, the RFPs is designed to serve at least two crucial purposes. First, it informs the prospective bidders of what is required of them. Second, it foreshadows the terms of the contract that </w:t>
      </w:r>
      <w:r w:rsidR="00E57F81" w:rsidRPr="007429EC">
        <w:rPr>
          <w:sz w:val="28"/>
          <w:szCs w:val="28"/>
        </w:rPr>
        <w:t>would</w:t>
      </w:r>
      <w:r w:rsidRPr="007429EC">
        <w:rPr>
          <w:sz w:val="28"/>
          <w:szCs w:val="28"/>
        </w:rPr>
        <w:t xml:space="preserve"> be concluded between the organ of state and the successful bidder to be incorporated in the contract. In the context of the facts of this case</w:t>
      </w:r>
      <w:r w:rsidR="00C43362" w:rsidRPr="007429EC">
        <w:rPr>
          <w:sz w:val="28"/>
          <w:szCs w:val="28"/>
        </w:rPr>
        <w:t>,</w:t>
      </w:r>
      <w:r w:rsidRPr="007429EC">
        <w:rPr>
          <w:sz w:val="28"/>
          <w:szCs w:val="28"/>
        </w:rPr>
        <w:t xml:space="preserve"> there can be no doubt as to what the RFPs required. </w:t>
      </w:r>
    </w:p>
    <w:p w14:paraId="404D6E03" w14:textId="77777777" w:rsidR="00E57F81" w:rsidRPr="007429EC" w:rsidRDefault="00E57F81" w:rsidP="007B12A8">
      <w:pPr>
        <w:rPr>
          <w:sz w:val="28"/>
          <w:szCs w:val="28"/>
        </w:rPr>
      </w:pPr>
    </w:p>
    <w:p w14:paraId="761C6936" w14:textId="6A407A91" w:rsidR="007B12A8" w:rsidRPr="007429EC" w:rsidRDefault="00E57F81" w:rsidP="007B12A8">
      <w:pPr>
        <w:rPr>
          <w:sz w:val="28"/>
          <w:szCs w:val="28"/>
        </w:rPr>
      </w:pPr>
      <w:r w:rsidRPr="007429EC">
        <w:rPr>
          <w:sz w:val="28"/>
          <w:szCs w:val="28"/>
        </w:rPr>
        <w:t>[62]</w:t>
      </w:r>
      <w:r w:rsidRPr="007429EC">
        <w:rPr>
          <w:sz w:val="28"/>
          <w:szCs w:val="28"/>
        </w:rPr>
        <w:tab/>
      </w:r>
      <w:r w:rsidR="007B12A8" w:rsidRPr="007429EC">
        <w:rPr>
          <w:sz w:val="28"/>
          <w:szCs w:val="28"/>
        </w:rPr>
        <w:t xml:space="preserve">This judgment therefore concludes that the </w:t>
      </w:r>
      <w:r w:rsidR="005860B2">
        <w:rPr>
          <w:sz w:val="28"/>
          <w:szCs w:val="28"/>
        </w:rPr>
        <w:t>Joint Venture</w:t>
      </w:r>
      <w:r w:rsidR="007B12A8" w:rsidRPr="007429EC">
        <w:rPr>
          <w:sz w:val="28"/>
          <w:szCs w:val="28"/>
        </w:rPr>
        <w:t xml:space="preserve"> was not able to provide what the Department desired and unambiguously required. </w:t>
      </w:r>
      <w:r w:rsidR="00C43362" w:rsidRPr="007429EC">
        <w:rPr>
          <w:sz w:val="28"/>
          <w:szCs w:val="28"/>
        </w:rPr>
        <w:t>Furthermore,</w:t>
      </w:r>
      <w:r w:rsidR="007B12A8" w:rsidRPr="007429EC">
        <w:rPr>
          <w:sz w:val="28"/>
          <w:szCs w:val="28"/>
        </w:rPr>
        <w:t xml:space="preserve"> having regard to the irregularities of which the government parties complain in this litigation</w:t>
      </w:r>
      <w:r w:rsidR="00C43362" w:rsidRPr="007429EC">
        <w:rPr>
          <w:sz w:val="28"/>
          <w:szCs w:val="28"/>
        </w:rPr>
        <w:t>,</w:t>
      </w:r>
      <w:r w:rsidR="007B12A8" w:rsidRPr="007429EC">
        <w:rPr>
          <w:sz w:val="28"/>
          <w:szCs w:val="28"/>
        </w:rPr>
        <w:t xml:space="preserve"> a finding that such irregularities have been established </w:t>
      </w:r>
      <w:r w:rsidR="00876ED7" w:rsidRPr="007429EC">
        <w:rPr>
          <w:sz w:val="28"/>
          <w:szCs w:val="28"/>
        </w:rPr>
        <w:t xml:space="preserve">and are material </w:t>
      </w:r>
      <w:r w:rsidR="007B12A8" w:rsidRPr="007429EC">
        <w:rPr>
          <w:sz w:val="28"/>
          <w:szCs w:val="28"/>
        </w:rPr>
        <w:t xml:space="preserve">must ineluctably lead to the conclusion that the ensuing contract concluded between the Department and the </w:t>
      </w:r>
      <w:r w:rsidR="00E07E29">
        <w:rPr>
          <w:sz w:val="28"/>
          <w:szCs w:val="28"/>
        </w:rPr>
        <w:t>Joint Venture</w:t>
      </w:r>
      <w:r w:rsidR="007B12A8" w:rsidRPr="007429EC">
        <w:rPr>
          <w:sz w:val="28"/>
          <w:szCs w:val="28"/>
        </w:rPr>
        <w:t xml:space="preserve"> during May 2016 falls to be declared constitutionally invalid and thus unlawful. </w:t>
      </w:r>
    </w:p>
    <w:p w14:paraId="7C01E391" w14:textId="77777777" w:rsidR="007B12A8" w:rsidRPr="007429EC" w:rsidRDefault="007B12A8" w:rsidP="00B224C9">
      <w:pPr>
        <w:rPr>
          <w:sz w:val="28"/>
          <w:szCs w:val="28"/>
        </w:rPr>
      </w:pPr>
    </w:p>
    <w:p w14:paraId="1987FBF6" w14:textId="193B7CA8" w:rsidR="00DD3E74" w:rsidRPr="007429EC" w:rsidRDefault="00DD3E74" w:rsidP="00B224C9">
      <w:pPr>
        <w:rPr>
          <w:sz w:val="28"/>
          <w:szCs w:val="28"/>
        </w:rPr>
      </w:pPr>
      <w:r w:rsidRPr="007429EC">
        <w:rPr>
          <w:b/>
          <w:sz w:val="28"/>
          <w:szCs w:val="28"/>
        </w:rPr>
        <w:t>Delay</w:t>
      </w:r>
    </w:p>
    <w:p w14:paraId="358D8B44" w14:textId="24629909" w:rsidR="00DD3E74" w:rsidRPr="007429EC" w:rsidRDefault="00DD3E74" w:rsidP="00B224C9">
      <w:pPr>
        <w:rPr>
          <w:sz w:val="28"/>
          <w:szCs w:val="28"/>
        </w:rPr>
      </w:pPr>
      <w:r w:rsidRPr="007429EC">
        <w:rPr>
          <w:sz w:val="28"/>
          <w:szCs w:val="28"/>
        </w:rPr>
        <w:t>[</w:t>
      </w:r>
      <w:r w:rsidR="00E57F81" w:rsidRPr="007429EC">
        <w:rPr>
          <w:sz w:val="28"/>
          <w:szCs w:val="28"/>
        </w:rPr>
        <w:t>63</w:t>
      </w:r>
      <w:r w:rsidRPr="007429EC">
        <w:rPr>
          <w:sz w:val="28"/>
          <w:szCs w:val="28"/>
        </w:rPr>
        <w:t>]</w:t>
      </w:r>
      <w:r w:rsidRPr="007429EC">
        <w:rPr>
          <w:sz w:val="28"/>
          <w:szCs w:val="28"/>
        </w:rPr>
        <w:tab/>
        <w:t xml:space="preserve">This then brings </w:t>
      </w:r>
      <w:r w:rsidR="00F408BD" w:rsidRPr="007429EC">
        <w:rPr>
          <w:sz w:val="28"/>
          <w:szCs w:val="28"/>
        </w:rPr>
        <w:t xml:space="preserve">me to the issue of delay. </w:t>
      </w:r>
      <w:r w:rsidR="002E37AF" w:rsidRPr="007429EC">
        <w:rPr>
          <w:sz w:val="28"/>
          <w:szCs w:val="28"/>
        </w:rPr>
        <w:t xml:space="preserve">Insofar as the substantive merits of this case are concerned, this judgment has already </w:t>
      </w:r>
      <w:r w:rsidR="00F408BD" w:rsidRPr="007429EC">
        <w:rPr>
          <w:sz w:val="28"/>
          <w:szCs w:val="28"/>
        </w:rPr>
        <w:t xml:space="preserve">concluded above that the award of the tender was contrary to the dictates of s 217 </w:t>
      </w:r>
      <w:r w:rsidR="00A435C9" w:rsidRPr="007429EC">
        <w:rPr>
          <w:sz w:val="28"/>
          <w:szCs w:val="28"/>
        </w:rPr>
        <w:t>of the Constitution and the RFP</w:t>
      </w:r>
      <w:r w:rsidR="004B6D5A" w:rsidRPr="007429EC">
        <w:rPr>
          <w:sz w:val="28"/>
          <w:szCs w:val="28"/>
        </w:rPr>
        <w:t>s</w:t>
      </w:r>
      <w:r w:rsidR="00F408BD" w:rsidRPr="007429EC">
        <w:rPr>
          <w:sz w:val="28"/>
          <w:szCs w:val="28"/>
        </w:rPr>
        <w:t xml:space="preserve"> itself</w:t>
      </w:r>
      <w:r w:rsidR="002E37AF" w:rsidRPr="007429EC">
        <w:rPr>
          <w:sz w:val="28"/>
          <w:szCs w:val="28"/>
        </w:rPr>
        <w:t xml:space="preserve">. </w:t>
      </w:r>
      <w:r w:rsidR="00C43362" w:rsidRPr="007429EC">
        <w:rPr>
          <w:sz w:val="28"/>
          <w:szCs w:val="28"/>
        </w:rPr>
        <w:t>C</w:t>
      </w:r>
      <w:r w:rsidR="00F408BD" w:rsidRPr="007429EC">
        <w:rPr>
          <w:sz w:val="28"/>
          <w:szCs w:val="28"/>
        </w:rPr>
        <w:t xml:space="preserve">oupled with </w:t>
      </w:r>
      <w:r w:rsidR="002E37AF" w:rsidRPr="007429EC">
        <w:rPr>
          <w:sz w:val="28"/>
          <w:szCs w:val="28"/>
        </w:rPr>
        <w:t>this</w:t>
      </w:r>
      <w:r w:rsidR="00C43362" w:rsidRPr="007429EC">
        <w:rPr>
          <w:sz w:val="28"/>
          <w:szCs w:val="28"/>
        </w:rPr>
        <w:t>,</w:t>
      </w:r>
      <w:r w:rsidR="002E37AF" w:rsidRPr="007429EC">
        <w:rPr>
          <w:sz w:val="28"/>
          <w:szCs w:val="28"/>
        </w:rPr>
        <w:t xml:space="preserve"> is </w:t>
      </w:r>
      <w:r w:rsidR="00F408BD" w:rsidRPr="007429EC">
        <w:rPr>
          <w:sz w:val="28"/>
          <w:szCs w:val="28"/>
        </w:rPr>
        <w:t xml:space="preserve">the fact that those intimately involved in </w:t>
      </w:r>
      <w:r w:rsidR="00E314D5" w:rsidRPr="007429EC">
        <w:rPr>
          <w:sz w:val="28"/>
          <w:szCs w:val="28"/>
        </w:rPr>
        <w:t>the implementation of the project subsequently agreed on something that was fundamentally at variance w</w:t>
      </w:r>
      <w:r w:rsidR="00A435C9" w:rsidRPr="007429EC">
        <w:rPr>
          <w:sz w:val="28"/>
          <w:szCs w:val="28"/>
        </w:rPr>
        <w:t>ith the requirements of the RFP</w:t>
      </w:r>
      <w:r w:rsidR="004B6D5A" w:rsidRPr="007429EC">
        <w:rPr>
          <w:sz w:val="28"/>
          <w:szCs w:val="28"/>
        </w:rPr>
        <w:t>s</w:t>
      </w:r>
      <w:r w:rsidR="002E37AF" w:rsidRPr="007429EC">
        <w:rPr>
          <w:sz w:val="28"/>
          <w:szCs w:val="28"/>
        </w:rPr>
        <w:t>. Therefore,</w:t>
      </w:r>
      <w:r w:rsidR="00E314D5" w:rsidRPr="007429EC">
        <w:rPr>
          <w:sz w:val="28"/>
          <w:szCs w:val="28"/>
        </w:rPr>
        <w:t xml:space="preserve"> it is now timely to determine whether the admitted delay </w:t>
      </w:r>
      <w:r w:rsidR="002E37AF" w:rsidRPr="007429EC">
        <w:rPr>
          <w:sz w:val="28"/>
          <w:szCs w:val="28"/>
        </w:rPr>
        <w:t xml:space="preserve">was, as the high court found, both unreasonable and unexplained. In the event that the delay is found to be unreasonable, it will be necessary to determine whether it should nevertheless be </w:t>
      </w:r>
      <w:r w:rsidR="00E314D5" w:rsidRPr="007429EC">
        <w:rPr>
          <w:sz w:val="28"/>
          <w:szCs w:val="28"/>
        </w:rPr>
        <w:t xml:space="preserve">overlooked. </w:t>
      </w:r>
    </w:p>
    <w:p w14:paraId="579D6233" w14:textId="097921E8" w:rsidR="004B4731" w:rsidRPr="007429EC" w:rsidRDefault="004B4731" w:rsidP="00E57F81">
      <w:pPr>
        <w:rPr>
          <w:sz w:val="28"/>
          <w:szCs w:val="28"/>
        </w:rPr>
      </w:pPr>
      <w:r w:rsidRPr="007429EC">
        <w:rPr>
          <w:sz w:val="28"/>
          <w:szCs w:val="28"/>
        </w:rPr>
        <w:lastRenderedPageBreak/>
        <w:t>[</w:t>
      </w:r>
      <w:r w:rsidR="00E57F81" w:rsidRPr="007429EC">
        <w:rPr>
          <w:sz w:val="28"/>
          <w:szCs w:val="28"/>
        </w:rPr>
        <w:t>64</w:t>
      </w:r>
      <w:r w:rsidRPr="007429EC">
        <w:rPr>
          <w:sz w:val="28"/>
          <w:szCs w:val="28"/>
        </w:rPr>
        <w:t>]</w:t>
      </w:r>
      <w:r w:rsidRPr="007429EC">
        <w:rPr>
          <w:sz w:val="28"/>
          <w:szCs w:val="28"/>
        </w:rPr>
        <w:tab/>
        <w:t xml:space="preserve">It is as well to remember that </w:t>
      </w:r>
      <w:r w:rsidR="00C43362" w:rsidRPr="007429EC">
        <w:rPr>
          <w:sz w:val="28"/>
          <w:szCs w:val="28"/>
        </w:rPr>
        <w:t xml:space="preserve">here, </w:t>
      </w:r>
      <w:r w:rsidRPr="007429EC">
        <w:rPr>
          <w:sz w:val="28"/>
          <w:szCs w:val="28"/>
        </w:rPr>
        <w:t xml:space="preserve">we are dealing with a legality review which is not subject to the time constraints prescribed by s 7(1) of PAJA. </w:t>
      </w:r>
    </w:p>
    <w:p w14:paraId="5062B099" w14:textId="77777777" w:rsidR="00A1023E" w:rsidRPr="007429EC" w:rsidRDefault="00A1023E" w:rsidP="00B224C9">
      <w:pPr>
        <w:rPr>
          <w:sz w:val="28"/>
          <w:szCs w:val="28"/>
        </w:rPr>
      </w:pPr>
    </w:p>
    <w:p w14:paraId="751DCC8D" w14:textId="42004951" w:rsidR="00A1023E" w:rsidRPr="007429EC" w:rsidRDefault="00A1023E" w:rsidP="00B224C9">
      <w:pPr>
        <w:rPr>
          <w:sz w:val="28"/>
          <w:szCs w:val="28"/>
        </w:rPr>
      </w:pPr>
      <w:r w:rsidRPr="007429EC">
        <w:rPr>
          <w:sz w:val="28"/>
          <w:szCs w:val="28"/>
        </w:rPr>
        <w:t>[</w:t>
      </w:r>
      <w:r w:rsidR="00345025" w:rsidRPr="007429EC">
        <w:rPr>
          <w:sz w:val="28"/>
          <w:szCs w:val="28"/>
        </w:rPr>
        <w:t>65</w:t>
      </w:r>
      <w:r w:rsidRPr="007429EC">
        <w:rPr>
          <w:sz w:val="28"/>
          <w:szCs w:val="28"/>
        </w:rPr>
        <w:t>]</w:t>
      </w:r>
      <w:r w:rsidRPr="007429EC">
        <w:rPr>
          <w:sz w:val="28"/>
          <w:szCs w:val="28"/>
        </w:rPr>
        <w:tab/>
      </w:r>
      <w:r w:rsidR="00E57F81" w:rsidRPr="007429EC">
        <w:rPr>
          <w:sz w:val="28"/>
          <w:szCs w:val="28"/>
        </w:rPr>
        <w:t>Nevertheless, e</w:t>
      </w:r>
      <w:r w:rsidRPr="007429EC">
        <w:rPr>
          <w:sz w:val="28"/>
          <w:szCs w:val="28"/>
        </w:rPr>
        <w:t>ven before the advent of our constitutional order and the enactment of PAJA</w:t>
      </w:r>
      <w:r w:rsidR="00345025" w:rsidRPr="007429EC">
        <w:rPr>
          <w:sz w:val="28"/>
          <w:szCs w:val="28"/>
        </w:rPr>
        <w:t>,</w:t>
      </w:r>
      <w:r w:rsidRPr="007429EC">
        <w:rPr>
          <w:sz w:val="28"/>
          <w:szCs w:val="28"/>
        </w:rPr>
        <w:t xml:space="preserve"> our courts had long held that reviews must</w:t>
      </w:r>
      <w:r w:rsidR="00845735" w:rsidRPr="007429EC">
        <w:rPr>
          <w:sz w:val="28"/>
          <w:szCs w:val="28"/>
        </w:rPr>
        <w:t>,</w:t>
      </w:r>
      <w:r w:rsidRPr="007429EC">
        <w:rPr>
          <w:sz w:val="28"/>
          <w:szCs w:val="28"/>
        </w:rPr>
        <w:t xml:space="preserve"> as a general rule</w:t>
      </w:r>
      <w:r w:rsidR="00845735" w:rsidRPr="007429EC">
        <w:rPr>
          <w:sz w:val="28"/>
          <w:szCs w:val="28"/>
        </w:rPr>
        <w:t>,</w:t>
      </w:r>
      <w:r w:rsidRPr="007429EC">
        <w:rPr>
          <w:sz w:val="28"/>
          <w:szCs w:val="28"/>
        </w:rPr>
        <w:t xml:space="preserve"> be instituted without undue delay. The rationale for this time-honoured requirement was explained by Brand JA in </w:t>
      </w:r>
      <w:r w:rsidR="00DB353C" w:rsidRPr="007429EC">
        <w:rPr>
          <w:i/>
          <w:sz w:val="28"/>
          <w:szCs w:val="28"/>
        </w:rPr>
        <w:t>Associated Institutions Pension Fund and Others v Van Zyl and Others</w:t>
      </w:r>
      <w:r w:rsidR="00DB353C" w:rsidRPr="007429EC">
        <w:rPr>
          <w:rStyle w:val="FootnoteReference"/>
          <w:sz w:val="28"/>
          <w:szCs w:val="28"/>
        </w:rPr>
        <w:footnoteReference w:id="48"/>
      </w:r>
      <w:r w:rsidR="00DB353C" w:rsidRPr="007429EC">
        <w:rPr>
          <w:sz w:val="28"/>
          <w:szCs w:val="28"/>
        </w:rPr>
        <w:t xml:space="preserve"> as follows:</w:t>
      </w:r>
    </w:p>
    <w:p w14:paraId="28CCC4C3" w14:textId="518D4DDF" w:rsidR="00DB353C" w:rsidRPr="007429EC" w:rsidRDefault="003B6577" w:rsidP="00025A9B">
      <w:pPr>
        <w:rPr>
          <w:szCs w:val="28"/>
        </w:rPr>
      </w:pPr>
      <w:r w:rsidRPr="007429EC">
        <w:rPr>
          <w:szCs w:val="28"/>
        </w:rPr>
        <w:t>'</w:t>
      </w:r>
      <w:r w:rsidR="00DB353C" w:rsidRPr="007429EC">
        <w:t>I</w:t>
      </w:r>
      <w:r w:rsidR="00DB353C" w:rsidRPr="007429EC">
        <w:rPr>
          <w:szCs w:val="28"/>
        </w:rPr>
        <w:t xml:space="preserve">t is a longstanding rule that courts have the power, as part of their inherent jurisdiction to regulate their own proceedings, to refuse a review application if the aggrieved party had been guilty of unreasonable delay in initiating the proceedings. The effect is that, in a sense, delay would </w:t>
      </w:r>
      <w:r w:rsidRPr="007429EC">
        <w:rPr>
          <w:szCs w:val="28"/>
        </w:rPr>
        <w:t>'</w:t>
      </w:r>
      <w:r w:rsidR="00DB353C" w:rsidRPr="007429EC">
        <w:rPr>
          <w:szCs w:val="28"/>
        </w:rPr>
        <w:t>validate</w:t>
      </w:r>
      <w:r w:rsidRPr="007429EC">
        <w:rPr>
          <w:szCs w:val="28"/>
        </w:rPr>
        <w:t>'</w:t>
      </w:r>
      <w:r w:rsidR="00DB353C" w:rsidRPr="007429EC">
        <w:rPr>
          <w:szCs w:val="28"/>
        </w:rPr>
        <w:t xml:space="preserve"> the invalid administrative action (see eg </w:t>
      </w:r>
      <w:r w:rsidR="00DB353C" w:rsidRPr="007429EC">
        <w:rPr>
          <w:i/>
          <w:szCs w:val="28"/>
        </w:rPr>
        <w:t>Oudekraal Estates (Pty) Ltd v City of Cape Town and others</w:t>
      </w:r>
      <w:r w:rsidR="00DB353C" w:rsidRPr="007429EC">
        <w:rPr>
          <w:szCs w:val="28"/>
        </w:rPr>
        <w:t xml:space="preserve"> [2004] 3 All SA 1 (SCA) 10b-d, para 27). The </w:t>
      </w:r>
      <w:r w:rsidR="00DB353C" w:rsidRPr="007429EC">
        <w:rPr>
          <w:i/>
          <w:szCs w:val="28"/>
        </w:rPr>
        <w:t>raison d</w:t>
      </w:r>
      <w:r w:rsidRPr="007429EC">
        <w:rPr>
          <w:i/>
          <w:szCs w:val="28"/>
        </w:rPr>
        <w:t>'</w:t>
      </w:r>
      <w:r w:rsidR="00DB353C" w:rsidRPr="007429EC">
        <w:rPr>
          <w:i/>
          <w:szCs w:val="28"/>
        </w:rPr>
        <w:t>etre</w:t>
      </w:r>
      <w:r w:rsidR="00DB353C" w:rsidRPr="007429EC">
        <w:rPr>
          <w:szCs w:val="28"/>
        </w:rPr>
        <w:t xml:space="preserve"> of the rule is said to be twofold. First, the failure to bring a review within a reasonable time may cause prejudice to the respondent. Second, there is a public interest element in the finality of administrative decisions and the exercise of administrative functions (see eg </w:t>
      </w:r>
      <w:r w:rsidR="00DB353C" w:rsidRPr="007429EC">
        <w:rPr>
          <w:i/>
          <w:szCs w:val="28"/>
        </w:rPr>
        <w:t>Wolgroeiers Afslaers (Edms) Bpk v Munisipaliteit van Kaapstad</w:t>
      </w:r>
      <w:r w:rsidR="00DB353C" w:rsidRPr="007429EC">
        <w:rPr>
          <w:szCs w:val="28"/>
        </w:rPr>
        <w:t xml:space="preserve"> 1978 (1) SA 13 (A) 41).</w:t>
      </w:r>
    </w:p>
    <w:p w14:paraId="0ADC6EDE" w14:textId="77777777" w:rsidR="00DB353C" w:rsidRPr="007429EC" w:rsidRDefault="00DB353C" w:rsidP="00DB353C">
      <w:pPr>
        <w:ind w:firstLine="720"/>
        <w:rPr>
          <w:szCs w:val="28"/>
        </w:rPr>
      </w:pPr>
    </w:p>
    <w:p w14:paraId="13EBDA3C" w14:textId="26040430" w:rsidR="00DB353C" w:rsidRPr="007429EC" w:rsidRDefault="00DB353C" w:rsidP="00025A9B">
      <w:pPr>
        <w:rPr>
          <w:szCs w:val="28"/>
        </w:rPr>
      </w:pPr>
      <w:r w:rsidRPr="007429EC">
        <w:rPr>
          <w:szCs w:val="28"/>
        </w:rPr>
        <w:t xml:space="preserve">The scope and content of the rule has been the subject of investigation in two decisions of this court. They are the </w:t>
      </w:r>
      <w:r w:rsidRPr="007429EC">
        <w:rPr>
          <w:i/>
          <w:szCs w:val="28"/>
        </w:rPr>
        <w:t>Wolgroeiers</w:t>
      </w:r>
      <w:r w:rsidRPr="007429EC">
        <w:rPr>
          <w:szCs w:val="28"/>
        </w:rPr>
        <w:t xml:space="preserve"> case and </w:t>
      </w:r>
      <w:r w:rsidRPr="007429EC">
        <w:rPr>
          <w:i/>
          <w:szCs w:val="28"/>
        </w:rPr>
        <w:t xml:space="preserve">Setsokosane Busdiens (Edms) Bpk v Voorsitter, Nasionale Vervoerkommissie en </w:t>
      </w:r>
      <w:r w:rsidR="003B6577" w:rsidRPr="007429EC">
        <w:rPr>
          <w:i/>
          <w:szCs w:val="28"/>
        </w:rPr>
        <w:t>'</w:t>
      </w:r>
      <w:r w:rsidRPr="007429EC">
        <w:rPr>
          <w:i/>
          <w:szCs w:val="28"/>
        </w:rPr>
        <w:t>n Ander</w:t>
      </w:r>
      <w:r w:rsidRPr="007429EC">
        <w:rPr>
          <w:szCs w:val="28"/>
        </w:rPr>
        <w:t xml:space="preserve"> 1986 (2) SA 57 (A). As appears from these two cases and the numerous decisions in which they have been followed, application of the rule requires consideration of two questions:</w:t>
      </w:r>
    </w:p>
    <w:p w14:paraId="5A1FEDFC" w14:textId="77777777" w:rsidR="00DB353C" w:rsidRPr="007429EC" w:rsidRDefault="00DB353C" w:rsidP="00DB353C">
      <w:pPr>
        <w:rPr>
          <w:szCs w:val="28"/>
        </w:rPr>
      </w:pPr>
      <w:r w:rsidRPr="007429EC">
        <w:rPr>
          <w:szCs w:val="28"/>
        </w:rPr>
        <w:t>(a) Was there an unreasonable delay?</w:t>
      </w:r>
    </w:p>
    <w:p w14:paraId="15F9D39C" w14:textId="77777777" w:rsidR="00DB353C" w:rsidRPr="007429EC" w:rsidRDefault="00DB353C" w:rsidP="00DB353C">
      <w:pPr>
        <w:rPr>
          <w:szCs w:val="28"/>
        </w:rPr>
      </w:pPr>
      <w:r w:rsidRPr="007429EC">
        <w:rPr>
          <w:szCs w:val="28"/>
        </w:rPr>
        <w:t>(b) If so, should the delay in all the circumstances be condoned?</w:t>
      </w:r>
    </w:p>
    <w:p w14:paraId="2C37D333" w14:textId="636BE031" w:rsidR="00DB353C" w:rsidRPr="007429EC" w:rsidRDefault="00DB353C" w:rsidP="00DB353C">
      <w:pPr>
        <w:rPr>
          <w:szCs w:val="28"/>
        </w:rPr>
      </w:pPr>
      <w:r w:rsidRPr="007429EC">
        <w:rPr>
          <w:szCs w:val="28"/>
        </w:rPr>
        <w:t xml:space="preserve">(See </w:t>
      </w:r>
      <w:r w:rsidRPr="007429EC">
        <w:rPr>
          <w:i/>
          <w:szCs w:val="28"/>
        </w:rPr>
        <w:t>Wolgroeiers</w:t>
      </w:r>
      <w:r w:rsidRPr="007429EC">
        <w:rPr>
          <w:szCs w:val="28"/>
        </w:rPr>
        <w:t xml:space="preserve"> 39</w:t>
      </w:r>
      <w:r w:rsidR="00B759FF" w:rsidRPr="007429EC">
        <w:rPr>
          <w:szCs w:val="28"/>
        </w:rPr>
        <w:t xml:space="preserve"> </w:t>
      </w:r>
      <w:r w:rsidRPr="007429EC">
        <w:rPr>
          <w:szCs w:val="28"/>
        </w:rPr>
        <w:t>C-D.)</w:t>
      </w:r>
    </w:p>
    <w:p w14:paraId="5866529D" w14:textId="77777777" w:rsidR="00DB353C" w:rsidRPr="007429EC" w:rsidRDefault="00DB353C" w:rsidP="00DB353C">
      <w:pPr>
        <w:ind w:firstLine="720"/>
        <w:rPr>
          <w:szCs w:val="28"/>
        </w:rPr>
      </w:pPr>
    </w:p>
    <w:p w14:paraId="4595E6B5" w14:textId="1B7BCC9D" w:rsidR="00DB353C" w:rsidRPr="007429EC" w:rsidRDefault="00DB353C" w:rsidP="00025A9B">
      <w:pPr>
        <w:rPr>
          <w:szCs w:val="28"/>
        </w:rPr>
      </w:pPr>
      <w:r w:rsidRPr="007429EC">
        <w:rPr>
          <w:szCs w:val="28"/>
        </w:rPr>
        <w:lastRenderedPageBreak/>
        <w:t xml:space="preserve">The reasonableness or unreasonableness of a delay is entirely dependent on the facts and circumstances of any particular case (see eg </w:t>
      </w:r>
      <w:r w:rsidRPr="007429EC">
        <w:rPr>
          <w:i/>
          <w:szCs w:val="28"/>
        </w:rPr>
        <w:t>Setsokosana</w:t>
      </w:r>
      <w:r w:rsidRPr="007429EC">
        <w:rPr>
          <w:szCs w:val="28"/>
        </w:rPr>
        <w:t xml:space="preserve"> 86G). The investigation into the reasonableness of the delay has nothing to do with the court</w:t>
      </w:r>
      <w:r w:rsidR="003B6577" w:rsidRPr="007429EC">
        <w:rPr>
          <w:szCs w:val="28"/>
        </w:rPr>
        <w:t>'</w:t>
      </w:r>
      <w:r w:rsidRPr="007429EC">
        <w:rPr>
          <w:szCs w:val="28"/>
        </w:rPr>
        <w:t xml:space="preserve">s discretion. It is an investigation into the facts of the matter in order to determine whether, in all the circumstances of that case, the delay was reasonable. Though this question does imply a value judgment it is not to be equated with the judicial discretion involved in the next question, if it arises, namely, whether a delay which has been found to be unreasonable, should be condoned (See </w:t>
      </w:r>
      <w:r w:rsidRPr="007429EC">
        <w:rPr>
          <w:i/>
          <w:szCs w:val="28"/>
        </w:rPr>
        <w:t>Setsokosane</w:t>
      </w:r>
      <w:r w:rsidRPr="007429EC">
        <w:rPr>
          <w:szCs w:val="28"/>
        </w:rPr>
        <w:t xml:space="preserve"> 86E-F).</w:t>
      </w:r>
      <w:r w:rsidR="003B6577" w:rsidRPr="007429EC">
        <w:rPr>
          <w:szCs w:val="28"/>
        </w:rPr>
        <w:t>'</w:t>
      </w:r>
      <w:r w:rsidR="000C64FC" w:rsidRPr="007429EC">
        <w:rPr>
          <w:rStyle w:val="FootnoteReference"/>
          <w:szCs w:val="28"/>
        </w:rPr>
        <w:footnoteReference w:id="49"/>
      </w:r>
    </w:p>
    <w:p w14:paraId="06D37A80" w14:textId="77777777" w:rsidR="00DD3E74" w:rsidRPr="007429EC" w:rsidRDefault="00DD3E74" w:rsidP="00B224C9">
      <w:pPr>
        <w:rPr>
          <w:sz w:val="28"/>
          <w:szCs w:val="28"/>
        </w:rPr>
      </w:pPr>
    </w:p>
    <w:p w14:paraId="4685C066" w14:textId="631BAF63" w:rsidR="002A20DC" w:rsidRPr="007429EC" w:rsidRDefault="00B03509" w:rsidP="00B224C9">
      <w:pPr>
        <w:rPr>
          <w:sz w:val="28"/>
          <w:szCs w:val="28"/>
        </w:rPr>
      </w:pPr>
      <w:r w:rsidRPr="007429EC">
        <w:rPr>
          <w:sz w:val="28"/>
          <w:szCs w:val="28"/>
        </w:rPr>
        <w:t>[</w:t>
      </w:r>
      <w:r w:rsidR="00025A9B" w:rsidRPr="007429EC">
        <w:rPr>
          <w:sz w:val="28"/>
          <w:szCs w:val="28"/>
        </w:rPr>
        <w:t>66</w:t>
      </w:r>
      <w:r w:rsidRPr="007429EC">
        <w:rPr>
          <w:sz w:val="28"/>
          <w:szCs w:val="28"/>
        </w:rPr>
        <w:t>]</w:t>
      </w:r>
      <w:r w:rsidRPr="007429EC">
        <w:rPr>
          <w:sz w:val="28"/>
          <w:szCs w:val="28"/>
        </w:rPr>
        <w:tab/>
        <w:t xml:space="preserve">Cameron J endorsed this abiding principle in </w:t>
      </w:r>
      <w:r w:rsidRPr="007429EC">
        <w:rPr>
          <w:i/>
          <w:sz w:val="28"/>
          <w:szCs w:val="28"/>
        </w:rPr>
        <w:t>Merafong City Local Municipality v AngloGold Ashanti Limited</w:t>
      </w:r>
      <w:r w:rsidRPr="007429EC">
        <w:rPr>
          <w:rStyle w:val="FootnoteReference"/>
          <w:sz w:val="28"/>
          <w:szCs w:val="28"/>
        </w:rPr>
        <w:footnoteReference w:id="50"/>
      </w:r>
      <w:r w:rsidRPr="007429EC">
        <w:rPr>
          <w:sz w:val="28"/>
          <w:szCs w:val="28"/>
        </w:rPr>
        <w:t xml:space="preserve"> and reiterated that:</w:t>
      </w:r>
    </w:p>
    <w:p w14:paraId="1D23B687" w14:textId="7A18E6B2" w:rsidR="00402FC3" w:rsidRPr="007429EC" w:rsidRDefault="003B6577" w:rsidP="00B224C9">
      <w:pPr>
        <w:rPr>
          <w:szCs w:val="28"/>
        </w:rPr>
      </w:pPr>
      <w:r w:rsidRPr="007429EC">
        <w:rPr>
          <w:szCs w:val="28"/>
        </w:rPr>
        <w:t>'</w:t>
      </w:r>
      <w:r w:rsidR="00025A9B" w:rsidRPr="007429EC">
        <w:rPr>
          <w:szCs w:val="28"/>
        </w:rPr>
        <w:t>...</w:t>
      </w:r>
      <w:r w:rsidR="00207808" w:rsidRPr="007429EC">
        <w:rPr>
          <w:szCs w:val="28"/>
        </w:rPr>
        <w:t xml:space="preserve"> </w:t>
      </w:r>
      <w:r w:rsidR="00B03509" w:rsidRPr="007429EC">
        <w:rPr>
          <w:szCs w:val="28"/>
        </w:rPr>
        <w:t>The rule against delay in instituting review exists for good reason: to curb the potential prejudice that would ensue if the lawfulness of the decision remains uncertain. Protracted delays could give rise to calamitous effects. Not just for those who rely upon the decision but also for the efficient functioning of the decision-making body itself.</w:t>
      </w:r>
      <w:r w:rsidRPr="007429EC">
        <w:rPr>
          <w:szCs w:val="28"/>
        </w:rPr>
        <w:t>'</w:t>
      </w:r>
      <w:r w:rsidR="00B03509" w:rsidRPr="007429EC">
        <w:rPr>
          <w:rStyle w:val="FootnoteReference"/>
          <w:szCs w:val="28"/>
        </w:rPr>
        <w:footnoteReference w:id="51"/>
      </w:r>
    </w:p>
    <w:p w14:paraId="1806A52E" w14:textId="77777777" w:rsidR="00B03509" w:rsidRPr="007429EC" w:rsidRDefault="00B03509" w:rsidP="00B224C9">
      <w:pPr>
        <w:rPr>
          <w:szCs w:val="28"/>
        </w:rPr>
      </w:pPr>
    </w:p>
    <w:p w14:paraId="51FB8D02" w14:textId="11869BF0" w:rsidR="00B03509" w:rsidRPr="007429EC" w:rsidRDefault="00B03509" w:rsidP="00B224C9">
      <w:pPr>
        <w:rPr>
          <w:sz w:val="28"/>
          <w:szCs w:val="28"/>
        </w:rPr>
      </w:pPr>
      <w:r w:rsidRPr="007429EC">
        <w:rPr>
          <w:sz w:val="28"/>
          <w:szCs w:val="28"/>
        </w:rPr>
        <w:t>[</w:t>
      </w:r>
      <w:r w:rsidR="00F96910" w:rsidRPr="007429EC">
        <w:rPr>
          <w:sz w:val="28"/>
          <w:szCs w:val="28"/>
        </w:rPr>
        <w:t>67</w:t>
      </w:r>
      <w:r w:rsidRPr="007429EC">
        <w:rPr>
          <w:sz w:val="28"/>
          <w:szCs w:val="28"/>
        </w:rPr>
        <w:t>]</w:t>
      </w:r>
      <w:r w:rsidRPr="007429EC">
        <w:rPr>
          <w:sz w:val="28"/>
          <w:szCs w:val="28"/>
        </w:rPr>
        <w:tab/>
        <w:t xml:space="preserve">In </w:t>
      </w:r>
      <w:r w:rsidR="00146F38" w:rsidRPr="007429EC">
        <w:rPr>
          <w:i/>
          <w:sz w:val="28"/>
          <w:szCs w:val="28"/>
        </w:rPr>
        <w:t>Khumalo and Another v Member of the Executive Council for Education: KwaZulu Natal</w:t>
      </w:r>
      <w:r w:rsidR="00025A9B" w:rsidRPr="007429EC">
        <w:rPr>
          <w:i/>
          <w:sz w:val="28"/>
          <w:szCs w:val="28"/>
        </w:rPr>
        <w:t xml:space="preserve"> </w:t>
      </w:r>
      <w:r w:rsidR="00025A9B" w:rsidRPr="007429EC">
        <w:rPr>
          <w:sz w:val="28"/>
          <w:szCs w:val="28"/>
        </w:rPr>
        <w:t>(</w:t>
      </w:r>
      <w:r w:rsidR="00025A9B" w:rsidRPr="007429EC">
        <w:rPr>
          <w:i/>
          <w:sz w:val="28"/>
          <w:szCs w:val="28"/>
        </w:rPr>
        <w:t>Khumalo</w:t>
      </w:r>
      <w:r w:rsidR="00025A9B" w:rsidRPr="007429EC">
        <w:rPr>
          <w:sz w:val="28"/>
          <w:szCs w:val="28"/>
        </w:rPr>
        <w:t>)</w:t>
      </w:r>
      <w:r w:rsidR="00146F38" w:rsidRPr="007429EC">
        <w:rPr>
          <w:rStyle w:val="FootnoteReference"/>
          <w:sz w:val="28"/>
          <w:szCs w:val="28"/>
        </w:rPr>
        <w:footnoteReference w:id="52"/>
      </w:r>
      <w:r w:rsidR="00146F38" w:rsidRPr="007429EC">
        <w:rPr>
          <w:sz w:val="28"/>
          <w:szCs w:val="28"/>
        </w:rPr>
        <w:t xml:space="preserve"> Skweyiya J, whilst acknowledging the indisputable existence of the delay rule, observed that courts nevertheless have a discretion to overlook a delay where appropriate. He said:</w:t>
      </w:r>
    </w:p>
    <w:p w14:paraId="3CE479CB" w14:textId="28B46051" w:rsidR="00146F38" w:rsidRPr="007429EC" w:rsidRDefault="003B6577" w:rsidP="00B224C9">
      <w:pPr>
        <w:rPr>
          <w:szCs w:val="28"/>
        </w:rPr>
      </w:pPr>
      <w:r w:rsidRPr="007429EC">
        <w:rPr>
          <w:szCs w:val="28"/>
        </w:rPr>
        <w:t>'</w:t>
      </w:r>
      <w:r w:rsidR="00950450" w:rsidRPr="007429EC">
        <w:rPr>
          <w:szCs w:val="28"/>
        </w:rPr>
        <w:t>[A] court should be slow to allow procedural obstacles to prevent it from looking into a challenge to the lawfulness of an exercise of public power. But that does not mean that the Constitution has dispensed with the basic procedural requirement that review proceedings are to be brought without undue delay or with a court</w:t>
      </w:r>
      <w:r w:rsidRPr="007429EC">
        <w:rPr>
          <w:szCs w:val="28"/>
        </w:rPr>
        <w:t>'</w:t>
      </w:r>
      <w:r w:rsidR="00950450" w:rsidRPr="007429EC">
        <w:rPr>
          <w:szCs w:val="28"/>
        </w:rPr>
        <w:t>s discretion to overlook a delay.</w:t>
      </w:r>
      <w:r w:rsidRPr="007429EC">
        <w:rPr>
          <w:szCs w:val="28"/>
        </w:rPr>
        <w:t>'</w:t>
      </w:r>
      <w:r w:rsidR="00950450" w:rsidRPr="007429EC">
        <w:rPr>
          <w:rStyle w:val="FootnoteReference"/>
          <w:szCs w:val="28"/>
        </w:rPr>
        <w:footnoteReference w:id="53"/>
      </w:r>
    </w:p>
    <w:p w14:paraId="53DDEE22" w14:textId="77777777" w:rsidR="00950450" w:rsidRPr="007429EC" w:rsidRDefault="00950450" w:rsidP="00B224C9">
      <w:pPr>
        <w:rPr>
          <w:szCs w:val="28"/>
        </w:rPr>
      </w:pPr>
    </w:p>
    <w:p w14:paraId="040566C5" w14:textId="2226A1FC" w:rsidR="00950450" w:rsidRPr="007429EC" w:rsidRDefault="00950450" w:rsidP="00B224C9">
      <w:pPr>
        <w:rPr>
          <w:sz w:val="28"/>
          <w:szCs w:val="28"/>
        </w:rPr>
      </w:pPr>
      <w:r w:rsidRPr="007429EC">
        <w:rPr>
          <w:sz w:val="28"/>
          <w:szCs w:val="28"/>
        </w:rPr>
        <w:lastRenderedPageBreak/>
        <w:t>[</w:t>
      </w:r>
      <w:r w:rsidR="00F96910" w:rsidRPr="007429EC">
        <w:rPr>
          <w:sz w:val="28"/>
          <w:szCs w:val="28"/>
        </w:rPr>
        <w:t>68</w:t>
      </w:r>
      <w:r w:rsidRPr="007429EC">
        <w:rPr>
          <w:sz w:val="28"/>
          <w:szCs w:val="28"/>
        </w:rPr>
        <w:t>]</w:t>
      </w:r>
      <w:r w:rsidRPr="007429EC">
        <w:rPr>
          <w:sz w:val="28"/>
          <w:szCs w:val="28"/>
        </w:rPr>
        <w:tab/>
      </w:r>
      <w:r w:rsidR="00674672" w:rsidRPr="007429EC">
        <w:rPr>
          <w:sz w:val="28"/>
          <w:szCs w:val="28"/>
        </w:rPr>
        <w:t>In support of this statement Skweyiya J relied on s 237</w:t>
      </w:r>
      <w:r w:rsidR="00674672" w:rsidRPr="007429EC">
        <w:rPr>
          <w:rStyle w:val="FootnoteReference"/>
          <w:sz w:val="28"/>
          <w:szCs w:val="28"/>
        </w:rPr>
        <w:footnoteReference w:id="54"/>
      </w:r>
      <w:r w:rsidR="00674672" w:rsidRPr="007429EC">
        <w:rPr>
          <w:sz w:val="28"/>
          <w:szCs w:val="28"/>
        </w:rPr>
        <w:t xml:space="preserve"> of the Constitution and held:</w:t>
      </w:r>
    </w:p>
    <w:p w14:paraId="0EAA8B0F" w14:textId="285746C8" w:rsidR="00674672" w:rsidRPr="007429EC" w:rsidRDefault="003B6577" w:rsidP="00F96910">
      <w:pPr>
        <w:rPr>
          <w:szCs w:val="28"/>
        </w:rPr>
      </w:pPr>
      <w:r w:rsidRPr="007429EC">
        <w:rPr>
          <w:szCs w:val="28"/>
        </w:rPr>
        <w:t>'</w:t>
      </w:r>
      <w:r w:rsidR="00F96910" w:rsidRPr="007429EC">
        <w:rPr>
          <w:szCs w:val="28"/>
        </w:rPr>
        <w:t>...</w:t>
      </w:r>
      <w:r w:rsidR="00207808" w:rsidRPr="007429EC">
        <w:rPr>
          <w:szCs w:val="28"/>
        </w:rPr>
        <w:t xml:space="preserve"> </w:t>
      </w:r>
      <w:r w:rsidR="00674672" w:rsidRPr="007429EC">
        <w:rPr>
          <w:szCs w:val="28"/>
        </w:rPr>
        <w:t>Section 237 acknowledges the significance of timeous compliance with constitutional prescripts. It elevates expeditious and diligent compliance with constitutional duties to an obligation in itself. The principle is thus a requirement of legality.</w:t>
      </w:r>
    </w:p>
    <w:p w14:paraId="3FA5875B" w14:textId="77777777" w:rsidR="00674672" w:rsidRPr="007429EC" w:rsidRDefault="00674672" w:rsidP="00674672">
      <w:pPr>
        <w:rPr>
          <w:szCs w:val="28"/>
        </w:rPr>
      </w:pPr>
    </w:p>
    <w:p w14:paraId="475445AF" w14:textId="4B6D5E2F" w:rsidR="00674672" w:rsidRPr="007429EC" w:rsidRDefault="00674672" w:rsidP="00F96910">
      <w:pPr>
        <w:rPr>
          <w:szCs w:val="28"/>
        </w:rPr>
      </w:pPr>
      <w:r w:rsidRPr="007429EC">
        <w:rPr>
          <w:szCs w:val="28"/>
        </w:rPr>
        <w:t>This requirement is based on sound judicial policy that includes an understanding of the strong public interest</w:t>
      </w:r>
      <w:r w:rsidR="00B16409" w:rsidRPr="007429EC">
        <w:rPr>
          <w:szCs w:val="28"/>
        </w:rPr>
        <w:t xml:space="preserve"> in both certainty and finality</w:t>
      </w:r>
      <w:r w:rsidRPr="007429EC">
        <w:rPr>
          <w:szCs w:val="28"/>
        </w:rPr>
        <w:t>. People may base their actions on the assumption of the lawfulness of a particular decision and the undoing of the decision threatens a myriad of consequent actions.</w:t>
      </w:r>
    </w:p>
    <w:p w14:paraId="7B0D47B7" w14:textId="77777777" w:rsidR="00674672" w:rsidRPr="007429EC" w:rsidRDefault="00674672" w:rsidP="00674672">
      <w:pPr>
        <w:rPr>
          <w:szCs w:val="28"/>
        </w:rPr>
      </w:pPr>
    </w:p>
    <w:p w14:paraId="12BAA41F" w14:textId="48C39B3F" w:rsidR="00674672" w:rsidRPr="007429EC" w:rsidRDefault="00674672" w:rsidP="00F96910">
      <w:pPr>
        <w:rPr>
          <w:szCs w:val="28"/>
        </w:rPr>
      </w:pPr>
      <w:r w:rsidRPr="007429EC">
        <w:rPr>
          <w:szCs w:val="28"/>
        </w:rPr>
        <w:t>In addition, it is important to understand that the passage of a considerable length of time may weaken the ability of a court to assess an instance of unlawfulness on the facts. The clarity and accuracy of decision-makers</w:t>
      </w:r>
      <w:r w:rsidR="003B6577" w:rsidRPr="007429EC">
        <w:rPr>
          <w:szCs w:val="28"/>
        </w:rPr>
        <w:t>'</w:t>
      </w:r>
      <w:r w:rsidRPr="007429EC">
        <w:rPr>
          <w:szCs w:val="28"/>
        </w:rPr>
        <w:t xml:space="preserve"> memories are bound to decline with time. Documents and evidence may be lost, or destroyed when no longer required to be kept in archives. Thus the very purpose of a court undertaking the review is potentially undermined where, at the cause of a lengthy delay, its ability to evaluate fully an allegation of illegality is impaired.</w:t>
      </w:r>
      <w:r w:rsidR="003B6577" w:rsidRPr="007429EC">
        <w:rPr>
          <w:szCs w:val="28"/>
        </w:rPr>
        <w:t>'</w:t>
      </w:r>
      <w:r w:rsidR="00B16409" w:rsidRPr="007429EC">
        <w:rPr>
          <w:rStyle w:val="FootnoteReference"/>
          <w:szCs w:val="28"/>
        </w:rPr>
        <w:footnoteReference w:id="55"/>
      </w:r>
      <w:r w:rsidR="00B16409" w:rsidRPr="007429EC">
        <w:rPr>
          <w:szCs w:val="28"/>
        </w:rPr>
        <w:t xml:space="preserve"> (Footnotes omitted.)</w:t>
      </w:r>
    </w:p>
    <w:p w14:paraId="51EE25DB" w14:textId="77777777" w:rsidR="00B16409" w:rsidRPr="007429EC" w:rsidRDefault="00B16409" w:rsidP="00B16409">
      <w:pPr>
        <w:rPr>
          <w:szCs w:val="28"/>
        </w:rPr>
      </w:pPr>
    </w:p>
    <w:p w14:paraId="382F2E75" w14:textId="3307889D" w:rsidR="00B16409" w:rsidRPr="007429EC" w:rsidRDefault="00B16409" w:rsidP="00B16409">
      <w:pPr>
        <w:rPr>
          <w:sz w:val="28"/>
          <w:szCs w:val="28"/>
        </w:rPr>
      </w:pPr>
      <w:r w:rsidRPr="007429EC">
        <w:rPr>
          <w:sz w:val="28"/>
          <w:szCs w:val="28"/>
        </w:rPr>
        <w:t>[</w:t>
      </w:r>
      <w:r w:rsidR="00F96910" w:rsidRPr="007429EC">
        <w:rPr>
          <w:sz w:val="28"/>
          <w:szCs w:val="28"/>
        </w:rPr>
        <w:t>69</w:t>
      </w:r>
      <w:r w:rsidRPr="007429EC">
        <w:rPr>
          <w:sz w:val="28"/>
          <w:szCs w:val="28"/>
        </w:rPr>
        <w:t>]</w:t>
      </w:r>
      <w:r w:rsidRPr="007429EC">
        <w:rPr>
          <w:sz w:val="28"/>
          <w:szCs w:val="28"/>
        </w:rPr>
        <w:tab/>
      </w:r>
      <w:r w:rsidR="00B759FF" w:rsidRPr="007429EC">
        <w:rPr>
          <w:sz w:val="28"/>
          <w:szCs w:val="28"/>
        </w:rPr>
        <w:t xml:space="preserve">However, it is as well to remember, as </w:t>
      </w:r>
      <w:r w:rsidRPr="007429EC">
        <w:rPr>
          <w:sz w:val="28"/>
          <w:szCs w:val="28"/>
        </w:rPr>
        <w:t>the Constitutional Court</w:t>
      </w:r>
      <w:r w:rsidR="00B759FF" w:rsidRPr="007429EC">
        <w:rPr>
          <w:sz w:val="28"/>
          <w:szCs w:val="28"/>
        </w:rPr>
        <w:t xml:space="preserve"> in </w:t>
      </w:r>
      <w:r w:rsidR="00B759FF" w:rsidRPr="007429EC">
        <w:rPr>
          <w:i/>
          <w:sz w:val="28"/>
          <w:szCs w:val="28"/>
        </w:rPr>
        <w:t>Sita</w:t>
      </w:r>
      <w:r w:rsidRPr="007429EC">
        <w:rPr>
          <w:sz w:val="28"/>
          <w:szCs w:val="28"/>
        </w:rPr>
        <w:t xml:space="preserve"> emphasised</w:t>
      </w:r>
      <w:r w:rsidR="00B759FF" w:rsidRPr="007429EC">
        <w:rPr>
          <w:sz w:val="28"/>
          <w:szCs w:val="28"/>
        </w:rPr>
        <w:t>,</w:t>
      </w:r>
      <w:r w:rsidRPr="007429EC">
        <w:rPr>
          <w:sz w:val="28"/>
          <w:szCs w:val="28"/>
        </w:rPr>
        <w:t xml:space="preserve"> that </w:t>
      </w:r>
      <w:r w:rsidR="003B6577" w:rsidRPr="007429EC">
        <w:rPr>
          <w:sz w:val="28"/>
          <w:szCs w:val="28"/>
        </w:rPr>
        <w:t>'</w:t>
      </w:r>
      <w:r w:rsidRPr="007429EC">
        <w:rPr>
          <w:sz w:val="28"/>
          <w:szCs w:val="28"/>
        </w:rPr>
        <w:t>[n]o discretion can be exercised in the air</w:t>
      </w:r>
      <w:r w:rsidR="003B6577" w:rsidRPr="007429EC">
        <w:rPr>
          <w:sz w:val="28"/>
          <w:szCs w:val="28"/>
        </w:rPr>
        <w:t>'</w:t>
      </w:r>
      <w:r w:rsidRPr="007429EC">
        <w:rPr>
          <w:sz w:val="28"/>
          <w:szCs w:val="28"/>
        </w:rPr>
        <w:t xml:space="preserve"> and that </w:t>
      </w:r>
      <w:r w:rsidR="003B6577" w:rsidRPr="007429EC">
        <w:rPr>
          <w:sz w:val="28"/>
          <w:szCs w:val="28"/>
        </w:rPr>
        <w:t>'</w:t>
      </w:r>
      <w:r w:rsidRPr="007429EC">
        <w:rPr>
          <w:sz w:val="28"/>
          <w:szCs w:val="28"/>
        </w:rPr>
        <w:t>[t]here must be a basis</w:t>
      </w:r>
      <w:r w:rsidR="00BB2FB1">
        <w:rPr>
          <w:sz w:val="28"/>
          <w:szCs w:val="28"/>
        </w:rPr>
        <w:t xml:space="preserve"> </w:t>
      </w:r>
      <w:r w:rsidRPr="007429EC">
        <w:rPr>
          <w:sz w:val="28"/>
          <w:szCs w:val="28"/>
        </w:rPr>
        <w:t>...</w:t>
      </w:r>
      <w:r w:rsidR="00207808" w:rsidRPr="007429EC">
        <w:rPr>
          <w:sz w:val="28"/>
          <w:szCs w:val="28"/>
        </w:rPr>
        <w:t xml:space="preserve"> </w:t>
      </w:r>
      <w:r w:rsidRPr="007429EC">
        <w:rPr>
          <w:sz w:val="28"/>
          <w:szCs w:val="28"/>
        </w:rPr>
        <w:t>to do so</w:t>
      </w:r>
      <w:r w:rsidR="003B6577" w:rsidRPr="007429EC">
        <w:rPr>
          <w:sz w:val="28"/>
          <w:szCs w:val="28"/>
        </w:rPr>
        <w:t>'</w:t>
      </w:r>
      <w:r w:rsidRPr="007429EC">
        <w:rPr>
          <w:sz w:val="28"/>
          <w:szCs w:val="28"/>
        </w:rPr>
        <w:t xml:space="preserve">. The </w:t>
      </w:r>
      <w:r w:rsidR="00BF467C" w:rsidRPr="007429EC">
        <w:rPr>
          <w:sz w:val="28"/>
          <w:szCs w:val="28"/>
        </w:rPr>
        <w:t xml:space="preserve">Constitutional </w:t>
      </w:r>
      <w:r w:rsidRPr="007429EC">
        <w:rPr>
          <w:sz w:val="28"/>
          <w:szCs w:val="28"/>
        </w:rPr>
        <w:t xml:space="preserve">Court </w:t>
      </w:r>
      <w:r w:rsidR="00B759FF" w:rsidRPr="007429EC">
        <w:rPr>
          <w:sz w:val="28"/>
          <w:szCs w:val="28"/>
        </w:rPr>
        <w:t xml:space="preserve">there </w:t>
      </w:r>
      <w:r w:rsidRPr="007429EC">
        <w:rPr>
          <w:sz w:val="28"/>
          <w:szCs w:val="28"/>
        </w:rPr>
        <w:t xml:space="preserve">concluded that </w:t>
      </w:r>
      <w:r w:rsidR="003B6577" w:rsidRPr="007429EC">
        <w:rPr>
          <w:sz w:val="28"/>
          <w:szCs w:val="28"/>
        </w:rPr>
        <w:t>'</w:t>
      </w:r>
      <w:r w:rsidR="00522EB3" w:rsidRPr="007429EC">
        <w:rPr>
          <w:sz w:val="28"/>
          <w:szCs w:val="28"/>
        </w:rPr>
        <w:t>[t]</w:t>
      </w:r>
      <w:r w:rsidRPr="007429EC">
        <w:rPr>
          <w:sz w:val="28"/>
          <w:szCs w:val="28"/>
        </w:rPr>
        <w:t>hat basis may be gleaned from facts placed [before the court] by the parties or objectively available factors</w:t>
      </w:r>
      <w:r w:rsidR="003B6577" w:rsidRPr="007429EC">
        <w:rPr>
          <w:sz w:val="28"/>
          <w:szCs w:val="28"/>
        </w:rPr>
        <w:t>'</w:t>
      </w:r>
      <w:r w:rsidRPr="007429EC">
        <w:rPr>
          <w:sz w:val="28"/>
          <w:szCs w:val="28"/>
        </w:rPr>
        <w:t>.</w:t>
      </w:r>
      <w:r w:rsidR="00522EB3" w:rsidRPr="007429EC">
        <w:rPr>
          <w:rStyle w:val="FootnoteReference"/>
          <w:sz w:val="28"/>
          <w:szCs w:val="28"/>
        </w:rPr>
        <w:footnoteReference w:id="56"/>
      </w:r>
    </w:p>
    <w:p w14:paraId="1BDEDAE2" w14:textId="77777777" w:rsidR="00522EB3" w:rsidRPr="007429EC" w:rsidRDefault="00522EB3" w:rsidP="00B16409">
      <w:pPr>
        <w:rPr>
          <w:sz w:val="28"/>
          <w:szCs w:val="28"/>
        </w:rPr>
      </w:pPr>
    </w:p>
    <w:p w14:paraId="4F7FBEEE" w14:textId="27ACA4B3" w:rsidR="00522EB3" w:rsidRPr="007429EC" w:rsidRDefault="00522EB3" w:rsidP="00B16409">
      <w:pPr>
        <w:rPr>
          <w:sz w:val="28"/>
          <w:szCs w:val="28"/>
        </w:rPr>
      </w:pPr>
      <w:r w:rsidRPr="007429EC">
        <w:rPr>
          <w:sz w:val="28"/>
          <w:szCs w:val="28"/>
        </w:rPr>
        <w:lastRenderedPageBreak/>
        <w:t>[</w:t>
      </w:r>
      <w:r w:rsidR="00BF467C" w:rsidRPr="007429EC">
        <w:rPr>
          <w:sz w:val="28"/>
          <w:szCs w:val="28"/>
        </w:rPr>
        <w:t>70</w:t>
      </w:r>
      <w:r w:rsidRPr="007429EC">
        <w:rPr>
          <w:sz w:val="28"/>
          <w:szCs w:val="28"/>
        </w:rPr>
        <w:t>]</w:t>
      </w:r>
      <w:r w:rsidRPr="007429EC">
        <w:rPr>
          <w:sz w:val="28"/>
          <w:szCs w:val="28"/>
        </w:rPr>
        <w:tab/>
        <w:t xml:space="preserve">Reverting to the aspect of the discretion vesting </w:t>
      </w:r>
      <w:r w:rsidR="004E5B9C" w:rsidRPr="007429EC">
        <w:rPr>
          <w:sz w:val="28"/>
          <w:szCs w:val="28"/>
        </w:rPr>
        <w:t>i</w:t>
      </w:r>
      <w:r w:rsidRPr="007429EC">
        <w:rPr>
          <w:sz w:val="28"/>
          <w:szCs w:val="28"/>
        </w:rPr>
        <w:t>n a court to condone a delay in instituting review proceedings, it bears emphasising that the Constitutional Court cautioned that:</w:t>
      </w:r>
    </w:p>
    <w:p w14:paraId="325EEAB6" w14:textId="67791404" w:rsidR="00522EB3" w:rsidRPr="007429EC" w:rsidRDefault="003B6577" w:rsidP="00B16409">
      <w:pPr>
        <w:rPr>
          <w:szCs w:val="28"/>
        </w:rPr>
      </w:pPr>
      <w:r w:rsidRPr="007429EC">
        <w:rPr>
          <w:szCs w:val="28"/>
        </w:rPr>
        <w:t>'</w:t>
      </w:r>
      <w:r w:rsidR="00522EB3" w:rsidRPr="007429EC">
        <w:rPr>
          <w:szCs w:val="28"/>
        </w:rPr>
        <w:t xml:space="preserve">While a court "should be slow to allow procedural obstacles to prevent </w:t>
      </w:r>
      <w:r w:rsidR="00A04A1A" w:rsidRPr="007429EC">
        <w:rPr>
          <w:szCs w:val="28"/>
        </w:rPr>
        <w:t>it from looking into a challenge to the lawfulness of an exercise of public power", it is equally a feature of the rule of law that undue delay should not be tolerated. Delay can prejudice the respondent, weaken the ability of a court to consider the merits of a review, and undermine the public interest in bringing certainty and finality to administrative action. A court should therefore exhibit vigilance, consideration and propriety before overlooking a late review</w:t>
      </w:r>
      <w:r w:rsidR="00207808" w:rsidRPr="007429EC">
        <w:rPr>
          <w:szCs w:val="28"/>
        </w:rPr>
        <w:t xml:space="preserve"> </w:t>
      </w:r>
      <w:r w:rsidR="00A04A1A" w:rsidRPr="007429EC">
        <w:rPr>
          <w:szCs w:val="28"/>
        </w:rPr>
        <w:t>...</w:t>
      </w:r>
      <w:r w:rsidR="00207808" w:rsidRPr="007429EC">
        <w:rPr>
          <w:szCs w:val="28"/>
        </w:rPr>
        <w:t xml:space="preserve"> .</w:t>
      </w:r>
      <w:r w:rsidRPr="007429EC">
        <w:rPr>
          <w:szCs w:val="28"/>
        </w:rPr>
        <w:t>'</w:t>
      </w:r>
      <w:r w:rsidR="00A04A1A" w:rsidRPr="007429EC">
        <w:rPr>
          <w:rStyle w:val="FootnoteReference"/>
          <w:szCs w:val="28"/>
        </w:rPr>
        <w:footnoteReference w:id="57"/>
      </w:r>
      <w:r w:rsidR="00A04A1A" w:rsidRPr="007429EC">
        <w:rPr>
          <w:szCs w:val="28"/>
        </w:rPr>
        <w:t xml:space="preserve"> (Footnotes omitted.)</w:t>
      </w:r>
    </w:p>
    <w:p w14:paraId="70C2FCF8" w14:textId="77777777" w:rsidR="00A04A1A" w:rsidRPr="007429EC" w:rsidRDefault="00A04A1A" w:rsidP="00B16409">
      <w:pPr>
        <w:rPr>
          <w:szCs w:val="28"/>
        </w:rPr>
      </w:pPr>
    </w:p>
    <w:p w14:paraId="6D195127" w14:textId="79794601" w:rsidR="00A04A1A" w:rsidRPr="007429EC" w:rsidRDefault="00A04A1A" w:rsidP="00B16409">
      <w:pPr>
        <w:rPr>
          <w:sz w:val="28"/>
          <w:szCs w:val="28"/>
        </w:rPr>
      </w:pPr>
      <w:r w:rsidRPr="007429EC">
        <w:rPr>
          <w:sz w:val="28"/>
          <w:szCs w:val="28"/>
        </w:rPr>
        <w:t>[</w:t>
      </w:r>
      <w:r w:rsidR="00BF467C" w:rsidRPr="007429EC">
        <w:rPr>
          <w:sz w:val="28"/>
          <w:szCs w:val="28"/>
        </w:rPr>
        <w:t>71</w:t>
      </w:r>
      <w:r w:rsidRPr="007429EC">
        <w:rPr>
          <w:sz w:val="28"/>
          <w:szCs w:val="28"/>
        </w:rPr>
        <w:t>]</w:t>
      </w:r>
      <w:r w:rsidRPr="007429EC">
        <w:rPr>
          <w:sz w:val="28"/>
          <w:szCs w:val="28"/>
        </w:rPr>
        <w:tab/>
      </w:r>
      <w:r w:rsidR="0098707A" w:rsidRPr="007429EC">
        <w:rPr>
          <w:sz w:val="28"/>
          <w:szCs w:val="28"/>
        </w:rPr>
        <w:t xml:space="preserve">In determining the issue of whether the delay in instituting the review proceedings was unreasonable, the high court </w:t>
      </w:r>
      <w:r w:rsidR="00A65D24" w:rsidRPr="007429EC">
        <w:rPr>
          <w:sz w:val="28"/>
          <w:szCs w:val="28"/>
        </w:rPr>
        <w:t>held</w:t>
      </w:r>
      <w:r w:rsidR="004E5B9C" w:rsidRPr="007429EC">
        <w:rPr>
          <w:sz w:val="28"/>
          <w:szCs w:val="28"/>
        </w:rPr>
        <w:t>, with reference to judicial authority,</w:t>
      </w:r>
      <w:r w:rsidR="004E5B9C" w:rsidRPr="007429EC">
        <w:rPr>
          <w:rStyle w:val="FootnoteReference"/>
          <w:sz w:val="28"/>
          <w:szCs w:val="28"/>
        </w:rPr>
        <w:footnoteReference w:id="58"/>
      </w:r>
      <w:r w:rsidR="0098707A" w:rsidRPr="007429EC">
        <w:rPr>
          <w:sz w:val="28"/>
          <w:szCs w:val="28"/>
        </w:rPr>
        <w:t xml:space="preserve"> that the delay in this instance was unreasonable. And that the extent of the delay militated against such delay being overlooked.</w:t>
      </w:r>
    </w:p>
    <w:p w14:paraId="65C14F16" w14:textId="77777777" w:rsidR="0098707A" w:rsidRPr="007429EC" w:rsidRDefault="0098707A" w:rsidP="00B16409">
      <w:pPr>
        <w:rPr>
          <w:sz w:val="28"/>
          <w:szCs w:val="28"/>
        </w:rPr>
      </w:pPr>
    </w:p>
    <w:p w14:paraId="4403F42E" w14:textId="74BA8391" w:rsidR="0098707A" w:rsidRPr="007429EC" w:rsidRDefault="0098707A" w:rsidP="00B16409">
      <w:pPr>
        <w:rPr>
          <w:sz w:val="28"/>
          <w:szCs w:val="28"/>
        </w:rPr>
      </w:pPr>
      <w:r w:rsidRPr="007429EC">
        <w:rPr>
          <w:sz w:val="28"/>
          <w:szCs w:val="28"/>
        </w:rPr>
        <w:t>[</w:t>
      </w:r>
      <w:r w:rsidR="00BF467C" w:rsidRPr="007429EC">
        <w:rPr>
          <w:sz w:val="28"/>
          <w:szCs w:val="28"/>
        </w:rPr>
        <w:t>72</w:t>
      </w:r>
      <w:r w:rsidRPr="007429EC">
        <w:rPr>
          <w:sz w:val="28"/>
          <w:szCs w:val="28"/>
        </w:rPr>
        <w:t>]</w:t>
      </w:r>
      <w:r w:rsidRPr="007429EC">
        <w:rPr>
          <w:sz w:val="28"/>
          <w:szCs w:val="28"/>
        </w:rPr>
        <w:tab/>
      </w:r>
      <w:r w:rsidR="002857BA" w:rsidRPr="007429EC">
        <w:rPr>
          <w:sz w:val="28"/>
          <w:szCs w:val="28"/>
        </w:rPr>
        <w:t xml:space="preserve">In essence, </w:t>
      </w:r>
      <w:r w:rsidR="00BF467C" w:rsidRPr="007429EC">
        <w:rPr>
          <w:sz w:val="28"/>
          <w:szCs w:val="28"/>
        </w:rPr>
        <w:t>the high court</w:t>
      </w:r>
      <w:r w:rsidR="002857BA" w:rsidRPr="007429EC">
        <w:rPr>
          <w:sz w:val="28"/>
          <w:szCs w:val="28"/>
        </w:rPr>
        <w:t xml:space="preserve"> reasoned:</w:t>
      </w:r>
      <w:r w:rsidR="002857BA" w:rsidRPr="007429EC">
        <w:rPr>
          <w:rStyle w:val="FootnoteReference"/>
          <w:sz w:val="28"/>
          <w:szCs w:val="28"/>
        </w:rPr>
        <w:footnoteReference w:id="59"/>
      </w:r>
    </w:p>
    <w:p w14:paraId="4F9F3D6C" w14:textId="7C32064B" w:rsidR="002857BA" w:rsidRPr="007429EC" w:rsidRDefault="003B6577" w:rsidP="00B16409">
      <w:pPr>
        <w:rPr>
          <w:szCs w:val="28"/>
        </w:rPr>
      </w:pPr>
      <w:r w:rsidRPr="007429EC">
        <w:rPr>
          <w:szCs w:val="28"/>
        </w:rPr>
        <w:t>'</w:t>
      </w:r>
      <w:r w:rsidR="002857BA" w:rsidRPr="007429EC">
        <w:rPr>
          <w:szCs w:val="28"/>
        </w:rPr>
        <w:t>The conduct of the Department in unacceptable. This is apparent from the fact that National Treasur</w:t>
      </w:r>
      <w:r w:rsidR="004A4F4E" w:rsidRPr="007429EC">
        <w:rPr>
          <w:szCs w:val="28"/>
        </w:rPr>
        <w:t>y</w:t>
      </w:r>
      <w:r w:rsidR="002857BA" w:rsidRPr="007429EC">
        <w:rPr>
          <w:szCs w:val="28"/>
        </w:rPr>
        <w:t xml:space="preserve"> on 26 January 2018 actually placed the Department on terms to take action in light of the irregularity they had determined. The Department</w:t>
      </w:r>
      <w:r w:rsidR="00207808" w:rsidRPr="007429EC">
        <w:rPr>
          <w:szCs w:val="28"/>
        </w:rPr>
        <w:t xml:space="preserve"> </w:t>
      </w:r>
      <w:r w:rsidR="004A4F4E" w:rsidRPr="007429EC">
        <w:rPr>
          <w:szCs w:val="28"/>
        </w:rPr>
        <w:t>...</w:t>
      </w:r>
      <w:r w:rsidR="00207808" w:rsidRPr="007429EC">
        <w:rPr>
          <w:szCs w:val="28"/>
        </w:rPr>
        <w:t xml:space="preserve"> </w:t>
      </w:r>
      <w:r w:rsidR="002857BA" w:rsidRPr="007429EC">
        <w:rPr>
          <w:szCs w:val="28"/>
        </w:rPr>
        <w:t xml:space="preserve">was dogmatic when it did not heed the advice of the irregularity provided on 16 October 2017. In fact, it proceeded ahead as though the pronouncement by National Treasury had not been made and that the Department was correct in awarding the tender to Simeka. </w:t>
      </w:r>
    </w:p>
    <w:p w14:paraId="5CEA7E96" w14:textId="77777777" w:rsidR="002857BA" w:rsidRPr="007429EC" w:rsidRDefault="002857BA" w:rsidP="00B16409">
      <w:pPr>
        <w:rPr>
          <w:szCs w:val="28"/>
        </w:rPr>
      </w:pPr>
    </w:p>
    <w:p w14:paraId="4EB75071" w14:textId="3B733319" w:rsidR="002857BA" w:rsidRPr="007429EC" w:rsidRDefault="004A4F4E" w:rsidP="00B16409">
      <w:pPr>
        <w:rPr>
          <w:szCs w:val="28"/>
        </w:rPr>
      </w:pPr>
      <w:r w:rsidRPr="007429EC">
        <w:rPr>
          <w:szCs w:val="28"/>
        </w:rPr>
        <w:t>...</w:t>
      </w:r>
      <w:r w:rsidR="00207808" w:rsidRPr="007429EC">
        <w:rPr>
          <w:szCs w:val="28"/>
        </w:rPr>
        <w:t xml:space="preserve"> </w:t>
      </w:r>
      <w:r w:rsidR="002857BA" w:rsidRPr="007429EC">
        <w:rPr>
          <w:szCs w:val="28"/>
        </w:rPr>
        <w:t>the Department has failed to be open, responsive, forthright and accountable, as a State organ ought</w:t>
      </w:r>
      <w:r w:rsidRPr="007429EC">
        <w:rPr>
          <w:szCs w:val="28"/>
        </w:rPr>
        <w:t xml:space="preserve"> to be, who seeks a self-review</w:t>
      </w:r>
      <w:r w:rsidR="00207808" w:rsidRPr="007429EC">
        <w:rPr>
          <w:szCs w:val="28"/>
        </w:rPr>
        <w:t xml:space="preserve"> </w:t>
      </w:r>
      <w:r w:rsidR="002857BA" w:rsidRPr="007429EC">
        <w:rPr>
          <w:szCs w:val="28"/>
        </w:rPr>
        <w:t>...</w:t>
      </w:r>
      <w:r w:rsidR="00207808" w:rsidRPr="007429EC">
        <w:rPr>
          <w:szCs w:val="28"/>
        </w:rPr>
        <w:t xml:space="preserve"> </w:t>
      </w:r>
      <w:r w:rsidR="002857BA" w:rsidRPr="007429EC">
        <w:rPr>
          <w:szCs w:val="28"/>
        </w:rPr>
        <w:t>the Department</w:t>
      </w:r>
      <w:r w:rsidR="00207808" w:rsidRPr="007429EC">
        <w:rPr>
          <w:szCs w:val="28"/>
        </w:rPr>
        <w:t xml:space="preserve"> </w:t>
      </w:r>
      <w:r w:rsidR="002857BA" w:rsidRPr="007429EC">
        <w:rPr>
          <w:szCs w:val="28"/>
        </w:rPr>
        <w:t>...</w:t>
      </w:r>
      <w:r w:rsidR="00207808" w:rsidRPr="007429EC">
        <w:rPr>
          <w:szCs w:val="28"/>
        </w:rPr>
        <w:t xml:space="preserve"> </w:t>
      </w:r>
      <w:r w:rsidR="002857BA" w:rsidRPr="007429EC">
        <w:rPr>
          <w:szCs w:val="28"/>
        </w:rPr>
        <w:t>has not submitted a full explanation for the unreasonable delay in launching this review application.</w:t>
      </w:r>
      <w:r w:rsidR="003B6577" w:rsidRPr="007429EC">
        <w:rPr>
          <w:szCs w:val="28"/>
        </w:rPr>
        <w:t>'</w:t>
      </w:r>
    </w:p>
    <w:p w14:paraId="2B72CBFD" w14:textId="515147E7" w:rsidR="00B03509" w:rsidRPr="007429EC" w:rsidRDefault="008D039A" w:rsidP="00B224C9">
      <w:pPr>
        <w:rPr>
          <w:sz w:val="28"/>
          <w:szCs w:val="28"/>
        </w:rPr>
      </w:pPr>
      <w:r w:rsidRPr="007429EC">
        <w:rPr>
          <w:sz w:val="28"/>
          <w:szCs w:val="28"/>
        </w:rPr>
        <w:lastRenderedPageBreak/>
        <w:t>[</w:t>
      </w:r>
      <w:r w:rsidR="004A4F4E" w:rsidRPr="007429EC">
        <w:rPr>
          <w:sz w:val="28"/>
          <w:szCs w:val="28"/>
        </w:rPr>
        <w:t>73</w:t>
      </w:r>
      <w:r w:rsidRPr="007429EC">
        <w:rPr>
          <w:sz w:val="28"/>
          <w:szCs w:val="28"/>
        </w:rPr>
        <w:t>]</w:t>
      </w:r>
      <w:r w:rsidRPr="007429EC">
        <w:rPr>
          <w:sz w:val="28"/>
          <w:szCs w:val="28"/>
        </w:rPr>
        <w:tab/>
        <w:t>It then continued:</w:t>
      </w:r>
    </w:p>
    <w:p w14:paraId="21E013A2" w14:textId="6545D074" w:rsidR="008D039A" w:rsidRPr="007429EC" w:rsidRDefault="003B6577" w:rsidP="00B224C9">
      <w:pPr>
        <w:rPr>
          <w:szCs w:val="28"/>
        </w:rPr>
      </w:pPr>
      <w:r w:rsidRPr="007429EC">
        <w:rPr>
          <w:szCs w:val="28"/>
        </w:rPr>
        <w:t>'</w:t>
      </w:r>
      <w:r w:rsidR="008D039A" w:rsidRPr="007429EC">
        <w:rPr>
          <w:szCs w:val="28"/>
        </w:rPr>
        <w:t>The crucial correspondence of 16 October 2017</w:t>
      </w:r>
      <w:r w:rsidR="004E5B9C" w:rsidRPr="007429EC">
        <w:rPr>
          <w:rStyle w:val="FootnoteReference"/>
          <w:szCs w:val="28"/>
        </w:rPr>
        <w:footnoteReference w:id="60"/>
      </w:r>
      <w:r w:rsidR="008D039A" w:rsidRPr="007429EC">
        <w:rPr>
          <w:szCs w:val="28"/>
        </w:rPr>
        <w:t xml:space="preserve"> has been omitted and no reason is advanced for such omission. There is no information regarding how the decision was researched to do an about turn after it had been persisting with the project even in light of the irregular pronouncement. In essence, the conduct of the Department from the beginning was that they need not seek condonation and when called to explain just provided a weak response. Thus, where there is no full explanation this amounts to no explanation to explain the delay. </w:t>
      </w:r>
    </w:p>
    <w:p w14:paraId="7269E8D6" w14:textId="77777777" w:rsidR="00031CAB" w:rsidRPr="007429EC" w:rsidRDefault="00031CAB" w:rsidP="00B224C9">
      <w:pPr>
        <w:rPr>
          <w:szCs w:val="28"/>
        </w:rPr>
      </w:pPr>
    </w:p>
    <w:p w14:paraId="64165AC4" w14:textId="548AB4D4" w:rsidR="00031CAB" w:rsidRPr="007429EC" w:rsidRDefault="00031CAB" w:rsidP="00B224C9">
      <w:pPr>
        <w:rPr>
          <w:szCs w:val="28"/>
        </w:rPr>
      </w:pPr>
      <w:r w:rsidRPr="007429EC">
        <w:rPr>
          <w:szCs w:val="28"/>
        </w:rPr>
        <w:t>Therefore, there is no basis upon which I can overlook the inordinate delay, that being the case, I therefore cannot be expected to exercise my discretion to afford the Department the relief it seeks.</w:t>
      </w:r>
      <w:r w:rsidR="003B6577" w:rsidRPr="007429EC">
        <w:rPr>
          <w:szCs w:val="28"/>
        </w:rPr>
        <w:t>'</w:t>
      </w:r>
      <w:r w:rsidRPr="007429EC">
        <w:rPr>
          <w:rStyle w:val="FootnoteReference"/>
          <w:szCs w:val="28"/>
        </w:rPr>
        <w:footnoteReference w:id="61"/>
      </w:r>
      <w:r w:rsidRPr="007429EC">
        <w:rPr>
          <w:szCs w:val="28"/>
        </w:rPr>
        <w:t xml:space="preserve"> (Footnotes omitted.) </w:t>
      </w:r>
    </w:p>
    <w:p w14:paraId="2F4FB751" w14:textId="77777777" w:rsidR="00C43A89" w:rsidRPr="007429EC" w:rsidRDefault="00C43A89" w:rsidP="00B224C9">
      <w:pPr>
        <w:rPr>
          <w:sz w:val="28"/>
          <w:szCs w:val="28"/>
        </w:rPr>
      </w:pPr>
    </w:p>
    <w:p w14:paraId="3FB583DA" w14:textId="47BF39BF" w:rsidR="0065455D" w:rsidRPr="007429EC" w:rsidRDefault="00C43A89" w:rsidP="00B224C9">
      <w:pPr>
        <w:rPr>
          <w:sz w:val="28"/>
          <w:szCs w:val="28"/>
        </w:rPr>
      </w:pPr>
      <w:r w:rsidRPr="007429EC">
        <w:rPr>
          <w:sz w:val="28"/>
          <w:szCs w:val="28"/>
        </w:rPr>
        <w:t>[</w:t>
      </w:r>
      <w:r w:rsidR="00734E6C" w:rsidRPr="007429EC">
        <w:rPr>
          <w:sz w:val="28"/>
          <w:szCs w:val="28"/>
        </w:rPr>
        <w:t>74</w:t>
      </w:r>
      <w:r w:rsidRPr="007429EC">
        <w:rPr>
          <w:sz w:val="28"/>
          <w:szCs w:val="28"/>
        </w:rPr>
        <w:t>]</w:t>
      </w:r>
      <w:r w:rsidRPr="007429EC">
        <w:rPr>
          <w:sz w:val="28"/>
          <w:szCs w:val="28"/>
        </w:rPr>
        <w:tab/>
      </w:r>
      <w:r w:rsidR="0065455D" w:rsidRPr="007429EC">
        <w:rPr>
          <w:sz w:val="28"/>
          <w:szCs w:val="28"/>
        </w:rPr>
        <w:t xml:space="preserve">The high court was nevertheless cognisant of the implications of </w:t>
      </w:r>
      <w:r w:rsidR="00702EFD">
        <w:rPr>
          <w:sz w:val="28"/>
          <w:szCs w:val="28"/>
        </w:rPr>
        <w:t xml:space="preserve">the </w:t>
      </w:r>
      <w:r w:rsidR="0065455D" w:rsidRPr="007429EC">
        <w:rPr>
          <w:sz w:val="28"/>
          <w:szCs w:val="28"/>
        </w:rPr>
        <w:t>National Treasury</w:t>
      </w:r>
      <w:r w:rsidR="003B6577" w:rsidRPr="007429EC">
        <w:rPr>
          <w:sz w:val="28"/>
          <w:szCs w:val="28"/>
        </w:rPr>
        <w:t>'</w:t>
      </w:r>
      <w:r w:rsidR="0065455D" w:rsidRPr="007429EC">
        <w:rPr>
          <w:sz w:val="28"/>
          <w:szCs w:val="28"/>
        </w:rPr>
        <w:t xml:space="preserve">s refusal to grant </w:t>
      </w:r>
      <w:r w:rsidR="00B17901" w:rsidRPr="007429EC">
        <w:rPr>
          <w:sz w:val="28"/>
          <w:szCs w:val="28"/>
        </w:rPr>
        <w:t xml:space="preserve">the </w:t>
      </w:r>
      <w:r w:rsidR="0065455D" w:rsidRPr="007429EC">
        <w:rPr>
          <w:sz w:val="28"/>
          <w:szCs w:val="28"/>
        </w:rPr>
        <w:t xml:space="preserve">TA III </w:t>
      </w:r>
      <w:r w:rsidR="00B17901" w:rsidRPr="007429EC">
        <w:rPr>
          <w:sz w:val="28"/>
          <w:szCs w:val="28"/>
        </w:rPr>
        <w:t xml:space="preserve">approval </w:t>
      </w:r>
      <w:r w:rsidR="0065455D" w:rsidRPr="007429EC">
        <w:rPr>
          <w:sz w:val="28"/>
          <w:szCs w:val="28"/>
        </w:rPr>
        <w:t xml:space="preserve">for the project, describing the refusal as </w:t>
      </w:r>
      <w:r w:rsidR="003B6577" w:rsidRPr="007429EC">
        <w:rPr>
          <w:sz w:val="28"/>
          <w:szCs w:val="28"/>
        </w:rPr>
        <w:t>'</w:t>
      </w:r>
      <w:r w:rsidR="0065455D" w:rsidRPr="007429EC">
        <w:rPr>
          <w:sz w:val="28"/>
          <w:szCs w:val="28"/>
        </w:rPr>
        <w:t>monumental</w:t>
      </w:r>
      <w:r w:rsidR="003B6577" w:rsidRPr="007429EC">
        <w:rPr>
          <w:sz w:val="28"/>
          <w:szCs w:val="28"/>
        </w:rPr>
        <w:t>'</w:t>
      </w:r>
      <w:r w:rsidR="0065455D" w:rsidRPr="007429EC">
        <w:rPr>
          <w:sz w:val="28"/>
          <w:szCs w:val="28"/>
        </w:rPr>
        <w:t>.</w:t>
      </w:r>
      <w:r w:rsidR="00753A29" w:rsidRPr="007429EC">
        <w:rPr>
          <w:sz w:val="28"/>
          <w:szCs w:val="28"/>
        </w:rPr>
        <w:t xml:space="preserve"> It also acknowledged that the inevitable consequence of </w:t>
      </w:r>
      <w:r w:rsidR="00702EFD">
        <w:rPr>
          <w:sz w:val="28"/>
          <w:szCs w:val="28"/>
        </w:rPr>
        <w:t xml:space="preserve">the </w:t>
      </w:r>
      <w:r w:rsidR="00753A29" w:rsidRPr="007429EC">
        <w:rPr>
          <w:sz w:val="28"/>
          <w:szCs w:val="28"/>
        </w:rPr>
        <w:t>National Treasury</w:t>
      </w:r>
      <w:r w:rsidR="003B6577" w:rsidRPr="007429EC">
        <w:rPr>
          <w:sz w:val="28"/>
          <w:szCs w:val="28"/>
        </w:rPr>
        <w:t>'</w:t>
      </w:r>
      <w:r w:rsidR="00753A29" w:rsidRPr="007429EC">
        <w:rPr>
          <w:sz w:val="28"/>
          <w:szCs w:val="28"/>
        </w:rPr>
        <w:t xml:space="preserve">s refusal to grant the TA III approval meant that </w:t>
      </w:r>
      <w:r w:rsidR="003B6577" w:rsidRPr="007429EC">
        <w:rPr>
          <w:sz w:val="28"/>
          <w:szCs w:val="28"/>
        </w:rPr>
        <w:t>'</w:t>
      </w:r>
      <w:r w:rsidR="00753A29" w:rsidRPr="007429EC">
        <w:rPr>
          <w:sz w:val="28"/>
          <w:szCs w:val="28"/>
        </w:rPr>
        <w:t xml:space="preserve">the lease of the </w:t>
      </w:r>
      <w:r w:rsidR="00753A29" w:rsidRPr="007429EC">
        <w:rPr>
          <w:sz w:val="28"/>
          <w:szCs w:val="28"/>
        </w:rPr>
        <w:lastRenderedPageBreak/>
        <w:t>land already secured in the United States of America</w:t>
      </w:r>
      <w:r w:rsidR="00207808" w:rsidRPr="007429EC">
        <w:rPr>
          <w:sz w:val="28"/>
          <w:szCs w:val="28"/>
        </w:rPr>
        <w:t xml:space="preserve"> </w:t>
      </w:r>
      <w:r w:rsidR="00753A29" w:rsidRPr="007429EC">
        <w:rPr>
          <w:sz w:val="28"/>
          <w:szCs w:val="28"/>
        </w:rPr>
        <w:t>...</w:t>
      </w:r>
      <w:r w:rsidR="00207808" w:rsidRPr="007429EC">
        <w:rPr>
          <w:sz w:val="28"/>
          <w:szCs w:val="28"/>
        </w:rPr>
        <w:t xml:space="preserve"> </w:t>
      </w:r>
      <w:r w:rsidR="00753A29" w:rsidRPr="007429EC">
        <w:rPr>
          <w:sz w:val="28"/>
          <w:szCs w:val="28"/>
        </w:rPr>
        <w:t>brings the entire project to an abrupt halt</w:t>
      </w:r>
      <w:r w:rsidR="003B6577" w:rsidRPr="007429EC">
        <w:rPr>
          <w:sz w:val="28"/>
          <w:szCs w:val="28"/>
        </w:rPr>
        <w:t>'</w:t>
      </w:r>
      <w:r w:rsidR="00753A29" w:rsidRPr="007429EC">
        <w:rPr>
          <w:sz w:val="28"/>
          <w:szCs w:val="28"/>
        </w:rPr>
        <w:t>.</w:t>
      </w:r>
      <w:r w:rsidR="00753A29" w:rsidRPr="007429EC">
        <w:rPr>
          <w:rStyle w:val="FootnoteReference"/>
          <w:sz w:val="28"/>
          <w:szCs w:val="28"/>
        </w:rPr>
        <w:footnoteReference w:id="62"/>
      </w:r>
    </w:p>
    <w:p w14:paraId="46B2F9B1" w14:textId="77777777" w:rsidR="0020411D" w:rsidRPr="007429EC" w:rsidRDefault="0020411D" w:rsidP="00B224C9">
      <w:pPr>
        <w:rPr>
          <w:sz w:val="28"/>
          <w:szCs w:val="28"/>
        </w:rPr>
      </w:pPr>
    </w:p>
    <w:p w14:paraId="13D9D02A" w14:textId="2821D218" w:rsidR="00C43A89" w:rsidRPr="007429EC" w:rsidRDefault="00C43A89" w:rsidP="00B224C9">
      <w:pPr>
        <w:rPr>
          <w:sz w:val="28"/>
          <w:szCs w:val="28"/>
        </w:rPr>
      </w:pPr>
      <w:r w:rsidRPr="007429EC">
        <w:rPr>
          <w:sz w:val="28"/>
          <w:szCs w:val="28"/>
        </w:rPr>
        <w:t>[</w:t>
      </w:r>
      <w:r w:rsidR="009F48EB" w:rsidRPr="007429EC">
        <w:rPr>
          <w:sz w:val="28"/>
          <w:szCs w:val="28"/>
        </w:rPr>
        <w:t>75</w:t>
      </w:r>
      <w:r w:rsidRPr="007429EC">
        <w:rPr>
          <w:sz w:val="28"/>
          <w:szCs w:val="28"/>
        </w:rPr>
        <w:t>]</w:t>
      </w:r>
      <w:r w:rsidRPr="007429EC">
        <w:rPr>
          <w:sz w:val="28"/>
          <w:szCs w:val="28"/>
        </w:rPr>
        <w:tab/>
        <w:t>The high court</w:t>
      </w:r>
      <w:r w:rsidR="00702EFD">
        <w:rPr>
          <w:sz w:val="28"/>
          <w:szCs w:val="28"/>
        </w:rPr>
        <w:t>,</w:t>
      </w:r>
      <w:r w:rsidRPr="007429EC">
        <w:rPr>
          <w:sz w:val="28"/>
          <w:szCs w:val="28"/>
        </w:rPr>
        <w:t xml:space="preserve"> however</w:t>
      </w:r>
      <w:r w:rsidR="00702EFD">
        <w:rPr>
          <w:sz w:val="28"/>
          <w:szCs w:val="28"/>
        </w:rPr>
        <w:t>,</w:t>
      </w:r>
      <w:r w:rsidRPr="007429EC">
        <w:rPr>
          <w:sz w:val="28"/>
          <w:szCs w:val="28"/>
        </w:rPr>
        <w:t xml:space="preserve"> concluded that </w:t>
      </w:r>
      <w:r w:rsidR="003B6577" w:rsidRPr="007429EC">
        <w:rPr>
          <w:sz w:val="28"/>
          <w:szCs w:val="28"/>
        </w:rPr>
        <w:t>'</w:t>
      </w:r>
      <w:r w:rsidRPr="007429EC">
        <w:rPr>
          <w:sz w:val="28"/>
          <w:szCs w:val="28"/>
        </w:rPr>
        <w:t>Simeka [was] now at the short end of the stick, due to the Department seeking to avoid a declaration that it is responsible for fruitless and wasteful expenditure</w:t>
      </w:r>
      <w:r w:rsidR="003B6577" w:rsidRPr="007429EC">
        <w:rPr>
          <w:sz w:val="28"/>
          <w:szCs w:val="28"/>
        </w:rPr>
        <w:t>'</w:t>
      </w:r>
      <w:r w:rsidRPr="007429EC">
        <w:rPr>
          <w:sz w:val="28"/>
          <w:szCs w:val="28"/>
        </w:rPr>
        <w:t>.</w:t>
      </w:r>
      <w:r w:rsidRPr="007429EC">
        <w:rPr>
          <w:rStyle w:val="FootnoteReference"/>
          <w:sz w:val="28"/>
          <w:szCs w:val="28"/>
        </w:rPr>
        <w:footnoteReference w:id="63"/>
      </w:r>
      <w:r w:rsidRPr="007429EC">
        <w:rPr>
          <w:sz w:val="28"/>
          <w:szCs w:val="28"/>
        </w:rPr>
        <w:t xml:space="preserve"> </w:t>
      </w:r>
    </w:p>
    <w:p w14:paraId="7805DB94" w14:textId="77777777" w:rsidR="008D039A" w:rsidRPr="007429EC" w:rsidRDefault="008D039A" w:rsidP="00B224C9">
      <w:pPr>
        <w:rPr>
          <w:sz w:val="28"/>
          <w:szCs w:val="28"/>
        </w:rPr>
      </w:pPr>
    </w:p>
    <w:p w14:paraId="13C5BB66" w14:textId="4E141EEC" w:rsidR="008D039A" w:rsidRPr="007429EC" w:rsidRDefault="00C43A89" w:rsidP="00B224C9">
      <w:pPr>
        <w:rPr>
          <w:sz w:val="28"/>
          <w:szCs w:val="28"/>
        </w:rPr>
      </w:pPr>
      <w:r w:rsidRPr="007429EC">
        <w:rPr>
          <w:sz w:val="28"/>
          <w:szCs w:val="28"/>
        </w:rPr>
        <w:t>[</w:t>
      </w:r>
      <w:r w:rsidR="009F48EB" w:rsidRPr="007429EC">
        <w:rPr>
          <w:sz w:val="28"/>
          <w:szCs w:val="28"/>
        </w:rPr>
        <w:t>76</w:t>
      </w:r>
      <w:r w:rsidRPr="007429EC">
        <w:rPr>
          <w:sz w:val="28"/>
          <w:szCs w:val="28"/>
        </w:rPr>
        <w:t>]</w:t>
      </w:r>
      <w:r w:rsidRPr="007429EC">
        <w:rPr>
          <w:sz w:val="28"/>
          <w:szCs w:val="28"/>
        </w:rPr>
        <w:tab/>
        <w:t xml:space="preserve">I interpose here to observe that the implication of </w:t>
      </w:r>
      <w:r w:rsidR="00B759FF" w:rsidRPr="007429EC">
        <w:rPr>
          <w:sz w:val="28"/>
          <w:szCs w:val="28"/>
        </w:rPr>
        <w:t>the</w:t>
      </w:r>
      <w:r w:rsidRPr="007429EC">
        <w:rPr>
          <w:sz w:val="28"/>
          <w:szCs w:val="28"/>
        </w:rPr>
        <w:t xml:space="preserve"> statement</w:t>
      </w:r>
      <w:r w:rsidR="00B759FF" w:rsidRPr="007429EC">
        <w:rPr>
          <w:sz w:val="28"/>
          <w:szCs w:val="28"/>
        </w:rPr>
        <w:t xml:space="preserve"> quoted in the preceding paragraph</w:t>
      </w:r>
      <w:r w:rsidRPr="007429EC">
        <w:rPr>
          <w:sz w:val="28"/>
          <w:szCs w:val="28"/>
        </w:rPr>
        <w:t xml:space="preserve"> is that the review proceedings were not instituted bona fide and that the government parties were instead actuated by ulterior motives, thereby in effect seeking </w:t>
      </w:r>
      <w:r w:rsidR="003B6577" w:rsidRPr="007429EC">
        <w:rPr>
          <w:sz w:val="28"/>
          <w:szCs w:val="28"/>
        </w:rPr>
        <w:t>'</w:t>
      </w:r>
      <w:r w:rsidRPr="007429EC">
        <w:rPr>
          <w:sz w:val="28"/>
          <w:szCs w:val="28"/>
        </w:rPr>
        <w:t>to evade [their] constitutional obligation by way of a self-review</w:t>
      </w:r>
      <w:r w:rsidR="003B6577" w:rsidRPr="007429EC">
        <w:rPr>
          <w:sz w:val="28"/>
          <w:szCs w:val="28"/>
        </w:rPr>
        <w:t>'</w:t>
      </w:r>
      <w:r w:rsidRPr="007429EC">
        <w:rPr>
          <w:sz w:val="28"/>
          <w:szCs w:val="28"/>
        </w:rPr>
        <w:t xml:space="preserve">. In coming to this conclusion the high court relied on a decision of this Court in </w:t>
      </w:r>
      <w:r w:rsidR="00EA301D" w:rsidRPr="007429EC">
        <w:rPr>
          <w:i/>
          <w:sz w:val="28"/>
          <w:szCs w:val="28"/>
        </w:rPr>
        <w:t>Altech Radio Holdings (Pty) Limited and Others v City of Tshwane Metropolitan Municipality</w:t>
      </w:r>
      <w:r w:rsidR="00977323" w:rsidRPr="007429EC">
        <w:rPr>
          <w:sz w:val="28"/>
          <w:szCs w:val="28"/>
        </w:rPr>
        <w:t>.</w:t>
      </w:r>
      <w:r w:rsidR="00EA301D" w:rsidRPr="007429EC">
        <w:rPr>
          <w:rStyle w:val="FootnoteReference"/>
          <w:sz w:val="28"/>
          <w:szCs w:val="28"/>
        </w:rPr>
        <w:footnoteReference w:id="64"/>
      </w:r>
    </w:p>
    <w:p w14:paraId="0D2CF1E1" w14:textId="77777777" w:rsidR="00EA301D" w:rsidRPr="007429EC" w:rsidRDefault="00EA301D" w:rsidP="00B224C9">
      <w:pPr>
        <w:rPr>
          <w:sz w:val="28"/>
          <w:szCs w:val="28"/>
        </w:rPr>
      </w:pPr>
    </w:p>
    <w:p w14:paraId="1047FB8D" w14:textId="2BEAF749" w:rsidR="00EA301D" w:rsidRPr="007429EC" w:rsidRDefault="00EA301D" w:rsidP="00B224C9">
      <w:pPr>
        <w:rPr>
          <w:sz w:val="28"/>
          <w:szCs w:val="28"/>
        </w:rPr>
      </w:pPr>
      <w:r w:rsidRPr="007429EC">
        <w:rPr>
          <w:sz w:val="28"/>
          <w:szCs w:val="28"/>
        </w:rPr>
        <w:t>[</w:t>
      </w:r>
      <w:r w:rsidR="00977323" w:rsidRPr="007429EC">
        <w:rPr>
          <w:sz w:val="28"/>
          <w:szCs w:val="28"/>
        </w:rPr>
        <w:t>77</w:t>
      </w:r>
      <w:r w:rsidRPr="007429EC">
        <w:rPr>
          <w:sz w:val="28"/>
          <w:szCs w:val="28"/>
        </w:rPr>
        <w:t>]</w:t>
      </w:r>
      <w:r w:rsidRPr="007429EC">
        <w:rPr>
          <w:sz w:val="28"/>
          <w:szCs w:val="28"/>
        </w:rPr>
        <w:tab/>
      </w:r>
      <w:r w:rsidR="00480C6D" w:rsidRPr="007429EC">
        <w:rPr>
          <w:sz w:val="28"/>
          <w:szCs w:val="28"/>
        </w:rPr>
        <w:t xml:space="preserve">Ultimately, the high court exercised its discretion and, as already indicated, refused to condone the delay concluding that </w:t>
      </w:r>
      <w:r w:rsidR="003B6577" w:rsidRPr="007429EC">
        <w:rPr>
          <w:sz w:val="28"/>
          <w:szCs w:val="28"/>
        </w:rPr>
        <w:t>'</w:t>
      </w:r>
      <w:r w:rsidR="00480C6D" w:rsidRPr="007429EC">
        <w:rPr>
          <w:sz w:val="28"/>
          <w:szCs w:val="28"/>
        </w:rPr>
        <w:t xml:space="preserve">the possible breach of legality does not outweigh the undue delay </w:t>
      </w:r>
      <w:r w:rsidR="00480C6D" w:rsidRPr="007429EC">
        <w:rPr>
          <w:i/>
          <w:sz w:val="28"/>
          <w:szCs w:val="28"/>
        </w:rPr>
        <w:t>absent an explanation</w:t>
      </w:r>
      <w:r w:rsidR="003B6577" w:rsidRPr="007429EC">
        <w:rPr>
          <w:sz w:val="28"/>
          <w:szCs w:val="28"/>
        </w:rPr>
        <w:t>'</w:t>
      </w:r>
      <w:r w:rsidR="00480C6D" w:rsidRPr="007429EC">
        <w:rPr>
          <w:sz w:val="28"/>
          <w:szCs w:val="28"/>
        </w:rPr>
        <w:t>. (Emphasis added.)</w:t>
      </w:r>
    </w:p>
    <w:p w14:paraId="3D152CAC" w14:textId="77777777" w:rsidR="00057643" w:rsidRPr="007429EC" w:rsidRDefault="00057643" w:rsidP="00B224C9">
      <w:pPr>
        <w:rPr>
          <w:sz w:val="28"/>
          <w:szCs w:val="28"/>
        </w:rPr>
      </w:pPr>
    </w:p>
    <w:p w14:paraId="705F9654" w14:textId="1B394CAA" w:rsidR="00057643" w:rsidRPr="007429EC" w:rsidRDefault="00057643" w:rsidP="00B224C9">
      <w:pPr>
        <w:rPr>
          <w:sz w:val="28"/>
          <w:szCs w:val="28"/>
        </w:rPr>
      </w:pPr>
      <w:r w:rsidRPr="007429EC">
        <w:rPr>
          <w:sz w:val="28"/>
          <w:szCs w:val="28"/>
        </w:rPr>
        <w:t>[</w:t>
      </w:r>
      <w:r w:rsidR="00977323" w:rsidRPr="007429EC">
        <w:rPr>
          <w:sz w:val="28"/>
          <w:szCs w:val="28"/>
        </w:rPr>
        <w:t>78</w:t>
      </w:r>
      <w:r w:rsidRPr="007429EC">
        <w:rPr>
          <w:sz w:val="28"/>
          <w:szCs w:val="28"/>
        </w:rPr>
        <w:t>]</w:t>
      </w:r>
      <w:r w:rsidRPr="007429EC">
        <w:rPr>
          <w:sz w:val="28"/>
          <w:szCs w:val="28"/>
        </w:rPr>
        <w:tab/>
        <w:t>The high court</w:t>
      </w:r>
      <w:r w:rsidR="003B6577" w:rsidRPr="007429EC">
        <w:rPr>
          <w:sz w:val="28"/>
          <w:szCs w:val="28"/>
        </w:rPr>
        <w:t>'</w:t>
      </w:r>
      <w:r w:rsidRPr="007429EC">
        <w:rPr>
          <w:sz w:val="28"/>
          <w:szCs w:val="28"/>
        </w:rPr>
        <w:t>s refusal to condone the delay in this case raises the question whether in so doing</w:t>
      </w:r>
      <w:r w:rsidR="00977323" w:rsidRPr="007429EC">
        <w:rPr>
          <w:sz w:val="28"/>
          <w:szCs w:val="28"/>
        </w:rPr>
        <w:t>,</w:t>
      </w:r>
      <w:r w:rsidRPr="007429EC">
        <w:rPr>
          <w:sz w:val="28"/>
          <w:szCs w:val="28"/>
        </w:rPr>
        <w:t xml:space="preserve"> it exercised its discretion </w:t>
      </w:r>
      <w:r w:rsidR="00CC70F8" w:rsidRPr="007429EC">
        <w:rPr>
          <w:sz w:val="28"/>
          <w:szCs w:val="28"/>
        </w:rPr>
        <w:t>judicially</w:t>
      </w:r>
      <w:r w:rsidRPr="007429EC">
        <w:rPr>
          <w:sz w:val="28"/>
          <w:szCs w:val="28"/>
        </w:rPr>
        <w:t>. On this score</w:t>
      </w:r>
      <w:r w:rsidR="00876ED7" w:rsidRPr="007429EC">
        <w:rPr>
          <w:sz w:val="28"/>
          <w:szCs w:val="28"/>
        </w:rPr>
        <w:t>,</w:t>
      </w:r>
      <w:r w:rsidRPr="007429EC">
        <w:rPr>
          <w:sz w:val="28"/>
          <w:szCs w:val="28"/>
        </w:rPr>
        <w:t xml:space="preserve"> it is as well to bear in mind that the discretion </w:t>
      </w:r>
      <w:r w:rsidR="00B17901" w:rsidRPr="007429EC">
        <w:rPr>
          <w:sz w:val="28"/>
          <w:szCs w:val="28"/>
        </w:rPr>
        <w:t>v</w:t>
      </w:r>
      <w:r w:rsidRPr="007429EC">
        <w:rPr>
          <w:sz w:val="28"/>
          <w:szCs w:val="28"/>
        </w:rPr>
        <w:t>es</w:t>
      </w:r>
      <w:r w:rsidR="00992BA9" w:rsidRPr="007429EC">
        <w:rPr>
          <w:sz w:val="28"/>
          <w:szCs w:val="28"/>
        </w:rPr>
        <w:t>t</w:t>
      </w:r>
      <w:r w:rsidRPr="007429EC">
        <w:rPr>
          <w:sz w:val="28"/>
          <w:szCs w:val="28"/>
        </w:rPr>
        <w:t xml:space="preserve">ing </w:t>
      </w:r>
      <w:r w:rsidR="00B17901" w:rsidRPr="007429EC">
        <w:rPr>
          <w:sz w:val="28"/>
          <w:szCs w:val="28"/>
        </w:rPr>
        <w:t>i</w:t>
      </w:r>
      <w:r w:rsidRPr="007429EC">
        <w:rPr>
          <w:sz w:val="28"/>
          <w:szCs w:val="28"/>
        </w:rPr>
        <w:t xml:space="preserve">n the high court was a narrow discretion </w:t>
      </w:r>
      <w:r w:rsidRPr="007429EC">
        <w:rPr>
          <w:sz w:val="28"/>
          <w:szCs w:val="28"/>
        </w:rPr>
        <w:lastRenderedPageBreak/>
        <w:t xml:space="preserve">that is invariably called a discretion in the </w:t>
      </w:r>
      <w:r w:rsidR="002F01BD" w:rsidRPr="007429EC">
        <w:rPr>
          <w:sz w:val="28"/>
          <w:szCs w:val="28"/>
        </w:rPr>
        <w:t>true</w:t>
      </w:r>
      <w:r w:rsidRPr="007429EC">
        <w:rPr>
          <w:sz w:val="28"/>
          <w:szCs w:val="28"/>
        </w:rPr>
        <w:t xml:space="preserve"> sense.</w:t>
      </w:r>
      <w:r w:rsidRPr="007429EC">
        <w:rPr>
          <w:rStyle w:val="FootnoteReference"/>
          <w:sz w:val="28"/>
          <w:szCs w:val="28"/>
        </w:rPr>
        <w:footnoteReference w:id="65"/>
      </w:r>
      <w:r w:rsidR="00636C13" w:rsidRPr="007429EC">
        <w:rPr>
          <w:sz w:val="28"/>
          <w:szCs w:val="28"/>
        </w:rPr>
        <w:t xml:space="preserve"> And accepting, as one must, that courts are enjoined to </w:t>
      </w:r>
      <w:r w:rsidR="003B6577" w:rsidRPr="007429EC">
        <w:rPr>
          <w:sz w:val="28"/>
          <w:szCs w:val="28"/>
        </w:rPr>
        <w:t>'</w:t>
      </w:r>
      <w:r w:rsidR="00636C13" w:rsidRPr="007429EC">
        <w:rPr>
          <w:sz w:val="28"/>
          <w:szCs w:val="28"/>
        </w:rPr>
        <w:t>exhibit vigilance, consideration and propriety</w:t>
      </w:r>
      <w:r w:rsidR="003B6577" w:rsidRPr="007429EC">
        <w:rPr>
          <w:sz w:val="28"/>
          <w:szCs w:val="28"/>
        </w:rPr>
        <w:t>'</w:t>
      </w:r>
      <w:r w:rsidR="00636C13" w:rsidRPr="007429EC">
        <w:rPr>
          <w:sz w:val="28"/>
          <w:szCs w:val="28"/>
        </w:rPr>
        <w:t xml:space="preserve"> before overlooking a late review, this then sharply raises the question whether in the context </w:t>
      </w:r>
      <w:r w:rsidR="00B17901" w:rsidRPr="007429EC">
        <w:rPr>
          <w:sz w:val="28"/>
          <w:szCs w:val="28"/>
        </w:rPr>
        <w:t xml:space="preserve">of the facts </w:t>
      </w:r>
      <w:r w:rsidR="00636C13" w:rsidRPr="007429EC">
        <w:rPr>
          <w:sz w:val="28"/>
          <w:szCs w:val="28"/>
        </w:rPr>
        <w:t>of this case</w:t>
      </w:r>
      <w:r w:rsidR="00876ED7" w:rsidRPr="007429EC">
        <w:rPr>
          <w:sz w:val="28"/>
          <w:szCs w:val="28"/>
        </w:rPr>
        <w:t>,</w:t>
      </w:r>
      <w:r w:rsidR="00636C13" w:rsidRPr="007429EC">
        <w:rPr>
          <w:sz w:val="28"/>
          <w:szCs w:val="28"/>
        </w:rPr>
        <w:t xml:space="preserve"> the interests of justice dictate that the admitted delay should be overlooked. </w:t>
      </w:r>
    </w:p>
    <w:p w14:paraId="4B48E998" w14:textId="77777777" w:rsidR="0020411D" w:rsidRPr="007429EC" w:rsidRDefault="0020411D" w:rsidP="00B224C9">
      <w:pPr>
        <w:rPr>
          <w:sz w:val="28"/>
          <w:szCs w:val="28"/>
        </w:rPr>
      </w:pPr>
    </w:p>
    <w:p w14:paraId="4DCA5BC4" w14:textId="55224A9F" w:rsidR="00636C13" w:rsidRPr="007429EC" w:rsidRDefault="00636C13" w:rsidP="00B224C9">
      <w:pPr>
        <w:rPr>
          <w:sz w:val="28"/>
          <w:szCs w:val="28"/>
        </w:rPr>
      </w:pPr>
      <w:r w:rsidRPr="007429EC">
        <w:rPr>
          <w:sz w:val="28"/>
          <w:szCs w:val="28"/>
        </w:rPr>
        <w:t>[</w:t>
      </w:r>
      <w:r w:rsidR="00977323" w:rsidRPr="007429EC">
        <w:rPr>
          <w:sz w:val="28"/>
          <w:szCs w:val="28"/>
        </w:rPr>
        <w:t>79</w:t>
      </w:r>
      <w:r w:rsidRPr="007429EC">
        <w:rPr>
          <w:sz w:val="28"/>
          <w:szCs w:val="28"/>
        </w:rPr>
        <w:t>]</w:t>
      </w:r>
      <w:r w:rsidRPr="007429EC">
        <w:rPr>
          <w:sz w:val="28"/>
          <w:szCs w:val="28"/>
        </w:rPr>
        <w:tab/>
      </w:r>
      <w:r w:rsidR="002C286F" w:rsidRPr="007429EC">
        <w:rPr>
          <w:sz w:val="28"/>
          <w:szCs w:val="28"/>
        </w:rPr>
        <w:t>T</w:t>
      </w:r>
      <w:r w:rsidRPr="007429EC">
        <w:rPr>
          <w:sz w:val="28"/>
          <w:szCs w:val="28"/>
        </w:rPr>
        <w:t xml:space="preserve">hat the </w:t>
      </w:r>
      <w:r w:rsidR="00D552DD" w:rsidRPr="007429EC">
        <w:rPr>
          <w:sz w:val="28"/>
          <w:szCs w:val="28"/>
        </w:rPr>
        <w:t>g</w:t>
      </w:r>
      <w:r w:rsidRPr="007429EC">
        <w:rPr>
          <w:sz w:val="28"/>
          <w:szCs w:val="28"/>
        </w:rPr>
        <w:t xml:space="preserve">overnment parties delayed in instituting the review proceedings (which the protagonists agreed was – in a worst case scenario – approximately 29 months) </w:t>
      </w:r>
      <w:r w:rsidR="009E1B2E" w:rsidRPr="007429EC">
        <w:rPr>
          <w:sz w:val="28"/>
          <w:szCs w:val="28"/>
        </w:rPr>
        <w:t>brooks no argument to the contrary.</w:t>
      </w:r>
      <w:r w:rsidRPr="007429EC">
        <w:rPr>
          <w:sz w:val="28"/>
          <w:szCs w:val="28"/>
        </w:rPr>
        <w:t xml:space="preserve"> </w:t>
      </w:r>
      <w:r w:rsidR="007F3AF3" w:rsidRPr="007429EC">
        <w:rPr>
          <w:sz w:val="28"/>
          <w:szCs w:val="28"/>
        </w:rPr>
        <w:t xml:space="preserve">The </w:t>
      </w:r>
      <w:r w:rsidR="00D552DD" w:rsidRPr="007429EC">
        <w:rPr>
          <w:sz w:val="28"/>
          <w:szCs w:val="28"/>
        </w:rPr>
        <w:t>g</w:t>
      </w:r>
      <w:r w:rsidRPr="007429EC">
        <w:rPr>
          <w:sz w:val="28"/>
          <w:szCs w:val="28"/>
        </w:rPr>
        <w:t xml:space="preserve">overnment parties </w:t>
      </w:r>
      <w:r w:rsidR="007F3AF3" w:rsidRPr="007429EC">
        <w:rPr>
          <w:sz w:val="28"/>
          <w:szCs w:val="28"/>
        </w:rPr>
        <w:t>sought to overcome this procedural obstacle by proffering</w:t>
      </w:r>
      <w:r w:rsidRPr="007429EC">
        <w:rPr>
          <w:sz w:val="28"/>
          <w:szCs w:val="28"/>
        </w:rPr>
        <w:t xml:space="preserve"> an explanation</w:t>
      </w:r>
      <w:r w:rsidR="00B17901" w:rsidRPr="007429EC">
        <w:rPr>
          <w:sz w:val="28"/>
          <w:szCs w:val="28"/>
        </w:rPr>
        <w:t xml:space="preserve"> therefor</w:t>
      </w:r>
      <w:r w:rsidRPr="007429EC">
        <w:rPr>
          <w:sz w:val="28"/>
          <w:szCs w:val="28"/>
        </w:rPr>
        <w:t>. In essence, they asserted that:</w:t>
      </w:r>
    </w:p>
    <w:p w14:paraId="27E17C63" w14:textId="1040E98E" w:rsidR="00B17901" w:rsidRPr="007429EC" w:rsidRDefault="00B17901" w:rsidP="00B224C9">
      <w:pPr>
        <w:rPr>
          <w:sz w:val="28"/>
          <w:szCs w:val="28"/>
        </w:rPr>
      </w:pPr>
      <w:r w:rsidRPr="007429EC">
        <w:rPr>
          <w:sz w:val="28"/>
          <w:szCs w:val="28"/>
        </w:rPr>
        <w:t xml:space="preserve">(a) whilst this is admittedly a self-review, it was however explained that once </w:t>
      </w:r>
      <w:r w:rsidR="00702EFD">
        <w:rPr>
          <w:sz w:val="28"/>
          <w:szCs w:val="28"/>
        </w:rPr>
        <w:t xml:space="preserve">the </w:t>
      </w:r>
      <w:r w:rsidRPr="007429EC">
        <w:rPr>
          <w:sz w:val="28"/>
          <w:szCs w:val="28"/>
        </w:rPr>
        <w:t xml:space="preserve">National Treasury was adamant that </w:t>
      </w:r>
      <w:r w:rsidR="00415618" w:rsidRPr="007429EC">
        <w:rPr>
          <w:sz w:val="28"/>
          <w:szCs w:val="28"/>
        </w:rPr>
        <w:t>procurement</w:t>
      </w:r>
      <w:r w:rsidRPr="007429EC">
        <w:rPr>
          <w:sz w:val="28"/>
          <w:szCs w:val="28"/>
        </w:rPr>
        <w:t xml:space="preserve"> processes undertaken by the Department were irregular, it became necessary to consult with members of the BEC </w:t>
      </w:r>
      <w:r w:rsidR="00A83605" w:rsidRPr="007429EC">
        <w:rPr>
          <w:sz w:val="28"/>
          <w:szCs w:val="28"/>
        </w:rPr>
        <w:t xml:space="preserve">in order to </w:t>
      </w:r>
      <w:r w:rsidR="003B6577" w:rsidRPr="007429EC">
        <w:rPr>
          <w:sz w:val="28"/>
          <w:szCs w:val="28"/>
        </w:rPr>
        <w:t>'</w:t>
      </w:r>
      <w:r w:rsidR="00A83605" w:rsidRPr="007429EC">
        <w:rPr>
          <w:sz w:val="28"/>
          <w:szCs w:val="28"/>
        </w:rPr>
        <w:t>ascertain whether they had an answer</w:t>
      </w:r>
      <w:r w:rsidR="003B6577" w:rsidRPr="007429EC">
        <w:rPr>
          <w:sz w:val="28"/>
          <w:szCs w:val="28"/>
        </w:rPr>
        <w:t>'</w:t>
      </w:r>
      <w:r w:rsidR="00A83605" w:rsidRPr="007429EC">
        <w:rPr>
          <w:sz w:val="28"/>
          <w:szCs w:val="28"/>
        </w:rPr>
        <w:t xml:space="preserve"> to the </w:t>
      </w:r>
      <w:r w:rsidR="006D235E">
        <w:rPr>
          <w:sz w:val="28"/>
          <w:szCs w:val="28"/>
        </w:rPr>
        <w:t xml:space="preserve">National </w:t>
      </w:r>
      <w:r w:rsidR="00A83605" w:rsidRPr="007429EC">
        <w:rPr>
          <w:sz w:val="28"/>
          <w:szCs w:val="28"/>
        </w:rPr>
        <w:t>Treasury</w:t>
      </w:r>
      <w:r w:rsidR="003B6577" w:rsidRPr="007429EC">
        <w:rPr>
          <w:sz w:val="28"/>
          <w:szCs w:val="28"/>
        </w:rPr>
        <w:t>'</w:t>
      </w:r>
      <w:r w:rsidR="00A83605" w:rsidRPr="007429EC">
        <w:rPr>
          <w:sz w:val="28"/>
          <w:szCs w:val="28"/>
        </w:rPr>
        <w:t>s statement questioning the regularity of the procurement process;</w:t>
      </w:r>
    </w:p>
    <w:p w14:paraId="2EE4867E" w14:textId="1BA34C26" w:rsidR="00A83605" w:rsidRPr="007429EC" w:rsidRDefault="00A83605" w:rsidP="00B224C9">
      <w:pPr>
        <w:rPr>
          <w:sz w:val="28"/>
          <w:szCs w:val="28"/>
        </w:rPr>
      </w:pPr>
      <w:r w:rsidRPr="007429EC">
        <w:rPr>
          <w:sz w:val="28"/>
          <w:szCs w:val="28"/>
        </w:rPr>
        <w:t xml:space="preserve">(b) because the members of the BEC </w:t>
      </w:r>
      <w:r w:rsidR="003B6577" w:rsidRPr="007429EC">
        <w:rPr>
          <w:sz w:val="28"/>
          <w:szCs w:val="28"/>
        </w:rPr>
        <w:t>'</w:t>
      </w:r>
      <w:r w:rsidRPr="007429EC">
        <w:rPr>
          <w:sz w:val="28"/>
          <w:szCs w:val="28"/>
        </w:rPr>
        <w:t>were all in diplomatic missions scattered around the world</w:t>
      </w:r>
      <w:r w:rsidR="003B6577" w:rsidRPr="007429EC">
        <w:rPr>
          <w:sz w:val="28"/>
          <w:szCs w:val="28"/>
        </w:rPr>
        <w:t>'</w:t>
      </w:r>
      <w:r w:rsidRPr="007429EC">
        <w:rPr>
          <w:sz w:val="28"/>
          <w:szCs w:val="28"/>
        </w:rPr>
        <w:t xml:space="preserve"> assembling them for consultation with counsel in South Africa turned out to be a protracted and time-consuming mission;</w:t>
      </w:r>
    </w:p>
    <w:p w14:paraId="0323B0B2" w14:textId="254CB172" w:rsidR="00A83605" w:rsidRPr="007429EC" w:rsidRDefault="00A83605" w:rsidP="00B224C9">
      <w:pPr>
        <w:rPr>
          <w:sz w:val="28"/>
          <w:szCs w:val="28"/>
        </w:rPr>
      </w:pPr>
      <w:r w:rsidRPr="007429EC">
        <w:rPr>
          <w:sz w:val="28"/>
          <w:szCs w:val="28"/>
        </w:rPr>
        <w:t>(c) on 26 April 2017</w:t>
      </w:r>
      <w:r w:rsidR="007B657D" w:rsidRPr="007429EC">
        <w:rPr>
          <w:sz w:val="28"/>
          <w:szCs w:val="28"/>
        </w:rPr>
        <w:t>,</w:t>
      </w:r>
      <w:r w:rsidRPr="007429EC">
        <w:rPr>
          <w:sz w:val="28"/>
          <w:szCs w:val="28"/>
        </w:rPr>
        <w:t xml:space="preserve"> and after consulting members of the BEC</w:t>
      </w:r>
      <w:r w:rsidR="007B657D" w:rsidRPr="007429EC">
        <w:rPr>
          <w:sz w:val="28"/>
          <w:szCs w:val="28"/>
        </w:rPr>
        <w:t>,</w:t>
      </w:r>
      <w:r w:rsidRPr="007429EC">
        <w:rPr>
          <w:sz w:val="28"/>
          <w:szCs w:val="28"/>
        </w:rPr>
        <w:t xml:space="preserve"> the Department responded to </w:t>
      </w:r>
      <w:r w:rsidR="00702EFD">
        <w:rPr>
          <w:sz w:val="28"/>
          <w:szCs w:val="28"/>
        </w:rPr>
        <w:t xml:space="preserve">the </w:t>
      </w:r>
      <w:r w:rsidR="006D235E">
        <w:rPr>
          <w:sz w:val="28"/>
          <w:szCs w:val="28"/>
        </w:rPr>
        <w:t xml:space="preserve">National </w:t>
      </w:r>
      <w:r w:rsidRPr="007429EC">
        <w:rPr>
          <w:sz w:val="28"/>
          <w:szCs w:val="28"/>
        </w:rPr>
        <w:t>Treasury</w:t>
      </w:r>
      <w:r w:rsidR="003B6577" w:rsidRPr="007429EC">
        <w:rPr>
          <w:sz w:val="28"/>
          <w:szCs w:val="28"/>
        </w:rPr>
        <w:t>'</w:t>
      </w:r>
      <w:r w:rsidRPr="007429EC">
        <w:rPr>
          <w:sz w:val="28"/>
          <w:szCs w:val="28"/>
        </w:rPr>
        <w:t>s queries;</w:t>
      </w:r>
    </w:p>
    <w:p w14:paraId="7D09D195" w14:textId="35F57DBA" w:rsidR="00A83605" w:rsidRPr="007429EC" w:rsidRDefault="00A83605" w:rsidP="00B224C9">
      <w:pPr>
        <w:rPr>
          <w:sz w:val="28"/>
          <w:szCs w:val="28"/>
        </w:rPr>
      </w:pPr>
      <w:r w:rsidRPr="007429EC">
        <w:rPr>
          <w:sz w:val="28"/>
          <w:szCs w:val="28"/>
        </w:rPr>
        <w:t xml:space="preserve">(d) in the interim, on 26 January 2018, </w:t>
      </w:r>
      <w:r w:rsidR="00702EFD">
        <w:rPr>
          <w:sz w:val="28"/>
          <w:szCs w:val="28"/>
        </w:rPr>
        <w:t xml:space="preserve">the </w:t>
      </w:r>
      <w:r w:rsidRPr="007429EC">
        <w:rPr>
          <w:sz w:val="28"/>
          <w:szCs w:val="28"/>
        </w:rPr>
        <w:t>National Treasury painted its colours to the mast and unequivocally stated that it would not grant the requisite TA III approval;</w:t>
      </w:r>
    </w:p>
    <w:p w14:paraId="10077007" w14:textId="25E51F0A" w:rsidR="00A83605" w:rsidRPr="007429EC" w:rsidRDefault="00A83605" w:rsidP="00B224C9">
      <w:pPr>
        <w:rPr>
          <w:sz w:val="28"/>
          <w:szCs w:val="28"/>
        </w:rPr>
      </w:pPr>
      <w:r w:rsidRPr="007429EC">
        <w:rPr>
          <w:sz w:val="28"/>
          <w:szCs w:val="28"/>
        </w:rPr>
        <w:lastRenderedPageBreak/>
        <w:t xml:space="preserve">(e) on 15 and 18 May 2018, </w:t>
      </w:r>
      <w:r w:rsidR="00702EFD">
        <w:rPr>
          <w:sz w:val="28"/>
          <w:szCs w:val="28"/>
        </w:rPr>
        <w:t xml:space="preserve">the </w:t>
      </w:r>
      <w:r w:rsidRPr="007429EC">
        <w:rPr>
          <w:sz w:val="28"/>
          <w:szCs w:val="28"/>
        </w:rPr>
        <w:t>National Treasury again indicated in no uncertain terms that it remained unpersuaded and persisted in its stance that the tender process was irregular and therefore remained resolute that the TA III</w:t>
      </w:r>
      <w:r w:rsidR="007B657D" w:rsidRPr="007429EC">
        <w:rPr>
          <w:sz w:val="28"/>
          <w:szCs w:val="28"/>
        </w:rPr>
        <w:t xml:space="preserve"> approval would not be granted; and</w:t>
      </w:r>
    </w:p>
    <w:p w14:paraId="7BC7E416" w14:textId="49FACD15" w:rsidR="007F7186" w:rsidRPr="007429EC" w:rsidRDefault="007F7186" w:rsidP="00B224C9">
      <w:pPr>
        <w:rPr>
          <w:sz w:val="28"/>
          <w:szCs w:val="28"/>
        </w:rPr>
      </w:pPr>
      <w:r w:rsidRPr="007429EC">
        <w:rPr>
          <w:sz w:val="28"/>
          <w:szCs w:val="28"/>
        </w:rPr>
        <w:t>(f) finally, given the enormity of the task, collating the mound of documentation provided to counsel for purposes of drafting the founding papers, the preparation of the review application papers was,</w:t>
      </w:r>
      <w:r w:rsidR="00415618" w:rsidRPr="007429EC">
        <w:rPr>
          <w:sz w:val="28"/>
          <w:szCs w:val="28"/>
        </w:rPr>
        <w:t xml:space="preserve"> despite</w:t>
      </w:r>
      <w:r w:rsidRPr="007429EC">
        <w:rPr>
          <w:sz w:val="28"/>
          <w:szCs w:val="28"/>
        </w:rPr>
        <w:t xml:space="preserve"> best endeavours by counsel, also time-consuming. </w:t>
      </w:r>
    </w:p>
    <w:p w14:paraId="672F3BD4" w14:textId="77777777" w:rsidR="00636C13" w:rsidRPr="007429EC" w:rsidRDefault="00636C13" w:rsidP="00B224C9">
      <w:pPr>
        <w:rPr>
          <w:sz w:val="28"/>
          <w:szCs w:val="28"/>
        </w:rPr>
      </w:pPr>
    </w:p>
    <w:p w14:paraId="54A32A56" w14:textId="151302C8" w:rsidR="00636C13" w:rsidRPr="007429EC" w:rsidRDefault="00636C13" w:rsidP="00B224C9">
      <w:pPr>
        <w:rPr>
          <w:sz w:val="28"/>
          <w:szCs w:val="28"/>
        </w:rPr>
      </w:pPr>
      <w:r w:rsidRPr="007429EC">
        <w:rPr>
          <w:sz w:val="28"/>
          <w:szCs w:val="28"/>
        </w:rPr>
        <w:t>[</w:t>
      </w:r>
      <w:r w:rsidR="007B657D" w:rsidRPr="007429EC">
        <w:rPr>
          <w:sz w:val="28"/>
          <w:szCs w:val="28"/>
        </w:rPr>
        <w:t>80</w:t>
      </w:r>
      <w:r w:rsidRPr="007429EC">
        <w:rPr>
          <w:sz w:val="28"/>
          <w:szCs w:val="28"/>
        </w:rPr>
        <w:t>]</w:t>
      </w:r>
      <w:r w:rsidRPr="007429EC">
        <w:rPr>
          <w:sz w:val="28"/>
          <w:szCs w:val="28"/>
        </w:rPr>
        <w:tab/>
        <w:t xml:space="preserve">In </w:t>
      </w:r>
      <w:r w:rsidRPr="007429EC">
        <w:rPr>
          <w:i/>
          <w:sz w:val="28"/>
          <w:szCs w:val="28"/>
        </w:rPr>
        <w:t>Swifambo Rail Leasing (Pty) Limited v Passenger Rail Agency of South Africa</w:t>
      </w:r>
      <w:r w:rsidR="007B657D" w:rsidRPr="007429EC">
        <w:rPr>
          <w:rStyle w:val="FootnoteReference"/>
          <w:sz w:val="28"/>
          <w:szCs w:val="28"/>
          <w:vertAlign w:val="baseline"/>
        </w:rPr>
        <w:t>,</w:t>
      </w:r>
      <w:r w:rsidRPr="007429EC">
        <w:rPr>
          <w:rStyle w:val="FootnoteReference"/>
          <w:sz w:val="28"/>
          <w:szCs w:val="28"/>
        </w:rPr>
        <w:footnoteReference w:id="66"/>
      </w:r>
      <w:r w:rsidRPr="007429EC">
        <w:rPr>
          <w:sz w:val="28"/>
          <w:szCs w:val="28"/>
        </w:rPr>
        <w:t xml:space="preserve"> a delay of three years </w:t>
      </w:r>
      <w:r w:rsidR="003115F2" w:rsidRPr="007429EC">
        <w:rPr>
          <w:sz w:val="28"/>
          <w:szCs w:val="28"/>
        </w:rPr>
        <w:t xml:space="preserve">was condoned </w:t>
      </w:r>
      <w:r w:rsidRPr="007429EC">
        <w:rPr>
          <w:sz w:val="28"/>
          <w:szCs w:val="28"/>
        </w:rPr>
        <w:t>in circumstances where the full extent of malfeasance at PRASA was concealed from the Board.</w:t>
      </w:r>
      <w:r w:rsidRPr="007429EC">
        <w:rPr>
          <w:rStyle w:val="FootnoteReference"/>
          <w:sz w:val="28"/>
          <w:szCs w:val="28"/>
        </w:rPr>
        <w:footnoteReference w:id="67"/>
      </w:r>
      <w:r w:rsidRPr="007429EC">
        <w:rPr>
          <w:sz w:val="28"/>
          <w:szCs w:val="28"/>
        </w:rPr>
        <w:t xml:space="preserve"> </w:t>
      </w:r>
      <w:r w:rsidR="003115F2" w:rsidRPr="007429EC">
        <w:rPr>
          <w:sz w:val="28"/>
          <w:szCs w:val="28"/>
        </w:rPr>
        <w:t>There</w:t>
      </w:r>
      <w:r w:rsidR="00DE18DD" w:rsidRPr="007429EC">
        <w:rPr>
          <w:sz w:val="28"/>
          <w:szCs w:val="28"/>
        </w:rPr>
        <w:t>,</w:t>
      </w:r>
      <w:r w:rsidRPr="007429EC">
        <w:rPr>
          <w:sz w:val="28"/>
          <w:szCs w:val="28"/>
        </w:rPr>
        <w:t xml:space="preserve"> this Court, inter alia, held that some of the important considerations that would </w:t>
      </w:r>
      <w:r w:rsidR="0022310F" w:rsidRPr="007429EC">
        <w:rPr>
          <w:sz w:val="28"/>
          <w:szCs w:val="28"/>
        </w:rPr>
        <w:t>weigh heavily with a court considering the question as to whether to condone delay</w:t>
      </w:r>
      <w:r w:rsidR="00F6543B" w:rsidRPr="007429EC">
        <w:rPr>
          <w:sz w:val="28"/>
          <w:szCs w:val="28"/>
        </w:rPr>
        <w:t>,</w:t>
      </w:r>
      <w:r w:rsidR="0022310F" w:rsidRPr="007429EC">
        <w:rPr>
          <w:sz w:val="28"/>
          <w:szCs w:val="28"/>
        </w:rPr>
        <w:t xml:space="preserve"> are the interests of justice</w:t>
      </w:r>
      <w:r w:rsidR="0022310F" w:rsidRPr="007429EC">
        <w:rPr>
          <w:rStyle w:val="FootnoteReference"/>
          <w:sz w:val="28"/>
          <w:szCs w:val="28"/>
        </w:rPr>
        <w:footnoteReference w:id="68"/>
      </w:r>
      <w:r w:rsidR="0022310F" w:rsidRPr="007429EC">
        <w:rPr>
          <w:sz w:val="28"/>
          <w:szCs w:val="28"/>
        </w:rPr>
        <w:t xml:space="preserve"> and the public interest. </w:t>
      </w:r>
      <w:r w:rsidR="00234AEC" w:rsidRPr="007429EC">
        <w:rPr>
          <w:sz w:val="28"/>
          <w:szCs w:val="28"/>
        </w:rPr>
        <w:t xml:space="preserve">In the context of the facts of this case these considerations loom large, especially in the light of the breath-taking amount </w:t>
      </w:r>
      <w:r w:rsidR="00F6543B" w:rsidRPr="007429EC">
        <w:rPr>
          <w:sz w:val="28"/>
          <w:szCs w:val="28"/>
        </w:rPr>
        <w:t xml:space="preserve">of public funds </w:t>
      </w:r>
      <w:r w:rsidR="00234AEC" w:rsidRPr="007429EC">
        <w:rPr>
          <w:sz w:val="28"/>
          <w:szCs w:val="28"/>
        </w:rPr>
        <w:t>involved and the extent to wh</w:t>
      </w:r>
      <w:r w:rsidR="00A435C9" w:rsidRPr="007429EC">
        <w:rPr>
          <w:sz w:val="28"/>
          <w:szCs w:val="28"/>
        </w:rPr>
        <w:t>ich the requirements of the RFP</w:t>
      </w:r>
      <w:r w:rsidR="004B6D5A" w:rsidRPr="007429EC">
        <w:rPr>
          <w:sz w:val="28"/>
          <w:szCs w:val="28"/>
        </w:rPr>
        <w:t>s</w:t>
      </w:r>
      <w:r w:rsidR="00234AEC" w:rsidRPr="007429EC">
        <w:rPr>
          <w:sz w:val="28"/>
          <w:szCs w:val="28"/>
        </w:rPr>
        <w:t xml:space="preserve"> were deviated from both during evaluation and adjudication stages and, significantly, when the PPA was concluded. </w:t>
      </w:r>
      <w:r w:rsidR="008A3F59" w:rsidRPr="007429EC">
        <w:rPr>
          <w:sz w:val="28"/>
          <w:szCs w:val="28"/>
        </w:rPr>
        <w:t xml:space="preserve">And as the Constitutional Court </w:t>
      </w:r>
      <w:r w:rsidR="0079245F" w:rsidRPr="007429EC">
        <w:rPr>
          <w:sz w:val="28"/>
          <w:szCs w:val="28"/>
        </w:rPr>
        <w:t xml:space="preserve">observed </w:t>
      </w:r>
      <w:r w:rsidR="008A3F59" w:rsidRPr="007429EC">
        <w:rPr>
          <w:sz w:val="28"/>
          <w:szCs w:val="28"/>
        </w:rPr>
        <w:t xml:space="preserve">in </w:t>
      </w:r>
      <w:r w:rsidR="008A3F59" w:rsidRPr="007429EC">
        <w:rPr>
          <w:i/>
          <w:sz w:val="28"/>
          <w:szCs w:val="28"/>
        </w:rPr>
        <w:t>Allpay Consolidated</w:t>
      </w:r>
      <w:r w:rsidR="00DE18DD" w:rsidRPr="007429EC">
        <w:rPr>
          <w:sz w:val="28"/>
          <w:szCs w:val="28"/>
        </w:rPr>
        <w:t>,</w:t>
      </w:r>
      <w:r w:rsidR="008A3F59" w:rsidRPr="007429EC">
        <w:rPr>
          <w:sz w:val="28"/>
          <w:szCs w:val="28"/>
        </w:rPr>
        <w:t xml:space="preserve"> the </w:t>
      </w:r>
      <w:r w:rsidR="003B6577" w:rsidRPr="007429EC">
        <w:rPr>
          <w:sz w:val="28"/>
          <w:szCs w:val="28"/>
        </w:rPr>
        <w:t>'</w:t>
      </w:r>
      <w:r w:rsidR="008A3F59" w:rsidRPr="007429EC">
        <w:rPr>
          <w:sz w:val="28"/>
          <w:szCs w:val="28"/>
        </w:rPr>
        <w:t>facts of each case will determine what any shortfall in the requirements of the procurement system</w:t>
      </w:r>
      <w:r w:rsidR="003B6577" w:rsidRPr="007429EC">
        <w:rPr>
          <w:sz w:val="28"/>
          <w:szCs w:val="28"/>
        </w:rPr>
        <w:t>'</w:t>
      </w:r>
      <w:r w:rsidR="008A3F59" w:rsidRPr="007429EC">
        <w:rPr>
          <w:sz w:val="28"/>
          <w:szCs w:val="28"/>
        </w:rPr>
        <w:t xml:space="preserve"> as prescribed by s 217 of the Constitution should lead to.</w:t>
      </w:r>
      <w:r w:rsidR="00DE18DD" w:rsidRPr="007429EC">
        <w:rPr>
          <w:rStyle w:val="FootnoteReference"/>
          <w:sz w:val="28"/>
          <w:szCs w:val="28"/>
        </w:rPr>
        <w:footnoteReference w:id="69"/>
      </w:r>
    </w:p>
    <w:p w14:paraId="4A28FD27" w14:textId="278912B2" w:rsidR="0079245F" w:rsidRPr="007429EC" w:rsidRDefault="003B6628" w:rsidP="00B224C9">
      <w:pPr>
        <w:rPr>
          <w:sz w:val="28"/>
          <w:szCs w:val="28"/>
        </w:rPr>
      </w:pPr>
      <w:r w:rsidRPr="007429EC">
        <w:rPr>
          <w:sz w:val="28"/>
          <w:szCs w:val="28"/>
        </w:rPr>
        <w:lastRenderedPageBreak/>
        <w:t>[</w:t>
      </w:r>
      <w:r w:rsidR="00176B97" w:rsidRPr="007429EC">
        <w:rPr>
          <w:sz w:val="28"/>
          <w:szCs w:val="28"/>
        </w:rPr>
        <w:t>81</w:t>
      </w:r>
      <w:r w:rsidRPr="007429EC">
        <w:rPr>
          <w:sz w:val="28"/>
          <w:szCs w:val="28"/>
        </w:rPr>
        <w:t>]</w:t>
      </w:r>
      <w:r w:rsidRPr="007429EC">
        <w:rPr>
          <w:sz w:val="28"/>
          <w:szCs w:val="28"/>
        </w:rPr>
        <w:tab/>
        <w:t xml:space="preserve">In </w:t>
      </w:r>
      <w:r w:rsidRPr="007429EC">
        <w:rPr>
          <w:i/>
          <w:sz w:val="28"/>
          <w:szCs w:val="28"/>
        </w:rPr>
        <w:t>Aurecon</w:t>
      </w:r>
      <w:r w:rsidR="00DE18DD" w:rsidRPr="007429EC">
        <w:rPr>
          <w:sz w:val="28"/>
          <w:szCs w:val="28"/>
        </w:rPr>
        <w:t>,</w:t>
      </w:r>
      <w:r w:rsidRPr="007429EC">
        <w:rPr>
          <w:i/>
          <w:sz w:val="28"/>
          <w:szCs w:val="28"/>
        </w:rPr>
        <w:t xml:space="preserve"> </w:t>
      </w:r>
      <w:r w:rsidRPr="007429EC">
        <w:rPr>
          <w:sz w:val="28"/>
          <w:szCs w:val="28"/>
        </w:rPr>
        <w:t xml:space="preserve">the Constitutional Court held that </w:t>
      </w:r>
      <w:r w:rsidR="003B6577" w:rsidRPr="007429EC">
        <w:rPr>
          <w:sz w:val="28"/>
          <w:szCs w:val="28"/>
        </w:rPr>
        <w:t>'</w:t>
      </w:r>
      <w:r w:rsidRPr="007429EC">
        <w:rPr>
          <w:sz w:val="28"/>
          <w:szCs w:val="28"/>
        </w:rPr>
        <w:t>[t]h</w:t>
      </w:r>
      <w:r w:rsidR="00DE18DD" w:rsidRPr="007429EC">
        <w:rPr>
          <w:sz w:val="28"/>
          <w:szCs w:val="28"/>
        </w:rPr>
        <w:t>e interests of clean governance</w:t>
      </w:r>
      <w:r w:rsidR="00207808" w:rsidRPr="007429EC">
        <w:rPr>
          <w:sz w:val="28"/>
          <w:szCs w:val="28"/>
        </w:rPr>
        <w:t xml:space="preserve"> </w:t>
      </w:r>
      <w:r w:rsidR="00C90064" w:rsidRPr="007429EC">
        <w:rPr>
          <w:sz w:val="28"/>
          <w:szCs w:val="28"/>
        </w:rPr>
        <w:t>...</w:t>
      </w:r>
      <w:r w:rsidR="00207808" w:rsidRPr="007429EC">
        <w:rPr>
          <w:sz w:val="28"/>
          <w:szCs w:val="28"/>
        </w:rPr>
        <w:t xml:space="preserve"> </w:t>
      </w:r>
      <w:r w:rsidRPr="007429EC">
        <w:rPr>
          <w:sz w:val="28"/>
          <w:szCs w:val="28"/>
        </w:rPr>
        <w:t>require judicial intervention</w:t>
      </w:r>
      <w:r w:rsidR="003B6577" w:rsidRPr="007429EC">
        <w:rPr>
          <w:sz w:val="28"/>
          <w:szCs w:val="28"/>
        </w:rPr>
        <w:t>'</w:t>
      </w:r>
      <w:r w:rsidRPr="007429EC">
        <w:rPr>
          <w:sz w:val="28"/>
          <w:szCs w:val="28"/>
        </w:rPr>
        <w:t xml:space="preserve"> where irregularities uncovered by an investigation raised a spectre of corruption, collusion or fraud in the tender process. In such circumstances a court might well be justified in </w:t>
      </w:r>
      <w:r w:rsidR="003B6577" w:rsidRPr="007429EC">
        <w:rPr>
          <w:sz w:val="28"/>
          <w:szCs w:val="28"/>
        </w:rPr>
        <w:t>'</w:t>
      </w:r>
      <w:r w:rsidRPr="007429EC">
        <w:rPr>
          <w:sz w:val="28"/>
          <w:szCs w:val="28"/>
        </w:rPr>
        <w:t>look[ing] less askance in condoning the delay</w:t>
      </w:r>
      <w:r w:rsidR="003B6577" w:rsidRPr="007429EC">
        <w:rPr>
          <w:sz w:val="28"/>
          <w:szCs w:val="28"/>
        </w:rPr>
        <w:t>'</w:t>
      </w:r>
      <w:r w:rsidRPr="007429EC">
        <w:rPr>
          <w:sz w:val="28"/>
          <w:szCs w:val="28"/>
        </w:rPr>
        <w:t>.</w:t>
      </w:r>
      <w:r w:rsidRPr="007429EC">
        <w:rPr>
          <w:rStyle w:val="FootnoteReference"/>
          <w:sz w:val="28"/>
          <w:szCs w:val="28"/>
        </w:rPr>
        <w:footnoteReference w:id="70"/>
      </w:r>
      <w:r w:rsidR="007D2327" w:rsidRPr="007429EC">
        <w:rPr>
          <w:sz w:val="28"/>
          <w:szCs w:val="28"/>
        </w:rPr>
        <w:t xml:space="preserve"> Although the </w:t>
      </w:r>
      <w:r w:rsidR="00D552DD" w:rsidRPr="007429EC">
        <w:rPr>
          <w:sz w:val="28"/>
          <w:szCs w:val="28"/>
        </w:rPr>
        <w:t>g</w:t>
      </w:r>
      <w:r w:rsidR="007D2327" w:rsidRPr="007429EC">
        <w:rPr>
          <w:sz w:val="28"/>
          <w:szCs w:val="28"/>
        </w:rPr>
        <w:t>overnment parties have disavowed any reliance on corruption, collusion or fraud in this case</w:t>
      </w:r>
      <w:r w:rsidR="00DE18DD" w:rsidRPr="007429EC">
        <w:rPr>
          <w:sz w:val="28"/>
          <w:szCs w:val="28"/>
        </w:rPr>
        <w:t>,</w:t>
      </w:r>
      <w:r w:rsidR="007D2327" w:rsidRPr="007429EC">
        <w:rPr>
          <w:sz w:val="28"/>
          <w:szCs w:val="28"/>
        </w:rPr>
        <w:t xml:space="preserve"> both in their heads of argument and before us, it is to be noted that in </w:t>
      </w:r>
      <w:r w:rsidR="007D2327" w:rsidRPr="007429EC">
        <w:rPr>
          <w:i/>
          <w:sz w:val="28"/>
          <w:szCs w:val="28"/>
        </w:rPr>
        <w:t>Central Energy Fund SOC Ltd and Another v Venus Rays Trade (Pty) Ltd and Others</w:t>
      </w:r>
      <w:r w:rsidR="00176B97" w:rsidRPr="007429EC">
        <w:rPr>
          <w:sz w:val="28"/>
          <w:szCs w:val="28"/>
        </w:rPr>
        <w:t>,</w:t>
      </w:r>
      <w:r w:rsidR="007D2327" w:rsidRPr="007429EC">
        <w:rPr>
          <w:rStyle w:val="FootnoteReference"/>
          <w:sz w:val="28"/>
          <w:szCs w:val="28"/>
        </w:rPr>
        <w:footnoteReference w:id="71"/>
      </w:r>
      <w:r w:rsidR="0079245F" w:rsidRPr="007429EC">
        <w:rPr>
          <w:sz w:val="28"/>
          <w:szCs w:val="28"/>
        </w:rPr>
        <w:t xml:space="preserve"> this Court</w:t>
      </w:r>
      <w:r w:rsidR="007D2327" w:rsidRPr="007429EC">
        <w:rPr>
          <w:sz w:val="28"/>
          <w:szCs w:val="28"/>
        </w:rPr>
        <w:t xml:space="preserve"> said that</w:t>
      </w:r>
      <w:r w:rsidR="00176B97" w:rsidRPr="007429EC">
        <w:rPr>
          <w:sz w:val="28"/>
          <w:szCs w:val="28"/>
        </w:rPr>
        <w:t>,</w:t>
      </w:r>
      <w:r w:rsidR="007D2327" w:rsidRPr="007429EC">
        <w:rPr>
          <w:sz w:val="28"/>
          <w:szCs w:val="28"/>
        </w:rPr>
        <w:t xml:space="preserve"> as a general rule even innocent counterparties are not entitled to benefit or profit from an unlawful contract. </w:t>
      </w:r>
    </w:p>
    <w:p w14:paraId="76B73ECF" w14:textId="77777777" w:rsidR="0079245F" w:rsidRPr="007429EC" w:rsidRDefault="0079245F" w:rsidP="00B224C9">
      <w:pPr>
        <w:rPr>
          <w:sz w:val="28"/>
          <w:szCs w:val="28"/>
        </w:rPr>
      </w:pPr>
    </w:p>
    <w:p w14:paraId="6ADFBFE2" w14:textId="2513FCC7" w:rsidR="007B70B5" w:rsidRPr="007429EC" w:rsidRDefault="0079245F" w:rsidP="00B224C9">
      <w:pPr>
        <w:rPr>
          <w:sz w:val="28"/>
          <w:szCs w:val="28"/>
        </w:rPr>
      </w:pPr>
      <w:r w:rsidRPr="007429EC">
        <w:rPr>
          <w:sz w:val="28"/>
          <w:szCs w:val="28"/>
        </w:rPr>
        <w:t>[</w:t>
      </w:r>
      <w:r w:rsidR="00176B97" w:rsidRPr="007429EC">
        <w:rPr>
          <w:sz w:val="28"/>
          <w:szCs w:val="28"/>
        </w:rPr>
        <w:t>82</w:t>
      </w:r>
      <w:r w:rsidRPr="007429EC">
        <w:rPr>
          <w:sz w:val="28"/>
          <w:szCs w:val="28"/>
        </w:rPr>
        <w:t>]</w:t>
      </w:r>
      <w:r w:rsidRPr="007429EC">
        <w:rPr>
          <w:sz w:val="28"/>
          <w:szCs w:val="28"/>
        </w:rPr>
        <w:tab/>
      </w:r>
      <w:r w:rsidR="00C90064" w:rsidRPr="007429EC">
        <w:rPr>
          <w:sz w:val="28"/>
          <w:szCs w:val="28"/>
        </w:rPr>
        <w:t>The substantive merits of the appeal have already been addressed above.</w:t>
      </w:r>
      <w:r w:rsidR="00C90064" w:rsidRPr="007429EC">
        <w:rPr>
          <w:rStyle w:val="FootnoteReference"/>
          <w:sz w:val="28"/>
          <w:szCs w:val="28"/>
        </w:rPr>
        <w:footnoteReference w:id="72"/>
      </w:r>
      <w:r w:rsidR="00C90064" w:rsidRPr="007429EC">
        <w:rPr>
          <w:sz w:val="28"/>
          <w:szCs w:val="28"/>
        </w:rPr>
        <w:t xml:space="preserve"> </w:t>
      </w:r>
      <w:r w:rsidR="007D2327" w:rsidRPr="007429EC">
        <w:rPr>
          <w:sz w:val="28"/>
          <w:szCs w:val="28"/>
        </w:rPr>
        <w:t xml:space="preserve">The conclusion reached in relation thereto, and for the reasons already articulated, is that the entire procurement process in this matter was riddled with unexplained irregularities. This is </w:t>
      </w:r>
      <w:r w:rsidRPr="007429EC">
        <w:rPr>
          <w:sz w:val="28"/>
          <w:szCs w:val="28"/>
        </w:rPr>
        <w:t>borne out by</w:t>
      </w:r>
      <w:r w:rsidR="007D2327" w:rsidRPr="007429EC">
        <w:rPr>
          <w:sz w:val="28"/>
          <w:szCs w:val="28"/>
        </w:rPr>
        <w:t xml:space="preserve"> objective facts </w:t>
      </w:r>
      <w:r w:rsidRPr="007429EC">
        <w:rPr>
          <w:sz w:val="28"/>
          <w:szCs w:val="28"/>
        </w:rPr>
        <w:t xml:space="preserve">which </w:t>
      </w:r>
      <w:r w:rsidR="007D2327" w:rsidRPr="007429EC">
        <w:rPr>
          <w:sz w:val="28"/>
          <w:szCs w:val="28"/>
        </w:rPr>
        <w:t>reveal that the requirements of a constitutionally fair, equitable, transparent, competitive and cost-effective procurement system were flouted at every turn. What is more</w:t>
      </w:r>
      <w:r w:rsidR="007B317B" w:rsidRPr="007429EC">
        <w:rPr>
          <w:sz w:val="28"/>
          <w:szCs w:val="28"/>
        </w:rPr>
        <w:t>,</w:t>
      </w:r>
      <w:r w:rsidR="007D2327" w:rsidRPr="007429EC">
        <w:rPr>
          <w:sz w:val="28"/>
          <w:szCs w:val="28"/>
        </w:rPr>
        <w:t xml:space="preserve"> is that once the tender was awarded to the Joint Venture, the members of the Steering Committee a</w:t>
      </w:r>
      <w:r w:rsidRPr="007429EC">
        <w:rPr>
          <w:sz w:val="28"/>
          <w:szCs w:val="28"/>
        </w:rPr>
        <w:t>r</w:t>
      </w:r>
      <w:r w:rsidR="007D2327" w:rsidRPr="007429EC">
        <w:rPr>
          <w:sz w:val="28"/>
          <w:szCs w:val="28"/>
        </w:rPr>
        <w:t>rogated to themselves the power to deviate f</w:t>
      </w:r>
      <w:r w:rsidR="00A435C9" w:rsidRPr="007429EC">
        <w:rPr>
          <w:sz w:val="28"/>
          <w:szCs w:val="28"/>
        </w:rPr>
        <w:t>rom the requirements of the RFP</w:t>
      </w:r>
      <w:r w:rsidR="004B6D5A" w:rsidRPr="007429EC">
        <w:rPr>
          <w:sz w:val="28"/>
          <w:szCs w:val="28"/>
        </w:rPr>
        <w:t>s</w:t>
      </w:r>
      <w:r w:rsidR="007D2327" w:rsidRPr="007429EC">
        <w:rPr>
          <w:sz w:val="28"/>
          <w:szCs w:val="28"/>
        </w:rPr>
        <w:t xml:space="preserve"> in a most fundamental way that was at odds with both constitutional</w:t>
      </w:r>
      <w:r w:rsidR="007B70B5" w:rsidRPr="007429EC">
        <w:rPr>
          <w:rStyle w:val="FootnoteReference"/>
          <w:sz w:val="28"/>
          <w:szCs w:val="28"/>
        </w:rPr>
        <w:footnoteReference w:id="73"/>
      </w:r>
      <w:r w:rsidR="007D2327" w:rsidRPr="007429EC">
        <w:rPr>
          <w:sz w:val="28"/>
          <w:szCs w:val="28"/>
        </w:rPr>
        <w:t xml:space="preserve"> and statu</w:t>
      </w:r>
      <w:r w:rsidR="00A435C9" w:rsidRPr="007429EC">
        <w:rPr>
          <w:sz w:val="28"/>
          <w:szCs w:val="28"/>
        </w:rPr>
        <w:t>tory prescripts.</w:t>
      </w:r>
      <w:r w:rsidR="007B70B5" w:rsidRPr="007429EC">
        <w:rPr>
          <w:rStyle w:val="FootnoteReference"/>
          <w:sz w:val="28"/>
          <w:szCs w:val="28"/>
        </w:rPr>
        <w:footnoteReference w:id="74"/>
      </w:r>
      <w:r w:rsidR="00A435C9" w:rsidRPr="007429EC">
        <w:rPr>
          <w:sz w:val="28"/>
          <w:szCs w:val="28"/>
        </w:rPr>
        <w:t xml:space="preserve"> </w:t>
      </w:r>
    </w:p>
    <w:p w14:paraId="31C6DC97" w14:textId="77777777" w:rsidR="007B70B5" w:rsidRPr="007429EC" w:rsidRDefault="007B70B5" w:rsidP="00B224C9">
      <w:pPr>
        <w:rPr>
          <w:sz w:val="28"/>
          <w:szCs w:val="28"/>
        </w:rPr>
      </w:pPr>
    </w:p>
    <w:p w14:paraId="63142363" w14:textId="61E48DA2" w:rsidR="003B6628" w:rsidRPr="007429EC" w:rsidRDefault="007B70B5" w:rsidP="00B224C9">
      <w:pPr>
        <w:rPr>
          <w:sz w:val="28"/>
          <w:szCs w:val="28"/>
        </w:rPr>
      </w:pPr>
      <w:r w:rsidRPr="007429EC">
        <w:rPr>
          <w:sz w:val="28"/>
          <w:szCs w:val="28"/>
        </w:rPr>
        <w:lastRenderedPageBreak/>
        <w:t>[</w:t>
      </w:r>
      <w:r w:rsidR="00176B97" w:rsidRPr="007429EC">
        <w:rPr>
          <w:sz w:val="28"/>
          <w:szCs w:val="28"/>
        </w:rPr>
        <w:t>83</w:t>
      </w:r>
      <w:r w:rsidRPr="007429EC">
        <w:rPr>
          <w:sz w:val="28"/>
          <w:szCs w:val="28"/>
        </w:rPr>
        <w:t>]</w:t>
      </w:r>
      <w:r w:rsidRPr="007429EC">
        <w:rPr>
          <w:sz w:val="28"/>
          <w:szCs w:val="28"/>
        </w:rPr>
        <w:tab/>
      </w:r>
      <w:r w:rsidR="00A435C9" w:rsidRPr="007429EC">
        <w:rPr>
          <w:sz w:val="28"/>
          <w:szCs w:val="28"/>
        </w:rPr>
        <w:t>Whilst the RFP</w:t>
      </w:r>
      <w:r w:rsidR="004B6D5A" w:rsidRPr="007429EC">
        <w:rPr>
          <w:sz w:val="28"/>
          <w:szCs w:val="28"/>
        </w:rPr>
        <w:t>s</w:t>
      </w:r>
      <w:r w:rsidR="007D2327" w:rsidRPr="007429EC">
        <w:rPr>
          <w:sz w:val="28"/>
          <w:szCs w:val="28"/>
        </w:rPr>
        <w:t xml:space="preserve">, for example, envisaged a long term lease or </w:t>
      </w:r>
      <w:r w:rsidR="003B6577" w:rsidRPr="007429EC">
        <w:rPr>
          <w:sz w:val="28"/>
          <w:szCs w:val="28"/>
        </w:rPr>
        <w:t>'</w:t>
      </w:r>
      <w:r w:rsidR="007D2327" w:rsidRPr="007429EC">
        <w:rPr>
          <w:sz w:val="28"/>
          <w:szCs w:val="28"/>
        </w:rPr>
        <w:t>lease to buy property option</w:t>
      </w:r>
      <w:r w:rsidR="003B6577" w:rsidRPr="007429EC">
        <w:rPr>
          <w:sz w:val="28"/>
          <w:szCs w:val="28"/>
        </w:rPr>
        <w:t>'</w:t>
      </w:r>
      <w:r w:rsidR="007D2327" w:rsidRPr="007429EC">
        <w:rPr>
          <w:sz w:val="28"/>
          <w:szCs w:val="28"/>
        </w:rPr>
        <w:t xml:space="preserve"> that entailed that the entity ultimately awarded the tender would </w:t>
      </w:r>
      <w:r w:rsidR="003B6577" w:rsidRPr="007429EC">
        <w:rPr>
          <w:sz w:val="28"/>
          <w:szCs w:val="28"/>
        </w:rPr>
        <w:t>'</w:t>
      </w:r>
      <w:r w:rsidR="007D2327" w:rsidRPr="007429EC">
        <w:rPr>
          <w:sz w:val="28"/>
          <w:szCs w:val="28"/>
        </w:rPr>
        <w:t>identify and secure land</w:t>
      </w:r>
      <w:r w:rsidR="003B6577" w:rsidRPr="007429EC">
        <w:rPr>
          <w:sz w:val="28"/>
          <w:szCs w:val="28"/>
        </w:rPr>
        <w:t>'</w:t>
      </w:r>
      <w:r w:rsidR="007D2327" w:rsidRPr="007429EC">
        <w:rPr>
          <w:sz w:val="28"/>
          <w:szCs w:val="28"/>
        </w:rPr>
        <w:t xml:space="preserve">, </w:t>
      </w:r>
      <w:r w:rsidR="003B6577" w:rsidRPr="007429EC">
        <w:rPr>
          <w:sz w:val="28"/>
          <w:szCs w:val="28"/>
        </w:rPr>
        <w:t>'</w:t>
      </w:r>
      <w:r w:rsidR="007D2327" w:rsidRPr="007429EC">
        <w:rPr>
          <w:sz w:val="28"/>
          <w:szCs w:val="28"/>
        </w:rPr>
        <w:t>design and develop</w:t>
      </w:r>
      <w:r w:rsidR="003B6577" w:rsidRPr="007429EC">
        <w:rPr>
          <w:sz w:val="28"/>
          <w:szCs w:val="28"/>
        </w:rPr>
        <w:t>'</w:t>
      </w:r>
      <w:r w:rsidR="007D2327" w:rsidRPr="007429EC">
        <w:rPr>
          <w:sz w:val="28"/>
          <w:szCs w:val="28"/>
        </w:rPr>
        <w:t xml:space="preserve"> the land to </w:t>
      </w:r>
      <w:r w:rsidR="00FD1F73" w:rsidRPr="007429EC">
        <w:rPr>
          <w:sz w:val="28"/>
          <w:szCs w:val="28"/>
        </w:rPr>
        <w:t>the Department</w:t>
      </w:r>
      <w:r w:rsidR="003B6577" w:rsidRPr="007429EC">
        <w:rPr>
          <w:sz w:val="28"/>
          <w:szCs w:val="28"/>
        </w:rPr>
        <w:t>'</w:t>
      </w:r>
      <w:r w:rsidR="00FD1F73" w:rsidRPr="007429EC">
        <w:rPr>
          <w:sz w:val="28"/>
          <w:szCs w:val="28"/>
        </w:rPr>
        <w:t xml:space="preserve">s specifications, </w:t>
      </w:r>
      <w:r w:rsidR="00702EFD">
        <w:rPr>
          <w:sz w:val="28"/>
          <w:szCs w:val="28"/>
        </w:rPr>
        <w:t>'</w:t>
      </w:r>
      <w:r w:rsidR="00FD1F73" w:rsidRPr="007429EC">
        <w:rPr>
          <w:sz w:val="28"/>
          <w:szCs w:val="28"/>
        </w:rPr>
        <w:t>operate, manage and maintain the facilities</w:t>
      </w:r>
      <w:r w:rsidR="003B6577" w:rsidRPr="007429EC">
        <w:rPr>
          <w:sz w:val="28"/>
          <w:szCs w:val="28"/>
        </w:rPr>
        <w:t>'</w:t>
      </w:r>
      <w:r w:rsidR="00FD1F73" w:rsidRPr="007429EC">
        <w:rPr>
          <w:sz w:val="28"/>
          <w:szCs w:val="28"/>
        </w:rPr>
        <w:t xml:space="preserve"> and</w:t>
      </w:r>
      <w:r w:rsidRPr="007429EC">
        <w:rPr>
          <w:sz w:val="28"/>
          <w:szCs w:val="28"/>
        </w:rPr>
        <w:t>,</w:t>
      </w:r>
      <w:r w:rsidR="00FD1F73" w:rsidRPr="007429EC">
        <w:rPr>
          <w:sz w:val="28"/>
          <w:szCs w:val="28"/>
        </w:rPr>
        <w:t xml:space="preserve"> importantly</w:t>
      </w:r>
      <w:r w:rsidRPr="007429EC">
        <w:rPr>
          <w:sz w:val="28"/>
          <w:szCs w:val="28"/>
        </w:rPr>
        <w:t>,</w:t>
      </w:r>
      <w:r w:rsidR="00FD1F73" w:rsidRPr="007429EC">
        <w:rPr>
          <w:sz w:val="28"/>
          <w:szCs w:val="28"/>
        </w:rPr>
        <w:t xml:space="preserve"> </w:t>
      </w:r>
      <w:r w:rsidR="003B6577" w:rsidRPr="007429EC">
        <w:rPr>
          <w:sz w:val="28"/>
          <w:szCs w:val="28"/>
        </w:rPr>
        <w:t>'</w:t>
      </w:r>
      <w:r w:rsidR="00FD1F73" w:rsidRPr="007429EC">
        <w:rPr>
          <w:sz w:val="28"/>
          <w:szCs w:val="28"/>
        </w:rPr>
        <w:t>raise the required funding to finance both the capital and operational costs of acquiring and managing the facilities</w:t>
      </w:r>
      <w:r w:rsidR="003B6577" w:rsidRPr="007429EC">
        <w:rPr>
          <w:sz w:val="28"/>
          <w:szCs w:val="28"/>
        </w:rPr>
        <w:t>'</w:t>
      </w:r>
      <w:r w:rsidR="001C0505" w:rsidRPr="007429EC">
        <w:rPr>
          <w:sz w:val="28"/>
          <w:szCs w:val="28"/>
        </w:rPr>
        <w:t>,</w:t>
      </w:r>
      <w:r w:rsidR="00FD1F73" w:rsidRPr="007429EC">
        <w:rPr>
          <w:sz w:val="28"/>
          <w:szCs w:val="28"/>
        </w:rPr>
        <w:t xml:space="preserve"> all of these were altered in material respects</w:t>
      </w:r>
      <w:r w:rsidR="00B10BE7" w:rsidRPr="007429EC">
        <w:rPr>
          <w:sz w:val="28"/>
          <w:szCs w:val="28"/>
        </w:rPr>
        <w:t xml:space="preserve"> after the award of the tender</w:t>
      </w:r>
      <w:r w:rsidR="00FD1F73" w:rsidRPr="007429EC">
        <w:rPr>
          <w:sz w:val="28"/>
          <w:szCs w:val="28"/>
        </w:rPr>
        <w:t>. This</w:t>
      </w:r>
      <w:r w:rsidR="00B10BE7" w:rsidRPr="007429EC">
        <w:rPr>
          <w:sz w:val="28"/>
          <w:szCs w:val="28"/>
        </w:rPr>
        <w:t xml:space="preserve"> material and extra-ordinary</w:t>
      </w:r>
      <w:r w:rsidR="00FD1F73" w:rsidRPr="007429EC">
        <w:rPr>
          <w:sz w:val="28"/>
          <w:szCs w:val="28"/>
        </w:rPr>
        <w:t xml:space="preserve"> deviation had the effect of relieving the Joint Venture of its financial obligations which thereafter became the sole responsibility of the Depa</w:t>
      </w:r>
      <w:r w:rsidR="00A435C9" w:rsidRPr="007429EC">
        <w:rPr>
          <w:sz w:val="28"/>
          <w:szCs w:val="28"/>
        </w:rPr>
        <w:t>rtment contrary to what the RFP</w:t>
      </w:r>
      <w:r w:rsidR="004B6D5A" w:rsidRPr="007429EC">
        <w:rPr>
          <w:sz w:val="28"/>
          <w:szCs w:val="28"/>
        </w:rPr>
        <w:t>s</w:t>
      </w:r>
      <w:r w:rsidR="00FD1F73" w:rsidRPr="007429EC">
        <w:rPr>
          <w:sz w:val="28"/>
          <w:szCs w:val="28"/>
        </w:rPr>
        <w:t xml:space="preserve"> had required. Consequently, </w:t>
      </w:r>
      <w:r w:rsidR="00216753" w:rsidRPr="007429EC">
        <w:rPr>
          <w:sz w:val="28"/>
          <w:szCs w:val="28"/>
        </w:rPr>
        <w:t>the requirements of a constitutionally fair, equitable, transparent, competitive and cost-effective procurement system were subverted in the most egregious manner.</w:t>
      </w:r>
    </w:p>
    <w:p w14:paraId="69761DDA" w14:textId="77777777" w:rsidR="00216753" w:rsidRPr="007429EC" w:rsidRDefault="00216753" w:rsidP="00B224C9">
      <w:pPr>
        <w:rPr>
          <w:sz w:val="28"/>
          <w:szCs w:val="28"/>
        </w:rPr>
      </w:pPr>
    </w:p>
    <w:p w14:paraId="6338A162" w14:textId="3CF2F54C" w:rsidR="00216753" w:rsidRPr="007429EC" w:rsidRDefault="00216753" w:rsidP="00B224C9">
      <w:pPr>
        <w:rPr>
          <w:sz w:val="28"/>
          <w:szCs w:val="28"/>
        </w:rPr>
      </w:pPr>
      <w:r w:rsidRPr="007429EC">
        <w:rPr>
          <w:sz w:val="28"/>
          <w:szCs w:val="28"/>
        </w:rPr>
        <w:t>[</w:t>
      </w:r>
      <w:r w:rsidR="00176B97" w:rsidRPr="007429EC">
        <w:rPr>
          <w:sz w:val="28"/>
          <w:szCs w:val="28"/>
        </w:rPr>
        <w:t>84</w:t>
      </w:r>
      <w:r w:rsidRPr="007429EC">
        <w:rPr>
          <w:sz w:val="28"/>
          <w:szCs w:val="28"/>
        </w:rPr>
        <w:t>]</w:t>
      </w:r>
      <w:r w:rsidRPr="007429EC">
        <w:rPr>
          <w:sz w:val="28"/>
          <w:szCs w:val="28"/>
        </w:rPr>
        <w:tab/>
      </w:r>
      <w:r w:rsidR="00790FB5" w:rsidRPr="007429EC">
        <w:rPr>
          <w:sz w:val="28"/>
          <w:szCs w:val="28"/>
        </w:rPr>
        <w:t xml:space="preserve">It bears emphasising that all of this occurred against the backdrop that the project in issue was massive and required substantial financial </w:t>
      </w:r>
      <w:r w:rsidR="0079245F" w:rsidRPr="007429EC">
        <w:rPr>
          <w:sz w:val="28"/>
          <w:szCs w:val="28"/>
        </w:rPr>
        <w:t xml:space="preserve">resources </w:t>
      </w:r>
      <w:r w:rsidR="00176B97" w:rsidRPr="007429EC">
        <w:rPr>
          <w:sz w:val="28"/>
          <w:szCs w:val="28"/>
        </w:rPr>
        <w:t>from</w:t>
      </w:r>
      <w:r w:rsidR="00790FB5" w:rsidRPr="007429EC">
        <w:rPr>
          <w:sz w:val="28"/>
          <w:szCs w:val="28"/>
        </w:rPr>
        <w:t xml:space="preserve"> the successful bidder. It is therefore unsurprising that ultimately</w:t>
      </w:r>
      <w:r w:rsidR="00176B97" w:rsidRPr="007429EC">
        <w:rPr>
          <w:sz w:val="28"/>
          <w:szCs w:val="28"/>
        </w:rPr>
        <w:t>,</w:t>
      </w:r>
      <w:r w:rsidR="00790FB5" w:rsidRPr="007429EC">
        <w:rPr>
          <w:sz w:val="28"/>
          <w:szCs w:val="28"/>
        </w:rPr>
        <w:t xml:space="preserve"> the RFP</w:t>
      </w:r>
      <w:r w:rsidR="004B6D5A" w:rsidRPr="007429EC">
        <w:rPr>
          <w:sz w:val="28"/>
          <w:szCs w:val="28"/>
        </w:rPr>
        <w:t>s</w:t>
      </w:r>
      <w:r w:rsidR="00790FB5" w:rsidRPr="007429EC">
        <w:rPr>
          <w:sz w:val="28"/>
          <w:szCs w:val="28"/>
        </w:rPr>
        <w:t xml:space="preserve"> caught the attention of only two bidders</w:t>
      </w:r>
      <w:r w:rsidR="00176B97" w:rsidRPr="007429EC">
        <w:rPr>
          <w:sz w:val="28"/>
          <w:szCs w:val="28"/>
        </w:rPr>
        <w:t>,</w:t>
      </w:r>
      <w:r w:rsidR="00790FB5" w:rsidRPr="007429EC">
        <w:rPr>
          <w:sz w:val="28"/>
          <w:szCs w:val="28"/>
        </w:rPr>
        <w:t xml:space="preserve"> one of which was disqualified at the outset for failing to m</w:t>
      </w:r>
      <w:r w:rsidR="00A435C9" w:rsidRPr="007429EC">
        <w:rPr>
          <w:sz w:val="28"/>
          <w:szCs w:val="28"/>
        </w:rPr>
        <w:t>eet the requirements of the RFP</w:t>
      </w:r>
      <w:r w:rsidR="004B6D5A" w:rsidRPr="007429EC">
        <w:rPr>
          <w:sz w:val="28"/>
          <w:szCs w:val="28"/>
        </w:rPr>
        <w:t>s</w:t>
      </w:r>
      <w:r w:rsidR="00790FB5" w:rsidRPr="007429EC">
        <w:rPr>
          <w:sz w:val="28"/>
          <w:szCs w:val="28"/>
        </w:rPr>
        <w:t xml:space="preserve">. </w:t>
      </w:r>
    </w:p>
    <w:p w14:paraId="7C431003" w14:textId="77777777" w:rsidR="00790FB5" w:rsidRPr="007429EC" w:rsidRDefault="00790FB5" w:rsidP="00B224C9">
      <w:pPr>
        <w:rPr>
          <w:sz w:val="28"/>
          <w:szCs w:val="28"/>
        </w:rPr>
      </w:pPr>
    </w:p>
    <w:p w14:paraId="33CA44CB" w14:textId="6470FDFA" w:rsidR="00790FB5" w:rsidRPr="007429EC" w:rsidRDefault="00790FB5" w:rsidP="00B224C9">
      <w:pPr>
        <w:rPr>
          <w:sz w:val="28"/>
          <w:szCs w:val="28"/>
        </w:rPr>
      </w:pPr>
      <w:r w:rsidRPr="007429EC">
        <w:rPr>
          <w:sz w:val="28"/>
          <w:szCs w:val="28"/>
        </w:rPr>
        <w:t>[</w:t>
      </w:r>
      <w:r w:rsidR="00176B97" w:rsidRPr="007429EC">
        <w:rPr>
          <w:sz w:val="28"/>
          <w:szCs w:val="28"/>
        </w:rPr>
        <w:t>85</w:t>
      </w:r>
      <w:r w:rsidRPr="007429EC">
        <w:rPr>
          <w:sz w:val="28"/>
          <w:szCs w:val="28"/>
        </w:rPr>
        <w:t>]</w:t>
      </w:r>
      <w:r w:rsidRPr="007429EC">
        <w:rPr>
          <w:sz w:val="28"/>
          <w:szCs w:val="28"/>
        </w:rPr>
        <w:tab/>
        <w:t xml:space="preserve">Whilst one must accept that the Department could have acted with more urgency than it did in unravelling the facts, </w:t>
      </w:r>
      <w:r w:rsidR="0079245F" w:rsidRPr="007429EC">
        <w:rPr>
          <w:sz w:val="28"/>
          <w:szCs w:val="28"/>
        </w:rPr>
        <w:t xml:space="preserve">given that it sought to review its own decision, </w:t>
      </w:r>
      <w:r w:rsidRPr="007429EC">
        <w:rPr>
          <w:sz w:val="28"/>
          <w:szCs w:val="28"/>
        </w:rPr>
        <w:t>sight should nevertheless not be lost of the fact that the bureaucratic machinery is notorious for moving slowly even though the exigencies of a particular case might require that matters be dealt with expeditiously. However, it must be emphasised that recognising this reality in no way seeks to excuse laxity. It is more to say that</w:t>
      </w:r>
      <w:r w:rsidR="00176B97" w:rsidRPr="007429EC">
        <w:rPr>
          <w:sz w:val="28"/>
          <w:szCs w:val="28"/>
        </w:rPr>
        <w:t>,</w:t>
      </w:r>
      <w:r w:rsidRPr="007429EC">
        <w:rPr>
          <w:sz w:val="28"/>
          <w:szCs w:val="28"/>
        </w:rPr>
        <w:t xml:space="preserve"> notwithstanding the constitutional dictates of a responsive and </w:t>
      </w:r>
      <w:r w:rsidRPr="007429EC">
        <w:rPr>
          <w:sz w:val="28"/>
          <w:szCs w:val="28"/>
        </w:rPr>
        <w:lastRenderedPageBreak/>
        <w:t>accountable public administration, the reality is that public administration in our country has over time been allowed to slid</w:t>
      </w:r>
      <w:r w:rsidR="00B1042B" w:rsidRPr="007429EC">
        <w:rPr>
          <w:sz w:val="28"/>
          <w:szCs w:val="28"/>
        </w:rPr>
        <w:t>e to a quagmire of inefficiency</w:t>
      </w:r>
      <w:r w:rsidRPr="007429EC">
        <w:rPr>
          <w:sz w:val="28"/>
          <w:szCs w:val="28"/>
        </w:rPr>
        <w:t xml:space="preserve">. This is a state of affairs that is antithetical to the values underpinning our constitutional order that the citizenry holds dear. </w:t>
      </w:r>
    </w:p>
    <w:p w14:paraId="66378548" w14:textId="77777777" w:rsidR="00790FB5" w:rsidRPr="007429EC" w:rsidRDefault="00790FB5" w:rsidP="00B224C9">
      <w:pPr>
        <w:rPr>
          <w:sz w:val="28"/>
          <w:szCs w:val="28"/>
        </w:rPr>
      </w:pPr>
    </w:p>
    <w:p w14:paraId="73FF300A" w14:textId="7F1BE159" w:rsidR="00790FB5" w:rsidRPr="007429EC" w:rsidRDefault="00790FB5" w:rsidP="00B224C9">
      <w:pPr>
        <w:rPr>
          <w:sz w:val="28"/>
          <w:szCs w:val="28"/>
        </w:rPr>
      </w:pPr>
      <w:r w:rsidRPr="007429EC">
        <w:rPr>
          <w:sz w:val="28"/>
          <w:szCs w:val="28"/>
        </w:rPr>
        <w:t>[</w:t>
      </w:r>
      <w:r w:rsidR="00B1042B" w:rsidRPr="007429EC">
        <w:rPr>
          <w:sz w:val="28"/>
          <w:szCs w:val="28"/>
        </w:rPr>
        <w:t>86</w:t>
      </w:r>
      <w:r w:rsidRPr="007429EC">
        <w:rPr>
          <w:sz w:val="28"/>
          <w:szCs w:val="28"/>
        </w:rPr>
        <w:t>]</w:t>
      </w:r>
      <w:r w:rsidRPr="007429EC">
        <w:rPr>
          <w:sz w:val="28"/>
          <w:szCs w:val="28"/>
        </w:rPr>
        <w:tab/>
      </w:r>
      <w:r w:rsidR="00E70187" w:rsidRPr="007429EC">
        <w:rPr>
          <w:sz w:val="28"/>
          <w:szCs w:val="28"/>
        </w:rPr>
        <w:t>In this case</w:t>
      </w:r>
      <w:r w:rsidR="00B1042B" w:rsidRPr="007429EC">
        <w:rPr>
          <w:sz w:val="28"/>
          <w:szCs w:val="28"/>
        </w:rPr>
        <w:t>,</w:t>
      </w:r>
      <w:r w:rsidR="00E70187" w:rsidRPr="007429EC">
        <w:rPr>
          <w:sz w:val="28"/>
          <w:szCs w:val="28"/>
        </w:rPr>
        <w:t xml:space="preserve"> the tender was awarded to the </w:t>
      </w:r>
      <w:r w:rsidR="00F65374" w:rsidRPr="007429EC">
        <w:rPr>
          <w:sz w:val="28"/>
          <w:szCs w:val="28"/>
        </w:rPr>
        <w:t>J</w:t>
      </w:r>
      <w:r w:rsidR="00E70187" w:rsidRPr="007429EC">
        <w:rPr>
          <w:sz w:val="28"/>
          <w:szCs w:val="28"/>
        </w:rPr>
        <w:t xml:space="preserve">oint Venture – which in effect was the only bidder after Lephuthing/Menzibali Construction had been disqualified at the evaluation stage – on 17 May 2016. Pursuant thereto, on 24 March 2017, the PPA was concluded. Thereafter, several steps, including applications made to </w:t>
      </w:r>
      <w:r w:rsidR="001A4AA9">
        <w:rPr>
          <w:sz w:val="28"/>
          <w:szCs w:val="28"/>
        </w:rPr>
        <w:t xml:space="preserve">the </w:t>
      </w:r>
      <w:r w:rsidR="00E70187" w:rsidRPr="007429EC">
        <w:rPr>
          <w:sz w:val="28"/>
          <w:szCs w:val="28"/>
        </w:rPr>
        <w:t>National Treasury for approval of TA I; TA II and TA III, ai</w:t>
      </w:r>
      <w:r w:rsidR="001C0505" w:rsidRPr="007429EC">
        <w:rPr>
          <w:sz w:val="28"/>
          <w:szCs w:val="28"/>
        </w:rPr>
        <w:t xml:space="preserve">med at implementing the project, </w:t>
      </w:r>
      <w:r w:rsidR="00E70187" w:rsidRPr="007429EC">
        <w:rPr>
          <w:sz w:val="28"/>
          <w:szCs w:val="28"/>
        </w:rPr>
        <w:t xml:space="preserve">were taken. </w:t>
      </w:r>
      <w:r w:rsidR="00981D9D" w:rsidRPr="007429EC">
        <w:rPr>
          <w:sz w:val="28"/>
          <w:szCs w:val="28"/>
        </w:rPr>
        <w:t xml:space="preserve">Although </w:t>
      </w:r>
      <w:r w:rsidR="001A4AA9">
        <w:rPr>
          <w:sz w:val="28"/>
          <w:szCs w:val="28"/>
        </w:rPr>
        <w:t xml:space="preserve">the </w:t>
      </w:r>
      <w:r w:rsidR="00981D9D" w:rsidRPr="007429EC">
        <w:rPr>
          <w:sz w:val="28"/>
          <w:szCs w:val="28"/>
        </w:rPr>
        <w:t>National Treasur</w:t>
      </w:r>
      <w:r w:rsidR="0079245F" w:rsidRPr="007429EC">
        <w:rPr>
          <w:sz w:val="28"/>
          <w:szCs w:val="28"/>
        </w:rPr>
        <w:t>y</w:t>
      </w:r>
      <w:r w:rsidR="00981D9D" w:rsidRPr="007429EC">
        <w:rPr>
          <w:sz w:val="28"/>
          <w:szCs w:val="28"/>
        </w:rPr>
        <w:t xml:space="preserve"> had been instrumental in some of the steps taken, it </w:t>
      </w:r>
      <w:r w:rsidR="0079245F" w:rsidRPr="007429EC">
        <w:rPr>
          <w:sz w:val="28"/>
          <w:szCs w:val="28"/>
        </w:rPr>
        <w:t xml:space="preserve">subsequently </w:t>
      </w:r>
      <w:r w:rsidR="00981D9D" w:rsidRPr="007429EC">
        <w:rPr>
          <w:sz w:val="28"/>
          <w:szCs w:val="28"/>
        </w:rPr>
        <w:t xml:space="preserve">began to question the propriety of the tender. This led to an exchange of correspondence between the Department and </w:t>
      </w:r>
      <w:r w:rsidR="001A4AA9">
        <w:rPr>
          <w:sz w:val="28"/>
          <w:szCs w:val="28"/>
        </w:rPr>
        <w:t xml:space="preserve">the </w:t>
      </w:r>
      <w:r w:rsidR="00981D9D" w:rsidRPr="007429EC">
        <w:rPr>
          <w:sz w:val="28"/>
          <w:szCs w:val="28"/>
        </w:rPr>
        <w:t>National Treasury over several months in which the latter raised questions about the legitimacy of the procurement process. Ultimately, on 18 May 2018</w:t>
      </w:r>
      <w:r w:rsidR="0079245F" w:rsidRPr="007429EC">
        <w:rPr>
          <w:sz w:val="28"/>
          <w:szCs w:val="28"/>
        </w:rPr>
        <w:t>,</w:t>
      </w:r>
      <w:r w:rsidR="00981D9D" w:rsidRPr="007429EC">
        <w:rPr>
          <w:sz w:val="28"/>
          <w:szCs w:val="28"/>
        </w:rPr>
        <w:t xml:space="preserve"> </w:t>
      </w:r>
      <w:r w:rsidR="001A4AA9">
        <w:rPr>
          <w:sz w:val="28"/>
          <w:szCs w:val="28"/>
        </w:rPr>
        <w:t xml:space="preserve">the </w:t>
      </w:r>
      <w:r w:rsidR="00981D9D" w:rsidRPr="007429EC">
        <w:rPr>
          <w:sz w:val="28"/>
          <w:szCs w:val="28"/>
        </w:rPr>
        <w:t>National Treasury advised the Department that it would not gran</w:t>
      </w:r>
      <w:r w:rsidR="00264A60" w:rsidRPr="007429EC">
        <w:rPr>
          <w:sz w:val="28"/>
          <w:szCs w:val="28"/>
        </w:rPr>
        <w:t>t the requisite TA III approval.</w:t>
      </w:r>
    </w:p>
    <w:p w14:paraId="17C2001E" w14:textId="77777777" w:rsidR="00264A60" w:rsidRPr="007429EC" w:rsidRDefault="00264A60" w:rsidP="00B224C9">
      <w:pPr>
        <w:rPr>
          <w:sz w:val="28"/>
          <w:szCs w:val="28"/>
        </w:rPr>
      </w:pPr>
    </w:p>
    <w:p w14:paraId="6214FC25" w14:textId="09CBA1BC" w:rsidR="00264A60" w:rsidRPr="007429EC" w:rsidRDefault="00264A60" w:rsidP="00B224C9">
      <w:pPr>
        <w:rPr>
          <w:sz w:val="28"/>
          <w:szCs w:val="28"/>
        </w:rPr>
      </w:pPr>
      <w:r w:rsidRPr="007429EC">
        <w:rPr>
          <w:sz w:val="28"/>
          <w:szCs w:val="28"/>
        </w:rPr>
        <w:t>[</w:t>
      </w:r>
      <w:r w:rsidR="00B1042B" w:rsidRPr="007429EC">
        <w:rPr>
          <w:sz w:val="28"/>
          <w:szCs w:val="28"/>
        </w:rPr>
        <w:t>87</w:t>
      </w:r>
      <w:r w:rsidRPr="007429EC">
        <w:rPr>
          <w:sz w:val="28"/>
          <w:szCs w:val="28"/>
        </w:rPr>
        <w:t>]</w:t>
      </w:r>
      <w:r w:rsidRPr="007429EC">
        <w:rPr>
          <w:sz w:val="28"/>
          <w:szCs w:val="28"/>
        </w:rPr>
        <w:tab/>
        <w:t xml:space="preserve">The review proceedings were then instituted on 10 October 2018. Thus, reckoned from the date of the award of the tender, ie. 17 May 2017, the legality review was instituted approximately 29 months thereafter. Although not entirely comparable to the facts of the present case in which corruption, collusion or fraud have been disavowed, in </w:t>
      </w:r>
      <w:r w:rsidRPr="007429EC">
        <w:rPr>
          <w:i/>
          <w:sz w:val="28"/>
          <w:szCs w:val="28"/>
        </w:rPr>
        <w:t>Swifambo</w:t>
      </w:r>
      <w:r w:rsidRPr="007429EC">
        <w:rPr>
          <w:sz w:val="28"/>
          <w:szCs w:val="28"/>
        </w:rPr>
        <w:t xml:space="preserve"> this Court condoned a delay extending over three years. </w:t>
      </w:r>
    </w:p>
    <w:p w14:paraId="7A5CD739" w14:textId="77777777" w:rsidR="00264A60" w:rsidRPr="007429EC" w:rsidRDefault="00264A60" w:rsidP="00B224C9">
      <w:pPr>
        <w:rPr>
          <w:sz w:val="28"/>
          <w:szCs w:val="28"/>
        </w:rPr>
      </w:pPr>
    </w:p>
    <w:p w14:paraId="29C89CB5" w14:textId="61C6D024" w:rsidR="00264A60" w:rsidRPr="007429EC" w:rsidRDefault="00264A60" w:rsidP="00B224C9">
      <w:pPr>
        <w:rPr>
          <w:sz w:val="28"/>
          <w:szCs w:val="28"/>
        </w:rPr>
      </w:pPr>
      <w:r w:rsidRPr="007429EC">
        <w:rPr>
          <w:sz w:val="28"/>
          <w:szCs w:val="28"/>
        </w:rPr>
        <w:lastRenderedPageBreak/>
        <w:t>[</w:t>
      </w:r>
      <w:r w:rsidR="00B1042B" w:rsidRPr="007429EC">
        <w:rPr>
          <w:sz w:val="28"/>
          <w:szCs w:val="28"/>
        </w:rPr>
        <w:t>88</w:t>
      </w:r>
      <w:r w:rsidRPr="007429EC">
        <w:rPr>
          <w:sz w:val="28"/>
          <w:szCs w:val="28"/>
        </w:rPr>
        <w:t>]</w:t>
      </w:r>
      <w:r w:rsidRPr="007429EC">
        <w:rPr>
          <w:sz w:val="28"/>
          <w:szCs w:val="28"/>
        </w:rPr>
        <w:tab/>
        <w:t xml:space="preserve">As already indicated above, in refusing to overlook the admitted delay in instituting the legality review, the high court exercised a narrow discretion. When exercising a narrow discretion a court must, in the words of Hefer JA in </w:t>
      </w:r>
      <w:r w:rsidR="00E62228" w:rsidRPr="007429EC">
        <w:rPr>
          <w:i/>
          <w:sz w:val="28"/>
          <w:szCs w:val="28"/>
        </w:rPr>
        <w:t>Shepstone &amp; Wylie and Others v Geyser NO</w:t>
      </w:r>
      <w:r w:rsidR="00E62228" w:rsidRPr="007429EC">
        <w:rPr>
          <w:sz w:val="28"/>
          <w:szCs w:val="28"/>
        </w:rPr>
        <w:t>,</w:t>
      </w:r>
      <w:r w:rsidR="00E62228" w:rsidRPr="007429EC">
        <w:rPr>
          <w:rStyle w:val="FootnoteReference"/>
          <w:sz w:val="28"/>
          <w:szCs w:val="28"/>
        </w:rPr>
        <w:footnoteReference w:id="75"/>
      </w:r>
      <w:r w:rsidR="00E62228" w:rsidRPr="007429EC">
        <w:rPr>
          <w:sz w:val="28"/>
          <w:szCs w:val="28"/>
        </w:rPr>
        <w:t xml:space="preserve"> </w:t>
      </w:r>
      <w:r w:rsidR="003B6577" w:rsidRPr="007429EC">
        <w:rPr>
          <w:sz w:val="28"/>
          <w:szCs w:val="28"/>
        </w:rPr>
        <w:t>'</w:t>
      </w:r>
      <w:r w:rsidR="00E62228" w:rsidRPr="007429EC">
        <w:rPr>
          <w:sz w:val="28"/>
          <w:szCs w:val="28"/>
        </w:rPr>
        <w:t xml:space="preserve">decide each case upon a consideration of all relevant </w:t>
      </w:r>
      <w:r w:rsidR="00E2065C" w:rsidRPr="007429EC">
        <w:rPr>
          <w:sz w:val="28"/>
          <w:szCs w:val="28"/>
        </w:rPr>
        <w:t>features</w:t>
      </w:r>
      <w:r w:rsidR="00E62228" w:rsidRPr="007429EC">
        <w:rPr>
          <w:sz w:val="28"/>
          <w:szCs w:val="28"/>
        </w:rPr>
        <w:t>, without adopting a predisposition in favour of or against</w:t>
      </w:r>
      <w:r w:rsidR="003B6577" w:rsidRPr="007429EC">
        <w:rPr>
          <w:sz w:val="28"/>
          <w:szCs w:val="28"/>
        </w:rPr>
        <w:t>'</w:t>
      </w:r>
      <w:r w:rsidR="00E62228" w:rsidRPr="007429EC">
        <w:rPr>
          <w:rStyle w:val="FootnoteReference"/>
          <w:sz w:val="28"/>
          <w:szCs w:val="28"/>
        </w:rPr>
        <w:footnoteReference w:id="76"/>
      </w:r>
      <w:r w:rsidR="00C274A6" w:rsidRPr="007429EC">
        <w:rPr>
          <w:sz w:val="28"/>
          <w:szCs w:val="28"/>
        </w:rPr>
        <w:t xml:space="preserve"> granting appropriate relief. </w:t>
      </w:r>
    </w:p>
    <w:p w14:paraId="07803A98" w14:textId="77777777" w:rsidR="00747747" w:rsidRPr="007429EC" w:rsidRDefault="00747747" w:rsidP="00B224C9">
      <w:pPr>
        <w:rPr>
          <w:sz w:val="28"/>
          <w:szCs w:val="28"/>
        </w:rPr>
      </w:pPr>
    </w:p>
    <w:p w14:paraId="5D5496BC" w14:textId="677667F3" w:rsidR="00747747" w:rsidRPr="007429EC" w:rsidRDefault="00747747" w:rsidP="00B224C9">
      <w:pPr>
        <w:rPr>
          <w:sz w:val="28"/>
          <w:szCs w:val="28"/>
        </w:rPr>
      </w:pPr>
      <w:r w:rsidRPr="007429EC">
        <w:rPr>
          <w:sz w:val="28"/>
          <w:szCs w:val="28"/>
        </w:rPr>
        <w:t>[</w:t>
      </w:r>
      <w:r w:rsidR="00E2065C" w:rsidRPr="007429EC">
        <w:rPr>
          <w:sz w:val="28"/>
          <w:szCs w:val="28"/>
        </w:rPr>
        <w:t>89</w:t>
      </w:r>
      <w:r w:rsidRPr="007429EC">
        <w:rPr>
          <w:sz w:val="28"/>
          <w:szCs w:val="28"/>
        </w:rPr>
        <w:t>]</w:t>
      </w:r>
      <w:r w:rsidRPr="007429EC">
        <w:rPr>
          <w:sz w:val="28"/>
          <w:szCs w:val="28"/>
        </w:rPr>
        <w:tab/>
        <w:t xml:space="preserve">Accordingly, the power of an appellate court to interfere with the exercise of such a discretion is </w:t>
      </w:r>
      <w:r w:rsidR="00661477" w:rsidRPr="007429EC">
        <w:rPr>
          <w:sz w:val="28"/>
          <w:szCs w:val="28"/>
        </w:rPr>
        <w:t>circumscribed. The ambit of this power was described by the Constitutional Court</w:t>
      </w:r>
      <w:r w:rsidR="00D9412C" w:rsidRPr="007429EC">
        <w:rPr>
          <w:sz w:val="28"/>
          <w:szCs w:val="28"/>
        </w:rPr>
        <w:t xml:space="preserve"> in </w:t>
      </w:r>
      <w:r w:rsidR="00D9412C" w:rsidRPr="007429EC">
        <w:rPr>
          <w:i/>
          <w:sz w:val="28"/>
          <w:szCs w:val="28"/>
        </w:rPr>
        <w:t>Biowatch Trust v Registrar Genetic Resources and Others</w:t>
      </w:r>
      <w:r w:rsidR="00D9412C" w:rsidRPr="007429EC">
        <w:rPr>
          <w:rStyle w:val="FootnoteReference"/>
          <w:sz w:val="28"/>
          <w:szCs w:val="28"/>
        </w:rPr>
        <w:footnoteReference w:id="77"/>
      </w:r>
      <w:r w:rsidR="00661477" w:rsidRPr="007429EC">
        <w:rPr>
          <w:sz w:val="28"/>
          <w:szCs w:val="28"/>
        </w:rPr>
        <w:t xml:space="preserve"> thus:</w:t>
      </w:r>
    </w:p>
    <w:p w14:paraId="0ED82A8E" w14:textId="509EFCDF" w:rsidR="00E2065C" w:rsidRPr="007429EC" w:rsidRDefault="003B6577" w:rsidP="00B224C9">
      <w:pPr>
        <w:rPr>
          <w:szCs w:val="28"/>
        </w:rPr>
      </w:pPr>
      <w:r w:rsidRPr="007429EC">
        <w:rPr>
          <w:szCs w:val="28"/>
        </w:rPr>
        <w:t>'</w:t>
      </w:r>
      <w:r w:rsidR="00E2065C" w:rsidRPr="007429EC">
        <w:rPr>
          <w:szCs w:val="28"/>
        </w:rPr>
        <w:t xml:space="preserve">   t</w:t>
      </w:r>
      <w:r w:rsidR="0070533A" w:rsidRPr="007429EC">
        <w:rPr>
          <w:szCs w:val="28"/>
        </w:rPr>
        <w:t xml:space="preserve">he ordinary rule is that the approach of an appellate court to an appeal against the exercise of a discretion by another court will depend upon the nature of the discretion concerned. </w:t>
      </w:r>
      <w:r w:rsidR="00E2065C" w:rsidRPr="007429EC">
        <w:rPr>
          <w:szCs w:val="28"/>
        </w:rPr>
        <w:t>Thus w</w:t>
      </w:r>
      <w:r w:rsidR="0070533A" w:rsidRPr="007429EC">
        <w:rPr>
          <w:szCs w:val="28"/>
        </w:rPr>
        <w:t xml:space="preserve">here the discretion contemplates that the Court may choose from a range of options, </w:t>
      </w:r>
      <w:r w:rsidR="00E2065C" w:rsidRPr="007429EC">
        <w:rPr>
          <w:szCs w:val="28"/>
        </w:rPr>
        <w:t>the discretion would be</w:t>
      </w:r>
      <w:r w:rsidR="0070533A" w:rsidRPr="007429EC">
        <w:rPr>
          <w:szCs w:val="28"/>
        </w:rPr>
        <w:t xml:space="preserve"> a discretion in the strict sense</w:t>
      </w:r>
      <w:r w:rsidR="00207808" w:rsidRPr="007429EC">
        <w:rPr>
          <w:szCs w:val="28"/>
        </w:rPr>
        <w:t xml:space="preserve"> </w:t>
      </w:r>
      <w:r w:rsidR="00E2065C" w:rsidRPr="007429EC">
        <w:rPr>
          <w:szCs w:val="28"/>
        </w:rPr>
        <w:t>..</w:t>
      </w:r>
      <w:r w:rsidR="0070533A" w:rsidRPr="007429EC">
        <w:rPr>
          <w:szCs w:val="28"/>
        </w:rPr>
        <w:t xml:space="preserve">. </w:t>
      </w:r>
    </w:p>
    <w:p w14:paraId="23B2EAA2" w14:textId="76B2023C" w:rsidR="008D039A" w:rsidRPr="007429EC" w:rsidRDefault="00E2065C" w:rsidP="00B224C9">
      <w:pPr>
        <w:rPr>
          <w:szCs w:val="28"/>
        </w:rPr>
      </w:pPr>
      <w:r w:rsidRPr="007429EC">
        <w:rPr>
          <w:szCs w:val="28"/>
        </w:rPr>
        <w:t>"[</w:t>
      </w:r>
      <w:r w:rsidR="0070533A" w:rsidRPr="007429EC">
        <w:rPr>
          <w:szCs w:val="28"/>
        </w:rPr>
        <w:t>T</w:t>
      </w:r>
      <w:r w:rsidRPr="007429EC">
        <w:rPr>
          <w:szCs w:val="28"/>
        </w:rPr>
        <w:t>]</w:t>
      </w:r>
      <w:r w:rsidR="0070533A" w:rsidRPr="007429EC">
        <w:rPr>
          <w:szCs w:val="28"/>
        </w:rPr>
        <w:t>he ordinary approach on appeal to the exercise of a discretion in the strict sense is that the appellate court will not consider whether the decision reached by the court at first instance was correct, but will only interfere in limited circumstances; for example, if it is shown that the discretion has not been exercised judicially or has been exercised based on a wrong appreciation of the facts or wrong principles of law. Even where the discretion is not a discretion in the strict sense, there may still be considerations which would result in an appellate court only interfering in the exercise of such a discretion in the limited circumstances mentioned above.</w:t>
      </w:r>
      <w:r w:rsidR="003B6577" w:rsidRPr="007429EC">
        <w:rPr>
          <w:szCs w:val="28"/>
        </w:rPr>
        <w:t>'</w:t>
      </w:r>
      <w:r w:rsidR="0008160F" w:rsidRPr="007429EC">
        <w:rPr>
          <w:rStyle w:val="FootnoteReference"/>
          <w:szCs w:val="28"/>
        </w:rPr>
        <w:footnoteReference w:id="78"/>
      </w:r>
    </w:p>
    <w:p w14:paraId="0A2752CC" w14:textId="260CB498" w:rsidR="0070533A" w:rsidRPr="007429EC" w:rsidRDefault="0070533A" w:rsidP="00B224C9">
      <w:pPr>
        <w:rPr>
          <w:sz w:val="28"/>
          <w:szCs w:val="28"/>
        </w:rPr>
      </w:pPr>
      <w:r w:rsidRPr="007429EC">
        <w:rPr>
          <w:sz w:val="28"/>
          <w:szCs w:val="28"/>
        </w:rPr>
        <w:lastRenderedPageBreak/>
        <w:t xml:space="preserve">The rationale for this principle is, as Cloete J aptly observed, that a narrow discretion </w:t>
      </w:r>
      <w:r w:rsidR="003B6577" w:rsidRPr="007429EC">
        <w:rPr>
          <w:sz w:val="28"/>
          <w:szCs w:val="28"/>
        </w:rPr>
        <w:t>'</w:t>
      </w:r>
      <w:r w:rsidRPr="007429EC">
        <w:rPr>
          <w:sz w:val="28"/>
          <w:szCs w:val="28"/>
        </w:rPr>
        <w:t>requires in essence the exercise of a value judgment and there may well be a legitimate difference of opinion as to the appropriate conclusion</w:t>
      </w:r>
      <w:r w:rsidR="00E2065C" w:rsidRPr="007429EC">
        <w:rPr>
          <w:sz w:val="28"/>
          <w:szCs w:val="28"/>
        </w:rPr>
        <w:t>"</w:t>
      </w:r>
      <w:r w:rsidRPr="007429EC">
        <w:rPr>
          <w:sz w:val="28"/>
          <w:szCs w:val="28"/>
        </w:rPr>
        <w:t>.</w:t>
      </w:r>
      <w:r w:rsidR="003B6577" w:rsidRPr="007429EC">
        <w:rPr>
          <w:sz w:val="28"/>
          <w:szCs w:val="28"/>
        </w:rPr>
        <w:t>'</w:t>
      </w:r>
      <w:r w:rsidRPr="007429EC">
        <w:rPr>
          <w:rStyle w:val="FootnoteReference"/>
          <w:sz w:val="28"/>
          <w:szCs w:val="28"/>
        </w:rPr>
        <w:footnoteReference w:id="79"/>
      </w:r>
    </w:p>
    <w:p w14:paraId="5B9FEE03" w14:textId="77777777" w:rsidR="00B90DB3" w:rsidRPr="007429EC" w:rsidRDefault="00B90DB3" w:rsidP="00B224C9">
      <w:pPr>
        <w:rPr>
          <w:sz w:val="28"/>
          <w:szCs w:val="28"/>
        </w:rPr>
      </w:pPr>
    </w:p>
    <w:p w14:paraId="217AC16F" w14:textId="4826A2C9" w:rsidR="00B90DB3" w:rsidRPr="007429EC" w:rsidRDefault="00B90DB3" w:rsidP="00B224C9">
      <w:pPr>
        <w:rPr>
          <w:sz w:val="28"/>
          <w:szCs w:val="28"/>
        </w:rPr>
      </w:pPr>
      <w:r w:rsidRPr="007429EC">
        <w:rPr>
          <w:sz w:val="28"/>
          <w:szCs w:val="28"/>
        </w:rPr>
        <w:t>[</w:t>
      </w:r>
      <w:r w:rsidR="00E2065C" w:rsidRPr="007429EC">
        <w:rPr>
          <w:sz w:val="28"/>
          <w:szCs w:val="28"/>
        </w:rPr>
        <w:t>90</w:t>
      </w:r>
      <w:r w:rsidRPr="007429EC">
        <w:rPr>
          <w:sz w:val="28"/>
          <w:szCs w:val="28"/>
        </w:rPr>
        <w:t>]</w:t>
      </w:r>
      <w:r w:rsidRPr="007429EC">
        <w:rPr>
          <w:sz w:val="28"/>
          <w:szCs w:val="28"/>
        </w:rPr>
        <w:tab/>
        <w:t xml:space="preserve">In </w:t>
      </w:r>
      <w:r w:rsidRPr="007429EC">
        <w:rPr>
          <w:i/>
          <w:sz w:val="28"/>
          <w:szCs w:val="28"/>
        </w:rPr>
        <w:t>Florence v Government of the Republic of South Africa</w:t>
      </w:r>
      <w:r w:rsidRPr="007429EC">
        <w:rPr>
          <w:rStyle w:val="FootnoteReference"/>
          <w:sz w:val="28"/>
          <w:szCs w:val="28"/>
        </w:rPr>
        <w:footnoteReference w:id="80"/>
      </w:r>
      <w:r w:rsidRPr="007429EC">
        <w:rPr>
          <w:sz w:val="28"/>
          <w:szCs w:val="28"/>
        </w:rPr>
        <w:t xml:space="preserve"> the </w:t>
      </w:r>
      <w:r w:rsidR="00F65374" w:rsidRPr="007429EC">
        <w:rPr>
          <w:sz w:val="28"/>
          <w:szCs w:val="28"/>
        </w:rPr>
        <w:t xml:space="preserve">Constitutional </w:t>
      </w:r>
      <w:r w:rsidRPr="007429EC">
        <w:rPr>
          <w:sz w:val="28"/>
          <w:szCs w:val="28"/>
        </w:rPr>
        <w:t>Court elaborated on this theme and said:</w:t>
      </w:r>
    </w:p>
    <w:p w14:paraId="7EB3A3C8" w14:textId="39B278FB" w:rsidR="00B90DB3" w:rsidRPr="007429EC" w:rsidRDefault="003B6577" w:rsidP="00B224C9">
      <w:pPr>
        <w:rPr>
          <w:szCs w:val="28"/>
        </w:rPr>
      </w:pPr>
      <w:r w:rsidRPr="007429EC">
        <w:rPr>
          <w:szCs w:val="28"/>
        </w:rPr>
        <w:t>'</w:t>
      </w:r>
      <w:r w:rsidR="00B90DB3" w:rsidRPr="007429EC">
        <w:rPr>
          <w:szCs w:val="28"/>
        </w:rPr>
        <w:t>Where a court is granted wide decision-making powers with a number of options or variables, an appellate court may not interfere unless it is clear that the choice the court has preferred is at odds with the law. If the impugned decision lies within a range of permissible decisions, an appeal court may not interfere only because it favours a different option within the range. This principle of appellate restraint preserves judicial comity. It fosters certainty in the application of the law and favours finality in judicial decision-making.</w:t>
      </w:r>
      <w:r w:rsidRPr="007429EC">
        <w:rPr>
          <w:szCs w:val="28"/>
        </w:rPr>
        <w:t>'</w:t>
      </w:r>
      <w:r w:rsidR="00B90DB3" w:rsidRPr="007429EC">
        <w:rPr>
          <w:rStyle w:val="FootnoteReference"/>
          <w:szCs w:val="28"/>
        </w:rPr>
        <w:footnoteReference w:id="81"/>
      </w:r>
    </w:p>
    <w:p w14:paraId="08B4E9FF" w14:textId="77777777" w:rsidR="0070533A" w:rsidRPr="007429EC" w:rsidRDefault="0070533A" w:rsidP="00B224C9">
      <w:pPr>
        <w:rPr>
          <w:sz w:val="28"/>
          <w:szCs w:val="28"/>
        </w:rPr>
      </w:pPr>
    </w:p>
    <w:p w14:paraId="0A6D9A02" w14:textId="602495F6" w:rsidR="00B90DB3" w:rsidRPr="007429EC" w:rsidRDefault="00B90DB3" w:rsidP="00B224C9">
      <w:pPr>
        <w:rPr>
          <w:sz w:val="28"/>
          <w:szCs w:val="28"/>
        </w:rPr>
      </w:pPr>
      <w:r w:rsidRPr="007429EC">
        <w:rPr>
          <w:sz w:val="28"/>
          <w:szCs w:val="28"/>
        </w:rPr>
        <w:t>[</w:t>
      </w:r>
      <w:r w:rsidR="00250275" w:rsidRPr="007429EC">
        <w:rPr>
          <w:sz w:val="28"/>
          <w:szCs w:val="28"/>
        </w:rPr>
        <w:t>91</w:t>
      </w:r>
      <w:r w:rsidRPr="007429EC">
        <w:rPr>
          <w:sz w:val="28"/>
          <w:szCs w:val="28"/>
        </w:rPr>
        <w:t>]</w:t>
      </w:r>
      <w:r w:rsidRPr="007429EC">
        <w:rPr>
          <w:sz w:val="28"/>
          <w:szCs w:val="28"/>
        </w:rPr>
        <w:tab/>
        <w:t>Therefore, for interference by this Court with the exercise by the high court of its discretion not to overlook the delay in this case to be warranted, it must be satisfied, for example, that the high court</w:t>
      </w:r>
      <w:r w:rsidR="003B6577" w:rsidRPr="007429EC">
        <w:rPr>
          <w:sz w:val="28"/>
          <w:szCs w:val="28"/>
        </w:rPr>
        <w:t>'</w:t>
      </w:r>
      <w:r w:rsidRPr="007429EC">
        <w:rPr>
          <w:sz w:val="28"/>
          <w:szCs w:val="28"/>
        </w:rPr>
        <w:t xml:space="preserve">s discretion has not been exercised judicially or has been exercised based on </w:t>
      </w:r>
      <w:r w:rsidR="007E3271">
        <w:rPr>
          <w:sz w:val="28"/>
          <w:szCs w:val="28"/>
        </w:rPr>
        <w:t xml:space="preserve">a </w:t>
      </w:r>
      <w:r w:rsidRPr="007429EC">
        <w:rPr>
          <w:sz w:val="28"/>
          <w:szCs w:val="28"/>
        </w:rPr>
        <w:t xml:space="preserve">wrong appreciation of the facts or wrong principles of law. </w:t>
      </w:r>
      <w:r w:rsidR="00250275" w:rsidRPr="007429EC">
        <w:rPr>
          <w:sz w:val="28"/>
          <w:szCs w:val="28"/>
        </w:rPr>
        <w:t xml:space="preserve">Moreover, </w:t>
      </w:r>
      <w:r w:rsidR="00121B45" w:rsidRPr="007429EC">
        <w:rPr>
          <w:sz w:val="28"/>
          <w:szCs w:val="28"/>
        </w:rPr>
        <w:t xml:space="preserve">as the Constitutional Court emphasised in </w:t>
      </w:r>
      <w:r w:rsidR="006D2385" w:rsidRPr="007429EC">
        <w:rPr>
          <w:i/>
          <w:sz w:val="28"/>
          <w:szCs w:val="28"/>
        </w:rPr>
        <w:t>Giddey NO v JC Barnard and Partners</w:t>
      </w:r>
      <w:r w:rsidR="00250275" w:rsidRPr="007429EC">
        <w:rPr>
          <w:sz w:val="28"/>
          <w:szCs w:val="28"/>
        </w:rPr>
        <w:t>,</w:t>
      </w:r>
      <w:r w:rsidR="00121B45" w:rsidRPr="007429EC">
        <w:rPr>
          <w:rStyle w:val="FootnoteReference"/>
          <w:sz w:val="28"/>
          <w:szCs w:val="28"/>
        </w:rPr>
        <w:footnoteReference w:id="82"/>
      </w:r>
      <w:r w:rsidR="00121B45" w:rsidRPr="007429EC">
        <w:rPr>
          <w:sz w:val="28"/>
          <w:szCs w:val="28"/>
        </w:rPr>
        <w:t xml:space="preserve"> </w:t>
      </w:r>
      <w:r w:rsidR="00060D9C" w:rsidRPr="007429EC">
        <w:rPr>
          <w:sz w:val="28"/>
          <w:szCs w:val="28"/>
        </w:rPr>
        <w:t xml:space="preserve">that </w:t>
      </w:r>
      <w:r w:rsidR="003B6577" w:rsidRPr="007429EC">
        <w:rPr>
          <w:sz w:val="28"/>
          <w:szCs w:val="28"/>
        </w:rPr>
        <w:t>'</w:t>
      </w:r>
      <w:r w:rsidR="00121B45" w:rsidRPr="007429EC">
        <w:rPr>
          <w:sz w:val="28"/>
          <w:szCs w:val="28"/>
        </w:rPr>
        <w:t>[I]f the court [of first instance] takes into account irrelevant considerations, or bases the exercise of its discretion on wrong principles, its judgment may be overturned on appeal</w:t>
      </w:r>
      <w:r w:rsidR="003B6577" w:rsidRPr="007429EC">
        <w:rPr>
          <w:sz w:val="28"/>
          <w:szCs w:val="28"/>
        </w:rPr>
        <w:t>'</w:t>
      </w:r>
      <w:r w:rsidR="00121B45" w:rsidRPr="007429EC">
        <w:rPr>
          <w:sz w:val="28"/>
          <w:szCs w:val="28"/>
        </w:rPr>
        <w:t>.</w:t>
      </w:r>
      <w:r w:rsidR="00121B45" w:rsidRPr="007429EC">
        <w:rPr>
          <w:rStyle w:val="FootnoteReference"/>
          <w:sz w:val="28"/>
          <w:szCs w:val="28"/>
        </w:rPr>
        <w:footnoteReference w:id="83"/>
      </w:r>
      <w:r w:rsidR="00387C05" w:rsidRPr="007429EC">
        <w:rPr>
          <w:sz w:val="28"/>
          <w:szCs w:val="28"/>
        </w:rPr>
        <w:t xml:space="preserve"> It is thus to that topic that I now turn.</w:t>
      </w:r>
    </w:p>
    <w:p w14:paraId="1F8183A7" w14:textId="77777777" w:rsidR="0070533A" w:rsidRPr="007429EC" w:rsidRDefault="0070533A" w:rsidP="00B224C9">
      <w:pPr>
        <w:rPr>
          <w:sz w:val="28"/>
          <w:szCs w:val="28"/>
        </w:rPr>
      </w:pPr>
    </w:p>
    <w:p w14:paraId="4B7371C2" w14:textId="1F235A70" w:rsidR="00910129" w:rsidRPr="007429EC" w:rsidRDefault="00387C05" w:rsidP="00B224C9">
      <w:pPr>
        <w:rPr>
          <w:sz w:val="28"/>
          <w:szCs w:val="28"/>
        </w:rPr>
      </w:pPr>
      <w:r w:rsidRPr="007429EC">
        <w:rPr>
          <w:sz w:val="28"/>
          <w:szCs w:val="28"/>
        </w:rPr>
        <w:lastRenderedPageBreak/>
        <w:t>[</w:t>
      </w:r>
      <w:r w:rsidR="00060D9C" w:rsidRPr="007429EC">
        <w:rPr>
          <w:sz w:val="28"/>
          <w:szCs w:val="28"/>
        </w:rPr>
        <w:t>92</w:t>
      </w:r>
      <w:r w:rsidRPr="007429EC">
        <w:rPr>
          <w:sz w:val="28"/>
          <w:szCs w:val="28"/>
        </w:rPr>
        <w:t>]</w:t>
      </w:r>
      <w:r w:rsidRPr="007429EC">
        <w:rPr>
          <w:sz w:val="28"/>
          <w:szCs w:val="28"/>
        </w:rPr>
        <w:tab/>
      </w:r>
      <w:r w:rsidR="006D2385" w:rsidRPr="007429EC">
        <w:rPr>
          <w:sz w:val="28"/>
          <w:szCs w:val="28"/>
        </w:rPr>
        <w:t xml:space="preserve">Bearing in mind the legal principles discussed in paragraphs </w:t>
      </w:r>
      <w:r w:rsidR="00F150D3" w:rsidRPr="007429EC">
        <w:rPr>
          <w:sz w:val="28"/>
          <w:szCs w:val="28"/>
        </w:rPr>
        <w:t>65</w:t>
      </w:r>
      <w:r w:rsidR="006D2385" w:rsidRPr="007429EC">
        <w:rPr>
          <w:sz w:val="28"/>
          <w:szCs w:val="28"/>
        </w:rPr>
        <w:t xml:space="preserve"> – </w:t>
      </w:r>
      <w:r w:rsidR="000021B6" w:rsidRPr="007429EC">
        <w:rPr>
          <w:sz w:val="28"/>
          <w:szCs w:val="28"/>
        </w:rPr>
        <w:t>7</w:t>
      </w:r>
      <w:r w:rsidR="00F150D3" w:rsidRPr="007429EC">
        <w:rPr>
          <w:sz w:val="28"/>
          <w:szCs w:val="28"/>
        </w:rPr>
        <w:t>0</w:t>
      </w:r>
      <w:r w:rsidR="006D2385" w:rsidRPr="007429EC">
        <w:rPr>
          <w:sz w:val="28"/>
          <w:szCs w:val="28"/>
        </w:rPr>
        <w:t xml:space="preserve"> above in regard to the proper approach when a court considers whether an unreasonable delay should nevertheless be overlooked, I proceed to deal with the question whether in this instance the high court exercised its discretion judicially when it refused to overlook the delay. </w:t>
      </w:r>
      <w:r w:rsidRPr="007429EC">
        <w:rPr>
          <w:sz w:val="28"/>
          <w:szCs w:val="28"/>
        </w:rPr>
        <w:t xml:space="preserve">For reasons that will become apparent below, it is my judgment that in the context of the facts of this case the high court failed to exercise its discretion judicially. Put differently, it exercised its discretion based on </w:t>
      </w:r>
      <w:r w:rsidR="006D2385" w:rsidRPr="007429EC">
        <w:rPr>
          <w:sz w:val="28"/>
          <w:szCs w:val="28"/>
        </w:rPr>
        <w:t xml:space="preserve">a </w:t>
      </w:r>
      <w:r w:rsidRPr="007429EC">
        <w:rPr>
          <w:sz w:val="28"/>
          <w:szCs w:val="28"/>
        </w:rPr>
        <w:t xml:space="preserve">wrong appreciation of the true facts or wrong principles of law. In </w:t>
      </w:r>
      <w:r w:rsidR="00F124F5" w:rsidRPr="007429EC">
        <w:rPr>
          <w:i/>
          <w:sz w:val="28"/>
          <w:szCs w:val="28"/>
        </w:rPr>
        <w:t>Asla</w:t>
      </w:r>
      <w:r w:rsidR="00F150D3" w:rsidRPr="007429EC">
        <w:rPr>
          <w:sz w:val="28"/>
          <w:szCs w:val="28"/>
        </w:rPr>
        <w:t>,</w:t>
      </w:r>
      <w:r w:rsidR="00F124F5" w:rsidRPr="007429EC">
        <w:rPr>
          <w:sz w:val="28"/>
          <w:szCs w:val="28"/>
        </w:rPr>
        <w:t xml:space="preserve"> the Constitutional Court </w:t>
      </w:r>
      <w:r w:rsidR="00910129" w:rsidRPr="007429EC">
        <w:rPr>
          <w:sz w:val="28"/>
          <w:szCs w:val="28"/>
        </w:rPr>
        <w:t xml:space="preserve">explained that </w:t>
      </w:r>
      <w:r w:rsidR="003B6577" w:rsidRPr="007429EC">
        <w:rPr>
          <w:sz w:val="28"/>
          <w:szCs w:val="28"/>
        </w:rPr>
        <w:t>'</w:t>
      </w:r>
      <w:r w:rsidR="00910129" w:rsidRPr="007429EC">
        <w:rPr>
          <w:sz w:val="28"/>
          <w:szCs w:val="28"/>
        </w:rPr>
        <w:t>[I]n both assessments the proverbial clock starts running from the date that the applicant became aware or reasonably ought to have become aware of the action taken</w:t>
      </w:r>
      <w:r w:rsidR="003B6577" w:rsidRPr="007429EC">
        <w:rPr>
          <w:sz w:val="28"/>
          <w:szCs w:val="28"/>
        </w:rPr>
        <w:t>'</w:t>
      </w:r>
      <w:r w:rsidR="00910129" w:rsidRPr="007429EC">
        <w:rPr>
          <w:sz w:val="28"/>
          <w:szCs w:val="28"/>
        </w:rPr>
        <w:t>.</w:t>
      </w:r>
      <w:r w:rsidR="00910129" w:rsidRPr="007429EC">
        <w:rPr>
          <w:rStyle w:val="FootnoteReference"/>
          <w:sz w:val="28"/>
          <w:szCs w:val="28"/>
        </w:rPr>
        <w:footnoteReference w:id="84"/>
      </w:r>
      <w:r w:rsidR="00642B98" w:rsidRPr="007429EC">
        <w:rPr>
          <w:sz w:val="28"/>
          <w:szCs w:val="28"/>
        </w:rPr>
        <w:t xml:space="preserve"> The</w:t>
      </w:r>
      <w:r w:rsidR="00DF3FB4" w:rsidRPr="007429EC">
        <w:rPr>
          <w:sz w:val="28"/>
          <w:szCs w:val="28"/>
        </w:rPr>
        <w:t xml:space="preserve"> Constitutional</w:t>
      </w:r>
      <w:r w:rsidR="00642B98" w:rsidRPr="007429EC">
        <w:rPr>
          <w:sz w:val="28"/>
          <w:szCs w:val="28"/>
        </w:rPr>
        <w:t xml:space="preserve"> Court then continued:</w:t>
      </w:r>
    </w:p>
    <w:p w14:paraId="159E2C28" w14:textId="3980EF6C" w:rsidR="00642B98" w:rsidRPr="007429EC" w:rsidRDefault="003B6577" w:rsidP="00B224C9">
      <w:pPr>
        <w:rPr>
          <w:szCs w:val="28"/>
        </w:rPr>
      </w:pPr>
      <w:r w:rsidRPr="007429EC">
        <w:rPr>
          <w:szCs w:val="28"/>
        </w:rPr>
        <w:t>'</w:t>
      </w:r>
      <w:r w:rsidR="00642B98" w:rsidRPr="007429EC">
        <w:rPr>
          <w:szCs w:val="28"/>
        </w:rPr>
        <w:t>The approach to undue delay within the context of a legality challenge necessarily involves the exercise of a broader discretion than that traditionally applied to section 7 of PAJA. The 180-day bar in PAJA does not play a pronounced r</w:t>
      </w:r>
      <w:r w:rsidR="002C5827">
        <w:rPr>
          <w:szCs w:val="28"/>
        </w:rPr>
        <w:t>ole in the context of legality.</w:t>
      </w:r>
      <w:r w:rsidR="00642B98" w:rsidRPr="007429EC">
        <w:rPr>
          <w:szCs w:val="28"/>
        </w:rPr>
        <w:t xml:space="preserve"> Rather, the question is first one of reasonableness, and then (if the delay is found to be unreasonable) whether the interests of justice require an overlooking of that unreasonable delay.</w:t>
      </w:r>
      <w:r w:rsidRPr="007429EC">
        <w:rPr>
          <w:szCs w:val="28"/>
        </w:rPr>
        <w:t>'</w:t>
      </w:r>
      <w:r w:rsidR="00642B98" w:rsidRPr="007429EC">
        <w:rPr>
          <w:rStyle w:val="FootnoteReference"/>
          <w:szCs w:val="28"/>
        </w:rPr>
        <w:footnoteReference w:id="85"/>
      </w:r>
    </w:p>
    <w:p w14:paraId="28C40A60" w14:textId="77777777" w:rsidR="0070533A" w:rsidRPr="007429EC" w:rsidRDefault="0070533A" w:rsidP="00B224C9">
      <w:pPr>
        <w:rPr>
          <w:sz w:val="28"/>
          <w:szCs w:val="28"/>
        </w:rPr>
      </w:pPr>
    </w:p>
    <w:p w14:paraId="2FB3E065" w14:textId="03A79DA6" w:rsidR="00642B98" w:rsidRPr="007429EC" w:rsidRDefault="00642B98" w:rsidP="00B224C9">
      <w:pPr>
        <w:rPr>
          <w:sz w:val="28"/>
          <w:szCs w:val="28"/>
        </w:rPr>
      </w:pPr>
      <w:r w:rsidRPr="007429EC">
        <w:rPr>
          <w:sz w:val="28"/>
          <w:szCs w:val="28"/>
        </w:rPr>
        <w:t>[</w:t>
      </w:r>
      <w:r w:rsidR="000354D9" w:rsidRPr="007429EC">
        <w:rPr>
          <w:sz w:val="28"/>
          <w:szCs w:val="28"/>
        </w:rPr>
        <w:t>93</w:t>
      </w:r>
      <w:r w:rsidRPr="007429EC">
        <w:rPr>
          <w:sz w:val="28"/>
          <w:szCs w:val="28"/>
        </w:rPr>
        <w:t>]</w:t>
      </w:r>
      <w:r w:rsidRPr="007429EC">
        <w:rPr>
          <w:sz w:val="28"/>
          <w:szCs w:val="28"/>
        </w:rPr>
        <w:tab/>
        <w:t xml:space="preserve">I pause here to observe that the principle that one can extract from the passage quoted </w:t>
      </w:r>
      <w:r w:rsidR="006D2385" w:rsidRPr="007429EC">
        <w:rPr>
          <w:sz w:val="28"/>
          <w:szCs w:val="28"/>
        </w:rPr>
        <w:t xml:space="preserve">in the preceding paragraph </w:t>
      </w:r>
      <w:r w:rsidRPr="007429EC">
        <w:rPr>
          <w:sz w:val="28"/>
          <w:szCs w:val="28"/>
        </w:rPr>
        <w:t xml:space="preserve">is that where the delay is found not to be unreasonable that would in itself strongly </w:t>
      </w:r>
      <w:r w:rsidR="006D2385" w:rsidRPr="007429EC">
        <w:rPr>
          <w:sz w:val="28"/>
          <w:szCs w:val="28"/>
        </w:rPr>
        <w:t xml:space="preserve">militate </w:t>
      </w:r>
      <w:r w:rsidRPr="007429EC">
        <w:rPr>
          <w:sz w:val="28"/>
          <w:szCs w:val="28"/>
        </w:rPr>
        <w:t xml:space="preserve">in favour of overlooking the delay </w:t>
      </w:r>
      <w:r w:rsidR="000354D9" w:rsidRPr="007429EC">
        <w:rPr>
          <w:sz w:val="28"/>
          <w:szCs w:val="28"/>
        </w:rPr>
        <w:t>a</w:t>
      </w:r>
      <w:r w:rsidRPr="007429EC">
        <w:rPr>
          <w:sz w:val="28"/>
          <w:szCs w:val="28"/>
        </w:rPr>
        <w:t>nd thus</w:t>
      </w:r>
      <w:r w:rsidR="006D2385" w:rsidRPr="007429EC">
        <w:rPr>
          <w:sz w:val="28"/>
          <w:szCs w:val="28"/>
        </w:rPr>
        <w:t>,</w:t>
      </w:r>
      <w:r w:rsidRPr="007429EC">
        <w:rPr>
          <w:sz w:val="28"/>
          <w:szCs w:val="28"/>
        </w:rPr>
        <w:t xml:space="preserve"> paving the way for the court to enter into the substantive merits of the review. Indeed, this is what the minority judgment in </w:t>
      </w:r>
      <w:r w:rsidRPr="007429EC">
        <w:rPr>
          <w:i/>
          <w:sz w:val="28"/>
          <w:szCs w:val="28"/>
        </w:rPr>
        <w:t>Asla</w:t>
      </w:r>
      <w:r w:rsidRPr="007429EC">
        <w:rPr>
          <w:sz w:val="28"/>
          <w:szCs w:val="28"/>
        </w:rPr>
        <w:t xml:space="preserve"> recognised in instances where there was no delay</w:t>
      </w:r>
      <w:r w:rsidR="006D2385" w:rsidRPr="007429EC">
        <w:rPr>
          <w:sz w:val="28"/>
          <w:szCs w:val="28"/>
        </w:rPr>
        <w:t>, noting that in that event</w:t>
      </w:r>
      <w:r w:rsidRPr="007429EC">
        <w:rPr>
          <w:sz w:val="28"/>
          <w:szCs w:val="28"/>
        </w:rPr>
        <w:t xml:space="preserve"> a declaration of unlawfulness should invariably follow describing this as a default position that accorded with the principle of legality. </w:t>
      </w:r>
      <w:r w:rsidRPr="007429EC">
        <w:rPr>
          <w:rStyle w:val="FootnoteReference"/>
          <w:sz w:val="28"/>
          <w:szCs w:val="28"/>
        </w:rPr>
        <w:footnoteReference w:id="86"/>
      </w:r>
    </w:p>
    <w:p w14:paraId="753ED567" w14:textId="72D1EF40" w:rsidR="00642B98" w:rsidRPr="007429EC" w:rsidRDefault="00642B98" w:rsidP="00B224C9">
      <w:pPr>
        <w:rPr>
          <w:sz w:val="28"/>
          <w:szCs w:val="28"/>
        </w:rPr>
      </w:pPr>
      <w:r w:rsidRPr="007429EC">
        <w:rPr>
          <w:sz w:val="28"/>
          <w:szCs w:val="28"/>
        </w:rPr>
        <w:lastRenderedPageBreak/>
        <w:t>[</w:t>
      </w:r>
      <w:r w:rsidR="000354D9" w:rsidRPr="007429EC">
        <w:rPr>
          <w:sz w:val="28"/>
          <w:szCs w:val="28"/>
        </w:rPr>
        <w:t>94</w:t>
      </w:r>
      <w:r w:rsidRPr="007429EC">
        <w:rPr>
          <w:sz w:val="28"/>
          <w:szCs w:val="28"/>
        </w:rPr>
        <w:t>]</w:t>
      </w:r>
      <w:r w:rsidRPr="007429EC">
        <w:rPr>
          <w:sz w:val="28"/>
          <w:szCs w:val="28"/>
        </w:rPr>
        <w:tab/>
        <w:t xml:space="preserve">Even in circumstances where the delay is found to be unreasonable, the Constitutional Court tells us in </w:t>
      </w:r>
      <w:r w:rsidRPr="007429EC">
        <w:rPr>
          <w:i/>
          <w:sz w:val="28"/>
          <w:szCs w:val="28"/>
        </w:rPr>
        <w:t>Asla</w:t>
      </w:r>
      <w:r w:rsidRPr="007429EC">
        <w:rPr>
          <w:sz w:val="28"/>
          <w:szCs w:val="28"/>
        </w:rPr>
        <w:t xml:space="preserve"> that a court will still be required to determine whether such a delay should</w:t>
      </w:r>
      <w:r w:rsidR="00F6543B" w:rsidRPr="007429EC">
        <w:rPr>
          <w:sz w:val="28"/>
          <w:szCs w:val="28"/>
        </w:rPr>
        <w:t xml:space="preserve"> nevertheless</w:t>
      </w:r>
      <w:r w:rsidRPr="007429EC">
        <w:rPr>
          <w:sz w:val="28"/>
          <w:szCs w:val="28"/>
        </w:rPr>
        <w:t xml:space="preserve"> be overlooked. This is what the Court said:</w:t>
      </w:r>
    </w:p>
    <w:p w14:paraId="59A9CA62" w14:textId="2EF7374C" w:rsidR="00BF54A4" w:rsidRPr="007429EC" w:rsidRDefault="003B6577" w:rsidP="00B224C9">
      <w:pPr>
        <w:rPr>
          <w:szCs w:val="28"/>
        </w:rPr>
      </w:pPr>
      <w:r w:rsidRPr="007429EC">
        <w:rPr>
          <w:szCs w:val="28"/>
        </w:rPr>
        <w:t>'</w:t>
      </w:r>
      <w:r w:rsidR="00BF54A4" w:rsidRPr="007429EC">
        <w:rPr>
          <w:szCs w:val="28"/>
        </w:rPr>
        <w:t>Courts have the power in a legality review to refuse an application where there is an undue delay in initiating proceedings or discretion to overlook the delay. There must however be a basis for a court to exercise its discretion to overlook the delay. That basis must be gleaned from the facts made available or objectively available factors.</w:t>
      </w:r>
      <w:r w:rsidRPr="007429EC">
        <w:rPr>
          <w:szCs w:val="28"/>
        </w:rPr>
        <w:t>'</w:t>
      </w:r>
      <w:r w:rsidR="000354D9" w:rsidRPr="007429EC">
        <w:rPr>
          <w:rStyle w:val="FootnoteReference"/>
          <w:sz w:val="28"/>
          <w:szCs w:val="28"/>
        </w:rPr>
        <w:footnoteReference w:id="87"/>
      </w:r>
      <w:r w:rsidR="000354D9" w:rsidRPr="007429EC">
        <w:rPr>
          <w:szCs w:val="28"/>
        </w:rPr>
        <w:t xml:space="preserve"> </w:t>
      </w:r>
      <w:r w:rsidR="00BF54A4" w:rsidRPr="007429EC">
        <w:rPr>
          <w:szCs w:val="28"/>
        </w:rPr>
        <w:t>(Footnotes omitted.)</w:t>
      </w:r>
    </w:p>
    <w:p w14:paraId="1F77455A" w14:textId="2B7B4674" w:rsidR="00BF54A4" w:rsidRPr="007429EC" w:rsidRDefault="00BF54A4" w:rsidP="00B224C9">
      <w:pPr>
        <w:rPr>
          <w:sz w:val="28"/>
          <w:szCs w:val="28"/>
        </w:rPr>
      </w:pPr>
      <w:r w:rsidRPr="007429EC">
        <w:rPr>
          <w:sz w:val="28"/>
          <w:szCs w:val="28"/>
        </w:rPr>
        <w:t>The Constitutional Court then continued:</w:t>
      </w:r>
    </w:p>
    <w:p w14:paraId="334AA017" w14:textId="5F9FA25E" w:rsidR="00BF54A4" w:rsidRPr="007429EC" w:rsidRDefault="003B6577" w:rsidP="00B224C9">
      <w:pPr>
        <w:rPr>
          <w:szCs w:val="28"/>
        </w:rPr>
      </w:pPr>
      <w:r w:rsidRPr="007429EC">
        <w:rPr>
          <w:szCs w:val="28"/>
        </w:rPr>
        <w:t>'</w:t>
      </w:r>
      <w:r w:rsidR="00253631" w:rsidRPr="007429EC">
        <w:rPr>
          <w:szCs w:val="28"/>
        </w:rPr>
        <w:t xml:space="preserve">The approach to overlooking a delay in a legality review is flexible. In </w:t>
      </w:r>
      <w:r w:rsidR="00253631" w:rsidRPr="007429EC">
        <w:rPr>
          <w:i/>
          <w:szCs w:val="28"/>
        </w:rPr>
        <w:t>Tasima I</w:t>
      </w:r>
      <w:r w:rsidR="00253631" w:rsidRPr="007429EC">
        <w:rPr>
          <w:szCs w:val="28"/>
        </w:rPr>
        <w:t xml:space="preserve">, Khampepe J made reference to the "factual, multi-factor, context-sensitive framework" expounded in </w:t>
      </w:r>
      <w:r w:rsidR="00253631" w:rsidRPr="007429EC">
        <w:rPr>
          <w:i/>
          <w:szCs w:val="28"/>
        </w:rPr>
        <w:t>Khumalo</w:t>
      </w:r>
      <w:r w:rsidR="00253631" w:rsidRPr="007429EC">
        <w:rPr>
          <w:szCs w:val="28"/>
        </w:rPr>
        <w:t>. This entails a legal evaluation taking into account a number of factors. The first of these factors is potential prejudice to affected parties as well as the possible consequences of setting aside the impugned decision. The potential prejudice to affected parties and the consequences of declaring conduct unlawful may in certain circumstances be ameliorated by this Court</w:t>
      </w:r>
      <w:r w:rsidRPr="007429EC">
        <w:rPr>
          <w:szCs w:val="28"/>
        </w:rPr>
        <w:t>'</w:t>
      </w:r>
      <w:r w:rsidR="00253631" w:rsidRPr="007429EC">
        <w:rPr>
          <w:szCs w:val="28"/>
        </w:rPr>
        <w:t>s power to grant a just and equitable remedy and this ought to be taken into account.</w:t>
      </w:r>
      <w:r w:rsidRPr="007429EC">
        <w:rPr>
          <w:szCs w:val="28"/>
        </w:rPr>
        <w:t>'</w:t>
      </w:r>
      <w:r w:rsidR="00253631" w:rsidRPr="007429EC">
        <w:rPr>
          <w:rStyle w:val="FootnoteReference"/>
          <w:szCs w:val="28"/>
        </w:rPr>
        <w:footnoteReference w:id="88"/>
      </w:r>
      <w:r w:rsidR="00253631" w:rsidRPr="007429EC">
        <w:rPr>
          <w:szCs w:val="28"/>
        </w:rPr>
        <w:t>(Footnotes omitted.)</w:t>
      </w:r>
    </w:p>
    <w:p w14:paraId="7EDA24C4" w14:textId="77777777" w:rsidR="00253631" w:rsidRPr="007429EC" w:rsidRDefault="00253631" w:rsidP="00B224C9">
      <w:pPr>
        <w:rPr>
          <w:sz w:val="28"/>
          <w:szCs w:val="28"/>
        </w:rPr>
      </w:pPr>
    </w:p>
    <w:p w14:paraId="11C15EA7" w14:textId="175F3590" w:rsidR="00253631" w:rsidRPr="007429EC" w:rsidRDefault="00253631" w:rsidP="00B224C9">
      <w:pPr>
        <w:rPr>
          <w:sz w:val="28"/>
          <w:szCs w:val="28"/>
          <w:lang w:val="en-ZA"/>
        </w:rPr>
      </w:pPr>
      <w:r w:rsidRPr="007429EC">
        <w:rPr>
          <w:sz w:val="28"/>
          <w:szCs w:val="28"/>
        </w:rPr>
        <w:t>[</w:t>
      </w:r>
      <w:r w:rsidR="000354D9" w:rsidRPr="007429EC">
        <w:rPr>
          <w:sz w:val="28"/>
          <w:szCs w:val="28"/>
        </w:rPr>
        <w:t>95</w:t>
      </w:r>
      <w:r w:rsidRPr="007429EC">
        <w:rPr>
          <w:sz w:val="28"/>
          <w:szCs w:val="28"/>
        </w:rPr>
        <w:t>]</w:t>
      </w:r>
      <w:r w:rsidRPr="007429EC">
        <w:rPr>
          <w:sz w:val="28"/>
          <w:szCs w:val="28"/>
        </w:rPr>
        <w:tab/>
        <w:t xml:space="preserve">Moreover, </w:t>
      </w:r>
      <w:r w:rsidRPr="007429EC">
        <w:rPr>
          <w:i/>
          <w:sz w:val="28"/>
          <w:szCs w:val="28"/>
        </w:rPr>
        <w:t>Khumalo</w:t>
      </w:r>
      <w:r w:rsidRPr="007429EC">
        <w:rPr>
          <w:sz w:val="28"/>
          <w:szCs w:val="28"/>
        </w:rPr>
        <w:t xml:space="preserve"> also tells us that </w:t>
      </w:r>
      <w:r w:rsidR="003B6577" w:rsidRPr="007429EC">
        <w:rPr>
          <w:sz w:val="28"/>
          <w:szCs w:val="28"/>
        </w:rPr>
        <w:t>'</w:t>
      </w:r>
      <w:r w:rsidRPr="007429EC">
        <w:rPr>
          <w:sz w:val="28"/>
          <w:szCs w:val="28"/>
        </w:rPr>
        <w:t>an additional consideration in overlooking an unreasonable delay lies in the nature of the impugned decision and considering the legal challenges made against that decision</w:t>
      </w:r>
      <w:r w:rsidR="003B6577" w:rsidRPr="007429EC">
        <w:rPr>
          <w:sz w:val="28"/>
          <w:szCs w:val="28"/>
        </w:rPr>
        <w:t>'</w:t>
      </w:r>
      <w:r w:rsidRPr="007429EC">
        <w:rPr>
          <w:sz w:val="28"/>
          <w:szCs w:val="28"/>
        </w:rPr>
        <w:t>.</w:t>
      </w:r>
      <w:r w:rsidRPr="007429EC">
        <w:rPr>
          <w:rStyle w:val="FootnoteReference"/>
          <w:sz w:val="28"/>
          <w:szCs w:val="28"/>
        </w:rPr>
        <w:footnoteReference w:id="89"/>
      </w:r>
      <w:r w:rsidRPr="007429EC">
        <w:rPr>
          <w:sz w:val="28"/>
          <w:szCs w:val="28"/>
        </w:rPr>
        <w:t xml:space="preserve"> We are also reminded by </w:t>
      </w:r>
      <w:r w:rsidRPr="007429EC">
        <w:rPr>
          <w:i/>
          <w:sz w:val="28"/>
          <w:szCs w:val="28"/>
          <w:lang w:val="en-ZA"/>
        </w:rPr>
        <w:t>Asla</w:t>
      </w:r>
      <w:r w:rsidRPr="007429EC">
        <w:rPr>
          <w:sz w:val="28"/>
          <w:szCs w:val="28"/>
          <w:lang w:val="en-ZA"/>
        </w:rPr>
        <w:t xml:space="preserve"> that the merits of the impugned decision </w:t>
      </w:r>
      <w:r w:rsidR="003B6577" w:rsidRPr="007429EC">
        <w:rPr>
          <w:sz w:val="28"/>
          <w:szCs w:val="28"/>
          <w:lang w:val="en-ZA"/>
        </w:rPr>
        <w:t>'</w:t>
      </w:r>
      <w:r w:rsidRPr="007429EC">
        <w:rPr>
          <w:sz w:val="28"/>
          <w:szCs w:val="28"/>
          <w:lang w:val="en-ZA"/>
        </w:rPr>
        <w:t>must be a critical factor when a court embarks on a consideration of all the circumstances of a case in order to determine whether the interests of justice dictate that the delay should be condoned. It would have to include a consideration of whether the non-compliance with statutory prescripts was egregious</w:t>
      </w:r>
      <w:r w:rsidR="003B6577" w:rsidRPr="007429EC">
        <w:rPr>
          <w:sz w:val="28"/>
          <w:szCs w:val="28"/>
          <w:lang w:val="en-ZA"/>
        </w:rPr>
        <w:t>'</w:t>
      </w:r>
      <w:r w:rsidRPr="007429EC">
        <w:rPr>
          <w:sz w:val="28"/>
          <w:szCs w:val="28"/>
          <w:lang w:val="en-ZA"/>
        </w:rPr>
        <w:t>.</w:t>
      </w:r>
      <w:r w:rsidRPr="007429EC">
        <w:rPr>
          <w:rStyle w:val="FootnoteReference"/>
          <w:sz w:val="28"/>
          <w:szCs w:val="28"/>
          <w:lang w:val="en-ZA"/>
        </w:rPr>
        <w:footnoteReference w:id="90"/>
      </w:r>
    </w:p>
    <w:p w14:paraId="068DB9FF" w14:textId="77777777" w:rsidR="00642B98" w:rsidRPr="007429EC" w:rsidRDefault="00642B98" w:rsidP="00B224C9">
      <w:pPr>
        <w:rPr>
          <w:sz w:val="28"/>
          <w:szCs w:val="28"/>
        </w:rPr>
      </w:pPr>
    </w:p>
    <w:p w14:paraId="1BBCBC6A" w14:textId="3C43FC78" w:rsidR="00C025BC" w:rsidRPr="007429EC" w:rsidRDefault="00C025BC" w:rsidP="00B224C9">
      <w:pPr>
        <w:rPr>
          <w:sz w:val="28"/>
          <w:szCs w:val="28"/>
        </w:rPr>
      </w:pPr>
      <w:r w:rsidRPr="007429EC">
        <w:rPr>
          <w:sz w:val="28"/>
          <w:szCs w:val="28"/>
        </w:rPr>
        <w:lastRenderedPageBreak/>
        <w:t>[</w:t>
      </w:r>
      <w:r w:rsidR="000354D9" w:rsidRPr="007429EC">
        <w:rPr>
          <w:sz w:val="28"/>
          <w:szCs w:val="28"/>
        </w:rPr>
        <w:t>96</w:t>
      </w:r>
      <w:r w:rsidRPr="007429EC">
        <w:rPr>
          <w:sz w:val="28"/>
          <w:szCs w:val="28"/>
        </w:rPr>
        <w:t>]</w:t>
      </w:r>
      <w:r w:rsidRPr="007429EC">
        <w:rPr>
          <w:sz w:val="28"/>
          <w:szCs w:val="28"/>
        </w:rPr>
        <w:tab/>
        <w:t xml:space="preserve">The Constitutional Court went further </w:t>
      </w:r>
      <w:r w:rsidR="006D2385" w:rsidRPr="007429EC">
        <w:rPr>
          <w:sz w:val="28"/>
          <w:szCs w:val="28"/>
        </w:rPr>
        <w:t>and said</w:t>
      </w:r>
      <w:r w:rsidRPr="007429EC">
        <w:rPr>
          <w:sz w:val="28"/>
          <w:szCs w:val="28"/>
        </w:rPr>
        <w:t>:</w:t>
      </w:r>
    </w:p>
    <w:p w14:paraId="42B9F829" w14:textId="7E57D86A" w:rsidR="00C025BC" w:rsidRPr="007429EC" w:rsidRDefault="00777911" w:rsidP="00B224C9">
      <w:pPr>
        <w:rPr>
          <w:szCs w:val="28"/>
        </w:rPr>
      </w:pPr>
      <w:r w:rsidRPr="007429EC">
        <w:rPr>
          <w:szCs w:val="28"/>
        </w:rPr>
        <w:t>'...</w:t>
      </w:r>
      <w:r w:rsidR="00207808" w:rsidRPr="007429EC">
        <w:rPr>
          <w:szCs w:val="28"/>
        </w:rPr>
        <w:t xml:space="preserve"> </w:t>
      </w:r>
      <w:r w:rsidR="00C025BC" w:rsidRPr="007429EC">
        <w:rPr>
          <w:szCs w:val="28"/>
        </w:rPr>
        <w:t xml:space="preserve">[T]he extent and nature of the illegality may be </w:t>
      </w:r>
      <w:r w:rsidR="006A467F" w:rsidRPr="007429EC">
        <w:rPr>
          <w:szCs w:val="28"/>
        </w:rPr>
        <w:t xml:space="preserve">a crucial factor in determining the relief to be granted when faced with a delayed review. Therefore, </w:t>
      </w:r>
      <w:r w:rsidR="006A467F" w:rsidRPr="007429EC">
        <w:rPr>
          <w:i/>
          <w:szCs w:val="28"/>
        </w:rPr>
        <w:t>this Court may consider, as part of assessing the delay, the lawfulness of the contract under the principle of legality</w:t>
      </w:r>
      <w:r w:rsidR="006A467F" w:rsidRPr="007429EC">
        <w:rPr>
          <w:szCs w:val="28"/>
        </w:rPr>
        <w:t>.</w:t>
      </w:r>
      <w:r w:rsidR="003B6577" w:rsidRPr="007429EC">
        <w:rPr>
          <w:szCs w:val="28"/>
        </w:rPr>
        <w:t>'</w:t>
      </w:r>
      <w:r w:rsidR="006A467F" w:rsidRPr="007429EC">
        <w:rPr>
          <w:rStyle w:val="FootnoteReference"/>
          <w:szCs w:val="28"/>
        </w:rPr>
        <w:footnoteReference w:id="91"/>
      </w:r>
      <w:r w:rsidR="006A467F" w:rsidRPr="007429EC">
        <w:rPr>
          <w:szCs w:val="28"/>
        </w:rPr>
        <w:t xml:space="preserve"> (Emphasis added.)</w:t>
      </w:r>
    </w:p>
    <w:p w14:paraId="55CF68AB" w14:textId="77777777" w:rsidR="006A467F" w:rsidRPr="007429EC" w:rsidRDefault="006A467F" w:rsidP="00B224C9">
      <w:pPr>
        <w:rPr>
          <w:szCs w:val="28"/>
        </w:rPr>
      </w:pPr>
    </w:p>
    <w:p w14:paraId="10EF3B38" w14:textId="54837443" w:rsidR="006A467F" w:rsidRPr="007429EC" w:rsidRDefault="006A467F" w:rsidP="00B224C9">
      <w:pPr>
        <w:rPr>
          <w:sz w:val="28"/>
          <w:szCs w:val="28"/>
        </w:rPr>
      </w:pPr>
      <w:r w:rsidRPr="007429EC">
        <w:rPr>
          <w:sz w:val="28"/>
          <w:szCs w:val="28"/>
        </w:rPr>
        <w:t>[</w:t>
      </w:r>
      <w:r w:rsidR="0082440A" w:rsidRPr="007429EC">
        <w:rPr>
          <w:sz w:val="28"/>
          <w:szCs w:val="28"/>
        </w:rPr>
        <w:t>97</w:t>
      </w:r>
      <w:r w:rsidRPr="007429EC">
        <w:rPr>
          <w:sz w:val="28"/>
          <w:szCs w:val="28"/>
        </w:rPr>
        <w:t>]</w:t>
      </w:r>
      <w:r w:rsidRPr="007429EC">
        <w:rPr>
          <w:sz w:val="28"/>
          <w:szCs w:val="28"/>
        </w:rPr>
        <w:tab/>
      </w:r>
      <w:r w:rsidR="00AE7DBA" w:rsidRPr="007429EC">
        <w:rPr>
          <w:sz w:val="28"/>
          <w:szCs w:val="28"/>
        </w:rPr>
        <w:t xml:space="preserve">Accordingly, the more egregious the non-compliance with constitutional and statutory prescripts is when viewed against the extent and unreasonableness of the delay the more </w:t>
      </w:r>
      <w:r w:rsidR="0082440A" w:rsidRPr="007429EC">
        <w:rPr>
          <w:sz w:val="28"/>
          <w:szCs w:val="28"/>
        </w:rPr>
        <w:t xml:space="preserve">a court </w:t>
      </w:r>
      <w:r w:rsidR="00AE7DBA" w:rsidRPr="007429EC">
        <w:rPr>
          <w:sz w:val="28"/>
          <w:szCs w:val="28"/>
        </w:rPr>
        <w:t xml:space="preserve">will be inclined to overlook the delay. </w:t>
      </w:r>
      <w:r w:rsidR="00C80988" w:rsidRPr="007429EC">
        <w:rPr>
          <w:sz w:val="28"/>
          <w:szCs w:val="28"/>
        </w:rPr>
        <w:t xml:space="preserve">As it was put in </w:t>
      </w:r>
      <w:r w:rsidR="00C80988" w:rsidRPr="007429EC">
        <w:rPr>
          <w:i/>
          <w:sz w:val="28"/>
          <w:szCs w:val="28"/>
        </w:rPr>
        <w:t>Asla</w:t>
      </w:r>
      <w:r w:rsidR="006D2385" w:rsidRPr="007429EC">
        <w:rPr>
          <w:sz w:val="28"/>
          <w:szCs w:val="28"/>
        </w:rPr>
        <w:t>,</w:t>
      </w:r>
      <w:r w:rsidR="00C80988" w:rsidRPr="007429EC">
        <w:rPr>
          <w:sz w:val="28"/>
          <w:szCs w:val="28"/>
        </w:rPr>
        <w:t xml:space="preserve"> reviewing courts are therefore enjoined to </w:t>
      </w:r>
      <w:r w:rsidR="003B6577" w:rsidRPr="007429EC">
        <w:rPr>
          <w:sz w:val="28"/>
          <w:szCs w:val="28"/>
        </w:rPr>
        <w:t>'</w:t>
      </w:r>
      <w:r w:rsidR="00C80988" w:rsidRPr="007429EC">
        <w:rPr>
          <w:sz w:val="28"/>
          <w:szCs w:val="28"/>
        </w:rPr>
        <w:t>balance the seriousness of the possible illegality with the extent and unreasonableness of the delay</w:t>
      </w:r>
      <w:r w:rsidR="003B6577" w:rsidRPr="007429EC">
        <w:rPr>
          <w:sz w:val="28"/>
          <w:szCs w:val="28"/>
        </w:rPr>
        <w:t>'</w:t>
      </w:r>
      <w:r w:rsidR="00C80988" w:rsidRPr="007429EC">
        <w:rPr>
          <w:sz w:val="28"/>
          <w:szCs w:val="28"/>
        </w:rPr>
        <w:t>.</w:t>
      </w:r>
      <w:r w:rsidR="00C80988" w:rsidRPr="007429EC">
        <w:rPr>
          <w:rStyle w:val="FootnoteReference"/>
          <w:sz w:val="28"/>
          <w:szCs w:val="28"/>
        </w:rPr>
        <w:footnoteReference w:id="92"/>
      </w:r>
      <w:r w:rsidR="00C80988" w:rsidRPr="007429EC">
        <w:rPr>
          <w:sz w:val="28"/>
          <w:szCs w:val="28"/>
        </w:rPr>
        <w:t xml:space="preserve"> On this score it is well to remember that maladministration is inconsistent with the rule of law and antithetical to our constitutional ethos that seeks to foster an open, accountable and responsive government. </w:t>
      </w:r>
    </w:p>
    <w:p w14:paraId="10AFA451" w14:textId="77777777" w:rsidR="00C80988" w:rsidRPr="007429EC" w:rsidRDefault="00C80988" w:rsidP="00B224C9">
      <w:pPr>
        <w:rPr>
          <w:sz w:val="28"/>
          <w:szCs w:val="28"/>
        </w:rPr>
      </w:pPr>
    </w:p>
    <w:p w14:paraId="394C7F3D" w14:textId="7699DB0D" w:rsidR="00C80988" w:rsidRPr="007429EC" w:rsidRDefault="00C80988" w:rsidP="00B224C9">
      <w:pPr>
        <w:rPr>
          <w:sz w:val="28"/>
          <w:szCs w:val="28"/>
        </w:rPr>
      </w:pPr>
      <w:r w:rsidRPr="007429EC">
        <w:rPr>
          <w:sz w:val="28"/>
          <w:szCs w:val="28"/>
        </w:rPr>
        <w:t>[</w:t>
      </w:r>
      <w:r w:rsidR="0082440A" w:rsidRPr="007429EC">
        <w:rPr>
          <w:sz w:val="28"/>
          <w:szCs w:val="28"/>
        </w:rPr>
        <w:t>98</w:t>
      </w:r>
      <w:r w:rsidRPr="007429EC">
        <w:rPr>
          <w:sz w:val="28"/>
          <w:szCs w:val="28"/>
        </w:rPr>
        <w:t>]</w:t>
      </w:r>
      <w:r w:rsidRPr="007429EC">
        <w:rPr>
          <w:sz w:val="28"/>
          <w:szCs w:val="28"/>
        </w:rPr>
        <w:tab/>
        <w:t>In determining the issue of whether there was a delay in instituting the review, the high court considered a number of factors. After outlining the general approach to such issue, the high court observed that courts are generally intolerant of undue delay</w:t>
      </w:r>
      <w:r w:rsidR="006D2385" w:rsidRPr="007429EC">
        <w:rPr>
          <w:sz w:val="28"/>
          <w:szCs w:val="28"/>
        </w:rPr>
        <w:t>s</w:t>
      </w:r>
      <w:r w:rsidRPr="007429EC">
        <w:rPr>
          <w:sz w:val="28"/>
          <w:szCs w:val="28"/>
        </w:rPr>
        <w:t xml:space="preserve"> because they undermine the court</w:t>
      </w:r>
      <w:r w:rsidR="003B6577" w:rsidRPr="007429EC">
        <w:rPr>
          <w:sz w:val="28"/>
          <w:szCs w:val="28"/>
        </w:rPr>
        <w:t>'</w:t>
      </w:r>
      <w:r w:rsidRPr="007429EC">
        <w:rPr>
          <w:sz w:val="28"/>
          <w:szCs w:val="28"/>
        </w:rPr>
        <w:t>s ability to properly adjudicate dispute</w:t>
      </w:r>
      <w:r w:rsidR="003D1368" w:rsidRPr="007429EC">
        <w:rPr>
          <w:sz w:val="28"/>
          <w:szCs w:val="28"/>
        </w:rPr>
        <w:t>s</w:t>
      </w:r>
      <w:r w:rsidRPr="007429EC">
        <w:rPr>
          <w:sz w:val="28"/>
          <w:szCs w:val="28"/>
        </w:rPr>
        <w:t xml:space="preserve"> between parties. It further noted that there should be a satisfactory explanation for the delay. In evaluating the explanation proffered for the delay, the high court held that it was patently deficient because the Department had, inter alia, woefully failed to explain how the decision to award the tender was reached. </w:t>
      </w:r>
      <w:r w:rsidR="0082440A" w:rsidRPr="007429EC">
        <w:rPr>
          <w:sz w:val="28"/>
          <w:szCs w:val="28"/>
        </w:rPr>
        <w:t xml:space="preserve">This was further compounded, the high court opined, </w:t>
      </w:r>
      <w:r w:rsidRPr="007429EC">
        <w:rPr>
          <w:sz w:val="28"/>
          <w:szCs w:val="28"/>
        </w:rPr>
        <w:t xml:space="preserve">by the fact that the Department had initially defended its decision even in the face of grave concerns raised by </w:t>
      </w:r>
      <w:r w:rsidR="007E3271">
        <w:rPr>
          <w:sz w:val="28"/>
          <w:szCs w:val="28"/>
        </w:rPr>
        <w:t xml:space="preserve">the </w:t>
      </w:r>
      <w:r w:rsidRPr="007429EC">
        <w:rPr>
          <w:sz w:val="28"/>
          <w:szCs w:val="28"/>
        </w:rPr>
        <w:t xml:space="preserve">National </w:t>
      </w:r>
      <w:r w:rsidRPr="007429EC">
        <w:rPr>
          <w:sz w:val="28"/>
          <w:szCs w:val="28"/>
        </w:rPr>
        <w:lastRenderedPageBreak/>
        <w:t xml:space="preserve">Treasury. In the event, the high court concluded that </w:t>
      </w:r>
      <w:r w:rsidR="003B6577" w:rsidRPr="007429EC">
        <w:rPr>
          <w:sz w:val="28"/>
          <w:szCs w:val="28"/>
        </w:rPr>
        <w:t>'</w:t>
      </w:r>
      <w:r w:rsidRPr="007429EC">
        <w:rPr>
          <w:sz w:val="28"/>
          <w:szCs w:val="28"/>
        </w:rPr>
        <w:t>there was no basis upon which [it could] overlook the inordinate delay</w:t>
      </w:r>
      <w:r w:rsidR="003B6577" w:rsidRPr="007429EC">
        <w:rPr>
          <w:sz w:val="28"/>
          <w:szCs w:val="28"/>
        </w:rPr>
        <w:t>'</w:t>
      </w:r>
      <w:r w:rsidRPr="007429EC">
        <w:rPr>
          <w:sz w:val="28"/>
          <w:szCs w:val="28"/>
        </w:rPr>
        <w:t>. Hence the dismissal of the application.</w:t>
      </w:r>
    </w:p>
    <w:p w14:paraId="3DCADA71" w14:textId="77777777" w:rsidR="00C80988" w:rsidRPr="007429EC" w:rsidRDefault="00C80988" w:rsidP="00B224C9">
      <w:pPr>
        <w:rPr>
          <w:sz w:val="28"/>
          <w:szCs w:val="28"/>
        </w:rPr>
      </w:pPr>
    </w:p>
    <w:p w14:paraId="2A2AEFF4" w14:textId="04632226" w:rsidR="00C80988" w:rsidRPr="007429EC" w:rsidRDefault="00C80988" w:rsidP="00B224C9">
      <w:pPr>
        <w:rPr>
          <w:sz w:val="28"/>
          <w:szCs w:val="28"/>
        </w:rPr>
      </w:pPr>
      <w:r w:rsidRPr="007429EC">
        <w:rPr>
          <w:sz w:val="28"/>
          <w:szCs w:val="28"/>
        </w:rPr>
        <w:t>[</w:t>
      </w:r>
      <w:r w:rsidR="0082440A" w:rsidRPr="007429EC">
        <w:rPr>
          <w:sz w:val="28"/>
          <w:szCs w:val="28"/>
        </w:rPr>
        <w:t>99</w:t>
      </w:r>
      <w:r w:rsidRPr="007429EC">
        <w:rPr>
          <w:sz w:val="28"/>
          <w:szCs w:val="28"/>
        </w:rPr>
        <w:t>]</w:t>
      </w:r>
      <w:r w:rsidRPr="007429EC">
        <w:rPr>
          <w:sz w:val="28"/>
          <w:szCs w:val="28"/>
        </w:rPr>
        <w:tab/>
        <w:t>Insofar as the delay</w:t>
      </w:r>
      <w:r w:rsidR="00C05EBE" w:rsidRPr="007429EC">
        <w:rPr>
          <w:sz w:val="28"/>
          <w:szCs w:val="28"/>
        </w:rPr>
        <w:t xml:space="preserve"> in</w:t>
      </w:r>
      <w:r w:rsidRPr="007429EC">
        <w:rPr>
          <w:sz w:val="28"/>
          <w:szCs w:val="28"/>
        </w:rPr>
        <w:t xml:space="preserve"> instituting the review is concerned, counsel for Simeka Group argued that putting the facts in their proper perspective there can be no doubt that the delay in this case was unreasonable. Further, so argued counsel, the explanation</w:t>
      </w:r>
      <w:r w:rsidR="00C05EBE" w:rsidRPr="007429EC">
        <w:rPr>
          <w:sz w:val="28"/>
          <w:szCs w:val="28"/>
        </w:rPr>
        <w:t xml:space="preserve"> proffered for the delay</w:t>
      </w:r>
      <w:r w:rsidRPr="007429EC">
        <w:rPr>
          <w:sz w:val="28"/>
          <w:szCs w:val="28"/>
        </w:rPr>
        <w:t xml:space="preserve">, such as it was, did not cover the entire period. In elaboration, it was </w:t>
      </w:r>
      <w:r w:rsidR="00BD7DC2" w:rsidRPr="007429EC">
        <w:rPr>
          <w:sz w:val="28"/>
          <w:szCs w:val="28"/>
        </w:rPr>
        <w:t>submitted that the decision sought to be reviewed was made on 17 May 2016 and yet the review was instituted 29 months thereafter</w:t>
      </w:r>
      <w:r w:rsidR="00C05EBE" w:rsidRPr="007429EC">
        <w:rPr>
          <w:sz w:val="28"/>
          <w:szCs w:val="28"/>
        </w:rPr>
        <w:t>, on 18 </w:t>
      </w:r>
      <w:r w:rsidR="00BD7DC2" w:rsidRPr="007429EC">
        <w:rPr>
          <w:sz w:val="28"/>
          <w:szCs w:val="28"/>
        </w:rPr>
        <w:t xml:space="preserve">October 2018. This, despite the fact that National Treasury had written to the Department on 16 October 2017 indicating that </w:t>
      </w:r>
      <w:r w:rsidR="003B6577" w:rsidRPr="007429EC">
        <w:rPr>
          <w:sz w:val="28"/>
          <w:szCs w:val="28"/>
        </w:rPr>
        <w:t>'</w:t>
      </w:r>
      <w:r w:rsidR="00BD7DC2" w:rsidRPr="007429EC">
        <w:rPr>
          <w:sz w:val="28"/>
          <w:szCs w:val="28"/>
        </w:rPr>
        <w:t xml:space="preserve">[T]here were some irregularities – set out in detail in the letter from </w:t>
      </w:r>
      <w:r w:rsidR="001E14A0">
        <w:rPr>
          <w:sz w:val="28"/>
          <w:szCs w:val="28"/>
        </w:rPr>
        <w:t xml:space="preserve">the </w:t>
      </w:r>
      <w:r w:rsidR="00BD7DC2" w:rsidRPr="007429EC">
        <w:rPr>
          <w:sz w:val="28"/>
          <w:szCs w:val="28"/>
        </w:rPr>
        <w:t xml:space="preserve">National Treasury – </w:t>
      </w:r>
      <w:r w:rsidR="00B07561" w:rsidRPr="007429EC">
        <w:rPr>
          <w:sz w:val="28"/>
          <w:szCs w:val="28"/>
        </w:rPr>
        <w:t>in the appointment of Simeka Group (Pty) Ltd</w:t>
      </w:r>
      <w:r w:rsidR="003B6577" w:rsidRPr="007429EC">
        <w:rPr>
          <w:sz w:val="28"/>
          <w:szCs w:val="28"/>
        </w:rPr>
        <w:t>'</w:t>
      </w:r>
      <w:r w:rsidR="00B07561" w:rsidRPr="007429EC">
        <w:rPr>
          <w:sz w:val="28"/>
          <w:szCs w:val="28"/>
        </w:rPr>
        <w:t>.</w:t>
      </w:r>
    </w:p>
    <w:p w14:paraId="77B6791F" w14:textId="77777777" w:rsidR="0020411D" w:rsidRPr="007429EC" w:rsidRDefault="0020411D" w:rsidP="00B224C9">
      <w:pPr>
        <w:rPr>
          <w:sz w:val="28"/>
          <w:szCs w:val="28"/>
        </w:rPr>
      </w:pPr>
    </w:p>
    <w:p w14:paraId="16C9B7EF" w14:textId="5BB88B27" w:rsidR="00B07561" w:rsidRPr="007429EC" w:rsidRDefault="0020411D" w:rsidP="00B224C9">
      <w:pPr>
        <w:rPr>
          <w:sz w:val="28"/>
          <w:szCs w:val="28"/>
        </w:rPr>
      </w:pPr>
      <w:r w:rsidRPr="007429EC">
        <w:rPr>
          <w:sz w:val="28"/>
          <w:szCs w:val="28"/>
        </w:rPr>
        <w:t>[</w:t>
      </w:r>
      <w:r w:rsidR="00C05EBE" w:rsidRPr="007429EC">
        <w:rPr>
          <w:sz w:val="28"/>
          <w:szCs w:val="28"/>
        </w:rPr>
        <w:t>100</w:t>
      </w:r>
      <w:r w:rsidR="00B07561" w:rsidRPr="007429EC">
        <w:rPr>
          <w:sz w:val="28"/>
          <w:szCs w:val="28"/>
        </w:rPr>
        <w:t>]</w:t>
      </w:r>
      <w:r w:rsidR="00B07561" w:rsidRPr="007429EC">
        <w:rPr>
          <w:sz w:val="28"/>
          <w:szCs w:val="28"/>
        </w:rPr>
        <w:tab/>
        <w:t>In this case</w:t>
      </w:r>
      <w:r w:rsidR="00C05EBE" w:rsidRPr="007429EC">
        <w:rPr>
          <w:sz w:val="28"/>
          <w:szCs w:val="28"/>
        </w:rPr>
        <w:t>,</w:t>
      </w:r>
      <w:r w:rsidR="00B07561" w:rsidRPr="007429EC">
        <w:rPr>
          <w:sz w:val="28"/>
          <w:szCs w:val="28"/>
        </w:rPr>
        <w:t xml:space="preserve"> there seems to be no dispute that the government parties delayed in instituting the review proceedings. T</w:t>
      </w:r>
      <w:r w:rsidR="006D2385" w:rsidRPr="007429EC">
        <w:rPr>
          <w:sz w:val="28"/>
          <w:szCs w:val="28"/>
        </w:rPr>
        <w:t>hus, t</w:t>
      </w:r>
      <w:r w:rsidR="00B07561" w:rsidRPr="007429EC">
        <w:rPr>
          <w:sz w:val="28"/>
          <w:szCs w:val="28"/>
        </w:rPr>
        <w:t>he crucial question that arises for determination is whether the delay should be overlooked. The test for determining this aspect of the case has been described as a flexible one, based on the proven facts of each case and other objectively available considerations.</w:t>
      </w:r>
      <w:r w:rsidR="00B07561" w:rsidRPr="007429EC">
        <w:rPr>
          <w:rStyle w:val="FootnoteReference"/>
          <w:sz w:val="28"/>
          <w:szCs w:val="28"/>
        </w:rPr>
        <w:footnoteReference w:id="93"/>
      </w:r>
      <w:r w:rsidR="00B07561" w:rsidRPr="007429EC">
        <w:rPr>
          <w:sz w:val="28"/>
          <w:szCs w:val="28"/>
        </w:rPr>
        <w:t xml:space="preserve"> Various factors bear on this issue. First, this calls for a </w:t>
      </w:r>
      <w:r w:rsidR="003B6577" w:rsidRPr="007429EC">
        <w:rPr>
          <w:sz w:val="28"/>
          <w:szCs w:val="28"/>
        </w:rPr>
        <w:t>'</w:t>
      </w:r>
      <w:r w:rsidR="00B07561" w:rsidRPr="007429EC">
        <w:rPr>
          <w:sz w:val="28"/>
          <w:szCs w:val="28"/>
        </w:rPr>
        <w:t>factual, multi-factor and context sensitive</w:t>
      </w:r>
      <w:r w:rsidR="003B6577" w:rsidRPr="007429EC">
        <w:rPr>
          <w:sz w:val="28"/>
          <w:szCs w:val="28"/>
        </w:rPr>
        <w:t>'</w:t>
      </w:r>
      <w:r w:rsidR="00B07561" w:rsidRPr="007429EC">
        <w:rPr>
          <w:sz w:val="28"/>
          <w:szCs w:val="28"/>
        </w:rPr>
        <w:t xml:space="preserve"> enquiry in which a whole range of factors are considered and evaluated.</w:t>
      </w:r>
      <w:r w:rsidR="00B07561" w:rsidRPr="007429EC">
        <w:rPr>
          <w:rStyle w:val="FootnoteReference"/>
          <w:sz w:val="28"/>
          <w:szCs w:val="28"/>
        </w:rPr>
        <w:footnoteReference w:id="94"/>
      </w:r>
      <w:r w:rsidR="00822FD5" w:rsidRPr="007429EC">
        <w:rPr>
          <w:sz w:val="28"/>
          <w:szCs w:val="28"/>
        </w:rPr>
        <w:t xml:space="preserve"> In this regard a court is enjoined to take into account:</w:t>
      </w:r>
    </w:p>
    <w:p w14:paraId="28BD648A" w14:textId="22FF57A9" w:rsidR="00822FD5" w:rsidRPr="007429EC" w:rsidRDefault="00822FD5" w:rsidP="00B224C9">
      <w:pPr>
        <w:rPr>
          <w:sz w:val="28"/>
          <w:szCs w:val="28"/>
        </w:rPr>
      </w:pPr>
      <w:r w:rsidRPr="007429EC">
        <w:rPr>
          <w:sz w:val="28"/>
          <w:szCs w:val="28"/>
        </w:rPr>
        <w:t>(a) any potential prejudice to interested parties;</w:t>
      </w:r>
    </w:p>
    <w:p w14:paraId="66CE595D" w14:textId="494F1072" w:rsidR="00822FD5" w:rsidRPr="007429EC" w:rsidRDefault="00822FD5" w:rsidP="00B224C9">
      <w:pPr>
        <w:rPr>
          <w:sz w:val="28"/>
          <w:szCs w:val="28"/>
        </w:rPr>
      </w:pPr>
      <w:r w:rsidRPr="007429EC">
        <w:rPr>
          <w:sz w:val="28"/>
          <w:szCs w:val="28"/>
        </w:rPr>
        <w:lastRenderedPageBreak/>
        <w:t xml:space="preserve">(b) the potential consequences of setting aside the impugned decision; and </w:t>
      </w:r>
    </w:p>
    <w:p w14:paraId="7936B655" w14:textId="0F0948D6" w:rsidR="00822FD5" w:rsidRPr="007429EC" w:rsidRDefault="00822FD5" w:rsidP="00B224C9">
      <w:pPr>
        <w:rPr>
          <w:sz w:val="28"/>
          <w:szCs w:val="28"/>
        </w:rPr>
      </w:pPr>
      <w:r w:rsidRPr="007429EC">
        <w:rPr>
          <w:sz w:val="28"/>
          <w:szCs w:val="28"/>
        </w:rPr>
        <w:t xml:space="preserve">(c) how such potential prejudice could be ameliorated by invocation of s 172(1)(b) of the Constitution which empowers a court deciding a constitutional issue to make </w:t>
      </w:r>
      <w:r w:rsidR="003B6577" w:rsidRPr="007429EC">
        <w:rPr>
          <w:sz w:val="28"/>
          <w:szCs w:val="28"/>
        </w:rPr>
        <w:t>'</w:t>
      </w:r>
      <w:r w:rsidRPr="007429EC">
        <w:rPr>
          <w:sz w:val="28"/>
          <w:szCs w:val="28"/>
        </w:rPr>
        <w:t xml:space="preserve">any order </w:t>
      </w:r>
      <w:r w:rsidR="00A86231" w:rsidRPr="007429EC">
        <w:rPr>
          <w:sz w:val="28"/>
          <w:szCs w:val="28"/>
        </w:rPr>
        <w:t>that is just and equitable</w:t>
      </w:r>
      <w:r w:rsidR="003B6577" w:rsidRPr="007429EC">
        <w:rPr>
          <w:sz w:val="28"/>
          <w:szCs w:val="28"/>
        </w:rPr>
        <w:t>'</w:t>
      </w:r>
      <w:r w:rsidR="00A86231" w:rsidRPr="007429EC">
        <w:rPr>
          <w:sz w:val="28"/>
          <w:szCs w:val="28"/>
        </w:rPr>
        <w:t>.</w:t>
      </w:r>
    </w:p>
    <w:p w14:paraId="4BF8BB12" w14:textId="77777777" w:rsidR="00B07561" w:rsidRPr="007429EC" w:rsidRDefault="00B07561" w:rsidP="00B224C9">
      <w:pPr>
        <w:rPr>
          <w:sz w:val="28"/>
          <w:szCs w:val="28"/>
        </w:rPr>
      </w:pPr>
    </w:p>
    <w:p w14:paraId="202D8CB0" w14:textId="07757604" w:rsidR="00B07561" w:rsidRPr="007429EC" w:rsidRDefault="00B07561" w:rsidP="00B224C9">
      <w:pPr>
        <w:rPr>
          <w:sz w:val="28"/>
          <w:szCs w:val="28"/>
        </w:rPr>
      </w:pPr>
      <w:r w:rsidRPr="007429EC">
        <w:rPr>
          <w:sz w:val="28"/>
          <w:szCs w:val="28"/>
        </w:rPr>
        <w:t>[</w:t>
      </w:r>
      <w:r w:rsidR="00C05EBE" w:rsidRPr="007429EC">
        <w:rPr>
          <w:sz w:val="28"/>
          <w:szCs w:val="28"/>
        </w:rPr>
        <w:t>101</w:t>
      </w:r>
      <w:r w:rsidRPr="007429EC">
        <w:rPr>
          <w:sz w:val="28"/>
          <w:szCs w:val="28"/>
        </w:rPr>
        <w:t>]</w:t>
      </w:r>
      <w:r w:rsidRPr="007429EC">
        <w:rPr>
          <w:sz w:val="28"/>
          <w:szCs w:val="28"/>
        </w:rPr>
        <w:tab/>
      </w:r>
      <w:r w:rsidR="00922AAE" w:rsidRPr="007429EC">
        <w:rPr>
          <w:sz w:val="28"/>
          <w:szCs w:val="28"/>
        </w:rPr>
        <w:t xml:space="preserve">Secondly, the nature of the impugned decision and the extent and nature of the illegality bear on this issue. On this score, </w:t>
      </w:r>
      <w:r w:rsidR="00922AAE" w:rsidRPr="007429EC">
        <w:rPr>
          <w:i/>
          <w:sz w:val="28"/>
          <w:szCs w:val="28"/>
        </w:rPr>
        <w:t>Asla</w:t>
      </w:r>
      <w:r w:rsidR="00922AAE" w:rsidRPr="007429EC">
        <w:rPr>
          <w:sz w:val="28"/>
          <w:szCs w:val="28"/>
        </w:rPr>
        <w:t xml:space="preserve"> tells us that the stronger the prospects of success</w:t>
      </w:r>
      <w:r w:rsidR="0008012A" w:rsidRPr="007429EC">
        <w:rPr>
          <w:sz w:val="28"/>
          <w:szCs w:val="28"/>
        </w:rPr>
        <w:t>,</w:t>
      </w:r>
      <w:r w:rsidR="00922AAE" w:rsidRPr="007429EC">
        <w:rPr>
          <w:sz w:val="28"/>
          <w:szCs w:val="28"/>
        </w:rPr>
        <w:t xml:space="preserve"> the more will a court readily incline in favour of overlooking an unreasonable delay. Finally, the conduct of the functionaries is also relevant. Here</w:t>
      </w:r>
      <w:r w:rsidR="0008012A" w:rsidRPr="007429EC">
        <w:rPr>
          <w:sz w:val="28"/>
          <w:szCs w:val="28"/>
        </w:rPr>
        <w:t>,</w:t>
      </w:r>
      <w:r w:rsidR="00922AAE" w:rsidRPr="007429EC">
        <w:rPr>
          <w:sz w:val="28"/>
          <w:szCs w:val="28"/>
        </w:rPr>
        <w:t xml:space="preserve"> the court must be vigilant to ensure that a self-review is designed to </w:t>
      </w:r>
      <w:r w:rsidR="003B6577" w:rsidRPr="007429EC">
        <w:rPr>
          <w:sz w:val="28"/>
          <w:szCs w:val="28"/>
        </w:rPr>
        <w:t>'</w:t>
      </w:r>
      <w:r w:rsidR="00922AAE" w:rsidRPr="007429EC">
        <w:rPr>
          <w:sz w:val="28"/>
          <w:szCs w:val="28"/>
        </w:rPr>
        <w:t>promote open, responsive and accountable government rather than self-interest of state officials seeking to evade the consequences of their prior decision</w:t>
      </w:r>
      <w:r w:rsidR="003B6577" w:rsidRPr="007429EC">
        <w:rPr>
          <w:sz w:val="28"/>
          <w:szCs w:val="28"/>
        </w:rPr>
        <w:t>'</w:t>
      </w:r>
      <w:r w:rsidR="00922AAE" w:rsidRPr="007429EC">
        <w:rPr>
          <w:sz w:val="28"/>
          <w:szCs w:val="28"/>
        </w:rPr>
        <w:t>.</w:t>
      </w:r>
      <w:r w:rsidR="00922AAE" w:rsidRPr="007429EC">
        <w:rPr>
          <w:rStyle w:val="FootnoteReference"/>
          <w:sz w:val="28"/>
          <w:szCs w:val="28"/>
        </w:rPr>
        <w:footnoteReference w:id="95"/>
      </w:r>
      <w:r w:rsidR="00922AAE" w:rsidRPr="007429EC">
        <w:rPr>
          <w:sz w:val="28"/>
          <w:szCs w:val="28"/>
        </w:rPr>
        <w:t xml:space="preserve"> I pause here to observe that curiously, in the context of the facts of this case, the Departmental officials persisted in their spirited defence of their decision to award the tender to the Joint Venture even in the face of relentless promptings from </w:t>
      </w:r>
      <w:r w:rsidR="007E3271">
        <w:rPr>
          <w:sz w:val="28"/>
          <w:szCs w:val="28"/>
        </w:rPr>
        <w:t xml:space="preserve">the </w:t>
      </w:r>
      <w:r w:rsidR="00922AAE" w:rsidRPr="007429EC">
        <w:rPr>
          <w:sz w:val="28"/>
          <w:szCs w:val="28"/>
        </w:rPr>
        <w:t xml:space="preserve">National Treasury that the award was bedevilled by irredeemable irregularities. </w:t>
      </w:r>
    </w:p>
    <w:p w14:paraId="5909E925" w14:textId="77777777" w:rsidR="0065787B" w:rsidRPr="007429EC" w:rsidRDefault="0065787B" w:rsidP="00B224C9">
      <w:pPr>
        <w:rPr>
          <w:sz w:val="28"/>
          <w:szCs w:val="28"/>
        </w:rPr>
      </w:pPr>
    </w:p>
    <w:p w14:paraId="6C422028" w14:textId="7C7A3452" w:rsidR="0065787B" w:rsidRPr="007429EC" w:rsidRDefault="0065787B" w:rsidP="00B224C9">
      <w:pPr>
        <w:rPr>
          <w:sz w:val="28"/>
          <w:szCs w:val="28"/>
        </w:rPr>
      </w:pPr>
      <w:r w:rsidRPr="007429EC">
        <w:rPr>
          <w:sz w:val="28"/>
          <w:szCs w:val="28"/>
        </w:rPr>
        <w:t>[</w:t>
      </w:r>
      <w:r w:rsidR="0008012A" w:rsidRPr="007429EC">
        <w:rPr>
          <w:sz w:val="28"/>
          <w:szCs w:val="28"/>
        </w:rPr>
        <w:t>102</w:t>
      </w:r>
      <w:r w:rsidRPr="007429EC">
        <w:rPr>
          <w:sz w:val="28"/>
          <w:szCs w:val="28"/>
        </w:rPr>
        <w:t>]</w:t>
      </w:r>
      <w:r w:rsidRPr="007429EC">
        <w:rPr>
          <w:sz w:val="28"/>
          <w:szCs w:val="28"/>
        </w:rPr>
        <w:tab/>
        <w:t>As already mentioned above, the conclusion of the high court was that the delay in instituting the review proceedings was unreasonable. It then went on to hold that:</w:t>
      </w:r>
    </w:p>
    <w:p w14:paraId="419DAF17" w14:textId="77362FB6" w:rsidR="0065787B" w:rsidRPr="007429EC" w:rsidRDefault="0065787B" w:rsidP="00B224C9">
      <w:pPr>
        <w:rPr>
          <w:sz w:val="28"/>
          <w:szCs w:val="28"/>
        </w:rPr>
      </w:pPr>
      <w:r w:rsidRPr="007429EC">
        <w:rPr>
          <w:sz w:val="28"/>
          <w:szCs w:val="28"/>
        </w:rPr>
        <w:t xml:space="preserve">(a) Simeka </w:t>
      </w:r>
      <w:r w:rsidR="0008012A" w:rsidRPr="007429EC">
        <w:rPr>
          <w:sz w:val="28"/>
          <w:szCs w:val="28"/>
        </w:rPr>
        <w:t xml:space="preserve">Group </w:t>
      </w:r>
      <w:r w:rsidRPr="007429EC">
        <w:rPr>
          <w:sz w:val="28"/>
          <w:szCs w:val="28"/>
        </w:rPr>
        <w:t xml:space="preserve">was not complicit in any corruption and whatever </w:t>
      </w:r>
      <w:r w:rsidR="00E250A9" w:rsidRPr="007429EC">
        <w:rPr>
          <w:sz w:val="28"/>
          <w:szCs w:val="28"/>
        </w:rPr>
        <w:t>was asserted by the Department to support the allegations of corruption was simply unsubstantiated;</w:t>
      </w:r>
    </w:p>
    <w:p w14:paraId="325F9CB6" w14:textId="74D16382" w:rsidR="00E250A9" w:rsidRPr="007429EC" w:rsidRDefault="00E250A9" w:rsidP="00B224C9">
      <w:pPr>
        <w:rPr>
          <w:sz w:val="28"/>
          <w:szCs w:val="28"/>
        </w:rPr>
      </w:pPr>
      <w:r w:rsidRPr="007429EC">
        <w:rPr>
          <w:sz w:val="28"/>
          <w:szCs w:val="28"/>
        </w:rPr>
        <w:t>(b) the Department had always been an enthusiastic supporter of the project;</w:t>
      </w:r>
    </w:p>
    <w:p w14:paraId="561D3564" w14:textId="051AC458" w:rsidR="00E250A9" w:rsidRPr="007429EC" w:rsidRDefault="00E250A9" w:rsidP="00B224C9">
      <w:pPr>
        <w:rPr>
          <w:sz w:val="28"/>
          <w:szCs w:val="28"/>
        </w:rPr>
      </w:pPr>
      <w:r w:rsidRPr="007429EC">
        <w:rPr>
          <w:sz w:val="28"/>
          <w:szCs w:val="28"/>
        </w:rPr>
        <w:t xml:space="preserve">(c) the </w:t>
      </w:r>
      <w:r w:rsidR="003B6577" w:rsidRPr="007429EC">
        <w:rPr>
          <w:sz w:val="28"/>
          <w:szCs w:val="28"/>
        </w:rPr>
        <w:t>'</w:t>
      </w:r>
      <w:r w:rsidRPr="007429EC">
        <w:rPr>
          <w:sz w:val="28"/>
          <w:szCs w:val="28"/>
        </w:rPr>
        <w:t xml:space="preserve">entire process of attaining the land, leasing thereof, paying </w:t>
      </w:r>
      <w:r w:rsidR="0008012A" w:rsidRPr="007429EC">
        <w:rPr>
          <w:sz w:val="28"/>
          <w:szCs w:val="28"/>
        </w:rPr>
        <w:t xml:space="preserve">of </w:t>
      </w:r>
      <w:r w:rsidRPr="007429EC">
        <w:rPr>
          <w:sz w:val="28"/>
          <w:szCs w:val="28"/>
        </w:rPr>
        <w:t xml:space="preserve">the deposit and payment of preparatory works and costs, occurred within the prescripts of the </w:t>
      </w:r>
      <w:r w:rsidRPr="007429EC">
        <w:rPr>
          <w:sz w:val="28"/>
          <w:szCs w:val="28"/>
        </w:rPr>
        <w:lastRenderedPageBreak/>
        <w:t>Request for Proposals, the PPA</w:t>
      </w:r>
      <w:r w:rsidR="007E3271">
        <w:rPr>
          <w:sz w:val="28"/>
          <w:szCs w:val="28"/>
        </w:rPr>
        <w:t xml:space="preserve"> </w:t>
      </w:r>
      <w:r w:rsidR="0008012A" w:rsidRPr="007429EC">
        <w:rPr>
          <w:sz w:val="28"/>
          <w:szCs w:val="28"/>
        </w:rPr>
        <w:t>…</w:t>
      </w:r>
      <w:r w:rsidR="007E3271">
        <w:rPr>
          <w:sz w:val="28"/>
          <w:szCs w:val="28"/>
        </w:rPr>
        <w:t xml:space="preserve"> </w:t>
      </w:r>
      <w:r w:rsidRPr="007429EC">
        <w:rPr>
          <w:sz w:val="28"/>
          <w:szCs w:val="28"/>
        </w:rPr>
        <w:t>with the cooperation</w:t>
      </w:r>
      <w:r w:rsidR="0008012A" w:rsidRPr="007429EC">
        <w:rPr>
          <w:sz w:val="28"/>
          <w:szCs w:val="28"/>
        </w:rPr>
        <w:t xml:space="preserve"> and consent</w:t>
      </w:r>
      <w:r w:rsidRPr="007429EC">
        <w:rPr>
          <w:sz w:val="28"/>
          <w:szCs w:val="28"/>
        </w:rPr>
        <w:t xml:space="preserve"> of the Department</w:t>
      </w:r>
      <w:r w:rsidR="0008012A" w:rsidRPr="007429EC">
        <w:rPr>
          <w:sz w:val="28"/>
          <w:szCs w:val="28"/>
        </w:rPr>
        <w:t>'</w:t>
      </w:r>
      <w:r w:rsidRPr="007429EC">
        <w:rPr>
          <w:sz w:val="28"/>
          <w:szCs w:val="28"/>
        </w:rPr>
        <w:t>;</w:t>
      </w:r>
    </w:p>
    <w:p w14:paraId="21793BAA" w14:textId="6EEB1CFD" w:rsidR="00E250A9" w:rsidRPr="007429EC" w:rsidRDefault="00E250A9" w:rsidP="00B224C9">
      <w:pPr>
        <w:rPr>
          <w:sz w:val="28"/>
          <w:szCs w:val="28"/>
        </w:rPr>
      </w:pPr>
      <w:r w:rsidRPr="007429EC">
        <w:rPr>
          <w:sz w:val="28"/>
          <w:szCs w:val="28"/>
        </w:rPr>
        <w:t xml:space="preserve">(d) the Department supported the award even after </w:t>
      </w:r>
      <w:r w:rsidR="007E3271">
        <w:rPr>
          <w:sz w:val="28"/>
          <w:szCs w:val="28"/>
        </w:rPr>
        <w:t xml:space="preserve">the </w:t>
      </w:r>
      <w:r w:rsidRPr="007429EC">
        <w:rPr>
          <w:sz w:val="28"/>
          <w:szCs w:val="28"/>
        </w:rPr>
        <w:t>National Treasury had pronounced that the award of the tender was irrational; and</w:t>
      </w:r>
    </w:p>
    <w:p w14:paraId="03CEC026" w14:textId="4A1AEFD5" w:rsidR="0070533A" w:rsidRPr="007429EC" w:rsidRDefault="00E250A9" w:rsidP="00B224C9">
      <w:pPr>
        <w:rPr>
          <w:sz w:val="28"/>
          <w:szCs w:val="28"/>
        </w:rPr>
      </w:pPr>
      <w:r w:rsidRPr="007429EC">
        <w:rPr>
          <w:sz w:val="28"/>
          <w:szCs w:val="28"/>
        </w:rPr>
        <w:t xml:space="preserve">(e) the Department withheld the damning letter from </w:t>
      </w:r>
      <w:r w:rsidR="007E3271">
        <w:rPr>
          <w:sz w:val="28"/>
          <w:szCs w:val="28"/>
        </w:rPr>
        <w:t xml:space="preserve">the </w:t>
      </w:r>
      <w:r w:rsidRPr="007429EC">
        <w:rPr>
          <w:sz w:val="28"/>
          <w:szCs w:val="28"/>
        </w:rPr>
        <w:t xml:space="preserve">National Treasury </w:t>
      </w:r>
      <w:r w:rsidR="00AA6A33" w:rsidRPr="007429EC">
        <w:rPr>
          <w:sz w:val="28"/>
          <w:szCs w:val="28"/>
        </w:rPr>
        <w:t xml:space="preserve">stating that </w:t>
      </w:r>
      <w:r w:rsidR="003B6577" w:rsidRPr="007429EC">
        <w:rPr>
          <w:sz w:val="28"/>
          <w:szCs w:val="28"/>
        </w:rPr>
        <w:t>'</w:t>
      </w:r>
      <w:r w:rsidR="00AA6A33" w:rsidRPr="007429EC">
        <w:rPr>
          <w:sz w:val="28"/>
          <w:szCs w:val="28"/>
        </w:rPr>
        <w:t>[T]here were some irregularities in the appointment of Simeka Group (Pty) Ltd</w:t>
      </w:r>
      <w:r w:rsidR="003B6577" w:rsidRPr="007429EC">
        <w:rPr>
          <w:sz w:val="28"/>
          <w:szCs w:val="28"/>
        </w:rPr>
        <w:t>'</w:t>
      </w:r>
      <w:r w:rsidR="00AA6A33" w:rsidRPr="007429EC">
        <w:rPr>
          <w:sz w:val="28"/>
          <w:szCs w:val="28"/>
        </w:rPr>
        <w:t>.</w:t>
      </w:r>
    </w:p>
    <w:p w14:paraId="562EC68B" w14:textId="77777777" w:rsidR="00AA6A33" w:rsidRPr="007429EC" w:rsidRDefault="00AA6A33" w:rsidP="00B224C9">
      <w:pPr>
        <w:rPr>
          <w:sz w:val="28"/>
          <w:szCs w:val="28"/>
        </w:rPr>
      </w:pPr>
    </w:p>
    <w:p w14:paraId="5B839E48" w14:textId="0B292BAA" w:rsidR="00AA6A33" w:rsidRPr="007429EC" w:rsidRDefault="000877A0" w:rsidP="00B224C9">
      <w:pPr>
        <w:rPr>
          <w:sz w:val="28"/>
          <w:szCs w:val="28"/>
        </w:rPr>
      </w:pPr>
      <w:r w:rsidRPr="007429EC">
        <w:rPr>
          <w:sz w:val="28"/>
          <w:szCs w:val="28"/>
        </w:rPr>
        <w:t>[</w:t>
      </w:r>
      <w:r w:rsidR="0008012A" w:rsidRPr="007429EC">
        <w:rPr>
          <w:sz w:val="28"/>
          <w:szCs w:val="28"/>
        </w:rPr>
        <w:t>103</w:t>
      </w:r>
      <w:r w:rsidRPr="007429EC">
        <w:rPr>
          <w:sz w:val="28"/>
          <w:szCs w:val="28"/>
        </w:rPr>
        <w:t>]</w:t>
      </w:r>
      <w:r w:rsidRPr="007429EC">
        <w:rPr>
          <w:sz w:val="28"/>
          <w:szCs w:val="28"/>
        </w:rPr>
        <w:tab/>
        <w:t xml:space="preserve">Counsel for the respondents contended that the Department </w:t>
      </w:r>
      <w:r w:rsidR="003B6577" w:rsidRPr="007429EC">
        <w:rPr>
          <w:sz w:val="28"/>
          <w:szCs w:val="28"/>
        </w:rPr>
        <w:t>'</w:t>
      </w:r>
      <w:r w:rsidRPr="007429EC">
        <w:rPr>
          <w:sz w:val="28"/>
          <w:szCs w:val="28"/>
        </w:rPr>
        <w:t>did nothing for the 17 month period from the award of the tender</w:t>
      </w:r>
      <w:r w:rsidR="003B6577" w:rsidRPr="007429EC">
        <w:rPr>
          <w:sz w:val="28"/>
          <w:szCs w:val="28"/>
        </w:rPr>
        <w:t>'</w:t>
      </w:r>
      <w:r w:rsidRPr="007429EC">
        <w:rPr>
          <w:sz w:val="28"/>
          <w:szCs w:val="28"/>
        </w:rPr>
        <w:t xml:space="preserve"> on 17 May 2016 and when </w:t>
      </w:r>
      <w:r w:rsidR="007E3271">
        <w:rPr>
          <w:sz w:val="28"/>
          <w:szCs w:val="28"/>
        </w:rPr>
        <w:t xml:space="preserve">the </w:t>
      </w:r>
      <w:r w:rsidRPr="007429EC">
        <w:rPr>
          <w:sz w:val="28"/>
          <w:szCs w:val="28"/>
        </w:rPr>
        <w:t xml:space="preserve">National Treasury pointed out the irregularities on 16 October 2017. It was therefore argued that it did not avail the Department that it was oblivious to these irregularities until </w:t>
      </w:r>
      <w:r w:rsidR="007E3271">
        <w:rPr>
          <w:sz w:val="28"/>
          <w:szCs w:val="28"/>
        </w:rPr>
        <w:t xml:space="preserve">the </w:t>
      </w:r>
      <w:r w:rsidRPr="007429EC">
        <w:rPr>
          <w:sz w:val="28"/>
          <w:szCs w:val="28"/>
        </w:rPr>
        <w:t>National Treasury alerted it to them. This, asserted the respondents, was not the end of the Department</w:t>
      </w:r>
      <w:r w:rsidR="003B6577" w:rsidRPr="007429EC">
        <w:rPr>
          <w:sz w:val="28"/>
          <w:szCs w:val="28"/>
        </w:rPr>
        <w:t>'</w:t>
      </w:r>
      <w:r w:rsidRPr="007429EC">
        <w:rPr>
          <w:sz w:val="28"/>
          <w:szCs w:val="28"/>
        </w:rPr>
        <w:t>s difficulties. When</w:t>
      </w:r>
      <w:r w:rsidR="006D2385" w:rsidRPr="007429EC">
        <w:rPr>
          <w:sz w:val="28"/>
          <w:szCs w:val="28"/>
        </w:rPr>
        <w:t>, on 26 January 2018,</w:t>
      </w:r>
      <w:r w:rsidRPr="007429EC">
        <w:rPr>
          <w:sz w:val="28"/>
          <w:szCs w:val="28"/>
        </w:rPr>
        <w:t xml:space="preserve"> </w:t>
      </w:r>
      <w:r w:rsidR="007E3271">
        <w:rPr>
          <w:sz w:val="28"/>
          <w:szCs w:val="28"/>
        </w:rPr>
        <w:t xml:space="preserve">the </w:t>
      </w:r>
      <w:r w:rsidRPr="007429EC">
        <w:rPr>
          <w:sz w:val="28"/>
          <w:szCs w:val="28"/>
        </w:rPr>
        <w:t xml:space="preserve">National Treasury implored the Department to </w:t>
      </w:r>
      <w:r w:rsidR="003B6577" w:rsidRPr="007429EC">
        <w:rPr>
          <w:sz w:val="28"/>
          <w:szCs w:val="28"/>
        </w:rPr>
        <w:t>'</w:t>
      </w:r>
      <w:r w:rsidRPr="007429EC">
        <w:rPr>
          <w:sz w:val="28"/>
          <w:szCs w:val="28"/>
        </w:rPr>
        <w:t>start a new tender process and ensure that the correct procurement processes [were] followed</w:t>
      </w:r>
      <w:r w:rsidR="003B6577" w:rsidRPr="007429EC">
        <w:rPr>
          <w:sz w:val="28"/>
          <w:szCs w:val="28"/>
        </w:rPr>
        <w:t>'</w:t>
      </w:r>
      <w:r w:rsidR="006D2385" w:rsidRPr="007429EC">
        <w:rPr>
          <w:sz w:val="28"/>
          <w:szCs w:val="28"/>
        </w:rPr>
        <w:t>,</w:t>
      </w:r>
      <w:r w:rsidRPr="007429EC">
        <w:rPr>
          <w:sz w:val="28"/>
          <w:szCs w:val="28"/>
        </w:rPr>
        <w:t xml:space="preserve"> the Department should have </w:t>
      </w:r>
      <w:r w:rsidR="006D2385" w:rsidRPr="007429EC">
        <w:rPr>
          <w:sz w:val="28"/>
          <w:szCs w:val="28"/>
        </w:rPr>
        <w:t xml:space="preserve">there and </w:t>
      </w:r>
      <w:r w:rsidRPr="007429EC">
        <w:rPr>
          <w:sz w:val="28"/>
          <w:szCs w:val="28"/>
        </w:rPr>
        <w:t>then immediately launched its review application and yet failed to do so until some eight months thereafter, on 10 October 2018.</w:t>
      </w:r>
      <w:r w:rsidR="00A52868" w:rsidRPr="007429EC">
        <w:rPr>
          <w:sz w:val="28"/>
          <w:szCs w:val="28"/>
        </w:rPr>
        <w:t xml:space="preserve"> Ultimately, it was submitted that the sum total of these factors ineluctably le</w:t>
      </w:r>
      <w:r w:rsidR="006D2385" w:rsidRPr="007429EC">
        <w:rPr>
          <w:sz w:val="28"/>
          <w:szCs w:val="28"/>
        </w:rPr>
        <w:t>a</w:t>
      </w:r>
      <w:r w:rsidR="00A52868" w:rsidRPr="007429EC">
        <w:rPr>
          <w:sz w:val="28"/>
          <w:szCs w:val="28"/>
        </w:rPr>
        <w:t xml:space="preserve">d to one conclusion which is that the delay was unreasonable. </w:t>
      </w:r>
      <w:r w:rsidR="006D2385" w:rsidRPr="007429EC">
        <w:rPr>
          <w:sz w:val="28"/>
          <w:szCs w:val="28"/>
        </w:rPr>
        <w:t>T</w:t>
      </w:r>
      <w:r w:rsidR="00A52868" w:rsidRPr="007429EC">
        <w:rPr>
          <w:sz w:val="28"/>
          <w:szCs w:val="28"/>
        </w:rPr>
        <w:t>herefore</w:t>
      </w:r>
      <w:r w:rsidR="006D2385" w:rsidRPr="007429EC">
        <w:rPr>
          <w:sz w:val="28"/>
          <w:szCs w:val="28"/>
        </w:rPr>
        <w:t>, so it was argued,</w:t>
      </w:r>
      <w:r w:rsidR="00A52868" w:rsidRPr="007429EC">
        <w:rPr>
          <w:sz w:val="28"/>
          <w:szCs w:val="28"/>
        </w:rPr>
        <w:t xml:space="preserve"> the conclusion of the high court on this score was unassailable. </w:t>
      </w:r>
    </w:p>
    <w:p w14:paraId="5812F1B3" w14:textId="77777777" w:rsidR="00A52868" w:rsidRPr="007429EC" w:rsidRDefault="00A52868" w:rsidP="00B224C9">
      <w:pPr>
        <w:rPr>
          <w:sz w:val="28"/>
          <w:szCs w:val="28"/>
        </w:rPr>
      </w:pPr>
    </w:p>
    <w:p w14:paraId="69CF32E5" w14:textId="7C61C813" w:rsidR="00A52868" w:rsidRPr="007429EC" w:rsidRDefault="00A52868" w:rsidP="00B224C9">
      <w:pPr>
        <w:rPr>
          <w:sz w:val="28"/>
          <w:szCs w:val="28"/>
        </w:rPr>
      </w:pPr>
      <w:r w:rsidRPr="007429EC">
        <w:rPr>
          <w:sz w:val="28"/>
          <w:szCs w:val="28"/>
        </w:rPr>
        <w:t>[</w:t>
      </w:r>
      <w:r w:rsidR="00334FBA" w:rsidRPr="007429EC">
        <w:rPr>
          <w:sz w:val="28"/>
          <w:szCs w:val="28"/>
        </w:rPr>
        <w:t>104</w:t>
      </w:r>
      <w:r w:rsidRPr="007429EC">
        <w:rPr>
          <w:sz w:val="28"/>
          <w:szCs w:val="28"/>
        </w:rPr>
        <w:t>]</w:t>
      </w:r>
      <w:r w:rsidRPr="007429EC">
        <w:rPr>
          <w:sz w:val="28"/>
          <w:szCs w:val="28"/>
        </w:rPr>
        <w:tab/>
      </w:r>
      <w:r w:rsidR="000B071F" w:rsidRPr="007429EC">
        <w:rPr>
          <w:sz w:val="28"/>
          <w:szCs w:val="28"/>
        </w:rPr>
        <w:t>In the light of the foregoing</w:t>
      </w:r>
      <w:r w:rsidR="00334FBA" w:rsidRPr="007429EC">
        <w:rPr>
          <w:sz w:val="28"/>
          <w:szCs w:val="28"/>
        </w:rPr>
        <w:t>,</w:t>
      </w:r>
      <w:r w:rsidR="000B071F" w:rsidRPr="007429EC">
        <w:rPr>
          <w:sz w:val="28"/>
          <w:szCs w:val="28"/>
        </w:rPr>
        <w:t xml:space="preserve"> it was submitted on behalf of the respondents that there would be no basis for this Court to interfere with the high court</w:t>
      </w:r>
      <w:r w:rsidR="003B6577" w:rsidRPr="007429EC">
        <w:rPr>
          <w:sz w:val="28"/>
          <w:szCs w:val="28"/>
        </w:rPr>
        <w:t>'</w:t>
      </w:r>
      <w:r w:rsidR="000B071F" w:rsidRPr="007429EC">
        <w:rPr>
          <w:sz w:val="28"/>
          <w:szCs w:val="28"/>
        </w:rPr>
        <w:t xml:space="preserve">s exercise of the discretion vested in it not the condone the delay. That the high court was vested with a discretion in the true sense is beyond question. Thus, the powers of this Court to interfere with the exercise of such discretion are circumscribed. The </w:t>
      </w:r>
      <w:r w:rsidR="000B071F" w:rsidRPr="007429EC">
        <w:rPr>
          <w:sz w:val="28"/>
          <w:szCs w:val="28"/>
        </w:rPr>
        <w:lastRenderedPageBreak/>
        <w:t>Constitutional Court explained the ambit of such a discretion</w:t>
      </w:r>
      <w:r w:rsidR="006350D7" w:rsidRPr="007429EC">
        <w:rPr>
          <w:sz w:val="28"/>
          <w:szCs w:val="28"/>
        </w:rPr>
        <w:t>, albeit in a different context,</w:t>
      </w:r>
      <w:r w:rsidR="000B071F" w:rsidRPr="007429EC">
        <w:rPr>
          <w:sz w:val="28"/>
          <w:szCs w:val="28"/>
        </w:rPr>
        <w:t xml:space="preserve"> thus:</w:t>
      </w:r>
    </w:p>
    <w:p w14:paraId="10855F39" w14:textId="093BB4DE" w:rsidR="000877A0" w:rsidRPr="007429EC" w:rsidRDefault="003B6577" w:rsidP="00B224C9">
      <w:pPr>
        <w:rPr>
          <w:szCs w:val="28"/>
        </w:rPr>
      </w:pPr>
      <w:r w:rsidRPr="007429EC">
        <w:rPr>
          <w:szCs w:val="28"/>
        </w:rPr>
        <w:t>'</w:t>
      </w:r>
      <w:r w:rsidR="005272B3" w:rsidRPr="007429EC">
        <w:rPr>
          <w:szCs w:val="28"/>
        </w:rPr>
        <w:t>A court of appeal is not entitled to set aside the decision of a lower court granting or refusing a postponement in the exercise of its discretion merely because the court of appeal would itself, on the facts of the matter before the lower court, have come to a different conclusion; it may interfere only when it appears that the lower court had not exercised its discretion judicially, or that it had been influenced by wrong principles or a misdirection on the facts, or that it had reached a decision which in the result could not reasonably have been made by a court properly directing itself to all the relevant facts and principles.</w:t>
      </w:r>
      <w:r w:rsidRPr="007429EC">
        <w:rPr>
          <w:szCs w:val="28"/>
        </w:rPr>
        <w:t>'</w:t>
      </w:r>
      <w:r w:rsidR="005272B3" w:rsidRPr="007429EC">
        <w:rPr>
          <w:rStyle w:val="FootnoteReference"/>
          <w:szCs w:val="28"/>
        </w:rPr>
        <w:footnoteReference w:id="96"/>
      </w:r>
      <w:r w:rsidR="005272B3" w:rsidRPr="007429EC">
        <w:rPr>
          <w:szCs w:val="28"/>
        </w:rPr>
        <w:t xml:space="preserve"> (Footnotes omitted.)</w:t>
      </w:r>
    </w:p>
    <w:p w14:paraId="03628E4A" w14:textId="564028B5" w:rsidR="005272B3" w:rsidRPr="007429EC" w:rsidRDefault="005272B3" w:rsidP="00B224C9">
      <w:pPr>
        <w:rPr>
          <w:sz w:val="28"/>
          <w:szCs w:val="28"/>
        </w:rPr>
      </w:pPr>
      <w:r w:rsidRPr="007429EC">
        <w:rPr>
          <w:sz w:val="28"/>
          <w:szCs w:val="28"/>
        </w:rPr>
        <w:t xml:space="preserve">On this score both </w:t>
      </w:r>
      <w:r w:rsidRPr="007429EC">
        <w:rPr>
          <w:i/>
          <w:sz w:val="28"/>
          <w:szCs w:val="28"/>
        </w:rPr>
        <w:t>Tasima</w:t>
      </w:r>
      <w:r w:rsidR="00ED448D" w:rsidRPr="007429EC">
        <w:rPr>
          <w:i/>
          <w:sz w:val="28"/>
          <w:szCs w:val="28"/>
        </w:rPr>
        <w:t xml:space="preserve"> I</w:t>
      </w:r>
      <w:r w:rsidRPr="007429EC">
        <w:rPr>
          <w:rStyle w:val="FootnoteReference"/>
          <w:sz w:val="28"/>
          <w:szCs w:val="28"/>
        </w:rPr>
        <w:footnoteReference w:id="97"/>
      </w:r>
      <w:r w:rsidRPr="007429EC">
        <w:rPr>
          <w:i/>
          <w:sz w:val="28"/>
          <w:szCs w:val="28"/>
        </w:rPr>
        <w:t xml:space="preserve"> </w:t>
      </w:r>
      <w:r w:rsidRPr="007429EC">
        <w:rPr>
          <w:sz w:val="28"/>
          <w:szCs w:val="28"/>
        </w:rPr>
        <w:t xml:space="preserve">and </w:t>
      </w:r>
      <w:r w:rsidRPr="007429EC">
        <w:rPr>
          <w:i/>
          <w:sz w:val="28"/>
          <w:szCs w:val="28"/>
        </w:rPr>
        <w:t>Asla</w:t>
      </w:r>
      <w:r w:rsidRPr="007429EC">
        <w:rPr>
          <w:rStyle w:val="FootnoteReference"/>
          <w:sz w:val="28"/>
          <w:szCs w:val="28"/>
        </w:rPr>
        <w:footnoteReference w:id="98"/>
      </w:r>
      <w:r w:rsidRPr="007429EC">
        <w:rPr>
          <w:i/>
          <w:sz w:val="28"/>
          <w:szCs w:val="28"/>
        </w:rPr>
        <w:t xml:space="preserve"> </w:t>
      </w:r>
      <w:r w:rsidRPr="007429EC">
        <w:rPr>
          <w:sz w:val="28"/>
          <w:szCs w:val="28"/>
        </w:rPr>
        <w:t xml:space="preserve">say that an unreasonable delay cannot be </w:t>
      </w:r>
      <w:r w:rsidR="003B6577" w:rsidRPr="007429EC">
        <w:rPr>
          <w:sz w:val="28"/>
          <w:szCs w:val="28"/>
        </w:rPr>
        <w:t>'</w:t>
      </w:r>
      <w:r w:rsidRPr="007429EC">
        <w:rPr>
          <w:sz w:val="28"/>
          <w:szCs w:val="28"/>
        </w:rPr>
        <w:t>evaluated in a vacuum</w:t>
      </w:r>
      <w:r w:rsidR="003B6577" w:rsidRPr="007429EC">
        <w:rPr>
          <w:sz w:val="28"/>
          <w:szCs w:val="28"/>
        </w:rPr>
        <w:t>'</w:t>
      </w:r>
      <w:r w:rsidRPr="007429EC">
        <w:rPr>
          <w:sz w:val="28"/>
          <w:szCs w:val="28"/>
        </w:rPr>
        <w:t>. The court must in that event determine whether the delay ought to be overlooked</w:t>
      </w:r>
      <w:r w:rsidR="00ED448D" w:rsidRPr="007429EC">
        <w:rPr>
          <w:sz w:val="28"/>
          <w:szCs w:val="28"/>
        </w:rPr>
        <w:t>,</w:t>
      </w:r>
      <w:r w:rsidRPr="007429EC">
        <w:rPr>
          <w:sz w:val="28"/>
          <w:szCs w:val="28"/>
        </w:rPr>
        <w:t xml:space="preserve"> </w:t>
      </w:r>
      <w:r w:rsidR="00ED448D" w:rsidRPr="007429EC">
        <w:rPr>
          <w:sz w:val="28"/>
          <w:szCs w:val="28"/>
        </w:rPr>
        <w:t>a</w:t>
      </w:r>
      <w:r w:rsidRPr="007429EC">
        <w:rPr>
          <w:sz w:val="28"/>
          <w:szCs w:val="28"/>
        </w:rPr>
        <w:t xml:space="preserve">nd the basis for doing so </w:t>
      </w:r>
      <w:r w:rsidR="003B6577" w:rsidRPr="007429EC">
        <w:rPr>
          <w:sz w:val="28"/>
          <w:szCs w:val="28"/>
        </w:rPr>
        <w:t>'</w:t>
      </w:r>
      <w:r w:rsidRPr="007429EC">
        <w:rPr>
          <w:sz w:val="28"/>
          <w:szCs w:val="28"/>
        </w:rPr>
        <w:t>must be gleaned from the facts … or objectively available factors</w:t>
      </w:r>
      <w:r w:rsidR="003B6577" w:rsidRPr="007429EC">
        <w:rPr>
          <w:sz w:val="28"/>
          <w:szCs w:val="28"/>
        </w:rPr>
        <w:t>'</w:t>
      </w:r>
      <w:r w:rsidRPr="007429EC">
        <w:rPr>
          <w:sz w:val="28"/>
          <w:szCs w:val="28"/>
        </w:rPr>
        <w:t>.</w:t>
      </w:r>
    </w:p>
    <w:p w14:paraId="3A651034" w14:textId="77777777" w:rsidR="005272B3" w:rsidRPr="007429EC" w:rsidRDefault="005272B3" w:rsidP="00B224C9">
      <w:pPr>
        <w:rPr>
          <w:sz w:val="28"/>
          <w:szCs w:val="28"/>
        </w:rPr>
      </w:pPr>
    </w:p>
    <w:p w14:paraId="522B5B8E" w14:textId="457CCEAB" w:rsidR="005272B3" w:rsidRPr="007429EC" w:rsidRDefault="005272B3" w:rsidP="00B224C9">
      <w:pPr>
        <w:rPr>
          <w:sz w:val="28"/>
          <w:szCs w:val="28"/>
        </w:rPr>
      </w:pPr>
      <w:r w:rsidRPr="007429EC">
        <w:rPr>
          <w:sz w:val="28"/>
          <w:szCs w:val="28"/>
        </w:rPr>
        <w:t>[</w:t>
      </w:r>
      <w:r w:rsidR="00ED448D" w:rsidRPr="007429EC">
        <w:rPr>
          <w:sz w:val="28"/>
          <w:szCs w:val="28"/>
        </w:rPr>
        <w:t>105</w:t>
      </w:r>
      <w:r w:rsidRPr="007429EC">
        <w:rPr>
          <w:sz w:val="28"/>
          <w:szCs w:val="28"/>
        </w:rPr>
        <w:t>]</w:t>
      </w:r>
      <w:r w:rsidRPr="007429EC">
        <w:rPr>
          <w:sz w:val="28"/>
          <w:szCs w:val="28"/>
        </w:rPr>
        <w:tab/>
      </w:r>
      <w:r w:rsidR="00ED4B52" w:rsidRPr="007429EC">
        <w:rPr>
          <w:sz w:val="28"/>
          <w:szCs w:val="28"/>
        </w:rPr>
        <w:t xml:space="preserve">It was </w:t>
      </w:r>
      <w:r w:rsidR="006D2385" w:rsidRPr="007429EC">
        <w:rPr>
          <w:sz w:val="28"/>
          <w:szCs w:val="28"/>
        </w:rPr>
        <w:t xml:space="preserve">further </w:t>
      </w:r>
      <w:r w:rsidR="00ED4B52" w:rsidRPr="007429EC">
        <w:rPr>
          <w:sz w:val="28"/>
          <w:szCs w:val="28"/>
        </w:rPr>
        <w:t xml:space="preserve">submitted on behalf of the respondents that the obdurate stance adopted by the Department in defending the award of the tender when </w:t>
      </w:r>
      <w:r w:rsidR="007E3271">
        <w:rPr>
          <w:sz w:val="28"/>
          <w:szCs w:val="28"/>
        </w:rPr>
        <w:t xml:space="preserve">the </w:t>
      </w:r>
      <w:r w:rsidR="00ED4B52" w:rsidRPr="007429EC">
        <w:rPr>
          <w:sz w:val="28"/>
          <w:szCs w:val="28"/>
        </w:rPr>
        <w:t xml:space="preserve">National Treasury questioned its rationality is a clear indicator that it still believed that the award of the tender was in line with constitutional prescripts. </w:t>
      </w:r>
      <w:r w:rsidR="00EC14CE" w:rsidRPr="007429EC">
        <w:rPr>
          <w:sz w:val="28"/>
          <w:szCs w:val="28"/>
        </w:rPr>
        <w:t>Whilst at first blush there is much to be said for the proposition that the Department is to a large exten</w:t>
      </w:r>
      <w:r w:rsidR="001C0505" w:rsidRPr="007429EC">
        <w:rPr>
          <w:sz w:val="28"/>
          <w:szCs w:val="28"/>
        </w:rPr>
        <w:t>t</w:t>
      </w:r>
      <w:r w:rsidR="00EC14CE" w:rsidRPr="007429EC">
        <w:rPr>
          <w:sz w:val="28"/>
          <w:szCs w:val="28"/>
        </w:rPr>
        <w:t xml:space="preserve"> the author of its misfortune, it is however necessary to put things in their proper perspective. </w:t>
      </w:r>
    </w:p>
    <w:p w14:paraId="26FAC63C" w14:textId="77777777" w:rsidR="00EC14CE" w:rsidRPr="007429EC" w:rsidRDefault="00EC14CE" w:rsidP="00B224C9">
      <w:pPr>
        <w:rPr>
          <w:sz w:val="32"/>
          <w:szCs w:val="28"/>
        </w:rPr>
      </w:pPr>
    </w:p>
    <w:p w14:paraId="2612526B" w14:textId="5832F8CB" w:rsidR="00EC14CE" w:rsidRPr="007429EC" w:rsidRDefault="00EC14CE" w:rsidP="00B224C9">
      <w:pPr>
        <w:rPr>
          <w:sz w:val="28"/>
          <w:szCs w:val="28"/>
        </w:rPr>
      </w:pPr>
      <w:r w:rsidRPr="007429EC">
        <w:rPr>
          <w:sz w:val="28"/>
          <w:szCs w:val="28"/>
        </w:rPr>
        <w:t>[</w:t>
      </w:r>
      <w:r w:rsidR="009112C1" w:rsidRPr="007429EC">
        <w:rPr>
          <w:sz w:val="28"/>
          <w:szCs w:val="28"/>
        </w:rPr>
        <w:t>106</w:t>
      </w:r>
      <w:r w:rsidRPr="007429EC">
        <w:rPr>
          <w:sz w:val="28"/>
          <w:szCs w:val="28"/>
        </w:rPr>
        <w:t>]</w:t>
      </w:r>
      <w:r w:rsidRPr="007429EC">
        <w:rPr>
          <w:sz w:val="28"/>
          <w:szCs w:val="28"/>
        </w:rPr>
        <w:tab/>
        <w:t xml:space="preserve">Although the high court considered the question whether the delay should be overlooked and some of the relevant factors that bear on this question, it did not </w:t>
      </w:r>
      <w:r w:rsidRPr="007429EC">
        <w:rPr>
          <w:sz w:val="28"/>
          <w:szCs w:val="28"/>
        </w:rPr>
        <w:lastRenderedPageBreak/>
        <w:t>consider, as it appears from its judgment, the interests of justice as enjoined by judicial authority, having regard both</w:t>
      </w:r>
      <w:r w:rsidR="00A435C9" w:rsidRPr="007429EC">
        <w:rPr>
          <w:sz w:val="28"/>
          <w:szCs w:val="28"/>
        </w:rPr>
        <w:t xml:space="preserve"> to the requirements of the RFP</w:t>
      </w:r>
      <w:r w:rsidR="004B6D5A" w:rsidRPr="007429EC">
        <w:rPr>
          <w:sz w:val="28"/>
          <w:szCs w:val="28"/>
        </w:rPr>
        <w:t>s</w:t>
      </w:r>
      <w:r w:rsidRPr="007429EC">
        <w:rPr>
          <w:sz w:val="28"/>
          <w:szCs w:val="28"/>
        </w:rPr>
        <w:t xml:space="preserve"> and the mater</w:t>
      </w:r>
      <w:r w:rsidR="00A435C9" w:rsidRPr="007429EC">
        <w:rPr>
          <w:sz w:val="28"/>
          <w:szCs w:val="28"/>
        </w:rPr>
        <w:t>ial deviation from what the RFP</w:t>
      </w:r>
      <w:r w:rsidR="004B6D5A" w:rsidRPr="007429EC">
        <w:rPr>
          <w:sz w:val="28"/>
          <w:szCs w:val="28"/>
        </w:rPr>
        <w:t>s</w:t>
      </w:r>
      <w:r w:rsidRPr="007429EC">
        <w:rPr>
          <w:sz w:val="28"/>
          <w:szCs w:val="28"/>
        </w:rPr>
        <w:t xml:space="preserve"> had required. That the deviation f</w:t>
      </w:r>
      <w:r w:rsidR="00A435C9" w:rsidRPr="007429EC">
        <w:rPr>
          <w:sz w:val="28"/>
          <w:szCs w:val="28"/>
        </w:rPr>
        <w:t>rom the requirements of the RFP</w:t>
      </w:r>
      <w:r w:rsidR="004B6D5A" w:rsidRPr="007429EC">
        <w:rPr>
          <w:sz w:val="28"/>
          <w:szCs w:val="28"/>
        </w:rPr>
        <w:t>s</w:t>
      </w:r>
      <w:r w:rsidRPr="007429EC">
        <w:rPr>
          <w:sz w:val="28"/>
          <w:szCs w:val="28"/>
        </w:rPr>
        <w:t xml:space="preserve"> was egregious brooks no argument to the contrary. As already pointe</w:t>
      </w:r>
      <w:r w:rsidR="00A435C9" w:rsidRPr="007429EC">
        <w:rPr>
          <w:sz w:val="28"/>
          <w:szCs w:val="28"/>
        </w:rPr>
        <w:t>d out in para 11 above, the RFP</w:t>
      </w:r>
      <w:r w:rsidR="004B6D5A" w:rsidRPr="007429EC">
        <w:rPr>
          <w:sz w:val="28"/>
          <w:szCs w:val="28"/>
        </w:rPr>
        <w:t>s</w:t>
      </w:r>
      <w:r w:rsidRPr="007429EC">
        <w:rPr>
          <w:sz w:val="28"/>
          <w:szCs w:val="28"/>
        </w:rPr>
        <w:t xml:space="preserve"> explicitly required that the successful bidder </w:t>
      </w:r>
      <w:r w:rsidR="006D2385" w:rsidRPr="007429EC">
        <w:rPr>
          <w:sz w:val="28"/>
          <w:szCs w:val="28"/>
        </w:rPr>
        <w:t xml:space="preserve">must </w:t>
      </w:r>
      <w:r w:rsidRPr="007429EC">
        <w:rPr>
          <w:sz w:val="28"/>
          <w:szCs w:val="28"/>
        </w:rPr>
        <w:t>itself acquire land and provide finance for the construction of the office and residential accommodation</w:t>
      </w:r>
      <w:r w:rsidR="006D2385" w:rsidRPr="007429EC">
        <w:rPr>
          <w:sz w:val="28"/>
          <w:szCs w:val="28"/>
        </w:rPr>
        <w:t>.</w:t>
      </w:r>
      <w:r w:rsidRPr="007429EC">
        <w:rPr>
          <w:sz w:val="28"/>
          <w:szCs w:val="28"/>
        </w:rPr>
        <w:t xml:space="preserve"> </w:t>
      </w:r>
      <w:r w:rsidR="006D2385" w:rsidRPr="007429EC">
        <w:rPr>
          <w:sz w:val="28"/>
          <w:szCs w:val="28"/>
        </w:rPr>
        <w:t>T</w:t>
      </w:r>
      <w:r w:rsidRPr="007429EC">
        <w:rPr>
          <w:sz w:val="28"/>
          <w:szCs w:val="28"/>
        </w:rPr>
        <w:t>he Department</w:t>
      </w:r>
      <w:r w:rsidR="006D2385" w:rsidRPr="007429EC">
        <w:rPr>
          <w:sz w:val="28"/>
          <w:szCs w:val="28"/>
        </w:rPr>
        <w:t xml:space="preserve"> was</w:t>
      </w:r>
      <w:r w:rsidRPr="007429EC">
        <w:rPr>
          <w:sz w:val="28"/>
          <w:szCs w:val="28"/>
        </w:rPr>
        <w:t xml:space="preserve"> only </w:t>
      </w:r>
      <w:r w:rsidR="006D2385" w:rsidRPr="007429EC">
        <w:rPr>
          <w:sz w:val="28"/>
          <w:szCs w:val="28"/>
        </w:rPr>
        <w:t xml:space="preserve">to be </w:t>
      </w:r>
      <w:r w:rsidRPr="007429EC">
        <w:rPr>
          <w:sz w:val="28"/>
          <w:szCs w:val="28"/>
        </w:rPr>
        <w:t xml:space="preserve">a lessee </w:t>
      </w:r>
      <w:r w:rsidR="006D2385" w:rsidRPr="007429EC">
        <w:rPr>
          <w:sz w:val="28"/>
          <w:szCs w:val="28"/>
        </w:rPr>
        <w:t xml:space="preserve">and </w:t>
      </w:r>
      <w:r w:rsidRPr="007429EC">
        <w:rPr>
          <w:sz w:val="28"/>
          <w:szCs w:val="28"/>
        </w:rPr>
        <w:t xml:space="preserve">hire the accommodation for the duration of the lease. All of this, was materially varied after the award of the tender pursuant to the decisions taken by the members of the Steering Committee. </w:t>
      </w:r>
    </w:p>
    <w:p w14:paraId="064D4D63" w14:textId="77777777" w:rsidR="00EC14CE" w:rsidRPr="007429EC" w:rsidRDefault="00EC14CE" w:rsidP="00B224C9">
      <w:pPr>
        <w:rPr>
          <w:sz w:val="28"/>
          <w:szCs w:val="28"/>
        </w:rPr>
      </w:pPr>
    </w:p>
    <w:p w14:paraId="5E9E880F" w14:textId="67075974" w:rsidR="00EC14CE" w:rsidRPr="007429EC" w:rsidRDefault="00EC14CE" w:rsidP="00B224C9">
      <w:pPr>
        <w:rPr>
          <w:sz w:val="28"/>
          <w:szCs w:val="28"/>
        </w:rPr>
      </w:pPr>
      <w:r w:rsidRPr="007429EC">
        <w:rPr>
          <w:sz w:val="28"/>
          <w:szCs w:val="28"/>
        </w:rPr>
        <w:t>[</w:t>
      </w:r>
      <w:r w:rsidR="00BD4E8F" w:rsidRPr="007429EC">
        <w:rPr>
          <w:sz w:val="28"/>
          <w:szCs w:val="28"/>
        </w:rPr>
        <w:t>107</w:t>
      </w:r>
      <w:r w:rsidRPr="007429EC">
        <w:rPr>
          <w:sz w:val="28"/>
          <w:szCs w:val="28"/>
        </w:rPr>
        <w:t>]</w:t>
      </w:r>
      <w:r w:rsidRPr="007429EC">
        <w:rPr>
          <w:sz w:val="28"/>
          <w:szCs w:val="28"/>
        </w:rPr>
        <w:tab/>
        <w:t>The foundation upon which the underlying reasoning of the high court rested in declining to overlook the delay has already been summarised in para</w:t>
      </w:r>
      <w:r w:rsidR="00BD4E8F" w:rsidRPr="007429EC">
        <w:rPr>
          <w:sz w:val="28"/>
          <w:szCs w:val="28"/>
        </w:rPr>
        <w:t>graph</w:t>
      </w:r>
      <w:r w:rsidRPr="007429EC">
        <w:rPr>
          <w:sz w:val="28"/>
          <w:szCs w:val="28"/>
        </w:rPr>
        <w:t xml:space="preserve"> </w:t>
      </w:r>
      <w:r w:rsidR="003C3AF6" w:rsidRPr="007429EC">
        <w:rPr>
          <w:sz w:val="28"/>
          <w:szCs w:val="28"/>
        </w:rPr>
        <w:t xml:space="preserve">7 </w:t>
      </w:r>
      <w:r w:rsidRPr="007429EC">
        <w:rPr>
          <w:sz w:val="28"/>
          <w:szCs w:val="28"/>
        </w:rPr>
        <w:t xml:space="preserve">above and need not be repeated here. Those factors were central to the way in which the high court ultimately exercised its discretion not to overlook the delay. Due to the fact that the high court was influenced by wrong principles or </w:t>
      </w:r>
      <w:r w:rsidR="00A4243F" w:rsidRPr="007429EC">
        <w:rPr>
          <w:sz w:val="28"/>
          <w:szCs w:val="28"/>
        </w:rPr>
        <w:t xml:space="preserve">could </w:t>
      </w:r>
      <w:r w:rsidRPr="007429EC">
        <w:rPr>
          <w:sz w:val="28"/>
          <w:szCs w:val="28"/>
        </w:rPr>
        <w:t>not reasonably have made its decision had it properly directed itself to all the relevant facts and principles</w:t>
      </w:r>
      <w:r w:rsidR="00BD4E8F" w:rsidRPr="007429EC">
        <w:rPr>
          <w:sz w:val="28"/>
          <w:szCs w:val="28"/>
        </w:rPr>
        <w:t>,</w:t>
      </w:r>
      <w:r w:rsidRPr="007429EC">
        <w:rPr>
          <w:sz w:val="28"/>
          <w:szCs w:val="28"/>
        </w:rPr>
        <w:t xml:space="preserve"> the foundation for its decision must necessarily disintegrate. Moreover, it is not in dispute that during both the evaluation and adjudication stages there were material deviations f</w:t>
      </w:r>
      <w:r w:rsidR="00A435C9" w:rsidRPr="007429EC">
        <w:rPr>
          <w:sz w:val="28"/>
          <w:szCs w:val="28"/>
        </w:rPr>
        <w:t>rom the requirements of the RFP</w:t>
      </w:r>
      <w:r w:rsidR="004B6D5A" w:rsidRPr="007429EC">
        <w:rPr>
          <w:sz w:val="28"/>
          <w:szCs w:val="28"/>
        </w:rPr>
        <w:t>s</w:t>
      </w:r>
      <w:r w:rsidRPr="007429EC">
        <w:rPr>
          <w:sz w:val="28"/>
          <w:szCs w:val="28"/>
        </w:rPr>
        <w:t>.</w:t>
      </w:r>
      <w:r w:rsidR="00A4243F" w:rsidRPr="007429EC">
        <w:rPr>
          <w:sz w:val="28"/>
          <w:szCs w:val="28"/>
        </w:rPr>
        <w:t xml:space="preserve"> This much was not contested by the respondents. Instead, the high water mark of their case, as I understood counsel, was that the department</w:t>
      </w:r>
      <w:r w:rsidR="003B6577" w:rsidRPr="007429EC">
        <w:rPr>
          <w:sz w:val="28"/>
          <w:szCs w:val="28"/>
        </w:rPr>
        <w:t>'</w:t>
      </w:r>
      <w:r w:rsidR="00A4243F" w:rsidRPr="007429EC">
        <w:rPr>
          <w:sz w:val="28"/>
          <w:szCs w:val="28"/>
        </w:rPr>
        <w:t>s role-players</w:t>
      </w:r>
      <w:r w:rsidR="00AC0C7C" w:rsidRPr="007429EC">
        <w:rPr>
          <w:sz w:val="28"/>
          <w:szCs w:val="28"/>
        </w:rPr>
        <w:t xml:space="preserve"> who were instrumental in evaluating and adjudicating the tender did not bother to take the high court into their confidence and explain why they took the decisions they did.</w:t>
      </w:r>
      <w:r w:rsidRPr="007429EC">
        <w:rPr>
          <w:sz w:val="28"/>
          <w:szCs w:val="28"/>
        </w:rPr>
        <w:t xml:space="preserve"> That there was no explanation proffered from the officials of the Department who were intimately involved in these processes to explain how these deviations came about, as should have been the case, </w:t>
      </w:r>
      <w:r w:rsidRPr="007429EC">
        <w:rPr>
          <w:sz w:val="28"/>
          <w:szCs w:val="28"/>
        </w:rPr>
        <w:lastRenderedPageBreak/>
        <w:t xml:space="preserve">cannot in my view redound to the benefit of the respondents. These relevant factors, too, were not adverted to by the high court in the exercise of its discretion. </w:t>
      </w:r>
      <w:r w:rsidR="002276E4" w:rsidRPr="007429EC">
        <w:rPr>
          <w:sz w:val="28"/>
          <w:szCs w:val="28"/>
        </w:rPr>
        <w:t xml:space="preserve">Nor, it seems, was the high court cognisant that it was dealing with a legality review and therefore vested with broader discretion than that traditionally applied to reviews under PAJA. </w:t>
      </w:r>
    </w:p>
    <w:p w14:paraId="407AD984" w14:textId="77777777" w:rsidR="004C4469" w:rsidRPr="007429EC" w:rsidRDefault="004C4469" w:rsidP="00B224C9">
      <w:pPr>
        <w:rPr>
          <w:sz w:val="32"/>
          <w:szCs w:val="28"/>
        </w:rPr>
      </w:pPr>
    </w:p>
    <w:p w14:paraId="43F771FF" w14:textId="745BCA7C" w:rsidR="004C4469" w:rsidRPr="007429EC" w:rsidRDefault="004C4469" w:rsidP="00B224C9">
      <w:pPr>
        <w:rPr>
          <w:sz w:val="28"/>
          <w:szCs w:val="28"/>
        </w:rPr>
      </w:pPr>
      <w:r w:rsidRPr="007429EC">
        <w:rPr>
          <w:sz w:val="28"/>
          <w:szCs w:val="28"/>
        </w:rPr>
        <w:t>[</w:t>
      </w:r>
      <w:r w:rsidR="00BD4E8F" w:rsidRPr="007429EC">
        <w:rPr>
          <w:sz w:val="28"/>
          <w:szCs w:val="28"/>
        </w:rPr>
        <w:t>108</w:t>
      </w:r>
      <w:r w:rsidRPr="007429EC">
        <w:rPr>
          <w:sz w:val="28"/>
          <w:szCs w:val="28"/>
        </w:rPr>
        <w:t>]</w:t>
      </w:r>
      <w:r w:rsidRPr="007429EC">
        <w:rPr>
          <w:sz w:val="28"/>
          <w:szCs w:val="28"/>
        </w:rPr>
        <w:tab/>
      </w:r>
      <w:r w:rsidR="00AC0C7C" w:rsidRPr="007429EC">
        <w:rPr>
          <w:sz w:val="28"/>
          <w:szCs w:val="28"/>
        </w:rPr>
        <w:t>As it turns out, t</w:t>
      </w:r>
      <w:r w:rsidRPr="007429EC">
        <w:rPr>
          <w:sz w:val="28"/>
          <w:szCs w:val="28"/>
        </w:rPr>
        <w:t xml:space="preserve">he interests of justice and the unexplained egregious material deviations from the tender requirements coupled with the onerous financial burden that the revision of the tender </w:t>
      </w:r>
      <w:r w:rsidR="00D62FB6" w:rsidRPr="007429EC">
        <w:rPr>
          <w:sz w:val="28"/>
          <w:szCs w:val="28"/>
        </w:rPr>
        <w:t xml:space="preserve">requirements </w:t>
      </w:r>
      <w:r w:rsidRPr="007429EC">
        <w:rPr>
          <w:sz w:val="28"/>
          <w:szCs w:val="28"/>
        </w:rPr>
        <w:t>post its award to Simeka Group are all relevant factors that</w:t>
      </w:r>
      <w:r w:rsidR="00FD2E16" w:rsidRPr="007429EC">
        <w:rPr>
          <w:sz w:val="28"/>
          <w:szCs w:val="28"/>
        </w:rPr>
        <w:t>,</w:t>
      </w:r>
      <w:r w:rsidRPr="007429EC">
        <w:rPr>
          <w:sz w:val="28"/>
          <w:szCs w:val="28"/>
        </w:rPr>
        <w:t xml:space="preserve"> amongst others, were not sufficiently accorded due weight by the high court in determining whether the unreasonable delay should be overlooked. </w:t>
      </w:r>
    </w:p>
    <w:p w14:paraId="31566918" w14:textId="134BAC1F" w:rsidR="004C4469" w:rsidRPr="007429EC" w:rsidRDefault="004C4469" w:rsidP="00B224C9">
      <w:pPr>
        <w:rPr>
          <w:sz w:val="32"/>
          <w:szCs w:val="28"/>
        </w:rPr>
      </w:pPr>
    </w:p>
    <w:p w14:paraId="5B0A9C5A" w14:textId="61B8807A" w:rsidR="004C4469" w:rsidRPr="007429EC" w:rsidRDefault="004C4469" w:rsidP="00B224C9">
      <w:pPr>
        <w:rPr>
          <w:sz w:val="28"/>
          <w:szCs w:val="28"/>
        </w:rPr>
      </w:pPr>
      <w:r w:rsidRPr="007429EC">
        <w:rPr>
          <w:sz w:val="28"/>
          <w:szCs w:val="28"/>
        </w:rPr>
        <w:t>[</w:t>
      </w:r>
      <w:r w:rsidR="00BD4E8F" w:rsidRPr="007429EC">
        <w:rPr>
          <w:sz w:val="28"/>
          <w:szCs w:val="28"/>
        </w:rPr>
        <w:t>109</w:t>
      </w:r>
      <w:r w:rsidRPr="007429EC">
        <w:rPr>
          <w:sz w:val="28"/>
          <w:szCs w:val="28"/>
        </w:rPr>
        <w:t>]</w:t>
      </w:r>
      <w:r w:rsidRPr="007429EC">
        <w:rPr>
          <w:sz w:val="28"/>
          <w:szCs w:val="28"/>
        </w:rPr>
        <w:tab/>
        <w:t xml:space="preserve">As to the interests of justice, the remarks of the Constitutional Court in </w:t>
      </w:r>
      <w:r w:rsidRPr="007429EC">
        <w:rPr>
          <w:i/>
          <w:sz w:val="28"/>
          <w:szCs w:val="28"/>
        </w:rPr>
        <w:t>Brummer v Gorfil Brothers Investments (Pty) Ltd and Others</w:t>
      </w:r>
      <w:r w:rsidRPr="007429EC">
        <w:rPr>
          <w:rStyle w:val="FootnoteReference"/>
          <w:sz w:val="28"/>
          <w:szCs w:val="28"/>
        </w:rPr>
        <w:footnoteReference w:id="99"/>
      </w:r>
      <w:r w:rsidRPr="007429EC">
        <w:rPr>
          <w:sz w:val="28"/>
          <w:szCs w:val="28"/>
        </w:rPr>
        <w:t xml:space="preserve"> are instructive. The </w:t>
      </w:r>
      <w:r w:rsidR="00BD4E8F" w:rsidRPr="007429EC">
        <w:rPr>
          <w:sz w:val="28"/>
          <w:szCs w:val="28"/>
        </w:rPr>
        <w:t xml:space="preserve">Constitutional </w:t>
      </w:r>
      <w:r w:rsidRPr="007429EC">
        <w:rPr>
          <w:sz w:val="28"/>
          <w:szCs w:val="28"/>
        </w:rPr>
        <w:t xml:space="preserve">Court </w:t>
      </w:r>
      <w:r w:rsidR="00AC0C7C" w:rsidRPr="007429EC">
        <w:rPr>
          <w:sz w:val="28"/>
          <w:szCs w:val="28"/>
        </w:rPr>
        <w:t xml:space="preserve">there </w:t>
      </w:r>
      <w:r w:rsidRPr="007429EC">
        <w:rPr>
          <w:sz w:val="28"/>
          <w:szCs w:val="28"/>
        </w:rPr>
        <w:t>said that:</w:t>
      </w:r>
    </w:p>
    <w:p w14:paraId="5DE6D10E" w14:textId="0B165FCF" w:rsidR="004C4469" w:rsidRPr="007429EC" w:rsidRDefault="003B6577" w:rsidP="00B224C9">
      <w:pPr>
        <w:rPr>
          <w:szCs w:val="28"/>
        </w:rPr>
      </w:pPr>
      <w:r w:rsidRPr="007429EC">
        <w:rPr>
          <w:szCs w:val="28"/>
        </w:rPr>
        <w:t>'</w:t>
      </w:r>
      <w:r w:rsidR="004C4469" w:rsidRPr="007429EC">
        <w:rPr>
          <w:szCs w:val="28"/>
        </w:rPr>
        <w:t>The interests of justice must be determined by reference to all relevant factors including the nature of the relief sought, the extent and cause of the delay, the nature and cause of any other defect in respect of which condonation is sought, the effect on the administration of justice, prejudice and the reasonableness of the applicant</w:t>
      </w:r>
      <w:r w:rsidRPr="007429EC">
        <w:rPr>
          <w:szCs w:val="28"/>
        </w:rPr>
        <w:t>'</w:t>
      </w:r>
      <w:r w:rsidR="00BD4E8F" w:rsidRPr="007429EC">
        <w:rPr>
          <w:szCs w:val="28"/>
        </w:rPr>
        <w:t>s explanation for the delay</w:t>
      </w:r>
      <w:r w:rsidR="00207808" w:rsidRPr="007429EC">
        <w:rPr>
          <w:szCs w:val="28"/>
        </w:rPr>
        <w:t xml:space="preserve"> </w:t>
      </w:r>
      <w:r w:rsidR="004C4469" w:rsidRPr="007429EC">
        <w:rPr>
          <w:szCs w:val="28"/>
        </w:rPr>
        <w:t>...</w:t>
      </w:r>
      <w:r w:rsidR="00BD4E8F" w:rsidRPr="007429EC">
        <w:rPr>
          <w:szCs w:val="28"/>
        </w:rPr>
        <w:t xml:space="preserve"> .</w:t>
      </w:r>
      <w:r w:rsidRPr="007429EC">
        <w:rPr>
          <w:szCs w:val="28"/>
        </w:rPr>
        <w:t>'</w:t>
      </w:r>
      <w:r w:rsidR="004C4469" w:rsidRPr="007429EC">
        <w:rPr>
          <w:rStyle w:val="FootnoteReference"/>
          <w:szCs w:val="28"/>
        </w:rPr>
        <w:footnoteReference w:id="100"/>
      </w:r>
    </w:p>
    <w:p w14:paraId="67A2C048" w14:textId="77777777" w:rsidR="000877A0" w:rsidRPr="007429EC" w:rsidRDefault="000877A0" w:rsidP="00B224C9">
      <w:pPr>
        <w:rPr>
          <w:sz w:val="28"/>
          <w:szCs w:val="28"/>
        </w:rPr>
      </w:pPr>
    </w:p>
    <w:p w14:paraId="69B77B4C" w14:textId="789ABEC4" w:rsidR="000877A0" w:rsidRPr="007429EC" w:rsidRDefault="004C4469" w:rsidP="00B224C9">
      <w:pPr>
        <w:rPr>
          <w:sz w:val="28"/>
          <w:szCs w:val="28"/>
        </w:rPr>
      </w:pPr>
      <w:r w:rsidRPr="007429EC">
        <w:rPr>
          <w:sz w:val="28"/>
          <w:szCs w:val="28"/>
        </w:rPr>
        <w:t>[</w:t>
      </w:r>
      <w:r w:rsidR="00BD4E8F" w:rsidRPr="007429EC">
        <w:rPr>
          <w:sz w:val="28"/>
          <w:szCs w:val="28"/>
        </w:rPr>
        <w:t>110</w:t>
      </w:r>
      <w:r w:rsidRPr="007429EC">
        <w:rPr>
          <w:sz w:val="28"/>
          <w:szCs w:val="28"/>
        </w:rPr>
        <w:t>]</w:t>
      </w:r>
      <w:r w:rsidRPr="007429EC">
        <w:rPr>
          <w:sz w:val="28"/>
          <w:szCs w:val="28"/>
        </w:rPr>
        <w:tab/>
        <w:t xml:space="preserve">In similar </w:t>
      </w:r>
      <w:r w:rsidR="00AC0C7C" w:rsidRPr="007429EC">
        <w:rPr>
          <w:sz w:val="28"/>
          <w:szCs w:val="28"/>
        </w:rPr>
        <w:t>v</w:t>
      </w:r>
      <w:r w:rsidRPr="007429EC">
        <w:rPr>
          <w:sz w:val="28"/>
          <w:szCs w:val="28"/>
        </w:rPr>
        <w:t xml:space="preserve">ein, this Court emphasised in </w:t>
      </w:r>
      <w:r w:rsidR="0097248F" w:rsidRPr="007429EC">
        <w:rPr>
          <w:i/>
          <w:sz w:val="28"/>
          <w:szCs w:val="28"/>
        </w:rPr>
        <w:t>Aurecon South Africa (Pty) Ltd v City of Cape Town</w:t>
      </w:r>
      <w:r w:rsidR="004458BD" w:rsidRPr="007429EC">
        <w:rPr>
          <w:sz w:val="28"/>
          <w:szCs w:val="28"/>
        </w:rPr>
        <w:t>,</w:t>
      </w:r>
      <w:r w:rsidR="0097248F" w:rsidRPr="007429EC">
        <w:rPr>
          <w:rStyle w:val="FootnoteReference"/>
          <w:sz w:val="28"/>
          <w:szCs w:val="28"/>
        </w:rPr>
        <w:footnoteReference w:id="101"/>
      </w:r>
      <w:r w:rsidR="0097248F" w:rsidRPr="007429EC">
        <w:rPr>
          <w:sz w:val="28"/>
          <w:szCs w:val="28"/>
        </w:rPr>
        <w:t xml:space="preserve"> with reference to judicial authority</w:t>
      </w:r>
      <w:r w:rsidR="004458BD" w:rsidRPr="007429EC">
        <w:rPr>
          <w:sz w:val="28"/>
          <w:szCs w:val="28"/>
        </w:rPr>
        <w:t>,</w:t>
      </w:r>
      <w:r w:rsidR="0097248F" w:rsidRPr="007429EC">
        <w:rPr>
          <w:sz w:val="28"/>
          <w:szCs w:val="28"/>
        </w:rPr>
        <w:t xml:space="preserve"> that </w:t>
      </w:r>
      <w:r w:rsidR="003B6577" w:rsidRPr="007429EC">
        <w:rPr>
          <w:sz w:val="28"/>
          <w:szCs w:val="28"/>
        </w:rPr>
        <w:t>'</w:t>
      </w:r>
      <w:r w:rsidR="0097248F" w:rsidRPr="007429EC">
        <w:rPr>
          <w:sz w:val="28"/>
          <w:szCs w:val="28"/>
        </w:rPr>
        <w:t>[w]hether it is in the interests of justice to condone a delay depends entirely on the fact</w:t>
      </w:r>
      <w:r w:rsidR="00AC0C7C" w:rsidRPr="007429EC">
        <w:rPr>
          <w:sz w:val="28"/>
          <w:szCs w:val="28"/>
        </w:rPr>
        <w:t>s</w:t>
      </w:r>
      <w:r w:rsidR="0097248F" w:rsidRPr="007429EC">
        <w:rPr>
          <w:sz w:val="28"/>
          <w:szCs w:val="28"/>
        </w:rPr>
        <w:t xml:space="preserve"> and circumstances of each case. The relevant factors in that enquiry generally include </w:t>
      </w:r>
      <w:r w:rsidR="0097248F" w:rsidRPr="007429EC">
        <w:rPr>
          <w:sz w:val="28"/>
          <w:szCs w:val="28"/>
        </w:rPr>
        <w:lastRenderedPageBreak/>
        <w:t>the nature of the relief sought, the extent and cause of the delay, its effect on the administration of justice and other litigants,</w:t>
      </w:r>
      <w:r w:rsidR="006E58A0" w:rsidRPr="007429EC">
        <w:rPr>
          <w:sz w:val="28"/>
          <w:szCs w:val="28"/>
        </w:rPr>
        <w:t xml:space="preserve"> </w:t>
      </w:r>
      <w:r w:rsidR="0097248F" w:rsidRPr="007429EC">
        <w:rPr>
          <w:sz w:val="28"/>
          <w:szCs w:val="28"/>
        </w:rPr>
        <w:t>…</w:t>
      </w:r>
      <w:r w:rsidR="006E58A0" w:rsidRPr="007429EC">
        <w:rPr>
          <w:sz w:val="28"/>
          <w:szCs w:val="28"/>
        </w:rPr>
        <w:t xml:space="preserve"> </w:t>
      </w:r>
      <w:r w:rsidR="0097248F" w:rsidRPr="007429EC">
        <w:rPr>
          <w:sz w:val="28"/>
          <w:szCs w:val="28"/>
        </w:rPr>
        <w:t>the importance of the issue to be raised, and the prospects of success</w:t>
      </w:r>
      <w:r w:rsidR="003B6577" w:rsidRPr="007429EC">
        <w:rPr>
          <w:sz w:val="28"/>
          <w:szCs w:val="28"/>
        </w:rPr>
        <w:t>'</w:t>
      </w:r>
      <w:r w:rsidR="0097248F" w:rsidRPr="007429EC">
        <w:rPr>
          <w:sz w:val="28"/>
          <w:szCs w:val="28"/>
        </w:rPr>
        <w:t xml:space="preserve">. </w:t>
      </w:r>
    </w:p>
    <w:p w14:paraId="65719F40" w14:textId="77777777" w:rsidR="0097248F" w:rsidRPr="007429EC" w:rsidRDefault="0097248F" w:rsidP="00B224C9">
      <w:pPr>
        <w:rPr>
          <w:sz w:val="28"/>
          <w:szCs w:val="28"/>
        </w:rPr>
      </w:pPr>
    </w:p>
    <w:p w14:paraId="52F7573B" w14:textId="639561F5" w:rsidR="0097248F" w:rsidRPr="007429EC" w:rsidRDefault="0097248F" w:rsidP="00B224C9">
      <w:pPr>
        <w:rPr>
          <w:sz w:val="28"/>
          <w:szCs w:val="28"/>
        </w:rPr>
      </w:pPr>
      <w:r w:rsidRPr="007429EC">
        <w:rPr>
          <w:sz w:val="28"/>
          <w:szCs w:val="28"/>
        </w:rPr>
        <w:t>[</w:t>
      </w:r>
      <w:r w:rsidR="00BD4E8F" w:rsidRPr="007429EC">
        <w:rPr>
          <w:sz w:val="28"/>
          <w:szCs w:val="28"/>
        </w:rPr>
        <w:t>111</w:t>
      </w:r>
      <w:r w:rsidRPr="007429EC">
        <w:rPr>
          <w:sz w:val="28"/>
          <w:szCs w:val="28"/>
        </w:rPr>
        <w:t>]</w:t>
      </w:r>
      <w:r w:rsidRPr="007429EC">
        <w:rPr>
          <w:sz w:val="28"/>
          <w:szCs w:val="28"/>
        </w:rPr>
        <w:tab/>
        <w:t>Notwithstanding the fact that the explanation for the delay is not entirely satisfactory in certain respects</w:t>
      </w:r>
      <w:r w:rsidR="00AC0C7C" w:rsidRPr="007429EC">
        <w:rPr>
          <w:sz w:val="28"/>
          <w:szCs w:val="28"/>
        </w:rPr>
        <w:t>,</w:t>
      </w:r>
      <w:r w:rsidRPr="007429EC">
        <w:rPr>
          <w:sz w:val="28"/>
          <w:szCs w:val="28"/>
        </w:rPr>
        <w:t xml:space="preserve"> this</w:t>
      </w:r>
      <w:r w:rsidR="00AC0C7C" w:rsidRPr="007429EC">
        <w:rPr>
          <w:sz w:val="28"/>
          <w:szCs w:val="28"/>
        </w:rPr>
        <w:t xml:space="preserve"> shortcoming</w:t>
      </w:r>
      <w:r w:rsidRPr="007429EC">
        <w:rPr>
          <w:sz w:val="28"/>
          <w:szCs w:val="28"/>
        </w:rPr>
        <w:t xml:space="preserve"> is compensated by the strong prospects in favour of the Department</w:t>
      </w:r>
      <w:r w:rsidR="00BD4E8F" w:rsidRPr="007429EC">
        <w:rPr>
          <w:sz w:val="28"/>
          <w:szCs w:val="28"/>
        </w:rPr>
        <w:t>.</w:t>
      </w:r>
      <w:r w:rsidRPr="007429EC">
        <w:rPr>
          <w:sz w:val="28"/>
          <w:szCs w:val="28"/>
        </w:rPr>
        <w:t xml:space="preserve"> </w:t>
      </w:r>
      <w:r w:rsidR="00BD4E8F" w:rsidRPr="007429EC">
        <w:rPr>
          <w:sz w:val="28"/>
          <w:szCs w:val="28"/>
        </w:rPr>
        <w:t>I</w:t>
      </w:r>
      <w:r w:rsidRPr="007429EC">
        <w:rPr>
          <w:sz w:val="28"/>
          <w:szCs w:val="28"/>
        </w:rPr>
        <w:t>n particular</w:t>
      </w:r>
      <w:r w:rsidR="00AC0C7C" w:rsidRPr="007429EC">
        <w:rPr>
          <w:sz w:val="28"/>
          <w:szCs w:val="28"/>
        </w:rPr>
        <w:t>,</w:t>
      </w:r>
      <w:r w:rsidRPr="007429EC">
        <w:rPr>
          <w:sz w:val="28"/>
          <w:szCs w:val="28"/>
        </w:rPr>
        <w:t xml:space="preserve"> the enormous financial burden that would be assumed by the Department following the material deviations from the tender requirements </w:t>
      </w:r>
      <w:r w:rsidR="00453BB4" w:rsidRPr="007429EC">
        <w:rPr>
          <w:sz w:val="28"/>
          <w:szCs w:val="28"/>
        </w:rPr>
        <w:t xml:space="preserve">as against </w:t>
      </w:r>
      <w:r w:rsidR="00AC0C7C" w:rsidRPr="007429EC">
        <w:rPr>
          <w:sz w:val="28"/>
          <w:szCs w:val="28"/>
        </w:rPr>
        <w:t xml:space="preserve">the </w:t>
      </w:r>
      <w:r w:rsidRPr="007429EC">
        <w:rPr>
          <w:sz w:val="28"/>
          <w:szCs w:val="28"/>
        </w:rPr>
        <w:t xml:space="preserve">huge financial rewards that the Simeka Group stands to reap if the tender remains intact in its revised </w:t>
      </w:r>
      <w:r w:rsidR="00AC0C7C" w:rsidRPr="007429EC">
        <w:rPr>
          <w:sz w:val="28"/>
          <w:szCs w:val="28"/>
        </w:rPr>
        <w:t>form</w:t>
      </w:r>
      <w:r w:rsidR="00453BB4" w:rsidRPr="007429EC">
        <w:rPr>
          <w:sz w:val="28"/>
          <w:szCs w:val="28"/>
        </w:rPr>
        <w:t>. As already indicated above, the</w:t>
      </w:r>
      <w:r w:rsidRPr="007429EC">
        <w:rPr>
          <w:sz w:val="28"/>
          <w:szCs w:val="28"/>
        </w:rPr>
        <w:t xml:space="preserve"> tender envisaged that Simeka Group –</w:t>
      </w:r>
      <w:r w:rsidR="00A21AC5" w:rsidRPr="007429EC">
        <w:rPr>
          <w:sz w:val="28"/>
          <w:szCs w:val="28"/>
        </w:rPr>
        <w:t xml:space="preserve"> and not the Department – </w:t>
      </w:r>
      <w:r w:rsidR="00AC0C7C" w:rsidRPr="007429EC">
        <w:rPr>
          <w:sz w:val="28"/>
          <w:szCs w:val="28"/>
        </w:rPr>
        <w:t xml:space="preserve">must </w:t>
      </w:r>
      <w:r w:rsidR="00A21AC5" w:rsidRPr="007429EC">
        <w:rPr>
          <w:sz w:val="28"/>
          <w:szCs w:val="28"/>
        </w:rPr>
        <w:t>alone provide the funding for the project</w:t>
      </w:r>
      <w:r w:rsidR="00453BB4" w:rsidRPr="007429EC">
        <w:rPr>
          <w:sz w:val="28"/>
          <w:szCs w:val="28"/>
        </w:rPr>
        <w:t xml:space="preserve"> and bear sole responsibility for the operational costs of the project</w:t>
      </w:r>
      <w:r w:rsidR="00A21AC5" w:rsidRPr="007429EC">
        <w:rPr>
          <w:sz w:val="28"/>
          <w:szCs w:val="28"/>
        </w:rPr>
        <w:t>. The cumulative effect of these factors and the high stakes</w:t>
      </w:r>
      <w:r w:rsidR="00AC0C7C" w:rsidRPr="007429EC">
        <w:rPr>
          <w:sz w:val="28"/>
          <w:szCs w:val="28"/>
        </w:rPr>
        <w:t>,</w:t>
      </w:r>
      <w:r w:rsidR="00A21AC5" w:rsidRPr="007429EC">
        <w:rPr>
          <w:sz w:val="28"/>
          <w:szCs w:val="28"/>
        </w:rPr>
        <w:t xml:space="preserve"> especially for the Department, impels the conclusion that </w:t>
      </w:r>
      <w:r w:rsidR="00AC0C7C" w:rsidRPr="007429EC">
        <w:rPr>
          <w:sz w:val="28"/>
          <w:szCs w:val="28"/>
        </w:rPr>
        <w:t xml:space="preserve">the delay </w:t>
      </w:r>
      <w:r w:rsidR="00A21AC5" w:rsidRPr="007429EC">
        <w:rPr>
          <w:sz w:val="28"/>
          <w:szCs w:val="28"/>
        </w:rPr>
        <w:t xml:space="preserve">ought to be overlooked and the substantive merits of the review be considered. </w:t>
      </w:r>
      <w:r w:rsidR="00AC0C7C" w:rsidRPr="007429EC">
        <w:rPr>
          <w:sz w:val="28"/>
          <w:szCs w:val="28"/>
        </w:rPr>
        <w:t>In these circumstances</w:t>
      </w:r>
      <w:r w:rsidR="006E58A0" w:rsidRPr="007429EC">
        <w:rPr>
          <w:sz w:val="28"/>
          <w:szCs w:val="28"/>
        </w:rPr>
        <w:t>,</w:t>
      </w:r>
      <w:r w:rsidR="00AC0C7C" w:rsidRPr="007429EC">
        <w:rPr>
          <w:sz w:val="28"/>
          <w:szCs w:val="28"/>
        </w:rPr>
        <w:t xml:space="preserve"> the present is </w:t>
      </w:r>
      <w:r w:rsidR="00453BB4" w:rsidRPr="007429EC">
        <w:rPr>
          <w:sz w:val="28"/>
          <w:szCs w:val="28"/>
        </w:rPr>
        <w:t>an appropriate</w:t>
      </w:r>
      <w:r w:rsidR="00AC0C7C" w:rsidRPr="007429EC">
        <w:rPr>
          <w:sz w:val="28"/>
          <w:szCs w:val="28"/>
        </w:rPr>
        <w:t xml:space="preserve"> case where the high court should have exercised its </w:t>
      </w:r>
      <w:r w:rsidR="003B6577" w:rsidRPr="007429EC">
        <w:rPr>
          <w:sz w:val="28"/>
          <w:szCs w:val="28"/>
        </w:rPr>
        <w:t>'</w:t>
      </w:r>
      <w:r w:rsidR="00AC0C7C" w:rsidRPr="007429EC">
        <w:rPr>
          <w:sz w:val="28"/>
          <w:szCs w:val="28"/>
        </w:rPr>
        <w:t>broader discretion in the context of a legality review</w:t>
      </w:r>
      <w:r w:rsidR="003B6577" w:rsidRPr="007429EC">
        <w:rPr>
          <w:sz w:val="28"/>
          <w:szCs w:val="28"/>
        </w:rPr>
        <w:t>'</w:t>
      </w:r>
      <w:r w:rsidR="00AC0C7C" w:rsidRPr="007429EC">
        <w:rPr>
          <w:sz w:val="28"/>
          <w:szCs w:val="28"/>
        </w:rPr>
        <w:t xml:space="preserve"> by overlooking the unreasonable delay encountered in this case. </w:t>
      </w:r>
    </w:p>
    <w:p w14:paraId="579DE9D4" w14:textId="77777777" w:rsidR="00652C97" w:rsidRPr="007429EC" w:rsidRDefault="00652C97" w:rsidP="00B224C9">
      <w:pPr>
        <w:rPr>
          <w:sz w:val="28"/>
          <w:szCs w:val="28"/>
        </w:rPr>
      </w:pPr>
    </w:p>
    <w:p w14:paraId="60205F20" w14:textId="59922399" w:rsidR="00652C97" w:rsidRPr="007429EC" w:rsidRDefault="00652C97" w:rsidP="00B224C9">
      <w:pPr>
        <w:rPr>
          <w:sz w:val="28"/>
          <w:szCs w:val="28"/>
        </w:rPr>
      </w:pPr>
      <w:r w:rsidRPr="007429EC">
        <w:rPr>
          <w:sz w:val="28"/>
          <w:szCs w:val="28"/>
        </w:rPr>
        <w:t>[</w:t>
      </w:r>
      <w:r w:rsidR="001B51B0" w:rsidRPr="007429EC">
        <w:rPr>
          <w:sz w:val="28"/>
          <w:szCs w:val="28"/>
        </w:rPr>
        <w:t>112</w:t>
      </w:r>
      <w:r w:rsidRPr="007429EC">
        <w:rPr>
          <w:sz w:val="28"/>
          <w:szCs w:val="28"/>
        </w:rPr>
        <w:t>]</w:t>
      </w:r>
      <w:r w:rsidRPr="007429EC">
        <w:rPr>
          <w:sz w:val="28"/>
          <w:szCs w:val="28"/>
        </w:rPr>
        <w:tab/>
        <w:t xml:space="preserve">To sum up: approaching </w:t>
      </w:r>
      <w:r w:rsidR="00D04897" w:rsidRPr="007429EC">
        <w:rPr>
          <w:sz w:val="28"/>
          <w:szCs w:val="28"/>
        </w:rPr>
        <w:t xml:space="preserve">the matter holistically, one cannot say with conviction that the government parties were not in certain respects tardy in bringing the review application. Thus, to a limited extent, one is constrained to share the reserve expressed by the respondents that the review application </w:t>
      </w:r>
      <w:r w:rsidR="008F4348" w:rsidRPr="007429EC">
        <w:rPr>
          <w:sz w:val="28"/>
          <w:szCs w:val="28"/>
        </w:rPr>
        <w:t>c</w:t>
      </w:r>
      <w:r w:rsidR="00D04897" w:rsidRPr="007429EC">
        <w:rPr>
          <w:sz w:val="28"/>
          <w:szCs w:val="28"/>
        </w:rPr>
        <w:t xml:space="preserve">ould and should have been instituted much earlier than what happened in this case. Nevertheless, that </w:t>
      </w:r>
      <w:r w:rsidR="007E3271" w:rsidRPr="007429EC">
        <w:rPr>
          <w:sz w:val="28"/>
          <w:szCs w:val="28"/>
        </w:rPr>
        <w:t xml:space="preserve">the delay </w:t>
      </w:r>
      <w:r w:rsidR="00D04897" w:rsidRPr="007429EC">
        <w:rPr>
          <w:sz w:val="28"/>
          <w:szCs w:val="28"/>
        </w:rPr>
        <w:t xml:space="preserve">in this case, although inordinate, did not manifest indifference to what was at stake is a weighty consideration that must tip the scales in favour of overlooking </w:t>
      </w:r>
      <w:r w:rsidR="00D04897" w:rsidRPr="007429EC">
        <w:rPr>
          <w:sz w:val="28"/>
          <w:szCs w:val="28"/>
        </w:rPr>
        <w:lastRenderedPageBreak/>
        <w:t xml:space="preserve">the delay. This is particularly so, if the interests of justice, the substantive merits of the review itself, </w:t>
      </w:r>
      <w:r w:rsidR="00976AF0" w:rsidRPr="007429EC">
        <w:rPr>
          <w:sz w:val="28"/>
          <w:szCs w:val="28"/>
        </w:rPr>
        <w:t xml:space="preserve">and </w:t>
      </w:r>
      <w:r w:rsidR="00D04897" w:rsidRPr="007429EC">
        <w:rPr>
          <w:sz w:val="28"/>
          <w:szCs w:val="28"/>
        </w:rPr>
        <w:t xml:space="preserve">the extent of the material deviations from the requirements of the RFPs </w:t>
      </w:r>
      <w:r w:rsidR="00FD2E16" w:rsidRPr="007429EC">
        <w:rPr>
          <w:sz w:val="28"/>
          <w:szCs w:val="28"/>
        </w:rPr>
        <w:t>coupled</w:t>
      </w:r>
      <w:r w:rsidR="00D04897" w:rsidRPr="007429EC">
        <w:rPr>
          <w:sz w:val="28"/>
          <w:szCs w:val="28"/>
        </w:rPr>
        <w:t xml:space="preserve"> with the whopping amount that would be foisted on the Department and indeed the fiscus if the review is dismissed solely on the basis of delay without regard to the </w:t>
      </w:r>
      <w:r w:rsidR="00976AF0" w:rsidRPr="007429EC">
        <w:rPr>
          <w:sz w:val="28"/>
          <w:szCs w:val="28"/>
        </w:rPr>
        <w:t>substantive</w:t>
      </w:r>
      <w:r w:rsidR="00D04897" w:rsidRPr="007429EC">
        <w:rPr>
          <w:sz w:val="28"/>
          <w:szCs w:val="28"/>
        </w:rPr>
        <w:t xml:space="preserve"> merits of the review. </w:t>
      </w:r>
      <w:r w:rsidR="00453BB4" w:rsidRPr="007429EC">
        <w:rPr>
          <w:sz w:val="28"/>
          <w:szCs w:val="28"/>
        </w:rPr>
        <w:t xml:space="preserve">Accordingly, given the egregious nature of the infractions that occurred during the procurement process in this case, the interests of justice dictate that procedural obstacles ought not to be allowed to stand in the way of inquiring into the lawfulness or otherwise of the exercise of public power. </w:t>
      </w:r>
    </w:p>
    <w:p w14:paraId="5E056D0B" w14:textId="77777777" w:rsidR="00A21AC5" w:rsidRPr="007429EC" w:rsidRDefault="00A21AC5" w:rsidP="00B224C9">
      <w:pPr>
        <w:rPr>
          <w:sz w:val="28"/>
          <w:szCs w:val="28"/>
        </w:rPr>
      </w:pPr>
    </w:p>
    <w:p w14:paraId="113536F6" w14:textId="2620AB2A" w:rsidR="00A21AC5" w:rsidRPr="007429EC" w:rsidRDefault="00A21AC5" w:rsidP="00B224C9">
      <w:pPr>
        <w:rPr>
          <w:sz w:val="28"/>
          <w:szCs w:val="28"/>
        </w:rPr>
      </w:pPr>
      <w:r w:rsidRPr="007429EC">
        <w:rPr>
          <w:sz w:val="28"/>
          <w:szCs w:val="28"/>
        </w:rPr>
        <w:t>[</w:t>
      </w:r>
      <w:r w:rsidR="001B51B0" w:rsidRPr="007429EC">
        <w:rPr>
          <w:sz w:val="28"/>
          <w:szCs w:val="28"/>
        </w:rPr>
        <w:t>113</w:t>
      </w:r>
      <w:r w:rsidRPr="007429EC">
        <w:rPr>
          <w:sz w:val="28"/>
          <w:szCs w:val="28"/>
        </w:rPr>
        <w:t>]</w:t>
      </w:r>
      <w:r w:rsidRPr="007429EC">
        <w:rPr>
          <w:sz w:val="28"/>
          <w:szCs w:val="28"/>
        </w:rPr>
        <w:tab/>
        <w:t xml:space="preserve">It is therefore my judgment that the high court failed </w:t>
      </w:r>
      <w:r w:rsidR="001B51B0" w:rsidRPr="007429EC">
        <w:rPr>
          <w:sz w:val="28"/>
          <w:szCs w:val="28"/>
        </w:rPr>
        <w:t xml:space="preserve">to </w:t>
      </w:r>
      <w:r w:rsidRPr="007429EC">
        <w:rPr>
          <w:sz w:val="28"/>
          <w:szCs w:val="28"/>
        </w:rPr>
        <w:t>properly exercise a judicial discretion as enjoined by judicial authority. The inevitable consequence of this conclusion is that this Court is at large to itself exercise the discretion</w:t>
      </w:r>
      <w:r w:rsidR="0044097F" w:rsidRPr="007429EC">
        <w:rPr>
          <w:sz w:val="28"/>
          <w:szCs w:val="28"/>
        </w:rPr>
        <w:t xml:space="preserve"> and, for the reasons already stated, to overlook the delay in instituting the review proceedings</w:t>
      </w:r>
      <w:r w:rsidRPr="007429EC">
        <w:rPr>
          <w:sz w:val="28"/>
          <w:szCs w:val="28"/>
        </w:rPr>
        <w:t xml:space="preserve">. </w:t>
      </w:r>
    </w:p>
    <w:p w14:paraId="63ACA2AE" w14:textId="77777777" w:rsidR="00A21AC5" w:rsidRPr="007429EC" w:rsidRDefault="00A21AC5" w:rsidP="00B224C9">
      <w:pPr>
        <w:rPr>
          <w:sz w:val="28"/>
          <w:szCs w:val="28"/>
        </w:rPr>
      </w:pPr>
    </w:p>
    <w:p w14:paraId="70E9E924" w14:textId="582FA368" w:rsidR="00A21AC5" w:rsidRPr="007429EC" w:rsidRDefault="00A21AC5" w:rsidP="00B224C9">
      <w:pPr>
        <w:rPr>
          <w:sz w:val="28"/>
          <w:szCs w:val="28"/>
        </w:rPr>
      </w:pPr>
      <w:r w:rsidRPr="007429EC">
        <w:rPr>
          <w:b/>
          <w:sz w:val="28"/>
          <w:szCs w:val="28"/>
        </w:rPr>
        <w:t>Relief</w:t>
      </w:r>
    </w:p>
    <w:p w14:paraId="369CB2FC" w14:textId="30197932" w:rsidR="00A21AC5" w:rsidRPr="007429EC" w:rsidRDefault="00A21AC5" w:rsidP="00B224C9">
      <w:pPr>
        <w:rPr>
          <w:sz w:val="28"/>
          <w:szCs w:val="28"/>
        </w:rPr>
      </w:pPr>
      <w:r w:rsidRPr="007429EC">
        <w:rPr>
          <w:sz w:val="28"/>
          <w:szCs w:val="28"/>
        </w:rPr>
        <w:t>[</w:t>
      </w:r>
      <w:r w:rsidR="001B51B0" w:rsidRPr="007429EC">
        <w:rPr>
          <w:sz w:val="28"/>
          <w:szCs w:val="28"/>
        </w:rPr>
        <w:t>114</w:t>
      </w:r>
      <w:r w:rsidRPr="007429EC">
        <w:rPr>
          <w:sz w:val="28"/>
          <w:szCs w:val="28"/>
        </w:rPr>
        <w:t>]</w:t>
      </w:r>
      <w:r w:rsidRPr="007429EC">
        <w:rPr>
          <w:sz w:val="28"/>
          <w:szCs w:val="28"/>
        </w:rPr>
        <w:tab/>
        <w:t xml:space="preserve">In paragraph 4 of their notice of motion, the </w:t>
      </w:r>
      <w:r w:rsidR="00D552DD" w:rsidRPr="007429EC">
        <w:rPr>
          <w:sz w:val="28"/>
          <w:szCs w:val="28"/>
        </w:rPr>
        <w:t>g</w:t>
      </w:r>
      <w:r w:rsidRPr="007429EC">
        <w:rPr>
          <w:sz w:val="28"/>
          <w:szCs w:val="28"/>
        </w:rPr>
        <w:t xml:space="preserve">overnment parties sought an order directing the respondents to repay the Rand equivalent of the deposit that the Department paid towards the acquisition of the land in the </w:t>
      </w:r>
      <w:r w:rsidR="001B51B0" w:rsidRPr="007429EC">
        <w:rPr>
          <w:sz w:val="28"/>
          <w:szCs w:val="28"/>
        </w:rPr>
        <w:t>USA</w:t>
      </w:r>
      <w:r w:rsidRPr="007429EC">
        <w:rPr>
          <w:sz w:val="28"/>
          <w:szCs w:val="28"/>
        </w:rPr>
        <w:t xml:space="preserve">. The Department paid a deposit of US $9 million. It also claimed interest on this amount at the prescribed rate from </w:t>
      </w:r>
      <w:r w:rsidR="00976AF0" w:rsidRPr="007429EC">
        <w:rPr>
          <w:sz w:val="28"/>
          <w:szCs w:val="28"/>
        </w:rPr>
        <w:t xml:space="preserve">the date on which </w:t>
      </w:r>
      <w:r w:rsidRPr="007429EC">
        <w:rPr>
          <w:sz w:val="28"/>
          <w:szCs w:val="28"/>
        </w:rPr>
        <w:t xml:space="preserve">the high court </w:t>
      </w:r>
      <w:r w:rsidR="00FD2E16" w:rsidRPr="007429EC">
        <w:rPr>
          <w:sz w:val="28"/>
          <w:szCs w:val="28"/>
        </w:rPr>
        <w:t>order</w:t>
      </w:r>
      <w:r w:rsidR="00976AF0" w:rsidRPr="007429EC">
        <w:rPr>
          <w:sz w:val="28"/>
          <w:szCs w:val="28"/>
        </w:rPr>
        <w:t xml:space="preserve"> </w:t>
      </w:r>
      <w:r w:rsidRPr="007429EC">
        <w:rPr>
          <w:sz w:val="28"/>
          <w:szCs w:val="28"/>
        </w:rPr>
        <w:t>repayment of the deposit. The conclusion reached in this judgment as to the merits of the review is that the award of the tender to the Joint Venture was not in accordance with constitutional prescripts. In terms of s 172(1)</w:t>
      </w:r>
      <w:r w:rsidRPr="007429EC">
        <w:rPr>
          <w:i/>
          <w:sz w:val="28"/>
          <w:szCs w:val="28"/>
        </w:rPr>
        <w:t>(a)</w:t>
      </w:r>
      <w:r w:rsidRPr="007429EC">
        <w:rPr>
          <w:rStyle w:val="FootnoteReference"/>
          <w:sz w:val="28"/>
          <w:szCs w:val="28"/>
        </w:rPr>
        <w:footnoteReference w:id="102"/>
      </w:r>
      <w:r w:rsidR="0069044F" w:rsidRPr="007429EC">
        <w:rPr>
          <w:sz w:val="28"/>
          <w:szCs w:val="28"/>
        </w:rPr>
        <w:t xml:space="preserve"> of the Constitution our courts are obliged to </w:t>
      </w:r>
      <w:r w:rsidR="0069044F" w:rsidRPr="007429EC">
        <w:rPr>
          <w:sz w:val="28"/>
          <w:szCs w:val="28"/>
        </w:rPr>
        <w:lastRenderedPageBreak/>
        <w:t>declare any law or conduct that is inconsistent with the Constitution invalid to the extent of its inconsistency. However, in order to ameliorate the harsh consequences flowing from a declaration of invalidity</w:t>
      </w:r>
      <w:r w:rsidR="00976AF0" w:rsidRPr="007429EC">
        <w:rPr>
          <w:sz w:val="28"/>
          <w:szCs w:val="28"/>
        </w:rPr>
        <w:t>, our</w:t>
      </w:r>
      <w:r w:rsidR="0069044F" w:rsidRPr="007429EC">
        <w:rPr>
          <w:sz w:val="28"/>
          <w:szCs w:val="28"/>
        </w:rPr>
        <w:t xml:space="preserve"> courts are empowered under s 172(1)</w:t>
      </w:r>
      <w:r w:rsidR="0069044F" w:rsidRPr="007429EC">
        <w:rPr>
          <w:i/>
          <w:sz w:val="28"/>
          <w:szCs w:val="28"/>
        </w:rPr>
        <w:t>(b)</w:t>
      </w:r>
      <w:r w:rsidR="0069044F" w:rsidRPr="007429EC">
        <w:rPr>
          <w:sz w:val="28"/>
          <w:szCs w:val="28"/>
        </w:rPr>
        <w:t xml:space="preserve"> of the Constitution to make </w:t>
      </w:r>
      <w:r w:rsidR="003B6577" w:rsidRPr="007429EC">
        <w:rPr>
          <w:sz w:val="28"/>
          <w:szCs w:val="28"/>
        </w:rPr>
        <w:t>'</w:t>
      </w:r>
      <w:r w:rsidR="0069044F" w:rsidRPr="007429EC">
        <w:rPr>
          <w:sz w:val="28"/>
          <w:szCs w:val="28"/>
        </w:rPr>
        <w:t>any order that is just and equitable</w:t>
      </w:r>
      <w:r w:rsidR="003B6577" w:rsidRPr="007429EC">
        <w:rPr>
          <w:sz w:val="28"/>
          <w:szCs w:val="28"/>
        </w:rPr>
        <w:t>'</w:t>
      </w:r>
      <w:r w:rsidR="0069044F" w:rsidRPr="007429EC">
        <w:rPr>
          <w:sz w:val="28"/>
          <w:szCs w:val="28"/>
        </w:rPr>
        <w:t>.</w:t>
      </w:r>
    </w:p>
    <w:p w14:paraId="078327C7" w14:textId="77777777" w:rsidR="0069044F" w:rsidRPr="007429EC" w:rsidRDefault="0069044F" w:rsidP="00B224C9">
      <w:pPr>
        <w:rPr>
          <w:sz w:val="28"/>
          <w:szCs w:val="28"/>
        </w:rPr>
      </w:pPr>
    </w:p>
    <w:p w14:paraId="4D99A095" w14:textId="74DBDE79" w:rsidR="0069044F" w:rsidRPr="007429EC" w:rsidRDefault="0069044F" w:rsidP="00B224C9">
      <w:pPr>
        <w:rPr>
          <w:sz w:val="28"/>
          <w:szCs w:val="28"/>
        </w:rPr>
      </w:pPr>
      <w:r w:rsidRPr="007429EC">
        <w:rPr>
          <w:sz w:val="28"/>
          <w:szCs w:val="28"/>
        </w:rPr>
        <w:t>[</w:t>
      </w:r>
      <w:r w:rsidR="001B51B0" w:rsidRPr="007429EC">
        <w:rPr>
          <w:sz w:val="28"/>
          <w:szCs w:val="28"/>
        </w:rPr>
        <w:t>115</w:t>
      </w:r>
      <w:r w:rsidRPr="007429EC">
        <w:rPr>
          <w:sz w:val="28"/>
          <w:szCs w:val="28"/>
        </w:rPr>
        <w:t>]</w:t>
      </w:r>
      <w:r w:rsidRPr="007429EC">
        <w:rPr>
          <w:sz w:val="28"/>
          <w:szCs w:val="28"/>
        </w:rPr>
        <w:tab/>
      </w:r>
      <w:r w:rsidR="007906BA" w:rsidRPr="007429EC">
        <w:rPr>
          <w:sz w:val="28"/>
          <w:szCs w:val="28"/>
        </w:rPr>
        <w:t>Although t</w:t>
      </w:r>
      <w:r w:rsidRPr="007429EC">
        <w:rPr>
          <w:sz w:val="28"/>
          <w:szCs w:val="28"/>
        </w:rPr>
        <w:t>he power of the court under s 172(1)</w:t>
      </w:r>
      <w:r w:rsidRPr="007429EC">
        <w:rPr>
          <w:i/>
          <w:sz w:val="28"/>
          <w:szCs w:val="28"/>
        </w:rPr>
        <w:t>(b)</w:t>
      </w:r>
      <w:r w:rsidRPr="007429EC">
        <w:rPr>
          <w:sz w:val="28"/>
          <w:szCs w:val="28"/>
        </w:rPr>
        <w:t xml:space="preserve"> has been </w:t>
      </w:r>
      <w:r w:rsidR="006F238B" w:rsidRPr="007429EC">
        <w:rPr>
          <w:sz w:val="28"/>
          <w:szCs w:val="28"/>
        </w:rPr>
        <w:t>described as wide</w:t>
      </w:r>
      <w:r w:rsidR="007906BA" w:rsidRPr="007429EC">
        <w:rPr>
          <w:sz w:val="28"/>
          <w:szCs w:val="28"/>
        </w:rPr>
        <w:t>, it</w:t>
      </w:r>
      <w:r w:rsidR="008F4348" w:rsidRPr="007429EC">
        <w:rPr>
          <w:sz w:val="28"/>
          <w:szCs w:val="28"/>
        </w:rPr>
        <w:t xml:space="preserve"> is</w:t>
      </w:r>
      <w:r w:rsidR="007906BA" w:rsidRPr="007429EC">
        <w:rPr>
          <w:sz w:val="28"/>
          <w:szCs w:val="28"/>
        </w:rPr>
        <w:t>, however,</w:t>
      </w:r>
      <w:r w:rsidR="006F238B" w:rsidRPr="007429EC">
        <w:rPr>
          <w:sz w:val="28"/>
          <w:szCs w:val="28"/>
        </w:rPr>
        <w:t xml:space="preserve"> </w:t>
      </w:r>
      <w:r w:rsidR="003B6577" w:rsidRPr="007429EC">
        <w:rPr>
          <w:sz w:val="28"/>
          <w:szCs w:val="28"/>
        </w:rPr>
        <w:t>'</w:t>
      </w:r>
      <w:r w:rsidR="006F238B" w:rsidRPr="007429EC">
        <w:rPr>
          <w:sz w:val="28"/>
          <w:szCs w:val="28"/>
        </w:rPr>
        <w:t>bounded</w:t>
      </w:r>
      <w:r w:rsidR="00207808" w:rsidRPr="007429EC">
        <w:rPr>
          <w:sz w:val="28"/>
          <w:szCs w:val="28"/>
        </w:rPr>
        <w:t xml:space="preserve"> </w:t>
      </w:r>
      <w:r w:rsidR="009D1054" w:rsidRPr="007429EC">
        <w:rPr>
          <w:sz w:val="28"/>
          <w:szCs w:val="28"/>
        </w:rPr>
        <w:t>...</w:t>
      </w:r>
      <w:r w:rsidR="00207808" w:rsidRPr="007429EC">
        <w:rPr>
          <w:sz w:val="28"/>
          <w:szCs w:val="28"/>
        </w:rPr>
        <w:t xml:space="preserve"> </w:t>
      </w:r>
      <w:r w:rsidR="006F238B" w:rsidRPr="007429EC">
        <w:rPr>
          <w:sz w:val="28"/>
          <w:szCs w:val="28"/>
        </w:rPr>
        <w:t>by considerations of justice and equity</w:t>
      </w:r>
      <w:r w:rsidR="003B6577" w:rsidRPr="007429EC">
        <w:rPr>
          <w:sz w:val="28"/>
          <w:szCs w:val="28"/>
        </w:rPr>
        <w:t>'</w:t>
      </w:r>
      <w:r w:rsidR="00A67304" w:rsidRPr="007429EC">
        <w:rPr>
          <w:sz w:val="28"/>
          <w:szCs w:val="28"/>
        </w:rPr>
        <w:t>.</w:t>
      </w:r>
      <w:r w:rsidR="006F238B" w:rsidRPr="007429EC">
        <w:rPr>
          <w:rStyle w:val="FootnoteReference"/>
          <w:sz w:val="28"/>
          <w:szCs w:val="28"/>
        </w:rPr>
        <w:footnoteReference w:id="103"/>
      </w:r>
      <w:r w:rsidR="00E47735" w:rsidRPr="007429EC">
        <w:rPr>
          <w:sz w:val="28"/>
          <w:szCs w:val="28"/>
        </w:rPr>
        <w:t xml:space="preserve"> In this case</w:t>
      </w:r>
      <w:r w:rsidR="00A67304" w:rsidRPr="007429EC">
        <w:rPr>
          <w:sz w:val="28"/>
          <w:szCs w:val="28"/>
        </w:rPr>
        <w:t>,</w:t>
      </w:r>
      <w:r w:rsidR="00E47735" w:rsidRPr="007429EC">
        <w:rPr>
          <w:sz w:val="28"/>
          <w:szCs w:val="28"/>
        </w:rPr>
        <w:t xml:space="preserve"> the parties agreed in the high court to separate and postpone the relief sought in terms of prayer 4 of the notice of motion for later determination. </w:t>
      </w:r>
      <w:r w:rsidR="007906BA" w:rsidRPr="007429EC">
        <w:rPr>
          <w:sz w:val="28"/>
          <w:szCs w:val="28"/>
        </w:rPr>
        <w:t>Thus, t</w:t>
      </w:r>
      <w:r w:rsidR="00E47735" w:rsidRPr="007429EC">
        <w:rPr>
          <w:sz w:val="28"/>
          <w:szCs w:val="28"/>
        </w:rPr>
        <w:t>he parties</w:t>
      </w:r>
      <w:r w:rsidR="003B6577" w:rsidRPr="007429EC">
        <w:rPr>
          <w:sz w:val="28"/>
          <w:szCs w:val="28"/>
        </w:rPr>
        <w:t>'</w:t>
      </w:r>
      <w:r w:rsidR="00E47735" w:rsidRPr="007429EC">
        <w:rPr>
          <w:sz w:val="28"/>
          <w:szCs w:val="28"/>
        </w:rPr>
        <w:t xml:space="preserve"> agreement in regard to this aspect of the case need not detain us </w:t>
      </w:r>
      <w:r w:rsidR="007906BA" w:rsidRPr="007429EC">
        <w:rPr>
          <w:sz w:val="28"/>
          <w:szCs w:val="28"/>
        </w:rPr>
        <w:t>for present purposes</w:t>
      </w:r>
      <w:r w:rsidR="009D1054" w:rsidRPr="007429EC">
        <w:rPr>
          <w:sz w:val="28"/>
          <w:szCs w:val="28"/>
        </w:rPr>
        <w:t xml:space="preserve"> and nothing more needs </w:t>
      </w:r>
      <w:r w:rsidR="006E58A0" w:rsidRPr="007429EC">
        <w:rPr>
          <w:sz w:val="28"/>
          <w:szCs w:val="28"/>
        </w:rPr>
        <w:t xml:space="preserve">to </w:t>
      </w:r>
      <w:r w:rsidR="009D1054" w:rsidRPr="007429EC">
        <w:rPr>
          <w:sz w:val="28"/>
          <w:szCs w:val="28"/>
        </w:rPr>
        <w:t>be said on this aspect</w:t>
      </w:r>
      <w:r w:rsidR="00E47735" w:rsidRPr="007429EC">
        <w:rPr>
          <w:sz w:val="28"/>
          <w:szCs w:val="28"/>
        </w:rPr>
        <w:t xml:space="preserve">. </w:t>
      </w:r>
    </w:p>
    <w:p w14:paraId="71C7A2D6" w14:textId="77777777" w:rsidR="007906BA" w:rsidRPr="007429EC" w:rsidRDefault="007906BA" w:rsidP="00B224C9">
      <w:pPr>
        <w:rPr>
          <w:sz w:val="28"/>
          <w:szCs w:val="28"/>
        </w:rPr>
      </w:pPr>
    </w:p>
    <w:p w14:paraId="3EED716D" w14:textId="77777777" w:rsidR="007906BA" w:rsidRPr="007429EC" w:rsidRDefault="007906BA" w:rsidP="007906BA">
      <w:pPr>
        <w:rPr>
          <w:sz w:val="28"/>
          <w:szCs w:val="28"/>
        </w:rPr>
      </w:pPr>
      <w:r w:rsidRPr="007429EC">
        <w:rPr>
          <w:b/>
          <w:sz w:val="28"/>
          <w:szCs w:val="28"/>
        </w:rPr>
        <w:t>Costs</w:t>
      </w:r>
    </w:p>
    <w:p w14:paraId="36253A44" w14:textId="38EF7A64" w:rsidR="007906BA" w:rsidRPr="007429EC" w:rsidRDefault="007906BA" w:rsidP="007906BA">
      <w:pPr>
        <w:rPr>
          <w:sz w:val="28"/>
          <w:szCs w:val="28"/>
        </w:rPr>
      </w:pPr>
      <w:r w:rsidRPr="007429EC">
        <w:rPr>
          <w:sz w:val="28"/>
          <w:szCs w:val="28"/>
        </w:rPr>
        <w:t>[</w:t>
      </w:r>
      <w:r w:rsidR="00A67304" w:rsidRPr="007429EC">
        <w:rPr>
          <w:sz w:val="28"/>
          <w:szCs w:val="28"/>
        </w:rPr>
        <w:t>116</w:t>
      </w:r>
      <w:r w:rsidRPr="007429EC">
        <w:rPr>
          <w:sz w:val="28"/>
          <w:szCs w:val="28"/>
        </w:rPr>
        <w:t>]</w:t>
      </w:r>
      <w:r w:rsidRPr="007429EC">
        <w:rPr>
          <w:sz w:val="28"/>
          <w:szCs w:val="28"/>
        </w:rPr>
        <w:tab/>
        <w:t xml:space="preserve">There remains the question of costs to address. The government parties were represented by four counsel in this Court. Whilst content with costs of two counsel in the high court, lead counsel for the government parties asked for costs of four counsel in this Court in the event of the appeal being successful. </w:t>
      </w:r>
    </w:p>
    <w:p w14:paraId="4D390A1C" w14:textId="77777777" w:rsidR="007906BA" w:rsidRPr="007429EC" w:rsidRDefault="007906BA" w:rsidP="007906BA">
      <w:pPr>
        <w:rPr>
          <w:sz w:val="28"/>
          <w:szCs w:val="28"/>
        </w:rPr>
      </w:pPr>
    </w:p>
    <w:p w14:paraId="2045B1FC" w14:textId="48046D6F" w:rsidR="007906BA" w:rsidRPr="007429EC" w:rsidRDefault="007906BA" w:rsidP="007906BA">
      <w:pPr>
        <w:rPr>
          <w:sz w:val="28"/>
          <w:szCs w:val="28"/>
        </w:rPr>
      </w:pPr>
      <w:r w:rsidRPr="007429EC">
        <w:rPr>
          <w:sz w:val="28"/>
          <w:szCs w:val="28"/>
        </w:rPr>
        <w:t>[</w:t>
      </w:r>
      <w:r w:rsidR="00A67304" w:rsidRPr="007429EC">
        <w:rPr>
          <w:sz w:val="28"/>
          <w:szCs w:val="28"/>
        </w:rPr>
        <w:t>117</w:t>
      </w:r>
      <w:r w:rsidRPr="007429EC">
        <w:rPr>
          <w:sz w:val="28"/>
          <w:szCs w:val="28"/>
        </w:rPr>
        <w:t>]</w:t>
      </w:r>
      <w:r w:rsidRPr="007429EC">
        <w:rPr>
          <w:sz w:val="28"/>
          <w:szCs w:val="28"/>
        </w:rPr>
        <w:tab/>
        <w:t xml:space="preserve">It is trite that a court enjoys a wide discretion in considering the question whether costs of more than one counsel in any particular matter should be allowed. </w:t>
      </w:r>
      <w:r w:rsidR="00A67304" w:rsidRPr="007429EC">
        <w:rPr>
          <w:sz w:val="28"/>
          <w:szCs w:val="28"/>
        </w:rPr>
        <w:t>S</w:t>
      </w:r>
      <w:r w:rsidRPr="007429EC">
        <w:rPr>
          <w:sz w:val="28"/>
          <w:szCs w:val="28"/>
        </w:rPr>
        <w:t xml:space="preserve">uch discretion must be </w:t>
      </w:r>
      <w:r w:rsidR="008F4348" w:rsidRPr="007429EC">
        <w:rPr>
          <w:sz w:val="28"/>
          <w:szCs w:val="28"/>
        </w:rPr>
        <w:t>exercised</w:t>
      </w:r>
      <w:r w:rsidRPr="007429EC">
        <w:rPr>
          <w:sz w:val="28"/>
          <w:szCs w:val="28"/>
        </w:rPr>
        <w:t xml:space="preserve"> judicially on a consideration of all the relevant factors. The question always is, as Colman J posited in </w:t>
      </w:r>
      <w:r w:rsidRPr="007429EC">
        <w:rPr>
          <w:i/>
          <w:sz w:val="28"/>
          <w:szCs w:val="28"/>
        </w:rPr>
        <w:t>Koekemoer v Parity Insurance Co Ltd and Another</w:t>
      </w:r>
      <w:r w:rsidRPr="007429EC">
        <w:rPr>
          <w:sz w:val="28"/>
          <w:szCs w:val="28"/>
        </w:rPr>
        <w:t>:</w:t>
      </w:r>
      <w:r w:rsidRPr="007429EC">
        <w:rPr>
          <w:rStyle w:val="FootnoteReference"/>
          <w:sz w:val="28"/>
          <w:szCs w:val="28"/>
        </w:rPr>
        <w:footnoteReference w:id="104"/>
      </w:r>
    </w:p>
    <w:p w14:paraId="2CC9D3E9" w14:textId="3AA7618D" w:rsidR="007906BA" w:rsidRPr="007429EC" w:rsidRDefault="003B6577" w:rsidP="007906BA">
      <w:pPr>
        <w:rPr>
          <w:szCs w:val="28"/>
        </w:rPr>
      </w:pPr>
      <w:r w:rsidRPr="007429EC">
        <w:rPr>
          <w:szCs w:val="28"/>
        </w:rPr>
        <w:lastRenderedPageBreak/>
        <w:t>'</w:t>
      </w:r>
      <w:r w:rsidR="007906BA" w:rsidRPr="007429EC">
        <w:rPr>
          <w:szCs w:val="28"/>
        </w:rPr>
        <w:t>... whether, in all the circumstances, the expenses incurred in the employment of more than one counsel were "necessary or proper for the attainment of justice or for defending the rights of the parties", and were not incurred through "over-caution, negligence or mistake".</w:t>
      </w:r>
      <w:r w:rsidRPr="007429EC">
        <w:rPr>
          <w:szCs w:val="28"/>
        </w:rPr>
        <w:t>'</w:t>
      </w:r>
      <w:r w:rsidR="007906BA" w:rsidRPr="007429EC">
        <w:rPr>
          <w:rStyle w:val="FootnoteReference"/>
          <w:sz w:val="28"/>
          <w:szCs w:val="28"/>
        </w:rPr>
        <w:footnoteReference w:id="105"/>
      </w:r>
    </w:p>
    <w:p w14:paraId="55D3506F" w14:textId="50E5B4B0" w:rsidR="007906BA" w:rsidRPr="007429EC" w:rsidRDefault="007906BA" w:rsidP="007906BA">
      <w:pPr>
        <w:rPr>
          <w:sz w:val="28"/>
          <w:szCs w:val="28"/>
        </w:rPr>
      </w:pPr>
      <w:r w:rsidRPr="007429EC">
        <w:rPr>
          <w:sz w:val="28"/>
          <w:szCs w:val="28"/>
        </w:rPr>
        <w:t>The learned Judge went on to mention, amongst others, the following as being some of the relevant considerations: (a) the volume of evidence (oral or written) dealt with by counsel or which she or he or they could reasonably have expected to be called upon to deal with: (b) the complexity of the facts or the law relevant to the case; (c) any difficulties or obscurities in the relevant legal principles or in their application</w:t>
      </w:r>
      <w:r w:rsidR="008118E6" w:rsidRPr="007429EC">
        <w:rPr>
          <w:sz w:val="28"/>
          <w:szCs w:val="28"/>
        </w:rPr>
        <w:t xml:space="preserve"> </w:t>
      </w:r>
      <w:r w:rsidRPr="007429EC">
        <w:rPr>
          <w:sz w:val="28"/>
          <w:szCs w:val="28"/>
        </w:rPr>
        <w:t xml:space="preserve">to the facts of the case; (d) the importance of the matter in issue, in so far as that importance may have added to the </w:t>
      </w:r>
      <w:r w:rsidR="008F4348" w:rsidRPr="007429EC">
        <w:rPr>
          <w:sz w:val="28"/>
          <w:szCs w:val="28"/>
        </w:rPr>
        <w:t>burden</w:t>
      </w:r>
      <w:r w:rsidRPr="007429EC">
        <w:rPr>
          <w:sz w:val="28"/>
          <w:szCs w:val="28"/>
        </w:rPr>
        <w:t xml:space="preserve"> of responsibility undertaken by counsel.</w:t>
      </w:r>
      <w:r w:rsidR="006F4C6D" w:rsidRPr="007429EC">
        <w:rPr>
          <w:rStyle w:val="FootnoteReference"/>
          <w:sz w:val="28"/>
          <w:szCs w:val="28"/>
        </w:rPr>
        <w:footnoteReference w:id="106"/>
      </w:r>
      <w:r w:rsidRPr="007429EC">
        <w:rPr>
          <w:sz w:val="28"/>
          <w:szCs w:val="28"/>
        </w:rPr>
        <w:t xml:space="preserve"> This is by no means an exhaustive list. Ultimately, how a court should exercise its discretion is essentially a matter of fairness to both sides. </w:t>
      </w:r>
    </w:p>
    <w:p w14:paraId="26C19468" w14:textId="77777777" w:rsidR="007906BA" w:rsidRPr="007429EC" w:rsidRDefault="007906BA" w:rsidP="007906BA">
      <w:pPr>
        <w:rPr>
          <w:sz w:val="28"/>
          <w:szCs w:val="28"/>
        </w:rPr>
      </w:pPr>
    </w:p>
    <w:p w14:paraId="6B672AB4" w14:textId="42493016" w:rsidR="007906BA" w:rsidRPr="007429EC" w:rsidRDefault="007906BA" w:rsidP="007906BA">
      <w:pPr>
        <w:rPr>
          <w:sz w:val="28"/>
          <w:szCs w:val="28"/>
        </w:rPr>
      </w:pPr>
      <w:r w:rsidRPr="007429EC">
        <w:rPr>
          <w:sz w:val="28"/>
          <w:szCs w:val="28"/>
        </w:rPr>
        <w:t>[</w:t>
      </w:r>
      <w:r w:rsidR="00E02C97" w:rsidRPr="007429EC">
        <w:rPr>
          <w:sz w:val="28"/>
          <w:szCs w:val="28"/>
        </w:rPr>
        <w:t>118</w:t>
      </w:r>
      <w:r w:rsidRPr="007429EC">
        <w:rPr>
          <w:sz w:val="28"/>
          <w:szCs w:val="28"/>
        </w:rPr>
        <w:t>]</w:t>
      </w:r>
      <w:r w:rsidRPr="007429EC">
        <w:rPr>
          <w:sz w:val="28"/>
          <w:szCs w:val="28"/>
        </w:rPr>
        <w:tab/>
        <w:t xml:space="preserve">The general rule is that costs of four counsel will be allowed only if it is clearly shown that </w:t>
      </w:r>
      <w:r w:rsidR="00BA0CD2" w:rsidRPr="007429EC">
        <w:rPr>
          <w:sz w:val="28"/>
          <w:szCs w:val="28"/>
        </w:rPr>
        <w:t xml:space="preserve">the </w:t>
      </w:r>
      <w:r w:rsidRPr="007429EC">
        <w:rPr>
          <w:sz w:val="28"/>
          <w:szCs w:val="28"/>
        </w:rPr>
        <w:t xml:space="preserve">employment of </w:t>
      </w:r>
      <w:r w:rsidR="00BA0CD2" w:rsidRPr="007429EC">
        <w:rPr>
          <w:sz w:val="28"/>
          <w:szCs w:val="28"/>
        </w:rPr>
        <w:t>more than two</w:t>
      </w:r>
      <w:r w:rsidRPr="007429EC">
        <w:rPr>
          <w:sz w:val="28"/>
          <w:szCs w:val="28"/>
        </w:rPr>
        <w:t xml:space="preserve"> counsel was justified for purposes of doing justice between the parties.</w:t>
      </w:r>
      <w:r w:rsidRPr="007429EC">
        <w:rPr>
          <w:rStyle w:val="FootnoteReference"/>
          <w:sz w:val="28"/>
          <w:szCs w:val="28"/>
        </w:rPr>
        <w:footnoteReference w:id="107"/>
      </w:r>
      <w:r w:rsidRPr="007429EC">
        <w:rPr>
          <w:sz w:val="28"/>
          <w:szCs w:val="28"/>
        </w:rPr>
        <w:t xml:space="preserve"> The proper approach has been formulated in various forms. In </w:t>
      </w:r>
      <w:r w:rsidRPr="007429EC">
        <w:rPr>
          <w:i/>
          <w:sz w:val="28"/>
          <w:szCs w:val="28"/>
        </w:rPr>
        <w:t>Stent v Roos</w:t>
      </w:r>
      <w:r w:rsidR="004364B8" w:rsidRPr="007429EC">
        <w:rPr>
          <w:sz w:val="28"/>
          <w:szCs w:val="28"/>
        </w:rPr>
        <w:t>,</w:t>
      </w:r>
      <w:r w:rsidRPr="007429EC">
        <w:rPr>
          <w:rStyle w:val="FootnoteReference"/>
          <w:sz w:val="28"/>
          <w:szCs w:val="28"/>
        </w:rPr>
        <w:footnoteReference w:id="108"/>
      </w:r>
      <w:r w:rsidRPr="007429EC">
        <w:rPr>
          <w:i/>
          <w:sz w:val="28"/>
          <w:szCs w:val="28"/>
        </w:rPr>
        <w:t xml:space="preserve"> </w:t>
      </w:r>
      <w:r w:rsidRPr="007429EC">
        <w:rPr>
          <w:sz w:val="28"/>
          <w:szCs w:val="28"/>
        </w:rPr>
        <w:t>where costs of three counsel were sought, Innes CJ state</w:t>
      </w:r>
      <w:r w:rsidR="009D7B6B" w:rsidRPr="007429EC">
        <w:rPr>
          <w:sz w:val="28"/>
          <w:szCs w:val="28"/>
        </w:rPr>
        <w:t>d</w:t>
      </w:r>
      <w:r w:rsidRPr="007429EC">
        <w:rPr>
          <w:sz w:val="28"/>
          <w:szCs w:val="28"/>
        </w:rPr>
        <w:t xml:space="preserve"> that before costs of three counsel could be allowed</w:t>
      </w:r>
      <w:r w:rsidR="00E02C97" w:rsidRPr="007429EC">
        <w:rPr>
          <w:sz w:val="28"/>
          <w:szCs w:val="28"/>
        </w:rPr>
        <w:t>,</w:t>
      </w:r>
      <w:r w:rsidRPr="007429EC">
        <w:rPr>
          <w:sz w:val="28"/>
          <w:szCs w:val="28"/>
        </w:rPr>
        <w:t xml:space="preserve"> it must be shown that a reasonable litigant would not have gone to court without the assistance of the third counsel. In </w:t>
      </w:r>
      <w:r w:rsidRPr="007429EC">
        <w:rPr>
          <w:i/>
          <w:sz w:val="28"/>
          <w:szCs w:val="28"/>
        </w:rPr>
        <w:t>Umhlatuzi Valley Co., Ltd. v Hulett &amp; Sons, Ltd</w:t>
      </w:r>
      <w:r w:rsidRPr="007429EC">
        <w:rPr>
          <w:sz w:val="28"/>
          <w:szCs w:val="28"/>
        </w:rPr>
        <w:t>,</w:t>
      </w:r>
      <w:r w:rsidRPr="007429EC">
        <w:rPr>
          <w:rStyle w:val="FootnoteReference"/>
          <w:sz w:val="28"/>
          <w:szCs w:val="28"/>
        </w:rPr>
        <w:footnoteReference w:id="109"/>
      </w:r>
      <w:r w:rsidRPr="007429EC">
        <w:rPr>
          <w:sz w:val="28"/>
          <w:szCs w:val="28"/>
        </w:rPr>
        <w:t xml:space="preserve"> albe</w:t>
      </w:r>
      <w:r w:rsidR="004364B8" w:rsidRPr="007429EC">
        <w:rPr>
          <w:sz w:val="28"/>
          <w:szCs w:val="28"/>
        </w:rPr>
        <w:t>it in a different context, Dove</w:t>
      </w:r>
      <w:r w:rsidR="004364B8" w:rsidRPr="007429EC">
        <w:rPr>
          <w:sz w:val="28"/>
          <w:szCs w:val="28"/>
        </w:rPr>
        <w:noBreakHyphen/>
      </w:r>
      <w:r w:rsidRPr="007429EC">
        <w:rPr>
          <w:sz w:val="28"/>
          <w:szCs w:val="28"/>
        </w:rPr>
        <w:t xml:space="preserve">Wilson JP stated that he was unable to say that the case before him </w:t>
      </w:r>
      <w:r w:rsidRPr="007429EC">
        <w:rPr>
          <w:sz w:val="28"/>
          <w:szCs w:val="28"/>
        </w:rPr>
        <w:lastRenderedPageBreak/>
        <w:t>was one of such extraordinary difficulty or complexity as to warrant overriding the Taxing Master</w:t>
      </w:r>
      <w:r w:rsidR="003B6577" w:rsidRPr="007429EC">
        <w:rPr>
          <w:sz w:val="28"/>
          <w:szCs w:val="28"/>
        </w:rPr>
        <w:t>'</w:t>
      </w:r>
      <w:r w:rsidRPr="007429EC">
        <w:rPr>
          <w:sz w:val="28"/>
          <w:szCs w:val="28"/>
        </w:rPr>
        <w:t>s disallowance of the fees of third counsel.</w:t>
      </w:r>
      <w:r w:rsidRPr="007429EC">
        <w:rPr>
          <w:rStyle w:val="FootnoteReference"/>
          <w:sz w:val="28"/>
          <w:szCs w:val="28"/>
        </w:rPr>
        <w:footnoteReference w:id="110"/>
      </w:r>
    </w:p>
    <w:p w14:paraId="6FDE1BD2" w14:textId="77777777" w:rsidR="007906BA" w:rsidRPr="007429EC" w:rsidRDefault="007906BA" w:rsidP="007906BA">
      <w:pPr>
        <w:rPr>
          <w:sz w:val="28"/>
          <w:szCs w:val="28"/>
        </w:rPr>
      </w:pPr>
    </w:p>
    <w:p w14:paraId="36DE3ECD" w14:textId="732E2B25" w:rsidR="007906BA" w:rsidRPr="007429EC" w:rsidRDefault="007906BA" w:rsidP="007906BA">
      <w:pPr>
        <w:rPr>
          <w:sz w:val="28"/>
          <w:szCs w:val="28"/>
        </w:rPr>
      </w:pPr>
      <w:r w:rsidRPr="007429EC">
        <w:rPr>
          <w:sz w:val="28"/>
          <w:szCs w:val="28"/>
        </w:rPr>
        <w:t>[</w:t>
      </w:r>
      <w:r w:rsidR="00E02C97" w:rsidRPr="007429EC">
        <w:rPr>
          <w:sz w:val="28"/>
          <w:szCs w:val="28"/>
        </w:rPr>
        <w:t>119</w:t>
      </w:r>
      <w:r w:rsidRPr="007429EC">
        <w:rPr>
          <w:sz w:val="28"/>
          <w:szCs w:val="28"/>
        </w:rPr>
        <w:t>]</w:t>
      </w:r>
      <w:r w:rsidRPr="007429EC">
        <w:rPr>
          <w:sz w:val="28"/>
          <w:szCs w:val="28"/>
        </w:rPr>
        <w:tab/>
        <w:t xml:space="preserve">What Jansen JA said in </w:t>
      </w:r>
      <w:r w:rsidRPr="007429EC">
        <w:rPr>
          <w:i/>
          <w:sz w:val="28"/>
          <w:szCs w:val="28"/>
        </w:rPr>
        <w:t>Scott and Another v Roupard and Another</w:t>
      </w:r>
      <w:r w:rsidRPr="007429EC">
        <w:rPr>
          <w:sz w:val="28"/>
          <w:szCs w:val="28"/>
        </w:rPr>
        <w:t>,</w:t>
      </w:r>
      <w:r w:rsidRPr="007429EC">
        <w:rPr>
          <w:rStyle w:val="FootnoteReference"/>
          <w:sz w:val="28"/>
          <w:szCs w:val="28"/>
        </w:rPr>
        <w:footnoteReference w:id="111"/>
      </w:r>
      <w:r w:rsidRPr="007429EC">
        <w:rPr>
          <w:i/>
          <w:sz w:val="28"/>
          <w:szCs w:val="28"/>
        </w:rPr>
        <w:t xml:space="preserve"> </w:t>
      </w:r>
      <w:r w:rsidRPr="007429EC">
        <w:rPr>
          <w:sz w:val="28"/>
          <w:szCs w:val="28"/>
        </w:rPr>
        <w:t>with reference to the remarks of Hiemstra J in the court of first instance, bears mentioning. The learned Judge of Appeal stated the following:</w:t>
      </w:r>
    </w:p>
    <w:p w14:paraId="071C0D87" w14:textId="31EF5633" w:rsidR="007906BA" w:rsidRPr="007429EC" w:rsidRDefault="003B6577" w:rsidP="007906BA">
      <w:r w:rsidRPr="007429EC">
        <w:t>'</w:t>
      </w:r>
      <w:r w:rsidR="007906BA" w:rsidRPr="007429EC">
        <w:t>[I]t must be a very complicated case either as to the facts, which should require considerable research and investigation, or because it involves very difficult and novel points of law</w:t>
      </w:r>
      <w:r w:rsidR="004364B8" w:rsidRPr="007429EC">
        <w:t xml:space="preserve"> before costs of more than two counsel may be allowed</w:t>
      </w:r>
      <w:r w:rsidR="007906BA" w:rsidRPr="007429EC">
        <w:t>.</w:t>
      </w:r>
      <w:r w:rsidRPr="007429EC">
        <w:t>'</w:t>
      </w:r>
      <w:r w:rsidR="007906BA" w:rsidRPr="007429EC">
        <w:rPr>
          <w:rStyle w:val="FootnoteReference"/>
        </w:rPr>
        <w:footnoteReference w:id="112"/>
      </w:r>
    </w:p>
    <w:p w14:paraId="5A3F995B" w14:textId="77777777" w:rsidR="007906BA" w:rsidRPr="007429EC" w:rsidRDefault="007906BA" w:rsidP="007906BA"/>
    <w:p w14:paraId="54EB236E" w14:textId="532622CE" w:rsidR="007906BA" w:rsidRPr="007429EC" w:rsidRDefault="007906BA" w:rsidP="007906BA">
      <w:pPr>
        <w:rPr>
          <w:sz w:val="28"/>
        </w:rPr>
      </w:pPr>
      <w:r w:rsidRPr="007429EC">
        <w:rPr>
          <w:sz w:val="28"/>
        </w:rPr>
        <w:t>[</w:t>
      </w:r>
      <w:r w:rsidR="00E02C97" w:rsidRPr="007429EC">
        <w:rPr>
          <w:sz w:val="28"/>
        </w:rPr>
        <w:t>120</w:t>
      </w:r>
      <w:r w:rsidRPr="007429EC">
        <w:rPr>
          <w:sz w:val="28"/>
        </w:rPr>
        <w:t>]</w:t>
      </w:r>
      <w:r w:rsidRPr="007429EC">
        <w:rPr>
          <w:sz w:val="28"/>
        </w:rPr>
        <w:tab/>
        <w:t xml:space="preserve">In </w:t>
      </w:r>
      <w:r w:rsidRPr="007429EC">
        <w:rPr>
          <w:i/>
          <w:sz w:val="28"/>
        </w:rPr>
        <w:t>Commissioner for South African Revenue Service v Hawker Air Services (Pty) Ltd; Commissioner for South African Revenue Service v Hawker Aviation Services Partnership and Others</w:t>
      </w:r>
      <w:r w:rsidR="00E02C97" w:rsidRPr="007429EC">
        <w:rPr>
          <w:sz w:val="28"/>
        </w:rPr>
        <w:t>,</w:t>
      </w:r>
      <w:r w:rsidRPr="007429EC">
        <w:rPr>
          <w:rStyle w:val="FootnoteReference"/>
          <w:sz w:val="28"/>
        </w:rPr>
        <w:footnoteReference w:id="113"/>
      </w:r>
      <w:r w:rsidRPr="007429EC">
        <w:rPr>
          <w:i/>
          <w:sz w:val="28"/>
        </w:rPr>
        <w:t xml:space="preserve"> </w:t>
      </w:r>
      <w:r w:rsidRPr="007429EC">
        <w:rPr>
          <w:sz w:val="28"/>
        </w:rPr>
        <w:t>this Court overturned the judgment of the court of first instance where the latter court had awarded the costs of four counsel. Writing for a unanimous court, Cameron JA, although he did not pertinently say anything about the fact that costs of four counsel had been allowed in the high court because its judgment was ultimately overturned, he nevertheless alluded to the fact that the judgment was incorrect and the punitive scale</w:t>
      </w:r>
      <w:r w:rsidRPr="007429EC">
        <w:rPr>
          <w:rStyle w:val="FootnoteReference"/>
          <w:sz w:val="28"/>
        </w:rPr>
        <w:footnoteReference w:id="114"/>
      </w:r>
      <w:r w:rsidRPr="007429EC">
        <w:rPr>
          <w:sz w:val="28"/>
        </w:rPr>
        <w:t xml:space="preserve"> of costs on the </w:t>
      </w:r>
      <w:r w:rsidR="003B6577" w:rsidRPr="007429EC">
        <w:rPr>
          <w:sz w:val="28"/>
        </w:rPr>
        <w:t>'</w:t>
      </w:r>
      <w:r w:rsidRPr="007429EC">
        <w:rPr>
          <w:sz w:val="28"/>
        </w:rPr>
        <w:t>attorney and own scale</w:t>
      </w:r>
      <w:r w:rsidR="003B6577" w:rsidRPr="007429EC">
        <w:rPr>
          <w:sz w:val="28"/>
        </w:rPr>
        <w:t>'</w:t>
      </w:r>
      <w:r w:rsidRPr="007429EC">
        <w:rPr>
          <w:sz w:val="28"/>
        </w:rPr>
        <w:t xml:space="preserve"> were all predicated on the harsh criticism against SARS</w:t>
      </w:r>
      <w:r w:rsidR="003B6577" w:rsidRPr="007429EC">
        <w:rPr>
          <w:sz w:val="28"/>
        </w:rPr>
        <w:t>'</w:t>
      </w:r>
      <w:r w:rsidRPr="007429EC">
        <w:rPr>
          <w:sz w:val="28"/>
        </w:rPr>
        <w:t xml:space="preserve">s office which this Court found unjustified. </w:t>
      </w:r>
    </w:p>
    <w:p w14:paraId="5BBB17F7" w14:textId="77777777" w:rsidR="007906BA" w:rsidRPr="007429EC" w:rsidRDefault="007906BA" w:rsidP="007906BA">
      <w:pPr>
        <w:rPr>
          <w:sz w:val="28"/>
        </w:rPr>
      </w:pPr>
    </w:p>
    <w:p w14:paraId="12BEDB3D" w14:textId="30E7AF4C" w:rsidR="007906BA" w:rsidRPr="007429EC" w:rsidRDefault="007906BA" w:rsidP="007906BA">
      <w:pPr>
        <w:rPr>
          <w:sz w:val="28"/>
          <w:szCs w:val="28"/>
        </w:rPr>
      </w:pPr>
      <w:r w:rsidRPr="007429EC">
        <w:rPr>
          <w:sz w:val="28"/>
        </w:rPr>
        <w:lastRenderedPageBreak/>
        <w:t>[</w:t>
      </w:r>
      <w:r w:rsidR="009A720B" w:rsidRPr="007429EC">
        <w:rPr>
          <w:sz w:val="28"/>
        </w:rPr>
        <w:t>121</w:t>
      </w:r>
      <w:r w:rsidRPr="007429EC">
        <w:rPr>
          <w:sz w:val="28"/>
        </w:rPr>
        <w:t>]</w:t>
      </w:r>
      <w:r w:rsidRPr="007429EC">
        <w:rPr>
          <w:sz w:val="28"/>
        </w:rPr>
        <w:tab/>
        <w:t xml:space="preserve">Whilst there can be no doubt that in preparing for the institution of the review proceedings counsel would have waded through voluminous documentation in order to distil the crux of the case of the government parties, I remain unpersuaded that costs of four counsel on appeal </w:t>
      </w:r>
      <w:r w:rsidR="004A79BF" w:rsidRPr="007429EC">
        <w:rPr>
          <w:sz w:val="28"/>
        </w:rPr>
        <w:t>will be</w:t>
      </w:r>
      <w:r w:rsidRPr="007429EC">
        <w:rPr>
          <w:sz w:val="28"/>
        </w:rPr>
        <w:t xml:space="preserve"> justified. I have earlier alluded to the fact that lead counsel was content with the costs of two counsel in the high court where considerable work would have been undertaken in collating various documents, and yet</w:t>
      </w:r>
      <w:r w:rsidR="009A720B" w:rsidRPr="007429EC">
        <w:rPr>
          <w:sz w:val="28"/>
        </w:rPr>
        <w:t>,</w:t>
      </w:r>
      <w:r w:rsidRPr="007429EC">
        <w:rPr>
          <w:sz w:val="28"/>
        </w:rPr>
        <w:t xml:space="preserve"> counsel </w:t>
      </w:r>
      <w:r w:rsidR="00E366AF" w:rsidRPr="007429EC">
        <w:rPr>
          <w:sz w:val="28"/>
        </w:rPr>
        <w:t>was</w:t>
      </w:r>
      <w:r w:rsidRPr="007429EC">
        <w:rPr>
          <w:sz w:val="28"/>
        </w:rPr>
        <w:t xml:space="preserve"> happy to live with costs of two counsel without demur. We also had the advantage of perusing the record and hearing argument on issues that were germane for purposes of the appeal. In these circumstances, and taking a broad view of the matter, I do not consider that it would be fair for purposes of doing justice between the parties to allow the costs of four counsel on appeal. In this regard</w:t>
      </w:r>
      <w:r w:rsidR="009A720B" w:rsidRPr="007429EC">
        <w:rPr>
          <w:sz w:val="28"/>
        </w:rPr>
        <w:t>,</w:t>
      </w:r>
      <w:r w:rsidRPr="007429EC">
        <w:rPr>
          <w:sz w:val="28"/>
        </w:rPr>
        <w:t xml:space="preserve"> it is not without significance that although the respondents were represented by three counsel on appeal</w:t>
      </w:r>
      <w:r w:rsidR="009A720B" w:rsidRPr="007429EC">
        <w:rPr>
          <w:sz w:val="28"/>
        </w:rPr>
        <w:t>,</w:t>
      </w:r>
      <w:r w:rsidRPr="007429EC">
        <w:rPr>
          <w:sz w:val="28"/>
        </w:rPr>
        <w:t xml:space="preserve"> they asked for costs of two counsel only.</w:t>
      </w:r>
    </w:p>
    <w:p w14:paraId="61ECEA39" w14:textId="77777777" w:rsidR="00E47735" w:rsidRPr="007429EC" w:rsidRDefault="00E47735" w:rsidP="00B224C9">
      <w:pPr>
        <w:rPr>
          <w:sz w:val="28"/>
          <w:szCs w:val="28"/>
        </w:rPr>
      </w:pPr>
    </w:p>
    <w:p w14:paraId="58E27B26" w14:textId="495C1FD1" w:rsidR="00E47735" w:rsidRPr="007429EC" w:rsidRDefault="00E47735" w:rsidP="00B224C9">
      <w:pPr>
        <w:rPr>
          <w:sz w:val="28"/>
          <w:szCs w:val="28"/>
        </w:rPr>
      </w:pPr>
      <w:r w:rsidRPr="007429EC">
        <w:rPr>
          <w:sz w:val="28"/>
          <w:szCs w:val="28"/>
        </w:rPr>
        <w:t>[</w:t>
      </w:r>
      <w:r w:rsidR="009A720B" w:rsidRPr="007429EC">
        <w:rPr>
          <w:sz w:val="28"/>
          <w:szCs w:val="28"/>
        </w:rPr>
        <w:t>122</w:t>
      </w:r>
      <w:r w:rsidRPr="007429EC">
        <w:rPr>
          <w:sz w:val="28"/>
          <w:szCs w:val="28"/>
        </w:rPr>
        <w:t>]</w:t>
      </w:r>
      <w:r w:rsidRPr="007429EC">
        <w:rPr>
          <w:sz w:val="28"/>
          <w:szCs w:val="28"/>
        </w:rPr>
        <w:tab/>
        <w:t xml:space="preserve">Before making the order, </w:t>
      </w:r>
      <w:r w:rsidR="002F01BD" w:rsidRPr="007429EC">
        <w:rPr>
          <w:sz w:val="28"/>
          <w:szCs w:val="28"/>
        </w:rPr>
        <w:t>I am constrained to</w:t>
      </w:r>
      <w:r w:rsidRPr="007429EC">
        <w:rPr>
          <w:sz w:val="28"/>
          <w:szCs w:val="28"/>
        </w:rPr>
        <w:t xml:space="preserve"> mention that the finalisation of this judgment was inordinately delayed due to a con</w:t>
      </w:r>
      <w:r w:rsidR="0025450F" w:rsidRPr="007429EC">
        <w:rPr>
          <w:sz w:val="28"/>
          <w:szCs w:val="28"/>
        </w:rPr>
        <w:t xml:space="preserve">catenation of various factors </w:t>
      </w:r>
      <w:r w:rsidRPr="007429EC">
        <w:rPr>
          <w:sz w:val="28"/>
          <w:szCs w:val="28"/>
        </w:rPr>
        <w:t>that are unnecessary to traverse in this judgment</w:t>
      </w:r>
      <w:r w:rsidR="0025450F" w:rsidRPr="007429EC">
        <w:rPr>
          <w:sz w:val="28"/>
          <w:szCs w:val="28"/>
        </w:rPr>
        <w:t>. The cumulative effect of these factors</w:t>
      </w:r>
      <w:r w:rsidRPr="007429EC">
        <w:rPr>
          <w:sz w:val="28"/>
          <w:szCs w:val="28"/>
        </w:rPr>
        <w:t xml:space="preserve"> rendered it impossible for this judgment to be finalised expeditiously in keeping with the abiding traditions of this Court. Nevertheless, I take full responsibility for </w:t>
      </w:r>
      <w:r w:rsidR="0025450F" w:rsidRPr="007429EC">
        <w:rPr>
          <w:sz w:val="28"/>
          <w:szCs w:val="28"/>
        </w:rPr>
        <w:t>this</w:t>
      </w:r>
      <w:r w:rsidRPr="007429EC">
        <w:rPr>
          <w:sz w:val="28"/>
          <w:szCs w:val="28"/>
        </w:rPr>
        <w:t xml:space="preserve"> delay </w:t>
      </w:r>
      <w:r w:rsidR="0025450F" w:rsidRPr="007429EC">
        <w:rPr>
          <w:sz w:val="28"/>
          <w:szCs w:val="28"/>
        </w:rPr>
        <w:t>which</w:t>
      </w:r>
      <w:r w:rsidRPr="007429EC">
        <w:rPr>
          <w:sz w:val="28"/>
          <w:szCs w:val="28"/>
        </w:rPr>
        <w:t xml:space="preserve"> is deeply regretted. </w:t>
      </w:r>
    </w:p>
    <w:p w14:paraId="4BFD937E" w14:textId="77777777" w:rsidR="00E47735" w:rsidRPr="007429EC" w:rsidRDefault="00E47735" w:rsidP="00B224C9">
      <w:pPr>
        <w:rPr>
          <w:sz w:val="28"/>
          <w:szCs w:val="28"/>
        </w:rPr>
      </w:pPr>
    </w:p>
    <w:p w14:paraId="3A9095BD" w14:textId="0E0879EF" w:rsidR="00E47735" w:rsidRPr="007429EC" w:rsidRDefault="00E47735" w:rsidP="00B224C9">
      <w:pPr>
        <w:rPr>
          <w:sz w:val="28"/>
          <w:szCs w:val="28"/>
        </w:rPr>
      </w:pPr>
      <w:r w:rsidRPr="007429EC">
        <w:rPr>
          <w:sz w:val="28"/>
          <w:szCs w:val="28"/>
        </w:rPr>
        <w:t>[</w:t>
      </w:r>
      <w:r w:rsidR="000E4574" w:rsidRPr="007429EC">
        <w:rPr>
          <w:sz w:val="28"/>
          <w:szCs w:val="28"/>
        </w:rPr>
        <w:t>123</w:t>
      </w:r>
      <w:r w:rsidRPr="007429EC">
        <w:rPr>
          <w:sz w:val="28"/>
          <w:szCs w:val="28"/>
        </w:rPr>
        <w:t>]</w:t>
      </w:r>
      <w:r w:rsidRPr="007429EC">
        <w:rPr>
          <w:sz w:val="28"/>
          <w:szCs w:val="28"/>
        </w:rPr>
        <w:tab/>
        <w:t>In the result the following order is made:</w:t>
      </w:r>
    </w:p>
    <w:p w14:paraId="0D5E829A" w14:textId="77777777" w:rsidR="005A23DD" w:rsidRPr="007429EC" w:rsidRDefault="005A23DD" w:rsidP="005A23DD">
      <w:pPr>
        <w:rPr>
          <w:bCs/>
          <w:sz w:val="28"/>
          <w:szCs w:val="10"/>
        </w:rPr>
      </w:pPr>
      <w:r w:rsidRPr="007429EC">
        <w:rPr>
          <w:bCs/>
          <w:sz w:val="28"/>
          <w:szCs w:val="10"/>
        </w:rPr>
        <w:t>1</w:t>
      </w:r>
      <w:r w:rsidRPr="007429EC">
        <w:rPr>
          <w:bCs/>
          <w:sz w:val="28"/>
          <w:szCs w:val="10"/>
        </w:rPr>
        <w:tab/>
        <w:t>The appeal is upheld with costs, including the costs of two counsel.</w:t>
      </w:r>
    </w:p>
    <w:p w14:paraId="7DC516FF" w14:textId="77777777" w:rsidR="005A23DD" w:rsidRPr="007429EC" w:rsidRDefault="005A23DD" w:rsidP="005A23DD">
      <w:pPr>
        <w:rPr>
          <w:sz w:val="28"/>
        </w:rPr>
      </w:pPr>
      <w:r w:rsidRPr="007429EC">
        <w:rPr>
          <w:sz w:val="28"/>
        </w:rPr>
        <w:t>2</w:t>
      </w:r>
      <w:r w:rsidRPr="007429EC">
        <w:rPr>
          <w:sz w:val="28"/>
        </w:rPr>
        <w:tab/>
        <w:t>The order of the high court is set aside and in its place is substituted the following order:</w:t>
      </w:r>
    </w:p>
    <w:p w14:paraId="0D1038AA" w14:textId="2D64100A" w:rsidR="005A23DD" w:rsidRPr="007429EC" w:rsidRDefault="003B6577" w:rsidP="009A720B">
      <w:pPr>
        <w:ind w:firstLine="720"/>
        <w:rPr>
          <w:sz w:val="28"/>
        </w:rPr>
      </w:pPr>
      <w:r w:rsidRPr="007429EC">
        <w:rPr>
          <w:sz w:val="28"/>
        </w:rPr>
        <w:t>'</w:t>
      </w:r>
      <w:r w:rsidR="005A23DD" w:rsidRPr="007429EC">
        <w:rPr>
          <w:sz w:val="28"/>
        </w:rPr>
        <w:t>1</w:t>
      </w:r>
      <w:r w:rsidR="005A23DD" w:rsidRPr="007429EC">
        <w:rPr>
          <w:sz w:val="28"/>
        </w:rPr>
        <w:tab/>
        <w:t>The late institution of the application for a legality review is condoned.</w:t>
      </w:r>
    </w:p>
    <w:p w14:paraId="425A8755" w14:textId="77777777" w:rsidR="005A23DD" w:rsidRPr="007429EC" w:rsidRDefault="005A23DD" w:rsidP="009A720B">
      <w:pPr>
        <w:ind w:left="720"/>
        <w:rPr>
          <w:sz w:val="28"/>
        </w:rPr>
      </w:pPr>
      <w:r w:rsidRPr="007429EC">
        <w:rPr>
          <w:sz w:val="28"/>
        </w:rPr>
        <w:lastRenderedPageBreak/>
        <w:t>2</w:t>
      </w:r>
      <w:r w:rsidRPr="007429EC">
        <w:rPr>
          <w:sz w:val="28"/>
        </w:rPr>
        <w:tab/>
        <w:t>The award of the tender for the appointment of a development partner for the design, construction, operation, maintenance and financing of a suitable and sustainable office and residential accommodation for South African diplomatic missions in Manhattan, New York City, New York pursuant to a request for proposal (DIRCO 10/2015/16) to the joint venture comprising Simeka Group (Pty) Ltd and Regiments Capital (Pty) Ltd is declared constitutionally invalid and therefore unlawful.</w:t>
      </w:r>
    </w:p>
    <w:p w14:paraId="26069CD9" w14:textId="33B8BEC3" w:rsidR="005A23DD" w:rsidRPr="007429EC" w:rsidRDefault="005A23DD" w:rsidP="009A720B">
      <w:pPr>
        <w:ind w:left="720"/>
        <w:rPr>
          <w:sz w:val="28"/>
        </w:rPr>
      </w:pPr>
      <w:r w:rsidRPr="007429EC">
        <w:rPr>
          <w:sz w:val="28"/>
        </w:rPr>
        <w:t>3</w:t>
      </w:r>
      <w:r w:rsidRPr="007429EC">
        <w:rPr>
          <w:sz w:val="28"/>
        </w:rPr>
        <w:tab/>
        <w:t xml:space="preserve">The </w:t>
      </w:r>
      <w:r w:rsidR="00E366AF" w:rsidRPr="007429EC">
        <w:rPr>
          <w:sz w:val="28"/>
        </w:rPr>
        <w:t xml:space="preserve">award of the </w:t>
      </w:r>
      <w:r w:rsidRPr="007429EC">
        <w:rPr>
          <w:sz w:val="28"/>
        </w:rPr>
        <w:t>tender referred to in paragraph 2 of this order is reviewed and set aside.</w:t>
      </w:r>
    </w:p>
    <w:p w14:paraId="66BC09EB" w14:textId="77777777" w:rsidR="005A23DD" w:rsidRPr="007429EC" w:rsidRDefault="005A23DD" w:rsidP="009A720B">
      <w:pPr>
        <w:ind w:left="720"/>
        <w:rPr>
          <w:sz w:val="28"/>
        </w:rPr>
      </w:pPr>
      <w:r w:rsidRPr="007429EC">
        <w:rPr>
          <w:sz w:val="28"/>
        </w:rPr>
        <w:t>4</w:t>
      </w:r>
      <w:r w:rsidRPr="007429EC">
        <w:rPr>
          <w:sz w:val="28"/>
        </w:rPr>
        <w:tab/>
        <w:t>The Project Management Agreement concluded between the Department of International Relations and Cooperation and Lemascene (Pty) Ltd pursuant to the award of the tender is declared to be of no legal force and effect, reviewed and set aside.</w:t>
      </w:r>
    </w:p>
    <w:p w14:paraId="56D57B73" w14:textId="0111B97B" w:rsidR="005A23DD" w:rsidRPr="007429EC" w:rsidRDefault="005A23DD" w:rsidP="009A720B">
      <w:pPr>
        <w:ind w:left="720"/>
        <w:rPr>
          <w:sz w:val="28"/>
        </w:rPr>
      </w:pPr>
      <w:r w:rsidRPr="007429EC">
        <w:rPr>
          <w:sz w:val="28"/>
        </w:rPr>
        <w:t>5</w:t>
      </w:r>
      <w:r w:rsidRPr="007429EC">
        <w:rPr>
          <w:sz w:val="28"/>
        </w:rPr>
        <w:tab/>
        <w:t>The respondents, jointly and severally, are ordered to pay the costs of this application, including the costs of two counsel where so employed.</w:t>
      </w:r>
      <w:r w:rsidR="003B6577" w:rsidRPr="007429EC">
        <w:rPr>
          <w:sz w:val="28"/>
        </w:rPr>
        <w:t>'</w:t>
      </w:r>
    </w:p>
    <w:p w14:paraId="75DA4B5F" w14:textId="27629E45" w:rsidR="0097248F" w:rsidRDefault="0097248F" w:rsidP="009D3DAC">
      <w:pPr>
        <w:rPr>
          <w:sz w:val="28"/>
          <w:szCs w:val="28"/>
        </w:rPr>
      </w:pPr>
    </w:p>
    <w:p w14:paraId="457171E8" w14:textId="77777777" w:rsidR="008F0CD5" w:rsidRDefault="008F0CD5" w:rsidP="009D3DAC">
      <w:pPr>
        <w:rPr>
          <w:sz w:val="28"/>
          <w:szCs w:val="28"/>
        </w:rPr>
      </w:pPr>
    </w:p>
    <w:p w14:paraId="2C2BB6F6" w14:textId="77777777" w:rsidR="008F0CD5" w:rsidRPr="007429EC" w:rsidRDefault="008F0CD5" w:rsidP="009D3DAC">
      <w:pPr>
        <w:rPr>
          <w:sz w:val="28"/>
          <w:szCs w:val="28"/>
        </w:rPr>
      </w:pPr>
    </w:p>
    <w:p w14:paraId="463E0162" w14:textId="77777777" w:rsidR="009D3DAC" w:rsidRPr="007429EC" w:rsidRDefault="009D3DAC" w:rsidP="00B224C9">
      <w:pPr>
        <w:rPr>
          <w:sz w:val="28"/>
          <w:szCs w:val="28"/>
        </w:rPr>
      </w:pPr>
    </w:p>
    <w:p w14:paraId="53C7E517" w14:textId="1B8FC350" w:rsidR="009D3DAC" w:rsidRPr="007429EC" w:rsidRDefault="009D3DAC" w:rsidP="009D3DAC">
      <w:pPr>
        <w:jc w:val="right"/>
        <w:rPr>
          <w:sz w:val="28"/>
          <w:szCs w:val="28"/>
        </w:rPr>
      </w:pPr>
      <w:r w:rsidRPr="007429EC">
        <w:rPr>
          <w:sz w:val="28"/>
          <w:szCs w:val="28"/>
          <w:u w:val="single"/>
        </w:rPr>
        <w:tab/>
      </w:r>
      <w:r w:rsidRPr="007429EC">
        <w:rPr>
          <w:sz w:val="28"/>
          <w:szCs w:val="28"/>
          <w:u w:val="single"/>
        </w:rPr>
        <w:tab/>
      </w:r>
      <w:r w:rsidRPr="007429EC">
        <w:rPr>
          <w:sz w:val="28"/>
          <w:szCs w:val="28"/>
          <w:u w:val="single"/>
        </w:rPr>
        <w:tab/>
      </w:r>
      <w:r w:rsidRPr="007429EC">
        <w:rPr>
          <w:sz w:val="28"/>
          <w:szCs w:val="28"/>
          <w:u w:val="single"/>
        </w:rPr>
        <w:tab/>
      </w:r>
    </w:p>
    <w:p w14:paraId="7544934D" w14:textId="14F9FB56" w:rsidR="009D3DAC" w:rsidRPr="007429EC" w:rsidRDefault="009D3DAC" w:rsidP="009D3DAC">
      <w:pPr>
        <w:jc w:val="right"/>
        <w:rPr>
          <w:sz w:val="28"/>
          <w:szCs w:val="28"/>
        </w:rPr>
      </w:pPr>
      <w:r w:rsidRPr="007429EC">
        <w:rPr>
          <w:sz w:val="28"/>
          <w:szCs w:val="28"/>
        </w:rPr>
        <w:t>X M PETSE</w:t>
      </w:r>
    </w:p>
    <w:p w14:paraId="552BE004" w14:textId="4EC9CF5D" w:rsidR="009D3DAC" w:rsidRPr="007429EC" w:rsidRDefault="009D3DAC" w:rsidP="009D3DAC">
      <w:pPr>
        <w:jc w:val="right"/>
        <w:rPr>
          <w:sz w:val="28"/>
          <w:szCs w:val="28"/>
        </w:rPr>
      </w:pPr>
      <w:r w:rsidRPr="007429EC">
        <w:rPr>
          <w:sz w:val="28"/>
          <w:szCs w:val="28"/>
        </w:rPr>
        <w:t>DEPUTY PRESIDENT</w:t>
      </w:r>
    </w:p>
    <w:p w14:paraId="27CA4D6E" w14:textId="6500878E" w:rsidR="009D3DAC" w:rsidRPr="007429EC" w:rsidRDefault="009D3DAC" w:rsidP="00E7027E">
      <w:pPr>
        <w:jc w:val="right"/>
        <w:rPr>
          <w:sz w:val="28"/>
          <w:szCs w:val="28"/>
        </w:rPr>
      </w:pPr>
      <w:r w:rsidRPr="007429EC">
        <w:rPr>
          <w:sz w:val="28"/>
          <w:szCs w:val="28"/>
        </w:rPr>
        <w:t>SUPREME COURT OF APPEAL</w:t>
      </w:r>
      <w:r w:rsidRPr="007429EC">
        <w:rPr>
          <w:sz w:val="28"/>
          <w:szCs w:val="28"/>
        </w:rPr>
        <w:br w:type="page"/>
      </w:r>
    </w:p>
    <w:p w14:paraId="59BC702E" w14:textId="77777777" w:rsidR="009D3DAC" w:rsidRPr="007429EC" w:rsidRDefault="009D3DAC" w:rsidP="009D3DAC">
      <w:pPr>
        <w:jc w:val="right"/>
        <w:rPr>
          <w:sz w:val="28"/>
          <w:szCs w:val="28"/>
        </w:rPr>
      </w:pPr>
    </w:p>
    <w:p w14:paraId="2CFB3A2F" w14:textId="2B6FAB46" w:rsidR="008B223B" w:rsidRPr="007429EC" w:rsidRDefault="00322A94">
      <w:pPr>
        <w:rPr>
          <w:sz w:val="28"/>
          <w:szCs w:val="28"/>
        </w:rPr>
      </w:pPr>
      <w:r w:rsidRPr="007429EC">
        <w:rPr>
          <w:sz w:val="28"/>
          <w:szCs w:val="28"/>
        </w:rPr>
        <w:t>A</w:t>
      </w:r>
      <w:r w:rsidR="00477A3E" w:rsidRPr="007429EC">
        <w:rPr>
          <w:sz w:val="28"/>
          <w:szCs w:val="28"/>
        </w:rPr>
        <w:t>ppearances</w:t>
      </w:r>
      <w:r w:rsidR="00507989" w:rsidRPr="007429EC">
        <w:rPr>
          <w:sz w:val="28"/>
          <w:szCs w:val="28"/>
        </w:rPr>
        <w:t>:</w:t>
      </w:r>
    </w:p>
    <w:p w14:paraId="3CF3F112" w14:textId="77777777" w:rsidR="008B223B" w:rsidRPr="007429EC" w:rsidRDefault="008B223B">
      <w:pPr>
        <w:rPr>
          <w:sz w:val="28"/>
          <w:szCs w:val="28"/>
        </w:rPr>
      </w:pPr>
    </w:p>
    <w:p w14:paraId="2714AA4B" w14:textId="2D06D977" w:rsidR="000C077B" w:rsidRPr="007429EC" w:rsidRDefault="008234CB" w:rsidP="009A720B">
      <w:pPr>
        <w:rPr>
          <w:sz w:val="28"/>
          <w:szCs w:val="28"/>
        </w:rPr>
      </w:pPr>
      <w:r w:rsidRPr="007429EC">
        <w:rPr>
          <w:sz w:val="28"/>
          <w:szCs w:val="28"/>
        </w:rPr>
        <w:t>For appellant</w:t>
      </w:r>
      <w:r w:rsidR="00AF3848" w:rsidRPr="007429EC">
        <w:rPr>
          <w:sz w:val="28"/>
          <w:szCs w:val="28"/>
        </w:rPr>
        <w:t>s</w:t>
      </w:r>
      <w:r w:rsidR="00322A94" w:rsidRPr="007429EC">
        <w:rPr>
          <w:sz w:val="28"/>
          <w:szCs w:val="28"/>
        </w:rPr>
        <w:t>:</w:t>
      </w:r>
      <w:r w:rsidRPr="007429EC">
        <w:rPr>
          <w:sz w:val="28"/>
          <w:szCs w:val="28"/>
        </w:rPr>
        <w:tab/>
      </w:r>
      <w:r w:rsidRPr="007429EC">
        <w:rPr>
          <w:sz w:val="28"/>
          <w:szCs w:val="28"/>
        </w:rPr>
        <w:tab/>
      </w:r>
      <w:r w:rsidR="00477A3E" w:rsidRPr="007429EC">
        <w:rPr>
          <w:sz w:val="28"/>
          <w:szCs w:val="28"/>
        </w:rPr>
        <w:tab/>
      </w:r>
      <w:r w:rsidR="00530B70" w:rsidRPr="007429EC">
        <w:rPr>
          <w:sz w:val="28"/>
          <w:szCs w:val="28"/>
        </w:rPr>
        <w:t xml:space="preserve">G I Hulley SC (with S A Wentzel, </w:t>
      </w:r>
    </w:p>
    <w:p w14:paraId="6B3F9344" w14:textId="5B0A694A" w:rsidR="00F94912" w:rsidRPr="007429EC" w:rsidRDefault="000C077B" w:rsidP="000C077B">
      <w:pPr>
        <w:ind w:left="3600"/>
        <w:rPr>
          <w:sz w:val="28"/>
          <w:szCs w:val="28"/>
        </w:rPr>
      </w:pPr>
      <w:r w:rsidRPr="007429EC">
        <w:rPr>
          <w:sz w:val="28"/>
          <w:szCs w:val="28"/>
        </w:rPr>
        <w:t>L </w:t>
      </w:r>
      <w:r w:rsidR="00F94912" w:rsidRPr="007429EC">
        <w:rPr>
          <w:sz w:val="28"/>
          <w:szCs w:val="28"/>
        </w:rPr>
        <w:t>S</w:t>
      </w:r>
      <w:r w:rsidRPr="007429EC">
        <w:rPr>
          <w:sz w:val="28"/>
          <w:szCs w:val="28"/>
        </w:rPr>
        <w:t>egeels</w:t>
      </w:r>
      <w:r w:rsidRPr="007429EC">
        <w:rPr>
          <w:sz w:val="28"/>
          <w:szCs w:val="28"/>
        </w:rPr>
        <w:noBreakHyphen/>
      </w:r>
      <w:r w:rsidR="00F94912" w:rsidRPr="007429EC">
        <w:rPr>
          <w:sz w:val="28"/>
          <w:szCs w:val="28"/>
        </w:rPr>
        <w:t xml:space="preserve">Nchube </w:t>
      </w:r>
      <w:r w:rsidR="009A720B" w:rsidRPr="007429EC">
        <w:rPr>
          <w:sz w:val="28"/>
          <w:szCs w:val="28"/>
        </w:rPr>
        <w:t>a</w:t>
      </w:r>
      <w:r w:rsidR="00F94912" w:rsidRPr="007429EC">
        <w:rPr>
          <w:sz w:val="28"/>
          <w:szCs w:val="28"/>
        </w:rPr>
        <w:t>nd V J Heideman)</w:t>
      </w:r>
    </w:p>
    <w:p w14:paraId="7FCDE920" w14:textId="48C2E4B5" w:rsidR="008B223B" w:rsidRPr="007429EC" w:rsidRDefault="00322A94">
      <w:pPr>
        <w:rPr>
          <w:sz w:val="28"/>
          <w:szCs w:val="28"/>
        </w:rPr>
      </w:pPr>
      <w:r w:rsidRPr="007429EC">
        <w:rPr>
          <w:sz w:val="28"/>
          <w:szCs w:val="28"/>
        </w:rPr>
        <w:t>Instructed by:</w:t>
      </w:r>
      <w:r w:rsidR="008234CB" w:rsidRPr="007429EC">
        <w:rPr>
          <w:sz w:val="28"/>
          <w:szCs w:val="28"/>
        </w:rPr>
        <w:tab/>
      </w:r>
      <w:r w:rsidR="008234CB" w:rsidRPr="007429EC">
        <w:rPr>
          <w:sz w:val="28"/>
          <w:szCs w:val="28"/>
        </w:rPr>
        <w:tab/>
      </w:r>
      <w:r w:rsidR="00477A3E" w:rsidRPr="007429EC">
        <w:rPr>
          <w:sz w:val="28"/>
          <w:szCs w:val="28"/>
        </w:rPr>
        <w:tab/>
      </w:r>
      <w:r w:rsidR="00530B70" w:rsidRPr="007429EC">
        <w:rPr>
          <w:sz w:val="28"/>
          <w:szCs w:val="28"/>
        </w:rPr>
        <w:t>State Attorney</w:t>
      </w:r>
      <w:r w:rsidR="00CA3EAD" w:rsidRPr="007429EC">
        <w:rPr>
          <w:sz w:val="28"/>
          <w:szCs w:val="28"/>
        </w:rPr>
        <w:t>,</w:t>
      </w:r>
      <w:r w:rsidR="005F02A1" w:rsidRPr="007429EC">
        <w:rPr>
          <w:sz w:val="28"/>
          <w:szCs w:val="28"/>
        </w:rPr>
        <w:t xml:space="preserve"> </w:t>
      </w:r>
      <w:r w:rsidR="00530B70" w:rsidRPr="007429EC">
        <w:rPr>
          <w:sz w:val="28"/>
          <w:szCs w:val="28"/>
        </w:rPr>
        <w:t>Pretoria</w:t>
      </w:r>
    </w:p>
    <w:p w14:paraId="19756E6F" w14:textId="10231244" w:rsidR="008B223B" w:rsidRPr="007429EC" w:rsidRDefault="00530B70" w:rsidP="00896C95">
      <w:pPr>
        <w:ind w:left="2880" w:firstLine="720"/>
        <w:rPr>
          <w:sz w:val="28"/>
          <w:szCs w:val="28"/>
        </w:rPr>
      </w:pPr>
      <w:r w:rsidRPr="007429EC">
        <w:rPr>
          <w:sz w:val="28"/>
          <w:szCs w:val="28"/>
        </w:rPr>
        <w:t>State Attorney</w:t>
      </w:r>
      <w:r w:rsidR="00322A94" w:rsidRPr="007429EC">
        <w:rPr>
          <w:sz w:val="28"/>
          <w:szCs w:val="28"/>
        </w:rPr>
        <w:t xml:space="preserve">, Bloemfontein </w:t>
      </w:r>
    </w:p>
    <w:p w14:paraId="491A4AE7" w14:textId="77777777" w:rsidR="008234CB" w:rsidRPr="007429EC" w:rsidRDefault="008234CB">
      <w:pPr>
        <w:tabs>
          <w:tab w:val="left" w:pos="2340"/>
        </w:tabs>
        <w:rPr>
          <w:sz w:val="28"/>
          <w:szCs w:val="28"/>
        </w:rPr>
      </w:pPr>
    </w:p>
    <w:p w14:paraId="10B84AB3" w14:textId="1B55E0F3" w:rsidR="008B223B" w:rsidRPr="007429EC" w:rsidRDefault="00322A94">
      <w:pPr>
        <w:tabs>
          <w:tab w:val="left" w:pos="2340"/>
        </w:tabs>
        <w:rPr>
          <w:sz w:val="28"/>
          <w:szCs w:val="28"/>
        </w:rPr>
      </w:pPr>
      <w:r w:rsidRPr="007429EC">
        <w:rPr>
          <w:sz w:val="28"/>
          <w:szCs w:val="28"/>
        </w:rPr>
        <w:t>For respondent</w:t>
      </w:r>
      <w:r w:rsidR="00530B70" w:rsidRPr="007429EC">
        <w:rPr>
          <w:sz w:val="28"/>
          <w:szCs w:val="28"/>
        </w:rPr>
        <w:t>s</w:t>
      </w:r>
      <w:r w:rsidRPr="007429EC">
        <w:rPr>
          <w:sz w:val="28"/>
          <w:szCs w:val="28"/>
        </w:rPr>
        <w:t>:</w:t>
      </w:r>
      <w:r w:rsidR="008234CB" w:rsidRPr="007429EC">
        <w:rPr>
          <w:sz w:val="28"/>
          <w:szCs w:val="28"/>
        </w:rPr>
        <w:tab/>
      </w:r>
      <w:r w:rsidR="008234CB" w:rsidRPr="007429EC">
        <w:rPr>
          <w:sz w:val="28"/>
          <w:szCs w:val="28"/>
        </w:rPr>
        <w:tab/>
      </w:r>
      <w:r w:rsidR="00477A3E" w:rsidRPr="007429EC">
        <w:rPr>
          <w:sz w:val="28"/>
          <w:szCs w:val="28"/>
        </w:rPr>
        <w:tab/>
      </w:r>
      <w:r w:rsidR="00530B70" w:rsidRPr="007429EC">
        <w:rPr>
          <w:sz w:val="28"/>
          <w:szCs w:val="28"/>
        </w:rPr>
        <w:t>A E Bham SC (with L Sisilana</w:t>
      </w:r>
      <w:r w:rsidR="009A720B" w:rsidRPr="007429EC">
        <w:rPr>
          <w:sz w:val="28"/>
          <w:szCs w:val="28"/>
        </w:rPr>
        <w:t xml:space="preserve"> and</w:t>
      </w:r>
      <w:r w:rsidR="00530B70" w:rsidRPr="007429EC">
        <w:rPr>
          <w:sz w:val="28"/>
          <w:szCs w:val="28"/>
        </w:rPr>
        <w:t xml:space="preserve"> L S Crow)</w:t>
      </w:r>
    </w:p>
    <w:p w14:paraId="09167326" w14:textId="52DBE18C" w:rsidR="008B223B" w:rsidRPr="007429EC" w:rsidRDefault="00322A94">
      <w:pPr>
        <w:tabs>
          <w:tab w:val="left" w:pos="2340"/>
          <w:tab w:val="left" w:pos="2520"/>
        </w:tabs>
        <w:rPr>
          <w:sz w:val="28"/>
          <w:szCs w:val="28"/>
        </w:rPr>
      </w:pPr>
      <w:r w:rsidRPr="007429EC">
        <w:rPr>
          <w:sz w:val="28"/>
          <w:szCs w:val="28"/>
        </w:rPr>
        <w:t>Instructed by:</w:t>
      </w:r>
      <w:r w:rsidR="008234CB" w:rsidRPr="007429EC">
        <w:rPr>
          <w:sz w:val="28"/>
          <w:szCs w:val="28"/>
        </w:rPr>
        <w:tab/>
      </w:r>
      <w:r w:rsidR="008234CB" w:rsidRPr="007429EC">
        <w:rPr>
          <w:sz w:val="28"/>
          <w:szCs w:val="28"/>
        </w:rPr>
        <w:tab/>
      </w:r>
      <w:r w:rsidR="008234CB" w:rsidRPr="007429EC">
        <w:rPr>
          <w:sz w:val="28"/>
          <w:szCs w:val="28"/>
        </w:rPr>
        <w:tab/>
      </w:r>
      <w:r w:rsidR="00477A3E" w:rsidRPr="007429EC">
        <w:rPr>
          <w:sz w:val="28"/>
          <w:szCs w:val="28"/>
        </w:rPr>
        <w:tab/>
      </w:r>
      <w:r w:rsidR="00530B70" w:rsidRPr="007429EC">
        <w:rPr>
          <w:sz w:val="28"/>
          <w:szCs w:val="28"/>
        </w:rPr>
        <w:t>Mkabela Huntley Attorneys Inc.</w:t>
      </w:r>
      <w:r w:rsidRPr="007429EC">
        <w:rPr>
          <w:sz w:val="28"/>
          <w:szCs w:val="28"/>
        </w:rPr>
        <w:t xml:space="preserve">, </w:t>
      </w:r>
      <w:r w:rsidR="00530B70" w:rsidRPr="007429EC">
        <w:rPr>
          <w:sz w:val="28"/>
          <w:szCs w:val="28"/>
        </w:rPr>
        <w:t>Sandton</w:t>
      </w:r>
    </w:p>
    <w:p w14:paraId="3D4C1C2C" w14:textId="3F486A96" w:rsidR="008B223B" w:rsidRPr="009D1B3F" w:rsidRDefault="00530B70" w:rsidP="00896C95">
      <w:pPr>
        <w:ind w:left="2880" w:firstLine="720"/>
        <w:rPr>
          <w:sz w:val="28"/>
          <w:szCs w:val="28"/>
        </w:rPr>
      </w:pPr>
      <w:r w:rsidRPr="007429EC">
        <w:rPr>
          <w:sz w:val="28"/>
          <w:szCs w:val="28"/>
        </w:rPr>
        <w:t>McIntyre Van der Post</w:t>
      </w:r>
      <w:r w:rsidR="00322A94" w:rsidRPr="007429EC">
        <w:rPr>
          <w:sz w:val="28"/>
          <w:szCs w:val="28"/>
        </w:rPr>
        <w:t>, Bloemfontein</w:t>
      </w:r>
    </w:p>
    <w:p w14:paraId="491EAD2F" w14:textId="77777777" w:rsidR="00E579D2" w:rsidRPr="009D1B3F" w:rsidRDefault="00E579D2" w:rsidP="008234CB">
      <w:pPr>
        <w:ind w:left="2160" w:firstLine="720"/>
        <w:rPr>
          <w:sz w:val="28"/>
          <w:szCs w:val="28"/>
        </w:rPr>
      </w:pPr>
    </w:p>
    <w:p w14:paraId="0621CE9C" w14:textId="7B7E7C79" w:rsidR="00E579D2" w:rsidRDefault="00E579D2">
      <w:pPr>
        <w:rPr>
          <w:i/>
          <w:sz w:val="28"/>
          <w:szCs w:val="28"/>
        </w:rPr>
      </w:pPr>
    </w:p>
    <w:p w14:paraId="249894B5" w14:textId="77777777" w:rsidR="000B1395" w:rsidRDefault="000B1395">
      <w:pPr>
        <w:rPr>
          <w:i/>
          <w:sz w:val="28"/>
          <w:szCs w:val="28"/>
        </w:rPr>
      </w:pPr>
    </w:p>
    <w:p w14:paraId="0C8DA71E" w14:textId="77777777" w:rsidR="000B1395" w:rsidRDefault="000B1395">
      <w:pPr>
        <w:rPr>
          <w:i/>
          <w:sz w:val="28"/>
          <w:szCs w:val="28"/>
        </w:rPr>
      </w:pPr>
    </w:p>
    <w:p w14:paraId="3150E8B1" w14:textId="77777777" w:rsidR="000B1395" w:rsidRDefault="000B1395">
      <w:pPr>
        <w:rPr>
          <w:i/>
          <w:sz w:val="28"/>
          <w:szCs w:val="28"/>
        </w:rPr>
      </w:pPr>
    </w:p>
    <w:p w14:paraId="07FB8A06" w14:textId="77777777" w:rsidR="000B1395" w:rsidRDefault="000B1395">
      <w:pPr>
        <w:rPr>
          <w:i/>
          <w:sz w:val="28"/>
          <w:szCs w:val="28"/>
        </w:rPr>
      </w:pPr>
    </w:p>
    <w:p w14:paraId="57EAB2BD" w14:textId="77777777" w:rsidR="000B1395" w:rsidRDefault="000B1395">
      <w:pPr>
        <w:rPr>
          <w:i/>
          <w:sz w:val="28"/>
          <w:szCs w:val="28"/>
        </w:rPr>
      </w:pPr>
    </w:p>
    <w:p w14:paraId="61D7DD17" w14:textId="77777777" w:rsidR="000B1395" w:rsidRDefault="000B1395">
      <w:pPr>
        <w:rPr>
          <w:i/>
          <w:sz w:val="28"/>
          <w:szCs w:val="28"/>
        </w:rPr>
      </w:pPr>
    </w:p>
    <w:p w14:paraId="3149B2CB" w14:textId="77777777" w:rsidR="000B1395" w:rsidRDefault="000B1395">
      <w:pPr>
        <w:rPr>
          <w:i/>
          <w:sz w:val="28"/>
          <w:szCs w:val="28"/>
        </w:rPr>
      </w:pPr>
    </w:p>
    <w:p w14:paraId="735CDDC0" w14:textId="77777777" w:rsidR="000B1395" w:rsidRDefault="000B1395">
      <w:pPr>
        <w:rPr>
          <w:i/>
          <w:sz w:val="28"/>
          <w:szCs w:val="28"/>
        </w:rPr>
      </w:pPr>
    </w:p>
    <w:p w14:paraId="4CB3FDF1" w14:textId="77777777" w:rsidR="000B1395" w:rsidRDefault="000B1395">
      <w:pPr>
        <w:rPr>
          <w:i/>
          <w:sz w:val="28"/>
          <w:szCs w:val="28"/>
        </w:rPr>
      </w:pPr>
    </w:p>
    <w:p w14:paraId="3021F5AC" w14:textId="77777777" w:rsidR="000B1395" w:rsidRDefault="000B1395">
      <w:pPr>
        <w:rPr>
          <w:i/>
          <w:sz w:val="28"/>
          <w:szCs w:val="28"/>
        </w:rPr>
      </w:pPr>
    </w:p>
    <w:p w14:paraId="77B405BD" w14:textId="77777777" w:rsidR="00235F17" w:rsidRDefault="00235F17">
      <w:pPr>
        <w:rPr>
          <w:i/>
          <w:sz w:val="28"/>
          <w:szCs w:val="28"/>
        </w:rPr>
      </w:pPr>
    </w:p>
    <w:p w14:paraId="504D1CF8" w14:textId="77777777" w:rsidR="00235F17" w:rsidRDefault="00235F17">
      <w:pPr>
        <w:rPr>
          <w:i/>
          <w:sz w:val="28"/>
          <w:szCs w:val="28"/>
        </w:rPr>
      </w:pPr>
    </w:p>
    <w:p w14:paraId="395D32EE" w14:textId="77777777" w:rsidR="00235F17" w:rsidRDefault="00235F17">
      <w:pPr>
        <w:rPr>
          <w:i/>
          <w:sz w:val="28"/>
          <w:szCs w:val="28"/>
        </w:rPr>
      </w:pPr>
    </w:p>
    <w:sectPr w:rsidR="00235F17" w:rsidSect="008121DC">
      <w:headerReference w:type="even" r:id="rId10"/>
      <w:headerReference w:type="default" r:id="rId11"/>
      <w:headerReference w:type="first" r:id="rId12"/>
      <w:pgSz w:w="12240" w:h="15840"/>
      <w:pgMar w:top="993" w:right="1440" w:bottom="144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A37BC" w16cex:dateUtc="2023-01-24T0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9601FC" w16cid:durableId="277A1D50"/>
  <w16cid:commentId w16cid:paraId="0CBF6118" w16cid:durableId="277A37BC"/>
  <w16cid:commentId w16cid:paraId="578771A4" w16cid:durableId="277A1D51"/>
  <w16cid:commentId w16cid:paraId="2A422E54" w16cid:durableId="277A1D52"/>
  <w16cid:commentId w16cid:paraId="587C882F" w16cid:durableId="277A1D53"/>
  <w16cid:commentId w16cid:paraId="64A84996" w16cid:durableId="277A1D54"/>
  <w16cid:commentId w16cid:paraId="09355426" w16cid:durableId="277A1D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C32DF" w14:textId="77777777" w:rsidR="008C3D1B" w:rsidRDefault="008C3D1B">
      <w:r>
        <w:separator/>
      </w:r>
    </w:p>
  </w:endnote>
  <w:endnote w:type="continuationSeparator" w:id="0">
    <w:p w14:paraId="658CB208" w14:textId="77777777" w:rsidR="008C3D1B" w:rsidRDefault="008C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24A9B" w14:textId="77777777" w:rsidR="008C3D1B" w:rsidRDefault="008C3D1B">
      <w:r>
        <w:separator/>
      </w:r>
    </w:p>
  </w:footnote>
  <w:footnote w:type="continuationSeparator" w:id="0">
    <w:p w14:paraId="4C7903CE" w14:textId="77777777" w:rsidR="008C3D1B" w:rsidRDefault="008C3D1B">
      <w:r>
        <w:continuationSeparator/>
      </w:r>
    </w:p>
  </w:footnote>
  <w:footnote w:id="1">
    <w:p w14:paraId="729D6CCE" w14:textId="76CED8BF"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lang w:val="en-ZA"/>
        </w:rPr>
        <w:t>Constitution of the Republic of South Africa, 1996.</w:t>
      </w:r>
    </w:p>
  </w:footnote>
  <w:footnote w:id="2">
    <w:p w14:paraId="4295641F" w14:textId="7C437AE7"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lang w:val="en-ZA"/>
        </w:rPr>
        <w:t>Public Finance Management Act 1 of 1999.</w:t>
      </w:r>
    </w:p>
  </w:footnote>
  <w:footnote w:id="3">
    <w:p w14:paraId="3B270B4F" w14:textId="085A8D02"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lang w:val="en-ZA"/>
        </w:rPr>
        <w:t>The Preferential Procurement Policy Framework Act 5 of 2000.</w:t>
      </w:r>
    </w:p>
  </w:footnote>
  <w:footnote w:id="4">
    <w:p w14:paraId="50E18BC8" w14:textId="3F8CE756"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lang w:val="en-ZA"/>
        </w:rPr>
        <w:t>At first the Interim Constitution of the Republic of South Africa Act 200 of 1993 and later the Constitution of the Republic of South Africa Act 108 of 1996.</w:t>
      </w:r>
    </w:p>
  </w:footnote>
  <w:footnote w:id="5">
    <w:p w14:paraId="7E33035C" w14:textId="10BA840C" w:rsidR="006F4697" w:rsidRPr="008F0CD5" w:rsidRDefault="006F4697" w:rsidP="007429EC">
      <w:pPr>
        <w:pStyle w:val="FootnoteText"/>
        <w:rPr>
          <w:lang w:val="en-ZA"/>
        </w:rPr>
      </w:pPr>
      <w:r w:rsidRPr="008F0CD5">
        <w:rPr>
          <w:rStyle w:val="FootnoteReference"/>
        </w:rPr>
        <w:footnoteRef/>
      </w:r>
      <w:r w:rsidRPr="008F0CD5">
        <w:t xml:space="preserve"> </w:t>
      </w:r>
      <w:r w:rsidRPr="008F0CD5">
        <w:rPr>
          <w:lang w:val="en-ZA"/>
        </w:rPr>
        <w:t>The Regulations were published in Government Notice R225, Government Gazette no 27388 dated 15 March 2005.</w:t>
      </w:r>
    </w:p>
  </w:footnote>
  <w:footnote w:id="6">
    <w:p w14:paraId="275B476A" w14:textId="19BCAC4C"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lang w:val="en-ZA"/>
        </w:rPr>
        <w:t xml:space="preserve">See, for example in this regard: </w:t>
      </w:r>
      <w:r w:rsidRPr="008F0CD5">
        <w:rPr>
          <w:i/>
          <w:lang w:val="en-ZA"/>
        </w:rPr>
        <w:t>State Information Technology Agency SOC Limited v Gijima Holdings (Pty) Limited</w:t>
      </w:r>
      <w:r w:rsidRPr="008F0CD5">
        <w:rPr>
          <w:lang w:val="en-ZA"/>
        </w:rPr>
        <w:t xml:space="preserve"> [2017] ZACC 40; 2018 (2) SA 23 (CC) (</w:t>
      </w:r>
      <w:r w:rsidRPr="008F0CD5">
        <w:rPr>
          <w:i/>
          <w:lang w:val="en-ZA"/>
        </w:rPr>
        <w:t>Gijima</w:t>
      </w:r>
      <w:r w:rsidRPr="008F0CD5">
        <w:rPr>
          <w:lang w:val="en-ZA"/>
        </w:rPr>
        <w:t xml:space="preserve">) para 41; </w:t>
      </w:r>
      <w:r w:rsidRPr="008F0CD5">
        <w:rPr>
          <w:i/>
          <w:lang w:val="en-ZA"/>
        </w:rPr>
        <w:t>MEC for Health, Eastern Cape and Another v Kirland Investments (Pty) Ltd</w:t>
      </w:r>
      <w:r w:rsidRPr="008F0CD5">
        <w:rPr>
          <w:lang w:val="en-ZA"/>
        </w:rPr>
        <w:t xml:space="preserve"> [2014] ZACC 6; 2014 (5) BCLR 547 (CC); 2014 (3) SA 481 (CC) (</w:t>
      </w:r>
      <w:r w:rsidRPr="008F0CD5">
        <w:rPr>
          <w:i/>
          <w:lang w:val="en-ZA"/>
        </w:rPr>
        <w:t>Kirkland</w:t>
      </w:r>
      <w:r w:rsidRPr="008F0CD5">
        <w:rPr>
          <w:lang w:val="en-ZA"/>
        </w:rPr>
        <w:t>).</w:t>
      </w:r>
    </w:p>
  </w:footnote>
  <w:footnote w:id="7">
    <w:p w14:paraId="76403F15" w14:textId="18E0ADA5"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lang w:val="en-ZA"/>
        </w:rPr>
        <w:t xml:space="preserve">See, for example, in this regard: C Hoexter 'South African Administratice Law at Crossroads: The PAJA and the Principle of Legality' (2018) </w:t>
      </w:r>
      <w:r w:rsidRPr="008F0CD5">
        <w:rPr>
          <w:i/>
          <w:lang w:val="en-ZA"/>
        </w:rPr>
        <w:t>Administrative Law in the Common Law World</w:t>
      </w:r>
      <w:r w:rsidRPr="008F0CD5">
        <w:rPr>
          <w:lang w:val="en-ZA"/>
        </w:rPr>
        <w:t xml:space="preserve">, available at </w:t>
      </w:r>
      <w:hyperlink r:id="rId1" w:history="1">
        <w:r w:rsidRPr="008F0CD5">
          <w:rPr>
            <w:rStyle w:val="Hyperlink"/>
            <w:lang w:val="en-ZA"/>
          </w:rPr>
          <w:t>https://adminlawblog.org/2017/04/28/cora-hoexter-south-african-administrative-law-at-a-crossroads-the-paj-and-the-principle-of-legality/</w:t>
        </w:r>
      </w:hyperlink>
      <w:r w:rsidRPr="008F0CD5">
        <w:rPr>
          <w:lang w:val="en-ZA"/>
        </w:rPr>
        <w:t xml:space="preserve">; S Woolman 'The Amazing, Vanishing Bill of Rights' (2007) 124 </w:t>
      </w:r>
      <w:r w:rsidRPr="008F0CD5">
        <w:rPr>
          <w:i/>
          <w:lang w:val="en-ZA"/>
        </w:rPr>
        <w:t>South African Law Journal</w:t>
      </w:r>
      <w:r w:rsidRPr="008F0CD5">
        <w:rPr>
          <w:lang w:val="en-ZA"/>
        </w:rPr>
        <w:t xml:space="preserve"> 762, 784; R H Freeman (2019) </w:t>
      </w:r>
      <w:r w:rsidRPr="008F0CD5">
        <w:rPr>
          <w:i/>
          <w:lang w:val="en-ZA"/>
        </w:rPr>
        <w:t>Constitutional Court Review</w:t>
      </w:r>
      <w:r w:rsidRPr="008F0CD5">
        <w:rPr>
          <w:lang w:val="en-ZA"/>
        </w:rPr>
        <w:t xml:space="preserve"> Vol 9, 521-535.</w:t>
      </w:r>
    </w:p>
  </w:footnote>
  <w:footnote w:id="8">
    <w:p w14:paraId="78DD8EA4" w14:textId="14BF0427"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rPr>
        <w:t>Fedsure Life Assurance Ltd and Others v Greater Johannesburg Transitional Metropolitan Council and Others</w:t>
      </w:r>
      <w:r w:rsidRPr="008F0CD5">
        <w:t xml:space="preserve"> 1999 (1) SA 374; 1998 (12) BCLR 1458 (</w:t>
      </w:r>
      <w:r w:rsidRPr="008F0CD5">
        <w:rPr>
          <w:i/>
          <w:lang w:val="en-ZA"/>
        </w:rPr>
        <w:t>Fedsure</w:t>
      </w:r>
      <w:r w:rsidRPr="008F0CD5">
        <w:rPr>
          <w:lang w:val="en-ZA"/>
        </w:rPr>
        <w:t>).</w:t>
      </w:r>
    </w:p>
  </w:footnote>
  <w:footnote w:id="9">
    <w:p w14:paraId="663EE4A2" w14:textId="5B8053A1"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rPr>
        <w:t>Fedsure</w:t>
      </w:r>
      <w:r w:rsidRPr="008F0CD5">
        <w:t xml:space="preserve"> para 58.</w:t>
      </w:r>
    </w:p>
  </w:footnote>
  <w:footnote w:id="10">
    <w:p w14:paraId="144A39D5" w14:textId="165E12EE"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lang w:val="en-ZA"/>
        </w:rPr>
        <w:t>Ibid para 56.</w:t>
      </w:r>
    </w:p>
  </w:footnote>
  <w:footnote w:id="11">
    <w:p w14:paraId="5E51D251" w14:textId="1BA26942"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rPr>
        <w:t>Pharmaceutical Manufacturers Association of South Africa and Another: In re Ex Parte President of the Republic of South Africa and Others</w:t>
      </w:r>
      <w:r w:rsidRPr="008F0CD5">
        <w:t xml:space="preserve"> 2000 (2) SA 674; 2000 (3) BCLR 241.</w:t>
      </w:r>
    </w:p>
  </w:footnote>
  <w:footnote w:id="12">
    <w:p w14:paraId="7F1C142D" w14:textId="3ECEF3EA"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lang w:val="en-ZA"/>
        </w:rPr>
        <w:t>Ibid para 17.</w:t>
      </w:r>
    </w:p>
  </w:footnote>
  <w:footnote w:id="13">
    <w:p w14:paraId="212DE5F3" w14:textId="0F2F8581"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lang w:val="en-ZA"/>
        </w:rPr>
        <w:t>The source of this is s 1 of the Constitution which provides that:</w:t>
      </w:r>
    </w:p>
    <w:p w14:paraId="77B1F28B" w14:textId="777A3B58" w:rsidR="006F4697" w:rsidRPr="008F0CD5" w:rsidRDefault="006F4697" w:rsidP="007429EC">
      <w:pPr>
        <w:pStyle w:val="FootnoteText"/>
        <w:spacing w:line="240" w:lineRule="auto"/>
        <w:rPr>
          <w:lang w:val="en-ZA"/>
        </w:rPr>
      </w:pPr>
      <w:r w:rsidRPr="008F0CD5">
        <w:rPr>
          <w:lang w:val="en-ZA"/>
        </w:rPr>
        <w:t>'The Republic of South Africa is one, sovereign, democratic state founded on the following</w:t>
      </w:r>
    </w:p>
    <w:p w14:paraId="00B2AA06" w14:textId="77777777" w:rsidR="006F4697" w:rsidRPr="008F0CD5" w:rsidRDefault="006F4697" w:rsidP="007429EC">
      <w:pPr>
        <w:pStyle w:val="FootnoteText"/>
        <w:spacing w:line="240" w:lineRule="auto"/>
        <w:rPr>
          <w:lang w:val="en-ZA"/>
        </w:rPr>
      </w:pPr>
      <w:r w:rsidRPr="008F0CD5">
        <w:rPr>
          <w:lang w:val="en-ZA"/>
        </w:rPr>
        <w:t>values:</w:t>
      </w:r>
    </w:p>
    <w:p w14:paraId="3B9C2477" w14:textId="2F310AB8" w:rsidR="006F4697" w:rsidRPr="008F0CD5" w:rsidRDefault="006F4697" w:rsidP="007429EC">
      <w:pPr>
        <w:pStyle w:val="FootnoteText"/>
        <w:spacing w:line="240" w:lineRule="auto"/>
        <w:rPr>
          <w:lang w:val="en-ZA"/>
        </w:rPr>
      </w:pPr>
      <w:r w:rsidRPr="008F0CD5">
        <w:rPr>
          <w:lang w:val="en-ZA"/>
        </w:rPr>
        <w:t>(a) Human dignity, the achievement of equality and the advancement of human rights and freedoms.</w:t>
      </w:r>
    </w:p>
    <w:p w14:paraId="702FCA7C" w14:textId="77777777" w:rsidR="006F4697" w:rsidRPr="008F0CD5" w:rsidRDefault="006F4697" w:rsidP="007429EC">
      <w:pPr>
        <w:pStyle w:val="FootnoteText"/>
        <w:spacing w:line="240" w:lineRule="auto"/>
        <w:rPr>
          <w:lang w:val="en-ZA"/>
        </w:rPr>
      </w:pPr>
      <w:r w:rsidRPr="008F0CD5">
        <w:rPr>
          <w:lang w:val="en-ZA"/>
        </w:rPr>
        <w:t>(b) Non-racialism and non-sexism.</w:t>
      </w:r>
    </w:p>
    <w:p w14:paraId="2D214D81" w14:textId="698B9DBA" w:rsidR="006F4697" w:rsidRPr="008F0CD5" w:rsidRDefault="006F4697" w:rsidP="007429EC">
      <w:pPr>
        <w:pStyle w:val="FootnoteText"/>
        <w:spacing w:line="240" w:lineRule="auto"/>
        <w:rPr>
          <w:lang w:val="en-ZA"/>
        </w:rPr>
      </w:pPr>
      <w:r w:rsidRPr="008F0CD5">
        <w:rPr>
          <w:lang w:val="en-ZA"/>
        </w:rPr>
        <w:t xml:space="preserve">(c) </w:t>
      </w:r>
      <w:r w:rsidRPr="008F0CD5">
        <w:rPr>
          <w:i/>
          <w:lang w:val="en-ZA"/>
        </w:rPr>
        <w:t>Supremacy of the constitution and the rule of law</w:t>
      </w:r>
      <w:r w:rsidRPr="008F0CD5">
        <w:rPr>
          <w:lang w:val="en-ZA"/>
        </w:rPr>
        <w:t>.' (My emphasis.)</w:t>
      </w:r>
    </w:p>
  </w:footnote>
  <w:footnote w:id="14">
    <w:p w14:paraId="0671DEFD" w14:textId="6A37E5BE"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rPr>
        <w:t>Affordable Medicines Trust and Others v Minister of Health and Another</w:t>
      </w:r>
      <w:r w:rsidRPr="008F0CD5">
        <w:t xml:space="preserve"> [2005] ZACC 3; 2006 (3) SA 247 (CC); 2005 (6) BCLR 529 (CC).</w:t>
      </w:r>
    </w:p>
  </w:footnote>
  <w:footnote w:id="15">
    <w:p w14:paraId="7EBB38FD" w14:textId="2EE4D1B8" w:rsidR="006F4697" w:rsidRPr="008F0CD5" w:rsidRDefault="006F4697" w:rsidP="007429EC">
      <w:pPr>
        <w:pStyle w:val="FootnoteText"/>
        <w:spacing w:line="240" w:lineRule="auto"/>
        <w:rPr>
          <w:lang w:val="en-ZA"/>
        </w:rPr>
      </w:pPr>
      <w:r w:rsidRPr="008F0CD5">
        <w:rPr>
          <w:rStyle w:val="FootnoteReference"/>
        </w:rPr>
        <w:footnoteRef/>
      </w:r>
      <w:r w:rsidRPr="008F0CD5">
        <w:t xml:space="preserve"> Ibid p</w:t>
      </w:r>
      <w:r w:rsidRPr="008F0CD5">
        <w:rPr>
          <w:lang w:val="en-ZA"/>
        </w:rPr>
        <w:t>ara 49.</w:t>
      </w:r>
    </w:p>
  </w:footnote>
  <w:footnote w:id="16">
    <w:p w14:paraId="1BEB7061" w14:textId="3AACCC8F"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lang w:val="en-ZA"/>
        </w:rPr>
        <w:t>Section 3 provides, inter alia, that the Act applies, to the extent indicated, to departments which are defined s 1 of the PFMA to mean ‘a national or provincial department or a national or provincial government component.’</w:t>
      </w:r>
    </w:p>
  </w:footnote>
  <w:footnote w:id="17">
    <w:p w14:paraId="2AC76FE3" w14:textId="73436D84"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rPr>
        <w:t>Allpay Consolidated Investment Holdings (Pty) Ltd and Others v Chief Executive Officer of the South African Social Security Agency and Others</w:t>
      </w:r>
      <w:r w:rsidRPr="008F0CD5">
        <w:t xml:space="preserve"> [2013] ZACC 42; 2014 (1) SA 604 (CC); 2014 (1) BCLR 1 (CC)</w:t>
      </w:r>
      <w:r>
        <w:t xml:space="preserve"> </w:t>
      </w:r>
      <w:r w:rsidRPr="007607A8">
        <w:rPr>
          <w:szCs w:val="28"/>
          <w:lang w:val="en-ZA"/>
        </w:rPr>
        <w:t>(</w:t>
      </w:r>
      <w:r w:rsidRPr="007607A8">
        <w:rPr>
          <w:i/>
          <w:szCs w:val="28"/>
          <w:lang w:val="en-ZA"/>
        </w:rPr>
        <w:t>Allpay Consolidated</w:t>
      </w:r>
      <w:r w:rsidRPr="007607A8">
        <w:rPr>
          <w:szCs w:val="28"/>
          <w:lang w:val="en-ZA"/>
        </w:rPr>
        <w:t>)</w:t>
      </w:r>
      <w:r w:rsidRPr="008F0CD5">
        <w:t>.</w:t>
      </w:r>
    </w:p>
  </w:footnote>
  <w:footnote w:id="18">
    <w:p w14:paraId="601EFDAD" w14:textId="763CF2D4"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lang w:val="en-ZA"/>
        </w:rPr>
        <w:t>Ibid para 24.</w:t>
      </w:r>
    </w:p>
  </w:footnote>
  <w:footnote w:id="19">
    <w:p w14:paraId="4F81558C" w14:textId="65ECED0C"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lang w:val="en-ZA"/>
        </w:rPr>
        <w:t xml:space="preserve">Ibid para 24. </w:t>
      </w:r>
    </w:p>
  </w:footnote>
  <w:footnote w:id="20">
    <w:p w14:paraId="62A8595F" w14:textId="16299935"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lang w:val="en-ZA"/>
        </w:rPr>
        <w:t xml:space="preserve">Transparency International </w:t>
      </w:r>
      <w:r w:rsidRPr="008F0CD5">
        <w:rPr>
          <w:i/>
          <w:lang w:val="en-ZA"/>
        </w:rPr>
        <w:t>Handbook For Curbing Corruption In Public Procurement</w:t>
      </w:r>
      <w:r w:rsidRPr="008F0CD5">
        <w:rPr>
          <w:lang w:val="en-ZA"/>
        </w:rPr>
        <w:t xml:space="preserve"> (2006) at 35 &amp; 42.</w:t>
      </w:r>
    </w:p>
  </w:footnote>
  <w:footnote w:id="21">
    <w:p w14:paraId="590151B9" w14:textId="085901EC" w:rsidR="006F4697" w:rsidRPr="008F0CD5" w:rsidRDefault="006F4697" w:rsidP="007429EC">
      <w:pPr>
        <w:pStyle w:val="FootnoteText"/>
        <w:rPr>
          <w:lang w:val="en-ZA"/>
        </w:rPr>
      </w:pPr>
      <w:r w:rsidRPr="008F0CD5">
        <w:rPr>
          <w:rStyle w:val="FootnoteReference"/>
        </w:rPr>
        <w:footnoteRef/>
      </w:r>
      <w:r w:rsidRPr="008F0CD5">
        <w:t xml:space="preserve"> </w:t>
      </w:r>
      <w:r w:rsidRPr="008F0CD5">
        <w:rPr>
          <w:i/>
          <w:lang w:val="en-ZA"/>
        </w:rPr>
        <w:t>Allpay Consolidated</w:t>
      </w:r>
      <w:r w:rsidRPr="008F0CD5">
        <w:rPr>
          <w:lang w:val="en-ZA"/>
        </w:rPr>
        <w:t xml:space="preserve"> para 27.</w:t>
      </w:r>
    </w:p>
  </w:footnote>
  <w:footnote w:id="22">
    <w:p w14:paraId="202D166C" w14:textId="7E907F0F"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lang w:val="en-ZA"/>
        </w:rPr>
        <w:t>Ibid.</w:t>
      </w:r>
    </w:p>
  </w:footnote>
  <w:footnote w:id="23">
    <w:p w14:paraId="7C06EABE" w14:textId="70734ACA"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rPr>
        <w:t>African Christian Democratic Party v Electoral Commission and Others</w:t>
      </w:r>
      <w:r w:rsidRPr="008F0CD5">
        <w:t xml:space="preserve"> [2006] ZACC 1; 2006(3) SA 305 (CC); 2006(5) BCLR 579 (CC).</w:t>
      </w:r>
    </w:p>
  </w:footnote>
  <w:footnote w:id="24">
    <w:p w14:paraId="10BA9163" w14:textId="1416E04F"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lang w:val="en-ZA"/>
        </w:rPr>
        <w:t xml:space="preserve">Ibid para 25. </w:t>
      </w:r>
    </w:p>
  </w:footnote>
  <w:footnote w:id="25">
    <w:p w14:paraId="23E87CCA" w14:textId="25CEA211"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rPr>
        <w:t>Steenkamp NO v Provincial Tender Board of the Eastern Cape</w:t>
      </w:r>
      <w:r w:rsidRPr="008F0CD5">
        <w:t xml:space="preserve"> [2006] ZACC 16; 2007 (3) SA 121 (CC); 2007 (3) BCLR 300 (CC).</w:t>
      </w:r>
    </w:p>
  </w:footnote>
  <w:footnote w:id="26">
    <w:p w14:paraId="1A88C097" w14:textId="5F822105"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lang w:val="en-ZA"/>
        </w:rPr>
        <w:t>Ibid para 33.</w:t>
      </w:r>
    </w:p>
  </w:footnote>
  <w:footnote w:id="27">
    <w:p w14:paraId="541DF3C3" w14:textId="01ECACEB"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rPr>
        <w:t>Millennium Waste Management (Pty) Ltd v Chairperson of the Tender Board: Limpopo Province and Others</w:t>
      </w:r>
      <w:r w:rsidRPr="008F0CD5">
        <w:t xml:space="preserve"> [2007] ZASCA 165; [2007] SCA 165 (RSA); 2008 (2) SA 481; 2008 (5) BCLR 508; 2008 (2) SA 481 (SCA) para 4.</w:t>
      </w:r>
    </w:p>
  </w:footnote>
  <w:footnote w:id="28">
    <w:p w14:paraId="35024506" w14:textId="78164890"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rPr>
        <w:t>Premier of the Free State Provincial Government and Others v Firechem Free State (Pty) Ltd</w:t>
      </w:r>
      <w:r w:rsidRPr="008F0CD5">
        <w:t xml:space="preserve"> [2000] ZASCA 28; 2000 (4) SA 413 (SCA); [2000] 3 All SA 247 (A) (</w:t>
      </w:r>
      <w:r w:rsidRPr="008F0CD5">
        <w:rPr>
          <w:i/>
        </w:rPr>
        <w:t>Firechem</w:t>
      </w:r>
      <w:r w:rsidRPr="008F0CD5">
        <w:t>).</w:t>
      </w:r>
    </w:p>
  </w:footnote>
  <w:footnote w:id="29">
    <w:p w14:paraId="4994B364" w14:textId="2D109BFB"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lang w:val="en-ZA"/>
        </w:rPr>
        <w:t>Ibid para 30.</w:t>
      </w:r>
    </w:p>
  </w:footnote>
  <w:footnote w:id="30">
    <w:p w14:paraId="25765F07" w14:textId="7C11DABC"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lang w:val="en-ZA"/>
        </w:rPr>
        <w:t xml:space="preserve">Bolton </w:t>
      </w:r>
      <w:r w:rsidRPr="008F0CD5">
        <w:rPr>
          <w:i/>
          <w:lang w:val="en-ZA"/>
        </w:rPr>
        <w:t xml:space="preserve">The Law of Government Procurement in South Africa </w:t>
      </w:r>
      <w:r w:rsidRPr="008F0CD5">
        <w:rPr>
          <w:lang w:val="en-ZA"/>
        </w:rPr>
        <w:t>2007.</w:t>
      </w:r>
    </w:p>
  </w:footnote>
  <w:footnote w:id="31">
    <w:p w14:paraId="5E4186DC" w14:textId="6497605F" w:rsidR="006F4697" w:rsidRPr="008F0CD5" w:rsidRDefault="006F4697" w:rsidP="007429EC">
      <w:pPr>
        <w:pStyle w:val="FootnoteText"/>
        <w:spacing w:line="240" w:lineRule="auto"/>
        <w:rPr>
          <w:lang w:val="en-ZA"/>
        </w:rPr>
      </w:pPr>
      <w:r w:rsidRPr="008F0CD5">
        <w:rPr>
          <w:rStyle w:val="FootnoteReference"/>
        </w:rPr>
        <w:footnoteRef/>
      </w:r>
      <w:r w:rsidRPr="008F0CD5">
        <w:t xml:space="preserve"> Ibid a</w:t>
      </w:r>
      <w:r w:rsidRPr="008F0CD5">
        <w:rPr>
          <w:lang w:val="en-ZA"/>
        </w:rPr>
        <w:t>t 57.</w:t>
      </w:r>
    </w:p>
  </w:footnote>
  <w:footnote w:id="32">
    <w:p w14:paraId="351CB41E" w14:textId="4A49DE3E"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lang w:val="en-ZA"/>
        </w:rPr>
        <w:t>Allpay Consolidated</w:t>
      </w:r>
      <w:r w:rsidRPr="008F0CD5">
        <w:rPr>
          <w:lang w:val="en-ZA"/>
        </w:rPr>
        <w:t xml:space="preserve"> para 43. </w:t>
      </w:r>
    </w:p>
  </w:footnote>
  <w:footnote w:id="33">
    <w:p w14:paraId="56760C4D" w14:textId="7E872CE6"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rPr>
        <w:t>State Information Technology Agency SOC Limited v Gijima Holdings (Pty) Limited</w:t>
      </w:r>
      <w:r w:rsidRPr="008F0CD5">
        <w:t xml:space="preserve"> [2017] ZACC 40; 2018 (2) BCLR 240 (CC); 2018 (2) SA 23 (CC).</w:t>
      </w:r>
    </w:p>
  </w:footnote>
  <w:footnote w:id="34">
    <w:p w14:paraId="6AE54C36" w14:textId="6E3E446A" w:rsidR="006F4697" w:rsidRPr="008F0CD5" w:rsidRDefault="006F4697" w:rsidP="007429EC">
      <w:pPr>
        <w:pStyle w:val="FootnoteText"/>
        <w:spacing w:line="240" w:lineRule="auto"/>
        <w:rPr>
          <w:lang w:val="en-ZA"/>
        </w:rPr>
      </w:pPr>
      <w:r w:rsidRPr="008F0CD5">
        <w:rPr>
          <w:rStyle w:val="FootnoteReference"/>
        </w:rPr>
        <w:footnoteRef/>
      </w:r>
      <w:r w:rsidRPr="008F0CD5">
        <w:t xml:space="preserve"> Ibid p</w:t>
      </w:r>
      <w:r w:rsidRPr="008F0CD5">
        <w:rPr>
          <w:lang w:val="en-ZA"/>
        </w:rPr>
        <w:t>ara 40.</w:t>
      </w:r>
    </w:p>
  </w:footnote>
  <w:footnote w:id="35">
    <w:p w14:paraId="6C57C9E8" w14:textId="1DB30556"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lang w:val="en-ZA"/>
        </w:rPr>
        <w:t>Section 2 of the Constitution decrees that the Constitution ‘is the supreme law of the Republic; law or conduct inconsistent with it is invalid, and the obligations imposed by it must be fulfilled.’</w:t>
      </w:r>
    </w:p>
  </w:footnote>
  <w:footnote w:id="36">
    <w:p w14:paraId="03F73FCE" w14:textId="386EFC15"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lang w:val="en-ZA"/>
        </w:rPr>
        <w:t>Compare</w:t>
      </w:r>
      <w:r w:rsidRPr="008F0CD5">
        <w:rPr>
          <w:i/>
          <w:lang w:val="en-ZA"/>
        </w:rPr>
        <w:t>: South African National Roads Agency Limited v City of Cape Town</w:t>
      </w:r>
      <w:r w:rsidRPr="008F0CD5">
        <w:rPr>
          <w:lang w:val="en-ZA"/>
        </w:rPr>
        <w:t xml:space="preserve"> [2016] ZASCA 122; [2016] 4 All SA 332 (SCA); 2017 (1) SA 468 (SCA) para 81.</w:t>
      </w:r>
    </w:p>
  </w:footnote>
  <w:footnote w:id="37">
    <w:p w14:paraId="3AFD3AB9" w14:textId="7E3B4B85"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lang w:val="en-ZA"/>
        </w:rPr>
        <w:t>Allpay Consolidated</w:t>
      </w:r>
      <w:r w:rsidRPr="008F0CD5">
        <w:rPr>
          <w:lang w:val="en-ZA"/>
        </w:rPr>
        <w:t xml:space="preserve"> paras 44 and 45.</w:t>
      </w:r>
    </w:p>
  </w:footnote>
  <w:footnote w:id="38">
    <w:p w14:paraId="1FC299A9" w14:textId="7AAD656D"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lang w:val="en-ZA"/>
        </w:rPr>
        <w:t>Ibid para 58.</w:t>
      </w:r>
    </w:p>
  </w:footnote>
  <w:footnote w:id="39">
    <w:p w14:paraId="078DA2B1" w14:textId="77777777"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lang w:val="en-ZA"/>
        </w:rPr>
        <w:t>Para 40.</w:t>
      </w:r>
    </w:p>
  </w:footnote>
  <w:footnote w:id="40">
    <w:p w14:paraId="5FA71FEA" w14:textId="7FD4F5E9"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rPr>
        <w:t>Airports Company South Africa v Tswelokgotso Trading Enterprises CC</w:t>
      </w:r>
      <w:r w:rsidRPr="008F0CD5">
        <w:t xml:space="preserve"> [2018] ZAGPJHC 476; 2019 (1) SA 204 (GJ) para 28.</w:t>
      </w:r>
    </w:p>
  </w:footnote>
  <w:footnote w:id="41">
    <w:p w14:paraId="29803604" w14:textId="27DD0405"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rPr>
        <w:t>City of Cape Town v Aurecon South Africa (Pty) Ltd</w:t>
      </w:r>
      <w:r w:rsidRPr="008F0CD5">
        <w:t xml:space="preserve"> </w:t>
      </w:r>
      <w:r w:rsidRPr="008F0CD5">
        <w:rPr>
          <w:lang w:val="en-ZA"/>
        </w:rPr>
        <w:t xml:space="preserve">[2017] ZACC 5; 2017 (6) BCLR 730 (CC); 2017 (4) SA 223 (CC). </w:t>
      </w:r>
    </w:p>
  </w:footnote>
  <w:footnote w:id="42">
    <w:p w14:paraId="36A50169" w14:textId="214F31D3" w:rsidR="006F4697" w:rsidRPr="008F0CD5" w:rsidRDefault="006F4697" w:rsidP="009B4C62">
      <w:pPr>
        <w:pStyle w:val="FootnoteText"/>
        <w:spacing w:line="240" w:lineRule="auto"/>
        <w:rPr>
          <w:lang w:val="en-ZA"/>
        </w:rPr>
      </w:pPr>
      <w:r w:rsidRPr="008F0CD5">
        <w:rPr>
          <w:rStyle w:val="FootnoteReference"/>
        </w:rPr>
        <w:footnoteRef/>
      </w:r>
      <w:r w:rsidRPr="008F0CD5">
        <w:t xml:space="preserve"> Ibid p</w:t>
      </w:r>
      <w:r w:rsidRPr="008F0CD5">
        <w:rPr>
          <w:lang w:val="en-ZA"/>
        </w:rPr>
        <w:t>ara 39.</w:t>
      </w:r>
    </w:p>
  </w:footnote>
  <w:footnote w:id="43">
    <w:p w14:paraId="5C41587D" w14:textId="74B0CEC7" w:rsidR="006F4697" w:rsidRPr="008F0CD5" w:rsidRDefault="006F4697" w:rsidP="009B4C62">
      <w:pPr>
        <w:pStyle w:val="FootnoteText"/>
        <w:spacing w:line="240" w:lineRule="auto"/>
        <w:rPr>
          <w:lang w:val="en-ZA"/>
        </w:rPr>
      </w:pPr>
      <w:r w:rsidRPr="008F0CD5">
        <w:rPr>
          <w:rStyle w:val="FootnoteReference"/>
        </w:rPr>
        <w:footnoteRef/>
      </w:r>
      <w:r w:rsidRPr="008F0CD5">
        <w:t xml:space="preserve"> </w:t>
      </w:r>
      <w:r w:rsidRPr="008F0CD5">
        <w:rPr>
          <w:lang w:val="en-ZA"/>
        </w:rPr>
        <w:t xml:space="preserve">Ibid. </w:t>
      </w:r>
    </w:p>
  </w:footnote>
  <w:footnote w:id="44">
    <w:p w14:paraId="7333D755" w14:textId="51A8823C" w:rsidR="006F4697" w:rsidRPr="008F0CD5" w:rsidRDefault="006F4697" w:rsidP="009B4C62">
      <w:pPr>
        <w:pStyle w:val="FootnoteText"/>
        <w:spacing w:line="240" w:lineRule="auto"/>
        <w:rPr>
          <w:lang w:val="en-ZA"/>
        </w:rPr>
      </w:pPr>
      <w:r w:rsidRPr="008F0CD5">
        <w:rPr>
          <w:rStyle w:val="FootnoteReference"/>
        </w:rPr>
        <w:footnoteRef/>
      </w:r>
      <w:r w:rsidRPr="008F0CD5">
        <w:t xml:space="preserve"> </w:t>
      </w:r>
      <w:r w:rsidRPr="008F0CD5">
        <w:rPr>
          <w:i/>
        </w:rPr>
        <w:t>Buffalo City Metropolitan Municipality v Asla Construction (Pty) Limited</w:t>
      </w:r>
      <w:r w:rsidRPr="008F0CD5">
        <w:t xml:space="preserve"> [2019] ZACC 15; 2019 (6) BCLR 661 (CC); 2019 (4) SA 331 (CC)</w:t>
      </w:r>
      <w:r w:rsidRPr="008F0CD5">
        <w:rPr>
          <w:lang w:val="en-ZA"/>
        </w:rPr>
        <w:t>.</w:t>
      </w:r>
    </w:p>
  </w:footnote>
  <w:footnote w:id="45">
    <w:p w14:paraId="26D8CEF1" w14:textId="3D6435D7"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lang w:val="en-ZA"/>
        </w:rPr>
        <w:t>Ibid para 139.</w:t>
      </w:r>
    </w:p>
  </w:footnote>
  <w:footnote w:id="46">
    <w:p w14:paraId="6687BF27" w14:textId="77777777"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rPr>
        <w:t>Govan Mbeki Municipality v New Integrated Credit Solutions (Pty) Ltd</w:t>
      </w:r>
      <w:r w:rsidRPr="008F0CD5">
        <w:t xml:space="preserve"> [2021] ZASCA 34; [2021] 2 All SA 700 (SCA); 2021 (4) SA 436 (SCA) para 45. </w:t>
      </w:r>
    </w:p>
  </w:footnote>
  <w:footnote w:id="47">
    <w:p w14:paraId="00BD1F93" w14:textId="6AD268CF"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rPr>
        <w:t xml:space="preserve">Firechem </w:t>
      </w:r>
      <w:r w:rsidRPr="008F0CD5">
        <w:t xml:space="preserve">para 30. </w:t>
      </w:r>
      <w:r w:rsidRPr="008F0CD5">
        <w:rPr>
          <w:lang w:val="en-ZA"/>
        </w:rPr>
        <w:t xml:space="preserve">See also: </w:t>
      </w:r>
      <w:r w:rsidRPr="008F0CD5">
        <w:rPr>
          <w:i/>
        </w:rPr>
        <w:t xml:space="preserve">Asla </w:t>
      </w:r>
      <w:r w:rsidRPr="008F0CD5">
        <w:t>paras 89-92.</w:t>
      </w:r>
    </w:p>
  </w:footnote>
  <w:footnote w:id="48">
    <w:p w14:paraId="182DAB14" w14:textId="69E8A199"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rPr>
        <w:t>Associated Institutions Pension Fund and Others v Van Zyl and</w:t>
      </w:r>
      <w:r w:rsidRPr="008F0CD5">
        <w:t xml:space="preserve"> Others [2004] 4 All SA 133 (SCA) paras 46 – 48.</w:t>
      </w:r>
    </w:p>
  </w:footnote>
  <w:footnote w:id="49">
    <w:p w14:paraId="1015B811" w14:textId="2D592CD9"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lang w:val="en-ZA"/>
        </w:rPr>
        <w:t xml:space="preserve">See </w:t>
      </w:r>
      <w:r w:rsidRPr="008F0CD5">
        <w:rPr>
          <w:i/>
          <w:lang w:val="en-ZA"/>
        </w:rPr>
        <w:t>Setsokosane Busdiens (Edms) Bpk v Voorsitter, Nasionale Vervoerkommissie en 'n Ander</w:t>
      </w:r>
      <w:r w:rsidRPr="008F0CD5">
        <w:rPr>
          <w:lang w:val="en-ZA"/>
        </w:rPr>
        <w:t xml:space="preserve"> 1986 (2) SA 57 (A) at 86 E-F.</w:t>
      </w:r>
    </w:p>
  </w:footnote>
  <w:footnote w:id="50">
    <w:p w14:paraId="170D2649" w14:textId="41E2E6B2"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rPr>
        <w:t>Merafong City Local Municipality v AngloGold Ashanti Limited</w:t>
      </w:r>
      <w:r w:rsidRPr="008F0CD5">
        <w:t xml:space="preserve"> [2016] ZACC 35; 2017 (2) BCLR 182 (CC); 2017 (2) SA 211 (CC)</w:t>
      </w:r>
    </w:p>
  </w:footnote>
  <w:footnote w:id="51">
    <w:p w14:paraId="5B7FD642" w14:textId="7B8B134F"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lang w:val="en-ZA"/>
        </w:rPr>
        <w:t>Ibid para 73.</w:t>
      </w:r>
    </w:p>
  </w:footnote>
  <w:footnote w:id="52">
    <w:p w14:paraId="2615CB88" w14:textId="1E7151AF" w:rsidR="006F4697" w:rsidRPr="008F0CD5" w:rsidRDefault="006F4697" w:rsidP="007429EC">
      <w:pPr>
        <w:pStyle w:val="FootnoteText"/>
        <w:spacing w:line="240" w:lineRule="auto"/>
      </w:pPr>
      <w:r w:rsidRPr="008F0CD5">
        <w:rPr>
          <w:rStyle w:val="FootnoteReference"/>
        </w:rPr>
        <w:footnoteRef/>
      </w:r>
      <w:r w:rsidRPr="008F0CD5">
        <w:t xml:space="preserve"> </w:t>
      </w:r>
      <w:r w:rsidRPr="008F0CD5">
        <w:rPr>
          <w:i/>
        </w:rPr>
        <w:t>Khumalo and Another v Member of the Executive Council for Education: KwaZulu Natal</w:t>
      </w:r>
      <w:r w:rsidRPr="008F0CD5">
        <w:t xml:space="preserve"> [2013] ZACC 49; 2014 (3) BCLR 333 (CC); (2014) 35 ILJ 613 (CC); 2014 (5) SA 579 (CC).</w:t>
      </w:r>
    </w:p>
  </w:footnote>
  <w:footnote w:id="53">
    <w:p w14:paraId="6E40C5A2" w14:textId="7E616CB4" w:rsidR="006F4697" w:rsidRPr="008F0CD5" w:rsidRDefault="006F4697" w:rsidP="007429EC">
      <w:pPr>
        <w:pStyle w:val="FootnoteText"/>
        <w:spacing w:line="240" w:lineRule="auto"/>
      </w:pPr>
      <w:r w:rsidRPr="008F0CD5">
        <w:rPr>
          <w:rStyle w:val="FootnoteReference"/>
        </w:rPr>
        <w:footnoteRef/>
      </w:r>
      <w:r w:rsidRPr="008F0CD5">
        <w:t xml:space="preserve"> </w:t>
      </w:r>
      <w:r w:rsidRPr="008F0CD5">
        <w:rPr>
          <w:lang w:val="en-ZA"/>
        </w:rPr>
        <w:t>Ibid p</w:t>
      </w:r>
      <w:r w:rsidRPr="008F0CD5">
        <w:t>ara 45.</w:t>
      </w:r>
    </w:p>
  </w:footnote>
  <w:footnote w:id="54">
    <w:p w14:paraId="000FBF4E" w14:textId="6A05E35A" w:rsidR="006F4697" w:rsidRPr="008F0CD5" w:rsidRDefault="006F4697" w:rsidP="007429EC">
      <w:pPr>
        <w:pStyle w:val="FootnoteText"/>
        <w:spacing w:line="240" w:lineRule="auto"/>
      </w:pPr>
      <w:r w:rsidRPr="008F0CD5">
        <w:rPr>
          <w:rStyle w:val="FootnoteReference"/>
        </w:rPr>
        <w:footnoteRef/>
      </w:r>
      <w:r w:rsidRPr="008F0CD5">
        <w:t xml:space="preserve"> Section 237 which is headed 'Diligent performance of obligations' provides:</w:t>
      </w:r>
    </w:p>
    <w:p w14:paraId="336CA515" w14:textId="559A55D3" w:rsidR="006F4697" w:rsidRPr="008F0CD5" w:rsidRDefault="006F4697" w:rsidP="007429EC">
      <w:pPr>
        <w:pStyle w:val="FootnoteText"/>
        <w:spacing w:line="240" w:lineRule="auto"/>
      </w:pPr>
      <w:r w:rsidRPr="008F0CD5">
        <w:t>'All constitutional obligations must be performed diligently and without delay.'</w:t>
      </w:r>
    </w:p>
  </w:footnote>
  <w:footnote w:id="55">
    <w:p w14:paraId="7E782553" w14:textId="4FCC83D8" w:rsidR="006F4697" w:rsidRPr="008F0CD5" w:rsidRDefault="006F4697" w:rsidP="007429EC">
      <w:pPr>
        <w:pStyle w:val="FootnoteText"/>
        <w:spacing w:line="240" w:lineRule="auto"/>
      </w:pPr>
      <w:r w:rsidRPr="008F0CD5">
        <w:rPr>
          <w:rStyle w:val="FootnoteReference"/>
        </w:rPr>
        <w:footnoteRef/>
      </w:r>
      <w:r w:rsidRPr="008F0CD5">
        <w:t xml:space="preserve"> </w:t>
      </w:r>
      <w:r w:rsidRPr="008F0CD5">
        <w:rPr>
          <w:i/>
        </w:rPr>
        <w:t>Khumalo</w:t>
      </w:r>
      <w:r w:rsidRPr="008F0CD5">
        <w:t xml:space="preserve"> paras 46 – 48.</w:t>
      </w:r>
    </w:p>
  </w:footnote>
  <w:footnote w:id="56">
    <w:p w14:paraId="1D0AED10" w14:textId="4D6E0B76" w:rsidR="006F4697" w:rsidRPr="008F0CD5" w:rsidRDefault="006F4697" w:rsidP="007429EC">
      <w:pPr>
        <w:pStyle w:val="FootnoteText"/>
        <w:spacing w:line="240" w:lineRule="auto"/>
      </w:pPr>
      <w:r w:rsidRPr="008F0CD5">
        <w:rPr>
          <w:rStyle w:val="FootnoteReference"/>
        </w:rPr>
        <w:footnoteRef/>
      </w:r>
      <w:r w:rsidRPr="008F0CD5">
        <w:t xml:space="preserve"> </w:t>
      </w:r>
      <w:r w:rsidRPr="008F0CD5">
        <w:rPr>
          <w:i/>
        </w:rPr>
        <w:t>Sita</w:t>
      </w:r>
      <w:r w:rsidRPr="008F0CD5">
        <w:t xml:space="preserve"> para 49.</w:t>
      </w:r>
    </w:p>
  </w:footnote>
  <w:footnote w:id="57">
    <w:p w14:paraId="7F4998BE" w14:textId="1783907F" w:rsidR="006F4697" w:rsidRPr="008F0CD5" w:rsidRDefault="006F4697" w:rsidP="007429EC">
      <w:pPr>
        <w:pStyle w:val="FootnoteText"/>
        <w:spacing w:line="240" w:lineRule="auto"/>
      </w:pPr>
      <w:r w:rsidRPr="008F0CD5">
        <w:rPr>
          <w:rStyle w:val="FootnoteReference"/>
        </w:rPr>
        <w:footnoteRef/>
      </w:r>
      <w:r w:rsidRPr="008F0CD5">
        <w:t xml:space="preserve"> </w:t>
      </w:r>
      <w:r w:rsidRPr="008F0CD5">
        <w:rPr>
          <w:i/>
        </w:rPr>
        <w:t>Department of Transport and Others v Tasima (Pty) Limited</w:t>
      </w:r>
      <w:r w:rsidRPr="008F0CD5">
        <w:t xml:space="preserve"> [2016] ZACC 39; 2017 (1) BCLR 1 (CC); 2017 (2) SA 622 (CC) (</w:t>
      </w:r>
      <w:r w:rsidRPr="008F0CD5">
        <w:rPr>
          <w:i/>
        </w:rPr>
        <w:t>Tasima I</w:t>
      </w:r>
      <w:r w:rsidRPr="008F0CD5">
        <w:t>) para 160.</w:t>
      </w:r>
    </w:p>
  </w:footnote>
  <w:footnote w:id="58">
    <w:p w14:paraId="7D861A06" w14:textId="20B03E2C" w:rsidR="006F4697" w:rsidRPr="008F0CD5" w:rsidRDefault="006F4697" w:rsidP="007429EC">
      <w:pPr>
        <w:pStyle w:val="FootnoteText"/>
        <w:spacing w:line="240" w:lineRule="auto"/>
      </w:pPr>
      <w:r w:rsidRPr="008F0CD5">
        <w:rPr>
          <w:rStyle w:val="FootnoteReference"/>
        </w:rPr>
        <w:footnoteRef/>
      </w:r>
      <w:r w:rsidRPr="008F0CD5">
        <w:t xml:space="preserve"> </w:t>
      </w:r>
      <w:r w:rsidRPr="008F0CD5">
        <w:rPr>
          <w:i/>
        </w:rPr>
        <w:t xml:space="preserve">Tasima I </w:t>
      </w:r>
      <w:r w:rsidRPr="008F0CD5">
        <w:t xml:space="preserve">para 48. See also: </w:t>
      </w:r>
      <w:r w:rsidRPr="008F0CD5">
        <w:rPr>
          <w:i/>
        </w:rPr>
        <w:t>Asla</w:t>
      </w:r>
      <w:r w:rsidRPr="008F0CD5">
        <w:t xml:space="preserve"> paras 48 – 54; </w:t>
      </w:r>
      <w:r w:rsidRPr="008F0CD5">
        <w:rPr>
          <w:i/>
        </w:rPr>
        <w:t>Khumalo</w:t>
      </w:r>
      <w:r w:rsidRPr="008F0CD5">
        <w:t xml:space="preserve"> paras 48-49.</w:t>
      </w:r>
    </w:p>
  </w:footnote>
  <w:footnote w:id="59">
    <w:p w14:paraId="4CA0EF6F" w14:textId="1B7D5A4C" w:rsidR="006F4697" w:rsidRPr="008F0CD5" w:rsidRDefault="006F4697" w:rsidP="007429EC">
      <w:pPr>
        <w:pStyle w:val="FootnoteText"/>
        <w:spacing w:line="240" w:lineRule="auto"/>
      </w:pPr>
      <w:r w:rsidRPr="008F0CD5">
        <w:rPr>
          <w:rStyle w:val="FootnoteReference"/>
        </w:rPr>
        <w:footnoteRef/>
      </w:r>
      <w:r w:rsidRPr="008F0CD5">
        <w:t xml:space="preserve"> High court judgment paras 45-46.</w:t>
      </w:r>
    </w:p>
  </w:footnote>
  <w:footnote w:id="60">
    <w:p w14:paraId="24407EBB" w14:textId="77777777" w:rsidR="006F4697" w:rsidRPr="008F0CD5" w:rsidRDefault="006F4697" w:rsidP="007429EC">
      <w:pPr>
        <w:pStyle w:val="FootnoteText"/>
        <w:spacing w:line="240" w:lineRule="auto"/>
      </w:pPr>
      <w:r w:rsidRPr="008F0CD5">
        <w:rPr>
          <w:rStyle w:val="FootnoteReference"/>
        </w:rPr>
        <w:footnoteRef/>
      </w:r>
      <w:r w:rsidRPr="008F0CD5">
        <w:t xml:space="preserve"> This was a reference to the letter addressed by National Treasury to the Department which reads:</w:t>
      </w:r>
    </w:p>
    <w:p w14:paraId="594A81F5" w14:textId="77777777" w:rsidR="006F4697" w:rsidRPr="008F0CD5" w:rsidRDefault="006F4697" w:rsidP="007429EC">
      <w:pPr>
        <w:pStyle w:val="FootnoteText"/>
        <w:spacing w:line="240" w:lineRule="auto"/>
      </w:pPr>
      <w:r w:rsidRPr="008F0CD5">
        <w:t>'PROCUREMENT OF OFFICE AND RESIDENTIAL ACCOMODATION FOR SOUTH AFRICAN MISSION IN NEW YORK CITY</w:t>
      </w:r>
    </w:p>
    <w:p w14:paraId="1A686C6C" w14:textId="77777777" w:rsidR="006F4697" w:rsidRPr="008F0CD5" w:rsidRDefault="006F4697" w:rsidP="007429EC">
      <w:pPr>
        <w:pStyle w:val="FootnoteText"/>
        <w:spacing w:line="240" w:lineRule="auto"/>
      </w:pPr>
    </w:p>
    <w:p w14:paraId="33142B99" w14:textId="77777777" w:rsidR="006F4697" w:rsidRPr="008F0CD5" w:rsidRDefault="006F4697" w:rsidP="007429EC">
      <w:pPr>
        <w:pStyle w:val="FootnoteText"/>
        <w:spacing w:line="240" w:lineRule="auto"/>
      </w:pPr>
      <w:r w:rsidRPr="008F0CD5">
        <w:t>I refer to the meeting between your department and the National Treasury (NT) on 19 January 2018 concerning the procurement of land and development for the mission in New York City. I also refer to the procurement process issues identified by the Office of the Chief Procurement Officer of NT communicated to your department in a letter dated 16 October 2017 (attached.)</w:t>
      </w:r>
    </w:p>
    <w:p w14:paraId="27D9678C" w14:textId="77777777" w:rsidR="006F4697" w:rsidRPr="008F0CD5" w:rsidRDefault="006F4697" w:rsidP="007429EC">
      <w:pPr>
        <w:pStyle w:val="FootnoteText"/>
        <w:spacing w:line="240" w:lineRule="auto"/>
      </w:pPr>
    </w:p>
    <w:p w14:paraId="5A662CF7" w14:textId="77777777" w:rsidR="006F4697" w:rsidRPr="008F0CD5" w:rsidRDefault="006F4697" w:rsidP="007429EC">
      <w:pPr>
        <w:pStyle w:val="FootnoteText"/>
        <w:spacing w:line="240" w:lineRule="auto"/>
      </w:pPr>
      <w:r w:rsidRPr="008F0CD5">
        <w:t xml:space="preserve">The National Treasury will not be in position to issue Treasury Approval III for the Public Private Partnership (PPP) to implement the project if the procurement issues are not resolved by your department. It is therefore advisable that the department starts a new tender process and ensures that the correct procurement processes are followed. </w:t>
      </w:r>
    </w:p>
    <w:p w14:paraId="1CD7E808" w14:textId="77777777" w:rsidR="006F4697" w:rsidRPr="008F0CD5" w:rsidRDefault="006F4697" w:rsidP="007429EC">
      <w:pPr>
        <w:pStyle w:val="FootnoteText"/>
        <w:spacing w:line="240" w:lineRule="auto"/>
      </w:pPr>
    </w:p>
    <w:p w14:paraId="21ED4EC1" w14:textId="77777777" w:rsidR="006F4697" w:rsidRPr="008F0CD5" w:rsidRDefault="006F4697" w:rsidP="007429EC">
      <w:pPr>
        <w:pStyle w:val="FootnoteText"/>
        <w:spacing w:line="240" w:lineRule="auto"/>
      </w:pPr>
      <w:r w:rsidRPr="008F0CD5">
        <w:t>As accounting officer you, should decide whether either-</w:t>
      </w:r>
    </w:p>
    <w:p w14:paraId="27F2FF68" w14:textId="77777777" w:rsidR="006F4697" w:rsidRPr="008F0CD5" w:rsidRDefault="006F4697" w:rsidP="007429EC">
      <w:pPr>
        <w:pStyle w:val="FootnoteText"/>
        <w:spacing w:line="240" w:lineRule="auto"/>
      </w:pPr>
      <w:r w:rsidRPr="008F0CD5">
        <w:t>(a)</w:t>
      </w:r>
      <w:r w:rsidRPr="008F0CD5">
        <w:tab/>
        <w:t>to continue with procuring the land through the appointed service provider which is likely to entail irregular expenditure given the procurement issues raised by the OCPO and/or the absence of Treasury approval III for the PPP; or</w:t>
      </w:r>
    </w:p>
    <w:p w14:paraId="303D0296" w14:textId="77777777" w:rsidR="006F4697" w:rsidRPr="008F0CD5" w:rsidRDefault="006F4697" w:rsidP="007429EC">
      <w:pPr>
        <w:pStyle w:val="FootnoteText"/>
        <w:spacing w:line="240" w:lineRule="auto"/>
      </w:pPr>
      <w:r w:rsidRPr="008F0CD5">
        <w:t>(b)</w:t>
      </w:r>
      <w:r w:rsidRPr="008F0CD5">
        <w:tab/>
        <w:t>to cancel the transaction with the service provider, which will result in fruitless and wasteful expenditure if the deposit for the purchasing of the land is forfeited.</w:t>
      </w:r>
    </w:p>
    <w:p w14:paraId="08280E5E" w14:textId="2B5795CF" w:rsidR="006F4697" w:rsidRPr="008F0CD5" w:rsidRDefault="006F4697" w:rsidP="007429EC">
      <w:pPr>
        <w:pStyle w:val="FootnoteText"/>
        <w:spacing w:line="240" w:lineRule="auto"/>
        <w:rPr>
          <w:lang w:val="en-ZA"/>
        </w:rPr>
      </w:pPr>
      <w:r w:rsidRPr="008F0CD5">
        <w:t>The department should consider soliciting its own legal opinion on the purchase of the land in the light of the procurement process issues identified by the Office of the Chief Procurement Officer and all legal requirements applicable to the transaction.'</w:t>
      </w:r>
    </w:p>
  </w:footnote>
  <w:footnote w:id="61">
    <w:p w14:paraId="63A97AEC" w14:textId="690BC0B3" w:rsidR="006F4697" w:rsidRPr="008F0CD5" w:rsidRDefault="006F4697" w:rsidP="007429EC">
      <w:pPr>
        <w:pStyle w:val="FootnoteText"/>
        <w:spacing w:line="240" w:lineRule="auto"/>
      </w:pPr>
      <w:r w:rsidRPr="008F0CD5">
        <w:rPr>
          <w:rStyle w:val="FootnoteReference"/>
        </w:rPr>
        <w:footnoteRef/>
      </w:r>
      <w:r w:rsidRPr="008F0CD5">
        <w:t xml:space="preserve"> High court judgment paras 47-48.</w:t>
      </w:r>
    </w:p>
  </w:footnote>
  <w:footnote w:id="62">
    <w:p w14:paraId="28C57B20" w14:textId="045F5CD8" w:rsidR="006F4697" w:rsidRPr="008F0CD5" w:rsidRDefault="006F4697" w:rsidP="007429EC">
      <w:pPr>
        <w:pStyle w:val="FootnoteText"/>
        <w:spacing w:line="240" w:lineRule="auto"/>
      </w:pPr>
      <w:r w:rsidRPr="008F0CD5">
        <w:rPr>
          <w:rStyle w:val="FootnoteReference"/>
        </w:rPr>
        <w:footnoteRef/>
      </w:r>
      <w:r w:rsidRPr="008F0CD5">
        <w:t xml:space="preserve"> High court judgment para 51. </w:t>
      </w:r>
    </w:p>
  </w:footnote>
  <w:footnote w:id="63">
    <w:p w14:paraId="14492DF5" w14:textId="21E7C0DC" w:rsidR="006F4697" w:rsidRPr="008F0CD5" w:rsidRDefault="006F4697" w:rsidP="007429EC">
      <w:pPr>
        <w:pStyle w:val="FootnoteText"/>
        <w:spacing w:line="240" w:lineRule="auto"/>
      </w:pPr>
      <w:r w:rsidRPr="008F0CD5">
        <w:rPr>
          <w:rStyle w:val="FootnoteReference"/>
        </w:rPr>
        <w:footnoteRef/>
      </w:r>
      <w:r w:rsidRPr="008F0CD5">
        <w:t xml:space="preserve"> Ibid para 63. </w:t>
      </w:r>
    </w:p>
  </w:footnote>
  <w:footnote w:id="64">
    <w:p w14:paraId="4435F8A1" w14:textId="7EA4BEE2" w:rsidR="006F4697" w:rsidRPr="008F0CD5" w:rsidRDefault="006F4697" w:rsidP="007429EC">
      <w:pPr>
        <w:pStyle w:val="FootnoteText"/>
        <w:spacing w:line="240" w:lineRule="auto"/>
      </w:pPr>
      <w:r w:rsidRPr="008F0CD5">
        <w:rPr>
          <w:rStyle w:val="FootnoteReference"/>
        </w:rPr>
        <w:footnoteRef/>
      </w:r>
      <w:r w:rsidRPr="008F0CD5">
        <w:t xml:space="preserve"> </w:t>
      </w:r>
      <w:r w:rsidRPr="008F0CD5">
        <w:rPr>
          <w:i/>
        </w:rPr>
        <w:t>Altech Radio Holdings (Pty) Limited and Others v City of Tshwane Metropolitan Municipality</w:t>
      </w:r>
      <w:r w:rsidRPr="008F0CD5">
        <w:t xml:space="preserve"> [2020] ZASCA 122; 2021 (3) SA 25 (SCA) paras 69 – 70.</w:t>
      </w:r>
    </w:p>
  </w:footnote>
  <w:footnote w:id="65">
    <w:p w14:paraId="3B4CC233" w14:textId="3958293E" w:rsidR="006F4697" w:rsidRPr="008F0CD5" w:rsidRDefault="006F4697" w:rsidP="007429EC">
      <w:pPr>
        <w:pStyle w:val="FootnoteText"/>
        <w:spacing w:line="240" w:lineRule="auto"/>
      </w:pPr>
      <w:r w:rsidRPr="008F0CD5">
        <w:rPr>
          <w:rStyle w:val="FootnoteReference"/>
        </w:rPr>
        <w:footnoteRef/>
      </w:r>
      <w:r w:rsidRPr="008F0CD5">
        <w:t xml:space="preserve"> See in this regard: </w:t>
      </w:r>
      <w:r w:rsidRPr="008F0CD5">
        <w:rPr>
          <w:i/>
        </w:rPr>
        <w:t>Media Workers Association of South Africa and Others v Press Corporation of South Africa Ltd</w:t>
      </w:r>
      <w:r w:rsidRPr="008F0CD5">
        <w:t xml:space="preserve"> [1992] 2 All SA 453 (A); 1992 (4) SA 791 (A) at 800G-H.</w:t>
      </w:r>
    </w:p>
  </w:footnote>
  <w:footnote w:id="66">
    <w:p w14:paraId="781D29F2" w14:textId="3EEEFCBF" w:rsidR="006F4697" w:rsidRPr="008F0CD5" w:rsidRDefault="006F4697" w:rsidP="007429EC">
      <w:pPr>
        <w:pStyle w:val="FootnoteText"/>
        <w:spacing w:line="240" w:lineRule="auto"/>
      </w:pPr>
      <w:r w:rsidRPr="008F0CD5">
        <w:rPr>
          <w:rStyle w:val="FootnoteReference"/>
        </w:rPr>
        <w:footnoteRef/>
      </w:r>
      <w:r w:rsidRPr="008F0CD5">
        <w:t xml:space="preserve"> </w:t>
      </w:r>
      <w:r w:rsidRPr="008F0CD5">
        <w:rPr>
          <w:i/>
        </w:rPr>
        <w:t xml:space="preserve">Swifambo Rail Leasing (Pty) Limited v Passenger Rail Agency of South </w:t>
      </w:r>
      <w:r w:rsidRPr="008F0CD5">
        <w:t>Africa [2018] ZASCA 167; 2020 (1) SA 76 (SCA)</w:t>
      </w:r>
      <w:r>
        <w:t xml:space="preserve"> </w:t>
      </w:r>
      <w:r w:rsidRPr="008F0CD5">
        <w:t>(</w:t>
      </w:r>
      <w:r w:rsidRPr="008F0CD5">
        <w:rPr>
          <w:i/>
        </w:rPr>
        <w:t>Swifambo</w:t>
      </w:r>
      <w:r w:rsidRPr="008F0CD5">
        <w:t>)</w:t>
      </w:r>
      <w:r>
        <w:t>.</w:t>
      </w:r>
    </w:p>
  </w:footnote>
  <w:footnote w:id="67">
    <w:p w14:paraId="06B1DEB5" w14:textId="7360EDC0" w:rsidR="006F4697" w:rsidRPr="008F0CD5" w:rsidRDefault="006F4697" w:rsidP="007429EC">
      <w:pPr>
        <w:pStyle w:val="FootnoteText"/>
        <w:spacing w:line="240" w:lineRule="auto"/>
      </w:pPr>
      <w:r w:rsidRPr="008F0CD5">
        <w:rPr>
          <w:rStyle w:val="FootnoteReference"/>
        </w:rPr>
        <w:footnoteRef/>
      </w:r>
      <w:r w:rsidRPr="008F0CD5">
        <w:t xml:space="preserve"> Ibid paras 34 and 36. </w:t>
      </w:r>
    </w:p>
  </w:footnote>
  <w:footnote w:id="68">
    <w:p w14:paraId="0F44E4B5" w14:textId="1D58FB75" w:rsidR="006F4697" w:rsidRPr="008F0CD5" w:rsidRDefault="006F4697" w:rsidP="007429EC">
      <w:pPr>
        <w:pStyle w:val="FootnoteText"/>
        <w:spacing w:line="240" w:lineRule="auto"/>
      </w:pPr>
      <w:r w:rsidRPr="008F0CD5">
        <w:rPr>
          <w:rStyle w:val="FootnoteReference"/>
        </w:rPr>
        <w:footnoteRef/>
      </w:r>
      <w:r w:rsidRPr="008F0CD5">
        <w:t xml:space="preserve"> </w:t>
      </w:r>
      <w:r w:rsidRPr="008F0CD5">
        <w:rPr>
          <w:i/>
        </w:rPr>
        <w:t xml:space="preserve">Swifambo </w:t>
      </w:r>
      <w:r w:rsidRPr="008F0CD5">
        <w:t xml:space="preserve">paras 40-42. See, for example, </w:t>
      </w:r>
      <w:r w:rsidRPr="008F0CD5">
        <w:rPr>
          <w:i/>
        </w:rPr>
        <w:t>Grootboom v National Prosecuting Authority and Another</w:t>
      </w:r>
      <w:r w:rsidRPr="008F0CD5">
        <w:t xml:space="preserve"> [2013] ZACC 37; 2014 (2) SA 68 (CC); 2014 (1) BCLR 65 (CC); [2014] 1 BLLR 1 (CC); (2014) 35 ILJ 121 (CC) para 51.</w:t>
      </w:r>
    </w:p>
  </w:footnote>
  <w:footnote w:id="69">
    <w:p w14:paraId="1D1923EC" w14:textId="6984D383"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lang w:val="en-ZA"/>
        </w:rPr>
        <w:t xml:space="preserve">Allpay Consolidated </w:t>
      </w:r>
      <w:r w:rsidRPr="008F0CD5">
        <w:rPr>
          <w:lang w:val="en-ZA"/>
        </w:rPr>
        <w:t>para 43</w:t>
      </w:r>
      <w:r w:rsidRPr="008F0CD5">
        <w:rPr>
          <w:i/>
          <w:lang w:val="en-ZA"/>
        </w:rPr>
        <w:t xml:space="preserve">. </w:t>
      </w:r>
    </w:p>
  </w:footnote>
  <w:footnote w:id="70">
    <w:p w14:paraId="51A83559" w14:textId="378EE71F" w:rsidR="006F4697" w:rsidRPr="008F0CD5" w:rsidRDefault="006F4697" w:rsidP="007429EC">
      <w:pPr>
        <w:pStyle w:val="FootnoteText"/>
        <w:spacing w:line="240" w:lineRule="auto"/>
      </w:pPr>
      <w:r w:rsidRPr="008F0CD5">
        <w:rPr>
          <w:rStyle w:val="FootnoteReference"/>
        </w:rPr>
        <w:footnoteRef/>
      </w:r>
      <w:r w:rsidRPr="008F0CD5">
        <w:t xml:space="preserve"> </w:t>
      </w:r>
      <w:r w:rsidRPr="008F0CD5">
        <w:rPr>
          <w:i/>
        </w:rPr>
        <w:t xml:space="preserve">Aurecon </w:t>
      </w:r>
      <w:r w:rsidRPr="008F0CD5">
        <w:t xml:space="preserve">para 50. </w:t>
      </w:r>
    </w:p>
  </w:footnote>
  <w:footnote w:id="71">
    <w:p w14:paraId="65137590" w14:textId="73708D82" w:rsidR="006F4697" w:rsidRPr="008F0CD5" w:rsidRDefault="006F4697" w:rsidP="007429EC">
      <w:pPr>
        <w:pStyle w:val="FootnoteText"/>
        <w:spacing w:line="240" w:lineRule="auto"/>
      </w:pPr>
      <w:r w:rsidRPr="008F0CD5">
        <w:rPr>
          <w:rStyle w:val="FootnoteReference"/>
        </w:rPr>
        <w:footnoteRef/>
      </w:r>
      <w:r w:rsidRPr="008F0CD5">
        <w:t xml:space="preserve"> </w:t>
      </w:r>
      <w:r w:rsidRPr="008F0CD5">
        <w:rPr>
          <w:i/>
        </w:rPr>
        <w:t>Central Energy Fund SOC Ltd and Another v Venus Rays Trade (Pty) Ltd and Others</w:t>
      </w:r>
      <w:r w:rsidRPr="008F0CD5">
        <w:t xml:space="preserve"> [2022] ZASCA 54; 2022 (5) SA 56 (SCA) para 42.</w:t>
      </w:r>
    </w:p>
  </w:footnote>
  <w:footnote w:id="72">
    <w:p w14:paraId="39413984" w14:textId="762E5780" w:rsidR="006F4697" w:rsidRPr="008F0CD5" w:rsidRDefault="006F4697" w:rsidP="007429EC">
      <w:pPr>
        <w:pStyle w:val="FootnoteText"/>
        <w:spacing w:line="240" w:lineRule="auto"/>
      </w:pPr>
      <w:r w:rsidRPr="008F0CD5">
        <w:rPr>
          <w:rStyle w:val="FootnoteReference"/>
        </w:rPr>
        <w:footnoteRef/>
      </w:r>
      <w:r w:rsidRPr="008F0CD5">
        <w:t xml:space="preserve"> See paras 48 – 64.</w:t>
      </w:r>
    </w:p>
  </w:footnote>
  <w:footnote w:id="73">
    <w:p w14:paraId="65A79B34" w14:textId="3AEB0B27" w:rsidR="006F4697" w:rsidRPr="008F0CD5" w:rsidRDefault="006F4697" w:rsidP="007429EC">
      <w:pPr>
        <w:pStyle w:val="FootnoteText"/>
        <w:spacing w:line="240" w:lineRule="auto"/>
      </w:pPr>
      <w:r w:rsidRPr="008F0CD5">
        <w:rPr>
          <w:rStyle w:val="FootnoteReference"/>
        </w:rPr>
        <w:footnoteRef/>
      </w:r>
      <w:r w:rsidRPr="008F0CD5">
        <w:t xml:space="preserve"> Section 217 of the Constitution.</w:t>
      </w:r>
    </w:p>
  </w:footnote>
  <w:footnote w:id="74">
    <w:p w14:paraId="3478BC36" w14:textId="6BDBF152" w:rsidR="006F4697" w:rsidRPr="008F0CD5" w:rsidRDefault="006F4697" w:rsidP="007429EC">
      <w:pPr>
        <w:pStyle w:val="FootnoteText"/>
        <w:spacing w:line="240" w:lineRule="auto"/>
      </w:pPr>
      <w:r w:rsidRPr="008F0CD5">
        <w:rPr>
          <w:rStyle w:val="FootnoteReference"/>
        </w:rPr>
        <w:footnoteRef/>
      </w:r>
      <w:r w:rsidRPr="008F0CD5">
        <w:t xml:space="preserve"> See, for example, ss 2, 3</w:t>
      </w:r>
      <w:r w:rsidRPr="008F0CD5">
        <w:rPr>
          <w:i/>
        </w:rPr>
        <w:t>(a)</w:t>
      </w:r>
      <w:r w:rsidRPr="008F0CD5">
        <w:t xml:space="preserve"> and 38 of the Public Finance Management Act 1 of 1999.</w:t>
      </w:r>
    </w:p>
  </w:footnote>
  <w:footnote w:id="75">
    <w:p w14:paraId="697A4AC7" w14:textId="59DF2CBF" w:rsidR="006F4697" w:rsidRPr="008F0CD5" w:rsidRDefault="006F4697" w:rsidP="007429EC">
      <w:pPr>
        <w:pStyle w:val="FootnoteText"/>
        <w:spacing w:line="240" w:lineRule="auto"/>
      </w:pPr>
      <w:r w:rsidRPr="008F0CD5">
        <w:rPr>
          <w:rStyle w:val="FootnoteReference"/>
        </w:rPr>
        <w:footnoteRef/>
      </w:r>
      <w:r w:rsidRPr="008F0CD5">
        <w:t xml:space="preserve"> </w:t>
      </w:r>
      <w:r w:rsidRPr="008F0CD5">
        <w:rPr>
          <w:i/>
        </w:rPr>
        <w:t>Shepstone &amp; Wylie and Others v Geyser NO</w:t>
      </w:r>
      <w:r w:rsidRPr="008F0CD5">
        <w:t xml:space="preserve"> 1998 (3) SA 1036 (SCA); [1998] 3 All SA 349 (A).</w:t>
      </w:r>
    </w:p>
  </w:footnote>
  <w:footnote w:id="76">
    <w:p w14:paraId="2F7C3B14" w14:textId="22564D8D" w:rsidR="006F4697" w:rsidRPr="008F0CD5" w:rsidRDefault="006F4697" w:rsidP="007429EC">
      <w:pPr>
        <w:pStyle w:val="FootnoteText"/>
        <w:spacing w:line="240" w:lineRule="auto"/>
      </w:pPr>
      <w:r w:rsidRPr="008F0CD5">
        <w:rPr>
          <w:rStyle w:val="FootnoteReference"/>
        </w:rPr>
        <w:footnoteRef/>
      </w:r>
      <w:r w:rsidRPr="008F0CD5">
        <w:t xml:space="preserve"> Ibid at 1045I-J. See also in this regard: </w:t>
      </w:r>
      <w:r w:rsidRPr="008F0CD5">
        <w:rPr>
          <w:i/>
        </w:rPr>
        <w:t>MTN Service Provider (Pty) Ltd v Afro Call (Pty) Ltd</w:t>
      </w:r>
      <w:r w:rsidRPr="008F0CD5">
        <w:t xml:space="preserve"> [2007] ZASCA 97; [2007] SCA 97 (RSA); [2008] 1 All SA 329 (SCA); 2007 (6) SA 620 (SCA) para 16.</w:t>
      </w:r>
    </w:p>
  </w:footnote>
  <w:footnote w:id="77">
    <w:p w14:paraId="11135480" w14:textId="2F0840B4" w:rsidR="006F4697" w:rsidRPr="008F0CD5" w:rsidRDefault="006F4697" w:rsidP="007429EC">
      <w:pPr>
        <w:pStyle w:val="FootnoteText"/>
        <w:spacing w:line="240" w:lineRule="auto"/>
      </w:pPr>
      <w:r w:rsidRPr="008F0CD5">
        <w:rPr>
          <w:rStyle w:val="FootnoteReference"/>
        </w:rPr>
        <w:footnoteRef/>
      </w:r>
      <w:r w:rsidRPr="008F0CD5">
        <w:t xml:space="preserve"> </w:t>
      </w:r>
      <w:r w:rsidRPr="008F0CD5">
        <w:rPr>
          <w:i/>
        </w:rPr>
        <w:t>Biowatch Trust v Registrar Genetic Resources and Others</w:t>
      </w:r>
      <w:r w:rsidRPr="008F0CD5">
        <w:t xml:space="preserve"> [2009] ZACC 14; 2009 (6) SA 232 (CC); 2009 (10) BCLR 1014 (CC).</w:t>
      </w:r>
    </w:p>
  </w:footnote>
  <w:footnote w:id="78">
    <w:p w14:paraId="4BE13C22" w14:textId="7E88EC09" w:rsidR="006F4697" w:rsidRPr="008F0CD5" w:rsidRDefault="006F4697" w:rsidP="007429EC">
      <w:pPr>
        <w:pStyle w:val="FootnoteText"/>
        <w:spacing w:line="240" w:lineRule="auto"/>
        <w:rPr>
          <w:lang w:val="en-ZA"/>
        </w:rPr>
      </w:pPr>
      <w:r w:rsidRPr="008F0CD5">
        <w:rPr>
          <w:rStyle w:val="FootnoteReference"/>
        </w:rPr>
        <w:footnoteRef/>
      </w:r>
      <w:r w:rsidRPr="008F0CD5">
        <w:t xml:space="preserve"> Ibid para </w:t>
      </w:r>
      <w:r w:rsidRPr="001A4AA9">
        <w:t>2</w:t>
      </w:r>
      <w:r w:rsidRPr="008F0CD5">
        <w:t>9.</w:t>
      </w:r>
    </w:p>
  </w:footnote>
  <w:footnote w:id="79">
    <w:p w14:paraId="35DD1DED" w14:textId="16090088"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lang w:val="en-ZA"/>
        </w:rPr>
        <w:t>Bookworks (Pty) Ltd v Greater Johannesburg Transitional Metropolitan Council and Another</w:t>
      </w:r>
      <w:r w:rsidRPr="008F0CD5">
        <w:rPr>
          <w:lang w:val="en-ZA"/>
        </w:rPr>
        <w:t xml:space="preserve"> 1999 (4) SA 799 (W) at 800E-F.</w:t>
      </w:r>
    </w:p>
  </w:footnote>
  <w:footnote w:id="80">
    <w:p w14:paraId="3597B457" w14:textId="5356FADF"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rPr>
        <w:t>Florence v Government of the Republic of South Africa</w:t>
      </w:r>
      <w:r w:rsidRPr="008F0CD5">
        <w:t xml:space="preserve"> [2014] ZACC 22; 2014 (6) SA 456 (CC); 2014 (10) BCLR 1137 (CC).</w:t>
      </w:r>
    </w:p>
  </w:footnote>
  <w:footnote w:id="81">
    <w:p w14:paraId="4F7AA8D1" w14:textId="7D0F64FB" w:rsidR="006F4697" w:rsidRPr="008F0CD5" w:rsidRDefault="006F4697" w:rsidP="007429EC">
      <w:pPr>
        <w:pStyle w:val="FootnoteText"/>
        <w:spacing w:line="240" w:lineRule="auto"/>
        <w:rPr>
          <w:lang w:val="en-ZA"/>
        </w:rPr>
      </w:pPr>
      <w:r w:rsidRPr="008F0CD5">
        <w:rPr>
          <w:rStyle w:val="FootnoteReference"/>
        </w:rPr>
        <w:footnoteRef/>
      </w:r>
      <w:r w:rsidRPr="008F0CD5">
        <w:t xml:space="preserve"> Ibid p</w:t>
      </w:r>
      <w:r w:rsidRPr="008F0CD5">
        <w:rPr>
          <w:lang w:val="en-ZA"/>
        </w:rPr>
        <w:t>ara 113.</w:t>
      </w:r>
    </w:p>
  </w:footnote>
  <w:footnote w:id="82">
    <w:p w14:paraId="632726D4" w14:textId="69F7797B"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rPr>
        <w:t>Giddey NO v JC Barnard and Partners</w:t>
      </w:r>
      <w:r w:rsidRPr="008F0CD5">
        <w:t xml:space="preserve"> [2006] ZACC 13; 2007 (5) SA 525 (CC); 2007 (2) BCLR 125 (CC).</w:t>
      </w:r>
    </w:p>
  </w:footnote>
  <w:footnote w:id="83">
    <w:p w14:paraId="1F925539" w14:textId="4561CA0E" w:rsidR="006F4697" w:rsidRPr="008F0CD5" w:rsidRDefault="006F4697" w:rsidP="007429EC">
      <w:pPr>
        <w:pStyle w:val="FootnoteText"/>
        <w:spacing w:line="240" w:lineRule="auto"/>
        <w:rPr>
          <w:lang w:val="en-ZA"/>
        </w:rPr>
      </w:pPr>
      <w:r w:rsidRPr="008F0CD5">
        <w:rPr>
          <w:rStyle w:val="FootnoteReference"/>
        </w:rPr>
        <w:footnoteRef/>
      </w:r>
      <w:r w:rsidRPr="008F0CD5">
        <w:t xml:space="preserve"> Ibid p</w:t>
      </w:r>
      <w:r w:rsidRPr="008F0CD5">
        <w:rPr>
          <w:lang w:val="en-ZA"/>
        </w:rPr>
        <w:t xml:space="preserve">ara 22. See also: </w:t>
      </w:r>
      <w:r w:rsidRPr="008F0CD5">
        <w:rPr>
          <w:i/>
          <w:lang w:val="en-ZA"/>
        </w:rPr>
        <w:t>Erf One Six Seven Orchards CC v Greater Johannesburg Metropolitan Council: Johannesburg Administration and Another</w:t>
      </w:r>
      <w:r w:rsidRPr="008F0CD5">
        <w:rPr>
          <w:lang w:val="en-ZA"/>
        </w:rPr>
        <w:t xml:space="preserve"> 1999 (1) SA 104 (SCA) at 109 A-B.</w:t>
      </w:r>
    </w:p>
  </w:footnote>
  <w:footnote w:id="84">
    <w:p w14:paraId="7AA83662" w14:textId="704B50AD"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rPr>
        <w:t xml:space="preserve">Asla </w:t>
      </w:r>
      <w:r w:rsidRPr="008F0CD5">
        <w:t>p</w:t>
      </w:r>
      <w:r w:rsidRPr="008F0CD5">
        <w:rPr>
          <w:lang w:val="en-ZA"/>
        </w:rPr>
        <w:t>ara 49.</w:t>
      </w:r>
    </w:p>
  </w:footnote>
  <w:footnote w:id="85">
    <w:p w14:paraId="3218C798" w14:textId="302060AF" w:rsidR="006F4697" w:rsidRPr="008F0CD5" w:rsidRDefault="006F4697" w:rsidP="007429EC">
      <w:pPr>
        <w:pStyle w:val="FootnoteText"/>
        <w:spacing w:line="240" w:lineRule="auto"/>
        <w:rPr>
          <w:lang w:val="en-ZA"/>
        </w:rPr>
      </w:pPr>
      <w:r w:rsidRPr="008F0CD5">
        <w:rPr>
          <w:rStyle w:val="FootnoteReference"/>
        </w:rPr>
        <w:footnoteRef/>
      </w:r>
      <w:r w:rsidRPr="008F0CD5">
        <w:t xml:space="preserve"> Ibid p</w:t>
      </w:r>
      <w:r w:rsidRPr="008F0CD5">
        <w:rPr>
          <w:lang w:val="en-ZA"/>
        </w:rPr>
        <w:t>ara 50.</w:t>
      </w:r>
    </w:p>
  </w:footnote>
  <w:footnote w:id="86">
    <w:p w14:paraId="0C66616F" w14:textId="13BFAE74"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lang w:val="en-ZA"/>
        </w:rPr>
        <w:t>Ibid para 118.</w:t>
      </w:r>
    </w:p>
  </w:footnote>
  <w:footnote w:id="87">
    <w:p w14:paraId="2FECEAC4" w14:textId="0C7B3515" w:rsidR="006F4697" w:rsidRPr="008F0CD5" w:rsidRDefault="006F4697" w:rsidP="008F0CD5">
      <w:pPr>
        <w:pStyle w:val="FootnoteText"/>
        <w:spacing w:line="240" w:lineRule="auto"/>
        <w:rPr>
          <w:lang w:val="en-ZA"/>
        </w:rPr>
      </w:pPr>
      <w:r w:rsidRPr="008F0CD5">
        <w:rPr>
          <w:rStyle w:val="FootnoteReference"/>
        </w:rPr>
        <w:footnoteRef/>
      </w:r>
      <w:r w:rsidRPr="008F0CD5">
        <w:t xml:space="preserve"> Ibid p</w:t>
      </w:r>
      <w:r w:rsidRPr="008F0CD5">
        <w:rPr>
          <w:lang w:val="en-ZA"/>
        </w:rPr>
        <w:t xml:space="preserve">ara 53. </w:t>
      </w:r>
    </w:p>
  </w:footnote>
  <w:footnote w:id="88">
    <w:p w14:paraId="435E9A54" w14:textId="11B9222F" w:rsidR="006F4697" w:rsidRPr="008F0CD5" w:rsidRDefault="006F4697" w:rsidP="008F0CD5">
      <w:pPr>
        <w:pStyle w:val="FootnoteText"/>
        <w:spacing w:line="240" w:lineRule="auto"/>
        <w:rPr>
          <w:lang w:val="en-ZA"/>
        </w:rPr>
      </w:pPr>
      <w:r w:rsidRPr="008F0CD5">
        <w:rPr>
          <w:rStyle w:val="FootnoteReference"/>
        </w:rPr>
        <w:footnoteRef/>
      </w:r>
      <w:r w:rsidRPr="008F0CD5">
        <w:t xml:space="preserve"> </w:t>
      </w:r>
      <w:r w:rsidRPr="008F0CD5">
        <w:rPr>
          <w:lang w:val="en-ZA"/>
        </w:rPr>
        <w:t>Para 54.</w:t>
      </w:r>
    </w:p>
  </w:footnote>
  <w:footnote w:id="89">
    <w:p w14:paraId="7F82E2FD" w14:textId="101EF97F" w:rsidR="006F4697" w:rsidRPr="008F0CD5" w:rsidRDefault="006F4697" w:rsidP="008F0CD5">
      <w:pPr>
        <w:pStyle w:val="FootnoteText"/>
        <w:spacing w:line="240" w:lineRule="auto"/>
        <w:rPr>
          <w:lang w:val="en-ZA"/>
        </w:rPr>
      </w:pPr>
      <w:r w:rsidRPr="008F0CD5">
        <w:rPr>
          <w:rStyle w:val="FootnoteReference"/>
        </w:rPr>
        <w:footnoteRef/>
      </w:r>
      <w:r w:rsidRPr="008F0CD5">
        <w:t xml:space="preserve"> </w:t>
      </w:r>
      <w:r w:rsidRPr="008F0CD5">
        <w:rPr>
          <w:lang w:val="en-ZA"/>
        </w:rPr>
        <w:t>Para 57.</w:t>
      </w:r>
    </w:p>
  </w:footnote>
  <w:footnote w:id="90">
    <w:p w14:paraId="776A841E" w14:textId="491B2989" w:rsidR="006F4697" w:rsidRPr="008F0CD5" w:rsidRDefault="006F4697" w:rsidP="008F0CD5">
      <w:pPr>
        <w:pStyle w:val="FootnoteText"/>
        <w:spacing w:line="240" w:lineRule="auto"/>
        <w:rPr>
          <w:lang w:val="en-ZA"/>
        </w:rPr>
      </w:pPr>
      <w:r w:rsidRPr="008F0CD5">
        <w:rPr>
          <w:rStyle w:val="FootnoteReference"/>
        </w:rPr>
        <w:footnoteRef/>
      </w:r>
      <w:r w:rsidRPr="008F0CD5">
        <w:t xml:space="preserve"> </w:t>
      </w:r>
      <w:r w:rsidRPr="008F0CD5">
        <w:rPr>
          <w:lang w:val="en-ZA"/>
        </w:rPr>
        <w:t>Para 56.</w:t>
      </w:r>
    </w:p>
  </w:footnote>
  <w:footnote w:id="91">
    <w:p w14:paraId="587BB6C2" w14:textId="7D804698"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lang w:val="en-ZA"/>
        </w:rPr>
        <w:t>Asla</w:t>
      </w:r>
      <w:r w:rsidRPr="008F0CD5">
        <w:rPr>
          <w:lang w:val="en-ZA"/>
        </w:rPr>
        <w:t xml:space="preserve"> para 58.</w:t>
      </w:r>
    </w:p>
  </w:footnote>
  <w:footnote w:id="92">
    <w:p w14:paraId="0DE989AF" w14:textId="1600179A"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lang w:val="en-ZA"/>
        </w:rPr>
        <w:t xml:space="preserve">See minority judgment of Cameron and Froneman JJ in </w:t>
      </w:r>
      <w:r w:rsidRPr="008F0CD5">
        <w:rPr>
          <w:i/>
          <w:lang w:val="en-ZA"/>
        </w:rPr>
        <w:t xml:space="preserve">Asla </w:t>
      </w:r>
      <w:r w:rsidRPr="008F0CD5">
        <w:rPr>
          <w:lang w:val="en-ZA"/>
        </w:rPr>
        <w:t>para 147.</w:t>
      </w:r>
    </w:p>
  </w:footnote>
  <w:footnote w:id="93">
    <w:p w14:paraId="7B51ADAF" w14:textId="2BD2EBF2"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lang w:val="en-ZA"/>
        </w:rPr>
        <w:t>Central Energy Fund SOC Ltd and Another v Venus Rays Trade (Pty) Ltd and Others</w:t>
      </w:r>
      <w:r w:rsidRPr="008F0CD5">
        <w:rPr>
          <w:lang w:val="en-ZA"/>
        </w:rPr>
        <w:t xml:space="preserve"> [2020] ZAWCHC 164 para 290.</w:t>
      </w:r>
    </w:p>
  </w:footnote>
  <w:footnote w:id="94">
    <w:p w14:paraId="0C2DD3B7" w14:textId="1F536C39"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rPr>
        <w:t>Valor IT v Premier, North West Province and Others</w:t>
      </w:r>
      <w:r w:rsidRPr="008F0CD5">
        <w:t xml:space="preserve"> [2020] ZASCA 62; [2020] 3 All SA 397 (SCA); 2021 (1) SA 42 (SCA) para 30.</w:t>
      </w:r>
    </w:p>
  </w:footnote>
  <w:footnote w:id="95">
    <w:p w14:paraId="32DF9CC9" w14:textId="25FD823E" w:rsidR="006F4697" w:rsidRPr="008F0CD5" w:rsidRDefault="006F4697" w:rsidP="007429EC">
      <w:pPr>
        <w:pStyle w:val="FootnoteText"/>
        <w:rPr>
          <w:lang w:val="en-ZA"/>
        </w:rPr>
      </w:pPr>
      <w:r w:rsidRPr="008F0CD5">
        <w:rPr>
          <w:rStyle w:val="FootnoteReference"/>
        </w:rPr>
        <w:footnoteRef/>
      </w:r>
      <w:r w:rsidRPr="008F0CD5">
        <w:t xml:space="preserve"> </w:t>
      </w:r>
      <w:r w:rsidRPr="008F0CD5">
        <w:rPr>
          <w:i/>
          <w:lang w:val="en-ZA"/>
        </w:rPr>
        <w:t>Asla</w:t>
      </w:r>
      <w:r w:rsidRPr="008F0CD5">
        <w:rPr>
          <w:lang w:val="en-ZA"/>
        </w:rPr>
        <w:t xml:space="preserve"> para 120.</w:t>
      </w:r>
    </w:p>
  </w:footnote>
  <w:footnote w:id="96">
    <w:p w14:paraId="74886280" w14:textId="1469A955"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rPr>
        <w:t>National Coalition for Gay and Lesbian Equality and Others v Minister of Home Affairs and Others</w:t>
      </w:r>
      <w:r w:rsidRPr="008F0CD5">
        <w:t xml:space="preserve"> 2000 (2) SA 1; 2000 (1) BCLR 39 para 11. See further: </w:t>
      </w:r>
      <w:r w:rsidRPr="008F0CD5">
        <w:rPr>
          <w:i/>
        </w:rPr>
        <w:t>Mathale v Linda and Another</w:t>
      </w:r>
      <w:r w:rsidRPr="008F0CD5">
        <w:t xml:space="preserve"> [2015] ZACC 38; 2016 (2) BCLR 226 (CC); 2016 (2) SA 461 (CC) para 40.</w:t>
      </w:r>
    </w:p>
  </w:footnote>
  <w:footnote w:id="97">
    <w:p w14:paraId="288C4096" w14:textId="18EDBCC9"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rPr>
        <w:t xml:space="preserve">Tasima I </w:t>
      </w:r>
      <w:r w:rsidRPr="008F0CD5">
        <w:t>p</w:t>
      </w:r>
      <w:r w:rsidRPr="008F0CD5">
        <w:rPr>
          <w:lang w:val="en-ZA"/>
        </w:rPr>
        <w:t>ara 159.</w:t>
      </w:r>
    </w:p>
  </w:footnote>
  <w:footnote w:id="98">
    <w:p w14:paraId="2459A191" w14:textId="0595C4F8"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lang w:val="en-ZA"/>
        </w:rPr>
        <w:t xml:space="preserve">Asla </w:t>
      </w:r>
      <w:r w:rsidRPr="008F0CD5">
        <w:rPr>
          <w:lang w:val="en-ZA"/>
        </w:rPr>
        <w:t>para 53.</w:t>
      </w:r>
    </w:p>
  </w:footnote>
  <w:footnote w:id="99">
    <w:p w14:paraId="5C51150C" w14:textId="01D1B74D"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rPr>
        <w:t>Brummer v Gorfil Brothers Investments (Pty) Ltd and Others</w:t>
      </w:r>
      <w:r>
        <w:t xml:space="preserve"> 2000 (5) BCLR 465</w:t>
      </w:r>
      <w:r w:rsidRPr="008F0CD5">
        <w:t>; 2000 (2) SA 837 (CC)</w:t>
      </w:r>
      <w:r>
        <w:t>.</w:t>
      </w:r>
    </w:p>
  </w:footnote>
  <w:footnote w:id="100">
    <w:p w14:paraId="42057DC5" w14:textId="0C2BC998"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lang w:val="en-ZA"/>
        </w:rPr>
        <w:t xml:space="preserve">Ibid para 3. </w:t>
      </w:r>
    </w:p>
  </w:footnote>
  <w:footnote w:id="101">
    <w:p w14:paraId="5FE427F1" w14:textId="21D78E0F"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rPr>
        <w:t>Aurecon South Africa (Pty) Ltd v City of Cape Town</w:t>
      </w:r>
      <w:r w:rsidRPr="008F0CD5">
        <w:t xml:space="preserve"> [2015] ZASCA 209; [2016] 1 All SA 313 (SCA); 2016 (2) SA 199 (SCA) para 17.</w:t>
      </w:r>
    </w:p>
  </w:footnote>
  <w:footnote w:id="102">
    <w:p w14:paraId="759B1950" w14:textId="4E323937"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lang w:val="en-ZA"/>
        </w:rPr>
        <w:t>Section 172(1)</w:t>
      </w:r>
      <w:r w:rsidRPr="008F0CD5">
        <w:rPr>
          <w:i/>
          <w:lang w:val="en-ZA"/>
        </w:rPr>
        <w:t>(a)</w:t>
      </w:r>
      <w:r w:rsidRPr="008F0CD5">
        <w:rPr>
          <w:lang w:val="en-ZA"/>
        </w:rPr>
        <w:t xml:space="preserve"> provides:</w:t>
      </w:r>
    </w:p>
    <w:p w14:paraId="77C9D9B4" w14:textId="1EAB937D" w:rsidR="006F4697" w:rsidRPr="008F0CD5" w:rsidRDefault="006F4697" w:rsidP="007429EC">
      <w:pPr>
        <w:pStyle w:val="FootnoteText"/>
        <w:spacing w:line="240" w:lineRule="auto"/>
        <w:rPr>
          <w:lang w:val="en-ZA"/>
        </w:rPr>
      </w:pPr>
      <w:r w:rsidRPr="008F0CD5">
        <w:rPr>
          <w:lang w:val="en-ZA"/>
        </w:rPr>
        <w:t>'When deciding a constitutional matter within its power, a court-</w:t>
      </w:r>
    </w:p>
    <w:p w14:paraId="3745D5A9" w14:textId="7D4E6AC9" w:rsidR="006F4697" w:rsidRPr="008F0CD5" w:rsidRDefault="006F4697" w:rsidP="007429EC">
      <w:pPr>
        <w:pStyle w:val="FootnoteText"/>
        <w:numPr>
          <w:ilvl w:val="0"/>
          <w:numId w:val="24"/>
        </w:numPr>
        <w:spacing w:line="240" w:lineRule="auto"/>
        <w:ind w:left="426"/>
        <w:rPr>
          <w:lang w:val="en-ZA"/>
        </w:rPr>
      </w:pPr>
      <w:r w:rsidRPr="008F0CD5">
        <w:rPr>
          <w:lang w:val="en-ZA"/>
        </w:rPr>
        <w:t>must declare that any law or conduct that is inconsistent with the Constitution is invalid to the extent of its inconsistency.'</w:t>
      </w:r>
    </w:p>
  </w:footnote>
  <w:footnote w:id="103">
    <w:p w14:paraId="049623C0" w14:textId="3396AEE1"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rPr>
        <w:t>Sita</w:t>
      </w:r>
      <w:r w:rsidRPr="008F0CD5">
        <w:t xml:space="preserve"> para 5.</w:t>
      </w:r>
    </w:p>
  </w:footnote>
  <w:footnote w:id="104">
    <w:p w14:paraId="3113948A" w14:textId="4100A5CE" w:rsidR="006F4697" w:rsidRPr="008F0CD5" w:rsidRDefault="006F4697" w:rsidP="007429EC">
      <w:pPr>
        <w:pStyle w:val="FootnoteText"/>
        <w:rPr>
          <w:lang w:val="en-ZA"/>
        </w:rPr>
      </w:pPr>
      <w:r w:rsidRPr="008F0CD5">
        <w:rPr>
          <w:rStyle w:val="FootnoteReference"/>
        </w:rPr>
        <w:footnoteRef/>
      </w:r>
      <w:r w:rsidRPr="008F0CD5">
        <w:t xml:space="preserve"> </w:t>
      </w:r>
      <w:r w:rsidRPr="008F0CD5">
        <w:rPr>
          <w:i/>
        </w:rPr>
        <w:t xml:space="preserve">Koekemoer v Parity Insurance Co Ltd and Another </w:t>
      </w:r>
      <w:r w:rsidRPr="008F0CD5">
        <w:t>(</w:t>
      </w:r>
      <w:r w:rsidRPr="008F0CD5">
        <w:rPr>
          <w:i/>
        </w:rPr>
        <w:t>Koekemoer</w:t>
      </w:r>
      <w:r w:rsidRPr="008F0CD5">
        <w:t>) 1964 (4) SA 138 (T).</w:t>
      </w:r>
    </w:p>
  </w:footnote>
  <w:footnote w:id="105">
    <w:p w14:paraId="573651D1" w14:textId="179F48F8"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lang w:val="en-ZA"/>
        </w:rPr>
        <w:t xml:space="preserve">Id at 144F-145A. See also: </w:t>
      </w:r>
      <w:r w:rsidRPr="008F0CD5">
        <w:rPr>
          <w:i/>
          <w:lang w:val="en-ZA"/>
        </w:rPr>
        <w:t xml:space="preserve">Reilly v Seligson and Clare Ltd </w:t>
      </w:r>
      <w:r w:rsidRPr="008F0CD5">
        <w:rPr>
          <w:lang w:val="en-ZA"/>
        </w:rPr>
        <w:t>1977 (1) SA 626 (A) at 641E-H.</w:t>
      </w:r>
    </w:p>
  </w:footnote>
  <w:footnote w:id="106">
    <w:p w14:paraId="1751B083" w14:textId="3DE38169"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lang w:val="en-ZA"/>
        </w:rPr>
        <w:t>Koekemoer</w:t>
      </w:r>
      <w:r w:rsidRPr="008F0CD5">
        <w:rPr>
          <w:lang w:val="en-ZA"/>
        </w:rPr>
        <w:t xml:space="preserve"> at 144H.</w:t>
      </w:r>
    </w:p>
  </w:footnote>
  <w:footnote w:id="107">
    <w:p w14:paraId="59ED970A" w14:textId="5073CC5C"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lang w:val="en-ZA"/>
        </w:rPr>
        <w:t xml:space="preserve">Compare: </w:t>
      </w:r>
      <w:r w:rsidRPr="008F0CD5">
        <w:rPr>
          <w:i/>
          <w:lang w:val="en-ZA"/>
        </w:rPr>
        <w:t>South African Railways and Harbours v Illovo Sugar Estates Ltd and Another</w:t>
      </w:r>
      <w:r w:rsidRPr="008F0CD5">
        <w:rPr>
          <w:lang w:val="en-ZA"/>
        </w:rPr>
        <w:t xml:space="preserve"> 1954 (4) SA 425 (N) and the cases therein cited where three counsel were engaged.</w:t>
      </w:r>
    </w:p>
  </w:footnote>
  <w:footnote w:id="108">
    <w:p w14:paraId="0AC84BDA" w14:textId="7F63B460"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lang w:val="en-ZA"/>
        </w:rPr>
        <w:t>Stent v Roos</w:t>
      </w:r>
      <w:r w:rsidRPr="008F0CD5">
        <w:rPr>
          <w:lang w:val="en-ZA"/>
        </w:rPr>
        <w:t xml:space="preserve"> 1909 TS 1057 at 1064.</w:t>
      </w:r>
    </w:p>
  </w:footnote>
  <w:footnote w:id="109">
    <w:p w14:paraId="4112AF48" w14:textId="66560764"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rPr>
        <w:t>Umhlatuzi Valley Co., Ltd v Hulett &amp; Sons, Ltd.</w:t>
      </w:r>
      <w:r w:rsidRPr="008F0CD5">
        <w:t xml:space="preserve"> 1914 35 NPD 224 at 226.</w:t>
      </w:r>
    </w:p>
  </w:footnote>
  <w:footnote w:id="110">
    <w:p w14:paraId="04DB22C5" w14:textId="554E6E80"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lang w:val="en-ZA"/>
        </w:rPr>
        <w:t xml:space="preserve">See also: </w:t>
      </w:r>
      <w:r w:rsidRPr="008F0CD5">
        <w:rPr>
          <w:i/>
          <w:lang w:val="en-ZA"/>
        </w:rPr>
        <w:t>Grobelaar v Havenga</w:t>
      </w:r>
      <w:r w:rsidRPr="008F0CD5">
        <w:rPr>
          <w:lang w:val="en-ZA"/>
        </w:rPr>
        <w:t xml:space="preserve"> 1964 (3) SA 522 (N) at 530C where Harcourt J said that when more than two counsel are involved it must be an exceptional case to warrant allowance of their fees. </w:t>
      </w:r>
    </w:p>
  </w:footnote>
  <w:footnote w:id="111">
    <w:p w14:paraId="65D18939" w14:textId="77777777"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rPr>
        <w:t>Scott and Another v Roupard and Another</w:t>
      </w:r>
      <w:r w:rsidRPr="008F0CD5">
        <w:t xml:space="preserve"> 1972 (1) SA 686 (A).</w:t>
      </w:r>
    </w:p>
  </w:footnote>
  <w:footnote w:id="112">
    <w:p w14:paraId="328A4F9C" w14:textId="55778ECD"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lang w:val="en-ZA"/>
        </w:rPr>
        <w:t>Ibid at 690F.</w:t>
      </w:r>
    </w:p>
  </w:footnote>
  <w:footnote w:id="113">
    <w:p w14:paraId="7F1CEFD5" w14:textId="43E5845F" w:rsidR="006F4697" w:rsidRPr="008F0CD5" w:rsidRDefault="006F4697" w:rsidP="007429EC">
      <w:pPr>
        <w:pStyle w:val="FootnoteText"/>
        <w:spacing w:line="240" w:lineRule="auto"/>
        <w:rPr>
          <w:lang w:val="en-ZA"/>
        </w:rPr>
      </w:pPr>
      <w:r w:rsidRPr="008F0CD5">
        <w:rPr>
          <w:rStyle w:val="FootnoteReference"/>
        </w:rPr>
        <w:footnoteRef/>
      </w:r>
      <w:r w:rsidRPr="008F0CD5">
        <w:t xml:space="preserve"> </w:t>
      </w:r>
      <w:r w:rsidRPr="008F0CD5">
        <w:rPr>
          <w:i/>
        </w:rPr>
        <w:t>Commissioner for South African Revenue Service v Hawker Air Services (Pty) Ltd; Commissioner for South African Revenue Service v Hawker Aviation Services Partnership and Others</w:t>
      </w:r>
      <w:r w:rsidRPr="008F0CD5">
        <w:t xml:space="preserve"> [2006] ZASCA 51; 2006 (4) SA 292 (SCA); [2006] 2 All SA 565 (SCA).</w:t>
      </w:r>
    </w:p>
  </w:footnote>
  <w:footnote w:id="114">
    <w:p w14:paraId="1429A841" w14:textId="6472EF3F" w:rsidR="006F4697" w:rsidRPr="00E06B67" w:rsidRDefault="006F4697" w:rsidP="007429EC">
      <w:pPr>
        <w:pStyle w:val="FootnoteText"/>
        <w:rPr>
          <w:lang w:val="en-ZA"/>
        </w:rPr>
      </w:pPr>
      <w:r w:rsidRPr="008F0CD5">
        <w:rPr>
          <w:rStyle w:val="FootnoteReference"/>
        </w:rPr>
        <w:footnoteRef/>
      </w:r>
      <w:r w:rsidRPr="008F0CD5">
        <w:t xml:space="preserve"> </w:t>
      </w:r>
      <w:r w:rsidRPr="008F0CD5">
        <w:rPr>
          <w:lang w:val="en-ZA"/>
        </w:rPr>
        <w:t>Ibid para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5DCB4" w14:textId="77777777" w:rsidR="006F4697" w:rsidRDefault="006F46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F0C35A" w14:textId="77777777" w:rsidR="006F4697" w:rsidRDefault="006F469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F0130" w14:textId="0941E4D0" w:rsidR="006F4697" w:rsidRDefault="006F4697">
    <w:pPr>
      <w:pStyle w:val="Header"/>
      <w:jc w:val="right"/>
    </w:pPr>
    <w:r>
      <w:fldChar w:fldCharType="begin"/>
    </w:r>
    <w:r>
      <w:instrText xml:space="preserve"> PAGE   \* MERGEFORMAT </w:instrText>
    </w:r>
    <w:r>
      <w:fldChar w:fldCharType="separate"/>
    </w:r>
    <w:r w:rsidR="0072213D">
      <w:rPr>
        <w:noProof/>
      </w:rPr>
      <w:t>2</w:t>
    </w:r>
    <w:r>
      <w:fldChar w:fldCharType="end"/>
    </w:r>
  </w:p>
  <w:p w14:paraId="604D4AE7" w14:textId="77777777" w:rsidR="006F4697" w:rsidRDefault="006F4697">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EC97B" w14:textId="77777777" w:rsidR="006F4697" w:rsidRDefault="006F4697">
    <w:pPr>
      <w:pStyle w:val="Header"/>
      <w:jc w:val="right"/>
    </w:pPr>
  </w:p>
  <w:p w14:paraId="6E4465CC" w14:textId="77777777" w:rsidR="006F4697" w:rsidRDefault="006F4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96B62"/>
    <w:multiLevelType w:val="hybridMultilevel"/>
    <w:tmpl w:val="CC7664C2"/>
    <w:lvl w:ilvl="0" w:tplc="68888AC2">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52E47F8"/>
    <w:multiLevelType w:val="hybridMultilevel"/>
    <w:tmpl w:val="086208FC"/>
    <w:lvl w:ilvl="0" w:tplc="EC7E39CE">
      <w:start w:val="1"/>
      <w:numFmt w:val="lowerRoman"/>
      <w:lvlText w:val="(%1)"/>
      <w:lvlJc w:val="left"/>
      <w:pPr>
        <w:ind w:left="1080" w:hanging="72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6F44654"/>
    <w:multiLevelType w:val="hybridMultilevel"/>
    <w:tmpl w:val="BD2CB942"/>
    <w:lvl w:ilvl="0" w:tplc="F0EC5058">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766342C"/>
    <w:multiLevelType w:val="singleLevel"/>
    <w:tmpl w:val="1766342C"/>
    <w:lvl w:ilvl="0">
      <w:start w:val="1"/>
      <w:numFmt w:val="decimal"/>
      <w:lvlText w:val="[%1]"/>
      <w:lvlJc w:val="left"/>
    </w:lvl>
  </w:abstractNum>
  <w:abstractNum w:abstractNumId="4">
    <w:nsid w:val="1A014549"/>
    <w:multiLevelType w:val="hybridMultilevel"/>
    <w:tmpl w:val="8500F8AA"/>
    <w:lvl w:ilvl="0" w:tplc="C3BC7568">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792226"/>
    <w:multiLevelType w:val="hybridMultilevel"/>
    <w:tmpl w:val="CD62C4E2"/>
    <w:lvl w:ilvl="0" w:tplc="A8D47E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C5C2835"/>
    <w:multiLevelType w:val="hybridMultilevel"/>
    <w:tmpl w:val="7CAE805A"/>
    <w:lvl w:ilvl="0" w:tplc="8E84FF4A">
      <w:start w:val="1"/>
      <w:numFmt w:val="lowerRoman"/>
      <w:lvlText w:val="(%1)"/>
      <w:lvlJc w:val="left"/>
      <w:pPr>
        <w:ind w:left="1080" w:hanging="72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4480A4F"/>
    <w:multiLevelType w:val="hybridMultilevel"/>
    <w:tmpl w:val="FAAC2E8C"/>
    <w:lvl w:ilvl="0" w:tplc="BC62B3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F876C6"/>
    <w:multiLevelType w:val="hybridMultilevel"/>
    <w:tmpl w:val="B3FE90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53B0B6C"/>
    <w:multiLevelType w:val="hybridMultilevel"/>
    <w:tmpl w:val="9BBE46C2"/>
    <w:lvl w:ilvl="0" w:tplc="2A9CF7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37E1E97"/>
    <w:multiLevelType w:val="hybridMultilevel"/>
    <w:tmpl w:val="822EC3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39F0AF4"/>
    <w:multiLevelType w:val="hybridMultilevel"/>
    <w:tmpl w:val="DD58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FC5032"/>
    <w:multiLevelType w:val="hybridMultilevel"/>
    <w:tmpl w:val="4216BF58"/>
    <w:lvl w:ilvl="0" w:tplc="4882F65A">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A56FD7"/>
    <w:multiLevelType w:val="hybridMultilevel"/>
    <w:tmpl w:val="967A3114"/>
    <w:lvl w:ilvl="0" w:tplc="2390A0AE">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32566F"/>
    <w:multiLevelType w:val="hybridMultilevel"/>
    <w:tmpl w:val="EE12C382"/>
    <w:lvl w:ilvl="0" w:tplc="1B6C3D9C">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32F1973"/>
    <w:multiLevelType w:val="hybridMultilevel"/>
    <w:tmpl w:val="1F2ADF10"/>
    <w:lvl w:ilvl="0" w:tplc="1C203E8A">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33164AD"/>
    <w:multiLevelType w:val="hybridMultilevel"/>
    <w:tmpl w:val="432C5E34"/>
    <w:lvl w:ilvl="0" w:tplc="F7AE8582">
      <w:start w:val="1"/>
      <w:numFmt w:val="lowerLetter"/>
      <w:lvlText w:val="(%1)"/>
      <w:lvlJc w:val="left"/>
      <w:pPr>
        <w:ind w:left="1080" w:hanging="72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6CA7381"/>
    <w:multiLevelType w:val="hybridMultilevel"/>
    <w:tmpl w:val="07CEE208"/>
    <w:lvl w:ilvl="0" w:tplc="29E80C94">
      <w:start w:val="1"/>
      <w:numFmt w:val="lowerLetter"/>
      <w:lvlText w:val="(%1)"/>
      <w:lvlJc w:val="left"/>
      <w:pPr>
        <w:ind w:left="1080" w:hanging="72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A8B05AC"/>
    <w:multiLevelType w:val="hybridMultilevel"/>
    <w:tmpl w:val="FD4E2642"/>
    <w:lvl w:ilvl="0" w:tplc="45EAB0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D481540"/>
    <w:multiLevelType w:val="hybridMultilevel"/>
    <w:tmpl w:val="325080EC"/>
    <w:lvl w:ilvl="0" w:tplc="2C08B95A">
      <w:numFmt w:val="decimalZero"/>
      <w:lvlText w:val="(%1)"/>
      <w:lvlJc w:val="left"/>
      <w:pPr>
        <w:ind w:left="840" w:hanging="4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DD41160"/>
    <w:multiLevelType w:val="hybridMultilevel"/>
    <w:tmpl w:val="26423554"/>
    <w:lvl w:ilvl="0" w:tplc="B00A11E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050906"/>
    <w:multiLevelType w:val="hybridMultilevel"/>
    <w:tmpl w:val="B34A9EDA"/>
    <w:lvl w:ilvl="0" w:tplc="7F685F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FA5EAA"/>
    <w:multiLevelType w:val="hybridMultilevel"/>
    <w:tmpl w:val="FE383570"/>
    <w:lvl w:ilvl="0" w:tplc="262CB8BE">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3">
    <w:nsid w:val="60EF0722"/>
    <w:multiLevelType w:val="hybridMultilevel"/>
    <w:tmpl w:val="3998D9EA"/>
    <w:lvl w:ilvl="0" w:tplc="775EE480">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8F196D"/>
    <w:multiLevelType w:val="hybridMultilevel"/>
    <w:tmpl w:val="C4C084E2"/>
    <w:lvl w:ilvl="0" w:tplc="ECD403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CF0095E"/>
    <w:multiLevelType w:val="hybridMultilevel"/>
    <w:tmpl w:val="60AE787A"/>
    <w:lvl w:ilvl="0" w:tplc="7C6E0F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E8381F"/>
    <w:multiLevelType w:val="hybridMultilevel"/>
    <w:tmpl w:val="5A34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87BAC6"/>
    <w:multiLevelType w:val="singleLevel"/>
    <w:tmpl w:val="7887BAC6"/>
    <w:lvl w:ilvl="0">
      <w:start w:val="1"/>
      <w:numFmt w:val="decimal"/>
      <w:suff w:val="space"/>
      <w:lvlText w:val="(%1)"/>
      <w:lvlJc w:val="left"/>
    </w:lvl>
  </w:abstractNum>
  <w:num w:numId="1">
    <w:abstractNumId w:val="27"/>
  </w:num>
  <w:num w:numId="2">
    <w:abstractNumId w:val="3"/>
  </w:num>
  <w:num w:numId="3">
    <w:abstractNumId w:val="18"/>
  </w:num>
  <w:num w:numId="4">
    <w:abstractNumId w:val="0"/>
  </w:num>
  <w:num w:numId="5">
    <w:abstractNumId w:val="5"/>
  </w:num>
  <w:num w:numId="6">
    <w:abstractNumId w:val="19"/>
  </w:num>
  <w:num w:numId="7">
    <w:abstractNumId w:val="22"/>
  </w:num>
  <w:num w:numId="8">
    <w:abstractNumId w:val="15"/>
  </w:num>
  <w:num w:numId="9">
    <w:abstractNumId w:val="8"/>
  </w:num>
  <w:num w:numId="10">
    <w:abstractNumId w:val="2"/>
  </w:num>
  <w:num w:numId="11">
    <w:abstractNumId w:val="10"/>
  </w:num>
  <w:num w:numId="12">
    <w:abstractNumId w:val="4"/>
  </w:num>
  <w:num w:numId="13">
    <w:abstractNumId w:val="17"/>
  </w:num>
  <w:num w:numId="14">
    <w:abstractNumId w:val="14"/>
  </w:num>
  <w:num w:numId="15">
    <w:abstractNumId w:val="16"/>
  </w:num>
  <w:num w:numId="16">
    <w:abstractNumId w:val="6"/>
  </w:num>
  <w:num w:numId="17">
    <w:abstractNumId w:val="1"/>
  </w:num>
  <w:num w:numId="18">
    <w:abstractNumId w:val="25"/>
  </w:num>
  <w:num w:numId="19">
    <w:abstractNumId w:val="13"/>
  </w:num>
  <w:num w:numId="20">
    <w:abstractNumId w:val="11"/>
  </w:num>
  <w:num w:numId="21">
    <w:abstractNumId w:val="9"/>
  </w:num>
  <w:num w:numId="22">
    <w:abstractNumId w:val="7"/>
  </w:num>
  <w:num w:numId="23">
    <w:abstractNumId w:val="20"/>
  </w:num>
  <w:num w:numId="24">
    <w:abstractNumId w:val="24"/>
  </w:num>
  <w:num w:numId="25">
    <w:abstractNumId w:val="26"/>
  </w:num>
  <w:num w:numId="26">
    <w:abstractNumId w:val="12"/>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footnotePr>
    <w:footnote w:id="-1"/>
    <w:footnote w:id="0"/>
  </w:footnotePr>
  <w:endnotePr>
    <w:endnote w:id="-1"/>
    <w:endnote w:id="0"/>
  </w:endnotePr>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11AA82C-915D-418F-A874-30C215015CBE}"/>
    <w:docVar w:name="dgnword-eventsink" w:val="855721256"/>
    <w:docVar w:name="dgnword-lastRevisionsView" w:val="0"/>
  </w:docVars>
  <w:rsids>
    <w:rsidRoot w:val="3FFE1044"/>
    <w:rsid w:val="000016DA"/>
    <w:rsid w:val="000021B6"/>
    <w:rsid w:val="00003FD1"/>
    <w:rsid w:val="00004487"/>
    <w:rsid w:val="00006ABF"/>
    <w:rsid w:val="00013737"/>
    <w:rsid w:val="00017E39"/>
    <w:rsid w:val="00020E8E"/>
    <w:rsid w:val="00021359"/>
    <w:rsid w:val="000217FA"/>
    <w:rsid w:val="000229F8"/>
    <w:rsid w:val="00023708"/>
    <w:rsid w:val="000240D3"/>
    <w:rsid w:val="00025280"/>
    <w:rsid w:val="0002573C"/>
    <w:rsid w:val="00025A47"/>
    <w:rsid w:val="00025A9B"/>
    <w:rsid w:val="00026C45"/>
    <w:rsid w:val="00026FB9"/>
    <w:rsid w:val="000274AB"/>
    <w:rsid w:val="00030056"/>
    <w:rsid w:val="00030F33"/>
    <w:rsid w:val="00031CAB"/>
    <w:rsid w:val="0003334B"/>
    <w:rsid w:val="000354D9"/>
    <w:rsid w:val="000360C2"/>
    <w:rsid w:val="00036DA7"/>
    <w:rsid w:val="00037228"/>
    <w:rsid w:val="0003730B"/>
    <w:rsid w:val="00043D3D"/>
    <w:rsid w:val="00043DE8"/>
    <w:rsid w:val="000445F7"/>
    <w:rsid w:val="00044625"/>
    <w:rsid w:val="000451FB"/>
    <w:rsid w:val="00045642"/>
    <w:rsid w:val="00050890"/>
    <w:rsid w:val="000533C1"/>
    <w:rsid w:val="00056231"/>
    <w:rsid w:val="000565C8"/>
    <w:rsid w:val="00057318"/>
    <w:rsid w:val="00057643"/>
    <w:rsid w:val="00057CC3"/>
    <w:rsid w:val="00060D9C"/>
    <w:rsid w:val="00062284"/>
    <w:rsid w:val="00062A34"/>
    <w:rsid w:val="00063F00"/>
    <w:rsid w:val="000644C4"/>
    <w:rsid w:val="00065BA8"/>
    <w:rsid w:val="000661A7"/>
    <w:rsid w:val="00066F17"/>
    <w:rsid w:val="0006778B"/>
    <w:rsid w:val="00067B96"/>
    <w:rsid w:val="00070472"/>
    <w:rsid w:val="000707C5"/>
    <w:rsid w:val="000729B5"/>
    <w:rsid w:val="00072A9D"/>
    <w:rsid w:val="00072FB6"/>
    <w:rsid w:val="000732CF"/>
    <w:rsid w:val="00073312"/>
    <w:rsid w:val="000741BB"/>
    <w:rsid w:val="000742BF"/>
    <w:rsid w:val="00075D41"/>
    <w:rsid w:val="0008012A"/>
    <w:rsid w:val="000805A8"/>
    <w:rsid w:val="000805F7"/>
    <w:rsid w:val="0008160F"/>
    <w:rsid w:val="00084D6C"/>
    <w:rsid w:val="00084E33"/>
    <w:rsid w:val="000855C2"/>
    <w:rsid w:val="0008636F"/>
    <w:rsid w:val="000877A0"/>
    <w:rsid w:val="0009094D"/>
    <w:rsid w:val="00090C73"/>
    <w:rsid w:val="00090EEE"/>
    <w:rsid w:val="00091995"/>
    <w:rsid w:val="000940C1"/>
    <w:rsid w:val="000942FC"/>
    <w:rsid w:val="000A0A1E"/>
    <w:rsid w:val="000A1EAA"/>
    <w:rsid w:val="000A5670"/>
    <w:rsid w:val="000A6079"/>
    <w:rsid w:val="000A6BA3"/>
    <w:rsid w:val="000B023D"/>
    <w:rsid w:val="000B071F"/>
    <w:rsid w:val="000B0ADB"/>
    <w:rsid w:val="000B1189"/>
    <w:rsid w:val="000B1395"/>
    <w:rsid w:val="000B2D41"/>
    <w:rsid w:val="000B408B"/>
    <w:rsid w:val="000B4C98"/>
    <w:rsid w:val="000B7E1D"/>
    <w:rsid w:val="000C077B"/>
    <w:rsid w:val="000C0E76"/>
    <w:rsid w:val="000C23CA"/>
    <w:rsid w:val="000C24A9"/>
    <w:rsid w:val="000C4D32"/>
    <w:rsid w:val="000C64FC"/>
    <w:rsid w:val="000D0957"/>
    <w:rsid w:val="000D2530"/>
    <w:rsid w:val="000D277E"/>
    <w:rsid w:val="000D2FC0"/>
    <w:rsid w:val="000D442E"/>
    <w:rsid w:val="000D4AFD"/>
    <w:rsid w:val="000E0CF0"/>
    <w:rsid w:val="000E113C"/>
    <w:rsid w:val="000E16D0"/>
    <w:rsid w:val="000E1CCF"/>
    <w:rsid w:val="000E4574"/>
    <w:rsid w:val="000E4800"/>
    <w:rsid w:val="000E5794"/>
    <w:rsid w:val="000E7036"/>
    <w:rsid w:val="000F0B4B"/>
    <w:rsid w:val="000F19D0"/>
    <w:rsid w:val="000F3645"/>
    <w:rsid w:val="000F3C60"/>
    <w:rsid w:val="000F4595"/>
    <w:rsid w:val="000F6B1E"/>
    <w:rsid w:val="000F7BBF"/>
    <w:rsid w:val="000F7DC4"/>
    <w:rsid w:val="00101449"/>
    <w:rsid w:val="00102DD3"/>
    <w:rsid w:val="00105CD7"/>
    <w:rsid w:val="00107E7B"/>
    <w:rsid w:val="0011081A"/>
    <w:rsid w:val="00112CDF"/>
    <w:rsid w:val="0011629E"/>
    <w:rsid w:val="001200FA"/>
    <w:rsid w:val="0012025F"/>
    <w:rsid w:val="00120B2D"/>
    <w:rsid w:val="001214EC"/>
    <w:rsid w:val="00121B45"/>
    <w:rsid w:val="00125697"/>
    <w:rsid w:val="001264CE"/>
    <w:rsid w:val="0012661E"/>
    <w:rsid w:val="00131AA3"/>
    <w:rsid w:val="00134D2F"/>
    <w:rsid w:val="00135A3F"/>
    <w:rsid w:val="0013689E"/>
    <w:rsid w:val="001379A6"/>
    <w:rsid w:val="00140E8E"/>
    <w:rsid w:val="00146103"/>
    <w:rsid w:val="00146342"/>
    <w:rsid w:val="00146951"/>
    <w:rsid w:val="00146F38"/>
    <w:rsid w:val="0015031E"/>
    <w:rsid w:val="001508EB"/>
    <w:rsid w:val="00152FB9"/>
    <w:rsid w:val="001536B9"/>
    <w:rsid w:val="00154EF1"/>
    <w:rsid w:val="001565E9"/>
    <w:rsid w:val="00156805"/>
    <w:rsid w:val="00161141"/>
    <w:rsid w:val="0016114F"/>
    <w:rsid w:val="001614ED"/>
    <w:rsid w:val="001617E5"/>
    <w:rsid w:val="00161E18"/>
    <w:rsid w:val="00162479"/>
    <w:rsid w:val="00165757"/>
    <w:rsid w:val="00167378"/>
    <w:rsid w:val="001673EF"/>
    <w:rsid w:val="0017022E"/>
    <w:rsid w:val="00170E7A"/>
    <w:rsid w:val="001714BA"/>
    <w:rsid w:val="00172CF9"/>
    <w:rsid w:val="00173279"/>
    <w:rsid w:val="00173F59"/>
    <w:rsid w:val="001769AE"/>
    <w:rsid w:val="00176B97"/>
    <w:rsid w:val="00176D62"/>
    <w:rsid w:val="00181FF8"/>
    <w:rsid w:val="00182647"/>
    <w:rsid w:val="00183198"/>
    <w:rsid w:val="00183A51"/>
    <w:rsid w:val="00184164"/>
    <w:rsid w:val="00186CEC"/>
    <w:rsid w:val="0018791C"/>
    <w:rsid w:val="001903FD"/>
    <w:rsid w:val="00190511"/>
    <w:rsid w:val="001905B8"/>
    <w:rsid w:val="0019450B"/>
    <w:rsid w:val="00194557"/>
    <w:rsid w:val="0019494E"/>
    <w:rsid w:val="00196839"/>
    <w:rsid w:val="001A1E62"/>
    <w:rsid w:val="001A3D5E"/>
    <w:rsid w:val="001A4AA9"/>
    <w:rsid w:val="001A6394"/>
    <w:rsid w:val="001A6CF9"/>
    <w:rsid w:val="001B09AC"/>
    <w:rsid w:val="001B32F1"/>
    <w:rsid w:val="001B43AA"/>
    <w:rsid w:val="001B51B0"/>
    <w:rsid w:val="001C0505"/>
    <w:rsid w:val="001C1082"/>
    <w:rsid w:val="001C382E"/>
    <w:rsid w:val="001C719C"/>
    <w:rsid w:val="001D15D7"/>
    <w:rsid w:val="001D1A14"/>
    <w:rsid w:val="001D2F03"/>
    <w:rsid w:val="001E1203"/>
    <w:rsid w:val="001E14A0"/>
    <w:rsid w:val="001E1998"/>
    <w:rsid w:val="001E63C8"/>
    <w:rsid w:val="001F1689"/>
    <w:rsid w:val="001F1ADE"/>
    <w:rsid w:val="001F2449"/>
    <w:rsid w:val="001F2C82"/>
    <w:rsid w:val="001F5884"/>
    <w:rsid w:val="001F63EA"/>
    <w:rsid w:val="0020411D"/>
    <w:rsid w:val="00204928"/>
    <w:rsid w:val="0020563E"/>
    <w:rsid w:val="002058F9"/>
    <w:rsid w:val="002076CB"/>
    <w:rsid w:val="00207808"/>
    <w:rsid w:val="00207876"/>
    <w:rsid w:val="00212FAD"/>
    <w:rsid w:val="0021577B"/>
    <w:rsid w:val="00215D89"/>
    <w:rsid w:val="00216753"/>
    <w:rsid w:val="00216CAF"/>
    <w:rsid w:val="00216E2E"/>
    <w:rsid w:val="00217988"/>
    <w:rsid w:val="00220A94"/>
    <w:rsid w:val="00221D7B"/>
    <w:rsid w:val="0022310F"/>
    <w:rsid w:val="002247E0"/>
    <w:rsid w:val="00224E32"/>
    <w:rsid w:val="002276E4"/>
    <w:rsid w:val="00227EC6"/>
    <w:rsid w:val="00231715"/>
    <w:rsid w:val="00231D77"/>
    <w:rsid w:val="0023228E"/>
    <w:rsid w:val="00232FC2"/>
    <w:rsid w:val="00234AEC"/>
    <w:rsid w:val="00234C61"/>
    <w:rsid w:val="00235287"/>
    <w:rsid w:val="0023532B"/>
    <w:rsid w:val="00235866"/>
    <w:rsid w:val="00235F17"/>
    <w:rsid w:val="00236E2C"/>
    <w:rsid w:val="00241F95"/>
    <w:rsid w:val="0024206E"/>
    <w:rsid w:val="0024326B"/>
    <w:rsid w:val="00245047"/>
    <w:rsid w:val="00247647"/>
    <w:rsid w:val="00250275"/>
    <w:rsid w:val="00250939"/>
    <w:rsid w:val="00252475"/>
    <w:rsid w:val="00253631"/>
    <w:rsid w:val="00253ABC"/>
    <w:rsid w:val="0025450F"/>
    <w:rsid w:val="002555A3"/>
    <w:rsid w:val="00256C97"/>
    <w:rsid w:val="002578AC"/>
    <w:rsid w:val="00257AD3"/>
    <w:rsid w:val="00260079"/>
    <w:rsid w:val="00260697"/>
    <w:rsid w:val="0026215A"/>
    <w:rsid w:val="00264A60"/>
    <w:rsid w:val="00270DFF"/>
    <w:rsid w:val="0027498B"/>
    <w:rsid w:val="00275165"/>
    <w:rsid w:val="0027626C"/>
    <w:rsid w:val="00276DCD"/>
    <w:rsid w:val="00277BF8"/>
    <w:rsid w:val="0028224B"/>
    <w:rsid w:val="0028292C"/>
    <w:rsid w:val="002836A5"/>
    <w:rsid w:val="00283969"/>
    <w:rsid w:val="00283FF8"/>
    <w:rsid w:val="002846A2"/>
    <w:rsid w:val="002857BA"/>
    <w:rsid w:val="0029080A"/>
    <w:rsid w:val="00290EDF"/>
    <w:rsid w:val="002912EC"/>
    <w:rsid w:val="00293616"/>
    <w:rsid w:val="00293B05"/>
    <w:rsid w:val="002949B6"/>
    <w:rsid w:val="00294DA1"/>
    <w:rsid w:val="002971E7"/>
    <w:rsid w:val="002A20DC"/>
    <w:rsid w:val="002A2F59"/>
    <w:rsid w:val="002A5344"/>
    <w:rsid w:val="002B02D8"/>
    <w:rsid w:val="002B104B"/>
    <w:rsid w:val="002B19C7"/>
    <w:rsid w:val="002B1C9F"/>
    <w:rsid w:val="002B45D6"/>
    <w:rsid w:val="002B64FF"/>
    <w:rsid w:val="002B6830"/>
    <w:rsid w:val="002B76DD"/>
    <w:rsid w:val="002C0143"/>
    <w:rsid w:val="002C1286"/>
    <w:rsid w:val="002C179A"/>
    <w:rsid w:val="002C1B88"/>
    <w:rsid w:val="002C2526"/>
    <w:rsid w:val="002C286F"/>
    <w:rsid w:val="002C36BD"/>
    <w:rsid w:val="002C3C74"/>
    <w:rsid w:val="002C5827"/>
    <w:rsid w:val="002C5AD6"/>
    <w:rsid w:val="002C6C79"/>
    <w:rsid w:val="002D0125"/>
    <w:rsid w:val="002D17AA"/>
    <w:rsid w:val="002D1C2D"/>
    <w:rsid w:val="002D3121"/>
    <w:rsid w:val="002D46CE"/>
    <w:rsid w:val="002E37AF"/>
    <w:rsid w:val="002E437D"/>
    <w:rsid w:val="002E4B19"/>
    <w:rsid w:val="002F01BD"/>
    <w:rsid w:val="002F1D85"/>
    <w:rsid w:val="002F40D2"/>
    <w:rsid w:val="002F726B"/>
    <w:rsid w:val="002F7697"/>
    <w:rsid w:val="002F7B05"/>
    <w:rsid w:val="0030007F"/>
    <w:rsid w:val="00301402"/>
    <w:rsid w:val="003037C9"/>
    <w:rsid w:val="003042C3"/>
    <w:rsid w:val="003045FD"/>
    <w:rsid w:val="003107EC"/>
    <w:rsid w:val="003113BC"/>
    <w:rsid w:val="003115F2"/>
    <w:rsid w:val="00311BA3"/>
    <w:rsid w:val="00314323"/>
    <w:rsid w:val="00317D0A"/>
    <w:rsid w:val="003218CA"/>
    <w:rsid w:val="00322A94"/>
    <w:rsid w:val="00323131"/>
    <w:rsid w:val="0032573F"/>
    <w:rsid w:val="003272D4"/>
    <w:rsid w:val="00330C04"/>
    <w:rsid w:val="00331B1C"/>
    <w:rsid w:val="00333039"/>
    <w:rsid w:val="003335FF"/>
    <w:rsid w:val="00333FD2"/>
    <w:rsid w:val="00334FBA"/>
    <w:rsid w:val="0033554C"/>
    <w:rsid w:val="0033637E"/>
    <w:rsid w:val="003367AD"/>
    <w:rsid w:val="00337A05"/>
    <w:rsid w:val="00344607"/>
    <w:rsid w:val="00344E10"/>
    <w:rsid w:val="00345025"/>
    <w:rsid w:val="00345BDF"/>
    <w:rsid w:val="003464F8"/>
    <w:rsid w:val="00346DBF"/>
    <w:rsid w:val="00351BBB"/>
    <w:rsid w:val="00351FBF"/>
    <w:rsid w:val="003537D5"/>
    <w:rsid w:val="0035475D"/>
    <w:rsid w:val="003551BC"/>
    <w:rsid w:val="003557D3"/>
    <w:rsid w:val="00355D51"/>
    <w:rsid w:val="003576F0"/>
    <w:rsid w:val="00357978"/>
    <w:rsid w:val="00357CF1"/>
    <w:rsid w:val="00360290"/>
    <w:rsid w:val="00361834"/>
    <w:rsid w:val="003631B8"/>
    <w:rsid w:val="003632D2"/>
    <w:rsid w:val="00364D0B"/>
    <w:rsid w:val="0036574A"/>
    <w:rsid w:val="00366B24"/>
    <w:rsid w:val="00366BEF"/>
    <w:rsid w:val="00370345"/>
    <w:rsid w:val="003710B8"/>
    <w:rsid w:val="00371101"/>
    <w:rsid w:val="00371BBC"/>
    <w:rsid w:val="003758EC"/>
    <w:rsid w:val="00375A06"/>
    <w:rsid w:val="00375BDE"/>
    <w:rsid w:val="00376040"/>
    <w:rsid w:val="00376E4F"/>
    <w:rsid w:val="0038012C"/>
    <w:rsid w:val="00380AA6"/>
    <w:rsid w:val="00384FED"/>
    <w:rsid w:val="0038736A"/>
    <w:rsid w:val="00387C05"/>
    <w:rsid w:val="0039032A"/>
    <w:rsid w:val="003921BB"/>
    <w:rsid w:val="00392701"/>
    <w:rsid w:val="003929D3"/>
    <w:rsid w:val="00392C78"/>
    <w:rsid w:val="00395C01"/>
    <w:rsid w:val="003968E2"/>
    <w:rsid w:val="00397B61"/>
    <w:rsid w:val="003A0205"/>
    <w:rsid w:val="003A0DFE"/>
    <w:rsid w:val="003A2943"/>
    <w:rsid w:val="003A317E"/>
    <w:rsid w:val="003A37CD"/>
    <w:rsid w:val="003A67D0"/>
    <w:rsid w:val="003B05F2"/>
    <w:rsid w:val="003B2599"/>
    <w:rsid w:val="003B259D"/>
    <w:rsid w:val="003B3BBD"/>
    <w:rsid w:val="003B3F65"/>
    <w:rsid w:val="003B541C"/>
    <w:rsid w:val="003B6577"/>
    <w:rsid w:val="003B65B7"/>
    <w:rsid w:val="003B6628"/>
    <w:rsid w:val="003B6E37"/>
    <w:rsid w:val="003B7375"/>
    <w:rsid w:val="003B76F6"/>
    <w:rsid w:val="003B7992"/>
    <w:rsid w:val="003C12AE"/>
    <w:rsid w:val="003C38F6"/>
    <w:rsid w:val="003C3AF6"/>
    <w:rsid w:val="003C46D5"/>
    <w:rsid w:val="003C482D"/>
    <w:rsid w:val="003C6F8D"/>
    <w:rsid w:val="003C7703"/>
    <w:rsid w:val="003C7C49"/>
    <w:rsid w:val="003D05B0"/>
    <w:rsid w:val="003D1368"/>
    <w:rsid w:val="003D28D6"/>
    <w:rsid w:val="003D3021"/>
    <w:rsid w:val="003D608F"/>
    <w:rsid w:val="003E0F92"/>
    <w:rsid w:val="003E2CD3"/>
    <w:rsid w:val="003E36C5"/>
    <w:rsid w:val="003E4078"/>
    <w:rsid w:val="003E4921"/>
    <w:rsid w:val="003E6CC5"/>
    <w:rsid w:val="003E7B1E"/>
    <w:rsid w:val="003F0E97"/>
    <w:rsid w:val="003F187C"/>
    <w:rsid w:val="003F19C8"/>
    <w:rsid w:val="003F2120"/>
    <w:rsid w:val="003F60EF"/>
    <w:rsid w:val="003F67B8"/>
    <w:rsid w:val="003F6DA7"/>
    <w:rsid w:val="003F71A0"/>
    <w:rsid w:val="00400CE4"/>
    <w:rsid w:val="0040138D"/>
    <w:rsid w:val="00402FC3"/>
    <w:rsid w:val="00404AD8"/>
    <w:rsid w:val="0040713B"/>
    <w:rsid w:val="004071BD"/>
    <w:rsid w:val="00407389"/>
    <w:rsid w:val="004108E7"/>
    <w:rsid w:val="00411524"/>
    <w:rsid w:val="0041368C"/>
    <w:rsid w:val="004154DA"/>
    <w:rsid w:val="00415618"/>
    <w:rsid w:val="0041590E"/>
    <w:rsid w:val="004164D5"/>
    <w:rsid w:val="0041688F"/>
    <w:rsid w:val="00417DAE"/>
    <w:rsid w:val="00420957"/>
    <w:rsid w:val="00421D8B"/>
    <w:rsid w:val="004226E6"/>
    <w:rsid w:val="004245FA"/>
    <w:rsid w:val="00424ACA"/>
    <w:rsid w:val="00424AFB"/>
    <w:rsid w:val="00424BD4"/>
    <w:rsid w:val="00426332"/>
    <w:rsid w:val="004276FB"/>
    <w:rsid w:val="0043319D"/>
    <w:rsid w:val="004364B8"/>
    <w:rsid w:val="00436593"/>
    <w:rsid w:val="0043743A"/>
    <w:rsid w:val="0044097F"/>
    <w:rsid w:val="00440CDD"/>
    <w:rsid w:val="00442616"/>
    <w:rsid w:val="00443987"/>
    <w:rsid w:val="00444F18"/>
    <w:rsid w:val="004458BD"/>
    <w:rsid w:val="00451627"/>
    <w:rsid w:val="00452211"/>
    <w:rsid w:val="00452232"/>
    <w:rsid w:val="00452E54"/>
    <w:rsid w:val="00453BB4"/>
    <w:rsid w:val="00454AAD"/>
    <w:rsid w:val="00454C47"/>
    <w:rsid w:val="004559EA"/>
    <w:rsid w:val="00456F3F"/>
    <w:rsid w:val="0046101E"/>
    <w:rsid w:val="004639BF"/>
    <w:rsid w:val="004710F7"/>
    <w:rsid w:val="00472173"/>
    <w:rsid w:val="0047545A"/>
    <w:rsid w:val="00476E3B"/>
    <w:rsid w:val="0047710A"/>
    <w:rsid w:val="00477669"/>
    <w:rsid w:val="00477A3E"/>
    <w:rsid w:val="00480C6D"/>
    <w:rsid w:val="0048114B"/>
    <w:rsid w:val="00481A1E"/>
    <w:rsid w:val="00481A43"/>
    <w:rsid w:val="00481BBA"/>
    <w:rsid w:val="00482AE4"/>
    <w:rsid w:val="00482E0C"/>
    <w:rsid w:val="004835A9"/>
    <w:rsid w:val="00485338"/>
    <w:rsid w:val="0048562E"/>
    <w:rsid w:val="00487D67"/>
    <w:rsid w:val="004900BA"/>
    <w:rsid w:val="00490E05"/>
    <w:rsid w:val="004921BA"/>
    <w:rsid w:val="004928B2"/>
    <w:rsid w:val="00492C90"/>
    <w:rsid w:val="00492FD1"/>
    <w:rsid w:val="00493B55"/>
    <w:rsid w:val="0049426E"/>
    <w:rsid w:val="00497F62"/>
    <w:rsid w:val="004A320F"/>
    <w:rsid w:val="004A3F59"/>
    <w:rsid w:val="004A4F4E"/>
    <w:rsid w:val="004A565E"/>
    <w:rsid w:val="004A586F"/>
    <w:rsid w:val="004A771D"/>
    <w:rsid w:val="004A79BF"/>
    <w:rsid w:val="004A7CC4"/>
    <w:rsid w:val="004B15BC"/>
    <w:rsid w:val="004B2183"/>
    <w:rsid w:val="004B226B"/>
    <w:rsid w:val="004B4169"/>
    <w:rsid w:val="004B4731"/>
    <w:rsid w:val="004B6D5A"/>
    <w:rsid w:val="004B6F8A"/>
    <w:rsid w:val="004B7967"/>
    <w:rsid w:val="004C0A6D"/>
    <w:rsid w:val="004C4469"/>
    <w:rsid w:val="004C4588"/>
    <w:rsid w:val="004C6E3E"/>
    <w:rsid w:val="004C799F"/>
    <w:rsid w:val="004D03B6"/>
    <w:rsid w:val="004D1CD9"/>
    <w:rsid w:val="004D1D53"/>
    <w:rsid w:val="004D2C9F"/>
    <w:rsid w:val="004D34DD"/>
    <w:rsid w:val="004D5C8A"/>
    <w:rsid w:val="004E3C93"/>
    <w:rsid w:val="004E488A"/>
    <w:rsid w:val="004E5B9C"/>
    <w:rsid w:val="004E7609"/>
    <w:rsid w:val="004F026D"/>
    <w:rsid w:val="004F28E4"/>
    <w:rsid w:val="004F35A6"/>
    <w:rsid w:val="004F3887"/>
    <w:rsid w:val="004F4193"/>
    <w:rsid w:val="004F7E10"/>
    <w:rsid w:val="005011B5"/>
    <w:rsid w:val="0050123F"/>
    <w:rsid w:val="00501BCF"/>
    <w:rsid w:val="0050228F"/>
    <w:rsid w:val="005023DA"/>
    <w:rsid w:val="00502963"/>
    <w:rsid w:val="00507989"/>
    <w:rsid w:val="00510BC5"/>
    <w:rsid w:val="00510D3F"/>
    <w:rsid w:val="00512CBF"/>
    <w:rsid w:val="0051382C"/>
    <w:rsid w:val="005140EB"/>
    <w:rsid w:val="00517DA6"/>
    <w:rsid w:val="0052021F"/>
    <w:rsid w:val="00520305"/>
    <w:rsid w:val="00520308"/>
    <w:rsid w:val="00520B98"/>
    <w:rsid w:val="005218FE"/>
    <w:rsid w:val="00522EB3"/>
    <w:rsid w:val="005252CB"/>
    <w:rsid w:val="005272B3"/>
    <w:rsid w:val="005275D7"/>
    <w:rsid w:val="00527C41"/>
    <w:rsid w:val="00530B70"/>
    <w:rsid w:val="00531BA8"/>
    <w:rsid w:val="00531F18"/>
    <w:rsid w:val="005335F8"/>
    <w:rsid w:val="0053631A"/>
    <w:rsid w:val="00536905"/>
    <w:rsid w:val="00536FBF"/>
    <w:rsid w:val="005403A5"/>
    <w:rsid w:val="00541F0B"/>
    <w:rsid w:val="00542A61"/>
    <w:rsid w:val="00544167"/>
    <w:rsid w:val="00546E9C"/>
    <w:rsid w:val="005522AE"/>
    <w:rsid w:val="00552932"/>
    <w:rsid w:val="0055409F"/>
    <w:rsid w:val="00556FE3"/>
    <w:rsid w:val="00560C2D"/>
    <w:rsid w:val="00560D0C"/>
    <w:rsid w:val="00561F72"/>
    <w:rsid w:val="00563E47"/>
    <w:rsid w:val="00567FE7"/>
    <w:rsid w:val="00571697"/>
    <w:rsid w:val="005736B1"/>
    <w:rsid w:val="00574BA0"/>
    <w:rsid w:val="00576043"/>
    <w:rsid w:val="00577EC1"/>
    <w:rsid w:val="00577EFE"/>
    <w:rsid w:val="00580A2E"/>
    <w:rsid w:val="005827DC"/>
    <w:rsid w:val="00583866"/>
    <w:rsid w:val="005842B5"/>
    <w:rsid w:val="00585164"/>
    <w:rsid w:val="005860B2"/>
    <w:rsid w:val="00586F0A"/>
    <w:rsid w:val="005877AC"/>
    <w:rsid w:val="0059032D"/>
    <w:rsid w:val="0059131C"/>
    <w:rsid w:val="00592AC1"/>
    <w:rsid w:val="0059323C"/>
    <w:rsid w:val="00594A76"/>
    <w:rsid w:val="00594D78"/>
    <w:rsid w:val="00594FA1"/>
    <w:rsid w:val="005A0C39"/>
    <w:rsid w:val="005A23DD"/>
    <w:rsid w:val="005A32FB"/>
    <w:rsid w:val="005A391F"/>
    <w:rsid w:val="005A3D6A"/>
    <w:rsid w:val="005A4024"/>
    <w:rsid w:val="005B26B9"/>
    <w:rsid w:val="005B41B5"/>
    <w:rsid w:val="005B5469"/>
    <w:rsid w:val="005B6103"/>
    <w:rsid w:val="005B66BA"/>
    <w:rsid w:val="005B6C1C"/>
    <w:rsid w:val="005B7104"/>
    <w:rsid w:val="005B7129"/>
    <w:rsid w:val="005B7DEE"/>
    <w:rsid w:val="005C2552"/>
    <w:rsid w:val="005C457A"/>
    <w:rsid w:val="005C4DE3"/>
    <w:rsid w:val="005C5705"/>
    <w:rsid w:val="005C589B"/>
    <w:rsid w:val="005C788B"/>
    <w:rsid w:val="005C7D37"/>
    <w:rsid w:val="005D328E"/>
    <w:rsid w:val="005D4CD5"/>
    <w:rsid w:val="005D5F8E"/>
    <w:rsid w:val="005E0374"/>
    <w:rsid w:val="005E5133"/>
    <w:rsid w:val="005E533E"/>
    <w:rsid w:val="005E644D"/>
    <w:rsid w:val="005E72C1"/>
    <w:rsid w:val="005F02A1"/>
    <w:rsid w:val="005F0358"/>
    <w:rsid w:val="005F23DE"/>
    <w:rsid w:val="005F2D41"/>
    <w:rsid w:val="005F3859"/>
    <w:rsid w:val="005F790A"/>
    <w:rsid w:val="0060045B"/>
    <w:rsid w:val="006023F9"/>
    <w:rsid w:val="00606E05"/>
    <w:rsid w:val="00606E32"/>
    <w:rsid w:val="00607DB2"/>
    <w:rsid w:val="006104DD"/>
    <w:rsid w:val="006110DE"/>
    <w:rsid w:val="0061261B"/>
    <w:rsid w:val="00614537"/>
    <w:rsid w:val="006156F9"/>
    <w:rsid w:val="00617889"/>
    <w:rsid w:val="00617A25"/>
    <w:rsid w:val="0062137D"/>
    <w:rsid w:val="0062718F"/>
    <w:rsid w:val="006305B4"/>
    <w:rsid w:val="00632D79"/>
    <w:rsid w:val="006350D7"/>
    <w:rsid w:val="006362BC"/>
    <w:rsid w:val="0063648F"/>
    <w:rsid w:val="00636C13"/>
    <w:rsid w:val="006370E7"/>
    <w:rsid w:val="006377A3"/>
    <w:rsid w:val="006378EC"/>
    <w:rsid w:val="00640C77"/>
    <w:rsid w:val="00640F72"/>
    <w:rsid w:val="00642B98"/>
    <w:rsid w:val="00644254"/>
    <w:rsid w:val="00644FA1"/>
    <w:rsid w:val="0064585F"/>
    <w:rsid w:val="00647A60"/>
    <w:rsid w:val="00647B8F"/>
    <w:rsid w:val="006508DC"/>
    <w:rsid w:val="00650F40"/>
    <w:rsid w:val="00652C97"/>
    <w:rsid w:val="00653244"/>
    <w:rsid w:val="0065455D"/>
    <w:rsid w:val="0065486C"/>
    <w:rsid w:val="00655150"/>
    <w:rsid w:val="006551FB"/>
    <w:rsid w:val="006560B7"/>
    <w:rsid w:val="0065787B"/>
    <w:rsid w:val="006607A1"/>
    <w:rsid w:val="00660B19"/>
    <w:rsid w:val="00661477"/>
    <w:rsid w:val="00661A7A"/>
    <w:rsid w:val="00661F17"/>
    <w:rsid w:val="00663B2B"/>
    <w:rsid w:val="006657C6"/>
    <w:rsid w:val="00666096"/>
    <w:rsid w:val="00667377"/>
    <w:rsid w:val="00674672"/>
    <w:rsid w:val="006751DF"/>
    <w:rsid w:val="00675664"/>
    <w:rsid w:val="00676D21"/>
    <w:rsid w:val="006772EF"/>
    <w:rsid w:val="00677DCC"/>
    <w:rsid w:val="00677EE0"/>
    <w:rsid w:val="00680B68"/>
    <w:rsid w:val="006820D8"/>
    <w:rsid w:val="00682777"/>
    <w:rsid w:val="006839AD"/>
    <w:rsid w:val="006844A4"/>
    <w:rsid w:val="00686FE8"/>
    <w:rsid w:val="0069023F"/>
    <w:rsid w:val="0069044F"/>
    <w:rsid w:val="00691F76"/>
    <w:rsid w:val="006922DD"/>
    <w:rsid w:val="006946B1"/>
    <w:rsid w:val="006947E9"/>
    <w:rsid w:val="00696237"/>
    <w:rsid w:val="006A03C5"/>
    <w:rsid w:val="006A2DEA"/>
    <w:rsid w:val="006A467F"/>
    <w:rsid w:val="006A77DA"/>
    <w:rsid w:val="006B4083"/>
    <w:rsid w:val="006B4138"/>
    <w:rsid w:val="006B4E1B"/>
    <w:rsid w:val="006B5816"/>
    <w:rsid w:val="006C0E0B"/>
    <w:rsid w:val="006C129C"/>
    <w:rsid w:val="006C16C0"/>
    <w:rsid w:val="006C1ADA"/>
    <w:rsid w:val="006C1D0B"/>
    <w:rsid w:val="006C1ECC"/>
    <w:rsid w:val="006D061C"/>
    <w:rsid w:val="006D0C29"/>
    <w:rsid w:val="006D235E"/>
    <w:rsid w:val="006D2385"/>
    <w:rsid w:val="006D34B0"/>
    <w:rsid w:val="006D5652"/>
    <w:rsid w:val="006D640D"/>
    <w:rsid w:val="006E092A"/>
    <w:rsid w:val="006E1492"/>
    <w:rsid w:val="006E1BB1"/>
    <w:rsid w:val="006E4D90"/>
    <w:rsid w:val="006E4DCB"/>
    <w:rsid w:val="006E5258"/>
    <w:rsid w:val="006E58A0"/>
    <w:rsid w:val="006F0090"/>
    <w:rsid w:val="006F1A25"/>
    <w:rsid w:val="006F238B"/>
    <w:rsid w:val="006F4697"/>
    <w:rsid w:val="006F4C6D"/>
    <w:rsid w:val="006F54C1"/>
    <w:rsid w:val="006F5790"/>
    <w:rsid w:val="006F59E2"/>
    <w:rsid w:val="006F7595"/>
    <w:rsid w:val="006F7BDF"/>
    <w:rsid w:val="00700804"/>
    <w:rsid w:val="00700AFE"/>
    <w:rsid w:val="00702EFD"/>
    <w:rsid w:val="00703247"/>
    <w:rsid w:val="007047EB"/>
    <w:rsid w:val="007048AF"/>
    <w:rsid w:val="0070533A"/>
    <w:rsid w:val="00707D3D"/>
    <w:rsid w:val="0071112E"/>
    <w:rsid w:val="0071130E"/>
    <w:rsid w:val="00714B93"/>
    <w:rsid w:val="00715A7A"/>
    <w:rsid w:val="00717395"/>
    <w:rsid w:val="0071765D"/>
    <w:rsid w:val="00717AFF"/>
    <w:rsid w:val="0072063A"/>
    <w:rsid w:val="00720663"/>
    <w:rsid w:val="007207E4"/>
    <w:rsid w:val="00720DBA"/>
    <w:rsid w:val="0072213D"/>
    <w:rsid w:val="00722220"/>
    <w:rsid w:val="0072342A"/>
    <w:rsid w:val="00724221"/>
    <w:rsid w:val="007249B2"/>
    <w:rsid w:val="00726D70"/>
    <w:rsid w:val="007276F9"/>
    <w:rsid w:val="007310ED"/>
    <w:rsid w:val="00732D70"/>
    <w:rsid w:val="007345B6"/>
    <w:rsid w:val="00734E6C"/>
    <w:rsid w:val="00736738"/>
    <w:rsid w:val="00736F29"/>
    <w:rsid w:val="00736F8E"/>
    <w:rsid w:val="00737B96"/>
    <w:rsid w:val="00737F6E"/>
    <w:rsid w:val="00740533"/>
    <w:rsid w:val="007418B9"/>
    <w:rsid w:val="00741960"/>
    <w:rsid w:val="00741EBD"/>
    <w:rsid w:val="007429EC"/>
    <w:rsid w:val="00742C31"/>
    <w:rsid w:val="00747747"/>
    <w:rsid w:val="00753A29"/>
    <w:rsid w:val="00753B39"/>
    <w:rsid w:val="00756DEC"/>
    <w:rsid w:val="00757539"/>
    <w:rsid w:val="007607A8"/>
    <w:rsid w:val="00762881"/>
    <w:rsid w:val="0076316A"/>
    <w:rsid w:val="007639C9"/>
    <w:rsid w:val="00766A5C"/>
    <w:rsid w:val="0077319C"/>
    <w:rsid w:val="00775252"/>
    <w:rsid w:val="0077673F"/>
    <w:rsid w:val="00776F76"/>
    <w:rsid w:val="00777911"/>
    <w:rsid w:val="00780502"/>
    <w:rsid w:val="007833AE"/>
    <w:rsid w:val="00783FC9"/>
    <w:rsid w:val="00786B0B"/>
    <w:rsid w:val="007906BA"/>
    <w:rsid w:val="00790FB5"/>
    <w:rsid w:val="00791380"/>
    <w:rsid w:val="00791D78"/>
    <w:rsid w:val="0079245F"/>
    <w:rsid w:val="0079258B"/>
    <w:rsid w:val="00794BF4"/>
    <w:rsid w:val="00796616"/>
    <w:rsid w:val="00797329"/>
    <w:rsid w:val="007A20E7"/>
    <w:rsid w:val="007A44B1"/>
    <w:rsid w:val="007A713A"/>
    <w:rsid w:val="007A7272"/>
    <w:rsid w:val="007A76C0"/>
    <w:rsid w:val="007B12A8"/>
    <w:rsid w:val="007B1710"/>
    <w:rsid w:val="007B1794"/>
    <w:rsid w:val="007B2664"/>
    <w:rsid w:val="007B317B"/>
    <w:rsid w:val="007B623B"/>
    <w:rsid w:val="007B657D"/>
    <w:rsid w:val="007B7026"/>
    <w:rsid w:val="007B70B5"/>
    <w:rsid w:val="007B7CAC"/>
    <w:rsid w:val="007C0B64"/>
    <w:rsid w:val="007C7910"/>
    <w:rsid w:val="007D0AAC"/>
    <w:rsid w:val="007D2327"/>
    <w:rsid w:val="007D2459"/>
    <w:rsid w:val="007D5693"/>
    <w:rsid w:val="007D7A7E"/>
    <w:rsid w:val="007D7BF4"/>
    <w:rsid w:val="007E3271"/>
    <w:rsid w:val="007E3FDC"/>
    <w:rsid w:val="007E4D84"/>
    <w:rsid w:val="007E6FC8"/>
    <w:rsid w:val="007E70E4"/>
    <w:rsid w:val="007E7881"/>
    <w:rsid w:val="007E7F12"/>
    <w:rsid w:val="007F02E6"/>
    <w:rsid w:val="007F073A"/>
    <w:rsid w:val="007F0B1D"/>
    <w:rsid w:val="007F28DA"/>
    <w:rsid w:val="007F3AF3"/>
    <w:rsid w:val="007F41F2"/>
    <w:rsid w:val="007F4D3C"/>
    <w:rsid w:val="007F5116"/>
    <w:rsid w:val="007F639D"/>
    <w:rsid w:val="007F7186"/>
    <w:rsid w:val="007F7F78"/>
    <w:rsid w:val="0080146B"/>
    <w:rsid w:val="008034D0"/>
    <w:rsid w:val="00804A52"/>
    <w:rsid w:val="00805171"/>
    <w:rsid w:val="00805180"/>
    <w:rsid w:val="0080653A"/>
    <w:rsid w:val="008118E6"/>
    <w:rsid w:val="008121DC"/>
    <w:rsid w:val="008130E8"/>
    <w:rsid w:val="00813DEC"/>
    <w:rsid w:val="00815DA9"/>
    <w:rsid w:val="0081604D"/>
    <w:rsid w:val="00816998"/>
    <w:rsid w:val="008201ED"/>
    <w:rsid w:val="0082091A"/>
    <w:rsid w:val="00822FD5"/>
    <w:rsid w:val="008234CB"/>
    <w:rsid w:val="0082440A"/>
    <w:rsid w:val="008252C5"/>
    <w:rsid w:val="00826008"/>
    <w:rsid w:val="008271B5"/>
    <w:rsid w:val="00836EF7"/>
    <w:rsid w:val="0083703E"/>
    <w:rsid w:val="00841953"/>
    <w:rsid w:val="008422E7"/>
    <w:rsid w:val="00842313"/>
    <w:rsid w:val="008430B6"/>
    <w:rsid w:val="00844B1E"/>
    <w:rsid w:val="00844B24"/>
    <w:rsid w:val="00845735"/>
    <w:rsid w:val="00851231"/>
    <w:rsid w:val="00851728"/>
    <w:rsid w:val="00851A17"/>
    <w:rsid w:val="00852DC6"/>
    <w:rsid w:val="008532CF"/>
    <w:rsid w:val="0085523A"/>
    <w:rsid w:val="0085738C"/>
    <w:rsid w:val="00860274"/>
    <w:rsid w:val="008615E2"/>
    <w:rsid w:val="00867BA0"/>
    <w:rsid w:val="00871F9C"/>
    <w:rsid w:val="00872252"/>
    <w:rsid w:val="00872B46"/>
    <w:rsid w:val="00873358"/>
    <w:rsid w:val="008746DB"/>
    <w:rsid w:val="00876C8C"/>
    <w:rsid w:val="00876ED7"/>
    <w:rsid w:val="0088484A"/>
    <w:rsid w:val="00884AB3"/>
    <w:rsid w:val="00885DA3"/>
    <w:rsid w:val="00886BE5"/>
    <w:rsid w:val="00890F3B"/>
    <w:rsid w:val="00892581"/>
    <w:rsid w:val="00893FAB"/>
    <w:rsid w:val="00894847"/>
    <w:rsid w:val="00896796"/>
    <w:rsid w:val="00896C95"/>
    <w:rsid w:val="00897E02"/>
    <w:rsid w:val="008A0B47"/>
    <w:rsid w:val="008A1472"/>
    <w:rsid w:val="008A14DB"/>
    <w:rsid w:val="008A287C"/>
    <w:rsid w:val="008A39A1"/>
    <w:rsid w:val="008A3A64"/>
    <w:rsid w:val="008A3F59"/>
    <w:rsid w:val="008A437D"/>
    <w:rsid w:val="008A549B"/>
    <w:rsid w:val="008A7872"/>
    <w:rsid w:val="008B17C3"/>
    <w:rsid w:val="008B2141"/>
    <w:rsid w:val="008B223B"/>
    <w:rsid w:val="008B3691"/>
    <w:rsid w:val="008B4501"/>
    <w:rsid w:val="008B4E68"/>
    <w:rsid w:val="008C00E9"/>
    <w:rsid w:val="008C2612"/>
    <w:rsid w:val="008C3D1B"/>
    <w:rsid w:val="008C4195"/>
    <w:rsid w:val="008C454C"/>
    <w:rsid w:val="008C5A05"/>
    <w:rsid w:val="008C6A70"/>
    <w:rsid w:val="008C6FD8"/>
    <w:rsid w:val="008C7209"/>
    <w:rsid w:val="008C76C7"/>
    <w:rsid w:val="008C78BA"/>
    <w:rsid w:val="008D039A"/>
    <w:rsid w:val="008D12F4"/>
    <w:rsid w:val="008D1EF7"/>
    <w:rsid w:val="008D23DA"/>
    <w:rsid w:val="008D265D"/>
    <w:rsid w:val="008D2692"/>
    <w:rsid w:val="008D37C0"/>
    <w:rsid w:val="008D38D0"/>
    <w:rsid w:val="008D396A"/>
    <w:rsid w:val="008D536E"/>
    <w:rsid w:val="008D5A51"/>
    <w:rsid w:val="008E338F"/>
    <w:rsid w:val="008E5523"/>
    <w:rsid w:val="008E5D1D"/>
    <w:rsid w:val="008E5FF1"/>
    <w:rsid w:val="008E7F86"/>
    <w:rsid w:val="008F056F"/>
    <w:rsid w:val="008F0CD5"/>
    <w:rsid w:val="008F4348"/>
    <w:rsid w:val="008F4B7D"/>
    <w:rsid w:val="008F552B"/>
    <w:rsid w:val="008F60F0"/>
    <w:rsid w:val="008F6507"/>
    <w:rsid w:val="008F7AC7"/>
    <w:rsid w:val="00900113"/>
    <w:rsid w:val="009007CD"/>
    <w:rsid w:val="00902D42"/>
    <w:rsid w:val="00902FD9"/>
    <w:rsid w:val="009044E8"/>
    <w:rsid w:val="00904E88"/>
    <w:rsid w:val="00905329"/>
    <w:rsid w:val="009055FD"/>
    <w:rsid w:val="009057D6"/>
    <w:rsid w:val="00905CC6"/>
    <w:rsid w:val="00910129"/>
    <w:rsid w:val="009112C1"/>
    <w:rsid w:val="009113AA"/>
    <w:rsid w:val="00916558"/>
    <w:rsid w:val="009202CA"/>
    <w:rsid w:val="00922AAE"/>
    <w:rsid w:val="00923D01"/>
    <w:rsid w:val="00923F11"/>
    <w:rsid w:val="00924E53"/>
    <w:rsid w:val="0092555A"/>
    <w:rsid w:val="0092609C"/>
    <w:rsid w:val="0093022C"/>
    <w:rsid w:val="0093250D"/>
    <w:rsid w:val="00935632"/>
    <w:rsid w:val="009367D8"/>
    <w:rsid w:val="00937727"/>
    <w:rsid w:val="00937EE4"/>
    <w:rsid w:val="00940BF6"/>
    <w:rsid w:val="009434C9"/>
    <w:rsid w:val="00943A25"/>
    <w:rsid w:val="00947B15"/>
    <w:rsid w:val="00950450"/>
    <w:rsid w:val="0095169E"/>
    <w:rsid w:val="0095321B"/>
    <w:rsid w:val="009549AF"/>
    <w:rsid w:val="009554D6"/>
    <w:rsid w:val="009573DC"/>
    <w:rsid w:val="00957FCF"/>
    <w:rsid w:val="00962F10"/>
    <w:rsid w:val="00962FD7"/>
    <w:rsid w:val="00965CB7"/>
    <w:rsid w:val="00967080"/>
    <w:rsid w:val="00970B0B"/>
    <w:rsid w:val="0097108B"/>
    <w:rsid w:val="009710B4"/>
    <w:rsid w:val="0097248F"/>
    <w:rsid w:val="00973D48"/>
    <w:rsid w:val="00974608"/>
    <w:rsid w:val="0097491E"/>
    <w:rsid w:val="009749B2"/>
    <w:rsid w:val="0097512A"/>
    <w:rsid w:val="00975ABA"/>
    <w:rsid w:val="00976AF0"/>
    <w:rsid w:val="00977323"/>
    <w:rsid w:val="00980045"/>
    <w:rsid w:val="00981D9D"/>
    <w:rsid w:val="009823FB"/>
    <w:rsid w:val="00983F4B"/>
    <w:rsid w:val="009844D4"/>
    <w:rsid w:val="0098707A"/>
    <w:rsid w:val="009923B9"/>
    <w:rsid w:val="00992BA9"/>
    <w:rsid w:val="0099349C"/>
    <w:rsid w:val="00994091"/>
    <w:rsid w:val="009949C4"/>
    <w:rsid w:val="00995F98"/>
    <w:rsid w:val="00996D5D"/>
    <w:rsid w:val="00997844"/>
    <w:rsid w:val="00997B80"/>
    <w:rsid w:val="009A0B53"/>
    <w:rsid w:val="009A34EF"/>
    <w:rsid w:val="009A720B"/>
    <w:rsid w:val="009B1D47"/>
    <w:rsid w:val="009B2636"/>
    <w:rsid w:val="009B273B"/>
    <w:rsid w:val="009B331B"/>
    <w:rsid w:val="009B4AE6"/>
    <w:rsid w:val="009B4BC5"/>
    <w:rsid w:val="009B4C62"/>
    <w:rsid w:val="009B4C82"/>
    <w:rsid w:val="009B7AEA"/>
    <w:rsid w:val="009C2592"/>
    <w:rsid w:val="009C25D2"/>
    <w:rsid w:val="009C44C5"/>
    <w:rsid w:val="009C57E3"/>
    <w:rsid w:val="009C7767"/>
    <w:rsid w:val="009C7F70"/>
    <w:rsid w:val="009D1054"/>
    <w:rsid w:val="009D1B3F"/>
    <w:rsid w:val="009D293E"/>
    <w:rsid w:val="009D389E"/>
    <w:rsid w:val="009D3DAC"/>
    <w:rsid w:val="009D3DB1"/>
    <w:rsid w:val="009D4829"/>
    <w:rsid w:val="009D774A"/>
    <w:rsid w:val="009D7B6B"/>
    <w:rsid w:val="009E006C"/>
    <w:rsid w:val="009E0161"/>
    <w:rsid w:val="009E058D"/>
    <w:rsid w:val="009E1B2E"/>
    <w:rsid w:val="009E2408"/>
    <w:rsid w:val="009E2697"/>
    <w:rsid w:val="009E476A"/>
    <w:rsid w:val="009E4793"/>
    <w:rsid w:val="009E4F0F"/>
    <w:rsid w:val="009E4FB8"/>
    <w:rsid w:val="009E526B"/>
    <w:rsid w:val="009E5FAD"/>
    <w:rsid w:val="009E64B9"/>
    <w:rsid w:val="009E709B"/>
    <w:rsid w:val="009E7AEA"/>
    <w:rsid w:val="009F48EB"/>
    <w:rsid w:val="009F4DCD"/>
    <w:rsid w:val="009F5B2B"/>
    <w:rsid w:val="009F5EEE"/>
    <w:rsid w:val="009F7B8C"/>
    <w:rsid w:val="00A00759"/>
    <w:rsid w:val="00A012A0"/>
    <w:rsid w:val="00A019FF"/>
    <w:rsid w:val="00A036CF"/>
    <w:rsid w:val="00A03C44"/>
    <w:rsid w:val="00A04A1A"/>
    <w:rsid w:val="00A066B6"/>
    <w:rsid w:val="00A07191"/>
    <w:rsid w:val="00A07C63"/>
    <w:rsid w:val="00A1023E"/>
    <w:rsid w:val="00A10399"/>
    <w:rsid w:val="00A109F5"/>
    <w:rsid w:val="00A12F61"/>
    <w:rsid w:val="00A13658"/>
    <w:rsid w:val="00A14122"/>
    <w:rsid w:val="00A14712"/>
    <w:rsid w:val="00A153DB"/>
    <w:rsid w:val="00A168A5"/>
    <w:rsid w:val="00A214B8"/>
    <w:rsid w:val="00A21AC5"/>
    <w:rsid w:val="00A25563"/>
    <w:rsid w:val="00A30909"/>
    <w:rsid w:val="00A3319C"/>
    <w:rsid w:val="00A33B99"/>
    <w:rsid w:val="00A35245"/>
    <w:rsid w:val="00A35ECB"/>
    <w:rsid w:val="00A360D1"/>
    <w:rsid w:val="00A37010"/>
    <w:rsid w:val="00A411AF"/>
    <w:rsid w:val="00A413F6"/>
    <w:rsid w:val="00A41D3A"/>
    <w:rsid w:val="00A4243F"/>
    <w:rsid w:val="00A435C9"/>
    <w:rsid w:val="00A442C7"/>
    <w:rsid w:val="00A44A01"/>
    <w:rsid w:val="00A472C2"/>
    <w:rsid w:val="00A4768D"/>
    <w:rsid w:val="00A52868"/>
    <w:rsid w:val="00A52D91"/>
    <w:rsid w:val="00A534CA"/>
    <w:rsid w:val="00A55740"/>
    <w:rsid w:val="00A558CE"/>
    <w:rsid w:val="00A55B7E"/>
    <w:rsid w:val="00A61173"/>
    <w:rsid w:val="00A6418A"/>
    <w:rsid w:val="00A65D24"/>
    <w:rsid w:val="00A66B32"/>
    <w:rsid w:val="00A67304"/>
    <w:rsid w:val="00A67CF4"/>
    <w:rsid w:val="00A70553"/>
    <w:rsid w:val="00A70D39"/>
    <w:rsid w:val="00A70EB6"/>
    <w:rsid w:val="00A73BC1"/>
    <w:rsid w:val="00A73DAA"/>
    <w:rsid w:val="00A73F3C"/>
    <w:rsid w:val="00A75C7C"/>
    <w:rsid w:val="00A775FC"/>
    <w:rsid w:val="00A82403"/>
    <w:rsid w:val="00A82D6A"/>
    <w:rsid w:val="00A83605"/>
    <w:rsid w:val="00A839C8"/>
    <w:rsid w:val="00A84AB5"/>
    <w:rsid w:val="00A84D93"/>
    <w:rsid w:val="00A85538"/>
    <w:rsid w:val="00A86231"/>
    <w:rsid w:val="00A86F4B"/>
    <w:rsid w:val="00A9196F"/>
    <w:rsid w:val="00A93945"/>
    <w:rsid w:val="00A9394F"/>
    <w:rsid w:val="00A9464B"/>
    <w:rsid w:val="00A95263"/>
    <w:rsid w:val="00A956CA"/>
    <w:rsid w:val="00A96614"/>
    <w:rsid w:val="00AA2C08"/>
    <w:rsid w:val="00AA52BE"/>
    <w:rsid w:val="00AA6220"/>
    <w:rsid w:val="00AA6A33"/>
    <w:rsid w:val="00AA6B9D"/>
    <w:rsid w:val="00AB3380"/>
    <w:rsid w:val="00AB53D2"/>
    <w:rsid w:val="00AB7EF2"/>
    <w:rsid w:val="00AC0C7C"/>
    <w:rsid w:val="00AC0D9E"/>
    <w:rsid w:val="00AC125C"/>
    <w:rsid w:val="00AC24DC"/>
    <w:rsid w:val="00AC29C7"/>
    <w:rsid w:val="00AC4E85"/>
    <w:rsid w:val="00AD060C"/>
    <w:rsid w:val="00AD1055"/>
    <w:rsid w:val="00AD2A16"/>
    <w:rsid w:val="00AD45E6"/>
    <w:rsid w:val="00AD4FD9"/>
    <w:rsid w:val="00AD5228"/>
    <w:rsid w:val="00AD6C1D"/>
    <w:rsid w:val="00AD79C1"/>
    <w:rsid w:val="00AE0208"/>
    <w:rsid w:val="00AE381E"/>
    <w:rsid w:val="00AE448F"/>
    <w:rsid w:val="00AE5AD5"/>
    <w:rsid w:val="00AE6F17"/>
    <w:rsid w:val="00AE7DBA"/>
    <w:rsid w:val="00AF0B9E"/>
    <w:rsid w:val="00AF357E"/>
    <w:rsid w:val="00AF3848"/>
    <w:rsid w:val="00AF5107"/>
    <w:rsid w:val="00AF61A6"/>
    <w:rsid w:val="00AF7A39"/>
    <w:rsid w:val="00AF7B20"/>
    <w:rsid w:val="00AF7C37"/>
    <w:rsid w:val="00B00FA2"/>
    <w:rsid w:val="00B03080"/>
    <w:rsid w:val="00B03509"/>
    <w:rsid w:val="00B056A2"/>
    <w:rsid w:val="00B07561"/>
    <w:rsid w:val="00B1042B"/>
    <w:rsid w:val="00B10BE7"/>
    <w:rsid w:val="00B12AA7"/>
    <w:rsid w:val="00B1367A"/>
    <w:rsid w:val="00B13E6E"/>
    <w:rsid w:val="00B13EC3"/>
    <w:rsid w:val="00B14287"/>
    <w:rsid w:val="00B16409"/>
    <w:rsid w:val="00B16DB3"/>
    <w:rsid w:val="00B17901"/>
    <w:rsid w:val="00B224C9"/>
    <w:rsid w:val="00B23CFD"/>
    <w:rsid w:val="00B2625D"/>
    <w:rsid w:val="00B30EFD"/>
    <w:rsid w:val="00B3273A"/>
    <w:rsid w:val="00B35E78"/>
    <w:rsid w:val="00B371F4"/>
    <w:rsid w:val="00B3773D"/>
    <w:rsid w:val="00B413E4"/>
    <w:rsid w:val="00B42C7B"/>
    <w:rsid w:val="00B42FDE"/>
    <w:rsid w:val="00B444A7"/>
    <w:rsid w:val="00B46139"/>
    <w:rsid w:val="00B50951"/>
    <w:rsid w:val="00B515A8"/>
    <w:rsid w:val="00B53052"/>
    <w:rsid w:val="00B53D87"/>
    <w:rsid w:val="00B55EFE"/>
    <w:rsid w:val="00B57423"/>
    <w:rsid w:val="00B60096"/>
    <w:rsid w:val="00B60BF4"/>
    <w:rsid w:val="00B64953"/>
    <w:rsid w:val="00B66139"/>
    <w:rsid w:val="00B70E10"/>
    <w:rsid w:val="00B711CD"/>
    <w:rsid w:val="00B7329A"/>
    <w:rsid w:val="00B759FF"/>
    <w:rsid w:val="00B760BA"/>
    <w:rsid w:val="00B76645"/>
    <w:rsid w:val="00B80CD9"/>
    <w:rsid w:val="00B855A7"/>
    <w:rsid w:val="00B85E4D"/>
    <w:rsid w:val="00B90DB3"/>
    <w:rsid w:val="00B90FE6"/>
    <w:rsid w:val="00B91F26"/>
    <w:rsid w:val="00B92DE7"/>
    <w:rsid w:val="00B95668"/>
    <w:rsid w:val="00BA09AC"/>
    <w:rsid w:val="00BA0CD2"/>
    <w:rsid w:val="00BA6ECA"/>
    <w:rsid w:val="00BB1157"/>
    <w:rsid w:val="00BB2C2B"/>
    <w:rsid w:val="00BB2FB1"/>
    <w:rsid w:val="00BB45E8"/>
    <w:rsid w:val="00BB6E2F"/>
    <w:rsid w:val="00BB7CD2"/>
    <w:rsid w:val="00BC1994"/>
    <w:rsid w:val="00BC1CFB"/>
    <w:rsid w:val="00BC3A09"/>
    <w:rsid w:val="00BC5ECD"/>
    <w:rsid w:val="00BD1C75"/>
    <w:rsid w:val="00BD28DD"/>
    <w:rsid w:val="00BD4E8F"/>
    <w:rsid w:val="00BD74B9"/>
    <w:rsid w:val="00BD7DC2"/>
    <w:rsid w:val="00BE40FE"/>
    <w:rsid w:val="00BE599B"/>
    <w:rsid w:val="00BE6587"/>
    <w:rsid w:val="00BF0FFA"/>
    <w:rsid w:val="00BF2161"/>
    <w:rsid w:val="00BF235F"/>
    <w:rsid w:val="00BF28F7"/>
    <w:rsid w:val="00BF2A4B"/>
    <w:rsid w:val="00BF467C"/>
    <w:rsid w:val="00BF54A4"/>
    <w:rsid w:val="00BF5D59"/>
    <w:rsid w:val="00BF6C8F"/>
    <w:rsid w:val="00C025BC"/>
    <w:rsid w:val="00C03753"/>
    <w:rsid w:val="00C05EBE"/>
    <w:rsid w:val="00C05FE5"/>
    <w:rsid w:val="00C061C6"/>
    <w:rsid w:val="00C078D6"/>
    <w:rsid w:val="00C1132B"/>
    <w:rsid w:val="00C11625"/>
    <w:rsid w:val="00C14010"/>
    <w:rsid w:val="00C14282"/>
    <w:rsid w:val="00C1555F"/>
    <w:rsid w:val="00C17DDC"/>
    <w:rsid w:val="00C20763"/>
    <w:rsid w:val="00C2397E"/>
    <w:rsid w:val="00C2492B"/>
    <w:rsid w:val="00C274A1"/>
    <w:rsid w:val="00C274A6"/>
    <w:rsid w:val="00C323F1"/>
    <w:rsid w:val="00C338BF"/>
    <w:rsid w:val="00C41963"/>
    <w:rsid w:val="00C421E4"/>
    <w:rsid w:val="00C43362"/>
    <w:rsid w:val="00C43A89"/>
    <w:rsid w:val="00C45FCE"/>
    <w:rsid w:val="00C4691E"/>
    <w:rsid w:val="00C506F0"/>
    <w:rsid w:val="00C507C8"/>
    <w:rsid w:val="00C509EF"/>
    <w:rsid w:val="00C5158C"/>
    <w:rsid w:val="00C546F8"/>
    <w:rsid w:val="00C57205"/>
    <w:rsid w:val="00C57AE4"/>
    <w:rsid w:val="00C57AFC"/>
    <w:rsid w:val="00C57C85"/>
    <w:rsid w:val="00C60E97"/>
    <w:rsid w:val="00C62591"/>
    <w:rsid w:val="00C62BDA"/>
    <w:rsid w:val="00C645C5"/>
    <w:rsid w:val="00C65AB0"/>
    <w:rsid w:val="00C7166A"/>
    <w:rsid w:val="00C73946"/>
    <w:rsid w:val="00C7644A"/>
    <w:rsid w:val="00C7738C"/>
    <w:rsid w:val="00C77A1A"/>
    <w:rsid w:val="00C800B0"/>
    <w:rsid w:val="00C80988"/>
    <w:rsid w:val="00C81FC6"/>
    <w:rsid w:val="00C82DFE"/>
    <w:rsid w:val="00C84BA0"/>
    <w:rsid w:val="00C84D68"/>
    <w:rsid w:val="00C86C1E"/>
    <w:rsid w:val="00C876B8"/>
    <w:rsid w:val="00C90064"/>
    <w:rsid w:val="00C92831"/>
    <w:rsid w:val="00C95080"/>
    <w:rsid w:val="00CA0755"/>
    <w:rsid w:val="00CA1EE6"/>
    <w:rsid w:val="00CA2799"/>
    <w:rsid w:val="00CA2868"/>
    <w:rsid w:val="00CA3EAD"/>
    <w:rsid w:val="00CA4DBA"/>
    <w:rsid w:val="00CA556C"/>
    <w:rsid w:val="00CB071E"/>
    <w:rsid w:val="00CB454C"/>
    <w:rsid w:val="00CB45DF"/>
    <w:rsid w:val="00CB4715"/>
    <w:rsid w:val="00CB6130"/>
    <w:rsid w:val="00CB7EC3"/>
    <w:rsid w:val="00CB7FAD"/>
    <w:rsid w:val="00CC1746"/>
    <w:rsid w:val="00CC1AD7"/>
    <w:rsid w:val="00CC25EA"/>
    <w:rsid w:val="00CC316B"/>
    <w:rsid w:val="00CC430D"/>
    <w:rsid w:val="00CC692C"/>
    <w:rsid w:val="00CC6AB5"/>
    <w:rsid w:val="00CC6ECC"/>
    <w:rsid w:val="00CC70F8"/>
    <w:rsid w:val="00CC717D"/>
    <w:rsid w:val="00CC786B"/>
    <w:rsid w:val="00CD07BD"/>
    <w:rsid w:val="00CD1EB4"/>
    <w:rsid w:val="00CD3AD6"/>
    <w:rsid w:val="00CD3BA1"/>
    <w:rsid w:val="00CD622D"/>
    <w:rsid w:val="00CD69C5"/>
    <w:rsid w:val="00CD75D1"/>
    <w:rsid w:val="00CD7A2C"/>
    <w:rsid w:val="00CE008C"/>
    <w:rsid w:val="00CE03AD"/>
    <w:rsid w:val="00CE063B"/>
    <w:rsid w:val="00CE074C"/>
    <w:rsid w:val="00CE1E7A"/>
    <w:rsid w:val="00CE2F86"/>
    <w:rsid w:val="00CE3A61"/>
    <w:rsid w:val="00CE45D6"/>
    <w:rsid w:val="00CE4DF8"/>
    <w:rsid w:val="00CE6685"/>
    <w:rsid w:val="00CE6D9E"/>
    <w:rsid w:val="00CE7481"/>
    <w:rsid w:val="00CF0A6D"/>
    <w:rsid w:val="00CF2756"/>
    <w:rsid w:val="00CF2D89"/>
    <w:rsid w:val="00CF7648"/>
    <w:rsid w:val="00CF7A18"/>
    <w:rsid w:val="00D009DD"/>
    <w:rsid w:val="00D01D9B"/>
    <w:rsid w:val="00D02581"/>
    <w:rsid w:val="00D04897"/>
    <w:rsid w:val="00D04FB1"/>
    <w:rsid w:val="00D05647"/>
    <w:rsid w:val="00D06533"/>
    <w:rsid w:val="00D06895"/>
    <w:rsid w:val="00D07A35"/>
    <w:rsid w:val="00D11B2B"/>
    <w:rsid w:val="00D12657"/>
    <w:rsid w:val="00D12ACB"/>
    <w:rsid w:val="00D12C40"/>
    <w:rsid w:val="00D134DA"/>
    <w:rsid w:val="00D13E7B"/>
    <w:rsid w:val="00D15F6E"/>
    <w:rsid w:val="00D16DA2"/>
    <w:rsid w:val="00D177D1"/>
    <w:rsid w:val="00D22053"/>
    <w:rsid w:val="00D22B5C"/>
    <w:rsid w:val="00D237E8"/>
    <w:rsid w:val="00D26FD1"/>
    <w:rsid w:val="00D27A29"/>
    <w:rsid w:val="00D27D0F"/>
    <w:rsid w:val="00D30F53"/>
    <w:rsid w:val="00D3380C"/>
    <w:rsid w:val="00D37573"/>
    <w:rsid w:val="00D42CBD"/>
    <w:rsid w:val="00D43D0B"/>
    <w:rsid w:val="00D44224"/>
    <w:rsid w:val="00D44E13"/>
    <w:rsid w:val="00D4614E"/>
    <w:rsid w:val="00D46748"/>
    <w:rsid w:val="00D527CF"/>
    <w:rsid w:val="00D538F4"/>
    <w:rsid w:val="00D552DD"/>
    <w:rsid w:val="00D57257"/>
    <w:rsid w:val="00D57A75"/>
    <w:rsid w:val="00D57C6D"/>
    <w:rsid w:val="00D602A6"/>
    <w:rsid w:val="00D603C1"/>
    <w:rsid w:val="00D6231B"/>
    <w:rsid w:val="00D629B4"/>
    <w:rsid w:val="00D62FB6"/>
    <w:rsid w:val="00D635A4"/>
    <w:rsid w:val="00D64BA4"/>
    <w:rsid w:val="00D65BEB"/>
    <w:rsid w:val="00D66085"/>
    <w:rsid w:val="00D67097"/>
    <w:rsid w:val="00D67281"/>
    <w:rsid w:val="00D67B8A"/>
    <w:rsid w:val="00D67E97"/>
    <w:rsid w:val="00D700D2"/>
    <w:rsid w:val="00D70616"/>
    <w:rsid w:val="00D71513"/>
    <w:rsid w:val="00D75199"/>
    <w:rsid w:val="00D75577"/>
    <w:rsid w:val="00D75A7F"/>
    <w:rsid w:val="00D7647F"/>
    <w:rsid w:val="00D77074"/>
    <w:rsid w:val="00D778B7"/>
    <w:rsid w:val="00D81D55"/>
    <w:rsid w:val="00D81D96"/>
    <w:rsid w:val="00D873B3"/>
    <w:rsid w:val="00D90F90"/>
    <w:rsid w:val="00D91A84"/>
    <w:rsid w:val="00D92B4A"/>
    <w:rsid w:val="00D9412C"/>
    <w:rsid w:val="00D944BF"/>
    <w:rsid w:val="00D95123"/>
    <w:rsid w:val="00D95C79"/>
    <w:rsid w:val="00D95D28"/>
    <w:rsid w:val="00D975ED"/>
    <w:rsid w:val="00DA1369"/>
    <w:rsid w:val="00DA3BBE"/>
    <w:rsid w:val="00DA535A"/>
    <w:rsid w:val="00DA55D0"/>
    <w:rsid w:val="00DA6D7C"/>
    <w:rsid w:val="00DB131F"/>
    <w:rsid w:val="00DB1EA9"/>
    <w:rsid w:val="00DB2C76"/>
    <w:rsid w:val="00DB353C"/>
    <w:rsid w:val="00DB4E3D"/>
    <w:rsid w:val="00DB744F"/>
    <w:rsid w:val="00DC0C99"/>
    <w:rsid w:val="00DC0DDF"/>
    <w:rsid w:val="00DC2183"/>
    <w:rsid w:val="00DC4AD8"/>
    <w:rsid w:val="00DD0B79"/>
    <w:rsid w:val="00DD1350"/>
    <w:rsid w:val="00DD2349"/>
    <w:rsid w:val="00DD25DC"/>
    <w:rsid w:val="00DD3E74"/>
    <w:rsid w:val="00DD76AA"/>
    <w:rsid w:val="00DD7774"/>
    <w:rsid w:val="00DD7AC4"/>
    <w:rsid w:val="00DE13D2"/>
    <w:rsid w:val="00DE18DD"/>
    <w:rsid w:val="00DE19FF"/>
    <w:rsid w:val="00DE1D87"/>
    <w:rsid w:val="00DE1FBA"/>
    <w:rsid w:val="00DE27C3"/>
    <w:rsid w:val="00DE765C"/>
    <w:rsid w:val="00DF30E4"/>
    <w:rsid w:val="00DF3EAB"/>
    <w:rsid w:val="00DF3F50"/>
    <w:rsid w:val="00DF3FB4"/>
    <w:rsid w:val="00DF4A97"/>
    <w:rsid w:val="00DF5D9E"/>
    <w:rsid w:val="00E00469"/>
    <w:rsid w:val="00E02C97"/>
    <w:rsid w:val="00E04344"/>
    <w:rsid w:val="00E06AB8"/>
    <w:rsid w:val="00E07E29"/>
    <w:rsid w:val="00E100A1"/>
    <w:rsid w:val="00E12AD6"/>
    <w:rsid w:val="00E1635F"/>
    <w:rsid w:val="00E2065C"/>
    <w:rsid w:val="00E21600"/>
    <w:rsid w:val="00E21DA9"/>
    <w:rsid w:val="00E24597"/>
    <w:rsid w:val="00E250A9"/>
    <w:rsid w:val="00E26093"/>
    <w:rsid w:val="00E26978"/>
    <w:rsid w:val="00E270A9"/>
    <w:rsid w:val="00E314D5"/>
    <w:rsid w:val="00E31557"/>
    <w:rsid w:val="00E33ACC"/>
    <w:rsid w:val="00E34F7E"/>
    <w:rsid w:val="00E366AF"/>
    <w:rsid w:val="00E3749E"/>
    <w:rsid w:val="00E3767D"/>
    <w:rsid w:val="00E40542"/>
    <w:rsid w:val="00E40B7E"/>
    <w:rsid w:val="00E42065"/>
    <w:rsid w:val="00E42262"/>
    <w:rsid w:val="00E45CEF"/>
    <w:rsid w:val="00E45E3D"/>
    <w:rsid w:val="00E460E4"/>
    <w:rsid w:val="00E47735"/>
    <w:rsid w:val="00E4793A"/>
    <w:rsid w:val="00E5286E"/>
    <w:rsid w:val="00E54409"/>
    <w:rsid w:val="00E553A3"/>
    <w:rsid w:val="00E55F16"/>
    <w:rsid w:val="00E57175"/>
    <w:rsid w:val="00E579D2"/>
    <w:rsid w:val="00E57F81"/>
    <w:rsid w:val="00E61EEC"/>
    <w:rsid w:val="00E6219C"/>
    <w:rsid w:val="00E62228"/>
    <w:rsid w:val="00E628DB"/>
    <w:rsid w:val="00E633B9"/>
    <w:rsid w:val="00E678B9"/>
    <w:rsid w:val="00E70187"/>
    <w:rsid w:val="00E7027E"/>
    <w:rsid w:val="00E70B5A"/>
    <w:rsid w:val="00E76688"/>
    <w:rsid w:val="00E77B85"/>
    <w:rsid w:val="00E77D09"/>
    <w:rsid w:val="00E80AAB"/>
    <w:rsid w:val="00E80DEE"/>
    <w:rsid w:val="00E81161"/>
    <w:rsid w:val="00E82982"/>
    <w:rsid w:val="00E84B5B"/>
    <w:rsid w:val="00E85C72"/>
    <w:rsid w:val="00E85D81"/>
    <w:rsid w:val="00E86E6D"/>
    <w:rsid w:val="00E87570"/>
    <w:rsid w:val="00E8788A"/>
    <w:rsid w:val="00E90200"/>
    <w:rsid w:val="00E90CDA"/>
    <w:rsid w:val="00E915FD"/>
    <w:rsid w:val="00E9177E"/>
    <w:rsid w:val="00E93F61"/>
    <w:rsid w:val="00E94783"/>
    <w:rsid w:val="00E957F7"/>
    <w:rsid w:val="00E9644C"/>
    <w:rsid w:val="00EA1B4B"/>
    <w:rsid w:val="00EA1F1D"/>
    <w:rsid w:val="00EA29D8"/>
    <w:rsid w:val="00EA301D"/>
    <w:rsid w:val="00EA3829"/>
    <w:rsid w:val="00EA3845"/>
    <w:rsid w:val="00EA4B36"/>
    <w:rsid w:val="00EA7ECB"/>
    <w:rsid w:val="00EB0797"/>
    <w:rsid w:val="00EB32BF"/>
    <w:rsid w:val="00EB37B9"/>
    <w:rsid w:val="00EB6BD3"/>
    <w:rsid w:val="00EB6EEB"/>
    <w:rsid w:val="00EC0968"/>
    <w:rsid w:val="00EC11D8"/>
    <w:rsid w:val="00EC14CE"/>
    <w:rsid w:val="00EC27EC"/>
    <w:rsid w:val="00EC2818"/>
    <w:rsid w:val="00EC47E7"/>
    <w:rsid w:val="00EC4806"/>
    <w:rsid w:val="00EC4E51"/>
    <w:rsid w:val="00EC6A61"/>
    <w:rsid w:val="00EC6D53"/>
    <w:rsid w:val="00EC7A66"/>
    <w:rsid w:val="00EC7DD4"/>
    <w:rsid w:val="00ED0BFC"/>
    <w:rsid w:val="00ED2101"/>
    <w:rsid w:val="00ED337D"/>
    <w:rsid w:val="00ED448D"/>
    <w:rsid w:val="00ED4B52"/>
    <w:rsid w:val="00ED4EE0"/>
    <w:rsid w:val="00ED5831"/>
    <w:rsid w:val="00ED58A7"/>
    <w:rsid w:val="00ED6482"/>
    <w:rsid w:val="00ED6818"/>
    <w:rsid w:val="00ED791B"/>
    <w:rsid w:val="00EE0240"/>
    <w:rsid w:val="00EE1699"/>
    <w:rsid w:val="00EE1A78"/>
    <w:rsid w:val="00EE1ABE"/>
    <w:rsid w:val="00EE4071"/>
    <w:rsid w:val="00EE4DEE"/>
    <w:rsid w:val="00EE54BD"/>
    <w:rsid w:val="00EE5FD6"/>
    <w:rsid w:val="00EE6218"/>
    <w:rsid w:val="00EF0D8F"/>
    <w:rsid w:val="00EF2F6D"/>
    <w:rsid w:val="00EF3789"/>
    <w:rsid w:val="00EF6028"/>
    <w:rsid w:val="00EF6295"/>
    <w:rsid w:val="00F01ABE"/>
    <w:rsid w:val="00F01E97"/>
    <w:rsid w:val="00F029EE"/>
    <w:rsid w:val="00F034A0"/>
    <w:rsid w:val="00F035F3"/>
    <w:rsid w:val="00F04A2D"/>
    <w:rsid w:val="00F05100"/>
    <w:rsid w:val="00F05420"/>
    <w:rsid w:val="00F0561C"/>
    <w:rsid w:val="00F05D3B"/>
    <w:rsid w:val="00F073F6"/>
    <w:rsid w:val="00F1023D"/>
    <w:rsid w:val="00F1034A"/>
    <w:rsid w:val="00F124F5"/>
    <w:rsid w:val="00F12FC1"/>
    <w:rsid w:val="00F13C13"/>
    <w:rsid w:val="00F14120"/>
    <w:rsid w:val="00F150D3"/>
    <w:rsid w:val="00F17104"/>
    <w:rsid w:val="00F17FA0"/>
    <w:rsid w:val="00F2132C"/>
    <w:rsid w:val="00F21F35"/>
    <w:rsid w:val="00F23A40"/>
    <w:rsid w:val="00F2445E"/>
    <w:rsid w:val="00F24683"/>
    <w:rsid w:val="00F24E5F"/>
    <w:rsid w:val="00F25F95"/>
    <w:rsid w:val="00F26A85"/>
    <w:rsid w:val="00F26A9F"/>
    <w:rsid w:val="00F364FA"/>
    <w:rsid w:val="00F36557"/>
    <w:rsid w:val="00F408BD"/>
    <w:rsid w:val="00F4217B"/>
    <w:rsid w:val="00F46051"/>
    <w:rsid w:val="00F46591"/>
    <w:rsid w:val="00F501E0"/>
    <w:rsid w:val="00F52560"/>
    <w:rsid w:val="00F53ECA"/>
    <w:rsid w:val="00F542EB"/>
    <w:rsid w:val="00F548EE"/>
    <w:rsid w:val="00F558BA"/>
    <w:rsid w:val="00F56C5B"/>
    <w:rsid w:val="00F57285"/>
    <w:rsid w:val="00F57788"/>
    <w:rsid w:val="00F62802"/>
    <w:rsid w:val="00F62F24"/>
    <w:rsid w:val="00F64795"/>
    <w:rsid w:val="00F65374"/>
    <w:rsid w:val="00F6543B"/>
    <w:rsid w:val="00F6597A"/>
    <w:rsid w:val="00F65A2D"/>
    <w:rsid w:val="00F6713A"/>
    <w:rsid w:val="00F72455"/>
    <w:rsid w:val="00F72845"/>
    <w:rsid w:val="00F72AC3"/>
    <w:rsid w:val="00F76FC7"/>
    <w:rsid w:val="00F77809"/>
    <w:rsid w:val="00F81C86"/>
    <w:rsid w:val="00F8245A"/>
    <w:rsid w:val="00F838A1"/>
    <w:rsid w:val="00F84AB3"/>
    <w:rsid w:val="00F86DF5"/>
    <w:rsid w:val="00F87A9A"/>
    <w:rsid w:val="00F903EC"/>
    <w:rsid w:val="00F91149"/>
    <w:rsid w:val="00F915B8"/>
    <w:rsid w:val="00F94912"/>
    <w:rsid w:val="00F95615"/>
    <w:rsid w:val="00F96910"/>
    <w:rsid w:val="00F97368"/>
    <w:rsid w:val="00FA06AC"/>
    <w:rsid w:val="00FA2C8E"/>
    <w:rsid w:val="00FA2FA7"/>
    <w:rsid w:val="00FA3DF7"/>
    <w:rsid w:val="00FA5B67"/>
    <w:rsid w:val="00FB03DC"/>
    <w:rsid w:val="00FB1715"/>
    <w:rsid w:val="00FB1B45"/>
    <w:rsid w:val="00FB3292"/>
    <w:rsid w:val="00FB662F"/>
    <w:rsid w:val="00FB6652"/>
    <w:rsid w:val="00FC0AF3"/>
    <w:rsid w:val="00FC28B6"/>
    <w:rsid w:val="00FC317F"/>
    <w:rsid w:val="00FC622C"/>
    <w:rsid w:val="00FD114B"/>
    <w:rsid w:val="00FD1236"/>
    <w:rsid w:val="00FD147C"/>
    <w:rsid w:val="00FD1F73"/>
    <w:rsid w:val="00FD2785"/>
    <w:rsid w:val="00FD290B"/>
    <w:rsid w:val="00FD2E16"/>
    <w:rsid w:val="00FD476E"/>
    <w:rsid w:val="00FD4B8D"/>
    <w:rsid w:val="00FD635D"/>
    <w:rsid w:val="00FD7256"/>
    <w:rsid w:val="00FE1510"/>
    <w:rsid w:val="00FE2BF8"/>
    <w:rsid w:val="00FE4410"/>
    <w:rsid w:val="00FE4DC0"/>
    <w:rsid w:val="00FE6534"/>
    <w:rsid w:val="00FE76A3"/>
    <w:rsid w:val="00FF022B"/>
    <w:rsid w:val="00FF0CD0"/>
    <w:rsid w:val="00FF14B4"/>
    <w:rsid w:val="00FF15EA"/>
    <w:rsid w:val="00FF1E02"/>
    <w:rsid w:val="00FF1E5E"/>
    <w:rsid w:val="00FF3A8F"/>
    <w:rsid w:val="00FF5AE8"/>
    <w:rsid w:val="102B4101"/>
    <w:rsid w:val="3FFE1044"/>
    <w:rsid w:val="40D211BF"/>
    <w:rsid w:val="44A92340"/>
    <w:rsid w:val="4D4F78F1"/>
    <w:rsid w:val="5153491D"/>
    <w:rsid w:val="55CB55AB"/>
    <w:rsid w:val="5D317188"/>
    <w:rsid w:val="5F1D4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88303AB"/>
  <w15:docId w15:val="{60BBA1EC-0740-4F70-A2E9-56DF603E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ZA" w:eastAsia="en-ZA"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nhideWhenUsed="1" w:qFormat="1"/>
    <w:lsdException w:name="header"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3DD"/>
    <w:rPr>
      <w:rFonts w:eastAsia="Times New Roman"/>
      <w:sz w:val="24"/>
      <w:szCs w:val="24"/>
      <w:lang w:val="en-GB" w:eastAsia="en-US"/>
    </w:rPr>
  </w:style>
  <w:style w:type="paragraph" w:styleId="Heading2">
    <w:name w:val="heading 2"/>
    <w:basedOn w:val="Normal"/>
    <w:next w:val="Normal"/>
    <w:link w:val="Heading2Char"/>
    <w:uiPriority w:val="9"/>
    <w:unhideWhenUsed/>
    <w:qFormat/>
    <w:pPr>
      <w:keepNext/>
      <w:keepLines/>
      <w:spacing w:before="40"/>
      <w:outlineLvl w:val="1"/>
    </w:pPr>
    <w:rPr>
      <w:rFonts w:ascii="Calibri Light" w:eastAsia="SimSun" w:hAnsi="Calibri Light"/>
      <w:color w:val="2E75B5"/>
      <w:sz w:val="26"/>
      <w:szCs w:val="26"/>
    </w:rPr>
  </w:style>
  <w:style w:type="paragraph" w:styleId="Heading3">
    <w:name w:val="heading 3"/>
    <w:basedOn w:val="Normal"/>
    <w:next w:val="Normal"/>
    <w:link w:val="Heading3Char"/>
    <w:qFormat/>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hAnsi="Segoe UI" w:cs="Segoe UI"/>
      <w:sz w:val="18"/>
      <w:szCs w:val="18"/>
    </w:rPr>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rPr>
      <w:b/>
      <w:bCs/>
    </w:r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iPriority w:val="99"/>
    <w:qFormat/>
    <w:rPr>
      <w:sz w:val="20"/>
      <w:szCs w:val="20"/>
    </w:rPr>
  </w:style>
  <w:style w:type="paragraph" w:styleId="Header">
    <w:name w:val="header"/>
    <w:basedOn w:val="Normal"/>
    <w:link w:val="HeaderChar"/>
    <w:uiPriority w:val="99"/>
    <w:qFormat/>
    <w:pPr>
      <w:tabs>
        <w:tab w:val="center" w:pos="4153"/>
        <w:tab w:val="right" w:pos="8306"/>
      </w:tabs>
    </w:p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unhideWhenUsed/>
    <w:qFormat/>
    <w:pPr>
      <w:spacing w:before="100" w:beforeAutospacing="1" w:after="100" w:afterAutospacing="1"/>
    </w:pPr>
    <w:rPr>
      <w:lang w:val="en-US"/>
    </w:rPr>
  </w:style>
  <w:style w:type="character" w:styleId="PageNumber">
    <w:name w:val="page number"/>
    <w:basedOn w:val="DefaultParagraphFont"/>
    <w:qFormat/>
    <w:rPr>
      <w:rFonts w:cs="Times New Roman"/>
    </w:rPr>
  </w:style>
  <w:style w:type="character" w:customStyle="1" w:styleId="Heading2Char">
    <w:name w:val="Heading 2 Char"/>
    <w:basedOn w:val="DefaultParagraphFont"/>
    <w:link w:val="Heading2"/>
    <w:uiPriority w:val="9"/>
    <w:semiHidden/>
    <w:rPr>
      <w:rFonts w:ascii="Calibri Light" w:eastAsia="SimSun" w:hAnsi="Calibri Light" w:cs="Times New Roman"/>
      <w:color w:val="2E75B5"/>
      <w:sz w:val="26"/>
      <w:szCs w:val="26"/>
      <w:lang w:val="en-GB"/>
    </w:rPr>
  </w:style>
  <w:style w:type="character" w:customStyle="1" w:styleId="Heading3Char">
    <w:name w:val="Heading 3 Char"/>
    <w:basedOn w:val="DefaultParagraphFont"/>
    <w:link w:val="Heading3"/>
    <w:qFormat/>
    <w:rPr>
      <w:rFonts w:ascii="Arial" w:eastAsia="Times New Roman" w:hAnsi="Arial" w:cs="Arial"/>
      <w:i/>
      <w:iCs/>
      <w:sz w:val="28"/>
      <w:szCs w:val="24"/>
      <w:lang w:val="en-GB"/>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lang w:val="en-GB"/>
    </w:rPr>
  </w:style>
  <w:style w:type="character" w:customStyle="1" w:styleId="FootnoteTextChar">
    <w:name w:val="Footnote Text Char"/>
    <w:basedOn w:val="DefaultParagraphFont"/>
    <w:link w:val="FootnoteText"/>
    <w:uiPriority w:val="99"/>
    <w:qFormat/>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lang w:val="en-GB"/>
    </w:rPr>
  </w:style>
  <w:style w:type="paragraph" w:styleId="ListParagraph">
    <w:name w:val="List Paragraph"/>
    <w:basedOn w:val="Normal"/>
    <w:uiPriority w:val="34"/>
    <w:qFormat/>
    <w:pPr>
      <w:ind w:left="720"/>
      <w:contextualSpacing/>
    </w:pPr>
  </w:style>
  <w:style w:type="paragraph" w:customStyle="1" w:styleId="western">
    <w:name w:val="western"/>
    <w:basedOn w:val="Normal"/>
    <w:qFormat/>
    <w:pPr>
      <w:spacing w:before="144" w:after="288"/>
    </w:pPr>
    <w:rPr>
      <w:lang w:val="en-US"/>
    </w:rPr>
  </w:style>
  <w:style w:type="character" w:styleId="PlaceholderText">
    <w:name w:val="Placeholder Text"/>
    <w:basedOn w:val="DefaultParagraphFont"/>
    <w:uiPriority w:val="99"/>
    <w:semiHidden/>
    <w:rPr>
      <w:color w:val="808080"/>
    </w:rPr>
  </w:style>
  <w:style w:type="paragraph" w:customStyle="1" w:styleId="Revision1">
    <w:name w:val="Revision1"/>
    <w:uiPriority w:val="99"/>
    <w:semiHidden/>
    <w:qFormat/>
    <w:rPr>
      <w:rFonts w:eastAsia="Times New Roman"/>
      <w:sz w:val="24"/>
      <w:szCs w:val="24"/>
      <w:lang w:val="en-GB" w:eastAsia="en-US"/>
    </w:rPr>
  </w:style>
  <w:style w:type="paragraph" w:styleId="Footer">
    <w:name w:val="footer"/>
    <w:basedOn w:val="Normal"/>
    <w:link w:val="FooterChar"/>
    <w:uiPriority w:val="99"/>
    <w:unhideWhenUsed/>
    <w:rsid w:val="000F7DC4"/>
    <w:pPr>
      <w:tabs>
        <w:tab w:val="center" w:pos="4513"/>
        <w:tab w:val="right" w:pos="9026"/>
      </w:tabs>
    </w:pPr>
  </w:style>
  <w:style w:type="character" w:customStyle="1" w:styleId="FooterChar">
    <w:name w:val="Footer Char"/>
    <w:basedOn w:val="DefaultParagraphFont"/>
    <w:link w:val="Footer"/>
    <w:uiPriority w:val="99"/>
    <w:rsid w:val="000F7DC4"/>
    <w:rPr>
      <w:rFonts w:eastAsia="Times New Roman"/>
      <w:sz w:val="24"/>
      <w:szCs w:val="24"/>
      <w:lang w:val="en-GB" w:eastAsia="en-US"/>
    </w:rPr>
  </w:style>
  <w:style w:type="paragraph" w:styleId="Revision">
    <w:name w:val="Revision"/>
    <w:hidden/>
    <w:uiPriority w:val="99"/>
    <w:semiHidden/>
    <w:rsid w:val="00F72455"/>
    <w:rPr>
      <w:rFonts w:eastAsia="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9055">
      <w:bodyDiv w:val="1"/>
      <w:marLeft w:val="0"/>
      <w:marRight w:val="0"/>
      <w:marTop w:val="0"/>
      <w:marBottom w:val="0"/>
      <w:divBdr>
        <w:top w:val="none" w:sz="0" w:space="0" w:color="auto"/>
        <w:left w:val="none" w:sz="0" w:space="0" w:color="auto"/>
        <w:bottom w:val="none" w:sz="0" w:space="0" w:color="auto"/>
        <w:right w:val="none" w:sz="0" w:space="0" w:color="auto"/>
      </w:divBdr>
    </w:div>
    <w:div w:id="74935292">
      <w:bodyDiv w:val="1"/>
      <w:marLeft w:val="0"/>
      <w:marRight w:val="0"/>
      <w:marTop w:val="0"/>
      <w:marBottom w:val="0"/>
      <w:divBdr>
        <w:top w:val="none" w:sz="0" w:space="0" w:color="auto"/>
        <w:left w:val="none" w:sz="0" w:space="0" w:color="auto"/>
        <w:bottom w:val="none" w:sz="0" w:space="0" w:color="auto"/>
        <w:right w:val="none" w:sz="0" w:space="0" w:color="auto"/>
      </w:divBdr>
    </w:div>
    <w:div w:id="87893422">
      <w:bodyDiv w:val="1"/>
      <w:marLeft w:val="0"/>
      <w:marRight w:val="0"/>
      <w:marTop w:val="0"/>
      <w:marBottom w:val="0"/>
      <w:divBdr>
        <w:top w:val="none" w:sz="0" w:space="0" w:color="auto"/>
        <w:left w:val="none" w:sz="0" w:space="0" w:color="auto"/>
        <w:bottom w:val="none" w:sz="0" w:space="0" w:color="auto"/>
        <w:right w:val="none" w:sz="0" w:space="0" w:color="auto"/>
      </w:divBdr>
    </w:div>
    <w:div w:id="136194342">
      <w:bodyDiv w:val="1"/>
      <w:marLeft w:val="0"/>
      <w:marRight w:val="0"/>
      <w:marTop w:val="0"/>
      <w:marBottom w:val="0"/>
      <w:divBdr>
        <w:top w:val="none" w:sz="0" w:space="0" w:color="auto"/>
        <w:left w:val="none" w:sz="0" w:space="0" w:color="auto"/>
        <w:bottom w:val="none" w:sz="0" w:space="0" w:color="auto"/>
        <w:right w:val="none" w:sz="0" w:space="0" w:color="auto"/>
      </w:divBdr>
    </w:div>
    <w:div w:id="144593046">
      <w:bodyDiv w:val="1"/>
      <w:marLeft w:val="0"/>
      <w:marRight w:val="0"/>
      <w:marTop w:val="0"/>
      <w:marBottom w:val="0"/>
      <w:divBdr>
        <w:top w:val="none" w:sz="0" w:space="0" w:color="auto"/>
        <w:left w:val="none" w:sz="0" w:space="0" w:color="auto"/>
        <w:bottom w:val="none" w:sz="0" w:space="0" w:color="auto"/>
        <w:right w:val="none" w:sz="0" w:space="0" w:color="auto"/>
      </w:divBdr>
      <w:divsChild>
        <w:div w:id="1463232382">
          <w:marLeft w:val="0"/>
          <w:marRight w:val="0"/>
          <w:marTop w:val="120"/>
          <w:marBottom w:val="0"/>
          <w:divBdr>
            <w:top w:val="none" w:sz="0" w:space="0" w:color="auto"/>
            <w:left w:val="none" w:sz="0" w:space="0" w:color="auto"/>
            <w:bottom w:val="none" w:sz="0" w:space="0" w:color="auto"/>
            <w:right w:val="none" w:sz="0" w:space="0" w:color="auto"/>
          </w:divBdr>
        </w:div>
        <w:div w:id="248125213">
          <w:marLeft w:val="1134"/>
          <w:marRight w:val="0"/>
          <w:marTop w:val="120"/>
          <w:marBottom w:val="0"/>
          <w:divBdr>
            <w:top w:val="none" w:sz="0" w:space="0" w:color="auto"/>
            <w:left w:val="none" w:sz="0" w:space="0" w:color="auto"/>
            <w:bottom w:val="none" w:sz="0" w:space="0" w:color="auto"/>
            <w:right w:val="none" w:sz="0" w:space="0" w:color="auto"/>
          </w:divBdr>
        </w:div>
        <w:div w:id="1026636854">
          <w:marLeft w:val="1134"/>
          <w:marRight w:val="0"/>
          <w:marTop w:val="120"/>
          <w:marBottom w:val="0"/>
          <w:divBdr>
            <w:top w:val="none" w:sz="0" w:space="0" w:color="auto"/>
            <w:left w:val="none" w:sz="0" w:space="0" w:color="auto"/>
            <w:bottom w:val="none" w:sz="0" w:space="0" w:color="auto"/>
            <w:right w:val="none" w:sz="0" w:space="0" w:color="auto"/>
          </w:divBdr>
        </w:div>
        <w:div w:id="147601199">
          <w:marLeft w:val="1134"/>
          <w:marRight w:val="0"/>
          <w:marTop w:val="120"/>
          <w:marBottom w:val="0"/>
          <w:divBdr>
            <w:top w:val="none" w:sz="0" w:space="0" w:color="auto"/>
            <w:left w:val="none" w:sz="0" w:space="0" w:color="auto"/>
            <w:bottom w:val="none" w:sz="0" w:space="0" w:color="auto"/>
            <w:right w:val="none" w:sz="0" w:space="0" w:color="auto"/>
          </w:divBdr>
        </w:div>
        <w:div w:id="283077416">
          <w:marLeft w:val="1134"/>
          <w:marRight w:val="0"/>
          <w:marTop w:val="120"/>
          <w:marBottom w:val="0"/>
          <w:divBdr>
            <w:top w:val="none" w:sz="0" w:space="0" w:color="auto"/>
            <w:left w:val="none" w:sz="0" w:space="0" w:color="auto"/>
            <w:bottom w:val="none" w:sz="0" w:space="0" w:color="auto"/>
            <w:right w:val="none" w:sz="0" w:space="0" w:color="auto"/>
          </w:divBdr>
        </w:div>
        <w:div w:id="55974466">
          <w:marLeft w:val="1134"/>
          <w:marRight w:val="0"/>
          <w:marTop w:val="120"/>
          <w:marBottom w:val="0"/>
          <w:divBdr>
            <w:top w:val="none" w:sz="0" w:space="0" w:color="auto"/>
            <w:left w:val="none" w:sz="0" w:space="0" w:color="auto"/>
            <w:bottom w:val="none" w:sz="0" w:space="0" w:color="auto"/>
            <w:right w:val="none" w:sz="0" w:space="0" w:color="auto"/>
          </w:divBdr>
        </w:div>
        <w:div w:id="1397317893">
          <w:marLeft w:val="1134"/>
          <w:marRight w:val="0"/>
          <w:marTop w:val="120"/>
          <w:marBottom w:val="0"/>
          <w:divBdr>
            <w:top w:val="none" w:sz="0" w:space="0" w:color="auto"/>
            <w:left w:val="none" w:sz="0" w:space="0" w:color="auto"/>
            <w:bottom w:val="none" w:sz="0" w:space="0" w:color="auto"/>
            <w:right w:val="none" w:sz="0" w:space="0" w:color="auto"/>
          </w:divBdr>
        </w:div>
        <w:div w:id="320891662">
          <w:marLeft w:val="1134"/>
          <w:marRight w:val="0"/>
          <w:marTop w:val="120"/>
          <w:marBottom w:val="0"/>
          <w:divBdr>
            <w:top w:val="none" w:sz="0" w:space="0" w:color="auto"/>
            <w:left w:val="none" w:sz="0" w:space="0" w:color="auto"/>
            <w:bottom w:val="none" w:sz="0" w:space="0" w:color="auto"/>
            <w:right w:val="none" w:sz="0" w:space="0" w:color="auto"/>
          </w:divBdr>
        </w:div>
        <w:div w:id="336736917">
          <w:marLeft w:val="1134"/>
          <w:marRight w:val="0"/>
          <w:marTop w:val="120"/>
          <w:marBottom w:val="0"/>
          <w:divBdr>
            <w:top w:val="none" w:sz="0" w:space="0" w:color="auto"/>
            <w:left w:val="none" w:sz="0" w:space="0" w:color="auto"/>
            <w:bottom w:val="none" w:sz="0" w:space="0" w:color="auto"/>
            <w:right w:val="none" w:sz="0" w:space="0" w:color="auto"/>
          </w:divBdr>
        </w:div>
        <w:div w:id="255940425">
          <w:marLeft w:val="1134"/>
          <w:marRight w:val="0"/>
          <w:marTop w:val="120"/>
          <w:marBottom w:val="0"/>
          <w:divBdr>
            <w:top w:val="none" w:sz="0" w:space="0" w:color="auto"/>
            <w:left w:val="none" w:sz="0" w:space="0" w:color="auto"/>
            <w:bottom w:val="none" w:sz="0" w:space="0" w:color="auto"/>
            <w:right w:val="none" w:sz="0" w:space="0" w:color="auto"/>
          </w:divBdr>
        </w:div>
        <w:div w:id="948970209">
          <w:marLeft w:val="1134"/>
          <w:marRight w:val="0"/>
          <w:marTop w:val="120"/>
          <w:marBottom w:val="0"/>
          <w:divBdr>
            <w:top w:val="none" w:sz="0" w:space="0" w:color="auto"/>
            <w:left w:val="none" w:sz="0" w:space="0" w:color="auto"/>
            <w:bottom w:val="none" w:sz="0" w:space="0" w:color="auto"/>
            <w:right w:val="none" w:sz="0" w:space="0" w:color="auto"/>
          </w:divBdr>
        </w:div>
        <w:div w:id="632710688">
          <w:marLeft w:val="0"/>
          <w:marRight w:val="0"/>
          <w:marTop w:val="240"/>
          <w:marBottom w:val="24"/>
          <w:divBdr>
            <w:top w:val="single" w:sz="8" w:space="2" w:color="808080"/>
            <w:left w:val="none" w:sz="0" w:space="0" w:color="auto"/>
            <w:bottom w:val="none" w:sz="0" w:space="0" w:color="auto"/>
            <w:right w:val="none" w:sz="0" w:space="0" w:color="auto"/>
          </w:divBdr>
        </w:div>
        <w:div w:id="31074659">
          <w:marLeft w:val="1134"/>
          <w:marRight w:val="0"/>
          <w:marTop w:val="120"/>
          <w:marBottom w:val="0"/>
          <w:divBdr>
            <w:top w:val="none" w:sz="0" w:space="0" w:color="auto"/>
            <w:left w:val="none" w:sz="0" w:space="0" w:color="auto"/>
            <w:bottom w:val="none" w:sz="0" w:space="0" w:color="auto"/>
            <w:right w:val="none" w:sz="0" w:space="0" w:color="auto"/>
          </w:divBdr>
        </w:div>
        <w:div w:id="1075861967">
          <w:marLeft w:val="1134"/>
          <w:marRight w:val="0"/>
          <w:marTop w:val="120"/>
          <w:marBottom w:val="0"/>
          <w:divBdr>
            <w:top w:val="none" w:sz="0" w:space="0" w:color="auto"/>
            <w:left w:val="none" w:sz="0" w:space="0" w:color="auto"/>
            <w:bottom w:val="none" w:sz="0" w:space="0" w:color="auto"/>
            <w:right w:val="none" w:sz="0" w:space="0" w:color="auto"/>
          </w:divBdr>
        </w:div>
      </w:divsChild>
    </w:div>
    <w:div w:id="469831471">
      <w:bodyDiv w:val="1"/>
      <w:marLeft w:val="0"/>
      <w:marRight w:val="0"/>
      <w:marTop w:val="0"/>
      <w:marBottom w:val="0"/>
      <w:divBdr>
        <w:top w:val="none" w:sz="0" w:space="0" w:color="auto"/>
        <w:left w:val="none" w:sz="0" w:space="0" w:color="auto"/>
        <w:bottom w:val="none" w:sz="0" w:space="0" w:color="auto"/>
        <w:right w:val="none" w:sz="0" w:space="0" w:color="auto"/>
      </w:divBdr>
    </w:div>
    <w:div w:id="600185231">
      <w:bodyDiv w:val="1"/>
      <w:marLeft w:val="0"/>
      <w:marRight w:val="0"/>
      <w:marTop w:val="0"/>
      <w:marBottom w:val="0"/>
      <w:divBdr>
        <w:top w:val="none" w:sz="0" w:space="0" w:color="auto"/>
        <w:left w:val="none" w:sz="0" w:space="0" w:color="auto"/>
        <w:bottom w:val="none" w:sz="0" w:space="0" w:color="auto"/>
        <w:right w:val="none" w:sz="0" w:space="0" w:color="auto"/>
      </w:divBdr>
    </w:div>
    <w:div w:id="785656382">
      <w:bodyDiv w:val="1"/>
      <w:marLeft w:val="0"/>
      <w:marRight w:val="0"/>
      <w:marTop w:val="0"/>
      <w:marBottom w:val="0"/>
      <w:divBdr>
        <w:top w:val="none" w:sz="0" w:space="0" w:color="auto"/>
        <w:left w:val="none" w:sz="0" w:space="0" w:color="auto"/>
        <w:bottom w:val="none" w:sz="0" w:space="0" w:color="auto"/>
        <w:right w:val="none" w:sz="0" w:space="0" w:color="auto"/>
      </w:divBdr>
    </w:div>
    <w:div w:id="955142118">
      <w:bodyDiv w:val="1"/>
      <w:marLeft w:val="0"/>
      <w:marRight w:val="0"/>
      <w:marTop w:val="0"/>
      <w:marBottom w:val="0"/>
      <w:divBdr>
        <w:top w:val="none" w:sz="0" w:space="0" w:color="auto"/>
        <w:left w:val="none" w:sz="0" w:space="0" w:color="auto"/>
        <w:bottom w:val="none" w:sz="0" w:space="0" w:color="auto"/>
        <w:right w:val="none" w:sz="0" w:space="0" w:color="auto"/>
      </w:divBdr>
    </w:div>
    <w:div w:id="993949458">
      <w:bodyDiv w:val="1"/>
      <w:marLeft w:val="0"/>
      <w:marRight w:val="0"/>
      <w:marTop w:val="0"/>
      <w:marBottom w:val="0"/>
      <w:divBdr>
        <w:top w:val="none" w:sz="0" w:space="0" w:color="auto"/>
        <w:left w:val="none" w:sz="0" w:space="0" w:color="auto"/>
        <w:bottom w:val="none" w:sz="0" w:space="0" w:color="auto"/>
        <w:right w:val="none" w:sz="0" w:space="0" w:color="auto"/>
      </w:divBdr>
    </w:div>
    <w:div w:id="1148285662">
      <w:bodyDiv w:val="1"/>
      <w:marLeft w:val="0"/>
      <w:marRight w:val="0"/>
      <w:marTop w:val="0"/>
      <w:marBottom w:val="0"/>
      <w:divBdr>
        <w:top w:val="none" w:sz="0" w:space="0" w:color="auto"/>
        <w:left w:val="none" w:sz="0" w:space="0" w:color="auto"/>
        <w:bottom w:val="none" w:sz="0" w:space="0" w:color="auto"/>
        <w:right w:val="none" w:sz="0" w:space="0" w:color="auto"/>
      </w:divBdr>
    </w:div>
    <w:div w:id="1170559001">
      <w:bodyDiv w:val="1"/>
      <w:marLeft w:val="0"/>
      <w:marRight w:val="0"/>
      <w:marTop w:val="0"/>
      <w:marBottom w:val="0"/>
      <w:divBdr>
        <w:top w:val="none" w:sz="0" w:space="0" w:color="auto"/>
        <w:left w:val="none" w:sz="0" w:space="0" w:color="auto"/>
        <w:bottom w:val="none" w:sz="0" w:space="0" w:color="auto"/>
        <w:right w:val="none" w:sz="0" w:space="0" w:color="auto"/>
      </w:divBdr>
    </w:div>
    <w:div w:id="1582639187">
      <w:bodyDiv w:val="1"/>
      <w:marLeft w:val="0"/>
      <w:marRight w:val="0"/>
      <w:marTop w:val="0"/>
      <w:marBottom w:val="0"/>
      <w:divBdr>
        <w:top w:val="none" w:sz="0" w:space="0" w:color="auto"/>
        <w:left w:val="none" w:sz="0" w:space="0" w:color="auto"/>
        <w:bottom w:val="none" w:sz="0" w:space="0" w:color="auto"/>
        <w:right w:val="none" w:sz="0" w:space="0" w:color="auto"/>
      </w:divBdr>
    </w:div>
    <w:div w:id="1604150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dminlawblog.org/2017/04/28/cora-hoexter-south-african-administrative-law-at-a-crossroads-the-paj-and-the-principle-of-legal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rona%20Home%20Work\Commissioner%20for%20SARS%20v%20Glencore%20Draft%20Judgment%2015.07.202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F22DF2-034B-4523-B72F-6E015B081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Commissioner for SARS v Glencore Draft Judgment 15.07.2021</Template>
  <TotalTime>0</TotalTime>
  <Pages>64</Pages>
  <Words>15748</Words>
  <Characters>89769</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Mokone</cp:lastModifiedBy>
  <cp:revision>2</cp:revision>
  <cp:lastPrinted>2023-06-13T14:09:00Z</cp:lastPrinted>
  <dcterms:created xsi:type="dcterms:W3CDTF">2023-06-14T10:08:00Z</dcterms:created>
  <dcterms:modified xsi:type="dcterms:W3CDTF">2023-06-14T10:08:00Z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