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2063D" w14:textId="422D9CCE" w:rsidR="00FE3762" w:rsidRPr="00C20926" w:rsidRDefault="006B27C8" w:rsidP="004D2880">
      <w:pPr>
        <w:rPr>
          <w:b/>
          <w:bCs/>
          <w:sz w:val="28"/>
          <w:szCs w:val="28"/>
        </w:rPr>
      </w:pPr>
      <w:r w:rsidRPr="00C20926">
        <w:rPr>
          <w:noProof/>
          <w:sz w:val="28"/>
          <w:szCs w:val="28"/>
          <w:lang w:eastAsia="en-ZA"/>
        </w:rPr>
        <w:drawing>
          <wp:anchor distT="0" distB="0" distL="114300" distR="114300" simplePos="0" relativeHeight="251653120" behindDoc="0" locked="0" layoutInCell="1" allowOverlap="1" wp14:anchorId="25DE2159" wp14:editId="55B2206F">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36563A50" w14:textId="77777777" w:rsidR="004D2880" w:rsidRPr="00C20926" w:rsidRDefault="004D2880" w:rsidP="004D2880">
      <w:pPr>
        <w:rPr>
          <w:b/>
          <w:bCs/>
          <w:sz w:val="28"/>
          <w:szCs w:val="28"/>
        </w:rPr>
      </w:pPr>
    </w:p>
    <w:p w14:paraId="2507D4F9" w14:textId="77777777" w:rsidR="006B27C8" w:rsidRPr="00C20926" w:rsidRDefault="006B27C8" w:rsidP="004D2880">
      <w:pPr>
        <w:rPr>
          <w:b/>
          <w:bCs/>
          <w:sz w:val="28"/>
          <w:szCs w:val="28"/>
        </w:rPr>
      </w:pPr>
    </w:p>
    <w:p w14:paraId="388219FE" w14:textId="77777777" w:rsidR="004D2880" w:rsidRPr="00C20926" w:rsidRDefault="004D2880" w:rsidP="004D2880">
      <w:pPr>
        <w:rPr>
          <w:b/>
          <w:bCs/>
          <w:sz w:val="16"/>
          <w:szCs w:val="16"/>
        </w:rPr>
      </w:pPr>
    </w:p>
    <w:p w14:paraId="722BEE53" w14:textId="77777777" w:rsidR="00EA529D" w:rsidRPr="00C20926" w:rsidRDefault="00EA529D" w:rsidP="003B7F99">
      <w:pPr>
        <w:spacing w:line="276" w:lineRule="auto"/>
        <w:jc w:val="center"/>
        <w:rPr>
          <w:b/>
          <w:bCs/>
          <w:sz w:val="28"/>
          <w:szCs w:val="28"/>
        </w:rPr>
      </w:pPr>
      <w:r w:rsidRPr="00C20926">
        <w:rPr>
          <w:b/>
          <w:bCs/>
          <w:sz w:val="28"/>
          <w:szCs w:val="28"/>
        </w:rPr>
        <w:t>THE SUPREME COURT OF APPEAL OF SOUTH AFRICA</w:t>
      </w:r>
    </w:p>
    <w:p w14:paraId="1A62EA2E" w14:textId="77777777" w:rsidR="00EA529D" w:rsidRPr="00C20926" w:rsidRDefault="00EA529D" w:rsidP="003B7F99">
      <w:pPr>
        <w:pStyle w:val="Heading3"/>
        <w:spacing w:line="276" w:lineRule="auto"/>
        <w:jc w:val="center"/>
        <w:rPr>
          <w:rFonts w:ascii="Times New Roman" w:hAnsi="Times New Roman" w:cs="Times New Roman"/>
          <w:b/>
          <w:i w:val="0"/>
          <w:szCs w:val="28"/>
        </w:rPr>
      </w:pPr>
      <w:r w:rsidRPr="00C20926">
        <w:rPr>
          <w:rFonts w:ascii="Times New Roman" w:hAnsi="Times New Roman" w:cs="Times New Roman"/>
          <w:b/>
          <w:i w:val="0"/>
          <w:szCs w:val="28"/>
        </w:rPr>
        <w:t>JUDGMENT</w:t>
      </w:r>
    </w:p>
    <w:p w14:paraId="1FFD9F2F" w14:textId="77777777" w:rsidR="00573B6C" w:rsidRPr="00C20926" w:rsidRDefault="00573B6C" w:rsidP="008B5F43">
      <w:pPr>
        <w:spacing w:line="240" w:lineRule="auto"/>
        <w:rPr>
          <w:sz w:val="28"/>
        </w:rPr>
      </w:pPr>
    </w:p>
    <w:p w14:paraId="2E7E717D" w14:textId="5E5BBA22" w:rsidR="00EA529D" w:rsidRPr="00C20926" w:rsidRDefault="0063488B" w:rsidP="004D2880">
      <w:pPr>
        <w:jc w:val="right"/>
        <w:rPr>
          <w:b/>
          <w:sz w:val="28"/>
          <w:szCs w:val="28"/>
        </w:rPr>
      </w:pPr>
      <w:r w:rsidRPr="00C20926">
        <w:rPr>
          <w:b/>
          <w:sz w:val="28"/>
          <w:szCs w:val="28"/>
        </w:rPr>
        <w:t>Reportable</w:t>
      </w:r>
    </w:p>
    <w:p w14:paraId="43D4A180" w14:textId="29CC8CAE" w:rsidR="00EA529D" w:rsidRPr="00C20926" w:rsidRDefault="00EA529D" w:rsidP="004D2880">
      <w:pPr>
        <w:jc w:val="right"/>
        <w:rPr>
          <w:sz w:val="28"/>
          <w:szCs w:val="28"/>
        </w:rPr>
      </w:pPr>
      <w:r w:rsidRPr="00C20926">
        <w:rPr>
          <w:sz w:val="28"/>
          <w:szCs w:val="28"/>
        </w:rPr>
        <w:t xml:space="preserve">Case no: </w:t>
      </w:r>
      <w:r w:rsidR="00161F9D" w:rsidRPr="00C20926">
        <w:rPr>
          <w:sz w:val="28"/>
          <w:szCs w:val="28"/>
        </w:rPr>
        <w:t>1307/2022</w:t>
      </w:r>
      <w:r w:rsidR="00F82F7C" w:rsidRPr="00C20926">
        <w:rPr>
          <w:sz w:val="28"/>
          <w:szCs w:val="28"/>
        </w:rPr>
        <w:t xml:space="preserve"> </w:t>
      </w:r>
    </w:p>
    <w:p w14:paraId="4F448437" w14:textId="77777777" w:rsidR="00BF09AC" w:rsidRPr="00C20926" w:rsidRDefault="00BF09AC" w:rsidP="00BF09AC">
      <w:pPr>
        <w:tabs>
          <w:tab w:val="left" w:pos="5954"/>
        </w:tabs>
        <w:contextualSpacing/>
        <w:rPr>
          <w:sz w:val="28"/>
          <w:szCs w:val="28"/>
        </w:rPr>
      </w:pPr>
      <w:r w:rsidRPr="00C20926">
        <w:rPr>
          <w:sz w:val="28"/>
          <w:szCs w:val="28"/>
        </w:rPr>
        <w:t>In the matter between:</w:t>
      </w:r>
    </w:p>
    <w:p w14:paraId="12910E38" w14:textId="77777777" w:rsidR="00267ACE" w:rsidRPr="00C20926" w:rsidRDefault="00267ACE" w:rsidP="007F4700">
      <w:pPr>
        <w:tabs>
          <w:tab w:val="left" w:pos="5954"/>
        </w:tabs>
        <w:spacing w:line="240" w:lineRule="auto"/>
        <w:contextualSpacing/>
        <w:rPr>
          <w:sz w:val="28"/>
          <w:szCs w:val="28"/>
        </w:rPr>
      </w:pPr>
    </w:p>
    <w:p w14:paraId="61DB44D2" w14:textId="04D5F1C0" w:rsidR="00BF09AC" w:rsidRPr="00C20926" w:rsidRDefault="00161F9D" w:rsidP="00E56648">
      <w:pPr>
        <w:tabs>
          <w:tab w:val="right" w:pos="9356"/>
        </w:tabs>
        <w:spacing w:line="240" w:lineRule="auto"/>
        <w:contextualSpacing/>
        <w:jc w:val="left"/>
        <w:rPr>
          <w:b/>
          <w:sz w:val="28"/>
          <w:szCs w:val="28"/>
        </w:rPr>
      </w:pPr>
      <w:r w:rsidRPr="00C20926">
        <w:rPr>
          <w:b/>
          <w:sz w:val="28"/>
          <w:szCs w:val="28"/>
        </w:rPr>
        <w:t>CHRISTOFFEL HENDRIK WIESE</w:t>
      </w:r>
      <w:r w:rsidR="00BF09AC" w:rsidRPr="00C20926">
        <w:rPr>
          <w:b/>
          <w:sz w:val="28"/>
          <w:szCs w:val="28"/>
        </w:rPr>
        <w:tab/>
      </w:r>
      <w:r w:rsidR="003E2209" w:rsidRPr="00C20926">
        <w:rPr>
          <w:b/>
          <w:sz w:val="28"/>
          <w:szCs w:val="28"/>
        </w:rPr>
        <w:t xml:space="preserve">FIRST </w:t>
      </w:r>
      <w:r w:rsidR="00BF09AC" w:rsidRPr="00C20926">
        <w:rPr>
          <w:b/>
          <w:sz w:val="28"/>
          <w:szCs w:val="28"/>
        </w:rPr>
        <w:t>APPELLANT</w:t>
      </w:r>
    </w:p>
    <w:p w14:paraId="33EC1B42" w14:textId="77777777" w:rsidR="00214DB5" w:rsidRPr="00C20926" w:rsidRDefault="00214DB5" w:rsidP="00E56648">
      <w:pPr>
        <w:tabs>
          <w:tab w:val="right" w:pos="9356"/>
        </w:tabs>
        <w:spacing w:line="240" w:lineRule="auto"/>
        <w:contextualSpacing/>
        <w:jc w:val="left"/>
        <w:rPr>
          <w:b/>
          <w:caps/>
          <w:sz w:val="28"/>
          <w:szCs w:val="28"/>
        </w:rPr>
      </w:pPr>
    </w:p>
    <w:p w14:paraId="03DE8D32" w14:textId="4869173B" w:rsidR="003E2209" w:rsidRPr="00C20926" w:rsidRDefault="00161F9D" w:rsidP="00E56648">
      <w:pPr>
        <w:tabs>
          <w:tab w:val="right" w:pos="9356"/>
        </w:tabs>
        <w:spacing w:line="240" w:lineRule="auto"/>
        <w:contextualSpacing/>
        <w:jc w:val="left"/>
        <w:rPr>
          <w:b/>
          <w:sz w:val="28"/>
          <w:szCs w:val="28"/>
        </w:rPr>
      </w:pPr>
      <w:r w:rsidRPr="00C20926">
        <w:rPr>
          <w:b/>
          <w:sz w:val="28"/>
          <w:szCs w:val="28"/>
        </w:rPr>
        <w:t>ISAK HENDRIK JOHANNES VISAGIE</w:t>
      </w:r>
      <w:r w:rsidR="003E2209" w:rsidRPr="00C20926">
        <w:rPr>
          <w:b/>
          <w:sz w:val="28"/>
          <w:szCs w:val="28"/>
        </w:rPr>
        <w:tab/>
        <w:t>SECOND APPELLANT</w:t>
      </w:r>
    </w:p>
    <w:p w14:paraId="02AD0A54" w14:textId="77777777" w:rsidR="00161F9D" w:rsidRPr="00C20926" w:rsidRDefault="00161F9D" w:rsidP="00E56648">
      <w:pPr>
        <w:tabs>
          <w:tab w:val="right" w:pos="9356"/>
        </w:tabs>
        <w:spacing w:line="240" w:lineRule="auto"/>
        <w:contextualSpacing/>
        <w:jc w:val="left"/>
        <w:rPr>
          <w:b/>
          <w:sz w:val="28"/>
          <w:szCs w:val="28"/>
        </w:rPr>
      </w:pPr>
    </w:p>
    <w:p w14:paraId="4371EE77" w14:textId="0268168E" w:rsidR="00161F9D" w:rsidRPr="00C20926" w:rsidRDefault="00161F9D" w:rsidP="00E56648">
      <w:pPr>
        <w:tabs>
          <w:tab w:val="right" w:pos="9356"/>
        </w:tabs>
        <w:spacing w:line="240" w:lineRule="auto"/>
        <w:contextualSpacing/>
        <w:jc w:val="left"/>
        <w:rPr>
          <w:b/>
          <w:sz w:val="28"/>
          <w:szCs w:val="28"/>
        </w:rPr>
      </w:pPr>
      <w:r w:rsidRPr="00C20926">
        <w:rPr>
          <w:b/>
          <w:sz w:val="28"/>
          <w:szCs w:val="28"/>
        </w:rPr>
        <w:t>GERT CHRISTIAAN VILJOEN</w:t>
      </w:r>
      <w:r w:rsidRPr="00C20926">
        <w:rPr>
          <w:b/>
          <w:sz w:val="28"/>
          <w:szCs w:val="28"/>
        </w:rPr>
        <w:tab/>
        <w:t>THIRD APPELLANT</w:t>
      </w:r>
    </w:p>
    <w:p w14:paraId="6E35EAAC" w14:textId="77777777" w:rsidR="00161F9D" w:rsidRPr="00C20926" w:rsidRDefault="00161F9D" w:rsidP="00E56648">
      <w:pPr>
        <w:tabs>
          <w:tab w:val="right" w:pos="9356"/>
        </w:tabs>
        <w:spacing w:line="240" w:lineRule="auto"/>
        <w:contextualSpacing/>
        <w:jc w:val="left"/>
        <w:rPr>
          <w:b/>
          <w:sz w:val="28"/>
          <w:szCs w:val="28"/>
        </w:rPr>
      </w:pPr>
    </w:p>
    <w:p w14:paraId="2578C552" w14:textId="0C39993C" w:rsidR="00161F9D" w:rsidRPr="00C20926" w:rsidRDefault="00161F9D" w:rsidP="00E56648">
      <w:pPr>
        <w:tabs>
          <w:tab w:val="right" w:pos="9356"/>
        </w:tabs>
        <w:spacing w:line="240" w:lineRule="auto"/>
        <w:contextualSpacing/>
        <w:jc w:val="left"/>
        <w:rPr>
          <w:b/>
          <w:sz w:val="28"/>
          <w:szCs w:val="28"/>
        </w:rPr>
      </w:pPr>
      <w:r w:rsidRPr="00C20926">
        <w:rPr>
          <w:b/>
          <w:sz w:val="28"/>
          <w:szCs w:val="28"/>
        </w:rPr>
        <w:t>FREDERICK RAUTEN HOFMEYR</w:t>
      </w:r>
      <w:r w:rsidRPr="00C20926">
        <w:rPr>
          <w:b/>
          <w:sz w:val="28"/>
          <w:szCs w:val="28"/>
        </w:rPr>
        <w:tab/>
        <w:t>FOURTH APPELLANT</w:t>
      </w:r>
    </w:p>
    <w:p w14:paraId="0BDB5EF4" w14:textId="77777777" w:rsidR="001B29EC" w:rsidRPr="00C20926" w:rsidRDefault="001B29EC" w:rsidP="007F4700">
      <w:pPr>
        <w:tabs>
          <w:tab w:val="right" w:pos="9356"/>
        </w:tabs>
        <w:spacing w:line="240" w:lineRule="auto"/>
        <w:contextualSpacing/>
        <w:jc w:val="left"/>
        <w:rPr>
          <w:b/>
          <w:sz w:val="28"/>
          <w:szCs w:val="28"/>
        </w:rPr>
      </w:pPr>
    </w:p>
    <w:p w14:paraId="79D67B6C" w14:textId="77777777" w:rsidR="00BF09AC" w:rsidRPr="00C20926" w:rsidRDefault="00BF09AC" w:rsidP="007F4700">
      <w:pPr>
        <w:tabs>
          <w:tab w:val="left" w:pos="5954"/>
        </w:tabs>
        <w:spacing w:line="240" w:lineRule="auto"/>
        <w:contextualSpacing/>
        <w:jc w:val="left"/>
        <w:rPr>
          <w:sz w:val="28"/>
          <w:szCs w:val="28"/>
        </w:rPr>
      </w:pPr>
      <w:r w:rsidRPr="00C20926">
        <w:rPr>
          <w:sz w:val="28"/>
          <w:szCs w:val="28"/>
        </w:rPr>
        <w:t>and</w:t>
      </w:r>
    </w:p>
    <w:p w14:paraId="3449D4B2" w14:textId="77777777" w:rsidR="003B7F99" w:rsidRPr="00C20926" w:rsidRDefault="003B7F99" w:rsidP="00112E1D">
      <w:pPr>
        <w:tabs>
          <w:tab w:val="left" w:pos="5954"/>
          <w:tab w:val="right" w:pos="9356"/>
        </w:tabs>
        <w:spacing w:line="240" w:lineRule="auto"/>
        <w:contextualSpacing/>
        <w:jc w:val="left"/>
        <w:rPr>
          <w:b/>
          <w:sz w:val="28"/>
          <w:szCs w:val="28"/>
        </w:rPr>
      </w:pPr>
    </w:p>
    <w:p w14:paraId="08DE7212" w14:textId="77777777" w:rsidR="00161F9D" w:rsidRPr="00C20926" w:rsidRDefault="00161F9D" w:rsidP="00112E1D">
      <w:pPr>
        <w:tabs>
          <w:tab w:val="left" w:pos="5954"/>
          <w:tab w:val="right" w:pos="9356"/>
        </w:tabs>
        <w:contextualSpacing/>
        <w:jc w:val="left"/>
        <w:rPr>
          <w:b/>
          <w:sz w:val="28"/>
          <w:szCs w:val="28"/>
        </w:rPr>
      </w:pPr>
      <w:r w:rsidRPr="00C20926">
        <w:rPr>
          <w:b/>
          <w:sz w:val="28"/>
          <w:szCs w:val="28"/>
        </w:rPr>
        <w:t xml:space="preserve">THE COMMISSIONER FOR THE SOUTH AFRICAN </w:t>
      </w:r>
    </w:p>
    <w:p w14:paraId="0F719140" w14:textId="58CABF9B" w:rsidR="00BF09AC" w:rsidRPr="00C20926" w:rsidRDefault="00161F9D" w:rsidP="00112E1D">
      <w:pPr>
        <w:tabs>
          <w:tab w:val="left" w:pos="5954"/>
          <w:tab w:val="right" w:pos="9356"/>
        </w:tabs>
        <w:contextualSpacing/>
        <w:jc w:val="left"/>
        <w:rPr>
          <w:b/>
          <w:sz w:val="28"/>
          <w:szCs w:val="28"/>
        </w:rPr>
      </w:pPr>
      <w:r w:rsidRPr="00C20926">
        <w:rPr>
          <w:b/>
          <w:sz w:val="28"/>
          <w:szCs w:val="28"/>
        </w:rPr>
        <w:t>REVENUE SERVICE</w:t>
      </w:r>
      <w:r w:rsidR="003E2209" w:rsidRPr="00C20926">
        <w:rPr>
          <w:b/>
          <w:sz w:val="28"/>
          <w:szCs w:val="28"/>
        </w:rPr>
        <w:t xml:space="preserve"> </w:t>
      </w:r>
      <w:r w:rsidR="00BF09AC" w:rsidRPr="00C20926">
        <w:rPr>
          <w:b/>
          <w:sz w:val="28"/>
          <w:szCs w:val="28"/>
        </w:rPr>
        <w:tab/>
      </w:r>
      <w:r w:rsidR="003E2209" w:rsidRPr="00C20926">
        <w:rPr>
          <w:b/>
          <w:sz w:val="28"/>
          <w:szCs w:val="28"/>
        </w:rPr>
        <w:t xml:space="preserve"> </w:t>
      </w:r>
      <w:r w:rsidR="00214DB5" w:rsidRPr="00C20926">
        <w:rPr>
          <w:b/>
          <w:sz w:val="28"/>
          <w:szCs w:val="28"/>
        </w:rPr>
        <w:tab/>
        <w:t xml:space="preserve"> </w:t>
      </w:r>
      <w:r w:rsidR="00BF09AC" w:rsidRPr="00C20926">
        <w:rPr>
          <w:b/>
          <w:sz w:val="28"/>
          <w:szCs w:val="28"/>
        </w:rPr>
        <w:t>RESPONDENT</w:t>
      </w:r>
    </w:p>
    <w:p w14:paraId="12DDFCE6" w14:textId="77777777" w:rsidR="007024E8" w:rsidRPr="00C20926" w:rsidRDefault="007024E8" w:rsidP="000F3F4B">
      <w:pPr>
        <w:tabs>
          <w:tab w:val="left" w:pos="5954"/>
          <w:tab w:val="right" w:pos="9356"/>
        </w:tabs>
        <w:contextualSpacing/>
        <w:jc w:val="left"/>
        <w:rPr>
          <w:b/>
          <w:sz w:val="28"/>
          <w:szCs w:val="28"/>
        </w:rPr>
      </w:pPr>
    </w:p>
    <w:p w14:paraId="693BC351" w14:textId="2F6C0640" w:rsidR="00B31FF4" w:rsidRPr="00C20926" w:rsidRDefault="00EA529D" w:rsidP="004C3FF8">
      <w:pPr>
        <w:ind w:left="2160" w:hanging="2160"/>
        <w:rPr>
          <w:bCs/>
          <w:sz w:val="28"/>
          <w:szCs w:val="28"/>
        </w:rPr>
      </w:pPr>
      <w:r w:rsidRPr="00C20926">
        <w:rPr>
          <w:b/>
          <w:bCs/>
          <w:sz w:val="28"/>
          <w:szCs w:val="28"/>
        </w:rPr>
        <w:t>Neutral citation:</w:t>
      </w:r>
      <w:r w:rsidRPr="00C20926">
        <w:rPr>
          <w:b/>
          <w:bCs/>
          <w:sz w:val="28"/>
          <w:szCs w:val="28"/>
        </w:rPr>
        <w:tab/>
      </w:r>
      <w:r w:rsidR="00161F9D" w:rsidRPr="00C20926">
        <w:rPr>
          <w:bCs/>
          <w:i/>
          <w:sz w:val="28"/>
          <w:szCs w:val="28"/>
          <w:lang w:val="en-GB"/>
        </w:rPr>
        <w:t>Christoffel Hendrik Wiese and Others v C</w:t>
      </w:r>
      <w:r w:rsidR="000F4FF9" w:rsidRPr="00C20926">
        <w:rPr>
          <w:bCs/>
          <w:i/>
          <w:sz w:val="28"/>
          <w:szCs w:val="28"/>
          <w:lang w:val="en-GB"/>
        </w:rPr>
        <w:t>SARS</w:t>
      </w:r>
      <w:r w:rsidR="00BF09AC" w:rsidRPr="00C20926">
        <w:rPr>
          <w:bCs/>
          <w:i/>
          <w:sz w:val="28"/>
          <w:szCs w:val="28"/>
          <w:lang w:val="en-GB"/>
        </w:rPr>
        <w:t xml:space="preserve"> </w:t>
      </w:r>
      <w:r w:rsidR="00BF09AC" w:rsidRPr="00C20926">
        <w:rPr>
          <w:bCs/>
          <w:sz w:val="28"/>
          <w:szCs w:val="28"/>
          <w:lang w:val="en-GB"/>
        </w:rPr>
        <w:t>(</w:t>
      </w:r>
      <w:r w:rsidR="00161F9D" w:rsidRPr="00C20926">
        <w:rPr>
          <w:bCs/>
          <w:sz w:val="28"/>
          <w:szCs w:val="28"/>
          <w:lang w:val="en-GB"/>
        </w:rPr>
        <w:t>1307/2022</w:t>
      </w:r>
      <w:r w:rsidR="00BF09AC" w:rsidRPr="00C20926">
        <w:rPr>
          <w:bCs/>
          <w:sz w:val="28"/>
          <w:szCs w:val="28"/>
          <w:lang w:val="en-GB"/>
        </w:rPr>
        <w:t>)</w:t>
      </w:r>
      <w:r w:rsidR="00270C43" w:rsidRPr="00C20926">
        <w:rPr>
          <w:bCs/>
          <w:sz w:val="28"/>
          <w:szCs w:val="28"/>
          <w:lang w:val="en-GB"/>
        </w:rPr>
        <w:t xml:space="preserve"> </w:t>
      </w:r>
      <w:r w:rsidR="004C3FF8">
        <w:rPr>
          <w:bCs/>
          <w:sz w:val="28"/>
          <w:szCs w:val="28"/>
          <w:lang w:val="en-GB"/>
        </w:rPr>
        <w:t xml:space="preserve">         </w:t>
      </w:r>
      <w:r w:rsidRPr="00C20926">
        <w:rPr>
          <w:bCs/>
          <w:sz w:val="28"/>
          <w:szCs w:val="28"/>
        </w:rPr>
        <w:t>[202</w:t>
      </w:r>
      <w:r w:rsidR="00A40A90" w:rsidRPr="00C20926">
        <w:rPr>
          <w:bCs/>
          <w:sz w:val="28"/>
          <w:szCs w:val="28"/>
        </w:rPr>
        <w:t>4</w:t>
      </w:r>
      <w:r w:rsidRPr="00C20926">
        <w:rPr>
          <w:bCs/>
          <w:sz w:val="28"/>
          <w:szCs w:val="28"/>
        </w:rPr>
        <w:t xml:space="preserve">] ZASCA </w:t>
      </w:r>
      <w:r w:rsidR="00F33DC9">
        <w:rPr>
          <w:bCs/>
          <w:sz w:val="28"/>
          <w:szCs w:val="28"/>
        </w:rPr>
        <w:t xml:space="preserve">111 </w:t>
      </w:r>
      <w:r w:rsidRPr="00C20926">
        <w:rPr>
          <w:bCs/>
          <w:sz w:val="28"/>
          <w:szCs w:val="28"/>
        </w:rPr>
        <w:t>(</w:t>
      </w:r>
      <w:r w:rsidR="00F33DC9">
        <w:rPr>
          <w:bCs/>
          <w:sz w:val="28"/>
          <w:szCs w:val="28"/>
        </w:rPr>
        <w:t>12</w:t>
      </w:r>
      <w:r w:rsidR="00A40A90" w:rsidRPr="00C20926">
        <w:rPr>
          <w:bCs/>
          <w:sz w:val="28"/>
          <w:szCs w:val="28"/>
        </w:rPr>
        <w:t xml:space="preserve"> </w:t>
      </w:r>
      <w:r w:rsidR="00573B6C" w:rsidRPr="00C20926">
        <w:rPr>
          <w:bCs/>
          <w:sz w:val="28"/>
          <w:szCs w:val="28"/>
        </w:rPr>
        <w:t>Ju</w:t>
      </w:r>
      <w:r w:rsidR="00112E1D" w:rsidRPr="00C20926">
        <w:rPr>
          <w:bCs/>
          <w:sz w:val="28"/>
          <w:szCs w:val="28"/>
        </w:rPr>
        <w:t>ly</w:t>
      </w:r>
      <w:r w:rsidR="00A40A90" w:rsidRPr="00C20926">
        <w:rPr>
          <w:bCs/>
          <w:sz w:val="28"/>
          <w:szCs w:val="28"/>
        </w:rPr>
        <w:t xml:space="preserve"> 2024</w:t>
      </w:r>
      <w:r w:rsidRPr="00C20926">
        <w:rPr>
          <w:bCs/>
          <w:sz w:val="28"/>
          <w:szCs w:val="28"/>
        </w:rPr>
        <w:t>)</w:t>
      </w:r>
    </w:p>
    <w:p w14:paraId="34C0EA5F" w14:textId="38240E1E" w:rsidR="009D7C7C" w:rsidRPr="00C20926" w:rsidRDefault="00EA529D" w:rsidP="004C3FF8">
      <w:pPr>
        <w:ind w:left="1440" w:hanging="1440"/>
        <w:rPr>
          <w:bCs/>
          <w:sz w:val="28"/>
          <w:szCs w:val="28"/>
        </w:rPr>
      </w:pPr>
      <w:r w:rsidRPr="00C20926">
        <w:rPr>
          <w:b/>
          <w:bCs/>
          <w:sz w:val="28"/>
          <w:szCs w:val="28"/>
        </w:rPr>
        <w:t>Coram:</w:t>
      </w:r>
      <w:r w:rsidRPr="00C20926">
        <w:rPr>
          <w:sz w:val="28"/>
          <w:szCs w:val="28"/>
        </w:rPr>
        <w:tab/>
      </w:r>
      <w:r w:rsidR="00573B6C" w:rsidRPr="00C20926">
        <w:rPr>
          <w:bCs/>
          <w:sz w:val="28"/>
          <w:szCs w:val="28"/>
        </w:rPr>
        <w:t>MOCUMIE</w:t>
      </w:r>
      <w:r w:rsidR="00161F9D" w:rsidRPr="00C20926">
        <w:rPr>
          <w:bCs/>
          <w:sz w:val="28"/>
          <w:szCs w:val="28"/>
        </w:rPr>
        <w:t xml:space="preserve"> ADP</w:t>
      </w:r>
      <w:r w:rsidR="00573B6C" w:rsidRPr="00C20926">
        <w:rPr>
          <w:bCs/>
          <w:sz w:val="28"/>
          <w:szCs w:val="28"/>
        </w:rPr>
        <w:t>,</w:t>
      </w:r>
      <w:r w:rsidR="00161F9D" w:rsidRPr="00C20926">
        <w:rPr>
          <w:bCs/>
          <w:sz w:val="28"/>
          <w:szCs w:val="28"/>
        </w:rPr>
        <w:t xml:space="preserve"> </w:t>
      </w:r>
      <w:r w:rsidR="00573B6C" w:rsidRPr="00C20926">
        <w:rPr>
          <w:bCs/>
          <w:sz w:val="28"/>
          <w:szCs w:val="28"/>
        </w:rPr>
        <w:t>MOTHLE</w:t>
      </w:r>
      <w:r w:rsidR="00161F9D" w:rsidRPr="00C20926">
        <w:rPr>
          <w:bCs/>
          <w:sz w:val="28"/>
          <w:szCs w:val="28"/>
        </w:rPr>
        <w:t xml:space="preserve"> and </w:t>
      </w:r>
      <w:r w:rsidR="00573B6C" w:rsidRPr="00C20926">
        <w:rPr>
          <w:bCs/>
          <w:sz w:val="28"/>
          <w:szCs w:val="28"/>
        </w:rPr>
        <w:t xml:space="preserve">GOOSEN </w:t>
      </w:r>
      <w:r w:rsidR="00161F9D" w:rsidRPr="00C20926">
        <w:rPr>
          <w:bCs/>
          <w:sz w:val="28"/>
          <w:szCs w:val="28"/>
        </w:rPr>
        <w:t xml:space="preserve">JJA and </w:t>
      </w:r>
      <w:r w:rsidR="00573B6C" w:rsidRPr="00C20926">
        <w:rPr>
          <w:bCs/>
          <w:sz w:val="28"/>
          <w:szCs w:val="28"/>
        </w:rPr>
        <w:t>TOLMAY</w:t>
      </w:r>
      <w:r w:rsidR="00161F9D" w:rsidRPr="00C20926">
        <w:rPr>
          <w:bCs/>
          <w:sz w:val="28"/>
          <w:szCs w:val="28"/>
        </w:rPr>
        <w:t xml:space="preserve"> and </w:t>
      </w:r>
      <w:r w:rsidR="00573B6C" w:rsidRPr="00C20926">
        <w:rPr>
          <w:bCs/>
          <w:sz w:val="28"/>
          <w:szCs w:val="28"/>
        </w:rPr>
        <w:t>SEEGOBIN</w:t>
      </w:r>
      <w:r w:rsidR="00161F9D" w:rsidRPr="00C20926">
        <w:rPr>
          <w:bCs/>
          <w:sz w:val="28"/>
          <w:szCs w:val="28"/>
        </w:rPr>
        <w:t xml:space="preserve"> AJJA </w:t>
      </w:r>
    </w:p>
    <w:p w14:paraId="67EC0039" w14:textId="57DAE04F" w:rsidR="004D2880" w:rsidRPr="00C20926" w:rsidRDefault="00EA529D" w:rsidP="00267ACE">
      <w:pPr>
        <w:rPr>
          <w:sz w:val="28"/>
          <w:szCs w:val="28"/>
        </w:rPr>
      </w:pPr>
      <w:r w:rsidRPr="00C20926">
        <w:rPr>
          <w:b/>
          <w:bCs/>
          <w:sz w:val="28"/>
          <w:szCs w:val="28"/>
        </w:rPr>
        <w:t>Heard</w:t>
      </w:r>
      <w:r w:rsidRPr="00C20926">
        <w:rPr>
          <w:b/>
          <w:sz w:val="28"/>
          <w:szCs w:val="28"/>
        </w:rPr>
        <w:t>:</w:t>
      </w:r>
      <w:r w:rsidRPr="00C20926">
        <w:rPr>
          <w:sz w:val="28"/>
          <w:szCs w:val="28"/>
        </w:rPr>
        <w:tab/>
      </w:r>
      <w:r w:rsidR="00161F9D" w:rsidRPr="00C20926">
        <w:rPr>
          <w:sz w:val="28"/>
          <w:szCs w:val="28"/>
        </w:rPr>
        <w:t xml:space="preserve">8 </w:t>
      </w:r>
      <w:r w:rsidR="00214DB5" w:rsidRPr="00C20926">
        <w:rPr>
          <w:sz w:val="28"/>
          <w:szCs w:val="28"/>
        </w:rPr>
        <w:t xml:space="preserve">March </w:t>
      </w:r>
      <w:r w:rsidR="00A40A90" w:rsidRPr="00C20926">
        <w:rPr>
          <w:sz w:val="28"/>
          <w:szCs w:val="28"/>
        </w:rPr>
        <w:t>2024</w:t>
      </w:r>
    </w:p>
    <w:p w14:paraId="37E801B4" w14:textId="666D6E77" w:rsidR="00573B6C" w:rsidRPr="00C20926" w:rsidRDefault="00EA529D" w:rsidP="00573B6C">
      <w:pPr>
        <w:rPr>
          <w:sz w:val="28"/>
          <w:szCs w:val="28"/>
        </w:rPr>
      </w:pPr>
      <w:r w:rsidRPr="00C20926">
        <w:rPr>
          <w:b/>
          <w:bCs/>
          <w:sz w:val="28"/>
          <w:szCs w:val="28"/>
        </w:rPr>
        <w:t>Delivered</w:t>
      </w:r>
      <w:r w:rsidRPr="00C20926">
        <w:rPr>
          <w:b/>
          <w:sz w:val="28"/>
          <w:szCs w:val="28"/>
        </w:rPr>
        <w:t>:</w:t>
      </w:r>
      <w:r w:rsidRPr="00C20926">
        <w:rPr>
          <w:sz w:val="28"/>
          <w:szCs w:val="28"/>
        </w:rPr>
        <w:tab/>
      </w:r>
      <w:r w:rsidR="00573B6C" w:rsidRPr="00C20926">
        <w:rPr>
          <w:sz w:val="28"/>
          <w:szCs w:val="28"/>
          <w:lang w:val="en-GB"/>
        </w:rPr>
        <w:t xml:space="preserve">This judgment was handed down electronically by circulation to the parties’ representatives by email, publication on the Supreme Court of Appeal website, and release to SAFLII. The date for hand down is deemed to be </w:t>
      </w:r>
      <w:r w:rsidR="00F33DC9">
        <w:rPr>
          <w:sz w:val="28"/>
          <w:szCs w:val="28"/>
          <w:lang w:val="en-GB"/>
        </w:rPr>
        <w:t>12</w:t>
      </w:r>
      <w:r w:rsidR="00112E1D" w:rsidRPr="00C20926">
        <w:rPr>
          <w:sz w:val="28"/>
          <w:szCs w:val="28"/>
          <w:lang w:val="en-GB"/>
        </w:rPr>
        <w:t xml:space="preserve"> July</w:t>
      </w:r>
      <w:r w:rsidR="00573B6C" w:rsidRPr="00C20926">
        <w:rPr>
          <w:sz w:val="28"/>
          <w:szCs w:val="28"/>
          <w:lang w:val="en-GB"/>
        </w:rPr>
        <w:t xml:space="preserve"> 2024 at 11h00.</w:t>
      </w:r>
    </w:p>
    <w:p w14:paraId="6A50B21A" w14:textId="77777777" w:rsidR="00F33DC9" w:rsidRDefault="00750305" w:rsidP="00267ACE">
      <w:pPr>
        <w:rPr>
          <w:bCs/>
          <w:sz w:val="28"/>
          <w:szCs w:val="28"/>
        </w:rPr>
      </w:pPr>
      <w:r w:rsidRPr="00C20926">
        <w:rPr>
          <w:b/>
          <w:bCs/>
          <w:sz w:val="28"/>
          <w:szCs w:val="28"/>
        </w:rPr>
        <w:lastRenderedPageBreak/>
        <w:t>Summary:</w:t>
      </w:r>
      <w:r w:rsidRPr="00C20926">
        <w:rPr>
          <w:sz w:val="28"/>
          <w:szCs w:val="28"/>
        </w:rPr>
        <w:tab/>
      </w:r>
      <w:r w:rsidR="00573B6C" w:rsidRPr="00C20926">
        <w:rPr>
          <w:sz w:val="28"/>
          <w:szCs w:val="28"/>
        </w:rPr>
        <w:t xml:space="preserve">Taxation – </w:t>
      </w:r>
      <w:r w:rsidR="00112E1D" w:rsidRPr="00C20926">
        <w:rPr>
          <w:sz w:val="28"/>
          <w:szCs w:val="28"/>
        </w:rPr>
        <w:t>r</w:t>
      </w:r>
      <w:r w:rsidR="00573B6C" w:rsidRPr="00C20926">
        <w:rPr>
          <w:sz w:val="28"/>
          <w:szCs w:val="28"/>
        </w:rPr>
        <w:t xml:space="preserve">ecovery of tax debt from third party in terms of s 183 of Tax Administration Act, 28 of 2011 </w:t>
      </w:r>
      <w:r w:rsidR="0080581D" w:rsidRPr="00C20926">
        <w:rPr>
          <w:sz w:val="28"/>
          <w:szCs w:val="28"/>
        </w:rPr>
        <w:t xml:space="preserve">(the TAA) </w:t>
      </w:r>
      <w:r w:rsidR="00573B6C" w:rsidRPr="00C20926">
        <w:rPr>
          <w:sz w:val="28"/>
          <w:szCs w:val="28"/>
        </w:rPr>
        <w:t xml:space="preserve">– whether term ‘tax debt’ envisages existence of </w:t>
      </w:r>
      <w:r w:rsidR="00862600" w:rsidRPr="00C20926">
        <w:rPr>
          <w:sz w:val="28"/>
          <w:szCs w:val="28"/>
        </w:rPr>
        <w:t>assessed</w:t>
      </w:r>
      <w:r w:rsidR="00573B6C" w:rsidRPr="00C20926">
        <w:rPr>
          <w:sz w:val="28"/>
          <w:szCs w:val="28"/>
        </w:rPr>
        <w:t xml:space="preserve"> tax indebtedness at the time of dissipation of assets to obstruct the collection of tax debt – </w:t>
      </w:r>
      <w:r w:rsidR="00112E1D" w:rsidRPr="00C20926">
        <w:rPr>
          <w:sz w:val="28"/>
          <w:szCs w:val="28"/>
        </w:rPr>
        <w:t>a</w:t>
      </w:r>
      <w:r w:rsidR="00862600" w:rsidRPr="00C20926">
        <w:rPr>
          <w:sz w:val="28"/>
          <w:szCs w:val="28"/>
        </w:rPr>
        <w:t>dmissibility</w:t>
      </w:r>
      <w:r w:rsidR="00573B6C" w:rsidRPr="00C20926">
        <w:rPr>
          <w:sz w:val="28"/>
          <w:szCs w:val="28"/>
        </w:rPr>
        <w:t xml:space="preserve"> of transcript of evidence </w:t>
      </w:r>
      <w:r w:rsidR="00862600" w:rsidRPr="00C20926">
        <w:rPr>
          <w:sz w:val="28"/>
          <w:szCs w:val="28"/>
        </w:rPr>
        <w:t>at inquiry in subsequent proceedings in terms of s 56 of the TAA.</w:t>
      </w:r>
    </w:p>
    <w:p w14:paraId="74C2ECBE" w14:textId="7F4A8EAE" w:rsidR="002D0DF7" w:rsidRPr="00C20926" w:rsidRDefault="00916476" w:rsidP="00267ACE">
      <w:pPr>
        <w:rPr>
          <w:bCs/>
          <w:sz w:val="28"/>
          <w:szCs w:val="28"/>
        </w:rPr>
      </w:pPr>
      <w:r w:rsidRPr="00C20926">
        <w:rPr>
          <w:bCs/>
          <w:sz w:val="28"/>
          <w:szCs w:val="28"/>
        </w:rPr>
        <w:t xml:space="preserve"> </w:t>
      </w:r>
    </w:p>
    <w:p w14:paraId="47D18182" w14:textId="77777777" w:rsidR="00BF09AC" w:rsidRPr="00C20926" w:rsidRDefault="00BF09AC" w:rsidP="00267ACE">
      <w:pPr>
        <w:spacing w:line="240" w:lineRule="auto"/>
        <w:rPr>
          <w:sz w:val="28"/>
          <w:szCs w:val="28"/>
          <w:lang w:val="en-GB"/>
        </w:rPr>
      </w:pPr>
      <w:r w:rsidRPr="00C20926">
        <w:rPr>
          <w:noProof/>
          <w:sz w:val="28"/>
          <w:szCs w:val="28"/>
          <w:lang w:eastAsia="en-ZA"/>
        </w:rPr>
        <mc:AlternateContent>
          <mc:Choice Requires="wps">
            <w:drawing>
              <wp:anchor distT="4294967291" distB="4294967291" distL="114300" distR="114300" simplePos="0" relativeHeight="251663360" behindDoc="0" locked="0" layoutInCell="1" allowOverlap="1" wp14:anchorId="2D9318A5" wp14:editId="7F252F01">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F9720D4" id="Straight Connector 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">
                <o:lock v:ext="edit" shapetype="f"/>
              </v:line>
            </w:pict>
          </mc:Fallback>
        </mc:AlternateContent>
      </w:r>
      <w:r w:rsidRPr="00C20926">
        <w:rPr>
          <w:noProof/>
          <w:sz w:val="28"/>
          <w:szCs w:val="28"/>
          <w:lang w:eastAsia="en-ZA"/>
        </w:rPr>
        <mc:AlternateContent>
          <mc:Choice Requires="wps">
            <w:drawing>
              <wp:anchor distT="4294967291" distB="4294967291" distL="114295" distR="114295" simplePos="0" relativeHeight="251659264" behindDoc="0" locked="0" layoutInCell="1" allowOverlap="1" wp14:anchorId="50893AFD" wp14:editId="3BA8DF0A">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5E3B4A0" id="Straight Connector 5" o:spid="_x0000_s1026" style="position:absolute;z-index:25165926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4B623044" w14:textId="77777777" w:rsidR="00BF09AC" w:rsidRPr="00C20926" w:rsidRDefault="00BF09AC" w:rsidP="00BF09AC">
      <w:pPr>
        <w:jc w:val="center"/>
        <w:rPr>
          <w:b/>
          <w:iCs/>
          <w:sz w:val="28"/>
          <w:szCs w:val="28"/>
          <w:lang w:val="en-GB"/>
        </w:rPr>
      </w:pPr>
      <w:r w:rsidRPr="00C20926">
        <w:rPr>
          <w:b/>
          <w:iCs/>
          <w:sz w:val="28"/>
          <w:szCs w:val="28"/>
          <w:lang w:val="en-GB"/>
        </w:rPr>
        <w:t>ORDER</w:t>
      </w:r>
    </w:p>
    <w:p w14:paraId="10E28AF4" w14:textId="77777777" w:rsidR="00BF09AC" w:rsidRPr="00C20926" w:rsidRDefault="00BF09AC" w:rsidP="00BF09AC">
      <w:pPr>
        <w:rPr>
          <w:b/>
          <w:bCs/>
          <w:sz w:val="28"/>
          <w:szCs w:val="28"/>
          <w:lang w:val="en-GB"/>
        </w:rPr>
      </w:pPr>
      <w:r w:rsidRPr="00C20926">
        <w:rPr>
          <w:noProof/>
          <w:sz w:val="28"/>
          <w:szCs w:val="28"/>
          <w:lang w:eastAsia="en-ZA"/>
        </w:rPr>
        <mc:AlternateContent>
          <mc:Choice Requires="wps">
            <w:drawing>
              <wp:anchor distT="4294967291" distB="4294967291" distL="114300" distR="114300" simplePos="0" relativeHeight="251661312" behindDoc="0" locked="0" layoutInCell="1" allowOverlap="1" wp14:anchorId="58816862" wp14:editId="778E6B10">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22E0590"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">
                <o:lock v:ext="edit" shapetype="f"/>
              </v:line>
            </w:pict>
          </mc:Fallback>
        </mc:AlternateContent>
      </w:r>
    </w:p>
    <w:p w14:paraId="5DF97BD8" w14:textId="3B2EEC4E" w:rsidR="008643A7" w:rsidRPr="00C20926" w:rsidRDefault="00BF09AC" w:rsidP="007F4700">
      <w:pPr>
        <w:rPr>
          <w:sz w:val="28"/>
          <w:szCs w:val="28"/>
        </w:rPr>
      </w:pPr>
      <w:r w:rsidRPr="00C20926">
        <w:rPr>
          <w:b/>
          <w:sz w:val="28"/>
          <w:szCs w:val="28"/>
        </w:rPr>
        <w:t>On appeal from:</w:t>
      </w:r>
      <w:r w:rsidRPr="00C20926">
        <w:rPr>
          <w:sz w:val="28"/>
          <w:szCs w:val="28"/>
        </w:rPr>
        <w:t xml:space="preserve"> </w:t>
      </w:r>
      <w:r w:rsidR="00161F9D" w:rsidRPr="00C20926">
        <w:rPr>
          <w:sz w:val="28"/>
          <w:szCs w:val="28"/>
        </w:rPr>
        <w:t>Western Cape</w:t>
      </w:r>
      <w:r w:rsidR="00214DB5" w:rsidRPr="00C20926">
        <w:rPr>
          <w:sz w:val="28"/>
          <w:szCs w:val="28"/>
        </w:rPr>
        <w:t xml:space="preserve"> </w:t>
      </w:r>
      <w:r w:rsidR="00916476" w:rsidRPr="00C20926">
        <w:rPr>
          <w:sz w:val="28"/>
          <w:szCs w:val="28"/>
        </w:rPr>
        <w:t xml:space="preserve">Division of the High Court, </w:t>
      </w:r>
      <w:r w:rsidR="00161F9D" w:rsidRPr="00C20926">
        <w:rPr>
          <w:sz w:val="28"/>
          <w:szCs w:val="28"/>
        </w:rPr>
        <w:t xml:space="preserve">Cape Town </w:t>
      </w:r>
      <w:r w:rsidRPr="00C20926">
        <w:rPr>
          <w:sz w:val="28"/>
          <w:szCs w:val="28"/>
        </w:rPr>
        <w:t>(</w:t>
      </w:r>
      <w:r w:rsidR="00161F9D" w:rsidRPr="00C20926">
        <w:rPr>
          <w:sz w:val="28"/>
          <w:szCs w:val="28"/>
        </w:rPr>
        <w:t>Le Grange J</w:t>
      </w:r>
      <w:r w:rsidRPr="00C20926">
        <w:rPr>
          <w:sz w:val="28"/>
          <w:szCs w:val="28"/>
        </w:rPr>
        <w:t xml:space="preserve">, sitting as court of </w:t>
      </w:r>
      <w:r w:rsidR="00BD3A00" w:rsidRPr="00C20926">
        <w:rPr>
          <w:sz w:val="28"/>
          <w:szCs w:val="28"/>
        </w:rPr>
        <w:t>first instance</w:t>
      </w:r>
      <w:r w:rsidRPr="00C20926">
        <w:rPr>
          <w:sz w:val="28"/>
          <w:szCs w:val="28"/>
        </w:rPr>
        <w:t xml:space="preserve">): </w:t>
      </w:r>
    </w:p>
    <w:p w14:paraId="712FD4B8" w14:textId="4CB91343" w:rsidR="00C810D3" w:rsidRPr="00C20926" w:rsidRDefault="00573B6C" w:rsidP="00C810D3">
      <w:pPr>
        <w:pStyle w:val="NoSpacing"/>
        <w:spacing w:line="360" w:lineRule="auto"/>
        <w:rPr>
          <w:sz w:val="28"/>
          <w:szCs w:val="28"/>
        </w:rPr>
      </w:pPr>
      <w:r w:rsidRPr="00C20926">
        <w:rPr>
          <w:sz w:val="28"/>
          <w:szCs w:val="28"/>
        </w:rPr>
        <w:t>The appeal is dismissed with costs, incl</w:t>
      </w:r>
      <w:r w:rsidR="00112E1D" w:rsidRPr="00C20926">
        <w:rPr>
          <w:sz w:val="28"/>
          <w:szCs w:val="28"/>
        </w:rPr>
        <w:t>uding the costs of two counsel.</w:t>
      </w:r>
    </w:p>
    <w:p w14:paraId="530084FD" w14:textId="77777777" w:rsidR="008630D8" w:rsidRPr="00C20926" w:rsidRDefault="008630D8" w:rsidP="00A40A90">
      <w:pPr>
        <w:spacing w:line="240" w:lineRule="auto"/>
        <w:rPr>
          <w:sz w:val="28"/>
          <w:szCs w:val="28"/>
          <w:lang w:val="en-GB"/>
        </w:rPr>
      </w:pPr>
    </w:p>
    <w:p w14:paraId="55FAB859" w14:textId="77777777" w:rsidR="00BF09AC" w:rsidRPr="00C20926" w:rsidRDefault="00BF09AC" w:rsidP="00267ACE">
      <w:pPr>
        <w:spacing w:line="240" w:lineRule="auto"/>
        <w:rPr>
          <w:sz w:val="28"/>
          <w:szCs w:val="28"/>
          <w:lang w:val="en-GB"/>
        </w:rPr>
      </w:pPr>
      <w:r w:rsidRPr="00C20926">
        <w:rPr>
          <w:noProof/>
          <w:sz w:val="28"/>
          <w:szCs w:val="28"/>
          <w:lang w:eastAsia="en-ZA"/>
        </w:rPr>
        <mc:AlternateContent>
          <mc:Choice Requires="wps">
            <w:drawing>
              <wp:anchor distT="4294967291" distB="4294967291" distL="114300" distR="114300" simplePos="0" relativeHeight="251657216" behindDoc="0" locked="0" layoutInCell="1" allowOverlap="1" wp14:anchorId="2DAE417F" wp14:editId="11136235">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BD3CA4B"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">
                <o:lock v:ext="edit" shapetype="f"/>
              </v:line>
            </w:pict>
          </mc:Fallback>
        </mc:AlternateContent>
      </w:r>
      <w:r w:rsidRPr="00C20926">
        <w:rPr>
          <w:noProof/>
          <w:sz w:val="28"/>
          <w:szCs w:val="28"/>
          <w:lang w:eastAsia="en-ZA"/>
        </w:rPr>
        <mc:AlternateContent>
          <mc:Choice Requires="wps">
            <w:drawing>
              <wp:anchor distT="4294967291" distB="4294967291" distL="114295" distR="114295" simplePos="0" relativeHeight="251655168" behindDoc="0" locked="0" layoutInCell="1" allowOverlap="1" wp14:anchorId="2FAB4028" wp14:editId="57C8FB26">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97EBFC6" id="Straight Connector 2" o:spid="_x0000_s1026" style="position:absolute;z-index:25165516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0E7F1164" w14:textId="77777777" w:rsidR="00EE38C8" w:rsidRPr="00C20926" w:rsidRDefault="00BF09AC" w:rsidP="00267ACE">
      <w:pPr>
        <w:spacing w:line="240" w:lineRule="auto"/>
        <w:jc w:val="center"/>
        <w:rPr>
          <w:b/>
          <w:iCs/>
          <w:sz w:val="28"/>
          <w:szCs w:val="28"/>
          <w:lang w:val="en-GB"/>
        </w:rPr>
      </w:pPr>
      <w:r w:rsidRPr="00C20926">
        <w:rPr>
          <w:b/>
          <w:iCs/>
          <w:sz w:val="28"/>
          <w:szCs w:val="28"/>
          <w:lang w:val="en-GB"/>
        </w:rPr>
        <w:t>JUDGMENT</w:t>
      </w:r>
    </w:p>
    <w:p w14:paraId="3BCAE1C0" w14:textId="77777777" w:rsidR="00916476" w:rsidRPr="00C20926" w:rsidRDefault="00916476" w:rsidP="00267ACE">
      <w:pPr>
        <w:pBdr>
          <w:bottom w:val="single" w:sz="4" w:space="1" w:color="auto"/>
        </w:pBdr>
        <w:spacing w:line="240" w:lineRule="auto"/>
        <w:jc w:val="center"/>
        <w:rPr>
          <w:b/>
          <w:iCs/>
          <w:sz w:val="28"/>
          <w:szCs w:val="28"/>
          <w:lang w:val="en-GB"/>
        </w:rPr>
      </w:pPr>
    </w:p>
    <w:p w14:paraId="06AD199D" w14:textId="77777777" w:rsidR="003D13B4" w:rsidRPr="00C20926" w:rsidRDefault="003D13B4" w:rsidP="007F4700">
      <w:pPr>
        <w:rPr>
          <w:b/>
          <w:sz w:val="28"/>
          <w:szCs w:val="28"/>
          <w:lang w:val="en-GB"/>
        </w:rPr>
      </w:pPr>
    </w:p>
    <w:p w14:paraId="3EF94D66" w14:textId="36032FB3" w:rsidR="0031085B" w:rsidRPr="00C20926" w:rsidRDefault="00703BB1" w:rsidP="0031085B">
      <w:pPr>
        <w:rPr>
          <w:b/>
          <w:sz w:val="28"/>
          <w:szCs w:val="28"/>
          <w:lang w:val="en-GB"/>
        </w:rPr>
      </w:pPr>
      <w:r w:rsidRPr="00C20926">
        <w:rPr>
          <w:b/>
          <w:sz w:val="28"/>
          <w:szCs w:val="28"/>
          <w:lang w:val="en-GB"/>
        </w:rPr>
        <w:t>Goosen</w:t>
      </w:r>
      <w:r w:rsidR="00F249AB" w:rsidRPr="00C20926">
        <w:rPr>
          <w:b/>
          <w:sz w:val="28"/>
          <w:szCs w:val="28"/>
          <w:lang w:val="en-GB"/>
        </w:rPr>
        <w:t xml:space="preserve"> </w:t>
      </w:r>
      <w:r w:rsidR="005C0F90" w:rsidRPr="00C20926">
        <w:rPr>
          <w:b/>
          <w:sz w:val="28"/>
          <w:szCs w:val="28"/>
          <w:lang w:val="en-GB"/>
        </w:rPr>
        <w:t>JA</w:t>
      </w:r>
      <w:r w:rsidR="00F249AB" w:rsidRPr="00C20926">
        <w:rPr>
          <w:b/>
          <w:sz w:val="28"/>
          <w:szCs w:val="28"/>
          <w:lang w:val="en-GB"/>
        </w:rPr>
        <w:t xml:space="preserve"> and</w:t>
      </w:r>
      <w:r w:rsidR="00C22488" w:rsidRPr="00C20926">
        <w:rPr>
          <w:b/>
          <w:sz w:val="28"/>
          <w:szCs w:val="28"/>
          <w:lang w:val="en-GB"/>
        </w:rPr>
        <w:t xml:space="preserve"> </w:t>
      </w:r>
      <w:r w:rsidR="003E2209" w:rsidRPr="00C20926">
        <w:rPr>
          <w:b/>
          <w:sz w:val="28"/>
          <w:szCs w:val="28"/>
          <w:lang w:val="en-GB"/>
        </w:rPr>
        <w:t>Tolmay AJA</w:t>
      </w:r>
      <w:r w:rsidR="0031085B" w:rsidRPr="00C20926">
        <w:rPr>
          <w:b/>
          <w:sz w:val="28"/>
          <w:szCs w:val="28"/>
          <w:lang w:val="en-GB"/>
        </w:rPr>
        <w:t xml:space="preserve"> (</w:t>
      </w:r>
      <w:r w:rsidR="00B14EB6">
        <w:rPr>
          <w:b/>
          <w:sz w:val="28"/>
          <w:lang w:val="en-GB"/>
        </w:rPr>
        <w:t>Mocumie ADP, Mothle JA and Seegobin AJA</w:t>
      </w:r>
      <w:r w:rsidR="00013D06" w:rsidRPr="00C20926">
        <w:rPr>
          <w:b/>
          <w:sz w:val="28"/>
          <w:szCs w:val="28"/>
          <w:lang w:val="en-GB"/>
        </w:rPr>
        <w:t xml:space="preserve"> </w:t>
      </w:r>
      <w:r w:rsidR="0031085B" w:rsidRPr="00C20926">
        <w:rPr>
          <w:b/>
          <w:sz w:val="28"/>
          <w:szCs w:val="28"/>
          <w:lang w:val="en-GB"/>
        </w:rPr>
        <w:t>concurring):</w:t>
      </w:r>
    </w:p>
    <w:p w14:paraId="63E504E2" w14:textId="70D6C71A" w:rsidR="00C66FB9" w:rsidRPr="00C20926" w:rsidRDefault="00CF4C5A" w:rsidP="00CF4C5A">
      <w:pPr>
        <w:rPr>
          <w:b/>
          <w:sz w:val="28"/>
          <w:szCs w:val="28"/>
          <w:lang w:val="en-GB"/>
        </w:rPr>
      </w:pPr>
      <w:r w:rsidRPr="00C20926">
        <w:rPr>
          <w:b/>
          <w:sz w:val="28"/>
          <w:szCs w:val="28"/>
          <w:lang w:val="en-GB"/>
        </w:rPr>
        <w:t>Introduction</w:t>
      </w:r>
    </w:p>
    <w:p w14:paraId="5D368DC2" w14:textId="7324C03D" w:rsidR="00703BB1" w:rsidRDefault="00CF4C5A" w:rsidP="00CF4C5A">
      <w:pPr>
        <w:rPr>
          <w:sz w:val="28"/>
          <w:szCs w:val="28"/>
          <w:lang w:val="en-GB"/>
        </w:rPr>
      </w:pPr>
      <w:r w:rsidRPr="00C20926">
        <w:rPr>
          <w:sz w:val="28"/>
          <w:szCs w:val="28"/>
          <w:lang w:val="en-GB"/>
        </w:rPr>
        <w:t>[1]</w:t>
      </w:r>
      <w:r w:rsidRPr="00C20926">
        <w:rPr>
          <w:sz w:val="28"/>
          <w:szCs w:val="28"/>
          <w:lang w:val="en-GB"/>
        </w:rPr>
        <w:tab/>
      </w:r>
      <w:r w:rsidR="00862600" w:rsidRPr="00C20926">
        <w:rPr>
          <w:sz w:val="28"/>
          <w:szCs w:val="28"/>
          <w:lang w:val="en-GB"/>
        </w:rPr>
        <w:t>The</w:t>
      </w:r>
      <w:r w:rsidR="00135AD9" w:rsidRPr="00C20926">
        <w:rPr>
          <w:sz w:val="28"/>
          <w:szCs w:val="28"/>
          <w:lang w:val="en-GB"/>
        </w:rPr>
        <w:t xml:space="preserve"> Commissioner for the South African Revenue Services</w:t>
      </w:r>
      <w:r w:rsidR="00AA3FE2" w:rsidRPr="00C20926">
        <w:rPr>
          <w:sz w:val="28"/>
          <w:szCs w:val="28"/>
          <w:lang w:val="en-GB"/>
        </w:rPr>
        <w:t xml:space="preserve"> </w:t>
      </w:r>
      <w:r w:rsidR="00334D49" w:rsidRPr="00C20926">
        <w:rPr>
          <w:sz w:val="28"/>
          <w:szCs w:val="28"/>
          <w:lang w:val="en-GB"/>
        </w:rPr>
        <w:t>(SARS) instituted</w:t>
      </w:r>
      <w:r w:rsidR="00845A3B" w:rsidRPr="00C20926">
        <w:rPr>
          <w:sz w:val="28"/>
          <w:szCs w:val="28"/>
          <w:lang w:val="en-GB"/>
        </w:rPr>
        <w:t xml:space="preserve"> action against the </w:t>
      </w:r>
      <w:r w:rsidR="00191B29" w:rsidRPr="00C20926">
        <w:rPr>
          <w:sz w:val="28"/>
          <w:szCs w:val="28"/>
          <w:lang w:val="en-GB"/>
        </w:rPr>
        <w:t>appellants</w:t>
      </w:r>
      <w:r w:rsidR="0036542C" w:rsidRPr="00C20926">
        <w:rPr>
          <w:sz w:val="28"/>
          <w:szCs w:val="28"/>
          <w:lang w:val="en-GB"/>
        </w:rPr>
        <w:t xml:space="preserve"> </w:t>
      </w:r>
      <w:r w:rsidR="00862600" w:rsidRPr="00C20926">
        <w:rPr>
          <w:sz w:val="28"/>
          <w:szCs w:val="28"/>
          <w:lang w:val="en-GB"/>
        </w:rPr>
        <w:t xml:space="preserve">, in terms of s 183 of the Tax Administration Act 28 of 2011 (the TAA) </w:t>
      </w:r>
      <w:r w:rsidR="0036542C" w:rsidRPr="00C20926">
        <w:rPr>
          <w:sz w:val="28"/>
          <w:szCs w:val="28"/>
          <w:lang w:val="en-GB"/>
        </w:rPr>
        <w:t>for payment of R21</w:t>
      </w:r>
      <w:r w:rsidR="00063E29" w:rsidRPr="00C20926">
        <w:rPr>
          <w:sz w:val="28"/>
          <w:szCs w:val="28"/>
          <w:lang w:val="en-GB"/>
        </w:rPr>
        <w:t>6.6 million</w:t>
      </w:r>
      <w:r w:rsidR="00862600" w:rsidRPr="00C20926">
        <w:rPr>
          <w:sz w:val="28"/>
          <w:szCs w:val="28"/>
          <w:lang w:val="en-GB"/>
        </w:rPr>
        <w:t xml:space="preserve">. </w:t>
      </w:r>
      <w:r w:rsidR="00FE1840" w:rsidRPr="00C20926">
        <w:rPr>
          <w:sz w:val="28"/>
          <w:szCs w:val="28"/>
          <w:lang w:val="en-GB"/>
        </w:rPr>
        <w:t xml:space="preserve">SARS </w:t>
      </w:r>
      <w:r w:rsidR="00DF32C5" w:rsidRPr="00C20926">
        <w:rPr>
          <w:sz w:val="28"/>
          <w:szCs w:val="28"/>
          <w:lang w:val="en-GB"/>
        </w:rPr>
        <w:t>claimed</w:t>
      </w:r>
      <w:r w:rsidR="00F14518" w:rsidRPr="00C20926">
        <w:rPr>
          <w:sz w:val="28"/>
          <w:szCs w:val="28"/>
          <w:lang w:val="en-GB"/>
        </w:rPr>
        <w:t xml:space="preserve"> that the appellants</w:t>
      </w:r>
      <w:r w:rsidR="00BB4BBE" w:rsidRPr="00C20926">
        <w:rPr>
          <w:sz w:val="28"/>
          <w:szCs w:val="28"/>
          <w:lang w:val="en-GB"/>
        </w:rPr>
        <w:t xml:space="preserve"> </w:t>
      </w:r>
      <w:r w:rsidR="009A0C50" w:rsidRPr="00C20926">
        <w:rPr>
          <w:sz w:val="28"/>
          <w:szCs w:val="28"/>
          <w:lang w:val="en-GB"/>
        </w:rPr>
        <w:t>caused, or</w:t>
      </w:r>
      <w:r w:rsidR="00BB4BBE" w:rsidRPr="00C20926">
        <w:rPr>
          <w:sz w:val="28"/>
          <w:szCs w:val="28"/>
          <w:lang w:val="en-GB"/>
        </w:rPr>
        <w:t xml:space="preserve"> assisted in</w:t>
      </w:r>
      <w:r w:rsidR="00601EE4" w:rsidRPr="00C20926">
        <w:rPr>
          <w:sz w:val="28"/>
          <w:szCs w:val="28"/>
          <w:lang w:val="en-GB"/>
        </w:rPr>
        <w:t xml:space="preserve"> causing,</w:t>
      </w:r>
      <w:r w:rsidR="009A0C50" w:rsidRPr="00C20926">
        <w:rPr>
          <w:sz w:val="28"/>
          <w:szCs w:val="28"/>
          <w:lang w:val="en-GB"/>
        </w:rPr>
        <w:t xml:space="preserve"> </w:t>
      </w:r>
      <w:r w:rsidR="002458B4" w:rsidRPr="00C20926">
        <w:rPr>
          <w:sz w:val="28"/>
          <w:szCs w:val="28"/>
          <w:lang w:val="en-GB"/>
        </w:rPr>
        <w:t>Energy</w:t>
      </w:r>
      <w:r w:rsidR="00601EE4" w:rsidRPr="00C20926">
        <w:rPr>
          <w:sz w:val="28"/>
          <w:szCs w:val="28"/>
          <w:lang w:val="en-GB"/>
        </w:rPr>
        <w:t xml:space="preserve"> Africa</w:t>
      </w:r>
      <w:r w:rsidR="002458B4" w:rsidRPr="00C20926">
        <w:rPr>
          <w:sz w:val="28"/>
          <w:szCs w:val="28"/>
          <w:lang w:val="en-GB"/>
        </w:rPr>
        <w:t xml:space="preserve"> </w:t>
      </w:r>
      <w:r w:rsidR="009D06B1" w:rsidRPr="00C20926">
        <w:rPr>
          <w:sz w:val="28"/>
          <w:szCs w:val="28"/>
          <w:lang w:val="en-GB"/>
        </w:rPr>
        <w:t>Propriety</w:t>
      </w:r>
      <w:r w:rsidR="00CA205D" w:rsidRPr="00C20926">
        <w:rPr>
          <w:sz w:val="28"/>
          <w:szCs w:val="28"/>
          <w:lang w:val="en-GB"/>
        </w:rPr>
        <w:t xml:space="preserve"> Limited</w:t>
      </w:r>
      <w:r w:rsidR="00FC4789" w:rsidRPr="00C20926">
        <w:rPr>
          <w:sz w:val="28"/>
          <w:szCs w:val="28"/>
          <w:lang w:val="en-GB"/>
        </w:rPr>
        <w:t>,</w:t>
      </w:r>
      <w:r w:rsidR="00CA205D" w:rsidRPr="00C20926">
        <w:rPr>
          <w:sz w:val="28"/>
          <w:szCs w:val="28"/>
          <w:lang w:val="en-GB"/>
        </w:rPr>
        <w:t xml:space="preserve"> (</w:t>
      </w:r>
      <w:r w:rsidR="00862600" w:rsidRPr="00C20926">
        <w:rPr>
          <w:sz w:val="28"/>
          <w:szCs w:val="28"/>
          <w:lang w:val="en-GB"/>
        </w:rPr>
        <w:t xml:space="preserve">Energy Africa or </w:t>
      </w:r>
      <w:r w:rsidR="00CA205D" w:rsidRPr="00C20926">
        <w:rPr>
          <w:sz w:val="28"/>
          <w:szCs w:val="28"/>
          <w:lang w:val="en-GB"/>
        </w:rPr>
        <w:t>the taxpayer)</w:t>
      </w:r>
      <w:r w:rsidR="00D07DDD" w:rsidRPr="00C20926">
        <w:rPr>
          <w:sz w:val="28"/>
          <w:szCs w:val="28"/>
          <w:lang w:val="en-GB"/>
        </w:rPr>
        <w:t xml:space="preserve"> to dissipate </w:t>
      </w:r>
      <w:r w:rsidR="00862600" w:rsidRPr="00C20926">
        <w:rPr>
          <w:sz w:val="28"/>
          <w:szCs w:val="28"/>
          <w:lang w:val="en-GB"/>
        </w:rPr>
        <w:t xml:space="preserve">its assets in order to obstruct the collection of a tax debt owed by it to SARS. </w:t>
      </w:r>
      <w:r w:rsidR="00B12A26" w:rsidRPr="00C20926">
        <w:rPr>
          <w:sz w:val="28"/>
          <w:szCs w:val="28"/>
          <w:lang w:val="en-GB"/>
        </w:rPr>
        <w:t xml:space="preserve">The dissipation was alleged to have occurred by transferring a loan account claim Energy Africa held in </w:t>
      </w:r>
      <w:r w:rsidR="006C6D88" w:rsidRPr="00C20926">
        <w:rPr>
          <w:sz w:val="28"/>
          <w:szCs w:val="28"/>
          <w:lang w:val="en-GB"/>
        </w:rPr>
        <w:t>Titan Share Dealers Pro</w:t>
      </w:r>
      <w:r w:rsidR="00EF2613" w:rsidRPr="00C20926">
        <w:rPr>
          <w:sz w:val="28"/>
          <w:szCs w:val="28"/>
          <w:lang w:val="en-GB"/>
        </w:rPr>
        <w:t>prietary Limited (TSD)</w:t>
      </w:r>
      <w:r w:rsidR="00112E1D" w:rsidRPr="00C20926">
        <w:rPr>
          <w:sz w:val="28"/>
          <w:szCs w:val="28"/>
          <w:lang w:val="en-GB"/>
        </w:rPr>
        <w:t xml:space="preserve"> </w:t>
      </w:r>
      <w:r w:rsidR="00F469C5" w:rsidRPr="00C20926">
        <w:rPr>
          <w:sz w:val="28"/>
          <w:szCs w:val="28"/>
          <w:lang w:val="en-GB"/>
        </w:rPr>
        <w:t xml:space="preserve">as a dividend </w:t>
      </w:r>
      <w:r w:rsidR="00F469C5" w:rsidRPr="00C20926">
        <w:rPr>
          <w:i/>
          <w:iCs/>
          <w:sz w:val="28"/>
          <w:szCs w:val="28"/>
          <w:lang w:val="en-GB"/>
        </w:rPr>
        <w:t>in specie</w:t>
      </w:r>
      <w:r w:rsidR="00F469C5" w:rsidRPr="00C20926">
        <w:rPr>
          <w:sz w:val="28"/>
          <w:szCs w:val="28"/>
          <w:lang w:val="en-GB"/>
        </w:rPr>
        <w:t xml:space="preserve"> to </w:t>
      </w:r>
      <w:r w:rsidR="00394DD9" w:rsidRPr="00C20926">
        <w:rPr>
          <w:sz w:val="28"/>
          <w:szCs w:val="28"/>
          <w:lang w:val="en-GB"/>
        </w:rPr>
        <w:t>Elandspad Investments Proprietary</w:t>
      </w:r>
      <w:r w:rsidRPr="00C20926">
        <w:rPr>
          <w:sz w:val="28"/>
          <w:szCs w:val="28"/>
          <w:lang w:val="en-GB"/>
        </w:rPr>
        <w:t xml:space="preserve"> </w:t>
      </w:r>
      <w:r w:rsidR="00112E1D" w:rsidRPr="00C20926">
        <w:rPr>
          <w:sz w:val="28"/>
          <w:szCs w:val="28"/>
          <w:lang w:val="en-GB"/>
        </w:rPr>
        <w:t xml:space="preserve">Limited </w:t>
      </w:r>
      <w:r w:rsidR="00C94E13" w:rsidRPr="00C20926">
        <w:rPr>
          <w:sz w:val="28"/>
          <w:szCs w:val="28"/>
          <w:lang w:val="en-GB"/>
        </w:rPr>
        <w:t>(Elandspad)</w:t>
      </w:r>
      <w:r w:rsidR="00B12A26" w:rsidRPr="00C20926">
        <w:rPr>
          <w:sz w:val="28"/>
          <w:szCs w:val="28"/>
          <w:lang w:val="en-GB"/>
        </w:rPr>
        <w:t>,</w:t>
      </w:r>
      <w:r w:rsidR="006108EC" w:rsidRPr="00C20926">
        <w:rPr>
          <w:sz w:val="28"/>
          <w:szCs w:val="28"/>
          <w:lang w:val="en-GB"/>
        </w:rPr>
        <w:t xml:space="preserve"> its holding company.</w:t>
      </w:r>
      <w:r w:rsidRPr="00C20926">
        <w:rPr>
          <w:sz w:val="28"/>
          <w:szCs w:val="28"/>
          <w:lang w:val="en-GB"/>
        </w:rPr>
        <w:t xml:space="preserve"> </w:t>
      </w:r>
    </w:p>
    <w:p w14:paraId="2A0FB1CF" w14:textId="2F083F93" w:rsidR="00853936" w:rsidRPr="00C20926" w:rsidRDefault="00CF4C5A" w:rsidP="00CF4C5A">
      <w:pPr>
        <w:rPr>
          <w:sz w:val="28"/>
          <w:szCs w:val="28"/>
          <w:lang w:val="en-GB"/>
        </w:rPr>
      </w:pPr>
      <w:r w:rsidRPr="00C20926">
        <w:rPr>
          <w:sz w:val="28"/>
          <w:szCs w:val="28"/>
          <w:lang w:val="en-GB"/>
        </w:rPr>
        <w:lastRenderedPageBreak/>
        <w:t>[2]</w:t>
      </w:r>
      <w:r w:rsidRPr="00C20926">
        <w:rPr>
          <w:sz w:val="28"/>
          <w:szCs w:val="28"/>
          <w:lang w:val="en-GB"/>
        </w:rPr>
        <w:tab/>
      </w:r>
      <w:r w:rsidR="00C37A08" w:rsidRPr="00C20926">
        <w:rPr>
          <w:sz w:val="28"/>
          <w:szCs w:val="28"/>
          <w:lang w:val="en-GB"/>
        </w:rPr>
        <w:t xml:space="preserve">The </w:t>
      </w:r>
      <w:r w:rsidR="00B12A26" w:rsidRPr="00C20926">
        <w:rPr>
          <w:sz w:val="28"/>
          <w:szCs w:val="28"/>
          <w:lang w:val="en-GB"/>
        </w:rPr>
        <w:t xml:space="preserve">trial proceeded in the Western Cape High Court, Cape Town (the high court) upon an agreed separation of issues. The high court was required to decide: </w:t>
      </w:r>
    </w:p>
    <w:p w14:paraId="6031964A" w14:textId="63EFC843" w:rsidR="00711565" w:rsidRPr="00C20926" w:rsidRDefault="00B12A26" w:rsidP="00CF4C5A">
      <w:pPr>
        <w:rPr>
          <w:sz w:val="28"/>
          <w:szCs w:val="28"/>
          <w:lang w:val="en-GB"/>
        </w:rPr>
      </w:pPr>
      <w:r w:rsidRPr="00C20926">
        <w:rPr>
          <w:sz w:val="28"/>
          <w:szCs w:val="28"/>
          <w:lang w:val="en-GB"/>
        </w:rPr>
        <w:t>(</w:t>
      </w:r>
      <w:r w:rsidR="006456DD" w:rsidRPr="00C20926">
        <w:rPr>
          <w:sz w:val="28"/>
          <w:szCs w:val="28"/>
          <w:lang w:val="en-GB"/>
        </w:rPr>
        <w:t xml:space="preserve">a)  </w:t>
      </w:r>
      <w:r w:rsidR="004E3CC9" w:rsidRPr="00C20926">
        <w:rPr>
          <w:sz w:val="28"/>
          <w:szCs w:val="28"/>
          <w:lang w:val="en-GB"/>
        </w:rPr>
        <w:t xml:space="preserve">Whether the </w:t>
      </w:r>
      <w:r w:rsidR="007B0E62" w:rsidRPr="00C20926">
        <w:rPr>
          <w:sz w:val="28"/>
          <w:szCs w:val="28"/>
          <w:lang w:val="en-GB"/>
        </w:rPr>
        <w:t xml:space="preserve">transcript of </w:t>
      </w:r>
      <w:r w:rsidR="004E3CC9" w:rsidRPr="00C20926">
        <w:rPr>
          <w:sz w:val="28"/>
          <w:szCs w:val="28"/>
          <w:lang w:val="en-GB"/>
        </w:rPr>
        <w:t>evidence</w:t>
      </w:r>
      <w:r w:rsidR="0073579E" w:rsidRPr="00C20926">
        <w:rPr>
          <w:sz w:val="28"/>
          <w:szCs w:val="28"/>
          <w:lang w:val="en-GB"/>
        </w:rPr>
        <w:t xml:space="preserve"> </w:t>
      </w:r>
      <w:r w:rsidR="007B0E62" w:rsidRPr="00C20926">
        <w:rPr>
          <w:sz w:val="28"/>
          <w:szCs w:val="28"/>
          <w:lang w:val="en-GB"/>
        </w:rPr>
        <w:t xml:space="preserve">presented </w:t>
      </w:r>
      <w:r w:rsidR="0073579E" w:rsidRPr="00C20926">
        <w:rPr>
          <w:sz w:val="28"/>
          <w:szCs w:val="28"/>
          <w:lang w:val="en-GB"/>
        </w:rPr>
        <w:t>by the appellants at an inquiry</w:t>
      </w:r>
      <w:r w:rsidR="003503F0" w:rsidRPr="00C20926">
        <w:rPr>
          <w:sz w:val="28"/>
          <w:szCs w:val="28"/>
          <w:lang w:val="en-GB"/>
        </w:rPr>
        <w:t xml:space="preserve"> held </w:t>
      </w:r>
      <w:r w:rsidR="007B0E62" w:rsidRPr="00C20926">
        <w:rPr>
          <w:sz w:val="28"/>
          <w:szCs w:val="28"/>
          <w:lang w:val="en-GB"/>
        </w:rPr>
        <w:t xml:space="preserve">in terms of s 50 of the TAA </w:t>
      </w:r>
      <w:r w:rsidR="003503F0" w:rsidRPr="00C20926">
        <w:rPr>
          <w:sz w:val="28"/>
          <w:szCs w:val="28"/>
          <w:lang w:val="en-GB"/>
        </w:rPr>
        <w:t>during 2015 and 2016</w:t>
      </w:r>
      <w:r w:rsidR="007B0E62" w:rsidRPr="00C20926">
        <w:rPr>
          <w:sz w:val="28"/>
          <w:szCs w:val="28"/>
          <w:lang w:val="en-GB"/>
        </w:rPr>
        <w:t>,</w:t>
      </w:r>
      <w:r w:rsidR="007A37DE" w:rsidRPr="00C20926">
        <w:rPr>
          <w:sz w:val="28"/>
          <w:szCs w:val="28"/>
          <w:lang w:val="en-GB"/>
        </w:rPr>
        <w:t xml:space="preserve"> </w:t>
      </w:r>
      <w:r w:rsidR="00CC22C9" w:rsidRPr="00C20926">
        <w:rPr>
          <w:sz w:val="28"/>
          <w:szCs w:val="28"/>
          <w:lang w:val="en-GB"/>
        </w:rPr>
        <w:t xml:space="preserve">is admissible in </w:t>
      </w:r>
      <w:r w:rsidR="007B0E62" w:rsidRPr="00C20926">
        <w:rPr>
          <w:sz w:val="28"/>
          <w:szCs w:val="28"/>
          <w:lang w:val="en-GB"/>
        </w:rPr>
        <w:t xml:space="preserve">the trial </w:t>
      </w:r>
      <w:r w:rsidR="001A45E5" w:rsidRPr="00C20926">
        <w:rPr>
          <w:sz w:val="28"/>
          <w:szCs w:val="28"/>
          <w:lang w:val="en-GB"/>
        </w:rPr>
        <w:t>proceedings and</w:t>
      </w:r>
      <w:r w:rsidR="007B0E62" w:rsidRPr="00C20926">
        <w:rPr>
          <w:sz w:val="28"/>
          <w:szCs w:val="28"/>
          <w:lang w:val="en-GB"/>
        </w:rPr>
        <w:t>,</w:t>
      </w:r>
      <w:r w:rsidR="001A45E5" w:rsidRPr="00C20926">
        <w:rPr>
          <w:sz w:val="28"/>
          <w:szCs w:val="28"/>
          <w:lang w:val="en-GB"/>
        </w:rPr>
        <w:t xml:space="preserve"> if </w:t>
      </w:r>
      <w:r w:rsidR="007B0E62" w:rsidRPr="00C20926">
        <w:rPr>
          <w:sz w:val="28"/>
          <w:szCs w:val="28"/>
          <w:lang w:val="en-GB"/>
        </w:rPr>
        <w:t>so</w:t>
      </w:r>
      <w:r w:rsidR="002B5CAD" w:rsidRPr="00C20926">
        <w:rPr>
          <w:sz w:val="28"/>
          <w:szCs w:val="28"/>
          <w:lang w:val="en-GB"/>
        </w:rPr>
        <w:t>, for</w:t>
      </w:r>
      <w:r w:rsidR="00A57DDB" w:rsidRPr="00C20926">
        <w:rPr>
          <w:sz w:val="28"/>
          <w:szCs w:val="28"/>
          <w:lang w:val="en-GB"/>
        </w:rPr>
        <w:t xml:space="preserve"> what purpose</w:t>
      </w:r>
      <w:r w:rsidR="00993E8C" w:rsidRPr="00C20926">
        <w:rPr>
          <w:sz w:val="28"/>
          <w:szCs w:val="28"/>
          <w:lang w:val="en-GB"/>
        </w:rPr>
        <w:t>.</w:t>
      </w:r>
    </w:p>
    <w:p w14:paraId="26E65E05" w14:textId="00E2A5F5" w:rsidR="000507D1" w:rsidRPr="00C20926" w:rsidRDefault="00D41F2F" w:rsidP="00CF4C5A">
      <w:pPr>
        <w:rPr>
          <w:sz w:val="28"/>
          <w:szCs w:val="28"/>
          <w:lang w:val="en-GB"/>
        </w:rPr>
      </w:pPr>
      <w:r w:rsidRPr="00C20926">
        <w:rPr>
          <w:sz w:val="28"/>
          <w:szCs w:val="28"/>
          <w:lang w:val="en-GB"/>
        </w:rPr>
        <w:t>(</w:t>
      </w:r>
      <w:r w:rsidR="006456DD" w:rsidRPr="00C20926">
        <w:rPr>
          <w:sz w:val="28"/>
          <w:szCs w:val="28"/>
          <w:lang w:val="en-GB"/>
        </w:rPr>
        <w:t xml:space="preserve">b)  </w:t>
      </w:r>
      <w:r w:rsidR="000507D1" w:rsidRPr="00C20926">
        <w:rPr>
          <w:sz w:val="28"/>
          <w:szCs w:val="28"/>
          <w:lang w:val="en-GB"/>
        </w:rPr>
        <w:t xml:space="preserve">Whether the </w:t>
      </w:r>
      <w:r w:rsidR="007B0E62" w:rsidRPr="00C20926">
        <w:rPr>
          <w:sz w:val="28"/>
          <w:szCs w:val="28"/>
          <w:lang w:val="en-GB"/>
        </w:rPr>
        <w:t xml:space="preserve">assessments raised by SARS against Energy Africa for </w:t>
      </w:r>
      <w:r w:rsidR="000507D1" w:rsidRPr="00C20926">
        <w:rPr>
          <w:sz w:val="28"/>
          <w:szCs w:val="28"/>
          <w:lang w:val="en-GB"/>
        </w:rPr>
        <w:t xml:space="preserve">secondary tax on </w:t>
      </w:r>
      <w:r w:rsidR="00F90915" w:rsidRPr="00C20926">
        <w:rPr>
          <w:sz w:val="28"/>
          <w:szCs w:val="28"/>
          <w:lang w:val="en-GB"/>
        </w:rPr>
        <w:t xml:space="preserve">companies </w:t>
      </w:r>
      <w:r w:rsidR="008276FF" w:rsidRPr="00C20926">
        <w:rPr>
          <w:sz w:val="28"/>
          <w:szCs w:val="28"/>
          <w:lang w:val="en-GB"/>
        </w:rPr>
        <w:t>(</w:t>
      </w:r>
      <w:r w:rsidR="007B0E62" w:rsidRPr="00C20926">
        <w:rPr>
          <w:sz w:val="28"/>
          <w:szCs w:val="28"/>
          <w:lang w:val="en-GB"/>
        </w:rPr>
        <w:t>STC</w:t>
      </w:r>
      <w:r w:rsidR="008276FF" w:rsidRPr="00C20926">
        <w:rPr>
          <w:sz w:val="28"/>
          <w:szCs w:val="28"/>
          <w:lang w:val="en-GB"/>
        </w:rPr>
        <w:t xml:space="preserve">) and capital gains </w:t>
      </w:r>
      <w:r w:rsidR="00A51F23" w:rsidRPr="00C20926">
        <w:rPr>
          <w:sz w:val="28"/>
          <w:szCs w:val="28"/>
          <w:lang w:val="en-GB"/>
        </w:rPr>
        <w:t>tax (</w:t>
      </w:r>
      <w:r w:rsidR="000B14B6" w:rsidRPr="00C20926">
        <w:rPr>
          <w:sz w:val="28"/>
          <w:szCs w:val="28"/>
          <w:lang w:val="en-GB"/>
        </w:rPr>
        <w:t xml:space="preserve">CGT) </w:t>
      </w:r>
      <w:r w:rsidR="007B0E62" w:rsidRPr="00C20926">
        <w:rPr>
          <w:sz w:val="28"/>
          <w:szCs w:val="28"/>
          <w:lang w:val="en-GB"/>
        </w:rPr>
        <w:t>constitute</w:t>
      </w:r>
      <w:r w:rsidR="00CF4C5A" w:rsidRPr="00C20926">
        <w:rPr>
          <w:sz w:val="28"/>
          <w:szCs w:val="28"/>
          <w:lang w:val="en-GB"/>
        </w:rPr>
        <w:t xml:space="preserve"> ‘</w:t>
      </w:r>
      <w:r w:rsidR="000B14B6" w:rsidRPr="00C20926">
        <w:rPr>
          <w:sz w:val="28"/>
          <w:szCs w:val="28"/>
          <w:lang w:val="en-GB"/>
        </w:rPr>
        <w:t>tax de</w:t>
      </w:r>
      <w:r w:rsidR="007F0BDF" w:rsidRPr="00C20926">
        <w:rPr>
          <w:sz w:val="28"/>
          <w:szCs w:val="28"/>
          <w:lang w:val="en-GB"/>
        </w:rPr>
        <w:t>bt</w:t>
      </w:r>
      <w:r w:rsidR="007B0E62" w:rsidRPr="00C20926">
        <w:rPr>
          <w:sz w:val="28"/>
          <w:szCs w:val="28"/>
          <w:lang w:val="en-GB"/>
        </w:rPr>
        <w:t>s</w:t>
      </w:r>
      <w:r w:rsidR="00CF4C5A" w:rsidRPr="00C20926">
        <w:rPr>
          <w:sz w:val="28"/>
          <w:szCs w:val="28"/>
          <w:lang w:val="en-GB"/>
        </w:rPr>
        <w:t>’</w:t>
      </w:r>
      <w:r w:rsidR="007F0BDF" w:rsidRPr="00C20926">
        <w:rPr>
          <w:sz w:val="28"/>
          <w:szCs w:val="28"/>
          <w:lang w:val="en-GB"/>
        </w:rPr>
        <w:t xml:space="preserve"> for purposes of </w:t>
      </w:r>
      <w:r w:rsidR="007B0E62" w:rsidRPr="00C20926">
        <w:rPr>
          <w:sz w:val="28"/>
          <w:szCs w:val="28"/>
          <w:lang w:val="en-GB"/>
        </w:rPr>
        <w:t xml:space="preserve">s 183 of </w:t>
      </w:r>
      <w:r w:rsidR="007F0BDF" w:rsidRPr="00C20926">
        <w:rPr>
          <w:sz w:val="28"/>
          <w:szCs w:val="28"/>
          <w:lang w:val="en-GB"/>
        </w:rPr>
        <w:t>the TAA</w:t>
      </w:r>
      <w:r w:rsidR="008E6349" w:rsidRPr="00C20926">
        <w:rPr>
          <w:sz w:val="28"/>
          <w:szCs w:val="28"/>
          <w:lang w:val="en-GB"/>
        </w:rPr>
        <w:t>.</w:t>
      </w:r>
    </w:p>
    <w:p w14:paraId="1729E893" w14:textId="77777777" w:rsidR="00161F9D" w:rsidRPr="00C20926" w:rsidRDefault="00161F9D" w:rsidP="00CF4C5A">
      <w:pPr>
        <w:rPr>
          <w:sz w:val="28"/>
          <w:szCs w:val="28"/>
          <w:lang w:val="en-GB"/>
        </w:rPr>
      </w:pPr>
    </w:p>
    <w:p w14:paraId="7DF2A338" w14:textId="7422DD61" w:rsidR="00FC4789" w:rsidRPr="00C20926" w:rsidRDefault="00FC4789" w:rsidP="00CF4C5A">
      <w:pPr>
        <w:rPr>
          <w:sz w:val="28"/>
          <w:szCs w:val="28"/>
          <w:lang w:val="en-GB"/>
        </w:rPr>
      </w:pPr>
      <w:r w:rsidRPr="00C20926">
        <w:rPr>
          <w:sz w:val="28"/>
          <w:szCs w:val="28"/>
          <w:lang w:val="en-GB"/>
        </w:rPr>
        <w:t>[</w:t>
      </w:r>
      <w:r w:rsidR="000F5894" w:rsidRPr="00C20926">
        <w:rPr>
          <w:sz w:val="28"/>
          <w:szCs w:val="28"/>
          <w:lang w:val="en-GB"/>
        </w:rPr>
        <w:t>3</w:t>
      </w:r>
      <w:r w:rsidRPr="00C20926">
        <w:rPr>
          <w:sz w:val="28"/>
          <w:szCs w:val="28"/>
          <w:lang w:val="en-GB"/>
        </w:rPr>
        <w:t>]</w:t>
      </w:r>
      <w:r w:rsidRPr="00C20926">
        <w:rPr>
          <w:sz w:val="28"/>
          <w:szCs w:val="28"/>
          <w:lang w:val="en-GB"/>
        </w:rPr>
        <w:tab/>
        <w:t xml:space="preserve">The high court found that the transcript </w:t>
      </w:r>
      <w:r w:rsidR="00276D0B" w:rsidRPr="00C20926">
        <w:rPr>
          <w:sz w:val="28"/>
          <w:szCs w:val="28"/>
          <w:lang w:val="en-GB"/>
        </w:rPr>
        <w:t xml:space="preserve">was </w:t>
      </w:r>
      <w:r w:rsidRPr="00C20926">
        <w:rPr>
          <w:sz w:val="28"/>
          <w:szCs w:val="28"/>
          <w:lang w:val="en-GB"/>
        </w:rPr>
        <w:t>admissible</w:t>
      </w:r>
      <w:r w:rsidR="00276D0B" w:rsidRPr="00C20926">
        <w:rPr>
          <w:sz w:val="28"/>
          <w:szCs w:val="28"/>
          <w:lang w:val="en-GB"/>
        </w:rPr>
        <w:t>. It held that</w:t>
      </w:r>
      <w:r w:rsidRPr="00C20926">
        <w:rPr>
          <w:sz w:val="28"/>
          <w:szCs w:val="28"/>
          <w:lang w:val="en-GB"/>
        </w:rPr>
        <w:t xml:space="preserve"> the purpose for which the evidence </w:t>
      </w:r>
      <w:r w:rsidR="00276D0B" w:rsidRPr="00C20926">
        <w:rPr>
          <w:sz w:val="28"/>
          <w:szCs w:val="28"/>
          <w:lang w:val="en-GB"/>
        </w:rPr>
        <w:t xml:space="preserve">could </w:t>
      </w:r>
      <w:r w:rsidRPr="00C20926">
        <w:rPr>
          <w:sz w:val="28"/>
          <w:szCs w:val="28"/>
          <w:lang w:val="en-GB"/>
        </w:rPr>
        <w:t xml:space="preserve">be used should be determined by </w:t>
      </w:r>
      <w:r w:rsidR="005A1F35" w:rsidRPr="00C20926">
        <w:rPr>
          <w:sz w:val="28"/>
          <w:szCs w:val="28"/>
          <w:lang w:val="en-GB"/>
        </w:rPr>
        <w:t xml:space="preserve">the </w:t>
      </w:r>
      <w:r w:rsidRPr="00C20926">
        <w:rPr>
          <w:sz w:val="28"/>
          <w:szCs w:val="28"/>
          <w:lang w:val="en-GB"/>
        </w:rPr>
        <w:t xml:space="preserve">trial court. The high court </w:t>
      </w:r>
      <w:r w:rsidR="00276D0B" w:rsidRPr="00C20926">
        <w:rPr>
          <w:sz w:val="28"/>
          <w:szCs w:val="28"/>
          <w:lang w:val="en-GB"/>
        </w:rPr>
        <w:t xml:space="preserve">also </w:t>
      </w:r>
      <w:r w:rsidRPr="00C20926">
        <w:rPr>
          <w:sz w:val="28"/>
          <w:szCs w:val="28"/>
          <w:lang w:val="en-GB"/>
        </w:rPr>
        <w:t>foun</w:t>
      </w:r>
      <w:r w:rsidRPr="00C20926">
        <w:rPr>
          <w:sz w:val="28"/>
          <w:lang w:val="en-GB"/>
        </w:rPr>
        <w:t>d</w:t>
      </w:r>
      <w:r w:rsidR="00276D0B" w:rsidRPr="00C20926">
        <w:rPr>
          <w:sz w:val="28"/>
          <w:lang w:val="en-GB"/>
        </w:rPr>
        <w:t xml:space="preserve"> </w:t>
      </w:r>
      <w:r w:rsidRPr="00C20926">
        <w:rPr>
          <w:sz w:val="28"/>
          <w:lang w:val="en-GB"/>
        </w:rPr>
        <w:t>t</w:t>
      </w:r>
      <w:r w:rsidRPr="00C20926">
        <w:rPr>
          <w:sz w:val="28"/>
          <w:szCs w:val="28"/>
          <w:lang w:val="en-GB"/>
        </w:rPr>
        <w:t xml:space="preserve">hat the </w:t>
      </w:r>
      <w:r w:rsidR="00276D0B" w:rsidRPr="00C20926">
        <w:rPr>
          <w:sz w:val="28"/>
          <w:szCs w:val="28"/>
          <w:lang w:val="en-GB"/>
        </w:rPr>
        <w:t xml:space="preserve">STC </w:t>
      </w:r>
      <w:r w:rsidRPr="00C20926">
        <w:rPr>
          <w:sz w:val="28"/>
          <w:szCs w:val="28"/>
          <w:lang w:val="en-GB"/>
        </w:rPr>
        <w:t xml:space="preserve">and CGT </w:t>
      </w:r>
      <w:r w:rsidR="00276D0B" w:rsidRPr="00C20926">
        <w:rPr>
          <w:sz w:val="28"/>
          <w:szCs w:val="28"/>
          <w:lang w:val="en-GB"/>
        </w:rPr>
        <w:t xml:space="preserve">tax assessments constitute </w:t>
      </w:r>
      <w:r w:rsidRPr="00C20926">
        <w:rPr>
          <w:sz w:val="28"/>
          <w:szCs w:val="28"/>
          <w:lang w:val="en-GB"/>
        </w:rPr>
        <w:t xml:space="preserve">tax debts for purposes of </w:t>
      </w:r>
      <w:r w:rsidR="00276D0B" w:rsidRPr="00C20926">
        <w:rPr>
          <w:sz w:val="28"/>
          <w:szCs w:val="28"/>
          <w:lang w:val="en-GB"/>
        </w:rPr>
        <w:t xml:space="preserve">s 183 of </w:t>
      </w:r>
      <w:r w:rsidRPr="00C20926">
        <w:rPr>
          <w:sz w:val="28"/>
          <w:szCs w:val="28"/>
          <w:lang w:val="en-GB"/>
        </w:rPr>
        <w:t>the TAA. The appeal</w:t>
      </w:r>
      <w:r w:rsidR="00276D0B" w:rsidRPr="00C20926">
        <w:rPr>
          <w:sz w:val="28"/>
          <w:szCs w:val="28"/>
          <w:lang w:val="en-GB"/>
        </w:rPr>
        <w:t>, with the leave of the high court,</w:t>
      </w:r>
      <w:r w:rsidRPr="00C20926">
        <w:rPr>
          <w:sz w:val="28"/>
          <w:szCs w:val="28"/>
          <w:lang w:val="en-GB"/>
        </w:rPr>
        <w:t xml:space="preserve"> </w:t>
      </w:r>
      <w:r w:rsidR="005A1F35" w:rsidRPr="00C20926">
        <w:rPr>
          <w:sz w:val="28"/>
          <w:szCs w:val="28"/>
          <w:lang w:val="en-GB"/>
        </w:rPr>
        <w:t>is</w:t>
      </w:r>
      <w:r w:rsidRPr="00C20926">
        <w:rPr>
          <w:sz w:val="28"/>
          <w:szCs w:val="28"/>
          <w:lang w:val="en-GB"/>
        </w:rPr>
        <w:t xml:space="preserve"> against the</w:t>
      </w:r>
      <w:r w:rsidR="00276D0B" w:rsidRPr="00C20926">
        <w:rPr>
          <w:sz w:val="28"/>
          <w:szCs w:val="28"/>
          <w:lang w:val="en-GB"/>
        </w:rPr>
        <w:t>se</w:t>
      </w:r>
      <w:r w:rsidRPr="00C20926">
        <w:rPr>
          <w:sz w:val="28"/>
          <w:szCs w:val="28"/>
          <w:lang w:val="en-GB"/>
        </w:rPr>
        <w:t xml:space="preserve"> findings</w:t>
      </w:r>
      <w:r w:rsidR="00276D0B" w:rsidRPr="00C20926">
        <w:rPr>
          <w:sz w:val="28"/>
          <w:szCs w:val="28"/>
          <w:lang w:val="en-GB"/>
        </w:rPr>
        <w:t>.</w:t>
      </w:r>
      <w:r w:rsidRPr="00C20926">
        <w:rPr>
          <w:sz w:val="28"/>
          <w:szCs w:val="28"/>
          <w:lang w:val="en-GB"/>
        </w:rPr>
        <w:t xml:space="preserve"> </w:t>
      </w:r>
    </w:p>
    <w:p w14:paraId="61C28199" w14:textId="77777777" w:rsidR="00FC4789" w:rsidRPr="00C20926" w:rsidRDefault="00FC4789" w:rsidP="00CF4C5A">
      <w:pPr>
        <w:rPr>
          <w:sz w:val="28"/>
          <w:szCs w:val="28"/>
          <w:lang w:val="en-GB"/>
        </w:rPr>
      </w:pPr>
    </w:p>
    <w:p w14:paraId="20515A8D" w14:textId="7893B9C0" w:rsidR="000F4FF9" w:rsidRPr="00C20926" w:rsidRDefault="000F4FF9" w:rsidP="00CF4C5A">
      <w:pPr>
        <w:rPr>
          <w:b/>
          <w:sz w:val="28"/>
          <w:szCs w:val="28"/>
        </w:rPr>
      </w:pPr>
      <w:r w:rsidRPr="00C20926">
        <w:rPr>
          <w:b/>
          <w:sz w:val="28"/>
          <w:szCs w:val="28"/>
        </w:rPr>
        <w:t xml:space="preserve">Factual </w:t>
      </w:r>
      <w:r w:rsidR="00112E1D" w:rsidRPr="00C20926">
        <w:rPr>
          <w:b/>
          <w:sz w:val="28"/>
          <w:szCs w:val="28"/>
        </w:rPr>
        <w:t>b</w:t>
      </w:r>
      <w:r w:rsidRPr="00C20926">
        <w:rPr>
          <w:b/>
          <w:sz w:val="28"/>
          <w:szCs w:val="28"/>
        </w:rPr>
        <w:t>ackground</w:t>
      </w:r>
    </w:p>
    <w:p w14:paraId="3F357061" w14:textId="6BF159A2" w:rsidR="00EE3162" w:rsidRPr="00C20926" w:rsidRDefault="000F4FF9" w:rsidP="00EE3162">
      <w:pPr>
        <w:rPr>
          <w:sz w:val="28"/>
          <w:szCs w:val="28"/>
        </w:rPr>
      </w:pPr>
      <w:r w:rsidRPr="00C20926">
        <w:rPr>
          <w:sz w:val="28"/>
          <w:szCs w:val="28"/>
        </w:rPr>
        <w:t>[</w:t>
      </w:r>
      <w:r w:rsidR="000F5894" w:rsidRPr="00C20926">
        <w:rPr>
          <w:sz w:val="28"/>
          <w:szCs w:val="28"/>
        </w:rPr>
        <w:t>4</w:t>
      </w:r>
      <w:r w:rsidRPr="00C20926">
        <w:rPr>
          <w:sz w:val="28"/>
          <w:szCs w:val="28"/>
        </w:rPr>
        <w:t>]</w:t>
      </w:r>
      <w:r w:rsidRPr="00C20926">
        <w:rPr>
          <w:sz w:val="28"/>
          <w:szCs w:val="28"/>
        </w:rPr>
        <w:tab/>
        <w:t>Tullow Oil Pic</w:t>
      </w:r>
      <w:r w:rsidR="002B0140" w:rsidRPr="00C20926">
        <w:rPr>
          <w:sz w:val="28"/>
          <w:szCs w:val="28"/>
        </w:rPr>
        <w:t xml:space="preserve"> and its </w:t>
      </w:r>
      <w:r w:rsidR="0044350D" w:rsidRPr="00C20926">
        <w:rPr>
          <w:sz w:val="28"/>
          <w:szCs w:val="28"/>
        </w:rPr>
        <w:t>subsidiaries</w:t>
      </w:r>
      <w:r w:rsidRPr="00C20926">
        <w:rPr>
          <w:sz w:val="28"/>
          <w:szCs w:val="28"/>
        </w:rPr>
        <w:t xml:space="preserve"> (the Tullow Group) undertook a restructuring of its African operations (the restructure) during January 2007. Prior to the restructure</w:t>
      </w:r>
      <w:r w:rsidR="00EC1470" w:rsidRPr="00C20926">
        <w:rPr>
          <w:sz w:val="28"/>
          <w:szCs w:val="28"/>
        </w:rPr>
        <w:t>,</w:t>
      </w:r>
      <w:r w:rsidR="000455BE" w:rsidRPr="00C20926">
        <w:rPr>
          <w:sz w:val="28"/>
          <w:szCs w:val="28"/>
        </w:rPr>
        <w:t xml:space="preserve"> </w:t>
      </w:r>
      <w:r w:rsidR="00EE3162" w:rsidRPr="00C20926">
        <w:rPr>
          <w:sz w:val="28"/>
          <w:szCs w:val="28"/>
        </w:rPr>
        <w:t xml:space="preserve">Energy Africa </w:t>
      </w:r>
      <w:r w:rsidRPr="00C20926">
        <w:rPr>
          <w:sz w:val="28"/>
          <w:szCs w:val="28"/>
        </w:rPr>
        <w:t xml:space="preserve">formed part of the Tullow Group. The taxpayer sold its shares and claims in Energy Africa Holdings (Pty) Ltd (EAH) to Tullow Overseas Holdings BV (TOH) (the EAH </w:t>
      </w:r>
      <w:r w:rsidR="00E31E38" w:rsidRPr="00C20926">
        <w:rPr>
          <w:sz w:val="28"/>
          <w:szCs w:val="28"/>
        </w:rPr>
        <w:t>d</w:t>
      </w:r>
      <w:r w:rsidRPr="00C20926">
        <w:rPr>
          <w:sz w:val="28"/>
          <w:szCs w:val="28"/>
        </w:rPr>
        <w:t>isposal)</w:t>
      </w:r>
      <w:r w:rsidR="0006336D" w:rsidRPr="00C20926">
        <w:rPr>
          <w:sz w:val="28"/>
          <w:szCs w:val="28"/>
        </w:rPr>
        <w:t xml:space="preserve"> </w:t>
      </w:r>
      <w:r w:rsidR="002912DC" w:rsidRPr="00C20926">
        <w:rPr>
          <w:sz w:val="28"/>
          <w:szCs w:val="28"/>
        </w:rPr>
        <w:t>on 25 January 2007</w:t>
      </w:r>
      <w:r w:rsidR="00146489" w:rsidRPr="00C20926">
        <w:rPr>
          <w:sz w:val="28"/>
          <w:szCs w:val="28"/>
        </w:rPr>
        <w:t>.</w:t>
      </w:r>
      <w:r w:rsidRPr="00C20926">
        <w:rPr>
          <w:sz w:val="28"/>
          <w:szCs w:val="28"/>
        </w:rPr>
        <w:t xml:space="preserve"> The tax return submitted for that period did not raise any liability for </w:t>
      </w:r>
      <w:r w:rsidR="00EE3162" w:rsidRPr="00C20926">
        <w:rPr>
          <w:sz w:val="28"/>
          <w:szCs w:val="28"/>
        </w:rPr>
        <w:t>C</w:t>
      </w:r>
      <w:r w:rsidR="00E0726E" w:rsidRPr="00C20926">
        <w:rPr>
          <w:sz w:val="28"/>
          <w:szCs w:val="28"/>
        </w:rPr>
        <w:t>GT</w:t>
      </w:r>
      <w:r w:rsidRPr="00C20926">
        <w:rPr>
          <w:sz w:val="28"/>
          <w:szCs w:val="28"/>
        </w:rPr>
        <w:t xml:space="preserve">. </w:t>
      </w:r>
    </w:p>
    <w:p w14:paraId="62454604" w14:textId="77777777" w:rsidR="000F4FF9" w:rsidRPr="00C20926" w:rsidRDefault="000F4FF9" w:rsidP="00CF4C5A">
      <w:pPr>
        <w:rPr>
          <w:sz w:val="28"/>
          <w:szCs w:val="28"/>
        </w:rPr>
      </w:pPr>
    </w:p>
    <w:p w14:paraId="14E188AC" w14:textId="5135F202" w:rsidR="000F4FF9" w:rsidRPr="00C20926" w:rsidRDefault="00CF4C5A" w:rsidP="00CF4C5A">
      <w:pPr>
        <w:rPr>
          <w:sz w:val="28"/>
          <w:szCs w:val="28"/>
        </w:rPr>
      </w:pPr>
      <w:r w:rsidRPr="00C20926">
        <w:rPr>
          <w:sz w:val="28"/>
          <w:szCs w:val="28"/>
        </w:rPr>
        <w:t>[</w:t>
      </w:r>
      <w:r w:rsidR="000F5894" w:rsidRPr="00C20926">
        <w:rPr>
          <w:sz w:val="28"/>
          <w:szCs w:val="28"/>
        </w:rPr>
        <w:t>5</w:t>
      </w:r>
      <w:r w:rsidRPr="00C20926">
        <w:rPr>
          <w:sz w:val="28"/>
          <w:szCs w:val="28"/>
        </w:rPr>
        <w:t>]</w:t>
      </w:r>
      <w:r w:rsidRPr="00C20926">
        <w:rPr>
          <w:sz w:val="28"/>
          <w:szCs w:val="28"/>
        </w:rPr>
        <w:tab/>
      </w:r>
      <w:r w:rsidR="000F4FF9" w:rsidRPr="00C20926">
        <w:rPr>
          <w:sz w:val="28"/>
          <w:szCs w:val="28"/>
        </w:rPr>
        <w:t>SARS conducted an audit on the Tullow transaction and based on this audit, on 16 November 2012</w:t>
      </w:r>
      <w:r w:rsidR="00DD58A9" w:rsidRPr="00C20926">
        <w:rPr>
          <w:sz w:val="28"/>
          <w:szCs w:val="28"/>
        </w:rPr>
        <w:t>,</w:t>
      </w:r>
      <w:r w:rsidR="000F4FF9" w:rsidRPr="00C20926">
        <w:rPr>
          <w:sz w:val="28"/>
          <w:szCs w:val="28"/>
        </w:rPr>
        <w:t xml:space="preserve"> </w:t>
      </w:r>
      <w:r w:rsidR="00EC59DE" w:rsidRPr="00C20926">
        <w:rPr>
          <w:sz w:val="28"/>
          <w:szCs w:val="28"/>
        </w:rPr>
        <w:t xml:space="preserve">it delivered a notice to </w:t>
      </w:r>
      <w:r w:rsidR="00EC1470" w:rsidRPr="00C20926">
        <w:rPr>
          <w:sz w:val="28"/>
          <w:szCs w:val="28"/>
        </w:rPr>
        <w:t>Energy Africa in terms of s 80J</w:t>
      </w:r>
      <w:r w:rsidR="00EC59DE" w:rsidRPr="00C20926">
        <w:rPr>
          <w:sz w:val="28"/>
          <w:szCs w:val="28"/>
        </w:rPr>
        <w:t xml:space="preserve">(1) of the TAA. </w:t>
      </w:r>
      <w:r w:rsidR="000F4FF9" w:rsidRPr="00C20926">
        <w:rPr>
          <w:sz w:val="28"/>
          <w:szCs w:val="28"/>
        </w:rPr>
        <w:t xml:space="preserve">SARS notified </w:t>
      </w:r>
      <w:r w:rsidR="00EC59DE" w:rsidRPr="00C20926">
        <w:rPr>
          <w:sz w:val="28"/>
          <w:szCs w:val="28"/>
        </w:rPr>
        <w:t>Energy Africa</w:t>
      </w:r>
      <w:r w:rsidR="000F4FF9" w:rsidRPr="00C20926">
        <w:rPr>
          <w:sz w:val="28"/>
          <w:szCs w:val="28"/>
        </w:rPr>
        <w:t xml:space="preserve"> that it intended to make certain adjustments </w:t>
      </w:r>
      <w:r w:rsidR="008E5943" w:rsidRPr="00C20926">
        <w:rPr>
          <w:sz w:val="28"/>
          <w:szCs w:val="28"/>
        </w:rPr>
        <w:t>to the</w:t>
      </w:r>
      <w:r w:rsidR="000F4FF9" w:rsidRPr="00C20926">
        <w:rPr>
          <w:sz w:val="28"/>
          <w:szCs w:val="28"/>
        </w:rPr>
        <w:t xml:space="preserve"> 2007 income tax assessment</w:t>
      </w:r>
      <w:r w:rsidR="00543D17" w:rsidRPr="00C20926">
        <w:rPr>
          <w:sz w:val="28"/>
          <w:szCs w:val="28"/>
        </w:rPr>
        <w:t>.</w:t>
      </w:r>
      <w:r w:rsidR="000F4FF9" w:rsidRPr="00C20926">
        <w:rPr>
          <w:sz w:val="28"/>
          <w:szCs w:val="28"/>
        </w:rPr>
        <w:t xml:space="preserve"> </w:t>
      </w:r>
      <w:r w:rsidR="00543D17" w:rsidRPr="00C20926">
        <w:rPr>
          <w:sz w:val="28"/>
        </w:rPr>
        <w:t>This</w:t>
      </w:r>
      <w:r w:rsidR="000F4FF9" w:rsidRPr="00C20926">
        <w:rPr>
          <w:sz w:val="28"/>
        </w:rPr>
        <w:t xml:space="preserve"> w</w:t>
      </w:r>
      <w:r w:rsidR="000F4FF9" w:rsidRPr="00C20926">
        <w:rPr>
          <w:sz w:val="28"/>
          <w:szCs w:val="28"/>
        </w:rPr>
        <w:t>ould result in the inclusion</w:t>
      </w:r>
      <w:r w:rsidR="0030368E" w:rsidRPr="00C20926">
        <w:rPr>
          <w:sz w:val="28"/>
          <w:szCs w:val="28"/>
        </w:rPr>
        <w:t xml:space="preserve"> of</w:t>
      </w:r>
      <w:r w:rsidR="00CF0338" w:rsidRPr="00C20926">
        <w:rPr>
          <w:sz w:val="28"/>
          <w:szCs w:val="28"/>
        </w:rPr>
        <w:t xml:space="preserve"> </w:t>
      </w:r>
      <w:r w:rsidR="000F4FF9" w:rsidRPr="00C20926">
        <w:rPr>
          <w:sz w:val="28"/>
          <w:szCs w:val="28"/>
        </w:rPr>
        <w:t xml:space="preserve">CGT of </w:t>
      </w:r>
      <w:r w:rsidR="000F4FF9" w:rsidRPr="00C20926">
        <w:rPr>
          <w:sz w:val="28"/>
          <w:szCs w:val="28"/>
        </w:rPr>
        <w:lastRenderedPageBreak/>
        <w:t xml:space="preserve">R453 126 518 on the disposal of a </w:t>
      </w:r>
      <w:r w:rsidR="000F4FF9" w:rsidRPr="00C20926">
        <w:rPr>
          <w:sz w:val="28"/>
        </w:rPr>
        <w:t>subsidiary</w:t>
      </w:r>
      <w:r w:rsidR="00FC4789" w:rsidRPr="00C20926">
        <w:rPr>
          <w:sz w:val="28"/>
        </w:rPr>
        <w:t xml:space="preserve"> in terms the</w:t>
      </w:r>
      <w:r w:rsidR="00FC4789" w:rsidRPr="00C20926">
        <w:rPr>
          <w:sz w:val="28"/>
          <w:szCs w:val="28"/>
        </w:rPr>
        <w:t xml:space="preserve"> Income Tax Act 58 of 1962 (ITA). </w:t>
      </w:r>
      <w:r w:rsidR="000F4FF9" w:rsidRPr="00C20926">
        <w:rPr>
          <w:sz w:val="28"/>
        </w:rPr>
        <w:t xml:space="preserve">SARS would also </w:t>
      </w:r>
      <w:r w:rsidR="008E5943" w:rsidRPr="00C20926">
        <w:rPr>
          <w:sz w:val="28"/>
        </w:rPr>
        <w:t>raise</w:t>
      </w:r>
      <w:r w:rsidR="000F4FF9" w:rsidRPr="00C20926">
        <w:rPr>
          <w:sz w:val="28"/>
        </w:rPr>
        <w:t xml:space="preserve"> an assessment </w:t>
      </w:r>
      <w:r w:rsidR="008E5943" w:rsidRPr="00C20926">
        <w:rPr>
          <w:sz w:val="28"/>
        </w:rPr>
        <w:t>for</w:t>
      </w:r>
      <w:r w:rsidR="000F4FF9" w:rsidRPr="00C20926">
        <w:rPr>
          <w:sz w:val="28"/>
        </w:rPr>
        <w:t xml:space="preserve"> STC</w:t>
      </w:r>
      <w:r w:rsidR="000F4FF9" w:rsidRPr="00C20926">
        <w:rPr>
          <w:sz w:val="28"/>
          <w:szCs w:val="28"/>
        </w:rPr>
        <w:t xml:space="preserve"> in the amount of R487 205 </w:t>
      </w:r>
      <w:r w:rsidR="000F4FF9" w:rsidRPr="00C20926">
        <w:rPr>
          <w:sz w:val="28"/>
        </w:rPr>
        <w:t>316, deemed</w:t>
      </w:r>
      <w:r w:rsidR="000F4FF9" w:rsidRPr="00C20926">
        <w:rPr>
          <w:sz w:val="28"/>
          <w:szCs w:val="28"/>
        </w:rPr>
        <w:t xml:space="preserve"> to have arisen in terms of s 64C(2)</w:t>
      </w:r>
      <w:r w:rsidR="000F4FF9" w:rsidRPr="00C20926">
        <w:rPr>
          <w:i/>
          <w:sz w:val="28"/>
          <w:szCs w:val="28"/>
        </w:rPr>
        <w:t>(a)</w:t>
      </w:r>
      <w:r w:rsidR="000F4FF9" w:rsidRPr="00C20926">
        <w:rPr>
          <w:sz w:val="28"/>
          <w:szCs w:val="28"/>
        </w:rPr>
        <w:t xml:space="preserve"> of the ITA. </w:t>
      </w:r>
    </w:p>
    <w:p w14:paraId="06EC9A7F" w14:textId="77777777" w:rsidR="000F4FF9" w:rsidRPr="00C20926" w:rsidRDefault="000F4FF9" w:rsidP="00CF4C5A">
      <w:pPr>
        <w:rPr>
          <w:sz w:val="28"/>
          <w:szCs w:val="28"/>
        </w:rPr>
      </w:pPr>
    </w:p>
    <w:p w14:paraId="302EEF71" w14:textId="1D922194" w:rsidR="00CA4BA0" w:rsidRPr="00C20926" w:rsidRDefault="000F4FF9" w:rsidP="00CF4C5A">
      <w:pPr>
        <w:rPr>
          <w:sz w:val="28"/>
          <w:szCs w:val="28"/>
        </w:rPr>
      </w:pPr>
      <w:r w:rsidRPr="00C20926">
        <w:rPr>
          <w:sz w:val="28"/>
          <w:szCs w:val="28"/>
        </w:rPr>
        <w:t>[</w:t>
      </w:r>
      <w:r w:rsidR="008E5943" w:rsidRPr="00C20926">
        <w:rPr>
          <w:sz w:val="28"/>
          <w:szCs w:val="28"/>
        </w:rPr>
        <w:t>6</w:t>
      </w:r>
      <w:r w:rsidRPr="00C20926">
        <w:rPr>
          <w:sz w:val="28"/>
          <w:szCs w:val="28"/>
        </w:rPr>
        <w:t>]</w:t>
      </w:r>
      <w:r w:rsidRPr="00C20926">
        <w:rPr>
          <w:sz w:val="28"/>
          <w:szCs w:val="28"/>
        </w:rPr>
        <w:tab/>
      </w:r>
      <w:r w:rsidR="00EC59DE" w:rsidRPr="00C20926">
        <w:rPr>
          <w:sz w:val="28"/>
          <w:szCs w:val="28"/>
        </w:rPr>
        <w:t>On</w:t>
      </w:r>
      <w:r w:rsidRPr="00C20926">
        <w:rPr>
          <w:sz w:val="28"/>
          <w:szCs w:val="28"/>
        </w:rPr>
        <w:t xml:space="preserve"> 15 April 2013</w:t>
      </w:r>
      <w:r w:rsidR="00EC59DE" w:rsidRPr="00C20926">
        <w:rPr>
          <w:sz w:val="28"/>
          <w:szCs w:val="28"/>
        </w:rPr>
        <w:t>, the appellants</w:t>
      </w:r>
      <w:r w:rsidRPr="00C20926">
        <w:rPr>
          <w:sz w:val="28"/>
          <w:szCs w:val="28"/>
        </w:rPr>
        <w:t xml:space="preserve"> disputed SARS’s </w:t>
      </w:r>
      <w:r w:rsidR="00EC59DE" w:rsidRPr="00C20926">
        <w:rPr>
          <w:sz w:val="28"/>
          <w:szCs w:val="28"/>
        </w:rPr>
        <w:t xml:space="preserve">audit </w:t>
      </w:r>
      <w:r w:rsidRPr="00C20926">
        <w:rPr>
          <w:sz w:val="28"/>
          <w:szCs w:val="28"/>
        </w:rPr>
        <w:t>findings</w:t>
      </w:r>
      <w:r w:rsidR="00EC59DE" w:rsidRPr="00C20926">
        <w:rPr>
          <w:sz w:val="28"/>
          <w:szCs w:val="28"/>
        </w:rPr>
        <w:t>.</w:t>
      </w:r>
      <w:r w:rsidRPr="00C20926">
        <w:rPr>
          <w:sz w:val="28"/>
          <w:szCs w:val="28"/>
        </w:rPr>
        <w:t xml:space="preserve"> </w:t>
      </w:r>
      <w:r w:rsidR="00237000" w:rsidRPr="00C20926">
        <w:rPr>
          <w:sz w:val="28"/>
          <w:szCs w:val="28"/>
        </w:rPr>
        <w:t>On 19 April 2013, Energy Africa disposed of its sole asset</w:t>
      </w:r>
      <w:r w:rsidR="00CA4BA0" w:rsidRPr="00C20926">
        <w:rPr>
          <w:sz w:val="28"/>
          <w:szCs w:val="28"/>
        </w:rPr>
        <w:t xml:space="preserve"> which consisted of a loan account credit held by it in T</w:t>
      </w:r>
      <w:r w:rsidR="00EC1470" w:rsidRPr="00C20926">
        <w:rPr>
          <w:sz w:val="28"/>
          <w:szCs w:val="28"/>
        </w:rPr>
        <w:t>S</w:t>
      </w:r>
      <w:r w:rsidR="00CA4BA0" w:rsidRPr="00C20926">
        <w:rPr>
          <w:sz w:val="28"/>
          <w:szCs w:val="28"/>
        </w:rPr>
        <w:t xml:space="preserve">D by declaring a dividend </w:t>
      </w:r>
      <w:r w:rsidR="00CA4BA0" w:rsidRPr="00C20926">
        <w:rPr>
          <w:i/>
          <w:iCs/>
          <w:sz w:val="28"/>
          <w:szCs w:val="28"/>
        </w:rPr>
        <w:t>in specie</w:t>
      </w:r>
      <w:r w:rsidR="00CA4BA0" w:rsidRPr="00C20926">
        <w:rPr>
          <w:sz w:val="28"/>
          <w:szCs w:val="28"/>
        </w:rPr>
        <w:t xml:space="preserve"> to the value of the loan account in favour of Elandspad.</w:t>
      </w:r>
    </w:p>
    <w:p w14:paraId="3ED3CF52" w14:textId="77777777" w:rsidR="00CA4BA0" w:rsidRPr="00C20926" w:rsidRDefault="00CA4BA0" w:rsidP="00CF4C5A">
      <w:pPr>
        <w:rPr>
          <w:sz w:val="28"/>
          <w:szCs w:val="28"/>
        </w:rPr>
      </w:pPr>
    </w:p>
    <w:p w14:paraId="0D1066DF" w14:textId="5D6EE255" w:rsidR="000F4FF9" w:rsidRPr="00C20926" w:rsidRDefault="00CA4BA0" w:rsidP="00CF4C5A">
      <w:pPr>
        <w:rPr>
          <w:sz w:val="28"/>
          <w:szCs w:val="28"/>
        </w:rPr>
      </w:pPr>
      <w:r w:rsidRPr="00C20926">
        <w:rPr>
          <w:sz w:val="28"/>
          <w:szCs w:val="28"/>
        </w:rPr>
        <w:t>[</w:t>
      </w:r>
      <w:r w:rsidR="008E5943" w:rsidRPr="00C20926">
        <w:rPr>
          <w:sz w:val="28"/>
          <w:szCs w:val="28"/>
        </w:rPr>
        <w:t>7</w:t>
      </w:r>
      <w:r w:rsidRPr="00C20926">
        <w:rPr>
          <w:sz w:val="28"/>
          <w:szCs w:val="28"/>
        </w:rPr>
        <w:t>]</w:t>
      </w:r>
      <w:r w:rsidRPr="00C20926">
        <w:rPr>
          <w:sz w:val="28"/>
          <w:szCs w:val="28"/>
        </w:rPr>
        <w:tab/>
      </w:r>
      <w:r w:rsidR="000F4FF9" w:rsidRPr="00C20926">
        <w:rPr>
          <w:sz w:val="28"/>
          <w:szCs w:val="28"/>
        </w:rPr>
        <w:t>On 21 August 2013</w:t>
      </w:r>
      <w:r w:rsidR="00EC59DE" w:rsidRPr="00C20926">
        <w:rPr>
          <w:sz w:val="28"/>
          <w:szCs w:val="28"/>
        </w:rPr>
        <w:t>,</w:t>
      </w:r>
      <w:r w:rsidR="000F4FF9" w:rsidRPr="00C20926">
        <w:rPr>
          <w:sz w:val="28"/>
          <w:szCs w:val="28"/>
        </w:rPr>
        <w:t xml:space="preserve"> SARS </w:t>
      </w:r>
      <w:r w:rsidR="00EC59DE" w:rsidRPr="00C20926">
        <w:rPr>
          <w:sz w:val="28"/>
          <w:szCs w:val="28"/>
        </w:rPr>
        <w:t xml:space="preserve">communicated its finalisation of </w:t>
      </w:r>
      <w:r w:rsidR="00EC1470" w:rsidRPr="00C20926">
        <w:rPr>
          <w:sz w:val="28"/>
          <w:szCs w:val="28"/>
        </w:rPr>
        <w:t xml:space="preserve">the </w:t>
      </w:r>
      <w:r w:rsidR="00EC59DE" w:rsidRPr="00C20926">
        <w:rPr>
          <w:sz w:val="28"/>
          <w:szCs w:val="28"/>
        </w:rPr>
        <w:t>audit. It issued</w:t>
      </w:r>
      <w:r w:rsidR="000F4FF9" w:rsidRPr="00C20926">
        <w:rPr>
          <w:sz w:val="28"/>
          <w:szCs w:val="28"/>
        </w:rPr>
        <w:t xml:space="preserve"> an additional assessment of income tax for CGT and an original assessment of STC </w:t>
      </w:r>
      <w:r w:rsidR="00CF4C5A" w:rsidRPr="00C20926">
        <w:rPr>
          <w:sz w:val="28"/>
          <w:szCs w:val="28"/>
        </w:rPr>
        <w:t xml:space="preserve">in the amounts of </w:t>
      </w:r>
      <w:r w:rsidR="000F4FF9" w:rsidRPr="00C20926">
        <w:rPr>
          <w:sz w:val="28"/>
          <w:szCs w:val="28"/>
        </w:rPr>
        <w:t>R453 126 518,</w:t>
      </w:r>
      <w:r w:rsidR="00B4485B" w:rsidRPr="00C20926">
        <w:rPr>
          <w:sz w:val="28"/>
          <w:szCs w:val="28"/>
        </w:rPr>
        <w:t xml:space="preserve"> </w:t>
      </w:r>
      <w:r w:rsidR="000F4FF9" w:rsidRPr="00C20926">
        <w:rPr>
          <w:sz w:val="28"/>
          <w:szCs w:val="28"/>
        </w:rPr>
        <w:t>together with understatement penalties of 150%</w:t>
      </w:r>
      <w:r w:rsidR="00B4485B" w:rsidRPr="00C20926">
        <w:rPr>
          <w:sz w:val="28"/>
          <w:szCs w:val="28"/>
        </w:rPr>
        <w:t xml:space="preserve"> </w:t>
      </w:r>
      <w:r w:rsidR="000F4FF9" w:rsidRPr="00C20926">
        <w:rPr>
          <w:sz w:val="28"/>
          <w:szCs w:val="28"/>
        </w:rPr>
        <w:t>(the CGT assessment) and</w:t>
      </w:r>
      <w:r w:rsidR="00B4485B" w:rsidRPr="00C20926">
        <w:rPr>
          <w:sz w:val="28"/>
          <w:szCs w:val="28"/>
        </w:rPr>
        <w:t xml:space="preserve"> </w:t>
      </w:r>
      <w:r w:rsidR="000F4FF9" w:rsidRPr="00C20926">
        <w:rPr>
          <w:sz w:val="28"/>
          <w:szCs w:val="28"/>
        </w:rPr>
        <w:t>R488 282 886 together with interest and understatement penalties of 150% (the STC assessment) respectively</w:t>
      </w:r>
      <w:r w:rsidR="00EC59DE" w:rsidRPr="00C20926">
        <w:rPr>
          <w:sz w:val="28"/>
          <w:szCs w:val="28"/>
        </w:rPr>
        <w:t>.</w:t>
      </w:r>
      <w:r w:rsidR="000F4FF9" w:rsidRPr="00C20926">
        <w:rPr>
          <w:sz w:val="28"/>
          <w:szCs w:val="28"/>
        </w:rPr>
        <w:t xml:space="preserve"> </w:t>
      </w:r>
    </w:p>
    <w:p w14:paraId="475082FC" w14:textId="77777777" w:rsidR="00B4485B" w:rsidRPr="00C20926" w:rsidRDefault="00B4485B" w:rsidP="00CF4C5A">
      <w:pPr>
        <w:rPr>
          <w:sz w:val="28"/>
          <w:szCs w:val="28"/>
        </w:rPr>
      </w:pPr>
    </w:p>
    <w:p w14:paraId="494720A6" w14:textId="5D5D80E7" w:rsidR="000F4FF9" w:rsidRPr="00C20926" w:rsidRDefault="00B4485B" w:rsidP="00CF4C5A">
      <w:pPr>
        <w:rPr>
          <w:sz w:val="28"/>
          <w:szCs w:val="28"/>
        </w:rPr>
      </w:pPr>
      <w:r w:rsidRPr="00C20926">
        <w:rPr>
          <w:sz w:val="28"/>
          <w:szCs w:val="28"/>
        </w:rPr>
        <w:t>[</w:t>
      </w:r>
      <w:r w:rsidR="008E5943" w:rsidRPr="00C20926">
        <w:rPr>
          <w:sz w:val="28"/>
          <w:szCs w:val="28"/>
        </w:rPr>
        <w:t>8</w:t>
      </w:r>
      <w:r w:rsidRPr="00C20926">
        <w:rPr>
          <w:sz w:val="28"/>
          <w:szCs w:val="28"/>
        </w:rPr>
        <w:t>]</w:t>
      </w:r>
      <w:r w:rsidRPr="00C20926">
        <w:rPr>
          <w:sz w:val="28"/>
          <w:szCs w:val="28"/>
        </w:rPr>
        <w:tab/>
      </w:r>
      <w:r w:rsidR="000F4FF9" w:rsidRPr="00C20926">
        <w:rPr>
          <w:sz w:val="28"/>
          <w:szCs w:val="28"/>
        </w:rPr>
        <w:t>On 11 September 2013</w:t>
      </w:r>
      <w:r w:rsidR="00AD799A" w:rsidRPr="00C20926">
        <w:rPr>
          <w:sz w:val="28"/>
          <w:szCs w:val="28"/>
        </w:rPr>
        <w:t>,</w:t>
      </w:r>
      <w:r w:rsidR="000F4FF9" w:rsidRPr="00C20926">
        <w:rPr>
          <w:sz w:val="28"/>
          <w:szCs w:val="28"/>
        </w:rPr>
        <w:t xml:space="preserve"> </w:t>
      </w:r>
      <w:r w:rsidR="00EC59DE" w:rsidRPr="00C20926">
        <w:rPr>
          <w:sz w:val="28"/>
          <w:szCs w:val="28"/>
        </w:rPr>
        <w:t>Energy Africa’s</w:t>
      </w:r>
      <w:r w:rsidR="000F4FF9" w:rsidRPr="00C20926">
        <w:rPr>
          <w:sz w:val="28"/>
          <w:szCs w:val="28"/>
        </w:rPr>
        <w:t xml:space="preserve"> attorneys disputed </w:t>
      </w:r>
      <w:r w:rsidR="00EC59DE" w:rsidRPr="00C20926">
        <w:rPr>
          <w:sz w:val="28"/>
          <w:szCs w:val="28"/>
        </w:rPr>
        <w:t xml:space="preserve">its </w:t>
      </w:r>
      <w:r w:rsidR="000F4FF9" w:rsidRPr="00C20926">
        <w:rPr>
          <w:sz w:val="28"/>
          <w:szCs w:val="28"/>
        </w:rPr>
        <w:t xml:space="preserve">liability for any tax and informed SARS that </w:t>
      </w:r>
      <w:r w:rsidR="00EC59DE" w:rsidRPr="00C20926">
        <w:rPr>
          <w:sz w:val="28"/>
          <w:szCs w:val="28"/>
        </w:rPr>
        <w:t xml:space="preserve">it </w:t>
      </w:r>
      <w:r w:rsidR="000F4FF9" w:rsidRPr="00C20926">
        <w:rPr>
          <w:sz w:val="28"/>
          <w:szCs w:val="28"/>
        </w:rPr>
        <w:t xml:space="preserve">would </w:t>
      </w:r>
      <w:r w:rsidR="00EC59DE" w:rsidRPr="00C20926">
        <w:rPr>
          <w:sz w:val="28"/>
          <w:szCs w:val="28"/>
        </w:rPr>
        <w:t xml:space="preserve">lodge </w:t>
      </w:r>
      <w:r w:rsidR="00D41F2F" w:rsidRPr="00C20926">
        <w:rPr>
          <w:sz w:val="28"/>
          <w:szCs w:val="28"/>
        </w:rPr>
        <w:t>a</w:t>
      </w:r>
      <w:r w:rsidR="000F4FF9" w:rsidRPr="00C20926">
        <w:rPr>
          <w:sz w:val="28"/>
          <w:szCs w:val="28"/>
        </w:rPr>
        <w:t xml:space="preserve"> formal objection </w:t>
      </w:r>
      <w:r w:rsidR="00CE6DE9" w:rsidRPr="00C20926">
        <w:rPr>
          <w:sz w:val="28"/>
          <w:szCs w:val="28"/>
        </w:rPr>
        <w:t>to the assessments.</w:t>
      </w:r>
      <w:r w:rsidR="000F4FF9" w:rsidRPr="00C20926">
        <w:rPr>
          <w:sz w:val="28"/>
          <w:szCs w:val="28"/>
        </w:rPr>
        <w:t xml:space="preserve"> SARS was also informed that </w:t>
      </w:r>
      <w:r w:rsidR="00CE6DE9" w:rsidRPr="00C20926">
        <w:rPr>
          <w:sz w:val="28"/>
          <w:szCs w:val="28"/>
        </w:rPr>
        <w:t>Energy Africa</w:t>
      </w:r>
      <w:r w:rsidR="000F4FF9" w:rsidRPr="00C20926">
        <w:rPr>
          <w:sz w:val="28"/>
          <w:szCs w:val="28"/>
        </w:rPr>
        <w:t xml:space="preserve"> had no cash or assets and was therefore not able to pay the disputed tax. On 1 November 2013</w:t>
      </w:r>
      <w:r w:rsidR="00CE6DE9" w:rsidRPr="00C20926">
        <w:rPr>
          <w:sz w:val="28"/>
          <w:szCs w:val="28"/>
        </w:rPr>
        <w:t>,</w:t>
      </w:r>
      <w:r w:rsidR="000F4FF9" w:rsidRPr="00C20926">
        <w:rPr>
          <w:sz w:val="28"/>
          <w:szCs w:val="28"/>
        </w:rPr>
        <w:t xml:space="preserve"> </w:t>
      </w:r>
      <w:r w:rsidR="00CE6DE9" w:rsidRPr="00C20926">
        <w:rPr>
          <w:sz w:val="28"/>
          <w:szCs w:val="28"/>
        </w:rPr>
        <w:t>Energy Africa filed its</w:t>
      </w:r>
      <w:r w:rsidR="000F4FF9" w:rsidRPr="00C20926">
        <w:rPr>
          <w:sz w:val="28"/>
          <w:szCs w:val="28"/>
        </w:rPr>
        <w:t xml:space="preserve"> objections to both the STC and CGT assessments. On 3 February 201</w:t>
      </w:r>
      <w:r w:rsidR="00AB61C8" w:rsidRPr="00C20926">
        <w:rPr>
          <w:sz w:val="28"/>
          <w:szCs w:val="28"/>
        </w:rPr>
        <w:t>4</w:t>
      </w:r>
      <w:r w:rsidR="00CE6DE9" w:rsidRPr="00C20926">
        <w:rPr>
          <w:sz w:val="28"/>
          <w:szCs w:val="28"/>
        </w:rPr>
        <w:t>,</w:t>
      </w:r>
      <w:r w:rsidR="000F4FF9" w:rsidRPr="00C20926">
        <w:rPr>
          <w:sz w:val="28"/>
          <w:szCs w:val="28"/>
        </w:rPr>
        <w:t xml:space="preserve"> SARS afforded </w:t>
      </w:r>
      <w:r w:rsidR="00CE6DE9" w:rsidRPr="00C20926">
        <w:rPr>
          <w:sz w:val="28"/>
          <w:szCs w:val="28"/>
        </w:rPr>
        <w:t>Energy Africa</w:t>
      </w:r>
      <w:r w:rsidR="000F4FF9" w:rsidRPr="00C20926">
        <w:rPr>
          <w:sz w:val="28"/>
          <w:szCs w:val="28"/>
        </w:rPr>
        <w:t xml:space="preserve"> an opportunity to also object to the understatement penalties levied. </w:t>
      </w:r>
      <w:r w:rsidR="00CE6DE9" w:rsidRPr="00C20926">
        <w:rPr>
          <w:sz w:val="28"/>
          <w:szCs w:val="28"/>
        </w:rPr>
        <w:t xml:space="preserve">These were filed on </w:t>
      </w:r>
      <w:r w:rsidR="000F4FF9" w:rsidRPr="00C20926">
        <w:rPr>
          <w:sz w:val="28"/>
          <w:szCs w:val="28"/>
        </w:rPr>
        <w:t>20 March 2014</w:t>
      </w:r>
      <w:r w:rsidR="00CE6DE9" w:rsidRPr="00C20926">
        <w:rPr>
          <w:sz w:val="28"/>
          <w:szCs w:val="28"/>
        </w:rPr>
        <w:t>.</w:t>
      </w:r>
      <w:r w:rsidR="000F4FF9" w:rsidRPr="00C20926">
        <w:rPr>
          <w:sz w:val="28"/>
          <w:szCs w:val="28"/>
        </w:rPr>
        <w:t xml:space="preserve"> </w:t>
      </w:r>
    </w:p>
    <w:p w14:paraId="0D3EE093" w14:textId="77777777" w:rsidR="00B4485B" w:rsidRPr="00C20926" w:rsidRDefault="00B4485B" w:rsidP="00CF4C5A">
      <w:pPr>
        <w:rPr>
          <w:sz w:val="28"/>
          <w:szCs w:val="28"/>
        </w:rPr>
      </w:pPr>
    </w:p>
    <w:p w14:paraId="48BC5D84" w14:textId="4FED21B4" w:rsidR="000F4FF9" w:rsidRPr="00C20926" w:rsidRDefault="00B4485B" w:rsidP="00CF4C5A">
      <w:pPr>
        <w:rPr>
          <w:sz w:val="28"/>
          <w:szCs w:val="28"/>
        </w:rPr>
      </w:pPr>
      <w:r w:rsidRPr="00C20926">
        <w:rPr>
          <w:sz w:val="28"/>
          <w:szCs w:val="28"/>
        </w:rPr>
        <w:t>[</w:t>
      </w:r>
      <w:r w:rsidR="008E5943" w:rsidRPr="00C20926">
        <w:rPr>
          <w:sz w:val="28"/>
          <w:szCs w:val="28"/>
        </w:rPr>
        <w:t>9</w:t>
      </w:r>
      <w:r w:rsidRPr="00C20926">
        <w:rPr>
          <w:sz w:val="28"/>
          <w:szCs w:val="28"/>
        </w:rPr>
        <w:t>]</w:t>
      </w:r>
      <w:r w:rsidRPr="00C20926">
        <w:rPr>
          <w:sz w:val="28"/>
          <w:szCs w:val="28"/>
        </w:rPr>
        <w:tab/>
      </w:r>
      <w:r w:rsidR="000F4FF9" w:rsidRPr="00C20926">
        <w:rPr>
          <w:sz w:val="28"/>
          <w:szCs w:val="28"/>
        </w:rPr>
        <w:t>On 3 April 2014</w:t>
      </w:r>
      <w:r w:rsidR="00AD799A" w:rsidRPr="00C20926">
        <w:rPr>
          <w:sz w:val="28"/>
          <w:szCs w:val="28"/>
        </w:rPr>
        <w:t>,</w:t>
      </w:r>
      <w:r w:rsidR="000F4FF9" w:rsidRPr="00C20926">
        <w:rPr>
          <w:sz w:val="28"/>
          <w:szCs w:val="28"/>
        </w:rPr>
        <w:t xml:space="preserve"> SARS</w:t>
      </w:r>
      <w:r w:rsidR="00237000" w:rsidRPr="00C20926">
        <w:rPr>
          <w:sz w:val="28"/>
          <w:szCs w:val="28"/>
        </w:rPr>
        <w:t xml:space="preserve"> allowed Energy Africa’s objections in part. It accepted an adjustment based on the</w:t>
      </w:r>
      <w:r w:rsidR="000F4FF9" w:rsidRPr="00C20926">
        <w:rPr>
          <w:sz w:val="28"/>
          <w:szCs w:val="28"/>
        </w:rPr>
        <w:t xml:space="preserve"> foreign exchange translation rate used in the assessment</w:t>
      </w:r>
      <w:r w:rsidRPr="00C20926">
        <w:rPr>
          <w:sz w:val="28"/>
          <w:szCs w:val="28"/>
        </w:rPr>
        <w:t xml:space="preserve"> </w:t>
      </w:r>
      <w:r w:rsidR="000F4FF9" w:rsidRPr="00C20926">
        <w:rPr>
          <w:sz w:val="28"/>
          <w:szCs w:val="28"/>
        </w:rPr>
        <w:t xml:space="preserve">of income </w:t>
      </w:r>
      <w:r w:rsidR="00EE3162" w:rsidRPr="00C20926">
        <w:rPr>
          <w:sz w:val="28"/>
          <w:szCs w:val="28"/>
        </w:rPr>
        <w:t>tax and</w:t>
      </w:r>
      <w:r w:rsidR="000F4FF9" w:rsidRPr="00C20926">
        <w:rPr>
          <w:sz w:val="28"/>
          <w:szCs w:val="28"/>
        </w:rPr>
        <w:t xml:space="preserve"> </w:t>
      </w:r>
      <w:r w:rsidR="00237000" w:rsidRPr="00C20926">
        <w:rPr>
          <w:sz w:val="28"/>
          <w:szCs w:val="28"/>
        </w:rPr>
        <w:t>reduced</w:t>
      </w:r>
      <w:r w:rsidR="000F4FF9" w:rsidRPr="00C20926">
        <w:rPr>
          <w:sz w:val="28"/>
          <w:szCs w:val="28"/>
        </w:rPr>
        <w:t xml:space="preserve"> the understatement penalties</w:t>
      </w:r>
      <w:r w:rsidR="00237000" w:rsidRPr="00C20926">
        <w:rPr>
          <w:sz w:val="28"/>
          <w:szCs w:val="28"/>
        </w:rPr>
        <w:t xml:space="preserve"> to 100% of the capital  of tax due. Apart from this, the objections were dismissed. </w:t>
      </w:r>
      <w:r w:rsidR="000F4FF9" w:rsidRPr="00C20926">
        <w:rPr>
          <w:sz w:val="28"/>
          <w:szCs w:val="28"/>
        </w:rPr>
        <w:t>On 29 May 2014</w:t>
      </w:r>
      <w:r w:rsidR="00237000" w:rsidRPr="00C20926">
        <w:rPr>
          <w:sz w:val="28"/>
          <w:szCs w:val="28"/>
        </w:rPr>
        <w:t>,</w:t>
      </w:r>
      <w:r w:rsidR="000F4FF9" w:rsidRPr="00C20926">
        <w:rPr>
          <w:sz w:val="28"/>
          <w:szCs w:val="28"/>
        </w:rPr>
        <w:t xml:space="preserve"> </w:t>
      </w:r>
      <w:r w:rsidR="000F4FF9" w:rsidRPr="00C20926">
        <w:rPr>
          <w:sz w:val="28"/>
          <w:szCs w:val="28"/>
        </w:rPr>
        <w:lastRenderedPageBreak/>
        <w:t xml:space="preserve">SARS was informed that </w:t>
      </w:r>
      <w:r w:rsidR="00237000" w:rsidRPr="00C20926">
        <w:rPr>
          <w:sz w:val="28"/>
          <w:szCs w:val="28"/>
        </w:rPr>
        <w:t>Energy Africa</w:t>
      </w:r>
      <w:r w:rsidR="000F4FF9" w:rsidRPr="00C20926">
        <w:rPr>
          <w:sz w:val="28"/>
          <w:szCs w:val="28"/>
        </w:rPr>
        <w:t xml:space="preserve"> would</w:t>
      </w:r>
      <w:r w:rsidR="00E01B46" w:rsidRPr="00C20926">
        <w:rPr>
          <w:sz w:val="28"/>
          <w:szCs w:val="28"/>
        </w:rPr>
        <w:t xml:space="preserve"> not</w:t>
      </w:r>
      <w:r w:rsidR="000F4FF9" w:rsidRPr="00C20926">
        <w:rPr>
          <w:sz w:val="28"/>
          <w:szCs w:val="28"/>
        </w:rPr>
        <w:t xml:space="preserve"> appeal </w:t>
      </w:r>
      <w:r w:rsidR="00237000" w:rsidRPr="00C20926">
        <w:rPr>
          <w:sz w:val="28"/>
          <w:szCs w:val="28"/>
        </w:rPr>
        <w:t xml:space="preserve">the </w:t>
      </w:r>
      <w:r w:rsidR="000F4FF9" w:rsidRPr="00C20926">
        <w:rPr>
          <w:sz w:val="28"/>
          <w:szCs w:val="28"/>
        </w:rPr>
        <w:t>disallowance of</w:t>
      </w:r>
      <w:r w:rsidR="00F51FAD" w:rsidRPr="00C20926">
        <w:rPr>
          <w:sz w:val="28"/>
          <w:szCs w:val="28"/>
        </w:rPr>
        <w:t xml:space="preserve"> the</w:t>
      </w:r>
      <w:r w:rsidR="000F4FF9" w:rsidRPr="00C20926">
        <w:rPr>
          <w:sz w:val="28"/>
          <w:szCs w:val="28"/>
        </w:rPr>
        <w:t xml:space="preserve"> objections.</w:t>
      </w:r>
    </w:p>
    <w:p w14:paraId="27D44547" w14:textId="77777777" w:rsidR="00B4485B" w:rsidRPr="00C20926" w:rsidRDefault="00B4485B" w:rsidP="00CF4C5A">
      <w:pPr>
        <w:rPr>
          <w:sz w:val="28"/>
          <w:szCs w:val="28"/>
        </w:rPr>
      </w:pPr>
    </w:p>
    <w:p w14:paraId="7D5C694A" w14:textId="373EE842" w:rsidR="000F4FF9" w:rsidRPr="00C20926" w:rsidRDefault="00B4485B" w:rsidP="00CF4C5A">
      <w:pPr>
        <w:rPr>
          <w:sz w:val="28"/>
          <w:szCs w:val="28"/>
        </w:rPr>
      </w:pPr>
      <w:r w:rsidRPr="00C20926">
        <w:rPr>
          <w:sz w:val="28"/>
          <w:szCs w:val="28"/>
        </w:rPr>
        <w:t>[</w:t>
      </w:r>
      <w:r w:rsidR="00470CAB" w:rsidRPr="00C20926">
        <w:rPr>
          <w:sz w:val="28"/>
          <w:szCs w:val="28"/>
        </w:rPr>
        <w:t>1</w:t>
      </w:r>
      <w:r w:rsidR="008E5943" w:rsidRPr="00C20926">
        <w:rPr>
          <w:sz w:val="28"/>
          <w:szCs w:val="28"/>
        </w:rPr>
        <w:t>0</w:t>
      </w:r>
      <w:r w:rsidRPr="00C20926">
        <w:rPr>
          <w:sz w:val="28"/>
          <w:szCs w:val="28"/>
        </w:rPr>
        <w:t>]</w:t>
      </w:r>
      <w:r w:rsidRPr="00C20926">
        <w:rPr>
          <w:sz w:val="28"/>
          <w:szCs w:val="28"/>
        </w:rPr>
        <w:tab/>
      </w:r>
      <w:r w:rsidR="000F4FF9" w:rsidRPr="00C20926">
        <w:rPr>
          <w:sz w:val="28"/>
          <w:szCs w:val="28"/>
        </w:rPr>
        <w:t>In the absence of an appeal SARS issued a final demand in respect of both the STC and CGT assessments. On 30 July 2014</w:t>
      </w:r>
      <w:r w:rsidR="00AD799A" w:rsidRPr="00C20926">
        <w:rPr>
          <w:sz w:val="28"/>
          <w:szCs w:val="28"/>
        </w:rPr>
        <w:t>,</w:t>
      </w:r>
      <w:r w:rsidR="000F4FF9" w:rsidRPr="00C20926">
        <w:rPr>
          <w:sz w:val="28"/>
          <w:szCs w:val="28"/>
        </w:rPr>
        <w:t xml:space="preserve"> SARS obtained a certified statement in terms of s 172(1) of the TAA in respect of both the STC and </w:t>
      </w:r>
      <w:r w:rsidR="00FC4789" w:rsidRPr="00C20926">
        <w:rPr>
          <w:sz w:val="28"/>
          <w:szCs w:val="28"/>
        </w:rPr>
        <w:t xml:space="preserve">the </w:t>
      </w:r>
      <w:r w:rsidR="000F4FF9" w:rsidRPr="00C20926">
        <w:rPr>
          <w:sz w:val="28"/>
          <w:szCs w:val="28"/>
        </w:rPr>
        <w:t>CGT liability. The third appellant informed SARS on 24 October 2014</w:t>
      </w:r>
      <w:r w:rsidR="00AD799A" w:rsidRPr="00C20926">
        <w:rPr>
          <w:sz w:val="28"/>
          <w:szCs w:val="28"/>
        </w:rPr>
        <w:t>,</w:t>
      </w:r>
      <w:r w:rsidR="000F4FF9" w:rsidRPr="00C20926">
        <w:rPr>
          <w:sz w:val="28"/>
          <w:szCs w:val="28"/>
        </w:rPr>
        <w:t xml:space="preserve"> that </w:t>
      </w:r>
      <w:r w:rsidR="00237000" w:rsidRPr="00C20926">
        <w:rPr>
          <w:sz w:val="28"/>
          <w:szCs w:val="28"/>
        </w:rPr>
        <w:t>Energy Africa</w:t>
      </w:r>
      <w:r w:rsidR="000F4FF9" w:rsidRPr="00C20926">
        <w:rPr>
          <w:sz w:val="28"/>
          <w:szCs w:val="28"/>
        </w:rPr>
        <w:t xml:space="preserve"> was dormant.</w:t>
      </w:r>
    </w:p>
    <w:p w14:paraId="668ED1C1" w14:textId="77777777" w:rsidR="00B4485B" w:rsidRPr="00C20926" w:rsidRDefault="00B4485B" w:rsidP="00CF4C5A">
      <w:pPr>
        <w:rPr>
          <w:sz w:val="28"/>
          <w:szCs w:val="28"/>
        </w:rPr>
      </w:pPr>
    </w:p>
    <w:p w14:paraId="0530FF9A" w14:textId="446BD1A4" w:rsidR="000F4FF9" w:rsidRPr="00C20926" w:rsidRDefault="00B4485B" w:rsidP="00CF4C5A">
      <w:pPr>
        <w:rPr>
          <w:sz w:val="28"/>
          <w:szCs w:val="28"/>
        </w:rPr>
      </w:pPr>
      <w:r w:rsidRPr="00C20926">
        <w:rPr>
          <w:sz w:val="28"/>
          <w:szCs w:val="28"/>
        </w:rPr>
        <w:t>[</w:t>
      </w:r>
      <w:r w:rsidR="00CF4C5A" w:rsidRPr="00C20926">
        <w:rPr>
          <w:sz w:val="28"/>
          <w:szCs w:val="28"/>
        </w:rPr>
        <w:t>1</w:t>
      </w:r>
      <w:r w:rsidR="008E5943" w:rsidRPr="00C20926">
        <w:rPr>
          <w:sz w:val="28"/>
          <w:szCs w:val="28"/>
        </w:rPr>
        <w:t>1</w:t>
      </w:r>
      <w:r w:rsidRPr="00C20926">
        <w:rPr>
          <w:sz w:val="28"/>
          <w:szCs w:val="28"/>
        </w:rPr>
        <w:t>]</w:t>
      </w:r>
      <w:r w:rsidRPr="00C20926">
        <w:rPr>
          <w:sz w:val="28"/>
          <w:szCs w:val="28"/>
        </w:rPr>
        <w:tab/>
      </w:r>
      <w:r w:rsidR="000F4FF9" w:rsidRPr="00C20926">
        <w:rPr>
          <w:sz w:val="28"/>
          <w:szCs w:val="28"/>
        </w:rPr>
        <w:t>On</w:t>
      </w:r>
      <w:r w:rsidRPr="00C20926">
        <w:rPr>
          <w:sz w:val="28"/>
          <w:szCs w:val="28"/>
        </w:rPr>
        <w:t xml:space="preserve"> </w:t>
      </w:r>
      <w:r w:rsidR="000F4FF9" w:rsidRPr="00C20926">
        <w:rPr>
          <w:sz w:val="28"/>
          <w:szCs w:val="28"/>
        </w:rPr>
        <w:t>10 July 2015</w:t>
      </w:r>
      <w:r w:rsidR="00AD799A" w:rsidRPr="00C20926">
        <w:rPr>
          <w:sz w:val="28"/>
          <w:szCs w:val="28"/>
        </w:rPr>
        <w:t>,</w:t>
      </w:r>
      <w:r w:rsidR="000F4FF9" w:rsidRPr="00C20926">
        <w:rPr>
          <w:sz w:val="28"/>
          <w:szCs w:val="28"/>
        </w:rPr>
        <w:t xml:space="preserve"> SARS applied for the designation by a judge for purposes of an inquiry in terms of </w:t>
      </w:r>
      <w:r w:rsidR="00FC4789" w:rsidRPr="00C20926">
        <w:rPr>
          <w:sz w:val="28"/>
          <w:szCs w:val="28"/>
        </w:rPr>
        <w:t xml:space="preserve">Part C of Chapter 5 of the </w:t>
      </w:r>
      <w:r w:rsidR="000F4FF9" w:rsidRPr="00C20926">
        <w:rPr>
          <w:sz w:val="28"/>
          <w:szCs w:val="28"/>
        </w:rPr>
        <w:t>TAA</w:t>
      </w:r>
      <w:r w:rsidRPr="00C20926">
        <w:rPr>
          <w:sz w:val="28"/>
          <w:szCs w:val="28"/>
        </w:rPr>
        <w:t xml:space="preserve">. </w:t>
      </w:r>
      <w:r w:rsidR="00237000" w:rsidRPr="00C20926">
        <w:rPr>
          <w:sz w:val="28"/>
          <w:szCs w:val="28"/>
        </w:rPr>
        <w:t xml:space="preserve">An inquiry was conducted during which the appellants testified. </w:t>
      </w:r>
      <w:r w:rsidR="000F4FF9" w:rsidRPr="00C20926">
        <w:rPr>
          <w:sz w:val="28"/>
          <w:szCs w:val="28"/>
        </w:rPr>
        <w:t>On 25 October 2016</w:t>
      </w:r>
      <w:r w:rsidR="00AD799A" w:rsidRPr="00C20926">
        <w:rPr>
          <w:sz w:val="28"/>
          <w:szCs w:val="28"/>
        </w:rPr>
        <w:t>,</w:t>
      </w:r>
      <w:r w:rsidR="000F4FF9" w:rsidRPr="00C20926">
        <w:rPr>
          <w:sz w:val="28"/>
          <w:szCs w:val="28"/>
        </w:rPr>
        <w:t xml:space="preserve"> notices of personal liability were sent in terms of s 183 </w:t>
      </w:r>
      <w:r w:rsidR="002B2C11" w:rsidRPr="00C20926">
        <w:rPr>
          <w:sz w:val="28"/>
          <w:szCs w:val="28"/>
        </w:rPr>
        <w:t xml:space="preserve">of the TAA, </w:t>
      </w:r>
      <w:r w:rsidR="000F4FF9" w:rsidRPr="00C20926">
        <w:rPr>
          <w:sz w:val="28"/>
          <w:szCs w:val="28"/>
        </w:rPr>
        <w:t xml:space="preserve">by SARS to the appellants. These notices stated that first and second appellants had knowingly assisted the taxpayer in dissipating its only asset of value to obstruct the collection of a tax </w:t>
      </w:r>
      <w:r w:rsidR="0006001E" w:rsidRPr="00C20926">
        <w:rPr>
          <w:sz w:val="28"/>
          <w:szCs w:val="28"/>
        </w:rPr>
        <w:t xml:space="preserve">debt. </w:t>
      </w:r>
      <w:r w:rsidR="00E87DAF" w:rsidRPr="00C20926">
        <w:rPr>
          <w:sz w:val="28"/>
          <w:szCs w:val="28"/>
        </w:rPr>
        <w:t>During</w:t>
      </w:r>
      <w:r w:rsidR="000A0C5F" w:rsidRPr="00C20926">
        <w:rPr>
          <w:sz w:val="28"/>
          <w:szCs w:val="28"/>
        </w:rPr>
        <w:t xml:space="preserve"> April</w:t>
      </w:r>
      <w:r w:rsidR="00CE1F34" w:rsidRPr="00C20926">
        <w:rPr>
          <w:sz w:val="28"/>
          <w:szCs w:val="28"/>
        </w:rPr>
        <w:t xml:space="preserve"> 2016</w:t>
      </w:r>
      <w:r w:rsidR="00AD799A" w:rsidRPr="00C20926">
        <w:rPr>
          <w:sz w:val="28"/>
          <w:szCs w:val="28"/>
        </w:rPr>
        <w:t>,</w:t>
      </w:r>
      <w:r w:rsidR="00CE1F34" w:rsidRPr="00C20926">
        <w:rPr>
          <w:sz w:val="28"/>
          <w:szCs w:val="28"/>
        </w:rPr>
        <w:t xml:space="preserve"> the taxpayer was liquidated by order of</w:t>
      </w:r>
      <w:r w:rsidR="00B960ED" w:rsidRPr="00C20926">
        <w:rPr>
          <w:sz w:val="28"/>
          <w:szCs w:val="28"/>
        </w:rPr>
        <w:t xml:space="preserve"> </w:t>
      </w:r>
      <w:r w:rsidR="0006001E" w:rsidRPr="00C20926">
        <w:rPr>
          <w:sz w:val="28"/>
          <w:szCs w:val="28"/>
        </w:rPr>
        <w:t>court.</w:t>
      </w:r>
      <w:r w:rsidR="000F4FF9" w:rsidRPr="00C20926">
        <w:rPr>
          <w:sz w:val="28"/>
          <w:szCs w:val="28"/>
        </w:rPr>
        <w:t xml:space="preserve"> On 16 January 2017</w:t>
      </w:r>
      <w:r w:rsidR="00AD799A" w:rsidRPr="00C20926">
        <w:rPr>
          <w:sz w:val="28"/>
          <w:szCs w:val="28"/>
        </w:rPr>
        <w:t>,</w:t>
      </w:r>
      <w:r w:rsidR="000F4FF9" w:rsidRPr="00C20926">
        <w:rPr>
          <w:sz w:val="28"/>
          <w:szCs w:val="28"/>
        </w:rPr>
        <w:t xml:space="preserve"> written representations were addressed to SARS </w:t>
      </w:r>
      <w:r w:rsidR="00237000" w:rsidRPr="00C20926">
        <w:rPr>
          <w:sz w:val="28"/>
          <w:szCs w:val="28"/>
        </w:rPr>
        <w:t xml:space="preserve">on behalf of the appellants </w:t>
      </w:r>
      <w:r w:rsidR="000F4FF9" w:rsidRPr="00C20926">
        <w:rPr>
          <w:sz w:val="28"/>
          <w:szCs w:val="28"/>
        </w:rPr>
        <w:t>in terms of s</w:t>
      </w:r>
      <w:r w:rsidRPr="00C20926">
        <w:rPr>
          <w:sz w:val="28"/>
          <w:szCs w:val="28"/>
        </w:rPr>
        <w:t xml:space="preserve"> </w:t>
      </w:r>
      <w:r w:rsidR="000F4FF9" w:rsidRPr="00C20926">
        <w:rPr>
          <w:sz w:val="28"/>
          <w:szCs w:val="28"/>
        </w:rPr>
        <w:t xml:space="preserve">184 of the TAA. </w:t>
      </w:r>
      <w:r w:rsidR="00237000" w:rsidRPr="00C20926">
        <w:rPr>
          <w:sz w:val="28"/>
          <w:szCs w:val="28"/>
        </w:rPr>
        <w:t>They</w:t>
      </w:r>
      <w:r w:rsidR="000F4FF9" w:rsidRPr="00C20926">
        <w:rPr>
          <w:sz w:val="28"/>
          <w:szCs w:val="28"/>
        </w:rPr>
        <w:t xml:space="preserve"> maintained that</w:t>
      </w:r>
      <w:r w:rsidR="00FC4789" w:rsidRPr="00C20926">
        <w:rPr>
          <w:sz w:val="28"/>
          <w:szCs w:val="28"/>
        </w:rPr>
        <w:t>,</w:t>
      </w:r>
      <w:r w:rsidR="000F4FF9" w:rsidRPr="00C20926">
        <w:rPr>
          <w:sz w:val="28"/>
          <w:szCs w:val="28"/>
        </w:rPr>
        <w:t xml:space="preserve"> </w:t>
      </w:r>
      <w:r w:rsidR="00CA4BA0" w:rsidRPr="00C20926">
        <w:rPr>
          <w:sz w:val="28"/>
          <w:szCs w:val="28"/>
        </w:rPr>
        <w:t xml:space="preserve">because the dissipation of Energy Africa’s assets </w:t>
      </w:r>
      <w:r w:rsidR="000F4FF9" w:rsidRPr="00C20926">
        <w:rPr>
          <w:sz w:val="28"/>
          <w:szCs w:val="28"/>
        </w:rPr>
        <w:t>occurred</w:t>
      </w:r>
      <w:r w:rsidRPr="00C20926">
        <w:rPr>
          <w:sz w:val="28"/>
          <w:szCs w:val="28"/>
        </w:rPr>
        <w:t xml:space="preserve"> </w:t>
      </w:r>
      <w:r w:rsidR="000F4FF9" w:rsidRPr="00C20926">
        <w:rPr>
          <w:sz w:val="28"/>
          <w:szCs w:val="28"/>
        </w:rPr>
        <w:t xml:space="preserve">prior to the raising of </w:t>
      </w:r>
      <w:r w:rsidR="00FC4789" w:rsidRPr="00C20926">
        <w:rPr>
          <w:sz w:val="28"/>
          <w:szCs w:val="28"/>
        </w:rPr>
        <w:t xml:space="preserve">the </w:t>
      </w:r>
      <w:r w:rsidR="000F4FF9" w:rsidRPr="00C20926">
        <w:rPr>
          <w:sz w:val="28"/>
          <w:szCs w:val="28"/>
        </w:rPr>
        <w:t>STC and</w:t>
      </w:r>
      <w:r w:rsidR="00FC4789" w:rsidRPr="00C20926">
        <w:rPr>
          <w:sz w:val="28"/>
          <w:szCs w:val="28"/>
        </w:rPr>
        <w:t xml:space="preserve"> the</w:t>
      </w:r>
      <w:r w:rsidR="000F4FF9" w:rsidRPr="00C20926">
        <w:rPr>
          <w:sz w:val="28"/>
          <w:szCs w:val="28"/>
        </w:rPr>
        <w:t xml:space="preserve"> CGT assessments, there</w:t>
      </w:r>
      <w:r w:rsidR="005379E6" w:rsidRPr="00C20926">
        <w:rPr>
          <w:sz w:val="28"/>
          <w:szCs w:val="28"/>
        </w:rPr>
        <w:t xml:space="preserve"> existed</w:t>
      </w:r>
      <w:r w:rsidR="000F4FF9" w:rsidRPr="00C20926">
        <w:rPr>
          <w:sz w:val="28"/>
          <w:szCs w:val="28"/>
        </w:rPr>
        <w:t xml:space="preserve"> no tax </w:t>
      </w:r>
      <w:r w:rsidR="005379E6" w:rsidRPr="00C20926">
        <w:rPr>
          <w:sz w:val="28"/>
          <w:szCs w:val="28"/>
        </w:rPr>
        <w:t>debt as</w:t>
      </w:r>
      <w:r w:rsidR="00D872D7" w:rsidRPr="00C20926">
        <w:rPr>
          <w:sz w:val="28"/>
          <w:szCs w:val="28"/>
        </w:rPr>
        <w:t xml:space="preserve"> defined in the TAA </w:t>
      </w:r>
      <w:r w:rsidR="000F4FF9" w:rsidRPr="00C20926">
        <w:rPr>
          <w:sz w:val="28"/>
          <w:szCs w:val="28"/>
        </w:rPr>
        <w:t xml:space="preserve">at the time. </w:t>
      </w:r>
    </w:p>
    <w:p w14:paraId="1E01F1FC" w14:textId="77777777" w:rsidR="008B5F43" w:rsidRPr="00C20926" w:rsidRDefault="008B5F43" w:rsidP="00CF4C5A">
      <w:pPr>
        <w:rPr>
          <w:sz w:val="28"/>
          <w:szCs w:val="28"/>
        </w:rPr>
      </w:pPr>
    </w:p>
    <w:p w14:paraId="049E3B75" w14:textId="35DBA2D3" w:rsidR="00CA4BA0" w:rsidRPr="00C20926" w:rsidRDefault="00CA4BA0" w:rsidP="00CF4C5A">
      <w:pPr>
        <w:rPr>
          <w:b/>
          <w:bCs/>
          <w:sz w:val="28"/>
          <w:szCs w:val="28"/>
        </w:rPr>
      </w:pPr>
      <w:r w:rsidRPr="00C20926">
        <w:rPr>
          <w:b/>
          <w:bCs/>
          <w:sz w:val="28"/>
          <w:szCs w:val="28"/>
        </w:rPr>
        <w:t>Proceedings in the high court</w:t>
      </w:r>
    </w:p>
    <w:p w14:paraId="41EB2657" w14:textId="688F7281" w:rsidR="00EE3162" w:rsidRPr="00C20926" w:rsidRDefault="00B4485B" w:rsidP="005A1F35">
      <w:pPr>
        <w:rPr>
          <w:sz w:val="28"/>
          <w:szCs w:val="28"/>
        </w:rPr>
      </w:pPr>
      <w:r w:rsidRPr="00C20926">
        <w:rPr>
          <w:sz w:val="28"/>
          <w:szCs w:val="28"/>
        </w:rPr>
        <w:t>[</w:t>
      </w:r>
      <w:r w:rsidR="00CF4C5A" w:rsidRPr="00C20926">
        <w:rPr>
          <w:sz w:val="28"/>
          <w:szCs w:val="28"/>
        </w:rPr>
        <w:t>1</w:t>
      </w:r>
      <w:r w:rsidR="008E5943" w:rsidRPr="00C20926">
        <w:rPr>
          <w:sz w:val="28"/>
          <w:szCs w:val="28"/>
        </w:rPr>
        <w:t>2</w:t>
      </w:r>
      <w:r w:rsidRPr="00C20926">
        <w:rPr>
          <w:sz w:val="28"/>
          <w:szCs w:val="28"/>
        </w:rPr>
        <w:t>]</w:t>
      </w:r>
      <w:r w:rsidRPr="00C20926">
        <w:rPr>
          <w:sz w:val="28"/>
          <w:szCs w:val="28"/>
        </w:rPr>
        <w:tab/>
      </w:r>
      <w:r w:rsidR="00CA4BA0" w:rsidRPr="00C20926">
        <w:rPr>
          <w:sz w:val="28"/>
          <w:szCs w:val="28"/>
        </w:rPr>
        <w:t xml:space="preserve">As indicated, the trial before the high court proceeded only upon the agreed separated issues. </w:t>
      </w:r>
      <w:r w:rsidR="00AE6E43" w:rsidRPr="00C20926">
        <w:rPr>
          <w:sz w:val="28"/>
          <w:szCs w:val="28"/>
        </w:rPr>
        <w:t>SARS called one witness</w:t>
      </w:r>
      <w:r w:rsidR="00912CB3" w:rsidRPr="00C20926">
        <w:rPr>
          <w:sz w:val="28"/>
          <w:szCs w:val="28"/>
        </w:rPr>
        <w:t xml:space="preserve"> </w:t>
      </w:r>
      <w:r w:rsidR="00305175" w:rsidRPr="00C20926">
        <w:rPr>
          <w:sz w:val="28"/>
          <w:szCs w:val="28"/>
        </w:rPr>
        <w:t>Mr Kane</w:t>
      </w:r>
      <w:r w:rsidR="00912CB3" w:rsidRPr="00C20926">
        <w:rPr>
          <w:sz w:val="28"/>
          <w:szCs w:val="28"/>
        </w:rPr>
        <w:t xml:space="preserve"> (</w:t>
      </w:r>
      <w:r w:rsidR="00636CC9" w:rsidRPr="00C20926">
        <w:rPr>
          <w:sz w:val="28"/>
          <w:szCs w:val="28"/>
        </w:rPr>
        <w:t>Kane</w:t>
      </w:r>
      <w:r w:rsidR="00FC4789" w:rsidRPr="00C20926">
        <w:rPr>
          <w:sz w:val="28"/>
          <w:szCs w:val="28"/>
        </w:rPr>
        <w:t>)</w:t>
      </w:r>
      <w:r w:rsidR="00CA4BA0" w:rsidRPr="00C20926">
        <w:rPr>
          <w:sz w:val="28"/>
          <w:szCs w:val="28"/>
        </w:rPr>
        <w:t>.</w:t>
      </w:r>
      <w:r w:rsidR="00FC4789" w:rsidRPr="00C20926">
        <w:rPr>
          <w:sz w:val="28"/>
          <w:szCs w:val="28"/>
        </w:rPr>
        <w:t xml:space="preserve"> </w:t>
      </w:r>
      <w:r w:rsidR="00554A69" w:rsidRPr="00C20926">
        <w:rPr>
          <w:sz w:val="28"/>
          <w:szCs w:val="28"/>
        </w:rPr>
        <w:t>He</w:t>
      </w:r>
      <w:r w:rsidR="006C20B9" w:rsidRPr="00C20926">
        <w:rPr>
          <w:sz w:val="28"/>
          <w:szCs w:val="28"/>
        </w:rPr>
        <w:t xml:space="preserve"> was the lead auditor</w:t>
      </w:r>
      <w:r w:rsidR="001A7D6A" w:rsidRPr="00C20926">
        <w:rPr>
          <w:sz w:val="28"/>
          <w:szCs w:val="28"/>
        </w:rPr>
        <w:t xml:space="preserve"> </w:t>
      </w:r>
      <w:r w:rsidR="00FC4789" w:rsidRPr="00C20926">
        <w:rPr>
          <w:sz w:val="28"/>
          <w:szCs w:val="28"/>
        </w:rPr>
        <w:t xml:space="preserve">who had been </w:t>
      </w:r>
      <w:r w:rsidR="001A7D6A" w:rsidRPr="00C20926">
        <w:rPr>
          <w:sz w:val="28"/>
          <w:szCs w:val="28"/>
        </w:rPr>
        <w:t>auditing the taxpayer</w:t>
      </w:r>
      <w:r w:rsidR="001B62EF" w:rsidRPr="00C20926">
        <w:rPr>
          <w:sz w:val="28"/>
          <w:szCs w:val="28"/>
        </w:rPr>
        <w:t>’s affairs since 2010</w:t>
      </w:r>
      <w:r w:rsidR="00FC4789" w:rsidRPr="00C20926">
        <w:rPr>
          <w:sz w:val="28"/>
          <w:szCs w:val="28"/>
        </w:rPr>
        <w:t>. H</w:t>
      </w:r>
      <w:r w:rsidR="00CC66E6" w:rsidRPr="00C20926">
        <w:rPr>
          <w:sz w:val="28"/>
          <w:szCs w:val="28"/>
        </w:rPr>
        <w:t>e</w:t>
      </w:r>
      <w:r w:rsidR="0002719A" w:rsidRPr="00C20926">
        <w:rPr>
          <w:sz w:val="28"/>
          <w:szCs w:val="28"/>
        </w:rPr>
        <w:t xml:space="preserve"> confirmed the facts set out above.</w:t>
      </w:r>
      <w:r w:rsidR="00CF4C5A" w:rsidRPr="00C20926">
        <w:rPr>
          <w:sz w:val="28"/>
          <w:szCs w:val="28"/>
        </w:rPr>
        <w:t xml:space="preserve"> </w:t>
      </w:r>
      <w:r w:rsidR="00FC4789" w:rsidRPr="00C20926">
        <w:rPr>
          <w:sz w:val="28"/>
          <w:szCs w:val="28"/>
        </w:rPr>
        <w:t xml:space="preserve">He testified that </w:t>
      </w:r>
      <w:r w:rsidR="00D96FA4" w:rsidRPr="00C20926">
        <w:rPr>
          <w:sz w:val="28"/>
          <w:szCs w:val="28"/>
        </w:rPr>
        <w:t xml:space="preserve">the </w:t>
      </w:r>
      <w:r w:rsidR="00E31E38" w:rsidRPr="00C20926">
        <w:rPr>
          <w:sz w:val="28"/>
          <w:szCs w:val="28"/>
        </w:rPr>
        <w:t xml:space="preserve">EAH disposal </w:t>
      </w:r>
      <w:r w:rsidR="00D96FA4" w:rsidRPr="00C20926">
        <w:rPr>
          <w:sz w:val="28"/>
          <w:szCs w:val="28"/>
        </w:rPr>
        <w:t>to TOH</w:t>
      </w:r>
      <w:r w:rsidR="003428A6" w:rsidRPr="00C20926">
        <w:rPr>
          <w:sz w:val="28"/>
          <w:szCs w:val="28"/>
        </w:rPr>
        <w:t xml:space="preserve"> during 2007 </w:t>
      </w:r>
      <w:r w:rsidR="00FF2536" w:rsidRPr="00C20926">
        <w:rPr>
          <w:sz w:val="28"/>
          <w:szCs w:val="28"/>
        </w:rPr>
        <w:t>was</w:t>
      </w:r>
      <w:r w:rsidR="003428A6" w:rsidRPr="00C20926">
        <w:rPr>
          <w:sz w:val="28"/>
          <w:szCs w:val="28"/>
        </w:rPr>
        <w:t xml:space="preserve"> a disposal to </w:t>
      </w:r>
      <w:r w:rsidR="000E16EA" w:rsidRPr="00C20926">
        <w:rPr>
          <w:sz w:val="28"/>
          <w:szCs w:val="28"/>
        </w:rPr>
        <w:t>a connected</w:t>
      </w:r>
      <w:r w:rsidR="00392FC5" w:rsidRPr="00C20926">
        <w:rPr>
          <w:sz w:val="28"/>
          <w:szCs w:val="28"/>
        </w:rPr>
        <w:t xml:space="preserve"> perso</w:t>
      </w:r>
      <w:r w:rsidR="000E16EA" w:rsidRPr="00C20926">
        <w:rPr>
          <w:sz w:val="28"/>
          <w:szCs w:val="28"/>
        </w:rPr>
        <w:t>n</w:t>
      </w:r>
      <w:r w:rsidR="00EA120D" w:rsidRPr="00C20926">
        <w:rPr>
          <w:sz w:val="28"/>
          <w:szCs w:val="28"/>
        </w:rPr>
        <w:t xml:space="preserve"> not at market </w:t>
      </w:r>
      <w:r w:rsidR="00DC57A1" w:rsidRPr="00C20926">
        <w:rPr>
          <w:sz w:val="28"/>
          <w:szCs w:val="28"/>
        </w:rPr>
        <w:t>value. He</w:t>
      </w:r>
      <w:r w:rsidR="00B15907" w:rsidRPr="00C20926">
        <w:rPr>
          <w:sz w:val="28"/>
          <w:szCs w:val="28"/>
        </w:rPr>
        <w:t xml:space="preserve"> said that the </w:t>
      </w:r>
      <w:r w:rsidR="00DC57A1" w:rsidRPr="00C20926">
        <w:rPr>
          <w:sz w:val="28"/>
          <w:szCs w:val="28"/>
        </w:rPr>
        <w:t>difference</w:t>
      </w:r>
      <w:r w:rsidR="00B15907" w:rsidRPr="00C20926">
        <w:rPr>
          <w:sz w:val="28"/>
          <w:szCs w:val="28"/>
        </w:rPr>
        <w:t xml:space="preserve"> in price</w:t>
      </w:r>
      <w:r w:rsidR="008D6BEC" w:rsidRPr="00C20926">
        <w:rPr>
          <w:sz w:val="28"/>
          <w:szCs w:val="28"/>
        </w:rPr>
        <w:t xml:space="preserve"> between </w:t>
      </w:r>
      <w:r w:rsidR="008D6BEC" w:rsidRPr="00C20926">
        <w:rPr>
          <w:sz w:val="28"/>
          <w:szCs w:val="28"/>
        </w:rPr>
        <w:lastRenderedPageBreak/>
        <w:t>what was paid and the market value</w:t>
      </w:r>
      <w:r w:rsidR="002D30D5" w:rsidRPr="00C20926">
        <w:rPr>
          <w:sz w:val="28"/>
          <w:szCs w:val="28"/>
        </w:rPr>
        <w:t xml:space="preserve"> was the deemed </w:t>
      </w:r>
      <w:r w:rsidR="00DC57A1" w:rsidRPr="00C20926">
        <w:rPr>
          <w:sz w:val="28"/>
          <w:szCs w:val="28"/>
        </w:rPr>
        <w:t>dividend, if</w:t>
      </w:r>
      <w:r w:rsidR="007C790B" w:rsidRPr="00C20926">
        <w:rPr>
          <w:sz w:val="28"/>
          <w:szCs w:val="28"/>
        </w:rPr>
        <w:t xml:space="preserve"> the disposal was at market </w:t>
      </w:r>
      <w:r w:rsidR="009E69CB" w:rsidRPr="00C20926">
        <w:rPr>
          <w:sz w:val="28"/>
          <w:szCs w:val="28"/>
        </w:rPr>
        <w:t>value a</w:t>
      </w:r>
      <w:r w:rsidR="00662DCA" w:rsidRPr="00C20926">
        <w:rPr>
          <w:sz w:val="28"/>
          <w:szCs w:val="28"/>
        </w:rPr>
        <w:t xml:space="preserve"> deemed dividend would not have occurred</w:t>
      </w:r>
      <w:r w:rsidR="00FF2536" w:rsidRPr="00C20926">
        <w:rPr>
          <w:sz w:val="28"/>
          <w:szCs w:val="28"/>
        </w:rPr>
        <w:t>,</w:t>
      </w:r>
      <w:r w:rsidR="00662DCA" w:rsidRPr="00C20926">
        <w:rPr>
          <w:sz w:val="28"/>
          <w:szCs w:val="28"/>
        </w:rPr>
        <w:t xml:space="preserve"> as it</w:t>
      </w:r>
      <w:r w:rsidR="00060415" w:rsidRPr="00C20926">
        <w:rPr>
          <w:sz w:val="28"/>
          <w:szCs w:val="28"/>
        </w:rPr>
        <w:t xml:space="preserve"> would</w:t>
      </w:r>
      <w:r w:rsidR="00C351CA" w:rsidRPr="00C20926">
        <w:rPr>
          <w:sz w:val="28"/>
          <w:szCs w:val="28"/>
        </w:rPr>
        <w:t xml:space="preserve"> </w:t>
      </w:r>
      <w:r w:rsidR="009E69CB" w:rsidRPr="00C20926">
        <w:rPr>
          <w:sz w:val="28"/>
          <w:szCs w:val="28"/>
        </w:rPr>
        <w:t>have been</w:t>
      </w:r>
      <w:r w:rsidR="00060415" w:rsidRPr="00C20926">
        <w:rPr>
          <w:sz w:val="28"/>
          <w:szCs w:val="28"/>
        </w:rPr>
        <w:t xml:space="preserve"> regarded as a </w:t>
      </w:r>
      <w:r w:rsidR="007B23FD" w:rsidRPr="00C20926">
        <w:rPr>
          <w:sz w:val="28"/>
          <w:szCs w:val="28"/>
        </w:rPr>
        <w:t>distribution. He</w:t>
      </w:r>
      <w:r w:rsidR="00CE323D" w:rsidRPr="00C20926">
        <w:rPr>
          <w:sz w:val="28"/>
          <w:szCs w:val="28"/>
        </w:rPr>
        <w:t xml:space="preserve"> </w:t>
      </w:r>
      <w:r w:rsidR="006C4A1C" w:rsidRPr="00C20926">
        <w:rPr>
          <w:sz w:val="28"/>
          <w:szCs w:val="28"/>
        </w:rPr>
        <w:t>explained</w:t>
      </w:r>
      <w:r w:rsidR="006316C2" w:rsidRPr="00C20926">
        <w:rPr>
          <w:sz w:val="28"/>
          <w:szCs w:val="28"/>
        </w:rPr>
        <w:t xml:space="preserve"> how</w:t>
      </w:r>
      <w:r w:rsidR="00906C71" w:rsidRPr="00C20926">
        <w:rPr>
          <w:sz w:val="28"/>
          <w:szCs w:val="28"/>
        </w:rPr>
        <w:t xml:space="preserve"> </w:t>
      </w:r>
      <w:r w:rsidR="00FC4789" w:rsidRPr="00C20926">
        <w:rPr>
          <w:sz w:val="28"/>
          <w:szCs w:val="28"/>
        </w:rPr>
        <w:t xml:space="preserve">the </w:t>
      </w:r>
      <w:r w:rsidR="006316C2" w:rsidRPr="00C20926">
        <w:rPr>
          <w:sz w:val="28"/>
          <w:szCs w:val="28"/>
        </w:rPr>
        <w:t xml:space="preserve">CGT and </w:t>
      </w:r>
      <w:r w:rsidR="00FC4789" w:rsidRPr="00C20926">
        <w:rPr>
          <w:sz w:val="28"/>
          <w:szCs w:val="28"/>
        </w:rPr>
        <w:t xml:space="preserve">the </w:t>
      </w:r>
      <w:r w:rsidR="006316C2" w:rsidRPr="00C20926">
        <w:rPr>
          <w:sz w:val="28"/>
          <w:szCs w:val="28"/>
        </w:rPr>
        <w:t>STC</w:t>
      </w:r>
      <w:r w:rsidR="00906C71" w:rsidRPr="00C20926">
        <w:rPr>
          <w:sz w:val="28"/>
          <w:szCs w:val="28"/>
        </w:rPr>
        <w:t xml:space="preserve"> were calculated.</w:t>
      </w:r>
      <w:r w:rsidR="009E69CB" w:rsidRPr="00C20926">
        <w:rPr>
          <w:sz w:val="28"/>
          <w:szCs w:val="28"/>
        </w:rPr>
        <w:t xml:space="preserve"> He</w:t>
      </w:r>
      <w:r w:rsidR="003D4C3E" w:rsidRPr="00C20926">
        <w:rPr>
          <w:sz w:val="28"/>
          <w:szCs w:val="28"/>
        </w:rPr>
        <w:t xml:space="preserve"> testified that </w:t>
      </w:r>
      <w:r w:rsidR="007F26E1" w:rsidRPr="00C20926">
        <w:rPr>
          <w:sz w:val="28"/>
          <w:szCs w:val="28"/>
        </w:rPr>
        <w:t>the adjustment</w:t>
      </w:r>
      <w:r w:rsidR="00E31E38" w:rsidRPr="00C20926">
        <w:rPr>
          <w:sz w:val="28"/>
          <w:szCs w:val="28"/>
        </w:rPr>
        <w:t xml:space="preserve"> assessments were</w:t>
      </w:r>
      <w:r w:rsidR="00C47AC2" w:rsidRPr="00C20926">
        <w:rPr>
          <w:sz w:val="28"/>
          <w:szCs w:val="28"/>
        </w:rPr>
        <w:t xml:space="preserve"> related to the EAH disposal</w:t>
      </w:r>
      <w:r w:rsidR="005352E4" w:rsidRPr="00C20926">
        <w:rPr>
          <w:sz w:val="28"/>
          <w:szCs w:val="28"/>
        </w:rPr>
        <w:t xml:space="preserve"> during January 2007</w:t>
      </w:r>
      <w:r w:rsidR="00A22446" w:rsidRPr="00C20926">
        <w:rPr>
          <w:sz w:val="28"/>
          <w:szCs w:val="28"/>
        </w:rPr>
        <w:t xml:space="preserve">. </w:t>
      </w:r>
    </w:p>
    <w:p w14:paraId="027E8D3C" w14:textId="77777777" w:rsidR="00EE3162" w:rsidRPr="00C20926" w:rsidRDefault="00EE3162" w:rsidP="005A1F35">
      <w:pPr>
        <w:rPr>
          <w:sz w:val="28"/>
          <w:szCs w:val="28"/>
        </w:rPr>
      </w:pPr>
    </w:p>
    <w:p w14:paraId="7C6AF603" w14:textId="4F1A2DA6" w:rsidR="005A1F35" w:rsidRPr="00C20926" w:rsidRDefault="00EE3162" w:rsidP="005A1F35">
      <w:pPr>
        <w:rPr>
          <w:sz w:val="28"/>
          <w:szCs w:val="28"/>
        </w:rPr>
      </w:pPr>
      <w:r w:rsidRPr="00C20926">
        <w:rPr>
          <w:sz w:val="28"/>
          <w:szCs w:val="28"/>
        </w:rPr>
        <w:t>[1</w:t>
      </w:r>
      <w:r w:rsidR="008E5943" w:rsidRPr="00C20926">
        <w:rPr>
          <w:sz w:val="28"/>
          <w:szCs w:val="28"/>
        </w:rPr>
        <w:t>3</w:t>
      </w:r>
      <w:r w:rsidRPr="00C20926">
        <w:rPr>
          <w:sz w:val="28"/>
          <w:szCs w:val="28"/>
        </w:rPr>
        <w:t>]</w:t>
      </w:r>
      <w:r w:rsidRPr="00C20926">
        <w:rPr>
          <w:sz w:val="28"/>
          <w:szCs w:val="28"/>
        </w:rPr>
        <w:tab/>
      </w:r>
      <w:r w:rsidR="005352E4" w:rsidRPr="00C20926">
        <w:rPr>
          <w:sz w:val="28"/>
          <w:szCs w:val="28"/>
        </w:rPr>
        <w:t>SAR</w:t>
      </w:r>
      <w:r w:rsidR="00AD799A" w:rsidRPr="00C20926">
        <w:rPr>
          <w:sz w:val="28"/>
          <w:szCs w:val="28"/>
        </w:rPr>
        <w:t>S</w:t>
      </w:r>
      <w:r w:rsidR="009D1D05" w:rsidRPr="00C20926">
        <w:rPr>
          <w:sz w:val="28"/>
          <w:szCs w:val="28"/>
        </w:rPr>
        <w:t xml:space="preserve">’s </w:t>
      </w:r>
      <w:r w:rsidR="00E31E38" w:rsidRPr="00C20926">
        <w:rPr>
          <w:sz w:val="28"/>
          <w:szCs w:val="28"/>
        </w:rPr>
        <w:t>view was</w:t>
      </w:r>
      <w:r w:rsidR="009D1D05" w:rsidRPr="00C20926">
        <w:rPr>
          <w:sz w:val="28"/>
          <w:szCs w:val="28"/>
        </w:rPr>
        <w:t xml:space="preserve"> premised</w:t>
      </w:r>
      <w:r w:rsidR="00A96D9F" w:rsidRPr="00C20926">
        <w:rPr>
          <w:sz w:val="28"/>
          <w:szCs w:val="28"/>
        </w:rPr>
        <w:t xml:space="preserve"> upon the fact that</w:t>
      </w:r>
      <w:r w:rsidR="003E411C" w:rsidRPr="00C20926">
        <w:rPr>
          <w:sz w:val="28"/>
          <w:szCs w:val="28"/>
        </w:rPr>
        <w:t xml:space="preserve"> </w:t>
      </w:r>
      <w:r w:rsidR="00F412E9" w:rsidRPr="00C20926">
        <w:rPr>
          <w:sz w:val="28"/>
          <w:szCs w:val="28"/>
        </w:rPr>
        <w:t>the true consideration</w:t>
      </w:r>
      <w:r w:rsidR="00001236" w:rsidRPr="00C20926">
        <w:rPr>
          <w:sz w:val="28"/>
          <w:szCs w:val="28"/>
        </w:rPr>
        <w:t xml:space="preserve"> for the disposal </w:t>
      </w:r>
      <w:r w:rsidR="00255311" w:rsidRPr="00C20926">
        <w:rPr>
          <w:sz w:val="28"/>
          <w:szCs w:val="28"/>
        </w:rPr>
        <w:t>was USD 1.2</w:t>
      </w:r>
      <w:r w:rsidR="0062302A" w:rsidRPr="00C20926">
        <w:rPr>
          <w:sz w:val="28"/>
          <w:szCs w:val="28"/>
        </w:rPr>
        <w:t xml:space="preserve"> </w:t>
      </w:r>
      <w:r w:rsidR="00255311" w:rsidRPr="00C20926">
        <w:rPr>
          <w:sz w:val="28"/>
          <w:szCs w:val="28"/>
        </w:rPr>
        <w:t>million</w:t>
      </w:r>
      <w:r w:rsidR="00B40AB2" w:rsidRPr="00C20926">
        <w:rPr>
          <w:sz w:val="28"/>
          <w:szCs w:val="28"/>
        </w:rPr>
        <w:t xml:space="preserve"> and to the exten</w:t>
      </w:r>
      <w:r w:rsidR="00AD799A" w:rsidRPr="00C20926">
        <w:rPr>
          <w:sz w:val="28"/>
          <w:szCs w:val="28"/>
        </w:rPr>
        <w:t>t</w:t>
      </w:r>
      <w:r w:rsidR="00B40AB2" w:rsidRPr="00C20926">
        <w:rPr>
          <w:sz w:val="28"/>
          <w:szCs w:val="28"/>
        </w:rPr>
        <w:t xml:space="preserve"> that it is contended</w:t>
      </w:r>
      <w:r w:rsidR="009E69CB" w:rsidRPr="00C20926">
        <w:rPr>
          <w:sz w:val="28"/>
          <w:szCs w:val="28"/>
        </w:rPr>
        <w:t xml:space="preserve"> </w:t>
      </w:r>
      <w:r w:rsidR="00AE00BF" w:rsidRPr="00C20926">
        <w:rPr>
          <w:sz w:val="28"/>
          <w:szCs w:val="28"/>
        </w:rPr>
        <w:t>to be</w:t>
      </w:r>
      <w:r w:rsidR="00D40BE0" w:rsidRPr="00C20926">
        <w:rPr>
          <w:sz w:val="28"/>
          <w:szCs w:val="28"/>
        </w:rPr>
        <w:t xml:space="preserve"> USD 543.76 million or USD</w:t>
      </w:r>
      <w:r w:rsidR="00627A93" w:rsidRPr="00C20926">
        <w:rPr>
          <w:sz w:val="28"/>
          <w:szCs w:val="28"/>
        </w:rPr>
        <w:t xml:space="preserve"> 544.96 </w:t>
      </w:r>
      <w:r w:rsidR="00BF38E3" w:rsidRPr="00C20926">
        <w:rPr>
          <w:sz w:val="28"/>
          <w:szCs w:val="28"/>
        </w:rPr>
        <w:t xml:space="preserve">million, </w:t>
      </w:r>
      <w:r w:rsidR="002B0A40" w:rsidRPr="00C20926">
        <w:rPr>
          <w:sz w:val="28"/>
          <w:szCs w:val="28"/>
        </w:rPr>
        <w:t>these</w:t>
      </w:r>
      <w:r w:rsidR="008670D6" w:rsidRPr="00C20926">
        <w:rPr>
          <w:sz w:val="28"/>
          <w:szCs w:val="28"/>
        </w:rPr>
        <w:t xml:space="preserve"> amounts are </w:t>
      </w:r>
      <w:r w:rsidR="00991AE3" w:rsidRPr="00C20926">
        <w:rPr>
          <w:sz w:val="28"/>
          <w:szCs w:val="28"/>
        </w:rPr>
        <w:t>simulated. The</w:t>
      </w:r>
      <w:r w:rsidR="00843CE6" w:rsidRPr="00C20926">
        <w:rPr>
          <w:sz w:val="28"/>
          <w:szCs w:val="28"/>
        </w:rPr>
        <w:t xml:space="preserve"> substance of the transaction </w:t>
      </w:r>
      <w:r w:rsidR="00E31E38" w:rsidRPr="00C20926">
        <w:rPr>
          <w:sz w:val="28"/>
          <w:szCs w:val="28"/>
        </w:rPr>
        <w:t xml:space="preserve">was </w:t>
      </w:r>
      <w:r w:rsidR="00843CE6" w:rsidRPr="00C20926">
        <w:rPr>
          <w:sz w:val="28"/>
          <w:szCs w:val="28"/>
        </w:rPr>
        <w:t xml:space="preserve">that </w:t>
      </w:r>
      <w:r w:rsidR="00E31E38" w:rsidRPr="00C20926">
        <w:rPr>
          <w:sz w:val="28"/>
          <w:szCs w:val="28"/>
        </w:rPr>
        <w:t xml:space="preserve">Energy Africa </w:t>
      </w:r>
      <w:r w:rsidR="0089186F" w:rsidRPr="00C20926">
        <w:rPr>
          <w:sz w:val="28"/>
          <w:szCs w:val="28"/>
        </w:rPr>
        <w:t>disposed</w:t>
      </w:r>
      <w:r w:rsidR="00710E2B" w:rsidRPr="00C20926">
        <w:rPr>
          <w:sz w:val="28"/>
          <w:szCs w:val="28"/>
        </w:rPr>
        <w:t xml:space="preserve"> of its</w:t>
      </w:r>
      <w:r w:rsidR="00630B7D" w:rsidRPr="00C20926">
        <w:rPr>
          <w:sz w:val="28"/>
          <w:szCs w:val="28"/>
        </w:rPr>
        <w:t xml:space="preserve"> subsidiary </w:t>
      </w:r>
      <w:r w:rsidR="00E31E38" w:rsidRPr="00C20926">
        <w:rPr>
          <w:sz w:val="28"/>
          <w:szCs w:val="28"/>
        </w:rPr>
        <w:t xml:space="preserve">Energy Africa Holdings </w:t>
      </w:r>
      <w:r w:rsidR="00A73C9C" w:rsidRPr="00C20926">
        <w:rPr>
          <w:sz w:val="28"/>
          <w:szCs w:val="28"/>
        </w:rPr>
        <w:t xml:space="preserve">to a connected person at </w:t>
      </w:r>
      <w:r w:rsidR="0089186F" w:rsidRPr="00C20926">
        <w:rPr>
          <w:sz w:val="28"/>
          <w:szCs w:val="28"/>
        </w:rPr>
        <w:t>a value</w:t>
      </w:r>
      <w:r w:rsidR="00A73C9C" w:rsidRPr="00C20926">
        <w:rPr>
          <w:sz w:val="28"/>
          <w:szCs w:val="28"/>
        </w:rPr>
        <w:t xml:space="preserve"> that did</w:t>
      </w:r>
      <w:r w:rsidR="004D65BE" w:rsidRPr="00C20926">
        <w:rPr>
          <w:sz w:val="28"/>
          <w:szCs w:val="28"/>
        </w:rPr>
        <w:t xml:space="preserve"> not reflect an arms-length</w:t>
      </w:r>
      <w:r w:rsidR="0089186F" w:rsidRPr="00C20926">
        <w:rPr>
          <w:sz w:val="28"/>
          <w:szCs w:val="28"/>
        </w:rPr>
        <w:t xml:space="preserve"> transaction.</w:t>
      </w:r>
      <w:r w:rsidR="000F4FF9" w:rsidRPr="00C20926">
        <w:rPr>
          <w:sz w:val="28"/>
          <w:szCs w:val="28"/>
        </w:rPr>
        <w:t xml:space="preserve"> </w:t>
      </w:r>
    </w:p>
    <w:p w14:paraId="1F66BED7" w14:textId="77777777" w:rsidR="005A1F35" w:rsidRPr="00C20926" w:rsidRDefault="005A1F35" w:rsidP="005A1F35">
      <w:pPr>
        <w:rPr>
          <w:sz w:val="28"/>
          <w:szCs w:val="28"/>
        </w:rPr>
      </w:pPr>
    </w:p>
    <w:p w14:paraId="3B656071" w14:textId="16BE3ADC" w:rsidR="005A1F35" w:rsidRPr="00C20926" w:rsidRDefault="005A1F35" w:rsidP="005A1F35">
      <w:pPr>
        <w:rPr>
          <w:sz w:val="28"/>
          <w:szCs w:val="28"/>
        </w:rPr>
      </w:pPr>
      <w:r w:rsidRPr="00C20926">
        <w:rPr>
          <w:sz w:val="28"/>
          <w:szCs w:val="28"/>
        </w:rPr>
        <w:t>[1</w:t>
      </w:r>
      <w:r w:rsidR="008E5943" w:rsidRPr="00C20926">
        <w:rPr>
          <w:sz w:val="28"/>
          <w:szCs w:val="28"/>
        </w:rPr>
        <w:t>4</w:t>
      </w:r>
      <w:r w:rsidRPr="00C20926">
        <w:rPr>
          <w:sz w:val="28"/>
          <w:szCs w:val="28"/>
        </w:rPr>
        <w:t>]</w:t>
      </w:r>
      <w:r w:rsidRPr="00C20926">
        <w:rPr>
          <w:sz w:val="28"/>
          <w:szCs w:val="28"/>
        </w:rPr>
        <w:tab/>
        <w:t>The high court found that s 56(4) of the TAA entitles SARS to use evidence given at the inquiry in the action brought by SARS against the appellants and that the trial court is best positioned to determine for which purpose the evidence may be used and decided the separated issues in favour of SARS.</w:t>
      </w:r>
      <w:r w:rsidR="00EE3162" w:rsidRPr="00C20926">
        <w:rPr>
          <w:sz w:val="28"/>
          <w:szCs w:val="28"/>
        </w:rPr>
        <w:t xml:space="preserve"> In relation to the term ‘tax debt’, the high court found that s 183 of the TAA did not contemplate</w:t>
      </w:r>
      <w:r w:rsidR="00045937" w:rsidRPr="00C20926">
        <w:rPr>
          <w:sz w:val="28"/>
          <w:szCs w:val="28"/>
        </w:rPr>
        <w:t xml:space="preserve"> that the debt be assessed at the time of dissipation. It found that the indebtedness in respect of both CGT and STC existed prior to its subsequent assessment.</w:t>
      </w:r>
    </w:p>
    <w:p w14:paraId="0C7F8F59" w14:textId="77777777" w:rsidR="00E31E38" w:rsidRPr="00C20926" w:rsidRDefault="00E31E38" w:rsidP="005A1F35">
      <w:pPr>
        <w:rPr>
          <w:sz w:val="28"/>
          <w:szCs w:val="28"/>
        </w:rPr>
      </w:pPr>
    </w:p>
    <w:p w14:paraId="7DC9DF3D" w14:textId="08E11C37" w:rsidR="00045937" w:rsidRPr="00C20926" w:rsidRDefault="00045937" w:rsidP="005A1F35">
      <w:pPr>
        <w:rPr>
          <w:b/>
          <w:bCs/>
          <w:sz w:val="28"/>
          <w:szCs w:val="28"/>
        </w:rPr>
      </w:pPr>
      <w:r w:rsidRPr="00C20926">
        <w:rPr>
          <w:b/>
          <w:bCs/>
          <w:sz w:val="28"/>
          <w:szCs w:val="28"/>
        </w:rPr>
        <w:t>The issues on appeal</w:t>
      </w:r>
    </w:p>
    <w:p w14:paraId="583E77B3" w14:textId="58677401" w:rsidR="00E31E38" w:rsidRPr="00C20926" w:rsidRDefault="00E31E38" w:rsidP="005A1F35">
      <w:pPr>
        <w:rPr>
          <w:sz w:val="28"/>
          <w:szCs w:val="28"/>
        </w:rPr>
      </w:pPr>
      <w:r w:rsidRPr="00C20926">
        <w:rPr>
          <w:sz w:val="28"/>
          <w:szCs w:val="28"/>
        </w:rPr>
        <w:t>[1</w:t>
      </w:r>
      <w:r w:rsidR="008E5943" w:rsidRPr="00C20926">
        <w:rPr>
          <w:sz w:val="28"/>
          <w:szCs w:val="28"/>
        </w:rPr>
        <w:t>5</w:t>
      </w:r>
      <w:r w:rsidRPr="00C20926">
        <w:rPr>
          <w:sz w:val="28"/>
          <w:szCs w:val="28"/>
        </w:rPr>
        <w:t>]</w:t>
      </w:r>
      <w:r w:rsidRPr="00C20926">
        <w:rPr>
          <w:sz w:val="28"/>
          <w:szCs w:val="28"/>
        </w:rPr>
        <w:tab/>
        <w:t xml:space="preserve">The same issues as served before the high court now serve before this Court, </w:t>
      </w:r>
      <w:r w:rsidR="00472A6D" w:rsidRPr="00C20926">
        <w:rPr>
          <w:sz w:val="28"/>
          <w:szCs w:val="28"/>
        </w:rPr>
        <w:t>namely whether the term ‘tax debt’ as used in s 183 of the TAA envisages that an assessed tax debt should exist at the time that the dissipation of assets occurs, and whether the transcript of proceedings at an inquiry is admissible upon production in subsequent civil proceedings in terms of s 56 of the TAA.</w:t>
      </w:r>
    </w:p>
    <w:p w14:paraId="258E9969" w14:textId="77777777" w:rsidR="005C0F90" w:rsidRPr="00C20926" w:rsidRDefault="005C0F90" w:rsidP="005C0F90">
      <w:pPr>
        <w:pStyle w:val="ListParagraph"/>
        <w:ind w:left="0"/>
        <w:rPr>
          <w:b/>
          <w:i/>
          <w:sz w:val="28"/>
        </w:rPr>
      </w:pPr>
      <w:r w:rsidRPr="00C20926">
        <w:rPr>
          <w:b/>
          <w:i/>
          <w:sz w:val="28"/>
        </w:rPr>
        <w:lastRenderedPageBreak/>
        <w:t>The meaning of ‘tax debt’ for the purposes of s 183 of the TAA</w:t>
      </w:r>
    </w:p>
    <w:p w14:paraId="1BEBD640" w14:textId="34AE396A" w:rsidR="005C0F90" w:rsidRPr="00C20926" w:rsidRDefault="00B47829" w:rsidP="007F4700">
      <w:pPr>
        <w:ind w:left="-11"/>
        <w:rPr>
          <w:sz w:val="28"/>
          <w:szCs w:val="28"/>
        </w:rPr>
      </w:pPr>
      <w:r w:rsidRPr="00C20926">
        <w:rPr>
          <w:sz w:val="28"/>
          <w:szCs w:val="28"/>
        </w:rPr>
        <w:t>[1</w:t>
      </w:r>
      <w:r w:rsidR="008E5943" w:rsidRPr="00C20926">
        <w:rPr>
          <w:sz w:val="28"/>
          <w:szCs w:val="28"/>
        </w:rPr>
        <w:t>6</w:t>
      </w:r>
      <w:r w:rsidRPr="00C20926">
        <w:rPr>
          <w:sz w:val="28"/>
          <w:szCs w:val="28"/>
        </w:rPr>
        <w:t>]</w:t>
      </w:r>
      <w:r w:rsidRPr="00C20926">
        <w:rPr>
          <w:sz w:val="28"/>
          <w:szCs w:val="28"/>
        </w:rPr>
        <w:tab/>
      </w:r>
      <w:r w:rsidR="005C0F90" w:rsidRPr="00C20926">
        <w:rPr>
          <w:sz w:val="28"/>
          <w:szCs w:val="28"/>
        </w:rPr>
        <w:t xml:space="preserve">It is </w:t>
      </w:r>
      <w:r w:rsidR="00472A6D" w:rsidRPr="00C20926">
        <w:rPr>
          <w:sz w:val="28"/>
          <w:szCs w:val="28"/>
        </w:rPr>
        <w:t xml:space="preserve">important to highlight that it was </w:t>
      </w:r>
      <w:r w:rsidR="005C0F90" w:rsidRPr="00C20926">
        <w:rPr>
          <w:sz w:val="28"/>
          <w:szCs w:val="28"/>
        </w:rPr>
        <w:t xml:space="preserve">common cause that Energy Africa disposed of its sole asset, being a loan claim against TPI, on 19 April 2013. On 21 August 2013, SARS issued notices of assessment to tax of CGT and STC against Energy Africa for the 2007 tax year. </w:t>
      </w:r>
    </w:p>
    <w:p w14:paraId="77CD920E" w14:textId="77777777" w:rsidR="005C0F90" w:rsidRPr="00C20926" w:rsidRDefault="005C0F90" w:rsidP="00B960ED">
      <w:pPr>
        <w:pStyle w:val="ListParagraph"/>
        <w:rPr>
          <w:sz w:val="28"/>
          <w:szCs w:val="28"/>
        </w:rPr>
      </w:pPr>
    </w:p>
    <w:p w14:paraId="24690DC9" w14:textId="3AF0A4E9" w:rsidR="005C0F90" w:rsidRPr="00C20926" w:rsidRDefault="00DA1165" w:rsidP="007F4700">
      <w:pPr>
        <w:ind w:left="-11"/>
        <w:rPr>
          <w:sz w:val="28"/>
          <w:szCs w:val="28"/>
        </w:rPr>
      </w:pPr>
      <w:r w:rsidRPr="00C20926">
        <w:rPr>
          <w:sz w:val="28"/>
          <w:szCs w:val="28"/>
        </w:rPr>
        <w:t>[1</w:t>
      </w:r>
      <w:r w:rsidR="008E5943" w:rsidRPr="00C20926">
        <w:rPr>
          <w:sz w:val="28"/>
          <w:szCs w:val="28"/>
        </w:rPr>
        <w:t>7</w:t>
      </w:r>
      <w:r w:rsidRPr="00C20926">
        <w:rPr>
          <w:sz w:val="28"/>
          <w:szCs w:val="28"/>
        </w:rPr>
        <w:t>]</w:t>
      </w:r>
      <w:r w:rsidRPr="00C20926">
        <w:rPr>
          <w:sz w:val="28"/>
          <w:szCs w:val="28"/>
        </w:rPr>
        <w:tab/>
      </w:r>
      <w:r w:rsidR="005C0F90" w:rsidRPr="00C20926">
        <w:rPr>
          <w:sz w:val="28"/>
          <w:szCs w:val="28"/>
        </w:rPr>
        <w:t>Section 183 of the TAA provides that:</w:t>
      </w:r>
    </w:p>
    <w:p w14:paraId="6D42A4AB" w14:textId="77777777" w:rsidR="005C0F90" w:rsidRPr="00C20926" w:rsidRDefault="005C0F90" w:rsidP="00B960ED">
      <w:pPr>
        <w:pStyle w:val="ListParagraph"/>
        <w:ind w:left="0"/>
      </w:pPr>
      <w:r w:rsidRPr="00C20926">
        <w:t>‘If a person knowingly assists in dissipating a taxpayer’s assets in order to obstruct the collection of a tax debt of the taxpayer, the person is jointly and severally liable with the taxpayer for the tax debt to the extent that the person’s assistance reduces the assets available to pay the taxpayer’s debt.’</w:t>
      </w:r>
    </w:p>
    <w:p w14:paraId="30B42D5B" w14:textId="77777777" w:rsidR="005C0F90" w:rsidRPr="00C20926" w:rsidRDefault="005C0F90" w:rsidP="004546DE">
      <w:pPr>
        <w:pStyle w:val="ListParagraph"/>
        <w:ind w:left="0"/>
        <w:rPr>
          <w:sz w:val="28"/>
          <w:szCs w:val="28"/>
        </w:rPr>
      </w:pPr>
    </w:p>
    <w:p w14:paraId="0B3CD201" w14:textId="5FBE7166" w:rsidR="005C0F90" w:rsidRPr="00C20926" w:rsidRDefault="00DA1165" w:rsidP="007F4700">
      <w:pPr>
        <w:ind w:left="-11"/>
        <w:rPr>
          <w:sz w:val="28"/>
          <w:szCs w:val="28"/>
        </w:rPr>
      </w:pPr>
      <w:r w:rsidRPr="00C20926">
        <w:rPr>
          <w:sz w:val="28"/>
          <w:szCs w:val="28"/>
        </w:rPr>
        <w:t>[</w:t>
      </w:r>
      <w:r w:rsidR="00045937" w:rsidRPr="00C20926">
        <w:rPr>
          <w:sz w:val="28"/>
          <w:szCs w:val="28"/>
        </w:rPr>
        <w:t>1</w:t>
      </w:r>
      <w:r w:rsidR="008E5943" w:rsidRPr="00C20926">
        <w:rPr>
          <w:sz w:val="28"/>
          <w:szCs w:val="28"/>
        </w:rPr>
        <w:t>8</w:t>
      </w:r>
      <w:r w:rsidRPr="00C20926">
        <w:rPr>
          <w:sz w:val="28"/>
          <w:szCs w:val="28"/>
        </w:rPr>
        <w:t>]</w:t>
      </w:r>
      <w:r w:rsidRPr="00C20926">
        <w:rPr>
          <w:sz w:val="28"/>
          <w:szCs w:val="28"/>
        </w:rPr>
        <w:tab/>
      </w:r>
      <w:r w:rsidR="005C0F90" w:rsidRPr="00C20926">
        <w:rPr>
          <w:sz w:val="28"/>
          <w:szCs w:val="28"/>
        </w:rPr>
        <w:t>In its present form, s 1 of the TAA defines a ‘tax debt’ to mean an amount referred to in s 169(1) of the TAA. The latter section in turn provides that:</w:t>
      </w:r>
    </w:p>
    <w:p w14:paraId="375130F4" w14:textId="77777777" w:rsidR="005C0F90" w:rsidRPr="00C20926" w:rsidRDefault="005C0F90" w:rsidP="00E53A77">
      <w:pPr>
        <w:pStyle w:val="ListParagraph"/>
        <w:ind w:left="0"/>
      </w:pPr>
      <w:r w:rsidRPr="00C20926">
        <w:t>‘An amount of tax due or payable in terms of a tax Act is a tax debt due to SARS for the benefit of the National Revenue Fund.’</w:t>
      </w:r>
    </w:p>
    <w:p w14:paraId="40CFCA25" w14:textId="77777777" w:rsidR="005C0F90" w:rsidRPr="00C20926" w:rsidRDefault="005C0F90" w:rsidP="004546DE">
      <w:pPr>
        <w:pStyle w:val="ListParagraph"/>
        <w:ind w:left="0"/>
        <w:rPr>
          <w:sz w:val="28"/>
          <w:szCs w:val="28"/>
        </w:rPr>
      </w:pPr>
    </w:p>
    <w:p w14:paraId="7E8ACE8C" w14:textId="410CDB2A" w:rsidR="005C0F90" w:rsidRPr="00C20926" w:rsidRDefault="00DA1165" w:rsidP="007F4700">
      <w:pPr>
        <w:ind w:left="-11"/>
        <w:rPr>
          <w:sz w:val="28"/>
          <w:szCs w:val="28"/>
        </w:rPr>
      </w:pPr>
      <w:r w:rsidRPr="00C20926">
        <w:rPr>
          <w:sz w:val="28"/>
          <w:szCs w:val="28"/>
        </w:rPr>
        <w:t>[</w:t>
      </w:r>
      <w:r w:rsidR="008E5943" w:rsidRPr="00C20926">
        <w:rPr>
          <w:sz w:val="28"/>
          <w:szCs w:val="28"/>
        </w:rPr>
        <w:t>19</w:t>
      </w:r>
      <w:r w:rsidRPr="00C20926">
        <w:rPr>
          <w:sz w:val="28"/>
          <w:szCs w:val="28"/>
        </w:rPr>
        <w:t>]</w:t>
      </w:r>
      <w:r w:rsidRPr="00C20926">
        <w:rPr>
          <w:sz w:val="28"/>
          <w:szCs w:val="28"/>
        </w:rPr>
        <w:tab/>
      </w:r>
      <w:r w:rsidR="005C0F90" w:rsidRPr="00C20926">
        <w:rPr>
          <w:sz w:val="28"/>
          <w:szCs w:val="28"/>
        </w:rPr>
        <w:t>The present definition of ‘tax debt’ was substituted by s 30 (d) of the Tax Administration Laws Amendment Act, 39 of 2013. It came into operation on 16 January 2014. The amendment, however, took effect retrospectively from 1 October 2012, which was the date of commencement of the TAA.</w:t>
      </w:r>
    </w:p>
    <w:p w14:paraId="2E22BA49" w14:textId="77777777" w:rsidR="005C0F90" w:rsidRPr="00C20926" w:rsidRDefault="005C0F90" w:rsidP="00E53A77">
      <w:pPr>
        <w:pStyle w:val="ListParagraph"/>
        <w:ind w:left="0"/>
        <w:rPr>
          <w:sz w:val="28"/>
          <w:szCs w:val="28"/>
        </w:rPr>
      </w:pPr>
    </w:p>
    <w:p w14:paraId="05514BE1" w14:textId="3F8346A8" w:rsidR="005C0F90" w:rsidRPr="00C20926" w:rsidRDefault="00DA1165" w:rsidP="007F4700">
      <w:pPr>
        <w:ind w:left="-11"/>
        <w:rPr>
          <w:sz w:val="28"/>
          <w:szCs w:val="28"/>
        </w:rPr>
      </w:pPr>
      <w:r w:rsidRPr="00C20926">
        <w:rPr>
          <w:sz w:val="28"/>
          <w:szCs w:val="28"/>
        </w:rPr>
        <w:t>[2</w:t>
      </w:r>
      <w:r w:rsidR="008E5943" w:rsidRPr="00C20926">
        <w:rPr>
          <w:sz w:val="28"/>
          <w:szCs w:val="28"/>
        </w:rPr>
        <w:t>0</w:t>
      </w:r>
      <w:r w:rsidRPr="00C20926">
        <w:rPr>
          <w:sz w:val="28"/>
          <w:szCs w:val="28"/>
        </w:rPr>
        <w:t>]</w:t>
      </w:r>
      <w:r w:rsidRPr="00C20926">
        <w:rPr>
          <w:sz w:val="28"/>
          <w:szCs w:val="28"/>
        </w:rPr>
        <w:tab/>
      </w:r>
      <w:r w:rsidR="005C0F90" w:rsidRPr="00C20926">
        <w:rPr>
          <w:sz w:val="28"/>
          <w:szCs w:val="28"/>
        </w:rPr>
        <w:t>On 19 April 2013, when the dissipation at issue in this matter occurred, the term ‘tax debt’ was defined to mean ‘an amount of tax due by a person in terms of a tax Act.’ In order to avoid a challenge to the lawfulness of the retrospective amendment of the definition, SARS agreed that for the purposes of this matter the definition should be read as if no amendment had occurred. Section 169 (1) of the TAA at all times read as it now does.</w:t>
      </w:r>
    </w:p>
    <w:p w14:paraId="1AD8A38C" w14:textId="77777777" w:rsidR="005C0F90" w:rsidRPr="00C20926" w:rsidRDefault="005C0F90" w:rsidP="004546DE">
      <w:pPr>
        <w:pStyle w:val="ListParagraph"/>
        <w:ind w:left="0"/>
        <w:rPr>
          <w:sz w:val="28"/>
          <w:szCs w:val="28"/>
        </w:rPr>
      </w:pPr>
    </w:p>
    <w:p w14:paraId="0406FD2B" w14:textId="213D6E31" w:rsidR="005C0F90" w:rsidRPr="00C20926" w:rsidRDefault="00DA1165" w:rsidP="008B5F43">
      <w:pPr>
        <w:ind w:left="-11"/>
        <w:rPr>
          <w:sz w:val="28"/>
          <w:szCs w:val="28"/>
        </w:rPr>
      </w:pPr>
      <w:r w:rsidRPr="00C20926">
        <w:rPr>
          <w:sz w:val="28"/>
          <w:szCs w:val="28"/>
        </w:rPr>
        <w:t>[2</w:t>
      </w:r>
      <w:r w:rsidR="008E5943" w:rsidRPr="00C20926">
        <w:rPr>
          <w:sz w:val="28"/>
          <w:szCs w:val="28"/>
        </w:rPr>
        <w:t>1</w:t>
      </w:r>
      <w:r w:rsidRPr="00C20926">
        <w:rPr>
          <w:sz w:val="28"/>
          <w:szCs w:val="28"/>
        </w:rPr>
        <w:t>]</w:t>
      </w:r>
      <w:r w:rsidRPr="00C20926">
        <w:rPr>
          <w:sz w:val="28"/>
          <w:szCs w:val="28"/>
        </w:rPr>
        <w:tab/>
      </w:r>
      <w:r w:rsidR="005C0F90" w:rsidRPr="00C20926">
        <w:rPr>
          <w:sz w:val="28"/>
          <w:szCs w:val="28"/>
        </w:rPr>
        <w:t>The argument advanced by counsel for the appellants before this Court, as before the high court, was to the following effect. In order to establish liability under s 183, the person concerned must have knowingly assisted in the dissipation of assets ‘in order to obstruct the collection of a tax debt’. A ‘tax debt’ must necessarily exist at the time of the alleged dissipation and the person concerned must know that the tax debt exists. A tax debt is an amount which is due and payable, as the ordinary meaning of the term suggests. In this instance the tax debt only arose upon notice of assessment. The particular assessments to tax, in this case, do not constitute tax debts as contemplated by s 183 of the TAA.</w:t>
      </w:r>
    </w:p>
    <w:p w14:paraId="1B2AFCCA" w14:textId="77777777" w:rsidR="005C0F90" w:rsidRPr="00C20926" w:rsidRDefault="005C0F90" w:rsidP="008B5F43">
      <w:pPr>
        <w:pStyle w:val="ListParagraph"/>
        <w:ind w:left="0"/>
        <w:rPr>
          <w:sz w:val="28"/>
          <w:szCs w:val="28"/>
        </w:rPr>
      </w:pPr>
    </w:p>
    <w:p w14:paraId="5B30A4A0" w14:textId="61B168AF" w:rsidR="005C0F90" w:rsidRPr="00C20926" w:rsidRDefault="00DA1165" w:rsidP="008B5F43">
      <w:pPr>
        <w:ind w:left="-11"/>
        <w:rPr>
          <w:sz w:val="28"/>
          <w:szCs w:val="28"/>
        </w:rPr>
      </w:pPr>
      <w:r w:rsidRPr="00C20926">
        <w:rPr>
          <w:sz w:val="28"/>
          <w:szCs w:val="28"/>
        </w:rPr>
        <w:t>[2</w:t>
      </w:r>
      <w:r w:rsidR="008E5943" w:rsidRPr="00C20926">
        <w:rPr>
          <w:sz w:val="28"/>
          <w:szCs w:val="28"/>
        </w:rPr>
        <w:t>2</w:t>
      </w:r>
      <w:r w:rsidRPr="00C20926">
        <w:rPr>
          <w:sz w:val="28"/>
          <w:szCs w:val="28"/>
        </w:rPr>
        <w:t>]</w:t>
      </w:r>
      <w:r w:rsidRPr="00C20926">
        <w:rPr>
          <w:sz w:val="28"/>
          <w:szCs w:val="28"/>
        </w:rPr>
        <w:tab/>
      </w:r>
      <w:r w:rsidR="005C0F90" w:rsidRPr="00C20926">
        <w:rPr>
          <w:sz w:val="28"/>
          <w:szCs w:val="28"/>
        </w:rPr>
        <w:t>Counsel for SARS contended that the term ‘tax debt’</w:t>
      </w:r>
      <w:r w:rsidR="00E53A77" w:rsidRPr="00C20926">
        <w:rPr>
          <w:sz w:val="28"/>
          <w:szCs w:val="28"/>
        </w:rPr>
        <w:t>,</w:t>
      </w:r>
      <w:r w:rsidR="005C0F90" w:rsidRPr="00C20926">
        <w:rPr>
          <w:sz w:val="28"/>
          <w:szCs w:val="28"/>
        </w:rPr>
        <w:t xml:space="preserve"> as used in s 183</w:t>
      </w:r>
      <w:r w:rsidR="00E53A77" w:rsidRPr="00C20926">
        <w:rPr>
          <w:sz w:val="28"/>
          <w:szCs w:val="28"/>
        </w:rPr>
        <w:t>,</w:t>
      </w:r>
      <w:r w:rsidR="005C0F90" w:rsidRPr="00C20926">
        <w:rPr>
          <w:sz w:val="28"/>
          <w:szCs w:val="28"/>
        </w:rPr>
        <w:t xml:space="preserve"> must be read in the light of s 169(1) which provides a specified definition of the term for the purposes of the recovery of tax as contemplated by </w:t>
      </w:r>
      <w:r w:rsidR="00E53A77" w:rsidRPr="00C20926">
        <w:rPr>
          <w:sz w:val="28"/>
          <w:szCs w:val="28"/>
        </w:rPr>
        <w:t>c</w:t>
      </w:r>
      <w:r w:rsidR="005C0F90" w:rsidRPr="00C20926">
        <w:rPr>
          <w:sz w:val="28"/>
          <w:szCs w:val="28"/>
        </w:rPr>
        <w:t>hapter 11, of which s 183 form</w:t>
      </w:r>
      <w:r w:rsidR="00E53A77" w:rsidRPr="00C20926">
        <w:rPr>
          <w:sz w:val="28"/>
          <w:szCs w:val="28"/>
        </w:rPr>
        <w:t>s</w:t>
      </w:r>
      <w:r w:rsidR="005C0F90" w:rsidRPr="00C20926">
        <w:rPr>
          <w:sz w:val="28"/>
          <w:szCs w:val="28"/>
        </w:rPr>
        <w:t xml:space="preserve"> part. The opening passage of s 1 of the TAA provides that the terms there defined have the assigned meaning ‘unless the context otherwise provides’. The starting point is therefore that </w:t>
      </w:r>
      <w:r w:rsidR="002D1D1B" w:rsidRPr="00C20926">
        <w:rPr>
          <w:sz w:val="28"/>
          <w:szCs w:val="28"/>
        </w:rPr>
        <w:t>c</w:t>
      </w:r>
      <w:r w:rsidR="005C0F90" w:rsidRPr="00C20926">
        <w:rPr>
          <w:sz w:val="28"/>
          <w:szCs w:val="28"/>
        </w:rPr>
        <w:t xml:space="preserve">hapter 11, and therefore s 183, envisages a debt that is either due, in the ordinary sense, or payable. The use of the alternatives coincides with the meaning ascribed to the terms by this Court in </w:t>
      </w:r>
      <w:r w:rsidR="00045937" w:rsidRPr="00C20926">
        <w:rPr>
          <w:i/>
          <w:iCs/>
          <w:sz w:val="28"/>
          <w:szCs w:val="28"/>
        </w:rPr>
        <w:t>Singh v Commissioner, South African Revenue Service</w:t>
      </w:r>
      <w:r w:rsidR="00946E31" w:rsidRPr="00C20926">
        <w:rPr>
          <w:i/>
          <w:iCs/>
          <w:sz w:val="28"/>
          <w:szCs w:val="28"/>
        </w:rPr>
        <w:t xml:space="preserve"> </w:t>
      </w:r>
      <w:r w:rsidR="00946E31" w:rsidRPr="00C20926">
        <w:rPr>
          <w:sz w:val="28"/>
        </w:rPr>
        <w:t>(</w:t>
      </w:r>
      <w:r w:rsidR="00946E31" w:rsidRPr="00C20926">
        <w:rPr>
          <w:i/>
          <w:iCs/>
          <w:sz w:val="28"/>
          <w:szCs w:val="28"/>
        </w:rPr>
        <w:t>Singh</w:t>
      </w:r>
      <w:r w:rsidR="00946E31" w:rsidRPr="00C20926">
        <w:rPr>
          <w:sz w:val="28"/>
        </w:rPr>
        <w:t>)</w:t>
      </w:r>
      <w:r w:rsidR="00946E31" w:rsidRPr="00C20926">
        <w:rPr>
          <w:iCs/>
          <w:sz w:val="28"/>
          <w:szCs w:val="28"/>
        </w:rPr>
        <w:t>.</w:t>
      </w:r>
      <w:r w:rsidR="00045937" w:rsidRPr="00C20926">
        <w:rPr>
          <w:rStyle w:val="FootnoteReference"/>
          <w:sz w:val="28"/>
          <w:szCs w:val="28"/>
        </w:rPr>
        <w:footnoteReference w:id="2"/>
      </w:r>
      <w:r w:rsidR="005C0F90" w:rsidRPr="00C20926">
        <w:rPr>
          <w:sz w:val="28"/>
          <w:szCs w:val="28"/>
        </w:rPr>
        <w:t xml:space="preserve"> In that matter it was accepted that a tax debt may be payable even if the obligation to pay is under legal challenge and, therefore, that the tax is not ‘due’. On this basis it was submitted that s 183 contemplates </w:t>
      </w:r>
      <w:r w:rsidR="00E53A77" w:rsidRPr="00C20926">
        <w:rPr>
          <w:sz w:val="28"/>
          <w:szCs w:val="28"/>
        </w:rPr>
        <w:t xml:space="preserve">that </w:t>
      </w:r>
      <w:r w:rsidR="005C0F90" w:rsidRPr="00C20926">
        <w:rPr>
          <w:sz w:val="28"/>
          <w:szCs w:val="28"/>
        </w:rPr>
        <w:t xml:space="preserve">which may become due. Since the purpose of s 183 is to permit SARS to recover tax due and payable by a taxpayer from a third party who assists or facilitates the dissipation of a taxpayer’s assets </w:t>
      </w:r>
      <w:r w:rsidR="005C0F90" w:rsidRPr="00C20926">
        <w:rPr>
          <w:sz w:val="28"/>
        </w:rPr>
        <w:t>in order obstruct the collection of a tax debt</w:t>
      </w:r>
      <w:r w:rsidR="005C0F90" w:rsidRPr="00C20926">
        <w:rPr>
          <w:sz w:val="28"/>
          <w:szCs w:val="28"/>
        </w:rPr>
        <w:t>, it is sufficient if, at the time of the dissipation a tax debt is anticipated.</w:t>
      </w:r>
    </w:p>
    <w:p w14:paraId="4B387B6F" w14:textId="39BF4B64" w:rsidR="00E53A77" w:rsidRPr="00C20926" w:rsidRDefault="00DA1165" w:rsidP="00E53A77">
      <w:pPr>
        <w:ind w:left="-11"/>
        <w:rPr>
          <w:sz w:val="28"/>
          <w:szCs w:val="28"/>
        </w:rPr>
      </w:pPr>
      <w:r w:rsidRPr="00C20926">
        <w:rPr>
          <w:sz w:val="28"/>
          <w:szCs w:val="28"/>
        </w:rPr>
        <w:lastRenderedPageBreak/>
        <w:t>[2</w:t>
      </w:r>
      <w:r w:rsidR="008E5943" w:rsidRPr="00C20926">
        <w:rPr>
          <w:sz w:val="28"/>
          <w:szCs w:val="28"/>
        </w:rPr>
        <w:t>3</w:t>
      </w:r>
      <w:r w:rsidRPr="00C20926">
        <w:rPr>
          <w:sz w:val="28"/>
          <w:szCs w:val="28"/>
        </w:rPr>
        <w:t>]</w:t>
      </w:r>
      <w:r w:rsidRPr="00C20926">
        <w:rPr>
          <w:sz w:val="28"/>
          <w:szCs w:val="28"/>
        </w:rPr>
        <w:tab/>
      </w:r>
      <w:r w:rsidR="005C0F90" w:rsidRPr="00C20926">
        <w:rPr>
          <w:sz w:val="28"/>
          <w:szCs w:val="28"/>
        </w:rPr>
        <w:t>It is important to bear in mind the ambit of the issue that required separate determination. Section 183 establishes a set of requirements to render a third party jointly and severally liable for the recovery of a tax debt which is due by a taxpayer. There are three obvious requirements. They are</w:t>
      </w:r>
      <w:r w:rsidR="00E53A77" w:rsidRPr="00C20926">
        <w:rPr>
          <w:sz w:val="28"/>
          <w:szCs w:val="28"/>
        </w:rPr>
        <w:t>:</w:t>
      </w:r>
      <w:r w:rsidR="005C0F90" w:rsidRPr="00C20926">
        <w:rPr>
          <w:sz w:val="28"/>
          <w:szCs w:val="28"/>
        </w:rPr>
        <w:t xml:space="preserve"> </w:t>
      </w:r>
    </w:p>
    <w:p w14:paraId="5E3026B8" w14:textId="6306E212" w:rsidR="00E53A77" w:rsidRPr="00C20926" w:rsidRDefault="00E53A77" w:rsidP="00E53A77">
      <w:pPr>
        <w:ind w:left="-11"/>
        <w:rPr>
          <w:sz w:val="28"/>
          <w:szCs w:val="28"/>
        </w:rPr>
      </w:pPr>
      <w:r w:rsidRPr="00C20926">
        <w:rPr>
          <w:sz w:val="28"/>
          <w:szCs w:val="28"/>
        </w:rPr>
        <w:t xml:space="preserve">(a)  </w:t>
      </w:r>
      <w:r w:rsidR="005C0F90" w:rsidRPr="00C20926">
        <w:rPr>
          <w:sz w:val="28"/>
          <w:szCs w:val="28"/>
        </w:rPr>
        <w:t xml:space="preserve">that the third person should ‘knowingly assist in the dissipation of a taxpayer’s assets’; </w:t>
      </w:r>
    </w:p>
    <w:p w14:paraId="54DC44AC" w14:textId="350535ED" w:rsidR="00E53A77" w:rsidRPr="00C20926" w:rsidRDefault="00E53A77" w:rsidP="00E53A77">
      <w:pPr>
        <w:ind w:left="-11"/>
        <w:rPr>
          <w:sz w:val="28"/>
          <w:szCs w:val="28"/>
        </w:rPr>
      </w:pPr>
      <w:r w:rsidRPr="00C20926">
        <w:rPr>
          <w:sz w:val="28"/>
          <w:szCs w:val="28"/>
        </w:rPr>
        <w:t xml:space="preserve">(b)  </w:t>
      </w:r>
      <w:r w:rsidR="005C0F90" w:rsidRPr="00C20926">
        <w:rPr>
          <w:sz w:val="28"/>
          <w:szCs w:val="28"/>
        </w:rPr>
        <w:t xml:space="preserve">that the dissipation should be undertaken ‘in order to obstruct the collection of a tax debt’; and </w:t>
      </w:r>
    </w:p>
    <w:p w14:paraId="51C6AB40" w14:textId="672ED7DF" w:rsidR="005C0F90" w:rsidRPr="00C20926" w:rsidRDefault="00E53A77" w:rsidP="007F4700">
      <w:pPr>
        <w:ind w:left="-11"/>
        <w:rPr>
          <w:sz w:val="28"/>
          <w:szCs w:val="28"/>
        </w:rPr>
      </w:pPr>
      <w:r w:rsidRPr="00C20926">
        <w:rPr>
          <w:sz w:val="28"/>
          <w:szCs w:val="28"/>
        </w:rPr>
        <w:t xml:space="preserve">(c)  </w:t>
      </w:r>
      <w:r w:rsidR="005C0F90" w:rsidRPr="00C20926">
        <w:rPr>
          <w:sz w:val="28"/>
          <w:szCs w:val="28"/>
        </w:rPr>
        <w:t>that the assistance should have rendered the taxpayer unable to discharge the tax debt. We are not required to interpret these requirements or to provide an exposition of what test(s) should be applied in determining whether they are met. The separated question was confined to an interpretation of the term ‘tax debt’ and whether it contemplates an existing liability for tax though not yet assessed at the time that the dissipation occurs.</w:t>
      </w:r>
    </w:p>
    <w:p w14:paraId="4DA489F2" w14:textId="77777777" w:rsidR="005C0F90" w:rsidRPr="00C20926" w:rsidRDefault="005C0F90" w:rsidP="004546DE">
      <w:pPr>
        <w:pStyle w:val="ListParagraph"/>
        <w:ind w:left="0"/>
        <w:rPr>
          <w:sz w:val="28"/>
          <w:szCs w:val="28"/>
        </w:rPr>
      </w:pPr>
    </w:p>
    <w:p w14:paraId="3379536C" w14:textId="7ABBFE9C" w:rsidR="005C0F90" w:rsidRDefault="00DA1165" w:rsidP="007F4700">
      <w:pPr>
        <w:ind w:left="-11"/>
        <w:rPr>
          <w:sz w:val="28"/>
          <w:szCs w:val="28"/>
        </w:rPr>
      </w:pPr>
      <w:r w:rsidRPr="00C20926">
        <w:rPr>
          <w:sz w:val="28"/>
          <w:szCs w:val="28"/>
        </w:rPr>
        <w:t>[2</w:t>
      </w:r>
      <w:r w:rsidR="008E5943" w:rsidRPr="00C20926">
        <w:rPr>
          <w:sz w:val="28"/>
          <w:szCs w:val="28"/>
        </w:rPr>
        <w:t>4</w:t>
      </w:r>
      <w:r w:rsidRPr="00C20926">
        <w:rPr>
          <w:sz w:val="28"/>
          <w:szCs w:val="28"/>
        </w:rPr>
        <w:t>]</w:t>
      </w:r>
      <w:r w:rsidRPr="00C20926">
        <w:rPr>
          <w:sz w:val="28"/>
          <w:szCs w:val="28"/>
        </w:rPr>
        <w:tab/>
      </w:r>
      <w:r w:rsidR="005C0F90" w:rsidRPr="00C20926">
        <w:rPr>
          <w:sz w:val="28"/>
          <w:szCs w:val="28"/>
        </w:rPr>
        <w:t>To answer that question requires an analysis of the purpose of s 183, the language employed in its formulation and the context within which the language is employed.</w:t>
      </w:r>
      <w:r w:rsidR="00472A6D" w:rsidRPr="00C20926">
        <w:rPr>
          <w:rStyle w:val="FootnoteReference"/>
          <w:sz w:val="28"/>
          <w:szCs w:val="28"/>
        </w:rPr>
        <w:footnoteReference w:id="3"/>
      </w:r>
      <w:r w:rsidR="005C0F90" w:rsidRPr="00C20926">
        <w:rPr>
          <w:sz w:val="28"/>
          <w:szCs w:val="28"/>
        </w:rPr>
        <w:t xml:space="preserve"> We begin with the debate about the definition as provided in s 1 of the TAA.  It is true that the introductory portion of s 1 refers to context of the use of the defined terms. However, what it states</w:t>
      </w:r>
      <w:r w:rsidR="006923A1" w:rsidRPr="00C20926">
        <w:rPr>
          <w:sz w:val="28"/>
          <w:szCs w:val="28"/>
        </w:rPr>
        <w:t xml:space="preserve"> </w:t>
      </w:r>
      <w:r w:rsidR="005C0F90" w:rsidRPr="00C20926">
        <w:rPr>
          <w:sz w:val="28"/>
          <w:szCs w:val="28"/>
        </w:rPr>
        <w:t>is that unless the context otherwise indicates, the defined terms have the meaning assigned to them in other tax Acts. In other words the defined terms, if defined in other tax Acts carry the meaning ascribed in those tax Acts unless the context indicates to the contrary. In that event, they have the meaning ascribed by the TAA. This formulation of the definitions therefor</w:t>
      </w:r>
      <w:r w:rsidR="00E53A77" w:rsidRPr="00C20926">
        <w:rPr>
          <w:sz w:val="28"/>
          <w:szCs w:val="28"/>
        </w:rPr>
        <w:t>e</w:t>
      </w:r>
      <w:r w:rsidR="005C0F90" w:rsidRPr="00C20926">
        <w:rPr>
          <w:sz w:val="28"/>
          <w:szCs w:val="28"/>
        </w:rPr>
        <w:t xml:space="preserve"> seeks </w:t>
      </w:r>
      <w:r w:rsidR="005C0F90" w:rsidRPr="00C20926">
        <w:rPr>
          <w:sz w:val="28"/>
          <w:szCs w:val="28"/>
        </w:rPr>
        <w:lastRenderedPageBreak/>
        <w:t xml:space="preserve">to ensure consistency of meaning between tax Acts. In the light of the overall object and purpose of the TAA, this is understandable. </w:t>
      </w:r>
    </w:p>
    <w:p w14:paraId="6529BACA" w14:textId="77777777" w:rsidR="008B5F43" w:rsidRPr="00C20926" w:rsidRDefault="008B5F43" w:rsidP="007F4700">
      <w:pPr>
        <w:ind w:left="-11"/>
        <w:rPr>
          <w:sz w:val="28"/>
          <w:szCs w:val="28"/>
        </w:rPr>
      </w:pPr>
    </w:p>
    <w:p w14:paraId="2E6C8FB6" w14:textId="6AEE9427" w:rsidR="005C0F90" w:rsidRPr="00C20926" w:rsidRDefault="00DA1165" w:rsidP="007F4700">
      <w:pPr>
        <w:ind w:left="-11"/>
        <w:rPr>
          <w:sz w:val="28"/>
          <w:szCs w:val="28"/>
        </w:rPr>
      </w:pPr>
      <w:r w:rsidRPr="00C20926">
        <w:rPr>
          <w:sz w:val="28"/>
          <w:szCs w:val="28"/>
        </w:rPr>
        <w:t>[2</w:t>
      </w:r>
      <w:r w:rsidR="008E5943" w:rsidRPr="00C20926">
        <w:rPr>
          <w:sz w:val="28"/>
          <w:szCs w:val="28"/>
        </w:rPr>
        <w:t>5</w:t>
      </w:r>
      <w:r w:rsidRPr="00C20926">
        <w:rPr>
          <w:sz w:val="28"/>
          <w:szCs w:val="28"/>
        </w:rPr>
        <w:t>]</w:t>
      </w:r>
      <w:r w:rsidRPr="00C20926">
        <w:rPr>
          <w:sz w:val="28"/>
          <w:szCs w:val="28"/>
        </w:rPr>
        <w:tab/>
      </w:r>
      <w:r w:rsidR="005C0F90" w:rsidRPr="00C20926">
        <w:rPr>
          <w:sz w:val="28"/>
          <w:szCs w:val="28"/>
        </w:rPr>
        <w:t>The introductory portion of s 1 does not mean that the term tax debt has the meaning ascribed unless the context of its use in the TAA differs. What then is the meaning of the definition prior to its amendment? Counsel for the appellants suggested the ordinary meaning of the term ‘due’, when used to describe a debt, is that the amount is liquidated and is immediately claimable as being due and payable by the creditor.</w:t>
      </w:r>
      <w:r w:rsidR="005C0F90" w:rsidRPr="00C20926">
        <w:rPr>
          <w:rStyle w:val="FootnoteReference"/>
          <w:sz w:val="28"/>
          <w:szCs w:val="28"/>
        </w:rPr>
        <w:footnoteReference w:id="4"/>
      </w:r>
      <w:r w:rsidR="005C0F90" w:rsidRPr="00C20926">
        <w:rPr>
          <w:sz w:val="28"/>
          <w:szCs w:val="28"/>
        </w:rPr>
        <w:t xml:space="preserve"> But that ignores the nature of the debt which is said to be due. It also ignores multiple meanings for both a ‘debt’ and what is ‘due’. </w:t>
      </w:r>
    </w:p>
    <w:p w14:paraId="15D2119C" w14:textId="77777777" w:rsidR="005C0F90" w:rsidRPr="00C20926" w:rsidRDefault="005C0F90" w:rsidP="004546DE">
      <w:pPr>
        <w:pStyle w:val="ListParagraph"/>
        <w:ind w:left="0"/>
        <w:rPr>
          <w:sz w:val="28"/>
          <w:szCs w:val="28"/>
        </w:rPr>
      </w:pPr>
    </w:p>
    <w:p w14:paraId="36FA5501" w14:textId="3F94518A" w:rsidR="005C0F90" w:rsidRPr="00C20926" w:rsidRDefault="00DA1165" w:rsidP="008B5F43">
      <w:pPr>
        <w:ind w:left="-11"/>
        <w:rPr>
          <w:sz w:val="28"/>
          <w:szCs w:val="28"/>
        </w:rPr>
      </w:pPr>
      <w:r w:rsidRPr="00C20926">
        <w:rPr>
          <w:sz w:val="28"/>
          <w:szCs w:val="28"/>
        </w:rPr>
        <w:t>[2</w:t>
      </w:r>
      <w:r w:rsidR="008E5943" w:rsidRPr="00C20926">
        <w:rPr>
          <w:sz w:val="28"/>
          <w:szCs w:val="28"/>
        </w:rPr>
        <w:t>6</w:t>
      </w:r>
      <w:r w:rsidRPr="00C20926">
        <w:rPr>
          <w:sz w:val="28"/>
          <w:szCs w:val="28"/>
        </w:rPr>
        <w:t>]</w:t>
      </w:r>
      <w:r w:rsidRPr="00C20926">
        <w:rPr>
          <w:sz w:val="28"/>
          <w:szCs w:val="28"/>
        </w:rPr>
        <w:tab/>
      </w:r>
      <w:r w:rsidR="005C0F90" w:rsidRPr="00C20926">
        <w:rPr>
          <w:sz w:val="28"/>
          <w:szCs w:val="28"/>
        </w:rPr>
        <w:t>A taxpayer is a person or entity which is chargeable to tax.</w:t>
      </w:r>
      <w:r w:rsidR="005C0F90" w:rsidRPr="00C20926">
        <w:rPr>
          <w:rStyle w:val="FootnoteReference"/>
          <w:sz w:val="28"/>
          <w:szCs w:val="28"/>
        </w:rPr>
        <w:footnoteReference w:id="5"/>
      </w:r>
      <w:r w:rsidR="005C0F90" w:rsidRPr="00C20926">
        <w:rPr>
          <w:sz w:val="28"/>
          <w:szCs w:val="28"/>
        </w:rPr>
        <w:t xml:space="preserve"> Tax, which is broadly defined to include several different forms of impost, is levied or imposed by operation of law.</w:t>
      </w:r>
      <w:r w:rsidR="005C0F90" w:rsidRPr="00C20926">
        <w:rPr>
          <w:rStyle w:val="FootnoteReference"/>
          <w:sz w:val="28"/>
          <w:szCs w:val="28"/>
        </w:rPr>
        <w:footnoteReference w:id="6"/>
      </w:r>
      <w:r w:rsidR="005C0F90" w:rsidRPr="00C20926">
        <w:rPr>
          <w:sz w:val="28"/>
          <w:szCs w:val="28"/>
        </w:rPr>
        <w:t xml:space="preserve"> A taxpayer is chargeable to tax upon the occurrence of a taxable event, a term defined to refer to the occurrence of an event that may affect the </w:t>
      </w:r>
      <w:r w:rsidR="005C0F90" w:rsidRPr="00C20926">
        <w:rPr>
          <w:i/>
          <w:iCs/>
          <w:sz w:val="28"/>
          <w:szCs w:val="28"/>
        </w:rPr>
        <w:t>liability</w:t>
      </w:r>
      <w:r w:rsidR="005C0F90" w:rsidRPr="00C20926">
        <w:rPr>
          <w:sz w:val="28"/>
          <w:szCs w:val="28"/>
        </w:rPr>
        <w:t xml:space="preserve"> of a taxpayer for tax.</w:t>
      </w:r>
      <w:r w:rsidR="005C0F90" w:rsidRPr="00C20926">
        <w:rPr>
          <w:rStyle w:val="FootnoteReference"/>
          <w:sz w:val="28"/>
          <w:szCs w:val="28"/>
        </w:rPr>
        <w:footnoteReference w:id="7"/>
      </w:r>
      <w:r w:rsidR="005C0F90" w:rsidRPr="00C20926">
        <w:rPr>
          <w:sz w:val="28"/>
          <w:szCs w:val="28"/>
        </w:rPr>
        <w:t xml:space="preserve"> Thus, a taxpayer who earns income in excess of a certain threshold incurs liability for the payment of tax upon such earnings at a stipulated percentage. The occurrence of the event gives rise to a liability for the payment of tax. The amount of tax payable to SARS, ie the extent of the tax indebtedness of the taxpayer, is subject to calculation in which allowable deductions </w:t>
      </w:r>
      <w:r w:rsidR="005C0F90" w:rsidRPr="00C20926">
        <w:rPr>
          <w:sz w:val="28"/>
          <w:szCs w:val="28"/>
        </w:rPr>
        <w:lastRenderedPageBreak/>
        <w:t xml:space="preserve">are deducted from the gross earnings to arrive at an amount of income upon which tax is payable. This accounting and calculation process occurs within defined tax periods. The determination of the amount of tax which is due to SARS occurs by way of assessment. In the case of tax payable by an ‘ordinary’ taxpayer liable for the payment of income tax, the assessment by SARS is in the form of an original assessment based upon the information submitted by the taxpayer in their return. </w:t>
      </w:r>
    </w:p>
    <w:p w14:paraId="3C9BDE35" w14:textId="77777777" w:rsidR="005C0F90" w:rsidRPr="00C20926" w:rsidRDefault="005C0F90" w:rsidP="008B5F43">
      <w:pPr>
        <w:pStyle w:val="ListParagraph"/>
        <w:ind w:left="0"/>
        <w:rPr>
          <w:sz w:val="28"/>
          <w:szCs w:val="28"/>
        </w:rPr>
      </w:pPr>
    </w:p>
    <w:p w14:paraId="42A85EBC" w14:textId="086C69A0" w:rsidR="005C0F90" w:rsidRPr="00C20926" w:rsidRDefault="00DA1165" w:rsidP="008B5F43">
      <w:pPr>
        <w:ind w:left="-11"/>
        <w:rPr>
          <w:sz w:val="28"/>
          <w:szCs w:val="28"/>
        </w:rPr>
      </w:pPr>
      <w:r w:rsidRPr="00C20926">
        <w:rPr>
          <w:sz w:val="28"/>
          <w:szCs w:val="28"/>
        </w:rPr>
        <w:t>[</w:t>
      </w:r>
      <w:r w:rsidR="00045937" w:rsidRPr="00C20926">
        <w:rPr>
          <w:sz w:val="28"/>
          <w:szCs w:val="28"/>
        </w:rPr>
        <w:t>2</w:t>
      </w:r>
      <w:r w:rsidR="008E5943" w:rsidRPr="00C20926">
        <w:rPr>
          <w:sz w:val="28"/>
          <w:szCs w:val="28"/>
        </w:rPr>
        <w:t>7</w:t>
      </w:r>
      <w:r w:rsidRPr="00C20926">
        <w:rPr>
          <w:sz w:val="28"/>
          <w:szCs w:val="28"/>
        </w:rPr>
        <w:t>]</w:t>
      </w:r>
      <w:r w:rsidRPr="00C20926">
        <w:rPr>
          <w:sz w:val="28"/>
          <w:szCs w:val="28"/>
        </w:rPr>
        <w:tab/>
      </w:r>
      <w:r w:rsidR="005C0F90" w:rsidRPr="00C20926">
        <w:rPr>
          <w:sz w:val="28"/>
          <w:szCs w:val="28"/>
        </w:rPr>
        <w:t>CGT is a tax impost which arises upon the occurrence of the sale or disposal of a capital asset subject to tax. The taxable event, being the sale or disposal of the capital asset, gives rise to the liability for the payment of an amount of tax due to SARS. Since the capital gain is deemed to be income accrued within a tax period, the determination of the amount occurs by way of assessment based upon the taxpayer’s return.</w:t>
      </w:r>
    </w:p>
    <w:p w14:paraId="50473713" w14:textId="77777777" w:rsidR="005C0F90" w:rsidRPr="00C20926" w:rsidRDefault="005C0F90" w:rsidP="00F01CD2">
      <w:pPr>
        <w:pStyle w:val="ListParagraph"/>
        <w:ind w:left="0"/>
        <w:rPr>
          <w:sz w:val="28"/>
          <w:szCs w:val="28"/>
        </w:rPr>
      </w:pPr>
    </w:p>
    <w:p w14:paraId="5718B981" w14:textId="408C492A" w:rsidR="005C0F90" w:rsidRPr="00C20926" w:rsidRDefault="00DA1165" w:rsidP="007F4700">
      <w:pPr>
        <w:ind w:left="-11"/>
        <w:rPr>
          <w:sz w:val="28"/>
          <w:szCs w:val="28"/>
        </w:rPr>
      </w:pPr>
      <w:r w:rsidRPr="00C20926">
        <w:rPr>
          <w:sz w:val="28"/>
          <w:szCs w:val="28"/>
        </w:rPr>
        <w:t>[</w:t>
      </w:r>
      <w:r w:rsidR="00045937" w:rsidRPr="00C20926">
        <w:rPr>
          <w:sz w:val="28"/>
          <w:szCs w:val="28"/>
        </w:rPr>
        <w:t>2</w:t>
      </w:r>
      <w:r w:rsidR="008E5943" w:rsidRPr="00C20926">
        <w:rPr>
          <w:sz w:val="28"/>
          <w:szCs w:val="28"/>
        </w:rPr>
        <w:t>8</w:t>
      </w:r>
      <w:r w:rsidRPr="00C20926">
        <w:rPr>
          <w:sz w:val="28"/>
          <w:szCs w:val="28"/>
        </w:rPr>
        <w:t>]</w:t>
      </w:r>
      <w:r w:rsidRPr="00C20926">
        <w:rPr>
          <w:sz w:val="28"/>
          <w:szCs w:val="28"/>
        </w:rPr>
        <w:tab/>
      </w:r>
      <w:r w:rsidR="005C0F90" w:rsidRPr="00C20926">
        <w:rPr>
          <w:sz w:val="28"/>
          <w:szCs w:val="28"/>
        </w:rPr>
        <w:t>Other forms of tax are subject to self-assessment. In that event, the determination of the amount of tax due, in the sense of being owed to SARS is made by the taxpayer. Value added tax (VAT) involves such self-assessment which is in the form of the submission of mandatory bi-monthly returns together with payment. Secondary Tax on Companies (STC) is another. In the case of the latter, where a taxpayer company declares a dividend payable to its shareholders the declaration of the dividend is a taxable event. The company is liable for the payment of the tax on the dividend and, upon submission of the return to SARS, the company is self-assessed to payment of the amount due, by law, to SARS.</w:t>
      </w:r>
    </w:p>
    <w:p w14:paraId="6A916F64" w14:textId="77777777" w:rsidR="005C0F90" w:rsidRPr="00C20926" w:rsidRDefault="005C0F90" w:rsidP="004546DE">
      <w:pPr>
        <w:pStyle w:val="ListParagraph"/>
        <w:ind w:left="0"/>
        <w:rPr>
          <w:sz w:val="28"/>
          <w:szCs w:val="28"/>
        </w:rPr>
      </w:pPr>
    </w:p>
    <w:p w14:paraId="20C5ADC0" w14:textId="61AD1246" w:rsidR="005C0F90" w:rsidRPr="00C20926" w:rsidRDefault="00DA1165" w:rsidP="007F4700">
      <w:pPr>
        <w:ind w:left="-11"/>
        <w:rPr>
          <w:sz w:val="28"/>
          <w:szCs w:val="28"/>
        </w:rPr>
      </w:pPr>
      <w:r w:rsidRPr="00C20926">
        <w:rPr>
          <w:sz w:val="28"/>
          <w:szCs w:val="28"/>
        </w:rPr>
        <w:t>[</w:t>
      </w:r>
      <w:r w:rsidR="008E5943" w:rsidRPr="00C20926">
        <w:rPr>
          <w:sz w:val="28"/>
          <w:szCs w:val="28"/>
        </w:rPr>
        <w:t>29</w:t>
      </w:r>
      <w:r w:rsidRPr="00C20926">
        <w:rPr>
          <w:sz w:val="28"/>
          <w:szCs w:val="28"/>
        </w:rPr>
        <w:t>]</w:t>
      </w:r>
      <w:r w:rsidRPr="00C20926">
        <w:rPr>
          <w:sz w:val="28"/>
          <w:szCs w:val="28"/>
        </w:rPr>
        <w:tab/>
      </w:r>
      <w:r w:rsidR="005C0F90" w:rsidRPr="00C20926">
        <w:rPr>
          <w:sz w:val="28"/>
          <w:szCs w:val="28"/>
        </w:rPr>
        <w:t>In this sense</w:t>
      </w:r>
      <w:r w:rsidR="00F01CD2" w:rsidRPr="00C20926">
        <w:rPr>
          <w:sz w:val="28"/>
          <w:szCs w:val="28"/>
        </w:rPr>
        <w:t>,</w:t>
      </w:r>
      <w:r w:rsidR="005C0F90" w:rsidRPr="00C20926">
        <w:rPr>
          <w:sz w:val="28"/>
          <w:szCs w:val="28"/>
        </w:rPr>
        <w:t xml:space="preserve"> a ‘tax debt’ is that amount of tax for which the taxpayer is chargeable to tax which is payable by a taxpayer to SARS. The determination of the amount of tax due to SARS occurs by way of assessment. An assessment, however, </w:t>
      </w:r>
      <w:r w:rsidR="005C0F90" w:rsidRPr="00C20926">
        <w:rPr>
          <w:sz w:val="28"/>
          <w:szCs w:val="28"/>
        </w:rPr>
        <w:lastRenderedPageBreak/>
        <w:t xml:space="preserve">does not establish or impose liability. The liability exists, by operation of law, whether or not there has been an assessment. The definition of the terms ‘tax debt’ and ‘assessment’ bear this out. An ‘assessment’ means ‘a determination of the amount of tax </w:t>
      </w:r>
      <w:r w:rsidR="00F01CD2" w:rsidRPr="00C20926">
        <w:rPr>
          <w:sz w:val="28"/>
          <w:szCs w:val="28"/>
        </w:rPr>
        <w:t>liability or refund, by way of self-assessment by the taxpayer or assessment by SARS</w:t>
      </w:r>
      <w:r w:rsidR="005C0F90" w:rsidRPr="00C20926">
        <w:rPr>
          <w:sz w:val="28"/>
          <w:szCs w:val="28"/>
        </w:rPr>
        <w:t>.</w:t>
      </w:r>
      <w:r w:rsidR="002D1D1B" w:rsidRPr="00C20926">
        <w:rPr>
          <w:sz w:val="28"/>
          <w:szCs w:val="28"/>
        </w:rPr>
        <w:t>’</w:t>
      </w:r>
      <w:r w:rsidR="005C0F90" w:rsidRPr="00C20926">
        <w:rPr>
          <w:sz w:val="28"/>
          <w:szCs w:val="28"/>
        </w:rPr>
        <w:t xml:space="preserve"> If the definition of ‘tax debt’ is substituted, then an ‘assessment’ means ‘a determination of a tax debt’ which a taxpayer is obliged to pay to SARS. The tax debt exists, with or without an assessment. An assessment merely determines it and renders it recoverable in accordance with the recovery mechanisms provided by the TAA.</w:t>
      </w:r>
    </w:p>
    <w:p w14:paraId="5AA75E37" w14:textId="77777777" w:rsidR="005C0F90" w:rsidRPr="00C20926" w:rsidRDefault="005C0F90" w:rsidP="00F01CD2">
      <w:pPr>
        <w:pStyle w:val="ListParagraph"/>
        <w:rPr>
          <w:sz w:val="28"/>
          <w:szCs w:val="28"/>
        </w:rPr>
      </w:pPr>
    </w:p>
    <w:p w14:paraId="61D6380C" w14:textId="22DEFE94" w:rsidR="005C0F90" w:rsidRPr="00C20926" w:rsidRDefault="00DA1165" w:rsidP="007F4700">
      <w:pPr>
        <w:ind w:left="-11"/>
        <w:rPr>
          <w:sz w:val="28"/>
          <w:szCs w:val="28"/>
        </w:rPr>
      </w:pPr>
      <w:r w:rsidRPr="00C20926">
        <w:rPr>
          <w:sz w:val="28"/>
          <w:szCs w:val="28"/>
        </w:rPr>
        <w:t>[3</w:t>
      </w:r>
      <w:r w:rsidR="008E5943" w:rsidRPr="00C20926">
        <w:rPr>
          <w:sz w:val="28"/>
          <w:szCs w:val="28"/>
        </w:rPr>
        <w:t>0</w:t>
      </w:r>
      <w:r w:rsidRPr="00C20926">
        <w:rPr>
          <w:sz w:val="28"/>
          <w:szCs w:val="28"/>
        </w:rPr>
        <w:t>]</w:t>
      </w:r>
      <w:r w:rsidRPr="00C20926">
        <w:rPr>
          <w:sz w:val="28"/>
          <w:szCs w:val="28"/>
        </w:rPr>
        <w:tab/>
      </w:r>
      <w:r w:rsidR="005C0F90" w:rsidRPr="00C20926">
        <w:rPr>
          <w:sz w:val="28"/>
          <w:szCs w:val="28"/>
        </w:rPr>
        <w:t xml:space="preserve">In </w:t>
      </w:r>
      <w:r w:rsidR="005C0F90" w:rsidRPr="00C20926">
        <w:rPr>
          <w:i/>
          <w:iCs/>
          <w:sz w:val="28"/>
          <w:szCs w:val="28"/>
        </w:rPr>
        <w:t>Singh</w:t>
      </w:r>
      <w:r w:rsidR="00F01CD2" w:rsidRPr="00C20926">
        <w:rPr>
          <w:iCs/>
          <w:sz w:val="28"/>
          <w:szCs w:val="28"/>
        </w:rPr>
        <w:t>,</w:t>
      </w:r>
      <w:r w:rsidR="005C0F90" w:rsidRPr="00C20926">
        <w:rPr>
          <w:i/>
          <w:iCs/>
          <w:sz w:val="28"/>
          <w:szCs w:val="28"/>
        </w:rPr>
        <w:t xml:space="preserve"> </w:t>
      </w:r>
      <w:r w:rsidR="005C0F90" w:rsidRPr="00C20926">
        <w:rPr>
          <w:sz w:val="28"/>
          <w:szCs w:val="28"/>
        </w:rPr>
        <w:t>this Court dealt with s 40 of the Value Added Tax Act, 89 of 1984. It held that the section is a recovery provision and that it did not determine when a tax was due or payable.</w:t>
      </w:r>
      <w:r w:rsidR="005C0F90" w:rsidRPr="00C20926">
        <w:rPr>
          <w:rStyle w:val="FootnoteReference"/>
          <w:sz w:val="28"/>
          <w:szCs w:val="28"/>
        </w:rPr>
        <w:footnoteReference w:id="8"/>
      </w:r>
      <w:r w:rsidR="005C0F90" w:rsidRPr="00C20926">
        <w:rPr>
          <w:sz w:val="28"/>
          <w:szCs w:val="28"/>
        </w:rPr>
        <w:t xml:space="preserve"> The </w:t>
      </w:r>
      <w:r w:rsidR="00641C19" w:rsidRPr="00C20926">
        <w:rPr>
          <w:sz w:val="28"/>
          <w:szCs w:val="28"/>
        </w:rPr>
        <w:t>C</w:t>
      </w:r>
      <w:r w:rsidR="005C0F90" w:rsidRPr="00C20926">
        <w:rPr>
          <w:sz w:val="28"/>
          <w:szCs w:val="28"/>
        </w:rPr>
        <w:t>ourt held that:</w:t>
      </w:r>
    </w:p>
    <w:p w14:paraId="72311CEB" w14:textId="0BF5F253" w:rsidR="005C0F90" w:rsidRPr="00C20926" w:rsidRDefault="005C0F90" w:rsidP="004546DE">
      <w:pPr>
        <w:pStyle w:val="ListParagraph"/>
        <w:ind w:left="0"/>
      </w:pPr>
      <w:r w:rsidRPr="00C20926">
        <w:t xml:space="preserve">‘An amount may be due but not yet payable, for example additional tax (see the judgment of the Court </w:t>
      </w:r>
      <w:r w:rsidRPr="00C20926">
        <w:rPr>
          <w:i/>
          <w:iCs/>
        </w:rPr>
        <w:t xml:space="preserve">a quo </w:t>
      </w:r>
      <w:r w:rsidRPr="00C20926">
        <w:t>at</w:t>
      </w:r>
      <w:r w:rsidR="00946E31" w:rsidRPr="00C20926">
        <w:t xml:space="preserve"> </w:t>
      </w:r>
      <w:r w:rsidRPr="00C20926">
        <w:t xml:space="preserve">100G 101C). Conversely, an amount which is payable may not be due. This may be the case with an assessed amount prior to the final determination of a dispute: to the extent that the assessment is finally found to be correct, that amount was due (and payable) when the return was rendered; to the extent that the assessment was not correct, that assessment was not due at any time, but it was payable in terms of s 31(1), which provides that, where, in the circumstances contemplated in the section, the Commissioner has made an assessment of the tax payable by the person liable for the payment of such amount of tax, </w:t>
      </w:r>
      <w:r w:rsidR="00F01CD2" w:rsidRPr="00C20926">
        <w:t>“</w:t>
      </w:r>
      <w:r w:rsidRPr="00C20926">
        <w:t>the amount of tax so assessed shall be paid by the perso</w:t>
      </w:r>
      <w:r w:rsidR="00F01CD2" w:rsidRPr="00C20926">
        <w:t>n concerned to the Commissioner”</w:t>
      </w:r>
      <w:r w:rsidRPr="00C20926">
        <w:t>.’</w:t>
      </w:r>
      <w:r w:rsidRPr="00C20926">
        <w:rPr>
          <w:rStyle w:val="FootnoteReference"/>
        </w:rPr>
        <w:footnoteReference w:id="9"/>
      </w:r>
    </w:p>
    <w:p w14:paraId="612F472D" w14:textId="77777777" w:rsidR="005C0F90" w:rsidRPr="00C20926" w:rsidRDefault="005C0F90" w:rsidP="004546DE">
      <w:pPr>
        <w:pStyle w:val="ListParagraph"/>
        <w:ind w:left="0"/>
        <w:rPr>
          <w:sz w:val="28"/>
          <w:szCs w:val="28"/>
        </w:rPr>
      </w:pPr>
    </w:p>
    <w:p w14:paraId="6DCA6116" w14:textId="5147AA0F" w:rsidR="005C0F90" w:rsidRPr="00C20926" w:rsidRDefault="00DA1165" w:rsidP="007F4700">
      <w:pPr>
        <w:ind w:left="-11"/>
        <w:rPr>
          <w:sz w:val="28"/>
          <w:szCs w:val="28"/>
        </w:rPr>
      </w:pPr>
      <w:r w:rsidRPr="00C20926">
        <w:rPr>
          <w:sz w:val="28"/>
          <w:szCs w:val="28"/>
        </w:rPr>
        <w:t>[3</w:t>
      </w:r>
      <w:r w:rsidR="008E5943" w:rsidRPr="00C20926">
        <w:rPr>
          <w:sz w:val="28"/>
          <w:szCs w:val="28"/>
        </w:rPr>
        <w:t>1</w:t>
      </w:r>
      <w:r w:rsidRPr="00C20926">
        <w:rPr>
          <w:sz w:val="28"/>
          <w:szCs w:val="28"/>
        </w:rPr>
        <w:t>]</w:t>
      </w:r>
      <w:r w:rsidRPr="00C20926">
        <w:rPr>
          <w:sz w:val="28"/>
          <w:szCs w:val="28"/>
        </w:rPr>
        <w:tab/>
      </w:r>
      <w:r w:rsidR="005C0F90" w:rsidRPr="00C20926">
        <w:rPr>
          <w:sz w:val="28"/>
          <w:szCs w:val="28"/>
        </w:rPr>
        <w:t xml:space="preserve">This formulation of the underlying or pre-existing indebtedness versus the assessment of the amount of indebtedness was also set out in </w:t>
      </w:r>
      <w:r w:rsidR="00F01CD2" w:rsidRPr="00C20926">
        <w:rPr>
          <w:sz w:val="28"/>
          <w:szCs w:val="28"/>
        </w:rPr>
        <w:t>a</w:t>
      </w:r>
      <w:r w:rsidR="005C0F90" w:rsidRPr="00C20926">
        <w:rPr>
          <w:sz w:val="28"/>
          <w:szCs w:val="28"/>
        </w:rPr>
        <w:t xml:space="preserve"> judgment of this Court</w:t>
      </w:r>
      <w:r w:rsidR="00F01CD2" w:rsidRPr="00C20926">
        <w:rPr>
          <w:sz w:val="28"/>
          <w:szCs w:val="28"/>
        </w:rPr>
        <w:t>,</w:t>
      </w:r>
      <w:r w:rsidR="002D1D1B" w:rsidRPr="00C20926">
        <w:rPr>
          <w:sz w:val="28"/>
          <w:szCs w:val="28"/>
        </w:rPr>
        <w:t xml:space="preserve"> </w:t>
      </w:r>
      <w:r w:rsidR="00F01CD2" w:rsidRPr="00C20926">
        <w:rPr>
          <w:sz w:val="28"/>
          <w:szCs w:val="28"/>
        </w:rPr>
        <w:t>namely</w:t>
      </w:r>
      <w:r w:rsidR="005C0F90" w:rsidRPr="00C20926">
        <w:rPr>
          <w:sz w:val="28"/>
          <w:szCs w:val="28"/>
        </w:rPr>
        <w:t xml:space="preserve"> </w:t>
      </w:r>
      <w:r w:rsidR="005C0F90" w:rsidRPr="00C20926">
        <w:rPr>
          <w:i/>
          <w:iCs/>
          <w:sz w:val="28"/>
          <w:szCs w:val="28"/>
        </w:rPr>
        <w:t>Namex (Edms) Bpk v Kommisaris van Binnelandse Inkomste</w:t>
      </w:r>
      <w:r w:rsidR="00641C19" w:rsidRPr="00C20926">
        <w:rPr>
          <w:sz w:val="28"/>
          <w:szCs w:val="28"/>
        </w:rPr>
        <w:t xml:space="preserve"> </w:t>
      </w:r>
      <w:r w:rsidR="00641C19" w:rsidRPr="00C20926">
        <w:rPr>
          <w:sz w:val="28"/>
          <w:szCs w:val="28"/>
        </w:rPr>
        <w:lastRenderedPageBreak/>
        <w:t>(</w:t>
      </w:r>
      <w:r w:rsidR="00641C19" w:rsidRPr="00C20926">
        <w:rPr>
          <w:i/>
          <w:iCs/>
          <w:sz w:val="28"/>
          <w:szCs w:val="28"/>
        </w:rPr>
        <w:t>Namex</w:t>
      </w:r>
      <w:r w:rsidR="00641C19" w:rsidRPr="00C20926">
        <w:rPr>
          <w:sz w:val="28"/>
          <w:szCs w:val="28"/>
        </w:rPr>
        <w:t>).</w:t>
      </w:r>
      <w:r w:rsidR="005C0F90" w:rsidRPr="00C20926">
        <w:rPr>
          <w:rStyle w:val="FootnoteReference"/>
          <w:sz w:val="28"/>
          <w:szCs w:val="28"/>
        </w:rPr>
        <w:footnoteReference w:id="10"/>
      </w:r>
      <w:r w:rsidR="00F01CD2" w:rsidRPr="00C20926">
        <w:rPr>
          <w:i/>
          <w:iCs/>
          <w:sz w:val="28"/>
          <w:szCs w:val="28"/>
        </w:rPr>
        <w:t xml:space="preserve"> </w:t>
      </w:r>
      <w:r w:rsidR="005C0F90" w:rsidRPr="00C20926">
        <w:rPr>
          <w:sz w:val="28"/>
          <w:szCs w:val="28"/>
        </w:rPr>
        <w:t>One of the questions in that case was whether SARS was to be characterised as a contingent creditor in relation to an additional assessment raised in the context of a compromise entered into in terms of s 311 of the Companies Act</w:t>
      </w:r>
      <w:r w:rsidR="00F01CD2" w:rsidRPr="00C20926">
        <w:rPr>
          <w:sz w:val="28"/>
          <w:szCs w:val="28"/>
        </w:rPr>
        <w:t xml:space="preserve"> 61 of</w:t>
      </w:r>
      <w:r w:rsidR="005C0F90" w:rsidRPr="00C20926">
        <w:rPr>
          <w:sz w:val="28"/>
          <w:szCs w:val="28"/>
        </w:rPr>
        <w:t xml:space="preserve"> 1973. This Court held</w:t>
      </w:r>
      <w:r w:rsidR="00C20926">
        <w:rPr>
          <w:sz w:val="28"/>
          <w:szCs w:val="28"/>
        </w:rPr>
        <w:t xml:space="preserve"> (per our translation)</w:t>
      </w:r>
      <w:r w:rsidR="005C0F90" w:rsidRPr="00C20926">
        <w:rPr>
          <w:sz w:val="28"/>
          <w:szCs w:val="28"/>
        </w:rPr>
        <w:t>:</w:t>
      </w:r>
    </w:p>
    <w:p w14:paraId="07FB7DBC" w14:textId="3C7C6A3C" w:rsidR="005C0F90" w:rsidRPr="00C20926" w:rsidRDefault="00C20926" w:rsidP="00C20926">
      <w:r>
        <w:t>‘</w:t>
      </w:r>
      <w:r w:rsidRPr="00BA182A">
        <w:t xml:space="preserve">Was the respondent </w:t>
      </w:r>
      <w:r>
        <w:t xml:space="preserve">in fact </w:t>
      </w:r>
      <w:r w:rsidRPr="00BA182A">
        <w:t>a contingent creditor? Relying on precedent, the appellant’s counsel argued that a tax liability arises at the latest at the end of a tax year,</w:t>
      </w:r>
      <w:r>
        <w:t xml:space="preserve"> </w:t>
      </w:r>
      <w:r w:rsidRPr="00BA182A">
        <w:t xml:space="preserve">that is, prior to an assessment being issued. This argument has merit. From the case law referred to it transpires that the issuance of an assessment may be a requirement for the enforcement of a tax debt, </w:t>
      </w:r>
      <w:r w:rsidRPr="00C20926">
        <w:rPr>
          <w:i/>
          <w:iCs/>
        </w:rPr>
        <w:t>but the debt as such exists prior to that event.</w:t>
      </w:r>
      <w:r w:rsidRPr="00BA182A">
        <w:t>’</w:t>
      </w:r>
      <w:r w:rsidR="005C0F90" w:rsidRPr="00C20926">
        <w:rPr>
          <w:rStyle w:val="FootnoteReference"/>
        </w:rPr>
        <w:footnoteReference w:id="11"/>
      </w:r>
      <w:r w:rsidR="00F01CD2" w:rsidRPr="00C20926">
        <w:t xml:space="preserve"> </w:t>
      </w:r>
      <w:r w:rsidR="005C0F90" w:rsidRPr="00C20926">
        <w:t>(Emphasis added)</w:t>
      </w:r>
    </w:p>
    <w:p w14:paraId="561348C6" w14:textId="77777777" w:rsidR="005C0F90" w:rsidRPr="00C20926" w:rsidRDefault="005C0F90" w:rsidP="004546DE">
      <w:pPr>
        <w:pStyle w:val="ListParagraph"/>
        <w:ind w:left="0"/>
        <w:rPr>
          <w:sz w:val="28"/>
          <w:szCs w:val="28"/>
        </w:rPr>
      </w:pPr>
    </w:p>
    <w:p w14:paraId="3CDBA59A" w14:textId="507D8F4E" w:rsidR="005C0F90" w:rsidRPr="00C20926" w:rsidRDefault="00DA1165" w:rsidP="007F4700">
      <w:pPr>
        <w:ind w:left="-11"/>
        <w:rPr>
          <w:sz w:val="28"/>
          <w:szCs w:val="28"/>
        </w:rPr>
      </w:pPr>
      <w:r w:rsidRPr="00C20926">
        <w:rPr>
          <w:sz w:val="28"/>
          <w:szCs w:val="28"/>
        </w:rPr>
        <w:t>[3</w:t>
      </w:r>
      <w:r w:rsidR="008E5943" w:rsidRPr="00C20926">
        <w:rPr>
          <w:sz w:val="28"/>
          <w:szCs w:val="28"/>
        </w:rPr>
        <w:t>2</w:t>
      </w:r>
      <w:r w:rsidRPr="00C20926">
        <w:rPr>
          <w:sz w:val="28"/>
          <w:szCs w:val="28"/>
        </w:rPr>
        <w:t>]</w:t>
      </w:r>
      <w:r w:rsidRPr="00C20926">
        <w:rPr>
          <w:sz w:val="28"/>
          <w:szCs w:val="28"/>
        </w:rPr>
        <w:tab/>
      </w:r>
      <w:r w:rsidR="005C0F90" w:rsidRPr="00C20926">
        <w:rPr>
          <w:sz w:val="28"/>
          <w:szCs w:val="28"/>
        </w:rPr>
        <w:t xml:space="preserve">In </w:t>
      </w:r>
      <w:bookmarkStart w:id="1" w:name="_Hlk169014867"/>
      <w:r w:rsidR="005C0F90" w:rsidRPr="00C20926">
        <w:rPr>
          <w:i/>
          <w:iCs/>
          <w:sz w:val="28"/>
          <w:szCs w:val="28"/>
        </w:rPr>
        <w:t>Commissioner for the South African Revenue Service v Medtronic International Trading S.A.R.L (Medtronic International)</w:t>
      </w:r>
      <w:bookmarkEnd w:id="1"/>
      <w:r w:rsidR="005C0F90" w:rsidRPr="00C20926">
        <w:rPr>
          <w:sz w:val="28"/>
          <w:szCs w:val="28"/>
        </w:rPr>
        <w:t>,</w:t>
      </w:r>
      <w:r w:rsidR="005C0F90" w:rsidRPr="00C20926">
        <w:rPr>
          <w:rStyle w:val="FootnoteReference"/>
          <w:sz w:val="28"/>
          <w:szCs w:val="28"/>
        </w:rPr>
        <w:footnoteReference w:id="12"/>
      </w:r>
      <w:r w:rsidR="005C0F90" w:rsidRPr="00C20926">
        <w:rPr>
          <w:sz w:val="28"/>
          <w:szCs w:val="28"/>
        </w:rPr>
        <w:t xml:space="preserve"> the minority judgment dealt with the interplay between the existence of a tax liability and the process of assessment, as follows:</w:t>
      </w:r>
    </w:p>
    <w:p w14:paraId="516CDE56" w14:textId="18469BFA" w:rsidR="005C0F90" w:rsidRPr="00C20926" w:rsidRDefault="005C0F90" w:rsidP="00946E31">
      <w:pPr>
        <w:pStyle w:val="ListParagraph"/>
        <w:ind w:left="0"/>
      </w:pPr>
      <w:r w:rsidRPr="00C20926">
        <w:t xml:space="preserve">‘The contextual starting point is at the source of the liability </w:t>
      </w:r>
      <w:r w:rsidR="00946E31" w:rsidRPr="00C20926">
        <w:t>for the payment of a tax debt. “</w:t>
      </w:r>
      <w:r w:rsidRPr="00C20926">
        <w:t>Tax</w:t>
      </w:r>
      <w:r w:rsidR="00946E31" w:rsidRPr="00C20926">
        <w:t>”</w:t>
      </w:r>
      <w:r w:rsidRPr="00C20926">
        <w:t xml:space="preserve">, is defined by the TAA to include a tax, duty, levy, royalty, fee, contribution, penalty, interest and any other moneys imposed under a tax Act. A </w:t>
      </w:r>
      <w:r w:rsidR="00946E31" w:rsidRPr="00C20926">
        <w:t>“</w:t>
      </w:r>
      <w:r w:rsidRPr="00C20926">
        <w:t>tax debt</w:t>
      </w:r>
      <w:r w:rsidR="00946E31" w:rsidRPr="00C20926">
        <w:t>”</w:t>
      </w:r>
      <w:r w:rsidRPr="00C20926">
        <w:t>, as provi</w:t>
      </w:r>
      <w:r w:rsidR="00946E31" w:rsidRPr="00C20926">
        <w:t>ded in s 169(1) of the TAA, is “</w:t>
      </w:r>
      <w:r w:rsidRPr="00C20926">
        <w:t>an amount of tax due or payable in terms of a tax Act</w:t>
      </w:r>
      <w:r w:rsidR="00946E31" w:rsidRPr="00C20926">
        <w:t>”. The determination of a “</w:t>
      </w:r>
      <w:r w:rsidRPr="00C20926">
        <w:t>tax debt</w:t>
      </w:r>
      <w:r w:rsidR="00946E31" w:rsidRPr="00C20926">
        <w:t>”</w:t>
      </w:r>
      <w:r w:rsidRPr="00C20926">
        <w:t xml:space="preserve"> occurs by way of an assessment. This is a fundamental feature of the tax administration</w:t>
      </w:r>
      <w:r w:rsidR="00946E31" w:rsidRPr="00C20926">
        <w:t xml:space="preserve"> system. An “</w:t>
      </w:r>
      <w:r w:rsidRPr="00C20926">
        <w:t>assessment</w:t>
      </w:r>
      <w:r w:rsidR="00946E31" w:rsidRPr="00C20926">
        <w:t>”</w:t>
      </w:r>
      <w:r w:rsidRPr="00C20926">
        <w:t xml:space="preserve"> means </w:t>
      </w:r>
      <w:r w:rsidR="00946E31" w:rsidRPr="00C20926">
        <w:t>“</w:t>
      </w:r>
      <w:r w:rsidRPr="00C20926">
        <w:t>the determination of the amount of a tax liability or refund, by way of self-assessment by the taxpayer or assessment by SARS</w:t>
      </w:r>
      <w:r w:rsidR="00946E31" w:rsidRPr="00C20926">
        <w:t>”</w:t>
      </w:r>
      <w:r w:rsidRPr="00C20926">
        <w:t>.</w:t>
      </w:r>
    </w:p>
    <w:p w14:paraId="312ADC98" w14:textId="67DA93F8" w:rsidR="00946E31" w:rsidRPr="00C20926" w:rsidRDefault="00946E31" w:rsidP="004546DE">
      <w:pPr>
        <w:pStyle w:val="ListParagraph"/>
        <w:ind w:left="0"/>
      </w:pPr>
      <w:r w:rsidRPr="00C20926">
        <w:t xml:space="preserve">. . . </w:t>
      </w:r>
    </w:p>
    <w:p w14:paraId="341A6259" w14:textId="476B7C3E" w:rsidR="005C0F90" w:rsidRPr="00C20926" w:rsidRDefault="005C0F90" w:rsidP="004546DE">
      <w:pPr>
        <w:pStyle w:val="ListParagraph"/>
        <w:ind w:left="0"/>
      </w:pPr>
      <w:r w:rsidRPr="00C20926">
        <w:rPr>
          <w:lang w:val="en-US"/>
        </w:rPr>
        <w:t xml:space="preserve">The liability to pay a tax debt does not arise except by assessment of the liability by SARS or by the taxpayer, in the form of self-assessment. In the absence of such an assessment, liability, and </w:t>
      </w:r>
      <w:r w:rsidRPr="00C20926">
        <w:rPr>
          <w:lang w:val="en-US"/>
        </w:rPr>
        <w:lastRenderedPageBreak/>
        <w:t>the concomitant duty to pay, do not arise, even though at law the underlying tax obligation subsists. This applies also in respect of interest which may be levied upon overdue amounts, or penalties for non-compliance with statutory obligations.’</w:t>
      </w:r>
    </w:p>
    <w:p w14:paraId="09ED13E1" w14:textId="77777777" w:rsidR="00472A6D" w:rsidRPr="00C20926" w:rsidRDefault="00472A6D" w:rsidP="007F4700">
      <w:pPr>
        <w:pStyle w:val="ListParagraph"/>
        <w:ind w:left="0"/>
        <w:rPr>
          <w:sz w:val="28"/>
          <w:szCs w:val="28"/>
        </w:rPr>
      </w:pPr>
    </w:p>
    <w:p w14:paraId="733BBC4E" w14:textId="2FBB80D6" w:rsidR="005C0F90" w:rsidRPr="00C20926" w:rsidRDefault="00DA1165" w:rsidP="007F4700">
      <w:pPr>
        <w:ind w:left="-11"/>
        <w:rPr>
          <w:sz w:val="28"/>
          <w:szCs w:val="28"/>
        </w:rPr>
      </w:pPr>
      <w:r w:rsidRPr="00C20926">
        <w:rPr>
          <w:sz w:val="28"/>
          <w:szCs w:val="28"/>
        </w:rPr>
        <w:t>[3</w:t>
      </w:r>
      <w:r w:rsidR="008E5943" w:rsidRPr="00C20926">
        <w:rPr>
          <w:sz w:val="28"/>
          <w:szCs w:val="28"/>
        </w:rPr>
        <w:t>3</w:t>
      </w:r>
      <w:r w:rsidRPr="00C20926">
        <w:rPr>
          <w:sz w:val="28"/>
          <w:szCs w:val="28"/>
        </w:rPr>
        <w:t>]</w:t>
      </w:r>
      <w:r w:rsidRPr="00C20926">
        <w:rPr>
          <w:sz w:val="28"/>
          <w:szCs w:val="28"/>
        </w:rPr>
        <w:tab/>
      </w:r>
      <w:r w:rsidR="005C0F90" w:rsidRPr="00C20926">
        <w:rPr>
          <w:sz w:val="28"/>
          <w:szCs w:val="28"/>
        </w:rPr>
        <w:t xml:space="preserve">In the context of that case, the minority judgment pointed out that the determination of the amount of tax (which includes interest deemed or assessed to be due and payable) permits enforcement of the obligation to pay. Since, in that case, the taxpayer had agreed to the amount of tax due, it was not open to the taxpayer to seek a reduction of the interest payable. The minority judgment in </w:t>
      </w:r>
      <w:r w:rsidR="005C0F90" w:rsidRPr="00C20926">
        <w:rPr>
          <w:i/>
          <w:iCs/>
          <w:sz w:val="28"/>
          <w:szCs w:val="28"/>
        </w:rPr>
        <w:t>Medtronic International</w:t>
      </w:r>
      <w:r w:rsidR="005C0F90" w:rsidRPr="00C20926">
        <w:rPr>
          <w:sz w:val="28"/>
          <w:szCs w:val="28"/>
        </w:rPr>
        <w:t xml:space="preserve">, did not differ in any respects with the established authority of this Court as set out in </w:t>
      </w:r>
      <w:r w:rsidR="005C0F90" w:rsidRPr="00C20926">
        <w:rPr>
          <w:i/>
          <w:iCs/>
          <w:sz w:val="28"/>
          <w:szCs w:val="28"/>
        </w:rPr>
        <w:t>Namex.</w:t>
      </w:r>
      <w:r w:rsidR="005C0F90" w:rsidRPr="00C20926">
        <w:rPr>
          <w:sz w:val="28"/>
          <w:szCs w:val="28"/>
        </w:rPr>
        <w:t xml:space="preserve"> An indebtedness to SARS for the payment of tax is not dependent upon an assessment to tax. </w:t>
      </w:r>
    </w:p>
    <w:p w14:paraId="55B40395" w14:textId="77777777" w:rsidR="005C0F90" w:rsidRPr="00C20926" w:rsidRDefault="005C0F90" w:rsidP="004546DE">
      <w:pPr>
        <w:pStyle w:val="ListParagraph"/>
        <w:ind w:left="0"/>
        <w:rPr>
          <w:sz w:val="28"/>
          <w:szCs w:val="28"/>
        </w:rPr>
      </w:pPr>
    </w:p>
    <w:p w14:paraId="75FA3FB8" w14:textId="319B1E86" w:rsidR="005C0F90" w:rsidRPr="00C20926" w:rsidRDefault="00DA1165" w:rsidP="007F4700">
      <w:pPr>
        <w:ind w:left="-11"/>
        <w:rPr>
          <w:sz w:val="28"/>
          <w:szCs w:val="28"/>
        </w:rPr>
      </w:pPr>
      <w:r w:rsidRPr="00C20926">
        <w:rPr>
          <w:sz w:val="28"/>
          <w:szCs w:val="28"/>
        </w:rPr>
        <w:t>[3</w:t>
      </w:r>
      <w:r w:rsidR="008E5943" w:rsidRPr="00C20926">
        <w:rPr>
          <w:sz w:val="28"/>
          <w:szCs w:val="28"/>
        </w:rPr>
        <w:t>4</w:t>
      </w:r>
      <w:r w:rsidRPr="00C20926">
        <w:rPr>
          <w:sz w:val="28"/>
          <w:szCs w:val="28"/>
        </w:rPr>
        <w:t>]</w:t>
      </w:r>
      <w:r w:rsidRPr="00C20926">
        <w:rPr>
          <w:sz w:val="28"/>
          <w:szCs w:val="28"/>
        </w:rPr>
        <w:tab/>
      </w:r>
      <w:r w:rsidR="005C0F90" w:rsidRPr="00C20926">
        <w:rPr>
          <w:sz w:val="28"/>
          <w:szCs w:val="28"/>
        </w:rPr>
        <w:t>The architecture of the tax administration system is based upon this distinction. SARS may raise an original assessment based upon the information disclosed by a taxpayer in a mandatory return. Such assessment is subject to an objection and appeal process and may be subjected to judicial review or appeal.</w:t>
      </w:r>
      <w:r w:rsidR="00DE42CB" w:rsidRPr="00C20926">
        <w:rPr>
          <w:rStyle w:val="FootnoteReference"/>
          <w:sz w:val="28"/>
          <w:szCs w:val="28"/>
        </w:rPr>
        <w:footnoteReference w:id="13"/>
      </w:r>
      <w:r w:rsidR="005C0F90" w:rsidRPr="00C20926">
        <w:rPr>
          <w:sz w:val="28"/>
          <w:szCs w:val="28"/>
        </w:rPr>
        <w:t xml:space="preserve"> It is also open to re-assessment within specified time periods, which may result in an additional assessment being issued. SARS enjoys extensive powers of investigation by which it is entitled to make determinations of the tax indebtedness of a taxpayer retrospectively. In such cases the assessment to additional tax does not originate the liability. It determines that which was, by virtue of the tax impost, due by the taxpayer.</w:t>
      </w:r>
    </w:p>
    <w:p w14:paraId="1C6B78D2" w14:textId="77777777" w:rsidR="005C0F90" w:rsidRPr="00C20926" w:rsidRDefault="005C0F90" w:rsidP="00DE42CB">
      <w:pPr>
        <w:pStyle w:val="ListParagraph"/>
        <w:ind w:left="0"/>
        <w:rPr>
          <w:sz w:val="28"/>
          <w:szCs w:val="28"/>
        </w:rPr>
      </w:pPr>
    </w:p>
    <w:p w14:paraId="6206D73F" w14:textId="3DD35635" w:rsidR="005C0F90" w:rsidRPr="00C20926" w:rsidRDefault="00DA1165" w:rsidP="007F4700">
      <w:pPr>
        <w:ind w:left="-11"/>
        <w:rPr>
          <w:sz w:val="28"/>
          <w:szCs w:val="28"/>
        </w:rPr>
      </w:pPr>
      <w:r w:rsidRPr="00C20926">
        <w:rPr>
          <w:sz w:val="28"/>
          <w:szCs w:val="28"/>
        </w:rPr>
        <w:t>[3</w:t>
      </w:r>
      <w:r w:rsidR="008E5943" w:rsidRPr="00C20926">
        <w:rPr>
          <w:sz w:val="28"/>
          <w:szCs w:val="28"/>
        </w:rPr>
        <w:t>5</w:t>
      </w:r>
      <w:r w:rsidRPr="00C20926">
        <w:rPr>
          <w:sz w:val="28"/>
          <w:szCs w:val="28"/>
        </w:rPr>
        <w:t>]</w:t>
      </w:r>
      <w:r w:rsidRPr="00C20926">
        <w:rPr>
          <w:sz w:val="28"/>
          <w:szCs w:val="28"/>
        </w:rPr>
        <w:tab/>
      </w:r>
      <w:r w:rsidR="005C0F90" w:rsidRPr="00C20926">
        <w:rPr>
          <w:sz w:val="28"/>
          <w:szCs w:val="28"/>
        </w:rPr>
        <w:t xml:space="preserve">As </w:t>
      </w:r>
      <w:r w:rsidR="008276DD" w:rsidRPr="00C20926">
        <w:rPr>
          <w:sz w:val="28"/>
          <w:szCs w:val="28"/>
        </w:rPr>
        <w:t xml:space="preserve">we </w:t>
      </w:r>
      <w:r w:rsidR="005C0F90" w:rsidRPr="00C20926">
        <w:rPr>
          <w:sz w:val="28"/>
          <w:szCs w:val="28"/>
        </w:rPr>
        <w:t xml:space="preserve">have already stated, </w:t>
      </w:r>
      <w:r w:rsidR="008276DD" w:rsidRPr="00C20926">
        <w:rPr>
          <w:sz w:val="28"/>
          <w:szCs w:val="28"/>
        </w:rPr>
        <w:t xml:space="preserve">s 183 </w:t>
      </w:r>
      <w:r w:rsidR="005C0F90" w:rsidRPr="00C20926">
        <w:rPr>
          <w:sz w:val="28"/>
          <w:szCs w:val="28"/>
        </w:rPr>
        <w:t xml:space="preserve">imposes liability upon a third party whose conduct has, deliberately, resulted in obstructing SARS from collecting a tax debt from a taxpayer. The section occurs within </w:t>
      </w:r>
      <w:r w:rsidR="002D1D1B" w:rsidRPr="00C20926">
        <w:rPr>
          <w:sz w:val="28"/>
          <w:szCs w:val="28"/>
        </w:rPr>
        <w:t>c</w:t>
      </w:r>
      <w:r w:rsidR="005C0F90" w:rsidRPr="00C20926">
        <w:rPr>
          <w:sz w:val="28"/>
          <w:szCs w:val="28"/>
        </w:rPr>
        <w:t xml:space="preserve">hapter 11 which deals with the recovery </w:t>
      </w:r>
      <w:r w:rsidR="005C0F90" w:rsidRPr="00C20926">
        <w:rPr>
          <w:sz w:val="28"/>
          <w:szCs w:val="28"/>
        </w:rPr>
        <w:lastRenderedPageBreak/>
        <w:t xml:space="preserve">of tax. The </w:t>
      </w:r>
      <w:r w:rsidR="002D1D1B" w:rsidRPr="00C20926">
        <w:rPr>
          <w:sz w:val="28"/>
          <w:szCs w:val="28"/>
        </w:rPr>
        <w:t>c</w:t>
      </w:r>
      <w:r w:rsidR="005C0F90" w:rsidRPr="00C20926">
        <w:rPr>
          <w:sz w:val="28"/>
          <w:szCs w:val="28"/>
        </w:rPr>
        <w:t>hapter i</w:t>
      </w:r>
      <w:r w:rsidR="00A05BC7" w:rsidRPr="00C20926">
        <w:rPr>
          <w:sz w:val="28"/>
          <w:szCs w:val="28"/>
        </w:rPr>
        <w:t>s</w:t>
      </w:r>
      <w:r w:rsidR="005C0F90" w:rsidRPr="00C20926">
        <w:rPr>
          <w:sz w:val="28"/>
          <w:szCs w:val="28"/>
        </w:rPr>
        <w:t xml:space="preserve"> divided into six parts. The first part concerns general provisions which are applicable in relation to recovery proceedings. It commences with s 169. As indicated earlier, s</w:t>
      </w:r>
      <w:r w:rsidR="004B6341" w:rsidRPr="00C20926">
        <w:rPr>
          <w:sz w:val="28"/>
          <w:szCs w:val="28"/>
        </w:rPr>
        <w:t>ubsection</w:t>
      </w:r>
      <w:r w:rsidR="002D1D1B" w:rsidRPr="00C20926">
        <w:rPr>
          <w:sz w:val="28"/>
          <w:szCs w:val="28"/>
        </w:rPr>
        <w:t xml:space="preserve"> (1)</w:t>
      </w:r>
      <w:r w:rsidR="005C0F90" w:rsidRPr="00C20926">
        <w:rPr>
          <w:sz w:val="28"/>
          <w:szCs w:val="28"/>
        </w:rPr>
        <w:t xml:space="preserve"> refers to the amount of tax due or payable to SARS being a tax debt due to the fiscus. The section goes further to state that a tax debt may be recovered from a representative taxpayer who is personally liable for the payment of taxpayer’s debts or the taxpayer. </w:t>
      </w:r>
    </w:p>
    <w:p w14:paraId="3B7C6640" w14:textId="77777777" w:rsidR="005C0F90" w:rsidRPr="00C20926" w:rsidRDefault="005C0F90" w:rsidP="004546DE">
      <w:pPr>
        <w:pStyle w:val="ListParagraph"/>
        <w:ind w:left="0"/>
        <w:rPr>
          <w:sz w:val="28"/>
          <w:szCs w:val="28"/>
        </w:rPr>
      </w:pPr>
    </w:p>
    <w:p w14:paraId="2E6B8157" w14:textId="548FE8A0" w:rsidR="005C0F90" w:rsidRPr="00C20926" w:rsidRDefault="00DA1165" w:rsidP="007F4700">
      <w:pPr>
        <w:ind w:left="-11"/>
        <w:rPr>
          <w:sz w:val="28"/>
          <w:szCs w:val="28"/>
        </w:rPr>
      </w:pPr>
      <w:r w:rsidRPr="00C20926">
        <w:rPr>
          <w:sz w:val="28"/>
          <w:szCs w:val="28"/>
        </w:rPr>
        <w:t>[</w:t>
      </w:r>
      <w:r w:rsidR="00641C19" w:rsidRPr="00C20926">
        <w:rPr>
          <w:sz w:val="28"/>
          <w:szCs w:val="28"/>
        </w:rPr>
        <w:t>3</w:t>
      </w:r>
      <w:r w:rsidR="008E5943" w:rsidRPr="00C20926">
        <w:rPr>
          <w:sz w:val="28"/>
          <w:szCs w:val="28"/>
        </w:rPr>
        <w:t>6</w:t>
      </w:r>
      <w:r w:rsidRPr="00C20926">
        <w:rPr>
          <w:sz w:val="28"/>
          <w:szCs w:val="28"/>
        </w:rPr>
        <w:t>]</w:t>
      </w:r>
      <w:r w:rsidRPr="00C20926">
        <w:rPr>
          <w:sz w:val="28"/>
          <w:szCs w:val="28"/>
        </w:rPr>
        <w:tab/>
      </w:r>
      <w:r w:rsidR="005C0F90" w:rsidRPr="00C20926">
        <w:rPr>
          <w:sz w:val="28"/>
          <w:szCs w:val="28"/>
        </w:rPr>
        <w:t xml:space="preserve">Section 170 deals with the probative value of an assessment. Section 172 provides for recovery by way of judgment. When s 172 is read with s 164 of the TAA, the distinction between a debt due or payable, as elucidated in </w:t>
      </w:r>
      <w:r w:rsidR="005C0F90" w:rsidRPr="00C20926">
        <w:rPr>
          <w:i/>
          <w:iCs/>
          <w:sz w:val="28"/>
          <w:szCs w:val="28"/>
        </w:rPr>
        <w:t>Singh</w:t>
      </w:r>
      <w:r w:rsidR="005C0F90" w:rsidRPr="00C20926">
        <w:rPr>
          <w:sz w:val="28"/>
          <w:szCs w:val="28"/>
        </w:rPr>
        <w:t>, is apparent. SARS is entitled to obtain judgment even if the underlying indebtedness is subject to objection. This is so because a taxpayer is obliged to pay the amount assessed to tax, notwithstanding an objection against the assessment. Section 172 envisages a process of amending the judgment or withdrawing it in the light of the outcome of the objection process.</w:t>
      </w:r>
    </w:p>
    <w:p w14:paraId="6D4DA325" w14:textId="77777777" w:rsidR="005C0F90" w:rsidRPr="00C20926" w:rsidRDefault="005C0F90" w:rsidP="00DE42CB">
      <w:pPr>
        <w:pStyle w:val="ListParagraph"/>
        <w:ind w:left="0"/>
        <w:rPr>
          <w:sz w:val="28"/>
          <w:szCs w:val="28"/>
        </w:rPr>
      </w:pPr>
    </w:p>
    <w:p w14:paraId="5678B9A7" w14:textId="28AE357A" w:rsidR="005C0F90" w:rsidRPr="00C20926" w:rsidRDefault="00DA1165" w:rsidP="007F4700">
      <w:pPr>
        <w:ind w:left="-11"/>
        <w:rPr>
          <w:sz w:val="28"/>
          <w:szCs w:val="28"/>
        </w:rPr>
      </w:pPr>
      <w:r w:rsidRPr="00C20926">
        <w:rPr>
          <w:sz w:val="28"/>
          <w:szCs w:val="28"/>
        </w:rPr>
        <w:t>[</w:t>
      </w:r>
      <w:r w:rsidR="00641C19" w:rsidRPr="00C20926">
        <w:rPr>
          <w:sz w:val="28"/>
          <w:szCs w:val="28"/>
        </w:rPr>
        <w:t>3</w:t>
      </w:r>
      <w:r w:rsidR="008E5943" w:rsidRPr="00C20926">
        <w:rPr>
          <w:sz w:val="28"/>
          <w:szCs w:val="28"/>
        </w:rPr>
        <w:t>7</w:t>
      </w:r>
      <w:r w:rsidRPr="00C20926">
        <w:rPr>
          <w:sz w:val="28"/>
          <w:szCs w:val="28"/>
        </w:rPr>
        <w:t>]</w:t>
      </w:r>
      <w:r w:rsidRPr="00C20926">
        <w:rPr>
          <w:sz w:val="28"/>
          <w:szCs w:val="28"/>
        </w:rPr>
        <w:tab/>
      </w:r>
      <w:r w:rsidR="005C0F90" w:rsidRPr="00C20926">
        <w:rPr>
          <w:sz w:val="28"/>
          <w:szCs w:val="28"/>
        </w:rPr>
        <w:t xml:space="preserve">SARS is also entitled to recover tax due to it by process of sequestration or the liquidation of corporate entities. It is worth noting that, as this Court held in </w:t>
      </w:r>
      <w:r w:rsidR="005C0F90" w:rsidRPr="00C20926">
        <w:rPr>
          <w:i/>
          <w:iCs/>
          <w:sz w:val="28"/>
          <w:szCs w:val="28"/>
        </w:rPr>
        <w:t>Namex</w:t>
      </w:r>
      <w:r w:rsidR="005C0F90" w:rsidRPr="00C20926">
        <w:rPr>
          <w:sz w:val="28"/>
          <w:szCs w:val="28"/>
        </w:rPr>
        <w:t>, SARS recovers in insolvency not as a contingent creditor but as a creditor accorded its usual statutory preference.</w:t>
      </w:r>
      <w:r w:rsidR="005C0F90" w:rsidRPr="00C20926">
        <w:rPr>
          <w:rStyle w:val="FootnoteReference"/>
          <w:sz w:val="28"/>
          <w:szCs w:val="28"/>
        </w:rPr>
        <w:footnoteReference w:id="14"/>
      </w:r>
    </w:p>
    <w:p w14:paraId="70771534" w14:textId="77777777" w:rsidR="005C0F90" w:rsidRPr="00C20926" w:rsidRDefault="005C0F90" w:rsidP="004546DE">
      <w:pPr>
        <w:pStyle w:val="ListParagraph"/>
        <w:ind w:left="0"/>
        <w:rPr>
          <w:sz w:val="28"/>
          <w:szCs w:val="28"/>
        </w:rPr>
      </w:pPr>
    </w:p>
    <w:p w14:paraId="23756E6B" w14:textId="7F9BED0A" w:rsidR="005C0F90" w:rsidRDefault="00DA1165" w:rsidP="007F4700">
      <w:pPr>
        <w:ind w:left="-11"/>
        <w:rPr>
          <w:sz w:val="28"/>
          <w:szCs w:val="28"/>
        </w:rPr>
      </w:pPr>
      <w:r w:rsidRPr="00C20926">
        <w:rPr>
          <w:sz w:val="28"/>
          <w:szCs w:val="28"/>
        </w:rPr>
        <w:t>[</w:t>
      </w:r>
      <w:r w:rsidR="00641C19" w:rsidRPr="00C20926">
        <w:rPr>
          <w:sz w:val="28"/>
          <w:szCs w:val="28"/>
        </w:rPr>
        <w:t>3</w:t>
      </w:r>
      <w:r w:rsidR="008E5943" w:rsidRPr="00C20926">
        <w:rPr>
          <w:sz w:val="28"/>
          <w:szCs w:val="28"/>
        </w:rPr>
        <w:t>8</w:t>
      </w:r>
      <w:r w:rsidRPr="00C20926">
        <w:rPr>
          <w:sz w:val="28"/>
          <w:szCs w:val="28"/>
        </w:rPr>
        <w:t>]</w:t>
      </w:r>
      <w:r w:rsidRPr="00C20926">
        <w:rPr>
          <w:sz w:val="28"/>
          <w:szCs w:val="28"/>
        </w:rPr>
        <w:tab/>
      </w:r>
      <w:r w:rsidR="005C0F90" w:rsidRPr="00C20926">
        <w:rPr>
          <w:sz w:val="28"/>
          <w:szCs w:val="28"/>
        </w:rPr>
        <w:t xml:space="preserve">The further sections of </w:t>
      </w:r>
      <w:r w:rsidR="004B6341" w:rsidRPr="00C20926">
        <w:rPr>
          <w:sz w:val="28"/>
          <w:szCs w:val="28"/>
        </w:rPr>
        <w:t>c</w:t>
      </w:r>
      <w:r w:rsidR="005C0F90" w:rsidRPr="00C20926">
        <w:rPr>
          <w:sz w:val="28"/>
          <w:szCs w:val="28"/>
        </w:rPr>
        <w:t xml:space="preserve">hapter 11 cater for specified instances of recovery of tax debts due by a taxpayer from third parties. Section 179 envisages the appointment of a so-called agent. The section allows SARS to recover payment from a person who holds or will hold money due to the taxpayer. In effect, the ‘agent’ is notified </w:t>
      </w:r>
      <w:r w:rsidR="005C0F90" w:rsidRPr="00C20926">
        <w:rPr>
          <w:sz w:val="28"/>
          <w:szCs w:val="28"/>
        </w:rPr>
        <w:lastRenderedPageBreak/>
        <w:t>to pay that money to SARS to satisfy a taxpayer’s ‘outstanding tax debt’.</w:t>
      </w:r>
      <w:r w:rsidR="005C0F90" w:rsidRPr="00C20926">
        <w:rPr>
          <w:rStyle w:val="FootnoteReference"/>
          <w:sz w:val="28"/>
          <w:szCs w:val="28"/>
        </w:rPr>
        <w:footnoteReference w:id="15"/>
      </w:r>
      <w:r w:rsidR="005C0F90" w:rsidRPr="00C20926">
        <w:rPr>
          <w:sz w:val="28"/>
          <w:szCs w:val="28"/>
        </w:rPr>
        <w:t xml:space="preserve"> This form of recovery plainly does not require that the ‘tax debt’ be anything other than ‘payable’, in the sense that a date for payment of an amount owed to SARS has been set. Recovery from an appointed agent can occur even if the underlying indebtedness is subject to challenge.</w:t>
      </w:r>
    </w:p>
    <w:p w14:paraId="66067DA0" w14:textId="77777777" w:rsidR="008B5F43" w:rsidRPr="00C20926" w:rsidRDefault="008B5F43" w:rsidP="007F4700">
      <w:pPr>
        <w:ind w:left="-11"/>
        <w:rPr>
          <w:sz w:val="28"/>
          <w:szCs w:val="28"/>
        </w:rPr>
      </w:pPr>
    </w:p>
    <w:p w14:paraId="5648B612" w14:textId="77AA691B" w:rsidR="005C0F90" w:rsidRPr="00C20926" w:rsidRDefault="00DA1165" w:rsidP="007F4700">
      <w:pPr>
        <w:ind w:left="-11"/>
        <w:rPr>
          <w:sz w:val="28"/>
          <w:szCs w:val="28"/>
        </w:rPr>
      </w:pPr>
      <w:r w:rsidRPr="00C20926">
        <w:rPr>
          <w:sz w:val="28"/>
          <w:szCs w:val="28"/>
        </w:rPr>
        <w:t>[</w:t>
      </w:r>
      <w:r w:rsidR="008E5943" w:rsidRPr="00C20926">
        <w:rPr>
          <w:sz w:val="28"/>
          <w:szCs w:val="28"/>
        </w:rPr>
        <w:t>39</w:t>
      </w:r>
      <w:r w:rsidRPr="00C20926">
        <w:rPr>
          <w:sz w:val="28"/>
          <w:szCs w:val="28"/>
        </w:rPr>
        <w:t>]</w:t>
      </w:r>
      <w:r w:rsidRPr="00C20926">
        <w:rPr>
          <w:sz w:val="28"/>
          <w:szCs w:val="28"/>
        </w:rPr>
        <w:tab/>
      </w:r>
      <w:r w:rsidR="005C0F90" w:rsidRPr="00C20926">
        <w:rPr>
          <w:sz w:val="28"/>
          <w:szCs w:val="28"/>
        </w:rPr>
        <w:t xml:space="preserve">In s 180, personal liability is imposed upon a financial administrator in charge of the financial affairs of a taxpayer who, by virtue of negligence or fraud, causes payment of tax not to be made. In both s 179 and s 180 the term tax debt is qualified  by the word ‘outstanding’. An </w:t>
      </w:r>
      <w:r w:rsidR="00DE42CB" w:rsidRPr="00C20926">
        <w:rPr>
          <w:sz w:val="28"/>
          <w:szCs w:val="28"/>
        </w:rPr>
        <w:t>‘</w:t>
      </w:r>
      <w:r w:rsidR="005C0F90" w:rsidRPr="00C20926">
        <w:rPr>
          <w:sz w:val="28"/>
          <w:szCs w:val="28"/>
        </w:rPr>
        <w:t>outstanding tax debt</w:t>
      </w:r>
      <w:r w:rsidR="00DE42CB" w:rsidRPr="00C20926">
        <w:rPr>
          <w:sz w:val="28"/>
          <w:szCs w:val="28"/>
        </w:rPr>
        <w:t>’</w:t>
      </w:r>
      <w:r w:rsidR="005C0F90" w:rsidRPr="00C20926">
        <w:rPr>
          <w:sz w:val="28"/>
          <w:szCs w:val="28"/>
        </w:rPr>
        <w:t xml:space="preserve"> is defined in s 1 of the TAA to mean a tax debt in respect of which a final demand for payment has been made. A final demand for payment can be made only in circumstances where the date for payment of the amount of tax due to SARS has been stipulated and it remains unpaid.</w:t>
      </w:r>
      <w:r w:rsidR="005C0F90" w:rsidRPr="00C20926">
        <w:rPr>
          <w:rStyle w:val="FootnoteReference"/>
          <w:sz w:val="28"/>
          <w:szCs w:val="28"/>
        </w:rPr>
        <w:footnoteReference w:id="16"/>
      </w:r>
      <w:r w:rsidR="005C0F90" w:rsidRPr="00C20926">
        <w:rPr>
          <w:sz w:val="28"/>
          <w:szCs w:val="28"/>
        </w:rPr>
        <w:t xml:space="preserve"> Recovery for the payment of tax (whether or not it is legally due) can only occur if the taxpayer is in default of the obligation to pay a determined amount. Since the date for payment is ordinarily stipulated in the notice of assessment, these recovery processes require the existence of an assessment of the amount of tax due to SARS.</w:t>
      </w:r>
    </w:p>
    <w:p w14:paraId="3E7DA249" w14:textId="77777777" w:rsidR="005C0F90" w:rsidRPr="00C20926" w:rsidRDefault="005C0F90" w:rsidP="004546DE">
      <w:pPr>
        <w:pStyle w:val="ListParagraph"/>
        <w:ind w:left="0"/>
        <w:rPr>
          <w:sz w:val="28"/>
          <w:szCs w:val="28"/>
        </w:rPr>
      </w:pPr>
    </w:p>
    <w:p w14:paraId="74C7AAE0" w14:textId="1BE1A341" w:rsidR="005C0F90" w:rsidRDefault="00DA1165" w:rsidP="007F4700">
      <w:pPr>
        <w:ind w:left="-11"/>
        <w:rPr>
          <w:sz w:val="28"/>
          <w:szCs w:val="28"/>
        </w:rPr>
      </w:pPr>
      <w:r w:rsidRPr="00C20926">
        <w:rPr>
          <w:sz w:val="28"/>
          <w:szCs w:val="28"/>
        </w:rPr>
        <w:t>[4</w:t>
      </w:r>
      <w:r w:rsidR="008E5943" w:rsidRPr="00C20926">
        <w:rPr>
          <w:sz w:val="28"/>
          <w:szCs w:val="28"/>
        </w:rPr>
        <w:t>0</w:t>
      </w:r>
      <w:r w:rsidRPr="00C20926">
        <w:rPr>
          <w:sz w:val="28"/>
          <w:szCs w:val="28"/>
        </w:rPr>
        <w:t>]</w:t>
      </w:r>
      <w:r w:rsidRPr="00C20926">
        <w:rPr>
          <w:sz w:val="28"/>
          <w:szCs w:val="28"/>
        </w:rPr>
        <w:tab/>
      </w:r>
      <w:r w:rsidR="005C0F90" w:rsidRPr="00C20926">
        <w:rPr>
          <w:sz w:val="28"/>
          <w:szCs w:val="28"/>
        </w:rPr>
        <w:t xml:space="preserve">Sections 181 and 182 stand upon a slightly different footing. The former envisages recovery of a tax debt from shareholders of a company in liquidation. They must have received assets of the company within a specified period in circumstances </w:t>
      </w:r>
      <w:r w:rsidR="005C0F90" w:rsidRPr="00C20926">
        <w:rPr>
          <w:sz w:val="28"/>
          <w:szCs w:val="28"/>
        </w:rPr>
        <w:lastRenderedPageBreak/>
        <w:t>where the company had an ‘existing tax debt’ or ‘would have had an existing tax debt’ if the taxpayer had complied with its obligations.</w:t>
      </w:r>
      <w:r w:rsidR="005C0F90" w:rsidRPr="00C20926">
        <w:rPr>
          <w:rStyle w:val="FootnoteReference"/>
          <w:sz w:val="28"/>
          <w:szCs w:val="28"/>
        </w:rPr>
        <w:footnoteReference w:id="17"/>
      </w:r>
    </w:p>
    <w:p w14:paraId="0CEFCA07" w14:textId="77777777" w:rsidR="008B5F43" w:rsidRPr="00C20926" w:rsidRDefault="008B5F43" w:rsidP="007F4700">
      <w:pPr>
        <w:ind w:left="-11"/>
        <w:rPr>
          <w:sz w:val="28"/>
          <w:szCs w:val="28"/>
        </w:rPr>
      </w:pPr>
    </w:p>
    <w:p w14:paraId="517E81AC" w14:textId="5DB6C970" w:rsidR="005C0F90" w:rsidRPr="00C20926" w:rsidRDefault="00DA1165" w:rsidP="007F4700">
      <w:pPr>
        <w:ind w:left="-11"/>
        <w:rPr>
          <w:sz w:val="28"/>
          <w:szCs w:val="28"/>
        </w:rPr>
      </w:pPr>
      <w:r w:rsidRPr="00C20926">
        <w:rPr>
          <w:sz w:val="28"/>
          <w:szCs w:val="28"/>
        </w:rPr>
        <w:t>[4</w:t>
      </w:r>
      <w:r w:rsidR="008E5943" w:rsidRPr="00C20926">
        <w:rPr>
          <w:sz w:val="28"/>
          <w:szCs w:val="28"/>
        </w:rPr>
        <w:t>1</w:t>
      </w:r>
      <w:r w:rsidRPr="00C20926">
        <w:rPr>
          <w:sz w:val="28"/>
          <w:szCs w:val="28"/>
        </w:rPr>
        <w:t>]</w:t>
      </w:r>
      <w:r w:rsidRPr="00C20926">
        <w:rPr>
          <w:sz w:val="28"/>
          <w:szCs w:val="28"/>
        </w:rPr>
        <w:tab/>
      </w:r>
      <w:r w:rsidR="005C0F90" w:rsidRPr="00C20926">
        <w:rPr>
          <w:sz w:val="28"/>
          <w:szCs w:val="28"/>
        </w:rPr>
        <w:t>The latter section applies where a transferee receives assets of a taxpayer in relation to which it is a connected person for no consideration or consideration less than the fair market value of the assets.</w:t>
      </w:r>
      <w:r w:rsidR="005C0F90" w:rsidRPr="00C20926">
        <w:rPr>
          <w:rStyle w:val="FootnoteReference"/>
          <w:sz w:val="28"/>
          <w:szCs w:val="28"/>
        </w:rPr>
        <w:footnoteReference w:id="18"/>
      </w:r>
      <w:r w:rsidR="005C0F90" w:rsidRPr="00C20926">
        <w:rPr>
          <w:sz w:val="28"/>
          <w:szCs w:val="28"/>
        </w:rPr>
        <w:t xml:space="preserve"> It also draws the distinction between ‘existing tax debt’ or one that would have existed.  Neither s 181 nor </w:t>
      </w:r>
      <w:r w:rsidR="004B6341" w:rsidRPr="00C20926">
        <w:rPr>
          <w:sz w:val="28"/>
          <w:szCs w:val="28"/>
        </w:rPr>
        <w:t xml:space="preserve">s </w:t>
      </w:r>
      <w:r w:rsidR="005C0F90" w:rsidRPr="00C20926">
        <w:rPr>
          <w:sz w:val="28"/>
          <w:szCs w:val="28"/>
        </w:rPr>
        <w:t xml:space="preserve">182 appears, at face value, to require that the shareholders have any knowledge of the circumstances in which they acquired the assets or that they knew of the taxpayer’s default. </w:t>
      </w:r>
    </w:p>
    <w:p w14:paraId="7D4172E8" w14:textId="77777777" w:rsidR="005C0F90" w:rsidRPr="00C20926" w:rsidRDefault="005C0F90" w:rsidP="004546DE">
      <w:pPr>
        <w:pStyle w:val="ListParagraph"/>
        <w:ind w:left="0"/>
        <w:rPr>
          <w:sz w:val="28"/>
          <w:szCs w:val="28"/>
        </w:rPr>
      </w:pPr>
    </w:p>
    <w:p w14:paraId="52E21CCD" w14:textId="170775BB" w:rsidR="005C0F90" w:rsidRPr="00C20926" w:rsidRDefault="00DA1165" w:rsidP="007F4700">
      <w:pPr>
        <w:ind w:left="-11"/>
        <w:rPr>
          <w:sz w:val="28"/>
          <w:szCs w:val="28"/>
        </w:rPr>
      </w:pPr>
      <w:r w:rsidRPr="00C20926">
        <w:rPr>
          <w:sz w:val="28"/>
          <w:szCs w:val="28"/>
        </w:rPr>
        <w:t>[4</w:t>
      </w:r>
      <w:r w:rsidR="008E5943" w:rsidRPr="00C20926">
        <w:rPr>
          <w:sz w:val="28"/>
          <w:szCs w:val="28"/>
        </w:rPr>
        <w:t>2</w:t>
      </w:r>
      <w:r w:rsidRPr="00C20926">
        <w:rPr>
          <w:sz w:val="28"/>
          <w:szCs w:val="28"/>
        </w:rPr>
        <w:t>]</w:t>
      </w:r>
      <w:r w:rsidRPr="00C20926">
        <w:rPr>
          <w:sz w:val="28"/>
          <w:szCs w:val="28"/>
        </w:rPr>
        <w:tab/>
      </w:r>
      <w:r w:rsidR="005C0F90" w:rsidRPr="00C20926">
        <w:rPr>
          <w:sz w:val="28"/>
          <w:szCs w:val="28"/>
        </w:rPr>
        <w:t xml:space="preserve">The phrase ‘existing tax debt’ and reference to a tax debt ‘would have existed’, suggests that the term ‘tax debt’ in this instance means ‘a determined amount of tax due’. In other words, that there was an existing </w:t>
      </w:r>
      <w:r w:rsidR="005C0F90" w:rsidRPr="00C20926">
        <w:rPr>
          <w:i/>
          <w:iCs/>
          <w:sz w:val="28"/>
          <w:szCs w:val="28"/>
        </w:rPr>
        <w:t>assessment</w:t>
      </w:r>
      <w:r w:rsidR="005C0F90" w:rsidRPr="00C20926">
        <w:rPr>
          <w:sz w:val="28"/>
          <w:szCs w:val="28"/>
        </w:rPr>
        <w:t xml:space="preserve"> to tax or that there would have been such </w:t>
      </w:r>
      <w:r w:rsidR="005C0F90" w:rsidRPr="00C20926">
        <w:rPr>
          <w:i/>
          <w:iCs/>
          <w:sz w:val="28"/>
          <w:szCs w:val="28"/>
        </w:rPr>
        <w:t>assessment</w:t>
      </w:r>
      <w:r w:rsidR="005C0F90" w:rsidRPr="00C20926">
        <w:rPr>
          <w:sz w:val="28"/>
          <w:szCs w:val="28"/>
        </w:rPr>
        <w:t xml:space="preserve"> but for the failure to comply with the taxpayer’s obligations. Sections 181 and 182 therefore contemplate recovery of a tax debt even if, at the time that the third party received the assets of a taxpayer, the amount of tax due (the tax debt) by the taxpayer had not yet been determined by assessment. In this context therefore, the term tax debt is used to connote its general description of the taxpayer’s liability to pay tax as is imposed by operation of law.</w:t>
      </w:r>
    </w:p>
    <w:p w14:paraId="4777BB50" w14:textId="77777777" w:rsidR="005C0F90" w:rsidRPr="00C20926" w:rsidRDefault="005C0F90" w:rsidP="001D0510">
      <w:pPr>
        <w:pStyle w:val="ListParagraph"/>
        <w:ind w:left="0"/>
        <w:rPr>
          <w:sz w:val="28"/>
          <w:szCs w:val="28"/>
        </w:rPr>
      </w:pPr>
    </w:p>
    <w:p w14:paraId="5759D9E8" w14:textId="673D4CEF" w:rsidR="005C0F90" w:rsidRPr="00C20926" w:rsidRDefault="00DA1165" w:rsidP="007F4700">
      <w:pPr>
        <w:ind w:left="-11"/>
        <w:rPr>
          <w:sz w:val="28"/>
          <w:szCs w:val="28"/>
        </w:rPr>
      </w:pPr>
      <w:r w:rsidRPr="00C20926">
        <w:rPr>
          <w:sz w:val="28"/>
          <w:szCs w:val="28"/>
        </w:rPr>
        <w:lastRenderedPageBreak/>
        <w:t>[4</w:t>
      </w:r>
      <w:r w:rsidR="008E5943" w:rsidRPr="00C20926">
        <w:rPr>
          <w:sz w:val="28"/>
          <w:szCs w:val="28"/>
        </w:rPr>
        <w:t>3</w:t>
      </w:r>
      <w:r w:rsidRPr="00C20926">
        <w:rPr>
          <w:sz w:val="28"/>
          <w:szCs w:val="28"/>
        </w:rPr>
        <w:t>]</w:t>
      </w:r>
      <w:r w:rsidRPr="00C20926">
        <w:rPr>
          <w:sz w:val="28"/>
          <w:szCs w:val="28"/>
        </w:rPr>
        <w:tab/>
      </w:r>
      <w:r w:rsidR="005C0F90" w:rsidRPr="00C20926">
        <w:rPr>
          <w:sz w:val="28"/>
          <w:szCs w:val="28"/>
        </w:rPr>
        <w:t>The purpose of s 183 is to establish the liability of a third party to pay a tax debt of a taxpayer when the culpable conduct of the third-party results in the obstruction of the collection of tax from the taxpayer. It strikes at the evasion of the payment of tax. Since the section is intended to enable recovery of a tax debt, it follows that the tax debt must be recoverable. The tax debt that SARS seeks to recover must be one that is determined, by assessment, and is therefore due or payable at the time that the recovery process as envisaged by s 183 occurs.</w:t>
      </w:r>
    </w:p>
    <w:p w14:paraId="2D097E10" w14:textId="77777777" w:rsidR="005C0F90" w:rsidRPr="00C20926" w:rsidRDefault="005C0F90" w:rsidP="004546DE">
      <w:pPr>
        <w:pStyle w:val="ListParagraph"/>
        <w:ind w:left="0"/>
        <w:rPr>
          <w:sz w:val="28"/>
          <w:szCs w:val="28"/>
        </w:rPr>
      </w:pPr>
    </w:p>
    <w:p w14:paraId="6035EB0D" w14:textId="4D8C181D" w:rsidR="005C0F90" w:rsidRPr="00C20926" w:rsidRDefault="00DA1165" w:rsidP="007F4700">
      <w:pPr>
        <w:ind w:left="-11"/>
        <w:rPr>
          <w:sz w:val="28"/>
          <w:szCs w:val="28"/>
        </w:rPr>
      </w:pPr>
      <w:r w:rsidRPr="00C20926">
        <w:rPr>
          <w:sz w:val="28"/>
          <w:szCs w:val="28"/>
        </w:rPr>
        <w:t>[4</w:t>
      </w:r>
      <w:r w:rsidR="008E5943" w:rsidRPr="00C20926">
        <w:rPr>
          <w:sz w:val="28"/>
          <w:szCs w:val="28"/>
        </w:rPr>
        <w:t>4</w:t>
      </w:r>
      <w:r w:rsidRPr="00C20926">
        <w:rPr>
          <w:sz w:val="28"/>
          <w:szCs w:val="28"/>
        </w:rPr>
        <w:t>]</w:t>
      </w:r>
      <w:r w:rsidRPr="00C20926">
        <w:rPr>
          <w:sz w:val="28"/>
          <w:szCs w:val="28"/>
        </w:rPr>
        <w:tab/>
      </w:r>
      <w:r w:rsidR="005C0F90" w:rsidRPr="00C20926">
        <w:rPr>
          <w:sz w:val="28"/>
          <w:szCs w:val="28"/>
        </w:rPr>
        <w:t>The term ‘tax debt’ in s 183 undoubtedly refers to a recoverable tax debt, in the sense of a determined tax debt, insofar as it permits recovery from the third party. But that is not its exclusive meaning. The term also encompasses the amount of tax a taxpayer is liable to pay to SARS. If a taxpayer is chargeable to tax the taxpayer is indebted notwithstanding that the amount of the indebtedness has not yet been determined. A tax debt exists</w:t>
      </w:r>
      <w:r w:rsidR="001D0510" w:rsidRPr="00C20926">
        <w:rPr>
          <w:sz w:val="28"/>
          <w:szCs w:val="28"/>
        </w:rPr>
        <w:t>,</w:t>
      </w:r>
      <w:r w:rsidR="005C0F90" w:rsidRPr="00C20926">
        <w:rPr>
          <w:sz w:val="28"/>
          <w:szCs w:val="28"/>
        </w:rPr>
        <w:t xml:space="preserve"> irrespective of the absence of an assessment of the tax debt. </w:t>
      </w:r>
    </w:p>
    <w:p w14:paraId="0F873741" w14:textId="77777777" w:rsidR="005C0F90" w:rsidRPr="00C20926" w:rsidRDefault="005C0F90" w:rsidP="001D0510">
      <w:pPr>
        <w:pStyle w:val="ListParagraph"/>
        <w:ind w:left="0"/>
        <w:rPr>
          <w:sz w:val="28"/>
          <w:szCs w:val="28"/>
        </w:rPr>
      </w:pPr>
    </w:p>
    <w:p w14:paraId="515F70CF" w14:textId="6DAF9DDA" w:rsidR="005C0F90" w:rsidRPr="00C20926" w:rsidRDefault="00DA1165" w:rsidP="007F4700">
      <w:pPr>
        <w:ind w:left="-11"/>
        <w:rPr>
          <w:sz w:val="28"/>
          <w:szCs w:val="28"/>
        </w:rPr>
      </w:pPr>
      <w:r w:rsidRPr="00C20926">
        <w:rPr>
          <w:sz w:val="28"/>
          <w:szCs w:val="28"/>
        </w:rPr>
        <w:t>[</w:t>
      </w:r>
      <w:r w:rsidR="00641C19" w:rsidRPr="00C20926">
        <w:rPr>
          <w:sz w:val="28"/>
          <w:szCs w:val="28"/>
        </w:rPr>
        <w:t>4</w:t>
      </w:r>
      <w:r w:rsidR="008E5943" w:rsidRPr="00C20926">
        <w:rPr>
          <w:sz w:val="28"/>
          <w:szCs w:val="28"/>
        </w:rPr>
        <w:t>5</w:t>
      </w:r>
      <w:r w:rsidRPr="00C20926">
        <w:rPr>
          <w:sz w:val="28"/>
          <w:szCs w:val="28"/>
        </w:rPr>
        <w:t>]</w:t>
      </w:r>
      <w:r w:rsidRPr="00C20926">
        <w:rPr>
          <w:sz w:val="28"/>
          <w:szCs w:val="28"/>
        </w:rPr>
        <w:tab/>
      </w:r>
      <w:r w:rsidR="005C0F90" w:rsidRPr="00C20926">
        <w:rPr>
          <w:sz w:val="28"/>
          <w:szCs w:val="28"/>
        </w:rPr>
        <w:t xml:space="preserve">It must be emphasised that we are not concerned with what the third party knew or with what constitutes knowing assistance in the dissipation of assets </w:t>
      </w:r>
      <w:r w:rsidR="005C0F90" w:rsidRPr="00C20926">
        <w:rPr>
          <w:sz w:val="28"/>
        </w:rPr>
        <w:t>in order to obstruct the collection of a tax debt.</w:t>
      </w:r>
      <w:r w:rsidR="005C0F90" w:rsidRPr="00C20926">
        <w:rPr>
          <w:sz w:val="28"/>
          <w:szCs w:val="28"/>
        </w:rPr>
        <w:t xml:space="preserve"> That was not the subject of the separated issue. The separated issue was whether ‘tax debt’ was envisaged to refer to an assessed indebtedness at the time of the dissipation. Section 169</w:t>
      </w:r>
      <w:r w:rsidR="004B6341" w:rsidRPr="00C20926">
        <w:rPr>
          <w:sz w:val="28"/>
          <w:szCs w:val="28"/>
        </w:rPr>
        <w:t xml:space="preserve"> </w:t>
      </w:r>
      <w:r w:rsidR="005C0F90" w:rsidRPr="00C20926">
        <w:rPr>
          <w:sz w:val="28"/>
          <w:szCs w:val="28"/>
        </w:rPr>
        <w:t xml:space="preserve">(1) refers to a debt due to SARS as being and amount due or payable. Section 169 (3) describes  SARS as a creditor for the purposes of recovery as envisaged by </w:t>
      </w:r>
      <w:r w:rsidR="004B6341" w:rsidRPr="00C20926">
        <w:rPr>
          <w:sz w:val="28"/>
          <w:szCs w:val="28"/>
        </w:rPr>
        <w:t>c</w:t>
      </w:r>
      <w:r w:rsidR="005C0F90" w:rsidRPr="00C20926">
        <w:rPr>
          <w:sz w:val="28"/>
          <w:szCs w:val="28"/>
        </w:rPr>
        <w:t>hapter 11. I</w:t>
      </w:r>
      <w:r w:rsidR="00CB2349" w:rsidRPr="00C20926">
        <w:rPr>
          <w:sz w:val="28"/>
          <w:szCs w:val="28"/>
        </w:rPr>
        <w:t>n our</w:t>
      </w:r>
      <w:r w:rsidR="005C0F90" w:rsidRPr="00C20926">
        <w:rPr>
          <w:sz w:val="28"/>
          <w:szCs w:val="28"/>
        </w:rPr>
        <w:t xml:space="preserve"> view, the language of s 183</w:t>
      </w:r>
      <w:r w:rsidR="001D0510" w:rsidRPr="00C20926">
        <w:rPr>
          <w:sz w:val="28"/>
          <w:szCs w:val="28"/>
        </w:rPr>
        <w:t>,</w:t>
      </w:r>
      <w:r w:rsidR="005C0F90" w:rsidRPr="00C20926">
        <w:rPr>
          <w:sz w:val="28"/>
          <w:szCs w:val="28"/>
        </w:rPr>
        <w:t xml:space="preserve"> construed within its context</w:t>
      </w:r>
      <w:r w:rsidR="001D0510" w:rsidRPr="00C20926">
        <w:rPr>
          <w:sz w:val="28"/>
          <w:szCs w:val="28"/>
        </w:rPr>
        <w:t>,</w:t>
      </w:r>
      <w:r w:rsidR="005C0F90" w:rsidRPr="00C20926">
        <w:rPr>
          <w:sz w:val="28"/>
          <w:szCs w:val="28"/>
        </w:rPr>
        <w:t xml:space="preserve"> does not require that the taxpayer’s liability to pay tax due to SARS should have been determined by assessment at the time that the dissipation of assets occurs.</w:t>
      </w:r>
    </w:p>
    <w:p w14:paraId="557797E1" w14:textId="77777777" w:rsidR="005C0F90" w:rsidRPr="00C20926" w:rsidRDefault="005C0F90" w:rsidP="004546DE">
      <w:pPr>
        <w:pStyle w:val="ListParagraph"/>
        <w:rPr>
          <w:sz w:val="28"/>
          <w:szCs w:val="28"/>
        </w:rPr>
      </w:pPr>
    </w:p>
    <w:p w14:paraId="680A750B" w14:textId="3128AA38" w:rsidR="005C0F90" w:rsidRPr="00C20926" w:rsidRDefault="00DA1165" w:rsidP="007F4700">
      <w:pPr>
        <w:ind w:left="-11"/>
        <w:rPr>
          <w:sz w:val="28"/>
          <w:szCs w:val="28"/>
        </w:rPr>
      </w:pPr>
      <w:r w:rsidRPr="00C20926">
        <w:rPr>
          <w:sz w:val="28"/>
          <w:szCs w:val="28"/>
        </w:rPr>
        <w:lastRenderedPageBreak/>
        <w:t>[</w:t>
      </w:r>
      <w:r w:rsidR="00641C19" w:rsidRPr="00C20926">
        <w:rPr>
          <w:sz w:val="28"/>
          <w:szCs w:val="28"/>
        </w:rPr>
        <w:t>4</w:t>
      </w:r>
      <w:r w:rsidR="008E5943" w:rsidRPr="00C20926">
        <w:rPr>
          <w:sz w:val="28"/>
          <w:szCs w:val="28"/>
        </w:rPr>
        <w:t>6</w:t>
      </w:r>
      <w:r w:rsidRPr="00C20926">
        <w:rPr>
          <w:sz w:val="28"/>
          <w:szCs w:val="28"/>
        </w:rPr>
        <w:t>]</w:t>
      </w:r>
      <w:r w:rsidRPr="00C20926">
        <w:rPr>
          <w:sz w:val="28"/>
          <w:szCs w:val="28"/>
        </w:rPr>
        <w:tab/>
      </w:r>
      <w:r w:rsidR="005C0F90" w:rsidRPr="00C20926">
        <w:rPr>
          <w:sz w:val="28"/>
          <w:szCs w:val="28"/>
        </w:rPr>
        <w:t>To hold that the section requires that, at the time of the dissipation, the taxpayer’s obligation to pay tax due to SARS should be liquidated and immediately claimable by action, would defeat the purpose of the section. It would also give rise to absurdity</w:t>
      </w:r>
      <w:r w:rsidR="001D0510" w:rsidRPr="00C20926">
        <w:rPr>
          <w:sz w:val="28"/>
          <w:szCs w:val="28"/>
        </w:rPr>
        <w:t>,</w:t>
      </w:r>
      <w:r w:rsidR="005C0F90" w:rsidRPr="00C20926">
        <w:rPr>
          <w:sz w:val="28"/>
          <w:szCs w:val="28"/>
        </w:rPr>
        <w:t xml:space="preserve"> in that a culpable third party who intentionally assists a taxpayer to dissipate assets so that payment of a </w:t>
      </w:r>
      <w:r w:rsidR="008276DD" w:rsidRPr="00C20926">
        <w:rPr>
          <w:sz w:val="28"/>
          <w:szCs w:val="28"/>
        </w:rPr>
        <w:t xml:space="preserve">yet </w:t>
      </w:r>
      <w:r w:rsidR="005C0F90" w:rsidRPr="00C20926">
        <w:rPr>
          <w:sz w:val="28"/>
          <w:szCs w:val="28"/>
        </w:rPr>
        <w:t xml:space="preserve">to be assessed tax debt cannot be </w:t>
      </w:r>
      <w:r w:rsidR="008276DD" w:rsidRPr="00C20926">
        <w:rPr>
          <w:sz w:val="28"/>
          <w:szCs w:val="28"/>
        </w:rPr>
        <w:t>made</w:t>
      </w:r>
      <w:r w:rsidR="005C0F90" w:rsidRPr="00C20926">
        <w:rPr>
          <w:sz w:val="28"/>
          <w:szCs w:val="28"/>
        </w:rPr>
        <w:t>, would escape liability</w:t>
      </w:r>
      <w:r w:rsidR="008276DD" w:rsidRPr="00C20926">
        <w:rPr>
          <w:sz w:val="28"/>
          <w:szCs w:val="28"/>
        </w:rPr>
        <w:t xml:space="preserve"> despite culpable conduct to evade tax, simply on the basis that an anticipated assessment had not yet been issued.</w:t>
      </w:r>
      <w:r w:rsidR="005C0F90" w:rsidRPr="00C20926">
        <w:rPr>
          <w:sz w:val="28"/>
          <w:szCs w:val="28"/>
        </w:rPr>
        <w:t xml:space="preserve"> </w:t>
      </w:r>
    </w:p>
    <w:p w14:paraId="74390CD2" w14:textId="77777777" w:rsidR="005C0F90" w:rsidRPr="00C20926" w:rsidRDefault="005C0F90" w:rsidP="001D0510">
      <w:pPr>
        <w:pStyle w:val="ListParagraph"/>
        <w:rPr>
          <w:sz w:val="28"/>
          <w:szCs w:val="28"/>
        </w:rPr>
      </w:pPr>
    </w:p>
    <w:p w14:paraId="65E0618D" w14:textId="7D1FA620" w:rsidR="005C0F90" w:rsidRPr="00C20926" w:rsidRDefault="00DA1165" w:rsidP="007F4700">
      <w:pPr>
        <w:ind w:left="-11"/>
        <w:rPr>
          <w:sz w:val="28"/>
          <w:szCs w:val="28"/>
        </w:rPr>
      </w:pPr>
      <w:r w:rsidRPr="00C20926">
        <w:rPr>
          <w:sz w:val="28"/>
          <w:szCs w:val="28"/>
        </w:rPr>
        <w:t>[</w:t>
      </w:r>
      <w:r w:rsidR="00641C19" w:rsidRPr="00C20926">
        <w:rPr>
          <w:sz w:val="28"/>
          <w:szCs w:val="28"/>
        </w:rPr>
        <w:t>4</w:t>
      </w:r>
      <w:r w:rsidR="008E5943" w:rsidRPr="00C20926">
        <w:rPr>
          <w:sz w:val="28"/>
          <w:szCs w:val="28"/>
        </w:rPr>
        <w:t>7</w:t>
      </w:r>
      <w:r w:rsidRPr="00C20926">
        <w:rPr>
          <w:sz w:val="28"/>
          <w:szCs w:val="28"/>
        </w:rPr>
        <w:t>]</w:t>
      </w:r>
      <w:r w:rsidRPr="00C20926">
        <w:rPr>
          <w:sz w:val="28"/>
          <w:szCs w:val="28"/>
        </w:rPr>
        <w:tab/>
      </w:r>
      <w:r w:rsidR="005C0F90" w:rsidRPr="00C20926">
        <w:rPr>
          <w:sz w:val="28"/>
          <w:szCs w:val="28"/>
        </w:rPr>
        <w:t>Upon the separated issue as framed, therefore, the high court order was correct. A final word needs be said in relation to the nature of the assessed tax and the circumstances in which the assessment to tax occurred. There was considerable argument both before the high court and this Court about the fact that the taxpayer’s assessment to tax flowed from an investigation and audit process in which SARS relied upon deeming provisions and upon its treatment of the substance over form of transactions which constituted taxable events. It was argued that this treatment of the tax position of the taxpayer could not, because of the inherent uncertainty, prejudice the third party by imposing liability in the absence of a determined tax debt. To do so</w:t>
      </w:r>
      <w:r w:rsidR="008276DD" w:rsidRPr="00C20926">
        <w:rPr>
          <w:sz w:val="28"/>
          <w:szCs w:val="28"/>
        </w:rPr>
        <w:t>, it was suggested,</w:t>
      </w:r>
      <w:r w:rsidR="005C0F90" w:rsidRPr="00C20926">
        <w:rPr>
          <w:sz w:val="28"/>
          <w:szCs w:val="28"/>
        </w:rPr>
        <w:t xml:space="preserve"> would expose a third party to significant uncertainty and almost indeterminate risk.</w:t>
      </w:r>
    </w:p>
    <w:p w14:paraId="6C0B4FF6" w14:textId="77777777" w:rsidR="005C0F90" w:rsidRPr="00C20926" w:rsidRDefault="005C0F90" w:rsidP="004546DE">
      <w:pPr>
        <w:pStyle w:val="ListParagraph"/>
        <w:ind w:left="0"/>
        <w:rPr>
          <w:sz w:val="28"/>
          <w:szCs w:val="28"/>
        </w:rPr>
      </w:pPr>
    </w:p>
    <w:p w14:paraId="0907863C" w14:textId="2E434BE6" w:rsidR="005C0F90" w:rsidRPr="00C20926" w:rsidRDefault="00DA1165" w:rsidP="007F4700">
      <w:pPr>
        <w:ind w:left="-11"/>
        <w:rPr>
          <w:sz w:val="28"/>
          <w:szCs w:val="28"/>
        </w:rPr>
      </w:pPr>
      <w:r w:rsidRPr="00C20926">
        <w:rPr>
          <w:sz w:val="28"/>
          <w:szCs w:val="28"/>
        </w:rPr>
        <w:t>[</w:t>
      </w:r>
      <w:r w:rsidR="00641C19" w:rsidRPr="00C20926">
        <w:rPr>
          <w:sz w:val="28"/>
          <w:szCs w:val="28"/>
        </w:rPr>
        <w:t>4</w:t>
      </w:r>
      <w:r w:rsidR="008E5943" w:rsidRPr="00C20926">
        <w:rPr>
          <w:sz w:val="28"/>
          <w:szCs w:val="28"/>
        </w:rPr>
        <w:t>8</w:t>
      </w:r>
      <w:r w:rsidRPr="00C20926">
        <w:rPr>
          <w:sz w:val="28"/>
          <w:szCs w:val="28"/>
        </w:rPr>
        <w:t>]</w:t>
      </w:r>
      <w:r w:rsidRPr="00C20926">
        <w:rPr>
          <w:sz w:val="28"/>
          <w:szCs w:val="28"/>
        </w:rPr>
        <w:tab/>
      </w:r>
      <w:r w:rsidR="005C0F90" w:rsidRPr="00C20926">
        <w:rPr>
          <w:sz w:val="28"/>
          <w:szCs w:val="28"/>
        </w:rPr>
        <w:t xml:space="preserve">The argument was misplaced for two reasons. First, it loses sight of the onerous requirements which s 183 sets for third party liability. The third party must knowingly have assisted in a dissipation </w:t>
      </w:r>
      <w:r w:rsidR="005C0F90" w:rsidRPr="00C20926">
        <w:rPr>
          <w:sz w:val="28"/>
        </w:rPr>
        <w:t>for the purpose</w:t>
      </w:r>
      <w:r w:rsidR="005C0F90" w:rsidRPr="00C20926">
        <w:rPr>
          <w:sz w:val="28"/>
          <w:szCs w:val="28"/>
        </w:rPr>
        <w:t xml:space="preserve"> of obstructing the collection of a tax debt. Whether that requirement and the requisite intention is established will be a matter dependent upon the facts in each case. So too</w:t>
      </w:r>
      <w:r w:rsidR="001D0510" w:rsidRPr="00C20926">
        <w:rPr>
          <w:sz w:val="28"/>
          <w:szCs w:val="28"/>
        </w:rPr>
        <w:t>,</w:t>
      </w:r>
      <w:r w:rsidR="005C0F90" w:rsidRPr="00C20926">
        <w:rPr>
          <w:sz w:val="28"/>
          <w:szCs w:val="28"/>
        </w:rPr>
        <w:t xml:space="preserve"> what the relevant parties knew or ought to have known at the time that the dissipation occurred. These aspects </w:t>
      </w:r>
      <w:r w:rsidR="005C0F90" w:rsidRPr="00C20926">
        <w:rPr>
          <w:sz w:val="28"/>
          <w:szCs w:val="28"/>
        </w:rPr>
        <w:lastRenderedPageBreak/>
        <w:t>are not before us. No doubt they will feature in the continuation of the trial of the matter in due course.</w:t>
      </w:r>
    </w:p>
    <w:p w14:paraId="00B554A3" w14:textId="77777777" w:rsidR="005C0F90" w:rsidRPr="00C20926" w:rsidRDefault="005C0F90" w:rsidP="001D0510">
      <w:pPr>
        <w:pStyle w:val="ListParagraph"/>
        <w:ind w:left="0"/>
        <w:rPr>
          <w:sz w:val="28"/>
          <w:szCs w:val="28"/>
        </w:rPr>
      </w:pPr>
    </w:p>
    <w:p w14:paraId="068456A4" w14:textId="3D41750B" w:rsidR="005C0F90" w:rsidRPr="00C20926" w:rsidRDefault="00DA1165" w:rsidP="007F4700">
      <w:pPr>
        <w:ind w:left="-11"/>
        <w:rPr>
          <w:sz w:val="28"/>
          <w:szCs w:val="28"/>
        </w:rPr>
      </w:pPr>
      <w:r w:rsidRPr="00C20926">
        <w:rPr>
          <w:sz w:val="28"/>
          <w:szCs w:val="28"/>
        </w:rPr>
        <w:t>[</w:t>
      </w:r>
      <w:r w:rsidR="008E5943" w:rsidRPr="00C20926">
        <w:rPr>
          <w:sz w:val="28"/>
          <w:szCs w:val="28"/>
        </w:rPr>
        <w:t>49</w:t>
      </w:r>
      <w:r w:rsidRPr="00C20926">
        <w:rPr>
          <w:sz w:val="28"/>
          <w:szCs w:val="28"/>
        </w:rPr>
        <w:t>]</w:t>
      </w:r>
      <w:r w:rsidRPr="00C20926">
        <w:rPr>
          <w:sz w:val="28"/>
          <w:szCs w:val="28"/>
        </w:rPr>
        <w:tab/>
      </w:r>
      <w:r w:rsidR="005C0F90" w:rsidRPr="00C20926">
        <w:rPr>
          <w:sz w:val="28"/>
          <w:szCs w:val="28"/>
        </w:rPr>
        <w:t>Secondly, the argument ignores the fact that the assessment to tax for CGT and STC in respect of the 2007 tax period related to a legal liability for the payment of tax which arose in consequence of taxable events in that tax period. Following the issue of the assessments</w:t>
      </w:r>
      <w:r w:rsidR="001D0510" w:rsidRPr="00C20926">
        <w:rPr>
          <w:sz w:val="28"/>
          <w:szCs w:val="28"/>
        </w:rPr>
        <w:t>,</w:t>
      </w:r>
      <w:r w:rsidR="005C0F90" w:rsidRPr="00C20926">
        <w:rPr>
          <w:sz w:val="28"/>
          <w:szCs w:val="28"/>
        </w:rPr>
        <w:t xml:space="preserve"> the taxpayer pursued an objection. The objection was partially allowed, in relation to the obligation to pay certain interest charged and in relation to the quantification of the amount payable. The liability to pay the tax was confirmed. No appeal was noted and the assessments became final. The consequence is that the tax indebtedness of the taxpayer</w:t>
      </w:r>
      <w:r w:rsidR="008276DD" w:rsidRPr="00C20926">
        <w:rPr>
          <w:sz w:val="28"/>
          <w:szCs w:val="28"/>
        </w:rPr>
        <w:t>, as it existed in the 2007 tax period,</w:t>
      </w:r>
      <w:r w:rsidR="005C0F90" w:rsidRPr="00C20926">
        <w:rPr>
          <w:sz w:val="28"/>
          <w:szCs w:val="28"/>
        </w:rPr>
        <w:t xml:space="preserve"> was finally established. Contentions regarding the basis of assessment are therefore irrelevant for present purposes.</w:t>
      </w:r>
      <w:r w:rsidR="00641C19" w:rsidRPr="00C20926">
        <w:rPr>
          <w:sz w:val="28"/>
          <w:szCs w:val="28"/>
        </w:rPr>
        <w:t xml:space="preserve"> </w:t>
      </w:r>
      <w:r w:rsidR="005C0F90" w:rsidRPr="00C20926">
        <w:rPr>
          <w:sz w:val="28"/>
          <w:szCs w:val="28"/>
        </w:rPr>
        <w:t>In the circumstances the appeal against the high court order on this question must fail.</w:t>
      </w:r>
    </w:p>
    <w:p w14:paraId="79A2201A" w14:textId="77777777" w:rsidR="005C0F90" w:rsidRPr="00C20926" w:rsidRDefault="005C0F90" w:rsidP="00CF4C5A">
      <w:pPr>
        <w:rPr>
          <w:sz w:val="28"/>
          <w:szCs w:val="28"/>
        </w:rPr>
      </w:pPr>
    </w:p>
    <w:p w14:paraId="02086FA0" w14:textId="5B161BB9" w:rsidR="0062302A" w:rsidRPr="00C20926" w:rsidRDefault="0062302A" w:rsidP="00CF4C5A">
      <w:pPr>
        <w:rPr>
          <w:b/>
          <w:i/>
          <w:sz w:val="28"/>
        </w:rPr>
      </w:pPr>
      <w:r w:rsidRPr="00C20926">
        <w:rPr>
          <w:b/>
          <w:i/>
          <w:sz w:val="28"/>
        </w:rPr>
        <w:t>Admissibility of the transcript</w:t>
      </w:r>
    </w:p>
    <w:p w14:paraId="3B6B0247" w14:textId="0547B06E" w:rsidR="00971EAA" w:rsidRPr="00C20926" w:rsidRDefault="0062302A" w:rsidP="00CF4C5A">
      <w:pPr>
        <w:rPr>
          <w:sz w:val="28"/>
          <w:szCs w:val="28"/>
        </w:rPr>
      </w:pPr>
      <w:r w:rsidRPr="00C20926">
        <w:rPr>
          <w:sz w:val="28"/>
          <w:szCs w:val="28"/>
        </w:rPr>
        <w:t>[</w:t>
      </w:r>
      <w:r w:rsidR="005C6C9C" w:rsidRPr="00C20926">
        <w:rPr>
          <w:sz w:val="28"/>
          <w:szCs w:val="28"/>
        </w:rPr>
        <w:t>5</w:t>
      </w:r>
      <w:r w:rsidR="009835FC" w:rsidRPr="00C20926">
        <w:rPr>
          <w:sz w:val="28"/>
          <w:szCs w:val="28"/>
        </w:rPr>
        <w:t>0</w:t>
      </w:r>
      <w:r w:rsidRPr="00C20926">
        <w:rPr>
          <w:sz w:val="28"/>
          <w:szCs w:val="28"/>
        </w:rPr>
        <w:t>]</w:t>
      </w:r>
      <w:r w:rsidRPr="00C20926">
        <w:rPr>
          <w:sz w:val="28"/>
          <w:szCs w:val="28"/>
        </w:rPr>
        <w:tab/>
      </w:r>
      <w:r w:rsidR="000D7528" w:rsidRPr="00C20926">
        <w:rPr>
          <w:sz w:val="28"/>
          <w:szCs w:val="28"/>
        </w:rPr>
        <w:t>The appellants testified at an inq</w:t>
      </w:r>
      <w:r w:rsidR="00673B06" w:rsidRPr="00C20926">
        <w:rPr>
          <w:sz w:val="28"/>
          <w:szCs w:val="28"/>
        </w:rPr>
        <w:t xml:space="preserve">uiry </w:t>
      </w:r>
      <w:r w:rsidR="00102265" w:rsidRPr="00C20926">
        <w:rPr>
          <w:sz w:val="28"/>
          <w:szCs w:val="28"/>
        </w:rPr>
        <w:t xml:space="preserve">during 2015 and 2016 </w:t>
      </w:r>
      <w:r w:rsidR="00673B06" w:rsidRPr="00C20926">
        <w:rPr>
          <w:sz w:val="28"/>
          <w:szCs w:val="28"/>
        </w:rPr>
        <w:t xml:space="preserve">as envisaged in </w:t>
      </w:r>
      <w:r w:rsidR="008D7A74" w:rsidRPr="00C20926">
        <w:rPr>
          <w:sz w:val="28"/>
          <w:szCs w:val="28"/>
        </w:rPr>
        <w:t>s 50 of the TAA</w:t>
      </w:r>
      <w:r w:rsidRPr="00C20926">
        <w:rPr>
          <w:sz w:val="28"/>
          <w:szCs w:val="28"/>
        </w:rPr>
        <w:t>.</w:t>
      </w:r>
      <w:r w:rsidRPr="00C20926">
        <w:rPr>
          <w:rStyle w:val="FootnoteReference"/>
          <w:sz w:val="28"/>
          <w:szCs w:val="28"/>
        </w:rPr>
        <w:footnoteReference w:id="19"/>
      </w:r>
      <w:r w:rsidRPr="00C20926">
        <w:rPr>
          <w:sz w:val="28"/>
          <w:szCs w:val="28"/>
        </w:rPr>
        <w:t xml:space="preserve"> </w:t>
      </w:r>
      <w:r w:rsidR="00712D95" w:rsidRPr="00C20926">
        <w:rPr>
          <w:sz w:val="28"/>
          <w:szCs w:val="28"/>
        </w:rPr>
        <w:t>SARS</w:t>
      </w:r>
      <w:r w:rsidR="00A61E82" w:rsidRPr="00C20926">
        <w:rPr>
          <w:sz w:val="28"/>
          <w:szCs w:val="28"/>
        </w:rPr>
        <w:t xml:space="preserve"> </w:t>
      </w:r>
      <w:r w:rsidR="008276DD" w:rsidRPr="00C20926">
        <w:rPr>
          <w:sz w:val="28"/>
          <w:szCs w:val="28"/>
        </w:rPr>
        <w:t xml:space="preserve">wishes </w:t>
      </w:r>
      <w:r w:rsidR="00A61E82" w:rsidRPr="00C20926">
        <w:rPr>
          <w:sz w:val="28"/>
          <w:szCs w:val="28"/>
        </w:rPr>
        <w:t xml:space="preserve">to rely </w:t>
      </w:r>
      <w:r w:rsidR="008276DD" w:rsidRPr="00C20926">
        <w:rPr>
          <w:sz w:val="28"/>
          <w:szCs w:val="28"/>
        </w:rPr>
        <w:t xml:space="preserve">upon </w:t>
      </w:r>
      <w:r w:rsidR="00A61E82" w:rsidRPr="00C20926">
        <w:rPr>
          <w:sz w:val="28"/>
          <w:szCs w:val="28"/>
        </w:rPr>
        <w:t>the evidence</w:t>
      </w:r>
      <w:r w:rsidR="008D3815" w:rsidRPr="00C20926">
        <w:rPr>
          <w:sz w:val="28"/>
          <w:szCs w:val="28"/>
        </w:rPr>
        <w:t xml:space="preserve"> obtained during this inquiry</w:t>
      </w:r>
      <w:r w:rsidR="00A32A4C" w:rsidRPr="00C20926">
        <w:rPr>
          <w:sz w:val="28"/>
          <w:szCs w:val="28"/>
        </w:rPr>
        <w:t xml:space="preserve"> </w:t>
      </w:r>
      <w:r w:rsidR="00971EAA" w:rsidRPr="00C20926">
        <w:rPr>
          <w:sz w:val="28"/>
          <w:szCs w:val="28"/>
        </w:rPr>
        <w:t>at</w:t>
      </w:r>
      <w:r w:rsidR="00A32A4C" w:rsidRPr="00C20926">
        <w:rPr>
          <w:sz w:val="28"/>
          <w:szCs w:val="28"/>
        </w:rPr>
        <w:t xml:space="preserve"> the </w:t>
      </w:r>
      <w:r w:rsidR="000322BC" w:rsidRPr="00C20926">
        <w:rPr>
          <w:sz w:val="28"/>
          <w:szCs w:val="28"/>
        </w:rPr>
        <w:t>trial. The</w:t>
      </w:r>
      <w:r w:rsidR="00A32A4C" w:rsidRPr="00C20926">
        <w:rPr>
          <w:sz w:val="28"/>
          <w:szCs w:val="28"/>
        </w:rPr>
        <w:t xml:space="preserve"> appellants </w:t>
      </w:r>
      <w:r w:rsidR="008276DD" w:rsidRPr="00C20926">
        <w:rPr>
          <w:sz w:val="28"/>
          <w:szCs w:val="28"/>
        </w:rPr>
        <w:t xml:space="preserve">contended </w:t>
      </w:r>
      <w:r w:rsidR="00484DCE" w:rsidRPr="00C20926">
        <w:rPr>
          <w:sz w:val="28"/>
          <w:szCs w:val="28"/>
        </w:rPr>
        <w:t>that the evidence is inadmissible</w:t>
      </w:r>
      <w:r w:rsidR="00AB61C8" w:rsidRPr="00C20926">
        <w:rPr>
          <w:sz w:val="28"/>
          <w:szCs w:val="28"/>
        </w:rPr>
        <w:t>.</w:t>
      </w:r>
      <w:r w:rsidR="008276DD" w:rsidRPr="00C20926">
        <w:rPr>
          <w:sz w:val="28"/>
          <w:szCs w:val="28"/>
        </w:rPr>
        <w:t xml:space="preserve"> Their</w:t>
      </w:r>
      <w:r w:rsidR="00D44D31" w:rsidRPr="00C20926">
        <w:rPr>
          <w:sz w:val="28"/>
          <w:szCs w:val="28"/>
        </w:rPr>
        <w:t xml:space="preserve"> stance is in essence that the evidence is inadmissible</w:t>
      </w:r>
      <w:r w:rsidR="00B61AC8" w:rsidRPr="00C20926">
        <w:rPr>
          <w:sz w:val="28"/>
          <w:szCs w:val="28"/>
        </w:rPr>
        <w:t>,</w:t>
      </w:r>
      <w:r w:rsidR="00AB70F1" w:rsidRPr="00C20926">
        <w:rPr>
          <w:sz w:val="28"/>
          <w:szCs w:val="28"/>
        </w:rPr>
        <w:t xml:space="preserve"> because relying on it will conflict with s</w:t>
      </w:r>
      <w:r w:rsidR="00A209C4" w:rsidRPr="00C20926">
        <w:rPr>
          <w:sz w:val="28"/>
          <w:szCs w:val="28"/>
        </w:rPr>
        <w:t xml:space="preserve"> </w:t>
      </w:r>
      <w:r w:rsidR="00AB70F1" w:rsidRPr="00C20926">
        <w:rPr>
          <w:sz w:val="28"/>
          <w:szCs w:val="28"/>
        </w:rPr>
        <w:t>69</w:t>
      </w:r>
      <w:r w:rsidR="00A209C4" w:rsidRPr="00C20926">
        <w:rPr>
          <w:sz w:val="28"/>
          <w:szCs w:val="28"/>
        </w:rPr>
        <w:t xml:space="preserve"> </w:t>
      </w:r>
      <w:r w:rsidR="00E848C0" w:rsidRPr="00C20926">
        <w:rPr>
          <w:sz w:val="28"/>
          <w:szCs w:val="28"/>
        </w:rPr>
        <w:t>of the TAA</w:t>
      </w:r>
      <w:r w:rsidR="002D1A6D" w:rsidRPr="00C20926">
        <w:rPr>
          <w:sz w:val="28"/>
          <w:szCs w:val="28"/>
        </w:rPr>
        <w:t>.</w:t>
      </w:r>
      <w:r w:rsidR="00AB70F1" w:rsidRPr="00C20926">
        <w:rPr>
          <w:sz w:val="28"/>
          <w:szCs w:val="28"/>
        </w:rPr>
        <w:t xml:space="preserve"> </w:t>
      </w:r>
      <w:r w:rsidR="002D1A6D" w:rsidRPr="00C20926">
        <w:rPr>
          <w:sz w:val="28"/>
          <w:szCs w:val="28"/>
        </w:rPr>
        <w:t>A</w:t>
      </w:r>
      <w:r w:rsidR="00AB70F1" w:rsidRPr="00C20926">
        <w:rPr>
          <w:sz w:val="28"/>
          <w:szCs w:val="28"/>
        </w:rPr>
        <w:t>nd that s</w:t>
      </w:r>
      <w:r w:rsidR="00A209C4" w:rsidRPr="00C20926">
        <w:rPr>
          <w:sz w:val="28"/>
          <w:szCs w:val="28"/>
        </w:rPr>
        <w:t xml:space="preserve"> </w:t>
      </w:r>
      <w:r w:rsidR="00AB70F1" w:rsidRPr="00C20926">
        <w:rPr>
          <w:sz w:val="28"/>
          <w:szCs w:val="28"/>
        </w:rPr>
        <w:t>56</w:t>
      </w:r>
      <w:r w:rsidR="004B6341" w:rsidRPr="00C20926">
        <w:rPr>
          <w:sz w:val="28"/>
          <w:szCs w:val="28"/>
        </w:rPr>
        <w:t xml:space="preserve"> </w:t>
      </w:r>
      <w:r w:rsidR="00AB70F1" w:rsidRPr="00C20926">
        <w:rPr>
          <w:sz w:val="28"/>
          <w:szCs w:val="28"/>
        </w:rPr>
        <w:t>(4)</w:t>
      </w:r>
      <w:r w:rsidR="009C43DE" w:rsidRPr="00C20926">
        <w:rPr>
          <w:sz w:val="28"/>
          <w:szCs w:val="28"/>
        </w:rPr>
        <w:t xml:space="preserve"> does not allow for the admissibility of evidence procured in </w:t>
      </w:r>
      <w:r w:rsidR="00AD2847" w:rsidRPr="00C20926">
        <w:rPr>
          <w:sz w:val="28"/>
          <w:szCs w:val="28"/>
        </w:rPr>
        <w:t xml:space="preserve">a </w:t>
      </w:r>
      <w:r w:rsidR="00952CBE" w:rsidRPr="00C20926">
        <w:rPr>
          <w:sz w:val="28"/>
          <w:szCs w:val="28"/>
        </w:rPr>
        <w:t>s</w:t>
      </w:r>
      <w:r w:rsidR="00A209C4" w:rsidRPr="00C20926">
        <w:rPr>
          <w:sz w:val="28"/>
          <w:szCs w:val="28"/>
        </w:rPr>
        <w:t xml:space="preserve"> </w:t>
      </w:r>
      <w:r w:rsidR="00952CBE" w:rsidRPr="00C20926">
        <w:rPr>
          <w:sz w:val="28"/>
          <w:szCs w:val="28"/>
        </w:rPr>
        <w:t>50 inquiry in subsequent civil proceedings</w:t>
      </w:r>
      <w:r w:rsidR="003A29EA" w:rsidRPr="00C20926">
        <w:rPr>
          <w:sz w:val="28"/>
          <w:szCs w:val="28"/>
        </w:rPr>
        <w:t>.</w:t>
      </w:r>
      <w:r w:rsidR="00AB61C8" w:rsidRPr="00C20926">
        <w:rPr>
          <w:sz w:val="28"/>
          <w:szCs w:val="28"/>
        </w:rPr>
        <w:t xml:space="preserve"> </w:t>
      </w:r>
    </w:p>
    <w:p w14:paraId="121C51A9" w14:textId="77777777" w:rsidR="00971EAA" w:rsidRPr="00C20926" w:rsidRDefault="00971EAA" w:rsidP="00CF4C5A">
      <w:pPr>
        <w:rPr>
          <w:sz w:val="28"/>
          <w:szCs w:val="28"/>
        </w:rPr>
      </w:pPr>
    </w:p>
    <w:p w14:paraId="7BE75B63" w14:textId="2CDC527F" w:rsidR="0062302A" w:rsidRPr="00C20926" w:rsidRDefault="00971EAA" w:rsidP="0062302A">
      <w:pPr>
        <w:rPr>
          <w:color w:val="000000"/>
          <w:sz w:val="28"/>
          <w:szCs w:val="28"/>
          <w:lang w:eastAsia="en-ZA"/>
        </w:rPr>
      </w:pPr>
      <w:r w:rsidRPr="00C20926">
        <w:rPr>
          <w:sz w:val="28"/>
          <w:szCs w:val="28"/>
        </w:rPr>
        <w:lastRenderedPageBreak/>
        <w:t>[</w:t>
      </w:r>
      <w:r w:rsidR="005C6C9C" w:rsidRPr="00C20926">
        <w:rPr>
          <w:sz w:val="28"/>
          <w:szCs w:val="28"/>
        </w:rPr>
        <w:t>5</w:t>
      </w:r>
      <w:r w:rsidR="009835FC" w:rsidRPr="00C20926">
        <w:rPr>
          <w:sz w:val="28"/>
          <w:szCs w:val="28"/>
        </w:rPr>
        <w:t>1</w:t>
      </w:r>
      <w:r w:rsidRPr="00C20926">
        <w:rPr>
          <w:sz w:val="28"/>
          <w:szCs w:val="28"/>
        </w:rPr>
        <w:t>]</w:t>
      </w:r>
      <w:r w:rsidRPr="00C20926">
        <w:rPr>
          <w:sz w:val="28"/>
          <w:szCs w:val="28"/>
        </w:rPr>
        <w:tab/>
        <w:t xml:space="preserve">To sustain </w:t>
      </w:r>
      <w:r w:rsidR="009A32B7" w:rsidRPr="00C20926">
        <w:rPr>
          <w:sz w:val="28"/>
          <w:szCs w:val="28"/>
        </w:rPr>
        <w:t xml:space="preserve">the </w:t>
      </w:r>
      <w:r w:rsidRPr="00C20926">
        <w:rPr>
          <w:sz w:val="28"/>
          <w:szCs w:val="28"/>
        </w:rPr>
        <w:t xml:space="preserve">argument </w:t>
      </w:r>
      <w:r w:rsidR="009A32B7" w:rsidRPr="00C20926">
        <w:rPr>
          <w:sz w:val="28"/>
          <w:szCs w:val="28"/>
        </w:rPr>
        <w:t xml:space="preserve">appellants relied, </w:t>
      </w:r>
      <w:r w:rsidR="00AB61C8" w:rsidRPr="00C20926">
        <w:rPr>
          <w:sz w:val="28"/>
          <w:szCs w:val="28"/>
        </w:rPr>
        <w:t>inter alia</w:t>
      </w:r>
      <w:r w:rsidR="009A32B7" w:rsidRPr="00C20926">
        <w:rPr>
          <w:sz w:val="28"/>
          <w:szCs w:val="28"/>
        </w:rPr>
        <w:t>,</w:t>
      </w:r>
      <w:r w:rsidR="00AB61C8" w:rsidRPr="00C20926">
        <w:rPr>
          <w:sz w:val="28"/>
          <w:szCs w:val="28"/>
        </w:rPr>
        <w:t xml:space="preserve"> on s 56</w:t>
      </w:r>
      <w:r w:rsidR="004B6341" w:rsidRPr="00C20926">
        <w:rPr>
          <w:sz w:val="28"/>
          <w:szCs w:val="28"/>
        </w:rPr>
        <w:t xml:space="preserve"> </w:t>
      </w:r>
      <w:r w:rsidR="00F25CBE" w:rsidRPr="00C20926">
        <w:rPr>
          <w:sz w:val="28"/>
          <w:szCs w:val="28"/>
        </w:rPr>
        <w:t>(1)</w:t>
      </w:r>
      <w:r w:rsidR="00AB61C8" w:rsidRPr="00C20926">
        <w:rPr>
          <w:sz w:val="28"/>
          <w:szCs w:val="28"/>
        </w:rPr>
        <w:t xml:space="preserve"> of the TAA which</w:t>
      </w:r>
      <w:r w:rsidR="00F25CBE" w:rsidRPr="00C20926">
        <w:rPr>
          <w:color w:val="000000"/>
          <w:sz w:val="28"/>
          <w:szCs w:val="28"/>
          <w:lang w:eastAsia="en-ZA"/>
        </w:rPr>
        <w:t xml:space="preserve"> provides that </w:t>
      </w:r>
      <w:r w:rsidR="006813C2" w:rsidRPr="00C20926">
        <w:rPr>
          <w:color w:val="000000"/>
          <w:sz w:val="28"/>
          <w:szCs w:val="28"/>
          <w:lang w:eastAsia="en-ZA"/>
        </w:rPr>
        <w:t>an inquiry under s 50 is private and confidential.</w:t>
      </w:r>
      <w:r w:rsidR="00756BCB" w:rsidRPr="00C20926">
        <w:rPr>
          <w:color w:val="000000"/>
          <w:sz w:val="28"/>
          <w:szCs w:val="28"/>
          <w:lang w:eastAsia="en-ZA"/>
        </w:rPr>
        <w:t xml:space="preserve"> </w:t>
      </w:r>
      <w:r w:rsidR="001F7436" w:rsidRPr="00C20926">
        <w:rPr>
          <w:color w:val="000000"/>
          <w:sz w:val="28"/>
          <w:szCs w:val="28"/>
          <w:lang w:eastAsia="en-ZA"/>
        </w:rPr>
        <w:t>Section</w:t>
      </w:r>
      <w:r w:rsidR="00374EF2" w:rsidRPr="00C20926">
        <w:rPr>
          <w:color w:val="000000"/>
          <w:sz w:val="28"/>
          <w:szCs w:val="28"/>
          <w:lang w:eastAsia="en-ZA"/>
        </w:rPr>
        <w:t xml:space="preserve"> 56</w:t>
      </w:r>
      <w:r w:rsidR="004B6341" w:rsidRPr="00C20926">
        <w:rPr>
          <w:color w:val="000000"/>
          <w:sz w:val="28"/>
          <w:szCs w:val="28"/>
          <w:lang w:eastAsia="en-ZA"/>
        </w:rPr>
        <w:t xml:space="preserve"> </w:t>
      </w:r>
      <w:r w:rsidR="00374EF2" w:rsidRPr="00C20926">
        <w:rPr>
          <w:color w:val="000000"/>
          <w:sz w:val="28"/>
          <w:szCs w:val="28"/>
          <w:lang w:eastAsia="en-ZA"/>
        </w:rPr>
        <w:t>(4)</w:t>
      </w:r>
      <w:r w:rsidR="00EF786F" w:rsidRPr="00C20926">
        <w:rPr>
          <w:color w:val="000000"/>
          <w:sz w:val="28"/>
          <w:szCs w:val="28"/>
          <w:lang w:eastAsia="en-ZA"/>
        </w:rPr>
        <w:t xml:space="preserve"> however</w:t>
      </w:r>
      <w:r w:rsidR="00374EF2" w:rsidRPr="00C20926">
        <w:rPr>
          <w:color w:val="000000"/>
          <w:sz w:val="28"/>
          <w:szCs w:val="28"/>
          <w:lang w:eastAsia="en-ZA"/>
        </w:rPr>
        <w:t xml:space="preserve"> </w:t>
      </w:r>
      <w:r w:rsidR="00C77C65" w:rsidRPr="00C20926">
        <w:rPr>
          <w:color w:val="000000"/>
          <w:sz w:val="28"/>
          <w:szCs w:val="28"/>
          <w:lang w:eastAsia="en-ZA"/>
        </w:rPr>
        <w:t>provides</w:t>
      </w:r>
      <w:r w:rsidR="00374EF2" w:rsidRPr="00C20926">
        <w:rPr>
          <w:color w:val="000000"/>
          <w:sz w:val="28"/>
          <w:szCs w:val="28"/>
          <w:lang w:eastAsia="en-ZA"/>
        </w:rPr>
        <w:t xml:space="preserve"> as follows:</w:t>
      </w:r>
      <w:bookmarkStart w:id="5" w:name="0-0-0-542463"/>
      <w:bookmarkStart w:id="6" w:name="0-0-0-542465"/>
      <w:bookmarkStart w:id="7" w:name="0-0-0-542467"/>
      <w:bookmarkEnd w:id="5"/>
      <w:bookmarkEnd w:id="6"/>
      <w:bookmarkEnd w:id="7"/>
    </w:p>
    <w:p w14:paraId="75A9F280" w14:textId="1B55AAA1" w:rsidR="0062302A" w:rsidRPr="00C20926" w:rsidRDefault="00A209C4" w:rsidP="0062302A">
      <w:pPr>
        <w:rPr>
          <w:color w:val="000000"/>
          <w:szCs w:val="28"/>
          <w:lang w:eastAsia="en-ZA"/>
        </w:rPr>
      </w:pPr>
      <w:bookmarkStart w:id="8" w:name="0-0-0-542469"/>
      <w:bookmarkEnd w:id="8"/>
      <w:r w:rsidRPr="00C20926">
        <w:rPr>
          <w:color w:val="000000"/>
          <w:szCs w:val="28"/>
          <w:lang w:eastAsia="en-ZA"/>
        </w:rPr>
        <w:t>‘</w:t>
      </w:r>
      <w:r w:rsidR="0062302A" w:rsidRPr="00C20926">
        <w:rPr>
          <w:color w:val="000000"/>
          <w:szCs w:val="28"/>
          <w:lang w:eastAsia="en-ZA"/>
        </w:rPr>
        <w:t>Subject to s 57</w:t>
      </w:r>
      <w:r w:rsidR="004B6341" w:rsidRPr="00C20926">
        <w:rPr>
          <w:color w:val="000000"/>
          <w:szCs w:val="28"/>
          <w:lang w:eastAsia="en-ZA"/>
        </w:rPr>
        <w:t xml:space="preserve"> </w:t>
      </w:r>
      <w:r w:rsidR="0062302A" w:rsidRPr="00C20926">
        <w:rPr>
          <w:color w:val="000000"/>
          <w:szCs w:val="28"/>
          <w:lang w:eastAsia="en-ZA"/>
        </w:rPr>
        <w:t>(2), SARS may use evidence given by a person under oath or solemn declaration at an inquiry in a subsequent proceeding involvi</w:t>
      </w:r>
      <w:r w:rsidR="00B67255" w:rsidRPr="00C20926">
        <w:rPr>
          <w:color w:val="000000"/>
          <w:szCs w:val="28"/>
          <w:lang w:eastAsia="en-ZA"/>
        </w:rPr>
        <w:t>ng the person or another person.</w:t>
      </w:r>
      <w:r w:rsidR="0062302A" w:rsidRPr="00C20926">
        <w:rPr>
          <w:color w:val="000000"/>
          <w:szCs w:val="28"/>
          <w:lang w:eastAsia="en-ZA"/>
        </w:rPr>
        <w:t>’</w:t>
      </w:r>
    </w:p>
    <w:p w14:paraId="504D0316" w14:textId="77777777" w:rsidR="00AB61C8" w:rsidRPr="00C20926" w:rsidRDefault="00AB61C8" w:rsidP="00CF4C5A">
      <w:pPr>
        <w:rPr>
          <w:color w:val="000000"/>
          <w:szCs w:val="28"/>
          <w:lang w:eastAsia="en-ZA"/>
        </w:rPr>
      </w:pPr>
    </w:p>
    <w:p w14:paraId="0E8CC070" w14:textId="407FA9D2" w:rsidR="00D55C0E" w:rsidRPr="00C20926" w:rsidRDefault="00AB61C8" w:rsidP="00CF4C5A">
      <w:pPr>
        <w:rPr>
          <w:sz w:val="28"/>
          <w:szCs w:val="28"/>
        </w:rPr>
      </w:pPr>
      <w:r w:rsidRPr="00C20926">
        <w:rPr>
          <w:color w:val="000000"/>
          <w:sz w:val="28"/>
          <w:szCs w:val="28"/>
          <w:lang w:eastAsia="en-ZA"/>
        </w:rPr>
        <w:t>[</w:t>
      </w:r>
      <w:r w:rsidR="005C6C9C" w:rsidRPr="00C20926">
        <w:rPr>
          <w:color w:val="000000"/>
          <w:sz w:val="28"/>
          <w:szCs w:val="28"/>
          <w:lang w:eastAsia="en-ZA"/>
        </w:rPr>
        <w:t>5</w:t>
      </w:r>
      <w:r w:rsidR="009835FC" w:rsidRPr="00C20926">
        <w:rPr>
          <w:color w:val="000000"/>
          <w:sz w:val="28"/>
          <w:szCs w:val="28"/>
          <w:lang w:eastAsia="en-ZA"/>
        </w:rPr>
        <w:t>2</w:t>
      </w:r>
      <w:r w:rsidRPr="00C20926">
        <w:rPr>
          <w:color w:val="000000"/>
          <w:sz w:val="28"/>
          <w:szCs w:val="28"/>
          <w:lang w:eastAsia="en-ZA"/>
        </w:rPr>
        <w:t>]</w:t>
      </w:r>
      <w:r w:rsidR="00A209C4" w:rsidRPr="00C20926">
        <w:rPr>
          <w:color w:val="000000"/>
          <w:sz w:val="28"/>
          <w:szCs w:val="28"/>
          <w:lang w:eastAsia="en-ZA"/>
        </w:rPr>
        <w:tab/>
      </w:r>
      <w:r w:rsidRPr="00C20926">
        <w:rPr>
          <w:sz w:val="28"/>
          <w:szCs w:val="28"/>
        </w:rPr>
        <w:t>Section 57</w:t>
      </w:r>
      <w:r w:rsidR="004B6341" w:rsidRPr="00C20926">
        <w:rPr>
          <w:sz w:val="28"/>
          <w:szCs w:val="28"/>
        </w:rPr>
        <w:t xml:space="preserve"> </w:t>
      </w:r>
      <w:r w:rsidR="00FE396E" w:rsidRPr="00C20926">
        <w:rPr>
          <w:sz w:val="28"/>
          <w:szCs w:val="28"/>
        </w:rPr>
        <w:t>(2)</w:t>
      </w:r>
      <w:r w:rsidRPr="00C20926">
        <w:rPr>
          <w:sz w:val="28"/>
          <w:szCs w:val="28"/>
        </w:rPr>
        <w:t xml:space="preserve"> read</w:t>
      </w:r>
      <w:r w:rsidR="005F6E53" w:rsidRPr="00C20926">
        <w:rPr>
          <w:sz w:val="28"/>
          <w:szCs w:val="28"/>
        </w:rPr>
        <w:t>s as follows:</w:t>
      </w:r>
    </w:p>
    <w:p w14:paraId="2A3C7852" w14:textId="6517E8C5" w:rsidR="00A209C4" w:rsidRPr="00C20926" w:rsidRDefault="0062302A" w:rsidP="0062302A">
      <w:pPr>
        <w:rPr>
          <w:color w:val="000000"/>
          <w:szCs w:val="28"/>
          <w:lang w:eastAsia="en-ZA"/>
        </w:rPr>
      </w:pPr>
      <w:r w:rsidRPr="00C20926">
        <w:rPr>
          <w:color w:val="000000"/>
        </w:rPr>
        <w:t>‘</w:t>
      </w:r>
      <w:bookmarkStart w:id="9" w:name="0-0-0-542471"/>
      <w:bookmarkStart w:id="10" w:name="0-0-0-542473"/>
      <w:bookmarkEnd w:id="9"/>
      <w:bookmarkEnd w:id="10"/>
      <w:r w:rsidRPr="00C20926">
        <w:rPr>
          <w:color w:val="000000"/>
        </w:rPr>
        <w:t>(2)</w:t>
      </w:r>
      <w:r w:rsidRPr="00C20926">
        <w:rPr>
          <w:color w:val="000000"/>
          <w:szCs w:val="28"/>
          <w:lang w:eastAsia="en-ZA"/>
        </w:rPr>
        <w:tab/>
        <w:t>Incriminating evidence obtained under this section is not admissible in criminal proceedings against the person giving the evidence, unless the proceedings</w:t>
      </w:r>
      <w:r w:rsidR="00A209C4" w:rsidRPr="00C20926">
        <w:rPr>
          <w:color w:val="000000"/>
          <w:szCs w:val="28"/>
          <w:lang w:eastAsia="en-ZA"/>
        </w:rPr>
        <w:t xml:space="preserve"> relate to –</w:t>
      </w:r>
    </w:p>
    <w:p w14:paraId="57F6D63F" w14:textId="1D50FB6B" w:rsidR="0062302A" w:rsidRPr="00C20926" w:rsidRDefault="00B67255" w:rsidP="00B67255">
      <w:pPr>
        <w:rPr>
          <w:color w:val="000000"/>
          <w:szCs w:val="28"/>
          <w:lang w:eastAsia="en-ZA"/>
        </w:rPr>
      </w:pPr>
      <w:r w:rsidRPr="00C20926">
        <w:rPr>
          <w:i/>
          <w:color w:val="000000"/>
          <w:szCs w:val="28"/>
          <w:lang w:eastAsia="en-ZA"/>
        </w:rPr>
        <w:t>(a)</w:t>
      </w:r>
      <w:r w:rsidRPr="00C20926">
        <w:rPr>
          <w:color w:val="000000"/>
          <w:szCs w:val="28"/>
          <w:lang w:eastAsia="en-ZA"/>
        </w:rPr>
        <w:t xml:space="preserve"> </w:t>
      </w:r>
      <w:r w:rsidR="0062302A" w:rsidRPr="00C20926">
        <w:rPr>
          <w:color w:val="000000"/>
          <w:szCs w:val="28"/>
          <w:lang w:eastAsia="en-ZA"/>
        </w:rPr>
        <w:t>the administering or taking of an oath or the administering or making of a solemn declaration;</w:t>
      </w:r>
    </w:p>
    <w:p w14:paraId="338604D5" w14:textId="46CA0951" w:rsidR="0062302A" w:rsidRPr="00C20926" w:rsidRDefault="0062302A" w:rsidP="0062302A">
      <w:pPr>
        <w:ind w:hanging="737"/>
        <w:rPr>
          <w:color w:val="000000"/>
          <w:szCs w:val="28"/>
          <w:lang w:eastAsia="en-ZA"/>
        </w:rPr>
      </w:pPr>
      <w:r w:rsidRPr="00C20926">
        <w:rPr>
          <w:color w:val="000000"/>
          <w:szCs w:val="28"/>
          <w:lang w:eastAsia="en-ZA"/>
        </w:rPr>
        <w:t>   </w:t>
      </w:r>
      <w:bookmarkStart w:id="11" w:name="0-0-0-542477"/>
      <w:bookmarkEnd w:id="11"/>
      <w:r w:rsidRPr="00C20926">
        <w:rPr>
          <w:color w:val="000000"/>
          <w:szCs w:val="28"/>
          <w:lang w:eastAsia="en-ZA"/>
        </w:rPr>
        <w:tab/>
      </w:r>
      <w:r w:rsidR="00B67255" w:rsidRPr="00C20926">
        <w:rPr>
          <w:i/>
          <w:color w:val="000000"/>
          <w:szCs w:val="28"/>
          <w:lang w:eastAsia="en-ZA"/>
        </w:rPr>
        <w:t>(b)</w:t>
      </w:r>
      <w:r w:rsidR="00B67255" w:rsidRPr="00C20926">
        <w:rPr>
          <w:color w:val="000000"/>
          <w:szCs w:val="28"/>
          <w:lang w:eastAsia="en-ZA"/>
        </w:rPr>
        <w:t xml:space="preserve"> </w:t>
      </w:r>
      <w:r w:rsidRPr="00C20926">
        <w:rPr>
          <w:color w:val="000000"/>
          <w:szCs w:val="28"/>
          <w:lang w:eastAsia="en-ZA"/>
        </w:rPr>
        <w:t>the giving of false evidence or the making of a false statement; or</w:t>
      </w:r>
    </w:p>
    <w:p w14:paraId="37741FF8" w14:textId="4FD45346" w:rsidR="0062302A" w:rsidRPr="00C20926" w:rsidRDefault="00B67255" w:rsidP="007F4700">
      <w:pPr>
        <w:rPr>
          <w:color w:val="000000"/>
          <w:szCs w:val="28"/>
          <w:lang w:eastAsia="en-ZA"/>
        </w:rPr>
      </w:pPr>
      <w:bookmarkStart w:id="12" w:name="0-0-0-542479"/>
      <w:bookmarkEnd w:id="12"/>
      <w:r w:rsidRPr="00C20926">
        <w:rPr>
          <w:i/>
          <w:color w:val="000000"/>
          <w:szCs w:val="28"/>
          <w:lang w:eastAsia="en-ZA"/>
        </w:rPr>
        <w:t>(c)</w:t>
      </w:r>
      <w:r w:rsidRPr="00C20926">
        <w:rPr>
          <w:color w:val="000000"/>
          <w:szCs w:val="28"/>
          <w:lang w:eastAsia="en-ZA"/>
        </w:rPr>
        <w:t xml:space="preserve"> </w:t>
      </w:r>
      <w:r w:rsidR="0062302A" w:rsidRPr="00C20926">
        <w:rPr>
          <w:color w:val="000000"/>
          <w:szCs w:val="28"/>
          <w:lang w:eastAsia="en-ZA"/>
        </w:rPr>
        <w:t>the failure to answer questions lawfully put to the person, fully and satisfactorily.’</w:t>
      </w:r>
    </w:p>
    <w:p w14:paraId="19135F1A" w14:textId="77777777" w:rsidR="00AB61C8" w:rsidRPr="00C20926" w:rsidRDefault="00AB61C8" w:rsidP="00CF4C5A">
      <w:pPr>
        <w:rPr>
          <w:sz w:val="28"/>
          <w:szCs w:val="28"/>
        </w:rPr>
      </w:pPr>
    </w:p>
    <w:p w14:paraId="399FC4EC" w14:textId="5E68274E" w:rsidR="004C390C" w:rsidRPr="00C20926" w:rsidRDefault="00EB4752" w:rsidP="00CF4C5A">
      <w:pPr>
        <w:rPr>
          <w:sz w:val="28"/>
          <w:szCs w:val="28"/>
        </w:rPr>
      </w:pPr>
      <w:r w:rsidRPr="00C20926">
        <w:rPr>
          <w:sz w:val="28"/>
          <w:szCs w:val="28"/>
        </w:rPr>
        <w:t>[</w:t>
      </w:r>
      <w:r w:rsidR="00641C19" w:rsidRPr="00C20926">
        <w:rPr>
          <w:sz w:val="28"/>
          <w:szCs w:val="28"/>
        </w:rPr>
        <w:t>5</w:t>
      </w:r>
      <w:r w:rsidR="009835FC" w:rsidRPr="00C20926">
        <w:rPr>
          <w:sz w:val="28"/>
          <w:szCs w:val="28"/>
        </w:rPr>
        <w:t>3</w:t>
      </w:r>
      <w:r w:rsidRPr="00C20926">
        <w:rPr>
          <w:sz w:val="28"/>
          <w:szCs w:val="28"/>
        </w:rPr>
        <w:t>]</w:t>
      </w:r>
      <w:r w:rsidR="00FB5800" w:rsidRPr="00C20926">
        <w:rPr>
          <w:sz w:val="28"/>
          <w:szCs w:val="28"/>
        </w:rPr>
        <w:t xml:space="preserve"> </w:t>
      </w:r>
      <w:r w:rsidR="00A209C4" w:rsidRPr="00C20926">
        <w:rPr>
          <w:sz w:val="28"/>
          <w:szCs w:val="28"/>
        </w:rPr>
        <w:tab/>
      </w:r>
      <w:r w:rsidR="00FB5800" w:rsidRPr="00C20926">
        <w:rPr>
          <w:sz w:val="28"/>
          <w:szCs w:val="28"/>
        </w:rPr>
        <w:t>Section</w:t>
      </w:r>
      <w:r w:rsidR="002770A2" w:rsidRPr="00C20926">
        <w:rPr>
          <w:sz w:val="28"/>
          <w:szCs w:val="28"/>
        </w:rPr>
        <w:t xml:space="preserve"> 56</w:t>
      </w:r>
      <w:r w:rsidR="004B6341" w:rsidRPr="00C20926">
        <w:rPr>
          <w:sz w:val="28"/>
          <w:szCs w:val="28"/>
        </w:rPr>
        <w:t xml:space="preserve"> </w:t>
      </w:r>
      <w:r w:rsidR="002770A2" w:rsidRPr="00C20926">
        <w:rPr>
          <w:sz w:val="28"/>
          <w:szCs w:val="28"/>
        </w:rPr>
        <w:t>(</w:t>
      </w:r>
      <w:r w:rsidR="007F7D8D" w:rsidRPr="00C20926">
        <w:rPr>
          <w:sz w:val="28"/>
          <w:szCs w:val="28"/>
        </w:rPr>
        <w:t>3</w:t>
      </w:r>
      <w:r w:rsidR="00EF5833" w:rsidRPr="00C20926">
        <w:rPr>
          <w:sz w:val="28"/>
          <w:szCs w:val="28"/>
        </w:rPr>
        <w:t>) provides</w:t>
      </w:r>
      <w:r w:rsidR="00CB0B10" w:rsidRPr="00C20926">
        <w:rPr>
          <w:sz w:val="28"/>
          <w:szCs w:val="28"/>
        </w:rPr>
        <w:t xml:space="preserve"> that s 69 applies</w:t>
      </w:r>
      <w:r w:rsidR="00A45B74" w:rsidRPr="00C20926">
        <w:rPr>
          <w:sz w:val="28"/>
          <w:szCs w:val="28"/>
        </w:rPr>
        <w:t xml:space="preserve"> with the necessary changes to persons </w:t>
      </w:r>
      <w:r w:rsidR="00FB5800" w:rsidRPr="00C20926">
        <w:rPr>
          <w:sz w:val="28"/>
          <w:szCs w:val="28"/>
        </w:rPr>
        <w:t>present</w:t>
      </w:r>
      <w:r w:rsidR="00C22C0A" w:rsidRPr="00C20926">
        <w:rPr>
          <w:sz w:val="28"/>
          <w:szCs w:val="28"/>
        </w:rPr>
        <w:t xml:space="preserve"> at the questioning of a person</w:t>
      </w:r>
      <w:r w:rsidR="00BE68AB" w:rsidRPr="00C20926">
        <w:rPr>
          <w:sz w:val="28"/>
          <w:szCs w:val="28"/>
        </w:rPr>
        <w:t>,</w:t>
      </w:r>
      <w:r w:rsidR="00674F7F" w:rsidRPr="00C20926">
        <w:rPr>
          <w:sz w:val="28"/>
          <w:szCs w:val="28"/>
        </w:rPr>
        <w:t xml:space="preserve"> </w:t>
      </w:r>
      <w:r w:rsidR="00FB5800" w:rsidRPr="00C20926">
        <w:rPr>
          <w:sz w:val="28"/>
          <w:szCs w:val="28"/>
        </w:rPr>
        <w:t>including</w:t>
      </w:r>
      <w:r w:rsidR="00301D15" w:rsidRPr="00C20926">
        <w:rPr>
          <w:sz w:val="28"/>
          <w:szCs w:val="28"/>
        </w:rPr>
        <w:t xml:space="preserve"> persons being</w:t>
      </w:r>
      <w:r w:rsidR="00696207" w:rsidRPr="00C20926">
        <w:rPr>
          <w:sz w:val="28"/>
          <w:szCs w:val="28"/>
        </w:rPr>
        <w:t xml:space="preserve"> questioned during the </w:t>
      </w:r>
      <w:r w:rsidR="00511EBE" w:rsidRPr="00C20926">
        <w:rPr>
          <w:sz w:val="28"/>
          <w:szCs w:val="28"/>
        </w:rPr>
        <w:t>inquiry. Section</w:t>
      </w:r>
      <w:r w:rsidR="00A209C4" w:rsidRPr="00C20926">
        <w:rPr>
          <w:sz w:val="28"/>
          <w:szCs w:val="28"/>
        </w:rPr>
        <w:t xml:space="preserve"> </w:t>
      </w:r>
      <w:r w:rsidR="00983804" w:rsidRPr="00C20926">
        <w:rPr>
          <w:sz w:val="28"/>
          <w:szCs w:val="28"/>
        </w:rPr>
        <w:t>69</w:t>
      </w:r>
      <w:r w:rsidR="004B6341" w:rsidRPr="00C20926">
        <w:rPr>
          <w:sz w:val="28"/>
          <w:szCs w:val="28"/>
        </w:rPr>
        <w:t xml:space="preserve"> </w:t>
      </w:r>
      <w:r w:rsidR="00511EBE" w:rsidRPr="00C20926">
        <w:rPr>
          <w:sz w:val="28"/>
          <w:szCs w:val="28"/>
        </w:rPr>
        <w:t>(2)</w:t>
      </w:r>
      <w:r w:rsidR="004B6341" w:rsidRPr="00C20926">
        <w:rPr>
          <w:sz w:val="28"/>
          <w:szCs w:val="28"/>
        </w:rPr>
        <w:t xml:space="preserve"> </w:t>
      </w:r>
      <w:r w:rsidR="00511EBE" w:rsidRPr="00C20926">
        <w:rPr>
          <w:i/>
          <w:sz w:val="28"/>
          <w:szCs w:val="28"/>
        </w:rPr>
        <w:t>(a)</w:t>
      </w:r>
      <w:r w:rsidR="00240245" w:rsidRPr="00C20926">
        <w:rPr>
          <w:sz w:val="28"/>
          <w:szCs w:val="28"/>
        </w:rPr>
        <w:t xml:space="preserve"> </w:t>
      </w:r>
      <w:r w:rsidR="004B2725" w:rsidRPr="00C20926">
        <w:rPr>
          <w:sz w:val="28"/>
          <w:szCs w:val="28"/>
        </w:rPr>
        <w:t xml:space="preserve">authorises the disclosure of a taxpayer’s </w:t>
      </w:r>
      <w:r w:rsidR="00ED0F7B" w:rsidRPr="00C20926">
        <w:rPr>
          <w:sz w:val="28"/>
          <w:szCs w:val="28"/>
        </w:rPr>
        <w:t>information in</w:t>
      </w:r>
      <w:r w:rsidR="002B165B" w:rsidRPr="00C20926">
        <w:rPr>
          <w:sz w:val="28"/>
          <w:szCs w:val="28"/>
        </w:rPr>
        <w:t xml:space="preserve"> certain </w:t>
      </w:r>
      <w:r w:rsidR="00ED0F7B" w:rsidRPr="00C20926">
        <w:rPr>
          <w:sz w:val="28"/>
          <w:szCs w:val="28"/>
        </w:rPr>
        <w:t>circumstances, including</w:t>
      </w:r>
      <w:r w:rsidR="002B165B" w:rsidRPr="00C20926">
        <w:rPr>
          <w:sz w:val="28"/>
          <w:szCs w:val="28"/>
        </w:rPr>
        <w:t xml:space="preserve"> by a SARS official as a witness in civil </w:t>
      </w:r>
      <w:r w:rsidR="00921A42" w:rsidRPr="00C20926">
        <w:rPr>
          <w:sz w:val="28"/>
          <w:szCs w:val="28"/>
        </w:rPr>
        <w:t>proceedings.</w:t>
      </w:r>
    </w:p>
    <w:p w14:paraId="5540EAB5" w14:textId="77777777" w:rsidR="00971EAA" w:rsidRPr="00C20926" w:rsidRDefault="00971EAA" w:rsidP="00CF4C5A">
      <w:pPr>
        <w:rPr>
          <w:sz w:val="28"/>
          <w:szCs w:val="28"/>
        </w:rPr>
      </w:pPr>
    </w:p>
    <w:p w14:paraId="5B419D6A" w14:textId="5CB8CEE0" w:rsidR="00971EAA" w:rsidRPr="00C20926" w:rsidRDefault="00971EAA" w:rsidP="00971EAA">
      <w:pPr>
        <w:rPr>
          <w:sz w:val="28"/>
          <w:szCs w:val="28"/>
          <w:lang w:val="en-GB"/>
        </w:rPr>
      </w:pPr>
      <w:r w:rsidRPr="00C20926">
        <w:rPr>
          <w:sz w:val="28"/>
          <w:szCs w:val="28"/>
          <w:lang w:val="en-GB"/>
        </w:rPr>
        <w:t>[</w:t>
      </w:r>
      <w:r w:rsidR="00641C19" w:rsidRPr="00C20926">
        <w:rPr>
          <w:sz w:val="28"/>
          <w:szCs w:val="28"/>
          <w:lang w:val="en-GB"/>
        </w:rPr>
        <w:t>5</w:t>
      </w:r>
      <w:r w:rsidR="009835FC" w:rsidRPr="00C20926">
        <w:rPr>
          <w:sz w:val="28"/>
          <w:szCs w:val="28"/>
          <w:lang w:val="en-GB"/>
        </w:rPr>
        <w:t>4</w:t>
      </w:r>
      <w:r w:rsidRPr="00C20926">
        <w:rPr>
          <w:sz w:val="28"/>
          <w:szCs w:val="28"/>
          <w:lang w:val="en-GB"/>
        </w:rPr>
        <w:t>]</w:t>
      </w:r>
      <w:r w:rsidRPr="00C20926">
        <w:rPr>
          <w:sz w:val="28"/>
          <w:szCs w:val="28"/>
          <w:lang w:val="en-GB"/>
        </w:rPr>
        <w:tab/>
        <w:t xml:space="preserve">The appellants </w:t>
      </w:r>
      <w:r w:rsidR="009A32B7" w:rsidRPr="00C20926">
        <w:rPr>
          <w:sz w:val="28"/>
          <w:szCs w:val="28"/>
          <w:lang w:val="en-GB"/>
        </w:rPr>
        <w:t>relied upon</w:t>
      </w:r>
      <w:r w:rsidRPr="00C20926">
        <w:rPr>
          <w:sz w:val="28"/>
          <w:szCs w:val="28"/>
          <w:lang w:val="en-GB"/>
        </w:rPr>
        <w:t xml:space="preserve"> </w:t>
      </w:r>
      <w:r w:rsidRPr="00C20926">
        <w:rPr>
          <w:i/>
          <w:sz w:val="28"/>
          <w:szCs w:val="28"/>
          <w:lang w:val="en-GB"/>
        </w:rPr>
        <w:t>Commissioner fo</w:t>
      </w:r>
      <w:r w:rsidR="00453105" w:rsidRPr="00C20926">
        <w:rPr>
          <w:i/>
          <w:sz w:val="28"/>
          <w:szCs w:val="28"/>
          <w:lang w:val="en-GB"/>
        </w:rPr>
        <w:t>r South African Revenue Services v Sassin and Others</w:t>
      </w:r>
      <w:r w:rsidR="00A209C4" w:rsidRPr="00C20926">
        <w:rPr>
          <w:i/>
          <w:sz w:val="28"/>
          <w:szCs w:val="28"/>
          <w:lang w:val="en-GB"/>
        </w:rPr>
        <w:t xml:space="preserve"> </w:t>
      </w:r>
      <w:r w:rsidR="00427654" w:rsidRPr="00C20926">
        <w:rPr>
          <w:sz w:val="28"/>
          <w:szCs w:val="28"/>
          <w:lang w:val="en-GB"/>
        </w:rPr>
        <w:t>(</w:t>
      </w:r>
      <w:r w:rsidR="00427654" w:rsidRPr="00C20926">
        <w:rPr>
          <w:i/>
          <w:sz w:val="28"/>
          <w:szCs w:val="28"/>
          <w:lang w:val="en-GB"/>
        </w:rPr>
        <w:t>Sassin</w:t>
      </w:r>
      <w:r w:rsidR="00427654" w:rsidRPr="00C20926">
        <w:rPr>
          <w:sz w:val="28"/>
          <w:szCs w:val="28"/>
          <w:lang w:val="en-GB"/>
        </w:rPr>
        <w:t>)</w:t>
      </w:r>
      <w:r w:rsidR="009A32B7" w:rsidRPr="00C20926">
        <w:rPr>
          <w:rStyle w:val="FootnoteReference"/>
          <w:sz w:val="28"/>
          <w:szCs w:val="28"/>
          <w:lang w:val="en-GB"/>
        </w:rPr>
        <w:t xml:space="preserve"> </w:t>
      </w:r>
      <w:r w:rsidR="009A32B7" w:rsidRPr="00C20926">
        <w:rPr>
          <w:rStyle w:val="FootnoteReference"/>
          <w:sz w:val="28"/>
          <w:szCs w:val="28"/>
          <w:lang w:val="en-GB"/>
        </w:rPr>
        <w:footnoteReference w:id="20"/>
      </w:r>
      <w:r w:rsidR="009A32B7" w:rsidRPr="00C20926">
        <w:rPr>
          <w:sz w:val="28"/>
          <w:szCs w:val="28"/>
          <w:lang w:val="en-GB"/>
        </w:rPr>
        <w:t xml:space="preserve"> </w:t>
      </w:r>
      <w:r w:rsidRPr="00C20926">
        <w:rPr>
          <w:sz w:val="28"/>
          <w:szCs w:val="28"/>
          <w:lang w:val="en-GB"/>
        </w:rPr>
        <w:t xml:space="preserve">where </w:t>
      </w:r>
      <w:r w:rsidR="00163AC8" w:rsidRPr="00C20926">
        <w:rPr>
          <w:sz w:val="28"/>
          <w:szCs w:val="28"/>
          <w:lang w:val="en-GB"/>
        </w:rPr>
        <w:t xml:space="preserve">the court </w:t>
      </w:r>
      <w:r w:rsidR="0026014E" w:rsidRPr="00C20926">
        <w:rPr>
          <w:sz w:val="28"/>
          <w:szCs w:val="28"/>
          <w:lang w:val="en-GB"/>
        </w:rPr>
        <w:t>stated</w:t>
      </w:r>
      <w:r w:rsidRPr="00C20926">
        <w:rPr>
          <w:sz w:val="28"/>
          <w:szCs w:val="28"/>
          <w:lang w:val="en-GB"/>
        </w:rPr>
        <w:t xml:space="preserve"> that the transcript of an inquiry under s 50 of the TAA was inadmissible in subsequent civil proceedings. The high court</w:t>
      </w:r>
      <w:r w:rsidR="009A32B7" w:rsidRPr="00C20926">
        <w:rPr>
          <w:sz w:val="28"/>
          <w:szCs w:val="28"/>
          <w:lang w:val="en-GB"/>
        </w:rPr>
        <w:t>, however,</w:t>
      </w:r>
      <w:r w:rsidRPr="00C20926">
        <w:rPr>
          <w:sz w:val="28"/>
          <w:szCs w:val="28"/>
          <w:lang w:val="en-GB"/>
        </w:rPr>
        <w:t xml:space="preserve"> did not </w:t>
      </w:r>
      <w:r w:rsidR="009A32B7" w:rsidRPr="00C20926">
        <w:rPr>
          <w:sz w:val="28"/>
          <w:szCs w:val="28"/>
          <w:lang w:val="en-GB"/>
        </w:rPr>
        <w:t>follow</w:t>
      </w:r>
      <w:r w:rsidRPr="00C20926">
        <w:rPr>
          <w:sz w:val="28"/>
          <w:szCs w:val="28"/>
          <w:lang w:val="en-GB"/>
        </w:rPr>
        <w:t xml:space="preserve"> </w:t>
      </w:r>
      <w:r w:rsidRPr="00C20926">
        <w:rPr>
          <w:i/>
          <w:sz w:val="28"/>
          <w:szCs w:val="28"/>
          <w:lang w:val="en-GB"/>
        </w:rPr>
        <w:t>Sassin</w:t>
      </w:r>
      <w:r w:rsidRPr="00C20926">
        <w:rPr>
          <w:sz w:val="28"/>
          <w:szCs w:val="28"/>
          <w:lang w:val="en-GB"/>
        </w:rPr>
        <w:t xml:space="preserve"> and pointed out that the view expressed was obiter</w:t>
      </w:r>
      <w:r w:rsidR="00B12612" w:rsidRPr="00C20926">
        <w:rPr>
          <w:sz w:val="28"/>
          <w:szCs w:val="28"/>
          <w:lang w:val="en-GB"/>
        </w:rPr>
        <w:t xml:space="preserve">. </w:t>
      </w:r>
      <w:r w:rsidR="009A32B7" w:rsidRPr="00C20926">
        <w:rPr>
          <w:sz w:val="28"/>
          <w:szCs w:val="28"/>
          <w:lang w:val="en-GB"/>
        </w:rPr>
        <w:t xml:space="preserve">In the </w:t>
      </w:r>
      <w:r w:rsidR="009A32B7" w:rsidRPr="00C20926">
        <w:rPr>
          <w:i/>
          <w:iCs/>
          <w:sz w:val="28"/>
          <w:szCs w:val="28"/>
          <w:lang w:val="en-GB"/>
        </w:rPr>
        <w:t>Sassin</w:t>
      </w:r>
      <w:r w:rsidR="009A32B7" w:rsidRPr="00C20926">
        <w:rPr>
          <w:sz w:val="28"/>
          <w:szCs w:val="28"/>
          <w:lang w:val="en-GB"/>
        </w:rPr>
        <w:t xml:space="preserve"> matter </w:t>
      </w:r>
      <w:r w:rsidR="00115C0B" w:rsidRPr="00C20926">
        <w:rPr>
          <w:sz w:val="28"/>
          <w:szCs w:val="28"/>
          <w:lang w:val="en-GB"/>
        </w:rPr>
        <w:t>SARS</w:t>
      </w:r>
      <w:r w:rsidR="009A32B7" w:rsidRPr="00C20926">
        <w:rPr>
          <w:sz w:val="28"/>
          <w:szCs w:val="28"/>
          <w:lang w:val="en-GB"/>
        </w:rPr>
        <w:t xml:space="preserve"> had</w:t>
      </w:r>
      <w:r w:rsidR="00C62E47" w:rsidRPr="00C20926">
        <w:rPr>
          <w:sz w:val="28"/>
          <w:szCs w:val="28"/>
          <w:lang w:val="en-GB"/>
        </w:rPr>
        <w:t xml:space="preserve"> brought </w:t>
      </w:r>
      <w:r w:rsidR="00132D54" w:rsidRPr="00C20926">
        <w:rPr>
          <w:sz w:val="28"/>
          <w:szCs w:val="28"/>
          <w:lang w:val="en-GB"/>
        </w:rPr>
        <w:t xml:space="preserve">an application </w:t>
      </w:r>
      <w:r w:rsidR="00115C0B" w:rsidRPr="00C20926">
        <w:rPr>
          <w:sz w:val="28"/>
          <w:szCs w:val="28"/>
          <w:lang w:val="en-GB"/>
        </w:rPr>
        <w:t>against</w:t>
      </w:r>
      <w:r w:rsidR="00132D54" w:rsidRPr="00C20926">
        <w:rPr>
          <w:sz w:val="28"/>
          <w:szCs w:val="28"/>
          <w:lang w:val="en-GB"/>
        </w:rPr>
        <w:t xml:space="preserve"> Mr Sassin </w:t>
      </w:r>
      <w:r w:rsidR="00D71731" w:rsidRPr="00C20926">
        <w:rPr>
          <w:sz w:val="28"/>
          <w:szCs w:val="28"/>
          <w:lang w:val="en-GB"/>
        </w:rPr>
        <w:t xml:space="preserve">and Mr </w:t>
      </w:r>
      <w:r w:rsidR="00132D54" w:rsidRPr="00C20926">
        <w:rPr>
          <w:sz w:val="28"/>
          <w:szCs w:val="28"/>
          <w:lang w:val="en-GB"/>
        </w:rPr>
        <w:t xml:space="preserve">Badenhorst in relation to an alleged fraudulent VAT </w:t>
      </w:r>
      <w:r w:rsidR="00115C0B" w:rsidRPr="00C20926">
        <w:rPr>
          <w:sz w:val="28"/>
          <w:szCs w:val="28"/>
          <w:lang w:val="en-GB"/>
        </w:rPr>
        <w:t>scheme. Mr</w:t>
      </w:r>
      <w:r w:rsidR="00132D54" w:rsidRPr="00C20926">
        <w:rPr>
          <w:sz w:val="28"/>
          <w:szCs w:val="28"/>
          <w:lang w:val="en-GB"/>
        </w:rPr>
        <w:t xml:space="preserve"> </w:t>
      </w:r>
      <w:r w:rsidR="00D778DB" w:rsidRPr="00C20926">
        <w:rPr>
          <w:sz w:val="28"/>
          <w:szCs w:val="28"/>
          <w:lang w:val="en-GB"/>
        </w:rPr>
        <w:t xml:space="preserve">Badenhorst was insolvent and SARS alleged that Mr </w:t>
      </w:r>
      <w:r w:rsidR="00374DD9" w:rsidRPr="00C20926">
        <w:rPr>
          <w:sz w:val="28"/>
          <w:szCs w:val="28"/>
          <w:lang w:val="en-GB"/>
        </w:rPr>
        <w:t>Sassin received ill-</w:t>
      </w:r>
      <w:r w:rsidR="005A1F35" w:rsidRPr="00C20926">
        <w:rPr>
          <w:sz w:val="28"/>
          <w:szCs w:val="28"/>
          <w:lang w:val="en-GB"/>
        </w:rPr>
        <w:t xml:space="preserve">gotten gains from Mr Badenhorst. A </w:t>
      </w:r>
      <w:r w:rsidR="00374DD9" w:rsidRPr="00C20926">
        <w:rPr>
          <w:sz w:val="28"/>
          <w:szCs w:val="28"/>
          <w:lang w:val="en-GB"/>
        </w:rPr>
        <w:t xml:space="preserve">variety of declaratory orders were sought against Mr Sassin for payment of damages that </w:t>
      </w:r>
      <w:r w:rsidR="00B13A38" w:rsidRPr="00C20926">
        <w:rPr>
          <w:sz w:val="28"/>
          <w:szCs w:val="28"/>
          <w:lang w:val="en-GB"/>
        </w:rPr>
        <w:t xml:space="preserve">SARS allegedly suffered as a result of </w:t>
      </w:r>
      <w:r w:rsidR="005047E1" w:rsidRPr="00C20926">
        <w:rPr>
          <w:sz w:val="28"/>
          <w:szCs w:val="28"/>
          <w:lang w:val="en-GB"/>
        </w:rPr>
        <w:t>the</w:t>
      </w:r>
      <w:r w:rsidR="00B13A38" w:rsidRPr="00C20926">
        <w:rPr>
          <w:sz w:val="28"/>
          <w:szCs w:val="28"/>
          <w:lang w:val="en-GB"/>
        </w:rPr>
        <w:t xml:space="preserve"> </w:t>
      </w:r>
      <w:r w:rsidR="002B1AE9" w:rsidRPr="00C20926">
        <w:rPr>
          <w:sz w:val="28"/>
          <w:szCs w:val="28"/>
          <w:lang w:val="en-GB"/>
        </w:rPr>
        <w:t>scheme</w:t>
      </w:r>
      <w:r w:rsidR="00A209C4" w:rsidRPr="00C20926">
        <w:rPr>
          <w:sz w:val="28"/>
          <w:szCs w:val="28"/>
          <w:lang w:val="en-GB"/>
        </w:rPr>
        <w:t xml:space="preserve">. </w:t>
      </w:r>
      <w:r w:rsidRPr="00C20926">
        <w:rPr>
          <w:sz w:val="28"/>
          <w:szCs w:val="28"/>
          <w:lang w:val="en-GB"/>
        </w:rPr>
        <w:t xml:space="preserve">The </w:t>
      </w:r>
      <w:r w:rsidRPr="00C20926">
        <w:rPr>
          <w:sz w:val="28"/>
          <w:szCs w:val="28"/>
          <w:lang w:val="en-GB"/>
        </w:rPr>
        <w:lastRenderedPageBreak/>
        <w:t>court referred the matter to trial, based on the finding that there was a bona fide dispute of fact and made no finding on the merits.</w:t>
      </w:r>
    </w:p>
    <w:p w14:paraId="7F40D05C" w14:textId="77777777" w:rsidR="00971EAA" w:rsidRPr="00C20926" w:rsidRDefault="00971EAA" w:rsidP="00971EAA">
      <w:pPr>
        <w:rPr>
          <w:sz w:val="28"/>
          <w:szCs w:val="28"/>
          <w:lang w:val="en-GB"/>
        </w:rPr>
      </w:pPr>
    </w:p>
    <w:p w14:paraId="748645FD" w14:textId="266C91DF" w:rsidR="00971EAA" w:rsidRPr="00C20926" w:rsidRDefault="00971EAA" w:rsidP="00971EAA">
      <w:pPr>
        <w:rPr>
          <w:sz w:val="28"/>
          <w:szCs w:val="28"/>
          <w:lang w:val="en-GB"/>
        </w:rPr>
      </w:pPr>
      <w:r w:rsidRPr="00C20926">
        <w:rPr>
          <w:sz w:val="28"/>
          <w:szCs w:val="28"/>
          <w:lang w:val="en-GB"/>
        </w:rPr>
        <w:t>[</w:t>
      </w:r>
      <w:r w:rsidR="00641C19" w:rsidRPr="00C20926">
        <w:rPr>
          <w:sz w:val="28"/>
          <w:szCs w:val="28"/>
          <w:lang w:val="en-GB"/>
        </w:rPr>
        <w:t>5</w:t>
      </w:r>
      <w:r w:rsidR="009835FC" w:rsidRPr="00C20926">
        <w:rPr>
          <w:sz w:val="28"/>
          <w:szCs w:val="28"/>
          <w:lang w:val="en-GB"/>
        </w:rPr>
        <w:t>5</w:t>
      </w:r>
      <w:r w:rsidRPr="00C20926">
        <w:rPr>
          <w:sz w:val="28"/>
          <w:szCs w:val="28"/>
          <w:lang w:val="en-GB"/>
        </w:rPr>
        <w:t xml:space="preserve">] </w:t>
      </w:r>
      <w:r w:rsidR="00A209C4" w:rsidRPr="00C20926">
        <w:rPr>
          <w:sz w:val="28"/>
          <w:szCs w:val="28"/>
          <w:lang w:val="en-GB"/>
        </w:rPr>
        <w:tab/>
      </w:r>
      <w:r w:rsidR="0040061E" w:rsidRPr="00C20926">
        <w:rPr>
          <w:sz w:val="28"/>
          <w:szCs w:val="28"/>
          <w:lang w:val="en-GB"/>
        </w:rPr>
        <w:t>I</w:t>
      </w:r>
      <w:r w:rsidRPr="00C20926">
        <w:rPr>
          <w:sz w:val="28"/>
          <w:szCs w:val="28"/>
          <w:lang w:val="en-GB"/>
        </w:rPr>
        <w:t xml:space="preserve">n </w:t>
      </w:r>
      <w:r w:rsidRPr="00C20926">
        <w:rPr>
          <w:bCs/>
          <w:i/>
          <w:sz w:val="28"/>
          <w:szCs w:val="28"/>
        </w:rPr>
        <w:t xml:space="preserve">Commissioner for the South African Revenue Service v Badenhorst t/a SA Global Trading and/or Global Trading and </w:t>
      </w:r>
      <w:r w:rsidR="003D13B4" w:rsidRPr="00C20926">
        <w:rPr>
          <w:bCs/>
          <w:i/>
          <w:sz w:val="28"/>
          <w:szCs w:val="28"/>
        </w:rPr>
        <w:t>O</w:t>
      </w:r>
      <w:r w:rsidRPr="00C20926">
        <w:rPr>
          <w:bCs/>
          <w:i/>
          <w:sz w:val="28"/>
          <w:szCs w:val="28"/>
        </w:rPr>
        <w:t xml:space="preserve">thers, Commissioner of the South African Revenue Service v Vermaak and </w:t>
      </w:r>
      <w:r w:rsidR="003D13B4" w:rsidRPr="00C20926">
        <w:rPr>
          <w:bCs/>
          <w:i/>
          <w:sz w:val="28"/>
          <w:szCs w:val="28"/>
        </w:rPr>
        <w:t>O</w:t>
      </w:r>
      <w:r w:rsidRPr="00C20926">
        <w:rPr>
          <w:bCs/>
          <w:i/>
          <w:sz w:val="28"/>
          <w:szCs w:val="28"/>
        </w:rPr>
        <w:t>thers</w:t>
      </w:r>
      <w:r w:rsidR="00AD2847" w:rsidRPr="00C20926">
        <w:rPr>
          <w:i/>
          <w:sz w:val="28"/>
        </w:rPr>
        <w:t xml:space="preserve"> </w:t>
      </w:r>
      <w:r w:rsidR="00AD2847" w:rsidRPr="00C20926">
        <w:rPr>
          <w:bCs/>
          <w:sz w:val="28"/>
          <w:szCs w:val="28"/>
        </w:rPr>
        <w:t>(</w:t>
      </w:r>
      <w:r w:rsidR="00AD2847" w:rsidRPr="00C20926">
        <w:rPr>
          <w:i/>
          <w:sz w:val="28"/>
        </w:rPr>
        <w:t>Vermaak</w:t>
      </w:r>
      <w:r w:rsidR="00AD2847" w:rsidRPr="00C20926">
        <w:rPr>
          <w:bCs/>
          <w:sz w:val="28"/>
          <w:szCs w:val="28"/>
        </w:rPr>
        <w:t>),</w:t>
      </w:r>
      <w:r w:rsidRPr="00C20926">
        <w:rPr>
          <w:rStyle w:val="FootnoteReference"/>
          <w:bCs/>
          <w:sz w:val="28"/>
          <w:szCs w:val="28"/>
        </w:rPr>
        <w:footnoteReference w:id="21"/>
      </w:r>
      <w:r w:rsidRPr="00C20926">
        <w:rPr>
          <w:bCs/>
          <w:sz w:val="28"/>
          <w:szCs w:val="28"/>
        </w:rPr>
        <w:t xml:space="preserve"> </w:t>
      </w:r>
      <w:r w:rsidRPr="00C20926">
        <w:rPr>
          <w:sz w:val="28"/>
          <w:szCs w:val="28"/>
          <w:lang w:val="en-GB"/>
        </w:rPr>
        <w:t xml:space="preserve">the same transcript featured as in </w:t>
      </w:r>
      <w:r w:rsidR="00A22446" w:rsidRPr="00C20926">
        <w:rPr>
          <w:i/>
          <w:sz w:val="28"/>
          <w:szCs w:val="28"/>
          <w:lang w:val="en-GB"/>
        </w:rPr>
        <w:t>Sassin</w:t>
      </w:r>
      <w:r w:rsidRPr="00C20926">
        <w:rPr>
          <w:sz w:val="28"/>
          <w:szCs w:val="28"/>
          <w:lang w:val="en-GB"/>
        </w:rPr>
        <w:t>. In that matter SARS obtained a provisional preservation order against Mr Badenhorst and Mr Sassin. The court considered the affidavits and transcript of the inquiry.</w:t>
      </w:r>
      <w:r w:rsidRPr="00C20926">
        <w:rPr>
          <w:rStyle w:val="FootnoteReference"/>
          <w:sz w:val="28"/>
          <w:szCs w:val="28"/>
          <w:lang w:val="en-GB"/>
        </w:rPr>
        <w:footnoteReference w:id="22"/>
      </w:r>
      <w:r w:rsidRPr="00C20926">
        <w:rPr>
          <w:sz w:val="28"/>
          <w:szCs w:val="28"/>
          <w:lang w:val="en-GB"/>
        </w:rPr>
        <w:t xml:space="preserve"> In </w:t>
      </w:r>
      <w:r w:rsidRPr="00C20926">
        <w:rPr>
          <w:i/>
          <w:sz w:val="28"/>
          <w:szCs w:val="28"/>
          <w:lang w:val="en-GB"/>
        </w:rPr>
        <w:t>Vermaak</w:t>
      </w:r>
      <w:r w:rsidR="00AD2847" w:rsidRPr="00C20926">
        <w:rPr>
          <w:sz w:val="28"/>
          <w:szCs w:val="28"/>
          <w:lang w:val="en-GB"/>
        </w:rPr>
        <w:t>,</w:t>
      </w:r>
      <w:r w:rsidRPr="00C20926">
        <w:rPr>
          <w:sz w:val="28"/>
          <w:szCs w:val="28"/>
          <w:lang w:val="en-GB"/>
        </w:rPr>
        <w:t xml:space="preserve"> the court</w:t>
      </w:r>
      <w:r w:rsidR="0040061E" w:rsidRPr="00C20926">
        <w:rPr>
          <w:sz w:val="28"/>
          <w:szCs w:val="28"/>
          <w:lang w:val="en-GB"/>
        </w:rPr>
        <w:t xml:space="preserve"> also</w:t>
      </w:r>
      <w:r w:rsidRPr="00C20926">
        <w:rPr>
          <w:sz w:val="28"/>
          <w:szCs w:val="28"/>
          <w:lang w:val="en-GB"/>
        </w:rPr>
        <w:t xml:space="preserve"> considered whether </w:t>
      </w:r>
      <w:r w:rsidRPr="00C20926">
        <w:rPr>
          <w:i/>
          <w:sz w:val="28"/>
          <w:szCs w:val="28"/>
          <w:lang w:val="en-GB"/>
        </w:rPr>
        <w:t>Sassin</w:t>
      </w:r>
      <w:r w:rsidRPr="00C20926">
        <w:rPr>
          <w:sz w:val="28"/>
          <w:szCs w:val="28"/>
          <w:lang w:val="en-GB"/>
        </w:rPr>
        <w:t xml:space="preserve"> was authority for the proposition that</w:t>
      </w:r>
      <w:r w:rsidR="00CA1DE9" w:rsidRPr="00C20926">
        <w:rPr>
          <w:sz w:val="28"/>
          <w:szCs w:val="28"/>
          <w:lang w:val="en-GB"/>
        </w:rPr>
        <w:t xml:space="preserve"> a</w:t>
      </w:r>
      <w:r w:rsidRPr="00C20926">
        <w:rPr>
          <w:sz w:val="28"/>
          <w:szCs w:val="28"/>
          <w:lang w:val="en-GB"/>
        </w:rPr>
        <w:t xml:space="preserve"> s 50 transcript is inadmissible in subsequent proceedings and found, correctly in </w:t>
      </w:r>
      <w:r w:rsidR="009A32B7" w:rsidRPr="00C20926">
        <w:rPr>
          <w:sz w:val="28"/>
          <w:szCs w:val="28"/>
          <w:lang w:val="en-GB"/>
        </w:rPr>
        <w:t xml:space="preserve">our </w:t>
      </w:r>
      <w:r w:rsidR="00D722CE" w:rsidRPr="00C20926">
        <w:rPr>
          <w:sz w:val="28"/>
          <w:szCs w:val="28"/>
          <w:lang w:val="en-GB"/>
        </w:rPr>
        <w:t>view</w:t>
      </w:r>
      <w:r w:rsidR="009A32B7" w:rsidRPr="00C20926">
        <w:rPr>
          <w:sz w:val="28"/>
          <w:szCs w:val="28"/>
          <w:lang w:val="en-GB"/>
        </w:rPr>
        <w:t>,</w:t>
      </w:r>
      <w:r w:rsidR="00D722CE" w:rsidRPr="00C20926">
        <w:rPr>
          <w:sz w:val="28"/>
          <w:szCs w:val="28"/>
          <w:lang w:val="en-GB"/>
        </w:rPr>
        <w:t xml:space="preserve"> that</w:t>
      </w:r>
      <w:r w:rsidRPr="00C20926">
        <w:rPr>
          <w:sz w:val="28"/>
          <w:szCs w:val="28"/>
          <w:lang w:val="en-GB"/>
        </w:rPr>
        <w:t xml:space="preserve"> it was not.</w:t>
      </w:r>
      <w:r w:rsidR="00C22C0A" w:rsidRPr="00C20926">
        <w:rPr>
          <w:sz w:val="28"/>
          <w:szCs w:val="28"/>
          <w:lang w:val="en-GB"/>
        </w:rPr>
        <w:t xml:space="preserve"> </w:t>
      </w:r>
      <w:r w:rsidR="004735CD" w:rsidRPr="00C20926">
        <w:rPr>
          <w:sz w:val="28"/>
          <w:szCs w:val="28"/>
          <w:lang w:val="en-GB"/>
        </w:rPr>
        <w:t xml:space="preserve">The remark about the admissibility of the transcript in </w:t>
      </w:r>
      <w:r w:rsidR="004735CD" w:rsidRPr="00C20926">
        <w:rPr>
          <w:i/>
          <w:sz w:val="28"/>
          <w:szCs w:val="28"/>
          <w:lang w:val="en-GB"/>
        </w:rPr>
        <w:t>Sassin</w:t>
      </w:r>
      <w:r w:rsidR="004735CD" w:rsidRPr="00C20926">
        <w:rPr>
          <w:sz w:val="28"/>
          <w:szCs w:val="28"/>
          <w:lang w:val="en-GB"/>
        </w:rPr>
        <w:t xml:space="preserve"> was </w:t>
      </w:r>
      <w:r w:rsidR="00A22446" w:rsidRPr="00C20926">
        <w:rPr>
          <w:sz w:val="28"/>
          <w:szCs w:val="28"/>
          <w:lang w:val="en-GB"/>
        </w:rPr>
        <w:t xml:space="preserve">indeed </w:t>
      </w:r>
      <w:r w:rsidR="004735CD" w:rsidRPr="00C20926">
        <w:rPr>
          <w:sz w:val="28"/>
          <w:szCs w:val="28"/>
          <w:lang w:val="en-GB"/>
        </w:rPr>
        <w:t>obiter as the court was not called upon to determine the issue.</w:t>
      </w:r>
    </w:p>
    <w:p w14:paraId="5E3802C1" w14:textId="77777777" w:rsidR="00971EAA" w:rsidRPr="00C20926" w:rsidRDefault="00971EAA" w:rsidP="00971EAA">
      <w:pPr>
        <w:rPr>
          <w:sz w:val="28"/>
          <w:szCs w:val="28"/>
          <w:lang w:val="en-GB"/>
        </w:rPr>
      </w:pPr>
    </w:p>
    <w:p w14:paraId="25CE8C18" w14:textId="4E87E6B4" w:rsidR="00971EAA" w:rsidRPr="00C20926" w:rsidRDefault="00971EAA" w:rsidP="00971EAA">
      <w:pPr>
        <w:rPr>
          <w:sz w:val="28"/>
          <w:szCs w:val="28"/>
          <w:lang w:val="en-GB"/>
        </w:rPr>
      </w:pPr>
      <w:r w:rsidRPr="00C20926">
        <w:rPr>
          <w:sz w:val="28"/>
          <w:szCs w:val="28"/>
          <w:lang w:val="en-GB"/>
        </w:rPr>
        <w:t>[</w:t>
      </w:r>
      <w:r w:rsidR="00641C19" w:rsidRPr="00C20926">
        <w:rPr>
          <w:sz w:val="28"/>
          <w:szCs w:val="28"/>
          <w:lang w:val="en-GB"/>
        </w:rPr>
        <w:t>5</w:t>
      </w:r>
      <w:r w:rsidR="009835FC" w:rsidRPr="00C20926">
        <w:rPr>
          <w:sz w:val="28"/>
          <w:szCs w:val="28"/>
          <w:lang w:val="en-GB"/>
        </w:rPr>
        <w:t>6</w:t>
      </w:r>
      <w:r w:rsidRPr="00C20926">
        <w:rPr>
          <w:sz w:val="28"/>
          <w:szCs w:val="28"/>
          <w:lang w:val="en-GB"/>
        </w:rPr>
        <w:t>]</w:t>
      </w:r>
      <w:r w:rsidR="006456DD" w:rsidRPr="00C20926">
        <w:rPr>
          <w:sz w:val="28"/>
          <w:szCs w:val="28"/>
          <w:lang w:val="en-GB"/>
        </w:rPr>
        <w:tab/>
      </w:r>
      <w:r w:rsidR="009A32B7" w:rsidRPr="00C20926">
        <w:rPr>
          <w:sz w:val="28"/>
          <w:szCs w:val="28"/>
          <w:lang w:val="en-GB"/>
        </w:rPr>
        <w:t>Section 56 is to be found in</w:t>
      </w:r>
      <w:r w:rsidR="00BE607C" w:rsidRPr="00C20926">
        <w:rPr>
          <w:sz w:val="28"/>
          <w:szCs w:val="28"/>
          <w:lang w:val="en-GB"/>
        </w:rPr>
        <w:t xml:space="preserve"> </w:t>
      </w:r>
      <w:r w:rsidR="004B6341" w:rsidRPr="00C20926">
        <w:rPr>
          <w:sz w:val="28"/>
          <w:szCs w:val="28"/>
          <w:lang w:val="en-GB"/>
        </w:rPr>
        <w:t>c</w:t>
      </w:r>
      <w:r w:rsidR="00BE607C" w:rsidRPr="00C20926">
        <w:rPr>
          <w:sz w:val="28"/>
          <w:szCs w:val="28"/>
          <w:lang w:val="en-GB"/>
        </w:rPr>
        <w:t>hapter</w:t>
      </w:r>
      <w:r w:rsidRPr="00C20926">
        <w:rPr>
          <w:sz w:val="28"/>
          <w:szCs w:val="28"/>
          <w:lang w:val="en-GB"/>
        </w:rPr>
        <w:t xml:space="preserve"> 5</w:t>
      </w:r>
      <w:r w:rsidR="009A32B7" w:rsidRPr="00C20926">
        <w:rPr>
          <w:sz w:val="28"/>
          <w:szCs w:val="28"/>
          <w:lang w:val="en-GB"/>
        </w:rPr>
        <w:t xml:space="preserve"> of the TAA, which concerns </w:t>
      </w:r>
      <w:r w:rsidRPr="00C20926">
        <w:rPr>
          <w:sz w:val="28"/>
          <w:szCs w:val="28"/>
          <w:lang w:val="en-GB"/>
        </w:rPr>
        <w:t xml:space="preserve">‘Information Gathering’. The purpose of </w:t>
      </w:r>
      <w:r w:rsidR="009A32B7" w:rsidRPr="00C20926">
        <w:rPr>
          <w:sz w:val="28"/>
          <w:szCs w:val="28"/>
          <w:lang w:val="en-GB"/>
        </w:rPr>
        <w:t xml:space="preserve">the </w:t>
      </w:r>
      <w:r w:rsidRPr="00C20926">
        <w:rPr>
          <w:sz w:val="28"/>
          <w:szCs w:val="28"/>
          <w:lang w:val="en-GB"/>
        </w:rPr>
        <w:t>chapter is</w:t>
      </w:r>
      <w:r w:rsidR="00BE607C" w:rsidRPr="00C20926">
        <w:rPr>
          <w:sz w:val="28"/>
          <w:szCs w:val="28"/>
          <w:lang w:val="en-GB"/>
        </w:rPr>
        <w:t xml:space="preserve"> </w:t>
      </w:r>
      <w:r w:rsidR="00641C19" w:rsidRPr="00C20926">
        <w:rPr>
          <w:sz w:val="28"/>
          <w:szCs w:val="28"/>
          <w:lang w:val="en-GB"/>
        </w:rPr>
        <w:t xml:space="preserve">to </w:t>
      </w:r>
      <w:r w:rsidR="009A32B7" w:rsidRPr="00C20926">
        <w:rPr>
          <w:sz w:val="28"/>
          <w:szCs w:val="28"/>
          <w:lang w:val="en-GB"/>
        </w:rPr>
        <w:t>facilitate the execution of SARS’</w:t>
      </w:r>
      <w:r w:rsidRPr="00C20926">
        <w:rPr>
          <w:sz w:val="28"/>
          <w:szCs w:val="28"/>
          <w:lang w:val="en-GB"/>
        </w:rPr>
        <w:t xml:space="preserve"> statutory mandate to collect </w:t>
      </w:r>
      <w:r w:rsidR="00641C19" w:rsidRPr="00C20926">
        <w:rPr>
          <w:sz w:val="28"/>
          <w:szCs w:val="28"/>
          <w:lang w:val="en-GB"/>
        </w:rPr>
        <w:t>tax.</w:t>
      </w:r>
      <w:r w:rsidR="00D71731" w:rsidRPr="00C20926">
        <w:rPr>
          <w:rStyle w:val="FootnoteReference"/>
          <w:sz w:val="28"/>
          <w:szCs w:val="28"/>
          <w:lang w:val="en-GB"/>
        </w:rPr>
        <w:footnoteReference w:id="23"/>
      </w:r>
      <w:r w:rsidR="00D71731" w:rsidRPr="00C20926">
        <w:rPr>
          <w:sz w:val="28"/>
          <w:szCs w:val="28"/>
          <w:lang w:val="en-GB"/>
        </w:rPr>
        <w:t xml:space="preserve"> </w:t>
      </w:r>
      <w:r w:rsidRPr="00C20926">
        <w:rPr>
          <w:sz w:val="28"/>
          <w:szCs w:val="28"/>
          <w:lang w:val="en-GB"/>
        </w:rPr>
        <w:t>The TAA recognises the fact that SARS stands as a stranger to transactions between taxpayers</w:t>
      </w:r>
      <w:r w:rsidR="00A653E1" w:rsidRPr="00C20926">
        <w:rPr>
          <w:sz w:val="28"/>
          <w:szCs w:val="28"/>
          <w:lang w:val="en-GB"/>
        </w:rPr>
        <w:t>.</w:t>
      </w:r>
      <w:r w:rsidR="00CD63C6" w:rsidRPr="00C20926">
        <w:rPr>
          <w:sz w:val="28"/>
          <w:szCs w:val="28"/>
          <w:lang w:val="en-GB"/>
        </w:rPr>
        <w:t xml:space="preserve"> </w:t>
      </w:r>
      <w:r w:rsidR="009A32B7" w:rsidRPr="00C20926">
        <w:rPr>
          <w:sz w:val="28"/>
          <w:szCs w:val="28"/>
          <w:lang w:val="en-GB"/>
        </w:rPr>
        <w:t xml:space="preserve">For this reason there is a </w:t>
      </w:r>
      <w:r w:rsidRPr="00C20926">
        <w:rPr>
          <w:sz w:val="28"/>
          <w:szCs w:val="28"/>
          <w:lang w:val="en-GB"/>
        </w:rPr>
        <w:t>need to enable SARS to obtain information</w:t>
      </w:r>
      <w:r w:rsidR="009A32B7" w:rsidRPr="00C20926">
        <w:rPr>
          <w:sz w:val="28"/>
          <w:szCs w:val="28"/>
          <w:lang w:val="en-GB"/>
        </w:rPr>
        <w:t xml:space="preserve"> it would otherwise not be able to acquire,</w:t>
      </w:r>
      <w:r w:rsidR="003F15DA" w:rsidRPr="00C20926">
        <w:rPr>
          <w:sz w:val="28"/>
          <w:szCs w:val="28"/>
          <w:lang w:val="en-GB"/>
        </w:rPr>
        <w:t xml:space="preserve"> in order to perform its statutory function</w:t>
      </w:r>
      <w:r w:rsidR="00A22446" w:rsidRPr="00C20926">
        <w:rPr>
          <w:sz w:val="28"/>
          <w:szCs w:val="28"/>
          <w:lang w:val="en-GB"/>
        </w:rPr>
        <w:t>.</w:t>
      </w:r>
      <w:r w:rsidR="00A22446" w:rsidRPr="00C20926">
        <w:rPr>
          <w:rStyle w:val="FootnoteReference"/>
          <w:sz w:val="28"/>
          <w:szCs w:val="28"/>
          <w:lang w:val="en-GB"/>
        </w:rPr>
        <w:footnoteReference w:id="24"/>
      </w:r>
      <w:r w:rsidR="003F15DA" w:rsidRPr="00C20926">
        <w:rPr>
          <w:sz w:val="28"/>
          <w:szCs w:val="28"/>
          <w:lang w:val="en-GB"/>
        </w:rPr>
        <w:t xml:space="preserve"> </w:t>
      </w:r>
    </w:p>
    <w:p w14:paraId="367901AA" w14:textId="77777777" w:rsidR="00971EAA" w:rsidRPr="00C20926" w:rsidRDefault="00971EAA" w:rsidP="00CF4C5A">
      <w:pPr>
        <w:rPr>
          <w:sz w:val="28"/>
          <w:szCs w:val="28"/>
        </w:rPr>
      </w:pPr>
    </w:p>
    <w:p w14:paraId="29A71EC8" w14:textId="662858C2" w:rsidR="00DC21FE" w:rsidRPr="00C20926" w:rsidRDefault="00DC21FE" w:rsidP="00DC21FE">
      <w:pPr>
        <w:rPr>
          <w:sz w:val="28"/>
          <w:szCs w:val="28"/>
          <w:lang w:val="en-GB"/>
        </w:rPr>
      </w:pPr>
      <w:r w:rsidRPr="00C20926">
        <w:rPr>
          <w:sz w:val="28"/>
          <w:szCs w:val="28"/>
          <w:lang w:val="en-GB"/>
        </w:rPr>
        <w:t>[</w:t>
      </w:r>
      <w:r w:rsidR="00641C19" w:rsidRPr="00C20926">
        <w:rPr>
          <w:sz w:val="28"/>
          <w:szCs w:val="28"/>
          <w:lang w:val="en-GB"/>
        </w:rPr>
        <w:t>5</w:t>
      </w:r>
      <w:r w:rsidR="009835FC" w:rsidRPr="00C20926">
        <w:rPr>
          <w:sz w:val="28"/>
          <w:szCs w:val="28"/>
          <w:lang w:val="en-GB"/>
        </w:rPr>
        <w:t>7]</w:t>
      </w:r>
      <w:r w:rsidRPr="00C20926">
        <w:rPr>
          <w:sz w:val="28"/>
          <w:szCs w:val="28"/>
          <w:lang w:val="en-GB"/>
        </w:rPr>
        <w:tab/>
        <w:t>The high court</w:t>
      </w:r>
      <w:r w:rsidR="00EE403B" w:rsidRPr="00C20926">
        <w:rPr>
          <w:sz w:val="28"/>
          <w:szCs w:val="28"/>
          <w:lang w:val="en-GB"/>
        </w:rPr>
        <w:t xml:space="preserve"> </w:t>
      </w:r>
      <w:r w:rsidRPr="00C20926">
        <w:rPr>
          <w:sz w:val="28"/>
          <w:szCs w:val="28"/>
          <w:lang w:val="en-GB"/>
        </w:rPr>
        <w:t xml:space="preserve">expressed itself as follows in relation to the interpretation of the words ‘proceedings’ in </w:t>
      </w:r>
      <w:r w:rsidRPr="00C20926">
        <w:rPr>
          <w:i/>
          <w:sz w:val="28"/>
          <w:szCs w:val="28"/>
          <w:lang w:val="en-GB"/>
        </w:rPr>
        <w:t>Sassin</w:t>
      </w:r>
      <w:r w:rsidR="00A22446" w:rsidRPr="00C20926">
        <w:rPr>
          <w:sz w:val="28"/>
          <w:szCs w:val="28"/>
          <w:lang w:val="en-GB"/>
        </w:rPr>
        <w:t xml:space="preserve"> </w:t>
      </w:r>
      <w:r w:rsidRPr="00C20926">
        <w:rPr>
          <w:sz w:val="28"/>
          <w:szCs w:val="28"/>
          <w:lang w:val="en-GB"/>
        </w:rPr>
        <w:t xml:space="preserve">: </w:t>
      </w:r>
    </w:p>
    <w:p w14:paraId="0B54A8EA" w14:textId="323FBEB2" w:rsidR="00DC21FE" w:rsidRPr="00C20926" w:rsidRDefault="00DC21FE" w:rsidP="00DC21FE">
      <w:pPr>
        <w:rPr>
          <w:szCs w:val="28"/>
          <w:lang w:val="en-GB"/>
        </w:rPr>
      </w:pPr>
      <w:r w:rsidRPr="00C20926">
        <w:rPr>
          <w:szCs w:val="28"/>
          <w:lang w:val="en-GB"/>
        </w:rPr>
        <w:lastRenderedPageBreak/>
        <w:t>‘The Court’s approach by attributing a meaning to the word “</w:t>
      </w:r>
      <w:r w:rsidRPr="00C20926">
        <w:rPr>
          <w:i/>
          <w:szCs w:val="28"/>
          <w:lang w:val="en-GB"/>
        </w:rPr>
        <w:t>proceeding</w:t>
      </w:r>
      <w:r w:rsidRPr="00C20926">
        <w:rPr>
          <w:szCs w:val="28"/>
          <w:lang w:val="en-GB"/>
        </w:rPr>
        <w:t>” that excludes judicial proceedings in court, whether civil or criminal, cannot be supported. Section 56</w:t>
      </w:r>
      <w:r w:rsidR="004B6341" w:rsidRPr="00C20926">
        <w:rPr>
          <w:szCs w:val="28"/>
          <w:lang w:val="en-GB"/>
        </w:rPr>
        <w:t xml:space="preserve"> </w:t>
      </w:r>
      <w:r w:rsidRPr="00C20926">
        <w:rPr>
          <w:szCs w:val="28"/>
          <w:lang w:val="en-GB"/>
        </w:rPr>
        <w:t>(4) clearly empower the use of the evidence in a subsequent proceeding, su</w:t>
      </w:r>
      <w:r w:rsidR="00A573EC" w:rsidRPr="00C20926">
        <w:rPr>
          <w:szCs w:val="28"/>
          <w:lang w:val="en-GB"/>
        </w:rPr>
        <w:t>bject to the qualification in s</w:t>
      </w:r>
      <w:r w:rsidRPr="00C20926">
        <w:rPr>
          <w:szCs w:val="28"/>
          <w:lang w:val="en-GB"/>
        </w:rPr>
        <w:t xml:space="preserve"> 57</w:t>
      </w:r>
      <w:r w:rsidR="004B6341" w:rsidRPr="00C20926">
        <w:rPr>
          <w:szCs w:val="28"/>
          <w:lang w:val="en-GB"/>
        </w:rPr>
        <w:t xml:space="preserve"> </w:t>
      </w:r>
      <w:r w:rsidRPr="00C20926">
        <w:rPr>
          <w:szCs w:val="28"/>
          <w:lang w:val="en-GB"/>
        </w:rPr>
        <w:t>(2), which excludes the use of incriminating evidence in criminal proceedings. It will also be at odds with the context and plain wording of the provision itself to exclude judicial proceedings, whether civil or criminal, from the word “</w:t>
      </w:r>
      <w:r w:rsidRPr="00C20926">
        <w:rPr>
          <w:i/>
          <w:szCs w:val="28"/>
          <w:lang w:val="en-GB"/>
        </w:rPr>
        <w:t>proceeding</w:t>
      </w:r>
      <w:r w:rsidR="00B12612" w:rsidRPr="00C20926">
        <w:rPr>
          <w:szCs w:val="28"/>
          <w:lang w:val="en-GB"/>
        </w:rPr>
        <w:t>.”</w:t>
      </w:r>
      <w:r w:rsidRPr="00C20926">
        <w:rPr>
          <w:szCs w:val="28"/>
          <w:lang w:val="en-GB"/>
        </w:rPr>
        <w:t xml:space="preserve"> There is also no textual reason to interpret “</w:t>
      </w:r>
      <w:r w:rsidRPr="00C20926">
        <w:rPr>
          <w:i/>
          <w:szCs w:val="28"/>
          <w:lang w:val="en-GB"/>
        </w:rPr>
        <w:t>proceeding</w:t>
      </w:r>
      <w:r w:rsidRPr="00C20926">
        <w:rPr>
          <w:szCs w:val="28"/>
          <w:lang w:val="en-GB"/>
        </w:rPr>
        <w:t>” where it appears in s 56</w:t>
      </w:r>
      <w:r w:rsidR="004B6341" w:rsidRPr="00C20926">
        <w:rPr>
          <w:szCs w:val="28"/>
          <w:lang w:val="en-GB"/>
        </w:rPr>
        <w:t xml:space="preserve"> </w:t>
      </w:r>
      <w:r w:rsidRPr="00C20926">
        <w:rPr>
          <w:szCs w:val="28"/>
          <w:lang w:val="en-GB"/>
        </w:rPr>
        <w:t>(4) as meaning something different from where the plural of the same word appears in the introductory part of s 56 and in s 57</w:t>
      </w:r>
      <w:r w:rsidR="004B6341" w:rsidRPr="00C20926">
        <w:rPr>
          <w:szCs w:val="28"/>
          <w:lang w:val="en-GB"/>
        </w:rPr>
        <w:t xml:space="preserve"> </w:t>
      </w:r>
      <w:r w:rsidRPr="00C20926">
        <w:rPr>
          <w:szCs w:val="28"/>
          <w:lang w:val="en-GB"/>
        </w:rPr>
        <w:t>(2).’</w:t>
      </w:r>
    </w:p>
    <w:p w14:paraId="49E0CCB5" w14:textId="77777777" w:rsidR="00DC21FE" w:rsidRPr="00C20926" w:rsidRDefault="00DC21FE" w:rsidP="00DC21FE">
      <w:pPr>
        <w:rPr>
          <w:sz w:val="28"/>
          <w:szCs w:val="28"/>
          <w:lang w:val="en-GB"/>
        </w:rPr>
      </w:pPr>
    </w:p>
    <w:p w14:paraId="501A2255" w14:textId="7FD88E81" w:rsidR="00DC21FE" w:rsidRPr="00C20926" w:rsidRDefault="00DC21FE" w:rsidP="00DC21FE">
      <w:pPr>
        <w:rPr>
          <w:sz w:val="28"/>
          <w:szCs w:val="28"/>
          <w:lang w:val="en-GB"/>
        </w:rPr>
      </w:pPr>
      <w:r w:rsidRPr="00C20926">
        <w:rPr>
          <w:sz w:val="28"/>
          <w:szCs w:val="28"/>
          <w:lang w:val="en-GB"/>
        </w:rPr>
        <w:t>[</w:t>
      </w:r>
      <w:r w:rsidR="00641C19" w:rsidRPr="00C20926">
        <w:rPr>
          <w:sz w:val="28"/>
          <w:szCs w:val="28"/>
          <w:lang w:val="en-GB"/>
        </w:rPr>
        <w:t>5</w:t>
      </w:r>
      <w:r w:rsidR="009835FC" w:rsidRPr="00C20926">
        <w:rPr>
          <w:sz w:val="28"/>
          <w:szCs w:val="28"/>
          <w:lang w:val="en-GB"/>
        </w:rPr>
        <w:t>8</w:t>
      </w:r>
      <w:r w:rsidRPr="00C20926">
        <w:rPr>
          <w:sz w:val="28"/>
          <w:szCs w:val="28"/>
          <w:lang w:val="en-GB"/>
        </w:rPr>
        <w:t>]</w:t>
      </w:r>
      <w:r w:rsidR="00CD63C6" w:rsidRPr="00C20926">
        <w:rPr>
          <w:sz w:val="28"/>
          <w:szCs w:val="28"/>
          <w:lang w:val="en-GB"/>
        </w:rPr>
        <w:tab/>
      </w:r>
      <w:r w:rsidR="0094581B" w:rsidRPr="00C20926">
        <w:rPr>
          <w:sz w:val="28"/>
          <w:szCs w:val="28"/>
          <w:lang w:val="en-GB"/>
        </w:rPr>
        <w:t>The appellants</w:t>
      </w:r>
      <w:r w:rsidR="00CD63C6" w:rsidRPr="00C20926">
        <w:rPr>
          <w:sz w:val="28"/>
          <w:szCs w:val="28"/>
          <w:lang w:val="en-GB"/>
        </w:rPr>
        <w:t>’</w:t>
      </w:r>
      <w:r w:rsidR="0094581B" w:rsidRPr="00C20926">
        <w:rPr>
          <w:sz w:val="28"/>
          <w:szCs w:val="28"/>
          <w:lang w:val="en-GB"/>
        </w:rPr>
        <w:t xml:space="preserve"> </w:t>
      </w:r>
      <w:r w:rsidR="000B3793" w:rsidRPr="00C20926">
        <w:rPr>
          <w:sz w:val="28"/>
          <w:szCs w:val="28"/>
          <w:lang w:val="en-GB"/>
        </w:rPr>
        <w:t xml:space="preserve">construction </w:t>
      </w:r>
      <w:r w:rsidR="0094581B" w:rsidRPr="00C20926">
        <w:rPr>
          <w:sz w:val="28"/>
          <w:szCs w:val="28"/>
          <w:lang w:val="en-GB"/>
        </w:rPr>
        <w:t>of the section would require</w:t>
      </w:r>
      <w:r w:rsidR="00434307" w:rsidRPr="00C20926">
        <w:rPr>
          <w:sz w:val="28"/>
          <w:szCs w:val="28"/>
          <w:lang w:val="en-GB"/>
        </w:rPr>
        <w:t xml:space="preserve"> a reading in of the </w:t>
      </w:r>
      <w:r w:rsidR="00A22446" w:rsidRPr="00C20926">
        <w:rPr>
          <w:sz w:val="28"/>
          <w:szCs w:val="28"/>
          <w:lang w:val="en-GB"/>
        </w:rPr>
        <w:t>words ‘tax proceeding’.</w:t>
      </w:r>
      <w:r w:rsidR="00434307" w:rsidRPr="00C20926">
        <w:rPr>
          <w:sz w:val="28"/>
          <w:szCs w:val="28"/>
          <w:lang w:val="en-GB"/>
        </w:rPr>
        <w:t xml:space="preserve"> </w:t>
      </w:r>
      <w:r w:rsidRPr="00C20926">
        <w:rPr>
          <w:sz w:val="28"/>
          <w:szCs w:val="28"/>
          <w:lang w:val="en-GB"/>
        </w:rPr>
        <w:t xml:space="preserve">In </w:t>
      </w:r>
      <w:r w:rsidRPr="00C20926">
        <w:rPr>
          <w:i/>
          <w:sz w:val="28"/>
          <w:szCs w:val="28"/>
          <w:lang w:val="en-GB"/>
        </w:rPr>
        <w:t xml:space="preserve">National Director of Public Prosecutions v Mohamed NO and </w:t>
      </w:r>
      <w:r w:rsidR="00AD2847" w:rsidRPr="00C20926">
        <w:rPr>
          <w:i/>
          <w:sz w:val="28"/>
          <w:szCs w:val="28"/>
          <w:lang w:val="en-GB"/>
        </w:rPr>
        <w:t>O</w:t>
      </w:r>
      <w:r w:rsidRPr="00C20926">
        <w:rPr>
          <w:i/>
          <w:sz w:val="28"/>
          <w:szCs w:val="28"/>
          <w:lang w:val="en-GB"/>
        </w:rPr>
        <w:t>thers</w:t>
      </w:r>
      <w:r w:rsidR="00C13F0B" w:rsidRPr="00C20926">
        <w:rPr>
          <w:sz w:val="28"/>
          <w:szCs w:val="28"/>
          <w:lang w:val="en-GB"/>
        </w:rPr>
        <w:t>,</w:t>
      </w:r>
      <w:r w:rsidRPr="00C20926">
        <w:rPr>
          <w:rStyle w:val="FootnoteReference"/>
          <w:sz w:val="28"/>
          <w:szCs w:val="28"/>
          <w:lang w:val="en-GB"/>
        </w:rPr>
        <w:footnoteReference w:id="25"/>
      </w:r>
      <w:r w:rsidR="00C13F0B" w:rsidRPr="00C20926">
        <w:rPr>
          <w:sz w:val="28"/>
          <w:szCs w:val="28"/>
          <w:lang w:val="en-GB"/>
        </w:rPr>
        <w:t xml:space="preserve"> </w:t>
      </w:r>
      <w:r w:rsidRPr="00C20926">
        <w:rPr>
          <w:sz w:val="28"/>
          <w:szCs w:val="28"/>
          <w:lang w:val="en-GB"/>
        </w:rPr>
        <w:t xml:space="preserve">the Constitutional Court </w:t>
      </w:r>
      <w:r w:rsidR="002D3C05" w:rsidRPr="00C20926">
        <w:rPr>
          <w:sz w:val="28"/>
          <w:szCs w:val="28"/>
          <w:lang w:val="en-GB"/>
        </w:rPr>
        <w:t>says the following</w:t>
      </w:r>
      <w:r w:rsidRPr="00C20926">
        <w:rPr>
          <w:sz w:val="28"/>
          <w:szCs w:val="28"/>
          <w:lang w:val="en-GB"/>
        </w:rPr>
        <w:t xml:space="preserve"> in relation to the reading in of words </w:t>
      </w:r>
      <w:r w:rsidR="00D4327D" w:rsidRPr="00C20926">
        <w:rPr>
          <w:sz w:val="28"/>
          <w:szCs w:val="28"/>
          <w:lang w:val="en-GB"/>
        </w:rPr>
        <w:t xml:space="preserve">into a </w:t>
      </w:r>
      <w:r w:rsidRPr="00C20926">
        <w:rPr>
          <w:sz w:val="28"/>
          <w:szCs w:val="28"/>
          <w:lang w:val="en-GB"/>
        </w:rPr>
        <w:t>statute:</w:t>
      </w:r>
    </w:p>
    <w:p w14:paraId="30518D0B" w14:textId="77777777" w:rsidR="00C13F0B" w:rsidRPr="00C20926" w:rsidRDefault="00DC21FE" w:rsidP="00C13F0B">
      <w:r w:rsidRPr="00C20926">
        <w:rPr>
          <w:lang w:val="en-GB"/>
        </w:rPr>
        <w:t>‘</w:t>
      </w:r>
      <w:r w:rsidRPr="00C20926">
        <w:t xml:space="preserve">Furthermore, the issue is not whether the </w:t>
      </w:r>
      <w:r w:rsidRPr="00C20926">
        <w:rPr>
          <w:i/>
        </w:rPr>
        <w:t>audi</w:t>
      </w:r>
      <w:r w:rsidRPr="00C20926">
        <w:t xml:space="preserve"> principle is to be implied in s 38 but, on the contrary, whether –</w:t>
      </w:r>
      <w:r w:rsidR="009835FC" w:rsidRPr="00C20926">
        <w:t xml:space="preserve"> </w:t>
      </w:r>
    </w:p>
    <w:p w14:paraId="4B6B0AA1" w14:textId="439CA188" w:rsidR="00DC21FE" w:rsidRPr="00C20926" w:rsidRDefault="00DC21FE" w:rsidP="007F4700">
      <w:pPr>
        <w:rPr>
          <w:lang w:val="en-GB"/>
        </w:rPr>
      </w:pPr>
      <w:r w:rsidRPr="00C20926">
        <w:t>“it is clear that Parliament has expressly or by necessary implication enacted that it</w:t>
      </w:r>
      <w:r w:rsidR="009835FC" w:rsidRPr="00C20926">
        <w:t xml:space="preserve"> </w:t>
      </w:r>
      <w:r w:rsidRPr="00C20926">
        <w:t>should not apply or that there are exceptional circumstances which would justify the</w:t>
      </w:r>
      <w:r w:rsidR="009835FC" w:rsidRPr="00C20926">
        <w:t xml:space="preserve"> </w:t>
      </w:r>
      <w:r w:rsidRPr="00C20926">
        <w:t>Court's not giving effect to it.”</w:t>
      </w:r>
    </w:p>
    <w:p w14:paraId="6AEDC3A2" w14:textId="77777777" w:rsidR="00C13F0B" w:rsidRPr="00C20926" w:rsidRDefault="00DC21FE" w:rsidP="00C13F0B">
      <w:pPr>
        <w:pStyle w:val="JUDGMENTCONTINUED"/>
        <w:spacing w:line="360" w:lineRule="auto"/>
        <w:rPr>
          <w:sz w:val="24"/>
          <w:szCs w:val="24"/>
        </w:rPr>
      </w:pPr>
      <w:r w:rsidRPr="00C20926">
        <w:rPr>
          <w:sz w:val="24"/>
        </w:rPr>
        <w:t>We have adopted the view, consistently enunciated over the years by the courts, that –</w:t>
      </w:r>
      <w:r w:rsidR="009835FC" w:rsidRPr="00C20926">
        <w:rPr>
          <w:sz w:val="24"/>
        </w:rPr>
        <w:t xml:space="preserve"> </w:t>
      </w:r>
    </w:p>
    <w:p w14:paraId="775098DE" w14:textId="77777777" w:rsidR="00C13F0B" w:rsidRPr="00C20926" w:rsidRDefault="00DC21FE" w:rsidP="00C13F0B">
      <w:pPr>
        <w:pStyle w:val="JUDGMENTCONTINUED"/>
        <w:spacing w:line="360" w:lineRule="auto"/>
        <w:rPr>
          <w:sz w:val="24"/>
          <w:szCs w:val="24"/>
        </w:rPr>
      </w:pPr>
      <w:r w:rsidRPr="00C20926">
        <w:rPr>
          <w:sz w:val="24"/>
        </w:rPr>
        <w:t>“words cannot be read into a statute by implication unless the implication is a necessary one in the sense that without it effect cannot be given to the statute as it stands”</w:t>
      </w:r>
      <w:r w:rsidR="009835FC" w:rsidRPr="00C20926">
        <w:rPr>
          <w:sz w:val="24"/>
        </w:rPr>
        <w:t xml:space="preserve"> </w:t>
      </w:r>
    </w:p>
    <w:p w14:paraId="069600D2" w14:textId="6A056B64" w:rsidR="00DC21FE" w:rsidRPr="00C20926" w:rsidRDefault="00DC21FE" w:rsidP="00C13F0B">
      <w:pPr>
        <w:pStyle w:val="JUDGMENTCONTINUED"/>
        <w:spacing w:line="360" w:lineRule="auto"/>
        <w:rPr>
          <w:sz w:val="24"/>
          <w:szCs w:val="24"/>
        </w:rPr>
      </w:pPr>
      <w:r w:rsidRPr="00C20926">
        <w:rPr>
          <w:sz w:val="24"/>
        </w:rPr>
        <w:t>and that such implication must be necessary in order “to realise the ostensible legislative intention or to make the Act workable”.’</w:t>
      </w:r>
      <w:r w:rsidR="009835FC" w:rsidRPr="00C20926">
        <w:rPr>
          <w:sz w:val="24"/>
          <w:szCs w:val="24"/>
        </w:rPr>
        <w:t xml:space="preserve"> (</w:t>
      </w:r>
      <w:r w:rsidR="009835FC" w:rsidRPr="00C20926">
        <w:rPr>
          <w:sz w:val="24"/>
        </w:rPr>
        <w:t>Footnotes omitted</w:t>
      </w:r>
      <w:r w:rsidR="009835FC" w:rsidRPr="00C20926">
        <w:rPr>
          <w:sz w:val="24"/>
          <w:szCs w:val="24"/>
        </w:rPr>
        <w:t>)</w:t>
      </w:r>
    </w:p>
    <w:p w14:paraId="43AA3E59" w14:textId="77777777" w:rsidR="00DC21FE" w:rsidRPr="00C20926" w:rsidRDefault="00DC21FE" w:rsidP="00DC21FE">
      <w:pPr>
        <w:rPr>
          <w:sz w:val="28"/>
          <w:szCs w:val="28"/>
          <w:lang w:val="en-GB"/>
        </w:rPr>
      </w:pPr>
    </w:p>
    <w:p w14:paraId="7526AFCD" w14:textId="03CDED25" w:rsidR="00DC21FE" w:rsidRPr="00C20926" w:rsidRDefault="00DC21FE" w:rsidP="00DC21FE">
      <w:pPr>
        <w:rPr>
          <w:sz w:val="28"/>
          <w:szCs w:val="28"/>
        </w:rPr>
      </w:pPr>
      <w:r w:rsidRPr="00C20926">
        <w:rPr>
          <w:sz w:val="28"/>
          <w:szCs w:val="28"/>
          <w:lang w:val="en-GB"/>
        </w:rPr>
        <w:t>[</w:t>
      </w:r>
      <w:r w:rsidR="009835FC" w:rsidRPr="00C20926">
        <w:rPr>
          <w:sz w:val="28"/>
          <w:szCs w:val="28"/>
          <w:lang w:val="en-GB"/>
        </w:rPr>
        <w:t>59</w:t>
      </w:r>
      <w:r w:rsidRPr="00C20926">
        <w:rPr>
          <w:sz w:val="28"/>
          <w:szCs w:val="28"/>
          <w:lang w:val="en-GB"/>
        </w:rPr>
        <w:t>]</w:t>
      </w:r>
      <w:r w:rsidRPr="00C20926">
        <w:rPr>
          <w:sz w:val="28"/>
          <w:szCs w:val="28"/>
          <w:lang w:val="en-GB"/>
        </w:rPr>
        <w:tab/>
        <w:t xml:space="preserve">In this instance reading in of the words ‘tax proceedings’ </w:t>
      </w:r>
      <w:r w:rsidRPr="00C20926">
        <w:rPr>
          <w:sz w:val="28"/>
          <w:lang w:val="en-GB"/>
        </w:rPr>
        <w:t xml:space="preserve">is </w:t>
      </w:r>
      <w:r w:rsidR="0088002B" w:rsidRPr="00C20926">
        <w:rPr>
          <w:sz w:val="28"/>
          <w:lang w:val="en-GB"/>
        </w:rPr>
        <w:t xml:space="preserve">not </w:t>
      </w:r>
      <w:r w:rsidRPr="00C20926">
        <w:rPr>
          <w:sz w:val="28"/>
          <w:lang w:val="en-GB"/>
        </w:rPr>
        <w:t>necessary</w:t>
      </w:r>
      <w:r w:rsidRPr="00C20926">
        <w:rPr>
          <w:sz w:val="28"/>
          <w:szCs w:val="28"/>
          <w:lang w:val="en-GB"/>
        </w:rPr>
        <w:t xml:space="preserve"> to realise the legislative intention</w:t>
      </w:r>
      <w:r w:rsidRPr="00C20926">
        <w:rPr>
          <w:sz w:val="28"/>
          <w:lang w:val="en-GB"/>
        </w:rPr>
        <w:t xml:space="preserve">, </w:t>
      </w:r>
      <w:r w:rsidR="0088002B" w:rsidRPr="00C20926">
        <w:rPr>
          <w:sz w:val="28"/>
          <w:lang w:val="en-GB"/>
        </w:rPr>
        <w:t>n</w:t>
      </w:r>
      <w:r w:rsidRPr="00C20926">
        <w:rPr>
          <w:sz w:val="28"/>
          <w:lang w:val="en-GB"/>
        </w:rPr>
        <w:t>or to</w:t>
      </w:r>
      <w:r w:rsidRPr="00C20926">
        <w:rPr>
          <w:sz w:val="28"/>
          <w:szCs w:val="28"/>
          <w:lang w:val="en-GB"/>
        </w:rPr>
        <w:t xml:space="preserve"> make the TAA </w:t>
      </w:r>
      <w:r w:rsidR="006913AF" w:rsidRPr="00C20926">
        <w:rPr>
          <w:sz w:val="28"/>
          <w:szCs w:val="28"/>
          <w:lang w:val="en-GB"/>
        </w:rPr>
        <w:t>workable</w:t>
      </w:r>
      <w:r w:rsidR="0088002B" w:rsidRPr="00C20926">
        <w:rPr>
          <w:sz w:val="28"/>
          <w:szCs w:val="28"/>
          <w:lang w:val="en-GB"/>
        </w:rPr>
        <w:t>.</w:t>
      </w:r>
      <w:r w:rsidR="006913AF" w:rsidRPr="00C20926">
        <w:rPr>
          <w:sz w:val="28"/>
          <w:szCs w:val="28"/>
          <w:lang w:val="en-GB"/>
        </w:rPr>
        <w:t xml:space="preserve"> </w:t>
      </w:r>
      <w:r w:rsidR="0088002B" w:rsidRPr="00C20926">
        <w:rPr>
          <w:sz w:val="28"/>
          <w:lang w:val="en-GB"/>
        </w:rPr>
        <w:t>On the contrary</w:t>
      </w:r>
      <w:r w:rsidR="0088002B" w:rsidRPr="00C20926">
        <w:rPr>
          <w:sz w:val="28"/>
          <w:szCs w:val="28"/>
          <w:lang w:val="en-GB"/>
        </w:rPr>
        <w:t>, i</w:t>
      </w:r>
      <w:r w:rsidR="006913AF" w:rsidRPr="00C20926">
        <w:rPr>
          <w:sz w:val="28"/>
          <w:szCs w:val="28"/>
          <w:lang w:val="en-GB"/>
        </w:rPr>
        <w:t>f</w:t>
      </w:r>
      <w:r w:rsidR="00CD63C6" w:rsidRPr="00C20926">
        <w:rPr>
          <w:sz w:val="28"/>
          <w:szCs w:val="28"/>
          <w:lang w:val="en-GB"/>
        </w:rPr>
        <w:t xml:space="preserve"> </w:t>
      </w:r>
      <w:r w:rsidR="006913AF" w:rsidRPr="00C20926">
        <w:rPr>
          <w:sz w:val="28"/>
          <w:szCs w:val="28"/>
          <w:lang w:val="en-GB"/>
        </w:rPr>
        <w:t xml:space="preserve">SARS is </w:t>
      </w:r>
      <w:r w:rsidR="00316CCD" w:rsidRPr="00C20926">
        <w:rPr>
          <w:sz w:val="28"/>
          <w:szCs w:val="28"/>
          <w:lang w:val="en-GB"/>
        </w:rPr>
        <w:t>constrained</w:t>
      </w:r>
      <w:r w:rsidR="00804046" w:rsidRPr="00C20926">
        <w:rPr>
          <w:sz w:val="28"/>
          <w:szCs w:val="28"/>
          <w:lang w:val="en-GB"/>
        </w:rPr>
        <w:t xml:space="preserve"> to only use</w:t>
      </w:r>
      <w:r w:rsidR="006913AF" w:rsidRPr="00C20926">
        <w:rPr>
          <w:sz w:val="28"/>
          <w:szCs w:val="28"/>
          <w:lang w:val="en-GB"/>
        </w:rPr>
        <w:t xml:space="preserve"> information obtained during </w:t>
      </w:r>
      <w:r w:rsidR="0088002B" w:rsidRPr="00C20926">
        <w:rPr>
          <w:sz w:val="28"/>
          <w:szCs w:val="28"/>
          <w:lang w:val="en-GB"/>
        </w:rPr>
        <w:t>an</w:t>
      </w:r>
      <w:r w:rsidR="00FD7475" w:rsidRPr="00C20926">
        <w:rPr>
          <w:sz w:val="28"/>
          <w:szCs w:val="28"/>
          <w:lang w:val="en-GB"/>
        </w:rPr>
        <w:t xml:space="preserve"> inquiry in </w:t>
      </w:r>
      <w:r w:rsidR="00FD7475" w:rsidRPr="00C20926">
        <w:rPr>
          <w:sz w:val="28"/>
          <w:szCs w:val="28"/>
          <w:lang w:val="en-GB"/>
        </w:rPr>
        <w:lastRenderedPageBreak/>
        <w:t>subseq</w:t>
      </w:r>
      <w:r w:rsidR="00BE22CC" w:rsidRPr="00C20926">
        <w:rPr>
          <w:sz w:val="28"/>
          <w:szCs w:val="28"/>
          <w:lang w:val="en-GB"/>
        </w:rPr>
        <w:t>uent</w:t>
      </w:r>
      <w:r w:rsidR="00FD7475" w:rsidRPr="00C20926">
        <w:rPr>
          <w:sz w:val="28"/>
          <w:szCs w:val="28"/>
          <w:lang w:val="en-GB"/>
        </w:rPr>
        <w:t xml:space="preserve"> </w:t>
      </w:r>
      <w:r w:rsidR="00FC2EFD" w:rsidRPr="00C20926">
        <w:rPr>
          <w:sz w:val="28"/>
          <w:szCs w:val="28"/>
          <w:lang w:val="en-GB"/>
        </w:rPr>
        <w:t>proceedings</w:t>
      </w:r>
      <w:r w:rsidR="00BE22CC" w:rsidRPr="00C20926">
        <w:rPr>
          <w:sz w:val="28"/>
          <w:szCs w:val="28"/>
          <w:lang w:val="en-GB"/>
        </w:rPr>
        <w:t xml:space="preserve"> </w:t>
      </w:r>
      <w:r w:rsidR="00A55B89" w:rsidRPr="00C20926">
        <w:rPr>
          <w:sz w:val="28"/>
          <w:szCs w:val="28"/>
          <w:lang w:val="en-GB"/>
        </w:rPr>
        <w:t>under the TAA</w:t>
      </w:r>
      <w:r w:rsidR="0088002B" w:rsidRPr="00C20926">
        <w:rPr>
          <w:sz w:val="28"/>
          <w:szCs w:val="28"/>
          <w:lang w:val="en-GB"/>
        </w:rPr>
        <w:t>,</w:t>
      </w:r>
      <w:r w:rsidR="00A37679" w:rsidRPr="00C20926">
        <w:rPr>
          <w:sz w:val="28"/>
          <w:szCs w:val="28"/>
          <w:lang w:val="en-GB"/>
        </w:rPr>
        <w:t xml:space="preserve"> the </w:t>
      </w:r>
      <w:r w:rsidR="00470857" w:rsidRPr="00C20926">
        <w:rPr>
          <w:sz w:val="28"/>
          <w:lang w:val="en-GB"/>
        </w:rPr>
        <w:t xml:space="preserve">purpose </w:t>
      </w:r>
      <w:r w:rsidR="0088002B" w:rsidRPr="00C20926">
        <w:rPr>
          <w:sz w:val="28"/>
          <w:lang w:val="en-GB"/>
        </w:rPr>
        <w:t xml:space="preserve">of an inquiry would </w:t>
      </w:r>
      <w:r w:rsidR="00470857" w:rsidRPr="00C20926">
        <w:rPr>
          <w:sz w:val="28"/>
          <w:lang w:val="en-GB"/>
        </w:rPr>
        <w:t>be</w:t>
      </w:r>
      <w:r w:rsidR="00470857" w:rsidRPr="00C20926">
        <w:rPr>
          <w:sz w:val="28"/>
          <w:szCs w:val="28"/>
          <w:lang w:val="en-GB"/>
        </w:rPr>
        <w:t xml:space="preserve"> frustrated.</w:t>
      </w:r>
      <w:r w:rsidR="000B3793" w:rsidRPr="00C20926">
        <w:rPr>
          <w:sz w:val="28"/>
          <w:szCs w:val="28"/>
          <w:lang w:val="en-GB"/>
        </w:rPr>
        <w:t xml:space="preserve"> Such an interpretation would render these sections nugatory.</w:t>
      </w:r>
    </w:p>
    <w:p w14:paraId="59FC8D2D" w14:textId="77777777" w:rsidR="00DC21FE" w:rsidRPr="00C20926" w:rsidRDefault="00DC21FE" w:rsidP="00CF4C5A">
      <w:pPr>
        <w:rPr>
          <w:sz w:val="28"/>
          <w:szCs w:val="28"/>
        </w:rPr>
      </w:pPr>
    </w:p>
    <w:p w14:paraId="2144A999" w14:textId="1978DC25" w:rsidR="002A7398" w:rsidRPr="00C20926" w:rsidRDefault="00EB4752" w:rsidP="00CF4C5A">
      <w:pPr>
        <w:rPr>
          <w:sz w:val="28"/>
          <w:szCs w:val="28"/>
          <w:lang w:val="en-GB"/>
        </w:rPr>
      </w:pPr>
      <w:r w:rsidRPr="00C20926">
        <w:rPr>
          <w:sz w:val="28"/>
          <w:szCs w:val="28"/>
          <w:lang w:val="en-GB"/>
        </w:rPr>
        <w:t>[</w:t>
      </w:r>
      <w:r w:rsidR="005C6C9C" w:rsidRPr="00C20926">
        <w:rPr>
          <w:sz w:val="28"/>
          <w:szCs w:val="28"/>
          <w:lang w:val="en-GB"/>
        </w:rPr>
        <w:t>6</w:t>
      </w:r>
      <w:r w:rsidR="0088002B" w:rsidRPr="00C20926">
        <w:rPr>
          <w:sz w:val="28"/>
          <w:szCs w:val="28"/>
          <w:lang w:val="en-GB"/>
        </w:rPr>
        <w:t>0</w:t>
      </w:r>
      <w:r w:rsidRPr="00C20926">
        <w:rPr>
          <w:sz w:val="28"/>
          <w:szCs w:val="28"/>
          <w:lang w:val="en-GB"/>
        </w:rPr>
        <w:t>]</w:t>
      </w:r>
      <w:r w:rsidR="00C22C0A" w:rsidRPr="00C20926">
        <w:rPr>
          <w:sz w:val="28"/>
          <w:szCs w:val="28"/>
          <w:lang w:val="en-GB"/>
        </w:rPr>
        <w:tab/>
      </w:r>
      <w:r w:rsidR="00BA5172" w:rsidRPr="00C20926">
        <w:rPr>
          <w:sz w:val="28"/>
          <w:szCs w:val="28"/>
          <w:lang w:val="en-GB"/>
        </w:rPr>
        <w:t xml:space="preserve">The appellants </w:t>
      </w:r>
      <w:r w:rsidR="008162F1" w:rsidRPr="00C20926">
        <w:rPr>
          <w:sz w:val="28"/>
          <w:szCs w:val="28"/>
          <w:lang w:val="en-GB"/>
        </w:rPr>
        <w:t>argue</w:t>
      </w:r>
      <w:r w:rsidR="000B3793" w:rsidRPr="00C20926">
        <w:rPr>
          <w:sz w:val="28"/>
          <w:szCs w:val="28"/>
          <w:lang w:val="en-GB"/>
        </w:rPr>
        <w:t>d</w:t>
      </w:r>
      <w:r w:rsidR="008162F1" w:rsidRPr="00C20926">
        <w:rPr>
          <w:sz w:val="28"/>
          <w:szCs w:val="28"/>
          <w:lang w:val="en-GB"/>
        </w:rPr>
        <w:t xml:space="preserve"> that</w:t>
      </w:r>
      <w:r w:rsidR="00E56945" w:rsidRPr="00C20926">
        <w:rPr>
          <w:sz w:val="28"/>
          <w:szCs w:val="28"/>
          <w:lang w:val="en-GB"/>
        </w:rPr>
        <w:t>,</w:t>
      </w:r>
      <w:r w:rsidR="00D31A70" w:rsidRPr="00C20926">
        <w:rPr>
          <w:sz w:val="28"/>
          <w:szCs w:val="28"/>
          <w:lang w:val="en-GB"/>
        </w:rPr>
        <w:t xml:space="preserve"> </w:t>
      </w:r>
      <w:r w:rsidR="0093516A" w:rsidRPr="00C20926">
        <w:rPr>
          <w:sz w:val="28"/>
          <w:szCs w:val="28"/>
          <w:lang w:val="en-GB"/>
        </w:rPr>
        <w:t>i</w:t>
      </w:r>
      <w:r w:rsidR="00D31A70" w:rsidRPr="00C20926">
        <w:rPr>
          <w:sz w:val="28"/>
          <w:szCs w:val="28"/>
          <w:lang w:val="en-GB"/>
        </w:rPr>
        <w:t>f subsequent</w:t>
      </w:r>
      <w:r w:rsidR="00EF3258" w:rsidRPr="00C20926">
        <w:rPr>
          <w:sz w:val="28"/>
          <w:szCs w:val="28"/>
          <w:lang w:val="en-GB"/>
        </w:rPr>
        <w:t xml:space="preserve"> proceedings</w:t>
      </w:r>
      <w:r w:rsidR="00022941" w:rsidRPr="00C20926">
        <w:rPr>
          <w:sz w:val="28"/>
          <w:szCs w:val="28"/>
          <w:lang w:val="en-GB"/>
        </w:rPr>
        <w:t xml:space="preserve"> were to include civil proceedings</w:t>
      </w:r>
      <w:r w:rsidR="00E656DC" w:rsidRPr="00C20926">
        <w:rPr>
          <w:sz w:val="28"/>
          <w:szCs w:val="28"/>
          <w:lang w:val="en-GB"/>
        </w:rPr>
        <w:t>,</w:t>
      </w:r>
      <w:r w:rsidR="006C0EC8" w:rsidRPr="00C20926">
        <w:rPr>
          <w:sz w:val="28"/>
          <w:szCs w:val="28"/>
          <w:lang w:val="en-GB"/>
        </w:rPr>
        <w:t xml:space="preserve"> </w:t>
      </w:r>
      <w:r w:rsidR="00BE4A87" w:rsidRPr="00C20926">
        <w:rPr>
          <w:sz w:val="28"/>
          <w:szCs w:val="28"/>
          <w:lang w:val="en-GB"/>
        </w:rPr>
        <w:t>it</w:t>
      </w:r>
      <w:r w:rsidR="006C0EC8" w:rsidRPr="00C20926">
        <w:rPr>
          <w:sz w:val="28"/>
          <w:szCs w:val="28"/>
          <w:lang w:val="en-GB"/>
        </w:rPr>
        <w:t xml:space="preserve"> would </w:t>
      </w:r>
      <w:r w:rsidR="005A1F35" w:rsidRPr="00C20926">
        <w:rPr>
          <w:sz w:val="28"/>
          <w:szCs w:val="28"/>
          <w:lang w:val="en-GB"/>
        </w:rPr>
        <w:t>imply</w:t>
      </w:r>
      <w:r w:rsidR="00EC77FC" w:rsidRPr="00C20926">
        <w:rPr>
          <w:sz w:val="28"/>
          <w:szCs w:val="28"/>
          <w:lang w:val="en-GB"/>
        </w:rPr>
        <w:t xml:space="preserve"> a contradiction between s</w:t>
      </w:r>
      <w:r w:rsidRPr="00C20926">
        <w:rPr>
          <w:sz w:val="28"/>
          <w:szCs w:val="28"/>
          <w:lang w:val="en-GB"/>
        </w:rPr>
        <w:t xml:space="preserve"> </w:t>
      </w:r>
      <w:r w:rsidR="00EC77FC" w:rsidRPr="00C20926">
        <w:rPr>
          <w:sz w:val="28"/>
          <w:szCs w:val="28"/>
          <w:lang w:val="en-GB"/>
        </w:rPr>
        <w:t>56</w:t>
      </w:r>
      <w:r w:rsidR="004B6341" w:rsidRPr="00C20926">
        <w:rPr>
          <w:sz w:val="28"/>
          <w:szCs w:val="28"/>
          <w:lang w:val="en-GB"/>
        </w:rPr>
        <w:t xml:space="preserve"> </w:t>
      </w:r>
      <w:r w:rsidR="00EC77FC" w:rsidRPr="00C20926">
        <w:rPr>
          <w:sz w:val="28"/>
          <w:szCs w:val="28"/>
          <w:lang w:val="en-GB"/>
        </w:rPr>
        <w:t>(1)</w:t>
      </w:r>
      <w:r w:rsidR="00B80AC4" w:rsidRPr="00C20926">
        <w:rPr>
          <w:sz w:val="28"/>
          <w:szCs w:val="28"/>
          <w:lang w:val="en-GB"/>
        </w:rPr>
        <w:t xml:space="preserve"> and (3) read with s</w:t>
      </w:r>
      <w:r w:rsidRPr="00C20926">
        <w:rPr>
          <w:sz w:val="28"/>
          <w:szCs w:val="28"/>
          <w:lang w:val="en-GB"/>
        </w:rPr>
        <w:t xml:space="preserve"> </w:t>
      </w:r>
      <w:r w:rsidR="00171653" w:rsidRPr="00C20926">
        <w:rPr>
          <w:sz w:val="28"/>
          <w:szCs w:val="28"/>
          <w:lang w:val="en-GB"/>
        </w:rPr>
        <w:t>69</w:t>
      </w:r>
      <w:r w:rsidR="00AD799A" w:rsidRPr="00C20926">
        <w:rPr>
          <w:sz w:val="28"/>
          <w:szCs w:val="28"/>
          <w:lang w:val="en-GB"/>
        </w:rPr>
        <w:t xml:space="preserve"> </w:t>
      </w:r>
      <w:r w:rsidR="00171653" w:rsidRPr="00C20926">
        <w:rPr>
          <w:sz w:val="28"/>
          <w:szCs w:val="28"/>
          <w:lang w:val="en-GB"/>
        </w:rPr>
        <w:t>and s</w:t>
      </w:r>
      <w:r w:rsidRPr="00C20926">
        <w:rPr>
          <w:sz w:val="28"/>
          <w:szCs w:val="28"/>
          <w:lang w:val="en-GB"/>
        </w:rPr>
        <w:t xml:space="preserve"> </w:t>
      </w:r>
      <w:r w:rsidR="00171653" w:rsidRPr="00C20926">
        <w:rPr>
          <w:sz w:val="28"/>
          <w:szCs w:val="28"/>
          <w:lang w:val="en-GB"/>
        </w:rPr>
        <w:t>56</w:t>
      </w:r>
      <w:r w:rsidR="004B6341" w:rsidRPr="00C20926">
        <w:rPr>
          <w:sz w:val="28"/>
          <w:szCs w:val="28"/>
          <w:lang w:val="en-GB"/>
        </w:rPr>
        <w:t xml:space="preserve"> </w:t>
      </w:r>
      <w:r w:rsidR="00171653" w:rsidRPr="00C20926">
        <w:rPr>
          <w:sz w:val="28"/>
          <w:szCs w:val="28"/>
          <w:lang w:val="en-GB"/>
        </w:rPr>
        <w:t>(</w:t>
      </w:r>
      <w:r w:rsidR="00E14819" w:rsidRPr="00C20926">
        <w:rPr>
          <w:sz w:val="28"/>
          <w:szCs w:val="28"/>
          <w:lang w:val="en-GB"/>
        </w:rPr>
        <w:t>4</w:t>
      </w:r>
      <w:r w:rsidR="00C67258" w:rsidRPr="00C20926">
        <w:rPr>
          <w:sz w:val="28"/>
          <w:szCs w:val="28"/>
          <w:lang w:val="en-GB"/>
        </w:rPr>
        <w:t xml:space="preserve">). </w:t>
      </w:r>
      <w:r w:rsidR="00D722CE" w:rsidRPr="00C20926">
        <w:rPr>
          <w:sz w:val="28"/>
          <w:szCs w:val="28"/>
          <w:lang w:val="en-GB"/>
        </w:rPr>
        <w:t xml:space="preserve">The argument was that it </w:t>
      </w:r>
      <w:r w:rsidR="0093516A" w:rsidRPr="00C20926">
        <w:rPr>
          <w:sz w:val="28"/>
          <w:szCs w:val="28"/>
          <w:lang w:val="en-GB"/>
        </w:rPr>
        <w:t>is</w:t>
      </w:r>
      <w:r w:rsidR="00CA5EC7" w:rsidRPr="00C20926">
        <w:rPr>
          <w:sz w:val="28"/>
          <w:szCs w:val="28"/>
          <w:lang w:val="en-GB"/>
        </w:rPr>
        <w:t xml:space="preserve"> not possible for a</w:t>
      </w:r>
      <w:r w:rsidR="00127281" w:rsidRPr="00C20926">
        <w:rPr>
          <w:sz w:val="28"/>
          <w:szCs w:val="28"/>
          <w:lang w:val="en-GB"/>
        </w:rPr>
        <w:t>n inq</w:t>
      </w:r>
      <w:r w:rsidR="006661A2" w:rsidRPr="00C20926">
        <w:rPr>
          <w:sz w:val="28"/>
          <w:szCs w:val="28"/>
          <w:lang w:val="en-GB"/>
        </w:rPr>
        <w:t>uiry to be both private and confidential</w:t>
      </w:r>
      <w:r w:rsidR="00F244DA" w:rsidRPr="00C20926">
        <w:rPr>
          <w:sz w:val="28"/>
          <w:szCs w:val="28"/>
          <w:lang w:val="en-GB"/>
        </w:rPr>
        <w:t xml:space="preserve"> on the one hand</w:t>
      </w:r>
      <w:r w:rsidR="00F564C4" w:rsidRPr="00C20926">
        <w:rPr>
          <w:sz w:val="28"/>
          <w:szCs w:val="28"/>
          <w:lang w:val="en-GB"/>
        </w:rPr>
        <w:t>,</w:t>
      </w:r>
      <w:r w:rsidR="0053011C" w:rsidRPr="00C20926">
        <w:rPr>
          <w:sz w:val="28"/>
          <w:szCs w:val="28"/>
          <w:lang w:val="en-GB"/>
        </w:rPr>
        <w:t xml:space="preserve"> and for the evidence</w:t>
      </w:r>
      <w:r w:rsidR="00BF5910" w:rsidRPr="00C20926">
        <w:rPr>
          <w:sz w:val="28"/>
          <w:szCs w:val="28"/>
          <w:lang w:val="en-GB"/>
        </w:rPr>
        <w:t xml:space="preserve"> obtained during the </w:t>
      </w:r>
      <w:r w:rsidR="00FC7878" w:rsidRPr="00C20926">
        <w:rPr>
          <w:sz w:val="28"/>
          <w:szCs w:val="28"/>
          <w:lang w:val="en-GB"/>
        </w:rPr>
        <w:t xml:space="preserve">inquiry to be used in a </w:t>
      </w:r>
      <w:r w:rsidR="00EB58C8" w:rsidRPr="00C20926">
        <w:rPr>
          <w:sz w:val="28"/>
          <w:szCs w:val="28"/>
          <w:lang w:val="en-GB"/>
        </w:rPr>
        <w:t>subsequent court</w:t>
      </w:r>
      <w:r w:rsidR="0094493F" w:rsidRPr="00C20926">
        <w:rPr>
          <w:sz w:val="28"/>
          <w:szCs w:val="28"/>
          <w:lang w:val="en-GB"/>
        </w:rPr>
        <w:t xml:space="preserve"> </w:t>
      </w:r>
      <w:r w:rsidR="002B0E0F" w:rsidRPr="00C20926">
        <w:rPr>
          <w:sz w:val="28"/>
          <w:szCs w:val="28"/>
          <w:lang w:val="en-GB"/>
        </w:rPr>
        <w:t xml:space="preserve">action. </w:t>
      </w:r>
      <w:r w:rsidR="005212E3" w:rsidRPr="00C20926">
        <w:rPr>
          <w:sz w:val="28"/>
          <w:szCs w:val="28"/>
          <w:lang w:val="en-GB"/>
        </w:rPr>
        <w:t>The argument</w:t>
      </w:r>
      <w:r w:rsidR="00D3490F" w:rsidRPr="00C20926">
        <w:rPr>
          <w:sz w:val="28"/>
          <w:szCs w:val="28"/>
          <w:lang w:val="en-GB"/>
        </w:rPr>
        <w:t xml:space="preserve"> went</w:t>
      </w:r>
      <w:r w:rsidR="005212E3" w:rsidRPr="00C20926">
        <w:rPr>
          <w:sz w:val="28"/>
          <w:szCs w:val="28"/>
          <w:lang w:val="en-GB"/>
        </w:rPr>
        <w:t xml:space="preserve"> further to say</w:t>
      </w:r>
      <w:r w:rsidR="000E4F72" w:rsidRPr="00C20926">
        <w:rPr>
          <w:sz w:val="28"/>
          <w:szCs w:val="28"/>
          <w:lang w:val="en-GB"/>
        </w:rPr>
        <w:t xml:space="preserve"> </w:t>
      </w:r>
      <w:r w:rsidR="009F0E66" w:rsidRPr="00C20926">
        <w:rPr>
          <w:sz w:val="28"/>
          <w:szCs w:val="28"/>
          <w:lang w:val="en-GB"/>
        </w:rPr>
        <w:t xml:space="preserve">that </w:t>
      </w:r>
      <w:r w:rsidR="000E4F72" w:rsidRPr="00C20926">
        <w:rPr>
          <w:sz w:val="28"/>
          <w:szCs w:val="28"/>
          <w:lang w:val="en-GB"/>
        </w:rPr>
        <w:t>it</w:t>
      </w:r>
      <w:r w:rsidR="009F0E66" w:rsidRPr="00C20926">
        <w:rPr>
          <w:sz w:val="28"/>
          <w:szCs w:val="28"/>
          <w:lang w:val="en-GB"/>
        </w:rPr>
        <w:t xml:space="preserve"> is not</w:t>
      </w:r>
      <w:r w:rsidR="000E4F72" w:rsidRPr="00C20926">
        <w:rPr>
          <w:sz w:val="28"/>
          <w:szCs w:val="28"/>
          <w:lang w:val="en-GB"/>
        </w:rPr>
        <w:t xml:space="preserve"> possible</w:t>
      </w:r>
      <w:r w:rsidR="000641B0" w:rsidRPr="00C20926">
        <w:rPr>
          <w:sz w:val="28"/>
          <w:szCs w:val="28"/>
          <w:lang w:val="en-GB"/>
        </w:rPr>
        <w:t xml:space="preserve"> to ensure the secrecy of a taxpayer’s information and</w:t>
      </w:r>
      <w:r w:rsidR="003677A3" w:rsidRPr="00C20926">
        <w:rPr>
          <w:sz w:val="28"/>
          <w:szCs w:val="28"/>
          <w:lang w:val="en-GB"/>
        </w:rPr>
        <w:t xml:space="preserve"> not to disclose such information to a person</w:t>
      </w:r>
      <w:r w:rsidR="008B169E" w:rsidRPr="00C20926">
        <w:rPr>
          <w:sz w:val="28"/>
          <w:szCs w:val="28"/>
          <w:lang w:val="en-GB"/>
        </w:rPr>
        <w:t xml:space="preserve"> who is not a SARS o</w:t>
      </w:r>
      <w:r w:rsidR="00F564C4" w:rsidRPr="00C20926">
        <w:rPr>
          <w:sz w:val="28"/>
          <w:szCs w:val="28"/>
          <w:lang w:val="en-GB"/>
        </w:rPr>
        <w:t>fficial</w:t>
      </w:r>
      <w:r w:rsidR="00B20AFC" w:rsidRPr="00C20926">
        <w:rPr>
          <w:sz w:val="28"/>
          <w:szCs w:val="28"/>
          <w:lang w:val="en-GB"/>
        </w:rPr>
        <w:t>.</w:t>
      </w:r>
    </w:p>
    <w:p w14:paraId="0A82E7CB" w14:textId="77777777" w:rsidR="00AB61C8" w:rsidRPr="00C20926" w:rsidRDefault="00AB61C8" w:rsidP="00162947">
      <w:pPr>
        <w:rPr>
          <w:sz w:val="28"/>
          <w:szCs w:val="28"/>
          <w:lang w:val="en-GB"/>
        </w:rPr>
      </w:pPr>
    </w:p>
    <w:p w14:paraId="4240B760" w14:textId="1276C437" w:rsidR="00DC21FE" w:rsidRPr="00C20926" w:rsidRDefault="00AB61C8" w:rsidP="00DC21FE">
      <w:pPr>
        <w:pStyle w:val="FootnoteText"/>
        <w:spacing w:line="360" w:lineRule="auto"/>
        <w:jc w:val="both"/>
        <w:rPr>
          <w:rFonts w:ascii="Times New Roman" w:hAnsi="Times New Roman" w:cs="Times New Roman"/>
          <w:sz w:val="28"/>
          <w:szCs w:val="28"/>
          <w:lang w:val="en-GB"/>
        </w:rPr>
      </w:pPr>
      <w:r w:rsidRPr="00C20926">
        <w:rPr>
          <w:rFonts w:ascii="Times New Roman" w:hAnsi="Times New Roman" w:cs="Times New Roman"/>
          <w:sz w:val="28"/>
          <w:szCs w:val="28"/>
          <w:lang w:val="en-GB"/>
        </w:rPr>
        <w:t>[</w:t>
      </w:r>
      <w:r w:rsidR="005C6C9C" w:rsidRPr="00C20926">
        <w:rPr>
          <w:rFonts w:ascii="Times New Roman" w:hAnsi="Times New Roman" w:cs="Times New Roman"/>
          <w:sz w:val="28"/>
          <w:szCs w:val="28"/>
          <w:lang w:val="en-GB"/>
        </w:rPr>
        <w:t>6</w:t>
      </w:r>
      <w:r w:rsidR="0088002B" w:rsidRPr="00C20926">
        <w:rPr>
          <w:rFonts w:ascii="Times New Roman" w:hAnsi="Times New Roman" w:cs="Times New Roman"/>
          <w:sz w:val="28"/>
          <w:szCs w:val="28"/>
          <w:lang w:val="en-GB"/>
        </w:rPr>
        <w:t>1</w:t>
      </w:r>
      <w:r w:rsidRPr="00C20926">
        <w:rPr>
          <w:rFonts w:ascii="Times New Roman" w:hAnsi="Times New Roman" w:cs="Times New Roman"/>
          <w:sz w:val="28"/>
          <w:szCs w:val="28"/>
          <w:lang w:val="en-GB"/>
        </w:rPr>
        <w:t>]</w:t>
      </w:r>
      <w:r w:rsidRPr="00C20926">
        <w:rPr>
          <w:rFonts w:ascii="Times New Roman" w:hAnsi="Times New Roman" w:cs="Times New Roman"/>
          <w:sz w:val="28"/>
          <w:szCs w:val="28"/>
          <w:lang w:val="en-GB"/>
        </w:rPr>
        <w:tab/>
      </w:r>
      <w:r w:rsidR="00D722CE" w:rsidRPr="00C20926">
        <w:rPr>
          <w:rFonts w:ascii="Times New Roman" w:hAnsi="Times New Roman" w:cs="Times New Roman"/>
          <w:sz w:val="28"/>
          <w:szCs w:val="28"/>
          <w:lang w:val="en-GB"/>
        </w:rPr>
        <w:t>The wording of s 56</w:t>
      </w:r>
      <w:r w:rsidR="004B6341" w:rsidRPr="00C20926">
        <w:rPr>
          <w:rFonts w:ascii="Times New Roman" w:hAnsi="Times New Roman" w:cs="Times New Roman"/>
          <w:sz w:val="28"/>
          <w:szCs w:val="28"/>
          <w:lang w:val="en-GB"/>
        </w:rPr>
        <w:t xml:space="preserve"> </w:t>
      </w:r>
      <w:r w:rsidR="00D722CE" w:rsidRPr="00C20926">
        <w:rPr>
          <w:rFonts w:ascii="Times New Roman" w:hAnsi="Times New Roman" w:cs="Times New Roman"/>
          <w:sz w:val="28"/>
          <w:szCs w:val="28"/>
          <w:lang w:val="en-GB"/>
        </w:rPr>
        <w:t xml:space="preserve">(4) </w:t>
      </w:r>
      <w:r w:rsidR="00506E01" w:rsidRPr="00C20926">
        <w:rPr>
          <w:rFonts w:ascii="Times New Roman" w:hAnsi="Times New Roman" w:cs="Times New Roman"/>
          <w:sz w:val="28"/>
          <w:szCs w:val="28"/>
          <w:lang w:val="en-GB"/>
        </w:rPr>
        <w:t>points to the fallacy of the argument</w:t>
      </w:r>
      <w:r w:rsidR="00A22446" w:rsidRPr="00C20926">
        <w:rPr>
          <w:rFonts w:ascii="Times New Roman" w:hAnsi="Times New Roman" w:cs="Times New Roman"/>
          <w:sz w:val="28"/>
          <w:szCs w:val="28"/>
          <w:lang w:val="en-GB"/>
        </w:rPr>
        <w:t>. T</w:t>
      </w:r>
      <w:r w:rsidR="00506E01" w:rsidRPr="00C20926">
        <w:rPr>
          <w:rFonts w:ascii="Times New Roman" w:hAnsi="Times New Roman" w:cs="Times New Roman"/>
          <w:sz w:val="28"/>
          <w:szCs w:val="28"/>
          <w:lang w:val="en-GB"/>
        </w:rPr>
        <w:t xml:space="preserve">he </w:t>
      </w:r>
      <w:r w:rsidR="00D3490F" w:rsidRPr="00C20926">
        <w:rPr>
          <w:rFonts w:ascii="Times New Roman" w:hAnsi="Times New Roman" w:cs="Times New Roman"/>
          <w:sz w:val="28"/>
          <w:szCs w:val="28"/>
          <w:lang w:val="en-GB"/>
        </w:rPr>
        <w:t xml:space="preserve">section </w:t>
      </w:r>
      <w:r w:rsidR="00D722CE" w:rsidRPr="00C20926">
        <w:rPr>
          <w:rFonts w:ascii="Times New Roman" w:hAnsi="Times New Roman" w:cs="Times New Roman"/>
          <w:sz w:val="28"/>
          <w:szCs w:val="28"/>
          <w:lang w:val="en-GB"/>
        </w:rPr>
        <w:t xml:space="preserve">provides </w:t>
      </w:r>
      <w:r w:rsidR="00BE4A87" w:rsidRPr="00C20926">
        <w:rPr>
          <w:rFonts w:ascii="Times New Roman" w:hAnsi="Times New Roman" w:cs="Times New Roman"/>
          <w:sz w:val="28"/>
          <w:szCs w:val="28"/>
          <w:lang w:val="en-GB"/>
        </w:rPr>
        <w:t xml:space="preserve">specifically </w:t>
      </w:r>
      <w:r w:rsidR="00D722CE" w:rsidRPr="00C20926">
        <w:rPr>
          <w:rFonts w:ascii="Times New Roman" w:hAnsi="Times New Roman" w:cs="Times New Roman"/>
          <w:sz w:val="28"/>
          <w:szCs w:val="28"/>
          <w:lang w:val="en-GB"/>
        </w:rPr>
        <w:t xml:space="preserve">that the evidence may be used </w:t>
      </w:r>
      <w:r w:rsidRPr="00C20926">
        <w:rPr>
          <w:rFonts w:ascii="Times New Roman" w:hAnsi="Times New Roman" w:cs="Times New Roman"/>
          <w:sz w:val="28"/>
          <w:szCs w:val="28"/>
          <w:lang w:val="en-GB"/>
        </w:rPr>
        <w:t>against another person</w:t>
      </w:r>
      <w:r w:rsidR="00B12612" w:rsidRPr="00C20926">
        <w:rPr>
          <w:rFonts w:ascii="Times New Roman" w:hAnsi="Times New Roman" w:cs="Times New Roman"/>
          <w:sz w:val="28"/>
          <w:szCs w:val="28"/>
          <w:lang w:val="en-GB"/>
        </w:rPr>
        <w:t xml:space="preserve">. </w:t>
      </w:r>
      <w:r w:rsidR="00A755E0" w:rsidRPr="00C20926">
        <w:rPr>
          <w:rFonts w:ascii="Times New Roman" w:hAnsi="Times New Roman" w:cs="Times New Roman"/>
          <w:sz w:val="28"/>
          <w:szCs w:val="28"/>
        </w:rPr>
        <w:t>In any event</w:t>
      </w:r>
      <w:r w:rsidR="000E571E" w:rsidRPr="00C20926">
        <w:rPr>
          <w:rFonts w:ascii="Times New Roman" w:hAnsi="Times New Roman" w:cs="Times New Roman"/>
          <w:sz w:val="28"/>
          <w:szCs w:val="28"/>
        </w:rPr>
        <w:t>,</w:t>
      </w:r>
      <w:r w:rsidR="00162947" w:rsidRPr="00C20926">
        <w:rPr>
          <w:rFonts w:ascii="Times New Roman" w:hAnsi="Times New Roman" w:cs="Times New Roman"/>
          <w:sz w:val="28"/>
          <w:szCs w:val="28"/>
        </w:rPr>
        <w:t xml:space="preserve"> </w:t>
      </w:r>
      <w:r w:rsidR="000E571E" w:rsidRPr="00C20926">
        <w:rPr>
          <w:rFonts w:ascii="Times New Roman" w:hAnsi="Times New Roman" w:cs="Times New Roman"/>
          <w:sz w:val="28"/>
          <w:szCs w:val="28"/>
          <w:lang w:val="en-GB"/>
        </w:rPr>
        <w:t>s</w:t>
      </w:r>
      <w:r w:rsidR="00DC21FE" w:rsidRPr="00C20926">
        <w:rPr>
          <w:rFonts w:ascii="Times New Roman" w:hAnsi="Times New Roman" w:cs="Times New Roman"/>
          <w:sz w:val="28"/>
          <w:szCs w:val="28"/>
          <w:lang w:val="en-GB"/>
        </w:rPr>
        <w:t xml:space="preserve"> 69</w:t>
      </w:r>
      <w:r w:rsidR="004B6341" w:rsidRPr="00C20926">
        <w:rPr>
          <w:rFonts w:ascii="Times New Roman" w:hAnsi="Times New Roman" w:cs="Times New Roman"/>
          <w:sz w:val="28"/>
          <w:szCs w:val="28"/>
          <w:lang w:val="en-GB"/>
        </w:rPr>
        <w:t xml:space="preserve"> </w:t>
      </w:r>
      <w:r w:rsidR="00DC21FE" w:rsidRPr="00C20926">
        <w:rPr>
          <w:rFonts w:ascii="Times New Roman" w:hAnsi="Times New Roman" w:cs="Times New Roman"/>
          <w:sz w:val="28"/>
          <w:szCs w:val="28"/>
          <w:lang w:val="en-GB"/>
        </w:rPr>
        <w:t>(1) is qualified by s 69</w:t>
      </w:r>
      <w:r w:rsidR="004B6341" w:rsidRPr="00C20926">
        <w:rPr>
          <w:rFonts w:ascii="Times New Roman" w:hAnsi="Times New Roman" w:cs="Times New Roman"/>
          <w:sz w:val="28"/>
          <w:szCs w:val="28"/>
          <w:lang w:val="en-GB"/>
        </w:rPr>
        <w:t xml:space="preserve"> </w:t>
      </w:r>
      <w:r w:rsidR="00DC21FE" w:rsidRPr="00C20926">
        <w:rPr>
          <w:rFonts w:ascii="Times New Roman" w:hAnsi="Times New Roman" w:cs="Times New Roman"/>
          <w:sz w:val="28"/>
          <w:szCs w:val="28"/>
          <w:lang w:val="en-GB"/>
        </w:rPr>
        <w:t>(2) which makes provision for the disclosure of a taxpayer’s information under specified circumstances.</w:t>
      </w:r>
      <w:r w:rsidR="00DC21FE" w:rsidRPr="00C20926">
        <w:rPr>
          <w:rStyle w:val="FootnoteReference"/>
          <w:rFonts w:ascii="Times New Roman" w:hAnsi="Times New Roman" w:cs="Times New Roman"/>
          <w:sz w:val="28"/>
          <w:szCs w:val="28"/>
          <w:lang w:val="en-GB"/>
        </w:rPr>
        <w:footnoteReference w:id="26"/>
      </w:r>
      <w:r w:rsidR="00DC21FE" w:rsidRPr="00C20926">
        <w:rPr>
          <w:rFonts w:ascii="Times New Roman" w:hAnsi="Times New Roman" w:cs="Times New Roman"/>
          <w:sz w:val="28"/>
          <w:szCs w:val="28"/>
          <w:lang w:val="en-GB"/>
        </w:rPr>
        <w:t xml:space="preserve"> The confidentiality of such information is therefore not without </w:t>
      </w:r>
      <w:r w:rsidR="00EA7291" w:rsidRPr="00C20926">
        <w:rPr>
          <w:rFonts w:ascii="Times New Roman" w:hAnsi="Times New Roman" w:cs="Times New Roman"/>
          <w:sz w:val="28"/>
          <w:szCs w:val="28"/>
          <w:lang w:val="en-GB"/>
        </w:rPr>
        <w:t>restriction</w:t>
      </w:r>
      <w:r w:rsidR="000E571E" w:rsidRPr="00C20926">
        <w:rPr>
          <w:rFonts w:ascii="Times New Roman" w:hAnsi="Times New Roman" w:cs="Times New Roman"/>
          <w:sz w:val="28"/>
          <w:szCs w:val="28"/>
          <w:lang w:val="en-GB"/>
        </w:rPr>
        <w:t>.</w:t>
      </w:r>
      <w:r w:rsidR="00A573EC" w:rsidRPr="00C20926">
        <w:rPr>
          <w:rFonts w:ascii="Times New Roman" w:hAnsi="Times New Roman" w:cs="Times New Roman"/>
          <w:sz w:val="28"/>
          <w:szCs w:val="28"/>
          <w:lang w:val="en-GB"/>
        </w:rPr>
        <w:t xml:space="preserve"> Section </w:t>
      </w:r>
      <w:r w:rsidR="00DC21FE" w:rsidRPr="00C20926">
        <w:rPr>
          <w:rFonts w:ascii="Times New Roman" w:hAnsi="Times New Roman" w:cs="Times New Roman"/>
          <w:sz w:val="28"/>
          <w:szCs w:val="28"/>
          <w:lang w:val="en-GB"/>
        </w:rPr>
        <w:t>69</w:t>
      </w:r>
      <w:r w:rsidR="004B6341" w:rsidRPr="00C20926">
        <w:rPr>
          <w:rFonts w:ascii="Times New Roman" w:hAnsi="Times New Roman" w:cs="Times New Roman"/>
          <w:sz w:val="28"/>
          <w:szCs w:val="28"/>
          <w:lang w:val="en-GB"/>
        </w:rPr>
        <w:t xml:space="preserve"> </w:t>
      </w:r>
      <w:r w:rsidR="00DC21FE" w:rsidRPr="00C20926">
        <w:rPr>
          <w:rFonts w:ascii="Times New Roman" w:hAnsi="Times New Roman" w:cs="Times New Roman"/>
          <w:sz w:val="28"/>
          <w:szCs w:val="28"/>
          <w:lang w:val="en-GB"/>
        </w:rPr>
        <w:t>(2)</w:t>
      </w:r>
      <w:r w:rsidR="004B6341" w:rsidRPr="00C20926">
        <w:rPr>
          <w:rFonts w:ascii="Times New Roman" w:hAnsi="Times New Roman" w:cs="Times New Roman"/>
          <w:sz w:val="28"/>
          <w:szCs w:val="28"/>
          <w:lang w:val="en-GB"/>
        </w:rPr>
        <w:t xml:space="preserve"> </w:t>
      </w:r>
      <w:r w:rsidR="00DC21FE" w:rsidRPr="00C20926">
        <w:rPr>
          <w:rFonts w:ascii="Times New Roman" w:hAnsi="Times New Roman" w:cs="Times New Roman"/>
          <w:i/>
          <w:sz w:val="28"/>
          <w:szCs w:val="28"/>
          <w:lang w:val="en-GB"/>
        </w:rPr>
        <w:t>(a)</w:t>
      </w:r>
      <w:r w:rsidR="00DC21FE" w:rsidRPr="00C20926">
        <w:rPr>
          <w:rFonts w:ascii="Times New Roman" w:hAnsi="Times New Roman" w:cs="Times New Roman"/>
          <w:sz w:val="28"/>
          <w:szCs w:val="28"/>
          <w:lang w:val="en-GB"/>
        </w:rPr>
        <w:t xml:space="preserve"> specifically authorises the disclosure of a taxpayer’s information in a variety of circumstances, including by a SARS official as a witness in civil </w:t>
      </w:r>
      <w:r w:rsidR="00AF36A9" w:rsidRPr="00C20926">
        <w:rPr>
          <w:rFonts w:ascii="Times New Roman" w:hAnsi="Times New Roman" w:cs="Times New Roman"/>
          <w:sz w:val="28"/>
          <w:szCs w:val="28"/>
          <w:lang w:val="en-GB"/>
        </w:rPr>
        <w:t>proceedings. Additionally,</w:t>
      </w:r>
      <w:r w:rsidR="00DC21FE" w:rsidRPr="00C20926">
        <w:rPr>
          <w:rFonts w:ascii="Times New Roman" w:hAnsi="Times New Roman" w:cs="Times New Roman"/>
          <w:sz w:val="28"/>
          <w:szCs w:val="28"/>
          <w:lang w:val="en-GB"/>
        </w:rPr>
        <w:t xml:space="preserve"> </w:t>
      </w:r>
      <w:r w:rsidR="00AF36A9" w:rsidRPr="00C20926">
        <w:rPr>
          <w:rFonts w:ascii="Times New Roman" w:hAnsi="Times New Roman" w:cs="Times New Roman"/>
          <w:sz w:val="28"/>
          <w:szCs w:val="28"/>
          <w:lang w:val="en-GB"/>
        </w:rPr>
        <w:t>s</w:t>
      </w:r>
      <w:r w:rsidR="00DC21FE" w:rsidRPr="00C20926">
        <w:rPr>
          <w:rFonts w:ascii="Times New Roman" w:hAnsi="Times New Roman" w:cs="Times New Roman"/>
          <w:sz w:val="28"/>
          <w:szCs w:val="28"/>
          <w:lang w:val="en-GB"/>
        </w:rPr>
        <w:t xml:space="preserve"> 56</w:t>
      </w:r>
      <w:r w:rsidR="004B6341" w:rsidRPr="00C20926">
        <w:rPr>
          <w:rFonts w:ascii="Times New Roman" w:hAnsi="Times New Roman" w:cs="Times New Roman"/>
          <w:sz w:val="28"/>
          <w:szCs w:val="28"/>
          <w:lang w:val="en-GB"/>
        </w:rPr>
        <w:t xml:space="preserve"> </w:t>
      </w:r>
      <w:r w:rsidR="00DC21FE" w:rsidRPr="00C20926">
        <w:rPr>
          <w:rFonts w:ascii="Times New Roman" w:hAnsi="Times New Roman" w:cs="Times New Roman"/>
          <w:sz w:val="28"/>
          <w:szCs w:val="28"/>
          <w:lang w:val="en-GB"/>
        </w:rPr>
        <w:t>(3) provides for restrictions on the application of s 69 to the extent necessary</w:t>
      </w:r>
      <w:r w:rsidR="00281D2D" w:rsidRPr="00C20926">
        <w:rPr>
          <w:rFonts w:ascii="Times New Roman" w:hAnsi="Times New Roman" w:cs="Times New Roman"/>
          <w:sz w:val="28"/>
          <w:szCs w:val="28"/>
          <w:lang w:val="en-GB"/>
        </w:rPr>
        <w:t>,</w:t>
      </w:r>
      <w:r w:rsidR="00DC21FE" w:rsidRPr="00C20926">
        <w:rPr>
          <w:rFonts w:ascii="Times New Roman" w:hAnsi="Times New Roman" w:cs="Times New Roman"/>
          <w:sz w:val="28"/>
          <w:szCs w:val="28"/>
          <w:lang w:val="en-GB"/>
        </w:rPr>
        <w:t xml:space="preserve"> depend</w:t>
      </w:r>
      <w:r w:rsidR="000B3793" w:rsidRPr="00C20926">
        <w:rPr>
          <w:rFonts w:ascii="Times New Roman" w:hAnsi="Times New Roman" w:cs="Times New Roman"/>
          <w:sz w:val="28"/>
          <w:szCs w:val="28"/>
          <w:lang w:val="en-GB"/>
        </w:rPr>
        <w:t xml:space="preserve">ing </w:t>
      </w:r>
      <w:r w:rsidR="000B3793" w:rsidRPr="00C20926">
        <w:rPr>
          <w:rFonts w:ascii="Times New Roman" w:hAnsi="Times New Roman" w:cs="Times New Roman"/>
          <w:sz w:val="28"/>
          <w:szCs w:val="28"/>
          <w:lang w:val="en-GB"/>
        </w:rPr>
        <w:lastRenderedPageBreak/>
        <w:t>upon</w:t>
      </w:r>
      <w:r w:rsidR="00DC21FE" w:rsidRPr="00C20926">
        <w:rPr>
          <w:rFonts w:ascii="Times New Roman" w:hAnsi="Times New Roman" w:cs="Times New Roman"/>
          <w:sz w:val="28"/>
          <w:szCs w:val="28"/>
          <w:lang w:val="en-GB"/>
        </w:rPr>
        <w:t xml:space="preserve"> the circumstances of the case. There is </w:t>
      </w:r>
      <w:r w:rsidR="000B3793" w:rsidRPr="00C20926">
        <w:rPr>
          <w:rFonts w:ascii="Times New Roman" w:hAnsi="Times New Roman" w:cs="Times New Roman"/>
          <w:sz w:val="28"/>
          <w:szCs w:val="28"/>
          <w:lang w:val="en-GB"/>
        </w:rPr>
        <w:t xml:space="preserve">accordingly </w:t>
      </w:r>
      <w:r w:rsidR="00DC21FE" w:rsidRPr="00C20926">
        <w:rPr>
          <w:rFonts w:ascii="Times New Roman" w:hAnsi="Times New Roman" w:cs="Times New Roman"/>
          <w:sz w:val="28"/>
          <w:szCs w:val="28"/>
          <w:lang w:val="en-GB"/>
        </w:rPr>
        <w:t xml:space="preserve">no contradiction between </w:t>
      </w:r>
      <w:r w:rsidR="000B3793" w:rsidRPr="00C20926">
        <w:rPr>
          <w:rFonts w:ascii="Times New Roman" w:hAnsi="Times New Roman" w:cs="Times New Roman"/>
          <w:sz w:val="28"/>
          <w:szCs w:val="28"/>
          <w:lang w:val="en-GB"/>
        </w:rPr>
        <w:t xml:space="preserve">these sections. </w:t>
      </w:r>
    </w:p>
    <w:p w14:paraId="4D3F9B38" w14:textId="77777777" w:rsidR="001D5991" w:rsidRPr="00C20926" w:rsidRDefault="001D5991" w:rsidP="00DC21FE">
      <w:pPr>
        <w:pStyle w:val="FootnoteText"/>
        <w:spacing w:line="360" w:lineRule="auto"/>
        <w:jc w:val="both"/>
        <w:rPr>
          <w:rFonts w:ascii="Times New Roman" w:hAnsi="Times New Roman" w:cs="Times New Roman"/>
          <w:sz w:val="28"/>
          <w:szCs w:val="28"/>
          <w:lang w:val="en-GB"/>
        </w:rPr>
      </w:pPr>
    </w:p>
    <w:p w14:paraId="6397F17A" w14:textId="7B116188" w:rsidR="00157F7F" w:rsidRPr="00C20926" w:rsidRDefault="001D5991" w:rsidP="00AA735C">
      <w:pPr>
        <w:pStyle w:val="FootnoteText"/>
        <w:spacing w:line="360" w:lineRule="auto"/>
        <w:jc w:val="both"/>
        <w:rPr>
          <w:rFonts w:ascii="Times New Roman" w:hAnsi="Times New Roman" w:cs="Times New Roman"/>
          <w:sz w:val="28"/>
          <w:szCs w:val="28"/>
          <w:lang w:val="en-GB"/>
        </w:rPr>
      </w:pPr>
      <w:r w:rsidRPr="00C20926">
        <w:rPr>
          <w:rFonts w:ascii="Times New Roman" w:hAnsi="Times New Roman" w:cs="Times New Roman"/>
          <w:sz w:val="28"/>
          <w:szCs w:val="28"/>
          <w:lang w:val="en-GB"/>
        </w:rPr>
        <w:t>[</w:t>
      </w:r>
      <w:r w:rsidR="005C6C9C" w:rsidRPr="00C20926">
        <w:rPr>
          <w:rFonts w:ascii="Times New Roman" w:hAnsi="Times New Roman" w:cs="Times New Roman"/>
          <w:sz w:val="28"/>
          <w:szCs w:val="28"/>
          <w:lang w:val="en-GB"/>
        </w:rPr>
        <w:t>6</w:t>
      </w:r>
      <w:r w:rsidR="0088002B" w:rsidRPr="00C20926">
        <w:rPr>
          <w:rFonts w:ascii="Times New Roman" w:hAnsi="Times New Roman" w:cs="Times New Roman"/>
          <w:sz w:val="28"/>
          <w:szCs w:val="28"/>
          <w:lang w:val="en-GB"/>
        </w:rPr>
        <w:t>2</w:t>
      </w:r>
      <w:r w:rsidRPr="00C20926">
        <w:rPr>
          <w:rFonts w:ascii="Times New Roman" w:hAnsi="Times New Roman" w:cs="Times New Roman"/>
          <w:sz w:val="28"/>
          <w:szCs w:val="28"/>
          <w:lang w:val="en-GB"/>
        </w:rPr>
        <w:t>]</w:t>
      </w:r>
      <w:r w:rsidR="006456DD" w:rsidRPr="00C20926">
        <w:rPr>
          <w:rFonts w:ascii="Times New Roman" w:hAnsi="Times New Roman" w:cs="Times New Roman"/>
          <w:sz w:val="28"/>
          <w:szCs w:val="28"/>
          <w:lang w:val="en-GB"/>
        </w:rPr>
        <w:tab/>
      </w:r>
      <w:r w:rsidR="00717144" w:rsidRPr="00C20926">
        <w:rPr>
          <w:rFonts w:ascii="Times New Roman" w:hAnsi="Times New Roman"/>
          <w:sz w:val="28"/>
          <w:lang w:val="en-GB"/>
        </w:rPr>
        <w:t xml:space="preserve">Counsel for the appellants relied, in argument, on what was said to be analogous provisions in s </w:t>
      </w:r>
      <w:r w:rsidR="00B235CC" w:rsidRPr="00C20926">
        <w:rPr>
          <w:rFonts w:ascii="Times New Roman" w:hAnsi="Times New Roman"/>
          <w:sz w:val="28"/>
          <w:lang w:val="en-GB"/>
        </w:rPr>
        <w:t xml:space="preserve">417 and </w:t>
      </w:r>
      <w:r w:rsidR="00A22446" w:rsidRPr="00C20926">
        <w:rPr>
          <w:rFonts w:ascii="Times New Roman" w:hAnsi="Times New Roman"/>
          <w:sz w:val="28"/>
          <w:lang w:val="en-GB"/>
        </w:rPr>
        <w:t xml:space="preserve">s </w:t>
      </w:r>
      <w:r w:rsidR="00B235CC" w:rsidRPr="00C20926">
        <w:rPr>
          <w:rFonts w:ascii="Times New Roman" w:hAnsi="Times New Roman"/>
          <w:sz w:val="28"/>
          <w:lang w:val="en-GB"/>
        </w:rPr>
        <w:t>418 of the Companies Act</w:t>
      </w:r>
      <w:r w:rsidR="00717144" w:rsidRPr="00C20926">
        <w:rPr>
          <w:rFonts w:ascii="Times New Roman" w:hAnsi="Times New Roman"/>
          <w:sz w:val="28"/>
          <w:lang w:val="en-GB"/>
        </w:rPr>
        <w:t>.</w:t>
      </w:r>
      <w:r w:rsidR="00D71731" w:rsidRPr="00C20926">
        <w:rPr>
          <w:rStyle w:val="FootnoteReference"/>
          <w:rFonts w:ascii="Times New Roman" w:hAnsi="Times New Roman"/>
          <w:sz w:val="28"/>
          <w:lang w:val="en-GB"/>
        </w:rPr>
        <w:footnoteReference w:id="27"/>
      </w:r>
      <w:r w:rsidR="002A5FBA" w:rsidRPr="00C20926">
        <w:rPr>
          <w:rFonts w:ascii="Times New Roman" w:hAnsi="Times New Roman"/>
          <w:sz w:val="28"/>
          <w:lang w:val="en-GB"/>
        </w:rPr>
        <w:t xml:space="preserve"> </w:t>
      </w:r>
      <w:r w:rsidR="00A05DD7" w:rsidRPr="00C20926">
        <w:rPr>
          <w:rFonts w:ascii="Times New Roman" w:hAnsi="Times New Roman"/>
          <w:sz w:val="28"/>
          <w:lang w:val="en-GB"/>
        </w:rPr>
        <w:t xml:space="preserve">These sections </w:t>
      </w:r>
      <w:r w:rsidR="00157F7F" w:rsidRPr="00C20926">
        <w:rPr>
          <w:rFonts w:ascii="Times New Roman" w:hAnsi="Times New Roman"/>
          <w:sz w:val="28"/>
          <w:lang w:val="en-GB"/>
        </w:rPr>
        <w:t xml:space="preserve"> of the Companies Act </w:t>
      </w:r>
      <w:r w:rsidR="00141F9B" w:rsidRPr="00C20926">
        <w:rPr>
          <w:rFonts w:ascii="Times New Roman" w:hAnsi="Times New Roman"/>
          <w:sz w:val="28"/>
          <w:lang w:val="en-GB"/>
        </w:rPr>
        <w:t>permit</w:t>
      </w:r>
      <w:r w:rsidR="00A05DD7" w:rsidRPr="00C20926">
        <w:rPr>
          <w:rFonts w:ascii="Times New Roman" w:hAnsi="Times New Roman"/>
          <w:sz w:val="28"/>
          <w:lang w:val="en-GB"/>
        </w:rPr>
        <w:t xml:space="preserve"> the holding of inquiries</w:t>
      </w:r>
      <w:r w:rsidR="00844255" w:rsidRPr="00C20926">
        <w:rPr>
          <w:rFonts w:ascii="Times New Roman" w:hAnsi="Times New Roman"/>
          <w:sz w:val="28"/>
          <w:lang w:val="en-GB"/>
        </w:rPr>
        <w:t xml:space="preserve"> in</w:t>
      </w:r>
      <w:r w:rsidR="00157F7F" w:rsidRPr="00C20926">
        <w:rPr>
          <w:rFonts w:ascii="Times New Roman" w:hAnsi="Times New Roman"/>
          <w:sz w:val="28"/>
          <w:lang w:val="en-GB"/>
        </w:rPr>
        <w:t>to</w:t>
      </w:r>
      <w:r w:rsidR="00844255" w:rsidRPr="00C20926">
        <w:rPr>
          <w:rFonts w:ascii="Times New Roman" w:hAnsi="Times New Roman"/>
          <w:sz w:val="28"/>
          <w:lang w:val="en-GB"/>
        </w:rPr>
        <w:t xml:space="preserve"> the affairs of </w:t>
      </w:r>
      <w:r w:rsidR="009E7113" w:rsidRPr="00C20926">
        <w:rPr>
          <w:rFonts w:ascii="Times New Roman" w:hAnsi="Times New Roman"/>
          <w:sz w:val="28"/>
          <w:lang w:val="en-GB"/>
        </w:rPr>
        <w:t>a</w:t>
      </w:r>
      <w:r w:rsidR="00844255" w:rsidRPr="00C20926">
        <w:rPr>
          <w:rFonts w:ascii="Times New Roman" w:hAnsi="Times New Roman"/>
          <w:sz w:val="28"/>
          <w:lang w:val="en-GB"/>
        </w:rPr>
        <w:t xml:space="preserve"> company</w:t>
      </w:r>
      <w:r w:rsidR="00E26D51" w:rsidRPr="00C20926">
        <w:rPr>
          <w:rFonts w:ascii="Times New Roman" w:hAnsi="Times New Roman"/>
          <w:sz w:val="28"/>
          <w:lang w:val="en-GB"/>
        </w:rPr>
        <w:t xml:space="preserve"> </w:t>
      </w:r>
      <w:r w:rsidR="00157F7F" w:rsidRPr="00C20926">
        <w:rPr>
          <w:rFonts w:ascii="Times New Roman" w:hAnsi="Times New Roman"/>
          <w:sz w:val="28"/>
          <w:lang w:val="en-GB"/>
        </w:rPr>
        <w:t xml:space="preserve">in </w:t>
      </w:r>
      <w:r w:rsidR="00F1507B" w:rsidRPr="00C20926">
        <w:rPr>
          <w:rFonts w:ascii="Times New Roman" w:hAnsi="Times New Roman"/>
          <w:sz w:val="28"/>
          <w:lang w:val="en-GB"/>
        </w:rPr>
        <w:t xml:space="preserve">liquidation. </w:t>
      </w:r>
      <w:r w:rsidR="00717144" w:rsidRPr="00C20926">
        <w:rPr>
          <w:rFonts w:ascii="Times New Roman" w:hAnsi="Times New Roman"/>
          <w:sz w:val="28"/>
          <w:lang w:val="en-GB"/>
        </w:rPr>
        <w:t>T</w:t>
      </w:r>
      <w:r w:rsidR="005C26BF" w:rsidRPr="00C20926">
        <w:rPr>
          <w:rFonts w:ascii="Times New Roman" w:hAnsi="Times New Roman"/>
          <w:sz w:val="28"/>
          <w:lang w:val="en-GB"/>
        </w:rPr>
        <w:t xml:space="preserve">he </w:t>
      </w:r>
      <w:r w:rsidR="00717144" w:rsidRPr="00C20926">
        <w:rPr>
          <w:rFonts w:ascii="Times New Roman" w:hAnsi="Times New Roman"/>
          <w:sz w:val="28"/>
          <w:lang w:val="en-GB"/>
        </w:rPr>
        <w:t>sections</w:t>
      </w:r>
      <w:r w:rsidR="005C26BF" w:rsidRPr="00C20926">
        <w:rPr>
          <w:rFonts w:ascii="Times New Roman" w:hAnsi="Times New Roman"/>
          <w:sz w:val="28"/>
          <w:lang w:val="en-GB"/>
        </w:rPr>
        <w:t xml:space="preserve"> </w:t>
      </w:r>
      <w:r w:rsidR="00157F7F" w:rsidRPr="00C20926">
        <w:rPr>
          <w:rFonts w:ascii="Times New Roman" w:hAnsi="Times New Roman"/>
          <w:sz w:val="28"/>
          <w:lang w:val="en-GB"/>
        </w:rPr>
        <w:t>provide that</w:t>
      </w:r>
      <w:r w:rsidR="006D52FF" w:rsidRPr="00C20926">
        <w:rPr>
          <w:rFonts w:ascii="Times New Roman" w:hAnsi="Times New Roman"/>
          <w:sz w:val="28"/>
          <w:lang w:val="en-GB"/>
        </w:rPr>
        <w:t xml:space="preserve"> the person testifying</w:t>
      </w:r>
      <w:r w:rsidR="00157F7F" w:rsidRPr="00C20926">
        <w:rPr>
          <w:rFonts w:ascii="Times New Roman" w:hAnsi="Times New Roman"/>
          <w:sz w:val="28"/>
          <w:lang w:val="en-GB"/>
        </w:rPr>
        <w:t xml:space="preserve"> at an inquiry</w:t>
      </w:r>
      <w:r w:rsidR="006D52FF" w:rsidRPr="00C20926">
        <w:rPr>
          <w:rFonts w:ascii="Times New Roman" w:hAnsi="Times New Roman"/>
          <w:sz w:val="28"/>
          <w:lang w:val="en-GB"/>
        </w:rPr>
        <w:t xml:space="preserve"> is obliged to answer any question put</w:t>
      </w:r>
      <w:r w:rsidR="00F1507B" w:rsidRPr="00C20926">
        <w:rPr>
          <w:rFonts w:ascii="Times New Roman" w:hAnsi="Times New Roman"/>
          <w:sz w:val="28"/>
          <w:lang w:val="en-GB"/>
        </w:rPr>
        <w:t xml:space="preserve">, </w:t>
      </w:r>
      <w:r w:rsidR="00157F7F" w:rsidRPr="00C20926">
        <w:rPr>
          <w:rFonts w:ascii="Times New Roman" w:hAnsi="Times New Roman"/>
          <w:sz w:val="28"/>
          <w:lang w:val="en-GB"/>
        </w:rPr>
        <w:t>even</w:t>
      </w:r>
      <w:r w:rsidR="0076140D" w:rsidRPr="00C20926">
        <w:rPr>
          <w:rFonts w:ascii="Times New Roman" w:hAnsi="Times New Roman"/>
          <w:sz w:val="28"/>
          <w:lang w:val="en-GB"/>
        </w:rPr>
        <w:t xml:space="preserve"> </w:t>
      </w:r>
      <w:r w:rsidR="0076140D" w:rsidRPr="00C20926">
        <w:rPr>
          <w:rFonts w:ascii="Times New Roman" w:hAnsi="Times New Roman" w:cs="Times New Roman"/>
          <w:sz w:val="28"/>
          <w:szCs w:val="28"/>
          <w:lang w:val="en-GB"/>
        </w:rPr>
        <w:t>if</w:t>
      </w:r>
      <w:r w:rsidR="00157F7F" w:rsidRPr="00C20926">
        <w:rPr>
          <w:rFonts w:ascii="Times New Roman" w:hAnsi="Times New Roman" w:cs="Times New Roman"/>
          <w:sz w:val="28"/>
          <w:szCs w:val="28"/>
          <w:lang w:val="en-GB"/>
        </w:rPr>
        <w:t xml:space="preserve"> </w:t>
      </w:r>
      <w:r w:rsidR="00157F7F" w:rsidRPr="00C20926">
        <w:rPr>
          <w:rFonts w:ascii="Times New Roman" w:hAnsi="Times New Roman"/>
          <w:sz w:val="28"/>
          <w:lang w:val="en-GB"/>
        </w:rPr>
        <w:t xml:space="preserve">it </w:t>
      </w:r>
      <w:r w:rsidR="00F1507B" w:rsidRPr="00C20926">
        <w:rPr>
          <w:rFonts w:ascii="Times New Roman" w:hAnsi="Times New Roman"/>
          <w:sz w:val="28"/>
          <w:lang w:val="en-GB"/>
        </w:rPr>
        <w:t xml:space="preserve">may </w:t>
      </w:r>
      <w:r w:rsidR="00157F7F" w:rsidRPr="00C20926">
        <w:rPr>
          <w:rFonts w:ascii="Times New Roman" w:hAnsi="Times New Roman"/>
          <w:sz w:val="28"/>
          <w:lang w:val="en-GB"/>
        </w:rPr>
        <w:t xml:space="preserve">be </w:t>
      </w:r>
      <w:r w:rsidR="00F1507B" w:rsidRPr="00C20926">
        <w:rPr>
          <w:rFonts w:ascii="Times New Roman" w:hAnsi="Times New Roman"/>
          <w:sz w:val="28"/>
          <w:lang w:val="en-GB"/>
        </w:rPr>
        <w:t>incriminat</w:t>
      </w:r>
      <w:r w:rsidR="00157F7F" w:rsidRPr="00C20926">
        <w:rPr>
          <w:rFonts w:ascii="Times New Roman" w:hAnsi="Times New Roman"/>
          <w:sz w:val="28"/>
          <w:lang w:val="en-GB"/>
        </w:rPr>
        <w:t>ing</w:t>
      </w:r>
      <w:r w:rsidR="00C767BD" w:rsidRPr="00C20926">
        <w:rPr>
          <w:rFonts w:ascii="Times New Roman" w:hAnsi="Times New Roman"/>
          <w:sz w:val="28"/>
          <w:lang w:val="en-GB"/>
        </w:rPr>
        <w:t>.</w:t>
      </w:r>
      <w:r w:rsidR="004442F7" w:rsidRPr="00C20926">
        <w:rPr>
          <w:rFonts w:ascii="Times New Roman" w:hAnsi="Times New Roman"/>
          <w:sz w:val="28"/>
          <w:lang w:val="en-GB"/>
        </w:rPr>
        <w:t xml:space="preserve"> </w:t>
      </w:r>
      <w:r w:rsidR="00157F7F" w:rsidRPr="00C20926">
        <w:rPr>
          <w:rFonts w:ascii="Times New Roman" w:hAnsi="Times New Roman"/>
          <w:sz w:val="28"/>
          <w:lang w:val="en-GB"/>
        </w:rPr>
        <w:t>The</w:t>
      </w:r>
      <w:r w:rsidR="006B1139" w:rsidRPr="00C20926">
        <w:rPr>
          <w:rFonts w:ascii="Times New Roman" w:hAnsi="Times New Roman"/>
          <w:sz w:val="28"/>
          <w:lang w:val="en-GB"/>
        </w:rPr>
        <w:t xml:space="preserve"> Companies Act</w:t>
      </w:r>
      <w:r w:rsidR="00717144" w:rsidRPr="00C20926">
        <w:rPr>
          <w:rFonts w:ascii="Times New Roman" w:hAnsi="Times New Roman"/>
          <w:sz w:val="28"/>
          <w:lang w:val="en-GB"/>
        </w:rPr>
        <w:t>, however,</w:t>
      </w:r>
      <w:r w:rsidR="00157F7F" w:rsidRPr="00C20926">
        <w:rPr>
          <w:rFonts w:ascii="Times New Roman" w:hAnsi="Times New Roman"/>
          <w:sz w:val="28"/>
          <w:lang w:val="en-GB"/>
        </w:rPr>
        <w:t xml:space="preserve"> provides that </w:t>
      </w:r>
      <w:r w:rsidR="006B1139" w:rsidRPr="00C20926">
        <w:rPr>
          <w:rFonts w:ascii="Times New Roman" w:hAnsi="Times New Roman"/>
          <w:sz w:val="28"/>
          <w:lang w:val="en-GB"/>
        </w:rPr>
        <w:t>t</w:t>
      </w:r>
      <w:r w:rsidR="00B50456" w:rsidRPr="00C20926">
        <w:rPr>
          <w:rFonts w:ascii="Times New Roman" w:hAnsi="Times New Roman"/>
          <w:sz w:val="28"/>
          <w:lang w:val="en-GB"/>
        </w:rPr>
        <w:t>he</w:t>
      </w:r>
      <w:r w:rsidR="00F32183" w:rsidRPr="00C20926">
        <w:rPr>
          <w:rFonts w:ascii="Times New Roman" w:hAnsi="Times New Roman"/>
          <w:sz w:val="28"/>
          <w:lang w:val="en-GB"/>
        </w:rPr>
        <w:t xml:space="preserve"> evidence given is admissible </w:t>
      </w:r>
      <w:r w:rsidR="000F5894" w:rsidRPr="00C20926">
        <w:rPr>
          <w:rFonts w:ascii="Times New Roman" w:hAnsi="Times New Roman"/>
          <w:sz w:val="28"/>
          <w:lang w:val="en-GB"/>
        </w:rPr>
        <w:t xml:space="preserve">only </w:t>
      </w:r>
      <w:r w:rsidR="00F32183" w:rsidRPr="00C20926">
        <w:rPr>
          <w:rFonts w:ascii="Times New Roman" w:hAnsi="Times New Roman"/>
          <w:sz w:val="28"/>
          <w:lang w:val="en-GB"/>
        </w:rPr>
        <w:t>against the person giving the evidence</w:t>
      </w:r>
      <w:r w:rsidR="00304727" w:rsidRPr="00C20926">
        <w:rPr>
          <w:rFonts w:ascii="Times New Roman" w:hAnsi="Times New Roman"/>
          <w:sz w:val="28"/>
          <w:lang w:val="en-GB"/>
        </w:rPr>
        <w:t xml:space="preserve"> in civil proceedings and in certain criminal proceedings</w:t>
      </w:r>
      <w:r w:rsidR="009208E8" w:rsidRPr="00C20926">
        <w:rPr>
          <w:rFonts w:ascii="Times New Roman" w:hAnsi="Times New Roman"/>
          <w:sz w:val="28"/>
          <w:lang w:val="en-GB"/>
        </w:rPr>
        <w:t xml:space="preserve"> relating to the offences</w:t>
      </w:r>
      <w:r w:rsidR="000F5894" w:rsidRPr="00C20926">
        <w:rPr>
          <w:rFonts w:ascii="Times New Roman" w:hAnsi="Times New Roman"/>
          <w:sz w:val="28"/>
          <w:lang w:val="en-GB"/>
        </w:rPr>
        <w:t xml:space="preserve"> as</w:t>
      </w:r>
      <w:r w:rsidR="00230976" w:rsidRPr="00C20926">
        <w:rPr>
          <w:rFonts w:ascii="Times New Roman" w:hAnsi="Times New Roman"/>
          <w:sz w:val="28"/>
          <w:lang w:val="en-GB"/>
        </w:rPr>
        <w:t xml:space="preserve"> set out in s</w:t>
      </w:r>
      <w:r w:rsidR="00544C81" w:rsidRPr="00C20926">
        <w:rPr>
          <w:rFonts w:ascii="Times New Roman" w:hAnsi="Times New Roman"/>
          <w:sz w:val="28"/>
          <w:lang w:val="en-GB"/>
        </w:rPr>
        <w:t xml:space="preserve"> </w:t>
      </w:r>
      <w:r w:rsidR="00230976" w:rsidRPr="00C20926">
        <w:rPr>
          <w:rFonts w:ascii="Times New Roman" w:hAnsi="Times New Roman"/>
          <w:sz w:val="28"/>
          <w:lang w:val="en-GB"/>
        </w:rPr>
        <w:t>417</w:t>
      </w:r>
      <w:r w:rsidR="004B6341" w:rsidRPr="00C20926">
        <w:rPr>
          <w:rFonts w:ascii="Times New Roman" w:hAnsi="Times New Roman"/>
          <w:sz w:val="28"/>
          <w:lang w:val="en-GB"/>
        </w:rPr>
        <w:t xml:space="preserve"> </w:t>
      </w:r>
      <w:r w:rsidR="00230976" w:rsidRPr="00C20926">
        <w:rPr>
          <w:rFonts w:ascii="Times New Roman" w:hAnsi="Times New Roman"/>
          <w:sz w:val="28"/>
          <w:lang w:val="en-GB"/>
        </w:rPr>
        <w:t>(2)</w:t>
      </w:r>
      <w:r w:rsidR="004B6341" w:rsidRPr="00C20926">
        <w:rPr>
          <w:rFonts w:ascii="Times New Roman" w:hAnsi="Times New Roman"/>
          <w:sz w:val="28"/>
          <w:lang w:val="en-GB"/>
        </w:rPr>
        <w:t xml:space="preserve"> </w:t>
      </w:r>
      <w:r w:rsidR="00230976" w:rsidRPr="00C20926">
        <w:rPr>
          <w:rFonts w:ascii="Times New Roman" w:hAnsi="Times New Roman"/>
          <w:i/>
          <w:sz w:val="28"/>
          <w:lang w:val="en-GB"/>
        </w:rPr>
        <w:t>(c)</w:t>
      </w:r>
      <w:r w:rsidR="00197768" w:rsidRPr="00C20926">
        <w:rPr>
          <w:rFonts w:ascii="Times New Roman" w:hAnsi="Times New Roman"/>
          <w:sz w:val="28"/>
          <w:lang w:val="en-GB"/>
        </w:rPr>
        <w:t xml:space="preserve"> of the Companies </w:t>
      </w:r>
      <w:r w:rsidR="002C1CE1" w:rsidRPr="00C20926">
        <w:rPr>
          <w:rFonts w:ascii="Times New Roman" w:hAnsi="Times New Roman"/>
          <w:sz w:val="28"/>
          <w:lang w:val="en-GB"/>
        </w:rPr>
        <w:t>Act.</w:t>
      </w:r>
      <w:r w:rsidR="000F5894" w:rsidRPr="00C20926">
        <w:rPr>
          <w:rFonts w:ascii="Times New Roman" w:hAnsi="Times New Roman"/>
          <w:sz w:val="28"/>
          <w:lang w:val="en-GB"/>
        </w:rPr>
        <w:t xml:space="preserve"> </w:t>
      </w:r>
      <w:r w:rsidR="00157F7F" w:rsidRPr="00C20926">
        <w:rPr>
          <w:rFonts w:ascii="Times New Roman" w:hAnsi="Times New Roman"/>
          <w:sz w:val="28"/>
          <w:lang w:val="en-GB"/>
        </w:rPr>
        <w:t xml:space="preserve">The </w:t>
      </w:r>
      <w:r w:rsidR="00717144" w:rsidRPr="00C20926">
        <w:rPr>
          <w:rFonts w:ascii="Times New Roman" w:hAnsi="Times New Roman"/>
          <w:sz w:val="28"/>
          <w:lang w:val="en-GB"/>
        </w:rPr>
        <w:t xml:space="preserve">text of s 57 of the </w:t>
      </w:r>
      <w:r w:rsidR="006B1139" w:rsidRPr="00C20926">
        <w:rPr>
          <w:rFonts w:ascii="Times New Roman" w:hAnsi="Times New Roman"/>
          <w:sz w:val="28"/>
          <w:lang w:val="en-GB"/>
        </w:rPr>
        <w:t>TAA</w:t>
      </w:r>
      <w:r w:rsidR="00157F7F" w:rsidRPr="00C20926">
        <w:rPr>
          <w:rFonts w:ascii="Times New Roman" w:hAnsi="Times New Roman"/>
          <w:sz w:val="28"/>
          <w:lang w:val="en-GB"/>
        </w:rPr>
        <w:t xml:space="preserve">, however, </w:t>
      </w:r>
      <w:r w:rsidR="00717144" w:rsidRPr="00C20926">
        <w:rPr>
          <w:rFonts w:ascii="Times New Roman" w:hAnsi="Times New Roman"/>
          <w:sz w:val="28"/>
          <w:lang w:val="en-GB"/>
        </w:rPr>
        <w:t xml:space="preserve">differs. It </w:t>
      </w:r>
      <w:r w:rsidR="00473220" w:rsidRPr="00C20926">
        <w:rPr>
          <w:rFonts w:ascii="Times New Roman" w:hAnsi="Times New Roman"/>
          <w:sz w:val="28"/>
          <w:lang w:val="en-GB"/>
        </w:rPr>
        <w:t xml:space="preserve">provides that </w:t>
      </w:r>
      <w:r w:rsidR="00847441" w:rsidRPr="00C20926">
        <w:rPr>
          <w:rFonts w:ascii="Times New Roman" w:hAnsi="Times New Roman"/>
          <w:sz w:val="28"/>
          <w:lang w:val="en-GB"/>
        </w:rPr>
        <w:t>the evidence obtained</w:t>
      </w:r>
      <w:r w:rsidR="00473220" w:rsidRPr="00C20926">
        <w:rPr>
          <w:rFonts w:ascii="Times New Roman" w:hAnsi="Times New Roman"/>
          <w:sz w:val="28"/>
          <w:lang w:val="en-GB"/>
        </w:rPr>
        <w:t xml:space="preserve"> </w:t>
      </w:r>
      <w:r w:rsidR="005C26BF" w:rsidRPr="00C20926">
        <w:rPr>
          <w:rFonts w:ascii="Times New Roman" w:hAnsi="Times New Roman"/>
          <w:sz w:val="28"/>
          <w:lang w:val="en-GB"/>
        </w:rPr>
        <w:t>may also</w:t>
      </w:r>
      <w:r w:rsidR="00847441" w:rsidRPr="00C20926">
        <w:rPr>
          <w:rFonts w:ascii="Times New Roman" w:hAnsi="Times New Roman"/>
          <w:sz w:val="28"/>
          <w:lang w:val="en-GB"/>
        </w:rPr>
        <w:t xml:space="preserve"> be used</w:t>
      </w:r>
      <w:r w:rsidR="00782BAF" w:rsidRPr="00C20926">
        <w:rPr>
          <w:rFonts w:ascii="Times New Roman" w:hAnsi="Times New Roman"/>
          <w:sz w:val="28"/>
          <w:lang w:val="en-GB"/>
        </w:rPr>
        <w:t xml:space="preserve"> </w:t>
      </w:r>
      <w:r w:rsidR="00F86B1F" w:rsidRPr="00C20926">
        <w:rPr>
          <w:rFonts w:ascii="Times New Roman" w:hAnsi="Times New Roman"/>
          <w:sz w:val="28"/>
          <w:lang w:val="en-GB"/>
        </w:rPr>
        <w:t>against another</w:t>
      </w:r>
      <w:r w:rsidR="00302622" w:rsidRPr="00C20926">
        <w:rPr>
          <w:rFonts w:ascii="Times New Roman" w:hAnsi="Times New Roman"/>
          <w:sz w:val="28"/>
          <w:lang w:val="en-GB"/>
        </w:rPr>
        <w:t xml:space="preserve"> </w:t>
      </w:r>
      <w:r w:rsidR="00F86B1F" w:rsidRPr="00C20926">
        <w:rPr>
          <w:rFonts w:ascii="Times New Roman" w:hAnsi="Times New Roman"/>
          <w:sz w:val="28"/>
          <w:lang w:val="en-GB"/>
        </w:rPr>
        <w:t>person.</w:t>
      </w:r>
      <w:r w:rsidR="00BE4A87" w:rsidRPr="00C20926">
        <w:rPr>
          <w:rFonts w:ascii="Times New Roman" w:hAnsi="Times New Roman"/>
          <w:sz w:val="28"/>
          <w:lang w:val="en-GB"/>
        </w:rPr>
        <w:t xml:space="preserve"> </w:t>
      </w:r>
      <w:r w:rsidR="00717144" w:rsidRPr="00C20926">
        <w:rPr>
          <w:rFonts w:ascii="Times New Roman" w:hAnsi="Times New Roman"/>
          <w:sz w:val="28"/>
          <w:lang w:val="en-GB"/>
        </w:rPr>
        <w:t>The Companies Act provisions are, therefore, of no assistance.</w:t>
      </w:r>
      <w:r w:rsidR="00717144" w:rsidRPr="00C20926">
        <w:rPr>
          <w:rFonts w:ascii="Times New Roman" w:hAnsi="Times New Roman" w:cs="Times New Roman"/>
          <w:sz w:val="28"/>
          <w:szCs w:val="28"/>
          <w:lang w:val="en-GB"/>
        </w:rPr>
        <w:t xml:space="preserve"> </w:t>
      </w:r>
    </w:p>
    <w:p w14:paraId="44D2509B" w14:textId="77777777" w:rsidR="00157F7F" w:rsidRPr="00C20926" w:rsidRDefault="00157F7F" w:rsidP="00AA735C">
      <w:pPr>
        <w:pStyle w:val="FootnoteText"/>
        <w:spacing w:line="360" w:lineRule="auto"/>
        <w:jc w:val="both"/>
        <w:rPr>
          <w:rFonts w:ascii="Times New Roman" w:hAnsi="Times New Roman" w:cs="Times New Roman"/>
          <w:sz w:val="28"/>
          <w:szCs w:val="28"/>
          <w:lang w:val="en-GB"/>
        </w:rPr>
      </w:pPr>
    </w:p>
    <w:p w14:paraId="3A8B87AE" w14:textId="0109E243" w:rsidR="00A22446" w:rsidRPr="00C20926" w:rsidRDefault="00157F7F" w:rsidP="00DB47F8">
      <w:pPr>
        <w:pStyle w:val="FootnoteText"/>
        <w:spacing w:line="360" w:lineRule="auto"/>
        <w:jc w:val="both"/>
        <w:rPr>
          <w:rFonts w:ascii="Times New Roman" w:hAnsi="Times New Roman" w:cs="Times New Roman"/>
          <w:sz w:val="28"/>
          <w:szCs w:val="28"/>
          <w:lang w:val="en-GB"/>
        </w:rPr>
      </w:pPr>
      <w:r w:rsidRPr="00C20926">
        <w:rPr>
          <w:rFonts w:ascii="Times New Roman" w:hAnsi="Times New Roman" w:cs="Times New Roman"/>
          <w:sz w:val="28"/>
          <w:szCs w:val="28"/>
          <w:lang w:val="en-GB"/>
        </w:rPr>
        <w:t>[6</w:t>
      </w:r>
      <w:r w:rsidR="00FD0874" w:rsidRPr="00C20926">
        <w:rPr>
          <w:rFonts w:ascii="Times New Roman" w:hAnsi="Times New Roman" w:cs="Times New Roman"/>
          <w:sz w:val="28"/>
          <w:szCs w:val="28"/>
          <w:lang w:val="en-GB"/>
        </w:rPr>
        <w:t>3</w:t>
      </w:r>
      <w:r w:rsidRPr="00C20926">
        <w:rPr>
          <w:rFonts w:ascii="Times New Roman" w:hAnsi="Times New Roman" w:cs="Times New Roman"/>
          <w:sz w:val="28"/>
          <w:szCs w:val="28"/>
          <w:lang w:val="en-GB"/>
        </w:rPr>
        <w:t>]</w:t>
      </w:r>
      <w:r w:rsidRPr="00C20926">
        <w:rPr>
          <w:rFonts w:ascii="Times New Roman" w:hAnsi="Times New Roman" w:cs="Times New Roman"/>
          <w:sz w:val="28"/>
          <w:szCs w:val="28"/>
          <w:lang w:val="en-GB"/>
        </w:rPr>
        <w:tab/>
      </w:r>
      <w:r w:rsidR="00AA735C" w:rsidRPr="00C20926">
        <w:rPr>
          <w:rFonts w:ascii="Times New Roman" w:hAnsi="Times New Roman" w:cs="Times New Roman"/>
          <w:sz w:val="28"/>
          <w:szCs w:val="28"/>
          <w:lang w:val="en-GB"/>
        </w:rPr>
        <w:t xml:space="preserve">In </w:t>
      </w:r>
      <w:r w:rsidR="00AA735C" w:rsidRPr="00C20926">
        <w:rPr>
          <w:rFonts w:ascii="Times New Roman" w:hAnsi="Times New Roman" w:cs="Times New Roman"/>
          <w:i/>
          <w:sz w:val="28"/>
          <w:szCs w:val="28"/>
          <w:lang w:val="en-GB"/>
        </w:rPr>
        <w:t xml:space="preserve">Bernstein and </w:t>
      </w:r>
      <w:r w:rsidR="00C13F0B" w:rsidRPr="00C20926">
        <w:rPr>
          <w:rFonts w:ascii="Times New Roman" w:hAnsi="Times New Roman" w:cs="Times New Roman"/>
          <w:i/>
          <w:sz w:val="28"/>
          <w:szCs w:val="28"/>
          <w:lang w:val="en-GB"/>
        </w:rPr>
        <w:t>O</w:t>
      </w:r>
      <w:r w:rsidR="00AA735C" w:rsidRPr="00C20926">
        <w:rPr>
          <w:rFonts w:ascii="Times New Roman" w:hAnsi="Times New Roman" w:cs="Times New Roman"/>
          <w:i/>
          <w:sz w:val="28"/>
          <w:szCs w:val="28"/>
          <w:lang w:val="en-GB"/>
        </w:rPr>
        <w:t xml:space="preserve">thers v Bester NO and </w:t>
      </w:r>
      <w:r w:rsidR="00C13F0B" w:rsidRPr="00C20926">
        <w:rPr>
          <w:rFonts w:ascii="Times New Roman" w:hAnsi="Times New Roman" w:cs="Times New Roman"/>
          <w:i/>
          <w:sz w:val="28"/>
          <w:szCs w:val="28"/>
          <w:lang w:val="en-GB"/>
        </w:rPr>
        <w:t>O</w:t>
      </w:r>
      <w:r w:rsidR="00AA735C" w:rsidRPr="00C20926">
        <w:rPr>
          <w:rFonts w:ascii="Times New Roman" w:hAnsi="Times New Roman" w:cs="Times New Roman"/>
          <w:i/>
          <w:sz w:val="28"/>
          <w:szCs w:val="28"/>
          <w:lang w:val="en-GB"/>
        </w:rPr>
        <w:t>thers</w:t>
      </w:r>
      <w:r w:rsidR="00C13F0B" w:rsidRPr="00C20926">
        <w:rPr>
          <w:rFonts w:ascii="Times New Roman" w:hAnsi="Times New Roman"/>
          <w:i/>
          <w:sz w:val="28"/>
          <w:lang w:val="en-GB"/>
        </w:rPr>
        <w:t xml:space="preserve"> </w:t>
      </w:r>
      <w:r w:rsidR="00C13F0B" w:rsidRPr="00C20926">
        <w:rPr>
          <w:rFonts w:ascii="Times New Roman" w:hAnsi="Times New Roman" w:cs="Times New Roman"/>
          <w:sz w:val="28"/>
          <w:szCs w:val="28"/>
          <w:lang w:val="en-GB"/>
        </w:rPr>
        <w:t>(</w:t>
      </w:r>
      <w:r w:rsidR="00C13F0B" w:rsidRPr="00C20926">
        <w:rPr>
          <w:rFonts w:ascii="Times New Roman" w:hAnsi="Times New Roman" w:cs="Times New Roman"/>
          <w:i/>
          <w:sz w:val="28"/>
          <w:szCs w:val="28"/>
          <w:lang w:val="en-GB"/>
        </w:rPr>
        <w:t>Bernstein</w:t>
      </w:r>
      <w:r w:rsidR="00C13F0B" w:rsidRPr="00C20926">
        <w:rPr>
          <w:rFonts w:ascii="Times New Roman" w:hAnsi="Times New Roman" w:cs="Times New Roman"/>
          <w:sz w:val="28"/>
          <w:szCs w:val="28"/>
          <w:lang w:val="en-GB"/>
        </w:rPr>
        <w:t>),</w:t>
      </w:r>
      <w:r w:rsidR="00AA735C" w:rsidRPr="00C20926">
        <w:rPr>
          <w:rStyle w:val="FootnoteReference"/>
          <w:rFonts w:ascii="Times New Roman" w:hAnsi="Times New Roman" w:cs="Times New Roman"/>
          <w:sz w:val="28"/>
          <w:szCs w:val="28"/>
          <w:lang w:val="en-GB"/>
        </w:rPr>
        <w:footnoteReference w:id="28"/>
      </w:r>
      <w:r w:rsidR="00AA735C" w:rsidRPr="00C20926">
        <w:rPr>
          <w:rFonts w:ascii="Times New Roman" w:hAnsi="Times New Roman" w:cs="Times New Roman"/>
          <w:sz w:val="28"/>
          <w:szCs w:val="28"/>
          <w:lang w:val="en-GB"/>
        </w:rPr>
        <w:t xml:space="preserve"> it was held with reference to the Companies Act that the use of compelled testimony in civil proceedings is </w:t>
      </w:r>
      <w:r w:rsidR="005D40C3" w:rsidRPr="00C20926">
        <w:rPr>
          <w:rFonts w:ascii="Times New Roman" w:hAnsi="Times New Roman" w:cs="Times New Roman"/>
          <w:sz w:val="28"/>
          <w:szCs w:val="28"/>
          <w:lang w:val="en-GB"/>
        </w:rPr>
        <w:t xml:space="preserve">not </w:t>
      </w:r>
      <w:r w:rsidR="00AA735C" w:rsidRPr="00C20926">
        <w:rPr>
          <w:rFonts w:ascii="Times New Roman" w:hAnsi="Times New Roman" w:cs="Times New Roman"/>
          <w:sz w:val="28"/>
          <w:szCs w:val="28"/>
          <w:lang w:val="en-GB"/>
        </w:rPr>
        <w:t>prohibited or unconstitutional in other open and democratic societies.</w:t>
      </w:r>
      <w:r w:rsidR="00DB47F8" w:rsidRPr="00C20926">
        <w:rPr>
          <w:rFonts w:ascii="Times New Roman" w:hAnsi="Times New Roman" w:cs="Times New Roman"/>
          <w:sz w:val="28"/>
          <w:szCs w:val="28"/>
          <w:lang w:val="en-GB"/>
        </w:rPr>
        <w:t xml:space="preserve"> </w:t>
      </w:r>
      <w:r w:rsidR="00A22446" w:rsidRPr="00C20926">
        <w:rPr>
          <w:rFonts w:ascii="Times New Roman" w:hAnsi="Times New Roman" w:cs="Times New Roman"/>
          <w:sz w:val="28"/>
          <w:szCs w:val="28"/>
          <w:lang w:val="en-GB"/>
        </w:rPr>
        <w:t xml:space="preserve">This </w:t>
      </w:r>
      <w:r w:rsidR="005D40C3" w:rsidRPr="00C20926">
        <w:rPr>
          <w:rFonts w:ascii="Times New Roman" w:hAnsi="Times New Roman" w:cs="Times New Roman"/>
          <w:sz w:val="28"/>
          <w:szCs w:val="28"/>
          <w:lang w:val="en-GB"/>
        </w:rPr>
        <w:t>applies equally</w:t>
      </w:r>
      <w:r w:rsidR="00A22446" w:rsidRPr="00C20926">
        <w:rPr>
          <w:rFonts w:ascii="Times New Roman" w:hAnsi="Times New Roman" w:cs="Times New Roman"/>
          <w:sz w:val="28"/>
          <w:szCs w:val="28"/>
          <w:lang w:val="en-GB"/>
        </w:rPr>
        <w:t xml:space="preserve"> to </w:t>
      </w:r>
      <w:r w:rsidR="005D40C3" w:rsidRPr="00C20926">
        <w:rPr>
          <w:rFonts w:ascii="Times New Roman" w:hAnsi="Times New Roman" w:cs="Times New Roman"/>
          <w:sz w:val="28"/>
          <w:szCs w:val="28"/>
          <w:lang w:val="en-GB"/>
        </w:rPr>
        <w:t>inquiries</w:t>
      </w:r>
      <w:r w:rsidR="00A22446" w:rsidRPr="00C20926">
        <w:rPr>
          <w:rFonts w:ascii="Times New Roman" w:hAnsi="Times New Roman" w:cs="Times New Roman"/>
          <w:sz w:val="28"/>
          <w:szCs w:val="28"/>
          <w:lang w:val="en-GB"/>
        </w:rPr>
        <w:t xml:space="preserve"> provided for in s 64 and s 65 of the Insolvency Act</w:t>
      </w:r>
      <w:r w:rsidR="005D40C3" w:rsidRPr="00C20926">
        <w:rPr>
          <w:rFonts w:ascii="Times New Roman" w:hAnsi="Times New Roman" w:cs="Times New Roman"/>
          <w:sz w:val="28"/>
          <w:szCs w:val="28"/>
          <w:lang w:val="en-GB"/>
        </w:rPr>
        <w:t>.</w:t>
      </w:r>
      <w:r w:rsidR="006505EC" w:rsidRPr="00C20926">
        <w:rPr>
          <w:rStyle w:val="FootnoteReference"/>
          <w:rFonts w:ascii="Times New Roman" w:hAnsi="Times New Roman" w:cs="Times New Roman"/>
          <w:sz w:val="28"/>
          <w:szCs w:val="28"/>
          <w:lang w:val="en-GB"/>
        </w:rPr>
        <w:footnoteReference w:id="29"/>
      </w:r>
      <w:r w:rsidR="00A22446" w:rsidRPr="00C20926">
        <w:rPr>
          <w:rFonts w:ascii="Times New Roman" w:hAnsi="Times New Roman" w:cs="Times New Roman"/>
          <w:sz w:val="28"/>
          <w:szCs w:val="28"/>
          <w:lang w:val="en-GB"/>
        </w:rPr>
        <w:t xml:space="preserve"> In </w:t>
      </w:r>
      <w:r w:rsidR="00A22446" w:rsidRPr="00C20926">
        <w:rPr>
          <w:rFonts w:ascii="Times New Roman" w:hAnsi="Times New Roman" w:cs="Times New Roman"/>
          <w:i/>
          <w:sz w:val="28"/>
          <w:szCs w:val="28"/>
          <w:lang w:val="en-GB"/>
        </w:rPr>
        <w:t xml:space="preserve">Pitsiladi v Van Rensburg and </w:t>
      </w:r>
      <w:r w:rsidR="003D13B4" w:rsidRPr="00C20926">
        <w:rPr>
          <w:rFonts w:ascii="Times New Roman" w:hAnsi="Times New Roman" w:cs="Times New Roman"/>
          <w:i/>
          <w:sz w:val="28"/>
          <w:szCs w:val="28"/>
          <w:lang w:val="en-GB"/>
        </w:rPr>
        <w:t>O</w:t>
      </w:r>
      <w:r w:rsidR="00A22446" w:rsidRPr="00C20926">
        <w:rPr>
          <w:rFonts w:ascii="Times New Roman" w:hAnsi="Times New Roman" w:cs="Times New Roman"/>
          <w:i/>
          <w:sz w:val="28"/>
          <w:szCs w:val="28"/>
          <w:lang w:val="en-GB"/>
        </w:rPr>
        <w:t>thers NNO</w:t>
      </w:r>
      <w:r w:rsidR="00C13F0B" w:rsidRPr="00C20926">
        <w:rPr>
          <w:rFonts w:ascii="Times New Roman" w:hAnsi="Times New Roman" w:cs="Times New Roman"/>
          <w:i/>
          <w:sz w:val="28"/>
          <w:lang w:val="en-GB"/>
        </w:rPr>
        <w:t xml:space="preserve"> </w:t>
      </w:r>
      <w:r w:rsidR="00C13F0B" w:rsidRPr="00C20926">
        <w:rPr>
          <w:rFonts w:ascii="Times New Roman" w:hAnsi="Times New Roman" w:cs="Times New Roman"/>
          <w:sz w:val="28"/>
          <w:szCs w:val="28"/>
          <w:lang w:val="en-GB"/>
        </w:rPr>
        <w:t>(</w:t>
      </w:r>
      <w:r w:rsidR="00C13F0B" w:rsidRPr="00C20926">
        <w:rPr>
          <w:rFonts w:ascii="Times New Roman" w:hAnsi="Times New Roman" w:cs="Times New Roman"/>
          <w:i/>
          <w:sz w:val="28"/>
          <w:lang w:val="en-GB"/>
        </w:rPr>
        <w:t>Pitsiladi</w:t>
      </w:r>
      <w:r w:rsidR="00C13F0B" w:rsidRPr="00C20926">
        <w:rPr>
          <w:rFonts w:ascii="Times New Roman" w:hAnsi="Times New Roman" w:cs="Times New Roman"/>
          <w:sz w:val="28"/>
          <w:szCs w:val="28"/>
          <w:lang w:val="en-GB"/>
        </w:rPr>
        <w:t>)</w:t>
      </w:r>
      <w:r w:rsidR="00DB47F8" w:rsidRPr="00C20926">
        <w:rPr>
          <w:rFonts w:ascii="Times New Roman" w:hAnsi="Times New Roman" w:cs="Times New Roman"/>
          <w:sz w:val="28"/>
          <w:szCs w:val="28"/>
          <w:lang w:val="en-GB"/>
        </w:rPr>
        <w:t>,</w:t>
      </w:r>
      <w:r w:rsidR="00A22446" w:rsidRPr="00C20926">
        <w:rPr>
          <w:rStyle w:val="FootnoteReference"/>
          <w:rFonts w:ascii="Times New Roman" w:hAnsi="Times New Roman" w:cs="Times New Roman"/>
          <w:sz w:val="28"/>
          <w:szCs w:val="28"/>
          <w:lang w:val="en-GB"/>
        </w:rPr>
        <w:footnoteReference w:id="30"/>
      </w:r>
      <w:r w:rsidR="00A22446" w:rsidRPr="00C20926">
        <w:rPr>
          <w:rFonts w:ascii="Times New Roman" w:hAnsi="Times New Roman" w:cs="Times New Roman"/>
          <w:sz w:val="28"/>
          <w:szCs w:val="28"/>
          <w:lang w:val="en-GB"/>
        </w:rPr>
        <w:t xml:space="preserve"> the applicants sought to set aside a subpoena </w:t>
      </w:r>
      <w:r w:rsidR="00A22446" w:rsidRPr="00C20926">
        <w:rPr>
          <w:rFonts w:ascii="Times New Roman" w:hAnsi="Times New Roman" w:cs="Times New Roman"/>
          <w:i/>
          <w:sz w:val="28"/>
          <w:szCs w:val="28"/>
          <w:lang w:val="en-GB"/>
        </w:rPr>
        <w:t>duces tecum</w:t>
      </w:r>
      <w:r w:rsidR="00A22446" w:rsidRPr="00C20926">
        <w:rPr>
          <w:rFonts w:ascii="Times New Roman" w:hAnsi="Times New Roman" w:cs="Times New Roman"/>
          <w:sz w:val="28"/>
          <w:szCs w:val="28"/>
          <w:lang w:val="en-GB"/>
        </w:rPr>
        <w:t xml:space="preserve"> on the basis that it was an abuse of process. The court held that the purpose of the inquiry was for the trustees to gather information and held that </w:t>
      </w:r>
      <w:r w:rsidR="005D40C3" w:rsidRPr="00C20926">
        <w:rPr>
          <w:rFonts w:ascii="Times New Roman" w:hAnsi="Times New Roman" w:cs="Times New Roman"/>
          <w:sz w:val="28"/>
          <w:szCs w:val="28"/>
          <w:lang w:val="en-GB"/>
        </w:rPr>
        <w:t>it</w:t>
      </w:r>
      <w:r w:rsidR="005972B5" w:rsidRPr="00C20926">
        <w:rPr>
          <w:rFonts w:ascii="Times New Roman" w:hAnsi="Times New Roman" w:cs="Times New Roman"/>
          <w:sz w:val="28"/>
          <w:szCs w:val="28"/>
          <w:lang w:val="en-GB"/>
        </w:rPr>
        <w:t>s</w:t>
      </w:r>
      <w:r w:rsidR="00A22446" w:rsidRPr="00C20926">
        <w:rPr>
          <w:rFonts w:ascii="Times New Roman" w:hAnsi="Times New Roman" w:cs="Times New Roman"/>
          <w:sz w:val="28"/>
          <w:szCs w:val="28"/>
          <w:lang w:val="en-GB"/>
        </w:rPr>
        <w:t xml:space="preserve"> use in future civil litigation is a legitimate purpose of the provision.</w:t>
      </w:r>
      <w:r w:rsidR="00A22446" w:rsidRPr="00C20926">
        <w:rPr>
          <w:rStyle w:val="FootnoteReference"/>
          <w:rFonts w:ascii="Times New Roman" w:hAnsi="Times New Roman" w:cs="Times New Roman"/>
          <w:sz w:val="28"/>
          <w:szCs w:val="28"/>
          <w:lang w:val="en-GB"/>
        </w:rPr>
        <w:footnoteReference w:id="31"/>
      </w:r>
      <w:r w:rsidR="00A22446" w:rsidRPr="00C20926">
        <w:rPr>
          <w:sz w:val="28"/>
          <w:szCs w:val="28"/>
          <w:lang w:val="en-GB"/>
        </w:rPr>
        <w:t xml:space="preserve"> </w:t>
      </w:r>
    </w:p>
    <w:p w14:paraId="4500A19A" w14:textId="231DAE05" w:rsidR="00A36A7A" w:rsidRPr="00C20926" w:rsidRDefault="00544C81" w:rsidP="00C22C0A">
      <w:pPr>
        <w:rPr>
          <w:sz w:val="28"/>
          <w:szCs w:val="28"/>
          <w:lang w:val="en-GB"/>
        </w:rPr>
      </w:pPr>
      <w:r w:rsidRPr="00C20926">
        <w:rPr>
          <w:sz w:val="28"/>
          <w:szCs w:val="28"/>
          <w:lang w:val="en-GB"/>
        </w:rPr>
        <w:lastRenderedPageBreak/>
        <w:t>[</w:t>
      </w:r>
      <w:r w:rsidR="005D40C3" w:rsidRPr="00C20926">
        <w:rPr>
          <w:sz w:val="28"/>
          <w:szCs w:val="28"/>
          <w:lang w:val="en-GB"/>
        </w:rPr>
        <w:t>6</w:t>
      </w:r>
      <w:r w:rsidR="00DB47F8" w:rsidRPr="00C20926">
        <w:rPr>
          <w:sz w:val="28"/>
          <w:szCs w:val="28"/>
          <w:lang w:val="en-GB"/>
        </w:rPr>
        <w:t>4</w:t>
      </w:r>
      <w:r w:rsidRPr="00C20926">
        <w:rPr>
          <w:sz w:val="28"/>
          <w:szCs w:val="28"/>
          <w:lang w:val="en-GB"/>
        </w:rPr>
        <w:t>]</w:t>
      </w:r>
      <w:r w:rsidR="00CD63C6" w:rsidRPr="00C20926">
        <w:rPr>
          <w:sz w:val="28"/>
          <w:szCs w:val="28"/>
          <w:lang w:val="en-GB"/>
        </w:rPr>
        <w:tab/>
      </w:r>
      <w:r w:rsidR="00A87762" w:rsidRPr="00C20926">
        <w:rPr>
          <w:sz w:val="28"/>
          <w:szCs w:val="28"/>
          <w:lang w:val="en-GB"/>
        </w:rPr>
        <w:t>In light of</w:t>
      </w:r>
      <w:r w:rsidR="00AF57F1" w:rsidRPr="00C20926">
        <w:rPr>
          <w:sz w:val="28"/>
          <w:szCs w:val="28"/>
          <w:lang w:val="en-GB"/>
        </w:rPr>
        <w:t xml:space="preserve"> the</w:t>
      </w:r>
      <w:r w:rsidR="00A87762" w:rsidRPr="00C20926">
        <w:rPr>
          <w:sz w:val="28"/>
          <w:szCs w:val="28"/>
          <w:lang w:val="en-GB"/>
        </w:rPr>
        <w:t xml:space="preserve"> </w:t>
      </w:r>
      <w:r w:rsidR="005D40C3" w:rsidRPr="00C20926">
        <w:rPr>
          <w:sz w:val="28"/>
          <w:szCs w:val="28"/>
          <w:lang w:val="en-GB"/>
        </w:rPr>
        <w:t xml:space="preserve">text of </w:t>
      </w:r>
      <w:r w:rsidR="00A87762" w:rsidRPr="00C20926">
        <w:rPr>
          <w:sz w:val="28"/>
          <w:szCs w:val="28"/>
          <w:lang w:val="en-GB"/>
        </w:rPr>
        <w:t xml:space="preserve">the relevant sections of the TAA and </w:t>
      </w:r>
      <w:r w:rsidR="005D40C3" w:rsidRPr="00C20926">
        <w:rPr>
          <w:sz w:val="28"/>
          <w:szCs w:val="28"/>
          <w:lang w:val="en-GB"/>
        </w:rPr>
        <w:t xml:space="preserve">the approach to </w:t>
      </w:r>
      <w:r w:rsidR="00A87762" w:rsidRPr="00C20926">
        <w:rPr>
          <w:sz w:val="28"/>
          <w:szCs w:val="28"/>
          <w:lang w:val="en-GB"/>
        </w:rPr>
        <w:t xml:space="preserve">comparable </w:t>
      </w:r>
      <w:r w:rsidR="005D40C3" w:rsidRPr="00C20926">
        <w:rPr>
          <w:sz w:val="28"/>
          <w:szCs w:val="28"/>
          <w:lang w:val="en-GB"/>
        </w:rPr>
        <w:t>provisions in</w:t>
      </w:r>
      <w:r w:rsidR="00A87762" w:rsidRPr="00C20926">
        <w:rPr>
          <w:sz w:val="28"/>
          <w:szCs w:val="28"/>
          <w:lang w:val="en-GB"/>
        </w:rPr>
        <w:t xml:space="preserve"> the Companies Act and the Insolvency Act</w:t>
      </w:r>
      <w:r w:rsidR="005D40C3" w:rsidRPr="00C20926">
        <w:rPr>
          <w:sz w:val="28"/>
          <w:szCs w:val="28"/>
          <w:lang w:val="en-GB"/>
        </w:rPr>
        <w:t>,</w:t>
      </w:r>
      <w:r w:rsidR="00A87762" w:rsidRPr="00C20926">
        <w:rPr>
          <w:sz w:val="28"/>
          <w:szCs w:val="28"/>
          <w:lang w:val="en-GB"/>
        </w:rPr>
        <w:t xml:space="preserve"> the transcript of </w:t>
      </w:r>
      <w:r w:rsidR="005D40C3" w:rsidRPr="00C20926">
        <w:rPr>
          <w:sz w:val="28"/>
          <w:szCs w:val="28"/>
          <w:lang w:val="en-GB"/>
        </w:rPr>
        <w:t xml:space="preserve">the evidence given at the s 50 </w:t>
      </w:r>
      <w:r w:rsidR="00A87762" w:rsidRPr="00C20926">
        <w:rPr>
          <w:sz w:val="28"/>
          <w:szCs w:val="28"/>
          <w:lang w:val="en-GB"/>
        </w:rPr>
        <w:t>inquiry</w:t>
      </w:r>
      <w:r w:rsidR="005D40C3" w:rsidRPr="00C20926">
        <w:rPr>
          <w:sz w:val="28"/>
          <w:szCs w:val="28"/>
          <w:lang w:val="en-GB"/>
        </w:rPr>
        <w:t>,</w:t>
      </w:r>
      <w:r w:rsidR="00A87762" w:rsidRPr="00C20926">
        <w:rPr>
          <w:sz w:val="28"/>
          <w:szCs w:val="28"/>
          <w:lang w:val="en-GB"/>
        </w:rPr>
        <w:t xml:space="preserve"> is admissible in the litigation between the parties</w:t>
      </w:r>
      <w:r w:rsidR="00A22446" w:rsidRPr="00C20926">
        <w:rPr>
          <w:sz w:val="28"/>
          <w:szCs w:val="28"/>
          <w:lang w:val="en-GB"/>
        </w:rPr>
        <w:t xml:space="preserve">. </w:t>
      </w:r>
      <w:r w:rsidR="00A36A7A" w:rsidRPr="00C20926">
        <w:rPr>
          <w:sz w:val="28"/>
          <w:szCs w:val="28"/>
          <w:lang w:val="en-GB"/>
        </w:rPr>
        <w:t xml:space="preserve">The </w:t>
      </w:r>
      <w:r w:rsidR="00FE254B" w:rsidRPr="00C20926">
        <w:rPr>
          <w:sz w:val="28"/>
          <w:szCs w:val="28"/>
          <w:lang w:val="en-GB"/>
        </w:rPr>
        <w:t xml:space="preserve">evidence obtained </w:t>
      </w:r>
      <w:r w:rsidR="005D40C3" w:rsidRPr="00C20926">
        <w:rPr>
          <w:sz w:val="28"/>
          <w:szCs w:val="28"/>
          <w:lang w:val="en-GB"/>
        </w:rPr>
        <w:t xml:space="preserve">pursuant to </w:t>
      </w:r>
      <w:r w:rsidR="00FE254B" w:rsidRPr="00C20926">
        <w:rPr>
          <w:sz w:val="28"/>
          <w:szCs w:val="28"/>
          <w:lang w:val="en-GB"/>
        </w:rPr>
        <w:t>s</w:t>
      </w:r>
      <w:r w:rsidR="00CD63C6" w:rsidRPr="00C20926">
        <w:rPr>
          <w:sz w:val="28"/>
          <w:szCs w:val="28"/>
          <w:lang w:val="en-GB"/>
        </w:rPr>
        <w:t xml:space="preserve"> </w:t>
      </w:r>
      <w:r w:rsidR="00FE254B" w:rsidRPr="00C20926">
        <w:rPr>
          <w:sz w:val="28"/>
          <w:szCs w:val="28"/>
          <w:lang w:val="en-GB"/>
        </w:rPr>
        <w:t>50 of the TAA</w:t>
      </w:r>
      <w:r w:rsidR="001D4D06" w:rsidRPr="00C20926">
        <w:rPr>
          <w:sz w:val="28"/>
          <w:szCs w:val="28"/>
          <w:lang w:val="en-GB"/>
        </w:rPr>
        <w:t xml:space="preserve"> serves a legitimate </w:t>
      </w:r>
      <w:r w:rsidR="00D823AF" w:rsidRPr="00C20926">
        <w:rPr>
          <w:sz w:val="28"/>
          <w:szCs w:val="28"/>
          <w:lang w:val="en-GB"/>
        </w:rPr>
        <w:t>purpose, which is</w:t>
      </w:r>
      <w:r w:rsidR="001D4D06" w:rsidRPr="00C20926">
        <w:rPr>
          <w:sz w:val="28"/>
          <w:szCs w:val="28"/>
          <w:lang w:val="en-GB"/>
        </w:rPr>
        <w:t xml:space="preserve"> </w:t>
      </w:r>
      <w:r w:rsidR="00761B07" w:rsidRPr="00C20926">
        <w:rPr>
          <w:sz w:val="28"/>
          <w:szCs w:val="28"/>
          <w:lang w:val="en-GB"/>
        </w:rPr>
        <w:t xml:space="preserve">to enable </w:t>
      </w:r>
      <w:r w:rsidR="005D40C3" w:rsidRPr="00C20926">
        <w:rPr>
          <w:sz w:val="28"/>
          <w:szCs w:val="28"/>
          <w:lang w:val="en-GB"/>
        </w:rPr>
        <w:t>SARS</w:t>
      </w:r>
      <w:r w:rsidR="00761B07" w:rsidRPr="00C20926">
        <w:rPr>
          <w:sz w:val="28"/>
          <w:szCs w:val="28"/>
          <w:lang w:val="en-GB"/>
        </w:rPr>
        <w:t xml:space="preserve"> to </w:t>
      </w:r>
      <w:r w:rsidR="002425C2" w:rsidRPr="00C20926">
        <w:rPr>
          <w:sz w:val="28"/>
          <w:szCs w:val="28"/>
          <w:lang w:val="en-GB"/>
        </w:rPr>
        <w:t>execute its statutory duty</w:t>
      </w:r>
      <w:r w:rsidR="005D40C3" w:rsidRPr="00C20926">
        <w:rPr>
          <w:sz w:val="28"/>
          <w:szCs w:val="28"/>
          <w:lang w:val="en-GB"/>
        </w:rPr>
        <w:t>, inter alia, to recover tax debts due to the fiscus.</w:t>
      </w:r>
      <w:r w:rsidR="001D4D06" w:rsidRPr="00C20926">
        <w:rPr>
          <w:sz w:val="28"/>
          <w:szCs w:val="28"/>
          <w:lang w:val="en-GB"/>
        </w:rPr>
        <w:t xml:space="preserve"> </w:t>
      </w:r>
    </w:p>
    <w:p w14:paraId="3575650F" w14:textId="77777777" w:rsidR="008838E1" w:rsidRPr="00C20926" w:rsidRDefault="008838E1" w:rsidP="00C22C0A">
      <w:pPr>
        <w:rPr>
          <w:sz w:val="28"/>
          <w:szCs w:val="28"/>
          <w:lang w:val="en-GB"/>
        </w:rPr>
      </w:pPr>
    </w:p>
    <w:p w14:paraId="667E5543" w14:textId="3EB8F26C" w:rsidR="001E20A3" w:rsidRPr="00C20926" w:rsidRDefault="00CD63C6" w:rsidP="00C22C0A">
      <w:pPr>
        <w:rPr>
          <w:sz w:val="28"/>
          <w:szCs w:val="28"/>
          <w:lang w:val="en-GB"/>
        </w:rPr>
      </w:pPr>
      <w:r w:rsidRPr="00C20926">
        <w:rPr>
          <w:sz w:val="28"/>
          <w:szCs w:val="28"/>
          <w:lang w:val="en-GB"/>
        </w:rPr>
        <w:t>[</w:t>
      </w:r>
      <w:r w:rsidR="005D40C3" w:rsidRPr="00C20926">
        <w:rPr>
          <w:sz w:val="28"/>
          <w:szCs w:val="28"/>
          <w:lang w:val="en-GB"/>
        </w:rPr>
        <w:t>6</w:t>
      </w:r>
      <w:r w:rsidR="00DB47F8" w:rsidRPr="00C20926">
        <w:rPr>
          <w:sz w:val="28"/>
          <w:szCs w:val="28"/>
          <w:lang w:val="en-GB"/>
        </w:rPr>
        <w:t>5</w:t>
      </w:r>
      <w:r w:rsidRPr="00C20926">
        <w:rPr>
          <w:sz w:val="28"/>
          <w:szCs w:val="28"/>
          <w:lang w:val="en-GB"/>
        </w:rPr>
        <w:t>]</w:t>
      </w:r>
      <w:r w:rsidR="006456DD" w:rsidRPr="00C20926">
        <w:rPr>
          <w:sz w:val="28"/>
          <w:szCs w:val="28"/>
          <w:lang w:val="en-GB"/>
        </w:rPr>
        <w:tab/>
      </w:r>
      <w:r w:rsidR="00C22C0A" w:rsidRPr="00C20926">
        <w:rPr>
          <w:sz w:val="28"/>
          <w:szCs w:val="28"/>
          <w:lang w:val="en-GB"/>
        </w:rPr>
        <w:t>The appellants</w:t>
      </w:r>
      <w:r w:rsidR="000D088D" w:rsidRPr="00C20926">
        <w:rPr>
          <w:sz w:val="28"/>
          <w:szCs w:val="28"/>
          <w:lang w:val="en-GB"/>
        </w:rPr>
        <w:t>’</w:t>
      </w:r>
      <w:r w:rsidR="00C22C0A" w:rsidRPr="00C20926">
        <w:rPr>
          <w:sz w:val="28"/>
          <w:szCs w:val="28"/>
          <w:lang w:val="en-GB"/>
        </w:rPr>
        <w:t xml:space="preserve"> rel</w:t>
      </w:r>
      <w:r w:rsidR="000D088D" w:rsidRPr="00C20926">
        <w:rPr>
          <w:sz w:val="28"/>
          <w:szCs w:val="28"/>
          <w:lang w:val="en-GB"/>
        </w:rPr>
        <w:t xml:space="preserve">iance upon their right to </w:t>
      </w:r>
      <w:r w:rsidR="00C22C0A" w:rsidRPr="00C20926">
        <w:rPr>
          <w:sz w:val="28"/>
          <w:szCs w:val="28"/>
          <w:lang w:val="en-GB"/>
        </w:rPr>
        <w:t>a fair hearing</w:t>
      </w:r>
      <w:r w:rsidR="000D088D" w:rsidRPr="00C20926">
        <w:rPr>
          <w:sz w:val="28"/>
          <w:szCs w:val="28"/>
          <w:lang w:val="en-GB"/>
        </w:rPr>
        <w:t xml:space="preserve">, </w:t>
      </w:r>
      <w:r w:rsidR="00C22C0A" w:rsidRPr="00C20926">
        <w:rPr>
          <w:sz w:val="28"/>
          <w:szCs w:val="28"/>
          <w:lang w:val="en-GB"/>
        </w:rPr>
        <w:t>as envisaged in s 34 of the Constitution</w:t>
      </w:r>
      <w:r w:rsidR="000D088D" w:rsidRPr="00C20926">
        <w:rPr>
          <w:sz w:val="28"/>
          <w:szCs w:val="28"/>
          <w:lang w:val="en-GB"/>
        </w:rPr>
        <w:t>, d</w:t>
      </w:r>
      <w:r w:rsidR="00335F6E" w:rsidRPr="00C20926">
        <w:rPr>
          <w:sz w:val="28"/>
          <w:szCs w:val="28"/>
          <w:lang w:val="en-GB"/>
        </w:rPr>
        <w:t>oe</w:t>
      </w:r>
      <w:r w:rsidR="000D088D" w:rsidRPr="00C20926">
        <w:rPr>
          <w:sz w:val="28"/>
          <w:szCs w:val="28"/>
          <w:lang w:val="en-GB"/>
        </w:rPr>
        <w:t>s not avail them</w:t>
      </w:r>
      <w:r w:rsidR="00C22C0A" w:rsidRPr="00C20926">
        <w:rPr>
          <w:sz w:val="28"/>
          <w:szCs w:val="28"/>
          <w:lang w:val="en-GB"/>
        </w:rPr>
        <w:t xml:space="preserve">. The argument was that the high court erred in relying on Constitutional Court cases that were decided under the </w:t>
      </w:r>
      <w:r w:rsidR="000D088D" w:rsidRPr="00C20926">
        <w:rPr>
          <w:sz w:val="28"/>
          <w:szCs w:val="28"/>
          <w:lang w:val="en-GB"/>
        </w:rPr>
        <w:t xml:space="preserve">1993 </w:t>
      </w:r>
      <w:r w:rsidR="00C22C0A" w:rsidRPr="00C20926">
        <w:rPr>
          <w:sz w:val="28"/>
          <w:szCs w:val="28"/>
          <w:lang w:val="en-GB"/>
        </w:rPr>
        <w:t xml:space="preserve">Constitution which did not expressly provide for a fair trial. </w:t>
      </w:r>
      <w:r w:rsidR="00CE5D78" w:rsidRPr="00C20926">
        <w:rPr>
          <w:sz w:val="28"/>
          <w:szCs w:val="28"/>
          <w:lang w:val="en-GB"/>
        </w:rPr>
        <w:t>However,</w:t>
      </w:r>
      <w:r w:rsidR="00C22C0A" w:rsidRPr="00C20926">
        <w:rPr>
          <w:sz w:val="28"/>
          <w:szCs w:val="28"/>
          <w:lang w:val="en-GB"/>
        </w:rPr>
        <w:t xml:space="preserve"> </w:t>
      </w:r>
      <w:r w:rsidR="000D088D" w:rsidRPr="00C20926">
        <w:rPr>
          <w:i/>
          <w:sz w:val="28"/>
          <w:szCs w:val="28"/>
          <w:lang w:val="en-GB"/>
        </w:rPr>
        <w:t>Ferreira</w:t>
      </w:r>
      <w:r w:rsidR="00C22C0A" w:rsidRPr="00C20926">
        <w:rPr>
          <w:i/>
          <w:sz w:val="28"/>
          <w:szCs w:val="28"/>
          <w:lang w:val="en-GB"/>
        </w:rPr>
        <w:t xml:space="preserve"> v Levin No and </w:t>
      </w:r>
      <w:r w:rsidR="003D13B4" w:rsidRPr="00C20926">
        <w:rPr>
          <w:i/>
          <w:sz w:val="28"/>
          <w:szCs w:val="28"/>
          <w:lang w:val="en-GB"/>
        </w:rPr>
        <w:t>O</w:t>
      </w:r>
      <w:r w:rsidR="00C22C0A" w:rsidRPr="00C20926">
        <w:rPr>
          <w:i/>
          <w:sz w:val="28"/>
          <w:szCs w:val="28"/>
          <w:lang w:val="en-GB"/>
        </w:rPr>
        <w:t xml:space="preserve">thers; Vryenhoek and </w:t>
      </w:r>
      <w:r w:rsidR="003D13B4" w:rsidRPr="00C20926">
        <w:rPr>
          <w:i/>
          <w:sz w:val="28"/>
          <w:szCs w:val="28"/>
          <w:lang w:val="en-GB"/>
        </w:rPr>
        <w:t>O</w:t>
      </w:r>
      <w:r w:rsidR="00C22C0A" w:rsidRPr="00C20926">
        <w:rPr>
          <w:i/>
          <w:sz w:val="28"/>
          <w:szCs w:val="28"/>
          <w:lang w:val="en-GB"/>
        </w:rPr>
        <w:t xml:space="preserve">thers v Powell NO and </w:t>
      </w:r>
      <w:r w:rsidR="003D13B4" w:rsidRPr="00C20926">
        <w:rPr>
          <w:i/>
          <w:sz w:val="28"/>
          <w:szCs w:val="28"/>
          <w:lang w:val="en-GB"/>
        </w:rPr>
        <w:t>O</w:t>
      </w:r>
      <w:r w:rsidR="00C22C0A" w:rsidRPr="00C20926">
        <w:rPr>
          <w:i/>
          <w:sz w:val="28"/>
          <w:szCs w:val="28"/>
          <w:lang w:val="en-GB"/>
        </w:rPr>
        <w:t>thers</w:t>
      </w:r>
      <w:r w:rsidR="003D13B4" w:rsidRPr="00C20926">
        <w:rPr>
          <w:i/>
          <w:sz w:val="28"/>
          <w:lang w:val="en-GB"/>
        </w:rPr>
        <w:t xml:space="preserve"> </w:t>
      </w:r>
      <w:r w:rsidR="003D13B4" w:rsidRPr="00C20926">
        <w:rPr>
          <w:sz w:val="28"/>
          <w:szCs w:val="28"/>
          <w:lang w:val="en-GB"/>
        </w:rPr>
        <w:t>(</w:t>
      </w:r>
      <w:r w:rsidR="003D13B4" w:rsidRPr="00C20926">
        <w:rPr>
          <w:i/>
          <w:sz w:val="28"/>
          <w:lang w:val="en-GB"/>
        </w:rPr>
        <w:t>Ferreira</w:t>
      </w:r>
      <w:r w:rsidR="003D13B4" w:rsidRPr="00C20926">
        <w:rPr>
          <w:sz w:val="28"/>
          <w:szCs w:val="28"/>
          <w:lang w:val="en-GB"/>
        </w:rPr>
        <w:t>),</w:t>
      </w:r>
      <w:r w:rsidR="00C22C0A" w:rsidRPr="00C20926">
        <w:rPr>
          <w:rStyle w:val="FootnoteReference"/>
          <w:sz w:val="28"/>
          <w:szCs w:val="28"/>
          <w:lang w:val="en-GB"/>
        </w:rPr>
        <w:footnoteReference w:id="32"/>
      </w:r>
      <w:r w:rsidR="00C22C0A" w:rsidRPr="00C20926">
        <w:rPr>
          <w:sz w:val="28"/>
          <w:szCs w:val="28"/>
          <w:lang w:val="en-GB"/>
        </w:rPr>
        <w:t xml:space="preserve">  and </w:t>
      </w:r>
      <w:r w:rsidR="00C22C0A" w:rsidRPr="00C20926">
        <w:rPr>
          <w:i/>
          <w:sz w:val="28"/>
          <w:szCs w:val="28"/>
          <w:lang w:val="en-GB"/>
        </w:rPr>
        <w:t>Bernstein</w:t>
      </w:r>
      <w:r w:rsidR="00CE5D78" w:rsidRPr="00C20926">
        <w:rPr>
          <w:sz w:val="28"/>
          <w:szCs w:val="28"/>
          <w:lang w:val="en-GB"/>
        </w:rPr>
        <w:t xml:space="preserve">, which were decided under the </w:t>
      </w:r>
      <w:r w:rsidR="000D088D" w:rsidRPr="00C20926">
        <w:rPr>
          <w:sz w:val="28"/>
          <w:szCs w:val="28"/>
          <w:lang w:val="en-GB"/>
        </w:rPr>
        <w:t>1993 Constitution</w:t>
      </w:r>
      <w:r w:rsidR="00CE5D78" w:rsidRPr="00C20926">
        <w:rPr>
          <w:sz w:val="28"/>
          <w:szCs w:val="28"/>
          <w:lang w:val="en-GB"/>
        </w:rPr>
        <w:t>,</w:t>
      </w:r>
      <w:r w:rsidR="000D088D" w:rsidRPr="00C20926">
        <w:rPr>
          <w:sz w:val="28"/>
          <w:szCs w:val="28"/>
          <w:lang w:val="en-GB"/>
        </w:rPr>
        <w:t xml:space="preserve"> enunciated principles which have</w:t>
      </w:r>
      <w:r w:rsidR="00C22C0A" w:rsidRPr="00C20926">
        <w:rPr>
          <w:sz w:val="28"/>
          <w:szCs w:val="28"/>
          <w:lang w:val="en-GB"/>
        </w:rPr>
        <w:t xml:space="preserve"> been consistently applied </w:t>
      </w:r>
      <w:r w:rsidR="00CE5D78" w:rsidRPr="00C20926">
        <w:rPr>
          <w:sz w:val="28"/>
          <w:szCs w:val="28"/>
          <w:lang w:val="en-GB"/>
        </w:rPr>
        <w:t xml:space="preserve">under </w:t>
      </w:r>
      <w:r w:rsidR="00C22C0A" w:rsidRPr="00C20926">
        <w:rPr>
          <w:sz w:val="28"/>
          <w:szCs w:val="28"/>
          <w:lang w:val="en-GB"/>
        </w:rPr>
        <w:t xml:space="preserve">the </w:t>
      </w:r>
      <w:r w:rsidR="000D088D" w:rsidRPr="00C20926">
        <w:rPr>
          <w:sz w:val="28"/>
          <w:szCs w:val="28"/>
          <w:lang w:val="en-GB"/>
        </w:rPr>
        <w:t>1996</w:t>
      </w:r>
      <w:r w:rsidR="00C22C0A" w:rsidRPr="00C20926">
        <w:rPr>
          <w:sz w:val="28"/>
          <w:szCs w:val="28"/>
          <w:lang w:val="en-GB"/>
        </w:rPr>
        <w:t xml:space="preserve"> Constitution.</w:t>
      </w:r>
      <w:r w:rsidR="000D088D" w:rsidRPr="00C20926">
        <w:rPr>
          <w:rStyle w:val="FootnoteReference"/>
          <w:sz w:val="28"/>
          <w:szCs w:val="28"/>
          <w:lang w:val="en-GB"/>
        </w:rPr>
        <w:footnoteReference w:id="33"/>
      </w:r>
    </w:p>
    <w:p w14:paraId="0727371A" w14:textId="77777777" w:rsidR="001E20A3" w:rsidRPr="00C20926" w:rsidRDefault="001E20A3" w:rsidP="00C22C0A">
      <w:pPr>
        <w:rPr>
          <w:sz w:val="28"/>
          <w:szCs w:val="28"/>
          <w:lang w:val="en-GB"/>
        </w:rPr>
      </w:pPr>
    </w:p>
    <w:p w14:paraId="2437E8EC" w14:textId="056FA483" w:rsidR="0001767F" w:rsidRPr="00C20926" w:rsidRDefault="001E20A3" w:rsidP="00CF4C5A">
      <w:pPr>
        <w:rPr>
          <w:sz w:val="28"/>
          <w:szCs w:val="28"/>
          <w:lang w:val="en-GB"/>
        </w:rPr>
      </w:pPr>
      <w:r w:rsidRPr="00C20926">
        <w:rPr>
          <w:sz w:val="28"/>
          <w:szCs w:val="28"/>
          <w:lang w:val="en-GB"/>
        </w:rPr>
        <w:t>[</w:t>
      </w:r>
      <w:r w:rsidR="00E95379" w:rsidRPr="00C20926">
        <w:rPr>
          <w:sz w:val="28"/>
          <w:szCs w:val="28"/>
          <w:lang w:val="en-GB"/>
        </w:rPr>
        <w:t>6</w:t>
      </w:r>
      <w:r w:rsidR="00DB47F8" w:rsidRPr="00C20926">
        <w:rPr>
          <w:sz w:val="28"/>
          <w:szCs w:val="28"/>
          <w:lang w:val="en-GB"/>
        </w:rPr>
        <w:t>6</w:t>
      </w:r>
      <w:r w:rsidRPr="00C20926">
        <w:rPr>
          <w:sz w:val="28"/>
          <w:szCs w:val="28"/>
          <w:lang w:val="en-GB"/>
        </w:rPr>
        <w:t>]</w:t>
      </w:r>
      <w:r w:rsidR="006456DD" w:rsidRPr="00C20926">
        <w:rPr>
          <w:sz w:val="28"/>
          <w:szCs w:val="28"/>
          <w:lang w:val="en-GB"/>
        </w:rPr>
        <w:tab/>
      </w:r>
      <w:r w:rsidRPr="00C20926">
        <w:rPr>
          <w:sz w:val="28"/>
          <w:szCs w:val="28"/>
          <w:lang w:val="en-GB"/>
        </w:rPr>
        <w:t>The</w:t>
      </w:r>
      <w:r w:rsidR="00B25758" w:rsidRPr="00C20926">
        <w:rPr>
          <w:sz w:val="28"/>
          <w:szCs w:val="28"/>
          <w:lang w:val="en-GB"/>
        </w:rPr>
        <w:t xml:space="preserve"> high court</w:t>
      </w:r>
      <w:r w:rsidR="00BE0D46" w:rsidRPr="00C20926">
        <w:rPr>
          <w:sz w:val="28"/>
          <w:szCs w:val="28"/>
          <w:lang w:val="en-GB"/>
        </w:rPr>
        <w:t xml:space="preserve"> was alive to these considerations. It </w:t>
      </w:r>
      <w:r w:rsidR="000553FF" w:rsidRPr="00C20926">
        <w:rPr>
          <w:sz w:val="28"/>
          <w:szCs w:val="28"/>
          <w:lang w:val="en-GB"/>
        </w:rPr>
        <w:t xml:space="preserve">referred to </w:t>
      </w:r>
      <w:bookmarkStart w:id="13" w:name="_Hlk169773655"/>
      <w:r w:rsidR="000553FF" w:rsidRPr="00C20926">
        <w:rPr>
          <w:i/>
          <w:iCs/>
          <w:sz w:val="28"/>
          <w:szCs w:val="28"/>
          <w:lang w:val="en-GB"/>
        </w:rPr>
        <w:t>Benson</w:t>
      </w:r>
      <w:r w:rsidR="00BE0D46" w:rsidRPr="00C20926">
        <w:rPr>
          <w:i/>
          <w:iCs/>
          <w:sz w:val="28"/>
          <w:szCs w:val="28"/>
          <w:lang w:val="en-GB"/>
        </w:rPr>
        <w:t>: I</w:t>
      </w:r>
      <w:r w:rsidR="000553FF" w:rsidRPr="00C20926">
        <w:rPr>
          <w:i/>
          <w:iCs/>
          <w:sz w:val="28"/>
          <w:szCs w:val="28"/>
          <w:lang w:val="en-GB"/>
        </w:rPr>
        <w:t>n re Tait</w:t>
      </w:r>
      <w:r w:rsidR="00BE0D46" w:rsidRPr="00C20926">
        <w:rPr>
          <w:i/>
          <w:iCs/>
          <w:sz w:val="28"/>
          <w:szCs w:val="28"/>
          <w:lang w:val="en-GB"/>
        </w:rPr>
        <w:t xml:space="preserve"> </w:t>
      </w:r>
      <w:r w:rsidR="000553FF" w:rsidRPr="00C20926">
        <w:rPr>
          <w:i/>
          <w:iCs/>
          <w:sz w:val="28"/>
          <w:szCs w:val="28"/>
          <w:lang w:val="en-GB"/>
        </w:rPr>
        <w:t>N.O</w:t>
      </w:r>
      <w:r w:rsidR="00BE0D46" w:rsidRPr="00C20926">
        <w:rPr>
          <w:i/>
          <w:iCs/>
          <w:sz w:val="28"/>
          <w:szCs w:val="28"/>
          <w:lang w:val="en-GB"/>
        </w:rPr>
        <w:t>.</w:t>
      </w:r>
      <w:r w:rsidR="000553FF" w:rsidRPr="00C20926">
        <w:rPr>
          <w:i/>
          <w:iCs/>
          <w:sz w:val="28"/>
          <w:szCs w:val="28"/>
          <w:lang w:val="en-GB"/>
        </w:rPr>
        <w:t xml:space="preserve"> </w:t>
      </w:r>
      <w:r w:rsidR="00AC73B3" w:rsidRPr="00C20926">
        <w:rPr>
          <w:i/>
          <w:iCs/>
          <w:sz w:val="28"/>
          <w:szCs w:val="28"/>
          <w:lang w:val="en-GB"/>
        </w:rPr>
        <w:t>and Others v Jason</w:t>
      </w:r>
      <w:r w:rsidR="00BE0D46" w:rsidRPr="00C20926">
        <w:rPr>
          <w:i/>
          <w:iCs/>
          <w:sz w:val="28"/>
          <w:szCs w:val="28"/>
          <w:lang w:val="en-GB"/>
        </w:rPr>
        <w:t xml:space="preserve"> </w:t>
      </w:r>
      <w:r w:rsidR="00AC73B3" w:rsidRPr="00C20926">
        <w:rPr>
          <w:i/>
          <w:iCs/>
          <w:sz w:val="28"/>
          <w:szCs w:val="28"/>
          <w:lang w:val="en-GB"/>
        </w:rPr>
        <w:t>and Others</w:t>
      </w:r>
      <w:bookmarkEnd w:id="13"/>
      <w:r w:rsidR="00BE0D46" w:rsidRPr="00C20926">
        <w:rPr>
          <w:i/>
          <w:iCs/>
          <w:sz w:val="28"/>
          <w:szCs w:val="28"/>
          <w:lang w:val="en-GB"/>
        </w:rPr>
        <w:t>,</w:t>
      </w:r>
      <w:r w:rsidR="00BE0D46" w:rsidRPr="00C20926">
        <w:rPr>
          <w:rStyle w:val="FootnoteReference"/>
          <w:sz w:val="28"/>
          <w:szCs w:val="28"/>
          <w:lang w:val="en-GB"/>
        </w:rPr>
        <w:footnoteReference w:id="34"/>
      </w:r>
      <w:r w:rsidR="00DB47F8" w:rsidRPr="00C20926">
        <w:rPr>
          <w:i/>
          <w:iCs/>
          <w:sz w:val="28"/>
          <w:szCs w:val="28"/>
          <w:lang w:val="en-GB"/>
        </w:rPr>
        <w:t xml:space="preserve"> </w:t>
      </w:r>
      <w:r w:rsidR="00D078B9" w:rsidRPr="00C20926">
        <w:rPr>
          <w:sz w:val="28"/>
          <w:szCs w:val="28"/>
          <w:lang w:val="en-GB"/>
        </w:rPr>
        <w:t xml:space="preserve">where it was held that </w:t>
      </w:r>
      <w:r w:rsidR="000D4CA1" w:rsidRPr="00C20926">
        <w:rPr>
          <w:sz w:val="28"/>
          <w:szCs w:val="28"/>
          <w:lang w:val="en-GB"/>
        </w:rPr>
        <w:t>the provisions of s</w:t>
      </w:r>
      <w:r w:rsidR="00BE0D46" w:rsidRPr="00C20926">
        <w:rPr>
          <w:sz w:val="28"/>
          <w:szCs w:val="28"/>
          <w:lang w:val="en-GB"/>
        </w:rPr>
        <w:t xml:space="preserve"> </w:t>
      </w:r>
      <w:r w:rsidR="000D4CA1" w:rsidRPr="00C20926">
        <w:rPr>
          <w:sz w:val="28"/>
          <w:szCs w:val="28"/>
          <w:lang w:val="en-GB"/>
        </w:rPr>
        <w:t>417 and 418 do not cause</w:t>
      </w:r>
      <w:r w:rsidR="00347A0D" w:rsidRPr="00C20926">
        <w:rPr>
          <w:sz w:val="28"/>
          <w:szCs w:val="28"/>
          <w:lang w:val="en-GB"/>
        </w:rPr>
        <w:t xml:space="preserve"> an unjustifiable infringement of constitutional rights</w:t>
      </w:r>
      <w:r w:rsidR="004A5A33" w:rsidRPr="00C20926">
        <w:rPr>
          <w:sz w:val="28"/>
          <w:szCs w:val="28"/>
          <w:lang w:val="en-GB"/>
        </w:rPr>
        <w:t>.</w:t>
      </w:r>
      <w:r w:rsidR="00BE0D46" w:rsidRPr="00C20926">
        <w:rPr>
          <w:sz w:val="28"/>
          <w:szCs w:val="28"/>
          <w:lang w:val="en-GB"/>
        </w:rPr>
        <w:t xml:space="preserve"> </w:t>
      </w:r>
      <w:r w:rsidR="004A5A33" w:rsidRPr="00C20926">
        <w:rPr>
          <w:sz w:val="28"/>
          <w:szCs w:val="28"/>
          <w:lang w:val="en-GB"/>
        </w:rPr>
        <w:t xml:space="preserve">It was also pointed out that whether any constitutional rights were infringed will depend </w:t>
      </w:r>
      <w:r w:rsidR="0073092B" w:rsidRPr="00C20926">
        <w:rPr>
          <w:sz w:val="28"/>
          <w:szCs w:val="28"/>
          <w:lang w:val="en-GB"/>
        </w:rPr>
        <w:t>on the manner in which the inquiry is conducted</w:t>
      </w:r>
      <w:r w:rsidR="00A716BA" w:rsidRPr="00C20926">
        <w:rPr>
          <w:sz w:val="28"/>
          <w:szCs w:val="28"/>
          <w:lang w:val="en-GB"/>
        </w:rPr>
        <w:t>.</w:t>
      </w:r>
      <w:r w:rsidR="00BE0D46" w:rsidRPr="00C20926">
        <w:rPr>
          <w:sz w:val="28"/>
          <w:szCs w:val="28"/>
          <w:lang w:val="en-GB"/>
        </w:rPr>
        <w:t xml:space="preserve"> It is the primary responsibility of a trial court to ensure t</w:t>
      </w:r>
      <w:r w:rsidR="00861F94" w:rsidRPr="00C20926">
        <w:rPr>
          <w:sz w:val="28"/>
          <w:szCs w:val="28"/>
          <w:lang w:val="en-GB"/>
        </w:rPr>
        <w:t xml:space="preserve">he fairness </w:t>
      </w:r>
      <w:r w:rsidR="002B63C3" w:rsidRPr="00C20926">
        <w:rPr>
          <w:sz w:val="28"/>
          <w:szCs w:val="28"/>
          <w:lang w:val="en-GB"/>
        </w:rPr>
        <w:t xml:space="preserve">of </w:t>
      </w:r>
      <w:r w:rsidR="00BE0D46" w:rsidRPr="00C20926">
        <w:rPr>
          <w:sz w:val="28"/>
          <w:szCs w:val="28"/>
          <w:lang w:val="en-GB"/>
        </w:rPr>
        <w:t>a</w:t>
      </w:r>
      <w:r w:rsidR="002B63C3" w:rsidRPr="00C20926">
        <w:rPr>
          <w:sz w:val="28"/>
          <w:szCs w:val="28"/>
          <w:lang w:val="en-GB"/>
        </w:rPr>
        <w:t xml:space="preserve"> trial</w:t>
      </w:r>
      <w:r w:rsidR="00BE0D46" w:rsidRPr="00C20926">
        <w:rPr>
          <w:sz w:val="28"/>
          <w:szCs w:val="28"/>
          <w:lang w:val="en-GB"/>
        </w:rPr>
        <w:t>. It does so by careful consideration of the circumstances in which evidence sought to be admitted was obtai</w:t>
      </w:r>
      <w:r w:rsidR="00E95379" w:rsidRPr="00C20926">
        <w:rPr>
          <w:sz w:val="28"/>
          <w:szCs w:val="28"/>
          <w:lang w:val="en-GB"/>
        </w:rPr>
        <w:t xml:space="preserve">ned and the purpose for which it is to be admitted. The high court was therefore </w:t>
      </w:r>
      <w:r w:rsidR="00E95379" w:rsidRPr="00C20926">
        <w:rPr>
          <w:sz w:val="28"/>
          <w:szCs w:val="28"/>
          <w:lang w:val="en-GB"/>
        </w:rPr>
        <w:lastRenderedPageBreak/>
        <w:t xml:space="preserve">correct to find </w:t>
      </w:r>
      <w:r w:rsidR="0058623B" w:rsidRPr="00C20926">
        <w:rPr>
          <w:sz w:val="28"/>
          <w:szCs w:val="28"/>
          <w:lang w:val="en-GB"/>
        </w:rPr>
        <w:t>that</w:t>
      </w:r>
      <w:r w:rsidR="008A12BE" w:rsidRPr="00C20926">
        <w:rPr>
          <w:sz w:val="28"/>
          <w:szCs w:val="28"/>
          <w:lang w:val="en-GB"/>
        </w:rPr>
        <w:t xml:space="preserve"> the </w:t>
      </w:r>
      <w:r w:rsidR="00CE5D78" w:rsidRPr="00C20926">
        <w:rPr>
          <w:sz w:val="28"/>
          <w:szCs w:val="28"/>
          <w:lang w:val="en-GB"/>
        </w:rPr>
        <w:t xml:space="preserve">trial </w:t>
      </w:r>
      <w:r w:rsidR="008A12BE" w:rsidRPr="00C20926">
        <w:rPr>
          <w:sz w:val="28"/>
          <w:szCs w:val="28"/>
          <w:lang w:val="en-GB"/>
        </w:rPr>
        <w:t xml:space="preserve">court </w:t>
      </w:r>
      <w:r w:rsidR="00ED173E" w:rsidRPr="00C20926">
        <w:rPr>
          <w:sz w:val="28"/>
          <w:szCs w:val="28"/>
          <w:lang w:val="en-GB"/>
        </w:rPr>
        <w:t>is best placed to determine</w:t>
      </w:r>
      <w:r w:rsidR="0061726A" w:rsidRPr="00C20926">
        <w:rPr>
          <w:sz w:val="28"/>
          <w:szCs w:val="28"/>
          <w:lang w:val="en-GB"/>
        </w:rPr>
        <w:t xml:space="preserve"> </w:t>
      </w:r>
      <w:r w:rsidR="00E95379" w:rsidRPr="00C20926">
        <w:rPr>
          <w:sz w:val="28"/>
          <w:szCs w:val="28"/>
          <w:lang w:val="en-GB"/>
        </w:rPr>
        <w:t>the latter question and the</w:t>
      </w:r>
      <w:r w:rsidR="002D1513" w:rsidRPr="00C20926">
        <w:rPr>
          <w:sz w:val="28"/>
          <w:szCs w:val="28"/>
          <w:lang w:val="en-GB"/>
        </w:rPr>
        <w:t xml:space="preserve"> </w:t>
      </w:r>
      <w:r w:rsidR="00CE5D78" w:rsidRPr="00C20926">
        <w:rPr>
          <w:sz w:val="28"/>
          <w:szCs w:val="28"/>
          <w:lang w:val="en-GB"/>
        </w:rPr>
        <w:t xml:space="preserve">probative </w:t>
      </w:r>
      <w:r w:rsidR="00997D47" w:rsidRPr="00C20926">
        <w:rPr>
          <w:sz w:val="28"/>
          <w:szCs w:val="28"/>
          <w:lang w:val="en-GB"/>
        </w:rPr>
        <w:t>value and weight that should be given to the evidence</w:t>
      </w:r>
      <w:r w:rsidR="004546DE" w:rsidRPr="00C20926">
        <w:rPr>
          <w:sz w:val="28"/>
          <w:szCs w:val="28"/>
          <w:lang w:val="en-GB"/>
        </w:rPr>
        <w:t>, if any</w:t>
      </w:r>
      <w:r w:rsidR="00C22C0A" w:rsidRPr="00C20926">
        <w:rPr>
          <w:sz w:val="28"/>
          <w:szCs w:val="28"/>
          <w:lang w:val="en-GB"/>
        </w:rPr>
        <w:t xml:space="preserve">. </w:t>
      </w:r>
    </w:p>
    <w:p w14:paraId="26231889" w14:textId="77777777" w:rsidR="00CD63C6" w:rsidRPr="00C20926" w:rsidRDefault="00CD63C6" w:rsidP="00CF4C5A">
      <w:pPr>
        <w:rPr>
          <w:sz w:val="28"/>
          <w:szCs w:val="28"/>
          <w:lang w:val="en-GB"/>
        </w:rPr>
      </w:pPr>
    </w:p>
    <w:p w14:paraId="399E01FE" w14:textId="3CABAA2A" w:rsidR="00924B70" w:rsidRPr="00C20926" w:rsidRDefault="002D1513" w:rsidP="00CF4C5A">
      <w:pPr>
        <w:rPr>
          <w:sz w:val="28"/>
          <w:szCs w:val="28"/>
          <w:lang w:val="en-GB"/>
        </w:rPr>
      </w:pPr>
      <w:r w:rsidRPr="00C20926">
        <w:rPr>
          <w:sz w:val="28"/>
          <w:szCs w:val="28"/>
          <w:lang w:val="en-GB"/>
        </w:rPr>
        <w:t>[</w:t>
      </w:r>
      <w:r w:rsidR="00E95379" w:rsidRPr="00C20926">
        <w:rPr>
          <w:sz w:val="28"/>
          <w:szCs w:val="28"/>
          <w:lang w:val="en-GB"/>
        </w:rPr>
        <w:t>6</w:t>
      </w:r>
      <w:r w:rsidR="00DB47F8" w:rsidRPr="00C20926">
        <w:rPr>
          <w:sz w:val="28"/>
          <w:szCs w:val="28"/>
          <w:lang w:val="en-GB"/>
        </w:rPr>
        <w:t>7</w:t>
      </w:r>
      <w:r w:rsidRPr="00C20926">
        <w:rPr>
          <w:sz w:val="28"/>
          <w:szCs w:val="28"/>
          <w:lang w:val="en-GB"/>
        </w:rPr>
        <w:t>]</w:t>
      </w:r>
      <w:r w:rsidR="006456DD" w:rsidRPr="00C20926">
        <w:rPr>
          <w:sz w:val="28"/>
          <w:szCs w:val="28"/>
          <w:lang w:val="en-GB"/>
        </w:rPr>
        <w:tab/>
      </w:r>
      <w:r w:rsidR="004546DE" w:rsidRPr="00C20926">
        <w:rPr>
          <w:sz w:val="28"/>
          <w:szCs w:val="28"/>
          <w:lang w:val="en-GB"/>
        </w:rPr>
        <w:t>In the result we make the following order:</w:t>
      </w:r>
    </w:p>
    <w:p w14:paraId="5F128103" w14:textId="7C911F90" w:rsidR="004546DE" w:rsidRDefault="004546DE" w:rsidP="00CF4C5A">
      <w:pPr>
        <w:rPr>
          <w:sz w:val="28"/>
          <w:szCs w:val="28"/>
          <w:lang w:val="en-GB"/>
        </w:rPr>
      </w:pPr>
      <w:r w:rsidRPr="00C20926">
        <w:rPr>
          <w:sz w:val="28"/>
          <w:szCs w:val="28"/>
          <w:lang w:val="en-GB"/>
        </w:rPr>
        <w:t>The appeal is dismissed with costs, incl</w:t>
      </w:r>
      <w:r w:rsidR="003D13B4" w:rsidRPr="00C20926">
        <w:rPr>
          <w:sz w:val="28"/>
          <w:szCs w:val="28"/>
          <w:lang w:val="en-GB"/>
        </w:rPr>
        <w:t>uding the costs of two counsel.</w:t>
      </w:r>
    </w:p>
    <w:p w14:paraId="48999677" w14:textId="16056F08" w:rsidR="00295AA7" w:rsidRDefault="00295AA7" w:rsidP="00CF4C5A">
      <w:pPr>
        <w:rPr>
          <w:sz w:val="28"/>
          <w:szCs w:val="28"/>
          <w:lang w:val="en-GB"/>
        </w:rPr>
      </w:pPr>
    </w:p>
    <w:p w14:paraId="472E3277" w14:textId="662D29BC" w:rsidR="00295AA7" w:rsidRPr="00C20926" w:rsidRDefault="00295AA7" w:rsidP="00CF4C5A">
      <w:pPr>
        <w:rPr>
          <w:sz w:val="28"/>
          <w:szCs w:val="28"/>
          <w:lang w:val="en-GB"/>
        </w:rPr>
      </w:pPr>
    </w:p>
    <w:p w14:paraId="508C72CF" w14:textId="59BEA10F" w:rsidR="00DB47F8" w:rsidRPr="00C20926" w:rsidRDefault="00D34DF8" w:rsidP="0031085B">
      <w:pPr>
        <w:rPr>
          <w:b/>
          <w:sz w:val="28"/>
          <w:szCs w:val="28"/>
          <w:lang w:val="en-GB"/>
        </w:rPr>
      </w:pPr>
      <w:r w:rsidRPr="00C20926">
        <w:rPr>
          <w:b/>
          <w:sz w:val="28"/>
          <w:szCs w:val="28"/>
          <w:lang w:val="en-GB"/>
        </w:rPr>
        <w:t xml:space="preserve"> </w:t>
      </w:r>
    </w:p>
    <w:p w14:paraId="7D5EEA12" w14:textId="632287DE" w:rsidR="00DB47F8" w:rsidRPr="00C20926" w:rsidRDefault="00DB47F8" w:rsidP="0031085B">
      <w:pPr>
        <w:rPr>
          <w:b/>
          <w:sz w:val="28"/>
          <w:szCs w:val="28"/>
          <w:lang w:val="en-GB"/>
        </w:rPr>
      </w:pPr>
    </w:p>
    <w:p w14:paraId="2C6244E5" w14:textId="77777777" w:rsidR="005C0F90" w:rsidRPr="00C20926" w:rsidRDefault="005C0F90" w:rsidP="007F4700">
      <w:pPr>
        <w:pStyle w:val="ListParagraph"/>
        <w:spacing w:line="240" w:lineRule="auto"/>
        <w:ind w:left="0"/>
        <w:jc w:val="right"/>
        <w:rPr>
          <w:sz w:val="28"/>
          <w:szCs w:val="28"/>
        </w:rPr>
      </w:pPr>
      <w:r w:rsidRPr="00C20926">
        <w:rPr>
          <w:sz w:val="28"/>
          <w:szCs w:val="28"/>
        </w:rPr>
        <w:t>___________________________</w:t>
      </w:r>
    </w:p>
    <w:p w14:paraId="50F9CBBC" w14:textId="0B3DA04F" w:rsidR="005C0F90" w:rsidRPr="00C20926" w:rsidRDefault="005C0F90" w:rsidP="007F4700">
      <w:pPr>
        <w:pStyle w:val="ListParagraph"/>
        <w:spacing w:line="240" w:lineRule="auto"/>
        <w:ind w:left="0"/>
        <w:jc w:val="right"/>
        <w:rPr>
          <w:sz w:val="28"/>
          <w:szCs w:val="28"/>
        </w:rPr>
      </w:pPr>
      <w:r w:rsidRPr="00C20926">
        <w:rPr>
          <w:sz w:val="28"/>
          <w:szCs w:val="28"/>
        </w:rPr>
        <w:t>G GOOSEN</w:t>
      </w:r>
    </w:p>
    <w:p w14:paraId="1A09D8E2" w14:textId="563BA574" w:rsidR="005C0F90" w:rsidRPr="00C20926" w:rsidRDefault="005C0F90" w:rsidP="007F4700">
      <w:pPr>
        <w:pStyle w:val="ListParagraph"/>
        <w:spacing w:line="240" w:lineRule="auto"/>
        <w:ind w:left="0"/>
        <w:jc w:val="right"/>
        <w:rPr>
          <w:sz w:val="28"/>
          <w:szCs w:val="28"/>
        </w:rPr>
      </w:pPr>
      <w:r w:rsidRPr="00C20926">
        <w:rPr>
          <w:sz w:val="28"/>
          <w:szCs w:val="28"/>
        </w:rPr>
        <w:t>JUDGE OF APPEAL</w:t>
      </w:r>
    </w:p>
    <w:p w14:paraId="76E75F88" w14:textId="081657D6" w:rsidR="0080581D" w:rsidRPr="00C20926" w:rsidRDefault="0080581D" w:rsidP="007F4700">
      <w:pPr>
        <w:rPr>
          <w:b/>
          <w:sz w:val="28"/>
          <w:szCs w:val="28"/>
          <w:lang w:val="en-GB"/>
        </w:rPr>
      </w:pPr>
    </w:p>
    <w:p w14:paraId="5E009E37" w14:textId="6981424C" w:rsidR="00DB47F8" w:rsidRPr="00C20926" w:rsidRDefault="00DB47F8" w:rsidP="007F4700">
      <w:pPr>
        <w:rPr>
          <w:b/>
          <w:sz w:val="28"/>
          <w:szCs w:val="28"/>
          <w:lang w:val="en-GB"/>
        </w:rPr>
      </w:pPr>
      <w:bookmarkStart w:id="14" w:name="_GoBack"/>
      <w:bookmarkEnd w:id="14"/>
    </w:p>
    <w:p w14:paraId="3ACBB728" w14:textId="749FD869" w:rsidR="00DB47F8" w:rsidRPr="00C20926" w:rsidRDefault="00DB47F8" w:rsidP="007F4700">
      <w:pPr>
        <w:rPr>
          <w:b/>
          <w:sz w:val="28"/>
          <w:szCs w:val="28"/>
          <w:lang w:val="en-GB"/>
        </w:rPr>
      </w:pPr>
    </w:p>
    <w:p w14:paraId="7E7852BA" w14:textId="77777777" w:rsidR="00BF09AC" w:rsidRPr="00C20926" w:rsidRDefault="00BF09AC" w:rsidP="007F4700">
      <w:pPr>
        <w:pStyle w:val="ListParagraph"/>
        <w:spacing w:line="240" w:lineRule="auto"/>
        <w:ind w:left="0"/>
        <w:jc w:val="right"/>
        <w:rPr>
          <w:sz w:val="28"/>
          <w:szCs w:val="28"/>
        </w:rPr>
      </w:pPr>
      <w:bookmarkStart w:id="15" w:name="_Hlk169516066"/>
      <w:r w:rsidRPr="00C20926">
        <w:rPr>
          <w:sz w:val="28"/>
          <w:szCs w:val="28"/>
        </w:rPr>
        <w:t>___________________</w:t>
      </w:r>
      <w:r w:rsidR="006F609A" w:rsidRPr="00C20926">
        <w:rPr>
          <w:sz w:val="28"/>
          <w:szCs w:val="28"/>
        </w:rPr>
        <w:t>______</w:t>
      </w:r>
      <w:r w:rsidRPr="00C20926">
        <w:rPr>
          <w:sz w:val="28"/>
          <w:szCs w:val="28"/>
        </w:rPr>
        <w:t>_</w:t>
      </w:r>
      <w:r w:rsidR="003E2209" w:rsidRPr="00C20926">
        <w:rPr>
          <w:sz w:val="28"/>
          <w:szCs w:val="28"/>
        </w:rPr>
        <w:t>_</w:t>
      </w:r>
    </w:p>
    <w:p w14:paraId="690AA7AC" w14:textId="77777777" w:rsidR="00BF09AC" w:rsidRPr="00C20926" w:rsidRDefault="003E2209" w:rsidP="007F4700">
      <w:pPr>
        <w:pStyle w:val="ListParagraph"/>
        <w:spacing w:line="240" w:lineRule="auto"/>
        <w:ind w:left="0"/>
        <w:jc w:val="right"/>
        <w:rPr>
          <w:sz w:val="28"/>
          <w:szCs w:val="28"/>
        </w:rPr>
      </w:pPr>
      <w:r w:rsidRPr="00C20926">
        <w:rPr>
          <w:sz w:val="28"/>
          <w:szCs w:val="28"/>
        </w:rPr>
        <w:t>R G TOLMAY</w:t>
      </w:r>
    </w:p>
    <w:p w14:paraId="58CF664C" w14:textId="77777777" w:rsidR="0031085B" w:rsidRPr="00C20926" w:rsidRDefault="006F609A" w:rsidP="007F4700">
      <w:pPr>
        <w:pStyle w:val="ListParagraph"/>
        <w:spacing w:line="240" w:lineRule="auto"/>
        <w:ind w:left="0"/>
        <w:jc w:val="right"/>
        <w:rPr>
          <w:sz w:val="28"/>
          <w:szCs w:val="28"/>
        </w:rPr>
      </w:pPr>
      <w:r w:rsidRPr="00C20926">
        <w:rPr>
          <w:sz w:val="28"/>
          <w:szCs w:val="28"/>
        </w:rPr>
        <w:t>ACTING JUDGE OF APPEAL</w:t>
      </w:r>
    </w:p>
    <w:bookmarkEnd w:id="15"/>
    <w:p w14:paraId="719352F5" w14:textId="77777777" w:rsidR="00DB47F8" w:rsidRPr="00C20926" w:rsidRDefault="00DB47F8">
      <w:pPr>
        <w:spacing w:after="160" w:line="259" w:lineRule="auto"/>
        <w:jc w:val="left"/>
        <w:rPr>
          <w:sz w:val="28"/>
          <w:szCs w:val="28"/>
        </w:rPr>
      </w:pPr>
      <w:r w:rsidRPr="00C20926">
        <w:rPr>
          <w:sz w:val="28"/>
          <w:szCs w:val="28"/>
        </w:rPr>
        <w:br w:type="page"/>
      </w:r>
    </w:p>
    <w:p w14:paraId="09585121" w14:textId="026ED94F" w:rsidR="0031085B" w:rsidRPr="00C20926" w:rsidRDefault="002F7761" w:rsidP="008B5F43">
      <w:pPr>
        <w:pStyle w:val="ListParagraph"/>
        <w:ind w:left="0"/>
        <w:rPr>
          <w:sz w:val="28"/>
          <w:szCs w:val="28"/>
        </w:rPr>
      </w:pPr>
      <w:r w:rsidRPr="00C20926">
        <w:rPr>
          <w:sz w:val="28"/>
          <w:szCs w:val="28"/>
        </w:rPr>
        <w:lastRenderedPageBreak/>
        <w:t>A</w:t>
      </w:r>
      <w:r w:rsidR="0031085B" w:rsidRPr="00C20926">
        <w:rPr>
          <w:sz w:val="28"/>
          <w:szCs w:val="28"/>
        </w:rPr>
        <w:t>ppearances</w:t>
      </w:r>
    </w:p>
    <w:p w14:paraId="1C2D2739" w14:textId="77777777" w:rsidR="0031085B" w:rsidRPr="00C20926" w:rsidRDefault="0031085B" w:rsidP="008B5F43">
      <w:pPr>
        <w:pStyle w:val="ListParagraph"/>
        <w:ind w:left="0"/>
        <w:rPr>
          <w:sz w:val="28"/>
          <w:szCs w:val="28"/>
        </w:rPr>
      </w:pPr>
    </w:p>
    <w:p w14:paraId="0B466D15" w14:textId="501EB3A0" w:rsidR="0031085B" w:rsidRPr="00C20926" w:rsidRDefault="0031085B" w:rsidP="008B5F43">
      <w:pPr>
        <w:pStyle w:val="ListParagraph"/>
        <w:ind w:left="4320" w:hanging="4320"/>
        <w:rPr>
          <w:sz w:val="28"/>
          <w:szCs w:val="28"/>
        </w:rPr>
      </w:pPr>
      <w:r w:rsidRPr="00C20926">
        <w:rPr>
          <w:sz w:val="28"/>
          <w:szCs w:val="28"/>
        </w:rPr>
        <w:t xml:space="preserve">For </w:t>
      </w:r>
      <w:r w:rsidR="00DB47F8" w:rsidRPr="00C20926">
        <w:rPr>
          <w:sz w:val="28"/>
          <w:szCs w:val="28"/>
        </w:rPr>
        <w:t xml:space="preserve">the </w:t>
      </w:r>
      <w:r w:rsidR="00161F9D" w:rsidRPr="00C20926">
        <w:rPr>
          <w:sz w:val="28"/>
          <w:szCs w:val="28"/>
        </w:rPr>
        <w:t xml:space="preserve">first and second </w:t>
      </w:r>
      <w:r w:rsidRPr="00C20926">
        <w:rPr>
          <w:sz w:val="28"/>
          <w:szCs w:val="28"/>
        </w:rPr>
        <w:t>appellant</w:t>
      </w:r>
      <w:r w:rsidR="00F011F2" w:rsidRPr="00C20926">
        <w:rPr>
          <w:sz w:val="28"/>
          <w:szCs w:val="28"/>
        </w:rPr>
        <w:t>s</w:t>
      </w:r>
      <w:r w:rsidR="003B7F99" w:rsidRPr="00C20926">
        <w:rPr>
          <w:sz w:val="28"/>
          <w:szCs w:val="28"/>
        </w:rPr>
        <w:t>:</w:t>
      </w:r>
      <w:r w:rsidR="00161F9D" w:rsidRPr="00C20926">
        <w:rPr>
          <w:sz w:val="28"/>
          <w:szCs w:val="28"/>
        </w:rPr>
        <w:tab/>
        <w:t xml:space="preserve">L S Kuschke SC </w:t>
      </w:r>
      <w:r w:rsidR="00DB47F8" w:rsidRPr="00C20926">
        <w:rPr>
          <w:sz w:val="28"/>
          <w:szCs w:val="28"/>
        </w:rPr>
        <w:t>and</w:t>
      </w:r>
      <w:r w:rsidR="00161F9D" w:rsidRPr="00C20926">
        <w:rPr>
          <w:sz w:val="28"/>
          <w:szCs w:val="28"/>
        </w:rPr>
        <w:t xml:space="preserve"> M </w:t>
      </w:r>
      <w:r w:rsidR="00E95379" w:rsidRPr="00C20926">
        <w:rPr>
          <w:sz w:val="28"/>
          <w:szCs w:val="28"/>
        </w:rPr>
        <w:t>O’Sullivan</w:t>
      </w:r>
    </w:p>
    <w:p w14:paraId="27D37B06" w14:textId="6C12D49B" w:rsidR="0031085B" w:rsidRPr="00C20926" w:rsidRDefault="0031085B" w:rsidP="008B5F43">
      <w:pPr>
        <w:pStyle w:val="ListParagraph"/>
        <w:ind w:left="4320" w:hanging="4320"/>
        <w:rPr>
          <w:sz w:val="28"/>
          <w:szCs w:val="28"/>
        </w:rPr>
      </w:pPr>
      <w:r w:rsidRPr="00C20926">
        <w:rPr>
          <w:sz w:val="28"/>
          <w:szCs w:val="28"/>
        </w:rPr>
        <w:t xml:space="preserve">Instructed by: </w:t>
      </w:r>
      <w:r w:rsidRPr="00C20926">
        <w:rPr>
          <w:sz w:val="28"/>
          <w:szCs w:val="28"/>
        </w:rPr>
        <w:tab/>
      </w:r>
      <w:r w:rsidR="00161F9D" w:rsidRPr="00C20926">
        <w:rPr>
          <w:sz w:val="28"/>
          <w:szCs w:val="28"/>
        </w:rPr>
        <w:t>Edward Nathan Sonnenbergs Inc., Cape Town</w:t>
      </w:r>
    </w:p>
    <w:p w14:paraId="77235816" w14:textId="7E455F21" w:rsidR="0031085B" w:rsidRPr="00C20926" w:rsidRDefault="00161F9D" w:rsidP="008B5F43">
      <w:pPr>
        <w:pStyle w:val="ListParagraph"/>
        <w:ind w:left="4320"/>
        <w:rPr>
          <w:sz w:val="28"/>
          <w:szCs w:val="28"/>
        </w:rPr>
      </w:pPr>
      <w:r w:rsidRPr="00C20926">
        <w:rPr>
          <w:sz w:val="28"/>
          <w:szCs w:val="28"/>
        </w:rPr>
        <w:t>Webbers Attorneys</w:t>
      </w:r>
      <w:r w:rsidR="004E750B" w:rsidRPr="00C20926">
        <w:rPr>
          <w:sz w:val="28"/>
          <w:szCs w:val="28"/>
        </w:rPr>
        <w:t>, Bloemfontein</w:t>
      </w:r>
    </w:p>
    <w:p w14:paraId="60D972DA" w14:textId="77777777" w:rsidR="00161F9D" w:rsidRPr="00C20926" w:rsidRDefault="00161F9D" w:rsidP="008B5F43">
      <w:pPr>
        <w:rPr>
          <w:sz w:val="28"/>
          <w:szCs w:val="28"/>
        </w:rPr>
      </w:pPr>
    </w:p>
    <w:p w14:paraId="5CC62AAA" w14:textId="01F38BC8" w:rsidR="00161F9D" w:rsidRPr="00C20926" w:rsidRDefault="00161F9D" w:rsidP="008B5F43">
      <w:pPr>
        <w:pStyle w:val="ListParagraph"/>
        <w:ind w:left="4320" w:hanging="4320"/>
        <w:rPr>
          <w:sz w:val="28"/>
          <w:szCs w:val="28"/>
        </w:rPr>
      </w:pPr>
      <w:r w:rsidRPr="00C20926">
        <w:rPr>
          <w:sz w:val="28"/>
          <w:szCs w:val="28"/>
        </w:rPr>
        <w:t xml:space="preserve">For </w:t>
      </w:r>
      <w:r w:rsidR="00DB47F8" w:rsidRPr="00C20926">
        <w:rPr>
          <w:sz w:val="28"/>
          <w:szCs w:val="28"/>
        </w:rPr>
        <w:t xml:space="preserve">the </w:t>
      </w:r>
      <w:r w:rsidRPr="00C20926">
        <w:rPr>
          <w:sz w:val="28"/>
          <w:szCs w:val="28"/>
        </w:rPr>
        <w:t>third and fourth appellants:</w:t>
      </w:r>
      <w:r w:rsidRPr="00C20926">
        <w:rPr>
          <w:sz w:val="28"/>
          <w:szCs w:val="28"/>
        </w:rPr>
        <w:tab/>
        <w:t xml:space="preserve">E W </w:t>
      </w:r>
      <w:r w:rsidR="00E95379" w:rsidRPr="00C20926">
        <w:rPr>
          <w:sz w:val="28"/>
          <w:szCs w:val="28"/>
        </w:rPr>
        <w:t>F</w:t>
      </w:r>
      <w:r w:rsidRPr="00C20926">
        <w:rPr>
          <w:sz w:val="28"/>
          <w:szCs w:val="28"/>
        </w:rPr>
        <w:t xml:space="preserve">agan SC </w:t>
      </w:r>
      <w:r w:rsidR="00DB47F8" w:rsidRPr="00C20926">
        <w:rPr>
          <w:sz w:val="28"/>
          <w:szCs w:val="28"/>
        </w:rPr>
        <w:t>and</w:t>
      </w:r>
      <w:r w:rsidRPr="00C20926">
        <w:rPr>
          <w:sz w:val="28"/>
          <w:szCs w:val="28"/>
        </w:rPr>
        <w:t xml:space="preserve"> G M Quixley</w:t>
      </w:r>
    </w:p>
    <w:p w14:paraId="432BC8B7" w14:textId="50FB76B4" w:rsidR="00161F9D" w:rsidRPr="00C20926" w:rsidRDefault="00161F9D" w:rsidP="008B5F43">
      <w:pPr>
        <w:pStyle w:val="ListParagraph"/>
        <w:ind w:left="4320" w:hanging="4320"/>
        <w:rPr>
          <w:sz w:val="28"/>
          <w:szCs w:val="28"/>
        </w:rPr>
      </w:pPr>
      <w:r w:rsidRPr="00C20926">
        <w:rPr>
          <w:sz w:val="28"/>
          <w:szCs w:val="28"/>
        </w:rPr>
        <w:t xml:space="preserve">Instructed by: </w:t>
      </w:r>
      <w:r w:rsidRPr="00C20926">
        <w:rPr>
          <w:sz w:val="28"/>
          <w:szCs w:val="28"/>
        </w:rPr>
        <w:tab/>
        <w:t>Edward Nathan Sonnenbergs Inc., Cape Town</w:t>
      </w:r>
    </w:p>
    <w:p w14:paraId="01BFDB4B" w14:textId="465F7351" w:rsidR="00161F9D" w:rsidRPr="00C20926" w:rsidRDefault="00161F9D" w:rsidP="008B5F43">
      <w:pPr>
        <w:pStyle w:val="ListParagraph"/>
        <w:ind w:left="4320"/>
        <w:rPr>
          <w:sz w:val="28"/>
          <w:szCs w:val="28"/>
        </w:rPr>
      </w:pPr>
      <w:r w:rsidRPr="00C20926">
        <w:rPr>
          <w:sz w:val="28"/>
          <w:szCs w:val="28"/>
        </w:rPr>
        <w:t>Webbers Attorneys, Bloemfontein</w:t>
      </w:r>
    </w:p>
    <w:p w14:paraId="21F74C10" w14:textId="77777777" w:rsidR="00C21C92" w:rsidRPr="00C20926" w:rsidRDefault="00C21C92" w:rsidP="008B5F43">
      <w:pPr>
        <w:pStyle w:val="ListParagraph"/>
        <w:ind w:left="0"/>
        <w:rPr>
          <w:sz w:val="28"/>
          <w:szCs w:val="28"/>
        </w:rPr>
      </w:pPr>
    </w:p>
    <w:p w14:paraId="272DD642" w14:textId="2AAF840F" w:rsidR="0031085B" w:rsidRPr="00C20926" w:rsidRDefault="00092448" w:rsidP="008B5F43">
      <w:pPr>
        <w:pStyle w:val="ListParagraph"/>
        <w:ind w:left="4320" w:hanging="4320"/>
        <w:rPr>
          <w:sz w:val="28"/>
          <w:szCs w:val="28"/>
        </w:rPr>
      </w:pPr>
      <w:r w:rsidRPr="00C20926">
        <w:rPr>
          <w:sz w:val="28"/>
          <w:szCs w:val="28"/>
        </w:rPr>
        <w:t xml:space="preserve">For </w:t>
      </w:r>
      <w:r w:rsidR="00DB47F8" w:rsidRPr="00C20926">
        <w:rPr>
          <w:sz w:val="28"/>
          <w:szCs w:val="28"/>
        </w:rPr>
        <w:t xml:space="preserve">the </w:t>
      </w:r>
      <w:r w:rsidRPr="00C20926">
        <w:rPr>
          <w:sz w:val="28"/>
          <w:szCs w:val="28"/>
        </w:rPr>
        <w:t>respondent</w:t>
      </w:r>
      <w:r w:rsidR="0031085B" w:rsidRPr="00C20926">
        <w:rPr>
          <w:sz w:val="28"/>
          <w:szCs w:val="28"/>
        </w:rPr>
        <w:t>:</w:t>
      </w:r>
      <w:r w:rsidR="0031085B" w:rsidRPr="00C20926">
        <w:rPr>
          <w:sz w:val="28"/>
          <w:szCs w:val="28"/>
        </w:rPr>
        <w:tab/>
      </w:r>
      <w:r w:rsidR="00161F9D" w:rsidRPr="00C20926">
        <w:rPr>
          <w:sz w:val="28"/>
          <w:szCs w:val="28"/>
        </w:rPr>
        <w:t>A</w:t>
      </w:r>
      <w:r w:rsidR="0080581D" w:rsidRPr="00C20926">
        <w:rPr>
          <w:sz w:val="28"/>
          <w:szCs w:val="28"/>
        </w:rPr>
        <w:t xml:space="preserve"> </w:t>
      </w:r>
      <w:r w:rsidR="00161F9D" w:rsidRPr="00C20926">
        <w:rPr>
          <w:sz w:val="28"/>
          <w:szCs w:val="28"/>
        </w:rPr>
        <w:t xml:space="preserve">Sholto-Douglas SC </w:t>
      </w:r>
      <w:r w:rsidR="00DB47F8" w:rsidRPr="00C20926">
        <w:rPr>
          <w:sz w:val="28"/>
          <w:szCs w:val="28"/>
        </w:rPr>
        <w:t>and</w:t>
      </w:r>
      <w:r w:rsidR="00161F9D" w:rsidRPr="00C20926">
        <w:rPr>
          <w:sz w:val="28"/>
          <w:szCs w:val="28"/>
        </w:rPr>
        <w:t xml:space="preserve"> P Myburgh and S Mahommed</w:t>
      </w:r>
    </w:p>
    <w:p w14:paraId="248170A7" w14:textId="2571490E" w:rsidR="0031085B" w:rsidRPr="00C20926" w:rsidRDefault="0031085B" w:rsidP="008B5F43">
      <w:pPr>
        <w:pStyle w:val="ListParagraph"/>
        <w:ind w:left="4320" w:hanging="4320"/>
        <w:rPr>
          <w:sz w:val="28"/>
          <w:szCs w:val="28"/>
        </w:rPr>
      </w:pPr>
      <w:r w:rsidRPr="00C20926">
        <w:rPr>
          <w:sz w:val="28"/>
          <w:szCs w:val="28"/>
        </w:rPr>
        <w:t>Instructed by:</w:t>
      </w:r>
      <w:r w:rsidRPr="00C20926">
        <w:rPr>
          <w:sz w:val="28"/>
          <w:szCs w:val="28"/>
        </w:rPr>
        <w:tab/>
      </w:r>
      <w:r w:rsidR="00AC3049" w:rsidRPr="00C20926">
        <w:rPr>
          <w:sz w:val="28"/>
          <w:szCs w:val="28"/>
        </w:rPr>
        <w:t>Norton Rose Fulbright South Africa, Cape Town</w:t>
      </w:r>
    </w:p>
    <w:p w14:paraId="14CB85DF" w14:textId="753240C3" w:rsidR="007350FF" w:rsidRDefault="007350FF" w:rsidP="008B5F43">
      <w:pPr>
        <w:pStyle w:val="ListParagraph"/>
        <w:ind w:left="0"/>
        <w:rPr>
          <w:sz w:val="28"/>
          <w:szCs w:val="28"/>
        </w:rPr>
      </w:pPr>
      <w:r w:rsidRPr="00C20926">
        <w:rPr>
          <w:sz w:val="28"/>
          <w:szCs w:val="28"/>
        </w:rPr>
        <w:tab/>
      </w:r>
      <w:r w:rsidRPr="00C20926">
        <w:rPr>
          <w:sz w:val="28"/>
          <w:szCs w:val="28"/>
        </w:rPr>
        <w:tab/>
      </w:r>
      <w:r w:rsidRPr="00C20926">
        <w:rPr>
          <w:sz w:val="28"/>
          <w:szCs w:val="28"/>
        </w:rPr>
        <w:tab/>
      </w:r>
      <w:r w:rsidRPr="00C20926">
        <w:rPr>
          <w:sz w:val="28"/>
          <w:szCs w:val="28"/>
        </w:rPr>
        <w:tab/>
      </w:r>
      <w:r w:rsidRPr="00C20926">
        <w:rPr>
          <w:sz w:val="28"/>
          <w:szCs w:val="28"/>
        </w:rPr>
        <w:tab/>
      </w:r>
      <w:r w:rsidR="00161F9D" w:rsidRPr="00C20926">
        <w:rPr>
          <w:sz w:val="28"/>
          <w:szCs w:val="28"/>
        </w:rPr>
        <w:tab/>
      </w:r>
      <w:r w:rsidR="00AC3049" w:rsidRPr="00C20926">
        <w:rPr>
          <w:sz w:val="28"/>
          <w:szCs w:val="28"/>
        </w:rPr>
        <w:t>Phatshoane Henney Inc.,</w:t>
      </w:r>
      <w:r w:rsidR="00214DB5" w:rsidRPr="00C20926">
        <w:rPr>
          <w:sz w:val="28"/>
          <w:szCs w:val="28"/>
        </w:rPr>
        <w:t xml:space="preserve"> Bloemfontein</w:t>
      </w:r>
      <w:r w:rsidR="00E95379" w:rsidRPr="00C20926">
        <w:rPr>
          <w:sz w:val="28"/>
          <w:szCs w:val="28"/>
        </w:rPr>
        <w:t>.</w:t>
      </w:r>
    </w:p>
    <w:p w14:paraId="5EDB6F43" w14:textId="77777777" w:rsidR="003B7F99" w:rsidRDefault="003B7F99" w:rsidP="0031085B">
      <w:pPr>
        <w:pStyle w:val="ListParagraph"/>
        <w:ind w:left="0"/>
        <w:rPr>
          <w:sz w:val="28"/>
          <w:szCs w:val="28"/>
        </w:rPr>
      </w:pPr>
    </w:p>
    <w:p w14:paraId="23484079" w14:textId="77777777" w:rsidR="00A86F7E" w:rsidRPr="0031085B" w:rsidRDefault="00A86F7E" w:rsidP="001D6531">
      <w:pPr>
        <w:spacing w:line="240" w:lineRule="auto"/>
        <w:rPr>
          <w:sz w:val="28"/>
          <w:szCs w:val="28"/>
          <w:lang w:eastAsia="en-ZA"/>
        </w:rPr>
      </w:pPr>
    </w:p>
    <w:sectPr w:rsidR="00A86F7E" w:rsidRPr="0031085B" w:rsidSect="008B5F43">
      <w:headerReference w:type="even" r:id="rId9"/>
      <w:headerReference w:type="default" r:id="rId10"/>
      <w:footerReference w:type="default" r:id="rId11"/>
      <w:pgSz w:w="12240" w:h="15840"/>
      <w:pgMar w:top="951" w:right="1440" w:bottom="1063"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23058" w14:textId="77777777" w:rsidR="005C1D7F" w:rsidRDefault="005C1D7F" w:rsidP="001F6B30">
      <w:pPr>
        <w:spacing w:line="240" w:lineRule="auto"/>
      </w:pPr>
      <w:r>
        <w:separator/>
      </w:r>
    </w:p>
  </w:endnote>
  <w:endnote w:type="continuationSeparator" w:id="0">
    <w:p w14:paraId="1C7636AA" w14:textId="77777777" w:rsidR="005C1D7F" w:rsidRDefault="005C1D7F" w:rsidP="001F6B30">
      <w:pPr>
        <w:spacing w:line="240" w:lineRule="auto"/>
      </w:pPr>
      <w:r>
        <w:continuationSeparator/>
      </w:r>
    </w:p>
  </w:endnote>
  <w:endnote w:type="continuationNotice" w:id="1">
    <w:p w14:paraId="0D72B5E6" w14:textId="77777777" w:rsidR="005C1D7F" w:rsidRDefault="005C1D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3C84" w14:textId="77777777" w:rsidR="007F4700" w:rsidRDefault="007F4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4CC53" w14:textId="77777777" w:rsidR="005C1D7F" w:rsidRDefault="005C1D7F" w:rsidP="001F6B30">
      <w:pPr>
        <w:spacing w:line="240" w:lineRule="auto"/>
      </w:pPr>
      <w:r>
        <w:separator/>
      </w:r>
    </w:p>
  </w:footnote>
  <w:footnote w:type="continuationSeparator" w:id="0">
    <w:p w14:paraId="2F4C251C" w14:textId="77777777" w:rsidR="005C1D7F" w:rsidRDefault="005C1D7F" w:rsidP="001F6B30">
      <w:pPr>
        <w:spacing w:line="240" w:lineRule="auto"/>
      </w:pPr>
      <w:r>
        <w:continuationSeparator/>
      </w:r>
    </w:p>
  </w:footnote>
  <w:footnote w:type="continuationNotice" w:id="1">
    <w:p w14:paraId="6A3B0F20" w14:textId="77777777" w:rsidR="005C1D7F" w:rsidRDefault="005C1D7F">
      <w:pPr>
        <w:spacing w:line="240" w:lineRule="auto"/>
      </w:pPr>
    </w:p>
  </w:footnote>
  <w:footnote w:id="2">
    <w:p w14:paraId="0D7038FE" w14:textId="76FD9DFD" w:rsidR="00045937" w:rsidRPr="00C20926" w:rsidRDefault="00045937">
      <w:pPr>
        <w:pStyle w:val="FootnoteText"/>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Pr="00C20926">
        <w:rPr>
          <w:rFonts w:ascii="Times New Roman" w:hAnsi="Times New Roman" w:cs="Times New Roman"/>
          <w:i/>
          <w:iCs/>
        </w:rPr>
        <w:t>Singh v Commissioner, South African Revenue Service</w:t>
      </w:r>
      <w:r w:rsidRPr="00C20926">
        <w:rPr>
          <w:rFonts w:ascii="Times New Roman" w:hAnsi="Times New Roman" w:cs="Times New Roman"/>
        </w:rPr>
        <w:t xml:space="preserve"> </w:t>
      </w:r>
      <w:r w:rsidR="00E53A77" w:rsidRPr="00C20926">
        <w:rPr>
          <w:rFonts w:ascii="Times New Roman" w:hAnsi="Times New Roman" w:cs="Times New Roman"/>
        </w:rPr>
        <w:t xml:space="preserve">[2003] ZASCA 31; </w:t>
      </w:r>
      <w:r w:rsidRPr="00C20926">
        <w:rPr>
          <w:rFonts w:ascii="Times New Roman" w:hAnsi="Times New Roman" w:cs="Times New Roman"/>
        </w:rPr>
        <w:t>2003 (4) SA 520 (SCA</w:t>
      </w:r>
      <w:r w:rsidRPr="00C20926">
        <w:rPr>
          <w:rFonts w:ascii="Times New Roman" w:hAnsi="Times New Roman"/>
        </w:rPr>
        <w:t>)</w:t>
      </w:r>
      <w:r w:rsidRPr="00C20926">
        <w:rPr>
          <w:rFonts w:ascii="Times New Roman" w:hAnsi="Times New Roman" w:cs="Times New Roman"/>
          <w:i/>
          <w:iCs/>
        </w:rPr>
        <w:t>.</w:t>
      </w:r>
    </w:p>
  </w:footnote>
  <w:footnote w:id="3">
    <w:p w14:paraId="27354E02" w14:textId="5652E85B" w:rsidR="00B12612" w:rsidRPr="00C20926" w:rsidRDefault="00472A6D" w:rsidP="007F4700">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00D41F2F" w:rsidRPr="00C20926">
        <w:rPr>
          <w:rFonts w:ascii="Times New Roman" w:hAnsi="Times New Roman" w:cs="Times New Roman"/>
          <w:i/>
          <w:iCs/>
        </w:rPr>
        <w:t>Natal Joint Municipal Pension Fund v Endumeni</w:t>
      </w:r>
      <w:r w:rsidR="00D41F2F" w:rsidRPr="00C20926">
        <w:rPr>
          <w:rFonts w:ascii="Times New Roman" w:hAnsi="Times New Roman" w:cs="Times New Roman"/>
          <w:b/>
          <w:bCs/>
          <w:i/>
          <w:iCs/>
        </w:rPr>
        <w:t> </w:t>
      </w:r>
      <w:r w:rsidR="00D41F2F" w:rsidRPr="00C20926">
        <w:rPr>
          <w:rFonts w:ascii="Times New Roman" w:hAnsi="Times New Roman" w:cs="Times New Roman"/>
          <w:i/>
          <w:iCs/>
        </w:rPr>
        <w:t xml:space="preserve">Municipality </w:t>
      </w:r>
      <w:r w:rsidR="00D41F2F" w:rsidRPr="00C20926">
        <w:rPr>
          <w:rFonts w:ascii="Times New Roman" w:hAnsi="Times New Roman" w:cs="Times New Roman"/>
        </w:rPr>
        <w:t>[2012] ZASCA 13; [2012] 2 All SA 262 (SCA); 2012 (4) SA 593 (SCA)</w:t>
      </w:r>
      <w:r w:rsidR="00E53A77" w:rsidRPr="00C20926">
        <w:rPr>
          <w:rFonts w:ascii="Times New Roman" w:hAnsi="Times New Roman" w:cs="Times New Roman"/>
        </w:rPr>
        <w:t xml:space="preserve"> para 18</w:t>
      </w:r>
      <w:r w:rsidR="00B12612" w:rsidRPr="00C20926">
        <w:rPr>
          <w:rFonts w:ascii="Times New Roman" w:hAnsi="Times New Roman" w:cs="Times New Roman"/>
        </w:rPr>
        <w:t xml:space="preserve">; </w:t>
      </w:r>
      <w:r w:rsidR="00B12612" w:rsidRPr="00C20926">
        <w:rPr>
          <w:rFonts w:ascii="Times New Roman" w:hAnsi="Times New Roman" w:cs="Times New Roman"/>
          <w:i/>
          <w:iCs/>
        </w:rPr>
        <w:t>Cool Ideas</w:t>
      </w:r>
      <w:r w:rsidR="00B12612" w:rsidRPr="00C20926">
        <w:rPr>
          <w:rFonts w:ascii="Times New Roman" w:hAnsi="Times New Roman" w:cs="Times New Roman"/>
          <w:b/>
          <w:bCs/>
          <w:i/>
          <w:iCs/>
        </w:rPr>
        <w:t> </w:t>
      </w:r>
      <w:r w:rsidR="00B12612" w:rsidRPr="00C20926">
        <w:rPr>
          <w:rFonts w:ascii="Times New Roman" w:hAnsi="Times New Roman" w:cs="Times New Roman"/>
          <w:i/>
          <w:iCs/>
        </w:rPr>
        <w:t> 1186 CC v Hubbard and Another</w:t>
      </w:r>
      <w:r w:rsidR="00B12612" w:rsidRPr="00C20926">
        <w:rPr>
          <w:rFonts w:ascii="Times New Roman" w:hAnsi="Times New Roman" w:cs="Times New Roman"/>
        </w:rPr>
        <w:t xml:space="preserve">  [2014] ZACC 16; 2014 (4) SA 474 (CC) para 28; </w:t>
      </w:r>
      <w:r w:rsidR="00B12612" w:rsidRPr="00C20926">
        <w:rPr>
          <w:rFonts w:ascii="Times New Roman" w:hAnsi="Times New Roman" w:cs="Times New Roman"/>
          <w:i/>
          <w:iCs/>
        </w:rPr>
        <w:t>Capitec Bank  Holdings Limited and Another v Coral Lagoon Investments 194 (Pty) Ltd and Others</w:t>
      </w:r>
      <w:r w:rsidR="00B12612" w:rsidRPr="00C20926">
        <w:rPr>
          <w:rFonts w:ascii="Times New Roman" w:hAnsi="Times New Roman" w:cs="Times New Roman"/>
        </w:rPr>
        <w:t xml:space="preserve"> [2021] ZASCA 99; [2021] 3 All SA 647 (SCA); 2022 (1) SA 100 (SCA) para 25.</w:t>
      </w:r>
    </w:p>
    <w:p w14:paraId="4B0826B7" w14:textId="42FE778C" w:rsidR="00B12612" w:rsidRPr="00C20926" w:rsidRDefault="00B12612" w:rsidP="00B12612">
      <w:pPr>
        <w:pStyle w:val="FootnoteText"/>
        <w:rPr>
          <w:rFonts w:ascii="Times New Roman" w:hAnsi="Times New Roman" w:cs="Times New Roman"/>
        </w:rPr>
      </w:pPr>
    </w:p>
    <w:p w14:paraId="70C28C51" w14:textId="43BD6E4B" w:rsidR="00472A6D" w:rsidRPr="00C20926" w:rsidRDefault="00472A6D">
      <w:pPr>
        <w:pStyle w:val="FootnoteText"/>
        <w:rPr>
          <w:rFonts w:ascii="Times New Roman" w:hAnsi="Times New Roman" w:cs="Times New Roman"/>
        </w:rPr>
      </w:pPr>
    </w:p>
  </w:footnote>
  <w:footnote w:id="4">
    <w:p w14:paraId="756F4DB4" w14:textId="45A8CD4A" w:rsidR="00F01CD2" w:rsidRPr="00C20926" w:rsidRDefault="005C0F90" w:rsidP="00E53A77">
      <w:pPr>
        <w:autoSpaceDE w:val="0"/>
        <w:autoSpaceDN w:val="0"/>
        <w:adjustRightInd w:val="0"/>
        <w:spacing w:line="240" w:lineRule="auto"/>
        <w:contextualSpacing/>
        <w:rPr>
          <w:sz w:val="20"/>
          <w:szCs w:val="20"/>
        </w:rPr>
      </w:pPr>
      <w:r w:rsidRPr="00C20926">
        <w:rPr>
          <w:rStyle w:val="FootnoteReference"/>
          <w:sz w:val="20"/>
          <w:szCs w:val="20"/>
        </w:rPr>
        <w:footnoteRef/>
      </w:r>
      <w:r w:rsidRPr="00C20926">
        <w:rPr>
          <w:sz w:val="20"/>
          <w:szCs w:val="20"/>
        </w:rPr>
        <w:t xml:space="preserve"> </w:t>
      </w:r>
      <w:bookmarkStart w:id="0" w:name="_Hlk169770681"/>
      <w:r w:rsidRPr="00C20926">
        <w:rPr>
          <w:i/>
          <w:iCs/>
          <w:sz w:val="20"/>
          <w:szCs w:val="20"/>
        </w:rPr>
        <w:t xml:space="preserve">Singh </w:t>
      </w:r>
      <w:bookmarkEnd w:id="0"/>
      <w:r w:rsidRPr="00C20926">
        <w:rPr>
          <w:sz w:val="20"/>
          <w:szCs w:val="20"/>
        </w:rPr>
        <w:t xml:space="preserve">para </w:t>
      </w:r>
      <w:r w:rsidR="00F01CD2" w:rsidRPr="00C20926">
        <w:rPr>
          <w:sz w:val="20"/>
          <w:szCs w:val="20"/>
        </w:rPr>
        <w:t>25</w:t>
      </w:r>
      <w:r w:rsidRPr="00C20926">
        <w:rPr>
          <w:sz w:val="20"/>
          <w:szCs w:val="20"/>
        </w:rPr>
        <w:t xml:space="preserve">: </w:t>
      </w:r>
    </w:p>
    <w:p w14:paraId="1DFC96AA" w14:textId="6C76B1AB" w:rsidR="005C0F90" w:rsidRPr="00C20926" w:rsidRDefault="00F01CD2" w:rsidP="00E53A77">
      <w:pPr>
        <w:autoSpaceDE w:val="0"/>
        <w:autoSpaceDN w:val="0"/>
        <w:adjustRightInd w:val="0"/>
        <w:spacing w:line="240" w:lineRule="auto"/>
        <w:contextualSpacing/>
        <w:rPr>
          <w:sz w:val="20"/>
          <w:szCs w:val="20"/>
        </w:rPr>
      </w:pPr>
      <w:r w:rsidRPr="00C20926">
        <w:rPr>
          <w:sz w:val="20"/>
          <w:szCs w:val="20"/>
        </w:rPr>
        <w:t xml:space="preserve">‘The ordinary meaning of “due” is that “. </w:t>
      </w:r>
      <w:r w:rsidR="005C0F90" w:rsidRPr="00C20926">
        <w:rPr>
          <w:sz w:val="20"/>
          <w:szCs w:val="20"/>
        </w:rPr>
        <w:t>. . there must be a liquidated money obligation presently claimable by the creditor for which an action could presently be brought against the debtor. Stated another way, the debt must be one in respect of which the debtor is under an</w:t>
      </w:r>
      <w:r w:rsidRPr="00C20926">
        <w:rPr>
          <w:sz w:val="20"/>
          <w:szCs w:val="20"/>
        </w:rPr>
        <w:t xml:space="preserve"> obligation to pay immediately.”</w:t>
      </w:r>
      <w:r w:rsidR="005C0F90" w:rsidRPr="00C20926">
        <w:rPr>
          <w:sz w:val="20"/>
          <w:szCs w:val="20"/>
        </w:rPr>
        <w:t xml:space="preserve"> (</w:t>
      </w:r>
      <w:r w:rsidR="005C0F90" w:rsidRPr="00C20926">
        <w:rPr>
          <w:i/>
          <w:iCs/>
          <w:sz w:val="20"/>
          <w:szCs w:val="20"/>
        </w:rPr>
        <w:t xml:space="preserve">Per </w:t>
      </w:r>
      <w:r w:rsidR="005C0F90" w:rsidRPr="00C20926">
        <w:rPr>
          <w:sz w:val="20"/>
          <w:szCs w:val="20"/>
        </w:rPr>
        <w:t xml:space="preserve">D Galgut AJA in </w:t>
      </w:r>
      <w:r w:rsidR="005C0F90" w:rsidRPr="00C20926">
        <w:rPr>
          <w:i/>
          <w:iCs/>
          <w:sz w:val="20"/>
          <w:szCs w:val="20"/>
        </w:rPr>
        <w:t xml:space="preserve">The Master v I L Back and Co Ltd and Others </w:t>
      </w:r>
      <w:r w:rsidR="005C0F90" w:rsidRPr="00C20926">
        <w:rPr>
          <w:sz w:val="20"/>
          <w:szCs w:val="20"/>
        </w:rPr>
        <w:t xml:space="preserve">1983 (1) SA 986 (A) at 1004G; see also </w:t>
      </w:r>
      <w:r w:rsidR="005C0F90" w:rsidRPr="00C20926">
        <w:rPr>
          <w:i/>
          <w:iCs/>
          <w:sz w:val="20"/>
          <w:szCs w:val="20"/>
        </w:rPr>
        <w:t xml:space="preserve">Western Bank Ltd v S J van Vuuren Transport (Pty) Ltd and Others </w:t>
      </w:r>
      <w:r w:rsidR="005C0F90" w:rsidRPr="00C20926">
        <w:rPr>
          <w:sz w:val="20"/>
          <w:szCs w:val="20"/>
        </w:rPr>
        <w:t xml:space="preserve">1980 (2) SA 348 (T) at 351; </w:t>
      </w:r>
      <w:r w:rsidR="005C0F90" w:rsidRPr="00C20926">
        <w:rPr>
          <w:i/>
          <w:iCs/>
          <w:sz w:val="20"/>
          <w:szCs w:val="20"/>
        </w:rPr>
        <w:t xml:space="preserve">HMBMP Properties (Pty) Ltd v King </w:t>
      </w:r>
      <w:r w:rsidR="005C0F90" w:rsidRPr="00C20926">
        <w:rPr>
          <w:sz w:val="20"/>
          <w:szCs w:val="20"/>
        </w:rPr>
        <w:t xml:space="preserve">1981 (1) SA 906 (N) at 909; </w:t>
      </w:r>
      <w:r w:rsidR="005C0F90" w:rsidRPr="00C20926">
        <w:rPr>
          <w:i/>
          <w:iCs/>
          <w:sz w:val="20"/>
          <w:szCs w:val="20"/>
        </w:rPr>
        <w:t xml:space="preserve">Whatmore v Murray </w:t>
      </w:r>
      <w:r w:rsidR="005C0F90" w:rsidRPr="00C20926">
        <w:rPr>
          <w:sz w:val="20"/>
          <w:szCs w:val="20"/>
        </w:rPr>
        <w:t xml:space="preserve">1908 TS 969 </w:t>
      </w:r>
      <w:r w:rsidR="005C0F90" w:rsidRPr="00C20926">
        <w:rPr>
          <w:i/>
          <w:iCs/>
          <w:sz w:val="20"/>
          <w:szCs w:val="20"/>
        </w:rPr>
        <w:t xml:space="preserve">per </w:t>
      </w:r>
      <w:r w:rsidR="005C0F90" w:rsidRPr="00C20926">
        <w:rPr>
          <w:sz w:val="20"/>
          <w:szCs w:val="20"/>
        </w:rPr>
        <w:t xml:space="preserve">Innes CJ at 970; </w:t>
      </w:r>
      <w:r w:rsidR="005C0F90" w:rsidRPr="00C20926">
        <w:rPr>
          <w:i/>
          <w:iCs/>
          <w:sz w:val="20"/>
          <w:szCs w:val="20"/>
        </w:rPr>
        <w:t xml:space="preserve">Banque Paribas v The Fund Comprising the Proceeds of Sale of the MV </w:t>
      </w:r>
      <w:r w:rsidR="005C0F90" w:rsidRPr="00C20926">
        <w:rPr>
          <w:sz w:val="20"/>
          <w:szCs w:val="20"/>
        </w:rPr>
        <w:t xml:space="preserve">Emerald Transporter 1985 (2) SA 452 (D) at 463C E; </w:t>
      </w:r>
      <w:r w:rsidR="005C0F90" w:rsidRPr="00C20926">
        <w:rPr>
          <w:i/>
          <w:iCs/>
          <w:sz w:val="20"/>
          <w:szCs w:val="20"/>
        </w:rPr>
        <w:t xml:space="preserve">Commissioner for Inland Revenue v People's Stores (Walvis Bay) (Pty) Ltd </w:t>
      </w:r>
      <w:r w:rsidR="005C0F90" w:rsidRPr="00C20926">
        <w:rPr>
          <w:sz w:val="20"/>
          <w:szCs w:val="20"/>
        </w:rPr>
        <w:t xml:space="preserve">1990 (2) SA 353 (A) at 366G </w:t>
      </w:r>
      <w:r w:rsidR="005C0F90" w:rsidRPr="00C20926">
        <w:rPr>
          <w:i/>
          <w:iCs/>
          <w:sz w:val="20"/>
          <w:szCs w:val="20"/>
        </w:rPr>
        <w:t xml:space="preserve">per </w:t>
      </w:r>
      <w:r w:rsidR="005C0F90" w:rsidRPr="00C20926">
        <w:rPr>
          <w:sz w:val="20"/>
          <w:szCs w:val="20"/>
        </w:rPr>
        <w:t>Hefer JA)</w:t>
      </w:r>
      <w:r w:rsidRPr="00C20926">
        <w:rPr>
          <w:sz w:val="20"/>
          <w:szCs w:val="20"/>
        </w:rPr>
        <w:t>.</w:t>
      </w:r>
      <w:r w:rsidR="005C0F90" w:rsidRPr="00C20926">
        <w:rPr>
          <w:sz w:val="20"/>
          <w:szCs w:val="20"/>
        </w:rPr>
        <w:t>’</w:t>
      </w:r>
    </w:p>
  </w:footnote>
  <w:footnote w:id="5">
    <w:p w14:paraId="7E2CBD5D" w14:textId="208AD559" w:rsidR="005C0F90" w:rsidRPr="00C20926" w:rsidRDefault="005C0F90" w:rsidP="00E53A77">
      <w:pPr>
        <w:pStyle w:val="FootnoteText"/>
        <w:contextualSpacing/>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00EC645F" w:rsidRPr="00C20926">
        <w:rPr>
          <w:rFonts w:ascii="Times New Roman" w:hAnsi="Times New Roman" w:cs="Times New Roman"/>
        </w:rPr>
        <w:t>Section</w:t>
      </w:r>
      <w:r w:rsidRPr="00C20926">
        <w:rPr>
          <w:rFonts w:ascii="Times New Roman" w:hAnsi="Times New Roman" w:cs="Times New Roman"/>
        </w:rPr>
        <w:t xml:space="preserve"> 151 of the TAA.</w:t>
      </w:r>
    </w:p>
  </w:footnote>
  <w:footnote w:id="6">
    <w:p w14:paraId="15698F2D" w14:textId="09278449" w:rsidR="005C0F90" w:rsidRPr="00C20926" w:rsidRDefault="005C0F90" w:rsidP="00E53A77">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S</w:t>
      </w:r>
      <w:r w:rsidR="00EC645F" w:rsidRPr="00C20926">
        <w:rPr>
          <w:rFonts w:ascii="Times New Roman" w:hAnsi="Times New Roman" w:cs="Times New Roman"/>
        </w:rPr>
        <w:t>ection</w:t>
      </w:r>
      <w:r w:rsidRPr="00C20926">
        <w:rPr>
          <w:rFonts w:ascii="Times New Roman" w:hAnsi="Times New Roman" w:cs="Times New Roman"/>
        </w:rPr>
        <w:t xml:space="preserve"> 152 of the TAA provides that: ‘A person chargeable to tax is a person upon whom the liability for tax due under a tax Act is imposed and who is personally liable for the tax.’</w:t>
      </w:r>
    </w:p>
  </w:footnote>
  <w:footnote w:id="7">
    <w:p w14:paraId="51921599" w14:textId="4C0AACE6" w:rsidR="00E53A77" w:rsidRPr="00C20926" w:rsidRDefault="005C0F90" w:rsidP="00E53A77">
      <w:pPr>
        <w:pStyle w:val="FootnoteText"/>
        <w:jc w:val="both"/>
        <w:rPr>
          <w:rFonts w:ascii="Times New Roman" w:hAnsi="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00EC645F" w:rsidRPr="00C20926">
        <w:rPr>
          <w:rFonts w:ascii="Times New Roman" w:hAnsi="Times New Roman" w:cs="Times New Roman"/>
        </w:rPr>
        <w:t>Section</w:t>
      </w:r>
      <w:r w:rsidRPr="00C20926">
        <w:rPr>
          <w:rFonts w:ascii="Times New Roman" w:hAnsi="Times New Roman" w:cs="Times New Roman"/>
        </w:rPr>
        <w:t xml:space="preserve"> 1 of the TAA defines a </w:t>
      </w:r>
      <w:r w:rsidRPr="00C20926">
        <w:rPr>
          <w:rFonts w:ascii="Times New Roman" w:hAnsi="Times New Roman" w:cs="Times New Roman"/>
          <w:b/>
          <w:bCs/>
        </w:rPr>
        <w:t>“taxable event” </w:t>
      </w:r>
      <w:r w:rsidRPr="00C20926">
        <w:rPr>
          <w:rFonts w:ascii="Times New Roman" w:hAnsi="Times New Roman" w:cs="Times New Roman"/>
        </w:rPr>
        <w:t>to</w:t>
      </w:r>
      <w:r w:rsidRPr="00C20926">
        <w:rPr>
          <w:rFonts w:ascii="Times New Roman" w:hAnsi="Times New Roman" w:cs="Times New Roman"/>
          <w:b/>
          <w:bCs/>
        </w:rPr>
        <w:t xml:space="preserve"> </w:t>
      </w:r>
      <w:r w:rsidRPr="00C20926">
        <w:rPr>
          <w:rFonts w:ascii="Times New Roman" w:hAnsi="Times New Roman" w:cs="Times New Roman"/>
        </w:rPr>
        <w:t>mean an occurrence which affects or may affect the liability of a person to ta</w:t>
      </w:r>
      <w:r w:rsidR="00F01CD2" w:rsidRPr="00C20926">
        <w:rPr>
          <w:rFonts w:ascii="Times New Roman" w:hAnsi="Times New Roman" w:cs="Times New Roman"/>
        </w:rPr>
        <w:t>x.</w:t>
      </w:r>
    </w:p>
  </w:footnote>
  <w:footnote w:id="8">
    <w:p w14:paraId="436B44D7" w14:textId="77777777" w:rsidR="005C0F90" w:rsidRPr="00C20926" w:rsidRDefault="005C0F90" w:rsidP="005C0F90">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Pr="00C20926">
        <w:rPr>
          <w:rFonts w:ascii="Times New Roman" w:hAnsi="Times New Roman" w:cs="Times New Roman"/>
          <w:i/>
          <w:iCs/>
        </w:rPr>
        <w:t xml:space="preserve">Singh </w:t>
      </w:r>
      <w:r w:rsidRPr="00C20926">
        <w:rPr>
          <w:rFonts w:ascii="Times New Roman" w:hAnsi="Times New Roman" w:cs="Times New Roman"/>
        </w:rPr>
        <w:t>para 9.</w:t>
      </w:r>
    </w:p>
  </w:footnote>
  <w:footnote w:id="9">
    <w:p w14:paraId="053CD5FC" w14:textId="77777777" w:rsidR="005C0F90" w:rsidRPr="00C20926" w:rsidRDefault="005C0F90" w:rsidP="005C0F90">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Pr="00C20926">
        <w:rPr>
          <w:rFonts w:ascii="Times New Roman" w:hAnsi="Times New Roman" w:cs="Times New Roman"/>
          <w:i/>
          <w:iCs/>
        </w:rPr>
        <w:t>Singh</w:t>
      </w:r>
      <w:r w:rsidRPr="00C20926">
        <w:rPr>
          <w:rFonts w:ascii="Times New Roman" w:hAnsi="Times New Roman" w:cs="Times New Roman"/>
        </w:rPr>
        <w:t xml:space="preserve"> para 11.</w:t>
      </w:r>
    </w:p>
  </w:footnote>
  <w:footnote w:id="10">
    <w:p w14:paraId="09E9CAEA" w14:textId="2ABCFBF6" w:rsidR="005C0F90" w:rsidRPr="00C20926" w:rsidRDefault="005C0F90" w:rsidP="005C0F90">
      <w:pPr>
        <w:pStyle w:val="FootnoteText"/>
        <w:jc w:val="both"/>
        <w:rPr>
          <w:rFonts w:ascii="Times New Roman" w:hAnsi="Times New Roman" w:cs="Times New Roman"/>
          <w:i/>
          <w:iCs/>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Pr="00C20926">
        <w:rPr>
          <w:rFonts w:ascii="Times New Roman" w:hAnsi="Times New Roman" w:cs="Times New Roman"/>
          <w:i/>
          <w:iCs/>
        </w:rPr>
        <w:t xml:space="preserve">Namex (Edms) Bpk v Kommisaris van Binnelandse Inkomste </w:t>
      </w:r>
      <w:r w:rsidR="00F01CD2" w:rsidRPr="00C20926">
        <w:rPr>
          <w:rFonts w:ascii="Times New Roman" w:hAnsi="Times New Roman" w:cs="Times New Roman"/>
          <w:iCs/>
        </w:rPr>
        <w:t>[1993] ZASCA 181;</w:t>
      </w:r>
      <w:r w:rsidR="00F01CD2" w:rsidRPr="00C20926">
        <w:rPr>
          <w:rFonts w:ascii="Times New Roman" w:hAnsi="Times New Roman" w:cs="Times New Roman"/>
        </w:rPr>
        <w:t xml:space="preserve"> [1994] 2 All SA 111 (A</w:t>
      </w:r>
      <w:r w:rsidR="00F01CD2" w:rsidRPr="00C20926">
        <w:rPr>
          <w:rFonts w:ascii="Times New Roman" w:hAnsi="Times New Roman"/>
        </w:rPr>
        <w:t>)</w:t>
      </w:r>
      <w:r w:rsidR="00F33DC9">
        <w:rPr>
          <w:rFonts w:ascii="Times New Roman" w:hAnsi="Times New Roman" w:cs="Times New Roman"/>
        </w:rPr>
        <w:t xml:space="preserve">; </w:t>
      </w:r>
      <w:r w:rsidR="00F33DC9" w:rsidRPr="00C20926">
        <w:rPr>
          <w:rFonts w:ascii="Times New Roman" w:hAnsi="Times New Roman" w:cs="Times New Roman"/>
        </w:rPr>
        <w:t>1994 (2) SA 265 (A)</w:t>
      </w:r>
      <w:r w:rsidR="00F33DC9">
        <w:rPr>
          <w:rFonts w:ascii="Times New Roman" w:hAnsi="Times New Roman" w:cs="Times New Roman"/>
        </w:rPr>
        <w:t>.</w:t>
      </w:r>
    </w:p>
  </w:footnote>
  <w:footnote w:id="11">
    <w:p w14:paraId="02E6B43F" w14:textId="193579C8" w:rsidR="00F85D83" w:rsidRPr="00C20926" w:rsidRDefault="005C0F90" w:rsidP="00F85D83">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Ibid at 289F.</w:t>
      </w:r>
      <w:r w:rsidR="00F85D83" w:rsidRPr="00C20926">
        <w:t xml:space="preserve"> </w:t>
      </w:r>
      <w:r w:rsidR="00C20926">
        <w:rPr>
          <w:rFonts w:ascii="Times New Roman" w:hAnsi="Times New Roman" w:cs="Times New Roman"/>
        </w:rPr>
        <w:t xml:space="preserve">The original test reads </w:t>
      </w:r>
      <w:r w:rsidR="00F85D83" w:rsidRPr="00C20926">
        <w:rPr>
          <w:rFonts w:ascii="Times New Roman" w:hAnsi="Times New Roman" w:cs="Times New Roman"/>
        </w:rPr>
        <w:t>as follows:</w:t>
      </w:r>
    </w:p>
    <w:p w14:paraId="691A267B" w14:textId="693FFA2D" w:rsidR="005C0F90" w:rsidRPr="00C20926" w:rsidRDefault="00F85D83" w:rsidP="005C0F90">
      <w:pPr>
        <w:pStyle w:val="FootnoteText"/>
        <w:jc w:val="both"/>
        <w:rPr>
          <w:rFonts w:ascii="Times New Roman" w:hAnsi="Times New Roman" w:cs="Times New Roman"/>
        </w:rPr>
      </w:pPr>
      <w:r w:rsidRPr="00C20926">
        <w:rPr>
          <w:rFonts w:ascii="Times New Roman" w:hAnsi="Times New Roman" w:cs="Times New Roman"/>
        </w:rPr>
        <w:t>‘</w:t>
      </w:r>
      <w:r w:rsidR="00C20926" w:rsidRPr="00BA182A">
        <w:rPr>
          <w:rFonts w:ascii="Times New Roman" w:eastAsia="Times New Roman" w:hAnsi="Times New Roman" w:cs="Times New Roman"/>
        </w:rPr>
        <w:t xml:space="preserve">Was die respondent wel 'n voorwaardelike skuldeiser? Met 'n beroep op 'n aantal beslissings het die appellant se advokaat betoog dat inkomstebelastingpligtigheid laasstens aan die einde van 'n belastingjaar ontstaan, dws nog voordat 'n aanslag uitgereik is. Dié betoog is gegrond. Uit bedoelde beslissings blyk dit dat hoewel die uitreiking van 'n aanslag 'n vereiste vir die afdwingbaarheid van 'n belastingskuld mag wees, </w:t>
      </w:r>
      <w:r w:rsidR="00C20926" w:rsidRPr="00BA182A">
        <w:rPr>
          <w:rFonts w:ascii="Times New Roman" w:eastAsia="Times New Roman" w:hAnsi="Times New Roman" w:cs="Times New Roman"/>
          <w:i/>
          <w:iCs/>
        </w:rPr>
        <w:t>die skuld as sulks reeds voor daardie gebeurlikheid bestaan.</w:t>
      </w:r>
      <w:r w:rsidR="00C20926" w:rsidRPr="00BA182A">
        <w:rPr>
          <w:rFonts w:ascii="Times New Roman" w:eastAsia="Times New Roman" w:hAnsi="Times New Roman" w:cs="Times New Roman"/>
        </w:rPr>
        <w:t>’</w:t>
      </w:r>
      <w:r w:rsidR="00C20926">
        <w:rPr>
          <w:rFonts w:ascii="Times New Roman" w:eastAsia="Times New Roman" w:hAnsi="Times New Roman" w:cs="Times New Roman"/>
        </w:rPr>
        <w:t xml:space="preserve"> (Emphasis added).</w:t>
      </w:r>
    </w:p>
  </w:footnote>
  <w:footnote w:id="12">
    <w:p w14:paraId="2B4334B8" w14:textId="6D5B8E95" w:rsidR="005C0F90" w:rsidRPr="00C20926" w:rsidRDefault="005C0F90" w:rsidP="005C0F90">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Pr="00C20926">
        <w:rPr>
          <w:rFonts w:ascii="Times New Roman" w:hAnsi="Times New Roman" w:cs="Times New Roman"/>
          <w:i/>
          <w:iCs/>
        </w:rPr>
        <w:t>Commissioner for the South African Revenue Service v Medtronic International Trading S.A.R.L (Medtronic International)</w:t>
      </w:r>
      <w:r w:rsidRPr="00C20926">
        <w:rPr>
          <w:rFonts w:ascii="Times New Roman" w:hAnsi="Times New Roman" w:cs="Times New Roman"/>
        </w:rPr>
        <w:t xml:space="preserve"> [2023] ZASCA 20; [2023] 2 All SA 297 (SCA); 2023 (3) SA 423 (SCA)</w:t>
      </w:r>
      <w:r w:rsidR="00946E31" w:rsidRPr="00C20926">
        <w:rPr>
          <w:rFonts w:ascii="Times New Roman" w:hAnsi="Times New Roman" w:cs="Times New Roman"/>
        </w:rPr>
        <w:t xml:space="preserve"> para 67 and 69.</w:t>
      </w:r>
    </w:p>
  </w:footnote>
  <w:footnote w:id="13">
    <w:p w14:paraId="26EED87E" w14:textId="7942AC3E" w:rsidR="00DE42CB" w:rsidRPr="00C20926" w:rsidRDefault="00DE42CB" w:rsidP="00DE42CB">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This is dealt with in ss 104</w:t>
      </w:r>
      <w:r w:rsidR="004B6341" w:rsidRPr="00C20926">
        <w:rPr>
          <w:rFonts w:ascii="Times New Roman" w:hAnsi="Times New Roman" w:cs="Times New Roman"/>
        </w:rPr>
        <w:t xml:space="preserve"> </w:t>
      </w:r>
      <w:r w:rsidRPr="00C20926">
        <w:rPr>
          <w:rFonts w:ascii="Times New Roman" w:hAnsi="Times New Roman" w:cs="Times New Roman"/>
        </w:rPr>
        <w:t xml:space="preserve">-107 of the TAA located in Part B of </w:t>
      </w:r>
      <w:r w:rsidR="004B6341" w:rsidRPr="00C20926">
        <w:rPr>
          <w:rFonts w:ascii="Times New Roman" w:hAnsi="Times New Roman" w:cs="Times New Roman"/>
        </w:rPr>
        <w:t>c</w:t>
      </w:r>
      <w:r w:rsidRPr="00C20926">
        <w:rPr>
          <w:rFonts w:ascii="Times New Roman" w:hAnsi="Times New Roman" w:cs="Times New Roman"/>
        </w:rPr>
        <w:t>hapter 9 which deals with ‘Dispute Resolution’.</w:t>
      </w:r>
    </w:p>
  </w:footnote>
  <w:footnote w:id="14">
    <w:p w14:paraId="21A99DEF" w14:textId="18CCB6E9" w:rsidR="005C0F90" w:rsidRPr="00C20926" w:rsidRDefault="005C0F90" w:rsidP="00DE42CB">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00DE42CB" w:rsidRPr="00C20926">
        <w:rPr>
          <w:rFonts w:ascii="Times New Roman" w:hAnsi="Times New Roman" w:cs="Times New Roman"/>
          <w:i/>
          <w:iCs/>
        </w:rPr>
        <w:t>Namex</w:t>
      </w:r>
      <w:r w:rsidRPr="00C20926">
        <w:rPr>
          <w:rFonts w:ascii="Times New Roman" w:hAnsi="Times New Roman"/>
        </w:rPr>
        <w:t xml:space="preserve"> </w:t>
      </w:r>
      <w:r w:rsidRPr="00C20926">
        <w:rPr>
          <w:rFonts w:ascii="Times New Roman" w:hAnsi="Times New Roman" w:cs="Times New Roman"/>
        </w:rPr>
        <w:t xml:space="preserve">fn </w:t>
      </w:r>
      <w:r w:rsidR="00DE42CB" w:rsidRPr="00C20926">
        <w:rPr>
          <w:rFonts w:ascii="Times New Roman" w:hAnsi="Times New Roman" w:cs="Times New Roman"/>
        </w:rPr>
        <w:t>9</w:t>
      </w:r>
      <w:r w:rsidRPr="00C20926">
        <w:rPr>
          <w:rFonts w:ascii="Times New Roman" w:hAnsi="Times New Roman" w:cs="Times New Roman"/>
        </w:rPr>
        <w:t xml:space="preserve"> above.</w:t>
      </w:r>
    </w:p>
  </w:footnote>
  <w:footnote w:id="15">
    <w:p w14:paraId="1A1E8650" w14:textId="0091BAED" w:rsidR="00DE42CB" w:rsidRPr="00C20926" w:rsidRDefault="005C0F90" w:rsidP="00DE42CB">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Section 179 (1) provides that: </w:t>
      </w:r>
    </w:p>
    <w:p w14:paraId="031CA5CE" w14:textId="2194AC04" w:rsidR="005C0F90" w:rsidRPr="00C20926" w:rsidRDefault="005C0F90" w:rsidP="00DE42CB">
      <w:pPr>
        <w:pStyle w:val="FootnoteText"/>
        <w:jc w:val="both"/>
        <w:rPr>
          <w:rFonts w:ascii="Times New Roman" w:hAnsi="Times New Roman" w:cs="Times New Roman"/>
        </w:rPr>
      </w:pPr>
      <w:r w:rsidRPr="00C20926">
        <w:rPr>
          <w:rFonts w:ascii="Times New Roman" w:hAnsi="Times New Roman" w:cs="Times New Roman"/>
        </w:rPr>
        <w:t xml:space="preserve">‘A senior SARS official may authorise the issue of a notice to a person who holds or owes or will hold or owe any money, including a pension, salary, wage or other remuneration, for or to a taxpayer, requiring the person to pay the money to SARS in satisfaction of the taxpayer’s outstanding tax debt.’ </w:t>
      </w:r>
    </w:p>
    <w:p w14:paraId="7D118A5A" w14:textId="77777777" w:rsidR="005C0F90" w:rsidRPr="00C20926" w:rsidRDefault="005C0F90" w:rsidP="00DE42CB">
      <w:pPr>
        <w:pStyle w:val="FootnoteText"/>
        <w:jc w:val="both"/>
        <w:rPr>
          <w:rFonts w:ascii="Times New Roman" w:hAnsi="Times New Roman" w:cs="Times New Roman"/>
        </w:rPr>
      </w:pPr>
      <w:r w:rsidRPr="00C20926">
        <w:rPr>
          <w:rFonts w:ascii="Times New Roman" w:hAnsi="Times New Roman" w:cs="Times New Roman"/>
        </w:rPr>
        <w:t>An outstanding tax debt is defined to mean a tax debt not paid by the date set in s 162. Such date is set either by proclamation or in the notice of assessment.</w:t>
      </w:r>
    </w:p>
  </w:footnote>
  <w:footnote w:id="16">
    <w:p w14:paraId="24F59995" w14:textId="77777777" w:rsidR="005C0F90" w:rsidRPr="00C20926" w:rsidRDefault="005C0F90" w:rsidP="005C0F90">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See s 164 of the TAA.</w:t>
      </w:r>
    </w:p>
  </w:footnote>
  <w:footnote w:id="17">
    <w:p w14:paraId="7D11AF7C" w14:textId="71BCC500" w:rsidR="005C0F90" w:rsidRPr="00C20926" w:rsidRDefault="005C0F90" w:rsidP="005C0F90">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00DE42CB" w:rsidRPr="00C20926">
        <w:rPr>
          <w:rFonts w:ascii="Times New Roman" w:hAnsi="Times New Roman" w:cs="Times New Roman"/>
        </w:rPr>
        <w:t>Section</w:t>
      </w:r>
      <w:r w:rsidRPr="00C20926">
        <w:rPr>
          <w:rFonts w:ascii="Times New Roman" w:hAnsi="Times New Roman" w:cs="Times New Roman"/>
        </w:rPr>
        <w:t xml:space="preserve"> 18</w:t>
      </w:r>
      <w:r w:rsidR="00DE42CB" w:rsidRPr="00C20926">
        <w:rPr>
          <w:rFonts w:ascii="Times New Roman" w:hAnsi="Times New Roman" w:cs="Times New Roman"/>
        </w:rPr>
        <w:t>1</w:t>
      </w:r>
      <w:r w:rsidRPr="00C20926">
        <w:rPr>
          <w:rFonts w:ascii="Times New Roman" w:hAnsi="Times New Roman" w:cs="Times New Roman"/>
        </w:rPr>
        <w:t xml:space="preserve">(2) reads as follows: </w:t>
      </w:r>
    </w:p>
    <w:p w14:paraId="0BE5B641" w14:textId="71DE85F6" w:rsidR="00DE42CB" w:rsidRPr="00C20926" w:rsidRDefault="005C0F90" w:rsidP="005C0F90">
      <w:pPr>
        <w:pStyle w:val="FootnoteText"/>
        <w:jc w:val="both"/>
        <w:rPr>
          <w:rFonts w:ascii="Times New Roman" w:hAnsi="Times New Roman" w:cs="Times New Roman"/>
        </w:rPr>
      </w:pPr>
      <w:r w:rsidRPr="00C20926">
        <w:rPr>
          <w:rFonts w:ascii="Times New Roman" w:hAnsi="Times New Roman" w:cs="Times New Roman"/>
        </w:rPr>
        <w:t xml:space="preserve">‘The persons who are shareholders of the company within one year prior to its winding up are jointly and severally liable to pay </w:t>
      </w:r>
      <w:r w:rsidR="00DE42CB" w:rsidRPr="00C20926">
        <w:rPr>
          <w:rFonts w:ascii="Times New Roman" w:hAnsi="Times New Roman" w:cs="Times New Roman"/>
        </w:rPr>
        <w:t>the tax debt to the extent that –</w:t>
      </w:r>
    </w:p>
    <w:p w14:paraId="753C2E2B" w14:textId="77777777" w:rsidR="005C0F90" w:rsidRPr="00C20926" w:rsidRDefault="005C0F90" w:rsidP="005C0F90">
      <w:pPr>
        <w:pStyle w:val="FootnoteText"/>
        <w:jc w:val="both"/>
        <w:rPr>
          <w:rFonts w:ascii="Times New Roman" w:hAnsi="Times New Roman" w:cs="Times New Roman"/>
        </w:rPr>
      </w:pPr>
      <w:r w:rsidRPr="00C20926">
        <w:rPr>
          <w:rFonts w:ascii="Times New Roman" w:hAnsi="Times New Roman" w:cs="Times New Roman"/>
        </w:rPr>
        <w:t>(</w:t>
      </w:r>
      <w:r w:rsidRPr="00C20926">
        <w:rPr>
          <w:rFonts w:ascii="Times New Roman" w:hAnsi="Times New Roman" w:cs="Times New Roman"/>
          <w:i/>
          <w:iCs/>
        </w:rPr>
        <w:t>a</w:t>
      </w:r>
      <w:r w:rsidRPr="00C20926">
        <w:rPr>
          <w:rFonts w:ascii="Times New Roman" w:hAnsi="Times New Roman" w:cs="Times New Roman"/>
        </w:rPr>
        <w:t>) they receive assets of the company in their capacity as shareholders within one year prior to its winding up; and</w:t>
      </w:r>
    </w:p>
    <w:p w14:paraId="1D785B29" w14:textId="00C62894" w:rsidR="005C0F90" w:rsidRPr="00C20926" w:rsidRDefault="005C0F90" w:rsidP="005C0F90">
      <w:pPr>
        <w:pStyle w:val="FootnoteText"/>
        <w:jc w:val="both"/>
        <w:rPr>
          <w:rFonts w:ascii="Times New Roman" w:hAnsi="Times New Roman" w:cs="Times New Roman"/>
        </w:rPr>
      </w:pPr>
      <w:r w:rsidRPr="00C20926">
        <w:rPr>
          <w:rFonts w:ascii="Times New Roman" w:hAnsi="Times New Roman" w:cs="Times New Roman"/>
        </w:rPr>
        <w:t>(</w:t>
      </w:r>
      <w:r w:rsidRPr="00C20926">
        <w:rPr>
          <w:rFonts w:ascii="Times New Roman" w:hAnsi="Times New Roman" w:cs="Times New Roman"/>
          <w:i/>
          <w:iCs/>
        </w:rPr>
        <w:t>b</w:t>
      </w:r>
      <w:r w:rsidRPr="00C20926">
        <w:rPr>
          <w:rFonts w:ascii="Times New Roman" w:hAnsi="Times New Roman" w:cs="Times New Roman"/>
        </w:rPr>
        <w:t>) the tax debt existed at the time of the receipt of the assets or would have existed had the company complied with its obligations under a tax Act.’</w:t>
      </w:r>
    </w:p>
  </w:footnote>
  <w:footnote w:id="18">
    <w:p w14:paraId="2D4E0112" w14:textId="4D0F7322" w:rsidR="005C0F90" w:rsidRPr="00C20926" w:rsidRDefault="005C0F90" w:rsidP="005C0F90">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001D0510" w:rsidRPr="00C20926">
        <w:rPr>
          <w:rFonts w:ascii="Times New Roman" w:hAnsi="Times New Roman" w:cs="Times New Roman"/>
        </w:rPr>
        <w:t xml:space="preserve">Section </w:t>
      </w:r>
      <w:r w:rsidRPr="00C20926">
        <w:rPr>
          <w:rFonts w:ascii="Times New Roman" w:hAnsi="Times New Roman" w:cs="Times New Roman"/>
        </w:rPr>
        <w:t>182(1) reads as follows:</w:t>
      </w:r>
    </w:p>
    <w:p w14:paraId="248BECD4" w14:textId="77777777" w:rsidR="005C0F90" w:rsidRPr="00C20926" w:rsidRDefault="005C0F90" w:rsidP="001D0510">
      <w:pPr>
        <w:pStyle w:val="FootnoteText"/>
        <w:jc w:val="both"/>
        <w:rPr>
          <w:rFonts w:ascii="Times New Roman" w:hAnsi="Times New Roman" w:cs="Times New Roman"/>
        </w:rPr>
      </w:pPr>
      <w:r w:rsidRPr="00C20926">
        <w:rPr>
          <w:rFonts w:ascii="Times New Roman" w:hAnsi="Times New Roman" w:cs="Times New Roman"/>
        </w:rPr>
        <w:t>‘A person (referred to as a transferee) who receives an asset from a taxpayer who is a connected person in relation to the transferee without consideration or for consideration below the fair market value of the asset is liable for the outstanding tax debt of the taxpayer.’</w:t>
      </w:r>
    </w:p>
  </w:footnote>
  <w:footnote w:id="19">
    <w:p w14:paraId="07CF9ED1" w14:textId="77777777" w:rsidR="00544C81" w:rsidRPr="00C20926" w:rsidRDefault="00544C81" w:rsidP="0062302A">
      <w:pPr>
        <w:spacing w:line="240" w:lineRule="auto"/>
        <w:rPr>
          <w:sz w:val="20"/>
          <w:szCs w:val="20"/>
        </w:rPr>
      </w:pPr>
      <w:r w:rsidRPr="00C20926">
        <w:rPr>
          <w:rStyle w:val="FootnoteReference"/>
          <w:sz w:val="20"/>
          <w:szCs w:val="20"/>
        </w:rPr>
        <w:footnoteRef/>
      </w:r>
      <w:r w:rsidRPr="00C20926">
        <w:rPr>
          <w:sz w:val="20"/>
          <w:szCs w:val="20"/>
        </w:rPr>
        <w:t xml:space="preserve"> Section 50 of the TAA reads as follows:</w:t>
      </w:r>
    </w:p>
    <w:p w14:paraId="669AC7C6" w14:textId="2C213643" w:rsidR="00544C81" w:rsidRPr="00C20926" w:rsidRDefault="00544C81" w:rsidP="0062302A">
      <w:pPr>
        <w:spacing w:line="240" w:lineRule="auto"/>
        <w:rPr>
          <w:color w:val="000000"/>
          <w:sz w:val="20"/>
          <w:szCs w:val="20"/>
        </w:rPr>
      </w:pPr>
      <w:r w:rsidRPr="00C20926">
        <w:rPr>
          <w:sz w:val="20"/>
          <w:szCs w:val="20"/>
        </w:rPr>
        <w:t>‘</w:t>
      </w:r>
      <w:bookmarkStart w:id="2" w:name="0-0-0-542411"/>
      <w:bookmarkEnd w:id="2"/>
      <w:r w:rsidRPr="00C20926">
        <w:rPr>
          <w:color w:val="000000"/>
          <w:sz w:val="20"/>
          <w:szCs w:val="20"/>
        </w:rPr>
        <w:t>(1)</w:t>
      </w:r>
      <w:r w:rsidR="00B67255" w:rsidRPr="00C20926">
        <w:rPr>
          <w:color w:val="000000"/>
          <w:sz w:val="20"/>
          <w:szCs w:val="20"/>
        </w:rPr>
        <w:t xml:space="preserve">  </w:t>
      </w:r>
      <w:r w:rsidRPr="00C20926">
        <w:rPr>
          <w:color w:val="000000"/>
          <w:sz w:val="20"/>
          <w:szCs w:val="20"/>
        </w:rPr>
        <w:t>A judge may, on application made </w:t>
      </w:r>
      <w:r w:rsidRPr="00C20926">
        <w:rPr>
          <w:i/>
          <w:iCs/>
          <w:color w:val="000000"/>
          <w:sz w:val="20"/>
          <w:szCs w:val="20"/>
        </w:rPr>
        <w:t>ex parte</w:t>
      </w:r>
      <w:r w:rsidRPr="00C20926">
        <w:rPr>
          <w:color w:val="000000"/>
          <w:sz w:val="20"/>
          <w:szCs w:val="20"/>
        </w:rPr>
        <w:t> and authorised by a senior SARS official grant an order in terms of which a person described in s 51(3) is designated to act as presiding officer at the inquiry referred to in this section.</w:t>
      </w:r>
    </w:p>
    <w:p w14:paraId="173C0233" w14:textId="4771CDB3" w:rsidR="00544C81" w:rsidRPr="00C20926" w:rsidRDefault="00544C81" w:rsidP="0062302A">
      <w:pPr>
        <w:spacing w:line="240" w:lineRule="auto"/>
        <w:rPr>
          <w:color w:val="000000"/>
          <w:sz w:val="20"/>
          <w:szCs w:val="20"/>
        </w:rPr>
      </w:pPr>
      <w:bookmarkStart w:id="3" w:name="0-0-0-542415"/>
      <w:bookmarkEnd w:id="3"/>
      <w:r w:rsidRPr="00C20926">
        <w:rPr>
          <w:color w:val="000000"/>
          <w:sz w:val="20"/>
          <w:szCs w:val="20"/>
        </w:rPr>
        <w:t>(2) An application under subsection (1) must be supported by information supplied under oath or solemn declaration, establishing the facts on which the application is based.</w:t>
      </w:r>
    </w:p>
    <w:p w14:paraId="4902078D" w14:textId="3C2847D4" w:rsidR="00544C81" w:rsidRPr="00C20926" w:rsidRDefault="00544C81" w:rsidP="0062302A">
      <w:pPr>
        <w:spacing w:line="240" w:lineRule="auto"/>
        <w:rPr>
          <w:color w:val="000000"/>
          <w:sz w:val="20"/>
          <w:szCs w:val="20"/>
        </w:rPr>
      </w:pPr>
      <w:bookmarkStart w:id="4" w:name="0-0-0-542417"/>
      <w:bookmarkEnd w:id="4"/>
      <w:r w:rsidRPr="00C20926">
        <w:rPr>
          <w:color w:val="000000"/>
          <w:sz w:val="20"/>
          <w:szCs w:val="20"/>
        </w:rPr>
        <w:t>(3) A senior SARS official may authorise a person to conduct an inquiry for the purposes of the administration of a tax Act.’</w:t>
      </w:r>
    </w:p>
  </w:footnote>
  <w:footnote w:id="20">
    <w:p w14:paraId="63F30C86" w14:textId="77777777" w:rsidR="009A32B7" w:rsidRPr="00C20926" w:rsidRDefault="009A32B7" w:rsidP="00AD2847">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Pr="00C20926">
        <w:rPr>
          <w:rFonts w:ascii="Times New Roman" w:hAnsi="Times New Roman" w:cs="Times New Roman"/>
          <w:i/>
          <w:lang w:val="en-GB"/>
        </w:rPr>
        <w:t>Commissioner for South African Revenue Services v Sassin and Others</w:t>
      </w:r>
      <w:r w:rsidRPr="00C20926">
        <w:rPr>
          <w:rFonts w:ascii="Times New Roman" w:hAnsi="Times New Roman" w:cs="Times New Roman"/>
          <w:bCs/>
        </w:rPr>
        <w:t xml:space="preserve"> [2015] ZAKZDHC 82; [2015] 4 All SA 756 (KZD).</w:t>
      </w:r>
      <w:r w:rsidRPr="00C20926">
        <w:rPr>
          <w:rFonts w:ascii="Times New Roman" w:hAnsi="Times New Roman" w:cs="Times New Roman"/>
        </w:rPr>
        <w:t xml:space="preserve"> </w:t>
      </w:r>
    </w:p>
  </w:footnote>
  <w:footnote w:id="21">
    <w:p w14:paraId="63931C49" w14:textId="77777777" w:rsidR="00971EAA" w:rsidRPr="00C20926" w:rsidRDefault="00971EAA" w:rsidP="00AD2847">
      <w:pPr>
        <w:pStyle w:val="Heading2"/>
        <w:shd w:val="clear" w:color="auto" w:fill="FFFFFF"/>
        <w:spacing w:before="0" w:line="240" w:lineRule="auto"/>
        <w:rPr>
          <w:rFonts w:ascii="Times New Roman" w:hAnsi="Times New Roman" w:cs="Times New Roman"/>
          <w:color w:val="64473A"/>
          <w:sz w:val="20"/>
          <w:szCs w:val="20"/>
        </w:rPr>
      </w:pPr>
      <w:r w:rsidRPr="00C20926">
        <w:rPr>
          <w:rStyle w:val="FootnoteReference"/>
          <w:rFonts w:ascii="Times New Roman" w:hAnsi="Times New Roman" w:cs="Times New Roman"/>
          <w:color w:val="auto"/>
          <w:sz w:val="20"/>
          <w:szCs w:val="20"/>
        </w:rPr>
        <w:footnoteRef/>
      </w:r>
      <w:r w:rsidRPr="00C20926">
        <w:rPr>
          <w:rFonts w:ascii="Times New Roman" w:hAnsi="Times New Roman" w:cs="Times New Roman"/>
          <w:color w:val="auto"/>
          <w:sz w:val="20"/>
          <w:szCs w:val="20"/>
        </w:rPr>
        <w:t xml:space="preserve"> </w:t>
      </w:r>
      <w:r w:rsidRPr="00C20926">
        <w:rPr>
          <w:rFonts w:ascii="Times New Roman" w:hAnsi="Times New Roman" w:cs="Times New Roman"/>
          <w:bCs/>
          <w:i/>
          <w:color w:val="auto"/>
          <w:sz w:val="20"/>
          <w:szCs w:val="20"/>
        </w:rPr>
        <w:t>Commissioner for the South African Revenue Service v Badenhorst t/a SA Global Trading and/or Global Trading and Others, Commissioner of the South African Revenue Service v Vermaak and Others</w:t>
      </w:r>
      <w:r w:rsidRPr="00C20926">
        <w:rPr>
          <w:rFonts w:ascii="Times New Roman" w:hAnsi="Times New Roman" w:cs="Times New Roman"/>
          <w:bCs/>
          <w:color w:val="auto"/>
          <w:sz w:val="20"/>
          <w:szCs w:val="20"/>
        </w:rPr>
        <w:t xml:space="preserve"> [2015] ZAGPPHC 1085.</w:t>
      </w:r>
    </w:p>
  </w:footnote>
  <w:footnote w:id="22">
    <w:p w14:paraId="1DB11AA0" w14:textId="77777777" w:rsidR="00971EAA" w:rsidRPr="00C20926" w:rsidRDefault="00971EAA" w:rsidP="00AD2847">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Ibid para 50.</w:t>
      </w:r>
    </w:p>
  </w:footnote>
  <w:footnote w:id="23">
    <w:p w14:paraId="5791C715" w14:textId="0CFACB2D" w:rsidR="00D71731" w:rsidRPr="00C20926" w:rsidRDefault="00D71731" w:rsidP="00AD2847">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Section 2 of the TAA.</w:t>
      </w:r>
    </w:p>
  </w:footnote>
  <w:footnote w:id="24">
    <w:p w14:paraId="37A75FE8" w14:textId="3362F4C1" w:rsidR="00A22446" w:rsidRPr="00C20926" w:rsidRDefault="00A22446" w:rsidP="007F4700">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Pr="00C20926">
        <w:rPr>
          <w:rFonts w:ascii="Times New Roman" w:hAnsi="Times New Roman" w:cs="Times New Roman"/>
          <w:i/>
        </w:rPr>
        <w:t>Commissioner South African Revenue Services v</w:t>
      </w:r>
      <w:r w:rsidRPr="00C20926">
        <w:rPr>
          <w:rFonts w:ascii="Times New Roman" w:hAnsi="Times New Roman" w:cs="Times New Roman"/>
        </w:rPr>
        <w:t xml:space="preserve"> A (Pty) Ltd and Others (unreported judgment of Keightley J Gauteng Local Division Case no 17418/20160) para 88.</w:t>
      </w:r>
    </w:p>
  </w:footnote>
  <w:footnote w:id="25">
    <w:p w14:paraId="7C316917" w14:textId="77777777" w:rsidR="00DC21FE" w:rsidRPr="00C20926" w:rsidRDefault="00DC21FE" w:rsidP="00AD2847">
      <w:pPr>
        <w:pStyle w:val="Heading2"/>
        <w:shd w:val="clear" w:color="auto" w:fill="FFFFFF"/>
        <w:spacing w:before="0" w:line="240" w:lineRule="auto"/>
        <w:rPr>
          <w:rFonts w:ascii="Times New Roman" w:hAnsi="Times New Roman" w:cs="Times New Roman"/>
          <w:color w:val="64473A"/>
          <w:sz w:val="20"/>
          <w:szCs w:val="20"/>
        </w:rPr>
      </w:pPr>
      <w:r w:rsidRPr="00C20926">
        <w:rPr>
          <w:rStyle w:val="FootnoteReference"/>
          <w:rFonts w:ascii="Times New Roman" w:hAnsi="Times New Roman" w:cs="Times New Roman"/>
          <w:color w:val="auto"/>
          <w:sz w:val="20"/>
          <w:szCs w:val="20"/>
        </w:rPr>
        <w:footnoteRef/>
      </w:r>
      <w:r w:rsidRPr="00C20926">
        <w:rPr>
          <w:rFonts w:ascii="Times New Roman" w:hAnsi="Times New Roman" w:cs="Times New Roman"/>
          <w:color w:val="auto"/>
          <w:sz w:val="20"/>
          <w:szCs w:val="20"/>
        </w:rPr>
        <w:t xml:space="preserve"> </w:t>
      </w:r>
      <w:r w:rsidRPr="00C20926">
        <w:rPr>
          <w:rFonts w:ascii="Times New Roman" w:hAnsi="Times New Roman" w:cs="Times New Roman"/>
          <w:bCs/>
          <w:i/>
          <w:color w:val="auto"/>
          <w:sz w:val="20"/>
          <w:szCs w:val="20"/>
        </w:rPr>
        <w:t>National Director of Public Prosecutions v Mohamed NO and Others</w:t>
      </w:r>
      <w:r w:rsidRPr="00C20926">
        <w:rPr>
          <w:rFonts w:ascii="Times New Roman" w:hAnsi="Times New Roman" w:cs="Times New Roman"/>
          <w:bCs/>
          <w:color w:val="auto"/>
          <w:sz w:val="20"/>
          <w:szCs w:val="20"/>
        </w:rPr>
        <w:t xml:space="preserve"> [2003] ZACC 4; 2003 (1) SACR 561; 2003 (5) BCLR 476; 2003 (4) SA 1 (CC) para 48.</w:t>
      </w:r>
    </w:p>
  </w:footnote>
  <w:footnote w:id="26">
    <w:p w14:paraId="2BABF811" w14:textId="26EBC1E4" w:rsidR="00DC21FE" w:rsidRPr="00C20926" w:rsidRDefault="00DC21FE" w:rsidP="00DC21FE">
      <w:pPr>
        <w:spacing w:line="240" w:lineRule="auto"/>
        <w:rPr>
          <w:sz w:val="20"/>
          <w:szCs w:val="20"/>
        </w:rPr>
      </w:pPr>
      <w:r w:rsidRPr="00C20926">
        <w:rPr>
          <w:rStyle w:val="FootnoteReference"/>
          <w:sz w:val="20"/>
          <w:szCs w:val="20"/>
        </w:rPr>
        <w:footnoteRef/>
      </w:r>
      <w:r w:rsidRPr="00C20926">
        <w:rPr>
          <w:sz w:val="20"/>
          <w:szCs w:val="20"/>
        </w:rPr>
        <w:t xml:space="preserve"> Section 69</w:t>
      </w:r>
      <w:r w:rsidR="00DB47F8" w:rsidRPr="00C20926">
        <w:rPr>
          <w:sz w:val="20"/>
          <w:szCs w:val="20"/>
        </w:rPr>
        <w:t xml:space="preserve"> </w:t>
      </w:r>
      <w:r w:rsidRPr="00C20926">
        <w:rPr>
          <w:sz w:val="20"/>
          <w:szCs w:val="20"/>
        </w:rPr>
        <w:t xml:space="preserve">(1) and </w:t>
      </w:r>
      <w:r w:rsidR="00A573EC" w:rsidRPr="00C20926">
        <w:rPr>
          <w:sz w:val="20"/>
          <w:szCs w:val="20"/>
        </w:rPr>
        <w:t xml:space="preserve">s </w:t>
      </w:r>
      <w:r w:rsidRPr="00C20926">
        <w:rPr>
          <w:sz w:val="20"/>
          <w:szCs w:val="20"/>
        </w:rPr>
        <w:t>(2) of the TAA reads as follows:</w:t>
      </w:r>
    </w:p>
    <w:p w14:paraId="7E970BC3" w14:textId="65125B85" w:rsidR="00DC21FE" w:rsidRPr="00C20926" w:rsidRDefault="00DC21FE" w:rsidP="00DC21FE">
      <w:pPr>
        <w:spacing w:line="240" w:lineRule="auto"/>
        <w:rPr>
          <w:color w:val="000000"/>
          <w:sz w:val="20"/>
          <w:szCs w:val="20"/>
        </w:rPr>
      </w:pPr>
      <w:r w:rsidRPr="00C20926">
        <w:rPr>
          <w:bCs/>
          <w:sz w:val="20"/>
          <w:szCs w:val="20"/>
        </w:rPr>
        <w:t>‘</w:t>
      </w:r>
      <w:r w:rsidRPr="00C20926">
        <w:rPr>
          <w:color w:val="000000"/>
          <w:sz w:val="20"/>
          <w:szCs w:val="20"/>
        </w:rPr>
        <w:t>(1) A person who is a current or former SARS official must preserve the secrecy of taxpayer information and may not disclose taxpayer information to a person who is not a SARS official.</w:t>
      </w:r>
    </w:p>
    <w:p w14:paraId="03AB3C8B" w14:textId="77777777" w:rsidR="00DC21FE" w:rsidRPr="00C20926" w:rsidRDefault="00DC21FE" w:rsidP="00DC21FE">
      <w:pPr>
        <w:spacing w:line="240" w:lineRule="auto"/>
        <w:rPr>
          <w:color w:val="000000"/>
          <w:sz w:val="20"/>
          <w:szCs w:val="20"/>
        </w:rPr>
      </w:pPr>
      <w:r w:rsidRPr="00C20926">
        <w:rPr>
          <w:color w:val="000000"/>
          <w:sz w:val="20"/>
          <w:szCs w:val="20"/>
        </w:rPr>
        <w:t>(2) Subsection (1) does not prohibit the disclosure of taxpayer information by a person who is a current or former SARS official –</w:t>
      </w:r>
    </w:p>
    <w:p w14:paraId="5B3E47FB" w14:textId="77777777" w:rsidR="00DC21FE" w:rsidRPr="00C20926" w:rsidRDefault="00DC21FE" w:rsidP="00DC21FE">
      <w:pPr>
        <w:spacing w:line="240" w:lineRule="auto"/>
        <w:ind w:hanging="737"/>
        <w:rPr>
          <w:color w:val="000000"/>
          <w:sz w:val="20"/>
          <w:szCs w:val="20"/>
        </w:rPr>
      </w:pPr>
      <w:r w:rsidRPr="00C20926">
        <w:rPr>
          <w:color w:val="000000"/>
          <w:sz w:val="20"/>
          <w:szCs w:val="20"/>
        </w:rPr>
        <w:t>   </w:t>
      </w:r>
      <w:r w:rsidRPr="00C20926">
        <w:rPr>
          <w:color w:val="000000"/>
          <w:sz w:val="20"/>
          <w:szCs w:val="20"/>
        </w:rPr>
        <w:tab/>
      </w:r>
      <w:r w:rsidRPr="00C20926">
        <w:rPr>
          <w:i/>
          <w:iCs/>
          <w:color w:val="000000"/>
          <w:sz w:val="20"/>
          <w:szCs w:val="20"/>
        </w:rPr>
        <w:t xml:space="preserve">(a) </w:t>
      </w:r>
      <w:r w:rsidRPr="00C20926">
        <w:rPr>
          <w:color w:val="000000"/>
          <w:sz w:val="20"/>
          <w:szCs w:val="20"/>
        </w:rPr>
        <w:t>in the course of performance of duties under a tax Act or customs and excise legislation, such as –</w:t>
      </w:r>
    </w:p>
    <w:p w14:paraId="7F5C5DD1" w14:textId="77777777" w:rsidR="00DC21FE" w:rsidRPr="00C20926" w:rsidRDefault="00DC21FE" w:rsidP="00DC21FE">
      <w:pPr>
        <w:spacing w:line="240" w:lineRule="auto"/>
        <w:ind w:hanging="794"/>
        <w:rPr>
          <w:color w:val="000000"/>
          <w:sz w:val="20"/>
          <w:szCs w:val="20"/>
        </w:rPr>
      </w:pPr>
      <w:r w:rsidRPr="00C20926">
        <w:rPr>
          <w:color w:val="000000"/>
          <w:sz w:val="20"/>
          <w:szCs w:val="20"/>
        </w:rPr>
        <w:t>     </w:t>
      </w:r>
      <w:r w:rsidRPr="00C20926">
        <w:rPr>
          <w:color w:val="000000"/>
          <w:sz w:val="20"/>
          <w:szCs w:val="20"/>
        </w:rPr>
        <w:tab/>
        <w:t>(i) to the South African Police Service or the National Prosecuting Authority, if the information relates to, and constitutes material information for the proving of, a tax offence;</w:t>
      </w:r>
    </w:p>
    <w:p w14:paraId="158821E0" w14:textId="77777777" w:rsidR="00DC21FE" w:rsidRPr="00C20926" w:rsidRDefault="00DC21FE" w:rsidP="00DC21FE">
      <w:pPr>
        <w:spacing w:line="240" w:lineRule="auto"/>
        <w:ind w:hanging="794"/>
        <w:rPr>
          <w:color w:val="000000"/>
          <w:sz w:val="20"/>
          <w:szCs w:val="20"/>
        </w:rPr>
      </w:pPr>
      <w:r w:rsidRPr="00C20926">
        <w:rPr>
          <w:color w:val="000000"/>
          <w:sz w:val="20"/>
          <w:szCs w:val="20"/>
        </w:rPr>
        <w:t>    </w:t>
      </w:r>
      <w:r w:rsidRPr="00C20926">
        <w:rPr>
          <w:color w:val="000000"/>
          <w:sz w:val="20"/>
          <w:szCs w:val="20"/>
        </w:rPr>
        <w:tab/>
        <w:t>(ii) as a witness in civil or criminal proceedings under a tax Act; or</w:t>
      </w:r>
    </w:p>
    <w:p w14:paraId="22884719" w14:textId="77777777" w:rsidR="00DC21FE" w:rsidRPr="00C20926" w:rsidRDefault="00DC21FE" w:rsidP="00DC21FE">
      <w:pPr>
        <w:spacing w:line="240" w:lineRule="auto"/>
        <w:ind w:hanging="794"/>
        <w:rPr>
          <w:color w:val="000000"/>
          <w:sz w:val="20"/>
          <w:szCs w:val="20"/>
        </w:rPr>
      </w:pPr>
      <w:r w:rsidRPr="00C20926">
        <w:rPr>
          <w:color w:val="000000"/>
          <w:sz w:val="20"/>
          <w:szCs w:val="20"/>
        </w:rPr>
        <w:t>   </w:t>
      </w:r>
      <w:r w:rsidRPr="00C20926">
        <w:rPr>
          <w:color w:val="000000"/>
          <w:sz w:val="20"/>
          <w:szCs w:val="20"/>
        </w:rPr>
        <w:tab/>
        <w:t>(iii) the taxpayer information necessary to enable a person to provide such information as may be required by SARS from that person;</w:t>
      </w:r>
    </w:p>
    <w:p w14:paraId="611C50D0" w14:textId="77777777" w:rsidR="00DC21FE" w:rsidRPr="00C20926" w:rsidRDefault="00DC21FE" w:rsidP="00DC21FE">
      <w:pPr>
        <w:spacing w:line="240" w:lineRule="auto"/>
        <w:ind w:hanging="737"/>
        <w:rPr>
          <w:color w:val="000000"/>
          <w:sz w:val="20"/>
          <w:szCs w:val="20"/>
        </w:rPr>
      </w:pPr>
      <w:r w:rsidRPr="00C20926">
        <w:rPr>
          <w:color w:val="000000"/>
          <w:sz w:val="20"/>
          <w:szCs w:val="20"/>
        </w:rPr>
        <w:t>   </w:t>
      </w:r>
      <w:r w:rsidRPr="00C20926">
        <w:rPr>
          <w:color w:val="000000"/>
          <w:sz w:val="20"/>
          <w:szCs w:val="20"/>
        </w:rPr>
        <w:tab/>
      </w:r>
      <w:r w:rsidRPr="00C20926">
        <w:rPr>
          <w:i/>
          <w:iCs/>
          <w:color w:val="000000"/>
          <w:sz w:val="20"/>
          <w:szCs w:val="20"/>
        </w:rPr>
        <w:t xml:space="preserve">(b) </w:t>
      </w:r>
      <w:r w:rsidRPr="00C20926">
        <w:rPr>
          <w:color w:val="000000"/>
          <w:sz w:val="20"/>
          <w:szCs w:val="20"/>
        </w:rPr>
        <w:t>under any other Act which expressly provides for the disclosure of the information despite the provisions in this Chapter;</w:t>
      </w:r>
    </w:p>
    <w:p w14:paraId="16552763" w14:textId="77777777" w:rsidR="00DC21FE" w:rsidRPr="00C20926" w:rsidRDefault="00DC21FE" w:rsidP="00DC21FE">
      <w:pPr>
        <w:spacing w:line="240" w:lineRule="auto"/>
        <w:ind w:hanging="737"/>
        <w:rPr>
          <w:color w:val="000000"/>
          <w:sz w:val="20"/>
          <w:szCs w:val="20"/>
        </w:rPr>
      </w:pPr>
      <w:r w:rsidRPr="00C20926">
        <w:rPr>
          <w:color w:val="000000"/>
          <w:sz w:val="20"/>
          <w:szCs w:val="20"/>
        </w:rPr>
        <w:t>   </w:t>
      </w:r>
      <w:r w:rsidRPr="00C20926">
        <w:rPr>
          <w:color w:val="000000"/>
          <w:sz w:val="20"/>
          <w:szCs w:val="20"/>
        </w:rPr>
        <w:tab/>
      </w:r>
      <w:r w:rsidRPr="00C20926">
        <w:rPr>
          <w:i/>
          <w:iCs/>
          <w:color w:val="000000"/>
          <w:sz w:val="20"/>
          <w:szCs w:val="20"/>
        </w:rPr>
        <w:t>(c)</w:t>
      </w:r>
      <w:r w:rsidRPr="00C20926">
        <w:rPr>
          <w:color w:val="000000"/>
          <w:sz w:val="20"/>
          <w:szCs w:val="20"/>
        </w:rPr>
        <w:t xml:space="preserve"> by order of a High Court; or</w:t>
      </w:r>
    </w:p>
    <w:p w14:paraId="5BD4C30D" w14:textId="77777777" w:rsidR="00DC21FE" w:rsidRPr="00C20926" w:rsidRDefault="00DC21FE" w:rsidP="00DC21FE">
      <w:pPr>
        <w:spacing w:line="240" w:lineRule="auto"/>
        <w:ind w:hanging="737"/>
        <w:rPr>
          <w:color w:val="000000"/>
          <w:sz w:val="20"/>
          <w:szCs w:val="20"/>
        </w:rPr>
      </w:pPr>
      <w:r w:rsidRPr="00C20926">
        <w:rPr>
          <w:color w:val="000000"/>
          <w:sz w:val="20"/>
          <w:szCs w:val="20"/>
        </w:rPr>
        <w:t>   </w:t>
      </w:r>
      <w:r w:rsidRPr="00C20926">
        <w:rPr>
          <w:color w:val="000000"/>
          <w:sz w:val="20"/>
          <w:szCs w:val="20"/>
        </w:rPr>
        <w:tab/>
      </w:r>
      <w:r w:rsidRPr="00C20926">
        <w:rPr>
          <w:i/>
          <w:iCs/>
          <w:color w:val="000000"/>
          <w:sz w:val="20"/>
          <w:szCs w:val="20"/>
        </w:rPr>
        <w:t>(d)</w:t>
      </w:r>
      <w:r w:rsidRPr="00C20926">
        <w:rPr>
          <w:color w:val="000000"/>
          <w:sz w:val="20"/>
          <w:szCs w:val="20"/>
        </w:rPr>
        <w:t xml:space="preserve"> if the information is public information.’</w:t>
      </w:r>
    </w:p>
  </w:footnote>
  <w:footnote w:id="27">
    <w:p w14:paraId="0B9E01AD" w14:textId="1B36C2AE" w:rsidR="00D71731" w:rsidRPr="00C20926" w:rsidRDefault="00D71731" w:rsidP="00C22C0A">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Companies Act 61 of 1973.</w:t>
      </w:r>
    </w:p>
  </w:footnote>
  <w:footnote w:id="28">
    <w:p w14:paraId="7B281B6B" w14:textId="70780883" w:rsidR="00AA735C" w:rsidRPr="00C20926" w:rsidRDefault="00AA735C" w:rsidP="00C13F0B">
      <w:pPr>
        <w:pStyle w:val="Heading2"/>
        <w:shd w:val="clear" w:color="auto" w:fill="FFFFFF"/>
        <w:spacing w:before="0" w:line="240" w:lineRule="auto"/>
        <w:rPr>
          <w:rFonts w:ascii="Times New Roman" w:hAnsi="Times New Roman" w:cs="Times New Roman"/>
          <w:color w:val="64473A"/>
          <w:sz w:val="20"/>
          <w:szCs w:val="20"/>
        </w:rPr>
      </w:pPr>
      <w:r w:rsidRPr="00C20926">
        <w:rPr>
          <w:rStyle w:val="FootnoteReference"/>
          <w:rFonts w:ascii="Times New Roman" w:hAnsi="Times New Roman" w:cs="Times New Roman"/>
          <w:color w:val="auto"/>
          <w:sz w:val="20"/>
          <w:szCs w:val="20"/>
        </w:rPr>
        <w:footnoteRef/>
      </w:r>
      <w:r w:rsidRPr="00C20926">
        <w:rPr>
          <w:rFonts w:ascii="Times New Roman" w:hAnsi="Times New Roman" w:cs="Times New Roman"/>
          <w:color w:val="auto"/>
          <w:sz w:val="20"/>
          <w:szCs w:val="20"/>
        </w:rPr>
        <w:t xml:space="preserve"> </w:t>
      </w:r>
      <w:r w:rsidRPr="00C20926">
        <w:rPr>
          <w:rFonts w:ascii="Times New Roman" w:hAnsi="Times New Roman" w:cs="Times New Roman"/>
          <w:bCs/>
          <w:i/>
          <w:color w:val="auto"/>
          <w:sz w:val="20"/>
          <w:szCs w:val="20"/>
        </w:rPr>
        <w:t xml:space="preserve">Bernstein and </w:t>
      </w:r>
      <w:r w:rsidR="003D13B4" w:rsidRPr="00C20926">
        <w:rPr>
          <w:rFonts w:ascii="Times New Roman" w:hAnsi="Times New Roman" w:cs="Times New Roman"/>
          <w:bCs/>
          <w:i/>
          <w:color w:val="auto"/>
          <w:sz w:val="20"/>
          <w:szCs w:val="20"/>
        </w:rPr>
        <w:t>O</w:t>
      </w:r>
      <w:r w:rsidRPr="00C20926">
        <w:rPr>
          <w:rFonts w:ascii="Times New Roman" w:hAnsi="Times New Roman" w:cs="Times New Roman"/>
          <w:bCs/>
          <w:i/>
          <w:color w:val="auto"/>
          <w:sz w:val="20"/>
          <w:szCs w:val="20"/>
        </w:rPr>
        <w:t xml:space="preserve">thers v Bester NO and </w:t>
      </w:r>
      <w:r w:rsidR="003D13B4" w:rsidRPr="00C20926">
        <w:rPr>
          <w:rFonts w:ascii="Times New Roman" w:hAnsi="Times New Roman" w:cs="Times New Roman"/>
          <w:bCs/>
          <w:i/>
          <w:color w:val="auto"/>
          <w:sz w:val="20"/>
          <w:szCs w:val="20"/>
        </w:rPr>
        <w:t>O</w:t>
      </w:r>
      <w:r w:rsidRPr="00C20926">
        <w:rPr>
          <w:rFonts w:ascii="Times New Roman" w:hAnsi="Times New Roman" w:cs="Times New Roman"/>
          <w:bCs/>
          <w:i/>
          <w:color w:val="auto"/>
          <w:sz w:val="20"/>
          <w:szCs w:val="20"/>
        </w:rPr>
        <w:t xml:space="preserve">thers </w:t>
      </w:r>
      <w:r w:rsidRPr="00C20926">
        <w:rPr>
          <w:rFonts w:ascii="Times New Roman" w:hAnsi="Times New Roman" w:cs="Times New Roman"/>
          <w:bCs/>
          <w:color w:val="auto"/>
          <w:sz w:val="20"/>
          <w:szCs w:val="20"/>
        </w:rPr>
        <w:t>[1996] ZACC 2; 1996 (4) BCLR 449; 1996 (2) SA 751 para 120</w:t>
      </w:r>
      <w:r w:rsidR="00DB47F8" w:rsidRPr="00C20926">
        <w:rPr>
          <w:rFonts w:ascii="Times New Roman" w:hAnsi="Times New Roman" w:cs="Times New Roman"/>
          <w:bCs/>
          <w:color w:val="auto"/>
          <w:sz w:val="20"/>
          <w:szCs w:val="20"/>
        </w:rPr>
        <w:t>.</w:t>
      </w:r>
      <w:r w:rsidRPr="00C20926">
        <w:rPr>
          <w:rFonts w:ascii="Times New Roman" w:hAnsi="Times New Roman" w:cs="Times New Roman"/>
          <w:bCs/>
          <w:color w:val="auto"/>
          <w:sz w:val="20"/>
          <w:szCs w:val="20"/>
        </w:rPr>
        <w:t xml:space="preserve"> </w:t>
      </w:r>
      <w:r w:rsidR="00DB47F8" w:rsidRPr="00C20926">
        <w:rPr>
          <w:rFonts w:ascii="Times New Roman" w:hAnsi="Times New Roman" w:cs="Times New Roman"/>
          <w:bCs/>
          <w:color w:val="auto"/>
          <w:sz w:val="20"/>
          <w:szCs w:val="20"/>
        </w:rPr>
        <w:t>S</w:t>
      </w:r>
      <w:r w:rsidRPr="00C20926">
        <w:rPr>
          <w:rFonts w:ascii="Times New Roman" w:hAnsi="Times New Roman" w:cs="Times New Roman"/>
          <w:bCs/>
          <w:color w:val="auto"/>
          <w:sz w:val="20"/>
          <w:szCs w:val="20"/>
        </w:rPr>
        <w:t xml:space="preserve">ee also </w:t>
      </w:r>
      <w:r w:rsidRPr="00C20926">
        <w:rPr>
          <w:rFonts w:ascii="Times New Roman" w:hAnsi="Times New Roman" w:cs="Times New Roman"/>
          <w:bCs/>
          <w:i/>
          <w:color w:val="auto"/>
          <w:sz w:val="20"/>
          <w:szCs w:val="20"/>
        </w:rPr>
        <w:t xml:space="preserve">Benson, In re: Tait NO and </w:t>
      </w:r>
      <w:r w:rsidR="003D13B4" w:rsidRPr="00C20926">
        <w:rPr>
          <w:rFonts w:ascii="Times New Roman" w:hAnsi="Times New Roman" w:cs="Times New Roman"/>
          <w:bCs/>
          <w:i/>
          <w:color w:val="auto"/>
          <w:sz w:val="20"/>
          <w:szCs w:val="20"/>
        </w:rPr>
        <w:t>Ot</w:t>
      </w:r>
      <w:r w:rsidRPr="00C20926">
        <w:rPr>
          <w:rFonts w:ascii="Times New Roman" w:hAnsi="Times New Roman" w:cs="Times New Roman"/>
          <w:bCs/>
          <w:i/>
          <w:color w:val="auto"/>
          <w:sz w:val="20"/>
          <w:szCs w:val="20"/>
        </w:rPr>
        <w:t xml:space="preserve">hers v Jason and </w:t>
      </w:r>
      <w:r w:rsidR="003D13B4" w:rsidRPr="00C20926">
        <w:rPr>
          <w:rFonts w:ascii="Times New Roman" w:hAnsi="Times New Roman" w:cs="Times New Roman"/>
          <w:bCs/>
          <w:i/>
          <w:color w:val="auto"/>
          <w:sz w:val="20"/>
          <w:szCs w:val="20"/>
        </w:rPr>
        <w:t>O</w:t>
      </w:r>
      <w:r w:rsidRPr="00C20926">
        <w:rPr>
          <w:rFonts w:ascii="Times New Roman" w:hAnsi="Times New Roman" w:cs="Times New Roman"/>
          <w:bCs/>
          <w:i/>
          <w:color w:val="auto"/>
          <w:sz w:val="20"/>
          <w:szCs w:val="20"/>
        </w:rPr>
        <w:t>thers</w:t>
      </w:r>
      <w:r w:rsidRPr="00C20926">
        <w:rPr>
          <w:rFonts w:ascii="Times New Roman" w:hAnsi="Times New Roman" w:cs="Times New Roman"/>
          <w:bCs/>
          <w:color w:val="auto"/>
          <w:sz w:val="20"/>
          <w:szCs w:val="20"/>
        </w:rPr>
        <w:t xml:space="preserve"> [2012] ZAWCHC 377 para 13.</w:t>
      </w:r>
    </w:p>
  </w:footnote>
  <w:footnote w:id="29">
    <w:p w14:paraId="2C5CF454" w14:textId="63CC95C9" w:rsidR="006505EC" w:rsidRPr="00C20926" w:rsidRDefault="006505EC" w:rsidP="007F4700">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Pr="00C20926">
        <w:rPr>
          <w:rFonts w:ascii="Times New Roman" w:hAnsi="Times New Roman" w:cs="Times New Roman"/>
          <w:lang w:val="en-GB"/>
        </w:rPr>
        <w:t>Insolvency Act 24 of 1936.</w:t>
      </w:r>
    </w:p>
  </w:footnote>
  <w:footnote w:id="30">
    <w:p w14:paraId="15E0E6E5" w14:textId="62433F4A" w:rsidR="00A22446" w:rsidRPr="00C20926" w:rsidRDefault="00A22446" w:rsidP="00C13F0B">
      <w:pPr>
        <w:autoSpaceDE w:val="0"/>
        <w:autoSpaceDN w:val="0"/>
        <w:adjustRightInd w:val="0"/>
        <w:spacing w:line="240" w:lineRule="auto"/>
        <w:rPr>
          <w:sz w:val="20"/>
          <w:szCs w:val="20"/>
        </w:rPr>
      </w:pPr>
      <w:r w:rsidRPr="00C20926">
        <w:rPr>
          <w:rStyle w:val="FootnoteReference"/>
          <w:sz w:val="20"/>
          <w:szCs w:val="20"/>
        </w:rPr>
        <w:footnoteRef/>
      </w:r>
      <w:r w:rsidRPr="00C20926">
        <w:rPr>
          <w:sz w:val="20"/>
          <w:szCs w:val="20"/>
        </w:rPr>
        <w:t xml:space="preserve"> </w:t>
      </w:r>
      <w:r w:rsidRPr="00C20926">
        <w:rPr>
          <w:rFonts w:eastAsiaTheme="minorHAnsi"/>
          <w:bCs/>
          <w:i/>
          <w:sz w:val="20"/>
          <w:szCs w:val="20"/>
        </w:rPr>
        <w:t xml:space="preserve">Pitsiladi v Van Rensburg NO and </w:t>
      </w:r>
      <w:r w:rsidR="003D13B4" w:rsidRPr="00C20926">
        <w:rPr>
          <w:rFonts w:eastAsiaTheme="minorHAnsi"/>
          <w:bCs/>
          <w:i/>
          <w:sz w:val="20"/>
          <w:szCs w:val="20"/>
        </w:rPr>
        <w:t>O</w:t>
      </w:r>
      <w:r w:rsidRPr="00C20926">
        <w:rPr>
          <w:rFonts w:eastAsiaTheme="minorHAnsi"/>
          <w:bCs/>
          <w:i/>
          <w:sz w:val="20"/>
          <w:szCs w:val="20"/>
        </w:rPr>
        <w:t>thers</w:t>
      </w:r>
      <w:r w:rsidR="003D13B4" w:rsidRPr="00C20926">
        <w:rPr>
          <w:rFonts w:eastAsiaTheme="minorHAnsi"/>
          <w:bCs/>
          <w:i/>
          <w:sz w:val="20"/>
          <w:szCs w:val="20"/>
        </w:rPr>
        <w:t xml:space="preserve"> </w:t>
      </w:r>
      <w:r w:rsidRPr="00C20926">
        <w:rPr>
          <w:rFonts w:eastAsiaTheme="minorHAnsi"/>
          <w:bCs/>
          <w:sz w:val="20"/>
          <w:szCs w:val="20"/>
        </w:rPr>
        <w:t>[2001] JOL 8442 (SE); 2002 (2) SA 160 (SECLD) at 161 F-G.</w:t>
      </w:r>
    </w:p>
  </w:footnote>
  <w:footnote w:id="31">
    <w:p w14:paraId="70069A02" w14:textId="77777777" w:rsidR="00A22446" w:rsidRPr="00C20926" w:rsidRDefault="00A22446" w:rsidP="00C13F0B">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Ibid at 161 G-J.</w:t>
      </w:r>
    </w:p>
  </w:footnote>
  <w:footnote w:id="32">
    <w:p w14:paraId="24DB109F" w14:textId="001E5A49" w:rsidR="00C22C0A" w:rsidRPr="00C20926" w:rsidRDefault="00C22C0A" w:rsidP="003D13B4">
      <w:pPr>
        <w:pStyle w:val="Heading2"/>
        <w:shd w:val="clear" w:color="auto" w:fill="FFFFFF"/>
        <w:spacing w:before="0" w:line="240" w:lineRule="auto"/>
        <w:rPr>
          <w:rFonts w:ascii="Times New Roman" w:hAnsi="Times New Roman" w:cs="Times New Roman"/>
          <w:color w:val="64473A"/>
          <w:sz w:val="20"/>
          <w:szCs w:val="20"/>
        </w:rPr>
      </w:pPr>
      <w:r w:rsidRPr="00C20926">
        <w:rPr>
          <w:rStyle w:val="FootnoteReference"/>
          <w:rFonts w:ascii="Times New Roman" w:hAnsi="Times New Roman" w:cs="Times New Roman"/>
          <w:color w:val="auto"/>
          <w:sz w:val="20"/>
          <w:szCs w:val="20"/>
        </w:rPr>
        <w:footnoteRef/>
      </w:r>
      <w:r w:rsidRPr="00C20926">
        <w:rPr>
          <w:rFonts w:ascii="Times New Roman" w:hAnsi="Times New Roman" w:cs="Times New Roman"/>
          <w:color w:val="auto"/>
          <w:sz w:val="20"/>
          <w:szCs w:val="20"/>
        </w:rPr>
        <w:t xml:space="preserve"> </w:t>
      </w:r>
      <w:r w:rsidRPr="00C20926">
        <w:rPr>
          <w:rFonts w:ascii="Times New Roman" w:hAnsi="Times New Roman" w:cs="Times New Roman"/>
          <w:bCs/>
          <w:i/>
          <w:color w:val="auto"/>
          <w:sz w:val="20"/>
          <w:szCs w:val="20"/>
        </w:rPr>
        <w:t xml:space="preserve">Ferreira v Levin NO and </w:t>
      </w:r>
      <w:r w:rsidR="003D13B4" w:rsidRPr="00C20926">
        <w:rPr>
          <w:rFonts w:ascii="Times New Roman" w:hAnsi="Times New Roman" w:cs="Times New Roman"/>
          <w:bCs/>
          <w:i/>
          <w:color w:val="auto"/>
          <w:sz w:val="20"/>
          <w:szCs w:val="20"/>
        </w:rPr>
        <w:t>O</w:t>
      </w:r>
      <w:r w:rsidRPr="00C20926">
        <w:rPr>
          <w:rFonts w:ascii="Times New Roman" w:hAnsi="Times New Roman" w:cs="Times New Roman"/>
          <w:bCs/>
          <w:i/>
          <w:color w:val="auto"/>
          <w:sz w:val="20"/>
          <w:szCs w:val="20"/>
        </w:rPr>
        <w:t xml:space="preserve">thers; Vryenhoek and Others v Powell NO and </w:t>
      </w:r>
      <w:r w:rsidR="003D13B4" w:rsidRPr="00C20926">
        <w:rPr>
          <w:rFonts w:ascii="Times New Roman" w:hAnsi="Times New Roman" w:cs="Times New Roman"/>
          <w:bCs/>
          <w:i/>
          <w:color w:val="auto"/>
          <w:sz w:val="20"/>
          <w:szCs w:val="20"/>
        </w:rPr>
        <w:t>O</w:t>
      </w:r>
      <w:r w:rsidRPr="00C20926">
        <w:rPr>
          <w:rFonts w:ascii="Times New Roman" w:hAnsi="Times New Roman" w:cs="Times New Roman"/>
          <w:bCs/>
          <w:i/>
          <w:color w:val="auto"/>
          <w:sz w:val="20"/>
          <w:szCs w:val="20"/>
        </w:rPr>
        <w:t>thers</w:t>
      </w:r>
      <w:r w:rsidRPr="00C20926">
        <w:rPr>
          <w:rFonts w:ascii="Times New Roman" w:hAnsi="Times New Roman" w:cs="Times New Roman"/>
          <w:bCs/>
          <w:color w:val="auto"/>
          <w:sz w:val="20"/>
          <w:szCs w:val="20"/>
        </w:rPr>
        <w:t xml:space="preserve"> [1995] ZACC 13; 1996 (1) SA 984 (CC); 1996 (1) BCLR 1.</w:t>
      </w:r>
    </w:p>
  </w:footnote>
  <w:footnote w:id="33">
    <w:p w14:paraId="08100559" w14:textId="64C0B020" w:rsidR="000D088D" w:rsidRPr="00C20926" w:rsidRDefault="000D088D" w:rsidP="003D13B4">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Pr="00C20926">
        <w:rPr>
          <w:rFonts w:ascii="Times New Roman" w:hAnsi="Times New Roman" w:cs="Times New Roman"/>
          <w:lang w:val="en-GB"/>
        </w:rPr>
        <w:t xml:space="preserve">In </w:t>
      </w:r>
      <w:r w:rsidR="00B12612" w:rsidRPr="00C20926">
        <w:rPr>
          <w:rFonts w:ascii="Times New Roman" w:hAnsi="Times New Roman" w:cs="Times New Roman"/>
          <w:i/>
          <w:iCs/>
          <w:lang w:val="en-GB"/>
        </w:rPr>
        <w:t>Ferreira,</w:t>
      </w:r>
      <w:r w:rsidRPr="00C20926">
        <w:rPr>
          <w:rFonts w:ascii="Times New Roman" w:hAnsi="Times New Roman" w:cs="Times New Roman"/>
          <w:lang w:val="en-GB"/>
        </w:rPr>
        <w:t xml:space="preserve"> the Constitutional Court dealt with the constitutionality of s 417(2)(</w:t>
      </w:r>
      <w:r w:rsidRPr="00C20926">
        <w:rPr>
          <w:rFonts w:ascii="Times New Roman" w:hAnsi="Times New Roman" w:cs="Times New Roman"/>
          <w:i/>
          <w:iCs/>
          <w:lang w:val="en-GB"/>
        </w:rPr>
        <w:t>b</w:t>
      </w:r>
      <w:r w:rsidRPr="00C20926">
        <w:rPr>
          <w:rFonts w:ascii="Times New Roman" w:hAnsi="Times New Roman" w:cs="Times New Roman"/>
          <w:lang w:val="en-GB"/>
        </w:rPr>
        <w:t xml:space="preserve">) of the Companies Act. It invalidated only the part of the section permitted the use of incriminating evidence in subsequent criminal proceedings. In </w:t>
      </w:r>
      <w:r w:rsidR="00B12612" w:rsidRPr="00C20926">
        <w:rPr>
          <w:rFonts w:ascii="Times New Roman" w:hAnsi="Times New Roman" w:cs="Times New Roman"/>
          <w:i/>
          <w:iCs/>
          <w:lang w:val="en-GB"/>
        </w:rPr>
        <w:t>Bernstein,</w:t>
      </w:r>
      <w:r w:rsidRPr="00C20926">
        <w:rPr>
          <w:rFonts w:ascii="Times New Roman" w:hAnsi="Times New Roman" w:cs="Times New Roman"/>
          <w:lang w:val="en-GB"/>
        </w:rPr>
        <w:t xml:space="preserve"> </w:t>
      </w:r>
      <w:r w:rsidR="00B12612" w:rsidRPr="00C20926">
        <w:rPr>
          <w:rFonts w:ascii="Times New Roman" w:hAnsi="Times New Roman" w:cs="Times New Roman"/>
          <w:lang w:val="en-GB"/>
        </w:rPr>
        <w:t xml:space="preserve">the Constitutional Court rejected </w:t>
      </w:r>
      <w:r w:rsidRPr="00C20926">
        <w:rPr>
          <w:rFonts w:ascii="Times New Roman" w:hAnsi="Times New Roman" w:cs="Times New Roman"/>
          <w:lang w:val="en-GB"/>
        </w:rPr>
        <w:t>an application to invalidate ss</w:t>
      </w:r>
      <w:r w:rsidR="00B12612" w:rsidRPr="00C20926">
        <w:rPr>
          <w:rFonts w:ascii="Times New Roman" w:hAnsi="Times New Roman" w:cs="Times New Roman"/>
          <w:lang w:val="en-GB"/>
        </w:rPr>
        <w:t xml:space="preserve"> </w:t>
      </w:r>
      <w:r w:rsidRPr="00C20926">
        <w:rPr>
          <w:rFonts w:ascii="Times New Roman" w:hAnsi="Times New Roman" w:cs="Times New Roman"/>
          <w:lang w:val="en-GB"/>
        </w:rPr>
        <w:t>417 and 418 of the Companies Act</w:t>
      </w:r>
      <w:r w:rsidR="00B12612" w:rsidRPr="00C20926">
        <w:rPr>
          <w:rFonts w:ascii="Times New Roman" w:hAnsi="Times New Roman" w:cs="Times New Roman"/>
          <w:lang w:val="en-GB"/>
        </w:rPr>
        <w:t>.</w:t>
      </w:r>
      <w:r w:rsidRPr="00C20926">
        <w:rPr>
          <w:rFonts w:ascii="Times New Roman" w:hAnsi="Times New Roman" w:cs="Times New Roman"/>
          <w:lang w:val="en-GB"/>
        </w:rPr>
        <w:t xml:space="preserve"> It held that the use of compelled testimony in civil proceedings is </w:t>
      </w:r>
      <w:r w:rsidR="00B12612" w:rsidRPr="00C20926">
        <w:rPr>
          <w:rFonts w:ascii="Times New Roman" w:hAnsi="Times New Roman" w:cs="Times New Roman"/>
          <w:lang w:val="en-GB"/>
        </w:rPr>
        <w:t>constitutional</w:t>
      </w:r>
      <w:r w:rsidRPr="00C20926">
        <w:rPr>
          <w:rFonts w:ascii="Times New Roman" w:hAnsi="Times New Roman" w:cs="Times New Roman"/>
          <w:lang w:val="en-GB"/>
        </w:rPr>
        <w:t>.</w:t>
      </w:r>
    </w:p>
  </w:footnote>
  <w:footnote w:id="34">
    <w:p w14:paraId="39AE4EEA" w14:textId="4B4670EA" w:rsidR="00BE0D46" w:rsidRPr="00B12612" w:rsidRDefault="00BE0D46" w:rsidP="007F4700">
      <w:pPr>
        <w:pStyle w:val="FootnoteText"/>
        <w:jc w:val="both"/>
        <w:rPr>
          <w:rFonts w:ascii="Times New Roman" w:hAnsi="Times New Roman" w:cs="Times New Roman"/>
        </w:rPr>
      </w:pPr>
      <w:r w:rsidRPr="00C20926">
        <w:rPr>
          <w:rStyle w:val="FootnoteReference"/>
          <w:rFonts w:ascii="Times New Roman" w:hAnsi="Times New Roman" w:cs="Times New Roman"/>
        </w:rPr>
        <w:footnoteRef/>
      </w:r>
      <w:r w:rsidRPr="00C20926">
        <w:rPr>
          <w:rFonts w:ascii="Times New Roman" w:hAnsi="Times New Roman" w:cs="Times New Roman"/>
        </w:rPr>
        <w:t xml:space="preserve"> </w:t>
      </w:r>
      <w:r w:rsidRPr="00C20926">
        <w:rPr>
          <w:rFonts w:ascii="Times New Roman" w:hAnsi="Times New Roman" w:cs="Times New Roman"/>
          <w:i/>
          <w:iCs/>
          <w:lang w:val="en-GB"/>
        </w:rPr>
        <w:t>Benson: In re Tait N.O. and Others v Jason and Others</w:t>
      </w:r>
      <w:r w:rsidRPr="00C20926">
        <w:rPr>
          <w:rFonts w:ascii="Times New Roman" w:hAnsi="Times New Roman" w:cs="Times New Roman"/>
          <w:lang w:val="en-GB"/>
        </w:rPr>
        <w:t xml:space="preserve"> [2012] ZAWCHC 377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B4C0" w14:textId="77777777" w:rsidR="00544C81" w:rsidRDefault="00544C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F6175E" w14:textId="77777777" w:rsidR="00544C81" w:rsidRDefault="00544C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A0CB8" w14:textId="77777777" w:rsidR="00544C81" w:rsidRPr="0031085B" w:rsidRDefault="00544C81">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CB3D8C">
      <w:rPr>
        <w:rStyle w:val="PageNumber"/>
        <w:noProof/>
        <w:sz w:val="28"/>
        <w:szCs w:val="28"/>
      </w:rPr>
      <w:t>27</w:t>
    </w:r>
    <w:r w:rsidRPr="0031085B">
      <w:rPr>
        <w:rStyle w:val="PageNumber"/>
        <w:sz w:val="28"/>
        <w:szCs w:val="28"/>
      </w:rPr>
      <w:fldChar w:fldCharType="end"/>
    </w:r>
  </w:p>
  <w:p w14:paraId="6EF6BAD2" w14:textId="77777777" w:rsidR="00544C81" w:rsidRDefault="00544C81">
    <w:pPr>
      <w:pStyle w:val="Header"/>
      <w:ind w:right="360"/>
      <w:rPr>
        <w:sz w:val="28"/>
        <w:szCs w:val="28"/>
      </w:rPr>
    </w:pPr>
  </w:p>
  <w:p w14:paraId="0A69EB2D" w14:textId="77777777" w:rsidR="00544C81" w:rsidRPr="008630D8" w:rsidRDefault="00544C81" w:rsidP="008630D8">
    <w:pPr>
      <w:pStyle w:val="Header"/>
      <w:spacing w:line="240" w:lineRule="auto"/>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DCA"/>
    <w:multiLevelType w:val="hybridMultilevel"/>
    <w:tmpl w:val="10A840E6"/>
    <w:lvl w:ilvl="0" w:tplc="1CA8BF36">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504A2"/>
    <w:multiLevelType w:val="hybridMultilevel"/>
    <w:tmpl w:val="B52E4630"/>
    <w:lvl w:ilvl="0" w:tplc="8D56A0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AB5963"/>
    <w:multiLevelType w:val="hybridMultilevel"/>
    <w:tmpl w:val="117C3FCA"/>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F93B23"/>
    <w:multiLevelType w:val="hybridMultilevel"/>
    <w:tmpl w:val="F86AB45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185265"/>
    <w:multiLevelType w:val="hybridMultilevel"/>
    <w:tmpl w:val="8460F9E4"/>
    <w:lvl w:ilvl="0" w:tplc="9DA8DE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34341DA"/>
    <w:multiLevelType w:val="hybridMultilevel"/>
    <w:tmpl w:val="17A201B4"/>
    <w:lvl w:ilvl="0" w:tplc="2BC8F9EA">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6">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1D13BD"/>
    <w:multiLevelType w:val="multilevel"/>
    <w:tmpl w:val="4B9AA9F0"/>
    <w:lvl w:ilvl="0">
      <w:start w:val="1"/>
      <w:numFmt w:val="decimal"/>
      <w:pStyle w:val="JUGMENTNUMBERED"/>
      <w:lvlText w:val="[%1]"/>
      <w:lvlJc w:val="left"/>
      <w:pPr>
        <w:tabs>
          <w:tab w:val="num" w:pos="680"/>
        </w:tabs>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A561A54"/>
    <w:multiLevelType w:val="hybridMultilevel"/>
    <w:tmpl w:val="B2309188"/>
    <w:lvl w:ilvl="0" w:tplc="FC90EE32">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21">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09A72D9"/>
    <w:multiLevelType w:val="hybridMultilevel"/>
    <w:tmpl w:val="50E85E3E"/>
    <w:lvl w:ilvl="0" w:tplc="48C2B960">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23">
    <w:nsid w:val="552071E9"/>
    <w:multiLevelType w:val="hybridMultilevel"/>
    <w:tmpl w:val="9570635E"/>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7CD2C7C"/>
    <w:multiLevelType w:val="hybridMultilevel"/>
    <w:tmpl w:val="2A8E0E7E"/>
    <w:lvl w:ilvl="0" w:tplc="25A816E8">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26">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FA4000"/>
    <w:multiLevelType w:val="hybridMultilevel"/>
    <w:tmpl w:val="0732692A"/>
    <w:lvl w:ilvl="0" w:tplc="B952FD7C">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32">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705028"/>
    <w:multiLevelType w:val="hybridMultilevel"/>
    <w:tmpl w:val="718A3F6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8"/>
  </w:num>
  <w:num w:numId="3">
    <w:abstractNumId w:val="16"/>
  </w:num>
  <w:num w:numId="4">
    <w:abstractNumId w:val="2"/>
  </w:num>
  <w:num w:numId="5">
    <w:abstractNumId w:val="21"/>
  </w:num>
  <w:num w:numId="6">
    <w:abstractNumId w:val="29"/>
  </w:num>
  <w:num w:numId="7">
    <w:abstractNumId w:val="2"/>
    <w:lvlOverride w:ilvl="0">
      <w:startOverride w:val="1"/>
    </w:lvlOverride>
  </w:num>
  <w:num w:numId="8">
    <w:abstractNumId w:val="26"/>
  </w:num>
  <w:num w:numId="9">
    <w:abstractNumId w:val="6"/>
  </w:num>
  <w:num w:numId="10">
    <w:abstractNumId w:val="30"/>
  </w:num>
  <w:num w:numId="11">
    <w:abstractNumId w:val="10"/>
  </w:num>
  <w:num w:numId="12">
    <w:abstractNumId w:val="15"/>
  </w:num>
  <w:num w:numId="13">
    <w:abstractNumId w:val="32"/>
  </w:num>
  <w:num w:numId="14">
    <w:abstractNumId w:val="34"/>
  </w:num>
  <w:num w:numId="15">
    <w:abstractNumId w:val="24"/>
  </w:num>
  <w:num w:numId="16">
    <w:abstractNumId w:val="11"/>
  </w:num>
  <w:num w:numId="17">
    <w:abstractNumId w:val="18"/>
  </w:num>
  <w:num w:numId="18">
    <w:abstractNumId w:val="9"/>
  </w:num>
  <w:num w:numId="19">
    <w:abstractNumId w:val="27"/>
  </w:num>
  <w:num w:numId="20">
    <w:abstractNumId w:val="4"/>
  </w:num>
  <w:num w:numId="21">
    <w:abstractNumId w:val="19"/>
  </w:num>
  <w:num w:numId="22">
    <w:abstractNumId w:val="1"/>
  </w:num>
  <w:num w:numId="23">
    <w:abstractNumId w:val="12"/>
  </w:num>
  <w:num w:numId="24">
    <w:abstractNumId w:val="33"/>
  </w:num>
  <w:num w:numId="25">
    <w:abstractNumId w:val="13"/>
  </w:num>
  <w:num w:numId="26">
    <w:abstractNumId w:val="7"/>
  </w:num>
  <w:num w:numId="27">
    <w:abstractNumId w:val="23"/>
  </w:num>
  <w:num w:numId="28">
    <w:abstractNumId w:val="14"/>
  </w:num>
  <w:num w:numId="29">
    <w:abstractNumId w:val="25"/>
  </w:num>
  <w:num w:numId="30">
    <w:abstractNumId w:val="20"/>
  </w:num>
  <w:num w:numId="31">
    <w:abstractNumId w:val="31"/>
  </w:num>
  <w:num w:numId="32">
    <w:abstractNumId w:val="22"/>
  </w:num>
  <w:num w:numId="33">
    <w:abstractNumId w:val="8"/>
  </w:num>
  <w:num w:numId="34">
    <w:abstractNumId w:val="35"/>
  </w:num>
  <w:num w:numId="35">
    <w:abstractNumId w:val="17"/>
  </w:num>
  <w:num w:numId="36">
    <w:abstractNumId w:val="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2BF38B-75AB-447E-BF62-34D01350FF4E}"/>
    <w:docVar w:name="dgnword-eventsink" w:val="2314332203968"/>
  </w:docVars>
  <w:rsids>
    <w:rsidRoot w:val="004212DC"/>
    <w:rsid w:val="000006B1"/>
    <w:rsid w:val="00001236"/>
    <w:rsid w:val="00001BBE"/>
    <w:rsid w:val="000024C4"/>
    <w:rsid w:val="00002ED1"/>
    <w:rsid w:val="0000407E"/>
    <w:rsid w:val="0000447E"/>
    <w:rsid w:val="00004E01"/>
    <w:rsid w:val="00004E24"/>
    <w:rsid w:val="000068E1"/>
    <w:rsid w:val="000070A8"/>
    <w:rsid w:val="00007256"/>
    <w:rsid w:val="000118B0"/>
    <w:rsid w:val="00011A6A"/>
    <w:rsid w:val="00011CCB"/>
    <w:rsid w:val="00011ED5"/>
    <w:rsid w:val="0001238C"/>
    <w:rsid w:val="000123F7"/>
    <w:rsid w:val="00012EDF"/>
    <w:rsid w:val="00013D06"/>
    <w:rsid w:val="00014C91"/>
    <w:rsid w:val="00015609"/>
    <w:rsid w:val="000160CE"/>
    <w:rsid w:val="0001767F"/>
    <w:rsid w:val="00017688"/>
    <w:rsid w:val="00017F10"/>
    <w:rsid w:val="0002006C"/>
    <w:rsid w:val="00020E1D"/>
    <w:rsid w:val="00021AE1"/>
    <w:rsid w:val="00021DD4"/>
    <w:rsid w:val="0002242C"/>
    <w:rsid w:val="00022941"/>
    <w:rsid w:val="00024311"/>
    <w:rsid w:val="000248F3"/>
    <w:rsid w:val="00025101"/>
    <w:rsid w:val="0002669A"/>
    <w:rsid w:val="000270C7"/>
    <w:rsid w:val="0002719A"/>
    <w:rsid w:val="0002736C"/>
    <w:rsid w:val="000301AB"/>
    <w:rsid w:val="000309F3"/>
    <w:rsid w:val="00030DD0"/>
    <w:rsid w:val="000322BC"/>
    <w:rsid w:val="0003247F"/>
    <w:rsid w:val="00033E4C"/>
    <w:rsid w:val="00034100"/>
    <w:rsid w:val="000373B7"/>
    <w:rsid w:val="000400E8"/>
    <w:rsid w:val="000413FE"/>
    <w:rsid w:val="0004388B"/>
    <w:rsid w:val="00043B45"/>
    <w:rsid w:val="00043F4F"/>
    <w:rsid w:val="000455BE"/>
    <w:rsid w:val="00045937"/>
    <w:rsid w:val="00045C52"/>
    <w:rsid w:val="00047C9F"/>
    <w:rsid w:val="000507D1"/>
    <w:rsid w:val="00050A75"/>
    <w:rsid w:val="0005201C"/>
    <w:rsid w:val="0005291E"/>
    <w:rsid w:val="0005367A"/>
    <w:rsid w:val="00054B69"/>
    <w:rsid w:val="000553FF"/>
    <w:rsid w:val="00055D63"/>
    <w:rsid w:val="00056778"/>
    <w:rsid w:val="000575B7"/>
    <w:rsid w:val="0005762E"/>
    <w:rsid w:val="00057871"/>
    <w:rsid w:val="00057C58"/>
    <w:rsid w:val="0006001E"/>
    <w:rsid w:val="00060155"/>
    <w:rsid w:val="00060415"/>
    <w:rsid w:val="00060A67"/>
    <w:rsid w:val="00061802"/>
    <w:rsid w:val="00061E39"/>
    <w:rsid w:val="0006336D"/>
    <w:rsid w:val="00063477"/>
    <w:rsid w:val="00063B2F"/>
    <w:rsid w:val="00063CE5"/>
    <w:rsid w:val="00063E29"/>
    <w:rsid w:val="00063FCD"/>
    <w:rsid w:val="000641B0"/>
    <w:rsid w:val="0006488B"/>
    <w:rsid w:val="00064B36"/>
    <w:rsid w:val="00064FFB"/>
    <w:rsid w:val="00066B1D"/>
    <w:rsid w:val="00066D0A"/>
    <w:rsid w:val="0006736B"/>
    <w:rsid w:val="0006739E"/>
    <w:rsid w:val="000703CB"/>
    <w:rsid w:val="000722AE"/>
    <w:rsid w:val="000726AB"/>
    <w:rsid w:val="00074DAE"/>
    <w:rsid w:val="0007519F"/>
    <w:rsid w:val="000760B7"/>
    <w:rsid w:val="00077954"/>
    <w:rsid w:val="00077ADF"/>
    <w:rsid w:val="00077B9A"/>
    <w:rsid w:val="0008023C"/>
    <w:rsid w:val="000804EA"/>
    <w:rsid w:val="00081069"/>
    <w:rsid w:val="000812A5"/>
    <w:rsid w:val="00081E78"/>
    <w:rsid w:val="00081E7D"/>
    <w:rsid w:val="00082BFF"/>
    <w:rsid w:val="00082F28"/>
    <w:rsid w:val="00084603"/>
    <w:rsid w:val="00087102"/>
    <w:rsid w:val="000871FC"/>
    <w:rsid w:val="00087335"/>
    <w:rsid w:val="00091899"/>
    <w:rsid w:val="00092448"/>
    <w:rsid w:val="000943CB"/>
    <w:rsid w:val="000943D1"/>
    <w:rsid w:val="0009628F"/>
    <w:rsid w:val="000964A4"/>
    <w:rsid w:val="0009668F"/>
    <w:rsid w:val="000972B8"/>
    <w:rsid w:val="00097747"/>
    <w:rsid w:val="000A0A9D"/>
    <w:rsid w:val="000A0C5F"/>
    <w:rsid w:val="000A40EE"/>
    <w:rsid w:val="000A5743"/>
    <w:rsid w:val="000A5771"/>
    <w:rsid w:val="000A5D31"/>
    <w:rsid w:val="000A6AB3"/>
    <w:rsid w:val="000A6E4C"/>
    <w:rsid w:val="000B0779"/>
    <w:rsid w:val="000B0886"/>
    <w:rsid w:val="000B14B6"/>
    <w:rsid w:val="000B235E"/>
    <w:rsid w:val="000B31E8"/>
    <w:rsid w:val="000B32AE"/>
    <w:rsid w:val="000B3651"/>
    <w:rsid w:val="000B3793"/>
    <w:rsid w:val="000B3E68"/>
    <w:rsid w:val="000B4E93"/>
    <w:rsid w:val="000B4FB1"/>
    <w:rsid w:val="000B513F"/>
    <w:rsid w:val="000B5825"/>
    <w:rsid w:val="000B5882"/>
    <w:rsid w:val="000B5C53"/>
    <w:rsid w:val="000B5DA1"/>
    <w:rsid w:val="000B5EF9"/>
    <w:rsid w:val="000C0883"/>
    <w:rsid w:val="000C0C48"/>
    <w:rsid w:val="000C2968"/>
    <w:rsid w:val="000C2DC1"/>
    <w:rsid w:val="000C4362"/>
    <w:rsid w:val="000C5FAA"/>
    <w:rsid w:val="000C6638"/>
    <w:rsid w:val="000C6BFC"/>
    <w:rsid w:val="000C7FA5"/>
    <w:rsid w:val="000D088D"/>
    <w:rsid w:val="000D0A48"/>
    <w:rsid w:val="000D0E8E"/>
    <w:rsid w:val="000D1E37"/>
    <w:rsid w:val="000D44B9"/>
    <w:rsid w:val="000D47F8"/>
    <w:rsid w:val="000D4AD5"/>
    <w:rsid w:val="000D4C9D"/>
    <w:rsid w:val="000D4CA1"/>
    <w:rsid w:val="000D570A"/>
    <w:rsid w:val="000D58BA"/>
    <w:rsid w:val="000D59D1"/>
    <w:rsid w:val="000D5E08"/>
    <w:rsid w:val="000D6414"/>
    <w:rsid w:val="000D6C54"/>
    <w:rsid w:val="000D7200"/>
    <w:rsid w:val="000D7528"/>
    <w:rsid w:val="000E0536"/>
    <w:rsid w:val="000E093C"/>
    <w:rsid w:val="000E16EA"/>
    <w:rsid w:val="000E2348"/>
    <w:rsid w:val="000E35B8"/>
    <w:rsid w:val="000E3DA6"/>
    <w:rsid w:val="000E3DEB"/>
    <w:rsid w:val="000E431E"/>
    <w:rsid w:val="000E45AA"/>
    <w:rsid w:val="000E4F72"/>
    <w:rsid w:val="000E5563"/>
    <w:rsid w:val="000E571E"/>
    <w:rsid w:val="000E65CB"/>
    <w:rsid w:val="000E6FDF"/>
    <w:rsid w:val="000F0595"/>
    <w:rsid w:val="000F26A5"/>
    <w:rsid w:val="000F3F4B"/>
    <w:rsid w:val="000F4FF9"/>
    <w:rsid w:val="000F5894"/>
    <w:rsid w:val="000F60AC"/>
    <w:rsid w:val="000F62FD"/>
    <w:rsid w:val="000F7FE4"/>
    <w:rsid w:val="0010045B"/>
    <w:rsid w:val="0010179D"/>
    <w:rsid w:val="00102265"/>
    <w:rsid w:val="001025FE"/>
    <w:rsid w:val="00102E08"/>
    <w:rsid w:val="001032B0"/>
    <w:rsid w:val="001035DB"/>
    <w:rsid w:val="00103B77"/>
    <w:rsid w:val="00103DD8"/>
    <w:rsid w:val="00104A89"/>
    <w:rsid w:val="00104E69"/>
    <w:rsid w:val="00106A0F"/>
    <w:rsid w:val="001078AF"/>
    <w:rsid w:val="00107C50"/>
    <w:rsid w:val="00110E5D"/>
    <w:rsid w:val="001113FF"/>
    <w:rsid w:val="001120B0"/>
    <w:rsid w:val="00112A54"/>
    <w:rsid w:val="00112CB9"/>
    <w:rsid w:val="00112E1D"/>
    <w:rsid w:val="0011328B"/>
    <w:rsid w:val="00113E15"/>
    <w:rsid w:val="00115338"/>
    <w:rsid w:val="00115616"/>
    <w:rsid w:val="00115C0B"/>
    <w:rsid w:val="00116E62"/>
    <w:rsid w:val="001176ED"/>
    <w:rsid w:val="001205B3"/>
    <w:rsid w:val="0012151C"/>
    <w:rsid w:val="00122379"/>
    <w:rsid w:val="0012486E"/>
    <w:rsid w:val="001254E5"/>
    <w:rsid w:val="0012667F"/>
    <w:rsid w:val="00127281"/>
    <w:rsid w:val="00130006"/>
    <w:rsid w:val="00130165"/>
    <w:rsid w:val="001314B0"/>
    <w:rsid w:val="00132D54"/>
    <w:rsid w:val="00134FC4"/>
    <w:rsid w:val="0013511C"/>
    <w:rsid w:val="00135346"/>
    <w:rsid w:val="001354F0"/>
    <w:rsid w:val="00135AD9"/>
    <w:rsid w:val="00137C0C"/>
    <w:rsid w:val="00140964"/>
    <w:rsid w:val="00141F9B"/>
    <w:rsid w:val="00142412"/>
    <w:rsid w:val="001425FA"/>
    <w:rsid w:val="0014274E"/>
    <w:rsid w:val="00142D06"/>
    <w:rsid w:val="00142ECC"/>
    <w:rsid w:val="00143D98"/>
    <w:rsid w:val="0014482D"/>
    <w:rsid w:val="00144B90"/>
    <w:rsid w:val="00145020"/>
    <w:rsid w:val="00145B4C"/>
    <w:rsid w:val="00146151"/>
    <w:rsid w:val="00146489"/>
    <w:rsid w:val="001475C3"/>
    <w:rsid w:val="0014776D"/>
    <w:rsid w:val="00147A74"/>
    <w:rsid w:val="001502B5"/>
    <w:rsid w:val="00150FE6"/>
    <w:rsid w:val="00151148"/>
    <w:rsid w:val="001522B4"/>
    <w:rsid w:val="001536E8"/>
    <w:rsid w:val="00153742"/>
    <w:rsid w:val="00153E63"/>
    <w:rsid w:val="00154C26"/>
    <w:rsid w:val="00154CCA"/>
    <w:rsid w:val="00155599"/>
    <w:rsid w:val="00155B72"/>
    <w:rsid w:val="00157785"/>
    <w:rsid w:val="00157C87"/>
    <w:rsid w:val="00157F7F"/>
    <w:rsid w:val="00160C0E"/>
    <w:rsid w:val="001614C3"/>
    <w:rsid w:val="00161776"/>
    <w:rsid w:val="00161F9D"/>
    <w:rsid w:val="0016241A"/>
    <w:rsid w:val="00162671"/>
    <w:rsid w:val="001628AE"/>
    <w:rsid w:val="00162947"/>
    <w:rsid w:val="00163671"/>
    <w:rsid w:val="0016371A"/>
    <w:rsid w:val="00163AC8"/>
    <w:rsid w:val="001646C8"/>
    <w:rsid w:val="00165466"/>
    <w:rsid w:val="00165554"/>
    <w:rsid w:val="00165EE5"/>
    <w:rsid w:val="00167616"/>
    <w:rsid w:val="00170E64"/>
    <w:rsid w:val="0017161E"/>
    <w:rsid w:val="00171653"/>
    <w:rsid w:val="00171891"/>
    <w:rsid w:val="00171CCC"/>
    <w:rsid w:val="00171FE7"/>
    <w:rsid w:val="00172DD1"/>
    <w:rsid w:val="00172E5D"/>
    <w:rsid w:val="00173083"/>
    <w:rsid w:val="001731FD"/>
    <w:rsid w:val="001732DE"/>
    <w:rsid w:val="001736D2"/>
    <w:rsid w:val="0017385F"/>
    <w:rsid w:val="00173F89"/>
    <w:rsid w:val="001748DD"/>
    <w:rsid w:val="001767EA"/>
    <w:rsid w:val="001767ED"/>
    <w:rsid w:val="00177C2B"/>
    <w:rsid w:val="00180C81"/>
    <w:rsid w:val="00181587"/>
    <w:rsid w:val="00181E4E"/>
    <w:rsid w:val="00182BD4"/>
    <w:rsid w:val="00182DC0"/>
    <w:rsid w:val="001832DE"/>
    <w:rsid w:val="00183C61"/>
    <w:rsid w:val="0018411D"/>
    <w:rsid w:val="00186B79"/>
    <w:rsid w:val="001917EF"/>
    <w:rsid w:val="00191B29"/>
    <w:rsid w:val="00192510"/>
    <w:rsid w:val="001925AF"/>
    <w:rsid w:val="001926D3"/>
    <w:rsid w:val="001930BF"/>
    <w:rsid w:val="0019487C"/>
    <w:rsid w:val="001952EB"/>
    <w:rsid w:val="001955FC"/>
    <w:rsid w:val="00196688"/>
    <w:rsid w:val="00197768"/>
    <w:rsid w:val="00197CFE"/>
    <w:rsid w:val="00197E26"/>
    <w:rsid w:val="001A3992"/>
    <w:rsid w:val="001A45E5"/>
    <w:rsid w:val="001A467F"/>
    <w:rsid w:val="001A4B66"/>
    <w:rsid w:val="001A5052"/>
    <w:rsid w:val="001A550F"/>
    <w:rsid w:val="001A7D6A"/>
    <w:rsid w:val="001B091B"/>
    <w:rsid w:val="001B20B7"/>
    <w:rsid w:val="001B29EC"/>
    <w:rsid w:val="001B3224"/>
    <w:rsid w:val="001B3256"/>
    <w:rsid w:val="001B39B8"/>
    <w:rsid w:val="001B3D5D"/>
    <w:rsid w:val="001B40C3"/>
    <w:rsid w:val="001B4161"/>
    <w:rsid w:val="001B460A"/>
    <w:rsid w:val="001B46C9"/>
    <w:rsid w:val="001B4F66"/>
    <w:rsid w:val="001B5A6F"/>
    <w:rsid w:val="001B62EF"/>
    <w:rsid w:val="001B74C8"/>
    <w:rsid w:val="001B79AA"/>
    <w:rsid w:val="001C02D7"/>
    <w:rsid w:val="001C0705"/>
    <w:rsid w:val="001C0956"/>
    <w:rsid w:val="001C0999"/>
    <w:rsid w:val="001C1370"/>
    <w:rsid w:val="001C21D9"/>
    <w:rsid w:val="001C22BD"/>
    <w:rsid w:val="001C2CEB"/>
    <w:rsid w:val="001C32F9"/>
    <w:rsid w:val="001C36C6"/>
    <w:rsid w:val="001C4732"/>
    <w:rsid w:val="001C4D78"/>
    <w:rsid w:val="001C6EBA"/>
    <w:rsid w:val="001C723E"/>
    <w:rsid w:val="001D0510"/>
    <w:rsid w:val="001D1B3A"/>
    <w:rsid w:val="001D22CF"/>
    <w:rsid w:val="001D255F"/>
    <w:rsid w:val="001D3424"/>
    <w:rsid w:val="001D4606"/>
    <w:rsid w:val="001D4D06"/>
    <w:rsid w:val="001D5991"/>
    <w:rsid w:val="001D6230"/>
    <w:rsid w:val="001D652D"/>
    <w:rsid w:val="001D6531"/>
    <w:rsid w:val="001D6A34"/>
    <w:rsid w:val="001D6EE5"/>
    <w:rsid w:val="001E1846"/>
    <w:rsid w:val="001E201E"/>
    <w:rsid w:val="001E20A3"/>
    <w:rsid w:val="001E2352"/>
    <w:rsid w:val="001E2FD9"/>
    <w:rsid w:val="001E36F4"/>
    <w:rsid w:val="001E3912"/>
    <w:rsid w:val="001E39CC"/>
    <w:rsid w:val="001E4C55"/>
    <w:rsid w:val="001E4EEA"/>
    <w:rsid w:val="001E5B8B"/>
    <w:rsid w:val="001E65CD"/>
    <w:rsid w:val="001E721D"/>
    <w:rsid w:val="001F110D"/>
    <w:rsid w:val="001F200C"/>
    <w:rsid w:val="001F262B"/>
    <w:rsid w:val="001F27FB"/>
    <w:rsid w:val="001F2A15"/>
    <w:rsid w:val="001F33FC"/>
    <w:rsid w:val="001F37D9"/>
    <w:rsid w:val="001F40DB"/>
    <w:rsid w:val="001F41C4"/>
    <w:rsid w:val="001F55FF"/>
    <w:rsid w:val="001F629A"/>
    <w:rsid w:val="001F6B30"/>
    <w:rsid w:val="001F7436"/>
    <w:rsid w:val="001F7986"/>
    <w:rsid w:val="001F7CCA"/>
    <w:rsid w:val="002002D4"/>
    <w:rsid w:val="0020120D"/>
    <w:rsid w:val="0020307E"/>
    <w:rsid w:val="0020561A"/>
    <w:rsid w:val="00207A69"/>
    <w:rsid w:val="002102DF"/>
    <w:rsid w:val="00210C75"/>
    <w:rsid w:val="0021149A"/>
    <w:rsid w:val="002116F4"/>
    <w:rsid w:val="00211CB7"/>
    <w:rsid w:val="00211D54"/>
    <w:rsid w:val="002121EC"/>
    <w:rsid w:val="00212A42"/>
    <w:rsid w:val="002132BE"/>
    <w:rsid w:val="00214BD5"/>
    <w:rsid w:val="00214DB5"/>
    <w:rsid w:val="00216921"/>
    <w:rsid w:val="00216A6C"/>
    <w:rsid w:val="00217CE3"/>
    <w:rsid w:val="00217F7A"/>
    <w:rsid w:val="0022000B"/>
    <w:rsid w:val="00221BF4"/>
    <w:rsid w:val="00222682"/>
    <w:rsid w:val="0022359D"/>
    <w:rsid w:val="00224720"/>
    <w:rsid w:val="00224FD7"/>
    <w:rsid w:val="00225094"/>
    <w:rsid w:val="00225AB5"/>
    <w:rsid w:val="002267C2"/>
    <w:rsid w:val="00226B17"/>
    <w:rsid w:val="0023001E"/>
    <w:rsid w:val="002305B5"/>
    <w:rsid w:val="002307D0"/>
    <w:rsid w:val="00230976"/>
    <w:rsid w:val="00230F12"/>
    <w:rsid w:val="0023384D"/>
    <w:rsid w:val="00233BEA"/>
    <w:rsid w:val="00233D75"/>
    <w:rsid w:val="002344FF"/>
    <w:rsid w:val="00234C6E"/>
    <w:rsid w:val="00235136"/>
    <w:rsid w:val="0023688C"/>
    <w:rsid w:val="00236A89"/>
    <w:rsid w:val="00237000"/>
    <w:rsid w:val="00240245"/>
    <w:rsid w:val="002405D8"/>
    <w:rsid w:val="00240D3E"/>
    <w:rsid w:val="00241641"/>
    <w:rsid w:val="00241A85"/>
    <w:rsid w:val="0024238D"/>
    <w:rsid w:val="002425C2"/>
    <w:rsid w:val="0024449B"/>
    <w:rsid w:val="00245749"/>
    <w:rsid w:val="002458B4"/>
    <w:rsid w:val="0024693C"/>
    <w:rsid w:val="00246FAD"/>
    <w:rsid w:val="00247762"/>
    <w:rsid w:val="00250A29"/>
    <w:rsid w:val="00253513"/>
    <w:rsid w:val="00254218"/>
    <w:rsid w:val="00255124"/>
    <w:rsid w:val="00255311"/>
    <w:rsid w:val="002563E7"/>
    <w:rsid w:val="0025708E"/>
    <w:rsid w:val="0026014E"/>
    <w:rsid w:val="0026063E"/>
    <w:rsid w:val="00260DB5"/>
    <w:rsid w:val="002612EE"/>
    <w:rsid w:val="00261C00"/>
    <w:rsid w:val="00261C8A"/>
    <w:rsid w:val="00264330"/>
    <w:rsid w:val="00264ACD"/>
    <w:rsid w:val="00265960"/>
    <w:rsid w:val="00266129"/>
    <w:rsid w:val="00266C47"/>
    <w:rsid w:val="002671AD"/>
    <w:rsid w:val="00267ACE"/>
    <w:rsid w:val="00267C7A"/>
    <w:rsid w:val="00267FF4"/>
    <w:rsid w:val="002706A6"/>
    <w:rsid w:val="002708D2"/>
    <w:rsid w:val="00270C43"/>
    <w:rsid w:val="00271E51"/>
    <w:rsid w:val="002721B2"/>
    <w:rsid w:val="00272967"/>
    <w:rsid w:val="00273AA7"/>
    <w:rsid w:val="00275409"/>
    <w:rsid w:val="00276B9C"/>
    <w:rsid w:val="00276D0B"/>
    <w:rsid w:val="002770A2"/>
    <w:rsid w:val="002774CF"/>
    <w:rsid w:val="00277BF0"/>
    <w:rsid w:val="0028043F"/>
    <w:rsid w:val="00280B53"/>
    <w:rsid w:val="00281D2D"/>
    <w:rsid w:val="00282256"/>
    <w:rsid w:val="00282435"/>
    <w:rsid w:val="00282C2E"/>
    <w:rsid w:val="0028534E"/>
    <w:rsid w:val="00285A70"/>
    <w:rsid w:val="00290D86"/>
    <w:rsid w:val="002912DC"/>
    <w:rsid w:val="00292254"/>
    <w:rsid w:val="00292E17"/>
    <w:rsid w:val="00292FCE"/>
    <w:rsid w:val="0029440E"/>
    <w:rsid w:val="00295018"/>
    <w:rsid w:val="002950E1"/>
    <w:rsid w:val="00295AA7"/>
    <w:rsid w:val="00295C4E"/>
    <w:rsid w:val="002A149F"/>
    <w:rsid w:val="002A2110"/>
    <w:rsid w:val="002A3D10"/>
    <w:rsid w:val="002A4EE2"/>
    <w:rsid w:val="002A515C"/>
    <w:rsid w:val="002A546F"/>
    <w:rsid w:val="002A5C56"/>
    <w:rsid w:val="002A5FBA"/>
    <w:rsid w:val="002A6220"/>
    <w:rsid w:val="002A71B9"/>
    <w:rsid w:val="002A7375"/>
    <w:rsid w:val="002A7398"/>
    <w:rsid w:val="002A7BC7"/>
    <w:rsid w:val="002A7FE5"/>
    <w:rsid w:val="002B0140"/>
    <w:rsid w:val="002B09B2"/>
    <w:rsid w:val="002B0A40"/>
    <w:rsid w:val="002B0E0F"/>
    <w:rsid w:val="002B12BB"/>
    <w:rsid w:val="002B165B"/>
    <w:rsid w:val="002B1AE9"/>
    <w:rsid w:val="002B2864"/>
    <w:rsid w:val="002B2C11"/>
    <w:rsid w:val="002B3A96"/>
    <w:rsid w:val="002B50E5"/>
    <w:rsid w:val="002B5CAD"/>
    <w:rsid w:val="002B6177"/>
    <w:rsid w:val="002B63C3"/>
    <w:rsid w:val="002B6463"/>
    <w:rsid w:val="002B6B61"/>
    <w:rsid w:val="002B7DCA"/>
    <w:rsid w:val="002B7F0D"/>
    <w:rsid w:val="002C0BAD"/>
    <w:rsid w:val="002C1CE1"/>
    <w:rsid w:val="002C2991"/>
    <w:rsid w:val="002C4A0F"/>
    <w:rsid w:val="002C556D"/>
    <w:rsid w:val="002C58DE"/>
    <w:rsid w:val="002C5FE2"/>
    <w:rsid w:val="002C653F"/>
    <w:rsid w:val="002C7919"/>
    <w:rsid w:val="002D0DF7"/>
    <w:rsid w:val="002D1513"/>
    <w:rsid w:val="002D1A6D"/>
    <w:rsid w:val="002D1ADF"/>
    <w:rsid w:val="002D1D1B"/>
    <w:rsid w:val="002D2C4D"/>
    <w:rsid w:val="002D30D5"/>
    <w:rsid w:val="002D3C05"/>
    <w:rsid w:val="002D3E16"/>
    <w:rsid w:val="002D3F4C"/>
    <w:rsid w:val="002D52B1"/>
    <w:rsid w:val="002D53AC"/>
    <w:rsid w:val="002D5400"/>
    <w:rsid w:val="002D67CE"/>
    <w:rsid w:val="002D7A0E"/>
    <w:rsid w:val="002D7A15"/>
    <w:rsid w:val="002D7B78"/>
    <w:rsid w:val="002E0067"/>
    <w:rsid w:val="002E2048"/>
    <w:rsid w:val="002E2203"/>
    <w:rsid w:val="002E2284"/>
    <w:rsid w:val="002E2930"/>
    <w:rsid w:val="002E2A12"/>
    <w:rsid w:val="002E4858"/>
    <w:rsid w:val="002F093D"/>
    <w:rsid w:val="002F15D6"/>
    <w:rsid w:val="002F3391"/>
    <w:rsid w:val="002F3556"/>
    <w:rsid w:val="002F380D"/>
    <w:rsid w:val="002F3813"/>
    <w:rsid w:val="002F3ACD"/>
    <w:rsid w:val="002F3B67"/>
    <w:rsid w:val="002F4B26"/>
    <w:rsid w:val="002F7404"/>
    <w:rsid w:val="002F749C"/>
    <w:rsid w:val="002F7761"/>
    <w:rsid w:val="002F7BD2"/>
    <w:rsid w:val="003002A0"/>
    <w:rsid w:val="003002BA"/>
    <w:rsid w:val="00300D32"/>
    <w:rsid w:val="00301D15"/>
    <w:rsid w:val="0030261A"/>
    <w:rsid w:val="00302622"/>
    <w:rsid w:val="0030368E"/>
    <w:rsid w:val="00304727"/>
    <w:rsid w:val="00305175"/>
    <w:rsid w:val="00305762"/>
    <w:rsid w:val="00305BFE"/>
    <w:rsid w:val="00306021"/>
    <w:rsid w:val="003073AA"/>
    <w:rsid w:val="003075F7"/>
    <w:rsid w:val="00307878"/>
    <w:rsid w:val="0030798F"/>
    <w:rsid w:val="0031085B"/>
    <w:rsid w:val="00310C48"/>
    <w:rsid w:val="00311351"/>
    <w:rsid w:val="0031282B"/>
    <w:rsid w:val="00313694"/>
    <w:rsid w:val="00313B71"/>
    <w:rsid w:val="00313C5F"/>
    <w:rsid w:val="0031575B"/>
    <w:rsid w:val="00315C7E"/>
    <w:rsid w:val="00315C96"/>
    <w:rsid w:val="003169D2"/>
    <w:rsid w:val="00316CCD"/>
    <w:rsid w:val="0031744A"/>
    <w:rsid w:val="00321020"/>
    <w:rsid w:val="003210B7"/>
    <w:rsid w:val="00321F61"/>
    <w:rsid w:val="00322EFA"/>
    <w:rsid w:val="00323A77"/>
    <w:rsid w:val="003241F7"/>
    <w:rsid w:val="0032434E"/>
    <w:rsid w:val="00324471"/>
    <w:rsid w:val="0032538C"/>
    <w:rsid w:val="003266B0"/>
    <w:rsid w:val="00327502"/>
    <w:rsid w:val="003308B0"/>
    <w:rsid w:val="00330BA9"/>
    <w:rsid w:val="003310B5"/>
    <w:rsid w:val="003320E2"/>
    <w:rsid w:val="003321EA"/>
    <w:rsid w:val="0033289C"/>
    <w:rsid w:val="00333029"/>
    <w:rsid w:val="003337AD"/>
    <w:rsid w:val="00333C99"/>
    <w:rsid w:val="0033437A"/>
    <w:rsid w:val="00334D49"/>
    <w:rsid w:val="00335F6E"/>
    <w:rsid w:val="00336F5A"/>
    <w:rsid w:val="00340531"/>
    <w:rsid w:val="00340D14"/>
    <w:rsid w:val="00341640"/>
    <w:rsid w:val="00341D27"/>
    <w:rsid w:val="00341FD1"/>
    <w:rsid w:val="0034234D"/>
    <w:rsid w:val="0034245C"/>
    <w:rsid w:val="00342720"/>
    <w:rsid w:val="003428A6"/>
    <w:rsid w:val="00342F67"/>
    <w:rsid w:val="0034325D"/>
    <w:rsid w:val="00347A0D"/>
    <w:rsid w:val="00347CFF"/>
    <w:rsid w:val="00350334"/>
    <w:rsid w:val="003503F0"/>
    <w:rsid w:val="00350E2B"/>
    <w:rsid w:val="0035189C"/>
    <w:rsid w:val="00352A23"/>
    <w:rsid w:val="00352A4A"/>
    <w:rsid w:val="00352E47"/>
    <w:rsid w:val="00353837"/>
    <w:rsid w:val="0035408F"/>
    <w:rsid w:val="00354393"/>
    <w:rsid w:val="00354994"/>
    <w:rsid w:val="00354AB2"/>
    <w:rsid w:val="00357DF1"/>
    <w:rsid w:val="003648C2"/>
    <w:rsid w:val="0036542C"/>
    <w:rsid w:val="00365934"/>
    <w:rsid w:val="00366310"/>
    <w:rsid w:val="003669C7"/>
    <w:rsid w:val="00367421"/>
    <w:rsid w:val="003677A3"/>
    <w:rsid w:val="00367B9C"/>
    <w:rsid w:val="00371805"/>
    <w:rsid w:val="00371D6D"/>
    <w:rsid w:val="00373C11"/>
    <w:rsid w:val="00374DD9"/>
    <w:rsid w:val="00374EF2"/>
    <w:rsid w:val="0037537C"/>
    <w:rsid w:val="00376B02"/>
    <w:rsid w:val="00380B50"/>
    <w:rsid w:val="00380B58"/>
    <w:rsid w:val="00380FE8"/>
    <w:rsid w:val="00381F89"/>
    <w:rsid w:val="00382993"/>
    <w:rsid w:val="00383308"/>
    <w:rsid w:val="00383359"/>
    <w:rsid w:val="003833C9"/>
    <w:rsid w:val="00383900"/>
    <w:rsid w:val="00386FC6"/>
    <w:rsid w:val="00390107"/>
    <w:rsid w:val="00390833"/>
    <w:rsid w:val="003908CB"/>
    <w:rsid w:val="00391983"/>
    <w:rsid w:val="0039206F"/>
    <w:rsid w:val="003927B0"/>
    <w:rsid w:val="00392FC5"/>
    <w:rsid w:val="003930FB"/>
    <w:rsid w:val="00393441"/>
    <w:rsid w:val="00393C15"/>
    <w:rsid w:val="00394437"/>
    <w:rsid w:val="00394A27"/>
    <w:rsid w:val="00394DD9"/>
    <w:rsid w:val="003954C6"/>
    <w:rsid w:val="003956E0"/>
    <w:rsid w:val="00395DC5"/>
    <w:rsid w:val="00395E4B"/>
    <w:rsid w:val="003967B1"/>
    <w:rsid w:val="00396885"/>
    <w:rsid w:val="00397168"/>
    <w:rsid w:val="003972C0"/>
    <w:rsid w:val="003A1119"/>
    <w:rsid w:val="003A29EA"/>
    <w:rsid w:val="003A35D6"/>
    <w:rsid w:val="003A363B"/>
    <w:rsid w:val="003A57B0"/>
    <w:rsid w:val="003A6B89"/>
    <w:rsid w:val="003A75B6"/>
    <w:rsid w:val="003A79D6"/>
    <w:rsid w:val="003B1890"/>
    <w:rsid w:val="003B31EE"/>
    <w:rsid w:val="003B33C8"/>
    <w:rsid w:val="003B3A29"/>
    <w:rsid w:val="003B48F9"/>
    <w:rsid w:val="003B7F99"/>
    <w:rsid w:val="003C0570"/>
    <w:rsid w:val="003C0624"/>
    <w:rsid w:val="003C0B3B"/>
    <w:rsid w:val="003C12A6"/>
    <w:rsid w:val="003C254B"/>
    <w:rsid w:val="003C2F06"/>
    <w:rsid w:val="003C30EB"/>
    <w:rsid w:val="003C3D9F"/>
    <w:rsid w:val="003C5D79"/>
    <w:rsid w:val="003C62B0"/>
    <w:rsid w:val="003C6A24"/>
    <w:rsid w:val="003C6C4D"/>
    <w:rsid w:val="003C711F"/>
    <w:rsid w:val="003D13B4"/>
    <w:rsid w:val="003D1B58"/>
    <w:rsid w:val="003D2869"/>
    <w:rsid w:val="003D3560"/>
    <w:rsid w:val="003D3D54"/>
    <w:rsid w:val="003D41FB"/>
    <w:rsid w:val="003D4C3E"/>
    <w:rsid w:val="003D4CB6"/>
    <w:rsid w:val="003D4F4A"/>
    <w:rsid w:val="003D5A7D"/>
    <w:rsid w:val="003D6187"/>
    <w:rsid w:val="003D6BFB"/>
    <w:rsid w:val="003D748F"/>
    <w:rsid w:val="003D75E9"/>
    <w:rsid w:val="003D79FA"/>
    <w:rsid w:val="003E0C05"/>
    <w:rsid w:val="003E120C"/>
    <w:rsid w:val="003E18BB"/>
    <w:rsid w:val="003E18F2"/>
    <w:rsid w:val="003E2209"/>
    <w:rsid w:val="003E2783"/>
    <w:rsid w:val="003E373C"/>
    <w:rsid w:val="003E3AC6"/>
    <w:rsid w:val="003E3AFA"/>
    <w:rsid w:val="003E411C"/>
    <w:rsid w:val="003E4439"/>
    <w:rsid w:val="003E4B18"/>
    <w:rsid w:val="003E6730"/>
    <w:rsid w:val="003E6EF5"/>
    <w:rsid w:val="003E7C5A"/>
    <w:rsid w:val="003E7F6F"/>
    <w:rsid w:val="003F15DA"/>
    <w:rsid w:val="003F18CF"/>
    <w:rsid w:val="003F1932"/>
    <w:rsid w:val="003F1D40"/>
    <w:rsid w:val="003F38A4"/>
    <w:rsid w:val="003F44F2"/>
    <w:rsid w:val="003F48ED"/>
    <w:rsid w:val="003F4B0E"/>
    <w:rsid w:val="003F4E47"/>
    <w:rsid w:val="003F4F55"/>
    <w:rsid w:val="003F5D12"/>
    <w:rsid w:val="0040061E"/>
    <w:rsid w:val="00400810"/>
    <w:rsid w:val="004010DC"/>
    <w:rsid w:val="00401145"/>
    <w:rsid w:val="0040264F"/>
    <w:rsid w:val="00402F2C"/>
    <w:rsid w:val="00403A33"/>
    <w:rsid w:val="00406446"/>
    <w:rsid w:val="004068BF"/>
    <w:rsid w:val="00407F73"/>
    <w:rsid w:val="00410589"/>
    <w:rsid w:val="00411279"/>
    <w:rsid w:val="0041254C"/>
    <w:rsid w:val="00413538"/>
    <w:rsid w:val="00416BDC"/>
    <w:rsid w:val="00416CB8"/>
    <w:rsid w:val="00420273"/>
    <w:rsid w:val="00420891"/>
    <w:rsid w:val="00420E68"/>
    <w:rsid w:val="004212DC"/>
    <w:rsid w:val="004220B2"/>
    <w:rsid w:val="0042332C"/>
    <w:rsid w:val="00423AA8"/>
    <w:rsid w:val="00424133"/>
    <w:rsid w:val="004267AD"/>
    <w:rsid w:val="0042753B"/>
    <w:rsid w:val="00427654"/>
    <w:rsid w:val="00430893"/>
    <w:rsid w:val="00431D04"/>
    <w:rsid w:val="00432FB5"/>
    <w:rsid w:val="004334F2"/>
    <w:rsid w:val="00434307"/>
    <w:rsid w:val="0043680E"/>
    <w:rsid w:val="0043791A"/>
    <w:rsid w:val="0044040C"/>
    <w:rsid w:val="00440794"/>
    <w:rsid w:val="00441831"/>
    <w:rsid w:val="004430AD"/>
    <w:rsid w:val="0044350D"/>
    <w:rsid w:val="00443805"/>
    <w:rsid w:val="004442F7"/>
    <w:rsid w:val="0044493C"/>
    <w:rsid w:val="004458E8"/>
    <w:rsid w:val="00445B73"/>
    <w:rsid w:val="00446883"/>
    <w:rsid w:val="00446C32"/>
    <w:rsid w:val="004479D1"/>
    <w:rsid w:val="0045020D"/>
    <w:rsid w:val="004516D5"/>
    <w:rsid w:val="00452783"/>
    <w:rsid w:val="00452F81"/>
    <w:rsid w:val="00453105"/>
    <w:rsid w:val="004532A5"/>
    <w:rsid w:val="00453B11"/>
    <w:rsid w:val="004546DE"/>
    <w:rsid w:val="004558A1"/>
    <w:rsid w:val="00456695"/>
    <w:rsid w:val="00460AB3"/>
    <w:rsid w:val="00461759"/>
    <w:rsid w:val="004628DF"/>
    <w:rsid w:val="0046459C"/>
    <w:rsid w:val="0046491D"/>
    <w:rsid w:val="00466054"/>
    <w:rsid w:val="00466D1E"/>
    <w:rsid w:val="00467049"/>
    <w:rsid w:val="00467514"/>
    <w:rsid w:val="0046797F"/>
    <w:rsid w:val="00467FFC"/>
    <w:rsid w:val="00470857"/>
    <w:rsid w:val="004708CC"/>
    <w:rsid w:val="00470CAB"/>
    <w:rsid w:val="00472A6D"/>
    <w:rsid w:val="00472A9F"/>
    <w:rsid w:val="00473220"/>
    <w:rsid w:val="004735CD"/>
    <w:rsid w:val="00473697"/>
    <w:rsid w:val="004744DC"/>
    <w:rsid w:val="0047479A"/>
    <w:rsid w:val="00475761"/>
    <w:rsid w:val="0048121B"/>
    <w:rsid w:val="004812DA"/>
    <w:rsid w:val="00481328"/>
    <w:rsid w:val="004825CD"/>
    <w:rsid w:val="00483352"/>
    <w:rsid w:val="00483410"/>
    <w:rsid w:val="00484DCE"/>
    <w:rsid w:val="004861DF"/>
    <w:rsid w:val="00487ACD"/>
    <w:rsid w:val="00490CE3"/>
    <w:rsid w:val="00492345"/>
    <w:rsid w:val="00492DE8"/>
    <w:rsid w:val="004930E6"/>
    <w:rsid w:val="00495878"/>
    <w:rsid w:val="00495A76"/>
    <w:rsid w:val="0049797E"/>
    <w:rsid w:val="004A03F1"/>
    <w:rsid w:val="004A0BAF"/>
    <w:rsid w:val="004A0E45"/>
    <w:rsid w:val="004A1CB5"/>
    <w:rsid w:val="004A2FC4"/>
    <w:rsid w:val="004A3AD4"/>
    <w:rsid w:val="004A5A33"/>
    <w:rsid w:val="004A64CB"/>
    <w:rsid w:val="004A6E4F"/>
    <w:rsid w:val="004B0521"/>
    <w:rsid w:val="004B2365"/>
    <w:rsid w:val="004B2725"/>
    <w:rsid w:val="004B3C2B"/>
    <w:rsid w:val="004B49BF"/>
    <w:rsid w:val="004B4F8D"/>
    <w:rsid w:val="004B557B"/>
    <w:rsid w:val="004B5A6C"/>
    <w:rsid w:val="004B60E2"/>
    <w:rsid w:val="004B6341"/>
    <w:rsid w:val="004B6B71"/>
    <w:rsid w:val="004C047B"/>
    <w:rsid w:val="004C0721"/>
    <w:rsid w:val="004C083D"/>
    <w:rsid w:val="004C102F"/>
    <w:rsid w:val="004C1B13"/>
    <w:rsid w:val="004C256B"/>
    <w:rsid w:val="004C2DE9"/>
    <w:rsid w:val="004C3899"/>
    <w:rsid w:val="004C390C"/>
    <w:rsid w:val="004C3BE5"/>
    <w:rsid w:val="004C3DB3"/>
    <w:rsid w:val="004C3FF8"/>
    <w:rsid w:val="004C4A02"/>
    <w:rsid w:val="004C5F20"/>
    <w:rsid w:val="004C69E5"/>
    <w:rsid w:val="004D026F"/>
    <w:rsid w:val="004D03F7"/>
    <w:rsid w:val="004D1069"/>
    <w:rsid w:val="004D10E4"/>
    <w:rsid w:val="004D15BA"/>
    <w:rsid w:val="004D17A7"/>
    <w:rsid w:val="004D268E"/>
    <w:rsid w:val="004D2880"/>
    <w:rsid w:val="004D2A8B"/>
    <w:rsid w:val="004D2D8A"/>
    <w:rsid w:val="004D368B"/>
    <w:rsid w:val="004D3746"/>
    <w:rsid w:val="004D3D7C"/>
    <w:rsid w:val="004D4492"/>
    <w:rsid w:val="004D453D"/>
    <w:rsid w:val="004D5C1B"/>
    <w:rsid w:val="004D65BE"/>
    <w:rsid w:val="004D7E7B"/>
    <w:rsid w:val="004E34A4"/>
    <w:rsid w:val="004E3CC9"/>
    <w:rsid w:val="004E48FF"/>
    <w:rsid w:val="004E4B6D"/>
    <w:rsid w:val="004E4CD3"/>
    <w:rsid w:val="004E705B"/>
    <w:rsid w:val="004E7182"/>
    <w:rsid w:val="004E750B"/>
    <w:rsid w:val="004E7E45"/>
    <w:rsid w:val="004F2757"/>
    <w:rsid w:val="004F27D3"/>
    <w:rsid w:val="004F341D"/>
    <w:rsid w:val="004F3C41"/>
    <w:rsid w:val="004F45D4"/>
    <w:rsid w:val="004F4C59"/>
    <w:rsid w:val="004F4D26"/>
    <w:rsid w:val="004F4F81"/>
    <w:rsid w:val="004F6656"/>
    <w:rsid w:val="004F6B3A"/>
    <w:rsid w:val="004F6FB0"/>
    <w:rsid w:val="004F789F"/>
    <w:rsid w:val="004F78CC"/>
    <w:rsid w:val="00500922"/>
    <w:rsid w:val="00502CA2"/>
    <w:rsid w:val="005044EB"/>
    <w:rsid w:val="005047E1"/>
    <w:rsid w:val="00504CCD"/>
    <w:rsid w:val="0050508B"/>
    <w:rsid w:val="005058F3"/>
    <w:rsid w:val="00506E01"/>
    <w:rsid w:val="00506E27"/>
    <w:rsid w:val="00506EE3"/>
    <w:rsid w:val="00507593"/>
    <w:rsid w:val="005117F4"/>
    <w:rsid w:val="00511E65"/>
    <w:rsid w:val="00511EBE"/>
    <w:rsid w:val="00512903"/>
    <w:rsid w:val="00513AE7"/>
    <w:rsid w:val="00514B59"/>
    <w:rsid w:val="00516257"/>
    <w:rsid w:val="005170F8"/>
    <w:rsid w:val="005173E4"/>
    <w:rsid w:val="005174D0"/>
    <w:rsid w:val="00517836"/>
    <w:rsid w:val="0051788B"/>
    <w:rsid w:val="00517A0B"/>
    <w:rsid w:val="00520FDC"/>
    <w:rsid w:val="00521019"/>
    <w:rsid w:val="0052109F"/>
    <w:rsid w:val="005212E3"/>
    <w:rsid w:val="00521BD3"/>
    <w:rsid w:val="005224BF"/>
    <w:rsid w:val="00522518"/>
    <w:rsid w:val="00522C42"/>
    <w:rsid w:val="00523181"/>
    <w:rsid w:val="00523F5E"/>
    <w:rsid w:val="005245FA"/>
    <w:rsid w:val="00524BFB"/>
    <w:rsid w:val="00524F05"/>
    <w:rsid w:val="00525916"/>
    <w:rsid w:val="00525D0F"/>
    <w:rsid w:val="00526238"/>
    <w:rsid w:val="00527C97"/>
    <w:rsid w:val="0053011C"/>
    <w:rsid w:val="005307BD"/>
    <w:rsid w:val="00530986"/>
    <w:rsid w:val="00530D4A"/>
    <w:rsid w:val="0053107F"/>
    <w:rsid w:val="00531E21"/>
    <w:rsid w:val="00532258"/>
    <w:rsid w:val="00532533"/>
    <w:rsid w:val="00532C05"/>
    <w:rsid w:val="00534232"/>
    <w:rsid w:val="00534533"/>
    <w:rsid w:val="0053459B"/>
    <w:rsid w:val="00534A7B"/>
    <w:rsid w:val="005352E4"/>
    <w:rsid w:val="005363A9"/>
    <w:rsid w:val="00536B54"/>
    <w:rsid w:val="00537822"/>
    <w:rsid w:val="005379E6"/>
    <w:rsid w:val="00537E64"/>
    <w:rsid w:val="00540219"/>
    <w:rsid w:val="0054078B"/>
    <w:rsid w:val="00540D0C"/>
    <w:rsid w:val="0054334B"/>
    <w:rsid w:val="00543C8A"/>
    <w:rsid w:val="00543D17"/>
    <w:rsid w:val="00543E7F"/>
    <w:rsid w:val="00544B3E"/>
    <w:rsid w:val="00544C81"/>
    <w:rsid w:val="00544EC6"/>
    <w:rsid w:val="00545028"/>
    <w:rsid w:val="00546973"/>
    <w:rsid w:val="005471DB"/>
    <w:rsid w:val="005515F1"/>
    <w:rsid w:val="005517C4"/>
    <w:rsid w:val="00551848"/>
    <w:rsid w:val="00551D9F"/>
    <w:rsid w:val="00552783"/>
    <w:rsid w:val="005536DF"/>
    <w:rsid w:val="0055380E"/>
    <w:rsid w:val="00553FA7"/>
    <w:rsid w:val="005542C0"/>
    <w:rsid w:val="005542FA"/>
    <w:rsid w:val="00554402"/>
    <w:rsid w:val="00554A69"/>
    <w:rsid w:val="00554DEC"/>
    <w:rsid w:val="005552C6"/>
    <w:rsid w:val="00555301"/>
    <w:rsid w:val="00555E9F"/>
    <w:rsid w:val="00557C17"/>
    <w:rsid w:val="00557F11"/>
    <w:rsid w:val="00557FBB"/>
    <w:rsid w:val="005609C9"/>
    <w:rsid w:val="005612BB"/>
    <w:rsid w:val="00561588"/>
    <w:rsid w:val="00561AEB"/>
    <w:rsid w:val="00561CE5"/>
    <w:rsid w:val="005640B3"/>
    <w:rsid w:val="00564638"/>
    <w:rsid w:val="0056533B"/>
    <w:rsid w:val="00565356"/>
    <w:rsid w:val="005653CB"/>
    <w:rsid w:val="00565D12"/>
    <w:rsid w:val="0056687C"/>
    <w:rsid w:val="0056720B"/>
    <w:rsid w:val="0056748B"/>
    <w:rsid w:val="00571432"/>
    <w:rsid w:val="00571B6D"/>
    <w:rsid w:val="005723C7"/>
    <w:rsid w:val="00572584"/>
    <w:rsid w:val="00573B6C"/>
    <w:rsid w:val="0057457E"/>
    <w:rsid w:val="00574D13"/>
    <w:rsid w:val="00577D84"/>
    <w:rsid w:val="00583CE9"/>
    <w:rsid w:val="00583E23"/>
    <w:rsid w:val="00584799"/>
    <w:rsid w:val="00584A9D"/>
    <w:rsid w:val="0058623B"/>
    <w:rsid w:val="005865FC"/>
    <w:rsid w:val="00587334"/>
    <w:rsid w:val="00587D22"/>
    <w:rsid w:val="0059014E"/>
    <w:rsid w:val="005926BC"/>
    <w:rsid w:val="00593025"/>
    <w:rsid w:val="00593099"/>
    <w:rsid w:val="0059345B"/>
    <w:rsid w:val="0059364F"/>
    <w:rsid w:val="00596075"/>
    <w:rsid w:val="005965E2"/>
    <w:rsid w:val="00596A32"/>
    <w:rsid w:val="00596FC3"/>
    <w:rsid w:val="005972B5"/>
    <w:rsid w:val="005A02C8"/>
    <w:rsid w:val="005A0553"/>
    <w:rsid w:val="005A0622"/>
    <w:rsid w:val="005A1C2C"/>
    <w:rsid w:val="005A1F35"/>
    <w:rsid w:val="005A2F17"/>
    <w:rsid w:val="005A3960"/>
    <w:rsid w:val="005A409E"/>
    <w:rsid w:val="005A442C"/>
    <w:rsid w:val="005A4B68"/>
    <w:rsid w:val="005A4FFA"/>
    <w:rsid w:val="005A5271"/>
    <w:rsid w:val="005A5FFD"/>
    <w:rsid w:val="005A665E"/>
    <w:rsid w:val="005A6CD9"/>
    <w:rsid w:val="005A71CC"/>
    <w:rsid w:val="005A7899"/>
    <w:rsid w:val="005A7B4C"/>
    <w:rsid w:val="005A7D0F"/>
    <w:rsid w:val="005A7D64"/>
    <w:rsid w:val="005B0C96"/>
    <w:rsid w:val="005B14AD"/>
    <w:rsid w:val="005B1D1C"/>
    <w:rsid w:val="005B2B4C"/>
    <w:rsid w:val="005B2EC5"/>
    <w:rsid w:val="005B46FE"/>
    <w:rsid w:val="005B4A4C"/>
    <w:rsid w:val="005B4B79"/>
    <w:rsid w:val="005B5D99"/>
    <w:rsid w:val="005B65A0"/>
    <w:rsid w:val="005B6DBE"/>
    <w:rsid w:val="005B72B0"/>
    <w:rsid w:val="005B7B60"/>
    <w:rsid w:val="005B7CB4"/>
    <w:rsid w:val="005C0689"/>
    <w:rsid w:val="005C0F90"/>
    <w:rsid w:val="005C103A"/>
    <w:rsid w:val="005C1D7F"/>
    <w:rsid w:val="005C1E48"/>
    <w:rsid w:val="005C26BF"/>
    <w:rsid w:val="005C3085"/>
    <w:rsid w:val="005C3CB6"/>
    <w:rsid w:val="005C3D4E"/>
    <w:rsid w:val="005C4061"/>
    <w:rsid w:val="005C42F6"/>
    <w:rsid w:val="005C44C0"/>
    <w:rsid w:val="005C4E0F"/>
    <w:rsid w:val="005C642A"/>
    <w:rsid w:val="005C6C9C"/>
    <w:rsid w:val="005C6F6F"/>
    <w:rsid w:val="005C7B91"/>
    <w:rsid w:val="005C7F89"/>
    <w:rsid w:val="005D06F6"/>
    <w:rsid w:val="005D0F22"/>
    <w:rsid w:val="005D1D8C"/>
    <w:rsid w:val="005D25F1"/>
    <w:rsid w:val="005D2A31"/>
    <w:rsid w:val="005D40C3"/>
    <w:rsid w:val="005D40DD"/>
    <w:rsid w:val="005D5219"/>
    <w:rsid w:val="005D5649"/>
    <w:rsid w:val="005D75E9"/>
    <w:rsid w:val="005D7792"/>
    <w:rsid w:val="005D79B3"/>
    <w:rsid w:val="005D7A06"/>
    <w:rsid w:val="005D7F0E"/>
    <w:rsid w:val="005E04A3"/>
    <w:rsid w:val="005E0896"/>
    <w:rsid w:val="005E1980"/>
    <w:rsid w:val="005E1AA7"/>
    <w:rsid w:val="005E2C86"/>
    <w:rsid w:val="005E37B6"/>
    <w:rsid w:val="005E4A32"/>
    <w:rsid w:val="005E4A3E"/>
    <w:rsid w:val="005E4B95"/>
    <w:rsid w:val="005E4CED"/>
    <w:rsid w:val="005E59EF"/>
    <w:rsid w:val="005E5C31"/>
    <w:rsid w:val="005E6285"/>
    <w:rsid w:val="005E70A1"/>
    <w:rsid w:val="005E7668"/>
    <w:rsid w:val="005E7909"/>
    <w:rsid w:val="005F3E05"/>
    <w:rsid w:val="005F53EF"/>
    <w:rsid w:val="005F6B18"/>
    <w:rsid w:val="005F6E53"/>
    <w:rsid w:val="005F7979"/>
    <w:rsid w:val="00600074"/>
    <w:rsid w:val="00600AA3"/>
    <w:rsid w:val="00601EE4"/>
    <w:rsid w:val="00602190"/>
    <w:rsid w:val="006029FA"/>
    <w:rsid w:val="00603EAF"/>
    <w:rsid w:val="00605286"/>
    <w:rsid w:val="0060587A"/>
    <w:rsid w:val="00605F3A"/>
    <w:rsid w:val="0060676F"/>
    <w:rsid w:val="0060760E"/>
    <w:rsid w:val="006108EC"/>
    <w:rsid w:val="00611A4E"/>
    <w:rsid w:val="006129CD"/>
    <w:rsid w:val="00613E37"/>
    <w:rsid w:val="006146C0"/>
    <w:rsid w:val="00615F18"/>
    <w:rsid w:val="0061726A"/>
    <w:rsid w:val="00620F11"/>
    <w:rsid w:val="00621003"/>
    <w:rsid w:val="00621507"/>
    <w:rsid w:val="00621C80"/>
    <w:rsid w:val="0062302A"/>
    <w:rsid w:val="0062416B"/>
    <w:rsid w:val="006259B3"/>
    <w:rsid w:val="00625B09"/>
    <w:rsid w:val="00626DAA"/>
    <w:rsid w:val="00626EAA"/>
    <w:rsid w:val="00627183"/>
    <w:rsid w:val="00627322"/>
    <w:rsid w:val="006275ED"/>
    <w:rsid w:val="00627A93"/>
    <w:rsid w:val="00630B7D"/>
    <w:rsid w:val="00630FAA"/>
    <w:rsid w:val="006316C2"/>
    <w:rsid w:val="006325B0"/>
    <w:rsid w:val="0063298D"/>
    <w:rsid w:val="006337DA"/>
    <w:rsid w:val="00633943"/>
    <w:rsid w:val="0063452E"/>
    <w:rsid w:val="0063488B"/>
    <w:rsid w:val="006349C9"/>
    <w:rsid w:val="0063506A"/>
    <w:rsid w:val="00635188"/>
    <w:rsid w:val="006356E1"/>
    <w:rsid w:val="00636CC9"/>
    <w:rsid w:val="00637343"/>
    <w:rsid w:val="006379D3"/>
    <w:rsid w:val="00637E01"/>
    <w:rsid w:val="00641C19"/>
    <w:rsid w:val="00642C8F"/>
    <w:rsid w:val="0064475B"/>
    <w:rsid w:val="00644D99"/>
    <w:rsid w:val="006454CB"/>
    <w:rsid w:val="00645602"/>
    <w:rsid w:val="006456DD"/>
    <w:rsid w:val="00645775"/>
    <w:rsid w:val="006458BA"/>
    <w:rsid w:val="00645CB0"/>
    <w:rsid w:val="00645E98"/>
    <w:rsid w:val="00646550"/>
    <w:rsid w:val="00647199"/>
    <w:rsid w:val="0064748C"/>
    <w:rsid w:val="00647676"/>
    <w:rsid w:val="00647BB2"/>
    <w:rsid w:val="006505EC"/>
    <w:rsid w:val="00650829"/>
    <w:rsid w:val="006514B2"/>
    <w:rsid w:val="00651514"/>
    <w:rsid w:val="00651733"/>
    <w:rsid w:val="00651744"/>
    <w:rsid w:val="0065220E"/>
    <w:rsid w:val="006535AB"/>
    <w:rsid w:val="00653C57"/>
    <w:rsid w:val="00654561"/>
    <w:rsid w:val="006565CC"/>
    <w:rsid w:val="006572D1"/>
    <w:rsid w:val="00662DCA"/>
    <w:rsid w:val="00663862"/>
    <w:rsid w:val="00663FB0"/>
    <w:rsid w:val="00664639"/>
    <w:rsid w:val="0066549C"/>
    <w:rsid w:val="006655D3"/>
    <w:rsid w:val="00665FF3"/>
    <w:rsid w:val="006661A2"/>
    <w:rsid w:val="0066754B"/>
    <w:rsid w:val="00667A34"/>
    <w:rsid w:val="00667D4E"/>
    <w:rsid w:val="00670172"/>
    <w:rsid w:val="00670659"/>
    <w:rsid w:val="00670745"/>
    <w:rsid w:val="00670B63"/>
    <w:rsid w:val="00670D5A"/>
    <w:rsid w:val="006710B8"/>
    <w:rsid w:val="00671E89"/>
    <w:rsid w:val="00673B06"/>
    <w:rsid w:val="00674F7F"/>
    <w:rsid w:val="006763D1"/>
    <w:rsid w:val="006769EC"/>
    <w:rsid w:val="00676D8D"/>
    <w:rsid w:val="0067719F"/>
    <w:rsid w:val="00680918"/>
    <w:rsid w:val="00681140"/>
    <w:rsid w:val="006813C2"/>
    <w:rsid w:val="00682554"/>
    <w:rsid w:val="00682CC8"/>
    <w:rsid w:val="00684C60"/>
    <w:rsid w:val="006852D1"/>
    <w:rsid w:val="00685AB5"/>
    <w:rsid w:val="00686DBE"/>
    <w:rsid w:val="006877F6"/>
    <w:rsid w:val="00690C7D"/>
    <w:rsid w:val="006913AF"/>
    <w:rsid w:val="00691BA1"/>
    <w:rsid w:val="006923A1"/>
    <w:rsid w:val="0069273A"/>
    <w:rsid w:val="00693160"/>
    <w:rsid w:val="00693E83"/>
    <w:rsid w:val="00694B75"/>
    <w:rsid w:val="006955BD"/>
    <w:rsid w:val="00695CC9"/>
    <w:rsid w:val="00695D60"/>
    <w:rsid w:val="00696207"/>
    <w:rsid w:val="00696C31"/>
    <w:rsid w:val="00697039"/>
    <w:rsid w:val="00697528"/>
    <w:rsid w:val="006A00F9"/>
    <w:rsid w:val="006A0A99"/>
    <w:rsid w:val="006A220F"/>
    <w:rsid w:val="006A28B2"/>
    <w:rsid w:val="006A2D29"/>
    <w:rsid w:val="006A2E64"/>
    <w:rsid w:val="006A35F2"/>
    <w:rsid w:val="006A4E81"/>
    <w:rsid w:val="006A5746"/>
    <w:rsid w:val="006A5A1F"/>
    <w:rsid w:val="006A6A41"/>
    <w:rsid w:val="006A6C46"/>
    <w:rsid w:val="006A7ACB"/>
    <w:rsid w:val="006A7CE0"/>
    <w:rsid w:val="006B0615"/>
    <w:rsid w:val="006B1139"/>
    <w:rsid w:val="006B20A7"/>
    <w:rsid w:val="006B23E5"/>
    <w:rsid w:val="006B25B5"/>
    <w:rsid w:val="006B27C8"/>
    <w:rsid w:val="006B2912"/>
    <w:rsid w:val="006B2CDD"/>
    <w:rsid w:val="006B5348"/>
    <w:rsid w:val="006B5990"/>
    <w:rsid w:val="006B5BEA"/>
    <w:rsid w:val="006B5D9F"/>
    <w:rsid w:val="006B5DD7"/>
    <w:rsid w:val="006B71A8"/>
    <w:rsid w:val="006B74B4"/>
    <w:rsid w:val="006B7ACA"/>
    <w:rsid w:val="006B7E49"/>
    <w:rsid w:val="006C0893"/>
    <w:rsid w:val="006C0EC8"/>
    <w:rsid w:val="006C11D2"/>
    <w:rsid w:val="006C1368"/>
    <w:rsid w:val="006C1976"/>
    <w:rsid w:val="006C20B9"/>
    <w:rsid w:val="006C2ED8"/>
    <w:rsid w:val="006C39D4"/>
    <w:rsid w:val="006C3C99"/>
    <w:rsid w:val="006C423D"/>
    <w:rsid w:val="006C4482"/>
    <w:rsid w:val="006C4A1C"/>
    <w:rsid w:val="006C4B14"/>
    <w:rsid w:val="006C4BF0"/>
    <w:rsid w:val="006C5764"/>
    <w:rsid w:val="006C61E8"/>
    <w:rsid w:val="006C6BC7"/>
    <w:rsid w:val="006C6D88"/>
    <w:rsid w:val="006C7EBE"/>
    <w:rsid w:val="006D0EF5"/>
    <w:rsid w:val="006D18AF"/>
    <w:rsid w:val="006D1CE4"/>
    <w:rsid w:val="006D2B14"/>
    <w:rsid w:val="006D2F92"/>
    <w:rsid w:val="006D52FF"/>
    <w:rsid w:val="006D5AE5"/>
    <w:rsid w:val="006D6173"/>
    <w:rsid w:val="006D6AAA"/>
    <w:rsid w:val="006D7C08"/>
    <w:rsid w:val="006E075B"/>
    <w:rsid w:val="006E0898"/>
    <w:rsid w:val="006E0BD6"/>
    <w:rsid w:val="006E12B5"/>
    <w:rsid w:val="006E1790"/>
    <w:rsid w:val="006E17DF"/>
    <w:rsid w:val="006E1941"/>
    <w:rsid w:val="006E455D"/>
    <w:rsid w:val="006E45CB"/>
    <w:rsid w:val="006E488C"/>
    <w:rsid w:val="006E559F"/>
    <w:rsid w:val="006E6BF0"/>
    <w:rsid w:val="006E6DAC"/>
    <w:rsid w:val="006E74F3"/>
    <w:rsid w:val="006E796D"/>
    <w:rsid w:val="006F1BA0"/>
    <w:rsid w:val="006F3D52"/>
    <w:rsid w:val="006F4078"/>
    <w:rsid w:val="006F575F"/>
    <w:rsid w:val="006F609A"/>
    <w:rsid w:val="006F6788"/>
    <w:rsid w:val="006F68BE"/>
    <w:rsid w:val="006F7BFA"/>
    <w:rsid w:val="0070058D"/>
    <w:rsid w:val="00701AB7"/>
    <w:rsid w:val="00701FDF"/>
    <w:rsid w:val="007024B6"/>
    <w:rsid w:val="007024E8"/>
    <w:rsid w:val="00702716"/>
    <w:rsid w:val="00702BEF"/>
    <w:rsid w:val="00703BB1"/>
    <w:rsid w:val="00705722"/>
    <w:rsid w:val="0070612F"/>
    <w:rsid w:val="00706475"/>
    <w:rsid w:val="00706895"/>
    <w:rsid w:val="007071C7"/>
    <w:rsid w:val="007105ED"/>
    <w:rsid w:val="0071093D"/>
    <w:rsid w:val="00710E2B"/>
    <w:rsid w:val="00711173"/>
    <w:rsid w:val="00711565"/>
    <w:rsid w:val="0071181B"/>
    <w:rsid w:val="00711B56"/>
    <w:rsid w:val="00712AC6"/>
    <w:rsid w:val="00712D95"/>
    <w:rsid w:val="007141FE"/>
    <w:rsid w:val="0071440A"/>
    <w:rsid w:val="0071552C"/>
    <w:rsid w:val="00715DE9"/>
    <w:rsid w:val="007165D6"/>
    <w:rsid w:val="00716635"/>
    <w:rsid w:val="00717144"/>
    <w:rsid w:val="0071767E"/>
    <w:rsid w:val="00717ADE"/>
    <w:rsid w:val="007202AE"/>
    <w:rsid w:val="00720621"/>
    <w:rsid w:val="00721136"/>
    <w:rsid w:val="007212B4"/>
    <w:rsid w:val="00723DEE"/>
    <w:rsid w:val="00724262"/>
    <w:rsid w:val="007254D1"/>
    <w:rsid w:val="007259C3"/>
    <w:rsid w:val="00725D02"/>
    <w:rsid w:val="007263C5"/>
    <w:rsid w:val="00730172"/>
    <w:rsid w:val="0073092B"/>
    <w:rsid w:val="00731228"/>
    <w:rsid w:val="00731654"/>
    <w:rsid w:val="00731800"/>
    <w:rsid w:val="00731FDC"/>
    <w:rsid w:val="00733256"/>
    <w:rsid w:val="00733DE6"/>
    <w:rsid w:val="007350FF"/>
    <w:rsid w:val="0073579E"/>
    <w:rsid w:val="00737B85"/>
    <w:rsid w:val="00737D83"/>
    <w:rsid w:val="00741EB1"/>
    <w:rsid w:val="00744622"/>
    <w:rsid w:val="007458F0"/>
    <w:rsid w:val="00746118"/>
    <w:rsid w:val="00746BAA"/>
    <w:rsid w:val="00747030"/>
    <w:rsid w:val="00747ACB"/>
    <w:rsid w:val="00750305"/>
    <w:rsid w:val="007503D5"/>
    <w:rsid w:val="0075076A"/>
    <w:rsid w:val="007511CA"/>
    <w:rsid w:val="00751698"/>
    <w:rsid w:val="00753A8B"/>
    <w:rsid w:val="00754D96"/>
    <w:rsid w:val="00754F73"/>
    <w:rsid w:val="007553B2"/>
    <w:rsid w:val="00755577"/>
    <w:rsid w:val="00755AB9"/>
    <w:rsid w:val="00755EF3"/>
    <w:rsid w:val="00756BCB"/>
    <w:rsid w:val="00760AF1"/>
    <w:rsid w:val="0076140D"/>
    <w:rsid w:val="00761B07"/>
    <w:rsid w:val="007627AD"/>
    <w:rsid w:val="00763240"/>
    <w:rsid w:val="0076359F"/>
    <w:rsid w:val="00765BD0"/>
    <w:rsid w:val="0076635D"/>
    <w:rsid w:val="0076769E"/>
    <w:rsid w:val="0076797B"/>
    <w:rsid w:val="007705BE"/>
    <w:rsid w:val="00770A2D"/>
    <w:rsid w:val="00770CE1"/>
    <w:rsid w:val="007729C0"/>
    <w:rsid w:val="0077461C"/>
    <w:rsid w:val="00774757"/>
    <w:rsid w:val="00775708"/>
    <w:rsid w:val="007760D7"/>
    <w:rsid w:val="00776F05"/>
    <w:rsid w:val="007770BC"/>
    <w:rsid w:val="007778A1"/>
    <w:rsid w:val="00777C26"/>
    <w:rsid w:val="00777CB5"/>
    <w:rsid w:val="00781A92"/>
    <w:rsid w:val="00781F5C"/>
    <w:rsid w:val="0078215A"/>
    <w:rsid w:val="00782909"/>
    <w:rsid w:val="00782BAF"/>
    <w:rsid w:val="00782BC2"/>
    <w:rsid w:val="00782C0A"/>
    <w:rsid w:val="00784739"/>
    <w:rsid w:val="00784918"/>
    <w:rsid w:val="0078500F"/>
    <w:rsid w:val="007854C6"/>
    <w:rsid w:val="00787DBD"/>
    <w:rsid w:val="00790B1C"/>
    <w:rsid w:val="00791253"/>
    <w:rsid w:val="00791666"/>
    <w:rsid w:val="0079255C"/>
    <w:rsid w:val="007941F5"/>
    <w:rsid w:val="00794E34"/>
    <w:rsid w:val="00795268"/>
    <w:rsid w:val="00795C79"/>
    <w:rsid w:val="0079680D"/>
    <w:rsid w:val="00796B49"/>
    <w:rsid w:val="00796C67"/>
    <w:rsid w:val="007A0E1B"/>
    <w:rsid w:val="007A37DE"/>
    <w:rsid w:val="007A5908"/>
    <w:rsid w:val="007A6D80"/>
    <w:rsid w:val="007A76FB"/>
    <w:rsid w:val="007B0E62"/>
    <w:rsid w:val="007B0E79"/>
    <w:rsid w:val="007B22AD"/>
    <w:rsid w:val="007B23FD"/>
    <w:rsid w:val="007B2668"/>
    <w:rsid w:val="007B36EA"/>
    <w:rsid w:val="007B3A7A"/>
    <w:rsid w:val="007B3AF7"/>
    <w:rsid w:val="007B3BBA"/>
    <w:rsid w:val="007B404C"/>
    <w:rsid w:val="007B485B"/>
    <w:rsid w:val="007B4937"/>
    <w:rsid w:val="007B50AA"/>
    <w:rsid w:val="007B5970"/>
    <w:rsid w:val="007B5A04"/>
    <w:rsid w:val="007B6B29"/>
    <w:rsid w:val="007C17A9"/>
    <w:rsid w:val="007C2656"/>
    <w:rsid w:val="007C2E13"/>
    <w:rsid w:val="007C359D"/>
    <w:rsid w:val="007C3B7A"/>
    <w:rsid w:val="007C4290"/>
    <w:rsid w:val="007C5B68"/>
    <w:rsid w:val="007C5C07"/>
    <w:rsid w:val="007C6BE8"/>
    <w:rsid w:val="007C75E6"/>
    <w:rsid w:val="007C790B"/>
    <w:rsid w:val="007D02AE"/>
    <w:rsid w:val="007D0811"/>
    <w:rsid w:val="007D1447"/>
    <w:rsid w:val="007D31C1"/>
    <w:rsid w:val="007D4737"/>
    <w:rsid w:val="007D5A90"/>
    <w:rsid w:val="007D5B70"/>
    <w:rsid w:val="007D60FE"/>
    <w:rsid w:val="007D6621"/>
    <w:rsid w:val="007D6C3F"/>
    <w:rsid w:val="007D764D"/>
    <w:rsid w:val="007E0986"/>
    <w:rsid w:val="007E1CC6"/>
    <w:rsid w:val="007E340A"/>
    <w:rsid w:val="007E36C9"/>
    <w:rsid w:val="007E3C3A"/>
    <w:rsid w:val="007E4AB9"/>
    <w:rsid w:val="007E608E"/>
    <w:rsid w:val="007E67D9"/>
    <w:rsid w:val="007E78CA"/>
    <w:rsid w:val="007E7BBF"/>
    <w:rsid w:val="007F0BDF"/>
    <w:rsid w:val="007F26E1"/>
    <w:rsid w:val="007F2A0E"/>
    <w:rsid w:val="007F2FBC"/>
    <w:rsid w:val="007F3350"/>
    <w:rsid w:val="007F37AA"/>
    <w:rsid w:val="007F3CDD"/>
    <w:rsid w:val="007F4700"/>
    <w:rsid w:val="007F501D"/>
    <w:rsid w:val="007F7805"/>
    <w:rsid w:val="007F7D8D"/>
    <w:rsid w:val="00800426"/>
    <w:rsid w:val="00800E6C"/>
    <w:rsid w:val="00800FC8"/>
    <w:rsid w:val="0080110F"/>
    <w:rsid w:val="00802445"/>
    <w:rsid w:val="0080260D"/>
    <w:rsid w:val="00802B4E"/>
    <w:rsid w:val="008030FB"/>
    <w:rsid w:val="00803C1F"/>
    <w:rsid w:val="00804046"/>
    <w:rsid w:val="00804C89"/>
    <w:rsid w:val="0080581D"/>
    <w:rsid w:val="00806C33"/>
    <w:rsid w:val="008076BA"/>
    <w:rsid w:val="00807D09"/>
    <w:rsid w:val="00807F78"/>
    <w:rsid w:val="00810529"/>
    <w:rsid w:val="008108E9"/>
    <w:rsid w:val="00810A92"/>
    <w:rsid w:val="00811B10"/>
    <w:rsid w:val="00811DDA"/>
    <w:rsid w:val="00812188"/>
    <w:rsid w:val="008126F4"/>
    <w:rsid w:val="00812D05"/>
    <w:rsid w:val="00813172"/>
    <w:rsid w:val="008133EF"/>
    <w:rsid w:val="0081398C"/>
    <w:rsid w:val="008142CA"/>
    <w:rsid w:val="008147A2"/>
    <w:rsid w:val="008162F1"/>
    <w:rsid w:val="008179E7"/>
    <w:rsid w:val="00820124"/>
    <w:rsid w:val="00822035"/>
    <w:rsid w:val="008225B2"/>
    <w:rsid w:val="0082284E"/>
    <w:rsid w:val="00824B52"/>
    <w:rsid w:val="00824D38"/>
    <w:rsid w:val="008256FE"/>
    <w:rsid w:val="00825F44"/>
    <w:rsid w:val="008275D3"/>
    <w:rsid w:val="008276DD"/>
    <w:rsid w:val="008276FF"/>
    <w:rsid w:val="00827BFA"/>
    <w:rsid w:val="00830E81"/>
    <w:rsid w:val="0083218F"/>
    <w:rsid w:val="00832F21"/>
    <w:rsid w:val="0083407C"/>
    <w:rsid w:val="008343DB"/>
    <w:rsid w:val="0083568D"/>
    <w:rsid w:val="00836B14"/>
    <w:rsid w:val="00836D24"/>
    <w:rsid w:val="00837CD7"/>
    <w:rsid w:val="00837FBA"/>
    <w:rsid w:val="008405D6"/>
    <w:rsid w:val="008412C8"/>
    <w:rsid w:val="008415AB"/>
    <w:rsid w:val="00842477"/>
    <w:rsid w:val="008424E2"/>
    <w:rsid w:val="00842AF5"/>
    <w:rsid w:val="00843225"/>
    <w:rsid w:val="00843316"/>
    <w:rsid w:val="00843CE6"/>
    <w:rsid w:val="0084412A"/>
    <w:rsid w:val="00844255"/>
    <w:rsid w:val="00844775"/>
    <w:rsid w:val="00844CED"/>
    <w:rsid w:val="00845444"/>
    <w:rsid w:val="00845A3B"/>
    <w:rsid w:val="00846352"/>
    <w:rsid w:val="00846EC3"/>
    <w:rsid w:val="00847441"/>
    <w:rsid w:val="00847D83"/>
    <w:rsid w:val="00850EFB"/>
    <w:rsid w:val="00851F40"/>
    <w:rsid w:val="00852B8B"/>
    <w:rsid w:val="00853936"/>
    <w:rsid w:val="00853F25"/>
    <w:rsid w:val="00854B2C"/>
    <w:rsid w:val="008557DD"/>
    <w:rsid w:val="008562C5"/>
    <w:rsid w:val="00856304"/>
    <w:rsid w:val="00856816"/>
    <w:rsid w:val="00857F82"/>
    <w:rsid w:val="00860F5E"/>
    <w:rsid w:val="00861800"/>
    <w:rsid w:val="00861F94"/>
    <w:rsid w:val="00862600"/>
    <w:rsid w:val="00862686"/>
    <w:rsid w:val="008630D8"/>
    <w:rsid w:val="00863146"/>
    <w:rsid w:val="008632BC"/>
    <w:rsid w:val="008633ED"/>
    <w:rsid w:val="0086399E"/>
    <w:rsid w:val="008643A7"/>
    <w:rsid w:val="00866216"/>
    <w:rsid w:val="00866ED9"/>
    <w:rsid w:val="008670D6"/>
    <w:rsid w:val="008677E9"/>
    <w:rsid w:val="00870369"/>
    <w:rsid w:val="00870CC6"/>
    <w:rsid w:val="00870DE1"/>
    <w:rsid w:val="0087125D"/>
    <w:rsid w:val="008718F2"/>
    <w:rsid w:val="0087232D"/>
    <w:rsid w:val="00872699"/>
    <w:rsid w:val="008733FB"/>
    <w:rsid w:val="00873BBE"/>
    <w:rsid w:val="00874AE0"/>
    <w:rsid w:val="00877CE9"/>
    <w:rsid w:val="0088002B"/>
    <w:rsid w:val="00880BBD"/>
    <w:rsid w:val="00880C8E"/>
    <w:rsid w:val="00882260"/>
    <w:rsid w:val="008825DD"/>
    <w:rsid w:val="008834A8"/>
    <w:rsid w:val="00883606"/>
    <w:rsid w:val="008838E1"/>
    <w:rsid w:val="00883FDF"/>
    <w:rsid w:val="00884663"/>
    <w:rsid w:val="00884B55"/>
    <w:rsid w:val="0088536F"/>
    <w:rsid w:val="00890EFE"/>
    <w:rsid w:val="0089186F"/>
    <w:rsid w:val="008921DA"/>
    <w:rsid w:val="00892421"/>
    <w:rsid w:val="008926A9"/>
    <w:rsid w:val="008928B9"/>
    <w:rsid w:val="00892B22"/>
    <w:rsid w:val="0089388F"/>
    <w:rsid w:val="00894E9D"/>
    <w:rsid w:val="00895BB0"/>
    <w:rsid w:val="00895BC4"/>
    <w:rsid w:val="00895D6C"/>
    <w:rsid w:val="00895F2B"/>
    <w:rsid w:val="008966E7"/>
    <w:rsid w:val="00897706"/>
    <w:rsid w:val="008A12BE"/>
    <w:rsid w:val="008A1303"/>
    <w:rsid w:val="008A1E75"/>
    <w:rsid w:val="008A31A2"/>
    <w:rsid w:val="008A36D6"/>
    <w:rsid w:val="008A3DB4"/>
    <w:rsid w:val="008A41C6"/>
    <w:rsid w:val="008A43F1"/>
    <w:rsid w:val="008A5FB6"/>
    <w:rsid w:val="008A6264"/>
    <w:rsid w:val="008A6582"/>
    <w:rsid w:val="008A65C1"/>
    <w:rsid w:val="008A7EEB"/>
    <w:rsid w:val="008B056E"/>
    <w:rsid w:val="008B063C"/>
    <w:rsid w:val="008B07AB"/>
    <w:rsid w:val="008B0D24"/>
    <w:rsid w:val="008B15BC"/>
    <w:rsid w:val="008B169E"/>
    <w:rsid w:val="008B2217"/>
    <w:rsid w:val="008B253A"/>
    <w:rsid w:val="008B3273"/>
    <w:rsid w:val="008B3705"/>
    <w:rsid w:val="008B4288"/>
    <w:rsid w:val="008B4AE4"/>
    <w:rsid w:val="008B4BDC"/>
    <w:rsid w:val="008B5018"/>
    <w:rsid w:val="008B5944"/>
    <w:rsid w:val="008B5F43"/>
    <w:rsid w:val="008B6803"/>
    <w:rsid w:val="008C094F"/>
    <w:rsid w:val="008C3147"/>
    <w:rsid w:val="008C3733"/>
    <w:rsid w:val="008C41A6"/>
    <w:rsid w:val="008C574C"/>
    <w:rsid w:val="008C66BE"/>
    <w:rsid w:val="008C68ED"/>
    <w:rsid w:val="008C699A"/>
    <w:rsid w:val="008C6E33"/>
    <w:rsid w:val="008C7145"/>
    <w:rsid w:val="008C73D1"/>
    <w:rsid w:val="008C7845"/>
    <w:rsid w:val="008C79B6"/>
    <w:rsid w:val="008C7DFF"/>
    <w:rsid w:val="008D0D3C"/>
    <w:rsid w:val="008D1D31"/>
    <w:rsid w:val="008D254B"/>
    <w:rsid w:val="008D3815"/>
    <w:rsid w:val="008D49A5"/>
    <w:rsid w:val="008D4ACA"/>
    <w:rsid w:val="008D52C6"/>
    <w:rsid w:val="008D53D2"/>
    <w:rsid w:val="008D56E6"/>
    <w:rsid w:val="008D5BC2"/>
    <w:rsid w:val="008D61EA"/>
    <w:rsid w:val="008D6AEB"/>
    <w:rsid w:val="008D6BEC"/>
    <w:rsid w:val="008D7A74"/>
    <w:rsid w:val="008D7C62"/>
    <w:rsid w:val="008E13EE"/>
    <w:rsid w:val="008E2566"/>
    <w:rsid w:val="008E2906"/>
    <w:rsid w:val="008E318D"/>
    <w:rsid w:val="008E3B9B"/>
    <w:rsid w:val="008E4629"/>
    <w:rsid w:val="008E5736"/>
    <w:rsid w:val="008E5943"/>
    <w:rsid w:val="008E603F"/>
    <w:rsid w:val="008E6349"/>
    <w:rsid w:val="008E6B00"/>
    <w:rsid w:val="008E7680"/>
    <w:rsid w:val="008F11FB"/>
    <w:rsid w:val="008F1F1D"/>
    <w:rsid w:val="008F23E4"/>
    <w:rsid w:val="008F2D40"/>
    <w:rsid w:val="008F3E27"/>
    <w:rsid w:val="008F3F4D"/>
    <w:rsid w:val="008F4C69"/>
    <w:rsid w:val="008F64FE"/>
    <w:rsid w:val="008F6635"/>
    <w:rsid w:val="00900F1B"/>
    <w:rsid w:val="00901832"/>
    <w:rsid w:val="009025F8"/>
    <w:rsid w:val="0090418C"/>
    <w:rsid w:val="009043AC"/>
    <w:rsid w:val="009054EC"/>
    <w:rsid w:val="00906C71"/>
    <w:rsid w:val="00910D22"/>
    <w:rsid w:val="00911078"/>
    <w:rsid w:val="00911227"/>
    <w:rsid w:val="009112D4"/>
    <w:rsid w:val="00911BCB"/>
    <w:rsid w:val="009124DB"/>
    <w:rsid w:val="00912CB3"/>
    <w:rsid w:val="0091453E"/>
    <w:rsid w:val="0091457B"/>
    <w:rsid w:val="009149B6"/>
    <w:rsid w:val="00914F2E"/>
    <w:rsid w:val="0091627E"/>
    <w:rsid w:val="00916476"/>
    <w:rsid w:val="009208E8"/>
    <w:rsid w:val="00921A42"/>
    <w:rsid w:val="00921B84"/>
    <w:rsid w:val="009222CA"/>
    <w:rsid w:val="009241BD"/>
    <w:rsid w:val="00924B70"/>
    <w:rsid w:val="0092507B"/>
    <w:rsid w:val="009258A8"/>
    <w:rsid w:val="00925BF8"/>
    <w:rsid w:val="00927FB1"/>
    <w:rsid w:val="00930C64"/>
    <w:rsid w:val="00934DB6"/>
    <w:rsid w:val="0093516A"/>
    <w:rsid w:val="0093561E"/>
    <w:rsid w:val="00936D5A"/>
    <w:rsid w:val="00941D7B"/>
    <w:rsid w:val="00944396"/>
    <w:rsid w:val="009445DB"/>
    <w:rsid w:val="0094493F"/>
    <w:rsid w:val="00944D35"/>
    <w:rsid w:val="00945193"/>
    <w:rsid w:val="0094581B"/>
    <w:rsid w:val="009466D9"/>
    <w:rsid w:val="00946925"/>
    <w:rsid w:val="00946E31"/>
    <w:rsid w:val="00947773"/>
    <w:rsid w:val="00947CD8"/>
    <w:rsid w:val="00950067"/>
    <w:rsid w:val="009504C8"/>
    <w:rsid w:val="00950E85"/>
    <w:rsid w:val="009510C9"/>
    <w:rsid w:val="00951A13"/>
    <w:rsid w:val="00952912"/>
    <w:rsid w:val="00952A84"/>
    <w:rsid w:val="00952CBE"/>
    <w:rsid w:val="00953F48"/>
    <w:rsid w:val="00955113"/>
    <w:rsid w:val="00955217"/>
    <w:rsid w:val="009564AB"/>
    <w:rsid w:val="009564E6"/>
    <w:rsid w:val="00956A7D"/>
    <w:rsid w:val="00956C95"/>
    <w:rsid w:val="009577C5"/>
    <w:rsid w:val="00960328"/>
    <w:rsid w:val="00960866"/>
    <w:rsid w:val="009610C1"/>
    <w:rsid w:val="009614B1"/>
    <w:rsid w:val="009615C9"/>
    <w:rsid w:val="009627EF"/>
    <w:rsid w:val="0096324D"/>
    <w:rsid w:val="00963734"/>
    <w:rsid w:val="00963760"/>
    <w:rsid w:val="00963917"/>
    <w:rsid w:val="00963F98"/>
    <w:rsid w:val="0096408D"/>
    <w:rsid w:val="009640EC"/>
    <w:rsid w:val="00964CF5"/>
    <w:rsid w:val="00965057"/>
    <w:rsid w:val="0096517E"/>
    <w:rsid w:val="00965F26"/>
    <w:rsid w:val="00966E42"/>
    <w:rsid w:val="009700E9"/>
    <w:rsid w:val="009702B5"/>
    <w:rsid w:val="00970499"/>
    <w:rsid w:val="00971EAA"/>
    <w:rsid w:val="00972D8C"/>
    <w:rsid w:val="00972F62"/>
    <w:rsid w:val="00972FAA"/>
    <w:rsid w:val="009733B0"/>
    <w:rsid w:val="00973499"/>
    <w:rsid w:val="00973917"/>
    <w:rsid w:val="00974263"/>
    <w:rsid w:val="0097469B"/>
    <w:rsid w:val="00974993"/>
    <w:rsid w:val="0097521F"/>
    <w:rsid w:val="0097670B"/>
    <w:rsid w:val="0097682C"/>
    <w:rsid w:val="00977C42"/>
    <w:rsid w:val="00980864"/>
    <w:rsid w:val="00982227"/>
    <w:rsid w:val="009832B8"/>
    <w:rsid w:val="00983464"/>
    <w:rsid w:val="009835FC"/>
    <w:rsid w:val="00983804"/>
    <w:rsid w:val="009841F9"/>
    <w:rsid w:val="00984B4A"/>
    <w:rsid w:val="00985A3E"/>
    <w:rsid w:val="00986A03"/>
    <w:rsid w:val="0098764F"/>
    <w:rsid w:val="009902DA"/>
    <w:rsid w:val="009906EA"/>
    <w:rsid w:val="00990C17"/>
    <w:rsid w:val="00991AE3"/>
    <w:rsid w:val="00992307"/>
    <w:rsid w:val="00992882"/>
    <w:rsid w:val="009928C6"/>
    <w:rsid w:val="00992A03"/>
    <w:rsid w:val="00992A11"/>
    <w:rsid w:val="009934F9"/>
    <w:rsid w:val="00993E8C"/>
    <w:rsid w:val="00994C0E"/>
    <w:rsid w:val="00995254"/>
    <w:rsid w:val="009954D1"/>
    <w:rsid w:val="00995793"/>
    <w:rsid w:val="009970E7"/>
    <w:rsid w:val="0099789E"/>
    <w:rsid w:val="00997D47"/>
    <w:rsid w:val="009A035B"/>
    <w:rsid w:val="009A0C50"/>
    <w:rsid w:val="009A32B7"/>
    <w:rsid w:val="009A3E0E"/>
    <w:rsid w:val="009A47D5"/>
    <w:rsid w:val="009A7F43"/>
    <w:rsid w:val="009B0396"/>
    <w:rsid w:val="009B0B1F"/>
    <w:rsid w:val="009B1D52"/>
    <w:rsid w:val="009B2BF1"/>
    <w:rsid w:val="009B36B1"/>
    <w:rsid w:val="009B6923"/>
    <w:rsid w:val="009B6C64"/>
    <w:rsid w:val="009B6F98"/>
    <w:rsid w:val="009B732F"/>
    <w:rsid w:val="009B7582"/>
    <w:rsid w:val="009C1611"/>
    <w:rsid w:val="009C16E8"/>
    <w:rsid w:val="009C294E"/>
    <w:rsid w:val="009C2C7D"/>
    <w:rsid w:val="009C32E9"/>
    <w:rsid w:val="009C3B1E"/>
    <w:rsid w:val="009C43DE"/>
    <w:rsid w:val="009C5169"/>
    <w:rsid w:val="009C5A79"/>
    <w:rsid w:val="009C6108"/>
    <w:rsid w:val="009C63F4"/>
    <w:rsid w:val="009C7A96"/>
    <w:rsid w:val="009D0227"/>
    <w:rsid w:val="009D06B1"/>
    <w:rsid w:val="009D1434"/>
    <w:rsid w:val="009D19F7"/>
    <w:rsid w:val="009D1D05"/>
    <w:rsid w:val="009D1ED4"/>
    <w:rsid w:val="009D27BA"/>
    <w:rsid w:val="009D3592"/>
    <w:rsid w:val="009D38A9"/>
    <w:rsid w:val="009D3A58"/>
    <w:rsid w:val="009D400F"/>
    <w:rsid w:val="009D45D6"/>
    <w:rsid w:val="009D56B9"/>
    <w:rsid w:val="009D56F1"/>
    <w:rsid w:val="009D7AF9"/>
    <w:rsid w:val="009D7C7C"/>
    <w:rsid w:val="009E07DF"/>
    <w:rsid w:val="009E1EBF"/>
    <w:rsid w:val="009E2B62"/>
    <w:rsid w:val="009E3EBB"/>
    <w:rsid w:val="009E4937"/>
    <w:rsid w:val="009E499B"/>
    <w:rsid w:val="009E69CB"/>
    <w:rsid w:val="009E7113"/>
    <w:rsid w:val="009E7DA0"/>
    <w:rsid w:val="009F0E66"/>
    <w:rsid w:val="009F10FC"/>
    <w:rsid w:val="009F21A3"/>
    <w:rsid w:val="009F3396"/>
    <w:rsid w:val="009F3C57"/>
    <w:rsid w:val="009F5BD1"/>
    <w:rsid w:val="009F6475"/>
    <w:rsid w:val="009F6570"/>
    <w:rsid w:val="009F7ADB"/>
    <w:rsid w:val="00A003F8"/>
    <w:rsid w:val="00A0179E"/>
    <w:rsid w:val="00A02E76"/>
    <w:rsid w:val="00A03106"/>
    <w:rsid w:val="00A031FA"/>
    <w:rsid w:val="00A034BA"/>
    <w:rsid w:val="00A037BE"/>
    <w:rsid w:val="00A05BC7"/>
    <w:rsid w:val="00A05CCB"/>
    <w:rsid w:val="00A05DD7"/>
    <w:rsid w:val="00A06AA1"/>
    <w:rsid w:val="00A06B49"/>
    <w:rsid w:val="00A076AE"/>
    <w:rsid w:val="00A1052C"/>
    <w:rsid w:val="00A10679"/>
    <w:rsid w:val="00A126AD"/>
    <w:rsid w:val="00A13F77"/>
    <w:rsid w:val="00A14D2D"/>
    <w:rsid w:val="00A16C46"/>
    <w:rsid w:val="00A175C6"/>
    <w:rsid w:val="00A202E3"/>
    <w:rsid w:val="00A209C4"/>
    <w:rsid w:val="00A22446"/>
    <w:rsid w:val="00A238DB"/>
    <w:rsid w:val="00A23A61"/>
    <w:rsid w:val="00A248E2"/>
    <w:rsid w:val="00A24E86"/>
    <w:rsid w:val="00A2674A"/>
    <w:rsid w:val="00A3103E"/>
    <w:rsid w:val="00A3140A"/>
    <w:rsid w:val="00A31A05"/>
    <w:rsid w:val="00A327E3"/>
    <w:rsid w:val="00A32A4C"/>
    <w:rsid w:val="00A3349C"/>
    <w:rsid w:val="00A3393B"/>
    <w:rsid w:val="00A34556"/>
    <w:rsid w:val="00A3538C"/>
    <w:rsid w:val="00A364FE"/>
    <w:rsid w:val="00A36651"/>
    <w:rsid w:val="00A36793"/>
    <w:rsid w:val="00A36A7A"/>
    <w:rsid w:val="00A37679"/>
    <w:rsid w:val="00A40A90"/>
    <w:rsid w:val="00A411F9"/>
    <w:rsid w:val="00A4189A"/>
    <w:rsid w:val="00A44816"/>
    <w:rsid w:val="00A44954"/>
    <w:rsid w:val="00A456C3"/>
    <w:rsid w:val="00A45B74"/>
    <w:rsid w:val="00A45C51"/>
    <w:rsid w:val="00A517E9"/>
    <w:rsid w:val="00A51F23"/>
    <w:rsid w:val="00A54C08"/>
    <w:rsid w:val="00A54E43"/>
    <w:rsid w:val="00A55341"/>
    <w:rsid w:val="00A55B89"/>
    <w:rsid w:val="00A5625F"/>
    <w:rsid w:val="00A56D51"/>
    <w:rsid w:val="00A573EC"/>
    <w:rsid w:val="00A57DDB"/>
    <w:rsid w:val="00A57F25"/>
    <w:rsid w:val="00A57F33"/>
    <w:rsid w:val="00A60DE5"/>
    <w:rsid w:val="00A61432"/>
    <w:rsid w:val="00A614A6"/>
    <w:rsid w:val="00A6155B"/>
    <w:rsid w:val="00A61E82"/>
    <w:rsid w:val="00A62CEA"/>
    <w:rsid w:val="00A6311B"/>
    <w:rsid w:val="00A63E0E"/>
    <w:rsid w:val="00A65369"/>
    <w:rsid w:val="00A653E1"/>
    <w:rsid w:val="00A6565D"/>
    <w:rsid w:val="00A6629D"/>
    <w:rsid w:val="00A67069"/>
    <w:rsid w:val="00A67C9E"/>
    <w:rsid w:val="00A716BA"/>
    <w:rsid w:val="00A71943"/>
    <w:rsid w:val="00A72F54"/>
    <w:rsid w:val="00A73C9C"/>
    <w:rsid w:val="00A74644"/>
    <w:rsid w:val="00A755E0"/>
    <w:rsid w:val="00A7596E"/>
    <w:rsid w:val="00A76192"/>
    <w:rsid w:val="00A76D2A"/>
    <w:rsid w:val="00A80277"/>
    <w:rsid w:val="00A82954"/>
    <w:rsid w:val="00A82DCB"/>
    <w:rsid w:val="00A82E30"/>
    <w:rsid w:val="00A82F48"/>
    <w:rsid w:val="00A83B99"/>
    <w:rsid w:val="00A83C0D"/>
    <w:rsid w:val="00A84727"/>
    <w:rsid w:val="00A852BC"/>
    <w:rsid w:val="00A85732"/>
    <w:rsid w:val="00A859CE"/>
    <w:rsid w:val="00A85EB3"/>
    <w:rsid w:val="00A86A79"/>
    <w:rsid w:val="00A86F7E"/>
    <w:rsid w:val="00A874D1"/>
    <w:rsid w:val="00A87762"/>
    <w:rsid w:val="00A90B76"/>
    <w:rsid w:val="00A92B45"/>
    <w:rsid w:val="00A92C6C"/>
    <w:rsid w:val="00A93338"/>
    <w:rsid w:val="00A93789"/>
    <w:rsid w:val="00A9481A"/>
    <w:rsid w:val="00A94AB6"/>
    <w:rsid w:val="00A94C1D"/>
    <w:rsid w:val="00A95283"/>
    <w:rsid w:val="00A96D9F"/>
    <w:rsid w:val="00A97202"/>
    <w:rsid w:val="00AA1DE3"/>
    <w:rsid w:val="00AA252F"/>
    <w:rsid w:val="00AA2EEB"/>
    <w:rsid w:val="00AA30B8"/>
    <w:rsid w:val="00AA3127"/>
    <w:rsid w:val="00AA3FE2"/>
    <w:rsid w:val="00AA434D"/>
    <w:rsid w:val="00AA5C8C"/>
    <w:rsid w:val="00AA61B8"/>
    <w:rsid w:val="00AA6ACC"/>
    <w:rsid w:val="00AA6D7F"/>
    <w:rsid w:val="00AA7034"/>
    <w:rsid w:val="00AA711D"/>
    <w:rsid w:val="00AA735C"/>
    <w:rsid w:val="00AA7E29"/>
    <w:rsid w:val="00AB1C59"/>
    <w:rsid w:val="00AB1E18"/>
    <w:rsid w:val="00AB1F8F"/>
    <w:rsid w:val="00AB2B74"/>
    <w:rsid w:val="00AB31E8"/>
    <w:rsid w:val="00AB5A00"/>
    <w:rsid w:val="00AB61C8"/>
    <w:rsid w:val="00AB64EE"/>
    <w:rsid w:val="00AB70F1"/>
    <w:rsid w:val="00AB7FE1"/>
    <w:rsid w:val="00AC06C0"/>
    <w:rsid w:val="00AC076F"/>
    <w:rsid w:val="00AC1ED3"/>
    <w:rsid w:val="00AC3049"/>
    <w:rsid w:val="00AC3378"/>
    <w:rsid w:val="00AC391C"/>
    <w:rsid w:val="00AC399F"/>
    <w:rsid w:val="00AC4D16"/>
    <w:rsid w:val="00AC57F9"/>
    <w:rsid w:val="00AC64F0"/>
    <w:rsid w:val="00AC69C2"/>
    <w:rsid w:val="00AC73B3"/>
    <w:rsid w:val="00AC7D6D"/>
    <w:rsid w:val="00AC7DEA"/>
    <w:rsid w:val="00AD2365"/>
    <w:rsid w:val="00AD2847"/>
    <w:rsid w:val="00AD31C7"/>
    <w:rsid w:val="00AD4286"/>
    <w:rsid w:val="00AD4551"/>
    <w:rsid w:val="00AD4664"/>
    <w:rsid w:val="00AD4C5B"/>
    <w:rsid w:val="00AD5626"/>
    <w:rsid w:val="00AD6AF7"/>
    <w:rsid w:val="00AD6D04"/>
    <w:rsid w:val="00AD6EC8"/>
    <w:rsid w:val="00AD799A"/>
    <w:rsid w:val="00AE00BF"/>
    <w:rsid w:val="00AE0E49"/>
    <w:rsid w:val="00AE1845"/>
    <w:rsid w:val="00AE2673"/>
    <w:rsid w:val="00AE4621"/>
    <w:rsid w:val="00AE6590"/>
    <w:rsid w:val="00AE6876"/>
    <w:rsid w:val="00AE6DD9"/>
    <w:rsid w:val="00AE6E43"/>
    <w:rsid w:val="00AE732E"/>
    <w:rsid w:val="00AF092D"/>
    <w:rsid w:val="00AF0EEB"/>
    <w:rsid w:val="00AF152D"/>
    <w:rsid w:val="00AF2250"/>
    <w:rsid w:val="00AF24AA"/>
    <w:rsid w:val="00AF2522"/>
    <w:rsid w:val="00AF263E"/>
    <w:rsid w:val="00AF28F8"/>
    <w:rsid w:val="00AF2E93"/>
    <w:rsid w:val="00AF3256"/>
    <w:rsid w:val="00AF36A9"/>
    <w:rsid w:val="00AF380C"/>
    <w:rsid w:val="00AF40BA"/>
    <w:rsid w:val="00AF420A"/>
    <w:rsid w:val="00AF4FB9"/>
    <w:rsid w:val="00AF57F1"/>
    <w:rsid w:val="00AF678C"/>
    <w:rsid w:val="00AF6E58"/>
    <w:rsid w:val="00AF70EE"/>
    <w:rsid w:val="00AF74AB"/>
    <w:rsid w:val="00AF77EC"/>
    <w:rsid w:val="00B005BF"/>
    <w:rsid w:val="00B02EC1"/>
    <w:rsid w:val="00B05394"/>
    <w:rsid w:val="00B06C36"/>
    <w:rsid w:val="00B07103"/>
    <w:rsid w:val="00B10B10"/>
    <w:rsid w:val="00B1121A"/>
    <w:rsid w:val="00B1159E"/>
    <w:rsid w:val="00B12326"/>
    <w:rsid w:val="00B12612"/>
    <w:rsid w:val="00B12896"/>
    <w:rsid w:val="00B12A26"/>
    <w:rsid w:val="00B13A38"/>
    <w:rsid w:val="00B13CE2"/>
    <w:rsid w:val="00B145E1"/>
    <w:rsid w:val="00B149D5"/>
    <w:rsid w:val="00B14EB6"/>
    <w:rsid w:val="00B15907"/>
    <w:rsid w:val="00B1614A"/>
    <w:rsid w:val="00B161F6"/>
    <w:rsid w:val="00B200A2"/>
    <w:rsid w:val="00B20AFC"/>
    <w:rsid w:val="00B21E4D"/>
    <w:rsid w:val="00B2257D"/>
    <w:rsid w:val="00B235CC"/>
    <w:rsid w:val="00B237B7"/>
    <w:rsid w:val="00B24465"/>
    <w:rsid w:val="00B24FF8"/>
    <w:rsid w:val="00B25758"/>
    <w:rsid w:val="00B2700B"/>
    <w:rsid w:val="00B270AC"/>
    <w:rsid w:val="00B31FF4"/>
    <w:rsid w:val="00B328DC"/>
    <w:rsid w:val="00B32AB7"/>
    <w:rsid w:val="00B337C6"/>
    <w:rsid w:val="00B33A03"/>
    <w:rsid w:val="00B343DA"/>
    <w:rsid w:val="00B34D06"/>
    <w:rsid w:val="00B34D28"/>
    <w:rsid w:val="00B353FF"/>
    <w:rsid w:val="00B366FE"/>
    <w:rsid w:val="00B36F07"/>
    <w:rsid w:val="00B37047"/>
    <w:rsid w:val="00B4005C"/>
    <w:rsid w:val="00B40AB2"/>
    <w:rsid w:val="00B40F16"/>
    <w:rsid w:val="00B410F9"/>
    <w:rsid w:val="00B41324"/>
    <w:rsid w:val="00B41586"/>
    <w:rsid w:val="00B4198F"/>
    <w:rsid w:val="00B430BB"/>
    <w:rsid w:val="00B43925"/>
    <w:rsid w:val="00B4485B"/>
    <w:rsid w:val="00B448BF"/>
    <w:rsid w:val="00B45304"/>
    <w:rsid w:val="00B46695"/>
    <w:rsid w:val="00B473AA"/>
    <w:rsid w:val="00B4753C"/>
    <w:rsid w:val="00B47680"/>
    <w:rsid w:val="00B47829"/>
    <w:rsid w:val="00B50456"/>
    <w:rsid w:val="00B51A1E"/>
    <w:rsid w:val="00B52215"/>
    <w:rsid w:val="00B54BA5"/>
    <w:rsid w:val="00B54BE1"/>
    <w:rsid w:val="00B55173"/>
    <w:rsid w:val="00B563CC"/>
    <w:rsid w:val="00B56A86"/>
    <w:rsid w:val="00B578FB"/>
    <w:rsid w:val="00B607D6"/>
    <w:rsid w:val="00B61AC8"/>
    <w:rsid w:val="00B64199"/>
    <w:rsid w:val="00B64813"/>
    <w:rsid w:val="00B664A1"/>
    <w:rsid w:val="00B67255"/>
    <w:rsid w:val="00B67B22"/>
    <w:rsid w:val="00B67BB8"/>
    <w:rsid w:val="00B701D5"/>
    <w:rsid w:val="00B702DC"/>
    <w:rsid w:val="00B70642"/>
    <w:rsid w:val="00B727DF"/>
    <w:rsid w:val="00B72E76"/>
    <w:rsid w:val="00B7343A"/>
    <w:rsid w:val="00B73E8D"/>
    <w:rsid w:val="00B74238"/>
    <w:rsid w:val="00B74EAA"/>
    <w:rsid w:val="00B75AEE"/>
    <w:rsid w:val="00B75D19"/>
    <w:rsid w:val="00B76803"/>
    <w:rsid w:val="00B76C2B"/>
    <w:rsid w:val="00B76D0E"/>
    <w:rsid w:val="00B76E0A"/>
    <w:rsid w:val="00B776E0"/>
    <w:rsid w:val="00B779D8"/>
    <w:rsid w:val="00B77F4B"/>
    <w:rsid w:val="00B77F9A"/>
    <w:rsid w:val="00B806E4"/>
    <w:rsid w:val="00B80AC4"/>
    <w:rsid w:val="00B80FB7"/>
    <w:rsid w:val="00B816A7"/>
    <w:rsid w:val="00B8223A"/>
    <w:rsid w:val="00B8267C"/>
    <w:rsid w:val="00B82F41"/>
    <w:rsid w:val="00B82F85"/>
    <w:rsid w:val="00B83F93"/>
    <w:rsid w:val="00B846DD"/>
    <w:rsid w:val="00B84722"/>
    <w:rsid w:val="00B8505D"/>
    <w:rsid w:val="00B86B61"/>
    <w:rsid w:val="00B90018"/>
    <w:rsid w:val="00B9020E"/>
    <w:rsid w:val="00B9048C"/>
    <w:rsid w:val="00B91539"/>
    <w:rsid w:val="00B91D0D"/>
    <w:rsid w:val="00B92F3C"/>
    <w:rsid w:val="00B94453"/>
    <w:rsid w:val="00B95180"/>
    <w:rsid w:val="00B952B8"/>
    <w:rsid w:val="00B95FB0"/>
    <w:rsid w:val="00B960ED"/>
    <w:rsid w:val="00BA1CB4"/>
    <w:rsid w:val="00BA2716"/>
    <w:rsid w:val="00BA2A12"/>
    <w:rsid w:val="00BA434F"/>
    <w:rsid w:val="00BA5172"/>
    <w:rsid w:val="00BA537F"/>
    <w:rsid w:val="00BA763A"/>
    <w:rsid w:val="00BB1A41"/>
    <w:rsid w:val="00BB22EC"/>
    <w:rsid w:val="00BB2947"/>
    <w:rsid w:val="00BB33C6"/>
    <w:rsid w:val="00BB3F07"/>
    <w:rsid w:val="00BB4025"/>
    <w:rsid w:val="00BB4BBE"/>
    <w:rsid w:val="00BB4E89"/>
    <w:rsid w:val="00BB4ED4"/>
    <w:rsid w:val="00BB585C"/>
    <w:rsid w:val="00BB6D8B"/>
    <w:rsid w:val="00BB7CDD"/>
    <w:rsid w:val="00BC002D"/>
    <w:rsid w:val="00BC027E"/>
    <w:rsid w:val="00BC0F14"/>
    <w:rsid w:val="00BC2CF4"/>
    <w:rsid w:val="00BC3BAA"/>
    <w:rsid w:val="00BC3ECB"/>
    <w:rsid w:val="00BC4D2F"/>
    <w:rsid w:val="00BC54B9"/>
    <w:rsid w:val="00BC55FE"/>
    <w:rsid w:val="00BC66EB"/>
    <w:rsid w:val="00BD19C2"/>
    <w:rsid w:val="00BD2FE6"/>
    <w:rsid w:val="00BD35DF"/>
    <w:rsid w:val="00BD3A00"/>
    <w:rsid w:val="00BD3FDC"/>
    <w:rsid w:val="00BE02E0"/>
    <w:rsid w:val="00BE0D46"/>
    <w:rsid w:val="00BE1065"/>
    <w:rsid w:val="00BE161D"/>
    <w:rsid w:val="00BE1A96"/>
    <w:rsid w:val="00BE22CC"/>
    <w:rsid w:val="00BE345F"/>
    <w:rsid w:val="00BE3BF0"/>
    <w:rsid w:val="00BE3D2E"/>
    <w:rsid w:val="00BE4A87"/>
    <w:rsid w:val="00BE549D"/>
    <w:rsid w:val="00BE607C"/>
    <w:rsid w:val="00BE68AB"/>
    <w:rsid w:val="00BE7331"/>
    <w:rsid w:val="00BF09AC"/>
    <w:rsid w:val="00BF2896"/>
    <w:rsid w:val="00BF3002"/>
    <w:rsid w:val="00BF3138"/>
    <w:rsid w:val="00BF38E3"/>
    <w:rsid w:val="00BF3931"/>
    <w:rsid w:val="00BF5348"/>
    <w:rsid w:val="00BF5910"/>
    <w:rsid w:val="00BF5B2D"/>
    <w:rsid w:val="00BF620B"/>
    <w:rsid w:val="00BF6B04"/>
    <w:rsid w:val="00C00163"/>
    <w:rsid w:val="00C00A14"/>
    <w:rsid w:val="00C015F4"/>
    <w:rsid w:val="00C03153"/>
    <w:rsid w:val="00C040F8"/>
    <w:rsid w:val="00C0542F"/>
    <w:rsid w:val="00C05F85"/>
    <w:rsid w:val="00C0701A"/>
    <w:rsid w:val="00C071A5"/>
    <w:rsid w:val="00C07BEC"/>
    <w:rsid w:val="00C11DD8"/>
    <w:rsid w:val="00C11E55"/>
    <w:rsid w:val="00C13379"/>
    <w:rsid w:val="00C13F0B"/>
    <w:rsid w:val="00C15C80"/>
    <w:rsid w:val="00C16DFD"/>
    <w:rsid w:val="00C1735A"/>
    <w:rsid w:val="00C17C43"/>
    <w:rsid w:val="00C17C53"/>
    <w:rsid w:val="00C20926"/>
    <w:rsid w:val="00C21C92"/>
    <w:rsid w:val="00C223BB"/>
    <w:rsid w:val="00C22488"/>
    <w:rsid w:val="00C22C0A"/>
    <w:rsid w:val="00C2555A"/>
    <w:rsid w:val="00C25D95"/>
    <w:rsid w:val="00C2701F"/>
    <w:rsid w:val="00C27DCB"/>
    <w:rsid w:val="00C30079"/>
    <w:rsid w:val="00C30706"/>
    <w:rsid w:val="00C31EB0"/>
    <w:rsid w:val="00C32C0C"/>
    <w:rsid w:val="00C32CFD"/>
    <w:rsid w:val="00C3323A"/>
    <w:rsid w:val="00C33968"/>
    <w:rsid w:val="00C33CE6"/>
    <w:rsid w:val="00C3489A"/>
    <w:rsid w:val="00C350F6"/>
    <w:rsid w:val="00C35174"/>
    <w:rsid w:val="00C351CA"/>
    <w:rsid w:val="00C3626E"/>
    <w:rsid w:val="00C369B9"/>
    <w:rsid w:val="00C36DB1"/>
    <w:rsid w:val="00C370AD"/>
    <w:rsid w:val="00C37A08"/>
    <w:rsid w:val="00C37C61"/>
    <w:rsid w:val="00C40DB2"/>
    <w:rsid w:val="00C412CC"/>
    <w:rsid w:val="00C42058"/>
    <w:rsid w:val="00C43F6C"/>
    <w:rsid w:val="00C44177"/>
    <w:rsid w:val="00C442E8"/>
    <w:rsid w:val="00C460AE"/>
    <w:rsid w:val="00C4697E"/>
    <w:rsid w:val="00C47341"/>
    <w:rsid w:val="00C47AC2"/>
    <w:rsid w:val="00C47B1D"/>
    <w:rsid w:val="00C47ED3"/>
    <w:rsid w:val="00C47FC2"/>
    <w:rsid w:val="00C50A8E"/>
    <w:rsid w:val="00C511AF"/>
    <w:rsid w:val="00C51FEB"/>
    <w:rsid w:val="00C52627"/>
    <w:rsid w:val="00C53883"/>
    <w:rsid w:val="00C54A6D"/>
    <w:rsid w:val="00C54B4F"/>
    <w:rsid w:val="00C555BA"/>
    <w:rsid w:val="00C564D5"/>
    <w:rsid w:val="00C564F0"/>
    <w:rsid w:val="00C565C7"/>
    <w:rsid w:val="00C57AB2"/>
    <w:rsid w:val="00C62545"/>
    <w:rsid w:val="00C62E47"/>
    <w:rsid w:val="00C63928"/>
    <w:rsid w:val="00C64F7C"/>
    <w:rsid w:val="00C65110"/>
    <w:rsid w:val="00C65442"/>
    <w:rsid w:val="00C669CE"/>
    <w:rsid w:val="00C66FB9"/>
    <w:rsid w:val="00C67258"/>
    <w:rsid w:val="00C679D5"/>
    <w:rsid w:val="00C702E8"/>
    <w:rsid w:val="00C72F04"/>
    <w:rsid w:val="00C748AC"/>
    <w:rsid w:val="00C74D21"/>
    <w:rsid w:val="00C7512D"/>
    <w:rsid w:val="00C76290"/>
    <w:rsid w:val="00C767BD"/>
    <w:rsid w:val="00C76A5E"/>
    <w:rsid w:val="00C77C65"/>
    <w:rsid w:val="00C810D3"/>
    <w:rsid w:val="00C81D3D"/>
    <w:rsid w:val="00C82587"/>
    <w:rsid w:val="00C827A0"/>
    <w:rsid w:val="00C82867"/>
    <w:rsid w:val="00C82C6D"/>
    <w:rsid w:val="00C8350F"/>
    <w:rsid w:val="00C8368C"/>
    <w:rsid w:val="00C83750"/>
    <w:rsid w:val="00C85214"/>
    <w:rsid w:val="00C85224"/>
    <w:rsid w:val="00C85B64"/>
    <w:rsid w:val="00C85C2C"/>
    <w:rsid w:val="00C8757A"/>
    <w:rsid w:val="00C87D53"/>
    <w:rsid w:val="00C87E44"/>
    <w:rsid w:val="00C90122"/>
    <w:rsid w:val="00C91419"/>
    <w:rsid w:val="00C92F69"/>
    <w:rsid w:val="00C93F26"/>
    <w:rsid w:val="00C94891"/>
    <w:rsid w:val="00C94C9C"/>
    <w:rsid w:val="00C94E13"/>
    <w:rsid w:val="00C95B6A"/>
    <w:rsid w:val="00C95CC6"/>
    <w:rsid w:val="00C9679F"/>
    <w:rsid w:val="00C96DDD"/>
    <w:rsid w:val="00C97D2F"/>
    <w:rsid w:val="00CA0461"/>
    <w:rsid w:val="00CA18AC"/>
    <w:rsid w:val="00CA1DE9"/>
    <w:rsid w:val="00CA205D"/>
    <w:rsid w:val="00CA2110"/>
    <w:rsid w:val="00CA28FB"/>
    <w:rsid w:val="00CA46C1"/>
    <w:rsid w:val="00CA4BA0"/>
    <w:rsid w:val="00CA4D8A"/>
    <w:rsid w:val="00CA5206"/>
    <w:rsid w:val="00CA550F"/>
    <w:rsid w:val="00CA5EC7"/>
    <w:rsid w:val="00CA60E2"/>
    <w:rsid w:val="00CA7625"/>
    <w:rsid w:val="00CA7C78"/>
    <w:rsid w:val="00CB08D3"/>
    <w:rsid w:val="00CB0B10"/>
    <w:rsid w:val="00CB0F10"/>
    <w:rsid w:val="00CB2349"/>
    <w:rsid w:val="00CB3759"/>
    <w:rsid w:val="00CB38AC"/>
    <w:rsid w:val="00CB3D8C"/>
    <w:rsid w:val="00CB4D9F"/>
    <w:rsid w:val="00CB5A7F"/>
    <w:rsid w:val="00CB7385"/>
    <w:rsid w:val="00CB795E"/>
    <w:rsid w:val="00CC146C"/>
    <w:rsid w:val="00CC189A"/>
    <w:rsid w:val="00CC22C9"/>
    <w:rsid w:val="00CC387F"/>
    <w:rsid w:val="00CC3D90"/>
    <w:rsid w:val="00CC5599"/>
    <w:rsid w:val="00CC66E6"/>
    <w:rsid w:val="00CC6E05"/>
    <w:rsid w:val="00CC742E"/>
    <w:rsid w:val="00CC7DFF"/>
    <w:rsid w:val="00CD01A2"/>
    <w:rsid w:val="00CD1585"/>
    <w:rsid w:val="00CD242B"/>
    <w:rsid w:val="00CD2649"/>
    <w:rsid w:val="00CD52CD"/>
    <w:rsid w:val="00CD63C6"/>
    <w:rsid w:val="00CE0D36"/>
    <w:rsid w:val="00CE1B35"/>
    <w:rsid w:val="00CE1F34"/>
    <w:rsid w:val="00CE2606"/>
    <w:rsid w:val="00CE2B8A"/>
    <w:rsid w:val="00CE323D"/>
    <w:rsid w:val="00CE4BDD"/>
    <w:rsid w:val="00CE5D78"/>
    <w:rsid w:val="00CE6773"/>
    <w:rsid w:val="00CE6DE9"/>
    <w:rsid w:val="00CF0338"/>
    <w:rsid w:val="00CF0FC0"/>
    <w:rsid w:val="00CF1ED9"/>
    <w:rsid w:val="00CF2A6E"/>
    <w:rsid w:val="00CF392A"/>
    <w:rsid w:val="00CF3C6D"/>
    <w:rsid w:val="00CF4ADF"/>
    <w:rsid w:val="00CF4C5A"/>
    <w:rsid w:val="00CF5119"/>
    <w:rsid w:val="00CF63D1"/>
    <w:rsid w:val="00D00620"/>
    <w:rsid w:val="00D0098F"/>
    <w:rsid w:val="00D01325"/>
    <w:rsid w:val="00D020EE"/>
    <w:rsid w:val="00D02139"/>
    <w:rsid w:val="00D02EDA"/>
    <w:rsid w:val="00D04F51"/>
    <w:rsid w:val="00D050F5"/>
    <w:rsid w:val="00D05B77"/>
    <w:rsid w:val="00D078B9"/>
    <w:rsid w:val="00D07BBC"/>
    <w:rsid w:val="00D07DDD"/>
    <w:rsid w:val="00D102AA"/>
    <w:rsid w:val="00D1115E"/>
    <w:rsid w:val="00D11D09"/>
    <w:rsid w:val="00D127C0"/>
    <w:rsid w:val="00D12B20"/>
    <w:rsid w:val="00D1357B"/>
    <w:rsid w:val="00D1402B"/>
    <w:rsid w:val="00D14AA8"/>
    <w:rsid w:val="00D14AB9"/>
    <w:rsid w:val="00D15859"/>
    <w:rsid w:val="00D159D7"/>
    <w:rsid w:val="00D161CE"/>
    <w:rsid w:val="00D16365"/>
    <w:rsid w:val="00D174DD"/>
    <w:rsid w:val="00D175D9"/>
    <w:rsid w:val="00D2188A"/>
    <w:rsid w:val="00D2257D"/>
    <w:rsid w:val="00D23585"/>
    <w:rsid w:val="00D23FE4"/>
    <w:rsid w:val="00D25233"/>
    <w:rsid w:val="00D25FDE"/>
    <w:rsid w:val="00D26579"/>
    <w:rsid w:val="00D270CD"/>
    <w:rsid w:val="00D273CF"/>
    <w:rsid w:val="00D274AC"/>
    <w:rsid w:val="00D27B92"/>
    <w:rsid w:val="00D27C5B"/>
    <w:rsid w:val="00D27CA1"/>
    <w:rsid w:val="00D300B4"/>
    <w:rsid w:val="00D31583"/>
    <w:rsid w:val="00D3186A"/>
    <w:rsid w:val="00D31A70"/>
    <w:rsid w:val="00D329AD"/>
    <w:rsid w:val="00D33834"/>
    <w:rsid w:val="00D3454F"/>
    <w:rsid w:val="00D3490F"/>
    <w:rsid w:val="00D34DF8"/>
    <w:rsid w:val="00D35172"/>
    <w:rsid w:val="00D352E1"/>
    <w:rsid w:val="00D3563B"/>
    <w:rsid w:val="00D36233"/>
    <w:rsid w:val="00D36D2C"/>
    <w:rsid w:val="00D40AC4"/>
    <w:rsid w:val="00D40BE0"/>
    <w:rsid w:val="00D41005"/>
    <w:rsid w:val="00D4139A"/>
    <w:rsid w:val="00D41A02"/>
    <w:rsid w:val="00D41F2F"/>
    <w:rsid w:val="00D4327D"/>
    <w:rsid w:val="00D436CC"/>
    <w:rsid w:val="00D43E88"/>
    <w:rsid w:val="00D44D31"/>
    <w:rsid w:val="00D46A59"/>
    <w:rsid w:val="00D4714F"/>
    <w:rsid w:val="00D475A2"/>
    <w:rsid w:val="00D509A4"/>
    <w:rsid w:val="00D50A65"/>
    <w:rsid w:val="00D524F2"/>
    <w:rsid w:val="00D53C26"/>
    <w:rsid w:val="00D543AC"/>
    <w:rsid w:val="00D551DC"/>
    <w:rsid w:val="00D5533A"/>
    <w:rsid w:val="00D55C0E"/>
    <w:rsid w:val="00D56B3A"/>
    <w:rsid w:val="00D56EF9"/>
    <w:rsid w:val="00D57C54"/>
    <w:rsid w:val="00D57EFD"/>
    <w:rsid w:val="00D60B15"/>
    <w:rsid w:val="00D60E4A"/>
    <w:rsid w:val="00D61680"/>
    <w:rsid w:val="00D62D3D"/>
    <w:rsid w:val="00D62F51"/>
    <w:rsid w:val="00D63AE7"/>
    <w:rsid w:val="00D63E8F"/>
    <w:rsid w:val="00D64003"/>
    <w:rsid w:val="00D656B3"/>
    <w:rsid w:val="00D65F9D"/>
    <w:rsid w:val="00D667AA"/>
    <w:rsid w:val="00D66AAB"/>
    <w:rsid w:val="00D67238"/>
    <w:rsid w:val="00D67F1C"/>
    <w:rsid w:val="00D67FCB"/>
    <w:rsid w:val="00D71731"/>
    <w:rsid w:val="00D722CE"/>
    <w:rsid w:val="00D73B0A"/>
    <w:rsid w:val="00D74901"/>
    <w:rsid w:val="00D74970"/>
    <w:rsid w:val="00D74E1A"/>
    <w:rsid w:val="00D74E92"/>
    <w:rsid w:val="00D75A27"/>
    <w:rsid w:val="00D7602B"/>
    <w:rsid w:val="00D76356"/>
    <w:rsid w:val="00D76D55"/>
    <w:rsid w:val="00D778DB"/>
    <w:rsid w:val="00D77C23"/>
    <w:rsid w:val="00D812D3"/>
    <w:rsid w:val="00D82369"/>
    <w:rsid w:val="00D823AF"/>
    <w:rsid w:val="00D82FC4"/>
    <w:rsid w:val="00D82FFA"/>
    <w:rsid w:val="00D85723"/>
    <w:rsid w:val="00D85758"/>
    <w:rsid w:val="00D8661D"/>
    <w:rsid w:val="00D872D7"/>
    <w:rsid w:val="00D90289"/>
    <w:rsid w:val="00D906C0"/>
    <w:rsid w:val="00D90F13"/>
    <w:rsid w:val="00D91133"/>
    <w:rsid w:val="00D9355F"/>
    <w:rsid w:val="00D9397D"/>
    <w:rsid w:val="00D93C10"/>
    <w:rsid w:val="00D948B2"/>
    <w:rsid w:val="00D9660D"/>
    <w:rsid w:val="00D96F89"/>
    <w:rsid w:val="00D96FA4"/>
    <w:rsid w:val="00DA1165"/>
    <w:rsid w:val="00DA1BBB"/>
    <w:rsid w:val="00DA29BD"/>
    <w:rsid w:val="00DA2D25"/>
    <w:rsid w:val="00DA342F"/>
    <w:rsid w:val="00DA4122"/>
    <w:rsid w:val="00DA43AB"/>
    <w:rsid w:val="00DA4442"/>
    <w:rsid w:val="00DA470A"/>
    <w:rsid w:val="00DA4AE6"/>
    <w:rsid w:val="00DA4BBA"/>
    <w:rsid w:val="00DA52D2"/>
    <w:rsid w:val="00DA52DD"/>
    <w:rsid w:val="00DA5DF6"/>
    <w:rsid w:val="00DA5E97"/>
    <w:rsid w:val="00DA693C"/>
    <w:rsid w:val="00DA6EA2"/>
    <w:rsid w:val="00DA78EF"/>
    <w:rsid w:val="00DB072E"/>
    <w:rsid w:val="00DB0A74"/>
    <w:rsid w:val="00DB113E"/>
    <w:rsid w:val="00DB262A"/>
    <w:rsid w:val="00DB3BAA"/>
    <w:rsid w:val="00DB427F"/>
    <w:rsid w:val="00DB47F8"/>
    <w:rsid w:val="00DB4858"/>
    <w:rsid w:val="00DB65C6"/>
    <w:rsid w:val="00DB660C"/>
    <w:rsid w:val="00DB6858"/>
    <w:rsid w:val="00DB77FD"/>
    <w:rsid w:val="00DC0245"/>
    <w:rsid w:val="00DC11C0"/>
    <w:rsid w:val="00DC17BE"/>
    <w:rsid w:val="00DC21FE"/>
    <w:rsid w:val="00DC272C"/>
    <w:rsid w:val="00DC29E8"/>
    <w:rsid w:val="00DC2B85"/>
    <w:rsid w:val="00DC57A1"/>
    <w:rsid w:val="00DC5C54"/>
    <w:rsid w:val="00DC6470"/>
    <w:rsid w:val="00DC7355"/>
    <w:rsid w:val="00DC7442"/>
    <w:rsid w:val="00DC747F"/>
    <w:rsid w:val="00DD0ACC"/>
    <w:rsid w:val="00DD0BDE"/>
    <w:rsid w:val="00DD23EA"/>
    <w:rsid w:val="00DD46BB"/>
    <w:rsid w:val="00DD5089"/>
    <w:rsid w:val="00DD58A9"/>
    <w:rsid w:val="00DD58B5"/>
    <w:rsid w:val="00DD67E0"/>
    <w:rsid w:val="00DE0245"/>
    <w:rsid w:val="00DE08C4"/>
    <w:rsid w:val="00DE1AF6"/>
    <w:rsid w:val="00DE3F2E"/>
    <w:rsid w:val="00DE42CB"/>
    <w:rsid w:val="00DE5CF6"/>
    <w:rsid w:val="00DE646B"/>
    <w:rsid w:val="00DE77BC"/>
    <w:rsid w:val="00DE7A68"/>
    <w:rsid w:val="00DF0DC9"/>
    <w:rsid w:val="00DF14D2"/>
    <w:rsid w:val="00DF32C5"/>
    <w:rsid w:val="00DF3F51"/>
    <w:rsid w:val="00DF41E7"/>
    <w:rsid w:val="00DF44F5"/>
    <w:rsid w:val="00DF4BE0"/>
    <w:rsid w:val="00DF57AF"/>
    <w:rsid w:val="00DF5D8E"/>
    <w:rsid w:val="00DF605B"/>
    <w:rsid w:val="00DF7B9E"/>
    <w:rsid w:val="00DF7FB7"/>
    <w:rsid w:val="00E012AD"/>
    <w:rsid w:val="00E0156E"/>
    <w:rsid w:val="00E01AE9"/>
    <w:rsid w:val="00E01B46"/>
    <w:rsid w:val="00E02863"/>
    <w:rsid w:val="00E02B4A"/>
    <w:rsid w:val="00E03355"/>
    <w:rsid w:val="00E036C3"/>
    <w:rsid w:val="00E04477"/>
    <w:rsid w:val="00E04C2E"/>
    <w:rsid w:val="00E05262"/>
    <w:rsid w:val="00E05CB3"/>
    <w:rsid w:val="00E06F9D"/>
    <w:rsid w:val="00E06FAD"/>
    <w:rsid w:val="00E0726E"/>
    <w:rsid w:val="00E07B8A"/>
    <w:rsid w:val="00E07EAD"/>
    <w:rsid w:val="00E1028B"/>
    <w:rsid w:val="00E105F4"/>
    <w:rsid w:val="00E13237"/>
    <w:rsid w:val="00E134B3"/>
    <w:rsid w:val="00E14219"/>
    <w:rsid w:val="00E14819"/>
    <w:rsid w:val="00E15587"/>
    <w:rsid w:val="00E15856"/>
    <w:rsid w:val="00E1648B"/>
    <w:rsid w:val="00E17C67"/>
    <w:rsid w:val="00E20137"/>
    <w:rsid w:val="00E20959"/>
    <w:rsid w:val="00E209E0"/>
    <w:rsid w:val="00E22733"/>
    <w:rsid w:val="00E23209"/>
    <w:rsid w:val="00E23EAA"/>
    <w:rsid w:val="00E24072"/>
    <w:rsid w:val="00E24445"/>
    <w:rsid w:val="00E24A9B"/>
    <w:rsid w:val="00E24E1B"/>
    <w:rsid w:val="00E26251"/>
    <w:rsid w:val="00E265A2"/>
    <w:rsid w:val="00E26D51"/>
    <w:rsid w:val="00E2790E"/>
    <w:rsid w:val="00E30398"/>
    <w:rsid w:val="00E3051A"/>
    <w:rsid w:val="00E3118E"/>
    <w:rsid w:val="00E31E38"/>
    <w:rsid w:val="00E31F4B"/>
    <w:rsid w:val="00E3248C"/>
    <w:rsid w:val="00E3426C"/>
    <w:rsid w:val="00E35D48"/>
    <w:rsid w:val="00E36275"/>
    <w:rsid w:val="00E36538"/>
    <w:rsid w:val="00E4028C"/>
    <w:rsid w:val="00E40CA0"/>
    <w:rsid w:val="00E415AE"/>
    <w:rsid w:val="00E4165F"/>
    <w:rsid w:val="00E41BFD"/>
    <w:rsid w:val="00E422E9"/>
    <w:rsid w:val="00E429B2"/>
    <w:rsid w:val="00E43EF5"/>
    <w:rsid w:val="00E44EC8"/>
    <w:rsid w:val="00E44FA4"/>
    <w:rsid w:val="00E45BA6"/>
    <w:rsid w:val="00E466A8"/>
    <w:rsid w:val="00E467E8"/>
    <w:rsid w:val="00E50C6C"/>
    <w:rsid w:val="00E51594"/>
    <w:rsid w:val="00E516DC"/>
    <w:rsid w:val="00E53A77"/>
    <w:rsid w:val="00E54305"/>
    <w:rsid w:val="00E54EB7"/>
    <w:rsid w:val="00E54EE0"/>
    <w:rsid w:val="00E56648"/>
    <w:rsid w:val="00E56945"/>
    <w:rsid w:val="00E6167A"/>
    <w:rsid w:val="00E62E00"/>
    <w:rsid w:val="00E630B0"/>
    <w:rsid w:val="00E6335E"/>
    <w:rsid w:val="00E64426"/>
    <w:rsid w:val="00E64905"/>
    <w:rsid w:val="00E654F2"/>
    <w:rsid w:val="00E656DC"/>
    <w:rsid w:val="00E657B1"/>
    <w:rsid w:val="00E65B3C"/>
    <w:rsid w:val="00E66FEE"/>
    <w:rsid w:val="00E72C93"/>
    <w:rsid w:val="00E73C6E"/>
    <w:rsid w:val="00E73F95"/>
    <w:rsid w:val="00E7562C"/>
    <w:rsid w:val="00E76F49"/>
    <w:rsid w:val="00E779C3"/>
    <w:rsid w:val="00E80E79"/>
    <w:rsid w:val="00E814AF"/>
    <w:rsid w:val="00E82D6C"/>
    <w:rsid w:val="00E82FCC"/>
    <w:rsid w:val="00E84781"/>
    <w:rsid w:val="00E848C0"/>
    <w:rsid w:val="00E84C63"/>
    <w:rsid w:val="00E851AE"/>
    <w:rsid w:val="00E85BA4"/>
    <w:rsid w:val="00E86003"/>
    <w:rsid w:val="00E866CA"/>
    <w:rsid w:val="00E86F61"/>
    <w:rsid w:val="00E87DAF"/>
    <w:rsid w:val="00E91B0E"/>
    <w:rsid w:val="00E92414"/>
    <w:rsid w:val="00E92894"/>
    <w:rsid w:val="00E932C4"/>
    <w:rsid w:val="00E933B7"/>
    <w:rsid w:val="00E945B0"/>
    <w:rsid w:val="00E95379"/>
    <w:rsid w:val="00E96942"/>
    <w:rsid w:val="00E96C8F"/>
    <w:rsid w:val="00E9760C"/>
    <w:rsid w:val="00E976EE"/>
    <w:rsid w:val="00EA0B7B"/>
    <w:rsid w:val="00EA120D"/>
    <w:rsid w:val="00EA144F"/>
    <w:rsid w:val="00EA17B5"/>
    <w:rsid w:val="00EA3424"/>
    <w:rsid w:val="00EA45E1"/>
    <w:rsid w:val="00EA4A52"/>
    <w:rsid w:val="00EA529D"/>
    <w:rsid w:val="00EA5A35"/>
    <w:rsid w:val="00EA6253"/>
    <w:rsid w:val="00EA64BF"/>
    <w:rsid w:val="00EA7291"/>
    <w:rsid w:val="00EA74B2"/>
    <w:rsid w:val="00EB0176"/>
    <w:rsid w:val="00EB0754"/>
    <w:rsid w:val="00EB4752"/>
    <w:rsid w:val="00EB4A7A"/>
    <w:rsid w:val="00EB58C8"/>
    <w:rsid w:val="00EB5AEB"/>
    <w:rsid w:val="00EB5E7E"/>
    <w:rsid w:val="00EB653D"/>
    <w:rsid w:val="00EB656F"/>
    <w:rsid w:val="00EB7D9A"/>
    <w:rsid w:val="00EC0C24"/>
    <w:rsid w:val="00EC1470"/>
    <w:rsid w:val="00EC1D30"/>
    <w:rsid w:val="00EC1D59"/>
    <w:rsid w:val="00EC1FF9"/>
    <w:rsid w:val="00EC2091"/>
    <w:rsid w:val="00EC26D9"/>
    <w:rsid w:val="00EC48A7"/>
    <w:rsid w:val="00EC4EFE"/>
    <w:rsid w:val="00EC598F"/>
    <w:rsid w:val="00EC59DE"/>
    <w:rsid w:val="00EC645F"/>
    <w:rsid w:val="00EC6492"/>
    <w:rsid w:val="00EC685E"/>
    <w:rsid w:val="00EC77FC"/>
    <w:rsid w:val="00ED04AA"/>
    <w:rsid w:val="00ED09DF"/>
    <w:rsid w:val="00ED0F7B"/>
    <w:rsid w:val="00ED173E"/>
    <w:rsid w:val="00ED4551"/>
    <w:rsid w:val="00ED4A98"/>
    <w:rsid w:val="00ED5AF8"/>
    <w:rsid w:val="00ED5C62"/>
    <w:rsid w:val="00ED7114"/>
    <w:rsid w:val="00ED725C"/>
    <w:rsid w:val="00EE0626"/>
    <w:rsid w:val="00EE094E"/>
    <w:rsid w:val="00EE23D2"/>
    <w:rsid w:val="00EE267F"/>
    <w:rsid w:val="00EE3162"/>
    <w:rsid w:val="00EE38C8"/>
    <w:rsid w:val="00EE403B"/>
    <w:rsid w:val="00EE547C"/>
    <w:rsid w:val="00EE58B3"/>
    <w:rsid w:val="00EE7F99"/>
    <w:rsid w:val="00EF0D64"/>
    <w:rsid w:val="00EF0FC2"/>
    <w:rsid w:val="00EF24B7"/>
    <w:rsid w:val="00EF2613"/>
    <w:rsid w:val="00EF26CD"/>
    <w:rsid w:val="00EF2AA7"/>
    <w:rsid w:val="00EF3258"/>
    <w:rsid w:val="00EF32AC"/>
    <w:rsid w:val="00EF54F6"/>
    <w:rsid w:val="00EF56CA"/>
    <w:rsid w:val="00EF5833"/>
    <w:rsid w:val="00EF5FB8"/>
    <w:rsid w:val="00EF786F"/>
    <w:rsid w:val="00EF7ECC"/>
    <w:rsid w:val="00EF7F6B"/>
    <w:rsid w:val="00EF7FB3"/>
    <w:rsid w:val="00F005B3"/>
    <w:rsid w:val="00F009B0"/>
    <w:rsid w:val="00F011F2"/>
    <w:rsid w:val="00F01CD2"/>
    <w:rsid w:val="00F029C2"/>
    <w:rsid w:val="00F02A1B"/>
    <w:rsid w:val="00F03C86"/>
    <w:rsid w:val="00F07B31"/>
    <w:rsid w:val="00F10102"/>
    <w:rsid w:val="00F10963"/>
    <w:rsid w:val="00F113A2"/>
    <w:rsid w:val="00F116E0"/>
    <w:rsid w:val="00F12271"/>
    <w:rsid w:val="00F12450"/>
    <w:rsid w:val="00F13BEA"/>
    <w:rsid w:val="00F14518"/>
    <w:rsid w:val="00F1507B"/>
    <w:rsid w:val="00F179BF"/>
    <w:rsid w:val="00F20D2D"/>
    <w:rsid w:val="00F215C3"/>
    <w:rsid w:val="00F21B6C"/>
    <w:rsid w:val="00F23BC3"/>
    <w:rsid w:val="00F23EDB"/>
    <w:rsid w:val="00F23FD7"/>
    <w:rsid w:val="00F244DA"/>
    <w:rsid w:val="00F24678"/>
    <w:rsid w:val="00F247E8"/>
    <w:rsid w:val="00F249AB"/>
    <w:rsid w:val="00F249FA"/>
    <w:rsid w:val="00F251EE"/>
    <w:rsid w:val="00F25CA0"/>
    <w:rsid w:val="00F25CBE"/>
    <w:rsid w:val="00F3138E"/>
    <w:rsid w:val="00F32183"/>
    <w:rsid w:val="00F323AE"/>
    <w:rsid w:val="00F32AD1"/>
    <w:rsid w:val="00F33505"/>
    <w:rsid w:val="00F33B93"/>
    <w:rsid w:val="00F33DC9"/>
    <w:rsid w:val="00F34B02"/>
    <w:rsid w:val="00F36EAE"/>
    <w:rsid w:val="00F412E9"/>
    <w:rsid w:val="00F4361A"/>
    <w:rsid w:val="00F439F1"/>
    <w:rsid w:val="00F43E86"/>
    <w:rsid w:val="00F44066"/>
    <w:rsid w:val="00F44EC6"/>
    <w:rsid w:val="00F45B86"/>
    <w:rsid w:val="00F46975"/>
    <w:rsid w:val="00F469C5"/>
    <w:rsid w:val="00F46AB4"/>
    <w:rsid w:val="00F46EA2"/>
    <w:rsid w:val="00F4703D"/>
    <w:rsid w:val="00F47349"/>
    <w:rsid w:val="00F50122"/>
    <w:rsid w:val="00F50282"/>
    <w:rsid w:val="00F514D6"/>
    <w:rsid w:val="00F51DD3"/>
    <w:rsid w:val="00F51F38"/>
    <w:rsid w:val="00F51FAD"/>
    <w:rsid w:val="00F53ED0"/>
    <w:rsid w:val="00F541CC"/>
    <w:rsid w:val="00F54E79"/>
    <w:rsid w:val="00F55457"/>
    <w:rsid w:val="00F55F1F"/>
    <w:rsid w:val="00F564C4"/>
    <w:rsid w:val="00F56ADA"/>
    <w:rsid w:val="00F6098F"/>
    <w:rsid w:val="00F6123D"/>
    <w:rsid w:val="00F617F9"/>
    <w:rsid w:val="00F61A90"/>
    <w:rsid w:val="00F62025"/>
    <w:rsid w:val="00F64571"/>
    <w:rsid w:val="00F6472A"/>
    <w:rsid w:val="00F65CA5"/>
    <w:rsid w:val="00F65E41"/>
    <w:rsid w:val="00F66CCD"/>
    <w:rsid w:val="00F66F84"/>
    <w:rsid w:val="00F67822"/>
    <w:rsid w:val="00F67A7A"/>
    <w:rsid w:val="00F705FD"/>
    <w:rsid w:val="00F70BD5"/>
    <w:rsid w:val="00F71DA2"/>
    <w:rsid w:val="00F727E5"/>
    <w:rsid w:val="00F73156"/>
    <w:rsid w:val="00F73496"/>
    <w:rsid w:val="00F73CC6"/>
    <w:rsid w:val="00F7484F"/>
    <w:rsid w:val="00F74AC9"/>
    <w:rsid w:val="00F76001"/>
    <w:rsid w:val="00F771E1"/>
    <w:rsid w:val="00F77C6A"/>
    <w:rsid w:val="00F80250"/>
    <w:rsid w:val="00F82B97"/>
    <w:rsid w:val="00F82E86"/>
    <w:rsid w:val="00F82F7C"/>
    <w:rsid w:val="00F8344A"/>
    <w:rsid w:val="00F84994"/>
    <w:rsid w:val="00F85D83"/>
    <w:rsid w:val="00F86709"/>
    <w:rsid w:val="00F86B1F"/>
    <w:rsid w:val="00F879C2"/>
    <w:rsid w:val="00F87D40"/>
    <w:rsid w:val="00F90915"/>
    <w:rsid w:val="00F968E2"/>
    <w:rsid w:val="00F96D15"/>
    <w:rsid w:val="00FA066C"/>
    <w:rsid w:val="00FA06E6"/>
    <w:rsid w:val="00FA0BD3"/>
    <w:rsid w:val="00FA2D04"/>
    <w:rsid w:val="00FA2EEA"/>
    <w:rsid w:val="00FA3693"/>
    <w:rsid w:val="00FA3B16"/>
    <w:rsid w:val="00FA4189"/>
    <w:rsid w:val="00FA5622"/>
    <w:rsid w:val="00FA5CA8"/>
    <w:rsid w:val="00FA64F8"/>
    <w:rsid w:val="00FA7305"/>
    <w:rsid w:val="00FA738E"/>
    <w:rsid w:val="00FA76CE"/>
    <w:rsid w:val="00FB10AD"/>
    <w:rsid w:val="00FB12C5"/>
    <w:rsid w:val="00FB1464"/>
    <w:rsid w:val="00FB228D"/>
    <w:rsid w:val="00FB4902"/>
    <w:rsid w:val="00FB5800"/>
    <w:rsid w:val="00FB5A24"/>
    <w:rsid w:val="00FB62AE"/>
    <w:rsid w:val="00FB65EB"/>
    <w:rsid w:val="00FB67A8"/>
    <w:rsid w:val="00FB6C63"/>
    <w:rsid w:val="00FB79BF"/>
    <w:rsid w:val="00FB7EC3"/>
    <w:rsid w:val="00FC0B27"/>
    <w:rsid w:val="00FC16C2"/>
    <w:rsid w:val="00FC2EFD"/>
    <w:rsid w:val="00FC4789"/>
    <w:rsid w:val="00FC4B65"/>
    <w:rsid w:val="00FC4DCC"/>
    <w:rsid w:val="00FC4DE8"/>
    <w:rsid w:val="00FC5144"/>
    <w:rsid w:val="00FC54D2"/>
    <w:rsid w:val="00FC7878"/>
    <w:rsid w:val="00FC7A85"/>
    <w:rsid w:val="00FD057A"/>
    <w:rsid w:val="00FD0874"/>
    <w:rsid w:val="00FD14B3"/>
    <w:rsid w:val="00FD4238"/>
    <w:rsid w:val="00FD450C"/>
    <w:rsid w:val="00FD4BEC"/>
    <w:rsid w:val="00FD58B8"/>
    <w:rsid w:val="00FD7475"/>
    <w:rsid w:val="00FD7517"/>
    <w:rsid w:val="00FD77D2"/>
    <w:rsid w:val="00FD7DD0"/>
    <w:rsid w:val="00FE001E"/>
    <w:rsid w:val="00FE01FC"/>
    <w:rsid w:val="00FE028B"/>
    <w:rsid w:val="00FE033C"/>
    <w:rsid w:val="00FE076E"/>
    <w:rsid w:val="00FE0CC7"/>
    <w:rsid w:val="00FE17AB"/>
    <w:rsid w:val="00FE1840"/>
    <w:rsid w:val="00FE254B"/>
    <w:rsid w:val="00FE2781"/>
    <w:rsid w:val="00FE27B4"/>
    <w:rsid w:val="00FE2DB7"/>
    <w:rsid w:val="00FE2E7F"/>
    <w:rsid w:val="00FE340C"/>
    <w:rsid w:val="00FE3762"/>
    <w:rsid w:val="00FE396E"/>
    <w:rsid w:val="00FE472B"/>
    <w:rsid w:val="00FE7454"/>
    <w:rsid w:val="00FE75BA"/>
    <w:rsid w:val="00FE79DF"/>
    <w:rsid w:val="00FE7BB5"/>
    <w:rsid w:val="00FF07AF"/>
    <w:rsid w:val="00FF0A4F"/>
    <w:rsid w:val="00FF1F0A"/>
    <w:rsid w:val="00FF2536"/>
    <w:rsid w:val="00FF25D8"/>
    <w:rsid w:val="00FF2660"/>
    <w:rsid w:val="00FF5510"/>
    <w:rsid w:val="00FF5963"/>
    <w:rsid w:val="00FF6128"/>
    <w:rsid w:val="00FF6377"/>
    <w:rsid w:val="00FF6F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A104"/>
  <w15:docId w15:val="{7C57D6BA-4471-48FC-BCC5-EF3337DE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E8"/>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34"/>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link w:val="JUDGMENTNUMBEREDChar"/>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 w:type="paragraph" w:customStyle="1" w:styleId="Default">
    <w:name w:val="Default"/>
    <w:rsid w:val="005A4B6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33029"/>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5EF3"/>
    <w:rPr>
      <w:color w:val="0000FF"/>
      <w:u w:val="single"/>
    </w:rPr>
  </w:style>
  <w:style w:type="paragraph" w:customStyle="1" w:styleId="FootnoteText1">
    <w:name w:val="Footnote Text1"/>
    <w:basedOn w:val="Normal"/>
    <w:qFormat/>
    <w:rsid w:val="00964CF5"/>
    <w:pPr>
      <w:spacing w:after="120" w:line="240" w:lineRule="auto"/>
    </w:pPr>
    <w:rPr>
      <w:sz w:val="20"/>
      <w:szCs w:val="22"/>
    </w:rPr>
  </w:style>
  <w:style w:type="paragraph" w:customStyle="1" w:styleId="QUOTEINFOOTNOTE">
    <w:name w:val="QUOTE IN FOOTNOTE"/>
    <w:basedOn w:val="FootnoteText1"/>
    <w:next w:val="FootnoteText1"/>
    <w:qFormat/>
    <w:rsid w:val="00964CF5"/>
    <w:pPr>
      <w:ind w:left="720" w:right="720"/>
    </w:pPr>
  </w:style>
  <w:style w:type="character" w:customStyle="1" w:styleId="JUDGMENTNUMBEREDChar">
    <w:name w:val="JUDGMENT NUMBERED Char"/>
    <w:basedOn w:val="DefaultParagraphFont"/>
    <w:link w:val="JUDGMENTNUMBERED"/>
    <w:locked/>
    <w:rsid w:val="00964CF5"/>
    <w:rPr>
      <w:rFonts w:ascii="Arial" w:eastAsia="Calibri" w:hAnsi="Arial" w:cs="Times New Roman"/>
      <w:color w:val="000000"/>
      <w:sz w:val="24"/>
      <w14:scene3d>
        <w14:camera w14:prst="orthographicFront"/>
        <w14:lightRig w14:rig="threePt" w14:dir="t">
          <w14:rot w14:lat="0" w14:lon="0" w14:rev="0"/>
        </w14:lightRig>
      </w14:scene3d>
    </w:rPr>
  </w:style>
  <w:style w:type="paragraph" w:customStyle="1" w:styleId="QUOTATION">
    <w:name w:val="QUOTATION"/>
    <w:basedOn w:val="Normal"/>
    <w:uiPriority w:val="99"/>
    <w:rsid w:val="005044EB"/>
    <w:pPr>
      <w:ind w:left="720" w:right="720"/>
    </w:pPr>
    <w:rPr>
      <w:sz w:val="22"/>
      <w:szCs w:val="22"/>
      <w:lang w:eastAsia="en-ZA"/>
    </w:rPr>
  </w:style>
  <w:style w:type="paragraph" w:customStyle="1" w:styleId="JUGMENTNUMBERED">
    <w:name w:val="JUGMENT NUMBERED"/>
    <w:basedOn w:val="Normal"/>
    <w:uiPriority w:val="99"/>
    <w:rsid w:val="005044EB"/>
    <w:pPr>
      <w:numPr>
        <w:numId w:val="35"/>
      </w:numPr>
      <w:spacing w:line="480" w:lineRule="auto"/>
    </w:pPr>
    <w:rPr>
      <w:sz w:val="26"/>
      <w:szCs w:val="26"/>
      <w:lang w:eastAsia="en-ZA"/>
    </w:rPr>
  </w:style>
  <w:style w:type="paragraph" w:customStyle="1" w:styleId="JUDGMENTCONTINUED">
    <w:name w:val="JUDGMENT CONTINUED"/>
    <w:basedOn w:val="Normal"/>
    <w:link w:val="JUDGMENTCONTINUEDChar"/>
    <w:uiPriority w:val="99"/>
    <w:rsid w:val="005044EB"/>
    <w:pPr>
      <w:spacing w:line="480" w:lineRule="auto"/>
    </w:pPr>
    <w:rPr>
      <w:sz w:val="26"/>
      <w:szCs w:val="26"/>
      <w:lang w:eastAsia="en-ZA"/>
    </w:rPr>
  </w:style>
  <w:style w:type="character" w:customStyle="1" w:styleId="JUDGMENTCONTINUEDChar">
    <w:name w:val="JUDGMENT CONTINUED Char"/>
    <w:basedOn w:val="DefaultParagraphFont"/>
    <w:link w:val="JUDGMENTCONTINUED"/>
    <w:uiPriority w:val="99"/>
    <w:rsid w:val="005044EB"/>
    <w:rPr>
      <w:rFonts w:ascii="Times New Roman" w:eastAsia="Times New Roman" w:hAnsi="Times New Roman" w:cs="Times New Roman"/>
      <w:sz w:val="26"/>
      <w:szCs w:val="26"/>
      <w:lang w:eastAsia="en-ZA"/>
    </w:rPr>
  </w:style>
  <w:style w:type="paragraph" w:styleId="BodyText">
    <w:name w:val="Body Text"/>
    <w:basedOn w:val="Normal"/>
    <w:link w:val="BodyTextChar"/>
    <w:uiPriority w:val="99"/>
    <w:unhideWhenUsed/>
    <w:rsid w:val="00544C81"/>
    <w:pPr>
      <w:spacing w:after="120"/>
    </w:pPr>
  </w:style>
  <w:style w:type="character" w:customStyle="1" w:styleId="BodyTextChar">
    <w:name w:val="Body Text Char"/>
    <w:basedOn w:val="DefaultParagraphFont"/>
    <w:link w:val="BodyText"/>
    <w:uiPriority w:val="99"/>
    <w:rsid w:val="00544C81"/>
    <w:rPr>
      <w:rFonts w:ascii="Times New Roman" w:eastAsia="Times New Roman" w:hAnsi="Times New Roman" w:cs="Times New Roman"/>
      <w:sz w:val="24"/>
      <w:szCs w:val="24"/>
    </w:rPr>
  </w:style>
  <w:style w:type="character" w:customStyle="1" w:styleId="Bodytext0">
    <w:name w:val="Body text_"/>
    <w:basedOn w:val="DefaultParagraphFont"/>
    <w:uiPriority w:val="99"/>
    <w:rsid w:val="00544C81"/>
    <w:rPr>
      <w:rFonts w:cs="Times New Roman"/>
      <w:sz w:val="23"/>
      <w:szCs w:val="23"/>
      <w:lang w:bidi="hi-IN"/>
    </w:rPr>
  </w:style>
  <w:style w:type="character" w:customStyle="1" w:styleId="BodytextItalic">
    <w:name w:val="Body text + Italic"/>
    <w:basedOn w:val="Bodytext0"/>
    <w:uiPriority w:val="99"/>
    <w:rsid w:val="00544C81"/>
    <w:rPr>
      <w:rFonts w:cs="Times New Roman"/>
      <w:i/>
      <w:iCs/>
      <w:sz w:val="23"/>
      <w:szCs w:val="2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957">
      <w:bodyDiv w:val="1"/>
      <w:marLeft w:val="0"/>
      <w:marRight w:val="0"/>
      <w:marTop w:val="0"/>
      <w:marBottom w:val="0"/>
      <w:divBdr>
        <w:top w:val="none" w:sz="0" w:space="0" w:color="auto"/>
        <w:left w:val="none" w:sz="0" w:space="0" w:color="auto"/>
        <w:bottom w:val="none" w:sz="0" w:space="0" w:color="auto"/>
        <w:right w:val="none" w:sz="0" w:space="0" w:color="auto"/>
      </w:divBdr>
    </w:div>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47120492">
      <w:bodyDiv w:val="1"/>
      <w:marLeft w:val="0"/>
      <w:marRight w:val="0"/>
      <w:marTop w:val="0"/>
      <w:marBottom w:val="0"/>
      <w:divBdr>
        <w:top w:val="none" w:sz="0" w:space="0" w:color="auto"/>
        <w:left w:val="none" w:sz="0" w:space="0" w:color="auto"/>
        <w:bottom w:val="none" w:sz="0" w:space="0" w:color="auto"/>
        <w:right w:val="none" w:sz="0" w:space="0" w:color="auto"/>
      </w:divBdr>
    </w:div>
    <w:div w:id="98183692">
      <w:bodyDiv w:val="1"/>
      <w:marLeft w:val="0"/>
      <w:marRight w:val="0"/>
      <w:marTop w:val="0"/>
      <w:marBottom w:val="0"/>
      <w:divBdr>
        <w:top w:val="none" w:sz="0" w:space="0" w:color="auto"/>
        <w:left w:val="none" w:sz="0" w:space="0" w:color="auto"/>
        <w:bottom w:val="none" w:sz="0" w:space="0" w:color="auto"/>
        <w:right w:val="none" w:sz="0" w:space="0" w:color="auto"/>
      </w:divBdr>
    </w:div>
    <w:div w:id="149249578">
      <w:bodyDiv w:val="1"/>
      <w:marLeft w:val="0"/>
      <w:marRight w:val="0"/>
      <w:marTop w:val="0"/>
      <w:marBottom w:val="0"/>
      <w:divBdr>
        <w:top w:val="none" w:sz="0" w:space="0" w:color="auto"/>
        <w:left w:val="none" w:sz="0" w:space="0" w:color="auto"/>
        <w:bottom w:val="none" w:sz="0" w:space="0" w:color="auto"/>
        <w:right w:val="none" w:sz="0" w:space="0" w:color="auto"/>
      </w:divBdr>
      <w:divsChild>
        <w:div w:id="1281759171">
          <w:marLeft w:val="0"/>
          <w:marRight w:val="0"/>
          <w:marTop w:val="240"/>
          <w:marBottom w:val="0"/>
          <w:divBdr>
            <w:top w:val="none" w:sz="0" w:space="0" w:color="auto"/>
            <w:left w:val="none" w:sz="0" w:space="0" w:color="auto"/>
            <w:bottom w:val="none" w:sz="0" w:space="0" w:color="auto"/>
            <w:right w:val="none" w:sz="0" w:space="0" w:color="auto"/>
          </w:divBdr>
        </w:div>
        <w:div w:id="364327386">
          <w:marLeft w:val="0"/>
          <w:marRight w:val="0"/>
          <w:marTop w:val="120"/>
          <w:marBottom w:val="0"/>
          <w:divBdr>
            <w:top w:val="none" w:sz="0" w:space="0" w:color="auto"/>
            <w:left w:val="none" w:sz="0" w:space="0" w:color="auto"/>
            <w:bottom w:val="none" w:sz="0" w:space="0" w:color="auto"/>
            <w:right w:val="none" w:sz="0" w:space="0" w:color="auto"/>
          </w:divBdr>
        </w:div>
        <w:div w:id="2137866225">
          <w:marLeft w:val="0"/>
          <w:marRight w:val="0"/>
          <w:marTop w:val="60"/>
          <w:marBottom w:val="0"/>
          <w:divBdr>
            <w:top w:val="none" w:sz="0" w:space="0" w:color="auto"/>
            <w:left w:val="none" w:sz="0" w:space="0" w:color="auto"/>
            <w:bottom w:val="none" w:sz="0" w:space="0" w:color="auto"/>
            <w:right w:val="none" w:sz="0" w:space="0" w:color="auto"/>
          </w:divBdr>
        </w:div>
        <w:div w:id="669213308">
          <w:marLeft w:val="0"/>
          <w:marRight w:val="0"/>
          <w:marTop w:val="60"/>
          <w:marBottom w:val="0"/>
          <w:divBdr>
            <w:top w:val="none" w:sz="0" w:space="0" w:color="auto"/>
            <w:left w:val="none" w:sz="0" w:space="0" w:color="auto"/>
            <w:bottom w:val="none" w:sz="0" w:space="0" w:color="auto"/>
            <w:right w:val="none" w:sz="0" w:space="0" w:color="auto"/>
          </w:divBdr>
        </w:div>
        <w:div w:id="1101031508">
          <w:marLeft w:val="0"/>
          <w:marRight w:val="0"/>
          <w:marTop w:val="60"/>
          <w:marBottom w:val="0"/>
          <w:divBdr>
            <w:top w:val="none" w:sz="0" w:space="0" w:color="auto"/>
            <w:left w:val="none" w:sz="0" w:space="0" w:color="auto"/>
            <w:bottom w:val="none" w:sz="0" w:space="0" w:color="auto"/>
            <w:right w:val="none" w:sz="0" w:space="0" w:color="auto"/>
          </w:divBdr>
        </w:div>
        <w:div w:id="2110469577">
          <w:marLeft w:val="0"/>
          <w:marRight w:val="0"/>
          <w:marTop w:val="120"/>
          <w:marBottom w:val="0"/>
          <w:divBdr>
            <w:top w:val="none" w:sz="0" w:space="0" w:color="auto"/>
            <w:left w:val="none" w:sz="0" w:space="0" w:color="auto"/>
            <w:bottom w:val="none" w:sz="0" w:space="0" w:color="auto"/>
            <w:right w:val="none" w:sz="0" w:space="0" w:color="auto"/>
          </w:divBdr>
        </w:div>
        <w:div w:id="2024241794">
          <w:marLeft w:val="0"/>
          <w:marRight w:val="0"/>
          <w:marTop w:val="120"/>
          <w:marBottom w:val="0"/>
          <w:divBdr>
            <w:top w:val="none" w:sz="0" w:space="0" w:color="auto"/>
            <w:left w:val="none" w:sz="0" w:space="0" w:color="auto"/>
            <w:bottom w:val="none" w:sz="0" w:space="0" w:color="auto"/>
            <w:right w:val="none" w:sz="0" w:space="0" w:color="auto"/>
          </w:divBdr>
        </w:div>
        <w:div w:id="2128501251">
          <w:marLeft w:val="1134"/>
          <w:marRight w:val="0"/>
          <w:marTop w:val="60"/>
          <w:marBottom w:val="0"/>
          <w:divBdr>
            <w:top w:val="none" w:sz="0" w:space="0" w:color="auto"/>
            <w:left w:val="none" w:sz="0" w:space="0" w:color="auto"/>
            <w:bottom w:val="none" w:sz="0" w:space="0" w:color="auto"/>
            <w:right w:val="none" w:sz="0" w:space="0" w:color="auto"/>
          </w:divBdr>
        </w:div>
        <w:div w:id="965815416">
          <w:marLeft w:val="1134"/>
          <w:marRight w:val="0"/>
          <w:marTop w:val="60"/>
          <w:marBottom w:val="0"/>
          <w:divBdr>
            <w:top w:val="none" w:sz="0" w:space="0" w:color="auto"/>
            <w:left w:val="none" w:sz="0" w:space="0" w:color="auto"/>
            <w:bottom w:val="none" w:sz="0" w:space="0" w:color="auto"/>
            <w:right w:val="none" w:sz="0" w:space="0" w:color="auto"/>
          </w:divBdr>
        </w:div>
        <w:div w:id="277369746">
          <w:marLeft w:val="0"/>
          <w:marRight w:val="0"/>
          <w:marTop w:val="120"/>
          <w:marBottom w:val="0"/>
          <w:divBdr>
            <w:top w:val="none" w:sz="0" w:space="0" w:color="auto"/>
            <w:left w:val="none" w:sz="0" w:space="0" w:color="auto"/>
            <w:bottom w:val="none" w:sz="0" w:space="0" w:color="auto"/>
            <w:right w:val="none" w:sz="0" w:space="0" w:color="auto"/>
          </w:divBdr>
        </w:div>
        <w:div w:id="464078941">
          <w:marLeft w:val="0"/>
          <w:marRight w:val="0"/>
          <w:marTop w:val="120"/>
          <w:marBottom w:val="0"/>
          <w:divBdr>
            <w:top w:val="none" w:sz="0" w:space="0" w:color="auto"/>
            <w:left w:val="none" w:sz="0" w:space="0" w:color="auto"/>
            <w:bottom w:val="none" w:sz="0" w:space="0" w:color="auto"/>
            <w:right w:val="none" w:sz="0" w:space="0" w:color="auto"/>
          </w:divBdr>
        </w:div>
        <w:div w:id="1151942740">
          <w:marLeft w:val="0"/>
          <w:marRight w:val="0"/>
          <w:marTop w:val="120"/>
          <w:marBottom w:val="0"/>
          <w:divBdr>
            <w:top w:val="none" w:sz="0" w:space="0" w:color="auto"/>
            <w:left w:val="none" w:sz="0" w:space="0" w:color="auto"/>
            <w:bottom w:val="none" w:sz="0" w:space="0" w:color="auto"/>
            <w:right w:val="none" w:sz="0" w:space="0" w:color="auto"/>
          </w:divBdr>
        </w:div>
        <w:div w:id="1777746551">
          <w:marLeft w:val="1134"/>
          <w:marRight w:val="0"/>
          <w:marTop w:val="60"/>
          <w:marBottom w:val="0"/>
          <w:divBdr>
            <w:top w:val="none" w:sz="0" w:space="0" w:color="auto"/>
            <w:left w:val="none" w:sz="0" w:space="0" w:color="auto"/>
            <w:bottom w:val="none" w:sz="0" w:space="0" w:color="auto"/>
            <w:right w:val="none" w:sz="0" w:space="0" w:color="auto"/>
          </w:divBdr>
        </w:div>
        <w:div w:id="2078429847">
          <w:marLeft w:val="1134"/>
          <w:marRight w:val="0"/>
          <w:marTop w:val="60"/>
          <w:marBottom w:val="0"/>
          <w:divBdr>
            <w:top w:val="none" w:sz="0" w:space="0" w:color="auto"/>
            <w:left w:val="none" w:sz="0" w:space="0" w:color="auto"/>
            <w:bottom w:val="none" w:sz="0" w:space="0" w:color="auto"/>
            <w:right w:val="none" w:sz="0" w:space="0" w:color="auto"/>
          </w:divBdr>
        </w:div>
        <w:div w:id="175463275">
          <w:marLeft w:val="1985"/>
          <w:marRight w:val="0"/>
          <w:marTop w:val="60"/>
          <w:marBottom w:val="0"/>
          <w:divBdr>
            <w:top w:val="none" w:sz="0" w:space="0" w:color="auto"/>
            <w:left w:val="none" w:sz="0" w:space="0" w:color="auto"/>
            <w:bottom w:val="none" w:sz="0" w:space="0" w:color="auto"/>
            <w:right w:val="none" w:sz="0" w:space="0" w:color="auto"/>
          </w:divBdr>
        </w:div>
        <w:div w:id="1076124876">
          <w:marLeft w:val="1985"/>
          <w:marRight w:val="0"/>
          <w:marTop w:val="60"/>
          <w:marBottom w:val="0"/>
          <w:divBdr>
            <w:top w:val="none" w:sz="0" w:space="0" w:color="auto"/>
            <w:left w:val="none" w:sz="0" w:space="0" w:color="auto"/>
            <w:bottom w:val="none" w:sz="0" w:space="0" w:color="auto"/>
            <w:right w:val="none" w:sz="0" w:space="0" w:color="auto"/>
          </w:divBdr>
        </w:div>
        <w:div w:id="296571257">
          <w:marLeft w:val="1985"/>
          <w:marRight w:val="0"/>
          <w:marTop w:val="60"/>
          <w:marBottom w:val="0"/>
          <w:divBdr>
            <w:top w:val="none" w:sz="0" w:space="0" w:color="auto"/>
            <w:left w:val="none" w:sz="0" w:space="0" w:color="auto"/>
            <w:bottom w:val="none" w:sz="0" w:space="0" w:color="auto"/>
            <w:right w:val="none" w:sz="0" w:space="0" w:color="auto"/>
          </w:divBdr>
        </w:div>
        <w:div w:id="919872673">
          <w:marLeft w:val="2580"/>
          <w:marRight w:val="0"/>
          <w:marTop w:val="60"/>
          <w:marBottom w:val="0"/>
          <w:divBdr>
            <w:top w:val="none" w:sz="0" w:space="0" w:color="auto"/>
            <w:left w:val="none" w:sz="0" w:space="0" w:color="auto"/>
            <w:bottom w:val="none" w:sz="0" w:space="0" w:color="auto"/>
            <w:right w:val="none" w:sz="0" w:space="0" w:color="auto"/>
          </w:divBdr>
        </w:div>
        <w:div w:id="1277327919">
          <w:marLeft w:val="2580"/>
          <w:marRight w:val="0"/>
          <w:marTop w:val="60"/>
          <w:marBottom w:val="0"/>
          <w:divBdr>
            <w:top w:val="none" w:sz="0" w:space="0" w:color="auto"/>
            <w:left w:val="none" w:sz="0" w:space="0" w:color="auto"/>
            <w:bottom w:val="none" w:sz="0" w:space="0" w:color="auto"/>
            <w:right w:val="none" w:sz="0" w:space="0" w:color="auto"/>
          </w:divBdr>
        </w:div>
        <w:div w:id="32654197">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223949852">
      <w:bodyDiv w:val="1"/>
      <w:marLeft w:val="0"/>
      <w:marRight w:val="0"/>
      <w:marTop w:val="0"/>
      <w:marBottom w:val="0"/>
      <w:divBdr>
        <w:top w:val="none" w:sz="0" w:space="0" w:color="auto"/>
        <w:left w:val="none" w:sz="0" w:space="0" w:color="auto"/>
        <w:bottom w:val="none" w:sz="0" w:space="0" w:color="auto"/>
        <w:right w:val="none" w:sz="0" w:space="0" w:color="auto"/>
      </w:divBdr>
    </w:div>
    <w:div w:id="252933376">
      <w:bodyDiv w:val="1"/>
      <w:marLeft w:val="0"/>
      <w:marRight w:val="0"/>
      <w:marTop w:val="0"/>
      <w:marBottom w:val="0"/>
      <w:divBdr>
        <w:top w:val="none" w:sz="0" w:space="0" w:color="auto"/>
        <w:left w:val="none" w:sz="0" w:space="0" w:color="auto"/>
        <w:bottom w:val="none" w:sz="0" w:space="0" w:color="auto"/>
        <w:right w:val="none" w:sz="0" w:space="0" w:color="auto"/>
      </w:divBdr>
    </w:div>
    <w:div w:id="262106004">
      <w:bodyDiv w:val="1"/>
      <w:marLeft w:val="0"/>
      <w:marRight w:val="0"/>
      <w:marTop w:val="0"/>
      <w:marBottom w:val="0"/>
      <w:divBdr>
        <w:top w:val="none" w:sz="0" w:space="0" w:color="auto"/>
        <w:left w:val="none" w:sz="0" w:space="0" w:color="auto"/>
        <w:bottom w:val="none" w:sz="0" w:space="0" w:color="auto"/>
        <w:right w:val="none" w:sz="0" w:space="0" w:color="auto"/>
      </w:divBdr>
    </w:div>
    <w:div w:id="359402965">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395861911">
      <w:bodyDiv w:val="1"/>
      <w:marLeft w:val="0"/>
      <w:marRight w:val="0"/>
      <w:marTop w:val="0"/>
      <w:marBottom w:val="0"/>
      <w:divBdr>
        <w:top w:val="none" w:sz="0" w:space="0" w:color="auto"/>
        <w:left w:val="none" w:sz="0" w:space="0" w:color="auto"/>
        <w:bottom w:val="none" w:sz="0" w:space="0" w:color="auto"/>
        <w:right w:val="none" w:sz="0" w:space="0" w:color="auto"/>
      </w:divBdr>
    </w:div>
    <w:div w:id="458494559">
      <w:bodyDiv w:val="1"/>
      <w:marLeft w:val="0"/>
      <w:marRight w:val="0"/>
      <w:marTop w:val="0"/>
      <w:marBottom w:val="0"/>
      <w:divBdr>
        <w:top w:val="none" w:sz="0" w:space="0" w:color="auto"/>
        <w:left w:val="none" w:sz="0" w:space="0" w:color="auto"/>
        <w:bottom w:val="none" w:sz="0" w:space="0" w:color="auto"/>
        <w:right w:val="none" w:sz="0" w:space="0" w:color="auto"/>
      </w:divBdr>
    </w:div>
    <w:div w:id="475149126">
      <w:bodyDiv w:val="1"/>
      <w:marLeft w:val="0"/>
      <w:marRight w:val="0"/>
      <w:marTop w:val="0"/>
      <w:marBottom w:val="0"/>
      <w:divBdr>
        <w:top w:val="none" w:sz="0" w:space="0" w:color="auto"/>
        <w:left w:val="none" w:sz="0" w:space="0" w:color="auto"/>
        <w:bottom w:val="none" w:sz="0" w:space="0" w:color="auto"/>
        <w:right w:val="none" w:sz="0" w:space="0" w:color="auto"/>
      </w:divBdr>
      <w:divsChild>
        <w:div w:id="28605231">
          <w:marLeft w:val="0"/>
          <w:marRight w:val="0"/>
          <w:marTop w:val="120"/>
          <w:marBottom w:val="0"/>
          <w:divBdr>
            <w:top w:val="none" w:sz="0" w:space="0" w:color="auto"/>
            <w:left w:val="none" w:sz="0" w:space="0" w:color="auto"/>
            <w:bottom w:val="none" w:sz="0" w:space="0" w:color="auto"/>
            <w:right w:val="none" w:sz="0" w:space="0" w:color="auto"/>
          </w:divBdr>
        </w:div>
        <w:div w:id="342248362">
          <w:marLeft w:val="0"/>
          <w:marRight w:val="0"/>
          <w:marTop w:val="240"/>
          <w:marBottom w:val="0"/>
          <w:divBdr>
            <w:top w:val="none" w:sz="0" w:space="0" w:color="auto"/>
            <w:left w:val="none" w:sz="0" w:space="0" w:color="auto"/>
            <w:bottom w:val="none" w:sz="0" w:space="0" w:color="auto"/>
            <w:right w:val="none" w:sz="0" w:space="0" w:color="auto"/>
          </w:divBdr>
        </w:div>
        <w:div w:id="1308586389">
          <w:marLeft w:val="0"/>
          <w:marRight w:val="0"/>
          <w:marTop w:val="120"/>
          <w:marBottom w:val="0"/>
          <w:divBdr>
            <w:top w:val="none" w:sz="0" w:space="0" w:color="auto"/>
            <w:left w:val="none" w:sz="0" w:space="0" w:color="auto"/>
            <w:bottom w:val="none" w:sz="0" w:space="0" w:color="auto"/>
            <w:right w:val="none" w:sz="0" w:space="0" w:color="auto"/>
          </w:divBdr>
        </w:div>
        <w:div w:id="1468425487">
          <w:marLeft w:val="0"/>
          <w:marRight w:val="0"/>
          <w:marTop w:val="120"/>
          <w:marBottom w:val="0"/>
          <w:divBdr>
            <w:top w:val="none" w:sz="0" w:space="0" w:color="auto"/>
            <w:left w:val="none" w:sz="0" w:space="0" w:color="auto"/>
            <w:bottom w:val="none" w:sz="0" w:space="0" w:color="auto"/>
            <w:right w:val="none" w:sz="0" w:space="0" w:color="auto"/>
          </w:divBdr>
        </w:div>
        <w:div w:id="1664552263">
          <w:marLeft w:val="0"/>
          <w:marRight w:val="0"/>
          <w:marTop w:val="120"/>
          <w:marBottom w:val="0"/>
          <w:divBdr>
            <w:top w:val="none" w:sz="0" w:space="0" w:color="auto"/>
            <w:left w:val="none" w:sz="0" w:space="0" w:color="auto"/>
            <w:bottom w:val="none" w:sz="0" w:space="0" w:color="auto"/>
            <w:right w:val="none" w:sz="0" w:space="0" w:color="auto"/>
          </w:divBdr>
        </w:div>
      </w:divsChild>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3819">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634874152">
      <w:bodyDiv w:val="1"/>
      <w:marLeft w:val="0"/>
      <w:marRight w:val="0"/>
      <w:marTop w:val="0"/>
      <w:marBottom w:val="0"/>
      <w:divBdr>
        <w:top w:val="none" w:sz="0" w:space="0" w:color="auto"/>
        <w:left w:val="none" w:sz="0" w:space="0" w:color="auto"/>
        <w:bottom w:val="none" w:sz="0" w:space="0" w:color="auto"/>
        <w:right w:val="none" w:sz="0" w:space="0" w:color="auto"/>
      </w:divBdr>
    </w:div>
    <w:div w:id="661740392">
      <w:bodyDiv w:val="1"/>
      <w:marLeft w:val="0"/>
      <w:marRight w:val="0"/>
      <w:marTop w:val="0"/>
      <w:marBottom w:val="0"/>
      <w:divBdr>
        <w:top w:val="none" w:sz="0" w:space="0" w:color="auto"/>
        <w:left w:val="none" w:sz="0" w:space="0" w:color="auto"/>
        <w:bottom w:val="none" w:sz="0" w:space="0" w:color="auto"/>
        <w:right w:val="none" w:sz="0" w:space="0" w:color="auto"/>
      </w:divBdr>
    </w:div>
    <w:div w:id="778376497">
      <w:bodyDiv w:val="1"/>
      <w:marLeft w:val="0"/>
      <w:marRight w:val="0"/>
      <w:marTop w:val="0"/>
      <w:marBottom w:val="0"/>
      <w:divBdr>
        <w:top w:val="none" w:sz="0" w:space="0" w:color="auto"/>
        <w:left w:val="none" w:sz="0" w:space="0" w:color="auto"/>
        <w:bottom w:val="none" w:sz="0" w:space="0" w:color="auto"/>
        <w:right w:val="none" w:sz="0" w:space="0" w:color="auto"/>
      </w:divBdr>
      <w:divsChild>
        <w:div w:id="681853991">
          <w:marLeft w:val="0"/>
          <w:marRight w:val="0"/>
          <w:marTop w:val="120"/>
          <w:marBottom w:val="0"/>
          <w:divBdr>
            <w:top w:val="none" w:sz="0" w:space="0" w:color="auto"/>
            <w:left w:val="none" w:sz="0" w:space="0" w:color="auto"/>
            <w:bottom w:val="none" w:sz="0" w:space="0" w:color="auto"/>
            <w:right w:val="none" w:sz="0" w:space="0" w:color="auto"/>
          </w:divBdr>
        </w:div>
        <w:div w:id="778062492">
          <w:marLeft w:val="0"/>
          <w:marRight w:val="0"/>
          <w:marTop w:val="120"/>
          <w:marBottom w:val="0"/>
          <w:divBdr>
            <w:top w:val="none" w:sz="0" w:space="0" w:color="auto"/>
            <w:left w:val="none" w:sz="0" w:space="0" w:color="auto"/>
            <w:bottom w:val="none" w:sz="0" w:space="0" w:color="auto"/>
            <w:right w:val="none" w:sz="0" w:space="0" w:color="auto"/>
          </w:divBdr>
        </w:div>
        <w:div w:id="906106406">
          <w:marLeft w:val="0"/>
          <w:marRight w:val="0"/>
          <w:marTop w:val="120"/>
          <w:marBottom w:val="0"/>
          <w:divBdr>
            <w:top w:val="none" w:sz="0" w:space="0" w:color="auto"/>
            <w:left w:val="none" w:sz="0" w:space="0" w:color="auto"/>
            <w:bottom w:val="none" w:sz="0" w:space="0" w:color="auto"/>
            <w:right w:val="none" w:sz="0" w:space="0" w:color="auto"/>
          </w:divBdr>
        </w:div>
        <w:div w:id="1318650311">
          <w:marLeft w:val="0"/>
          <w:marRight w:val="0"/>
          <w:marTop w:val="240"/>
          <w:marBottom w:val="0"/>
          <w:divBdr>
            <w:top w:val="none" w:sz="0" w:space="0" w:color="auto"/>
            <w:left w:val="none" w:sz="0" w:space="0" w:color="auto"/>
            <w:bottom w:val="none" w:sz="0" w:space="0" w:color="auto"/>
            <w:right w:val="none" w:sz="0" w:space="0" w:color="auto"/>
          </w:divBdr>
        </w:div>
        <w:div w:id="1471826453">
          <w:marLeft w:val="567"/>
          <w:marRight w:val="567"/>
          <w:marTop w:val="20"/>
          <w:marBottom w:val="20"/>
          <w:divBdr>
            <w:top w:val="none" w:sz="0" w:space="0" w:color="auto"/>
            <w:left w:val="none" w:sz="0" w:space="0" w:color="auto"/>
            <w:bottom w:val="none" w:sz="0" w:space="0" w:color="auto"/>
            <w:right w:val="none" w:sz="0" w:space="0" w:color="auto"/>
          </w:divBdr>
        </w:div>
      </w:divsChild>
    </w:div>
    <w:div w:id="809060442">
      <w:bodyDiv w:val="1"/>
      <w:marLeft w:val="0"/>
      <w:marRight w:val="0"/>
      <w:marTop w:val="0"/>
      <w:marBottom w:val="0"/>
      <w:divBdr>
        <w:top w:val="none" w:sz="0" w:space="0" w:color="auto"/>
        <w:left w:val="none" w:sz="0" w:space="0" w:color="auto"/>
        <w:bottom w:val="none" w:sz="0" w:space="0" w:color="auto"/>
        <w:right w:val="none" w:sz="0" w:space="0" w:color="auto"/>
      </w:divBdr>
    </w:div>
    <w:div w:id="825705614">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984361402">
      <w:bodyDiv w:val="1"/>
      <w:marLeft w:val="0"/>
      <w:marRight w:val="0"/>
      <w:marTop w:val="0"/>
      <w:marBottom w:val="0"/>
      <w:divBdr>
        <w:top w:val="none" w:sz="0" w:space="0" w:color="auto"/>
        <w:left w:val="none" w:sz="0" w:space="0" w:color="auto"/>
        <w:bottom w:val="none" w:sz="0" w:space="0" w:color="auto"/>
        <w:right w:val="none" w:sz="0" w:space="0" w:color="auto"/>
      </w:divBdr>
    </w:div>
    <w:div w:id="1104957953">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237516938">
      <w:bodyDiv w:val="1"/>
      <w:marLeft w:val="0"/>
      <w:marRight w:val="0"/>
      <w:marTop w:val="0"/>
      <w:marBottom w:val="0"/>
      <w:divBdr>
        <w:top w:val="none" w:sz="0" w:space="0" w:color="auto"/>
        <w:left w:val="none" w:sz="0" w:space="0" w:color="auto"/>
        <w:bottom w:val="none" w:sz="0" w:space="0" w:color="auto"/>
        <w:right w:val="none" w:sz="0" w:space="0" w:color="auto"/>
      </w:divBdr>
    </w:div>
    <w:div w:id="1239293951">
      <w:bodyDiv w:val="1"/>
      <w:marLeft w:val="0"/>
      <w:marRight w:val="0"/>
      <w:marTop w:val="0"/>
      <w:marBottom w:val="0"/>
      <w:divBdr>
        <w:top w:val="none" w:sz="0" w:space="0" w:color="auto"/>
        <w:left w:val="none" w:sz="0" w:space="0" w:color="auto"/>
        <w:bottom w:val="none" w:sz="0" w:space="0" w:color="auto"/>
        <w:right w:val="none" w:sz="0" w:space="0" w:color="auto"/>
      </w:divBdr>
    </w:div>
    <w:div w:id="1247685685">
      <w:bodyDiv w:val="1"/>
      <w:marLeft w:val="0"/>
      <w:marRight w:val="0"/>
      <w:marTop w:val="0"/>
      <w:marBottom w:val="0"/>
      <w:divBdr>
        <w:top w:val="none" w:sz="0" w:space="0" w:color="auto"/>
        <w:left w:val="none" w:sz="0" w:space="0" w:color="auto"/>
        <w:bottom w:val="none" w:sz="0" w:space="0" w:color="auto"/>
        <w:right w:val="none" w:sz="0" w:space="0" w:color="auto"/>
      </w:divBdr>
    </w:div>
    <w:div w:id="1249658957">
      <w:bodyDiv w:val="1"/>
      <w:marLeft w:val="0"/>
      <w:marRight w:val="0"/>
      <w:marTop w:val="0"/>
      <w:marBottom w:val="0"/>
      <w:divBdr>
        <w:top w:val="none" w:sz="0" w:space="0" w:color="auto"/>
        <w:left w:val="none" w:sz="0" w:space="0" w:color="auto"/>
        <w:bottom w:val="none" w:sz="0" w:space="0" w:color="auto"/>
        <w:right w:val="none" w:sz="0" w:space="0" w:color="auto"/>
      </w:divBdr>
      <w:divsChild>
        <w:div w:id="756556539">
          <w:marLeft w:val="0"/>
          <w:marRight w:val="0"/>
          <w:marTop w:val="240"/>
          <w:marBottom w:val="0"/>
          <w:divBdr>
            <w:top w:val="none" w:sz="0" w:space="0" w:color="auto"/>
            <w:left w:val="none" w:sz="0" w:space="0" w:color="auto"/>
            <w:bottom w:val="none" w:sz="0" w:space="0" w:color="auto"/>
            <w:right w:val="none" w:sz="0" w:space="0" w:color="auto"/>
          </w:divBdr>
        </w:div>
        <w:div w:id="468862857">
          <w:marLeft w:val="0"/>
          <w:marRight w:val="0"/>
          <w:marTop w:val="120"/>
          <w:marBottom w:val="0"/>
          <w:divBdr>
            <w:top w:val="none" w:sz="0" w:space="0" w:color="auto"/>
            <w:left w:val="none" w:sz="0" w:space="0" w:color="auto"/>
            <w:bottom w:val="none" w:sz="0" w:space="0" w:color="auto"/>
            <w:right w:val="none" w:sz="0" w:space="0" w:color="auto"/>
          </w:divBdr>
        </w:div>
        <w:div w:id="1689982914">
          <w:marLeft w:val="567"/>
          <w:marRight w:val="567"/>
          <w:marTop w:val="20"/>
          <w:marBottom w:val="20"/>
          <w:divBdr>
            <w:top w:val="none" w:sz="0" w:space="0" w:color="auto"/>
            <w:left w:val="none" w:sz="0" w:space="0" w:color="auto"/>
            <w:bottom w:val="none" w:sz="0" w:space="0" w:color="auto"/>
            <w:right w:val="none" w:sz="0" w:space="0" w:color="auto"/>
          </w:divBdr>
        </w:div>
        <w:div w:id="1849364043">
          <w:marLeft w:val="0"/>
          <w:marRight w:val="0"/>
          <w:marTop w:val="120"/>
          <w:marBottom w:val="0"/>
          <w:divBdr>
            <w:top w:val="none" w:sz="0" w:space="0" w:color="auto"/>
            <w:left w:val="none" w:sz="0" w:space="0" w:color="auto"/>
            <w:bottom w:val="none" w:sz="0" w:space="0" w:color="auto"/>
            <w:right w:val="none" w:sz="0" w:space="0" w:color="auto"/>
          </w:divBdr>
        </w:div>
        <w:div w:id="1810053751">
          <w:marLeft w:val="567"/>
          <w:marRight w:val="567"/>
          <w:marTop w:val="20"/>
          <w:marBottom w:val="20"/>
          <w:divBdr>
            <w:top w:val="none" w:sz="0" w:space="0" w:color="auto"/>
            <w:left w:val="none" w:sz="0" w:space="0" w:color="auto"/>
            <w:bottom w:val="none" w:sz="0" w:space="0" w:color="auto"/>
            <w:right w:val="none" w:sz="0" w:space="0" w:color="auto"/>
          </w:divBdr>
        </w:div>
        <w:div w:id="105735308">
          <w:marLeft w:val="0"/>
          <w:marRight w:val="0"/>
          <w:marTop w:val="120"/>
          <w:marBottom w:val="0"/>
          <w:divBdr>
            <w:top w:val="none" w:sz="0" w:space="0" w:color="auto"/>
            <w:left w:val="none" w:sz="0" w:space="0" w:color="auto"/>
            <w:bottom w:val="none" w:sz="0" w:space="0" w:color="auto"/>
            <w:right w:val="none" w:sz="0" w:space="0" w:color="auto"/>
          </w:divBdr>
        </w:div>
        <w:div w:id="128321950">
          <w:marLeft w:val="567"/>
          <w:marRight w:val="567"/>
          <w:marTop w:val="20"/>
          <w:marBottom w:val="20"/>
          <w:divBdr>
            <w:top w:val="none" w:sz="0" w:space="0" w:color="auto"/>
            <w:left w:val="none" w:sz="0" w:space="0" w:color="auto"/>
            <w:bottom w:val="none" w:sz="0" w:space="0" w:color="auto"/>
            <w:right w:val="none" w:sz="0" w:space="0" w:color="auto"/>
          </w:divBdr>
        </w:div>
        <w:div w:id="1867133085">
          <w:marLeft w:val="0"/>
          <w:marRight w:val="0"/>
          <w:marTop w:val="60"/>
          <w:marBottom w:val="0"/>
          <w:divBdr>
            <w:top w:val="none" w:sz="0" w:space="0" w:color="auto"/>
            <w:left w:val="none" w:sz="0" w:space="0" w:color="auto"/>
            <w:bottom w:val="none" w:sz="0" w:space="0" w:color="auto"/>
            <w:right w:val="none" w:sz="0" w:space="0" w:color="auto"/>
          </w:divBdr>
        </w:div>
        <w:div w:id="18702538">
          <w:marLeft w:val="567"/>
          <w:marRight w:val="567"/>
          <w:marTop w:val="20"/>
          <w:marBottom w:val="20"/>
          <w:divBdr>
            <w:top w:val="none" w:sz="0" w:space="0" w:color="auto"/>
            <w:left w:val="none" w:sz="0" w:space="0" w:color="auto"/>
            <w:bottom w:val="none" w:sz="0" w:space="0" w:color="auto"/>
            <w:right w:val="none" w:sz="0" w:space="0" w:color="auto"/>
          </w:divBdr>
        </w:div>
        <w:div w:id="1295601174">
          <w:marLeft w:val="0"/>
          <w:marRight w:val="0"/>
          <w:marTop w:val="120"/>
          <w:marBottom w:val="0"/>
          <w:divBdr>
            <w:top w:val="none" w:sz="0" w:space="0" w:color="auto"/>
            <w:left w:val="none" w:sz="0" w:space="0" w:color="auto"/>
            <w:bottom w:val="none" w:sz="0" w:space="0" w:color="auto"/>
            <w:right w:val="none" w:sz="0" w:space="0" w:color="auto"/>
          </w:divBdr>
        </w:div>
        <w:div w:id="1261987655">
          <w:marLeft w:val="1134"/>
          <w:marRight w:val="0"/>
          <w:marTop w:val="60"/>
          <w:marBottom w:val="0"/>
          <w:divBdr>
            <w:top w:val="none" w:sz="0" w:space="0" w:color="auto"/>
            <w:left w:val="none" w:sz="0" w:space="0" w:color="auto"/>
            <w:bottom w:val="none" w:sz="0" w:space="0" w:color="auto"/>
            <w:right w:val="none" w:sz="0" w:space="0" w:color="auto"/>
          </w:divBdr>
        </w:div>
        <w:div w:id="709384723">
          <w:marLeft w:val="1134"/>
          <w:marRight w:val="0"/>
          <w:marTop w:val="60"/>
          <w:marBottom w:val="0"/>
          <w:divBdr>
            <w:top w:val="none" w:sz="0" w:space="0" w:color="auto"/>
            <w:left w:val="none" w:sz="0" w:space="0" w:color="auto"/>
            <w:bottom w:val="none" w:sz="0" w:space="0" w:color="auto"/>
            <w:right w:val="none" w:sz="0" w:space="0" w:color="auto"/>
          </w:divBdr>
        </w:div>
        <w:div w:id="1047148389">
          <w:marLeft w:val="1134"/>
          <w:marRight w:val="0"/>
          <w:marTop w:val="60"/>
          <w:marBottom w:val="0"/>
          <w:divBdr>
            <w:top w:val="none" w:sz="0" w:space="0" w:color="auto"/>
            <w:left w:val="none" w:sz="0" w:space="0" w:color="auto"/>
            <w:bottom w:val="none" w:sz="0" w:space="0" w:color="auto"/>
            <w:right w:val="none" w:sz="0" w:space="0" w:color="auto"/>
          </w:divBdr>
        </w:div>
        <w:div w:id="612831981">
          <w:marLeft w:val="1134"/>
          <w:marRight w:val="0"/>
          <w:marTop w:val="60"/>
          <w:marBottom w:val="0"/>
          <w:divBdr>
            <w:top w:val="none" w:sz="0" w:space="0" w:color="auto"/>
            <w:left w:val="none" w:sz="0" w:space="0" w:color="auto"/>
            <w:bottom w:val="none" w:sz="0" w:space="0" w:color="auto"/>
            <w:right w:val="none" w:sz="0" w:space="0" w:color="auto"/>
          </w:divBdr>
        </w:div>
        <w:div w:id="643050519">
          <w:marLeft w:val="567"/>
          <w:marRight w:val="567"/>
          <w:marTop w:val="20"/>
          <w:marBottom w:val="20"/>
          <w:divBdr>
            <w:top w:val="none" w:sz="0" w:space="0" w:color="auto"/>
            <w:left w:val="none" w:sz="0" w:space="0" w:color="auto"/>
            <w:bottom w:val="none" w:sz="0" w:space="0" w:color="auto"/>
            <w:right w:val="none" w:sz="0" w:space="0" w:color="auto"/>
          </w:divBdr>
        </w:div>
        <w:div w:id="2082170205">
          <w:marLeft w:val="0"/>
          <w:marRight w:val="0"/>
          <w:marTop w:val="120"/>
          <w:marBottom w:val="0"/>
          <w:divBdr>
            <w:top w:val="none" w:sz="0" w:space="0" w:color="auto"/>
            <w:left w:val="none" w:sz="0" w:space="0" w:color="auto"/>
            <w:bottom w:val="none" w:sz="0" w:space="0" w:color="auto"/>
            <w:right w:val="none" w:sz="0" w:space="0" w:color="auto"/>
          </w:divBdr>
        </w:div>
        <w:div w:id="990792110">
          <w:marLeft w:val="567"/>
          <w:marRight w:val="567"/>
          <w:marTop w:val="20"/>
          <w:marBottom w:val="20"/>
          <w:divBdr>
            <w:top w:val="none" w:sz="0" w:space="0" w:color="auto"/>
            <w:left w:val="none" w:sz="0" w:space="0" w:color="auto"/>
            <w:bottom w:val="none" w:sz="0" w:space="0" w:color="auto"/>
            <w:right w:val="none" w:sz="0" w:space="0" w:color="auto"/>
          </w:divBdr>
        </w:div>
        <w:div w:id="1070998524">
          <w:marLeft w:val="0"/>
          <w:marRight w:val="0"/>
          <w:marTop w:val="120"/>
          <w:marBottom w:val="0"/>
          <w:divBdr>
            <w:top w:val="none" w:sz="0" w:space="0" w:color="auto"/>
            <w:left w:val="none" w:sz="0" w:space="0" w:color="auto"/>
            <w:bottom w:val="none" w:sz="0" w:space="0" w:color="auto"/>
            <w:right w:val="none" w:sz="0" w:space="0" w:color="auto"/>
          </w:divBdr>
        </w:div>
        <w:div w:id="185683505">
          <w:marLeft w:val="567"/>
          <w:marRight w:val="567"/>
          <w:marTop w:val="20"/>
          <w:marBottom w:val="20"/>
          <w:divBdr>
            <w:top w:val="none" w:sz="0" w:space="0" w:color="auto"/>
            <w:left w:val="none" w:sz="0" w:space="0" w:color="auto"/>
            <w:bottom w:val="none" w:sz="0" w:space="0" w:color="auto"/>
            <w:right w:val="none" w:sz="0" w:space="0" w:color="auto"/>
          </w:divBdr>
        </w:div>
        <w:div w:id="1124537676">
          <w:marLeft w:val="0"/>
          <w:marRight w:val="0"/>
          <w:marTop w:val="120"/>
          <w:marBottom w:val="0"/>
          <w:divBdr>
            <w:top w:val="none" w:sz="0" w:space="0" w:color="auto"/>
            <w:left w:val="none" w:sz="0" w:space="0" w:color="auto"/>
            <w:bottom w:val="none" w:sz="0" w:space="0" w:color="auto"/>
            <w:right w:val="none" w:sz="0" w:space="0" w:color="auto"/>
          </w:divBdr>
        </w:div>
        <w:div w:id="241842951">
          <w:marLeft w:val="567"/>
          <w:marRight w:val="567"/>
          <w:marTop w:val="20"/>
          <w:marBottom w:val="20"/>
          <w:divBdr>
            <w:top w:val="none" w:sz="0" w:space="0" w:color="auto"/>
            <w:left w:val="none" w:sz="0" w:space="0" w:color="auto"/>
            <w:bottom w:val="none" w:sz="0" w:space="0" w:color="auto"/>
            <w:right w:val="none" w:sz="0" w:space="0" w:color="auto"/>
          </w:divBdr>
        </w:div>
        <w:div w:id="608464823">
          <w:marLeft w:val="0"/>
          <w:marRight w:val="0"/>
          <w:marTop w:val="120"/>
          <w:marBottom w:val="0"/>
          <w:divBdr>
            <w:top w:val="none" w:sz="0" w:space="0" w:color="auto"/>
            <w:left w:val="none" w:sz="0" w:space="0" w:color="auto"/>
            <w:bottom w:val="none" w:sz="0" w:space="0" w:color="auto"/>
            <w:right w:val="none" w:sz="0" w:space="0" w:color="auto"/>
          </w:divBdr>
        </w:div>
        <w:div w:id="1461649585">
          <w:marLeft w:val="567"/>
          <w:marRight w:val="567"/>
          <w:marTop w:val="20"/>
          <w:marBottom w:val="20"/>
          <w:divBdr>
            <w:top w:val="none" w:sz="0" w:space="0" w:color="auto"/>
            <w:left w:val="none" w:sz="0" w:space="0" w:color="auto"/>
            <w:bottom w:val="none" w:sz="0" w:space="0" w:color="auto"/>
            <w:right w:val="none" w:sz="0" w:space="0" w:color="auto"/>
          </w:divBdr>
        </w:div>
        <w:div w:id="221913269">
          <w:marLeft w:val="0"/>
          <w:marRight w:val="0"/>
          <w:marTop w:val="120"/>
          <w:marBottom w:val="0"/>
          <w:divBdr>
            <w:top w:val="none" w:sz="0" w:space="0" w:color="auto"/>
            <w:left w:val="none" w:sz="0" w:space="0" w:color="auto"/>
            <w:bottom w:val="none" w:sz="0" w:space="0" w:color="auto"/>
            <w:right w:val="none" w:sz="0" w:space="0" w:color="auto"/>
          </w:divBdr>
        </w:div>
      </w:divsChild>
    </w:div>
    <w:div w:id="1265766144">
      <w:bodyDiv w:val="1"/>
      <w:marLeft w:val="0"/>
      <w:marRight w:val="0"/>
      <w:marTop w:val="0"/>
      <w:marBottom w:val="0"/>
      <w:divBdr>
        <w:top w:val="none" w:sz="0" w:space="0" w:color="auto"/>
        <w:left w:val="none" w:sz="0" w:space="0" w:color="auto"/>
        <w:bottom w:val="none" w:sz="0" w:space="0" w:color="auto"/>
        <w:right w:val="none" w:sz="0" w:space="0" w:color="auto"/>
      </w:divBdr>
    </w:div>
    <w:div w:id="1279263623">
      <w:bodyDiv w:val="1"/>
      <w:marLeft w:val="0"/>
      <w:marRight w:val="0"/>
      <w:marTop w:val="0"/>
      <w:marBottom w:val="0"/>
      <w:divBdr>
        <w:top w:val="none" w:sz="0" w:space="0" w:color="auto"/>
        <w:left w:val="none" w:sz="0" w:space="0" w:color="auto"/>
        <w:bottom w:val="none" w:sz="0" w:space="0" w:color="auto"/>
        <w:right w:val="none" w:sz="0" w:space="0" w:color="auto"/>
      </w:divBdr>
    </w:div>
    <w:div w:id="1306396749">
      <w:bodyDiv w:val="1"/>
      <w:marLeft w:val="0"/>
      <w:marRight w:val="0"/>
      <w:marTop w:val="0"/>
      <w:marBottom w:val="0"/>
      <w:divBdr>
        <w:top w:val="none" w:sz="0" w:space="0" w:color="auto"/>
        <w:left w:val="none" w:sz="0" w:space="0" w:color="auto"/>
        <w:bottom w:val="none" w:sz="0" w:space="0" w:color="auto"/>
        <w:right w:val="none" w:sz="0" w:space="0" w:color="auto"/>
      </w:divBdr>
      <w:divsChild>
        <w:div w:id="60560954">
          <w:marLeft w:val="1985"/>
          <w:marRight w:val="0"/>
          <w:marTop w:val="60"/>
          <w:marBottom w:val="0"/>
          <w:divBdr>
            <w:top w:val="none" w:sz="0" w:space="0" w:color="auto"/>
            <w:left w:val="none" w:sz="0" w:space="0" w:color="auto"/>
            <w:bottom w:val="none" w:sz="0" w:space="0" w:color="auto"/>
            <w:right w:val="none" w:sz="0" w:space="0" w:color="auto"/>
          </w:divBdr>
        </w:div>
        <w:div w:id="67847540">
          <w:marLeft w:val="1985"/>
          <w:marRight w:val="0"/>
          <w:marTop w:val="60"/>
          <w:marBottom w:val="0"/>
          <w:divBdr>
            <w:top w:val="none" w:sz="0" w:space="0" w:color="auto"/>
            <w:left w:val="none" w:sz="0" w:space="0" w:color="auto"/>
            <w:bottom w:val="none" w:sz="0" w:space="0" w:color="auto"/>
            <w:right w:val="none" w:sz="0" w:space="0" w:color="auto"/>
          </w:divBdr>
        </w:div>
        <w:div w:id="87191233">
          <w:marLeft w:val="1985"/>
          <w:marRight w:val="0"/>
          <w:marTop w:val="60"/>
          <w:marBottom w:val="0"/>
          <w:divBdr>
            <w:top w:val="none" w:sz="0" w:space="0" w:color="auto"/>
            <w:left w:val="none" w:sz="0" w:space="0" w:color="auto"/>
            <w:bottom w:val="none" w:sz="0" w:space="0" w:color="auto"/>
            <w:right w:val="none" w:sz="0" w:space="0" w:color="auto"/>
          </w:divBdr>
        </w:div>
        <w:div w:id="221064146">
          <w:marLeft w:val="2580"/>
          <w:marRight w:val="0"/>
          <w:marTop w:val="60"/>
          <w:marBottom w:val="0"/>
          <w:divBdr>
            <w:top w:val="none" w:sz="0" w:space="0" w:color="auto"/>
            <w:left w:val="none" w:sz="0" w:space="0" w:color="auto"/>
            <w:bottom w:val="none" w:sz="0" w:space="0" w:color="auto"/>
            <w:right w:val="none" w:sz="0" w:space="0" w:color="auto"/>
          </w:divBdr>
        </w:div>
        <w:div w:id="295448766">
          <w:marLeft w:val="1985"/>
          <w:marRight w:val="0"/>
          <w:marTop w:val="60"/>
          <w:marBottom w:val="0"/>
          <w:divBdr>
            <w:top w:val="none" w:sz="0" w:space="0" w:color="auto"/>
            <w:left w:val="none" w:sz="0" w:space="0" w:color="auto"/>
            <w:bottom w:val="none" w:sz="0" w:space="0" w:color="auto"/>
            <w:right w:val="none" w:sz="0" w:space="0" w:color="auto"/>
          </w:divBdr>
        </w:div>
        <w:div w:id="332227361">
          <w:marLeft w:val="1985"/>
          <w:marRight w:val="0"/>
          <w:marTop w:val="60"/>
          <w:marBottom w:val="0"/>
          <w:divBdr>
            <w:top w:val="none" w:sz="0" w:space="0" w:color="auto"/>
            <w:left w:val="none" w:sz="0" w:space="0" w:color="auto"/>
            <w:bottom w:val="none" w:sz="0" w:space="0" w:color="auto"/>
            <w:right w:val="none" w:sz="0" w:space="0" w:color="auto"/>
          </w:divBdr>
        </w:div>
        <w:div w:id="393310056">
          <w:marLeft w:val="1985"/>
          <w:marRight w:val="0"/>
          <w:marTop w:val="60"/>
          <w:marBottom w:val="0"/>
          <w:divBdr>
            <w:top w:val="none" w:sz="0" w:space="0" w:color="auto"/>
            <w:left w:val="none" w:sz="0" w:space="0" w:color="auto"/>
            <w:bottom w:val="none" w:sz="0" w:space="0" w:color="auto"/>
            <w:right w:val="none" w:sz="0" w:space="0" w:color="auto"/>
          </w:divBdr>
        </w:div>
        <w:div w:id="407116246">
          <w:marLeft w:val="2580"/>
          <w:marRight w:val="0"/>
          <w:marTop w:val="60"/>
          <w:marBottom w:val="0"/>
          <w:divBdr>
            <w:top w:val="none" w:sz="0" w:space="0" w:color="auto"/>
            <w:left w:val="none" w:sz="0" w:space="0" w:color="auto"/>
            <w:bottom w:val="none" w:sz="0" w:space="0" w:color="auto"/>
            <w:right w:val="none" w:sz="0" w:space="0" w:color="auto"/>
          </w:divBdr>
        </w:div>
        <w:div w:id="425347295">
          <w:marLeft w:val="0"/>
          <w:marRight w:val="0"/>
          <w:marTop w:val="120"/>
          <w:marBottom w:val="0"/>
          <w:divBdr>
            <w:top w:val="none" w:sz="0" w:space="0" w:color="auto"/>
            <w:left w:val="none" w:sz="0" w:space="0" w:color="auto"/>
            <w:bottom w:val="none" w:sz="0" w:space="0" w:color="auto"/>
            <w:right w:val="none" w:sz="0" w:space="0" w:color="auto"/>
          </w:divBdr>
        </w:div>
        <w:div w:id="428964573">
          <w:marLeft w:val="2580"/>
          <w:marRight w:val="0"/>
          <w:marTop w:val="60"/>
          <w:marBottom w:val="0"/>
          <w:divBdr>
            <w:top w:val="none" w:sz="0" w:space="0" w:color="auto"/>
            <w:left w:val="none" w:sz="0" w:space="0" w:color="auto"/>
            <w:bottom w:val="none" w:sz="0" w:space="0" w:color="auto"/>
            <w:right w:val="none" w:sz="0" w:space="0" w:color="auto"/>
          </w:divBdr>
        </w:div>
        <w:div w:id="452988429">
          <w:marLeft w:val="1134"/>
          <w:marRight w:val="0"/>
          <w:marTop w:val="60"/>
          <w:marBottom w:val="0"/>
          <w:divBdr>
            <w:top w:val="none" w:sz="0" w:space="0" w:color="auto"/>
            <w:left w:val="none" w:sz="0" w:space="0" w:color="auto"/>
            <w:bottom w:val="none" w:sz="0" w:space="0" w:color="auto"/>
            <w:right w:val="none" w:sz="0" w:space="0" w:color="auto"/>
          </w:divBdr>
        </w:div>
        <w:div w:id="460995430">
          <w:marLeft w:val="1985"/>
          <w:marRight w:val="0"/>
          <w:marTop w:val="60"/>
          <w:marBottom w:val="0"/>
          <w:divBdr>
            <w:top w:val="none" w:sz="0" w:space="0" w:color="auto"/>
            <w:left w:val="none" w:sz="0" w:space="0" w:color="auto"/>
            <w:bottom w:val="none" w:sz="0" w:space="0" w:color="auto"/>
            <w:right w:val="none" w:sz="0" w:space="0" w:color="auto"/>
          </w:divBdr>
        </w:div>
        <w:div w:id="565069488">
          <w:marLeft w:val="1985"/>
          <w:marRight w:val="0"/>
          <w:marTop w:val="60"/>
          <w:marBottom w:val="0"/>
          <w:divBdr>
            <w:top w:val="none" w:sz="0" w:space="0" w:color="auto"/>
            <w:left w:val="none" w:sz="0" w:space="0" w:color="auto"/>
            <w:bottom w:val="none" w:sz="0" w:space="0" w:color="auto"/>
            <w:right w:val="none" w:sz="0" w:space="0" w:color="auto"/>
          </w:divBdr>
        </w:div>
        <w:div w:id="581254459">
          <w:marLeft w:val="1134"/>
          <w:marRight w:val="0"/>
          <w:marTop w:val="60"/>
          <w:marBottom w:val="0"/>
          <w:divBdr>
            <w:top w:val="none" w:sz="0" w:space="0" w:color="auto"/>
            <w:left w:val="none" w:sz="0" w:space="0" w:color="auto"/>
            <w:bottom w:val="none" w:sz="0" w:space="0" w:color="auto"/>
            <w:right w:val="none" w:sz="0" w:space="0" w:color="auto"/>
          </w:divBdr>
        </w:div>
        <w:div w:id="585959634">
          <w:marLeft w:val="1985"/>
          <w:marRight w:val="0"/>
          <w:marTop w:val="60"/>
          <w:marBottom w:val="0"/>
          <w:divBdr>
            <w:top w:val="none" w:sz="0" w:space="0" w:color="auto"/>
            <w:left w:val="none" w:sz="0" w:space="0" w:color="auto"/>
            <w:bottom w:val="none" w:sz="0" w:space="0" w:color="auto"/>
            <w:right w:val="none" w:sz="0" w:space="0" w:color="auto"/>
          </w:divBdr>
        </w:div>
        <w:div w:id="632710350">
          <w:marLeft w:val="1985"/>
          <w:marRight w:val="0"/>
          <w:marTop w:val="60"/>
          <w:marBottom w:val="0"/>
          <w:divBdr>
            <w:top w:val="none" w:sz="0" w:space="0" w:color="auto"/>
            <w:left w:val="none" w:sz="0" w:space="0" w:color="auto"/>
            <w:bottom w:val="none" w:sz="0" w:space="0" w:color="auto"/>
            <w:right w:val="none" w:sz="0" w:space="0" w:color="auto"/>
          </w:divBdr>
        </w:div>
        <w:div w:id="677317636">
          <w:marLeft w:val="2580"/>
          <w:marRight w:val="0"/>
          <w:marTop w:val="60"/>
          <w:marBottom w:val="0"/>
          <w:divBdr>
            <w:top w:val="none" w:sz="0" w:space="0" w:color="auto"/>
            <w:left w:val="none" w:sz="0" w:space="0" w:color="auto"/>
            <w:bottom w:val="none" w:sz="0" w:space="0" w:color="auto"/>
            <w:right w:val="none" w:sz="0" w:space="0" w:color="auto"/>
          </w:divBdr>
        </w:div>
        <w:div w:id="697320729">
          <w:marLeft w:val="2580"/>
          <w:marRight w:val="0"/>
          <w:marTop w:val="60"/>
          <w:marBottom w:val="0"/>
          <w:divBdr>
            <w:top w:val="none" w:sz="0" w:space="0" w:color="auto"/>
            <w:left w:val="none" w:sz="0" w:space="0" w:color="auto"/>
            <w:bottom w:val="none" w:sz="0" w:space="0" w:color="auto"/>
            <w:right w:val="none" w:sz="0" w:space="0" w:color="auto"/>
          </w:divBdr>
        </w:div>
        <w:div w:id="777993111">
          <w:marLeft w:val="2580"/>
          <w:marRight w:val="0"/>
          <w:marTop w:val="60"/>
          <w:marBottom w:val="0"/>
          <w:divBdr>
            <w:top w:val="none" w:sz="0" w:space="0" w:color="auto"/>
            <w:left w:val="none" w:sz="0" w:space="0" w:color="auto"/>
            <w:bottom w:val="none" w:sz="0" w:space="0" w:color="auto"/>
            <w:right w:val="none" w:sz="0" w:space="0" w:color="auto"/>
          </w:divBdr>
        </w:div>
        <w:div w:id="792673562">
          <w:marLeft w:val="1985"/>
          <w:marRight w:val="0"/>
          <w:marTop w:val="60"/>
          <w:marBottom w:val="0"/>
          <w:divBdr>
            <w:top w:val="none" w:sz="0" w:space="0" w:color="auto"/>
            <w:left w:val="none" w:sz="0" w:space="0" w:color="auto"/>
            <w:bottom w:val="none" w:sz="0" w:space="0" w:color="auto"/>
            <w:right w:val="none" w:sz="0" w:space="0" w:color="auto"/>
          </w:divBdr>
        </w:div>
        <w:div w:id="847594618">
          <w:marLeft w:val="1985"/>
          <w:marRight w:val="0"/>
          <w:marTop w:val="60"/>
          <w:marBottom w:val="0"/>
          <w:divBdr>
            <w:top w:val="none" w:sz="0" w:space="0" w:color="auto"/>
            <w:left w:val="none" w:sz="0" w:space="0" w:color="auto"/>
            <w:bottom w:val="none" w:sz="0" w:space="0" w:color="auto"/>
            <w:right w:val="none" w:sz="0" w:space="0" w:color="auto"/>
          </w:divBdr>
        </w:div>
        <w:div w:id="889999518">
          <w:marLeft w:val="1134"/>
          <w:marRight w:val="0"/>
          <w:marTop w:val="60"/>
          <w:marBottom w:val="0"/>
          <w:divBdr>
            <w:top w:val="none" w:sz="0" w:space="0" w:color="auto"/>
            <w:left w:val="none" w:sz="0" w:space="0" w:color="auto"/>
            <w:bottom w:val="none" w:sz="0" w:space="0" w:color="auto"/>
            <w:right w:val="none" w:sz="0" w:space="0" w:color="auto"/>
          </w:divBdr>
        </w:div>
        <w:div w:id="1014961535">
          <w:marLeft w:val="1985"/>
          <w:marRight w:val="0"/>
          <w:marTop w:val="60"/>
          <w:marBottom w:val="0"/>
          <w:divBdr>
            <w:top w:val="none" w:sz="0" w:space="0" w:color="auto"/>
            <w:left w:val="none" w:sz="0" w:space="0" w:color="auto"/>
            <w:bottom w:val="none" w:sz="0" w:space="0" w:color="auto"/>
            <w:right w:val="none" w:sz="0" w:space="0" w:color="auto"/>
          </w:divBdr>
        </w:div>
        <w:div w:id="1025596701">
          <w:marLeft w:val="1134"/>
          <w:marRight w:val="0"/>
          <w:marTop w:val="60"/>
          <w:marBottom w:val="0"/>
          <w:divBdr>
            <w:top w:val="none" w:sz="0" w:space="0" w:color="auto"/>
            <w:left w:val="none" w:sz="0" w:space="0" w:color="auto"/>
            <w:bottom w:val="none" w:sz="0" w:space="0" w:color="auto"/>
            <w:right w:val="none" w:sz="0" w:space="0" w:color="auto"/>
          </w:divBdr>
        </w:div>
        <w:div w:id="1104032768">
          <w:marLeft w:val="567"/>
          <w:marRight w:val="567"/>
          <w:marTop w:val="20"/>
          <w:marBottom w:val="20"/>
          <w:divBdr>
            <w:top w:val="none" w:sz="0" w:space="0" w:color="auto"/>
            <w:left w:val="none" w:sz="0" w:space="0" w:color="auto"/>
            <w:bottom w:val="none" w:sz="0" w:space="0" w:color="auto"/>
            <w:right w:val="none" w:sz="0" w:space="0" w:color="auto"/>
          </w:divBdr>
        </w:div>
        <w:div w:id="1128547079">
          <w:marLeft w:val="1985"/>
          <w:marRight w:val="0"/>
          <w:marTop w:val="60"/>
          <w:marBottom w:val="0"/>
          <w:divBdr>
            <w:top w:val="none" w:sz="0" w:space="0" w:color="auto"/>
            <w:left w:val="none" w:sz="0" w:space="0" w:color="auto"/>
            <w:bottom w:val="none" w:sz="0" w:space="0" w:color="auto"/>
            <w:right w:val="none" w:sz="0" w:space="0" w:color="auto"/>
          </w:divBdr>
        </w:div>
        <w:div w:id="1141264513">
          <w:marLeft w:val="2580"/>
          <w:marRight w:val="0"/>
          <w:marTop w:val="60"/>
          <w:marBottom w:val="0"/>
          <w:divBdr>
            <w:top w:val="none" w:sz="0" w:space="0" w:color="auto"/>
            <w:left w:val="none" w:sz="0" w:space="0" w:color="auto"/>
            <w:bottom w:val="none" w:sz="0" w:space="0" w:color="auto"/>
            <w:right w:val="none" w:sz="0" w:space="0" w:color="auto"/>
          </w:divBdr>
        </w:div>
        <w:div w:id="1174611068">
          <w:marLeft w:val="1985"/>
          <w:marRight w:val="0"/>
          <w:marTop w:val="60"/>
          <w:marBottom w:val="0"/>
          <w:divBdr>
            <w:top w:val="none" w:sz="0" w:space="0" w:color="auto"/>
            <w:left w:val="none" w:sz="0" w:space="0" w:color="auto"/>
            <w:bottom w:val="none" w:sz="0" w:space="0" w:color="auto"/>
            <w:right w:val="none" w:sz="0" w:space="0" w:color="auto"/>
          </w:divBdr>
        </w:div>
        <w:div w:id="1196576030">
          <w:marLeft w:val="2580"/>
          <w:marRight w:val="0"/>
          <w:marTop w:val="60"/>
          <w:marBottom w:val="0"/>
          <w:divBdr>
            <w:top w:val="none" w:sz="0" w:space="0" w:color="auto"/>
            <w:left w:val="none" w:sz="0" w:space="0" w:color="auto"/>
            <w:bottom w:val="none" w:sz="0" w:space="0" w:color="auto"/>
            <w:right w:val="none" w:sz="0" w:space="0" w:color="auto"/>
          </w:divBdr>
        </w:div>
        <w:div w:id="1284193505">
          <w:marLeft w:val="1985"/>
          <w:marRight w:val="0"/>
          <w:marTop w:val="60"/>
          <w:marBottom w:val="0"/>
          <w:divBdr>
            <w:top w:val="none" w:sz="0" w:space="0" w:color="auto"/>
            <w:left w:val="none" w:sz="0" w:space="0" w:color="auto"/>
            <w:bottom w:val="none" w:sz="0" w:space="0" w:color="auto"/>
            <w:right w:val="none" w:sz="0" w:space="0" w:color="auto"/>
          </w:divBdr>
        </w:div>
        <w:div w:id="1298686017">
          <w:marLeft w:val="1985"/>
          <w:marRight w:val="0"/>
          <w:marTop w:val="60"/>
          <w:marBottom w:val="0"/>
          <w:divBdr>
            <w:top w:val="none" w:sz="0" w:space="0" w:color="auto"/>
            <w:left w:val="none" w:sz="0" w:space="0" w:color="auto"/>
            <w:bottom w:val="none" w:sz="0" w:space="0" w:color="auto"/>
            <w:right w:val="none" w:sz="0" w:space="0" w:color="auto"/>
          </w:divBdr>
        </w:div>
        <w:div w:id="1380595116">
          <w:marLeft w:val="1985"/>
          <w:marRight w:val="0"/>
          <w:marTop w:val="60"/>
          <w:marBottom w:val="0"/>
          <w:divBdr>
            <w:top w:val="none" w:sz="0" w:space="0" w:color="auto"/>
            <w:left w:val="none" w:sz="0" w:space="0" w:color="auto"/>
            <w:bottom w:val="none" w:sz="0" w:space="0" w:color="auto"/>
            <w:right w:val="none" w:sz="0" w:space="0" w:color="auto"/>
          </w:divBdr>
        </w:div>
        <w:div w:id="1498156243">
          <w:marLeft w:val="0"/>
          <w:marRight w:val="0"/>
          <w:marTop w:val="240"/>
          <w:marBottom w:val="0"/>
          <w:divBdr>
            <w:top w:val="none" w:sz="0" w:space="0" w:color="auto"/>
            <w:left w:val="none" w:sz="0" w:space="0" w:color="auto"/>
            <w:bottom w:val="none" w:sz="0" w:space="0" w:color="auto"/>
            <w:right w:val="none" w:sz="0" w:space="0" w:color="auto"/>
          </w:divBdr>
        </w:div>
        <w:div w:id="1646088455">
          <w:marLeft w:val="1985"/>
          <w:marRight w:val="0"/>
          <w:marTop w:val="60"/>
          <w:marBottom w:val="0"/>
          <w:divBdr>
            <w:top w:val="none" w:sz="0" w:space="0" w:color="auto"/>
            <w:left w:val="none" w:sz="0" w:space="0" w:color="auto"/>
            <w:bottom w:val="none" w:sz="0" w:space="0" w:color="auto"/>
            <w:right w:val="none" w:sz="0" w:space="0" w:color="auto"/>
          </w:divBdr>
        </w:div>
        <w:div w:id="1660692246">
          <w:marLeft w:val="1985"/>
          <w:marRight w:val="0"/>
          <w:marTop w:val="60"/>
          <w:marBottom w:val="0"/>
          <w:divBdr>
            <w:top w:val="none" w:sz="0" w:space="0" w:color="auto"/>
            <w:left w:val="none" w:sz="0" w:space="0" w:color="auto"/>
            <w:bottom w:val="none" w:sz="0" w:space="0" w:color="auto"/>
            <w:right w:val="none" w:sz="0" w:space="0" w:color="auto"/>
          </w:divBdr>
        </w:div>
        <w:div w:id="1709644646">
          <w:marLeft w:val="1985"/>
          <w:marRight w:val="0"/>
          <w:marTop w:val="60"/>
          <w:marBottom w:val="0"/>
          <w:divBdr>
            <w:top w:val="none" w:sz="0" w:space="0" w:color="auto"/>
            <w:left w:val="none" w:sz="0" w:space="0" w:color="auto"/>
            <w:bottom w:val="none" w:sz="0" w:space="0" w:color="auto"/>
            <w:right w:val="none" w:sz="0" w:space="0" w:color="auto"/>
          </w:divBdr>
        </w:div>
        <w:div w:id="1734959976">
          <w:marLeft w:val="1985"/>
          <w:marRight w:val="0"/>
          <w:marTop w:val="60"/>
          <w:marBottom w:val="0"/>
          <w:divBdr>
            <w:top w:val="none" w:sz="0" w:space="0" w:color="auto"/>
            <w:left w:val="none" w:sz="0" w:space="0" w:color="auto"/>
            <w:bottom w:val="none" w:sz="0" w:space="0" w:color="auto"/>
            <w:right w:val="none" w:sz="0" w:space="0" w:color="auto"/>
          </w:divBdr>
        </w:div>
        <w:div w:id="1865434255">
          <w:marLeft w:val="1985"/>
          <w:marRight w:val="0"/>
          <w:marTop w:val="60"/>
          <w:marBottom w:val="0"/>
          <w:divBdr>
            <w:top w:val="none" w:sz="0" w:space="0" w:color="auto"/>
            <w:left w:val="none" w:sz="0" w:space="0" w:color="auto"/>
            <w:bottom w:val="none" w:sz="0" w:space="0" w:color="auto"/>
            <w:right w:val="none" w:sz="0" w:space="0" w:color="auto"/>
          </w:divBdr>
        </w:div>
        <w:div w:id="1964188424">
          <w:marLeft w:val="1985"/>
          <w:marRight w:val="0"/>
          <w:marTop w:val="60"/>
          <w:marBottom w:val="0"/>
          <w:divBdr>
            <w:top w:val="none" w:sz="0" w:space="0" w:color="auto"/>
            <w:left w:val="none" w:sz="0" w:space="0" w:color="auto"/>
            <w:bottom w:val="none" w:sz="0" w:space="0" w:color="auto"/>
            <w:right w:val="none" w:sz="0" w:space="0" w:color="auto"/>
          </w:divBdr>
        </w:div>
        <w:div w:id="2007901152">
          <w:marLeft w:val="2580"/>
          <w:marRight w:val="0"/>
          <w:marTop w:val="60"/>
          <w:marBottom w:val="0"/>
          <w:divBdr>
            <w:top w:val="none" w:sz="0" w:space="0" w:color="auto"/>
            <w:left w:val="none" w:sz="0" w:space="0" w:color="auto"/>
            <w:bottom w:val="none" w:sz="0" w:space="0" w:color="auto"/>
            <w:right w:val="none" w:sz="0" w:space="0" w:color="auto"/>
          </w:divBdr>
        </w:div>
        <w:div w:id="2014214814">
          <w:marLeft w:val="1985"/>
          <w:marRight w:val="0"/>
          <w:marTop w:val="60"/>
          <w:marBottom w:val="0"/>
          <w:divBdr>
            <w:top w:val="none" w:sz="0" w:space="0" w:color="auto"/>
            <w:left w:val="none" w:sz="0" w:space="0" w:color="auto"/>
            <w:bottom w:val="none" w:sz="0" w:space="0" w:color="auto"/>
            <w:right w:val="none" w:sz="0" w:space="0" w:color="auto"/>
          </w:divBdr>
        </w:div>
        <w:div w:id="2102993385">
          <w:marLeft w:val="1985"/>
          <w:marRight w:val="0"/>
          <w:marTop w:val="60"/>
          <w:marBottom w:val="0"/>
          <w:divBdr>
            <w:top w:val="none" w:sz="0" w:space="0" w:color="auto"/>
            <w:left w:val="none" w:sz="0" w:space="0" w:color="auto"/>
            <w:bottom w:val="none" w:sz="0" w:space="0" w:color="auto"/>
            <w:right w:val="none" w:sz="0" w:space="0" w:color="auto"/>
          </w:divBdr>
        </w:div>
        <w:div w:id="2117820006">
          <w:marLeft w:val="1134"/>
          <w:marRight w:val="0"/>
          <w:marTop w:val="60"/>
          <w:marBottom w:val="0"/>
          <w:divBdr>
            <w:top w:val="none" w:sz="0" w:space="0" w:color="auto"/>
            <w:left w:val="none" w:sz="0" w:space="0" w:color="auto"/>
            <w:bottom w:val="none" w:sz="0" w:space="0" w:color="auto"/>
            <w:right w:val="none" w:sz="0" w:space="0" w:color="auto"/>
          </w:divBdr>
        </w:div>
        <w:div w:id="2123649685">
          <w:marLeft w:val="1985"/>
          <w:marRight w:val="0"/>
          <w:marTop w:val="60"/>
          <w:marBottom w:val="0"/>
          <w:divBdr>
            <w:top w:val="none" w:sz="0" w:space="0" w:color="auto"/>
            <w:left w:val="none" w:sz="0" w:space="0" w:color="auto"/>
            <w:bottom w:val="none" w:sz="0" w:space="0" w:color="auto"/>
            <w:right w:val="none" w:sz="0" w:space="0" w:color="auto"/>
          </w:divBdr>
        </w:div>
      </w:divsChild>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10092555">
      <w:bodyDiv w:val="1"/>
      <w:marLeft w:val="0"/>
      <w:marRight w:val="0"/>
      <w:marTop w:val="0"/>
      <w:marBottom w:val="0"/>
      <w:divBdr>
        <w:top w:val="none" w:sz="0" w:space="0" w:color="auto"/>
        <w:left w:val="none" w:sz="0" w:space="0" w:color="auto"/>
        <w:bottom w:val="none" w:sz="0" w:space="0" w:color="auto"/>
        <w:right w:val="none" w:sz="0" w:space="0" w:color="auto"/>
      </w:divBdr>
    </w:div>
    <w:div w:id="1343047974">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463691146">
      <w:bodyDiv w:val="1"/>
      <w:marLeft w:val="0"/>
      <w:marRight w:val="0"/>
      <w:marTop w:val="0"/>
      <w:marBottom w:val="0"/>
      <w:divBdr>
        <w:top w:val="none" w:sz="0" w:space="0" w:color="auto"/>
        <w:left w:val="none" w:sz="0" w:space="0" w:color="auto"/>
        <w:bottom w:val="none" w:sz="0" w:space="0" w:color="auto"/>
        <w:right w:val="none" w:sz="0" w:space="0" w:color="auto"/>
      </w:divBdr>
    </w:div>
    <w:div w:id="1497720025">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1632665107">
      <w:bodyDiv w:val="1"/>
      <w:marLeft w:val="0"/>
      <w:marRight w:val="0"/>
      <w:marTop w:val="0"/>
      <w:marBottom w:val="0"/>
      <w:divBdr>
        <w:top w:val="none" w:sz="0" w:space="0" w:color="auto"/>
        <w:left w:val="none" w:sz="0" w:space="0" w:color="auto"/>
        <w:bottom w:val="none" w:sz="0" w:space="0" w:color="auto"/>
        <w:right w:val="none" w:sz="0" w:space="0" w:color="auto"/>
      </w:divBdr>
    </w:div>
    <w:div w:id="1656759153">
      <w:bodyDiv w:val="1"/>
      <w:marLeft w:val="0"/>
      <w:marRight w:val="0"/>
      <w:marTop w:val="0"/>
      <w:marBottom w:val="0"/>
      <w:divBdr>
        <w:top w:val="none" w:sz="0" w:space="0" w:color="auto"/>
        <w:left w:val="none" w:sz="0" w:space="0" w:color="auto"/>
        <w:bottom w:val="none" w:sz="0" w:space="0" w:color="auto"/>
        <w:right w:val="none" w:sz="0" w:space="0" w:color="auto"/>
      </w:divBdr>
    </w:div>
    <w:div w:id="1660696149">
      <w:bodyDiv w:val="1"/>
      <w:marLeft w:val="0"/>
      <w:marRight w:val="0"/>
      <w:marTop w:val="0"/>
      <w:marBottom w:val="0"/>
      <w:divBdr>
        <w:top w:val="none" w:sz="0" w:space="0" w:color="auto"/>
        <w:left w:val="none" w:sz="0" w:space="0" w:color="auto"/>
        <w:bottom w:val="none" w:sz="0" w:space="0" w:color="auto"/>
        <w:right w:val="none" w:sz="0" w:space="0" w:color="auto"/>
      </w:divBdr>
    </w:div>
    <w:div w:id="1700349803">
      <w:bodyDiv w:val="1"/>
      <w:marLeft w:val="0"/>
      <w:marRight w:val="0"/>
      <w:marTop w:val="0"/>
      <w:marBottom w:val="0"/>
      <w:divBdr>
        <w:top w:val="none" w:sz="0" w:space="0" w:color="auto"/>
        <w:left w:val="none" w:sz="0" w:space="0" w:color="auto"/>
        <w:bottom w:val="none" w:sz="0" w:space="0" w:color="auto"/>
        <w:right w:val="none" w:sz="0" w:space="0" w:color="auto"/>
      </w:divBdr>
    </w:div>
    <w:div w:id="1708293040">
      <w:bodyDiv w:val="1"/>
      <w:marLeft w:val="0"/>
      <w:marRight w:val="0"/>
      <w:marTop w:val="0"/>
      <w:marBottom w:val="0"/>
      <w:divBdr>
        <w:top w:val="none" w:sz="0" w:space="0" w:color="auto"/>
        <w:left w:val="none" w:sz="0" w:space="0" w:color="auto"/>
        <w:bottom w:val="none" w:sz="0" w:space="0" w:color="auto"/>
        <w:right w:val="none" w:sz="0" w:space="0" w:color="auto"/>
      </w:divBdr>
    </w:div>
    <w:div w:id="1708749252">
      <w:bodyDiv w:val="1"/>
      <w:marLeft w:val="0"/>
      <w:marRight w:val="0"/>
      <w:marTop w:val="0"/>
      <w:marBottom w:val="0"/>
      <w:divBdr>
        <w:top w:val="none" w:sz="0" w:space="0" w:color="auto"/>
        <w:left w:val="none" w:sz="0" w:space="0" w:color="auto"/>
        <w:bottom w:val="none" w:sz="0" w:space="0" w:color="auto"/>
        <w:right w:val="none" w:sz="0" w:space="0" w:color="auto"/>
      </w:divBdr>
    </w:div>
    <w:div w:id="1777821928">
      <w:bodyDiv w:val="1"/>
      <w:marLeft w:val="0"/>
      <w:marRight w:val="0"/>
      <w:marTop w:val="0"/>
      <w:marBottom w:val="0"/>
      <w:divBdr>
        <w:top w:val="none" w:sz="0" w:space="0" w:color="auto"/>
        <w:left w:val="none" w:sz="0" w:space="0" w:color="auto"/>
        <w:bottom w:val="none" w:sz="0" w:space="0" w:color="auto"/>
        <w:right w:val="none" w:sz="0" w:space="0" w:color="auto"/>
      </w:divBdr>
    </w:div>
    <w:div w:id="1862280446">
      <w:bodyDiv w:val="1"/>
      <w:marLeft w:val="0"/>
      <w:marRight w:val="0"/>
      <w:marTop w:val="0"/>
      <w:marBottom w:val="0"/>
      <w:divBdr>
        <w:top w:val="none" w:sz="0" w:space="0" w:color="auto"/>
        <w:left w:val="none" w:sz="0" w:space="0" w:color="auto"/>
        <w:bottom w:val="none" w:sz="0" w:space="0" w:color="auto"/>
        <w:right w:val="none" w:sz="0" w:space="0" w:color="auto"/>
      </w:divBdr>
      <w:divsChild>
        <w:div w:id="1271474392">
          <w:marLeft w:val="0"/>
          <w:marRight w:val="0"/>
          <w:marTop w:val="120"/>
          <w:marBottom w:val="0"/>
          <w:divBdr>
            <w:top w:val="none" w:sz="0" w:space="0" w:color="auto"/>
            <w:left w:val="none" w:sz="0" w:space="0" w:color="auto"/>
            <w:bottom w:val="none" w:sz="0" w:space="0" w:color="auto"/>
            <w:right w:val="none" w:sz="0" w:space="0" w:color="auto"/>
          </w:divBdr>
        </w:div>
        <w:div w:id="1291938802">
          <w:marLeft w:val="0"/>
          <w:marRight w:val="0"/>
          <w:marTop w:val="240"/>
          <w:marBottom w:val="0"/>
          <w:divBdr>
            <w:top w:val="none" w:sz="0" w:space="0" w:color="auto"/>
            <w:left w:val="none" w:sz="0" w:space="0" w:color="auto"/>
            <w:bottom w:val="none" w:sz="0" w:space="0" w:color="auto"/>
            <w:right w:val="none" w:sz="0" w:space="0" w:color="auto"/>
          </w:divBdr>
        </w:div>
        <w:div w:id="1426731461">
          <w:marLeft w:val="1134"/>
          <w:marRight w:val="0"/>
          <w:marTop w:val="60"/>
          <w:marBottom w:val="0"/>
          <w:divBdr>
            <w:top w:val="none" w:sz="0" w:space="0" w:color="auto"/>
            <w:left w:val="none" w:sz="0" w:space="0" w:color="auto"/>
            <w:bottom w:val="none" w:sz="0" w:space="0" w:color="auto"/>
            <w:right w:val="none" w:sz="0" w:space="0" w:color="auto"/>
          </w:divBdr>
        </w:div>
        <w:div w:id="1870490995">
          <w:marLeft w:val="1134"/>
          <w:marRight w:val="0"/>
          <w:marTop w:val="60"/>
          <w:marBottom w:val="0"/>
          <w:divBdr>
            <w:top w:val="none" w:sz="0" w:space="0" w:color="auto"/>
            <w:left w:val="none" w:sz="0" w:space="0" w:color="auto"/>
            <w:bottom w:val="none" w:sz="0" w:space="0" w:color="auto"/>
            <w:right w:val="none" w:sz="0" w:space="0" w:color="auto"/>
          </w:divBdr>
        </w:div>
        <w:div w:id="2070610837">
          <w:marLeft w:val="1134"/>
          <w:marRight w:val="0"/>
          <w:marTop w:val="60"/>
          <w:marBottom w:val="0"/>
          <w:divBdr>
            <w:top w:val="none" w:sz="0" w:space="0" w:color="auto"/>
            <w:left w:val="none" w:sz="0" w:space="0" w:color="auto"/>
            <w:bottom w:val="none" w:sz="0" w:space="0" w:color="auto"/>
            <w:right w:val="none" w:sz="0" w:space="0" w:color="auto"/>
          </w:divBdr>
        </w:div>
        <w:div w:id="2103643853">
          <w:marLeft w:val="0"/>
          <w:marRight w:val="0"/>
          <w:marTop w:val="120"/>
          <w:marBottom w:val="0"/>
          <w:divBdr>
            <w:top w:val="none" w:sz="0" w:space="0" w:color="auto"/>
            <w:left w:val="none" w:sz="0" w:space="0" w:color="auto"/>
            <w:bottom w:val="none" w:sz="0" w:space="0" w:color="auto"/>
            <w:right w:val="none" w:sz="0" w:space="0" w:color="auto"/>
          </w:divBdr>
        </w:div>
      </w:divsChild>
    </w:div>
    <w:div w:id="1865435689">
      <w:bodyDiv w:val="1"/>
      <w:marLeft w:val="0"/>
      <w:marRight w:val="0"/>
      <w:marTop w:val="0"/>
      <w:marBottom w:val="0"/>
      <w:divBdr>
        <w:top w:val="none" w:sz="0" w:space="0" w:color="auto"/>
        <w:left w:val="none" w:sz="0" w:space="0" w:color="auto"/>
        <w:bottom w:val="none" w:sz="0" w:space="0" w:color="auto"/>
        <w:right w:val="none" w:sz="0" w:space="0" w:color="auto"/>
      </w:divBdr>
      <w:divsChild>
        <w:div w:id="156463754">
          <w:marLeft w:val="1985"/>
          <w:marRight w:val="0"/>
          <w:marTop w:val="60"/>
          <w:marBottom w:val="0"/>
          <w:divBdr>
            <w:top w:val="none" w:sz="0" w:space="0" w:color="auto"/>
            <w:left w:val="none" w:sz="0" w:space="0" w:color="auto"/>
            <w:bottom w:val="none" w:sz="0" w:space="0" w:color="auto"/>
            <w:right w:val="none" w:sz="0" w:space="0" w:color="auto"/>
          </w:divBdr>
        </w:div>
        <w:div w:id="193347243">
          <w:marLeft w:val="567"/>
          <w:marRight w:val="567"/>
          <w:marTop w:val="20"/>
          <w:marBottom w:val="20"/>
          <w:divBdr>
            <w:top w:val="none" w:sz="0" w:space="0" w:color="auto"/>
            <w:left w:val="none" w:sz="0" w:space="0" w:color="auto"/>
            <w:bottom w:val="none" w:sz="0" w:space="0" w:color="auto"/>
            <w:right w:val="none" w:sz="0" w:space="0" w:color="auto"/>
          </w:divBdr>
        </w:div>
        <w:div w:id="197160276">
          <w:marLeft w:val="567"/>
          <w:marRight w:val="567"/>
          <w:marTop w:val="20"/>
          <w:marBottom w:val="20"/>
          <w:divBdr>
            <w:top w:val="none" w:sz="0" w:space="0" w:color="auto"/>
            <w:left w:val="none" w:sz="0" w:space="0" w:color="auto"/>
            <w:bottom w:val="none" w:sz="0" w:space="0" w:color="auto"/>
            <w:right w:val="none" w:sz="0" w:space="0" w:color="auto"/>
          </w:divBdr>
        </w:div>
        <w:div w:id="249000434">
          <w:marLeft w:val="1134"/>
          <w:marRight w:val="0"/>
          <w:marTop w:val="60"/>
          <w:marBottom w:val="0"/>
          <w:divBdr>
            <w:top w:val="none" w:sz="0" w:space="0" w:color="auto"/>
            <w:left w:val="none" w:sz="0" w:space="0" w:color="auto"/>
            <w:bottom w:val="none" w:sz="0" w:space="0" w:color="auto"/>
            <w:right w:val="none" w:sz="0" w:space="0" w:color="auto"/>
          </w:divBdr>
        </w:div>
        <w:div w:id="293875589">
          <w:marLeft w:val="1134"/>
          <w:marRight w:val="0"/>
          <w:marTop w:val="60"/>
          <w:marBottom w:val="0"/>
          <w:divBdr>
            <w:top w:val="none" w:sz="0" w:space="0" w:color="auto"/>
            <w:left w:val="none" w:sz="0" w:space="0" w:color="auto"/>
            <w:bottom w:val="none" w:sz="0" w:space="0" w:color="auto"/>
            <w:right w:val="none" w:sz="0" w:space="0" w:color="auto"/>
          </w:divBdr>
        </w:div>
        <w:div w:id="384110342">
          <w:marLeft w:val="1134"/>
          <w:marRight w:val="0"/>
          <w:marTop w:val="60"/>
          <w:marBottom w:val="0"/>
          <w:divBdr>
            <w:top w:val="none" w:sz="0" w:space="0" w:color="auto"/>
            <w:left w:val="none" w:sz="0" w:space="0" w:color="auto"/>
            <w:bottom w:val="none" w:sz="0" w:space="0" w:color="auto"/>
            <w:right w:val="none" w:sz="0" w:space="0" w:color="auto"/>
          </w:divBdr>
        </w:div>
        <w:div w:id="501168449">
          <w:marLeft w:val="1134"/>
          <w:marRight w:val="0"/>
          <w:marTop w:val="60"/>
          <w:marBottom w:val="0"/>
          <w:divBdr>
            <w:top w:val="none" w:sz="0" w:space="0" w:color="auto"/>
            <w:left w:val="none" w:sz="0" w:space="0" w:color="auto"/>
            <w:bottom w:val="none" w:sz="0" w:space="0" w:color="auto"/>
            <w:right w:val="none" w:sz="0" w:space="0" w:color="auto"/>
          </w:divBdr>
        </w:div>
        <w:div w:id="748894188">
          <w:marLeft w:val="0"/>
          <w:marRight w:val="0"/>
          <w:marTop w:val="120"/>
          <w:marBottom w:val="0"/>
          <w:divBdr>
            <w:top w:val="none" w:sz="0" w:space="0" w:color="auto"/>
            <w:left w:val="none" w:sz="0" w:space="0" w:color="auto"/>
            <w:bottom w:val="none" w:sz="0" w:space="0" w:color="auto"/>
            <w:right w:val="none" w:sz="0" w:space="0" w:color="auto"/>
          </w:divBdr>
        </w:div>
        <w:div w:id="778574265">
          <w:marLeft w:val="1134"/>
          <w:marRight w:val="0"/>
          <w:marTop w:val="60"/>
          <w:marBottom w:val="0"/>
          <w:divBdr>
            <w:top w:val="none" w:sz="0" w:space="0" w:color="auto"/>
            <w:left w:val="none" w:sz="0" w:space="0" w:color="auto"/>
            <w:bottom w:val="none" w:sz="0" w:space="0" w:color="auto"/>
            <w:right w:val="none" w:sz="0" w:space="0" w:color="auto"/>
          </w:divBdr>
        </w:div>
        <w:div w:id="819007516">
          <w:marLeft w:val="1134"/>
          <w:marRight w:val="0"/>
          <w:marTop w:val="60"/>
          <w:marBottom w:val="0"/>
          <w:divBdr>
            <w:top w:val="none" w:sz="0" w:space="0" w:color="auto"/>
            <w:left w:val="none" w:sz="0" w:space="0" w:color="auto"/>
            <w:bottom w:val="none" w:sz="0" w:space="0" w:color="auto"/>
            <w:right w:val="none" w:sz="0" w:space="0" w:color="auto"/>
          </w:divBdr>
        </w:div>
        <w:div w:id="892888704">
          <w:marLeft w:val="1985"/>
          <w:marRight w:val="0"/>
          <w:marTop w:val="60"/>
          <w:marBottom w:val="0"/>
          <w:divBdr>
            <w:top w:val="none" w:sz="0" w:space="0" w:color="auto"/>
            <w:left w:val="none" w:sz="0" w:space="0" w:color="auto"/>
            <w:bottom w:val="none" w:sz="0" w:space="0" w:color="auto"/>
            <w:right w:val="none" w:sz="0" w:space="0" w:color="auto"/>
          </w:divBdr>
        </w:div>
        <w:div w:id="904414004">
          <w:marLeft w:val="0"/>
          <w:marRight w:val="0"/>
          <w:marTop w:val="120"/>
          <w:marBottom w:val="0"/>
          <w:divBdr>
            <w:top w:val="none" w:sz="0" w:space="0" w:color="auto"/>
            <w:left w:val="none" w:sz="0" w:space="0" w:color="auto"/>
            <w:bottom w:val="none" w:sz="0" w:space="0" w:color="auto"/>
            <w:right w:val="none" w:sz="0" w:space="0" w:color="auto"/>
          </w:divBdr>
        </w:div>
        <w:div w:id="1021050978">
          <w:marLeft w:val="0"/>
          <w:marRight w:val="0"/>
          <w:marTop w:val="120"/>
          <w:marBottom w:val="0"/>
          <w:divBdr>
            <w:top w:val="none" w:sz="0" w:space="0" w:color="auto"/>
            <w:left w:val="none" w:sz="0" w:space="0" w:color="auto"/>
            <w:bottom w:val="none" w:sz="0" w:space="0" w:color="auto"/>
            <w:right w:val="none" w:sz="0" w:space="0" w:color="auto"/>
          </w:divBdr>
        </w:div>
        <w:div w:id="1070008414">
          <w:marLeft w:val="0"/>
          <w:marRight w:val="0"/>
          <w:marTop w:val="120"/>
          <w:marBottom w:val="0"/>
          <w:divBdr>
            <w:top w:val="none" w:sz="0" w:space="0" w:color="auto"/>
            <w:left w:val="none" w:sz="0" w:space="0" w:color="auto"/>
            <w:bottom w:val="none" w:sz="0" w:space="0" w:color="auto"/>
            <w:right w:val="none" w:sz="0" w:space="0" w:color="auto"/>
          </w:divBdr>
        </w:div>
        <w:div w:id="1158577728">
          <w:marLeft w:val="567"/>
          <w:marRight w:val="567"/>
          <w:marTop w:val="20"/>
          <w:marBottom w:val="20"/>
          <w:divBdr>
            <w:top w:val="none" w:sz="0" w:space="0" w:color="auto"/>
            <w:left w:val="none" w:sz="0" w:space="0" w:color="auto"/>
            <w:bottom w:val="none" w:sz="0" w:space="0" w:color="auto"/>
            <w:right w:val="none" w:sz="0" w:space="0" w:color="auto"/>
          </w:divBdr>
        </w:div>
        <w:div w:id="1161390182">
          <w:marLeft w:val="0"/>
          <w:marRight w:val="0"/>
          <w:marTop w:val="120"/>
          <w:marBottom w:val="0"/>
          <w:divBdr>
            <w:top w:val="none" w:sz="0" w:space="0" w:color="auto"/>
            <w:left w:val="none" w:sz="0" w:space="0" w:color="auto"/>
            <w:bottom w:val="none" w:sz="0" w:space="0" w:color="auto"/>
            <w:right w:val="none" w:sz="0" w:space="0" w:color="auto"/>
          </w:divBdr>
        </w:div>
        <w:div w:id="1199969076">
          <w:marLeft w:val="1134"/>
          <w:marRight w:val="0"/>
          <w:marTop w:val="60"/>
          <w:marBottom w:val="0"/>
          <w:divBdr>
            <w:top w:val="none" w:sz="0" w:space="0" w:color="auto"/>
            <w:left w:val="none" w:sz="0" w:space="0" w:color="auto"/>
            <w:bottom w:val="none" w:sz="0" w:space="0" w:color="auto"/>
            <w:right w:val="none" w:sz="0" w:space="0" w:color="auto"/>
          </w:divBdr>
        </w:div>
        <w:div w:id="1235899004">
          <w:marLeft w:val="1985"/>
          <w:marRight w:val="0"/>
          <w:marTop w:val="60"/>
          <w:marBottom w:val="0"/>
          <w:divBdr>
            <w:top w:val="none" w:sz="0" w:space="0" w:color="auto"/>
            <w:left w:val="none" w:sz="0" w:space="0" w:color="auto"/>
            <w:bottom w:val="none" w:sz="0" w:space="0" w:color="auto"/>
            <w:right w:val="none" w:sz="0" w:space="0" w:color="auto"/>
          </w:divBdr>
        </w:div>
        <w:div w:id="1298223604">
          <w:marLeft w:val="0"/>
          <w:marRight w:val="0"/>
          <w:marTop w:val="240"/>
          <w:marBottom w:val="0"/>
          <w:divBdr>
            <w:top w:val="none" w:sz="0" w:space="0" w:color="auto"/>
            <w:left w:val="none" w:sz="0" w:space="0" w:color="auto"/>
            <w:bottom w:val="none" w:sz="0" w:space="0" w:color="auto"/>
            <w:right w:val="none" w:sz="0" w:space="0" w:color="auto"/>
          </w:divBdr>
        </w:div>
        <w:div w:id="1305966585">
          <w:marLeft w:val="1134"/>
          <w:marRight w:val="0"/>
          <w:marTop w:val="60"/>
          <w:marBottom w:val="0"/>
          <w:divBdr>
            <w:top w:val="none" w:sz="0" w:space="0" w:color="auto"/>
            <w:left w:val="none" w:sz="0" w:space="0" w:color="auto"/>
            <w:bottom w:val="none" w:sz="0" w:space="0" w:color="auto"/>
            <w:right w:val="none" w:sz="0" w:space="0" w:color="auto"/>
          </w:divBdr>
        </w:div>
        <w:div w:id="1306928847">
          <w:marLeft w:val="0"/>
          <w:marRight w:val="0"/>
          <w:marTop w:val="120"/>
          <w:marBottom w:val="0"/>
          <w:divBdr>
            <w:top w:val="none" w:sz="0" w:space="0" w:color="auto"/>
            <w:left w:val="none" w:sz="0" w:space="0" w:color="auto"/>
            <w:bottom w:val="none" w:sz="0" w:space="0" w:color="auto"/>
            <w:right w:val="none" w:sz="0" w:space="0" w:color="auto"/>
          </w:divBdr>
        </w:div>
        <w:div w:id="1576088026">
          <w:marLeft w:val="1134"/>
          <w:marRight w:val="0"/>
          <w:marTop w:val="60"/>
          <w:marBottom w:val="0"/>
          <w:divBdr>
            <w:top w:val="none" w:sz="0" w:space="0" w:color="auto"/>
            <w:left w:val="none" w:sz="0" w:space="0" w:color="auto"/>
            <w:bottom w:val="none" w:sz="0" w:space="0" w:color="auto"/>
            <w:right w:val="none" w:sz="0" w:space="0" w:color="auto"/>
          </w:divBdr>
        </w:div>
        <w:div w:id="1580022432">
          <w:marLeft w:val="1134"/>
          <w:marRight w:val="0"/>
          <w:marTop w:val="60"/>
          <w:marBottom w:val="0"/>
          <w:divBdr>
            <w:top w:val="none" w:sz="0" w:space="0" w:color="auto"/>
            <w:left w:val="none" w:sz="0" w:space="0" w:color="auto"/>
            <w:bottom w:val="none" w:sz="0" w:space="0" w:color="auto"/>
            <w:right w:val="none" w:sz="0" w:space="0" w:color="auto"/>
          </w:divBdr>
        </w:div>
        <w:div w:id="1609001425">
          <w:marLeft w:val="0"/>
          <w:marRight w:val="0"/>
          <w:marTop w:val="120"/>
          <w:marBottom w:val="0"/>
          <w:divBdr>
            <w:top w:val="none" w:sz="0" w:space="0" w:color="auto"/>
            <w:left w:val="none" w:sz="0" w:space="0" w:color="auto"/>
            <w:bottom w:val="none" w:sz="0" w:space="0" w:color="auto"/>
            <w:right w:val="none" w:sz="0" w:space="0" w:color="auto"/>
          </w:divBdr>
        </w:div>
        <w:div w:id="1621229816">
          <w:marLeft w:val="0"/>
          <w:marRight w:val="0"/>
          <w:marTop w:val="120"/>
          <w:marBottom w:val="0"/>
          <w:divBdr>
            <w:top w:val="none" w:sz="0" w:space="0" w:color="auto"/>
            <w:left w:val="none" w:sz="0" w:space="0" w:color="auto"/>
            <w:bottom w:val="none" w:sz="0" w:space="0" w:color="auto"/>
            <w:right w:val="none" w:sz="0" w:space="0" w:color="auto"/>
          </w:divBdr>
        </w:div>
        <w:div w:id="1666081938">
          <w:marLeft w:val="1134"/>
          <w:marRight w:val="0"/>
          <w:marTop w:val="60"/>
          <w:marBottom w:val="0"/>
          <w:divBdr>
            <w:top w:val="none" w:sz="0" w:space="0" w:color="auto"/>
            <w:left w:val="none" w:sz="0" w:space="0" w:color="auto"/>
            <w:bottom w:val="none" w:sz="0" w:space="0" w:color="auto"/>
            <w:right w:val="none" w:sz="0" w:space="0" w:color="auto"/>
          </w:divBdr>
        </w:div>
        <w:div w:id="1689796038">
          <w:marLeft w:val="1985"/>
          <w:marRight w:val="0"/>
          <w:marTop w:val="60"/>
          <w:marBottom w:val="0"/>
          <w:divBdr>
            <w:top w:val="none" w:sz="0" w:space="0" w:color="auto"/>
            <w:left w:val="none" w:sz="0" w:space="0" w:color="auto"/>
            <w:bottom w:val="none" w:sz="0" w:space="0" w:color="auto"/>
            <w:right w:val="none" w:sz="0" w:space="0" w:color="auto"/>
          </w:divBdr>
        </w:div>
        <w:div w:id="1848012537">
          <w:marLeft w:val="1134"/>
          <w:marRight w:val="0"/>
          <w:marTop w:val="60"/>
          <w:marBottom w:val="0"/>
          <w:divBdr>
            <w:top w:val="none" w:sz="0" w:space="0" w:color="auto"/>
            <w:left w:val="none" w:sz="0" w:space="0" w:color="auto"/>
            <w:bottom w:val="none" w:sz="0" w:space="0" w:color="auto"/>
            <w:right w:val="none" w:sz="0" w:space="0" w:color="auto"/>
          </w:divBdr>
        </w:div>
        <w:div w:id="1865174073">
          <w:marLeft w:val="1985"/>
          <w:marRight w:val="0"/>
          <w:marTop w:val="60"/>
          <w:marBottom w:val="0"/>
          <w:divBdr>
            <w:top w:val="none" w:sz="0" w:space="0" w:color="auto"/>
            <w:left w:val="none" w:sz="0" w:space="0" w:color="auto"/>
            <w:bottom w:val="none" w:sz="0" w:space="0" w:color="auto"/>
            <w:right w:val="none" w:sz="0" w:space="0" w:color="auto"/>
          </w:divBdr>
        </w:div>
        <w:div w:id="2006783537">
          <w:marLeft w:val="1134"/>
          <w:marRight w:val="0"/>
          <w:marTop w:val="60"/>
          <w:marBottom w:val="0"/>
          <w:divBdr>
            <w:top w:val="none" w:sz="0" w:space="0" w:color="auto"/>
            <w:left w:val="none" w:sz="0" w:space="0" w:color="auto"/>
            <w:bottom w:val="none" w:sz="0" w:space="0" w:color="auto"/>
            <w:right w:val="none" w:sz="0" w:space="0" w:color="auto"/>
          </w:divBdr>
        </w:div>
        <w:div w:id="2096589050">
          <w:marLeft w:val="1134"/>
          <w:marRight w:val="0"/>
          <w:marTop w:val="60"/>
          <w:marBottom w:val="0"/>
          <w:divBdr>
            <w:top w:val="none" w:sz="0" w:space="0" w:color="auto"/>
            <w:left w:val="none" w:sz="0" w:space="0" w:color="auto"/>
            <w:bottom w:val="none" w:sz="0" w:space="0" w:color="auto"/>
            <w:right w:val="none" w:sz="0" w:space="0" w:color="auto"/>
          </w:divBdr>
        </w:div>
      </w:divsChild>
    </w:div>
    <w:div w:id="1986011404">
      <w:bodyDiv w:val="1"/>
      <w:marLeft w:val="0"/>
      <w:marRight w:val="0"/>
      <w:marTop w:val="0"/>
      <w:marBottom w:val="0"/>
      <w:divBdr>
        <w:top w:val="none" w:sz="0" w:space="0" w:color="auto"/>
        <w:left w:val="none" w:sz="0" w:space="0" w:color="auto"/>
        <w:bottom w:val="none" w:sz="0" w:space="0" w:color="auto"/>
        <w:right w:val="none" w:sz="0" w:space="0" w:color="auto"/>
      </w:divBdr>
    </w:div>
    <w:div w:id="2009213455">
      <w:bodyDiv w:val="1"/>
      <w:marLeft w:val="0"/>
      <w:marRight w:val="0"/>
      <w:marTop w:val="0"/>
      <w:marBottom w:val="0"/>
      <w:divBdr>
        <w:top w:val="none" w:sz="0" w:space="0" w:color="auto"/>
        <w:left w:val="none" w:sz="0" w:space="0" w:color="auto"/>
        <w:bottom w:val="none" w:sz="0" w:space="0" w:color="auto"/>
        <w:right w:val="none" w:sz="0" w:space="0" w:color="auto"/>
      </w:divBdr>
    </w:div>
    <w:div w:id="2018920066">
      <w:bodyDiv w:val="1"/>
      <w:marLeft w:val="0"/>
      <w:marRight w:val="0"/>
      <w:marTop w:val="0"/>
      <w:marBottom w:val="0"/>
      <w:divBdr>
        <w:top w:val="none" w:sz="0" w:space="0" w:color="auto"/>
        <w:left w:val="none" w:sz="0" w:space="0" w:color="auto"/>
        <w:bottom w:val="none" w:sz="0" w:space="0" w:color="auto"/>
        <w:right w:val="none" w:sz="0" w:space="0" w:color="auto"/>
      </w:divBdr>
    </w:div>
    <w:div w:id="2063014636">
      <w:bodyDiv w:val="1"/>
      <w:marLeft w:val="0"/>
      <w:marRight w:val="0"/>
      <w:marTop w:val="0"/>
      <w:marBottom w:val="0"/>
      <w:divBdr>
        <w:top w:val="none" w:sz="0" w:space="0" w:color="auto"/>
        <w:left w:val="none" w:sz="0" w:space="0" w:color="auto"/>
        <w:bottom w:val="none" w:sz="0" w:space="0" w:color="auto"/>
        <w:right w:val="none" w:sz="0" w:space="0" w:color="auto"/>
      </w:divBdr>
    </w:div>
    <w:div w:id="2100518069">
      <w:bodyDiv w:val="1"/>
      <w:marLeft w:val="0"/>
      <w:marRight w:val="0"/>
      <w:marTop w:val="0"/>
      <w:marBottom w:val="0"/>
      <w:divBdr>
        <w:top w:val="none" w:sz="0" w:space="0" w:color="auto"/>
        <w:left w:val="none" w:sz="0" w:space="0" w:color="auto"/>
        <w:bottom w:val="none" w:sz="0" w:space="0" w:color="auto"/>
        <w:right w:val="none" w:sz="0" w:space="0" w:color="auto"/>
      </w:divBdr>
    </w:div>
    <w:div w:id="2107536311">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34E5-92CE-4DBB-AFC2-1889DDA4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6632</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Ester Botha</cp:lastModifiedBy>
  <cp:revision>2</cp:revision>
  <cp:lastPrinted>2024-03-28T10:16:00Z</cp:lastPrinted>
  <dcterms:created xsi:type="dcterms:W3CDTF">2024-07-11T14:17:00Z</dcterms:created>
  <dcterms:modified xsi:type="dcterms:W3CDTF">2024-07-11T14:17:00Z</dcterms:modified>
</cp:coreProperties>
</file>