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1771A" w14:textId="77777777" w:rsidR="00927C81" w:rsidRPr="00A77D54" w:rsidRDefault="002260A9" w:rsidP="00237073">
      <w:pPr>
        <w:pStyle w:val="Normal1"/>
        <w:spacing w:after="0" w:line="360" w:lineRule="auto"/>
        <w:jc w:val="center"/>
        <w:rPr>
          <w:rFonts w:ascii="Arial" w:eastAsia="Arial" w:hAnsi="Arial" w:cs="Arial"/>
          <w:sz w:val="24"/>
          <w:szCs w:val="24"/>
        </w:rPr>
      </w:pPr>
      <w:bookmarkStart w:id="0" w:name="_GoBack"/>
      <w:bookmarkEnd w:id="0"/>
      <w:r w:rsidRPr="00A77D54">
        <w:rPr>
          <w:rFonts w:ascii="Arial" w:eastAsia="Arial" w:hAnsi="Arial" w:cs="Arial"/>
          <w:noProof/>
          <w:sz w:val="24"/>
          <w:szCs w:val="24"/>
          <w:lang w:eastAsia="en-ZA"/>
        </w:rPr>
        <w:drawing>
          <wp:inline distT="0" distB="0" distL="0" distR="0" wp14:anchorId="2C968F2C" wp14:editId="26FF5F21">
            <wp:extent cx="743585"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920750"/>
                    </a:xfrm>
                    <a:prstGeom prst="rect">
                      <a:avLst/>
                    </a:prstGeom>
                    <a:noFill/>
                  </pic:spPr>
                </pic:pic>
              </a:graphicData>
            </a:graphic>
          </wp:inline>
        </w:drawing>
      </w:r>
    </w:p>
    <w:p w14:paraId="03D2F232" w14:textId="77777777" w:rsidR="00927C81" w:rsidRPr="00A77D54" w:rsidRDefault="00927C81" w:rsidP="00237073">
      <w:pPr>
        <w:pStyle w:val="Normal1"/>
        <w:spacing w:after="0" w:line="360" w:lineRule="auto"/>
        <w:jc w:val="center"/>
        <w:rPr>
          <w:rFonts w:ascii="Arial" w:eastAsia="Arial" w:hAnsi="Arial" w:cs="Arial"/>
          <w:b/>
          <w:color w:val="221E1F"/>
          <w:sz w:val="24"/>
          <w:szCs w:val="24"/>
        </w:rPr>
      </w:pPr>
      <w:r w:rsidRPr="00A77D54">
        <w:rPr>
          <w:rFonts w:ascii="Arial" w:eastAsia="Arial" w:hAnsi="Arial" w:cs="Arial"/>
          <w:b/>
          <w:color w:val="221E1F"/>
          <w:sz w:val="24"/>
          <w:szCs w:val="24"/>
        </w:rPr>
        <w:t>THE SUPREME COURT OF APPEAL OF SOUTH AFRICA</w:t>
      </w:r>
    </w:p>
    <w:p w14:paraId="4EA22228" w14:textId="77777777" w:rsidR="00927C81" w:rsidRPr="00A77D54" w:rsidRDefault="00927C81" w:rsidP="00237073">
      <w:pPr>
        <w:pStyle w:val="Normal1"/>
        <w:spacing w:after="0" w:line="360" w:lineRule="auto"/>
        <w:jc w:val="center"/>
        <w:rPr>
          <w:rFonts w:ascii="Arial" w:eastAsia="Arial" w:hAnsi="Arial" w:cs="Arial"/>
          <w:b/>
          <w:sz w:val="24"/>
          <w:szCs w:val="24"/>
        </w:rPr>
      </w:pPr>
      <w:r w:rsidRPr="00A77D54">
        <w:rPr>
          <w:rFonts w:ascii="Arial" w:eastAsia="Arial" w:hAnsi="Arial" w:cs="Arial"/>
          <w:b/>
          <w:sz w:val="24"/>
          <w:szCs w:val="24"/>
        </w:rPr>
        <w:t>JUDGMENT</w:t>
      </w:r>
    </w:p>
    <w:p w14:paraId="3D054900" w14:textId="77777777" w:rsidR="00CC4A77" w:rsidRDefault="00CC4A77" w:rsidP="00237073">
      <w:pPr>
        <w:pStyle w:val="Normal1"/>
        <w:spacing w:after="0" w:line="360" w:lineRule="auto"/>
        <w:rPr>
          <w:rFonts w:ascii="Arial" w:eastAsia="Arial" w:hAnsi="Arial" w:cs="Arial"/>
          <w:b/>
          <w:sz w:val="24"/>
          <w:szCs w:val="24"/>
        </w:rPr>
      </w:pPr>
      <w:r>
        <w:rPr>
          <w:rFonts w:ascii="Arial" w:eastAsia="Arial" w:hAnsi="Arial" w:cs="Arial"/>
          <w:b/>
          <w:sz w:val="24"/>
          <w:szCs w:val="24"/>
        </w:rPr>
        <w:t xml:space="preserve">  </w:t>
      </w:r>
    </w:p>
    <w:p w14:paraId="0ECE5121" w14:textId="77777777" w:rsidR="002260A9" w:rsidRDefault="00CC4A77" w:rsidP="00237073">
      <w:pPr>
        <w:pStyle w:val="Normal1"/>
        <w:spacing w:after="0" w:line="360" w:lineRule="auto"/>
        <w:ind w:left="720" w:firstLine="720"/>
        <w:jc w:val="right"/>
        <w:rPr>
          <w:rFonts w:ascii="Arial" w:eastAsia="Arial" w:hAnsi="Arial" w:cs="Arial"/>
          <w:b/>
          <w:sz w:val="24"/>
          <w:szCs w:val="24"/>
        </w:rPr>
      </w:pPr>
      <w:r>
        <w:rPr>
          <w:rFonts w:ascii="Arial" w:eastAsia="Arial" w:hAnsi="Arial" w:cs="Arial"/>
          <w:b/>
          <w:sz w:val="24"/>
          <w:szCs w:val="24"/>
        </w:rPr>
        <w:t xml:space="preserve">      </w:t>
      </w:r>
      <w:r w:rsidR="007441C4">
        <w:rPr>
          <w:rFonts w:ascii="Arial" w:eastAsia="Arial" w:hAnsi="Arial" w:cs="Arial"/>
          <w:b/>
          <w:sz w:val="24"/>
          <w:szCs w:val="24"/>
        </w:rPr>
        <w:t>Reportable</w:t>
      </w:r>
    </w:p>
    <w:p w14:paraId="1C0B2772" w14:textId="77777777" w:rsidR="00927C81" w:rsidRPr="002260A9" w:rsidRDefault="002260A9" w:rsidP="00237073">
      <w:pPr>
        <w:pStyle w:val="Normal1"/>
        <w:spacing w:after="0" w:line="360" w:lineRule="auto"/>
        <w:ind w:left="720" w:firstLine="720"/>
        <w:jc w:val="right"/>
        <w:rPr>
          <w:rFonts w:ascii="Arial" w:eastAsia="Arial" w:hAnsi="Arial" w:cs="Arial"/>
          <w:b/>
          <w:sz w:val="24"/>
          <w:szCs w:val="24"/>
        </w:rPr>
      </w:pPr>
      <w:r>
        <w:rPr>
          <w:rFonts w:ascii="Arial" w:eastAsia="Arial" w:hAnsi="Arial" w:cs="Arial"/>
          <w:sz w:val="24"/>
          <w:szCs w:val="24"/>
        </w:rPr>
        <w:t>Case n</w:t>
      </w:r>
      <w:r w:rsidR="00927C81" w:rsidRPr="00A77D54">
        <w:rPr>
          <w:rFonts w:ascii="Arial" w:eastAsia="Arial" w:hAnsi="Arial" w:cs="Arial"/>
          <w:sz w:val="24"/>
          <w:szCs w:val="24"/>
        </w:rPr>
        <w:t>o: 774/2022</w:t>
      </w:r>
    </w:p>
    <w:p w14:paraId="72F50CB0" w14:textId="77777777" w:rsidR="00927C81" w:rsidRPr="00A77D54" w:rsidRDefault="00927C81" w:rsidP="00237073">
      <w:pPr>
        <w:pStyle w:val="Normal1"/>
        <w:spacing w:after="0" w:line="360" w:lineRule="auto"/>
        <w:jc w:val="both"/>
        <w:rPr>
          <w:rFonts w:ascii="Arial" w:eastAsia="Arial" w:hAnsi="Arial" w:cs="Arial"/>
          <w:sz w:val="24"/>
          <w:szCs w:val="24"/>
        </w:rPr>
      </w:pPr>
    </w:p>
    <w:p w14:paraId="3DF4B8B2" w14:textId="77777777" w:rsidR="00927C81" w:rsidRPr="002260A9" w:rsidRDefault="00927C81" w:rsidP="00237073">
      <w:pPr>
        <w:pStyle w:val="Normal1"/>
        <w:spacing w:after="0" w:line="360" w:lineRule="auto"/>
        <w:jc w:val="both"/>
        <w:rPr>
          <w:rFonts w:ascii="Arial" w:eastAsia="Arial" w:hAnsi="Arial" w:cs="Arial"/>
          <w:b/>
          <w:sz w:val="24"/>
          <w:szCs w:val="24"/>
        </w:rPr>
      </w:pPr>
      <w:r w:rsidRPr="00A77D54">
        <w:rPr>
          <w:rFonts w:ascii="Arial" w:eastAsia="Arial" w:hAnsi="Arial" w:cs="Arial"/>
          <w:sz w:val="24"/>
          <w:szCs w:val="24"/>
        </w:rPr>
        <w:t>In the matter between:</w:t>
      </w:r>
    </w:p>
    <w:p w14:paraId="705E48C5" w14:textId="77777777" w:rsidR="00927C81" w:rsidRPr="00A77D54" w:rsidRDefault="00927C81" w:rsidP="00237073">
      <w:pPr>
        <w:pStyle w:val="Normal1"/>
        <w:tabs>
          <w:tab w:val="right" w:pos="9050"/>
        </w:tabs>
        <w:spacing w:after="240" w:line="360" w:lineRule="auto"/>
        <w:jc w:val="both"/>
        <w:rPr>
          <w:rFonts w:ascii="Arial" w:eastAsia="Arial" w:hAnsi="Arial" w:cs="Arial"/>
          <w:b/>
          <w:sz w:val="24"/>
          <w:szCs w:val="24"/>
        </w:rPr>
      </w:pPr>
      <w:r w:rsidRPr="00A77D54">
        <w:rPr>
          <w:rFonts w:ascii="Arial" w:eastAsia="Arial" w:hAnsi="Arial" w:cs="Arial"/>
          <w:b/>
          <w:sz w:val="24"/>
          <w:szCs w:val="24"/>
        </w:rPr>
        <w:t xml:space="preserve">JAMES R LINDSEY </w:t>
      </w:r>
      <w:r w:rsidRPr="00A77D54">
        <w:rPr>
          <w:rFonts w:ascii="Arial" w:eastAsia="Arial" w:hAnsi="Arial" w:cs="Arial"/>
          <w:b/>
          <w:sz w:val="24"/>
          <w:szCs w:val="24"/>
        </w:rPr>
        <w:tab/>
        <w:t>FIRST APPELLANT</w:t>
      </w:r>
    </w:p>
    <w:p w14:paraId="6C1AB20A" w14:textId="77777777" w:rsidR="00927C81" w:rsidRPr="00A77D54" w:rsidRDefault="00927C81" w:rsidP="00237073">
      <w:pPr>
        <w:pStyle w:val="Normal1"/>
        <w:tabs>
          <w:tab w:val="right" w:pos="9050"/>
        </w:tabs>
        <w:spacing w:after="240" w:line="360" w:lineRule="auto"/>
        <w:jc w:val="both"/>
        <w:rPr>
          <w:rFonts w:ascii="Arial" w:eastAsia="Arial" w:hAnsi="Arial" w:cs="Arial"/>
          <w:b/>
          <w:sz w:val="24"/>
          <w:szCs w:val="24"/>
        </w:rPr>
      </w:pPr>
      <w:r w:rsidRPr="00A77D54">
        <w:rPr>
          <w:rFonts w:ascii="Arial" w:eastAsia="Arial" w:hAnsi="Arial" w:cs="Arial"/>
          <w:b/>
          <w:sz w:val="24"/>
          <w:szCs w:val="24"/>
        </w:rPr>
        <w:t>THE LINDSEY FAMILY TRUST</w:t>
      </w:r>
      <w:r w:rsidRPr="00A77D54">
        <w:rPr>
          <w:rFonts w:ascii="Arial" w:eastAsia="Arial" w:hAnsi="Arial" w:cs="Arial"/>
          <w:b/>
          <w:sz w:val="24"/>
          <w:szCs w:val="24"/>
        </w:rPr>
        <w:tab/>
        <w:t>SECOND APPELLANT</w:t>
      </w:r>
    </w:p>
    <w:p w14:paraId="572D08DE" w14:textId="77777777" w:rsidR="00927C81" w:rsidRPr="00A77D54" w:rsidRDefault="00927C81" w:rsidP="00237073">
      <w:pPr>
        <w:pStyle w:val="Normal1"/>
        <w:tabs>
          <w:tab w:val="right" w:pos="9050"/>
        </w:tabs>
        <w:spacing w:after="240" w:line="360" w:lineRule="auto"/>
        <w:jc w:val="both"/>
        <w:rPr>
          <w:rFonts w:ascii="Arial" w:eastAsia="Arial" w:hAnsi="Arial" w:cs="Arial"/>
          <w:b/>
          <w:sz w:val="24"/>
          <w:szCs w:val="24"/>
        </w:rPr>
      </w:pPr>
      <w:r w:rsidRPr="00A77D54">
        <w:rPr>
          <w:rFonts w:ascii="Arial" w:eastAsia="Arial" w:hAnsi="Arial" w:cs="Arial"/>
          <w:b/>
          <w:sz w:val="24"/>
          <w:szCs w:val="24"/>
        </w:rPr>
        <w:t xml:space="preserve">WILLIAM BUCK JOHNS </w:t>
      </w:r>
      <w:r w:rsidRPr="00A77D54">
        <w:rPr>
          <w:rFonts w:ascii="Arial" w:eastAsia="Arial" w:hAnsi="Arial" w:cs="Arial"/>
          <w:b/>
          <w:sz w:val="24"/>
          <w:szCs w:val="24"/>
        </w:rPr>
        <w:tab/>
        <w:t>THIRD APPELLANT</w:t>
      </w:r>
    </w:p>
    <w:p w14:paraId="75BA0164" w14:textId="77777777" w:rsidR="00927C81" w:rsidRPr="00A77D54" w:rsidRDefault="00927C81" w:rsidP="00237073">
      <w:pPr>
        <w:pStyle w:val="Normal1"/>
        <w:tabs>
          <w:tab w:val="right" w:pos="9050"/>
        </w:tabs>
        <w:spacing w:after="240" w:line="360" w:lineRule="auto"/>
        <w:jc w:val="both"/>
        <w:rPr>
          <w:rFonts w:ascii="Arial" w:eastAsia="Arial" w:hAnsi="Arial" w:cs="Arial"/>
          <w:b/>
          <w:sz w:val="24"/>
          <w:szCs w:val="24"/>
        </w:rPr>
      </w:pPr>
      <w:r w:rsidRPr="00A77D54">
        <w:rPr>
          <w:rFonts w:ascii="Arial" w:eastAsia="Arial" w:hAnsi="Arial" w:cs="Arial"/>
          <w:b/>
          <w:sz w:val="24"/>
          <w:szCs w:val="24"/>
        </w:rPr>
        <w:t xml:space="preserve">MARC VAN ANTRO </w:t>
      </w:r>
      <w:r w:rsidRPr="00A77D54">
        <w:rPr>
          <w:rFonts w:ascii="Arial" w:eastAsia="Arial" w:hAnsi="Arial" w:cs="Arial"/>
          <w:b/>
          <w:sz w:val="24"/>
          <w:szCs w:val="24"/>
        </w:rPr>
        <w:tab/>
        <w:t>FOURTH APPELLANT</w:t>
      </w:r>
    </w:p>
    <w:p w14:paraId="7BD443DF" w14:textId="77777777" w:rsidR="00927C81" w:rsidRPr="00A77D54" w:rsidRDefault="00927C81" w:rsidP="00237073">
      <w:pPr>
        <w:pStyle w:val="Normal1"/>
        <w:tabs>
          <w:tab w:val="right" w:pos="9050"/>
        </w:tabs>
        <w:spacing w:after="240" w:line="360" w:lineRule="auto"/>
        <w:jc w:val="both"/>
        <w:rPr>
          <w:rFonts w:ascii="Arial" w:eastAsia="Arial" w:hAnsi="Arial" w:cs="Arial"/>
          <w:b/>
          <w:sz w:val="24"/>
          <w:szCs w:val="24"/>
        </w:rPr>
      </w:pPr>
      <w:r w:rsidRPr="00A77D54">
        <w:rPr>
          <w:rFonts w:ascii="Arial" w:eastAsia="Arial" w:hAnsi="Arial" w:cs="Arial"/>
          <w:b/>
          <w:sz w:val="24"/>
          <w:szCs w:val="24"/>
        </w:rPr>
        <w:t>WYMONT SERVICES LIMITED</w:t>
      </w:r>
      <w:r w:rsidRPr="00A77D54">
        <w:rPr>
          <w:rFonts w:ascii="Arial" w:eastAsia="Arial" w:hAnsi="Arial" w:cs="Arial"/>
          <w:b/>
          <w:sz w:val="24"/>
          <w:szCs w:val="24"/>
        </w:rPr>
        <w:tab/>
        <w:t>FIFTH APPELLANT</w:t>
      </w:r>
    </w:p>
    <w:p w14:paraId="193CCD75" w14:textId="77777777" w:rsidR="00A60D29" w:rsidRPr="00C62D6C" w:rsidRDefault="00A60D29" w:rsidP="00237073">
      <w:pPr>
        <w:pStyle w:val="Normal1"/>
        <w:tabs>
          <w:tab w:val="right" w:pos="9050"/>
        </w:tabs>
        <w:spacing w:after="240" w:line="360" w:lineRule="auto"/>
        <w:jc w:val="both"/>
        <w:rPr>
          <w:rFonts w:ascii="Arial" w:eastAsia="Arial" w:hAnsi="Arial" w:cs="Arial"/>
          <w:sz w:val="24"/>
          <w:szCs w:val="24"/>
          <w:u w:val="single"/>
        </w:rPr>
      </w:pPr>
      <w:r w:rsidRPr="00C62D6C">
        <w:rPr>
          <w:rFonts w:ascii="Arial" w:eastAsia="Arial" w:hAnsi="Arial" w:cs="Arial"/>
          <w:sz w:val="24"/>
          <w:szCs w:val="24"/>
          <w:u w:val="single"/>
        </w:rPr>
        <w:t xml:space="preserve">All acting derivatively and on behalf of </w:t>
      </w:r>
    </w:p>
    <w:p w14:paraId="4CA2B654" w14:textId="77777777" w:rsidR="00CC4A77" w:rsidRPr="00A77D54" w:rsidRDefault="00927C81" w:rsidP="00237073">
      <w:pPr>
        <w:pStyle w:val="Normal1"/>
        <w:tabs>
          <w:tab w:val="right" w:pos="9050"/>
        </w:tabs>
        <w:spacing w:after="240" w:line="360" w:lineRule="auto"/>
        <w:jc w:val="both"/>
        <w:rPr>
          <w:rFonts w:ascii="Arial" w:eastAsia="Arial" w:hAnsi="Arial" w:cs="Arial"/>
          <w:b/>
          <w:sz w:val="24"/>
          <w:szCs w:val="24"/>
        </w:rPr>
      </w:pPr>
      <w:r w:rsidRPr="00A77D54">
        <w:rPr>
          <w:rFonts w:ascii="Arial" w:eastAsia="Arial" w:hAnsi="Arial" w:cs="Arial"/>
          <w:b/>
          <w:sz w:val="24"/>
          <w:szCs w:val="24"/>
        </w:rPr>
        <w:t>AFRICAN WIRELESS INC</w:t>
      </w:r>
      <w:r w:rsidR="004E4220">
        <w:rPr>
          <w:rFonts w:ascii="Arial" w:eastAsia="Arial" w:hAnsi="Arial" w:cs="Arial"/>
          <w:b/>
          <w:sz w:val="24"/>
          <w:szCs w:val="24"/>
        </w:rPr>
        <w:t>ORPORATED</w:t>
      </w:r>
      <w:r w:rsidRPr="00A77D54">
        <w:rPr>
          <w:rFonts w:ascii="Arial" w:eastAsia="Arial" w:hAnsi="Arial" w:cs="Arial"/>
          <w:b/>
          <w:sz w:val="24"/>
          <w:szCs w:val="24"/>
        </w:rPr>
        <w:t xml:space="preserve"> </w:t>
      </w:r>
      <w:r w:rsidRPr="00A77D54">
        <w:rPr>
          <w:rFonts w:ascii="Arial" w:eastAsia="Arial" w:hAnsi="Arial" w:cs="Arial"/>
          <w:b/>
          <w:sz w:val="24"/>
          <w:szCs w:val="24"/>
        </w:rPr>
        <w:tab/>
        <w:t>SIXTH APPELLANT</w:t>
      </w:r>
    </w:p>
    <w:p w14:paraId="19399088" w14:textId="77777777" w:rsidR="00CC4A77" w:rsidRPr="00A77D54" w:rsidRDefault="002260A9" w:rsidP="00237073">
      <w:pPr>
        <w:pStyle w:val="Normal1"/>
        <w:spacing w:after="240" w:line="360" w:lineRule="auto"/>
        <w:jc w:val="both"/>
        <w:rPr>
          <w:rFonts w:ascii="Arial" w:eastAsia="Arial" w:hAnsi="Arial" w:cs="Arial"/>
          <w:sz w:val="24"/>
          <w:szCs w:val="24"/>
        </w:rPr>
      </w:pPr>
      <w:r>
        <w:rPr>
          <w:rFonts w:ascii="Arial" w:eastAsia="Arial" w:hAnsi="Arial" w:cs="Arial"/>
          <w:sz w:val="24"/>
          <w:szCs w:val="24"/>
        </w:rPr>
        <w:t>a</w:t>
      </w:r>
      <w:r w:rsidR="00927C81" w:rsidRPr="00A77D54">
        <w:rPr>
          <w:rFonts w:ascii="Arial" w:eastAsia="Arial" w:hAnsi="Arial" w:cs="Arial"/>
          <w:sz w:val="24"/>
          <w:szCs w:val="24"/>
        </w:rPr>
        <w:t>nd</w:t>
      </w:r>
    </w:p>
    <w:p w14:paraId="506A66FB" w14:textId="77777777" w:rsidR="004E4220" w:rsidRDefault="00927C81" w:rsidP="00237073">
      <w:pPr>
        <w:pStyle w:val="Normal1"/>
        <w:spacing w:after="0" w:line="360" w:lineRule="auto"/>
        <w:jc w:val="both"/>
        <w:rPr>
          <w:rFonts w:ascii="Arial" w:eastAsia="Arial" w:hAnsi="Arial" w:cs="Arial"/>
          <w:b/>
          <w:sz w:val="24"/>
          <w:szCs w:val="24"/>
        </w:rPr>
      </w:pPr>
      <w:r w:rsidRPr="00A77D54">
        <w:rPr>
          <w:rFonts w:ascii="Arial" w:eastAsia="Arial" w:hAnsi="Arial" w:cs="Arial"/>
          <w:b/>
          <w:sz w:val="24"/>
          <w:szCs w:val="24"/>
        </w:rPr>
        <w:t xml:space="preserve">ALIEU BADARA MOHAMED CONTEH </w:t>
      </w:r>
    </w:p>
    <w:p w14:paraId="1CFD8028" w14:textId="77777777" w:rsidR="00927C81" w:rsidRPr="006672D9" w:rsidRDefault="004E4220" w:rsidP="00237073">
      <w:pPr>
        <w:pStyle w:val="Normal1"/>
        <w:spacing w:after="0" w:line="360" w:lineRule="auto"/>
        <w:jc w:val="both"/>
        <w:rPr>
          <w:rFonts w:ascii="Arial" w:eastAsia="Arial" w:hAnsi="Arial" w:cs="Arial"/>
          <w:b/>
          <w:sz w:val="24"/>
          <w:szCs w:val="24"/>
        </w:rPr>
      </w:pPr>
      <w:r w:rsidRPr="006672D9">
        <w:rPr>
          <w:rFonts w:ascii="Arial" w:eastAsia="Arial" w:hAnsi="Arial" w:cs="Arial"/>
          <w:b/>
          <w:sz w:val="24"/>
          <w:szCs w:val="24"/>
        </w:rPr>
        <w:t xml:space="preserve">(substituted </w:t>
      </w:r>
      <w:r w:rsidR="00927C81" w:rsidRPr="006672D9">
        <w:rPr>
          <w:rFonts w:ascii="Arial" w:eastAsia="Arial" w:hAnsi="Arial" w:cs="Arial"/>
          <w:b/>
          <w:sz w:val="24"/>
          <w:szCs w:val="24"/>
        </w:rPr>
        <w:t>by BRIGETTE VAN GEESBERGEN CONTEH</w:t>
      </w:r>
      <w:r w:rsidRPr="006672D9">
        <w:rPr>
          <w:rFonts w:ascii="Arial" w:eastAsia="Arial" w:hAnsi="Arial" w:cs="Arial"/>
          <w:b/>
          <w:sz w:val="24"/>
          <w:szCs w:val="24"/>
        </w:rPr>
        <w:t xml:space="preserve"> </w:t>
      </w:r>
    </w:p>
    <w:p w14:paraId="442A3142" w14:textId="77777777" w:rsidR="00927C81" w:rsidRPr="006672D9" w:rsidRDefault="00927C81" w:rsidP="00237073">
      <w:pPr>
        <w:pStyle w:val="Normal1"/>
        <w:tabs>
          <w:tab w:val="right" w:pos="9050"/>
        </w:tabs>
        <w:spacing w:after="0" w:line="360" w:lineRule="auto"/>
        <w:jc w:val="both"/>
        <w:rPr>
          <w:rFonts w:ascii="Arial" w:eastAsia="Arial" w:hAnsi="Arial" w:cs="Arial"/>
          <w:b/>
          <w:sz w:val="24"/>
          <w:szCs w:val="24"/>
        </w:rPr>
      </w:pPr>
      <w:r w:rsidRPr="006672D9">
        <w:rPr>
          <w:rFonts w:ascii="Arial" w:eastAsia="Arial" w:hAnsi="Arial" w:cs="Arial"/>
          <w:b/>
          <w:sz w:val="24"/>
          <w:szCs w:val="24"/>
        </w:rPr>
        <w:t xml:space="preserve">in her capacity as </w:t>
      </w:r>
      <w:r w:rsidRPr="006672D9">
        <w:rPr>
          <w:rFonts w:ascii="Arial" w:eastAsia="Arial" w:hAnsi="Arial" w:cs="Arial"/>
          <w:b/>
          <w:i/>
          <w:sz w:val="24"/>
          <w:szCs w:val="24"/>
        </w:rPr>
        <w:t>Curatrix Bonis</w:t>
      </w:r>
      <w:r w:rsidRPr="006672D9">
        <w:rPr>
          <w:rFonts w:ascii="Arial" w:eastAsia="Arial" w:hAnsi="Arial" w:cs="Arial"/>
          <w:b/>
          <w:sz w:val="24"/>
          <w:szCs w:val="24"/>
        </w:rPr>
        <w:t>)</w:t>
      </w:r>
      <w:r w:rsidR="004E4220" w:rsidRPr="006672D9">
        <w:rPr>
          <w:rFonts w:ascii="Arial" w:eastAsia="Arial" w:hAnsi="Arial" w:cs="Arial"/>
          <w:b/>
          <w:sz w:val="24"/>
          <w:szCs w:val="24"/>
        </w:rPr>
        <w:t xml:space="preserve"> </w:t>
      </w:r>
      <w:r w:rsidR="00FF13E1" w:rsidRPr="006672D9">
        <w:rPr>
          <w:rFonts w:ascii="Arial" w:eastAsia="Arial" w:hAnsi="Arial" w:cs="Arial"/>
          <w:b/>
          <w:sz w:val="24"/>
          <w:szCs w:val="24"/>
        </w:rPr>
        <w:tab/>
        <w:t xml:space="preserve"> RESPONDENT</w:t>
      </w:r>
    </w:p>
    <w:p w14:paraId="21B089B2" w14:textId="77777777" w:rsidR="00927C81" w:rsidRPr="006672D9" w:rsidRDefault="00927C81" w:rsidP="00237073">
      <w:pPr>
        <w:pStyle w:val="Normal1"/>
        <w:spacing w:after="120" w:line="360" w:lineRule="auto"/>
        <w:jc w:val="both"/>
        <w:rPr>
          <w:rFonts w:ascii="Arial" w:eastAsia="Arial" w:hAnsi="Arial" w:cs="Arial"/>
          <w:sz w:val="24"/>
          <w:szCs w:val="24"/>
        </w:rPr>
      </w:pPr>
    </w:p>
    <w:p w14:paraId="0C9F278A" w14:textId="7E2D7A62" w:rsidR="00927C81" w:rsidRPr="006672D9" w:rsidRDefault="00927C81" w:rsidP="00237073">
      <w:pPr>
        <w:pStyle w:val="Normal1"/>
        <w:spacing w:after="240" w:line="360" w:lineRule="auto"/>
        <w:ind w:left="2160" w:hanging="2160"/>
        <w:jc w:val="both"/>
        <w:rPr>
          <w:rFonts w:ascii="Arial" w:eastAsia="Arial" w:hAnsi="Arial" w:cs="Arial"/>
          <w:sz w:val="24"/>
          <w:szCs w:val="24"/>
        </w:rPr>
      </w:pPr>
      <w:r w:rsidRPr="006672D9">
        <w:rPr>
          <w:rFonts w:ascii="Arial" w:eastAsia="Arial" w:hAnsi="Arial" w:cs="Arial"/>
          <w:b/>
          <w:sz w:val="24"/>
          <w:szCs w:val="24"/>
        </w:rPr>
        <w:t>Neutral citation:</w:t>
      </w:r>
      <w:r w:rsidRPr="006672D9">
        <w:rPr>
          <w:rFonts w:ascii="Arial" w:eastAsia="Arial" w:hAnsi="Arial" w:cs="Arial"/>
          <w:b/>
          <w:sz w:val="24"/>
          <w:szCs w:val="24"/>
        </w:rPr>
        <w:tab/>
      </w:r>
      <w:r w:rsidR="000F549E" w:rsidRPr="006672D9">
        <w:rPr>
          <w:rFonts w:ascii="Arial" w:eastAsia="Arial" w:hAnsi="Arial" w:cs="Arial"/>
          <w:i/>
          <w:sz w:val="24"/>
          <w:szCs w:val="24"/>
        </w:rPr>
        <w:t>Lindsey and Others</w:t>
      </w:r>
      <w:r w:rsidRPr="006672D9">
        <w:rPr>
          <w:rFonts w:ascii="Arial" w:eastAsia="Arial" w:hAnsi="Arial" w:cs="Arial"/>
          <w:i/>
          <w:sz w:val="24"/>
          <w:szCs w:val="24"/>
        </w:rPr>
        <w:t xml:space="preserve"> v </w:t>
      </w:r>
      <w:r w:rsidR="004B5CE2" w:rsidRPr="006672D9">
        <w:rPr>
          <w:rFonts w:ascii="Arial" w:eastAsia="Arial" w:hAnsi="Arial" w:cs="Arial"/>
          <w:i/>
          <w:sz w:val="24"/>
          <w:szCs w:val="24"/>
        </w:rPr>
        <w:t xml:space="preserve">Conteh </w:t>
      </w:r>
      <w:r w:rsidR="004B5CE2" w:rsidRPr="006672D9">
        <w:rPr>
          <w:rFonts w:ascii="Arial" w:eastAsia="Arial" w:hAnsi="Arial" w:cs="Arial"/>
          <w:sz w:val="24"/>
          <w:szCs w:val="24"/>
        </w:rPr>
        <w:t>(774</w:t>
      </w:r>
      <w:r w:rsidR="00441673">
        <w:rPr>
          <w:rFonts w:ascii="Arial" w:eastAsia="Arial" w:hAnsi="Arial" w:cs="Arial"/>
          <w:sz w:val="24"/>
          <w:szCs w:val="24"/>
        </w:rPr>
        <w:t>/2022) [2024</w:t>
      </w:r>
      <w:r w:rsidRPr="006672D9">
        <w:rPr>
          <w:rFonts w:ascii="Arial" w:eastAsia="Arial" w:hAnsi="Arial" w:cs="Arial"/>
          <w:sz w:val="24"/>
          <w:szCs w:val="24"/>
        </w:rPr>
        <w:t xml:space="preserve">] </w:t>
      </w:r>
      <w:r w:rsidR="000F549E" w:rsidRPr="006672D9">
        <w:rPr>
          <w:rFonts w:ascii="Arial" w:eastAsia="Arial" w:hAnsi="Arial" w:cs="Arial"/>
          <w:sz w:val="24"/>
          <w:szCs w:val="24"/>
        </w:rPr>
        <w:t xml:space="preserve">ZASCA </w:t>
      </w:r>
      <w:r w:rsidR="007B0965" w:rsidRPr="007B0965">
        <w:rPr>
          <w:rFonts w:ascii="Arial" w:eastAsia="Arial" w:hAnsi="Arial" w:cs="Arial"/>
          <w:sz w:val="24"/>
          <w:szCs w:val="24"/>
        </w:rPr>
        <w:t>13</w:t>
      </w:r>
      <w:r w:rsidR="000F549E" w:rsidRPr="007B0965">
        <w:rPr>
          <w:rFonts w:ascii="Arial" w:eastAsia="Arial" w:hAnsi="Arial" w:cs="Arial"/>
          <w:sz w:val="24"/>
          <w:szCs w:val="24"/>
        </w:rPr>
        <w:t xml:space="preserve"> (</w:t>
      </w:r>
      <w:r w:rsidR="007B0965" w:rsidRPr="007B0965">
        <w:rPr>
          <w:rFonts w:ascii="Arial" w:eastAsia="Arial" w:hAnsi="Arial" w:cs="Arial"/>
          <w:sz w:val="24"/>
          <w:szCs w:val="24"/>
        </w:rPr>
        <w:t>6</w:t>
      </w:r>
      <w:r w:rsidRPr="007B0965">
        <w:rPr>
          <w:rFonts w:ascii="Arial" w:eastAsia="Arial" w:hAnsi="Arial" w:cs="Arial"/>
          <w:sz w:val="24"/>
          <w:szCs w:val="24"/>
        </w:rPr>
        <w:t xml:space="preserve"> </w:t>
      </w:r>
      <w:r w:rsidR="00060639" w:rsidRPr="007B0965">
        <w:rPr>
          <w:rFonts w:ascii="Arial" w:eastAsia="Arial" w:hAnsi="Arial" w:cs="Arial"/>
          <w:sz w:val="24"/>
          <w:szCs w:val="24"/>
        </w:rPr>
        <w:t>February</w:t>
      </w:r>
      <w:r w:rsidR="00DF6440" w:rsidRPr="007B0965">
        <w:rPr>
          <w:rFonts w:ascii="Arial" w:eastAsia="Arial" w:hAnsi="Arial" w:cs="Arial"/>
          <w:sz w:val="24"/>
          <w:szCs w:val="24"/>
        </w:rPr>
        <w:t xml:space="preserve"> 2024</w:t>
      </w:r>
      <w:r w:rsidRPr="007B0965">
        <w:rPr>
          <w:rFonts w:ascii="Arial" w:eastAsia="Arial" w:hAnsi="Arial" w:cs="Arial"/>
          <w:sz w:val="24"/>
          <w:szCs w:val="24"/>
        </w:rPr>
        <w:t>)</w:t>
      </w:r>
    </w:p>
    <w:p w14:paraId="50BCA39C" w14:textId="77777777" w:rsidR="00927C81" w:rsidRPr="006672D9" w:rsidRDefault="00927C81" w:rsidP="00237073">
      <w:pPr>
        <w:pStyle w:val="Normal1"/>
        <w:spacing w:after="240" w:line="360" w:lineRule="auto"/>
        <w:ind w:left="1440" w:hanging="1440"/>
        <w:jc w:val="both"/>
        <w:rPr>
          <w:rFonts w:ascii="Arial" w:eastAsia="Arial" w:hAnsi="Arial" w:cs="Arial"/>
          <w:sz w:val="24"/>
          <w:szCs w:val="24"/>
        </w:rPr>
      </w:pPr>
      <w:r w:rsidRPr="006672D9">
        <w:rPr>
          <w:rFonts w:ascii="Arial" w:eastAsia="Arial" w:hAnsi="Arial" w:cs="Arial"/>
          <w:b/>
          <w:sz w:val="24"/>
          <w:szCs w:val="24"/>
        </w:rPr>
        <w:t>Coram:</w:t>
      </w:r>
      <w:r w:rsidRPr="006672D9">
        <w:rPr>
          <w:rFonts w:ascii="Arial" w:eastAsia="Arial" w:hAnsi="Arial" w:cs="Arial"/>
          <w:b/>
          <w:sz w:val="24"/>
          <w:szCs w:val="24"/>
        </w:rPr>
        <w:tab/>
      </w:r>
      <w:r w:rsidR="002260A9" w:rsidRPr="006672D9">
        <w:rPr>
          <w:rFonts w:ascii="Arial" w:eastAsia="Arial" w:hAnsi="Arial" w:cs="Arial"/>
          <w:sz w:val="24"/>
          <w:szCs w:val="24"/>
        </w:rPr>
        <w:t xml:space="preserve">SALDULKER, HUGHES, MABINDLA-BOQWANA and MATOJANE JJA and UNTERHALTER </w:t>
      </w:r>
      <w:r w:rsidRPr="006672D9">
        <w:rPr>
          <w:rFonts w:ascii="Arial" w:eastAsia="Arial" w:hAnsi="Arial" w:cs="Arial"/>
          <w:sz w:val="24"/>
          <w:szCs w:val="24"/>
        </w:rPr>
        <w:t>AJA</w:t>
      </w:r>
    </w:p>
    <w:p w14:paraId="6FDD86A3" w14:textId="77777777" w:rsidR="00927C81" w:rsidRPr="006672D9" w:rsidRDefault="00927C81" w:rsidP="00237073">
      <w:pPr>
        <w:pStyle w:val="Normal1"/>
        <w:spacing w:after="240" w:line="360" w:lineRule="auto"/>
        <w:jc w:val="both"/>
        <w:rPr>
          <w:rFonts w:ascii="Arial" w:eastAsia="Arial" w:hAnsi="Arial" w:cs="Arial"/>
          <w:sz w:val="24"/>
          <w:szCs w:val="24"/>
        </w:rPr>
      </w:pPr>
      <w:r w:rsidRPr="006672D9">
        <w:rPr>
          <w:rFonts w:ascii="Arial" w:eastAsia="Arial" w:hAnsi="Arial" w:cs="Arial"/>
          <w:b/>
          <w:sz w:val="24"/>
          <w:szCs w:val="24"/>
        </w:rPr>
        <w:t xml:space="preserve">Heard: </w:t>
      </w:r>
      <w:r w:rsidRPr="006672D9">
        <w:rPr>
          <w:rFonts w:ascii="Arial" w:eastAsia="Arial" w:hAnsi="Arial" w:cs="Arial"/>
          <w:b/>
          <w:sz w:val="24"/>
          <w:szCs w:val="24"/>
        </w:rPr>
        <w:tab/>
      </w:r>
      <w:r w:rsidR="000F549E" w:rsidRPr="006672D9">
        <w:rPr>
          <w:rFonts w:ascii="Arial" w:eastAsia="Arial" w:hAnsi="Arial" w:cs="Arial"/>
          <w:sz w:val="24"/>
          <w:szCs w:val="24"/>
        </w:rPr>
        <w:t>1 September</w:t>
      </w:r>
      <w:r w:rsidRPr="006672D9">
        <w:rPr>
          <w:rFonts w:ascii="Arial" w:eastAsia="Arial" w:hAnsi="Arial" w:cs="Arial"/>
          <w:sz w:val="24"/>
          <w:szCs w:val="24"/>
        </w:rPr>
        <w:t xml:space="preserve"> 2023</w:t>
      </w:r>
    </w:p>
    <w:p w14:paraId="20831BCB" w14:textId="175138C7" w:rsidR="00927C81" w:rsidRPr="006672D9" w:rsidRDefault="00927C81" w:rsidP="00237073">
      <w:pPr>
        <w:pStyle w:val="Normal1"/>
        <w:spacing w:after="240" w:line="360" w:lineRule="auto"/>
        <w:jc w:val="both"/>
        <w:rPr>
          <w:rFonts w:ascii="Arial" w:eastAsia="Arial" w:hAnsi="Arial" w:cs="Arial"/>
          <w:sz w:val="24"/>
          <w:szCs w:val="24"/>
        </w:rPr>
      </w:pPr>
      <w:r w:rsidRPr="006672D9">
        <w:rPr>
          <w:rFonts w:ascii="Arial" w:eastAsia="Arial" w:hAnsi="Arial" w:cs="Arial"/>
          <w:b/>
          <w:sz w:val="24"/>
          <w:szCs w:val="24"/>
        </w:rPr>
        <w:lastRenderedPageBreak/>
        <w:t xml:space="preserve">Delivered: </w:t>
      </w:r>
      <w:r w:rsidRPr="006672D9">
        <w:rPr>
          <w:rFonts w:ascii="Arial" w:eastAsia="Arial" w:hAnsi="Arial" w:cs="Arial"/>
          <w:b/>
          <w:sz w:val="24"/>
          <w:szCs w:val="24"/>
        </w:rPr>
        <w:tab/>
      </w:r>
      <w:r w:rsidR="00441673" w:rsidRPr="00441673">
        <w:rPr>
          <w:rFonts w:ascii="Arial" w:eastAsia="Arial" w:hAnsi="Arial" w:cs="Arial"/>
          <w:sz w:val="24"/>
          <w:szCs w:val="24"/>
        </w:rPr>
        <w:t xml:space="preserve">This judgment was handed down electronically by circulation to the parties’ representatives by email, publication on the Supreme Court of Appeal website, and release to SAFLII. The date for hand down is deemed to be </w:t>
      </w:r>
      <w:r w:rsidR="007B0965">
        <w:rPr>
          <w:rFonts w:ascii="Arial" w:eastAsia="Arial" w:hAnsi="Arial" w:cs="Arial"/>
          <w:sz w:val="24"/>
          <w:szCs w:val="24"/>
        </w:rPr>
        <w:t>6</w:t>
      </w:r>
      <w:r w:rsidR="00441673" w:rsidRPr="007B0965">
        <w:rPr>
          <w:rFonts w:ascii="Arial" w:eastAsia="Arial" w:hAnsi="Arial" w:cs="Arial"/>
          <w:sz w:val="24"/>
          <w:szCs w:val="24"/>
        </w:rPr>
        <w:t xml:space="preserve"> February 2024</w:t>
      </w:r>
      <w:r w:rsidR="00441673" w:rsidRPr="00441673">
        <w:rPr>
          <w:rFonts w:ascii="Arial" w:eastAsia="Arial" w:hAnsi="Arial" w:cs="Arial"/>
          <w:sz w:val="24"/>
          <w:szCs w:val="24"/>
        </w:rPr>
        <w:t xml:space="preserve"> at 11h00.</w:t>
      </w:r>
    </w:p>
    <w:p w14:paraId="60CE08E5" w14:textId="3D5AB3FB" w:rsidR="00927C81" w:rsidRPr="006672D9" w:rsidRDefault="00927C81" w:rsidP="00237073">
      <w:pPr>
        <w:pStyle w:val="Normal1"/>
        <w:spacing w:after="120" w:line="360" w:lineRule="auto"/>
        <w:jc w:val="both"/>
        <w:rPr>
          <w:rFonts w:ascii="Arial" w:eastAsia="Arial" w:hAnsi="Arial" w:cs="Arial"/>
          <w:sz w:val="24"/>
          <w:szCs w:val="24"/>
        </w:rPr>
      </w:pPr>
      <w:r w:rsidRPr="006672D9">
        <w:rPr>
          <w:rFonts w:ascii="Arial" w:eastAsia="Arial" w:hAnsi="Arial" w:cs="Arial"/>
          <w:b/>
          <w:sz w:val="24"/>
          <w:szCs w:val="24"/>
        </w:rPr>
        <w:t>Summary:</w:t>
      </w:r>
      <w:r w:rsidRPr="006672D9">
        <w:rPr>
          <w:rFonts w:ascii="Arial" w:eastAsia="Arial" w:hAnsi="Arial" w:cs="Arial"/>
          <w:sz w:val="24"/>
          <w:szCs w:val="24"/>
        </w:rPr>
        <w:t xml:space="preserve"> </w:t>
      </w:r>
      <w:r w:rsidR="002260A9" w:rsidRPr="006672D9">
        <w:rPr>
          <w:rFonts w:ascii="Arial" w:eastAsia="Arial" w:hAnsi="Arial" w:cs="Arial"/>
          <w:sz w:val="24"/>
          <w:szCs w:val="24"/>
        </w:rPr>
        <w:tab/>
      </w:r>
      <w:r w:rsidR="00060639">
        <w:rPr>
          <w:rFonts w:ascii="Arial" w:eastAsia="Arial" w:hAnsi="Arial" w:cs="Arial"/>
          <w:sz w:val="24"/>
          <w:szCs w:val="24"/>
        </w:rPr>
        <w:t>Private international law</w:t>
      </w:r>
      <w:r w:rsidR="00A27B1D" w:rsidRPr="006672D9">
        <w:rPr>
          <w:rFonts w:ascii="Arial" w:eastAsia="Arial" w:hAnsi="Arial" w:cs="Arial"/>
          <w:sz w:val="24"/>
          <w:szCs w:val="24"/>
        </w:rPr>
        <w:t xml:space="preserve"> –</w:t>
      </w:r>
      <w:r w:rsidR="00F8705C" w:rsidRPr="006672D9">
        <w:rPr>
          <w:rFonts w:ascii="Arial" w:eastAsia="Arial" w:hAnsi="Arial" w:cs="Arial"/>
          <w:sz w:val="24"/>
          <w:szCs w:val="24"/>
        </w:rPr>
        <w:t xml:space="preserve"> </w:t>
      </w:r>
      <w:r w:rsidR="00A27B1D" w:rsidRPr="006672D9">
        <w:rPr>
          <w:rFonts w:ascii="Arial" w:eastAsia="Arial" w:hAnsi="Arial" w:cs="Arial"/>
          <w:sz w:val="24"/>
          <w:szCs w:val="24"/>
        </w:rPr>
        <w:t>enforceability of forei</w:t>
      </w:r>
      <w:r w:rsidR="00FA7400" w:rsidRPr="006672D9">
        <w:rPr>
          <w:rFonts w:ascii="Arial" w:eastAsia="Arial" w:hAnsi="Arial" w:cs="Arial"/>
          <w:sz w:val="24"/>
          <w:szCs w:val="24"/>
        </w:rPr>
        <w:t xml:space="preserve">gn judgment – </w:t>
      </w:r>
      <w:r w:rsidR="00A27B1D" w:rsidRPr="006672D9">
        <w:rPr>
          <w:rFonts w:ascii="Arial" w:eastAsia="Arial" w:hAnsi="Arial" w:cs="Arial"/>
          <w:sz w:val="24"/>
          <w:szCs w:val="24"/>
        </w:rPr>
        <w:t>civil procedure – provisional sentence – liquidity.</w:t>
      </w:r>
    </w:p>
    <w:p w14:paraId="5B382456" w14:textId="77777777" w:rsidR="00927C81" w:rsidRPr="006672D9" w:rsidRDefault="00927C81" w:rsidP="00237073">
      <w:pPr>
        <w:pStyle w:val="Normal1"/>
        <w:spacing w:after="120" w:line="360" w:lineRule="auto"/>
        <w:jc w:val="both"/>
        <w:rPr>
          <w:rFonts w:ascii="Arial" w:eastAsia="Arial" w:hAnsi="Arial" w:cs="Arial"/>
          <w:sz w:val="24"/>
          <w:szCs w:val="24"/>
        </w:rPr>
      </w:pPr>
    </w:p>
    <w:p w14:paraId="13D6EDB5" w14:textId="77777777" w:rsidR="00927C81" w:rsidRPr="006672D9" w:rsidRDefault="00927C81" w:rsidP="00237073">
      <w:pPr>
        <w:pStyle w:val="Normal1"/>
        <w:spacing w:after="120" w:line="360" w:lineRule="auto"/>
        <w:jc w:val="both"/>
        <w:rPr>
          <w:rFonts w:ascii="Arial" w:eastAsia="Arial" w:hAnsi="Arial" w:cs="Arial"/>
          <w:sz w:val="24"/>
          <w:szCs w:val="24"/>
        </w:rPr>
      </w:pPr>
    </w:p>
    <w:p w14:paraId="3769F2E6" w14:textId="77777777" w:rsidR="00927C81" w:rsidRPr="006672D9" w:rsidRDefault="00927C81" w:rsidP="00237073">
      <w:pPr>
        <w:pStyle w:val="Normal1"/>
        <w:spacing w:after="120" w:line="360" w:lineRule="auto"/>
        <w:jc w:val="both"/>
        <w:rPr>
          <w:rFonts w:ascii="Arial" w:eastAsia="Arial" w:hAnsi="Arial" w:cs="Arial"/>
          <w:sz w:val="24"/>
          <w:szCs w:val="24"/>
        </w:rPr>
      </w:pPr>
    </w:p>
    <w:p w14:paraId="76983998" w14:textId="77777777" w:rsidR="00927C81" w:rsidRPr="006672D9" w:rsidRDefault="00927C81" w:rsidP="00237073">
      <w:pPr>
        <w:pStyle w:val="Normal1"/>
        <w:spacing w:after="120" w:line="360" w:lineRule="auto"/>
        <w:jc w:val="both"/>
        <w:rPr>
          <w:rFonts w:ascii="Arial" w:eastAsia="Arial" w:hAnsi="Arial" w:cs="Arial"/>
          <w:sz w:val="24"/>
          <w:szCs w:val="24"/>
        </w:rPr>
      </w:pPr>
    </w:p>
    <w:p w14:paraId="48E66678" w14:textId="77777777" w:rsidR="00927C81" w:rsidRPr="006672D9" w:rsidRDefault="00927C81" w:rsidP="00237073">
      <w:pPr>
        <w:pStyle w:val="Normal1"/>
        <w:spacing w:after="120" w:line="360" w:lineRule="auto"/>
        <w:jc w:val="both"/>
        <w:rPr>
          <w:rFonts w:ascii="Arial" w:eastAsia="Arial" w:hAnsi="Arial" w:cs="Arial"/>
          <w:sz w:val="24"/>
          <w:szCs w:val="24"/>
        </w:rPr>
      </w:pPr>
    </w:p>
    <w:p w14:paraId="49F5D2CC" w14:textId="77777777" w:rsidR="00927C81" w:rsidRPr="006672D9" w:rsidRDefault="00927C81" w:rsidP="00237073">
      <w:pPr>
        <w:pStyle w:val="Normal1"/>
        <w:spacing w:after="120" w:line="360" w:lineRule="auto"/>
        <w:jc w:val="both"/>
        <w:rPr>
          <w:rFonts w:ascii="Arial" w:eastAsia="Arial" w:hAnsi="Arial" w:cs="Arial"/>
          <w:sz w:val="24"/>
          <w:szCs w:val="24"/>
        </w:rPr>
      </w:pPr>
    </w:p>
    <w:p w14:paraId="76A4C7B4" w14:textId="77777777" w:rsidR="00927C81" w:rsidRPr="006672D9" w:rsidRDefault="00927C81" w:rsidP="00237073">
      <w:pPr>
        <w:pStyle w:val="Normal1"/>
        <w:spacing w:after="120" w:line="360" w:lineRule="auto"/>
        <w:jc w:val="both"/>
        <w:rPr>
          <w:rFonts w:ascii="Arial" w:eastAsia="Arial" w:hAnsi="Arial" w:cs="Arial"/>
          <w:sz w:val="24"/>
          <w:szCs w:val="24"/>
        </w:rPr>
      </w:pPr>
    </w:p>
    <w:p w14:paraId="2A8E3E4D" w14:textId="77777777" w:rsidR="00927C81" w:rsidRPr="006672D9" w:rsidRDefault="00927C81" w:rsidP="00237073">
      <w:pPr>
        <w:pStyle w:val="Normal1"/>
        <w:spacing w:after="120" w:line="360" w:lineRule="auto"/>
        <w:jc w:val="both"/>
        <w:rPr>
          <w:rFonts w:ascii="Arial" w:eastAsia="Arial" w:hAnsi="Arial" w:cs="Arial"/>
          <w:sz w:val="24"/>
          <w:szCs w:val="24"/>
        </w:rPr>
      </w:pPr>
    </w:p>
    <w:p w14:paraId="2DF8D7D5" w14:textId="77777777" w:rsidR="00927C81" w:rsidRPr="006672D9" w:rsidRDefault="00927C81" w:rsidP="00237073">
      <w:pPr>
        <w:pStyle w:val="Normal1"/>
        <w:spacing w:after="120" w:line="360" w:lineRule="auto"/>
        <w:jc w:val="both"/>
        <w:rPr>
          <w:rFonts w:ascii="Arial" w:eastAsia="Arial" w:hAnsi="Arial" w:cs="Arial"/>
          <w:sz w:val="24"/>
          <w:szCs w:val="24"/>
        </w:rPr>
      </w:pPr>
    </w:p>
    <w:p w14:paraId="3E7CC146" w14:textId="77777777" w:rsidR="00927C81" w:rsidRPr="006672D9" w:rsidRDefault="00927C81" w:rsidP="00237073">
      <w:pPr>
        <w:pStyle w:val="Normal1"/>
        <w:spacing w:after="120" w:line="360" w:lineRule="auto"/>
        <w:jc w:val="both"/>
        <w:rPr>
          <w:rFonts w:ascii="Arial" w:eastAsia="Arial" w:hAnsi="Arial" w:cs="Arial"/>
          <w:sz w:val="24"/>
          <w:szCs w:val="24"/>
        </w:rPr>
      </w:pPr>
    </w:p>
    <w:p w14:paraId="530F6B6D" w14:textId="77777777" w:rsidR="00927C81" w:rsidRPr="006672D9" w:rsidRDefault="00927C81" w:rsidP="00237073">
      <w:pPr>
        <w:pStyle w:val="Normal1"/>
        <w:spacing w:after="120" w:line="360" w:lineRule="auto"/>
        <w:jc w:val="both"/>
        <w:rPr>
          <w:rFonts w:ascii="Arial" w:eastAsia="Arial" w:hAnsi="Arial" w:cs="Arial"/>
          <w:sz w:val="24"/>
          <w:szCs w:val="24"/>
        </w:rPr>
      </w:pPr>
    </w:p>
    <w:p w14:paraId="11991C00" w14:textId="77777777" w:rsidR="00927C81" w:rsidRPr="006672D9" w:rsidRDefault="00927C81" w:rsidP="00237073">
      <w:pPr>
        <w:pStyle w:val="Normal1"/>
        <w:spacing w:after="120" w:line="360" w:lineRule="auto"/>
        <w:jc w:val="both"/>
        <w:rPr>
          <w:rFonts w:ascii="Arial" w:eastAsia="Arial" w:hAnsi="Arial" w:cs="Arial"/>
          <w:sz w:val="24"/>
          <w:szCs w:val="24"/>
        </w:rPr>
      </w:pPr>
    </w:p>
    <w:p w14:paraId="39D3F8F4" w14:textId="77777777" w:rsidR="00927C81" w:rsidRPr="006672D9" w:rsidRDefault="00927C81" w:rsidP="00237073">
      <w:pPr>
        <w:pStyle w:val="Normal1"/>
        <w:spacing w:after="120" w:line="360" w:lineRule="auto"/>
        <w:jc w:val="both"/>
        <w:rPr>
          <w:rFonts w:ascii="Arial" w:eastAsia="Arial" w:hAnsi="Arial" w:cs="Arial"/>
          <w:sz w:val="24"/>
          <w:szCs w:val="24"/>
        </w:rPr>
      </w:pPr>
    </w:p>
    <w:p w14:paraId="14027106" w14:textId="77777777" w:rsidR="00927C81" w:rsidRPr="006672D9" w:rsidRDefault="00927C81" w:rsidP="00237073">
      <w:pPr>
        <w:pStyle w:val="Normal1"/>
        <w:spacing w:after="120" w:line="360" w:lineRule="auto"/>
        <w:jc w:val="both"/>
        <w:rPr>
          <w:rFonts w:ascii="Arial" w:eastAsia="Arial" w:hAnsi="Arial" w:cs="Arial"/>
          <w:sz w:val="24"/>
          <w:szCs w:val="24"/>
        </w:rPr>
      </w:pPr>
    </w:p>
    <w:p w14:paraId="3CB6B87D" w14:textId="77777777" w:rsidR="00147899" w:rsidRPr="006672D9" w:rsidRDefault="00147899" w:rsidP="00237073">
      <w:pPr>
        <w:pStyle w:val="Normal1"/>
        <w:spacing w:after="120" w:line="360" w:lineRule="auto"/>
        <w:jc w:val="both"/>
        <w:rPr>
          <w:rFonts w:ascii="Arial" w:eastAsia="Arial" w:hAnsi="Arial" w:cs="Arial"/>
          <w:sz w:val="24"/>
          <w:szCs w:val="24"/>
        </w:rPr>
      </w:pPr>
    </w:p>
    <w:p w14:paraId="48D06DEC" w14:textId="77777777" w:rsidR="00147899" w:rsidRPr="006672D9" w:rsidRDefault="00147899" w:rsidP="00237073">
      <w:pPr>
        <w:pStyle w:val="Normal1"/>
        <w:spacing w:after="120" w:line="360" w:lineRule="auto"/>
        <w:jc w:val="both"/>
        <w:rPr>
          <w:rFonts w:ascii="Arial" w:eastAsia="Arial" w:hAnsi="Arial" w:cs="Arial"/>
          <w:sz w:val="24"/>
          <w:szCs w:val="24"/>
        </w:rPr>
      </w:pPr>
    </w:p>
    <w:p w14:paraId="7F15E0C1" w14:textId="77777777" w:rsidR="00147899" w:rsidRPr="006672D9" w:rsidRDefault="00147899" w:rsidP="00237073">
      <w:pPr>
        <w:pStyle w:val="Normal1"/>
        <w:spacing w:after="120" w:line="360" w:lineRule="auto"/>
        <w:jc w:val="both"/>
        <w:rPr>
          <w:rFonts w:ascii="Arial" w:eastAsia="Arial" w:hAnsi="Arial" w:cs="Arial"/>
          <w:sz w:val="24"/>
          <w:szCs w:val="24"/>
        </w:rPr>
      </w:pPr>
    </w:p>
    <w:p w14:paraId="055C4D25" w14:textId="77777777" w:rsidR="00927C81" w:rsidRPr="006672D9" w:rsidRDefault="00927C81" w:rsidP="00237073">
      <w:pPr>
        <w:pStyle w:val="Normal1"/>
        <w:spacing w:after="120" w:line="360" w:lineRule="auto"/>
        <w:jc w:val="both"/>
        <w:rPr>
          <w:rFonts w:ascii="Arial" w:eastAsia="Arial" w:hAnsi="Arial" w:cs="Arial"/>
          <w:sz w:val="24"/>
          <w:szCs w:val="24"/>
        </w:rPr>
      </w:pPr>
    </w:p>
    <w:p w14:paraId="41082FAD" w14:textId="77777777" w:rsidR="002260A9" w:rsidRPr="006672D9" w:rsidRDefault="002260A9" w:rsidP="00237073">
      <w:pPr>
        <w:pStyle w:val="Normal1"/>
        <w:spacing w:after="120" w:line="360" w:lineRule="auto"/>
        <w:jc w:val="both"/>
        <w:rPr>
          <w:rFonts w:ascii="Arial" w:eastAsia="Arial" w:hAnsi="Arial" w:cs="Arial"/>
          <w:sz w:val="24"/>
          <w:szCs w:val="24"/>
        </w:rPr>
      </w:pPr>
    </w:p>
    <w:p w14:paraId="1A17F7C0" w14:textId="189E43E8" w:rsidR="002260A9" w:rsidRDefault="002260A9" w:rsidP="00237073">
      <w:pPr>
        <w:pStyle w:val="Normal1"/>
        <w:spacing w:after="120" w:line="360" w:lineRule="auto"/>
        <w:jc w:val="both"/>
        <w:rPr>
          <w:rFonts w:ascii="Arial" w:eastAsia="Arial" w:hAnsi="Arial" w:cs="Arial"/>
          <w:sz w:val="24"/>
          <w:szCs w:val="24"/>
        </w:rPr>
      </w:pPr>
    </w:p>
    <w:p w14:paraId="0A9FCE03" w14:textId="77777777" w:rsidR="00237073" w:rsidRPr="006672D9" w:rsidRDefault="00237073" w:rsidP="00237073">
      <w:pPr>
        <w:pStyle w:val="Normal1"/>
        <w:spacing w:after="120" w:line="360" w:lineRule="auto"/>
        <w:jc w:val="both"/>
        <w:rPr>
          <w:rFonts w:ascii="Arial" w:eastAsia="Arial" w:hAnsi="Arial" w:cs="Arial"/>
          <w:sz w:val="24"/>
          <w:szCs w:val="24"/>
        </w:rPr>
      </w:pPr>
    </w:p>
    <w:p w14:paraId="24882D69" w14:textId="77777777" w:rsidR="00F3468C" w:rsidRPr="006672D9" w:rsidRDefault="00F3468C" w:rsidP="00237073">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lastRenderedPageBreak/>
        <w:t>___________________________________________________________________</w:t>
      </w:r>
    </w:p>
    <w:p w14:paraId="1742D283" w14:textId="77777777" w:rsidR="00F3468C" w:rsidRPr="006672D9" w:rsidRDefault="00F3468C" w:rsidP="00237073">
      <w:pPr>
        <w:pStyle w:val="Normal1"/>
        <w:spacing w:after="0" w:line="360" w:lineRule="auto"/>
        <w:jc w:val="both"/>
        <w:rPr>
          <w:rFonts w:ascii="Arial" w:eastAsia="Arial" w:hAnsi="Arial" w:cs="Arial"/>
          <w:b/>
          <w:sz w:val="24"/>
          <w:szCs w:val="24"/>
        </w:rPr>
      </w:pPr>
    </w:p>
    <w:p w14:paraId="7992BC5C" w14:textId="77777777" w:rsidR="00F3468C" w:rsidRPr="006672D9" w:rsidRDefault="00F3468C" w:rsidP="00237073">
      <w:pPr>
        <w:pStyle w:val="Normal1"/>
        <w:spacing w:after="0" w:line="360" w:lineRule="auto"/>
        <w:jc w:val="center"/>
        <w:rPr>
          <w:rFonts w:ascii="Arial" w:eastAsia="Arial" w:hAnsi="Arial" w:cs="Arial"/>
          <w:b/>
          <w:sz w:val="24"/>
          <w:szCs w:val="24"/>
        </w:rPr>
      </w:pPr>
      <w:r w:rsidRPr="006672D9">
        <w:rPr>
          <w:rFonts w:ascii="Arial" w:eastAsia="Arial" w:hAnsi="Arial" w:cs="Arial"/>
          <w:b/>
          <w:sz w:val="24"/>
          <w:szCs w:val="24"/>
        </w:rPr>
        <w:t>ORDER</w:t>
      </w:r>
    </w:p>
    <w:p w14:paraId="0D510E49" w14:textId="77777777" w:rsidR="00F3468C" w:rsidRPr="006672D9" w:rsidRDefault="00F3468C" w:rsidP="00237073">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___________________________________________________________________</w:t>
      </w:r>
    </w:p>
    <w:p w14:paraId="799DB98B" w14:textId="77777777" w:rsidR="00F3468C" w:rsidRPr="006672D9" w:rsidRDefault="00F3468C" w:rsidP="00237073">
      <w:pPr>
        <w:pStyle w:val="Normal1"/>
        <w:spacing w:after="0" w:line="360" w:lineRule="auto"/>
        <w:jc w:val="both"/>
        <w:rPr>
          <w:rFonts w:ascii="Arial" w:eastAsia="Arial" w:hAnsi="Arial" w:cs="Arial"/>
          <w:b/>
          <w:sz w:val="24"/>
          <w:szCs w:val="24"/>
        </w:rPr>
      </w:pPr>
    </w:p>
    <w:p w14:paraId="32E3FE16" w14:textId="77777777" w:rsidR="00F3468C" w:rsidRPr="006672D9" w:rsidRDefault="00F3468C" w:rsidP="00237073">
      <w:pPr>
        <w:pStyle w:val="Normal1"/>
        <w:spacing w:after="0" w:line="360" w:lineRule="auto"/>
        <w:jc w:val="both"/>
        <w:rPr>
          <w:rFonts w:ascii="Arial" w:eastAsia="Arial" w:hAnsi="Arial" w:cs="Arial"/>
          <w:sz w:val="24"/>
          <w:szCs w:val="24"/>
        </w:rPr>
      </w:pPr>
      <w:r w:rsidRPr="006672D9">
        <w:rPr>
          <w:rFonts w:ascii="Arial" w:eastAsia="Arial" w:hAnsi="Arial" w:cs="Arial"/>
          <w:b/>
          <w:sz w:val="24"/>
          <w:szCs w:val="24"/>
        </w:rPr>
        <w:t>On appeal from:</w:t>
      </w:r>
      <w:r w:rsidRPr="006672D9">
        <w:rPr>
          <w:rFonts w:ascii="Arial" w:eastAsia="Arial" w:hAnsi="Arial" w:cs="Arial"/>
          <w:sz w:val="24"/>
          <w:szCs w:val="24"/>
        </w:rPr>
        <w:t xml:space="preserve"> Gauteng Division</w:t>
      </w:r>
      <w:r w:rsidR="009711F2" w:rsidRPr="006672D9">
        <w:rPr>
          <w:rFonts w:ascii="Arial" w:eastAsia="Arial" w:hAnsi="Arial" w:cs="Arial"/>
          <w:sz w:val="24"/>
          <w:szCs w:val="24"/>
        </w:rPr>
        <w:t xml:space="preserve"> of the High Court</w:t>
      </w:r>
      <w:r w:rsidRPr="006672D9">
        <w:rPr>
          <w:rFonts w:ascii="Arial" w:eastAsia="Arial" w:hAnsi="Arial" w:cs="Arial"/>
          <w:sz w:val="24"/>
          <w:szCs w:val="24"/>
        </w:rPr>
        <w:t>, Johannesburg (</w:t>
      </w:r>
      <w:r w:rsidR="0003001E" w:rsidRPr="006672D9">
        <w:rPr>
          <w:rFonts w:ascii="Arial" w:eastAsia="Arial" w:hAnsi="Arial" w:cs="Arial"/>
          <w:sz w:val="24"/>
          <w:szCs w:val="24"/>
        </w:rPr>
        <w:t>Siwendu J</w:t>
      </w:r>
      <w:r w:rsidR="009711F2" w:rsidRPr="006672D9">
        <w:rPr>
          <w:rFonts w:ascii="Arial" w:eastAsia="Arial" w:hAnsi="Arial" w:cs="Arial"/>
          <w:sz w:val="24"/>
          <w:szCs w:val="24"/>
        </w:rPr>
        <w:t>,</w:t>
      </w:r>
      <w:r w:rsidRPr="006672D9">
        <w:rPr>
          <w:rFonts w:ascii="Arial" w:eastAsia="Arial" w:hAnsi="Arial" w:cs="Arial"/>
          <w:sz w:val="24"/>
          <w:szCs w:val="24"/>
        </w:rPr>
        <w:t xml:space="preserve"> sitting as </w:t>
      </w:r>
      <w:r w:rsidR="0003001E" w:rsidRPr="006672D9">
        <w:rPr>
          <w:rFonts w:ascii="Arial" w:eastAsia="Arial" w:hAnsi="Arial" w:cs="Arial"/>
          <w:sz w:val="24"/>
          <w:szCs w:val="24"/>
        </w:rPr>
        <w:t>court of first instance</w:t>
      </w:r>
      <w:r w:rsidR="009711F2" w:rsidRPr="006672D9">
        <w:rPr>
          <w:rFonts w:ascii="Arial" w:eastAsia="Arial" w:hAnsi="Arial" w:cs="Arial"/>
          <w:sz w:val="24"/>
          <w:szCs w:val="24"/>
        </w:rPr>
        <w:t>)</w:t>
      </w:r>
      <w:r w:rsidRPr="006672D9">
        <w:rPr>
          <w:rFonts w:ascii="Arial" w:eastAsia="Arial" w:hAnsi="Arial" w:cs="Arial"/>
          <w:sz w:val="24"/>
          <w:szCs w:val="24"/>
        </w:rPr>
        <w:t>:</w:t>
      </w:r>
    </w:p>
    <w:p w14:paraId="6F975DBE" w14:textId="77777777" w:rsidR="00F3468C" w:rsidRPr="006672D9" w:rsidRDefault="00F3468C" w:rsidP="00237073">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 xml:space="preserve">The appeal is </w:t>
      </w:r>
      <w:r w:rsidR="0003001E" w:rsidRPr="006672D9">
        <w:rPr>
          <w:rFonts w:ascii="Arial" w:eastAsia="Arial" w:hAnsi="Arial" w:cs="Arial"/>
          <w:sz w:val="24"/>
          <w:szCs w:val="24"/>
        </w:rPr>
        <w:t>dismissed with costs</w:t>
      </w:r>
      <w:r w:rsidR="00624AA2" w:rsidRPr="006672D9">
        <w:rPr>
          <w:rFonts w:ascii="Arial" w:eastAsia="Arial" w:hAnsi="Arial" w:cs="Arial"/>
          <w:sz w:val="24"/>
          <w:szCs w:val="24"/>
        </w:rPr>
        <w:t>, including the costs of two counsel where so employed</w:t>
      </w:r>
      <w:r w:rsidRPr="006672D9">
        <w:rPr>
          <w:rFonts w:ascii="Arial" w:eastAsia="Arial" w:hAnsi="Arial" w:cs="Arial"/>
          <w:sz w:val="24"/>
          <w:szCs w:val="24"/>
        </w:rPr>
        <w:t>.</w:t>
      </w:r>
    </w:p>
    <w:p w14:paraId="5F89B4AA" w14:textId="77777777" w:rsidR="00F3468C" w:rsidRPr="006672D9" w:rsidRDefault="00F3468C" w:rsidP="00237073">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____________________________________________________________</w:t>
      </w:r>
      <w:r w:rsidR="00855AB5" w:rsidRPr="006672D9">
        <w:rPr>
          <w:rFonts w:ascii="Arial" w:eastAsia="Arial" w:hAnsi="Arial" w:cs="Arial"/>
          <w:sz w:val="24"/>
          <w:szCs w:val="24"/>
        </w:rPr>
        <w:t>_</w:t>
      </w:r>
      <w:r w:rsidRPr="006672D9">
        <w:rPr>
          <w:rFonts w:ascii="Arial" w:eastAsia="Arial" w:hAnsi="Arial" w:cs="Arial"/>
          <w:sz w:val="24"/>
          <w:szCs w:val="24"/>
        </w:rPr>
        <w:t>______</w:t>
      </w:r>
    </w:p>
    <w:p w14:paraId="40E4D8A4" w14:textId="77777777" w:rsidR="00F3468C" w:rsidRPr="006672D9" w:rsidRDefault="00F3468C" w:rsidP="00237073">
      <w:pPr>
        <w:pStyle w:val="Normal1"/>
        <w:spacing w:after="0" w:line="360" w:lineRule="auto"/>
        <w:jc w:val="both"/>
        <w:rPr>
          <w:rFonts w:ascii="Arial" w:eastAsia="Arial" w:hAnsi="Arial" w:cs="Arial"/>
          <w:b/>
          <w:sz w:val="24"/>
          <w:szCs w:val="24"/>
        </w:rPr>
      </w:pPr>
    </w:p>
    <w:p w14:paraId="2657E139" w14:textId="77777777" w:rsidR="00F3468C" w:rsidRPr="006672D9" w:rsidRDefault="00F3468C" w:rsidP="00237073">
      <w:pPr>
        <w:pStyle w:val="Normal1"/>
        <w:spacing w:after="0" w:line="360" w:lineRule="auto"/>
        <w:jc w:val="center"/>
        <w:rPr>
          <w:rFonts w:ascii="Arial" w:eastAsia="Arial" w:hAnsi="Arial" w:cs="Arial"/>
          <w:b/>
          <w:sz w:val="24"/>
          <w:szCs w:val="24"/>
        </w:rPr>
      </w:pPr>
      <w:r w:rsidRPr="006672D9">
        <w:rPr>
          <w:rFonts w:ascii="Arial" w:eastAsia="Arial" w:hAnsi="Arial" w:cs="Arial"/>
          <w:b/>
          <w:sz w:val="24"/>
          <w:szCs w:val="24"/>
        </w:rPr>
        <w:t>JUDGMENT</w:t>
      </w:r>
    </w:p>
    <w:p w14:paraId="146812CA" w14:textId="77777777" w:rsidR="00F3468C" w:rsidRPr="006672D9" w:rsidRDefault="00F3468C" w:rsidP="00237073">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___________________________________________________________________</w:t>
      </w:r>
    </w:p>
    <w:p w14:paraId="77A58301" w14:textId="0164B587" w:rsidR="00EC2637" w:rsidRPr="006672D9" w:rsidRDefault="0003001E" w:rsidP="00237073">
      <w:pPr>
        <w:pStyle w:val="Normal1"/>
        <w:spacing w:before="240" w:line="360" w:lineRule="auto"/>
        <w:jc w:val="both"/>
        <w:rPr>
          <w:rFonts w:ascii="Arial" w:eastAsia="Arial" w:hAnsi="Arial" w:cs="Arial"/>
          <w:b/>
          <w:sz w:val="24"/>
          <w:szCs w:val="24"/>
        </w:rPr>
      </w:pPr>
      <w:r w:rsidRPr="006672D9">
        <w:rPr>
          <w:rFonts w:ascii="Arial" w:eastAsia="Arial" w:hAnsi="Arial" w:cs="Arial"/>
          <w:b/>
          <w:sz w:val="24"/>
          <w:szCs w:val="24"/>
        </w:rPr>
        <w:t xml:space="preserve">Hughes JA </w:t>
      </w:r>
      <w:r w:rsidR="000636D9">
        <w:rPr>
          <w:rFonts w:ascii="Arial" w:eastAsia="Arial" w:hAnsi="Arial" w:cs="Arial"/>
          <w:b/>
          <w:sz w:val="24"/>
          <w:szCs w:val="24"/>
        </w:rPr>
        <w:t xml:space="preserve">and Unterhalter AJA </w:t>
      </w:r>
      <w:r w:rsidRPr="006672D9">
        <w:rPr>
          <w:rFonts w:ascii="Arial" w:eastAsia="Arial" w:hAnsi="Arial" w:cs="Arial"/>
          <w:b/>
          <w:sz w:val="24"/>
          <w:szCs w:val="24"/>
        </w:rPr>
        <w:t>(</w:t>
      </w:r>
      <w:r w:rsidR="000636D9">
        <w:rPr>
          <w:rFonts w:ascii="Arial" w:eastAsia="Arial" w:hAnsi="Arial" w:cs="Arial"/>
          <w:b/>
          <w:sz w:val="24"/>
          <w:szCs w:val="24"/>
        </w:rPr>
        <w:t>Saldu</w:t>
      </w:r>
      <w:r w:rsidR="001C5AB3">
        <w:rPr>
          <w:rFonts w:ascii="Arial" w:eastAsia="Arial" w:hAnsi="Arial" w:cs="Arial"/>
          <w:b/>
          <w:sz w:val="24"/>
          <w:szCs w:val="24"/>
        </w:rPr>
        <w:t>l</w:t>
      </w:r>
      <w:r w:rsidR="000636D9">
        <w:rPr>
          <w:rFonts w:ascii="Arial" w:eastAsia="Arial" w:hAnsi="Arial" w:cs="Arial"/>
          <w:b/>
          <w:sz w:val="24"/>
          <w:szCs w:val="24"/>
        </w:rPr>
        <w:t xml:space="preserve">ker, Mabindla-Boqwana and Matojane JJA </w:t>
      </w:r>
      <w:r w:rsidR="00F3468C" w:rsidRPr="006672D9">
        <w:rPr>
          <w:rFonts w:ascii="Arial" w:eastAsia="Arial" w:hAnsi="Arial" w:cs="Arial"/>
          <w:b/>
          <w:sz w:val="24"/>
          <w:szCs w:val="24"/>
        </w:rPr>
        <w:t>concurring)</w:t>
      </w:r>
      <w:r w:rsidR="00A86264" w:rsidRPr="006672D9">
        <w:rPr>
          <w:rFonts w:ascii="Arial" w:eastAsia="Arial" w:hAnsi="Arial" w:cs="Arial"/>
          <w:b/>
          <w:sz w:val="24"/>
          <w:szCs w:val="24"/>
        </w:rPr>
        <w:t>:</w:t>
      </w:r>
    </w:p>
    <w:p w14:paraId="239FC356" w14:textId="77777777" w:rsidR="0003001E" w:rsidRPr="006672D9" w:rsidRDefault="0003001E" w:rsidP="00237073">
      <w:pPr>
        <w:pStyle w:val="Normal1"/>
        <w:spacing w:after="0" w:line="360" w:lineRule="auto"/>
        <w:jc w:val="both"/>
        <w:rPr>
          <w:rFonts w:ascii="Arial" w:eastAsia="Arial" w:hAnsi="Arial" w:cs="Arial"/>
          <w:b/>
          <w:sz w:val="24"/>
          <w:szCs w:val="24"/>
        </w:rPr>
      </w:pPr>
      <w:r w:rsidRPr="006672D9">
        <w:rPr>
          <w:rFonts w:ascii="Arial" w:eastAsia="Arial" w:hAnsi="Arial" w:cs="Arial"/>
          <w:b/>
          <w:sz w:val="24"/>
          <w:szCs w:val="24"/>
        </w:rPr>
        <w:t>Introduction</w:t>
      </w:r>
    </w:p>
    <w:p w14:paraId="43158B64" w14:textId="402778FA" w:rsidR="0071040D" w:rsidRPr="006672D9" w:rsidRDefault="005F62B7" w:rsidP="005F62B7">
      <w:pPr>
        <w:pStyle w:val="Normal1"/>
        <w:spacing w:after="0" w:line="360" w:lineRule="auto"/>
        <w:jc w:val="both"/>
        <w:rPr>
          <w:rFonts w:ascii="Arial" w:eastAsia="Arial" w:hAnsi="Arial" w:cs="Arial"/>
          <w:sz w:val="24"/>
          <w:szCs w:val="24"/>
        </w:rPr>
        <w:pPrChange w:id="1" w:author="Mary Bruce" w:date="2024-02-06T15:46:00Z">
          <w:pPr>
            <w:pStyle w:val="Normal1"/>
            <w:numPr>
              <w:numId w:val="2"/>
            </w:numPr>
            <w:spacing w:after="0" w:line="360" w:lineRule="auto"/>
            <w:jc w:val="both"/>
          </w:pPr>
        </w:pPrChange>
      </w:pPr>
      <w:r w:rsidRPr="006672D9">
        <w:rPr>
          <w:rFonts w:ascii="Arial" w:eastAsia="Arial" w:hAnsi="Arial" w:cs="Arial"/>
          <w:sz w:val="24"/>
          <w:szCs w:val="24"/>
        </w:rPr>
        <w:t>[1]</w:t>
      </w:r>
      <w:r w:rsidRPr="006672D9">
        <w:rPr>
          <w:rFonts w:ascii="Arial" w:eastAsia="Arial" w:hAnsi="Arial" w:cs="Arial"/>
          <w:sz w:val="24"/>
          <w:szCs w:val="24"/>
        </w:rPr>
        <w:tab/>
      </w:r>
      <w:r w:rsidR="00F3468C" w:rsidRPr="006672D9">
        <w:rPr>
          <w:rFonts w:ascii="Arial" w:eastAsia="Arial" w:hAnsi="Arial" w:cs="Arial"/>
          <w:sz w:val="24"/>
          <w:szCs w:val="24"/>
        </w:rPr>
        <w:t>The</w:t>
      </w:r>
      <w:r w:rsidR="008C1434" w:rsidRPr="006672D9">
        <w:rPr>
          <w:rFonts w:ascii="Arial" w:eastAsia="Arial" w:hAnsi="Arial" w:cs="Arial"/>
          <w:sz w:val="24"/>
          <w:szCs w:val="24"/>
        </w:rPr>
        <w:t xml:space="preserve"> central issue in this appeal is whether a seri</w:t>
      </w:r>
      <w:r w:rsidR="00636DB5" w:rsidRPr="006672D9">
        <w:rPr>
          <w:rFonts w:ascii="Arial" w:eastAsia="Arial" w:hAnsi="Arial" w:cs="Arial"/>
          <w:sz w:val="24"/>
          <w:szCs w:val="24"/>
        </w:rPr>
        <w:t xml:space="preserve">es </w:t>
      </w:r>
      <w:r w:rsidR="008C1434" w:rsidRPr="006672D9">
        <w:rPr>
          <w:rFonts w:ascii="Arial" w:eastAsia="Arial" w:hAnsi="Arial" w:cs="Arial"/>
          <w:sz w:val="24"/>
          <w:szCs w:val="24"/>
        </w:rPr>
        <w:t xml:space="preserve">of orders and </w:t>
      </w:r>
      <w:r w:rsidR="00636DB5" w:rsidRPr="006672D9">
        <w:rPr>
          <w:rFonts w:ascii="Arial" w:eastAsia="Arial" w:hAnsi="Arial" w:cs="Arial"/>
          <w:sz w:val="24"/>
          <w:szCs w:val="24"/>
        </w:rPr>
        <w:t xml:space="preserve">two writs, one of possession and </w:t>
      </w:r>
      <w:r w:rsidR="008C1434" w:rsidRPr="006672D9">
        <w:rPr>
          <w:rFonts w:ascii="Arial" w:eastAsia="Arial" w:hAnsi="Arial" w:cs="Arial"/>
          <w:sz w:val="24"/>
          <w:szCs w:val="24"/>
        </w:rPr>
        <w:t>a</w:t>
      </w:r>
      <w:r w:rsidR="00636DB5" w:rsidRPr="006672D9">
        <w:rPr>
          <w:rFonts w:ascii="Arial" w:eastAsia="Arial" w:hAnsi="Arial" w:cs="Arial"/>
          <w:sz w:val="24"/>
          <w:szCs w:val="24"/>
        </w:rPr>
        <w:t xml:space="preserve">nother </w:t>
      </w:r>
      <w:r w:rsidR="00DB1637" w:rsidRPr="006672D9">
        <w:rPr>
          <w:rFonts w:ascii="Arial" w:eastAsia="Arial" w:hAnsi="Arial" w:cs="Arial"/>
          <w:sz w:val="24"/>
          <w:szCs w:val="24"/>
        </w:rPr>
        <w:t>of execution</w:t>
      </w:r>
      <w:r w:rsidR="00636DB5" w:rsidRPr="006672D9">
        <w:rPr>
          <w:rFonts w:ascii="Arial" w:eastAsia="Arial" w:hAnsi="Arial" w:cs="Arial"/>
          <w:sz w:val="24"/>
          <w:szCs w:val="24"/>
        </w:rPr>
        <w:t>,</w:t>
      </w:r>
      <w:r w:rsidR="00DB1637" w:rsidRPr="006672D9">
        <w:rPr>
          <w:rFonts w:ascii="Arial" w:eastAsia="Arial" w:hAnsi="Arial" w:cs="Arial"/>
          <w:sz w:val="24"/>
          <w:szCs w:val="24"/>
        </w:rPr>
        <w:t xml:space="preserve"> granted </w:t>
      </w:r>
      <w:r w:rsidR="00A60D29" w:rsidRPr="006672D9">
        <w:rPr>
          <w:rFonts w:ascii="Arial" w:eastAsia="Arial" w:hAnsi="Arial" w:cs="Arial"/>
          <w:sz w:val="24"/>
          <w:szCs w:val="24"/>
        </w:rPr>
        <w:t xml:space="preserve">by the Superior Court of California </w:t>
      </w:r>
      <w:r w:rsidR="00DB1637" w:rsidRPr="006672D9">
        <w:rPr>
          <w:rFonts w:ascii="Arial" w:eastAsia="Arial" w:hAnsi="Arial" w:cs="Arial"/>
          <w:sz w:val="24"/>
          <w:szCs w:val="24"/>
        </w:rPr>
        <w:t>in the S</w:t>
      </w:r>
      <w:r w:rsidR="00F72BB8" w:rsidRPr="006672D9">
        <w:rPr>
          <w:rFonts w:ascii="Arial" w:eastAsia="Arial" w:hAnsi="Arial" w:cs="Arial"/>
          <w:sz w:val="24"/>
          <w:szCs w:val="24"/>
        </w:rPr>
        <w:t>tate of California</w:t>
      </w:r>
      <w:r w:rsidR="00154CD4" w:rsidRPr="006672D9">
        <w:rPr>
          <w:rFonts w:ascii="Arial" w:eastAsia="Arial" w:hAnsi="Arial" w:cs="Arial"/>
          <w:sz w:val="24"/>
          <w:szCs w:val="24"/>
        </w:rPr>
        <w:t xml:space="preserve">, </w:t>
      </w:r>
      <w:r w:rsidR="008C1434" w:rsidRPr="006672D9">
        <w:rPr>
          <w:rFonts w:ascii="Arial" w:eastAsia="Arial" w:hAnsi="Arial" w:cs="Arial"/>
          <w:sz w:val="24"/>
          <w:szCs w:val="24"/>
        </w:rPr>
        <w:t xml:space="preserve">United States of America, </w:t>
      </w:r>
      <w:r w:rsidR="00636DB5" w:rsidRPr="006672D9">
        <w:rPr>
          <w:rFonts w:ascii="Arial" w:eastAsia="Arial" w:hAnsi="Arial" w:cs="Arial"/>
          <w:sz w:val="24"/>
          <w:szCs w:val="24"/>
        </w:rPr>
        <w:t>cumulatively</w:t>
      </w:r>
      <w:r w:rsidR="00A60D29" w:rsidRPr="006672D9">
        <w:rPr>
          <w:rFonts w:ascii="Arial" w:eastAsia="Arial" w:hAnsi="Arial" w:cs="Arial"/>
          <w:sz w:val="24"/>
          <w:szCs w:val="24"/>
        </w:rPr>
        <w:t>,</w:t>
      </w:r>
      <w:r w:rsidR="00636DB5" w:rsidRPr="006672D9">
        <w:rPr>
          <w:rFonts w:ascii="Arial" w:eastAsia="Arial" w:hAnsi="Arial" w:cs="Arial"/>
          <w:sz w:val="24"/>
          <w:szCs w:val="24"/>
        </w:rPr>
        <w:t xml:space="preserve"> constitutes</w:t>
      </w:r>
      <w:r w:rsidR="008C1434" w:rsidRPr="006672D9">
        <w:rPr>
          <w:rFonts w:ascii="Arial" w:eastAsia="Arial" w:hAnsi="Arial" w:cs="Arial"/>
          <w:sz w:val="24"/>
          <w:szCs w:val="24"/>
        </w:rPr>
        <w:t xml:space="preserve"> a liquid document </w:t>
      </w:r>
      <w:r w:rsidR="00A60D29" w:rsidRPr="006672D9">
        <w:rPr>
          <w:rFonts w:ascii="Arial" w:eastAsia="Arial" w:hAnsi="Arial" w:cs="Arial"/>
          <w:sz w:val="24"/>
          <w:szCs w:val="24"/>
        </w:rPr>
        <w:t>and may be enforced by way of</w:t>
      </w:r>
      <w:r w:rsidR="008C1434" w:rsidRPr="006672D9">
        <w:rPr>
          <w:rFonts w:ascii="Arial" w:eastAsia="Arial" w:hAnsi="Arial" w:cs="Arial"/>
          <w:sz w:val="24"/>
          <w:szCs w:val="24"/>
        </w:rPr>
        <w:t xml:space="preserve"> provisional </w:t>
      </w:r>
      <w:r w:rsidR="00A60D29" w:rsidRPr="006672D9">
        <w:rPr>
          <w:rFonts w:ascii="Arial" w:eastAsia="Arial" w:hAnsi="Arial" w:cs="Arial"/>
          <w:sz w:val="24"/>
          <w:szCs w:val="24"/>
        </w:rPr>
        <w:t>sentence</w:t>
      </w:r>
      <w:r w:rsidR="007F4530" w:rsidRPr="006672D9">
        <w:rPr>
          <w:rFonts w:ascii="Arial" w:eastAsia="Arial" w:hAnsi="Arial" w:cs="Arial"/>
          <w:sz w:val="24"/>
          <w:szCs w:val="24"/>
        </w:rPr>
        <w:t xml:space="preserve"> in South Africa</w:t>
      </w:r>
      <w:r w:rsidR="00A60D29" w:rsidRPr="006672D9">
        <w:rPr>
          <w:rFonts w:ascii="Arial" w:eastAsia="Arial" w:hAnsi="Arial" w:cs="Arial"/>
          <w:sz w:val="24"/>
          <w:szCs w:val="24"/>
        </w:rPr>
        <w:t>. The</w:t>
      </w:r>
      <w:r w:rsidR="00154CD4" w:rsidRPr="006672D9">
        <w:rPr>
          <w:rFonts w:ascii="Arial" w:eastAsia="Arial" w:hAnsi="Arial" w:cs="Arial"/>
          <w:sz w:val="24"/>
          <w:szCs w:val="24"/>
        </w:rPr>
        <w:t xml:space="preserve"> Gauteng Division of the High Court, Johannesburg (the high court)</w:t>
      </w:r>
      <w:r w:rsidR="00E5315F" w:rsidRPr="006672D9">
        <w:rPr>
          <w:rFonts w:ascii="Arial" w:eastAsia="Arial" w:hAnsi="Arial" w:cs="Arial"/>
          <w:sz w:val="24"/>
          <w:szCs w:val="24"/>
        </w:rPr>
        <w:t>,</w:t>
      </w:r>
      <w:r w:rsidR="00154CD4" w:rsidRPr="006672D9">
        <w:rPr>
          <w:rFonts w:ascii="Arial" w:eastAsia="Arial" w:hAnsi="Arial" w:cs="Arial"/>
          <w:sz w:val="24"/>
          <w:szCs w:val="24"/>
        </w:rPr>
        <w:t xml:space="preserve"> </w:t>
      </w:r>
      <w:r w:rsidR="00E5315F" w:rsidRPr="006672D9">
        <w:rPr>
          <w:rFonts w:ascii="Arial" w:eastAsia="Arial" w:hAnsi="Arial" w:cs="Arial"/>
          <w:sz w:val="24"/>
          <w:szCs w:val="24"/>
        </w:rPr>
        <w:t xml:space="preserve">after analysing these documents, </w:t>
      </w:r>
      <w:r w:rsidR="00154CD4" w:rsidRPr="006672D9">
        <w:rPr>
          <w:rFonts w:ascii="Arial" w:eastAsia="Arial" w:hAnsi="Arial" w:cs="Arial"/>
          <w:sz w:val="24"/>
          <w:szCs w:val="24"/>
        </w:rPr>
        <w:t xml:space="preserve">dismissed the </w:t>
      </w:r>
      <w:r w:rsidR="009A1A26" w:rsidRPr="006672D9">
        <w:rPr>
          <w:rFonts w:ascii="Arial" w:eastAsia="Arial" w:hAnsi="Arial" w:cs="Arial"/>
          <w:sz w:val="24"/>
          <w:szCs w:val="24"/>
        </w:rPr>
        <w:t xml:space="preserve">appellants’ </w:t>
      </w:r>
      <w:r w:rsidR="00154CD4" w:rsidRPr="006672D9">
        <w:rPr>
          <w:rFonts w:ascii="Arial" w:eastAsia="Arial" w:hAnsi="Arial" w:cs="Arial"/>
          <w:sz w:val="24"/>
          <w:szCs w:val="24"/>
        </w:rPr>
        <w:t>application for provisional sentence</w:t>
      </w:r>
      <w:r w:rsidR="00E5315F" w:rsidRPr="006672D9">
        <w:rPr>
          <w:rFonts w:ascii="Arial" w:eastAsia="Arial" w:hAnsi="Arial" w:cs="Arial"/>
          <w:sz w:val="24"/>
          <w:szCs w:val="24"/>
        </w:rPr>
        <w:t xml:space="preserve">. The high court concluded that, ‘the judgment does not constitute </w:t>
      </w:r>
      <w:r w:rsidR="00E5315F" w:rsidRPr="006672D9">
        <w:rPr>
          <w:rFonts w:ascii="Arial" w:eastAsia="Arial" w:hAnsi="Arial" w:cs="Arial"/>
          <w:i/>
          <w:sz w:val="24"/>
          <w:szCs w:val="24"/>
        </w:rPr>
        <w:t>prima facie</w:t>
      </w:r>
      <w:r w:rsidR="00E5315F" w:rsidRPr="006672D9">
        <w:rPr>
          <w:rFonts w:ascii="Arial" w:eastAsia="Arial" w:hAnsi="Arial" w:cs="Arial"/>
          <w:sz w:val="24"/>
          <w:szCs w:val="24"/>
        </w:rPr>
        <w:t xml:space="preserve"> proof of a debt enforceable by provisional sentence’</w:t>
      </w:r>
      <w:r w:rsidR="00341A9E" w:rsidRPr="006672D9">
        <w:rPr>
          <w:rFonts w:ascii="Arial" w:eastAsia="Arial" w:hAnsi="Arial" w:cs="Arial"/>
          <w:sz w:val="24"/>
          <w:szCs w:val="24"/>
        </w:rPr>
        <w:t>,</w:t>
      </w:r>
      <w:r w:rsidR="00B65159">
        <w:rPr>
          <w:rFonts w:ascii="Arial" w:eastAsia="Arial" w:hAnsi="Arial" w:cs="Arial"/>
          <w:sz w:val="24"/>
          <w:szCs w:val="24"/>
        </w:rPr>
        <w:t xml:space="preserve"> as it</w:t>
      </w:r>
      <w:r w:rsidR="00E5315F" w:rsidRPr="006672D9">
        <w:rPr>
          <w:rFonts w:ascii="Arial" w:eastAsia="Arial" w:hAnsi="Arial" w:cs="Arial"/>
          <w:sz w:val="24"/>
          <w:szCs w:val="24"/>
        </w:rPr>
        <w:t xml:space="preserve"> </w:t>
      </w:r>
      <w:r w:rsidR="00154CD4" w:rsidRPr="006672D9">
        <w:rPr>
          <w:rFonts w:ascii="Arial" w:eastAsia="Arial" w:hAnsi="Arial" w:cs="Arial"/>
          <w:sz w:val="24"/>
          <w:szCs w:val="24"/>
        </w:rPr>
        <w:t>did not</w:t>
      </w:r>
      <w:r w:rsidR="009A1A26" w:rsidRPr="006672D9">
        <w:rPr>
          <w:rFonts w:ascii="Arial" w:eastAsia="Arial" w:hAnsi="Arial" w:cs="Arial"/>
          <w:sz w:val="24"/>
          <w:szCs w:val="24"/>
        </w:rPr>
        <w:t xml:space="preserve"> comprise a liquid document</w:t>
      </w:r>
      <w:r w:rsidR="00154CD4" w:rsidRPr="006672D9">
        <w:rPr>
          <w:rFonts w:ascii="Arial" w:eastAsia="Arial" w:hAnsi="Arial" w:cs="Arial"/>
          <w:sz w:val="24"/>
          <w:szCs w:val="24"/>
        </w:rPr>
        <w:t xml:space="preserve">. </w:t>
      </w:r>
      <w:r w:rsidR="00636DB5" w:rsidRPr="006672D9">
        <w:rPr>
          <w:rFonts w:ascii="Arial" w:eastAsia="Arial" w:hAnsi="Arial" w:cs="Arial"/>
          <w:sz w:val="24"/>
          <w:szCs w:val="24"/>
        </w:rPr>
        <w:t xml:space="preserve">It is with the leave of the high court that we are seized with the appeal </w:t>
      </w:r>
      <w:r w:rsidR="00A60D29" w:rsidRPr="006672D9">
        <w:rPr>
          <w:rFonts w:ascii="Arial" w:eastAsia="Arial" w:hAnsi="Arial" w:cs="Arial"/>
          <w:sz w:val="24"/>
          <w:szCs w:val="24"/>
        </w:rPr>
        <w:t xml:space="preserve">before </w:t>
      </w:r>
      <w:r w:rsidR="00154CD4" w:rsidRPr="006672D9">
        <w:rPr>
          <w:rFonts w:ascii="Arial" w:eastAsia="Arial" w:hAnsi="Arial" w:cs="Arial"/>
          <w:sz w:val="24"/>
          <w:szCs w:val="24"/>
        </w:rPr>
        <w:t xml:space="preserve">this Court. </w:t>
      </w:r>
    </w:p>
    <w:p w14:paraId="2C914A4E" w14:textId="77777777" w:rsidR="00636DB5" w:rsidRPr="006672D9" w:rsidRDefault="00636DB5" w:rsidP="00237073">
      <w:pPr>
        <w:pStyle w:val="Normal1"/>
        <w:spacing w:after="0" w:line="360" w:lineRule="auto"/>
        <w:jc w:val="both"/>
        <w:rPr>
          <w:rFonts w:ascii="Arial" w:eastAsia="Arial" w:hAnsi="Arial" w:cs="Arial"/>
          <w:sz w:val="24"/>
          <w:szCs w:val="24"/>
        </w:rPr>
      </w:pPr>
    </w:p>
    <w:p w14:paraId="5CDC570B" w14:textId="77777777" w:rsidR="00F3468C" w:rsidRPr="006672D9" w:rsidRDefault="00715A23" w:rsidP="00237073">
      <w:pPr>
        <w:pStyle w:val="Normal1"/>
        <w:spacing w:after="0" w:line="360" w:lineRule="auto"/>
        <w:jc w:val="both"/>
        <w:rPr>
          <w:rFonts w:ascii="Arial" w:eastAsia="Arial" w:hAnsi="Arial" w:cs="Arial"/>
          <w:b/>
          <w:sz w:val="24"/>
          <w:szCs w:val="24"/>
        </w:rPr>
      </w:pPr>
      <w:r w:rsidRPr="006672D9">
        <w:rPr>
          <w:rFonts w:ascii="Arial" w:eastAsia="Arial" w:hAnsi="Arial" w:cs="Arial"/>
          <w:b/>
          <w:sz w:val="24"/>
          <w:szCs w:val="24"/>
        </w:rPr>
        <w:t xml:space="preserve">The </w:t>
      </w:r>
      <w:r w:rsidR="00F10CBC" w:rsidRPr="006672D9">
        <w:rPr>
          <w:rFonts w:ascii="Arial" w:eastAsia="Arial" w:hAnsi="Arial" w:cs="Arial"/>
          <w:b/>
          <w:sz w:val="24"/>
          <w:szCs w:val="24"/>
        </w:rPr>
        <w:t>p</w:t>
      </w:r>
      <w:r w:rsidRPr="006672D9">
        <w:rPr>
          <w:rFonts w:ascii="Arial" w:eastAsia="Arial" w:hAnsi="Arial" w:cs="Arial"/>
          <w:b/>
          <w:sz w:val="24"/>
          <w:szCs w:val="24"/>
        </w:rPr>
        <w:t>arties</w:t>
      </w:r>
    </w:p>
    <w:p w14:paraId="0C04307E" w14:textId="118BED9E" w:rsidR="00B60064" w:rsidRPr="006672D9" w:rsidRDefault="005F62B7" w:rsidP="005F62B7">
      <w:pPr>
        <w:pStyle w:val="Normal1"/>
        <w:spacing w:after="0" w:line="360" w:lineRule="auto"/>
        <w:jc w:val="both"/>
        <w:rPr>
          <w:rFonts w:ascii="Arial" w:eastAsia="Arial" w:hAnsi="Arial" w:cs="Arial"/>
          <w:sz w:val="24"/>
          <w:szCs w:val="24"/>
        </w:rPr>
        <w:pPrChange w:id="2" w:author="Mary Bruce" w:date="2024-02-06T15:46:00Z">
          <w:pPr>
            <w:pStyle w:val="Normal1"/>
            <w:numPr>
              <w:numId w:val="2"/>
            </w:numPr>
            <w:spacing w:after="0" w:line="360" w:lineRule="auto"/>
            <w:jc w:val="both"/>
          </w:pPr>
        </w:pPrChange>
      </w:pPr>
      <w:r w:rsidRPr="006672D9">
        <w:rPr>
          <w:rFonts w:ascii="Arial" w:eastAsia="Arial" w:hAnsi="Arial" w:cs="Arial"/>
          <w:sz w:val="24"/>
          <w:szCs w:val="24"/>
        </w:rPr>
        <w:t>[2]</w:t>
      </w:r>
      <w:r w:rsidRPr="006672D9">
        <w:rPr>
          <w:rFonts w:ascii="Arial" w:eastAsia="Arial" w:hAnsi="Arial" w:cs="Arial"/>
          <w:sz w:val="24"/>
          <w:szCs w:val="24"/>
        </w:rPr>
        <w:tab/>
      </w:r>
      <w:r w:rsidR="00715A23" w:rsidRPr="006672D9">
        <w:rPr>
          <w:rFonts w:ascii="Arial" w:eastAsia="Arial" w:hAnsi="Arial" w:cs="Arial"/>
          <w:sz w:val="24"/>
          <w:szCs w:val="24"/>
        </w:rPr>
        <w:t>African Wireless Inc</w:t>
      </w:r>
      <w:r w:rsidR="009C1A92" w:rsidRPr="006672D9">
        <w:rPr>
          <w:rFonts w:ascii="Arial" w:eastAsia="Arial" w:hAnsi="Arial" w:cs="Arial"/>
          <w:sz w:val="24"/>
          <w:szCs w:val="24"/>
        </w:rPr>
        <w:t>orporated (AWI</w:t>
      </w:r>
      <w:r w:rsidR="00155120" w:rsidRPr="006672D9">
        <w:rPr>
          <w:rFonts w:ascii="Arial" w:eastAsia="Arial" w:hAnsi="Arial" w:cs="Arial"/>
          <w:sz w:val="24"/>
          <w:szCs w:val="24"/>
        </w:rPr>
        <w:t>)</w:t>
      </w:r>
      <w:r w:rsidR="00715A23" w:rsidRPr="006672D9">
        <w:rPr>
          <w:rFonts w:ascii="Arial" w:eastAsia="Arial" w:hAnsi="Arial" w:cs="Arial"/>
          <w:sz w:val="24"/>
          <w:szCs w:val="24"/>
        </w:rPr>
        <w:t xml:space="preserve"> </w:t>
      </w:r>
      <w:r w:rsidR="007F4530" w:rsidRPr="006672D9">
        <w:rPr>
          <w:rFonts w:ascii="Arial" w:eastAsia="Arial" w:hAnsi="Arial" w:cs="Arial"/>
          <w:sz w:val="24"/>
          <w:szCs w:val="24"/>
        </w:rPr>
        <w:t xml:space="preserve">is </w:t>
      </w:r>
      <w:r w:rsidR="00715A23" w:rsidRPr="006672D9">
        <w:rPr>
          <w:rFonts w:ascii="Arial" w:eastAsia="Arial" w:hAnsi="Arial" w:cs="Arial"/>
          <w:sz w:val="24"/>
          <w:szCs w:val="24"/>
        </w:rPr>
        <w:t>a corporat</w:t>
      </w:r>
      <w:r w:rsidR="008C4691" w:rsidRPr="006672D9">
        <w:rPr>
          <w:rFonts w:ascii="Arial" w:eastAsia="Arial" w:hAnsi="Arial" w:cs="Arial"/>
          <w:sz w:val="24"/>
          <w:szCs w:val="24"/>
        </w:rPr>
        <w:t xml:space="preserve">ion </w:t>
      </w:r>
      <w:r w:rsidR="00715A23" w:rsidRPr="006672D9">
        <w:rPr>
          <w:rFonts w:ascii="Arial" w:eastAsia="Arial" w:hAnsi="Arial" w:cs="Arial"/>
          <w:sz w:val="24"/>
          <w:szCs w:val="24"/>
        </w:rPr>
        <w:t xml:space="preserve">registered in terms of the </w:t>
      </w:r>
      <w:r w:rsidR="00DD6A56" w:rsidRPr="006672D9">
        <w:rPr>
          <w:rFonts w:ascii="Arial" w:eastAsia="Arial" w:hAnsi="Arial" w:cs="Arial"/>
          <w:sz w:val="24"/>
          <w:szCs w:val="24"/>
        </w:rPr>
        <w:t>l</w:t>
      </w:r>
      <w:r w:rsidR="00715A23" w:rsidRPr="006672D9">
        <w:rPr>
          <w:rFonts w:ascii="Arial" w:eastAsia="Arial" w:hAnsi="Arial" w:cs="Arial"/>
          <w:sz w:val="24"/>
          <w:szCs w:val="24"/>
        </w:rPr>
        <w:t xml:space="preserve">aws of </w:t>
      </w:r>
      <w:r w:rsidR="00DD6A56" w:rsidRPr="006672D9">
        <w:rPr>
          <w:rFonts w:ascii="Arial" w:eastAsia="Arial" w:hAnsi="Arial" w:cs="Arial"/>
          <w:sz w:val="24"/>
          <w:szCs w:val="24"/>
        </w:rPr>
        <w:t xml:space="preserve">the State of </w:t>
      </w:r>
      <w:r w:rsidR="00715A23" w:rsidRPr="006672D9">
        <w:rPr>
          <w:rFonts w:ascii="Arial" w:eastAsia="Arial" w:hAnsi="Arial" w:cs="Arial"/>
          <w:sz w:val="24"/>
          <w:szCs w:val="24"/>
        </w:rPr>
        <w:t xml:space="preserve">Delaware </w:t>
      </w:r>
      <w:r w:rsidR="00A60D29" w:rsidRPr="006672D9">
        <w:rPr>
          <w:rFonts w:ascii="Arial" w:eastAsia="Arial" w:hAnsi="Arial" w:cs="Arial"/>
          <w:sz w:val="24"/>
          <w:szCs w:val="24"/>
        </w:rPr>
        <w:t xml:space="preserve">in the </w:t>
      </w:r>
      <w:r w:rsidR="00715A23" w:rsidRPr="006672D9">
        <w:rPr>
          <w:rFonts w:ascii="Arial" w:eastAsia="Arial" w:hAnsi="Arial" w:cs="Arial"/>
          <w:sz w:val="24"/>
          <w:szCs w:val="24"/>
        </w:rPr>
        <w:t>United States of America</w:t>
      </w:r>
      <w:r w:rsidR="00020210" w:rsidRPr="006672D9">
        <w:rPr>
          <w:rFonts w:ascii="Arial" w:eastAsia="Arial" w:hAnsi="Arial" w:cs="Arial"/>
          <w:sz w:val="24"/>
          <w:szCs w:val="24"/>
        </w:rPr>
        <w:t xml:space="preserve"> and is cited as the sixth appellant</w:t>
      </w:r>
      <w:r w:rsidR="00715A23" w:rsidRPr="006672D9">
        <w:rPr>
          <w:rFonts w:ascii="Arial" w:eastAsia="Arial" w:hAnsi="Arial" w:cs="Arial"/>
          <w:sz w:val="24"/>
          <w:szCs w:val="24"/>
        </w:rPr>
        <w:t xml:space="preserve">. </w:t>
      </w:r>
      <w:r w:rsidR="00126817" w:rsidRPr="006672D9">
        <w:rPr>
          <w:rFonts w:ascii="Arial" w:eastAsia="Arial" w:hAnsi="Arial" w:cs="Arial"/>
          <w:sz w:val="24"/>
          <w:szCs w:val="24"/>
        </w:rPr>
        <w:t>T</w:t>
      </w:r>
      <w:r w:rsidR="00636DB5" w:rsidRPr="006672D9">
        <w:rPr>
          <w:rFonts w:ascii="Arial" w:eastAsia="Arial" w:hAnsi="Arial" w:cs="Arial"/>
          <w:sz w:val="24"/>
          <w:szCs w:val="24"/>
        </w:rPr>
        <w:t xml:space="preserve">he </w:t>
      </w:r>
      <w:r w:rsidR="00FC66E5" w:rsidRPr="006672D9">
        <w:rPr>
          <w:rFonts w:ascii="Arial" w:eastAsia="Arial" w:hAnsi="Arial" w:cs="Arial"/>
          <w:sz w:val="24"/>
          <w:szCs w:val="24"/>
        </w:rPr>
        <w:t xml:space="preserve">first to fifth </w:t>
      </w:r>
      <w:r w:rsidR="00636DB5" w:rsidRPr="006672D9">
        <w:rPr>
          <w:rFonts w:ascii="Arial" w:eastAsia="Arial" w:hAnsi="Arial" w:cs="Arial"/>
          <w:sz w:val="24"/>
          <w:szCs w:val="24"/>
        </w:rPr>
        <w:t>appellants</w:t>
      </w:r>
      <w:r w:rsidR="00020210" w:rsidRPr="006672D9">
        <w:rPr>
          <w:rFonts w:ascii="Arial" w:eastAsia="Arial" w:hAnsi="Arial" w:cs="Arial"/>
          <w:sz w:val="24"/>
          <w:szCs w:val="24"/>
        </w:rPr>
        <w:t xml:space="preserve"> </w:t>
      </w:r>
      <w:r w:rsidR="00126817" w:rsidRPr="006672D9">
        <w:rPr>
          <w:rFonts w:ascii="Arial" w:eastAsia="Arial" w:hAnsi="Arial" w:cs="Arial"/>
          <w:sz w:val="24"/>
          <w:szCs w:val="24"/>
        </w:rPr>
        <w:t>are the shareholder</w:t>
      </w:r>
      <w:r w:rsidR="00FC66E5" w:rsidRPr="006672D9">
        <w:rPr>
          <w:rFonts w:ascii="Arial" w:eastAsia="Arial" w:hAnsi="Arial" w:cs="Arial"/>
          <w:sz w:val="24"/>
          <w:szCs w:val="24"/>
        </w:rPr>
        <w:t>s</w:t>
      </w:r>
      <w:r w:rsidR="00126817" w:rsidRPr="006672D9">
        <w:rPr>
          <w:rFonts w:ascii="Arial" w:eastAsia="Arial" w:hAnsi="Arial" w:cs="Arial"/>
          <w:sz w:val="24"/>
          <w:szCs w:val="24"/>
        </w:rPr>
        <w:t xml:space="preserve"> of AWI, </w:t>
      </w:r>
      <w:r w:rsidR="003776D4" w:rsidRPr="006672D9">
        <w:rPr>
          <w:rFonts w:ascii="Arial" w:eastAsia="Arial" w:hAnsi="Arial" w:cs="Arial"/>
          <w:sz w:val="24"/>
          <w:szCs w:val="24"/>
        </w:rPr>
        <w:t>and</w:t>
      </w:r>
      <w:r w:rsidR="00151066">
        <w:rPr>
          <w:rFonts w:ascii="Arial" w:eastAsia="Arial" w:hAnsi="Arial" w:cs="Arial"/>
          <w:sz w:val="24"/>
          <w:szCs w:val="24"/>
        </w:rPr>
        <w:t>,</w:t>
      </w:r>
      <w:r w:rsidR="003776D4" w:rsidRPr="006672D9">
        <w:rPr>
          <w:rFonts w:ascii="Arial" w:eastAsia="Arial" w:hAnsi="Arial" w:cs="Arial"/>
          <w:sz w:val="24"/>
          <w:szCs w:val="24"/>
        </w:rPr>
        <w:t xml:space="preserve"> </w:t>
      </w:r>
      <w:r w:rsidR="00126817" w:rsidRPr="006672D9">
        <w:rPr>
          <w:rFonts w:ascii="Arial" w:eastAsia="Arial" w:hAnsi="Arial" w:cs="Arial"/>
          <w:sz w:val="24"/>
          <w:szCs w:val="24"/>
        </w:rPr>
        <w:t xml:space="preserve">in terms of the Laws of </w:t>
      </w:r>
      <w:r w:rsidR="00151066">
        <w:rPr>
          <w:rFonts w:ascii="Arial" w:eastAsia="Arial" w:hAnsi="Arial" w:cs="Arial"/>
          <w:sz w:val="24"/>
          <w:szCs w:val="24"/>
        </w:rPr>
        <w:t xml:space="preserve">the State of </w:t>
      </w:r>
      <w:r w:rsidR="00126817" w:rsidRPr="006672D9">
        <w:rPr>
          <w:rFonts w:ascii="Arial" w:eastAsia="Arial" w:hAnsi="Arial" w:cs="Arial"/>
          <w:sz w:val="24"/>
          <w:szCs w:val="24"/>
        </w:rPr>
        <w:t xml:space="preserve">Delaware </w:t>
      </w:r>
      <w:r w:rsidR="00351500" w:rsidRPr="006672D9">
        <w:rPr>
          <w:rFonts w:ascii="Arial" w:eastAsia="Arial" w:hAnsi="Arial" w:cs="Arial"/>
          <w:sz w:val="24"/>
          <w:szCs w:val="24"/>
        </w:rPr>
        <w:t>and the State of California</w:t>
      </w:r>
      <w:r w:rsidR="00151066">
        <w:rPr>
          <w:rFonts w:ascii="Arial" w:eastAsia="Arial" w:hAnsi="Arial" w:cs="Arial"/>
          <w:sz w:val="24"/>
          <w:szCs w:val="24"/>
        </w:rPr>
        <w:t>, they act</w:t>
      </w:r>
      <w:r w:rsidR="00020210" w:rsidRPr="006672D9">
        <w:rPr>
          <w:rFonts w:ascii="Arial" w:eastAsia="Arial" w:hAnsi="Arial" w:cs="Arial"/>
          <w:sz w:val="24"/>
          <w:szCs w:val="24"/>
        </w:rPr>
        <w:t xml:space="preserve"> derivatively on behalf of AWI</w:t>
      </w:r>
      <w:r w:rsidR="00351500" w:rsidRPr="006672D9">
        <w:rPr>
          <w:rFonts w:ascii="Arial" w:eastAsia="Arial" w:hAnsi="Arial" w:cs="Arial"/>
          <w:sz w:val="24"/>
          <w:szCs w:val="24"/>
        </w:rPr>
        <w:t xml:space="preserve">. </w:t>
      </w:r>
      <w:r w:rsidR="00020210" w:rsidRPr="006672D9">
        <w:rPr>
          <w:rFonts w:ascii="Arial" w:eastAsia="Arial" w:hAnsi="Arial" w:cs="Arial"/>
          <w:sz w:val="24"/>
          <w:szCs w:val="24"/>
        </w:rPr>
        <w:t>The shareholder</w:t>
      </w:r>
      <w:r w:rsidR="007F4530" w:rsidRPr="006672D9">
        <w:rPr>
          <w:rFonts w:ascii="Arial" w:eastAsia="Arial" w:hAnsi="Arial" w:cs="Arial"/>
          <w:sz w:val="24"/>
          <w:szCs w:val="24"/>
        </w:rPr>
        <w:t>s</w:t>
      </w:r>
      <w:r w:rsidR="00020210" w:rsidRPr="006672D9">
        <w:rPr>
          <w:rFonts w:ascii="Arial" w:eastAsia="Arial" w:hAnsi="Arial" w:cs="Arial"/>
          <w:sz w:val="24"/>
          <w:szCs w:val="24"/>
        </w:rPr>
        <w:t xml:space="preserve"> </w:t>
      </w:r>
      <w:r w:rsidR="00D6771F" w:rsidRPr="006672D9">
        <w:rPr>
          <w:rFonts w:ascii="Arial" w:eastAsia="Arial" w:hAnsi="Arial" w:cs="Arial"/>
          <w:sz w:val="24"/>
          <w:szCs w:val="24"/>
        </w:rPr>
        <w:t>are</w:t>
      </w:r>
      <w:r w:rsidR="00020210" w:rsidRPr="006672D9">
        <w:rPr>
          <w:rFonts w:ascii="Arial" w:eastAsia="Arial" w:hAnsi="Arial" w:cs="Arial"/>
          <w:sz w:val="24"/>
          <w:szCs w:val="24"/>
        </w:rPr>
        <w:t xml:space="preserve"> </w:t>
      </w:r>
      <w:r w:rsidR="00151066">
        <w:rPr>
          <w:rFonts w:ascii="Arial" w:eastAsia="Arial" w:hAnsi="Arial" w:cs="Arial"/>
          <w:sz w:val="24"/>
          <w:szCs w:val="24"/>
        </w:rPr>
        <w:t>as follows</w:t>
      </w:r>
      <w:r w:rsidR="00020210" w:rsidRPr="006672D9">
        <w:rPr>
          <w:rFonts w:ascii="Arial" w:eastAsia="Arial" w:hAnsi="Arial" w:cs="Arial"/>
          <w:sz w:val="24"/>
          <w:szCs w:val="24"/>
        </w:rPr>
        <w:t>:</w:t>
      </w:r>
      <w:r w:rsidR="0089742C" w:rsidRPr="006672D9">
        <w:rPr>
          <w:rFonts w:ascii="Arial" w:eastAsia="Arial" w:hAnsi="Arial" w:cs="Arial"/>
          <w:sz w:val="24"/>
          <w:szCs w:val="24"/>
        </w:rPr>
        <w:t xml:space="preserve"> </w:t>
      </w:r>
      <w:r w:rsidR="00155120" w:rsidRPr="006672D9">
        <w:rPr>
          <w:rFonts w:ascii="Arial" w:eastAsia="Arial" w:hAnsi="Arial" w:cs="Arial"/>
          <w:sz w:val="24"/>
          <w:szCs w:val="24"/>
        </w:rPr>
        <w:t xml:space="preserve">James </w:t>
      </w:r>
      <w:r w:rsidR="00351500" w:rsidRPr="006672D9">
        <w:rPr>
          <w:rFonts w:ascii="Arial" w:eastAsia="Arial" w:hAnsi="Arial" w:cs="Arial"/>
          <w:sz w:val="24"/>
          <w:szCs w:val="24"/>
        </w:rPr>
        <w:t xml:space="preserve">R </w:t>
      </w:r>
      <w:r w:rsidR="00155120" w:rsidRPr="006672D9">
        <w:rPr>
          <w:rFonts w:ascii="Arial" w:eastAsia="Arial" w:hAnsi="Arial" w:cs="Arial"/>
          <w:sz w:val="24"/>
          <w:szCs w:val="24"/>
        </w:rPr>
        <w:t xml:space="preserve">Lindsey, a trustee of the </w:t>
      </w:r>
      <w:r w:rsidR="00155120" w:rsidRPr="006672D9">
        <w:rPr>
          <w:rFonts w:ascii="Arial" w:eastAsia="Arial" w:hAnsi="Arial" w:cs="Arial"/>
          <w:sz w:val="24"/>
          <w:szCs w:val="24"/>
        </w:rPr>
        <w:lastRenderedPageBreak/>
        <w:t xml:space="preserve">Lindsey </w:t>
      </w:r>
      <w:r w:rsidR="00351500" w:rsidRPr="006672D9">
        <w:rPr>
          <w:rFonts w:ascii="Arial" w:eastAsia="Arial" w:hAnsi="Arial" w:cs="Arial"/>
          <w:sz w:val="24"/>
          <w:szCs w:val="24"/>
        </w:rPr>
        <w:t xml:space="preserve">Family </w:t>
      </w:r>
      <w:r w:rsidR="00155120" w:rsidRPr="006672D9">
        <w:rPr>
          <w:rFonts w:ascii="Arial" w:eastAsia="Arial" w:hAnsi="Arial" w:cs="Arial"/>
          <w:sz w:val="24"/>
          <w:szCs w:val="24"/>
        </w:rPr>
        <w:t>Trust</w:t>
      </w:r>
      <w:r w:rsidR="003776D4" w:rsidRPr="006672D9">
        <w:rPr>
          <w:rFonts w:ascii="Arial" w:eastAsia="Arial" w:hAnsi="Arial" w:cs="Arial"/>
          <w:sz w:val="24"/>
          <w:szCs w:val="24"/>
        </w:rPr>
        <w:t>;</w:t>
      </w:r>
      <w:r w:rsidR="00155120" w:rsidRPr="006672D9">
        <w:rPr>
          <w:rFonts w:ascii="Arial" w:eastAsia="Arial" w:hAnsi="Arial" w:cs="Arial"/>
          <w:sz w:val="24"/>
          <w:szCs w:val="24"/>
        </w:rPr>
        <w:t xml:space="preserve"> William Buck Johns and Marc </w:t>
      </w:r>
      <w:r w:rsidR="00351500" w:rsidRPr="006672D9">
        <w:rPr>
          <w:rFonts w:ascii="Arial" w:eastAsia="Arial" w:hAnsi="Arial" w:cs="Arial"/>
          <w:sz w:val="24"/>
          <w:szCs w:val="24"/>
        </w:rPr>
        <w:t>v</w:t>
      </w:r>
      <w:r w:rsidR="00155120" w:rsidRPr="006672D9">
        <w:rPr>
          <w:rFonts w:ascii="Arial" w:eastAsia="Arial" w:hAnsi="Arial" w:cs="Arial"/>
          <w:sz w:val="24"/>
          <w:szCs w:val="24"/>
        </w:rPr>
        <w:t>an Antro, both businessmen</w:t>
      </w:r>
      <w:r w:rsidR="003776D4" w:rsidRPr="006672D9">
        <w:rPr>
          <w:rFonts w:ascii="Arial" w:eastAsia="Arial" w:hAnsi="Arial" w:cs="Arial"/>
          <w:sz w:val="24"/>
          <w:szCs w:val="24"/>
        </w:rPr>
        <w:t>;</w:t>
      </w:r>
      <w:r w:rsidR="00351500" w:rsidRPr="006672D9">
        <w:rPr>
          <w:rFonts w:ascii="Arial" w:eastAsia="Arial" w:hAnsi="Arial" w:cs="Arial"/>
          <w:sz w:val="24"/>
          <w:szCs w:val="24"/>
        </w:rPr>
        <w:t xml:space="preserve"> and lastly</w:t>
      </w:r>
      <w:r w:rsidR="00155120" w:rsidRPr="006672D9">
        <w:rPr>
          <w:rFonts w:ascii="Arial" w:eastAsia="Arial" w:hAnsi="Arial" w:cs="Arial"/>
          <w:sz w:val="24"/>
          <w:szCs w:val="24"/>
        </w:rPr>
        <w:t>, a company registered in the British Virgin Islands</w:t>
      </w:r>
      <w:r w:rsidR="00126817" w:rsidRPr="006672D9">
        <w:rPr>
          <w:rFonts w:ascii="Arial" w:eastAsia="Arial" w:hAnsi="Arial" w:cs="Arial"/>
          <w:sz w:val="24"/>
          <w:szCs w:val="24"/>
        </w:rPr>
        <w:t>, Wymont Services Limited</w:t>
      </w:r>
      <w:r w:rsidR="00155120" w:rsidRPr="006672D9">
        <w:rPr>
          <w:rFonts w:ascii="Arial" w:eastAsia="Arial" w:hAnsi="Arial" w:cs="Arial"/>
          <w:sz w:val="24"/>
          <w:szCs w:val="24"/>
        </w:rPr>
        <w:t>.</w:t>
      </w:r>
    </w:p>
    <w:p w14:paraId="17C5100B" w14:textId="77777777" w:rsidR="007D3772" w:rsidRPr="006672D9" w:rsidRDefault="007D3772" w:rsidP="00237073">
      <w:pPr>
        <w:pStyle w:val="Normal1"/>
        <w:spacing w:after="0" w:line="360" w:lineRule="auto"/>
        <w:jc w:val="both"/>
        <w:rPr>
          <w:rFonts w:ascii="Arial" w:eastAsia="Arial" w:hAnsi="Arial" w:cs="Arial"/>
          <w:sz w:val="24"/>
          <w:szCs w:val="24"/>
        </w:rPr>
      </w:pPr>
    </w:p>
    <w:p w14:paraId="7E05274C" w14:textId="019A250C" w:rsidR="00715A23" w:rsidRPr="006672D9" w:rsidRDefault="005F62B7" w:rsidP="005F62B7">
      <w:pPr>
        <w:pStyle w:val="Normal1"/>
        <w:spacing w:after="0" w:line="360" w:lineRule="auto"/>
        <w:jc w:val="both"/>
        <w:rPr>
          <w:rFonts w:ascii="Arial" w:eastAsia="Arial" w:hAnsi="Arial" w:cs="Arial"/>
          <w:sz w:val="24"/>
          <w:szCs w:val="24"/>
        </w:rPr>
        <w:pPrChange w:id="3" w:author="Mary Bruce" w:date="2024-02-06T15:46:00Z">
          <w:pPr>
            <w:pStyle w:val="Normal1"/>
            <w:numPr>
              <w:numId w:val="2"/>
            </w:numPr>
            <w:spacing w:after="0" w:line="360" w:lineRule="auto"/>
            <w:jc w:val="both"/>
          </w:pPr>
        </w:pPrChange>
      </w:pPr>
      <w:r w:rsidRPr="006672D9">
        <w:rPr>
          <w:rFonts w:ascii="Arial" w:eastAsia="Arial" w:hAnsi="Arial" w:cs="Arial"/>
          <w:sz w:val="24"/>
          <w:szCs w:val="24"/>
        </w:rPr>
        <w:t>[3]</w:t>
      </w:r>
      <w:r w:rsidRPr="006672D9">
        <w:rPr>
          <w:rFonts w:ascii="Arial" w:eastAsia="Arial" w:hAnsi="Arial" w:cs="Arial"/>
          <w:sz w:val="24"/>
          <w:szCs w:val="24"/>
        </w:rPr>
        <w:tab/>
      </w:r>
      <w:r w:rsidR="00306D06" w:rsidRPr="006672D9">
        <w:rPr>
          <w:rFonts w:ascii="Arial" w:eastAsia="Arial" w:hAnsi="Arial" w:cs="Arial"/>
          <w:sz w:val="24"/>
          <w:szCs w:val="24"/>
        </w:rPr>
        <w:t>The respondent is</w:t>
      </w:r>
      <w:r w:rsidR="00B60064" w:rsidRPr="006672D9">
        <w:rPr>
          <w:rFonts w:ascii="Arial" w:eastAsia="Arial" w:hAnsi="Arial" w:cs="Arial"/>
          <w:sz w:val="24"/>
          <w:szCs w:val="24"/>
        </w:rPr>
        <w:t xml:space="preserve"> a</w:t>
      </w:r>
      <w:r w:rsidR="007D3772" w:rsidRPr="006672D9">
        <w:rPr>
          <w:rFonts w:ascii="Arial" w:eastAsia="Arial" w:hAnsi="Arial" w:cs="Arial"/>
          <w:sz w:val="24"/>
          <w:szCs w:val="24"/>
        </w:rPr>
        <w:t xml:space="preserve"> </w:t>
      </w:r>
      <w:r w:rsidR="00D6771F" w:rsidRPr="006672D9">
        <w:rPr>
          <w:rFonts w:ascii="Arial" w:eastAsia="Arial" w:hAnsi="Arial" w:cs="Arial"/>
          <w:sz w:val="24"/>
          <w:szCs w:val="24"/>
        </w:rPr>
        <w:t xml:space="preserve">businessman and </w:t>
      </w:r>
      <w:r w:rsidR="007D3772" w:rsidRPr="006672D9">
        <w:rPr>
          <w:rFonts w:ascii="Arial" w:eastAsia="Arial" w:hAnsi="Arial" w:cs="Arial"/>
          <w:sz w:val="24"/>
          <w:szCs w:val="24"/>
        </w:rPr>
        <w:t>citizen of the United States</w:t>
      </w:r>
      <w:r w:rsidR="00351500" w:rsidRPr="006672D9">
        <w:rPr>
          <w:rFonts w:ascii="Arial" w:eastAsia="Arial" w:hAnsi="Arial" w:cs="Arial"/>
          <w:sz w:val="24"/>
          <w:szCs w:val="24"/>
        </w:rPr>
        <w:t xml:space="preserve"> of America</w:t>
      </w:r>
      <w:r w:rsidR="00B60064" w:rsidRPr="006672D9">
        <w:rPr>
          <w:rFonts w:ascii="Arial" w:eastAsia="Arial" w:hAnsi="Arial" w:cs="Arial"/>
          <w:sz w:val="24"/>
          <w:szCs w:val="24"/>
        </w:rPr>
        <w:t>,</w:t>
      </w:r>
      <w:r w:rsidR="00306D06" w:rsidRPr="006672D9">
        <w:rPr>
          <w:rFonts w:ascii="Arial" w:eastAsia="Arial" w:hAnsi="Arial" w:cs="Arial"/>
          <w:sz w:val="24"/>
          <w:szCs w:val="24"/>
        </w:rPr>
        <w:t xml:space="preserve"> Alieu Badara Mohamed Conteh</w:t>
      </w:r>
      <w:r w:rsidR="00B60064" w:rsidRPr="006672D9">
        <w:rPr>
          <w:rFonts w:ascii="Arial" w:eastAsia="Arial" w:hAnsi="Arial" w:cs="Arial"/>
          <w:sz w:val="24"/>
          <w:szCs w:val="24"/>
        </w:rPr>
        <w:t xml:space="preserve"> (Mr Conteh),</w:t>
      </w:r>
      <w:r w:rsidR="005C1148" w:rsidRPr="006672D9">
        <w:rPr>
          <w:rFonts w:ascii="Arial" w:eastAsia="Arial" w:hAnsi="Arial" w:cs="Arial"/>
          <w:sz w:val="24"/>
          <w:szCs w:val="24"/>
        </w:rPr>
        <w:t xml:space="preserve"> </w:t>
      </w:r>
      <w:r w:rsidR="00306D06" w:rsidRPr="006672D9">
        <w:rPr>
          <w:rFonts w:ascii="Arial" w:eastAsia="Arial" w:hAnsi="Arial" w:cs="Arial"/>
          <w:sz w:val="24"/>
          <w:szCs w:val="24"/>
        </w:rPr>
        <w:t>who</w:t>
      </w:r>
      <w:r w:rsidR="007D3772" w:rsidRPr="006672D9">
        <w:rPr>
          <w:rFonts w:ascii="Arial" w:eastAsia="Arial" w:hAnsi="Arial" w:cs="Arial"/>
          <w:sz w:val="24"/>
          <w:szCs w:val="24"/>
        </w:rPr>
        <w:t xml:space="preserve"> now</w:t>
      </w:r>
      <w:r w:rsidR="00306D06" w:rsidRPr="006672D9">
        <w:rPr>
          <w:rFonts w:ascii="Arial" w:eastAsia="Arial" w:hAnsi="Arial" w:cs="Arial"/>
          <w:sz w:val="24"/>
          <w:szCs w:val="24"/>
        </w:rPr>
        <w:t xml:space="preserve"> resides in Bryanston, Johannesburg</w:t>
      </w:r>
      <w:r w:rsidR="00B60064" w:rsidRPr="006672D9">
        <w:rPr>
          <w:rFonts w:ascii="Arial" w:eastAsia="Arial" w:hAnsi="Arial" w:cs="Arial"/>
          <w:sz w:val="24"/>
          <w:szCs w:val="24"/>
        </w:rPr>
        <w:t xml:space="preserve">. Mr Conteh is duly substituted by Brigitte </w:t>
      </w:r>
      <w:r w:rsidR="00763D84" w:rsidRPr="006672D9">
        <w:rPr>
          <w:rFonts w:ascii="Arial" w:eastAsia="Arial" w:hAnsi="Arial" w:cs="Arial"/>
          <w:sz w:val="24"/>
          <w:szCs w:val="24"/>
        </w:rPr>
        <w:t>v</w:t>
      </w:r>
      <w:r w:rsidR="00B60064" w:rsidRPr="006672D9">
        <w:rPr>
          <w:rFonts w:ascii="Arial" w:eastAsia="Arial" w:hAnsi="Arial" w:cs="Arial"/>
          <w:sz w:val="24"/>
          <w:szCs w:val="24"/>
        </w:rPr>
        <w:t xml:space="preserve">an Geesbergen Conteh, in her capacity as </w:t>
      </w:r>
      <w:r w:rsidR="00763D84" w:rsidRPr="006672D9">
        <w:rPr>
          <w:rFonts w:ascii="Arial" w:eastAsia="Arial" w:hAnsi="Arial" w:cs="Arial"/>
          <w:i/>
          <w:sz w:val="24"/>
          <w:szCs w:val="24"/>
        </w:rPr>
        <w:t>c</w:t>
      </w:r>
      <w:r w:rsidR="00B60064" w:rsidRPr="006672D9">
        <w:rPr>
          <w:rFonts w:ascii="Arial" w:eastAsia="Arial" w:hAnsi="Arial" w:cs="Arial"/>
          <w:i/>
          <w:sz w:val="24"/>
          <w:szCs w:val="24"/>
        </w:rPr>
        <w:t xml:space="preserve">uratrix </w:t>
      </w:r>
      <w:r w:rsidR="00763D84" w:rsidRPr="006672D9">
        <w:rPr>
          <w:rFonts w:ascii="Arial" w:eastAsia="Arial" w:hAnsi="Arial" w:cs="Arial"/>
          <w:i/>
          <w:sz w:val="24"/>
          <w:szCs w:val="24"/>
        </w:rPr>
        <w:t>b</w:t>
      </w:r>
      <w:r w:rsidR="00B60064" w:rsidRPr="006672D9">
        <w:rPr>
          <w:rFonts w:ascii="Arial" w:eastAsia="Arial" w:hAnsi="Arial" w:cs="Arial"/>
          <w:i/>
          <w:sz w:val="24"/>
          <w:szCs w:val="24"/>
        </w:rPr>
        <w:t>onis</w:t>
      </w:r>
      <w:r w:rsidR="00B60064" w:rsidRPr="006672D9">
        <w:rPr>
          <w:rFonts w:ascii="Arial" w:eastAsia="Arial" w:hAnsi="Arial" w:cs="Arial"/>
          <w:sz w:val="24"/>
          <w:szCs w:val="24"/>
        </w:rPr>
        <w:t>.</w:t>
      </w:r>
    </w:p>
    <w:p w14:paraId="26C17C62" w14:textId="77777777" w:rsidR="007B160A" w:rsidRPr="006672D9" w:rsidRDefault="007B160A" w:rsidP="00237073">
      <w:pPr>
        <w:pStyle w:val="Normal1"/>
        <w:spacing w:after="0" w:line="360" w:lineRule="auto"/>
        <w:jc w:val="both"/>
        <w:rPr>
          <w:rFonts w:ascii="Arial" w:eastAsia="Arial" w:hAnsi="Arial" w:cs="Arial"/>
          <w:sz w:val="24"/>
          <w:szCs w:val="24"/>
        </w:rPr>
      </w:pPr>
    </w:p>
    <w:p w14:paraId="67CD731F" w14:textId="77777777" w:rsidR="00715A23" w:rsidRPr="006672D9" w:rsidRDefault="00715A23" w:rsidP="00237073">
      <w:pPr>
        <w:pStyle w:val="Normal1"/>
        <w:spacing w:after="0" w:line="360" w:lineRule="auto"/>
        <w:jc w:val="both"/>
        <w:rPr>
          <w:rFonts w:ascii="Arial" w:eastAsia="Arial" w:hAnsi="Arial" w:cs="Arial"/>
          <w:b/>
          <w:sz w:val="24"/>
          <w:szCs w:val="24"/>
        </w:rPr>
      </w:pPr>
      <w:r w:rsidRPr="006672D9">
        <w:rPr>
          <w:rFonts w:ascii="Arial" w:eastAsia="Arial" w:hAnsi="Arial" w:cs="Arial"/>
          <w:b/>
          <w:sz w:val="24"/>
          <w:szCs w:val="24"/>
        </w:rPr>
        <w:t>Background</w:t>
      </w:r>
    </w:p>
    <w:p w14:paraId="4FC65CF4" w14:textId="24A8FA61" w:rsidR="00A20FDE" w:rsidRPr="006672D9" w:rsidRDefault="005F62B7" w:rsidP="005F62B7">
      <w:pPr>
        <w:pStyle w:val="Normal1"/>
        <w:spacing w:after="0" w:line="360" w:lineRule="auto"/>
        <w:jc w:val="both"/>
        <w:rPr>
          <w:rFonts w:ascii="Arial" w:eastAsia="Arial" w:hAnsi="Arial" w:cs="Arial"/>
          <w:sz w:val="24"/>
          <w:szCs w:val="24"/>
        </w:rPr>
        <w:pPrChange w:id="4" w:author="Mary Bruce" w:date="2024-02-06T15:46:00Z">
          <w:pPr>
            <w:pStyle w:val="Normal1"/>
            <w:numPr>
              <w:numId w:val="2"/>
            </w:numPr>
            <w:spacing w:after="0" w:line="360" w:lineRule="auto"/>
            <w:jc w:val="both"/>
          </w:pPr>
        </w:pPrChange>
      </w:pPr>
      <w:r w:rsidRPr="006672D9">
        <w:rPr>
          <w:rFonts w:ascii="Arial" w:eastAsia="Arial" w:hAnsi="Arial" w:cs="Arial"/>
          <w:sz w:val="24"/>
          <w:szCs w:val="24"/>
        </w:rPr>
        <w:t>[4]</w:t>
      </w:r>
      <w:r w:rsidRPr="006672D9">
        <w:rPr>
          <w:rFonts w:ascii="Arial" w:eastAsia="Arial" w:hAnsi="Arial" w:cs="Arial"/>
          <w:sz w:val="24"/>
          <w:szCs w:val="24"/>
        </w:rPr>
        <w:tab/>
      </w:r>
      <w:r w:rsidR="00A2108D" w:rsidRPr="006672D9">
        <w:rPr>
          <w:rFonts w:ascii="Arial" w:eastAsia="Arial" w:hAnsi="Arial" w:cs="Arial"/>
          <w:sz w:val="24"/>
          <w:szCs w:val="24"/>
        </w:rPr>
        <w:t xml:space="preserve">On </w:t>
      </w:r>
      <w:r w:rsidR="00595B68" w:rsidRPr="006672D9">
        <w:rPr>
          <w:rFonts w:ascii="Arial" w:eastAsia="Arial" w:hAnsi="Arial" w:cs="Arial"/>
          <w:sz w:val="24"/>
          <w:szCs w:val="24"/>
        </w:rPr>
        <w:t>12 August 2014</w:t>
      </w:r>
      <w:r w:rsidR="00F12D9D" w:rsidRPr="006672D9">
        <w:rPr>
          <w:rFonts w:ascii="Arial" w:eastAsia="Arial" w:hAnsi="Arial" w:cs="Arial"/>
          <w:sz w:val="24"/>
          <w:szCs w:val="24"/>
        </w:rPr>
        <w:t>,</w:t>
      </w:r>
      <w:r w:rsidR="00595B68" w:rsidRPr="006672D9">
        <w:rPr>
          <w:rFonts w:ascii="Arial" w:eastAsia="Arial" w:hAnsi="Arial" w:cs="Arial"/>
          <w:sz w:val="24"/>
          <w:szCs w:val="24"/>
        </w:rPr>
        <w:t xml:space="preserve"> the appellants, in the Superior Court of California, County of Orange </w:t>
      </w:r>
      <w:r w:rsidR="0089742C" w:rsidRPr="006672D9">
        <w:rPr>
          <w:rFonts w:ascii="Arial" w:eastAsia="Arial" w:hAnsi="Arial" w:cs="Arial"/>
          <w:sz w:val="24"/>
          <w:szCs w:val="24"/>
        </w:rPr>
        <w:t xml:space="preserve">(the Californian Superior </w:t>
      </w:r>
      <w:r w:rsidR="00AE48D4" w:rsidRPr="006672D9">
        <w:rPr>
          <w:rFonts w:ascii="Arial" w:eastAsia="Arial" w:hAnsi="Arial" w:cs="Arial"/>
          <w:sz w:val="24"/>
          <w:szCs w:val="24"/>
        </w:rPr>
        <w:t>C</w:t>
      </w:r>
      <w:r w:rsidR="0089742C" w:rsidRPr="006672D9">
        <w:rPr>
          <w:rFonts w:ascii="Arial" w:eastAsia="Arial" w:hAnsi="Arial" w:cs="Arial"/>
          <w:sz w:val="24"/>
          <w:szCs w:val="24"/>
        </w:rPr>
        <w:t>ourt)</w:t>
      </w:r>
      <w:r w:rsidR="005E68DC" w:rsidRPr="006672D9">
        <w:rPr>
          <w:rFonts w:ascii="Arial" w:eastAsia="Arial" w:hAnsi="Arial" w:cs="Arial"/>
          <w:sz w:val="24"/>
          <w:szCs w:val="24"/>
        </w:rPr>
        <w:t>,</w:t>
      </w:r>
      <w:r w:rsidR="0089742C" w:rsidRPr="006672D9">
        <w:rPr>
          <w:rFonts w:ascii="Arial" w:eastAsia="Arial" w:hAnsi="Arial" w:cs="Arial"/>
          <w:sz w:val="24"/>
          <w:szCs w:val="24"/>
        </w:rPr>
        <w:t xml:space="preserve"> </w:t>
      </w:r>
      <w:r w:rsidR="000D59C8" w:rsidRPr="006672D9">
        <w:rPr>
          <w:rFonts w:ascii="Arial" w:eastAsia="Arial" w:hAnsi="Arial" w:cs="Arial"/>
          <w:sz w:val="24"/>
          <w:szCs w:val="24"/>
        </w:rPr>
        <w:t xml:space="preserve">filed a </w:t>
      </w:r>
      <w:r w:rsidR="00595B68" w:rsidRPr="006672D9">
        <w:rPr>
          <w:rFonts w:ascii="Arial" w:eastAsia="Arial" w:hAnsi="Arial" w:cs="Arial"/>
          <w:sz w:val="24"/>
          <w:szCs w:val="24"/>
        </w:rPr>
        <w:t xml:space="preserve">complaint against </w:t>
      </w:r>
      <w:r w:rsidR="00BB4A33" w:rsidRPr="006672D9">
        <w:rPr>
          <w:rFonts w:ascii="Arial" w:eastAsia="Arial" w:hAnsi="Arial" w:cs="Arial"/>
          <w:sz w:val="24"/>
          <w:szCs w:val="24"/>
        </w:rPr>
        <w:t>Mr Conteh</w:t>
      </w:r>
      <w:r w:rsidR="00595B68" w:rsidRPr="006672D9">
        <w:rPr>
          <w:rFonts w:ascii="Arial" w:eastAsia="Arial" w:hAnsi="Arial" w:cs="Arial"/>
          <w:sz w:val="24"/>
          <w:szCs w:val="24"/>
        </w:rPr>
        <w:t xml:space="preserve">. </w:t>
      </w:r>
      <w:r w:rsidR="005E68DC" w:rsidRPr="006672D9">
        <w:rPr>
          <w:rFonts w:ascii="Arial" w:eastAsia="Arial" w:hAnsi="Arial" w:cs="Arial"/>
          <w:sz w:val="24"/>
          <w:szCs w:val="24"/>
        </w:rPr>
        <w:t>The law</w:t>
      </w:r>
      <w:r w:rsidR="00643ED2" w:rsidRPr="006672D9">
        <w:rPr>
          <w:rFonts w:ascii="Arial" w:eastAsia="Arial" w:hAnsi="Arial" w:cs="Arial"/>
          <w:sz w:val="24"/>
          <w:szCs w:val="24"/>
        </w:rPr>
        <w:t xml:space="preserve">suit </w:t>
      </w:r>
      <w:r w:rsidR="005E68DC" w:rsidRPr="006672D9">
        <w:rPr>
          <w:rFonts w:ascii="Arial" w:eastAsia="Arial" w:hAnsi="Arial" w:cs="Arial"/>
          <w:sz w:val="24"/>
          <w:szCs w:val="24"/>
        </w:rPr>
        <w:t>is a shareholder</w:t>
      </w:r>
      <w:r w:rsidR="00643ED2" w:rsidRPr="006672D9">
        <w:rPr>
          <w:rFonts w:ascii="Arial" w:eastAsia="Arial" w:hAnsi="Arial" w:cs="Arial"/>
          <w:sz w:val="24"/>
          <w:szCs w:val="24"/>
        </w:rPr>
        <w:t xml:space="preserve"> derivative</w:t>
      </w:r>
      <w:r w:rsidR="005E68DC" w:rsidRPr="006672D9">
        <w:rPr>
          <w:rFonts w:ascii="Arial" w:eastAsia="Arial" w:hAnsi="Arial" w:cs="Arial"/>
          <w:sz w:val="24"/>
          <w:szCs w:val="24"/>
        </w:rPr>
        <w:t xml:space="preserve"> suit</w:t>
      </w:r>
      <w:r w:rsidR="00816CB5" w:rsidRPr="006672D9">
        <w:rPr>
          <w:rFonts w:ascii="Arial" w:eastAsia="Arial" w:hAnsi="Arial" w:cs="Arial"/>
          <w:sz w:val="24"/>
          <w:szCs w:val="24"/>
        </w:rPr>
        <w:t xml:space="preserve">, similar to </w:t>
      </w:r>
      <w:r w:rsidR="00F85B0A" w:rsidRPr="006672D9">
        <w:rPr>
          <w:rFonts w:ascii="Arial" w:eastAsia="Arial" w:hAnsi="Arial" w:cs="Arial"/>
          <w:sz w:val="24"/>
          <w:szCs w:val="24"/>
        </w:rPr>
        <w:t xml:space="preserve">a </w:t>
      </w:r>
      <w:r w:rsidR="005E68DC" w:rsidRPr="006672D9">
        <w:rPr>
          <w:rFonts w:ascii="Arial" w:eastAsia="Arial" w:hAnsi="Arial" w:cs="Arial"/>
          <w:sz w:val="24"/>
          <w:szCs w:val="24"/>
        </w:rPr>
        <w:t xml:space="preserve">derivative action in terms of s 165 of the Companies Act </w:t>
      </w:r>
      <w:r w:rsidR="00F85B0A" w:rsidRPr="006672D9">
        <w:rPr>
          <w:rFonts w:ascii="Arial" w:eastAsia="Arial" w:hAnsi="Arial" w:cs="Arial"/>
          <w:sz w:val="24"/>
          <w:szCs w:val="24"/>
        </w:rPr>
        <w:t xml:space="preserve">71 </w:t>
      </w:r>
      <w:r w:rsidR="005E68DC" w:rsidRPr="006672D9">
        <w:rPr>
          <w:rFonts w:ascii="Arial" w:eastAsia="Arial" w:hAnsi="Arial" w:cs="Arial"/>
          <w:sz w:val="24"/>
          <w:szCs w:val="24"/>
        </w:rPr>
        <w:t xml:space="preserve">of 2008 </w:t>
      </w:r>
      <w:r w:rsidR="00816CB5" w:rsidRPr="006672D9">
        <w:rPr>
          <w:rFonts w:ascii="Arial" w:eastAsia="Arial" w:hAnsi="Arial" w:cs="Arial"/>
          <w:sz w:val="24"/>
          <w:szCs w:val="24"/>
        </w:rPr>
        <w:t xml:space="preserve">in </w:t>
      </w:r>
      <w:r w:rsidR="00F85B0A" w:rsidRPr="006672D9">
        <w:rPr>
          <w:rFonts w:ascii="Arial" w:eastAsia="Arial" w:hAnsi="Arial" w:cs="Arial"/>
          <w:sz w:val="24"/>
          <w:szCs w:val="24"/>
        </w:rPr>
        <w:t xml:space="preserve">our </w:t>
      </w:r>
      <w:r w:rsidR="00816CB5" w:rsidRPr="006672D9">
        <w:rPr>
          <w:rFonts w:ascii="Arial" w:eastAsia="Arial" w:hAnsi="Arial" w:cs="Arial"/>
          <w:sz w:val="24"/>
          <w:szCs w:val="24"/>
        </w:rPr>
        <w:t>law. In essence, t</w:t>
      </w:r>
      <w:r w:rsidR="00643ED2" w:rsidRPr="006672D9">
        <w:rPr>
          <w:rFonts w:ascii="Arial" w:eastAsia="Arial" w:hAnsi="Arial" w:cs="Arial"/>
          <w:sz w:val="24"/>
          <w:szCs w:val="24"/>
        </w:rPr>
        <w:t>his is when ‘[a] shareholder may bring a derivative suit on the corporation</w:t>
      </w:r>
      <w:r w:rsidR="00F85B0A" w:rsidRPr="006672D9">
        <w:rPr>
          <w:rFonts w:ascii="Arial" w:eastAsia="Arial" w:hAnsi="Arial" w:cs="Arial"/>
          <w:sz w:val="24"/>
          <w:szCs w:val="24"/>
        </w:rPr>
        <w:t>’s behalf where management (or any</w:t>
      </w:r>
      <w:r w:rsidR="00643ED2" w:rsidRPr="006672D9">
        <w:rPr>
          <w:rFonts w:ascii="Arial" w:eastAsia="Arial" w:hAnsi="Arial" w:cs="Arial"/>
          <w:sz w:val="24"/>
          <w:szCs w:val="24"/>
        </w:rPr>
        <w:t xml:space="preserve"> third party) breaches a duty </w:t>
      </w:r>
      <w:r w:rsidR="00643ED2" w:rsidRPr="006672D9">
        <w:rPr>
          <w:rFonts w:ascii="Arial" w:eastAsia="Arial" w:hAnsi="Arial" w:cs="Arial"/>
          <w:i/>
          <w:sz w:val="24"/>
          <w:szCs w:val="24"/>
        </w:rPr>
        <w:t>owed</w:t>
      </w:r>
      <w:r w:rsidR="00643ED2" w:rsidRPr="006672D9">
        <w:rPr>
          <w:rFonts w:ascii="Arial" w:eastAsia="Arial" w:hAnsi="Arial" w:cs="Arial"/>
          <w:sz w:val="24"/>
          <w:szCs w:val="24"/>
        </w:rPr>
        <w:t xml:space="preserve"> </w:t>
      </w:r>
      <w:r w:rsidR="00643ED2" w:rsidRPr="006672D9">
        <w:rPr>
          <w:rFonts w:ascii="Arial" w:eastAsia="Arial" w:hAnsi="Arial" w:cs="Arial"/>
          <w:i/>
          <w:sz w:val="24"/>
          <w:szCs w:val="24"/>
        </w:rPr>
        <w:t xml:space="preserve">to the corporation </w:t>
      </w:r>
      <w:r w:rsidR="00643ED2" w:rsidRPr="006672D9">
        <w:rPr>
          <w:rFonts w:ascii="Arial" w:eastAsia="Arial" w:hAnsi="Arial" w:cs="Arial"/>
          <w:sz w:val="24"/>
          <w:szCs w:val="24"/>
        </w:rPr>
        <w:t xml:space="preserve">and the corporation </w:t>
      </w:r>
      <w:r w:rsidR="00643ED2" w:rsidRPr="006672D9">
        <w:rPr>
          <w:rFonts w:ascii="Arial" w:eastAsia="Arial" w:hAnsi="Arial" w:cs="Arial"/>
          <w:i/>
          <w:sz w:val="24"/>
          <w:szCs w:val="24"/>
        </w:rPr>
        <w:t>fails to assert</w:t>
      </w:r>
      <w:r w:rsidR="003853B1" w:rsidRPr="006672D9">
        <w:rPr>
          <w:rFonts w:ascii="Arial" w:eastAsia="Arial" w:hAnsi="Arial" w:cs="Arial"/>
          <w:sz w:val="24"/>
          <w:szCs w:val="24"/>
        </w:rPr>
        <w:t xml:space="preserve"> its cause of action. </w:t>
      </w:r>
      <w:r w:rsidR="00F85B0A" w:rsidRPr="006672D9">
        <w:rPr>
          <w:rFonts w:ascii="Arial" w:eastAsia="Arial" w:hAnsi="Arial" w:cs="Arial"/>
          <w:sz w:val="24"/>
          <w:szCs w:val="24"/>
        </w:rPr>
        <w:t xml:space="preserve">The </w:t>
      </w:r>
      <w:r w:rsidR="00643ED2" w:rsidRPr="006672D9">
        <w:rPr>
          <w:rFonts w:ascii="Arial" w:eastAsia="Arial" w:hAnsi="Arial" w:cs="Arial"/>
          <w:sz w:val="24"/>
          <w:szCs w:val="24"/>
        </w:rPr>
        <w:t>shareholder</w:t>
      </w:r>
      <w:r w:rsidR="00F85B0A" w:rsidRPr="006672D9">
        <w:rPr>
          <w:rFonts w:ascii="Arial" w:eastAsia="Arial" w:hAnsi="Arial" w:cs="Arial"/>
          <w:sz w:val="24"/>
          <w:szCs w:val="24"/>
        </w:rPr>
        <w:t xml:space="preserve"> is</w:t>
      </w:r>
      <w:r w:rsidR="003853B1" w:rsidRPr="006672D9">
        <w:rPr>
          <w:rFonts w:ascii="Arial" w:eastAsia="Arial" w:hAnsi="Arial" w:cs="Arial"/>
          <w:sz w:val="24"/>
          <w:szCs w:val="24"/>
        </w:rPr>
        <w:t xml:space="preserve"> merely </w:t>
      </w:r>
      <w:r w:rsidR="00F85B0A" w:rsidRPr="006672D9">
        <w:rPr>
          <w:rFonts w:ascii="Arial" w:eastAsia="Arial" w:hAnsi="Arial" w:cs="Arial"/>
          <w:sz w:val="24"/>
          <w:szCs w:val="24"/>
        </w:rPr>
        <w:t xml:space="preserve">a </w:t>
      </w:r>
      <w:r w:rsidR="00643ED2" w:rsidRPr="006672D9">
        <w:rPr>
          <w:rFonts w:ascii="Arial" w:eastAsia="Arial" w:hAnsi="Arial" w:cs="Arial"/>
          <w:sz w:val="24"/>
          <w:szCs w:val="24"/>
        </w:rPr>
        <w:t>nominal plaintiff</w:t>
      </w:r>
      <w:r w:rsidR="00F85B0A" w:rsidRPr="006672D9">
        <w:rPr>
          <w:rFonts w:ascii="Arial" w:eastAsia="Arial" w:hAnsi="Arial" w:cs="Arial"/>
          <w:sz w:val="24"/>
          <w:szCs w:val="24"/>
        </w:rPr>
        <w:t xml:space="preserve"> in such an action</w:t>
      </w:r>
      <w:r w:rsidR="00643ED2" w:rsidRPr="006672D9">
        <w:rPr>
          <w:rFonts w:ascii="Arial" w:eastAsia="Arial" w:hAnsi="Arial" w:cs="Arial"/>
          <w:sz w:val="24"/>
          <w:szCs w:val="24"/>
        </w:rPr>
        <w:t>’</w:t>
      </w:r>
      <w:r w:rsidR="00F85B0A" w:rsidRPr="006672D9">
        <w:rPr>
          <w:rFonts w:ascii="Arial" w:eastAsia="Arial" w:hAnsi="Arial" w:cs="Arial"/>
          <w:sz w:val="24"/>
          <w:szCs w:val="24"/>
        </w:rPr>
        <w:t>.</w:t>
      </w:r>
      <w:r w:rsidR="00F85B0A" w:rsidRPr="006672D9">
        <w:rPr>
          <w:rStyle w:val="FootnoteReference"/>
          <w:rFonts w:ascii="Arial" w:eastAsia="Arial" w:hAnsi="Arial" w:cs="Arial"/>
          <w:sz w:val="24"/>
          <w:szCs w:val="24"/>
        </w:rPr>
        <w:footnoteReference w:id="1"/>
      </w:r>
    </w:p>
    <w:p w14:paraId="07E8DDAD" w14:textId="77777777" w:rsidR="00A20FDE" w:rsidRPr="006672D9" w:rsidRDefault="00A20FDE" w:rsidP="00237073">
      <w:pPr>
        <w:pStyle w:val="Normal1"/>
        <w:spacing w:after="0" w:line="360" w:lineRule="auto"/>
        <w:jc w:val="both"/>
        <w:rPr>
          <w:rFonts w:ascii="Arial" w:eastAsia="Arial" w:hAnsi="Arial" w:cs="Arial"/>
          <w:sz w:val="24"/>
          <w:szCs w:val="24"/>
        </w:rPr>
      </w:pPr>
    </w:p>
    <w:p w14:paraId="0B8CF1F2" w14:textId="6598740D" w:rsidR="0089742C" w:rsidRPr="006672D9" w:rsidRDefault="005F62B7" w:rsidP="005F62B7">
      <w:pPr>
        <w:pStyle w:val="Normal1"/>
        <w:spacing w:after="0" w:line="360" w:lineRule="auto"/>
        <w:jc w:val="both"/>
        <w:rPr>
          <w:rFonts w:ascii="Arial" w:eastAsia="Arial" w:hAnsi="Arial" w:cs="Arial"/>
          <w:sz w:val="24"/>
          <w:szCs w:val="24"/>
        </w:rPr>
        <w:pPrChange w:id="5" w:author="Mary Bruce" w:date="2024-02-06T15:46:00Z">
          <w:pPr>
            <w:pStyle w:val="Normal1"/>
            <w:numPr>
              <w:numId w:val="2"/>
            </w:numPr>
            <w:spacing w:after="0" w:line="360" w:lineRule="auto"/>
            <w:jc w:val="both"/>
          </w:pPr>
        </w:pPrChange>
      </w:pPr>
      <w:r w:rsidRPr="006672D9">
        <w:rPr>
          <w:rFonts w:ascii="Arial" w:eastAsia="Arial" w:hAnsi="Arial" w:cs="Arial"/>
          <w:sz w:val="24"/>
          <w:szCs w:val="24"/>
        </w:rPr>
        <w:t>[5]</w:t>
      </w:r>
      <w:r w:rsidRPr="006672D9">
        <w:rPr>
          <w:rFonts w:ascii="Arial" w:eastAsia="Arial" w:hAnsi="Arial" w:cs="Arial"/>
          <w:sz w:val="24"/>
          <w:szCs w:val="24"/>
        </w:rPr>
        <w:tab/>
      </w:r>
      <w:r w:rsidR="00F04023" w:rsidRPr="006672D9">
        <w:rPr>
          <w:rFonts w:ascii="Arial" w:eastAsia="Arial" w:hAnsi="Arial" w:cs="Arial"/>
          <w:sz w:val="24"/>
          <w:szCs w:val="24"/>
        </w:rPr>
        <w:t xml:space="preserve">The </w:t>
      </w:r>
      <w:r w:rsidR="00595B68" w:rsidRPr="006672D9">
        <w:rPr>
          <w:rFonts w:ascii="Arial" w:eastAsia="Arial" w:hAnsi="Arial" w:cs="Arial"/>
          <w:sz w:val="24"/>
          <w:szCs w:val="24"/>
        </w:rPr>
        <w:t xml:space="preserve">basis of the complaint </w:t>
      </w:r>
      <w:r w:rsidR="000D59C8" w:rsidRPr="006672D9">
        <w:rPr>
          <w:rFonts w:ascii="Arial" w:eastAsia="Arial" w:hAnsi="Arial" w:cs="Arial"/>
          <w:sz w:val="24"/>
          <w:szCs w:val="24"/>
        </w:rPr>
        <w:t>wa</w:t>
      </w:r>
      <w:r w:rsidR="0089742C" w:rsidRPr="006672D9">
        <w:rPr>
          <w:rFonts w:ascii="Arial" w:eastAsia="Arial" w:hAnsi="Arial" w:cs="Arial"/>
          <w:sz w:val="24"/>
          <w:szCs w:val="24"/>
        </w:rPr>
        <w:t xml:space="preserve">s </w:t>
      </w:r>
      <w:r w:rsidR="000D59C8" w:rsidRPr="006672D9">
        <w:rPr>
          <w:rFonts w:ascii="Arial" w:eastAsia="Arial" w:hAnsi="Arial" w:cs="Arial"/>
          <w:sz w:val="24"/>
          <w:szCs w:val="24"/>
        </w:rPr>
        <w:t xml:space="preserve">that </w:t>
      </w:r>
      <w:r w:rsidR="006C1435" w:rsidRPr="006672D9">
        <w:rPr>
          <w:rFonts w:ascii="Arial" w:eastAsia="Arial" w:hAnsi="Arial" w:cs="Arial"/>
          <w:sz w:val="24"/>
          <w:szCs w:val="24"/>
        </w:rPr>
        <w:t xml:space="preserve">Mr Conteh </w:t>
      </w:r>
      <w:r w:rsidR="0089742C" w:rsidRPr="006672D9">
        <w:rPr>
          <w:rFonts w:ascii="Arial" w:eastAsia="Arial" w:hAnsi="Arial" w:cs="Arial"/>
          <w:sz w:val="24"/>
          <w:szCs w:val="24"/>
        </w:rPr>
        <w:t>alleged</w:t>
      </w:r>
      <w:r w:rsidR="006C1435" w:rsidRPr="006672D9">
        <w:rPr>
          <w:rFonts w:ascii="Arial" w:eastAsia="Arial" w:hAnsi="Arial" w:cs="Arial"/>
          <w:sz w:val="24"/>
          <w:szCs w:val="24"/>
        </w:rPr>
        <w:t>ly</w:t>
      </w:r>
      <w:r w:rsidR="00595B68" w:rsidRPr="006672D9">
        <w:rPr>
          <w:rFonts w:ascii="Arial" w:eastAsia="Arial" w:hAnsi="Arial" w:cs="Arial"/>
          <w:sz w:val="24"/>
          <w:szCs w:val="24"/>
        </w:rPr>
        <w:t xml:space="preserve"> transferred 51 shares of </w:t>
      </w:r>
      <w:r w:rsidR="00FA22E5" w:rsidRPr="006672D9">
        <w:rPr>
          <w:rFonts w:ascii="Arial" w:eastAsia="Arial" w:hAnsi="Arial" w:cs="Arial"/>
          <w:sz w:val="24"/>
          <w:szCs w:val="24"/>
        </w:rPr>
        <w:t>Resotel SPRL (</w:t>
      </w:r>
      <w:r w:rsidR="00595B68" w:rsidRPr="006672D9">
        <w:rPr>
          <w:rFonts w:ascii="Arial" w:eastAsia="Arial" w:hAnsi="Arial" w:cs="Arial"/>
          <w:sz w:val="24"/>
          <w:szCs w:val="24"/>
        </w:rPr>
        <w:t>Resotel</w:t>
      </w:r>
      <w:r w:rsidR="00FA22E5" w:rsidRPr="006672D9">
        <w:rPr>
          <w:rFonts w:ascii="Arial" w:eastAsia="Arial" w:hAnsi="Arial" w:cs="Arial"/>
          <w:sz w:val="24"/>
          <w:szCs w:val="24"/>
        </w:rPr>
        <w:t>)</w:t>
      </w:r>
      <w:r w:rsidR="00595B68" w:rsidRPr="006672D9">
        <w:rPr>
          <w:rFonts w:ascii="Arial" w:eastAsia="Arial" w:hAnsi="Arial" w:cs="Arial"/>
          <w:sz w:val="24"/>
          <w:szCs w:val="24"/>
        </w:rPr>
        <w:t xml:space="preserve"> to </w:t>
      </w:r>
      <w:r w:rsidR="00936052" w:rsidRPr="006672D9">
        <w:rPr>
          <w:rFonts w:ascii="Arial" w:eastAsia="Arial" w:hAnsi="Arial" w:cs="Arial"/>
          <w:sz w:val="24"/>
          <w:szCs w:val="24"/>
        </w:rPr>
        <w:t>Odessa Capital incorporated (</w:t>
      </w:r>
      <w:r w:rsidR="00595B68" w:rsidRPr="006672D9">
        <w:rPr>
          <w:rFonts w:ascii="Arial" w:eastAsia="Arial" w:hAnsi="Arial" w:cs="Arial"/>
          <w:sz w:val="24"/>
          <w:szCs w:val="24"/>
        </w:rPr>
        <w:t>Odessa</w:t>
      </w:r>
      <w:r w:rsidR="00936052" w:rsidRPr="006672D9">
        <w:rPr>
          <w:rFonts w:ascii="Arial" w:eastAsia="Arial" w:hAnsi="Arial" w:cs="Arial"/>
          <w:sz w:val="24"/>
          <w:szCs w:val="24"/>
        </w:rPr>
        <w:t>)</w:t>
      </w:r>
      <w:r w:rsidR="00595B68" w:rsidRPr="006672D9">
        <w:rPr>
          <w:rFonts w:ascii="Arial" w:eastAsia="Arial" w:hAnsi="Arial" w:cs="Arial"/>
          <w:sz w:val="24"/>
          <w:szCs w:val="24"/>
        </w:rPr>
        <w:t xml:space="preserve"> and 2 shares of </w:t>
      </w:r>
      <w:r w:rsidR="00FA22E5" w:rsidRPr="006672D9">
        <w:rPr>
          <w:rFonts w:ascii="Arial" w:eastAsia="Arial" w:hAnsi="Arial" w:cs="Arial"/>
          <w:sz w:val="24"/>
          <w:szCs w:val="24"/>
        </w:rPr>
        <w:t>Congolese Wireless Network SPRL (</w:t>
      </w:r>
      <w:r w:rsidR="00595B68" w:rsidRPr="006672D9">
        <w:rPr>
          <w:rFonts w:ascii="Arial" w:eastAsia="Arial" w:hAnsi="Arial" w:cs="Arial"/>
          <w:sz w:val="24"/>
          <w:szCs w:val="24"/>
        </w:rPr>
        <w:t>CWN</w:t>
      </w:r>
      <w:r w:rsidR="00FA22E5" w:rsidRPr="006672D9">
        <w:rPr>
          <w:rFonts w:ascii="Arial" w:eastAsia="Arial" w:hAnsi="Arial" w:cs="Arial"/>
          <w:sz w:val="24"/>
          <w:szCs w:val="24"/>
        </w:rPr>
        <w:t>)</w:t>
      </w:r>
      <w:r w:rsidR="00595B68" w:rsidRPr="006672D9">
        <w:rPr>
          <w:rFonts w:ascii="Arial" w:eastAsia="Arial" w:hAnsi="Arial" w:cs="Arial"/>
          <w:sz w:val="24"/>
          <w:szCs w:val="24"/>
        </w:rPr>
        <w:t xml:space="preserve"> to two companies OOA One LLC and OOA Two </w:t>
      </w:r>
      <w:r w:rsidR="0089742C" w:rsidRPr="006672D9">
        <w:rPr>
          <w:rFonts w:ascii="Arial" w:eastAsia="Arial" w:hAnsi="Arial" w:cs="Arial"/>
          <w:sz w:val="24"/>
          <w:szCs w:val="24"/>
        </w:rPr>
        <w:t>LLC, without</w:t>
      </w:r>
      <w:r w:rsidR="00147899" w:rsidRPr="006672D9">
        <w:rPr>
          <w:rFonts w:ascii="Arial" w:eastAsia="Arial" w:hAnsi="Arial" w:cs="Arial"/>
          <w:sz w:val="24"/>
          <w:szCs w:val="24"/>
        </w:rPr>
        <w:t xml:space="preserve"> the requi</w:t>
      </w:r>
      <w:r w:rsidR="00151066">
        <w:rPr>
          <w:rFonts w:ascii="Arial" w:eastAsia="Arial" w:hAnsi="Arial" w:cs="Arial"/>
          <w:sz w:val="24"/>
          <w:szCs w:val="24"/>
        </w:rPr>
        <w:t>red</w:t>
      </w:r>
      <w:r w:rsidR="0089742C" w:rsidRPr="006672D9">
        <w:rPr>
          <w:rFonts w:ascii="Arial" w:eastAsia="Arial" w:hAnsi="Arial" w:cs="Arial"/>
          <w:sz w:val="24"/>
          <w:szCs w:val="24"/>
        </w:rPr>
        <w:t xml:space="preserve"> permission </w:t>
      </w:r>
      <w:r w:rsidR="00151066">
        <w:rPr>
          <w:rFonts w:ascii="Arial" w:eastAsia="Arial" w:hAnsi="Arial" w:cs="Arial"/>
          <w:sz w:val="24"/>
          <w:szCs w:val="24"/>
        </w:rPr>
        <w:t xml:space="preserve">of </w:t>
      </w:r>
      <w:r w:rsidR="0089742C" w:rsidRPr="006672D9">
        <w:rPr>
          <w:rFonts w:ascii="Arial" w:eastAsia="Arial" w:hAnsi="Arial" w:cs="Arial"/>
          <w:sz w:val="24"/>
          <w:szCs w:val="24"/>
        </w:rPr>
        <w:t xml:space="preserve">AWI. </w:t>
      </w:r>
      <w:r w:rsidR="00990BE3">
        <w:rPr>
          <w:rFonts w:ascii="Arial" w:eastAsia="Arial" w:hAnsi="Arial" w:cs="Arial"/>
          <w:sz w:val="24"/>
          <w:szCs w:val="24"/>
        </w:rPr>
        <w:t>T</w:t>
      </w:r>
      <w:r w:rsidR="006C1435" w:rsidRPr="006672D9">
        <w:rPr>
          <w:rFonts w:ascii="Arial" w:eastAsia="Arial" w:hAnsi="Arial" w:cs="Arial"/>
          <w:sz w:val="24"/>
          <w:szCs w:val="24"/>
        </w:rPr>
        <w:t>he</w:t>
      </w:r>
      <w:r w:rsidR="003853B1" w:rsidRPr="006672D9">
        <w:rPr>
          <w:rFonts w:ascii="Arial" w:eastAsia="Arial" w:hAnsi="Arial" w:cs="Arial"/>
          <w:sz w:val="24"/>
          <w:szCs w:val="24"/>
        </w:rPr>
        <w:t xml:space="preserve"> </w:t>
      </w:r>
      <w:r w:rsidR="0089742C" w:rsidRPr="006672D9">
        <w:rPr>
          <w:rFonts w:ascii="Arial" w:eastAsia="Arial" w:hAnsi="Arial" w:cs="Arial"/>
          <w:sz w:val="24"/>
          <w:szCs w:val="24"/>
        </w:rPr>
        <w:t>transfer of the</w:t>
      </w:r>
      <w:r w:rsidR="006C1435" w:rsidRPr="006672D9">
        <w:rPr>
          <w:rFonts w:ascii="Arial" w:eastAsia="Arial" w:hAnsi="Arial" w:cs="Arial"/>
          <w:sz w:val="24"/>
          <w:szCs w:val="24"/>
        </w:rPr>
        <w:t>se</w:t>
      </w:r>
      <w:r w:rsidR="00643ED2" w:rsidRPr="006672D9">
        <w:rPr>
          <w:rFonts w:ascii="Arial" w:eastAsia="Arial" w:hAnsi="Arial" w:cs="Arial"/>
          <w:sz w:val="24"/>
          <w:szCs w:val="24"/>
        </w:rPr>
        <w:t xml:space="preserve"> shares</w:t>
      </w:r>
      <w:r w:rsidR="000D59C8" w:rsidRPr="006672D9">
        <w:rPr>
          <w:rFonts w:ascii="Arial" w:eastAsia="Arial" w:hAnsi="Arial" w:cs="Arial"/>
          <w:sz w:val="24"/>
          <w:szCs w:val="24"/>
        </w:rPr>
        <w:t xml:space="preserve"> </w:t>
      </w:r>
      <w:r w:rsidR="0089742C" w:rsidRPr="006672D9">
        <w:rPr>
          <w:rFonts w:ascii="Arial" w:eastAsia="Arial" w:hAnsi="Arial" w:cs="Arial"/>
          <w:sz w:val="24"/>
          <w:szCs w:val="24"/>
        </w:rPr>
        <w:t>w</w:t>
      </w:r>
      <w:r w:rsidR="00990BE3">
        <w:rPr>
          <w:rFonts w:ascii="Arial" w:eastAsia="Arial" w:hAnsi="Arial" w:cs="Arial"/>
          <w:sz w:val="24"/>
          <w:szCs w:val="24"/>
        </w:rPr>
        <w:t>as</w:t>
      </w:r>
      <w:r w:rsidR="0089742C" w:rsidRPr="006672D9">
        <w:rPr>
          <w:rFonts w:ascii="Arial" w:eastAsia="Arial" w:hAnsi="Arial" w:cs="Arial"/>
          <w:sz w:val="24"/>
          <w:szCs w:val="24"/>
        </w:rPr>
        <w:t xml:space="preserve"> to companie</w:t>
      </w:r>
      <w:r w:rsidR="00BB4A33" w:rsidRPr="006672D9">
        <w:rPr>
          <w:rFonts w:ascii="Arial" w:eastAsia="Arial" w:hAnsi="Arial" w:cs="Arial"/>
          <w:sz w:val="24"/>
          <w:szCs w:val="24"/>
        </w:rPr>
        <w:t>s wholly owned by</w:t>
      </w:r>
      <w:r w:rsidR="003853B1" w:rsidRPr="006672D9">
        <w:rPr>
          <w:rFonts w:ascii="Arial" w:eastAsia="Arial" w:hAnsi="Arial" w:cs="Arial"/>
          <w:sz w:val="24"/>
          <w:szCs w:val="24"/>
        </w:rPr>
        <w:t xml:space="preserve"> </w:t>
      </w:r>
      <w:r w:rsidR="00F377B5" w:rsidRPr="006672D9">
        <w:rPr>
          <w:rFonts w:ascii="Arial" w:eastAsia="Arial" w:hAnsi="Arial" w:cs="Arial"/>
          <w:sz w:val="24"/>
          <w:szCs w:val="24"/>
        </w:rPr>
        <w:t xml:space="preserve">Mr </w:t>
      </w:r>
      <w:r w:rsidR="003853B1" w:rsidRPr="006672D9">
        <w:rPr>
          <w:rFonts w:ascii="Arial" w:eastAsia="Arial" w:hAnsi="Arial" w:cs="Arial"/>
          <w:sz w:val="24"/>
          <w:szCs w:val="24"/>
        </w:rPr>
        <w:t>Conteh</w:t>
      </w:r>
      <w:r w:rsidR="0089742C" w:rsidRPr="006672D9">
        <w:rPr>
          <w:rFonts w:ascii="Arial" w:eastAsia="Arial" w:hAnsi="Arial" w:cs="Arial"/>
          <w:sz w:val="24"/>
          <w:szCs w:val="24"/>
        </w:rPr>
        <w:t>.</w:t>
      </w:r>
    </w:p>
    <w:p w14:paraId="392A77F4" w14:textId="77777777" w:rsidR="0089742C" w:rsidRPr="006672D9" w:rsidRDefault="0089742C" w:rsidP="00237073">
      <w:pPr>
        <w:pStyle w:val="ListParagraph"/>
        <w:spacing w:after="0" w:line="360" w:lineRule="auto"/>
        <w:jc w:val="both"/>
        <w:rPr>
          <w:rFonts w:ascii="Arial" w:eastAsia="Arial" w:hAnsi="Arial" w:cs="Arial"/>
          <w:sz w:val="24"/>
          <w:szCs w:val="24"/>
        </w:rPr>
      </w:pPr>
    </w:p>
    <w:p w14:paraId="2D489778" w14:textId="5E8313B8" w:rsidR="00BA6E95" w:rsidRPr="006672D9" w:rsidRDefault="005F62B7" w:rsidP="005F62B7">
      <w:pPr>
        <w:pStyle w:val="Normal1"/>
        <w:spacing w:after="0" w:line="360" w:lineRule="auto"/>
        <w:jc w:val="both"/>
        <w:rPr>
          <w:rFonts w:ascii="Arial" w:eastAsia="Arial" w:hAnsi="Arial" w:cs="Arial"/>
          <w:sz w:val="24"/>
          <w:szCs w:val="24"/>
        </w:rPr>
        <w:pPrChange w:id="6" w:author="Mary Bruce" w:date="2024-02-06T15:46:00Z">
          <w:pPr>
            <w:pStyle w:val="Normal1"/>
            <w:numPr>
              <w:numId w:val="2"/>
            </w:numPr>
            <w:spacing w:after="0" w:line="360" w:lineRule="auto"/>
            <w:jc w:val="both"/>
          </w:pPr>
        </w:pPrChange>
      </w:pPr>
      <w:r w:rsidRPr="006672D9">
        <w:rPr>
          <w:rFonts w:ascii="Arial" w:eastAsia="Arial" w:hAnsi="Arial" w:cs="Arial"/>
          <w:sz w:val="24"/>
          <w:szCs w:val="24"/>
        </w:rPr>
        <w:t>[6]</w:t>
      </w:r>
      <w:r w:rsidRPr="006672D9">
        <w:rPr>
          <w:rFonts w:ascii="Arial" w:eastAsia="Arial" w:hAnsi="Arial" w:cs="Arial"/>
          <w:sz w:val="24"/>
          <w:szCs w:val="24"/>
        </w:rPr>
        <w:tab/>
      </w:r>
      <w:r w:rsidR="00BA6E95" w:rsidRPr="006672D9">
        <w:rPr>
          <w:rFonts w:ascii="Arial" w:eastAsia="Arial" w:hAnsi="Arial" w:cs="Arial"/>
          <w:sz w:val="24"/>
          <w:szCs w:val="24"/>
        </w:rPr>
        <w:t>The a</w:t>
      </w:r>
      <w:r w:rsidR="00BB4A33" w:rsidRPr="006672D9">
        <w:rPr>
          <w:rFonts w:ascii="Arial" w:eastAsia="Arial" w:hAnsi="Arial" w:cs="Arial"/>
          <w:sz w:val="24"/>
          <w:szCs w:val="24"/>
        </w:rPr>
        <w:t>ppellants obtained an order of judgment</w:t>
      </w:r>
      <w:r w:rsidR="00BA6E95" w:rsidRPr="006672D9">
        <w:rPr>
          <w:rFonts w:ascii="Arial" w:eastAsia="Arial" w:hAnsi="Arial" w:cs="Arial"/>
          <w:sz w:val="24"/>
          <w:szCs w:val="24"/>
        </w:rPr>
        <w:t xml:space="preserve"> </w:t>
      </w:r>
      <w:r w:rsidR="00BB4A33" w:rsidRPr="006672D9">
        <w:rPr>
          <w:rFonts w:ascii="Arial" w:eastAsia="Arial" w:hAnsi="Arial" w:cs="Arial"/>
          <w:sz w:val="24"/>
          <w:szCs w:val="24"/>
        </w:rPr>
        <w:t xml:space="preserve">by default </w:t>
      </w:r>
      <w:r w:rsidR="00BA6E95" w:rsidRPr="006672D9">
        <w:rPr>
          <w:rFonts w:ascii="Arial" w:eastAsia="Arial" w:hAnsi="Arial" w:cs="Arial"/>
          <w:sz w:val="24"/>
          <w:szCs w:val="24"/>
        </w:rPr>
        <w:t>on 13 May 2016</w:t>
      </w:r>
      <w:r w:rsidR="00C81575" w:rsidRPr="006672D9">
        <w:rPr>
          <w:rFonts w:ascii="Arial" w:eastAsia="Arial" w:hAnsi="Arial" w:cs="Arial"/>
          <w:sz w:val="24"/>
          <w:szCs w:val="24"/>
        </w:rPr>
        <w:t>. The</w:t>
      </w:r>
      <w:r w:rsidR="00BA6E95" w:rsidRPr="006672D9">
        <w:rPr>
          <w:rFonts w:ascii="Arial" w:eastAsia="Arial" w:hAnsi="Arial" w:cs="Arial"/>
          <w:sz w:val="24"/>
          <w:szCs w:val="24"/>
        </w:rPr>
        <w:t xml:space="preserve"> potential difficulties</w:t>
      </w:r>
      <w:r w:rsidR="00C81575" w:rsidRPr="006672D9">
        <w:rPr>
          <w:rFonts w:ascii="Arial" w:eastAsia="Arial" w:hAnsi="Arial" w:cs="Arial"/>
          <w:sz w:val="24"/>
          <w:szCs w:val="24"/>
        </w:rPr>
        <w:t xml:space="preserve"> with this default order</w:t>
      </w:r>
      <w:r w:rsidR="00990BE3">
        <w:rPr>
          <w:rFonts w:ascii="Arial" w:eastAsia="Arial" w:hAnsi="Arial" w:cs="Arial"/>
          <w:sz w:val="24"/>
          <w:szCs w:val="24"/>
        </w:rPr>
        <w:t>, under California</w:t>
      </w:r>
      <w:r w:rsidR="00DD5776">
        <w:rPr>
          <w:rFonts w:ascii="Arial" w:eastAsia="Arial" w:hAnsi="Arial" w:cs="Arial"/>
          <w:sz w:val="24"/>
          <w:szCs w:val="24"/>
        </w:rPr>
        <w:t>n</w:t>
      </w:r>
      <w:r w:rsidR="00990BE3">
        <w:rPr>
          <w:rFonts w:ascii="Arial" w:eastAsia="Arial" w:hAnsi="Arial" w:cs="Arial"/>
          <w:sz w:val="24"/>
          <w:szCs w:val="24"/>
        </w:rPr>
        <w:t xml:space="preserve"> law,</w:t>
      </w:r>
      <w:r w:rsidR="00C81575" w:rsidRPr="006672D9">
        <w:rPr>
          <w:rFonts w:ascii="Arial" w:eastAsia="Arial" w:hAnsi="Arial" w:cs="Arial"/>
          <w:sz w:val="24"/>
          <w:szCs w:val="24"/>
        </w:rPr>
        <w:t xml:space="preserve"> were highlighted to</w:t>
      </w:r>
      <w:r w:rsidR="00BA6E95" w:rsidRPr="006672D9">
        <w:rPr>
          <w:rFonts w:ascii="Arial" w:eastAsia="Arial" w:hAnsi="Arial" w:cs="Arial"/>
          <w:sz w:val="24"/>
          <w:szCs w:val="24"/>
        </w:rPr>
        <w:t xml:space="preserve"> the appellants</w:t>
      </w:r>
      <w:r w:rsidR="00990BE3">
        <w:rPr>
          <w:rFonts w:ascii="Arial" w:eastAsia="Arial" w:hAnsi="Arial" w:cs="Arial"/>
          <w:sz w:val="24"/>
          <w:szCs w:val="24"/>
        </w:rPr>
        <w:t>,</w:t>
      </w:r>
      <w:r w:rsidR="00BA6E95" w:rsidRPr="006672D9">
        <w:rPr>
          <w:rFonts w:ascii="Arial" w:eastAsia="Arial" w:hAnsi="Arial" w:cs="Arial"/>
          <w:sz w:val="24"/>
          <w:szCs w:val="24"/>
        </w:rPr>
        <w:t xml:space="preserve"> </w:t>
      </w:r>
      <w:r w:rsidR="0071264D" w:rsidRPr="006672D9">
        <w:rPr>
          <w:rFonts w:ascii="Arial" w:eastAsia="Arial" w:hAnsi="Arial" w:cs="Arial"/>
          <w:sz w:val="24"/>
          <w:szCs w:val="24"/>
        </w:rPr>
        <w:t>who</w:t>
      </w:r>
      <w:r w:rsidR="00C81575" w:rsidRPr="006672D9">
        <w:rPr>
          <w:rFonts w:ascii="Arial" w:eastAsia="Arial" w:hAnsi="Arial" w:cs="Arial"/>
          <w:sz w:val="24"/>
          <w:szCs w:val="24"/>
        </w:rPr>
        <w:t xml:space="preserve"> </w:t>
      </w:r>
      <w:r w:rsidR="00F40B19" w:rsidRPr="006672D9">
        <w:rPr>
          <w:rFonts w:ascii="Arial" w:eastAsia="Arial" w:hAnsi="Arial" w:cs="Arial"/>
          <w:sz w:val="24"/>
          <w:szCs w:val="24"/>
        </w:rPr>
        <w:t>were</w:t>
      </w:r>
      <w:r w:rsidR="00BA6E95" w:rsidRPr="006672D9">
        <w:rPr>
          <w:rFonts w:ascii="Arial" w:eastAsia="Arial" w:hAnsi="Arial" w:cs="Arial"/>
          <w:sz w:val="24"/>
          <w:szCs w:val="24"/>
        </w:rPr>
        <w:t xml:space="preserve"> invited to correct the deficiencies by </w:t>
      </w:r>
      <w:r w:rsidR="00C81575" w:rsidRPr="006672D9">
        <w:rPr>
          <w:rFonts w:ascii="Arial" w:eastAsia="Arial" w:hAnsi="Arial" w:cs="Arial"/>
          <w:sz w:val="24"/>
          <w:szCs w:val="24"/>
        </w:rPr>
        <w:t xml:space="preserve">either </w:t>
      </w:r>
      <w:r w:rsidR="00BA6E95" w:rsidRPr="006672D9">
        <w:rPr>
          <w:rFonts w:ascii="Arial" w:eastAsia="Arial" w:hAnsi="Arial" w:cs="Arial"/>
          <w:sz w:val="24"/>
          <w:szCs w:val="24"/>
        </w:rPr>
        <w:t>filing an amended complaint or continuing by way of a default prove-up hearing</w:t>
      </w:r>
      <w:r w:rsidR="00BB4A33" w:rsidRPr="006672D9">
        <w:rPr>
          <w:rFonts w:ascii="Arial" w:eastAsia="Arial" w:hAnsi="Arial" w:cs="Arial"/>
          <w:sz w:val="24"/>
          <w:szCs w:val="24"/>
        </w:rPr>
        <w:t>. T</w:t>
      </w:r>
      <w:r w:rsidR="00F40B19" w:rsidRPr="006672D9">
        <w:rPr>
          <w:rFonts w:ascii="Arial" w:eastAsia="Arial" w:hAnsi="Arial" w:cs="Arial"/>
          <w:sz w:val="24"/>
          <w:szCs w:val="24"/>
        </w:rPr>
        <w:t>he</w:t>
      </w:r>
      <w:r w:rsidR="00C81575" w:rsidRPr="006672D9">
        <w:rPr>
          <w:rFonts w:ascii="Arial" w:eastAsia="Arial" w:hAnsi="Arial" w:cs="Arial"/>
          <w:sz w:val="24"/>
          <w:szCs w:val="24"/>
        </w:rPr>
        <w:t xml:space="preserve">y </w:t>
      </w:r>
      <w:r w:rsidR="00F40B19" w:rsidRPr="006672D9">
        <w:rPr>
          <w:rFonts w:ascii="Arial" w:eastAsia="Arial" w:hAnsi="Arial" w:cs="Arial"/>
          <w:sz w:val="24"/>
          <w:szCs w:val="24"/>
        </w:rPr>
        <w:t>chose the default prove-up hearing</w:t>
      </w:r>
      <w:r w:rsidR="00DA060C" w:rsidRPr="006672D9">
        <w:rPr>
          <w:rFonts w:ascii="Arial" w:eastAsia="Arial" w:hAnsi="Arial" w:cs="Arial"/>
          <w:sz w:val="24"/>
          <w:szCs w:val="24"/>
        </w:rPr>
        <w:t>,</w:t>
      </w:r>
      <w:r w:rsidR="00F40B19" w:rsidRPr="006672D9">
        <w:rPr>
          <w:rFonts w:ascii="Arial" w:eastAsia="Arial" w:hAnsi="Arial" w:cs="Arial"/>
          <w:sz w:val="24"/>
          <w:szCs w:val="24"/>
        </w:rPr>
        <w:t xml:space="preserve"> </w:t>
      </w:r>
      <w:r w:rsidR="000D59C8" w:rsidRPr="006672D9">
        <w:rPr>
          <w:rFonts w:ascii="Arial" w:eastAsia="Arial" w:hAnsi="Arial" w:cs="Arial"/>
          <w:sz w:val="24"/>
          <w:szCs w:val="24"/>
        </w:rPr>
        <w:t xml:space="preserve">which was held on 10 June 2016. </w:t>
      </w:r>
      <w:r w:rsidR="000E64F7" w:rsidRPr="006672D9">
        <w:rPr>
          <w:rFonts w:ascii="Arial" w:eastAsia="Arial" w:hAnsi="Arial" w:cs="Arial"/>
          <w:sz w:val="24"/>
          <w:szCs w:val="24"/>
        </w:rPr>
        <w:t>Judge</w:t>
      </w:r>
      <w:r w:rsidR="002D15B5" w:rsidRPr="006672D9">
        <w:rPr>
          <w:rFonts w:ascii="Arial" w:eastAsia="Arial" w:hAnsi="Arial" w:cs="Arial"/>
          <w:sz w:val="24"/>
          <w:szCs w:val="24"/>
        </w:rPr>
        <w:t xml:space="preserve"> Servino presided, and on 6 July 2016,</w:t>
      </w:r>
      <w:r w:rsidR="00726BE7" w:rsidRPr="006672D9">
        <w:rPr>
          <w:rFonts w:ascii="Arial" w:eastAsia="Arial" w:hAnsi="Arial" w:cs="Arial"/>
          <w:sz w:val="24"/>
          <w:szCs w:val="24"/>
        </w:rPr>
        <w:t xml:space="preserve"> </w:t>
      </w:r>
      <w:r w:rsidR="00DA060C" w:rsidRPr="006672D9">
        <w:rPr>
          <w:rFonts w:ascii="Arial" w:eastAsia="Arial" w:hAnsi="Arial" w:cs="Arial"/>
          <w:sz w:val="24"/>
          <w:szCs w:val="24"/>
        </w:rPr>
        <w:t>the Californian Superior Court</w:t>
      </w:r>
      <w:r w:rsidR="00DA060C" w:rsidRPr="006672D9" w:rsidDel="00DA060C">
        <w:rPr>
          <w:rFonts w:ascii="Arial" w:eastAsia="Arial" w:hAnsi="Arial" w:cs="Arial"/>
          <w:sz w:val="24"/>
          <w:szCs w:val="24"/>
        </w:rPr>
        <w:t xml:space="preserve"> </w:t>
      </w:r>
      <w:r w:rsidR="00726BE7" w:rsidRPr="006672D9">
        <w:rPr>
          <w:rFonts w:ascii="Arial" w:eastAsia="Arial" w:hAnsi="Arial" w:cs="Arial"/>
          <w:sz w:val="24"/>
          <w:szCs w:val="24"/>
        </w:rPr>
        <w:t>ordered a ‘constructive trust on behalf of AWI over the 51 shares of Resotel that w</w:t>
      </w:r>
      <w:r w:rsidR="00BB4A33" w:rsidRPr="006672D9">
        <w:rPr>
          <w:rFonts w:ascii="Arial" w:eastAsia="Arial" w:hAnsi="Arial" w:cs="Arial"/>
          <w:sz w:val="24"/>
          <w:szCs w:val="24"/>
        </w:rPr>
        <w:t>ere</w:t>
      </w:r>
      <w:r w:rsidR="00726BE7" w:rsidRPr="006672D9">
        <w:rPr>
          <w:rFonts w:ascii="Arial" w:eastAsia="Arial" w:hAnsi="Arial" w:cs="Arial"/>
          <w:sz w:val="24"/>
          <w:szCs w:val="24"/>
        </w:rPr>
        <w:t xml:space="preserve"> transferred to Ode</w:t>
      </w:r>
      <w:r w:rsidR="002D15B5" w:rsidRPr="006672D9">
        <w:rPr>
          <w:rFonts w:ascii="Arial" w:eastAsia="Arial" w:hAnsi="Arial" w:cs="Arial"/>
          <w:sz w:val="24"/>
          <w:szCs w:val="24"/>
        </w:rPr>
        <w:t>ssa Capital</w:t>
      </w:r>
      <w:r w:rsidR="00726BE7" w:rsidRPr="006672D9">
        <w:rPr>
          <w:rFonts w:ascii="Arial" w:eastAsia="Arial" w:hAnsi="Arial" w:cs="Arial"/>
          <w:sz w:val="24"/>
          <w:szCs w:val="24"/>
        </w:rPr>
        <w:t>, In</w:t>
      </w:r>
      <w:r w:rsidR="002D15B5" w:rsidRPr="006672D9">
        <w:rPr>
          <w:rFonts w:ascii="Arial" w:eastAsia="Arial" w:hAnsi="Arial" w:cs="Arial"/>
          <w:sz w:val="24"/>
          <w:szCs w:val="24"/>
        </w:rPr>
        <w:t>c</w:t>
      </w:r>
      <w:r w:rsidR="00726BE7" w:rsidRPr="006672D9">
        <w:rPr>
          <w:rFonts w:ascii="Arial" w:eastAsia="Arial" w:hAnsi="Arial" w:cs="Arial"/>
          <w:sz w:val="24"/>
          <w:szCs w:val="24"/>
        </w:rPr>
        <w:t xml:space="preserve">. on </w:t>
      </w:r>
      <w:r w:rsidR="00726BE7" w:rsidRPr="006672D9">
        <w:rPr>
          <w:rFonts w:ascii="Arial" w:eastAsia="Arial" w:hAnsi="Arial" w:cs="Arial"/>
          <w:sz w:val="24"/>
          <w:szCs w:val="24"/>
        </w:rPr>
        <w:lastRenderedPageBreak/>
        <w:t xml:space="preserve">December 12, 2001 </w:t>
      </w:r>
      <w:r w:rsidR="00BB4A33" w:rsidRPr="006672D9">
        <w:rPr>
          <w:rFonts w:ascii="Arial" w:eastAsia="Arial" w:hAnsi="Arial" w:cs="Arial"/>
          <w:sz w:val="24"/>
          <w:szCs w:val="24"/>
        </w:rPr>
        <w:t>and the 2 shares of CWN that were</w:t>
      </w:r>
      <w:r w:rsidR="00726BE7" w:rsidRPr="006672D9">
        <w:rPr>
          <w:rFonts w:ascii="Arial" w:eastAsia="Arial" w:hAnsi="Arial" w:cs="Arial"/>
          <w:sz w:val="24"/>
          <w:szCs w:val="24"/>
        </w:rPr>
        <w:t xml:space="preserve"> transferred to OOA-One, LLC and OOA-Two, LLC in 2010’</w:t>
      </w:r>
      <w:r w:rsidR="00A024F4" w:rsidRPr="006672D9">
        <w:rPr>
          <w:rFonts w:ascii="Arial" w:eastAsia="Arial" w:hAnsi="Arial" w:cs="Arial"/>
          <w:sz w:val="24"/>
          <w:szCs w:val="24"/>
        </w:rPr>
        <w:t>.</w:t>
      </w:r>
    </w:p>
    <w:p w14:paraId="54E7A98A" w14:textId="77777777" w:rsidR="00BA6E95" w:rsidRPr="006672D9" w:rsidRDefault="00BA6E95" w:rsidP="00237073">
      <w:pPr>
        <w:pStyle w:val="ListParagraph"/>
        <w:spacing w:after="0" w:line="360" w:lineRule="auto"/>
        <w:jc w:val="both"/>
        <w:rPr>
          <w:rFonts w:ascii="Arial" w:eastAsia="Arial" w:hAnsi="Arial" w:cs="Arial"/>
          <w:sz w:val="24"/>
          <w:szCs w:val="24"/>
        </w:rPr>
      </w:pPr>
    </w:p>
    <w:p w14:paraId="565FEFE5" w14:textId="417FCA5C" w:rsidR="00F3468C" w:rsidRPr="006672D9" w:rsidRDefault="005F62B7" w:rsidP="005F62B7">
      <w:pPr>
        <w:pStyle w:val="Normal1"/>
        <w:spacing w:after="0" w:line="360" w:lineRule="auto"/>
        <w:jc w:val="both"/>
        <w:rPr>
          <w:rFonts w:ascii="Arial" w:eastAsia="Arial" w:hAnsi="Arial" w:cs="Arial"/>
          <w:sz w:val="24"/>
          <w:szCs w:val="24"/>
        </w:rPr>
        <w:pPrChange w:id="7" w:author="Mary Bruce" w:date="2024-02-06T15:46:00Z">
          <w:pPr>
            <w:pStyle w:val="Normal1"/>
            <w:numPr>
              <w:numId w:val="2"/>
            </w:numPr>
            <w:spacing w:after="0" w:line="360" w:lineRule="auto"/>
            <w:jc w:val="both"/>
          </w:pPr>
        </w:pPrChange>
      </w:pPr>
      <w:r w:rsidRPr="006672D9">
        <w:rPr>
          <w:rFonts w:ascii="Arial" w:eastAsia="Arial" w:hAnsi="Arial" w:cs="Arial"/>
          <w:sz w:val="24"/>
          <w:szCs w:val="24"/>
        </w:rPr>
        <w:t>[7]</w:t>
      </w:r>
      <w:r w:rsidRPr="006672D9">
        <w:rPr>
          <w:rFonts w:ascii="Arial" w:eastAsia="Arial" w:hAnsi="Arial" w:cs="Arial"/>
          <w:sz w:val="24"/>
          <w:szCs w:val="24"/>
        </w:rPr>
        <w:tab/>
      </w:r>
      <w:r w:rsidR="00D2149E" w:rsidRPr="006672D9">
        <w:rPr>
          <w:rFonts w:ascii="Arial" w:eastAsia="Arial" w:hAnsi="Arial" w:cs="Arial"/>
          <w:sz w:val="24"/>
          <w:szCs w:val="24"/>
        </w:rPr>
        <w:t>On 29 Augus</w:t>
      </w:r>
      <w:r w:rsidR="00B60064" w:rsidRPr="006672D9">
        <w:rPr>
          <w:rFonts w:ascii="Arial" w:eastAsia="Arial" w:hAnsi="Arial" w:cs="Arial"/>
          <w:sz w:val="24"/>
          <w:szCs w:val="24"/>
        </w:rPr>
        <w:t>t 2016, the appellant</w:t>
      </w:r>
      <w:r w:rsidR="00E443AD" w:rsidRPr="006672D9">
        <w:rPr>
          <w:rFonts w:ascii="Arial" w:eastAsia="Arial" w:hAnsi="Arial" w:cs="Arial"/>
          <w:sz w:val="24"/>
          <w:szCs w:val="24"/>
        </w:rPr>
        <w:t>s</w:t>
      </w:r>
      <w:r w:rsidR="002D15B5" w:rsidRPr="006672D9">
        <w:rPr>
          <w:rFonts w:ascii="Arial" w:eastAsia="Arial" w:hAnsi="Arial" w:cs="Arial"/>
          <w:sz w:val="24"/>
          <w:szCs w:val="24"/>
        </w:rPr>
        <w:t xml:space="preserve"> returned to the </w:t>
      </w:r>
      <w:r w:rsidR="00E27EC2" w:rsidRPr="006672D9">
        <w:rPr>
          <w:rFonts w:ascii="Arial" w:eastAsia="Arial" w:hAnsi="Arial" w:cs="Arial"/>
          <w:sz w:val="24"/>
          <w:szCs w:val="24"/>
        </w:rPr>
        <w:t>California</w:t>
      </w:r>
      <w:r w:rsidR="00B60064" w:rsidRPr="006672D9">
        <w:rPr>
          <w:rFonts w:ascii="Arial" w:eastAsia="Arial" w:hAnsi="Arial" w:cs="Arial"/>
          <w:sz w:val="24"/>
          <w:szCs w:val="24"/>
        </w:rPr>
        <w:t xml:space="preserve">n </w:t>
      </w:r>
      <w:r w:rsidR="006B2316" w:rsidRPr="006672D9">
        <w:rPr>
          <w:rFonts w:ascii="Arial" w:eastAsia="Arial" w:hAnsi="Arial" w:cs="Arial"/>
          <w:sz w:val="24"/>
          <w:szCs w:val="24"/>
        </w:rPr>
        <w:t xml:space="preserve">Superior </w:t>
      </w:r>
      <w:r w:rsidR="00E443AD" w:rsidRPr="006672D9">
        <w:rPr>
          <w:rFonts w:ascii="Arial" w:eastAsia="Arial" w:hAnsi="Arial" w:cs="Arial"/>
          <w:sz w:val="24"/>
          <w:szCs w:val="24"/>
        </w:rPr>
        <w:t>C</w:t>
      </w:r>
      <w:r w:rsidR="00FA22E5" w:rsidRPr="006672D9">
        <w:rPr>
          <w:rFonts w:ascii="Arial" w:eastAsia="Arial" w:hAnsi="Arial" w:cs="Arial"/>
          <w:sz w:val="24"/>
          <w:szCs w:val="24"/>
        </w:rPr>
        <w:t>ourt</w:t>
      </w:r>
      <w:r w:rsidR="00E27EC2" w:rsidRPr="006672D9">
        <w:rPr>
          <w:rFonts w:ascii="Arial" w:eastAsia="Arial" w:hAnsi="Arial" w:cs="Arial"/>
          <w:sz w:val="24"/>
          <w:szCs w:val="24"/>
        </w:rPr>
        <w:t xml:space="preserve"> </w:t>
      </w:r>
      <w:r w:rsidR="002D15B5" w:rsidRPr="006672D9">
        <w:rPr>
          <w:rFonts w:ascii="Arial" w:eastAsia="Arial" w:hAnsi="Arial" w:cs="Arial"/>
          <w:sz w:val="24"/>
          <w:szCs w:val="24"/>
        </w:rPr>
        <w:t>and obtained an</w:t>
      </w:r>
      <w:r w:rsidR="00FA22E5" w:rsidRPr="006672D9">
        <w:rPr>
          <w:rFonts w:ascii="Arial" w:eastAsia="Arial" w:hAnsi="Arial" w:cs="Arial"/>
          <w:sz w:val="24"/>
          <w:szCs w:val="24"/>
        </w:rPr>
        <w:t xml:space="preserve"> order</w:t>
      </w:r>
      <w:r w:rsidR="002D15B5" w:rsidRPr="006672D9">
        <w:rPr>
          <w:rFonts w:ascii="Arial" w:eastAsia="Arial" w:hAnsi="Arial" w:cs="Arial"/>
          <w:sz w:val="24"/>
          <w:szCs w:val="24"/>
        </w:rPr>
        <w:t xml:space="preserve"> against Mr </w:t>
      </w:r>
      <w:r w:rsidR="00F7179D" w:rsidRPr="006672D9">
        <w:rPr>
          <w:rFonts w:ascii="Arial" w:eastAsia="Arial" w:hAnsi="Arial" w:cs="Arial"/>
          <w:sz w:val="24"/>
          <w:szCs w:val="24"/>
        </w:rPr>
        <w:t>Conteh, which</w:t>
      </w:r>
      <w:r w:rsidR="00BB4A33" w:rsidRPr="006672D9">
        <w:rPr>
          <w:rFonts w:ascii="Arial" w:eastAsia="Arial" w:hAnsi="Arial" w:cs="Arial"/>
          <w:sz w:val="24"/>
          <w:szCs w:val="24"/>
        </w:rPr>
        <w:t xml:space="preserve"> instructed him</w:t>
      </w:r>
      <w:r w:rsidR="00F7179D" w:rsidRPr="006672D9">
        <w:rPr>
          <w:rFonts w:ascii="Arial" w:eastAsia="Arial" w:hAnsi="Arial" w:cs="Arial"/>
          <w:sz w:val="24"/>
          <w:szCs w:val="24"/>
        </w:rPr>
        <w:t>,</w:t>
      </w:r>
      <w:r w:rsidR="00FA22E5" w:rsidRPr="006672D9">
        <w:rPr>
          <w:rFonts w:ascii="Arial" w:eastAsia="Arial" w:hAnsi="Arial" w:cs="Arial"/>
          <w:sz w:val="24"/>
          <w:szCs w:val="24"/>
        </w:rPr>
        <w:t xml:space="preserve"> forthwith</w:t>
      </w:r>
      <w:r w:rsidR="00990BE3">
        <w:rPr>
          <w:rFonts w:ascii="Arial" w:eastAsia="Arial" w:hAnsi="Arial" w:cs="Arial"/>
          <w:sz w:val="24"/>
          <w:szCs w:val="24"/>
        </w:rPr>
        <w:t>,</w:t>
      </w:r>
      <w:r w:rsidR="00BB4A33" w:rsidRPr="006672D9">
        <w:rPr>
          <w:rFonts w:ascii="Arial" w:eastAsia="Arial" w:hAnsi="Arial" w:cs="Arial"/>
          <w:sz w:val="24"/>
          <w:szCs w:val="24"/>
        </w:rPr>
        <w:t xml:space="preserve"> to</w:t>
      </w:r>
      <w:r w:rsidR="00B60064" w:rsidRPr="006672D9">
        <w:rPr>
          <w:rFonts w:ascii="Arial" w:eastAsia="Arial" w:hAnsi="Arial" w:cs="Arial"/>
          <w:sz w:val="24"/>
          <w:szCs w:val="24"/>
        </w:rPr>
        <w:t xml:space="preserve"> turn over </w:t>
      </w:r>
      <w:r w:rsidR="00FA22E5" w:rsidRPr="006672D9">
        <w:rPr>
          <w:rFonts w:ascii="Arial" w:eastAsia="Arial" w:hAnsi="Arial" w:cs="Arial"/>
          <w:sz w:val="24"/>
          <w:szCs w:val="24"/>
        </w:rPr>
        <w:t xml:space="preserve">the </w:t>
      </w:r>
      <w:r w:rsidR="002802EF" w:rsidRPr="006672D9">
        <w:rPr>
          <w:rFonts w:ascii="Arial" w:eastAsia="Arial" w:hAnsi="Arial" w:cs="Arial"/>
          <w:sz w:val="24"/>
          <w:szCs w:val="24"/>
        </w:rPr>
        <w:t>51 shares of R</w:t>
      </w:r>
      <w:r w:rsidR="008C0AA3" w:rsidRPr="006672D9">
        <w:rPr>
          <w:rFonts w:ascii="Arial" w:eastAsia="Arial" w:hAnsi="Arial" w:cs="Arial"/>
          <w:sz w:val="24"/>
          <w:szCs w:val="24"/>
        </w:rPr>
        <w:t>es</w:t>
      </w:r>
      <w:r w:rsidR="00FA22E5" w:rsidRPr="006672D9">
        <w:rPr>
          <w:rFonts w:ascii="Arial" w:eastAsia="Arial" w:hAnsi="Arial" w:cs="Arial"/>
          <w:sz w:val="24"/>
          <w:szCs w:val="24"/>
        </w:rPr>
        <w:t>o</w:t>
      </w:r>
      <w:r w:rsidR="008C0AA3" w:rsidRPr="006672D9">
        <w:rPr>
          <w:rFonts w:ascii="Arial" w:eastAsia="Arial" w:hAnsi="Arial" w:cs="Arial"/>
          <w:sz w:val="24"/>
          <w:szCs w:val="24"/>
        </w:rPr>
        <w:t>tel</w:t>
      </w:r>
      <w:r w:rsidR="00FA22E5" w:rsidRPr="006672D9">
        <w:rPr>
          <w:rFonts w:ascii="Arial" w:eastAsia="Arial" w:hAnsi="Arial" w:cs="Arial"/>
          <w:sz w:val="24"/>
          <w:szCs w:val="24"/>
        </w:rPr>
        <w:t xml:space="preserve"> and 2 shares of CWN</w:t>
      </w:r>
      <w:r w:rsidR="00F7179D" w:rsidRPr="006672D9">
        <w:rPr>
          <w:rFonts w:ascii="Arial" w:eastAsia="Arial" w:hAnsi="Arial" w:cs="Arial"/>
          <w:sz w:val="24"/>
          <w:szCs w:val="24"/>
        </w:rPr>
        <w:t xml:space="preserve"> </w:t>
      </w:r>
      <w:r w:rsidR="00FA22E5" w:rsidRPr="006672D9">
        <w:rPr>
          <w:rFonts w:ascii="Arial" w:eastAsia="Arial" w:hAnsi="Arial" w:cs="Arial"/>
          <w:sz w:val="24"/>
          <w:szCs w:val="24"/>
        </w:rPr>
        <w:t>to the appellants</w:t>
      </w:r>
      <w:r w:rsidR="00B60064" w:rsidRPr="006672D9">
        <w:rPr>
          <w:rFonts w:ascii="Arial" w:eastAsia="Arial" w:hAnsi="Arial" w:cs="Arial"/>
          <w:sz w:val="24"/>
          <w:szCs w:val="24"/>
        </w:rPr>
        <w:t xml:space="preserve">. </w:t>
      </w:r>
      <w:r w:rsidR="00FA22E5" w:rsidRPr="006672D9">
        <w:rPr>
          <w:rFonts w:ascii="Arial" w:eastAsia="Arial" w:hAnsi="Arial" w:cs="Arial"/>
          <w:sz w:val="24"/>
          <w:szCs w:val="24"/>
        </w:rPr>
        <w:t>In term</w:t>
      </w:r>
      <w:r w:rsidR="002424B6" w:rsidRPr="006672D9">
        <w:rPr>
          <w:rFonts w:ascii="Arial" w:eastAsia="Arial" w:hAnsi="Arial" w:cs="Arial"/>
          <w:sz w:val="24"/>
          <w:szCs w:val="24"/>
        </w:rPr>
        <w:t>s</w:t>
      </w:r>
      <w:r w:rsidR="00FA22E5" w:rsidRPr="006672D9">
        <w:rPr>
          <w:rFonts w:ascii="Arial" w:eastAsia="Arial" w:hAnsi="Arial" w:cs="Arial"/>
          <w:sz w:val="24"/>
          <w:szCs w:val="24"/>
        </w:rPr>
        <w:t xml:space="preserve"> </w:t>
      </w:r>
      <w:r w:rsidR="009C37B5" w:rsidRPr="006672D9">
        <w:rPr>
          <w:rFonts w:ascii="Arial" w:eastAsia="Arial" w:hAnsi="Arial" w:cs="Arial"/>
          <w:sz w:val="24"/>
          <w:szCs w:val="24"/>
        </w:rPr>
        <w:t>o</w:t>
      </w:r>
      <w:r w:rsidR="00FA22E5" w:rsidRPr="006672D9">
        <w:rPr>
          <w:rFonts w:ascii="Arial" w:eastAsia="Arial" w:hAnsi="Arial" w:cs="Arial"/>
          <w:sz w:val="24"/>
          <w:szCs w:val="24"/>
        </w:rPr>
        <w:t>f</w:t>
      </w:r>
      <w:r w:rsidR="009C37B5" w:rsidRPr="006672D9">
        <w:rPr>
          <w:rFonts w:ascii="Arial" w:eastAsia="Arial" w:hAnsi="Arial" w:cs="Arial"/>
          <w:sz w:val="24"/>
          <w:szCs w:val="24"/>
        </w:rPr>
        <w:t xml:space="preserve"> the </w:t>
      </w:r>
      <w:r w:rsidR="002424B6" w:rsidRPr="006672D9">
        <w:rPr>
          <w:rFonts w:ascii="Arial" w:eastAsia="Arial" w:hAnsi="Arial" w:cs="Arial"/>
          <w:sz w:val="24"/>
          <w:szCs w:val="24"/>
        </w:rPr>
        <w:t>l</w:t>
      </w:r>
      <w:r w:rsidR="009C37B5" w:rsidRPr="006672D9">
        <w:rPr>
          <w:rFonts w:ascii="Arial" w:eastAsia="Arial" w:hAnsi="Arial" w:cs="Arial"/>
          <w:sz w:val="24"/>
          <w:szCs w:val="24"/>
        </w:rPr>
        <w:t xml:space="preserve">aw of the </w:t>
      </w:r>
      <w:r w:rsidR="002424B6" w:rsidRPr="006672D9">
        <w:rPr>
          <w:rFonts w:ascii="Arial" w:eastAsia="Arial" w:hAnsi="Arial" w:cs="Arial"/>
          <w:sz w:val="24"/>
          <w:szCs w:val="24"/>
        </w:rPr>
        <w:t>S</w:t>
      </w:r>
      <w:r w:rsidR="009C37B5" w:rsidRPr="006672D9">
        <w:rPr>
          <w:rFonts w:ascii="Arial" w:eastAsia="Arial" w:hAnsi="Arial" w:cs="Arial"/>
          <w:sz w:val="24"/>
          <w:szCs w:val="24"/>
        </w:rPr>
        <w:t>tate</w:t>
      </w:r>
      <w:r w:rsidR="00BB4A33" w:rsidRPr="006672D9">
        <w:rPr>
          <w:rFonts w:ascii="Arial" w:eastAsia="Arial" w:hAnsi="Arial" w:cs="Arial"/>
          <w:sz w:val="24"/>
          <w:szCs w:val="24"/>
        </w:rPr>
        <w:t xml:space="preserve"> of California</w:t>
      </w:r>
      <w:r w:rsidR="009C37B5" w:rsidRPr="006672D9">
        <w:rPr>
          <w:rFonts w:ascii="Arial" w:eastAsia="Arial" w:hAnsi="Arial" w:cs="Arial"/>
          <w:sz w:val="24"/>
          <w:szCs w:val="24"/>
        </w:rPr>
        <w:t>, Code of Civil Procedure section 662, t</w:t>
      </w:r>
      <w:r w:rsidR="00B60064" w:rsidRPr="006672D9">
        <w:rPr>
          <w:rFonts w:ascii="Arial" w:eastAsia="Arial" w:hAnsi="Arial" w:cs="Arial"/>
          <w:sz w:val="24"/>
          <w:szCs w:val="24"/>
        </w:rPr>
        <w:t>he</w:t>
      </w:r>
      <w:r w:rsidR="008F6C14" w:rsidRPr="006672D9">
        <w:rPr>
          <w:rFonts w:ascii="Arial" w:eastAsia="Arial" w:hAnsi="Arial" w:cs="Arial"/>
          <w:sz w:val="24"/>
          <w:szCs w:val="24"/>
        </w:rPr>
        <w:t xml:space="preserve"> same court</w:t>
      </w:r>
      <w:r w:rsidR="009C37B5" w:rsidRPr="006672D9">
        <w:rPr>
          <w:rFonts w:ascii="Arial" w:eastAsia="Arial" w:hAnsi="Arial" w:cs="Arial"/>
          <w:sz w:val="24"/>
          <w:szCs w:val="24"/>
        </w:rPr>
        <w:t xml:space="preserve"> </w:t>
      </w:r>
      <w:r w:rsidR="00F7179D" w:rsidRPr="006672D9">
        <w:rPr>
          <w:rFonts w:ascii="Arial" w:eastAsia="Arial" w:hAnsi="Arial" w:cs="Arial"/>
          <w:sz w:val="24"/>
          <w:szCs w:val="24"/>
        </w:rPr>
        <w:t xml:space="preserve">also </w:t>
      </w:r>
      <w:r w:rsidR="00BB4A33" w:rsidRPr="006672D9">
        <w:rPr>
          <w:rFonts w:ascii="Arial" w:eastAsia="Arial" w:hAnsi="Arial" w:cs="Arial"/>
          <w:sz w:val="24"/>
          <w:szCs w:val="24"/>
        </w:rPr>
        <w:t>made an order placing</w:t>
      </w:r>
      <w:r w:rsidR="008F6C14" w:rsidRPr="006672D9">
        <w:rPr>
          <w:rFonts w:ascii="Arial" w:eastAsia="Arial" w:hAnsi="Arial" w:cs="Arial"/>
          <w:sz w:val="24"/>
          <w:szCs w:val="24"/>
        </w:rPr>
        <w:t xml:space="preserve"> a value</w:t>
      </w:r>
      <w:r w:rsidR="00BB4A33" w:rsidRPr="006672D9">
        <w:rPr>
          <w:rFonts w:ascii="Arial" w:eastAsia="Arial" w:hAnsi="Arial" w:cs="Arial"/>
          <w:sz w:val="24"/>
          <w:szCs w:val="24"/>
        </w:rPr>
        <w:t xml:space="preserve"> upon </w:t>
      </w:r>
      <w:r w:rsidR="009C37B5" w:rsidRPr="006672D9">
        <w:rPr>
          <w:rFonts w:ascii="Arial" w:eastAsia="Arial" w:hAnsi="Arial" w:cs="Arial"/>
          <w:sz w:val="24"/>
          <w:szCs w:val="24"/>
        </w:rPr>
        <w:t>the share</w:t>
      </w:r>
      <w:r w:rsidR="002424B6" w:rsidRPr="006672D9">
        <w:rPr>
          <w:rFonts w:ascii="Arial" w:eastAsia="Arial" w:hAnsi="Arial" w:cs="Arial"/>
          <w:sz w:val="24"/>
          <w:szCs w:val="24"/>
        </w:rPr>
        <w:t>s</w:t>
      </w:r>
      <w:r w:rsidR="009C37B5" w:rsidRPr="006672D9">
        <w:rPr>
          <w:rFonts w:ascii="Arial" w:eastAsia="Arial" w:hAnsi="Arial" w:cs="Arial"/>
          <w:sz w:val="24"/>
          <w:szCs w:val="24"/>
        </w:rPr>
        <w:t xml:space="preserve"> </w:t>
      </w:r>
      <w:r w:rsidR="00BB4A33" w:rsidRPr="006672D9">
        <w:rPr>
          <w:rFonts w:ascii="Arial" w:eastAsia="Arial" w:hAnsi="Arial" w:cs="Arial"/>
          <w:sz w:val="24"/>
          <w:szCs w:val="24"/>
        </w:rPr>
        <w:t>‘</w:t>
      </w:r>
      <w:r w:rsidR="00B60064" w:rsidRPr="006672D9">
        <w:rPr>
          <w:rFonts w:ascii="Arial" w:eastAsia="Arial" w:hAnsi="Arial" w:cs="Arial"/>
          <w:sz w:val="24"/>
          <w:szCs w:val="24"/>
        </w:rPr>
        <w:t>for bond purpose</w:t>
      </w:r>
      <w:r w:rsidR="00147899" w:rsidRPr="006672D9">
        <w:rPr>
          <w:rFonts w:ascii="Arial" w:eastAsia="Arial" w:hAnsi="Arial" w:cs="Arial"/>
          <w:sz w:val="24"/>
          <w:szCs w:val="24"/>
        </w:rPr>
        <w:t>s</w:t>
      </w:r>
      <w:r w:rsidR="005A0AA0" w:rsidRPr="006672D9">
        <w:rPr>
          <w:rFonts w:ascii="Arial" w:eastAsia="Arial" w:hAnsi="Arial" w:cs="Arial"/>
          <w:sz w:val="24"/>
          <w:szCs w:val="24"/>
        </w:rPr>
        <w:t xml:space="preserve"> </w:t>
      </w:r>
      <w:r w:rsidR="008F6C14" w:rsidRPr="006672D9">
        <w:rPr>
          <w:rFonts w:ascii="Arial" w:eastAsia="Arial" w:hAnsi="Arial" w:cs="Arial"/>
          <w:sz w:val="24"/>
          <w:szCs w:val="24"/>
        </w:rPr>
        <w:t>only</w:t>
      </w:r>
      <w:r w:rsidR="00BB4A33" w:rsidRPr="006672D9">
        <w:rPr>
          <w:rFonts w:ascii="Arial" w:eastAsia="Arial" w:hAnsi="Arial" w:cs="Arial"/>
          <w:sz w:val="24"/>
          <w:szCs w:val="24"/>
        </w:rPr>
        <w:t>’,</w:t>
      </w:r>
      <w:r w:rsidR="008F6C14" w:rsidRPr="006672D9">
        <w:rPr>
          <w:rFonts w:ascii="Arial" w:eastAsia="Arial" w:hAnsi="Arial" w:cs="Arial"/>
          <w:sz w:val="24"/>
          <w:szCs w:val="24"/>
        </w:rPr>
        <w:t xml:space="preserve"> </w:t>
      </w:r>
      <w:r w:rsidR="008D037A" w:rsidRPr="006672D9">
        <w:rPr>
          <w:rFonts w:ascii="Arial" w:eastAsia="Arial" w:hAnsi="Arial" w:cs="Arial"/>
          <w:sz w:val="24"/>
          <w:szCs w:val="24"/>
        </w:rPr>
        <w:t>which would</w:t>
      </w:r>
      <w:r w:rsidR="00B60064" w:rsidRPr="006672D9">
        <w:rPr>
          <w:rFonts w:ascii="Arial" w:eastAsia="Arial" w:hAnsi="Arial" w:cs="Arial"/>
          <w:sz w:val="24"/>
          <w:szCs w:val="24"/>
        </w:rPr>
        <w:t xml:space="preserve"> </w:t>
      </w:r>
      <w:r w:rsidR="005A0AA0" w:rsidRPr="006672D9">
        <w:rPr>
          <w:rFonts w:ascii="Arial" w:eastAsia="Arial" w:hAnsi="Arial" w:cs="Arial"/>
          <w:sz w:val="24"/>
          <w:szCs w:val="24"/>
        </w:rPr>
        <w:t>equate</w:t>
      </w:r>
      <w:r w:rsidR="00B60064" w:rsidRPr="006672D9">
        <w:rPr>
          <w:rFonts w:ascii="Arial" w:eastAsia="Arial" w:hAnsi="Arial" w:cs="Arial"/>
          <w:sz w:val="24"/>
          <w:szCs w:val="24"/>
        </w:rPr>
        <w:t xml:space="preserve"> to a value for security</w:t>
      </w:r>
      <w:r w:rsidR="009C37B5" w:rsidRPr="006672D9">
        <w:rPr>
          <w:rFonts w:ascii="Arial" w:eastAsia="Arial" w:hAnsi="Arial" w:cs="Arial"/>
          <w:sz w:val="24"/>
          <w:szCs w:val="24"/>
        </w:rPr>
        <w:t xml:space="preserve"> in South African </w:t>
      </w:r>
      <w:r w:rsidR="002424B6" w:rsidRPr="006672D9">
        <w:rPr>
          <w:rFonts w:ascii="Arial" w:eastAsia="Arial" w:hAnsi="Arial" w:cs="Arial"/>
          <w:sz w:val="24"/>
          <w:szCs w:val="24"/>
        </w:rPr>
        <w:t>l</w:t>
      </w:r>
      <w:r w:rsidR="009C37B5" w:rsidRPr="006672D9">
        <w:rPr>
          <w:rFonts w:ascii="Arial" w:eastAsia="Arial" w:hAnsi="Arial" w:cs="Arial"/>
          <w:sz w:val="24"/>
          <w:szCs w:val="24"/>
        </w:rPr>
        <w:t xml:space="preserve">aw. </w:t>
      </w:r>
      <w:r w:rsidR="005A0AA0" w:rsidRPr="006672D9">
        <w:rPr>
          <w:rFonts w:ascii="Arial" w:eastAsia="Arial" w:hAnsi="Arial" w:cs="Arial"/>
          <w:sz w:val="24"/>
          <w:szCs w:val="24"/>
        </w:rPr>
        <w:t>T</w:t>
      </w:r>
      <w:r w:rsidR="009C37B5" w:rsidRPr="006672D9">
        <w:rPr>
          <w:rFonts w:ascii="Arial" w:eastAsia="Arial" w:hAnsi="Arial" w:cs="Arial"/>
          <w:sz w:val="24"/>
          <w:szCs w:val="24"/>
        </w:rPr>
        <w:t>he c</w:t>
      </w:r>
      <w:r w:rsidR="002802EF" w:rsidRPr="006672D9">
        <w:rPr>
          <w:rFonts w:ascii="Arial" w:eastAsia="Arial" w:hAnsi="Arial" w:cs="Arial"/>
          <w:sz w:val="24"/>
          <w:szCs w:val="24"/>
        </w:rPr>
        <w:t>ourt found the value of the 51 shares of Resotel to be US$84 963 329 and the value of the 2 sh</w:t>
      </w:r>
      <w:r w:rsidR="009C37B5" w:rsidRPr="006672D9">
        <w:rPr>
          <w:rFonts w:ascii="Arial" w:eastAsia="Arial" w:hAnsi="Arial" w:cs="Arial"/>
          <w:sz w:val="24"/>
          <w:szCs w:val="24"/>
        </w:rPr>
        <w:t>ares of CWN to be US$</w:t>
      </w:r>
      <w:r w:rsidR="00A26CD4" w:rsidRPr="006672D9">
        <w:rPr>
          <w:rFonts w:ascii="Arial" w:eastAsia="Arial" w:hAnsi="Arial" w:cs="Arial"/>
          <w:sz w:val="24"/>
          <w:szCs w:val="24"/>
        </w:rPr>
        <w:t>8 329 738.</w:t>
      </w:r>
    </w:p>
    <w:p w14:paraId="3982F916" w14:textId="77777777" w:rsidR="00F3468C" w:rsidRPr="006672D9" w:rsidRDefault="00F3468C" w:rsidP="00237073">
      <w:pPr>
        <w:pStyle w:val="ListParagraph"/>
        <w:spacing w:after="0" w:line="360" w:lineRule="auto"/>
        <w:jc w:val="both"/>
        <w:rPr>
          <w:rFonts w:ascii="Arial" w:eastAsia="Arial" w:hAnsi="Arial" w:cs="Arial"/>
          <w:sz w:val="24"/>
          <w:szCs w:val="24"/>
        </w:rPr>
      </w:pPr>
    </w:p>
    <w:p w14:paraId="709A931C" w14:textId="05023A36" w:rsidR="00C97455" w:rsidRPr="006672D9" w:rsidRDefault="005F62B7" w:rsidP="005F62B7">
      <w:pPr>
        <w:pStyle w:val="Normal1"/>
        <w:spacing w:after="0" w:line="360" w:lineRule="auto"/>
        <w:jc w:val="both"/>
        <w:rPr>
          <w:rFonts w:ascii="Arial" w:eastAsia="Arial" w:hAnsi="Arial" w:cs="Arial"/>
          <w:sz w:val="24"/>
          <w:szCs w:val="24"/>
        </w:rPr>
        <w:pPrChange w:id="8" w:author="Mary Bruce" w:date="2024-02-06T15:46:00Z">
          <w:pPr>
            <w:pStyle w:val="Normal1"/>
            <w:numPr>
              <w:numId w:val="2"/>
            </w:numPr>
            <w:spacing w:after="0" w:line="360" w:lineRule="auto"/>
            <w:jc w:val="both"/>
          </w:pPr>
        </w:pPrChange>
      </w:pPr>
      <w:r w:rsidRPr="006672D9">
        <w:rPr>
          <w:rFonts w:ascii="Arial" w:eastAsia="Arial" w:hAnsi="Arial" w:cs="Arial"/>
          <w:sz w:val="24"/>
          <w:szCs w:val="24"/>
        </w:rPr>
        <w:t>[8]</w:t>
      </w:r>
      <w:r w:rsidRPr="006672D9">
        <w:rPr>
          <w:rFonts w:ascii="Arial" w:eastAsia="Arial" w:hAnsi="Arial" w:cs="Arial"/>
          <w:sz w:val="24"/>
          <w:szCs w:val="24"/>
        </w:rPr>
        <w:tab/>
      </w:r>
      <w:r w:rsidR="006B2316" w:rsidRPr="006672D9">
        <w:rPr>
          <w:rFonts w:ascii="Arial" w:eastAsia="Arial" w:hAnsi="Arial" w:cs="Arial"/>
          <w:sz w:val="24"/>
          <w:szCs w:val="24"/>
        </w:rPr>
        <w:t>On 15 September 2016</w:t>
      </w:r>
      <w:r w:rsidR="00133CF7" w:rsidRPr="006672D9">
        <w:rPr>
          <w:rFonts w:ascii="Arial" w:eastAsia="Arial" w:hAnsi="Arial" w:cs="Arial"/>
          <w:sz w:val="24"/>
          <w:szCs w:val="24"/>
        </w:rPr>
        <w:t>,</w:t>
      </w:r>
      <w:r w:rsidR="006B2316" w:rsidRPr="006672D9">
        <w:rPr>
          <w:rFonts w:ascii="Arial" w:eastAsia="Arial" w:hAnsi="Arial" w:cs="Arial"/>
          <w:sz w:val="24"/>
          <w:szCs w:val="24"/>
        </w:rPr>
        <w:t xml:space="preserve"> and </w:t>
      </w:r>
      <w:r w:rsidR="000E64F7" w:rsidRPr="006672D9">
        <w:rPr>
          <w:rFonts w:ascii="Arial" w:eastAsia="Arial" w:hAnsi="Arial" w:cs="Arial"/>
          <w:sz w:val="24"/>
          <w:szCs w:val="24"/>
        </w:rPr>
        <w:t xml:space="preserve">again </w:t>
      </w:r>
      <w:r w:rsidR="006B2316" w:rsidRPr="006672D9">
        <w:rPr>
          <w:rFonts w:ascii="Arial" w:eastAsia="Arial" w:hAnsi="Arial" w:cs="Arial"/>
          <w:sz w:val="24"/>
          <w:szCs w:val="24"/>
        </w:rPr>
        <w:t>in the Californ</w:t>
      </w:r>
      <w:r w:rsidR="000E64F7" w:rsidRPr="006672D9">
        <w:rPr>
          <w:rFonts w:ascii="Arial" w:eastAsia="Arial" w:hAnsi="Arial" w:cs="Arial"/>
          <w:sz w:val="24"/>
          <w:szCs w:val="24"/>
        </w:rPr>
        <w:t xml:space="preserve">ian Superior </w:t>
      </w:r>
      <w:r w:rsidR="00133CF7" w:rsidRPr="006672D9">
        <w:rPr>
          <w:rFonts w:ascii="Arial" w:eastAsia="Arial" w:hAnsi="Arial" w:cs="Arial"/>
          <w:sz w:val="24"/>
          <w:szCs w:val="24"/>
        </w:rPr>
        <w:t>C</w:t>
      </w:r>
      <w:r w:rsidR="000E64F7" w:rsidRPr="006672D9">
        <w:rPr>
          <w:rFonts w:ascii="Arial" w:eastAsia="Arial" w:hAnsi="Arial" w:cs="Arial"/>
          <w:sz w:val="24"/>
          <w:szCs w:val="24"/>
        </w:rPr>
        <w:t xml:space="preserve">ourt before </w:t>
      </w:r>
      <w:r w:rsidR="006B2316" w:rsidRPr="006672D9">
        <w:rPr>
          <w:rFonts w:ascii="Arial" w:eastAsia="Arial" w:hAnsi="Arial" w:cs="Arial"/>
          <w:sz w:val="24"/>
          <w:szCs w:val="24"/>
        </w:rPr>
        <w:t>Servino</w:t>
      </w:r>
      <w:r w:rsidR="000E64F7" w:rsidRPr="006672D9">
        <w:rPr>
          <w:rFonts w:ascii="Arial" w:eastAsia="Arial" w:hAnsi="Arial" w:cs="Arial"/>
          <w:sz w:val="24"/>
          <w:szCs w:val="24"/>
        </w:rPr>
        <w:t xml:space="preserve"> J,</w:t>
      </w:r>
      <w:r w:rsidR="006B2316" w:rsidRPr="006672D9">
        <w:rPr>
          <w:rFonts w:ascii="Arial" w:eastAsia="Arial" w:hAnsi="Arial" w:cs="Arial"/>
          <w:sz w:val="24"/>
          <w:szCs w:val="24"/>
        </w:rPr>
        <w:t xml:space="preserve"> </w:t>
      </w:r>
      <w:r w:rsidR="00C97455" w:rsidRPr="006672D9">
        <w:rPr>
          <w:rFonts w:ascii="Arial" w:eastAsia="Arial" w:hAnsi="Arial" w:cs="Arial"/>
          <w:sz w:val="24"/>
          <w:szCs w:val="24"/>
        </w:rPr>
        <w:t>the appellant</w:t>
      </w:r>
      <w:r w:rsidR="00F61714">
        <w:rPr>
          <w:rFonts w:ascii="Arial" w:eastAsia="Arial" w:hAnsi="Arial" w:cs="Arial"/>
          <w:sz w:val="24"/>
          <w:szCs w:val="24"/>
        </w:rPr>
        <w:t>s</w:t>
      </w:r>
      <w:r w:rsidR="00C97455" w:rsidRPr="006672D9">
        <w:rPr>
          <w:rFonts w:ascii="Arial" w:eastAsia="Arial" w:hAnsi="Arial" w:cs="Arial"/>
          <w:sz w:val="24"/>
          <w:szCs w:val="24"/>
        </w:rPr>
        <w:t xml:space="preserve"> </w:t>
      </w:r>
      <w:r w:rsidR="00222149" w:rsidRPr="006672D9">
        <w:rPr>
          <w:rFonts w:ascii="Arial" w:eastAsia="Arial" w:hAnsi="Arial" w:cs="Arial"/>
          <w:sz w:val="24"/>
          <w:szCs w:val="24"/>
        </w:rPr>
        <w:t xml:space="preserve">approached the court on an </w:t>
      </w:r>
      <w:r w:rsidR="00C97455" w:rsidRPr="006672D9">
        <w:rPr>
          <w:rFonts w:ascii="Arial" w:eastAsia="Arial" w:hAnsi="Arial" w:cs="Arial"/>
          <w:i/>
          <w:sz w:val="24"/>
          <w:szCs w:val="24"/>
        </w:rPr>
        <w:t>ex parte</w:t>
      </w:r>
      <w:r w:rsidR="00C97455" w:rsidRPr="006672D9">
        <w:rPr>
          <w:rFonts w:ascii="Arial" w:eastAsia="Arial" w:hAnsi="Arial" w:cs="Arial"/>
          <w:sz w:val="24"/>
          <w:szCs w:val="24"/>
        </w:rPr>
        <w:t xml:space="preserve"> </w:t>
      </w:r>
      <w:r w:rsidR="00222149" w:rsidRPr="006672D9">
        <w:rPr>
          <w:rFonts w:ascii="Arial" w:eastAsia="Arial" w:hAnsi="Arial" w:cs="Arial"/>
          <w:sz w:val="24"/>
          <w:szCs w:val="24"/>
        </w:rPr>
        <w:t xml:space="preserve">basis seeking </w:t>
      </w:r>
      <w:r w:rsidR="00C97455" w:rsidRPr="006672D9">
        <w:rPr>
          <w:rFonts w:ascii="Arial" w:eastAsia="Arial" w:hAnsi="Arial" w:cs="Arial"/>
          <w:sz w:val="24"/>
          <w:szCs w:val="24"/>
        </w:rPr>
        <w:t>to convert the amended 29 August 2016 judgment to a mone</w:t>
      </w:r>
      <w:r w:rsidR="00147899" w:rsidRPr="006672D9">
        <w:rPr>
          <w:rFonts w:ascii="Arial" w:eastAsia="Arial" w:hAnsi="Arial" w:cs="Arial"/>
          <w:sz w:val="24"/>
          <w:szCs w:val="24"/>
        </w:rPr>
        <w:t>tary</w:t>
      </w:r>
      <w:r w:rsidR="00C97455" w:rsidRPr="006672D9">
        <w:rPr>
          <w:rFonts w:ascii="Arial" w:eastAsia="Arial" w:hAnsi="Arial" w:cs="Arial"/>
          <w:sz w:val="24"/>
          <w:szCs w:val="24"/>
        </w:rPr>
        <w:t xml:space="preserve"> judgment</w:t>
      </w:r>
      <w:r w:rsidR="00133CF7" w:rsidRPr="006672D9">
        <w:rPr>
          <w:rFonts w:ascii="Arial" w:eastAsia="Arial" w:hAnsi="Arial" w:cs="Arial"/>
          <w:sz w:val="24"/>
          <w:szCs w:val="24"/>
        </w:rPr>
        <w:t>;</w:t>
      </w:r>
      <w:r w:rsidR="00C97455" w:rsidRPr="006672D9">
        <w:rPr>
          <w:rFonts w:ascii="Arial" w:eastAsia="Arial" w:hAnsi="Arial" w:cs="Arial"/>
          <w:sz w:val="24"/>
          <w:szCs w:val="24"/>
        </w:rPr>
        <w:t xml:space="preserve"> an</w:t>
      </w:r>
      <w:r w:rsidR="00222149" w:rsidRPr="006672D9">
        <w:rPr>
          <w:rFonts w:ascii="Arial" w:eastAsia="Arial" w:hAnsi="Arial" w:cs="Arial"/>
          <w:sz w:val="24"/>
          <w:szCs w:val="24"/>
        </w:rPr>
        <w:t xml:space="preserve">d </w:t>
      </w:r>
      <w:r w:rsidR="00C97455" w:rsidRPr="006672D9">
        <w:rPr>
          <w:rFonts w:ascii="Arial" w:eastAsia="Arial" w:hAnsi="Arial" w:cs="Arial"/>
          <w:sz w:val="24"/>
          <w:szCs w:val="24"/>
        </w:rPr>
        <w:t xml:space="preserve">to appoint a collections receiver to assist in the execution of the judgment. </w:t>
      </w:r>
      <w:r w:rsidR="00133CF7" w:rsidRPr="006672D9">
        <w:rPr>
          <w:rFonts w:ascii="Arial" w:eastAsia="Arial" w:hAnsi="Arial" w:cs="Arial"/>
          <w:sz w:val="24"/>
          <w:szCs w:val="24"/>
        </w:rPr>
        <w:t>Servino J</w:t>
      </w:r>
      <w:r w:rsidR="000E64F7" w:rsidRPr="006672D9">
        <w:rPr>
          <w:rFonts w:ascii="Arial" w:eastAsia="Arial" w:hAnsi="Arial" w:cs="Arial"/>
          <w:sz w:val="24"/>
          <w:szCs w:val="24"/>
        </w:rPr>
        <w:t xml:space="preserve"> dismissed the</w:t>
      </w:r>
      <w:r w:rsidR="00076998" w:rsidRPr="006672D9">
        <w:rPr>
          <w:rFonts w:ascii="Arial" w:eastAsia="Arial" w:hAnsi="Arial" w:cs="Arial"/>
          <w:sz w:val="24"/>
          <w:szCs w:val="24"/>
        </w:rPr>
        <w:t xml:space="preserve">se two </w:t>
      </w:r>
      <w:r w:rsidR="000E64F7" w:rsidRPr="006672D9">
        <w:rPr>
          <w:rFonts w:ascii="Arial" w:eastAsia="Arial" w:hAnsi="Arial" w:cs="Arial"/>
          <w:sz w:val="24"/>
          <w:szCs w:val="24"/>
        </w:rPr>
        <w:t>applications</w:t>
      </w:r>
      <w:r w:rsidR="00076998" w:rsidRPr="006672D9">
        <w:rPr>
          <w:rFonts w:ascii="Arial" w:eastAsia="Arial" w:hAnsi="Arial" w:cs="Arial"/>
          <w:sz w:val="24"/>
          <w:szCs w:val="24"/>
        </w:rPr>
        <w:t xml:space="preserve">. In </w:t>
      </w:r>
      <w:r w:rsidR="001C7A33" w:rsidRPr="006672D9">
        <w:rPr>
          <w:rFonts w:ascii="Arial" w:eastAsia="Arial" w:hAnsi="Arial" w:cs="Arial"/>
          <w:sz w:val="24"/>
          <w:szCs w:val="24"/>
        </w:rPr>
        <w:t xml:space="preserve">order to safeguard the shares, </w:t>
      </w:r>
      <w:r w:rsidR="00076998" w:rsidRPr="006672D9">
        <w:rPr>
          <w:rFonts w:ascii="Arial" w:eastAsia="Arial" w:hAnsi="Arial" w:cs="Arial"/>
          <w:sz w:val="24"/>
          <w:szCs w:val="24"/>
        </w:rPr>
        <w:t xml:space="preserve">she </w:t>
      </w:r>
      <w:r w:rsidR="000E64F7" w:rsidRPr="006672D9">
        <w:rPr>
          <w:rFonts w:ascii="Arial" w:eastAsia="Arial" w:hAnsi="Arial" w:cs="Arial"/>
          <w:sz w:val="24"/>
          <w:szCs w:val="24"/>
        </w:rPr>
        <w:t>decided</w:t>
      </w:r>
      <w:r w:rsidR="00D644A1" w:rsidRPr="006672D9">
        <w:rPr>
          <w:rFonts w:ascii="Arial" w:eastAsia="Arial" w:hAnsi="Arial" w:cs="Arial"/>
          <w:sz w:val="24"/>
          <w:szCs w:val="24"/>
        </w:rPr>
        <w:t xml:space="preserve"> to impose a stay upon </w:t>
      </w:r>
      <w:r w:rsidR="001C7A33" w:rsidRPr="006672D9">
        <w:rPr>
          <w:rFonts w:ascii="Arial" w:eastAsia="Arial" w:hAnsi="Arial" w:cs="Arial"/>
          <w:sz w:val="24"/>
          <w:szCs w:val="24"/>
        </w:rPr>
        <w:t xml:space="preserve">AWI ‘from taking corporate actions that would adversely impact the transfer or </w:t>
      </w:r>
      <w:r w:rsidR="00133CF7" w:rsidRPr="006672D9">
        <w:rPr>
          <w:rFonts w:ascii="Arial" w:eastAsia="Arial" w:hAnsi="Arial" w:cs="Arial"/>
          <w:sz w:val="24"/>
          <w:szCs w:val="24"/>
        </w:rPr>
        <w:t>“</w:t>
      </w:r>
      <w:r w:rsidR="00F75C01" w:rsidRPr="006672D9">
        <w:rPr>
          <w:rFonts w:ascii="Arial" w:eastAsia="Arial" w:hAnsi="Arial" w:cs="Arial"/>
          <w:sz w:val="24"/>
          <w:szCs w:val="24"/>
        </w:rPr>
        <w:t>turn</w:t>
      </w:r>
      <w:r w:rsidR="001C7A33" w:rsidRPr="006672D9">
        <w:rPr>
          <w:rFonts w:ascii="Arial" w:eastAsia="Arial" w:hAnsi="Arial" w:cs="Arial"/>
          <w:sz w:val="24"/>
          <w:szCs w:val="24"/>
        </w:rPr>
        <w:t>over</w:t>
      </w:r>
      <w:r w:rsidR="00133CF7" w:rsidRPr="006672D9">
        <w:rPr>
          <w:rFonts w:ascii="Arial" w:eastAsia="Arial" w:hAnsi="Arial" w:cs="Arial"/>
          <w:sz w:val="24"/>
          <w:szCs w:val="24"/>
        </w:rPr>
        <w:t>”</w:t>
      </w:r>
      <w:r w:rsidR="001C7A33" w:rsidRPr="006672D9">
        <w:rPr>
          <w:rFonts w:ascii="Arial" w:eastAsia="Arial" w:hAnsi="Arial" w:cs="Arial"/>
          <w:sz w:val="24"/>
          <w:szCs w:val="24"/>
        </w:rPr>
        <w:t xml:space="preserve"> of the stock shares’.</w:t>
      </w:r>
      <w:r w:rsidR="006B2316" w:rsidRPr="006672D9">
        <w:rPr>
          <w:rFonts w:ascii="Arial" w:eastAsia="Arial" w:hAnsi="Arial" w:cs="Arial"/>
          <w:sz w:val="24"/>
          <w:szCs w:val="24"/>
        </w:rPr>
        <w:t xml:space="preserve"> </w:t>
      </w:r>
      <w:r w:rsidR="003D2676" w:rsidRPr="006672D9">
        <w:rPr>
          <w:rFonts w:ascii="Arial" w:eastAsia="Arial" w:hAnsi="Arial" w:cs="Arial"/>
          <w:sz w:val="24"/>
          <w:szCs w:val="24"/>
        </w:rPr>
        <w:t>Pertinently, during argument</w:t>
      </w:r>
      <w:r w:rsidR="00F61714">
        <w:rPr>
          <w:rFonts w:ascii="Arial" w:eastAsia="Arial" w:hAnsi="Arial" w:cs="Arial"/>
          <w:sz w:val="24"/>
          <w:szCs w:val="24"/>
        </w:rPr>
        <w:t>,</w:t>
      </w:r>
      <w:r w:rsidR="003D2676" w:rsidRPr="006672D9">
        <w:rPr>
          <w:rFonts w:ascii="Arial" w:eastAsia="Arial" w:hAnsi="Arial" w:cs="Arial"/>
          <w:sz w:val="24"/>
          <w:szCs w:val="24"/>
        </w:rPr>
        <w:t xml:space="preserve"> the judge clarified </w:t>
      </w:r>
      <w:r w:rsidR="00C43A66" w:rsidRPr="006672D9">
        <w:rPr>
          <w:rFonts w:ascii="Arial" w:eastAsia="Arial" w:hAnsi="Arial" w:cs="Arial"/>
          <w:sz w:val="24"/>
          <w:szCs w:val="24"/>
        </w:rPr>
        <w:t>the position of the order of 29 August 2016,</w:t>
      </w:r>
      <w:r w:rsidR="00133CF7" w:rsidRPr="006672D9">
        <w:rPr>
          <w:rFonts w:ascii="Arial" w:eastAsia="Arial" w:hAnsi="Arial" w:cs="Arial"/>
          <w:sz w:val="24"/>
          <w:szCs w:val="24"/>
        </w:rPr>
        <w:t xml:space="preserve"> stating</w:t>
      </w:r>
      <w:r w:rsidR="00C43A66" w:rsidRPr="006672D9">
        <w:rPr>
          <w:rFonts w:ascii="Arial" w:eastAsia="Arial" w:hAnsi="Arial" w:cs="Arial"/>
          <w:sz w:val="24"/>
          <w:szCs w:val="24"/>
        </w:rPr>
        <w:t xml:space="preserve"> </w:t>
      </w:r>
      <w:r w:rsidR="003D2676" w:rsidRPr="006672D9">
        <w:rPr>
          <w:rFonts w:ascii="Arial" w:eastAsia="Arial" w:hAnsi="Arial" w:cs="Arial"/>
          <w:sz w:val="24"/>
          <w:szCs w:val="24"/>
        </w:rPr>
        <w:t>that ‘</w:t>
      </w:r>
      <w:r w:rsidR="00133CF7" w:rsidRPr="006672D9">
        <w:rPr>
          <w:rFonts w:ascii="Arial" w:eastAsia="Arial" w:hAnsi="Arial" w:cs="Arial"/>
          <w:sz w:val="24"/>
          <w:szCs w:val="24"/>
        </w:rPr>
        <w:t xml:space="preserve">. . . </w:t>
      </w:r>
      <w:r w:rsidR="003D2676" w:rsidRPr="006672D9">
        <w:rPr>
          <w:rFonts w:ascii="Arial" w:eastAsia="Arial" w:hAnsi="Arial" w:cs="Arial"/>
          <w:sz w:val="24"/>
          <w:szCs w:val="24"/>
        </w:rPr>
        <w:t>the minute order of August 29 is indeed a supplemental order pursuant to the code section to be relied upon, which i</w:t>
      </w:r>
      <w:r w:rsidR="008365FC" w:rsidRPr="006672D9">
        <w:rPr>
          <w:rFonts w:ascii="Arial" w:eastAsia="Arial" w:hAnsi="Arial" w:cs="Arial"/>
          <w:sz w:val="24"/>
          <w:szCs w:val="24"/>
        </w:rPr>
        <w:t>s 714.010</w:t>
      </w:r>
      <w:r w:rsidR="007B04EA" w:rsidRPr="006672D9">
        <w:rPr>
          <w:rFonts w:ascii="Arial" w:eastAsia="Arial" w:hAnsi="Arial" w:cs="Arial"/>
          <w:sz w:val="24"/>
          <w:szCs w:val="24"/>
        </w:rPr>
        <w:t>, 030</w:t>
      </w:r>
      <w:r w:rsidR="008365FC" w:rsidRPr="006672D9">
        <w:rPr>
          <w:rFonts w:ascii="Arial" w:eastAsia="Arial" w:hAnsi="Arial" w:cs="Arial"/>
          <w:sz w:val="24"/>
          <w:szCs w:val="24"/>
        </w:rPr>
        <w:t>’</w:t>
      </w:r>
      <w:r w:rsidR="00C33204" w:rsidRPr="006672D9">
        <w:rPr>
          <w:rFonts w:ascii="Arial" w:eastAsia="Arial" w:hAnsi="Arial" w:cs="Arial"/>
          <w:sz w:val="24"/>
          <w:szCs w:val="24"/>
        </w:rPr>
        <w:t>.</w:t>
      </w:r>
      <w:r w:rsidR="008365FC" w:rsidRPr="006672D9">
        <w:rPr>
          <w:rFonts w:ascii="Arial" w:eastAsia="Arial" w:hAnsi="Arial" w:cs="Arial"/>
          <w:sz w:val="24"/>
          <w:szCs w:val="24"/>
        </w:rPr>
        <w:t xml:space="preserve"> In addition, </w:t>
      </w:r>
      <w:r w:rsidR="00C43A66" w:rsidRPr="006672D9">
        <w:rPr>
          <w:rFonts w:ascii="Arial" w:eastAsia="Arial" w:hAnsi="Arial" w:cs="Arial"/>
          <w:sz w:val="24"/>
          <w:szCs w:val="24"/>
        </w:rPr>
        <w:t>she</w:t>
      </w:r>
      <w:r w:rsidR="008365FC" w:rsidRPr="006672D9">
        <w:rPr>
          <w:rFonts w:ascii="Arial" w:eastAsia="Arial" w:hAnsi="Arial" w:cs="Arial"/>
          <w:sz w:val="24"/>
          <w:szCs w:val="24"/>
        </w:rPr>
        <w:t xml:space="preserve"> explain</w:t>
      </w:r>
      <w:r w:rsidR="00C43A66" w:rsidRPr="006672D9">
        <w:rPr>
          <w:rFonts w:ascii="Arial" w:eastAsia="Arial" w:hAnsi="Arial" w:cs="Arial"/>
          <w:sz w:val="24"/>
          <w:szCs w:val="24"/>
        </w:rPr>
        <w:t>ed</w:t>
      </w:r>
      <w:r w:rsidR="008365FC" w:rsidRPr="006672D9">
        <w:rPr>
          <w:rFonts w:ascii="Arial" w:eastAsia="Arial" w:hAnsi="Arial" w:cs="Arial"/>
          <w:sz w:val="24"/>
          <w:szCs w:val="24"/>
        </w:rPr>
        <w:t xml:space="preserve"> that the amount for bond purpose allocated to the shares was </w:t>
      </w:r>
      <w:r w:rsidR="001E6587">
        <w:rPr>
          <w:rFonts w:ascii="Arial" w:eastAsia="Arial" w:hAnsi="Arial" w:cs="Arial"/>
          <w:sz w:val="24"/>
          <w:szCs w:val="24"/>
        </w:rPr>
        <w:t xml:space="preserve">of </w:t>
      </w:r>
      <w:r w:rsidR="008365FC" w:rsidRPr="006672D9">
        <w:rPr>
          <w:rFonts w:ascii="Arial" w:eastAsia="Arial" w:hAnsi="Arial" w:cs="Arial"/>
          <w:sz w:val="24"/>
          <w:szCs w:val="24"/>
        </w:rPr>
        <w:t>sufficient value to be included in the writ of execution under the Californian Civil Code of Procedure</w:t>
      </w:r>
      <w:r w:rsidR="00C33204" w:rsidRPr="006672D9">
        <w:rPr>
          <w:rFonts w:ascii="Arial" w:eastAsia="Arial" w:hAnsi="Arial" w:cs="Arial"/>
          <w:sz w:val="24"/>
          <w:szCs w:val="24"/>
        </w:rPr>
        <w:t>,</w:t>
      </w:r>
      <w:r w:rsidR="008365FC" w:rsidRPr="006672D9">
        <w:rPr>
          <w:rFonts w:ascii="Arial" w:eastAsia="Arial" w:hAnsi="Arial" w:cs="Arial"/>
          <w:sz w:val="24"/>
          <w:szCs w:val="24"/>
        </w:rPr>
        <w:t xml:space="preserve"> and </w:t>
      </w:r>
      <w:r w:rsidR="00F75C01" w:rsidRPr="006672D9">
        <w:rPr>
          <w:rFonts w:ascii="Arial" w:eastAsia="Arial" w:hAnsi="Arial" w:cs="Arial"/>
          <w:sz w:val="24"/>
          <w:szCs w:val="24"/>
        </w:rPr>
        <w:t xml:space="preserve">that </w:t>
      </w:r>
      <w:r w:rsidR="008365FC" w:rsidRPr="006672D9">
        <w:rPr>
          <w:rFonts w:ascii="Arial" w:eastAsia="Arial" w:hAnsi="Arial" w:cs="Arial"/>
          <w:sz w:val="24"/>
          <w:szCs w:val="24"/>
        </w:rPr>
        <w:t>the</w:t>
      </w:r>
      <w:r w:rsidR="00147899" w:rsidRPr="006672D9">
        <w:rPr>
          <w:rFonts w:ascii="Arial" w:eastAsia="Arial" w:hAnsi="Arial" w:cs="Arial"/>
          <w:sz w:val="24"/>
          <w:szCs w:val="24"/>
        </w:rPr>
        <w:t xml:space="preserve"> 29</w:t>
      </w:r>
      <w:r w:rsidR="008365FC" w:rsidRPr="006672D9">
        <w:rPr>
          <w:rFonts w:ascii="Arial" w:eastAsia="Arial" w:hAnsi="Arial" w:cs="Arial"/>
          <w:sz w:val="24"/>
          <w:szCs w:val="24"/>
        </w:rPr>
        <w:t xml:space="preserve"> </w:t>
      </w:r>
      <w:r w:rsidR="000424BC" w:rsidRPr="006672D9">
        <w:rPr>
          <w:rFonts w:ascii="Arial" w:eastAsia="Arial" w:hAnsi="Arial" w:cs="Arial"/>
          <w:sz w:val="24"/>
          <w:szCs w:val="24"/>
        </w:rPr>
        <w:t>August</w:t>
      </w:r>
      <w:r w:rsidR="00147899" w:rsidRPr="006672D9">
        <w:rPr>
          <w:rFonts w:ascii="Arial" w:eastAsia="Arial" w:hAnsi="Arial" w:cs="Arial"/>
          <w:sz w:val="24"/>
          <w:szCs w:val="24"/>
        </w:rPr>
        <w:t xml:space="preserve"> 2016</w:t>
      </w:r>
      <w:r w:rsidR="000424BC" w:rsidRPr="006672D9">
        <w:rPr>
          <w:rFonts w:ascii="Arial" w:eastAsia="Arial" w:hAnsi="Arial" w:cs="Arial"/>
          <w:sz w:val="24"/>
          <w:szCs w:val="24"/>
        </w:rPr>
        <w:t xml:space="preserve"> order constituted a </w:t>
      </w:r>
      <w:r w:rsidR="008365FC" w:rsidRPr="006672D9">
        <w:rPr>
          <w:rFonts w:ascii="Arial" w:eastAsia="Arial" w:hAnsi="Arial" w:cs="Arial"/>
          <w:sz w:val="24"/>
          <w:szCs w:val="24"/>
        </w:rPr>
        <w:t>supplementary order</w:t>
      </w:r>
      <w:r w:rsidR="000424BC" w:rsidRPr="006672D9">
        <w:rPr>
          <w:rFonts w:ascii="Arial" w:eastAsia="Arial" w:hAnsi="Arial" w:cs="Arial"/>
          <w:sz w:val="24"/>
          <w:szCs w:val="24"/>
        </w:rPr>
        <w:t xml:space="preserve"> for value.</w:t>
      </w:r>
    </w:p>
    <w:p w14:paraId="750A9C5E" w14:textId="77777777" w:rsidR="00C97455" w:rsidRPr="006672D9" w:rsidRDefault="00C97455" w:rsidP="00237073">
      <w:pPr>
        <w:pStyle w:val="ListParagraph"/>
        <w:spacing w:after="0" w:line="360" w:lineRule="auto"/>
        <w:jc w:val="both"/>
        <w:rPr>
          <w:rFonts w:ascii="Arial" w:eastAsia="Arial" w:hAnsi="Arial" w:cs="Arial"/>
          <w:sz w:val="24"/>
          <w:szCs w:val="24"/>
        </w:rPr>
      </w:pPr>
    </w:p>
    <w:p w14:paraId="331DC473" w14:textId="0A8AAC57" w:rsidR="002218E6" w:rsidRPr="006672D9" w:rsidRDefault="005F62B7" w:rsidP="005F62B7">
      <w:pPr>
        <w:pStyle w:val="Normal1"/>
        <w:spacing w:after="0" w:line="360" w:lineRule="auto"/>
        <w:jc w:val="both"/>
        <w:rPr>
          <w:rFonts w:ascii="Arial" w:eastAsia="Arial" w:hAnsi="Arial" w:cs="Arial"/>
          <w:sz w:val="24"/>
          <w:szCs w:val="24"/>
        </w:rPr>
        <w:pPrChange w:id="9" w:author="Mary Bruce" w:date="2024-02-06T15:46:00Z">
          <w:pPr>
            <w:pStyle w:val="Normal1"/>
            <w:numPr>
              <w:numId w:val="2"/>
            </w:numPr>
            <w:spacing w:after="0" w:line="360" w:lineRule="auto"/>
            <w:jc w:val="both"/>
          </w:pPr>
        </w:pPrChange>
      </w:pPr>
      <w:r w:rsidRPr="006672D9">
        <w:rPr>
          <w:rFonts w:ascii="Arial" w:eastAsia="Arial" w:hAnsi="Arial" w:cs="Arial"/>
          <w:sz w:val="24"/>
          <w:szCs w:val="24"/>
        </w:rPr>
        <w:t>[9]</w:t>
      </w:r>
      <w:r w:rsidRPr="006672D9">
        <w:rPr>
          <w:rFonts w:ascii="Arial" w:eastAsia="Arial" w:hAnsi="Arial" w:cs="Arial"/>
          <w:sz w:val="24"/>
          <w:szCs w:val="24"/>
        </w:rPr>
        <w:tab/>
      </w:r>
      <w:r w:rsidR="00D644A1" w:rsidRPr="006672D9">
        <w:rPr>
          <w:rFonts w:ascii="Arial" w:eastAsia="Arial" w:hAnsi="Arial" w:cs="Arial"/>
          <w:sz w:val="24"/>
          <w:szCs w:val="24"/>
        </w:rPr>
        <w:t>Mr Conteh</w:t>
      </w:r>
      <w:r w:rsidR="00F61714">
        <w:rPr>
          <w:rFonts w:ascii="Arial" w:eastAsia="Arial" w:hAnsi="Arial" w:cs="Arial"/>
          <w:sz w:val="24"/>
          <w:szCs w:val="24"/>
        </w:rPr>
        <w:t>,</w:t>
      </w:r>
      <w:r w:rsidR="00C43A66" w:rsidRPr="006672D9">
        <w:rPr>
          <w:rFonts w:ascii="Arial" w:eastAsia="Arial" w:hAnsi="Arial" w:cs="Arial"/>
          <w:sz w:val="24"/>
          <w:szCs w:val="24"/>
        </w:rPr>
        <w:t xml:space="preserve"> in turn</w:t>
      </w:r>
      <w:r w:rsidR="00F61714">
        <w:rPr>
          <w:rFonts w:ascii="Arial" w:eastAsia="Arial" w:hAnsi="Arial" w:cs="Arial"/>
          <w:sz w:val="24"/>
          <w:szCs w:val="24"/>
        </w:rPr>
        <w:t>,</w:t>
      </w:r>
      <w:r w:rsidR="00C43A66" w:rsidRPr="006672D9">
        <w:rPr>
          <w:rFonts w:ascii="Arial" w:eastAsia="Arial" w:hAnsi="Arial" w:cs="Arial"/>
          <w:sz w:val="24"/>
          <w:szCs w:val="24"/>
        </w:rPr>
        <w:t xml:space="preserve"> </w:t>
      </w:r>
      <w:r w:rsidR="003A7C03" w:rsidRPr="006672D9">
        <w:rPr>
          <w:rFonts w:ascii="Arial" w:eastAsia="Arial" w:hAnsi="Arial" w:cs="Arial"/>
          <w:sz w:val="24"/>
          <w:szCs w:val="24"/>
        </w:rPr>
        <w:t>brought</w:t>
      </w:r>
      <w:r w:rsidR="00C43A66" w:rsidRPr="006672D9">
        <w:rPr>
          <w:rFonts w:ascii="Arial" w:eastAsia="Arial" w:hAnsi="Arial" w:cs="Arial"/>
          <w:sz w:val="24"/>
          <w:szCs w:val="24"/>
        </w:rPr>
        <w:t xml:space="preserve"> an application</w:t>
      </w:r>
      <w:r w:rsidR="00832DF8" w:rsidRPr="006672D9">
        <w:rPr>
          <w:rFonts w:ascii="Arial" w:eastAsia="Arial" w:hAnsi="Arial" w:cs="Arial"/>
          <w:sz w:val="24"/>
          <w:szCs w:val="24"/>
        </w:rPr>
        <w:t xml:space="preserve"> on 1</w:t>
      </w:r>
      <w:r w:rsidR="003A7C03" w:rsidRPr="006672D9">
        <w:rPr>
          <w:rFonts w:ascii="Arial" w:eastAsia="Arial" w:hAnsi="Arial" w:cs="Arial"/>
          <w:sz w:val="24"/>
          <w:szCs w:val="24"/>
        </w:rPr>
        <w:t>5 December 2016</w:t>
      </w:r>
      <w:r w:rsidR="00C43A66" w:rsidRPr="006672D9">
        <w:rPr>
          <w:rFonts w:ascii="Arial" w:eastAsia="Arial" w:hAnsi="Arial" w:cs="Arial"/>
          <w:sz w:val="24"/>
          <w:szCs w:val="24"/>
        </w:rPr>
        <w:t xml:space="preserve"> before Servino J</w:t>
      </w:r>
      <w:r w:rsidR="003A7C03" w:rsidRPr="006672D9">
        <w:rPr>
          <w:rFonts w:ascii="Arial" w:eastAsia="Arial" w:hAnsi="Arial" w:cs="Arial"/>
          <w:sz w:val="24"/>
          <w:szCs w:val="24"/>
        </w:rPr>
        <w:t>,</w:t>
      </w:r>
      <w:r w:rsidR="00832DF8" w:rsidRPr="006672D9">
        <w:rPr>
          <w:rFonts w:ascii="Arial" w:eastAsia="Arial" w:hAnsi="Arial" w:cs="Arial"/>
          <w:sz w:val="24"/>
          <w:szCs w:val="24"/>
        </w:rPr>
        <w:t xml:space="preserve"> to recall and quash the writ of possession</w:t>
      </w:r>
      <w:r w:rsidR="003A7C03" w:rsidRPr="006672D9">
        <w:rPr>
          <w:rFonts w:ascii="Arial" w:eastAsia="Arial" w:hAnsi="Arial" w:cs="Arial"/>
          <w:sz w:val="24"/>
          <w:szCs w:val="24"/>
        </w:rPr>
        <w:t>, which</w:t>
      </w:r>
      <w:r w:rsidR="00F75C01" w:rsidRPr="006672D9">
        <w:rPr>
          <w:rFonts w:ascii="Arial" w:eastAsia="Arial" w:hAnsi="Arial" w:cs="Arial"/>
          <w:sz w:val="24"/>
          <w:szCs w:val="24"/>
        </w:rPr>
        <w:t xml:space="preserve"> application</w:t>
      </w:r>
      <w:r w:rsidR="003A7C03" w:rsidRPr="006672D9">
        <w:rPr>
          <w:rFonts w:ascii="Arial" w:eastAsia="Arial" w:hAnsi="Arial" w:cs="Arial"/>
          <w:sz w:val="24"/>
          <w:szCs w:val="24"/>
        </w:rPr>
        <w:t xml:space="preserve"> </w:t>
      </w:r>
      <w:r w:rsidR="00D644A1" w:rsidRPr="006672D9">
        <w:rPr>
          <w:rFonts w:ascii="Arial" w:eastAsia="Arial" w:hAnsi="Arial" w:cs="Arial"/>
          <w:sz w:val="24"/>
          <w:szCs w:val="24"/>
        </w:rPr>
        <w:t xml:space="preserve">was </w:t>
      </w:r>
      <w:r w:rsidR="003A7C03" w:rsidRPr="006672D9">
        <w:rPr>
          <w:rFonts w:ascii="Arial" w:eastAsia="Arial" w:hAnsi="Arial" w:cs="Arial"/>
          <w:sz w:val="24"/>
          <w:szCs w:val="24"/>
        </w:rPr>
        <w:t xml:space="preserve">dismissed. The three </w:t>
      </w:r>
      <w:r w:rsidR="00C43A66" w:rsidRPr="006672D9">
        <w:rPr>
          <w:rFonts w:ascii="Arial" w:eastAsia="Arial" w:hAnsi="Arial" w:cs="Arial"/>
          <w:sz w:val="24"/>
          <w:szCs w:val="24"/>
        </w:rPr>
        <w:t>grounds for t</w:t>
      </w:r>
      <w:r w:rsidR="003A7C03" w:rsidRPr="006672D9">
        <w:rPr>
          <w:rFonts w:ascii="Arial" w:eastAsia="Arial" w:hAnsi="Arial" w:cs="Arial"/>
          <w:sz w:val="24"/>
          <w:szCs w:val="24"/>
        </w:rPr>
        <w:t>h</w:t>
      </w:r>
      <w:r w:rsidR="00147899" w:rsidRPr="006672D9">
        <w:rPr>
          <w:rFonts w:ascii="Arial" w:eastAsia="Arial" w:hAnsi="Arial" w:cs="Arial"/>
          <w:sz w:val="24"/>
          <w:szCs w:val="24"/>
        </w:rPr>
        <w:t>e</w:t>
      </w:r>
      <w:r w:rsidR="003A7C03" w:rsidRPr="006672D9">
        <w:rPr>
          <w:rFonts w:ascii="Arial" w:eastAsia="Arial" w:hAnsi="Arial" w:cs="Arial"/>
          <w:sz w:val="24"/>
          <w:szCs w:val="24"/>
        </w:rPr>
        <w:t xml:space="preserve"> application were as follows:</w:t>
      </w:r>
    </w:p>
    <w:p w14:paraId="180644D3" w14:textId="77777777" w:rsidR="002218E6" w:rsidRPr="006672D9" w:rsidRDefault="00C33204" w:rsidP="00237073">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(a)</w:t>
      </w:r>
      <w:r w:rsidRPr="006672D9">
        <w:rPr>
          <w:rFonts w:ascii="Arial" w:eastAsia="Arial" w:hAnsi="Arial" w:cs="Arial"/>
          <w:sz w:val="24"/>
          <w:szCs w:val="24"/>
        </w:rPr>
        <w:tab/>
      </w:r>
      <w:r w:rsidR="002218E6" w:rsidRPr="006672D9">
        <w:rPr>
          <w:rFonts w:ascii="Arial" w:eastAsia="Arial" w:hAnsi="Arial" w:cs="Arial"/>
          <w:sz w:val="24"/>
          <w:szCs w:val="24"/>
        </w:rPr>
        <w:t>The writ should be quashed as the judgment had been satisfied;</w:t>
      </w:r>
    </w:p>
    <w:p w14:paraId="438B0C59" w14:textId="77777777" w:rsidR="00AA52BF" w:rsidRPr="006672D9" w:rsidRDefault="00C33204" w:rsidP="00237073">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(b)</w:t>
      </w:r>
      <w:r w:rsidRPr="006672D9">
        <w:rPr>
          <w:rFonts w:ascii="Arial" w:eastAsia="Arial" w:hAnsi="Arial" w:cs="Arial"/>
          <w:sz w:val="24"/>
          <w:szCs w:val="24"/>
        </w:rPr>
        <w:tab/>
      </w:r>
      <w:r w:rsidR="002218E6" w:rsidRPr="006672D9">
        <w:rPr>
          <w:rFonts w:ascii="Arial" w:eastAsia="Arial" w:hAnsi="Arial" w:cs="Arial"/>
          <w:sz w:val="24"/>
          <w:szCs w:val="24"/>
        </w:rPr>
        <w:t>The writ does not contain the last known address of the respondent</w:t>
      </w:r>
      <w:r w:rsidRPr="006672D9">
        <w:rPr>
          <w:rFonts w:ascii="Arial" w:eastAsia="Arial" w:hAnsi="Arial" w:cs="Arial"/>
          <w:sz w:val="24"/>
          <w:szCs w:val="24"/>
        </w:rPr>
        <w:t>,</w:t>
      </w:r>
      <w:r w:rsidR="002218E6" w:rsidRPr="006672D9">
        <w:rPr>
          <w:rFonts w:ascii="Arial" w:eastAsia="Arial" w:hAnsi="Arial" w:cs="Arial"/>
          <w:sz w:val="24"/>
          <w:szCs w:val="24"/>
        </w:rPr>
        <w:t xml:space="preserve"> as is </w:t>
      </w:r>
    </w:p>
    <w:p w14:paraId="486586ED" w14:textId="77777777" w:rsidR="002218E6" w:rsidRPr="006672D9" w:rsidRDefault="002218E6" w:rsidP="00237073">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required by the Code of Civil Procedure section 712.020 subsection (c); and</w:t>
      </w:r>
    </w:p>
    <w:p w14:paraId="79F60EB5" w14:textId="77777777" w:rsidR="002218E6" w:rsidRPr="006672D9" w:rsidRDefault="00C33204" w:rsidP="00237073">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(c)</w:t>
      </w:r>
      <w:r w:rsidRPr="006672D9">
        <w:rPr>
          <w:rFonts w:ascii="Arial" w:eastAsia="Arial" w:hAnsi="Arial" w:cs="Arial"/>
          <w:sz w:val="24"/>
          <w:szCs w:val="24"/>
        </w:rPr>
        <w:tab/>
      </w:r>
      <w:r w:rsidR="002218E6" w:rsidRPr="006672D9">
        <w:rPr>
          <w:rFonts w:ascii="Arial" w:eastAsia="Arial" w:hAnsi="Arial" w:cs="Arial"/>
          <w:sz w:val="24"/>
          <w:szCs w:val="24"/>
        </w:rPr>
        <w:t>The writ contains a value for the property that the judgment does not contain.</w:t>
      </w:r>
    </w:p>
    <w:p w14:paraId="6F9F2312" w14:textId="77777777" w:rsidR="007E7E18" w:rsidRPr="006672D9" w:rsidRDefault="007E7E18" w:rsidP="00237073">
      <w:pPr>
        <w:pStyle w:val="Normal1"/>
        <w:spacing w:after="0" w:line="360" w:lineRule="auto"/>
        <w:ind w:left="720"/>
        <w:jc w:val="both"/>
        <w:rPr>
          <w:rFonts w:ascii="Arial" w:eastAsia="Arial" w:hAnsi="Arial" w:cs="Arial"/>
          <w:sz w:val="24"/>
          <w:szCs w:val="24"/>
        </w:rPr>
      </w:pPr>
    </w:p>
    <w:p w14:paraId="47116A57" w14:textId="0911CA4D" w:rsidR="0046475E" w:rsidRPr="006672D9" w:rsidRDefault="005F62B7" w:rsidP="005F62B7">
      <w:pPr>
        <w:pStyle w:val="Normal1"/>
        <w:spacing w:after="0" w:line="360" w:lineRule="auto"/>
        <w:jc w:val="both"/>
        <w:rPr>
          <w:rFonts w:ascii="Arial" w:eastAsia="Arial" w:hAnsi="Arial" w:cs="Arial"/>
          <w:sz w:val="24"/>
          <w:szCs w:val="24"/>
        </w:rPr>
        <w:pPrChange w:id="10" w:author="Mary Bruce" w:date="2024-02-06T15:46:00Z">
          <w:pPr>
            <w:pStyle w:val="Normal1"/>
            <w:numPr>
              <w:numId w:val="2"/>
            </w:numPr>
            <w:spacing w:after="0" w:line="360" w:lineRule="auto"/>
            <w:jc w:val="both"/>
          </w:pPr>
        </w:pPrChange>
      </w:pPr>
      <w:r w:rsidRPr="006672D9">
        <w:rPr>
          <w:rFonts w:ascii="Arial" w:eastAsia="Arial" w:hAnsi="Arial" w:cs="Arial"/>
          <w:sz w:val="24"/>
          <w:szCs w:val="24"/>
        </w:rPr>
        <w:lastRenderedPageBreak/>
        <w:t>[10]</w:t>
      </w:r>
      <w:r w:rsidRPr="006672D9">
        <w:rPr>
          <w:rFonts w:ascii="Arial" w:eastAsia="Arial" w:hAnsi="Arial" w:cs="Arial"/>
          <w:sz w:val="24"/>
          <w:szCs w:val="24"/>
        </w:rPr>
        <w:tab/>
      </w:r>
      <w:r w:rsidR="00CA1979" w:rsidRPr="006672D9">
        <w:rPr>
          <w:rFonts w:ascii="Arial" w:eastAsia="Arial" w:hAnsi="Arial" w:cs="Arial"/>
          <w:sz w:val="24"/>
          <w:szCs w:val="24"/>
        </w:rPr>
        <w:t>Notably</w:t>
      </w:r>
      <w:r w:rsidR="00C33204" w:rsidRPr="006672D9">
        <w:rPr>
          <w:rFonts w:ascii="Arial" w:eastAsia="Arial" w:hAnsi="Arial" w:cs="Arial"/>
          <w:sz w:val="24"/>
          <w:szCs w:val="24"/>
        </w:rPr>
        <w:t>,</w:t>
      </w:r>
      <w:r w:rsidR="00CA1979" w:rsidRPr="006672D9">
        <w:rPr>
          <w:rFonts w:ascii="Arial" w:eastAsia="Arial" w:hAnsi="Arial" w:cs="Arial"/>
          <w:sz w:val="24"/>
          <w:szCs w:val="24"/>
        </w:rPr>
        <w:t xml:space="preserve"> from Servino J’s ruling</w:t>
      </w:r>
      <w:r w:rsidR="00E53646" w:rsidRPr="006672D9">
        <w:rPr>
          <w:rFonts w:ascii="Arial" w:eastAsia="Arial" w:hAnsi="Arial" w:cs="Arial"/>
          <w:sz w:val="24"/>
          <w:szCs w:val="24"/>
        </w:rPr>
        <w:t xml:space="preserve"> handed down on 16 December 2016,</w:t>
      </w:r>
      <w:r w:rsidR="00CA1979" w:rsidRPr="006672D9">
        <w:rPr>
          <w:rFonts w:ascii="Arial" w:eastAsia="Arial" w:hAnsi="Arial" w:cs="Arial"/>
          <w:sz w:val="24"/>
          <w:szCs w:val="24"/>
        </w:rPr>
        <w:t xml:space="preserve"> the court reaffirmed that</w:t>
      </w:r>
      <w:r w:rsidR="00E53646" w:rsidRPr="006672D9">
        <w:rPr>
          <w:rFonts w:ascii="Arial" w:eastAsia="Arial" w:hAnsi="Arial" w:cs="Arial"/>
          <w:sz w:val="24"/>
          <w:szCs w:val="24"/>
        </w:rPr>
        <w:t>,</w:t>
      </w:r>
      <w:r w:rsidR="00CA1979" w:rsidRPr="006672D9">
        <w:rPr>
          <w:rFonts w:ascii="Arial" w:eastAsia="Arial" w:hAnsi="Arial" w:cs="Arial"/>
          <w:sz w:val="24"/>
          <w:szCs w:val="24"/>
        </w:rPr>
        <w:t xml:space="preserve"> ‘[t]he writ properly reflected the </w:t>
      </w:r>
      <w:r w:rsidR="00C33204" w:rsidRPr="006672D9">
        <w:rPr>
          <w:rFonts w:ascii="Arial" w:eastAsia="Arial" w:hAnsi="Arial" w:cs="Arial"/>
          <w:sz w:val="24"/>
          <w:szCs w:val="24"/>
        </w:rPr>
        <w:t xml:space="preserve">intentions </w:t>
      </w:r>
      <w:r w:rsidR="00CA1979" w:rsidRPr="006672D9">
        <w:rPr>
          <w:rFonts w:ascii="Arial" w:eastAsia="Arial" w:hAnsi="Arial" w:cs="Arial"/>
          <w:sz w:val="24"/>
          <w:szCs w:val="24"/>
        </w:rPr>
        <w:t xml:space="preserve">of </w:t>
      </w:r>
      <w:r w:rsidR="00C33204" w:rsidRPr="006672D9">
        <w:rPr>
          <w:rFonts w:ascii="Arial" w:eastAsia="Arial" w:hAnsi="Arial" w:cs="Arial"/>
          <w:sz w:val="24"/>
          <w:szCs w:val="24"/>
        </w:rPr>
        <w:t>this</w:t>
      </w:r>
      <w:r w:rsidR="00CA1979" w:rsidRPr="006672D9">
        <w:rPr>
          <w:rFonts w:ascii="Arial" w:eastAsia="Arial" w:hAnsi="Arial" w:cs="Arial"/>
          <w:sz w:val="24"/>
          <w:szCs w:val="24"/>
        </w:rPr>
        <w:t xml:space="preserve"> Court with the valuation being provided in a supplementa</w:t>
      </w:r>
      <w:r w:rsidR="00C33204" w:rsidRPr="006672D9">
        <w:rPr>
          <w:rFonts w:ascii="Arial" w:eastAsia="Arial" w:hAnsi="Arial" w:cs="Arial"/>
          <w:sz w:val="24"/>
          <w:szCs w:val="24"/>
        </w:rPr>
        <w:t>l</w:t>
      </w:r>
      <w:r w:rsidR="00CA1979" w:rsidRPr="006672D9">
        <w:rPr>
          <w:rFonts w:ascii="Arial" w:eastAsia="Arial" w:hAnsi="Arial" w:cs="Arial"/>
          <w:sz w:val="24"/>
          <w:szCs w:val="24"/>
        </w:rPr>
        <w:t xml:space="preserve"> order and further clarification at the hearing on an ex parte application’</w:t>
      </w:r>
      <w:r w:rsidR="00C33204" w:rsidRPr="006672D9">
        <w:rPr>
          <w:rFonts w:ascii="Arial" w:eastAsia="Arial" w:hAnsi="Arial" w:cs="Arial"/>
          <w:sz w:val="24"/>
          <w:szCs w:val="24"/>
        </w:rPr>
        <w:t>.</w:t>
      </w:r>
      <w:r w:rsidR="00CA1979" w:rsidRPr="006672D9">
        <w:rPr>
          <w:rFonts w:ascii="Arial" w:eastAsia="Arial" w:hAnsi="Arial" w:cs="Arial"/>
          <w:sz w:val="24"/>
          <w:szCs w:val="24"/>
        </w:rPr>
        <w:t xml:space="preserve"> Hence, </w:t>
      </w:r>
      <w:r w:rsidR="00E53646" w:rsidRPr="006672D9">
        <w:rPr>
          <w:rFonts w:ascii="Arial" w:eastAsia="Arial" w:hAnsi="Arial" w:cs="Arial"/>
          <w:sz w:val="24"/>
          <w:szCs w:val="24"/>
        </w:rPr>
        <w:t xml:space="preserve">a value having been placed on the shares resulted in </w:t>
      </w:r>
      <w:r w:rsidR="00CA1979" w:rsidRPr="006672D9">
        <w:rPr>
          <w:rFonts w:ascii="Arial" w:eastAsia="Arial" w:hAnsi="Arial" w:cs="Arial"/>
          <w:sz w:val="24"/>
          <w:szCs w:val="24"/>
        </w:rPr>
        <w:t>the dismissal of the respondent</w:t>
      </w:r>
      <w:r w:rsidR="00367878" w:rsidRPr="006672D9">
        <w:rPr>
          <w:rFonts w:ascii="Arial" w:eastAsia="Arial" w:hAnsi="Arial" w:cs="Arial"/>
          <w:sz w:val="24"/>
          <w:szCs w:val="24"/>
        </w:rPr>
        <w:t>’s</w:t>
      </w:r>
      <w:r w:rsidR="00CA1979" w:rsidRPr="006672D9">
        <w:rPr>
          <w:rFonts w:ascii="Arial" w:eastAsia="Arial" w:hAnsi="Arial" w:cs="Arial"/>
          <w:sz w:val="24"/>
          <w:szCs w:val="24"/>
        </w:rPr>
        <w:t xml:space="preserve"> application to quash the writ of possession issued on 11 October 2016. </w:t>
      </w:r>
      <w:r w:rsidR="0048375C" w:rsidRPr="006672D9">
        <w:rPr>
          <w:rFonts w:ascii="Arial" w:eastAsia="Arial" w:hAnsi="Arial" w:cs="Arial"/>
          <w:sz w:val="24"/>
          <w:szCs w:val="24"/>
        </w:rPr>
        <w:t>This writ of possession</w:t>
      </w:r>
      <w:r w:rsidR="00E55548" w:rsidRPr="006672D9">
        <w:rPr>
          <w:rFonts w:ascii="Arial" w:eastAsia="Arial" w:hAnsi="Arial" w:cs="Arial"/>
          <w:sz w:val="24"/>
          <w:szCs w:val="24"/>
        </w:rPr>
        <w:t xml:space="preserve"> was </w:t>
      </w:r>
      <w:r w:rsidR="00773665" w:rsidRPr="006672D9">
        <w:rPr>
          <w:rFonts w:ascii="Arial" w:eastAsia="Arial" w:hAnsi="Arial" w:cs="Arial"/>
          <w:sz w:val="24"/>
          <w:szCs w:val="24"/>
        </w:rPr>
        <w:t>convert</w:t>
      </w:r>
      <w:r w:rsidR="00D644A1" w:rsidRPr="006672D9">
        <w:rPr>
          <w:rFonts w:ascii="Arial" w:eastAsia="Arial" w:hAnsi="Arial" w:cs="Arial"/>
          <w:sz w:val="24"/>
          <w:szCs w:val="24"/>
        </w:rPr>
        <w:t xml:space="preserve">ed to a writ of execution </w:t>
      </w:r>
      <w:r w:rsidR="006D11B8" w:rsidRPr="006672D9">
        <w:rPr>
          <w:rFonts w:ascii="Arial" w:eastAsia="Arial" w:hAnsi="Arial" w:cs="Arial"/>
          <w:sz w:val="24"/>
          <w:szCs w:val="24"/>
        </w:rPr>
        <w:t xml:space="preserve">on 28 February 2017 with the judgment value assigned </w:t>
      </w:r>
      <w:r w:rsidR="00D644A1" w:rsidRPr="006672D9">
        <w:rPr>
          <w:rFonts w:ascii="Arial" w:eastAsia="Arial" w:hAnsi="Arial" w:cs="Arial"/>
          <w:sz w:val="24"/>
          <w:szCs w:val="24"/>
        </w:rPr>
        <w:t>as</w:t>
      </w:r>
      <w:r w:rsidR="006D11B8" w:rsidRPr="006672D9">
        <w:rPr>
          <w:rFonts w:ascii="Arial" w:eastAsia="Arial" w:hAnsi="Arial" w:cs="Arial"/>
          <w:sz w:val="24"/>
          <w:szCs w:val="24"/>
        </w:rPr>
        <w:t xml:space="preserve"> US$93 million.</w:t>
      </w:r>
    </w:p>
    <w:p w14:paraId="02296EBD" w14:textId="77777777" w:rsidR="0046475E" w:rsidRPr="006672D9" w:rsidRDefault="0046475E" w:rsidP="00237073">
      <w:pPr>
        <w:pStyle w:val="Normal1"/>
        <w:spacing w:after="0" w:line="360" w:lineRule="auto"/>
        <w:jc w:val="both"/>
        <w:rPr>
          <w:rFonts w:ascii="Arial" w:eastAsia="Arial" w:hAnsi="Arial" w:cs="Arial"/>
          <w:sz w:val="24"/>
          <w:szCs w:val="24"/>
        </w:rPr>
      </w:pPr>
    </w:p>
    <w:p w14:paraId="0A8A080E" w14:textId="6D2D9749" w:rsidR="00EC51CE" w:rsidRPr="006672D9" w:rsidRDefault="005F62B7" w:rsidP="005F62B7">
      <w:pPr>
        <w:pStyle w:val="Normal1"/>
        <w:spacing w:after="0" w:line="360" w:lineRule="auto"/>
        <w:jc w:val="both"/>
        <w:rPr>
          <w:rFonts w:ascii="Arial" w:eastAsia="Arial" w:hAnsi="Arial" w:cs="Arial"/>
          <w:sz w:val="24"/>
          <w:szCs w:val="24"/>
        </w:rPr>
        <w:pPrChange w:id="11" w:author="Mary Bruce" w:date="2024-02-06T15:46:00Z">
          <w:pPr>
            <w:pStyle w:val="Normal1"/>
            <w:numPr>
              <w:numId w:val="2"/>
            </w:numPr>
            <w:spacing w:after="0" w:line="360" w:lineRule="auto"/>
            <w:jc w:val="both"/>
          </w:pPr>
        </w:pPrChange>
      </w:pPr>
      <w:r w:rsidRPr="006672D9">
        <w:rPr>
          <w:rFonts w:ascii="Arial" w:eastAsia="Arial" w:hAnsi="Arial" w:cs="Arial"/>
          <w:sz w:val="24"/>
          <w:szCs w:val="24"/>
        </w:rPr>
        <w:t>[11]</w:t>
      </w:r>
      <w:r w:rsidRPr="006672D9">
        <w:rPr>
          <w:rFonts w:ascii="Arial" w:eastAsia="Arial" w:hAnsi="Arial" w:cs="Arial"/>
          <w:sz w:val="24"/>
          <w:szCs w:val="24"/>
        </w:rPr>
        <w:tab/>
      </w:r>
      <w:r w:rsidR="006D11B8" w:rsidRPr="006672D9">
        <w:rPr>
          <w:rFonts w:ascii="Arial" w:eastAsia="Arial" w:hAnsi="Arial" w:cs="Arial"/>
          <w:sz w:val="24"/>
          <w:szCs w:val="24"/>
        </w:rPr>
        <w:t xml:space="preserve">In one of </w:t>
      </w:r>
      <w:r w:rsidR="00060639" w:rsidRPr="006672D9">
        <w:rPr>
          <w:rFonts w:ascii="Arial" w:eastAsia="Arial" w:hAnsi="Arial" w:cs="Arial"/>
          <w:sz w:val="24"/>
          <w:szCs w:val="24"/>
        </w:rPr>
        <w:t>the appeals</w:t>
      </w:r>
      <w:r w:rsidR="006D11B8" w:rsidRPr="006672D9">
        <w:rPr>
          <w:rFonts w:ascii="Arial" w:eastAsia="Arial" w:hAnsi="Arial" w:cs="Arial"/>
          <w:sz w:val="24"/>
          <w:szCs w:val="24"/>
        </w:rPr>
        <w:t xml:space="preserve"> heard</w:t>
      </w:r>
      <w:r w:rsidR="00147899" w:rsidRPr="006672D9">
        <w:rPr>
          <w:rFonts w:ascii="Arial" w:eastAsia="Arial" w:hAnsi="Arial" w:cs="Arial"/>
          <w:sz w:val="24"/>
          <w:szCs w:val="24"/>
        </w:rPr>
        <w:t xml:space="preserve"> in</w:t>
      </w:r>
      <w:r w:rsidR="006D11B8" w:rsidRPr="006672D9">
        <w:rPr>
          <w:rFonts w:ascii="Arial" w:eastAsia="Arial" w:hAnsi="Arial" w:cs="Arial"/>
          <w:sz w:val="24"/>
          <w:szCs w:val="24"/>
        </w:rPr>
        <w:t xml:space="preserve"> the </w:t>
      </w:r>
      <w:r w:rsidR="006D7B52" w:rsidRPr="006672D9">
        <w:rPr>
          <w:rFonts w:ascii="Arial" w:eastAsia="Arial" w:hAnsi="Arial" w:cs="Arial"/>
          <w:sz w:val="24"/>
          <w:szCs w:val="24"/>
        </w:rPr>
        <w:t xml:space="preserve">matter, the </w:t>
      </w:r>
      <w:r w:rsidR="006D11B8" w:rsidRPr="006672D9">
        <w:rPr>
          <w:rFonts w:ascii="Arial" w:eastAsia="Arial" w:hAnsi="Arial" w:cs="Arial"/>
          <w:sz w:val="24"/>
          <w:szCs w:val="24"/>
        </w:rPr>
        <w:t xml:space="preserve">Court </w:t>
      </w:r>
      <w:r w:rsidR="006D7B52" w:rsidRPr="006672D9">
        <w:rPr>
          <w:rFonts w:ascii="Arial" w:eastAsia="Arial" w:hAnsi="Arial" w:cs="Arial"/>
          <w:sz w:val="24"/>
          <w:szCs w:val="24"/>
        </w:rPr>
        <w:t xml:space="preserve">of Appeal </w:t>
      </w:r>
      <w:r w:rsidR="006D11B8" w:rsidRPr="006672D9">
        <w:rPr>
          <w:rFonts w:ascii="Arial" w:eastAsia="Arial" w:hAnsi="Arial" w:cs="Arial"/>
          <w:sz w:val="24"/>
          <w:szCs w:val="24"/>
        </w:rPr>
        <w:t>of the State of California,</w:t>
      </w:r>
      <w:r w:rsidR="00147899" w:rsidRPr="006672D9">
        <w:rPr>
          <w:rFonts w:ascii="Arial" w:eastAsia="Arial" w:hAnsi="Arial" w:cs="Arial"/>
          <w:sz w:val="24"/>
          <w:szCs w:val="24"/>
        </w:rPr>
        <w:t xml:space="preserve"> </w:t>
      </w:r>
      <w:r w:rsidR="006D11B8" w:rsidRPr="006672D9">
        <w:rPr>
          <w:rFonts w:ascii="Arial" w:eastAsia="Arial" w:hAnsi="Arial" w:cs="Arial"/>
          <w:sz w:val="24"/>
          <w:szCs w:val="24"/>
        </w:rPr>
        <w:t>Fourth Appe</w:t>
      </w:r>
      <w:r w:rsidR="006D7B52" w:rsidRPr="006672D9">
        <w:rPr>
          <w:rFonts w:ascii="Arial" w:eastAsia="Arial" w:hAnsi="Arial" w:cs="Arial"/>
          <w:sz w:val="24"/>
          <w:szCs w:val="24"/>
        </w:rPr>
        <w:t>llate</w:t>
      </w:r>
      <w:r w:rsidR="006D11B8" w:rsidRPr="006672D9">
        <w:rPr>
          <w:rFonts w:ascii="Arial" w:eastAsia="Arial" w:hAnsi="Arial" w:cs="Arial"/>
          <w:sz w:val="24"/>
          <w:szCs w:val="24"/>
        </w:rPr>
        <w:t xml:space="preserve"> District</w:t>
      </w:r>
      <w:r w:rsidR="006D7B52" w:rsidRPr="006672D9">
        <w:rPr>
          <w:rFonts w:ascii="Arial" w:eastAsia="Arial" w:hAnsi="Arial" w:cs="Arial"/>
          <w:sz w:val="24"/>
          <w:szCs w:val="24"/>
        </w:rPr>
        <w:t>, Division Three</w:t>
      </w:r>
      <w:r w:rsidR="00F75C01" w:rsidRPr="006672D9">
        <w:rPr>
          <w:rFonts w:ascii="Arial" w:eastAsia="Arial" w:hAnsi="Arial" w:cs="Arial"/>
          <w:sz w:val="24"/>
          <w:szCs w:val="24"/>
        </w:rPr>
        <w:t>,</w:t>
      </w:r>
      <w:r w:rsidR="006D11B8" w:rsidRPr="006672D9">
        <w:rPr>
          <w:rFonts w:ascii="Arial" w:eastAsia="Arial" w:hAnsi="Arial" w:cs="Arial"/>
          <w:sz w:val="24"/>
          <w:szCs w:val="24"/>
        </w:rPr>
        <w:t xml:space="preserve"> granted an order staying the judgment enforcement proceedings filed on 29 January 2018. Th</w:t>
      </w:r>
      <w:r w:rsidR="006D7B52" w:rsidRPr="006672D9">
        <w:rPr>
          <w:rFonts w:ascii="Arial" w:eastAsia="Arial" w:hAnsi="Arial" w:cs="Arial"/>
          <w:sz w:val="24"/>
          <w:szCs w:val="24"/>
        </w:rPr>
        <w:t>e</w:t>
      </w:r>
      <w:r w:rsidR="006D11B8" w:rsidRPr="006672D9">
        <w:rPr>
          <w:rFonts w:ascii="Arial" w:eastAsia="Arial" w:hAnsi="Arial" w:cs="Arial"/>
          <w:sz w:val="24"/>
          <w:szCs w:val="24"/>
        </w:rPr>
        <w:t xml:space="preserve"> court reasoned </w:t>
      </w:r>
      <w:r w:rsidR="00E61446" w:rsidRPr="006672D9">
        <w:rPr>
          <w:rFonts w:ascii="Arial" w:eastAsia="Arial" w:hAnsi="Arial" w:cs="Arial"/>
          <w:sz w:val="24"/>
          <w:szCs w:val="24"/>
        </w:rPr>
        <w:t xml:space="preserve">that </w:t>
      </w:r>
      <w:r w:rsidR="00E61446" w:rsidRPr="006672D9" w:rsidDel="00F61714">
        <w:rPr>
          <w:rFonts w:ascii="Arial" w:eastAsia="Arial" w:hAnsi="Arial" w:cs="Arial"/>
          <w:sz w:val="24"/>
          <w:szCs w:val="24"/>
        </w:rPr>
        <w:t>‘</w:t>
      </w:r>
      <w:r w:rsidR="00EC51CE" w:rsidRPr="006672D9">
        <w:rPr>
          <w:rFonts w:ascii="Arial" w:eastAsia="Arial" w:hAnsi="Arial" w:cs="Arial"/>
          <w:sz w:val="24"/>
          <w:szCs w:val="24"/>
        </w:rPr>
        <w:t>the [appellant</w:t>
      </w:r>
      <w:r w:rsidR="006D7B52" w:rsidRPr="006672D9">
        <w:rPr>
          <w:rFonts w:ascii="Arial" w:eastAsia="Arial" w:hAnsi="Arial" w:cs="Arial"/>
          <w:sz w:val="24"/>
          <w:szCs w:val="24"/>
        </w:rPr>
        <w:t>s</w:t>
      </w:r>
      <w:r w:rsidR="00EC51CE" w:rsidRPr="006672D9">
        <w:rPr>
          <w:rFonts w:ascii="Arial" w:eastAsia="Arial" w:hAnsi="Arial" w:cs="Arial"/>
          <w:sz w:val="24"/>
          <w:szCs w:val="24"/>
        </w:rPr>
        <w:t xml:space="preserve">] were not entitled to an actual money judgment in the default proceedings’ and it was the appellants who </w:t>
      </w:r>
      <w:r w:rsidR="00F75C01" w:rsidRPr="006672D9">
        <w:rPr>
          <w:rFonts w:ascii="Arial" w:eastAsia="Arial" w:hAnsi="Arial" w:cs="Arial"/>
          <w:sz w:val="24"/>
          <w:szCs w:val="24"/>
        </w:rPr>
        <w:t>by opting for the default prove-up</w:t>
      </w:r>
      <w:r w:rsidR="00222149" w:rsidRPr="006672D9">
        <w:rPr>
          <w:rFonts w:ascii="Arial" w:eastAsia="Arial" w:hAnsi="Arial" w:cs="Arial"/>
          <w:sz w:val="24"/>
          <w:szCs w:val="24"/>
        </w:rPr>
        <w:t xml:space="preserve"> hearing</w:t>
      </w:r>
      <w:r w:rsidR="00F75C01" w:rsidRPr="006672D9">
        <w:rPr>
          <w:rFonts w:ascii="Arial" w:eastAsia="Arial" w:hAnsi="Arial" w:cs="Arial"/>
          <w:sz w:val="24"/>
          <w:szCs w:val="24"/>
        </w:rPr>
        <w:t xml:space="preserve">, had </w:t>
      </w:r>
      <w:r w:rsidR="00EC51CE" w:rsidRPr="006672D9">
        <w:rPr>
          <w:rFonts w:ascii="Arial" w:eastAsia="Arial" w:hAnsi="Arial" w:cs="Arial"/>
          <w:sz w:val="24"/>
          <w:szCs w:val="24"/>
        </w:rPr>
        <w:t>declined to amend their pleading</w:t>
      </w:r>
      <w:r w:rsidR="006D7B52" w:rsidRPr="006672D9">
        <w:rPr>
          <w:rFonts w:ascii="Arial" w:eastAsia="Arial" w:hAnsi="Arial" w:cs="Arial"/>
          <w:sz w:val="24"/>
          <w:szCs w:val="24"/>
        </w:rPr>
        <w:t>s</w:t>
      </w:r>
      <w:r w:rsidR="00EC51CE" w:rsidRPr="006672D9">
        <w:rPr>
          <w:rFonts w:ascii="Arial" w:eastAsia="Arial" w:hAnsi="Arial" w:cs="Arial"/>
          <w:sz w:val="24"/>
          <w:szCs w:val="24"/>
        </w:rPr>
        <w:t xml:space="preserve"> when they were given an opportunity to do so.</w:t>
      </w:r>
    </w:p>
    <w:p w14:paraId="6C63A7D3" w14:textId="77777777" w:rsidR="00EC51CE" w:rsidRPr="006672D9" w:rsidRDefault="00EC51CE" w:rsidP="00237073">
      <w:pPr>
        <w:pStyle w:val="Normal1"/>
        <w:spacing w:after="0" w:line="360" w:lineRule="auto"/>
        <w:jc w:val="both"/>
        <w:rPr>
          <w:rFonts w:ascii="Arial" w:eastAsia="Arial" w:hAnsi="Arial" w:cs="Arial"/>
          <w:sz w:val="24"/>
          <w:szCs w:val="24"/>
        </w:rPr>
      </w:pPr>
    </w:p>
    <w:p w14:paraId="462A36F7" w14:textId="04B34A14" w:rsidR="006D7B52" w:rsidRPr="006672D9" w:rsidRDefault="005F62B7" w:rsidP="005F62B7">
      <w:pPr>
        <w:pStyle w:val="Normal1"/>
        <w:spacing w:after="0" w:line="360" w:lineRule="auto"/>
        <w:jc w:val="both"/>
        <w:rPr>
          <w:rFonts w:ascii="Arial" w:eastAsia="Arial" w:hAnsi="Arial" w:cs="Arial"/>
          <w:sz w:val="24"/>
          <w:szCs w:val="24"/>
        </w:rPr>
        <w:pPrChange w:id="12" w:author="Mary Bruce" w:date="2024-02-06T15:46:00Z">
          <w:pPr>
            <w:pStyle w:val="Normal1"/>
            <w:numPr>
              <w:numId w:val="2"/>
            </w:numPr>
            <w:spacing w:after="0" w:line="360" w:lineRule="auto"/>
            <w:jc w:val="both"/>
          </w:pPr>
        </w:pPrChange>
      </w:pPr>
      <w:r w:rsidRPr="006672D9">
        <w:rPr>
          <w:rFonts w:ascii="Arial" w:eastAsia="Arial" w:hAnsi="Arial" w:cs="Arial"/>
          <w:sz w:val="24"/>
          <w:szCs w:val="24"/>
        </w:rPr>
        <w:t>[12]</w:t>
      </w:r>
      <w:r w:rsidRPr="006672D9">
        <w:rPr>
          <w:rFonts w:ascii="Arial" w:eastAsia="Arial" w:hAnsi="Arial" w:cs="Arial"/>
          <w:sz w:val="24"/>
          <w:szCs w:val="24"/>
        </w:rPr>
        <w:tab/>
      </w:r>
      <w:r w:rsidR="00222149" w:rsidRPr="006672D9">
        <w:rPr>
          <w:rFonts w:ascii="Arial" w:eastAsia="Arial" w:hAnsi="Arial" w:cs="Arial"/>
          <w:sz w:val="24"/>
          <w:szCs w:val="24"/>
        </w:rPr>
        <w:t>Mr Conteh</w:t>
      </w:r>
      <w:r w:rsidR="00D644A1" w:rsidRPr="006672D9">
        <w:rPr>
          <w:rFonts w:ascii="Arial" w:eastAsia="Arial" w:hAnsi="Arial" w:cs="Arial"/>
          <w:sz w:val="24"/>
          <w:szCs w:val="24"/>
        </w:rPr>
        <w:t xml:space="preserve"> </w:t>
      </w:r>
      <w:r w:rsidR="00076998" w:rsidRPr="006672D9">
        <w:rPr>
          <w:rFonts w:ascii="Arial" w:eastAsia="Arial" w:hAnsi="Arial" w:cs="Arial"/>
          <w:sz w:val="24"/>
          <w:szCs w:val="24"/>
        </w:rPr>
        <w:t xml:space="preserve">sought </w:t>
      </w:r>
      <w:r w:rsidR="001E6587">
        <w:rPr>
          <w:rFonts w:ascii="Arial" w:eastAsia="Arial" w:hAnsi="Arial" w:cs="Arial"/>
          <w:sz w:val="24"/>
          <w:szCs w:val="24"/>
        </w:rPr>
        <w:t>to</w:t>
      </w:r>
      <w:r w:rsidR="00076998" w:rsidRPr="006672D9">
        <w:rPr>
          <w:rFonts w:ascii="Arial" w:eastAsia="Arial" w:hAnsi="Arial" w:cs="Arial"/>
          <w:sz w:val="24"/>
          <w:szCs w:val="24"/>
        </w:rPr>
        <w:t xml:space="preserve"> </w:t>
      </w:r>
      <w:r w:rsidR="00060639" w:rsidRPr="006672D9">
        <w:rPr>
          <w:rFonts w:ascii="Arial" w:eastAsia="Arial" w:hAnsi="Arial" w:cs="Arial"/>
          <w:sz w:val="24"/>
          <w:szCs w:val="24"/>
        </w:rPr>
        <w:t>appeal the</w:t>
      </w:r>
      <w:r w:rsidR="00076998" w:rsidRPr="006672D9">
        <w:rPr>
          <w:rFonts w:ascii="Arial" w:eastAsia="Arial" w:hAnsi="Arial" w:cs="Arial"/>
          <w:sz w:val="24"/>
          <w:szCs w:val="24"/>
        </w:rPr>
        <w:t xml:space="preserve"> </w:t>
      </w:r>
      <w:r w:rsidR="006C2C90" w:rsidRPr="006672D9">
        <w:rPr>
          <w:rFonts w:ascii="Arial" w:eastAsia="Arial" w:hAnsi="Arial" w:cs="Arial"/>
          <w:sz w:val="24"/>
          <w:szCs w:val="24"/>
        </w:rPr>
        <w:t>default judgment</w:t>
      </w:r>
      <w:r w:rsidR="00076998" w:rsidRPr="006672D9">
        <w:rPr>
          <w:rFonts w:ascii="Arial" w:eastAsia="Arial" w:hAnsi="Arial" w:cs="Arial"/>
          <w:sz w:val="24"/>
          <w:szCs w:val="24"/>
        </w:rPr>
        <w:t xml:space="preserve">, </w:t>
      </w:r>
      <w:r w:rsidR="00222149" w:rsidRPr="006672D9">
        <w:rPr>
          <w:rFonts w:ascii="Arial" w:eastAsia="Arial" w:hAnsi="Arial" w:cs="Arial"/>
          <w:sz w:val="24"/>
          <w:szCs w:val="24"/>
        </w:rPr>
        <w:t>which failed</w:t>
      </w:r>
      <w:r w:rsidR="00365D80" w:rsidRPr="006672D9">
        <w:rPr>
          <w:rFonts w:ascii="Arial" w:eastAsia="Arial" w:hAnsi="Arial" w:cs="Arial"/>
          <w:sz w:val="24"/>
          <w:szCs w:val="24"/>
        </w:rPr>
        <w:t>. The</w:t>
      </w:r>
      <w:r w:rsidR="006C2C90" w:rsidRPr="006672D9">
        <w:rPr>
          <w:rFonts w:ascii="Arial" w:eastAsia="Arial" w:hAnsi="Arial" w:cs="Arial"/>
          <w:sz w:val="24"/>
          <w:szCs w:val="24"/>
        </w:rPr>
        <w:t xml:space="preserve"> appeal court </w:t>
      </w:r>
      <w:r w:rsidR="00076998" w:rsidRPr="006672D9">
        <w:rPr>
          <w:rFonts w:ascii="Arial" w:eastAsia="Arial" w:hAnsi="Arial" w:cs="Arial"/>
          <w:sz w:val="24"/>
          <w:szCs w:val="24"/>
        </w:rPr>
        <w:t>reasoned that</w:t>
      </w:r>
      <w:r w:rsidR="006C2C90" w:rsidRPr="006672D9">
        <w:rPr>
          <w:rFonts w:ascii="Arial" w:eastAsia="Arial" w:hAnsi="Arial" w:cs="Arial"/>
          <w:sz w:val="24"/>
          <w:szCs w:val="24"/>
        </w:rPr>
        <w:t xml:space="preserve">: </w:t>
      </w:r>
    </w:p>
    <w:p w14:paraId="5C8B6CE2" w14:textId="77777777" w:rsidR="00F3468C" w:rsidRPr="006672D9" w:rsidRDefault="006C2C90" w:rsidP="00237073">
      <w:pPr>
        <w:pStyle w:val="Normal1"/>
        <w:spacing w:after="0" w:line="360" w:lineRule="auto"/>
        <w:jc w:val="both"/>
        <w:rPr>
          <w:rFonts w:ascii="Arial" w:eastAsia="Arial" w:hAnsi="Arial" w:cs="Arial"/>
        </w:rPr>
      </w:pPr>
      <w:r w:rsidRPr="006672D9">
        <w:rPr>
          <w:rFonts w:ascii="Arial" w:eastAsia="Arial" w:hAnsi="Arial" w:cs="Arial"/>
        </w:rPr>
        <w:t>‘[</w:t>
      </w:r>
      <w:r w:rsidR="006D7B52" w:rsidRPr="006672D9">
        <w:rPr>
          <w:rFonts w:ascii="Arial" w:eastAsia="Arial" w:hAnsi="Arial" w:cs="Arial"/>
        </w:rPr>
        <w:t xml:space="preserve">The </w:t>
      </w:r>
      <w:r w:rsidRPr="006672D9">
        <w:rPr>
          <w:rFonts w:ascii="Arial" w:eastAsia="Arial" w:hAnsi="Arial" w:cs="Arial"/>
        </w:rPr>
        <w:t>respondent] request</w:t>
      </w:r>
      <w:r w:rsidR="00737AD1" w:rsidRPr="006672D9">
        <w:rPr>
          <w:rFonts w:ascii="Arial" w:eastAsia="Arial" w:hAnsi="Arial" w:cs="Arial"/>
        </w:rPr>
        <w:t>[</w:t>
      </w:r>
      <w:r w:rsidRPr="006672D9">
        <w:rPr>
          <w:rFonts w:ascii="Arial" w:eastAsia="Arial" w:hAnsi="Arial" w:cs="Arial"/>
        </w:rPr>
        <w:t>ed</w:t>
      </w:r>
      <w:r w:rsidR="00737AD1" w:rsidRPr="006672D9">
        <w:rPr>
          <w:rFonts w:ascii="Arial" w:eastAsia="Arial" w:hAnsi="Arial" w:cs="Arial"/>
        </w:rPr>
        <w:t>]</w:t>
      </w:r>
      <w:r w:rsidRPr="006672D9">
        <w:rPr>
          <w:rFonts w:ascii="Arial" w:eastAsia="Arial" w:hAnsi="Arial" w:cs="Arial"/>
        </w:rPr>
        <w:t xml:space="preserve"> for the first time in their reply brief that we determine whether the judgment may be enforced as one for money. Such an issue is not before us as it concerns</w:t>
      </w:r>
      <w:r w:rsidR="00EC51CE" w:rsidRPr="006672D9">
        <w:rPr>
          <w:rFonts w:ascii="Arial" w:eastAsia="Arial" w:hAnsi="Arial" w:cs="Arial"/>
        </w:rPr>
        <w:t xml:space="preserve"> </w:t>
      </w:r>
      <w:r w:rsidR="00FA130F" w:rsidRPr="001D4C75">
        <w:rPr>
          <w:rFonts w:ascii="Arial" w:eastAsia="Arial" w:hAnsi="Arial" w:cs="Arial"/>
        </w:rPr>
        <w:t>post</w:t>
      </w:r>
      <w:r w:rsidR="00737AD1" w:rsidRPr="001D4C75">
        <w:rPr>
          <w:rFonts w:ascii="Arial" w:eastAsia="Arial" w:hAnsi="Arial" w:cs="Arial"/>
        </w:rPr>
        <w:t>-</w:t>
      </w:r>
      <w:r w:rsidR="00FA130F" w:rsidRPr="001D4C75">
        <w:rPr>
          <w:rFonts w:ascii="Arial" w:eastAsia="Arial" w:hAnsi="Arial" w:cs="Arial"/>
        </w:rPr>
        <w:t>judgment</w:t>
      </w:r>
      <w:r w:rsidR="0071040D" w:rsidRPr="001D4C75">
        <w:rPr>
          <w:rFonts w:ascii="Arial" w:eastAsia="Arial" w:hAnsi="Arial" w:cs="Arial"/>
        </w:rPr>
        <w:t xml:space="preserve"> </w:t>
      </w:r>
      <w:r w:rsidRPr="001D4C75">
        <w:rPr>
          <w:rFonts w:ascii="Arial" w:eastAsia="Arial" w:hAnsi="Arial" w:cs="Arial"/>
        </w:rPr>
        <w:t>enforcement matters which postdate the default judgment</w:t>
      </w:r>
      <w:r w:rsidRPr="006672D9">
        <w:rPr>
          <w:rFonts w:ascii="Arial" w:eastAsia="Arial" w:hAnsi="Arial" w:cs="Arial"/>
        </w:rPr>
        <w:t xml:space="preserve"> from which </w:t>
      </w:r>
      <w:r w:rsidR="006D7B52" w:rsidRPr="006672D9">
        <w:rPr>
          <w:rFonts w:ascii="Arial" w:eastAsia="Arial" w:hAnsi="Arial" w:cs="Arial"/>
        </w:rPr>
        <w:t>[the respondent]</w:t>
      </w:r>
      <w:r w:rsidRPr="006672D9">
        <w:rPr>
          <w:rFonts w:ascii="Arial" w:eastAsia="Arial" w:hAnsi="Arial" w:cs="Arial"/>
        </w:rPr>
        <w:t xml:space="preserve"> appealed. It is proper for adjudication in the trial court in the first instance.’</w:t>
      </w:r>
    </w:p>
    <w:p w14:paraId="6BDCFB0E" w14:textId="77777777" w:rsidR="00FF2EF7" w:rsidRPr="006672D9" w:rsidRDefault="00FF2EF7" w:rsidP="00237073">
      <w:pPr>
        <w:pStyle w:val="Normal1"/>
        <w:spacing w:after="0" w:line="360" w:lineRule="auto"/>
        <w:jc w:val="both"/>
        <w:rPr>
          <w:rFonts w:ascii="Arial" w:eastAsia="Arial" w:hAnsi="Arial" w:cs="Arial"/>
          <w:sz w:val="24"/>
          <w:szCs w:val="24"/>
        </w:rPr>
      </w:pPr>
    </w:p>
    <w:p w14:paraId="179849F1" w14:textId="77777777" w:rsidR="00F3468C" w:rsidRPr="006672D9" w:rsidRDefault="00555CE8" w:rsidP="00237073">
      <w:pPr>
        <w:spacing w:after="0" w:line="360" w:lineRule="auto"/>
        <w:jc w:val="both"/>
        <w:rPr>
          <w:rFonts w:ascii="Arial" w:eastAsia="Arial" w:hAnsi="Arial" w:cs="Arial"/>
          <w:b/>
          <w:sz w:val="24"/>
          <w:szCs w:val="24"/>
        </w:rPr>
      </w:pPr>
      <w:r w:rsidRPr="006672D9">
        <w:rPr>
          <w:rFonts w:ascii="Arial" w:eastAsia="Arial" w:hAnsi="Arial" w:cs="Arial"/>
          <w:b/>
          <w:sz w:val="24"/>
          <w:szCs w:val="24"/>
        </w:rPr>
        <w:t>Before the high court</w:t>
      </w:r>
    </w:p>
    <w:p w14:paraId="48594DC9" w14:textId="0856CAEB" w:rsidR="00865D2D" w:rsidRPr="006672D9" w:rsidRDefault="005F62B7" w:rsidP="005F62B7">
      <w:pPr>
        <w:pStyle w:val="Normal1"/>
        <w:spacing w:after="0" w:line="360" w:lineRule="auto"/>
        <w:jc w:val="both"/>
        <w:rPr>
          <w:rFonts w:ascii="Arial" w:eastAsia="Arial" w:hAnsi="Arial" w:cs="Arial"/>
          <w:sz w:val="24"/>
          <w:szCs w:val="24"/>
        </w:rPr>
        <w:pPrChange w:id="13" w:author="Mary Bruce" w:date="2024-02-06T15:46:00Z">
          <w:pPr>
            <w:pStyle w:val="Normal1"/>
            <w:numPr>
              <w:numId w:val="2"/>
            </w:numPr>
            <w:spacing w:after="0" w:line="360" w:lineRule="auto"/>
            <w:jc w:val="both"/>
          </w:pPr>
        </w:pPrChange>
      </w:pPr>
      <w:r w:rsidRPr="006672D9">
        <w:rPr>
          <w:rFonts w:ascii="Arial" w:eastAsia="Arial" w:hAnsi="Arial" w:cs="Arial"/>
          <w:sz w:val="24"/>
          <w:szCs w:val="24"/>
        </w:rPr>
        <w:t>[13]</w:t>
      </w:r>
      <w:r w:rsidRPr="006672D9">
        <w:rPr>
          <w:rFonts w:ascii="Arial" w:eastAsia="Arial" w:hAnsi="Arial" w:cs="Arial"/>
          <w:sz w:val="24"/>
          <w:szCs w:val="24"/>
        </w:rPr>
        <w:tab/>
      </w:r>
      <w:r w:rsidR="0071040D" w:rsidRPr="006672D9">
        <w:rPr>
          <w:rFonts w:ascii="Arial" w:eastAsia="Arial" w:hAnsi="Arial" w:cs="Arial"/>
          <w:sz w:val="24"/>
          <w:szCs w:val="24"/>
        </w:rPr>
        <w:t>In the provision</w:t>
      </w:r>
      <w:r w:rsidR="000F1792">
        <w:rPr>
          <w:rFonts w:ascii="Arial" w:eastAsia="Arial" w:hAnsi="Arial" w:cs="Arial"/>
          <w:sz w:val="24"/>
          <w:szCs w:val="24"/>
        </w:rPr>
        <w:t xml:space="preserve">al sentence proceedings in the </w:t>
      </w:r>
      <w:r w:rsidR="004A6136">
        <w:rPr>
          <w:rFonts w:ascii="Arial" w:eastAsia="Arial" w:hAnsi="Arial" w:cs="Arial"/>
          <w:sz w:val="24"/>
          <w:szCs w:val="24"/>
        </w:rPr>
        <w:t>h</w:t>
      </w:r>
      <w:r w:rsidR="000F1792">
        <w:rPr>
          <w:rFonts w:ascii="Arial" w:eastAsia="Arial" w:hAnsi="Arial" w:cs="Arial"/>
          <w:sz w:val="24"/>
          <w:szCs w:val="24"/>
        </w:rPr>
        <w:t xml:space="preserve">igh </w:t>
      </w:r>
      <w:r w:rsidR="004A6136">
        <w:rPr>
          <w:rFonts w:ascii="Arial" w:eastAsia="Arial" w:hAnsi="Arial" w:cs="Arial"/>
          <w:sz w:val="24"/>
          <w:szCs w:val="24"/>
        </w:rPr>
        <w:t>c</w:t>
      </w:r>
      <w:r w:rsidR="0071040D" w:rsidRPr="006672D9">
        <w:rPr>
          <w:rFonts w:ascii="Arial" w:eastAsia="Arial" w:hAnsi="Arial" w:cs="Arial"/>
          <w:sz w:val="24"/>
          <w:szCs w:val="24"/>
        </w:rPr>
        <w:t>ourt the appellant</w:t>
      </w:r>
      <w:r w:rsidR="00841FB1" w:rsidRPr="006672D9">
        <w:rPr>
          <w:rFonts w:ascii="Arial" w:eastAsia="Arial" w:hAnsi="Arial" w:cs="Arial"/>
          <w:sz w:val="24"/>
          <w:szCs w:val="24"/>
        </w:rPr>
        <w:t>s</w:t>
      </w:r>
      <w:r w:rsidR="0071040D" w:rsidRPr="006672D9">
        <w:rPr>
          <w:rFonts w:ascii="Arial" w:eastAsia="Arial" w:hAnsi="Arial" w:cs="Arial"/>
          <w:sz w:val="24"/>
          <w:szCs w:val="24"/>
        </w:rPr>
        <w:t xml:space="preserve"> pleaded as follows:</w:t>
      </w:r>
    </w:p>
    <w:p w14:paraId="2509EA71" w14:textId="77777777" w:rsidR="00191429" w:rsidRPr="006672D9" w:rsidRDefault="00CF1304" w:rsidP="00237073">
      <w:pPr>
        <w:pStyle w:val="Normal1"/>
        <w:spacing w:after="0" w:line="360" w:lineRule="auto"/>
        <w:jc w:val="both"/>
        <w:rPr>
          <w:rFonts w:ascii="Arial" w:hAnsi="Arial" w:cs="Arial"/>
        </w:rPr>
      </w:pPr>
      <w:r w:rsidRPr="006672D9">
        <w:rPr>
          <w:rFonts w:ascii="Arial" w:eastAsia="Arial" w:hAnsi="Arial" w:cs="Arial"/>
        </w:rPr>
        <w:t>‘</w:t>
      </w:r>
      <w:r w:rsidR="00147899" w:rsidRPr="006672D9">
        <w:rPr>
          <w:rFonts w:ascii="Arial" w:hAnsi="Arial" w:cs="Arial"/>
        </w:rPr>
        <w:t xml:space="preserve">8. </w:t>
      </w:r>
      <w:r w:rsidR="00D77DFE" w:rsidRPr="006672D9">
        <w:rPr>
          <w:rFonts w:ascii="Arial" w:hAnsi="Arial" w:cs="Arial"/>
        </w:rPr>
        <w:tab/>
      </w:r>
      <w:r w:rsidR="00147899" w:rsidRPr="006672D9">
        <w:rPr>
          <w:rFonts w:ascii="Arial" w:hAnsi="Arial" w:cs="Arial"/>
        </w:rPr>
        <w:t xml:space="preserve">Under the Laws of the state of California, County of Orange, Code of Civil Procedure (“CCCP”) Subdivisions 714.010 – 714.030, the August 29, 2016 Ruling and Order; the August 29, 2016 Judgment, the September 15, 2016 Supplemental Order, and the December 16, 2016 Order (“the Judgments”), read cumulatively, constitute a final and binding Judgment executable upon the Defendant according to the following procedure </w:t>
      </w:r>
      <w:r w:rsidR="00147899" w:rsidRPr="006672D9">
        <w:rPr>
          <w:rFonts w:ascii="Arial" w:hAnsi="Arial" w:cs="Arial"/>
          <w:i/>
        </w:rPr>
        <w:t>inter alia</w:t>
      </w:r>
      <w:r w:rsidR="00147899" w:rsidRPr="006672D9">
        <w:rPr>
          <w:rFonts w:ascii="Arial" w:hAnsi="Arial" w:cs="Arial"/>
        </w:rPr>
        <w:t>:</w:t>
      </w:r>
    </w:p>
    <w:p w14:paraId="0873C367" w14:textId="77777777" w:rsidR="00191429" w:rsidRPr="006672D9" w:rsidRDefault="00147899" w:rsidP="00237073">
      <w:pPr>
        <w:pStyle w:val="Normal1"/>
        <w:spacing w:after="0" w:line="360" w:lineRule="auto"/>
        <w:jc w:val="both"/>
        <w:rPr>
          <w:rFonts w:ascii="Arial" w:hAnsi="Arial" w:cs="Arial"/>
        </w:rPr>
      </w:pPr>
      <w:r w:rsidRPr="006672D9">
        <w:rPr>
          <w:rFonts w:ascii="Arial" w:hAnsi="Arial" w:cs="Arial"/>
        </w:rPr>
        <w:t>8.1</w:t>
      </w:r>
      <w:r w:rsidR="00C71639" w:rsidRPr="006672D9">
        <w:rPr>
          <w:rFonts w:ascii="Arial" w:hAnsi="Arial" w:cs="Arial"/>
        </w:rPr>
        <w:t xml:space="preserve"> </w:t>
      </w:r>
      <w:r w:rsidR="00D77DFE" w:rsidRPr="006672D9">
        <w:rPr>
          <w:rFonts w:ascii="Arial" w:hAnsi="Arial" w:cs="Arial"/>
        </w:rPr>
        <w:tab/>
      </w:r>
      <w:r w:rsidRPr="006672D9">
        <w:rPr>
          <w:rFonts w:ascii="Arial" w:hAnsi="Arial" w:cs="Arial"/>
        </w:rPr>
        <w:t>714.010(a): A judgment for possession of personal property may be enforced by a writ of possession of personal property issued pursuant to Section 712.010;</w:t>
      </w:r>
    </w:p>
    <w:p w14:paraId="5C1BEB6E" w14:textId="77777777" w:rsidR="00191429" w:rsidRPr="006672D9" w:rsidRDefault="00147899" w:rsidP="00237073">
      <w:pPr>
        <w:pStyle w:val="Normal1"/>
        <w:spacing w:after="0" w:line="360" w:lineRule="auto"/>
        <w:jc w:val="both"/>
        <w:rPr>
          <w:rFonts w:ascii="Arial" w:hAnsi="Arial" w:cs="Arial"/>
        </w:rPr>
      </w:pPr>
      <w:r w:rsidRPr="006672D9">
        <w:rPr>
          <w:rFonts w:ascii="Arial" w:hAnsi="Arial" w:cs="Arial"/>
        </w:rPr>
        <w:t xml:space="preserve">8.2 </w:t>
      </w:r>
      <w:r w:rsidR="00D77DFE" w:rsidRPr="006672D9">
        <w:rPr>
          <w:rFonts w:ascii="Arial" w:hAnsi="Arial" w:cs="Arial"/>
        </w:rPr>
        <w:tab/>
      </w:r>
      <w:r w:rsidRPr="006672D9">
        <w:rPr>
          <w:rFonts w:ascii="Arial" w:hAnsi="Arial" w:cs="Arial"/>
        </w:rPr>
        <w:t xml:space="preserve">714.020(a): To execute the writ of possession of personal property, the levying officer shall search for the property specified in the writ and, if the property is in the possession of the judgment debtor or an agent of the judgment debtor, take custody of the property in the same </w:t>
      </w:r>
      <w:r w:rsidRPr="006672D9">
        <w:rPr>
          <w:rFonts w:ascii="Arial" w:hAnsi="Arial" w:cs="Arial"/>
        </w:rPr>
        <w:lastRenderedPageBreak/>
        <w:t>manner as a levy under a writ of execution on such property in the possession of the judgment debtor;</w:t>
      </w:r>
    </w:p>
    <w:p w14:paraId="3623D0D3" w14:textId="77777777" w:rsidR="00CF1304" w:rsidRPr="006672D9" w:rsidRDefault="00147899" w:rsidP="00237073">
      <w:pPr>
        <w:pStyle w:val="Normal1"/>
        <w:spacing w:after="0" w:line="360" w:lineRule="auto"/>
        <w:jc w:val="both"/>
        <w:rPr>
          <w:rFonts w:ascii="Arial" w:hAnsi="Arial" w:cs="Arial"/>
        </w:rPr>
      </w:pPr>
      <w:r w:rsidRPr="006672D9">
        <w:rPr>
          <w:rFonts w:ascii="Arial" w:hAnsi="Arial" w:cs="Arial"/>
        </w:rPr>
        <w:t xml:space="preserve">8.3 </w:t>
      </w:r>
      <w:r w:rsidR="00D77DFE" w:rsidRPr="006672D9">
        <w:rPr>
          <w:rFonts w:ascii="Arial" w:hAnsi="Arial" w:cs="Arial"/>
        </w:rPr>
        <w:tab/>
      </w:r>
      <w:r w:rsidRPr="006672D9">
        <w:rPr>
          <w:rFonts w:ascii="Arial" w:hAnsi="Arial" w:cs="Arial"/>
        </w:rPr>
        <w:t xml:space="preserve">714.020(b): If the property specified in the writ of possession cannot be taken into custody, the levying officer shall make a demand upon the judgment debtor for the property if the judgment debtor can be located. If custody of the property is not obtained, the levying officer shall so state in the return. </w:t>
      </w:r>
      <w:r w:rsidR="00FA130F" w:rsidRPr="006672D9">
        <w:rPr>
          <w:rFonts w:ascii="Arial" w:hAnsi="Arial" w:cs="Arial"/>
        </w:rPr>
        <w:t>Thereafter</w:t>
      </w:r>
      <w:r w:rsidRPr="006672D9">
        <w:rPr>
          <w:rFonts w:ascii="Arial" w:hAnsi="Arial" w:cs="Arial"/>
        </w:rPr>
        <w:t>, the judgment for the possession of the property may be enforced in the same manner as a money judgment for the value of the property as specified in the judgment or a supplemental order.</w:t>
      </w:r>
      <w:r w:rsidR="00580D6B" w:rsidRPr="006672D9">
        <w:rPr>
          <w:rFonts w:ascii="Arial" w:hAnsi="Arial" w:cs="Arial"/>
        </w:rPr>
        <w:t>’</w:t>
      </w:r>
      <w:r w:rsidR="00482E1A" w:rsidRPr="006672D9">
        <w:rPr>
          <w:rStyle w:val="FootnoteReference"/>
          <w:rFonts w:ascii="Arial" w:hAnsi="Arial" w:cs="Arial"/>
        </w:rPr>
        <w:footnoteReference w:id="2"/>
      </w:r>
    </w:p>
    <w:p w14:paraId="170EFDC8" w14:textId="77777777" w:rsidR="00FA130F" w:rsidRPr="006672D9" w:rsidRDefault="00FA130F" w:rsidP="00237073">
      <w:pPr>
        <w:pStyle w:val="Normal1"/>
        <w:spacing w:after="0" w:line="360" w:lineRule="auto"/>
        <w:jc w:val="both"/>
        <w:rPr>
          <w:rFonts w:ascii="Arial" w:eastAsia="Arial" w:hAnsi="Arial" w:cs="Arial"/>
          <w:sz w:val="24"/>
          <w:szCs w:val="24"/>
        </w:rPr>
      </w:pPr>
    </w:p>
    <w:p w14:paraId="352A8DF1" w14:textId="5B5FE165" w:rsidR="00DF1375" w:rsidRPr="006672D9" w:rsidRDefault="005F62B7" w:rsidP="005F62B7">
      <w:pPr>
        <w:pStyle w:val="Normal1"/>
        <w:spacing w:after="0" w:line="360" w:lineRule="auto"/>
        <w:jc w:val="both"/>
        <w:rPr>
          <w:rFonts w:ascii="Arial" w:eastAsia="Arial" w:hAnsi="Arial" w:cs="Arial"/>
          <w:sz w:val="24"/>
          <w:szCs w:val="24"/>
        </w:rPr>
        <w:pPrChange w:id="14" w:author="Mary Bruce" w:date="2024-02-06T15:46:00Z">
          <w:pPr>
            <w:pStyle w:val="Normal1"/>
            <w:numPr>
              <w:numId w:val="2"/>
            </w:numPr>
            <w:spacing w:after="0" w:line="360" w:lineRule="auto"/>
            <w:jc w:val="both"/>
          </w:pPr>
        </w:pPrChange>
      </w:pPr>
      <w:r w:rsidRPr="006672D9">
        <w:rPr>
          <w:rFonts w:ascii="Arial" w:eastAsia="Arial" w:hAnsi="Arial" w:cs="Arial"/>
          <w:sz w:val="24"/>
          <w:szCs w:val="24"/>
        </w:rPr>
        <w:t>[14]</w:t>
      </w:r>
      <w:r w:rsidRPr="006672D9">
        <w:rPr>
          <w:rFonts w:ascii="Arial" w:eastAsia="Arial" w:hAnsi="Arial" w:cs="Arial"/>
          <w:sz w:val="24"/>
          <w:szCs w:val="24"/>
        </w:rPr>
        <w:tab/>
      </w:r>
      <w:r w:rsidR="006E142B" w:rsidRPr="006672D9">
        <w:rPr>
          <w:rFonts w:ascii="Arial" w:eastAsia="Arial" w:hAnsi="Arial" w:cs="Arial"/>
          <w:sz w:val="24"/>
          <w:szCs w:val="24"/>
        </w:rPr>
        <w:t>Simply put, the appellants</w:t>
      </w:r>
      <w:r w:rsidR="00076998" w:rsidRPr="006672D9">
        <w:rPr>
          <w:rFonts w:ascii="Arial" w:eastAsia="Arial" w:hAnsi="Arial" w:cs="Arial"/>
          <w:sz w:val="24"/>
          <w:szCs w:val="24"/>
        </w:rPr>
        <w:t>’</w:t>
      </w:r>
      <w:r w:rsidR="006E142B" w:rsidRPr="006672D9">
        <w:rPr>
          <w:rFonts w:ascii="Arial" w:eastAsia="Arial" w:hAnsi="Arial" w:cs="Arial"/>
          <w:sz w:val="24"/>
          <w:szCs w:val="24"/>
        </w:rPr>
        <w:t xml:space="preserve"> case is that the foreign </w:t>
      </w:r>
      <w:r w:rsidR="00D644A1" w:rsidRPr="006672D9">
        <w:rPr>
          <w:rFonts w:ascii="Arial" w:eastAsia="Arial" w:hAnsi="Arial" w:cs="Arial"/>
          <w:sz w:val="24"/>
          <w:szCs w:val="24"/>
        </w:rPr>
        <w:t xml:space="preserve">default </w:t>
      </w:r>
      <w:r w:rsidR="006E142B" w:rsidRPr="006672D9">
        <w:rPr>
          <w:rFonts w:ascii="Arial" w:eastAsia="Arial" w:hAnsi="Arial" w:cs="Arial"/>
          <w:sz w:val="24"/>
          <w:szCs w:val="24"/>
        </w:rPr>
        <w:t>judgment together with</w:t>
      </w:r>
      <w:r w:rsidR="00D644A1" w:rsidRPr="006672D9">
        <w:rPr>
          <w:rFonts w:ascii="Arial" w:eastAsia="Arial" w:hAnsi="Arial" w:cs="Arial"/>
          <w:sz w:val="24"/>
          <w:szCs w:val="24"/>
        </w:rPr>
        <w:t xml:space="preserve"> the post judgment enforcement orders</w:t>
      </w:r>
      <w:r w:rsidR="00DD623F" w:rsidRPr="006672D9">
        <w:rPr>
          <w:rFonts w:ascii="Arial" w:eastAsia="Arial" w:hAnsi="Arial" w:cs="Arial"/>
          <w:sz w:val="24"/>
          <w:szCs w:val="24"/>
        </w:rPr>
        <w:t xml:space="preserve">, read cumulatively, constitute a final and binding money judgment. </w:t>
      </w:r>
      <w:r w:rsidR="00D644A1" w:rsidRPr="006672D9">
        <w:rPr>
          <w:rFonts w:ascii="Arial" w:eastAsia="Arial" w:hAnsi="Arial" w:cs="Arial"/>
          <w:sz w:val="24"/>
          <w:szCs w:val="24"/>
        </w:rPr>
        <w:t>They contended that</w:t>
      </w:r>
      <w:r w:rsidR="008B0EC0" w:rsidRPr="006672D9">
        <w:rPr>
          <w:rFonts w:ascii="Arial" w:eastAsia="Arial" w:hAnsi="Arial" w:cs="Arial"/>
          <w:sz w:val="24"/>
          <w:szCs w:val="24"/>
        </w:rPr>
        <w:t>, by operation of law</w:t>
      </w:r>
      <w:r w:rsidR="00EB7B5C" w:rsidRPr="006672D9">
        <w:rPr>
          <w:rFonts w:ascii="Arial" w:eastAsia="Arial" w:hAnsi="Arial" w:cs="Arial"/>
          <w:sz w:val="24"/>
          <w:szCs w:val="24"/>
        </w:rPr>
        <w:t>,</w:t>
      </w:r>
      <w:r w:rsidR="008B0EC0" w:rsidRPr="006672D9">
        <w:rPr>
          <w:rFonts w:ascii="Arial" w:eastAsia="Arial" w:hAnsi="Arial" w:cs="Arial"/>
          <w:sz w:val="24"/>
          <w:szCs w:val="24"/>
        </w:rPr>
        <w:t xml:space="preserve"> the judgment was enforceable in the same manner as a ‘money Judgment for the value of the Shares’</w:t>
      </w:r>
      <w:r w:rsidR="00DD623F" w:rsidRPr="006672D9">
        <w:rPr>
          <w:rFonts w:ascii="Arial" w:eastAsia="Arial" w:hAnsi="Arial" w:cs="Arial"/>
          <w:sz w:val="24"/>
          <w:szCs w:val="24"/>
        </w:rPr>
        <w:t xml:space="preserve">, as </w:t>
      </w:r>
      <w:r w:rsidR="00D644A1" w:rsidRPr="006672D9">
        <w:rPr>
          <w:rFonts w:ascii="Arial" w:eastAsia="Arial" w:hAnsi="Arial" w:cs="Arial"/>
          <w:sz w:val="24"/>
          <w:szCs w:val="24"/>
        </w:rPr>
        <w:t>i</w:t>
      </w:r>
      <w:r w:rsidR="00DD623F" w:rsidRPr="006672D9">
        <w:rPr>
          <w:rFonts w:ascii="Arial" w:eastAsia="Arial" w:hAnsi="Arial" w:cs="Arial"/>
          <w:sz w:val="24"/>
          <w:szCs w:val="24"/>
        </w:rPr>
        <w:t xml:space="preserve">t was converted </w:t>
      </w:r>
      <w:r w:rsidR="00D644A1" w:rsidRPr="006672D9">
        <w:rPr>
          <w:rFonts w:ascii="Arial" w:eastAsia="Arial" w:hAnsi="Arial" w:cs="Arial"/>
          <w:sz w:val="24"/>
          <w:szCs w:val="24"/>
        </w:rPr>
        <w:t>in</w:t>
      </w:r>
      <w:r w:rsidR="00DD623F" w:rsidRPr="006672D9">
        <w:rPr>
          <w:rFonts w:ascii="Arial" w:eastAsia="Arial" w:hAnsi="Arial" w:cs="Arial"/>
          <w:sz w:val="24"/>
          <w:szCs w:val="24"/>
        </w:rPr>
        <w:t>to a liquid and executable money judgment under the laws of California</w:t>
      </w:r>
      <w:r w:rsidR="008B0EC0" w:rsidRPr="006672D9">
        <w:rPr>
          <w:rFonts w:ascii="Arial" w:eastAsia="Arial" w:hAnsi="Arial" w:cs="Arial"/>
          <w:sz w:val="24"/>
          <w:szCs w:val="24"/>
        </w:rPr>
        <w:t xml:space="preserve">. </w:t>
      </w:r>
      <w:r w:rsidR="00DD623F" w:rsidRPr="006672D9">
        <w:rPr>
          <w:rFonts w:ascii="Arial" w:eastAsia="Arial" w:hAnsi="Arial" w:cs="Arial"/>
          <w:sz w:val="24"/>
          <w:szCs w:val="24"/>
        </w:rPr>
        <w:t xml:space="preserve">In the result, the writ of execution issued to enforce the judgment constitutes a court order and as such the </w:t>
      </w:r>
      <w:r w:rsidR="00D40117" w:rsidRPr="006672D9">
        <w:rPr>
          <w:rFonts w:ascii="Arial" w:eastAsia="Arial" w:hAnsi="Arial" w:cs="Arial"/>
          <w:sz w:val="24"/>
          <w:szCs w:val="24"/>
        </w:rPr>
        <w:t xml:space="preserve">non-payment </w:t>
      </w:r>
      <w:r w:rsidR="00DD623F" w:rsidRPr="006672D9">
        <w:rPr>
          <w:rFonts w:ascii="Arial" w:eastAsia="Arial" w:hAnsi="Arial" w:cs="Arial"/>
          <w:sz w:val="24"/>
          <w:szCs w:val="24"/>
        </w:rPr>
        <w:t xml:space="preserve">thereof enabled </w:t>
      </w:r>
      <w:r w:rsidR="00D40117" w:rsidRPr="006672D9">
        <w:rPr>
          <w:rFonts w:ascii="Arial" w:eastAsia="Arial" w:hAnsi="Arial" w:cs="Arial"/>
          <w:sz w:val="24"/>
          <w:szCs w:val="24"/>
        </w:rPr>
        <w:t>the appellant</w:t>
      </w:r>
      <w:r w:rsidR="00AD489D" w:rsidRPr="006672D9">
        <w:rPr>
          <w:rFonts w:ascii="Arial" w:eastAsia="Arial" w:hAnsi="Arial" w:cs="Arial"/>
          <w:sz w:val="24"/>
          <w:szCs w:val="24"/>
        </w:rPr>
        <w:t>s</w:t>
      </w:r>
      <w:r w:rsidR="00D40117" w:rsidRPr="006672D9">
        <w:rPr>
          <w:rFonts w:ascii="Arial" w:eastAsia="Arial" w:hAnsi="Arial" w:cs="Arial"/>
          <w:sz w:val="24"/>
          <w:szCs w:val="24"/>
        </w:rPr>
        <w:t xml:space="preserve"> </w:t>
      </w:r>
      <w:r w:rsidR="00DD623F" w:rsidRPr="006672D9">
        <w:rPr>
          <w:rFonts w:ascii="Arial" w:eastAsia="Arial" w:hAnsi="Arial" w:cs="Arial"/>
          <w:sz w:val="24"/>
          <w:szCs w:val="24"/>
        </w:rPr>
        <w:t>to seek</w:t>
      </w:r>
      <w:r w:rsidR="00D40117" w:rsidRPr="006672D9">
        <w:rPr>
          <w:rFonts w:ascii="Arial" w:eastAsia="Arial" w:hAnsi="Arial" w:cs="Arial"/>
          <w:sz w:val="24"/>
          <w:szCs w:val="24"/>
        </w:rPr>
        <w:t xml:space="preserve"> </w:t>
      </w:r>
      <w:r w:rsidR="008B0EC0" w:rsidRPr="006672D9">
        <w:rPr>
          <w:rFonts w:ascii="Arial" w:eastAsia="Arial" w:hAnsi="Arial" w:cs="Arial"/>
          <w:sz w:val="24"/>
          <w:szCs w:val="24"/>
        </w:rPr>
        <w:t>provisional sentence</w:t>
      </w:r>
      <w:r w:rsidR="00D40117" w:rsidRPr="006672D9">
        <w:rPr>
          <w:rFonts w:ascii="Arial" w:eastAsia="Arial" w:hAnsi="Arial" w:cs="Arial"/>
          <w:sz w:val="24"/>
          <w:szCs w:val="24"/>
        </w:rPr>
        <w:t>.</w:t>
      </w:r>
    </w:p>
    <w:p w14:paraId="3C941770" w14:textId="77777777" w:rsidR="00DF1375" w:rsidRPr="006672D9" w:rsidRDefault="00DF1375" w:rsidP="00237073">
      <w:pPr>
        <w:pStyle w:val="Normal1"/>
        <w:spacing w:after="0" w:line="360" w:lineRule="auto"/>
        <w:jc w:val="both"/>
        <w:rPr>
          <w:rFonts w:ascii="Arial" w:eastAsia="Arial" w:hAnsi="Arial" w:cs="Arial"/>
          <w:sz w:val="24"/>
          <w:szCs w:val="24"/>
        </w:rPr>
      </w:pPr>
    </w:p>
    <w:p w14:paraId="18540911" w14:textId="7B53DD5B" w:rsidR="00482E1A" w:rsidRPr="006672D9" w:rsidRDefault="005F62B7" w:rsidP="005F62B7">
      <w:pPr>
        <w:pStyle w:val="Normal1"/>
        <w:spacing w:after="0" w:line="360" w:lineRule="auto"/>
        <w:jc w:val="both"/>
        <w:rPr>
          <w:rFonts w:ascii="Arial" w:eastAsia="Arial" w:hAnsi="Arial" w:cs="Arial"/>
          <w:sz w:val="24"/>
          <w:szCs w:val="24"/>
        </w:rPr>
        <w:pPrChange w:id="15" w:author="Mary Bruce" w:date="2024-02-06T15:46:00Z">
          <w:pPr>
            <w:pStyle w:val="Normal1"/>
            <w:numPr>
              <w:numId w:val="2"/>
            </w:numPr>
            <w:spacing w:after="0" w:line="360" w:lineRule="auto"/>
            <w:jc w:val="both"/>
          </w:pPr>
        </w:pPrChange>
      </w:pPr>
      <w:r w:rsidRPr="006672D9">
        <w:rPr>
          <w:rFonts w:ascii="Arial" w:eastAsia="Arial" w:hAnsi="Arial" w:cs="Arial"/>
          <w:sz w:val="24"/>
          <w:szCs w:val="24"/>
        </w:rPr>
        <w:t>[15]</w:t>
      </w:r>
      <w:r w:rsidRPr="006672D9">
        <w:rPr>
          <w:rFonts w:ascii="Arial" w:eastAsia="Arial" w:hAnsi="Arial" w:cs="Arial"/>
          <w:sz w:val="24"/>
          <w:szCs w:val="24"/>
        </w:rPr>
        <w:tab/>
      </w:r>
      <w:r w:rsidR="00D644A1" w:rsidRPr="006672D9">
        <w:rPr>
          <w:rFonts w:ascii="Arial" w:eastAsia="Arial" w:hAnsi="Arial" w:cs="Arial"/>
          <w:sz w:val="24"/>
          <w:szCs w:val="24"/>
        </w:rPr>
        <w:t xml:space="preserve">In </w:t>
      </w:r>
      <w:r w:rsidR="00597FF7" w:rsidRPr="006672D9">
        <w:rPr>
          <w:rFonts w:ascii="Arial" w:eastAsia="Arial" w:hAnsi="Arial" w:cs="Arial"/>
          <w:sz w:val="24"/>
          <w:szCs w:val="24"/>
        </w:rPr>
        <w:t>the provisional sentence proceedings before the high court</w:t>
      </w:r>
      <w:r w:rsidR="00D644A1" w:rsidRPr="006672D9">
        <w:rPr>
          <w:rFonts w:ascii="Arial" w:eastAsia="Arial" w:hAnsi="Arial" w:cs="Arial"/>
          <w:sz w:val="24"/>
          <w:szCs w:val="24"/>
        </w:rPr>
        <w:t>,</w:t>
      </w:r>
      <w:r w:rsidR="00597FF7" w:rsidRPr="006672D9">
        <w:rPr>
          <w:rFonts w:ascii="Arial" w:eastAsia="Arial" w:hAnsi="Arial" w:cs="Arial"/>
          <w:sz w:val="24"/>
          <w:szCs w:val="24"/>
        </w:rPr>
        <w:t xml:space="preserve"> an affidavit by the US attorney for the appellant</w:t>
      </w:r>
      <w:r w:rsidR="00AD489D" w:rsidRPr="006672D9">
        <w:rPr>
          <w:rFonts w:ascii="Arial" w:eastAsia="Arial" w:hAnsi="Arial" w:cs="Arial"/>
          <w:sz w:val="24"/>
          <w:szCs w:val="24"/>
        </w:rPr>
        <w:t>s</w:t>
      </w:r>
      <w:r w:rsidR="00597FF7" w:rsidRPr="006672D9">
        <w:rPr>
          <w:rFonts w:ascii="Arial" w:eastAsia="Arial" w:hAnsi="Arial" w:cs="Arial"/>
          <w:sz w:val="24"/>
          <w:szCs w:val="24"/>
        </w:rPr>
        <w:t>, Mr Dillion</w:t>
      </w:r>
      <w:r w:rsidR="00AD489D" w:rsidRPr="006672D9">
        <w:rPr>
          <w:rFonts w:ascii="Arial" w:eastAsia="Arial" w:hAnsi="Arial" w:cs="Arial"/>
          <w:sz w:val="24"/>
          <w:szCs w:val="24"/>
        </w:rPr>
        <w:t>,</w:t>
      </w:r>
      <w:r w:rsidR="00597FF7" w:rsidRPr="006672D9">
        <w:rPr>
          <w:rFonts w:ascii="Arial" w:eastAsia="Arial" w:hAnsi="Arial" w:cs="Arial"/>
          <w:sz w:val="24"/>
          <w:szCs w:val="24"/>
        </w:rPr>
        <w:t xml:space="preserve"> was placed before the court. Mr Dillion proceeded</w:t>
      </w:r>
      <w:r w:rsidR="00A94A2C" w:rsidRPr="006672D9">
        <w:rPr>
          <w:rFonts w:ascii="Arial" w:eastAsia="Arial" w:hAnsi="Arial" w:cs="Arial"/>
          <w:sz w:val="24"/>
          <w:szCs w:val="24"/>
        </w:rPr>
        <w:t xml:space="preserve"> to clarify the procedural law </w:t>
      </w:r>
      <w:r w:rsidR="00597FF7" w:rsidRPr="006672D9">
        <w:rPr>
          <w:rFonts w:ascii="Arial" w:eastAsia="Arial" w:hAnsi="Arial" w:cs="Arial"/>
          <w:sz w:val="24"/>
          <w:szCs w:val="24"/>
        </w:rPr>
        <w:t>and enforcem</w:t>
      </w:r>
      <w:r w:rsidR="00A94A2C" w:rsidRPr="006672D9">
        <w:rPr>
          <w:rFonts w:ascii="Arial" w:eastAsia="Arial" w:hAnsi="Arial" w:cs="Arial"/>
          <w:sz w:val="24"/>
          <w:szCs w:val="24"/>
        </w:rPr>
        <w:t>ent procedures in respect of th</w:t>
      </w:r>
      <w:r w:rsidR="00482E1A" w:rsidRPr="006672D9">
        <w:rPr>
          <w:rFonts w:ascii="Arial" w:eastAsia="Arial" w:hAnsi="Arial" w:cs="Arial"/>
          <w:sz w:val="24"/>
          <w:szCs w:val="24"/>
        </w:rPr>
        <w:t>e</w:t>
      </w:r>
      <w:r w:rsidR="00597FF7" w:rsidRPr="006672D9">
        <w:rPr>
          <w:rFonts w:ascii="Arial" w:eastAsia="Arial" w:hAnsi="Arial" w:cs="Arial"/>
          <w:sz w:val="24"/>
          <w:szCs w:val="24"/>
        </w:rPr>
        <w:t xml:space="preserve"> relevant </w:t>
      </w:r>
      <w:r w:rsidR="00482E1A" w:rsidRPr="006672D9">
        <w:rPr>
          <w:rFonts w:ascii="Arial" w:eastAsia="Arial" w:hAnsi="Arial" w:cs="Arial"/>
          <w:sz w:val="24"/>
          <w:szCs w:val="24"/>
        </w:rPr>
        <w:t xml:space="preserve">parts of the </w:t>
      </w:r>
      <w:r w:rsidR="00954474" w:rsidRPr="006672D9">
        <w:rPr>
          <w:rFonts w:ascii="Arial" w:eastAsia="Arial" w:hAnsi="Arial" w:cs="Arial"/>
          <w:sz w:val="24"/>
          <w:szCs w:val="24"/>
        </w:rPr>
        <w:t xml:space="preserve">Californian Civil </w:t>
      </w:r>
      <w:r w:rsidR="00597FF7" w:rsidRPr="006672D9">
        <w:rPr>
          <w:rFonts w:ascii="Arial" w:eastAsia="Arial" w:hAnsi="Arial" w:cs="Arial"/>
          <w:sz w:val="24"/>
          <w:szCs w:val="24"/>
        </w:rPr>
        <w:t xml:space="preserve">Code of Procedure </w:t>
      </w:r>
      <w:r w:rsidR="007D1A84" w:rsidRPr="006672D9">
        <w:rPr>
          <w:rFonts w:ascii="Arial" w:eastAsia="Arial" w:hAnsi="Arial" w:cs="Arial"/>
          <w:sz w:val="24"/>
          <w:szCs w:val="24"/>
        </w:rPr>
        <w:t xml:space="preserve">(CCCP) </w:t>
      </w:r>
      <w:r w:rsidR="00482E1A" w:rsidRPr="006672D9">
        <w:rPr>
          <w:rFonts w:ascii="Arial" w:eastAsia="Arial" w:hAnsi="Arial" w:cs="Arial"/>
          <w:sz w:val="24"/>
          <w:szCs w:val="24"/>
        </w:rPr>
        <w:t>which were</w:t>
      </w:r>
      <w:r w:rsidR="00A94A2C" w:rsidRPr="006672D9">
        <w:rPr>
          <w:rFonts w:ascii="Arial" w:eastAsia="Arial" w:hAnsi="Arial" w:cs="Arial"/>
          <w:sz w:val="24"/>
          <w:szCs w:val="24"/>
        </w:rPr>
        <w:t xml:space="preserve"> applicable</w:t>
      </w:r>
      <w:r w:rsidR="00A205E5" w:rsidRPr="006672D9">
        <w:rPr>
          <w:rFonts w:ascii="Arial" w:eastAsia="Arial" w:hAnsi="Arial" w:cs="Arial"/>
          <w:sz w:val="24"/>
          <w:szCs w:val="24"/>
        </w:rPr>
        <w:t>. He stated</w:t>
      </w:r>
      <w:r w:rsidR="00482E1A" w:rsidRPr="006672D9">
        <w:rPr>
          <w:rFonts w:ascii="Arial" w:eastAsia="Arial" w:hAnsi="Arial" w:cs="Arial"/>
          <w:sz w:val="24"/>
          <w:szCs w:val="24"/>
        </w:rPr>
        <w:t>:</w:t>
      </w:r>
    </w:p>
    <w:p w14:paraId="6AECA1CC" w14:textId="77777777" w:rsidR="007D6C99" w:rsidRPr="006672D9" w:rsidRDefault="00482E1A" w:rsidP="00237073">
      <w:pPr>
        <w:pStyle w:val="Normal1"/>
        <w:spacing w:after="0" w:line="360" w:lineRule="auto"/>
        <w:jc w:val="both"/>
        <w:rPr>
          <w:rFonts w:ascii="Arial" w:eastAsia="Arial" w:hAnsi="Arial" w:cs="Arial"/>
        </w:rPr>
      </w:pPr>
      <w:r w:rsidRPr="006672D9">
        <w:rPr>
          <w:rFonts w:ascii="Arial" w:eastAsia="Arial" w:hAnsi="Arial" w:cs="Arial"/>
        </w:rPr>
        <w:t>‘Pursuant to the Judgments the Plaintiffs caused to be issued under CCCP 712.010 and executed by the Court, a writ of possession requiring the levying officer to take possession of the shares from the Defendants and to turn over the shares to the Plaintiffs. The writ was duly served. The Defendants failed to turn over the shares to the Plaintiffs.</w:t>
      </w:r>
      <w:r w:rsidR="007D6C99" w:rsidRPr="006672D9">
        <w:rPr>
          <w:rFonts w:ascii="Arial" w:eastAsia="Arial" w:hAnsi="Arial" w:cs="Arial"/>
        </w:rPr>
        <w:t xml:space="preserve"> The Sheriff sought to make demand upon [the Defendants] who evaded service. The shares could not be taken into custody, the levying officer so stating in his return. </w:t>
      </w:r>
    </w:p>
    <w:p w14:paraId="1307FA09" w14:textId="77777777" w:rsidR="007D6C99" w:rsidRPr="006672D9" w:rsidRDefault="007D6C99" w:rsidP="00237073">
      <w:pPr>
        <w:pStyle w:val="Normal1"/>
        <w:spacing w:after="0" w:line="360" w:lineRule="auto"/>
        <w:jc w:val="both"/>
        <w:rPr>
          <w:rFonts w:ascii="Arial" w:eastAsia="Arial" w:hAnsi="Arial" w:cs="Arial"/>
        </w:rPr>
      </w:pPr>
      <w:r w:rsidRPr="006672D9">
        <w:rPr>
          <w:rFonts w:ascii="Arial" w:eastAsia="Arial" w:hAnsi="Arial" w:cs="Arial"/>
        </w:rPr>
        <w:t xml:space="preserve">. . . </w:t>
      </w:r>
    </w:p>
    <w:p w14:paraId="340FE68A" w14:textId="77777777" w:rsidR="007D6C99" w:rsidRPr="006672D9" w:rsidRDefault="007D6C99" w:rsidP="00237073">
      <w:pPr>
        <w:pStyle w:val="Normal1"/>
        <w:spacing w:after="0" w:line="360" w:lineRule="auto"/>
        <w:jc w:val="both"/>
        <w:rPr>
          <w:rFonts w:ascii="Arial" w:eastAsia="Arial" w:hAnsi="Arial" w:cs="Arial"/>
        </w:rPr>
      </w:pPr>
      <w:r w:rsidRPr="006672D9">
        <w:rPr>
          <w:rFonts w:ascii="Arial" w:eastAsia="Arial" w:hAnsi="Arial" w:cs="Arial"/>
        </w:rPr>
        <w:t xml:space="preserve">Such endeavours of evasion of service “NOT FOUND” under California Law satisfy the requirements of Code 714.020(b) in that the Defendant, Mr Conteh, could not be found, and custody of the shares could not be obtained. </w:t>
      </w:r>
    </w:p>
    <w:p w14:paraId="610C099B" w14:textId="77777777" w:rsidR="007D6C99" w:rsidRPr="006672D9" w:rsidRDefault="007D6C99" w:rsidP="00237073">
      <w:pPr>
        <w:pStyle w:val="Normal1"/>
        <w:spacing w:after="0" w:line="360" w:lineRule="auto"/>
        <w:jc w:val="both"/>
        <w:rPr>
          <w:rFonts w:ascii="Arial" w:eastAsia="Arial" w:hAnsi="Arial" w:cs="Arial"/>
        </w:rPr>
      </w:pPr>
      <w:r w:rsidRPr="006672D9">
        <w:rPr>
          <w:rFonts w:ascii="Arial" w:eastAsia="Arial" w:hAnsi="Arial" w:cs="Arial"/>
        </w:rPr>
        <w:lastRenderedPageBreak/>
        <w:t>Thereupon, as aforesaid by operation of the law the Judgments become enforceable in the same manner as a money Judgment for the value of the shares as specified in the supplemental order . . . according to CCCP 3289(b).</w:t>
      </w:r>
    </w:p>
    <w:p w14:paraId="25D97878" w14:textId="77777777" w:rsidR="00FE7873" w:rsidRPr="006672D9" w:rsidRDefault="007D6C99" w:rsidP="00237073">
      <w:pPr>
        <w:pStyle w:val="Normal1"/>
        <w:spacing w:after="0" w:line="360" w:lineRule="auto"/>
        <w:jc w:val="both"/>
        <w:rPr>
          <w:rFonts w:ascii="Arial" w:eastAsia="Arial" w:hAnsi="Arial" w:cs="Arial"/>
        </w:rPr>
      </w:pPr>
      <w:r w:rsidRPr="006672D9">
        <w:rPr>
          <w:rFonts w:ascii="Arial" w:eastAsia="Arial" w:hAnsi="Arial" w:cs="Arial"/>
        </w:rPr>
        <w:t xml:space="preserve">As it was entitled to do, on February 28, 2017 the Plaintiffs procured that the Court issue a Writ of Execution . . . for the enforcement of the money Judgment </w:t>
      </w:r>
      <w:r w:rsidR="006D572E" w:rsidRPr="006672D9">
        <w:rPr>
          <w:rFonts w:ascii="Arial" w:eastAsia="Arial" w:hAnsi="Arial" w:cs="Arial"/>
        </w:rPr>
        <w:t xml:space="preserve">against the Defendant </w:t>
      </w:r>
      <w:r w:rsidRPr="006672D9">
        <w:rPr>
          <w:rFonts w:ascii="Arial" w:eastAsia="Arial" w:hAnsi="Arial" w:cs="Arial"/>
        </w:rPr>
        <w:t>. . .</w:t>
      </w:r>
      <w:r w:rsidR="006D572E" w:rsidRPr="006672D9">
        <w:rPr>
          <w:rFonts w:ascii="Arial" w:eastAsia="Arial" w:hAnsi="Arial" w:cs="Arial"/>
        </w:rPr>
        <w:t>’</w:t>
      </w:r>
    </w:p>
    <w:p w14:paraId="22EF626C" w14:textId="77777777" w:rsidR="004531F5" w:rsidRPr="006672D9" w:rsidRDefault="004531F5" w:rsidP="00237073">
      <w:pPr>
        <w:pStyle w:val="Normal1"/>
        <w:spacing w:after="0" w:line="360" w:lineRule="auto"/>
        <w:jc w:val="both"/>
        <w:rPr>
          <w:rFonts w:ascii="Arial" w:hAnsi="Arial" w:cs="Arial"/>
          <w:sz w:val="24"/>
          <w:szCs w:val="24"/>
        </w:rPr>
      </w:pPr>
    </w:p>
    <w:p w14:paraId="549F8002" w14:textId="36FF4DAE" w:rsidR="00FE7873" w:rsidRPr="006672D9" w:rsidRDefault="005F62B7" w:rsidP="005F62B7">
      <w:pPr>
        <w:pStyle w:val="Normal1"/>
        <w:spacing w:after="0" w:line="360" w:lineRule="auto"/>
        <w:jc w:val="both"/>
        <w:rPr>
          <w:rFonts w:ascii="Arial" w:eastAsia="Arial" w:hAnsi="Arial" w:cs="Arial"/>
          <w:sz w:val="24"/>
          <w:szCs w:val="24"/>
        </w:rPr>
        <w:pPrChange w:id="16" w:author="Mary Bruce" w:date="2024-02-06T15:46:00Z">
          <w:pPr>
            <w:pStyle w:val="Normal1"/>
            <w:numPr>
              <w:numId w:val="2"/>
            </w:numPr>
            <w:spacing w:after="0" w:line="360" w:lineRule="auto"/>
            <w:jc w:val="both"/>
          </w:pPr>
        </w:pPrChange>
      </w:pPr>
      <w:r w:rsidRPr="006672D9">
        <w:rPr>
          <w:rFonts w:ascii="Arial" w:eastAsia="Arial" w:hAnsi="Arial" w:cs="Arial"/>
          <w:sz w:val="24"/>
          <w:szCs w:val="24"/>
        </w:rPr>
        <w:t>[16]</w:t>
      </w:r>
      <w:r w:rsidRPr="006672D9">
        <w:rPr>
          <w:rFonts w:ascii="Arial" w:eastAsia="Arial" w:hAnsi="Arial" w:cs="Arial"/>
          <w:sz w:val="24"/>
          <w:szCs w:val="24"/>
        </w:rPr>
        <w:tab/>
      </w:r>
      <w:r w:rsidR="00D644A1" w:rsidRPr="006672D9">
        <w:rPr>
          <w:rFonts w:ascii="Arial" w:eastAsia="Arial" w:hAnsi="Arial" w:cs="Arial"/>
          <w:sz w:val="24"/>
          <w:szCs w:val="24"/>
        </w:rPr>
        <w:t>Mr Conteh</w:t>
      </w:r>
      <w:r w:rsidR="0080246F" w:rsidRPr="006672D9">
        <w:rPr>
          <w:rFonts w:ascii="Arial" w:eastAsia="Arial" w:hAnsi="Arial" w:cs="Arial"/>
          <w:sz w:val="24"/>
          <w:szCs w:val="24"/>
        </w:rPr>
        <w:t>’</w:t>
      </w:r>
      <w:r w:rsidR="00FE7873" w:rsidRPr="006672D9">
        <w:rPr>
          <w:rFonts w:ascii="Arial" w:eastAsia="Arial" w:hAnsi="Arial" w:cs="Arial"/>
          <w:sz w:val="24"/>
          <w:szCs w:val="24"/>
        </w:rPr>
        <w:t>s case was</w:t>
      </w:r>
      <w:r w:rsidR="00A205E5" w:rsidRPr="006672D9">
        <w:rPr>
          <w:rFonts w:ascii="Arial" w:eastAsia="Arial" w:hAnsi="Arial" w:cs="Arial"/>
          <w:sz w:val="24"/>
          <w:szCs w:val="24"/>
        </w:rPr>
        <w:t xml:space="preserve"> simply</w:t>
      </w:r>
      <w:r w:rsidR="00FE7873" w:rsidRPr="006672D9">
        <w:rPr>
          <w:rFonts w:ascii="Arial" w:eastAsia="Arial" w:hAnsi="Arial" w:cs="Arial"/>
          <w:sz w:val="24"/>
          <w:szCs w:val="24"/>
        </w:rPr>
        <w:t xml:space="preserve"> that the foreign judgment</w:t>
      </w:r>
      <w:r w:rsidR="00EB7B5C" w:rsidRPr="006672D9">
        <w:rPr>
          <w:rFonts w:ascii="Arial" w:eastAsia="Arial" w:hAnsi="Arial" w:cs="Arial"/>
          <w:sz w:val="24"/>
          <w:szCs w:val="24"/>
        </w:rPr>
        <w:t>,</w:t>
      </w:r>
      <w:r w:rsidR="00FE7873" w:rsidRPr="006672D9">
        <w:rPr>
          <w:rFonts w:ascii="Arial" w:eastAsia="Arial" w:hAnsi="Arial" w:cs="Arial"/>
          <w:sz w:val="24"/>
          <w:szCs w:val="24"/>
        </w:rPr>
        <w:t xml:space="preserve"> </w:t>
      </w:r>
      <w:r w:rsidR="00D315F0" w:rsidRPr="006672D9">
        <w:rPr>
          <w:rFonts w:ascii="Arial" w:eastAsia="Arial" w:hAnsi="Arial" w:cs="Arial"/>
          <w:sz w:val="24"/>
          <w:szCs w:val="24"/>
        </w:rPr>
        <w:t xml:space="preserve">whether individually or collectively </w:t>
      </w:r>
      <w:r w:rsidR="00EB7B5C" w:rsidRPr="006672D9">
        <w:rPr>
          <w:rFonts w:ascii="Arial" w:eastAsia="Arial" w:hAnsi="Arial" w:cs="Arial"/>
          <w:sz w:val="24"/>
          <w:szCs w:val="24"/>
        </w:rPr>
        <w:t xml:space="preserve">comprised, </w:t>
      </w:r>
      <w:r w:rsidR="00D315F0" w:rsidRPr="006672D9">
        <w:rPr>
          <w:rFonts w:ascii="Arial" w:eastAsia="Arial" w:hAnsi="Arial" w:cs="Arial"/>
          <w:sz w:val="24"/>
          <w:szCs w:val="24"/>
        </w:rPr>
        <w:t xml:space="preserve">did </w:t>
      </w:r>
      <w:r w:rsidR="00FE7873" w:rsidRPr="006672D9">
        <w:rPr>
          <w:rFonts w:ascii="Arial" w:eastAsia="Arial" w:hAnsi="Arial" w:cs="Arial"/>
          <w:sz w:val="24"/>
          <w:szCs w:val="24"/>
        </w:rPr>
        <w:t xml:space="preserve">not </w:t>
      </w:r>
      <w:r w:rsidR="00D315F0" w:rsidRPr="006672D9">
        <w:rPr>
          <w:rFonts w:ascii="Arial" w:eastAsia="Arial" w:hAnsi="Arial" w:cs="Arial"/>
          <w:sz w:val="24"/>
          <w:szCs w:val="24"/>
        </w:rPr>
        <w:t xml:space="preserve">constitute </w:t>
      </w:r>
      <w:r w:rsidR="00FE7873" w:rsidRPr="006672D9">
        <w:rPr>
          <w:rFonts w:ascii="Arial" w:eastAsia="Arial" w:hAnsi="Arial" w:cs="Arial"/>
          <w:sz w:val="24"/>
          <w:szCs w:val="24"/>
        </w:rPr>
        <w:t xml:space="preserve">a money judgment </w:t>
      </w:r>
      <w:r w:rsidR="001E6587">
        <w:rPr>
          <w:rFonts w:ascii="Arial" w:eastAsia="Arial" w:hAnsi="Arial" w:cs="Arial"/>
          <w:sz w:val="24"/>
          <w:szCs w:val="24"/>
        </w:rPr>
        <w:t>and, hence, not a liquid document</w:t>
      </w:r>
      <w:r w:rsidR="00D315F0" w:rsidRPr="006672D9">
        <w:rPr>
          <w:rFonts w:ascii="Arial" w:eastAsia="Arial" w:hAnsi="Arial" w:cs="Arial"/>
          <w:sz w:val="24"/>
          <w:szCs w:val="24"/>
        </w:rPr>
        <w:t xml:space="preserve">. What was before the courts </w:t>
      </w:r>
      <w:r w:rsidR="00FE7873" w:rsidRPr="006672D9">
        <w:rPr>
          <w:rFonts w:ascii="Arial" w:eastAsia="Arial" w:hAnsi="Arial" w:cs="Arial"/>
          <w:sz w:val="24"/>
          <w:szCs w:val="24"/>
        </w:rPr>
        <w:t>was merely a judgme</w:t>
      </w:r>
      <w:r w:rsidR="00D644A1" w:rsidRPr="006672D9">
        <w:rPr>
          <w:rFonts w:ascii="Arial" w:eastAsia="Arial" w:hAnsi="Arial" w:cs="Arial"/>
          <w:sz w:val="24"/>
          <w:szCs w:val="24"/>
        </w:rPr>
        <w:t>nt for the delivery of</w:t>
      </w:r>
      <w:r w:rsidR="00FE7873" w:rsidRPr="006672D9">
        <w:rPr>
          <w:rFonts w:ascii="Arial" w:eastAsia="Arial" w:hAnsi="Arial" w:cs="Arial"/>
          <w:sz w:val="24"/>
          <w:szCs w:val="24"/>
        </w:rPr>
        <w:t xml:space="preserve"> shares.</w:t>
      </w:r>
    </w:p>
    <w:p w14:paraId="05FE9E1A" w14:textId="77777777" w:rsidR="00EB7B5C" w:rsidRPr="006672D9" w:rsidRDefault="00EB7B5C" w:rsidP="00237073">
      <w:pPr>
        <w:pStyle w:val="Normal1"/>
        <w:spacing w:after="0" w:line="360" w:lineRule="auto"/>
        <w:jc w:val="both"/>
        <w:rPr>
          <w:rFonts w:ascii="Arial" w:eastAsia="Arial" w:hAnsi="Arial" w:cs="Arial"/>
          <w:sz w:val="24"/>
          <w:szCs w:val="24"/>
        </w:rPr>
      </w:pPr>
    </w:p>
    <w:p w14:paraId="140408F7" w14:textId="78B0F04A" w:rsidR="00FE7873" w:rsidRPr="006672D9" w:rsidRDefault="005F62B7" w:rsidP="005F62B7">
      <w:pPr>
        <w:pStyle w:val="Normal1"/>
        <w:spacing w:after="0" w:line="360" w:lineRule="auto"/>
        <w:jc w:val="both"/>
        <w:rPr>
          <w:rFonts w:ascii="Arial" w:eastAsia="Arial" w:hAnsi="Arial" w:cs="Arial"/>
          <w:sz w:val="24"/>
          <w:szCs w:val="24"/>
        </w:rPr>
        <w:pPrChange w:id="17" w:author="Mary Bruce" w:date="2024-02-06T15:46:00Z">
          <w:pPr>
            <w:pStyle w:val="Normal1"/>
            <w:numPr>
              <w:numId w:val="2"/>
            </w:numPr>
            <w:spacing w:after="0" w:line="360" w:lineRule="auto"/>
            <w:jc w:val="both"/>
          </w:pPr>
        </w:pPrChange>
      </w:pPr>
      <w:r w:rsidRPr="006672D9">
        <w:rPr>
          <w:rFonts w:ascii="Arial" w:eastAsia="Arial" w:hAnsi="Arial" w:cs="Arial"/>
          <w:sz w:val="24"/>
          <w:szCs w:val="24"/>
        </w:rPr>
        <w:t>[17]</w:t>
      </w:r>
      <w:r w:rsidRPr="006672D9">
        <w:rPr>
          <w:rFonts w:ascii="Arial" w:eastAsia="Arial" w:hAnsi="Arial" w:cs="Arial"/>
          <w:sz w:val="24"/>
          <w:szCs w:val="24"/>
        </w:rPr>
        <w:tab/>
      </w:r>
      <w:r w:rsidR="0080246F" w:rsidRPr="006672D9">
        <w:rPr>
          <w:rFonts w:ascii="Arial" w:eastAsia="Arial" w:hAnsi="Arial" w:cs="Arial"/>
          <w:sz w:val="24"/>
          <w:szCs w:val="24"/>
        </w:rPr>
        <w:t>T</w:t>
      </w:r>
      <w:r w:rsidR="00FF2EF7" w:rsidRPr="006672D9">
        <w:rPr>
          <w:rFonts w:ascii="Arial" w:eastAsia="Arial" w:hAnsi="Arial" w:cs="Arial"/>
          <w:sz w:val="24"/>
          <w:szCs w:val="24"/>
        </w:rPr>
        <w:t>h</w:t>
      </w:r>
      <w:r w:rsidR="00D644A1" w:rsidRPr="006672D9">
        <w:rPr>
          <w:rFonts w:ascii="Arial" w:eastAsia="Arial" w:hAnsi="Arial" w:cs="Arial"/>
          <w:sz w:val="24"/>
          <w:szCs w:val="24"/>
        </w:rPr>
        <w:t xml:space="preserve">e high court </w:t>
      </w:r>
      <w:r w:rsidR="00FF2EF7" w:rsidRPr="006672D9">
        <w:rPr>
          <w:rFonts w:ascii="Arial" w:eastAsia="Arial" w:hAnsi="Arial" w:cs="Arial"/>
          <w:sz w:val="24"/>
          <w:szCs w:val="24"/>
        </w:rPr>
        <w:t xml:space="preserve">found </w:t>
      </w:r>
      <w:r w:rsidR="00506F63" w:rsidRPr="006672D9">
        <w:rPr>
          <w:rFonts w:ascii="Arial" w:eastAsia="Arial" w:hAnsi="Arial" w:cs="Arial"/>
          <w:sz w:val="24"/>
          <w:szCs w:val="24"/>
        </w:rPr>
        <w:t xml:space="preserve">that the foreign judgment did not constitute </w:t>
      </w:r>
      <w:r w:rsidR="00506F63" w:rsidRPr="006672D9">
        <w:rPr>
          <w:rFonts w:ascii="Arial" w:eastAsia="Arial" w:hAnsi="Arial" w:cs="Arial"/>
          <w:i/>
          <w:sz w:val="24"/>
          <w:szCs w:val="24"/>
        </w:rPr>
        <w:t>prima facie</w:t>
      </w:r>
      <w:r w:rsidR="00506F63" w:rsidRPr="006672D9">
        <w:rPr>
          <w:rFonts w:ascii="Arial" w:eastAsia="Arial" w:hAnsi="Arial" w:cs="Arial"/>
          <w:sz w:val="24"/>
          <w:szCs w:val="24"/>
        </w:rPr>
        <w:t xml:space="preserve"> proof of a debt enforceable by provisional se</w:t>
      </w:r>
      <w:r w:rsidR="00D644A1" w:rsidRPr="006672D9">
        <w:rPr>
          <w:rFonts w:ascii="Arial" w:eastAsia="Arial" w:hAnsi="Arial" w:cs="Arial"/>
          <w:sz w:val="24"/>
          <w:szCs w:val="24"/>
        </w:rPr>
        <w:t>ntence and dismissed the application</w:t>
      </w:r>
      <w:r w:rsidR="00506F63" w:rsidRPr="006672D9">
        <w:rPr>
          <w:rFonts w:ascii="Arial" w:eastAsia="Arial" w:hAnsi="Arial" w:cs="Arial"/>
          <w:sz w:val="24"/>
          <w:szCs w:val="24"/>
        </w:rPr>
        <w:t xml:space="preserve"> for provisional sentence. The high </w:t>
      </w:r>
      <w:r w:rsidR="005F46D2" w:rsidRPr="006672D9">
        <w:rPr>
          <w:rFonts w:ascii="Arial" w:eastAsia="Arial" w:hAnsi="Arial" w:cs="Arial"/>
          <w:sz w:val="24"/>
          <w:szCs w:val="24"/>
        </w:rPr>
        <w:t xml:space="preserve">court </w:t>
      </w:r>
      <w:r w:rsidR="00506F63" w:rsidRPr="006672D9">
        <w:rPr>
          <w:rFonts w:ascii="Arial" w:eastAsia="Arial" w:hAnsi="Arial" w:cs="Arial"/>
          <w:sz w:val="24"/>
          <w:szCs w:val="24"/>
        </w:rPr>
        <w:t>reasoned that extrinsic evidence on California</w:t>
      </w:r>
      <w:r w:rsidR="0080246F" w:rsidRPr="006672D9">
        <w:rPr>
          <w:rFonts w:ascii="Arial" w:eastAsia="Arial" w:hAnsi="Arial" w:cs="Arial"/>
          <w:sz w:val="24"/>
          <w:szCs w:val="24"/>
        </w:rPr>
        <w:t>n</w:t>
      </w:r>
      <w:r w:rsidR="00506F63" w:rsidRPr="006672D9">
        <w:rPr>
          <w:rFonts w:ascii="Arial" w:eastAsia="Arial" w:hAnsi="Arial" w:cs="Arial"/>
          <w:sz w:val="24"/>
          <w:szCs w:val="24"/>
        </w:rPr>
        <w:t xml:space="preserve"> law was required </w:t>
      </w:r>
      <w:r w:rsidR="0064626A" w:rsidRPr="006672D9">
        <w:rPr>
          <w:rFonts w:ascii="Arial" w:eastAsia="Arial" w:hAnsi="Arial" w:cs="Arial"/>
          <w:sz w:val="24"/>
          <w:szCs w:val="24"/>
        </w:rPr>
        <w:t xml:space="preserve">to demonstrate that </w:t>
      </w:r>
      <w:r w:rsidR="00243CF0" w:rsidRPr="006672D9">
        <w:rPr>
          <w:rFonts w:ascii="Arial" w:eastAsia="Arial" w:hAnsi="Arial" w:cs="Arial"/>
          <w:sz w:val="24"/>
          <w:szCs w:val="24"/>
        </w:rPr>
        <w:t>there was a</w:t>
      </w:r>
      <w:r w:rsidR="005F46D2" w:rsidRPr="006672D9">
        <w:rPr>
          <w:rFonts w:ascii="Arial" w:eastAsia="Arial" w:hAnsi="Arial" w:cs="Arial"/>
          <w:sz w:val="24"/>
          <w:szCs w:val="24"/>
        </w:rPr>
        <w:t xml:space="preserve"> conversion of </w:t>
      </w:r>
      <w:r w:rsidR="0080246F" w:rsidRPr="006672D9">
        <w:rPr>
          <w:rFonts w:ascii="Arial" w:eastAsia="Arial" w:hAnsi="Arial" w:cs="Arial"/>
          <w:sz w:val="24"/>
          <w:szCs w:val="24"/>
        </w:rPr>
        <w:t xml:space="preserve">the </w:t>
      </w:r>
      <w:r w:rsidR="00243CF0" w:rsidRPr="006672D9">
        <w:rPr>
          <w:rFonts w:ascii="Arial" w:eastAsia="Arial" w:hAnsi="Arial" w:cs="Arial"/>
          <w:sz w:val="24"/>
          <w:szCs w:val="24"/>
        </w:rPr>
        <w:t>order</w:t>
      </w:r>
      <w:r w:rsidR="00E10044" w:rsidRPr="006672D9">
        <w:rPr>
          <w:rFonts w:ascii="Arial" w:eastAsia="Arial" w:hAnsi="Arial" w:cs="Arial"/>
          <w:sz w:val="24"/>
          <w:szCs w:val="24"/>
        </w:rPr>
        <w:t xml:space="preserve"> to turn </w:t>
      </w:r>
      <w:r w:rsidR="0080246F" w:rsidRPr="006672D9">
        <w:rPr>
          <w:rFonts w:ascii="Arial" w:eastAsia="Arial" w:hAnsi="Arial" w:cs="Arial"/>
          <w:sz w:val="24"/>
          <w:szCs w:val="24"/>
        </w:rPr>
        <w:t xml:space="preserve">the shares </w:t>
      </w:r>
      <w:r w:rsidR="00E10044" w:rsidRPr="006672D9">
        <w:rPr>
          <w:rFonts w:ascii="Arial" w:eastAsia="Arial" w:hAnsi="Arial" w:cs="Arial"/>
          <w:sz w:val="24"/>
          <w:szCs w:val="24"/>
        </w:rPr>
        <w:t xml:space="preserve">over </w:t>
      </w:r>
      <w:r w:rsidR="00382B50" w:rsidRPr="006672D9">
        <w:rPr>
          <w:rFonts w:ascii="Arial" w:eastAsia="Arial" w:hAnsi="Arial" w:cs="Arial"/>
          <w:sz w:val="24"/>
          <w:szCs w:val="24"/>
        </w:rPr>
        <w:t>in</w:t>
      </w:r>
      <w:r w:rsidR="00243CF0" w:rsidRPr="006672D9">
        <w:rPr>
          <w:rFonts w:ascii="Arial" w:eastAsia="Arial" w:hAnsi="Arial" w:cs="Arial"/>
          <w:sz w:val="24"/>
          <w:szCs w:val="24"/>
        </w:rPr>
        <w:t xml:space="preserve">to a debt in monetary terms, </w:t>
      </w:r>
      <w:r w:rsidR="002D2A92" w:rsidRPr="006672D9">
        <w:rPr>
          <w:rFonts w:ascii="Arial" w:eastAsia="Arial" w:hAnsi="Arial" w:cs="Arial"/>
          <w:sz w:val="24"/>
          <w:szCs w:val="24"/>
        </w:rPr>
        <w:t>which would</w:t>
      </w:r>
      <w:r w:rsidR="00A84CF0" w:rsidRPr="006672D9">
        <w:rPr>
          <w:rFonts w:ascii="Arial" w:eastAsia="Arial" w:hAnsi="Arial" w:cs="Arial"/>
          <w:sz w:val="24"/>
          <w:szCs w:val="24"/>
        </w:rPr>
        <w:t xml:space="preserve"> constitute</w:t>
      </w:r>
      <w:r w:rsidR="005F46D2" w:rsidRPr="006672D9">
        <w:rPr>
          <w:rFonts w:ascii="Arial" w:eastAsia="Arial" w:hAnsi="Arial" w:cs="Arial"/>
          <w:sz w:val="24"/>
          <w:szCs w:val="24"/>
        </w:rPr>
        <w:t xml:space="preserve"> a money judgment</w:t>
      </w:r>
      <w:r w:rsidR="00FE7873" w:rsidRPr="006672D9">
        <w:rPr>
          <w:rFonts w:ascii="Arial" w:eastAsia="Arial" w:hAnsi="Arial" w:cs="Arial"/>
          <w:sz w:val="24"/>
          <w:szCs w:val="24"/>
        </w:rPr>
        <w:t xml:space="preserve">. The high court found that </w:t>
      </w:r>
      <w:r w:rsidR="00654BAA" w:rsidRPr="006672D9">
        <w:rPr>
          <w:rFonts w:ascii="Arial" w:eastAsia="Arial" w:hAnsi="Arial" w:cs="Arial"/>
          <w:sz w:val="24"/>
          <w:szCs w:val="24"/>
        </w:rPr>
        <w:t xml:space="preserve">because </w:t>
      </w:r>
      <w:r w:rsidR="00FE7873" w:rsidRPr="006672D9">
        <w:rPr>
          <w:rFonts w:ascii="Arial" w:eastAsia="Arial" w:hAnsi="Arial" w:cs="Arial"/>
          <w:sz w:val="24"/>
          <w:szCs w:val="24"/>
        </w:rPr>
        <w:t>resort</w:t>
      </w:r>
      <w:r w:rsidR="002D2A92" w:rsidRPr="006672D9">
        <w:rPr>
          <w:rFonts w:ascii="Arial" w:eastAsia="Arial" w:hAnsi="Arial" w:cs="Arial"/>
          <w:sz w:val="24"/>
          <w:szCs w:val="24"/>
        </w:rPr>
        <w:t>ing</w:t>
      </w:r>
      <w:r w:rsidR="00FE7873" w:rsidRPr="006672D9">
        <w:rPr>
          <w:rFonts w:ascii="Arial" w:eastAsia="Arial" w:hAnsi="Arial" w:cs="Arial"/>
          <w:sz w:val="24"/>
          <w:szCs w:val="24"/>
        </w:rPr>
        <w:t xml:space="preserve"> to </w:t>
      </w:r>
      <w:r w:rsidR="005F46D2" w:rsidRPr="006672D9">
        <w:rPr>
          <w:rFonts w:ascii="Arial" w:eastAsia="Arial" w:hAnsi="Arial" w:cs="Arial"/>
          <w:sz w:val="24"/>
          <w:szCs w:val="24"/>
        </w:rPr>
        <w:t xml:space="preserve">such </w:t>
      </w:r>
      <w:r w:rsidR="00FE7873" w:rsidRPr="006672D9">
        <w:rPr>
          <w:rFonts w:ascii="Arial" w:eastAsia="Arial" w:hAnsi="Arial" w:cs="Arial"/>
          <w:sz w:val="24"/>
          <w:szCs w:val="24"/>
        </w:rPr>
        <w:t>extrinsic evidence</w:t>
      </w:r>
      <w:r w:rsidR="00A84CF0" w:rsidRPr="006672D9">
        <w:rPr>
          <w:rFonts w:ascii="Arial" w:eastAsia="Arial" w:hAnsi="Arial" w:cs="Arial"/>
          <w:sz w:val="24"/>
          <w:szCs w:val="24"/>
        </w:rPr>
        <w:t xml:space="preserve"> was needed</w:t>
      </w:r>
      <w:r w:rsidR="00FE7873" w:rsidRPr="006672D9">
        <w:rPr>
          <w:rFonts w:ascii="Arial" w:eastAsia="Arial" w:hAnsi="Arial" w:cs="Arial"/>
          <w:sz w:val="24"/>
          <w:szCs w:val="24"/>
        </w:rPr>
        <w:t xml:space="preserve">, </w:t>
      </w:r>
      <w:r w:rsidR="002D2A92" w:rsidRPr="006672D9">
        <w:rPr>
          <w:rFonts w:ascii="Arial" w:eastAsia="Arial" w:hAnsi="Arial" w:cs="Arial"/>
          <w:sz w:val="24"/>
          <w:szCs w:val="24"/>
        </w:rPr>
        <w:t>it</w:t>
      </w:r>
      <w:r w:rsidR="00382B50" w:rsidRPr="006672D9">
        <w:rPr>
          <w:rFonts w:ascii="Arial" w:eastAsia="Arial" w:hAnsi="Arial" w:cs="Arial"/>
          <w:sz w:val="24"/>
          <w:szCs w:val="24"/>
        </w:rPr>
        <w:t xml:space="preserve"> was contrary to</w:t>
      </w:r>
      <w:r w:rsidR="00B83907" w:rsidRPr="006672D9">
        <w:rPr>
          <w:rFonts w:ascii="Arial" w:eastAsia="Arial" w:hAnsi="Arial" w:cs="Arial"/>
          <w:sz w:val="24"/>
          <w:szCs w:val="24"/>
        </w:rPr>
        <w:t xml:space="preserve"> the</w:t>
      </w:r>
      <w:r w:rsidR="00382B50" w:rsidRPr="006672D9">
        <w:rPr>
          <w:rFonts w:ascii="Arial" w:eastAsia="Arial" w:hAnsi="Arial" w:cs="Arial"/>
          <w:sz w:val="24"/>
          <w:szCs w:val="24"/>
        </w:rPr>
        <w:t xml:space="preserve"> </w:t>
      </w:r>
      <w:r w:rsidR="00B83907" w:rsidRPr="006672D9">
        <w:rPr>
          <w:rFonts w:ascii="Arial" w:eastAsia="Arial" w:hAnsi="Arial" w:cs="Arial"/>
          <w:sz w:val="24"/>
          <w:szCs w:val="24"/>
        </w:rPr>
        <w:t>courts’ typically</w:t>
      </w:r>
      <w:r w:rsidR="00654BAA" w:rsidRPr="006672D9">
        <w:rPr>
          <w:rFonts w:ascii="Arial" w:eastAsia="Arial" w:hAnsi="Arial" w:cs="Arial"/>
          <w:sz w:val="24"/>
          <w:szCs w:val="24"/>
        </w:rPr>
        <w:t xml:space="preserve"> </w:t>
      </w:r>
      <w:r w:rsidR="00FE7873" w:rsidRPr="006672D9">
        <w:rPr>
          <w:rFonts w:ascii="Arial" w:eastAsia="Arial" w:hAnsi="Arial" w:cs="Arial"/>
          <w:sz w:val="24"/>
          <w:szCs w:val="24"/>
        </w:rPr>
        <w:t xml:space="preserve">strict </w:t>
      </w:r>
      <w:r w:rsidR="005F46D2" w:rsidRPr="006672D9">
        <w:rPr>
          <w:rFonts w:ascii="Arial" w:eastAsia="Arial" w:hAnsi="Arial" w:cs="Arial"/>
          <w:sz w:val="24"/>
          <w:szCs w:val="24"/>
        </w:rPr>
        <w:t>compli</w:t>
      </w:r>
      <w:r w:rsidR="00FE7873" w:rsidRPr="006672D9">
        <w:rPr>
          <w:rFonts w:ascii="Arial" w:eastAsia="Arial" w:hAnsi="Arial" w:cs="Arial"/>
          <w:sz w:val="24"/>
          <w:szCs w:val="24"/>
        </w:rPr>
        <w:t>ance</w:t>
      </w:r>
      <w:r w:rsidR="005F46D2" w:rsidRPr="006672D9">
        <w:rPr>
          <w:rFonts w:ascii="Arial" w:eastAsia="Arial" w:hAnsi="Arial" w:cs="Arial"/>
          <w:sz w:val="24"/>
          <w:szCs w:val="24"/>
        </w:rPr>
        <w:t xml:space="preserve"> with </w:t>
      </w:r>
      <w:r w:rsidR="009E728B" w:rsidRPr="006672D9">
        <w:rPr>
          <w:rFonts w:ascii="Arial" w:eastAsia="Arial" w:hAnsi="Arial" w:cs="Arial"/>
          <w:sz w:val="24"/>
          <w:szCs w:val="24"/>
        </w:rPr>
        <w:t xml:space="preserve">the requirements for </w:t>
      </w:r>
      <w:r w:rsidR="00E10044" w:rsidRPr="006672D9">
        <w:rPr>
          <w:rFonts w:ascii="Arial" w:eastAsia="Arial" w:hAnsi="Arial" w:cs="Arial"/>
          <w:sz w:val="24"/>
          <w:szCs w:val="24"/>
        </w:rPr>
        <w:t xml:space="preserve">the grant of </w:t>
      </w:r>
      <w:r w:rsidR="00654BAA" w:rsidRPr="006672D9">
        <w:rPr>
          <w:rFonts w:ascii="Arial" w:eastAsia="Arial" w:hAnsi="Arial" w:cs="Arial"/>
          <w:sz w:val="24"/>
          <w:szCs w:val="24"/>
        </w:rPr>
        <w:t>provisional sentence</w:t>
      </w:r>
      <w:r w:rsidR="0004534B" w:rsidRPr="006672D9">
        <w:rPr>
          <w:rFonts w:ascii="Arial" w:eastAsia="Arial" w:hAnsi="Arial" w:cs="Arial"/>
          <w:sz w:val="24"/>
          <w:szCs w:val="24"/>
        </w:rPr>
        <w:t>.</w:t>
      </w:r>
    </w:p>
    <w:p w14:paraId="79D8A413" w14:textId="77777777" w:rsidR="00EB7B5C" w:rsidRPr="006672D9" w:rsidRDefault="00EB7B5C" w:rsidP="00237073">
      <w:pPr>
        <w:pStyle w:val="Normal1"/>
        <w:spacing w:after="0" w:line="360" w:lineRule="auto"/>
        <w:jc w:val="both"/>
        <w:rPr>
          <w:rFonts w:ascii="Arial" w:eastAsia="Arial" w:hAnsi="Arial" w:cs="Arial"/>
          <w:b/>
          <w:sz w:val="24"/>
          <w:szCs w:val="24"/>
        </w:rPr>
      </w:pPr>
    </w:p>
    <w:p w14:paraId="071B5D86" w14:textId="77777777" w:rsidR="00EB7B5C" w:rsidRPr="006672D9" w:rsidRDefault="00EB7B5C" w:rsidP="00237073">
      <w:pPr>
        <w:pStyle w:val="Normal1"/>
        <w:spacing w:after="0" w:line="360" w:lineRule="auto"/>
        <w:jc w:val="both"/>
      </w:pPr>
      <w:r w:rsidRPr="006672D9">
        <w:rPr>
          <w:rFonts w:ascii="Arial" w:eastAsia="Arial" w:hAnsi="Arial" w:cs="Arial"/>
          <w:b/>
          <w:sz w:val="24"/>
          <w:szCs w:val="24"/>
        </w:rPr>
        <w:t>Provisional sentence</w:t>
      </w:r>
    </w:p>
    <w:p w14:paraId="3FDF9175" w14:textId="2CA608EB" w:rsidR="00486384" w:rsidRPr="006672D9" w:rsidRDefault="005F62B7" w:rsidP="005F62B7">
      <w:pPr>
        <w:pStyle w:val="Normal1"/>
        <w:spacing w:after="0" w:line="360" w:lineRule="auto"/>
        <w:jc w:val="both"/>
        <w:rPr>
          <w:rFonts w:ascii="Arial" w:eastAsia="Arial" w:hAnsi="Arial" w:cs="Arial"/>
          <w:sz w:val="24"/>
          <w:szCs w:val="24"/>
        </w:rPr>
        <w:pPrChange w:id="18" w:author="Mary Bruce" w:date="2024-02-06T15:46:00Z">
          <w:pPr>
            <w:pStyle w:val="Normal1"/>
            <w:numPr>
              <w:numId w:val="2"/>
            </w:numPr>
            <w:spacing w:after="0" w:line="360" w:lineRule="auto"/>
            <w:jc w:val="both"/>
          </w:pPr>
        </w:pPrChange>
      </w:pPr>
      <w:r w:rsidRPr="006672D9">
        <w:rPr>
          <w:rFonts w:ascii="Arial" w:eastAsia="Arial" w:hAnsi="Arial" w:cs="Arial"/>
          <w:sz w:val="24"/>
          <w:szCs w:val="24"/>
        </w:rPr>
        <w:t>[18]</w:t>
      </w:r>
      <w:r w:rsidRPr="006672D9">
        <w:rPr>
          <w:rFonts w:ascii="Arial" w:eastAsia="Arial" w:hAnsi="Arial" w:cs="Arial"/>
          <w:sz w:val="24"/>
          <w:szCs w:val="24"/>
        </w:rPr>
        <w:tab/>
      </w:r>
      <w:r w:rsidR="00486384" w:rsidRPr="006672D9">
        <w:rPr>
          <w:rFonts w:ascii="Arial" w:eastAsia="Arial" w:hAnsi="Arial" w:cs="Arial"/>
          <w:sz w:val="24"/>
          <w:szCs w:val="24"/>
        </w:rPr>
        <w:t>A foreign judgment is not directly enforceable in South Africa, but</w:t>
      </w:r>
      <w:r w:rsidR="001E6587">
        <w:rPr>
          <w:rFonts w:ascii="Arial" w:eastAsia="Arial" w:hAnsi="Arial" w:cs="Arial"/>
          <w:sz w:val="24"/>
          <w:szCs w:val="24"/>
        </w:rPr>
        <w:t xml:space="preserve">, as </w:t>
      </w:r>
      <w:r w:rsidR="001E6587">
        <w:rPr>
          <w:rFonts w:ascii="Arial" w:eastAsia="Arial" w:hAnsi="Arial" w:cs="Arial"/>
          <w:i/>
          <w:iCs/>
          <w:sz w:val="24"/>
          <w:szCs w:val="24"/>
        </w:rPr>
        <w:t>Jones</w:t>
      </w:r>
      <w:r w:rsidR="00E61446">
        <w:rPr>
          <w:rFonts w:ascii="Arial" w:eastAsia="Arial" w:hAnsi="Arial" w:cs="Arial"/>
          <w:i/>
          <w:iCs/>
          <w:sz w:val="24"/>
          <w:szCs w:val="24"/>
        </w:rPr>
        <w:t xml:space="preserve"> v Krok</w:t>
      </w:r>
      <w:r w:rsidR="001E6587">
        <w:rPr>
          <w:rFonts w:ascii="Arial" w:eastAsia="Arial" w:hAnsi="Arial" w:cs="Arial"/>
          <w:sz w:val="24"/>
          <w:szCs w:val="24"/>
        </w:rPr>
        <w:t xml:space="preserve"> </w:t>
      </w:r>
      <w:r w:rsidR="001D4E9D">
        <w:rPr>
          <w:rFonts w:ascii="Arial" w:eastAsia="Arial" w:hAnsi="Arial" w:cs="Arial"/>
          <w:sz w:val="24"/>
          <w:szCs w:val="24"/>
        </w:rPr>
        <w:t>(</w:t>
      </w:r>
      <w:r w:rsidR="001D4E9D" w:rsidRPr="00C62D6C">
        <w:rPr>
          <w:rFonts w:ascii="Arial" w:eastAsia="Arial" w:hAnsi="Arial" w:cs="Arial"/>
          <w:i/>
          <w:sz w:val="24"/>
          <w:szCs w:val="24"/>
        </w:rPr>
        <w:t>Jones</w:t>
      </w:r>
      <w:r w:rsidR="001D4E9D">
        <w:rPr>
          <w:rFonts w:ascii="Arial" w:eastAsia="Arial" w:hAnsi="Arial" w:cs="Arial"/>
          <w:sz w:val="24"/>
          <w:szCs w:val="24"/>
        </w:rPr>
        <w:t xml:space="preserve">) </w:t>
      </w:r>
      <w:r w:rsidR="001E6587">
        <w:rPr>
          <w:rFonts w:ascii="Arial" w:eastAsia="Arial" w:hAnsi="Arial" w:cs="Arial"/>
          <w:sz w:val="24"/>
          <w:szCs w:val="24"/>
        </w:rPr>
        <w:t>has held,</w:t>
      </w:r>
      <w:r w:rsidR="00486384" w:rsidRPr="006672D9">
        <w:rPr>
          <w:rFonts w:ascii="Arial" w:eastAsia="Arial" w:hAnsi="Arial" w:cs="Arial"/>
          <w:sz w:val="24"/>
          <w:szCs w:val="24"/>
        </w:rPr>
        <w:t xml:space="preserve"> </w:t>
      </w:r>
      <w:r w:rsidR="00E61446">
        <w:rPr>
          <w:rFonts w:ascii="Arial" w:eastAsia="Arial" w:hAnsi="Arial" w:cs="Arial"/>
          <w:sz w:val="24"/>
          <w:szCs w:val="24"/>
        </w:rPr>
        <w:t xml:space="preserve">it </w:t>
      </w:r>
      <w:r w:rsidR="00486384" w:rsidRPr="006672D9">
        <w:rPr>
          <w:rFonts w:ascii="Arial" w:eastAsia="Arial" w:hAnsi="Arial" w:cs="Arial"/>
          <w:sz w:val="24"/>
          <w:szCs w:val="24"/>
        </w:rPr>
        <w:t>constitutes a cause of action and will be enforced by our courts provided:</w:t>
      </w:r>
    </w:p>
    <w:p w14:paraId="7EDBFCAF" w14:textId="77777777" w:rsidR="00486384" w:rsidRPr="006672D9" w:rsidRDefault="00A7014B" w:rsidP="00237073">
      <w:pPr>
        <w:pStyle w:val="Normal1"/>
        <w:spacing w:after="0" w:line="360" w:lineRule="auto"/>
        <w:jc w:val="both"/>
        <w:rPr>
          <w:rFonts w:ascii="Arial" w:eastAsia="Arial" w:hAnsi="Arial" w:cs="Arial"/>
        </w:rPr>
      </w:pPr>
      <w:r w:rsidRPr="006672D9">
        <w:rPr>
          <w:rFonts w:ascii="Arial" w:eastAsia="Arial" w:hAnsi="Arial" w:cs="Arial"/>
        </w:rPr>
        <w:t xml:space="preserve">‘(i) that the court which pronounced the judgment had jurisdiction to entertain the case according to the principles recognised by our law with reference to the jurisdiction of foreign courts (sometimes referred to as “international jurisdiction or competence”); (ii) that the judgment is final and conclusive in its effect and has not become superannuated; (iii) that the recognition and enforcement of the judgment by our courts would not be contrary to public policy; (iv) that the judgment was not obtained by fraudulent means; (v) that the judgment does not involve the enforcement of a penal or revenue law of the foreign state; and (vi) that enforcement of the judgment is not precluded by the provisions of the Protection of Businesses Act 99 of 1978, as amended. Apart from this, our courts will not go into the merits of the case </w:t>
      </w:r>
      <w:r w:rsidRPr="006672D9">
        <w:rPr>
          <w:rFonts w:ascii="Arial" w:eastAsia="Arial" w:hAnsi="Arial" w:cs="Arial"/>
        </w:rPr>
        <w:lastRenderedPageBreak/>
        <w:t>adjudicated upon by the foreign court and will not attempt to review or set aside its findings of fact or law.’</w:t>
      </w:r>
      <w:r w:rsidR="00486384" w:rsidRPr="006672D9">
        <w:rPr>
          <w:rStyle w:val="FootnoteReference"/>
          <w:rFonts w:ascii="Arial" w:eastAsia="Arial" w:hAnsi="Arial" w:cs="Arial"/>
        </w:rPr>
        <w:footnoteReference w:id="3"/>
      </w:r>
      <w:r w:rsidR="00486384" w:rsidRPr="006672D9">
        <w:rPr>
          <w:rFonts w:ascii="Arial" w:eastAsia="Arial" w:hAnsi="Arial" w:cs="Arial"/>
          <w:sz w:val="24"/>
          <w:szCs w:val="24"/>
        </w:rPr>
        <w:t xml:space="preserve"> </w:t>
      </w:r>
    </w:p>
    <w:p w14:paraId="5879B4D7" w14:textId="77777777" w:rsidR="00486384" w:rsidRPr="006672D9" w:rsidRDefault="00486384" w:rsidP="00237073">
      <w:pPr>
        <w:pStyle w:val="Normal1"/>
        <w:spacing w:after="0" w:line="360" w:lineRule="auto"/>
        <w:jc w:val="both"/>
        <w:rPr>
          <w:rFonts w:ascii="Arial" w:eastAsia="Arial" w:hAnsi="Arial" w:cs="Arial"/>
          <w:sz w:val="24"/>
          <w:szCs w:val="24"/>
        </w:rPr>
      </w:pPr>
    </w:p>
    <w:p w14:paraId="501B9244" w14:textId="122EE8CF" w:rsidR="006E142B" w:rsidRPr="006672D9" w:rsidRDefault="005F62B7" w:rsidP="005F62B7">
      <w:pPr>
        <w:pStyle w:val="Normal1"/>
        <w:spacing w:after="0" w:line="360" w:lineRule="auto"/>
        <w:jc w:val="both"/>
        <w:rPr>
          <w:rFonts w:ascii="Arial" w:eastAsia="Arial" w:hAnsi="Arial" w:cs="Arial"/>
          <w:sz w:val="24"/>
          <w:szCs w:val="24"/>
        </w:rPr>
        <w:pPrChange w:id="19" w:author="Mary Bruce" w:date="2024-02-06T15:46:00Z">
          <w:pPr>
            <w:pStyle w:val="Normal1"/>
            <w:numPr>
              <w:numId w:val="2"/>
            </w:numPr>
            <w:spacing w:after="0" w:line="360" w:lineRule="auto"/>
            <w:jc w:val="both"/>
          </w:pPr>
        </w:pPrChange>
      </w:pPr>
      <w:r w:rsidRPr="006672D9">
        <w:rPr>
          <w:rFonts w:ascii="Arial" w:eastAsia="Arial" w:hAnsi="Arial" w:cs="Arial"/>
          <w:sz w:val="24"/>
          <w:szCs w:val="24"/>
        </w:rPr>
        <w:t>[19]</w:t>
      </w:r>
      <w:r w:rsidRPr="006672D9">
        <w:rPr>
          <w:rFonts w:ascii="Arial" w:eastAsia="Arial" w:hAnsi="Arial" w:cs="Arial"/>
          <w:sz w:val="24"/>
          <w:szCs w:val="24"/>
        </w:rPr>
        <w:tab/>
      </w:r>
      <w:r w:rsidR="0054268A" w:rsidRPr="006672D9">
        <w:rPr>
          <w:rFonts w:ascii="Arial" w:eastAsia="Arial" w:hAnsi="Arial" w:cs="Arial"/>
          <w:sz w:val="24"/>
          <w:szCs w:val="24"/>
        </w:rPr>
        <w:t>P</w:t>
      </w:r>
      <w:r w:rsidR="0004158D" w:rsidRPr="006672D9">
        <w:rPr>
          <w:rFonts w:ascii="Arial" w:eastAsia="Arial" w:hAnsi="Arial" w:cs="Arial"/>
          <w:sz w:val="24"/>
          <w:szCs w:val="24"/>
        </w:rPr>
        <w:t xml:space="preserve">rovisional sentence is </w:t>
      </w:r>
      <w:r w:rsidR="0054268A" w:rsidRPr="006672D9">
        <w:rPr>
          <w:rFonts w:ascii="Arial" w:eastAsia="Arial" w:hAnsi="Arial" w:cs="Arial"/>
          <w:sz w:val="24"/>
          <w:szCs w:val="24"/>
        </w:rPr>
        <w:t>a</w:t>
      </w:r>
      <w:r w:rsidR="00B36EBE" w:rsidRPr="006672D9">
        <w:rPr>
          <w:rFonts w:ascii="Arial" w:eastAsia="Arial" w:hAnsi="Arial" w:cs="Arial"/>
          <w:sz w:val="24"/>
          <w:szCs w:val="24"/>
        </w:rPr>
        <w:t xml:space="preserve"> summary </w:t>
      </w:r>
      <w:r w:rsidR="0004158D" w:rsidRPr="006672D9">
        <w:rPr>
          <w:rFonts w:ascii="Arial" w:eastAsia="Arial" w:hAnsi="Arial" w:cs="Arial"/>
          <w:sz w:val="24"/>
          <w:szCs w:val="24"/>
        </w:rPr>
        <w:t>remedy</w:t>
      </w:r>
      <w:r w:rsidR="00B36EBE" w:rsidRPr="006672D9">
        <w:rPr>
          <w:rFonts w:ascii="Arial" w:eastAsia="Arial" w:hAnsi="Arial" w:cs="Arial"/>
          <w:sz w:val="24"/>
          <w:szCs w:val="24"/>
        </w:rPr>
        <w:t xml:space="preserve"> that speedily enables a creditor </w:t>
      </w:r>
      <w:r w:rsidR="00D2224A" w:rsidRPr="006672D9">
        <w:rPr>
          <w:rFonts w:ascii="Arial" w:eastAsia="Arial" w:hAnsi="Arial" w:cs="Arial"/>
          <w:sz w:val="24"/>
          <w:szCs w:val="24"/>
        </w:rPr>
        <w:t>armed with a liquid docume</w:t>
      </w:r>
      <w:r w:rsidR="0054268A" w:rsidRPr="006672D9">
        <w:rPr>
          <w:rFonts w:ascii="Arial" w:eastAsia="Arial" w:hAnsi="Arial" w:cs="Arial"/>
          <w:sz w:val="24"/>
          <w:szCs w:val="24"/>
        </w:rPr>
        <w:t xml:space="preserve">nt </w:t>
      </w:r>
      <w:r w:rsidR="00D2224A" w:rsidRPr="006672D9">
        <w:rPr>
          <w:rFonts w:ascii="Arial" w:eastAsia="Arial" w:hAnsi="Arial" w:cs="Arial"/>
          <w:sz w:val="24"/>
          <w:szCs w:val="24"/>
        </w:rPr>
        <w:t xml:space="preserve">to attain relief without </w:t>
      </w:r>
      <w:r w:rsidR="0054268A" w:rsidRPr="006672D9">
        <w:rPr>
          <w:rFonts w:ascii="Arial" w:eastAsia="Arial" w:hAnsi="Arial" w:cs="Arial"/>
          <w:sz w:val="24"/>
          <w:szCs w:val="24"/>
        </w:rPr>
        <w:t>bringing a trial</w:t>
      </w:r>
      <w:r w:rsidR="00D2224A" w:rsidRPr="006672D9">
        <w:rPr>
          <w:rFonts w:ascii="Arial" w:eastAsia="Arial" w:hAnsi="Arial" w:cs="Arial"/>
          <w:sz w:val="24"/>
          <w:szCs w:val="24"/>
        </w:rPr>
        <w:t xml:space="preserve"> action</w:t>
      </w:r>
      <w:r w:rsidR="00D15415" w:rsidRPr="006672D9">
        <w:rPr>
          <w:rFonts w:ascii="Arial" w:eastAsia="Arial" w:hAnsi="Arial" w:cs="Arial"/>
          <w:sz w:val="24"/>
          <w:szCs w:val="24"/>
        </w:rPr>
        <w:t>.</w:t>
      </w:r>
      <w:r w:rsidR="00615476" w:rsidRPr="006672D9">
        <w:rPr>
          <w:rStyle w:val="FootnoteReference"/>
          <w:rFonts w:ascii="Arial" w:eastAsia="Arial" w:hAnsi="Arial" w:cs="Arial"/>
          <w:sz w:val="24"/>
          <w:szCs w:val="24"/>
        </w:rPr>
        <w:footnoteReference w:id="4"/>
      </w:r>
      <w:r w:rsidR="00D2224A" w:rsidRPr="006672D9">
        <w:rPr>
          <w:rFonts w:ascii="Arial" w:eastAsia="Arial" w:hAnsi="Arial" w:cs="Arial"/>
          <w:sz w:val="24"/>
          <w:szCs w:val="24"/>
        </w:rPr>
        <w:t xml:space="preserve"> </w:t>
      </w:r>
      <w:r w:rsidR="0054268A" w:rsidRPr="006672D9">
        <w:rPr>
          <w:rFonts w:ascii="Arial" w:eastAsia="Arial" w:hAnsi="Arial" w:cs="Arial"/>
          <w:sz w:val="24"/>
          <w:szCs w:val="24"/>
        </w:rPr>
        <w:t xml:space="preserve">In addition, provisional sentence is one of the recognised procedures for the enforcement of a foreign judgment </w:t>
      </w:r>
      <w:r w:rsidR="001E6587">
        <w:rPr>
          <w:rFonts w:ascii="Arial" w:eastAsia="Arial" w:hAnsi="Arial" w:cs="Arial"/>
          <w:sz w:val="24"/>
          <w:szCs w:val="24"/>
        </w:rPr>
        <w:t xml:space="preserve">in </w:t>
      </w:r>
      <w:r w:rsidR="0054268A" w:rsidRPr="006672D9">
        <w:rPr>
          <w:rFonts w:ascii="Arial" w:eastAsia="Arial" w:hAnsi="Arial" w:cs="Arial"/>
          <w:sz w:val="24"/>
          <w:szCs w:val="24"/>
        </w:rPr>
        <w:t xml:space="preserve">our courts. This </w:t>
      </w:r>
      <w:r w:rsidR="00D2224A" w:rsidRPr="006672D9">
        <w:rPr>
          <w:rFonts w:ascii="Arial" w:eastAsia="Arial" w:hAnsi="Arial" w:cs="Arial"/>
          <w:sz w:val="24"/>
          <w:szCs w:val="24"/>
        </w:rPr>
        <w:t xml:space="preserve">remedy is provisional in nature, and a final judgment </w:t>
      </w:r>
      <w:r w:rsidR="0054268A" w:rsidRPr="006672D9">
        <w:rPr>
          <w:rFonts w:ascii="Arial" w:eastAsia="Arial" w:hAnsi="Arial" w:cs="Arial"/>
          <w:sz w:val="24"/>
          <w:szCs w:val="24"/>
        </w:rPr>
        <w:t xml:space="preserve">may </w:t>
      </w:r>
      <w:r w:rsidR="00D2224A" w:rsidRPr="006672D9">
        <w:rPr>
          <w:rFonts w:ascii="Arial" w:eastAsia="Arial" w:hAnsi="Arial" w:cs="Arial"/>
          <w:sz w:val="24"/>
          <w:szCs w:val="24"/>
        </w:rPr>
        <w:t>still be rendered in the princip</w:t>
      </w:r>
      <w:r w:rsidR="00924AF8" w:rsidRPr="006672D9">
        <w:rPr>
          <w:rFonts w:ascii="Arial" w:eastAsia="Arial" w:hAnsi="Arial" w:cs="Arial"/>
          <w:sz w:val="24"/>
          <w:szCs w:val="24"/>
        </w:rPr>
        <w:t>al</w:t>
      </w:r>
      <w:r w:rsidR="00D2224A" w:rsidRPr="006672D9">
        <w:rPr>
          <w:rFonts w:ascii="Arial" w:eastAsia="Arial" w:hAnsi="Arial" w:cs="Arial"/>
          <w:sz w:val="24"/>
          <w:szCs w:val="24"/>
        </w:rPr>
        <w:t xml:space="preserve"> case</w:t>
      </w:r>
      <w:r w:rsidR="00D15415" w:rsidRPr="006672D9">
        <w:rPr>
          <w:rFonts w:ascii="Arial" w:eastAsia="Arial" w:hAnsi="Arial" w:cs="Arial"/>
          <w:sz w:val="24"/>
          <w:szCs w:val="24"/>
        </w:rPr>
        <w:t>.</w:t>
      </w:r>
      <w:r w:rsidR="00D15415" w:rsidRPr="006672D9">
        <w:rPr>
          <w:rStyle w:val="FootnoteReference"/>
          <w:rFonts w:ascii="Arial" w:eastAsia="Arial" w:hAnsi="Arial" w:cs="Arial"/>
          <w:sz w:val="24"/>
          <w:szCs w:val="24"/>
        </w:rPr>
        <w:footnoteReference w:id="5"/>
      </w:r>
      <w:r w:rsidR="00D2224A" w:rsidRPr="006672D9">
        <w:rPr>
          <w:rFonts w:ascii="Arial" w:eastAsia="Arial" w:hAnsi="Arial" w:cs="Arial"/>
          <w:sz w:val="24"/>
          <w:szCs w:val="24"/>
        </w:rPr>
        <w:t xml:space="preserve"> A further feature</w:t>
      </w:r>
      <w:r w:rsidR="001E2DB0">
        <w:rPr>
          <w:rFonts w:ascii="Arial" w:eastAsia="Arial" w:hAnsi="Arial" w:cs="Arial"/>
          <w:sz w:val="24"/>
          <w:szCs w:val="24"/>
        </w:rPr>
        <w:t xml:space="preserve"> of this procedure</w:t>
      </w:r>
      <w:r w:rsidR="00D2224A" w:rsidRPr="006672D9">
        <w:rPr>
          <w:rFonts w:ascii="Arial" w:eastAsia="Arial" w:hAnsi="Arial" w:cs="Arial"/>
          <w:sz w:val="24"/>
          <w:szCs w:val="24"/>
        </w:rPr>
        <w:t xml:space="preserve"> is that although t</w:t>
      </w:r>
      <w:r w:rsidR="00FB172D" w:rsidRPr="006672D9">
        <w:rPr>
          <w:rFonts w:ascii="Arial" w:eastAsia="Arial" w:hAnsi="Arial" w:cs="Arial"/>
          <w:sz w:val="24"/>
          <w:szCs w:val="24"/>
        </w:rPr>
        <w:t xml:space="preserve">his remedy </w:t>
      </w:r>
      <w:r w:rsidR="001E2DB0">
        <w:rPr>
          <w:rFonts w:ascii="Arial" w:eastAsia="Arial" w:hAnsi="Arial" w:cs="Arial"/>
          <w:sz w:val="24"/>
          <w:szCs w:val="24"/>
        </w:rPr>
        <w:t>advantages</w:t>
      </w:r>
      <w:r w:rsidR="00FB172D" w:rsidRPr="006672D9">
        <w:rPr>
          <w:rFonts w:ascii="Arial" w:eastAsia="Arial" w:hAnsi="Arial" w:cs="Arial"/>
          <w:sz w:val="24"/>
          <w:szCs w:val="24"/>
        </w:rPr>
        <w:t xml:space="preserve"> a creditor</w:t>
      </w:r>
      <w:r w:rsidR="00615476" w:rsidRPr="006672D9">
        <w:rPr>
          <w:rFonts w:ascii="Arial" w:eastAsia="Arial" w:hAnsi="Arial" w:cs="Arial"/>
          <w:sz w:val="24"/>
          <w:szCs w:val="24"/>
        </w:rPr>
        <w:t>,</w:t>
      </w:r>
      <w:r w:rsidR="00FB172D" w:rsidRPr="006672D9">
        <w:rPr>
          <w:rFonts w:ascii="Arial" w:eastAsia="Arial" w:hAnsi="Arial" w:cs="Arial"/>
          <w:sz w:val="24"/>
          <w:szCs w:val="24"/>
        </w:rPr>
        <w:t xml:space="preserve"> the debtor/defendant is afforded an opportunity to insist on security being paid</w:t>
      </w:r>
      <w:r w:rsidR="001E2DB0">
        <w:rPr>
          <w:rFonts w:ascii="Arial" w:eastAsia="Arial" w:hAnsi="Arial" w:cs="Arial"/>
          <w:sz w:val="24"/>
          <w:szCs w:val="24"/>
        </w:rPr>
        <w:t>,</w:t>
      </w:r>
      <w:r w:rsidR="00FB172D" w:rsidRPr="006672D9">
        <w:rPr>
          <w:rFonts w:ascii="Arial" w:eastAsia="Arial" w:hAnsi="Arial" w:cs="Arial"/>
          <w:sz w:val="24"/>
          <w:szCs w:val="24"/>
        </w:rPr>
        <w:t xml:space="preserve"> pending the final </w:t>
      </w:r>
      <w:r w:rsidR="001E2DB0">
        <w:rPr>
          <w:rFonts w:ascii="Arial" w:eastAsia="Arial" w:hAnsi="Arial" w:cs="Arial"/>
          <w:sz w:val="24"/>
          <w:szCs w:val="24"/>
        </w:rPr>
        <w:t>judgment</w:t>
      </w:r>
      <w:r w:rsidR="00E614F0">
        <w:rPr>
          <w:rFonts w:ascii="Arial" w:eastAsia="Arial" w:hAnsi="Arial" w:cs="Arial"/>
          <w:sz w:val="24"/>
          <w:szCs w:val="24"/>
        </w:rPr>
        <w:t>.</w:t>
      </w:r>
      <w:r w:rsidR="00FB172D" w:rsidRPr="006672D9">
        <w:rPr>
          <w:rStyle w:val="FootnoteReference"/>
          <w:rFonts w:ascii="Arial" w:eastAsia="Arial" w:hAnsi="Arial" w:cs="Arial"/>
          <w:sz w:val="24"/>
          <w:szCs w:val="24"/>
        </w:rPr>
        <w:footnoteReference w:id="6"/>
      </w:r>
    </w:p>
    <w:p w14:paraId="4CC725B3" w14:textId="77777777" w:rsidR="00EB7B5C" w:rsidRPr="006672D9" w:rsidRDefault="00EB7B5C" w:rsidP="00237073">
      <w:pPr>
        <w:pStyle w:val="Normal1"/>
        <w:spacing w:after="0" w:line="360" w:lineRule="auto"/>
        <w:jc w:val="both"/>
        <w:rPr>
          <w:rFonts w:ascii="Arial" w:eastAsia="Arial" w:hAnsi="Arial" w:cs="Arial"/>
          <w:sz w:val="24"/>
          <w:szCs w:val="24"/>
        </w:rPr>
      </w:pPr>
    </w:p>
    <w:p w14:paraId="0EFE2C8E" w14:textId="3B7BA9D3" w:rsidR="00786DD5" w:rsidRPr="006672D9" w:rsidRDefault="005F62B7" w:rsidP="005F62B7">
      <w:pPr>
        <w:pStyle w:val="Normal1"/>
        <w:spacing w:after="0" w:line="360" w:lineRule="auto"/>
        <w:jc w:val="both"/>
        <w:rPr>
          <w:rFonts w:ascii="Arial" w:eastAsia="Arial" w:hAnsi="Arial" w:cs="Arial"/>
          <w:sz w:val="24"/>
          <w:szCs w:val="24"/>
        </w:rPr>
        <w:pPrChange w:id="20" w:author="Mary Bruce" w:date="2024-02-06T15:46:00Z">
          <w:pPr>
            <w:pStyle w:val="Normal1"/>
            <w:numPr>
              <w:numId w:val="2"/>
            </w:numPr>
            <w:spacing w:after="0" w:line="360" w:lineRule="auto"/>
            <w:jc w:val="both"/>
          </w:pPr>
        </w:pPrChange>
      </w:pPr>
      <w:r w:rsidRPr="006672D9">
        <w:rPr>
          <w:rFonts w:ascii="Arial" w:eastAsia="Arial" w:hAnsi="Arial" w:cs="Arial"/>
          <w:sz w:val="24"/>
          <w:szCs w:val="24"/>
        </w:rPr>
        <w:t>[20]</w:t>
      </w:r>
      <w:r w:rsidRPr="006672D9">
        <w:rPr>
          <w:rFonts w:ascii="Arial" w:eastAsia="Arial" w:hAnsi="Arial" w:cs="Arial"/>
          <w:sz w:val="24"/>
          <w:szCs w:val="24"/>
        </w:rPr>
        <w:tab/>
      </w:r>
      <w:r w:rsidR="00EB7B5C" w:rsidRPr="006672D9">
        <w:rPr>
          <w:rFonts w:ascii="Arial" w:hAnsi="Arial" w:cs="Arial"/>
          <w:sz w:val="24"/>
          <w:szCs w:val="24"/>
        </w:rPr>
        <w:t xml:space="preserve">In </w:t>
      </w:r>
      <w:r w:rsidR="00EB7B5C" w:rsidRPr="006672D9">
        <w:rPr>
          <w:rFonts w:ascii="Arial" w:hAnsi="Arial" w:cs="Arial"/>
          <w:i/>
          <w:sz w:val="24"/>
          <w:szCs w:val="24"/>
        </w:rPr>
        <w:t>Harrowsmith v Ceres Flats (Pty) Ltd</w:t>
      </w:r>
      <w:r w:rsidR="00EB7B5C" w:rsidRPr="006672D9">
        <w:rPr>
          <w:rFonts w:ascii="Arial" w:hAnsi="Arial" w:cs="Arial"/>
          <w:sz w:val="24"/>
          <w:szCs w:val="24"/>
        </w:rPr>
        <w:t>, the court elucidated the provisional sentence proceedings as follows:</w:t>
      </w:r>
      <w:r w:rsidR="00EB7B5C" w:rsidRPr="006672D9">
        <w:rPr>
          <w:rStyle w:val="FootnoteReference"/>
          <w:rFonts w:ascii="Arial" w:hAnsi="Arial" w:cs="Arial"/>
          <w:sz w:val="24"/>
          <w:szCs w:val="24"/>
        </w:rPr>
        <w:footnoteReference w:id="7"/>
      </w:r>
    </w:p>
    <w:p w14:paraId="480005F9" w14:textId="77777777" w:rsidR="00EB7B5C" w:rsidRPr="006672D9" w:rsidRDefault="00EB7B5C" w:rsidP="00237073">
      <w:pPr>
        <w:pStyle w:val="Normal1"/>
        <w:spacing w:after="0" w:line="360" w:lineRule="auto"/>
        <w:jc w:val="both"/>
        <w:rPr>
          <w:rFonts w:ascii="Arial" w:hAnsi="Arial" w:cs="Arial"/>
        </w:rPr>
      </w:pPr>
      <w:r w:rsidRPr="006672D9">
        <w:rPr>
          <w:rFonts w:ascii="Arial" w:hAnsi="Arial" w:cs="Arial"/>
        </w:rPr>
        <w:t>‘The theory behind provisional sentence is that it is granted on the presumption of the genuineness and the legal validity of the documents produced to the Court. The Court is provisionally satisfied that the creditor will succeed in the principal suit. The debt disclosed in the documents must therefore be unconditional and liquid (zuiwer en klaar of liquid).’</w:t>
      </w:r>
    </w:p>
    <w:p w14:paraId="43F1F8C0" w14:textId="77777777" w:rsidR="00EB7B5C" w:rsidRPr="006672D9" w:rsidRDefault="00EB7B5C" w:rsidP="00237073">
      <w:pPr>
        <w:pStyle w:val="ListParagraph"/>
        <w:spacing w:after="0" w:line="360" w:lineRule="auto"/>
        <w:rPr>
          <w:rFonts w:ascii="Arial" w:eastAsia="Arial" w:hAnsi="Arial" w:cs="Arial"/>
          <w:sz w:val="24"/>
          <w:szCs w:val="24"/>
        </w:rPr>
      </w:pPr>
    </w:p>
    <w:p w14:paraId="34E0A8AE" w14:textId="6AAE4AE2" w:rsidR="00234995" w:rsidRPr="006672D9" w:rsidRDefault="005F62B7" w:rsidP="005F62B7">
      <w:pPr>
        <w:pStyle w:val="Normal1"/>
        <w:spacing w:after="0" w:line="360" w:lineRule="auto"/>
        <w:jc w:val="both"/>
        <w:rPr>
          <w:rFonts w:ascii="Arial" w:eastAsia="Arial" w:hAnsi="Arial" w:cs="Arial"/>
          <w:sz w:val="24"/>
          <w:szCs w:val="24"/>
        </w:rPr>
        <w:pPrChange w:id="21" w:author="Mary Bruce" w:date="2024-02-06T15:46:00Z">
          <w:pPr>
            <w:pStyle w:val="Normal1"/>
            <w:numPr>
              <w:numId w:val="2"/>
            </w:numPr>
            <w:spacing w:after="0" w:line="360" w:lineRule="auto"/>
            <w:jc w:val="both"/>
          </w:pPr>
        </w:pPrChange>
      </w:pPr>
      <w:r w:rsidRPr="006672D9">
        <w:rPr>
          <w:rFonts w:ascii="Arial" w:eastAsia="Arial" w:hAnsi="Arial" w:cs="Arial"/>
          <w:sz w:val="24"/>
          <w:szCs w:val="24"/>
        </w:rPr>
        <w:t>[21]</w:t>
      </w:r>
      <w:r w:rsidRPr="006672D9">
        <w:rPr>
          <w:rFonts w:ascii="Arial" w:eastAsia="Arial" w:hAnsi="Arial" w:cs="Arial"/>
          <w:sz w:val="24"/>
          <w:szCs w:val="24"/>
        </w:rPr>
        <w:tab/>
      </w:r>
      <w:r w:rsidR="00637286" w:rsidRPr="006672D9">
        <w:rPr>
          <w:rFonts w:ascii="Arial" w:eastAsia="Arial" w:hAnsi="Arial" w:cs="Arial"/>
          <w:sz w:val="24"/>
          <w:szCs w:val="24"/>
        </w:rPr>
        <w:t xml:space="preserve">The proof </w:t>
      </w:r>
      <w:r w:rsidR="00DB72B1" w:rsidRPr="006672D9">
        <w:rPr>
          <w:rFonts w:ascii="Arial" w:eastAsia="Arial" w:hAnsi="Arial" w:cs="Arial"/>
          <w:sz w:val="24"/>
          <w:szCs w:val="24"/>
        </w:rPr>
        <w:t xml:space="preserve">that the plaintiff relies upon a liquid </w:t>
      </w:r>
      <w:r w:rsidR="00637286" w:rsidRPr="006672D9">
        <w:rPr>
          <w:rFonts w:ascii="Arial" w:eastAsia="Arial" w:hAnsi="Arial" w:cs="Arial"/>
          <w:sz w:val="24"/>
          <w:szCs w:val="24"/>
        </w:rPr>
        <w:t>document rests with the plaintiff</w:t>
      </w:r>
      <w:r w:rsidR="00B37952" w:rsidRPr="006672D9">
        <w:rPr>
          <w:rFonts w:ascii="Arial" w:eastAsia="Arial" w:hAnsi="Arial" w:cs="Arial"/>
          <w:sz w:val="24"/>
          <w:szCs w:val="24"/>
        </w:rPr>
        <w:t>;</w:t>
      </w:r>
      <w:r w:rsidR="00637286" w:rsidRPr="006672D9">
        <w:rPr>
          <w:rFonts w:ascii="Arial" w:eastAsia="Arial" w:hAnsi="Arial" w:cs="Arial"/>
          <w:sz w:val="24"/>
          <w:szCs w:val="24"/>
        </w:rPr>
        <w:t xml:space="preserve"> it must be a written instrument signed by the defendant acknowledging indebtedness unconditionally for a fixed</w:t>
      </w:r>
      <w:r w:rsidR="00DB72B1" w:rsidRPr="006672D9">
        <w:rPr>
          <w:rFonts w:ascii="Arial" w:eastAsia="Arial" w:hAnsi="Arial" w:cs="Arial"/>
          <w:sz w:val="24"/>
          <w:szCs w:val="24"/>
        </w:rPr>
        <w:t xml:space="preserve"> amount of money. The debt </w:t>
      </w:r>
      <w:r w:rsidR="00637286" w:rsidRPr="006672D9">
        <w:rPr>
          <w:rFonts w:ascii="Arial" w:eastAsia="Arial" w:hAnsi="Arial" w:cs="Arial"/>
          <w:sz w:val="24"/>
          <w:szCs w:val="24"/>
        </w:rPr>
        <w:t>must be fixed, definitive, sounding in money and evident on the face of the document relied upon. The document ought to ‘speak for itself’ and there must be an unequivoc</w:t>
      </w:r>
      <w:r w:rsidR="00DB72B1" w:rsidRPr="006672D9">
        <w:rPr>
          <w:rFonts w:ascii="Arial" w:eastAsia="Arial" w:hAnsi="Arial" w:cs="Arial"/>
          <w:sz w:val="24"/>
          <w:szCs w:val="24"/>
        </w:rPr>
        <w:t>al or unconditional</w:t>
      </w:r>
      <w:r w:rsidR="00637286" w:rsidRPr="006672D9">
        <w:rPr>
          <w:rFonts w:ascii="Arial" w:eastAsia="Arial" w:hAnsi="Arial" w:cs="Arial"/>
          <w:sz w:val="24"/>
          <w:szCs w:val="24"/>
        </w:rPr>
        <w:t xml:space="preserve"> acknowledgement of indebtedness.</w:t>
      </w:r>
      <w:r w:rsidR="00637286" w:rsidRPr="006672D9">
        <w:rPr>
          <w:rStyle w:val="FootnoteReference"/>
          <w:rFonts w:ascii="Arial" w:eastAsia="Arial" w:hAnsi="Arial" w:cs="Arial"/>
          <w:sz w:val="24"/>
          <w:szCs w:val="24"/>
        </w:rPr>
        <w:footnoteReference w:id="8"/>
      </w:r>
    </w:p>
    <w:p w14:paraId="29B3E744" w14:textId="77777777" w:rsidR="00EB7B5C" w:rsidRPr="006672D9" w:rsidRDefault="00EB7B5C" w:rsidP="00237073">
      <w:pPr>
        <w:pStyle w:val="Normal1"/>
        <w:spacing w:after="0" w:line="360" w:lineRule="auto"/>
        <w:jc w:val="both"/>
        <w:rPr>
          <w:rFonts w:ascii="Arial" w:eastAsia="Arial" w:hAnsi="Arial" w:cs="Arial"/>
          <w:sz w:val="24"/>
          <w:szCs w:val="24"/>
        </w:rPr>
      </w:pPr>
    </w:p>
    <w:p w14:paraId="75BBDD30" w14:textId="742FD93F" w:rsidR="00597940" w:rsidRPr="006672D9" w:rsidRDefault="005F62B7" w:rsidP="005F62B7">
      <w:pPr>
        <w:pStyle w:val="Normal1"/>
        <w:spacing w:after="0" w:line="360" w:lineRule="auto"/>
        <w:jc w:val="both"/>
        <w:rPr>
          <w:rFonts w:ascii="Arial" w:eastAsia="Arial" w:hAnsi="Arial" w:cs="Arial"/>
          <w:sz w:val="24"/>
          <w:szCs w:val="24"/>
        </w:rPr>
        <w:pPrChange w:id="22" w:author="Mary Bruce" w:date="2024-02-06T15:46:00Z">
          <w:pPr>
            <w:pStyle w:val="Normal1"/>
            <w:numPr>
              <w:numId w:val="2"/>
            </w:numPr>
            <w:spacing w:after="0" w:line="360" w:lineRule="auto"/>
            <w:jc w:val="both"/>
          </w:pPr>
        </w:pPrChange>
      </w:pPr>
      <w:r w:rsidRPr="006672D9">
        <w:rPr>
          <w:rFonts w:ascii="Arial" w:eastAsia="Arial" w:hAnsi="Arial" w:cs="Arial"/>
          <w:sz w:val="24"/>
          <w:szCs w:val="24"/>
        </w:rPr>
        <w:t>[22]</w:t>
      </w:r>
      <w:r w:rsidRPr="006672D9">
        <w:rPr>
          <w:rFonts w:ascii="Arial" w:eastAsia="Arial" w:hAnsi="Arial" w:cs="Arial"/>
          <w:sz w:val="24"/>
          <w:szCs w:val="24"/>
        </w:rPr>
        <w:tab/>
      </w:r>
      <w:r w:rsidR="00637286" w:rsidRPr="006672D9">
        <w:rPr>
          <w:rFonts w:ascii="Arial" w:eastAsia="Arial" w:hAnsi="Arial" w:cs="Arial"/>
          <w:sz w:val="24"/>
          <w:szCs w:val="24"/>
        </w:rPr>
        <w:t>Generally, the need for</w:t>
      </w:r>
      <w:r w:rsidR="00DB72B1" w:rsidRPr="006672D9">
        <w:rPr>
          <w:rFonts w:ascii="Arial" w:eastAsia="Arial" w:hAnsi="Arial" w:cs="Arial"/>
          <w:sz w:val="24"/>
          <w:szCs w:val="24"/>
        </w:rPr>
        <w:t xml:space="preserve"> extrinsic evidence nullifies</w:t>
      </w:r>
      <w:r w:rsidR="00637286" w:rsidRPr="006672D9">
        <w:rPr>
          <w:rFonts w:ascii="Arial" w:eastAsia="Arial" w:hAnsi="Arial" w:cs="Arial"/>
          <w:sz w:val="24"/>
          <w:szCs w:val="24"/>
        </w:rPr>
        <w:t xml:space="preserve"> liquidity</w:t>
      </w:r>
      <w:r w:rsidR="00DB72B1" w:rsidRPr="006672D9">
        <w:rPr>
          <w:rFonts w:ascii="Arial" w:eastAsia="Arial" w:hAnsi="Arial" w:cs="Arial"/>
          <w:sz w:val="24"/>
          <w:szCs w:val="24"/>
        </w:rPr>
        <w:t>. However,</w:t>
      </w:r>
      <w:r w:rsidR="007C199B" w:rsidRPr="006672D9">
        <w:rPr>
          <w:rFonts w:ascii="Arial" w:eastAsia="Arial" w:hAnsi="Arial" w:cs="Arial"/>
          <w:sz w:val="24"/>
          <w:szCs w:val="24"/>
        </w:rPr>
        <w:t xml:space="preserve"> the</w:t>
      </w:r>
      <w:r w:rsidR="00EE4916" w:rsidRPr="006672D9">
        <w:rPr>
          <w:rFonts w:ascii="Arial" w:eastAsia="Arial" w:hAnsi="Arial" w:cs="Arial"/>
          <w:sz w:val="24"/>
          <w:szCs w:val="24"/>
        </w:rPr>
        <w:t xml:space="preserve"> </w:t>
      </w:r>
      <w:r w:rsidR="00923B42" w:rsidRPr="006672D9">
        <w:rPr>
          <w:rFonts w:ascii="Arial" w:eastAsia="Arial" w:hAnsi="Arial" w:cs="Arial"/>
          <w:sz w:val="24"/>
          <w:szCs w:val="24"/>
        </w:rPr>
        <w:t xml:space="preserve">situation </w:t>
      </w:r>
      <w:r w:rsidR="00EE4916" w:rsidRPr="006672D9">
        <w:rPr>
          <w:rFonts w:ascii="Arial" w:eastAsia="Arial" w:hAnsi="Arial" w:cs="Arial"/>
          <w:sz w:val="24"/>
          <w:szCs w:val="24"/>
        </w:rPr>
        <w:t>has evolved over time</w:t>
      </w:r>
      <w:r w:rsidR="00BA5DCD">
        <w:rPr>
          <w:rFonts w:ascii="Arial" w:eastAsia="Arial" w:hAnsi="Arial" w:cs="Arial"/>
          <w:sz w:val="24"/>
          <w:szCs w:val="24"/>
        </w:rPr>
        <w:t>,</w:t>
      </w:r>
      <w:r w:rsidR="00EE4916" w:rsidRPr="006672D9">
        <w:rPr>
          <w:rFonts w:ascii="Arial" w:eastAsia="Arial" w:hAnsi="Arial" w:cs="Arial"/>
          <w:sz w:val="24"/>
          <w:szCs w:val="24"/>
        </w:rPr>
        <w:t xml:space="preserve"> </w:t>
      </w:r>
      <w:r w:rsidR="00923B42" w:rsidRPr="006672D9">
        <w:rPr>
          <w:rFonts w:ascii="Arial" w:eastAsia="Arial" w:hAnsi="Arial" w:cs="Arial"/>
          <w:sz w:val="24"/>
          <w:szCs w:val="24"/>
        </w:rPr>
        <w:t xml:space="preserve">and there has been a move away </w:t>
      </w:r>
      <w:r w:rsidR="00EE4916" w:rsidRPr="006672D9">
        <w:rPr>
          <w:rFonts w:ascii="Arial" w:eastAsia="Arial" w:hAnsi="Arial" w:cs="Arial"/>
          <w:sz w:val="24"/>
          <w:szCs w:val="24"/>
        </w:rPr>
        <w:t xml:space="preserve">from the stringent </w:t>
      </w:r>
      <w:r w:rsidR="00EE4916" w:rsidRPr="006672D9">
        <w:rPr>
          <w:rFonts w:ascii="Arial" w:eastAsia="Arial" w:hAnsi="Arial" w:cs="Arial"/>
          <w:sz w:val="24"/>
          <w:szCs w:val="24"/>
        </w:rPr>
        <w:lastRenderedPageBreak/>
        <w:t xml:space="preserve">principle of ‘the document </w:t>
      </w:r>
      <w:r w:rsidR="00B37952" w:rsidRPr="006672D9">
        <w:rPr>
          <w:rFonts w:ascii="Arial" w:eastAsia="Arial" w:hAnsi="Arial" w:cs="Arial"/>
          <w:sz w:val="24"/>
          <w:szCs w:val="24"/>
        </w:rPr>
        <w:t xml:space="preserve">must </w:t>
      </w:r>
      <w:r w:rsidR="00EE4916" w:rsidRPr="006672D9">
        <w:rPr>
          <w:rFonts w:ascii="Arial" w:eastAsia="Arial" w:hAnsi="Arial" w:cs="Arial"/>
          <w:sz w:val="24"/>
          <w:szCs w:val="24"/>
        </w:rPr>
        <w:t>speak for itself’</w:t>
      </w:r>
      <w:r w:rsidR="001D4E9D">
        <w:rPr>
          <w:rFonts w:ascii="Arial" w:eastAsia="Arial" w:hAnsi="Arial" w:cs="Arial"/>
          <w:sz w:val="24"/>
          <w:szCs w:val="24"/>
        </w:rPr>
        <w:t>.</w:t>
      </w:r>
      <w:r w:rsidR="00EE4916" w:rsidRPr="006672D9">
        <w:rPr>
          <w:rStyle w:val="FootnoteReference"/>
          <w:rFonts w:ascii="Arial" w:eastAsia="Arial" w:hAnsi="Arial" w:cs="Arial"/>
          <w:sz w:val="24"/>
          <w:szCs w:val="24"/>
        </w:rPr>
        <w:footnoteReference w:id="9"/>
      </w:r>
      <w:r w:rsidR="00BA5DCD">
        <w:rPr>
          <w:rFonts w:ascii="Arial" w:eastAsia="Arial" w:hAnsi="Arial" w:cs="Arial"/>
          <w:sz w:val="24"/>
          <w:szCs w:val="24"/>
        </w:rPr>
        <w:t xml:space="preserve"> As </w:t>
      </w:r>
      <w:r w:rsidR="00BA5DCD">
        <w:rPr>
          <w:rFonts w:ascii="Arial" w:eastAsia="Arial" w:hAnsi="Arial" w:cs="Arial"/>
          <w:i/>
          <w:iCs/>
          <w:sz w:val="24"/>
          <w:szCs w:val="24"/>
        </w:rPr>
        <w:t>Jones</w:t>
      </w:r>
      <w:r w:rsidR="00BA5DCD">
        <w:rPr>
          <w:rStyle w:val="FootnoteReference"/>
          <w:rFonts w:ascii="Arial" w:eastAsia="Arial" w:hAnsi="Arial" w:cs="Arial"/>
          <w:i/>
          <w:iCs/>
          <w:sz w:val="24"/>
          <w:szCs w:val="24"/>
        </w:rPr>
        <w:footnoteReference w:id="10"/>
      </w:r>
      <w:r w:rsidR="009B7841">
        <w:rPr>
          <w:rFonts w:ascii="Arial" w:eastAsia="Arial" w:hAnsi="Arial" w:cs="Arial"/>
          <w:sz w:val="24"/>
          <w:szCs w:val="24"/>
        </w:rPr>
        <w:t xml:space="preserve"> made plain, provisional sentence is one of the recognised procedures by recourse to which the enforcement of a foreign judgment in our courts may be effected. In order to make out a cause of action, the summons may need to traverse aspects of the law of the jurisdiction in which the judgment was given. There may thus be a need for some greater flexibility</w:t>
      </w:r>
      <w:r w:rsidR="00A953AE">
        <w:rPr>
          <w:rFonts w:ascii="Arial" w:eastAsia="Arial" w:hAnsi="Arial" w:cs="Arial"/>
          <w:sz w:val="24"/>
          <w:szCs w:val="24"/>
        </w:rPr>
        <w:t xml:space="preserve"> as to what evidence extrinsic to the foreign judgment itself may be permissible. </w:t>
      </w:r>
    </w:p>
    <w:p w14:paraId="43217133" w14:textId="77777777" w:rsidR="000D505B" w:rsidRPr="006672D9" w:rsidRDefault="000D505B" w:rsidP="00237073">
      <w:pPr>
        <w:pStyle w:val="Normal1"/>
        <w:spacing w:after="0" w:line="360" w:lineRule="auto"/>
        <w:jc w:val="both"/>
        <w:rPr>
          <w:rFonts w:ascii="Arial" w:eastAsia="Arial" w:hAnsi="Arial" w:cs="Arial"/>
          <w:sz w:val="24"/>
          <w:szCs w:val="24"/>
        </w:rPr>
      </w:pPr>
    </w:p>
    <w:p w14:paraId="7500879E" w14:textId="77777777" w:rsidR="006F5884" w:rsidRPr="006672D9" w:rsidRDefault="000D505B" w:rsidP="00237073">
      <w:pPr>
        <w:pStyle w:val="Normal1"/>
        <w:spacing w:after="0" w:line="360" w:lineRule="auto"/>
        <w:jc w:val="both"/>
        <w:rPr>
          <w:rFonts w:ascii="Arial" w:eastAsia="Arial" w:hAnsi="Arial" w:cs="Arial"/>
          <w:b/>
          <w:sz w:val="24"/>
          <w:szCs w:val="24"/>
        </w:rPr>
      </w:pPr>
      <w:r w:rsidRPr="006672D9">
        <w:rPr>
          <w:rFonts w:ascii="Arial" w:eastAsia="Arial" w:hAnsi="Arial" w:cs="Arial"/>
          <w:b/>
          <w:sz w:val="24"/>
          <w:szCs w:val="24"/>
        </w:rPr>
        <w:t xml:space="preserve">A </w:t>
      </w:r>
      <w:r w:rsidR="009C497F" w:rsidRPr="006672D9">
        <w:rPr>
          <w:rFonts w:ascii="Arial" w:eastAsia="Arial" w:hAnsi="Arial" w:cs="Arial"/>
          <w:b/>
          <w:sz w:val="24"/>
          <w:szCs w:val="24"/>
        </w:rPr>
        <w:t>f</w:t>
      </w:r>
      <w:r w:rsidRPr="006672D9">
        <w:rPr>
          <w:rFonts w:ascii="Arial" w:eastAsia="Arial" w:hAnsi="Arial" w:cs="Arial"/>
          <w:b/>
          <w:sz w:val="24"/>
          <w:szCs w:val="24"/>
        </w:rPr>
        <w:t>oreign judgment for the grant of provisional sentence</w:t>
      </w:r>
    </w:p>
    <w:p w14:paraId="305FAD4A" w14:textId="2350F766" w:rsidR="002C5FC8" w:rsidRPr="006672D9" w:rsidRDefault="005F62B7" w:rsidP="005F62B7">
      <w:pPr>
        <w:pStyle w:val="Normal1"/>
        <w:spacing w:after="0" w:line="360" w:lineRule="auto"/>
        <w:jc w:val="both"/>
        <w:rPr>
          <w:rFonts w:ascii="Arial" w:eastAsia="Arial" w:hAnsi="Arial" w:cs="Arial"/>
          <w:sz w:val="24"/>
          <w:szCs w:val="24"/>
        </w:rPr>
        <w:pPrChange w:id="23" w:author="Mary Bruce" w:date="2024-02-06T15:46:00Z">
          <w:pPr>
            <w:pStyle w:val="Normal1"/>
            <w:numPr>
              <w:numId w:val="8"/>
            </w:numPr>
            <w:spacing w:after="0" w:line="360" w:lineRule="auto"/>
            <w:jc w:val="both"/>
          </w:pPr>
        </w:pPrChange>
      </w:pPr>
      <w:r w:rsidRPr="006672D9">
        <w:rPr>
          <w:rFonts w:ascii="Arial" w:eastAsia="Arial" w:hAnsi="Arial" w:cs="Arial"/>
          <w:sz w:val="24"/>
          <w:szCs w:val="24"/>
        </w:rPr>
        <w:t>[23]</w:t>
      </w:r>
      <w:r w:rsidRPr="006672D9">
        <w:rPr>
          <w:rFonts w:ascii="Arial" w:eastAsia="Arial" w:hAnsi="Arial" w:cs="Arial"/>
          <w:sz w:val="24"/>
          <w:szCs w:val="24"/>
        </w:rPr>
        <w:tab/>
      </w:r>
      <w:r w:rsidR="00B50877" w:rsidRPr="006672D9">
        <w:rPr>
          <w:rFonts w:ascii="Arial" w:eastAsia="Arial" w:hAnsi="Arial" w:cs="Arial"/>
          <w:sz w:val="24"/>
          <w:szCs w:val="24"/>
        </w:rPr>
        <w:t xml:space="preserve">Our law </w:t>
      </w:r>
      <w:r w:rsidR="00E5353B" w:rsidRPr="006672D9">
        <w:rPr>
          <w:rFonts w:ascii="Arial" w:eastAsia="Arial" w:hAnsi="Arial" w:cs="Arial"/>
          <w:sz w:val="24"/>
          <w:szCs w:val="24"/>
        </w:rPr>
        <w:t>recogni</w:t>
      </w:r>
      <w:r w:rsidR="00D11D65" w:rsidRPr="006672D9">
        <w:rPr>
          <w:rFonts w:ascii="Arial" w:eastAsia="Arial" w:hAnsi="Arial" w:cs="Arial"/>
          <w:sz w:val="24"/>
          <w:szCs w:val="24"/>
        </w:rPr>
        <w:t>ses</w:t>
      </w:r>
      <w:r w:rsidR="005F6E2B" w:rsidRPr="006672D9">
        <w:rPr>
          <w:rFonts w:ascii="Arial" w:eastAsia="Arial" w:hAnsi="Arial" w:cs="Arial"/>
          <w:sz w:val="24"/>
          <w:szCs w:val="24"/>
        </w:rPr>
        <w:t xml:space="preserve"> a judgment of a court</w:t>
      </w:r>
      <w:r w:rsidR="00B50877" w:rsidRPr="006672D9">
        <w:rPr>
          <w:rFonts w:ascii="Arial" w:eastAsia="Arial" w:hAnsi="Arial" w:cs="Arial"/>
          <w:sz w:val="24"/>
          <w:szCs w:val="24"/>
        </w:rPr>
        <w:t xml:space="preserve"> as</w:t>
      </w:r>
      <w:r w:rsidR="005F6E2B" w:rsidRPr="006672D9">
        <w:rPr>
          <w:rFonts w:ascii="Arial" w:eastAsia="Arial" w:hAnsi="Arial" w:cs="Arial"/>
          <w:sz w:val="24"/>
          <w:szCs w:val="24"/>
        </w:rPr>
        <w:t xml:space="preserve"> being </w:t>
      </w:r>
      <w:r w:rsidR="005F6E2B" w:rsidRPr="006672D9">
        <w:rPr>
          <w:rFonts w:ascii="Arial" w:eastAsia="Arial" w:hAnsi="Arial" w:cs="Arial"/>
          <w:i/>
          <w:sz w:val="24"/>
          <w:szCs w:val="24"/>
        </w:rPr>
        <w:t xml:space="preserve">prima facie </w:t>
      </w:r>
      <w:r w:rsidR="005F6E2B" w:rsidRPr="006672D9">
        <w:rPr>
          <w:rFonts w:ascii="Arial" w:eastAsia="Arial" w:hAnsi="Arial" w:cs="Arial"/>
          <w:sz w:val="24"/>
          <w:szCs w:val="24"/>
        </w:rPr>
        <w:t xml:space="preserve">proof of </w:t>
      </w:r>
      <w:r w:rsidR="00B50877" w:rsidRPr="006672D9">
        <w:rPr>
          <w:rFonts w:ascii="Arial" w:eastAsia="Arial" w:hAnsi="Arial" w:cs="Arial"/>
          <w:sz w:val="24"/>
          <w:szCs w:val="24"/>
        </w:rPr>
        <w:t xml:space="preserve">a </w:t>
      </w:r>
      <w:r w:rsidR="005F6E2B" w:rsidRPr="006672D9">
        <w:rPr>
          <w:rFonts w:ascii="Arial" w:eastAsia="Arial" w:hAnsi="Arial" w:cs="Arial"/>
          <w:sz w:val="24"/>
          <w:szCs w:val="24"/>
        </w:rPr>
        <w:t>debt due and an acknowledgement of indebtedness</w:t>
      </w:r>
      <w:r w:rsidR="00E5353B" w:rsidRPr="006672D9">
        <w:rPr>
          <w:rFonts w:ascii="Arial" w:eastAsia="Arial" w:hAnsi="Arial" w:cs="Arial"/>
          <w:sz w:val="24"/>
          <w:szCs w:val="24"/>
        </w:rPr>
        <w:t xml:space="preserve"> of the amount sought in the judgment</w:t>
      </w:r>
      <w:r w:rsidR="005F6E2B" w:rsidRPr="006672D9">
        <w:rPr>
          <w:rFonts w:ascii="Arial" w:eastAsia="Arial" w:hAnsi="Arial" w:cs="Arial"/>
          <w:sz w:val="24"/>
          <w:szCs w:val="24"/>
        </w:rPr>
        <w:t>.</w:t>
      </w:r>
      <w:r w:rsidR="00E5353B" w:rsidRPr="006672D9">
        <w:rPr>
          <w:rStyle w:val="FootnoteReference"/>
          <w:rFonts w:ascii="Arial" w:eastAsia="Arial" w:hAnsi="Arial" w:cs="Arial"/>
          <w:sz w:val="24"/>
          <w:szCs w:val="24"/>
        </w:rPr>
        <w:footnoteReference w:id="11"/>
      </w:r>
      <w:r w:rsidR="005F6E2B" w:rsidRPr="006672D9">
        <w:rPr>
          <w:rFonts w:ascii="Arial" w:eastAsia="Arial" w:hAnsi="Arial" w:cs="Arial"/>
          <w:sz w:val="24"/>
          <w:szCs w:val="24"/>
        </w:rPr>
        <w:t xml:space="preserve"> </w:t>
      </w:r>
      <w:r w:rsidR="00DB72B1" w:rsidRPr="006672D9">
        <w:rPr>
          <w:rFonts w:ascii="Arial" w:eastAsia="Arial" w:hAnsi="Arial" w:cs="Arial"/>
          <w:sz w:val="24"/>
          <w:szCs w:val="24"/>
        </w:rPr>
        <w:t xml:space="preserve">The basis of such recognition was stated long ago in </w:t>
      </w:r>
      <w:r w:rsidR="00684291" w:rsidRPr="006672D9">
        <w:rPr>
          <w:rFonts w:ascii="Arial" w:eastAsia="Arial" w:hAnsi="Arial" w:cs="Arial"/>
          <w:i/>
          <w:sz w:val="24"/>
          <w:szCs w:val="24"/>
        </w:rPr>
        <w:t>Williams v Jones</w:t>
      </w:r>
      <w:r w:rsidR="004F2127" w:rsidRPr="006672D9">
        <w:rPr>
          <w:rFonts w:ascii="Arial" w:eastAsia="Arial" w:hAnsi="Arial" w:cs="Arial"/>
          <w:sz w:val="24"/>
          <w:szCs w:val="24"/>
        </w:rPr>
        <w:t>,</w:t>
      </w:r>
      <w:r w:rsidR="00275E81" w:rsidRPr="006672D9">
        <w:rPr>
          <w:rStyle w:val="FootnoteReference"/>
          <w:rFonts w:ascii="Arial" w:eastAsia="Arial" w:hAnsi="Arial" w:cs="Arial"/>
          <w:sz w:val="24"/>
          <w:szCs w:val="24"/>
        </w:rPr>
        <w:footnoteReference w:id="12"/>
      </w:r>
      <w:r w:rsidR="00684291" w:rsidRPr="006672D9">
        <w:rPr>
          <w:rFonts w:ascii="Arial" w:eastAsia="Arial" w:hAnsi="Arial" w:cs="Arial"/>
          <w:sz w:val="24"/>
          <w:szCs w:val="24"/>
        </w:rPr>
        <w:t xml:space="preserve"> </w:t>
      </w:r>
      <w:r w:rsidR="0052547B" w:rsidRPr="006672D9">
        <w:rPr>
          <w:rFonts w:ascii="Arial" w:eastAsia="Arial" w:hAnsi="Arial" w:cs="Arial"/>
          <w:sz w:val="24"/>
          <w:szCs w:val="24"/>
        </w:rPr>
        <w:t xml:space="preserve">where </w:t>
      </w:r>
      <w:r w:rsidR="00684291" w:rsidRPr="006672D9">
        <w:rPr>
          <w:rFonts w:ascii="Arial" w:eastAsia="Arial" w:hAnsi="Arial" w:cs="Arial"/>
          <w:sz w:val="24"/>
          <w:szCs w:val="24"/>
        </w:rPr>
        <w:t>the court said:</w:t>
      </w:r>
    </w:p>
    <w:p w14:paraId="6187B125" w14:textId="77777777" w:rsidR="0064093E" w:rsidRPr="006672D9" w:rsidRDefault="00684291" w:rsidP="00237073">
      <w:pPr>
        <w:pStyle w:val="Normal1"/>
        <w:spacing w:after="0" w:line="360" w:lineRule="auto"/>
        <w:jc w:val="both"/>
        <w:rPr>
          <w:rFonts w:ascii="Arial" w:eastAsia="Arial" w:hAnsi="Arial" w:cs="Arial"/>
        </w:rPr>
      </w:pPr>
      <w:r w:rsidRPr="006672D9">
        <w:rPr>
          <w:rFonts w:ascii="Arial" w:eastAsia="Arial" w:hAnsi="Arial" w:cs="Arial"/>
        </w:rPr>
        <w:t>‘[W]here a court of competent jurisdiction has adjudicated a certain sum to be due from one person to another, a legal obligation arises to pay that sum, on which an action</w:t>
      </w:r>
      <w:r w:rsidR="002C5FC8" w:rsidRPr="006672D9">
        <w:rPr>
          <w:rFonts w:ascii="Arial" w:eastAsia="Arial" w:hAnsi="Arial" w:cs="Arial"/>
        </w:rPr>
        <w:t xml:space="preserve"> for debt to enforce the judgment may be maintained. It is </w:t>
      </w:r>
      <w:r w:rsidR="004F2127" w:rsidRPr="006672D9">
        <w:rPr>
          <w:rFonts w:ascii="Arial" w:eastAsia="Arial" w:hAnsi="Arial" w:cs="Arial"/>
        </w:rPr>
        <w:t xml:space="preserve">in </w:t>
      </w:r>
      <w:r w:rsidR="002C5FC8" w:rsidRPr="006672D9">
        <w:rPr>
          <w:rFonts w:ascii="Arial" w:eastAsia="Arial" w:hAnsi="Arial" w:cs="Arial"/>
        </w:rPr>
        <w:t>this way that the judgment</w:t>
      </w:r>
      <w:r w:rsidR="004F2127" w:rsidRPr="006672D9">
        <w:rPr>
          <w:rFonts w:ascii="Arial" w:eastAsia="Arial" w:hAnsi="Arial" w:cs="Arial"/>
        </w:rPr>
        <w:t>s</w:t>
      </w:r>
      <w:r w:rsidR="002C5FC8" w:rsidRPr="006672D9">
        <w:rPr>
          <w:rFonts w:ascii="Arial" w:eastAsia="Arial" w:hAnsi="Arial" w:cs="Arial"/>
        </w:rPr>
        <w:t xml:space="preserve"> of foreign and colonial courts are supported and enforced.’</w:t>
      </w:r>
    </w:p>
    <w:p w14:paraId="2DA3BA4D" w14:textId="77777777" w:rsidR="00776F3C" w:rsidRPr="006672D9" w:rsidRDefault="00776F3C" w:rsidP="00237073">
      <w:pPr>
        <w:pStyle w:val="Normal1"/>
        <w:spacing w:after="0" w:line="360" w:lineRule="auto"/>
        <w:jc w:val="both"/>
        <w:rPr>
          <w:rFonts w:ascii="Arial" w:eastAsia="Arial" w:hAnsi="Arial" w:cs="Arial"/>
        </w:rPr>
      </w:pPr>
    </w:p>
    <w:p w14:paraId="7D2ED7FD" w14:textId="0316F8BC" w:rsidR="006D18D0" w:rsidRPr="006672D9" w:rsidRDefault="005F62B7" w:rsidP="005F62B7">
      <w:pPr>
        <w:pStyle w:val="Normal1"/>
        <w:spacing w:after="0" w:line="360" w:lineRule="auto"/>
        <w:jc w:val="both"/>
        <w:rPr>
          <w:rFonts w:ascii="Arial" w:eastAsia="Arial" w:hAnsi="Arial" w:cs="Arial"/>
          <w:sz w:val="24"/>
          <w:szCs w:val="24"/>
        </w:rPr>
        <w:pPrChange w:id="24" w:author="Mary Bruce" w:date="2024-02-06T15:46:00Z">
          <w:pPr>
            <w:pStyle w:val="Normal1"/>
            <w:numPr>
              <w:numId w:val="8"/>
            </w:numPr>
            <w:spacing w:after="0" w:line="360" w:lineRule="auto"/>
            <w:jc w:val="both"/>
          </w:pPr>
        </w:pPrChange>
      </w:pPr>
      <w:r w:rsidRPr="006672D9">
        <w:rPr>
          <w:rFonts w:ascii="Arial" w:eastAsia="Arial" w:hAnsi="Arial" w:cs="Arial"/>
          <w:sz w:val="24"/>
          <w:szCs w:val="24"/>
        </w:rPr>
        <w:t>[24]</w:t>
      </w:r>
      <w:r w:rsidRPr="006672D9">
        <w:rPr>
          <w:rFonts w:ascii="Arial" w:eastAsia="Arial" w:hAnsi="Arial" w:cs="Arial"/>
          <w:sz w:val="24"/>
          <w:szCs w:val="24"/>
        </w:rPr>
        <w:tab/>
      </w:r>
      <w:r w:rsidR="00A7014B" w:rsidRPr="006672D9">
        <w:rPr>
          <w:rFonts w:ascii="Arial" w:eastAsia="Arial" w:hAnsi="Arial" w:cs="Arial"/>
          <w:sz w:val="24"/>
          <w:szCs w:val="24"/>
        </w:rPr>
        <w:t>T</w:t>
      </w:r>
      <w:r w:rsidR="007B2A1D" w:rsidRPr="006672D9">
        <w:rPr>
          <w:rFonts w:ascii="Arial" w:eastAsia="Arial" w:hAnsi="Arial" w:cs="Arial"/>
          <w:sz w:val="24"/>
          <w:szCs w:val="24"/>
        </w:rPr>
        <w:t xml:space="preserve">he onus lies with the plaintiff to establish the jurisdiction, finality and conclusiveness of a foreign judgment, if so challenged. Once armed with a </w:t>
      </w:r>
      <w:r w:rsidR="007B2A1D" w:rsidRPr="006672D9">
        <w:rPr>
          <w:rFonts w:ascii="Arial" w:eastAsia="Arial" w:hAnsi="Arial" w:cs="Arial"/>
          <w:i/>
          <w:sz w:val="24"/>
          <w:szCs w:val="24"/>
        </w:rPr>
        <w:t>prima facie</w:t>
      </w:r>
      <w:r w:rsidR="007B2A1D" w:rsidRPr="006672D9">
        <w:rPr>
          <w:rFonts w:ascii="Arial" w:eastAsia="Arial" w:hAnsi="Arial" w:cs="Arial"/>
          <w:sz w:val="24"/>
          <w:szCs w:val="24"/>
        </w:rPr>
        <w:t xml:space="preserve"> final and conclusive judgment the plaintiff is entitled to the relief sought in our courts and </w:t>
      </w:r>
      <w:r w:rsidR="00781828" w:rsidRPr="006672D9">
        <w:rPr>
          <w:rFonts w:ascii="Arial" w:eastAsia="Arial" w:hAnsi="Arial" w:cs="Arial"/>
          <w:sz w:val="24"/>
          <w:szCs w:val="24"/>
        </w:rPr>
        <w:t>the</w:t>
      </w:r>
      <w:r w:rsidR="007B2A1D" w:rsidRPr="006672D9">
        <w:rPr>
          <w:rFonts w:ascii="Arial" w:eastAsia="Arial" w:hAnsi="Arial" w:cs="Arial"/>
          <w:sz w:val="24"/>
          <w:szCs w:val="24"/>
        </w:rPr>
        <w:t xml:space="preserve"> onus </w:t>
      </w:r>
      <w:r w:rsidR="00781828" w:rsidRPr="006672D9">
        <w:rPr>
          <w:rFonts w:ascii="Arial" w:eastAsia="Arial" w:hAnsi="Arial" w:cs="Arial"/>
          <w:sz w:val="24"/>
          <w:szCs w:val="24"/>
        </w:rPr>
        <w:t>then</w:t>
      </w:r>
      <w:r w:rsidR="007B2A1D" w:rsidRPr="006672D9">
        <w:rPr>
          <w:rFonts w:ascii="Arial" w:eastAsia="Arial" w:hAnsi="Arial" w:cs="Arial"/>
          <w:sz w:val="24"/>
          <w:szCs w:val="24"/>
        </w:rPr>
        <w:t xml:space="preserve"> falls on the defendant to demonstrate that the enforcement of the foreign judgment in our country would be ‘contrary to the principles of natural justice and public policy</w:t>
      </w:r>
      <w:r w:rsidR="00D53735" w:rsidRPr="006672D9">
        <w:rPr>
          <w:rFonts w:ascii="Arial" w:eastAsia="Arial" w:hAnsi="Arial" w:cs="Arial"/>
          <w:sz w:val="24"/>
          <w:szCs w:val="24"/>
        </w:rPr>
        <w:t>’</w:t>
      </w:r>
      <w:r w:rsidR="007B2A1D" w:rsidRPr="006672D9">
        <w:rPr>
          <w:rFonts w:ascii="Arial" w:eastAsia="Arial" w:hAnsi="Arial" w:cs="Arial"/>
          <w:sz w:val="24"/>
          <w:szCs w:val="24"/>
        </w:rPr>
        <w:t>.</w:t>
      </w:r>
      <w:r w:rsidR="007B2A1D" w:rsidRPr="006672D9">
        <w:rPr>
          <w:rStyle w:val="FootnoteReference"/>
          <w:rFonts w:ascii="Arial" w:eastAsia="Arial" w:hAnsi="Arial" w:cs="Arial"/>
          <w:sz w:val="24"/>
          <w:szCs w:val="24"/>
        </w:rPr>
        <w:footnoteReference w:id="13"/>
      </w:r>
    </w:p>
    <w:p w14:paraId="0920F1B6" w14:textId="77777777" w:rsidR="00CE5358" w:rsidRPr="006672D9" w:rsidRDefault="00CE5358" w:rsidP="00237073">
      <w:pPr>
        <w:pStyle w:val="Normal1"/>
        <w:spacing w:after="0" w:line="360" w:lineRule="auto"/>
        <w:jc w:val="both"/>
        <w:rPr>
          <w:rFonts w:ascii="Arial" w:eastAsia="Arial" w:hAnsi="Arial" w:cs="Arial"/>
          <w:sz w:val="24"/>
          <w:szCs w:val="24"/>
        </w:rPr>
      </w:pPr>
    </w:p>
    <w:p w14:paraId="4FE57CB4" w14:textId="0A1C7A61" w:rsidR="002D4C7F" w:rsidRPr="006672D9" w:rsidRDefault="005F62B7" w:rsidP="005F62B7">
      <w:pPr>
        <w:pStyle w:val="Normal1"/>
        <w:spacing w:after="0" w:line="360" w:lineRule="auto"/>
        <w:jc w:val="both"/>
        <w:rPr>
          <w:rFonts w:ascii="Arial" w:eastAsia="Arial" w:hAnsi="Arial" w:cs="Arial"/>
          <w:sz w:val="24"/>
          <w:szCs w:val="24"/>
        </w:rPr>
        <w:pPrChange w:id="25" w:author="Mary Bruce" w:date="2024-02-06T15:46:00Z">
          <w:pPr>
            <w:pStyle w:val="Normal1"/>
            <w:numPr>
              <w:numId w:val="8"/>
            </w:numPr>
            <w:spacing w:after="0" w:line="360" w:lineRule="auto"/>
            <w:jc w:val="both"/>
          </w:pPr>
        </w:pPrChange>
      </w:pPr>
      <w:r w:rsidRPr="006672D9">
        <w:rPr>
          <w:rFonts w:ascii="Arial" w:eastAsia="Arial" w:hAnsi="Arial" w:cs="Arial"/>
          <w:sz w:val="24"/>
          <w:szCs w:val="24"/>
        </w:rPr>
        <w:t>[25]</w:t>
      </w:r>
      <w:r w:rsidRPr="006672D9">
        <w:rPr>
          <w:rFonts w:ascii="Arial" w:eastAsia="Arial" w:hAnsi="Arial" w:cs="Arial"/>
          <w:sz w:val="24"/>
          <w:szCs w:val="24"/>
        </w:rPr>
        <w:tab/>
      </w:r>
      <w:r w:rsidR="00A86012" w:rsidRPr="006672D9">
        <w:rPr>
          <w:rFonts w:ascii="Arial" w:eastAsia="Arial" w:hAnsi="Arial" w:cs="Arial"/>
          <w:sz w:val="24"/>
          <w:szCs w:val="24"/>
        </w:rPr>
        <w:t xml:space="preserve">Lastly, </w:t>
      </w:r>
      <w:r w:rsidR="002D4C7F" w:rsidRPr="006672D9">
        <w:rPr>
          <w:rFonts w:ascii="Arial" w:eastAsia="Arial" w:hAnsi="Arial" w:cs="Arial"/>
          <w:sz w:val="24"/>
          <w:szCs w:val="24"/>
        </w:rPr>
        <w:t xml:space="preserve">in </w:t>
      </w:r>
      <w:r w:rsidR="002D4C7F" w:rsidRPr="006672D9">
        <w:rPr>
          <w:rFonts w:ascii="Arial" w:eastAsia="Arial" w:hAnsi="Arial" w:cs="Arial"/>
          <w:i/>
          <w:sz w:val="24"/>
          <w:szCs w:val="24"/>
        </w:rPr>
        <w:t>Richman v Ben-Tovim</w:t>
      </w:r>
      <w:r w:rsidR="00A7014B" w:rsidRPr="006672D9">
        <w:rPr>
          <w:rFonts w:ascii="Arial" w:eastAsia="Arial" w:hAnsi="Arial" w:cs="Arial"/>
          <w:i/>
          <w:sz w:val="24"/>
          <w:szCs w:val="24"/>
        </w:rPr>
        <w:t xml:space="preserve"> </w:t>
      </w:r>
      <w:r w:rsidR="00A7014B" w:rsidRPr="006672D9">
        <w:rPr>
          <w:rFonts w:ascii="Arial" w:eastAsia="Arial" w:hAnsi="Arial" w:cs="Arial"/>
          <w:sz w:val="24"/>
          <w:szCs w:val="24"/>
        </w:rPr>
        <w:t>the following is to be found:</w:t>
      </w:r>
    </w:p>
    <w:p w14:paraId="31EDD7F6" w14:textId="77777777" w:rsidR="00A7014B" w:rsidRPr="006672D9" w:rsidRDefault="00A86012" w:rsidP="00237073">
      <w:pPr>
        <w:pStyle w:val="Normal1"/>
        <w:spacing w:after="0" w:line="360" w:lineRule="auto"/>
        <w:jc w:val="both"/>
        <w:rPr>
          <w:rFonts w:ascii="Arial" w:eastAsia="Arial" w:hAnsi="Arial" w:cs="Arial"/>
          <w:sz w:val="24"/>
          <w:szCs w:val="24"/>
        </w:rPr>
      </w:pPr>
      <w:r w:rsidRPr="006672D9">
        <w:rPr>
          <w:rFonts w:ascii="Arial" w:hAnsi="Arial" w:cs="Arial"/>
        </w:rPr>
        <w:t>‘</w:t>
      </w:r>
      <w:r w:rsidR="00D03112" w:rsidRPr="006672D9">
        <w:rPr>
          <w:rFonts w:ascii="Arial" w:hAnsi="Arial" w:cs="Arial"/>
        </w:rPr>
        <w:t xml:space="preserve">In addition, it is now well established that the exigencies of international trade and commerce require “. . . that final foreign judgments be recognised as far as is reasonably possible in our courts, and that effect be given thereto.”  This court (albeit in a slightly different context) said in </w:t>
      </w:r>
      <w:r w:rsidR="00D03112" w:rsidRPr="006672D9">
        <w:rPr>
          <w:rFonts w:ascii="Arial" w:hAnsi="Arial" w:cs="Arial"/>
          <w:i/>
        </w:rPr>
        <w:t>Mayne v Main</w:t>
      </w:r>
      <w:r w:rsidR="00D03112" w:rsidRPr="006672D9">
        <w:rPr>
          <w:rFonts w:ascii="Arial" w:hAnsi="Arial" w:cs="Arial"/>
        </w:rPr>
        <w:t xml:space="preserve"> that a “common-sense” and “realistic approach” should be adopted in assessing jurisdictional requirements because of “. . . modern-day conditions and attitudes and the tendency towards a more itinerant lifestyle, particularly among business people. And </w:t>
      </w:r>
      <w:r w:rsidR="00D03112" w:rsidRPr="006672D9">
        <w:rPr>
          <w:rFonts w:ascii="Arial" w:hAnsi="Arial" w:cs="Arial"/>
        </w:rPr>
        <w:lastRenderedPageBreak/>
        <w:t>because not to do so might allow certain persons habitually to avoid the jurisdictional nets of the courts and thereby escape legal accountability for the wrongful actions”</w:t>
      </w:r>
      <w:r w:rsidRPr="006672D9">
        <w:rPr>
          <w:rFonts w:ascii="Arial" w:hAnsi="Arial" w:cs="Arial"/>
        </w:rPr>
        <w:t>.</w:t>
      </w:r>
      <w:r w:rsidR="002D4C7F" w:rsidRPr="006672D9">
        <w:rPr>
          <w:rFonts w:ascii="Arial" w:eastAsia="Arial" w:hAnsi="Arial" w:cs="Arial"/>
        </w:rPr>
        <w:t>’</w:t>
      </w:r>
      <w:r w:rsidR="00A7014B" w:rsidRPr="006672D9">
        <w:rPr>
          <w:rStyle w:val="FootnoteReference"/>
          <w:rFonts w:ascii="Arial" w:eastAsia="Arial" w:hAnsi="Arial" w:cs="Arial"/>
          <w:sz w:val="24"/>
          <w:szCs w:val="24"/>
        </w:rPr>
        <w:t xml:space="preserve"> </w:t>
      </w:r>
      <w:r w:rsidR="00A7014B" w:rsidRPr="006672D9">
        <w:rPr>
          <w:rStyle w:val="FootnoteReference"/>
          <w:rFonts w:ascii="Arial" w:eastAsia="Arial" w:hAnsi="Arial" w:cs="Arial"/>
        </w:rPr>
        <w:footnoteReference w:id="14"/>
      </w:r>
    </w:p>
    <w:p w14:paraId="0C82D8A7" w14:textId="77777777" w:rsidR="00776F3C" w:rsidRPr="006672D9" w:rsidRDefault="00776F3C" w:rsidP="00237073">
      <w:pPr>
        <w:pStyle w:val="Normal1"/>
        <w:spacing w:after="0" w:line="360" w:lineRule="auto"/>
        <w:jc w:val="both"/>
        <w:rPr>
          <w:rFonts w:ascii="Arial" w:eastAsia="Arial" w:hAnsi="Arial" w:cs="Arial"/>
          <w:sz w:val="24"/>
          <w:szCs w:val="24"/>
        </w:rPr>
      </w:pPr>
    </w:p>
    <w:p w14:paraId="12BE41CF" w14:textId="77777777" w:rsidR="00D03112" w:rsidRPr="006672D9" w:rsidRDefault="00A86012" w:rsidP="00237073">
      <w:pPr>
        <w:pStyle w:val="Normal1"/>
        <w:spacing w:after="0" w:line="360" w:lineRule="auto"/>
        <w:jc w:val="both"/>
        <w:rPr>
          <w:rFonts w:ascii="Arial" w:eastAsia="Arial" w:hAnsi="Arial" w:cs="Arial"/>
        </w:rPr>
      </w:pPr>
      <w:r w:rsidRPr="006672D9">
        <w:rPr>
          <w:rFonts w:ascii="Arial" w:eastAsia="Arial" w:hAnsi="Arial" w:cs="Arial"/>
          <w:b/>
          <w:sz w:val="24"/>
          <w:szCs w:val="24"/>
        </w:rPr>
        <w:t>Discussion</w:t>
      </w:r>
    </w:p>
    <w:p w14:paraId="27EF4C16" w14:textId="699A5FFE" w:rsidR="00F11F37" w:rsidRDefault="009B7D65" w:rsidP="00237073">
      <w:pPr>
        <w:pStyle w:val="Normal1"/>
        <w:spacing w:after="0" w:line="360" w:lineRule="auto"/>
        <w:jc w:val="both"/>
        <w:rPr>
          <w:rFonts w:ascii="Arial" w:eastAsia="Arial" w:hAnsi="Arial" w:cs="Arial"/>
          <w:sz w:val="24"/>
          <w:szCs w:val="24"/>
        </w:rPr>
      </w:pPr>
      <w:r>
        <w:rPr>
          <w:rFonts w:ascii="Arial" w:eastAsia="Arial" w:hAnsi="Arial" w:cs="Arial"/>
          <w:sz w:val="24"/>
          <w:szCs w:val="24"/>
        </w:rPr>
        <w:t xml:space="preserve">[26]   </w:t>
      </w:r>
      <w:r w:rsidR="000F682C" w:rsidRPr="00060639">
        <w:rPr>
          <w:rFonts w:ascii="Arial" w:eastAsia="Arial" w:hAnsi="Arial" w:cs="Arial"/>
          <w:sz w:val="24"/>
          <w:szCs w:val="24"/>
        </w:rPr>
        <w:t xml:space="preserve">The recognition and enforcement of foreign judgments is a matter of importance in a world of ever greater international commerce. </w:t>
      </w:r>
      <w:r w:rsidR="003C1BC6" w:rsidRPr="00060639">
        <w:rPr>
          <w:rFonts w:ascii="Arial" w:eastAsia="Arial" w:hAnsi="Arial" w:cs="Arial"/>
          <w:sz w:val="24"/>
          <w:szCs w:val="24"/>
        </w:rPr>
        <w:t>On</w:t>
      </w:r>
      <w:r w:rsidR="003C1BC6" w:rsidRPr="006672D9">
        <w:rPr>
          <w:rFonts w:ascii="Arial" w:eastAsia="Arial" w:hAnsi="Arial" w:cs="Arial"/>
          <w:sz w:val="24"/>
          <w:szCs w:val="24"/>
        </w:rPr>
        <w:t xml:space="preserve"> appeal is the determination of the true character of the Californian judgment for purposes of provisional sentence</w:t>
      </w:r>
      <w:r w:rsidR="006D18D0" w:rsidRPr="006672D9">
        <w:rPr>
          <w:rFonts w:ascii="Arial" w:eastAsia="Arial" w:hAnsi="Arial" w:cs="Arial"/>
          <w:sz w:val="24"/>
          <w:szCs w:val="24"/>
        </w:rPr>
        <w:t>.</w:t>
      </w:r>
      <w:r w:rsidR="00A86012" w:rsidRPr="006672D9">
        <w:rPr>
          <w:rFonts w:ascii="Arial" w:eastAsia="Arial" w:hAnsi="Arial" w:cs="Arial"/>
          <w:sz w:val="24"/>
          <w:szCs w:val="24"/>
        </w:rPr>
        <w:t xml:space="preserve"> </w:t>
      </w:r>
      <w:r w:rsidR="009C497F" w:rsidRPr="006672D9">
        <w:rPr>
          <w:rFonts w:ascii="Arial" w:eastAsia="Arial" w:hAnsi="Arial" w:cs="Arial"/>
          <w:sz w:val="24"/>
          <w:szCs w:val="24"/>
        </w:rPr>
        <w:t>The appellant</w:t>
      </w:r>
      <w:r w:rsidR="008C27EA" w:rsidRPr="006672D9">
        <w:rPr>
          <w:rFonts w:ascii="Arial" w:eastAsia="Arial" w:hAnsi="Arial" w:cs="Arial"/>
          <w:sz w:val="24"/>
          <w:szCs w:val="24"/>
        </w:rPr>
        <w:t>s</w:t>
      </w:r>
      <w:r w:rsidR="009C497F" w:rsidRPr="006672D9">
        <w:rPr>
          <w:rFonts w:ascii="Arial" w:eastAsia="Arial" w:hAnsi="Arial" w:cs="Arial"/>
          <w:sz w:val="24"/>
          <w:szCs w:val="24"/>
        </w:rPr>
        <w:t xml:space="preserve"> </w:t>
      </w:r>
      <w:r w:rsidR="001A63E2">
        <w:rPr>
          <w:rFonts w:ascii="Arial" w:eastAsia="Arial" w:hAnsi="Arial" w:cs="Arial"/>
          <w:sz w:val="24"/>
          <w:szCs w:val="24"/>
        </w:rPr>
        <w:t>contended</w:t>
      </w:r>
      <w:r w:rsidR="009C497F" w:rsidRPr="006672D9">
        <w:rPr>
          <w:rFonts w:ascii="Arial" w:eastAsia="Arial" w:hAnsi="Arial" w:cs="Arial"/>
          <w:sz w:val="24"/>
          <w:szCs w:val="24"/>
        </w:rPr>
        <w:t xml:space="preserve"> that the foreign judgment</w:t>
      </w:r>
      <w:r w:rsidR="00FD43FC" w:rsidRPr="006672D9">
        <w:rPr>
          <w:rFonts w:ascii="Arial" w:eastAsia="Arial" w:hAnsi="Arial" w:cs="Arial"/>
          <w:sz w:val="24"/>
          <w:szCs w:val="24"/>
        </w:rPr>
        <w:t xml:space="preserve"> </w:t>
      </w:r>
      <w:r w:rsidR="00CD59A4" w:rsidRPr="006672D9">
        <w:rPr>
          <w:rFonts w:ascii="Arial" w:eastAsia="Arial" w:hAnsi="Arial" w:cs="Arial"/>
          <w:sz w:val="24"/>
          <w:szCs w:val="24"/>
        </w:rPr>
        <w:t>relied on</w:t>
      </w:r>
      <w:r w:rsidR="006B4793" w:rsidRPr="006672D9">
        <w:rPr>
          <w:rFonts w:ascii="Arial" w:eastAsia="Arial" w:hAnsi="Arial" w:cs="Arial"/>
          <w:sz w:val="24"/>
          <w:szCs w:val="24"/>
        </w:rPr>
        <w:t xml:space="preserve">, cumulatively, constitutes a liquid </w:t>
      </w:r>
      <w:r w:rsidR="00CD59A4" w:rsidRPr="006672D9">
        <w:rPr>
          <w:rFonts w:ascii="Arial" w:eastAsia="Arial" w:hAnsi="Arial" w:cs="Arial"/>
          <w:sz w:val="24"/>
          <w:szCs w:val="24"/>
        </w:rPr>
        <w:t>document</w:t>
      </w:r>
      <w:r w:rsidR="00066267" w:rsidRPr="006672D9">
        <w:rPr>
          <w:rStyle w:val="FootnoteReference"/>
          <w:rFonts w:ascii="Arial" w:eastAsia="Arial" w:hAnsi="Arial" w:cs="Arial"/>
          <w:sz w:val="24"/>
          <w:szCs w:val="24"/>
        </w:rPr>
        <w:footnoteReference w:id="15"/>
      </w:r>
      <w:r w:rsidR="001A63E2">
        <w:rPr>
          <w:rFonts w:ascii="Arial" w:eastAsia="Arial" w:hAnsi="Arial" w:cs="Arial"/>
          <w:sz w:val="24"/>
          <w:szCs w:val="24"/>
        </w:rPr>
        <w:t>,</w:t>
      </w:r>
      <w:r w:rsidR="009D4C43" w:rsidRPr="006672D9">
        <w:rPr>
          <w:rFonts w:ascii="Arial" w:eastAsia="Arial" w:hAnsi="Arial" w:cs="Arial"/>
          <w:sz w:val="24"/>
          <w:szCs w:val="24"/>
        </w:rPr>
        <w:t xml:space="preserve"> </w:t>
      </w:r>
      <w:r w:rsidR="00CD59A4" w:rsidRPr="006672D9">
        <w:rPr>
          <w:rFonts w:ascii="Arial" w:eastAsia="Arial" w:hAnsi="Arial" w:cs="Arial"/>
          <w:sz w:val="24"/>
          <w:szCs w:val="24"/>
        </w:rPr>
        <w:t xml:space="preserve">even though the </w:t>
      </w:r>
      <w:r w:rsidR="006B4793" w:rsidRPr="006672D9">
        <w:rPr>
          <w:rFonts w:ascii="Arial" w:eastAsia="Arial" w:hAnsi="Arial" w:cs="Arial"/>
          <w:sz w:val="24"/>
          <w:szCs w:val="24"/>
        </w:rPr>
        <w:t>initial judgment was for the turnover of shares</w:t>
      </w:r>
      <w:r w:rsidR="00597DAE" w:rsidRPr="006672D9">
        <w:rPr>
          <w:rFonts w:ascii="Arial" w:eastAsia="Arial" w:hAnsi="Arial" w:cs="Arial"/>
          <w:sz w:val="24"/>
          <w:szCs w:val="24"/>
        </w:rPr>
        <w:t>. A</w:t>
      </w:r>
      <w:r w:rsidR="00D45F4C" w:rsidRPr="006672D9">
        <w:rPr>
          <w:rFonts w:ascii="Arial" w:eastAsia="Arial" w:hAnsi="Arial" w:cs="Arial"/>
          <w:sz w:val="24"/>
          <w:szCs w:val="24"/>
        </w:rPr>
        <w:t xml:space="preserve">n </w:t>
      </w:r>
      <w:r w:rsidR="00221148" w:rsidRPr="006672D9">
        <w:rPr>
          <w:rFonts w:ascii="Arial" w:eastAsia="Arial" w:hAnsi="Arial" w:cs="Arial"/>
          <w:sz w:val="24"/>
          <w:szCs w:val="24"/>
        </w:rPr>
        <w:t>attempt</w:t>
      </w:r>
      <w:r w:rsidR="00221148">
        <w:rPr>
          <w:rFonts w:ascii="Arial" w:eastAsia="Arial" w:hAnsi="Arial" w:cs="Arial"/>
          <w:sz w:val="24"/>
          <w:szCs w:val="24"/>
        </w:rPr>
        <w:t xml:space="preserve"> was </w:t>
      </w:r>
      <w:r w:rsidR="00D45F4C" w:rsidRPr="006672D9">
        <w:rPr>
          <w:rFonts w:ascii="Arial" w:eastAsia="Arial" w:hAnsi="Arial" w:cs="Arial"/>
          <w:sz w:val="24"/>
          <w:szCs w:val="24"/>
        </w:rPr>
        <w:t>made to retrieve the shares by way of a writ of possession</w:t>
      </w:r>
      <w:r w:rsidR="001A63E2">
        <w:rPr>
          <w:rFonts w:ascii="Arial" w:eastAsia="Arial" w:hAnsi="Arial" w:cs="Arial"/>
          <w:sz w:val="24"/>
          <w:szCs w:val="24"/>
        </w:rPr>
        <w:t xml:space="preserve">. This </w:t>
      </w:r>
      <w:r w:rsidR="00597DAE" w:rsidRPr="006672D9">
        <w:rPr>
          <w:rFonts w:ascii="Arial" w:eastAsia="Arial" w:hAnsi="Arial" w:cs="Arial"/>
          <w:sz w:val="24"/>
          <w:szCs w:val="24"/>
        </w:rPr>
        <w:t>was unsuccessful</w:t>
      </w:r>
      <w:r w:rsidR="00D45F4C" w:rsidRPr="006672D9">
        <w:rPr>
          <w:rFonts w:ascii="Arial" w:eastAsia="Arial" w:hAnsi="Arial" w:cs="Arial"/>
          <w:sz w:val="24"/>
          <w:szCs w:val="24"/>
        </w:rPr>
        <w:t xml:space="preserve">. </w:t>
      </w:r>
      <w:r w:rsidR="00E50361">
        <w:rPr>
          <w:rFonts w:ascii="Arial" w:eastAsia="Arial" w:hAnsi="Arial" w:cs="Arial"/>
          <w:sz w:val="24"/>
          <w:szCs w:val="24"/>
        </w:rPr>
        <w:t>A</w:t>
      </w:r>
      <w:r w:rsidR="00597DAE" w:rsidRPr="006672D9">
        <w:rPr>
          <w:rFonts w:ascii="Arial" w:hAnsi="Arial" w:cs="Arial"/>
          <w:sz w:val="24"/>
          <w:szCs w:val="24"/>
        </w:rPr>
        <w:t xml:space="preserve"> monetary value was ascribed to the shares and a writ of execution for th</w:t>
      </w:r>
      <w:r w:rsidR="00221148">
        <w:rPr>
          <w:rFonts w:ascii="Arial" w:hAnsi="Arial" w:cs="Arial"/>
          <w:sz w:val="24"/>
          <w:szCs w:val="24"/>
        </w:rPr>
        <w:t>e</w:t>
      </w:r>
      <w:r w:rsidR="00E50361">
        <w:rPr>
          <w:rFonts w:ascii="Arial" w:hAnsi="Arial" w:cs="Arial"/>
          <w:sz w:val="24"/>
          <w:szCs w:val="24"/>
        </w:rPr>
        <w:t xml:space="preserve"> monetary</w:t>
      </w:r>
      <w:r w:rsidR="00597DAE" w:rsidRPr="006672D9">
        <w:rPr>
          <w:rFonts w:ascii="Arial" w:hAnsi="Arial" w:cs="Arial"/>
          <w:sz w:val="24"/>
          <w:szCs w:val="24"/>
        </w:rPr>
        <w:t xml:space="preserve"> value of the shares was issued. </w:t>
      </w:r>
      <w:r w:rsidR="00E50361">
        <w:rPr>
          <w:rFonts w:ascii="Arial" w:hAnsi="Arial" w:cs="Arial"/>
          <w:sz w:val="24"/>
          <w:szCs w:val="24"/>
        </w:rPr>
        <w:t>This suffices, the appellants submit, to secure provisional sentence.</w:t>
      </w:r>
    </w:p>
    <w:p w14:paraId="2246B013" w14:textId="77777777" w:rsidR="004028F7" w:rsidRPr="006672D9" w:rsidRDefault="004028F7" w:rsidP="00237073">
      <w:pPr>
        <w:pStyle w:val="Normal1"/>
        <w:spacing w:after="0" w:line="360" w:lineRule="auto"/>
        <w:jc w:val="both"/>
        <w:rPr>
          <w:rFonts w:ascii="Arial" w:eastAsia="Arial" w:hAnsi="Arial" w:cs="Arial"/>
          <w:sz w:val="24"/>
          <w:szCs w:val="24"/>
        </w:rPr>
      </w:pPr>
    </w:p>
    <w:p w14:paraId="69669387" w14:textId="548BBF2E" w:rsidR="00E136C1" w:rsidRDefault="00786DD5" w:rsidP="00237073">
      <w:pPr>
        <w:pStyle w:val="Normal1"/>
        <w:tabs>
          <w:tab w:val="left" w:pos="709"/>
        </w:tabs>
        <w:spacing w:after="0" w:line="360" w:lineRule="auto"/>
        <w:ind w:right="72"/>
        <w:contextualSpacing/>
        <w:jc w:val="both"/>
        <w:rPr>
          <w:rFonts w:ascii="Arial" w:eastAsia="Arial" w:hAnsi="Arial" w:cs="Arial"/>
          <w:sz w:val="24"/>
          <w:szCs w:val="24"/>
        </w:rPr>
      </w:pPr>
      <w:r w:rsidRPr="006672D9">
        <w:rPr>
          <w:rFonts w:ascii="Arial" w:hAnsi="Arial" w:cs="Arial"/>
          <w:sz w:val="24"/>
          <w:szCs w:val="24"/>
        </w:rPr>
        <w:t>[2</w:t>
      </w:r>
      <w:r w:rsidR="004028F7">
        <w:rPr>
          <w:rFonts w:ascii="Arial" w:hAnsi="Arial" w:cs="Arial"/>
          <w:sz w:val="24"/>
          <w:szCs w:val="24"/>
        </w:rPr>
        <w:t>7</w:t>
      </w:r>
      <w:r w:rsidR="009B18C7" w:rsidRPr="006672D9">
        <w:rPr>
          <w:rFonts w:ascii="Arial" w:hAnsi="Arial" w:cs="Arial"/>
          <w:sz w:val="24"/>
          <w:szCs w:val="24"/>
        </w:rPr>
        <w:t>]</w:t>
      </w:r>
      <w:r w:rsidR="00E136C1">
        <w:rPr>
          <w:rFonts w:ascii="Arial" w:eastAsia="Arial" w:hAnsi="Arial" w:cs="Arial"/>
          <w:sz w:val="24"/>
          <w:szCs w:val="24"/>
        </w:rPr>
        <w:tab/>
        <w:t xml:space="preserve">In </w:t>
      </w:r>
      <w:r w:rsidR="00E136C1">
        <w:rPr>
          <w:rFonts w:ascii="Arial" w:eastAsia="Arial" w:hAnsi="Arial" w:cs="Arial"/>
          <w:i/>
          <w:iCs/>
          <w:sz w:val="24"/>
          <w:szCs w:val="24"/>
        </w:rPr>
        <w:t>Jones</w:t>
      </w:r>
      <w:r w:rsidR="00E136C1">
        <w:rPr>
          <w:rFonts w:ascii="Arial" w:eastAsia="Arial" w:hAnsi="Arial" w:cs="Arial"/>
          <w:iCs/>
          <w:sz w:val="24"/>
          <w:szCs w:val="24"/>
        </w:rPr>
        <w:t>,</w:t>
      </w:r>
      <w:r w:rsidR="00E136C1">
        <w:rPr>
          <w:rStyle w:val="FootnoteReference"/>
          <w:rFonts w:ascii="Arial" w:eastAsia="Arial" w:hAnsi="Arial" w:cs="Arial"/>
          <w:i/>
          <w:iCs/>
          <w:sz w:val="24"/>
          <w:szCs w:val="24"/>
        </w:rPr>
        <w:footnoteReference w:id="16"/>
      </w:r>
      <w:r w:rsidR="00E136C1">
        <w:rPr>
          <w:rFonts w:ascii="Arial" w:eastAsia="Arial" w:hAnsi="Arial" w:cs="Arial"/>
          <w:iCs/>
          <w:sz w:val="24"/>
          <w:szCs w:val="24"/>
        </w:rPr>
        <w:t xml:space="preserve"> as we have explained</w:t>
      </w:r>
      <w:r w:rsidR="00060639">
        <w:rPr>
          <w:rFonts w:ascii="Arial" w:eastAsia="Arial" w:hAnsi="Arial" w:cs="Arial"/>
          <w:iCs/>
          <w:sz w:val="24"/>
          <w:szCs w:val="24"/>
        </w:rPr>
        <w:t xml:space="preserve">, </w:t>
      </w:r>
      <w:r w:rsidR="00060639" w:rsidRPr="00060639">
        <w:rPr>
          <w:rFonts w:ascii="Arial" w:eastAsia="Arial" w:hAnsi="Arial" w:cs="Arial"/>
          <w:iCs/>
          <w:sz w:val="24"/>
          <w:szCs w:val="24"/>
        </w:rPr>
        <w:t>this</w:t>
      </w:r>
      <w:r w:rsidR="00E136C1" w:rsidRPr="00060639">
        <w:rPr>
          <w:rFonts w:ascii="Arial" w:eastAsia="Arial" w:hAnsi="Arial" w:cs="Arial"/>
          <w:sz w:val="24"/>
          <w:szCs w:val="24"/>
        </w:rPr>
        <w:t xml:space="preserve"> C</w:t>
      </w:r>
      <w:r w:rsidR="00E136C1">
        <w:rPr>
          <w:rFonts w:ascii="Arial" w:eastAsia="Arial" w:hAnsi="Arial" w:cs="Arial"/>
          <w:sz w:val="24"/>
          <w:szCs w:val="24"/>
        </w:rPr>
        <w:t xml:space="preserve">ourt made it plain that a foreign judgment is not directly enforceable, but constitutes a cause of action. It then set out the requirements that must be met for a foreign judgment to be enforced by our courts. Those requirements are not sought to be qualified by the parties to this appeal. Nor is there any dispute that a final judgment was rendered by the Superior Court of California, County of Orange (the California Court). What is in issue is this: </w:t>
      </w:r>
      <w:r w:rsidR="00060639">
        <w:rPr>
          <w:rFonts w:ascii="Arial" w:eastAsia="Arial" w:hAnsi="Arial" w:cs="Arial"/>
          <w:sz w:val="24"/>
          <w:szCs w:val="24"/>
        </w:rPr>
        <w:t>what judgment</w:t>
      </w:r>
      <w:r w:rsidR="00E136C1">
        <w:rPr>
          <w:rFonts w:ascii="Arial" w:eastAsia="Arial" w:hAnsi="Arial" w:cs="Arial"/>
          <w:sz w:val="24"/>
          <w:szCs w:val="24"/>
        </w:rPr>
        <w:t xml:space="preserve"> debt did the orders of the California Court give rise to that are enforceable in our courts by way of provisional sentence?</w:t>
      </w:r>
    </w:p>
    <w:p w14:paraId="1F3688B2" w14:textId="77777777" w:rsidR="00E136C1" w:rsidRDefault="00E136C1" w:rsidP="00237073">
      <w:pPr>
        <w:pStyle w:val="Normal1"/>
        <w:spacing w:after="0" w:line="360" w:lineRule="auto"/>
        <w:ind w:right="72"/>
        <w:contextualSpacing/>
        <w:jc w:val="both"/>
        <w:rPr>
          <w:rFonts w:ascii="Arial" w:eastAsia="Arial" w:hAnsi="Arial" w:cs="Arial"/>
          <w:sz w:val="24"/>
          <w:szCs w:val="24"/>
        </w:rPr>
      </w:pPr>
    </w:p>
    <w:p w14:paraId="0A26E8AA" w14:textId="7106CFD2" w:rsidR="00E136C1" w:rsidRDefault="009B7D65" w:rsidP="00237073">
      <w:pPr>
        <w:pStyle w:val="Normal1"/>
        <w:tabs>
          <w:tab w:val="left" w:pos="709"/>
        </w:tabs>
        <w:spacing w:after="0" w:line="360" w:lineRule="auto"/>
        <w:ind w:right="72"/>
        <w:contextualSpacing/>
        <w:jc w:val="both"/>
        <w:rPr>
          <w:rFonts w:ascii="Arial" w:eastAsia="Arial" w:hAnsi="Arial" w:cs="Arial"/>
          <w:sz w:val="24"/>
          <w:szCs w:val="24"/>
        </w:rPr>
      </w:pPr>
      <w:r>
        <w:rPr>
          <w:rFonts w:ascii="Arial" w:eastAsia="Arial" w:hAnsi="Arial" w:cs="Arial"/>
          <w:sz w:val="24"/>
          <w:szCs w:val="24"/>
        </w:rPr>
        <w:t>[2</w:t>
      </w:r>
      <w:r w:rsidR="00E136C1">
        <w:rPr>
          <w:rFonts w:ascii="Arial" w:eastAsia="Arial" w:hAnsi="Arial" w:cs="Arial"/>
          <w:sz w:val="24"/>
          <w:szCs w:val="24"/>
        </w:rPr>
        <w:t xml:space="preserve">8] </w:t>
      </w:r>
      <w:r w:rsidR="00E136C1">
        <w:rPr>
          <w:rFonts w:ascii="Arial" w:eastAsia="Arial" w:hAnsi="Arial" w:cs="Arial"/>
          <w:sz w:val="24"/>
          <w:szCs w:val="24"/>
        </w:rPr>
        <w:tab/>
        <w:t xml:space="preserve">Ordinarily this should pose little difficulty. The judgment of the foreign court provides proof of the debt due by the party identified in the court’s order, and, as </w:t>
      </w:r>
      <w:r w:rsidR="00E136C1">
        <w:rPr>
          <w:rFonts w:ascii="Arial" w:eastAsia="Arial" w:hAnsi="Arial" w:cs="Arial"/>
          <w:i/>
          <w:iCs/>
          <w:sz w:val="24"/>
          <w:szCs w:val="24"/>
        </w:rPr>
        <w:t xml:space="preserve">Jones </w:t>
      </w:r>
      <w:r w:rsidR="00E136C1">
        <w:rPr>
          <w:rFonts w:ascii="Arial" w:eastAsia="Arial" w:hAnsi="Arial" w:cs="Arial"/>
          <w:sz w:val="24"/>
          <w:szCs w:val="24"/>
        </w:rPr>
        <w:t xml:space="preserve"> made plain,</w:t>
      </w:r>
      <w:r w:rsidR="00E136C1">
        <w:rPr>
          <w:rStyle w:val="FootnoteReference"/>
          <w:rFonts w:ascii="Arial" w:eastAsia="Arial" w:hAnsi="Arial" w:cs="Arial"/>
          <w:sz w:val="24"/>
          <w:szCs w:val="24"/>
        </w:rPr>
        <w:footnoteReference w:id="17"/>
      </w:r>
      <w:r w:rsidR="00E136C1">
        <w:rPr>
          <w:rFonts w:ascii="Arial" w:eastAsia="Arial" w:hAnsi="Arial" w:cs="Arial"/>
          <w:sz w:val="24"/>
          <w:szCs w:val="24"/>
        </w:rPr>
        <w:t xml:space="preserve">  it is </w:t>
      </w:r>
      <w:r w:rsidR="00E136C1">
        <w:rPr>
          <w:rFonts w:ascii="Arial" w:eastAsia="Arial" w:hAnsi="Arial" w:cs="Arial"/>
          <w:i/>
          <w:iCs/>
          <w:sz w:val="24"/>
          <w:szCs w:val="24"/>
        </w:rPr>
        <w:t xml:space="preserve">prima facie </w:t>
      </w:r>
      <w:r w:rsidR="00E136C1">
        <w:rPr>
          <w:rFonts w:ascii="Arial" w:eastAsia="Arial" w:hAnsi="Arial" w:cs="Arial"/>
          <w:sz w:val="24"/>
          <w:szCs w:val="24"/>
        </w:rPr>
        <w:t xml:space="preserve"> the clearest possible proof of that debt. What debt was owed by the Respondent, Mr Conteh, arising from the orders of the California Court?</w:t>
      </w:r>
    </w:p>
    <w:p w14:paraId="11B866A0" w14:textId="77777777" w:rsidR="00E136C1" w:rsidRDefault="00E136C1" w:rsidP="00237073">
      <w:pPr>
        <w:pStyle w:val="Normal1"/>
        <w:spacing w:after="0" w:line="360" w:lineRule="auto"/>
        <w:ind w:right="72"/>
        <w:contextualSpacing/>
        <w:jc w:val="both"/>
        <w:rPr>
          <w:rFonts w:ascii="Arial" w:eastAsia="Arial" w:hAnsi="Arial" w:cs="Arial"/>
          <w:sz w:val="24"/>
          <w:szCs w:val="24"/>
        </w:rPr>
      </w:pPr>
    </w:p>
    <w:p w14:paraId="6A45C9AF" w14:textId="0E4D4F8E" w:rsidR="00E136C1" w:rsidRDefault="009B7D65" w:rsidP="00237073">
      <w:pPr>
        <w:pStyle w:val="Normal1"/>
        <w:tabs>
          <w:tab w:val="left" w:pos="709"/>
        </w:tabs>
        <w:spacing w:after="0" w:line="360" w:lineRule="auto"/>
        <w:ind w:right="72"/>
        <w:contextualSpacing/>
        <w:jc w:val="both"/>
        <w:rPr>
          <w:rFonts w:ascii="Arial" w:eastAsia="Arial" w:hAnsi="Arial" w:cs="Arial"/>
          <w:sz w:val="24"/>
          <w:szCs w:val="24"/>
        </w:rPr>
      </w:pPr>
      <w:r>
        <w:rPr>
          <w:rFonts w:ascii="Arial" w:eastAsia="Arial" w:hAnsi="Arial" w:cs="Arial"/>
          <w:sz w:val="24"/>
          <w:szCs w:val="24"/>
        </w:rPr>
        <w:lastRenderedPageBreak/>
        <w:t>[2</w:t>
      </w:r>
      <w:r w:rsidR="00E136C1">
        <w:rPr>
          <w:rFonts w:ascii="Arial" w:eastAsia="Arial" w:hAnsi="Arial" w:cs="Arial"/>
          <w:sz w:val="24"/>
          <w:szCs w:val="24"/>
        </w:rPr>
        <w:t xml:space="preserve">9]  </w:t>
      </w:r>
      <w:r w:rsidR="00E136C1">
        <w:rPr>
          <w:rFonts w:ascii="Arial" w:eastAsia="Arial" w:hAnsi="Arial" w:cs="Arial"/>
          <w:sz w:val="24"/>
          <w:szCs w:val="24"/>
        </w:rPr>
        <w:tab/>
        <w:t xml:space="preserve">The appellants plead in their summons that the California Court made a Ruling and Order dated August 29, 2016; issued a Judgment on the same day; made a supplemental order date September 15, 2016; and rendered a further supplemental order dated December 16, 2016. The summons proceeds to claim that these orders, read cumulatively, constitute a final and binding judgment executable upon Mr Conteh. We shall refer to these orders, collectively, as the California Court Orders. The appellants then rely upon the relevant provisions of the laws of the State of California to explain how the judgment obtained against Mr Conteh was enforced. In essence, a judgment for the possession of personal property of the kind obtained in terms of the California Court Orders may be enforced by a writ of possession </w:t>
      </w:r>
      <w:r w:rsidR="00C54C72">
        <w:rPr>
          <w:rFonts w:ascii="Arial" w:eastAsia="Arial" w:hAnsi="Arial" w:cs="Arial"/>
          <w:sz w:val="24"/>
          <w:szCs w:val="24"/>
        </w:rPr>
        <w:t>of personal property, thereby taking</w:t>
      </w:r>
      <w:r w:rsidR="00E136C1">
        <w:rPr>
          <w:rFonts w:ascii="Arial" w:eastAsia="Arial" w:hAnsi="Arial" w:cs="Arial"/>
          <w:sz w:val="24"/>
          <w:szCs w:val="24"/>
        </w:rPr>
        <w:t xml:space="preserve"> custody of such property in possession of the judgment debtor or his agent. If custody of the property is not obtained in this way, the levying officer shall reflect this in the return, and thereafter the judgment for the possession of the property may be enforced in the same manner as a money judgment for the value of the property, as specified in the judgment. </w:t>
      </w:r>
    </w:p>
    <w:p w14:paraId="12573C4F" w14:textId="77777777" w:rsidR="00E136C1" w:rsidRDefault="00E136C1" w:rsidP="00237073">
      <w:pPr>
        <w:pStyle w:val="Normal1"/>
        <w:spacing w:after="0" w:line="360" w:lineRule="auto"/>
        <w:ind w:right="72"/>
        <w:contextualSpacing/>
        <w:jc w:val="both"/>
        <w:rPr>
          <w:rFonts w:ascii="Arial" w:eastAsia="Arial" w:hAnsi="Arial" w:cs="Arial"/>
          <w:sz w:val="24"/>
          <w:szCs w:val="24"/>
        </w:rPr>
      </w:pPr>
    </w:p>
    <w:p w14:paraId="37B14E3C" w14:textId="5895CB3A" w:rsidR="00E136C1" w:rsidRDefault="009B7D65" w:rsidP="00237073">
      <w:pPr>
        <w:pStyle w:val="Normal1"/>
        <w:tabs>
          <w:tab w:val="left" w:pos="709"/>
        </w:tabs>
        <w:spacing w:after="0" w:line="360" w:lineRule="auto"/>
        <w:ind w:right="72"/>
        <w:contextualSpacing/>
        <w:jc w:val="both"/>
        <w:rPr>
          <w:rFonts w:ascii="Arial" w:eastAsia="Arial" w:hAnsi="Arial" w:cs="Arial"/>
          <w:sz w:val="24"/>
          <w:szCs w:val="24"/>
        </w:rPr>
      </w:pPr>
      <w:r>
        <w:rPr>
          <w:rFonts w:ascii="Arial" w:eastAsia="Arial" w:hAnsi="Arial" w:cs="Arial"/>
          <w:sz w:val="24"/>
          <w:szCs w:val="24"/>
        </w:rPr>
        <w:t>[3</w:t>
      </w:r>
      <w:r w:rsidR="00E136C1">
        <w:rPr>
          <w:rFonts w:ascii="Arial" w:eastAsia="Arial" w:hAnsi="Arial" w:cs="Arial"/>
          <w:sz w:val="24"/>
          <w:szCs w:val="24"/>
        </w:rPr>
        <w:t xml:space="preserve">0]  </w:t>
      </w:r>
      <w:r w:rsidR="00E136C1">
        <w:rPr>
          <w:rFonts w:ascii="Arial" w:eastAsia="Arial" w:hAnsi="Arial" w:cs="Arial"/>
          <w:sz w:val="24"/>
          <w:szCs w:val="24"/>
        </w:rPr>
        <w:tab/>
        <w:t>The judgment debt contained in the California Court Orders was for the possession of property. That is, for Mr Conteh, among others, to turn over to the appellants 51 shares of Resotel Sprl, and 2 shares of Congolese Wireless Network Sprl. In addition, the California Court Orders determined that the value of these shares was $84 963 329 for the Resotel shares, and $8 329 738 for the Congolese Wireless Network shares. The California Court Orders do not order Mr Conteh to pay an amount of money, they require Mr Conteh to deliver up (to use our terminology) specified shares.</w:t>
      </w:r>
    </w:p>
    <w:p w14:paraId="28131BBB" w14:textId="77777777" w:rsidR="00E136C1" w:rsidRDefault="00E136C1" w:rsidP="00237073">
      <w:pPr>
        <w:pStyle w:val="Normal1"/>
        <w:spacing w:after="0" w:line="360" w:lineRule="auto"/>
        <w:ind w:right="72"/>
        <w:contextualSpacing/>
        <w:jc w:val="both"/>
        <w:rPr>
          <w:rFonts w:ascii="Arial" w:eastAsia="Arial" w:hAnsi="Arial" w:cs="Arial"/>
          <w:sz w:val="24"/>
          <w:szCs w:val="24"/>
        </w:rPr>
      </w:pPr>
    </w:p>
    <w:p w14:paraId="001B96CD" w14:textId="2939AEB3" w:rsidR="00E136C1" w:rsidRDefault="009B7D65" w:rsidP="00237073">
      <w:pPr>
        <w:pStyle w:val="Normal1"/>
        <w:tabs>
          <w:tab w:val="left" w:pos="709"/>
        </w:tabs>
        <w:spacing w:after="0" w:line="360" w:lineRule="auto"/>
        <w:ind w:right="72"/>
        <w:contextualSpacing/>
        <w:jc w:val="both"/>
        <w:rPr>
          <w:rFonts w:ascii="Arial" w:eastAsia="Arial" w:hAnsi="Arial" w:cs="Arial"/>
          <w:sz w:val="24"/>
          <w:szCs w:val="24"/>
        </w:rPr>
      </w:pPr>
      <w:r>
        <w:rPr>
          <w:rFonts w:ascii="Arial" w:eastAsia="Arial" w:hAnsi="Arial" w:cs="Arial"/>
          <w:sz w:val="24"/>
          <w:szCs w:val="24"/>
        </w:rPr>
        <w:t>[3</w:t>
      </w:r>
      <w:r w:rsidR="00E136C1">
        <w:rPr>
          <w:rFonts w:ascii="Arial" w:eastAsia="Arial" w:hAnsi="Arial" w:cs="Arial"/>
          <w:sz w:val="24"/>
          <w:szCs w:val="24"/>
        </w:rPr>
        <w:t xml:space="preserve">1] </w:t>
      </w:r>
      <w:r w:rsidR="00E136C1">
        <w:rPr>
          <w:rFonts w:ascii="Arial" w:eastAsia="Arial" w:hAnsi="Arial" w:cs="Arial"/>
          <w:sz w:val="24"/>
          <w:szCs w:val="24"/>
        </w:rPr>
        <w:tab/>
        <w:t>We do not understand the appellants to argue otherwise. What they contend is that under California</w:t>
      </w:r>
      <w:r w:rsidR="000F1792">
        <w:rPr>
          <w:rFonts w:ascii="Arial" w:eastAsia="Arial" w:hAnsi="Arial" w:cs="Arial"/>
          <w:sz w:val="24"/>
          <w:szCs w:val="24"/>
        </w:rPr>
        <w:t>n</w:t>
      </w:r>
      <w:r w:rsidR="00E136C1">
        <w:rPr>
          <w:rFonts w:ascii="Arial" w:eastAsia="Arial" w:hAnsi="Arial" w:cs="Arial"/>
          <w:sz w:val="24"/>
          <w:szCs w:val="24"/>
        </w:rPr>
        <w:t xml:space="preserve"> law, the California Court Orders for the possession of property may be enforced in the same manner as a money judgment for the value of the property, which value the California Court had determined. Two important features of the relevant provisions of Californian law bear emphasis. First, court orders for the possession of property cannot be enforced as a money judgment immediately upon being made. The enforcement of such an order requires the steps by way of enforcement, outlined above, to be taken. The levying officer must have failed to take custody of the property; made demand of the judgment debtor, if the debtor can be </w:t>
      </w:r>
      <w:r w:rsidR="00E136C1">
        <w:rPr>
          <w:rFonts w:ascii="Arial" w:eastAsia="Arial" w:hAnsi="Arial" w:cs="Arial"/>
          <w:sz w:val="24"/>
          <w:szCs w:val="24"/>
        </w:rPr>
        <w:lastRenderedPageBreak/>
        <w:t xml:space="preserve">located; the levying officer must then make a return that the property cannot be obtained. Only then may the judgment for the possession of property be </w:t>
      </w:r>
      <w:r w:rsidR="00060639">
        <w:rPr>
          <w:rFonts w:ascii="Arial" w:eastAsia="Arial" w:hAnsi="Arial" w:cs="Arial"/>
          <w:sz w:val="24"/>
          <w:szCs w:val="24"/>
        </w:rPr>
        <w:t>enforced ‘in</w:t>
      </w:r>
      <w:r w:rsidR="00E136C1">
        <w:rPr>
          <w:rFonts w:ascii="Arial" w:eastAsia="Arial" w:hAnsi="Arial" w:cs="Arial"/>
          <w:sz w:val="24"/>
          <w:szCs w:val="24"/>
        </w:rPr>
        <w:t xml:space="preserve"> the same </w:t>
      </w:r>
      <w:r w:rsidR="00060639">
        <w:rPr>
          <w:rFonts w:ascii="Arial" w:eastAsia="Arial" w:hAnsi="Arial" w:cs="Arial"/>
          <w:sz w:val="24"/>
          <w:szCs w:val="24"/>
        </w:rPr>
        <w:t>manner’ as</w:t>
      </w:r>
      <w:r w:rsidR="00E136C1">
        <w:rPr>
          <w:rFonts w:ascii="Arial" w:eastAsia="Arial" w:hAnsi="Arial" w:cs="Arial"/>
          <w:sz w:val="24"/>
          <w:szCs w:val="24"/>
        </w:rPr>
        <w:t xml:space="preserve"> a money judgment. As the matter was put by the Court of Appeal of the State of California that heard an appeal arising from the California Court Orders, ‘respondents were not entitled to an actual money judgment in the default judgment proceedings’, being proceedings brought by the appellants before the California Court.</w:t>
      </w:r>
    </w:p>
    <w:p w14:paraId="3D74DCFC" w14:textId="77777777" w:rsidR="00E136C1" w:rsidRDefault="00E136C1" w:rsidP="00237073">
      <w:pPr>
        <w:pStyle w:val="Normal1"/>
        <w:spacing w:after="0" w:line="360" w:lineRule="auto"/>
        <w:ind w:right="72"/>
        <w:contextualSpacing/>
        <w:jc w:val="both"/>
        <w:rPr>
          <w:rFonts w:ascii="Arial" w:eastAsia="Arial" w:hAnsi="Arial" w:cs="Arial"/>
          <w:sz w:val="24"/>
          <w:szCs w:val="24"/>
        </w:rPr>
      </w:pPr>
    </w:p>
    <w:p w14:paraId="474E9753" w14:textId="39366407" w:rsidR="00E136C1" w:rsidRDefault="009B7D65" w:rsidP="00237073">
      <w:pPr>
        <w:pStyle w:val="Normal1"/>
        <w:tabs>
          <w:tab w:val="left" w:pos="709"/>
        </w:tabs>
        <w:spacing w:after="0" w:line="360" w:lineRule="auto"/>
        <w:ind w:right="72"/>
        <w:contextualSpacing/>
        <w:jc w:val="both"/>
        <w:rPr>
          <w:rFonts w:ascii="Arial" w:eastAsia="Arial" w:hAnsi="Arial" w:cs="Arial"/>
          <w:sz w:val="24"/>
          <w:szCs w:val="24"/>
        </w:rPr>
      </w:pPr>
      <w:r>
        <w:rPr>
          <w:rFonts w:ascii="Arial" w:eastAsia="Arial" w:hAnsi="Arial" w:cs="Arial"/>
          <w:sz w:val="24"/>
          <w:szCs w:val="24"/>
        </w:rPr>
        <w:t>[3</w:t>
      </w:r>
      <w:r w:rsidR="00E136C1">
        <w:rPr>
          <w:rFonts w:ascii="Arial" w:eastAsia="Arial" w:hAnsi="Arial" w:cs="Arial"/>
          <w:sz w:val="24"/>
          <w:szCs w:val="24"/>
        </w:rPr>
        <w:t xml:space="preserve">2]  </w:t>
      </w:r>
      <w:r w:rsidR="00E136C1">
        <w:rPr>
          <w:rFonts w:ascii="Arial" w:eastAsia="Arial" w:hAnsi="Arial" w:cs="Arial"/>
          <w:sz w:val="24"/>
          <w:szCs w:val="24"/>
        </w:rPr>
        <w:tab/>
        <w:t>The second feature of note is that the relevant provisions of California</w:t>
      </w:r>
      <w:r w:rsidR="000F1792">
        <w:rPr>
          <w:rFonts w:ascii="Arial" w:eastAsia="Arial" w:hAnsi="Arial" w:cs="Arial"/>
          <w:sz w:val="24"/>
          <w:szCs w:val="24"/>
        </w:rPr>
        <w:t>n</w:t>
      </w:r>
      <w:r w:rsidR="00E136C1">
        <w:rPr>
          <w:rFonts w:ascii="Arial" w:eastAsia="Arial" w:hAnsi="Arial" w:cs="Arial"/>
          <w:sz w:val="24"/>
          <w:szCs w:val="24"/>
        </w:rPr>
        <w:t xml:space="preserve"> law permit</w:t>
      </w:r>
      <w:r w:rsidR="000F1792">
        <w:rPr>
          <w:rFonts w:ascii="Arial" w:eastAsia="Arial" w:hAnsi="Arial" w:cs="Arial"/>
          <w:sz w:val="24"/>
          <w:szCs w:val="24"/>
        </w:rPr>
        <w:t>s</w:t>
      </w:r>
      <w:r w:rsidR="00AE64F3">
        <w:rPr>
          <w:rFonts w:ascii="Arial" w:eastAsia="Arial" w:hAnsi="Arial" w:cs="Arial"/>
          <w:sz w:val="24"/>
          <w:szCs w:val="24"/>
        </w:rPr>
        <w:t xml:space="preserve"> the</w:t>
      </w:r>
      <w:r w:rsidR="00E136C1">
        <w:rPr>
          <w:rFonts w:ascii="Arial" w:eastAsia="Arial" w:hAnsi="Arial" w:cs="Arial"/>
          <w:sz w:val="24"/>
          <w:szCs w:val="24"/>
        </w:rPr>
        <w:t xml:space="preserve"> enforcement of the California</w:t>
      </w:r>
      <w:r w:rsidR="000F1792">
        <w:rPr>
          <w:rFonts w:ascii="Arial" w:eastAsia="Arial" w:hAnsi="Arial" w:cs="Arial"/>
          <w:sz w:val="24"/>
          <w:szCs w:val="24"/>
        </w:rPr>
        <w:t>n</w:t>
      </w:r>
      <w:r w:rsidR="00E136C1">
        <w:rPr>
          <w:rFonts w:ascii="Arial" w:eastAsia="Arial" w:hAnsi="Arial" w:cs="Arial"/>
          <w:sz w:val="24"/>
          <w:szCs w:val="24"/>
        </w:rPr>
        <w:t xml:space="preserve"> Court Orders ‘in the same manner’ as a money judgment. These provisions do not render the California Court </w:t>
      </w:r>
      <w:r w:rsidR="00060639">
        <w:rPr>
          <w:rFonts w:ascii="Arial" w:eastAsia="Arial" w:hAnsi="Arial" w:cs="Arial"/>
          <w:sz w:val="24"/>
          <w:szCs w:val="24"/>
        </w:rPr>
        <w:t>Orders a</w:t>
      </w:r>
      <w:r w:rsidR="00E136C1">
        <w:rPr>
          <w:rFonts w:ascii="Arial" w:eastAsia="Arial" w:hAnsi="Arial" w:cs="Arial"/>
          <w:sz w:val="24"/>
          <w:szCs w:val="24"/>
        </w:rPr>
        <w:t xml:space="preserve"> money judgment. This is not a semantic quibble. The California Court Orders remain unchanged. Their enforcement however is made possible, once the return of the property cannot be obtained, as if they were a money judgment. Thus, by operation of law, if the property cannot be obtained, a means of enforcement is secured to execute upon the value of the property. However, if the shares could have been obtained under writ, there could </w:t>
      </w:r>
      <w:r w:rsidR="00060639">
        <w:rPr>
          <w:rFonts w:ascii="Arial" w:eastAsia="Arial" w:hAnsi="Arial" w:cs="Arial"/>
          <w:sz w:val="24"/>
          <w:szCs w:val="24"/>
        </w:rPr>
        <w:t>have been</w:t>
      </w:r>
      <w:r w:rsidR="00E136C1">
        <w:rPr>
          <w:rFonts w:ascii="Arial" w:eastAsia="Arial" w:hAnsi="Arial" w:cs="Arial"/>
          <w:sz w:val="24"/>
          <w:szCs w:val="24"/>
        </w:rPr>
        <w:t xml:space="preserve"> no election to enforce the California Court Orders as a money judgment. This demonstrates that the California Court Orders do not constitute a money judgment, even though they may be capable of enforcement as such, under specified conditions.</w:t>
      </w:r>
    </w:p>
    <w:p w14:paraId="2D1022F8" w14:textId="77777777" w:rsidR="00E136C1" w:rsidRDefault="00E136C1" w:rsidP="00237073">
      <w:pPr>
        <w:pStyle w:val="Normal1"/>
        <w:tabs>
          <w:tab w:val="left" w:pos="709"/>
        </w:tabs>
        <w:spacing w:after="0" w:line="360" w:lineRule="auto"/>
        <w:ind w:right="72"/>
        <w:contextualSpacing/>
        <w:jc w:val="both"/>
        <w:rPr>
          <w:rFonts w:ascii="Arial" w:eastAsia="Arial" w:hAnsi="Arial" w:cs="Arial"/>
          <w:sz w:val="24"/>
          <w:szCs w:val="24"/>
        </w:rPr>
      </w:pPr>
    </w:p>
    <w:p w14:paraId="5F1A596F" w14:textId="7E2A0035" w:rsidR="00E136C1" w:rsidRDefault="009B7D65" w:rsidP="00237073">
      <w:pPr>
        <w:pStyle w:val="Normal1"/>
        <w:tabs>
          <w:tab w:val="left" w:pos="709"/>
        </w:tabs>
        <w:spacing w:after="0" w:line="360" w:lineRule="auto"/>
        <w:ind w:right="72"/>
        <w:contextualSpacing/>
        <w:jc w:val="both"/>
        <w:rPr>
          <w:rFonts w:ascii="Arial" w:eastAsia="Arial" w:hAnsi="Arial" w:cs="Arial"/>
          <w:sz w:val="24"/>
          <w:szCs w:val="24"/>
        </w:rPr>
      </w:pPr>
      <w:r>
        <w:rPr>
          <w:rFonts w:ascii="Arial" w:eastAsia="Arial" w:hAnsi="Arial" w:cs="Arial"/>
          <w:sz w:val="24"/>
          <w:szCs w:val="24"/>
        </w:rPr>
        <w:t>[3</w:t>
      </w:r>
      <w:r w:rsidR="00E136C1">
        <w:rPr>
          <w:rFonts w:ascii="Arial" w:eastAsia="Arial" w:hAnsi="Arial" w:cs="Arial"/>
          <w:sz w:val="24"/>
          <w:szCs w:val="24"/>
        </w:rPr>
        <w:t xml:space="preserve">3]   </w:t>
      </w:r>
      <w:r w:rsidR="00E136C1">
        <w:rPr>
          <w:rFonts w:ascii="Arial" w:eastAsia="Arial" w:hAnsi="Arial" w:cs="Arial"/>
          <w:sz w:val="24"/>
          <w:szCs w:val="24"/>
        </w:rPr>
        <w:tab/>
        <w:t>The question that then arises is this: even if the California Court Orders are not a money judgment, is there any reason why the enforcement of these orders as a money judgment in terms of the law of California should not be recognised and enforced by a South African court? The difficulty is that a South African court will not generally apply foreign rules of procedure in the exercise of its own adjudicative functions.</w:t>
      </w:r>
      <w:r w:rsidR="00E136C1">
        <w:rPr>
          <w:rStyle w:val="FootnoteReference"/>
          <w:rFonts w:ascii="Arial" w:eastAsia="Arial" w:hAnsi="Arial" w:cs="Arial"/>
          <w:sz w:val="24"/>
          <w:szCs w:val="24"/>
        </w:rPr>
        <w:footnoteReference w:id="18"/>
      </w:r>
      <w:r w:rsidR="00E136C1">
        <w:rPr>
          <w:rFonts w:ascii="Arial" w:eastAsia="Arial" w:hAnsi="Arial" w:cs="Arial"/>
          <w:sz w:val="24"/>
          <w:szCs w:val="24"/>
        </w:rPr>
        <w:t xml:space="preserve"> This is a matter of sovereignty.</w:t>
      </w:r>
      <w:r w:rsidR="00E136C1">
        <w:rPr>
          <w:rStyle w:val="FootnoteReference"/>
          <w:rFonts w:ascii="Arial" w:eastAsia="Arial" w:hAnsi="Arial" w:cs="Arial"/>
          <w:sz w:val="24"/>
          <w:szCs w:val="24"/>
        </w:rPr>
        <w:footnoteReference w:id="19"/>
      </w:r>
      <w:r w:rsidR="00E136C1">
        <w:rPr>
          <w:rFonts w:ascii="Arial" w:eastAsia="Arial" w:hAnsi="Arial" w:cs="Arial"/>
          <w:sz w:val="24"/>
          <w:szCs w:val="24"/>
        </w:rPr>
        <w:t xml:space="preserve"> South African courts are not </w:t>
      </w:r>
      <w:r w:rsidR="00060639">
        <w:rPr>
          <w:rFonts w:ascii="Arial" w:eastAsia="Arial" w:hAnsi="Arial" w:cs="Arial"/>
          <w:sz w:val="24"/>
          <w:szCs w:val="24"/>
        </w:rPr>
        <w:t>merely instruments</w:t>
      </w:r>
      <w:r w:rsidR="00E136C1">
        <w:rPr>
          <w:rFonts w:ascii="Arial" w:eastAsia="Arial" w:hAnsi="Arial" w:cs="Arial"/>
          <w:sz w:val="24"/>
          <w:szCs w:val="24"/>
        </w:rPr>
        <w:t xml:space="preserve"> by which the law of California secures the enforcement of court orders made by the courts of California. Put differently, the process of the California Court does not run through the territory of South Africa. How such process may be given effect to is regulated under statute. Section 40 of the Superior Courts Act 10 of 2013 </w:t>
      </w:r>
      <w:r w:rsidR="00E136C1">
        <w:rPr>
          <w:rFonts w:ascii="Arial" w:eastAsia="Arial" w:hAnsi="Arial" w:cs="Arial"/>
          <w:sz w:val="24"/>
          <w:szCs w:val="24"/>
        </w:rPr>
        <w:lastRenderedPageBreak/>
        <w:t>sets out the basis upon which letters of request in connection with any civil proceedings received from any state, territory or court outside of South Africa may be given effect to.</w:t>
      </w:r>
    </w:p>
    <w:p w14:paraId="10E5F342" w14:textId="77777777" w:rsidR="00E136C1" w:rsidRDefault="00E136C1" w:rsidP="00237073">
      <w:pPr>
        <w:pStyle w:val="Normal1"/>
        <w:spacing w:after="0" w:line="360" w:lineRule="auto"/>
        <w:ind w:right="72"/>
        <w:contextualSpacing/>
        <w:jc w:val="both"/>
        <w:rPr>
          <w:rFonts w:ascii="Arial" w:eastAsia="Arial" w:hAnsi="Arial" w:cs="Arial"/>
          <w:sz w:val="24"/>
          <w:szCs w:val="24"/>
        </w:rPr>
      </w:pPr>
    </w:p>
    <w:p w14:paraId="60B1EF16" w14:textId="1D0CD79A" w:rsidR="00E136C1" w:rsidRDefault="009B7D65" w:rsidP="00237073">
      <w:pPr>
        <w:pStyle w:val="Normal1"/>
        <w:tabs>
          <w:tab w:val="left" w:pos="709"/>
        </w:tabs>
        <w:spacing w:after="0" w:line="360" w:lineRule="auto"/>
        <w:ind w:right="72"/>
        <w:contextualSpacing/>
        <w:jc w:val="both"/>
        <w:rPr>
          <w:rFonts w:ascii="Arial" w:eastAsia="Arial" w:hAnsi="Arial" w:cs="Arial"/>
          <w:sz w:val="24"/>
          <w:szCs w:val="24"/>
        </w:rPr>
      </w:pPr>
      <w:r>
        <w:rPr>
          <w:rFonts w:ascii="Arial" w:eastAsia="Arial" w:hAnsi="Arial" w:cs="Arial"/>
          <w:sz w:val="24"/>
          <w:szCs w:val="24"/>
        </w:rPr>
        <w:t>[3</w:t>
      </w:r>
      <w:r w:rsidR="00E136C1">
        <w:rPr>
          <w:rFonts w:ascii="Arial" w:eastAsia="Arial" w:hAnsi="Arial" w:cs="Arial"/>
          <w:sz w:val="24"/>
          <w:szCs w:val="24"/>
        </w:rPr>
        <w:t xml:space="preserve">4]   </w:t>
      </w:r>
      <w:r w:rsidR="00E136C1">
        <w:rPr>
          <w:rFonts w:ascii="Arial" w:eastAsia="Arial" w:hAnsi="Arial" w:cs="Arial"/>
          <w:sz w:val="24"/>
          <w:szCs w:val="24"/>
        </w:rPr>
        <w:tab/>
        <w:t xml:space="preserve">The summons issued by the appellants for provisional sentence relied upon a cause of action for the recognition and enforcement of a foreign judgment. It did not seek the assistance of our courts to give effect to the procedures of the law of California in terms of which the enforcement of a foreign judgment may be rendered in the same manner as a money judgment. As this Court observed in </w:t>
      </w:r>
      <w:r w:rsidR="00E136C1">
        <w:rPr>
          <w:rFonts w:ascii="Arial" w:eastAsia="Arial" w:hAnsi="Arial" w:cs="Arial"/>
          <w:i/>
          <w:iCs/>
          <w:sz w:val="24"/>
          <w:szCs w:val="24"/>
        </w:rPr>
        <w:t>Society of Lloyd’s</w:t>
      </w:r>
      <w:r w:rsidR="00E136C1" w:rsidRPr="00197B0C">
        <w:rPr>
          <w:rStyle w:val="FootnoteReference"/>
          <w:rFonts w:ascii="Arial" w:eastAsia="Arial" w:hAnsi="Arial" w:cs="Arial"/>
          <w:iCs/>
          <w:sz w:val="24"/>
          <w:szCs w:val="24"/>
        </w:rPr>
        <w:footnoteReference w:id="20"/>
      </w:r>
      <w:r w:rsidR="00E136C1">
        <w:rPr>
          <w:rFonts w:ascii="Arial" w:eastAsia="Arial" w:hAnsi="Arial" w:cs="Arial"/>
          <w:i/>
          <w:iCs/>
          <w:sz w:val="24"/>
          <w:szCs w:val="24"/>
        </w:rPr>
        <w:t xml:space="preserve"> </w:t>
      </w:r>
      <w:r w:rsidR="00E136C1">
        <w:rPr>
          <w:rFonts w:ascii="Arial" w:eastAsia="Arial" w:hAnsi="Arial" w:cs="Arial"/>
          <w:sz w:val="24"/>
          <w:szCs w:val="24"/>
        </w:rPr>
        <w:t>provisional sentence proceedings for the enforcement of a foreign judgment may be a step towards eventual execution, but cannot be regarded as part of the process of execution. The foreign judgment relied upon in the summons is constituted by the California Court Orders. The California Court Orders do not comprise a money judgment, even though, under the law of California, the California Court orders may be capable of enforcement as a money judgment. The summons does not ask a South African court to execute the enforcement procedures of the law of California. It is doubtful that such a cause of action is good in law.</w:t>
      </w:r>
    </w:p>
    <w:p w14:paraId="252DFD1B" w14:textId="77777777" w:rsidR="00E136C1" w:rsidRDefault="00E136C1" w:rsidP="00237073">
      <w:pPr>
        <w:pStyle w:val="Normal1"/>
        <w:spacing w:after="0" w:line="360" w:lineRule="auto"/>
        <w:ind w:right="72"/>
        <w:contextualSpacing/>
        <w:jc w:val="both"/>
        <w:rPr>
          <w:rFonts w:ascii="Arial" w:eastAsia="Arial" w:hAnsi="Arial" w:cs="Arial"/>
          <w:sz w:val="24"/>
          <w:szCs w:val="24"/>
        </w:rPr>
      </w:pPr>
    </w:p>
    <w:p w14:paraId="49341106" w14:textId="31378232" w:rsidR="0057610B" w:rsidRPr="007C5EFC" w:rsidRDefault="009B7D65" w:rsidP="00237073">
      <w:pPr>
        <w:pStyle w:val="Normal1"/>
        <w:tabs>
          <w:tab w:val="left" w:pos="709"/>
        </w:tabs>
        <w:spacing w:after="0" w:line="360" w:lineRule="auto"/>
        <w:ind w:right="72"/>
        <w:contextualSpacing/>
        <w:jc w:val="both"/>
        <w:rPr>
          <w:rFonts w:ascii="Arial" w:eastAsia="Arial" w:hAnsi="Arial" w:cs="Arial"/>
          <w:sz w:val="24"/>
          <w:szCs w:val="24"/>
        </w:rPr>
      </w:pPr>
      <w:r>
        <w:rPr>
          <w:rFonts w:ascii="Arial" w:eastAsia="Arial" w:hAnsi="Arial" w:cs="Arial"/>
          <w:sz w:val="24"/>
          <w:szCs w:val="24"/>
        </w:rPr>
        <w:t>[3</w:t>
      </w:r>
      <w:r w:rsidR="00E136C1">
        <w:rPr>
          <w:rFonts w:ascii="Arial" w:eastAsia="Arial" w:hAnsi="Arial" w:cs="Arial"/>
          <w:sz w:val="24"/>
          <w:szCs w:val="24"/>
        </w:rPr>
        <w:t xml:space="preserve">5]  </w:t>
      </w:r>
      <w:r w:rsidR="00E136C1">
        <w:rPr>
          <w:rFonts w:ascii="Arial" w:eastAsia="Arial" w:hAnsi="Arial" w:cs="Arial"/>
          <w:sz w:val="24"/>
          <w:szCs w:val="24"/>
        </w:rPr>
        <w:tab/>
        <w:t>But it suffices that, for the purposes of deciding this appeal, the summons sought provisional sentence based upon a foreign judgment th</w:t>
      </w:r>
      <w:r w:rsidR="002C3D52">
        <w:rPr>
          <w:rFonts w:ascii="Arial" w:eastAsia="Arial" w:hAnsi="Arial" w:cs="Arial"/>
          <w:sz w:val="24"/>
          <w:szCs w:val="24"/>
        </w:rPr>
        <w:t>at is not a money judgment, as we</w:t>
      </w:r>
      <w:r w:rsidR="00E136C1">
        <w:rPr>
          <w:rFonts w:ascii="Arial" w:eastAsia="Arial" w:hAnsi="Arial" w:cs="Arial"/>
          <w:sz w:val="24"/>
          <w:szCs w:val="24"/>
        </w:rPr>
        <w:t xml:space="preserve"> have explained. Once that is so, provisional sentence cannot be granted, on the cause of action set out in the summons. The California Court Orders do not constitute a liquid document evidencing an unconditional acknowledgement of indebtedness, in a fixed sum of money. The appeal must accordingly fail.</w:t>
      </w:r>
    </w:p>
    <w:p w14:paraId="6D7DE2AD" w14:textId="77777777" w:rsidR="0057610B" w:rsidRDefault="0057610B" w:rsidP="00237073">
      <w:pPr>
        <w:pStyle w:val="Normal1"/>
        <w:tabs>
          <w:tab w:val="left" w:pos="709"/>
        </w:tabs>
        <w:spacing w:after="0" w:line="360" w:lineRule="auto"/>
        <w:ind w:right="72"/>
        <w:contextualSpacing/>
        <w:jc w:val="both"/>
        <w:rPr>
          <w:rFonts w:ascii="Arial" w:eastAsia="Arial" w:hAnsi="Arial" w:cs="Arial"/>
          <w:sz w:val="24"/>
          <w:szCs w:val="24"/>
        </w:rPr>
      </w:pPr>
    </w:p>
    <w:p w14:paraId="116DFC57" w14:textId="1425749C" w:rsidR="0057610B" w:rsidRPr="006672D9" w:rsidRDefault="009B7D65" w:rsidP="00237073">
      <w:pPr>
        <w:pStyle w:val="Normal1"/>
        <w:spacing w:after="0" w:line="360" w:lineRule="auto"/>
        <w:jc w:val="both"/>
        <w:rPr>
          <w:rFonts w:ascii="Arial" w:eastAsia="Arial" w:hAnsi="Arial" w:cs="Arial"/>
          <w:sz w:val="24"/>
          <w:szCs w:val="24"/>
        </w:rPr>
      </w:pPr>
      <w:r>
        <w:rPr>
          <w:rFonts w:ascii="Arial" w:eastAsia="Arial" w:hAnsi="Arial" w:cs="Arial"/>
          <w:sz w:val="24"/>
          <w:szCs w:val="24"/>
        </w:rPr>
        <w:t>[36</w:t>
      </w:r>
      <w:r w:rsidR="0057610B">
        <w:rPr>
          <w:rFonts w:ascii="Arial" w:eastAsia="Arial" w:hAnsi="Arial" w:cs="Arial"/>
          <w:sz w:val="24"/>
          <w:szCs w:val="24"/>
        </w:rPr>
        <w:t xml:space="preserve">]   </w:t>
      </w:r>
      <w:r w:rsidR="00741D5D">
        <w:rPr>
          <w:rFonts w:ascii="Arial" w:eastAsia="Arial" w:hAnsi="Arial" w:cs="Arial"/>
          <w:sz w:val="24"/>
          <w:szCs w:val="24"/>
        </w:rPr>
        <w:t>T</w:t>
      </w:r>
      <w:r w:rsidR="0057610B" w:rsidRPr="006672D9">
        <w:rPr>
          <w:rFonts w:ascii="Arial" w:eastAsia="Arial" w:hAnsi="Arial" w:cs="Arial"/>
          <w:sz w:val="24"/>
          <w:szCs w:val="24"/>
        </w:rPr>
        <w:t>he high court was correct to refuse provisional sentence.</w:t>
      </w:r>
      <w:r w:rsidR="00741D5D">
        <w:rPr>
          <w:rFonts w:ascii="Arial" w:eastAsia="Arial" w:hAnsi="Arial" w:cs="Arial"/>
          <w:sz w:val="24"/>
          <w:szCs w:val="24"/>
        </w:rPr>
        <w:t xml:space="preserve"> However, we reach this conclusion</w:t>
      </w:r>
      <w:r w:rsidR="009425B9">
        <w:rPr>
          <w:rFonts w:ascii="Arial" w:eastAsia="Arial" w:hAnsi="Arial" w:cs="Arial"/>
          <w:sz w:val="24"/>
          <w:szCs w:val="24"/>
        </w:rPr>
        <w:t xml:space="preserve"> for d</w:t>
      </w:r>
      <w:r w:rsidR="002C3D52">
        <w:rPr>
          <w:rFonts w:ascii="Arial" w:eastAsia="Arial" w:hAnsi="Arial" w:cs="Arial"/>
          <w:sz w:val="24"/>
          <w:szCs w:val="24"/>
        </w:rPr>
        <w:t>iffer</w:t>
      </w:r>
      <w:r w:rsidR="000F1792">
        <w:rPr>
          <w:rFonts w:ascii="Arial" w:eastAsia="Arial" w:hAnsi="Arial" w:cs="Arial"/>
          <w:sz w:val="24"/>
          <w:szCs w:val="24"/>
        </w:rPr>
        <w:t>ent reasons. In our view, i</w:t>
      </w:r>
      <w:r w:rsidR="002C3D52">
        <w:rPr>
          <w:rFonts w:ascii="Arial" w:eastAsia="Arial" w:hAnsi="Arial" w:cs="Arial"/>
          <w:sz w:val="24"/>
          <w:szCs w:val="24"/>
        </w:rPr>
        <w:t>t is not</w:t>
      </w:r>
      <w:r w:rsidR="009425B9">
        <w:rPr>
          <w:rFonts w:ascii="Arial" w:eastAsia="Arial" w:hAnsi="Arial" w:cs="Arial"/>
          <w:sz w:val="24"/>
          <w:szCs w:val="24"/>
        </w:rPr>
        <w:t xml:space="preserve"> the recourse of the appellants to extrinsic evidence that rendered provisional sentence unavailable to them. </w:t>
      </w:r>
      <w:r w:rsidR="00B81919">
        <w:rPr>
          <w:rFonts w:ascii="Arial" w:eastAsia="Arial" w:hAnsi="Arial" w:cs="Arial"/>
          <w:sz w:val="24"/>
          <w:szCs w:val="24"/>
        </w:rPr>
        <w:t>Rather, the</w:t>
      </w:r>
      <w:r w:rsidR="009425B9">
        <w:rPr>
          <w:rFonts w:ascii="Arial" w:eastAsia="Arial" w:hAnsi="Arial" w:cs="Arial"/>
          <w:sz w:val="24"/>
          <w:szCs w:val="24"/>
        </w:rPr>
        <w:t xml:space="preserve"> foreign judgment they relied upon is not a money judgment, and hence not a liquid document.</w:t>
      </w:r>
      <w:r w:rsidR="0057610B" w:rsidRPr="006672D9">
        <w:rPr>
          <w:rFonts w:ascii="Arial" w:eastAsia="Arial" w:hAnsi="Arial" w:cs="Arial"/>
          <w:sz w:val="24"/>
          <w:szCs w:val="24"/>
        </w:rPr>
        <w:t xml:space="preserve"> </w:t>
      </w:r>
      <w:r w:rsidR="009425B9">
        <w:rPr>
          <w:rFonts w:ascii="Arial" w:eastAsia="Arial" w:hAnsi="Arial" w:cs="Arial"/>
          <w:sz w:val="24"/>
          <w:szCs w:val="24"/>
        </w:rPr>
        <w:t>T</w:t>
      </w:r>
      <w:r w:rsidR="0057610B" w:rsidRPr="006672D9">
        <w:rPr>
          <w:rFonts w:ascii="Arial" w:eastAsia="Arial" w:hAnsi="Arial" w:cs="Arial"/>
          <w:sz w:val="24"/>
          <w:szCs w:val="24"/>
        </w:rPr>
        <w:t xml:space="preserve">he appeal must </w:t>
      </w:r>
      <w:r w:rsidR="009425B9">
        <w:rPr>
          <w:rFonts w:ascii="Arial" w:eastAsia="Arial" w:hAnsi="Arial" w:cs="Arial"/>
          <w:sz w:val="24"/>
          <w:szCs w:val="24"/>
        </w:rPr>
        <w:t xml:space="preserve">accordingly </w:t>
      </w:r>
      <w:r w:rsidR="0057610B" w:rsidRPr="006672D9">
        <w:rPr>
          <w:rFonts w:ascii="Arial" w:eastAsia="Arial" w:hAnsi="Arial" w:cs="Arial"/>
          <w:sz w:val="24"/>
          <w:szCs w:val="24"/>
        </w:rPr>
        <w:t>fail</w:t>
      </w:r>
      <w:r w:rsidR="009425B9">
        <w:rPr>
          <w:rFonts w:ascii="Arial" w:eastAsia="Arial" w:hAnsi="Arial" w:cs="Arial"/>
          <w:sz w:val="24"/>
          <w:szCs w:val="24"/>
        </w:rPr>
        <w:t>,</w:t>
      </w:r>
      <w:r w:rsidR="0057610B" w:rsidRPr="006672D9">
        <w:rPr>
          <w:rFonts w:ascii="Arial" w:eastAsia="Arial" w:hAnsi="Arial" w:cs="Arial"/>
          <w:sz w:val="24"/>
          <w:szCs w:val="24"/>
        </w:rPr>
        <w:t xml:space="preserve"> and there is no reason why costs should not follow the result.</w:t>
      </w:r>
    </w:p>
    <w:p w14:paraId="437641E3" w14:textId="77777777" w:rsidR="0057610B" w:rsidRPr="006672D9" w:rsidRDefault="0057610B" w:rsidP="00237073">
      <w:pPr>
        <w:pStyle w:val="Normal1"/>
        <w:spacing w:after="0" w:line="360" w:lineRule="auto"/>
        <w:jc w:val="both"/>
        <w:rPr>
          <w:rFonts w:ascii="Arial" w:eastAsia="Arial" w:hAnsi="Arial" w:cs="Arial"/>
          <w:sz w:val="24"/>
          <w:szCs w:val="24"/>
        </w:rPr>
      </w:pPr>
    </w:p>
    <w:p w14:paraId="2ACA88B8" w14:textId="0C4E4DC6" w:rsidR="0057610B" w:rsidRPr="006672D9" w:rsidRDefault="009B7D65" w:rsidP="00237073">
      <w:pPr>
        <w:pStyle w:val="Normal1"/>
        <w:spacing w:after="0" w:line="360" w:lineRule="auto"/>
        <w:jc w:val="both"/>
        <w:rPr>
          <w:rFonts w:ascii="Arial" w:eastAsia="Arial" w:hAnsi="Arial" w:cs="Arial"/>
          <w:sz w:val="24"/>
          <w:szCs w:val="24"/>
        </w:rPr>
      </w:pPr>
      <w:r>
        <w:rPr>
          <w:rFonts w:ascii="Arial" w:eastAsia="Arial" w:hAnsi="Arial" w:cs="Arial"/>
          <w:sz w:val="24"/>
          <w:szCs w:val="24"/>
        </w:rPr>
        <w:lastRenderedPageBreak/>
        <w:t>[37</w:t>
      </w:r>
      <w:r w:rsidR="0057610B" w:rsidRPr="006672D9">
        <w:rPr>
          <w:rFonts w:ascii="Arial" w:eastAsia="Arial" w:hAnsi="Arial" w:cs="Arial"/>
          <w:sz w:val="24"/>
          <w:szCs w:val="24"/>
        </w:rPr>
        <w:t>]</w:t>
      </w:r>
      <w:r w:rsidR="0057610B" w:rsidRPr="006672D9">
        <w:rPr>
          <w:rFonts w:ascii="Arial" w:eastAsia="Arial" w:hAnsi="Arial" w:cs="Arial"/>
          <w:sz w:val="24"/>
          <w:szCs w:val="24"/>
        </w:rPr>
        <w:tab/>
      </w:r>
      <w:r w:rsidR="009425B9">
        <w:rPr>
          <w:rFonts w:ascii="Arial" w:eastAsia="Arial" w:hAnsi="Arial" w:cs="Arial"/>
          <w:sz w:val="24"/>
          <w:szCs w:val="24"/>
        </w:rPr>
        <w:t>T</w:t>
      </w:r>
      <w:r w:rsidR="0057610B" w:rsidRPr="006672D9">
        <w:rPr>
          <w:rFonts w:ascii="Arial" w:eastAsia="Arial" w:hAnsi="Arial" w:cs="Arial"/>
          <w:sz w:val="24"/>
          <w:szCs w:val="24"/>
        </w:rPr>
        <w:t>he following order is made:</w:t>
      </w:r>
    </w:p>
    <w:p w14:paraId="36EBB9DC" w14:textId="77777777" w:rsidR="0057610B" w:rsidRPr="006672D9" w:rsidRDefault="0057610B" w:rsidP="00237073">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The appeal is dismissed with costs, including the costs of two counsel where so employed.</w:t>
      </w:r>
    </w:p>
    <w:p w14:paraId="0C45FD8C" w14:textId="77777777" w:rsidR="0057610B" w:rsidRPr="006672D9" w:rsidRDefault="0057610B" w:rsidP="00237073">
      <w:pPr>
        <w:pStyle w:val="Normal1"/>
        <w:spacing w:after="0" w:line="360" w:lineRule="auto"/>
        <w:jc w:val="both"/>
        <w:rPr>
          <w:rFonts w:ascii="Arial" w:eastAsia="Arial" w:hAnsi="Arial" w:cs="Arial"/>
          <w:b/>
          <w:sz w:val="24"/>
          <w:szCs w:val="24"/>
        </w:rPr>
      </w:pPr>
    </w:p>
    <w:p w14:paraId="741CA86A" w14:textId="77777777" w:rsidR="0057610B" w:rsidRPr="006672D9" w:rsidRDefault="0057610B" w:rsidP="00237073">
      <w:pPr>
        <w:pStyle w:val="Normal1"/>
        <w:spacing w:after="0" w:line="360" w:lineRule="auto"/>
        <w:jc w:val="both"/>
        <w:rPr>
          <w:rFonts w:ascii="Arial" w:eastAsia="Arial" w:hAnsi="Arial" w:cs="Arial"/>
          <w:b/>
          <w:sz w:val="24"/>
          <w:szCs w:val="24"/>
        </w:rPr>
      </w:pPr>
    </w:p>
    <w:p w14:paraId="0A75F26E" w14:textId="77777777" w:rsidR="0057610B" w:rsidRPr="006672D9" w:rsidRDefault="0057610B" w:rsidP="00237073">
      <w:pPr>
        <w:pStyle w:val="Normal1"/>
        <w:spacing w:after="0" w:line="360" w:lineRule="auto"/>
        <w:jc w:val="both"/>
        <w:rPr>
          <w:rFonts w:ascii="Arial" w:eastAsia="Arial" w:hAnsi="Arial" w:cs="Arial"/>
          <w:b/>
          <w:sz w:val="24"/>
          <w:szCs w:val="24"/>
        </w:rPr>
      </w:pPr>
    </w:p>
    <w:p w14:paraId="69E22C77" w14:textId="77777777" w:rsidR="0057610B" w:rsidRPr="006672D9" w:rsidRDefault="0057610B" w:rsidP="00237073">
      <w:pPr>
        <w:pStyle w:val="Normal1"/>
        <w:spacing w:after="0" w:line="360" w:lineRule="auto"/>
        <w:jc w:val="both"/>
        <w:rPr>
          <w:rFonts w:ascii="Arial" w:eastAsia="Arial" w:hAnsi="Arial" w:cs="Arial"/>
          <w:b/>
          <w:sz w:val="24"/>
          <w:szCs w:val="24"/>
        </w:rPr>
      </w:pPr>
    </w:p>
    <w:p w14:paraId="24D0CE83" w14:textId="5BC9C40A" w:rsidR="0057610B" w:rsidRPr="006672D9" w:rsidRDefault="0057610B" w:rsidP="00EA172E">
      <w:pPr>
        <w:pStyle w:val="Normal1"/>
        <w:spacing w:after="0" w:line="360" w:lineRule="auto"/>
        <w:jc w:val="right"/>
        <w:rPr>
          <w:rFonts w:ascii="Arial" w:eastAsia="Arial" w:hAnsi="Arial" w:cs="Arial"/>
          <w:sz w:val="24"/>
          <w:szCs w:val="24"/>
        </w:rPr>
      </w:pPr>
    </w:p>
    <w:p w14:paraId="798F4609" w14:textId="77777777" w:rsidR="0057610B" w:rsidRPr="006672D9" w:rsidRDefault="0057610B" w:rsidP="00237073">
      <w:pPr>
        <w:pStyle w:val="Normal1"/>
        <w:spacing w:after="0" w:line="360" w:lineRule="auto"/>
        <w:ind w:right="72"/>
        <w:contextualSpacing/>
        <w:jc w:val="right"/>
        <w:rPr>
          <w:rFonts w:ascii="Arial" w:eastAsia="Arial" w:hAnsi="Arial" w:cs="Arial"/>
          <w:sz w:val="24"/>
          <w:szCs w:val="24"/>
        </w:rPr>
      </w:pPr>
      <w:r w:rsidRPr="006672D9">
        <w:rPr>
          <w:rFonts w:ascii="Arial" w:eastAsia="Arial" w:hAnsi="Arial" w:cs="Arial"/>
          <w:sz w:val="24"/>
          <w:szCs w:val="24"/>
        </w:rPr>
        <w:t>___________________</w:t>
      </w:r>
    </w:p>
    <w:p w14:paraId="087ECE4B" w14:textId="77777777" w:rsidR="0057610B" w:rsidRPr="006672D9" w:rsidRDefault="0057610B" w:rsidP="00237073">
      <w:pPr>
        <w:pStyle w:val="Normal1"/>
        <w:spacing w:after="0" w:line="360" w:lineRule="auto"/>
        <w:ind w:right="72"/>
        <w:contextualSpacing/>
        <w:jc w:val="right"/>
        <w:rPr>
          <w:rFonts w:ascii="Arial" w:eastAsia="Arial" w:hAnsi="Arial" w:cs="Arial"/>
          <w:sz w:val="24"/>
          <w:szCs w:val="24"/>
        </w:rPr>
      </w:pPr>
      <w:r w:rsidRPr="006672D9">
        <w:rPr>
          <w:rFonts w:ascii="Arial" w:eastAsia="Arial" w:hAnsi="Arial" w:cs="Arial"/>
          <w:sz w:val="24"/>
          <w:szCs w:val="24"/>
        </w:rPr>
        <w:t>W HUGHES</w:t>
      </w:r>
    </w:p>
    <w:p w14:paraId="03BCD2DD" w14:textId="441DF828" w:rsidR="0057610B" w:rsidRDefault="0057610B" w:rsidP="00237073">
      <w:pPr>
        <w:pStyle w:val="Normal1"/>
        <w:spacing w:after="0" w:line="360" w:lineRule="auto"/>
        <w:ind w:right="72"/>
        <w:contextualSpacing/>
        <w:jc w:val="right"/>
        <w:rPr>
          <w:rFonts w:ascii="Arial" w:eastAsia="Arial" w:hAnsi="Arial" w:cs="Arial"/>
          <w:sz w:val="24"/>
          <w:szCs w:val="24"/>
        </w:rPr>
      </w:pPr>
      <w:r w:rsidRPr="006672D9">
        <w:rPr>
          <w:rFonts w:ascii="Arial" w:eastAsia="Arial" w:hAnsi="Arial" w:cs="Arial"/>
          <w:sz w:val="24"/>
          <w:szCs w:val="24"/>
        </w:rPr>
        <w:t>JUDGE OF APPEAL</w:t>
      </w:r>
    </w:p>
    <w:p w14:paraId="7DF223ED" w14:textId="2D4AC6AF" w:rsidR="0057610B" w:rsidRDefault="0057610B" w:rsidP="00237073">
      <w:pPr>
        <w:pStyle w:val="Normal1"/>
        <w:tabs>
          <w:tab w:val="left" w:pos="709"/>
        </w:tabs>
        <w:spacing w:after="0" w:line="360" w:lineRule="auto"/>
        <w:ind w:right="72"/>
        <w:contextualSpacing/>
        <w:jc w:val="both"/>
        <w:rPr>
          <w:rFonts w:ascii="Arial" w:eastAsia="Arial" w:hAnsi="Arial" w:cs="Arial"/>
          <w:sz w:val="24"/>
          <w:szCs w:val="24"/>
        </w:rPr>
      </w:pPr>
    </w:p>
    <w:p w14:paraId="4D592B6A" w14:textId="103C7AC4" w:rsidR="0057610B" w:rsidRDefault="0057610B" w:rsidP="00237073">
      <w:pPr>
        <w:pStyle w:val="Normal1"/>
        <w:spacing w:after="0" w:line="360" w:lineRule="auto"/>
        <w:jc w:val="both"/>
        <w:rPr>
          <w:rFonts w:ascii="Arial" w:eastAsia="Arial" w:hAnsi="Arial" w:cs="Arial"/>
          <w:sz w:val="24"/>
          <w:szCs w:val="24"/>
        </w:rPr>
      </w:pPr>
    </w:p>
    <w:p w14:paraId="70E36622" w14:textId="2E81C618" w:rsidR="0057610B" w:rsidRDefault="0057610B" w:rsidP="00237073">
      <w:pPr>
        <w:pStyle w:val="Normal1"/>
        <w:spacing w:after="0" w:line="360" w:lineRule="auto"/>
        <w:jc w:val="both"/>
        <w:rPr>
          <w:rFonts w:ascii="Arial" w:eastAsia="Arial" w:hAnsi="Arial" w:cs="Arial"/>
          <w:sz w:val="24"/>
          <w:szCs w:val="24"/>
        </w:rPr>
      </w:pPr>
    </w:p>
    <w:p w14:paraId="5ED22461" w14:textId="77777777" w:rsidR="0057610B" w:rsidRPr="006672D9" w:rsidRDefault="0057610B" w:rsidP="00237073">
      <w:pPr>
        <w:pStyle w:val="Normal1"/>
        <w:spacing w:after="0" w:line="360" w:lineRule="auto"/>
        <w:ind w:right="72"/>
        <w:contextualSpacing/>
        <w:jc w:val="right"/>
        <w:rPr>
          <w:rFonts w:ascii="Arial" w:eastAsia="Arial" w:hAnsi="Arial" w:cs="Arial"/>
          <w:sz w:val="24"/>
          <w:szCs w:val="24"/>
        </w:rPr>
      </w:pPr>
      <w:r w:rsidRPr="006672D9">
        <w:rPr>
          <w:rFonts w:ascii="Arial" w:eastAsia="Arial" w:hAnsi="Arial" w:cs="Arial"/>
          <w:sz w:val="24"/>
          <w:szCs w:val="24"/>
        </w:rPr>
        <w:t>___________________</w:t>
      </w:r>
    </w:p>
    <w:p w14:paraId="3ECA8B02" w14:textId="77777777" w:rsidR="0057610B" w:rsidRPr="006672D9" w:rsidRDefault="0057610B" w:rsidP="00237073">
      <w:pPr>
        <w:pStyle w:val="Normal1"/>
        <w:spacing w:after="0" w:line="360" w:lineRule="auto"/>
        <w:ind w:right="72"/>
        <w:contextualSpacing/>
        <w:jc w:val="right"/>
        <w:rPr>
          <w:rFonts w:ascii="Arial" w:eastAsia="Arial" w:hAnsi="Arial" w:cs="Arial"/>
          <w:sz w:val="24"/>
          <w:szCs w:val="24"/>
        </w:rPr>
      </w:pPr>
      <w:r>
        <w:rPr>
          <w:rFonts w:ascii="Arial" w:eastAsia="Arial" w:hAnsi="Arial" w:cs="Arial"/>
          <w:sz w:val="24"/>
          <w:szCs w:val="24"/>
        </w:rPr>
        <w:t>D N UNTERHALTER</w:t>
      </w:r>
    </w:p>
    <w:p w14:paraId="7B43A989" w14:textId="77777777" w:rsidR="0057610B" w:rsidRDefault="0057610B" w:rsidP="00237073">
      <w:pPr>
        <w:pStyle w:val="Normal1"/>
        <w:spacing w:after="0" w:line="360" w:lineRule="auto"/>
        <w:ind w:right="72"/>
        <w:contextualSpacing/>
        <w:jc w:val="right"/>
        <w:rPr>
          <w:rFonts w:ascii="Arial" w:eastAsia="Arial" w:hAnsi="Arial" w:cs="Arial"/>
          <w:sz w:val="24"/>
          <w:szCs w:val="24"/>
        </w:rPr>
      </w:pPr>
      <w:r>
        <w:rPr>
          <w:rFonts w:ascii="Arial" w:eastAsia="Arial" w:hAnsi="Arial" w:cs="Arial"/>
          <w:sz w:val="24"/>
          <w:szCs w:val="24"/>
        </w:rPr>
        <w:t xml:space="preserve">ACTING </w:t>
      </w:r>
      <w:r w:rsidRPr="006672D9">
        <w:rPr>
          <w:rFonts w:ascii="Arial" w:eastAsia="Arial" w:hAnsi="Arial" w:cs="Arial"/>
          <w:sz w:val="24"/>
          <w:szCs w:val="24"/>
        </w:rPr>
        <w:t>JUDGE OF APPEAL</w:t>
      </w:r>
    </w:p>
    <w:p w14:paraId="6DCBD67E" w14:textId="77777777" w:rsidR="0057610B" w:rsidRDefault="0057610B" w:rsidP="00237073">
      <w:pPr>
        <w:pStyle w:val="Normal1"/>
        <w:spacing w:after="0" w:line="360" w:lineRule="auto"/>
        <w:jc w:val="both"/>
        <w:rPr>
          <w:rFonts w:ascii="Arial" w:eastAsia="Arial" w:hAnsi="Arial" w:cs="Arial"/>
          <w:sz w:val="24"/>
          <w:szCs w:val="24"/>
        </w:rPr>
      </w:pPr>
    </w:p>
    <w:p w14:paraId="3FF08500" w14:textId="77777777" w:rsidR="0057610B" w:rsidRDefault="0057610B" w:rsidP="00237073">
      <w:pPr>
        <w:pStyle w:val="Normal1"/>
        <w:spacing w:after="0" w:line="360" w:lineRule="auto"/>
        <w:jc w:val="both"/>
        <w:rPr>
          <w:rFonts w:ascii="Arial" w:eastAsia="Arial" w:hAnsi="Arial" w:cs="Arial"/>
          <w:sz w:val="24"/>
          <w:szCs w:val="24"/>
        </w:rPr>
      </w:pPr>
    </w:p>
    <w:p w14:paraId="092B3A21" w14:textId="77777777" w:rsidR="0057610B" w:rsidRDefault="0057610B" w:rsidP="00237073">
      <w:pPr>
        <w:pStyle w:val="Normal1"/>
        <w:spacing w:after="0" w:line="360" w:lineRule="auto"/>
        <w:jc w:val="both"/>
        <w:rPr>
          <w:rFonts w:ascii="Arial" w:eastAsia="Arial" w:hAnsi="Arial" w:cs="Arial"/>
          <w:sz w:val="24"/>
          <w:szCs w:val="24"/>
        </w:rPr>
      </w:pPr>
    </w:p>
    <w:p w14:paraId="5A61B165" w14:textId="77777777" w:rsidR="0057610B" w:rsidRDefault="0057610B" w:rsidP="00237073">
      <w:pPr>
        <w:pStyle w:val="Normal1"/>
        <w:spacing w:after="0" w:line="360" w:lineRule="auto"/>
        <w:jc w:val="both"/>
        <w:rPr>
          <w:rFonts w:ascii="Arial" w:eastAsia="Arial" w:hAnsi="Arial" w:cs="Arial"/>
          <w:sz w:val="24"/>
          <w:szCs w:val="24"/>
        </w:rPr>
      </w:pPr>
    </w:p>
    <w:p w14:paraId="70DF4C60" w14:textId="77777777" w:rsidR="0057610B" w:rsidRDefault="0057610B" w:rsidP="00237073">
      <w:pPr>
        <w:pStyle w:val="Normal1"/>
        <w:spacing w:after="0" w:line="360" w:lineRule="auto"/>
        <w:jc w:val="both"/>
        <w:rPr>
          <w:rFonts w:ascii="Arial" w:eastAsia="Arial" w:hAnsi="Arial" w:cs="Arial"/>
          <w:sz w:val="24"/>
          <w:szCs w:val="24"/>
        </w:rPr>
      </w:pPr>
    </w:p>
    <w:p w14:paraId="4181F32A" w14:textId="77777777" w:rsidR="0057610B" w:rsidRDefault="0057610B" w:rsidP="00237073">
      <w:pPr>
        <w:pStyle w:val="Normal1"/>
        <w:spacing w:after="0" w:line="360" w:lineRule="auto"/>
        <w:jc w:val="both"/>
        <w:rPr>
          <w:rFonts w:ascii="Arial" w:eastAsia="Arial" w:hAnsi="Arial" w:cs="Arial"/>
          <w:sz w:val="24"/>
          <w:szCs w:val="24"/>
        </w:rPr>
      </w:pPr>
    </w:p>
    <w:p w14:paraId="315A6880" w14:textId="77777777" w:rsidR="0057610B" w:rsidRDefault="0057610B" w:rsidP="00237073">
      <w:pPr>
        <w:pStyle w:val="Normal1"/>
        <w:spacing w:after="0" w:line="360" w:lineRule="auto"/>
        <w:jc w:val="both"/>
        <w:rPr>
          <w:rFonts w:ascii="Arial" w:eastAsia="Arial" w:hAnsi="Arial" w:cs="Arial"/>
          <w:sz w:val="24"/>
          <w:szCs w:val="24"/>
        </w:rPr>
      </w:pPr>
    </w:p>
    <w:p w14:paraId="7467D2F5" w14:textId="26D83A8B" w:rsidR="0057610B" w:rsidRDefault="0057610B" w:rsidP="00237073">
      <w:pPr>
        <w:pStyle w:val="Normal1"/>
        <w:spacing w:after="0" w:line="360" w:lineRule="auto"/>
        <w:jc w:val="both"/>
        <w:rPr>
          <w:rFonts w:ascii="Arial" w:eastAsia="Arial" w:hAnsi="Arial" w:cs="Arial"/>
          <w:sz w:val="24"/>
          <w:szCs w:val="24"/>
        </w:rPr>
      </w:pPr>
    </w:p>
    <w:p w14:paraId="504AC08F" w14:textId="5C4FF034" w:rsidR="00907A23" w:rsidRDefault="00907A23" w:rsidP="00237073">
      <w:pPr>
        <w:pStyle w:val="Normal1"/>
        <w:spacing w:after="0" w:line="360" w:lineRule="auto"/>
        <w:jc w:val="both"/>
        <w:rPr>
          <w:rFonts w:ascii="Arial" w:eastAsia="Arial" w:hAnsi="Arial" w:cs="Arial"/>
          <w:sz w:val="24"/>
          <w:szCs w:val="24"/>
        </w:rPr>
      </w:pPr>
    </w:p>
    <w:p w14:paraId="01BEE96A" w14:textId="5E51D8B5" w:rsidR="00907A23" w:rsidRDefault="00907A23" w:rsidP="00237073">
      <w:pPr>
        <w:pStyle w:val="Normal1"/>
        <w:spacing w:after="0" w:line="360" w:lineRule="auto"/>
        <w:jc w:val="both"/>
        <w:rPr>
          <w:rFonts w:ascii="Arial" w:eastAsia="Arial" w:hAnsi="Arial" w:cs="Arial"/>
          <w:sz w:val="24"/>
          <w:szCs w:val="24"/>
        </w:rPr>
      </w:pPr>
    </w:p>
    <w:p w14:paraId="04F38933" w14:textId="3CAD5463" w:rsidR="00907A23" w:rsidRDefault="00907A23" w:rsidP="00237073">
      <w:pPr>
        <w:pStyle w:val="Normal1"/>
        <w:spacing w:after="0" w:line="360" w:lineRule="auto"/>
        <w:jc w:val="both"/>
        <w:rPr>
          <w:rFonts w:ascii="Arial" w:eastAsia="Arial" w:hAnsi="Arial" w:cs="Arial"/>
          <w:sz w:val="24"/>
          <w:szCs w:val="24"/>
        </w:rPr>
      </w:pPr>
    </w:p>
    <w:p w14:paraId="608B34ED" w14:textId="0516CB44" w:rsidR="00907A23" w:rsidRDefault="00907A23" w:rsidP="00237073">
      <w:pPr>
        <w:pStyle w:val="Normal1"/>
        <w:spacing w:after="0" w:line="360" w:lineRule="auto"/>
        <w:jc w:val="both"/>
        <w:rPr>
          <w:rFonts w:ascii="Arial" w:eastAsia="Arial" w:hAnsi="Arial" w:cs="Arial"/>
          <w:sz w:val="24"/>
          <w:szCs w:val="24"/>
        </w:rPr>
      </w:pPr>
    </w:p>
    <w:p w14:paraId="5680B576" w14:textId="21352FCA" w:rsidR="00907A23" w:rsidRDefault="00907A23" w:rsidP="00237073">
      <w:pPr>
        <w:pStyle w:val="Normal1"/>
        <w:spacing w:after="0" w:line="360" w:lineRule="auto"/>
        <w:jc w:val="both"/>
        <w:rPr>
          <w:rFonts w:ascii="Arial" w:eastAsia="Arial" w:hAnsi="Arial" w:cs="Arial"/>
          <w:sz w:val="24"/>
          <w:szCs w:val="24"/>
        </w:rPr>
      </w:pPr>
    </w:p>
    <w:p w14:paraId="107720D7" w14:textId="2A62CEFB" w:rsidR="00907A23" w:rsidRDefault="00907A23" w:rsidP="00237073">
      <w:pPr>
        <w:pStyle w:val="Normal1"/>
        <w:spacing w:after="0" w:line="360" w:lineRule="auto"/>
        <w:jc w:val="both"/>
        <w:rPr>
          <w:rFonts w:ascii="Arial" w:eastAsia="Arial" w:hAnsi="Arial" w:cs="Arial"/>
          <w:sz w:val="24"/>
          <w:szCs w:val="24"/>
        </w:rPr>
      </w:pPr>
    </w:p>
    <w:p w14:paraId="2BAB4814" w14:textId="77777777" w:rsidR="00907A23" w:rsidRDefault="00907A23" w:rsidP="00237073">
      <w:pPr>
        <w:pStyle w:val="Normal1"/>
        <w:spacing w:after="0" w:line="360" w:lineRule="auto"/>
        <w:jc w:val="both"/>
        <w:rPr>
          <w:rFonts w:ascii="Arial" w:eastAsia="Arial" w:hAnsi="Arial" w:cs="Arial"/>
          <w:sz w:val="24"/>
          <w:szCs w:val="24"/>
        </w:rPr>
      </w:pPr>
    </w:p>
    <w:p w14:paraId="4E1506C0" w14:textId="77777777" w:rsidR="0057610B" w:rsidRDefault="0057610B" w:rsidP="00237073">
      <w:pPr>
        <w:pStyle w:val="Normal1"/>
        <w:spacing w:after="0" w:line="360" w:lineRule="auto"/>
        <w:jc w:val="both"/>
        <w:rPr>
          <w:rFonts w:ascii="Arial" w:eastAsia="Arial" w:hAnsi="Arial" w:cs="Arial"/>
          <w:sz w:val="24"/>
          <w:szCs w:val="24"/>
        </w:rPr>
      </w:pPr>
    </w:p>
    <w:p w14:paraId="3D5EB5B6" w14:textId="47AB41A5" w:rsidR="0057610B" w:rsidRDefault="0057610B" w:rsidP="00237073">
      <w:pPr>
        <w:pStyle w:val="Normal1"/>
        <w:spacing w:after="0" w:line="360" w:lineRule="auto"/>
        <w:jc w:val="both"/>
        <w:rPr>
          <w:rFonts w:ascii="Arial" w:eastAsia="Arial" w:hAnsi="Arial" w:cs="Arial"/>
          <w:sz w:val="24"/>
          <w:szCs w:val="24"/>
        </w:rPr>
      </w:pPr>
    </w:p>
    <w:p w14:paraId="756DDEC8" w14:textId="77777777" w:rsidR="00F3468C" w:rsidRPr="006672D9" w:rsidRDefault="006318D0" w:rsidP="00237073">
      <w:pPr>
        <w:pStyle w:val="Normal1"/>
        <w:spacing w:after="0" w:line="360" w:lineRule="auto"/>
        <w:ind w:right="72"/>
        <w:contextualSpacing/>
        <w:jc w:val="both"/>
        <w:rPr>
          <w:rFonts w:ascii="Arial" w:eastAsia="Arial" w:hAnsi="Arial" w:cs="Arial"/>
          <w:sz w:val="24"/>
          <w:szCs w:val="24"/>
        </w:rPr>
      </w:pPr>
      <w:r>
        <w:rPr>
          <w:rFonts w:ascii="Arial" w:eastAsia="Arial" w:hAnsi="Arial" w:cs="Arial"/>
          <w:sz w:val="24"/>
          <w:szCs w:val="24"/>
        </w:rPr>
        <w:lastRenderedPageBreak/>
        <w:t>A</w:t>
      </w:r>
      <w:r w:rsidR="00EC2637" w:rsidRPr="006672D9">
        <w:rPr>
          <w:rFonts w:ascii="Arial" w:eastAsia="Arial" w:hAnsi="Arial" w:cs="Arial"/>
          <w:sz w:val="24"/>
          <w:szCs w:val="24"/>
        </w:rPr>
        <w:t>ppearances</w:t>
      </w:r>
    </w:p>
    <w:p w14:paraId="13088C6E" w14:textId="77777777" w:rsidR="00A27B1D" w:rsidRPr="006672D9" w:rsidRDefault="00A27B1D" w:rsidP="00237073">
      <w:pPr>
        <w:pStyle w:val="Normal1"/>
        <w:spacing w:after="0" w:line="360" w:lineRule="auto"/>
        <w:jc w:val="both"/>
        <w:rPr>
          <w:rFonts w:ascii="Arial" w:eastAsia="Arial" w:hAnsi="Arial" w:cs="Arial"/>
          <w:sz w:val="24"/>
          <w:szCs w:val="24"/>
        </w:rPr>
      </w:pPr>
    </w:p>
    <w:p w14:paraId="4A000F7C" w14:textId="77777777" w:rsidR="00F3468C" w:rsidRPr="006672D9" w:rsidRDefault="00437607" w:rsidP="00237073">
      <w:pPr>
        <w:pStyle w:val="Normal1"/>
        <w:tabs>
          <w:tab w:val="left" w:pos="3686"/>
        </w:tabs>
        <w:spacing w:after="0" w:line="360" w:lineRule="auto"/>
        <w:jc w:val="both"/>
        <w:rPr>
          <w:rFonts w:ascii="Arial" w:eastAsia="Arial" w:hAnsi="Arial" w:cs="Arial"/>
          <w:sz w:val="24"/>
          <w:szCs w:val="24"/>
        </w:rPr>
      </w:pPr>
      <w:r w:rsidRPr="006672D9">
        <w:rPr>
          <w:rFonts w:ascii="Arial" w:eastAsia="Arial" w:hAnsi="Arial" w:cs="Arial"/>
          <w:sz w:val="24"/>
          <w:szCs w:val="24"/>
        </w:rPr>
        <w:t>For the a</w:t>
      </w:r>
      <w:r w:rsidR="00F3468C" w:rsidRPr="006672D9">
        <w:rPr>
          <w:rFonts w:ascii="Arial" w:eastAsia="Arial" w:hAnsi="Arial" w:cs="Arial"/>
          <w:sz w:val="24"/>
          <w:szCs w:val="24"/>
        </w:rPr>
        <w:t>ppellant:</w:t>
      </w:r>
      <w:r w:rsidR="00F3468C" w:rsidRPr="006672D9">
        <w:rPr>
          <w:rFonts w:ascii="Arial" w:eastAsia="Arial" w:hAnsi="Arial" w:cs="Arial"/>
          <w:sz w:val="24"/>
          <w:szCs w:val="24"/>
        </w:rPr>
        <w:tab/>
      </w:r>
      <w:r w:rsidR="00863B07" w:rsidRPr="006672D9">
        <w:rPr>
          <w:rFonts w:ascii="Arial" w:eastAsia="Arial" w:hAnsi="Arial" w:cs="Arial"/>
          <w:sz w:val="24"/>
          <w:szCs w:val="24"/>
        </w:rPr>
        <w:t xml:space="preserve">A </w:t>
      </w:r>
      <w:r w:rsidR="00A27B1D" w:rsidRPr="006672D9">
        <w:rPr>
          <w:rFonts w:ascii="Arial" w:eastAsia="Arial" w:hAnsi="Arial" w:cs="Arial"/>
          <w:sz w:val="24"/>
          <w:szCs w:val="24"/>
        </w:rPr>
        <w:t>Bham SC</w:t>
      </w:r>
      <w:r w:rsidRPr="006672D9">
        <w:rPr>
          <w:rFonts w:ascii="Arial" w:eastAsia="Arial" w:hAnsi="Arial" w:cs="Arial"/>
          <w:sz w:val="24"/>
          <w:szCs w:val="24"/>
        </w:rPr>
        <w:t xml:space="preserve"> and </w:t>
      </w:r>
      <w:r w:rsidR="00A27B1D" w:rsidRPr="006672D9">
        <w:rPr>
          <w:rFonts w:ascii="Arial" w:eastAsia="Arial" w:hAnsi="Arial" w:cs="Arial"/>
          <w:sz w:val="24"/>
          <w:szCs w:val="24"/>
        </w:rPr>
        <w:t>N Alli</w:t>
      </w:r>
    </w:p>
    <w:p w14:paraId="7F5ED25F" w14:textId="77777777" w:rsidR="00F3468C" w:rsidRPr="006672D9" w:rsidRDefault="00F3468C" w:rsidP="00237073">
      <w:pPr>
        <w:pStyle w:val="Normal1"/>
        <w:tabs>
          <w:tab w:val="left" w:pos="3686"/>
        </w:tabs>
        <w:spacing w:after="0" w:line="360" w:lineRule="auto"/>
        <w:jc w:val="both"/>
        <w:rPr>
          <w:rFonts w:ascii="Arial" w:eastAsia="Arial" w:hAnsi="Arial" w:cs="Arial"/>
          <w:sz w:val="24"/>
          <w:szCs w:val="24"/>
        </w:rPr>
      </w:pPr>
      <w:r w:rsidRPr="006672D9">
        <w:rPr>
          <w:rFonts w:ascii="Arial" w:eastAsia="Arial" w:hAnsi="Arial" w:cs="Arial"/>
          <w:sz w:val="24"/>
          <w:szCs w:val="24"/>
        </w:rPr>
        <w:t>Instructed by:</w:t>
      </w:r>
      <w:r w:rsidRPr="006672D9">
        <w:rPr>
          <w:rFonts w:ascii="Arial" w:eastAsia="Arial" w:hAnsi="Arial" w:cs="Arial"/>
          <w:sz w:val="24"/>
          <w:szCs w:val="24"/>
        </w:rPr>
        <w:tab/>
      </w:r>
      <w:r w:rsidR="00A27B1D" w:rsidRPr="006672D9">
        <w:rPr>
          <w:rFonts w:ascii="Arial" w:eastAsia="Arial" w:hAnsi="Arial" w:cs="Arial"/>
          <w:sz w:val="24"/>
          <w:szCs w:val="24"/>
        </w:rPr>
        <w:t>Knowles Husain Lindsay Incorporated,</w:t>
      </w:r>
      <w:r w:rsidR="00AC6550" w:rsidRPr="006672D9">
        <w:rPr>
          <w:rFonts w:ascii="Arial" w:eastAsia="Arial" w:hAnsi="Arial" w:cs="Arial"/>
          <w:sz w:val="24"/>
          <w:szCs w:val="24"/>
        </w:rPr>
        <w:t xml:space="preserve"> Sandton</w:t>
      </w:r>
    </w:p>
    <w:p w14:paraId="73B98DE8" w14:textId="77777777" w:rsidR="00F3468C" w:rsidRPr="006672D9" w:rsidRDefault="009E437C" w:rsidP="00237073">
      <w:pPr>
        <w:pStyle w:val="Normal1"/>
        <w:tabs>
          <w:tab w:val="left" w:pos="3686"/>
        </w:tabs>
        <w:spacing w:after="0" w:line="360" w:lineRule="auto"/>
        <w:jc w:val="both"/>
        <w:rPr>
          <w:rFonts w:ascii="Arial" w:eastAsia="Arial" w:hAnsi="Arial" w:cs="Arial"/>
          <w:sz w:val="24"/>
          <w:szCs w:val="24"/>
        </w:rPr>
      </w:pPr>
      <w:r w:rsidRPr="006672D9">
        <w:rPr>
          <w:rFonts w:ascii="Arial" w:eastAsia="Arial" w:hAnsi="Arial" w:cs="Arial"/>
          <w:sz w:val="24"/>
          <w:szCs w:val="24"/>
        </w:rPr>
        <w:tab/>
      </w:r>
      <w:r w:rsidR="00A27B1D" w:rsidRPr="006672D9">
        <w:rPr>
          <w:rFonts w:ascii="Arial" w:eastAsia="Arial" w:hAnsi="Arial" w:cs="Arial"/>
          <w:sz w:val="24"/>
          <w:szCs w:val="24"/>
        </w:rPr>
        <w:t>McIntyre Van der Post, Bloemfontein</w:t>
      </w:r>
    </w:p>
    <w:p w14:paraId="3085DFD0" w14:textId="77777777" w:rsidR="00F3468C" w:rsidRPr="006672D9" w:rsidRDefault="00F3468C" w:rsidP="00237073">
      <w:pPr>
        <w:pStyle w:val="Normal1"/>
        <w:tabs>
          <w:tab w:val="left" w:pos="3686"/>
        </w:tabs>
        <w:spacing w:after="0" w:line="360" w:lineRule="auto"/>
        <w:jc w:val="both"/>
        <w:rPr>
          <w:rFonts w:ascii="Arial" w:eastAsia="Arial" w:hAnsi="Arial" w:cs="Arial"/>
          <w:sz w:val="24"/>
          <w:szCs w:val="24"/>
        </w:rPr>
      </w:pPr>
    </w:p>
    <w:p w14:paraId="1AE80302" w14:textId="77777777" w:rsidR="00F3468C" w:rsidRPr="006672D9" w:rsidRDefault="00437607" w:rsidP="00237073">
      <w:pPr>
        <w:pStyle w:val="Normal1"/>
        <w:tabs>
          <w:tab w:val="left" w:pos="3686"/>
        </w:tabs>
        <w:spacing w:after="0" w:line="360" w:lineRule="auto"/>
        <w:jc w:val="both"/>
        <w:rPr>
          <w:rFonts w:ascii="Arial" w:eastAsia="Arial" w:hAnsi="Arial" w:cs="Arial"/>
          <w:sz w:val="24"/>
          <w:szCs w:val="24"/>
        </w:rPr>
      </w:pPr>
      <w:r w:rsidRPr="006672D9">
        <w:rPr>
          <w:rFonts w:ascii="Arial" w:eastAsia="Arial" w:hAnsi="Arial" w:cs="Arial"/>
          <w:sz w:val="24"/>
          <w:szCs w:val="24"/>
        </w:rPr>
        <w:t>For the r</w:t>
      </w:r>
      <w:r w:rsidR="00F3468C" w:rsidRPr="006672D9">
        <w:rPr>
          <w:rFonts w:ascii="Arial" w:eastAsia="Arial" w:hAnsi="Arial" w:cs="Arial"/>
          <w:sz w:val="24"/>
          <w:szCs w:val="24"/>
        </w:rPr>
        <w:t>espondent:</w:t>
      </w:r>
      <w:r w:rsidR="00F3468C" w:rsidRPr="006672D9">
        <w:rPr>
          <w:rFonts w:ascii="Arial" w:eastAsia="Arial" w:hAnsi="Arial" w:cs="Arial"/>
          <w:sz w:val="24"/>
          <w:szCs w:val="24"/>
        </w:rPr>
        <w:tab/>
      </w:r>
      <w:r w:rsidR="00A27B1D" w:rsidRPr="006672D9">
        <w:rPr>
          <w:rFonts w:ascii="Arial" w:eastAsia="Arial" w:hAnsi="Arial" w:cs="Arial"/>
          <w:sz w:val="24"/>
          <w:szCs w:val="24"/>
        </w:rPr>
        <w:t>John Peter SC</w:t>
      </w:r>
      <w:r w:rsidRPr="006672D9">
        <w:rPr>
          <w:rFonts w:ascii="Arial" w:eastAsia="Arial" w:hAnsi="Arial" w:cs="Arial"/>
          <w:sz w:val="24"/>
          <w:szCs w:val="24"/>
        </w:rPr>
        <w:t xml:space="preserve"> and </w:t>
      </w:r>
      <w:r w:rsidR="00A27B1D" w:rsidRPr="006672D9">
        <w:rPr>
          <w:rFonts w:ascii="Arial" w:eastAsia="Arial" w:hAnsi="Arial" w:cs="Arial"/>
          <w:sz w:val="24"/>
          <w:szCs w:val="24"/>
        </w:rPr>
        <w:t>R Stevenson</w:t>
      </w:r>
    </w:p>
    <w:p w14:paraId="51C83267" w14:textId="77777777" w:rsidR="00F3468C" w:rsidRPr="006672D9" w:rsidRDefault="00F3468C" w:rsidP="00237073">
      <w:pPr>
        <w:pStyle w:val="Normal1"/>
        <w:tabs>
          <w:tab w:val="left" w:pos="3686"/>
        </w:tabs>
        <w:spacing w:after="0" w:line="360" w:lineRule="auto"/>
        <w:jc w:val="both"/>
        <w:rPr>
          <w:rFonts w:ascii="Arial" w:eastAsia="Arial" w:hAnsi="Arial" w:cs="Arial"/>
          <w:sz w:val="24"/>
          <w:szCs w:val="24"/>
        </w:rPr>
      </w:pPr>
      <w:r w:rsidRPr="006672D9">
        <w:rPr>
          <w:rFonts w:ascii="Arial" w:eastAsia="Arial" w:hAnsi="Arial" w:cs="Arial"/>
          <w:sz w:val="24"/>
          <w:szCs w:val="24"/>
        </w:rPr>
        <w:t>Instructed by:</w:t>
      </w:r>
      <w:r w:rsidRPr="006672D9">
        <w:rPr>
          <w:rFonts w:ascii="Arial" w:eastAsia="Arial" w:hAnsi="Arial" w:cs="Arial"/>
          <w:sz w:val="24"/>
          <w:szCs w:val="24"/>
        </w:rPr>
        <w:tab/>
      </w:r>
      <w:r w:rsidR="00A27B1D" w:rsidRPr="006672D9">
        <w:rPr>
          <w:rFonts w:ascii="Arial" w:eastAsia="Arial" w:hAnsi="Arial" w:cs="Arial"/>
          <w:sz w:val="24"/>
          <w:szCs w:val="24"/>
        </w:rPr>
        <w:t>Clarks Attorneys</w:t>
      </w:r>
      <w:r w:rsidRPr="006672D9">
        <w:rPr>
          <w:rFonts w:ascii="Arial" w:eastAsia="Arial" w:hAnsi="Arial" w:cs="Arial"/>
          <w:sz w:val="24"/>
          <w:szCs w:val="24"/>
        </w:rPr>
        <w:t>, Johannesburg</w:t>
      </w:r>
    </w:p>
    <w:p w14:paraId="0842689F" w14:textId="77777777" w:rsidR="00F3468C" w:rsidRPr="00437607" w:rsidRDefault="009E437C" w:rsidP="00237073">
      <w:pPr>
        <w:pStyle w:val="Normal1"/>
        <w:tabs>
          <w:tab w:val="left" w:pos="3686"/>
        </w:tabs>
        <w:spacing w:after="0" w:line="360" w:lineRule="auto"/>
        <w:jc w:val="both"/>
        <w:rPr>
          <w:rFonts w:ascii="Arial" w:eastAsia="Arial" w:hAnsi="Arial" w:cs="Arial"/>
          <w:sz w:val="24"/>
          <w:szCs w:val="24"/>
        </w:rPr>
      </w:pPr>
      <w:r w:rsidRPr="006672D9">
        <w:rPr>
          <w:rFonts w:ascii="Arial" w:eastAsia="Arial" w:hAnsi="Arial" w:cs="Arial"/>
          <w:sz w:val="24"/>
          <w:szCs w:val="24"/>
        </w:rPr>
        <w:tab/>
      </w:r>
      <w:r w:rsidR="00A27B1D" w:rsidRPr="006672D9">
        <w:rPr>
          <w:rFonts w:ascii="Arial" w:eastAsia="Arial" w:hAnsi="Arial" w:cs="Arial"/>
          <w:sz w:val="24"/>
          <w:szCs w:val="24"/>
        </w:rPr>
        <w:t>Webbers Attorneys</w:t>
      </w:r>
      <w:r w:rsidR="00F3468C" w:rsidRPr="006672D9">
        <w:rPr>
          <w:rFonts w:ascii="Arial" w:eastAsia="Arial" w:hAnsi="Arial" w:cs="Arial"/>
          <w:sz w:val="24"/>
          <w:szCs w:val="24"/>
        </w:rPr>
        <w:t>, Bloemfontein</w:t>
      </w:r>
    </w:p>
    <w:p w14:paraId="76B44F02" w14:textId="77777777" w:rsidR="00A27B1D" w:rsidRPr="00437607" w:rsidRDefault="00A27B1D" w:rsidP="00437607">
      <w:pPr>
        <w:widowControl w:val="0"/>
        <w:tabs>
          <w:tab w:val="left" w:pos="2127"/>
        </w:tabs>
        <w:autoSpaceDE w:val="0"/>
        <w:autoSpaceDN w:val="0"/>
        <w:adjustRightInd w:val="0"/>
        <w:spacing w:after="0" w:line="360" w:lineRule="auto"/>
        <w:jc w:val="both"/>
        <w:rPr>
          <w:rFonts w:ascii="Arial" w:eastAsia="Times New Roman" w:hAnsi="Arial" w:cs="Arial"/>
          <w:sz w:val="24"/>
          <w:szCs w:val="24"/>
          <w:lang w:val="en-GB"/>
        </w:rPr>
      </w:pPr>
    </w:p>
    <w:p w14:paraId="7E480937" w14:textId="77777777" w:rsidR="00A5323E" w:rsidRPr="00437607" w:rsidRDefault="00A5323E" w:rsidP="00437607">
      <w:pPr>
        <w:spacing w:after="0" w:line="360" w:lineRule="auto"/>
        <w:jc w:val="both"/>
        <w:rPr>
          <w:rFonts w:ascii="Arial" w:hAnsi="Arial" w:cs="Arial"/>
        </w:rPr>
      </w:pPr>
    </w:p>
    <w:sectPr w:rsidR="00A5323E" w:rsidRPr="00437607" w:rsidSect="00D62F8E">
      <w:headerReference w:type="default" r:id="rId9"/>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18E8" w14:textId="77777777" w:rsidR="00015317" w:rsidRDefault="00015317" w:rsidP="00F3468C">
      <w:pPr>
        <w:spacing w:after="0" w:line="240" w:lineRule="auto"/>
      </w:pPr>
      <w:r>
        <w:separator/>
      </w:r>
    </w:p>
  </w:endnote>
  <w:endnote w:type="continuationSeparator" w:id="0">
    <w:p w14:paraId="0A6377AB" w14:textId="77777777" w:rsidR="00015317" w:rsidRDefault="00015317" w:rsidP="00F3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5D427" w14:textId="77777777" w:rsidR="00015317" w:rsidRDefault="00015317" w:rsidP="00F3468C">
      <w:pPr>
        <w:spacing w:after="0" w:line="240" w:lineRule="auto"/>
      </w:pPr>
      <w:r>
        <w:separator/>
      </w:r>
    </w:p>
  </w:footnote>
  <w:footnote w:type="continuationSeparator" w:id="0">
    <w:p w14:paraId="270C140D" w14:textId="77777777" w:rsidR="00015317" w:rsidRDefault="00015317" w:rsidP="00F3468C">
      <w:pPr>
        <w:spacing w:after="0" w:line="240" w:lineRule="auto"/>
      </w:pPr>
      <w:r>
        <w:continuationSeparator/>
      </w:r>
    </w:p>
  </w:footnote>
  <w:footnote w:id="1">
    <w:p w14:paraId="550A4863" w14:textId="77777777" w:rsidR="009E0B66" w:rsidRPr="00FF13E1" w:rsidRDefault="009E0B66" w:rsidP="00FF13E1">
      <w:pPr>
        <w:pStyle w:val="FootnoteText"/>
        <w:jc w:val="both"/>
        <w:rPr>
          <w:rFonts w:ascii="Arial" w:hAnsi="Arial" w:cs="Arial"/>
        </w:rPr>
      </w:pPr>
      <w:r w:rsidRPr="00FF13E1">
        <w:rPr>
          <w:rStyle w:val="FootnoteReference"/>
          <w:rFonts w:ascii="Arial" w:hAnsi="Arial" w:cs="Arial"/>
        </w:rPr>
        <w:footnoteRef/>
      </w:r>
      <w:r w:rsidRPr="00FF13E1">
        <w:rPr>
          <w:rFonts w:ascii="Arial" w:hAnsi="Arial" w:cs="Arial"/>
        </w:rPr>
        <w:t xml:space="preserve"> Order of the </w:t>
      </w:r>
      <w:r w:rsidRPr="00FF13E1">
        <w:rPr>
          <w:rFonts w:ascii="Arial" w:eastAsia="Arial" w:hAnsi="Arial" w:cs="Arial"/>
        </w:rPr>
        <w:t xml:space="preserve">Superior Court of the State of California, County of Orange, </w:t>
      </w:r>
      <w:r w:rsidRPr="006F706A">
        <w:rPr>
          <w:rFonts w:ascii="Arial" w:eastAsia="Arial" w:hAnsi="Arial" w:cs="Arial"/>
        </w:rPr>
        <w:t xml:space="preserve">per </w:t>
      </w:r>
      <w:r w:rsidRPr="00FF13E1">
        <w:rPr>
          <w:rFonts w:ascii="Arial" w:eastAsia="Arial" w:hAnsi="Arial" w:cs="Arial"/>
        </w:rPr>
        <w:t xml:space="preserve">Servino J, dated 6 July 2016. </w:t>
      </w:r>
    </w:p>
  </w:footnote>
  <w:footnote w:id="2">
    <w:p w14:paraId="0687D75C" w14:textId="77777777" w:rsidR="009E0B66" w:rsidRPr="006F706A" w:rsidRDefault="009E0B66" w:rsidP="006F706A">
      <w:pPr>
        <w:pStyle w:val="FootnoteText"/>
        <w:jc w:val="both"/>
        <w:rPr>
          <w:rFonts w:ascii="Arial" w:hAnsi="Arial" w:cs="Arial"/>
        </w:rPr>
      </w:pPr>
      <w:r w:rsidRPr="006F706A">
        <w:rPr>
          <w:rStyle w:val="FootnoteReference"/>
          <w:rFonts w:ascii="Arial" w:hAnsi="Arial" w:cs="Arial"/>
        </w:rPr>
        <w:footnoteRef/>
      </w:r>
      <w:r w:rsidRPr="006F706A">
        <w:rPr>
          <w:rFonts w:ascii="Arial" w:hAnsi="Arial" w:cs="Arial"/>
        </w:rPr>
        <w:t xml:space="preserve"> The Subdivisions fall under Division 3 titled Enforcement of Nonmoney Judgment (Title 9 Enforcement of Judgments).</w:t>
      </w:r>
    </w:p>
  </w:footnote>
  <w:footnote w:id="3">
    <w:p w14:paraId="245D8C49" w14:textId="4D8C45AB" w:rsidR="00486384" w:rsidRPr="0054268A" w:rsidRDefault="00486384">
      <w:pPr>
        <w:pStyle w:val="FootnoteText"/>
        <w:rPr>
          <w:rFonts w:ascii="Arial" w:hAnsi="Arial" w:cs="Arial"/>
        </w:rPr>
      </w:pPr>
      <w:r w:rsidRPr="0054268A">
        <w:rPr>
          <w:rStyle w:val="FootnoteReference"/>
          <w:rFonts w:ascii="Arial" w:hAnsi="Arial" w:cs="Arial"/>
        </w:rPr>
        <w:footnoteRef/>
      </w:r>
      <w:r w:rsidRPr="0054268A">
        <w:rPr>
          <w:rFonts w:ascii="Arial" w:hAnsi="Arial" w:cs="Arial"/>
        </w:rPr>
        <w:t xml:space="preserve"> </w:t>
      </w:r>
      <w:r w:rsidRPr="00960975">
        <w:rPr>
          <w:rFonts w:ascii="Arial" w:hAnsi="Arial" w:cs="Arial"/>
          <w:i/>
        </w:rPr>
        <w:t>Jones v Krok</w:t>
      </w:r>
      <w:r w:rsidRPr="00960975">
        <w:rPr>
          <w:rFonts w:ascii="Arial" w:hAnsi="Arial" w:cs="Arial"/>
        </w:rPr>
        <w:t xml:space="preserve"> 1995 (1) </w:t>
      </w:r>
      <w:r w:rsidR="00BA5DCD" w:rsidRPr="00960975">
        <w:rPr>
          <w:rFonts w:ascii="Arial" w:hAnsi="Arial" w:cs="Arial"/>
        </w:rPr>
        <w:t>677</w:t>
      </w:r>
      <w:r w:rsidR="00BA5DCD">
        <w:rPr>
          <w:rFonts w:ascii="Arial" w:hAnsi="Arial" w:cs="Arial"/>
        </w:rPr>
        <w:t xml:space="preserve"> (A) 687</w:t>
      </w:r>
      <w:r w:rsidRPr="00960975">
        <w:rPr>
          <w:rFonts w:ascii="Arial" w:hAnsi="Arial" w:cs="Arial"/>
        </w:rPr>
        <w:t xml:space="preserve">at </w:t>
      </w:r>
      <w:r w:rsidR="0054268A" w:rsidRPr="00960975">
        <w:rPr>
          <w:rFonts w:ascii="Arial" w:hAnsi="Arial" w:cs="Arial"/>
        </w:rPr>
        <w:t>685B-D.</w:t>
      </w:r>
    </w:p>
  </w:footnote>
  <w:footnote w:id="4">
    <w:p w14:paraId="33DB9846" w14:textId="26E5F133" w:rsidR="009E0B66" w:rsidRPr="006F706A" w:rsidRDefault="009E0B66" w:rsidP="00FF13E1">
      <w:pPr>
        <w:pStyle w:val="FootnoteText"/>
        <w:jc w:val="both"/>
        <w:rPr>
          <w:rFonts w:ascii="Arial" w:hAnsi="Arial" w:cs="Arial"/>
        </w:rPr>
      </w:pPr>
      <w:r w:rsidRPr="006F706A">
        <w:rPr>
          <w:rStyle w:val="FootnoteReference"/>
          <w:rFonts w:ascii="Arial" w:hAnsi="Arial" w:cs="Arial"/>
        </w:rPr>
        <w:footnoteRef/>
      </w:r>
      <w:r w:rsidRPr="006F706A">
        <w:rPr>
          <w:rFonts w:ascii="Arial" w:hAnsi="Arial" w:cs="Arial"/>
        </w:rPr>
        <w:t xml:space="preserve"> </w:t>
      </w:r>
      <w:r w:rsidRPr="006F706A">
        <w:rPr>
          <w:rFonts w:ascii="Arial" w:hAnsi="Arial" w:cs="Arial"/>
          <w:i/>
        </w:rPr>
        <w:t>Oliff v Minnie</w:t>
      </w:r>
      <w:r w:rsidRPr="006F706A">
        <w:rPr>
          <w:rFonts w:ascii="Arial" w:hAnsi="Arial" w:cs="Arial"/>
        </w:rPr>
        <w:t xml:space="preserve"> [1952] 4 All SA 235 (A); 1952 (4) SA 369</w:t>
      </w:r>
      <w:r w:rsidR="00E614F0">
        <w:rPr>
          <w:rFonts w:ascii="Arial" w:hAnsi="Arial" w:cs="Arial"/>
        </w:rPr>
        <w:t xml:space="preserve"> (A)</w:t>
      </w:r>
      <w:r w:rsidRPr="006F706A">
        <w:rPr>
          <w:rFonts w:ascii="Arial" w:hAnsi="Arial" w:cs="Arial"/>
        </w:rPr>
        <w:t xml:space="preserve">; </w:t>
      </w:r>
      <w:r w:rsidRPr="006F706A">
        <w:rPr>
          <w:rFonts w:ascii="Arial" w:hAnsi="Arial" w:cs="Arial"/>
          <w:i/>
        </w:rPr>
        <w:t xml:space="preserve">Joob </w:t>
      </w:r>
      <w:r w:rsidR="00E614F0">
        <w:rPr>
          <w:rFonts w:ascii="Arial" w:hAnsi="Arial" w:cs="Arial"/>
          <w:i/>
        </w:rPr>
        <w:t xml:space="preserve">Joob </w:t>
      </w:r>
      <w:r w:rsidRPr="006F706A">
        <w:rPr>
          <w:rFonts w:ascii="Arial" w:hAnsi="Arial" w:cs="Arial"/>
          <w:i/>
        </w:rPr>
        <w:t>Investments (Pty) Ltd v Stocks</w:t>
      </w:r>
      <w:r w:rsidRPr="006F706A">
        <w:rPr>
          <w:rFonts w:ascii="Arial" w:hAnsi="Arial" w:cs="Arial"/>
        </w:rPr>
        <w:t xml:space="preserve"> </w:t>
      </w:r>
      <w:r w:rsidRPr="006F706A">
        <w:rPr>
          <w:rFonts w:ascii="Arial" w:hAnsi="Arial" w:cs="Arial"/>
          <w:i/>
        </w:rPr>
        <w:t>Mavundla Zek Joint Venture</w:t>
      </w:r>
      <w:r w:rsidRPr="006F706A">
        <w:rPr>
          <w:rFonts w:ascii="Arial" w:hAnsi="Arial" w:cs="Arial"/>
        </w:rPr>
        <w:t xml:space="preserve"> [2009] ZASCA 23; [2009] 3 All SA 407 (SCA); 2009 (5) SA 1 (SCA).</w:t>
      </w:r>
    </w:p>
  </w:footnote>
  <w:footnote w:id="5">
    <w:p w14:paraId="0A6D8169" w14:textId="553AB25C" w:rsidR="009E0B66" w:rsidRPr="006F706A" w:rsidRDefault="009E0B66" w:rsidP="00FF13E1">
      <w:pPr>
        <w:pStyle w:val="FootnoteText"/>
        <w:jc w:val="both"/>
        <w:rPr>
          <w:rFonts w:ascii="Arial" w:hAnsi="Arial" w:cs="Arial"/>
        </w:rPr>
      </w:pPr>
      <w:r w:rsidRPr="006F706A">
        <w:rPr>
          <w:rStyle w:val="FootnoteReference"/>
          <w:rFonts w:ascii="Arial" w:hAnsi="Arial" w:cs="Arial"/>
        </w:rPr>
        <w:footnoteRef/>
      </w:r>
      <w:r w:rsidRPr="006F706A">
        <w:rPr>
          <w:rFonts w:ascii="Arial" w:hAnsi="Arial" w:cs="Arial"/>
        </w:rPr>
        <w:t xml:space="preserve"> </w:t>
      </w:r>
      <w:r w:rsidRPr="006F706A">
        <w:rPr>
          <w:rFonts w:ascii="Arial" w:hAnsi="Arial" w:cs="Arial"/>
          <w:i/>
        </w:rPr>
        <w:t>Ndamase v Functions 4 All</w:t>
      </w:r>
      <w:r w:rsidRPr="006F706A">
        <w:rPr>
          <w:rFonts w:ascii="Arial" w:hAnsi="Arial" w:cs="Arial"/>
        </w:rPr>
        <w:t xml:space="preserve"> [2004] ZASCA 32; 2004 (5) SA 602 (SCA) </w:t>
      </w:r>
      <w:r w:rsidR="009E10DF">
        <w:rPr>
          <w:rFonts w:ascii="Arial" w:hAnsi="Arial" w:cs="Arial"/>
        </w:rPr>
        <w:t>para 11</w:t>
      </w:r>
      <w:r w:rsidRPr="006F706A">
        <w:rPr>
          <w:rFonts w:ascii="Arial" w:hAnsi="Arial" w:cs="Arial"/>
        </w:rPr>
        <w:t>.</w:t>
      </w:r>
    </w:p>
  </w:footnote>
  <w:footnote w:id="6">
    <w:p w14:paraId="260A53AA" w14:textId="4F6D3E7F" w:rsidR="009E0B66" w:rsidRPr="006F706A" w:rsidRDefault="009E0B66" w:rsidP="00FF13E1">
      <w:pPr>
        <w:pStyle w:val="FootnoteText"/>
        <w:jc w:val="both"/>
        <w:rPr>
          <w:rFonts w:ascii="Arial" w:hAnsi="Arial" w:cs="Arial"/>
        </w:rPr>
      </w:pPr>
      <w:r w:rsidRPr="006F706A">
        <w:rPr>
          <w:rStyle w:val="FootnoteReference"/>
          <w:rFonts w:ascii="Arial" w:hAnsi="Arial" w:cs="Arial"/>
        </w:rPr>
        <w:footnoteRef/>
      </w:r>
      <w:r w:rsidRPr="006F706A">
        <w:rPr>
          <w:rFonts w:ascii="Arial" w:hAnsi="Arial" w:cs="Arial"/>
        </w:rPr>
        <w:t xml:space="preserve"> </w:t>
      </w:r>
      <w:r w:rsidRPr="006F706A">
        <w:rPr>
          <w:rFonts w:ascii="Arial" w:hAnsi="Arial" w:cs="Arial"/>
          <w:i/>
        </w:rPr>
        <w:t>Twee Jonge Gezellen (Pty) Ltd and Another v Land and Agricultural Development Bank</w:t>
      </w:r>
      <w:r w:rsidRPr="006F706A">
        <w:rPr>
          <w:rFonts w:ascii="Arial" w:hAnsi="Arial" w:cs="Arial"/>
        </w:rPr>
        <w:t xml:space="preserve"> </w:t>
      </w:r>
      <w:r w:rsidRPr="006F706A">
        <w:rPr>
          <w:rFonts w:ascii="Arial" w:hAnsi="Arial" w:cs="Arial"/>
          <w:i/>
        </w:rPr>
        <w:t xml:space="preserve">of South Africa t/a The Land Bank and Another </w:t>
      </w:r>
      <w:r w:rsidRPr="00FF13E1">
        <w:rPr>
          <w:rFonts w:ascii="Arial" w:hAnsi="Arial" w:cs="Arial"/>
        </w:rPr>
        <w:t>[2011]</w:t>
      </w:r>
      <w:r w:rsidRPr="006F706A">
        <w:rPr>
          <w:rFonts w:ascii="Arial" w:hAnsi="Arial" w:cs="Arial"/>
        </w:rPr>
        <w:t xml:space="preserve"> ZACC 2; 2011 (5) BCLR 505 (CC)</w:t>
      </w:r>
      <w:r w:rsidRPr="00FF13E1">
        <w:rPr>
          <w:rFonts w:ascii="Arial" w:hAnsi="Arial" w:cs="Arial"/>
        </w:rPr>
        <w:t>;</w:t>
      </w:r>
      <w:r w:rsidRPr="006F706A">
        <w:rPr>
          <w:rFonts w:ascii="Arial" w:hAnsi="Arial" w:cs="Arial"/>
          <w:i/>
        </w:rPr>
        <w:t xml:space="preserve"> </w:t>
      </w:r>
      <w:r w:rsidRPr="006F706A">
        <w:rPr>
          <w:rFonts w:ascii="Arial" w:hAnsi="Arial" w:cs="Arial"/>
        </w:rPr>
        <w:t xml:space="preserve">2011 (3) SA 1 (CC) </w:t>
      </w:r>
      <w:r w:rsidR="009E10DF">
        <w:rPr>
          <w:rFonts w:ascii="Arial" w:hAnsi="Arial" w:cs="Arial"/>
        </w:rPr>
        <w:t>para 16</w:t>
      </w:r>
      <w:r w:rsidRPr="006F706A">
        <w:rPr>
          <w:rFonts w:ascii="Arial" w:hAnsi="Arial" w:cs="Arial"/>
        </w:rPr>
        <w:t>.</w:t>
      </w:r>
    </w:p>
  </w:footnote>
  <w:footnote w:id="7">
    <w:p w14:paraId="75387546" w14:textId="77777777" w:rsidR="00EB7B5C" w:rsidRPr="006F706A" w:rsidRDefault="00EB7B5C" w:rsidP="00EB7B5C">
      <w:pPr>
        <w:pStyle w:val="FootnoteText"/>
        <w:jc w:val="both"/>
        <w:rPr>
          <w:rFonts w:ascii="Arial" w:hAnsi="Arial" w:cs="Arial"/>
        </w:rPr>
      </w:pPr>
      <w:r w:rsidRPr="006F706A">
        <w:rPr>
          <w:rStyle w:val="FootnoteReference"/>
          <w:rFonts w:ascii="Arial" w:hAnsi="Arial" w:cs="Arial"/>
        </w:rPr>
        <w:footnoteRef/>
      </w:r>
      <w:r w:rsidRPr="006F706A">
        <w:rPr>
          <w:rFonts w:ascii="Arial" w:hAnsi="Arial" w:cs="Arial"/>
        </w:rPr>
        <w:t xml:space="preserve"> </w:t>
      </w:r>
      <w:r w:rsidRPr="00FF13E1">
        <w:rPr>
          <w:rFonts w:ascii="Arial" w:hAnsi="Arial" w:cs="Arial"/>
          <w:i/>
        </w:rPr>
        <w:t>Harrowsmith v Ceres Flats (Pty) Ltd</w:t>
      </w:r>
      <w:r w:rsidRPr="00FF13E1">
        <w:rPr>
          <w:rFonts w:ascii="Arial" w:hAnsi="Arial" w:cs="Arial"/>
        </w:rPr>
        <w:t xml:space="preserve"> </w:t>
      </w:r>
      <w:r w:rsidRPr="00FF13E1">
        <w:rPr>
          <w:rFonts w:ascii="Arial" w:hAnsi="Arial" w:cs="Arial"/>
          <w:bCs/>
        </w:rPr>
        <w:t>[1979] 4 All SA 45 (T);</w:t>
      </w:r>
      <w:r w:rsidRPr="00FF13E1">
        <w:rPr>
          <w:rFonts w:ascii="Arial" w:hAnsi="Arial" w:cs="Arial"/>
        </w:rPr>
        <w:t xml:space="preserve"> 1979 (2) SA 722 (T) at 728C-D</w:t>
      </w:r>
      <w:r w:rsidRPr="006F706A">
        <w:rPr>
          <w:rFonts w:ascii="Arial" w:hAnsi="Arial" w:cs="Arial"/>
        </w:rPr>
        <w:t xml:space="preserve">. This decision was confirmed by this Court in </w:t>
      </w:r>
      <w:r w:rsidRPr="006F706A">
        <w:rPr>
          <w:rFonts w:ascii="Arial" w:hAnsi="Arial" w:cs="Arial"/>
          <w:i/>
        </w:rPr>
        <w:t>Wollach v Barclays National Bank Ltd</w:t>
      </w:r>
      <w:r w:rsidRPr="006F706A">
        <w:rPr>
          <w:rFonts w:ascii="Arial" w:hAnsi="Arial" w:cs="Arial"/>
        </w:rPr>
        <w:t xml:space="preserve"> [1983] 2 All SA 17 (A); 1983 (2) SA 543 (A) at 567D-F. </w:t>
      </w:r>
    </w:p>
  </w:footnote>
  <w:footnote w:id="8">
    <w:p w14:paraId="11F7FA70" w14:textId="77777777" w:rsidR="009E0B66" w:rsidRPr="006F706A" w:rsidRDefault="009E0B66" w:rsidP="00FF13E1">
      <w:pPr>
        <w:pStyle w:val="FootnoteText"/>
        <w:jc w:val="both"/>
        <w:rPr>
          <w:rFonts w:ascii="Arial" w:hAnsi="Arial" w:cs="Arial"/>
        </w:rPr>
      </w:pPr>
      <w:r w:rsidRPr="006F706A">
        <w:rPr>
          <w:rStyle w:val="FootnoteReference"/>
          <w:rFonts w:ascii="Arial" w:hAnsi="Arial" w:cs="Arial"/>
        </w:rPr>
        <w:footnoteRef/>
      </w:r>
      <w:r w:rsidRPr="006F706A">
        <w:rPr>
          <w:rFonts w:ascii="Arial" w:hAnsi="Arial" w:cs="Arial"/>
        </w:rPr>
        <w:t xml:space="preserve"> </w:t>
      </w:r>
      <w:r w:rsidRPr="006F706A">
        <w:rPr>
          <w:rFonts w:ascii="Arial" w:hAnsi="Arial" w:cs="Arial"/>
          <w:i/>
        </w:rPr>
        <w:t>Barlow Rand Ltd t/a Barlow Noordelik Masjinerie Maatskappy v Self-Arc (Pty) Ltd</w:t>
      </w:r>
      <w:r w:rsidRPr="006F706A">
        <w:rPr>
          <w:rFonts w:ascii="Arial" w:hAnsi="Arial" w:cs="Arial"/>
        </w:rPr>
        <w:t xml:space="preserve"> 1986 (4) SA 488 (T) at 490E-F.</w:t>
      </w:r>
    </w:p>
  </w:footnote>
  <w:footnote w:id="9">
    <w:p w14:paraId="714F65D7" w14:textId="77777777" w:rsidR="009E0B66" w:rsidRPr="006F706A" w:rsidRDefault="009E0B66" w:rsidP="00FF13E1">
      <w:pPr>
        <w:pStyle w:val="FootnoteText"/>
        <w:jc w:val="both"/>
        <w:rPr>
          <w:rFonts w:ascii="Arial" w:hAnsi="Arial" w:cs="Arial"/>
        </w:rPr>
      </w:pPr>
      <w:r w:rsidRPr="00FF13E1">
        <w:rPr>
          <w:rStyle w:val="FootnoteReference"/>
          <w:rFonts w:ascii="Arial" w:hAnsi="Arial" w:cs="Arial"/>
        </w:rPr>
        <w:footnoteRef/>
      </w:r>
      <w:r w:rsidRPr="00FF13E1">
        <w:rPr>
          <w:rFonts w:ascii="Arial" w:hAnsi="Arial" w:cs="Arial"/>
        </w:rPr>
        <w:t xml:space="preserve"> Ibid.</w:t>
      </w:r>
      <w:r w:rsidRPr="006F706A">
        <w:rPr>
          <w:rFonts w:ascii="Arial" w:hAnsi="Arial" w:cs="Arial"/>
        </w:rPr>
        <w:t xml:space="preserve"> </w:t>
      </w:r>
    </w:p>
  </w:footnote>
  <w:footnote w:id="10">
    <w:p w14:paraId="14096DE1" w14:textId="31E951F8" w:rsidR="00BA5DCD" w:rsidRPr="00060639" w:rsidRDefault="00BA5DCD">
      <w:pPr>
        <w:pStyle w:val="FootnoteText"/>
        <w:rPr>
          <w:rFonts w:ascii="Arial" w:hAnsi="Arial" w:cs="Arial"/>
          <w:lang w:val="en-US"/>
        </w:rPr>
      </w:pPr>
      <w:r w:rsidRPr="00060639">
        <w:rPr>
          <w:rStyle w:val="FootnoteReference"/>
          <w:rFonts w:ascii="Arial" w:hAnsi="Arial" w:cs="Arial"/>
        </w:rPr>
        <w:footnoteRef/>
      </w:r>
      <w:r w:rsidRPr="00060639">
        <w:rPr>
          <w:rFonts w:ascii="Arial" w:hAnsi="Arial" w:cs="Arial"/>
        </w:rPr>
        <w:t xml:space="preserve"> </w:t>
      </w:r>
      <w:r w:rsidR="009B7841" w:rsidRPr="00060639">
        <w:rPr>
          <w:rFonts w:ascii="Arial" w:hAnsi="Arial" w:cs="Arial"/>
          <w:i/>
          <w:iCs/>
        </w:rPr>
        <w:t>Jones</w:t>
      </w:r>
      <w:r w:rsidR="001D4E9D">
        <w:rPr>
          <w:rFonts w:ascii="Arial" w:hAnsi="Arial" w:cs="Arial"/>
          <w:i/>
          <w:iCs/>
        </w:rPr>
        <w:t xml:space="preserve"> </w:t>
      </w:r>
      <w:r w:rsidR="001D4E9D" w:rsidRPr="00C62D6C">
        <w:rPr>
          <w:rFonts w:ascii="Arial" w:hAnsi="Arial" w:cs="Arial"/>
          <w:iCs/>
        </w:rPr>
        <w:t>fn 3</w:t>
      </w:r>
      <w:r w:rsidR="00AB6FCD" w:rsidRPr="00060639">
        <w:rPr>
          <w:rFonts w:ascii="Arial" w:hAnsi="Arial" w:cs="Arial"/>
          <w:i/>
          <w:iCs/>
        </w:rPr>
        <w:t xml:space="preserve"> </w:t>
      </w:r>
      <w:r w:rsidR="00AB6FCD" w:rsidRPr="00060639">
        <w:rPr>
          <w:rFonts w:ascii="Arial" w:hAnsi="Arial" w:cs="Arial"/>
        </w:rPr>
        <w:t>at</w:t>
      </w:r>
      <w:r w:rsidR="009B7841" w:rsidRPr="00060639">
        <w:rPr>
          <w:rFonts w:ascii="Arial" w:hAnsi="Arial" w:cs="Arial"/>
        </w:rPr>
        <w:t xml:space="preserve"> 687-688</w:t>
      </w:r>
      <w:r w:rsidR="00C62D6C">
        <w:rPr>
          <w:rFonts w:ascii="Arial" w:hAnsi="Arial" w:cs="Arial"/>
        </w:rPr>
        <w:t>.</w:t>
      </w:r>
    </w:p>
  </w:footnote>
  <w:footnote w:id="11">
    <w:p w14:paraId="0E02CA11" w14:textId="76AD5105" w:rsidR="009E0B66" w:rsidRPr="006F706A" w:rsidRDefault="009E0B66" w:rsidP="00FF13E1">
      <w:pPr>
        <w:pStyle w:val="FootnoteText"/>
        <w:jc w:val="both"/>
        <w:rPr>
          <w:rFonts w:ascii="Arial" w:hAnsi="Arial" w:cs="Arial"/>
        </w:rPr>
      </w:pPr>
      <w:r w:rsidRPr="006F706A">
        <w:rPr>
          <w:rStyle w:val="FootnoteReference"/>
          <w:rFonts w:ascii="Arial" w:hAnsi="Arial" w:cs="Arial"/>
        </w:rPr>
        <w:footnoteRef/>
      </w:r>
      <w:r w:rsidRPr="006F706A">
        <w:rPr>
          <w:rFonts w:ascii="Arial" w:hAnsi="Arial" w:cs="Arial"/>
        </w:rPr>
        <w:t xml:space="preserve"> </w:t>
      </w:r>
      <w:r w:rsidR="00E01557">
        <w:rPr>
          <w:rFonts w:ascii="Arial" w:hAnsi="Arial" w:cs="Arial"/>
        </w:rPr>
        <w:t>Ibid</w:t>
      </w:r>
      <w:r w:rsidRPr="006F706A">
        <w:rPr>
          <w:rFonts w:ascii="Arial" w:eastAsia="Arial" w:hAnsi="Arial" w:cs="Arial"/>
        </w:rPr>
        <w:t xml:space="preserve"> at 686.</w:t>
      </w:r>
    </w:p>
  </w:footnote>
  <w:footnote w:id="12">
    <w:p w14:paraId="1C0EA34D" w14:textId="77777777" w:rsidR="009E0B66" w:rsidRPr="006F706A" w:rsidRDefault="009E0B66" w:rsidP="00FF13E1">
      <w:pPr>
        <w:pStyle w:val="FootnoteText"/>
        <w:jc w:val="both"/>
        <w:rPr>
          <w:rFonts w:ascii="Arial" w:hAnsi="Arial" w:cs="Arial"/>
        </w:rPr>
      </w:pPr>
      <w:r w:rsidRPr="006F706A">
        <w:rPr>
          <w:rStyle w:val="FootnoteReference"/>
          <w:rFonts w:ascii="Arial" w:hAnsi="Arial" w:cs="Arial"/>
        </w:rPr>
        <w:footnoteRef/>
      </w:r>
      <w:r w:rsidRPr="006F706A">
        <w:rPr>
          <w:rFonts w:ascii="Arial" w:hAnsi="Arial" w:cs="Arial"/>
        </w:rPr>
        <w:t xml:space="preserve"> </w:t>
      </w:r>
      <w:r w:rsidRPr="006F706A">
        <w:rPr>
          <w:rFonts w:ascii="Arial" w:eastAsia="Arial" w:hAnsi="Arial" w:cs="Arial"/>
          <w:i/>
        </w:rPr>
        <w:t>Williams v Jones</w:t>
      </w:r>
      <w:r w:rsidRPr="006F706A">
        <w:rPr>
          <w:rFonts w:ascii="Arial" w:eastAsia="Arial" w:hAnsi="Arial" w:cs="Arial"/>
        </w:rPr>
        <w:t xml:space="preserve"> (1845) 13 M&amp;W 628 at 633; 153 ER 262 at 265.</w:t>
      </w:r>
    </w:p>
  </w:footnote>
  <w:footnote w:id="13">
    <w:p w14:paraId="789B927E" w14:textId="600CBC26" w:rsidR="009E0B66" w:rsidRPr="006F706A" w:rsidRDefault="009E0B66" w:rsidP="00FF13E1">
      <w:pPr>
        <w:pStyle w:val="FootnoteText"/>
        <w:jc w:val="both"/>
        <w:rPr>
          <w:rFonts w:ascii="Arial" w:hAnsi="Arial" w:cs="Arial"/>
        </w:rPr>
      </w:pPr>
      <w:r w:rsidRPr="006F706A">
        <w:rPr>
          <w:rStyle w:val="FootnoteReference"/>
          <w:rFonts w:ascii="Arial" w:hAnsi="Arial" w:cs="Arial"/>
        </w:rPr>
        <w:footnoteRef/>
      </w:r>
      <w:r w:rsidRPr="006F706A">
        <w:rPr>
          <w:rFonts w:ascii="Arial" w:hAnsi="Arial" w:cs="Arial"/>
        </w:rPr>
        <w:t xml:space="preserve"> </w:t>
      </w:r>
      <w:r w:rsidRPr="006F706A">
        <w:rPr>
          <w:rFonts w:ascii="Arial" w:hAnsi="Arial" w:cs="Arial"/>
          <w:i/>
        </w:rPr>
        <w:t xml:space="preserve">Jones </w:t>
      </w:r>
      <w:r w:rsidR="00E01557" w:rsidRPr="00C62D6C">
        <w:rPr>
          <w:rFonts w:ascii="Arial" w:hAnsi="Arial" w:cs="Arial"/>
        </w:rPr>
        <w:t>fn 3</w:t>
      </w:r>
      <w:r w:rsidRPr="006F706A">
        <w:rPr>
          <w:rFonts w:ascii="Arial" w:hAnsi="Arial" w:cs="Arial"/>
        </w:rPr>
        <w:t xml:space="preserve"> at 692D and the cases cited therein.</w:t>
      </w:r>
    </w:p>
  </w:footnote>
  <w:footnote w:id="14">
    <w:p w14:paraId="034FDD98" w14:textId="77777777" w:rsidR="00A7014B" w:rsidRPr="006F706A" w:rsidRDefault="00A7014B" w:rsidP="00A7014B">
      <w:pPr>
        <w:pStyle w:val="FootnoteText"/>
        <w:jc w:val="both"/>
        <w:rPr>
          <w:rFonts w:ascii="Arial" w:hAnsi="Arial" w:cs="Arial"/>
        </w:rPr>
      </w:pPr>
      <w:r w:rsidRPr="00FF13E1">
        <w:rPr>
          <w:rStyle w:val="FootnoteReference"/>
          <w:rFonts w:ascii="Arial" w:hAnsi="Arial" w:cs="Arial"/>
        </w:rPr>
        <w:footnoteRef/>
      </w:r>
      <w:r w:rsidRPr="00FF13E1">
        <w:rPr>
          <w:rFonts w:ascii="Arial" w:hAnsi="Arial" w:cs="Arial"/>
        </w:rPr>
        <w:t xml:space="preserve"> </w:t>
      </w:r>
      <w:r w:rsidRPr="006F706A">
        <w:rPr>
          <w:rFonts w:ascii="Arial" w:eastAsia="Arial" w:hAnsi="Arial" w:cs="Arial"/>
          <w:i/>
        </w:rPr>
        <w:t xml:space="preserve">Richman v Ben-Tovim </w:t>
      </w:r>
      <w:r w:rsidRPr="00FF13E1">
        <w:rPr>
          <w:rFonts w:ascii="Arial" w:eastAsia="Arial" w:hAnsi="Arial" w:cs="Arial"/>
        </w:rPr>
        <w:t>[2006] ZASCA 121; 2007 (2) SA 283 (SCA); [2007] 2 All SA 234 (SCA) para 9.</w:t>
      </w:r>
    </w:p>
  </w:footnote>
  <w:footnote w:id="15">
    <w:p w14:paraId="29F4C066" w14:textId="77777777" w:rsidR="009E0B66" w:rsidRPr="006F706A" w:rsidRDefault="009E0B66" w:rsidP="00FF13E1">
      <w:pPr>
        <w:pStyle w:val="FootnoteText"/>
        <w:jc w:val="both"/>
        <w:rPr>
          <w:rFonts w:ascii="Arial" w:hAnsi="Arial" w:cs="Arial"/>
        </w:rPr>
      </w:pPr>
      <w:r w:rsidRPr="006F706A">
        <w:rPr>
          <w:rStyle w:val="FootnoteReference"/>
          <w:rFonts w:ascii="Arial" w:hAnsi="Arial" w:cs="Arial"/>
        </w:rPr>
        <w:footnoteRef/>
      </w:r>
      <w:r w:rsidRPr="006F706A">
        <w:rPr>
          <w:rFonts w:ascii="Arial" w:hAnsi="Arial" w:cs="Arial"/>
        </w:rPr>
        <w:t xml:space="preserve"> As is evident in the writ of execution (money judgment) issued 2/28/2017 by the clerk of the court in the amount of US$93 293.067.00.</w:t>
      </w:r>
    </w:p>
  </w:footnote>
  <w:footnote w:id="16">
    <w:p w14:paraId="70EA1B9F" w14:textId="7C413AF7" w:rsidR="00E136C1" w:rsidRPr="006355FF" w:rsidRDefault="00E136C1" w:rsidP="00E136C1">
      <w:pPr>
        <w:pStyle w:val="FootnoteText"/>
        <w:rPr>
          <w:rFonts w:ascii="Arial" w:hAnsi="Arial" w:cs="Arial"/>
          <w:lang w:val="en-US"/>
        </w:rPr>
      </w:pPr>
      <w:r w:rsidRPr="006355FF">
        <w:rPr>
          <w:rStyle w:val="FootnoteReference"/>
          <w:rFonts w:ascii="Arial" w:hAnsi="Arial" w:cs="Arial"/>
        </w:rPr>
        <w:footnoteRef/>
      </w:r>
      <w:r w:rsidRPr="006355FF">
        <w:rPr>
          <w:rFonts w:ascii="Arial" w:hAnsi="Arial" w:cs="Arial"/>
        </w:rPr>
        <w:t xml:space="preserve"> </w:t>
      </w:r>
      <w:r w:rsidRPr="006355FF">
        <w:rPr>
          <w:rFonts w:ascii="Arial" w:hAnsi="Arial" w:cs="Arial"/>
          <w:i/>
          <w:iCs/>
          <w:lang w:val="en-US"/>
        </w:rPr>
        <w:t xml:space="preserve">Jones </w:t>
      </w:r>
      <w:r w:rsidR="00E01557">
        <w:rPr>
          <w:rFonts w:ascii="Arial" w:hAnsi="Arial" w:cs="Arial"/>
          <w:lang w:val="en-US"/>
        </w:rPr>
        <w:t xml:space="preserve">fn 3 </w:t>
      </w:r>
      <w:r w:rsidRPr="006355FF">
        <w:rPr>
          <w:rFonts w:ascii="Arial" w:hAnsi="Arial" w:cs="Arial"/>
          <w:lang w:val="en-US"/>
        </w:rPr>
        <w:t>at 685</w:t>
      </w:r>
      <w:r>
        <w:rPr>
          <w:rFonts w:ascii="Arial" w:hAnsi="Arial" w:cs="Arial"/>
          <w:lang w:val="en-US"/>
        </w:rPr>
        <w:t>.</w:t>
      </w:r>
    </w:p>
  </w:footnote>
  <w:footnote w:id="17">
    <w:p w14:paraId="6032A3DD" w14:textId="42632373" w:rsidR="00E136C1" w:rsidRPr="006355FF" w:rsidRDefault="00E136C1" w:rsidP="00E136C1">
      <w:pPr>
        <w:pStyle w:val="FootnoteText"/>
        <w:rPr>
          <w:rFonts w:ascii="Arial" w:hAnsi="Arial" w:cs="Arial"/>
          <w:lang w:val="en-US"/>
        </w:rPr>
      </w:pPr>
      <w:r w:rsidRPr="006355FF">
        <w:rPr>
          <w:rStyle w:val="FootnoteReference"/>
          <w:rFonts w:ascii="Arial" w:hAnsi="Arial" w:cs="Arial"/>
        </w:rPr>
        <w:footnoteRef/>
      </w:r>
      <w:r w:rsidRPr="006355FF">
        <w:rPr>
          <w:rFonts w:ascii="Arial" w:hAnsi="Arial" w:cs="Arial"/>
        </w:rPr>
        <w:t xml:space="preserve"> </w:t>
      </w:r>
      <w:r w:rsidR="00E01557" w:rsidRPr="00C62D6C">
        <w:rPr>
          <w:rFonts w:ascii="Arial" w:hAnsi="Arial" w:cs="Arial"/>
          <w:iCs/>
        </w:rPr>
        <w:t>Ibid</w:t>
      </w:r>
      <w:r w:rsidR="00E01557">
        <w:rPr>
          <w:rFonts w:ascii="Arial" w:hAnsi="Arial" w:cs="Arial"/>
          <w:i/>
          <w:iCs/>
        </w:rPr>
        <w:t xml:space="preserve"> </w:t>
      </w:r>
      <w:r w:rsidR="00740825">
        <w:rPr>
          <w:rFonts w:ascii="Arial" w:hAnsi="Arial" w:cs="Arial"/>
          <w:lang w:val="en-US"/>
        </w:rPr>
        <w:t>at</w:t>
      </w:r>
      <w:r w:rsidRPr="006355FF">
        <w:rPr>
          <w:rFonts w:ascii="Arial" w:hAnsi="Arial" w:cs="Arial"/>
          <w:lang w:val="en-US"/>
        </w:rPr>
        <w:t xml:space="preserve"> 686A</w:t>
      </w:r>
      <w:r>
        <w:rPr>
          <w:rFonts w:ascii="Arial" w:hAnsi="Arial" w:cs="Arial"/>
          <w:lang w:val="en-US"/>
        </w:rPr>
        <w:t>.</w:t>
      </w:r>
    </w:p>
  </w:footnote>
  <w:footnote w:id="18">
    <w:p w14:paraId="11C52DEE" w14:textId="2BC3CE59" w:rsidR="00E136C1" w:rsidRPr="006355FF" w:rsidRDefault="00E136C1" w:rsidP="00E136C1">
      <w:pPr>
        <w:pStyle w:val="FootnoteText"/>
        <w:rPr>
          <w:rFonts w:ascii="Arial" w:hAnsi="Arial" w:cs="Arial"/>
          <w:lang w:val="en-US"/>
        </w:rPr>
      </w:pPr>
      <w:r w:rsidRPr="006355FF">
        <w:rPr>
          <w:rStyle w:val="FootnoteReference"/>
          <w:rFonts w:ascii="Arial" w:hAnsi="Arial" w:cs="Arial"/>
        </w:rPr>
        <w:footnoteRef/>
      </w:r>
      <w:r w:rsidRPr="006355FF">
        <w:rPr>
          <w:rFonts w:ascii="Arial" w:hAnsi="Arial" w:cs="Arial"/>
        </w:rPr>
        <w:t xml:space="preserve"> </w:t>
      </w:r>
      <w:r w:rsidRPr="006355FF">
        <w:rPr>
          <w:rFonts w:ascii="Arial" w:hAnsi="Arial" w:cs="Arial"/>
          <w:i/>
          <w:iCs/>
          <w:lang w:val="en-US"/>
        </w:rPr>
        <w:t>Society of Lloyds v Price</w:t>
      </w:r>
      <w:r w:rsidR="00FC5A23">
        <w:rPr>
          <w:rFonts w:ascii="Arial" w:hAnsi="Arial" w:cs="Arial"/>
          <w:i/>
          <w:iCs/>
          <w:lang w:val="en-US"/>
        </w:rPr>
        <w:t>; Society of Lloyd’s v Lee’ [2006] ZASCA 88;</w:t>
      </w:r>
      <w:r w:rsidRPr="006355FF">
        <w:rPr>
          <w:rFonts w:ascii="Arial" w:hAnsi="Arial" w:cs="Arial"/>
          <w:i/>
          <w:iCs/>
          <w:lang w:val="en-US"/>
        </w:rPr>
        <w:t xml:space="preserve"> </w:t>
      </w:r>
      <w:r w:rsidRPr="006355FF">
        <w:rPr>
          <w:rFonts w:ascii="Arial" w:hAnsi="Arial" w:cs="Arial"/>
          <w:lang w:val="en-US"/>
        </w:rPr>
        <w:t xml:space="preserve">2006 (5) SA 393 (SCA) </w:t>
      </w:r>
      <w:r w:rsidR="00FC5A23">
        <w:rPr>
          <w:rFonts w:ascii="Arial" w:hAnsi="Arial" w:cs="Arial"/>
          <w:lang w:val="en-US"/>
        </w:rPr>
        <w:t>para</w:t>
      </w:r>
      <w:r w:rsidRPr="006355FF">
        <w:rPr>
          <w:rFonts w:ascii="Arial" w:hAnsi="Arial" w:cs="Arial"/>
          <w:lang w:val="en-US"/>
        </w:rPr>
        <w:t xml:space="preserve"> 22</w:t>
      </w:r>
      <w:r>
        <w:rPr>
          <w:rFonts w:ascii="Arial" w:hAnsi="Arial" w:cs="Arial"/>
          <w:lang w:val="en-US"/>
        </w:rPr>
        <w:t>.</w:t>
      </w:r>
    </w:p>
  </w:footnote>
  <w:footnote w:id="19">
    <w:p w14:paraId="547FB25D" w14:textId="77777777" w:rsidR="00E136C1" w:rsidRPr="006355FF" w:rsidRDefault="00E136C1" w:rsidP="00E136C1">
      <w:pPr>
        <w:pStyle w:val="FootnoteText"/>
        <w:rPr>
          <w:rFonts w:ascii="Arial" w:hAnsi="Arial" w:cs="Arial"/>
          <w:lang w:val="en-US"/>
        </w:rPr>
      </w:pPr>
      <w:r w:rsidRPr="006355FF">
        <w:rPr>
          <w:rStyle w:val="FootnoteReference"/>
          <w:rFonts w:ascii="Arial" w:hAnsi="Arial" w:cs="Arial"/>
        </w:rPr>
        <w:footnoteRef/>
      </w:r>
      <w:r w:rsidRPr="006355FF">
        <w:rPr>
          <w:rFonts w:ascii="Arial" w:hAnsi="Arial" w:cs="Arial"/>
        </w:rPr>
        <w:t xml:space="preserve"> </w:t>
      </w:r>
      <w:r w:rsidRPr="006355FF">
        <w:rPr>
          <w:rFonts w:ascii="Arial" w:hAnsi="Arial" w:cs="Arial"/>
          <w:i/>
          <w:iCs/>
          <w:lang w:val="en-US"/>
        </w:rPr>
        <w:t>Ex parte Registrar</w:t>
      </w:r>
      <w:r>
        <w:rPr>
          <w:rFonts w:ascii="Arial" w:hAnsi="Arial" w:cs="Arial"/>
          <w:i/>
          <w:iCs/>
          <w:lang w:val="en-US"/>
        </w:rPr>
        <w:t xml:space="preserve">, Supreme Court, Bophuthatswana </w:t>
      </w:r>
      <w:r w:rsidRPr="006355FF">
        <w:rPr>
          <w:rFonts w:ascii="Arial" w:hAnsi="Arial" w:cs="Arial"/>
          <w:lang w:val="en-US"/>
        </w:rPr>
        <w:t>1980 (1) SA 572 (B) at 578</w:t>
      </w:r>
      <w:r>
        <w:rPr>
          <w:rFonts w:ascii="Arial" w:hAnsi="Arial" w:cs="Arial"/>
          <w:lang w:val="en-US"/>
        </w:rPr>
        <w:t>.</w:t>
      </w:r>
    </w:p>
  </w:footnote>
  <w:footnote w:id="20">
    <w:p w14:paraId="41EA8EC0" w14:textId="79EDD3C3" w:rsidR="00E136C1" w:rsidRPr="006355FF" w:rsidRDefault="00E136C1" w:rsidP="00E136C1">
      <w:pPr>
        <w:pStyle w:val="FootnoteText"/>
        <w:rPr>
          <w:rFonts w:ascii="Arial" w:hAnsi="Arial" w:cs="Arial"/>
          <w:lang w:val="en-US"/>
        </w:rPr>
      </w:pPr>
      <w:r w:rsidRPr="006355FF">
        <w:rPr>
          <w:rStyle w:val="FootnoteReference"/>
          <w:rFonts w:ascii="Arial" w:hAnsi="Arial" w:cs="Arial"/>
        </w:rPr>
        <w:footnoteRef/>
      </w:r>
      <w:r w:rsidRPr="006355FF">
        <w:rPr>
          <w:rFonts w:ascii="Arial" w:hAnsi="Arial" w:cs="Arial"/>
        </w:rPr>
        <w:t xml:space="preserve"> </w:t>
      </w:r>
      <w:r w:rsidR="005417A8">
        <w:rPr>
          <w:rFonts w:ascii="Arial" w:hAnsi="Arial" w:cs="Arial"/>
          <w:lang w:val="en-US"/>
        </w:rPr>
        <w:t xml:space="preserve"> </w:t>
      </w:r>
      <w:r w:rsidR="005417A8" w:rsidRPr="00C62D6C">
        <w:rPr>
          <w:rFonts w:ascii="Arial" w:hAnsi="Arial" w:cs="Arial"/>
          <w:i/>
          <w:lang w:val="en-US"/>
        </w:rPr>
        <w:t>Society of Lloyd’s</w:t>
      </w:r>
      <w:r w:rsidR="005417A8" w:rsidRPr="005417A8">
        <w:rPr>
          <w:rFonts w:ascii="Arial" w:hAnsi="Arial" w:cs="Arial"/>
          <w:lang w:val="en-US"/>
        </w:rPr>
        <w:t xml:space="preserve"> </w:t>
      </w:r>
      <w:r w:rsidR="005417A8">
        <w:rPr>
          <w:rFonts w:ascii="Arial" w:hAnsi="Arial" w:cs="Arial"/>
          <w:lang w:val="en-US"/>
        </w:rPr>
        <w:t>fn 18 above para 30</w:t>
      </w:r>
      <w:r>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396496222"/>
      <w:docPartObj>
        <w:docPartGallery w:val="Page Numbers (Top of Page)"/>
        <w:docPartUnique/>
      </w:docPartObj>
    </w:sdtPr>
    <w:sdtEndPr>
      <w:rPr>
        <w:noProof/>
      </w:rPr>
    </w:sdtEndPr>
    <w:sdtContent>
      <w:p w14:paraId="25C02393" w14:textId="11C4056F" w:rsidR="00601C0C" w:rsidRPr="00D62F8E" w:rsidRDefault="00601C0C">
        <w:pPr>
          <w:pStyle w:val="Header"/>
          <w:jc w:val="right"/>
          <w:rPr>
            <w:rFonts w:ascii="Arial" w:hAnsi="Arial" w:cs="Arial"/>
            <w:sz w:val="24"/>
            <w:szCs w:val="24"/>
          </w:rPr>
        </w:pPr>
        <w:r w:rsidRPr="00D62F8E">
          <w:rPr>
            <w:rFonts w:ascii="Arial" w:hAnsi="Arial" w:cs="Arial"/>
            <w:sz w:val="24"/>
            <w:szCs w:val="24"/>
          </w:rPr>
          <w:fldChar w:fldCharType="begin"/>
        </w:r>
        <w:r w:rsidRPr="00D62F8E">
          <w:rPr>
            <w:rFonts w:ascii="Arial" w:hAnsi="Arial" w:cs="Arial"/>
            <w:sz w:val="24"/>
            <w:szCs w:val="24"/>
          </w:rPr>
          <w:instrText xml:space="preserve"> PAGE   \* MERGEFORMAT </w:instrText>
        </w:r>
        <w:r w:rsidRPr="00D62F8E">
          <w:rPr>
            <w:rFonts w:ascii="Arial" w:hAnsi="Arial" w:cs="Arial"/>
            <w:sz w:val="24"/>
            <w:szCs w:val="24"/>
          </w:rPr>
          <w:fldChar w:fldCharType="separate"/>
        </w:r>
        <w:r w:rsidR="005F62B7">
          <w:rPr>
            <w:rFonts w:ascii="Arial" w:hAnsi="Arial" w:cs="Arial"/>
            <w:noProof/>
            <w:sz w:val="24"/>
            <w:szCs w:val="24"/>
          </w:rPr>
          <w:t>2</w:t>
        </w:r>
        <w:r w:rsidRPr="00D62F8E">
          <w:rPr>
            <w:rFonts w:ascii="Arial" w:hAnsi="Arial" w:cs="Arial"/>
            <w:noProof/>
            <w:sz w:val="24"/>
            <w:szCs w:val="24"/>
          </w:rPr>
          <w:fldChar w:fldCharType="end"/>
        </w:r>
      </w:p>
    </w:sdtContent>
  </w:sdt>
  <w:p w14:paraId="572181E9" w14:textId="77777777" w:rsidR="00601C0C" w:rsidRPr="00D62F8E" w:rsidRDefault="00601C0C">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47C5"/>
    <w:multiLevelType w:val="hybridMultilevel"/>
    <w:tmpl w:val="8E34E30A"/>
    <w:lvl w:ilvl="0" w:tplc="2A42A84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C9E45C9"/>
    <w:multiLevelType w:val="hybridMultilevel"/>
    <w:tmpl w:val="96328954"/>
    <w:lvl w:ilvl="0" w:tplc="15A82E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4C2C0519"/>
    <w:multiLevelType w:val="multilevel"/>
    <w:tmpl w:val="98324F68"/>
    <w:lvl w:ilvl="0">
      <w:start w:val="30"/>
      <w:numFmt w:val="decimal"/>
      <w:lvlText w:val="[%1]"/>
      <w:lvlJc w:val="left"/>
      <w:pPr>
        <w:ind w:left="720" w:hanging="360"/>
      </w:pPr>
      <w:rPr>
        <w:rFonts w:hint="default"/>
        <w:i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4016957"/>
    <w:multiLevelType w:val="hybridMultilevel"/>
    <w:tmpl w:val="0DFA7910"/>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3057A70"/>
    <w:multiLevelType w:val="multilevel"/>
    <w:tmpl w:val="127203BA"/>
    <w:lvl w:ilvl="0">
      <w:start w:val="23"/>
      <w:numFmt w:val="decimal"/>
      <w:lvlText w:val="[%1]"/>
      <w:lvlJc w:val="left"/>
      <w:pPr>
        <w:ind w:left="720" w:hanging="360"/>
      </w:pPr>
      <w:rPr>
        <w:rFonts w:ascii="Arial" w:hAnsi="Arial" w:cs="Arial" w:hint="default"/>
        <w:i w:val="0"/>
        <w:strike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E894C20"/>
    <w:multiLevelType w:val="hybridMultilevel"/>
    <w:tmpl w:val="4B6E0F88"/>
    <w:lvl w:ilvl="0" w:tplc="4EA47C20">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4717103"/>
    <w:multiLevelType w:val="multilevel"/>
    <w:tmpl w:val="FDCC2D2E"/>
    <w:lvl w:ilvl="0">
      <w:start w:val="1"/>
      <w:numFmt w:val="decimal"/>
      <w:lvlText w:val="[%1]"/>
      <w:lvlJc w:val="left"/>
      <w:pPr>
        <w:ind w:left="720" w:hanging="360"/>
      </w:pPr>
      <w:rPr>
        <w:rFonts w:ascii="Arial" w:hAnsi="Arial" w:cs="Arial" w:hint="default"/>
        <w:i w:val="0"/>
        <w:strike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8C"/>
    <w:rsid w:val="00001555"/>
    <w:rsid w:val="00002AE5"/>
    <w:rsid w:val="00015317"/>
    <w:rsid w:val="00020210"/>
    <w:rsid w:val="00024437"/>
    <w:rsid w:val="00027F70"/>
    <w:rsid w:val="0003001E"/>
    <w:rsid w:val="0004158D"/>
    <w:rsid w:val="000419CE"/>
    <w:rsid w:val="00041E36"/>
    <w:rsid w:val="000424BC"/>
    <w:rsid w:val="0004534B"/>
    <w:rsid w:val="000524CB"/>
    <w:rsid w:val="00055429"/>
    <w:rsid w:val="00060639"/>
    <w:rsid w:val="000636D9"/>
    <w:rsid w:val="000644AB"/>
    <w:rsid w:val="00066267"/>
    <w:rsid w:val="00076998"/>
    <w:rsid w:val="00087FDE"/>
    <w:rsid w:val="00095BF6"/>
    <w:rsid w:val="00095FEA"/>
    <w:rsid w:val="000B6DA3"/>
    <w:rsid w:val="000D03A6"/>
    <w:rsid w:val="000D505B"/>
    <w:rsid w:val="000D59C8"/>
    <w:rsid w:val="000D7D91"/>
    <w:rsid w:val="000E64F7"/>
    <w:rsid w:val="000F1792"/>
    <w:rsid w:val="000F4F6C"/>
    <w:rsid w:val="000F549E"/>
    <w:rsid w:val="000F5653"/>
    <w:rsid w:val="000F682C"/>
    <w:rsid w:val="001125A1"/>
    <w:rsid w:val="00124C29"/>
    <w:rsid w:val="00126817"/>
    <w:rsid w:val="00133CF7"/>
    <w:rsid w:val="001417AF"/>
    <w:rsid w:val="001428CB"/>
    <w:rsid w:val="00147899"/>
    <w:rsid w:val="00147F03"/>
    <w:rsid w:val="00151066"/>
    <w:rsid w:val="001513DF"/>
    <w:rsid w:val="00153831"/>
    <w:rsid w:val="00153883"/>
    <w:rsid w:val="00154CD4"/>
    <w:rsid w:val="00155120"/>
    <w:rsid w:val="00162368"/>
    <w:rsid w:val="00171EE6"/>
    <w:rsid w:val="001845AC"/>
    <w:rsid w:val="00191429"/>
    <w:rsid w:val="00191875"/>
    <w:rsid w:val="001960DD"/>
    <w:rsid w:val="00196316"/>
    <w:rsid w:val="0019739D"/>
    <w:rsid w:val="001A63E2"/>
    <w:rsid w:val="001B3DC8"/>
    <w:rsid w:val="001C313B"/>
    <w:rsid w:val="001C4E40"/>
    <w:rsid w:val="001C5AB3"/>
    <w:rsid w:val="001C7A33"/>
    <w:rsid w:val="001D24B1"/>
    <w:rsid w:val="001D29C4"/>
    <w:rsid w:val="001D4C75"/>
    <w:rsid w:val="001D4E9D"/>
    <w:rsid w:val="001E2DB0"/>
    <w:rsid w:val="001E5F3D"/>
    <w:rsid w:val="001E6587"/>
    <w:rsid w:val="001E7602"/>
    <w:rsid w:val="001F6E62"/>
    <w:rsid w:val="002045FA"/>
    <w:rsid w:val="002079B8"/>
    <w:rsid w:val="00207E67"/>
    <w:rsid w:val="00210B0B"/>
    <w:rsid w:val="00216BD1"/>
    <w:rsid w:val="00217602"/>
    <w:rsid w:val="00221148"/>
    <w:rsid w:val="002218E6"/>
    <w:rsid w:val="00222149"/>
    <w:rsid w:val="002260A9"/>
    <w:rsid w:val="00233E93"/>
    <w:rsid w:val="00234995"/>
    <w:rsid w:val="00237073"/>
    <w:rsid w:val="002424B6"/>
    <w:rsid w:val="00243CF0"/>
    <w:rsid w:val="00246AEA"/>
    <w:rsid w:val="0026069D"/>
    <w:rsid w:val="002628F3"/>
    <w:rsid w:val="002639CF"/>
    <w:rsid w:val="00267BA7"/>
    <w:rsid w:val="00270779"/>
    <w:rsid w:val="00275E81"/>
    <w:rsid w:val="0027795E"/>
    <w:rsid w:val="002802EF"/>
    <w:rsid w:val="00280A6C"/>
    <w:rsid w:val="002852F7"/>
    <w:rsid w:val="0029408D"/>
    <w:rsid w:val="00294E77"/>
    <w:rsid w:val="00296072"/>
    <w:rsid w:val="002A3047"/>
    <w:rsid w:val="002A3EF2"/>
    <w:rsid w:val="002B67DB"/>
    <w:rsid w:val="002C2A31"/>
    <w:rsid w:val="002C3D52"/>
    <w:rsid w:val="002C5FC8"/>
    <w:rsid w:val="002D0E70"/>
    <w:rsid w:val="002D15B5"/>
    <w:rsid w:val="002D1B4E"/>
    <w:rsid w:val="002D2A92"/>
    <w:rsid w:val="002D4C7F"/>
    <w:rsid w:val="002E41CC"/>
    <w:rsid w:val="002E5DF3"/>
    <w:rsid w:val="00300FBE"/>
    <w:rsid w:val="00305A5C"/>
    <w:rsid w:val="00306D06"/>
    <w:rsid w:val="0031126C"/>
    <w:rsid w:val="003237D5"/>
    <w:rsid w:val="00333867"/>
    <w:rsid w:val="00335C49"/>
    <w:rsid w:val="00341A9E"/>
    <w:rsid w:val="00351500"/>
    <w:rsid w:val="003535F3"/>
    <w:rsid w:val="0035525A"/>
    <w:rsid w:val="0036076F"/>
    <w:rsid w:val="00365D80"/>
    <w:rsid w:val="00367878"/>
    <w:rsid w:val="00370B1C"/>
    <w:rsid w:val="00370D36"/>
    <w:rsid w:val="00372F2F"/>
    <w:rsid w:val="0037746D"/>
    <w:rsid w:val="003776D4"/>
    <w:rsid w:val="00382B50"/>
    <w:rsid w:val="003853B1"/>
    <w:rsid w:val="0039343C"/>
    <w:rsid w:val="003A5819"/>
    <w:rsid w:val="003A7C03"/>
    <w:rsid w:val="003B27CA"/>
    <w:rsid w:val="003B452E"/>
    <w:rsid w:val="003B7824"/>
    <w:rsid w:val="003C0211"/>
    <w:rsid w:val="003C1BC6"/>
    <w:rsid w:val="003D015E"/>
    <w:rsid w:val="003D235D"/>
    <w:rsid w:val="003D2676"/>
    <w:rsid w:val="003E3584"/>
    <w:rsid w:val="003E371F"/>
    <w:rsid w:val="003F0200"/>
    <w:rsid w:val="003F4994"/>
    <w:rsid w:val="003F594D"/>
    <w:rsid w:val="004028F7"/>
    <w:rsid w:val="004074DB"/>
    <w:rsid w:val="00425C42"/>
    <w:rsid w:val="00426985"/>
    <w:rsid w:val="004316E6"/>
    <w:rsid w:val="00433E79"/>
    <w:rsid w:val="00437607"/>
    <w:rsid w:val="00441673"/>
    <w:rsid w:val="004531F5"/>
    <w:rsid w:val="00456FE2"/>
    <w:rsid w:val="00460013"/>
    <w:rsid w:val="00464135"/>
    <w:rsid w:val="0046475E"/>
    <w:rsid w:val="00464891"/>
    <w:rsid w:val="00465100"/>
    <w:rsid w:val="00482E1A"/>
    <w:rsid w:val="0048375C"/>
    <w:rsid w:val="00485F87"/>
    <w:rsid w:val="004860BE"/>
    <w:rsid w:val="00486384"/>
    <w:rsid w:val="00487276"/>
    <w:rsid w:val="00491B4D"/>
    <w:rsid w:val="004A28DC"/>
    <w:rsid w:val="004A6136"/>
    <w:rsid w:val="004A717B"/>
    <w:rsid w:val="004A7855"/>
    <w:rsid w:val="004B0C2B"/>
    <w:rsid w:val="004B5CE2"/>
    <w:rsid w:val="004C5D6D"/>
    <w:rsid w:val="004D267D"/>
    <w:rsid w:val="004D4778"/>
    <w:rsid w:val="004E4220"/>
    <w:rsid w:val="004F2127"/>
    <w:rsid w:val="004F3769"/>
    <w:rsid w:val="00501F11"/>
    <w:rsid w:val="00506F63"/>
    <w:rsid w:val="00513A24"/>
    <w:rsid w:val="005157D4"/>
    <w:rsid w:val="00525426"/>
    <w:rsid w:val="0052547B"/>
    <w:rsid w:val="00526123"/>
    <w:rsid w:val="0053034F"/>
    <w:rsid w:val="0053288C"/>
    <w:rsid w:val="0053749F"/>
    <w:rsid w:val="005417A8"/>
    <w:rsid w:val="0054268A"/>
    <w:rsid w:val="005545E2"/>
    <w:rsid w:val="00555CE8"/>
    <w:rsid w:val="00566A3B"/>
    <w:rsid w:val="0057290B"/>
    <w:rsid w:val="0057610B"/>
    <w:rsid w:val="00580D6B"/>
    <w:rsid w:val="0058695D"/>
    <w:rsid w:val="00591F97"/>
    <w:rsid w:val="005945E2"/>
    <w:rsid w:val="00595B68"/>
    <w:rsid w:val="00597940"/>
    <w:rsid w:val="00597DAE"/>
    <w:rsid w:val="00597FF7"/>
    <w:rsid w:val="005A0AA0"/>
    <w:rsid w:val="005A1DA1"/>
    <w:rsid w:val="005A1F73"/>
    <w:rsid w:val="005A47BE"/>
    <w:rsid w:val="005B1F40"/>
    <w:rsid w:val="005B7A13"/>
    <w:rsid w:val="005C1148"/>
    <w:rsid w:val="005D2E62"/>
    <w:rsid w:val="005E5B0A"/>
    <w:rsid w:val="005E68DC"/>
    <w:rsid w:val="005F3F24"/>
    <w:rsid w:val="005F4680"/>
    <w:rsid w:val="005F46D2"/>
    <w:rsid w:val="005F62B7"/>
    <w:rsid w:val="005F6B65"/>
    <w:rsid w:val="005F6E2B"/>
    <w:rsid w:val="005F6EF7"/>
    <w:rsid w:val="00601C0C"/>
    <w:rsid w:val="00602DC7"/>
    <w:rsid w:val="0061012F"/>
    <w:rsid w:val="00615476"/>
    <w:rsid w:val="00624AA2"/>
    <w:rsid w:val="00630C29"/>
    <w:rsid w:val="006318D0"/>
    <w:rsid w:val="00632516"/>
    <w:rsid w:val="00632D60"/>
    <w:rsid w:val="00636DB5"/>
    <w:rsid w:val="00637286"/>
    <w:rsid w:val="0064093E"/>
    <w:rsid w:val="006414E7"/>
    <w:rsid w:val="0064283C"/>
    <w:rsid w:val="00643ED2"/>
    <w:rsid w:val="0064626A"/>
    <w:rsid w:val="00654BAA"/>
    <w:rsid w:val="006672D9"/>
    <w:rsid w:val="00674A6B"/>
    <w:rsid w:val="00674B9F"/>
    <w:rsid w:val="00675BF2"/>
    <w:rsid w:val="00676B4A"/>
    <w:rsid w:val="00682DE9"/>
    <w:rsid w:val="00682EE3"/>
    <w:rsid w:val="00683AAB"/>
    <w:rsid w:val="00684291"/>
    <w:rsid w:val="00685629"/>
    <w:rsid w:val="006A0856"/>
    <w:rsid w:val="006A39F7"/>
    <w:rsid w:val="006A59B3"/>
    <w:rsid w:val="006B2316"/>
    <w:rsid w:val="006B3A14"/>
    <w:rsid w:val="006B477E"/>
    <w:rsid w:val="006B4793"/>
    <w:rsid w:val="006B6B9A"/>
    <w:rsid w:val="006B7B59"/>
    <w:rsid w:val="006C1435"/>
    <w:rsid w:val="006C2C90"/>
    <w:rsid w:val="006C33B2"/>
    <w:rsid w:val="006D11B8"/>
    <w:rsid w:val="006D18D0"/>
    <w:rsid w:val="006D2A74"/>
    <w:rsid w:val="006D50DA"/>
    <w:rsid w:val="006D572E"/>
    <w:rsid w:val="006D6E18"/>
    <w:rsid w:val="006D7B52"/>
    <w:rsid w:val="006E142B"/>
    <w:rsid w:val="006E5082"/>
    <w:rsid w:val="006E6AA9"/>
    <w:rsid w:val="006F5884"/>
    <w:rsid w:val="006F5F3B"/>
    <w:rsid w:val="006F623E"/>
    <w:rsid w:val="006F706A"/>
    <w:rsid w:val="0071040D"/>
    <w:rsid w:val="0071264D"/>
    <w:rsid w:val="007128F0"/>
    <w:rsid w:val="00713C67"/>
    <w:rsid w:val="00715974"/>
    <w:rsid w:val="00715A23"/>
    <w:rsid w:val="00717D2D"/>
    <w:rsid w:val="00725270"/>
    <w:rsid w:val="0072624B"/>
    <w:rsid w:val="00726BE7"/>
    <w:rsid w:val="007321F9"/>
    <w:rsid w:val="00734165"/>
    <w:rsid w:val="00737AD1"/>
    <w:rsid w:val="00740825"/>
    <w:rsid w:val="00741D5D"/>
    <w:rsid w:val="00742123"/>
    <w:rsid w:val="00742253"/>
    <w:rsid w:val="007441C4"/>
    <w:rsid w:val="0075140F"/>
    <w:rsid w:val="00752707"/>
    <w:rsid w:val="007534B2"/>
    <w:rsid w:val="0075726F"/>
    <w:rsid w:val="00761E72"/>
    <w:rsid w:val="00761EFD"/>
    <w:rsid w:val="00762595"/>
    <w:rsid w:val="00763D84"/>
    <w:rsid w:val="00773665"/>
    <w:rsid w:val="0077582D"/>
    <w:rsid w:val="00776F3C"/>
    <w:rsid w:val="007776C4"/>
    <w:rsid w:val="00781828"/>
    <w:rsid w:val="007828DE"/>
    <w:rsid w:val="0078345B"/>
    <w:rsid w:val="00786DD5"/>
    <w:rsid w:val="0079589B"/>
    <w:rsid w:val="007972D8"/>
    <w:rsid w:val="007A00B7"/>
    <w:rsid w:val="007B04EA"/>
    <w:rsid w:val="007B0965"/>
    <w:rsid w:val="007B160A"/>
    <w:rsid w:val="007B297C"/>
    <w:rsid w:val="007B2A1D"/>
    <w:rsid w:val="007B64E0"/>
    <w:rsid w:val="007C0734"/>
    <w:rsid w:val="007C199B"/>
    <w:rsid w:val="007C5EFC"/>
    <w:rsid w:val="007C5F65"/>
    <w:rsid w:val="007D1A84"/>
    <w:rsid w:val="007D3772"/>
    <w:rsid w:val="007D6C99"/>
    <w:rsid w:val="007E01BD"/>
    <w:rsid w:val="007E7E18"/>
    <w:rsid w:val="007E7FC0"/>
    <w:rsid w:val="007F42F2"/>
    <w:rsid w:val="007F4530"/>
    <w:rsid w:val="00801D71"/>
    <w:rsid w:val="0080246F"/>
    <w:rsid w:val="00802CEB"/>
    <w:rsid w:val="00803E90"/>
    <w:rsid w:val="00806695"/>
    <w:rsid w:val="008128B7"/>
    <w:rsid w:val="00816CB5"/>
    <w:rsid w:val="00832A7E"/>
    <w:rsid w:val="00832DF8"/>
    <w:rsid w:val="008365FC"/>
    <w:rsid w:val="00841FB1"/>
    <w:rsid w:val="0084430A"/>
    <w:rsid w:val="00854F57"/>
    <w:rsid w:val="00855AB5"/>
    <w:rsid w:val="00855FE7"/>
    <w:rsid w:val="00863B07"/>
    <w:rsid w:val="00865D2D"/>
    <w:rsid w:val="00866CEC"/>
    <w:rsid w:val="00867B6E"/>
    <w:rsid w:val="00877C4C"/>
    <w:rsid w:val="00882507"/>
    <w:rsid w:val="00882C1F"/>
    <w:rsid w:val="00884F88"/>
    <w:rsid w:val="0088676D"/>
    <w:rsid w:val="00891F36"/>
    <w:rsid w:val="0089742C"/>
    <w:rsid w:val="008A18BE"/>
    <w:rsid w:val="008B0EC0"/>
    <w:rsid w:val="008B6B8F"/>
    <w:rsid w:val="008C0AA3"/>
    <w:rsid w:val="008C1434"/>
    <w:rsid w:val="008C27EA"/>
    <w:rsid w:val="008C4691"/>
    <w:rsid w:val="008C4AF9"/>
    <w:rsid w:val="008D037A"/>
    <w:rsid w:val="008D2371"/>
    <w:rsid w:val="008D2E43"/>
    <w:rsid w:val="008D53E8"/>
    <w:rsid w:val="008E10D8"/>
    <w:rsid w:val="008F6098"/>
    <w:rsid w:val="008F6C14"/>
    <w:rsid w:val="008F7C98"/>
    <w:rsid w:val="00903CB5"/>
    <w:rsid w:val="009049E1"/>
    <w:rsid w:val="00906109"/>
    <w:rsid w:val="0090684F"/>
    <w:rsid w:val="00907A23"/>
    <w:rsid w:val="00923B42"/>
    <w:rsid w:val="00924AF8"/>
    <w:rsid w:val="009258D8"/>
    <w:rsid w:val="00927C81"/>
    <w:rsid w:val="00927F9E"/>
    <w:rsid w:val="00936052"/>
    <w:rsid w:val="009363BF"/>
    <w:rsid w:val="009425B9"/>
    <w:rsid w:val="00942D0C"/>
    <w:rsid w:val="00951E90"/>
    <w:rsid w:val="00952CF7"/>
    <w:rsid w:val="0095354A"/>
    <w:rsid w:val="00954474"/>
    <w:rsid w:val="009566E1"/>
    <w:rsid w:val="00960537"/>
    <w:rsid w:val="00960975"/>
    <w:rsid w:val="00965237"/>
    <w:rsid w:val="009677F3"/>
    <w:rsid w:val="009711F2"/>
    <w:rsid w:val="009713F0"/>
    <w:rsid w:val="00972DAC"/>
    <w:rsid w:val="00975116"/>
    <w:rsid w:val="00976C7F"/>
    <w:rsid w:val="00977A21"/>
    <w:rsid w:val="009832C9"/>
    <w:rsid w:val="00990BE3"/>
    <w:rsid w:val="009918A1"/>
    <w:rsid w:val="009925DD"/>
    <w:rsid w:val="00993548"/>
    <w:rsid w:val="0099587B"/>
    <w:rsid w:val="009A1A26"/>
    <w:rsid w:val="009B18C7"/>
    <w:rsid w:val="009B495C"/>
    <w:rsid w:val="009B4A31"/>
    <w:rsid w:val="009B7841"/>
    <w:rsid w:val="009B7D65"/>
    <w:rsid w:val="009C1A92"/>
    <w:rsid w:val="009C25F9"/>
    <w:rsid w:val="009C37B5"/>
    <w:rsid w:val="009C497F"/>
    <w:rsid w:val="009D4AB5"/>
    <w:rsid w:val="009D4C43"/>
    <w:rsid w:val="009D6F13"/>
    <w:rsid w:val="009E0B66"/>
    <w:rsid w:val="009E10DF"/>
    <w:rsid w:val="009E437C"/>
    <w:rsid w:val="009E61B3"/>
    <w:rsid w:val="009E66BE"/>
    <w:rsid w:val="009E728B"/>
    <w:rsid w:val="009F6C91"/>
    <w:rsid w:val="00A024F4"/>
    <w:rsid w:val="00A030CC"/>
    <w:rsid w:val="00A069F8"/>
    <w:rsid w:val="00A11165"/>
    <w:rsid w:val="00A11975"/>
    <w:rsid w:val="00A15117"/>
    <w:rsid w:val="00A20355"/>
    <w:rsid w:val="00A205E5"/>
    <w:rsid w:val="00A20FDE"/>
    <w:rsid w:val="00A2108D"/>
    <w:rsid w:val="00A21833"/>
    <w:rsid w:val="00A24151"/>
    <w:rsid w:val="00A2690E"/>
    <w:rsid w:val="00A26CD4"/>
    <w:rsid w:val="00A27B1D"/>
    <w:rsid w:val="00A30958"/>
    <w:rsid w:val="00A43BFC"/>
    <w:rsid w:val="00A50B30"/>
    <w:rsid w:val="00A5111D"/>
    <w:rsid w:val="00A5323E"/>
    <w:rsid w:val="00A60D29"/>
    <w:rsid w:val="00A64C45"/>
    <w:rsid w:val="00A7014B"/>
    <w:rsid w:val="00A762BC"/>
    <w:rsid w:val="00A77D54"/>
    <w:rsid w:val="00A84CF0"/>
    <w:rsid w:val="00A86012"/>
    <w:rsid w:val="00A86264"/>
    <w:rsid w:val="00A8686A"/>
    <w:rsid w:val="00A94A2C"/>
    <w:rsid w:val="00A953AE"/>
    <w:rsid w:val="00A96FA2"/>
    <w:rsid w:val="00AA52BF"/>
    <w:rsid w:val="00AA6C7D"/>
    <w:rsid w:val="00AA7BC2"/>
    <w:rsid w:val="00AB39A1"/>
    <w:rsid w:val="00AB6D84"/>
    <w:rsid w:val="00AB6FCD"/>
    <w:rsid w:val="00AC2DDA"/>
    <w:rsid w:val="00AC6550"/>
    <w:rsid w:val="00AD489D"/>
    <w:rsid w:val="00AE1A93"/>
    <w:rsid w:val="00AE48D4"/>
    <w:rsid w:val="00AE5E7E"/>
    <w:rsid w:val="00AE64F3"/>
    <w:rsid w:val="00B076AC"/>
    <w:rsid w:val="00B1315B"/>
    <w:rsid w:val="00B2671C"/>
    <w:rsid w:val="00B3499C"/>
    <w:rsid w:val="00B35324"/>
    <w:rsid w:val="00B36EBE"/>
    <w:rsid w:val="00B37952"/>
    <w:rsid w:val="00B50877"/>
    <w:rsid w:val="00B60064"/>
    <w:rsid w:val="00B64ABE"/>
    <w:rsid w:val="00B65159"/>
    <w:rsid w:val="00B71B78"/>
    <w:rsid w:val="00B71CC6"/>
    <w:rsid w:val="00B73ABD"/>
    <w:rsid w:val="00B8145F"/>
    <w:rsid w:val="00B81919"/>
    <w:rsid w:val="00B83907"/>
    <w:rsid w:val="00B86FD3"/>
    <w:rsid w:val="00B92C35"/>
    <w:rsid w:val="00B94988"/>
    <w:rsid w:val="00B9634E"/>
    <w:rsid w:val="00BA4B17"/>
    <w:rsid w:val="00BA5DCD"/>
    <w:rsid w:val="00BA6E95"/>
    <w:rsid w:val="00BB20FF"/>
    <w:rsid w:val="00BB46C3"/>
    <w:rsid w:val="00BB4A33"/>
    <w:rsid w:val="00BC0D17"/>
    <w:rsid w:val="00C10021"/>
    <w:rsid w:val="00C14DE8"/>
    <w:rsid w:val="00C261C7"/>
    <w:rsid w:val="00C275B0"/>
    <w:rsid w:val="00C33204"/>
    <w:rsid w:val="00C34D5F"/>
    <w:rsid w:val="00C35F5B"/>
    <w:rsid w:val="00C36903"/>
    <w:rsid w:val="00C43A66"/>
    <w:rsid w:val="00C54C72"/>
    <w:rsid w:val="00C55D7B"/>
    <w:rsid w:val="00C62D6C"/>
    <w:rsid w:val="00C65127"/>
    <w:rsid w:val="00C71639"/>
    <w:rsid w:val="00C74389"/>
    <w:rsid w:val="00C81575"/>
    <w:rsid w:val="00C86CAA"/>
    <w:rsid w:val="00C97455"/>
    <w:rsid w:val="00CA1979"/>
    <w:rsid w:val="00CB3681"/>
    <w:rsid w:val="00CC4A77"/>
    <w:rsid w:val="00CD0387"/>
    <w:rsid w:val="00CD4DF4"/>
    <w:rsid w:val="00CD5903"/>
    <w:rsid w:val="00CD59A4"/>
    <w:rsid w:val="00CE5358"/>
    <w:rsid w:val="00CE67D4"/>
    <w:rsid w:val="00CE77FF"/>
    <w:rsid w:val="00CF099C"/>
    <w:rsid w:val="00CF1304"/>
    <w:rsid w:val="00CF5ADC"/>
    <w:rsid w:val="00CF768A"/>
    <w:rsid w:val="00D013CC"/>
    <w:rsid w:val="00D03112"/>
    <w:rsid w:val="00D03339"/>
    <w:rsid w:val="00D0606C"/>
    <w:rsid w:val="00D11D65"/>
    <w:rsid w:val="00D15415"/>
    <w:rsid w:val="00D20903"/>
    <w:rsid w:val="00D2149E"/>
    <w:rsid w:val="00D217D8"/>
    <w:rsid w:val="00D2224A"/>
    <w:rsid w:val="00D231E6"/>
    <w:rsid w:val="00D315F0"/>
    <w:rsid w:val="00D40117"/>
    <w:rsid w:val="00D45F4C"/>
    <w:rsid w:val="00D53735"/>
    <w:rsid w:val="00D5411A"/>
    <w:rsid w:val="00D57E69"/>
    <w:rsid w:val="00D62F8E"/>
    <w:rsid w:val="00D644A1"/>
    <w:rsid w:val="00D6771F"/>
    <w:rsid w:val="00D75B70"/>
    <w:rsid w:val="00D77DFE"/>
    <w:rsid w:val="00D96307"/>
    <w:rsid w:val="00D9785E"/>
    <w:rsid w:val="00DA060C"/>
    <w:rsid w:val="00DB1637"/>
    <w:rsid w:val="00DB2F4D"/>
    <w:rsid w:val="00DB51FD"/>
    <w:rsid w:val="00DB72B1"/>
    <w:rsid w:val="00DD5776"/>
    <w:rsid w:val="00DD623F"/>
    <w:rsid w:val="00DD6A56"/>
    <w:rsid w:val="00DD7B66"/>
    <w:rsid w:val="00DE157D"/>
    <w:rsid w:val="00DE3A39"/>
    <w:rsid w:val="00DE4F0E"/>
    <w:rsid w:val="00DE72E4"/>
    <w:rsid w:val="00DF1375"/>
    <w:rsid w:val="00DF1B75"/>
    <w:rsid w:val="00DF49E4"/>
    <w:rsid w:val="00DF564E"/>
    <w:rsid w:val="00DF6440"/>
    <w:rsid w:val="00DF6B4A"/>
    <w:rsid w:val="00DF7DAD"/>
    <w:rsid w:val="00E00D8A"/>
    <w:rsid w:val="00E01557"/>
    <w:rsid w:val="00E03E35"/>
    <w:rsid w:val="00E058C3"/>
    <w:rsid w:val="00E10044"/>
    <w:rsid w:val="00E12A97"/>
    <w:rsid w:val="00E136C1"/>
    <w:rsid w:val="00E152A6"/>
    <w:rsid w:val="00E1762C"/>
    <w:rsid w:val="00E23E9A"/>
    <w:rsid w:val="00E27EC2"/>
    <w:rsid w:val="00E365E8"/>
    <w:rsid w:val="00E41363"/>
    <w:rsid w:val="00E4345B"/>
    <w:rsid w:val="00E443AD"/>
    <w:rsid w:val="00E50361"/>
    <w:rsid w:val="00E50C2C"/>
    <w:rsid w:val="00E50D1F"/>
    <w:rsid w:val="00E5315F"/>
    <w:rsid w:val="00E5353B"/>
    <w:rsid w:val="00E53646"/>
    <w:rsid w:val="00E54727"/>
    <w:rsid w:val="00E55548"/>
    <w:rsid w:val="00E61446"/>
    <w:rsid w:val="00E614F0"/>
    <w:rsid w:val="00E673CA"/>
    <w:rsid w:val="00E7450B"/>
    <w:rsid w:val="00E82A6B"/>
    <w:rsid w:val="00E84159"/>
    <w:rsid w:val="00E851A8"/>
    <w:rsid w:val="00EA172E"/>
    <w:rsid w:val="00EB09EE"/>
    <w:rsid w:val="00EB390F"/>
    <w:rsid w:val="00EB7B5C"/>
    <w:rsid w:val="00EC2637"/>
    <w:rsid w:val="00EC51CE"/>
    <w:rsid w:val="00EC64AE"/>
    <w:rsid w:val="00ED1075"/>
    <w:rsid w:val="00ED1BCB"/>
    <w:rsid w:val="00EE4916"/>
    <w:rsid w:val="00EF39B2"/>
    <w:rsid w:val="00EF72DE"/>
    <w:rsid w:val="00F04023"/>
    <w:rsid w:val="00F04935"/>
    <w:rsid w:val="00F06AF0"/>
    <w:rsid w:val="00F10CBC"/>
    <w:rsid w:val="00F11F37"/>
    <w:rsid w:val="00F12D9D"/>
    <w:rsid w:val="00F201C4"/>
    <w:rsid w:val="00F27CDA"/>
    <w:rsid w:val="00F3468C"/>
    <w:rsid w:val="00F377B5"/>
    <w:rsid w:val="00F40B19"/>
    <w:rsid w:val="00F41EEF"/>
    <w:rsid w:val="00F43B30"/>
    <w:rsid w:val="00F50089"/>
    <w:rsid w:val="00F61714"/>
    <w:rsid w:val="00F65DE6"/>
    <w:rsid w:val="00F7179D"/>
    <w:rsid w:val="00F72BB8"/>
    <w:rsid w:val="00F75C01"/>
    <w:rsid w:val="00F80619"/>
    <w:rsid w:val="00F85B0A"/>
    <w:rsid w:val="00F86DE4"/>
    <w:rsid w:val="00F8705C"/>
    <w:rsid w:val="00F9162A"/>
    <w:rsid w:val="00FA130F"/>
    <w:rsid w:val="00FA22E5"/>
    <w:rsid w:val="00FA6D5F"/>
    <w:rsid w:val="00FA7400"/>
    <w:rsid w:val="00FB172D"/>
    <w:rsid w:val="00FB3539"/>
    <w:rsid w:val="00FB69A6"/>
    <w:rsid w:val="00FC5A23"/>
    <w:rsid w:val="00FC66E5"/>
    <w:rsid w:val="00FD43FC"/>
    <w:rsid w:val="00FE1377"/>
    <w:rsid w:val="00FE1903"/>
    <w:rsid w:val="00FE7873"/>
    <w:rsid w:val="00FF13E1"/>
    <w:rsid w:val="00FF2A55"/>
    <w:rsid w:val="00FF2EF7"/>
    <w:rsid w:val="00FF72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3F9F"/>
  <w15:chartTrackingRefBased/>
  <w15:docId w15:val="{478E9ABC-D903-4170-B29D-6290980A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5B"/>
  </w:style>
  <w:style w:type="paragraph" w:styleId="Heading1">
    <w:name w:val="heading 1"/>
    <w:basedOn w:val="Normal"/>
    <w:next w:val="Normal"/>
    <w:link w:val="Heading1Char"/>
    <w:uiPriority w:val="9"/>
    <w:qFormat/>
    <w:rsid w:val="000D505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D505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D505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D505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D505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D505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D505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D505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D505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468C"/>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3468C"/>
    <w:rPr>
      <w:rFonts w:ascii="Calibri" w:eastAsia="Calibri" w:hAnsi="Calibri" w:cs="Calibri"/>
      <w:sz w:val="20"/>
      <w:szCs w:val="20"/>
    </w:rPr>
  </w:style>
  <w:style w:type="paragraph" w:styleId="ListParagraph">
    <w:name w:val="List Paragraph"/>
    <w:basedOn w:val="Normal"/>
    <w:uiPriority w:val="34"/>
    <w:qFormat/>
    <w:rsid w:val="00F3468C"/>
    <w:pPr>
      <w:ind w:left="720"/>
      <w:contextualSpacing/>
    </w:pPr>
  </w:style>
  <w:style w:type="paragraph" w:customStyle="1" w:styleId="Normal1">
    <w:name w:val="Normal1"/>
    <w:rsid w:val="00F3468C"/>
    <w:pPr>
      <w:spacing w:after="200" w:line="276" w:lineRule="auto"/>
    </w:pPr>
    <w:rPr>
      <w:rFonts w:ascii="Calibri" w:eastAsia="Calibri" w:hAnsi="Calibri" w:cs="Calibri"/>
    </w:rPr>
  </w:style>
  <w:style w:type="character" w:styleId="FootnoteReference">
    <w:name w:val="footnote reference"/>
    <w:basedOn w:val="DefaultParagraphFont"/>
    <w:uiPriority w:val="99"/>
    <w:semiHidden/>
    <w:unhideWhenUsed/>
    <w:rsid w:val="00F3468C"/>
    <w:rPr>
      <w:vertAlign w:val="superscript"/>
    </w:rPr>
  </w:style>
  <w:style w:type="character" w:customStyle="1" w:styleId="Heading1Char">
    <w:name w:val="Heading 1 Char"/>
    <w:basedOn w:val="DefaultParagraphFont"/>
    <w:link w:val="Heading1"/>
    <w:uiPriority w:val="9"/>
    <w:rsid w:val="000D505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D505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D505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D505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D505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D505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D505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D505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D505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D505B"/>
    <w:pPr>
      <w:spacing w:line="240" w:lineRule="auto"/>
    </w:pPr>
    <w:rPr>
      <w:b/>
      <w:bCs/>
      <w:smallCaps/>
      <w:color w:val="44546A" w:themeColor="text2"/>
    </w:rPr>
  </w:style>
  <w:style w:type="paragraph" w:styleId="Title">
    <w:name w:val="Title"/>
    <w:basedOn w:val="Normal"/>
    <w:next w:val="Normal"/>
    <w:link w:val="TitleChar"/>
    <w:uiPriority w:val="10"/>
    <w:qFormat/>
    <w:rsid w:val="000D505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D505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D505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D505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D505B"/>
    <w:rPr>
      <w:b/>
      <w:bCs/>
    </w:rPr>
  </w:style>
  <w:style w:type="character" w:styleId="Emphasis">
    <w:name w:val="Emphasis"/>
    <w:basedOn w:val="DefaultParagraphFont"/>
    <w:uiPriority w:val="20"/>
    <w:qFormat/>
    <w:rsid w:val="000D505B"/>
    <w:rPr>
      <w:i/>
      <w:iCs/>
    </w:rPr>
  </w:style>
  <w:style w:type="paragraph" w:styleId="NoSpacing">
    <w:name w:val="No Spacing"/>
    <w:uiPriority w:val="1"/>
    <w:qFormat/>
    <w:rsid w:val="000D505B"/>
    <w:pPr>
      <w:spacing w:after="0" w:line="240" w:lineRule="auto"/>
    </w:pPr>
  </w:style>
  <w:style w:type="paragraph" w:styleId="Quote">
    <w:name w:val="Quote"/>
    <w:basedOn w:val="Normal"/>
    <w:next w:val="Normal"/>
    <w:link w:val="QuoteChar"/>
    <w:uiPriority w:val="29"/>
    <w:qFormat/>
    <w:rsid w:val="000D505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D505B"/>
    <w:rPr>
      <w:color w:val="44546A" w:themeColor="text2"/>
      <w:sz w:val="24"/>
      <w:szCs w:val="24"/>
    </w:rPr>
  </w:style>
  <w:style w:type="paragraph" w:styleId="IntenseQuote">
    <w:name w:val="Intense Quote"/>
    <w:basedOn w:val="Normal"/>
    <w:next w:val="Normal"/>
    <w:link w:val="IntenseQuoteChar"/>
    <w:uiPriority w:val="30"/>
    <w:qFormat/>
    <w:rsid w:val="000D505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D505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D505B"/>
    <w:rPr>
      <w:i/>
      <w:iCs/>
      <w:color w:val="595959" w:themeColor="text1" w:themeTint="A6"/>
    </w:rPr>
  </w:style>
  <w:style w:type="character" w:styleId="IntenseEmphasis">
    <w:name w:val="Intense Emphasis"/>
    <w:basedOn w:val="DefaultParagraphFont"/>
    <w:uiPriority w:val="21"/>
    <w:qFormat/>
    <w:rsid w:val="000D505B"/>
    <w:rPr>
      <w:b/>
      <w:bCs/>
      <w:i/>
      <w:iCs/>
    </w:rPr>
  </w:style>
  <w:style w:type="character" w:styleId="SubtleReference">
    <w:name w:val="Subtle Reference"/>
    <w:basedOn w:val="DefaultParagraphFont"/>
    <w:uiPriority w:val="31"/>
    <w:qFormat/>
    <w:rsid w:val="000D50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D505B"/>
    <w:rPr>
      <w:b/>
      <w:bCs/>
      <w:smallCaps/>
      <w:color w:val="44546A" w:themeColor="text2"/>
      <w:u w:val="single"/>
    </w:rPr>
  </w:style>
  <w:style w:type="character" w:styleId="BookTitle">
    <w:name w:val="Book Title"/>
    <w:basedOn w:val="DefaultParagraphFont"/>
    <w:uiPriority w:val="33"/>
    <w:qFormat/>
    <w:rsid w:val="000D505B"/>
    <w:rPr>
      <w:b/>
      <w:bCs/>
      <w:smallCaps/>
      <w:spacing w:val="10"/>
    </w:rPr>
  </w:style>
  <w:style w:type="paragraph" w:styleId="TOCHeading">
    <w:name w:val="TOC Heading"/>
    <w:basedOn w:val="Heading1"/>
    <w:next w:val="Normal"/>
    <w:uiPriority w:val="39"/>
    <w:semiHidden/>
    <w:unhideWhenUsed/>
    <w:qFormat/>
    <w:rsid w:val="000D505B"/>
    <w:pPr>
      <w:outlineLvl w:val="9"/>
    </w:pPr>
  </w:style>
  <w:style w:type="paragraph" w:styleId="BalloonText">
    <w:name w:val="Balloon Text"/>
    <w:basedOn w:val="Normal"/>
    <w:link w:val="BalloonTextChar"/>
    <w:uiPriority w:val="99"/>
    <w:semiHidden/>
    <w:unhideWhenUsed/>
    <w:rsid w:val="0089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36"/>
    <w:rPr>
      <w:rFonts w:ascii="Segoe UI" w:hAnsi="Segoe UI" w:cs="Segoe UI"/>
      <w:sz w:val="18"/>
      <w:szCs w:val="18"/>
    </w:rPr>
  </w:style>
  <w:style w:type="paragraph" w:styleId="Header">
    <w:name w:val="header"/>
    <w:basedOn w:val="Normal"/>
    <w:link w:val="HeaderChar"/>
    <w:uiPriority w:val="99"/>
    <w:unhideWhenUsed/>
    <w:rsid w:val="0089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F36"/>
  </w:style>
  <w:style w:type="paragraph" w:styleId="Footer">
    <w:name w:val="footer"/>
    <w:basedOn w:val="Normal"/>
    <w:link w:val="FooterChar"/>
    <w:uiPriority w:val="99"/>
    <w:unhideWhenUsed/>
    <w:rsid w:val="00891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F36"/>
  </w:style>
  <w:style w:type="character" w:styleId="Hyperlink">
    <w:name w:val="Hyperlink"/>
    <w:basedOn w:val="DefaultParagraphFont"/>
    <w:uiPriority w:val="99"/>
    <w:semiHidden/>
    <w:unhideWhenUsed/>
    <w:rsid w:val="001428CB"/>
    <w:rPr>
      <w:color w:val="0000FF"/>
      <w:u w:val="single"/>
    </w:rPr>
  </w:style>
  <w:style w:type="character" w:styleId="CommentReference">
    <w:name w:val="annotation reference"/>
    <w:basedOn w:val="DefaultParagraphFont"/>
    <w:uiPriority w:val="99"/>
    <w:semiHidden/>
    <w:unhideWhenUsed/>
    <w:rsid w:val="00A50B30"/>
    <w:rPr>
      <w:sz w:val="16"/>
      <w:szCs w:val="16"/>
    </w:rPr>
  </w:style>
  <w:style w:type="paragraph" w:styleId="CommentText">
    <w:name w:val="annotation text"/>
    <w:basedOn w:val="Normal"/>
    <w:link w:val="CommentTextChar"/>
    <w:uiPriority w:val="99"/>
    <w:semiHidden/>
    <w:unhideWhenUsed/>
    <w:rsid w:val="00A50B30"/>
    <w:pPr>
      <w:spacing w:line="240" w:lineRule="auto"/>
    </w:pPr>
    <w:rPr>
      <w:sz w:val="20"/>
      <w:szCs w:val="20"/>
    </w:rPr>
  </w:style>
  <w:style w:type="character" w:customStyle="1" w:styleId="CommentTextChar">
    <w:name w:val="Comment Text Char"/>
    <w:basedOn w:val="DefaultParagraphFont"/>
    <w:link w:val="CommentText"/>
    <w:uiPriority w:val="99"/>
    <w:semiHidden/>
    <w:rsid w:val="00A50B30"/>
    <w:rPr>
      <w:sz w:val="20"/>
      <w:szCs w:val="20"/>
    </w:rPr>
  </w:style>
  <w:style w:type="paragraph" w:styleId="CommentSubject">
    <w:name w:val="annotation subject"/>
    <w:basedOn w:val="CommentText"/>
    <w:next w:val="CommentText"/>
    <w:link w:val="CommentSubjectChar"/>
    <w:uiPriority w:val="99"/>
    <w:semiHidden/>
    <w:unhideWhenUsed/>
    <w:rsid w:val="00A50B30"/>
    <w:rPr>
      <w:b/>
      <w:bCs/>
    </w:rPr>
  </w:style>
  <w:style w:type="character" w:customStyle="1" w:styleId="CommentSubjectChar">
    <w:name w:val="Comment Subject Char"/>
    <w:basedOn w:val="CommentTextChar"/>
    <w:link w:val="CommentSubject"/>
    <w:uiPriority w:val="99"/>
    <w:semiHidden/>
    <w:rsid w:val="00A50B30"/>
    <w:rPr>
      <w:b/>
      <w:bCs/>
      <w:sz w:val="20"/>
      <w:szCs w:val="20"/>
    </w:rPr>
  </w:style>
  <w:style w:type="paragraph" w:styleId="Revision">
    <w:name w:val="Revision"/>
    <w:hidden/>
    <w:uiPriority w:val="99"/>
    <w:semiHidden/>
    <w:rsid w:val="00A50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6821">
      <w:bodyDiv w:val="1"/>
      <w:marLeft w:val="0"/>
      <w:marRight w:val="0"/>
      <w:marTop w:val="0"/>
      <w:marBottom w:val="0"/>
      <w:divBdr>
        <w:top w:val="none" w:sz="0" w:space="0" w:color="auto"/>
        <w:left w:val="none" w:sz="0" w:space="0" w:color="auto"/>
        <w:bottom w:val="none" w:sz="0" w:space="0" w:color="auto"/>
        <w:right w:val="none" w:sz="0" w:space="0" w:color="auto"/>
      </w:divBdr>
    </w:div>
    <w:div w:id="467626799">
      <w:bodyDiv w:val="1"/>
      <w:marLeft w:val="0"/>
      <w:marRight w:val="0"/>
      <w:marTop w:val="0"/>
      <w:marBottom w:val="0"/>
      <w:divBdr>
        <w:top w:val="none" w:sz="0" w:space="0" w:color="auto"/>
        <w:left w:val="none" w:sz="0" w:space="0" w:color="auto"/>
        <w:bottom w:val="none" w:sz="0" w:space="0" w:color="auto"/>
        <w:right w:val="none" w:sz="0" w:space="0" w:color="auto"/>
      </w:divBdr>
    </w:div>
    <w:div w:id="603070935">
      <w:bodyDiv w:val="1"/>
      <w:marLeft w:val="0"/>
      <w:marRight w:val="0"/>
      <w:marTop w:val="0"/>
      <w:marBottom w:val="0"/>
      <w:divBdr>
        <w:top w:val="none" w:sz="0" w:space="0" w:color="auto"/>
        <w:left w:val="none" w:sz="0" w:space="0" w:color="auto"/>
        <w:bottom w:val="none" w:sz="0" w:space="0" w:color="auto"/>
        <w:right w:val="none" w:sz="0" w:space="0" w:color="auto"/>
      </w:divBdr>
    </w:div>
    <w:div w:id="772365392">
      <w:bodyDiv w:val="1"/>
      <w:marLeft w:val="0"/>
      <w:marRight w:val="0"/>
      <w:marTop w:val="0"/>
      <w:marBottom w:val="0"/>
      <w:divBdr>
        <w:top w:val="none" w:sz="0" w:space="0" w:color="auto"/>
        <w:left w:val="none" w:sz="0" w:space="0" w:color="auto"/>
        <w:bottom w:val="none" w:sz="0" w:space="0" w:color="auto"/>
        <w:right w:val="none" w:sz="0" w:space="0" w:color="auto"/>
      </w:divBdr>
    </w:div>
    <w:div w:id="13013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32CB-899B-4B9C-8AD1-1486CC78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Wendy Hughes</dc:creator>
  <cp:keywords/>
  <dc:description/>
  <cp:lastModifiedBy>Mary Bruce</cp:lastModifiedBy>
  <cp:revision>5</cp:revision>
  <cp:lastPrinted>2024-02-06T06:53:00Z</cp:lastPrinted>
  <dcterms:created xsi:type="dcterms:W3CDTF">2024-02-06T07:27:00Z</dcterms:created>
  <dcterms:modified xsi:type="dcterms:W3CDTF">2024-02-06T13:46:00Z</dcterms:modified>
</cp:coreProperties>
</file>